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62a5f36c919003a33a6590fd002508bd252b1a"/>
    <w:p>
      <w:pPr>
        <w:pStyle w:val="Heading1"/>
      </w:pPr>
      <w:r>
        <w:t xml:space="preserve">FINBYX — Master Build Prompt for Claude Code</w:t>
      </w:r>
    </w:p>
    <w:p>
      <w:pPr>
        <w:pStyle w:val="FirstParagraph"/>
      </w:pPr>
      <w:r>
        <w:rPr>
          <w:bCs/>
          <w:b/>
        </w:rPr>
        <w:t xml:space="preserve">Web-based Loan Origination (LOS), Loan Management (LMS), Accounting, Collections &amp; Recovery, Regulatory Reporting, Risk, Audit, Governance and Compliance System for NBFCs, HFCs, Banks, Co-operative Lenders, ARCs, Investment Companies and other Regulated Lenders</w:t>
      </w:r>
    </w:p>
    <w:p>
      <w:pPr>
        <w:pStyle w:val="BodyText"/>
      </w:pPr>
      <w:r>
        <w:t xml:space="preserve">Version 1.5 · Revised 24 October 2026 (v1.5 adds Parts 7B–7L — regulatory returns, supervisory portals and credit bureau submissions; accounting frameworks, financial statements, tax and the statutory audit trail; the audit and assurance suite; risk management, capital adequacy, ICAAP and leadership dashboards; corporate governance, listed-company compliance, client HRMS and workplace integration; institution profiles for co-operatives, microfinance, ARCs and IFSC entities; investments, treasury and securitisation servicing; data portability and customer-controlled storage; tenant-side plans, billing and payments; engineering operations, certification readiness and voice adapters; a</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 for every module, consolidated in Appendix G — with Phases 13b–20b, Part 8A.37 for non-RBI and later RBI sources, Integration Specification v1.1 and the Infrabyx Operations Hub as the companion group-operations platform; v1.4 added Part 7A — the attachable NPA and Debt Recovery, Litigation and ADR Suite — the product-wise origination workflows and the LAS/LAMF lender lifecycle in Parts 6.3–6.4, and the Infrabyx Ecosystem Integration Specification as the canonical integration contract; 33 RBI Directions and 1 guidance note supplied by the project owner incorporated in Part 8A; revision log in Appendix E; drafting slips in Appendix F) · Derived from the Udofin mobile-app master prompt and rewritten for Finbyx</w:t>
      </w:r>
    </w:p>
    <w:p>
      <w:r>
        <w:pict>
          <v:rect style="width:0;height:1.5pt" o:hralign="center" o:hrstd="t" o:hr="t"/>
        </w:pict>
      </w:r>
    </w:p>
    <w:bookmarkStart w:id="20" w:name="X8c5c62d5f0f9a9f59cf143059b1bc532bf8382d"/>
    <w:p>
      <w:pPr>
        <w:pStyle w:val="Heading2"/>
      </w:pPr>
      <w:r>
        <w:t xml:space="preserve">HOW TO USE THIS PROMPT (for the project owner — do not paste this box)</w:t>
      </w:r>
    </w:p>
    <w:p>
      <w:pPr>
        <w:numPr>
          <w:ilvl w:val="0"/>
          <w:numId w:val="1001"/>
        </w:numPr>
        <w:pStyle w:val="Compact"/>
      </w:pPr>
      <w:r>
        <w:rPr>
          <w:bCs/>
          <w:b/>
        </w:rPr>
        <w:t xml:space="preserve">Before Session 1:</w:t>
      </w:r>
      <w:r>
        <w:t xml:space="preserve"> </w:t>
      </w:r>
      <w:r>
        <w:t xml:space="preserve">Commit this entire file to the Finbyx repository as</w:t>
      </w:r>
      <w:r>
        <w:t xml:space="preserve"> </w:t>
      </w:r>
      <w:r>
        <w:rPr>
          <w:rStyle w:val="VerbatimChar"/>
        </w:rPr>
        <w:t xml:space="preserve">docs/00-master-prompt.md</w:t>
      </w:r>
      <w:r>
        <w:t xml:space="preserve">. That means Parts 1–13 (including Parts 7A–7L; there is no Part 7I), Appendices A–G and the Sources — everything below this box. Commit the Infrabyx Ecosystem Integration Specification alongside it as</w:t>
      </w:r>
      <w:r>
        <w:t xml:space="preserve"> </w:t>
      </w:r>
      <w:r>
        <w:rPr>
          <w:rStyle w:val="VerbatimChar"/>
        </w:rPr>
        <w:t xml:space="preserve">docs/ecosystem/infrabyx-integration-spec.md</w:t>
      </w:r>
      <w:r>
        <w:t xml:space="preserve">; the same file, at the same version, sits in the Udofin, Equator, LawDocsComply and Infrabyx Operations Hub repositories (v1.1 from Finbyx v1.5). Do not paste only Parts 1–13, because Phase 0 depends on the appendices.</w:t>
      </w:r>
    </w:p>
    <w:p>
      <w:pPr>
        <w:numPr>
          <w:ilvl w:val="0"/>
          <w:numId w:val="1001"/>
        </w:numPr>
        <w:pStyle w:val="Compact"/>
      </w:pPr>
      <w:r>
        <w:rPr>
          <w:bCs/>
          <w:b/>
        </w:rPr>
        <w:t xml:space="preserve">Session 1:</w:t>
      </w:r>
      <w:r>
        <w:t xml:space="preserve"> </w:t>
      </w:r>
      <w:r>
        <w:t xml:space="preserve">Open Claude Code on the repository and type:</w:t>
      </w:r>
      <w:r>
        <w:t xml:space="preserve"> </w:t>
      </w:r>
      <w:r>
        <w:rPr>
          <w:iCs/>
          <w:i/>
        </w:rPr>
        <w:t xml:space="preserve">“</w:t>
      </w:r>
      <w:r>
        <w:rPr>
          <w:iCs/>
          <w:i/>
        </w:rPr>
        <w:t xml:space="preserve">Read docs/00-master-prompt.md in full, then execute Part 13 (Phase 0 only).</w:t>
      </w:r>
      <w:r>
        <w:rPr>
          <w:iCs/>
          <w:i/>
        </w:rPr>
        <w:t xml:space="preserve">”</w:t>
      </w:r>
      <w:r>
        <w:t xml:space="preserve"> </w:t>
      </w:r>
      <w:r>
        <w:t xml:space="preserve">Claude Code will audit and propose, then stop for your approval.</w:t>
      </w:r>
    </w:p>
    <w:p>
      <w:pPr>
        <w:numPr>
          <w:ilvl w:val="0"/>
          <w:numId w:val="1001"/>
        </w:numPr>
        <w:pStyle w:val="Compact"/>
      </w:pPr>
      <w:r>
        <w:rPr>
          <w:bCs/>
          <w:b/>
        </w:rPr>
        <w:t xml:space="preserve">After approval:</w:t>
      </w:r>
      <w:r>
        <w:t xml:space="preserve"> </w:t>
      </w:r>
      <w:r>
        <w:t xml:space="preserve">Claude Code commits</w:t>
      </w:r>
      <w:r>
        <w:t xml:space="preserve"> </w:t>
      </w:r>
      <w:r>
        <w:rPr>
          <w:rStyle w:val="VerbatimChar"/>
        </w:rPr>
        <w:t xml:space="preserve">CLAUDE.md</w:t>
      </w:r>
      <w:r>
        <w:t xml:space="preserve"> </w:t>
      </w:r>
      <w:r>
        <w:t xml:space="preserve">(Appendix A), which points every later session to the master prompt.</w:t>
      </w:r>
    </w:p>
    <w:p>
      <w:pPr>
        <w:numPr>
          <w:ilvl w:val="0"/>
          <w:numId w:val="1001"/>
        </w:numPr>
        <w:pStyle w:val="Compact"/>
      </w:pPr>
      <w:r>
        <w:rPr>
          <w:bCs/>
          <w:b/>
        </w:rPr>
        <w:t xml:space="preserve">Every later session:</w:t>
      </w:r>
      <w:r>
        <w:t xml:space="preserve"> </w:t>
      </w:r>
      <w:r>
        <w:t xml:space="preserve">Copy the matching phase instruction from Part 12 (</w:t>
      </w:r>
      <w:r>
        <w:t xml:space="preserve">“</w:t>
      </w:r>
      <w:r>
        <w:t xml:space="preserve">Instruction to Claude</w:t>
      </w:r>
      <w:r>
        <w:t xml:space="preserve">”</w:t>
      </w:r>
      <w:r>
        <w:t xml:space="preserve">), one phase or sub-module at a time. Approve each specification before code is written.</w:t>
      </w:r>
    </w:p>
    <w:p>
      <w:pPr>
        <w:numPr>
          <w:ilvl w:val="0"/>
          <w:numId w:val="1001"/>
        </w:numPr>
        <w:pStyle w:val="Compact"/>
      </w:pPr>
      <w:r>
        <w:rPr>
          <w:bCs/>
          <w:b/>
        </w:rPr>
        <w:t xml:space="preserve">Items marked [VERIFY]</w:t>
      </w:r>
      <w:r>
        <w:t xml:space="preserve"> </w:t>
      </w:r>
      <w:r>
        <w:t xml:space="preserve">are regulatory or vendor facts that need re-checking against the primary source before the related module is built. Claude Code is instructed to do this check and to record the result in the regulatory register.</w:t>
      </w:r>
    </w:p>
    <w:p>
      <w:pPr>
        <w:numPr>
          <w:ilvl w:val="0"/>
          <w:numId w:val="1001"/>
        </w:numPr>
        <w:pStyle w:val="Compact"/>
      </w:pPr>
      <w:r>
        <w:rPr>
          <w:bCs/>
          <w:b/>
        </w:rPr>
        <w:t xml:space="preserve">Data residency:</w:t>
      </w:r>
      <w:r>
        <w:t xml:space="preserve"> </w:t>
      </w:r>
      <w:r>
        <w:t xml:space="preserve">Railway has no India region. Use synthetic data only until India-region hosting is in place (Part 10.1).</w:t>
      </w:r>
    </w:p>
    <w:p>
      <w:pPr>
        <w:numPr>
          <w:ilvl w:val="0"/>
          <w:numId w:val="1001"/>
        </w:numPr>
        <w:pStyle w:val="Compact"/>
      </w:pPr>
      <w:r>
        <w:rPr>
          <w:bCs/>
          <w:b/>
        </w:rPr>
        <w:t xml:space="preserve">RBI source texts:</w:t>
      </w:r>
      <w:r>
        <w:t xml:space="preserve"> </w:t>
      </w:r>
      <w:r>
        <w:t xml:space="preserve">commit the official RBI Direction PDFs you supplied to</w:t>
      </w:r>
      <w:r>
        <w:t xml:space="preserve"> </w:t>
      </w:r>
      <w:r>
        <w:rPr>
          <w:rStyle w:val="VerbatimChar"/>
        </w:rPr>
        <w:t xml:space="preserve">docs/regulations/rbi/</w:t>
      </w:r>
      <w:r>
        <w:t xml:space="preserve"> </w:t>
      </w:r>
      <w:r>
        <w:t xml:space="preserve">(Part 8A.0). Part 8A cites them paragraph by paragraph; Part 8A.36 lists the v1.3 build additions by module, return, product and phase.</w:t>
      </w:r>
    </w:p>
    <w:p>
      <w:pPr>
        <w:numPr>
          <w:ilvl w:val="0"/>
          <w:numId w:val="1001"/>
        </w:numPr>
        <w:pStyle w:val="Compact"/>
      </w:pPr>
      <w:r>
        <w:rPr>
          <w:bCs/>
          <w:b/>
        </w:rPr>
        <w:t xml:space="preserve">v1.4 additions:</w:t>
      </w:r>
      <w:r>
        <w:t xml:space="preserve"> </w:t>
      </w:r>
      <w:r>
        <w:t xml:space="preserve">Part 7A specifies the</w:t>
      </w:r>
      <w:r>
        <w:t xml:space="preserve"> </w:t>
      </w:r>
      <w:r>
        <w:rPr>
          <w:bCs/>
          <w:b/>
        </w:rPr>
        <w:t xml:space="preserve">Recovery Suite</w:t>
      </w:r>
      <w:r>
        <w:t xml:space="preserve"> </w:t>
      </w:r>
      <w:r>
        <w:t xml:space="preserve">(NPA and debt recovery, litigation and ADR) as an</w:t>
      </w:r>
      <w:r>
        <w:t xml:space="preserve"> </w:t>
      </w:r>
      <w:r>
        <w:rPr>
          <w:bCs/>
          <w:b/>
        </w:rPr>
        <w:t xml:space="preserve">attachable module pack</w:t>
      </w:r>
      <w:r>
        <w:t xml:space="preserve">. It is switched on per tenant by licence entitlement and feature flag; detaching it makes its records read-only (never deleted) and produces an export pack. Every event, API, data-ownership rule and connector shared with Udofin, Equator, LawDocsComply, third-party tools and future ecosystem apps is defined in the</w:t>
      </w:r>
      <w:r>
        <w:t xml:space="preserve"> </w:t>
      </w:r>
      <w:r>
        <w:rPr>
          <w:bCs/>
          <w:b/>
        </w:rPr>
        <w:t xml:space="preserve">Infrabyx Ecosystem Integration Specification</w:t>
      </w:r>
      <w:r>
        <w:t xml:space="preserve"> </w:t>
      </w:r>
      <w:r>
        <w:t xml:space="preserve">(</w:t>
      </w:r>
      <w:r>
        <w:rPr>
          <w:rStyle w:val="VerbatimChar"/>
        </w:rPr>
        <w:t xml:space="preserve">docs/ecosystem/infrabyx-integration-spec.md</w:t>
      </w:r>
      <w:r>
        <w:t xml:space="preserve">), which prevails over the summary tables in Part 5. New phases: 12b, 16b and 17b (Part 12).</w:t>
      </w:r>
    </w:p>
    <w:p>
      <w:pPr>
        <w:numPr>
          <w:ilvl w:val="0"/>
          <w:numId w:val="1001"/>
        </w:numPr>
        <w:pStyle w:val="Compact"/>
      </w:pPr>
      <w:r>
        <w:rPr>
          <w:bCs/>
          <w:b/>
        </w:rPr>
        <w:t xml:space="preserve">v1.5 additions:</w:t>
      </w:r>
      <w:r>
        <w:t xml:space="preserve"> </w:t>
      </w:r>
      <w:r>
        <w:t xml:space="preserve">Parts 7B–7L add regulatory returns, supervisory portals and credit bureau submissions (7B); accounting frameworks, financial statements, tax and the statutory audit trail (7C); the audit and assurance suite with auditor and supervisor read-only workspaces (7D); risk management, capital adequacy, ICAAP and leadership dashboards (7E); corporate governance, listed-company compliance, client HRMS and workplace integration (7F); institution profiles for credit co-operative societies, co-operative banks, microfinance, ARCs and IFSC entities (7G); investments, treasury and securitisation servicing (7H); data portability, archives and customer-controlled storage (7J); tenant-side plans, billing and payments (7K); and engineering operations, certification readiness and voice and Jio adapters (7L). Part 8A.37 lists the new requirement codes and the owner references that v1.5 supersedes. New phases: 13b, 14b, 14c, 14d, 15b, 16c, 16d, 16e, 17c, 17d, 18b and 20b (Part 12); the EO1 repository controls start in Phase 1. Commit the Integration Specification at v1.1. The rule for every filing is unchanged: Finbyx prepares, validates, reconciles and evidences; an authorised human in the regulated entity approves and files; portal credentials and OTPs are never stored.</w:t>
      </w:r>
    </w:p>
    <w:p>
      <w:pPr>
        <w:numPr>
          <w:ilvl w:val="0"/>
          <w:numId w:val="1001"/>
        </w:numPr>
        <w:pStyle w:val="Compact"/>
      </w:pPr>
      <w:r>
        <w:rPr>
          <w:bCs/>
          <w:b/>
        </w:rPr>
        <w:t xml:space="preserve">Companion prompt — Infrabyx Operations Hub (product code</w:t>
      </w:r>
      <w:r>
        <w:rPr>
          <w:bCs/>
          <w:b/>
        </w:rPr>
        <w:t xml:space="preserve"> </w:t>
      </w:r>
      <w:r>
        <w:rPr>
          <w:rStyle w:val="VerbatimChar"/>
          <w:bCs/>
          <w:b/>
        </w:rPr>
        <w:t xml:space="preserve">OH</w:t>
      </w:r>
      <w:r>
        <w:rPr>
          <w:bCs/>
          <w:b/>
        </w:rPr>
        <w:t xml:space="preserve">):</w:t>
      </w:r>
      <w:r>
        <w:t xml:space="preserve"> </w:t>
      </w:r>
      <w:r>
        <w:t xml:space="preserve">a separate application in its own repository, built from the</w:t>
      </w:r>
      <w:r>
        <w:t xml:space="preserve"> </w:t>
      </w:r>
      <w:r>
        <w:rPr>
          <w:iCs/>
          <w:i/>
        </w:rPr>
        <w:t xml:space="preserve">Infrabyx Operations Hub — Master Build Prompt</w:t>
      </w:r>
      <w:r>
        <w:t xml:space="preserve">. It runs the group’s own operations: operations dashboards; CRM with a Brevo adapter; client onboarding, implementation and data migration; customer success and after-sales; support desk; marketing, brand, social media and PR; the revenue catalogue, plans and Razorpay billing; the group professional and advocate directory; Infrabyx staff HRMS and payroll; internal controls and anti-fraud; Microsoft 365 and Google Workspace integration; and the engineering-operations console and certification control library. It is never Finbyx’s super-admin console (workspace O). Finbyx keeps the tenant-facing plan and billing pages, entitlement enforcement, data export, the LawDocsComply risk feed and its own engineering practice, and connects to the Hub only through the Integration Specification. Phase 16e needs Hub phase O6.</w:t>
      </w:r>
    </w:p>
    <w:p>
      <w:pPr>
        <w:numPr>
          <w:ilvl w:val="0"/>
          <w:numId w:val="1001"/>
        </w:numPr>
        <w:pStyle w:val="Compact"/>
      </w:pPr>
      <w:r>
        <w:rPr>
          <w:bCs/>
          <w:b/>
        </w:rPr>
        <w:t xml:space="preserve">Menus, screens and settings (v1.5):</w:t>
      </w:r>
      <w:r>
        <w:t xml:space="preserve"> </w:t>
      </w:r>
      <w:r>
        <w:t xml:space="preserve">every module in Parts 7B–7L has a</w:t>
      </w:r>
      <w:r>
        <w:t xml:space="preserve"> </w:t>
      </w:r>
      <w:r>
        <w:rPr>
          <w:rStyle w:val="VerbatimChar"/>
        </w:rPr>
        <w:t xml:space="preserve">Menu and screens</w:t>
      </w:r>
      <w:r>
        <w:t xml:space="preserve"> </w:t>
      </w:r>
      <w:r>
        <w:t xml:space="preserve">and a</w:t>
      </w:r>
      <w:r>
        <w:t xml:space="preserve"> </w:t>
      </w:r>
      <w:r>
        <w:rPr>
          <w:rStyle w:val="VerbatimChar"/>
        </w:rPr>
        <w:t xml:space="preserve">Settings and options</w:t>
      </w:r>
      <w:r>
        <w:t xml:space="preserve"> </w:t>
      </w:r>
      <w:r>
        <w:t xml:space="preserve">subsection;</w:t>
      </w:r>
      <w:r>
        <w:t xml:space="preserve"> </w:t>
      </w:r>
      <w:r>
        <w:rPr>
          <w:bCs/>
          <w:b/>
        </w:rPr>
        <w:t xml:space="preserve">Appendix G</w:t>
      </w:r>
      <w:r>
        <w:t xml:space="preserve"> </w:t>
      </w:r>
      <w:r>
        <w:t xml:space="preserve">consolidates them into one navigation and settings map by workspace, separating regulatory floors (enforced server-side, never relaxable) from commercial choices. Use it to review what each user group will see before a phase is approved.</w:t>
      </w:r>
    </w:p>
    <w:p>
      <w:r>
        <w:pict>
          <v:rect style="width:0;height:1.5pt" o:hralign="center" o:hrstd="t" o:hr="t"/>
        </w:pict>
      </w:r>
    </w:p>
    <w:bookmarkEnd w:id="20"/>
    <w:bookmarkEnd w:id="21"/>
    <w:bookmarkStart w:id="22" w:name="part-1-role-and-working-agreement"/>
    <w:p>
      <w:pPr>
        <w:pStyle w:val="Heading1"/>
      </w:pPr>
      <w:r>
        <w:t xml:space="preserve">PART 1 — ROLE AND WORKING AGREEMENT</w:t>
      </w:r>
    </w:p>
    <w:p>
      <w:pPr>
        <w:pStyle w:val="FirstParagraph"/>
      </w:pPr>
      <w:r>
        <w:t xml:space="preserve">Act as the Lead Software Architect, Senior Full-Stack Engineer, Core-Banking/Lending Domain Architect, Financial Accounting Systems Architect, Database Architect, Security Engineer, QA Lead and Technical Product Partner for the development of</w:t>
      </w:r>
      <w:r>
        <w:t xml:space="preserve"> </w:t>
      </w:r>
      <w:r>
        <w:rPr>
          <w:bCs/>
          <w:b/>
        </w:rPr>
        <w:t xml:space="preserve">Finbyx</w:t>
      </w:r>
      <w:r>
        <w:t xml:space="preserve">.</w:t>
      </w:r>
    </w:p>
    <w:p>
      <w:pPr>
        <w:pStyle w:val="BodyText"/>
      </w:pPr>
      <w:r>
        <w:t xml:space="preserve">I am the project owner and product manager. I will set business objectives, approve product decisions and give instructions module by module. You will turn those instructions into architecture, specifications, code, tests and implementation documentation.</w:t>
      </w:r>
    </w:p>
    <w:p>
      <w:pPr>
        <w:pStyle w:val="BodyText"/>
      </w:pPr>
      <w:r>
        <w:t xml:space="preserve">Do not behave merely as a code generator.</w:t>
      </w:r>
    </w:p>
    <w:p>
      <w:pPr>
        <w:numPr>
          <w:ilvl w:val="0"/>
          <w:numId w:val="1002"/>
        </w:numPr>
        <w:pStyle w:val="Compact"/>
      </w:pPr>
      <w:r>
        <w:t xml:space="preserve">Challenge incorrect assumptions.</w:t>
      </w:r>
    </w:p>
    <w:p>
      <w:pPr>
        <w:numPr>
          <w:ilvl w:val="0"/>
          <w:numId w:val="1002"/>
        </w:numPr>
        <w:pStyle w:val="Compact"/>
      </w:pPr>
      <w:r>
        <w:t xml:space="preserve">Identify regulatory, financial-integrity and security risks.</w:t>
      </w:r>
    </w:p>
    <w:p>
      <w:pPr>
        <w:numPr>
          <w:ilvl w:val="0"/>
          <w:numId w:val="1002"/>
        </w:numPr>
        <w:pStyle w:val="Compact"/>
      </w:pPr>
      <w:r>
        <w:t xml:space="preserve">Recommend better alternatives and explain material trade-offs before implementation.</w:t>
      </w:r>
    </w:p>
    <w:p>
      <w:pPr>
        <w:numPr>
          <w:ilvl w:val="0"/>
          <w:numId w:val="1002"/>
        </w:numPr>
        <w:pStyle w:val="Compact"/>
      </w:pPr>
      <w:r>
        <w:t xml:space="preserve">Do not agree with my proposals automatically. If a requested feature is impractical, insecure, legally questionable, commercially unviable or unnecessarily expensive, say why and propose a better approach.</w:t>
      </w:r>
    </w:p>
    <w:p>
      <w:pPr>
        <w:numPr>
          <w:ilvl w:val="0"/>
          <w:numId w:val="1002"/>
        </w:numPr>
        <w:pStyle w:val="Compact"/>
      </w:pPr>
      <w:r>
        <w:t xml:space="preserve">Ask as many questions as you need, but group them and ask only material ones. Where a sensible default exists, state the default and proceed after approval.</w:t>
      </w:r>
    </w:p>
    <w:p>
      <w:r>
        <w:pict>
          <v:rect style="width:0;height:1.5pt" o:hralign="center" o:hrstd="t" o:hr="t"/>
        </w:pict>
      </w:r>
    </w:p>
    <w:bookmarkEnd w:id="22"/>
    <w:bookmarkStart w:id="23" w:name="X2e3e2e879e3c248208ed1ca5edeb95a142cef50"/>
    <w:p>
      <w:pPr>
        <w:pStyle w:val="Heading1"/>
      </w:pPr>
      <w:r>
        <w:t xml:space="preserve">PART 2 — THE INFRABYX PRODUCT ECOSYSTEM AND FINBYX’S PLACE IN IT</w:t>
      </w:r>
    </w:p>
    <w:p>
      <w:pPr>
        <w:pStyle w:val="FirstParagraph"/>
      </w:pPr>
      <w:r>
        <w:t xml:space="preserve">We are building four related products in the finance-cum-legal domain, supported from v1.5 by a separate internal platform for group operations (the Infrabyx Operations Hub), and the ecosystem is designed to admit further products (last rows of the table). Each product has its own database, deployment and release cycle. They share approved services and data only through well-defined interfaces, never through unrestricted access to each other’s tables.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94"/>
        <w:gridCol w:w="3855"/>
        <w:gridCol w:w="3989"/>
      </w:tblGrid>
      <w:tr>
        <w:trPr>
          <w:tblHeader w:val="true"/>
          <w:tblHeader w:val="true"/>
        </w:trPr>
        <w:tc>
          <w:tcPr>
            <w:tcW w:w="1794" w:type="dxa"/>
            <w:shd w:val="clear" w:color="auto" w:fill="1F3A5F"/>
          </w:tcPr>
          <w:p>
            <w:pPr>
              <w:pStyle w:val="Compact"/>
              <w:spacing w:after="40"/>
              <w:jc w:val="left"/>
            </w:pPr>
            <w:r>
              <w:rPr>
                <w:b/>
                <w:color w:val="FFFFFF"/>
                <w:sz w:val="18"/>
              </w:rPr>
              <w:t xml:space="preserve">Product</w:t>
            </w:r>
          </w:p>
        </w:tc>
        <w:tc>
          <w:tcPr>
            <w:tcW w:w="3855" w:type="dxa"/>
            <w:shd w:val="clear" w:color="auto" w:fill="1F3A5F"/>
          </w:tcPr>
          <w:p>
            <w:pPr>
              <w:pStyle w:val="Compact"/>
              <w:spacing w:after="40"/>
              <w:jc w:val="left"/>
            </w:pPr>
            <w:r>
              <w:rPr>
                <w:b/>
                <w:color w:val="FFFFFF"/>
                <w:sz w:val="18"/>
              </w:rPr>
              <w:t xml:space="preserve">Role</w:t>
            </w:r>
          </w:p>
        </w:tc>
        <w:tc>
          <w:tcPr>
            <w:tcW w:w="3989" w:type="dxa"/>
            <w:shd w:val="clear" w:color="auto" w:fill="1F3A5F"/>
          </w:tcPr>
          <w:p>
            <w:pPr>
              <w:pStyle w:val="Compact"/>
              <w:spacing w:after="40"/>
              <w:jc w:val="left"/>
            </w:pPr>
            <w:r>
              <w:rPr>
                <w:b/>
                <w:color w:val="FFFFFF"/>
                <w:sz w:val="18"/>
              </w:rPr>
              <w:t xml:space="preserve">Relationship with Finbyx</w:t>
            </w:r>
          </w:p>
        </w:tc>
      </w:tr>
      <w:tr>
        <w:tc>
          <w:tcPr>
            <w:tcW w:w="1794" w:type="dxa"/>
          </w:tcPr>
          <w:p>
            <w:pPr>
              <w:pStyle w:val="Compact"/>
              <w:spacing w:after="40"/>
              <w:jc w:val="left"/>
            </w:pPr>
            <w:r>
              <w:rPr>
                <w:bCs/>
                <w:b/>
                <w:sz w:val="18"/>
              </w:rPr>
              <w:t xml:space="preserve">Finbyx</w:t>
            </w:r>
            <w:r>
              <w:rPr>
                <w:sz w:val="18"/>
              </w:rPr>
              <w:t xml:space="preserve"> </w:t>
            </w:r>
            <w:r>
              <w:rPr>
                <w:sz w:val="18"/>
              </w:rPr>
              <w:t xml:space="preserve">(www.finbyx.com) —</w:t>
            </w:r>
            <w:r>
              <w:rPr>
                <w:sz w:val="18"/>
              </w:rPr>
              <w:t xml:space="preserve"> </w:t>
            </w:r>
            <w:r>
              <w:rPr>
                <w:iCs/>
                <w:i/>
                <w:sz w:val="18"/>
              </w:rPr>
              <w:t xml:space="preserve">this build</w:t>
            </w:r>
          </w:p>
        </w:tc>
        <w:tc>
          <w:tcPr>
            <w:tcW w:w="3855" w:type="dxa"/>
          </w:tcPr>
          <w:p>
            <w:pPr>
              <w:pStyle w:val="Compact"/>
              <w:spacing w:after="40"/>
              <w:jc w:val="left"/>
            </w:pPr>
            <w:r>
              <w:rPr>
                <w:sz w:val="18"/>
              </w:rPr>
              <w:t xml:space="preserve">Web-based LOS + LMS + accounting + collections and recovery + risk + regulatory reporting + compliance for NBFCs, HFCs, UCBs, banks and other regulated lenders. Used by the lender’s internal teams.</w:t>
            </w:r>
          </w:p>
        </w:tc>
        <w:tc>
          <w:tcPr>
            <w:tcW w:w="3989" w:type="dxa"/>
          </w:tcPr>
          <w:p>
            <w:pPr>
              <w:pStyle w:val="Compact"/>
              <w:spacing w:after="40"/>
              <w:jc w:val="left"/>
            </w:pPr>
            <w:r>
              <w:rPr>
                <w:sz w:val="18"/>
              </w:rPr>
              <w:t xml:space="preserve">System of record for loans, ledgers and regulatory reporting of each lender tenant.</w:t>
            </w:r>
          </w:p>
        </w:tc>
      </w:tr>
      <w:tr>
        <w:tc>
          <w:tcPr>
            <w:tcW w:w="1794" w:type="dxa"/>
          </w:tcPr>
          <w:p>
            <w:pPr>
              <w:pStyle w:val="Compact"/>
              <w:spacing w:after="40"/>
              <w:jc w:val="left"/>
            </w:pPr>
            <w:r>
              <w:rPr>
                <w:bCs/>
                <w:b/>
                <w:sz w:val="18"/>
              </w:rPr>
              <w:t xml:space="preserve">Udofin</w:t>
            </w:r>
            <w:r>
              <w:rPr>
                <w:sz w:val="18"/>
              </w:rPr>
              <w:t xml:space="preserve"> </w:t>
            </w:r>
            <w:r>
              <w:rPr>
                <w:sz w:val="18"/>
              </w:rPr>
              <w:t xml:space="preserve">(www.udofin.com)</w:t>
            </w:r>
          </w:p>
        </w:tc>
        <w:tc>
          <w:tcPr>
            <w:tcW w:w="3855" w:type="dxa"/>
          </w:tcPr>
          <w:p>
            <w:pPr>
              <w:pStyle w:val="Compact"/>
              <w:spacing w:after="40"/>
              <w:jc w:val="left"/>
            </w:pPr>
            <w:r>
              <w:rPr>
                <w:sz w:val="18"/>
              </w:rPr>
              <w:t xml:space="preserve">Digital lending app and Lending Service Provider (LSP) platform for borrowers. Shows offers from several partner lenders.</w:t>
            </w:r>
          </w:p>
        </w:tc>
        <w:tc>
          <w:tcPr>
            <w:tcW w:w="3989" w:type="dxa"/>
          </w:tcPr>
          <w:p>
            <w:pPr>
              <w:pStyle w:val="Compact"/>
              <w:spacing w:after="40"/>
              <w:jc w:val="left"/>
            </w:pPr>
            <w:r>
              <w:rPr>
                <w:sz w:val="18"/>
              </w:rPr>
              <w:t xml:space="preserve">Sourcing and servicing channel. Connects to Finbyx</w:t>
            </w:r>
            <w:r>
              <w:rPr>
                <w:sz w:val="18"/>
              </w:rPr>
              <w:t xml:space="preserve"> </w:t>
            </w:r>
            <w:r>
              <w:rPr>
                <w:bCs/>
                <w:b/>
                <w:sz w:val="18"/>
              </w:rPr>
              <w:t xml:space="preserve">in the background</w:t>
            </w:r>
            <w:r>
              <w:rPr>
                <w:sz w:val="18"/>
              </w:rPr>
              <w:t xml:space="preserve"> </w:t>
            </w:r>
            <w:r>
              <w:rPr>
                <w:sz w:val="18"/>
              </w:rPr>
              <w:t xml:space="preserve">through a versioned integration contract (Part 5 and the Ecosystem Integration Specification), for every product it offers, not only LAS. Udofin also connects to other lenders’ LMS platforms, so Finbyx must not depend on Udofin and Udofin must not depend on Finbyx.</w:t>
            </w:r>
          </w:p>
        </w:tc>
      </w:tr>
      <w:tr>
        <w:tc>
          <w:tcPr>
            <w:tcW w:w="1794" w:type="dxa"/>
          </w:tcPr>
          <w:p>
            <w:pPr>
              <w:pStyle w:val="Compact"/>
              <w:spacing w:after="40"/>
              <w:jc w:val="left"/>
            </w:pPr>
            <w:r>
              <w:rPr>
                <w:bCs/>
                <w:b/>
                <w:sz w:val="18"/>
              </w:rPr>
              <w:t xml:space="preserve">LawDocsComply</w:t>
            </w:r>
            <w:r>
              <w:rPr>
                <w:sz w:val="18"/>
              </w:rPr>
              <w:t xml:space="preserve"> </w:t>
            </w:r>
            <w:r>
              <w:rPr>
                <w:sz w:val="18"/>
              </w:rPr>
              <w:t xml:space="preserve">(www.lawdocscomply.com)</w:t>
            </w:r>
          </w:p>
        </w:tc>
        <w:tc>
          <w:tcPr>
            <w:tcW w:w="3855" w:type="dxa"/>
          </w:tcPr>
          <w:p>
            <w:pPr>
              <w:pStyle w:val="Compact"/>
              <w:spacing w:after="40"/>
              <w:jc w:val="left"/>
            </w:pPr>
            <w:r>
              <w:rPr>
                <w:sz w:val="18"/>
              </w:rPr>
              <w:t xml:space="preserve">Governance, risk and compliance (GRC) platform for entities regulated by RBI, SEBI and IFSCA.</w:t>
            </w:r>
          </w:p>
        </w:tc>
        <w:tc>
          <w:tcPr>
            <w:tcW w:w="3989" w:type="dxa"/>
          </w:tcPr>
          <w:p>
            <w:pPr>
              <w:pStyle w:val="Compact"/>
              <w:spacing w:after="40"/>
              <w:jc w:val="left"/>
            </w:pPr>
            <w:r>
              <w:rPr>
                <w:sz w:val="18"/>
              </w:rPr>
              <w:t xml:space="preserve">Receives compliance evidence, returns status and control-test results from Finbyx. A tenant may instead use Finbyx’s</w:t>
            </w:r>
            <w:r>
              <w:rPr>
                <w:sz w:val="18"/>
              </w:rPr>
              <w:t xml:space="preserve"> </w:t>
            </w:r>
            <w:r>
              <w:rPr>
                <w:bCs/>
                <w:b/>
                <w:sz w:val="18"/>
              </w:rPr>
              <w:t xml:space="preserve">embedded compliance module</w:t>
            </w:r>
            <w:r>
              <w:rPr>
                <w:sz w:val="18"/>
              </w:rPr>
              <w:t xml:space="preserve">. A group may use one LawDocsComply instance for all its companies. This must be a switch, not a rebuild. The same GRC connector (Part 7, M14) also serves third-party GRC tools (MetricStream, IBM OpenPages, ServiceNow IRM, Archer), with an OSCAL export.</w:t>
            </w:r>
          </w:p>
        </w:tc>
      </w:tr>
      <w:tr>
        <w:tc>
          <w:tcPr>
            <w:tcW w:w="1794" w:type="dxa"/>
          </w:tcPr>
          <w:p>
            <w:pPr>
              <w:pStyle w:val="Compact"/>
              <w:spacing w:after="40"/>
              <w:jc w:val="left"/>
            </w:pPr>
            <w:r>
              <w:rPr>
                <w:bCs/>
                <w:b/>
                <w:sz w:val="18"/>
              </w:rPr>
              <w:t xml:space="preserve">Equator Resolution</w:t>
            </w:r>
            <w:r>
              <w:rPr>
                <w:sz w:val="18"/>
              </w:rPr>
              <w:t xml:space="preserve"> </w:t>
            </w:r>
            <w:r>
              <w:rPr>
                <w:sz w:val="18"/>
              </w:rPr>
              <w:t xml:space="preserve">(www.equator.in)</w:t>
            </w:r>
          </w:p>
        </w:tc>
        <w:tc>
          <w:tcPr>
            <w:tcW w:w="3855" w:type="dxa"/>
          </w:tcPr>
          <w:p>
            <w:pPr>
              <w:pStyle w:val="Compact"/>
              <w:spacing w:after="40"/>
              <w:jc w:val="left"/>
            </w:pPr>
            <w:r>
              <w:rPr>
                <w:sz w:val="18"/>
              </w:rPr>
              <w:t xml:space="preserve">Online dispute resolution (ODR): mediation, conciliation and arbitration.</w:t>
            </w:r>
          </w:p>
        </w:tc>
        <w:tc>
          <w:tcPr>
            <w:tcW w:w="3989" w:type="dxa"/>
          </w:tcPr>
          <w:p>
            <w:pPr>
              <w:pStyle w:val="Compact"/>
              <w:spacing w:after="40"/>
              <w:jc w:val="left"/>
            </w:pPr>
            <w:r>
              <w:rPr>
                <w:sz w:val="18"/>
              </w:rPr>
              <w:t xml:space="preserve">Receives grievances and recovery disputes for negotiation, conciliation, mediation and arbitration through the ADR domain of the Ecosystem Integration Specification. Arbitration only where the loan agreement pre-names Equator (or another independent institution) or the borrower consents in writing after the dispute arises; Equator alone appoints neutrals. Returns settlements, awards and compliance status into the Recovery Suite (Part 7A, R8 and R9). Other ODR providers connect through the same contract.</w:t>
            </w:r>
          </w:p>
        </w:tc>
      </w:tr>
      <w:tr>
        <w:tc>
          <w:tcPr>
            <w:tcW w:w="1794" w:type="dxa"/>
          </w:tcPr>
          <w:p>
            <w:pPr>
              <w:pStyle w:val="Compact"/>
              <w:spacing w:after="40"/>
              <w:jc w:val="left"/>
            </w:pPr>
            <w:r>
              <w:rPr>
                <w:bCs/>
                <w:b/>
                <w:sz w:val="18"/>
              </w:rPr>
              <w:t xml:space="preserve">Recovery Suite</w:t>
            </w:r>
            <w:r>
              <w:rPr>
                <w:sz w:val="18"/>
              </w:rPr>
              <w:t xml:space="preserve"> </w:t>
            </w:r>
            <w:r>
              <w:rPr>
                <w:sz w:val="18"/>
              </w:rPr>
              <w:t xml:space="preserve">(Part 7A; may later be deployed standalone, for example as</w:t>
            </w:r>
            <w:r>
              <w:rPr>
                <w:sz w:val="18"/>
              </w:rPr>
              <w:t xml:space="preserve"> </w:t>
            </w:r>
            <w:r>
              <w:rPr>
                <w:bCs/>
                <w:b/>
                <w:sz w:val="18"/>
              </w:rPr>
              <w:t xml:space="preserve">Udolex</w:t>
            </w:r>
            <w:r>
              <w:rPr>
                <w:sz w:val="18"/>
              </w:rPr>
              <w:t xml:space="preserve">)</w:t>
            </w:r>
          </w:p>
        </w:tc>
        <w:tc>
          <w:tcPr>
            <w:tcW w:w="3855" w:type="dxa"/>
          </w:tcPr>
          <w:p>
            <w:pPr>
              <w:pStyle w:val="Compact"/>
              <w:spacing w:after="40"/>
              <w:jc w:val="left"/>
            </w:pPr>
            <w:r>
              <w:rPr>
                <w:sz w:val="18"/>
              </w:rPr>
              <w:t xml:space="preserve">NPA and debt recovery, litigation and ADR module pack, built as shared</w:t>
            </w:r>
            <w:r>
              <w:rPr>
                <w:sz w:val="18"/>
              </w:rPr>
              <w:t xml:space="preserve"> </w:t>
            </w:r>
            <w:r>
              <w:rPr>
                <w:rStyle w:val="VerbatimChar"/>
                <w:sz w:val="18"/>
              </w:rPr>
              <w:t xml:space="preserve">packages/recovery-*</w:t>
            </w:r>
            <w:r>
              <w:rPr>
                <w:sz w:val="18"/>
              </w:rPr>
              <w:t xml:space="preserve"> </w:t>
            </w:r>
            <w:r>
              <w:rPr>
                <w:sz w:val="18"/>
              </w:rPr>
              <w:t xml:space="preserve">domain packages behind a stable contract.</w:t>
            </w:r>
          </w:p>
        </w:tc>
        <w:tc>
          <w:tcPr>
            <w:tcW w:w="3989" w:type="dxa"/>
          </w:tcPr>
          <w:p>
            <w:pPr>
              <w:pStyle w:val="Compact"/>
              <w:spacing w:after="40"/>
              <w:jc w:val="left"/>
            </w:pPr>
            <w:r>
              <w:rPr>
                <w:sz w:val="18"/>
              </w:rPr>
              <w:t xml:space="preserve">Attached to a Finbyx tenant by licence entitlement and feature flag; detaching makes it read-only with an export pack and never deletes records. Udofin runs only its LSP-scope subset.</w:t>
            </w:r>
          </w:p>
        </w:tc>
      </w:tr>
      <w:tr>
        <w:tc>
          <w:tcPr>
            <w:tcW w:w="1794" w:type="dxa"/>
          </w:tcPr>
          <w:p>
            <w:pPr>
              <w:pStyle w:val="Compact"/>
              <w:spacing w:after="40"/>
              <w:jc w:val="left"/>
            </w:pPr>
            <w:r>
              <w:rPr>
                <w:bCs/>
                <w:b/>
                <w:sz w:val="18"/>
              </w:rPr>
              <w:t xml:space="preserve">Future ecosystem apps</w:t>
            </w:r>
            <w:r>
              <w:rPr>
                <w:sz w:val="18"/>
              </w:rPr>
              <w:t xml:space="preserve"> </w:t>
            </w:r>
            <w:r>
              <w:rPr>
                <w:sz w:val="18"/>
              </w:rPr>
              <w:t xml:space="preserve">(for example a field-investigation app)</w:t>
            </w:r>
          </w:p>
        </w:tc>
        <w:tc>
          <w:tcPr>
            <w:tcW w:w="3855" w:type="dxa"/>
          </w:tcPr>
          <w:p>
            <w:pPr>
              <w:pStyle w:val="Compact"/>
              <w:spacing w:after="40"/>
              <w:jc w:val="left"/>
            </w:pPr>
            <w:r>
              <w:rPr>
                <w:sz w:val="18"/>
              </w:rPr>
              <w:t xml:space="preserve">New Infrabyx or third-party products.</w:t>
            </w:r>
          </w:p>
        </w:tc>
        <w:tc>
          <w:tcPr>
            <w:tcW w:w="3989" w:type="dxa"/>
          </w:tcPr>
          <w:p>
            <w:pPr>
              <w:pStyle w:val="Compact"/>
              <w:spacing w:after="40"/>
              <w:jc w:val="left"/>
            </w:pPr>
            <w:r>
              <w:rPr>
                <w:sz w:val="18"/>
              </w:rPr>
              <w:t xml:space="preserve">Plug in only through the Ecosystem Integration Specification: registered schemas, a module manifest, entitlements and a passing connector certification (Part 7, M21; Part 10.2 principle 35).</w:t>
            </w:r>
          </w:p>
        </w:tc>
      </w:tr>
      <w:tr>
        <w:tc>
          <w:tcPr>
            <w:tcW w:w="1794" w:type="dxa"/>
          </w:tcPr>
          <w:p>
            <w:pPr>
              <w:pStyle w:val="Compact"/>
              <w:spacing w:after="40"/>
              <w:jc w:val="left"/>
            </w:pPr>
            <w:r>
              <w:rPr>
                <w:bCs/>
                <w:b/>
                <w:sz w:val="18"/>
              </w:rPr>
              <w:t xml:space="preserve">Infrabyx Operations Hub</w:t>
            </w:r>
            <w:r>
              <w:rPr>
                <w:sz w:val="18"/>
              </w:rPr>
              <w:t xml:space="preserve"> </w:t>
            </w:r>
            <w:r>
              <w:rPr>
                <w:sz w:val="18"/>
              </w:rPr>
              <w:t xml:space="preserve">(internal; companion prompt, product code</w:t>
            </w:r>
            <w:r>
              <w:rPr>
                <w:sz w:val="18"/>
              </w:rPr>
              <w:t xml:space="preserve"> </w:t>
            </w:r>
            <w:r>
              <w:rPr>
                <w:rStyle w:val="VerbatimChar"/>
                <w:sz w:val="18"/>
              </w:rPr>
              <w:t xml:space="preserve">OH</w:t>
            </w:r>
            <w:r>
              <w:rPr>
                <w:sz w:val="18"/>
              </w:rPr>
              <w:t xml:space="preserve">)</w:t>
            </w:r>
          </w:p>
        </w:tc>
        <w:tc>
          <w:tcPr>
            <w:tcW w:w="3855" w:type="dxa"/>
          </w:tcPr>
          <w:p>
            <w:pPr>
              <w:pStyle w:val="Compact"/>
              <w:spacing w:after="40"/>
              <w:jc w:val="left"/>
            </w:pPr>
            <w:r>
              <w:rPr>
                <w:sz w:val="18"/>
              </w:rPr>
              <w:t xml:space="preserve">The group’s internal operations platform: operations dashboards, CRM, client onboarding and delivery, customer success, support desk, marketing and brand, revenue catalogue and billing (Razorpay), professional and advocate directory, Infrabyx staff HRMS and payroll, internal controls, workplace integration, engineering-operations console and certification control library.</w:t>
            </w:r>
          </w:p>
        </w:tc>
        <w:tc>
          <w:tcPr>
            <w:tcW w:w="3989" w:type="dxa"/>
          </w:tcPr>
          <w:p>
            <w:pPr>
              <w:pStyle w:val="Compact"/>
              <w:spacing w:after="40"/>
              <w:jc w:val="left"/>
            </w:pPr>
            <w:r>
              <w:rPr>
                <w:sz w:val="18"/>
              </w:rPr>
              <w:t xml:space="preserve">Not a tenant-facing product and never Finbyx’s super-admin console. Sends Finbyx plan, entitlement and provisioning events (Part 7K); receives only aggregated usage, release, change, support, export, backup, control-evidence and return-calendar status — never borrower, loan, member, employee or governance records. Supplies the group professional and advocate directory consumed by R11 (OH9) and aggregates Part 7L evidence (OH13–OH14).</w:t>
            </w:r>
          </w:p>
        </w:tc>
      </w:tr>
    </w:tbl>
    <w:p>
      <w:pPr>
        <w:pStyle w:val="BodyText"/>
      </w:pPr>
      <w:r>
        <w:rPr>
          <w:bCs/>
          <w:b/>
        </w:rPr>
        <w:t xml:space="preserve">Group operations boundaries (v1.5).</w:t>
      </w:r>
      <w:r>
        <w:t xml:space="preserve"> </w:t>
      </w:r>
      <w:r>
        <w:t xml:space="preserve">The Operations Hub runs Infrabyx’s own operations; Finbyx remains each lender tenant’s system of record.</w:t>
      </w:r>
    </w:p>
    <w:p>
      <w:pPr>
        <w:numPr>
          <w:ilvl w:val="0"/>
          <w:numId w:val="1003"/>
        </w:numPr>
        <w:pStyle w:val="Compact"/>
      </w:pPr>
      <w:r>
        <w:rPr>
          <w:bCs/>
          <w:b/>
        </w:rPr>
        <w:t xml:space="preserve">Data.</w:t>
      </w:r>
      <w:r>
        <w:t xml:space="preserve"> </w:t>
      </w:r>
      <w:r>
        <w:t xml:space="preserve">Tenant data (borrowers, loans, members, employees, governance records, returns) stays in the tenant. Finbyx sends the Hub only aggregated usage totals and operational status with no borrower, loan or member identifiers (Integration Specification v1.1: ops, billing and portability domains).</w:t>
      </w:r>
    </w:p>
    <w:p>
      <w:pPr>
        <w:numPr>
          <w:ilvl w:val="0"/>
          <w:numId w:val="1003"/>
        </w:numPr>
        <w:pStyle w:val="Compact"/>
      </w:pPr>
      <w:r>
        <w:rPr>
          <w:bCs/>
          <w:b/>
        </w:rPr>
        <w:t xml:space="preserve">People and roles.</w:t>
      </w:r>
      <w:r>
        <w:t xml:space="preserve"> </w:t>
      </w:r>
      <w:r>
        <w:t xml:space="preserve">Shared operations users and cross-group roles are defined once in the Hub (OH1) and are purpose-bound: granted per product and per legal entity, time-limited, and never a standing right to tenant data. Support access to a tenant still uses break-glass with tenant-visible logs (Part 10.6 item 18).</w:t>
      </w:r>
    </w:p>
    <w:p>
      <w:pPr>
        <w:numPr>
          <w:ilvl w:val="0"/>
          <w:numId w:val="1003"/>
        </w:numPr>
        <w:pStyle w:val="Compact"/>
      </w:pPr>
      <w:r>
        <w:rPr>
          <w:bCs/>
          <w:b/>
        </w:rPr>
        <w:t xml:space="preserve">Equator neutrality.</w:t>
      </w:r>
      <w:r>
        <w:t xml:space="preserve"> </w:t>
      </w:r>
      <w:r>
        <w:t xml:space="preserve">Equator’s case content, neutrals and fees never appear in Finbyx, Udofin or Hub dashboards beyond the ADR-domain events a party is entitled to, and no Infrabyx company influences the appointment of a neutral or an outcome (R8.6).</w:t>
      </w:r>
    </w:p>
    <w:p>
      <w:pPr>
        <w:numPr>
          <w:ilvl w:val="0"/>
          <w:numId w:val="1003"/>
        </w:numPr>
        <w:pStyle w:val="Compact"/>
      </w:pPr>
      <w:r>
        <w:rPr>
          <w:bCs/>
          <w:b/>
        </w:rPr>
        <w:t xml:space="preserve">LawDocsComply.</w:t>
      </w:r>
      <w:r>
        <w:t xml:space="preserve"> </w:t>
      </w:r>
      <w:r>
        <w:t xml:space="preserve">Where the tenant chooses a LawDocsComply mode, risk logic and GRC run there; Finbyx feeds it through the GRC connector and the risk-data feed (M14; Part 7E RK2.4).</w:t>
      </w:r>
    </w:p>
    <w:p>
      <w:pPr>
        <w:numPr>
          <w:ilvl w:val="0"/>
          <w:numId w:val="1003"/>
        </w:numPr>
        <w:pStyle w:val="Compact"/>
      </w:pPr>
      <w:r>
        <w:rPr>
          <w:bCs/>
          <w:b/>
        </w:rPr>
        <w:t xml:space="preserve">Group companies as tenants.</w:t>
      </w:r>
      <w:r>
        <w:t xml:space="preserve"> </w:t>
      </w:r>
      <w:r>
        <w:t xml:space="preserve">An Infrabyx group company that uses Finbyx is treated as any other tenant, with the group-outsourcing controls of OUT paras 90–92 (Part 10.6 item 13).</w:t>
      </w:r>
    </w:p>
    <w:p>
      <w:pPr>
        <w:pStyle w:val="FirstParagraph"/>
      </w:pPr>
      <w:r>
        <w:rPr>
          <w:bCs/>
          <w:b/>
        </w:rPr>
        <w:t xml:space="preserve">Core difference between Finbyx and Udofin (keep this in every design decision):</w:t>
      </w:r>
    </w:p>
    <w:p>
      <w:pPr>
        <w:numPr>
          <w:ilvl w:val="0"/>
          <w:numId w:val="1004"/>
        </w:numPr>
        <w:pStyle w:val="Compact"/>
      </w:pPr>
      <w:r>
        <w:rPr>
          <w:bCs/>
          <w:b/>
        </w:rPr>
        <w:t xml:space="preserve">Udofin</w:t>
      </w:r>
      <w:r>
        <w:t xml:space="preserve"> </w:t>
      </w:r>
      <w:r>
        <w:t xml:space="preserve">is borrower-led. The customer fills the application on a mobile phone (Aadhaar OTP, PAN, DigiLocker, bureau soft pull), compares lender offers, eSigns and eStamps in the app.</w:t>
      </w:r>
    </w:p>
    <w:p>
      <w:pPr>
        <w:numPr>
          <w:ilvl w:val="0"/>
          <w:numId w:val="1004"/>
        </w:numPr>
        <w:pStyle w:val="Compact"/>
      </w:pPr>
      <w:r>
        <w:rPr>
          <w:bCs/>
          <w:b/>
        </w:rPr>
        <w:t xml:space="preserve">Finbyx</w:t>
      </w:r>
      <w:r>
        <w:t xml:space="preserve"> </w:t>
      </w:r>
      <w:r>
        <w:t xml:space="preserve">is lender-led and staff-operated:</w:t>
      </w:r>
    </w:p>
    <w:p>
      <w:pPr>
        <w:numPr>
          <w:ilvl w:val="1"/>
          <w:numId w:val="1005"/>
        </w:numPr>
        <w:pStyle w:val="Compact"/>
      </w:pPr>
      <w:r>
        <w:t xml:space="preserve">The borrower walks into a branch and an employee fills the application.</w:t>
      </w:r>
    </w:p>
    <w:p>
      <w:pPr>
        <w:numPr>
          <w:ilvl w:val="1"/>
          <w:numId w:val="1005"/>
        </w:numPr>
        <w:pStyle w:val="Compact"/>
      </w:pPr>
      <w:r>
        <w:t xml:space="preserve">A relationship manager or field officer captures it on the Finbyx field app.</w:t>
      </w:r>
    </w:p>
    <w:p>
      <w:pPr>
        <w:numPr>
          <w:ilvl w:val="1"/>
          <w:numId w:val="1005"/>
        </w:numPr>
        <w:pStyle w:val="Compact"/>
      </w:pPr>
      <w:r>
        <w:t xml:space="preserve">A DSA or connector submits it through the partner portal.</w:t>
      </w:r>
    </w:p>
    <w:p>
      <w:pPr>
        <w:numPr>
          <w:ilvl w:val="1"/>
          <w:numId w:val="1005"/>
        </w:numPr>
        <w:pStyle w:val="Compact"/>
      </w:pPr>
      <w:r>
        <w:t xml:space="preserve">It arrives by API from Udofin, another LSP or a co-lending partner.</w:t>
      </w:r>
    </w:p>
    <w:p>
      <w:pPr>
        <w:numPr>
          <w:ilvl w:val="0"/>
          <w:numId w:val="1004"/>
        </w:numPr>
        <w:pStyle w:val="Compact"/>
      </w:pPr>
      <w:r>
        <w:rPr>
          <w:bCs/>
          <w:b/>
        </w:rPr>
        <w:t xml:space="preserve">Finbyx is where the lender’s regulated decisions are taken and recorded:</w:t>
      </w:r>
      <w:r>
        <w:t xml:space="preserve"> </w:t>
      </w:r>
      <w:r>
        <w:t xml:space="preserve">credit decision, sanction, disbursement, asset classification, provisioning, accounting, credit bureau reporting and recovery. Finbyx must never let an LSP or any external system take those decisions on the lender’s behalf.</w:t>
      </w:r>
    </w:p>
    <w:p>
      <w:pPr>
        <w:pStyle w:val="FirstParagraph"/>
      </w:pPr>
      <w:r>
        <w:t xml:space="preserve">Everything the attached Udofin prompt expected, Finbyx must also provide for the internal team, at equal or better quality:</w:t>
      </w:r>
    </w:p>
    <w:p>
      <w:pPr>
        <w:numPr>
          <w:ilvl w:val="0"/>
          <w:numId w:val="1006"/>
        </w:numPr>
        <w:pStyle w:val="Compact"/>
      </w:pPr>
      <w:r>
        <w:t xml:space="preserve">consent-based KYC;</w:t>
      </w:r>
    </w:p>
    <w:p>
      <w:pPr>
        <w:numPr>
          <w:ilvl w:val="0"/>
          <w:numId w:val="1006"/>
        </w:numPr>
        <w:pStyle w:val="Compact"/>
      </w:pPr>
      <w:r>
        <w:t xml:space="preserve">bureau and Account Aggregator pulls;</w:t>
      </w:r>
    </w:p>
    <w:p>
      <w:pPr>
        <w:numPr>
          <w:ilvl w:val="0"/>
          <w:numId w:val="1006"/>
        </w:numPr>
        <w:pStyle w:val="Compact"/>
      </w:pPr>
      <w:r>
        <w:t xml:space="preserve">offer and KFS transparency;</w:t>
      </w:r>
    </w:p>
    <w:p>
      <w:pPr>
        <w:numPr>
          <w:ilvl w:val="0"/>
          <w:numId w:val="1006"/>
        </w:numPr>
        <w:pStyle w:val="Compact"/>
      </w:pPr>
      <w:r>
        <w:t xml:space="preserve">eSign and eStamp with verifiable evidence;</w:t>
      </w:r>
    </w:p>
    <w:p>
      <w:pPr>
        <w:numPr>
          <w:ilvl w:val="0"/>
          <w:numId w:val="1006"/>
        </w:numPr>
        <w:pStyle w:val="Compact"/>
      </w:pPr>
      <w:r>
        <w:t xml:space="preserve">document management;</w:t>
      </w:r>
    </w:p>
    <w:p>
      <w:pPr>
        <w:numPr>
          <w:ilvl w:val="0"/>
          <w:numId w:val="1006"/>
        </w:numPr>
        <w:pStyle w:val="Compact"/>
      </w:pPr>
      <w:r>
        <w:t xml:space="preserve">CAM generation;</w:t>
      </w:r>
    </w:p>
    <w:p>
      <w:pPr>
        <w:numPr>
          <w:ilvl w:val="0"/>
          <w:numId w:val="1006"/>
        </w:numPr>
        <w:pStyle w:val="Compact"/>
      </w:pPr>
      <w:r>
        <w:t xml:space="preserve">repayment and mandates;</w:t>
      </w:r>
    </w:p>
    <w:p>
      <w:pPr>
        <w:numPr>
          <w:ilvl w:val="0"/>
          <w:numId w:val="1006"/>
        </w:numPr>
        <w:pStyle w:val="Compact"/>
      </w:pPr>
      <w:r>
        <w:t xml:space="preserve">collections;</w:t>
      </w:r>
    </w:p>
    <w:p>
      <w:pPr>
        <w:numPr>
          <w:ilvl w:val="0"/>
          <w:numId w:val="1006"/>
        </w:numPr>
        <w:pStyle w:val="Compact"/>
      </w:pPr>
      <w:r>
        <w:t xml:space="preserve">grievance escalation to Equator;</w:t>
      </w:r>
    </w:p>
    <w:p>
      <w:pPr>
        <w:numPr>
          <w:ilvl w:val="0"/>
          <w:numId w:val="1006"/>
        </w:numPr>
        <w:pStyle w:val="Compact"/>
      </w:pPr>
      <w:r>
        <w:t xml:space="preserve">AI-assisted support;</w:t>
      </w:r>
    </w:p>
    <w:p>
      <w:pPr>
        <w:numPr>
          <w:ilvl w:val="0"/>
          <w:numId w:val="1006"/>
        </w:numPr>
        <w:pStyle w:val="Compact"/>
      </w:pPr>
      <w:r>
        <w:t xml:space="preserve">accounting;</w:t>
      </w:r>
    </w:p>
    <w:p>
      <w:pPr>
        <w:numPr>
          <w:ilvl w:val="0"/>
          <w:numId w:val="1006"/>
        </w:numPr>
        <w:pStyle w:val="Compact"/>
      </w:pPr>
      <w:r>
        <w:t xml:space="preserve">Tally and SAP integration;</w:t>
      </w:r>
    </w:p>
    <w:p>
      <w:pPr>
        <w:numPr>
          <w:ilvl w:val="0"/>
          <w:numId w:val="1006"/>
        </w:numPr>
        <w:pStyle w:val="Compact"/>
      </w:pPr>
      <w:r>
        <w:t xml:space="preserve">feedback;</w:t>
      </w:r>
    </w:p>
    <w:p>
      <w:pPr>
        <w:numPr>
          <w:ilvl w:val="0"/>
          <w:numId w:val="1006"/>
        </w:numPr>
        <w:pStyle w:val="Compact"/>
      </w:pPr>
      <w:r>
        <w:t xml:space="preserve">marketing communication;</w:t>
      </w:r>
    </w:p>
    <w:p>
      <w:pPr>
        <w:numPr>
          <w:ilvl w:val="0"/>
          <w:numId w:val="1006"/>
        </w:numPr>
        <w:pStyle w:val="Compact"/>
      </w:pPr>
      <w:r>
        <w:t xml:space="preserve">full tenant customisation;</w:t>
      </w:r>
    </w:p>
    <w:p>
      <w:pPr>
        <w:numPr>
          <w:ilvl w:val="0"/>
          <w:numId w:val="1006"/>
        </w:numPr>
        <w:pStyle w:val="Compact"/>
      </w:pPr>
      <w:r>
        <w:t xml:space="preserve">a non-cluttered UI.</w:t>
      </w:r>
    </w:p>
    <w:p>
      <w:r>
        <w:pict>
          <v:rect style="width:0;height:1.5pt" o:hralign="center" o:hrstd="t" o:hr="t"/>
        </w:pict>
      </w:r>
    </w:p>
    <w:bookmarkEnd w:id="23"/>
    <w:bookmarkStart w:id="27" w:name="part-3-what-finbyx-must-be"/>
    <w:p>
      <w:pPr>
        <w:pStyle w:val="Heading1"/>
      </w:pPr>
      <w:r>
        <w:t xml:space="preserve">PART 3 — WHAT FINBYX MUST BE</w:t>
      </w:r>
    </w:p>
    <w:bookmarkStart w:id="24" w:name="target-customers-and-deployment-models"/>
    <w:p>
      <w:pPr>
        <w:pStyle w:val="Heading2"/>
      </w:pPr>
      <w:r>
        <w:t xml:space="preserve">3.1 Target customers and deployment models</w:t>
      </w:r>
    </w:p>
    <w:p>
      <w:pPr>
        <w:pStyle w:val="FirstParagraph"/>
      </w:pPr>
      <w:r>
        <w:t xml:space="preserve">Finbyx is sold to several kinds of regulated entity (RE):</w:t>
      </w:r>
    </w:p>
    <w:p>
      <w:pPr>
        <w:numPr>
          <w:ilvl w:val="0"/>
          <w:numId w:val="1007"/>
        </w:numPr>
        <w:pStyle w:val="Compact"/>
      </w:pPr>
      <w:r>
        <w:t xml:space="preserve">NBFCs in the Base, Middle and Upper Layers: ICCs, MFIs, gold-loan companies, vehicle financiers and others;</w:t>
      </w:r>
    </w:p>
    <w:p>
      <w:pPr>
        <w:numPr>
          <w:ilvl w:val="0"/>
          <w:numId w:val="1007"/>
        </w:numPr>
        <w:pStyle w:val="Compact"/>
      </w:pPr>
      <w:r>
        <w:t xml:space="preserve">Housing Finance Companies;</w:t>
      </w:r>
    </w:p>
    <w:p>
      <w:pPr>
        <w:numPr>
          <w:ilvl w:val="0"/>
          <w:numId w:val="1007"/>
        </w:numPr>
        <w:pStyle w:val="Compact"/>
      </w:pPr>
      <w:r>
        <w:t xml:space="preserve">Urban Co-operative Banks;</w:t>
      </w:r>
    </w:p>
    <w:p>
      <w:pPr>
        <w:numPr>
          <w:ilvl w:val="0"/>
          <w:numId w:val="1007"/>
        </w:numPr>
        <w:pStyle w:val="Compact"/>
      </w:pPr>
      <w:r>
        <w:t xml:space="preserve">Small Finance Banks and commercial banks (for specific portfolios);</w:t>
      </w:r>
    </w:p>
    <w:p>
      <w:pPr>
        <w:numPr>
          <w:ilvl w:val="0"/>
          <w:numId w:val="1007"/>
        </w:numPr>
        <w:pStyle w:val="Compact"/>
      </w:pPr>
      <w:r>
        <w:t xml:space="preserve">NBFC-P2P (only if approved later);</w:t>
      </w:r>
    </w:p>
    <w:p>
      <w:pPr>
        <w:numPr>
          <w:ilvl w:val="0"/>
          <w:numId w:val="1007"/>
        </w:numPr>
        <w:pStyle w:val="Compact"/>
      </w:pPr>
      <w:r>
        <w:t xml:space="preserve">captive and corporate lenders;</w:t>
      </w:r>
    </w:p>
    <w:p>
      <w:pPr>
        <w:numPr>
          <w:ilvl w:val="0"/>
          <w:numId w:val="1007"/>
        </w:numPr>
        <w:pStyle w:val="Compact"/>
      </w:pPr>
      <w:r>
        <w:rPr>
          <w:bCs/>
          <w:b/>
        </w:rPr>
        <w:t xml:space="preserve">from v1.5 (institution profiles, Part 7G):</w:t>
      </w:r>
      <w:r>
        <w:t xml:space="preserve"> </w:t>
      </w:r>
      <w:r>
        <w:t xml:space="preserve">credit co-operative societies, State and multi-State (not regulated entities: they may not co-lend with, or sell loans to, NBFCs — TDCR paras 12(4), 97 — and may not take deposits from nominal or non-voting members); co-operative banks (UCBs, StCBs and DCCBs); asset reconstruction companies, and NBFCs in the stressed-asset domain that acquire loans without issuing security receipts (IP5); Core Investment Companies, NBFC-ICCs and other investment companies (Part 7H); AIFs and portfolio managers as investment-book customers, not lenders (IV6); IFSCA Finance Companies and Finance Units on separate USD tenants (IP6); and equity- or debt-listed NBFCs and HFCs (Part 7F GV4).</w:t>
      </w:r>
    </w:p>
    <w:p>
      <w:pPr>
        <w:pStyle w:val="FirstParagraph"/>
      </w:pPr>
      <w:r>
        <w:t xml:space="preserve">Design the platform with these properties:</w:t>
      </w:r>
    </w:p>
    <w:p>
      <w:pPr>
        <w:numPr>
          <w:ilvl w:val="0"/>
          <w:numId w:val="1008"/>
        </w:numPr>
        <w:pStyle w:val="Compact"/>
      </w:pPr>
      <w:r>
        <w:rPr>
          <w:bCs/>
          <w:b/>
        </w:rPr>
        <w:t xml:space="preserve">Multi-tenant SaaS.</w:t>
      </w:r>
      <w:r>
        <w:t xml:space="preserve"> </w:t>
      </w:r>
      <w:r>
        <w:t xml:space="preserve">One lender is one tenant, with strict isolation enforced server-side and at database level.</w:t>
      </w:r>
    </w:p>
    <w:p>
      <w:pPr>
        <w:numPr>
          <w:ilvl w:val="0"/>
          <w:numId w:val="1008"/>
        </w:numPr>
        <w:pStyle w:val="Compact"/>
      </w:pPr>
      <w:r>
        <w:rPr>
          <w:bCs/>
          <w:b/>
        </w:rPr>
        <w:t xml:space="preserve">Group and multi-entity.</w:t>
      </w:r>
      <w:r>
        <w:t xml:space="preserve"> </w:t>
      </w:r>
      <w:r>
        <w:t xml:space="preserve">One group can run several legal entities in one tenant. Books, regulatory reporting and borrower data stay separated per entity, and consolidated MIS is allowed only where permitted.</w:t>
      </w:r>
    </w:p>
    <w:p>
      <w:pPr>
        <w:numPr>
          <w:ilvl w:val="0"/>
          <w:numId w:val="1008"/>
        </w:numPr>
        <w:pStyle w:val="Compact"/>
      </w:pPr>
      <w:r>
        <w:rPr>
          <w:bCs/>
          <w:b/>
        </w:rPr>
        <w:t xml:space="preserve">Dedicated or private deployment</w:t>
      </w:r>
      <w:r>
        <w:t xml:space="preserve"> </w:t>
      </w:r>
      <w:r>
        <w:t xml:space="preserve">for banks and large NBFCs that need their own cloud account or on-premises installation. The same code is deployed with infrastructure-as-code.</w:t>
      </w:r>
    </w:p>
    <w:p>
      <w:pPr>
        <w:numPr>
          <w:ilvl w:val="0"/>
          <w:numId w:val="1008"/>
        </w:numPr>
        <w:pStyle w:val="Compact"/>
      </w:pPr>
      <w:r>
        <w:rPr>
          <w:bCs/>
          <w:b/>
        </w:rPr>
        <w:t xml:space="preserve">Modular licensing.</w:t>
      </w:r>
      <w:r>
        <w:t xml:space="preserve"> </w:t>
      </w:r>
      <w:r>
        <w:t xml:space="preserve">A tenant can switch on any subset of modules:</w:t>
      </w:r>
    </w:p>
    <w:p>
      <w:pPr>
        <w:numPr>
          <w:ilvl w:val="1"/>
          <w:numId w:val="1009"/>
        </w:numPr>
        <w:pStyle w:val="Compact"/>
      </w:pPr>
      <w:r>
        <w:t xml:space="preserve">LOS only (the tenant keeps its existing LMS; Finbyx pushes booked loans to it);</w:t>
      </w:r>
    </w:p>
    <w:p>
      <w:pPr>
        <w:numPr>
          <w:ilvl w:val="1"/>
          <w:numId w:val="1009"/>
        </w:numPr>
        <w:pStyle w:val="Compact"/>
      </w:pPr>
      <w:r>
        <w:t xml:space="preserve">LMS only (migration or boarding of loans from another LOS);</w:t>
      </w:r>
    </w:p>
    <w:p>
      <w:pPr>
        <w:numPr>
          <w:ilvl w:val="1"/>
          <w:numId w:val="1009"/>
        </w:numPr>
        <w:pStyle w:val="Compact"/>
      </w:pPr>
      <w:r>
        <w:t xml:space="preserve">collections and recovery only (the Recovery Suite of Part 7A is an attachable and detachable module pack);</w:t>
      </w:r>
    </w:p>
    <w:p>
      <w:pPr>
        <w:numPr>
          <w:ilvl w:val="1"/>
          <w:numId w:val="1009"/>
        </w:numPr>
        <w:pStyle w:val="Compact"/>
      </w:pPr>
      <w:r>
        <w:t xml:space="preserve">accounting only;</w:t>
      </w:r>
    </w:p>
    <w:p>
      <w:pPr>
        <w:numPr>
          <w:ilvl w:val="1"/>
          <w:numId w:val="1009"/>
        </w:numPr>
        <w:pStyle w:val="Compact"/>
      </w:pPr>
      <w:r>
        <w:t xml:space="preserve">compliance and regulatory reporting only;</w:t>
      </w:r>
    </w:p>
    <w:p>
      <w:pPr>
        <w:numPr>
          <w:ilvl w:val="1"/>
          <w:numId w:val="1009"/>
        </w:numPr>
        <w:pStyle w:val="Compact"/>
      </w:pPr>
      <w:r>
        <w:t xml:space="preserve">the full suite;</w:t>
      </w:r>
    </w:p>
    <w:p>
      <w:pPr>
        <w:numPr>
          <w:ilvl w:val="1"/>
          <w:numId w:val="1009"/>
        </w:numPr>
        <w:pStyle w:val="Compact"/>
      </w:pPr>
      <w:r>
        <w:t xml:space="preserve">from v1.5, any optional module pack — returns and bureaus, accounting and tax, risk and capital, audit, governance, workforce, workplace connectors, institution profiles, investments, data-portability plus, voice — each a SKU with server-side entitlement and feature flag (Part 7K CM1.2). On-demand and exit exports are in every plan (Part 7J DP2, DP5), and no commercial event interrupts a regulated function (CM1.4).</w:t>
      </w:r>
    </w:p>
    <w:p>
      <w:pPr>
        <w:numPr>
          <w:ilvl w:val="0"/>
          <w:numId w:val="1008"/>
        </w:numPr>
        <w:pStyle w:val="Compact"/>
      </w:pPr>
      <w:r>
        <w:rPr>
          <w:bCs/>
          <w:b/>
        </w:rPr>
        <w:t xml:space="preserve">White-label and theming.</w:t>
      </w:r>
      <w:r>
        <w:t xml:space="preserve"> </w:t>
      </w:r>
      <w:r>
        <w:t xml:space="preserve">Logo, colours, typography, document templates, email/SMS templates and the borrower-portal domain are configurable per tenant through design tokens, with no code changes.</w:t>
      </w:r>
    </w:p>
    <w:bookmarkEnd w:id="24"/>
    <w:bookmarkStart w:id="25" w:name="Xc465cadeaa2b51781e6388f5da5ab4d2548b439"/>
    <w:p>
      <w:pPr>
        <w:pStyle w:val="Heading2"/>
      </w:pPr>
      <w:r>
        <w:t xml:space="preserve">3.2 User groups and workspaces (internal teams first)</w:t>
      </w:r>
    </w:p>
    <w:p>
      <w:pPr>
        <w:pStyle w:val="FirstParagraph"/>
      </w:pPr>
      <w:r>
        <w:t xml:space="preserve">Build role-based</w:t>
      </w:r>
      <w:r>
        <w:t xml:space="preserve"> </w:t>
      </w:r>
      <w:r>
        <w:rPr>
          <w:bCs/>
          <w:b/>
        </w:rPr>
        <w:t xml:space="preserve">workspaces</w:t>
      </w:r>
      <w:r>
        <w:t xml:space="preserve">, not one generic menu. Each workspace shows the user’s queues, SLAs, alerts and next actions.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99"/>
        <w:gridCol w:w="1953"/>
        <w:gridCol w:w="2181"/>
        <w:gridCol w:w="4705"/>
      </w:tblGrid>
      <w:tr>
        <w:trPr>
          <w:tblHeader w:val="true"/>
          <w:tblHeader w:val="true"/>
        </w:trPr>
        <w:tc>
          <w:tcPr>
            <w:tcW w:w="799" w:type="dxa"/>
            <w:shd w:val="clear" w:color="auto" w:fill="1F3A5F"/>
          </w:tcPr>
          <w:p>
            <w:pPr>
              <w:pStyle w:val="Compact"/>
              <w:spacing w:after="40"/>
              <w:jc w:val="left"/>
            </w:pPr>
            <w:r>
              <w:rPr>
                <w:b/>
                <w:color w:val="FFFFFF"/>
                <w:sz w:val="18"/>
              </w:rPr>
              <w:t xml:space="preserve">#</w:t>
            </w:r>
          </w:p>
        </w:tc>
        <w:tc>
          <w:tcPr>
            <w:tcW w:w="1953" w:type="dxa"/>
            <w:shd w:val="clear" w:color="auto" w:fill="1F3A5F"/>
          </w:tcPr>
          <w:p>
            <w:pPr>
              <w:pStyle w:val="Compact"/>
              <w:spacing w:after="40"/>
              <w:jc w:val="left"/>
            </w:pPr>
            <w:r>
              <w:rPr>
                <w:b/>
                <w:color w:val="FFFFFF"/>
                <w:sz w:val="18"/>
              </w:rPr>
              <w:t xml:space="preserve">Workspace</w:t>
            </w:r>
          </w:p>
        </w:tc>
        <w:tc>
          <w:tcPr>
            <w:tcW w:w="2181" w:type="dxa"/>
            <w:shd w:val="clear" w:color="auto" w:fill="1F3A5F"/>
          </w:tcPr>
          <w:p>
            <w:pPr>
              <w:pStyle w:val="Compact"/>
              <w:spacing w:after="40"/>
              <w:jc w:val="left"/>
            </w:pPr>
            <w:r>
              <w:rPr>
                <w:b/>
                <w:color w:val="FFFFFF"/>
                <w:sz w:val="18"/>
              </w:rPr>
              <w:t xml:space="preserve">Primary users</w:t>
            </w:r>
          </w:p>
        </w:tc>
        <w:tc>
          <w:tcPr>
            <w:tcW w:w="4705" w:type="dxa"/>
            <w:shd w:val="clear" w:color="auto" w:fill="1F3A5F"/>
          </w:tcPr>
          <w:p>
            <w:pPr>
              <w:pStyle w:val="Compact"/>
              <w:spacing w:after="40"/>
              <w:jc w:val="left"/>
            </w:pPr>
            <w:r>
              <w:rPr>
                <w:b/>
                <w:color w:val="FFFFFF"/>
                <w:sz w:val="18"/>
              </w:rPr>
              <w:t xml:space="preserve">Core jobs</w:t>
            </w:r>
          </w:p>
        </w:tc>
      </w:tr>
      <w:tr>
        <w:tc>
          <w:tcPr>
            <w:tcW w:w="799" w:type="dxa"/>
          </w:tcPr>
          <w:p>
            <w:pPr>
              <w:pStyle w:val="Compact"/>
              <w:spacing w:after="40"/>
              <w:jc w:val="left"/>
            </w:pPr>
            <w:r>
              <w:rPr>
                <w:sz w:val="18"/>
              </w:rPr>
              <w:t xml:space="preserve">A</w:t>
            </w:r>
          </w:p>
        </w:tc>
        <w:tc>
          <w:tcPr>
            <w:tcW w:w="1953" w:type="dxa"/>
          </w:tcPr>
          <w:p>
            <w:pPr>
              <w:pStyle w:val="Compact"/>
              <w:spacing w:after="40"/>
              <w:jc w:val="left"/>
            </w:pPr>
            <w:r>
              <w:rPr>
                <w:sz w:val="18"/>
              </w:rPr>
              <w:t xml:space="preserve">Branch and Sales</w:t>
            </w:r>
          </w:p>
        </w:tc>
        <w:tc>
          <w:tcPr>
            <w:tcW w:w="2181" w:type="dxa"/>
          </w:tcPr>
          <w:p>
            <w:pPr>
              <w:pStyle w:val="Compact"/>
              <w:spacing w:after="40"/>
              <w:jc w:val="left"/>
            </w:pPr>
            <w:r>
              <w:rPr>
                <w:sz w:val="18"/>
              </w:rPr>
              <w:t xml:space="preserve">Branch staff, RMs, sales managers</w:t>
            </w:r>
          </w:p>
        </w:tc>
        <w:tc>
          <w:tcPr>
            <w:tcW w:w="4705" w:type="dxa"/>
          </w:tcPr>
          <w:p>
            <w:pPr>
              <w:pStyle w:val="Compact"/>
              <w:spacing w:after="40"/>
              <w:jc w:val="left"/>
            </w:pPr>
            <w:r>
              <w:rPr>
                <w:sz w:val="18"/>
              </w:rPr>
              <w:t xml:space="preserve">Leads, walk-in applications, KYC capture, document collection, application tracking</w:t>
            </w:r>
          </w:p>
        </w:tc>
      </w:tr>
      <w:tr>
        <w:tc>
          <w:tcPr>
            <w:tcW w:w="799" w:type="dxa"/>
          </w:tcPr>
          <w:p>
            <w:pPr>
              <w:pStyle w:val="Compact"/>
              <w:spacing w:after="40"/>
              <w:jc w:val="left"/>
            </w:pPr>
            <w:r>
              <w:rPr>
                <w:sz w:val="18"/>
              </w:rPr>
              <w:t xml:space="preserve">B</w:t>
            </w:r>
          </w:p>
        </w:tc>
        <w:tc>
          <w:tcPr>
            <w:tcW w:w="1953" w:type="dxa"/>
          </w:tcPr>
          <w:p>
            <w:pPr>
              <w:pStyle w:val="Compact"/>
              <w:spacing w:after="40"/>
              <w:jc w:val="left"/>
            </w:pPr>
            <w:r>
              <w:rPr>
                <w:sz w:val="18"/>
              </w:rPr>
              <w:t xml:space="preserve">DSA / Connector Portal (external, restricted)</w:t>
            </w:r>
          </w:p>
        </w:tc>
        <w:tc>
          <w:tcPr>
            <w:tcW w:w="2181" w:type="dxa"/>
          </w:tcPr>
          <w:p>
            <w:pPr>
              <w:pStyle w:val="Compact"/>
              <w:spacing w:after="40"/>
              <w:jc w:val="left"/>
            </w:pPr>
            <w:r>
              <w:rPr>
                <w:sz w:val="18"/>
              </w:rPr>
              <w:t xml:space="preserve">DSAs, connectors, aggregators</w:t>
            </w:r>
          </w:p>
        </w:tc>
        <w:tc>
          <w:tcPr>
            <w:tcW w:w="4705" w:type="dxa"/>
          </w:tcPr>
          <w:p>
            <w:pPr>
              <w:pStyle w:val="Compact"/>
              <w:spacing w:after="40"/>
              <w:jc w:val="left"/>
            </w:pPr>
            <w:r>
              <w:rPr>
                <w:sz w:val="18"/>
              </w:rPr>
              <w:t xml:space="preserve">Lead and application submission, status, payout statements</w:t>
            </w:r>
          </w:p>
        </w:tc>
      </w:tr>
      <w:tr>
        <w:tc>
          <w:tcPr>
            <w:tcW w:w="799" w:type="dxa"/>
          </w:tcPr>
          <w:p>
            <w:pPr>
              <w:pStyle w:val="Compact"/>
              <w:spacing w:after="40"/>
              <w:jc w:val="left"/>
            </w:pPr>
            <w:r>
              <w:rPr>
                <w:sz w:val="18"/>
              </w:rPr>
              <w:t xml:space="preserve">C</w:t>
            </w:r>
          </w:p>
        </w:tc>
        <w:tc>
          <w:tcPr>
            <w:tcW w:w="1953" w:type="dxa"/>
          </w:tcPr>
          <w:p>
            <w:pPr>
              <w:pStyle w:val="Compact"/>
              <w:spacing w:after="40"/>
              <w:jc w:val="left"/>
            </w:pPr>
            <w:r>
              <w:rPr>
                <w:sz w:val="18"/>
              </w:rPr>
              <w:t xml:space="preserve">Credit and Underwriting</w:t>
            </w:r>
          </w:p>
        </w:tc>
        <w:tc>
          <w:tcPr>
            <w:tcW w:w="2181" w:type="dxa"/>
          </w:tcPr>
          <w:p>
            <w:pPr>
              <w:pStyle w:val="Compact"/>
              <w:spacing w:after="40"/>
              <w:jc w:val="left"/>
            </w:pPr>
            <w:r>
              <w:rPr>
                <w:sz w:val="18"/>
              </w:rPr>
              <w:t xml:space="preserve">Credit analysts, credit managers, the sanctioning-authority hierarchy</w:t>
            </w:r>
          </w:p>
        </w:tc>
        <w:tc>
          <w:tcPr>
            <w:tcW w:w="4705" w:type="dxa"/>
          </w:tcPr>
          <w:p>
            <w:pPr>
              <w:pStyle w:val="Compact"/>
              <w:spacing w:after="40"/>
              <w:jc w:val="left"/>
            </w:pPr>
            <w:r>
              <w:rPr>
                <w:sz w:val="18"/>
              </w:rPr>
              <w:t xml:space="preserve">Bureau and AA analysis, BRE results, deviations, field/technical/legal/RCU verification, CAM, sanction</w:t>
            </w:r>
          </w:p>
        </w:tc>
      </w:tr>
      <w:tr>
        <w:tc>
          <w:tcPr>
            <w:tcW w:w="799" w:type="dxa"/>
          </w:tcPr>
          <w:p>
            <w:pPr>
              <w:pStyle w:val="Compact"/>
              <w:spacing w:after="40"/>
              <w:jc w:val="left"/>
            </w:pPr>
            <w:r>
              <w:rPr>
                <w:sz w:val="18"/>
              </w:rPr>
              <w:t xml:space="preserve">D</w:t>
            </w:r>
          </w:p>
        </w:tc>
        <w:tc>
          <w:tcPr>
            <w:tcW w:w="1953" w:type="dxa"/>
          </w:tcPr>
          <w:p>
            <w:pPr>
              <w:pStyle w:val="Compact"/>
              <w:spacing w:after="40"/>
              <w:jc w:val="left"/>
            </w:pPr>
            <w:r>
              <w:rPr>
                <w:sz w:val="18"/>
              </w:rPr>
              <w:t xml:space="preserve">Operations and Disbursement</w:t>
            </w:r>
          </w:p>
        </w:tc>
        <w:tc>
          <w:tcPr>
            <w:tcW w:w="2181" w:type="dxa"/>
          </w:tcPr>
          <w:p>
            <w:pPr>
              <w:pStyle w:val="Compact"/>
              <w:spacing w:after="40"/>
              <w:jc w:val="left"/>
            </w:pPr>
            <w:r>
              <w:rPr>
                <w:sz w:val="18"/>
              </w:rPr>
              <w:t xml:space="preserve">Central ops, CPU, disbursement team</w:t>
            </w:r>
          </w:p>
        </w:tc>
        <w:tc>
          <w:tcPr>
            <w:tcW w:w="4705" w:type="dxa"/>
          </w:tcPr>
          <w:p>
            <w:pPr>
              <w:pStyle w:val="Compact"/>
              <w:spacing w:after="40"/>
              <w:jc w:val="left"/>
            </w:pPr>
            <w:r>
              <w:rPr>
                <w:sz w:val="18"/>
              </w:rPr>
              <w:t xml:space="preserve">Documentation, eSign/eStamp, OTC/PDD tracking, mandates, disbursement memo, payout</w:t>
            </w:r>
          </w:p>
        </w:tc>
      </w:tr>
      <w:tr>
        <w:tc>
          <w:tcPr>
            <w:tcW w:w="799" w:type="dxa"/>
          </w:tcPr>
          <w:p>
            <w:pPr>
              <w:pStyle w:val="Compact"/>
              <w:spacing w:after="40"/>
              <w:jc w:val="left"/>
            </w:pPr>
            <w:r>
              <w:rPr>
                <w:sz w:val="18"/>
              </w:rPr>
              <w:t xml:space="preserve">E</w:t>
            </w:r>
          </w:p>
        </w:tc>
        <w:tc>
          <w:tcPr>
            <w:tcW w:w="1953" w:type="dxa"/>
          </w:tcPr>
          <w:p>
            <w:pPr>
              <w:pStyle w:val="Compact"/>
              <w:spacing w:after="40"/>
              <w:jc w:val="left"/>
            </w:pPr>
            <w:r>
              <w:rPr>
                <w:sz w:val="18"/>
              </w:rPr>
              <w:t xml:space="preserve">Collateral and Legal-Technical</w:t>
            </w:r>
          </w:p>
        </w:tc>
        <w:tc>
          <w:tcPr>
            <w:tcW w:w="2181" w:type="dxa"/>
          </w:tcPr>
          <w:p>
            <w:pPr>
              <w:pStyle w:val="Compact"/>
              <w:spacing w:after="40"/>
              <w:jc w:val="left"/>
            </w:pPr>
            <w:r>
              <w:rPr>
                <w:sz w:val="18"/>
              </w:rPr>
              <w:t xml:space="preserve">Technical valuers, legal vendors, collateral team</w:t>
            </w:r>
          </w:p>
        </w:tc>
        <w:tc>
          <w:tcPr>
            <w:tcW w:w="4705" w:type="dxa"/>
          </w:tcPr>
          <w:p>
            <w:pPr>
              <w:pStyle w:val="Compact"/>
              <w:spacing w:after="40"/>
              <w:jc w:val="left"/>
            </w:pPr>
            <w:r>
              <w:rPr>
                <w:sz w:val="18"/>
              </w:rPr>
              <w:t xml:space="preserve">Property, vehicle, gold, securities and MF collateral; CERSAI; insurance; release of security</w:t>
            </w:r>
          </w:p>
        </w:tc>
      </w:tr>
      <w:tr>
        <w:tc>
          <w:tcPr>
            <w:tcW w:w="799" w:type="dxa"/>
          </w:tcPr>
          <w:p>
            <w:pPr>
              <w:pStyle w:val="Compact"/>
              <w:spacing w:after="40"/>
              <w:jc w:val="left"/>
            </w:pPr>
            <w:r>
              <w:rPr>
                <w:sz w:val="18"/>
              </w:rPr>
              <w:t xml:space="preserve">F</w:t>
            </w:r>
          </w:p>
        </w:tc>
        <w:tc>
          <w:tcPr>
            <w:tcW w:w="1953" w:type="dxa"/>
          </w:tcPr>
          <w:p>
            <w:pPr>
              <w:pStyle w:val="Compact"/>
              <w:spacing w:after="40"/>
              <w:jc w:val="left"/>
            </w:pPr>
            <w:r>
              <w:rPr>
                <w:sz w:val="18"/>
              </w:rPr>
              <w:t xml:space="preserve">Servicing and Customer Service</w:t>
            </w:r>
          </w:p>
        </w:tc>
        <w:tc>
          <w:tcPr>
            <w:tcW w:w="2181" w:type="dxa"/>
          </w:tcPr>
          <w:p>
            <w:pPr>
              <w:pStyle w:val="Compact"/>
              <w:spacing w:after="40"/>
              <w:jc w:val="left"/>
            </w:pPr>
            <w:r>
              <w:rPr>
                <w:sz w:val="18"/>
              </w:rPr>
              <w:t xml:space="preserve">Servicing desk, contact centre</w:t>
            </w:r>
          </w:p>
        </w:tc>
        <w:tc>
          <w:tcPr>
            <w:tcW w:w="4705" w:type="dxa"/>
          </w:tcPr>
          <w:p>
            <w:pPr>
              <w:pStyle w:val="Compact"/>
              <w:spacing w:after="40"/>
              <w:jc w:val="left"/>
            </w:pPr>
            <w:r>
              <w:rPr>
                <w:sz w:val="18"/>
              </w:rPr>
              <w:t xml:space="preserve">Service requests, statements, prepayment and foreclosure, restructuring requests, NOC, document release, complaints</w:t>
            </w:r>
          </w:p>
        </w:tc>
      </w:tr>
      <w:tr>
        <w:tc>
          <w:tcPr>
            <w:tcW w:w="799" w:type="dxa"/>
          </w:tcPr>
          <w:p>
            <w:pPr>
              <w:pStyle w:val="Compact"/>
              <w:spacing w:after="40"/>
              <w:jc w:val="left"/>
            </w:pPr>
            <w:r>
              <w:rPr>
                <w:sz w:val="18"/>
              </w:rPr>
              <w:t xml:space="preserve">G</w:t>
            </w:r>
          </w:p>
        </w:tc>
        <w:tc>
          <w:tcPr>
            <w:tcW w:w="1953" w:type="dxa"/>
          </w:tcPr>
          <w:p>
            <w:pPr>
              <w:pStyle w:val="Compact"/>
              <w:spacing w:after="40"/>
              <w:jc w:val="left"/>
            </w:pPr>
            <w:r>
              <w:rPr>
                <w:sz w:val="18"/>
              </w:rPr>
              <w:t xml:space="preserve">Collections</w:t>
            </w:r>
          </w:p>
        </w:tc>
        <w:tc>
          <w:tcPr>
            <w:tcW w:w="2181" w:type="dxa"/>
          </w:tcPr>
          <w:p>
            <w:pPr>
              <w:pStyle w:val="Compact"/>
              <w:spacing w:after="40"/>
              <w:jc w:val="left"/>
            </w:pPr>
            <w:r>
              <w:rPr>
                <w:sz w:val="18"/>
              </w:rPr>
              <w:t xml:space="preserve">Telecallers, field collectors, agency managers, collection managers</w:t>
            </w:r>
          </w:p>
        </w:tc>
        <w:tc>
          <w:tcPr>
            <w:tcW w:w="4705" w:type="dxa"/>
          </w:tcPr>
          <w:p>
            <w:pPr>
              <w:pStyle w:val="Compact"/>
              <w:spacing w:after="40"/>
              <w:jc w:val="left"/>
            </w:pPr>
            <w:r>
              <w:rPr>
                <w:sz w:val="18"/>
              </w:rPr>
              <w:t xml:space="preserve">Allocation, contact, PTP, receipts, cash deposit, field visits, agency management</w:t>
            </w:r>
          </w:p>
        </w:tc>
      </w:tr>
      <w:tr>
        <w:tc>
          <w:tcPr>
            <w:tcW w:w="799" w:type="dxa"/>
          </w:tcPr>
          <w:p>
            <w:pPr>
              <w:pStyle w:val="Compact"/>
              <w:spacing w:after="40"/>
              <w:jc w:val="left"/>
            </w:pPr>
            <w:r>
              <w:rPr>
                <w:sz w:val="18"/>
              </w:rPr>
              <w:t xml:space="preserve">H</w:t>
            </w:r>
          </w:p>
        </w:tc>
        <w:tc>
          <w:tcPr>
            <w:tcW w:w="1953" w:type="dxa"/>
          </w:tcPr>
          <w:p>
            <w:pPr>
              <w:pStyle w:val="Compact"/>
              <w:spacing w:after="40"/>
              <w:jc w:val="left"/>
            </w:pPr>
            <w:r>
              <w:rPr>
                <w:sz w:val="18"/>
              </w:rPr>
              <w:t xml:space="preserve">Recovery and Legal</w:t>
            </w:r>
          </w:p>
        </w:tc>
        <w:tc>
          <w:tcPr>
            <w:tcW w:w="2181" w:type="dxa"/>
          </w:tcPr>
          <w:p>
            <w:pPr>
              <w:pStyle w:val="Compact"/>
              <w:spacing w:after="40"/>
              <w:jc w:val="left"/>
            </w:pPr>
            <w:r>
              <w:rPr>
                <w:sz w:val="18"/>
              </w:rPr>
              <w:t xml:space="preserve">Legal team, advocates, recovery managers</w:t>
            </w:r>
          </w:p>
        </w:tc>
        <w:tc>
          <w:tcPr>
            <w:tcW w:w="4705" w:type="dxa"/>
          </w:tcPr>
          <w:p>
            <w:pPr>
              <w:pStyle w:val="Compact"/>
              <w:spacing w:after="40"/>
              <w:jc w:val="left"/>
            </w:pPr>
            <w:r>
              <w:rPr>
                <w:sz w:val="18"/>
              </w:rPr>
              <w:t xml:space="preserve">Recovery cases, notices, Sec 138 / Sec 25 PSS, SARFAESI, civil and DRT where eligible, IBC, settlement and ADR (Equator), Lok Adalat, litigation tracking, repossession, auction, write-off; available when the Recovery Suite (Part 7A) is attached</w:t>
            </w:r>
          </w:p>
        </w:tc>
      </w:tr>
      <w:tr>
        <w:tc>
          <w:tcPr>
            <w:tcW w:w="799" w:type="dxa"/>
          </w:tcPr>
          <w:p>
            <w:pPr>
              <w:pStyle w:val="Compact"/>
              <w:spacing w:after="40"/>
              <w:jc w:val="left"/>
            </w:pPr>
            <w:r>
              <w:rPr>
                <w:sz w:val="18"/>
              </w:rPr>
              <w:t xml:space="preserve">I</w:t>
            </w:r>
          </w:p>
        </w:tc>
        <w:tc>
          <w:tcPr>
            <w:tcW w:w="1953" w:type="dxa"/>
          </w:tcPr>
          <w:p>
            <w:pPr>
              <w:pStyle w:val="Compact"/>
              <w:spacing w:after="40"/>
              <w:jc w:val="left"/>
            </w:pPr>
            <w:r>
              <w:rPr>
                <w:sz w:val="18"/>
              </w:rPr>
              <w:t xml:space="preserve">Finance and Accounts</w:t>
            </w:r>
          </w:p>
        </w:tc>
        <w:tc>
          <w:tcPr>
            <w:tcW w:w="2181" w:type="dxa"/>
          </w:tcPr>
          <w:p>
            <w:pPr>
              <w:pStyle w:val="Compact"/>
              <w:spacing w:after="40"/>
              <w:jc w:val="left"/>
            </w:pPr>
            <w:r>
              <w:rPr>
                <w:sz w:val="18"/>
              </w:rPr>
              <w:t xml:space="preserve">Accounts team, CFO office, treasury</w:t>
            </w:r>
          </w:p>
        </w:tc>
        <w:tc>
          <w:tcPr>
            <w:tcW w:w="4705" w:type="dxa"/>
          </w:tcPr>
          <w:p>
            <w:pPr>
              <w:pStyle w:val="Compact"/>
              <w:spacing w:after="40"/>
              <w:jc w:val="left"/>
            </w:pPr>
            <w:r>
              <w:rPr>
                <w:sz w:val="18"/>
              </w:rPr>
              <w:t xml:space="preserve">GL, sub-ledgers, accruals, EIR, ECL/IRACP, GST/TDS, bank reconciliation, borrowings, month-end close, Tally/SAP sync</w:t>
            </w:r>
          </w:p>
        </w:tc>
      </w:tr>
      <w:tr>
        <w:tc>
          <w:tcPr>
            <w:tcW w:w="799" w:type="dxa"/>
          </w:tcPr>
          <w:p>
            <w:pPr>
              <w:pStyle w:val="Compact"/>
              <w:spacing w:after="40"/>
              <w:jc w:val="left"/>
            </w:pPr>
            <w:r>
              <w:rPr>
                <w:sz w:val="18"/>
              </w:rPr>
              <w:t xml:space="preserve">J</w:t>
            </w:r>
          </w:p>
        </w:tc>
        <w:tc>
          <w:tcPr>
            <w:tcW w:w="1953" w:type="dxa"/>
          </w:tcPr>
          <w:p>
            <w:pPr>
              <w:pStyle w:val="Compact"/>
              <w:spacing w:after="40"/>
              <w:jc w:val="left"/>
            </w:pPr>
            <w:r>
              <w:rPr>
                <w:sz w:val="18"/>
              </w:rPr>
              <w:t xml:space="preserve">Risk</w:t>
            </w:r>
          </w:p>
        </w:tc>
        <w:tc>
          <w:tcPr>
            <w:tcW w:w="2181" w:type="dxa"/>
          </w:tcPr>
          <w:p>
            <w:pPr>
              <w:pStyle w:val="Compact"/>
              <w:spacing w:after="40"/>
              <w:jc w:val="left"/>
            </w:pPr>
            <w:r>
              <w:rPr>
                <w:sz w:val="18"/>
              </w:rPr>
              <w:t xml:space="preserve">CRO office</w:t>
            </w:r>
          </w:p>
        </w:tc>
        <w:tc>
          <w:tcPr>
            <w:tcW w:w="4705" w:type="dxa"/>
          </w:tcPr>
          <w:p>
            <w:pPr>
              <w:pStyle w:val="Compact"/>
              <w:spacing w:after="40"/>
              <w:jc w:val="left"/>
            </w:pPr>
            <w:r>
              <w:rPr>
                <w:sz w:val="18"/>
              </w:rPr>
              <w:t xml:space="preserve">Credit, concentration, liquidity/ALM and operational risk (RCSA, loss events, KRIs, critical operations and impact tolerances, dependency map); EWS; ICAAP inputs; model inventory; third-party register; CRO product vetting (GOV 23); from v1.5 the Part 7E risk function: risk register and LawDocsComply feed, capital adequacy, ALM, LCR and IRS, concentration and related-party limits, ratio library, ICAAP and stress tests, PCA monitor, certified KMP, committee and Board dashboards (RK8)</w:t>
            </w:r>
          </w:p>
        </w:tc>
      </w:tr>
      <w:tr>
        <w:tc>
          <w:tcPr>
            <w:tcW w:w="799" w:type="dxa"/>
          </w:tcPr>
          <w:p>
            <w:pPr>
              <w:pStyle w:val="Compact"/>
              <w:spacing w:after="40"/>
              <w:jc w:val="left"/>
            </w:pPr>
            <w:r>
              <w:rPr>
                <w:sz w:val="18"/>
              </w:rPr>
              <w:t xml:space="preserve">K</w:t>
            </w:r>
          </w:p>
        </w:tc>
        <w:tc>
          <w:tcPr>
            <w:tcW w:w="1953" w:type="dxa"/>
          </w:tcPr>
          <w:p>
            <w:pPr>
              <w:pStyle w:val="Compact"/>
              <w:spacing w:after="40"/>
              <w:jc w:val="left"/>
            </w:pPr>
            <w:r>
              <w:rPr>
                <w:sz w:val="18"/>
              </w:rPr>
              <w:t xml:space="preserve">Compliance and Regulatory Reporting</w:t>
            </w:r>
          </w:p>
        </w:tc>
        <w:tc>
          <w:tcPr>
            <w:tcW w:w="2181" w:type="dxa"/>
          </w:tcPr>
          <w:p>
            <w:pPr>
              <w:pStyle w:val="Compact"/>
              <w:spacing w:after="40"/>
              <w:jc w:val="left"/>
            </w:pPr>
            <w:r>
              <w:rPr>
                <w:sz w:val="18"/>
              </w:rPr>
              <w:t xml:space="preserve">CCO office, Principal Officer (PMLA), Grievance Redressal Officer, Internal Ombudsman</w:t>
            </w:r>
          </w:p>
        </w:tc>
        <w:tc>
          <w:tcPr>
            <w:tcW w:w="4705" w:type="dxa"/>
          </w:tcPr>
          <w:p>
            <w:pPr>
              <w:pStyle w:val="Compact"/>
              <w:spacing w:after="40"/>
              <w:jc w:val="left"/>
            </w:pPr>
            <w:r>
              <w:rPr>
                <w:sz w:val="18"/>
              </w:rPr>
              <w:t xml:space="preserve">Regulatory register, controls testing, returns, CIC reporting, FIU-IND, grievance oversight</w:t>
            </w:r>
          </w:p>
        </w:tc>
      </w:tr>
      <w:tr>
        <w:tc>
          <w:tcPr>
            <w:tcW w:w="799" w:type="dxa"/>
          </w:tcPr>
          <w:p>
            <w:pPr>
              <w:pStyle w:val="Compact"/>
              <w:spacing w:after="40"/>
              <w:jc w:val="left"/>
            </w:pPr>
            <w:r>
              <w:rPr>
                <w:sz w:val="18"/>
              </w:rPr>
              <w:t xml:space="preserve">L</w:t>
            </w:r>
          </w:p>
        </w:tc>
        <w:tc>
          <w:tcPr>
            <w:tcW w:w="1953" w:type="dxa"/>
          </w:tcPr>
          <w:p>
            <w:pPr>
              <w:pStyle w:val="Compact"/>
              <w:spacing w:after="40"/>
              <w:jc w:val="left"/>
            </w:pPr>
            <w:r>
              <w:rPr>
                <w:sz w:val="18"/>
              </w:rPr>
              <w:t xml:space="preserve">Internal Audit and Auditors (read-only)</w:t>
            </w:r>
          </w:p>
        </w:tc>
        <w:tc>
          <w:tcPr>
            <w:tcW w:w="2181" w:type="dxa"/>
          </w:tcPr>
          <w:p>
            <w:pPr>
              <w:pStyle w:val="Compact"/>
              <w:spacing w:after="40"/>
              <w:jc w:val="left"/>
            </w:pPr>
            <w:r>
              <w:rPr>
                <w:sz w:val="18"/>
              </w:rPr>
              <w:t xml:space="preserve">Internal, concurrent and statutory auditors, RBI inspection support</w:t>
            </w:r>
          </w:p>
        </w:tc>
        <w:tc>
          <w:tcPr>
            <w:tcW w:w="4705" w:type="dxa"/>
          </w:tcPr>
          <w:p>
            <w:pPr>
              <w:pStyle w:val="Compact"/>
              <w:spacing w:after="40"/>
              <w:jc w:val="left"/>
            </w:pPr>
            <w:r>
              <w:rPr>
                <w:sz w:val="18"/>
              </w:rPr>
              <w:t xml:space="preserve">Sampling, audit trails, evidence packs for the Auditor’s Report Directions (PBC test, NOF, IRACP/CRAR lineage, DNBS10, exception-report register; Part 8A.15), fraud closure files; RBIA module with tenant-wide read-only access for the HIA and IA staff (IAF paras 32–40; Part 8A.32); statutory-auditor register, Form A/B and branch-coverage report (SA paras 13, 30; Part 8A.33); from v1.5 the Part 7D audit and assurance suite: audit universe and RBIA plans, engagements, workpapers, sampling, findings and ATRs, concurrent, IS and IT audit, VAPT tracking and secretarial audit. Auditors write only to audit records; external auditors and supervisors use workspaces V and W</w:t>
            </w:r>
          </w:p>
        </w:tc>
      </w:tr>
      <w:tr>
        <w:tc>
          <w:tcPr>
            <w:tcW w:w="799" w:type="dxa"/>
          </w:tcPr>
          <w:p>
            <w:pPr>
              <w:pStyle w:val="Compact"/>
              <w:spacing w:after="40"/>
              <w:jc w:val="left"/>
            </w:pPr>
            <w:r>
              <w:rPr>
                <w:sz w:val="18"/>
              </w:rPr>
              <w:t xml:space="preserve">M</w:t>
            </w:r>
          </w:p>
        </w:tc>
        <w:tc>
          <w:tcPr>
            <w:tcW w:w="1953" w:type="dxa"/>
          </w:tcPr>
          <w:p>
            <w:pPr>
              <w:pStyle w:val="Compact"/>
              <w:spacing w:after="40"/>
              <w:jc w:val="left"/>
            </w:pPr>
            <w:r>
              <w:rPr>
                <w:sz w:val="18"/>
              </w:rPr>
              <w:t xml:space="preserve">Management</w:t>
            </w:r>
          </w:p>
        </w:tc>
        <w:tc>
          <w:tcPr>
            <w:tcW w:w="2181" w:type="dxa"/>
          </w:tcPr>
          <w:p>
            <w:pPr>
              <w:pStyle w:val="Compact"/>
              <w:spacing w:after="40"/>
              <w:jc w:val="left"/>
            </w:pPr>
            <w:r>
              <w:rPr>
                <w:sz w:val="18"/>
              </w:rPr>
              <w:t xml:space="preserve">MD/CEO, business heads, Board committee packs</w:t>
            </w:r>
          </w:p>
        </w:tc>
        <w:tc>
          <w:tcPr>
            <w:tcW w:w="4705" w:type="dxa"/>
          </w:tcPr>
          <w:p>
            <w:pPr>
              <w:pStyle w:val="Compact"/>
              <w:spacing w:after="40"/>
              <w:jc w:val="left"/>
            </w:pPr>
            <w:r>
              <w:rPr>
                <w:sz w:val="18"/>
              </w:rPr>
              <w:t xml:space="preserve">Portfolio, profitability, risk and compliance dashboards</w:t>
            </w:r>
          </w:p>
        </w:tc>
      </w:tr>
      <w:tr>
        <w:tc>
          <w:tcPr>
            <w:tcW w:w="799" w:type="dxa"/>
          </w:tcPr>
          <w:p>
            <w:pPr>
              <w:pStyle w:val="Compact"/>
              <w:spacing w:after="40"/>
              <w:jc w:val="left"/>
            </w:pPr>
            <w:r>
              <w:rPr>
                <w:sz w:val="18"/>
              </w:rPr>
              <w:t xml:space="preserve">N</w:t>
            </w:r>
          </w:p>
        </w:tc>
        <w:tc>
          <w:tcPr>
            <w:tcW w:w="1953" w:type="dxa"/>
          </w:tcPr>
          <w:p>
            <w:pPr>
              <w:pStyle w:val="Compact"/>
              <w:spacing w:after="40"/>
              <w:jc w:val="left"/>
            </w:pPr>
            <w:r>
              <w:rPr>
                <w:sz w:val="18"/>
              </w:rPr>
              <w:t xml:space="preserve">Tenant Administration</w:t>
            </w:r>
          </w:p>
        </w:tc>
        <w:tc>
          <w:tcPr>
            <w:tcW w:w="2181" w:type="dxa"/>
          </w:tcPr>
          <w:p>
            <w:pPr>
              <w:pStyle w:val="Compact"/>
              <w:spacing w:after="40"/>
              <w:jc w:val="left"/>
            </w:pPr>
            <w:r>
              <w:rPr>
                <w:sz w:val="18"/>
              </w:rPr>
              <w:t xml:space="preserve">Lender IT/admin</w:t>
            </w:r>
          </w:p>
        </w:tc>
        <w:tc>
          <w:tcPr>
            <w:tcW w:w="4705" w:type="dxa"/>
          </w:tcPr>
          <w:p>
            <w:pPr>
              <w:pStyle w:val="Compact"/>
              <w:spacing w:after="40"/>
              <w:jc w:val="left"/>
            </w:pPr>
            <w:r>
              <w:rPr>
                <w:sz w:val="18"/>
              </w:rPr>
              <w:t xml:space="preserve">Users, roles, branches, products, workflows, templates, integrations, feature flags; plans, billing, membership and usage pages (Part 7K CM2); exports and customer-controlled storage targets (Part 7J)</w:t>
            </w:r>
          </w:p>
        </w:tc>
      </w:tr>
      <w:tr>
        <w:tc>
          <w:tcPr>
            <w:tcW w:w="799" w:type="dxa"/>
          </w:tcPr>
          <w:p>
            <w:pPr>
              <w:pStyle w:val="Compact"/>
              <w:spacing w:after="40"/>
              <w:jc w:val="left"/>
            </w:pPr>
            <w:r>
              <w:rPr>
                <w:sz w:val="18"/>
              </w:rPr>
              <w:t xml:space="preserve">O</w:t>
            </w:r>
          </w:p>
        </w:tc>
        <w:tc>
          <w:tcPr>
            <w:tcW w:w="1953" w:type="dxa"/>
          </w:tcPr>
          <w:p>
            <w:pPr>
              <w:pStyle w:val="Compact"/>
              <w:spacing w:after="40"/>
              <w:jc w:val="left"/>
            </w:pPr>
            <w:r>
              <w:rPr>
                <w:sz w:val="18"/>
              </w:rPr>
              <w:t xml:space="preserve">Platform Administration (Infrabyx only)</w:t>
            </w:r>
          </w:p>
        </w:tc>
        <w:tc>
          <w:tcPr>
            <w:tcW w:w="2181" w:type="dxa"/>
          </w:tcPr>
          <w:p>
            <w:pPr>
              <w:pStyle w:val="Compact"/>
              <w:spacing w:after="40"/>
              <w:jc w:val="left"/>
            </w:pPr>
            <w:r>
              <w:rPr>
                <w:sz w:val="18"/>
              </w:rPr>
              <w:t xml:space="preserve">Our support and SRE</w:t>
            </w:r>
          </w:p>
        </w:tc>
        <w:tc>
          <w:tcPr>
            <w:tcW w:w="4705" w:type="dxa"/>
          </w:tcPr>
          <w:p>
            <w:pPr>
              <w:pStyle w:val="Compact"/>
              <w:spacing w:after="40"/>
              <w:jc w:val="left"/>
            </w:pPr>
            <w:r>
              <w:rPr>
                <w:sz w:val="18"/>
              </w:rPr>
              <w:t xml:space="preserve">Tenant provisioning, releases, monitoring, support access under break-glass with audit. Group operations (CRM, onboarding, customer success, billing, staff HRMS, engineering-operations console) run in the separate Infrabyx Operations Hub, never here (Part 2)</w:t>
            </w:r>
          </w:p>
        </w:tc>
      </w:tr>
      <w:tr>
        <w:tc>
          <w:tcPr>
            <w:tcW w:w="799" w:type="dxa"/>
          </w:tcPr>
          <w:p>
            <w:pPr>
              <w:pStyle w:val="Compact"/>
              <w:spacing w:after="40"/>
              <w:jc w:val="left"/>
            </w:pPr>
            <w:r>
              <w:rPr>
                <w:sz w:val="18"/>
              </w:rPr>
              <w:t xml:space="preserve">P</w:t>
            </w:r>
          </w:p>
        </w:tc>
        <w:tc>
          <w:tcPr>
            <w:tcW w:w="1953" w:type="dxa"/>
          </w:tcPr>
          <w:p>
            <w:pPr>
              <w:pStyle w:val="Compact"/>
              <w:spacing w:after="40"/>
              <w:jc w:val="left"/>
            </w:pPr>
            <w:r>
              <w:rPr>
                <w:sz w:val="18"/>
              </w:rPr>
              <w:t xml:space="preserve">Field App (mobile/PWA)</w:t>
            </w:r>
          </w:p>
        </w:tc>
        <w:tc>
          <w:tcPr>
            <w:tcW w:w="2181" w:type="dxa"/>
          </w:tcPr>
          <w:p>
            <w:pPr>
              <w:pStyle w:val="Compact"/>
              <w:spacing w:after="40"/>
              <w:jc w:val="left"/>
            </w:pPr>
            <w:r>
              <w:rPr>
                <w:sz w:val="18"/>
              </w:rPr>
              <w:t xml:space="preserve">Field officers, collectors, verifiers</w:t>
            </w:r>
          </w:p>
        </w:tc>
        <w:tc>
          <w:tcPr>
            <w:tcW w:w="4705" w:type="dxa"/>
          </w:tcPr>
          <w:p>
            <w:pPr>
              <w:pStyle w:val="Compact"/>
              <w:spacing w:after="40"/>
              <w:jc w:val="left"/>
            </w:pPr>
            <w:r>
              <w:rPr>
                <w:sz w:val="18"/>
              </w:rPr>
              <w:t xml:space="preserve">Assisted onboarding, document capture, field investigation, collections with geo-tagging, offline mode</w:t>
            </w:r>
          </w:p>
        </w:tc>
      </w:tr>
      <w:tr>
        <w:tc>
          <w:tcPr>
            <w:tcW w:w="799" w:type="dxa"/>
          </w:tcPr>
          <w:p>
            <w:pPr>
              <w:pStyle w:val="Compact"/>
              <w:spacing w:after="40"/>
              <w:jc w:val="left"/>
            </w:pPr>
            <w:r>
              <w:rPr>
                <w:sz w:val="18"/>
              </w:rPr>
              <w:t xml:space="preserve">Q</w:t>
            </w:r>
          </w:p>
        </w:tc>
        <w:tc>
          <w:tcPr>
            <w:tcW w:w="1953" w:type="dxa"/>
          </w:tcPr>
          <w:p>
            <w:pPr>
              <w:pStyle w:val="Compact"/>
              <w:spacing w:after="40"/>
              <w:jc w:val="left"/>
            </w:pPr>
            <w:r>
              <w:rPr>
                <w:sz w:val="18"/>
              </w:rPr>
              <w:t xml:space="preserve">Borrower Self-Service Portal (optional, for lenders not using Udofin)</w:t>
            </w:r>
          </w:p>
        </w:tc>
        <w:tc>
          <w:tcPr>
            <w:tcW w:w="2181" w:type="dxa"/>
          </w:tcPr>
          <w:p>
            <w:pPr>
              <w:pStyle w:val="Compact"/>
              <w:spacing w:after="40"/>
              <w:jc w:val="left"/>
            </w:pPr>
            <w:r>
              <w:rPr>
                <w:sz w:val="18"/>
              </w:rPr>
              <w:t xml:space="preserve">Borrowers</w:t>
            </w:r>
          </w:p>
        </w:tc>
        <w:tc>
          <w:tcPr>
            <w:tcW w:w="4705" w:type="dxa"/>
          </w:tcPr>
          <w:p>
            <w:pPr>
              <w:pStyle w:val="Compact"/>
              <w:spacing w:after="40"/>
              <w:jc w:val="left"/>
            </w:pPr>
            <w:r>
              <w:rPr>
                <w:sz w:val="18"/>
              </w:rPr>
              <w:t xml:space="preserve">Loan details, statements, payments, certificates, service requests, complaints, consent and privacy settings</w:t>
            </w:r>
          </w:p>
        </w:tc>
      </w:tr>
      <w:tr>
        <w:tc>
          <w:tcPr>
            <w:tcW w:w="799" w:type="dxa"/>
          </w:tcPr>
          <w:p>
            <w:pPr>
              <w:pStyle w:val="Compact"/>
              <w:spacing w:after="40"/>
              <w:jc w:val="left"/>
            </w:pPr>
            <w:r>
              <w:rPr>
                <w:sz w:val="18"/>
              </w:rPr>
              <w:t xml:space="preserve">R</w:t>
            </w:r>
          </w:p>
        </w:tc>
        <w:tc>
          <w:tcPr>
            <w:tcW w:w="1953" w:type="dxa"/>
          </w:tcPr>
          <w:p>
            <w:pPr>
              <w:pStyle w:val="Compact"/>
              <w:spacing w:after="40"/>
              <w:jc w:val="left"/>
            </w:pPr>
            <w:r>
              <w:rPr>
                <w:sz w:val="18"/>
              </w:rPr>
              <w:t xml:space="preserve">Partner Portals</w:t>
            </w:r>
          </w:p>
        </w:tc>
        <w:tc>
          <w:tcPr>
            <w:tcW w:w="2181" w:type="dxa"/>
          </w:tcPr>
          <w:p>
            <w:pPr>
              <w:pStyle w:val="Compact"/>
              <w:spacing w:after="40"/>
              <w:jc w:val="left"/>
            </w:pPr>
            <w:r>
              <w:rPr>
                <w:sz w:val="18"/>
              </w:rPr>
              <w:t xml:space="preserve">Co-lending partners, DA/securitisation investors, LSPs</w:t>
            </w:r>
          </w:p>
        </w:tc>
        <w:tc>
          <w:tcPr>
            <w:tcW w:w="4705" w:type="dxa"/>
          </w:tcPr>
          <w:p>
            <w:pPr>
              <w:pStyle w:val="Compact"/>
              <w:spacing w:after="40"/>
              <w:jc w:val="left"/>
            </w:pPr>
            <w:r>
              <w:rPr>
                <w:sz w:val="18"/>
              </w:rPr>
              <w:t xml:space="preserve">Pool data, escrow, servicer reports, reconciliations</w:t>
            </w:r>
          </w:p>
        </w:tc>
      </w:tr>
      <w:tr>
        <w:tc>
          <w:tcPr>
            <w:tcW w:w="799" w:type="dxa"/>
          </w:tcPr>
          <w:p>
            <w:pPr>
              <w:pStyle w:val="Compact"/>
              <w:spacing w:after="40"/>
              <w:jc w:val="left"/>
            </w:pPr>
            <w:r>
              <w:rPr>
                <w:sz w:val="18"/>
              </w:rPr>
              <w:t xml:space="preserve">S</w:t>
            </w:r>
          </w:p>
        </w:tc>
        <w:tc>
          <w:tcPr>
            <w:tcW w:w="1953" w:type="dxa"/>
          </w:tcPr>
          <w:p>
            <w:pPr>
              <w:pStyle w:val="Compact"/>
              <w:spacing w:after="40"/>
              <w:jc w:val="left"/>
            </w:pPr>
            <w:r>
              <w:rPr>
                <w:sz w:val="18"/>
              </w:rPr>
              <w:t xml:space="preserve">Company Secretarial and Governance</w:t>
            </w:r>
          </w:p>
        </w:tc>
        <w:tc>
          <w:tcPr>
            <w:tcW w:w="2181" w:type="dxa"/>
          </w:tcPr>
          <w:p>
            <w:pPr>
              <w:pStyle w:val="Compact"/>
              <w:spacing w:after="40"/>
              <w:jc w:val="left"/>
            </w:pPr>
            <w:r>
              <w:rPr>
                <w:sz w:val="18"/>
              </w:rPr>
              <w:t xml:space="preserve">Company Secretary, compliance officer, directors and committee members (board portal)</w:t>
            </w:r>
          </w:p>
        </w:tc>
        <w:tc>
          <w:tcPr>
            <w:tcW w:w="4705" w:type="dxa"/>
          </w:tcPr>
          <w:p>
            <w:pPr>
              <w:pStyle w:val="Compact"/>
              <w:spacing w:after="40"/>
              <w:jc w:val="left"/>
            </w:pPr>
            <w:r>
              <w:rPr>
                <w:sz w:val="18"/>
              </w:rPr>
              <w:t xml:space="preserve">Director and KMP masters, committees, Board and general meetings (SS-1, SS-2), statutory registers, MCA filings, LODR and PIT for listed tenants, delegation of authority and tasks (Part 7F GV1–GV5); secretarial audit support (Part 7D AU6)</w:t>
            </w:r>
          </w:p>
        </w:tc>
      </w:tr>
      <w:tr>
        <w:tc>
          <w:tcPr>
            <w:tcW w:w="799" w:type="dxa"/>
          </w:tcPr>
          <w:p>
            <w:pPr>
              <w:pStyle w:val="Compact"/>
              <w:spacing w:after="40"/>
              <w:jc w:val="left"/>
            </w:pPr>
            <w:r>
              <w:rPr>
                <w:sz w:val="18"/>
              </w:rPr>
              <w:t xml:space="preserve">T</w:t>
            </w:r>
          </w:p>
        </w:tc>
        <w:tc>
          <w:tcPr>
            <w:tcW w:w="1953" w:type="dxa"/>
          </w:tcPr>
          <w:p>
            <w:pPr>
              <w:pStyle w:val="Compact"/>
              <w:spacing w:after="40"/>
              <w:jc w:val="left"/>
            </w:pPr>
            <w:r>
              <w:rPr>
                <w:sz w:val="18"/>
              </w:rPr>
              <w:t xml:space="preserve">HR and Payroll (optional</w:t>
            </w:r>
            <w:r>
              <w:rPr>
                <w:sz w:val="18"/>
              </w:rPr>
              <w:t xml:space="preserve"> </w:t>
            </w:r>
            <w:r>
              <w:rPr>
                <w:rStyle w:val="VerbatimChar"/>
                <w:sz w:val="18"/>
              </w:rPr>
              <w:t xml:space="preserve">Workforce</w:t>
            </w:r>
            <w:r>
              <w:rPr>
                <w:sz w:val="18"/>
              </w:rPr>
              <w:t xml:space="preserve"> </w:t>
            </w:r>
            <w:r>
              <w:rPr>
                <w:sz w:val="18"/>
              </w:rPr>
              <w:t xml:space="preserve">SKU)</w:t>
            </w:r>
          </w:p>
        </w:tc>
        <w:tc>
          <w:tcPr>
            <w:tcW w:w="2181" w:type="dxa"/>
          </w:tcPr>
          <w:p>
            <w:pPr>
              <w:pStyle w:val="Compact"/>
              <w:spacing w:after="40"/>
              <w:jc w:val="left"/>
            </w:pPr>
            <w:r>
              <w:rPr>
                <w:sz w:val="18"/>
              </w:rPr>
              <w:t xml:space="preserve">Tenant HR and payroll team, line managers, employees (self-service)</w:t>
            </w:r>
          </w:p>
        </w:tc>
        <w:tc>
          <w:tcPr>
            <w:tcW w:w="4705" w:type="dxa"/>
          </w:tcPr>
          <w:p>
            <w:pPr>
              <w:pStyle w:val="Compact"/>
              <w:spacing w:after="40"/>
              <w:jc w:val="left"/>
            </w:pPr>
            <w:r>
              <w:rPr>
                <w:sz w:val="18"/>
              </w:rPr>
              <w:t xml:space="preserve">Employee lifecycle, attendance and transparent WFH records, leave, payroll under the Labour Codes, statutory deductions and TDS on salary, POSH, payroll-fraud analytics (Part 7F GV6); identity and mailboxes through the workplace suite (GV7)</w:t>
            </w:r>
          </w:p>
        </w:tc>
      </w:tr>
      <w:tr>
        <w:tc>
          <w:tcPr>
            <w:tcW w:w="799" w:type="dxa"/>
          </w:tcPr>
          <w:p>
            <w:pPr>
              <w:pStyle w:val="Compact"/>
              <w:spacing w:after="40"/>
              <w:jc w:val="left"/>
            </w:pPr>
            <w:r>
              <w:rPr>
                <w:sz w:val="18"/>
              </w:rPr>
              <w:t xml:space="preserve">U</w:t>
            </w:r>
          </w:p>
        </w:tc>
        <w:tc>
          <w:tcPr>
            <w:tcW w:w="1953" w:type="dxa"/>
          </w:tcPr>
          <w:p>
            <w:pPr>
              <w:pStyle w:val="Compact"/>
              <w:spacing w:after="40"/>
              <w:jc w:val="left"/>
            </w:pPr>
            <w:r>
              <w:rPr>
                <w:sz w:val="18"/>
              </w:rPr>
              <w:t xml:space="preserve">Treasury and Investments</w:t>
            </w:r>
          </w:p>
        </w:tc>
        <w:tc>
          <w:tcPr>
            <w:tcW w:w="2181" w:type="dxa"/>
          </w:tcPr>
          <w:p>
            <w:pPr>
              <w:pStyle w:val="Compact"/>
              <w:spacing w:after="40"/>
              <w:jc w:val="left"/>
            </w:pPr>
            <w:r>
              <w:rPr>
                <w:sz w:val="18"/>
              </w:rPr>
              <w:t xml:space="preserve">Treasury desk, investment committee, CIC and investment-company staff, fund operations</w:t>
            </w:r>
          </w:p>
        </w:tc>
        <w:tc>
          <w:tcPr>
            <w:tcW w:w="4705" w:type="dxa"/>
          </w:tcPr>
          <w:p>
            <w:pPr>
              <w:pStyle w:val="Compact"/>
              <w:spacing w:after="40"/>
              <w:jc w:val="left"/>
            </w:pPr>
            <w:r>
              <w:rPr>
                <w:sz w:val="18"/>
              </w:rPr>
              <w:t xml:space="preserve">Instrument and issuer masters, licensed market data, order tickets with human approval (Finbyx never executes or advises), settlement and demat reconciliation, IPO participation, AIF, REIT, InvIT and SR holdings, valuation, limits, securitisation servicing (Part 7H)</w:t>
            </w:r>
          </w:p>
        </w:tc>
      </w:tr>
      <w:tr>
        <w:tc>
          <w:tcPr>
            <w:tcW w:w="799" w:type="dxa"/>
          </w:tcPr>
          <w:p>
            <w:pPr>
              <w:pStyle w:val="Compact"/>
              <w:spacing w:after="40"/>
              <w:jc w:val="left"/>
            </w:pPr>
            <w:r>
              <w:rPr>
                <w:sz w:val="18"/>
              </w:rPr>
              <w:t xml:space="preserve">V</w:t>
            </w:r>
          </w:p>
        </w:tc>
        <w:tc>
          <w:tcPr>
            <w:tcW w:w="1953" w:type="dxa"/>
          </w:tcPr>
          <w:p>
            <w:pPr>
              <w:pStyle w:val="Compact"/>
              <w:spacing w:after="40"/>
              <w:jc w:val="left"/>
            </w:pPr>
            <w:r>
              <w:rPr>
                <w:sz w:val="18"/>
              </w:rPr>
              <w:t xml:space="preserve">External Auditor Workspace (read-only, time-bound)</w:t>
            </w:r>
          </w:p>
        </w:tc>
        <w:tc>
          <w:tcPr>
            <w:tcW w:w="2181" w:type="dxa"/>
          </w:tcPr>
          <w:p>
            <w:pPr>
              <w:pStyle w:val="Compact"/>
              <w:spacing w:after="40"/>
              <w:jc w:val="left"/>
            </w:pPr>
            <w:r>
              <w:rPr>
                <w:sz w:val="18"/>
              </w:rPr>
              <w:t xml:space="preserve">Statutory, tax, IS, concurrent and secretarial auditors engaged by the tenant</w:t>
            </w:r>
          </w:p>
        </w:tc>
        <w:tc>
          <w:tcPr>
            <w:tcW w:w="4705" w:type="dxa"/>
          </w:tcPr>
          <w:p>
            <w:pPr>
              <w:pStyle w:val="Compact"/>
              <w:spacing w:after="40"/>
              <w:jc w:val="left"/>
            </w:pPr>
            <w:r>
              <w:rPr>
                <w:sz w:val="18"/>
              </w:rPr>
              <w:t xml:space="preserve">Scoped, time-boxed read access granted by the tenant with maker-checker, PBC lists, evidence requests, sampling extracts and audit-trail queries, watermarking and access logs (Part 7D AU7)</w:t>
            </w:r>
          </w:p>
        </w:tc>
      </w:tr>
      <w:tr>
        <w:tc>
          <w:tcPr>
            <w:tcW w:w="799" w:type="dxa"/>
          </w:tcPr>
          <w:p>
            <w:pPr>
              <w:pStyle w:val="Compact"/>
              <w:spacing w:after="40"/>
              <w:jc w:val="left"/>
            </w:pPr>
            <w:r>
              <w:rPr>
                <w:sz w:val="18"/>
              </w:rPr>
              <w:t xml:space="preserve">W</w:t>
            </w:r>
          </w:p>
        </w:tc>
        <w:tc>
          <w:tcPr>
            <w:tcW w:w="1953" w:type="dxa"/>
          </w:tcPr>
          <w:p>
            <w:pPr>
              <w:pStyle w:val="Compact"/>
              <w:spacing w:after="40"/>
              <w:jc w:val="left"/>
            </w:pPr>
            <w:r>
              <w:rPr>
                <w:sz w:val="18"/>
              </w:rPr>
              <w:t xml:space="preserve">Supervisor Workspace (read-only, time-bound)</w:t>
            </w:r>
          </w:p>
        </w:tc>
        <w:tc>
          <w:tcPr>
            <w:tcW w:w="2181" w:type="dxa"/>
          </w:tcPr>
          <w:p>
            <w:pPr>
              <w:pStyle w:val="Compact"/>
              <w:spacing w:after="40"/>
              <w:jc w:val="left"/>
            </w:pPr>
            <w:r>
              <w:rPr>
                <w:sz w:val="18"/>
              </w:rPr>
              <w:t xml:space="preserve">RBI, NHB, NABARD, IFSCA or Registrar inspection teams, on the tenant’s grant</w:t>
            </w:r>
          </w:p>
        </w:tc>
        <w:tc>
          <w:tcPr>
            <w:tcW w:w="4705" w:type="dxa"/>
          </w:tcPr>
          <w:p>
            <w:pPr>
              <w:pStyle w:val="Compact"/>
              <w:spacing w:after="40"/>
              <w:jc w:val="left"/>
            </w:pPr>
            <w:r>
              <w:rPr>
                <w:sz w:val="18"/>
              </w:rPr>
              <w:t xml:space="preserve">Read-only MIS, returns with lineage, audit trails, evidence packs and a supervisory-request register; no data pull and no shared credentials (CYB paras 46, 57; Part 7D AU7)</w:t>
            </w:r>
          </w:p>
        </w:tc>
      </w:tr>
    </w:tbl>
    <w:p>
      <w:pPr>
        <w:pStyle w:val="BodyText"/>
      </w:pPr>
      <w:r>
        <w:t xml:space="preserve">Do not duplicate every feature across the workspaces. The field app carries only what field work needs.</w:t>
      </w:r>
    </w:p>
    <w:bookmarkEnd w:id="25"/>
    <w:bookmarkStart w:id="26" w:name="customisation-philosophy"/>
    <w:p>
      <w:pPr>
        <w:pStyle w:val="Heading2"/>
      </w:pPr>
      <w:r>
        <w:t xml:space="preserve">3.3 Customisation philosophy</w:t>
      </w:r>
    </w:p>
    <w:p>
      <w:pPr>
        <w:pStyle w:val="FirstParagraph"/>
      </w:pPr>
      <w:r>
        <w:t xml:space="preserve">Provide customisation for every product, workflow, document, integration, report and screen, through a governed model: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270"/>
        <w:gridCol w:w="2469"/>
        <w:gridCol w:w="3899"/>
      </w:tblGrid>
      <w:tr>
        <w:trPr>
          <w:tblHeader w:val="true"/>
          <w:tblHeader w:val="true"/>
        </w:trPr>
        <w:tc>
          <w:tcPr>
            <w:tcW w:w="3270" w:type="dxa"/>
            <w:shd w:val="clear" w:color="auto" w:fill="1F3A5F"/>
          </w:tcPr>
          <w:p>
            <w:pPr>
              <w:pStyle w:val="Compact"/>
              <w:spacing w:after="40"/>
              <w:jc w:val="left"/>
            </w:pPr>
            <w:r>
              <w:rPr>
                <w:b/>
                <w:color w:val="FFFFFF"/>
                <w:sz w:val="18"/>
              </w:rPr>
              <w:t xml:space="preserve">Layer</w:t>
            </w:r>
          </w:p>
        </w:tc>
        <w:tc>
          <w:tcPr>
            <w:tcW w:w="2469" w:type="dxa"/>
            <w:shd w:val="clear" w:color="auto" w:fill="1F3A5F"/>
          </w:tcPr>
          <w:p>
            <w:pPr>
              <w:pStyle w:val="Compact"/>
              <w:spacing w:after="40"/>
              <w:jc w:val="left"/>
            </w:pPr>
            <w:r>
              <w:rPr>
                <w:b/>
                <w:color w:val="FFFFFF"/>
                <w:sz w:val="18"/>
              </w:rPr>
              <w:t xml:space="preserve">Who can change it</w:t>
            </w:r>
          </w:p>
        </w:tc>
        <w:tc>
          <w:tcPr>
            <w:tcW w:w="3899" w:type="dxa"/>
            <w:shd w:val="clear" w:color="auto" w:fill="1F3A5F"/>
          </w:tcPr>
          <w:p>
            <w:pPr>
              <w:pStyle w:val="Compact"/>
              <w:spacing w:after="40"/>
              <w:jc w:val="left"/>
            </w:pPr>
            <w:r>
              <w:rPr>
                <w:b/>
                <w:color w:val="FFFFFF"/>
                <w:sz w:val="18"/>
              </w:rPr>
              <w:t xml:space="preserve">Examples</w:t>
            </w:r>
          </w:p>
        </w:tc>
      </w:tr>
      <w:tr>
        <w:tc>
          <w:tcPr>
            <w:tcW w:w="3270" w:type="dxa"/>
          </w:tcPr>
          <w:p>
            <w:pPr>
              <w:pStyle w:val="Compact"/>
              <w:spacing w:after="40"/>
              <w:jc w:val="left"/>
            </w:pPr>
            <w:r>
              <w:rPr>
                <w:bCs/>
                <w:b/>
                <w:sz w:val="18"/>
              </w:rPr>
              <w:t xml:space="preserve">Standard core</w:t>
            </w:r>
            <w:r>
              <w:rPr>
                <w:sz w:val="18"/>
              </w:rPr>
              <w:t xml:space="preserve"> </w:t>
            </w:r>
            <w:r>
              <w:rPr>
                <w:sz w:val="18"/>
              </w:rPr>
              <w:t xml:space="preserve">(code, platform-controlled)</w:t>
            </w:r>
          </w:p>
        </w:tc>
        <w:tc>
          <w:tcPr>
            <w:tcW w:w="2469" w:type="dxa"/>
          </w:tcPr>
          <w:p>
            <w:pPr>
              <w:pStyle w:val="Compact"/>
              <w:spacing w:after="40"/>
              <w:jc w:val="left"/>
            </w:pPr>
            <w:r>
              <w:rPr>
                <w:sz w:val="18"/>
              </w:rPr>
              <w:t xml:space="preserve">Infrabyx, by release</w:t>
            </w:r>
          </w:p>
        </w:tc>
        <w:tc>
          <w:tcPr>
            <w:tcW w:w="3899" w:type="dxa"/>
          </w:tcPr>
          <w:p>
            <w:pPr>
              <w:pStyle w:val="Compact"/>
              <w:spacing w:after="40"/>
              <w:jc w:val="left"/>
            </w:pPr>
            <w:r>
              <w:rPr>
                <w:sz w:val="18"/>
              </w:rPr>
              <w:t xml:space="preserve">Ledger engine, schedule engine, IRACP logic, audit, security, tenant isolation</w:t>
            </w:r>
          </w:p>
        </w:tc>
      </w:tr>
      <w:tr>
        <w:tc>
          <w:tcPr>
            <w:tcW w:w="3270" w:type="dxa"/>
          </w:tcPr>
          <w:p>
            <w:pPr>
              <w:pStyle w:val="Compact"/>
              <w:spacing w:after="40"/>
              <w:jc w:val="left"/>
            </w:pPr>
            <w:r>
              <w:rPr>
                <w:bCs/>
                <w:b/>
                <w:sz w:val="18"/>
              </w:rPr>
              <w:t xml:space="preserve">Tenant configuration</w:t>
            </w:r>
            <w:r>
              <w:rPr>
                <w:sz w:val="18"/>
              </w:rPr>
              <w:t xml:space="preserve"> </w:t>
            </w:r>
            <w:r>
              <w:rPr>
                <w:sz w:val="18"/>
              </w:rPr>
              <w:t xml:space="preserve">(UI, maker-checker)</w:t>
            </w:r>
          </w:p>
        </w:tc>
        <w:tc>
          <w:tcPr>
            <w:tcW w:w="2469" w:type="dxa"/>
          </w:tcPr>
          <w:p>
            <w:pPr>
              <w:pStyle w:val="Compact"/>
              <w:spacing w:after="40"/>
              <w:jc w:val="left"/>
            </w:pPr>
            <w:r>
              <w:rPr>
                <w:sz w:val="18"/>
              </w:rPr>
              <w:t xml:space="preserve">Tenant admin</w:t>
            </w:r>
          </w:p>
        </w:tc>
        <w:tc>
          <w:tcPr>
            <w:tcW w:w="3899" w:type="dxa"/>
          </w:tcPr>
          <w:p>
            <w:pPr>
              <w:pStyle w:val="Compact"/>
              <w:spacing w:after="40"/>
              <w:jc w:val="left"/>
            </w:pPr>
            <w:r>
              <w:rPr>
                <w:sz w:val="18"/>
              </w:rPr>
              <w:t xml:space="preserve">Products, charges, document checklists, workflows, approval matrices, templates, roles, branding</w:t>
            </w:r>
          </w:p>
        </w:tc>
      </w:tr>
      <w:tr>
        <w:tc>
          <w:tcPr>
            <w:tcW w:w="3270" w:type="dxa"/>
          </w:tcPr>
          <w:p>
            <w:pPr>
              <w:pStyle w:val="Compact"/>
              <w:spacing w:after="40"/>
              <w:jc w:val="left"/>
            </w:pPr>
            <w:r>
              <w:rPr>
                <w:bCs/>
                <w:b/>
                <w:sz w:val="18"/>
              </w:rPr>
              <w:t xml:space="preserve">Regulated configuration</w:t>
            </w:r>
            <w:r>
              <w:rPr>
                <w:sz w:val="18"/>
              </w:rPr>
              <w:t xml:space="preserve"> </w:t>
            </w:r>
            <w:r>
              <w:rPr>
                <w:sz w:val="18"/>
              </w:rPr>
              <w:t xml:space="preserve">(needs compliance sign-off inside the tenant and a platform validation rule)</w:t>
            </w:r>
          </w:p>
        </w:tc>
        <w:tc>
          <w:tcPr>
            <w:tcW w:w="2469" w:type="dxa"/>
          </w:tcPr>
          <w:p>
            <w:pPr>
              <w:pStyle w:val="Compact"/>
              <w:spacing w:after="40"/>
              <w:jc w:val="left"/>
            </w:pPr>
            <w:r>
              <w:rPr>
                <w:sz w:val="18"/>
              </w:rPr>
              <w:t xml:space="preserve">Tenant CCO + admin</w:t>
            </w:r>
          </w:p>
        </w:tc>
        <w:tc>
          <w:tcPr>
            <w:tcW w:w="3899" w:type="dxa"/>
          </w:tcPr>
          <w:p>
            <w:pPr>
              <w:pStyle w:val="Compact"/>
              <w:spacing w:after="40"/>
              <w:jc w:val="left"/>
            </w:pPr>
            <w:r>
              <w:rPr>
                <w:sz w:val="18"/>
              </w:rPr>
              <w:t xml:space="preserve">KFS wording, penal-charge policy, prepayment-charge rules, cooling-off period, recovery contact policy, provisioning rates above the RBI floor</w:t>
            </w:r>
          </w:p>
        </w:tc>
      </w:tr>
      <w:tr>
        <w:tc>
          <w:tcPr>
            <w:tcW w:w="3270" w:type="dxa"/>
          </w:tcPr>
          <w:p>
            <w:pPr>
              <w:pStyle w:val="Compact"/>
              <w:spacing w:after="40"/>
              <w:jc w:val="left"/>
            </w:pPr>
            <w:r>
              <w:rPr>
                <w:bCs/>
                <w:b/>
                <w:sz w:val="18"/>
              </w:rPr>
              <w:t xml:space="preserve">Controlled extensions</w:t>
            </w:r>
          </w:p>
        </w:tc>
        <w:tc>
          <w:tcPr>
            <w:tcW w:w="2469" w:type="dxa"/>
          </w:tcPr>
          <w:p>
            <w:pPr>
              <w:pStyle w:val="Compact"/>
              <w:spacing w:after="40"/>
              <w:jc w:val="left"/>
            </w:pPr>
            <w:r>
              <w:rPr>
                <w:sz w:val="18"/>
              </w:rPr>
              <w:t xml:space="preserve">Infrabyx, or a tenant developer through the extension SDK</w:t>
            </w:r>
          </w:p>
        </w:tc>
        <w:tc>
          <w:tcPr>
            <w:tcW w:w="3899" w:type="dxa"/>
          </w:tcPr>
          <w:p>
            <w:pPr>
              <w:pStyle w:val="Compact"/>
              <w:spacing w:after="40"/>
              <w:jc w:val="left"/>
            </w:pPr>
            <w:r>
              <w:rPr>
                <w:sz w:val="18"/>
              </w:rPr>
              <w:t xml:space="preserve">Custom fields (datatables), custom rules, webhooks, custom reports, plug-in adapters</w:t>
            </w:r>
          </w:p>
        </w:tc>
      </w:tr>
      <w:tr>
        <w:tc>
          <w:tcPr>
            <w:tcW w:w="3270" w:type="dxa"/>
          </w:tcPr>
          <w:p>
            <w:pPr>
              <w:pStyle w:val="Compact"/>
              <w:spacing w:after="40"/>
              <w:jc w:val="left"/>
            </w:pPr>
            <w:r>
              <w:rPr>
                <w:bCs/>
                <w:b/>
                <w:sz w:val="18"/>
              </w:rPr>
              <w:t xml:space="preserve">Feature flags</w:t>
            </w:r>
          </w:p>
        </w:tc>
        <w:tc>
          <w:tcPr>
            <w:tcW w:w="2469" w:type="dxa"/>
          </w:tcPr>
          <w:p>
            <w:pPr>
              <w:pStyle w:val="Compact"/>
              <w:spacing w:after="40"/>
              <w:jc w:val="left"/>
            </w:pPr>
            <w:r>
              <w:rPr>
                <w:sz w:val="18"/>
              </w:rPr>
              <w:t xml:space="preserve">Platform and tenant</w:t>
            </w:r>
          </w:p>
        </w:tc>
        <w:tc>
          <w:tcPr>
            <w:tcW w:w="3899" w:type="dxa"/>
          </w:tcPr>
          <w:p>
            <w:pPr>
              <w:pStyle w:val="Compact"/>
              <w:spacing w:after="40"/>
              <w:jc w:val="left"/>
            </w:pPr>
            <w:r>
              <w:rPr>
                <w:sz w:val="18"/>
              </w:rPr>
              <w:t xml:space="preserve">Module enablement, beta features, per-product toggles</w:t>
            </w:r>
          </w:p>
        </w:tc>
      </w:tr>
    </w:tbl>
    <w:p>
      <w:pPr>
        <w:pStyle w:val="BodyText"/>
      </w:pPr>
      <w:r>
        <w:rPr>
          <w:bCs/>
          <w:b/>
        </w:rPr>
        <w:t xml:space="preserve">Tenant configuration can never override a regulatory safeguard.</w:t>
      </w:r>
      <w:r>
        <w:t xml:space="preserve"> </w:t>
      </w:r>
      <w:r>
        <w:t xml:space="preserve">Examples:</w:t>
      </w:r>
    </w:p>
    <w:p>
      <w:pPr>
        <w:numPr>
          <w:ilvl w:val="0"/>
          <w:numId w:val="1010"/>
        </w:numPr>
        <w:pStyle w:val="Compact"/>
      </w:pPr>
      <w:r>
        <w:t xml:space="preserve">a tenant cannot set NPA at more than 90 DPD (IRACP paras 44, 51, 56); the NBFC-MFI microfinance portfolio follows the MFI Directions (RBI/DOR/2025-26/371; NPA when overdue for more than 90 days, MFI para 24) and HFCs follow the HFC Directions [VERIFY: HFC text not supplied];</w:t>
      </w:r>
    </w:p>
    <w:p>
      <w:pPr>
        <w:numPr>
          <w:ilvl w:val="0"/>
          <w:numId w:val="1010"/>
        </w:numPr>
        <w:pStyle w:val="Compact"/>
      </w:pPr>
      <w:r>
        <w:t xml:space="preserve">a tenant cannot capitalise penal charges;</w:t>
      </w:r>
    </w:p>
    <w:p>
      <w:pPr>
        <w:numPr>
          <w:ilvl w:val="0"/>
          <w:numId w:val="1010"/>
        </w:numPr>
        <w:pStyle w:val="Compact"/>
      </w:pPr>
      <w:r>
        <w:t xml:space="preserve">a tenant cannot charge prepayment fees on barred loans;</w:t>
      </w:r>
    </w:p>
    <w:p>
      <w:pPr>
        <w:numPr>
          <w:ilvl w:val="0"/>
          <w:numId w:val="1010"/>
        </w:numPr>
        <w:pStyle w:val="Compact"/>
      </w:pPr>
      <w:r>
        <w:t xml:space="preserve">a tenant cannot expose another lender’s data.</w:t>
      </w:r>
    </w:p>
    <w:p>
      <w:pPr>
        <w:pStyle w:val="FirstParagraph"/>
      </w:pPr>
      <w:r>
        <w:t xml:space="preserve">Validate every configuration change against platform guard-rails and keep it versioned, effective-dated and auditable.</w:t>
      </w:r>
    </w:p>
    <w:p>
      <w:r>
        <w:pict>
          <v:rect style="width:0;height:1.5pt" o:hralign="center" o:hrstd="t" o:hr="t"/>
        </w:pict>
      </w:r>
    </w:p>
    <w:bookmarkEnd w:id="26"/>
    <w:bookmarkEnd w:id="27"/>
    <w:bookmarkStart w:id="31" w:name="X9ec3cdffc257872c8506cac10bf6f42d181bf6f"/>
    <w:p>
      <w:pPr>
        <w:pStyle w:val="Heading1"/>
      </w:pPr>
      <w:r>
        <w:t xml:space="preserve">PART 4 — APACHE FINERACT: WHAT TO ADOPT, HOW, AND WHAT TO IMPROVE</w:t>
      </w:r>
    </w:p>
    <w:p>
      <w:pPr>
        <w:pStyle w:val="FirstParagraph"/>
      </w:pPr>
      <w:r>
        <w:t xml:space="preserve">Apache Fineract is the most mature open-source core-lending engine. I want its proven loan and accounting logic inside Finbyx. Research findings (verify against the source during Phase 0):</w:t>
      </w:r>
    </w:p>
    <w:p>
      <w:pPr>
        <w:numPr>
          <w:ilvl w:val="0"/>
          <w:numId w:val="1011"/>
        </w:numPr>
        <w:pStyle w:val="Compact"/>
      </w:pPr>
      <w:r>
        <w:rPr>
          <w:bCs/>
          <w:b/>
        </w:rPr>
        <w:t xml:space="preserve">Current stable release:</w:t>
      </w:r>
      <w:r>
        <w:t xml:space="preserve"> </w:t>
      </w:r>
      <w:r>
        <w:t xml:space="preserve">1.15.0, released 14 July 2026, on Java 21 and Spring Boot 3.5.x. The develop branch has already moved to Java 25 and Spring Boot 4.</w:t>
      </w:r>
    </w:p>
    <w:p>
      <w:pPr>
        <w:numPr>
          <w:ilvl w:val="0"/>
          <w:numId w:val="1011"/>
        </w:numPr>
        <w:pStyle w:val="Compact"/>
      </w:pPr>
      <w:r>
        <w:rPr>
          <w:bCs/>
          <w:b/>
        </w:rPr>
        <w:t xml:space="preserve">Licence:</w:t>
      </w:r>
      <w:r>
        <w:t xml:space="preserve"> </w:t>
      </w:r>
      <w:r>
        <w:t xml:space="preserve">Apache 2.0.</w:t>
      </w:r>
    </w:p>
    <w:p>
      <w:pPr>
        <w:numPr>
          <w:ilvl w:val="0"/>
          <w:numId w:val="1011"/>
        </w:numPr>
        <w:pStyle w:val="Compact"/>
      </w:pPr>
      <w:r>
        <w:rPr>
          <w:bCs/>
          <w:b/>
        </w:rPr>
        <w:t xml:space="preserve">Supported database:</w:t>
      </w:r>
      <w:r>
        <w:t xml:space="preserve"> </w:t>
      </w:r>
      <w:r>
        <w:t xml:space="preserve">PostgreSQL is the officially supported database (1.15.0 expects PostgreSQL 18 and recommends about 16 GB RAM and 8 cores). MySQL/MariaDB is deprecated.</w:t>
      </w:r>
    </w:p>
    <w:p>
      <w:pPr>
        <w:numPr>
          <w:ilvl w:val="0"/>
          <w:numId w:val="1011"/>
        </w:numPr>
        <w:pStyle w:val="Compact"/>
      </w:pPr>
      <w:r>
        <w:rPr>
          <w:bCs/>
          <w:b/>
        </w:rPr>
        <w:t xml:space="preserve">Loan engines:</w:t>
      </w:r>
      <w:r>
        <w:t xml:space="preserve"> </w:t>
      </w:r>
      <w:r>
        <w:t xml:space="preserve">two coexist. The legacy</w:t>
      </w:r>
      <w:r>
        <w:t xml:space="preserve"> </w:t>
      </w:r>
      <w:r>
        <w:rPr>
          <w:bCs/>
          <w:b/>
        </w:rPr>
        <w:t xml:space="preserve">CUMULATIVE</w:t>
      </w:r>
      <w:r>
        <w:t xml:space="preserve"> </w:t>
      </w:r>
      <w:r>
        <w:t xml:space="preserve">engine and the newer</w:t>
      </w:r>
      <w:r>
        <w:t xml:space="preserve"> </w:t>
      </w:r>
      <w:r>
        <w:rPr>
          <w:bCs/>
          <w:b/>
        </w:rPr>
        <w:t xml:space="preserve">PROGRESSIVE</w:t>
      </w:r>
      <w:r>
        <w:t xml:space="preserve"> </w:t>
      </w:r>
      <w:r>
        <w:t xml:space="preserve">engine, which goes with</w:t>
      </w:r>
      <w:r>
        <w:t xml:space="preserve"> </w:t>
      </w:r>
      <w:r>
        <w:rPr>
          <w:rStyle w:val="VerbatimChar"/>
        </w:rPr>
        <w:t xml:space="preserve">advanced-payment-allocation-strategy</w:t>
      </w:r>
      <w:r>
        <w:t xml:space="preserve">.</w:t>
      </w:r>
    </w:p>
    <w:p>
      <w:pPr>
        <w:numPr>
          <w:ilvl w:val="0"/>
          <w:numId w:val="1011"/>
        </w:numPr>
        <w:pStyle w:val="Compact"/>
      </w:pPr>
      <w:r>
        <w:rPr>
          <w:bCs/>
          <w:b/>
        </w:rPr>
        <w:t xml:space="preserve">Not production-ready:</w:t>
      </w:r>
      <w:r>
        <w:t xml:space="preserve"> </w:t>
      </w:r>
      <w:r>
        <w:t xml:space="preserve">Working Capital Loans (FSIP-010) are flagged as not production-ready in 1.15.0 [VERIFY in the release notes].</w:t>
      </w:r>
    </w:p>
    <w:bookmarkStart w:id="28" w:name="X7b0dc5bfaf8b4b38e03a9d0d6d88924de694179"/>
    <w:p>
      <w:pPr>
        <w:pStyle w:val="Heading2"/>
      </w:pPr>
      <w:r>
        <w:t xml:space="preserve">4.1 Adoption decision — produce an ADR in Phase 0</w:t>
      </w:r>
    </w:p>
    <w:p>
      <w:pPr>
        <w:pStyle w:val="FirstParagraph"/>
      </w:pPr>
      <w:r>
        <w:t xml:space="preserve">Evaluate three options and recommend one, with reasons:</w:t>
      </w:r>
    </w:p>
    <w:p>
      <w:pPr>
        <w:numPr>
          <w:ilvl w:val="0"/>
          <w:numId w:val="1012"/>
        </w:numPr>
        <w:pStyle w:val="Compact"/>
      </w:pPr>
      <w:r>
        <w:rPr>
          <w:bCs/>
          <w:b/>
        </w:rPr>
        <w:t xml:space="preserve">Run Fineract as a headless core engine</w:t>
      </w:r>
      <w:r>
        <w:t xml:space="preserve"> </w:t>
      </w:r>
      <w:r>
        <w:t xml:space="preserve">behind Finbyx’s TypeScript services.</w:t>
      </w:r>
    </w:p>
    <w:p>
      <w:pPr>
        <w:numPr>
          <w:ilvl w:val="1"/>
          <w:numId w:val="1013"/>
        </w:numPr>
        <w:pStyle w:val="Compact"/>
      </w:pPr>
      <w:r>
        <w:rPr>
          <w:bCs/>
          <w:b/>
        </w:rPr>
        <w:t xml:space="preserve">Pros:</w:t>
      </w:r>
      <w:r>
        <w:t xml:space="preserve"> </w:t>
      </w:r>
      <w:r>
        <w:t xml:space="preserve">proven logic out of the box.</w:t>
      </w:r>
    </w:p>
    <w:p>
      <w:pPr>
        <w:numPr>
          <w:ilvl w:val="1"/>
          <w:numId w:val="1013"/>
        </w:numPr>
        <w:pStyle w:val="Compact"/>
      </w:pPr>
      <w:r>
        <w:rPr>
          <w:bCs/>
          <w:b/>
        </w:rPr>
        <w:t xml:space="preserve">Cons:</w:t>
      </w:r>
      <w:r>
        <w:t xml:space="preserve"> </w:t>
      </w:r>
      <w:r>
        <w:t xml:space="preserve">a Java runtime to operate; a database-per-tenant model; a synchronous command bottleneck; full chronological replay on every back-dated transaction; MFI-oriented assumptions; no Ind AS 109 EIR or ECL; no Indian GST/TDS treatment; India-specific changes would need forking.</w:t>
      </w:r>
    </w:p>
    <w:p>
      <w:pPr>
        <w:numPr>
          <w:ilvl w:val="0"/>
          <w:numId w:val="1012"/>
        </w:numPr>
        <w:pStyle w:val="Compact"/>
      </w:pPr>
      <w:r>
        <w:rPr>
          <w:bCs/>
          <w:b/>
        </w:rPr>
        <w:t xml:space="preserve">Re-implement Fineract’s behaviour in TypeScript domain modules</w:t>
      </w:r>
      <w:r>
        <w:t xml:space="preserve"> </w:t>
      </w:r>
      <w:r>
        <w:t xml:space="preserve">(my preferred direction, subject to your analysis).</w:t>
      </w:r>
    </w:p>
    <w:p>
      <w:pPr>
        <w:numPr>
          <w:ilvl w:val="1"/>
          <w:numId w:val="1014"/>
        </w:numPr>
        <w:pStyle w:val="Compact"/>
      </w:pPr>
      <w:r>
        <w:t xml:space="preserve">Port the concepts, parameters, state machines, allocation strategies, COB steps and GL mappings.</w:t>
      </w:r>
    </w:p>
    <w:p>
      <w:pPr>
        <w:numPr>
          <w:ilvl w:val="1"/>
          <w:numId w:val="1014"/>
        </w:numPr>
        <w:pStyle w:val="Compact"/>
      </w:pPr>
      <w:r>
        <w:t xml:space="preserve">Improve the architecture and add India-specific logic.</w:t>
      </w:r>
    </w:p>
    <w:p>
      <w:pPr>
        <w:numPr>
          <w:ilvl w:val="0"/>
          <w:numId w:val="1012"/>
        </w:numPr>
        <w:pStyle w:val="Compact"/>
      </w:pPr>
      <w:r>
        <w:rPr>
          <w:bCs/>
          <w:b/>
        </w:rPr>
        <w:t xml:space="preserve">Hybrid.</w:t>
      </w:r>
      <w:r>
        <w:t xml:space="preserve"> </w:t>
      </w:r>
      <w:r>
        <w:t xml:space="preserve">TypeScript platform, plus a Fineract 1.15.0 container used</w:t>
      </w:r>
      <w:r>
        <w:t xml:space="preserve"> </w:t>
      </w:r>
      <w:r>
        <w:rPr>
          <w:bCs/>
          <w:b/>
        </w:rPr>
        <w:t xml:space="preserve">only as a test oracle</w:t>
      </w:r>
      <w:r>
        <w:t xml:space="preserve"> </w:t>
      </w:r>
      <w:r>
        <w:t xml:space="preserve">for differential testing of schedules and allocations.</w:t>
      </w:r>
    </w:p>
    <w:p>
      <w:pPr>
        <w:pStyle w:val="FirstParagraph"/>
      </w:pPr>
      <w:r>
        <w:rPr>
          <w:bCs/>
          <w:b/>
        </w:rPr>
        <w:t xml:space="preserve">Licence rules if you port:</w:t>
      </w:r>
    </w:p>
    <w:p>
      <w:pPr>
        <w:numPr>
          <w:ilvl w:val="0"/>
          <w:numId w:val="1015"/>
        </w:numPr>
        <w:pStyle w:val="Compact"/>
      </w:pPr>
      <w:r>
        <w:t xml:space="preserve">Prefer clean-room re-implementation from Fineract’s documentation and behaviour.</w:t>
      </w:r>
    </w:p>
    <w:p>
      <w:pPr>
        <w:numPr>
          <w:ilvl w:val="0"/>
          <w:numId w:val="1015"/>
        </w:numPr>
        <w:pStyle w:val="Compact"/>
      </w:pPr>
      <w:r>
        <w:t xml:space="preserve">If any source code is translated, comply with Apache 2.0 §4:</w:t>
      </w:r>
    </w:p>
    <w:p>
      <w:pPr>
        <w:numPr>
          <w:ilvl w:val="1"/>
          <w:numId w:val="1016"/>
        </w:numPr>
        <w:pStyle w:val="Compact"/>
      </w:pPr>
      <w:r>
        <w:t xml:space="preserve">include the licence;</w:t>
      </w:r>
    </w:p>
    <w:p>
      <w:pPr>
        <w:numPr>
          <w:ilvl w:val="1"/>
          <w:numId w:val="1016"/>
        </w:numPr>
        <w:pStyle w:val="Compact"/>
      </w:pPr>
      <w:r>
        <w:t xml:space="preserve">keep the attribution notices;</w:t>
      </w:r>
    </w:p>
    <w:p>
      <w:pPr>
        <w:numPr>
          <w:ilvl w:val="1"/>
          <w:numId w:val="1016"/>
        </w:numPr>
        <w:pStyle w:val="Compact"/>
      </w:pPr>
      <w:r>
        <w:t xml:space="preserve">add the NOTICE text;</w:t>
      </w:r>
    </w:p>
    <w:p>
      <w:pPr>
        <w:numPr>
          <w:ilvl w:val="1"/>
          <w:numId w:val="1016"/>
        </w:numPr>
        <w:pStyle w:val="Compact"/>
      </w:pPr>
      <w:r>
        <w:t xml:space="preserve">mark modified files.</w:t>
      </w:r>
    </w:p>
    <w:p>
      <w:pPr>
        <w:numPr>
          <w:ilvl w:val="0"/>
          <w:numId w:val="1015"/>
        </w:numPr>
        <w:pStyle w:val="Compact"/>
      </w:pPr>
      <w:r>
        <w:t xml:space="preserve">Never use</w:t>
      </w:r>
      <w:r>
        <w:t xml:space="preserve"> </w:t>
      </w:r>
      <w:r>
        <w:t xml:space="preserve">“</w:t>
      </w:r>
      <w:r>
        <w:t xml:space="preserve">Fineract</w:t>
      </w:r>
      <w:r>
        <w:t xml:space="preserve">”</w:t>
      </w:r>
      <w:r>
        <w:t xml:space="preserve"> </w:t>
      </w:r>
      <w:r>
        <w:t xml:space="preserve">or</w:t>
      </w:r>
      <w:r>
        <w:t xml:space="preserve"> </w:t>
      </w:r>
      <w:r>
        <w:t xml:space="preserve">“</w:t>
      </w:r>
      <w:r>
        <w:t xml:space="preserve">Mifos</w:t>
      </w:r>
      <w:r>
        <w:t xml:space="preserve">”</w:t>
      </w:r>
      <w:r>
        <w:t xml:space="preserve"> </w:t>
      </w:r>
      <w:r>
        <w:t xml:space="preserve">as a product brand.</w:t>
      </w:r>
    </w:p>
    <w:p>
      <w:pPr>
        <w:numPr>
          <w:ilvl w:val="0"/>
          <w:numId w:val="1015"/>
        </w:numPr>
        <w:pStyle w:val="Compact"/>
      </w:pPr>
      <w:r>
        <w:t xml:space="preserve">Record all of this in</w:t>
      </w:r>
      <w:r>
        <w:t xml:space="preserve"> </w:t>
      </w:r>
      <w:r>
        <w:rPr>
          <w:rStyle w:val="VerbatimChar"/>
        </w:rPr>
        <w:t xml:space="preserve">docs/legal/third-party-notices.md</w:t>
      </w:r>
      <w:r>
        <w:t xml:space="preserve">.</w:t>
      </w:r>
    </w:p>
    <w:p>
      <w:pPr>
        <w:pStyle w:val="FirstParagraph"/>
      </w:pPr>
      <w:r>
        <w:rPr>
          <w:bCs/>
          <w:b/>
        </w:rPr>
        <w:t xml:space="preserve">Mandatory:</w:t>
      </w:r>
      <w:r>
        <w:t xml:space="preserve"> </w:t>
      </w:r>
      <w:r>
        <w:t xml:space="preserve">whichever option is chosen, build a</w:t>
      </w:r>
      <w:r>
        <w:t xml:space="preserve"> </w:t>
      </w:r>
      <w:r>
        <w:rPr>
          <w:bCs/>
          <w:b/>
        </w:rPr>
        <w:t xml:space="preserve">differential test harness</w:t>
      </w:r>
      <w:r>
        <w:t xml:space="preserve">. Generate schedules and allocations for a large matrix of products and scenarios in a Fineract 1.15.0 Docker container, and compare them with Finbyx output to the paisa. Where Finbyx deliberately differs (for example because of an RBI rule), document the difference as an expected deviation.</w:t>
      </w:r>
    </w:p>
    <w:bookmarkEnd w:id="28"/>
    <w:bookmarkStart w:id="29" w:name="Xd2ee6cbd724a5050dfb33d11dbe4af00abe6490"/>
    <w:p>
      <w:pPr>
        <w:pStyle w:val="Heading2"/>
      </w:pPr>
      <w:r>
        <w:t xml:space="preserve">4.2 Fineract concepts that Finbyx must support (use the exact semantics; rename only where Indian terminology is clearer)</w:t>
      </w:r>
    </w:p>
    <w:p>
      <w:pPr>
        <w:pStyle w:val="FirstParagraph"/>
      </w:pPr>
      <w:r>
        <w:rPr>
          <w:bCs/>
          <w:b/>
        </w:rPr>
        <w:t xml:space="preserve">A. Loan product parameters (product factory):</w:t>
      </w:r>
    </w:p>
    <w:p>
      <w:pPr>
        <w:numPr>
          <w:ilvl w:val="0"/>
          <w:numId w:val="1017"/>
        </w:numPr>
        <w:pStyle w:val="Compact"/>
      </w:pPr>
      <w:r>
        <w:rPr>
          <w:bCs/>
          <w:b/>
        </w:rPr>
        <w:t xml:space="preserve">Amortisation:</w:t>
      </w:r>
      <w:r>
        <w:t xml:space="preserve"> </w:t>
      </w:r>
      <w:r>
        <w:rPr>
          <w:rStyle w:val="VerbatimChar"/>
        </w:rPr>
        <w:t xml:space="preserve">EQUAL_INSTALLMENTS</w:t>
      </w:r>
      <w:r>
        <w:t xml:space="preserve"> </w:t>
      </w:r>
      <w:r>
        <w:t xml:space="preserve">(EMI) and</w:t>
      </w:r>
      <w:r>
        <w:t xml:space="preserve"> </w:t>
      </w:r>
      <w:r>
        <w:rPr>
          <w:rStyle w:val="VerbatimChar"/>
        </w:rPr>
        <w:t xml:space="preserve">EQUAL_PRINCIPAL</w:t>
      </w:r>
      <w:r>
        <w:t xml:space="preserve">.</w:t>
      </w:r>
    </w:p>
    <w:p>
      <w:pPr>
        <w:numPr>
          <w:ilvl w:val="0"/>
          <w:numId w:val="1017"/>
        </w:numPr>
        <w:pStyle w:val="Compact"/>
      </w:pPr>
      <w:r>
        <w:rPr>
          <w:bCs/>
          <w:b/>
        </w:rPr>
        <w:t xml:space="preserve">Interest method:</w:t>
      </w:r>
      <w:r>
        <w:t xml:space="preserve"> </w:t>
      </w:r>
      <w:r>
        <w:rPr>
          <w:rStyle w:val="VerbatimChar"/>
        </w:rPr>
        <w:t xml:space="preserve">DECLINING_BALANCE</w:t>
      </w:r>
      <w:r>
        <w:t xml:space="preserve"> </w:t>
      </w:r>
      <w:r>
        <w:t xml:space="preserve">and</w:t>
      </w:r>
      <w:r>
        <w:t xml:space="preserve"> </w:t>
      </w:r>
      <w:r>
        <w:rPr>
          <w:rStyle w:val="VerbatimChar"/>
        </w:rPr>
        <w:t xml:space="preserve">FLAT</w:t>
      </w:r>
      <w:r>
        <w:t xml:space="preserve">.</w:t>
      </w:r>
    </w:p>
    <w:p>
      <w:pPr>
        <w:numPr>
          <w:ilvl w:val="0"/>
          <w:numId w:val="1017"/>
        </w:numPr>
        <w:pStyle w:val="Compact"/>
      </w:pPr>
      <w:r>
        <w:rPr>
          <w:bCs/>
          <w:b/>
        </w:rPr>
        <w:t xml:space="preserve">Interest calculation period:</w:t>
      </w:r>
      <w:r>
        <w:t xml:space="preserve"> </w:t>
      </w:r>
      <w:r>
        <w:rPr>
          <w:rStyle w:val="VerbatimChar"/>
        </w:rPr>
        <w:t xml:space="preserve">DAILY</w:t>
      </w:r>
      <w:r>
        <w:t xml:space="preserve"> </w:t>
      </w:r>
      <w:r>
        <w:t xml:space="preserve">and</w:t>
      </w:r>
      <w:r>
        <w:t xml:space="preserve"> </w:t>
      </w:r>
      <w:r>
        <w:rPr>
          <w:rStyle w:val="VerbatimChar"/>
        </w:rPr>
        <w:t xml:space="preserve">SAME_AS_REPAYMENT_PERIOD</w:t>
      </w:r>
      <w:r>
        <w:t xml:space="preserve">; partial-period interest.</w:t>
      </w:r>
    </w:p>
    <w:p>
      <w:pPr>
        <w:numPr>
          <w:ilvl w:val="0"/>
          <w:numId w:val="1017"/>
        </w:numPr>
        <w:pStyle w:val="Compact"/>
      </w:pPr>
      <w:r>
        <w:rPr>
          <w:bCs/>
          <w:b/>
        </w:rPr>
        <w:t xml:space="preserve">Days in year:</w:t>
      </w:r>
      <w:r>
        <w:t xml:space="preserve"> </w:t>
      </w:r>
      <w:r>
        <w:rPr>
          <w:rStyle w:val="VerbatimChar"/>
        </w:rPr>
        <w:t xml:space="preserve">ACTUAL</w:t>
      </w:r>
      <w:r>
        <w:t xml:space="preserve">,</w:t>
      </w:r>
      <w:r>
        <w:t xml:space="preserve"> </w:t>
      </w:r>
      <w:r>
        <w:rPr>
          <w:rStyle w:val="VerbatimChar"/>
        </w:rPr>
        <w:t xml:space="preserve">360</w:t>
      </w:r>
      <w:r>
        <w:t xml:space="preserve">,</w:t>
      </w:r>
      <w:r>
        <w:t xml:space="preserve"> </w:t>
      </w:r>
      <w:r>
        <w:rPr>
          <w:rStyle w:val="VerbatimChar"/>
        </w:rPr>
        <w:t xml:space="preserve">364</w:t>
      </w:r>
      <w:r>
        <w:t xml:space="preserve">,</w:t>
      </w:r>
      <w:r>
        <w:t xml:space="preserve"> </w:t>
      </w:r>
      <w:r>
        <w:rPr>
          <w:rStyle w:val="VerbatimChar"/>
        </w:rPr>
        <w:t xml:space="preserve">365</w:t>
      </w:r>
      <w:r>
        <w:t xml:space="preserve">, plus a leap-year strategy.</w:t>
      </w:r>
      <w:r>
        <w:t xml:space="preserve"> </w:t>
      </w:r>
      <w:r>
        <w:rPr>
          <w:bCs/>
          <w:b/>
        </w:rPr>
        <w:t xml:space="preserve">Days in month:</w:t>
      </w:r>
      <w:r>
        <w:t xml:space="preserve"> </w:t>
      </w:r>
      <w:r>
        <w:rPr>
          <w:rStyle w:val="VerbatimChar"/>
        </w:rPr>
        <w:t xml:space="preserve">ACTUAL</w:t>
      </w:r>
      <w:r>
        <w:t xml:space="preserve">,</w:t>
      </w:r>
      <w:r>
        <w:t xml:space="preserve"> </w:t>
      </w:r>
      <w:r>
        <w:rPr>
          <w:rStyle w:val="VerbatimChar"/>
        </w:rPr>
        <w:t xml:space="preserve">30</w:t>
      </w:r>
      <w:r>
        <w:t xml:space="preserve">.</w:t>
      </w:r>
    </w:p>
    <w:p>
      <w:pPr>
        <w:numPr>
          <w:ilvl w:val="0"/>
          <w:numId w:val="1017"/>
        </w:numPr>
        <w:pStyle w:val="Compact"/>
      </w:pPr>
      <w:r>
        <w:rPr>
          <w:bCs/>
          <w:b/>
        </w:rPr>
        <w:t xml:space="preserve">Repayment frequency:</w:t>
      </w:r>
      <w:r>
        <w:t xml:space="preserve"> </w:t>
      </w:r>
      <w:r>
        <w:t xml:space="preserve">days, weeks, months, years, whole term (bullet). Repayment start from disbursement or submission date. Minimum days between disbursal and first EMI.</w:t>
      </w:r>
    </w:p>
    <w:p>
      <w:pPr>
        <w:numPr>
          <w:ilvl w:val="0"/>
          <w:numId w:val="1017"/>
        </w:numPr>
        <w:pStyle w:val="Compact"/>
      </w:pPr>
      <w:r>
        <w:rPr>
          <w:bCs/>
          <w:b/>
        </w:rPr>
        <w:t xml:space="preserve">Grace and moratorium:</w:t>
      </w:r>
    </w:p>
    <w:p>
      <w:pPr>
        <w:numPr>
          <w:ilvl w:val="1"/>
          <w:numId w:val="1018"/>
        </w:numPr>
        <w:pStyle w:val="Compact"/>
      </w:pPr>
      <w:r>
        <w:t xml:space="preserve">grace on principal;</w:t>
      </w:r>
    </w:p>
    <w:p>
      <w:pPr>
        <w:numPr>
          <w:ilvl w:val="1"/>
          <w:numId w:val="1018"/>
        </w:numPr>
        <w:pStyle w:val="Compact"/>
      </w:pPr>
      <w:r>
        <w:t xml:space="preserve">grace on interest payment;</w:t>
      </w:r>
    </w:p>
    <w:p>
      <w:pPr>
        <w:numPr>
          <w:ilvl w:val="1"/>
          <w:numId w:val="1018"/>
        </w:numPr>
        <w:pStyle w:val="Compact"/>
      </w:pPr>
      <w:r>
        <w:t xml:space="preserve">grace on interest charged;</w:t>
      </w:r>
    </w:p>
    <w:p>
      <w:pPr>
        <w:numPr>
          <w:ilvl w:val="1"/>
          <w:numId w:val="1018"/>
        </w:numPr>
        <w:pStyle w:val="Compact"/>
      </w:pPr>
      <w:r>
        <w:t xml:space="preserve">recurring moratorium on principal;</w:t>
      </w:r>
    </w:p>
    <w:p>
      <w:pPr>
        <w:numPr>
          <w:ilvl w:val="1"/>
          <w:numId w:val="1018"/>
        </w:numPr>
        <w:pStyle w:val="Compact"/>
      </w:pPr>
      <w:r>
        <w:t xml:space="preserve">grace on arrears ageing (default it to</w:t>
      </w:r>
      <w:r>
        <w:t xml:space="preserve"> </w:t>
      </w:r>
      <w:r>
        <w:rPr>
          <w:bCs/>
          <w:b/>
        </w:rPr>
        <w:t xml:space="preserve">0</w:t>
      </w:r>
      <w:r>
        <w:t xml:space="preserve"> </w:t>
      </w:r>
      <w:r>
        <w:t xml:space="preserve">for Indian NBFCs);</w:t>
      </w:r>
    </w:p>
    <w:p>
      <w:pPr>
        <w:numPr>
          <w:ilvl w:val="1"/>
          <w:numId w:val="1018"/>
        </w:numPr>
        <w:pStyle w:val="Compact"/>
      </w:pPr>
      <w:r>
        <w:t xml:space="preserve">in-arrears tolerance.</w:t>
      </w:r>
    </w:p>
    <w:p>
      <w:pPr>
        <w:numPr>
          <w:ilvl w:val="0"/>
          <w:numId w:val="1017"/>
        </w:numPr>
        <w:pStyle w:val="Compact"/>
      </w:pPr>
      <w:r>
        <w:rPr>
          <w:bCs/>
          <w:b/>
        </w:rPr>
        <w:t xml:space="preserve">Tranches:</w:t>
      </w:r>
      <w:r>
        <w:t xml:space="preserve"> </w:t>
      </w:r>
      <w:r>
        <w:t xml:space="preserve">multi-tranche disbursement with a maximum tranche count; construction-linked disbursal; over-applied disbursal limits.</w:t>
      </w:r>
    </w:p>
    <w:p>
      <w:pPr>
        <w:numPr>
          <w:ilvl w:val="0"/>
          <w:numId w:val="1017"/>
        </w:numPr>
        <w:pStyle w:val="Compact"/>
      </w:pPr>
      <w:r>
        <w:rPr>
          <w:bCs/>
          <w:b/>
        </w:rPr>
        <w:t xml:space="preserve">EMI and installment options:</w:t>
      </w:r>
      <w:r>
        <w:t xml:space="preserve"> </w:t>
      </w:r>
      <w:r>
        <w:t xml:space="preserve">fixed-EMI override, variable installments, balloon/last-installment threshold, step-up and step-down schedules, structured schedules, down-payment, EMI rounding (</w:t>
      </w:r>
      <w:r>
        <w:rPr>
          <w:rStyle w:val="VerbatimChar"/>
        </w:rPr>
        <w:t xml:space="preserve">installmentAmountInMultiplesOf</w:t>
      </w:r>
      <w:r>
        <w:t xml:space="preserve">).</w:t>
      </w:r>
    </w:p>
    <w:p>
      <w:pPr>
        <w:numPr>
          <w:ilvl w:val="0"/>
          <w:numId w:val="1017"/>
        </w:numPr>
        <w:pStyle w:val="Compact"/>
      </w:pPr>
      <w:r>
        <w:rPr>
          <w:bCs/>
          <w:b/>
        </w:rPr>
        <w:t xml:space="preserve">Schedule type:</w:t>
      </w:r>
      <w:r>
        <w:t xml:space="preserve"> </w:t>
      </w:r>
      <w:r>
        <w:rPr>
          <w:rStyle w:val="VerbatimChar"/>
        </w:rPr>
        <w:t xml:space="preserve">CUMULATIVE</w:t>
      </w:r>
      <w:r>
        <w:t xml:space="preserve"> </w:t>
      </w:r>
      <w:r>
        <w:t xml:space="preserve">vs</w:t>
      </w:r>
      <w:r>
        <w:t xml:space="preserve"> </w:t>
      </w:r>
      <w:r>
        <w:rPr>
          <w:rStyle w:val="VerbatimChar"/>
        </w:rPr>
        <w:t xml:space="preserve">PROGRESSIVE</w:t>
      </w:r>
      <w:r>
        <w:t xml:space="preserve">.</w:t>
      </w:r>
      <w:r>
        <w:t xml:space="preserve"> </w:t>
      </w:r>
      <w:r>
        <w:rPr>
          <w:bCs/>
          <w:b/>
        </w:rPr>
        <w:t xml:space="preserve">Processing type:</w:t>
      </w:r>
      <w:r>
        <w:t xml:space="preserve"> </w:t>
      </w:r>
      <w:r>
        <w:rPr>
          <w:rStyle w:val="VerbatimChar"/>
        </w:rPr>
        <w:t xml:space="preserve">HORIZONTAL</w:t>
      </w:r>
      <w:r>
        <w:t xml:space="preserve"> </w:t>
      </w:r>
      <w:r>
        <w:t xml:space="preserve">vs</w:t>
      </w:r>
      <w:r>
        <w:t xml:space="preserve"> </w:t>
      </w:r>
      <w:r>
        <w:rPr>
          <w:rStyle w:val="VerbatimChar"/>
        </w:rPr>
        <w:t xml:space="preserve">VERTICAL</w:t>
      </w:r>
      <w:r>
        <w:t xml:space="preserve">.</w:t>
      </w:r>
    </w:p>
    <w:p>
      <w:pPr>
        <w:numPr>
          <w:ilvl w:val="0"/>
          <w:numId w:val="1017"/>
        </w:numPr>
        <w:pStyle w:val="Compact"/>
      </w:pPr>
      <w:r>
        <w:rPr>
          <w:bCs/>
          <w:b/>
        </w:rPr>
        <w:t xml:space="preserve">Interest recalculation:</w:t>
      </w:r>
    </w:p>
    <w:p>
      <w:pPr>
        <w:numPr>
          <w:ilvl w:val="1"/>
          <w:numId w:val="1019"/>
        </w:numPr>
        <w:pStyle w:val="Compact"/>
      </w:pPr>
      <w:r>
        <w:t xml:space="preserve">rest frequency: same as repayment, daily, weekly, monthly;</w:t>
      </w:r>
    </w:p>
    <w:p>
      <w:pPr>
        <w:numPr>
          <w:ilvl w:val="1"/>
          <w:numId w:val="1019"/>
        </w:numPr>
        <w:pStyle w:val="Compact"/>
      </w:pPr>
      <w:r>
        <w:t xml:space="preserve">compounding: none, interest, fee, interest-and-fee;</w:t>
      </w:r>
    </w:p>
    <w:p>
      <w:pPr>
        <w:numPr>
          <w:ilvl w:val="1"/>
          <w:numId w:val="1019"/>
        </w:numPr>
        <w:pStyle w:val="Compact"/>
      </w:pPr>
      <w:r>
        <w:t xml:space="preserve">pre-closure interest: till pre-closure date or till rest-frequency date;</w:t>
      </w:r>
    </w:p>
    <w:p>
      <w:pPr>
        <w:numPr>
          <w:ilvl w:val="1"/>
          <w:numId w:val="1019"/>
        </w:numPr>
        <w:pStyle w:val="Compact"/>
      </w:pPr>
      <w:r>
        <w:t xml:space="preserve">reschedule strategy on prepayment:</w:t>
      </w:r>
    </w:p>
    <w:p>
      <w:pPr>
        <w:numPr>
          <w:ilvl w:val="2"/>
          <w:numId w:val="1020"/>
        </w:numPr>
        <w:pStyle w:val="Compact"/>
      </w:pPr>
      <w:r>
        <w:t xml:space="preserve">reschedule next repayments;</w:t>
      </w:r>
    </w:p>
    <w:p>
      <w:pPr>
        <w:numPr>
          <w:ilvl w:val="2"/>
          <w:numId w:val="1020"/>
        </w:numPr>
        <w:pStyle w:val="Compact"/>
      </w:pPr>
      <w:r>
        <w:t xml:space="preserve">reduce number of installments (tenure);</w:t>
      </w:r>
    </w:p>
    <w:p>
      <w:pPr>
        <w:numPr>
          <w:ilvl w:val="2"/>
          <w:numId w:val="1020"/>
        </w:numPr>
        <w:pStyle w:val="Compact"/>
      </w:pPr>
      <w:r>
        <w:t xml:space="preserve">reduce EMI;</w:t>
      </w:r>
    </w:p>
    <w:p>
      <w:pPr>
        <w:numPr>
          <w:ilvl w:val="2"/>
          <w:numId w:val="1020"/>
        </w:numPr>
        <w:pStyle w:val="Compact"/>
      </w:pPr>
      <w:r>
        <w:t xml:space="preserve">adjust last unpaid period.</w:t>
      </w:r>
    </w:p>
    <w:p>
      <w:pPr>
        <w:numPr>
          <w:ilvl w:val="1"/>
          <w:numId w:val="1019"/>
        </w:numPr>
        <w:pStyle w:val="Compact"/>
      </w:pPr>
      <w:r>
        <w:rPr>
          <w:bCs/>
          <w:b/>
        </w:rPr>
        <w:t xml:space="preserve">Engine constraint (Fineract 1.15.0):</w:t>
      </w:r>
    </w:p>
    <w:p>
      <w:pPr>
        <w:numPr>
          <w:ilvl w:val="2"/>
          <w:numId w:val="1021"/>
        </w:numPr>
        <w:pStyle w:val="Compact"/>
      </w:pPr>
      <w:r>
        <w:t xml:space="preserve">The first three strategies work only on CUMULATIVE.</w:t>
      </w:r>
    </w:p>
    <w:p>
      <w:pPr>
        <w:numPr>
          <w:ilvl w:val="2"/>
          <w:numId w:val="1021"/>
        </w:numPr>
        <w:pStyle w:val="Compact"/>
      </w:pPr>
      <w:r>
        <w:t xml:space="preserve">PROGRESSIVE accepts only</w:t>
      </w:r>
      <w:r>
        <w:t xml:space="preserve"> </w:t>
      </w:r>
      <w:r>
        <w:rPr>
          <w:iCs/>
          <w:i/>
        </w:rPr>
        <w:t xml:space="preserve">adjust last unpaid period</w:t>
      </w:r>
      <w:r>
        <w:t xml:space="preserve">.</w:t>
      </w:r>
    </w:p>
    <w:p>
      <w:pPr>
        <w:numPr>
          <w:ilvl w:val="2"/>
          <w:numId w:val="1021"/>
        </w:numPr>
        <w:pStyle w:val="Compact"/>
      </w:pPr>
      <w:r>
        <w:t xml:space="preserve">On progressive loans, reduce-EMI and reduce-tenure come from the future-installment rule:</w:t>
      </w:r>
      <w:r>
        <w:t xml:space="preserve"> </w:t>
      </w:r>
      <w:r>
        <w:rPr>
          <w:rStyle w:val="VerbatimChar"/>
        </w:rPr>
        <w:t xml:space="preserve">REAMORTIZATION</w:t>
      </w:r>
      <w:r>
        <w:t xml:space="preserve"> </w:t>
      </w:r>
      <w:r>
        <w:t xml:space="preserve">≈ reduce EMI;</w:t>
      </w:r>
      <w:r>
        <w:t xml:space="preserve"> </w:t>
      </w:r>
      <w:r>
        <w:rPr>
          <w:rStyle w:val="VerbatimChar"/>
        </w:rPr>
        <w:t xml:space="preserve">LAST_INSTALLMENT</w:t>
      </w:r>
      <w:r>
        <w:t xml:space="preserve"> </w:t>
      </w:r>
      <w:r>
        <w:t xml:space="preserve">/</w:t>
      </w:r>
      <w:r>
        <w:t xml:space="preserve"> </w:t>
      </w:r>
      <w:r>
        <w:rPr>
          <w:rStyle w:val="VerbatimChar"/>
        </w:rPr>
        <w:t xml:space="preserve">NEXT_LAST_INSTALLMENT</w:t>
      </w:r>
      <w:r>
        <w:t xml:space="preserve"> </w:t>
      </w:r>
      <w:r>
        <w:t xml:space="preserve">≈ shorter tenure.</w:t>
      </w:r>
    </w:p>
    <w:p>
      <w:pPr>
        <w:numPr>
          <w:ilvl w:val="2"/>
          <w:numId w:val="1021"/>
        </w:numPr>
        <w:pStyle w:val="Compact"/>
      </w:pPr>
      <w:r>
        <w:t xml:space="preserve">Finbyx’s single engine must offer all four outcomes on every product.</w:t>
      </w:r>
    </w:p>
    <w:p>
      <w:pPr>
        <w:numPr>
          <w:ilvl w:val="2"/>
          <w:numId w:val="1021"/>
        </w:numPr>
        <w:pStyle w:val="Compact"/>
      </w:pPr>
      <w:r>
        <w:t xml:space="preserve">The oracle scenario matrix must pick the right Fineract engine for each scenario.</w:t>
      </w:r>
    </w:p>
    <w:p>
      <w:pPr>
        <w:numPr>
          <w:ilvl w:val="0"/>
          <w:numId w:val="1017"/>
        </w:numPr>
        <w:pStyle w:val="Compact"/>
      </w:pPr>
      <w:r>
        <w:rPr>
          <w:bCs/>
          <w:b/>
        </w:rPr>
        <w:t xml:space="preserve">Floating rates:</w:t>
      </w:r>
      <w:r>
        <w:t xml:space="preserve"> </w:t>
      </w:r>
      <w:r>
        <w:t xml:space="preserve">benchmark linkage plus spread, with min/max differential, reset frequency and reset handling (M6; Part 8.2, Responsible Business Conduct row).</w:t>
      </w:r>
    </w:p>
    <w:p>
      <w:pPr>
        <w:numPr>
          <w:ilvl w:val="0"/>
          <w:numId w:val="1017"/>
        </w:numPr>
        <w:pStyle w:val="Compact"/>
      </w:pPr>
      <w:r>
        <w:rPr>
          <w:bCs/>
          <w:b/>
        </w:rPr>
        <w:t xml:space="preserve">Charges:</w:t>
      </w:r>
    </w:p>
    <w:p>
      <w:pPr>
        <w:numPr>
          <w:ilvl w:val="1"/>
          <w:numId w:val="1022"/>
        </w:numPr>
        <w:pStyle w:val="Compact"/>
      </w:pPr>
      <w:r>
        <w:t xml:space="preserve">time types: disbursement, specified due date, installment fee, overdue installment (penal charge), tranche disbursement;</w:t>
      </w:r>
    </w:p>
    <w:p>
      <w:pPr>
        <w:numPr>
          <w:ilvl w:val="1"/>
          <w:numId w:val="1022"/>
        </w:numPr>
        <w:pStyle w:val="Compact"/>
      </w:pPr>
      <w:r>
        <w:t xml:space="preserve">calculation types: flat, % of amount, % of amount and interest, % of interest, % of disbursement amount;</w:t>
      </w:r>
    </w:p>
    <w:p>
      <w:pPr>
        <w:numPr>
          <w:ilvl w:val="1"/>
          <w:numId w:val="1022"/>
        </w:numPr>
        <w:pStyle w:val="Compact"/>
      </w:pPr>
      <w:r>
        <w:t xml:space="preserve">penalty flag.</w:t>
      </w:r>
    </w:p>
    <w:p>
      <w:pPr>
        <w:numPr>
          <w:ilvl w:val="0"/>
          <w:numId w:val="1017"/>
        </w:numPr>
        <w:pStyle w:val="Compact"/>
      </w:pPr>
      <w:r>
        <w:rPr>
          <w:bCs/>
          <w:b/>
        </w:rPr>
        <w:t xml:space="preserve">Other parameters:</w:t>
      </w:r>
      <w:r>
        <w:t xml:space="preserve"> </w:t>
      </w:r>
      <w:r>
        <w:t xml:space="preserve">borrower-cycle-based variations, guarantee requirements, top-up eligibility, NPA days and</w:t>
      </w:r>
      <w:r>
        <w:t xml:space="preserve"> </w:t>
      </w:r>
      <w:r>
        <w:t xml:space="preserve">“</w:t>
      </w:r>
      <w:r>
        <w:t xml:space="preserve">moves out of NPA only on full arrears clearance</w:t>
      </w:r>
      <w:r>
        <w:t xml:space="preserve">”</w:t>
      </w:r>
      <w:r>
        <w:t xml:space="preserve">, charge-off behaviour, and per-loan attribute overrides permitted by the product.</w:t>
      </w:r>
    </w:p>
    <w:p>
      <w:pPr>
        <w:pStyle w:val="FirstParagraph"/>
      </w:pPr>
      <w:r>
        <w:rPr>
          <w:bCs/>
          <w:b/>
        </w:rPr>
        <w:t xml:space="preserve">B. Repayment allocation strategies (configurable per product):</w:t>
      </w:r>
    </w:p>
    <w:p>
      <w:pPr>
        <w:numPr>
          <w:ilvl w:val="0"/>
          <w:numId w:val="1023"/>
        </w:numPr>
        <w:pStyle w:val="Compact"/>
      </w:pPr>
      <w:r>
        <w:rPr>
          <w:bCs/>
          <w:b/>
        </w:rPr>
        <w:t xml:space="preserve">Legacy-equivalent strategies:</w:t>
      </w:r>
    </w:p>
    <w:p>
      <w:pPr>
        <w:numPr>
          <w:ilvl w:val="1"/>
          <w:numId w:val="1024"/>
        </w:numPr>
        <w:pStyle w:val="Compact"/>
      </w:pPr>
      <w:r>
        <w:rPr>
          <w:rStyle w:val="VerbatimChar"/>
        </w:rPr>
        <w:t xml:space="preserve">mifos-standard-strategy</w:t>
      </w:r>
      <w:r>
        <w:t xml:space="preserve">: Penalties → Fees → Interest → Principal, by installment.</w:t>
      </w:r>
    </w:p>
    <w:p>
      <w:pPr>
        <w:numPr>
          <w:ilvl w:val="1"/>
          <w:numId w:val="1024"/>
        </w:numPr>
        <w:pStyle w:val="Compact"/>
      </w:pPr>
      <w:r>
        <w:rPr>
          <w:rStyle w:val="VerbatimChar"/>
        </w:rPr>
        <w:t xml:space="preserve">rbi-india-strategy</w:t>
      </w:r>
      <w:r>
        <w:t xml:space="preserve">,</w:t>
      </w:r>
      <w:r>
        <w:t xml:space="preserve"> </w:t>
      </w:r>
      <w:r>
        <w:t xml:space="preserve">“</w:t>
      </w:r>
      <w:r>
        <w:t xml:space="preserve">Overdue/Due Fee/Int,Principal</w:t>
      </w:r>
      <w:r>
        <w:t xml:space="preserve">”</w:t>
      </w:r>
      <w:r>
        <w:t xml:space="preserve">:</w:t>
      </w:r>
    </w:p>
    <w:p>
      <w:pPr>
        <w:numPr>
          <w:ilvl w:val="2"/>
          <w:numId w:val="1025"/>
        </w:numPr>
        <w:pStyle w:val="Compact"/>
      </w:pPr>
      <w:r>
        <w:t xml:space="preserve">On a late payment, for each overdue and current installment in date order, pay penalty → fee → interest; then pay principal, oldest first.</w:t>
      </w:r>
    </w:p>
    <w:p>
      <w:pPr>
        <w:numPr>
          <w:ilvl w:val="2"/>
          <w:numId w:val="1025"/>
        </w:numPr>
        <w:pStyle w:val="Compact"/>
      </w:pPr>
      <w:r>
        <w:t xml:space="preserve">In-advance payments are treated like on-time payments.</w:t>
      </w:r>
    </w:p>
    <w:p>
      <w:pPr>
        <w:numPr>
          <w:ilvl w:val="2"/>
          <w:numId w:val="1025"/>
        </w:numPr>
        <w:pStyle w:val="Compact"/>
      </w:pPr>
      <w:r>
        <w:t xml:space="preserve">Use it as the</w:t>
      </w:r>
      <w:r>
        <w:t xml:space="preserve"> </w:t>
      </w:r>
      <w:r>
        <w:rPr>
          <w:bCs/>
          <w:b/>
        </w:rPr>
        <w:t xml:space="preserve">Indian reference behaviour</w:t>
      </w:r>
      <w:r>
        <w:t xml:space="preserve">.</w:t>
      </w:r>
    </w:p>
    <w:p>
      <w:pPr>
        <w:numPr>
          <w:ilvl w:val="2"/>
          <w:numId w:val="1025"/>
        </w:numPr>
        <w:pStyle w:val="Compact"/>
      </w:pPr>
      <w:r>
        <w:rPr>
          <w:bCs/>
          <w:b/>
        </w:rPr>
        <w:t xml:space="preserve">It exists only on Fineract’s CUMULATIVE engine.</w:t>
      </w:r>
      <w:r>
        <w:t xml:space="preserve"> </w:t>
      </w:r>
      <w:r>
        <w:t xml:space="preserve">Finbyx must therefore also express this</w:t>
      </w:r>
      <w:r>
        <w:t xml:space="preserve"> </w:t>
      </w:r>
      <w:r>
        <w:t xml:space="preserve">“</w:t>
      </w:r>
      <w:r>
        <w:t xml:space="preserve">RBI order</w:t>
      </w:r>
      <w:r>
        <w:t xml:space="preserve">”</w:t>
      </w:r>
      <w:r>
        <w:t xml:space="preserve"> </w:t>
      </w:r>
      <w:r>
        <w:t xml:space="preserve">as an advanced-allocation rule set (VERTICAL processing):</w:t>
      </w:r>
    </w:p>
    <w:p>
      <w:pPr>
        <w:numPr>
          <w:ilvl w:val="3"/>
          <w:numId w:val="1026"/>
        </w:numPr>
        <w:pStyle w:val="Compact"/>
      </w:pPr>
      <w:r>
        <w:rPr>
          <w:rStyle w:val="VerbatimChar"/>
        </w:rPr>
        <w:t xml:space="preserve">PAST_DUE_PENALTY</w:t>
      </w:r>
      <w:r>
        <w:t xml:space="preserve">,</w:t>
      </w:r>
      <w:r>
        <w:t xml:space="preserve"> </w:t>
      </w:r>
      <w:r>
        <w:rPr>
          <w:rStyle w:val="VerbatimChar"/>
        </w:rPr>
        <w:t xml:space="preserve">PAST_DUE_FEE</w:t>
      </w:r>
      <w:r>
        <w:t xml:space="preserve">,</w:t>
      </w:r>
      <w:r>
        <w:t xml:space="preserve"> </w:t>
      </w:r>
      <w:r>
        <w:rPr>
          <w:rStyle w:val="VerbatimChar"/>
        </w:rPr>
        <w:t xml:space="preserve">PAST_DUE_INTEREST</w:t>
      </w:r>
    </w:p>
    <w:p>
      <w:pPr>
        <w:numPr>
          <w:ilvl w:val="3"/>
          <w:numId w:val="1026"/>
        </w:numPr>
        <w:pStyle w:val="Compact"/>
      </w:pPr>
      <w:r>
        <w:rPr>
          <w:rStyle w:val="VerbatimChar"/>
        </w:rPr>
        <w:t xml:space="preserve">DUE_PENALTY</w:t>
      </w:r>
      <w:r>
        <w:t xml:space="preserve">,</w:t>
      </w:r>
      <w:r>
        <w:t xml:space="preserve"> </w:t>
      </w:r>
      <w:r>
        <w:rPr>
          <w:rStyle w:val="VerbatimChar"/>
        </w:rPr>
        <w:t xml:space="preserve">DUE_FEE</w:t>
      </w:r>
      <w:r>
        <w:t xml:space="preserve">,</w:t>
      </w:r>
      <w:r>
        <w:t xml:space="preserve"> </w:t>
      </w:r>
      <w:r>
        <w:rPr>
          <w:rStyle w:val="VerbatimChar"/>
        </w:rPr>
        <w:t xml:space="preserve">DUE_INTEREST</w:t>
      </w:r>
    </w:p>
    <w:p>
      <w:pPr>
        <w:numPr>
          <w:ilvl w:val="3"/>
          <w:numId w:val="1026"/>
        </w:numPr>
        <w:pStyle w:val="Compact"/>
      </w:pPr>
      <w:r>
        <w:rPr>
          <w:rStyle w:val="VerbatimChar"/>
        </w:rPr>
        <w:t xml:space="preserve">PAST_DUE_PRINCIPAL</w:t>
      </w:r>
      <w:r>
        <w:t xml:space="preserve">,</w:t>
      </w:r>
      <w:r>
        <w:t xml:space="preserve"> </w:t>
      </w:r>
      <w:r>
        <w:rPr>
          <w:rStyle w:val="VerbatimChar"/>
        </w:rPr>
        <w:t xml:space="preserve">DUE_PRINCIPAL</w:t>
      </w:r>
    </w:p>
    <w:p>
      <w:pPr>
        <w:numPr>
          <w:ilvl w:val="3"/>
          <w:numId w:val="1026"/>
        </w:numPr>
        <w:pStyle w:val="Compact"/>
      </w:pPr>
      <w:r>
        <w:rPr>
          <w:rStyle w:val="VerbatimChar"/>
        </w:rPr>
        <w:t xml:space="preserve">IN_ADVANCE_*</w:t>
      </w:r>
    </w:p>
    <w:p>
      <w:pPr>
        <w:numPr>
          <w:ilvl w:val="2"/>
          <w:numId w:val="1025"/>
        </w:numPr>
        <w:pStyle w:val="Compact"/>
      </w:pPr>
      <w:r>
        <w:t xml:space="preserve">Differential-test it against both oracles and record any differences.</w:t>
      </w:r>
    </w:p>
    <w:p>
      <w:pPr>
        <w:numPr>
          <w:ilvl w:val="1"/>
          <w:numId w:val="1024"/>
        </w:numPr>
        <w:pStyle w:val="Compact"/>
      </w:pPr>
      <w:r>
        <w:rPr>
          <w:rStyle w:val="VerbatimChar"/>
        </w:rPr>
        <w:t xml:space="preserve">principal-interest-penalties-fees-order-strategy</w:t>
      </w:r>
      <w:r>
        <w:t xml:space="preserve">.</w:t>
      </w:r>
    </w:p>
    <w:p>
      <w:pPr>
        <w:numPr>
          <w:ilvl w:val="1"/>
          <w:numId w:val="1024"/>
        </w:numPr>
        <w:pStyle w:val="Compact"/>
      </w:pPr>
      <w:r>
        <w:rPr>
          <w:rStyle w:val="VerbatimChar"/>
        </w:rPr>
        <w:t xml:space="preserve">interest-principal-penalties-fees-order-strategy</w:t>
      </w:r>
      <w:r>
        <w:t xml:space="preserve">.</w:t>
      </w:r>
    </w:p>
    <w:p>
      <w:pPr>
        <w:numPr>
          <w:ilvl w:val="1"/>
          <w:numId w:val="1024"/>
        </w:numPr>
        <w:pStyle w:val="Compact"/>
      </w:pPr>
      <w:r>
        <w:rPr>
          <w:rStyle w:val="VerbatimChar"/>
        </w:rPr>
        <w:t xml:space="preserve">early-repayment-strategy</w:t>
      </w:r>
      <w:r>
        <w:t xml:space="preserve">.</w:t>
      </w:r>
    </w:p>
    <w:p>
      <w:pPr>
        <w:numPr>
          <w:ilvl w:val="1"/>
          <w:numId w:val="1024"/>
        </w:numPr>
        <w:pStyle w:val="Compact"/>
      </w:pPr>
      <w:r>
        <w:rPr>
          <w:rStyle w:val="VerbatimChar"/>
        </w:rPr>
        <w:t xml:space="preserve">due-penalty-fee-interest-principal-in-advance-principal-penalty-fee-interest-strategy</w:t>
      </w:r>
      <w:r>
        <w:t xml:space="preserve">.</w:t>
      </w:r>
    </w:p>
    <w:p>
      <w:pPr>
        <w:numPr>
          <w:ilvl w:val="1"/>
          <w:numId w:val="1024"/>
        </w:numPr>
        <w:pStyle w:val="Compact"/>
      </w:pPr>
      <w:r>
        <w:rPr>
          <w:rStyle w:val="VerbatimChar"/>
        </w:rPr>
        <w:t xml:space="preserve">due-penalty-interest-principal-fee-in-advance-penalty-interest-principal-fee-strategy</w:t>
      </w:r>
      <w:r>
        <w:t xml:space="preserve">.</w:t>
      </w:r>
    </w:p>
    <w:p>
      <w:pPr>
        <w:numPr>
          <w:ilvl w:val="1"/>
          <w:numId w:val="1024"/>
        </w:numPr>
        <w:pStyle w:val="Compact"/>
      </w:pPr>
      <w:r>
        <w:t xml:space="preserve">Also</w:t>
      </w:r>
      <w:r>
        <w:t xml:space="preserve"> </w:t>
      </w:r>
      <w:r>
        <w:rPr>
          <w:rStyle w:val="VerbatimChar"/>
        </w:rPr>
        <w:t xml:space="preserve">heavensfamily-strategy</w:t>
      </w:r>
      <w:r>
        <w:t xml:space="preserve"> </w:t>
      </w:r>
      <w:r>
        <w:t xml:space="preserve">and</w:t>
      </w:r>
      <w:r>
        <w:t xml:space="preserve"> </w:t>
      </w:r>
      <w:r>
        <w:rPr>
          <w:rStyle w:val="VerbatimChar"/>
        </w:rPr>
        <w:t xml:space="preserve">creocore-strategy</w:t>
      </w:r>
      <w:r>
        <w:t xml:space="preserve"> </w:t>
      </w:r>
      <w:r>
        <w:t xml:space="preserve">(legacy; reference only).</w:t>
      </w:r>
    </w:p>
    <w:p>
      <w:pPr>
        <w:numPr>
          <w:ilvl w:val="0"/>
          <w:numId w:val="1023"/>
        </w:numPr>
        <w:pStyle w:val="Compact"/>
      </w:pPr>
      <w:r>
        <w:rPr>
          <w:bCs/>
          <w:b/>
        </w:rPr>
        <w:t xml:space="preserve">Advanced payment allocation</w:t>
      </w:r>
      <w:r>
        <w:t xml:space="preserve"> </w:t>
      </w:r>
      <w:r>
        <w:t xml:space="preserve">(rule-based):</w:t>
      </w:r>
    </w:p>
    <w:p>
      <w:pPr>
        <w:numPr>
          <w:ilvl w:val="1"/>
          <w:numId w:val="1027"/>
        </w:numPr>
        <w:pStyle w:val="Compact"/>
      </w:pPr>
      <w:r>
        <w:t xml:space="preserve">allocation rule lists made of</w:t>
      </w:r>
      <w:r>
        <w:t xml:space="preserve"> </w:t>
      </w:r>
      <w:r>
        <w:rPr>
          <w:rStyle w:val="VerbatimChar"/>
        </w:rPr>
        <w:t xml:space="preserve">PAST_DUE_*</w:t>
      </w:r>
      <w:r>
        <w:t xml:space="preserve">,</w:t>
      </w:r>
      <w:r>
        <w:t xml:space="preserve"> </w:t>
      </w:r>
      <w:r>
        <w:rPr>
          <w:rStyle w:val="VerbatimChar"/>
        </w:rPr>
        <w:t xml:space="preserve">DUE_*</w:t>
      </w:r>
      <w:r>
        <w:t xml:space="preserve"> </w:t>
      </w:r>
      <w:r>
        <w:t xml:space="preserve">and</w:t>
      </w:r>
      <w:r>
        <w:t xml:space="preserve"> </w:t>
      </w:r>
      <w:r>
        <w:rPr>
          <w:rStyle w:val="VerbatimChar"/>
        </w:rPr>
        <w:t xml:space="preserve">IN_ADVANCE_*</w:t>
      </w:r>
      <w:r>
        <w:t xml:space="preserve"> </w:t>
      </w:r>
      <w:r>
        <w:t xml:space="preserve">× {PENALTY, FEE, INTEREST, PRINCIPAL};</w:t>
      </w:r>
    </w:p>
    <w:p>
      <w:pPr>
        <w:numPr>
          <w:ilvl w:val="1"/>
          <w:numId w:val="1027"/>
        </w:numPr>
        <w:pStyle w:val="Compact"/>
      </w:pPr>
      <w:r>
        <w:t xml:space="preserve">a separate rule set per transaction type (repayment, down-payment, waiver, refund, goodwill credit, charge adjustment, and so on, with a mandatory</w:t>
      </w:r>
      <w:r>
        <w:t xml:space="preserve"> </w:t>
      </w:r>
      <w:r>
        <w:rPr>
          <w:rStyle w:val="VerbatimChar"/>
        </w:rPr>
        <w:t xml:space="preserve">DEFAULT</w:t>
      </w:r>
      <w:r>
        <w:t xml:space="preserve">);</w:t>
      </w:r>
    </w:p>
    <w:p>
      <w:pPr>
        <w:numPr>
          <w:ilvl w:val="1"/>
          <w:numId w:val="1027"/>
        </w:numPr>
        <w:pStyle w:val="Compact"/>
      </w:pPr>
      <w:r>
        <w:t xml:space="preserve">future-installment rule: next installment, last installment, next-last, or re-amortisation.</w:t>
      </w:r>
    </w:p>
    <w:p>
      <w:pPr>
        <w:numPr>
          <w:ilvl w:val="0"/>
          <w:numId w:val="1023"/>
        </w:numPr>
        <w:pStyle w:val="Compact"/>
      </w:pPr>
      <w:r>
        <w:rPr>
          <w:bCs/>
          <w:b/>
        </w:rPr>
        <w:t xml:space="preserve">PROGRESSIVE-only features in Fineract 1.15.0:</w:t>
      </w:r>
      <w:r>
        <w:t xml:space="preserve"> </w:t>
      </w:r>
      <w:r>
        <w:t xml:space="preserve">re-age, re-amortise, charge-off behaviour, capitalised income, buy-down fee, interest refund, the custom leap-year strategy, and</w:t>
      </w:r>
      <w:r>
        <w:t xml:space="preserve"> </w:t>
      </w:r>
      <w:r>
        <w:t xml:space="preserve">“</w:t>
      </w:r>
      <w:r>
        <w:t xml:space="preserve">no interest on past due</w:t>
      </w:r>
      <w:r>
        <w:t xml:space="preserve">”</w:t>
      </w:r>
      <w:r>
        <w:t xml:space="preserve">. Finbyx’s single engine supports them for every product where policy allows.</w:t>
      </w:r>
    </w:p>
    <w:p>
      <w:pPr>
        <w:numPr>
          <w:ilvl w:val="0"/>
          <w:numId w:val="1023"/>
        </w:numPr>
        <w:pStyle w:val="Compact"/>
      </w:pPr>
      <w:r>
        <w:t xml:space="preserve">Allocation must be</w:t>
      </w:r>
      <w:r>
        <w:t xml:space="preserve"> </w:t>
      </w:r>
      <w:r>
        <w:rPr>
          <w:bCs/>
          <w:b/>
        </w:rPr>
        <w:t xml:space="preserve">replayable</w:t>
      </w:r>
      <w:r>
        <w:t xml:space="preserve">. A back-dated payment or reversal re-runs allocation from the affected date and produces adjustment entries. It must never mutate history.</w:t>
      </w:r>
    </w:p>
    <w:p>
      <w:pPr>
        <w:pStyle w:val="FirstParagraph"/>
      </w:pPr>
      <w:r>
        <w:rPr>
          <w:bCs/>
          <w:b/>
        </w:rPr>
        <w:t xml:space="preserve">C. Loan lifecycle (state machine with explicit allowed transitions):</w:t>
      </w:r>
    </w:p>
    <w:p>
      <w:pPr>
        <w:numPr>
          <w:ilvl w:val="0"/>
          <w:numId w:val="1028"/>
        </w:numPr>
        <w:pStyle w:val="Compact"/>
      </w:pPr>
      <w:r>
        <w:rPr>
          <w:bCs/>
          <w:b/>
        </w:rPr>
        <w:t xml:space="preserve">States:</w:t>
      </w:r>
    </w:p>
    <w:p>
      <w:pPr>
        <w:numPr>
          <w:ilvl w:val="1"/>
          <w:numId w:val="1029"/>
        </w:numPr>
        <w:pStyle w:val="Compact"/>
      </w:pPr>
      <w:r>
        <w:t xml:space="preserve">Lead → Application Draft → Submitted → Under Appraisal → Recommended → Sanctioned / Rejected / Withdrawn;</w:t>
      </w:r>
    </w:p>
    <w:p>
      <w:pPr>
        <w:numPr>
          <w:ilvl w:val="1"/>
          <w:numId w:val="1029"/>
        </w:numPr>
        <w:pStyle w:val="Compact"/>
      </w:pPr>
      <w:r>
        <w:t xml:space="preserve">Sanction Accepted → Documentation → Ready for Disbursement → Active. The first disbursement makes the loan Active, with accrual and DPD running. Sub-status: partially disbursed / fully disbursed.</w:t>
      </w:r>
    </w:p>
    <w:p>
      <w:pPr>
        <w:numPr>
          <w:ilvl w:val="1"/>
          <w:numId w:val="1029"/>
        </w:numPr>
        <w:pStyle w:val="Compact"/>
      </w:pPr>
      <w:r>
        <w:t xml:space="preserve">Overpaid;</w:t>
      </w:r>
    </w:p>
    <w:p>
      <w:pPr>
        <w:numPr>
          <w:ilvl w:val="1"/>
          <w:numId w:val="1029"/>
        </w:numPr>
        <w:pStyle w:val="Compact"/>
      </w:pPr>
      <w:r>
        <w:t xml:space="preserve">Active – Charged-off / Technically written-off. The account stays open: recovery continues and CIC reports the written-off status with the outstanding balance.</w:t>
      </w:r>
    </w:p>
    <w:p>
      <w:pPr>
        <w:numPr>
          <w:ilvl w:val="1"/>
          <w:numId w:val="1029"/>
        </w:numPr>
        <w:pStyle w:val="Compact"/>
      </w:pPr>
      <w:r>
        <w:t xml:space="preserve">Closed: obligations met / foreclosed / settled (OTS paid within 3 months; a longer or part settlement is restructuring until paid — RSA 89–90) / fully written-off with no further recovery pursued / restructured-closed / transferred (assignment/novation; a loan participation keeps the account open with the tenant as lender of record, TDCR para 12(5));</w:t>
      </w:r>
    </w:p>
    <w:p>
      <w:pPr>
        <w:numPr>
          <w:ilvl w:val="1"/>
          <w:numId w:val="1029"/>
        </w:numPr>
        <w:pStyle w:val="Compact"/>
      </w:pPr>
      <w:r>
        <w:t xml:space="preserve">Cancelled (cooling-off).</w:t>
      </w:r>
    </w:p>
    <w:p>
      <w:pPr>
        <w:numPr>
          <w:ilvl w:val="0"/>
          <w:numId w:val="1028"/>
        </w:numPr>
        <w:pStyle w:val="Compact"/>
      </w:pPr>
      <w:r>
        <w:rPr>
          <w:bCs/>
          <w:b/>
        </w:rPr>
        <w:t xml:space="preserve">Transaction types</w:t>
      </w:r>
      <w:r>
        <w:t xml:space="preserve"> </w:t>
      </w:r>
      <w:r>
        <w:t xml:space="preserve">(Fineract-equivalent, plus Indian additions):</w:t>
      </w:r>
    </w:p>
    <w:p>
      <w:pPr>
        <w:numPr>
          <w:ilvl w:val="1"/>
          <w:numId w:val="1030"/>
        </w:numPr>
        <w:pStyle w:val="Compact"/>
      </w:pPr>
      <w:r>
        <w:t xml:space="preserve">disbursement; repayment; repayment at disbursement;</w:t>
      </w:r>
    </w:p>
    <w:p>
      <w:pPr>
        <w:numPr>
          <w:ilvl w:val="1"/>
          <w:numId w:val="1030"/>
        </w:numPr>
        <w:pStyle w:val="Compact"/>
      </w:pPr>
      <w:r>
        <w:t xml:space="preserve">waive interest; waive charges; charge payment;</w:t>
      </w:r>
    </w:p>
    <w:p>
      <w:pPr>
        <w:numPr>
          <w:ilvl w:val="1"/>
          <w:numId w:val="1030"/>
        </w:numPr>
        <w:pStyle w:val="Compact"/>
      </w:pPr>
      <w:r>
        <w:t xml:space="preserve">accrual; accrual adjustment;</w:t>
      </w:r>
    </w:p>
    <w:p>
      <w:pPr>
        <w:numPr>
          <w:ilvl w:val="1"/>
          <w:numId w:val="1030"/>
        </w:numPr>
        <w:pStyle w:val="Compact"/>
      </w:pPr>
      <w:r>
        <w:t xml:space="preserve">write-off; charge-off; recovery repayment (post write-off);</w:t>
      </w:r>
    </w:p>
    <w:p>
      <w:pPr>
        <w:numPr>
          <w:ilvl w:val="1"/>
          <w:numId w:val="1030"/>
        </w:numPr>
        <w:pStyle w:val="Compact"/>
      </w:pPr>
      <w:r>
        <w:t xml:space="preserve">refund; credit-balance refund; goodwill credit; chargeback (payment reversal from bank or gateway); charge adjustment;</w:t>
      </w:r>
    </w:p>
    <w:p>
      <w:pPr>
        <w:numPr>
          <w:ilvl w:val="1"/>
          <w:numId w:val="1030"/>
        </w:numPr>
        <w:pStyle w:val="Compact"/>
      </w:pPr>
      <w:r>
        <w:t xml:space="preserve">down-payment; re-age; re-amortise; reschedule/restructure; contract termination (acceleration);</w:t>
      </w:r>
    </w:p>
    <w:p>
      <w:pPr>
        <w:numPr>
          <w:ilvl w:val="1"/>
          <w:numId w:val="1030"/>
        </w:numPr>
        <w:pStyle w:val="Compact"/>
      </w:pPr>
      <w:r>
        <w:t xml:space="preserve">capitalised income; deferred-fee amortisation;</w:t>
      </w:r>
    </w:p>
    <w:p>
      <w:pPr>
        <w:numPr>
          <w:ilvl w:val="1"/>
          <w:numId w:val="1030"/>
        </w:numPr>
        <w:pStyle w:val="Compact"/>
      </w:pPr>
      <w:r>
        <w:rPr>
          <w:bCs/>
          <w:b/>
        </w:rPr>
        <w:t xml:space="preserve">plus India-specific:</w:t>
      </w:r>
      <w:r>
        <w:t xml:space="preserve"> </w:t>
      </w:r>
      <w:r>
        <w:t xml:space="preserve">EIR amortisation, ECL provision, IRACP provision, NPA income reversal, GST posting, TDS receivable, cooling-off cancellation, part-prepayment, foreclosure, top-up, balance-transfer-out, co-lending partner share transfer, DA/securitisation sale.</w:t>
      </w:r>
    </w:p>
    <w:p>
      <w:pPr>
        <w:pStyle w:val="FirstParagraph"/>
      </w:pPr>
      <w:r>
        <w:rPr>
          <w:bCs/>
          <w:b/>
        </w:rPr>
        <w:t xml:space="preserve">D. Delinquency management:</w:t>
      </w:r>
    </w:p>
    <w:p>
      <w:pPr>
        <w:numPr>
          <w:ilvl w:val="0"/>
          <w:numId w:val="1031"/>
        </w:numPr>
        <w:pStyle w:val="Compact"/>
      </w:pPr>
      <w:r>
        <w:t xml:space="preserve">Delinquency buckets and ranges, configurable, with defaults of SMA-0 (1–30), SMA-1 (31–60), SMA-2 (61–90) and NPA (&gt;90) (RSA para 18; IRACP paras 44, 51, 56).</w:t>
      </w:r>
    </w:p>
    <w:p>
      <w:pPr>
        <w:numPr>
          <w:ilvl w:val="0"/>
          <w:numId w:val="1031"/>
        </w:numPr>
        <w:pStyle w:val="Compact"/>
      </w:pPr>
      <w:r>
        <w:t xml:space="preserve">Installment-level delinquency.</w:t>
      </w:r>
    </w:p>
    <w:p>
      <w:pPr>
        <w:numPr>
          <w:ilvl w:val="0"/>
          <w:numId w:val="1031"/>
        </w:numPr>
        <w:pStyle w:val="Compact"/>
      </w:pPr>
      <w:r>
        <w:t xml:space="preserve">Delinquency history.</w:t>
      </w:r>
    </w:p>
    <w:p>
      <w:pPr>
        <w:numPr>
          <w:ilvl w:val="0"/>
          <w:numId w:val="1031"/>
        </w:numPr>
        <w:pStyle w:val="Compact"/>
      </w:pPr>
      <w:r>
        <w:t xml:space="preserve">Pause and resume (Fineract 1.15.0), plus reset as a Finbyx addition —</w:t>
      </w:r>
      <w:r>
        <w:t xml:space="preserve"> </w:t>
      </w:r>
      <w:r>
        <w:rPr>
          <w:bCs/>
          <w:b/>
        </w:rPr>
        <w:t xml:space="preserve">only under maker-checker and a policy reason</w:t>
      </w:r>
      <w:r>
        <w:t xml:space="preserve">, because pausing can be misused for evergreening.</w:t>
      </w:r>
    </w:p>
    <w:p>
      <w:pPr>
        <w:numPr>
          <w:ilvl w:val="0"/>
          <w:numId w:val="1031"/>
        </w:numPr>
        <w:pStyle w:val="Compact"/>
      </w:pPr>
      <w:r>
        <w:t xml:space="preserve">DPD = COB date − oldest unpaid due date + 1, so the due date’s own day-end is DPD 1. Golden test (IRACP para 19, Illustration I): due 31 Mar → SMA-1 on 30 Apr, SMA-2 on 30 May, NPA on 29 Jun.</w:t>
      </w:r>
    </w:p>
    <w:p>
      <w:pPr>
        <w:numPr>
          <w:ilvl w:val="0"/>
          <w:numId w:val="1031"/>
        </w:numPr>
        <w:pStyle w:val="Compact"/>
      </w:pPr>
      <w:r>
        <w:rPr>
          <w:bCs/>
          <w:b/>
        </w:rPr>
        <w:t xml:space="preserve">Classification is borrower-level across all facilities, as RBI requires.</w:t>
      </w:r>
      <w:r>
        <w:t xml:space="preserve"> </w:t>
      </w:r>
      <w:r>
        <w:t xml:space="preserve">This is stricter than Fineract, which is loan-level.</w:t>
      </w:r>
    </w:p>
    <w:p>
      <w:pPr>
        <w:pStyle w:val="FirstParagraph"/>
      </w:pPr>
      <w:r>
        <w:rPr>
          <w:bCs/>
          <w:b/>
        </w:rPr>
        <w:t xml:space="preserve">E. Close of Business (COB / End of Day):</w:t>
      </w:r>
    </w:p>
    <w:p>
      <w:pPr>
        <w:numPr>
          <w:ilvl w:val="0"/>
          <w:numId w:val="1032"/>
        </w:numPr>
        <w:pStyle w:val="Compact"/>
      </w:pPr>
      <w:r>
        <w:rPr>
          <w:bCs/>
          <w:b/>
        </w:rPr>
        <w:t xml:space="preserve">Business date</w:t>
      </w:r>
      <w:r>
        <w:t xml:space="preserve"> </w:t>
      </w:r>
      <w:r>
        <w:t xml:space="preserve">is separate from system date. COB date = business date − 1. Use catch-up for missed days and inline COB for a single loan before a write.</w:t>
      </w:r>
    </w:p>
    <w:p>
      <w:pPr>
        <w:numPr>
          <w:ilvl w:val="0"/>
          <w:numId w:val="1032"/>
        </w:numPr>
        <w:pStyle w:val="Compact"/>
      </w:pPr>
      <w:r>
        <w:rPr>
          <w:bCs/>
          <w:b/>
        </w:rPr>
        <w:t xml:space="preserve">Ordered, configurable COB steps.</w:t>
      </w:r>
      <w:r>
        <w:t xml:space="preserve"> </w:t>
      </w:r>
      <w:r>
        <w:t xml:space="preserve">Fineract’s six default steps are: apply overdue charges, delinquency classification, repayment-due check, repayment-overdue check, arrears ageing, periodic accruals. Finbyx reorders and extends them for IRACP. Income must never be accrued on an account that becomes NPA that day.</w:t>
      </w:r>
    </w:p>
    <w:p>
      <w:pPr>
        <w:numPr>
          <w:ilvl w:val="1"/>
          <w:numId w:val="1033"/>
        </w:numPr>
        <w:pStyle w:val="Compact"/>
      </w:pPr>
      <w:r>
        <w:rPr>
          <w:bCs/>
          <w:b/>
        </w:rPr>
        <w:t xml:space="preserve">Pass A (per loan, partitioned):</w:t>
      </w:r>
    </w:p>
    <w:p>
      <w:pPr>
        <w:numPr>
          <w:ilvl w:val="2"/>
          <w:numId w:val="1034"/>
        </w:numPr>
        <w:pStyle w:val="Compact"/>
      </w:pPr>
      <w:r>
        <w:t xml:space="preserve">Apply overdue/penal charges</w:t>
      </w:r>
    </w:p>
    <w:p>
      <w:pPr>
        <w:numPr>
          <w:ilvl w:val="2"/>
          <w:numId w:val="1034"/>
        </w:numPr>
        <w:pStyle w:val="Compact"/>
      </w:pPr>
      <w:r>
        <w:t xml:space="preserve">Interest recalculation (where the product uses it)</w:t>
      </w:r>
    </w:p>
    <w:p>
      <w:pPr>
        <w:numPr>
          <w:ilvl w:val="2"/>
          <w:numId w:val="1034"/>
        </w:numPr>
        <w:pStyle w:val="Compact"/>
      </w:pPr>
      <w:r>
        <w:t xml:space="preserve">Repayment-due and overdue events</w:t>
      </w:r>
    </w:p>
    <w:p>
      <w:pPr>
        <w:numPr>
          <w:ilvl w:val="2"/>
          <w:numId w:val="1034"/>
        </w:numPr>
        <w:pStyle w:val="Compact"/>
      </w:pPr>
      <w:r>
        <w:t xml:space="preserve">Arrears ageing</w:t>
      </w:r>
    </w:p>
    <w:p>
      <w:pPr>
        <w:numPr>
          <w:ilvl w:val="2"/>
          <w:numId w:val="1034"/>
        </w:numPr>
        <w:pStyle w:val="Compact"/>
      </w:pPr>
      <w:r>
        <w:t xml:space="preserve">Loan-level DPD/delinquency</w:t>
      </w:r>
    </w:p>
    <w:p>
      <w:pPr>
        <w:numPr>
          <w:ilvl w:val="1"/>
          <w:numId w:val="1033"/>
        </w:numPr>
        <w:pStyle w:val="Compact"/>
      </w:pPr>
      <w:r>
        <w:rPr>
          <w:bCs/>
          <w:b/>
        </w:rPr>
        <w:t xml:space="preserve">Barrier (cross-loan):</w:t>
      </w:r>
    </w:p>
    <w:p>
      <w:pPr>
        <w:numPr>
          <w:ilvl w:val="2"/>
          <w:numId w:val="1035"/>
        </w:numPr>
        <w:pStyle w:val="Compact"/>
      </w:pPr>
      <w:r>
        <w:t xml:space="preserve">Borrower-level SMA/NPA classification and upgrade check across all facilities of the borrower with the tenant, including all of the borrower’s securities held as investments (NPA/NPI) (IRACP para 23). Upgrade only when all arrears on all facilities are paid (paras 24–25); restructured/DCCO accounts follow RSA (para 26). Co-lending sync per M11; IRACP requires no cross-group-entity classification</w:t>
      </w:r>
    </w:p>
    <w:p>
      <w:pPr>
        <w:numPr>
          <w:ilvl w:val="1"/>
          <w:numId w:val="1033"/>
        </w:numPr>
        <w:pStyle w:val="Compact"/>
      </w:pPr>
      <w:r>
        <w:rPr>
          <w:bCs/>
          <w:b/>
        </w:rPr>
        <w:t xml:space="preserve">Pass B (per loan, partitioned):</w:t>
      </w:r>
    </w:p>
    <w:p>
      <w:pPr>
        <w:numPr>
          <w:ilvl w:val="2"/>
          <w:numId w:val="1036"/>
        </w:numPr>
        <w:pStyle w:val="Compact"/>
      </w:pPr>
      <w:r>
        <w:t xml:space="preserve">Income recognition: accrue for standard accounts; for NPA accounts derecognise and reverse unrealised interest, fees, penal and other charges, and keep memorandum interest only (IRACP para 38); interest capitalised under a moratorium permitted at sanction is not reversed (para 40)</w:t>
      </w:r>
    </w:p>
    <w:p>
      <w:pPr>
        <w:numPr>
          <w:ilvl w:val="2"/>
          <w:numId w:val="1036"/>
        </w:numPr>
        <w:pStyle w:val="Compact"/>
      </w:pPr>
      <w:r>
        <w:t xml:space="preserve">EIR amortisation (Stage 3 on net carrying amount)</w:t>
      </w:r>
    </w:p>
    <w:p>
      <w:pPr>
        <w:numPr>
          <w:ilvl w:val="2"/>
          <w:numId w:val="1036"/>
        </w:numPr>
        <w:pStyle w:val="Compact"/>
      </w:pPr>
      <w:r>
        <w:t xml:space="preserve">ECL/IRACP provisioning snapshot</w:t>
      </w:r>
    </w:p>
    <w:p>
      <w:pPr>
        <w:numPr>
          <w:ilvl w:val="1"/>
          <w:numId w:val="1033"/>
        </w:numPr>
        <w:pStyle w:val="Compact"/>
      </w:pPr>
      <w:r>
        <w:rPr>
          <w:bCs/>
          <w:b/>
        </w:rPr>
        <w:t xml:space="preserve">Job-level:</w:t>
      </w:r>
    </w:p>
    <w:p>
      <w:pPr>
        <w:numPr>
          <w:ilvl w:val="2"/>
          <w:numId w:val="1037"/>
        </w:numPr>
        <w:pStyle w:val="Compact"/>
      </w:pPr>
      <w:r>
        <w:t xml:space="preserve">Co-lending classification sync file</w:t>
      </w:r>
    </w:p>
    <w:p>
      <w:pPr>
        <w:numPr>
          <w:ilvl w:val="2"/>
          <w:numId w:val="1037"/>
        </w:numPr>
        <w:pStyle w:val="Compact"/>
      </w:pPr>
      <w:r>
        <w:t xml:space="preserve">CIC reference-date extracts</w:t>
      </w:r>
    </w:p>
    <w:p>
      <w:pPr>
        <w:numPr>
          <w:ilvl w:val="2"/>
          <w:numId w:val="1037"/>
        </w:numPr>
        <w:pStyle w:val="Compact"/>
      </w:pPr>
      <w:r>
        <w:t xml:space="preserve">Collection allocation refresh</w:t>
      </w:r>
    </w:p>
    <w:p>
      <w:pPr>
        <w:numPr>
          <w:ilvl w:val="2"/>
          <w:numId w:val="1037"/>
        </w:numPr>
        <w:pStyle w:val="Compact"/>
      </w:pPr>
      <w:r>
        <w:t xml:space="preserve">GL posting batch and sub-ledger-to-GL reconciliation</w:t>
      </w:r>
    </w:p>
    <w:p>
      <w:pPr>
        <w:numPr>
          <w:ilvl w:val="0"/>
          <w:numId w:val="1032"/>
        </w:numPr>
        <w:pStyle w:val="Compact"/>
      </w:pPr>
      <w:r>
        <w:rPr>
          <w:bCs/>
          <w:b/>
        </w:rPr>
        <w:t xml:space="preserve">Requirements:</w:t>
      </w:r>
    </w:p>
    <w:p>
      <w:pPr>
        <w:numPr>
          <w:ilvl w:val="1"/>
          <w:numId w:val="1038"/>
        </w:numPr>
        <w:pStyle w:val="Compact"/>
      </w:pPr>
      <w:r>
        <w:t xml:space="preserve">partitioned, horizontally scalable workers;</w:t>
      </w:r>
    </w:p>
    <w:p>
      <w:pPr>
        <w:numPr>
          <w:ilvl w:val="1"/>
          <w:numId w:val="1038"/>
        </w:numPr>
        <w:pStyle w:val="Compact"/>
      </w:pPr>
      <w:r>
        <w:t xml:space="preserve">per-loan locking or optimistic concurrency;</w:t>
      </w:r>
    </w:p>
    <w:p>
      <w:pPr>
        <w:numPr>
          <w:ilvl w:val="1"/>
          <w:numId w:val="1038"/>
        </w:numPr>
        <w:pStyle w:val="Compact"/>
      </w:pPr>
      <w:r>
        <w:t xml:space="preserve">restartability;</w:t>
      </w:r>
    </w:p>
    <w:p>
      <w:pPr>
        <w:numPr>
          <w:ilvl w:val="1"/>
          <w:numId w:val="1038"/>
        </w:numPr>
        <w:pStyle w:val="Compact"/>
      </w:pPr>
      <w:r>
        <w:t xml:space="preserve">the</w:t>
      </w:r>
      <w:r>
        <w:t xml:space="preserve"> </w:t>
      </w:r>
      <w:r>
        <w:t xml:space="preserve">“</w:t>
      </w:r>
      <w:r>
        <w:t xml:space="preserve">last closed business date</w:t>
      </w:r>
      <w:r>
        <w:t xml:space="preserve">”</w:t>
      </w:r>
      <w:r>
        <w:t xml:space="preserve"> </w:t>
      </w:r>
      <w:r>
        <w:t xml:space="preserve">kept per loan;</w:t>
      </w:r>
    </w:p>
    <w:p>
      <w:pPr>
        <w:numPr>
          <w:ilvl w:val="1"/>
          <w:numId w:val="1038"/>
        </w:numPr>
        <w:pStyle w:val="Compact"/>
      </w:pPr>
      <w:r>
        <w:t xml:space="preserve">an EOD dashboard with exceptions;</w:t>
      </w:r>
    </w:p>
    <w:p>
      <w:pPr>
        <w:numPr>
          <w:ilvl w:val="1"/>
          <w:numId w:val="1038"/>
        </w:numPr>
        <w:pStyle w:val="Compact"/>
      </w:pPr>
      <w:r>
        <w:rPr>
          <w:bCs/>
          <w:b/>
        </w:rPr>
        <w:t xml:space="preserve">zero-downtime EOD:</w:t>
      </w:r>
      <w:r>
        <w:t xml:space="preserve"> </w:t>
      </w:r>
      <w:r>
        <w:t xml:space="preserve">branches keep working while COB runs, and writes on a loan still awaiting COB trigger an inline COB for that loan.</w:t>
      </w:r>
    </w:p>
    <w:p>
      <w:pPr>
        <w:pStyle w:val="FirstParagraph"/>
      </w:pPr>
      <w:r>
        <w:rPr>
          <w:bCs/>
          <w:b/>
        </w:rPr>
        <w:t xml:space="preserve">F. Accounting:</w:t>
      </w:r>
    </w:p>
    <w:p>
      <w:pPr>
        <w:numPr>
          <w:ilvl w:val="0"/>
          <w:numId w:val="1039"/>
        </w:numPr>
        <w:pStyle w:val="Compact"/>
      </w:pPr>
      <w:r>
        <w:rPr>
          <w:bCs/>
          <w:b/>
        </w:rPr>
        <w:t xml:space="preserve">Accounting rules per product:</w:t>
      </w:r>
      <w:r>
        <w:t xml:space="preserve"> </w:t>
      </w:r>
      <w:r>
        <w:t xml:space="preserve">none, cash, accrual-periodic, accrual-upfront. Indian NBFCs will normally use accrual.</w:t>
      </w:r>
    </w:p>
    <w:p>
      <w:pPr>
        <w:numPr>
          <w:ilvl w:val="0"/>
          <w:numId w:val="1039"/>
        </w:numPr>
        <w:pStyle w:val="Compact"/>
      </w:pPr>
      <w:r>
        <w:rPr>
          <w:bCs/>
          <w:b/>
        </w:rPr>
        <w:t xml:space="preserve">GL accounts:</w:t>
      </w:r>
      <w:r>
        <w:t xml:space="preserve"> </w:t>
      </w:r>
      <w:r>
        <w:t xml:space="preserve">asset, liability, equity, income, expense; header and detail accounts.</w:t>
      </w:r>
    </w:p>
    <w:p>
      <w:pPr>
        <w:numPr>
          <w:ilvl w:val="0"/>
          <w:numId w:val="1039"/>
        </w:numPr>
        <w:pStyle w:val="Compact"/>
      </w:pPr>
      <w:r>
        <w:rPr>
          <w:bCs/>
          <w:b/>
        </w:rPr>
        <w:t xml:space="preserve">Product-to-GL mapping keys:</w:t>
      </w:r>
    </w:p>
    <w:p>
      <w:pPr>
        <w:numPr>
          <w:ilvl w:val="1"/>
          <w:numId w:val="1040"/>
        </w:numPr>
        <w:pStyle w:val="Compact"/>
      </w:pPr>
      <w:r>
        <w:t xml:space="preserve">fund source;</w:t>
      </w:r>
    </w:p>
    <w:p>
      <w:pPr>
        <w:numPr>
          <w:ilvl w:val="1"/>
          <w:numId w:val="1040"/>
        </w:numPr>
        <w:pStyle w:val="Compact"/>
      </w:pPr>
      <w:r>
        <w:t xml:space="preserve">loan portfolio (principal);</w:t>
      </w:r>
    </w:p>
    <w:p>
      <w:pPr>
        <w:numPr>
          <w:ilvl w:val="1"/>
          <w:numId w:val="1040"/>
        </w:numPr>
        <w:pStyle w:val="Compact"/>
      </w:pPr>
      <w:r>
        <w:t xml:space="preserve">interest, fees and penalties receivable;</w:t>
      </w:r>
    </w:p>
    <w:p>
      <w:pPr>
        <w:numPr>
          <w:ilvl w:val="1"/>
          <w:numId w:val="1040"/>
        </w:numPr>
        <w:pStyle w:val="Compact"/>
      </w:pPr>
      <w:r>
        <w:t xml:space="preserve">interest, fee and penal income;</w:t>
      </w:r>
    </w:p>
    <w:p>
      <w:pPr>
        <w:numPr>
          <w:ilvl w:val="1"/>
          <w:numId w:val="1040"/>
        </w:numPr>
        <w:pStyle w:val="Compact"/>
      </w:pPr>
      <w:r>
        <w:t xml:space="preserve">losses written off;</w:t>
      </w:r>
    </w:p>
    <w:p>
      <w:pPr>
        <w:numPr>
          <w:ilvl w:val="1"/>
          <w:numId w:val="1040"/>
        </w:numPr>
        <w:pStyle w:val="Compact"/>
      </w:pPr>
      <w:r>
        <w:t xml:space="preserve">recovery income;</w:t>
      </w:r>
    </w:p>
    <w:p>
      <w:pPr>
        <w:numPr>
          <w:ilvl w:val="1"/>
          <w:numId w:val="1040"/>
        </w:numPr>
        <w:pStyle w:val="Compact"/>
      </w:pPr>
      <w:r>
        <w:t xml:space="preserve">overpayment liability;</w:t>
      </w:r>
    </w:p>
    <w:p>
      <w:pPr>
        <w:numPr>
          <w:ilvl w:val="1"/>
          <w:numId w:val="1040"/>
        </w:numPr>
        <w:pStyle w:val="Compact"/>
      </w:pPr>
      <w:r>
        <w:t xml:space="preserve">transfers suspense;</w:t>
      </w:r>
    </w:p>
    <w:p>
      <w:pPr>
        <w:numPr>
          <w:ilvl w:val="1"/>
          <w:numId w:val="1040"/>
        </w:numPr>
        <w:pStyle w:val="Compact"/>
      </w:pPr>
      <w:r>
        <w:t xml:space="preserve">goodwill credit;</w:t>
      </w:r>
    </w:p>
    <w:p>
      <w:pPr>
        <w:numPr>
          <w:ilvl w:val="1"/>
          <w:numId w:val="1040"/>
        </w:numPr>
        <w:pStyle w:val="Compact"/>
      </w:pPr>
      <w:r>
        <w:t xml:space="preserve">charge-off expense and fraud expense;</w:t>
      </w:r>
    </w:p>
    <w:p>
      <w:pPr>
        <w:numPr>
          <w:ilvl w:val="1"/>
          <w:numId w:val="1040"/>
        </w:numPr>
        <w:pStyle w:val="Compact"/>
      </w:pPr>
      <w:r>
        <w:t xml:space="preserve">deferred income liability (capitalised fees);</w:t>
      </w:r>
    </w:p>
    <w:p>
      <w:pPr>
        <w:numPr>
          <w:ilvl w:val="1"/>
          <w:numId w:val="1040"/>
        </w:numPr>
        <w:pStyle w:val="Compact"/>
      </w:pPr>
      <w:r>
        <w:t xml:space="preserve">income from charge-off (interest, fees, penalty) and income from goodwill credit (interest, fees, penalty);</w:t>
      </w:r>
    </w:p>
    <w:p>
      <w:pPr>
        <w:numPr>
          <w:ilvl w:val="1"/>
          <w:numId w:val="1040"/>
        </w:numPr>
        <w:pStyle w:val="Compact"/>
      </w:pPr>
      <w:r>
        <w:t xml:space="preserve">income from capitalisation, buy-down expense and income from buy-down;</w:t>
      </w:r>
    </w:p>
    <w:p>
      <w:pPr>
        <w:numPr>
          <w:ilvl w:val="1"/>
          <w:numId w:val="1040"/>
        </w:numPr>
        <w:pStyle w:val="Compact"/>
      </w:pPr>
      <w:r>
        <w:t xml:space="preserve">payment-channel-to-fund-source mappings;</w:t>
      </w:r>
    </w:p>
    <w:p>
      <w:pPr>
        <w:numPr>
          <w:ilvl w:val="1"/>
          <w:numId w:val="1040"/>
        </w:numPr>
        <w:pStyle w:val="Compact"/>
      </w:pPr>
      <w:r>
        <w:t xml:space="preserve">fee/penalty-to-income mappings;</w:t>
      </w:r>
    </w:p>
    <w:p>
      <w:pPr>
        <w:numPr>
          <w:ilvl w:val="1"/>
          <w:numId w:val="1040"/>
        </w:numPr>
        <w:pStyle w:val="Compact"/>
      </w:pPr>
      <w:r>
        <w:t xml:space="preserve">write-off-reason and charge-off-reason expense mappings.</w:t>
      </w:r>
    </w:p>
    <w:p>
      <w:pPr>
        <w:numPr>
          <w:ilvl w:val="0"/>
          <w:numId w:val="1039"/>
        </w:numPr>
        <w:pStyle w:val="Compact"/>
      </w:pPr>
      <w:r>
        <w:rPr>
          <w:bCs/>
          <w:b/>
        </w:rPr>
        <w:t xml:space="preserve">Other accounting features:</w:t>
      </w:r>
    </w:p>
    <w:p>
      <w:pPr>
        <w:numPr>
          <w:ilvl w:val="1"/>
          <w:numId w:val="1041"/>
        </w:numPr>
        <w:pStyle w:val="Compact"/>
      </w:pPr>
      <w:r>
        <w:t xml:space="preserve">financial activity mappings;</w:t>
      </w:r>
    </w:p>
    <w:p>
      <w:pPr>
        <w:numPr>
          <w:ilvl w:val="1"/>
          <w:numId w:val="1041"/>
        </w:numPr>
        <w:pStyle w:val="Compact"/>
      </w:pPr>
      <w:r>
        <w:t xml:space="preserve">accounting closures (period lock);</w:t>
      </w:r>
    </w:p>
    <w:p>
      <w:pPr>
        <w:numPr>
          <w:ilvl w:val="1"/>
          <w:numId w:val="1041"/>
        </w:numPr>
        <w:pStyle w:val="Compact"/>
      </w:pPr>
      <w:r>
        <w:t xml:space="preserve">provisioning criteria;</w:t>
      </w:r>
    </w:p>
    <w:p>
      <w:pPr>
        <w:numPr>
          <w:ilvl w:val="1"/>
          <w:numId w:val="1041"/>
        </w:numPr>
        <w:pStyle w:val="Compact"/>
      </w:pPr>
      <w:r>
        <w:t xml:space="preserve">running balances;</w:t>
      </w:r>
    </w:p>
    <w:p>
      <w:pPr>
        <w:numPr>
          <w:ilvl w:val="1"/>
          <w:numId w:val="1041"/>
        </w:numPr>
        <w:pStyle w:val="Compact"/>
      </w:pPr>
      <w:r>
        <w:t xml:space="preserve">trial balance;</w:t>
      </w:r>
    </w:p>
    <w:p>
      <w:pPr>
        <w:numPr>
          <w:ilvl w:val="1"/>
          <w:numId w:val="1041"/>
        </w:numPr>
        <w:pStyle w:val="Compact"/>
      </w:pPr>
      <w:r>
        <w:t xml:space="preserve">journal-entry aggregation.</w:t>
      </w:r>
    </w:p>
    <w:p>
      <w:pPr>
        <w:pStyle w:val="FirstParagraph"/>
      </w:pPr>
      <w:r>
        <w:rPr>
          <w:bCs/>
          <w:b/>
        </w:rPr>
        <w:t xml:space="preserve">G. Platform patterns:</w:t>
      </w:r>
    </w:p>
    <w:p>
      <w:pPr>
        <w:numPr>
          <w:ilvl w:val="0"/>
          <w:numId w:val="1042"/>
        </w:numPr>
        <w:pStyle w:val="Compact"/>
      </w:pPr>
      <w:r>
        <w:t xml:space="preserve">Maker-checker configurable</w:t>
      </w:r>
      <w:r>
        <w:t xml:space="preserve"> </w:t>
      </w:r>
      <w:r>
        <w:rPr>
          <w:bCs/>
          <w:b/>
        </w:rPr>
        <w:t xml:space="preserve">per permission</w:t>
      </w:r>
      <w:r>
        <w:t xml:space="preserve">.</w:t>
      </w:r>
    </w:p>
    <w:p>
      <w:pPr>
        <w:numPr>
          <w:ilvl w:val="0"/>
          <w:numId w:val="1042"/>
        </w:numPr>
        <w:pStyle w:val="Compact"/>
      </w:pPr>
      <w:r>
        <w:t xml:space="preserve">Datatables (custom fields) on any entity.</w:t>
      </w:r>
    </w:p>
    <w:p>
      <w:pPr>
        <w:numPr>
          <w:ilvl w:val="0"/>
          <w:numId w:val="1042"/>
        </w:numPr>
        <w:pStyle w:val="Compact"/>
      </w:pPr>
      <w:r>
        <w:t xml:space="preserve">An</w:t>
      </w:r>
      <w:r>
        <w:t xml:space="preserve"> </w:t>
      </w:r>
      <w:r>
        <w:rPr>
          <w:rStyle w:val="VerbatimChar"/>
        </w:rPr>
        <w:t xml:space="preserve">Idempotency-Key</w:t>
      </w:r>
      <w:r>
        <w:t xml:space="preserve"> </w:t>
      </w:r>
      <w:r>
        <w:t xml:space="preserve">header on every write API.</w:t>
      </w:r>
    </w:p>
    <w:p>
      <w:pPr>
        <w:numPr>
          <w:ilvl w:val="0"/>
          <w:numId w:val="1042"/>
        </w:numPr>
        <w:pStyle w:val="Compact"/>
      </w:pPr>
      <w:r>
        <w:t xml:space="preserve">A batch API.</w:t>
      </w:r>
    </w:p>
    <w:p>
      <w:pPr>
        <w:numPr>
          <w:ilvl w:val="0"/>
          <w:numId w:val="1042"/>
        </w:numPr>
        <w:pStyle w:val="Compact"/>
      </w:pPr>
      <w:r>
        <w:t xml:space="preserve">Transactional-outbox</w:t>
      </w:r>
      <w:r>
        <w:t xml:space="preserve"> </w:t>
      </w:r>
      <w:r>
        <w:rPr>
          <w:bCs/>
          <w:b/>
        </w:rPr>
        <w:t xml:space="preserve">external business events</w:t>
      </w:r>
      <w:r>
        <w:t xml:space="preserve"> </w:t>
      </w:r>
      <w:r>
        <w:t xml:space="preserve">with an Avro/JSON-schema registry.</w:t>
      </w:r>
    </w:p>
    <w:p>
      <w:pPr>
        <w:numPr>
          <w:ilvl w:val="0"/>
          <w:numId w:val="1042"/>
        </w:numPr>
        <w:pStyle w:val="Compact"/>
      </w:pPr>
      <w:r>
        <w:t xml:space="preserve">Office/branch hierarchy and staff/loan-officer assignment.</w:t>
      </w:r>
    </w:p>
    <w:p>
      <w:pPr>
        <w:numPr>
          <w:ilvl w:val="0"/>
          <w:numId w:val="1042"/>
        </w:numPr>
        <w:pStyle w:val="Compact"/>
      </w:pPr>
      <w:r>
        <w:t xml:space="preserve">Collateral and guarantor management.</w:t>
      </w:r>
    </w:p>
    <w:p>
      <w:pPr>
        <w:numPr>
          <w:ilvl w:val="0"/>
          <w:numId w:val="1042"/>
        </w:numPr>
        <w:pStyle w:val="Compact"/>
      </w:pPr>
      <w:r>
        <w:t xml:space="preserve">Standing instructions.</w:t>
      </w:r>
    </w:p>
    <w:p>
      <w:pPr>
        <w:numPr>
          <w:ilvl w:val="0"/>
          <w:numId w:val="1042"/>
        </w:numPr>
        <w:pStyle w:val="Compact"/>
      </w:pPr>
      <w:r>
        <w:t xml:space="preserve">Post-dated cheques — migration/legacy only: no fresh or additional PDCs/EMI cheques alongside NACH; CTS-2010 cheques only where NACH is unavailable (MISC paras 22–23; para 23 not applicable to HFCs).</w:t>
      </w:r>
    </w:p>
    <w:p>
      <w:pPr>
        <w:numPr>
          <w:ilvl w:val="0"/>
          <w:numId w:val="1042"/>
        </w:numPr>
        <w:pStyle w:val="Compact"/>
      </w:pPr>
      <w:r>
        <w:t xml:space="preserve">Notes and documents.</w:t>
      </w:r>
    </w:p>
    <w:p>
      <w:pPr>
        <w:numPr>
          <w:ilvl w:val="0"/>
          <w:numId w:val="1042"/>
        </w:numPr>
        <w:pStyle w:val="Compact"/>
      </w:pPr>
      <w:r>
        <w:t xml:space="preserve">Report runner.</w:t>
      </w:r>
    </w:p>
    <w:p>
      <w:pPr>
        <w:numPr>
          <w:ilvl w:val="0"/>
          <w:numId w:val="1042"/>
        </w:numPr>
        <w:pStyle w:val="Compact"/>
      </w:pPr>
      <w:r>
        <w:t xml:space="preserve">Savings, fixed and recurring deposits: keep them as a later, optional module for deposit-taking NBFCs and UCBs.</w:t>
      </w:r>
    </w:p>
    <w:bookmarkEnd w:id="29"/>
    <w:bookmarkStart w:id="30" w:name="where-finbyx-must-go-beyond-fineract"/>
    <w:p>
      <w:pPr>
        <w:pStyle w:val="Heading2"/>
      </w:pPr>
      <w:r>
        <w:t xml:space="preserve">4.3 Where Finbyx must go beyond Fineract</w:t>
      </w:r>
    </w:p>
    <w:p>
      <w:pPr>
        <w:numPr>
          <w:ilvl w:val="0"/>
          <w:numId w:val="1043"/>
        </w:numPr>
        <w:pStyle w:val="Compact"/>
      </w:pPr>
      <w:r>
        <w:rPr>
          <w:bCs/>
          <w:b/>
        </w:rPr>
        <w:t xml:space="preserve">One schedule-and-allocation engine</w:t>
      </w:r>
      <w:r>
        <w:t xml:space="preserve"> </w:t>
      </w:r>
      <w:r>
        <w:t xml:space="preserve">built as pure functions over an immutable, append-only loan event log, with snapshots, so back-dated replays are fast and deterministic. Avoid Fineract’s two parallel engines.</w:t>
      </w:r>
    </w:p>
    <w:p>
      <w:pPr>
        <w:numPr>
          <w:ilvl w:val="0"/>
          <w:numId w:val="1043"/>
        </w:numPr>
        <w:pStyle w:val="Compact"/>
      </w:pPr>
      <w:r>
        <w:rPr>
          <w:bCs/>
          <w:b/>
        </w:rPr>
        <w:t xml:space="preserve">Typed commands,</w:t>
      </w:r>
      <w:r>
        <w:t xml:space="preserve"> </w:t>
      </w:r>
      <w:r>
        <w:t xml:space="preserve">an idempotency store, optimistic concurrency per loan aggregate, and async processing where safe. This removes the single synchronous command-processing bottleneck.</w:t>
      </w:r>
    </w:p>
    <w:p>
      <w:pPr>
        <w:numPr>
          <w:ilvl w:val="0"/>
          <w:numId w:val="1043"/>
        </w:numPr>
        <w:pStyle w:val="Compact"/>
      </w:pPr>
      <w:r>
        <w:rPr>
          <w:bCs/>
          <w:b/>
        </w:rPr>
        <w:t xml:space="preserve">Exact decimal arithmetic:</w:t>
      </w:r>
    </w:p>
    <w:p>
      <w:pPr>
        <w:numPr>
          <w:ilvl w:val="1"/>
          <w:numId w:val="1044"/>
        </w:numPr>
        <w:pStyle w:val="Compact"/>
      </w:pPr>
      <w:r>
        <w:t xml:space="preserve">PostgreSQL</w:t>
      </w:r>
      <w:r>
        <w:t xml:space="preserve"> </w:t>
      </w:r>
      <w:r>
        <w:rPr>
          <w:rStyle w:val="VerbatimChar"/>
        </w:rPr>
        <w:t xml:space="preserve">NUMERIC</w:t>
      </w:r>
      <w:r>
        <w:t xml:space="preserve">: amounts</w:t>
      </w:r>
      <w:r>
        <w:t xml:space="preserve"> </w:t>
      </w:r>
      <w:r>
        <w:rPr>
          <w:rStyle w:val="VerbatimChar"/>
        </w:rPr>
        <w:t xml:space="preserve">NUMERIC(20,4)</w:t>
      </w:r>
      <w:r>
        <w:t xml:space="preserve">; rates</w:t>
      </w:r>
      <w:r>
        <w:t xml:space="preserve"> </w:t>
      </w:r>
      <w:r>
        <w:rPr>
          <w:rStyle w:val="VerbatimChar"/>
        </w:rPr>
        <w:t xml:space="preserve">NUMERIC(12,8)</w:t>
      </w:r>
      <w:r>
        <w:t xml:space="preserve">; APR/EIR</w:t>
      </w:r>
      <w:r>
        <w:t xml:space="preserve"> </w:t>
      </w:r>
      <w:r>
        <w:rPr>
          <w:rStyle w:val="VerbatimChar"/>
        </w:rPr>
        <w:t xml:space="preserve">NUMERIC(14,10)</w:t>
      </w:r>
      <w:r>
        <w:t xml:space="preserve"> </w:t>
      </w:r>
      <w:r>
        <w:t xml:space="preserve">(payday APRs can exceed 999%);</w:t>
      </w:r>
    </w:p>
    <w:p>
      <w:pPr>
        <w:numPr>
          <w:ilvl w:val="1"/>
          <w:numId w:val="1044"/>
        </w:numPr>
        <w:pStyle w:val="Compact"/>
      </w:pPr>
      <w:r>
        <w:rPr>
          <w:rStyle w:val="VerbatimChar"/>
        </w:rPr>
        <w:t xml:space="preserve">decimal.js</w:t>
      </w:r>
      <w:r>
        <w:t xml:space="preserve"> </w:t>
      </w:r>
      <w:r>
        <w:t xml:space="preserve">in TypeScript, configured with at least 40 significant digits (</w:t>
      </w:r>
      <w:r>
        <w:rPr>
          <w:rStyle w:val="VerbatimChar"/>
        </w:rPr>
        <w:t xml:space="preserve">Decimal.set({ precision: 40 })</w:t>
      </w:r>
      <w:r>
        <w:t xml:space="preserve">);</w:t>
      </w:r>
    </w:p>
    <w:p>
      <w:pPr>
        <w:numPr>
          <w:ilvl w:val="1"/>
          <w:numId w:val="1044"/>
        </w:numPr>
        <w:pStyle w:val="Compact"/>
      </w:pPr>
      <w:r>
        <w:t xml:space="preserve">money serialised as strings in APIs;</w:t>
      </w:r>
    </w:p>
    <w:p>
      <w:pPr>
        <w:numPr>
          <w:ilvl w:val="1"/>
          <w:numId w:val="1044"/>
        </w:numPr>
        <w:pStyle w:val="Compact"/>
      </w:pPr>
      <w:r>
        <w:t xml:space="preserve">an explicit, configurable rounding policy per component;</w:t>
      </w:r>
    </w:p>
    <w:p>
      <w:pPr>
        <w:numPr>
          <w:ilvl w:val="1"/>
          <w:numId w:val="1044"/>
        </w:numPr>
        <w:pStyle w:val="Compact"/>
      </w:pPr>
      <w:r>
        <w:t xml:space="preserve">rounding of all customer transactions (instalments, interest charged, charges, receipts, refunds, deposit interest) to the nearest rupee: 50 paise and above rounded up, below 50 paise ignored; customer cheques containing paise are never rejected. Accruals stay at NUMERIC(20,4) internally and are rounded at billing/posting. Applies to all layers, HFCs and CICs (RBC para 103; MISC para 27).</w:t>
      </w:r>
    </w:p>
    <w:p>
      <w:pPr>
        <w:numPr>
          <w:ilvl w:val="0"/>
          <w:numId w:val="1043"/>
        </w:numPr>
        <w:pStyle w:val="Compact"/>
      </w:pPr>
      <w:r>
        <w:rPr>
          <w:bCs/>
          <w:b/>
        </w:rPr>
        <w:t xml:space="preserve">Ind AS 109 compliance:</w:t>
      </w:r>
    </w:p>
    <w:p>
      <w:pPr>
        <w:numPr>
          <w:ilvl w:val="1"/>
          <w:numId w:val="1045"/>
        </w:numPr>
        <w:pStyle w:val="Compact"/>
      </w:pPr>
      <w:r>
        <w:t xml:space="preserve">EIR computed by IRR (Newton-Raphson with bisection fallback) over contractual cash flows, including fees and directly attributable costs;</w:t>
      </w:r>
    </w:p>
    <w:p>
      <w:pPr>
        <w:numPr>
          <w:ilvl w:val="1"/>
          <w:numId w:val="1045"/>
        </w:numPr>
        <w:pStyle w:val="Compact"/>
      </w:pPr>
      <w:r>
        <w:t xml:space="preserve">amortisation of deferred fee and cost at EIR;</w:t>
      </w:r>
    </w:p>
    <w:p>
      <w:pPr>
        <w:numPr>
          <w:ilvl w:val="1"/>
          <w:numId w:val="1045"/>
        </w:numPr>
        <w:pStyle w:val="Compact"/>
      </w:pPr>
      <w:r>
        <w:t xml:space="preserve">Stage 1/2/3 ECL (PD × LGD × EAD, SICR at &gt;30 DPD rebuttable, credit-impaired at &gt;90 DPD);</w:t>
      </w:r>
    </w:p>
    <w:p>
      <w:pPr>
        <w:numPr>
          <w:ilvl w:val="1"/>
          <w:numId w:val="1045"/>
        </w:numPr>
        <w:pStyle w:val="Compact"/>
      </w:pPr>
      <w:r>
        <w:t xml:space="preserve">interest on net carrying amount in Stage 3;</w:t>
      </w:r>
    </w:p>
    <w:p>
      <w:pPr>
        <w:numPr>
          <w:ilvl w:val="1"/>
          <w:numId w:val="1045"/>
        </w:numPr>
        <w:pStyle w:val="Compact"/>
      </w:pPr>
      <w:r>
        <w:rPr>
          <w:bCs/>
          <w:b/>
        </w:rPr>
        <w:t xml:space="preserve">parallel IRACP computation</w:t>
      </w:r>
      <w:r>
        <w:t xml:space="preserve">, with the shortfall appropriated to an Impairment Reserve where Ind AS ECL is lower than the prudential floor (IRACP paras 34–36).</w:t>
      </w:r>
    </w:p>
    <w:p>
      <w:pPr>
        <w:numPr>
          <w:ilvl w:val="0"/>
          <w:numId w:val="1043"/>
        </w:numPr>
        <w:pStyle w:val="Compact"/>
      </w:pPr>
      <w:r>
        <w:rPr>
          <w:bCs/>
          <w:b/>
        </w:rPr>
        <w:t xml:space="preserve">Indian GST:</w:t>
      </w:r>
    </w:p>
    <w:p>
      <w:pPr>
        <w:numPr>
          <w:ilvl w:val="1"/>
          <w:numId w:val="1046"/>
        </w:numPr>
        <w:pStyle w:val="Compact"/>
      </w:pPr>
      <w:r>
        <w:t xml:space="preserve">exclusive GST added on top of fees, with a CGST/SGST/IGST split by place of supply;</w:t>
      </w:r>
    </w:p>
    <w:p>
      <w:pPr>
        <w:numPr>
          <w:ilvl w:val="1"/>
          <w:numId w:val="1046"/>
        </w:numPr>
        <w:pStyle w:val="Compact"/>
      </w:pPr>
      <w:r>
        <w:rPr>
          <w:bCs/>
          <w:b/>
        </w:rPr>
        <w:t xml:space="preserve">no GST on penal charges</w:t>
      </w:r>
      <w:r>
        <w:t xml:space="preserve"> </w:t>
      </w:r>
      <w:r>
        <w:t xml:space="preserve">(CBIC Circular No. 245/02/2025-GST dated 28 Jan 2025, para 2.5);</w:t>
      </w:r>
    </w:p>
    <w:p>
      <w:pPr>
        <w:numPr>
          <w:ilvl w:val="1"/>
          <w:numId w:val="1046"/>
        </w:numPr>
        <w:pStyle w:val="Compact"/>
      </w:pPr>
      <w:r>
        <w:t xml:space="preserve">a configurable flag for bounce charges, which become GST-free only if the lender’s Board policy treats them as penal charges [VERIFY];</w:t>
      </w:r>
    </w:p>
    <w:p>
      <w:pPr>
        <w:numPr>
          <w:ilvl w:val="1"/>
          <w:numId w:val="1046"/>
        </w:numPr>
        <w:pStyle w:val="Compact"/>
      </w:pPr>
      <w:r>
        <w:t xml:space="preserve">GST on processing, foreclosure (where levied), bounce and documentation charges as configured;</w:t>
      </w:r>
    </w:p>
    <w:p>
      <w:pPr>
        <w:numPr>
          <w:ilvl w:val="1"/>
          <w:numId w:val="1046"/>
        </w:numPr>
        <w:pStyle w:val="Compact"/>
      </w:pPr>
      <w:r>
        <w:t xml:space="preserve">interest is exempt.</w:t>
      </w:r>
    </w:p>
    <w:p>
      <w:pPr>
        <w:numPr>
          <w:ilvl w:val="0"/>
          <w:numId w:val="1043"/>
        </w:numPr>
        <w:pStyle w:val="Compact"/>
      </w:pPr>
      <w:r>
        <w:rPr>
          <w:bCs/>
          <w:b/>
        </w:rPr>
        <w:t xml:space="preserve">TDS receivable</w:t>
      </w:r>
      <w:r>
        <w:t xml:space="preserve"> </w:t>
      </w:r>
      <w:r>
        <w:t xml:space="preserve">on interest paid by corporate borrowers, reconciled to Form 168 under the Income-tax Act 2025 from tax year 2026-27 (Form 26AS/AIS for FY 2025-26 and earlier; Part 7C AC5.3).</w:t>
      </w:r>
    </w:p>
    <w:p>
      <w:pPr>
        <w:numPr>
          <w:ilvl w:val="0"/>
          <w:numId w:val="1043"/>
        </w:numPr>
        <w:pStyle w:val="Compact"/>
      </w:pPr>
      <w:r>
        <w:rPr>
          <w:bCs/>
          <w:b/>
        </w:rPr>
        <w:t xml:space="preserve">KFS/APR engine</w:t>
      </w:r>
      <w:r>
        <w:t xml:space="preserve"> </w:t>
      </w:r>
      <w:r>
        <w:t xml:space="preserve">compliant with para 29 and Annex I of the Responsible Business Conduct Directions, including the APR golden test in Part 8A.19 (₹20,000 / 24 months / 15% / ₹400 fees → APR 17.07%).</w:t>
      </w:r>
    </w:p>
    <w:p>
      <w:pPr>
        <w:numPr>
          <w:ilvl w:val="0"/>
          <w:numId w:val="1043"/>
        </w:numPr>
        <w:pStyle w:val="Compact"/>
      </w:pPr>
      <w:r>
        <w:rPr>
          <w:bCs/>
          <w:b/>
        </w:rPr>
        <w:t xml:space="preserve">India modules Fineract lacks:</w:t>
      </w:r>
    </w:p>
    <w:p>
      <w:pPr>
        <w:numPr>
          <w:ilvl w:val="1"/>
          <w:numId w:val="1047"/>
        </w:numPr>
        <w:pStyle w:val="Compact"/>
      </w:pPr>
      <w:r>
        <w:t xml:space="preserve">co-lending, DA and securitisation (not just asset externalisation);</w:t>
      </w:r>
    </w:p>
    <w:p>
      <w:pPr>
        <w:numPr>
          <w:ilvl w:val="1"/>
          <w:numId w:val="1047"/>
        </w:numPr>
        <w:pStyle w:val="Compact"/>
      </w:pPr>
      <w:r>
        <w:t xml:space="preserve">CIC Uniform Credit Reporting Format;</w:t>
      </w:r>
    </w:p>
    <w:p>
      <w:pPr>
        <w:numPr>
          <w:ilvl w:val="1"/>
          <w:numId w:val="1047"/>
        </w:numPr>
        <w:pStyle w:val="Compact"/>
      </w:pPr>
      <w:r>
        <w:t xml:space="preserve">CRILC and CIMS returns;</w:t>
      </w:r>
    </w:p>
    <w:p>
      <w:pPr>
        <w:numPr>
          <w:ilvl w:val="1"/>
          <w:numId w:val="1047"/>
        </w:numPr>
        <w:pStyle w:val="Compact"/>
      </w:pPr>
      <w:r>
        <w:t xml:space="preserve">borrower-level classification;</w:t>
      </w:r>
    </w:p>
    <w:p>
      <w:pPr>
        <w:numPr>
          <w:ilvl w:val="1"/>
          <w:numId w:val="1047"/>
        </w:numPr>
        <w:pStyle w:val="Compact"/>
      </w:pPr>
      <w:r>
        <w:t xml:space="preserve">document-release SLA;</w:t>
      </w:r>
    </w:p>
    <w:p>
      <w:pPr>
        <w:numPr>
          <w:ilvl w:val="1"/>
          <w:numId w:val="1047"/>
        </w:numPr>
        <w:pStyle w:val="Compact"/>
      </w:pPr>
      <w:r>
        <w:t xml:space="preserve">recovery-agent controls;</w:t>
      </w:r>
    </w:p>
    <w:p>
      <w:pPr>
        <w:numPr>
          <w:ilvl w:val="1"/>
          <w:numId w:val="1047"/>
        </w:numPr>
        <w:pStyle w:val="Compact"/>
      </w:pPr>
      <w:r>
        <w:t xml:space="preserve">SARFAESI and Sec 138 workflows.</w:t>
      </w:r>
    </w:p>
    <w:p>
      <w:pPr>
        <w:numPr>
          <w:ilvl w:val="0"/>
          <w:numId w:val="1043"/>
        </w:numPr>
        <w:pStyle w:val="Compact"/>
      </w:pPr>
      <w:r>
        <w:rPr>
          <w:bCs/>
          <w:b/>
        </w:rPr>
        <w:t xml:space="preserve">A modern, data-dense, role-based web UI.</w:t>
      </w:r>
      <w:r>
        <w:t xml:space="preserve"> </w:t>
      </w:r>
      <w:r>
        <w:t xml:space="preserve">Fineract’s Mifos X web app is generic and MFI-oriented.</w:t>
      </w:r>
    </w:p>
    <w:p>
      <w:r>
        <w:pict>
          <v:rect style="width:0;height:1.5pt" o:hralign="center" o:hrstd="t" o:hr="t"/>
        </w:pict>
      </w:r>
    </w:p>
    <w:bookmarkEnd w:id="30"/>
    <w:bookmarkEnd w:id="31"/>
    <w:bookmarkStart w:id="35" w:name="X38ac213d70b012e6de90ad2425c79125176b303"/>
    <w:p>
      <w:pPr>
        <w:pStyle w:val="Heading1"/>
      </w:pPr>
      <w:r>
        <w:t xml:space="preserve">PART 5 — ECOSYSTEM INTEGRATION: FINBYX ↔ UDOFIN (AND ANY OTHER LSP), EQUATOR, LAWDOCSCOMPLY AND THIRD PARTIES</w:t>
      </w:r>
    </w:p>
    <w:p>
      <w:pPr>
        <w:pStyle w:val="FirstParagraph"/>
      </w:pPr>
      <w:r>
        <w:t xml:space="preserve">Udofin is an LSP. The partner lender (the Finbyx tenant) remains responsible for its regulated decisions. Build a</w:t>
      </w:r>
      <w:r>
        <w:t xml:space="preserve"> </w:t>
      </w:r>
      <w:r>
        <w:rPr>
          <w:bCs/>
          <w:b/>
        </w:rPr>
        <w:t xml:space="preserve">generic</w:t>
      </w:r>
      <w:r>
        <w:rPr>
          <w:bCs/>
          <w:b/>
        </w:rPr>
        <w:t xml:space="preserve"> </w:t>
      </w:r>
      <w:r>
        <w:rPr>
          <w:bCs/>
          <w:b/>
        </w:rPr>
        <w:t xml:space="preserve">“</w:t>
      </w:r>
      <w:r>
        <w:rPr>
          <w:bCs/>
          <w:b/>
        </w:rPr>
        <w:t xml:space="preserve">LSP / Channel Partner</w:t>
      </w:r>
      <w:r>
        <w:rPr>
          <w:bCs/>
          <w:b/>
        </w:rPr>
        <w:t xml:space="preserve">”</w:t>
      </w:r>
      <w:r>
        <w:rPr>
          <w:bCs/>
          <w:b/>
        </w:rPr>
        <w:t xml:space="preserve"> </w:t>
      </w:r>
      <w:r>
        <w:rPr>
          <w:bCs/>
          <w:b/>
        </w:rPr>
        <w:t xml:space="preserve">integration framework</w:t>
      </w:r>
      <w:r>
        <w:t xml:space="preserve"> </w:t>
      </w:r>
      <w:r>
        <w:t xml:space="preserve">in Finbyx, with Udofin as the first certified connector.</w:t>
      </w:r>
      <w:r>
        <w:t xml:space="preserve"> </w:t>
      </w:r>
      <w:r>
        <w:rPr>
          <w:bCs/>
          <w:b/>
        </w:rPr>
        <w:t xml:space="preserve">From v1.4, the Infrabyx Ecosystem Integration Specification (</w:t>
      </w:r>
      <w:r>
        <w:rPr>
          <w:rStyle w:val="VerbatimChar"/>
          <w:bCs/>
          <w:b/>
        </w:rPr>
        <w:t xml:space="preserve">docs/ecosystem/infrabyx-integration-spec.md</w:t>
      </w:r>
      <w:r>
        <w:rPr>
          <w:bCs/>
          <w:b/>
        </w:rPr>
        <w:t xml:space="preserve">) is the canonical contract</w:t>
      </w:r>
      <w:r>
        <w:t xml:space="preserve"> </w:t>
      </w:r>
      <w:r>
        <w:t xml:space="preserve">for events, APIs, data ownership and connectors across Finbyx, Udofin, Equator, LawDocsComply, third-party tools and future ecosystem apps. Finbyx v1.5 adopts Integration Specification v1.1, which adds the reporting, bureau, finance, audit, risk, governance, workforce, member and group lending, investments and servicing, portability, billing, partner-deal, directory and operations domains, with the Operations Hub as a party. The tables in this Part summarise it for Finbyx; where they differ, the specification prevails, and any new event is proposed to the specification owner, never invented locally. The same framework must work for any other LSP, DSA platform or co-lending originator.</w:t>
      </w:r>
    </w:p>
    <w:bookmarkStart w:id="32" w:name="principles"/>
    <w:p>
      <w:pPr>
        <w:pStyle w:val="Heading2"/>
      </w:pPr>
      <w:r>
        <w:t xml:space="preserve">5.1 Principles</w:t>
      </w:r>
    </w:p>
    <w:p>
      <w:pPr>
        <w:numPr>
          <w:ilvl w:val="0"/>
          <w:numId w:val="1048"/>
        </w:numPr>
        <w:pStyle w:val="Compact"/>
      </w:pPr>
      <w:r>
        <w:rPr>
          <w:bCs/>
          <w:b/>
        </w:rPr>
        <w:t xml:space="preserve">Ownership of records:</w:t>
      </w:r>
    </w:p>
    <w:p>
      <w:pPr>
        <w:numPr>
          <w:ilvl w:val="1"/>
          <w:numId w:val="1049"/>
        </w:numPr>
        <w:pStyle w:val="Compact"/>
      </w:pPr>
      <w:r>
        <w:rPr>
          <w:bCs/>
          <w:b/>
        </w:rPr>
        <w:t xml:space="preserve">Finbyx (the lender) is the system of record for:</w:t>
      </w:r>
      <w:r>
        <w:t xml:space="preserve"> </w:t>
      </w:r>
      <w:r>
        <w:t xml:space="preserve">sanction, loan account, schedule, ledger, asset classification, CIC reporting and provisioning.</w:t>
      </w:r>
    </w:p>
    <w:p>
      <w:pPr>
        <w:numPr>
          <w:ilvl w:val="1"/>
          <w:numId w:val="1049"/>
        </w:numPr>
        <w:pStyle w:val="Compact"/>
      </w:pPr>
      <w:r>
        <w:rPr>
          <w:bCs/>
          <w:b/>
        </w:rPr>
        <w:t xml:space="preserve">Udofin is the system of record for:</w:t>
      </w:r>
      <w:r>
        <w:t xml:space="preserve"> </w:t>
      </w:r>
      <w:r>
        <w:t xml:space="preserve">the borrower’s app journey, its own consents and its LSP-side records.</w:t>
      </w:r>
    </w:p>
    <w:p>
      <w:pPr>
        <w:numPr>
          <w:ilvl w:val="0"/>
          <w:numId w:val="1048"/>
        </w:numPr>
        <w:pStyle w:val="Compact"/>
      </w:pPr>
      <w:r>
        <w:rPr>
          <w:bCs/>
          <w:b/>
        </w:rPr>
        <w:t xml:space="preserve">Contracts:</w:t>
      </w:r>
    </w:p>
    <w:p>
      <w:pPr>
        <w:numPr>
          <w:ilvl w:val="1"/>
          <w:numId w:val="1050"/>
        </w:numPr>
        <w:pStyle w:val="Compact"/>
      </w:pPr>
      <w:r>
        <w:t xml:space="preserve">Use a versioned OpenAPI 3.1 contract and an event catalogue (AsyncAPI).</w:t>
      </w:r>
    </w:p>
    <w:p>
      <w:pPr>
        <w:numPr>
          <w:ilvl w:val="1"/>
          <w:numId w:val="1050"/>
        </w:numPr>
        <w:pStyle w:val="Compact"/>
      </w:pPr>
      <w:r>
        <w:t xml:space="preserve">Sign every message: mTLS plus HMAC or JWS signatures.</w:t>
      </w:r>
    </w:p>
    <w:p>
      <w:pPr>
        <w:numPr>
          <w:ilvl w:val="1"/>
          <w:numId w:val="1050"/>
        </w:numPr>
        <w:pStyle w:val="Compact"/>
      </w:pPr>
      <w:r>
        <w:t xml:space="preserve">Every call is idempotent, timestamped and replay-protected.</w:t>
      </w:r>
    </w:p>
    <w:p>
      <w:pPr>
        <w:numPr>
          <w:ilvl w:val="1"/>
          <w:numId w:val="1050"/>
        </w:numPr>
        <w:pStyle w:val="Compact"/>
      </w:pPr>
      <w:r>
        <w:t xml:space="preserve">Schemas are validated at both ends.</w:t>
      </w:r>
    </w:p>
    <w:p>
      <w:pPr>
        <w:numPr>
          <w:ilvl w:val="0"/>
          <w:numId w:val="1048"/>
        </w:numPr>
        <w:pStyle w:val="Compact"/>
      </w:pPr>
      <w:r>
        <w:rPr>
          <w:bCs/>
          <w:b/>
        </w:rPr>
        <w:t xml:space="preserve">Money flows (Digital Lending provisions now in the RBI (NBFC – Credit Facilities) Directions, 2025, Chapter III):</w:t>
      </w:r>
    </w:p>
    <w:p>
      <w:pPr>
        <w:numPr>
          <w:ilvl w:val="1"/>
          <w:numId w:val="1051"/>
        </w:numPr>
        <w:pStyle w:val="Compact"/>
      </w:pPr>
      <w:r>
        <w:t xml:space="preserve">Disbursement goes from the</w:t>
      </w:r>
      <w:r>
        <w:t xml:space="preserve"> </w:t>
      </w:r>
      <w:r>
        <w:rPr>
          <w:bCs/>
          <w:b/>
        </w:rPr>
        <w:t xml:space="preserve">lender’s account directly to the borrower’s account</w:t>
      </w:r>
      <w:r>
        <w:t xml:space="preserve">.</w:t>
      </w:r>
    </w:p>
    <w:p>
      <w:pPr>
        <w:numPr>
          <w:ilvl w:val="1"/>
          <w:numId w:val="1051"/>
        </w:numPr>
        <w:pStyle w:val="Compact"/>
      </w:pPr>
      <w:r>
        <w:t xml:space="preserve">Repayment goes</w:t>
      </w:r>
      <w:r>
        <w:t xml:space="preserve"> </w:t>
      </w:r>
      <w:r>
        <w:rPr>
          <w:bCs/>
          <w:b/>
        </w:rPr>
        <w:t xml:space="preserve">directly to the lender’s account</w:t>
      </w:r>
      <w:r>
        <w:t xml:space="preserve"> </w:t>
      </w:r>
      <w:r>
        <w:t xml:space="preserve">(or a co-lending escrow controlled only by the co-lenders — CF para 10(1), Note).</w:t>
      </w:r>
    </w:p>
    <w:p>
      <w:pPr>
        <w:numPr>
          <w:ilvl w:val="1"/>
          <w:numId w:val="1051"/>
        </w:numPr>
        <w:pStyle w:val="Compact"/>
      </w:pPr>
      <w:r>
        <w:rPr>
          <w:bCs/>
          <w:b/>
        </w:rPr>
        <w:t xml:space="preserve">No LSP pool or pass-through accounts.</w:t>
      </w:r>
    </w:p>
    <w:p>
      <w:pPr>
        <w:numPr>
          <w:ilvl w:val="1"/>
          <w:numId w:val="1051"/>
        </w:numPr>
        <w:pStyle w:val="Compact"/>
      </w:pPr>
      <w:r>
        <w:t xml:space="preserve">LSP fees are paid by the lender, never charged to the borrower.</w:t>
      </w:r>
    </w:p>
    <w:p>
      <w:pPr>
        <w:numPr>
          <w:ilvl w:val="1"/>
          <w:numId w:val="1051"/>
        </w:numPr>
        <w:pStyle w:val="Compact"/>
      </w:pPr>
      <w:r>
        <w:t xml:space="preserve">Finbyx must reject any integration configuration that routes funds otherwise.</w:t>
      </w:r>
    </w:p>
    <w:p>
      <w:pPr>
        <w:numPr>
          <w:ilvl w:val="1"/>
          <w:numId w:val="1051"/>
        </w:numPr>
        <w:pStyle w:val="Compact"/>
      </w:pPr>
      <w:r>
        <w:t xml:space="preserve">Basis: CF para 10(1)–(4). Third-party disbursal is allowed only (i) exclusively under a statutory or regulatory mandate, (ii) for co-lending flows between lenders, or (iii) for a specific end use, paid directly into the end-beneficiary’s bank account — never into an LSP account. A salary advance may be repaid by the employer by salary deduction, directly from the employer’s bank account (para 10(1) proviso).</w:t>
      </w:r>
    </w:p>
    <w:p>
      <w:pPr>
        <w:numPr>
          <w:ilvl w:val="0"/>
          <w:numId w:val="1048"/>
        </w:numPr>
        <w:pStyle w:val="Compact"/>
      </w:pPr>
      <w:r>
        <w:rPr>
          <w:bCs/>
          <w:b/>
        </w:rPr>
        <w:t xml:space="preserve">Data minimisation and consent:</w:t>
      </w:r>
    </w:p>
    <w:p>
      <w:pPr>
        <w:numPr>
          <w:ilvl w:val="1"/>
          <w:numId w:val="1052"/>
        </w:numPr>
        <w:pStyle w:val="Compact"/>
      </w:pPr>
      <w:r>
        <w:t xml:space="preserve">Udofin sends only data the borrower consented to share with</w:t>
      </w:r>
      <w:r>
        <w:t xml:space="preserve"> </w:t>
      </w:r>
      <w:r>
        <w:rPr>
          <w:iCs/>
          <w:i/>
        </w:rPr>
        <w:t xml:space="preserve">that</w:t>
      </w:r>
      <w:r>
        <w:t xml:space="preserve"> </w:t>
      </w:r>
      <w:r>
        <w:t xml:space="preserve">lender, for</w:t>
      </w:r>
      <w:r>
        <w:t xml:space="preserve"> </w:t>
      </w:r>
      <w:r>
        <w:rPr>
          <w:iCs/>
          <w:i/>
        </w:rPr>
        <w:t xml:space="preserve">that</w:t>
      </w:r>
      <w:r>
        <w:t xml:space="preserve"> </w:t>
      </w:r>
      <w:r>
        <w:t xml:space="preserve">purpose, together with the consent artefact reference.</w:t>
      </w:r>
    </w:p>
    <w:p>
      <w:pPr>
        <w:numPr>
          <w:ilvl w:val="1"/>
          <w:numId w:val="1052"/>
        </w:numPr>
        <w:pStyle w:val="Compact"/>
      </w:pPr>
      <w:r>
        <w:t xml:space="preserve">Finbyx stores the consent lineage.</w:t>
      </w:r>
    </w:p>
    <w:p>
      <w:pPr>
        <w:numPr>
          <w:ilvl w:val="1"/>
          <w:numId w:val="1052"/>
        </w:numPr>
        <w:pStyle w:val="Compact"/>
      </w:pPr>
      <w:r>
        <w:t xml:space="preserve">Data is stored only in India.</w:t>
      </w:r>
    </w:p>
    <w:p>
      <w:pPr>
        <w:numPr>
          <w:ilvl w:val="0"/>
          <w:numId w:val="1048"/>
        </w:numPr>
        <w:pStyle w:val="Compact"/>
      </w:pPr>
      <w:r>
        <w:rPr>
          <w:bCs/>
          <w:b/>
        </w:rPr>
        <w:t xml:space="preserve">Failure containment:</w:t>
      </w:r>
      <w:r>
        <w:t xml:space="preserve"> </w:t>
      </w:r>
      <w:r>
        <w:t xml:space="preserve">if Udofin is unavailable, Finbyx operations continue, and the reverse is also true. Use queues, retries with back-off, dead-letter queues and reconciliation reports.</w:t>
      </w:r>
    </w:p>
    <w:bookmarkEnd w:id="32"/>
    <w:bookmarkStart w:id="33" w:name="interface-catalogue-minimum"/>
    <w:p>
      <w:pPr>
        <w:pStyle w:val="Heading2"/>
      </w:pPr>
      <w:r>
        <w:t xml:space="preserve">5.2 Interface catalogue (minimum)</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24"/>
        <w:gridCol w:w="3585"/>
        <w:gridCol w:w="5029"/>
      </w:tblGrid>
      <w:tr>
        <w:trPr>
          <w:tblHeader w:val="true"/>
          <w:tblHeader w:val="true"/>
        </w:trPr>
        <w:tc>
          <w:tcPr>
            <w:tcW w:w="1024" w:type="dxa"/>
            <w:shd w:val="clear" w:color="auto" w:fill="1F3A5F"/>
          </w:tcPr>
          <w:p>
            <w:pPr>
              <w:pStyle w:val="Compact"/>
              <w:spacing w:after="40"/>
              <w:jc w:val="left"/>
            </w:pPr>
            <w:r>
              <w:rPr>
                <w:b/>
                <w:color w:val="FFFFFF"/>
                <w:sz w:val="18"/>
              </w:rPr>
              <w:t xml:space="preserve">Direction</w:t>
            </w:r>
          </w:p>
        </w:tc>
        <w:tc>
          <w:tcPr>
            <w:tcW w:w="3585" w:type="dxa"/>
            <w:shd w:val="clear" w:color="auto" w:fill="1F3A5F"/>
          </w:tcPr>
          <w:p>
            <w:pPr>
              <w:pStyle w:val="Compact"/>
              <w:spacing w:after="40"/>
              <w:jc w:val="left"/>
            </w:pPr>
            <w:r>
              <w:rPr>
                <w:b/>
                <w:color w:val="FFFFFF"/>
                <w:sz w:val="18"/>
              </w:rPr>
              <w:t xml:space="preserve">Interface</w:t>
            </w:r>
          </w:p>
        </w:tc>
        <w:tc>
          <w:tcPr>
            <w:tcW w:w="5029" w:type="dxa"/>
            <w:shd w:val="clear" w:color="auto" w:fill="1F3A5F"/>
          </w:tcPr>
          <w:p>
            <w:pPr>
              <w:pStyle w:val="Compact"/>
              <w:spacing w:after="40"/>
              <w:jc w:val="left"/>
            </w:pPr>
            <w:r>
              <w:rPr>
                <w:b/>
                <w:color w:val="FFFFFF"/>
                <w:sz w:val="18"/>
              </w:rPr>
              <w:t xml:space="preserve">Purpose</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ProductCatalogPublished</w:t>
            </w:r>
          </w:p>
        </w:tc>
        <w:tc>
          <w:tcPr>
            <w:tcW w:w="5029" w:type="dxa"/>
          </w:tcPr>
          <w:p>
            <w:pPr>
              <w:pStyle w:val="Compact"/>
              <w:spacing w:after="40"/>
              <w:jc w:val="left"/>
            </w:pPr>
            <w:r>
              <w:rPr>
                <w:sz w:val="18"/>
              </w:rPr>
              <w:t xml:space="preserve">Approved products, eligibility parameters, pricing grids, charges, KFS template versions, cooling-off period, grievance contacts and DLA/LSP disclosures for display</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EligibilityCheck</w:t>
            </w:r>
            <w:r>
              <w:rPr>
                <w:sz w:val="18"/>
              </w:rPr>
              <w:t xml:space="preserve"> </w:t>
            </w:r>
            <w:r>
              <w:rPr>
                <w:sz w:val="18"/>
              </w:rPr>
              <w:t xml:space="preserve">(sync API)</w:t>
            </w:r>
          </w:p>
        </w:tc>
        <w:tc>
          <w:tcPr>
            <w:tcW w:w="5029" w:type="dxa"/>
          </w:tcPr>
          <w:p>
            <w:pPr>
              <w:pStyle w:val="Compact"/>
              <w:spacing w:after="40"/>
              <w:jc w:val="left"/>
            </w:pPr>
            <w:r>
              <w:rPr>
                <w:sz w:val="18"/>
              </w:rPr>
              <w:t xml:space="preserve">Indicative eligibility and offer, evaluated by</w:t>
            </w:r>
            <w:r>
              <w:rPr>
                <w:sz w:val="18"/>
              </w:rPr>
              <w:t xml:space="preserve"> </w:t>
            </w:r>
            <w:r>
              <w:rPr>
                <w:bCs/>
                <w:b/>
                <w:sz w:val="18"/>
              </w:rPr>
              <w:t xml:space="preserve">the lender’s</w:t>
            </w:r>
            <w:r>
              <w:rPr>
                <w:sz w:val="18"/>
              </w:rPr>
              <w:t xml:space="preserve"> </w:t>
            </w:r>
            <w:r>
              <w:rPr>
                <w:sz w:val="18"/>
              </w:rPr>
              <w:t xml:space="preserve">BRE in Finbyx</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ApplicationSubmitted</w:t>
            </w:r>
          </w:p>
        </w:tc>
        <w:tc>
          <w:tcPr>
            <w:tcW w:w="5029" w:type="dxa"/>
          </w:tcPr>
          <w:p>
            <w:pPr>
              <w:pStyle w:val="Compact"/>
              <w:spacing w:after="40"/>
              <w:jc w:val="left"/>
            </w:pPr>
            <w:r>
              <w:rPr>
                <w:sz w:val="18"/>
              </w:rPr>
              <w:t xml:space="preserve">Application, KYC results with evidence references (evidence only: the KYC decision stays with the lender, KYC 13; OTP-e-KYC NFTF limits of KYC 25 apply), bureau/AA references, documents, consent artefacts</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ApplicationStatusChanged</w:t>
            </w:r>
            <w:r>
              <w:rPr>
                <w:sz w:val="18"/>
              </w:rPr>
              <w:t xml:space="preserve">,</w:t>
            </w:r>
            <w:r>
              <w:rPr>
                <w:sz w:val="18"/>
              </w:rPr>
              <w:t xml:space="preserve"> </w:t>
            </w:r>
            <w:r>
              <w:rPr>
                <w:rStyle w:val="VerbatimChar"/>
                <w:sz w:val="18"/>
              </w:rPr>
              <w:t xml:space="preserve">AdditionalInfoRequested</w:t>
            </w:r>
            <w:r>
              <w:rPr>
                <w:sz w:val="18"/>
              </w:rPr>
              <w:t xml:space="preserve">,</w:t>
            </w:r>
            <w:r>
              <w:rPr>
                <w:sz w:val="18"/>
              </w:rPr>
              <w:t xml:space="preserve"> </w:t>
            </w:r>
            <w:r>
              <w:rPr>
                <w:rStyle w:val="VerbatimChar"/>
                <w:sz w:val="18"/>
              </w:rPr>
              <w:t xml:space="preserve">DecisionMade</w:t>
            </w:r>
          </w:p>
        </w:tc>
        <w:tc>
          <w:tcPr>
            <w:tcW w:w="5029" w:type="dxa"/>
          </w:tcPr>
          <w:p>
            <w:pPr>
              <w:pStyle w:val="Compact"/>
              <w:spacing w:after="40"/>
              <w:jc w:val="left"/>
            </w:pPr>
            <w:r>
              <w:rPr>
                <w:sz w:val="18"/>
              </w:rPr>
              <w:t xml:space="preserve">Workflow status, queries, sanction or reject with reason codes</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KFSIssued</w:t>
            </w:r>
            <w:r>
              <w:rPr>
                <w:sz w:val="18"/>
              </w:rPr>
              <w:t xml:space="preserve">,</w:t>
            </w:r>
            <w:r>
              <w:rPr>
                <w:sz w:val="18"/>
              </w:rPr>
              <w:t xml:space="preserve"> </w:t>
            </w:r>
            <w:r>
              <w:rPr>
                <w:rStyle w:val="VerbatimChar"/>
                <w:sz w:val="18"/>
              </w:rPr>
              <w:t xml:space="preserve">SanctionLetterIssued</w:t>
            </w:r>
          </w:p>
        </w:tc>
        <w:tc>
          <w:tcPr>
            <w:tcW w:w="5029" w:type="dxa"/>
          </w:tcPr>
          <w:p>
            <w:pPr>
              <w:pStyle w:val="Compact"/>
              <w:spacing w:after="40"/>
              <w:jc w:val="left"/>
            </w:pPr>
            <w:r>
              <w:rPr>
                <w:sz w:val="18"/>
              </w:rPr>
              <w:t xml:space="preserve">KFS with APR and sanction documents to show to the borrower</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BorrowerAccepted</w:t>
            </w:r>
            <w:r>
              <w:rPr>
                <w:sz w:val="18"/>
              </w:rPr>
              <w:t xml:space="preserve">,</w:t>
            </w:r>
            <w:r>
              <w:rPr>
                <w:sz w:val="18"/>
              </w:rPr>
              <w:t xml:space="preserve"> </w:t>
            </w:r>
            <w:r>
              <w:rPr>
                <w:rStyle w:val="VerbatimChar"/>
                <w:sz w:val="18"/>
              </w:rPr>
              <w:t xml:space="preserve">ESignCompleted</w:t>
            </w:r>
            <w:r>
              <w:rPr>
                <w:sz w:val="18"/>
              </w:rPr>
              <w:t xml:space="preserve">,</w:t>
            </w:r>
            <w:r>
              <w:rPr>
                <w:sz w:val="18"/>
              </w:rPr>
              <w:t xml:space="preserve"> </w:t>
            </w:r>
            <w:r>
              <w:rPr>
                <w:rStyle w:val="VerbatimChar"/>
                <w:sz w:val="18"/>
              </w:rPr>
              <w:t xml:space="preserve">EStampCompleted</w:t>
            </w:r>
          </w:p>
        </w:tc>
        <w:tc>
          <w:tcPr>
            <w:tcW w:w="5029" w:type="dxa"/>
          </w:tcPr>
          <w:p>
            <w:pPr>
              <w:pStyle w:val="Compact"/>
              <w:spacing w:after="40"/>
              <w:jc w:val="left"/>
            </w:pPr>
            <w:r>
              <w:rPr>
                <w:sz w:val="18"/>
              </w:rPr>
              <w:t xml:space="preserve">Acceptance with verifiable provider evidence (transaction IDs, certificates, hashes).</w:t>
            </w:r>
            <w:r>
              <w:rPr>
                <w:sz w:val="18"/>
              </w:rPr>
              <w:t xml:space="preserve"> </w:t>
            </w:r>
            <w:r>
              <w:rPr>
                <w:bCs/>
                <w:b/>
                <w:sz w:val="18"/>
              </w:rPr>
              <w:t xml:space="preserve">Never a bare</w:t>
            </w:r>
            <w:r>
              <w:rPr>
                <w:bCs/>
                <w:b/>
                <w:sz w:val="18"/>
              </w:rPr>
              <w:t xml:space="preserve"> </w:t>
            </w:r>
            <w:r>
              <w:rPr>
                <w:bCs/>
                <w:b/>
                <w:sz w:val="18"/>
              </w:rPr>
              <w:t xml:space="preserve">“</w:t>
            </w:r>
            <w:r>
              <w:rPr>
                <w:bCs/>
                <w:b/>
                <w:sz w:val="18"/>
              </w:rPr>
              <w:t xml:space="preserve">signed=true</w:t>
            </w:r>
            <w:r>
              <w:rPr>
                <w:bCs/>
                <w:b/>
                <w:sz w:val="18"/>
              </w:rPr>
              <w:t xml:space="preserve">”</w:t>
            </w:r>
            <w:r>
              <w:rPr>
                <w:bCs/>
                <w:b/>
                <w:sz w:val="18"/>
              </w:rPr>
              <w:t xml:space="preserve"> </w:t>
            </w:r>
            <w:r>
              <w:rPr>
                <w:bCs/>
                <w:b/>
                <w:sz w:val="18"/>
              </w:rPr>
              <w:t xml:space="preserve">flag</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MandateRegistered</w:t>
            </w:r>
          </w:p>
        </w:tc>
        <w:tc>
          <w:tcPr>
            <w:tcW w:w="5029" w:type="dxa"/>
          </w:tcPr>
          <w:p>
            <w:pPr>
              <w:pStyle w:val="Compact"/>
              <w:spacing w:after="40"/>
              <w:jc w:val="left"/>
            </w:pPr>
            <w:r>
              <w:rPr>
                <w:sz w:val="18"/>
              </w:rPr>
              <w:t xml:space="preserve">eNACH/UPI AutoPay mandate (UMRN), sponsor bank and limits</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LoanDisbursed</w:t>
            </w:r>
            <w:r>
              <w:rPr>
                <w:sz w:val="18"/>
              </w:rPr>
              <w:t xml:space="preserve">,</w:t>
            </w:r>
            <w:r>
              <w:rPr>
                <w:sz w:val="18"/>
              </w:rPr>
              <w:t xml:space="preserve"> </w:t>
            </w:r>
            <w:r>
              <w:rPr>
                <w:rStyle w:val="VerbatimChar"/>
                <w:sz w:val="18"/>
              </w:rPr>
              <w:t xml:space="preserve">DisbursementFailed</w:t>
            </w:r>
          </w:p>
        </w:tc>
        <w:tc>
          <w:tcPr>
            <w:tcW w:w="5029" w:type="dxa"/>
          </w:tcPr>
          <w:p>
            <w:pPr>
              <w:pStyle w:val="Compact"/>
              <w:spacing w:after="40"/>
              <w:jc w:val="left"/>
            </w:pPr>
            <w:r>
              <w:rPr>
                <w:sz w:val="18"/>
              </w:rPr>
              <w:t xml:space="preserve">UTR, amount and date; start of cooling-off period</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CoolingOffExitRequested</w:t>
            </w:r>
          </w:p>
        </w:tc>
        <w:tc>
          <w:tcPr>
            <w:tcW w:w="5029" w:type="dxa"/>
          </w:tcPr>
          <w:p>
            <w:pPr>
              <w:pStyle w:val="Compact"/>
              <w:spacing w:after="40"/>
              <w:jc w:val="left"/>
            </w:pPr>
            <w:r>
              <w:rPr>
                <w:sz w:val="18"/>
              </w:rPr>
              <w:t xml:space="preserve">Borrower exit within the cooling-off period</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ScheduleIssued</w:t>
            </w:r>
            <w:r>
              <w:rPr>
                <w:sz w:val="18"/>
              </w:rPr>
              <w:t xml:space="preserve">,</w:t>
            </w:r>
            <w:r>
              <w:rPr>
                <w:sz w:val="18"/>
              </w:rPr>
              <w:t xml:space="preserve"> </w:t>
            </w:r>
            <w:r>
              <w:rPr>
                <w:rStyle w:val="VerbatimChar"/>
                <w:sz w:val="18"/>
              </w:rPr>
              <w:t xml:space="preserve">ScheduleChanged</w:t>
            </w:r>
            <w:r>
              <w:rPr>
                <w:sz w:val="18"/>
              </w:rPr>
              <w:t xml:space="preserve">,</w:t>
            </w:r>
            <w:r>
              <w:rPr>
                <w:sz w:val="18"/>
              </w:rPr>
              <w:t xml:space="preserve"> </w:t>
            </w:r>
            <w:r>
              <w:rPr>
                <w:rStyle w:val="VerbatimChar"/>
                <w:sz w:val="18"/>
              </w:rPr>
              <w:t xml:space="preserve">DueReminderTrigger</w:t>
            </w:r>
            <w:r>
              <w:rPr>
                <w:sz w:val="18"/>
              </w:rPr>
              <w:t xml:space="preserve">,</w:t>
            </w:r>
            <w:r>
              <w:rPr>
                <w:sz w:val="18"/>
              </w:rPr>
              <w:t xml:space="preserve"> </w:t>
            </w:r>
            <w:r>
              <w:rPr>
                <w:rStyle w:val="VerbatimChar"/>
                <w:sz w:val="18"/>
              </w:rPr>
              <w:t xml:space="preserve">PaymentReceived</w:t>
            </w:r>
            <w:r>
              <w:rPr>
                <w:sz w:val="18"/>
              </w:rPr>
              <w:t xml:space="preserve">,</w:t>
            </w:r>
            <w:r>
              <w:rPr>
                <w:sz w:val="18"/>
              </w:rPr>
              <w:t xml:space="preserve"> </w:t>
            </w:r>
            <w:r>
              <w:rPr>
                <w:rStyle w:val="VerbatimChar"/>
                <w:sz w:val="18"/>
              </w:rPr>
              <w:t xml:space="preserve">PaymentBounced</w:t>
            </w:r>
            <w:r>
              <w:rPr>
                <w:sz w:val="18"/>
              </w:rPr>
              <w:t xml:space="preserve">,</w:t>
            </w:r>
            <w:r>
              <w:rPr>
                <w:sz w:val="18"/>
              </w:rPr>
              <w:t xml:space="preserve"> </w:t>
            </w:r>
            <w:r>
              <w:rPr>
                <w:rStyle w:val="VerbatimChar"/>
                <w:sz w:val="18"/>
              </w:rPr>
              <w:t xml:space="preserve">DPDChanged</w:t>
            </w:r>
            <w:r>
              <w:rPr>
                <w:sz w:val="18"/>
              </w:rPr>
              <w:t xml:space="preserve">,</w:t>
            </w:r>
            <w:r>
              <w:rPr>
                <w:sz w:val="18"/>
              </w:rPr>
              <w:t xml:space="preserve"> </w:t>
            </w:r>
            <w:r>
              <w:rPr>
                <w:rStyle w:val="VerbatimChar"/>
                <w:sz w:val="18"/>
              </w:rPr>
              <w:t xml:space="preserve">AssetClassificationChanged</w:t>
            </w:r>
            <w:r>
              <w:rPr>
                <w:sz w:val="18"/>
              </w:rPr>
              <w:t xml:space="preserve">,</w:t>
            </w:r>
            <w:r>
              <w:rPr>
                <w:sz w:val="18"/>
              </w:rPr>
              <w:t xml:space="preserve"> </w:t>
            </w:r>
            <w:r>
              <w:rPr>
                <w:rStyle w:val="VerbatimChar"/>
                <w:sz w:val="18"/>
              </w:rPr>
              <w:t xml:space="preserve">LoanClosed</w:t>
            </w:r>
            <w:r>
              <w:rPr>
                <w:sz w:val="18"/>
              </w:rPr>
              <w:t xml:space="preserve">,</w:t>
            </w:r>
            <w:r>
              <w:rPr>
                <w:sz w:val="18"/>
              </w:rPr>
              <w:t xml:space="preserve"> </w:t>
            </w:r>
            <w:r>
              <w:rPr>
                <w:rStyle w:val="VerbatimChar"/>
                <w:sz w:val="18"/>
              </w:rPr>
              <w:t xml:space="preserve">NOCIssued</w:t>
            </w:r>
          </w:p>
        </w:tc>
        <w:tc>
          <w:tcPr>
            <w:tcW w:w="5029" w:type="dxa"/>
          </w:tcPr>
          <w:p>
            <w:pPr>
              <w:pStyle w:val="Compact"/>
              <w:spacing w:after="40"/>
              <w:jc w:val="left"/>
            </w:pPr>
            <w:r>
              <w:rPr>
                <w:sz w:val="18"/>
              </w:rPr>
              <w:t xml:space="preserve">Servicing synchronisation</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CollectionAllocated</w:t>
            </w:r>
            <w:r>
              <w:rPr>
                <w:sz w:val="18"/>
              </w:rPr>
              <w:t xml:space="preserve">,</w:t>
            </w:r>
            <w:r>
              <w:rPr>
                <w:sz w:val="18"/>
              </w:rPr>
              <w:t xml:space="preserve"> </w:t>
            </w:r>
            <w:r>
              <w:rPr>
                <w:rStyle w:val="VerbatimChar"/>
                <w:sz w:val="18"/>
              </w:rPr>
              <w:t xml:space="preserve">CollectionDeallocated</w:t>
            </w:r>
          </w:p>
        </w:tc>
        <w:tc>
          <w:tcPr>
            <w:tcW w:w="5029" w:type="dxa"/>
          </w:tcPr>
          <w:p>
            <w:pPr>
              <w:pStyle w:val="Compact"/>
              <w:spacing w:after="40"/>
              <w:jc w:val="left"/>
            </w:pPr>
            <w:r>
              <w:rPr>
                <w:sz w:val="18"/>
              </w:rPr>
              <w:t xml:space="preserve">Where the contract appoints the LSP as a recovery agent. The allocation carries the contact-policy rules (calling hours, call recording, agent certification). Allocation on a digital loan triggers the email/SMS of the agent’s particulars to the borrower before first contact (CF para 9(6))</w:t>
            </w:r>
          </w:p>
        </w:tc>
      </w:tr>
      <w:tr>
        <w:tc>
          <w:tcPr>
            <w:tcW w:w="1024" w:type="dxa"/>
          </w:tcPr>
          <w:p>
            <w:pPr>
              <w:pStyle w:val="Compact"/>
              <w:spacing w:after="40"/>
              <w:jc w:val="left"/>
            </w:pPr>
            <w:r>
              <w:rPr>
                <w:sz w:val="18"/>
              </w:rPr>
              <w:t xml:space="preserve">LSP → Finbyx</w:t>
            </w:r>
          </w:p>
        </w:tc>
        <w:tc>
          <w:tcPr>
            <w:tcW w:w="3585" w:type="dxa"/>
          </w:tcPr>
          <w:p>
            <w:pPr>
              <w:pStyle w:val="Compact"/>
              <w:spacing w:after="40"/>
              <w:jc w:val="left"/>
            </w:pPr>
            <w:r>
              <w:rPr>
                <w:rStyle w:val="VerbatimChar"/>
                <w:sz w:val="18"/>
              </w:rPr>
              <w:t xml:space="preserve">CollectionActivityLogged</w:t>
            </w:r>
            <w:r>
              <w:rPr>
                <w:sz w:val="18"/>
              </w:rPr>
              <w:t xml:space="preserve">,</w:t>
            </w:r>
            <w:r>
              <w:rPr>
                <w:sz w:val="18"/>
              </w:rPr>
              <w:t xml:space="preserve"> </w:t>
            </w:r>
            <w:r>
              <w:rPr>
                <w:rStyle w:val="VerbatimChar"/>
                <w:sz w:val="18"/>
              </w:rPr>
              <w:t xml:space="preserve">PTPCaptured</w:t>
            </w:r>
            <w:r>
              <w:rPr>
                <w:sz w:val="18"/>
              </w:rPr>
              <w:t xml:space="preserve">,</w:t>
            </w:r>
            <w:r>
              <w:rPr>
                <w:sz w:val="18"/>
              </w:rPr>
              <w:t xml:space="preserve"> </w:t>
            </w:r>
            <w:r>
              <w:rPr>
                <w:rStyle w:val="VerbatimChar"/>
                <w:sz w:val="18"/>
              </w:rPr>
              <w:t xml:space="preserve">FieldVisitLogged</w:t>
            </w:r>
            <w:r>
              <w:rPr>
                <w:sz w:val="18"/>
              </w:rPr>
              <w:t xml:space="preserve">,</w:t>
            </w:r>
            <w:r>
              <w:rPr>
                <w:sz w:val="18"/>
              </w:rPr>
              <w:t xml:space="preserve"> </w:t>
            </w:r>
            <w:r>
              <w:rPr>
                <w:rStyle w:val="VerbatimChar"/>
                <w:sz w:val="18"/>
              </w:rPr>
              <w:t xml:space="preserve">ReceiptIssued</w:t>
            </w:r>
          </w:p>
        </w:tc>
        <w:tc>
          <w:tcPr>
            <w:tcW w:w="5029" w:type="dxa"/>
          </w:tcPr>
          <w:p>
            <w:pPr>
              <w:pStyle w:val="Compact"/>
              <w:spacing w:after="40"/>
              <w:jc w:val="left"/>
            </w:pPr>
            <w:r>
              <w:rPr>
                <w:sz w:val="18"/>
              </w:rPr>
              <w:t xml:space="preserve">Collections activity with geo-tags and recordings.</w:t>
            </w:r>
            <w:r>
              <w:rPr>
                <w:sz w:val="18"/>
              </w:rPr>
              <w:t xml:space="preserve"> </w:t>
            </w:r>
            <w:r>
              <w:rPr>
                <w:bCs/>
                <w:b/>
                <w:sz w:val="18"/>
              </w:rPr>
              <w:t xml:space="preserve">No pooling of borrower money by the LSP.</w:t>
            </w:r>
            <w:r>
              <w:rPr>
                <w:sz w:val="18"/>
              </w:rPr>
              <w:t xml:space="preserve"> </w:t>
            </w:r>
            <w:r>
              <w:rPr>
                <w:sz w:val="18"/>
              </w:rPr>
              <w:t xml:space="preserve">Cash recovered on a delinquent loan must be reflected in full in the borrower’s loan account on the day of collection, and no LSP fee may be deducted from it (CF para 10(5))</w:t>
            </w:r>
          </w:p>
        </w:tc>
      </w:tr>
      <w:tr>
        <w:tc>
          <w:tcPr>
            <w:tcW w:w="1024" w:type="dxa"/>
          </w:tcPr>
          <w:p>
            <w:pPr>
              <w:pStyle w:val="Compact"/>
              <w:spacing w:after="40"/>
              <w:jc w:val="left"/>
            </w:pPr>
            <w:r>
              <w:rPr>
                <w:sz w:val="18"/>
              </w:rPr>
              <w:t xml:space="preserve">Both</w:t>
            </w:r>
          </w:p>
        </w:tc>
        <w:tc>
          <w:tcPr>
            <w:tcW w:w="3585" w:type="dxa"/>
          </w:tcPr>
          <w:p>
            <w:pPr>
              <w:pStyle w:val="Compact"/>
              <w:spacing w:after="40"/>
              <w:jc w:val="left"/>
            </w:pPr>
            <w:r>
              <w:rPr>
                <w:rStyle w:val="VerbatimChar"/>
                <w:sz w:val="18"/>
              </w:rPr>
              <w:t xml:space="preserve">GrievanceRaised</w:t>
            </w:r>
            <w:r>
              <w:rPr>
                <w:sz w:val="18"/>
              </w:rPr>
              <w:t xml:space="preserve">,</w:t>
            </w:r>
            <w:r>
              <w:rPr>
                <w:sz w:val="18"/>
              </w:rPr>
              <w:t xml:space="preserve"> </w:t>
            </w:r>
            <w:r>
              <w:rPr>
                <w:rStyle w:val="VerbatimChar"/>
                <w:sz w:val="18"/>
              </w:rPr>
              <w:t xml:space="preserve">GrievanceUpdated</w:t>
            </w:r>
            <w:r>
              <w:rPr>
                <w:sz w:val="18"/>
              </w:rPr>
              <w:t xml:space="preserve">,</w:t>
            </w:r>
            <w:r>
              <w:rPr>
                <w:sz w:val="18"/>
              </w:rPr>
              <w:t xml:space="preserve"> </w:t>
            </w:r>
            <w:r>
              <w:rPr>
                <w:rStyle w:val="VerbatimChar"/>
                <w:sz w:val="18"/>
              </w:rPr>
              <w:t xml:space="preserve">GrievanceEscalated</w:t>
            </w:r>
          </w:p>
        </w:tc>
        <w:tc>
          <w:tcPr>
            <w:tcW w:w="5029" w:type="dxa"/>
          </w:tcPr>
          <w:p>
            <w:pPr>
              <w:pStyle w:val="Compact"/>
              <w:spacing w:after="40"/>
              <w:jc w:val="left"/>
            </w:pPr>
            <w:r>
              <w:rPr>
                <w:sz w:val="18"/>
              </w:rPr>
              <w:t xml:space="preserve">Complaint routing to the lender’s Grievance Redressal Officer and Internal Ombudsman, onward referral to Equator, and RB-IOS escalation information</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DLGArrangementRegistered</w:t>
            </w:r>
            <w:r>
              <w:rPr>
                <w:sz w:val="18"/>
              </w:rPr>
              <w:t xml:space="preserve">,</w:t>
            </w:r>
            <w:r>
              <w:rPr>
                <w:sz w:val="18"/>
              </w:rPr>
              <w:t xml:space="preserve"> </w:t>
            </w:r>
            <w:r>
              <w:rPr>
                <w:rStyle w:val="VerbatimChar"/>
                <w:sz w:val="18"/>
              </w:rPr>
              <w:t xml:space="preserve">DLGInvocationRaised</w:t>
            </w:r>
            <w:r>
              <w:rPr>
                <w:sz w:val="18"/>
              </w:rPr>
              <w:t xml:space="preserve">,</w:t>
            </w:r>
            <w:r>
              <w:rPr>
                <w:sz w:val="18"/>
              </w:rPr>
              <w:t xml:space="preserve"> </w:t>
            </w:r>
            <w:r>
              <w:rPr>
                <w:rStyle w:val="VerbatimChar"/>
                <w:sz w:val="18"/>
              </w:rPr>
              <w:t xml:space="preserve">DLGInvocationSettled</w:t>
            </w:r>
            <w:r>
              <w:rPr>
                <w:sz w:val="18"/>
              </w:rPr>
              <w:t xml:space="preserve">,</w:t>
            </w:r>
            <w:r>
              <w:rPr>
                <w:sz w:val="18"/>
              </w:rPr>
              <w:t xml:space="preserve"> </w:t>
            </w:r>
            <w:r>
              <w:rPr>
                <w:rStyle w:val="VerbatimChar"/>
                <w:sz w:val="18"/>
              </w:rPr>
              <w:t xml:space="preserve">DLGPortfolioCoverage</w:t>
            </w:r>
          </w:p>
        </w:tc>
        <w:tc>
          <w:tcPr>
            <w:tcW w:w="5029" w:type="dxa"/>
          </w:tcPr>
          <w:p>
            <w:pPr>
              <w:pStyle w:val="Compact"/>
              <w:spacing w:after="40"/>
              <w:jc w:val="left"/>
            </w:pPr>
            <w:r>
              <w:rPr>
                <w:sz w:val="18"/>
              </w:rPr>
              <w:t xml:space="preserve">Default Loss Guarantee ledger (see below)</w:t>
            </w:r>
          </w:p>
        </w:tc>
      </w:tr>
      <w:tr>
        <w:tc>
          <w:tcPr>
            <w:tcW w:w="1024" w:type="dxa"/>
          </w:tcPr>
          <w:p>
            <w:pPr>
              <w:pStyle w:val="Compact"/>
              <w:spacing w:after="40"/>
              <w:jc w:val="left"/>
            </w:pPr>
            <w:r>
              <w:rPr>
                <w:sz w:val="18"/>
              </w:rPr>
              <w:t xml:space="preserve">Finbyx ↔ LSP</w:t>
            </w:r>
          </w:p>
        </w:tc>
        <w:tc>
          <w:tcPr>
            <w:tcW w:w="3585" w:type="dxa"/>
          </w:tcPr>
          <w:p>
            <w:pPr>
              <w:pStyle w:val="Compact"/>
              <w:spacing w:after="40"/>
              <w:jc w:val="left"/>
            </w:pPr>
            <w:r>
              <w:rPr>
                <w:rStyle w:val="VerbatimChar"/>
                <w:sz w:val="18"/>
              </w:rPr>
              <w:t xml:space="preserve">DailyReconciliationFile</w:t>
            </w:r>
          </w:p>
        </w:tc>
        <w:tc>
          <w:tcPr>
            <w:tcW w:w="5029" w:type="dxa"/>
          </w:tcPr>
          <w:p>
            <w:pPr>
              <w:pStyle w:val="Compact"/>
              <w:spacing w:after="40"/>
              <w:jc w:val="left"/>
            </w:pPr>
            <w:r>
              <w:rPr>
                <w:sz w:val="18"/>
              </w:rPr>
              <w:t xml:space="preserve">Disbursements, collections, fees and DLG positions, with break reports</w:t>
            </w:r>
          </w:p>
        </w:tc>
      </w:tr>
    </w:tbl>
    <w:p>
      <w:pPr>
        <w:pStyle w:val="BodyText"/>
      </w:pPr>
      <w:r>
        <w:rPr>
          <w:bCs/>
          <w:b/>
        </w:rPr>
        <w:t xml:space="preserve">Collections responsibility.</w:t>
      </w:r>
      <w:r>
        <w:t xml:space="preserve"> </w:t>
      </w:r>
      <w:r>
        <w:t xml:space="preserve">Keep contractual collection responsibility separate from DLG. A DLG arrangement does not by itself make the LSP the collector. Collection rights come only from an explicit recovery-agent or outsourcing contract recorded in Finbyx, with its effective dates, scope and controls.</w:t>
      </w:r>
    </w:p>
    <w:p>
      <w:pPr>
        <w:pStyle w:val="BodyText"/>
      </w:pPr>
      <w:r>
        <w:rPr>
          <w:bCs/>
          <w:b/>
        </w:rPr>
        <w:t xml:space="preserve">DLG engine in Finbyx (lender side):</w:t>
      </w:r>
    </w:p>
    <w:p>
      <w:pPr>
        <w:numPr>
          <w:ilvl w:val="0"/>
          <w:numId w:val="1053"/>
        </w:numPr>
        <w:pStyle w:val="Compact"/>
      </w:pPr>
      <w:r>
        <w:t xml:space="preserve">Register each arrangement:</w:t>
      </w:r>
    </w:p>
    <w:p>
      <w:pPr>
        <w:numPr>
          <w:ilvl w:val="1"/>
          <w:numId w:val="1054"/>
        </w:numPr>
        <w:pStyle w:val="Compact"/>
      </w:pPr>
      <w:r>
        <w:t xml:space="preserve">the provider: an LSP, or another lender engaged as LSP, incorporated under the Companies Act, 2013 (CF para 19);</w:t>
      </w:r>
    </w:p>
    <w:p>
      <w:pPr>
        <w:numPr>
          <w:ilvl w:val="1"/>
          <w:numId w:val="1054"/>
        </w:numPr>
        <w:pStyle w:val="Compact"/>
      </w:pPr>
      <w:r>
        <w:t xml:space="preserve">the form: cash deposited with the NBFC, an FD with a Scheduled Commercial Bank with lien in favour of the NBFC, or a bank guarantee in favour of the NBFC (para 23);</w:t>
      </w:r>
    </w:p>
    <w:p>
      <w:pPr>
        <w:numPr>
          <w:ilvl w:val="1"/>
          <w:numId w:val="1054"/>
        </w:numPr>
        <w:pStyle w:val="Compact"/>
      </w:pPr>
      <w:r>
        <w:t xml:space="preserve">the fixed DLG set of loans (para 24(2));</w:t>
      </w:r>
    </w:p>
    <w:p>
      <w:pPr>
        <w:numPr>
          <w:ilvl w:val="1"/>
          <w:numId w:val="1054"/>
        </w:numPr>
        <w:pStyle w:val="Compact"/>
      </w:pPr>
      <w:r>
        <w:t xml:space="preserve">the provider’s statutory-auditor-certified declaration, on every entry or renewal (para 20(3)).</w:t>
      </w:r>
    </w:p>
    <w:p>
      <w:pPr>
        <w:numPr>
          <w:ilvl w:val="0"/>
          <w:numId w:val="1053"/>
        </w:numPr>
        <w:pStyle w:val="Compact"/>
      </w:pPr>
      <w:r>
        <w:t xml:space="preserve">Enforce the cap: total DLG cover ≤ 5% of the amount disbursed out of the covered loan portfolio (CF para 24).</w:t>
      </w:r>
    </w:p>
    <w:p>
      <w:pPr>
        <w:numPr>
          <w:ilvl w:val="0"/>
          <w:numId w:val="1053"/>
        </w:numPr>
        <w:pStyle w:val="Compact"/>
      </w:pPr>
      <w:r>
        <w:t xml:space="preserve">The DLG term must be at least the longest loan tenor in the portfolio.</w:t>
      </w:r>
    </w:p>
    <w:p>
      <w:pPr>
        <w:numPr>
          <w:ilvl w:val="0"/>
          <w:numId w:val="1053"/>
        </w:numPr>
        <w:pStyle w:val="Compact"/>
      </w:pPr>
      <w:r>
        <w:t xml:space="preserve">Track invocation within the permitted overdue window.</w:t>
      </w:r>
    </w:p>
    <w:p>
      <w:pPr>
        <w:numPr>
          <w:ilvl w:val="0"/>
          <w:numId w:val="1053"/>
        </w:numPr>
        <w:pStyle w:val="Compact"/>
      </w:pPr>
      <w:r>
        <w:t xml:space="preserve">Asset classification and provisioning of the underlying loans follow the IRACP Directions (CF para 25(1)). ECL may reflect DLG cover only where it is integral to the loan contract and not recognised separately, and is recomputed after every invocation (IRACP paras 36A–36C).</w:t>
      </w:r>
    </w:p>
    <w:p>
      <w:pPr>
        <w:numPr>
          <w:ilvl w:val="0"/>
          <w:numId w:val="1053"/>
        </w:numPr>
        <w:pStyle w:val="Compact"/>
      </w:pPr>
      <w:r>
        <w:t xml:space="preserve">Invoked DLG is never set off against individual loans (para 25(2)) and is never reinstated, including through recovery (para 25(4)).</w:t>
      </w:r>
    </w:p>
    <w:p>
      <w:pPr>
        <w:numPr>
          <w:ilvl w:val="0"/>
          <w:numId w:val="1053"/>
        </w:numPr>
        <w:pStyle w:val="Compact"/>
      </w:pPr>
      <w:r>
        <w:t xml:space="preserve">Block DLG on loans under trust-fund credit-guarantee schemes (para 21(1)).</w:t>
      </w:r>
    </w:p>
    <w:p>
      <w:pPr>
        <w:numPr>
          <w:ilvl w:val="0"/>
          <w:numId w:val="1053"/>
        </w:numPr>
        <w:pStyle w:val="Compact"/>
      </w:pPr>
      <w:r>
        <w:t xml:space="preserve">The BRE must not use DLG cover as an underwriting input (para 20(2)).</w:t>
      </w:r>
    </w:p>
    <w:p>
      <w:pPr>
        <w:numPr>
          <w:ilvl w:val="0"/>
          <w:numId w:val="1053"/>
        </w:numPr>
        <w:pStyle w:val="Compact"/>
      </w:pPr>
      <w:r>
        <w:t xml:space="preserve">Track the LSP’s monthly portfolio disclosure, due within 7 working days of month-end (para 28).</w:t>
      </w:r>
    </w:p>
    <w:p>
      <w:pPr>
        <w:numPr>
          <w:ilvl w:val="0"/>
          <w:numId w:val="1053"/>
        </w:numPr>
        <w:pStyle w:val="Compact"/>
      </w:pPr>
      <w:r>
        <w:t xml:space="preserve">If the tenant is itself a DLG provider, deduct the DLG from capital (para 26(2)).</w:t>
      </w:r>
    </w:p>
    <w:p>
      <w:pPr>
        <w:numPr>
          <w:ilvl w:val="0"/>
          <w:numId w:val="1053"/>
        </w:numPr>
        <w:pStyle w:val="Compact"/>
      </w:pPr>
      <w:r>
        <w:t xml:space="preserve">Report DLG positions and disclosures.</w:t>
      </w:r>
    </w:p>
    <w:p>
      <w:pPr>
        <w:pStyle w:val="FirstParagraph"/>
      </w:pPr>
      <w:r>
        <w:t xml:space="preserve">Map this to CF paras 19–29. Invocation must happen within 120 days overdue (para 27).</w:t>
      </w:r>
    </w:p>
    <w:p>
      <w:pPr>
        <w:pStyle w:val="BodyText"/>
      </w:pPr>
      <w:r>
        <w:rPr>
          <w:bCs/>
          <w:b/>
        </w:rPr>
        <w:t xml:space="preserve">CIMS DLA reporting (CF para 18, Annex-I).</w:t>
      </w:r>
      <w:r>
        <w:t xml:space="preserve"> </w:t>
      </w:r>
      <w:r>
        <w:t xml:space="preserve">- Maintain a register of every DLA, own or LSP, with one line per DLA per platform.</w:t>
      </w:r>
      <w:r>
        <w:t xml:space="preserve"> </w:t>
      </w:r>
      <w:r>
        <w:t xml:space="preserve">- Fields: name, owner, platform, link, GRO name/email/telephone/mobile, RE website.</w:t>
      </w:r>
      <w:r>
        <w:t xml:space="preserve"> </w:t>
      </w:r>
      <w:r>
        <w:t xml:space="preserve">- Update the register when a DLA is added or ceases.</w:t>
      </w:r>
      <w:r>
        <w:t xml:space="preserve"> </w:t>
      </w:r>
      <w:r>
        <w:t xml:space="preserve">- Support certification of the four para 18(4) points by the CCO or a Board-designated official.</w:t>
      </w:r>
      <w:r>
        <w:t xml:space="preserve"> </w:t>
      </w:r>
      <w:r>
        <w:t xml:space="preserve">-</w:t>
      </w:r>
      <w:r>
        <w:t xml:space="preserve"> </w:t>
      </w:r>
      <w:r>
        <w:rPr>
          <w:bCs/>
          <w:b/>
        </w:rPr>
        <w:t xml:space="preserve">Multi-lender offer view (CF para 7):</w:t>
      </w:r>
      <w:r>
        <w:t xml:space="preserve"> </w:t>
      </w:r>
      <w:r>
        <w:t xml:space="preserve">- each offer shows lender name, amount, tenor, APR, monthly repayment obligation, penal charges and a KFS link;</w:t>
      </w:r>
      <w:r>
        <w:t xml:space="preserve"> </w:t>
      </w:r>
      <w:r>
        <w:t xml:space="preserve">- the names of unmatched lenders are disclosed;</w:t>
      </w:r>
      <w:r>
        <w:t xml:space="preserve"> </w:t>
      </w:r>
      <w:r>
        <w:t xml:space="preserve">- the matching approach is documented and consistent;</w:t>
      </w:r>
      <w:r>
        <w:t xml:space="preserve"> </w:t>
      </w:r>
      <w:r>
        <w:t xml:space="preserve">- offers are ranked only on a publicly pre-disclosed metric, with no dark patterns.</w:t>
      </w:r>
      <w:r>
        <w:t xml:space="preserve"> </w:t>
      </w:r>
      <w:r>
        <w:t xml:space="preserve">- Finbyx stores the LSP’s attestation and the version of its matching mechanism.</w:t>
      </w:r>
    </w:p>
    <w:bookmarkEnd w:id="33"/>
    <w:bookmarkStart w:id="34" w:name="X618221b1f7f7d9993d2e1f519cf50d9c8f221c4"/>
    <w:p>
      <w:pPr>
        <w:pStyle w:val="Heading2"/>
      </w:pPr>
      <w:r>
        <w:t xml:space="preserve">5.3 Other connectors using the same framework</w:t>
      </w:r>
    </w:p>
    <w:p>
      <w:pPr>
        <w:pStyle w:val="FirstParagraph"/>
      </w:pPr>
      <w:r>
        <w:t xml:space="preserve">The same framework serves:</w:t>
      </w:r>
    </w:p>
    <w:p>
      <w:pPr>
        <w:numPr>
          <w:ilvl w:val="0"/>
          <w:numId w:val="1055"/>
        </w:numPr>
        <w:pStyle w:val="Compact"/>
      </w:pPr>
      <w:r>
        <w:t xml:space="preserve">other LSPs and fintech partners;</w:t>
      </w:r>
    </w:p>
    <w:p>
      <w:pPr>
        <w:numPr>
          <w:ilvl w:val="0"/>
          <w:numId w:val="1055"/>
        </w:numPr>
        <w:pStyle w:val="Compact"/>
      </w:pPr>
      <w:r>
        <w:t xml:space="preserve">co-lending partners permitted by TDCR para 97 (scheduled commercial banks other than SFBs, LABs and RRBs; All-India Financial Institutions; NBFCs including HFCs), never co-operative banks or credit co-operative societies (Part 7G GR-7G-03; Part 7H IV7.10);</w:t>
      </w:r>
    </w:p>
    <w:p>
      <w:pPr>
        <w:numPr>
          <w:ilvl w:val="0"/>
          <w:numId w:val="1055"/>
        </w:numPr>
        <w:pStyle w:val="Compact"/>
      </w:pPr>
      <w:r>
        <w:t xml:space="preserve">DA and securitisation investors;</w:t>
      </w:r>
    </w:p>
    <w:p>
      <w:pPr>
        <w:numPr>
          <w:ilvl w:val="0"/>
          <w:numId w:val="1055"/>
        </w:numPr>
        <w:pStyle w:val="Compact"/>
      </w:pPr>
      <w:r>
        <w:t xml:space="preserve">Equator (disputes);</w:t>
      </w:r>
    </w:p>
    <w:p>
      <w:pPr>
        <w:numPr>
          <w:ilvl w:val="0"/>
          <w:numId w:val="1055"/>
        </w:numPr>
        <w:pStyle w:val="Compact"/>
      </w:pPr>
      <w:r>
        <w:t xml:space="preserve">LawDocsComply (compliance);</w:t>
      </w:r>
    </w:p>
    <w:p>
      <w:pPr>
        <w:numPr>
          <w:ilvl w:val="0"/>
          <w:numId w:val="1055"/>
        </w:numPr>
        <w:pStyle w:val="Compact"/>
      </w:pPr>
      <w:r>
        <w:t xml:space="preserve">the lender’s legacy LOS/LMS during migration;</w:t>
      </w:r>
    </w:p>
    <w:p>
      <w:pPr>
        <w:numPr>
          <w:ilvl w:val="0"/>
          <w:numId w:val="1055"/>
        </w:numPr>
        <w:pStyle w:val="Compact"/>
      </w:pPr>
      <w:r>
        <w:t xml:space="preserve">third-party LOS/LMS platforms used by LOS-only or LMS-only tenants;</w:t>
      </w:r>
    </w:p>
    <w:p>
      <w:pPr>
        <w:numPr>
          <w:ilvl w:val="0"/>
          <w:numId w:val="1055"/>
        </w:numPr>
        <w:pStyle w:val="Compact"/>
      </w:pPr>
      <w:r>
        <w:t xml:space="preserve">third-party GRC tools, court-data and legal-tech providers, e-auction platforms, notice-dispatch providers, collection agencies and diallers (Part 9.2).</w:t>
      </w:r>
    </w:p>
    <w:p>
      <w:pPr>
        <w:pStyle w:val="FirstParagraph"/>
      </w:pPr>
      <w:r>
        <w:rPr>
          <w:bCs/>
          <w:b/>
        </w:rPr>
        <w:t xml:space="preserve">v1.4 note: canonical contract and new event domains.</w:t>
      </w:r>
      <w:r>
        <w:t xml:space="preserve"> </w:t>
      </w:r>
      <w:r>
        <w:t xml:space="preserve">The Ecosystem Integration Specification is canonical (Part 5 introduction). In addition to the Part 5.2 events and the six events proposed by Udofin (</w:t>
      </w:r>
      <w:r>
        <w:rPr>
          <w:rStyle w:val="VerbatimChar"/>
        </w:rPr>
        <w:t xml:space="preserve">ConsentWithdrawn</w:t>
      </w:r>
      <w:r>
        <w:t xml:space="preserve">,</w:t>
      </w:r>
      <w:r>
        <w:t xml:space="preserve"> </w:t>
      </w:r>
      <w:r>
        <w:rPr>
          <w:rStyle w:val="VerbatimChar"/>
        </w:rPr>
        <w:t xml:space="preserve">DataPrincipalRequest</w:t>
      </w:r>
      <w:r>
        <w:t xml:space="preserve">,</w:t>
      </w:r>
      <w:r>
        <w:t xml:space="preserve"> </w:t>
      </w:r>
      <w:r>
        <w:rPr>
          <w:rStyle w:val="VerbatimChar"/>
        </w:rPr>
        <w:t xml:space="preserve">SecurityIncidentNotified</w:t>
      </w:r>
      <w:r>
        <w:t xml:space="preserve">,</w:t>
      </w:r>
      <w:r>
        <w:t xml:space="preserve"> </w:t>
      </w:r>
      <w:r>
        <w:rPr>
          <w:rStyle w:val="VerbatimChar"/>
        </w:rPr>
        <w:t xml:space="preserve">DLGDisclosurePublished</w:t>
      </w:r>
      <w:r>
        <w:t xml:space="preserve">,</w:t>
      </w:r>
      <w:r>
        <w:t xml:space="preserve"> </w:t>
      </w:r>
      <w:r>
        <w:rPr>
          <w:rStyle w:val="VerbatimChar"/>
        </w:rPr>
        <w:t xml:space="preserve">RiskSignalRaised</w:t>
      </w:r>
      <w:r>
        <w:t xml:space="preserve">,</w:t>
      </w:r>
      <w:r>
        <w:t xml:space="preserve"> </w:t>
      </w:r>
      <w:r>
        <w:rPr>
          <w:rStyle w:val="VerbatimChar"/>
        </w:rPr>
        <w:t xml:space="preserve">SettlementRequested</w:t>
      </w:r>
      <w:r>
        <w:t xml:space="preserve">), it defines the domains below. The specification may add events but must not rename these.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91"/>
        <w:gridCol w:w="7047"/>
      </w:tblGrid>
      <w:tr>
        <w:trPr>
          <w:tblHeader w:val="true"/>
          <w:tblHeader w:val="true"/>
        </w:trPr>
        <w:tc>
          <w:tcPr>
            <w:tcW w:w="2591" w:type="dxa"/>
            <w:shd w:val="clear" w:color="auto" w:fill="1F3A5F"/>
          </w:tcPr>
          <w:p>
            <w:pPr>
              <w:pStyle w:val="Compact"/>
              <w:spacing w:after="40"/>
              <w:jc w:val="left"/>
            </w:pPr>
            <w:r>
              <w:rPr>
                <w:b/>
                <w:color w:val="FFFFFF"/>
                <w:sz w:val="18"/>
              </w:rPr>
              <w:t xml:space="preserve">Domain</w:t>
            </w:r>
          </w:p>
        </w:tc>
        <w:tc>
          <w:tcPr>
            <w:tcW w:w="7047" w:type="dxa"/>
            <w:shd w:val="clear" w:color="auto" w:fill="1F3A5F"/>
          </w:tcPr>
          <w:p>
            <w:pPr>
              <w:pStyle w:val="Compact"/>
              <w:spacing w:after="40"/>
              <w:jc w:val="left"/>
            </w:pPr>
            <w:r>
              <w:rPr>
                <w:b/>
                <w:color w:val="FFFFFF"/>
                <w:sz w:val="18"/>
              </w:rPr>
              <w:t xml:space="preserve">Events</w:t>
            </w:r>
          </w:p>
        </w:tc>
      </w:tr>
      <w:tr>
        <w:tc>
          <w:tcPr>
            <w:tcW w:w="2591" w:type="dxa"/>
          </w:tcPr>
          <w:p>
            <w:pPr>
              <w:pStyle w:val="Compact"/>
              <w:spacing w:after="40"/>
              <w:jc w:val="left"/>
            </w:pPr>
            <w:r>
              <w:rPr>
                <w:sz w:val="18"/>
              </w:rPr>
              <w:t xml:space="preserve">Collateral</w:t>
            </w:r>
          </w:p>
        </w:tc>
        <w:tc>
          <w:tcPr>
            <w:tcW w:w="7047" w:type="dxa"/>
          </w:tcPr>
          <w:p>
            <w:pPr>
              <w:pStyle w:val="Compact"/>
              <w:spacing w:after="40"/>
              <w:jc w:val="left"/>
            </w:pPr>
            <w:r>
              <w:rPr>
                <w:rStyle w:val="VerbatimChar"/>
                <w:sz w:val="18"/>
              </w:rPr>
              <w:t xml:space="preserve">CollateralPledgeRequested</w:t>
            </w:r>
            <w:r>
              <w:rPr>
                <w:sz w:val="18"/>
              </w:rPr>
              <w:t xml:space="preserve">,</w:t>
            </w:r>
            <w:r>
              <w:rPr>
                <w:sz w:val="18"/>
              </w:rPr>
              <w:t xml:space="preserve"> </w:t>
            </w:r>
            <w:r>
              <w:rPr>
                <w:rStyle w:val="VerbatimChar"/>
                <w:sz w:val="18"/>
              </w:rPr>
              <w:t xml:space="preserve">CollateralPledgeCreated</w:t>
            </w:r>
            <w:r>
              <w:rPr>
                <w:sz w:val="18"/>
              </w:rPr>
              <w:t xml:space="preserve">,</w:t>
            </w:r>
            <w:r>
              <w:rPr>
                <w:sz w:val="18"/>
              </w:rPr>
              <w:t xml:space="preserve"> </w:t>
            </w:r>
            <w:r>
              <w:rPr>
                <w:rStyle w:val="VerbatimChar"/>
                <w:sz w:val="18"/>
              </w:rPr>
              <w:t xml:space="preserve">CollateralValuationUpdated</w:t>
            </w:r>
            <w:r>
              <w:rPr>
                <w:sz w:val="18"/>
              </w:rPr>
              <w:t xml:space="preserve">,</w:t>
            </w:r>
            <w:r>
              <w:rPr>
                <w:sz w:val="18"/>
              </w:rPr>
              <w:t xml:space="preserve"> </w:t>
            </w:r>
            <w:r>
              <w:rPr>
                <w:rStyle w:val="VerbatimChar"/>
                <w:sz w:val="18"/>
              </w:rPr>
              <w:t xml:space="preserve">MarginCallRaised</w:t>
            </w:r>
            <w:r>
              <w:rPr>
                <w:sz w:val="18"/>
              </w:rPr>
              <w:t xml:space="preserve">,</w:t>
            </w:r>
            <w:r>
              <w:rPr>
                <w:sz w:val="18"/>
              </w:rPr>
              <w:t xml:space="preserve"> </w:t>
            </w:r>
            <w:r>
              <w:rPr>
                <w:rStyle w:val="VerbatimChar"/>
                <w:sz w:val="18"/>
              </w:rPr>
              <w:t xml:space="preserve">MarginCallCured</w:t>
            </w:r>
            <w:r>
              <w:rPr>
                <w:sz w:val="18"/>
              </w:rPr>
              <w:t xml:space="preserve">,</w:t>
            </w:r>
            <w:r>
              <w:rPr>
                <w:sz w:val="18"/>
              </w:rPr>
              <w:t xml:space="preserve"> </w:t>
            </w:r>
            <w:r>
              <w:rPr>
                <w:rStyle w:val="VerbatimChar"/>
                <w:sz w:val="18"/>
              </w:rPr>
              <w:t xml:space="preserve">CollateralInvoked</w:t>
            </w:r>
            <w:r>
              <w:rPr>
                <w:sz w:val="18"/>
              </w:rPr>
              <w:t xml:space="preserve">,</w:t>
            </w:r>
            <w:r>
              <w:rPr>
                <w:sz w:val="18"/>
              </w:rPr>
              <w:t xml:space="preserve"> </w:t>
            </w:r>
            <w:r>
              <w:rPr>
                <w:rStyle w:val="VerbatimChar"/>
                <w:sz w:val="18"/>
              </w:rPr>
              <w:t xml:space="preserve">CollateralReleased</w:t>
            </w:r>
          </w:p>
        </w:tc>
      </w:tr>
      <w:tr>
        <w:tc>
          <w:tcPr>
            <w:tcW w:w="2591" w:type="dxa"/>
          </w:tcPr>
          <w:p>
            <w:pPr>
              <w:pStyle w:val="Compact"/>
              <w:spacing w:after="40"/>
              <w:jc w:val="left"/>
            </w:pPr>
            <w:r>
              <w:rPr>
                <w:sz w:val="18"/>
              </w:rPr>
              <w:t xml:space="preserve">Co-lending and transfer</w:t>
            </w:r>
          </w:p>
        </w:tc>
        <w:tc>
          <w:tcPr>
            <w:tcW w:w="7047" w:type="dxa"/>
          </w:tcPr>
          <w:p>
            <w:pPr>
              <w:pStyle w:val="Compact"/>
              <w:spacing w:after="40"/>
              <w:jc w:val="left"/>
            </w:pPr>
            <w:r>
              <w:rPr>
                <w:rStyle w:val="VerbatimChar"/>
                <w:sz w:val="18"/>
              </w:rPr>
              <w:t xml:space="preserve">CoLendingSplitConfirmed</w:t>
            </w:r>
            <w:r>
              <w:rPr>
                <w:sz w:val="18"/>
              </w:rPr>
              <w:t xml:space="preserve">,</w:t>
            </w:r>
            <w:r>
              <w:rPr>
                <w:sz w:val="18"/>
              </w:rPr>
              <w:t xml:space="preserve"> </w:t>
            </w:r>
            <w:r>
              <w:rPr>
                <w:rStyle w:val="VerbatimChar"/>
                <w:sz w:val="18"/>
              </w:rPr>
              <w:t xml:space="preserve">ClassificationSynced</w:t>
            </w:r>
            <w:r>
              <w:rPr>
                <w:sz w:val="18"/>
              </w:rPr>
              <w:t xml:space="preserve">,</w:t>
            </w:r>
            <w:r>
              <w:rPr>
                <w:sz w:val="18"/>
              </w:rPr>
              <w:t xml:space="preserve"> </w:t>
            </w:r>
            <w:r>
              <w:rPr>
                <w:rStyle w:val="VerbatimChar"/>
                <w:sz w:val="18"/>
              </w:rPr>
              <w:t xml:space="preserve">LoanTransferred</w:t>
            </w:r>
            <w:r>
              <w:rPr>
                <w:sz w:val="18"/>
              </w:rPr>
              <w:t xml:space="preserve">,</w:t>
            </w:r>
            <w:r>
              <w:rPr>
                <w:sz w:val="18"/>
              </w:rPr>
              <w:t xml:space="preserve"> </w:t>
            </w:r>
            <w:r>
              <w:rPr>
                <w:rStyle w:val="VerbatimChar"/>
                <w:sz w:val="18"/>
              </w:rPr>
              <w:t xml:space="preserve">ServicerChanged</w:t>
            </w:r>
          </w:p>
        </w:tc>
      </w:tr>
      <w:tr>
        <w:tc>
          <w:tcPr>
            <w:tcW w:w="2591" w:type="dxa"/>
          </w:tcPr>
          <w:p>
            <w:pPr>
              <w:pStyle w:val="Compact"/>
              <w:spacing w:after="40"/>
              <w:jc w:val="left"/>
            </w:pPr>
            <w:r>
              <w:rPr>
                <w:sz w:val="18"/>
              </w:rPr>
              <w:t xml:space="preserve">Recovery</w:t>
            </w:r>
          </w:p>
        </w:tc>
        <w:tc>
          <w:tcPr>
            <w:tcW w:w="7047" w:type="dxa"/>
          </w:tcPr>
          <w:p>
            <w:pPr>
              <w:pStyle w:val="Compact"/>
              <w:spacing w:after="40"/>
              <w:jc w:val="left"/>
            </w:pPr>
            <w:r>
              <w:rPr>
                <w:rStyle w:val="VerbatimChar"/>
                <w:sz w:val="18"/>
              </w:rPr>
              <w:t xml:space="preserve">RecoveryCaseOpened</w:t>
            </w:r>
            <w:r>
              <w:rPr>
                <w:sz w:val="18"/>
              </w:rPr>
              <w:t xml:space="preserve">,</w:t>
            </w:r>
            <w:r>
              <w:rPr>
                <w:sz w:val="18"/>
              </w:rPr>
              <w:t xml:space="preserve"> </w:t>
            </w:r>
            <w:r>
              <w:rPr>
                <w:rStyle w:val="VerbatimChar"/>
                <w:sz w:val="18"/>
              </w:rPr>
              <w:t xml:space="preserve">RecoveryStrategyChanged</w:t>
            </w:r>
            <w:r>
              <w:rPr>
                <w:sz w:val="18"/>
              </w:rPr>
              <w:t xml:space="preserve">,</w:t>
            </w:r>
            <w:r>
              <w:rPr>
                <w:sz w:val="18"/>
              </w:rPr>
              <w:t xml:space="preserve"> </w:t>
            </w:r>
            <w:r>
              <w:rPr>
                <w:rStyle w:val="VerbatimChar"/>
                <w:sz w:val="18"/>
              </w:rPr>
              <w:t xml:space="preserve">LegalNoticeIssued</w:t>
            </w:r>
            <w:r>
              <w:rPr>
                <w:sz w:val="18"/>
              </w:rPr>
              <w:t xml:space="preserve">,</w:t>
            </w:r>
            <w:r>
              <w:rPr>
                <w:sz w:val="18"/>
              </w:rPr>
              <w:t xml:space="preserve"> </w:t>
            </w:r>
            <w:r>
              <w:rPr>
                <w:rStyle w:val="VerbatimChar"/>
                <w:sz w:val="18"/>
              </w:rPr>
              <w:t xml:space="preserve">NoticeServiceUpdated</w:t>
            </w:r>
            <w:r>
              <w:rPr>
                <w:sz w:val="18"/>
              </w:rPr>
              <w:t xml:space="preserve">,</w:t>
            </w:r>
            <w:r>
              <w:rPr>
                <w:sz w:val="18"/>
              </w:rPr>
              <w:t xml:space="preserve"> </w:t>
            </w:r>
            <w:r>
              <w:rPr>
                <w:rStyle w:val="VerbatimChar"/>
                <w:sz w:val="18"/>
              </w:rPr>
              <w:t xml:space="preserve">SettlementOfferIssued</w:t>
            </w:r>
            <w:r>
              <w:rPr>
                <w:sz w:val="18"/>
              </w:rPr>
              <w:t xml:space="preserve">,</w:t>
            </w:r>
            <w:r>
              <w:rPr>
                <w:sz w:val="18"/>
              </w:rPr>
              <w:t xml:space="preserve"> </w:t>
            </w:r>
            <w:r>
              <w:rPr>
                <w:rStyle w:val="VerbatimChar"/>
                <w:sz w:val="18"/>
              </w:rPr>
              <w:t xml:space="preserve">SettlementApproved</w:t>
            </w:r>
            <w:r>
              <w:rPr>
                <w:sz w:val="18"/>
              </w:rPr>
              <w:t xml:space="preserve">,</w:t>
            </w:r>
            <w:r>
              <w:rPr>
                <w:sz w:val="18"/>
              </w:rPr>
              <w:t xml:space="preserve"> </w:t>
            </w:r>
            <w:r>
              <w:rPr>
                <w:rStyle w:val="VerbatimChar"/>
                <w:sz w:val="18"/>
              </w:rPr>
              <w:t xml:space="preserve">SettlementBreached</w:t>
            </w:r>
            <w:r>
              <w:rPr>
                <w:sz w:val="18"/>
              </w:rPr>
              <w:t xml:space="preserve">,</w:t>
            </w:r>
            <w:r>
              <w:rPr>
                <w:sz w:val="18"/>
              </w:rPr>
              <w:t xml:space="preserve"> </w:t>
            </w:r>
            <w:r>
              <w:rPr>
                <w:rStyle w:val="VerbatimChar"/>
                <w:sz w:val="18"/>
              </w:rPr>
              <w:t xml:space="preserve">AssetRepossessed</w:t>
            </w:r>
            <w:r>
              <w:rPr>
                <w:sz w:val="18"/>
              </w:rPr>
              <w:t xml:space="preserve">,</w:t>
            </w:r>
            <w:r>
              <w:rPr>
                <w:sz w:val="18"/>
              </w:rPr>
              <w:t xml:space="preserve"> </w:t>
            </w:r>
            <w:r>
              <w:rPr>
                <w:rStyle w:val="VerbatimChar"/>
                <w:sz w:val="18"/>
              </w:rPr>
              <w:t xml:space="preserve">AuctionScheduled</w:t>
            </w:r>
            <w:r>
              <w:rPr>
                <w:sz w:val="18"/>
              </w:rPr>
              <w:t xml:space="preserve">,</w:t>
            </w:r>
            <w:r>
              <w:rPr>
                <w:sz w:val="18"/>
              </w:rPr>
              <w:t xml:space="preserve"> </w:t>
            </w:r>
            <w:r>
              <w:rPr>
                <w:rStyle w:val="VerbatimChar"/>
                <w:sz w:val="18"/>
              </w:rPr>
              <w:t xml:space="preserve">AuctionConcluded</w:t>
            </w:r>
            <w:r>
              <w:rPr>
                <w:sz w:val="18"/>
              </w:rPr>
              <w:t xml:space="preserve">,</w:t>
            </w:r>
            <w:r>
              <w:rPr>
                <w:sz w:val="18"/>
              </w:rPr>
              <w:t xml:space="preserve"> </w:t>
            </w:r>
            <w:r>
              <w:rPr>
                <w:rStyle w:val="VerbatimChar"/>
                <w:sz w:val="18"/>
              </w:rPr>
              <w:t xml:space="preserve">RecoveryReceiptPosted</w:t>
            </w:r>
            <w:r>
              <w:rPr>
                <w:sz w:val="18"/>
              </w:rPr>
              <w:t xml:space="preserve">,</w:t>
            </w:r>
            <w:r>
              <w:rPr>
                <w:sz w:val="18"/>
              </w:rPr>
              <w:t xml:space="preserve"> </w:t>
            </w:r>
            <w:r>
              <w:rPr>
                <w:rStyle w:val="VerbatimChar"/>
                <w:sz w:val="18"/>
              </w:rPr>
              <w:t xml:space="preserve">RecoveryCaseClosed</w:t>
            </w:r>
          </w:p>
        </w:tc>
      </w:tr>
      <w:tr>
        <w:tc>
          <w:tcPr>
            <w:tcW w:w="2591" w:type="dxa"/>
          </w:tcPr>
          <w:p>
            <w:pPr>
              <w:pStyle w:val="Compact"/>
              <w:spacing w:after="40"/>
              <w:jc w:val="left"/>
            </w:pPr>
            <w:r>
              <w:rPr>
                <w:sz w:val="18"/>
              </w:rPr>
              <w:t xml:space="preserve">ADR (Equator or another provider)</w:t>
            </w:r>
          </w:p>
        </w:tc>
        <w:tc>
          <w:tcPr>
            <w:tcW w:w="7047" w:type="dxa"/>
          </w:tcPr>
          <w:p>
            <w:pPr>
              <w:pStyle w:val="Compact"/>
              <w:spacing w:after="40"/>
              <w:jc w:val="left"/>
            </w:pPr>
            <w:r>
              <w:rPr>
                <w:rStyle w:val="VerbatimChar"/>
                <w:sz w:val="18"/>
              </w:rPr>
              <w:t xml:space="preserve">ADRReferralCreated</w:t>
            </w:r>
            <w:r>
              <w:rPr>
                <w:sz w:val="18"/>
              </w:rPr>
              <w:t xml:space="preserve">,</w:t>
            </w:r>
            <w:r>
              <w:rPr>
                <w:sz w:val="18"/>
              </w:rPr>
              <w:t xml:space="preserve"> </w:t>
            </w:r>
            <w:r>
              <w:rPr>
                <w:rStyle w:val="VerbatimChar"/>
                <w:sz w:val="18"/>
              </w:rPr>
              <w:t xml:space="preserve">ADRConsentRecorded</w:t>
            </w:r>
            <w:r>
              <w:rPr>
                <w:sz w:val="18"/>
              </w:rPr>
              <w:t xml:space="preserve">,</w:t>
            </w:r>
            <w:r>
              <w:rPr>
                <w:sz w:val="18"/>
              </w:rPr>
              <w:t xml:space="preserve"> </w:t>
            </w:r>
            <w:r>
              <w:rPr>
                <w:rStyle w:val="VerbatimChar"/>
                <w:sz w:val="18"/>
              </w:rPr>
              <w:t xml:space="preserve">ADRNeutralAppointed</w:t>
            </w:r>
            <w:r>
              <w:rPr>
                <w:sz w:val="18"/>
              </w:rPr>
              <w:t xml:space="preserve">,</w:t>
            </w:r>
            <w:r>
              <w:rPr>
                <w:sz w:val="18"/>
              </w:rPr>
              <w:t xml:space="preserve"> </w:t>
            </w:r>
            <w:r>
              <w:rPr>
                <w:rStyle w:val="VerbatimChar"/>
                <w:sz w:val="18"/>
              </w:rPr>
              <w:t xml:space="preserve">ADRHearingScheduled</w:t>
            </w:r>
            <w:r>
              <w:rPr>
                <w:sz w:val="18"/>
              </w:rPr>
              <w:t xml:space="preserve">,</w:t>
            </w:r>
            <w:r>
              <w:rPr>
                <w:sz w:val="18"/>
              </w:rPr>
              <w:t xml:space="preserve"> </w:t>
            </w:r>
            <w:r>
              <w:rPr>
                <w:rStyle w:val="VerbatimChar"/>
                <w:sz w:val="18"/>
              </w:rPr>
              <w:t xml:space="preserve">ADRCaseStatusChanged</w:t>
            </w:r>
            <w:r>
              <w:rPr>
                <w:sz w:val="18"/>
              </w:rPr>
              <w:t xml:space="preserve">,</w:t>
            </w:r>
            <w:r>
              <w:rPr>
                <w:sz w:val="18"/>
              </w:rPr>
              <w:t xml:space="preserve"> </w:t>
            </w:r>
            <w:r>
              <w:rPr>
                <w:rStyle w:val="VerbatimChar"/>
                <w:sz w:val="18"/>
              </w:rPr>
              <w:t xml:space="preserve">ADROutcomeRecorded</w:t>
            </w:r>
            <w:r>
              <w:rPr>
                <w:sz w:val="18"/>
              </w:rPr>
              <w:t xml:space="preserve">,</w:t>
            </w:r>
            <w:r>
              <w:rPr>
                <w:sz w:val="18"/>
              </w:rPr>
              <w:t xml:space="preserve"> </w:t>
            </w:r>
            <w:r>
              <w:rPr>
                <w:rStyle w:val="VerbatimChar"/>
                <w:sz w:val="18"/>
              </w:rPr>
              <w:t xml:space="preserve">ADROutcomeComplianceUpdated</w:t>
            </w:r>
          </w:p>
        </w:tc>
      </w:tr>
      <w:tr>
        <w:tc>
          <w:tcPr>
            <w:tcW w:w="2591" w:type="dxa"/>
          </w:tcPr>
          <w:p>
            <w:pPr>
              <w:pStyle w:val="Compact"/>
              <w:spacing w:after="40"/>
              <w:jc w:val="left"/>
            </w:pPr>
            <w:r>
              <w:rPr>
                <w:sz w:val="18"/>
              </w:rPr>
              <w:t xml:space="preserve">Litigation</w:t>
            </w:r>
          </w:p>
        </w:tc>
        <w:tc>
          <w:tcPr>
            <w:tcW w:w="7047" w:type="dxa"/>
          </w:tcPr>
          <w:p>
            <w:pPr>
              <w:pStyle w:val="Compact"/>
              <w:spacing w:after="40"/>
              <w:jc w:val="left"/>
            </w:pPr>
            <w:r>
              <w:rPr>
                <w:rStyle w:val="VerbatimChar"/>
                <w:sz w:val="18"/>
              </w:rPr>
              <w:t xml:space="preserve">LitigationCaseOpened</w:t>
            </w:r>
            <w:r>
              <w:rPr>
                <w:sz w:val="18"/>
              </w:rPr>
              <w:t xml:space="preserve">,</w:t>
            </w:r>
            <w:r>
              <w:rPr>
                <w:sz w:val="18"/>
              </w:rPr>
              <w:t xml:space="preserve"> </w:t>
            </w:r>
            <w:r>
              <w:rPr>
                <w:rStyle w:val="VerbatimChar"/>
                <w:sz w:val="18"/>
              </w:rPr>
              <w:t xml:space="preserve">LitigationCaseUpdated</w:t>
            </w:r>
            <w:r>
              <w:rPr>
                <w:sz w:val="18"/>
              </w:rPr>
              <w:t xml:space="preserve">,</w:t>
            </w:r>
            <w:r>
              <w:rPr>
                <w:sz w:val="18"/>
              </w:rPr>
              <w:t xml:space="preserve"> </w:t>
            </w:r>
            <w:r>
              <w:rPr>
                <w:rStyle w:val="VerbatimChar"/>
                <w:sz w:val="18"/>
              </w:rPr>
              <w:t xml:space="preserve">HearingScheduled</w:t>
            </w:r>
            <w:r>
              <w:rPr>
                <w:sz w:val="18"/>
              </w:rPr>
              <w:t xml:space="preserve">,</w:t>
            </w:r>
            <w:r>
              <w:rPr>
                <w:sz w:val="18"/>
              </w:rPr>
              <w:t xml:space="preserve"> </w:t>
            </w:r>
            <w:r>
              <w:rPr>
                <w:rStyle w:val="VerbatimChar"/>
                <w:sz w:val="18"/>
              </w:rPr>
              <w:t xml:space="preserve">OrderRecorded</w:t>
            </w:r>
            <w:r>
              <w:rPr>
                <w:sz w:val="18"/>
              </w:rPr>
              <w:t xml:space="preserve">,</w:t>
            </w:r>
            <w:r>
              <w:rPr>
                <w:sz w:val="18"/>
              </w:rPr>
              <w:t xml:space="preserve"> </w:t>
            </w:r>
            <w:r>
              <w:rPr>
                <w:rStyle w:val="VerbatimChar"/>
                <w:sz w:val="18"/>
              </w:rPr>
              <w:t xml:space="preserve">LitigationCaseClosed</w:t>
            </w:r>
          </w:p>
        </w:tc>
      </w:tr>
      <w:tr>
        <w:tc>
          <w:tcPr>
            <w:tcW w:w="2591" w:type="dxa"/>
          </w:tcPr>
          <w:p>
            <w:pPr>
              <w:pStyle w:val="Compact"/>
              <w:spacing w:after="40"/>
              <w:jc w:val="left"/>
            </w:pPr>
            <w:r>
              <w:rPr>
                <w:sz w:val="18"/>
              </w:rPr>
              <w:t xml:space="preserve">Compliance and GRC</w:t>
            </w:r>
          </w:p>
        </w:tc>
        <w:tc>
          <w:tcPr>
            <w:tcW w:w="7047" w:type="dxa"/>
          </w:tcPr>
          <w:p>
            <w:pPr>
              <w:pStyle w:val="Compact"/>
              <w:spacing w:after="40"/>
              <w:jc w:val="left"/>
            </w:pPr>
            <w:r>
              <w:rPr>
                <w:rStyle w:val="VerbatimChar"/>
                <w:sz w:val="18"/>
              </w:rPr>
              <w:t xml:space="preserve">ObligationPublished</w:t>
            </w:r>
            <w:r>
              <w:rPr>
                <w:sz w:val="18"/>
              </w:rPr>
              <w:t xml:space="preserve">,</w:t>
            </w:r>
            <w:r>
              <w:rPr>
                <w:sz w:val="18"/>
              </w:rPr>
              <w:t xml:space="preserve"> </w:t>
            </w:r>
            <w:r>
              <w:rPr>
                <w:rStyle w:val="VerbatimChar"/>
                <w:sz w:val="18"/>
              </w:rPr>
              <w:t xml:space="preserve">ControlTestResultPublished</w:t>
            </w:r>
            <w:r>
              <w:rPr>
                <w:sz w:val="18"/>
              </w:rPr>
              <w:t xml:space="preserve">,</w:t>
            </w:r>
            <w:r>
              <w:rPr>
                <w:sz w:val="18"/>
              </w:rPr>
              <w:t xml:space="preserve"> </w:t>
            </w:r>
            <w:r>
              <w:rPr>
                <w:rStyle w:val="VerbatimChar"/>
                <w:sz w:val="18"/>
              </w:rPr>
              <w:t xml:space="preserve">EvidenceSubmitted</w:t>
            </w:r>
            <w:r>
              <w:rPr>
                <w:sz w:val="18"/>
              </w:rPr>
              <w:t xml:space="preserve">,</w:t>
            </w:r>
            <w:r>
              <w:rPr>
                <w:sz w:val="18"/>
              </w:rPr>
              <w:t xml:space="preserve"> </w:t>
            </w:r>
            <w:r>
              <w:rPr>
                <w:rStyle w:val="VerbatimChar"/>
                <w:sz w:val="18"/>
              </w:rPr>
              <w:t xml:space="preserve">ComplianceIssueRaised</w:t>
            </w:r>
            <w:r>
              <w:rPr>
                <w:sz w:val="18"/>
              </w:rPr>
              <w:t xml:space="preserve">,</w:t>
            </w:r>
            <w:r>
              <w:rPr>
                <w:sz w:val="18"/>
              </w:rPr>
              <w:t xml:space="preserve"> </w:t>
            </w:r>
            <w:r>
              <w:rPr>
                <w:rStyle w:val="VerbatimChar"/>
                <w:sz w:val="18"/>
              </w:rPr>
              <w:t xml:space="preserve">ReturnStatusUpdated</w:t>
            </w:r>
            <w:r>
              <w:rPr>
                <w:sz w:val="18"/>
              </w:rPr>
              <w:t xml:space="preserve">,</w:t>
            </w:r>
            <w:r>
              <w:rPr>
                <w:sz w:val="18"/>
              </w:rPr>
              <w:t xml:space="preserve"> </w:t>
            </w:r>
            <w:r>
              <w:rPr>
                <w:rStyle w:val="VerbatimChar"/>
                <w:sz w:val="18"/>
              </w:rPr>
              <w:t xml:space="preserve">PolicyAttested</w:t>
            </w:r>
          </w:p>
        </w:tc>
      </w:tr>
      <w:tr>
        <w:tc>
          <w:tcPr>
            <w:tcW w:w="2591" w:type="dxa"/>
          </w:tcPr>
          <w:p>
            <w:pPr>
              <w:pStyle w:val="Compact"/>
              <w:spacing w:after="40"/>
              <w:jc w:val="left"/>
            </w:pPr>
            <w:r>
              <w:rPr>
                <w:sz w:val="18"/>
              </w:rPr>
              <w:t xml:space="preserve">Platform</w:t>
            </w:r>
          </w:p>
        </w:tc>
        <w:tc>
          <w:tcPr>
            <w:tcW w:w="7047" w:type="dxa"/>
          </w:tcPr>
          <w:p>
            <w:pPr>
              <w:pStyle w:val="Compact"/>
              <w:spacing w:after="40"/>
              <w:jc w:val="left"/>
            </w:pPr>
            <w:r>
              <w:rPr>
                <w:rStyle w:val="VerbatimChar"/>
                <w:sz w:val="18"/>
              </w:rPr>
              <w:t xml:space="preserve">ModuleAttached</w:t>
            </w:r>
            <w:r>
              <w:rPr>
                <w:sz w:val="18"/>
              </w:rPr>
              <w:t xml:space="preserve">,</w:t>
            </w:r>
            <w:r>
              <w:rPr>
                <w:sz w:val="18"/>
              </w:rPr>
              <w:t xml:space="preserve"> </w:t>
            </w:r>
            <w:r>
              <w:rPr>
                <w:rStyle w:val="VerbatimChar"/>
                <w:sz w:val="18"/>
              </w:rPr>
              <w:t xml:space="preserve">ModuleDetached</w:t>
            </w:r>
            <w:r>
              <w:rPr>
                <w:sz w:val="18"/>
              </w:rPr>
              <w:t xml:space="preserve">,</w:t>
            </w:r>
            <w:r>
              <w:rPr>
                <w:sz w:val="18"/>
              </w:rPr>
              <w:t xml:space="preserve"> </w:t>
            </w:r>
            <w:r>
              <w:rPr>
                <w:rStyle w:val="VerbatimChar"/>
                <w:sz w:val="18"/>
              </w:rPr>
              <w:t xml:space="preserve">ConnectorCertified</w:t>
            </w:r>
          </w:p>
        </w:tc>
      </w:tr>
    </w:tbl>
    <w:p>
      <w:pPr>
        <w:pStyle w:val="BodyText"/>
      </w:pPr>
      <w:r>
        <w:t xml:space="preserve">Envelope and transport: CloudEvents 1.0 envelope; OpenAPI 3.1; AsyncAPI 3.0; JSON Schema 2020-12 registry; Standard Webhooks;</w:t>
      </w:r>
      <w:r>
        <w:t xml:space="preserve"> </w:t>
      </w:r>
      <w:r>
        <w:rPr>
          <w:rStyle w:val="VerbatimChar"/>
        </w:rPr>
        <w:t xml:space="preserve">Idempotency-Key</w:t>
      </w:r>
      <w:r>
        <w:t xml:space="preserve">; mTLS plus RFC 9421 HTTP Message Signatures (JWS for documents); OAuth client credentials; FAPI 2.0 where an API acts on the borrower’s behalf; India-only data residency. Udofin receives recovery, legal and ADR events only as status, only within its appointment and the borrower’s consent, and never case documents beyond what the RE permits.</w:t>
      </w:r>
    </w:p>
    <w:p>
      <w:r>
        <w:pict>
          <v:rect style="width:0;height:1.5pt" o:hralign="center" o:hrstd="t" o:hr="t"/>
        </w:pict>
      </w:r>
    </w:p>
    <w:bookmarkEnd w:id="34"/>
    <w:bookmarkEnd w:id="35"/>
    <w:bookmarkStart w:id="73" w:name="Xc2fe6d031405b31db15931a0e40fce87a0e32d4"/>
    <w:p>
      <w:pPr>
        <w:pStyle w:val="Heading1"/>
      </w:pPr>
      <w:r>
        <w:t xml:space="preserve">PART 6 — LOAN PRODUCTS: COMMON FINANCING ENGINE + PRODUCT TEMPLATES</w:t>
      </w:r>
    </w:p>
    <w:bookmarkStart w:id="36" w:name="common-financing-engine"/>
    <w:p>
      <w:pPr>
        <w:pStyle w:val="Heading2"/>
      </w:pPr>
      <w:r>
        <w:t xml:space="preserve">6.1 Common financing engine</w:t>
      </w:r>
    </w:p>
    <w:p>
      <w:pPr>
        <w:pStyle w:val="FirstParagraph"/>
      </w:pPr>
      <w:r>
        <w:t xml:space="preserve">Build</w:t>
      </w:r>
      <w:r>
        <w:t xml:space="preserve"> </w:t>
      </w:r>
      <w:r>
        <w:rPr>
          <w:bCs/>
          <w:b/>
        </w:rPr>
        <w:t xml:space="preserve">one common financing engine</w:t>
      </w:r>
      <w:r>
        <w:t xml:space="preserve">. Each product is a configured</w:t>
      </w:r>
      <w:r>
        <w:t xml:space="preserve"> </w:t>
      </w:r>
      <w:r>
        <w:rPr>
          <w:bCs/>
          <w:b/>
        </w:rPr>
        <w:t xml:space="preserve">product template</w:t>
      </w:r>
      <w:r>
        <w:t xml:space="preserve"> </w:t>
      </w:r>
      <w:r>
        <w:t xml:space="preserve">with its own workflow, rules, documents, integrations, accounting mapping and reports. A product template is made up of:</w:t>
      </w:r>
    </w:p>
    <w:p>
      <w:pPr>
        <w:numPr>
          <w:ilvl w:val="0"/>
          <w:numId w:val="1056"/>
        </w:numPr>
        <w:pStyle w:val="Compact"/>
      </w:pPr>
      <w:r>
        <w:t xml:space="preserve">a product factory record (Part 4.2A parameters);</w:t>
      </w:r>
    </w:p>
    <w:p>
      <w:pPr>
        <w:numPr>
          <w:ilvl w:val="0"/>
          <w:numId w:val="1056"/>
        </w:numPr>
        <w:pStyle w:val="Compact"/>
      </w:pPr>
      <w:r>
        <w:t xml:space="preserve">a BRE ruleset;</w:t>
      </w:r>
    </w:p>
    <w:p>
      <w:pPr>
        <w:numPr>
          <w:ilvl w:val="0"/>
          <w:numId w:val="1056"/>
        </w:numPr>
        <w:pStyle w:val="Compact"/>
      </w:pPr>
      <w:r>
        <w:t xml:space="preserve">a deviation matrix;</w:t>
      </w:r>
    </w:p>
    <w:p>
      <w:pPr>
        <w:numPr>
          <w:ilvl w:val="0"/>
          <w:numId w:val="1056"/>
        </w:numPr>
        <w:pStyle w:val="Compact"/>
      </w:pPr>
      <w:r>
        <w:t xml:space="preserve">a delegation-of-authority (DoA) matrix;</w:t>
      </w:r>
    </w:p>
    <w:p>
      <w:pPr>
        <w:numPr>
          <w:ilvl w:val="0"/>
          <w:numId w:val="1056"/>
        </w:numPr>
        <w:pStyle w:val="Compact"/>
      </w:pPr>
      <w:r>
        <w:t xml:space="preserve">a document checklist;</w:t>
      </w:r>
    </w:p>
    <w:p>
      <w:pPr>
        <w:numPr>
          <w:ilvl w:val="0"/>
          <w:numId w:val="1056"/>
        </w:numPr>
        <w:pStyle w:val="Compact"/>
      </w:pPr>
      <w:r>
        <w:t xml:space="preserve">a verification plan (FI, PD, technical, legal, RCU);</w:t>
      </w:r>
    </w:p>
    <w:p>
      <w:pPr>
        <w:numPr>
          <w:ilvl w:val="0"/>
          <w:numId w:val="1056"/>
        </w:numPr>
        <w:pStyle w:val="Compact"/>
      </w:pPr>
      <w:r>
        <w:t xml:space="preserve">a collateral type;</w:t>
      </w:r>
    </w:p>
    <w:p>
      <w:pPr>
        <w:numPr>
          <w:ilvl w:val="0"/>
          <w:numId w:val="1056"/>
        </w:numPr>
        <w:pStyle w:val="Compact"/>
      </w:pPr>
      <w:r>
        <w:t xml:space="preserve">a charges and GST profile;</w:t>
      </w:r>
    </w:p>
    <w:p>
      <w:pPr>
        <w:numPr>
          <w:ilvl w:val="0"/>
          <w:numId w:val="1056"/>
        </w:numPr>
        <w:pStyle w:val="Compact"/>
      </w:pPr>
      <w:r>
        <w:t xml:space="preserve">a KFS template;</w:t>
      </w:r>
    </w:p>
    <w:p>
      <w:pPr>
        <w:numPr>
          <w:ilvl w:val="0"/>
          <w:numId w:val="1056"/>
        </w:numPr>
        <w:pStyle w:val="Compact"/>
      </w:pPr>
      <w:r>
        <w:t xml:space="preserve">an accounting map;</w:t>
      </w:r>
    </w:p>
    <w:p>
      <w:pPr>
        <w:numPr>
          <w:ilvl w:val="0"/>
          <w:numId w:val="1056"/>
        </w:numPr>
        <w:pStyle w:val="Compact"/>
      </w:pPr>
      <w:r>
        <w:t xml:space="preserve">a collection strategy;</w:t>
      </w:r>
    </w:p>
    <w:p>
      <w:pPr>
        <w:numPr>
          <w:ilvl w:val="0"/>
          <w:numId w:val="1056"/>
        </w:numPr>
        <w:pStyle w:val="Compact"/>
      </w:pPr>
      <w:r>
        <w:t xml:space="preserve">a CIC reporting mapping;</w:t>
      </w:r>
    </w:p>
    <w:p>
      <w:pPr>
        <w:numPr>
          <w:ilvl w:val="0"/>
          <w:numId w:val="1056"/>
        </w:numPr>
        <w:pStyle w:val="Compact"/>
      </w:pPr>
      <w:r>
        <w:t xml:space="preserve">product-level analytics.</w:t>
      </w:r>
    </w:p>
    <w:p>
      <w:pPr>
        <w:pStyle w:val="FirstParagraph"/>
      </w:pPr>
      <w:r>
        <w:rPr>
          <w:bCs/>
          <w:b/>
        </w:rPr>
        <w:t xml:space="preserve">Every product must define the following.</w:t>
      </w:r>
      <w:r>
        <w:t xml:space="preserve"> </w:t>
      </w:r>
      <w:r>
        <w:t xml:space="preserve">Store these as a versioned product specification under</w:t>
      </w:r>
      <w:r>
        <w:t xml:space="preserve"> </w:t>
      </w:r>
      <w:r>
        <w:rPr>
          <w:rStyle w:val="VerbatimChar"/>
        </w:rPr>
        <w:t xml:space="preserve">docs/products/&lt;code&gt;.md</w:t>
      </w:r>
      <w:r>
        <w:t xml:space="preserve">:</w:t>
      </w:r>
    </w:p>
    <w:p>
      <w:pPr>
        <w:numPr>
          <w:ilvl w:val="0"/>
          <w:numId w:val="1057"/>
        </w:numPr>
        <w:pStyle w:val="Compact"/>
      </w:pPr>
      <w:r>
        <w:t xml:space="preserve">Borrower, co-borrower and beneficiary eligibility; and purpose with end-use verification.</w:t>
      </w:r>
    </w:p>
    <w:p>
      <w:pPr>
        <w:numPr>
          <w:ilvl w:val="0"/>
          <w:numId w:val="1057"/>
        </w:numPr>
        <w:pStyle w:val="Compact"/>
      </w:pPr>
      <w:r>
        <w:t xml:space="preserve">Loan amount, tenure, pricing model (fixed/floating, benchmark plus spread), charges and penal charges.</w:t>
      </w:r>
    </w:p>
    <w:p>
      <w:pPr>
        <w:numPr>
          <w:ilvl w:val="0"/>
          <w:numId w:val="1057"/>
        </w:numPr>
        <w:pStyle w:val="Compact"/>
      </w:pPr>
      <w:r>
        <w:t xml:space="preserve">Security and collateral requirements, LTV rules and margin calls.</w:t>
      </w:r>
    </w:p>
    <w:p>
      <w:pPr>
        <w:numPr>
          <w:ilvl w:val="0"/>
          <w:numId w:val="1057"/>
        </w:numPr>
        <w:pStyle w:val="Compact"/>
      </w:pPr>
      <w:r>
        <w:t xml:space="preserve">Documentation and verification steps, and the KYC level.</w:t>
      </w:r>
    </w:p>
    <w:p>
      <w:pPr>
        <w:numPr>
          <w:ilvl w:val="0"/>
          <w:numId w:val="1057"/>
        </w:numPr>
        <w:pStyle w:val="Compact"/>
      </w:pPr>
      <w:r>
        <w:t xml:space="preserve">Credit appraisal, scorecards, deviations and the sanctioning authority.</w:t>
      </w:r>
    </w:p>
    <w:p>
      <w:pPr>
        <w:numPr>
          <w:ilvl w:val="0"/>
          <w:numId w:val="1057"/>
        </w:numPr>
        <w:pStyle w:val="Compact"/>
      </w:pPr>
      <w:r>
        <w:t xml:space="preserve">Offer presentation and disclosures (KFS, APR, MITC).</w:t>
      </w:r>
    </w:p>
    <w:p>
      <w:pPr>
        <w:numPr>
          <w:ilvl w:val="0"/>
          <w:numId w:val="1057"/>
        </w:numPr>
        <w:pStyle w:val="Compact"/>
      </w:pPr>
      <w:r>
        <w:t xml:space="preserve">Sanction, agreement, eSign/eStamp and registration workflows.</w:t>
      </w:r>
    </w:p>
    <w:p>
      <w:pPr>
        <w:numPr>
          <w:ilvl w:val="0"/>
          <w:numId w:val="1057"/>
        </w:numPr>
        <w:pStyle w:val="Compact"/>
      </w:pPr>
      <w:r>
        <w:t xml:space="preserve">Permitted disbursement routing: borrower account, seller/dealer/builder, or hospital/service provider where permitted (for digital loans, CF para 10(1) allows third-party disbursal only for statutory/regulatory mandates, co-lending flows or a specified end-use beneficiary).</w:t>
      </w:r>
    </w:p>
    <w:p>
      <w:pPr>
        <w:numPr>
          <w:ilvl w:val="0"/>
          <w:numId w:val="1057"/>
        </w:numPr>
        <w:pStyle w:val="Compact"/>
      </w:pPr>
      <w:r>
        <w:t xml:space="preserve">Repayment schedule, mandates and servicing events.</w:t>
      </w:r>
    </w:p>
    <w:p>
      <w:pPr>
        <w:numPr>
          <w:ilvl w:val="0"/>
          <w:numId w:val="1057"/>
        </w:numPr>
        <w:pStyle w:val="Compact"/>
      </w:pPr>
      <w:r>
        <w:t xml:space="preserve">Delinquency, collection and recovery workflows, including legal remedies available for that collateral.</w:t>
      </w:r>
    </w:p>
    <w:p>
      <w:pPr>
        <w:numPr>
          <w:ilvl w:val="0"/>
          <w:numId w:val="1057"/>
        </w:numPr>
        <w:pStyle w:val="Compact"/>
      </w:pPr>
      <w:r>
        <w:t xml:space="preserve">Closure, settlement, NOC and release of security within the regulatory timeline.</w:t>
      </w:r>
    </w:p>
    <w:p>
      <w:pPr>
        <w:numPr>
          <w:ilvl w:val="0"/>
          <w:numId w:val="1057"/>
        </w:numPr>
        <w:pStyle w:val="Compact"/>
      </w:pPr>
      <w:r>
        <w:t xml:space="preserve">Product-specific regulatory reports and the CIC account type.</w:t>
      </w:r>
    </w:p>
    <w:p>
      <w:pPr>
        <w:numPr>
          <w:ilvl w:val="0"/>
          <w:numId w:val="1057"/>
        </w:numPr>
        <w:pStyle w:val="Compact"/>
      </w:pPr>
      <w:r>
        <w:t xml:space="preserve">Profitability metrics: yield, cost of funds, credit cost, opex, verification cost per file, and RoA.</w:t>
      </w:r>
    </w:p>
    <w:bookmarkEnd w:id="36"/>
    <w:bookmarkStart w:id="37" w:name="products-to-template"/>
    <w:p>
      <w:pPr>
        <w:pStyle w:val="Heading2"/>
      </w:pPr>
      <w:r>
        <w:t xml:space="preserve">6.2 Products to template</w:t>
      </w:r>
    </w:p>
    <w:p>
      <w:pPr>
        <w:pStyle w:val="FirstParagraph"/>
      </w:pPr>
      <w:r>
        <w:t xml:space="preserve">Launch narrow first (Part 12), then expand.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10"/>
        <w:gridCol w:w="2359"/>
        <w:gridCol w:w="1701"/>
        <w:gridCol w:w="4768"/>
      </w:tblGrid>
      <w:tr>
        <w:trPr>
          <w:tblHeader w:val="true"/>
          <w:tblHeader w:val="true"/>
        </w:trPr>
        <w:tc>
          <w:tcPr>
            <w:tcW w:w="810" w:type="dxa"/>
            <w:shd w:val="clear" w:color="auto" w:fill="1F3A5F"/>
          </w:tcPr>
          <w:p>
            <w:pPr>
              <w:pStyle w:val="Compact"/>
              <w:spacing w:after="40"/>
              <w:jc w:val="left"/>
            </w:pPr>
            <w:r>
              <w:rPr>
                <w:b/>
                <w:color w:val="FFFFFF"/>
                <w:sz w:val="18"/>
              </w:rPr>
              <w:t xml:space="preserve">#</w:t>
            </w:r>
          </w:p>
        </w:tc>
        <w:tc>
          <w:tcPr>
            <w:tcW w:w="2359" w:type="dxa"/>
            <w:shd w:val="clear" w:color="auto" w:fill="1F3A5F"/>
          </w:tcPr>
          <w:p>
            <w:pPr>
              <w:pStyle w:val="Compact"/>
              <w:spacing w:after="40"/>
              <w:jc w:val="left"/>
            </w:pPr>
            <w:r>
              <w:rPr>
                <w:b/>
                <w:color w:val="FFFFFF"/>
                <w:sz w:val="18"/>
              </w:rPr>
              <w:t xml:space="preserve">Product</w:t>
            </w:r>
          </w:p>
        </w:tc>
        <w:tc>
          <w:tcPr>
            <w:tcW w:w="1701" w:type="dxa"/>
            <w:shd w:val="clear" w:color="auto" w:fill="1F3A5F"/>
          </w:tcPr>
          <w:p>
            <w:pPr>
              <w:pStyle w:val="Compact"/>
              <w:spacing w:after="40"/>
              <w:jc w:val="left"/>
            </w:pPr>
            <w:r>
              <w:rPr>
                <w:b/>
                <w:color w:val="FFFFFF"/>
                <w:sz w:val="18"/>
              </w:rPr>
              <w:t xml:space="preserve">Secured?</w:t>
            </w:r>
          </w:p>
        </w:tc>
        <w:tc>
          <w:tcPr>
            <w:tcW w:w="4768" w:type="dxa"/>
            <w:shd w:val="clear" w:color="auto" w:fill="1F3A5F"/>
          </w:tcPr>
          <w:p>
            <w:pPr>
              <w:pStyle w:val="Compact"/>
              <w:spacing w:after="40"/>
              <w:jc w:val="left"/>
            </w:pPr>
            <w:r>
              <w:rPr>
                <w:b/>
                <w:color w:val="FFFFFF"/>
                <w:sz w:val="18"/>
              </w:rPr>
              <w:t xml:space="preserve">Key specifics the template must handle</w:t>
            </w:r>
          </w:p>
        </w:tc>
      </w:tr>
      <w:tr>
        <w:tc>
          <w:tcPr>
            <w:tcW w:w="810" w:type="dxa"/>
          </w:tcPr>
          <w:p>
            <w:pPr>
              <w:pStyle w:val="Compact"/>
              <w:spacing w:after="40"/>
              <w:jc w:val="left"/>
            </w:pPr>
            <w:r>
              <w:rPr>
                <w:sz w:val="18"/>
              </w:rPr>
              <w:t xml:space="preserve">1</w:t>
            </w:r>
          </w:p>
        </w:tc>
        <w:tc>
          <w:tcPr>
            <w:tcW w:w="2359" w:type="dxa"/>
          </w:tcPr>
          <w:p>
            <w:pPr>
              <w:pStyle w:val="Compact"/>
              <w:spacing w:after="40"/>
              <w:jc w:val="left"/>
            </w:pPr>
            <w:r>
              <w:rPr>
                <w:bCs/>
                <w:b/>
                <w:sz w:val="18"/>
              </w:rPr>
              <w:t xml:space="preserve">Personal Loan</w:t>
            </w:r>
            <w:r>
              <w:rPr>
                <w:sz w:val="18"/>
              </w:rPr>
              <w:t xml:space="preserve"> </w:t>
            </w:r>
            <w:r>
              <w:rPr>
                <w:sz w:val="18"/>
              </w:rPr>
              <w:t xml:space="preserve">(salaried / self-employed)</w:t>
            </w:r>
          </w:p>
        </w:tc>
        <w:tc>
          <w:tcPr>
            <w:tcW w:w="1701" w:type="dxa"/>
          </w:tcPr>
          <w:p>
            <w:pPr>
              <w:pStyle w:val="Compact"/>
              <w:spacing w:after="40"/>
              <w:jc w:val="left"/>
            </w:pPr>
            <w:r>
              <w:rPr>
                <w:sz w:val="18"/>
              </w:rPr>
              <w:t xml:space="preserve">Unsecured</w:t>
            </w:r>
          </w:p>
        </w:tc>
        <w:tc>
          <w:tcPr>
            <w:tcW w:w="4768" w:type="dxa"/>
          </w:tcPr>
          <w:p>
            <w:pPr>
              <w:pStyle w:val="Compact"/>
              <w:spacing w:after="40"/>
              <w:jc w:val="left"/>
            </w:pPr>
            <w:r>
              <w:rPr>
                <w:sz w:val="18"/>
              </w:rPr>
              <w:t xml:space="preserve">AA and bank-statement income, FOIR, employer category, bureau rules</w:t>
            </w:r>
          </w:p>
        </w:tc>
      </w:tr>
      <w:tr>
        <w:tc>
          <w:tcPr>
            <w:tcW w:w="810" w:type="dxa"/>
          </w:tcPr>
          <w:p>
            <w:pPr>
              <w:pStyle w:val="Compact"/>
              <w:spacing w:after="40"/>
              <w:jc w:val="left"/>
            </w:pPr>
            <w:r>
              <w:rPr>
                <w:sz w:val="18"/>
              </w:rPr>
              <w:t xml:space="preserve">2</w:t>
            </w:r>
          </w:p>
        </w:tc>
        <w:tc>
          <w:tcPr>
            <w:tcW w:w="2359" w:type="dxa"/>
          </w:tcPr>
          <w:p>
            <w:pPr>
              <w:pStyle w:val="Compact"/>
              <w:spacing w:after="40"/>
              <w:jc w:val="left"/>
            </w:pPr>
            <w:r>
              <w:rPr>
                <w:bCs/>
                <w:b/>
                <w:sz w:val="18"/>
              </w:rPr>
              <w:t xml:space="preserve">Payday / Short-tenure Loan</w:t>
            </w:r>
          </w:p>
        </w:tc>
        <w:tc>
          <w:tcPr>
            <w:tcW w:w="1701" w:type="dxa"/>
          </w:tcPr>
          <w:p>
            <w:pPr>
              <w:pStyle w:val="Compact"/>
              <w:spacing w:after="40"/>
              <w:jc w:val="left"/>
            </w:pPr>
            <w:r>
              <w:rPr>
                <w:sz w:val="18"/>
              </w:rPr>
              <w:t xml:space="preserve">Unsecured</w:t>
            </w:r>
          </w:p>
        </w:tc>
        <w:tc>
          <w:tcPr>
            <w:tcW w:w="4768" w:type="dxa"/>
          </w:tcPr>
          <w:p>
            <w:pPr>
              <w:pStyle w:val="Compact"/>
              <w:spacing w:after="40"/>
              <w:jc w:val="left"/>
            </w:pPr>
            <w:r>
              <w:rPr>
                <w:sz w:val="18"/>
              </w:rPr>
              <w:t xml:space="preserve">Bullet repayment and APR display for tenors under 7 days; KFS validity period of at least 1 working day for tenor &lt; 7 days (RBC para 29(2)); cooling-off (CF para 11); strict affordability and repeat-borrowing limits;</w:t>
            </w:r>
            <w:r>
              <w:rPr>
                <w:sz w:val="18"/>
              </w:rPr>
              <w:t xml:space="preserve"> </w:t>
            </w:r>
            <w:r>
              <w:rPr>
                <w:bCs/>
                <w:b/>
                <w:sz w:val="18"/>
              </w:rPr>
              <w:t xml:space="preserve">heightened conduct risk</w:t>
            </w:r>
            <w:r>
              <w:rPr>
                <w:sz w:val="18"/>
              </w:rPr>
              <w:t xml:space="preserve">. Compliance Department approval before launch and 6 months of intensive monitoring are mandatory for ML/UL tenants (CMP paras 9(7), 15(2), 31); Finbyx applies this gate to every tenant by default. A collateral-free loan to a household with income ≤ ₹3 lakh is a microfinance loan (CF para 51)</w:t>
            </w:r>
          </w:p>
        </w:tc>
      </w:tr>
      <w:tr>
        <w:tc>
          <w:tcPr>
            <w:tcW w:w="810" w:type="dxa"/>
          </w:tcPr>
          <w:p>
            <w:pPr>
              <w:pStyle w:val="Compact"/>
              <w:spacing w:after="40"/>
              <w:jc w:val="left"/>
            </w:pPr>
            <w:r>
              <w:rPr>
                <w:sz w:val="18"/>
              </w:rPr>
              <w:t xml:space="preserve">3</w:t>
            </w:r>
          </w:p>
        </w:tc>
        <w:tc>
          <w:tcPr>
            <w:tcW w:w="2359" w:type="dxa"/>
          </w:tcPr>
          <w:p>
            <w:pPr>
              <w:pStyle w:val="Compact"/>
              <w:spacing w:after="40"/>
              <w:jc w:val="left"/>
            </w:pPr>
            <w:r>
              <w:rPr>
                <w:bCs/>
                <w:b/>
                <w:sz w:val="18"/>
              </w:rPr>
              <w:t xml:space="preserve">Business / MSME Term Loan</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GST and AA cash flows, Udyam, MCA data, banking analysis, CGTMSE/guarantee cover; prepayment-charge rule for floating-rate MSE loans</w:t>
            </w:r>
          </w:p>
        </w:tc>
      </w:tr>
      <w:tr>
        <w:tc>
          <w:tcPr>
            <w:tcW w:w="810" w:type="dxa"/>
          </w:tcPr>
          <w:p>
            <w:pPr>
              <w:pStyle w:val="Compact"/>
              <w:spacing w:after="40"/>
              <w:jc w:val="left"/>
            </w:pPr>
            <w:r>
              <w:rPr>
                <w:sz w:val="18"/>
              </w:rPr>
              <w:t xml:space="preserve">4</w:t>
            </w:r>
          </w:p>
        </w:tc>
        <w:tc>
          <w:tcPr>
            <w:tcW w:w="2359" w:type="dxa"/>
          </w:tcPr>
          <w:p>
            <w:pPr>
              <w:pStyle w:val="Compact"/>
              <w:spacing w:after="40"/>
              <w:jc w:val="left"/>
            </w:pPr>
            <w:r>
              <w:rPr>
                <w:bCs/>
                <w:b/>
                <w:sz w:val="18"/>
              </w:rPr>
              <w:t xml:space="preserve">Loan Against Property (LAP)</w:t>
            </w:r>
          </w:p>
        </w:tc>
        <w:tc>
          <w:tcPr>
            <w:tcW w:w="1701" w:type="dxa"/>
          </w:tcPr>
          <w:p>
            <w:pPr>
              <w:pStyle w:val="Compact"/>
              <w:spacing w:after="40"/>
              <w:jc w:val="left"/>
            </w:pPr>
            <w:r>
              <w:rPr>
                <w:sz w:val="18"/>
              </w:rPr>
              <w:t xml:space="preserve">Mortgage</w:t>
            </w:r>
          </w:p>
        </w:tc>
        <w:tc>
          <w:tcPr>
            <w:tcW w:w="4768" w:type="dxa"/>
          </w:tcPr>
          <w:p>
            <w:pPr>
              <w:pStyle w:val="Compact"/>
              <w:spacing w:after="40"/>
              <w:jc w:val="left"/>
            </w:pPr>
            <w:r>
              <w:rPr>
                <w:sz w:val="18"/>
              </w:rPr>
              <w:t xml:space="preserve">Technical and legal verification, title search, valuation (2 valuers above threshold), equitable or registered mortgage, CERSAI, property insurance, SARFAESI eligibility, release of documents within 30 days</w:t>
            </w:r>
          </w:p>
        </w:tc>
      </w:tr>
      <w:tr>
        <w:tc>
          <w:tcPr>
            <w:tcW w:w="810" w:type="dxa"/>
          </w:tcPr>
          <w:p>
            <w:pPr>
              <w:pStyle w:val="Compact"/>
              <w:spacing w:after="40"/>
              <w:jc w:val="left"/>
            </w:pPr>
            <w:r>
              <w:rPr>
                <w:sz w:val="18"/>
              </w:rPr>
              <w:t xml:space="preserve">5</w:t>
            </w:r>
          </w:p>
        </w:tc>
        <w:tc>
          <w:tcPr>
            <w:tcW w:w="2359" w:type="dxa"/>
          </w:tcPr>
          <w:p>
            <w:pPr>
              <w:pStyle w:val="Compact"/>
              <w:spacing w:after="40"/>
              <w:jc w:val="left"/>
            </w:pPr>
            <w:r>
              <w:rPr>
                <w:bCs/>
                <w:b/>
                <w:sz w:val="18"/>
              </w:rPr>
              <w:t xml:space="preserve">Home Loan</w:t>
            </w:r>
            <w:r>
              <w:rPr>
                <w:sz w:val="18"/>
              </w:rPr>
              <w:t xml:space="preserve"> </w:t>
            </w:r>
            <w:r>
              <w:rPr>
                <w:sz w:val="18"/>
              </w:rPr>
              <w:t xml:space="preserve">(purchase / construction / renovation / plot + construction / balance transfer / top-up)</w:t>
            </w:r>
          </w:p>
        </w:tc>
        <w:tc>
          <w:tcPr>
            <w:tcW w:w="1701" w:type="dxa"/>
          </w:tcPr>
          <w:p>
            <w:pPr>
              <w:pStyle w:val="Compact"/>
              <w:spacing w:after="40"/>
              <w:jc w:val="left"/>
            </w:pPr>
            <w:r>
              <w:rPr>
                <w:sz w:val="18"/>
              </w:rPr>
              <w:t xml:space="preserve">Mortgage</w:t>
            </w:r>
          </w:p>
        </w:tc>
        <w:tc>
          <w:tcPr>
            <w:tcW w:w="4768" w:type="dxa"/>
          </w:tcPr>
          <w:p>
            <w:pPr>
              <w:pStyle w:val="Compact"/>
              <w:spacing w:after="40"/>
              <w:jc w:val="left"/>
            </w:pPr>
            <w:r>
              <w:rPr>
                <w:sz w:val="18"/>
              </w:rPr>
              <w:t xml:space="preserve">Construction-linked multi-tranche disbursement, PEMI vs full EMI, builder APF projects, PMAY-type subsidy handling, Sec 24(b)/80C certificates, HFC-specific regulation (RBI HFC Directions; NHB returns)</w:t>
            </w:r>
          </w:p>
        </w:tc>
      </w:tr>
      <w:tr>
        <w:tc>
          <w:tcPr>
            <w:tcW w:w="810" w:type="dxa"/>
          </w:tcPr>
          <w:p>
            <w:pPr>
              <w:pStyle w:val="Compact"/>
              <w:spacing w:after="40"/>
              <w:jc w:val="left"/>
            </w:pPr>
            <w:r>
              <w:rPr>
                <w:sz w:val="18"/>
              </w:rPr>
              <w:t xml:space="preserve">6</w:t>
            </w:r>
          </w:p>
        </w:tc>
        <w:tc>
          <w:tcPr>
            <w:tcW w:w="2359" w:type="dxa"/>
          </w:tcPr>
          <w:p>
            <w:pPr>
              <w:pStyle w:val="Compact"/>
              <w:spacing w:after="40"/>
              <w:jc w:val="left"/>
            </w:pPr>
            <w:r>
              <w:rPr>
                <w:bCs/>
                <w:b/>
                <w:sz w:val="18"/>
              </w:rPr>
              <w:t xml:space="preserve">Vehicle Loan</w:t>
            </w:r>
            <w:r>
              <w:rPr>
                <w:sz w:val="18"/>
              </w:rPr>
              <w:t xml:space="preserve"> </w:t>
            </w:r>
            <w:r>
              <w:rPr>
                <w:sz w:val="18"/>
              </w:rPr>
              <w:t xml:space="preserve">(new/used car, two-wheeler, CV, tractor, equipment)</w:t>
            </w:r>
          </w:p>
        </w:tc>
        <w:tc>
          <w:tcPr>
            <w:tcW w:w="1701" w:type="dxa"/>
          </w:tcPr>
          <w:p>
            <w:pPr>
              <w:pStyle w:val="Compact"/>
              <w:spacing w:after="40"/>
              <w:jc w:val="left"/>
            </w:pPr>
            <w:r>
              <w:rPr>
                <w:sz w:val="18"/>
              </w:rPr>
              <w:t xml:space="preserve">Hypothecation</w:t>
            </w:r>
          </w:p>
        </w:tc>
        <w:tc>
          <w:tcPr>
            <w:tcW w:w="4768" w:type="dxa"/>
          </w:tcPr>
          <w:p>
            <w:pPr>
              <w:pStyle w:val="Compact"/>
              <w:spacing w:after="40"/>
              <w:jc w:val="left"/>
            </w:pPr>
            <w:r>
              <w:rPr>
                <w:sz w:val="18"/>
              </w:rPr>
              <w:t xml:space="preserve">Dealer/manufacturer disbursement, Vahan RC check, hypothecation endorsement (Form 34) and termination (Form 35), insurance tracking, repossession under the RBI recovery norms, used-vehicle valuation</w:t>
            </w:r>
          </w:p>
        </w:tc>
      </w:tr>
      <w:tr>
        <w:tc>
          <w:tcPr>
            <w:tcW w:w="810" w:type="dxa"/>
          </w:tcPr>
          <w:p>
            <w:pPr>
              <w:pStyle w:val="Compact"/>
              <w:spacing w:after="40"/>
              <w:jc w:val="left"/>
            </w:pPr>
            <w:r>
              <w:rPr>
                <w:sz w:val="18"/>
              </w:rPr>
              <w:t xml:space="preserve">7</w:t>
            </w:r>
          </w:p>
        </w:tc>
        <w:tc>
          <w:tcPr>
            <w:tcW w:w="2359" w:type="dxa"/>
          </w:tcPr>
          <w:p>
            <w:pPr>
              <w:pStyle w:val="Compact"/>
              <w:spacing w:after="40"/>
              <w:jc w:val="left"/>
            </w:pPr>
            <w:r>
              <w:rPr>
                <w:bCs/>
                <w:b/>
                <w:sz w:val="18"/>
              </w:rPr>
              <w:t xml:space="preserve">Loan Against Securities (LAS): shares, bonds, MF units</w:t>
            </w:r>
          </w:p>
        </w:tc>
        <w:tc>
          <w:tcPr>
            <w:tcW w:w="1701" w:type="dxa"/>
          </w:tcPr>
          <w:p>
            <w:pPr>
              <w:pStyle w:val="Compact"/>
              <w:spacing w:after="40"/>
              <w:jc w:val="left"/>
            </w:pPr>
            <w:r>
              <w:rPr>
                <w:sz w:val="18"/>
              </w:rPr>
              <w:t xml:space="preserve">Pledge/lien</w:t>
            </w:r>
          </w:p>
        </w:tc>
        <w:tc>
          <w:tcPr>
            <w:tcW w:w="4768" w:type="dxa"/>
          </w:tcPr>
          <w:p>
            <w:pPr>
              <w:pStyle w:val="Compact"/>
              <w:spacing w:after="40"/>
              <w:jc w:val="left"/>
            </w:pPr>
            <w:r>
              <w:rPr>
                <w:sz w:val="18"/>
              </w:rPr>
              <w:t xml:space="preserve">NSDL/CDSL pledge, unpledge and invocation APIs; MF lien through RTA/MF Central or depository; approved-securities list; haircut master; daily LTV and margin-call engine on bhavcopy/NAV feeds.</w:t>
            </w:r>
            <w:r>
              <w:rPr>
                <w:sz w:val="18"/>
              </w:rPr>
              <w:t xml:space="preserve"> </w:t>
            </w:r>
            <w:r>
              <w:rPr>
                <w:bCs/>
                <w:b/>
                <w:sz w:val="18"/>
              </w:rPr>
              <w:t xml:space="preserve">Loans against listed shares by NBFCs with assets ≥ ₹100 crore (CF para 106):</w:t>
            </w:r>
            <w:r>
              <w:rPr>
                <w:sz w:val="18"/>
              </w:rPr>
              <w:t xml:space="preserve"> </w:t>
            </w:r>
            <w:r>
              <w:rPr>
                <w:sz w:val="18"/>
              </w:rPr>
              <w:t xml:space="preserve">50% LTV at all times; shortfall cured within 7 working days; only Group 1 securities where the loan is for capital-market investment and exceeds ₹5 lakh; quarterly online reporting of pledged shares to the stock exchanges in the Annex-III format. No lending against the NBFC’s own shares (para 105). IPO-funding cap of ₹1 crore per borrower (para 104). Bonds and MF units follow Board-approved haircuts (CF prescribes no LTV for them). Units of gold/silver ETFs or MFs backed by primary gold/silver are blocked as collateral (CF para 35(2))</w:t>
            </w:r>
          </w:p>
        </w:tc>
      </w:tr>
      <w:tr>
        <w:tc>
          <w:tcPr>
            <w:tcW w:w="810" w:type="dxa"/>
          </w:tcPr>
          <w:p>
            <w:pPr>
              <w:pStyle w:val="Compact"/>
              <w:spacing w:after="40"/>
              <w:jc w:val="left"/>
            </w:pPr>
            <w:r>
              <w:rPr>
                <w:sz w:val="18"/>
              </w:rPr>
              <w:t xml:space="preserve">8</w:t>
            </w:r>
          </w:p>
        </w:tc>
        <w:tc>
          <w:tcPr>
            <w:tcW w:w="2359" w:type="dxa"/>
          </w:tcPr>
          <w:p>
            <w:pPr>
              <w:pStyle w:val="Compact"/>
              <w:spacing w:after="40"/>
              <w:jc w:val="left"/>
            </w:pPr>
            <w:r>
              <w:rPr>
                <w:bCs/>
                <w:b/>
                <w:sz w:val="18"/>
              </w:rPr>
              <w:t xml:space="preserve">Gold Loan</w:t>
            </w:r>
            <w:r>
              <w:rPr>
                <w:sz w:val="18"/>
              </w:rPr>
              <w:t xml:space="preserve"> </w:t>
            </w:r>
            <w:r>
              <w:rPr>
                <w:sz w:val="18"/>
              </w:rPr>
              <w:t xml:space="preserve">(and silver where offered)</w:t>
            </w:r>
          </w:p>
        </w:tc>
        <w:tc>
          <w:tcPr>
            <w:tcW w:w="1701" w:type="dxa"/>
          </w:tcPr>
          <w:p>
            <w:pPr>
              <w:pStyle w:val="Compact"/>
              <w:spacing w:after="40"/>
              <w:jc w:val="left"/>
            </w:pPr>
            <w:r>
              <w:rPr>
                <w:sz w:val="18"/>
              </w:rPr>
              <w:t xml:space="preserve">Pledge</w:t>
            </w:r>
          </w:p>
        </w:tc>
        <w:tc>
          <w:tcPr>
            <w:tcW w:w="4768" w:type="dxa"/>
          </w:tcPr>
          <w:p>
            <w:pPr>
              <w:pStyle w:val="Compact"/>
              <w:spacing w:after="40"/>
              <w:jc w:val="left"/>
            </w:pPr>
            <w:r>
              <w:rPr>
                <w:sz w:val="18"/>
              </w:rPr>
              <w:t xml:space="preserve">Assay capture (karat, gross/net weight),</w:t>
            </w:r>
            <w:r>
              <w:rPr>
                <w:sz w:val="18"/>
              </w:rPr>
              <w:t xml:space="preserve"> </w:t>
            </w:r>
            <w:r>
              <w:rPr>
                <w:bCs/>
                <w:b/>
                <w:sz w:val="18"/>
              </w:rPr>
              <w:t xml:space="preserve">Lending terms (CF Ch IV, paras 32–50).</w:t>
            </w:r>
            <w:r>
              <w:rPr>
                <w:sz w:val="18"/>
              </w:rPr>
              <w:t xml:space="preserve"> </w:t>
            </w:r>
            <w:r>
              <w:rPr>
                <w:sz w:val="18"/>
              </w:rPr>
              <w:t xml:space="preserve">Eligible collateral is only gold/silver jewellery, ornaments and coins. Primary gold/silver, bullion, gold/silver-backed financial assets, and loans to buy gold are blocked (para 35). An ownership declaration is required on every loan (para 36); no re-pledge (para 37). Valuation at actual purity: the lower of the 30-day average closing price and the previous day’s close, from IBJA or a SEBI-regulated exchange, with nearest-purity adjustment and intrinsic metal value only (paras 40–42). Consumption-loan LTV is 85% / 80% / 75%, by</w:t>
            </w:r>
            <w:r>
              <w:rPr>
                <w:sz w:val="18"/>
              </w:rPr>
              <w:t xml:space="preserve"> </w:t>
            </w:r>
            <w:r>
              <w:rPr>
                <w:bCs/>
                <w:b/>
                <w:sz w:val="18"/>
              </w:rPr>
              <w:t xml:space="preserve">total consumption loan per borrower</w:t>
            </w:r>
            <w:r>
              <w:rPr>
                <w:sz w:val="18"/>
              </w:rPr>
              <w:t xml:space="preserve"> </w:t>
            </w:r>
            <w:r>
              <w:rPr>
                <w:sz w:val="18"/>
              </w:rPr>
              <w:t xml:space="preserve">(≤ ₹2.5 lakh / &gt; ₹2.5–5 lakh / &gt; ₹5 lakh); for bullet loans, both LTV and slab use the total repayable at maturity; LTV is maintained daily for the whole tenor (paras 43–44). A detailed credit assessment is required above ₹2.5 lakh (para 33). Consumption bullet loans are capped at 12 months (para 38). Renewal or top-up only on a formal request, within LTV, on a standard account; bullet renewals only after accrued interest is paid; renewals and top-ups flagged in the system (para 34). Weight caps per borrower: gold ornaments 1 kg, silver ornaments 10 kg, gold coins 50 g, silver coins 500 g (para 39). AML alert on multiple or frequent loans; multiple-loan internal-audit report (paras 36, 48). Disbursal and repayment rules of para 10 apply on every channel (para 47).</w:t>
            </w:r>
            <w:r>
              <w:rPr>
                <w:sz w:val="18"/>
              </w:rPr>
              <w:t xml:space="preserve"> </w:t>
            </w:r>
            <w:r>
              <w:rPr>
                <w:bCs/>
                <w:b/>
                <w:sz w:val="18"/>
              </w:rPr>
              <w:t xml:space="preserve">Release and auction (RBC Ch III.G, paras 43–75; para 42 deleted w.e.f. 1 Apr 2026):</w:t>
            </w:r>
            <w:r>
              <w:rPr>
                <w:sz w:val="18"/>
              </w:rPr>
              <w:t xml:space="preserve"> </w:t>
            </w:r>
            <w:r>
              <w:rPr>
                <w:sz w:val="18"/>
              </w:rPr>
              <w:t xml:space="preserve">assay certificate with image, borrower present at assay (paras 46, 50); release on the same day and in any case within 7 working days (para 58), with ₹5,000 per day of delay attributable to the lender (para 69); auction with notice, two newspapers, and a reserve price of ≥ 90% of current value, which may fall to 85% after two failed auctions (paras 60–66); first auction physical in the lending branch’s district; no bidding by the lender or its related parties; surplus refunded within 7 working days of receipt of full proceeds (paras 64–66); collateral unclaimed 2 years after closure, with a half-yearly report to the Customer Service Committee or Board (paras 71–72)</w:t>
            </w:r>
          </w:p>
        </w:tc>
      </w:tr>
      <w:tr>
        <w:tc>
          <w:tcPr>
            <w:tcW w:w="810" w:type="dxa"/>
          </w:tcPr>
          <w:p>
            <w:pPr>
              <w:pStyle w:val="Compact"/>
              <w:spacing w:after="40"/>
              <w:jc w:val="left"/>
            </w:pPr>
            <w:r>
              <w:rPr>
                <w:sz w:val="18"/>
              </w:rPr>
              <w:t xml:space="preserve">9</w:t>
            </w:r>
          </w:p>
        </w:tc>
        <w:tc>
          <w:tcPr>
            <w:tcW w:w="2359" w:type="dxa"/>
          </w:tcPr>
          <w:p>
            <w:pPr>
              <w:pStyle w:val="Compact"/>
              <w:spacing w:after="40"/>
              <w:jc w:val="left"/>
            </w:pPr>
            <w:r>
              <w:rPr>
                <w:bCs/>
                <w:b/>
                <w:sz w:val="18"/>
              </w:rPr>
              <w:t xml:space="preserve">Education Loan</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Disbursement to institution, moratorium during course plus grace, co-borrower</w:t>
            </w:r>
          </w:p>
        </w:tc>
      </w:tr>
      <w:tr>
        <w:tc>
          <w:tcPr>
            <w:tcW w:w="810" w:type="dxa"/>
          </w:tcPr>
          <w:p>
            <w:pPr>
              <w:pStyle w:val="Compact"/>
              <w:spacing w:after="40"/>
              <w:jc w:val="left"/>
            </w:pPr>
            <w:r>
              <w:rPr>
                <w:sz w:val="18"/>
              </w:rPr>
              <w:t xml:space="preserve">10</w:t>
            </w:r>
          </w:p>
        </w:tc>
        <w:tc>
          <w:tcPr>
            <w:tcW w:w="2359" w:type="dxa"/>
          </w:tcPr>
          <w:p>
            <w:pPr>
              <w:pStyle w:val="Compact"/>
              <w:spacing w:after="40"/>
              <w:jc w:val="left"/>
            </w:pPr>
            <w:r>
              <w:rPr>
                <w:bCs/>
                <w:b/>
                <w:sz w:val="18"/>
              </w:rPr>
              <w:t xml:space="preserve">Consumer Durable / Point-of-sale Loan</w:t>
            </w:r>
          </w:p>
        </w:tc>
        <w:tc>
          <w:tcPr>
            <w:tcW w:w="1701" w:type="dxa"/>
          </w:tcPr>
          <w:p>
            <w:pPr>
              <w:pStyle w:val="Compact"/>
              <w:spacing w:after="40"/>
              <w:jc w:val="left"/>
            </w:pPr>
            <w:r>
              <w:rPr>
                <w:sz w:val="18"/>
              </w:rPr>
              <w:t xml:space="preserve">Unsecured</w:t>
            </w:r>
          </w:p>
        </w:tc>
        <w:tc>
          <w:tcPr>
            <w:tcW w:w="4768" w:type="dxa"/>
          </w:tcPr>
          <w:p>
            <w:pPr>
              <w:pStyle w:val="Compact"/>
              <w:spacing w:after="40"/>
              <w:jc w:val="left"/>
            </w:pPr>
            <w:r>
              <w:rPr>
                <w:sz w:val="18"/>
              </w:rPr>
              <w:t xml:space="preserve">Merchant/dealer onboarding, subvention (buy-down fee), zero-cost EMI accounting, merchant refund</w:t>
            </w:r>
          </w:p>
        </w:tc>
      </w:tr>
      <w:tr>
        <w:tc>
          <w:tcPr>
            <w:tcW w:w="810" w:type="dxa"/>
          </w:tcPr>
          <w:p>
            <w:pPr>
              <w:pStyle w:val="Compact"/>
              <w:spacing w:after="40"/>
              <w:jc w:val="left"/>
            </w:pPr>
            <w:r>
              <w:rPr>
                <w:sz w:val="18"/>
              </w:rPr>
              <w:t xml:space="preserve">11</w:t>
            </w:r>
          </w:p>
        </w:tc>
        <w:tc>
          <w:tcPr>
            <w:tcW w:w="2359" w:type="dxa"/>
          </w:tcPr>
          <w:p>
            <w:pPr>
              <w:pStyle w:val="Compact"/>
              <w:spacing w:after="40"/>
              <w:jc w:val="left"/>
            </w:pPr>
            <w:r>
              <w:rPr>
                <w:bCs/>
                <w:b/>
                <w:sz w:val="18"/>
              </w:rPr>
              <w:t xml:space="preserve">Microfinance (JLG/SHG and individual)</w:t>
            </w:r>
          </w:p>
        </w:tc>
        <w:tc>
          <w:tcPr>
            <w:tcW w:w="1701" w:type="dxa"/>
          </w:tcPr>
          <w:p>
            <w:pPr>
              <w:pStyle w:val="Compact"/>
              <w:spacing w:after="40"/>
              <w:jc w:val="left"/>
            </w:pPr>
            <w:r>
              <w:rPr>
                <w:sz w:val="18"/>
              </w:rPr>
              <w:t xml:space="preserve">Collateral-free (no deposit lien, no hypothecation)</w:t>
            </w:r>
          </w:p>
        </w:tc>
        <w:tc>
          <w:tcPr>
            <w:tcW w:w="4768" w:type="dxa"/>
          </w:tcPr>
          <w:p>
            <w:pPr>
              <w:pStyle w:val="Compact"/>
              <w:spacing w:after="40"/>
              <w:jc w:val="left"/>
            </w:pPr>
            <w:r>
              <w:rPr>
                <w:sz w:val="18"/>
              </w:rPr>
              <w:t xml:space="preserve">Household = husband, wife and unmarried children, with annual income ≤ ₹3,00,000.</w:t>
            </w:r>
            <w:r>
              <w:rPr>
                <w:sz w:val="18"/>
              </w:rPr>
              <w:t xml:space="preserve"> </w:t>
            </w:r>
            <w:r>
              <w:rPr>
                <w:bCs/>
                <w:b/>
                <w:sz w:val="18"/>
              </w:rPr>
              <w:t xml:space="preserve">Every</w:t>
            </w:r>
            <w:r>
              <w:rPr>
                <w:sz w:val="18"/>
              </w:rPr>
              <w:t xml:space="preserve"> </w:t>
            </w:r>
            <w:r>
              <w:rPr>
                <w:sz w:val="18"/>
              </w:rPr>
              <w:t xml:space="preserve">collateral-free loan to such a household is a microfinance loan, whatever the product or channel (CF para 51). Board-policy income assessment over ≥ 1 year (para 52); household income reported to CICs (para 54). Repayment obligations of all household loans plus the proposed loan ≤ 50% of monthly household income, with no new loans while above it (paras 55–57). Flexible periodicity (para 59). Pricing policy with a ceiling on the rate and all charges (paras 60–61). Centre meetings, collections at the borrower-chosen frequency (para 59), effective-dated MFI recovery-contact window (09:00–18:00 under RBC para 91(2) until 31 Dec 2026; from 1 Jan 2027 per the RBC Third Amendment (RBI/2026-27/230, 6 Aug 2026; para 100Y(4): 08:00–19:00 unless the borrower asks otherwise; official text not in the supplied set) [VERIFY: whether a separate MFI window survives the deletion of paras 89–100]), no prepayment charge and delayed-payment charges only on the overdue amount (RBC para 81); loan card (paras 78–80); minimum/maximum/average rate display (para 82); collection at the designated place, residence or workplace only after two or more successive non-appearances (para 90).</w:t>
            </w:r>
            <w:r>
              <w:rPr>
                <w:sz w:val="18"/>
              </w:rPr>
              <w:t xml:space="preserve"> </w:t>
            </w:r>
            <w:r>
              <w:rPr>
                <w:bCs/>
                <w:b/>
                <w:sz w:val="18"/>
              </w:rPr>
              <w:t xml:space="preserve">NBFC-MFI tenants:</w:t>
            </w:r>
            <w:r>
              <w:rPr>
                <w:sz w:val="18"/>
              </w:rPr>
              <w:t xml:space="preserve"> </w:t>
            </w:r>
            <w:r>
              <w:rPr>
                <w:sz w:val="18"/>
              </w:rPr>
              <w:t xml:space="preserve">qualifying assets ≥ 60% monitor (MFI paras 8(3), 12); NPA &gt; 90 days and provision floor on overdue instalments (paras 24–25); channelising-agent loans segregated and CIC-reported (para 13).</w:t>
            </w:r>
            <w:r>
              <w:rPr>
                <w:sz w:val="18"/>
              </w:rPr>
              <w:t xml:space="preserve"> </w:t>
            </w:r>
            <w:r>
              <w:rPr>
                <w:bCs/>
                <w:b/>
                <w:sz w:val="18"/>
              </w:rPr>
              <w:t xml:space="preserve">Non-MFI NBFCs:</w:t>
            </w:r>
            <w:r>
              <w:rPr>
                <w:sz w:val="18"/>
              </w:rPr>
              <w:t xml:space="preserve"> </w:t>
            </w:r>
            <w:r>
              <w:rPr>
                <w:sz w:val="18"/>
              </w:rPr>
              <w:t xml:space="preserve">microfinance loans ≤ 25% of total assets (MFI para 49)</w:t>
            </w:r>
          </w:p>
        </w:tc>
      </w:tr>
      <w:tr>
        <w:tc>
          <w:tcPr>
            <w:tcW w:w="810" w:type="dxa"/>
          </w:tcPr>
          <w:p>
            <w:pPr>
              <w:pStyle w:val="Compact"/>
              <w:spacing w:after="40"/>
              <w:jc w:val="left"/>
            </w:pPr>
            <w:r>
              <w:rPr>
                <w:sz w:val="18"/>
              </w:rPr>
              <w:t xml:space="preserve">12</w:t>
            </w:r>
          </w:p>
        </w:tc>
        <w:tc>
          <w:tcPr>
            <w:tcW w:w="2359" w:type="dxa"/>
          </w:tcPr>
          <w:p>
            <w:pPr>
              <w:pStyle w:val="Compact"/>
              <w:spacing w:after="40"/>
              <w:jc w:val="left"/>
            </w:pPr>
            <w:r>
              <w:rPr>
                <w:bCs/>
                <w:b/>
                <w:sz w:val="18"/>
              </w:rPr>
              <w:t xml:space="preserve">Supply-chain / Invoice / Channel Finance</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Anchor programmes, invoice validation, TReDS.</w:t>
            </w:r>
            <w:r>
              <w:rPr>
                <w:sz w:val="18"/>
              </w:rPr>
              <w:t xml:space="preserve"> </w:t>
            </w:r>
            <w:r>
              <w:rPr>
                <w:bCs/>
                <w:b/>
                <w:sz w:val="18"/>
              </w:rPr>
              <w:t xml:space="preserve">Revolving-credit restriction on NBFCs under the August 2026 draft Credit Facilities amendment</w:t>
            </w:r>
            <w:r>
              <w:rPr>
                <w:sz w:val="18"/>
              </w:rPr>
              <w:t xml:space="preserve"> </w:t>
            </w:r>
            <w:r>
              <w:rPr>
                <w:sz w:val="18"/>
              </w:rPr>
              <w:t xml:space="preserve">[VERIFY final status before building any revolving line]</w:t>
            </w:r>
          </w:p>
        </w:tc>
      </w:tr>
      <w:tr>
        <w:tc>
          <w:tcPr>
            <w:tcW w:w="810" w:type="dxa"/>
          </w:tcPr>
          <w:p>
            <w:pPr>
              <w:pStyle w:val="Compact"/>
              <w:spacing w:after="40"/>
              <w:jc w:val="left"/>
            </w:pPr>
            <w:r>
              <w:rPr>
                <w:sz w:val="18"/>
              </w:rPr>
              <w:t xml:space="preserve">13</w:t>
            </w:r>
          </w:p>
        </w:tc>
        <w:tc>
          <w:tcPr>
            <w:tcW w:w="2359" w:type="dxa"/>
          </w:tcPr>
          <w:p>
            <w:pPr>
              <w:pStyle w:val="Compact"/>
              <w:spacing w:after="40"/>
              <w:jc w:val="left"/>
            </w:pPr>
            <w:r>
              <w:rPr>
                <w:bCs/>
                <w:b/>
                <w:sz w:val="18"/>
              </w:rPr>
              <w:t xml:space="preserve">Medical and Insurance Finance</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Hospital/insurer institutional partnerships, direct payment to provider where permitted, pre-authorisation linkage, insurance-claim offset.</w:t>
            </w:r>
            <w:r>
              <w:rPr>
                <w:sz w:val="18"/>
              </w:rPr>
              <w:t xml:space="preserve"> </w:t>
            </w:r>
            <w:r>
              <w:rPr>
                <w:bCs/>
                <w:b/>
                <w:sz w:val="18"/>
              </w:rPr>
              <w:t xml:space="preserve">Feasibility pilot only</w:t>
            </w:r>
          </w:p>
        </w:tc>
      </w:tr>
      <w:tr>
        <w:tc>
          <w:tcPr>
            <w:tcW w:w="810" w:type="dxa"/>
          </w:tcPr>
          <w:p>
            <w:pPr>
              <w:pStyle w:val="Compact"/>
              <w:spacing w:after="40"/>
              <w:jc w:val="left"/>
            </w:pPr>
            <w:r>
              <w:rPr>
                <w:sz w:val="18"/>
              </w:rPr>
              <w:t xml:space="preserve">14</w:t>
            </w:r>
          </w:p>
        </w:tc>
        <w:tc>
          <w:tcPr>
            <w:tcW w:w="2359" w:type="dxa"/>
          </w:tcPr>
          <w:p>
            <w:pPr>
              <w:pStyle w:val="Compact"/>
              <w:spacing w:after="40"/>
              <w:jc w:val="left"/>
            </w:pPr>
            <w:r>
              <w:rPr>
                <w:bCs/>
                <w:b/>
                <w:sz w:val="18"/>
              </w:rPr>
              <w:t xml:space="preserve">Legal Expense and Award-Enforcement Finance</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Ordinary repayable loans only through the regulated lender. Non-recourse or litigation-funding cases are</w:t>
            </w:r>
            <w:r>
              <w:rPr>
                <w:sz w:val="18"/>
              </w:rPr>
              <w:t xml:space="preserve"> </w:t>
            </w:r>
            <w:r>
              <w:rPr>
                <w:bCs/>
                <w:b/>
                <w:sz w:val="18"/>
              </w:rPr>
              <w:t xml:space="preserve">referred out to specialist funders, not booked</w:t>
            </w:r>
            <w:r>
              <w:rPr>
                <w:sz w:val="18"/>
              </w:rPr>
              <w:t xml:space="preserve">. Requires a legal feasibility assessment first</w:t>
            </w:r>
          </w:p>
        </w:tc>
      </w:tr>
      <w:tr>
        <w:tc>
          <w:tcPr>
            <w:tcW w:w="810" w:type="dxa"/>
          </w:tcPr>
          <w:p>
            <w:pPr>
              <w:pStyle w:val="Compact"/>
              <w:spacing w:after="40"/>
              <w:jc w:val="left"/>
            </w:pPr>
            <w:r>
              <w:rPr>
                <w:sz w:val="18"/>
              </w:rPr>
              <w:t xml:space="preserve">15</w:t>
            </w:r>
          </w:p>
        </w:tc>
        <w:tc>
          <w:tcPr>
            <w:tcW w:w="2359" w:type="dxa"/>
          </w:tcPr>
          <w:p>
            <w:pPr>
              <w:pStyle w:val="Compact"/>
              <w:spacing w:after="40"/>
              <w:jc w:val="left"/>
            </w:pPr>
            <w:r>
              <w:rPr>
                <w:bCs/>
                <w:b/>
                <w:sz w:val="18"/>
              </w:rPr>
              <w:t xml:space="preserve">Resolution Finance</w:t>
            </w:r>
            <w:r>
              <w:rPr>
                <w:sz w:val="18"/>
              </w:rPr>
              <w:t xml:space="preserve"> </w:t>
            </w:r>
            <w:r>
              <w:rPr>
                <w:sz w:val="18"/>
              </w:rPr>
              <w:t xml:space="preserve">(linked to Equator settlements)</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Funds the borrower’s settlement with an existing lender; disbursement direct to the creditor; settlement evidence from Equator; affordability test; measurement of qualification rates. Where the creditor being settled is the tenant itself, the loan is restructuring and is blocked as evergreening without a viability assessment (RSA 10(12), 169). The tenant’s own settlement through Equator: payment over more than 3 months = restructuring (RSA 89); consent decree where proceedings are pending (RSA 100); cooling period of at least 12 months before fresh exposure (RSA 95).</w:t>
            </w:r>
            <w:r>
              <w:rPr>
                <w:sz w:val="18"/>
              </w:rPr>
              <w:t xml:space="preserve"> </w:t>
            </w:r>
            <w:r>
              <w:rPr>
                <w:bCs/>
                <w:b/>
                <w:sz w:val="18"/>
              </w:rPr>
              <w:t xml:space="preserve">Pilot</w:t>
            </w:r>
          </w:p>
        </w:tc>
      </w:tr>
      <w:tr>
        <w:tc>
          <w:tcPr>
            <w:tcW w:w="810" w:type="dxa"/>
          </w:tcPr>
          <w:p>
            <w:pPr>
              <w:pStyle w:val="Compact"/>
              <w:spacing w:after="40"/>
              <w:jc w:val="left"/>
            </w:pPr>
            <w:r>
              <w:rPr>
                <w:sz w:val="18"/>
              </w:rPr>
              <w:t xml:space="preserve">16</w:t>
            </w:r>
          </w:p>
        </w:tc>
        <w:tc>
          <w:tcPr>
            <w:tcW w:w="2359" w:type="dxa"/>
          </w:tcPr>
          <w:p>
            <w:pPr>
              <w:pStyle w:val="Compact"/>
              <w:spacing w:after="40"/>
              <w:jc w:val="left"/>
            </w:pPr>
            <w:r>
              <w:rPr>
                <w:bCs/>
                <w:b/>
                <w:sz w:val="18"/>
              </w:rPr>
              <w:t xml:space="preserve">Debt Reset / Consolidation</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Rigorous affordability and debt-closure model before refinancing stressed borrowers; direct payoff to existing lenders; refinancing the tenant’s own account in financial difficulty is restructuring (additional credit to an account in default, or roll-over: RSA 10(12), 159(3)): downgrade to sub-standard (RSA 53, 189), and no upgrade merely by rescheduling (IRACP 22); refinancing without a cash-flow viability assessment is evergreening (RSA 169, 188; enforcement under RSA 22, 26); restructuring flags.</w:t>
            </w:r>
            <w:r>
              <w:rPr>
                <w:sz w:val="18"/>
              </w:rPr>
              <w:t xml:space="preserve"> </w:t>
            </w:r>
            <w:r>
              <w:rPr>
                <w:bCs/>
                <w:b/>
                <w:sz w:val="18"/>
              </w:rPr>
              <w:t xml:space="preserve">Pilot</w:t>
            </w:r>
          </w:p>
        </w:tc>
      </w:tr>
      <w:tr>
        <w:tc>
          <w:tcPr>
            <w:tcW w:w="810" w:type="dxa"/>
          </w:tcPr>
          <w:p>
            <w:pPr>
              <w:pStyle w:val="Compact"/>
              <w:spacing w:after="40"/>
              <w:jc w:val="left"/>
            </w:pPr>
            <w:r>
              <w:rPr>
                <w:sz w:val="18"/>
              </w:rPr>
              <w:t xml:space="preserve">17</w:t>
            </w:r>
          </w:p>
        </w:tc>
        <w:tc>
          <w:tcPr>
            <w:tcW w:w="2359" w:type="dxa"/>
          </w:tcPr>
          <w:p>
            <w:pPr>
              <w:pStyle w:val="Compact"/>
              <w:spacing w:after="40"/>
              <w:jc w:val="left"/>
            </w:pPr>
            <w:r>
              <w:rPr>
                <w:bCs/>
                <w:b/>
                <w:sz w:val="18"/>
              </w:rPr>
              <w:t xml:space="preserve">Co-lending products</w:t>
            </w:r>
          </w:p>
        </w:tc>
        <w:tc>
          <w:tcPr>
            <w:tcW w:w="1701" w:type="dxa"/>
          </w:tcPr>
          <w:p>
            <w:pPr>
              <w:pStyle w:val="Compact"/>
              <w:spacing w:after="40"/>
              <w:jc w:val="left"/>
            </w:pPr>
            <w:r>
              <w:rPr>
                <w:sz w:val="18"/>
              </w:rPr>
              <w:t xml:space="preserve">Any</w:t>
            </w:r>
          </w:p>
        </w:tc>
        <w:tc>
          <w:tcPr>
            <w:tcW w:w="4768" w:type="dxa"/>
          </w:tcPr>
          <w:p>
            <w:pPr>
              <w:pStyle w:val="Compact"/>
              <w:spacing w:after="40"/>
              <w:jc w:val="left"/>
            </w:pPr>
            <w:r>
              <w:rPr>
                <w:sz w:val="18"/>
              </w:rPr>
              <w:t xml:space="preserve">Each NBFC party retains ≥ 10% of each loan (TDCR 102), funding-share-weighted blended rate (108), bank escrow for all flows (117), partner share booked within 15 calendar days or the loan stays with the originator (113, 115), originator-only DLG ≤ 5% of CLA outstanding (123), next-working-day classification sync (124), borrower-level classification sync (Part 7, M11)</w:t>
            </w:r>
          </w:p>
        </w:tc>
      </w:tr>
      <w:tr>
        <w:tc>
          <w:tcPr>
            <w:tcW w:w="810" w:type="dxa"/>
          </w:tcPr>
          <w:p>
            <w:pPr>
              <w:pStyle w:val="Compact"/>
              <w:spacing w:after="40"/>
              <w:jc w:val="left"/>
            </w:pPr>
            <w:r>
              <w:rPr>
                <w:sz w:val="18"/>
              </w:rPr>
              <w:t xml:space="preserve">18</w:t>
            </w:r>
          </w:p>
        </w:tc>
        <w:tc>
          <w:tcPr>
            <w:tcW w:w="2359" w:type="dxa"/>
          </w:tcPr>
          <w:p>
            <w:pPr>
              <w:pStyle w:val="Compact"/>
              <w:spacing w:after="40"/>
              <w:jc w:val="left"/>
            </w:pPr>
            <w:r>
              <w:rPr>
                <w:bCs/>
                <w:b/>
                <w:sz w:val="18"/>
              </w:rPr>
              <w:t xml:space="preserve">Loans to entities / Term lending to NBFCs and corporates</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Covenants, security cover, ratings, sanction terms, CRILC reporting. LEI gate for non-individuals with aggregate bank/FI exposure ≥ ₹5 crore (CRM paras 19–20). Notified-NBFC appraisal pack: independent appraisal, sensitivity tests, promoter-equity source, director DIN/PAN defaulter check (CRM paras 6–8)</w:t>
            </w:r>
          </w:p>
        </w:tc>
      </w:tr>
      <w:tr>
        <w:tc>
          <w:tcPr>
            <w:tcW w:w="810" w:type="dxa"/>
          </w:tcPr>
          <w:p>
            <w:pPr>
              <w:pStyle w:val="Compact"/>
              <w:spacing w:after="40"/>
              <w:jc w:val="left"/>
            </w:pPr>
            <w:r>
              <w:rPr>
                <w:sz w:val="18"/>
              </w:rPr>
              <w:t xml:space="preserve">19</w:t>
            </w:r>
          </w:p>
        </w:tc>
        <w:tc>
          <w:tcPr>
            <w:tcW w:w="2359" w:type="dxa"/>
          </w:tcPr>
          <w:p>
            <w:pPr>
              <w:pStyle w:val="Compact"/>
              <w:spacing w:after="40"/>
              <w:jc w:val="left"/>
            </w:pPr>
            <w:r>
              <w:rPr>
                <w:bCs/>
                <w:b/>
                <w:sz w:val="18"/>
              </w:rPr>
              <w:t xml:space="preserve">Staff loans</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Payroll deduction, perquisite valuation report. Specified-employee and relative tagging, policy limits, recusal, and an annual Board report (CRM paras 13D, 13J, 13L)</w:t>
            </w:r>
          </w:p>
        </w:tc>
      </w:tr>
      <w:tr>
        <w:tc>
          <w:tcPr>
            <w:tcW w:w="810" w:type="dxa"/>
          </w:tcPr>
          <w:p>
            <w:pPr>
              <w:pStyle w:val="Compact"/>
              <w:spacing w:after="40"/>
              <w:jc w:val="left"/>
            </w:pPr>
            <w:r>
              <w:rPr>
                <w:sz w:val="18"/>
              </w:rPr>
              <w:t xml:space="preserve">20</w:t>
            </w:r>
          </w:p>
        </w:tc>
        <w:tc>
          <w:tcPr>
            <w:tcW w:w="2359" w:type="dxa"/>
          </w:tcPr>
          <w:p>
            <w:pPr>
              <w:pStyle w:val="Compact"/>
              <w:spacing w:after="40"/>
              <w:jc w:val="left"/>
            </w:pPr>
            <w:r>
              <w:rPr>
                <w:bCs/>
                <w:b/>
                <w:sz w:val="18"/>
              </w:rPr>
              <w:t xml:space="preserve">Demand / Call Loan</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Mandatory recall cut-off date (reasons recorded if beyond 1 year); stated rate with interest payable monthly or quarterly (reasons recorded if none or moratorium); review within 6 months of sanction; renewal blocked unless the review is satisfactory (CF para 107)</w:t>
            </w:r>
          </w:p>
        </w:tc>
      </w:tr>
      <w:tr>
        <w:tc>
          <w:tcPr>
            <w:tcW w:w="810" w:type="dxa"/>
          </w:tcPr>
          <w:p>
            <w:pPr>
              <w:pStyle w:val="Compact"/>
              <w:spacing w:after="40"/>
              <w:jc w:val="left"/>
            </w:pPr>
            <w:r>
              <w:rPr>
                <w:sz w:val="18"/>
              </w:rPr>
              <w:t xml:space="preserve">21</w:t>
            </w:r>
          </w:p>
        </w:tc>
        <w:tc>
          <w:tcPr>
            <w:tcW w:w="2359" w:type="dxa"/>
          </w:tcPr>
          <w:p>
            <w:pPr>
              <w:pStyle w:val="Compact"/>
              <w:spacing w:after="40"/>
              <w:jc w:val="left"/>
            </w:pPr>
            <w:r>
              <w:rPr>
                <w:bCs/>
                <w:b/>
                <w:sz w:val="18"/>
              </w:rPr>
              <w:t xml:space="preserve">Project Finance</w:t>
            </w:r>
            <w:r>
              <w:rPr>
                <w:sz w:val="18"/>
              </w:rPr>
              <w:t xml:space="preserve"> </w:t>
            </w:r>
            <w:r>
              <w:rPr>
                <w:sz w:val="18"/>
              </w:rPr>
              <w:t xml:space="preserve">(infrastructure / non-infrastructure / CRE / CRE-RH)</w:t>
            </w:r>
          </w:p>
        </w:tc>
        <w:tc>
          <w:tcPr>
            <w:tcW w:w="1701" w:type="dxa"/>
          </w:tcPr>
          <w:p>
            <w:pPr>
              <w:pStyle w:val="Compact"/>
              <w:spacing w:after="40"/>
              <w:jc w:val="left"/>
            </w:pPr>
            <w:r>
              <w:rPr>
                <w:sz w:val="18"/>
              </w:rPr>
              <w:t xml:space="preserve">Either</w:t>
            </w:r>
          </w:p>
        </w:tc>
        <w:tc>
          <w:tcPr>
            <w:tcW w:w="4768" w:type="dxa"/>
          </w:tcPr>
          <w:p>
            <w:pPr>
              <w:pStyle w:val="Compact"/>
              <w:spacing w:after="40"/>
              <w:jc w:val="left"/>
            </w:pPr>
            <w:r>
              <w:rPr>
                <w:sz w:val="18"/>
              </w:rPr>
              <w:t xml:space="preserve">Qualifies only with ≥ 51% repayment from project cash flows and a common agreement among lenders (CF para 4(1)(xxiv)); applies where financial closure is after 1 Oct 2025 (para 64). Pre-disbursement gates: financial closure, original DCCO and approvals (paras 67, 70–71); land or right of way 50% PPP / 75% others (para 72); PPP Appointed Date (para 73); TEV study if aggregate exposure ≥ ₹100 crore (para 74). Tenor including moratorium ≤ 85% of economic life (para 67(3)); common DCCO (para 68); minimum exposure floors (para 69); stage-linked, LIE-certified disbursal (para 75); project database updated within 15 days of any change (paras 77–78)</w:t>
            </w:r>
          </w:p>
        </w:tc>
      </w:tr>
    </w:tbl>
    <w:p>
      <w:pPr>
        <w:pStyle w:val="BodyText"/>
      </w:pPr>
      <w:r>
        <w:rPr>
          <w:bCs/>
          <w:b/>
        </w:rPr>
        <w:t xml:space="preserve">Draft revolving-credit restriction (6 Aug 2026 draft CF amendment; comments closed 28 Aug 2026).</w:t>
      </w:r>
      <w:r>
        <w:t xml:space="preserve"> </w:t>
      </w:r>
      <w:r>
        <w:t xml:space="preserve">If finalised, NBFCs other than credit-card NBFCs would be confined to term loans [VERIFY final status]. The CF text updated to 1 Apr 2026 does not contain this restriction. Today only para 8(2) (no automatic limit increase on digital loans) and para 107 (demand/call loans) apply. This affects:</w:t>
      </w:r>
    </w:p>
    <w:p>
      <w:pPr>
        <w:numPr>
          <w:ilvl w:val="0"/>
          <w:numId w:val="1058"/>
        </w:numPr>
        <w:pStyle w:val="Compact"/>
      </w:pPr>
      <w:r>
        <w:t xml:space="preserve">flexi/OD-style personal and business loans (Products 1 and 3);</w:t>
      </w:r>
    </w:p>
    <w:p>
      <w:pPr>
        <w:numPr>
          <w:ilvl w:val="0"/>
          <w:numId w:val="1058"/>
        </w:numPr>
        <w:pStyle w:val="Compact"/>
      </w:pPr>
      <w:r>
        <w:t xml:space="preserve">LAS drawing-power or overdraft lines (Product 7);</w:t>
      </w:r>
    </w:p>
    <w:p>
      <w:pPr>
        <w:numPr>
          <w:ilvl w:val="0"/>
          <w:numId w:val="1058"/>
        </w:numPr>
        <w:pStyle w:val="Compact"/>
      </w:pPr>
      <w:r>
        <w:t xml:space="preserve">channel and working-capital lines (Product 12).</w:t>
      </w:r>
    </w:p>
    <w:p>
      <w:pPr>
        <w:pStyle w:val="FirstParagraph"/>
      </w:pPr>
      <w:r>
        <w:t xml:space="preserve">Build these as term-loan structures by default, and keep any revolving variant behind a feature flag until the final text is known.</w:t>
      </w:r>
    </w:p>
    <w:p>
      <w:pPr>
        <w:pStyle w:val="BodyText"/>
      </w:pPr>
      <w:r>
        <w:rPr>
          <w:bCs/>
          <w:b/>
        </w:rPr>
        <w:t xml:space="preserve">Housing finance and CRE classification (Products 4, 5 and 21; CF paras 4(1)(xiv), 108–111):</w:t>
      </w:r>
    </w:p>
    <w:p>
      <w:pPr>
        <w:numPr>
          <w:ilvl w:val="0"/>
          <w:numId w:val="1059"/>
        </w:numPr>
        <w:pStyle w:val="Compact"/>
      </w:pPr>
      <w:r>
        <w:t xml:space="preserve">A plot loan counts as housing finance only with a declaration to construct within 3 years.</w:t>
      </w:r>
    </w:p>
    <w:p>
      <w:pPr>
        <w:numPr>
          <w:ilvl w:val="0"/>
          <w:numId w:val="1059"/>
        </w:numPr>
        <w:pStyle w:val="Compact"/>
      </w:pPr>
      <w:r>
        <w:t xml:space="preserve">LAP and furnishing loans are not housing finance.</w:t>
      </w:r>
    </w:p>
    <w:p>
      <w:pPr>
        <w:numPr>
          <w:ilvl w:val="0"/>
          <w:numId w:val="1059"/>
        </w:numPr>
        <w:pStyle w:val="Compact"/>
      </w:pPr>
      <w:r>
        <w:t xml:space="preserve">A loan for an individual’s third dwelling unit onwards is CRE.</w:t>
      </w:r>
    </w:p>
    <w:p>
      <w:pPr>
        <w:numPr>
          <w:ilvl w:val="0"/>
          <w:numId w:val="1059"/>
        </w:numPr>
        <w:pStyle w:val="Compact"/>
      </w:pPr>
      <w:r>
        <w:t xml:space="preserve">Commercial area above 10% of FSI makes the whole loan CRE.</w:t>
      </w:r>
    </w:p>
    <w:p>
      <w:pPr>
        <w:numPr>
          <w:ilvl w:val="0"/>
          <w:numId w:val="1059"/>
        </w:numPr>
        <w:pStyle w:val="Compact"/>
      </w:pPr>
      <w:r>
        <w:t xml:space="preserve">Builder/project loans: funds are held until the mortgagee disclosure and NOC conditions are met.</w:t>
      </w:r>
    </w:p>
    <w:p>
      <w:pPr>
        <w:numPr>
          <w:ilvl w:val="0"/>
          <w:numId w:val="1059"/>
        </w:numPr>
        <w:pStyle w:val="Compact"/>
      </w:pPr>
      <w:r>
        <w:t xml:space="preserve">Real-estate loans are disbursed only after statutory clearances.</w:t>
      </w:r>
    </w:p>
    <w:p>
      <w:pPr>
        <w:pStyle w:val="FirstParagraph"/>
      </w:pPr>
      <w:r>
        <w:rPr>
          <w:bCs/>
          <w:b/>
        </w:rPr>
        <w:t xml:space="preserve">Top-ups against depreciating movable assets</w:t>
      </w:r>
      <w:r>
        <w:t xml:space="preserve"> </w:t>
      </w:r>
      <w:r>
        <w:t xml:space="preserve">such as vehicles (Product 6) are treated as unsecured for appraisal, limits and exposure (CON para 10).</w:t>
      </w:r>
    </w:p>
    <w:p>
      <w:pPr>
        <w:pStyle w:val="BodyText"/>
      </w:pPr>
      <w:r>
        <w:rPr>
          <w:bCs/>
          <w:b/>
        </w:rPr>
        <w:t xml:space="preserve">Products 13–16 are proposed products.</w:t>
      </w:r>
      <w:r>
        <w:t xml:space="preserve"> </w:t>
      </w:r>
      <w:r>
        <w:t xml:space="preserve">For each, produce a feasibility note before building any workflow:</w:t>
      </w:r>
    </w:p>
    <w:p>
      <w:pPr>
        <w:numPr>
          <w:ilvl w:val="0"/>
          <w:numId w:val="1060"/>
        </w:numPr>
        <w:pStyle w:val="Compact"/>
      </w:pPr>
      <w:r>
        <w:t xml:space="preserve">legal permissibility under the current RBI Directions and other law;</w:t>
      </w:r>
    </w:p>
    <w:p>
      <w:pPr>
        <w:numPr>
          <w:ilvl w:val="0"/>
          <w:numId w:val="1060"/>
        </w:numPr>
        <w:pStyle w:val="Compact"/>
      </w:pPr>
      <w:r>
        <w:t xml:space="preserve">the commercial model;</w:t>
      </w:r>
    </w:p>
    <w:p>
      <w:pPr>
        <w:numPr>
          <w:ilvl w:val="0"/>
          <w:numId w:val="1060"/>
        </w:numPr>
        <w:pStyle w:val="Compact"/>
      </w:pPr>
      <w:r>
        <w:t xml:space="preserve">risks;</w:t>
      </w:r>
    </w:p>
    <w:p>
      <w:pPr>
        <w:numPr>
          <w:ilvl w:val="0"/>
          <w:numId w:val="1060"/>
        </w:numPr>
        <w:pStyle w:val="Compact"/>
      </w:pPr>
      <w:r>
        <w:t xml:space="preserve">a pilot design.</w:t>
      </w:r>
    </w:p>
    <w:p>
      <w:pPr>
        <w:pStyle w:val="FirstParagraph"/>
      </w:pPr>
      <w:r>
        <w:t xml:space="preserve">Do not assume viability.</w:t>
      </w:r>
    </w:p>
    <w:bookmarkEnd w:id="37"/>
    <w:bookmarkStart w:id="60" w:name="product-wise-origination-workflows"/>
    <w:p>
      <w:pPr>
        <w:pStyle w:val="Heading2"/>
      </w:pPr>
      <w:r>
        <w:t xml:space="preserve">6.3 Product-wise origination workflows</w:t>
      </w:r>
    </w:p>
    <w:p>
      <w:pPr>
        <w:pStyle w:val="FirstParagraph"/>
      </w:pPr>
      <w:r>
        <w:t xml:space="preserve">Every product in Part 6.2 is delivered as a</w:t>
      </w:r>
      <w:r>
        <w:t xml:space="preserve"> </w:t>
      </w:r>
      <w:r>
        <w:rPr>
          <w:bCs/>
          <w:b/>
        </w:rPr>
        <w:t xml:space="preserve">workflow template</w:t>
      </w:r>
      <w:r>
        <w:t xml:space="preserve"> </w:t>
      </w:r>
      <w:r>
        <w:t xml:space="preserve">in the product factory, not as bespoke code. A template is an ordered set of steps drawn from one shared step library. Each step carries its actor, inputs, gate rule (a versioned JDM decision in the BRE), SLA, evidence and the events it emits. Templates are versioned, effective-dated and changed only through maker-checker (Part 3.3). Each loan stores the template version it was originated under, so later disputes, audits and recovery (Part 7A) see the exact process that applied.</w:t>
      </w:r>
    </w:p>
    <w:p>
      <w:pPr>
        <w:pStyle w:val="BodyText"/>
      </w:pPr>
      <w:r>
        <w:rPr>
          <w:bCs/>
          <w:b/>
        </w:rPr>
        <w:t xml:space="preserve">Tenants may change</w:t>
      </w:r>
      <w:r>
        <w:t xml:space="preserve"> </w:t>
      </w:r>
      <w:r>
        <w:t xml:space="preserve">step order within declared dependencies, optional steps, vendors, thresholds (FOIR, LTV bands, valuation triggers, deviation limits), checklists, templates and SLAs.</w:t>
      </w:r>
    </w:p>
    <w:p>
      <w:pPr>
        <w:pStyle w:val="BodyText"/>
      </w:pPr>
      <w:r>
        <w:rPr>
          <w:bCs/>
          <w:b/>
        </w:rPr>
        <w:t xml:space="preserve">Tenants may not remove</w:t>
      </w:r>
      <w:r>
        <w:t xml:space="preserve"> </w:t>
      </w:r>
      <w:r>
        <w:t xml:space="preserve">locked steps, marked</w:t>
      </w:r>
      <w:r>
        <w:t xml:space="preserve"> </w:t>
      </w:r>
      <w:r>
        <w:t xml:space="preserve">“</w:t>
      </w:r>
      <w:r>
        <w:t xml:space="preserve">L</w:t>
      </w:r>
      <w:r>
        <w:t xml:space="preserve">”</w:t>
      </w:r>
      <w:r>
        <w:t xml:space="preserve"> </w:t>
      </w:r>
      <w:r>
        <w:t xml:space="preserve">below (KYC and screening, consent, KFS before execution, CF para 10 routing, CERSAI registration where SARFAESI enforcement is elected, signing evidence, booking only after settlement confirmation); validation fails.</w:t>
      </w:r>
    </w:p>
    <w:bookmarkStart w:id="38" w:name="template-model"/>
    <w:p>
      <w:pPr>
        <w:pStyle w:val="Heading3"/>
      </w:pPr>
      <w:r>
        <w:t xml:space="preserve">6.3.1 Template model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12"/>
        <w:gridCol w:w="4583"/>
        <w:gridCol w:w="3643"/>
      </w:tblGrid>
      <w:tr>
        <w:trPr>
          <w:tblHeader w:val="true"/>
          <w:tblHeader w:val="true"/>
        </w:trPr>
        <w:tc>
          <w:tcPr>
            <w:tcW w:w="1412" w:type="dxa"/>
            <w:shd w:val="clear" w:color="auto" w:fill="1F3A5F"/>
          </w:tcPr>
          <w:p>
            <w:pPr>
              <w:pStyle w:val="Compact"/>
              <w:spacing w:after="40"/>
              <w:jc w:val="left"/>
            </w:pPr>
            <w:r>
              <w:rPr>
                <w:b/>
                <w:color w:val="FFFFFF"/>
                <w:sz w:val="18"/>
              </w:rPr>
              <w:t xml:space="preserve">Element</w:t>
            </w:r>
          </w:p>
        </w:tc>
        <w:tc>
          <w:tcPr>
            <w:tcW w:w="4583" w:type="dxa"/>
            <w:shd w:val="clear" w:color="auto" w:fill="1F3A5F"/>
          </w:tcPr>
          <w:p>
            <w:pPr>
              <w:pStyle w:val="Compact"/>
              <w:spacing w:after="40"/>
              <w:jc w:val="left"/>
            </w:pPr>
            <w:r>
              <w:rPr>
                <w:b/>
                <w:color w:val="FFFFFF"/>
                <w:sz w:val="18"/>
              </w:rPr>
              <w:t xml:space="preserve">Content</w:t>
            </w:r>
          </w:p>
        </w:tc>
        <w:tc>
          <w:tcPr>
            <w:tcW w:w="3643" w:type="dxa"/>
            <w:shd w:val="clear" w:color="auto" w:fill="1F3A5F"/>
          </w:tcPr>
          <w:p>
            <w:pPr>
              <w:pStyle w:val="Compact"/>
              <w:spacing w:after="40"/>
              <w:jc w:val="left"/>
            </w:pPr>
            <w:r>
              <w:rPr>
                <w:b/>
                <w:color w:val="FFFFFF"/>
                <w:sz w:val="18"/>
              </w:rPr>
              <w:t xml:space="preserve">Rule</w:t>
            </w:r>
          </w:p>
        </w:tc>
      </w:tr>
      <w:tr>
        <w:tc>
          <w:tcPr>
            <w:tcW w:w="1412" w:type="dxa"/>
          </w:tcPr>
          <w:p>
            <w:pPr>
              <w:pStyle w:val="Compact"/>
              <w:spacing w:after="40"/>
              <w:jc w:val="left"/>
            </w:pPr>
            <w:r>
              <w:rPr>
                <w:rStyle w:val="VerbatimChar"/>
                <w:sz w:val="18"/>
              </w:rPr>
              <w:t xml:space="preserve">workflow_template</w:t>
            </w:r>
          </w:p>
        </w:tc>
        <w:tc>
          <w:tcPr>
            <w:tcW w:w="4583" w:type="dxa"/>
          </w:tcPr>
          <w:p>
            <w:pPr>
              <w:pStyle w:val="Compact"/>
              <w:spacing w:after="40"/>
              <w:jc w:val="left"/>
            </w:pPr>
            <w:r>
              <w:rPr>
                <w:sz w:val="18"/>
              </w:rPr>
              <w:t xml:space="preserve">product code, version, effective dates, channels enabled, stage list, recovery hooks</w:t>
            </w:r>
          </w:p>
        </w:tc>
        <w:tc>
          <w:tcPr>
            <w:tcW w:w="3643" w:type="dxa"/>
          </w:tcPr>
          <w:p>
            <w:pPr>
              <w:pStyle w:val="Compact"/>
              <w:spacing w:after="40"/>
              <w:jc w:val="left"/>
            </w:pPr>
            <w:r>
              <w:rPr>
                <w:sz w:val="18"/>
              </w:rPr>
              <w:t xml:space="preserve">One active version per product and channel overlay; new versions apply only to new applications</w:t>
            </w:r>
          </w:p>
        </w:tc>
      </w:tr>
      <w:tr>
        <w:tc>
          <w:tcPr>
            <w:tcW w:w="1412" w:type="dxa"/>
          </w:tcPr>
          <w:p>
            <w:pPr>
              <w:pStyle w:val="Compact"/>
              <w:spacing w:after="40"/>
              <w:jc w:val="left"/>
            </w:pPr>
            <w:r>
              <w:rPr>
                <w:sz w:val="18"/>
              </w:rPr>
              <w:t xml:space="preserve">Stage</w:t>
            </w:r>
          </w:p>
        </w:tc>
        <w:tc>
          <w:tcPr>
            <w:tcW w:w="4583" w:type="dxa"/>
          </w:tcPr>
          <w:p>
            <w:pPr>
              <w:pStyle w:val="Compact"/>
              <w:spacing w:after="40"/>
              <w:jc w:val="left"/>
            </w:pPr>
            <w:r>
              <w:rPr>
                <w:sz w:val="18"/>
              </w:rPr>
              <w:t xml:space="preserve">LEAD, APPLICATION, KYC, DATA, APPRAISAL, COLLATERAL, DECISION, OFFER, EXECUTION, PERFECTION, DISBURSEMENT, BOOKING</w:t>
            </w:r>
          </w:p>
        </w:tc>
        <w:tc>
          <w:tcPr>
            <w:tcW w:w="3643" w:type="dxa"/>
          </w:tcPr>
          <w:p>
            <w:pPr>
              <w:pStyle w:val="Compact"/>
              <w:spacing w:after="40"/>
              <w:jc w:val="left"/>
            </w:pPr>
            <w:r>
              <w:rPr>
                <w:sz w:val="18"/>
              </w:rPr>
              <w:t xml:space="preserve">Fixed order of stages; steps may run in parallel inside a stage</w:t>
            </w:r>
          </w:p>
        </w:tc>
      </w:tr>
      <w:tr>
        <w:tc>
          <w:tcPr>
            <w:tcW w:w="1412" w:type="dxa"/>
          </w:tcPr>
          <w:p>
            <w:pPr>
              <w:pStyle w:val="Compact"/>
              <w:spacing w:after="40"/>
              <w:jc w:val="left"/>
            </w:pPr>
            <w:r>
              <w:rPr>
                <w:sz w:val="18"/>
              </w:rPr>
              <w:t xml:space="preserve">Step</w:t>
            </w:r>
          </w:p>
        </w:tc>
        <w:tc>
          <w:tcPr>
            <w:tcW w:w="4583" w:type="dxa"/>
          </w:tcPr>
          <w:p>
            <w:pPr>
              <w:pStyle w:val="Compact"/>
              <w:spacing w:after="40"/>
              <w:jc w:val="left"/>
            </w:pPr>
            <w:r>
              <w:rPr>
                <w:sz w:val="18"/>
              </w:rPr>
              <w:t xml:space="preserve">step code from 6.3.2, actor (borrower, staff, vendor, partner, system), gate rule, SLA, evidence, events</w:t>
            </w:r>
          </w:p>
        </w:tc>
        <w:tc>
          <w:tcPr>
            <w:tcW w:w="3643" w:type="dxa"/>
          </w:tcPr>
          <w:p>
            <w:pPr>
              <w:pStyle w:val="Compact"/>
              <w:spacing w:after="40"/>
              <w:jc w:val="left"/>
            </w:pPr>
            <w:r>
              <w:rPr>
                <w:sz w:val="18"/>
              </w:rPr>
              <w:t xml:space="preserve">A step completes only on evidence (provider transaction ID, report hash, signed document), never on a status flag</w:t>
            </w:r>
          </w:p>
        </w:tc>
      </w:tr>
      <w:tr>
        <w:tc>
          <w:tcPr>
            <w:tcW w:w="1412" w:type="dxa"/>
          </w:tcPr>
          <w:p>
            <w:pPr>
              <w:pStyle w:val="Compact"/>
              <w:spacing w:after="40"/>
              <w:jc w:val="left"/>
            </w:pPr>
            <w:r>
              <w:rPr>
                <w:sz w:val="18"/>
              </w:rPr>
              <w:t xml:space="preserve">Channel overlay</w:t>
            </w:r>
          </w:p>
        </w:tc>
        <w:tc>
          <w:tcPr>
            <w:tcW w:w="4583" w:type="dxa"/>
          </w:tcPr>
          <w:p>
            <w:pPr>
              <w:pStyle w:val="Compact"/>
              <w:spacing w:after="40"/>
              <w:jc w:val="left"/>
            </w:pPr>
            <w:r>
              <w:rPr>
                <w:sz w:val="18"/>
              </w:rPr>
              <w:t xml:space="preserve">BR (branch), FA (field app, M22), DSA (DSA or partner portal), LSP (Udofin or another LSP, Part 5), CLO (co-lending originator, M11), API (anchor, dealer, merchant or institution)</w:t>
            </w:r>
          </w:p>
        </w:tc>
        <w:tc>
          <w:tcPr>
            <w:tcW w:w="3643" w:type="dxa"/>
          </w:tcPr>
          <w:p>
            <w:pPr>
              <w:pStyle w:val="Compact"/>
              <w:spacing w:after="40"/>
              <w:jc w:val="left"/>
            </w:pPr>
            <w:r>
              <w:rPr>
                <w:sz w:val="18"/>
              </w:rPr>
              <w:t xml:space="preserve">The overlay changes who performs a step and which steps are pre-filled; it never removes a locked step</w:t>
            </w:r>
          </w:p>
        </w:tc>
      </w:tr>
      <w:tr>
        <w:tc>
          <w:tcPr>
            <w:tcW w:w="1412" w:type="dxa"/>
          </w:tcPr>
          <w:p>
            <w:pPr>
              <w:pStyle w:val="Compact"/>
              <w:spacing w:after="40"/>
              <w:jc w:val="left"/>
            </w:pPr>
            <w:r>
              <w:rPr>
                <w:sz w:val="18"/>
              </w:rPr>
              <w:t xml:space="preserve">Recovery hooks</w:t>
            </w:r>
          </w:p>
        </w:tc>
        <w:tc>
          <w:tcPr>
            <w:tcW w:w="4583" w:type="dxa"/>
          </w:tcPr>
          <w:p>
            <w:pPr>
              <w:pStyle w:val="Compact"/>
              <w:spacing w:after="40"/>
              <w:jc w:val="left"/>
            </w:pPr>
            <w:r>
              <w:rPr>
                <w:rStyle w:val="VerbatimChar"/>
                <w:sz w:val="18"/>
              </w:rPr>
              <w:t xml:space="preserve">r16_playbook</w:t>
            </w:r>
            <w:r>
              <w:rPr>
                <w:sz w:val="18"/>
              </w:rPr>
              <w:t xml:space="preserve"> </w:t>
            </w:r>
            <w:r>
              <w:rPr>
                <w:sz w:val="18"/>
              </w:rPr>
              <w:t xml:space="preserve">= product code;</w:t>
            </w:r>
            <w:r>
              <w:rPr>
                <w:sz w:val="18"/>
              </w:rPr>
              <w:t xml:space="preserve"> </w:t>
            </w:r>
            <w:r>
              <w:rPr>
                <w:rStyle w:val="VerbatimChar"/>
                <w:sz w:val="18"/>
              </w:rPr>
              <w:t xml:space="preserve">mechanism_profile</w:t>
            </w:r>
            <w:r>
              <w:rPr>
                <w:sz w:val="18"/>
              </w:rPr>
              <w:t xml:space="preserve"> </w:t>
            </w:r>
            <w:r>
              <w:rPr>
                <w:sz w:val="18"/>
              </w:rPr>
              <w:t xml:space="preserve">(secured or unsecured, security type, cheque or mandate held, arbitration clause version, CGTMSE cover)</w:t>
            </w:r>
          </w:p>
        </w:tc>
        <w:tc>
          <w:tcPr>
            <w:tcW w:w="3643" w:type="dxa"/>
          </w:tcPr>
          <w:p>
            <w:pPr>
              <w:pStyle w:val="Compact"/>
              <w:spacing w:after="40"/>
              <w:jc w:val="left"/>
            </w:pPr>
            <w:r>
              <w:rPr>
                <w:sz w:val="18"/>
              </w:rPr>
              <w:t xml:space="preserve">Read by the R1 mechanism-selection engine and the R16 playbook (Part 7A) when the account enters recovery</w:t>
            </w:r>
          </w:p>
        </w:tc>
      </w:tr>
      <w:tr>
        <w:tc>
          <w:tcPr>
            <w:tcW w:w="1412" w:type="dxa"/>
          </w:tcPr>
          <w:p>
            <w:pPr>
              <w:pStyle w:val="Compact"/>
              <w:spacing w:after="40"/>
              <w:jc w:val="left"/>
            </w:pPr>
            <w:r>
              <w:rPr>
                <w:sz w:val="18"/>
              </w:rPr>
              <w:t xml:space="preserve">Servicing hooks</w:t>
            </w:r>
          </w:p>
        </w:tc>
        <w:tc>
          <w:tcPr>
            <w:tcW w:w="4583" w:type="dxa"/>
          </w:tcPr>
          <w:p>
            <w:pPr>
              <w:pStyle w:val="Compact"/>
              <w:spacing w:after="40"/>
              <w:jc w:val="left"/>
            </w:pPr>
            <w:r>
              <w:rPr>
                <w:sz w:val="18"/>
              </w:rPr>
              <w:t xml:space="preserve">schedule type, collateral monitoring, insurance renewal, release SLA, collections strategy (M8)</w:t>
            </w:r>
          </w:p>
        </w:tc>
        <w:tc>
          <w:tcPr>
            <w:tcW w:w="3643" w:type="dxa"/>
          </w:tcPr>
          <w:p>
            <w:pPr>
              <w:pStyle w:val="Compact"/>
              <w:spacing w:after="40"/>
              <w:jc w:val="left"/>
            </w:pPr>
            <w:r>
              <w:rPr>
                <w:sz w:val="18"/>
              </w:rPr>
              <w:t xml:space="preserve">Created at booking (M4 item 12)</w:t>
            </w:r>
          </w:p>
        </w:tc>
      </w:tr>
    </w:tbl>
    <w:p>
      <w:pPr>
        <w:pStyle w:val="BodyText"/>
      </w:pPr>
      <w:r>
        <w:rPr>
          <w:bCs/>
          <w:b/>
        </w:rPr>
        <w:t xml:space="preserve">Events.</w:t>
      </w:r>
      <w:r>
        <w:t xml:space="preserve"> </w:t>
      </w:r>
      <w:r>
        <w:t xml:space="preserve">Origination emits the Part 5.2 events (</w:t>
      </w:r>
      <w:r>
        <w:rPr>
          <w:rStyle w:val="VerbatimChar"/>
        </w:rPr>
        <w:t xml:space="preserve">ApplicationSubmitted</w:t>
      </w:r>
      <w:r>
        <w:t xml:space="preserve">,</w:t>
      </w:r>
      <w:r>
        <w:t xml:space="preserve"> </w:t>
      </w:r>
      <w:r>
        <w:rPr>
          <w:rStyle w:val="VerbatimChar"/>
        </w:rPr>
        <w:t xml:space="preserve">DecisionMade</w:t>
      </w:r>
      <w:r>
        <w:t xml:space="preserve">,</w:t>
      </w:r>
      <w:r>
        <w:t xml:space="preserve"> </w:t>
      </w:r>
      <w:r>
        <w:rPr>
          <w:rStyle w:val="VerbatimChar"/>
        </w:rPr>
        <w:t xml:space="preserve">KFSIssued</w:t>
      </w:r>
      <w:r>
        <w:t xml:space="preserve">,</w:t>
      </w:r>
      <w:r>
        <w:t xml:space="preserve"> </w:t>
      </w:r>
      <w:r>
        <w:rPr>
          <w:rStyle w:val="VerbatimChar"/>
        </w:rPr>
        <w:t xml:space="preserve">ESignCompleted</w:t>
      </w:r>
      <w:r>
        <w:t xml:space="preserve">,</w:t>
      </w:r>
      <w:r>
        <w:t xml:space="preserve"> </w:t>
      </w:r>
      <w:r>
        <w:rPr>
          <w:rStyle w:val="VerbatimChar"/>
        </w:rPr>
        <w:t xml:space="preserve">EStampCompleted</w:t>
      </w:r>
      <w:r>
        <w:t xml:space="preserve">,</w:t>
      </w:r>
      <w:r>
        <w:t xml:space="preserve"> </w:t>
      </w:r>
      <w:r>
        <w:rPr>
          <w:rStyle w:val="VerbatimChar"/>
        </w:rPr>
        <w:t xml:space="preserve">MandateRegistered</w:t>
      </w:r>
      <w:r>
        <w:t xml:space="preserve">,</w:t>
      </w:r>
      <w:r>
        <w:t xml:space="preserve"> </w:t>
      </w:r>
      <w:r>
        <w:rPr>
          <w:rStyle w:val="VerbatimChar"/>
        </w:rPr>
        <w:t xml:space="preserve">LoanDisbursed</w:t>
      </w:r>
      <w:r>
        <w:t xml:space="preserve">) and, for secured products, the collateral events of the Ecosystem Integration Specification (</w:t>
      </w:r>
      <w:r>
        <w:rPr>
          <w:rStyle w:val="VerbatimChar"/>
        </w:rPr>
        <w:t xml:space="preserve">CollateralHoldingsShared</w:t>
      </w:r>
      <w:r>
        <w:t xml:space="preserve">,</w:t>
      </w:r>
      <w:r>
        <w:t xml:space="preserve"> </w:t>
      </w:r>
      <w:r>
        <w:rPr>
          <w:rStyle w:val="VerbatimChar"/>
        </w:rPr>
        <w:t xml:space="preserve">CollateralPledgeRequested</w:t>
      </w:r>
      <w:r>
        <w:t xml:space="preserve">,</w:t>
      </w:r>
      <w:r>
        <w:t xml:space="preserve"> </w:t>
      </w:r>
      <w:r>
        <w:rPr>
          <w:rStyle w:val="VerbatimChar"/>
        </w:rPr>
        <w:t xml:space="preserve">CollateralPledgeCreated</w:t>
      </w:r>
      <w:r>
        <w:t xml:space="preserve">,</w:t>
      </w:r>
      <w:r>
        <w:t xml:space="preserve"> </w:t>
      </w:r>
      <w:r>
        <w:rPr>
          <w:rStyle w:val="VerbatimChar"/>
        </w:rPr>
        <w:t xml:space="preserve">CollateralValuationUpdated</w:t>
      </w:r>
      <w:r>
        <w:t xml:space="preserve">). Co-lent loans add</w:t>
      </w:r>
      <w:r>
        <w:t xml:space="preserve"> </w:t>
      </w:r>
      <w:r>
        <w:rPr>
          <w:rStyle w:val="VerbatimChar"/>
        </w:rPr>
        <w:t xml:space="preserve">CoLendingSplitConfirmed</w:t>
      </w:r>
      <w:r>
        <w:t xml:space="preserve">. Mortgage, hypothecation, CERSAI, Vahan, TReDS and CGTMSE registrations emit</w:t>
      </w:r>
      <w:r>
        <w:t xml:space="preserve"> </w:t>
      </w:r>
      <w:r>
        <w:rPr>
          <w:rStyle w:val="VerbatimChar"/>
        </w:rPr>
        <w:t xml:space="preserve">CollateralChargeRegistered</w:t>
      </w:r>
      <w:r>
        <w:t xml:space="preserve"> </w:t>
      </w:r>
      <w:r>
        <w:t xml:space="preserve">(Integration Spec Part 6.5). The CloudEvents</w:t>
      </w:r>
      <w:r>
        <w:t xml:space="preserve"> </w:t>
      </w:r>
      <w:r>
        <w:rPr>
          <w:rStyle w:val="VerbatimChar"/>
        </w:rPr>
        <w:t xml:space="preserve">productfamily</w:t>
      </w:r>
      <w:r>
        <w:t xml:space="preserve"> </w:t>
      </w:r>
      <w:r>
        <w:t xml:space="preserve">attribute takes only the Specification codes (PL, PDL, MSME, LAP, HL, VL, GOLD, LAS, LAMF, MFI, SCF, EDU, PF, CLN; Integration Spec Part 3.2); Finbyx-only codes (</w:t>
      </w:r>
      <w:r>
        <w:rPr>
          <w:rStyle w:val="VerbatimChar"/>
        </w:rPr>
        <w:t xml:space="preserve">CD</w:t>
      </w:r>
      <w:r>
        <w:t xml:space="preserve">,</w:t>
      </w:r>
      <w:r>
        <w:t xml:space="preserve"> </w:t>
      </w:r>
      <w:r>
        <w:rPr>
          <w:rStyle w:val="VerbatimChar"/>
        </w:rPr>
        <w:t xml:space="preserve">CORP</w:t>
      </w:r>
      <w:r>
        <w:t xml:space="preserve">,</w:t>
      </w:r>
      <w:r>
        <w:t xml:space="preserve"> </w:t>
      </w:r>
      <w:r>
        <w:rPr>
          <w:rStyle w:val="VerbatimChar"/>
        </w:rPr>
        <w:t xml:space="preserve">STAFF</w:t>
      </w:r>
      <w:r>
        <w:t xml:space="preserve">,</w:t>
      </w:r>
      <w:r>
        <w:t xml:space="preserve"> </w:t>
      </w:r>
      <w:r>
        <w:rPr>
          <w:rStyle w:val="VerbatimChar"/>
        </w:rPr>
        <w:t xml:space="preserve">DCL</w:t>
      </w:r>
      <w:r>
        <w:t xml:space="preserve">,</w:t>
      </w:r>
      <w:r>
        <w:t xml:space="preserve"> </w:t>
      </w:r>
      <w:r>
        <w:rPr>
          <w:rStyle w:val="VerbatimChar"/>
        </w:rPr>
        <w:t xml:space="preserve">MED</w:t>
      </w:r>
      <w:r>
        <w:t xml:space="preserve">,</w:t>
      </w:r>
      <w:r>
        <w:t xml:space="preserve"> </w:t>
      </w:r>
      <w:r>
        <w:rPr>
          <w:rStyle w:val="VerbatimChar"/>
        </w:rPr>
        <w:t xml:space="preserve">LEF</w:t>
      </w:r>
      <w:r>
        <w:t xml:space="preserve">,</w:t>
      </w:r>
      <w:r>
        <w:t xml:space="preserve"> </w:t>
      </w:r>
      <w:r>
        <w:rPr>
          <w:rStyle w:val="VerbatimChar"/>
        </w:rPr>
        <w:t xml:space="preserve">RF</w:t>
      </w:r>
      <w:r>
        <w:t xml:space="preserve">,</w:t>
      </w:r>
      <w:r>
        <w:t xml:space="preserve"> </w:t>
      </w:r>
      <w:r>
        <w:rPr>
          <w:rStyle w:val="VerbatimChar"/>
        </w:rPr>
        <w:t xml:space="preserve">DR</w:t>
      </w:r>
      <w:r>
        <w:t xml:space="preserve">) are sent as</w:t>
      </w:r>
      <w:r>
        <w:t xml:space="preserve"> </w:t>
      </w:r>
      <w:r>
        <w:rPr>
          <w:rStyle w:val="VerbatimChar"/>
        </w:rPr>
        <w:t xml:space="preserve">na</w:t>
      </w:r>
      <w:r>
        <w:t xml:space="preserve"> </w:t>
      </w:r>
      <w:r>
        <w:t xml:space="preserve">with the Finbyx code in the payload</w:t>
      </w:r>
      <w:r>
        <w:t xml:space="preserve"> </w:t>
      </w:r>
      <w:r>
        <w:rPr>
          <w:rStyle w:val="VerbatimChar"/>
        </w:rPr>
        <w:t xml:space="preserve">product_code</w:t>
      </w:r>
      <w:r>
        <w:t xml:space="preserve"> </w:t>
      </w:r>
      <w:r>
        <w:t xml:space="preserve">[REC].</w:t>
      </w:r>
    </w:p>
    <w:bookmarkEnd w:id="38"/>
    <w:bookmarkStart w:id="39" w:name="step-library"/>
    <w:p>
      <w:pPr>
        <w:pStyle w:val="Heading3"/>
      </w:pPr>
      <w:r>
        <w:t xml:space="preserve">6.3.2 Step library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42"/>
        <w:gridCol w:w="3684"/>
        <w:gridCol w:w="3412"/>
      </w:tblGrid>
      <w:tr>
        <w:trPr>
          <w:tblHeader w:val="true"/>
          <w:tblHeader w:val="true"/>
        </w:trPr>
        <w:tc>
          <w:tcPr>
            <w:tcW w:w="2542" w:type="dxa"/>
            <w:shd w:val="clear" w:color="auto" w:fill="1F3A5F"/>
          </w:tcPr>
          <w:p>
            <w:pPr>
              <w:pStyle w:val="Compact"/>
              <w:spacing w:after="40"/>
              <w:jc w:val="left"/>
            </w:pPr>
            <w:r>
              <w:rPr>
                <w:b/>
                <w:color w:val="FFFFFF"/>
                <w:sz w:val="18"/>
              </w:rPr>
              <w:t xml:space="preserve">Code</w:t>
            </w:r>
          </w:p>
        </w:tc>
        <w:tc>
          <w:tcPr>
            <w:tcW w:w="3684" w:type="dxa"/>
            <w:shd w:val="clear" w:color="auto" w:fill="1F3A5F"/>
          </w:tcPr>
          <w:p>
            <w:pPr>
              <w:pStyle w:val="Compact"/>
              <w:spacing w:after="40"/>
              <w:jc w:val="left"/>
            </w:pPr>
            <w:r>
              <w:rPr>
                <w:b/>
                <w:color w:val="FFFFFF"/>
                <w:sz w:val="18"/>
              </w:rPr>
              <w:t xml:space="preserve">Step</w:t>
            </w:r>
          </w:p>
        </w:tc>
        <w:tc>
          <w:tcPr>
            <w:tcW w:w="3412" w:type="dxa"/>
            <w:shd w:val="clear" w:color="auto" w:fill="1F3A5F"/>
          </w:tcPr>
          <w:p>
            <w:pPr>
              <w:pStyle w:val="Compact"/>
              <w:spacing w:after="40"/>
              <w:jc w:val="left"/>
            </w:pPr>
            <w:r>
              <w:rPr>
                <w:b/>
                <w:color w:val="FFFFFF"/>
                <w:sz w:val="18"/>
              </w:rPr>
              <w:t xml:space="preserve">Notes and cites</w:t>
            </w:r>
          </w:p>
        </w:tc>
      </w:tr>
      <w:tr>
        <w:tc>
          <w:tcPr>
            <w:tcW w:w="2542" w:type="dxa"/>
          </w:tcPr>
          <w:p>
            <w:pPr>
              <w:pStyle w:val="Compact"/>
              <w:spacing w:after="40"/>
              <w:jc w:val="left"/>
            </w:pPr>
            <w:r>
              <w:rPr>
                <w:sz w:val="18"/>
              </w:rPr>
              <w:t xml:space="preserve">LEAD</w:t>
            </w:r>
          </w:p>
        </w:tc>
        <w:tc>
          <w:tcPr>
            <w:tcW w:w="3684" w:type="dxa"/>
          </w:tcPr>
          <w:p>
            <w:pPr>
              <w:pStyle w:val="Compact"/>
              <w:spacing w:after="40"/>
              <w:jc w:val="left"/>
            </w:pPr>
            <w:r>
              <w:rPr>
                <w:sz w:val="18"/>
              </w:rPr>
              <w:t xml:space="preserve">Lead capture, de-dupe and allocation</w:t>
            </w:r>
          </w:p>
        </w:tc>
        <w:tc>
          <w:tcPr>
            <w:tcW w:w="3412" w:type="dxa"/>
          </w:tcPr>
          <w:p>
            <w:pPr>
              <w:pStyle w:val="Compact"/>
              <w:spacing w:after="40"/>
              <w:jc w:val="left"/>
            </w:pPr>
            <w:r>
              <w:rPr>
                <w:sz w:val="18"/>
              </w:rPr>
              <w:t xml:space="preserve">M2; DSA payout tagging</w:t>
            </w:r>
          </w:p>
        </w:tc>
      </w:tr>
      <w:tr>
        <w:tc>
          <w:tcPr>
            <w:tcW w:w="2542" w:type="dxa"/>
          </w:tcPr>
          <w:p>
            <w:pPr>
              <w:pStyle w:val="Compact"/>
              <w:spacing w:after="40"/>
              <w:jc w:val="left"/>
            </w:pPr>
            <w:r>
              <w:rPr>
                <w:sz w:val="18"/>
              </w:rPr>
              <w:t xml:space="preserve">CONSENT (L)</w:t>
            </w:r>
          </w:p>
        </w:tc>
        <w:tc>
          <w:tcPr>
            <w:tcW w:w="3684" w:type="dxa"/>
          </w:tcPr>
          <w:p>
            <w:pPr>
              <w:pStyle w:val="Compact"/>
              <w:spacing w:after="40"/>
              <w:jc w:val="left"/>
            </w:pPr>
            <w:r>
              <w:rPr>
                <w:sz w:val="18"/>
              </w:rPr>
              <w:t xml:space="preserve">Purpose-specific consent per data pull and share</w:t>
            </w:r>
          </w:p>
        </w:tc>
        <w:tc>
          <w:tcPr>
            <w:tcW w:w="3412" w:type="dxa"/>
          </w:tcPr>
          <w:p>
            <w:pPr>
              <w:pStyle w:val="Compact"/>
              <w:spacing w:after="40"/>
              <w:jc w:val="left"/>
            </w:pPr>
            <w:r>
              <w:rPr>
                <w:sz w:val="18"/>
              </w:rPr>
              <w:t xml:space="preserve">M4 item 2; consent reference carried on every PII payload (CF 13(4))</w:t>
            </w:r>
          </w:p>
        </w:tc>
      </w:tr>
      <w:tr>
        <w:tc>
          <w:tcPr>
            <w:tcW w:w="2542" w:type="dxa"/>
          </w:tcPr>
          <w:p>
            <w:pPr>
              <w:pStyle w:val="Compact"/>
              <w:spacing w:after="40"/>
              <w:jc w:val="left"/>
            </w:pPr>
            <w:r>
              <w:rPr>
                <w:sz w:val="18"/>
              </w:rPr>
              <w:t xml:space="preserve">KYC-CKYC (L)</w:t>
            </w:r>
          </w:p>
        </w:tc>
        <w:tc>
          <w:tcPr>
            <w:tcW w:w="3684" w:type="dxa"/>
          </w:tcPr>
          <w:p>
            <w:pPr>
              <w:pStyle w:val="Compact"/>
              <w:spacing w:after="40"/>
              <w:jc w:val="left"/>
            </w:pPr>
            <w:r>
              <w:rPr>
                <w:sz w:val="18"/>
              </w:rPr>
              <w:t xml:space="preserve">CKYC search and download; upload within 10 days</w:t>
            </w:r>
          </w:p>
        </w:tc>
        <w:tc>
          <w:tcPr>
            <w:tcW w:w="3412" w:type="dxa"/>
          </w:tcPr>
          <w:p>
            <w:pPr>
              <w:pStyle w:val="Compact"/>
              <w:spacing w:after="40"/>
              <w:jc w:val="left"/>
            </w:pPr>
            <w:r>
              <w:rPr>
                <w:sz w:val="18"/>
              </w:rPr>
              <w:t xml:space="preserve">KYC 63(1), 63(7); download needs consent (23(4))</w:t>
            </w:r>
          </w:p>
        </w:tc>
      </w:tr>
      <w:tr>
        <w:tc>
          <w:tcPr>
            <w:tcW w:w="2542" w:type="dxa"/>
          </w:tcPr>
          <w:p>
            <w:pPr>
              <w:pStyle w:val="Compact"/>
              <w:spacing w:after="40"/>
              <w:jc w:val="left"/>
            </w:pPr>
            <w:r>
              <w:rPr>
                <w:sz w:val="18"/>
              </w:rPr>
              <w:t xml:space="preserve">KYC-OKYC</w:t>
            </w:r>
          </w:p>
        </w:tc>
        <w:tc>
          <w:tcPr>
            <w:tcW w:w="3684" w:type="dxa"/>
          </w:tcPr>
          <w:p>
            <w:pPr>
              <w:pStyle w:val="Compact"/>
              <w:spacing w:after="40"/>
              <w:jc w:val="left"/>
            </w:pPr>
            <w:r>
              <w:rPr>
                <w:sz w:val="18"/>
              </w:rPr>
              <w:t xml:space="preserve">Aadhaar offline XML/QR or DigiLocker</w:t>
            </w:r>
          </w:p>
        </w:tc>
        <w:tc>
          <w:tcPr>
            <w:tcW w:w="3412" w:type="dxa"/>
          </w:tcPr>
          <w:p>
            <w:pPr>
              <w:pStyle w:val="Compact"/>
              <w:spacing w:after="40"/>
              <w:jc w:val="left"/>
            </w:pPr>
            <w:r>
              <w:rPr>
                <w:sz w:val="18"/>
              </w:rPr>
              <w:t xml:space="preserve">KYC 23 proviso (ii)–(iii)</w:t>
            </w:r>
          </w:p>
        </w:tc>
      </w:tr>
      <w:tr>
        <w:tc>
          <w:tcPr>
            <w:tcW w:w="2542" w:type="dxa"/>
          </w:tcPr>
          <w:p>
            <w:pPr>
              <w:pStyle w:val="Compact"/>
              <w:spacing w:after="40"/>
              <w:jc w:val="left"/>
            </w:pPr>
            <w:r>
              <w:rPr>
                <w:sz w:val="18"/>
              </w:rPr>
              <w:t xml:space="preserve">KYC-AUTH</w:t>
            </w:r>
          </w:p>
        </w:tc>
        <w:tc>
          <w:tcPr>
            <w:tcW w:w="3684" w:type="dxa"/>
          </w:tcPr>
          <w:p>
            <w:pPr>
              <w:pStyle w:val="Compact"/>
              <w:spacing w:after="40"/>
              <w:jc w:val="left"/>
            </w:pPr>
            <w:r>
              <w:rPr>
                <w:sz w:val="18"/>
              </w:rPr>
              <w:t xml:space="preserve">Aadhaar e-KYC authentication</w:t>
            </w:r>
          </w:p>
        </w:tc>
        <w:tc>
          <w:tcPr>
            <w:tcW w:w="3412" w:type="dxa"/>
          </w:tcPr>
          <w:p>
            <w:pPr>
              <w:pStyle w:val="Compact"/>
              <w:spacing w:after="40"/>
              <w:jc w:val="left"/>
            </w:pPr>
            <w:r>
              <w:rPr>
                <w:sz w:val="18"/>
              </w:rPr>
              <w:t xml:space="preserve">Only if the tenant is notified under s.11A PML Act (KYC 23 proviso (i))</w:t>
            </w:r>
          </w:p>
        </w:tc>
      </w:tr>
      <w:tr>
        <w:tc>
          <w:tcPr>
            <w:tcW w:w="2542" w:type="dxa"/>
          </w:tcPr>
          <w:p>
            <w:pPr>
              <w:pStyle w:val="Compact"/>
              <w:spacing w:after="40"/>
              <w:jc w:val="left"/>
            </w:pPr>
            <w:r>
              <w:rPr>
                <w:sz w:val="18"/>
              </w:rPr>
              <w:t xml:space="preserve">KYC-VCIP</w:t>
            </w:r>
          </w:p>
        </w:tc>
        <w:tc>
          <w:tcPr>
            <w:tcW w:w="3684" w:type="dxa"/>
          </w:tcPr>
          <w:p>
            <w:pPr>
              <w:pStyle w:val="Compact"/>
              <w:spacing w:after="40"/>
              <w:jc w:val="left"/>
            </w:pPr>
            <w:r>
              <w:rPr>
                <w:sz w:val="18"/>
              </w:rPr>
              <w:t xml:space="preserve">Video-based CIP</w:t>
            </w:r>
          </w:p>
        </w:tc>
        <w:tc>
          <w:tcPr>
            <w:tcW w:w="3412" w:type="dxa"/>
          </w:tcPr>
          <w:p>
            <w:pPr>
              <w:pStyle w:val="Compact"/>
              <w:spacing w:after="40"/>
              <w:jc w:val="left"/>
            </w:pPr>
            <w:r>
              <w:rPr>
                <w:sz w:val="18"/>
              </w:rPr>
              <w:t xml:space="preserve">KYC 26–27</w:t>
            </w:r>
          </w:p>
        </w:tc>
      </w:tr>
      <w:tr>
        <w:tc>
          <w:tcPr>
            <w:tcW w:w="2542" w:type="dxa"/>
          </w:tcPr>
          <w:p>
            <w:pPr>
              <w:pStyle w:val="Compact"/>
              <w:spacing w:after="40"/>
              <w:jc w:val="left"/>
            </w:pPr>
            <w:r>
              <w:rPr>
                <w:sz w:val="18"/>
              </w:rPr>
              <w:t xml:space="preserve">KYC-DKYC</w:t>
            </w:r>
          </w:p>
        </w:tc>
        <w:tc>
          <w:tcPr>
            <w:tcW w:w="3684" w:type="dxa"/>
          </w:tcPr>
          <w:p>
            <w:pPr>
              <w:pStyle w:val="Compact"/>
              <w:spacing w:after="40"/>
              <w:jc w:val="left"/>
            </w:pPr>
            <w:r>
              <w:rPr>
                <w:sz w:val="18"/>
              </w:rPr>
              <w:t xml:space="preserve">Digital KYC with live photo on the field app</w:t>
            </w:r>
          </w:p>
        </w:tc>
        <w:tc>
          <w:tcPr>
            <w:tcW w:w="3412" w:type="dxa"/>
          </w:tcPr>
          <w:p>
            <w:pPr>
              <w:pStyle w:val="Compact"/>
              <w:spacing w:after="40"/>
              <w:jc w:val="left"/>
            </w:pPr>
            <w:r>
              <w:rPr>
                <w:sz w:val="18"/>
              </w:rPr>
              <w:t xml:space="preserve">KYC 24</w:t>
            </w:r>
          </w:p>
        </w:tc>
      </w:tr>
      <w:tr>
        <w:tc>
          <w:tcPr>
            <w:tcW w:w="2542" w:type="dxa"/>
          </w:tcPr>
          <w:p>
            <w:pPr>
              <w:pStyle w:val="Compact"/>
              <w:spacing w:after="40"/>
              <w:jc w:val="left"/>
            </w:pPr>
            <w:r>
              <w:rPr>
                <w:sz w:val="18"/>
              </w:rPr>
              <w:t xml:space="preserve">KYC-OTP</w:t>
            </w:r>
          </w:p>
        </w:tc>
        <w:tc>
          <w:tcPr>
            <w:tcW w:w="3684" w:type="dxa"/>
          </w:tcPr>
          <w:p>
            <w:pPr>
              <w:pStyle w:val="Compact"/>
              <w:spacing w:after="40"/>
              <w:jc w:val="left"/>
            </w:pPr>
            <w:r>
              <w:rPr>
                <w:sz w:val="18"/>
              </w:rPr>
              <w:t xml:space="preserve">OTP e-KYC, non-face-to-face</w:t>
            </w:r>
          </w:p>
        </w:tc>
        <w:tc>
          <w:tcPr>
            <w:tcW w:w="3412" w:type="dxa"/>
          </w:tcPr>
          <w:p>
            <w:pPr>
              <w:pStyle w:val="Compact"/>
              <w:spacing w:after="40"/>
              <w:jc w:val="left"/>
            </w:pPr>
            <w:r>
              <w:rPr>
                <w:sz w:val="18"/>
              </w:rPr>
              <w:t xml:space="preserve">Term loans only, ≤ ₹60,000 a year, declaration required (KYC 25)</w:t>
            </w:r>
          </w:p>
        </w:tc>
      </w:tr>
      <w:tr>
        <w:tc>
          <w:tcPr>
            <w:tcW w:w="2542" w:type="dxa"/>
          </w:tcPr>
          <w:p>
            <w:pPr>
              <w:pStyle w:val="Compact"/>
              <w:spacing w:after="40"/>
              <w:jc w:val="left"/>
            </w:pPr>
            <w:r>
              <w:rPr>
                <w:sz w:val="18"/>
              </w:rPr>
              <w:t xml:space="preserve">KYC-LE (L)</w:t>
            </w:r>
          </w:p>
        </w:tc>
        <w:tc>
          <w:tcPr>
            <w:tcW w:w="3684" w:type="dxa"/>
          </w:tcPr>
          <w:p>
            <w:pPr>
              <w:pStyle w:val="Compact"/>
              <w:spacing w:after="40"/>
              <w:jc w:val="left"/>
            </w:pPr>
            <w:r>
              <w:rPr>
                <w:sz w:val="18"/>
              </w:rPr>
              <w:t xml:space="preserve">Legal-entity CDD and beneficial owners</w:t>
            </w:r>
          </w:p>
        </w:tc>
        <w:tc>
          <w:tcPr>
            <w:tcW w:w="3412" w:type="dxa"/>
          </w:tcPr>
          <w:p>
            <w:pPr>
              <w:pStyle w:val="Compact"/>
              <w:spacing w:after="40"/>
              <w:jc w:val="left"/>
            </w:pPr>
            <w:r>
              <w:rPr>
                <w:sz w:val="18"/>
              </w:rPr>
              <w:t xml:space="preserve">KYC Part 8A.21; LEI gate where applicable (CRM 19–20)</w:t>
            </w:r>
          </w:p>
        </w:tc>
      </w:tr>
      <w:tr>
        <w:tc>
          <w:tcPr>
            <w:tcW w:w="2542" w:type="dxa"/>
          </w:tcPr>
          <w:p>
            <w:pPr>
              <w:pStyle w:val="Compact"/>
              <w:spacing w:after="40"/>
              <w:jc w:val="left"/>
            </w:pPr>
            <w:r>
              <w:rPr>
                <w:sz w:val="18"/>
              </w:rPr>
              <w:t xml:space="preserve">SCREEN (L)</w:t>
            </w:r>
          </w:p>
        </w:tc>
        <w:tc>
          <w:tcPr>
            <w:tcW w:w="3684" w:type="dxa"/>
          </w:tcPr>
          <w:p>
            <w:pPr>
              <w:pStyle w:val="Compact"/>
              <w:spacing w:after="40"/>
              <w:jc w:val="left"/>
            </w:pPr>
            <w:r>
              <w:rPr>
                <w:sz w:val="18"/>
              </w:rPr>
              <w:t xml:space="preserve">Sanctions, PEP, LWD and large-defaulter, fraud debarment, related party</w:t>
            </w:r>
          </w:p>
        </w:tc>
        <w:tc>
          <w:tcPr>
            <w:tcW w:w="3412" w:type="dxa"/>
          </w:tcPr>
          <w:p>
            <w:pPr>
              <w:pStyle w:val="Compact"/>
              <w:spacing w:after="40"/>
              <w:jc w:val="left"/>
            </w:pPr>
            <w:r>
              <w:rPr>
                <w:sz w:val="18"/>
              </w:rPr>
              <w:t xml:space="preserve">KYC 54–57; WD 7, 19; FRM 35; CRM 13A–13Q</w:t>
            </w:r>
          </w:p>
        </w:tc>
      </w:tr>
      <w:tr>
        <w:tc>
          <w:tcPr>
            <w:tcW w:w="2542" w:type="dxa"/>
          </w:tcPr>
          <w:p>
            <w:pPr>
              <w:pStyle w:val="Compact"/>
              <w:spacing w:after="40"/>
              <w:jc w:val="left"/>
            </w:pPr>
            <w:r>
              <w:rPr>
                <w:sz w:val="18"/>
              </w:rPr>
              <w:t xml:space="preserve">BUREAU, AA, BSA</w:t>
            </w:r>
          </w:p>
        </w:tc>
        <w:tc>
          <w:tcPr>
            <w:tcW w:w="3684" w:type="dxa"/>
          </w:tcPr>
          <w:p>
            <w:pPr>
              <w:pStyle w:val="Compact"/>
              <w:spacing w:after="40"/>
              <w:jc w:val="left"/>
            </w:pPr>
            <w:r>
              <w:rPr>
                <w:sz w:val="18"/>
              </w:rPr>
              <w:t xml:space="preserve">Multi-bureau pull; Account Aggregator fetch; bank-statement analysis</w:t>
            </w:r>
          </w:p>
        </w:tc>
        <w:tc>
          <w:tcPr>
            <w:tcW w:w="3412" w:type="dxa"/>
          </w:tcPr>
          <w:p>
            <w:pPr>
              <w:pStyle w:val="Compact"/>
              <w:spacing w:after="40"/>
              <w:jc w:val="left"/>
            </w:pPr>
            <w:r>
              <w:rPr>
                <w:sz w:val="18"/>
              </w:rPr>
              <w:t xml:space="preserve">M4 item 3; AA Directions (Part 8A.10)</w:t>
            </w:r>
          </w:p>
        </w:tc>
      </w:tr>
      <w:tr>
        <w:tc>
          <w:tcPr>
            <w:tcW w:w="2542" w:type="dxa"/>
          </w:tcPr>
          <w:p>
            <w:pPr>
              <w:pStyle w:val="Compact"/>
              <w:spacing w:after="40"/>
              <w:jc w:val="left"/>
            </w:pPr>
            <w:r>
              <w:rPr>
                <w:sz w:val="18"/>
              </w:rPr>
              <w:t xml:space="preserve">GST, ITR, MCA, UDYAM, EPFO</w:t>
            </w:r>
          </w:p>
        </w:tc>
        <w:tc>
          <w:tcPr>
            <w:tcW w:w="3684" w:type="dxa"/>
          </w:tcPr>
          <w:p>
            <w:pPr>
              <w:pStyle w:val="Compact"/>
              <w:spacing w:after="40"/>
              <w:jc w:val="left"/>
            </w:pPr>
            <w:r>
              <w:rPr>
                <w:sz w:val="18"/>
              </w:rPr>
              <w:t xml:space="preserve">Business and income data</w:t>
            </w:r>
          </w:p>
        </w:tc>
        <w:tc>
          <w:tcPr>
            <w:tcW w:w="3412" w:type="dxa"/>
          </w:tcPr>
          <w:p>
            <w:pPr>
              <w:pStyle w:val="Compact"/>
              <w:spacing w:after="40"/>
              <w:jc w:val="left"/>
            </w:pPr>
            <w:r>
              <w:rPr>
                <w:sz w:val="18"/>
              </w:rPr>
              <w:t xml:space="preserve">Adapter per source</w:t>
            </w:r>
          </w:p>
        </w:tc>
      </w:tr>
      <w:tr>
        <w:tc>
          <w:tcPr>
            <w:tcW w:w="2542" w:type="dxa"/>
          </w:tcPr>
          <w:p>
            <w:pPr>
              <w:pStyle w:val="Compact"/>
              <w:spacing w:after="40"/>
              <w:jc w:val="left"/>
            </w:pPr>
            <w:r>
              <w:rPr>
                <w:sz w:val="18"/>
              </w:rPr>
              <w:t xml:space="preserve">VAHAN</w:t>
            </w:r>
          </w:p>
        </w:tc>
        <w:tc>
          <w:tcPr>
            <w:tcW w:w="3684" w:type="dxa"/>
          </w:tcPr>
          <w:p>
            <w:pPr>
              <w:pStyle w:val="Compact"/>
              <w:spacing w:after="40"/>
              <w:jc w:val="left"/>
            </w:pPr>
            <w:r>
              <w:rPr>
                <w:sz w:val="18"/>
              </w:rPr>
              <w:t xml:space="preserve">RC, hypothecation and ownership check</w:t>
            </w:r>
          </w:p>
        </w:tc>
        <w:tc>
          <w:tcPr>
            <w:tcW w:w="3412" w:type="dxa"/>
          </w:tcPr>
          <w:p>
            <w:pPr>
              <w:pStyle w:val="Compact"/>
              <w:spacing w:after="40"/>
              <w:jc w:val="left"/>
            </w:pPr>
            <w:r>
              <w:rPr>
                <w:sz w:val="18"/>
              </w:rPr>
              <w:t xml:space="preserve">[VERIFY: financier-side Vahan access per state]</w:t>
            </w:r>
          </w:p>
        </w:tc>
      </w:tr>
      <w:tr>
        <w:tc>
          <w:tcPr>
            <w:tcW w:w="2542" w:type="dxa"/>
          </w:tcPr>
          <w:p>
            <w:pPr>
              <w:pStyle w:val="Compact"/>
              <w:spacing w:after="40"/>
              <w:jc w:val="left"/>
            </w:pPr>
            <w:r>
              <w:rPr>
                <w:sz w:val="18"/>
              </w:rPr>
              <w:t xml:space="preserve">LAND</w:t>
            </w:r>
          </w:p>
        </w:tc>
        <w:tc>
          <w:tcPr>
            <w:tcW w:w="3684" w:type="dxa"/>
          </w:tcPr>
          <w:p>
            <w:pPr>
              <w:pStyle w:val="Compact"/>
              <w:spacing w:after="40"/>
              <w:jc w:val="left"/>
            </w:pPr>
            <w:r>
              <w:rPr>
                <w:sz w:val="18"/>
              </w:rPr>
              <w:t xml:space="preserve">Land and encumbrance records</w:t>
            </w:r>
          </w:p>
        </w:tc>
        <w:tc>
          <w:tcPr>
            <w:tcW w:w="3412" w:type="dxa"/>
          </w:tcPr>
          <w:p>
            <w:pPr>
              <w:pStyle w:val="Compact"/>
              <w:spacing w:after="40"/>
              <w:jc w:val="left"/>
            </w:pPr>
            <w:r>
              <w:rPr>
                <w:sz w:val="18"/>
              </w:rPr>
              <w:t xml:space="preserve">State-wise sources</w:t>
            </w:r>
          </w:p>
        </w:tc>
      </w:tr>
      <w:tr>
        <w:tc>
          <w:tcPr>
            <w:tcW w:w="2542" w:type="dxa"/>
          </w:tcPr>
          <w:p>
            <w:pPr>
              <w:pStyle w:val="Compact"/>
              <w:spacing w:after="40"/>
              <w:jc w:val="left"/>
            </w:pPr>
            <w:r>
              <w:rPr>
                <w:sz w:val="18"/>
              </w:rPr>
              <w:t xml:space="preserve">CERSAI-SEARCH</w:t>
            </w:r>
          </w:p>
        </w:tc>
        <w:tc>
          <w:tcPr>
            <w:tcW w:w="3684" w:type="dxa"/>
          </w:tcPr>
          <w:p>
            <w:pPr>
              <w:pStyle w:val="Compact"/>
              <w:spacing w:after="40"/>
              <w:jc w:val="left"/>
            </w:pPr>
            <w:r>
              <w:rPr>
                <w:sz w:val="18"/>
              </w:rPr>
              <w:t xml:space="preserve">Prior-charge search on the asset</w:t>
            </w:r>
          </w:p>
        </w:tc>
        <w:tc>
          <w:tcPr>
            <w:tcW w:w="3412" w:type="dxa"/>
          </w:tcPr>
          <w:p>
            <w:pPr>
              <w:pStyle w:val="Compact"/>
              <w:spacing w:after="40"/>
              <w:jc w:val="left"/>
            </w:pPr>
            <w:r>
              <w:rPr>
                <w:sz w:val="18"/>
              </w:rPr>
              <w:t xml:space="preserve">Before mortgage or hypothecation</w:t>
            </w:r>
          </w:p>
        </w:tc>
      </w:tr>
      <w:tr>
        <w:tc>
          <w:tcPr>
            <w:tcW w:w="2542" w:type="dxa"/>
          </w:tcPr>
          <w:p>
            <w:pPr>
              <w:pStyle w:val="Compact"/>
              <w:spacing w:after="40"/>
              <w:jc w:val="left"/>
            </w:pPr>
            <w:r>
              <w:rPr>
                <w:sz w:val="18"/>
              </w:rPr>
              <w:t xml:space="preserve">ECOURTS</w:t>
            </w:r>
          </w:p>
        </w:tc>
        <w:tc>
          <w:tcPr>
            <w:tcW w:w="3684" w:type="dxa"/>
          </w:tcPr>
          <w:p>
            <w:pPr>
              <w:pStyle w:val="Compact"/>
              <w:spacing w:after="40"/>
              <w:jc w:val="left"/>
            </w:pPr>
            <w:r>
              <w:rPr>
                <w:sz w:val="18"/>
              </w:rPr>
              <w:t xml:space="preserve">Litigation check on borrower and guarantors</w:t>
            </w:r>
          </w:p>
        </w:tc>
        <w:tc>
          <w:tcPr>
            <w:tcW w:w="3412" w:type="dxa"/>
          </w:tcPr>
          <w:p>
            <w:pPr>
              <w:pStyle w:val="Compact"/>
              <w:spacing w:after="40"/>
              <w:jc w:val="left"/>
            </w:pPr>
            <w:r>
              <w:rPr>
                <w:sz w:val="18"/>
              </w:rPr>
              <w:t xml:space="preserve">Court-data adapter (Part 9)</w:t>
            </w:r>
          </w:p>
        </w:tc>
      </w:tr>
      <w:tr>
        <w:tc>
          <w:tcPr>
            <w:tcW w:w="2542" w:type="dxa"/>
          </w:tcPr>
          <w:p>
            <w:pPr>
              <w:pStyle w:val="Compact"/>
              <w:spacing w:after="40"/>
              <w:jc w:val="left"/>
            </w:pPr>
            <w:r>
              <w:rPr>
                <w:sz w:val="18"/>
              </w:rPr>
              <w:t xml:space="preserve">FI, PD, RCU</w:t>
            </w:r>
          </w:p>
        </w:tc>
        <w:tc>
          <w:tcPr>
            <w:tcW w:w="3684" w:type="dxa"/>
          </w:tcPr>
          <w:p>
            <w:pPr>
              <w:pStyle w:val="Compact"/>
              <w:spacing w:after="40"/>
              <w:jc w:val="left"/>
            </w:pPr>
            <w:r>
              <w:rPr>
                <w:sz w:val="18"/>
              </w:rPr>
              <w:t xml:space="preserve">Field investigation, personal discussion, risk-containment sampling</w:t>
            </w:r>
          </w:p>
        </w:tc>
        <w:tc>
          <w:tcPr>
            <w:tcW w:w="3412" w:type="dxa"/>
          </w:tcPr>
          <w:p>
            <w:pPr>
              <w:pStyle w:val="Compact"/>
              <w:spacing w:after="40"/>
              <w:jc w:val="left"/>
            </w:pPr>
            <w:r>
              <w:rPr>
                <w:sz w:val="18"/>
              </w:rPr>
              <w:t xml:space="preserve">Vendor or staff, geo-tagged (M4 item 6)</w:t>
            </w:r>
          </w:p>
        </w:tc>
      </w:tr>
      <w:tr>
        <w:tc>
          <w:tcPr>
            <w:tcW w:w="2542" w:type="dxa"/>
          </w:tcPr>
          <w:p>
            <w:pPr>
              <w:pStyle w:val="Compact"/>
              <w:spacing w:after="40"/>
              <w:jc w:val="left"/>
            </w:pPr>
            <w:r>
              <w:rPr>
                <w:sz w:val="18"/>
              </w:rPr>
              <w:t xml:space="preserve">TECH</w:t>
            </w:r>
          </w:p>
        </w:tc>
        <w:tc>
          <w:tcPr>
            <w:tcW w:w="3684" w:type="dxa"/>
          </w:tcPr>
          <w:p>
            <w:pPr>
              <w:pStyle w:val="Compact"/>
              <w:spacing w:after="40"/>
              <w:jc w:val="left"/>
            </w:pPr>
            <w:r>
              <w:rPr>
                <w:sz w:val="18"/>
              </w:rPr>
              <w:t xml:space="preserve">Technical valuation and site inspection</w:t>
            </w:r>
          </w:p>
        </w:tc>
        <w:tc>
          <w:tcPr>
            <w:tcW w:w="3412" w:type="dxa"/>
          </w:tcPr>
          <w:p>
            <w:pPr>
              <w:pStyle w:val="Compact"/>
              <w:spacing w:after="40"/>
              <w:jc w:val="left"/>
            </w:pPr>
            <w:r>
              <w:rPr>
                <w:sz w:val="18"/>
              </w:rPr>
              <w:t xml:space="preserve">Two valuers above the tenant threshold</w:t>
            </w:r>
          </w:p>
        </w:tc>
      </w:tr>
      <w:tr>
        <w:tc>
          <w:tcPr>
            <w:tcW w:w="2542" w:type="dxa"/>
          </w:tcPr>
          <w:p>
            <w:pPr>
              <w:pStyle w:val="Compact"/>
              <w:spacing w:after="40"/>
              <w:jc w:val="left"/>
            </w:pPr>
            <w:r>
              <w:rPr>
                <w:sz w:val="18"/>
              </w:rPr>
              <w:t xml:space="preserve">LEGAL</w:t>
            </w:r>
          </w:p>
        </w:tc>
        <w:tc>
          <w:tcPr>
            <w:tcW w:w="3684" w:type="dxa"/>
          </w:tcPr>
          <w:p>
            <w:pPr>
              <w:pStyle w:val="Compact"/>
              <w:spacing w:after="40"/>
              <w:jc w:val="left"/>
            </w:pPr>
            <w:r>
              <w:rPr>
                <w:sz w:val="18"/>
              </w:rPr>
              <w:t xml:space="preserve">Title search, vetting and legal scrutiny report</w:t>
            </w:r>
          </w:p>
        </w:tc>
        <w:tc>
          <w:tcPr>
            <w:tcW w:w="3412" w:type="dxa"/>
          </w:tcPr>
          <w:p>
            <w:pPr>
              <w:pStyle w:val="Compact"/>
              <w:spacing w:after="40"/>
              <w:jc w:val="left"/>
            </w:pPr>
            <w:r>
              <w:rPr>
                <w:sz w:val="18"/>
              </w:rPr>
              <w:t xml:space="preserve">Legal audit of title for facilities ≥ ₹1 crore until repaid (FRM 53)</w:t>
            </w:r>
          </w:p>
        </w:tc>
      </w:tr>
      <w:tr>
        <w:tc>
          <w:tcPr>
            <w:tcW w:w="2542" w:type="dxa"/>
          </w:tcPr>
          <w:p>
            <w:pPr>
              <w:pStyle w:val="Compact"/>
              <w:spacing w:after="40"/>
              <w:jc w:val="left"/>
            </w:pPr>
            <w:r>
              <w:rPr>
                <w:sz w:val="18"/>
              </w:rPr>
              <w:t xml:space="preserve">ASSAY</w:t>
            </w:r>
          </w:p>
        </w:tc>
        <w:tc>
          <w:tcPr>
            <w:tcW w:w="3684" w:type="dxa"/>
          </w:tcPr>
          <w:p>
            <w:pPr>
              <w:pStyle w:val="Compact"/>
              <w:spacing w:after="40"/>
              <w:jc w:val="left"/>
            </w:pPr>
            <w:r>
              <w:rPr>
                <w:sz w:val="18"/>
              </w:rPr>
              <w:t xml:space="preserve">Gold or silver assay with borrower present</w:t>
            </w:r>
          </w:p>
        </w:tc>
        <w:tc>
          <w:tcPr>
            <w:tcW w:w="3412" w:type="dxa"/>
          </w:tcPr>
          <w:p>
            <w:pPr>
              <w:pStyle w:val="Compact"/>
              <w:spacing w:after="40"/>
              <w:jc w:val="left"/>
            </w:pPr>
            <w:r>
              <w:rPr>
                <w:sz w:val="18"/>
              </w:rPr>
              <w:t xml:space="preserve">RBC 46, 50; CF 40–42</w:t>
            </w:r>
          </w:p>
        </w:tc>
      </w:tr>
      <w:tr>
        <w:tc>
          <w:tcPr>
            <w:tcW w:w="2542" w:type="dxa"/>
          </w:tcPr>
          <w:p>
            <w:pPr>
              <w:pStyle w:val="Compact"/>
              <w:spacing w:after="40"/>
              <w:jc w:val="left"/>
            </w:pPr>
            <w:r>
              <w:rPr>
                <w:sz w:val="18"/>
              </w:rPr>
              <w:t xml:space="preserve">HOLDINGS</w:t>
            </w:r>
          </w:p>
        </w:tc>
        <w:tc>
          <w:tcPr>
            <w:tcW w:w="3684" w:type="dxa"/>
          </w:tcPr>
          <w:p>
            <w:pPr>
              <w:pStyle w:val="Compact"/>
              <w:spacing w:after="40"/>
              <w:jc w:val="left"/>
            </w:pPr>
            <w:r>
              <w:rPr>
                <w:sz w:val="18"/>
              </w:rPr>
              <w:t xml:space="preserve">Securities or MF holdings fetch with consent</w:t>
            </w:r>
          </w:p>
        </w:tc>
        <w:tc>
          <w:tcPr>
            <w:tcW w:w="3412" w:type="dxa"/>
          </w:tcPr>
          <w:p>
            <w:pPr>
              <w:pStyle w:val="Compact"/>
              <w:spacing w:after="40"/>
              <w:jc w:val="left"/>
            </w:pPr>
            <w:r>
              <w:rPr>
                <w:sz w:val="18"/>
              </w:rPr>
              <w:t xml:space="preserve">Part 6.4</w:t>
            </w:r>
          </w:p>
        </w:tc>
      </w:tr>
      <w:tr>
        <w:tc>
          <w:tcPr>
            <w:tcW w:w="2542" w:type="dxa"/>
          </w:tcPr>
          <w:p>
            <w:pPr>
              <w:pStyle w:val="Compact"/>
              <w:spacing w:after="40"/>
              <w:jc w:val="left"/>
            </w:pPr>
            <w:r>
              <w:rPr>
                <w:sz w:val="18"/>
              </w:rPr>
              <w:t xml:space="preserve">BRE, CAM, DEV</w:t>
            </w:r>
          </w:p>
        </w:tc>
        <w:tc>
          <w:tcPr>
            <w:tcW w:w="3684" w:type="dxa"/>
          </w:tcPr>
          <w:p>
            <w:pPr>
              <w:pStyle w:val="Compact"/>
              <w:spacing w:after="40"/>
              <w:jc w:val="left"/>
            </w:pPr>
            <w:r>
              <w:rPr>
                <w:sz w:val="18"/>
              </w:rPr>
              <w:t xml:space="preserve">Rules, credit memo, deviations and DoA</w:t>
            </w:r>
          </w:p>
        </w:tc>
        <w:tc>
          <w:tcPr>
            <w:tcW w:w="3412" w:type="dxa"/>
          </w:tcPr>
          <w:p>
            <w:pPr>
              <w:pStyle w:val="Compact"/>
              <w:spacing w:after="40"/>
              <w:jc w:val="left"/>
            </w:pPr>
            <w:r>
              <w:rPr>
                <w:sz w:val="18"/>
              </w:rPr>
              <w:t xml:space="preserve">M4 items 4, 7, 8</w:t>
            </w:r>
          </w:p>
        </w:tc>
      </w:tr>
      <w:tr>
        <w:tc>
          <w:tcPr>
            <w:tcW w:w="2542" w:type="dxa"/>
          </w:tcPr>
          <w:p>
            <w:pPr>
              <w:pStyle w:val="Compact"/>
              <w:spacing w:after="40"/>
              <w:jc w:val="left"/>
            </w:pPr>
            <w:r>
              <w:rPr>
                <w:sz w:val="18"/>
              </w:rPr>
              <w:t xml:space="preserve">KFS (L)</w:t>
            </w:r>
          </w:p>
        </w:tc>
        <w:tc>
          <w:tcPr>
            <w:tcW w:w="3684" w:type="dxa"/>
          </w:tcPr>
          <w:p>
            <w:pPr>
              <w:pStyle w:val="Compact"/>
              <w:spacing w:after="40"/>
              <w:jc w:val="left"/>
            </w:pPr>
            <w:r>
              <w:rPr>
                <w:sz w:val="18"/>
              </w:rPr>
              <w:t xml:space="preserve">KFS with APR, validity period, proposal number</w:t>
            </w:r>
          </w:p>
        </w:tc>
        <w:tc>
          <w:tcPr>
            <w:tcW w:w="3412" w:type="dxa"/>
          </w:tcPr>
          <w:p>
            <w:pPr>
              <w:pStyle w:val="Compact"/>
              <w:spacing w:after="40"/>
              <w:jc w:val="left"/>
            </w:pPr>
            <w:r>
              <w:rPr>
                <w:sz w:val="18"/>
              </w:rPr>
              <w:t xml:space="preserve">RBC 29; Annex I</w:t>
            </w:r>
          </w:p>
        </w:tc>
      </w:tr>
      <w:tr>
        <w:tc>
          <w:tcPr>
            <w:tcW w:w="2542" w:type="dxa"/>
          </w:tcPr>
          <w:p>
            <w:pPr>
              <w:pStyle w:val="Compact"/>
              <w:spacing w:after="40"/>
              <w:jc w:val="left"/>
            </w:pPr>
            <w:r>
              <w:rPr>
                <w:sz w:val="18"/>
              </w:rPr>
              <w:t xml:space="preserve">SANCTION</w:t>
            </w:r>
          </w:p>
        </w:tc>
        <w:tc>
          <w:tcPr>
            <w:tcW w:w="3684" w:type="dxa"/>
          </w:tcPr>
          <w:p>
            <w:pPr>
              <w:pStyle w:val="Compact"/>
              <w:spacing w:after="40"/>
              <w:jc w:val="left"/>
            </w:pPr>
            <w:r>
              <w:rPr>
                <w:sz w:val="18"/>
              </w:rPr>
              <w:t xml:space="preserve">Sanction letter and MITC</w:t>
            </w:r>
          </w:p>
        </w:tc>
        <w:tc>
          <w:tcPr>
            <w:tcW w:w="3412" w:type="dxa"/>
          </w:tcPr>
          <w:p>
            <w:pPr>
              <w:pStyle w:val="Compact"/>
              <w:spacing w:after="40"/>
              <w:jc w:val="left"/>
            </w:pPr>
            <w:r>
              <w:rPr>
                <w:sz w:val="18"/>
              </w:rPr>
              <w:t xml:space="preserve">M4 item 9</w:t>
            </w:r>
          </w:p>
        </w:tc>
      </w:tr>
      <w:tr>
        <w:tc>
          <w:tcPr>
            <w:tcW w:w="2542" w:type="dxa"/>
          </w:tcPr>
          <w:p>
            <w:pPr>
              <w:pStyle w:val="Compact"/>
              <w:spacing w:after="40"/>
              <w:jc w:val="left"/>
            </w:pPr>
            <w:r>
              <w:rPr>
                <w:sz w:val="18"/>
              </w:rPr>
              <w:t xml:space="preserve">ESIGN, ESTAMP, DDE</w:t>
            </w:r>
          </w:p>
        </w:tc>
        <w:tc>
          <w:tcPr>
            <w:tcW w:w="3684" w:type="dxa"/>
          </w:tcPr>
          <w:p>
            <w:pPr>
              <w:pStyle w:val="Compact"/>
              <w:spacing w:after="40"/>
              <w:jc w:val="left"/>
            </w:pPr>
            <w:r>
              <w:rPr>
                <w:sz w:val="18"/>
              </w:rPr>
              <w:t xml:space="preserve">Electronic execution with evidence</w:t>
            </w:r>
          </w:p>
        </w:tc>
        <w:tc>
          <w:tcPr>
            <w:tcW w:w="3412" w:type="dxa"/>
          </w:tcPr>
          <w:p>
            <w:pPr>
              <w:pStyle w:val="Compact"/>
              <w:spacing w:after="40"/>
              <w:jc w:val="left"/>
            </w:pPr>
            <w:r>
              <w:rPr>
                <w:sz w:val="18"/>
              </w:rPr>
              <w:t xml:space="preserve">M4 item 10</w:t>
            </w:r>
          </w:p>
        </w:tc>
      </w:tr>
      <w:tr>
        <w:tc>
          <w:tcPr>
            <w:tcW w:w="2542" w:type="dxa"/>
          </w:tcPr>
          <w:p>
            <w:pPr>
              <w:pStyle w:val="Compact"/>
              <w:spacing w:after="40"/>
              <w:jc w:val="left"/>
            </w:pPr>
            <w:r>
              <w:rPr>
                <w:sz w:val="18"/>
              </w:rPr>
              <w:t xml:space="preserve">PHYS (L)</w:t>
            </w:r>
          </w:p>
        </w:tc>
        <w:tc>
          <w:tcPr>
            <w:tcW w:w="3684" w:type="dxa"/>
          </w:tcPr>
          <w:p>
            <w:pPr>
              <w:pStyle w:val="Compact"/>
              <w:spacing w:after="40"/>
              <w:jc w:val="left"/>
            </w:pPr>
            <w:r>
              <w:rPr>
                <w:sz w:val="18"/>
              </w:rPr>
              <w:t xml:space="preserve">Physical execution for First Schedule instruments</w:t>
            </w:r>
          </w:p>
        </w:tc>
        <w:tc>
          <w:tcPr>
            <w:tcW w:w="3412" w:type="dxa"/>
          </w:tcPr>
          <w:p>
            <w:pPr>
              <w:pStyle w:val="Compact"/>
              <w:spacing w:after="40"/>
              <w:jc w:val="left"/>
            </w:pPr>
            <w:r>
              <w:rPr>
                <w:sz w:val="18"/>
              </w:rPr>
              <w:t xml:space="preserve">DP notes, powers of attorney, conveyances (IT Act First Schedule)</w:t>
            </w:r>
          </w:p>
        </w:tc>
      </w:tr>
      <w:tr>
        <w:tc>
          <w:tcPr>
            <w:tcW w:w="2542" w:type="dxa"/>
          </w:tcPr>
          <w:p>
            <w:pPr>
              <w:pStyle w:val="Compact"/>
              <w:spacing w:after="40"/>
              <w:jc w:val="left"/>
            </w:pPr>
            <w:r>
              <w:rPr>
                <w:sz w:val="18"/>
              </w:rPr>
              <w:t xml:space="preserve">MANDATE</w:t>
            </w:r>
          </w:p>
        </w:tc>
        <w:tc>
          <w:tcPr>
            <w:tcW w:w="3684" w:type="dxa"/>
          </w:tcPr>
          <w:p>
            <w:pPr>
              <w:pStyle w:val="Compact"/>
              <w:spacing w:after="40"/>
              <w:jc w:val="left"/>
            </w:pPr>
            <w:r>
              <w:rPr>
                <w:sz w:val="18"/>
              </w:rPr>
              <w:t xml:space="preserve">eNACH or UPI AutoPay registration</w:t>
            </w:r>
          </w:p>
        </w:tc>
        <w:tc>
          <w:tcPr>
            <w:tcW w:w="3412" w:type="dxa"/>
          </w:tcPr>
          <w:p>
            <w:pPr>
              <w:pStyle w:val="Compact"/>
              <w:spacing w:after="40"/>
              <w:jc w:val="left"/>
            </w:pPr>
            <w:r>
              <w:rPr>
                <w:sz w:val="18"/>
              </w:rPr>
              <w:t xml:space="preserve">M7</w:t>
            </w:r>
          </w:p>
        </w:tc>
      </w:tr>
      <w:tr>
        <w:tc>
          <w:tcPr>
            <w:tcW w:w="2542" w:type="dxa"/>
          </w:tcPr>
          <w:p>
            <w:pPr>
              <w:pStyle w:val="Compact"/>
              <w:spacing w:after="40"/>
              <w:jc w:val="left"/>
            </w:pPr>
            <w:r>
              <w:rPr>
                <w:sz w:val="18"/>
              </w:rPr>
              <w:t xml:space="preserve">PLEDGE-DEP, LIEN-RTA</w:t>
            </w:r>
          </w:p>
        </w:tc>
        <w:tc>
          <w:tcPr>
            <w:tcW w:w="3684" w:type="dxa"/>
          </w:tcPr>
          <w:p>
            <w:pPr>
              <w:pStyle w:val="Compact"/>
              <w:spacing w:after="40"/>
              <w:jc w:val="left"/>
            </w:pPr>
            <w:r>
              <w:rPr>
                <w:sz w:val="18"/>
              </w:rPr>
              <w:t xml:space="preserve">Depository pledge or MF lien</w:t>
            </w:r>
          </w:p>
        </w:tc>
        <w:tc>
          <w:tcPr>
            <w:tcW w:w="3412" w:type="dxa"/>
          </w:tcPr>
          <w:p>
            <w:pPr>
              <w:pStyle w:val="Compact"/>
              <w:spacing w:after="40"/>
              <w:jc w:val="left"/>
            </w:pPr>
            <w:r>
              <w:rPr>
                <w:sz w:val="18"/>
              </w:rPr>
              <w:t xml:space="preserve">Part 6.4</w:t>
            </w:r>
          </w:p>
        </w:tc>
      </w:tr>
      <w:tr>
        <w:tc>
          <w:tcPr>
            <w:tcW w:w="2542" w:type="dxa"/>
          </w:tcPr>
          <w:p>
            <w:pPr>
              <w:pStyle w:val="Compact"/>
              <w:spacing w:after="40"/>
              <w:jc w:val="left"/>
            </w:pPr>
            <w:r>
              <w:rPr>
                <w:sz w:val="18"/>
              </w:rPr>
              <w:t xml:space="preserve">MORTGAGE</w:t>
            </w:r>
          </w:p>
        </w:tc>
        <w:tc>
          <w:tcPr>
            <w:tcW w:w="3684" w:type="dxa"/>
          </w:tcPr>
          <w:p>
            <w:pPr>
              <w:pStyle w:val="Compact"/>
              <w:spacing w:after="40"/>
              <w:jc w:val="left"/>
            </w:pPr>
            <w:r>
              <w:rPr>
                <w:sz w:val="18"/>
              </w:rPr>
              <w:t xml:space="preserve">Equitable (deposit of title deeds or MODT) or registered mortgage</w:t>
            </w:r>
          </w:p>
        </w:tc>
        <w:tc>
          <w:tcPr>
            <w:tcW w:w="3412" w:type="dxa"/>
          </w:tcPr>
          <w:p>
            <w:pPr>
              <w:pStyle w:val="Compact"/>
              <w:spacing w:after="40"/>
              <w:jc w:val="left"/>
            </w:pPr>
            <w:r>
              <w:rPr>
                <w:sz w:val="18"/>
              </w:rPr>
              <w:t xml:space="preserve">State registration law</w:t>
            </w:r>
          </w:p>
        </w:tc>
      </w:tr>
      <w:tr>
        <w:tc>
          <w:tcPr>
            <w:tcW w:w="2542" w:type="dxa"/>
          </w:tcPr>
          <w:p>
            <w:pPr>
              <w:pStyle w:val="Compact"/>
              <w:spacing w:after="40"/>
              <w:jc w:val="left"/>
            </w:pPr>
            <w:r>
              <w:rPr>
                <w:sz w:val="18"/>
              </w:rPr>
              <w:t xml:space="preserve">HYPO-RTO</w:t>
            </w:r>
          </w:p>
        </w:tc>
        <w:tc>
          <w:tcPr>
            <w:tcW w:w="3684" w:type="dxa"/>
          </w:tcPr>
          <w:p>
            <w:pPr>
              <w:pStyle w:val="Compact"/>
              <w:spacing w:after="40"/>
              <w:jc w:val="left"/>
            </w:pPr>
            <w:r>
              <w:rPr>
                <w:sz w:val="18"/>
              </w:rPr>
              <w:t xml:space="preserve">Hypothecation endorsement on the RC</w:t>
            </w:r>
          </w:p>
        </w:tc>
        <w:tc>
          <w:tcPr>
            <w:tcW w:w="3412" w:type="dxa"/>
          </w:tcPr>
          <w:p>
            <w:pPr>
              <w:pStyle w:val="Compact"/>
              <w:spacing w:after="40"/>
              <w:jc w:val="left"/>
            </w:pPr>
            <w:r>
              <w:rPr>
                <w:sz w:val="18"/>
              </w:rPr>
              <w:t xml:space="preserve">Form 34 at registration</w:t>
            </w:r>
          </w:p>
        </w:tc>
      </w:tr>
      <w:tr>
        <w:tc>
          <w:tcPr>
            <w:tcW w:w="2542" w:type="dxa"/>
          </w:tcPr>
          <w:p>
            <w:pPr>
              <w:pStyle w:val="Compact"/>
              <w:spacing w:after="40"/>
              <w:jc w:val="left"/>
            </w:pPr>
            <w:r>
              <w:rPr>
                <w:sz w:val="18"/>
              </w:rPr>
              <w:t xml:space="preserve">HYPO-DEED</w:t>
            </w:r>
          </w:p>
        </w:tc>
        <w:tc>
          <w:tcPr>
            <w:tcW w:w="3684" w:type="dxa"/>
          </w:tcPr>
          <w:p>
            <w:pPr>
              <w:pStyle w:val="Compact"/>
              <w:spacing w:after="40"/>
              <w:jc w:val="left"/>
            </w:pPr>
            <w:r>
              <w:rPr>
                <w:sz w:val="18"/>
              </w:rPr>
              <w:t xml:space="preserve">Hypothecation of stock, book debts, plant and machinery</w:t>
            </w:r>
          </w:p>
        </w:tc>
        <w:tc>
          <w:tcPr>
            <w:tcW w:w="3412" w:type="dxa"/>
          </w:tcPr>
          <w:p>
            <w:pPr>
              <w:pStyle w:val="Compact"/>
              <w:spacing w:after="40"/>
              <w:jc w:val="left"/>
            </w:pPr>
            <w:r>
              <w:rPr>
                <w:sz w:val="18"/>
              </w:rPr>
              <w:t xml:space="preserve">Deed plus CERSAI</w:t>
            </w:r>
          </w:p>
        </w:tc>
      </w:tr>
      <w:tr>
        <w:tc>
          <w:tcPr>
            <w:tcW w:w="2542" w:type="dxa"/>
          </w:tcPr>
          <w:p>
            <w:pPr>
              <w:pStyle w:val="Compact"/>
              <w:spacing w:after="40"/>
              <w:jc w:val="left"/>
            </w:pPr>
            <w:r>
              <w:rPr>
                <w:sz w:val="18"/>
              </w:rPr>
              <w:t xml:space="preserve">CERSAI-REG (L where SARFAESI is elected)</w:t>
            </w:r>
          </w:p>
        </w:tc>
        <w:tc>
          <w:tcPr>
            <w:tcW w:w="3684" w:type="dxa"/>
          </w:tcPr>
          <w:p>
            <w:pPr>
              <w:pStyle w:val="Compact"/>
              <w:spacing w:after="40"/>
              <w:jc w:val="left"/>
            </w:pPr>
            <w:r>
              <w:rPr>
                <w:sz w:val="18"/>
              </w:rPr>
              <w:t xml:space="preserve">Create, modify and satisfy</w:t>
            </w:r>
          </w:p>
        </w:tc>
        <w:tc>
          <w:tcPr>
            <w:tcW w:w="3412" w:type="dxa"/>
          </w:tcPr>
          <w:p>
            <w:pPr>
              <w:pStyle w:val="Compact"/>
              <w:spacing w:after="40"/>
              <w:jc w:val="left"/>
            </w:pPr>
            <w:r>
              <w:rPr>
                <w:sz w:val="18"/>
              </w:rPr>
              <w:t xml:space="preserve">CRM 27–28; no SARFAESI enforcement without registration (SARFAESI s.26D)</w:t>
            </w:r>
          </w:p>
        </w:tc>
      </w:tr>
      <w:tr>
        <w:tc>
          <w:tcPr>
            <w:tcW w:w="2542" w:type="dxa"/>
          </w:tcPr>
          <w:p>
            <w:pPr>
              <w:pStyle w:val="Compact"/>
              <w:spacing w:after="40"/>
              <w:jc w:val="left"/>
            </w:pPr>
            <w:r>
              <w:rPr>
                <w:sz w:val="18"/>
              </w:rPr>
              <w:t xml:space="preserve">INSURE, CUSTODY</w:t>
            </w:r>
          </w:p>
        </w:tc>
        <w:tc>
          <w:tcPr>
            <w:tcW w:w="3684" w:type="dxa"/>
          </w:tcPr>
          <w:p>
            <w:pPr>
              <w:pStyle w:val="Compact"/>
              <w:spacing w:after="40"/>
              <w:jc w:val="left"/>
            </w:pPr>
            <w:r>
              <w:rPr>
                <w:sz w:val="18"/>
              </w:rPr>
              <w:t xml:space="preserve">Insurance with lender endorsement; vault or title-document custody with dual control</w:t>
            </w:r>
          </w:p>
        </w:tc>
        <w:tc>
          <w:tcPr>
            <w:tcW w:w="3412" w:type="dxa"/>
          </w:tcPr>
          <w:p>
            <w:pPr>
              <w:pStyle w:val="Compact"/>
              <w:spacing w:after="40"/>
              <w:jc w:val="left"/>
            </w:pPr>
            <w:r>
              <w:rPr>
                <w:sz w:val="18"/>
              </w:rPr>
              <w:t xml:space="preserve">M5</w:t>
            </w:r>
          </w:p>
        </w:tc>
      </w:tr>
      <w:tr>
        <w:tc>
          <w:tcPr>
            <w:tcW w:w="2542" w:type="dxa"/>
          </w:tcPr>
          <w:p>
            <w:pPr>
              <w:pStyle w:val="Compact"/>
              <w:spacing w:after="40"/>
              <w:jc w:val="left"/>
            </w:pPr>
            <w:r>
              <w:rPr>
                <w:sz w:val="18"/>
              </w:rPr>
              <w:t xml:space="preserve">PDD</w:t>
            </w:r>
          </w:p>
        </w:tc>
        <w:tc>
          <w:tcPr>
            <w:tcW w:w="3684" w:type="dxa"/>
          </w:tcPr>
          <w:p>
            <w:pPr>
              <w:pStyle w:val="Compact"/>
              <w:spacing w:after="40"/>
              <w:jc w:val="left"/>
            </w:pPr>
            <w:r>
              <w:rPr>
                <w:sz w:val="18"/>
              </w:rPr>
              <w:t xml:space="preserve">OTC and PDD tracking</w:t>
            </w:r>
          </w:p>
        </w:tc>
        <w:tc>
          <w:tcPr>
            <w:tcW w:w="3412" w:type="dxa"/>
          </w:tcPr>
          <w:p>
            <w:pPr>
              <w:pStyle w:val="Compact"/>
              <w:spacing w:after="40"/>
              <w:jc w:val="left"/>
            </w:pPr>
            <w:r>
              <w:rPr>
                <w:sz w:val="18"/>
              </w:rPr>
              <w:t xml:space="preserve">M4 item 10</w:t>
            </w:r>
          </w:p>
        </w:tc>
      </w:tr>
      <w:tr>
        <w:tc>
          <w:tcPr>
            <w:tcW w:w="2542" w:type="dxa"/>
          </w:tcPr>
          <w:p>
            <w:pPr>
              <w:pStyle w:val="Compact"/>
              <w:spacing w:after="40"/>
              <w:jc w:val="left"/>
            </w:pPr>
            <w:r>
              <w:rPr>
                <w:sz w:val="18"/>
              </w:rPr>
              <w:t xml:space="preserve">DISB-B (L)</w:t>
            </w:r>
          </w:p>
        </w:tc>
        <w:tc>
          <w:tcPr>
            <w:tcW w:w="3684" w:type="dxa"/>
          </w:tcPr>
          <w:p>
            <w:pPr>
              <w:pStyle w:val="Compact"/>
              <w:spacing w:after="40"/>
              <w:jc w:val="left"/>
            </w:pPr>
            <w:r>
              <w:rPr>
                <w:sz w:val="18"/>
              </w:rPr>
              <w:t xml:space="preserve">Disbursement to the borrower’s bank account</w:t>
            </w:r>
          </w:p>
        </w:tc>
        <w:tc>
          <w:tcPr>
            <w:tcW w:w="3412" w:type="dxa"/>
          </w:tcPr>
          <w:p>
            <w:pPr>
              <w:pStyle w:val="Compact"/>
              <w:spacing w:after="40"/>
              <w:jc w:val="left"/>
            </w:pPr>
            <w:r>
              <w:rPr>
                <w:sz w:val="18"/>
              </w:rPr>
              <w:t xml:space="preserve">CF 10(1)</w:t>
            </w:r>
          </w:p>
        </w:tc>
      </w:tr>
      <w:tr>
        <w:tc>
          <w:tcPr>
            <w:tcW w:w="2542" w:type="dxa"/>
          </w:tcPr>
          <w:p>
            <w:pPr>
              <w:pStyle w:val="Compact"/>
              <w:spacing w:after="40"/>
              <w:jc w:val="left"/>
            </w:pPr>
            <w:r>
              <w:rPr>
                <w:sz w:val="18"/>
              </w:rPr>
              <w:t xml:space="preserve">DISB-E (L)</w:t>
            </w:r>
          </w:p>
        </w:tc>
        <w:tc>
          <w:tcPr>
            <w:tcW w:w="3684" w:type="dxa"/>
          </w:tcPr>
          <w:p>
            <w:pPr>
              <w:pStyle w:val="Compact"/>
              <w:spacing w:after="40"/>
              <w:jc w:val="left"/>
            </w:pPr>
            <w:r>
              <w:rPr>
                <w:sz w:val="18"/>
              </w:rPr>
              <w:t xml:space="preserve">Disbursement to the end-beneficiary’s bank account for a specific end use</w:t>
            </w:r>
          </w:p>
        </w:tc>
        <w:tc>
          <w:tcPr>
            <w:tcW w:w="3412" w:type="dxa"/>
          </w:tcPr>
          <w:p>
            <w:pPr>
              <w:pStyle w:val="Compact"/>
              <w:spacing w:after="40"/>
              <w:jc w:val="left"/>
            </w:pPr>
            <w:r>
              <w:rPr>
                <w:sz w:val="18"/>
              </w:rPr>
              <w:t xml:space="preserve">CF 10(1); gold CF 46–47</w:t>
            </w:r>
          </w:p>
        </w:tc>
      </w:tr>
      <w:tr>
        <w:tc>
          <w:tcPr>
            <w:tcW w:w="2542" w:type="dxa"/>
          </w:tcPr>
          <w:p>
            <w:pPr>
              <w:pStyle w:val="Compact"/>
              <w:spacing w:after="40"/>
              <w:jc w:val="left"/>
            </w:pPr>
            <w:r>
              <w:rPr>
                <w:sz w:val="18"/>
              </w:rPr>
              <w:t xml:space="preserve">DISB-ESC (L)</w:t>
            </w:r>
          </w:p>
        </w:tc>
        <w:tc>
          <w:tcPr>
            <w:tcW w:w="3684" w:type="dxa"/>
          </w:tcPr>
          <w:p>
            <w:pPr>
              <w:pStyle w:val="Compact"/>
              <w:spacing w:after="40"/>
              <w:jc w:val="left"/>
            </w:pPr>
            <w:r>
              <w:rPr>
                <w:sz w:val="18"/>
              </w:rPr>
              <w:t xml:space="preserve">Co-lending disbursement through the CLA escrow</w:t>
            </w:r>
          </w:p>
        </w:tc>
        <w:tc>
          <w:tcPr>
            <w:tcW w:w="3412" w:type="dxa"/>
          </w:tcPr>
          <w:p>
            <w:pPr>
              <w:pStyle w:val="Compact"/>
              <w:spacing w:after="40"/>
              <w:jc w:val="left"/>
            </w:pPr>
            <w:r>
              <w:rPr>
                <w:sz w:val="18"/>
              </w:rPr>
              <w:t xml:space="preserve">TDCR 117; CF 10(1) Note</w:t>
            </w:r>
          </w:p>
        </w:tc>
      </w:tr>
      <w:tr>
        <w:tc>
          <w:tcPr>
            <w:tcW w:w="2542" w:type="dxa"/>
          </w:tcPr>
          <w:p>
            <w:pPr>
              <w:pStyle w:val="Compact"/>
              <w:spacing w:after="40"/>
              <w:jc w:val="left"/>
            </w:pPr>
            <w:r>
              <w:rPr>
                <w:sz w:val="18"/>
              </w:rPr>
              <w:t xml:space="preserve">BOOK (L)</w:t>
            </w:r>
          </w:p>
        </w:tc>
        <w:tc>
          <w:tcPr>
            <w:tcW w:w="3684" w:type="dxa"/>
          </w:tcPr>
          <w:p>
            <w:pPr>
              <w:pStyle w:val="Compact"/>
              <w:spacing w:after="40"/>
              <w:jc w:val="left"/>
            </w:pPr>
            <w:r>
              <w:rPr>
                <w:sz w:val="18"/>
              </w:rPr>
              <w:t xml:space="preserve">Atomic loan booking after settlement confirmation</w:t>
            </w:r>
          </w:p>
        </w:tc>
        <w:tc>
          <w:tcPr>
            <w:tcW w:w="3412" w:type="dxa"/>
          </w:tcPr>
          <w:p>
            <w:pPr>
              <w:pStyle w:val="Compact"/>
              <w:spacing w:after="40"/>
              <w:jc w:val="left"/>
            </w:pPr>
            <w:r>
              <w:rPr>
                <w:sz w:val="18"/>
              </w:rPr>
              <w:t xml:space="preserve">M4 item 12; MSD 7</w:t>
            </w:r>
          </w:p>
        </w:tc>
      </w:tr>
    </w:tbl>
    <w:p>
      <w:pPr>
        <w:pStyle w:val="BodyText"/>
      </w:pPr>
      <w:r>
        <w:rPr>
          <w:bCs/>
          <w:b/>
        </w:rPr>
        <w:t xml:space="preserve">Disbursement routing rule.</w:t>
      </w:r>
      <w:r>
        <w:t xml:space="preserve"> </w:t>
      </w:r>
      <w:r>
        <w:t xml:space="preserve">CF para 10(1) binds digital loans and, through CF 46–47, gold loans on every channel. Finbyx applies the same routing to every channel by default [REC], so a tenant can only choose among DISB-B, DISB-E and DISB-ESC; a payment to any other third-party account, including an LSP or DSA account, is rejected.</w:t>
      </w:r>
    </w:p>
    <w:bookmarkEnd w:id="39"/>
    <w:bookmarkStart w:id="40" w:name="product-matrix"/>
    <w:p>
      <w:pPr>
        <w:pStyle w:val="Heading3"/>
      </w:pPr>
      <w:r>
        <w:t xml:space="preserve">6.3.3 Product matrix</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27"/>
        <w:gridCol w:w="1497"/>
        <w:gridCol w:w="1229"/>
        <w:gridCol w:w="1738"/>
        <w:gridCol w:w="1925"/>
        <w:gridCol w:w="1586"/>
        <w:gridCol w:w="936"/>
      </w:tblGrid>
      <w:tr>
        <w:trPr>
          <w:tblHeader w:val="true"/>
          <w:tblHeader w:val="true"/>
        </w:trPr>
        <w:tc>
          <w:tcPr>
            <w:tcW w:w="727" w:type="dxa"/>
            <w:shd w:val="clear" w:color="auto" w:fill="1F3A5F"/>
          </w:tcPr>
          <w:p>
            <w:pPr>
              <w:pStyle w:val="Compact"/>
              <w:spacing w:after="40"/>
              <w:jc w:val="left"/>
            </w:pPr>
            <w:r>
              <w:rPr>
                <w:b/>
                <w:color w:val="FFFFFF"/>
                <w:sz w:val="18"/>
              </w:rPr>
              <w:t xml:space="preserve">#</w:t>
            </w:r>
          </w:p>
        </w:tc>
        <w:tc>
          <w:tcPr>
            <w:tcW w:w="1497" w:type="dxa"/>
            <w:shd w:val="clear" w:color="auto" w:fill="1F3A5F"/>
          </w:tcPr>
          <w:p>
            <w:pPr>
              <w:pStyle w:val="Compact"/>
              <w:spacing w:after="40"/>
              <w:jc w:val="left"/>
            </w:pPr>
            <w:r>
              <w:rPr>
                <w:b/>
                <w:color w:val="FFFFFF"/>
                <w:sz w:val="18"/>
              </w:rPr>
              <w:t xml:space="preserve">Product (code)</w:t>
            </w:r>
          </w:p>
        </w:tc>
        <w:tc>
          <w:tcPr>
            <w:tcW w:w="1229" w:type="dxa"/>
            <w:shd w:val="clear" w:color="auto" w:fill="1F3A5F"/>
          </w:tcPr>
          <w:p>
            <w:pPr>
              <w:pStyle w:val="Compact"/>
              <w:spacing w:after="40"/>
              <w:jc w:val="left"/>
            </w:pPr>
            <w:r>
              <w:rPr>
                <w:b/>
                <w:color w:val="FFFFFF"/>
                <w:sz w:val="18"/>
              </w:rPr>
              <w:t xml:space="preserve">Channels</w:t>
            </w:r>
          </w:p>
        </w:tc>
        <w:tc>
          <w:tcPr>
            <w:tcW w:w="1738" w:type="dxa"/>
            <w:shd w:val="clear" w:color="auto" w:fill="1F3A5F"/>
          </w:tcPr>
          <w:p>
            <w:pPr>
              <w:pStyle w:val="Compact"/>
              <w:spacing w:after="40"/>
              <w:jc w:val="left"/>
            </w:pPr>
            <w:r>
              <w:rPr>
                <w:b/>
                <w:color w:val="FFFFFF"/>
                <w:sz w:val="18"/>
              </w:rPr>
              <w:t xml:space="preserve">KYC route</w:t>
            </w:r>
          </w:p>
        </w:tc>
        <w:tc>
          <w:tcPr>
            <w:tcW w:w="1925" w:type="dxa"/>
            <w:shd w:val="clear" w:color="auto" w:fill="1F3A5F"/>
          </w:tcPr>
          <w:p>
            <w:pPr>
              <w:pStyle w:val="Compact"/>
              <w:spacing w:after="40"/>
              <w:jc w:val="left"/>
            </w:pPr>
            <w:r>
              <w:rPr>
                <w:b/>
                <w:color w:val="FFFFFF"/>
                <w:sz w:val="18"/>
              </w:rPr>
              <w:t xml:space="preserve">Collateral creation and perfection</w:t>
            </w:r>
          </w:p>
        </w:tc>
        <w:tc>
          <w:tcPr>
            <w:tcW w:w="1586" w:type="dxa"/>
            <w:shd w:val="clear" w:color="auto" w:fill="1F3A5F"/>
          </w:tcPr>
          <w:p>
            <w:pPr>
              <w:pStyle w:val="Compact"/>
              <w:spacing w:after="40"/>
              <w:jc w:val="left"/>
            </w:pPr>
            <w:r>
              <w:rPr>
                <w:b/>
                <w:color w:val="FFFFFF"/>
                <w:sz w:val="18"/>
              </w:rPr>
              <w:t xml:space="preserve">Disbursement routing</w:t>
            </w:r>
          </w:p>
        </w:tc>
        <w:tc>
          <w:tcPr>
            <w:tcW w:w="936" w:type="dxa"/>
            <w:shd w:val="clear" w:color="auto" w:fill="1F3A5F"/>
          </w:tcPr>
          <w:p>
            <w:pPr>
              <w:pStyle w:val="Compact"/>
              <w:spacing w:after="40"/>
              <w:jc w:val="left"/>
            </w:pPr>
            <w:r>
              <w:rPr>
                <w:b/>
                <w:color w:val="FFFFFF"/>
                <w:sz w:val="18"/>
              </w:rPr>
              <w:t xml:space="preserve">R16 playbook</w:t>
            </w:r>
          </w:p>
        </w:tc>
      </w:tr>
      <w:tr>
        <w:tc>
          <w:tcPr>
            <w:tcW w:w="727" w:type="dxa"/>
          </w:tcPr>
          <w:p>
            <w:pPr>
              <w:pStyle w:val="Compact"/>
              <w:spacing w:after="40"/>
              <w:jc w:val="left"/>
            </w:pPr>
            <w:r>
              <w:rPr>
                <w:sz w:val="18"/>
              </w:rPr>
              <w:t xml:space="preserve">1</w:t>
            </w:r>
          </w:p>
        </w:tc>
        <w:tc>
          <w:tcPr>
            <w:tcW w:w="1497" w:type="dxa"/>
          </w:tcPr>
          <w:p>
            <w:pPr>
              <w:pStyle w:val="Compact"/>
              <w:spacing w:after="40"/>
              <w:jc w:val="left"/>
            </w:pPr>
            <w:r>
              <w:rPr>
                <w:sz w:val="18"/>
              </w:rPr>
              <w:t xml:space="preserve">Personal Loan (</w:t>
            </w:r>
            <w:r>
              <w:rPr>
                <w:rStyle w:val="VerbatimChar"/>
                <w:sz w:val="18"/>
              </w:rPr>
              <w:t xml:space="preserve">PL</w:t>
            </w:r>
            <w:r>
              <w:rPr>
                <w:sz w:val="18"/>
              </w:rPr>
              <w:t xml:space="preserve">)</w:t>
            </w:r>
          </w:p>
        </w:tc>
        <w:tc>
          <w:tcPr>
            <w:tcW w:w="1229" w:type="dxa"/>
          </w:tcPr>
          <w:p>
            <w:pPr>
              <w:pStyle w:val="Compact"/>
              <w:spacing w:after="40"/>
              <w:jc w:val="left"/>
            </w:pPr>
            <w:r>
              <w:rPr>
                <w:sz w:val="18"/>
              </w:rPr>
              <w:t xml:space="preserve">BR, FA, DSA, LSP, CLO</w:t>
            </w:r>
          </w:p>
        </w:tc>
        <w:tc>
          <w:tcPr>
            <w:tcW w:w="1738" w:type="dxa"/>
          </w:tcPr>
          <w:p>
            <w:pPr>
              <w:pStyle w:val="Compact"/>
              <w:spacing w:after="40"/>
              <w:jc w:val="left"/>
            </w:pPr>
            <w:r>
              <w:rPr>
                <w:sz w:val="18"/>
              </w:rPr>
              <w:t xml:space="preserve">CKYC first; OKYC/DigiLocker; V-CIP; OTP e-KYC within KYC 25 limits</w:t>
            </w:r>
          </w:p>
        </w:tc>
        <w:tc>
          <w:tcPr>
            <w:tcW w:w="1925" w:type="dxa"/>
          </w:tcPr>
          <w:p>
            <w:pPr>
              <w:pStyle w:val="Compact"/>
              <w:spacing w:after="40"/>
              <w:jc w:val="left"/>
            </w:pPr>
            <w:r>
              <w:rPr>
                <w:sz w:val="18"/>
              </w:rPr>
              <w:t xml:space="preserve">None</w:t>
            </w:r>
          </w:p>
        </w:tc>
        <w:tc>
          <w:tcPr>
            <w:tcW w:w="1586" w:type="dxa"/>
          </w:tcPr>
          <w:p>
            <w:pPr>
              <w:pStyle w:val="Compact"/>
              <w:spacing w:after="40"/>
              <w:jc w:val="left"/>
            </w:pPr>
            <w:r>
              <w:rPr>
                <w:sz w:val="18"/>
              </w:rPr>
              <w:t xml:space="preserve">DISB-B</w:t>
            </w:r>
          </w:p>
        </w:tc>
        <w:tc>
          <w:tcPr>
            <w:tcW w:w="936" w:type="dxa"/>
          </w:tcPr>
          <w:p>
            <w:pPr>
              <w:pStyle w:val="Compact"/>
              <w:spacing w:after="40"/>
              <w:jc w:val="left"/>
            </w:pPr>
            <w:r>
              <w:rPr>
                <w:rStyle w:val="VerbatimChar"/>
                <w:sz w:val="18"/>
              </w:rPr>
              <w:t xml:space="preserve">PL</w:t>
            </w:r>
          </w:p>
        </w:tc>
      </w:tr>
      <w:tr>
        <w:tc>
          <w:tcPr>
            <w:tcW w:w="727" w:type="dxa"/>
          </w:tcPr>
          <w:p>
            <w:pPr>
              <w:pStyle w:val="Compact"/>
              <w:spacing w:after="40"/>
              <w:jc w:val="left"/>
            </w:pPr>
            <w:r>
              <w:rPr>
                <w:sz w:val="18"/>
              </w:rPr>
              <w:t xml:space="preserve">2</w:t>
            </w:r>
          </w:p>
        </w:tc>
        <w:tc>
          <w:tcPr>
            <w:tcW w:w="1497" w:type="dxa"/>
          </w:tcPr>
          <w:p>
            <w:pPr>
              <w:pStyle w:val="Compact"/>
              <w:spacing w:after="40"/>
              <w:jc w:val="left"/>
            </w:pPr>
            <w:r>
              <w:rPr>
                <w:sz w:val="18"/>
              </w:rPr>
              <w:t xml:space="preserve">Payday (</w:t>
            </w:r>
            <w:r>
              <w:rPr>
                <w:rStyle w:val="VerbatimChar"/>
                <w:sz w:val="18"/>
              </w:rPr>
              <w:t xml:space="preserve">PDL</w:t>
            </w:r>
            <w:r>
              <w:rPr>
                <w:sz w:val="18"/>
              </w:rPr>
              <w:t xml:space="preserve">)</w:t>
            </w:r>
          </w:p>
        </w:tc>
        <w:tc>
          <w:tcPr>
            <w:tcW w:w="1229" w:type="dxa"/>
          </w:tcPr>
          <w:p>
            <w:pPr>
              <w:pStyle w:val="Compact"/>
              <w:spacing w:after="40"/>
              <w:jc w:val="left"/>
            </w:pPr>
            <w:r>
              <w:rPr>
                <w:sz w:val="18"/>
              </w:rPr>
              <w:t xml:space="preserve">LSP, BR</w:t>
            </w:r>
          </w:p>
        </w:tc>
        <w:tc>
          <w:tcPr>
            <w:tcW w:w="1738" w:type="dxa"/>
          </w:tcPr>
          <w:p>
            <w:pPr>
              <w:pStyle w:val="Compact"/>
              <w:spacing w:after="40"/>
              <w:jc w:val="left"/>
            </w:pPr>
            <w:r>
              <w:rPr>
                <w:sz w:val="18"/>
              </w:rPr>
              <w:t xml:space="preserve">As PL; OTP e-KYC common</w:t>
            </w:r>
          </w:p>
        </w:tc>
        <w:tc>
          <w:tcPr>
            <w:tcW w:w="1925" w:type="dxa"/>
          </w:tcPr>
          <w:p>
            <w:pPr>
              <w:pStyle w:val="Compact"/>
              <w:spacing w:after="40"/>
              <w:jc w:val="left"/>
            </w:pPr>
            <w:r>
              <w:rPr>
                <w:sz w:val="18"/>
              </w:rPr>
              <w:t xml:space="preserve">None</w:t>
            </w:r>
          </w:p>
        </w:tc>
        <w:tc>
          <w:tcPr>
            <w:tcW w:w="1586" w:type="dxa"/>
          </w:tcPr>
          <w:p>
            <w:pPr>
              <w:pStyle w:val="Compact"/>
              <w:spacing w:after="40"/>
              <w:jc w:val="left"/>
            </w:pPr>
            <w:r>
              <w:rPr>
                <w:sz w:val="18"/>
              </w:rPr>
              <w:t xml:space="preserve">DISB-B</w:t>
            </w:r>
          </w:p>
        </w:tc>
        <w:tc>
          <w:tcPr>
            <w:tcW w:w="936" w:type="dxa"/>
          </w:tcPr>
          <w:p>
            <w:pPr>
              <w:pStyle w:val="Compact"/>
              <w:spacing w:after="40"/>
              <w:jc w:val="left"/>
            </w:pPr>
            <w:r>
              <w:rPr>
                <w:rStyle w:val="VerbatimChar"/>
                <w:sz w:val="18"/>
              </w:rPr>
              <w:t xml:space="preserve">PDL</w:t>
            </w:r>
          </w:p>
        </w:tc>
      </w:tr>
      <w:tr>
        <w:tc>
          <w:tcPr>
            <w:tcW w:w="727" w:type="dxa"/>
          </w:tcPr>
          <w:p>
            <w:pPr>
              <w:pStyle w:val="Compact"/>
              <w:spacing w:after="40"/>
              <w:jc w:val="left"/>
            </w:pPr>
            <w:r>
              <w:rPr>
                <w:sz w:val="18"/>
              </w:rPr>
              <w:t xml:space="preserve">3</w:t>
            </w:r>
          </w:p>
        </w:tc>
        <w:tc>
          <w:tcPr>
            <w:tcW w:w="1497" w:type="dxa"/>
          </w:tcPr>
          <w:p>
            <w:pPr>
              <w:pStyle w:val="Compact"/>
              <w:spacing w:after="40"/>
              <w:jc w:val="left"/>
            </w:pPr>
            <w:r>
              <w:rPr>
                <w:sz w:val="18"/>
              </w:rPr>
              <w:t xml:space="preserve">Business / MSME Term Loan (</w:t>
            </w:r>
            <w:r>
              <w:rPr>
                <w:rStyle w:val="VerbatimChar"/>
                <w:sz w:val="18"/>
              </w:rPr>
              <w:t xml:space="preserve">MSME</w:t>
            </w:r>
            <w:r>
              <w:rPr>
                <w:sz w:val="18"/>
              </w:rPr>
              <w:t xml:space="preserve">)</w:t>
            </w:r>
          </w:p>
        </w:tc>
        <w:tc>
          <w:tcPr>
            <w:tcW w:w="1229" w:type="dxa"/>
          </w:tcPr>
          <w:p>
            <w:pPr>
              <w:pStyle w:val="Compact"/>
              <w:spacing w:after="40"/>
              <w:jc w:val="left"/>
            </w:pPr>
            <w:r>
              <w:rPr>
                <w:sz w:val="18"/>
              </w:rPr>
              <w:t xml:space="preserve">BR, FA, DSA, LSP, CLO</w:t>
            </w:r>
          </w:p>
        </w:tc>
        <w:tc>
          <w:tcPr>
            <w:tcW w:w="1738" w:type="dxa"/>
          </w:tcPr>
          <w:p>
            <w:pPr>
              <w:pStyle w:val="Compact"/>
              <w:spacing w:after="40"/>
              <w:jc w:val="left"/>
            </w:pPr>
            <w:r>
              <w:rPr>
                <w:sz w:val="18"/>
              </w:rPr>
              <w:t xml:space="preserve">Individual or legal-entity CDD with BO</w:t>
            </w:r>
          </w:p>
        </w:tc>
        <w:tc>
          <w:tcPr>
            <w:tcW w:w="1925" w:type="dxa"/>
          </w:tcPr>
          <w:p>
            <w:pPr>
              <w:pStyle w:val="Compact"/>
              <w:spacing w:after="40"/>
              <w:jc w:val="left"/>
            </w:pPr>
            <w:r>
              <w:rPr>
                <w:sz w:val="18"/>
              </w:rPr>
              <w:t xml:space="preserve">Optional HYPO-DEED or MORTGAGE; CERSAI-REG; CGTMSE cover registration</w:t>
            </w:r>
          </w:p>
        </w:tc>
        <w:tc>
          <w:tcPr>
            <w:tcW w:w="1586" w:type="dxa"/>
          </w:tcPr>
          <w:p>
            <w:pPr>
              <w:pStyle w:val="Compact"/>
              <w:spacing w:after="40"/>
              <w:jc w:val="left"/>
            </w:pPr>
            <w:r>
              <w:rPr>
                <w:sz w:val="18"/>
              </w:rPr>
              <w:t xml:space="preserve">DISB-B; DISB-E for supplier payments</w:t>
            </w:r>
          </w:p>
        </w:tc>
        <w:tc>
          <w:tcPr>
            <w:tcW w:w="936" w:type="dxa"/>
          </w:tcPr>
          <w:p>
            <w:pPr>
              <w:pStyle w:val="Compact"/>
              <w:spacing w:after="40"/>
              <w:jc w:val="left"/>
            </w:pPr>
            <w:r>
              <w:rPr>
                <w:rStyle w:val="VerbatimChar"/>
                <w:sz w:val="18"/>
              </w:rPr>
              <w:t xml:space="preserve">MSME</w:t>
            </w:r>
          </w:p>
        </w:tc>
      </w:tr>
      <w:tr>
        <w:tc>
          <w:tcPr>
            <w:tcW w:w="727" w:type="dxa"/>
          </w:tcPr>
          <w:p>
            <w:pPr>
              <w:pStyle w:val="Compact"/>
              <w:spacing w:after="40"/>
              <w:jc w:val="left"/>
            </w:pPr>
            <w:r>
              <w:rPr>
                <w:sz w:val="18"/>
              </w:rPr>
              <w:t xml:space="preserve">4</w:t>
            </w:r>
          </w:p>
        </w:tc>
        <w:tc>
          <w:tcPr>
            <w:tcW w:w="1497" w:type="dxa"/>
          </w:tcPr>
          <w:p>
            <w:pPr>
              <w:pStyle w:val="Compact"/>
              <w:spacing w:after="40"/>
              <w:jc w:val="left"/>
            </w:pPr>
            <w:r>
              <w:rPr>
                <w:sz w:val="18"/>
              </w:rPr>
              <w:t xml:space="preserve">Loan Against Property (</w:t>
            </w:r>
            <w:r>
              <w:rPr>
                <w:rStyle w:val="VerbatimChar"/>
                <w:sz w:val="18"/>
              </w:rPr>
              <w:t xml:space="preserve">LAP</w:t>
            </w:r>
            <w:r>
              <w:rPr>
                <w:sz w:val="18"/>
              </w:rPr>
              <w:t xml:space="preserve">)</w:t>
            </w:r>
          </w:p>
        </w:tc>
        <w:tc>
          <w:tcPr>
            <w:tcW w:w="1229" w:type="dxa"/>
          </w:tcPr>
          <w:p>
            <w:pPr>
              <w:pStyle w:val="Compact"/>
              <w:spacing w:after="40"/>
              <w:jc w:val="left"/>
            </w:pPr>
            <w:r>
              <w:rPr>
                <w:sz w:val="18"/>
              </w:rPr>
              <w:t xml:space="preserve">BR, FA, DSA, LSP</w:t>
            </w:r>
          </w:p>
        </w:tc>
        <w:tc>
          <w:tcPr>
            <w:tcW w:w="1738" w:type="dxa"/>
          </w:tcPr>
          <w:p>
            <w:pPr>
              <w:pStyle w:val="Compact"/>
              <w:spacing w:after="40"/>
              <w:jc w:val="left"/>
            </w:pPr>
            <w:r>
              <w:rPr>
                <w:sz w:val="18"/>
              </w:rPr>
              <w:t xml:space="preserve">CKYC; in-person or V-CIP</w:t>
            </w:r>
          </w:p>
        </w:tc>
        <w:tc>
          <w:tcPr>
            <w:tcW w:w="1925" w:type="dxa"/>
          </w:tcPr>
          <w:p>
            <w:pPr>
              <w:pStyle w:val="Compact"/>
              <w:spacing w:after="40"/>
              <w:jc w:val="left"/>
            </w:pPr>
            <w:r>
              <w:rPr>
                <w:sz w:val="18"/>
              </w:rPr>
              <w:t xml:space="preserve">MORTGAGE, CERSAI-REG, INSURE, CUSTODY</w:t>
            </w:r>
          </w:p>
        </w:tc>
        <w:tc>
          <w:tcPr>
            <w:tcW w:w="1586" w:type="dxa"/>
          </w:tcPr>
          <w:p>
            <w:pPr>
              <w:pStyle w:val="Compact"/>
              <w:spacing w:after="40"/>
              <w:jc w:val="left"/>
            </w:pPr>
            <w:r>
              <w:rPr>
                <w:sz w:val="18"/>
              </w:rPr>
              <w:t xml:space="preserve">DISB-B; BT payoff via DISB-E</w:t>
            </w:r>
          </w:p>
        </w:tc>
        <w:tc>
          <w:tcPr>
            <w:tcW w:w="936" w:type="dxa"/>
          </w:tcPr>
          <w:p>
            <w:pPr>
              <w:pStyle w:val="Compact"/>
              <w:spacing w:after="40"/>
              <w:jc w:val="left"/>
            </w:pPr>
            <w:r>
              <w:rPr>
                <w:rStyle w:val="VerbatimChar"/>
                <w:sz w:val="18"/>
              </w:rPr>
              <w:t xml:space="preserve">LAP</w:t>
            </w:r>
          </w:p>
        </w:tc>
      </w:tr>
      <w:tr>
        <w:tc>
          <w:tcPr>
            <w:tcW w:w="727" w:type="dxa"/>
          </w:tcPr>
          <w:p>
            <w:pPr>
              <w:pStyle w:val="Compact"/>
              <w:spacing w:after="40"/>
              <w:jc w:val="left"/>
            </w:pPr>
            <w:r>
              <w:rPr>
                <w:sz w:val="18"/>
              </w:rPr>
              <w:t xml:space="preserve">5</w:t>
            </w:r>
          </w:p>
        </w:tc>
        <w:tc>
          <w:tcPr>
            <w:tcW w:w="1497" w:type="dxa"/>
          </w:tcPr>
          <w:p>
            <w:pPr>
              <w:pStyle w:val="Compact"/>
              <w:spacing w:after="40"/>
              <w:jc w:val="left"/>
            </w:pPr>
            <w:r>
              <w:rPr>
                <w:sz w:val="18"/>
              </w:rPr>
              <w:t xml:space="preserve">Home Loan (</w:t>
            </w:r>
            <w:r>
              <w:rPr>
                <w:rStyle w:val="VerbatimChar"/>
                <w:sz w:val="18"/>
              </w:rPr>
              <w:t xml:space="preserve">HL</w:t>
            </w:r>
            <w:r>
              <w:rPr>
                <w:sz w:val="18"/>
              </w:rPr>
              <w:t xml:space="preserve">)</w:t>
            </w:r>
          </w:p>
        </w:tc>
        <w:tc>
          <w:tcPr>
            <w:tcW w:w="1229" w:type="dxa"/>
          </w:tcPr>
          <w:p>
            <w:pPr>
              <w:pStyle w:val="Compact"/>
              <w:spacing w:after="40"/>
              <w:jc w:val="left"/>
            </w:pPr>
            <w:r>
              <w:rPr>
                <w:sz w:val="18"/>
              </w:rPr>
              <w:t xml:space="preserve">BR, FA, DSA, LSP, CLO</w:t>
            </w:r>
          </w:p>
        </w:tc>
        <w:tc>
          <w:tcPr>
            <w:tcW w:w="1738" w:type="dxa"/>
          </w:tcPr>
          <w:p>
            <w:pPr>
              <w:pStyle w:val="Compact"/>
              <w:spacing w:after="40"/>
              <w:jc w:val="left"/>
            </w:pPr>
            <w:r>
              <w:rPr>
                <w:sz w:val="18"/>
              </w:rPr>
              <w:t xml:space="preserve">CKYC; in-person or V-CIP</w:t>
            </w:r>
          </w:p>
        </w:tc>
        <w:tc>
          <w:tcPr>
            <w:tcW w:w="1925" w:type="dxa"/>
          </w:tcPr>
          <w:p>
            <w:pPr>
              <w:pStyle w:val="Compact"/>
              <w:spacing w:after="40"/>
              <w:jc w:val="left"/>
            </w:pPr>
            <w:r>
              <w:rPr>
                <w:sz w:val="18"/>
              </w:rPr>
              <w:t xml:space="preserve">MORTGAGE (or tripartite agreement for under-construction), CERSAI-REG, INSURE</w:t>
            </w:r>
          </w:p>
        </w:tc>
        <w:tc>
          <w:tcPr>
            <w:tcW w:w="1586" w:type="dxa"/>
          </w:tcPr>
          <w:p>
            <w:pPr>
              <w:pStyle w:val="Compact"/>
              <w:spacing w:after="40"/>
              <w:jc w:val="left"/>
            </w:pPr>
            <w:r>
              <w:rPr>
                <w:sz w:val="18"/>
              </w:rPr>
              <w:t xml:space="preserve">DISB-E to seller or builder; tranches</w:t>
            </w:r>
          </w:p>
        </w:tc>
        <w:tc>
          <w:tcPr>
            <w:tcW w:w="936" w:type="dxa"/>
          </w:tcPr>
          <w:p>
            <w:pPr>
              <w:pStyle w:val="Compact"/>
              <w:spacing w:after="40"/>
              <w:jc w:val="left"/>
            </w:pPr>
            <w:r>
              <w:rPr>
                <w:rStyle w:val="VerbatimChar"/>
                <w:sz w:val="18"/>
              </w:rPr>
              <w:t xml:space="preserve">HL</w:t>
            </w:r>
          </w:p>
        </w:tc>
      </w:tr>
      <w:tr>
        <w:tc>
          <w:tcPr>
            <w:tcW w:w="727" w:type="dxa"/>
          </w:tcPr>
          <w:p>
            <w:pPr>
              <w:pStyle w:val="Compact"/>
              <w:spacing w:after="40"/>
              <w:jc w:val="left"/>
            </w:pPr>
            <w:r>
              <w:rPr>
                <w:sz w:val="18"/>
              </w:rPr>
              <w:t xml:space="preserve">6</w:t>
            </w:r>
          </w:p>
        </w:tc>
        <w:tc>
          <w:tcPr>
            <w:tcW w:w="1497" w:type="dxa"/>
          </w:tcPr>
          <w:p>
            <w:pPr>
              <w:pStyle w:val="Compact"/>
              <w:spacing w:after="40"/>
              <w:jc w:val="left"/>
            </w:pPr>
            <w:r>
              <w:rPr>
                <w:sz w:val="18"/>
              </w:rPr>
              <w:t xml:space="preserve">Vehicle Loan (</w:t>
            </w:r>
            <w:r>
              <w:rPr>
                <w:rStyle w:val="VerbatimChar"/>
                <w:sz w:val="18"/>
              </w:rPr>
              <w:t xml:space="preserve">VL</w:t>
            </w:r>
            <w:r>
              <w:rPr>
                <w:sz w:val="18"/>
              </w:rPr>
              <w:t xml:space="preserve">)</w:t>
            </w:r>
          </w:p>
        </w:tc>
        <w:tc>
          <w:tcPr>
            <w:tcW w:w="1229" w:type="dxa"/>
          </w:tcPr>
          <w:p>
            <w:pPr>
              <w:pStyle w:val="Compact"/>
              <w:spacing w:after="40"/>
              <w:jc w:val="left"/>
            </w:pPr>
            <w:r>
              <w:rPr>
                <w:sz w:val="18"/>
              </w:rPr>
              <w:t xml:space="preserve">Dealer API, BR, FA, DSA, LSP</w:t>
            </w:r>
          </w:p>
        </w:tc>
        <w:tc>
          <w:tcPr>
            <w:tcW w:w="1738" w:type="dxa"/>
          </w:tcPr>
          <w:p>
            <w:pPr>
              <w:pStyle w:val="Compact"/>
              <w:spacing w:after="40"/>
              <w:jc w:val="left"/>
            </w:pPr>
            <w:r>
              <w:rPr>
                <w:sz w:val="18"/>
              </w:rPr>
              <w:t xml:space="preserve">CKYC; DKYC at dealer</w:t>
            </w:r>
          </w:p>
        </w:tc>
        <w:tc>
          <w:tcPr>
            <w:tcW w:w="1925" w:type="dxa"/>
          </w:tcPr>
          <w:p>
            <w:pPr>
              <w:pStyle w:val="Compact"/>
              <w:spacing w:after="40"/>
              <w:jc w:val="left"/>
            </w:pPr>
            <w:r>
              <w:rPr>
                <w:sz w:val="18"/>
              </w:rPr>
              <w:t xml:space="preserve">HYPO-RTO at registration, INSURE; CERSAI-REG for CV and equipment by policy</w:t>
            </w:r>
          </w:p>
        </w:tc>
        <w:tc>
          <w:tcPr>
            <w:tcW w:w="1586" w:type="dxa"/>
          </w:tcPr>
          <w:p>
            <w:pPr>
              <w:pStyle w:val="Compact"/>
              <w:spacing w:after="40"/>
              <w:jc w:val="left"/>
            </w:pPr>
            <w:r>
              <w:rPr>
                <w:sz w:val="18"/>
              </w:rPr>
              <w:t xml:space="preserve">DISB-E to dealer</w:t>
            </w:r>
          </w:p>
        </w:tc>
        <w:tc>
          <w:tcPr>
            <w:tcW w:w="936" w:type="dxa"/>
          </w:tcPr>
          <w:p>
            <w:pPr>
              <w:pStyle w:val="Compact"/>
              <w:spacing w:after="40"/>
              <w:jc w:val="left"/>
            </w:pPr>
            <w:r>
              <w:rPr>
                <w:rStyle w:val="VerbatimChar"/>
                <w:sz w:val="18"/>
              </w:rPr>
              <w:t xml:space="preserve">VL</w:t>
            </w:r>
          </w:p>
        </w:tc>
      </w:tr>
      <w:tr>
        <w:tc>
          <w:tcPr>
            <w:tcW w:w="727" w:type="dxa"/>
          </w:tcPr>
          <w:p>
            <w:pPr>
              <w:pStyle w:val="Compact"/>
              <w:spacing w:after="40"/>
              <w:jc w:val="left"/>
            </w:pPr>
            <w:r>
              <w:rPr>
                <w:sz w:val="18"/>
              </w:rPr>
              <w:t xml:space="preserve">7</w:t>
            </w:r>
          </w:p>
        </w:tc>
        <w:tc>
          <w:tcPr>
            <w:tcW w:w="1497" w:type="dxa"/>
          </w:tcPr>
          <w:p>
            <w:pPr>
              <w:pStyle w:val="Compact"/>
              <w:spacing w:after="40"/>
              <w:jc w:val="left"/>
            </w:pPr>
            <w:r>
              <w:rPr>
                <w:sz w:val="18"/>
              </w:rPr>
              <w:t xml:space="preserve">Loan Against Securities (</w:t>
            </w:r>
            <w:r>
              <w:rPr>
                <w:rStyle w:val="VerbatimChar"/>
                <w:sz w:val="18"/>
              </w:rPr>
              <w:t xml:space="preserve">LAS</w:t>
            </w:r>
            <w:r>
              <w:rPr>
                <w:sz w:val="18"/>
              </w:rPr>
              <w:t xml:space="preserve">,</w:t>
            </w:r>
            <w:r>
              <w:rPr>
                <w:sz w:val="18"/>
              </w:rPr>
              <w:t xml:space="preserve"> </w:t>
            </w:r>
            <w:r>
              <w:rPr>
                <w:rStyle w:val="VerbatimChar"/>
                <w:sz w:val="18"/>
              </w:rPr>
              <w:t xml:space="preserve">LAMF</w:t>
            </w:r>
            <w:r>
              <w:rPr>
                <w:sz w:val="18"/>
              </w:rPr>
              <w:t xml:space="preserve">)</w:t>
            </w:r>
          </w:p>
        </w:tc>
        <w:tc>
          <w:tcPr>
            <w:tcW w:w="1229" w:type="dxa"/>
          </w:tcPr>
          <w:p>
            <w:pPr>
              <w:pStyle w:val="Compact"/>
              <w:spacing w:after="40"/>
              <w:jc w:val="left"/>
            </w:pPr>
            <w:r>
              <w:rPr>
                <w:sz w:val="18"/>
              </w:rPr>
              <w:t xml:space="preserve">LSP, BR, API</w:t>
            </w:r>
          </w:p>
        </w:tc>
        <w:tc>
          <w:tcPr>
            <w:tcW w:w="1738" w:type="dxa"/>
          </w:tcPr>
          <w:p>
            <w:pPr>
              <w:pStyle w:val="Compact"/>
              <w:spacing w:after="40"/>
              <w:jc w:val="left"/>
            </w:pPr>
            <w:r>
              <w:rPr>
                <w:sz w:val="18"/>
              </w:rPr>
              <w:t xml:space="preserve">CKYC; OKYC</w:t>
            </w:r>
          </w:p>
        </w:tc>
        <w:tc>
          <w:tcPr>
            <w:tcW w:w="1925" w:type="dxa"/>
          </w:tcPr>
          <w:p>
            <w:pPr>
              <w:pStyle w:val="Compact"/>
              <w:spacing w:after="40"/>
              <w:jc w:val="left"/>
            </w:pPr>
            <w:r>
              <w:rPr>
                <w:sz w:val="18"/>
              </w:rPr>
              <w:t xml:space="preserve">PLEDGE-DEP or LIEN-RTA (Part 6.4)</w:t>
            </w:r>
          </w:p>
        </w:tc>
        <w:tc>
          <w:tcPr>
            <w:tcW w:w="1586" w:type="dxa"/>
          </w:tcPr>
          <w:p>
            <w:pPr>
              <w:pStyle w:val="Compact"/>
              <w:spacing w:after="40"/>
              <w:jc w:val="left"/>
            </w:pPr>
            <w:r>
              <w:rPr>
                <w:sz w:val="18"/>
              </w:rPr>
              <w:t xml:space="preserve">DISB-B after pledge confirmation</w:t>
            </w:r>
          </w:p>
        </w:tc>
        <w:tc>
          <w:tcPr>
            <w:tcW w:w="936" w:type="dxa"/>
          </w:tcPr>
          <w:p>
            <w:pPr>
              <w:pStyle w:val="Compact"/>
              <w:spacing w:after="40"/>
              <w:jc w:val="left"/>
            </w:pPr>
            <w:r>
              <w:rPr>
                <w:rStyle w:val="VerbatimChar"/>
                <w:sz w:val="18"/>
              </w:rPr>
              <w:t xml:space="preserve">LAS</w:t>
            </w:r>
          </w:p>
        </w:tc>
      </w:tr>
      <w:tr>
        <w:tc>
          <w:tcPr>
            <w:tcW w:w="727" w:type="dxa"/>
          </w:tcPr>
          <w:p>
            <w:pPr>
              <w:pStyle w:val="Compact"/>
              <w:spacing w:after="40"/>
              <w:jc w:val="left"/>
            </w:pPr>
            <w:r>
              <w:rPr>
                <w:sz w:val="18"/>
              </w:rPr>
              <w:t xml:space="preserve">8</w:t>
            </w:r>
          </w:p>
        </w:tc>
        <w:tc>
          <w:tcPr>
            <w:tcW w:w="1497" w:type="dxa"/>
          </w:tcPr>
          <w:p>
            <w:pPr>
              <w:pStyle w:val="Compact"/>
              <w:spacing w:after="40"/>
              <w:jc w:val="left"/>
            </w:pPr>
            <w:r>
              <w:rPr>
                <w:sz w:val="18"/>
              </w:rPr>
              <w:t xml:space="preserve">Gold Loan (</w:t>
            </w:r>
            <w:r>
              <w:rPr>
                <w:rStyle w:val="VerbatimChar"/>
                <w:sz w:val="18"/>
              </w:rPr>
              <w:t xml:space="preserve">GOLD</w:t>
            </w:r>
            <w:r>
              <w:rPr>
                <w:sz w:val="18"/>
              </w:rPr>
              <w:t xml:space="preserve">)</w:t>
            </w:r>
          </w:p>
        </w:tc>
        <w:tc>
          <w:tcPr>
            <w:tcW w:w="1229" w:type="dxa"/>
          </w:tcPr>
          <w:p>
            <w:pPr>
              <w:pStyle w:val="Compact"/>
              <w:spacing w:after="40"/>
              <w:jc w:val="left"/>
            </w:pPr>
            <w:r>
              <w:rPr>
                <w:sz w:val="18"/>
              </w:rPr>
              <w:t xml:space="preserve">BR, FA (doorstep), LSP leads only</w:t>
            </w:r>
          </w:p>
        </w:tc>
        <w:tc>
          <w:tcPr>
            <w:tcW w:w="1738" w:type="dxa"/>
          </w:tcPr>
          <w:p>
            <w:pPr>
              <w:pStyle w:val="Compact"/>
              <w:spacing w:after="40"/>
              <w:jc w:val="left"/>
            </w:pPr>
            <w:r>
              <w:rPr>
                <w:sz w:val="18"/>
              </w:rPr>
              <w:t xml:space="preserve">In-person; CKYC</w:t>
            </w:r>
          </w:p>
        </w:tc>
        <w:tc>
          <w:tcPr>
            <w:tcW w:w="1925" w:type="dxa"/>
          </w:tcPr>
          <w:p>
            <w:pPr>
              <w:pStyle w:val="Compact"/>
              <w:spacing w:after="40"/>
              <w:jc w:val="left"/>
            </w:pPr>
            <w:r>
              <w:rPr>
                <w:sz w:val="18"/>
              </w:rPr>
              <w:t xml:space="preserve">Pledge with ASSAY and CUSTODY; no CERSAI (pledge, SARFAESI s.31(b))</w:t>
            </w:r>
          </w:p>
        </w:tc>
        <w:tc>
          <w:tcPr>
            <w:tcW w:w="1586" w:type="dxa"/>
          </w:tcPr>
          <w:p>
            <w:pPr>
              <w:pStyle w:val="Compact"/>
              <w:spacing w:after="40"/>
              <w:jc w:val="left"/>
            </w:pPr>
            <w:r>
              <w:rPr>
                <w:sz w:val="18"/>
              </w:rPr>
              <w:t xml:space="preserve">DISB-B (CF 46–47)</w:t>
            </w:r>
          </w:p>
        </w:tc>
        <w:tc>
          <w:tcPr>
            <w:tcW w:w="936" w:type="dxa"/>
          </w:tcPr>
          <w:p>
            <w:pPr>
              <w:pStyle w:val="Compact"/>
              <w:spacing w:after="40"/>
              <w:jc w:val="left"/>
            </w:pPr>
            <w:r>
              <w:rPr>
                <w:rStyle w:val="VerbatimChar"/>
                <w:sz w:val="18"/>
              </w:rPr>
              <w:t xml:space="preserve">GOLD</w:t>
            </w:r>
          </w:p>
        </w:tc>
      </w:tr>
      <w:tr>
        <w:tc>
          <w:tcPr>
            <w:tcW w:w="727" w:type="dxa"/>
          </w:tcPr>
          <w:p>
            <w:pPr>
              <w:pStyle w:val="Compact"/>
              <w:spacing w:after="40"/>
              <w:jc w:val="left"/>
            </w:pPr>
            <w:r>
              <w:rPr>
                <w:sz w:val="18"/>
              </w:rPr>
              <w:t xml:space="preserve">9</w:t>
            </w:r>
          </w:p>
        </w:tc>
        <w:tc>
          <w:tcPr>
            <w:tcW w:w="1497" w:type="dxa"/>
          </w:tcPr>
          <w:p>
            <w:pPr>
              <w:pStyle w:val="Compact"/>
              <w:spacing w:after="40"/>
              <w:jc w:val="left"/>
            </w:pPr>
            <w:r>
              <w:rPr>
                <w:sz w:val="18"/>
              </w:rPr>
              <w:t xml:space="preserve">Education Loan (</w:t>
            </w:r>
            <w:r>
              <w:rPr>
                <w:rStyle w:val="VerbatimChar"/>
                <w:sz w:val="18"/>
              </w:rPr>
              <w:t xml:space="preserve">EDU</w:t>
            </w:r>
            <w:r>
              <w:rPr>
                <w:sz w:val="18"/>
              </w:rPr>
              <w:t xml:space="preserve">)</w:t>
            </w:r>
          </w:p>
        </w:tc>
        <w:tc>
          <w:tcPr>
            <w:tcW w:w="1229" w:type="dxa"/>
          </w:tcPr>
          <w:p>
            <w:pPr>
              <w:pStyle w:val="Compact"/>
              <w:spacing w:after="40"/>
              <w:jc w:val="left"/>
            </w:pPr>
            <w:r>
              <w:rPr>
                <w:sz w:val="18"/>
              </w:rPr>
              <w:t xml:space="preserve">BR, DSA, LSP, institution API</w:t>
            </w:r>
          </w:p>
        </w:tc>
        <w:tc>
          <w:tcPr>
            <w:tcW w:w="1738" w:type="dxa"/>
          </w:tcPr>
          <w:p>
            <w:pPr>
              <w:pStyle w:val="Compact"/>
              <w:spacing w:after="40"/>
              <w:jc w:val="left"/>
            </w:pPr>
            <w:r>
              <w:rPr>
                <w:sz w:val="18"/>
              </w:rPr>
              <w:t xml:space="preserve">Student and co-borrower</w:t>
            </w:r>
          </w:p>
        </w:tc>
        <w:tc>
          <w:tcPr>
            <w:tcW w:w="1925" w:type="dxa"/>
          </w:tcPr>
          <w:p>
            <w:pPr>
              <w:pStyle w:val="Compact"/>
              <w:spacing w:after="40"/>
              <w:jc w:val="left"/>
            </w:pPr>
            <w:r>
              <w:rPr>
                <w:sz w:val="18"/>
              </w:rPr>
              <w:t xml:space="preserve">Optional MORTGAGE or deposit lien</w:t>
            </w:r>
          </w:p>
        </w:tc>
        <w:tc>
          <w:tcPr>
            <w:tcW w:w="1586" w:type="dxa"/>
          </w:tcPr>
          <w:p>
            <w:pPr>
              <w:pStyle w:val="Compact"/>
              <w:spacing w:after="40"/>
              <w:jc w:val="left"/>
            </w:pPr>
            <w:r>
              <w:rPr>
                <w:sz w:val="18"/>
              </w:rPr>
              <w:t xml:space="preserve">DISB-E to institution</w:t>
            </w:r>
          </w:p>
        </w:tc>
        <w:tc>
          <w:tcPr>
            <w:tcW w:w="936" w:type="dxa"/>
          </w:tcPr>
          <w:p>
            <w:pPr>
              <w:pStyle w:val="Compact"/>
              <w:spacing w:after="40"/>
              <w:jc w:val="left"/>
            </w:pPr>
            <w:r>
              <w:rPr>
                <w:rStyle w:val="VerbatimChar"/>
                <w:sz w:val="18"/>
              </w:rPr>
              <w:t xml:space="preserve">EDU</w:t>
            </w:r>
          </w:p>
        </w:tc>
      </w:tr>
      <w:tr>
        <w:tc>
          <w:tcPr>
            <w:tcW w:w="727" w:type="dxa"/>
          </w:tcPr>
          <w:p>
            <w:pPr>
              <w:pStyle w:val="Compact"/>
              <w:spacing w:after="40"/>
              <w:jc w:val="left"/>
            </w:pPr>
            <w:r>
              <w:rPr>
                <w:sz w:val="18"/>
              </w:rPr>
              <w:t xml:space="preserve">10</w:t>
            </w:r>
          </w:p>
        </w:tc>
        <w:tc>
          <w:tcPr>
            <w:tcW w:w="1497" w:type="dxa"/>
          </w:tcPr>
          <w:p>
            <w:pPr>
              <w:pStyle w:val="Compact"/>
              <w:spacing w:after="40"/>
              <w:jc w:val="left"/>
            </w:pPr>
            <w:r>
              <w:rPr>
                <w:sz w:val="18"/>
              </w:rPr>
              <w:t xml:space="preserve">Consumer Durable / POS (</w:t>
            </w:r>
            <w:r>
              <w:rPr>
                <w:rStyle w:val="VerbatimChar"/>
                <w:sz w:val="18"/>
              </w:rPr>
              <w:t xml:space="preserve">CD</w:t>
            </w:r>
            <w:r>
              <w:rPr>
                <w:sz w:val="18"/>
              </w:rPr>
              <w:t xml:space="preserve">)</w:t>
            </w:r>
          </w:p>
        </w:tc>
        <w:tc>
          <w:tcPr>
            <w:tcW w:w="1229" w:type="dxa"/>
          </w:tcPr>
          <w:p>
            <w:pPr>
              <w:pStyle w:val="Compact"/>
              <w:spacing w:after="40"/>
              <w:jc w:val="left"/>
            </w:pPr>
            <w:r>
              <w:rPr>
                <w:sz w:val="18"/>
              </w:rPr>
              <w:t xml:space="preserve">Merchant API, DSA</w:t>
            </w:r>
          </w:p>
        </w:tc>
        <w:tc>
          <w:tcPr>
            <w:tcW w:w="1738" w:type="dxa"/>
          </w:tcPr>
          <w:p>
            <w:pPr>
              <w:pStyle w:val="Compact"/>
              <w:spacing w:after="40"/>
              <w:jc w:val="left"/>
            </w:pPr>
            <w:r>
              <w:rPr>
                <w:sz w:val="18"/>
              </w:rPr>
              <w:t xml:space="preserve">CKYC; OKYC at point of sale</w:t>
            </w:r>
          </w:p>
        </w:tc>
        <w:tc>
          <w:tcPr>
            <w:tcW w:w="1925" w:type="dxa"/>
          </w:tcPr>
          <w:p>
            <w:pPr>
              <w:pStyle w:val="Compact"/>
              <w:spacing w:after="40"/>
              <w:jc w:val="left"/>
            </w:pPr>
            <w:r>
              <w:rPr>
                <w:sz w:val="18"/>
              </w:rPr>
              <w:t xml:space="preserve">None</w:t>
            </w:r>
          </w:p>
        </w:tc>
        <w:tc>
          <w:tcPr>
            <w:tcW w:w="1586" w:type="dxa"/>
          </w:tcPr>
          <w:p>
            <w:pPr>
              <w:pStyle w:val="Compact"/>
              <w:spacing w:after="40"/>
              <w:jc w:val="left"/>
            </w:pPr>
            <w:r>
              <w:rPr>
                <w:sz w:val="18"/>
              </w:rPr>
              <w:t xml:space="preserve">DISB-E to merchant</w:t>
            </w:r>
          </w:p>
        </w:tc>
        <w:tc>
          <w:tcPr>
            <w:tcW w:w="936" w:type="dxa"/>
          </w:tcPr>
          <w:p>
            <w:pPr>
              <w:pStyle w:val="Compact"/>
              <w:spacing w:after="40"/>
              <w:jc w:val="left"/>
            </w:pPr>
            <w:r>
              <w:rPr>
                <w:rStyle w:val="VerbatimChar"/>
                <w:sz w:val="18"/>
              </w:rPr>
              <w:t xml:space="preserve">CD</w:t>
            </w:r>
          </w:p>
        </w:tc>
      </w:tr>
      <w:tr>
        <w:tc>
          <w:tcPr>
            <w:tcW w:w="727" w:type="dxa"/>
          </w:tcPr>
          <w:p>
            <w:pPr>
              <w:pStyle w:val="Compact"/>
              <w:spacing w:after="40"/>
              <w:jc w:val="left"/>
            </w:pPr>
            <w:r>
              <w:rPr>
                <w:sz w:val="18"/>
              </w:rPr>
              <w:t xml:space="preserve">11</w:t>
            </w:r>
          </w:p>
        </w:tc>
        <w:tc>
          <w:tcPr>
            <w:tcW w:w="1497" w:type="dxa"/>
          </w:tcPr>
          <w:p>
            <w:pPr>
              <w:pStyle w:val="Compact"/>
              <w:spacing w:after="40"/>
              <w:jc w:val="left"/>
            </w:pPr>
            <w:r>
              <w:rPr>
                <w:sz w:val="18"/>
              </w:rPr>
              <w:t xml:space="preserve">Microfinance (</w:t>
            </w:r>
            <w:r>
              <w:rPr>
                <w:rStyle w:val="VerbatimChar"/>
                <w:sz w:val="18"/>
              </w:rPr>
              <w:t xml:space="preserve">MFI</w:t>
            </w:r>
            <w:r>
              <w:rPr>
                <w:sz w:val="18"/>
              </w:rPr>
              <w:t xml:space="preserve">)</w:t>
            </w:r>
          </w:p>
        </w:tc>
        <w:tc>
          <w:tcPr>
            <w:tcW w:w="1229" w:type="dxa"/>
          </w:tcPr>
          <w:p>
            <w:pPr>
              <w:pStyle w:val="Compact"/>
              <w:spacing w:after="40"/>
              <w:jc w:val="left"/>
            </w:pPr>
            <w:r>
              <w:rPr>
                <w:sz w:val="18"/>
              </w:rPr>
              <w:t xml:space="preserve">FA, BR, LSP</w:t>
            </w:r>
          </w:p>
        </w:tc>
        <w:tc>
          <w:tcPr>
            <w:tcW w:w="1738" w:type="dxa"/>
          </w:tcPr>
          <w:p>
            <w:pPr>
              <w:pStyle w:val="Compact"/>
              <w:spacing w:after="40"/>
              <w:jc w:val="left"/>
            </w:pPr>
            <w:r>
              <w:rPr>
                <w:sz w:val="18"/>
              </w:rPr>
              <w:t xml:space="preserve">DKYC or OKYC; household data</w:t>
            </w:r>
          </w:p>
        </w:tc>
        <w:tc>
          <w:tcPr>
            <w:tcW w:w="1925" w:type="dxa"/>
          </w:tcPr>
          <w:p>
            <w:pPr>
              <w:pStyle w:val="Compact"/>
              <w:spacing w:after="40"/>
              <w:jc w:val="left"/>
            </w:pPr>
            <w:r>
              <w:rPr>
                <w:sz w:val="18"/>
              </w:rPr>
              <w:t xml:space="preserve">None (collateral-free by definition, CF 51)</w:t>
            </w:r>
          </w:p>
        </w:tc>
        <w:tc>
          <w:tcPr>
            <w:tcW w:w="1586" w:type="dxa"/>
          </w:tcPr>
          <w:p>
            <w:pPr>
              <w:pStyle w:val="Compact"/>
              <w:spacing w:after="40"/>
              <w:jc w:val="left"/>
            </w:pPr>
            <w:r>
              <w:rPr>
                <w:sz w:val="18"/>
              </w:rPr>
              <w:t xml:space="preserve">DISB-B</w:t>
            </w:r>
          </w:p>
        </w:tc>
        <w:tc>
          <w:tcPr>
            <w:tcW w:w="936" w:type="dxa"/>
          </w:tcPr>
          <w:p>
            <w:pPr>
              <w:pStyle w:val="Compact"/>
              <w:spacing w:after="40"/>
              <w:jc w:val="left"/>
            </w:pPr>
            <w:r>
              <w:rPr>
                <w:rStyle w:val="VerbatimChar"/>
                <w:sz w:val="18"/>
              </w:rPr>
              <w:t xml:space="preserve">MFI</w:t>
            </w:r>
          </w:p>
        </w:tc>
      </w:tr>
      <w:tr>
        <w:tc>
          <w:tcPr>
            <w:tcW w:w="727" w:type="dxa"/>
          </w:tcPr>
          <w:p>
            <w:pPr>
              <w:pStyle w:val="Compact"/>
              <w:spacing w:after="40"/>
              <w:jc w:val="left"/>
            </w:pPr>
            <w:r>
              <w:rPr>
                <w:sz w:val="18"/>
              </w:rPr>
              <w:t xml:space="preserve">12</w:t>
            </w:r>
          </w:p>
        </w:tc>
        <w:tc>
          <w:tcPr>
            <w:tcW w:w="1497" w:type="dxa"/>
          </w:tcPr>
          <w:p>
            <w:pPr>
              <w:pStyle w:val="Compact"/>
              <w:spacing w:after="40"/>
              <w:jc w:val="left"/>
            </w:pPr>
            <w:r>
              <w:rPr>
                <w:sz w:val="18"/>
              </w:rPr>
              <w:t xml:space="preserve">Supply-chain / Invoice / TReDS (</w:t>
            </w:r>
            <w:r>
              <w:rPr>
                <w:rStyle w:val="VerbatimChar"/>
                <w:sz w:val="18"/>
              </w:rPr>
              <w:t xml:space="preserve">SCF</w:t>
            </w:r>
            <w:r>
              <w:rPr>
                <w:sz w:val="18"/>
              </w:rPr>
              <w:t xml:space="preserve">)</w:t>
            </w:r>
          </w:p>
        </w:tc>
        <w:tc>
          <w:tcPr>
            <w:tcW w:w="1229" w:type="dxa"/>
          </w:tcPr>
          <w:p>
            <w:pPr>
              <w:pStyle w:val="Compact"/>
              <w:spacing w:after="40"/>
              <w:jc w:val="left"/>
            </w:pPr>
            <w:r>
              <w:rPr>
                <w:sz w:val="18"/>
              </w:rPr>
              <w:t xml:space="preserve">Anchor API, TReDS platform, LSP</w:t>
            </w:r>
          </w:p>
        </w:tc>
        <w:tc>
          <w:tcPr>
            <w:tcW w:w="1738" w:type="dxa"/>
          </w:tcPr>
          <w:p>
            <w:pPr>
              <w:pStyle w:val="Compact"/>
              <w:spacing w:after="40"/>
              <w:jc w:val="left"/>
            </w:pPr>
            <w:r>
              <w:rPr>
                <w:sz w:val="18"/>
              </w:rPr>
              <w:t xml:space="preserve">Legal-entity CDD for supplier and anchor</w:t>
            </w:r>
          </w:p>
        </w:tc>
        <w:tc>
          <w:tcPr>
            <w:tcW w:w="1925" w:type="dxa"/>
          </w:tcPr>
          <w:p>
            <w:pPr>
              <w:pStyle w:val="Compact"/>
              <w:spacing w:after="40"/>
              <w:jc w:val="left"/>
            </w:pPr>
            <w:r>
              <w:rPr>
                <w:sz w:val="18"/>
              </w:rPr>
              <w:t xml:space="preserve">Assignment of receivables; CERSAI filed by the TReDS platform for factoring units</w:t>
            </w:r>
          </w:p>
        </w:tc>
        <w:tc>
          <w:tcPr>
            <w:tcW w:w="1586" w:type="dxa"/>
          </w:tcPr>
          <w:p>
            <w:pPr>
              <w:pStyle w:val="Compact"/>
              <w:spacing w:after="40"/>
              <w:jc w:val="left"/>
            </w:pPr>
            <w:r>
              <w:rPr>
                <w:sz w:val="18"/>
              </w:rPr>
              <w:t xml:space="preserve">DISB-B to supplier account</w:t>
            </w:r>
          </w:p>
        </w:tc>
        <w:tc>
          <w:tcPr>
            <w:tcW w:w="936" w:type="dxa"/>
          </w:tcPr>
          <w:p>
            <w:pPr>
              <w:pStyle w:val="Compact"/>
              <w:spacing w:after="40"/>
              <w:jc w:val="left"/>
            </w:pPr>
            <w:r>
              <w:rPr>
                <w:rStyle w:val="VerbatimChar"/>
                <w:sz w:val="18"/>
              </w:rPr>
              <w:t xml:space="preserve">SCF</w:t>
            </w:r>
          </w:p>
        </w:tc>
      </w:tr>
      <w:tr>
        <w:tc>
          <w:tcPr>
            <w:tcW w:w="727" w:type="dxa"/>
          </w:tcPr>
          <w:p>
            <w:pPr>
              <w:pStyle w:val="Compact"/>
              <w:spacing w:after="40"/>
              <w:jc w:val="left"/>
            </w:pPr>
            <w:r>
              <w:rPr>
                <w:sz w:val="18"/>
              </w:rPr>
              <w:t xml:space="preserve">13</w:t>
            </w:r>
          </w:p>
        </w:tc>
        <w:tc>
          <w:tcPr>
            <w:tcW w:w="1497" w:type="dxa"/>
          </w:tcPr>
          <w:p>
            <w:pPr>
              <w:pStyle w:val="Compact"/>
              <w:spacing w:after="40"/>
              <w:jc w:val="left"/>
            </w:pPr>
            <w:r>
              <w:rPr>
                <w:sz w:val="18"/>
              </w:rPr>
              <w:t xml:space="preserve">Medical and Insurance Finance (</w:t>
            </w:r>
            <w:r>
              <w:rPr>
                <w:rStyle w:val="VerbatimChar"/>
                <w:sz w:val="18"/>
              </w:rPr>
              <w:t xml:space="preserve">MED</w:t>
            </w:r>
            <w:r>
              <w:rPr>
                <w:sz w:val="18"/>
              </w:rPr>
              <w:t xml:space="preserve">)</w:t>
            </w:r>
          </w:p>
        </w:tc>
        <w:tc>
          <w:tcPr>
            <w:tcW w:w="1229" w:type="dxa"/>
          </w:tcPr>
          <w:p>
            <w:pPr>
              <w:pStyle w:val="Compact"/>
              <w:spacing w:after="40"/>
              <w:jc w:val="left"/>
            </w:pPr>
            <w:r>
              <w:rPr>
                <w:sz w:val="18"/>
              </w:rPr>
              <w:t xml:space="preserve">Institution API, LSP</w:t>
            </w:r>
          </w:p>
        </w:tc>
        <w:tc>
          <w:tcPr>
            <w:tcW w:w="1738" w:type="dxa"/>
          </w:tcPr>
          <w:p>
            <w:pPr>
              <w:pStyle w:val="Compact"/>
              <w:spacing w:after="40"/>
              <w:jc w:val="left"/>
            </w:pPr>
            <w:r>
              <w:rPr>
                <w:sz w:val="18"/>
              </w:rPr>
              <w:t xml:space="preserve">As PL</w:t>
            </w:r>
          </w:p>
        </w:tc>
        <w:tc>
          <w:tcPr>
            <w:tcW w:w="1925" w:type="dxa"/>
          </w:tcPr>
          <w:p>
            <w:pPr>
              <w:pStyle w:val="Compact"/>
              <w:spacing w:after="40"/>
              <w:jc w:val="left"/>
            </w:pPr>
            <w:r>
              <w:rPr>
                <w:sz w:val="18"/>
              </w:rPr>
              <w:t xml:space="preserve">None</w:t>
            </w:r>
          </w:p>
        </w:tc>
        <w:tc>
          <w:tcPr>
            <w:tcW w:w="1586" w:type="dxa"/>
          </w:tcPr>
          <w:p>
            <w:pPr>
              <w:pStyle w:val="Compact"/>
              <w:spacing w:after="40"/>
              <w:jc w:val="left"/>
            </w:pPr>
            <w:r>
              <w:rPr>
                <w:sz w:val="18"/>
              </w:rPr>
              <w:t xml:space="preserve">DISB-E to provider or insurer</w:t>
            </w:r>
          </w:p>
        </w:tc>
        <w:tc>
          <w:tcPr>
            <w:tcW w:w="936" w:type="dxa"/>
          </w:tcPr>
          <w:p>
            <w:pPr>
              <w:pStyle w:val="Compact"/>
              <w:spacing w:after="40"/>
              <w:jc w:val="left"/>
            </w:pPr>
            <w:r>
              <w:rPr>
                <w:rStyle w:val="VerbatimChar"/>
                <w:sz w:val="18"/>
              </w:rPr>
              <w:t xml:space="preserve">MED</w:t>
            </w:r>
          </w:p>
        </w:tc>
      </w:tr>
      <w:tr>
        <w:tc>
          <w:tcPr>
            <w:tcW w:w="727" w:type="dxa"/>
          </w:tcPr>
          <w:p>
            <w:pPr>
              <w:pStyle w:val="Compact"/>
              <w:spacing w:after="40"/>
              <w:jc w:val="left"/>
            </w:pPr>
            <w:r>
              <w:rPr>
                <w:sz w:val="18"/>
              </w:rPr>
              <w:t xml:space="preserve">14</w:t>
            </w:r>
          </w:p>
        </w:tc>
        <w:tc>
          <w:tcPr>
            <w:tcW w:w="1497" w:type="dxa"/>
          </w:tcPr>
          <w:p>
            <w:pPr>
              <w:pStyle w:val="Compact"/>
              <w:spacing w:after="40"/>
              <w:jc w:val="left"/>
            </w:pPr>
            <w:r>
              <w:rPr>
                <w:sz w:val="18"/>
              </w:rPr>
              <w:t xml:space="preserve">Legal Expense and Award-Enforcement Finance (</w:t>
            </w:r>
            <w:r>
              <w:rPr>
                <w:rStyle w:val="VerbatimChar"/>
                <w:sz w:val="18"/>
              </w:rPr>
              <w:t xml:space="preserve">LEF</w:t>
            </w:r>
            <w:r>
              <w:rPr>
                <w:sz w:val="18"/>
              </w:rPr>
              <w:t xml:space="preserve">)</w:t>
            </w:r>
          </w:p>
        </w:tc>
        <w:tc>
          <w:tcPr>
            <w:tcW w:w="1229" w:type="dxa"/>
          </w:tcPr>
          <w:p>
            <w:pPr>
              <w:pStyle w:val="Compact"/>
              <w:spacing w:after="40"/>
              <w:jc w:val="left"/>
            </w:pPr>
            <w:r>
              <w:rPr>
                <w:sz w:val="18"/>
              </w:rPr>
              <w:t xml:space="preserve">BR, LSP</w:t>
            </w:r>
          </w:p>
        </w:tc>
        <w:tc>
          <w:tcPr>
            <w:tcW w:w="1738" w:type="dxa"/>
          </w:tcPr>
          <w:p>
            <w:pPr>
              <w:pStyle w:val="Compact"/>
              <w:spacing w:after="40"/>
              <w:jc w:val="left"/>
            </w:pPr>
            <w:r>
              <w:rPr>
                <w:sz w:val="18"/>
              </w:rPr>
              <w:t xml:space="preserve">As PL or LE</w:t>
            </w:r>
          </w:p>
        </w:tc>
        <w:tc>
          <w:tcPr>
            <w:tcW w:w="1925" w:type="dxa"/>
          </w:tcPr>
          <w:p>
            <w:pPr>
              <w:pStyle w:val="Compact"/>
              <w:spacing w:after="40"/>
              <w:jc w:val="left"/>
            </w:pPr>
            <w:r>
              <w:rPr>
                <w:sz w:val="18"/>
              </w:rPr>
              <w:t xml:space="preserve">None by default</w:t>
            </w:r>
          </w:p>
        </w:tc>
        <w:tc>
          <w:tcPr>
            <w:tcW w:w="1586" w:type="dxa"/>
          </w:tcPr>
          <w:p>
            <w:pPr>
              <w:pStyle w:val="Compact"/>
              <w:spacing w:after="40"/>
              <w:jc w:val="left"/>
            </w:pPr>
            <w:r>
              <w:rPr>
                <w:sz w:val="18"/>
              </w:rPr>
              <w:t xml:space="preserve">DISB-E to counsel or court where permitted, else DISB-B</w:t>
            </w:r>
          </w:p>
        </w:tc>
        <w:tc>
          <w:tcPr>
            <w:tcW w:w="936" w:type="dxa"/>
          </w:tcPr>
          <w:p>
            <w:pPr>
              <w:pStyle w:val="Compact"/>
              <w:spacing w:after="40"/>
              <w:jc w:val="left"/>
            </w:pPr>
            <w:r>
              <w:rPr>
                <w:rStyle w:val="VerbatimChar"/>
                <w:sz w:val="18"/>
              </w:rPr>
              <w:t xml:space="preserve">LEF</w:t>
            </w:r>
          </w:p>
        </w:tc>
      </w:tr>
      <w:tr>
        <w:tc>
          <w:tcPr>
            <w:tcW w:w="727" w:type="dxa"/>
          </w:tcPr>
          <w:p>
            <w:pPr>
              <w:pStyle w:val="Compact"/>
              <w:spacing w:after="40"/>
              <w:jc w:val="left"/>
            </w:pPr>
            <w:r>
              <w:rPr>
                <w:sz w:val="18"/>
              </w:rPr>
              <w:t xml:space="preserve">15</w:t>
            </w:r>
          </w:p>
        </w:tc>
        <w:tc>
          <w:tcPr>
            <w:tcW w:w="1497" w:type="dxa"/>
          </w:tcPr>
          <w:p>
            <w:pPr>
              <w:pStyle w:val="Compact"/>
              <w:spacing w:after="40"/>
              <w:jc w:val="left"/>
            </w:pPr>
            <w:r>
              <w:rPr>
                <w:sz w:val="18"/>
              </w:rPr>
              <w:t xml:space="preserve">Resolution Finance (</w:t>
            </w:r>
            <w:r>
              <w:rPr>
                <w:rStyle w:val="VerbatimChar"/>
                <w:sz w:val="18"/>
              </w:rPr>
              <w:t xml:space="preserve">RF</w:t>
            </w:r>
            <w:r>
              <w:rPr>
                <w:sz w:val="18"/>
              </w:rPr>
              <w:t xml:space="preserve">)</w:t>
            </w:r>
          </w:p>
        </w:tc>
        <w:tc>
          <w:tcPr>
            <w:tcW w:w="1229" w:type="dxa"/>
          </w:tcPr>
          <w:p>
            <w:pPr>
              <w:pStyle w:val="Compact"/>
              <w:spacing w:after="40"/>
              <w:jc w:val="left"/>
            </w:pPr>
            <w:r>
              <w:rPr>
                <w:sz w:val="18"/>
              </w:rPr>
              <w:t xml:space="preserve">LSP, BR, Equator referral</w:t>
            </w:r>
          </w:p>
        </w:tc>
        <w:tc>
          <w:tcPr>
            <w:tcW w:w="1738" w:type="dxa"/>
          </w:tcPr>
          <w:p>
            <w:pPr>
              <w:pStyle w:val="Compact"/>
              <w:spacing w:after="40"/>
              <w:jc w:val="left"/>
            </w:pPr>
            <w:r>
              <w:rPr>
                <w:sz w:val="18"/>
              </w:rPr>
              <w:t xml:space="preserve">As PL or LE</w:t>
            </w:r>
          </w:p>
        </w:tc>
        <w:tc>
          <w:tcPr>
            <w:tcW w:w="1925" w:type="dxa"/>
          </w:tcPr>
          <w:p>
            <w:pPr>
              <w:pStyle w:val="Compact"/>
              <w:spacing w:after="40"/>
              <w:jc w:val="left"/>
            </w:pPr>
            <w:r>
              <w:rPr>
                <w:sz w:val="18"/>
              </w:rPr>
              <w:t xml:space="preserve">As refinanced facility</w:t>
            </w:r>
          </w:p>
        </w:tc>
        <w:tc>
          <w:tcPr>
            <w:tcW w:w="1586" w:type="dxa"/>
          </w:tcPr>
          <w:p>
            <w:pPr>
              <w:pStyle w:val="Compact"/>
              <w:spacing w:after="40"/>
              <w:jc w:val="left"/>
            </w:pPr>
            <w:r>
              <w:rPr>
                <w:sz w:val="18"/>
              </w:rPr>
              <w:t xml:space="preserve">DISB-E to the creditor being settled</w:t>
            </w:r>
          </w:p>
        </w:tc>
        <w:tc>
          <w:tcPr>
            <w:tcW w:w="936" w:type="dxa"/>
          </w:tcPr>
          <w:p>
            <w:pPr>
              <w:pStyle w:val="Compact"/>
              <w:spacing w:after="40"/>
              <w:jc w:val="left"/>
            </w:pPr>
            <w:r>
              <w:rPr>
                <w:rStyle w:val="VerbatimChar"/>
                <w:sz w:val="18"/>
              </w:rPr>
              <w:t xml:space="preserve">RF</w:t>
            </w:r>
          </w:p>
        </w:tc>
      </w:tr>
      <w:tr>
        <w:tc>
          <w:tcPr>
            <w:tcW w:w="727" w:type="dxa"/>
          </w:tcPr>
          <w:p>
            <w:pPr>
              <w:pStyle w:val="Compact"/>
              <w:spacing w:after="40"/>
              <w:jc w:val="left"/>
            </w:pPr>
            <w:r>
              <w:rPr>
                <w:sz w:val="18"/>
              </w:rPr>
              <w:t xml:space="preserve">16</w:t>
            </w:r>
          </w:p>
        </w:tc>
        <w:tc>
          <w:tcPr>
            <w:tcW w:w="1497" w:type="dxa"/>
          </w:tcPr>
          <w:p>
            <w:pPr>
              <w:pStyle w:val="Compact"/>
              <w:spacing w:after="40"/>
              <w:jc w:val="left"/>
            </w:pPr>
            <w:r>
              <w:rPr>
                <w:sz w:val="18"/>
              </w:rPr>
              <w:t xml:space="preserve">Debt Reset / Consolidation (</w:t>
            </w:r>
            <w:r>
              <w:rPr>
                <w:rStyle w:val="VerbatimChar"/>
                <w:sz w:val="18"/>
              </w:rPr>
              <w:t xml:space="preserve">DR</w:t>
            </w:r>
            <w:r>
              <w:rPr>
                <w:sz w:val="18"/>
              </w:rPr>
              <w:t xml:space="preserve">)</w:t>
            </w:r>
          </w:p>
        </w:tc>
        <w:tc>
          <w:tcPr>
            <w:tcW w:w="1229" w:type="dxa"/>
          </w:tcPr>
          <w:p>
            <w:pPr>
              <w:pStyle w:val="Compact"/>
              <w:spacing w:after="40"/>
              <w:jc w:val="left"/>
            </w:pPr>
            <w:r>
              <w:rPr>
                <w:sz w:val="18"/>
              </w:rPr>
              <w:t xml:space="preserve">BR, LSP</w:t>
            </w:r>
          </w:p>
        </w:tc>
        <w:tc>
          <w:tcPr>
            <w:tcW w:w="1738" w:type="dxa"/>
          </w:tcPr>
          <w:p>
            <w:pPr>
              <w:pStyle w:val="Compact"/>
              <w:spacing w:after="40"/>
              <w:jc w:val="left"/>
            </w:pPr>
            <w:r>
              <w:rPr>
                <w:sz w:val="18"/>
              </w:rPr>
              <w:t xml:space="preserve">As PL</w:t>
            </w:r>
          </w:p>
        </w:tc>
        <w:tc>
          <w:tcPr>
            <w:tcW w:w="1925" w:type="dxa"/>
          </w:tcPr>
          <w:p>
            <w:pPr>
              <w:pStyle w:val="Compact"/>
              <w:spacing w:after="40"/>
              <w:jc w:val="left"/>
            </w:pPr>
            <w:r>
              <w:rPr>
                <w:sz w:val="18"/>
              </w:rPr>
              <w:t xml:space="preserve">As refinanced facility</w:t>
            </w:r>
          </w:p>
        </w:tc>
        <w:tc>
          <w:tcPr>
            <w:tcW w:w="1586" w:type="dxa"/>
          </w:tcPr>
          <w:p>
            <w:pPr>
              <w:pStyle w:val="Compact"/>
              <w:spacing w:after="40"/>
              <w:jc w:val="left"/>
            </w:pPr>
            <w:r>
              <w:rPr>
                <w:sz w:val="18"/>
              </w:rPr>
              <w:t xml:space="preserve">DISB-E to existing lenders</w:t>
            </w:r>
          </w:p>
        </w:tc>
        <w:tc>
          <w:tcPr>
            <w:tcW w:w="936" w:type="dxa"/>
          </w:tcPr>
          <w:p>
            <w:pPr>
              <w:pStyle w:val="Compact"/>
              <w:spacing w:after="40"/>
              <w:jc w:val="left"/>
            </w:pPr>
            <w:r>
              <w:rPr>
                <w:rStyle w:val="VerbatimChar"/>
                <w:sz w:val="18"/>
              </w:rPr>
              <w:t xml:space="preserve">DR</w:t>
            </w:r>
          </w:p>
        </w:tc>
      </w:tr>
      <w:tr>
        <w:tc>
          <w:tcPr>
            <w:tcW w:w="727" w:type="dxa"/>
          </w:tcPr>
          <w:p>
            <w:pPr>
              <w:pStyle w:val="Compact"/>
              <w:spacing w:after="40"/>
              <w:jc w:val="left"/>
            </w:pPr>
            <w:r>
              <w:rPr>
                <w:sz w:val="18"/>
              </w:rPr>
              <w:t xml:space="preserve">17</w:t>
            </w:r>
          </w:p>
        </w:tc>
        <w:tc>
          <w:tcPr>
            <w:tcW w:w="1497" w:type="dxa"/>
          </w:tcPr>
          <w:p>
            <w:pPr>
              <w:pStyle w:val="Compact"/>
              <w:spacing w:after="40"/>
              <w:jc w:val="left"/>
            </w:pPr>
            <w:r>
              <w:rPr>
                <w:sz w:val="18"/>
              </w:rPr>
              <w:t xml:space="preserve">Co-lending products (</w:t>
            </w:r>
            <w:r>
              <w:rPr>
                <w:rStyle w:val="VerbatimChar"/>
                <w:sz w:val="18"/>
              </w:rPr>
              <w:t xml:space="preserve">CLN-[base]</w:t>
            </w:r>
            <w:r>
              <w:rPr>
                <w:sz w:val="18"/>
              </w:rPr>
              <w:t xml:space="preserve">)</w:t>
            </w:r>
          </w:p>
        </w:tc>
        <w:tc>
          <w:tcPr>
            <w:tcW w:w="1229" w:type="dxa"/>
          </w:tcPr>
          <w:p>
            <w:pPr>
              <w:pStyle w:val="Compact"/>
              <w:spacing w:after="40"/>
              <w:jc w:val="left"/>
            </w:pPr>
            <w:r>
              <w:rPr>
                <w:sz w:val="18"/>
              </w:rPr>
              <w:t xml:space="preserve">CLO, LSP, BR</w:t>
            </w:r>
          </w:p>
        </w:tc>
        <w:tc>
          <w:tcPr>
            <w:tcW w:w="1738" w:type="dxa"/>
          </w:tcPr>
          <w:p>
            <w:pPr>
              <w:pStyle w:val="Compact"/>
              <w:spacing w:after="40"/>
              <w:jc w:val="left"/>
            </w:pPr>
            <w:r>
              <w:rPr>
                <w:sz w:val="18"/>
              </w:rPr>
              <w:t xml:space="preserve">Partner may rely on the originator’s CIP (TDCR 120)</w:t>
            </w:r>
          </w:p>
        </w:tc>
        <w:tc>
          <w:tcPr>
            <w:tcW w:w="1925" w:type="dxa"/>
          </w:tcPr>
          <w:p>
            <w:pPr>
              <w:pStyle w:val="Compact"/>
              <w:spacing w:after="40"/>
              <w:jc w:val="left"/>
            </w:pPr>
            <w:r>
              <w:rPr>
                <w:sz w:val="18"/>
              </w:rPr>
              <w:t xml:space="preserve">As base product; charge held per the CLA</w:t>
            </w:r>
          </w:p>
        </w:tc>
        <w:tc>
          <w:tcPr>
            <w:tcW w:w="1586" w:type="dxa"/>
          </w:tcPr>
          <w:p>
            <w:pPr>
              <w:pStyle w:val="Compact"/>
              <w:spacing w:after="40"/>
              <w:jc w:val="left"/>
            </w:pPr>
            <w:r>
              <w:rPr>
                <w:sz w:val="18"/>
              </w:rPr>
              <w:t xml:space="preserve">DISB-ESC (TDCR 117)</w:t>
            </w:r>
          </w:p>
        </w:tc>
        <w:tc>
          <w:tcPr>
            <w:tcW w:w="936" w:type="dxa"/>
          </w:tcPr>
          <w:p>
            <w:pPr>
              <w:pStyle w:val="Compact"/>
              <w:spacing w:after="40"/>
              <w:jc w:val="left"/>
            </w:pPr>
            <w:r>
              <w:rPr>
                <w:rStyle w:val="VerbatimChar"/>
                <w:sz w:val="18"/>
              </w:rPr>
              <w:t xml:space="preserve">CLN</w:t>
            </w:r>
            <w:r>
              <w:rPr>
                <w:sz w:val="18"/>
              </w:rPr>
              <w:t xml:space="preserve"> </w:t>
            </w:r>
            <w:r>
              <w:rPr>
                <w:sz w:val="18"/>
              </w:rPr>
              <w:t xml:space="preserve">overlay on base</w:t>
            </w:r>
          </w:p>
        </w:tc>
      </w:tr>
      <w:tr>
        <w:tc>
          <w:tcPr>
            <w:tcW w:w="727" w:type="dxa"/>
          </w:tcPr>
          <w:p>
            <w:pPr>
              <w:pStyle w:val="Compact"/>
              <w:spacing w:after="40"/>
              <w:jc w:val="left"/>
            </w:pPr>
            <w:r>
              <w:rPr>
                <w:sz w:val="18"/>
              </w:rPr>
              <w:t xml:space="preserve">18</w:t>
            </w:r>
          </w:p>
        </w:tc>
        <w:tc>
          <w:tcPr>
            <w:tcW w:w="1497" w:type="dxa"/>
          </w:tcPr>
          <w:p>
            <w:pPr>
              <w:pStyle w:val="Compact"/>
              <w:spacing w:after="40"/>
              <w:jc w:val="left"/>
            </w:pPr>
            <w:r>
              <w:rPr>
                <w:sz w:val="18"/>
              </w:rPr>
              <w:t xml:space="preserve">Loans to entities (</w:t>
            </w:r>
            <w:r>
              <w:rPr>
                <w:rStyle w:val="VerbatimChar"/>
                <w:sz w:val="18"/>
              </w:rPr>
              <w:t xml:space="preserve">CORP</w:t>
            </w:r>
            <w:r>
              <w:rPr>
                <w:sz w:val="18"/>
              </w:rPr>
              <w:t xml:space="preserve">)</w:t>
            </w:r>
          </w:p>
        </w:tc>
        <w:tc>
          <w:tcPr>
            <w:tcW w:w="1229" w:type="dxa"/>
          </w:tcPr>
          <w:p>
            <w:pPr>
              <w:pStyle w:val="Compact"/>
              <w:spacing w:after="40"/>
              <w:jc w:val="left"/>
            </w:pPr>
            <w:r>
              <w:rPr>
                <w:sz w:val="18"/>
              </w:rPr>
              <w:t xml:space="preserve">BR, RM</w:t>
            </w:r>
          </w:p>
        </w:tc>
        <w:tc>
          <w:tcPr>
            <w:tcW w:w="1738" w:type="dxa"/>
          </w:tcPr>
          <w:p>
            <w:pPr>
              <w:pStyle w:val="Compact"/>
              <w:spacing w:after="40"/>
              <w:jc w:val="left"/>
            </w:pPr>
            <w:r>
              <w:rPr>
                <w:sz w:val="18"/>
              </w:rPr>
              <w:t xml:space="preserve">Legal-entity CDD, LEI</w:t>
            </w:r>
          </w:p>
        </w:tc>
        <w:tc>
          <w:tcPr>
            <w:tcW w:w="1925" w:type="dxa"/>
          </w:tcPr>
          <w:p>
            <w:pPr>
              <w:pStyle w:val="Compact"/>
              <w:spacing w:after="40"/>
              <w:jc w:val="left"/>
            </w:pPr>
            <w:r>
              <w:rPr>
                <w:sz w:val="18"/>
              </w:rPr>
              <w:t xml:space="preserve">HYPO-DEED, MORTGAGE, share pledge, guarantees; CERSAI-REG</w:t>
            </w:r>
          </w:p>
        </w:tc>
        <w:tc>
          <w:tcPr>
            <w:tcW w:w="1586" w:type="dxa"/>
          </w:tcPr>
          <w:p>
            <w:pPr>
              <w:pStyle w:val="Compact"/>
              <w:spacing w:after="40"/>
              <w:jc w:val="left"/>
            </w:pPr>
            <w:r>
              <w:rPr>
                <w:sz w:val="18"/>
              </w:rPr>
              <w:t xml:space="preserve">DISB-B; DISB-E by end use</w:t>
            </w:r>
          </w:p>
        </w:tc>
        <w:tc>
          <w:tcPr>
            <w:tcW w:w="936" w:type="dxa"/>
          </w:tcPr>
          <w:p>
            <w:pPr>
              <w:pStyle w:val="Compact"/>
              <w:spacing w:after="40"/>
              <w:jc w:val="left"/>
            </w:pPr>
            <w:r>
              <w:rPr>
                <w:rStyle w:val="VerbatimChar"/>
                <w:sz w:val="18"/>
              </w:rPr>
              <w:t xml:space="preserve">CORP</w:t>
            </w:r>
          </w:p>
        </w:tc>
      </w:tr>
      <w:tr>
        <w:tc>
          <w:tcPr>
            <w:tcW w:w="727" w:type="dxa"/>
          </w:tcPr>
          <w:p>
            <w:pPr>
              <w:pStyle w:val="Compact"/>
              <w:spacing w:after="40"/>
              <w:jc w:val="left"/>
            </w:pPr>
            <w:r>
              <w:rPr>
                <w:sz w:val="18"/>
              </w:rPr>
              <w:t xml:space="preserve">19</w:t>
            </w:r>
          </w:p>
        </w:tc>
        <w:tc>
          <w:tcPr>
            <w:tcW w:w="1497" w:type="dxa"/>
          </w:tcPr>
          <w:p>
            <w:pPr>
              <w:pStyle w:val="Compact"/>
              <w:spacing w:after="40"/>
              <w:jc w:val="left"/>
            </w:pPr>
            <w:r>
              <w:rPr>
                <w:sz w:val="18"/>
              </w:rPr>
              <w:t xml:space="preserve">Staff loans (</w:t>
            </w:r>
            <w:r>
              <w:rPr>
                <w:rStyle w:val="VerbatimChar"/>
                <w:sz w:val="18"/>
              </w:rPr>
              <w:t xml:space="preserve">STAFF</w:t>
            </w:r>
            <w:r>
              <w:rPr>
                <w:sz w:val="18"/>
              </w:rPr>
              <w:t xml:space="preserve">)</w:t>
            </w:r>
          </w:p>
        </w:tc>
        <w:tc>
          <w:tcPr>
            <w:tcW w:w="1229" w:type="dxa"/>
          </w:tcPr>
          <w:p>
            <w:pPr>
              <w:pStyle w:val="Compact"/>
              <w:spacing w:after="40"/>
              <w:jc w:val="left"/>
            </w:pPr>
            <w:r>
              <w:rPr>
                <w:sz w:val="18"/>
              </w:rPr>
              <w:t xml:space="preserve">HR workflow</w:t>
            </w:r>
          </w:p>
        </w:tc>
        <w:tc>
          <w:tcPr>
            <w:tcW w:w="1738" w:type="dxa"/>
          </w:tcPr>
          <w:p>
            <w:pPr>
              <w:pStyle w:val="Compact"/>
              <w:spacing w:after="40"/>
              <w:jc w:val="left"/>
            </w:pPr>
            <w:r>
              <w:rPr>
                <w:sz w:val="18"/>
              </w:rPr>
              <w:t xml:space="preserve">Existing employee KYC</w:t>
            </w:r>
          </w:p>
        </w:tc>
        <w:tc>
          <w:tcPr>
            <w:tcW w:w="1925" w:type="dxa"/>
          </w:tcPr>
          <w:p>
            <w:pPr>
              <w:pStyle w:val="Compact"/>
              <w:spacing w:after="40"/>
              <w:jc w:val="left"/>
            </w:pPr>
            <w:r>
              <w:rPr>
                <w:sz w:val="18"/>
              </w:rPr>
              <w:t xml:space="preserve">As product</w:t>
            </w:r>
          </w:p>
        </w:tc>
        <w:tc>
          <w:tcPr>
            <w:tcW w:w="1586" w:type="dxa"/>
          </w:tcPr>
          <w:p>
            <w:pPr>
              <w:pStyle w:val="Compact"/>
              <w:spacing w:after="40"/>
              <w:jc w:val="left"/>
            </w:pPr>
            <w:r>
              <w:rPr>
                <w:sz w:val="18"/>
              </w:rPr>
              <w:t xml:space="preserve">DISB-B</w:t>
            </w:r>
          </w:p>
        </w:tc>
        <w:tc>
          <w:tcPr>
            <w:tcW w:w="936" w:type="dxa"/>
          </w:tcPr>
          <w:p>
            <w:pPr>
              <w:pStyle w:val="Compact"/>
              <w:spacing w:after="40"/>
              <w:jc w:val="left"/>
            </w:pPr>
            <w:r>
              <w:rPr>
                <w:rStyle w:val="VerbatimChar"/>
                <w:sz w:val="18"/>
              </w:rPr>
              <w:t xml:space="preserve">STAFF</w:t>
            </w:r>
          </w:p>
        </w:tc>
      </w:tr>
      <w:tr>
        <w:tc>
          <w:tcPr>
            <w:tcW w:w="727" w:type="dxa"/>
          </w:tcPr>
          <w:p>
            <w:pPr>
              <w:pStyle w:val="Compact"/>
              <w:spacing w:after="40"/>
              <w:jc w:val="left"/>
            </w:pPr>
            <w:r>
              <w:rPr>
                <w:sz w:val="18"/>
              </w:rPr>
              <w:t xml:space="preserve">20</w:t>
            </w:r>
          </w:p>
        </w:tc>
        <w:tc>
          <w:tcPr>
            <w:tcW w:w="1497" w:type="dxa"/>
          </w:tcPr>
          <w:p>
            <w:pPr>
              <w:pStyle w:val="Compact"/>
              <w:spacing w:after="40"/>
              <w:jc w:val="left"/>
            </w:pPr>
            <w:r>
              <w:rPr>
                <w:sz w:val="18"/>
              </w:rPr>
              <w:t xml:space="preserve">Demand / Call Loan (</w:t>
            </w:r>
            <w:r>
              <w:rPr>
                <w:rStyle w:val="VerbatimChar"/>
                <w:sz w:val="18"/>
              </w:rPr>
              <w:t xml:space="preserve">DCL</w:t>
            </w:r>
            <w:r>
              <w:rPr>
                <w:sz w:val="18"/>
              </w:rPr>
              <w:t xml:space="preserve">)</w:t>
            </w:r>
          </w:p>
        </w:tc>
        <w:tc>
          <w:tcPr>
            <w:tcW w:w="1229" w:type="dxa"/>
          </w:tcPr>
          <w:p>
            <w:pPr>
              <w:pStyle w:val="Compact"/>
              <w:spacing w:after="40"/>
              <w:jc w:val="left"/>
            </w:pPr>
            <w:r>
              <w:rPr>
                <w:sz w:val="18"/>
              </w:rPr>
              <w:t xml:space="preserve">BR, RM</w:t>
            </w:r>
          </w:p>
        </w:tc>
        <w:tc>
          <w:tcPr>
            <w:tcW w:w="1738" w:type="dxa"/>
          </w:tcPr>
          <w:p>
            <w:pPr>
              <w:pStyle w:val="Compact"/>
              <w:spacing w:after="40"/>
              <w:jc w:val="left"/>
            </w:pPr>
            <w:r>
              <w:rPr>
                <w:sz w:val="18"/>
              </w:rPr>
              <w:t xml:space="preserve">As borrower type</w:t>
            </w:r>
          </w:p>
        </w:tc>
        <w:tc>
          <w:tcPr>
            <w:tcW w:w="1925" w:type="dxa"/>
          </w:tcPr>
          <w:p>
            <w:pPr>
              <w:pStyle w:val="Compact"/>
              <w:spacing w:after="40"/>
              <w:jc w:val="left"/>
            </w:pPr>
            <w:r>
              <w:rPr>
                <w:sz w:val="18"/>
              </w:rPr>
              <w:t xml:space="preserve">As agreed</w:t>
            </w:r>
          </w:p>
        </w:tc>
        <w:tc>
          <w:tcPr>
            <w:tcW w:w="1586" w:type="dxa"/>
          </w:tcPr>
          <w:p>
            <w:pPr>
              <w:pStyle w:val="Compact"/>
              <w:spacing w:after="40"/>
              <w:jc w:val="left"/>
            </w:pPr>
            <w:r>
              <w:rPr>
                <w:sz w:val="18"/>
              </w:rPr>
              <w:t xml:space="preserve">DISB-B</w:t>
            </w:r>
          </w:p>
        </w:tc>
        <w:tc>
          <w:tcPr>
            <w:tcW w:w="936" w:type="dxa"/>
          </w:tcPr>
          <w:p>
            <w:pPr>
              <w:pStyle w:val="Compact"/>
              <w:spacing w:after="40"/>
              <w:jc w:val="left"/>
            </w:pPr>
            <w:r>
              <w:rPr>
                <w:rStyle w:val="VerbatimChar"/>
                <w:sz w:val="18"/>
              </w:rPr>
              <w:t xml:space="preserve">DCL</w:t>
            </w:r>
          </w:p>
        </w:tc>
      </w:tr>
      <w:tr>
        <w:tc>
          <w:tcPr>
            <w:tcW w:w="727" w:type="dxa"/>
          </w:tcPr>
          <w:p>
            <w:pPr>
              <w:pStyle w:val="Compact"/>
              <w:spacing w:after="40"/>
              <w:jc w:val="left"/>
            </w:pPr>
            <w:r>
              <w:rPr>
                <w:sz w:val="18"/>
              </w:rPr>
              <w:t xml:space="preserve">21</w:t>
            </w:r>
          </w:p>
        </w:tc>
        <w:tc>
          <w:tcPr>
            <w:tcW w:w="1497" w:type="dxa"/>
          </w:tcPr>
          <w:p>
            <w:pPr>
              <w:pStyle w:val="Compact"/>
              <w:spacing w:after="40"/>
              <w:jc w:val="left"/>
            </w:pPr>
            <w:r>
              <w:rPr>
                <w:sz w:val="18"/>
              </w:rPr>
              <w:t xml:space="preserve">Project Finance (</w:t>
            </w:r>
            <w:r>
              <w:rPr>
                <w:rStyle w:val="VerbatimChar"/>
                <w:sz w:val="18"/>
              </w:rPr>
              <w:t xml:space="preserve">PF</w:t>
            </w:r>
            <w:r>
              <w:rPr>
                <w:sz w:val="18"/>
              </w:rPr>
              <w:t xml:space="preserve">)</w:t>
            </w:r>
          </w:p>
        </w:tc>
        <w:tc>
          <w:tcPr>
            <w:tcW w:w="1229" w:type="dxa"/>
          </w:tcPr>
          <w:p>
            <w:pPr>
              <w:pStyle w:val="Compact"/>
              <w:spacing w:after="40"/>
              <w:jc w:val="left"/>
            </w:pPr>
            <w:r>
              <w:rPr>
                <w:sz w:val="18"/>
              </w:rPr>
              <w:t xml:space="preserve">BR, RM, consortium</w:t>
            </w:r>
          </w:p>
        </w:tc>
        <w:tc>
          <w:tcPr>
            <w:tcW w:w="1738" w:type="dxa"/>
          </w:tcPr>
          <w:p>
            <w:pPr>
              <w:pStyle w:val="Compact"/>
              <w:spacing w:after="40"/>
              <w:jc w:val="left"/>
            </w:pPr>
            <w:r>
              <w:rPr>
                <w:sz w:val="18"/>
              </w:rPr>
              <w:t xml:space="preserve">Legal-entity CDD, LEI</w:t>
            </w:r>
          </w:p>
        </w:tc>
        <w:tc>
          <w:tcPr>
            <w:tcW w:w="1925" w:type="dxa"/>
          </w:tcPr>
          <w:p>
            <w:pPr>
              <w:pStyle w:val="Compact"/>
              <w:spacing w:after="40"/>
              <w:jc w:val="left"/>
            </w:pPr>
            <w:r>
              <w:rPr>
                <w:sz w:val="18"/>
              </w:rPr>
              <w:t xml:space="preserve">Common security package with security trustee; CERSAI-REG</w:t>
            </w:r>
          </w:p>
        </w:tc>
        <w:tc>
          <w:tcPr>
            <w:tcW w:w="1586" w:type="dxa"/>
          </w:tcPr>
          <w:p>
            <w:pPr>
              <w:pStyle w:val="Compact"/>
              <w:spacing w:after="40"/>
              <w:jc w:val="left"/>
            </w:pPr>
            <w:r>
              <w:rPr>
                <w:sz w:val="18"/>
              </w:rPr>
              <w:t xml:space="preserve">DISB-E stage-linked, LIE-certified</w:t>
            </w:r>
          </w:p>
        </w:tc>
        <w:tc>
          <w:tcPr>
            <w:tcW w:w="936" w:type="dxa"/>
          </w:tcPr>
          <w:p>
            <w:pPr>
              <w:pStyle w:val="Compact"/>
              <w:spacing w:after="40"/>
              <w:jc w:val="left"/>
            </w:pPr>
            <w:r>
              <w:rPr>
                <w:rStyle w:val="VerbatimChar"/>
                <w:sz w:val="18"/>
              </w:rPr>
              <w:t xml:space="preserve">PF</w:t>
            </w:r>
          </w:p>
        </w:tc>
      </w:tr>
    </w:tbl>
    <w:bookmarkEnd w:id="40"/>
    <w:bookmarkStart w:id="59" w:name="product-templates"/>
    <w:p>
      <w:pPr>
        <w:pStyle w:val="Heading3"/>
      </w:pPr>
      <w:r>
        <w:t xml:space="preserve">6.3.4 Product templates</w:t>
      </w:r>
    </w:p>
    <w:p>
      <w:pPr>
        <w:pStyle w:val="FirstParagraph"/>
      </w:pPr>
      <w:r>
        <w:t xml:space="preserve">Steps are listed in order and parallel steps are joined with</w:t>
      </w:r>
      <w:r>
        <w:t xml:space="preserve"> </w:t>
      </w:r>
      <w:r>
        <w:t xml:space="preserve">“</w:t>
      </w:r>
      <w:r>
        <w:t xml:space="preserve">+</w:t>
      </w:r>
      <w:r>
        <w:t xml:space="preserve">”</w:t>
      </w:r>
      <w:r>
        <w:t xml:space="preserve">. Every template ends with KFS → SANCTION → execution → perfection → disbursement → BOOK. Only product-specific content is listed.</w:t>
      </w:r>
    </w:p>
    <w:bookmarkStart w:id="41" w:name="product-1-personal-loan-pl"/>
    <w:p>
      <w:pPr>
        <w:pStyle w:val="Heading4"/>
      </w:pPr>
      <w:r>
        <w:t xml:space="preserve">Product 1 — Personal Loan (</w:t>
      </w:r>
      <w:r>
        <w:rPr>
          <w:rStyle w:val="VerbatimChar"/>
        </w:rPr>
        <w:t xml:space="preserve">PL</w:t>
      </w:r>
      <w:r>
        <w:t xml:space="preserve">)</w:t>
      </w:r>
    </w:p>
    <w:p>
      <w:pPr>
        <w:numPr>
          <w:ilvl w:val="0"/>
          <w:numId w:val="1061"/>
        </w:numPr>
        <w:pStyle w:val="Compact"/>
      </w:pPr>
      <w:r>
        <w:rPr>
          <w:bCs/>
          <w:b/>
        </w:rPr>
        <w:t xml:space="preserve">Steps:</w:t>
      </w:r>
      <w:r>
        <w:t xml:space="preserve"> </w:t>
      </w:r>
      <w:r>
        <w:t xml:space="preserve">LEAD → CONSENT → KYC (CKYC, else OKYC or V-CIP) → SCREEN → BUREAU + AA + BSA → BRE → (FI by rule) → CAM → DEV → KFS → SANCTION → ESIGN (+ ESTAMP by state) → MANDATE → DISB-B → BOOK.</w:t>
      </w:r>
    </w:p>
    <w:p>
      <w:pPr>
        <w:numPr>
          <w:ilvl w:val="0"/>
          <w:numId w:val="1061"/>
        </w:numPr>
        <w:pStyle w:val="Compact"/>
      </w:pPr>
      <w:r>
        <w:rPr>
          <w:bCs/>
          <w:b/>
        </w:rPr>
        <w:t xml:space="preserve">Appraisal:</w:t>
      </w:r>
      <w:r>
        <w:t xml:space="preserve"> </w:t>
      </w:r>
      <w:r>
        <w:t xml:space="preserve">FOIR on AA or bank-statement income; employer category; bureau rules; microfinance classifier (CF 51); age, occupation and income captured on digital loans, no automatic limit increase (CF 8).</w:t>
      </w:r>
    </w:p>
    <w:p>
      <w:pPr>
        <w:numPr>
          <w:ilvl w:val="0"/>
          <w:numId w:val="1061"/>
        </w:numPr>
        <w:pStyle w:val="Compact"/>
      </w:pPr>
      <w:r>
        <w:rPr>
          <w:bCs/>
          <w:b/>
        </w:rPr>
        <w:t xml:space="preserve">Servicing:</w:t>
      </w:r>
      <w:r>
        <w:t xml:space="preserve"> </w:t>
      </w:r>
      <w:r>
        <w:t xml:space="preserve">NACH or UPI AutoPay; no prepayment charge on floating-rate loans to individuals for non-business purposes (RBC 34); cooling-off on digital loans (CF 11).</w:t>
      </w:r>
    </w:p>
    <w:p>
      <w:pPr>
        <w:numPr>
          <w:ilvl w:val="0"/>
          <w:numId w:val="1061"/>
        </w:numPr>
        <w:pStyle w:val="Compact"/>
      </w:pPr>
      <w:r>
        <w:rPr>
          <w:bCs/>
          <w:b/>
        </w:rPr>
        <w:t xml:space="preserve">Recovery link (</w:t>
      </w:r>
      <w:r>
        <w:rPr>
          <w:rStyle w:val="VerbatimChar"/>
          <w:bCs/>
          <w:b/>
        </w:rPr>
        <w:t xml:space="preserve">PL</w:t>
      </w:r>
      <w:r>
        <w:rPr>
          <w:bCs/>
          <w:b/>
        </w:rPr>
        <w:t xml:space="preserve">):</w:t>
      </w:r>
      <w:r>
        <w:t xml:space="preserve"> </w:t>
      </w:r>
      <w:r>
        <w:t xml:space="preserve">unsecured track in R16: pre-legal (R2), s.25 PSS or s.138 if a mandate or cheque is held (R7), conciliation or Lok Adalat (R8), arbitration only with a pre-named institution or post-dispute consent (R8), civil or commercial suit (R5). No SARFAESI.</w:t>
      </w:r>
    </w:p>
    <w:bookmarkEnd w:id="41"/>
    <w:bookmarkStart w:id="42" w:name="product-2-payday-short-tenure-loan-pdl"/>
    <w:p>
      <w:pPr>
        <w:pStyle w:val="Heading4"/>
      </w:pPr>
      <w:r>
        <w:t xml:space="preserve">Product 2 — Payday / Short-tenure Loan (</w:t>
      </w:r>
      <w:r>
        <w:rPr>
          <w:rStyle w:val="VerbatimChar"/>
        </w:rPr>
        <w:t xml:space="preserve">PDL</w:t>
      </w:r>
      <w:r>
        <w:t xml:space="preserve">)</w:t>
      </w:r>
    </w:p>
    <w:p>
      <w:pPr>
        <w:numPr>
          <w:ilvl w:val="0"/>
          <w:numId w:val="1062"/>
        </w:numPr>
        <w:pStyle w:val="Compact"/>
      </w:pPr>
      <w:r>
        <w:rPr>
          <w:bCs/>
          <w:b/>
        </w:rPr>
        <w:t xml:space="preserve">Steps:</w:t>
      </w:r>
      <w:r>
        <w:t xml:space="preserve"> </w:t>
      </w:r>
      <w:r>
        <w:t xml:space="preserve">as PL, with KFS validity of 1 working day for tenor &lt; 7 days (RBC 29(2)); repeat-borrowing and affordability gate; Compliance product-approval gate and 6-month monitoring flag (CMP 9(7), 15(2), 31).</w:t>
      </w:r>
    </w:p>
    <w:p>
      <w:pPr>
        <w:numPr>
          <w:ilvl w:val="0"/>
          <w:numId w:val="1062"/>
        </w:numPr>
        <w:pStyle w:val="Compact"/>
      </w:pPr>
      <w:r>
        <w:rPr>
          <w:bCs/>
          <w:b/>
        </w:rPr>
        <w:t xml:space="preserve">Servicing:</w:t>
      </w:r>
      <w:r>
        <w:t xml:space="preserve"> </w:t>
      </w:r>
      <w:r>
        <w:t xml:space="preserve">bullet repayment; APR shown for tenor &lt; 7 days.</w:t>
      </w:r>
    </w:p>
    <w:p>
      <w:pPr>
        <w:numPr>
          <w:ilvl w:val="0"/>
          <w:numId w:val="1062"/>
        </w:numPr>
        <w:pStyle w:val="Compact"/>
      </w:pPr>
      <w:r>
        <w:rPr>
          <w:bCs/>
          <w:b/>
        </w:rPr>
        <w:t xml:space="preserve">Recovery link (</w:t>
      </w:r>
      <w:r>
        <w:rPr>
          <w:rStyle w:val="VerbatimChar"/>
          <w:bCs/>
          <w:b/>
        </w:rPr>
        <w:t xml:space="preserve">PDL</w:t>
      </w:r>
      <w:r>
        <w:rPr>
          <w:bCs/>
          <w:b/>
        </w:rPr>
        <w:t xml:space="preserve">):</w:t>
      </w:r>
      <w:r>
        <w:t xml:space="preserve"> </w:t>
      </w:r>
      <w:r>
        <w:t xml:space="preserve">as PL with a conduct-risk overlay (tighter contact caps in R15); no s.138 track unless a cheque is genuinely taken.</w:t>
      </w:r>
    </w:p>
    <w:bookmarkEnd w:id="42"/>
    <w:bookmarkStart w:id="43" w:name="product-3-business-msme-term-loan-msme"/>
    <w:p>
      <w:pPr>
        <w:pStyle w:val="Heading4"/>
      </w:pPr>
      <w:r>
        <w:t xml:space="preserve">Product 3 — Business / MSME Term Loan (</w:t>
      </w:r>
      <w:r>
        <w:rPr>
          <w:rStyle w:val="VerbatimChar"/>
        </w:rPr>
        <w:t xml:space="preserve">MSME</w:t>
      </w:r>
      <w:r>
        <w:t xml:space="preserve">)</w:t>
      </w:r>
    </w:p>
    <w:p>
      <w:pPr>
        <w:numPr>
          <w:ilvl w:val="0"/>
          <w:numId w:val="1063"/>
        </w:numPr>
        <w:pStyle w:val="Compact"/>
      </w:pPr>
      <w:r>
        <w:rPr>
          <w:bCs/>
          <w:b/>
        </w:rPr>
        <w:t xml:space="preserve">Steps:</w:t>
      </w:r>
      <w:r>
        <w:t xml:space="preserve"> </w:t>
      </w:r>
      <w:r>
        <w:t xml:space="preserve">LEAD → CONSENT → KYC-LE (or individual KYC for proprietors) → SCREEN → BUREAU (commercial and consumer for promoters) + AA + BSA + GST + UDYAM + MCA + ITR → FI + PD → (TECH + LEGAL if mortgage) → BRE → CAM → DEV → KFS → SANCTION → ESIGN + PHYS (guarantee deed, DP note) → HYPO-DEED or MORTGAGE → CERSAI-REG → CGTMSE cover registration → MANDATE → DISB-B or DISB-E → BOOK.</w:t>
      </w:r>
    </w:p>
    <w:p>
      <w:pPr>
        <w:numPr>
          <w:ilvl w:val="0"/>
          <w:numId w:val="1063"/>
        </w:numPr>
        <w:pStyle w:val="Compact"/>
      </w:pPr>
      <w:r>
        <w:rPr>
          <w:bCs/>
          <w:b/>
        </w:rPr>
        <w:t xml:space="preserve">Appraisal:</w:t>
      </w:r>
      <w:r>
        <w:t xml:space="preserve"> </w:t>
      </w:r>
      <w:r>
        <w:t xml:space="preserve">cash-flow DSCR, GST turnover reconciliation, banking conduct, promoter bureau; CGTMSE eligibility; a loan under a trust-fund guarantee scheme is blocked from DLG cover (CF 21(1)).</w:t>
      </w:r>
    </w:p>
    <w:p>
      <w:pPr>
        <w:numPr>
          <w:ilvl w:val="0"/>
          <w:numId w:val="1063"/>
        </w:numPr>
        <w:pStyle w:val="Compact"/>
      </w:pPr>
      <w:r>
        <w:rPr>
          <w:bCs/>
          <w:b/>
        </w:rPr>
        <w:t xml:space="preserve">Servicing:</w:t>
      </w:r>
      <w:r>
        <w:t xml:space="preserve"> </w:t>
      </w:r>
      <w:r>
        <w:t xml:space="preserve">MSE prepayment rule for floating-rate loans (Upper Layer all; Middle Layer up to ₹50 lakh sanctioned, RBC 34); covenant tracking.</w:t>
      </w:r>
    </w:p>
    <w:p>
      <w:pPr>
        <w:numPr>
          <w:ilvl w:val="0"/>
          <w:numId w:val="1063"/>
        </w:numPr>
        <w:pStyle w:val="Compact"/>
      </w:pPr>
      <w:r>
        <w:rPr>
          <w:bCs/>
          <w:b/>
        </w:rPr>
        <w:t xml:space="preserve">Recovery link (</w:t>
      </w:r>
      <w:r>
        <w:rPr>
          <w:rStyle w:val="VerbatimChar"/>
          <w:bCs/>
          <w:b/>
        </w:rPr>
        <w:t xml:space="preserve">MSME</w:t>
      </w:r>
      <w:r>
        <w:rPr>
          <w:bCs/>
          <w:b/>
        </w:rPr>
        <w:t xml:space="preserve">):</w:t>
      </w:r>
      <w:r>
        <w:t xml:space="preserve"> </w:t>
      </w:r>
      <w:r>
        <w:t xml:space="preserve">secured or unsecured track by</w:t>
      </w:r>
      <w:r>
        <w:t xml:space="preserve"> </w:t>
      </w:r>
      <w:r>
        <w:rPr>
          <w:rStyle w:val="VerbatimChar"/>
        </w:rPr>
        <w:t xml:space="preserve">mechanism_profile</w:t>
      </w:r>
      <w:r>
        <w:t xml:space="preserve">; CGTMSE claim after legal action starts, legal action waived for claims ≤ ₹10 lakh (CGTMSE scheme: 18-month lock-in; first instalment 75% of the eligible amount) [VERIFY: claim lodgement deadline]; IBC s.7 where the borrower is a corporate debtor and default ≥ ₹1 crore (R6); s.12A pre-institution mediation before a commercial suit (R5).</w:t>
      </w:r>
    </w:p>
    <w:bookmarkEnd w:id="43"/>
    <w:bookmarkStart w:id="44" w:name="product-4-loan-against-property-lap"/>
    <w:p>
      <w:pPr>
        <w:pStyle w:val="Heading4"/>
      </w:pPr>
      <w:r>
        <w:t xml:space="preserve">Product 4 — Loan Against Property (</w:t>
      </w:r>
      <w:r>
        <w:rPr>
          <w:rStyle w:val="VerbatimChar"/>
        </w:rPr>
        <w:t xml:space="preserve">LAP</w:t>
      </w:r>
      <w:r>
        <w:t xml:space="preserve">)</w:t>
      </w:r>
    </w:p>
    <w:p>
      <w:pPr>
        <w:numPr>
          <w:ilvl w:val="0"/>
          <w:numId w:val="1064"/>
        </w:numPr>
        <w:pStyle w:val="Compact"/>
      </w:pPr>
      <w:r>
        <w:rPr>
          <w:bCs/>
          <w:b/>
        </w:rPr>
        <w:t xml:space="preserve">Steps:</w:t>
      </w:r>
      <w:r>
        <w:t xml:space="preserve"> </w:t>
      </w:r>
      <w:r>
        <w:t xml:space="preserve">LEAD → CONSENT → KYC → SCREEN → BUREAU + AA + BSA → FI + PD → TECH (two valuers above threshold) + LEGAL (title search) + CERSAI-SEARCH + LAND → BRE → CAM → DEV → KFS → SANCTION → ESIGN (agreement) + PHYS (MOD or MODT, registered mortgage where required) → MORTGAGE → CERSAI-REG → INSURE → CUSTODY → MANDATE → DISB-B (BT payoff via DISB-E) → BOOK.</w:t>
      </w:r>
    </w:p>
    <w:p>
      <w:pPr>
        <w:numPr>
          <w:ilvl w:val="0"/>
          <w:numId w:val="1064"/>
        </w:numPr>
        <w:pStyle w:val="Compact"/>
      </w:pPr>
      <w:r>
        <w:rPr>
          <w:bCs/>
          <w:b/>
        </w:rPr>
        <w:t xml:space="preserve">Appraisal:</w:t>
      </w:r>
      <w:r>
        <w:t xml:space="preserve"> </w:t>
      </w:r>
      <w:r>
        <w:t xml:space="preserve">LTV on the lower valuation; title chain; agricultural-land flag (SARFAESI s.31(i) exclusion); LAP is not housing finance (CF 4(1)(xiv)).</w:t>
      </w:r>
    </w:p>
    <w:p>
      <w:pPr>
        <w:numPr>
          <w:ilvl w:val="0"/>
          <w:numId w:val="1064"/>
        </w:numPr>
        <w:pStyle w:val="Compact"/>
      </w:pPr>
      <w:r>
        <w:rPr>
          <w:bCs/>
          <w:b/>
        </w:rPr>
        <w:t xml:space="preserve">Servicing:</w:t>
      </w:r>
      <w:r>
        <w:t xml:space="preserve"> </w:t>
      </w:r>
      <w:r>
        <w:t xml:space="preserve">document release within 30 days of closure for personal loans, ₹5,000 a day where the delay is the lender’s (RBC 35–41); property insurance renewal.</w:t>
      </w:r>
    </w:p>
    <w:p>
      <w:pPr>
        <w:numPr>
          <w:ilvl w:val="0"/>
          <w:numId w:val="1064"/>
        </w:numPr>
        <w:pStyle w:val="Compact"/>
      </w:pPr>
      <w:r>
        <w:rPr>
          <w:bCs/>
          <w:b/>
        </w:rPr>
        <w:t xml:space="preserve">Recovery link (</w:t>
      </w:r>
      <w:r>
        <w:rPr>
          <w:rStyle w:val="VerbatimChar"/>
          <w:bCs/>
          <w:b/>
        </w:rPr>
        <w:t xml:space="preserve">LAP</w:t>
      </w:r>
      <w:r>
        <w:rPr>
          <w:bCs/>
          <w:b/>
        </w:rPr>
        <w:t xml:space="preserve">):</w:t>
      </w:r>
      <w:r>
        <w:t xml:space="preserve"> </w:t>
      </w:r>
      <w:r>
        <w:t xml:space="preserve">SARFAESI (R4) only if the tenant is SARFAESI-eligible (NBFC with assets ≥ ₹100 crore and debt ≥ ₹20 lakh, S.O. 652(E), 12 Feb 2021) and the charge is on CERSAI (s.26D); otherwise civil suit on the mortgage (R5); limitation 12 years for money charged on immovable property (Limitation Act Art. 62).</w:t>
      </w:r>
    </w:p>
    <w:bookmarkEnd w:id="44"/>
    <w:bookmarkStart w:id="45" w:name="product-5-home-loan-hl"/>
    <w:p>
      <w:pPr>
        <w:pStyle w:val="Heading4"/>
      </w:pPr>
      <w:r>
        <w:t xml:space="preserve">Product 5 — Home Loan (</w:t>
      </w:r>
      <w:r>
        <w:rPr>
          <w:rStyle w:val="VerbatimChar"/>
        </w:rPr>
        <w:t xml:space="preserve">HL</w:t>
      </w:r>
      <w:r>
        <w:t xml:space="preserve">)</w:t>
      </w:r>
    </w:p>
    <w:p>
      <w:pPr>
        <w:numPr>
          <w:ilvl w:val="0"/>
          <w:numId w:val="1065"/>
        </w:numPr>
        <w:pStyle w:val="Compact"/>
      </w:pPr>
      <w:r>
        <w:rPr>
          <w:bCs/>
          <w:b/>
        </w:rPr>
        <w:t xml:space="preserve">Steps:</w:t>
      </w:r>
      <w:r>
        <w:t xml:space="preserve"> </w:t>
      </w:r>
      <w:r>
        <w:t xml:space="preserve">as LAP, plus builder or project APF check, RERA and approvals, plot declaration (construct within 3 years, CF 4(1)(xiv)), stage inspection per tranche, tripartite agreement for under-construction property, PMAY-type subsidy capture.</w:t>
      </w:r>
    </w:p>
    <w:p>
      <w:pPr>
        <w:numPr>
          <w:ilvl w:val="0"/>
          <w:numId w:val="1065"/>
        </w:numPr>
        <w:pStyle w:val="Compact"/>
      </w:pPr>
      <w:r>
        <w:rPr>
          <w:bCs/>
          <w:b/>
        </w:rPr>
        <w:t xml:space="preserve">Disbursement:</w:t>
      </w:r>
      <w:r>
        <w:t xml:space="preserve"> </w:t>
      </w:r>
      <w:r>
        <w:t xml:space="preserve">DISB-E to seller or builder; tranches stage-linked; interest only from each disbursement and EMI only on the amount disbursed, with a revised schedule sent on each tranche (MSD 7(1)–(3)); real-estate loans disbursed only after statutory clearances (CF 108–111).</w:t>
      </w:r>
    </w:p>
    <w:p>
      <w:pPr>
        <w:numPr>
          <w:ilvl w:val="0"/>
          <w:numId w:val="1065"/>
        </w:numPr>
        <w:pStyle w:val="Compact"/>
      </w:pPr>
      <w:r>
        <w:rPr>
          <w:bCs/>
          <w:b/>
        </w:rPr>
        <w:t xml:space="preserve">Servicing:</w:t>
      </w:r>
      <w:r>
        <w:t xml:space="preserve"> </w:t>
      </w:r>
      <w:r>
        <w:t xml:space="preserve">PEMI then EMI; Sec 24(b)/80C certificates; HFC tenants follow the HFC Directions [VERIFY: not supplied].</w:t>
      </w:r>
    </w:p>
    <w:p>
      <w:pPr>
        <w:numPr>
          <w:ilvl w:val="0"/>
          <w:numId w:val="1065"/>
        </w:numPr>
        <w:pStyle w:val="Compact"/>
      </w:pPr>
      <w:r>
        <w:rPr>
          <w:bCs/>
          <w:b/>
        </w:rPr>
        <w:t xml:space="preserve">Recovery link (</w:t>
      </w:r>
      <w:r>
        <w:rPr>
          <w:rStyle w:val="VerbatimChar"/>
          <w:bCs/>
          <w:b/>
        </w:rPr>
        <w:t xml:space="preserve">HL</w:t>
      </w:r>
      <w:r>
        <w:rPr>
          <w:bCs/>
          <w:b/>
        </w:rPr>
        <w:t xml:space="preserve">):</w:t>
      </w:r>
      <w:r>
        <w:t xml:space="preserve"> </w:t>
      </w:r>
      <w:r>
        <w:t xml:space="preserve">as LAP. HFCs are notified financial institutions under SARFAESI s.2(1)(m)(iv), so the NBFC ₹20 lakh floor does not apply to them (</w:t>
      </w:r>
      <w:r>
        <w:rPr>
          <w:iCs/>
          <w:i/>
        </w:rPr>
        <w:t xml:space="preserve">Virendra Rathore v. Tehsildar</w:t>
      </w:r>
      <w:r>
        <w:t xml:space="preserve">, MP HC, 22 May 2024).</w:t>
      </w:r>
    </w:p>
    <w:bookmarkEnd w:id="45"/>
    <w:bookmarkStart w:id="46" w:name="product-6-vehicle-loan-vl"/>
    <w:p>
      <w:pPr>
        <w:pStyle w:val="Heading4"/>
      </w:pPr>
      <w:r>
        <w:t xml:space="preserve">Product 6 — Vehicle Loan (</w:t>
      </w:r>
      <w:r>
        <w:rPr>
          <w:rStyle w:val="VerbatimChar"/>
        </w:rPr>
        <w:t xml:space="preserve">VL</w:t>
      </w:r>
      <w:r>
        <w:t xml:space="preserve">)</w:t>
      </w:r>
    </w:p>
    <w:p>
      <w:pPr>
        <w:numPr>
          <w:ilvl w:val="0"/>
          <w:numId w:val="1066"/>
        </w:numPr>
        <w:pStyle w:val="Compact"/>
      </w:pPr>
      <w:r>
        <w:rPr>
          <w:bCs/>
          <w:b/>
        </w:rPr>
        <w:t xml:space="preserve">Steps:</w:t>
      </w:r>
      <w:r>
        <w:t xml:space="preserve"> </w:t>
      </w:r>
      <w:r>
        <w:t xml:space="preserve">dealer LEAD → CONSENT → KYC (DKYC at dealer) → SCREEN → BUREAU (+ AA for self-employed) → VAHAN (used vehicles: RC, prior hypothecation, challans) → valuation (used) → BRE → CAM → KFS → SANCTION → ESIGN (agreement with repossession clause, RBC 26) → MANDATE → DISB-E to dealer → HYPO-RTO at registration → INSURE → PDD (RC copy with endorsement) → BOOK.</w:t>
      </w:r>
    </w:p>
    <w:p>
      <w:pPr>
        <w:numPr>
          <w:ilvl w:val="0"/>
          <w:numId w:val="1066"/>
        </w:numPr>
        <w:pStyle w:val="Compact"/>
      </w:pPr>
      <w:r>
        <w:rPr>
          <w:bCs/>
          <w:b/>
        </w:rPr>
        <w:t xml:space="preserve">Appraisal:</w:t>
      </w:r>
      <w:r>
        <w:t xml:space="preserve"> </w:t>
      </w:r>
      <w:r>
        <w:t xml:space="preserve">LTV on invoice or valuation; top-ups against the vehicle treated as unsecured (CON 10).</w:t>
      </w:r>
    </w:p>
    <w:p>
      <w:pPr>
        <w:numPr>
          <w:ilvl w:val="0"/>
          <w:numId w:val="1066"/>
        </w:numPr>
        <w:pStyle w:val="Compact"/>
      </w:pPr>
      <w:r>
        <w:rPr>
          <w:bCs/>
          <w:b/>
        </w:rPr>
        <w:t xml:space="preserve">Servicing:</w:t>
      </w:r>
      <w:r>
        <w:t xml:space="preserve"> </w:t>
      </w:r>
      <w:r>
        <w:t xml:space="preserve">insurance-expiry alerts; on closure, NOC and Form 35 for termination of hypothecation [VERIFY: Vahan e-NOC per state].</w:t>
      </w:r>
    </w:p>
    <w:p>
      <w:pPr>
        <w:numPr>
          <w:ilvl w:val="0"/>
          <w:numId w:val="1066"/>
        </w:numPr>
        <w:pStyle w:val="Compact"/>
      </w:pPr>
      <w:r>
        <w:rPr>
          <w:bCs/>
          <w:b/>
        </w:rPr>
        <w:t xml:space="preserve">Recovery link (</w:t>
      </w:r>
      <w:r>
        <w:rPr>
          <w:rStyle w:val="VerbatimChar"/>
          <w:bCs/>
          <w:b/>
        </w:rPr>
        <w:t xml:space="preserve">VL</w:t>
      </w:r>
      <w:r>
        <w:rPr>
          <w:bCs/>
          <w:b/>
        </w:rPr>
        <w:t xml:space="preserve">):</w:t>
      </w:r>
      <w:r>
        <w:t xml:space="preserve"> </w:t>
      </w:r>
      <w:r>
        <w:t xml:space="preserve">contractual repossession only after the notice period in the agreement, by an authorised agent in daytime, with a signed possession memo and inventory, never by force (RBC 26;</w:t>
      </w:r>
      <w:r>
        <w:t xml:space="preserve"> </w:t>
      </w:r>
      <w:r>
        <w:rPr>
          <w:iCs/>
          <w:i/>
        </w:rPr>
        <w:t xml:space="preserve">Hari Dutta Sharma v. State of UP</w:t>
      </w:r>
      <w:r>
        <w:t xml:space="preserve">, SC, 16 Sep 2026); re-registration in the financier’s name by Form 36 under MV Act s.51(5) (R10).</w:t>
      </w:r>
    </w:p>
    <w:bookmarkEnd w:id="46"/>
    <w:bookmarkStart w:id="47" w:name="X8d9b951d874590e2cf273c203a4b4c01084cfd6"/>
    <w:p>
      <w:pPr>
        <w:pStyle w:val="Heading4"/>
      </w:pPr>
      <w:r>
        <w:t xml:space="preserve">Product 7 — Loan Against Securities / LAMF (</w:t>
      </w:r>
      <w:r>
        <w:rPr>
          <w:rStyle w:val="VerbatimChar"/>
        </w:rPr>
        <w:t xml:space="preserve">LAS</w:t>
      </w:r>
      <w:r>
        <w:t xml:space="preserve">,</w:t>
      </w:r>
      <w:r>
        <w:t xml:space="preserve"> </w:t>
      </w:r>
      <w:r>
        <w:rPr>
          <w:rStyle w:val="VerbatimChar"/>
        </w:rPr>
        <w:t xml:space="preserve">LAMF</w:t>
      </w:r>
      <w:r>
        <w:t xml:space="preserve">)</w:t>
      </w:r>
    </w:p>
    <w:p>
      <w:pPr>
        <w:numPr>
          <w:ilvl w:val="0"/>
          <w:numId w:val="1067"/>
        </w:numPr>
        <w:pStyle w:val="Compact"/>
      </w:pPr>
      <w:r>
        <w:rPr>
          <w:bCs/>
          <w:b/>
        </w:rPr>
        <w:t xml:space="preserve">Steps:</w:t>
      </w:r>
      <w:r>
        <w:t xml:space="preserve"> </w:t>
      </w:r>
      <w:r>
        <w:t xml:space="preserve">HOLDINGS (consent) → CONSENT → KYC → SCREEN → eligibility on the security master and haircuts → BUREAU → BRE → KFS → SANCTION → ESIGN (agreement and pledge terms with the SEBI reasonable-notice undertaking) → PLEDGE-DEP or LIEN-RTA → DISB-B → BOOK. Full lifecycle in Part 6.4.</w:t>
      </w:r>
    </w:p>
    <w:p>
      <w:pPr>
        <w:numPr>
          <w:ilvl w:val="0"/>
          <w:numId w:val="1067"/>
        </w:numPr>
        <w:pStyle w:val="Compact"/>
      </w:pPr>
      <w:r>
        <w:rPr>
          <w:bCs/>
          <w:b/>
        </w:rPr>
        <w:t xml:space="preserve">Recovery link (</w:t>
      </w:r>
      <w:r>
        <w:rPr>
          <w:rStyle w:val="VerbatimChar"/>
          <w:bCs/>
          <w:b/>
        </w:rPr>
        <w:t xml:space="preserve">LAS</w:t>
      </w:r>
      <w:r>
        <w:rPr>
          <w:bCs/>
          <w:b/>
        </w:rPr>
        <w:t xml:space="preserve">):</w:t>
      </w:r>
      <w:r>
        <w:t xml:space="preserve"> </w:t>
      </w:r>
      <w:r>
        <w:t xml:space="preserve">margin call then pledge invocation and sale (Part 6.4, R10); shortfall to the unsecured track. SARFAESI does not apply to pledges (s.31(b)).</w:t>
      </w:r>
    </w:p>
    <w:bookmarkEnd w:id="47"/>
    <w:bookmarkStart w:id="48" w:name="product-8-gold-loan-gold"/>
    <w:p>
      <w:pPr>
        <w:pStyle w:val="Heading4"/>
      </w:pPr>
      <w:r>
        <w:t xml:space="preserve">Product 8 — Gold Loan (</w:t>
      </w:r>
      <w:r>
        <w:rPr>
          <w:rStyle w:val="VerbatimChar"/>
        </w:rPr>
        <w:t xml:space="preserve">GOLD</w:t>
      </w:r>
      <w:r>
        <w:t xml:space="preserve">)</w:t>
      </w:r>
    </w:p>
    <w:p>
      <w:pPr>
        <w:numPr>
          <w:ilvl w:val="0"/>
          <w:numId w:val="1068"/>
        </w:numPr>
        <w:pStyle w:val="Compact"/>
      </w:pPr>
      <w:r>
        <w:rPr>
          <w:bCs/>
          <w:b/>
        </w:rPr>
        <w:t xml:space="preserve">Steps:</w:t>
      </w:r>
      <w:r>
        <w:t xml:space="preserve"> </w:t>
      </w:r>
      <w:r>
        <w:t xml:space="preserve">LEAD (Udofin leads or doorstep scheduling) → KYC (in person) → SCREEN → ownership declaration (CF 36) → ASSAY with borrower present, certificate with image (RBC 46, 50) → valuation at the lower of the 30-day average and previous close, IBJA or SEBI-regulated exchange (CF 40) → LTV slab on total consumption loans (85/80/75%, CF 43) → weight caps (CF 39) → detailed assessment above ₹2.5 lakh (CF 33) → KFS → SANCTION → packet seal → CUSTODY (dual control) → DISB-B → BOOK.</w:t>
      </w:r>
    </w:p>
    <w:p>
      <w:pPr>
        <w:numPr>
          <w:ilvl w:val="0"/>
          <w:numId w:val="1068"/>
        </w:numPr>
        <w:pStyle w:val="Compact"/>
      </w:pPr>
      <w:r>
        <w:rPr>
          <w:bCs/>
          <w:b/>
        </w:rPr>
        <w:t xml:space="preserve">Servicing:</w:t>
      </w:r>
      <w:r>
        <w:t xml:space="preserve"> </w:t>
      </w:r>
      <w:r>
        <w:t xml:space="preserve">daily LTV for the whole tenor (CF 44); bullet loans ≤ 12 months (CF 38); renewal or top-up only on request and within LTV (CF 34); release the same day and in any case within 7 working days, ₹5,000 a day where the delay is the lender’s (RBC 58, 69); unclaimed collateral after 2 years (RBC 71–72).</w:t>
      </w:r>
    </w:p>
    <w:p>
      <w:pPr>
        <w:numPr>
          <w:ilvl w:val="0"/>
          <w:numId w:val="1068"/>
        </w:numPr>
        <w:pStyle w:val="Compact"/>
      </w:pPr>
      <w:r>
        <w:rPr>
          <w:bCs/>
          <w:b/>
        </w:rPr>
        <w:t xml:space="preserve">Recovery link (</w:t>
      </w:r>
      <w:r>
        <w:rPr>
          <w:rStyle w:val="VerbatimChar"/>
          <w:bCs/>
          <w:b/>
        </w:rPr>
        <w:t xml:space="preserve">GOLD</w:t>
      </w:r>
      <w:r>
        <w:rPr>
          <w:bCs/>
          <w:b/>
        </w:rPr>
        <w:t xml:space="preserve">):</w:t>
      </w:r>
      <w:r>
        <w:t xml:space="preserve"> </w:t>
      </w:r>
      <w:r>
        <w:t xml:space="preserve">gold auction under RBC 60–66 (R10): notice, two newspapers, reserve ≥ 90% (85% after two failures), first auction physical in the branch district, no related-party bids, surplus within 7 working days. Not SARFAESI (pledge, s.31(b)).</w:t>
      </w:r>
    </w:p>
    <w:bookmarkEnd w:id="48"/>
    <w:bookmarkStart w:id="49" w:name="product-9-education-loan-edu"/>
    <w:p>
      <w:pPr>
        <w:pStyle w:val="Heading4"/>
      </w:pPr>
      <w:r>
        <w:t xml:space="preserve">Product 9 — Education Loan (</w:t>
      </w:r>
      <w:r>
        <w:rPr>
          <w:rStyle w:val="VerbatimChar"/>
        </w:rPr>
        <w:t xml:space="preserve">EDU</w:t>
      </w:r>
      <w:r>
        <w:t xml:space="preserve">)</w:t>
      </w:r>
    </w:p>
    <w:p>
      <w:pPr>
        <w:numPr>
          <w:ilvl w:val="0"/>
          <w:numId w:val="1069"/>
        </w:numPr>
        <w:pStyle w:val="Compact"/>
      </w:pPr>
      <w:r>
        <w:rPr>
          <w:bCs/>
          <w:b/>
        </w:rPr>
        <w:t xml:space="preserve">Steps:</w:t>
      </w:r>
      <w:r>
        <w:t xml:space="preserve"> </w:t>
      </w:r>
      <w:r>
        <w:t xml:space="preserve">LEAD (institution tie-up or Udofin) → KYC (student and co-borrower) → SCREEN → admission and fee verification → BUREAU (co-borrower) → BRE → KFS → SANCTION → ESIGN → (MORTGAGE or lien if secured) → DISB-E to the institution per fee schedule → BOOK.</w:t>
      </w:r>
    </w:p>
    <w:p>
      <w:pPr>
        <w:numPr>
          <w:ilvl w:val="0"/>
          <w:numId w:val="1069"/>
        </w:numPr>
        <w:pStyle w:val="Compact"/>
      </w:pPr>
      <w:r>
        <w:rPr>
          <w:bCs/>
          <w:b/>
        </w:rPr>
        <w:t xml:space="preserve">Servicing:</w:t>
      </w:r>
      <w:r>
        <w:t xml:space="preserve"> </w:t>
      </w:r>
      <w:r>
        <w:t xml:space="preserve">moratorium for course plus grace; capitalisation rules per policy; moratorium-end and grace-end triggers for the collections strategy.</w:t>
      </w:r>
    </w:p>
    <w:p>
      <w:pPr>
        <w:numPr>
          <w:ilvl w:val="0"/>
          <w:numId w:val="1069"/>
        </w:numPr>
        <w:pStyle w:val="Compact"/>
      </w:pPr>
      <w:r>
        <w:rPr>
          <w:bCs/>
          <w:b/>
        </w:rPr>
        <w:t xml:space="preserve">Recovery link (</w:t>
      </w:r>
      <w:r>
        <w:rPr>
          <w:rStyle w:val="VerbatimChar"/>
          <w:bCs/>
          <w:b/>
        </w:rPr>
        <w:t xml:space="preserve">EDU</w:t>
      </w:r>
      <w:r>
        <w:rPr>
          <w:bCs/>
          <w:b/>
        </w:rPr>
        <w:t xml:space="preserve">):</w:t>
      </w:r>
      <w:r>
        <w:t xml:space="preserve"> </w:t>
      </w:r>
      <w:r>
        <w:t xml:space="preserve">soft pre-legal track; co-borrower contact rules; arbitration only with consent; Lok Adalat suitable.</w:t>
      </w:r>
    </w:p>
    <w:bookmarkEnd w:id="49"/>
    <w:bookmarkStart w:id="50" w:name="product-10-consumer-durable-pos-cd"/>
    <w:p>
      <w:pPr>
        <w:pStyle w:val="Heading4"/>
      </w:pPr>
      <w:r>
        <w:t xml:space="preserve">Product 10 — Consumer Durable / POS (</w:t>
      </w:r>
      <w:r>
        <w:rPr>
          <w:rStyle w:val="VerbatimChar"/>
        </w:rPr>
        <w:t xml:space="preserve">CD</w:t>
      </w:r>
      <w:r>
        <w:t xml:space="preserve">)</w:t>
      </w:r>
    </w:p>
    <w:p>
      <w:pPr>
        <w:numPr>
          <w:ilvl w:val="0"/>
          <w:numId w:val="1070"/>
        </w:numPr>
        <w:pStyle w:val="Compact"/>
      </w:pPr>
      <w:r>
        <w:rPr>
          <w:bCs/>
          <w:b/>
        </w:rPr>
        <w:t xml:space="preserve">Steps:</w:t>
      </w:r>
      <w:r>
        <w:t xml:space="preserve"> </w:t>
      </w:r>
      <w:r>
        <w:t xml:space="preserve">merchant API lead → CONSENT → OKYC or CKYC → SCREEN → BUREAU → instant BRE → KFS → ESIGN → MANDATE → DISB-E to merchant → BOOK; subvention and zero-cost EMI accounting; merchant refund and cancellation flow.</w:t>
      </w:r>
    </w:p>
    <w:p>
      <w:pPr>
        <w:numPr>
          <w:ilvl w:val="0"/>
          <w:numId w:val="1070"/>
        </w:numPr>
        <w:pStyle w:val="Compact"/>
      </w:pPr>
      <w:r>
        <w:rPr>
          <w:bCs/>
          <w:b/>
        </w:rPr>
        <w:t xml:space="preserve">Recovery link (</w:t>
      </w:r>
      <w:r>
        <w:rPr>
          <w:rStyle w:val="VerbatimChar"/>
          <w:bCs/>
          <w:b/>
        </w:rPr>
        <w:t xml:space="preserve">CD</w:t>
      </w:r>
      <w:r>
        <w:rPr>
          <w:bCs/>
          <w:b/>
        </w:rPr>
        <w:t xml:space="preserve">):</w:t>
      </w:r>
      <w:r>
        <w:t xml:space="preserve"> </w:t>
      </w:r>
      <w:r>
        <w:t xml:space="preserve">small-ticket digital track (R2, R8 Lok Adalat bulk); s.25 PSS only where economical by policy.</w:t>
      </w:r>
    </w:p>
    <w:bookmarkEnd w:id="50"/>
    <w:bookmarkStart w:id="51" w:name="product-11-microfinance-mfi"/>
    <w:p>
      <w:pPr>
        <w:pStyle w:val="Heading4"/>
      </w:pPr>
      <w:r>
        <w:t xml:space="preserve">Product 11 — Microfinance (</w:t>
      </w:r>
      <w:r>
        <w:rPr>
          <w:rStyle w:val="VerbatimChar"/>
        </w:rPr>
        <w:t xml:space="preserve">MFI</w:t>
      </w:r>
      <w:r>
        <w:t xml:space="preserve">)</w:t>
      </w:r>
    </w:p>
    <w:p>
      <w:pPr>
        <w:numPr>
          <w:ilvl w:val="0"/>
          <w:numId w:val="1071"/>
        </w:numPr>
        <w:pStyle w:val="Compact"/>
      </w:pPr>
      <w:r>
        <w:rPr>
          <w:bCs/>
          <w:b/>
        </w:rPr>
        <w:t xml:space="preserve">Steps:</w:t>
      </w:r>
      <w:r>
        <w:t xml:space="preserve"> </w:t>
      </w:r>
      <w:r>
        <w:t xml:space="preserve">centre or group formation (FA) → KYC (DKYC or OKYC) → household composition and income assessment over ≥ 1 year (CF 52) → household repayment obligations ≤ 50% of monthly income, no new loan while above (CF 55–57) → BUREAU (household view) → BRE → loan card (RBC 78–80) → KFS → DISB-B → BOOK.</w:t>
      </w:r>
    </w:p>
    <w:p>
      <w:pPr>
        <w:numPr>
          <w:ilvl w:val="0"/>
          <w:numId w:val="1071"/>
        </w:numPr>
        <w:pStyle w:val="Compact"/>
      </w:pPr>
      <w:r>
        <w:rPr>
          <w:bCs/>
          <w:b/>
        </w:rPr>
        <w:t xml:space="preserve">Servicing:</w:t>
      </w:r>
      <w:r>
        <w:t xml:space="preserve"> </w:t>
      </w:r>
      <w:r>
        <w:t xml:space="preserve">collection at the designated place at the frequency the borrower chooses (weekly, fortnightly or monthly; CF 59); residence or workplace only after two or more successive non-appearances (RBC 90); contact 09:00–18:00 until 31 Dec 2026 (RBC 91(2)), then the RBC Third Amendment rule pack (RBI/2026-27/230) from 1 Jan 2027; UPI QR per member by default, and no cash for regular instalments on LSP-sourced loans without the RE’s recorded legal opinion (CF 10(2), 10(5); Part 7G GR-7G-14); no prepayment charge (RBC 81). Group, centre-meeting and cash-in-transit operations: Part 7G IP4.</w:t>
      </w:r>
    </w:p>
    <w:p>
      <w:pPr>
        <w:numPr>
          <w:ilvl w:val="0"/>
          <w:numId w:val="1071"/>
        </w:numPr>
        <w:pStyle w:val="Compact"/>
      </w:pPr>
      <w:r>
        <w:rPr>
          <w:bCs/>
          <w:b/>
        </w:rPr>
        <w:t xml:space="preserve">Recovery link (</w:t>
      </w:r>
      <w:r>
        <w:rPr>
          <w:rStyle w:val="VerbatimChar"/>
          <w:bCs/>
          <w:b/>
        </w:rPr>
        <w:t xml:space="preserve">MFI</w:t>
      </w:r>
      <w:r>
        <w:rPr>
          <w:bCs/>
          <w:b/>
        </w:rPr>
        <w:t xml:space="preserve">):</w:t>
      </w:r>
      <w:r>
        <w:t xml:space="preserve"> </w:t>
      </w:r>
      <w:r>
        <w:t xml:space="preserve">no coercive steps, no legal notice by default, state-law overlays (Karnataka Act 15 of 2025; Tamil Nadu Money Lending Entities (Prevention of Coercive Actions) Act 2025); Lok Adalat only by policy.</w:t>
      </w:r>
    </w:p>
    <w:bookmarkEnd w:id="51"/>
    <w:bookmarkStart w:id="52" w:name="X23f901a53e1c3764f3a9fdf4dc61701856e0c4b"/>
    <w:p>
      <w:pPr>
        <w:pStyle w:val="Heading4"/>
      </w:pPr>
      <w:r>
        <w:t xml:space="preserve">Product 12 — Supply-chain / Invoice / Channel Finance (</w:t>
      </w:r>
      <w:r>
        <w:rPr>
          <w:rStyle w:val="VerbatimChar"/>
        </w:rPr>
        <w:t xml:space="preserve">SCF</w:t>
      </w:r>
      <w:r>
        <w:t xml:space="preserve">)</w:t>
      </w:r>
    </w:p>
    <w:p>
      <w:pPr>
        <w:numPr>
          <w:ilvl w:val="0"/>
          <w:numId w:val="1072"/>
        </w:numPr>
        <w:pStyle w:val="Compact"/>
      </w:pPr>
      <w:r>
        <w:rPr>
          <w:bCs/>
          <w:b/>
        </w:rPr>
        <w:t xml:space="preserve">Steps:</w:t>
      </w:r>
      <w:r>
        <w:t xml:space="preserve"> </w:t>
      </w:r>
      <w:r>
        <w:t xml:space="preserve">anchor programme set-up → supplier or dealer onboarding (KYC-LE) → invoice validation (GST e-invoice match, anchor acceptance) → limit and tenor per invoice → assignment of receivables (CERSAI filed by the TReDS platform for TReDS units) → DISB-B to the supplier → BOOK; buyer pays the financier on the due date.</w:t>
      </w:r>
    </w:p>
    <w:p>
      <w:pPr>
        <w:numPr>
          <w:ilvl w:val="0"/>
          <w:numId w:val="1072"/>
        </w:numPr>
        <w:pStyle w:val="Compact"/>
      </w:pPr>
      <w:r>
        <w:rPr>
          <w:bCs/>
          <w:b/>
        </w:rPr>
        <w:t xml:space="preserve">TReDS:</w:t>
      </w:r>
      <w:r>
        <w:t xml:space="preserve"> </w:t>
      </w:r>
      <w:r>
        <w:t xml:space="preserve">factoring units are without recourse to the MSME seller; an accepted unit is enforceable and the buyer cannot set off disputes (TReDS Directions 2026, RBI/DPSS/2026-27/406, 23 Jun 2026). Financier eligibility per the Factoring Regulation Act and RBI conditions [VERIFY].</w:t>
      </w:r>
    </w:p>
    <w:p>
      <w:pPr>
        <w:numPr>
          <w:ilvl w:val="0"/>
          <w:numId w:val="1072"/>
        </w:numPr>
        <w:pStyle w:val="Compact"/>
      </w:pPr>
      <w:r>
        <w:rPr>
          <w:bCs/>
          <w:b/>
        </w:rPr>
        <w:t xml:space="preserve">Revolving lines:</w:t>
      </w:r>
      <w:r>
        <w:t xml:space="preserve"> </w:t>
      </w:r>
      <w:r>
        <w:t xml:space="preserve">behind a feature flag pending the August 2026 draft CF amendment [VERIFY].</w:t>
      </w:r>
    </w:p>
    <w:p>
      <w:pPr>
        <w:numPr>
          <w:ilvl w:val="0"/>
          <w:numId w:val="1072"/>
        </w:numPr>
        <w:pStyle w:val="Compact"/>
      </w:pPr>
      <w:r>
        <w:rPr>
          <w:bCs/>
          <w:b/>
        </w:rPr>
        <w:t xml:space="preserve">Recovery link (</w:t>
      </w:r>
      <w:r>
        <w:rPr>
          <w:rStyle w:val="VerbatimChar"/>
          <w:bCs/>
          <w:b/>
        </w:rPr>
        <w:t xml:space="preserve">SCF</w:t>
      </w:r>
      <w:r>
        <w:rPr>
          <w:bCs/>
          <w:b/>
        </w:rPr>
        <w:t xml:space="preserve">):</w:t>
      </w:r>
      <w:r>
        <w:t xml:space="preserve"> </w:t>
      </w:r>
      <w:r>
        <w:t xml:space="preserve">claim against the buyer or anchor (commercial suit with s.12A, arbitration if agreed); no recourse to the TReDS seller.</w:t>
      </w:r>
    </w:p>
    <w:bookmarkEnd w:id="52"/>
    <w:bookmarkStart w:id="53" w:name="Xda566a2c6122ff4d7a6459cc536d88ac3b24a4f"/>
    <w:p>
      <w:pPr>
        <w:pStyle w:val="Heading4"/>
      </w:pPr>
      <w:r>
        <w:t xml:space="preserve">Products 13–16 — Medical (</w:t>
      </w:r>
      <w:r>
        <w:rPr>
          <w:rStyle w:val="VerbatimChar"/>
        </w:rPr>
        <w:t xml:space="preserve">MED</w:t>
      </w:r>
      <w:r>
        <w:t xml:space="preserve">), Legal Expense (</w:t>
      </w:r>
      <w:r>
        <w:rPr>
          <w:rStyle w:val="VerbatimChar"/>
        </w:rPr>
        <w:t xml:space="preserve">LEF</w:t>
      </w:r>
      <w:r>
        <w:t xml:space="preserve">), Resolution Finance (</w:t>
      </w:r>
      <w:r>
        <w:rPr>
          <w:rStyle w:val="VerbatimChar"/>
        </w:rPr>
        <w:t xml:space="preserve">RF</w:t>
      </w:r>
      <w:r>
        <w:t xml:space="preserve">), Debt Reset (</w:t>
      </w:r>
      <w:r>
        <w:rPr>
          <w:rStyle w:val="VerbatimChar"/>
        </w:rPr>
        <w:t xml:space="preserve">DR</w:t>
      </w:r>
      <w:r>
        <w:t xml:space="preserve">)</w:t>
      </w:r>
    </w:p>
    <w:p>
      <w:pPr>
        <w:numPr>
          <w:ilvl w:val="0"/>
          <w:numId w:val="1073"/>
        </w:numPr>
        <w:pStyle w:val="Compact"/>
      </w:pPr>
      <w:r>
        <w:rPr>
          <w:bCs/>
          <w:b/>
        </w:rPr>
        <w:t xml:space="preserve">Gate:</w:t>
      </w:r>
      <w:r>
        <w:t xml:space="preserve"> </w:t>
      </w:r>
      <w:r>
        <w:t xml:space="preserve">feasibility note approved before any template is activated (Part 6.2).</w:t>
      </w:r>
    </w:p>
    <w:p>
      <w:pPr>
        <w:numPr>
          <w:ilvl w:val="0"/>
          <w:numId w:val="1073"/>
        </w:numPr>
        <w:pStyle w:val="Compact"/>
      </w:pPr>
      <w:r>
        <w:rPr>
          <w:bCs/>
          <w:b/>
        </w:rPr>
        <w:t xml:space="preserve">Steps:</w:t>
      </w:r>
      <w:r>
        <w:t xml:space="preserve"> </w:t>
      </w:r>
      <w:r>
        <w:t xml:space="preserve">as PL with end-use verification; DISB-E to the provider, counsel, settled creditor or existing lenders only.</w:t>
      </w:r>
    </w:p>
    <w:p>
      <w:pPr>
        <w:numPr>
          <w:ilvl w:val="0"/>
          <w:numId w:val="1073"/>
        </w:numPr>
        <w:pStyle w:val="Compact"/>
      </w:pPr>
      <w:r>
        <w:rPr>
          <w:bCs/>
          <w:b/>
        </w:rPr>
        <w:t xml:space="preserve">RF and DR:</w:t>
      </w:r>
      <w:r>
        <w:t xml:space="preserve"> </w:t>
      </w:r>
      <w:r>
        <w:t xml:space="preserve">settlement evidence from Equator (</w:t>
      </w:r>
      <w:r>
        <w:rPr>
          <w:rStyle w:val="VerbatimChar"/>
        </w:rPr>
        <w:t xml:space="preserve">ADROutcomeRecorded</w:t>
      </w:r>
      <w:r>
        <w:t xml:space="preserve">) or the existing lender’s payoff letter; where the creditor is the tenant itself, the loan is restructuring and is blocked without a viability assessment (RSA 10(12), 169).</w:t>
      </w:r>
    </w:p>
    <w:p>
      <w:pPr>
        <w:numPr>
          <w:ilvl w:val="0"/>
          <w:numId w:val="1073"/>
        </w:numPr>
        <w:pStyle w:val="Compact"/>
      </w:pPr>
      <w:r>
        <w:rPr>
          <w:bCs/>
          <w:b/>
        </w:rPr>
        <w:t xml:space="preserve">Recovery link:</w:t>
      </w:r>
      <w:r>
        <w:t xml:space="preserve"> </w:t>
      </w:r>
      <w:r>
        <w:t xml:space="preserve">as PL; RF and DR carry the restructuring flag into R1; playbooks</w:t>
      </w:r>
      <w:r>
        <w:t xml:space="preserve"> </w:t>
      </w:r>
      <w:r>
        <w:rPr>
          <w:rStyle w:val="VerbatimChar"/>
        </w:rPr>
        <w:t xml:space="preserve">MED</w:t>
      </w:r>
      <w:r>
        <w:t xml:space="preserve">,</w:t>
      </w:r>
      <w:r>
        <w:t xml:space="preserve"> </w:t>
      </w:r>
      <w:r>
        <w:rPr>
          <w:rStyle w:val="VerbatimChar"/>
        </w:rPr>
        <w:t xml:space="preserve">LEF</w:t>
      </w:r>
      <w:r>
        <w:t xml:space="preserve">,</w:t>
      </w:r>
      <w:r>
        <w:t xml:space="preserve"> </w:t>
      </w:r>
      <w:r>
        <w:rPr>
          <w:rStyle w:val="VerbatimChar"/>
        </w:rPr>
        <w:t xml:space="preserve">RF</w:t>
      </w:r>
      <w:r>
        <w:t xml:space="preserve">,</w:t>
      </w:r>
      <w:r>
        <w:t xml:space="preserve"> </w:t>
      </w:r>
      <w:r>
        <w:rPr>
          <w:rStyle w:val="VerbatimChar"/>
        </w:rPr>
        <w:t xml:space="preserve">DR</w:t>
      </w:r>
      <w:r>
        <w:t xml:space="preserve">.</w:t>
      </w:r>
    </w:p>
    <w:bookmarkEnd w:id="53"/>
    <w:bookmarkStart w:id="54" w:name="product-17-co-lending-products-cln-base"/>
    <w:p>
      <w:pPr>
        <w:pStyle w:val="Heading4"/>
      </w:pPr>
      <w:r>
        <w:t xml:space="preserve">Product 17 — Co-lending products (</w:t>
      </w:r>
      <w:r>
        <w:rPr>
          <w:rStyle w:val="VerbatimChar"/>
        </w:rPr>
        <w:t xml:space="preserve">CLN-[base]</w:t>
      </w:r>
      <w:r>
        <w:t xml:space="preserve">)</w:t>
      </w:r>
    </w:p>
    <w:p>
      <w:pPr>
        <w:numPr>
          <w:ilvl w:val="0"/>
          <w:numId w:val="1074"/>
        </w:numPr>
        <w:pStyle w:val="Compact"/>
      </w:pPr>
      <w:r>
        <w:rPr>
          <w:bCs/>
          <w:b/>
        </w:rPr>
        <w:t xml:space="preserve">Steps:</w:t>
      </w:r>
      <w:r>
        <w:t xml:space="preserve"> </w:t>
      </w:r>
      <w:r>
        <w:t xml:space="preserve">base product template plus: CLA selection (partner, share ≥ 10% for each NBFC, TDCR 102) → KFS Part 2 item 5 disclosure (partners, shares, blended rate; TDCR 106, 108) → single point of interface named in the agreement (TDCR 105) → DISB-ESC → partner booking within 15 calendar days or the loan stays with the originator (TDCR 113, 115) →</w:t>
      </w:r>
      <w:r>
        <w:t xml:space="preserve"> </w:t>
      </w:r>
      <w:r>
        <w:rPr>
          <w:rStyle w:val="VerbatimChar"/>
        </w:rPr>
        <w:t xml:space="preserve">CoLendingSplitConfirmed</w:t>
      </w:r>
      <w:r>
        <w:t xml:space="preserve">.</w:t>
      </w:r>
    </w:p>
    <w:p>
      <w:pPr>
        <w:numPr>
          <w:ilvl w:val="0"/>
          <w:numId w:val="1074"/>
        </w:numPr>
        <w:pStyle w:val="Compact"/>
      </w:pPr>
      <w:r>
        <w:rPr>
          <w:bCs/>
          <w:b/>
        </w:rPr>
        <w:t xml:space="preserve">Recovery link (</w:t>
      </w:r>
      <w:r>
        <w:rPr>
          <w:rStyle w:val="VerbatimChar"/>
          <w:bCs/>
          <w:b/>
        </w:rPr>
        <w:t xml:space="preserve">CLN</w:t>
      </w:r>
      <w:r>
        <w:rPr>
          <w:bCs/>
          <w:b/>
        </w:rPr>
        <w:t xml:space="preserve">):</w:t>
      </w:r>
      <w:r>
        <w:t xml:space="preserve"> </w:t>
      </w:r>
      <w:r>
        <w:t xml:space="preserve">R13 decision matrix: classification synced by the next working day (</w:t>
      </w:r>
      <w:r>
        <w:rPr>
          <w:rStyle w:val="VerbatimChar"/>
        </w:rPr>
        <w:t xml:space="preserve">ClassificationSynced</w:t>
      </w:r>
      <w:r>
        <w:t xml:space="preserve">, TDCR 124); each lender settles its own share under its own Board policy; joint SARFAESI needs secured creditors holding ≥ 60% by value (SARFAESI s.13(9)).</w:t>
      </w:r>
    </w:p>
    <w:bookmarkEnd w:id="54"/>
    <w:bookmarkStart w:id="55" w:name="product-18-loans-to-entities-corp"/>
    <w:p>
      <w:pPr>
        <w:pStyle w:val="Heading4"/>
      </w:pPr>
      <w:r>
        <w:t xml:space="preserve">Product 18 — Loans to entities (</w:t>
      </w:r>
      <w:r>
        <w:rPr>
          <w:rStyle w:val="VerbatimChar"/>
        </w:rPr>
        <w:t xml:space="preserve">CORP</w:t>
      </w:r>
      <w:r>
        <w:t xml:space="preserve">)</w:t>
      </w:r>
    </w:p>
    <w:p>
      <w:pPr>
        <w:numPr>
          <w:ilvl w:val="0"/>
          <w:numId w:val="1075"/>
        </w:numPr>
        <w:pStyle w:val="Compact"/>
      </w:pPr>
      <w:r>
        <w:rPr>
          <w:bCs/>
          <w:b/>
        </w:rPr>
        <w:t xml:space="preserve">Steps:</w:t>
      </w:r>
      <w:r>
        <w:t xml:space="preserve"> </w:t>
      </w:r>
      <w:r>
        <w:t xml:space="preserve">KYC-LE with LEI → SCREEN (directors’ DIN/PAN, LWD) → financials, ratings, MCA charges → notified-NBFC appraisal pack where applicable (CRM 6–8) → TECH + LEGAL for security → CAM → committee sanction → PHYS + ESIGN (DSC) → HYPO-DEED, MORTGAGE, share pledge, guarantees → CERSAI-REG and ROC charge filing by the borrower [REC: track ROC charge evidence] → DISB-B → BOOK.</w:t>
      </w:r>
    </w:p>
    <w:p>
      <w:pPr>
        <w:numPr>
          <w:ilvl w:val="0"/>
          <w:numId w:val="1075"/>
        </w:numPr>
        <w:pStyle w:val="Compact"/>
      </w:pPr>
      <w:r>
        <w:rPr>
          <w:bCs/>
          <w:b/>
        </w:rPr>
        <w:t xml:space="preserve">Servicing:</w:t>
      </w:r>
      <w:r>
        <w:t xml:space="preserve"> </w:t>
      </w:r>
      <w:r>
        <w:t xml:space="preserve">covenants, security cover, CRILC (≥ ₹5 crore aggregate exposure).</w:t>
      </w:r>
    </w:p>
    <w:p>
      <w:pPr>
        <w:numPr>
          <w:ilvl w:val="0"/>
          <w:numId w:val="1075"/>
        </w:numPr>
        <w:pStyle w:val="Compact"/>
      </w:pPr>
      <w:r>
        <w:rPr>
          <w:bCs/>
          <w:b/>
        </w:rPr>
        <w:t xml:space="preserve">Recovery link (</w:t>
      </w:r>
      <w:r>
        <w:rPr>
          <w:rStyle w:val="VerbatimChar"/>
          <w:bCs/>
          <w:b/>
        </w:rPr>
        <w:t xml:space="preserve">CORP</w:t>
      </w:r>
      <w:r>
        <w:rPr>
          <w:bCs/>
          <w:b/>
        </w:rPr>
        <w:t xml:space="preserve">):</w:t>
      </w:r>
      <w:r>
        <w:t xml:space="preserve"> </w:t>
      </w:r>
      <w:r>
        <w:t xml:space="preserve">IBC s.7 (default ≥ ₹1 crore; admission within 14 days under s.7(5) as amended from 26 May 2026), personal-guarantor applications at the NCLT (s.95), SARFAESI if eligible, ICA where the tenant is a specified lender (RSA 31–33).</w:t>
      </w:r>
    </w:p>
    <w:bookmarkEnd w:id="55"/>
    <w:bookmarkStart w:id="56" w:name="product-19-staff-loans-staff"/>
    <w:p>
      <w:pPr>
        <w:pStyle w:val="Heading4"/>
      </w:pPr>
      <w:r>
        <w:t xml:space="preserve">Product 19 — Staff loans (</w:t>
      </w:r>
      <w:r>
        <w:rPr>
          <w:rStyle w:val="VerbatimChar"/>
        </w:rPr>
        <w:t xml:space="preserve">STAFF</w:t>
      </w:r>
      <w:r>
        <w:t xml:space="preserve">)</w:t>
      </w:r>
    </w:p>
    <w:p>
      <w:pPr>
        <w:numPr>
          <w:ilvl w:val="0"/>
          <w:numId w:val="1076"/>
        </w:numPr>
        <w:pStyle w:val="Compact"/>
      </w:pPr>
      <w:r>
        <w:rPr>
          <w:bCs/>
          <w:b/>
        </w:rPr>
        <w:t xml:space="preserve">Steps:</w:t>
      </w:r>
      <w:r>
        <w:t xml:space="preserve"> </w:t>
      </w:r>
      <w:r>
        <w:t xml:space="preserve">HR eligibility → specified-employee and relative tagging, recusal (CRM 13D, 13J) → sanction within policy → DISB-B → payroll deduction set-up → BOOK; annual Board report (CRM 13L).</w:t>
      </w:r>
    </w:p>
    <w:p>
      <w:pPr>
        <w:numPr>
          <w:ilvl w:val="0"/>
          <w:numId w:val="1076"/>
        </w:numPr>
        <w:pStyle w:val="Compact"/>
      </w:pPr>
      <w:r>
        <w:rPr>
          <w:bCs/>
          <w:b/>
        </w:rPr>
        <w:t xml:space="preserve">Recovery link (</w:t>
      </w:r>
      <w:r>
        <w:rPr>
          <w:rStyle w:val="VerbatimChar"/>
          <w:bCs/>
          <w:b/>
        </w:rPr>
        <w:t xml:space="preserve">STAFF</w:t>
      </w:r>
      <w:r>
        <w:rPr>
          <w:bCs/>
          <w:b/>
        </w:rPr>
        <w:t xml:space="preserve">):</w:t>
      </w:r>
      <w:r>
        <w:t xml:space="preserve"> </w:t>
      </w:r>
      <w:r>
        <w:t xml:space="preserve">payroll deduction and full-and-final settlement adjustment within employment law [VERIFY]; no recovery agency.</w:t>
      </w:r>
    </w:p>
    <w:bookmarkEnd w:id="56"/>
    <w:bookmarkStart w:id="57" w:name="product-20-demand-call-loan-dcl"/>
    <w:p>
      <w:pPr>
        <w:pStyle w:val="Heading4"/>
      </w:pPr>
      <w:r>
        <w:t xml:space="preserve">Product 20 — Demand / Call Loan (</w:t>
      </w:r>
      <w:r>
        <w:rPr>
          <w:rStyle w:val="VerbatimChar"/>
        </w:rPr>
        <w:t xml:space="preserve">DCL</w:t>
      </w:r>
      <w:r>
        <w:t xml:space="preserve">)</w:t>
      </w:r>
    </w:p>
    <w:p>
      <w:pPr>
        <w:numPr>
          <w:ilvl w:val="0"/>
          <w:numId w:val="1077"/>
        </w:numPr>
        <w:pStyle w:val="Compact"/>
      </w:pPr>
      <w:r>
        <w:rPr>
          <w:bCs/>
          <w:b/>
        </w:rPr>
        <w:t xml:space="preserve">Steps:</w:t>
      </w:r>
      <w:r>
        <w:t xml:space="preserve"> </w:t>
      </w:r>
      <w:r>
        <w:t xml:space="preserve">as borrower type; recall cut-off date recorded (reasons if beyond 1 year); rate and interest periodicity stated; review within 6 months of sanction (CF 107).</w:t>
      </w:r>
    </w:p>
    <w:p>
      <w:pPr>
        <w:numPr>
          <w:ilvl w:val="0"/>
          <w:numId w:val="1077"/>
        </w:numPr>
        <w:pStyle w:val="Compact"/>
      </w:pPr>
      <w:r>
        <w:rPr>
          <w:bCs/>
          <w:b/>
        </w:rPr>
        <w:t xml:space="preserve">Recovery link (</w:t>
      </w:r>
      <w:r>
        <w:rPr>
          <w:rStyle w:val="VerbatimChar"/>
          <w:bCs/>
          <w:b/>
        </w:rPr>
        <w:t xml:space="preserve">DCL</w:t>
      </w:r>
      <w:r>
        <w:rPr>
          <w:bCs/>
          <w:b/>
        </w:rPr>
        <w:t xml:space="preserve">):</w:t>
      </w:r>
      <w:r>
        <w:t xml:space="preserve"> </w:t>
      </w:r>
      <w:r>
        <w:t xml:space="preserve">limitation runs from the date of the loan, not the demand (Limitation Act Art. 21); R1 limitation engine alerts from booking.</w:t>
      </w:r>
    </w:p>
    <w:bookmarkEnd w:id="57"/>
    <w:bookmarkStart w:id="58" w:name="product-21-project-finance-pf"/>
    <w:p>
      <w:pPr>
        <w:pStyle w:val="Heading4"/>
      </w:pPr>
      <w:r>
        <w:t xml:space="preserve">Product 21 — Project Finance (</w:t>
      </w:r>
      <w:r>
        <w:rPr>
          <w:rStyle w:val="VerbatimChar"/>
        </w:rPr>
        <w:t xml:space="preserve">PF</w:t>
      </w:r>
      <w:r>
        <w:t xml:space="preserve">)</w:t>
      </w:r>
    </w:p>
    <w:p>
      <w:pPr>
        <w:numPr>
          <w:ilvl w:val="0"/>
          <w:numId w:val="1078"/>
        </w:numPr>
        <w:pStyle w:val="Compact"/>
      </w:pPr>
      <w:r>
        <w:rPr>
          <w:bCs/>
          <w:b/>
        </w:rPr>
        <w:t xml:space="preserve">Steps:</w:t>
      </w:r>
      <w:r>
        <w:t xml:space="preserve"> </w:t>
      </w:r>
      <w:r>
        <w:t xml:space="preserve">eligibility (≥ 51% repayment from project cash flows, common agreement; CF 4(1)(xxiv), 64) → TEV if aggregate exposure ≥ ₹100 crore (CF 74) → financial closure, DCCO, approvals, land 50% PPP or 75% other (CF 67, 70–72) → security trustee and common security package → CERSAI-REG → DISB-E stage-linked, LIE-certified (CF 75) → BOOK; project database updated within 15 days of any change (CF 77–78).</w:t>
      </w:r>
    </w:p>
    <w:p>
      <w:pPr>
        <w:numPr>
          <w:ilvl w:val="0"/>
          <w:numId w:val="1078"/>
        </w:numPr>
        <w:pStyle w:val="Compact"/>
      </w:pPr>
      <w:r>
        <w:rPr>
          <w:bCs/>
          <w:b/>
        </w:rPr>
        <w:t xml:space="preserve">Recovery link (</w:t>
      </w:r>
      <w:r>
        <w:rPr>
          <w:rStyle w:val="VerbatimChar"/>
          <w:bCs/>
          <w:b/>
        </w:rPr>
        <w:t xml:space="preserve">PF</w:t>
      </w:r>
      <w:r>
        <w:rPr>
          <w:bCs/>
          <w:b/>
        </w:rPr>
        <w:t xml:space="preserve">):</w:t>
      </w:r>
      <w:r>
        <w:t xml:space="preserve"> </w:t>
      </w:r>
      <w:r>
        <w:t xml:space="preserve">consortium and ICA (RSA 31–33, 45–48; credit events to all lenders, RSA 107), joint SARFAESI under s.13(9), IBC; R13 for shared exposure.</w:t>
      </w:r>
    </w:p>
    <w:p>
      <w:r>
        <w:pict>
          <v:rect style="width:0;height:1.5pt" o:hralign="center" o:hrstd="t" o:hr="t"/>
        </w:pict>
      </w:r>
    </w:p>
    <w:bookmarkEnd w:id="58"/>
    <w:bookmarkEnd w:id="59"/>
    <w:bookmarkEnd w:id="60"/>
    <w:bookmarkStart w:id="72" w:name="Xb1a0ba20e37c5eb58a8fd3f31cbdebbcb90f0d5"/>
    <w:p>
      <w:pPr>
        <w:pStyle w:val="Heading2"/>
      </w:pPr>
      <w:r>
        <w:t xml:space="preserve">6.4 Loan Against Securities and LAMF — lender-side lifecycle</w:t>
      </w:r>
    </w:p>
    <w:bookmarkStart w:id="61" w:name="authority-split"/>
    <w:p>
      <w:pPr>
        <w:pStyle w:val="Heading3"/>
      </w:pPr>
      <w:r>
        <w:t xml:space="preserve">6.4.1 Authority split</w:t>
      </w:r>
    </w:p>
    <w:p>
      <w:pPr>
        <w:pStyle w:val="FirstParagraph"/>
      </w:pPr>
      <w:r>
        <w:rPr>
          <w:bCs/>
          <w:b/>
        </w:rPr>
        <w:t xml:space="preserve">Finbyx (the RE) owns</w:t>
      </w:r>
      <w:r>
        <w:t xml:space="preserve"> </w:t>
      </w:r>
      <w:r>
        <w:t xml:space="preserve">the security master, eligible-securities lists, haircuts, valuation, drawing power, LTV, margin calls, drawdown freezes, invocation, sale and release.</w:t>
      </w:r>
      <w:r>
        <w:t xml:space="preserve"> </w:t>
      </w:r>
      <w:r>
        <w:rPr>
          <w:bCs/>
          <w:b/>
        </w:rPr>
        <w:t xml:space="preserve">Udofin (the LSP) may only</w:t>
      </w:r>
      <w:r>
        <w:t xml:space="preserve"> </w:t>
      </w:r>
      <w:r>
        <w:t xml:space="preserve">show indicative eligibility computed from the RE’s published haircuts, orchestrate the borrower’s pledge or lien OTP, present margin calls and capture a top-up pledge or a payment instruction to the RE’s account. This corrects the LAS proposal (reference file), which placed the risk and drawing-power engine in Udofin. The margin engine lives in Finbyx [REC; decisions cannot be outsourced, OUT 15].</w:t>
      </w:r>
    </w:p>
    <w:p>
      <w:pPr>
        <w:pStyle w:val="BodyText"/>
      </w:pPr>
      <w:r>
        <w:rPr>
          <w:bCs/>
          <w:b/>
        </w:rPr>
        <w:t xml:space="preserve">Variants.</w:t>
      </w:r>
      <w:r>
        <w:t xml:space="preserve"> </w:t>
      </w:r>
      <w:r>
        <w:rPr>
          <w:rStyle w:val="VerbatimChar"/>
        </w:rPr>
        <w:t xml:space="preserve">LAS-TL</w:t>
      </w:r>
      <w:r>
        <w:t xml:space="preserve"> </w:t>
      </w:r>
      <w:r>
        <w:t xml:space="preserve">(term loan with drawing-power-capped tranches, default) and</w:t>
      </w:r>
      <w:r>
        <w:t xml:space="preserve"> </w:t>
      </w:r>
      <w:r>
        <w:rPr>
          <w:rStyle w:val="VerbatimChar"/>
        </w:rPr>
        <w:t xml:space="preserve">LAS-OD</w:t>
      </w:r>
      <w:r>
        <w:t xml:space="preserve"> </w:t>
      </w:r>
      <w:r>
        <w:t xml:space="preserve">(revolving overdraft). The OD variant reuses Finbyx’s existing LAS OD and ledger capability but stays behind the</w:t>
      </w:r>
      <w:r>
        <w:t xml:space="preserve"> </w:t>
      </w:r>
      <w:r>
        <w:rPr>
          <w:rStyle w:val="VerbatimChar"/>
        </w:rPr>
        <w:t xml:space="preserve">mod.las.revolving</w:t>
      </w:r>
      <w:r>
        <w:t xml:space="preserve"> </w:t>
      </w:r>
      <w:r>
        <w:t xml:space="preserve">flag until the August 2026 draft CF amendment on revolving credit is final [VERIFY].</w:t>
      </w:r>
      <w:r>
        <w:t xml:space="preserve"> </w:t>
      </w:r>
      <w:r>
        <w:rPr>
          <w:rStyle w:val="VerbatimChar"/>
        </w:rPr>
        <w:t xml:space="preserve">LAMF</w:t>
      </w:r>
      <w:r>
        <w:t xml:space="preserve"> </w:t>
      </w:r>
      <w:r>
        <w:t xml:space="preserve">is the same template with MF units as collateral.</w:t>
      </w:r>
    </w:p>
    <w:bookmarkEnd w:id="61"/>
    <w:bookmarkStart w:id="62" w:name="masters"/>
    <w:p>
      <w:pPr>
        <w:pStyle w:val="Heading3"/>
      </w:pPr>
      <w:r>
        <w:t xml:space="preserve">6.4.2 Masters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53"/>
        <w:gridCol w:w="3963"/>
        <w:gridCol w:w="4022"/>
      </w:tblGrid>
      <w:tr>
        <w:trPr>
          <w:tblHeader w:val="true"/>
          <w:tblHeader w:val="true"/>
        </w:trPr>
        <w:tc>
          <w:tcPr>
            <w:tcW w:w="1653" w:type="dxa"/>
            <w:shd w:val="clear" w:color="auto" w:fill="1F3A5F"/>
          </w:tcPr>
          <w:p>
            <w:pPr>
              <w:pStyle w:val="Compact"/>
              <w:spacing w:after="40"/>
              <w:jc w:val="left"/>
            </w:pPr>
            <w:r>
              <w:rPr>
                <w:b/>
                <w:color w:val="FFFFFF"/>
                <w:sz w:val="18"/>
              </w:rPr>
              <w:t xml:space="preserve">Master</w:t>
            </w:r>
          </w:p>
        </w:tc>
        <w:tc>
          <w:tcPr>
            <w:tcW w:w="3963" w:type="dxa"/>
            <w:shd w:val="clear" w:color="auto" w:fill="1F3A5F"/>
          </w:tcPr>
          <w:p>
            <w:pPr>
              <w:pStyle w:val="Compact"/>
              <w:spacing w:after="40"/>
              <w:jc w:val="left"/>
            </w:pPr>
            <w:r>
              <w:rPr>
                <w:b/>
                <w:color w:val="FFFFFF"/>
                <w:sz w:val="18"/>
              </w:rPr>
              <w:t xml:space="preserve">Content</w:t>
            </w:r>
          </w:p>
        </w:tc>
        <w:tc>
          <w:tcPr>
            <w:tcW w:w="4022" w:type="dxa"/>
            <w:shd w:val="clear" w:color="auto" w:fill="1F3A5F"/>
          </w:tcPr>
          <w:p>
            <w:pPr>
              <w:pStyle w:val="Compact"/>
              <w:spacing w:after="40"/>
              <w:jc w:val="left"/>
            </w:pPr>
            <w:r>
              <w:rPr>
                <w:b/>
                <w:color w:val="FFFFFF"/>
                <w:sz w:val="18"/>
              </w:rPr>
              <w:t xml:space="preserve">Rule</w:t>
            </w:r>
          </w:p>
        </w:tc>
      </w:tr>
      <w:tr>
        <w:tc>
          <w:tcPr>
            <w:tcW w:w="1653" w:type="dxa"/>
          </w:tcPr>
          <w:p>
            <w:pPr>
              <w:pStyle w:val="Compact"/>
              <w:spacing w:after="40"/>
              <w:jc w:val="left"/>
            </w:pPr>
            <w:r>
              <w:rPr>
                <w:sz w:val="18"/>
              </w:rPr>
              <w:t xml:space="preserve">Security master</w:t>
            </w:r>
          </w:p>
        </w:tc>
        <w:tc>
          <w:tcPr>
            <w:tcW w:w="3963" w:type="dxa"/>
          </w:tcPr>
          <w:p>
            <w:pPr>
              <w:pStyle w:val="Compact"/>
              <w:spacing w:after="40"/>
              <w:jc w:val="left"/>
            </w:pPr>
            <w:r>
              <w:rPr>
                <w:sz w:val="18"/>
              </w:rPr>
              <w:t xml:space="preserve">ISIN or scheme code, issuer, exchange and Group 1 flag, lock-in, listing status, issuer-is-tenant flag, primary-gold/silver ETF or MF flag</w:t>
            </w:r>
          </w:p>
        </w:tc>
        <w:tc>
          <w:tcPr>
            <w:tcW w:w="4022" w:type="dxa"/>
          </w:tcPr>
          <w:p>
            <w:pPr>
              <w:pStyle w:val="Compact"/>
              <w:spacing w:after="40"/>
              <w:jc w:val="left"/>
            </w:pPr>
            <w:r>
              <w:rPr>
                <w:sz w:val="18"/>
              </w:rPr>
              <w:t xml:space="preserve">Own shares blocked (CF 105); units backed by primary gold or silver blocked (CF 35(2)); locked-in securities ineligible</w:t>
            </w:r>
          </w:p>
        </w:tc>
      </w:tr>
      <w:tr>
        <w:tc>
          <w:tcPr>
            <w:tcW w:w="1653" w:type="dxa"/>
          </w:tcPr>
          <w:p>
            <w:pPr>
              <w:pStyle w:val="Compact"/>
              <w:spacing w:after="40"/>
              <w:jc w:val="left"/>
            </w:pPr>
            <w:r>
              <w:rPr>
                <w:sz w:val="18"/>
              </w:rPr>
              <w:t xml:space="preserve">Eligible-securities list</w:t>
            </w:r>
          </w:p>
        </w:tc>
        <w:tc>
          <w:tcPr>
            <w:tcW w:w="3963" w:type="dxa"/>
          </w:tcPr>
          <w:p>
            <w:pPr>
              <w:pStyle w:val="Compact"/>
              <w:spacing w:after="40"/>
              <w:jc w:val="left"/>
            </w:pPr>
            <w:r>
              <w:rPr>
                <w:sz w:val="18"/>
              </w:rPr>
              <w:t xml:space="preserve">Per variant: listed shares, bonds, MF (equity, debt, hybrid)</w:t>
            </w:r>
          </w:p>
        </w:tc>
        <w:tc>
          <w:tcPr>
            <w:tcW w:w="4022" w:type="dxa"/>
          </w:tcPr>
          <w:p>
            <w:pPr>
              <w:pStyle w:val="Compact"/>
              <w:spacing w:after="40"/>
              <w:jc w:val="left"/>
            </w:pPr>
            <w:r>
              <w:rPr>
                <w:sz w:val="18"/>
              </w:rPr>
              <w:t xml:space="preserve">Board-approved, versioned, effective-dated; Group 1 only where the loan is for capital-market investment and exceeds ₹5 lakh (CF 106(2)(i))</w:t>
            </w:r>
          </w:p>
        </w:tc>
      </w:tr>
      <w:tr>
        <w:tc>
          <w:tcPr>
            <w:tcW w:w="1653" w:type="dxa"/>
          </w:tcPr>
          <w:p>
            <w:pPr>
              <w:pStyle w:val="Compact"/>
              <w:spacing w:after="40"/>
              <w:jc w:val="left"/>
            </w:pPr>
            <w:r>
              <w:rPr>
                <w:sz w:val="18"/>
              </w:rPr>
              <w:t xml:space="preserve">Haircut schedule</w:t>
            </w:r>
          </w:p>
        </w:tc>
        <w:tc>
          <w:tcPr>
            <w:tcW w:w="3963" w:type="dxa"/>
          </w:tcPr>
          <w:p>
            <w:pPr>
              <w:pStyle w:val="Compact"/>
              <w:spacing w:after="40"/>
              <w:jc w:val="left"/>
            </w:pPr>
            <w:r>
              <w:rPr>
                <w:sz w:val="18"/>
              </w:rPr>
              <w:t xml:space="preserve">Haircut by security or class; volatility buffer; concentration caps per scrip, issuer and borrower</w:t>
            </w:r>
          </w:p>
        </w:tc>
        <w:tc>
          <w:tcPr>
            <w:tcW w:w="4022" w:type="dxa"/>
          </w:tcPr>
          <w:p>
            <w:pPr>
              <w:pStyle w:val="Compact"/>
              <w:spacing w:after="40"/>
              <w:jc w:val="left"/>
            </w:pPr>
            <w:r>
              <w:rPr>
                <w:sz w:val="18"/>
              </w:rPr>
              <w:t xml:space="preserve">Listed shares: LTV ≤ 50% at all times for NBFCs with assets ≥ ₹100 crore (CF 106(1)); bonds and MF units per Board policy (CF prescribes none)</w:t>
            </w:r>
          </w:p>
        </w:tc>
      </w:tr>
      <w:tr>
        <w:tc>
          <w:tcPr>
            <w:tcW w:w="1653" w:type="dxa"/>
          </w:tcPr>
          <w:p>
            <w:pPr>
              <w:pStyle w:val="Compact"/>
              <w:spacing w:after="40"/>
              <w:jc w:val="left"/>
            </w:pPr>
            <w:r>
              <w:rPr>
                <w:sz w:val="18"/>
              </w:rPr>
              <w:t xml:space="preserve">Price sources</w:t>
            </w:r>
          </w:p>
        </w:tc>
        <w:tc>
          <w:tcPr>
            <w:tcW w:w="3963" w:type="dxa"/>
          </w:tcPr>
          <w:p>
            <w:pPr>
              <w:pStyle w:val="Compact"/>
              <w:spacing w:after="40"/>
              <w:jc w:val="left"/>
            </w:pPr>
            <w:r>
              <w:rPr>
                <w:sz w:val="18"/>
              </w:rPr>
              <w:t xml:space="preserve">Exchange bhavcopy (T-1 close), AMFI NAV, bond valuation source</w:t>
            </w:r>
          </w:p>
        </w:tc>
        <w:tc>
          <w:tcPr>
            <w:tcW w:w="4022" w:type="dxa"/>
          </w:tcPr>
          <w:p>
            <w:pPr>
              <w:pStyle w:val="Compact"/>
              <w:spacing w:after="40"/>
              <w:jc w:val="left"/>
            </w:pPr>
            <w:r>
              <w:rPr>
                <w:sz w:val="18"/>
              </w:rPr>
              <w:t xml:space="preserve">Each snapshot tagged with source and timestamp; data more than one business day stale freezes drawdowns</w:t>
            </w:r>
          </w:p>
        </w:tc>
      </w:tr>
      <w:tr>
        <w:tc>
          <w:tcPr>
            <w:tcW w:w="1653" w:type="dxa"/>
          </w:tcPr>
          <w:p>
            <w:pPr>
              <w:pStyle w:val="Compact"/>
              <w:spacing w:after="40"/>
              <w:jc w:val="left"/>
            </w:pPr>
            <w:r>
              <w:rPr>
                <w:sz w:val="18"/>
              </w:rPr>
              <w:t xml:space="preserve">Policy thresholds</w:t>
            </w:r>
          </w:p>
        </w:tc>
        <w:tc>
          <w:tcPr>
            <w:tcW w:w="3963" w:type="dxa"/>
          </w:tcPr>
          <w:p>
            <w:pPr>
              <w:pStyle w:val="Compact"/>
              <w:spacing w:after="40"/>
              <w:jc w:val="left"/>
            </w:pPr>
            <w:r>
              <w:rPr>
                <w:sz w:val="18"/>
              </w:rPr>
              <w:t xml:space="preserve">Alert, margin-call and sell LTV levels; cure period; notice period; drawdown cut-offs</w:t>
            </w:r>
          </w:p>
        </w:tc>
        <w:tc>
          <w:tcPr>
            <w:tcW w:w="4022" w:type="dxa"/>
          </w:tcPr>
          <w:p>
            <w:pPr>
              <w:pStyle w:val="Compact"/>
              <w:spacing w:after="40"/>
              <w:jc w:val="left"/>
            </w:pPr>
            <w:r>
              <w:rPr>
                <w:sz w:val="18"/>
              </w:rPr>
              <w:t xml:space="preserve">Regulated configuration (Part 3.3); the 7-working-day cure for listed shares cannot be lengthened (CF 106(1))</w:t>
            </w:r>
          </w:p>
        </w:tc>
      </w:tr>
      <w:tr>
        <w:tc>
          <w:tcPr>
            <w:tcW w:w="1653" w:type="dxa"/>
          </w:tcPr>
          <w:p>
            <w:pPr>
              <w:pStyle w:val="Compact"/>
              <w:spacing w:after="40"/>
              <w:jc w:val="left"/>
            </w:pPr>
            <w:r>
              <w:rPr>
                <w:sz w:val="18"/>
              </w:rPr>
              <w:t xml:space="preserve">Limits</w:t>
            </w:r>
          </w:p>
        </w:tc>
        <w:tc>
          <w:tcPr>
            <w:tcW w:w="3963" w:type="dxa"/>
          </w:tcPr>
          <w:p>
            <w:pPr>
              <w:pStyle w:val="Compact"/>
              <w:spacing w:after="40"/>
              <w:jc w:val="left"/>
            </w:pPr>
            <w:r>
              <w:rPr>
                <w:sz w:val="18"/>
              </w:rPr>
              <w:t xml:space="preserve">Per-borrower IPO funding cap ₹1 crore (CF 104); capital-market exposure limits (CON 24)</w:t>
            </w:r>
          </w:p>
        </w:tc>
        <w:tc>
          <w:tcPr>
            <w:tcW w:w="4022" w:type="dxa"/>
          </w:tcPr>
          <w:p>
            <w:pPr>
              <w:pStyle w:val="Compact"/>
              <w:spacing w:after="40"/>
              <w:jc w:val="left"/>
            </w:pPr>
            <w:r>
              <w:rPr>
                <w:sz w:val="18"/>
              </w:rPr>
              <w:t xml:space="preserve">Checked at sanction and on every drawdown</w:t>
            </w:r>
          </w:p>
        </w:tc>
      </w:tr>
    </w:tbl>
    <w:p>
      <w:pPr>
        <w:pStyle w:val="BodyText"/>
      </w:pPr>
      <w:r>
        <w:t xml:space="preserve">CF 106 applies only to NBFC tenants with assets ≥ ₹100 crore and only to listed shares; smaller tenants and other securities follow Board policy, and the rule pack resolves this from the entity regulatory profile.</w:t>
      </w:r>
    </w:p>
    <w:bookmarkEnd w:id="62"/>
    <w:bookmarkStart w:id="63" w:name="pledge-and-lien-acceptance"/>
    <w:p>
      <w:pPr>
        <w:pStyle w:val="Heading3"/>
      </w:pPr>
      <w:r>
        <w:t xml:space="preserve">6.4.3 Pledge and lien acceptance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43"/>
        <w:gridCol w:w="5308"/>
        <w:gridCol w:w="2887"/>
      </w:tblGrid>
      <w:tr>
        <w:trPr>
          <w:tblHeader w:val="true"/>
          <w:tblHeader w:val="true"/>
        </w:trPr>
        <w:tc>
          <w:tcPr>
            <w:tcW w:w="1443" w:type="dxa"/>
            <w:shd w:val="clear" w:color="auto" w:fill="1F3A5F"/>
          </w:tcPr>
          <w:p>
            <w:pPr>
              <w:pStyle w:val="Compact"/>
              <w:spacing w:after="40"/>
              <w:jc w:val="left"/>
            </w:pPr>
            <w:r>
              <w:rPr>
                <w:b/>
                <w:color w:val="FFFFFF"/>
                <w:sz w:val="18"/>
              </w:rPr>
              <w:t xml:space="preserve">Rail</w:t>
            </w:r>
          </w:p>
        </w:tc>
        <w:tc>
          <w:tcPr>
            <w:tcW w:w="5308" w:type="dxa"/>
            <w:shd w:val="clear" w:color="auto" w:fill="1F3A5F"/>
          </w:tcPr>
          <w:p>
            <w:pPr>
              <w:pStyle w:val="Compact"/>
              <w:spacing w:after="40"/>
              <w:jc w:val="left"/>
            </w:pPr>
            <w:r>
              <w:rPr>
                <w:b/>
                <w:color w:val="FFFFFF"/>
                <w:sz w:val="18"/>
              </w:rPr>
              <w:t xml:space="preserve">Flow</w:t>
            </w:r>
          </w:p>
        </w:tc>
        <w:tc>
          <w:tcPr>
            <w:tcW w:w="2887" w:type="dxa"/>
            <w:shd w:val="clear" w:color="auto" w:fill="1F3A5F"/>
          </w:tcPr>
          <w:p>
            <w:pPr>
              <w:pStyle w:val="Compact"/>
              <w:spacing w:after="40"/>
              <w:jc w:val="left"/>
            </w:pPr>
            <w:r>
              <w:rPr>
                <w:b/>
                <w:color w:val="FFFFFF"/>
                <w:sz w:val="18"/>
              </w:rPr>
              <w:t xml:space="preserve">Evidence</w:t>
            </w:r>
          </w:p>
        </w:tc>
      </w:tr>
      <w:tr>
        <w:tc>
          <w:tcPr>
            <w:tcW w:w="1443" w:type="dxa"/>
          </w:tcPr>
          <w:p>
            <w:pPr>
              <w:pStyle w:val="Compact"/>
              <w:spacing w:after="40"/>
              <w:jc w:val="left"/>
            </w:pPr>
            <w:r>
              <w:rPr>
                <w:sz w:val="18"/>
              </w:rPr>
              <w:t xml:space="preserve">NSDL pledge</w:t>
            </w:r>
          </w:p>
        </w:tc>
        <w:tc>
          <w:tcPr>
            <w:tcW w:w="5308" w:type="dxa"/>
          </w:tcPr>
          <w:p>
            <w:pPr>
              <w:pStyle w:val="Compact"/>
              <w:spacing w:after="40"/>
              <w:jc w:val="left"/>
            </w:pPr>
            <w:r>
              <w:rPr>
                <w:sz w:val="18"/>
              </w:rPr>
              <w:t xml:space="preserve">Pledgor’s DP instruction with agreement number, closure date and pledgee → pledgee accepts or rejects through its DP; once accepted the pledgor cannot cancel</w:t>
            </w:r>
          </w:p>
        </w:tc>
        <w:tc>
          <w:tcPr>
            <w:tcW w:w="2887" w:type="dxa"/>
          </w:tcPr>
          <w:p>
            <w:pPr>
              <w:pStyle w:val="Compact"/>
              <w:spacing w:after="40"/>
              <w:jc w:val="left"/>
            </w:pPr>
            <w:r>
              <w:rPr>
                <w:sz w:val="18"/>
              </w:rPr>
              <w:t xml:space="preserve">Pledge sequence number, quantity, ISIN, acceptance timestamp</w:t>
            </w:r>
          </w:p>
        </w:tc>
      </w:tr>
      <w:tr>
        <w:tc>
          <w:tcPr>
            <w:tcW w:w="1443" w:type="dxa"/>
          </w:tcPr>
          <w:p>
            <w:pPr>
              <w:pStyle w:val="Compact"/>
              <w:spacing w:after="40"/>
              <w:jc w:val="left"/>
            </w:pPr>
            <w:r>
              <w:rPr>
                <w:sz w:val="18"/>
              </w:rPr>
              <w:t xml:space="preserve">CDSL LAS API</w:t>
            </w:r>
          </w:p>
        </w:tc>
        <w:tc>
          <w:tcPr>
            <w:tcW w:w="5308" w:type="dxa"/>
          </w:tcPr>
          <w:p>
            <w:pPr>
              <w:pStyle w:val="Compact"/>
              <w:spacing w:after="40"/>
              <w:jc w:val="left"/>
            </w:pPr>
            <w:r>
              <w:rPr>
                <w:sz w:val="18"/>
              </w:rPr>
              <w:t xml:space="preserve">Aadhaar e-sign consent to share holdings → holdings by PAN-BOID → RE computes eligibility → OTP on CDSL → pledgor DP approves the same day (auto-approval allowed; rejection reasons required; CDSL/OPS/DP/POLICY/2026/468, 15 Jul 2026) → confirmation to the RE</w:t>
            </w:r>
          </w:p>
        </w:tc>
        <w:tc>
          <w:tcPr>
            <w:tcW w:w="2887" w:type="dxa"/>
          </w:tcPr>
          <w:p>
            <w:pPr>
              <w:pStyle w:val="Compact"/>
              <w:spacing w:after="40"/>
              <w:jc w:val="left"/>
            </w:pPr>
            <w:r>
              <w:rPr>
                <w:sz w:val="18"/>
              </w:rPr>
              <w:t xml:space="preserve">CDSL reference, quantity, DP approval timestamp</w:t>
            </w:r>
          </w:p>
        </w:tc>
      </w:tr>
      <w:tr>
        <w:tc>
          <w:tcPr>
            <w:tcW w:w="1443" w:type="dxa"/>
          </w:tcPr>
          <w:p>
            <w:pPr>
              <w:pStyle w:val="Compact"/>
              <w:spacing w:after="40"/>
              <w:jc w:val="left"/>
            </w:pPr>
            <w:r>
              <w:rPr>
                <w:sz w:val="18"/>
              </w:rPr>
              <w:t xml:space="preserve">MF lien (SOA units)</w:t>
            </w:r>
          </w:p>
        </w:tc>
        <w:tc>
          <w:tcPr>
            <w:tcW w:w="5308" w:type="dxa"/>
          </w:tcPr>
          <w:p>
            <w:pPr>
              <w:pStyle w:val="Compact"/>
              <w:spacing w:after="40"/>
              <w:jc w:val="left"/>
            </w:pPr>
            <w:r>
              <w:rPr>
                <w:sz w:val="18"/>
              </w:rPr>
              <w:t xml:space="preserve">Lien request via MF Central or the RTA (CAMS, KFintech) with borrower OTP; units cannot be redeemed or switched; dividends continue</w:t>
            </w:r>
          </w:p>
        </w:tc>
        <w:tc>
          <w:tcPr>
            <w:tcW w:w="2887" w:type="dxa"/>
          </w:tcPr>
          <w:p>
            <w:pPr>
              <w:pStyle w:val="Compact"/>
              <w:spacing w:after="40"/>
              <w:jc w:val="left"/>
            </w:pPr>
            <w:r>
              <w:rPr>
                <w:sz w:val="18"/>
              </w:rPr>
              <w:t xml:space="preserve">RTA lien reference, folio, units [VERIFY: direct RTA contract or aggregator]</w:t>
            </w:r>
          </w:p>
        </w:tc>
      </w:tr>
      <w:tr>
        <w:tc>
          <w:tcPr>
            <w:tcW w:w="1443" w:type="dxa"/>
          </w:tcPr>
          <w:p>
            <w:pPr>
              <w:pStyle w:val="Compact"/>
              <w:spacing w:after="40"/>
              <w:jc w:val="left"/>
            </w:pPr>
            <w:r>
              <w:rPr>
                <w:sz w:val="18"/>
              </w:rPr>
              <w:t xml:space="preserve">Demat MF units</w:t>
            </w:r>
          </w:p>
        </w:tc>
        <w:tc>
          <w:tcPr>
            <w:tcW w:w="5308" w:type="dxa"/>
          </w:tcPr>
          <w:p>
            <w:pPr>
              <w:pStyle w:val="Compact"/>
              <w:spacing w:after="40"/>
              <w:jc w:val="left"/>
            </w:pPr>
            <w:r>
              <w:rPr>
                <w:sz w:val="18"/>
              </w:rPr>
              <w:t xml:space="preserve">Depository pledge as above</w:t>
            </w:r>
          </w:p>
        </w:tc>
        <w:tc>
          <w:tcPr>
            <w:tcW w:w="2887" w:type="dxa"/>
          </w:tcPr>
          <w:p>
            <w:pPr>
              <w:pStyle w:val="Compact"/>
              <w:spacing w:after="40"/>
              <w:jc w:val="left"/>
            </w:pPr>
            <w:r>
              <w:rPr>
                <w:sz w:val="18"/>
              </w:rPr>
              <w:t xml:space="preserve">As NSDL/CDSL</w:t>
            </w:r>
          </w:p>
        </w:tc>
      </w:tr>
    </w:tbl>
    <w:p>
      <w:pPr>
        <w:pStyle w:val="BodyText"/>
      </w:pPr>
      <w:r>
        <w:rPr>
          <w:bCs/>
          <w:b/>
        </w:rPr>
        <w:t xml:space="preserve">SEBI rule (5 Feb 2026, implementation by 6 Apr 2026).</w:t>
      </w:r>
      <w:r>
        <w:t xml:space="preserve"> </w:t>
      </w:r>
      <w:r>
        <w:t xml:space="preserve">The pledge form carries the pledgee’s undertaking to give</w:t>
      </w:r>
      <w:r>
        <w:t xml:space="preserve"> </w:t>
      </w:r>
      <w:r>
        <w:rPr>
          <w:bCs/>
          <w:b/>
        </w:rPr>
        <w:t xml:space="preserve">reasonable notice to the pledgor</w:t>
      </w:r>
      <w:r>
        <w:t xml:space="preserve"> </w:t>
      </w:r>
      <w:r>
        <w:t xml:space="preserve">before invocation (Indian Contract Act ss.176–177); the pledgee initiates invocation, and the depository notifies both parties and records the pledgee as beneficial owner (SEBI (Depositories and Participants) Regulations 2018, Reg 79(8)) [VERIFY: circular number]. The loan agreement template and the pledge-terms clause carry the same undertaking. The SEBI margin-pledge circular of 25 Feb 2020 is a broker-margin mechanism and is not an LAS rail.</w:t>
      </w:r>
    </w:p>
    <w:p>
      <w:pPr>
        <w:pStyle w:val="BodyText"/>
      </w:pPr>
      <w:r>
        <w:rPr>
          <w:bCs/>
          <w:b/>
        </w:rPr>
        <w:t xml:space="preserve">State machine (Integration Spec Part 7.3):</w:t>
      </w:r>
      <w:r>
        <w:t xml:space="preserve"> </w:t>
      </w:r>
      <w:r>
        <w:rPr>
          <w:rStyle w:val="VerbatimChar"/>
        </w:rPr>
        <w:t xml:space="preserve">REQUESTED → PENDING_BORROWER_OTP → PENDING_DP_APPROVAL → ACCEPTED → CONFIRMED</w:t>
      </w:r>
      <w:r>
        <w:t xml:space="preserve">, then</w:t>
      </w:r>
      <w:r>
        <w:t xml:space="preserve"> </w:t>
      </w:r>
      <w:r>
        <w:rPr>
          <w:rStyle w:val="VerbatimChar"/>
        </w:rPr>
        <w:t xml:space="preserve">CLOSURE_REQUESTED → CLOSED</w:t>
      </w:r>
      <w:r>
        <w:t xml:space="preserve"> </w:t>
      </w:r>
      <w:r>
        <w:t xml:space="preserve">or</w:t>
      </w:r>
      <w:r>
        <w:t xml:space="preserve"> </w:t>
      </w:r>
      <w:r>
        <w:rPr>
          <w:rStyle w:val="VerbatimChar"/>
        </w:rPr>
        <w:t xml:space="preserve">INVOCATION_REQUESTED → INVOKED</w:t>
      </w:r>
      <w:r>
        <w:t xml:space="preserve">; failure states</w:t>
      </w:r>
      <w:r>
        <w:t xml:space="preserve"> </w:t>
      </w:r>
      <w:r>
        <w:rPr>
          <w:rStyle w:val="VerbatimChar"/>
        </w:rPr>
        <w:t xml:space="preserve">REJECTED</w:t>
      </w:r>
      <w:r>
        <w:t xml:space="preserve">,</w:t>
      </w:r>
      <w:r>
        <w:t xml:space="preserve"> </w:t>
      </w:r>
      <w:r>
        <w:rPr>
          <w:rStyle w:val="VerbatimChar"/>
        </w:rPr>
        <w:t xml:space="preserve">EXPIRED</w:t>
      </w:r>
      <w:r>
        <w:t xml:space="preserve"> </w:t>
      </w:r>
      <w:r>
        <w:t xml:space="preserve">and</w:t>
      </w:r>
      <w:r>
        <w:t xml:space="preserve"> </w:t>
      </w:r>
      <w:r>
        <w:rPr>
          <w:rStyle w:val="VerbatimChar"/>
        </w:rPr>
        <w:t xml:space="preserve">FAILED</w:t>
      </w:r>
      <w:r>
        <w:t xml:space="preserve"> </w:t>
      </w:r>
      <w:r>
        <w:t xml:space="preserve">with reasons. Events:</w:t>
      </w:r>
      <w:r>
        <w:t xml:space="preserve"> </w:t>
      </w:r>
      <w:r>
        <w:rPr>
          <w:rStyle w:val="VerbatimChar"/>
        </w:rPr>
        <w:t xml:space="preserve">CollateralHoldingsShared</w:t>
      </w:r>
      <w:r>
        <w:t xml:space="preserve"> </w:t>
      </w:r>
      <w:r>
        <w:t xml:space="preserve">(Udofin → Finbyx, holdings with consent reference),</w:t>
      </w:r>
      <w:r>
        <w:t xml:space="preserve"> </w:t>
      </w:r>
      <w:r>
        <w:rPr>
          <w:rStyle w:val="VerbatimChar"/>
        </w:rPr>
        <w:t xml:space="preserve">CollateralPledgeRequested</w:t>
      </w:r>
      <w:r>
        <w:t xml:space="preserve"> </w:t>
      </w:r>
      <w:r>
        <w:t xml:space="preserve">(Finbyx → Udofin or the branch channel, which collects the pledgor’s OTP),</w:t>
      </w:r>
      <w:r>
        <w:t xml:space="preserve"> </w:t>
      </w:r>
      <w:r>
        <w:rPr>
          <w:rStyle w:val="VerbatimChar"/>
        </w:rPr>
        <w:t xml:space="preserve">CollateralPledgeCreated</w:t>
      </w:r>
      <w:r>
        <w:t xml:space="preserve"> </w:t>
      </w:r>
      <w:r>
        <w:t xml:space="preserve">or</w:t>
      </w:r>
      <w:r>
        <w:t xml:space="preserve"> </w:t>
      </w:r>
      <w:r>
        <w:rPr>
          <w:rStyle w:val="VerbatimChar"/>
        </w:rPr>
        <w:t xml:space="preserve">CollateralPledgeFailed</w:t>
      </w:r>
      <w:r>
        <w:t xml:space="preserve"> </w:t>
      </w:r>
      <w:r>
        <w:t xml:space="preserve">(Finbyx, after the provider responds).</w:t>
      </w:r>
      <w:r>
        <w:t xml:space="preserve"> </w:t>
      </w:r>
      <w:r>
        <w:rPr>
          <w:bCs/>
          <w:b/>
        </w:rPr>
        <w:t xml:space="preserve">Disbursement and every drawdown require</w:t>
      </w:r>
      <w:r>
        <w:rPr>
          <w:bCs/>
          <w:b/>
        </w:rPr>
        <w:t xml:space="preserve"> </w:t>
      </w:r>
      <w:r>
        <w:rPr>
          <w:rStyle w:val="VerbatimChar"/>
          <w:bCs/>
          <w:b/>
        </w:rPr>
        <w:t xml:space="preserve">CONFIRMED</w:t>
      </w:r>
      <w:r>
        <w:rPr>
          <w:bCs/>
          <w:b/>
        </w:rPr>
        <w:t xml:space="preserve">;</w:t>
      </w:r>
      <w:r>
        <w:t xml:space="preserve"> </w:t>
      </w:r>
      <w:r>
        <w:t xml:space="preserve">a callback alone never completes the step.</w:t>
      </w:r>
    </w:p>
    <w:bookmarkEnd w:id="63"/>
    <w:bookmarkStart w:id="64" w:name="daily-valuation-drawing-power-and-ltv"/>
    <w:p>
      <w:pPr>
        <w:pStyle w:val="Heading3"/>
      </w:pPr>
      <w:r>
        <w:t xml:space="preserve">6.4.4 Daily valuation, drawing power and LTV</w:t>
      </w:r>
    </w:p>
    <w:p>
      <w:pPr>
        <w:numPr>
          <w:ilvl w:val="0"/>
          <w:numId w:val="1079"/>
        </w:numPr>
        <w:pStyle w:val="Compact"/>
      </w:pPr>
      <w:r>
        <w:rPr>
          <w:bCs/>
          <w:b/>
        </w:rPr>
        <w:t xml:space="preserve">Job:</w:t>
      </w:r>
      <w:r>
        <w:t xml:space="preserve"> </w:t>
      </w:r>
      <w:r>
        <w:t xml:space="preserve">after the price file for each business day (intraday for volatile scrips by policy). Inputs are pledged quantities reconciled with the depository or RTA statement.</w:t>
      </w:r>
    </w:p>
    <w:p>
      <w:pPr>
        <w:numPr>
          <w:ilvl w:val="0"/>
          <w:numId w:val="1079"/>
        </w:numPr>
        <w:pStyle w:val="Compact"/>
      </w:pPr>
      <w:r>
        <w:rPr>
          <w:bCs/>
          <w:b/>
        </w:rPr>
        <w:t xml:space="preserve">Eligible value</w:t>
      </w:r>
      <w:r>
        <w:t xml:space="preserve"> </w:t>
      </w:r>
      <w:r>
        <w:t xml:space="preserve">= Σ units × price × (1 − haircut), after concentration caps.</w:t>
      </w:r>
    </w:p>
    <w:p>
      <w:pPr>
        <w:numPr>
          <w:ilvl w:val="0"/>
          <w:numId w:val="1079"/>
        </w:numPr>
        <w:pStyle w:val="Compact"/>
      </w:pPr>
      <w:r>
        <w:rPr>
          <w:bCs/>
          <w:b/>
        </w:rPr>
        <w:t xml:space="preserve">Drawing power (OD)</w:t>
      </w:r>
      <w:r>
        <w:t xml:space="preserve"> </w:t>
      </w:r>
      <w:r>
        <w:t xml:space="preserve">= min(sanctioned limit, eligible value), net of pending reservations and dues.</w:t>
      </w:r>
    </w:p>
    <w:p>
      <w:pPr>
        <w:numPr>
          <w:ilvl w:val="0"/>
          <w:numId w:val="1079"/>
        </w:numPr>
        <w:pStyle w:val="Compact"/>
      </w:pPr>
      <w:r>
        <w:rPr>
          <w:bCs/>
          <w:b/>
        </w:rPr>
        <w:t xml:space="preserve">Regulatory LTV (listed shares)</w:t>
      </w:r>
      <w:r>
        <w:t xml:space="preserve"> </w:t>
      </w:r>
      <w:r>
        <w:t xml:space="preserve">= outstanding (principal plus accrued interest and charges due) ÷ market value of pledged shares; must stay ≤ 50% (CF 106(1)). Tested separately from drawing power, so a generous internal haircut cannot mask a regulatory breach.</w:t>
      </w:r>
    </w:p>
    <w:p>
      <w:pPr>
        <w:numPr>
          <w:ilvl w:val="0"/>
          <w:numId w:val="1079"/>
        </w:numPr>
        <w:pStyle w:val="Compact"/>
      </w:pPr>
      <w:r>
        <w:rPr>
          <w:bCs/>
          <w:b/>
        </w:rPr>
        <w:t xml:space="preserve">Output:</w:t>
      </w:r>
      <w:r>
        <w:t xml:space="preserve"> </w:t>
      </w:r>
      <w:r>
        <w:rPr>
          <w:rStyle w:val="VerbatimChar"/>
        </w:rPr>
        <w:t xml:space="preserve">CollateralValuationUpdated</w:t>
      </w:r>
      <w:r>
        <w:t xml:space="preserve"> </w:t>
      </w:r>
      <w:r>
        <w:t xml:space="preserve">{as_of, source, market value, eligible value, drawing power, LTV, status}. Stale or suspect prices (gap, zero, outlier) raise an exception and freeze drawdowns; they never silently carry forward.</w:t>
      </w:r>
    </w:p>
    <w:bookmarkEnd w:id="64"/>
    <w:bookmarkStart w:id="65" w:name="drawdown-od-variant-flag-gated"/>
    <w:p>
      <w:pPr>
        <w:pStyle w:val="Heading3"/>
      </w:pPr>
      <w:r>
        <w:t xml:space="preserve">6.4.5 Drawdown (OD variant, flag-gated)</w:t>
      </w:r>
    </w:p>
    <w:p>
      <w:pPr>
        <w:pStyle w:val="FirstParagraph"/>
      </w:pPr>
      <w:r>
        <w:t xml:space="preserve">Requested through the</w:t>
      </w:r>
      <w:r>
        <w:t xml:space="preserve"> </w:t>
      </w:r>
      <w:r>
        <w:rPr>
          <w:rStyle w:val="VerbatimChar"/>
        </w:rPr>
        <w:t xml:space="preserve">DrawdownRequested</w:t>
      </w:r>
      <w:r>
        <w:t xml:space="preserve"> </w:t>
      </w:r>
      <w:r>
        <w:t xml:space="preserve">API (Integration Spec Part 7.3, step 7). States:</w:t>
      </w:r>
      <w:r>
        <w:t xml:space="preserve"> </w:t>
      </w:r>
      <w:r>
        <w:rPr>
          <w:rStyle w:val="VerbatimChar"/>
        </w:rPr>
        <w:t xml:space="preserve">REQUESTED → AUTHORISED → SENT_TO_PROVIDER → PENDING_SETTLEMENT → SETTLED → POSTED → RECONCILED</w:t>
      </w:r>
      <w:r>
        <w:t xml:space="preserve">, with</w:t>
      </w:r>
      <w:r>
        <w:t xml:space="preserve"> </w:t>
      </w:r>
      <w:r>
        <w:rPr>
          <w:rStyle w:val="VerbatimChar"/>
        </w:rPr>
        <w:t xml:space="preserve">FAILED</w:t>
      </w:r>
      <w:r>
        <w:t xml:space="preserve"> </w:t>
      </w:r>
      <w:r>
        <w:t xml:space="preserve">and</w:t>
      </w:r>
      <w:r>
        <w:t xml:space="preserve"> </w:t>
      </w:r>
      <w:r>
        <w:rPr>
          <w:rStyle w:val="VerbatimChar"/>
        </w:rPr>
        <w:t xml:space="preserve">EXCEPTION_REVIEW</w:t>
      </w:r>
      <w:r>
        <w:t xml:space="preserve">. Each settled drawdown emits</w:t>
      </w:r>
      <w:r>
        <w:t xml:space="preserve"> </w:t>
      </w:r>
      <w:r>
        <w:rPr>
          <w:rStyle w:val="VerbatimChar"/>
        </w:rPr>
        <w:t xml:space="preserve">LoanDisbursed</w:t>
      </w:r>
      <w:r>
        <w:t xml:space="preserve"> </w:t>
      </w:r>
      <w:r>
        <w:t xml:space="preserve">(DRAWDOWN). A drawdown is authorised only if: the valuation is fresh; no margin call is open; no freeze or legal hold applies; the amount ≤ drawing power net of reservations and dues; and the payee is the borrower’s verified account (CF 10(1)). One idempotency key per request; an uncertain bank status holds the intent for reconciliation and is never resent automatically.</w:t>
      </w:r>
    </w:p>
    <w:bookmarkEnd w:id="65"/>
    <w:bookmarkStart w:id="66" w:name="margin-calls"/>
    <w:p>
      <w:pPr>
        <w:pStyle w:val="Heading3"/>
      </w:pPr>
      <w:r>
        <w:t xml:space="preserve">6.4.6 Margin calls</w:t>
      </w:r>
    </w:p>
    <w:p>
      <w:pPr>
        <w:numPr>
          <w:ilvl w:val="0"/>
          <w:numId w:val="1080"/>
        </w:numPr>
        <w:pStyle w:val="Compact"/>
      </w:pPr>
      <w:r>
        <w:rPr>
          <w:bCs/>
          <w:b/>
        </w:rPr>
        <w:t xml:space="preserve">Trigger:</w:t>
      </w:r>
      <w:r>
        <w:t xml:space="preserve"> </w:t>
      </w:r>
      <w:r>
        <w:t xml:space="preserve">LTV above the call threshold, or eligible value below the outstanding for non-share collateral.</w:t>
      </w:r>
    </w:p>
    <w:p>
      <w:pPr>
        <w:numPr>
          <w:ilvl w:val="0"/>
          <w:numId w:val="1080"/>
        </w:numPr>
        <w:pStyle w:val="Compact"/>
      </w:pPr>
      <w:r>
        <w:rPr>
          <w:rStyle w:val="VerbatimChar"/>
          <w:bCs/>
          <w:b/>
        </w:rPr>
        <w:t xml:space="preserve">MarginCallRaised</w:t>
      </w:r>
      <w:r>
        <w:t xml:space="preserve"> </w:t>
      </w:r>
      <w:r>
        <w:t xml:space="preserve">{shortfall, options (pledge more securities, part-payment), deadline, call number}. Deadline for listed shares: within 7 working days of the shortfall (CF 106(1)), computed on the M1 working-day calendar; other collateral per Board policy.</w:t>
      </w:r>
    </w:p>
    <w:p>
      <w:pPr>
        <w:numPr>
          <w:ilvl w:val="0"/>
          <w:numId w:val="1080"/>
        </w:numPr>
        <w:pStyle w:val="Compact"/>
      </w:pPr>
      <w:r>
        <w:rPr>
          <w:bCs/>
          <w:b/>
        </w:rPr>
        <w:t xml:space="preserve">During the call:</w:t>
      </w:r>
      <w:r>
        <w:t xml:space="preserve"> </w:t>
      </w:r>
      <w:r>
        <w:t xml:space="preserve">drawdowns frozen; communications through M18 with the contact-policy engine (servicing, not recovery, until the call lapses).</w:t>
      </w:r>
    </w:p>
    <w:p>
      <w:pPr>
        <w:numPr>
          <w:ilvl w:val="0"/>
          <w:numId w:val="1080"/>
        </w:numPr>
        <w:pStyle w:val="Compact"/>
      </w:pPr>
      <w:r>
        <w:rPr>
          <w:bCs/>
          <w:b/>
        </w:rPr>
        <w:t xml:space="preserve">Cure:</w:t>
      </w:r>
      <w:r>
        <w:t xml:space="preserve"> </w:t>
      </w:r>
      <w:r>
        <w:t xml:space="preserve">the borrower chooses a cure through the cure-intents API (top-up securities, part-payment or sell-to-cure); an additional pledge (</w:t>
      </w:r>
      <w:r>
        <w:rPr>
          <w:rStyle w:val="VerbatimChar"/>
        </w:rPr>
        <w:t xml:space="preserve">CollateralPledgeRequested</w:t>
      </w:r>
      <w:r>
        <w:t xml:space="preserve"> </w:t>
      </w:r>
      <w:r>
        <w:t xml:space="preserve">→</w:t>
      </w:r>
      <w:r>
        <w:t xml:space="preserve"> </w:t>
      </w:r>
      <w:r>
        <w:rPr>
          <w:rStyle w:val="VerbatimChar"/>
        </w:rPr>
        <w:t xml:space="preserve">CollateralPledgeCreated</w:t>
      </w:r>
      <w:r>
        <w:t xml:space="preserve">) or a payment into the RE’s account (</w:t>
      </w:r>
      <w:r>
        <w:rPr>
          <w:rStyle w:val="VerbatimChar"/>
        </w:rPr>
        <w:t xml:space="preserve">PaymentReceived</w:t>
      </w:r>
      <w:r>
        <w:t xml:space="preserve">) is re-valued, then</w:t>
      </w:r>
      <w:r>
        <w:t xml:space="preserve"> </w:t>
      </w:r>
      <w:r>
        <w:rPr>
          <w:rStyle w:val="VerbatimChar"/>
          <w:bCs/>
          <w:b/>
        </w:rPr>
        <w:t xml:space="preserve">MarginCallCured</w:t>
      </w:r>
      <w:r>
        <w:t xml:space="preserve">.</w:t>
      </w:r>
    </w:p>
    <w:p>
      <w:pPr>
        <w:numPr>
          <w:ilvl w:val="0"/>
          <w:numId w:val="1080"/>
        </w:numPr>
        <w:pStyle w:val="Compact"/>
      </w:pPr>
      <w:r>
        <w:rPr>
          <w:bCs/>
          <w:b/>
        </w:rPr>
        <w:t xml:space="preserve">Lapse:</w:t>
      </w:r>
      <w:r>
        <w:t xml:space="preserve"> </w:t>
      </w:r>
      <w:r>
        <w:t xml:space="preserve">at the deadline Finbyx emits</w:t>
      </w:r>
      <w:r>
        <w:t xml:space="preserve"> </w:t>
      </w:r>
      <w:r>
        <w:rPr>
          <w:rStyle w:val="VerbatimChar"/>
        </w:rPr>
        <w:t xml:space="preserve">MarginCallLapsed</w:t>
      </w:r>
      <w:r>
        <w:t xml:space="preserve">; for listed shares the lapse is logged as a CF 106 breach in the compliance register. The call moves to INVOCATION_REVIEW, where an authorised RE officer decides on invocation (6.4.7) or records a waiver with reasons. Repeated calls escalate by policy.</w:t>
      </w:r>
    </w:p>
    <w:bookmarkEnd w:id="66"/>
    <w:bookmarkStart w:id="67" w:name="invocation-and-sale-re-only"/>
    <w:p>
      <w:pPr>
        <w:pStyle w:val="Heading3"/>
      </w:pPr>
      <w:r>
        <w:t xml:space="preserve">6.4.7 Invocation and sale (RE only)</w:t>
      </w:r>
    </w:p>
    <w:p>
      <w:pPr>
        <w:numPr>
          <w:ilvl w:val="0"/>
          <w:numId w:val="1081"/>
        </w:numPr>
        <w:pStyle w:val="Compact"/>
      </w:pPr>
      <w:r>
        <w:rPr>
          <w:bCs/>
          <w:b/>
        </w:rPr>
        <w:t xml:space="preserve">Pre-invocation notice</w:t>
      </w:r>
      <w:r>
        <w:t xml:space="preserve"> </w:t>
      </w:r>
      <w:r>
        <w:t xml:space="preserve">under the agreement and the SEBI undertaking, issued through R3 as a legal notice (</w:t>
      </w:r>
      <w:r>
        <w:rPr>
          <w:rStyle w:val="VerbatimChar"/>
        </w:rPr>
        <w:t xml:space="preserve">LegalNoticeIssued</w:t>
      </w:r>
      <w:r>
        <w:t xml:space="preserve">, instrument pledge invocation) with proof of service.</w:t>
      </w:r>
      <w:r>
        <w:t xml:space="preserve"> </w:t>
      </w:r>
      <w:r>
        <w:rPr>
          <w:bCs/>
          <w:b/>
        </w:rPr>
        <w:t xml:space="preserve">Hard gate:</w:t>
      </w:r>
      <w:r>
        <w:t xml:space="preserve"> </w:t>
      </w:r>
      <w:r>
        <w:t xml:space="preserve">no invocation without a served notice and the elapsed notice period, except where the agreement and Board policy provide an emergency rule that counsel has approved [VERIFY].</w:t>
      </w:r>
    </w:p>
    <w:p>
      <w:pPr>
        <w:numPr>
          <w:ilvl w:val="0"/>
          <w:numId w:val="1081"/>
        </w:numPr>
        <w:pStyle w:val="Compact"/>
      </w:pPr>
      <w:r>
        <w:rPr>
          <w:bCs/>
          <w:b/>
        </w:rPr>
        <w:t xml:space="preserve">Invoke</w:t>
      </w:r>
      <w:r>
        <w:t xml:space="preserve"> </w:t>
      </w:r>
      <w:r>
        <w:t xml:space="preserve">through the pledgee DP (status</w:t>
      </w:r>
      <w:r>
        <w:t xml:space="preserve"> </w:t>
      </w:r>
      <w:r>
        <w:t xml:space="preserve">“</w:t>
      </w:r>
      <w:r>
        <w:t xml:space="preserve">closed, invoked</w:t>
      </w:r>
      <w:r>
        <w:t xml:space="preserve">”</w:t>
      </w:r>
      <w:r>
        <w:t xml:space="preserve">; the pledgee becomes beneficial owner) or by RTA lien invocation (redemption to the RE). Locked-in securities cannot be invoked.</w:t>
      </w:r>
    </w:p>
    <w:p>
      <w:pPr>
        <w:numPr>
          <w:ilvl w:val="0"/>
          <w:numId w:val="1081"/>
        </w:numPr>
        <w:pStyle w:val="Compact"/>
      </w:pPr>
      <w:r>
        <w:rPr>
          <w:bCs/>
          <w:b/>
        </w:rPr>
        <w:t xml:space="preserve">Sell</w:t>
      </w:r>
      <w:r>
        <w:t xml:space="preserve"> </w:t>
      </w:r>
      <w:r>
        <w:t xml:space="preserve">through a SEBI-registered broker under Board policy (best execution, no related-party purchase); log takeover and insider-trading disclosures where triggered [VERIFY: SAST and PIT obligations on invocation].</w:t>
      </w:r>
    </w:p>
    <w:p>
      <w:pPr>
        <w:numPr>
          <w:ilvl w:val="0"/>
          <w:numId w:val="1081"/>
        </w:numPr>
        <w:pStyle w:val="Compact"/>
      </w:pPr>
      <w:r>
        <w:rPr>
          <w:bCs/>
          <w:b/>
        </w:rPr>
        <w:t xml:space="preserve">Appropriate</w:t>
      </w:r>
      <w:r>
        <w:t xml:space="preserve"> </w:t>
      </w:r>
      <w:r>
        <w:t xml:space="preserve">proceeds through R12; refund any surplus to the borrower; move any shortfall to the unsecured track (R1).</w:t>
      </w:r>
    </w:p>
    <w:p>
      <w:pPr>
        <w:numPr>
          <w:ilvl w:val="0"/>
          <w:numId w:val="1081"/>
        </w:numPr>
        <w:pStyle w:val="Compact"/>
      </w:pPr>
      <w:r>
        <w:rPr>
          <w:bCs/>
          <w:b/>
        </w:rPr>
        <w:t xml:space="preserve">Event:</w:t>
      </w:r>
      <w:r>
        <w:t xml:space="preserve"> </w:t>
      </w:r>
      <w:r>
        <w:rPr>
          <w:rStyle w:val="VerbatimChar"/>
        </w:rPr>
        <w:t xml:space="preserve">CollateralInvoked</w:t>
      </w:r>
      <w:r>
        <w:t xml:space="preserve"> </w:t>
      </w:r>
      <w:r>
        <w:t xml:space="preserve">{quantity, ISIN or scheme, proceeds, date}.</w:t>
      </w:r>
    </w:p>
    <w:bookmarkEnd w:id="67"/>
    <w:bookmarkStart w:id="68" w:name="release"/>
    <w:p>
      <w:pPr>
        <w:pStyle w:val="Heading3"/>
      </w:pPr>
      <w:r>
        <w:t xml:space="preserve">6.4.8 Release</w:t>
      </w:r>
    </w:p>
    <w:p>
      <w:pPr>
        <w:pStyle w:val="FirstParagraph"/>
      </w:pPr>
      <w:r>
        <w:t xml:space="preserve">On zero dues and no legal, settlement or co-lending hold: release request → pledge closure (pledgor initiates, pledgee accepts) or lien revocation →</w:t>
      </w:r>
      <w:r>
        <w:t xml:space="preserve"> </w:t>
      </w:r>
      <w:r>
        <w:rPr>
          <w:rStyle w:val="VerbatimChar"/>
          <w:bCs/>
          <w:b/>
        </w:rPr>
        <w:t xml:space="preserve">CollateralReleased</w:t>
      </w:r>
      <w:r>
        <w:t xml:space="preserve"> </w:t>
      </w:r>
      <w:r>
        <w:t xml:space="preserve">→</w:t>
      </w:r>
      <w:r>
        <w:t xml:space="preserve"> </w:t>
      </w:r>
      <w:r>
        <w:rPr>
          <w:rStyle w:val="VerbatimChar"/>
        </w:rPr>
        <w:t xml:space="preserve">NOCIssued</w:t>
      </w:r>
      <w:r>
        <w:t xml:space="preserve">. Target: within 2 working days of closure [REC], and never later than the RBC 35–41 document-release clock, which Finbyx applies to securities by policy.</w:t>
      </w:r>
    </w:p>
    <w:bookmarkEnd w:id="68"/>
    <w:bookmarkStart w:id="69" w:name="reporting-and-reconciliation"/>
    <w:p>
      <w:pPr>
        <w:pStyle w:val="Heading3"/>
      </w:pPr>
      <w:r>
        <w:t xml:space="preserve">6.4.9 Reporting and reconciliation</w:t>
      </w:r>
    </w:p>
    <w:p>
      <w:pPr>
        <w:numPr>
          <w:ilvl w:val="0"/>
          <w:numId w:val="1082"/>
        </w:numPr>
        <w:pStyle w:val="Compact"/>
      </w:pPr>
      <w:r>
        <w:rPr>
          <w:bCs/>
          <w:b/>
        </w:rPr>
        <w:t xml:space="preserve">Daily:</w:t>
      </w:r>
      <w:r>
        <w:t xml:space="preserve"> </w:t>
      </w:r>
      <w:r>
        <w:t xml:space="preserve">pledge and lien positions versus depository and RTA statements; breaks open cases.</w:t>
      </w:r>
    </w:p>
    <w:p>
      <w:pPr>
        <w:numPr>
          <w:ilvl w:val="0"/>
          <w:numId w:val="1082"/>
        </w:numPr>
        <w:pStyle w:val="Compact"/>
      </w:pPr>
      <w:r>
        <w:rPr>
          <w:bCs/>
          <w:b/>
        </w:rPr>
        <w:t xml:space="preserve">Quarterly:</w:t>
      </w:r>
      <w:r>
        <w:t xml:space="preserve"> </w:t>
      </w:r>
      <w:r>
        <w:t xml:space="preserve">online report of shares pledged in the RE’s favour to the stock exchanges in the Annex-III format (CF 106(2)(ii)).</w:t>
      </w:r>
    </w:p>
    <w:p>
      <w:pPr>
        <w:numPr>
          <w:ilvl w:val="0"/>
          <w:numId w:val="1082"/>
        </w:numPr>
        <w:pStyle w:val="Compact"/>
      </w:pPr>
      <w:r>
        <w:rPr>
          <w:bCs/>
          <w:b/>
        </w:rPr>
        <w:t xml:space="preserve">Corporate actions:</w:t>
      </w:r>
      <w:r>
        <w:t xml:space="preserve"> </w:t>
      </w:r>
      <w:r>
        <w:t xml:space="preserve">bonuses, splits and rights credited to the pledged balance; dividends follow the provider’s rules.</w:t>
      </w:r>
    </w:p>
    <w:p>
      <w:pPr>
        <w:numPr>
          <w:ilvl w:val="0"/>
          <w:numId w:val="1082"/>
        </w:numPr>
        <w:pStyle w:val="Compact"/>
      </w:pPr>
      <w:r>
        <w:rPr>
          <w:bCs/>
          <w:b/>
        </w:rPr>
        <w:t xml:space="preserve">Exposure:</w:t>
      </w:r>
      <w:r>
        <w:t xml:space="preserve"> </w:t>
      </w:r>
      <w:r>
        <w:t xml:space="preserve">capital-market exposure and concentration limits (CON 24); CIC reporting as a secured loan.</w:t>
      </w:r>
    </w:p>
    <w:bookmarkEnd w:id="69"/>
    <w:bookmarkStart w:id="70" w:name="finbyx-udofin-events-for-las-and-lamf"/>
    <w:p>
      <w:pPr>
        <w:pStyle w:val="Heading3"/>
      </w:pPr>
      <w:r>
        <w:t xml:space="preserve">6.4.10 Finbyx ↔ Udofin events for LAS and LAMF</w:t>
      </w:r>
    </w:p>
    <w:p>
      <w:pPr>
        <w:pStyle w:val="FirstParagraph"/>
      </w:pPr>
      <w:r>
        <w:t xml:space="preserve">Canonical names and directions follow Integration Spec Parts 6.5 and 7.3.</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59"/>
        <w:gridCol w:w="3244"/>
        <w:gridCol w:w="4635"/>
      </w:tblGrid>
      <w:tr>
        <w:trPr>
          <w:tblHeader w:val="true"/>
          <w:tblHeader w:val="true"/>
        </w:trPr>
        <w:tc>
          <w:tcPr>
            <w:tcW w:w="1759" w:type="dxa"/>
            <w:shd w:val="clear" w:color="auto" w:fill="1F3A5F"/>
          </w:tcPr>
          <w:p>
            <w:pPr>
              <w:pStyle w:val="Compact"/>
              <w:spacing w:after="40"/>
              <w:jc w:val="left"/>
            </w:pPr>
            <w:r>
              <w:rPr>
                <w:b/>
                <w:color w:val="FFFFFF"/>
                <w:sz w:val="18"/>
              </w:rPr>
              <w:t xml:space="preserve">Direction</w:t>
            </w:r>
          </w:p>
        </w:tc>
        <w:tc>
          <w:tcPr>
            <w:tcW w:w="3244" w:type="dxa"/>
            <w:shd w:val="clear" w:color="auto" w:fill="1F3A5F"/>
          </w:tcPr>
          <w:p>
            <w:pPr>
              <w:pStyle w:val="Compact"/>
              <w:spacing w:after="40"/>
              <w:jc w:val="left"/>
            </w:pPr>
            <w:r>
              <w:rPr>
                <w:b/>
                <w:color w:val="FFFFFF"/>
                <w:sz w:val="18"/>
              </w:rPr>
              <w:t xml:space="preserve">Event or API</w:t>
            </w:r>
          </w:p>
        </w:tc>
        <w:tc>
          <w:tcPr>
            <w:tcW w:w="4635" w:type="dxa"/>
            <w:shd w:val="clear" w:color="auto" w:fill="1F3A5F"/>
          </w:tcPr>
          <w:p>
            <w:pPr>
              <w:pStyle w:val="Compact"/>
              <w:spacing w:after="40"/>
              <w:jc w:val="left"/>
            </w:pPr>
            <w:r>
              <w:rPr>
                <w:b/>
                <w:color w:val="FFFFFF"/>
                <w:sz w:val="18"/>
              </w:rPr>
              <w:t xml:space="preserve">Content</w:t>
            </w:r>
          </w:p>
        </w:tc>
      </w:tr>
      <w:tr>
        <w:tc>
          <w:tcPr>
            <w:tcW w:w="1759" w:type="dxa"/>
          </w:tcPr>
          <w:p>
            <w:pPr>
              <w:pStyle w:val="Compact"/>
              <w:spacing w:after="40"/>
              <w:jc w:val="left"/>
            </w:pPr>
            <w:r>
              <w:rPr>
                <w:sz w:val="18"/>
              </w:rPr>
              <w:t xml:space="preserve">Udofin → Finbyx</w:t>
            </w:r>
          </w:p>
        </w:tc>
        <w:tc>
          <w:tcPr>
            <w:tcW w:w="3244" w:type="dxa"/>
          </w:tcPr>
          <w:p>
            <w:pPr>
              <w:pStyle w:val="Compact"/>
              <w:spacing w:after="40"/>
              <w:jc w:val="left"/>
            </w:pPr>
            <w:r>
              <w:rPr>
                <w:rStyle w:val="VerbatimChar"/>
                <w:sz w:val="18"/>
              </w:rPr>
              <w:t xml:space="preserve">CollateralHoldingsShared</w:t>
            </w:r>
          </w:p>
        </w:tc>
        <w:tc>
          <w:tcPr>
            <w:tcW w:w="4635" w:type="dxa"/>
          </w:tcPr>
          <w:p>
            <w:pPr>
              <w:pStyle w:val="Compact"/>
              <w:spacing w:after="40"/>
              <w:jc w:val="left"/>
            </w:pPr>
            <w:r>
              <w:rPr>
                <w:sz w:val="18"/>
              </w:rPr>
              <w:t xml:space="preserve">Holdings snapshot (ISIN or scheme, units, source, as-of) with consent reference</w:t>
            </w:r>
          </w:p>
        </w:tc>
      </w:tr>
      <w:tr>
        <w:tc>
          <w:tcPr>
            <w:tcW w:w="1759" w:type="dxa"/>
          </w:tcPr>
          <w:p>
            <w:pPr>
              <w:pStyle w:val="Compact"/>
              <w:spacing w:after="40"/>
              <w:jc w:val="left"/>
            </w:pPr>
            <w:r>
              <w:rPr>
                <w:sz w:val="18"/>
              </w:rPr>
              <w:t xml:space="preserve">Udofin → Finbyx</w:t>
            </w:r>
          </w:p>
        </w:tc>
        <w:tc>
          <w:tcPr>
            <w:tcW w:w="3244" w:type="dxa"/>
          </w:tcPr>
          <w:p>
            <w:pPr>
              <w:pStyle w:val="Compact"/>
              <w:spacing w:after="40"/>
              <w:jc w:val="left"/>
            </w:pPr>
            <w:r>
              <w:rPr>
                <w:sz w:val="18"/>
              </w:rPr>
              <w:t xml:space="preserve">API</w:t>
            </w:r>
            <w:r>
              <w:rPr>
                <w:sz w:val="18"/>
              </w:rPr>
              <w:t xml:space="preserve"> </w:t>
            </w:r>
            <w:r>
              <w:rPr>
                <w:rStyle w:val="VerbatimChar"/>
                <w:sz w:val="18"/>
              </w:rPr>
              <w:t xml:space="preserve">POST /v1/collateral/eligibility-quotes</w:t>
            </w:r>
          </w:p>
        </w:tc>
        <w:tc>
          <w:tcPr>
            <w:tcW w:w="4635" w:type="dxa"/>
          </w:tcPr>
          <w:p>
            <w:pPr>
              <w:pStyle w:val="Compact"/>
              <w:spacing w:after="40"/>
              <w:jc w:val="left"/>
            </w:pPr>
            <w:r>
              <w:rPr>
                <w:sz w:val="18"/>
              </w:rPr>
              <w:t xml:space="preserve">Finbyx returns indicative eligible value and drawing power, labelled indicative</w:t>
            </w:r>
          </w:p>
        </w:tc>
      </w:tr>
      <w:tr>
        <w:tc>
          <w:tcPr>
            <w:tcW w:w="1759" w:type="dxa"/>
          </w:tcPr>
          <w:p>
            <w:pPr>
              <w:pStyle w:val="Compact"/>
              <w:spacing w:after="40"/>
              <w:jc w:val="left"/>
            </w:pPr>
            <w:r>
              <w:rPr>
                <w:sz w:val="18"/>
              </w:rPr>
              <w:t xml:space="preserve">Udofin → Finbyx</w:t>
            </w:r>
          </w:p>
        </w:tc>
        <w:tc>
          <w:tcPr>
            <w:tcW w:w="3244" w:type="dxa"/>
          </w:tcPr>
          <w:p>
            <w:pPr>
              <w:pStyle w:val="Compact"/>
              <w:spacing w:after="40"/>
              <w:jc w:val="left"/>
            </w:pPr>
            <w:r>
              <w:rPr>
                <w:rStyle w:val="VerbatimChar"/>
                <w:sz w:val="18"/>
              </w:rPr>
              <w:t xml:space="preserve">ApplicationSubmitted</w:t>
            </w:r>
          </w:p>
        </w:tc>
        <w:tc>
          <w:tcPr>
            <w:tcW w:w="4635" w:type="dxa"/>
          </w:tcPr>
          <w:p>
            <w:pPr>
              <w:pStyle w:val="Compact"/>
              <w:spacing w:after="40"/>
              <w:jc w:val="left"/>
            </w:pPr>
            <w:r>
              <w:rPr>
                <w:sz w:val="18"/>
              </w:rPr>
              <w:t xml:space="preserve">Application, KYC evidence, holdings snapshot reference</w:t>
            </w:r>
          </w:p>
        </w:tc>
      </w:tr>
      <w:tr>
        <w:tc>
          <w:tcPr>
            <w:tcW w:w="1759" w:type="dxa"/>
          </w:tcPr>
          <w:p>
            <w:pPr>
              <w:pStyle w:val="Compact"/>
              <w:spacing w:after="40"/>
              <w:jc w:val="left"/>
            </w:pPr>
            <w:r>
              <w:rPr>
                <w:sz w:val="18"/>
              </w:rPr>
              <w:t xml:space="preserve">Finbyx → Udofin</w:t>
            </w:r>
          </w:p>
        </w:tc>
        <w:tc>
          <w:tcPr>
            <w:tcW w:w="3244" w:type="dxa"/>
          </w:tcPr>
          <w:p>
            <w:pPr>
              <w:pStyle w:val="Compact"/>
              <w:spacing w:after="40"/>
              <w:jc w:val="left"/>
            </w:pPr>
            <w:r>
              <w:rPr>
                <w:rStyle w:val="VerbatimChar"/>
                <w:sz w:val="18"/>
              </w:rPr>
              <w:t xml:space="preserve">DecisionMade</w:t>
            </w:r>
            <w:r>
              <w:rPr>
                <w:sz w:val="18"/>
              </w:rPr>
              <w:t xml:space="preserve">,</w:t>
            </w:r>
            <w:r>
              <w:rPr>
                <w:sz w:val="18"/>
              </w:rPr>
              <w:t xml:space="preserve"> </w:t>
            </w:r>
            <w:r>
              <w:rPr>
                <w:rStyle w:val="VerbatimChar"/>
                <w:sz w:val="18"/>
              </w:rPr>
              <w:t xml:space="preserve">KFSIssued</w:t>
            </w:r>
          </w:p>
        </w:tc>
        <w:tc>
          <w:tcPr>
            <w:tcW w:w="4635" w:type="dxa"/>
          </w:tcPr>
          <w:p>
            <w:pPr>
              <w:pStyle w:val="Compact"/>
              <w:spacing w:after="40"/>
              <w:jc w:val="left"/>
            </w:pPr>
            <w:r>
              <w:rPr>
                <w:sz w:val="18"/>
              </w:rPr>
              <w:t xml:space="preserve">Sanction, haircut-table version, limit, KFS</w:t>
            </w:r>
          </w:p>
        </w:tc>
      </w:tr>
      <w:tr>
        <w:tc>
          <w:tcPr>
            <w:tcW w:w="1759" w:type="dxa"/>
          </w:tcPr>
          <w:p>
            <w:pPr>
              <w:pStyle w:val="Compact"/>
              <w:spacing w:after="40"/>
              <w:jc w:val="left"/>
            </w:pPr>
            <w:r>
              <w:rPr>
                <w:sz w:val="18"/>
              </w:rPr>
              <w:t xml:space="preserve">Finbyx → Udofin</w:t>
            </w:r>
          </w:p>
        </w:tc>
        <w:tc>
          <w:tcPr>
            <w:tcW w:w="3244" w:type="dxa"/>
          </w:tcPr>
          <w:p>
            <w:pPr>
              <w:pStyle w:val="Compact"/>
              <w:spacing w:after="40"/>
              <w:jc w:val="left"/>
            </w:pPr>
            <w:r>
              <w:rPr>
                <w:rStyle w:val="VerbatimChar"/>
                <w:sz w:val="18"/>
              </w:rPr>
              <w:t xml:space="preserve">CollateralPledgeRequested</w:t>
            </w:r>
          </w:p>
        </w:tc>
        <w:tc>
          <w:tcPr>
            <w:tcW w:w="4635" w:type="dxa"/>
          </w:tcPr>
          <w:p>
            <w:pPr>
              <w:pStyle w:val="Compact"/>
              <w:spacing w:after="40"/>
              <w:jc w:val="left"/>
            </w:pPr>
            <w:r>
              <w:rPr>
                <w:sz w:val="18"/>
              </w:rPr>
              <w:t xml:space="preserve">Securities, quantities, pledgee DP or RTA, agreement number, deadline; Udofin collects the pledgor’s OTP</w:t>
            </w:r>
          </w:p>
        </w:tc>
      </w:tr>
      <w:tr>
        <w:tc>
          <w:tcPr>
            <w:tcW w:w="1759" w:type="dxa"/>
          </w:tcPr>
          <w:p>
            <w:pPr>
              <w:pStyle w:val="Compact"/>
              <w:spacing w:after="40"/>
              <w:jc w:val="left"/>
            </w:pPr>
            <w:r>
              <w:rPr>
                <w:sz w:val="18"/>
              </w:rPr>
              <w:t xml:space="preserve">Finbyx → Udofin</w:t>
            </w:r>
          </w:p>
        </w:tc>
        <w:tc>
          <w:tcPr>
            <w:tcW w:w="3244" w:type="dxa"/>
          </w:tcPr>
          <w:p>
            <w:pPr>
              <w:pStyle w:val="Compact"/>
              <w:spacing w:after="40"/>
              <w:jc w:val="left"/>
            </w:pPr>
            <w:r>
              <w:rPr>
                <w:rStyle w:val="VerbatimChar"/>
                <w:sz w:val="18"/>
              </w:rPr>
              <w:t xml:space="preserve">CollateralPledgeCreated</w:t>
            </w:r>
            <w:r>
              <w:rPr>
                <w:sz w:val="18"/>
              </w:rPr>
              <w:t xml:space="preserve">,</w:t>
            </w:r>
            <w:r>
              <w:rPr>
                <w:sz w:val="18"/>
              </w:rPr>
              <w:t xml:space="preserve"> </w:t>
            </w:r>
            <w:r>
              <w:rPr>
                <w:rStyle w:val="VerbatimChar"/>
                <w:sz w:val="18"/>
              </w:rPr>
              <w:t xml:space="preserve">CollateralPledgeFailed</w:t>
            </w:r>
          </w:p>
        </w:tc>
        <w:tc>
          <w:tcPr>
            <w:tcW w:w="4635" w:type="dxa"/>
          </w:tcPr>
          <w:p>
            <w:pPr>
              <w:pStyle w:val="Compact"/>
              <w:spacing w:after="40"/>
              <w:jc w:val="left"/>
            </w:pPr>
            <w:r>
              <w:rPr>
                <w:sz w:val="18"/>
              </w:rPr>
              <w:t xml:space="preserve">Pledge or lien reference, quantity, evidence hash; or failure reason</w:t>
            </w:r>
          </w:p>
        </w:tc>
      </w:tr>
      <w:tr>
        <w:tc>
          <w:tcPr>
            <w:tcW w:w="1759" w:type="dxa"/>
          </w:tcPr>
          <w:p>
            <w:pPr>
              <w:pStyle w:val="Compact"/>
              <w:spacing w:after="40"/>
              <w:jc w:val="left"/>
            </w:pPr>
            <w:r>
              <w:rPr>
                <w:sz w:val="18"/>
              </w:rPr>
              <w:t xml:space="preserve">Finbyx → Udofin</w:t>
            </w:r>
          </w:p>
        </w:tc>
        <w:tc>
          <w:tcPr>
            <w:tcW w:w="3244" w:type="dxa"/>
          </w:tcPr>
          <w:p>
            <w:pPr>
              <w:pStyle w:val="Compact"/>
              <w:spacing w:after="40"/>
              <w:jc w:val="left"/>
            </w:pPr>
            <w:r>
              <w:rPr>
                <w:rStyle w:val="VerbatimChar"/>
                <w:sz w:val="18"/>
              </w:rPr>
              <w:t xml:space="preserve">LoanDisbursed</w:t>
            </w:r>
          </w:p>
        </w:tc>
        <w:tc>
          <w:tcPr>
            <w:tcW w:w="4635" w:type="dxa"/>
          </w:tcPr>
          <w:p>
            <w:pPr>
              <w:pStyle w:val="Compact"/>
              <w:spacing w:after="40"/>
              <w:jc w:val="left"/>
            </w:pPr>
            <w:r>
              <w:rPr>
                <w:sz w:val="18"/>
              </w:rPr>
              <w:t xml:space="preserve">INITIAL or DRAWDOWN; UTR, amount, date</w:t>
            </w:r>
          </w:p>
        </w:tc>
      </w:tr>
      <w:tr>
        <w:tc>
          <w:tcPr>
            <w:tcW w:w="1759" w:type="dxa"/>
          </w:tcPr>
          <w:p>
            <w:pPr>
              <w:pStyle w:val="Compact"/>
              <w:spacing w:after="40"/>
              <w:jc w:val="left"/>
            </w:pPr>
            <w:r>
              <w:rPr>
                <w:sz w:val="18"/>
              </w:rPr>
              <w:t xml:space="preserve">Udofin → Finbyx</w:t>
            </w:r>
          </w:p>
        </w:tc>
        <w:tc>
          <w:tcPr>
            <w:tcW w:w="3244" w:type="dxa"/>
          </w:tcPr>
          <w:p>
            <w:pPr>
              <w:pStyle w:val="Compact"/>
              <w:spacing w:after="40"/>
              <w:jc w:val="left"/>
            </w:pPr>
            <w:r>
              <w:rPr>
                <w:sz w:val="18"/>
              </w:rPr>
              <w:t xml:space="preserve">API</w:t>
            </w:r>
            <w:r>
              <w:rPr>
                <w:sz w:val="18"/>
              </w:rPr>
              <w:t xml:space="preserve"> </w:t>
            </w:r>
            <w:r>
              <w:rPr>
                <w:rStyle w:val="VerbatimChar"/>
                <w:sz w:val="18"/>
              </w:rPr>
              <w:t xml:space="preserve">DrawdownRequested</w:t>
            </w:r>
            <w:r>
              <w:rPr>
                <w:sz w:val="18"/>
              </w:rPr>
              <w:t xml:space="preserve"> </w:t>
            </w:r>
            <w:r>
              <w:rPr>
                <w:sz w:val="18"/>
              </w:rPr>
              <w:t xml:space="preserve">(FAPI 2.0)</w:t>
            </w:r>
          </w:p>
        </w:tc>
        <w:tc>
          <w:tcPr>
            <w:tcW w:w="4635" w:type="dxa"/>
          </w:tcPr>
          <w:p>
            <w:pPr>
              <w:pStyle w:val="Compact"/>
              <w:spacing w:after="40"/>
              <w:jc w:val="left"/>
            </w:pPr>
            <w:r>
              <w:rPr>
                <w:sz w:val="18"/>
              </w:rPr>
              <w:t xml:space="preserve">Amount and idempotency key; Finbyx authorises or rejects</w:t>
            </w:r>
          </w:p>
        </w:tc>
      </w:tr>
      <w:tr>
        <w:tc>
          <w:tcPr>
            <w:tcW w:w="1759" w:type="dxa"/>
          </w:tcPr>
          <w:p>
            <w:pPr>
              <w:pStyle w:val="Compact"/>
              <w:spacing w:after="40"/>
              <w:jc w:val="left"/>
            </w:pPr>
            <w:r>
              <w:rPr>
                <w:sz w:val="18"/>
              </w:rPr>
              <w:t xml:space="preserve">Finbyx → Udofin</w:t>
            </w:r>
          </w:p>
        </w:tc>
        <w:tc>
          <w:tcPr>
            <w:tcW w:w="3244" w:type="dxa"/>
          </w:tcPr>
          <w:p>
            <w:pPr>
              <w:pStyle w:val="Compact"/>
              <w:spacing w:after="40"/>
              <w:jc w:val="left"/>
            </w:pPr>
            <w:r>
              <w:rPr>
                <w:rStyle w:val="VerbatimChar"/>
                <w:sz w:val="18"/>
              </w:rPr>
              <w:t xml:space="preserve">CollateralValuationUpdated</w:t>
            </w:r>
          </w:p>
        </w:tc>
        <w:tc>
          <w:tcPr>
            <w:tcW w:w="4635" w:type="dxa"/>
          </w:tcPr>
          <w:p>
            <w:pPr>
              <w:pStyle w:val="Compact"/>
              <w:spacing w:after="40"/>
              <w:jc w:val="left"/>
            </w:pPr>
            <w:r>
              <w:rPr>
                <w:sz w:val="18"/>
              </w:rPr>
              <w:t xml:space="preserve">Daily value, drawing power, LTV, stale-price and freeze flags</w:t>
            </w:r>
          </w:p>
        </w:tc>
      </w:tr>
      <w:tr>
        <w:tc>
          <w:tcPr>
            <w:tcW w:w="1759" w:type="dxa"/>
          </w:tcPr>
          <w:p>
            <w:pPr>
              <w:pStyle w:val="Compact"/>
              <w:spacing w:after="40"/>
              <w:jc w:val="left"/>
            </w:pPr>
            <w:r>
              <w:rPr>
                <w:sz w:val="18"/>
              </w:rPr>
              <w:t xml:space="preserve">Finbyx → Udofin</w:t>
            </w:r>
          </w:p>
        </w:tc>
        <w:tc>
          <w:tcPr>
            <w:tcW w:w="3244" w:type="dxa"/>
          </w:tcPr>
          <w:p>
            <w:pPr>
              <w:pStyle w:val="Compact"/>
              <w:spacing w:after="40"/>
              <w:jc w:val="left"/>
            </w:pPr>
            <w:r>
              <w:rPr>
                <w:rStyle w:val="VerbatimChar"/>
                <w:sz w:val="18"/>
              </w:rPr>
              <w:t xml:space="preserve">MarginCallRaised</w:t>
            </w:r>
            <w:r>
              <w:rPr>
                <w:sz w:val="18"/>
              </w:rPr>
              <w:t xml:space="preserve">,</w:t>
            </w:r>
            <w:r>
              <w:rPr>
                <w:sz w:val="18"/>
              </w:rPr>
              <w:t xml:space="preserve"> </w:t>
            </w:r>
            <w:r>
              <w:rPr>
                <w:rStyle w:val="VerbatimChar"/>
                <w:sz w:val="18"/>
              </w:rPr>
              <w:t xml:space="preserve">MarginCallCured</w:t>
            </w:r>
            <w:r>
              <w:rPr>
                <w:sz w:val="18"/>
              </w:rPr>
              <w:t xml:space="preserve">,</w:t>
            </w:r>
            <w:r>
              <w:rPr>
                <w:sz w:val="18"/>
              </w:rPr>
              <w:t xml:space="preserve"> </w:t>
            </w:r>
            <w:r>
              <w:rPr>
                <w:rStyle w:val="VerbatimChar"/>
                <w:sz w:val="18"/>
              </w:rPr>
              <w:t xml:space="preserve">MarginCallLapsed</w:t>
            </w:r>
          </w:p>
        </w:tc>
        <w:tc>
          <w:tcPr>
            <w:tcW w:w="4635" w:type="dxa"/>
          </w:tcPr>
          <w:p>
            <w:pPr>
              <w:pStyle w:val="Compact"/>
              <w:spacing w:after="40"/>
              <w:jc w:val="left"/>
            </w:pPr>
            <w:r>
              <w:rPr>
                <w:sz w:val="18"/>
              </w:rPr>
              <w:t xml:space="preserve">Shortfall, options, deadline; cure or lapse</w:t>
            </w:r>
          </w:p>
        </w:tc>
      </w:tr>
      <w:tr>
        <w:tc>
          <w:tcPr>
            <w:tcW w:w="1759" w:type="dxa"/>
          </w:tcPr>
          <w:p>
            <w:pPr>
              <w:pStyle w:val="Compact"/>
              <w:spacing w:after="40"/>
              <w:jc w:val="left"/>
            </w:pPr>
            <w:r>
              <w:rPr>
                <w:sz w:val="18"/>
              </w:rPr>
              <w:t xml:space="preserve">Udofin → Finbyx</w:t>
            </w:r>
          </w:p>
        </w:tc>
        <w:tc>
          <w:tcPr>
            <w:tcW w:w="3244" w:type="dxa"/>
          </w:tcPr>
          <w:p>
            <w:pPr>
              <w:pStyle w:val="Compact"/>
              <w:spacing w:after="40"/>
              <w:jc w:val="left"/>
            </w:pPr>
            <w:r>
              <w:rPr>
                <w:sz w:val="18"/>
              </w:rPr>
              <w:t xml:space="preserve">API</w:t>
            </w:r>
            <w:r>
              <w:rPr>
                <w:sz w:val="18"/>
              </w:rPr>
              <w:t xml:space="preserve"> </w:t>
            </w:r>
            <w:r>
              <w:rPr>
                <w:rStyle w:val="VerbatimChar"/>
                <w:sz w:val="18"/>
              </w:rPr>
              <w:t xml:space="preserve">POST /v1/margin-calls/{id}/cure-intents</w:t>
            </w:r>
          </w:p>
        </w:tc>
        <w:tc>
          <w:tcPr>
            <w:tcW w:w="4635" w:type="dxa"/>
          </w:tcPr>
          <w:p>
            <w:pPr>
              <w:pStyle w:val="Compact"/>
              <w:spacing w:after="40"/>
              <w:jc w:val="left"/>
            </w:pPr>
            <w:r>
              <w:rPr>
                <w:sz w:val="18"/>
              </w:rPr>
              <w:t xml:space="preserve">Borrower’s chosen cure; Finbyx decides</w:t>
            </w:r>
          </w:p>
        </w:tc>
      </w:tr>
      <w:tr>
        <w:tc>
          <w:tcPr>
            <w:tcW w:w="1759" w:type="dxa"/>
          </w:tcPr>
          <w:p>
            <w:pPr>
              <w:pStyle w:val="Compact"/>
              <w:spacing w:after="40"/>
              <w:jc w:val="left"/>
            </w:pPr>
            <w:r>
              <w:rPr>
                <w:sz w:val="18"/>
              </w:rPr>
              <w:t xml:space="preserve">Finbyx → Udofin</w:t>
            </w:r>
          </w:p>
        </w:tc>
        <w:tc>
          <w:tcPr>
            <w:tcW w:w="3244" w:type="dxa"/>
          </w:tcPr>
          <w:p>
            <w:pPr>
              <w:pStyle w:val="Compact"/>
              <w:spacing w:after="40"/>
              <w:jc w:val="left"/>
            </w:pPr>
            <w:r>
              <w:rPr>
                <w:rStyle w:val="VerbatimChar"/>
                <w:sz w:val="18"/>
              </w:rPr>
              <w:t xml:space="preserve">LegalNoticeIssued</w:t>
            </w:r>
            <w:r>
              <w:rPr>
                <w:sz w:val="18"/>
              </w:rPr>
              <w:t xml:space="preserve"> </w:t>
            </w:r>
            <w:r>
              <w:rPr>
                <w:sz w:val="18"/>
              </w:rPr>
              <w:t xml:space="preserve">(LSP projection)</w:t>
            </w:r>
          </w:p>
        </w:tc>
        <w:tc>
          <w:tcPr>
            <w:tcW w:w="4635" w:type="dxa"/>
          </w:tcPr>
          <w:p>
            <w:pPr>
              <w:pStyle w:val="Compact"/>
              <w:spacing w:after="40"/>
              <w:jc w:val="left"/>
            </w:pPr>
            <w:r>
              <w:rPr>
                <w:sz w:val="18"/>
              </w:rPr>
              <w:t xml:space="preserve">Status and RE-approved wording of the pre-invocation notice only</w:t>
            </w:r>
          </w:p>
        </w:tc>
      </w:tr>
      <w:tr>
        <w:tc>
          <w:tcPr>
            <w:tcW w:w="1759" w:type="dxa"/>
          </w:tcPr>
          <w:p>
            <w:pPr>
              <w:pStyle w:val="Compact"/>
              <w:spacing w:after="40"/>
              <w:jc w:val="left"/>
            </w:pPr>
            <w:r>
              <w:rPr>
                <w:sz w:val="18"/>
              </w:rPr>
              <w:t xml:space="preserve">Finbyx → Udofin</w:t>
            </w:r>
          </w:p>
        </w:tc>
        <w:tc>
          <w:tcPr>
            <w:tcW w:w="3244" w:type="dxa"/>
          </w:tcPr>
          <w:p>
            <w:pPr>
              <w:pStyle w:val="Compact"/>
              <w:spacing w:after="40"/>
              <w:jc w:val="left"/>
            </w:pPr>
            <w:r>
              <w:rPr>
                <w:rStyle w:val="VerbatimChar"/>
                <w:sz w:val="18"/>
              </w:rPr>
              <w:t xml:space="preserve">CollateralInvoked</w:t>
            </w:r>
            <w:r>
              <w:rPr>
                <w:sz w:val="18"/>
              </w:rPr>
              <w:t xml:space="preserve">,</w:t>
            </w:r>
            <w:r>
              <w:rPr>
                <w:sz w:val="18"/>
              </w:rPr>
              <w:t xml:space="preserve"> </w:t>
            </w:r>
            <w:r>
              <w:rPr>
                <w:rStyle w:val="VerbatimChar"/>
                <w:sz w:val="18"/>
              </w:rPr>
              <w:t xml:space="preserve">CollateralReleased</w:t>
            </w:r>
            <w:r>
              <w:rPr>
                <w:sz w:val="18"/>
              </w:rPr>
              <w:t xml:space="preserve">,</w:t>
            </w:r>
            <w:r>
              <w:rPr>
                <w:sz w:val="18"/>
              </w:rPr>
              <w:t xml:space="preserve"> </w:t>
            </w:r>
            <w:r>
              <w:rPr>
                <w:rStyle w:val="VerbatimChar"/>
                <w:sz w:val="18"/>
              </w:rPr>
              <w:t xml:space="preserve">NOCIssued</w:t>
            </w:r>
          </w:p>
        </w:tc>
        <w:tc>
          <w:tcPr>
            <w:tcW w:w="4635" w:type="dxa"/>
          </w:tcPr>
          <w:p>
            <w:pPr>
              <w:pStyle w:val="Compact"/>
              <w:spacing w:after="40"/>
              <w:jc w:val="left"/>
            </w:pPr>
            <w:r>
              <w:rPr>
                <w:sz w:val="18"/>
              </w:rPr>
              <w:t xml:space="preserve">Invocation result; release and NOC</w:t>
            </w:r>
          </w:p>
        </w:tc>
      </w:tr>
      <w:tr>
        <w:tc>
          <w:tcPr>
            <w:tcW w:w="1759" w:type="dxa"/>
          </w:tcPr>
          <w:p>
            <w:pPr>
              <w:pStyle w:val="Compact"/>
              <w:spacing w:after="40"/>
              <w:jc w:val="left"/>
            </w:pPr>
            <w:r>
              <w:rPr>
                <w:sz w:val="18"/>
              </w:rPr>
              <w:t xml:space="preserve">Both</w:t>
            </w:r>
          </w:p>
        </w:tc>
        <w:tc>
          <w:tcPr>
            <w:tcW w:w="3244" w:type="dxa"/>
          </w:tcPr>
          <w:p>
            <w:pPr>
              <w:pStyle w:val="Compact"/>
              <w:spacing w:after="40"/>
              <w:jc w:val="left"/>
            </w:pPr>
            <w:r>
              <w:rPr>
                <w:rStyle w:val="VerbatimChar"/>
                <w:sz w:val="18"/>
              </w:rPr>
              <w:t xml:space="preserve">DailyReconciliationFile</w:t>
            </w:r>
            <w:r>
              <w:rPr>
                <w:sz w:val="18"/>
              </w:rPr>
              <w:t xml:space="preserve">,</w:t>
            </w:r>
            <w:r>
              <w:rPr>
                <w:sz w:val="18"/>
              </w:rPr>
              <w:t xml:space="preserve"> </w:t>
            </w:r>
            <w:r>
              <w:rPr>
                <w:rStyle w:val="VerbatimChar"/>
                <w:sz w:val="18"/>
              </w:rPr>
              <w:t xml:space="preserve">ReconciliationBreakRaised</w:t>
            </w:r>
          </w:p>
        </w:tc>
        <w:tc>
          <w:tcPr>
            <w:tcW w:w="4635" w:type="dxa"/>
          </w:tcPr>
          <w:p>
            <w:pPr>
              <w:pStyle w:val="Compact"/>
              <w:spacing w:after="40"/>
              <w:jc w:val="left"/>
            </w:pPr>
            <w:r>
              <w:rPr>
                <w:sz w:val="18"/>
              </w:rPr>
              <w:t xml:space="preserve">Pledge positions, drawdowns, receipts; breaks</w:t>
            </w:r>
          </w:p>
        </w:tc>
      </w:tr>
    </w:tbl>
    <w:p>
      <w:pPr>
        <w:pStyle w:val="BodyText"/>
      </w:pPr>
      <w:r>
        <w:t xml:space="preserve">Udofin never invokes, releases, changes haircuts or computes an authoritative drawing power, and never holds funds (CF 10(2)–(3)).</w:t>
      </w:r>
    </w:p>
    <w:bookmarkEnd w:id="70"/>
    <w:bookmarkStart w:id="71" w:name="acceptance-tests"/>
    <w:p>
      <w:pPr>
        <w:pStyle w:val="Heading3"/>
      </w:pPr>
      <w:r>
        <w:t xml:space="preserve">6.4.11 Acceptance tests</w:t>
      </w:r>
    </w:p>
    <w:p>
      <w:pPr>
        <w:numPr>
          <w:ilvl w:val="0"/>
          <w:numId w:val="1083"/>
        </w:numPr>
        <w:pStyle w:val="Compact"/>
      </w:pPr>
      <w:r>
        <w:t xml:space="preserve">A pledge callback without provider confirmation never releases a disbursement.</w:t>
      </w:r>
    </w:p>
    <w:p>
      <w:pPr>
        <w:numPr>
          <w:ilvl w:val="0"/>
          <w:numId w:val="1083"/>
        </w:numPr>
        <w:pStyle w:val="Compact"/>
      </w:pPr>
      <w:r>
        <w:t xml:space="preserve">A listed-share LTV of 50.01% raises</w:t>
      </w:r>
      <w:r>
        <w:t xml:space="preserve"> </w:t>
      </w:r>
      <w:r>
        <w:rPr>
          <w:rStyle w:val="VerbatimChar"/>
        </w:rPr>
        <w:t xml:space="preserve">MarginCallRaised</w:t>
      </w:r>
      <w:r>
        <w:t xml:space="preserve"> </w:t>
      </w:r>
      <w:r>
        <w:t xml:space="preserve">with a deadline exactly 7 working days later, skipping holidays on the M1 calendar; an uncured call emits</w:t>
      </w:r>
      <w:r>
        <w:t xml:space="preserve"> </w:t>
      </w:r>
      <w:r>
        <w:rPr>
          <w:rStyle w:val="VerbatimChar"/>
        </w:rPr>
        <w:t xml:space="preserve">MarginCallLapsed</w:t>
      </w:r>
      <w:r>
        <w:t xml:space="preserve"> </w:t>
      </w:r>
      <w:r>
        <w:t xml:space="preserve">at the deadline.</w:t>
      </w:r>
    </w:p>
    <w:p>
      <w:pPr>
        <w:numPr>
          <w:ilvl w:val="0"/>
          <w:numId w:val="1083"/>
        </w:numPr>
        <w:pStyle w:val="Compact"/>
      </w:pPr>
      <w:r>
        <w:t xml:space="preserve">A stale price file freezes drawdowns and does not change drawing power.</w:t>
      </w:r>
    </w:p>
    <w:p>
      <w:pPr>
        <w:numPr>
          <w:ilvl w:val="0"/>
          <w:numId w:val="1083"/>
        </w:numPr>
        <w:pStyle w:val="Compact"/>
      </w:pPr>
      <w:r>
        <w:t xml:space="preserve">A tenant below ₹100 crore of assets is not forced to the CF 106 rule; a tenant at or above it cannot configure a listed-share LTV above 50%.</w:t>
      </w:r>
    </w:p>
    <w:p>
      <w:pPr>
        <w:numPr>
          <w:ilvl w:val="0"/>
          <w:numId w:val="1083"/>
        </w:numPr>
        <w:pStyle w:val="Compact"/>
      </w:pPr>
      <w:r>
        <w:t xml:space="preserve">Own-share, primary-gold ETF and locked-in securities are rejected at eligibility.</w:t>
      </w:r>
    </w:p>
    <w:p>
      <w:pPr>
        <w:numPr>
          <w:ilvl w:val="0"/>
          <w:numId w:val="1083"/>
        </w:numPr>
        <w:pStyle w:val="Compact"/>
      </w:pPr>
      <w:r>
        <w:t xml:space="preserve">Invocation is blocked until R3 records service of the pre-invocation notice and the notice period has elapsed.</w:t>
      </w:r>
    </w:p>
    <w:p>
      <w:pPr>
        <w:numPr>
          <w:ilvl w:val="0"/>
          <w:numId w:val="1083"/>
        </w:numPr>
        <w:pStyle w:val="Compact"/>
      </w:pPr>
      <w:r>
        <w:t xml:space="preserve">The quarterly Annex-III exchange report reconciles to daily pledge positions.</w:t>
      </w:r>
    </w:p>
    <w:p>
      <w:r>
        <w:pict>
          <v:rect style="width:0;height:1.5pt" o:hralign="center" o:hrstd="t" o:hr="t"/>
        </w:pict>
      </w:r>
    </w:p>
    <w:bookmarkEnd w:id="71"/>
    <w:bookmarkEnd w:id="72"/>
    <w:bookmarkEnd w:id="73"/>
    <w:bookmarkStart w:id="97" w:name="part-7-functional-module-specification"/>
    <w:p>
      <w:pPr>
        <w:pStyle w:val="Heading1"/>
      </w:pPr>
      <w:r>
        <w:t xml:space="preserve">PART 7 — FUNCTIONAL MODULE SPECIFICATION</w:t>
      </w:r>
    </w:p>
    <w:p>
      <w:pPr>
        <w:pStyle w:val="FirstParagraph"/>
      </w:pPr>
      <w:r>
        <w:t xml:space="preserve">Each module below is a domain module in the modular monolith. Each one owns its tables and publishes events. Build each one only after its specification is approved (Part 11).</w:t>
      </w:r>
    </w:p>
    <w:bookmarkStart w:id="74" w:name="m1.-organisation-masters-and-calendar"/>
    <w:p>
      <w:pPr>
        <w:pStyle w:val="Heading2"/>
      </w:pPr>
      <w:r>
        <w:t xml:space="preserve">M1. Organisation, masters and calendar</w:t>
      </w:r>
    </w:p>
    <w:p>
      <w:pPr>
        <w:numPr>
          <w:ilvl w:val="0"/>
          <w:numId w:val="1084"/>
        </w:numPr>
        <w:pStyle w:val="Compact"/>
      </w:pPr>
      <w:r>
        <w:t xml:space="preserve">Tenant → legal entity → zone → region → branch → hub hierarchy, with GSTIN per state and cost centres.</w:t>
      </w:r>
    </w:p>
    <w:p>
      <w:pPr>
        <w:numPr>
          <w:ilvl w:val="0"/>
          <w:numId w:val="1084"/>
        </w:numPr>
        <w:pStyle w:val="Compact"/>
      </w:pPr>
      <w:r>
        <w:rPr>
          <w:bCs/>
          <w:b/>
        </w:rPr>
        <w:t xml:space="preserve">Branch/office regulatory master and closure workflow</w:t>
      </w:r>
      <w:r>
        <w:t xml:space="preserve"> </w:t>
      </w:r>
      <w:r>
        <w:t xml:space="preserve">(BR Directions, Part 8A.6), and the</w:t>
      </w:r>
      <w:r>
        <w:t xml:space="preserve"> </w:t>
      </w:r>
      <w:r>
        <w:rPr>
          <w:bCs/>
          <w:b/>
        </w:rPr>
        <w:t xml:space="preserve">entity regulatory profile</w:t>
      </w:r>
      <w:r>
        <w:t xml:space="preserve"> </w:t>
      </w:r>
      <w:r>
        <w:t xml:space="preserve">that drives the applicability of every rule (Part 8A.16, M1).</w:t>
      </w:r>
    </w:p>
    <w:p>
      <w:pPr>
        <w:numPr>
          <w:ilvl w:val="0"/>
          <w:numId w:val="1084"/>
        </w:numPr>
        <w:pStyle w:val="Compact"/>
      </w:pPr>
      <w:r>
        <w:t xml:space="preserve">Holiday calendars (national, state, branch) and working-day rules for due-date shifting: same day, next or previous working day.</w:t>
      </w:r>
    </w:p>
    <w:p>
      <w:pPr>
        <w:numPr>
          <w:ilvl w:val="0"/>
          <w:numId w:val="1084"/>
        </w:numPr>
        <w:pStyle w:val="Compact"/>
      </w:pPr>
      <w:r>
        <w:t xml:space="preserve">Business-date management.</w:t>
      </w:r>
    </w:p>
    <w:p>
      <w:pPr>
        <w:numPr>
          <w:ilvl w:val="0"/>
          <w:numId w:val="1084"/>
        </w:numPr>
        <w:pStyle w:val="Compact"/>
      </w:pPr>
      <w:r>
        <w:t xml:space="preserve">Master data:</w:t>
      </w:r>
    </w:p>
    <w:p>
      <w:pPr>
        <w:numPr>
          <w:ilvl w:val="1"/>
          <w:numId w:val="1085"/>
        </w:numPr>
        <w:pStyle w:val="Compact"/>
      </w:pPr>
      <w:r>
        <w:t xml:space="preserve">pincode and geography;</w:t>
      </w:r>
    </w:p>
    <w:p>
      <w:pPr>
        <w:numPr>
          <w:ilvl w:val="1"/>
          <w:numId w:val="1085"/>
        </w:numPr>
        <w:pStyle w:val="Compact"/>
      </w:pPr>
      <w:r>
        <w:t xml:space="preserve">banks and IFSC;</w:t>
      </w:r>
    </w:p>
    <w:p>
      <w:pPr>
        <w:numPr>
          <w:ilvl w:val="1"/>
          <w:numId w:val="1085"/>
        </w:numPr>
        <w:pStyle w:val="Compact"/>
      </w:pPr>
      <w:r>
        <w:t xml:space="preserve">occupations and industries (with RBI sector codes for reporting);</w:t>
      </w:r>
    </w:p>
    <w:p>
      <w:pPr>
        <w:numPr>
          <w:ilvl w:val="1"/>
          <w:numId w:val="1085"/>
        </w:numPr>
        <w:pStyle w:val="Compact"/>
      </w:pPr>
      <w:r>
        <w:t xml:space="preserve">purpose codes;</w:t>
      </w:r>
    </w:p>
    <w:p>
      <w:pPr>
        <w:numPr>
          <w:ilvl w:val="1"/>
          <w:numId w:val="1085"/>
        </w:numPr>
        <w:pStyle w:val="Compact"/>
      </w:pPr>
      <w:r>
        <w:t xml:space="preserve">CIC account types;</w:t>
      </w:r>
    </w:p>
    <w:p>
      <w:pPr>
        <w:numPr>
          <w:ilvl w:val="1"/>
          <w:numId w:val="1085"/>
        </w:numPr>
        <w:pStyle w:val="Compact"/>
      </w:pPr>
      <w:r>
        <w:t xml:space="preserve">reason codes;</w:t>
      </w:r>
    </w:p>
    <w:p>
      <w:pPr>
        <w:numPr>
          <w:ilvl w:val="1"/>
          <w:numId w:val="1085"/>
        </w:numPr>
        <w:pStyle w:val="Compact"/>
      </w:pPr>
      <w:r>
        <w:t xml:space="preserve">NACH return codes (configurable from the sponsor-bank specification; never hard-coded).</w:t>
      </w:r>
    </w:p>
    <w:p>
      <w:pPr>
        <w:numPr>
          <w:ilvl w:val="0"/>
          <w:numId w:val="1084"/>
        </w:numPr>
        <w:pStyle w:val="Compact"/>
      </w:pPr>
      <w:r>
        <w:t xml:space="preserve">Benchmark rate master (repo, MCLR or internal benchmark) with effective dates.</w:t>
      </w:r>
    </w:p>
    <w:bookmarkEnd w:id="74"/>
    <w:bookmarkStart w:id="75" w:name="m2.-lead-sourcing-and-partner-management"/>
    <w:p>
      <w:pPr>
        <w:pStyle w:val="Heading2"/>
      </w:pPr>
      <w:r>
        <w:t xml:space="preserve">M2. Lead, sourcing and partner management</w:t>
      </w:r>
    </w:p>
    <w:p>
      <w:pPr>
        <w:numPr>
          <w:ilvl w:val="0"/>
          <w:numId w:val="1086"/>
        </w:numPr>
        <w:pStyle w:val="Compact"/>
      </w:pPr>
      <w:r>
        <w:rPr>
          <w:bCs/>
          <w:b/>
        </w:rPr>
        <w:t xml:space="preserve">Lead capture:</w:t>
      </w:r>
      <w:r>
        <w:t xml:space="preserve"> </w:t>
      </w:r>
      <w:r>
        <w:t xml:space="preserve">web, branch, field app, DSA portal, API (Udofin/LSPs), campaigns and bulk upload. Lead de-dupe; allocation by pincode, product and branch; TAT tracking; lead scoring.</w:t>
      </w:r>
    </w:p>
    <w:p>
      <w:pPr>
        <w:numPr>
          <w:ilvl w:val="0"/>
          <w:numId w:val="1086"/>
        </w:numPr>
        <w:pStyle w:val="Compact"/>
      </w:pPr>
      <w:r>
        <w:rPr>
          <w:bCs/>
          <w:b/>
        </w:rPr>
        <w:t xml:space="preserve">DSA, connector and dealer master:</w:t>
      </w:r>
      <w:r>
        <w:t xml:space="preserve"> </w:t>
      </w:r>
      <w:r>
        <w:t xml:space="preserve">KYC, agreement, code, empanelment and renewal, blacklist, and quality scoring (early-default and RCU-hit rate by DSA).</w:t>
      </w:r>
    </w:p>
    <w:p>
      <w:pPr>
        <w:numPr>
          <w:ilvl w:val="0"/>
          <w:numId w:val="1086"/>
        </w:numPr>
        <w:pStyle w:val="Compact"/>
      </w:pPr>
      <w:r>
        <w:rPr>
          <w:bCs/>
          <w:b/>
        </w:rPr>
        <w:t xml:space="preserve">Payout and commission engine:</w:t>
      </w:r>
    </w:p>
    <w:p>
      <w:pPr>
        <w:numPr>
          <w:ilvl w:val="1"/>
          <w:numId w:val="1087"/>
        </w:numPr>
        <w:pStyle w:val="Compact"/>
      </w:pPr>
      <w:r>
        <w:t xml:space="preserve">slab, volume and product-based payouts;</w:t>
      </w:r>
    </w:p>
    <w:p>
      <w:pPr>
        <w:numPr>
          <w:ilvl w:val="1"/>
          <w:numId w:val="1087"/>
        </w:numPr>
        <w:pStyle w:val="Compact"/>
      </w:pPr>
      <w:r>
        <w:t xml:space="preserve">clawback on early foreclosure or default;</w:t>
      </w:r>
    </w:p>
    <w:p>
      <w:pPr>
        <w:numPr>
          <w:ilvl w:val="1"/>
          <w:numId w:val="1087"/>
        </w:numPr>
        <w:pStyle w:val="Compact"/>
      </w:pPr>
      <w:r>
        <w:t xml:space="preserve">GST and TDS on payouts;</w:t>
      </w:r>
    </w:p>
    <w:p>
      <w:pPr>
        <w:numPr>
          <w:ilvl w:val="1"/>
          <w:numId w:val="1087"/>
        </w:numPr>
        <w:pStyle w:val="Compact"/>
      </w:pPr>
      <w:r>
        <w:t xml:space="preserve">maker-checker;</w:t>
      </w:r>
    </w:p>
    <w:p>
      <w:pPr>
        <w:numPr>
          <w:ilvl w:val="1"/>
          <w:numId w:val="1087"/>
        </w:numPr>
        <w:pStyle w:val="Compact"/>
      </w:pPr>
      <w:r>
        <w:t xml:space="preserve">payout statements.</w:t>
      </w:r>
    </w:p>
    <w:p>
      <w:pPr>
        <w:numPr>
          <w:ilvl w:val="0"/>
          <w:numId w:val="1086"/>
        </w:numPr>
        <w:pStyle w:val="Compact"/>
      </w:pPr>
      <w:r>
        <w:rPr>
          <w:bCs/>
          <w:b/>
        </w:rPr>
        <w:t xml:space="preserve">Third-party and outsourcing register</w:t>
      </w:r>
      <w:r>
        <w:t xml:space="preserve"> </w:t>
      </w:r>
      <w:r>
        <w:t xml:space="preserve">(OUT 36, 64(2), 82; ORM 74(5)): every DSA/DMA, LSP, recovery agency, IT provider (including Finbyx itself and its sub-processors) and other vendor, with Ch III / Ch IV / CYB-117 classification, materiality score (OUT 14, 58(2)), due diligence (30, 71) and annual (38) or risk-based (80) re-review, para 34/74 clause checklist, ownership/conflict check (18(vi), 59), audits and certifications (37, 76–79), SLAs and KRIs (64(4), 75), supply chain (82), exit plan (84–86) and critical operations supported (ORM 69). Half-yearly Board/RMC review pack (OUT 12(1)(vii), 36). Termination-publicity workflow (44, 89). See Part 8A.29.</w:t>
      </w:r>
    </w:p>
    <w:bookmarkEnd w:id="75"/>
    <w:bookmarkStart w:id="76" w:name="m3.-customer-cif-kyc-and-aml"/>
    <w:p>
      <w:pPr>
        <w:pStyle w:val="Heading2"/>
      </w:pPr>
      <w:r>
        <w:t xml:space="preserve">M3. Customer (CIF), KYC and AML</w:t>
      </w:r>
    </w:p>
    <w:p>
      <w:pPr>
        <w:numPr>
          <w:ilvl w:val="0"/>
          <w:numId w:val="1088"/>
        </w:numPr>
        <w:pStyle w:val="Compact"/>
      </w:pPr>
      <w:r>
        <w:rPr>
          <w:bCs/>
          <w:b/>
        </w:rPr>
        <w:t xml:space="preserve">Single Customer Information File</w:t>
      </w:r>
      <w:r>
        <w:t xml:space="preserve"> </w:t>
      </w:r>
      <w:r>
        <w:t xml:space="preserve">across products and entities, where permitted. Individual and non-individual customers, with relationships to co-borrowers, guarantors, directors, partners and beneficial owners.</w:t>
      </w:r>
    </w:p>
    <w:p>
      <w:pPr>
        <w:numPr>
          <w:ilvl w:val="0"/>
          <w:numId w:val="1088"/>
        </w:numPr>
        <w:pStyle w:val="Compact"/>
      </w:pPr>
      <w:r>
        <w:rPr>
          <w:bCs/>
          <w:b/>
        </w:rPr>
        <w:t xml:space="preserve">Related-party register and connected-counterparty groups</w:t>
      </w:r>
      <w:r>
        <w:t xml:space="preserve"> </w:t>
      </w:r>
      <w:r>
        <w:t xml:space="preserve">(CRM paras 13A–13Q; CON para 4(3)), LEI records (CRM paras 18–24), and the fraud-debarment register with associated entities (FRM para 35). See Part 8A.3, 8A.4 and 8A.14.</w:t>
      </w:r>
    </w:p>
    <w:p>
      <w:pPr>
        <w:numPr>
          <w:ilvl w:val="0"/>
          <w:numId w:val="1088"/>
        </w:numPr>
        <w:pStyle w:val="Compact"/>
      </w:pPr>
      <w:r>
        <w:rPr>
          <w:bCs/>
          <w:b/>
        </w:rPr>
        <w:t xml:space="preserve">De-duplication:</w:t>
      </w:r>
      <w:r>
        <w:t xml:space="preserve"> </w:t>
      </w:r>
      <w:r>
        <w:t xml:space="preserve">internal match on PAN, Aadhaar reference/token, mobile, name + DOB, address and bank account; fuzzy matching; negative and blacklist checks; wilful-defaulter (LWD) and large-defaulter check on the borrower, guarantors, directors (DIN) and persons in charge (PAN), with identical names resolved through independent sources, never a borrower declaration (WD para 19(1)). A borrower on the LWD, or an entity associated with a wilful defaulter, cannot be restructured (RSA 83, 85). The WD 7(3) bars and the FRM para 35 debarment are separate registers, checked separately. One</w:t>
      </w:r>
      <w:r>
        <w:t xml:space="preserve"> </w:t>
      </w:r>
      <w:r>
        <w:rPr>
          <w:bCs/>
          <w:b/>
        </w:rPr>
        <w:t xml:space="preserve">UCIC</w:t>
      </w:r>
      <w:r>
        <w:t xml:space="preserve"> </w:t>
      </w:r>
      <w:r>
        <w:t xml:space="preserve">per individual customer; CDD is done once at UCIC level (KYC 17(6), 66).</w:t>
      </w:r>
    </w:p>
    <w:p>
      <w:pPr>
        <w:numPr>
          <w:ilvl w:val="0"/>
          <w:numId w:val="1088"/>
        </w:numPr>
        <w:pStyle w:val="Compact"/>
      </w:pPr>
      <w:r>
        <w:rPr>
          <w:bCs/>
          <w:b/>
        </w:rPr>
        <w:t xml:space="preserve">KYC per RBI (NBFC – Know Your Customer) Directions, 2025 (RBI/DOR/2025-26/361, updated as on 29 Dec 2025); full detail in Part 8A.21:</w:t>
      </w:r>
    </w:p>
    <w:p>
      <w:pPr>
        <w:numPr>
          <w:ilvl w:val="1"/>
          <w:numId w:val="1089"/>
        </w:numPr>
        <w:pStyle w:val="Compact"/>
      </w:pPr>
      <w:r>
        <w:t xml:space="preserve">CKYC search, download and upload. Upload within</w:t>
      </w:r>
      <w:r>
        <w:t xml:space="preserve"> </w:t>
      </w:r>
      <w:r>
        <w:rPr>
          <w:bCs/>
          <w:b/>
        </w:rPr>
        <w:t xml:space="preserve">10 days</w:t>
      </w:r>
      <w:r>
        <w:t xml:space="preserve"> </w:t>
      </w:r>
      <w:r>
        <w:t xml:space="preserve">of commencement (KYC 63(1)); furnish updated information within</w:t>
      </w:r>
      <w:r>
        <w:t xml:space="preserve"> </w:t>
      </w:r>
      <w:r>
        <w:rPr>
          <w:bCs/>
          <w:b/>
        </w:rPr>
        <w:t xml:space="preserve">7 days</w:t>
      </w:r>
      <w:r>
        <w:t xml:space="preserve"> </w:t>
      </w:r>
      <w:r>
        <w:t xml:space="preserve">and pull CKYCR-notified updates (63(7)); communicate the KYC Identifier (63(6)); flag OTP-e-KYC accounts (25(8)). Retrieve by KYC Identifier first and do not re-collect documents except in the 63(9)(i)–(iv) cases; under the 29 Dec 2025 Explanation, records relied on need no re-verification of identity/address, but all other CDD remains the tenant’s. Download needs the customer’s explicit consent (23(4)); the OTP mechanism is CERSAI’s operational design [VERIFY: CKYCRR 2.0 specifications]. Build for CKYCRR 2.0 real-time APIs: search, download with OTP consent, upload.</w:t>
      </w:r>
    </w:p>
    <w:p>
      <w:pPr>
        <w:numPr>
          <w:ilvl w:val="1"/>
          <w:numId w:val="1089"/>
        </w:numPr>
        <w:pStyle w:val="Compact"/>
      </w:pPr>
      <w:r>
        <w:t xml:space="preserve">Aadhaar offline e-KYC (XML/QR) and DigiLocker. Aadhaar e-KYC authentication (OTP/biometric, incl. Face Authentication) only where the lender is notified under the first proviso to s.11A(1) PML Act (KYC 23 proviso (i), Expl 2); offline verification for proof of possession (proviso (ii)); e-documents: digital-signature check plus live photo (proviso (iii)); physical OVDs: para 24 digital KYC (proviso (iv)); Aadhaar number redacted where authentication is not required (Expl 1); Aadhaar never mandatory (Expl 4).</w:t>
      </w:r>
    </w:p>
    <w:p>
      <w:pPr>
        <w:numPr>
          <w:ilvl w:val="1"/>
          <w:numId w:val="1089"/>
        </w:numPr>
        <w:pStyle w:val="Compact"/>
      </w:pPr>
      <w:r>
        <w:t xml:space="preserve">V-CIP per KYC 26–27 (Part 8A.21): India-only IPs, liveness and face match, 3-working-day XML/QR and video windows, fresh session on call drop, reject on prompting, PAN image/e-PAN check, no printed e-documents, account live only after concurrent audit, data in India on tenant-owned/leased storage with the vendor retaining no data, CERT-In VAPT before go-live.</w:t>
      </w:r>
    </w:p>
    <w:p>
      <w:pPr>
        <w:numPr>
          <w:ilvl w:val="1"/>
          <w:numId w:val="1089"/>
        </w:numPr>
        <w:pStyle w:val="Compact"/>
      </w:pPr>
      <w:r>
        <w:t xml:space="preserve">OVDs and deemed OVDs (KYC 5(1)(xiv)), with a 3-month clock for a current-address OVD; PAN/e-PAN or Form 60 mandatory (23(5)), verified with the issuing authority (17(10)); GSTIN verified where available (17(12)). PAN–Aadhaar link status is an Income-tax check, not a KYC requirement: tenant policy option.</w:t>
      </w:r>
    </w:p>
    <w:p>
      <w:pPr>
        <w:numPr>
          <w:ilvl w:val="1"/>
          <w:numId w:val="1089"/>
        </w:numPr>
        <w:pStyle w:val="Compact"/>
      </w:pPr>
      <w:r>
        <w:t xml:space="preserve">Periodic updation at least every</w:t>
      </w:r>
      <w:r>
        <w:t xml:space="preserve"> </w:t>
      </w:r>
      <w:r>
        <w:rPr>
          <w:bCs/>
          <w:b/>
        </w:rPr>
        <w:t xml:space="preserve">2/8/10 years</w:t>
      </w:r>
      <w:r>
        <w:t xml:space="preserve"> </w:t>
      </w:r>
      <w:r>
        <w:t xml:space="preserve">(H/M/L) (KYC 42(1)); low-risk individuals: transactions continue, update within 1 year of due date or by 30 Jun 2026, whichever later (42(2));</w:t>
      </w:r>
      <w:r>
        <w:t xml:space="preserve"> </w:t>
      </w:r>
      <w:r>
        <w:rPr>
          <w:bCs/>
          <w:b/>
        </w:rPr>
        <w:t xml:space="preserve">≥ 3 advance intimations and ≥ 3 post-due reminders, each with ≥ 1 letter, logged</w:t>
      </w:r>
      <w:r>
        <w:t xml:space="preserve"> </w:t>
      </w:r>
      <w:r>
        <w:t xml:space="preserve">(42(7)); acknowledgement and updation-date intimation (42(5)(iii)); address change: positive confirmation within 2 months (42(3)(ii)).</w:t>
      </w:r>
    </w:p>
    <w:p>
      <w:pPr>
        <w:numPr>
          <w:ilvl w:val="1"/>
          <w:numId w:val="1089"/>
        </w:numPr>
        <w:pStyle w:val="Compact"/>
      </w:pPr>
      <w:r>
        <w:t xml:space="preserve">Risk categorisation (low, medium, high) with re-categorisation triggers, reviewed</w:t>
      </w:r>
      <w:r>
        <w:t xml:space="preserve"> </w:t>
      </w:r>
      <w:r>
        <w:rPr>
          <w:bCs/>
          <w:b/>
        </w:rPr>
        <w:t xml:space="preserve">at least every 6 months</w:t>
      </w:r>
      <w:r>
        <w:t xml:space="preserve"> </w:t>
      </w:r>
      <w:r>
        <w:t xml:space="preserve">(KYC 41(1)), never disclosed to the customer (20(4)); NFTF-onboarded customers high-risk until face-to-face/V-CIP verification (44(6)).</w:t>
      </w:r>
    </w:p>
    <w:p>
      <w:pPr>
        <w:numPr>
          <w:ilvl w:val="0"/>
          <w:numId w:val="1088"/>
        </w:numPr>
        <w:pStyle w:val="Compact"/>
      </w:pPr>
      <w:r>
        <w:rPr>
          <w:bCs/>
          <w:b/>
        </w:rPr>
        <w:t xml:space="preserve">Aadhaar Data Vault: UIDAI Circular No. 14 of 2025 (4 Nov 2025), which supersedes Circular 8 of 2025.</w:t>
      </w:r>
    </w:p>
    <w:p>
      <w:pPr>
        <w:numPr>
          <w:ilvl w:val="1"/>
          <w:numId w:val="1090"/>
        </w:numPr>
        <w:pStyle w:val="Compact"/>
      </w:pPr>
      <w:r>
        <w:t xml:space="preserve">The vault may be hosted only on-premises, on a MeitY-empanelled Government Community Cloud, or through ADV-as-a-service.</w:t>
      </w:r>
    </w:p>
    <w:p>
      <w:pPr>
        <w:numPr>
          <w:ilvl w:val="1"/>
          <w:numId w:val="1090"/>
        </w:numPr>
        <w:pStyle w:val="Compact"/>
      </w:pPr>
      <w:r>
        <w:t xml:space="preserve">It needs an HSM certified FIPS 140-2 Level 3 or higher, and non-reversible reference keys. Hashing the Aadhaar number is not permitted.</w:t>
      </w:r>
    </w:p>
    <w:p>
      <w:pPr>
        <w:numPr>
          <w:ilvl w:val="1"/>
          <w:numId w:val="1090"/>
        </w:numPr>
        <w:pStyle w:val="Compact"/>
      </w:pPr>
      <w:r>
        <w:t xml:space="preserve">A commercial cloud region with CloudHSM may therefore not qualify. Record the hosting choice in an ADR.</w:t>
      </w:r>
    </w:p>
    <w:p>
      <w:pPr>
        <w:numPr>
          <w:ilvl w:val="1"/>
          <w:numId w:val="1090"/>
        </w:numPr>
        <w:pStyle w:val="Compact"/>
      </w:pPr>
      <w:r>
        <w:t xml:space="preserve">If full Aadhaar numbers are ever stored, use a separate vault service with HSM-backed encryption and reference tokens.</w:t>
      </w:r>
    </w:p>
    <w:p>
      <w:pPr>
        <w:numPr>
          <w:ilvl w:val="1"/>
          <w:numId w:val="1090"/>
        </w:numPr>
        <w:pStyle w:val="Compact"/>
      </w:pPr>
      <w:r>
        <w:t xml:space="preserve">Prefer OKYC/DigiLocker flows that avoid storing them.</w:t>
      </w:r>
    </w:p>
    <w:p>
      <w:pPr>
        <w:numPr>
          <w:ilvl w:val="1"/>
          <w:numId w:val="1090"/>
        </w:numPr>
        <w:pStyle w:val="Compact"/>
      </w:pPr>
      <w:r>
        <w:t xml:space="preserve">Never log Aadhaar, PAN or OTP.</w:t>
      </w:r>
    </w:p>
    <w:p>
      <w:pPr>
        <w:numPr>
          <w:ilvl w:val="0"/>
          <w:numId w:val="1088"/>
        </w:numPr>
        <w:pStyle w:val="Compact"/>
      </w:pPr>
      <w:r>
        <w:rPr>
          <w:bCs/>
          <w:b/>
        </w:rPr>
        <w:t xml:space="preserve">AML/CFT:</w:t>
      </w:r>
    </w:p>
    <w:p>
      <w:pPr>
        <w:numPr>
          <w:ilvl w:val="1"/>
          <w:numId w:val="1091"/>
        </w:numPr>
        <w:pStyle w:val="Compact"/>
      </w:pPr>
      <w:r>
        <w:t xml:space="preserve">daily screening against the UNSC 1267/1988 lists, 2007 Order Schedules and UNSCR 1718 (KYC 54(2), 56); UAPA Schedules 1 and 4 (57); WMD s.12A list at onboarding and periodically (55(3)); match → block, report to CNO/FIU-IND/MHA/RBI, implement freeze, forward unfreeze applications within 2 working days (54–55, Annexes I–II); PEP screening (foreign PEPs, family, close associates) with senior-management approval to open and to continue (45);</w:t>
      </w:r>
    </w:p>
    <w:p>
      <w:pPr>
        <w:numPr>
          <w:ilvl w:val="1"/>
          <w:numId w:val="1091"/>
        </w:numPr>
        <w:pStyle w:val="Compact"/>
      </w:pPr>
      <w:r>
        <w:t xml:space="preserve">transaction monitoring rules;</w:t>
      </w:r>
    </w:p>
    <w:p>
      <w:pPr>
        <w:numPr>
          <w:ilvl w:val="1"/>
          <w:numId w:val="1091"/>
        </w:numPr>
        <w:pStyle w:val="Compact"/>
      </w:pPr>
      <w:r>
        <w:t xml:space="preserve">alert management;</w:t>
      </w:r>
    </w:p>
    <w:p>
      <w:pPr>
        <w:numPr>
          <w:ilvl w:val="1"/>
          <w:numId w:val="1091"/>
        </w:numPr>
        <w:pStyle w:val="Compact"/>
      </w:pPr>
      <w:r>
        <w:t xml:space="preserve">FIU-IND reporting of PML Rule 3 transactions per Rule 7, in FIU-IND formats (KYC 49–50): STR, CTR, NTR, CCR [VERIFY: timelines in PML Rules r.8; the KYC Directions do not state them]; each day of delay is a separate violation, and no account restriction merely because an STR is filed (51); alerts on transactions inconsistent with risk profile (53).</w:t>
      </w:r>
    </w:p>
    <w:p>
      <w:pPr>
        <w:numPr>
          <w:ilvl w:val="1"/>
          <w:numId w:val="1091"/>
        </w:numPr>
        <w:pStyle w:val="Compact"/>
      </w:pPr>
      <w:r>
        <w:t xml:space="preserve">record retention under PMLA §12 and KYC 47: transactions ≥ 5 years from transaction date; identification records ≥ 5 years after relationship ends; DARPAN registration for NPO customers (48).</w:t>
      </w:r>
    </w:p>
    <w:bookmarkEnd w:id="76"/>
    <w:bookmarkStart w:id="77" w:name="m4.-loan-origination-los"/>
    <w:p>
      <w:pPr>
        <w:pStyle w:val="Heading2"/>
      </w:pPr>
      <w:r>
        <w:t xml:space="preserve">M4. Loan Origination (LOS)</w:t>
      </w:r>
    </w:p>
    <w:p>
      <w:pPr>
        <w:numPr>
          <w:ilvl w:val="0"/>
          <w:numId w:val="1092"/>
        </w:numPr>
        <w:pStyle w:val="Compact"/>
      </w:pPr>
      <w:r>
        <w:rPr>
          <w:bCs/>
          <w:b/>
        </w:rPr>
        <w:t xml:space="preserve">Application capture:</w:t>
      </w:r>
    </w:p>
    <w:p>
      <w:pPr>
        <w:numPr>
          <w:ilvl w:val="1"/>
          <w:numId w:val="1093"/>
        </w:numPr>
        <w:pStyle w:val="Compact"/>
      </w:pPr>
      <w:r>
        <w:t xml:space="preserve">Product-specific dynamic forms built from the product template.</w:t>
      </w:r>
    </w:p>
    <w:p>
      <w:pPr>
        <w:numPr>
          <w:ilvl w:val="1"/>
          <w:numId w:val="1093"/>
        </w:numPr>
        <w:pStyle w:val="Compact"/>
      </w:pPr>
      <w:r>
        <w:t xml:space="preserve">Applicant, co-applicants and guarantors; income, employment and business details; bank details; references.</w:t>
      </w:r>
    </w:p>
    <w:p>
      <w:pPr>
        <w:numPr>
          <w:ilvl w:val="1"/>
          <w:numId w:val="1093"/>
        </w:numPr>
        <w:pStyle w:val="Compact"/>
      </w:pPr>
      <w:r>
        <w:t xml:space="preserve">Save-and-resume.</w:t>
      </w:r>
    </w:p>
    <w:p>
      <w:pPr>
        <w:numPr>
          <w:ilvl w:val="1"/>
          <w:numId w:val="1093"/>
        </w:numPr>
        <w:pStyle w:val="Compact"/>
      </w:pPr>
      <w:r>
        <w:t xml:space="preserve">Pre-fill from KYC, bureau, AA, GST and MCA data so nothing is entered twice.</w:t>
      </w:r>
    </w:p>
    <w:p>
      <w:pPr>
        <w:numPr>
          <w:ilvl w:val="1"/>
          <w:numId w:val="1093"/>
        </w:numPr>
        <w:pStyle w:val="Compact"/>
      </w:pPr>
      <w:r>
        <w:t xml:space="preserve">Mobile-friendly assisted mode for the field app.</w:t>
      </w:r>
    </w:p>
    <w:p>
      <w:pPr>
        <w:numPr>
          <w:ilvl w:val="0"/>
          <w:numId w:val="1092"/>
        </w:numPr>
        <w:pStyle w:val="Compact"/>
      </w:pPr>
      <w:r>
        <w:rPr>
          <w:bCs/>
          <w:b/>
        </w:rPr>
        <w:t xml:space="preserve">Consent management:</w:t>
      </w:r>
    </w:p>
    <w:p>
      <w:pPr>
        <w:numPr>
          <w:ilvl w:val="1"/>
          <w:numId w:val="1094"/>
        </w:numPr>
        <w:pStyle w:val="Compact"/>
      </w:pPr>
      <w:r>
        <w:t xml:space="preserve">Purpose-specific consent for each data pull and each data share: bureau, AA, CKYC, DigiLocker, sharing with co-lender, sharing with LSP.</w:t>
      </w:r>
    </w:p>
    <w:p>
      <w:pPr>
        <w:numPr>
          <w:ilvl w:val="1"/>
          <w:numId w:val="1094"/>
        </w:numPr>
        <w:pStyle w:val="Compact"/>
      </w:pPr>
      <w:r>
        <w:t xml:space="preserve">Record the exact notice/consent text version, language, timestamp, channel, IP/device and the artefact ID.</w:t>
      </w:r>
    </w:p>
    <w:p>
      <w:pPr>
        <w:numPr>
          <w:ilvl w:val="1"/>
          <w:numId w:val="1094"/>
        </w:numPr>
        <w:pStyle w:val="Compact"/>
      </w:pPr>
      <w:r>
        <w:t xml:space="preserve">Withdrawal handling.</w:t>
      </w:r>
    </w:p>
    <w:p>
      <w:pPr>
        <w:numPr>
          <w:ilvl w:val="0"/>
          <w:numId w:val="1092"/>
        </w:numPr>
        <w:pStyle w:val="Compact"/>
      </w:pPr>
      <w:r>
        <w:rPr>
          <w:bCs/>
          <w:b/>
        </w:rPr>
        <w:t xml:space="preserve">Data pulls (adapters, Part 9):</w:t>
      </w:r>
    </w:p>
    <w:p>
      <w:pPr>
        <w:numPr>
          <w:ilvl w:val="1"/>
          <w:numId w:val="1095"/>
        </w:numPr>
        <w:pStyle w:val="Compact"/>
      </w:pPr>
      <w:r>
        <w:t xml:space="preserve">Bureau: multi-bureau, with soft/hard enquiry distinction and consolidated tradeline view.</w:t>
      </w:r>
    </w:p>
    <w:p>
      <w:pPr>
        <w:numPr>
          <w:ilvl w:val="1"/>
          <w:numId w:val="1095"/>
        </w:numPr>
        <w:pStyle w:val="Compact"/>
      </w:pPr>
      <w:r>
        <w:t xml:space="preserve">Account Aggregator: FIU consent flow; ReBIT schema version-aware parsing.</w:t>
      </w:r>
    </w:p>
    <w:p>
      <w:pPr>
        <w:numPr>
          <w:ilvl w:val="1"/>
          <w:numId w:val="1095"/>
        </w:numPr>
        <w:pStyle w:val="Compact"/>
      </w:pPr>
      <w:r>
        <w:t xml:space="preserve">Bank-statement analyser; GST returns; ITR/AIS; EPFO/UAN; MCA; Udyam; Vahan; land records; eCourts; CERSAI.</w:t>
      </w:r>
    </w:p>
    <w:p>
      <w:pPr>
        <w:numPr>
          <w:ilvl w:val="0"/>
          <w:numId w:val="1092"/>
        </w:numPr>
        <w:pStyle w:val="Compact"/>
      </w:pPr>
      <w:r>
        <w:rPr>
          <w:bCs/>
          <w:b/>
        </w:rPr>
        <w:t xml:space="preserve">BRE and scorecards:</w:t>
      </w:r>
    </w:p>
    <w:p>
      <w:pPr>
        <w:numPr>
          <w:ilvl w:val="1"/>
          <w:numId w:val="1096"/>
        </w:numPr>
        <w:pStyle w:val="Compact"/>
      </w:pPr>
      <w:r>
        <w:t xml:space="preserve">Versioned, effective-dated decision tables and graphs.</w:t>
      </w:r>
    </w:p>
    <w:p>
      <w:pPr>
        <w:numPr>
          <w:ilvl w:val="1"/>
          <w:numId w:val="1096"/>
        </w:numPr>
        <w:pStyle w:val="Compact"/>
      </w:pPr>
      <w:r>
        <w:t xml:space="preserve">Simulation and back-testing on historical files.</w:t>
      </w:r>
    </w:p>
    <w:p>
      <w:pPr>
        <w:numPr>
          <w:ilvl w:val="1"/>
          <w:numId w:val="1096"/>
        </w:numPr>
        <w:pStyle w:val="Compact"/>
      </w:pPr>
      <w:r>
        <w:t xml:space="preserve">Explainable outputs with every rule hit logged.</w:t>
      </w:r>
    </w:p>
    <w:p>
      <w:pPr>
        <w:numPr>
          <w:ilvl w:val="1"/>
          <w:numId w:val="1096"/>
        </w:numPr>
        <w:pStyle w:val="Compact"/>
      </w:pPr>
      <w:r>
        <w:t xml:space="preserve">Champion/challenger.</w:t>
      </w:r>
    </w:p>
    <w:p>
      <w:pPr>
        <w:numPr>
          <w:ilvl w:val="1"/>
          <w:numId w:val="1096"/>
        </w:numPr>
        <w:pStyle w:val="Compact"/>
      </w:pPr>
      <w:r>
        <w:t xml:space="preserve">Policy parameters editable by credit-policy users under maker-checker.</w:t>
      </w:r>
    </w:p>
    <w:p>
      <w:pPr>
        <w:numPr>
          <w:ilvl w:val="0"/>
          <w:numId w:val="1092"/>
        </w:numPr>
        <w:pStyle w:val="Compact"/>
      </w:pPr>
      <w:r>
        <w:rPr>
          <w:bCs/>
          <w:b/>
        </w:rPr>
        <w:t xml:space="preserve">Fraud and risk checks:</w:t>
      </w:r>
    </w:p>
    <w:p>
      <w:pPr>
        <w:numPr>
          <w:ilvl w:val="1"/>
          <w:numId w:val="1097"/>
        </w:numPr>
        <w:pStyle w:val="Compact"/>
      </w:pPr>
      <w:r>
        <w:t xml:space="preserve">RCU sampling by rule.</w:t>
      </w:r>
    </w:p>
    <w:p>
      <w:pPr>
        <w:numPr>
          <w:ilvl w:val="1"/>
          <w:numId w:val="1097"/>
        </w:numPr>
        <w:pStyle w:val="Compact"/>
      </w:pPr>
      <w:r>
        <w:t xml:space="preserve">Document tamper and AI-generated-document detection.</w:t>
      </w:r>
    </w:p>
    <w:p>
      <w:pPr>
        <w:numPr>
          <w:ilvl w:val="1"/>
          <w:numId w:val="1097"/>
        </w:numPr>
        <w:pStyle w:val="Compact"/>
      </w:pPr>
      <w:r>
        <w:t xml:space="preserve">Face match against KYC photo.</w:t>
      </w:r>
    </w:p>
    <w:p>
      <w:pPr>
        <w:numPr>
          <w:ilvl w:val="1"/>
          <w:numId w:val="1097"/>
        </w:numPr>
        <w:pStyle w:val="Compact"/>
      </w:pPr>
      <w:r>
        <w:t xml:space="preserve">Velocity checks; device and geo checks for field capture.</w:t>
      </w:r>
    </w:p>
    <w:p>
      <w:pPr>
        <w:numPr>
          <w:ilvl w:val="1"/>
          <w:numId w:val="1097"/>
        </w:numPr>
        <w:pStyle w:val="Compact"/>
      </w:pPr>
      <w:r>
        <w:t xml:space="preserve">Negative-area pincodes.</w:t>
      </w:r>
    </w:p>
    <w:p>
      <w:pPr>
        <w:numPr>
          <w:ilvl w:val="1"/>
          <w:numId w:val="1097"/>
        </w:numPr>
        <w:pStyle w:val="Compact"/>
      </w:pPr>
      <w:r>
        <w:t xml:space="preserve">Pre-sanction fraud and EWS checks. For UL/ML tenants these feed the statutory EWS framework (FRM paras 13–23, Part 8A.14), which prescribes no indicator list, so indicators are tenant-defined.</w:t>
      </w:r>
    </w:p>
    <w:p>
      <w:pPr>
        <w:numPr>
          <w:ilvl w:val="1"/>
          <w:numId w:val="1097"/>
        </w:numPr>
        <w:pStyle w:val="Compact"/>
      </w:pPr>
      <w:r>
        <w:t xml:space="preserve">Fraud-debarment gate (FRM paras 35–39).</w:t>
      </w:r>
    </w:p>
    <w:p>
      <w:pPr>
        <w:numPr>
          <w:ilvl w:val="0"/>
          <w:numId w:val="1092"/>
        </w:numPr>
        <w:pStyle w:val="Compact"/>
      </w:pPr>
      <w:r>
        <w:rPr>
          <w:bCs/>
          <w:b/>
        </w:rPr>
        <w:t xml:space="preserve">Verification management:</w:t>
      </w:r>
    </w:p>
    <w:p>
      <w:pPr>
        <w:numPr>
          <w:ilvl w:val="1"/>
          <w:numId w:val="1098"/>
        </w:numPr>
        <w:pStyle w:val="Compact"/>
      </w:pPr>
      <w:r>
        <w:t xml:space="preserve">Field investigation (residence and office), personal discussion, technical valuation, legal title search and vetting, RCU.</w:t>
      </w:r>
    </w:p>
    <w:p>
      <w:pPr>
        <w:numPr>
          <w:ilvl w:val="1"/>
          <w:numId w:val="1098"/>
        </w:numPr>
        <w:pStyle w:val="Compact"/>
      </w:pPr>
      <w:r>
        <w:t xml:space="preserve">Vendor allocation by rule.</w:t>
      </w:r>
    </w:p>
    <w:p>
      <w:pPr>
        <w:numPr>
          <w:ilvl w:val="1"/>
          <w:numId w:val="1098"/>
        </w:numPr>
        <w:pStyle w:val="Compact"/>
      </w:pPr>
      <w:r>
        <w:t xml:space="preserve">Mobile reports with geo-tag and photos.</w:t>
      </w:r>
    </w:p>
    <w:p>
      <w:pPr>
        <w:numPr>
          <w:ilvl w:val="1"/>
          <w:numId w:val="1098"/>
        </w:numPr>
        <w:pStyle w:val="Compact"/>
      </w:pPr>
      <w:r>
        <w:t xml:space="preserve">TAT and SLA; vendor billing and quality scoring.</w:t>
      </w:r>
    </w:p>
    <w:p>
      <w:pPr>
        <w:numPr>
          <w:ilvl w:val="0"/>
          <w:numId w:val="1092"/>
        </w:numPr>
        <w:pStyle w:val="Compact"/>
      </w:pPr>
      <w:r>
        <w:rPr>
          <w:bCs/>
          <w:b/>
        </w:rPr>
        <w:t xml:space="preserve">Deviations and delegation of authority:</w:t>
      </w:r>
    </w:p>
    <w:p>
      <w:pPr>
        <w:numPr>
          <w:ilvl w:val="1"/>
          <w:numId w:val="1099"/>
        </w:numPr>
        <w:pStyle w:val="Compact"/>
      </w:pPr>
      <w:r>
        <w:t xml:space="preserve">Deviation matrix by amount × product × deviation type × LTV/FOIR × risk grade.</w:t>
      </w:r>
    </w:p>
    <w:p>
      <w:pPr>
        <w:numPr>
          <w:ilvl w:val="1"/>
          <w:numId w:val="1099"/>
        </w:numPr>
        <w:pStyle w:val="Compact"/>
      </w:pPr>
      <w:r>
        <w:t xml:space="preserve">Routes the file to the right sanctioning authority (a hierarchical committee where needed).</w:t>
      </w:r>
    </w:p>
    <w:p>
      <w:pPr>
        <w:numPr>
          <w:ilvl w:val="1"/>
          <w:numId w:val="1099"/>
        </w:numPr>
        <w:pStyle w:val="Compact"/>
      </w:pPr>
      <w:r>
        <w:t xml:space="preserve">Every approval records the authority, the limit it used and the reasons.</w:t>
      </w:r>
    </w:p>
    <w:p>
      <w:pPr>
        <w:numPr>
          <w:ilvl w:val="1"/>
          <w:numId w:val="1099"/>
        </w:numPr>
        <w:pStyle w:val="Compact"/>
      </w:pPr>
      <w:r>
        <w:t xml:space="preserve">The pre-sanction regulatory gates in Part 8A.16 (M4):</w:t>
      </w:r>
    </w:p>
    <w:p>
      <w:pPr>
        <w:numPr>
          <w:ilvl w:val="2"/>
          <w:numId w:val="1100"/>
        </w:numPr>
        <w:pStyle w:val="Compact"/>
      </w:pPr>
      <w:r>
        <w:t xml:space="preserve">related-party routing and recusal (CRM paras 13G–13J);</w:t>
      </w:r>
    </w:p>
    <w:p>
      <w:pPr>
        <w:numPr>
          <w:ilvl w:val="2"/>
          <w:numId w:val="1100"/>
        </w:numPr>
        <w:pStyle w:val="Compact"/>
      </w:pPr>
      <w:r>
        <w:t xml:space="preserve">exposure limits (CON);</w:t>
      </w:r>
    </w:p>
    <w:p>
      <w:pPr>
        <w:numPr>
          <w:ilvl w:val="2"/>
          <w:numId w:val="1100"/>
        </w:numPr>
        <w:pStyle w:val="Compact"/>
      </w:pPr>
      <w:r>
        <w:t xml:space="preserve">own-share, own-debenture and IPO blocks;</w:t>
      </w:r>
    </w:p>
    <w:p>
      <w:pPr>
        <w:numPr>
          <w:ilvl w:val="2"/>
          <w:numId w:val="1100"/>
        </w:numPr>
        <w:pStyle w:val="Compact"/>
      </w:pPr>
      <w:r>
        <w:t xml:space="preserve">LEI;</w:t>
      </w:r>
    </w:p>
    <w:p>
      <w:pPr>
        <w:numPr>
          <w:ilvl w:val="2"/>
          <w:numId w:val="1100"/>
        </w:numPr>
        <w:pStyle w:val="Compact"/>
      </w:pPr>
      <w:r>
        <w:t xml:space="preserve">fraud debarment;</w:t>
      </w:r>
    </w:p>
    <w:p>
      <w:pPr>
        <w:numPr>
          <w:ilvl w:val="2"/>
          <w:numId w:val="1100"/>
        </w:numPr>
        <w:pStyle w:val="Compact"/>
      </w:pPr>
      <w:r>
        <w:t xml:space="preserve">the microfinance classifier (CF para 51);</w:t>
      </w:r>
    </w:p>
    <w:p>
      <w:pPr>
        <w:numPr>
          <w:ilvl w:val="2"/>
          <w:numId w:val="1100"/>
        </w:numPr>
        <w:pStyle w:val="Compact"/>
      </w:pPr>
      <w:r>
        <w:t xml:space="preserve">capture of age, occupation and income on digital loans, with no automatic limit increase (CF para 8);</w:t>
      </w:r>
    </w:p>
    <w:p>
      <w:pPr>
        <w:numPr>
          <w:ilvl w:val="2"/>
          <w:numId w:val="1100"/>
        </w:numPr>
        <w:pStyle w:val="Compact"/>
      </w:pPr>
      <w:r>
        <w:t xml:space="preserve">a new-to-credit path, so no applicant is rejected only for lack of credit history (CIR para 38(5)).</w:t>
      </w:r>
    </w:p>
    <w:p>
      <w:pPr>
        <w:numPr>
          <w:ilvl w:val="0"/>
          <w:numId w:val="1092"/>
        </w:numPr>
        <w:pStyle w:val="Compact"/>
      </w:pPr>
      <w:r>
        <w:rPr>
          <w:bCs/>
          <w:b/>
        </w:rPr>
        <w:t xml:space="preserve">Credit Appraisal Memo (CAM):</w:t>
      </w:r>
    </w:p>
    <w:p>
      <w:pPr>
        <w:numPr>
          <w:ilvl w:val="1"/>
          <w:numId w:val="1101"/>
        </w:numPr>
        <w:pStyle w:val="Compact"/>
      </w:pPr>
      <w:r>
        <w:t xml:space="preserve">Template-driven CAM covering applicant profile, income and cash-flow analysis, banking summary, bureau summary, eligibility (FOIR/LTV/DSCR), collateral, risk assessment, deviations, terms and conditions, and recommendation.</w:t>
      </w:r>
    </w:p>
    <w:p>
      <w:pPr>
        <w:numPr>
          <w:ilvl w:val="1"/>
          <w:numId w:val="1101"/>
        </w:numPr>
        <w:pStyle w:val="Compact"/>
      </w:pPr>
      <w:r>
        <w:rPr>
          <w:bCs/>
          <w:b/>
        </w:rPr>
        <w:t xml:space="preserve">AI-assisted narrative drafting</w:t>
      </w:r>
      <w:r>
        <w:t xml:space="preserve"> </w:t>
      </w:r>
      <w:r>
        <w:t xml:space="preserve">with source citations to the underlying documents and data. It is editable and always reviewed by a human. The final CAM is versioned and locked at sanction.</w:t>
      </w:r>
    </w:p>
    <w:p>
      <w:pPr>
        <w:numPr>
          <w:ilvl w:val="0"/>
          <w:numId w:val="1092"/>
        </w:numPr>
        <w:pStyle w:val="Compact"/>
      </w:pPr>
      <w:r>
        <w:rPr>
          <w:bCs/>
          <w:b/>
        </w:rPr>
        <w:t xml:space="preserve">Sanction and offer:</w:t>
      </w:r>
    </w:p>
    <w:p>
      <w:pPr>
        <w:numPr>
          <w:ilvl w:val="1"/>
          <w:numId w:val="1102"/>
        </w:numPr>
        <w:pStyle w:val="Compact"/>
      </w:pPr>
      <w:r>
        <w:t xml:space="preserve">Sanction letter.</w:t>
      </w:r>
    </w:p>
    <w:p>
      <w:pPr>
        <w:numPr>
          <w:ilvl w:val="1"/>
          <w:numId w:val="1102"/>
        </w:numPr>
        <w:pStyle w:val="Compact"/>
      </w:pPr>
      <w:r>
        <w:rPr>
          <w:bCs/>
          <w:b/>
        </w:rPr>
        <w:t xml:space="preserve">KFS with APR</w:t>
      </w:r>
      <w:r>
        <w:t xml:space="preserve"> </w:t>
      </w:r>
      <w:r>
        <w:t xml:space="preserve">generated by the KFS engine. Show all charges and the repayment schedule. Use the standard RBI format and the borrower’s language.</w:t>
      </w:r>
    </w:p>
    <w:p>
      <w:pPr>
        <w:numPr>
          <w:ilvl w:val="1"/>
          <w:numId w:val="1102"/>
        </w:numPr>
        <w:pStyle w:val="Compact"/>
      </w:pPr>
      <w:r>
        <w:rPr>
          <w:bCs/>
          <w:b/>
        </w:rPr>
        <w:t xml:space="preserve">KFS validity period (RBC para 29(2)):</w:t>
      </w:r>
      <w:r>
        <w:t xml:space="preserve"> </w:t>
      </w:r>
      <w:r>
        <w:t xml:space="preserve">the lender is bound by the KFS terms for at least 3 working days (tenor ≥ 7 days) or 1 working day (tenor &lt; 7 days), and the borrower may accept at any time within it. This is</w:t>
      </w:r>
      <w:r>
        <w:t xml:space="preserve"> </w:t>
      </w:r>
      <w:r>
        <w:rPr>
          <w:bCs/>
          <w:b/>
        </w:rPr>
        <w:t xml:space="preserve">not</w:t>
      </w:r>
      <w:r>
        <w:t xml:space="preserve"> </w:t>
      </w:r>
      <w:r>
        <w:t xml:space="preserve">a waiting period, so do not block same-day execution. Store the unique proposal number (para 29(2)), the KFS issue time, validity expiry, acceptance time and the borrower’s acknowledgement that the contents were explained (para 29(1)). Scope: all retail and MSME term loans; credit-card receivables exempt (para 29).</w:t>
      </w:r>
    </w:p>
    <w:p>
      <w:pPr>
        <w:numPr>
          <w:ilvl w:val="1"/>
          <w:numId w:val="1102"/>
        </w:numPr>
        <w:pStyle w:val="Compact"/>
      </w:pPr>
      <w:r>
        <w:t xml:space="preserve">MITC; co-lending blended rate disclosure; recovery-agent and grievance-officer details.</w:t>
      </w:r>
    </w:p>
    <w:p>
      <w:pPr>
        <w:numPr>
          <w:ilvl w:val="1"/>
          <w:numId w:val="1102"/>
        </w:numPr>
        <w:pStyle w:val="Compact"/>
      </w:pPr>
      <w:r>
        <w:t xml:space="preserve">Charges not disclosed in the KFS cannot be levied without explicit consent; enforce this in the charges engine.</w:t>
      </w:r>
    </w:p>
    <w:p>
      <w:pPr>
        <w:numPr>
          <w:ilvl w:val="0"/>
          <w:numId w:val="1092"/>
        </w:numPr>
        <w:pStyle w:val="Compact"/>
      </w:pPr>
      <w:r>
        <w:rPr>
          <w:bCs/>
          <w:b/>
        </w:rPr>
        <w:t xml:space="preserve">Documentation and execution:</w:t>
      </w:r>
    </w:p>
    <w:p>
      <w:pPr>
        <w:numPr>
          <w:ilvl w:val="1"/>
          <w:numId w:val="1103"/>
        </w:numPr>
        <w:pStyle w:val="Compact"/>
      </w:pPr>
      <w:r>
        <w:t xml:space="preserve">Document checklist by product.</w:t>
      </w:r>
    </w:p>
    <w:p>
      <w:pPr>
        <w:numPr>
          <w:ilvl w:val="1"/>
          <w:numId w:val="1103"/>
        </w:numPr>
        <w:pStyle w:val="Compact"/>
      </w:pPr>
      <w:r>
        <w:t xml:space="preserve">Loan agreement, sanction acceptance, guarantee deed, hypothecation deed, end-use undertaking (eSign-capable); DP note, power of attorney and MoD/mortgage deed (physical execution path).</w:t>
      </w:r>
    </w:p>
    <w:p>
      <w:pPr>
        <w:numPr>
          <w:ilvl w:val="1"/>
          <w:numId w:val="1103"/>
        </w:numPr>
        <w:pStyle w:val="Compact"/>
      </w:pPr>
      <w:r>
        <w:t xml:space="preserve">eSign: Aadhaar OTP eSign or DSC.</w:t>
      </w:r>
    </w:p>
    <w:p>
      <w:pPr>
        <w:numPr>
          <w:ilvl w:val="1"/>
          <w:numId w:val="1103"/>
        </w:numPr>
        <w:pStyle w:val="Compact"/>
      </w:pPr>
      <w:r>
        <w:t xml:space="preserve">eStamp and NeSL Digital Document Execution (DDE).</w:t>
      </w:r>
    </w:p>
    <w:p>
      <w:pPr>
        <w:numPr>
          <w:ilvl w:val="1"/>
          <w:numId w:val="1103"/>
        </w:numPr>
        <w:pStyle w:val="Compact"/>
      </w:pPr>
      <w:r>
        <w:t xml:space="preserve">Physical signing path for documents the IT Act First Schedule excludes from electronic execution: negotiable instruments other than cheques (so</w:t>
      </w:r>
      <w:r>
        <w:t xml:space="preserve"> </w:t>
      </w:r>
      <w:r>
        <w:rPr>
          <w:bCs/>
          <w:b/>
        </w:rPr>
        <w:t xml:space="preserve">DP notes/promissory notes</w:t>
      </w:r>
      <w:r>
        <w:t xml:space="preserve">), powers of attorney, trusts, wills, and contracts for the sale or conveyance of immovable property. Mortgage documentation follows state registration law.</w:t>
      </w:r>
    </w:p>
    <w:p>
      <w:pPr>
        <w:numPr>
          <w:ilvl w:val="1"/>
          <w:numId w:val="1103"/>
        </w:numPr>
        <w:pStyle w:val="Compact"/>
      </w:pPr>
      <w:r>
        <w:t xml:space="preserve">Store signing evidence: provider transaction ID, certificate, signed hash, timestamp, signer identity and IP.</w:t>
      </w:r>
    </w:p>
    <w:p>
      <w:pPr>
        <w:numPr>
          <w:ilvl w:val="1"/>
          <w:numId w:val="1103"/>
        </w:numPr>
        <w:pStyle w:val="Compact"/>
      </w:pPr>
      <w:r>
        <w:t xml:space="preserve">Automatic delivery of digitally signed documents to the borrower’s verified email or phone. For digital loans this covers the KFS, product summary, sanction letter, T&amp;C, account statements and privacy policies, on NBFC letterhead (CF para 9(3)).</w:t>
      </w:r>
    </w:p>
    <w:p>
      <w:pPr>
        <w:numPr>
          <w:ilvl w:val="1"/>
          <w:numId w:val="1103"/>
        </w:numPr>
        <w:pStyle w:val="Compact"/>
      </w:pPr>
      <w:r>
        <w:t xml:space="preserve">Every loan agreement template includes the lender’s right to commission an audit (FRM para 27).</w:t>
      </w:r>
    </w:p>
    <w:p>
      <w:pPr>
        <w:numPr>
          <w:ilvl w:val="1"/>
          <w:numId w:val="1103"/>
        </w:numPr>
        <w:pStyle w:val="Compact"/>
      </w:pPr>
      <w:r>
        <w:rPr>
          <w:bCs/>
          <w:b/>
        </w:rPr>
        <w:t xml:space="preserve">OTC/PDD tracking:</w:t>
      </w:r>
      <w:r>
        <w:t xml:space="preserve"> </w:t>
      </w:r>
      <w:r>
        <w:t xml:space="preserve">deferral approval, ageing and escalation.</w:t>
      </w:r>
    </w:p>
    <w:p>
      <w:pPr>
        <w:numPr>
          <w:ilvl w:val="0"/>
          <w:numId w:val="1092"/>
        </w:numPr>
        <w:pStyle w:val="Compact"/>
      </w:pPr>
      <w:r>
        <w:rPr>
          <w:bCs/>
          <w:b/>
        </w:rPr>
        <w:t xml:space="preserve">Disbursement:</w:t>
      </w:r>
    </w:p>
    <w:p>
      <w:pPr>
        <w:numPr>
          <w:ilvl w:val="1"/>
          <w:numId w:val="1104"/>
        </w:numPr>
        <w:pStyle w:val="Compact"/>
      </w:pPr>
      <w:r>
        <w:t xml:space="preserve">Disbursement memo with pre-disbursement conditions checklist.</w:t>
      </w:r>
    </w:p>
    <w:p>
      <w:pPr>
        <w:numPr>
          <w:ilvl w:val="1"/>
          <w:numId w:val="1104"/>
        </w:numPr>
        <w:pStyle w:val="Compact"/>
      </w:pPr>
      <w:r>
        <w:t xml:space="preserve">Penny-drop name match on the beneficiary account.</w:t>
      </w:r>
    </w:p>
    <w:p>
      <w:pPr>
        <w:numPr>
          <w:ilvl w:val="1"/>
          <w:numId w:val="1104"/>
        </w:numPr>
        <w:pStyle w:val="Compact"/>
      </w:pPr>
      <w:r>
        <w:t xml:space="preserve">Multi-tranche disbursement with stage/inspection reports.</w:t>
      </w:r>
    </w:p>
    <w:p>
      <w:pPr>
        <w:numPr>
          <w:ilvl w:val="1"/>
          <w:numId w:val="1104"/>
        </w:numPr>
        <w:pStyle w:val="Compact"/>
      </w:pPr>
      <w:r>
        <w:t xml:space="preserve">Deductions at disbursement (fees, GST, insurance, BT payoff) shown transparently.</w:t>
      </w:r>
    </w:p>
    <w:p>
      <w:pPr>
        <w:numPr>
          <w:ilvl w:val="1"/>
          <w:numId w:val="1104"/>
        </w:numPr>
        <w:pStyle w:val="Compact"/>
      </w:pPr>
      <w:r>
        <w:t xml:space="preserve">Payout through the bank API or payout provider, with UTR capture.</w:t>
      </w:r>
    </w:p>
    <w:p>
      <w:pPr>
        <w:numPr>
          <w:ilvl w:val="1"/>
          <w:numId w:val="1104"/>
        </w:numPr>
        <w:pStyle w:val="Compact"/>
      </w:pPr>
      <w:r>
        <w:rPr>
          <w:bCs/>
          <w:b/>
        </w:rPr>
        <w:t xml:space="preserve">Interest starts from the actual date of disbursement or cheque handover, never from sanction or agreement date</w:t>
      </w:r>
      <w:r>
        <w:t xml:space="preserve"> </w:t>
      </w:r>
      <w:r>
        <w:t xml:space="preserve">(RBI (NBFC – Miscellaneous) Supervisory Directions, 2026, para 7(1), (4), (5): no interest from sanction/agreement date, or from the cheque date where the cheque is handed over later; no full-month interest where disbursal or repayment is mid-month; no advance instalments with interest charged on the full amount. Applies to HFCs and MFIs too (para 3)).</w:t>
      </w:r>
    </w:p>
    <w:p>
      <w:pPr>
        <w:numPr>
          <w:ilvl w:val="1"/>
          <w:numId w:val="1104"/>
        </w:numPr>
        <w:pStyle w:val="Compact"/>
      </w:pPr>
      <w:r>
        <w:t xml:space="preserve">EMI computed only on the amount actually disbursed, never on the sanctioned amount (MSD para 7(2)); on each part-disbursement, regenerate the amortisation schedule and send the revised schedule against the KFS to the borrower (para 7(3)); prefer online transfer to cheques (para 9).</w:t>
      </w:r>
    </w:p>
    <w:p>
      <w:pPr>
        <w:numPr>
          <w:ilvl w:val="1"/>
          <w:numId w:val="1104"/>
        </w:numPr>
        <w:pStyle w:val="Compact"/>
      </w:pPr>
      <w:r>
        <w:t xml:space="preserve">Cooling-off period handling for digital loans.</w:t>
      </w:r>
    </w:p>
    <w:p>
      <w:pPr>
        <w:numPr>
          <w:ilvl w:val="0"/>
          <w:numId w:val="1092"/>
        </w:numPr>
        <w:pStyle w:val="Compact"/>
      </w:pPr>
      <w:r>
        <w:rPr>
          <w:bCs/>
          <w:b/>
        </w:rPr>
        <w:t xml:space="preserve">Hand-off to LMS:</w:t>
      </w:r>
      <w:r>
        <w:t xml:space="preserve"> </w:t>
      </w:r>
      <w:r>
        <w:t xml:space="preserve">atomic loan-account creation with the schedule, opening GL entries, mandate link and welcome kit. For LOS-only tenants, use an export API to an external LMS.</w:t>
      </w:r>
    </w:p>
    <w:bookmarkEnd w:id="77"/>
    <w:bookmarkStart w:id="78" w:name="m5.-collateral-management"/>
    <w:p>
      <w:pPr>
        <w:pStyle w:val="Heading2"/>
      </w:pPr>
      <w:r>
        <w:t xml:space="preserve">M5. Collateral management</w:t>
      </w:r>
    </w:p>
    <w:p>
      <w:pPr>
        <w:numPr>
          <w:ilvl w:val="0"/>
          <w:numId w:val="1105"/>
        </w:numPr>
        <w:pStyle w:val="Compact"/>
      </w:pPr>
      <w:r>
        <w:rPr>
          <w:bCs/>
          <w:b/>
        </w:rPr>
        <w:t xml:space="preserve">Collateral types:</w:t>
      </w:r>
      <w:r>
        <w:t xml:space="preserve"> </w:t>
      </w:r>
      <w:r>
        <w:t xml:space="preserve">residential, commercial and industrial property; vehicles; gold and silver; listed shares and bonds; MF units; FDs and deposits; book debts and receivables; plant and machinery; guarantees (personal, corporate, CGTMSE/CGFMU-type).</w:t>
      </w:r>
    </w:p>
    <w:p>
      <w:pPr>
        <w:numPr>
          <w:ilvl w:val="0"/>
          <w:numId w:val="1105"/>
        </w:numPr>
        <w:pStyle w:val="Compact"/>
      </w:pPr>
      <w:r>
        <w:rPr>
          <w:bCs/>
          <w:b/>
        </w:rPr>
        <w:t xml:space="preserve">Collateral lifecycle:</w:t>
      </w:r>
    </w:p>
    <w:p>
      <w:pPr>
        <w:numPr>
          <w:ilvl w:val="1"/>
          <w:numId w:val="1106"/>
        </w:numPr>
        <w:pStyle w:val="Compact"/>
      </w:pPr>
      <w:r>
        <w:t xml:space="preserve">acquisition;</w:t>
      </w:r>
    </w:p>
    <w:p>
      <w:pPr>
        <w:numPr>
          <w:ilvl w:val="1"/>
          <w:numId w:val="1106"/>
        </w:numPr>
        <w:pStyle w:val="Compact"/>
      </w:pPr>
      <w:r>
        <w:t xml:space="preserve">ownership verification;</w:t>
      </w:r>
    </w:p>
    <w:p>
      <w:pPr>
        <w:numPr>
          <w:ilvl w:val="1"/>
          <w:numId w:val="1106"/>
        </w:numPr>
        <w:pStyle w:val="Compact"/>
      </w:pPr>
      <w:r>
        <w:t xml:space="preserve">valuation and periodic revaluation;</w:t>
      </w:r>
    </w:p>
    <w:p>
      <w:pPr>
        <w:numPr>
          <w:ilvl w:val="1"/>
          <w:numId w:val="1106"/>
        </w:numPr>
        <w:pStyle w:val="Compact"/>
      </w:pPr>
      <w:r>
        <w:t xml:space="preserve">charge creation (mortgage, hypothecation, pledge, lien);</w:t>
      </w:r>
    </w:p>
    <w:p>
      <w:pPr>
        <w:numPr>
          <w:ilvl w:val="1"/>
          <w:numId w:val="1106"/>
        </w:numPr>
        <w:pStyle w:val="Compact"/>
      </w:pPr>
      <w:r>
        <w:rPr>
          <w:bCs/>
          <w:b/>
        </w:rPr>
        <w:t xml:space="preserve">CERSAI filing</w:t>
      </w:r>
      <w:r>
        <w:t xml:space="preserve"> </w:t>
      </w:r>
      <w:r>
        <w:t xml:space="preserve">of creation, modification and satisfaction for every charge type in CRM para 27 (non-MODT mortgage; hypothecation of plant and machinery, stocks, book debts and receivables; intangibles; under-construction property agreements), on an ongoing basis (CRM para 28), within 30 days of creation under SARFAESI s.23 and the CERSAI Rules [VERIFY];</w:t>
      </w:r>
    </w:p>
    <w:p>
      <w:pPr>
        <w:numPr>
          <w:ilvl w:val="1"/>
          <w:numId w:val="1106"/>
        </w:numPr>
        <w:pStyle w:val="Compact"/>
      </w:pPr>
      <w:r>
        <w:t xml:space="preserve">legal audit of title documents for facilities ≥ ₹1 crore until repaid (FRM para 53);</w:t>
      </w:r>
    </w:p>
    <w:p>
      <w:pPr>
        <w:numPr>
          <w:ilvl w:val="1"/>
          <w:numId w:val="1106"/>
        </w:numPr>
        <w:pStyle w:val="Compact"/>
      </w:pPr>
      <w:r>
        <w:t xml:space="preserve">insurance with lender endorsement and renewal tracking;</w:t>
      </w:r>
    </w:p>
    <w:p>
      <w:pPr>
        <w:numPr>
          <w:ilvl w:val="1"/>
          <w:numId w:val="1106"/>
        </w:numPr>
        <w:pStyle w:val="Compact"/>
      </w:pPr>
      <w:r>
        <w:t xml:space="preserve">custody (vault/storage register for original title documents and gold packets, with dual control);</w:t>
      </w:r>
    </w:p>
    <w:p>
      <w:pPr>
        <w:numPr>
          <w:ilvl w:val="1"/>
          <w:numId w:val="1106"/>
        </w:numPr>
        <w:pStyle w:val="Compact"/>
      </w:pPr>
      <w:r>
        <w:t xml:space="preserve">substitution, partial release, invocation and sale;</w:t>
      </w:r>
    </w:p>
    <w:p>
      <w:pPr>
        <w:numPr>
          <w:ilvl w:val="1"/>
          <w:numId w:val="1106"/>
        </w:numPr>
        <w:pStyle w:val="Compact"/>
      </w:pPr>
      <w:r>
        <w:t xml:space="preserve">final release.</w:t>
      </w:r>
    </w:p>
    <w:p>
      <w:pPr>
        <w:numPr>
          <w:ilvl w:val="0"/>
          <w:numId w:val="1105"/>
        </w:numPr>
        <w:pStyle w:val="Compact"/>
      </w:pPr>
      <w:r>
        <w:rPr>
          <w:bCs/>
          <w:b/>
        </w:rPr>
        <w:t xml:space="preserve">LTV monitoring:</w:t>
      </w:r>
      <w:r>
        <w:t xml:space="preserve"> </w:t>
      </w:r>
      <w:r>
        <w:t xml:space="preserve">real-time for securities, gold-price-linked for gold, periodic for property. Margin-call workflow with cure period (for example the 7-working-day cure for loans against listed shares by NBFCs with assets of ₹100 crore or more, CF para 106(1)); invocation only after a served pre-invocation notice and the notice period (Part 6.4.7), never automatically.</w:t>
      </w:r>
    </w:p>
    <w:p>
      <w:pPr>
        <w:numPr>
          <w:ilvl w:val="0"/>
          <w:numId w:val="1105"/>
        </w:numPr>
        <w:pStyle w:val="Compact"/>
      </w:pPr>
      <w:r>
        <w:rPr>
          <w:bCs/>
          <w:b/>
        </w:rPr>
        <w:t xml:space="preserve">Release of documents:</w:t>
      </w:r>
    </w:p>
    <w:p>
      <w:pPr>
        <w:numPr>
          <w:ilvl w:val="1"/>
          <w:numId w:val="1107"/>
        </w:numPr>
        <w:pStyle w:val="Compact"/>
      </w:pPr>
      <w:r>
        <w:t xml:space="preserve">Return original documents and clear charges (CERSAI satisfaction, depository unpledge, RTO Form 35 trigger) within</w:t>
      </w:r>
      <w:r>
        <w:t xml:space="preserve"> </w:t>
      </w:r>
      <w:r>
        <w:rPr>
          <w:bCs/>
          <w:b/>
        </w:rPr>
        <w:t xml:space="preserve">30 days</w:t>
      </w:r>
      <w:r>
        <w:t xml:space="preserve"> </w:t>
      </w:r>
      <w:r>
        <w:t xml:space="preserve">of full repayment or settlement.</w:t>
      </w:r>
    </w:p>
    <w:p>
      <w:pPr>
        <w:numPr>
          <w:ilvl w:val="1"/>
          <w:numId w:val="1107"/>
        </w:numPr>
        <w:pStyle w:val="Compact"/>
      </w:pPr>
      <w:r>
        <w:t xml:space="preserve">Compensation calculator of</w:t>
      </w:r>
      <w:r>
        <w:t xml:space="preserve"> </w:t>
      </w:r>
      <w:r>
        <w:rPr>
          <w:bCs/>
          <w:b/>
        </w:rPr>
        <w:t xml:space="preserve">₹5,000 per day</w:t>
      </w:r>
      <w:r>
        <w:t xml:space="preserve"> </w:t>
      </w:r>
      <w:r>
        <w:t xml:space="preserve">of delay attributable to the lender.</w:t>
      </w:r>
    </w:p>
    <w:p>
      <w:pPr>
        <w:numPr>
          <w:ilvl w:val="1"/>
          <w:numId w:val="1107"/>
        </w:numPr>
        <w:pStyle w:val="Compact"/>
      </w:pPr>
      <w:r>
        <w:t xml:space="preserve">Lost-document procedure.</w:t>
      </w:r>
    </w:p>
    <w:p>
      <w:pPr>
        <w:numPr>
          <w:ilvl w:val="1"/>
          <w:numId w:val="1107"/>
        </w:numPr>
        <w:pStyle w:val="Compact"/>
      </w:pPr>
      <w:r>
        <w:t xml:space="preserve">Property documents: RBC paras 35–41, which apply to personal loans (para 6(11)); ₹5,000/day only where the delay is attributable to the lender, with reasons communicated otherwise (para 39); for lost or damaged documents the lender bears the cost of duplicates and the penalty runs after 60 days (para 40); borrower’s choice of collection office (para 36); legal-heir procedure on the website (para 38). Apply the same SLA to other products by policy.</w:t>
      </w:r>
    </w:p>
    <w:p>
      <w:pPr>
        <w:numPr>
          <w:ilvl w:val="1"/>
          <w:numId w:val="1107"/>
        </w:numPr>
        <w:pStyle w:val="Compact"/>
      </w:pPr>
      <w:r>
        <w:t xml:space="preserve">Gold/silver: same day, and in any case within 7 working days (RBC para 58); ₹5,000/day beyond that where attributable to the lender (para 69).</w:t>
      </w:r>
    </w:p>
    <w:bookmarkEnd w:id="78"/>
    <w:bookmarkStart w:id="79" w:name="m6.-loan-management-servicing-lms"/>
    <w:p>
      <w:pPr>
        <w:pStyle w:val="Heading2"/>
      </w:pPr>
      <w:r>
        <w:t xml:space="preserve">M6. Loan Management / Servicing (LMS)</w:t>
      </w:r>
    </w:p>
    <w:p>
      <w:pPr>
        <w:numPr>
          <w:ilvl w:val="0"/>
          <w:numId w:val="1108"/>
        </w:numPr>
        <w:pStyle w:val="Compact"/>
      </w:pPr>
      <w:r>
        <w:rPr>
          <w:bCs/>
          <w:b/>
        </w:rPr>
        <w:t xml:space="preserve">Loan account (360° view):</w:t>
      </w:r>
      <w:r>
        <w:t xml:space="preserve"> </w:t>
      </w:r>
      <w:r>
        <w:t xml:space="preserve">schedule, ledger, balances by component, DPD history, classification history, mandates, collateral, documents, communications, complaints, collections activity, legal cases.</w:t>
      </w:r>
    </w:p>
    <w:p>
      <w:pPr>
        <w:numPr>
          <w:ilvl w:val="0"/>
          <w:numId w:val="1108"/>
        </w:numPr>
        <w:pStyle w:val="Compact"/>
      </w:pPr>
      <w:r>
        <w:rPr>
          <w:bCs/>
          <w:b/>
        </w:rPr>
        <w:t xml:space="preserve">Schedules:</w:t>
      </w:r>
      <w:r>
        <w:t xml:space="preserve"> </w:t>
      </w:r>
      <w:r>
        <w:t xml:space="preserve">all Part 4.2A options. Regenerate the schedule with a full audit trail and keep previous versions.</w:t>
      </w:r>
    </w:p>
    <w:p>
      <w:pPr>
        <w:numPr>
          <w:ilvl w:val="0"/>
          <w:numId w:val="1108"/>
        </w:numPr>
        <w:pStyle w:val="Compact"/>
      </w:pPr>
      <w:r>
        <w:rPr>
          <w:bCs/>
          <w:b/>
        </w:rPr>
        <w:t xml:space="preserve">Accruals:</w:t>
      </w:r>
      <w:r>
        <w:t xml:space="preserve"> </w:t>
      </w:r>
      <w:r>
        <w:t xml:space="preserve">daily interest accrual; penal charges as</w:t>
      </w:r>
      <w:r>
        <w:t xml:space="preserve"> </w:t>
      </w:r>
      <w:r>
        <w:rPr>
          <w:bCs/>
          <w:b/>
        </w:rPr>
        <w:t xml:space="preserve">charges, never penal interest, never capitalised</w:t>
      </w:r>
      <w:r>
        <w:t xml:space="preserve"> </w:t>
      </w:r>
      <w:r>
        <w:t xml:space="preserve">(RBC para 30(1)): levied only on the amount under default and never on earlier penal charges (para 30(1) Notes (ii)–(iii)); interest on unpaid interest/EMI only at the contracted rate; individual non-business penal charges never above non-individual (para 30(5)); the applicable penal charge shown in every reminder and each levy communicated with its reason (para 30(7)).</w:t>
      </w:r>
    </w:p>
    <w:p>
      <w:pPr>
        <w:numPr>
          <w:ilvl w:val="0"/>
          <w:numId w:val="1108"/>
        </w:numPr>
        <w:pStyle w:val="Compact"/>
      </w:pPr>
      <w:r>
        <w:rPr>
          <w:bCs/>
          <w:b/>
        </w:rPr>
        <w:t xml:space="preserve">Floating-rate resets:</w:t>
      </w:r>
    </w:p>
    <w:p>
      <w:pPr>
        <w:numPr>
          <w:ilvl w:val="1"/>
          <w:numId w:val="1109"/>
        </w:numPr>
        <w:pStyle w:val="Compact"/>
      </w:pPr>
      <w:r>
        <w:t xml:space="preserve">benchmark change propagation;</w:t>
      </w:r>
    </w:p>
    <w:p>
      <w:pPr>
        <w:numPr>
          <w:ilvl w:val="1"/>
          <w:numId w:val="1109"/>
        </w:numPr>
        <w:pStyle w:val="Compact"/>
      </w:pPr>
      <w:r>
        <w:t xml:space="preserve">borrower option to raise the EMI, extend the tenor or both, and to prepay in part or full at any time (para 31(3)); switch to a fixed rate where the lender’s Board policy offers it, with a cap on the number of switches (para 31(2)); switch charges in the sanction letter and on the website (para 31(4));</w:t>
      </w:r>
    </w:p>
    <w:p>
      <w:pPr>
        <w:numPr>
          <w:ilvl w:val="1"/>
          <w:numId w:val="1109"/>
        </w:numPr>
        <w:pStyle w:val="Compact"/>
      </w:pPr>
      <w:r>
        <w:t xml:space="preserve">no negative amortisation;</w:t>
      </w:r>
    </w:p>
    <w:p>
      <w:pPr>
        <w:numPr>
          <w:ilvl w:val="1"/>
          <w:numId w:val="1109"/>
        </w:numPr>
        <w:pStyle w:val="Compact"/>
      </w:pPr>
      <w:r>
        <w:t xml:space="preserve">quarterly statement with principal and interest recovered to date, EMI, EMIs left and annualised rate/APR for the full tenor (para 31(6)); any EMI/tenor increase communicated immediately (para 31(1)).</w:t>
      </w:r>
    </w:p>
    <w:p>
      <w:pPr>
        <w:numPr>
          <w:ilvl w:val="1"/>
          <w:numId w:val="1109"/>
        </w:numPr>
        <w:pStyle w:val="Compact"/>
      </w:pPr>
      <w:r>
        <w:t xml:space="preserve">Basis: RBC paras 31–32: EMI-based floating-rate personal loans (XBRL definition, para 6(11)), extended to equated-instalment loans of any periodicity on external or internal benchmarks, but not to other loan types; benchmark-transmission monitoring for EBLR loans (para 32). Extend the same controls to other floating products by policy.</w:t>
      </w:r>
    </w:p>
    <w:p>
      <w:pPr>
        <w:numPr>
          <w:ilvl w:val="0"/>
          <w:numId w:val="1108"/>
        </w:numPr>
        <w:pStyle w:val="Compact"/>
      </w:pPr>
      <w:r>
        <w:rPr>
          <w:bCs/>
          <w:b/>
        </w:rPr>
        <w:t xml:space="preserve">Repayments:</w:t>
      </w:r>
    </w:p>
    <w:p>
      <w:pPr>
        <w:numPr>
          <w:ilvl w:val="1"/>
          <w:numId w:val="1110"/>
        </w:numPr>
        <w:pStyle w:val="Compact"/>
      </w:pPr>
      <w:r>
        <w:t xml:space="preserve">all channels (M7);</w:t>
      </w:r>
    </w:p>
    <w:p>
      <w:pPr>
        <w:numPr>
          <w:ilvl w:val="1"/>
          <w:numId w:val="1110"/>
        </w:numPr>
        <w:pStyle w:val="Compact"/>
      </w:pPr>
      <w:r>
        <w:t xml:space="preserve">allocation per the product’s strategy;</w:t>
      </w:r>
    </w:p>
    <w:p>
      <w:pPr>
        <w:numPr>
          <w:ilvl w:val="1"/>
          <w:numId w:val="1110"/>
        </w:numPr>
        <w:pStyle w:val="Compact"/>
      </w:pPr>
      <w:r>
        <w:t xml:space="preserve">excess and advance handling;</w:t>
      </w:r>
    </w:p>
    <w:p>
      <w:pPr>
        <w:numPr>
          <w:ilvl w:val="1"/>
          <w:numId w:val="1110"/>
        </w:numPr>
        <w:pStyle w:val="Compact"/>
      </w:pPr>
      <w:r>
        <w:t xml:space="preserve">unapplied/suspense receipts with resolution workflow.</w:t>
      </w:r>
    </w:p>
    <w:p>
      <w:pPr>
        <w:numPr>
          <w:ilvl w:val="0"/>
          <w:numId w:val="1108"/>
        </w:numPr>
        <w:pStyle w:val="Compact"/>
      </w:pPr>
      <w:r>
        <w:rPr>
          <w:bCs/>
          <w:b/>
        </w:rPr>
        <w:t xml:space="preserve">Part-prepayment and foreclosure:</w:t>
      </w:r>
    </w:p>
    <w:p>
      <w:pPr>
        <w:numPr>
          <w:ilvl w:val="1"/>
          <w:numId w:val="1111"/>
        </w:numPr>
        <w:pStyle w:val="Compact"/>
      </w:pPr>
      <w:r>
        <w:t xml:space="preserve">quote generation valid to a date;</w:t>
      </w:r>
    </w:p>
    <w:p>
      <w:pPr>
        <w:numPr>
          <w:ilvl w:val="1"/>
          <w:numId w:val="1111"/>
        </w:numPr>
        <w:pStyle w:val="Compact"/>
      </w:pPr>
      <w:r>
        <w:t xml:space="preserve">choice between reducing EMI and reducing tenure;</w:t>
      </w:r>
    </w:p>
    <w:p>
      <w:pPr>
        <w:numPr>
          <w:ilvl w:val="1"/>
          <w:numId w:val="1111"/>
        </w:numPr>
        <w:pStyle w:val="Compact"/>
      </w:pPr>
      <w:r>
        <w:rPr>
          <w:bCs/>
          <w:b/>
        </w:rPr>
        <w:t xml:space="preserve">prepayment-charge engine</w:t>
      </w:r>
      <w:r>
        <w:t xml:space="preserve">, per RBC paras 33–34 and 81 (the 2 Jul 2025 Pre-payment Charges Directions are a legacy reference):</w:t>
      </w:r>
    </w:p>
    <w:p>
      <w:pPr>
        <w:numPr>
          <w:ilvl w:val="2"/>
          <w:numId w:val="1112"/>
        </w:numPr>
        <w:pStyle w:val="Compact"/>
      </w:pPr>
      <w:r>
        <w:t xml:space="preserve">Scope: RBC para 34 for loans sanctioned or renewed on or after 1 Jan 2026; para 33 for earlier loans (term loans only; para 34 covers term and demand loans).</w:t>
      </w:r>
    </w:p>
    <w:p>
      <w:pPr>
        <w:numPr>
          <w:ilvl w:val="2"/>
          <w:numId w:val="1112"/>
        </w:numPr>
        <w:pStyle w:val="Compact"/>
      </w:pPr>
      <w:r>
        <w:t xml:space="preserve">All NBFCs: no charge on floating-rate loans to individuals for non-business purposes.</w:t>
      </w:r>
    </w:p>
    <w:p>
      <w:pPr>
        <w:numPr>
          <w:ilvl w:val="2"/>
          <w:numId w:val="1112"/>
        </w:numPr>
        <w:pStyle w:val="Compact"/>
      </w:pPr>
      <w:r>
        <w:t xml:space="preserve">Upper Layer: no charge on floating-rate business loans to individuals and MSEs.</w:t>
      </w:r>
    </w:p>
    <w:p>
      <w:pPr>
        <w:numPr>
          <w:ilvl w:val="2"/>
          <w:numId w:val="1112"/>
        </w:numPr>
        <w:pStyle w:val="Compact"/>
      </w:pPr>
      <w:r>
        <w:t xml:space="preserve">Middle Layer: the same where the sanctioned amount is up to ₹50 lakh.</w:t>
      </w:r>
    </w:p>
    <w:p>
      <w:pPr>
        <w:numPr>
          <w:ilvl w:val="2"/>
          <w:numId w:val="1112"/>
        </w:numPr>
        <w:pStyle w:val="Compact"/>
      </w:pPr>
      <w:r>
        <w:t xml:space="preserve">No lock-in period, whatever the source of funds (para 34(3)).</w:t>
      </w:r>
    </w:p>
    <w:p>
      <w:pPr>
        <w:numPr>
          <w:ilvl w:val="2"/>
          <w:numId w:val="1112"/>
        </w:numPr>
        <w:pStyle w:val="Compact"/>
      </w:pPr>
      <w:r>
        <w:t xml:space="preserve">Dual/special-rate loans: tested on the rate type on the prepayment date (para 34(4)).</w:t>
      </w:r>
    </w:p>
    <w:p>
      <w:pPr>
        <w:numPr>
          <w:ilvl w:val="2"/>
          <w:numId w:val="1112"/>
        </w:numPr>
        <w:pStyle w:val="Compact"/>
      </w:pPr>
      <w:r>
        <w:t xml:space="preserve">Other cases per Board policy: term loans charged on the amount prepaid; CC/OD closure before the due date on no more than the sanctioned limit (para 34(5)); CC/OD free if non-renewal was intimated in time and the facility closes on the due date (para 34(6)).</w:t>
      </w:r>
    </w:p>
    <w:p>
      <w:pPr>
        <w:numPr>
          <w:ilvl w:val="2"/>
          <w:numId w:val="1112"/>
        </w:numPr>
        <w:pStyle w:val="Compact"/>
      </w:pPr>
      <w:r>
        <w:t xml:space="preserve">No charge where the lender initiates the prepayment (para 34(7)); undisclosed charges cannot be levied (para 34(8)); no retrospective levy of charges waived earlier (para 34(9)).</w:t>
      </w:r>
    </w:p>
    <w:p>
      <w:pPr>
        <w:numPr>
          <w:ilvl w:val="2"/>
          <w:numId w:val="1112"/>
        </w:numPr>
        <w:pStyle w:val="Compact"/>
      </w:pPr>
      <w:r>
        <w:t xml:space="preserve">Microfinance: no prepayment charge (para 81).</w:t>
      </w:r>
    </w:p>
    <w:p>
      <w:pPr>
        <w:numPr>
          <w:ilvl w:val="2"/>
          <w:numId w:val="1112"/>
        </w:numPr>
        <w:pStyle w:val="Compact"/>
      </w:pPr>
      <w:r>
        <w:t xml:space="preserve">Inputs: sanction/renewal date, facility type (term/demand/CC/OD), rate type on the prepayment date, borrower type (individual/MSE/other), purpose, NBFC layer, sanctioned amount/limit, initiator (borrower/lender), microfinance flag, disclosure flags, waiver history.</w:t>
      </w:r>
    </w:p>
    <w:p>
      <w:pPr>
        <w:numPr>
          <w:ilvl w:val="2"/>
          <w:numId w:val="1112"/>
        </w:numPr>
        <w:pStyle w:val="Compact"/>
      </w:pPr>
      <w:r>
        <w:t xml:space="preserve">Disclose any permitted charge in the KFS, sanction letter and agreement.</w:t>
      </w:r>
    </w:p>
    <w:p>
      <w:pPr>
        <w:numPr>
          <w:ilvl w:val="0"/>
          <w:numId w:val="1108"/>
        </w:numPr>
        <w:pStyle w:val="Compact"/>
      </w:pPr>
      <w:r>
        <w:rPr>
          <w:bCs/>
          <w:b/>
        </w:rPr>
        <w:t xml:space="preserve">Restructuring and rescheduling:</w:t>
      </w:r>
    </w:p>
    <w:p>
      <w:pPr>
        <w:numPr>
          <w:ilvl w:val="1"/>
          <w:numId w:val="1113"/>
        </w:numPr>
        <w:pStyle w:val="Compact"/>
      </w:pPr>
      <w:r>
        <w:t xml:space="preserve">per the RBI (NBFC – Resolution of Stressed Assets) Directions, 2025;</w:t>
      </w:r>
    </w:p>
    <w:p>
      <w:pPr>
        <w:numPr>
          <w:ilvl w:val="1"/>
          <w:numId w:val="1113"/>
        </w:numPr>
        <w:pStyle w:val="Compact"/>
      </w:pPr>
      <w:r>
        <w:t xml:space="preserve">restructuring flag;</w:t>
      </w:r>
    </w:p>
    <w:p>
      <w:pPr>
        <w:numPr>
          <w:ilvl w:val="1"/>
          <w:numId w:val="1113"/>
        </w:numPr>
        <w:pStyle w:val="Compact"/>
      </w:pPr>
      <w:r>
        <w:t xml:space="preserve">asset-classification impact: standard → sub-standard on restructuring, NPA keeps its class (RSA 53–54, 189–190); no upgrade merely because of rescheduling (IRACP 22);</w:t>
      </w:r>
    </w:p>
    <w:p>
      <w:pPr>
        <w:numPr>
          <w:ilvl w:val="1"/>
          <w:numId w:val="1113"/>
        </w:numPr>
        <w:pStyle w:val="Compact"/>
      </w:pPr>
      <w:r>
        <w:t xml:space="preserve">monitoring and specified periods: Part A until 10% / 20% of post-plan principal debt is repaid (RSA 10(8), 10(16)); Part B one year from the first payment on the longest-moratorium facility (RSA 159(5)); Part A/B resolver from the entity profile (RSA 7–8);</w:t>
      </w:r>
    </w:p>
    <w:p>
      <w:pPr>
        <w:numPr>
          <w:ilvl w:val="1"/>
          <w:numId w:val="1113"/>
        </w:numPr>
        <w:pStyle w:val="Compact"/>
      </w:pPr>
      <w:r>
        <w:t xml:space="preserve">resolution-plan approval workflow.</w:t>
      </w:r>
    </w:p>
    <w:p>
      <w:pPr>
        <w:numPr>
          <w:ilvl w:val="0"/>
          <w:numId w:val="1108"/>
        </w:numPr>
        <w:pStyle w:val="Compact"/>
      </w:pPr>
      <w:r>
        <w:rPr>
          <w:bCs/>
          <w:b/>
        </w:rPr>
        <w:t xml:space="preserve">Moratorium and payment holiday</w:t>
      </w:r>
      <w:r>
        <w:t xml:space="preserve"> </w:t>
      </w:r>
      <w:r>
        <w:t xml:space="preserve">under policy.</w:t>
      </w:r>
    </w:p>
    <w:p>
      <w:pPr>
        <w:numPr>
          <w:ilvl w:val="0"/>
          <w:numId w:val="1108"/>
        </w:numPr>
        <w:pStyle w:val="Compact"/>
      </w:pPr>
      <w:r>
        <w:rPr>
          <w:bCs/>
          <w:b/>
        </w:rPr>
        <w:t xml:space="preserve">Other loan changes:</w:t>
      </w:r>
      <w:r>
        <w:t xml:space="preserve"> </w:t>
      </w:r>
      <w:r>
        <w:t xml:space="preserve">top-up; balance-transfer-in (payoff to the other lender); balance-transfer-out (foreclosure letter); tenure and EMI changes; due-date change; mandate change; co-borrower addition or removal (with re-KYC).</w:t>
      </w:r>
    </w:p>
    <w:p>
      <w:pPr>
        <w:numPr>
          <w:ilvl w:val="0"/>
          <w:numId w:val="1108"/>
        </w:numPr>
        <w:pStyle w:val="Compact"/>
      </w:pPr>
      <w:r>
        <w:rPr>
          <w:bCs/>
          <w:b/>
        </w:rPr>
        <w:t xml:space="preserve">Charges engine:</w:t>
      </w:r>
    </w:p>
    <w:p>
      <w:pPr>
        <w:numPr>
          <w:ilvl w:val="1"/>
          <w:numId w:val="1114"/>
        </w:numPr>
        <w:pStyle w:val="Compact"/>
      </w:pPr>
      <w:r>
        <w:t xml:space="preserve">all fees with GST;</w:t>
      </w:r>
    </w:p>
    <w:p>
      <w:pPr>
        <w:numPr>
          <w:ilvl w:val="1"/>
          <w:numId w:val="1114"/>
        </w:numPr>
        <w:pStyle w:val="Compact"/>
      </w:pPr>
      <w:r>
        <w:t xml:space="preserve">waivers within the delegated authority;</w:t>
      </w:r>
    </w:p>
    <w:p>
      <w:pPr>
        <w:numPr>
          <w:ilvl w:val="1"/>
          <w:numId w:val="1114"/>
        </w:numPr>
        <w:pStyle w:val="Compact"/>
      </w:pPr>
      <w:r>
        <w:t xml:space="preserve">reversal with mandatory reason.</w:t>
      </w:r>
    </w:p>
    <w:p>
      <w:pPr>
        <w:numPr>
          <w:ilvl w:val="0"/>
          <w:numId w:val="1108"/>
        </w:numPr>
        <w:pStyle w:val="Compact"/>
      </w:pPr>
      <w:r>
        <w:rPr>
          <w:bCs/>
          <w:b/>
        </w:rPr>
        <w:t xml:space="preserve">Service requests:</w:t>
      </w:r>
      <w:r>
        <w:t xml:space="preserve"> </w:t>
      </w:r>
      <w:r>
        <w:t xml:space="preserve">catalogue with SLA: statement of account, repayment schedule, interest certificate (provisional and final for Sec 24(b)/80C), foreclosure letter, NOC, list of documents, document retrieval, contact-detail change.</w:t>
      </w:r>
    </w:p>
    <w:p>
      <w:pPr>
        <w:numPr>
          <w:ilvl w:val="0"/>
          <w:numId w:val="1108"/>
        </w:numPr>
        <w:pStyle w:val="Compact"/>
      </w:pPr>
      <w:r>
        <w:rPr>
          <w:bCs/>
          <w:b/>
        </w:rPr>
        <w:t xml:space="preserve">Closure:</w:t>
      </w:r>
    </w:p>
    <w:p>
      <w:pPr>
        <w:numPr>
          <w:ilvl w:val="1"/>
          <w:numId w:val="1115"/>
        </w:numPr>
        <w:pStyle w:val="Compact"/>
      </w:pPr>
      <w:r>
        <w:t xml:space="preserve">NOC generation;</w:t>
      </w:r>
    </w:p>
    <w:p>
      <w:pPr>
        <w:numPr>
          <w:ilvl w:val="1"/>
          <w:numId w:val="1115"/>
        </w:numPr>
        <w:pStyle w:val="Compact"/>
      </w:pPr>
      <w:r>
        <w:t xml:space="preserve">charge-release triggers;</w:t>
      </w:r>
    </w:p>
    <w:p>
      <w:pPr>
        <w:numPr>
          <w:ilvl w:val="1"/>
          <w:numId w:val="1115"/>
        </w:numPr>
        <w:pStyle w:val="Compact"/>
      </w:pPr>
      <w:r>
        <w:t xml:space="preserve">document-release SLA (M5);</w:t>
      </w:r>
    </w:p>
    <w:p>
      <w:pPr>
        <w:numPr>
          <w:ilvl w:val="1"/>
          <w:numId w:val="1115"/>
        </w:numPr>
        <w:pStyle w:val="Compact"/>
      </w:pPr>
      <w:r>
        <w:t xml:space="preserve">CIC closure reporting;</w:t>
      </w:r>
    </w:p>
    <w:p>
      <w:pPr>
        <w:numPr>
          <w:ilvl w:val="1"/>
          <w:numId w:val="1115"/>
        </w:numPr>
        <w:pStyle w:val="Compact"/>
      </w:pPr>
      <w:r>
        <w:t xml:space="preserve">excess refund.</w:t>
      </w:r>
    </w:p>
    <w:p>
      <w:pPr>
        <w:numPr>
          <w:ilvl w:val="0"/>
          <w:numId w:val="1108"/>
        </w:numPr>
        <w:pStyle w:val="Compact"/>
      </w:pPr>
      <w:r>
        <w:rPr>
          <w:bCs/>
          <w:b/>
        </w:rPr>
        <w:t xml:space="preserve">Write-off:</w:t>
      </w:r>
      <w:r>
        <w:t xml:space="preserve"> </w:t>
      </w:r>
      <w:r>
        <w:t xml:space="preserve">technical write-off (no waiver; recovery continues: RSA 10(18), 91) and full write-off; approver at least one level above the sanctioning authority, sanctioning official excluded (RSA 16(5)); partial technical write-off classified and provisioned on the original gross exposure (RSA 92); quarterly reporting to the next higher authority (RSA 93–94); post-write-off recovery ledger.</w:t>
      </w:r>
    </w:p>
    <w:p>
      <w:pPr>
        <w:numPr>
          <w:ilvl w:val="0"/>
          <w:numId w:val="1108"/>
        </w:numPr>
        <w:pStyle w:val="Compact"/>
      </w:pPr>
      <w:r>
        <w:rPr>
          <w:bCs/>
          <w:b/>
        </w:rPr>
        <w:t xml:space="preserve">Loan boarding/migration tool:</w:t>
      </w:r>
    </w:p>
    <w:p>
      <w:pPr>
        <w:numPr>
          <w:ilvl w:val="1"/>
          <w:numId w:val="1116"/>
        </w:numPr>
        <w:pStyle w:val="Compact"/>
      </w:pPr>
      <w:r>
        <w:t xml:space="preserve">Import active loans from legacy systems with their history and opening balances.</w:t>
      </w:r>
    </w:p>
    <w:p>
      <w:pPr>
        <w:numPr>
          <w:ilvl w:val="1"/>
          <w:numId w:val="1116"/>
        </w:numPr>
        <w:pStyle w:val="Compact"/>
      </w:pPr>
      <w:r>
        <w:t xml:space="preserve">Reconcile principal outstanding, overdue, accrued and DPD against the legacy system before go-live.</w:t>
      </w:r>
    </w:p>
    <w:p>
      <w:pPr>
        <w:numPr>
          <w:ilvl w:val="1"/>
          <w:numId w:val="1116"/>
        </w:numPr>
        <w:pStyle w:val="Compact"/>
      </w:pPr>
      <w:r>
        <w:t xml:space="preserve">Produce reconciliation sign-off reports.</w:t>
      </w:r>
    </w:p>
    <w:bookmarkEnd w:id="79"/>
    <w:bookmarkStart w:id="80" w:name="m7.-payments-mandates-and-reconciliation"/>
    <w:p>
      <w:pPr>
        <w:pStyle w:val="Heading2"/>
      </w:pPr>
      <w:r>
        <w:t xml:space="preserve">M7. Payments, mandates and reconciliation</w:t>
      </w:r>
    </w:p>
    <w:p>
      <w:pPr>
        <w:numPr>
          <w:ilvl w:val="0"/>
          <w:numId w:val="1117"/>
        </w:numPr>
        <w:pStyle w:val="Compact"/>
      </w:pPr>
      <w:r>
        <w:rPr>
          <w:bCs/>
          <w:b/>
        </w:rPr>
        <w:t xml:space="preserve">Mandates:</w:t>
      </w:r>
    </w:p>
    <w:p>
      <w:pPr>
        <w:numPr>
          <w:ilvl w:val="1"/>
          <w:numId w:val="1118"/>
        </w:numPr>
        <w:pStyle w:val="Compact"/>
      </w:pPr>
      <w:r>
        <w:t xml:space="preserve">eNACH (net banking, debit card, Aadhaar);</w:t>
      </w:r>
    </w:p>
    <w:p>
      <w:pPr>
        <w:numPr>
          <w:ilvl w:val="1"/>
          <w:numId w:val="1118"/>
        </w:numPr>
        <w:pStyle w:val="Compact"/>
      </w:pPr>
      <w:r>
        <w:t xml:space="preserve">physical NACH;</w:t>
      </w:r>
    </w:p>
    <w:p>
      <w:pPr>
        <w:numPr>
          <w:ilvl w:val="1"/>
          <w:numId w:val="1118"/>
        </w:numPr>
        <w:pStyle w:val="Compact"/>
      </w:pPr>
      <w:r>
        <w:t xml:space="preserve">UPI AutoPay (note the AFA threshold for recurring debits [VERIFY applicability to EMIs]).</w:t>
      </w:r>
    </w:p>
    <w:p>
      <w:pPr>
        <w:numPr>
          <w:ilvl w:val="1"/>
          <w:numId w:val="1118"/>
        </w:numPr>
        <w:pStyle w:val="Compact"/>
      </w:pPr>
      <w:r>
        <w:t xml:space="preserve">Mandate lifecycle covers registration, amendment, suspension, revocation and expiry. Map each mandate to its UMRN.</w:t>
      </w:r>
    </w:p>
    <w:p>
      <w:pPr>
        <w:numPr>
          <w:ilvl w:val="0"/>
          <w:numId w:val="1117"/>
        </w:numPr>
        <w:pStyle w:val="Compact"/>
      </w:pPr>
      <w:r>
        <w:rPr>
          <w:bCs/>
          <w:b/>
        </w:rPr>
        <w:t xml:space="preserve">Presentation engine:</w:t>
      </w:r>
    </w:p>
    <w:p>
      <w:pPr>
        <w:numPr>
          <w:ilvl w:val="1"/>
          <w:numId w:val="1119"/>
        </w:numPr>
        <w:pStyle w:val="Compact"/>
      </w:pPr>
      <w:r>
        <w:t xml:space="preserve">debit file or API generation per sponsor bank, with T-1 cut-off rules;</w:t>
      </w:r>
    </w:p>
    <w:p>
      <w:pPr>
        <w:numPr>
          <w:ilvl w:val="1"/>
          <w:numId w:val="1119"/>
        </w:numPr>
        <w:pStyle w:val="Compact"/>
      </w:pPr>
      <w:r>
        <w:t xml:space="preserve">re-presentation policy with minimum gaps;</w:t>
      </w:r>
    </w:p>
    <w:p>
      <w:pPr>
        <w:numPr>
          <w:ilvl w:val="1"/>
          <w:numId w:val="1119"/>
        </w:numPr>
        <w:pStyle w:val="Compact"/>
      </w:pPr>
      <w:r>
        <w:t xml:space="preserve">bounce processing with configurable return-code master;</w:t>
      </w:r>
    </w:p>
    <w:p>
      <w:pPr>
        <w:numPr>
          <w:ilvl w:val="1"/>
          <w:numId w:val="1119"/>
        </w:numPr>
        <w:pStyle w:val="Compact"/>
      </w:pPr>
      <w:r>
        <w:t xml:space="preserve">bounce charges with GST rules and borrower notification.</w:t>
      </w:r>
    </w:p>
    <w:p>
      <w:pPr>
        <w:numPr>
          <w:ilvl w:val="0"/>
          <w:numId w:val="1117"/>
        </w:numPr>
        <w:pStyle w:val="Compact"/>
      </w:pPr>
      <w:r>
        <w:rPr>
          <w:bCs/>
          <w:b/>
        </w:rPr>
        <w:t xml:space="preserve">Collection channels:</w:t>
      </w:r>
    </w:p>
    <w:p>
      <w:pPr>
        <w:numPr>
          <w:ilvl w:val="1"/>
          <w:numId w:val="1120"/>
        </w:numPr>
        <w:pStyle w:val="Compact"/>
      </w:pPr>
      <w:r>
        <w:t xml:space="preserve">UPI intent, QR and collect;</w:t>
      </w:r>
    </w:p>
    <w:p>
      <w:pPr>
        <w:numPr>
          <w:ilvl w:val="1"/>
          <w:numId w:val="1120"/>
        </w:numPr>
        <w:pStyle w:val="Compact"/>
      </w:pPr>
      <w:r>
        <w:t xml:space="preserve">payment links;</w:t>
      </w:r>
    </w:p>
    <w:p>
      <w:pPr>
        <w:numPr>
          <w:ilvl w:val="1"/>
          <w:numId w:val="1120"/>
        </w:numPr>
        <w:pStyle w:val="Compact"/>
      </w:pPr>
      <w:r>
        <w:rPr>
          <w:bCs/>
          <w:b/>
        </w:rPr>
        <w:t xml:space="preserve">virtual accounts per loan</w:t>
      </w:r>
      <w:r>
        <w:t xml:space="preserve"> </w:t>
      </w:r>
      <w:r>
        <w:t xml:space="preserve">(VAN/VPA) settling into the lender’s own account;</w:t>
      </w:r>
    </w:p>
    <w:p>
      <w:pPr>
        <w:numPr>
          <w:ilvl w:val="1"/>
          <w:numId w:val="1120"/>
        </w:numPr>
        <w:pStyle w:val="Compact"/>
      </w:pPr>
      <w:r>
        <w:t xml:space="preserve">Bharat Connect (BBPS) biller integration for loan repayment;</w:t>
      </w:r>
    </w:p>
    <w:p>
      <w:pPr>
        <w:numPr>
          <w:ilvl w:val="1"/>
          <w:numId w:val="1120"/>
        </w:numPr>
        <w:pStyle w:val="Compact"/>
      </w:pPr>
      <w:r>
        <w:t xml:space="preserve">branch cash and cheque with deposit tracking;</w:t>
      </w:r>
    </w:p>
    <w:p>
      <w:pPr>
        <w:numPr>
          <w:ilvl w:val="1"/>
          <w:numId w:val="1120"/>
        </w:numPr>
        <w:pStyle w:val="Compact"/>
      </w:pPr>
      <w:r>
        <w:t xml:space="preserve">field digital receipts;</w:t>
      </w:r>
    </w:p>
    <w:p>
      <w:pPr>
        <w:numPr>
          <w:ilvl w:val="1"/>
          <w:numId w:val="1120"/>
        </w:numPr>
        <w:pStyle w:val="Compact"/>
      </w:pPr>
      <w:r>
        <w:t xml:space="preserve">NEFT/RTGS/IMPS credits with auto-matching.</w:t>
      </w:r>
    </w:p>
    <w:p>
      <w:pPr>
        <w:numPr>
          <w:ilvl w:val="0"/>
          <w:numId w:val="1117"/>
        </w:numPr>
        <w:pStyle w:val="Compact"/>
      </w:pPr>
      <w:r>
        <w:rPr>
          <w:bCs/>
          <w:b/>
        </w:rPr>
        <w:t xml:space="preserve">Payment gateways:</w:t>
      </w:r>
      <w:r>
        <w:t xml:space="preserve"> </w:t>
      </w:r>
      <w:r>
        <w:t xml:space="preserve">Razorpay, Cashfree and PayU behind one</w:t>
      </w:r>
      <w:r>
        <w:t xml:space="preserve"> </w:t>
      </w:r>
      <w:r>
        <w:rPr>
          <w:rStyle w:val="VerbatimChar"/>
        </w:rPr>
        <w:t xml:space="preserve">PaymentGateway</w:t>
      </w:r>
      <w:r>
        <w:t xml:space="preserve"> </w:t>
      </w:r>
      <w:r>
        <w:t xml:space="preserve">interface (Juspay as an optional orchestration layer).</w:t>
      </w:r>
    </w:p>
    <w:p>
      <w:pPr>
        <w:numPr>
          <w:ilvl w:val="1"/>
          <w:numId w:val="1121"/>
        </w:numPr>
        <w:pStyle w:val="Compact"/>
      </w:pPr>
      <w:r>
        <w:rPr>
          <w:bCs/>
          <w:b/>
        </w:rPr>
        <w:t xml:space="preserve">Stripe and PayPal:</w:t>
      </w:r>
      <w:r>
        <w:t xml:space="preserve"> </w:t>
      </w:r>
      <w:r>
        <w:t xml:space="preserve">keep the adapter interfaces you requested, but research shows Stripe is invite-only in India and PayPal has exited domestic Indian payments. Use them only for cross-border or SaaS-subscription billing, not domestic EMI collection. Record this decision in an ADR.</w:t>
      </w:r>
    </w:p>
    <w:p>
      <w:pPr>
        <w:numPr>
          <w:ilvl w:val="0"/>
          <w:numId w:val="1117"/>
        </w:numPr>
        <w:pStyle w:val="Compact"/>
      </w:pPr>
      <w:r>
        <w:rPr>
          <w:bCs/>
          <w:b/>
        </w:rPr>
        <w:t xml:space="preserve">Disbursement rails:</w:t>
      </w:r>
      <w:r>
        <w:t xml:space="preserve"> </w:t>
      </w:r>
      <w:r>
        <w:t xml:space="preserve">bank corporate APIs (ICICI, HDFC, Axis, Yes, IDFC First and others) and payout providers (RazorpayX, Cashfree Payouts), with maker-checker, beneficiary validation, duplicate-payment prevention and UTR reconciliation.</w:t>
      </w:r>
    </w:p>
    <w:p>
      <w:pPr>
        <w:numPr>
          <w:ilvl w:val="0"/>
          <w:numId w:val="1117"/>
        </w:numPr>
        <w:pStyle w:val="Compact"/>
      </w:pPr>
      <w:r>
        <w:rPr>
          <w:bCs/>
          <w:b/>
        </w:rPr>
        <w:t xml:space="preserve">Reconciliation:</w:t>
      </w:r>
    </w:p>
    <w:p>
      <w:pPr>
        <w:numPr>
          <w:ilvl w:val="1"/>
          <w:numId w:val="1122"/>
        </w:numPr>
        <w:pStyle w:val="Compact"/>
      </w:pPr>
      <w:r>
        <w:t xml:space="preserve">Three-way: provider/bank statement ↔ payment record ↔ loan ledger.</w:t>
      </w:r>
    </w:p>
    <w:p>
      <w:pPr>
        <w:numPr>
          <w:ilvl w:val="1"/>
          <w:numId w:val="1122"/>
        </w:numPr>
        <w:pStyle w:val="Compact"/>
      </w:pPr>
      <w:r>
        <w:t xml:space="preserve">Auto-match rules, exception queue, suspense ageing.</w:t>
      </w:r>
    </w:p>
    <w:p>
      <w:pPr>
        <w:numPr>
          <w:ilvl w:val="1"/>
          <w:numId w:val="1122"/>
        </w:numPr>
        <w:pStyle w:val="Compact"/>
      </w:pPr>
      <w:r>
        <w:rPr>
          <w:bCs/>
          <w:b/>
        </w:rPr>
        <w:t xml:space="preserve">Never treat an API</w:t>
      </w:r>
      <w:r>
        <w:rPr>
          <w:bCs/>
          <w:b/>
        </w:rPr>
        <w:t xml:space="preserve"> </w:t>
      </w:r>
      <w:r>
        <w:rPr>
          <w:bCs/>
          <w:b/>
        </w:rPr>
        <w:t xml:space="preserve">“</w:t>
      </w:r>
      <w:r>
        <w:rPr>
          <w:bCs/>
          <w:b/>
        </w:rPr>
        <w:t xml:space="preserve">success</w:t>
      </w:r>
      <w:r>
        <w:rPr>
          <w:bCs/>
          <w:b/>
        </w:rPr>
        <w:t xml:space="preserve">”</w:t>
      </w:r>
      <w:r>
        <w:rPr>
          <w:bCs/>
          <w:b/>
        </w:rPr>
        <w:t xml:space="preserve"> </w:t>
      </w:r>
      <w:r>
        <w:rPr>
          <w:bCs/>
          <w:b/>
        </w:rPr>
        <w:t xml:space="preserve">response as final without settlement confirmation.</w:t>
      </w:r>
    </w:p>
    <w:p>
      <w:pPr>
        <w:numPr>
          <w:ilvl w:val="1"/>
          <w:numId w:val="1122"/>
        </w:numPr>
        <w:pStyle w:val="Compact"/>
      </w:pPr>
      <w:r>
        <w:t xml:space="preserve">Daily reconciliation with each sponsor bank, gateway, LSP and co-lender; payment-network, gateway and aggregator reconciliation within 24 hours of receiving the settlement file (DPS para 57 baseline).</w:t>
      </w:r>
    </w:p>
    <w:p>
      <w:pPr>
        <w:numPr>
          <w:ilvl w:val="1"/>
          <w:numId w:val="1122"/>
        </w:numPr>
        <w:pStyle w:val="Compact"/>
      </w:pPr>
      <w:r>
        <w:t xml:space="preserve">Payment fraud rules: velocity, new account, geo/IP, mule VPA, declined transactions (DPS para 53 baseline). Card data stored only in tokenised form (DPS para 69(4)(v)).</w:t>
      </w:r>
    </w:p>
    <w:bookmarkEnd w:id="80"/>
    <w:bookmarkStart w:id="81" w:name="m8.-collections-pre-due-to-90-dpd"/>
    <w:p>
      <w:pPr>
        <w:pStyle w:val="Heading2"/>
      </w:pPr>
      <w:r>
        <w:t xml:space="preserve">M8. Collections (pre-due to 90+ DPD)</w:t>
      </w:r>
    </w:p>
    <w:p>
      <w:pPr>
        <w:numPr>
          <w:ilvl w:val="0"/>
          <w:numId w:val="1123"/>
        </w:numPr>
        <w:pStyle w:val="Compact"/>
      </w:pPr>
      <w:r>
        <w:rPr>
          <w:bCs/>
          <w:b/>
        </w:rPr>
        <w:t xml:space="preserve">Segmentation and strategy:</w:t>
      </w:r>
    </w:p>
    <w:p>
      <w:pPr>
        <w:numPr>
          <w:ilvl w:val="1"/>
          <w:numId w:val="1124"/>
        </w:numPr>
        <w:pStyle w:val="Compact"/>
      </w:pPr>
      <w:r>
        <w:t xml:space="preserve">risk and propensity scoring;</w:t>
      </w:r>
    </w:p>
    <w:p>
      <w:pPr>
        <w:numPr>
          <w:ilvl w:val="1"/>
          <w:numId w:val="1124"/>
        </w:numPr>
        <w:pStyle w:val="Compact"/>
      </w:pPr>
      <w:r>
        <w:t xml:space="preserve">pre-due nudges;</w:t>
      </w:r>
    </w:p>
    <w:p>
      <w:pPr>
        <w:numPr>
          <w:ilvl w:val="1"/>
          <w:numId w:val="1124"/>
        </w:numPr>
        <w:pStyle w:val="Compact"/>
      </w:pPr>
      <w:r>
        <w:t xml:space="preserve">bucket-wise strategies (X, 1–30, 31–60, 61–90, NPA);</w:t>
      </w:r>
    </w:p>
    <w:p>
      <w:pPr>
        <w:numPr>
          <w:ilvl w:val="1"/>
          <w:numId w:val="1124"/>
        </w:numPr>
        <w:pStyle w:val="Compact"/>
      </w:pPr>
      <w:r>
        <w:t xml:space="preserve">champion/challenger.</w:t>
      </w:r>
    </w:p>
    <w:p>
      <w:pPr>
        <w:numPr>
          <w:ilvl w:val="1"/>
          <w:numId w:val="1124"/>
        </w:numPr>
        <w:pStyle w:val="Compact"/>
      </w:pPr>
      <w:r>
        <w:t xml:space="preserve">DPD changes in COB automatically trigger strategy actions, so flags always lead to action.</w:t>
      </w:r>
    </w:p>
    <w:p>
      <w:pPr>
        <w:numPr>
          <w:ilvl w:val="0"/>
          <w:numId w:val="1123"/>
        </w:numPr>
        <w:pStyle w:val="Compact"/>
      </w:pPr>
      <w:r>
        <w:rPr>
          <w:bCs/>
          <w:b/>
        </w:rPr>
        <w:t xml:space="preserve">Allocation:</w:t>
      </w:r>
      <w:r>
        <w:t xml:space="preserve"> </w:t>
      </w:r>
      <w:r>
        <w:t xml:space="preserve">rule-based allocation to digital channels, telecallers, field staff and agencies by pincode, bucket, product, ticket size and performance. Includes re-allocation and capacity limits.</w:t>
      </w:r>
    </w:p>
    <w:p>
      <w:pPr>
        <w:numPr>
          <w:ilvl w:val="0"/>
          <w:numId w:val="1123"/>
        </w:numPr>
        <w:pStyle w:val="Compact"/>
      </w:pPr>
      <w:r>
        <w:rPr>
          <w:bCs/>
          <w:b/>
        </w:rPr>
        <w:t xml:space="preserve">Contact channels:</w:t>
      </w:r>
      <w:r>
        <w:t xml:space="preserve"> </w:t>
      </w:r>
      <w:r>
        <w:t xml:space="preserve">SMS (TRAI DLT-registered templates and headers), WhatsApp Business (Meta Cloud API templates), email, IVR/voicebot, predictive dialer, field visits.</w:t>
      </w:r>
    </w:p>
    <w:p>
      <w:pPr>
        <w:numPr>
          <w:ilvl w:val="0"/>
          <w:numId w:val="1123"/>
        </w:numPr>
        <w:pStyle w:val="Compact"/>
      </w:pPr>
      <w:r>
        <w:rPr>
          <w:bCs/>
          <w:b/>
        </w:rPr>
        <w:t xml:space="preserve">Contact-policy engine</w:t>
      </w:r>
      <w:r>
        <w:t xml:space="preserve"> </w:t>
      </w:r>
      <w:r>
        <w:t xml:space="preserve">(effective-dated rule pack, with separate windows for recovery and for sales/marketing):</w:t>
      </w:r>
    </w:p>
    <w:p>
      <w:pPr>
        <w:numPr>
          <w:ilvl w:val="1"/>
          <w:numId w:val="1125"/>
        </w:numPr>
        <w:pStyle w:val="Compact"/>
      </w:pPr>
      <w:r>
        <w:rPr>
          <w:bCs/>
          <w:b/>
        </w:rPr>
        <w:t xml:space="preserve">Until 31 Dec 2026 (RBC paras 89–100):</w:t>
      </w:r>
    </w:p>
    <w:p>
      <w:pPr>
        <w:numPr>
          <w:ilvl w:val="2"/>
          <w:numId w:val="1126"/>
        </w:numPr>
        <w:pStyle w:val="Compact"/>
      </w:pPr>
      <w:r>
        <w:t xml:space="preserve">recovery calls only between 08:00 and 19:00 (para 100);</w:t>
      </w:r>
    </w:p>
    <w:p>
      <w:pPr>
        <w:numPr>
          <w:ilvl w:val="2"/>
          <w:numId w:val="1126"/>
        </w:numPr>
        <w:pStyle w:val="Compact"/>
      </w:pPr>
      <w:r>
        <w:t xml:space="preserve">microfinance 09:00–18:00 (para 91(2)); para 100 does not apply to microfinance loans;</w:t>
      </w:r>
    </w:p>
    <w:p>
      <w:pPr>
        <w:numPr>
          <w:ilvl w:val="2"/>
          <w:numId w:val="1126"/>
        </w:numPr>
        <w:pStyle w:val="Compact"/>
      </w:pPr>
      <w:r>
        <w:t xml:space="preserve">agent details to the borrower when recovery starts; agent carries the notice, authorisation letter and ID; borrower notified on a change of agency (paras 95–96); agency list on the website (para 97); antecedent and police verification of agents (para 94). Paras 93–97 sit in the microfinance section (H): apply them to all products by policy.</w:t>
      </w:r>
    </w:p>
    <w:p>
      <w:pPr>
        <w:numPr>
          <w:ilvl w:val="1"/>
          <w:numId w:val="1125"/>
        </w:numPr>
        <w:pStyle w:val="Compact"/>
      </w:pPr>
      <w:r>
        <w:rPr>
          <w:bCs/>
          <w:b/>
        </w:rPr>
        <w:t xml:space="preserve">From 1 Jan 2027:</w:t>
      </w:r>
      <w:r>
        <w:t xml:space="preserve"> </w:t>
      </w:r>
      <w:r>
        <w:t xml:space="preserve">the RBI (NBFC – Responsible Business Conduct) Third Amendment Directions, 2026 (6 Aug 2026; RBI/2026-27/230) delete paras 89–100 and insert Section J (paras 100A–100AB) (DOR.MCS.REC.No.199/01-01-039/2026-27; issuance, effective date and the provisions below are confirmed from the RBI notification in the v1.4 research; the official text is not in the supplied set, which is updated only to 1 Apr 2026, so re-check paragraph numbers when it is supplied). Under the new rules:</w:t>
      </w:r>
    </w:p>
    <w:p>
      <w:pPr>
        <w:numPr>
          <w:ilvl w:val="2"/>
          <w:numId w:val="1127"/>
        </w:numPr>
        <w:pStyle w:val="Compact"/>
      </w:pPr>
      <w:r>
        <w:t xml:space="preserve">recovery contact only between 08:00 and 19:00 (para 100Y(4)) [VERIFY whether a separate MFI window survives];</w:t>
      </w:r>
    </w:p>
    <w:p>
      <w:pPr>
        <w:numPr>
          <w:ilvl w:val="2"/>
          <w:numId w:val="1127"/>
        </w:numPr>
        <w:pStyle w:val="Compact"/>
      </w:pPr>
      <w:r>
        <w:rPr>
          <w:bCs/>
          <w:b/>
        </w:rPr>
        <w:t xml:space="preserve">record every recovery call</w:t>
      </w:r>
      <w:r>
        <w:t xml:space="preserve">: all outbound calls, and inbound calls to the number the NBFC provided. Inform the borrower, and keep recordings for 6 months, or until disposal if the matter is sub judice (para 100P);</w:t>
      </w:r>
    </w:p>
    <w:p>
      <w:pPr>
        <w:numPr>
          <w:ilvl w:val="2"/>
          <w:numId w:val="1127"/>
        </w:numPr>
        <w:pStyle w:val="Compact"/>
      </w:pPr>
      <w:r>
        <w:t xml:space="preserve">every agent must hold the</w:t>
      </w:r>
      <w:r>
        <w:t xml:space="preserve"> </w:t>
      </w:r>
      <w:r>
        <w:rPr>
          <w:bCs/>
          <w:b/>
        </w:rPr>
        <w:t xml:space="preserve">IIBF debt-recovery-agent certificate</w:t>
      </w:r>
      <w:r>
        <w:t xml:space="preserve">; existing agents have one year to obtain it (para 100I);</w:t>
      </w:r>
    </w:p>
    <w:p>
      <w:pPr>
        <w:numPr>
          <w:ilvl w:val="2"/>
          <w:numId w:val="1127"/>
        </w:numPr>
        <w:pStyle w:val="Compact"/>
      </w:pPr>
      <w:r>
        <w:t xml:space="preserve">give the borrower the assigned agency’s details at least 1 day before the first visit (para 100L);</w:t>
      </w:r>
    </w:p>
    <w:p>
      <w:pPr>
        <w:numPr>
          <w:ilvl w:val="2"/>
          <w:numId w:val="1127"/>
        </w:numPr>
        <w:pStyle w:val="Compact"/>
      </w:pPr>
      <w:r>
        <w:t xml:space="preserve">visit the residence or workplace only where no meeting place was chosen, or where the borrower failed to appear at the chosen place on two or more successive occasions (para 100Y(5); para 100Y(7) for microfinance centre collection);</w:t>
      </w:r>
    </w:p>
    <w:p>
      <w:pPr>
        <w:numPr>
          <w:ilvl w:val="2"/>
          <w:numId w:val="1127"/>
        </w:numPr>
        <w:pStyle w:val="Compact"/>
      </w:pPr>
      <w:r>
        <w:t xml:space="preserve">include the grievance officer’s name, email, phone and address on every recovery communication (para 100AA); written communications are pre-approved and name the sender and a contact (para 100Y(8)); agents receive only the minimum data they need (para 100O); the agency list on the website is updated within 7 days of a change, and the borrower is told immediately when the agency changes or is terminated (paras 100K, 100M–100N);</w:t>
      </w:r>
    </w:p>
    <w:p>
      <w:pPr>
        <w:numPr>
          <w:ilvl w:val="2"/>
          <w:numId w:val="1127"/>
        </w:numPr>
        <w:pStyle w:val="Compact"/>
      </w:pPr>
      <w:r>
        <w:t xml:space="preserve">device-lock rules for financed devices (paras 100S–100U): restriction only on the financed device and only from 30 DPD (full restriction from 60 DPD); incoming calls, SMS and emergency functions kept; unlock within 1 hour of payment, else ₹250 an hour capped at the loan amount; no access to personal data on the device.</w:t>
      </w:r>
    </w:p>
    <w:p>
      <w:pPr>
        <w:numPr>
          <w:ilvl w:val="1"/>
          <w:numId w:val="1125"/>
        </w:numPr>
        <w:pStyle w:val="Compact"/>
      </w:pPr>
      <w:r>
        <w:rPr>
          <w:bCs/>
          <w:b/>
        </w:rPr>
        <w:t xml:space="preserve">Sales/marketing contact window:</w:t>
      </w:r>
      <w:r>
        <w:t xml:space="preserve"> </w:t>
      </w:r>
      <w:r>
        <w:t xml:space="preserve">09:00–19:00 under the RBC Second Amendment (para 101N(4)) [VERIFY: amendment text not supplied]. Keep it separate from the recovery window.</w:t>
      </w:r>
    </w:p>
    <w:p>
      <w:pPr>
        <w:numPr>
          <w:ilvl w:val="1"/>
          <w:numId w:val="1125"/>
        </w:numPr>
        <w:pStyle w:val="Compact"/>
      </w:pPr>
      <w:r>
        <w:rPr>
          <w:bCs/>
          <w:b/>
        </w:rPr>
        <w:t xml:space="preserve">Always:</w:t>
      </w:r>
      <w:r>
        <w:t xml:space="preserve"> </w:t>
      </w:r>
      <w:r>
        <w:t xml:space="preserve">frequency caps; no contact with unrelated third parties; language and respect rules.</w:t>
      </w:r>
    </w:p>
    <w:p>
      <w:pPr>
        <w:numPr>
          <w:ilvl w:val="0"/>
          <w:numId w:val="1123"/>
        </w:numPr>
        <w:pStyle w:val="Compact"/>
      </w:pPr>
      <w:r>
        <w:rPr>
          <w:bCs/>
          <w:b/>
        </w:rPr>
        <w:t xml:space="preserve">Field collections app:</w:t>
      </w:r>
    </w:p>
    <w:p>
      <w:pPr>
        <w:numPr>
          <w:ilvl w:val="1"/>
          <w:numId w:val="1128"/>
        </w:numPr>
        <w:pStyle w:val="Compact"/>
      </w:pPr>
      <w:r>
        <w:t xml:space="preserve">offline mode;</w:t>
      </w:r>
    </w:p>
    <w:p>
      <w:pPr>
        <w:numPr>
          <w:ilvl w:val="1"/>
          <w:numId w:val="1128"/>
        </w:numPr>
        <w:pStyle w:val="Compact"/>
      </w:pPr>
      <w:r>
        <w:t xml:space="preserve">geo-tagged visits and photos;</w:t>
      </w:r>
    </w:p>
    <w:p>
      <w:pPr>
        <w:numPr>
          <w:ilvl w:val="1"/>
          <w:numId w:val="1128"/>
        </w:numPr>
        <w:pStyle w:val="Compact"/>
      </w:pPr>
      <w:r>
        <w:t xml:space="preserve">PTP capture;</w:t>
      </w:r>
    </w:p>
    <w:p>
      <w:pPr>
        <w:numPr>
          <w:ilvl w:val="1"/>
          <w:numId w:val="1128"/>
        </w:numPr>
        <w:pStyle w:val="Compact"/>
      </w:pPr>
      <w:r>
        <w:t xml:space="preserve">digital receipts only, or cash receipts with per-agent cash limits and same-day deposit tracking;</w:t>
      </w:r>
    </w:p>
    <w:p>
      <w:pPr>
        <w:numPr>
          <w:ilvl w:val="1"/>
          <w:numId w:val="1128"/>
        </w:numPr>
        <w:pStyle w:val="Compact"/>
      </w:pPr>
      <w:r>
        <w:t xml:space="preserve">route planning;</w:t>
      </w:r>
    </w:p>
    <w:p>
      <w:pPr>
        <w:numPr>
          <w:ilvl w:val="1"/>
          <w:numId w:val="1128"/>
        </w:numPr>
        <w:pStyle w:val="Compact"/>
      </w:pPr>
      <w:r>
        <w:t xml:space="preserve">panic/safety features.</w:t>
      </w:r>
    </w:p>
    <w:p>
      <w:pPr>
        <w:numPr>
          <w:ilvl w:val="0"/>
          <w:numId w:val="1123"/>
        </w:numPr>
        <w:pStyle w:val="Compact"/>
      </w:pPr>
      <w:r>
        <w:rPr>
          <w:bCs/>
          <w:b/>
        </w:rPr>
        <w:t xml:space="preserve">PTP and dispositions:</w:t>
      </w:r>
      <w:r>
        <w:t xml:space="preserve"> </w:t>
      </w:r>
      <w:r>
        <w:t xml:space="preserve">standard disposition codes, PTP tracking, broken-PTP escalation, skip-tracing (lawful sources only).</w:t>
      </w:r>
    </w:p>
    <w:p>
      <w:pPr>
        <w:numPr>
          <w:ilvl w:val="0"/>
          <w:numId w:val="1123"/>
        </w:numPr>
        <w:pStyle w:val="Compact"/>
      </w:pPr>
      <w:r>
        <w:rPr>
          <w:bCs/>
          <w:b/>
        </w:rPr>
        <w:t xml:space="preserve">Agency management:</w:t>
      </w:r>
      <w:r>
        <w:t xml:space="preserve"> </w:t>
      </w:r>
      <w:r>
        <w:t xml:space="preserve">empanelment, due diligence, agreements, agent IDs and authorisation letters, publication of agency lists on the lender website, performance and commission, audits.</w:t>
      </w:r>
    </w:p>
    <w:p>
      <w:pPr>
        <w:numPr>
          <w:ilvl w:val="0"/>
          <w:numId w:val="1123"/>
        </w:numPr>
        <w:pStyle w:val="Compact"/>
      </w:pPr>
      <w:r>
        <w:rPr>
          <w:bCs/>
          <w:b/>
        </w:rPr>
        <w:t xml:space="preserve">AI in collections (governed):</w:t>
      </w:r>
    </w:p>
    <w:p>
      <w:pPr>
        <w:numPr>
          <w:ilvl w:val="1"/>
          <w:numId w:val="1129"/>
        </w:numPr>
        <w:pStyle w:val="Compact"/>
      </w:pPr>
      <w:r>
        <w:t xml:space="preserve">voicebot reminders with disclosure that it is AI;</w:t>
      </w:r>
    </w:p>
    <w:p>
      <w:pPr>
        <w:numPr>
          <w:ilvl w:val="1"/>
          <w:numId w:val="1129"/>
        </w:numPr>
        <w:pStyle w:val="Compact"/>
      </w:pPr>
      <w:r>
        <w:t xml:space="preserve">next-best-action;</w:t>
      </w:r>
    </w:p>
    <w:p>
      <w:pPr>
        <w:numPr>
          <w:ilvl w:val="1"/>
          <w:numId w:val="1129"/>
        </w:numPr>
        <w:pStyle w:val="Compact"/>
      </w:pPr>
      <w:r>
        <w:t xml:space="preserve">call-quality scoring;</w:t>
      </w:r>
    </w:p>
    <w:p>
      <w:pPr>
        <w:numPr>
          <w:ilvl w:val="1"/>
          <w:numId w:val="1129"/>
        </w:numPr>
        <w:pStyle w:val="Compact"/>
      </w:pPr>
      <w:r>
        <w:t xml:space="preserve">sentiment detection;</w:t>
      </w:r>
    </w:p>
    <w:p>
      <w:pPr>
        <w:numPr>
          <w:ilvl w:val="1"/>
          <w:numId w:val="1129"/>
        </w:numPr>
        <w:pStyle w:val="Compact"/>
      </w:pPr>
      <w:r>
        <w:t xml:space="preserve">automated QA against conduct rules.</w:t>
      </w:r>
    </w:p>
    <w:p>
      <w:pPr>
        <w:numPr>
          <w:ilvl w:val="1"/>
          <w:numId w:val="1129"/>
        </w:numPr>
        <w:pStyle w:val="Compact"/>
      </w:pPr>
      <w:r>
        <w:rPr>
          <w:bCs/>
          <w:b/>
        </w:rPr>
        <w:t xml:space="preserve">AI never threatens, never misrepresents, and never agrees binding settlements without human approval.</w:t>
      </w:r>
    </w:p>
    <w:p>
      <w:pPr>
        <w:numPr>
          <w:ilvl w:val="0"/>
          <w:numId w:val="1123"/>
        </w:numPr>
        <w:pStyle w:val="Compact"/>
      </w:pPr>
      <w:r>
        <w:rPr>
          <w:bCs/>
          <w:b/>
        </w:rPr>
        <w:t xml:space="preserve">Borrower communications at default:</w:t>
      </w:r>
    </w:p>
    <w:p>
      <w:pPr>
        <w:numPr>
          <w:ilvl w:val="1"/>
          <w:numId w:val="1130"/>
        </w:numPr>
        <w:pStyle w:val="Compact"/>
      </w:pPr>
      <w:r>
        <w:t xml:space="preserve">Send SMS/email alerts to the borrower</w:t>
      </w:r>
      <w:r>
        <w:t xml:space="preserve"> </w:t>
      </w:r>
      <w:r>
        <w:rPr>
          <w:bCs/>
          <w:b/>
        </w:rPr>
        <w:t xml:space="preserve">while</w:t>
      </w:r>
      <w:r>
        <w:t xml:space="preserve"> </w:t>
      </w:r>
      <w:r>
        <w:t xml:space="preserve">default/DPD data is submitted to CICs — with each reference-date file, wherever mobile/email is available (CIR para 34(1)(i)).</w:t>
      </w:r>
    </w:p>
    <w:p>
      <w:pPr>
        <w:numPr>
          <w:ilvl w:val="1"/>
          <w:numId w:val="1130"/>
        </w:numPr>
        <w:pStyle w:val="Compact"/>
      </w:pPr>
      <w:r>
        <w:t xml:space="preserve">Log each alert against the CIC submission record.</w:t>
      </w:r>
    </w:p>
    <w:p>
      <w:pPr>
        <w:numPr>
          <w:ilvl w:val="1"/>
          <w:numId w:val="1130"/>
        </w:numPr>
        <w:pStyle w:val="Compact"/>
      </w:pPr>
      <w:r>
        <w:t xml:space="preserve">On digital loans, send the recovery agent’s particulars before first contact (CF para 9(6)).</w:t>
      </w:r>
    </w:p>
    <w:p>
      <w:pPr>
        <w:numPr>
          <w:ilvl w:val="1"/>
          <w:numId w:val="1130"/>
        </w:numPr>
        <w:pStyle w:val="Compact"/>
      </w:pPr>
      <w:r>
        <w:t xml:space="preserve">Post cash recoveries in full to the borrower’s account the same day (CF para 10(5)).</w:t>
      </w:r>
    </w:p>
    <w:p>
      <w:pPr>
        <w:numPr>
          <w:ilvl w:val="0"/>
          <w:numId w:val="1123"/>
        </w:numPr>
        <w:pStyle w:val="Compact"/>
      </w:pPr>
      <w:r>
        <w:rPr>
          <w:bCs/>
          <w:b/>
        </w:rPr>
        <w:t xml:space="preserve">Hand-off to the Recovery Suite (Part 7A):</w:t>
      </w:r>
      <w:r>
        <w:t xml:space="preserve"> </w:t>
      </w:r>
      <w:r>
        <w:t xml:space="preserve">when the suite is attached, accounts that meet the tenant’s hand-off rules (for example NPA, a broken settlement, a dishonoured instrument or a strategy decision) open a recovery case in R1 with the full collections history. M8 keeps soft collections; both use the same contact-policy engine (built in Phases 3b and 11; extended by R15.1) and the same agency register (M8; extended by R11). When the suite is not attached, M8 ends at its own bucket strategies and no legal action is initiated from Finbyx.</w:t>
      </w:r>
    </w:p>
    <w:bookmarkEnd w:id="81"/>
    <w:bookmarkStart w:id="82" w:name="m9.-recovery-and-legal"/>
    <w:p>
      <w:pPr>
        <w:pStyle w:val="Heading2"/>
      </w:pPr>
      <w:r>
        <w:t xml:space="preserve">M9. Recovery and legal</w:t>
      </w:r>
    </w:p>
    <w:p>
      <w:pPr>
        <w:pStyle w:val="FirstParagraph"/>
      </w:pPr>
      <w:r>
        <w:t xml:space="preserve">From v1.4, recovery, legal, litigation, settlement and ADR are specified in</w:t>
      </w:r>
      <w:r>
        <w:t xml:space="preserve"> </w:t>
      </w:r>
      <w:r>
        <w:rPr>
          <w:bCs/>
          <w:b/>
        </w:rPr>
        <w:t xml:space="preserve">Part 7A — NPA and Debt Recovery, Litigation and ADR Suite (attachable module pack)</w:t>
      </w:r>
      <w:r>
        <w:t xml:space="preserve">: 7A.0 and modules R1–R16. M9 remains only as this pointer so that earlier cross-references resolve. The v1.3 M9 content (statutory workflows, repossession and auction, settlement and OTS, wilful defaulters, CIC reporting of settlements, the SARFAESI possessed-asset feed, the fraud-account sale bar, write-off and post-write-off recovery) is carried into Part 7A with the corrections listed in Appendix E.4. Where earlier text in this prompt conflicts with Part 7A, Part 7A prevails.</w:t>
      </w:r>
      <w:r>
        <w:t xml:space="preserve"> </w:t>
      </w:r>
      <w:r>
        <w:rPr>
          <w:bCs/>
          <w:b/>
        </w:rPr>
        <w:t xml:space="preserve">Regulatory minimum without the suite:</w:t>
      </w:r>
      <w:r>
        <w:t xml:space="preserve"> </w:t>
      </w:r>
      <w:r>
        <w:t xml:space="preserve">licensing never switches off a legal duty. For a tenant that does not attach the suite, the wilful-defaulter workflow and its CIC files (WD; ML and above), the settlement guard-rails and CIC</w:t>
      </w:r>
      <w:r>
        <w:t xml:space="preserve"> </w:t>
      </w:r>
      <w:r>
        <w:t xml:space="preserve">“</w:t>
      </w:r>
      <w:r>
        <w:t xml:space="preserve">settled</w:t>
      </w:r>
      <w:r>
        <w:t xml:space="preserve">”</w:t>
      </w:r>
      <w:r>
        <w:t xml:space="preserve"> </w:t>
      </w:r>
      <w:r>
        <w:t xml:space="preserve">reporting (RSA paras 16, 86–100; CIR para 12(2)), write-off and post-write-off accounting, and Equator referral of grievances (M15) remain available as core capabilities that are not licence-gated, or the tenant records in the regulatory register the external system that performs them.</w:t>
      </w:r>
    </w:p>
    <w:bookmarkEnd w:id="82"/>
    <w:bookmarkStart w:id="83" w:name="X85d6bb4254dc8ab9f8747feb979ea6910f760e7"/>
    <w:p>
      <w:pPr>
        <w:pStyle w:val="Heading2"/>
      </w:pPr>
      <w:r>
        <w:t xml:space="preserve">M10. Accounting, finance and treasury (double-entry core)</w:t>
      </w:r>
    </w:p>
    <w:p>
      <w:pPr>
        <w:pStyle w:val="FirstParagraph"/>
      </w:pPr>
      <w:r>
        <w:rPr>
          <w:bCs/>
          <w:b/>
        </w:rPr>
        <w:t xml:space="preserve">v1.5 pointer.</w:t>
      </w:r>
      <w:r>
        <w:t xml:space="preserve"> </w:t>
      </w:r>
      <w:r>
        <w:t xml:space="preserve">Part 7C extends this module: the accounting-framework applicability engine (Ind AS, AS, co-operative formats, IFRS for IFSC; AC1), the multi-framework ledger and prudential overlay (AC2), financial statements, schedules and disclosures (AC3), the GST engine (AC4), Income-tax Act 2025 TDS, SFT, tax-audit data and borrower certificates (AC5), Tally Prime and ERP connectors through the outbound-only Connector Agent (AC6), and the statutory audit trail, daily India books backup and retention (AC7). Part 7H extends item 7A into the investment, treasury and capital-markets book and securitisation servicing (IV1–IV7). Both post only through the double-entry core specified here.</w:t>
      </w:r>
    </w:p>
    <w:p>
      <w:pPr>
        <w:pStyle w:val="BodyText"/>
      </w:pPr>
      <w:r>
        <w:t xml:space="preserve">Treat Tally Prime, SAP and Zoho Books as integration and export targets.</w:t>
      </w:r>
      <w:r>
        <w:t xml:space="preserve"> </w:t>
      </w:r>
      <w:r>
        <w:rPr>
          <w:bCs/>
          <w:b/>
        </w:rPr>
        <w:t xml:space="preserve">They do not replace Finbyx’s own books.</w:t>
      </w:r>
      <w:r>
        <w:t xml:space="preserve"> </w:t>
      </w:r>
      <w:r>
        <w:t xml:space="preserve">Finbyx must be able to run the lender’s books end to end with no external accounting software.</w:t>
      </w:r>
    </w:p>
    <w:p>
      <w:pPr>
        <w:numPr>
          <w:ilvl w:val="0"/>
          <w:numId w:val="1131"/>
        </w:numPr>
        <w:pStyle w:val="Compact"/>
      </w:pPr>
      <w:r>
        <w:rPr>
          <w:bCs/>
          <w:b/>
        </w:rPr>
        <w:t xml:space="preserve">Chart of accounts:</w:t>
      </w:r>
    </w:p>
    <w:p>
      <w:pPr>
        <w:numPr>
          <w:ilvl w:val="1"/>
          <w:numId w:val="1132"/>
        </w:numPr>
        <w:pStyle w:val="Compact"/>
      </w:pPr>
      <w:r>
        <w:t xml:space="preserve">multi-entity;</w:t>
      </w:r>
    </w:p>
    <w:p>
      <w:pPr>
        <w:numPr>
          <w:ilvl w:val="1"/>
          <w:numId w:val="1132"/>
        </w:numPr>
        <w:pStyle w:val="Compact"/>
      </w:pPr>
      <w:r>
        <w:t xml:space="preserve">Schedule III / Ind AS-aligned default CoA templates for NBFCs and HFCs;</w:t>
      </w:r>
    </w:p>
    <w:p>
      <w:pPr>
        <w:numPr>
          <w:ilvl w:val="1"/>
          <w:numId w:val="1132"/>
        </w:numPr>
        <w:pStyle w:val="Compact"/>
      </w:pPr>
      <w:r>
        <w:t xml:space="preserve">an alternative template for non-Ind AS (Indian GAAP) entities;</w:t>
      </w:r>
    </w:p>
    <w:p>
      <w:pPr>
        <w:numPr>
          <w:ilvl w:val="1"/>
          <w:numId w:val="1132"/>
        </w:numPr>
        <w:pStyle w:val="Compact"/>
      </w:pPr>
      <w:r>
        <w:t xml:space="preserve">cost centres and branch dimensions.</w:t>
      </w:r>
    </w:p>
    <w:p>
      <w:pPr>
        <w:numPr>
          <w:ilvl w:val="0"/>
          <w:numId w:val="1131"/>
        </w:numPr>
        <w:pStyle w:val="Compact"/>
      </w:pPr>
      <w:r>
        <w:rPr>
          <w:bCs/>
          <w:b/>
        </w:rPr>
        <w:t xml:space="preserve">Ledger engine:</w:t>
      </w:r>
    </w:p>
    <w:p>
      <w:pPr>
        <w:numPr>
          <w:ilvl w:val="1"/>
          <w:numId w:val="1133"/>
        </w:numPr>
        <w:pStyle w:val="Compact"/>
      </w:pPr>
      <w:r>
        <w:rPr>
          <w:bCs/>
          <w:b/>
        </w:rPr>
        <w:t xml:space="preserve">append-only journal</w:t>
      </w:r>
      <w:r>
        <w:t xml:space="preserve">;</w:t>
      </w:r>
    </w:p>
    <w:p>
      <w:pPr>
        <w:numPr>
          <w:ilvl w:val="1"/>
          <w:numId w:val="1133"/>
        </w:numPr>
        <w:pStyle w:val="Compact"/>
      </w:pPr>
      <w:r>
        <w:t xml:space="preserve">every entry balanced (the database enforces zero-sum per journal);</w:t>
      </w:r>
    </w:p>
    <w:p>
      <w:pPr>
        <w:numPr>
          <w:ilvl w:val="1"/>
          <w:numId w:val="1133"/>
        </w:numPr>
        <w:pStyle w:val="Compact"/>
      </w:pPr>
      <w:r>
        <w:t xml:space="preserve">corrections only by reversal plus re-posting;</w:t>
      </w:r>
    </w:p>
    <w:p>
      <w:pPr>
        <w:numPr>
          <w:ilvl w:val="1"/>
          <w:numId w:val="1133"/>
        </w:numPr>
        <w:pStyle w:val="Compact"/>
      </w:pPr>
      <w:r>
        <w:t xml:space="preserve">a business date and a posting date on every entry;</w:t>
      </w:r>
    </w:p>
    <w:p>
      <w:pPr>
        <w:numPr>
          <w:ilvl w:val="1"/>
          <w:numId w:val="1133"/>
        </w:numPr>
        <w:pStyle w:val="Compact"/>
      </w:pPr>
      <w:r>
        <w:t xml:space="preserve">immutable audit;</w:t>
      </w:r>
    </w:p>
    <w:p>
      <w:pPr>
        <w:numPr>
          <w:ilvl w:val="1"/>
          <w:numId w:val="1133"/>
        </w:numPr>
        <w:pStyle w:val="Compact"/>
      </w:pPr>
      <w:r>
        <w:t xml:space="preserve">period locks;</w:t>
      </w:r>
    </w:p>
    <w:p>
      <w:pPr>
        <w:numPr>
          <w:ilvl w:val="1"/>
          <w:numId w:val="1133"/>
        </w:numPr>
        <w:pStyle w:val="Compact"/>
      </w:pPr>
      <w:r>
        <w:t xml:space="preserve">materialised balances;</w:t>
      </w:r>
    </w:p>
    <w:p>
      <w:pPr>
        <w:numPr>
          <w:ilvl w:val="1"/>
          <w:numId w:val="1133"/>
        </w:numPr>
        <w:pStyle w:val="Compact"/>
      </w:pPr>
      <w:r>
        <w:t xml:space="preserve">trial balance at any date.</w:t>
      </w:r>
    </w:p>
    <w:p>
      <w:pPr>
        <w:numPr>
          <w:ilvl w:val="0"/>
          <w:numId w:val="1131"/>
        </w:numPr>
        <w:pStyle w:val="Compact"/>
      </w:pPr>
      <w:r>
        <w:rPr>
          <w:bCs/>
          <w:b/>
        </w:rPr>
        <w:t xml:space="preserve">Sub-ledgers:</w:t>
      </w:r>
    </w:p>
    <w:p>
      <w:pPr>
        <w:numPr>
          <w:ilvl w:val="1"/>
          <w:numId w:val="1134"/>
        </w:numPr>
        <w:pStyle w:val="Compact"/>
      </w:pPr>
      <w:r>
        <w:t xml:space="preserve">loans (by component);</w:t>
      </w:r>
    </w:p>
    <w:p>
      <w:pPr>
        <w:numPr>
          <w:ilvl w:val="1"/>
          <w:numId w:val="1134"/>
        </w:numPr>
        <w:pStyle w:val="Compact"/>
      </w:pPr>
      <w:r>
        <w:t xml:space="preserve">receivables and payables (vendors, DSAs, agencies);</w:t>
      </w:r>
    </w:p>
    <w:p>
      <w:pPr>
        <w:numPr>
          <w:ilvl w:val="1"/>
          <w:numId w:val="1134"/>
        </w:numPr>
        <w:pStyle w:val="Compact"/>
      </w:pPr>
      <w:r>
        <w:t xml:space="preserve">borrowings;</w:t>
      </w:r>
    </w:p>
    <w:p>
      <w:pPr>
        <w:numPr>
          <w:ilvl w:val="1"/>
          <w:numId w:val="1134"/>
        </w:numPr>
        <w:pStyle w:val="Compact"/>
      </w:pPr>
      <w:r>
        <w:t xml:space="preserve">fixed assets (basic register and depreciation, or integration);</w:t>
      </w:r>
    </w:p>
    <w:p>
      <w:pPr>
        <w:numPr>
          <w:ilvl w:val="1"/>
          <w:numId w:val="1134"/>
        </w:numPr>
        <w:pStyle w:val="Compact"/>
      </w:pPr>
      <w:r>
        <w:t xml:space="preserve">bank;</w:t>
      </w:r>
    </w:p>
    <w:p>
      <w:pPr>
        <w:numPr>
          <w:ilvl w:val="1"/>
          <w:numId w:val="1134"/>
        </w:numPr>
        <w:pStyle w:val="Compact"/>
      </w:pPr>
      <w:r>
        <w:t xml:space="preserve">GST;</w:t>
      </w:r>
    </w:p>
    <w:p>
      <w:pPr>
        <w:numPr>
          <w:ilvl w:val="1"/>
          <w:numId w:val="1134"/>
        </w:numPr>
        <w:pStyle w:val="Compact"/>
      </w:pPr>
      <w:r>
        <w:t xml:space="preserve">TDS;</w:t>
      </w:r>
    </w:p>
    <w:p>
      <w:pPr>
        <w:numPr>
          <w:ilvl w:val="1"/>
          <w:numId w:val="1134"/>
        </w:numPr>
        <w:pStyle w:val="Compact"/>
      </w:pPr>
      <w:r>
        <w:t xml:space="preserve">suspense.</w:t>
      </w:r>
    </w:p>
    <w:p>
      <w:pPr>
        <w:numPr>
          <w:ilvl w:val="1"/>
          <w:numId w:val="1134"/>
        </w:numPr>
        <w:pStyle w:val="Compact"/>
      </w:pPr>
      <w:r>
        <w:rPr>
          <w:bCs/>
          <w:b/>
        </w:rPr>
        <w:t xml:space="preserve">Continuous sub-ledger-to-GL reconciliation with break alerts.</w:t>
      </w:r>
    </w:p>
    <w:p>
      <w:pPr>
        <w:numPr>
          <w:ilvl w:val="0"/>
          <w:numId w:val="1131"/>
        </w:numPr>
        <w:pStyle w:val="Compact"/>
      </w:pPr>
      <w:r>
        <w:rPr>
          <w:bCs/>
          <w:b/>
        </w:rPr>
        <w:t xml:space="preserve">Event-driven accounting templates:</w:t>
      </w:r>
      <w:r>
        <w:t xml:space="preserve"> </w:t>
      </w:r>
      <w:r>
        <w:t xml:space="preserve">every loan, payment and collection event maps through configurable accounting rules to journal entries. Re-use the Fineract mapping keys and extend them for EIR, ECL, IRACP, GST, TDS, co-lending and DA.</w:t>
      </w:r>
    </w:p>
    <w:p>
      <w:pPr>
        <w:numPr>
          <w:ilvl w:val="0"/>
          <w:numId w:val="1131"/>
        </w:numPr>
        <w:pStyle w:val="Compact"/>
      </w:pPr>
      <w:r>
        <w:rPr>
          <w:bCs/>
          <w:b/>
        </w:rPr>
        <w:t xml:space="preserve">Ind AS 109:</w:t>
      </w:r>
    </w:p>
    <w:p>
      <w:pPr>
        <w:numPr>
          <w:ilvl w:val="1"/>
          <w:numId w:val="1135"/>
        </w:numPr>
        <w:pStyle w:val="Compact"/>
      </w:pPr>
      <w:r>
        <w:t xml:space="preserve">EIR calculation at origination and on modification;</w:t>
      </w:r>
    </w:p>
    <w:p>
      <w:pPr>
        <w:numPr>
          <w:ilvl w:val="1"/>
          <w:numId w:val="1135"/>
        </w:numPr>
        <w:pStyle w:val="Compact"/>
      </w:pPr>
      <w:r>
        <w:t xml:space="preserve">amortisation of fees and costs;</w:t>
      </w:r>
    </w:p>
    <w:p>
      <w:pPr>
        <w:numPr>
          <w:ilvl w:val="1"/>
          <w:numId w:val="1135"/>
        </w:numPr>
        <w:pStyle w:val="Compact"/>
      </w:pPr>
      <w:r>
        <w:t xml:space="preserve">staging;</w:t>
      </w:r>
    </w:p>
    <w:p>
      <w:pPr>
        <w:numPr>
          <w:ilvl w:val="1"/>
          <w:numId w:val="1135"/>
        </w:numPr>
        <w:pStyle w:val="Compact"/>
      </w:pPr>
      <w:r>
        <w:t xml:space="preserve">ECL model plug-in (PD/LGD/EAD from the tenant’s model, or a simple provision-matrix default);</w:t>
      </w:r>
    </w:p>
    <w:p>
      <w:pPr>
        <w:numPr>
          <w:ilvl w:val="1"/>
          <w:numId w:val="1135"/>
        </w:numPr>
        <w:pStyle w:val="Compact"/>
      </w:pPr>
      <w:r>
        <w:t xml:space="preserve">Stage 3 interest on net carrying amount;</w:t>
      </w:r>
    </w:p>
    <w:p>
      <w:pPr>
        <w:numPr>
          <w:ilvl w:val="1"/>
          <w:numId w:val="1135"/>
        </w:numPr>
        <w:pStyle w:val="Compact"/>
      </w:pPr>
      <w:r>
        <w:t xml:space="preserve">write-off;</w:t>
      </w:r>
    </w:p>
    <w:p>
      <w:pPr>
        <w:numPr>
          <w:ilvl w:val="1"/>
          <w:numId w:val="1135"/>
        </w:numPr>
        <w:pStyle w:val="Compact"/>
      </w:pPr>
      <w:r>
        <w:t xml:space="preserve">modification gain/loss;</w:t>
      </w:r>
    </w:p>
    <w:p>
      <w:pPr>
        <w:numPr>
          <w:ilvl w:val="1"/>
          <w:numId w:val="1135"/>
        </w:numPr>
        <w:pStyle w:val="Compact"/>
      </w:pPr>
      <w:r>
        <w:t xml:space="preserve">parallel</w:t>
      </w:r>
      <w:r>
        <w:t xml:space="preserve"> </w:t>
      </w:r>
      <w:r>
        <w:rPr>
          <w:bCs/>
          <w:b/>
        </w:rPr>
        <w:t xml:space="preserve">IRACP</w:t>
      </w:r>
      <w:r>
        <w:t xml:space="preserve"> </w:t>
      </w:r>
      <w:r>
        <w:t xml:space="preserve">with income derecognition on NPA, standard-asset provisioning by layer, and sub-standard, doubtful and loss provisioning (IRACP paras 30–33, 37–40, 48, 55, 58–60; Part 8A.17);</w:t>
      </w:r>
    </w:p>
    <w:p>
      <w:pPr>
        <w:numPr>
          <w:ilvl w:val="1"/>
          <w:numId w:val="1135"/>
        </w:numPr>
        <w:pStyle w:val="Compact"/>
      </w:pPr>
      <w:r>
        <w:t xml:space="preserve">Impairment Reserve, appropriated from profit after tax where the Ind AS 109 allowance is below IRACP. It is not regulatory capital and cannot be withdrawn without DoS permission (IRACP paras 34–35; FS para 12(2)). The appropriation counts toward the prudential floor but not for net NPA (IRACP para 36).</w:t>
      </w:r>
    </w:p>
    <w:p>
      <w:pPr>
        <w:numPr>
          <w:ilvl w:val="1"/>
          <w:numId w:val="1135"/>
        </w:numPr>
        <w:pStyle w:val="Compact"/>
      </w:pPr>
      <w:r>
        <w:t xml:space="preserve">IRACP-vs-Ind AS table (FS 21(15)).</w:t>
      </w:r>
    </w:p>
    <w:p>
      <w:pPr>
        <w:numPr>
          <w:ilvl w:val="1"/>
          <w:numId w:val="1135"/>
        </w:numPr>
        <w:pStyle w:val="Compact"/>
      </w:pPr>
      <w:r>
        <w:t xml:space="preserve">Register of &gt; 90 DPD accounts not treated as impaired, and of SICR rebuttals (never beyond 60 DPD), with Audit Committee approvals (FS 12(1)).</w:t>
      </w:r>
    </w:p>
    <w:p>
      <w:pPr>
        <w:numPr>
          <w:ilvl w:val="1"/>
          <w:numId w:val="1135"/>
        </w:numPr>
        <w:pStyle w:val="Compact"/>
      </w:pPr>
      <w:r>
        <w:rPr>
          <w:bCs/>
          <w:b/>
        </w:rPr>
        <w:t xml:space="preserve">For banks:</w:t>
      </w:r>
      <w:r>
        <w:t xml:space="preserve"> </w:t>
      </w:r>
      <w:r>
        <w:t xml:space="preserve">the RBI (Commercial Banks – Asset Classification, Provisioning and Income Recognition) Directions, 2026 (RBI/DOR/2026-27/398), effective 1 Apr 2027, with ECL stages, floors and the transition add-back specified in Part 7C AC2.6.</w:t>
      </w:r>
    </w:p>
    <w:p>
      <w:pPr>
        <w:numPr>
          <w:ilvl w:val="0"/>
          <w:numId w:val="1131"/>
        </w:numPr>
        <w:pStyle w:val="Compact"/>
      </w:pPr>
      <w:r>
        <w:rPr>
          <w:bCs/>
          <w:b/>
        </w:rPr>
        <w:t xml:space="preserve">Taxes:</w:t>
      </w:r>
    </w:p>
    <w:p>
      <w:pPr>
        <w:numPr>
          <w:ilvl w:val="1"/>
          <w:numId w:val="1136"/>
        </w:numPr>
        <w:pStyle w:val="Compact"/>
      </w:pPr>
      <w:r>
        <w:t xml:space="preserve">GST invoices and credit notes for fee income, with HSN/SAC and place of supply;</w:t>
      </w:r>
    </w:p>
    <w:p>
      <w:pPr>
        <w:numPr>
          <w:ilvl w:val="1"/>
          <w:numId w:val="1136"/>
        </w:numPr>
        <w:pStyle w:val="Compact"/>
      </w:pPr>
      <w:r>
        <w:t xml:space="preserve">GSTR-1 data extract;</w:t>
      </w:r>
    </w:p>
    <w:p>
      <w:pPr>
        <w:numPr>
          <w:ilvl w:val="1"/>
          <w:numId w:val="1136"/>
        </w:numPr>
        <w:pStyle w:val="Compact"/>
      </w:pPr>
      <w:r>
        <w:t xml:space="preserve">e-invoicing: banks, NBFCs and other financial institutions are exempt under Notification 13/2020-Central Tax (21 Mar 2020, as amended). Keep the IRP adapter optional for non-exempt group entities;</w:t>
      </w:r>
    </w:p>
    <w:p>
      <w:pPr>
        <w:numPr>
          <w:ilvl w:val="1"/>
          <w:numId w:val="1136"/>
        </w:numPr>
        <w:pStyle w:val="Compact"/>
      </w:pPr>
      <w:r>
        <w:t xml:space="preserve">TDS on vendor/DSA payments with statement data files: Forms 140 and 138 under the Income-tax Act 2025 from tax year 2026-27, Forms 26Q and 24Q for FY 2025-26 and earlier (Part 7C AC5);</w:t>
      </w:r>
    </w:p>
    <w:p>
      <w:pPr>
        <w:numPr>
          <w:ilvl w:val="1"/>
          <w:numId w:val="1136"/>
        </w:numPr>
        <w:pStyle w:val="Compact"/>
      </w:pPr>
      <w:r>
        <w:t xml:space="preserve">TDS receivable on interest, matched to Form 168 (Form 26AS for FY 2025-26 and earlier; Part 7C AC5.3).</w:t>
      </w:r>
    </w:p>
    <w:p>
      <w:pPr>
        <w:numPr>
          <w:ilvl w:val="0"/>
          <w:numId w:val="1131"/>
        </w:numPr>
        <w:pStyle w:val="Compact"/>
      </w:pPr>
      <w:r>
        <w:rPr>
          <w:bCs/>
          <w:b/>
        </w:rPr>
        <w:t xml:space="preserve">Bank and treasury:</w:t>
      </w:r>
    </w:p>
    <w:p>
      <w:pPr>
        <w:numPr>
          <w:ilvl w:val="1"/>
          <w:numId w:val="1137"/>
        </w:numPr>
        <w:pStyle w:val="Compact"/>
      </w:pPr>
      <w:r>
        <w:t xml:space="preserve">bank accounts master;</w:t>
      </w:r>
    </w:p>
    <w:p>
      <w:pPr>
        <w:numPr>
          <w:ilvl w:val="1"/>
          <w:numId w:val="1137"/>
        </w:numPr>
        <w:pStyle w:val="Compact"/>
      </w:pPr>
      <w:r>
        <w:t xml:space="preserve">automated bank reconciliation (statement import, H2H and API feeds);</w:t>
      </w:r>
    </w:p>
    <w:p>
      <w:pPr>
        <w:numPr>
          <w:ilvl w:val="1"/>
          <w:numId w:val="1137"/>
        </w:numPr>
        <w:pStyle w:val="Compact"/>
      </w:pPr>
      <w:r>
        <w:t xml:space="preserve">cash and vault management for branches;</w:t>
      </w:r>
    </w:p>
    <w:p>
      <w:pPr>
        <w:numPr>
          <w:ilvl w:val="1"/>
          <w:numId w:val="1137"/>
        </w:numPr>
        <w:pStyle w:val="Compact"/>
      </w:pPr>
      <w:r>
        <w:t xml:space="preserve">fund transfers between accounts with maker-checker.</w:t>
      </w:r>
      <w:r>
        <w:t xml:space="preserve"> </w:t>
      </w:r>
      <w:r>
        <w:t xml:space="preserve">7A.</w:t>
      </w:r>
      <w:r>
        <w:t xml:space="preserve"> </w:t>
      </w:r>
      <w:r>
        <w:rPr>
          <w:bCs/>
          <w:b/>
        </w:rPr>
        <w:t xml:space="preserve">Investment portfolio</w:t>
      </w:r>
      <w:r>
        <w:t xml:space="preserve"> </w:t>
      </w:r>
      <w:r>
        <w:t xml:space="preserve">(INV Directions, Part 8A.5):</w:t>
      </w:r>
    </w:p>
    <w:p>
      <w:pPr>
        <w:numPr>
          <w:ilvl w:val="1"/>
          <w:numId w:val="1137"/>
        </w:numPr>
        <w:pStyle w:val="Compact"/>
      </w:pPr>
      <w:r>
        <w:t xml:space="preserve">security master;</w:t>
      </w:r>
    </w:p>
    <w:p>
      <w:pPr>
        <w:numPr>
          <w:ilvl w:val="1"/>
          <w:numId w:val="1137"/>
        </w:numPr>
        <w:pStyle w:val="Compact"/>
      </w:pPr>
      <w:r>
        <w:t xml:space="preserve">classification at acquisition per the accounting standard;</w:t>
      </w:r>
    </w:p>
    <w:p>
      <w:pPr>
        <w:numPr>
          <w:ilvl w:val="1"/>
          <w:numId w:val="1137"/>
        </w:numPr>
        <w:pStyle w:val="Compact"/>
      </w:pPr>
      <w:r>
        <w:t xml:space="preserve">non-Ind AS valuation, and inter-class transfers only on 1 April / 1 October;</w:t>
      </w:r>
    </w:p>
    <w:p>
      <w:pPr>
        <w:numPr>
          <w:ilvl w:val="1"/>
          <w:numId w:val="1137"/>
        </w:numPr>
        <w:pStyle w:val="Compact"/>
      </w:pPr>
      <w:r>
        <w:t xml:space="preserve">income recognition;</w:t>
      </w:r>
    </w:p>
    <w:p>
      <w:pPr>
        <w:numPr>
          <w:ilvl w:val="1"/>
          <w:numId w:val="1137"/>
        </w:numPr>
        <w:pStyle w:val="Compact"/>
      </w:pPr>
      <w:r>
        <w:t xml:space="preserve">AIF investments: from 1 Jan 2026 the 10% individual and 20% collective corpus caps and the 100% look-through provision of the RBI (Investment in AIF) Directions, 2025 (Part 8A.5 v1.5 note; Part 7H IV4.1); the 30-day exit or 100% provision only for legacy commitments kept under the old regime;</w:t>
      </w:r>
    </w:p>
    <w:p>
      <w:pPr>
        <w:numPr>
          <w:ilvl w:val="1"/>
          <w:numId w:val="1137"/>
        </w:numPr>
        <w:pStyle w:val="Compact"/>
      </w:pPr>
      <w:r>
        <w:t xml:space="preserve">OTC bond trade reporting within 15 minutes;</w:t>
      </w:r>
    </w:p>
    <w:p>
      <w:pPr>
        <w:numPr>
          <w:ilvl w:val="1"/>
          <w:numId w:val="1137"/>
        </w:numPr>
        <w:pStyle w:val="Compact"/>
      </w:pPr>
      <w:r>
        <w:t xml:space="preserve">hedge-only flags;</w:t>
      </w:r>
    </w:p>
    <w:p>
      <w:pPr>
        <w:numPr>
          <w:ilvl w:val="1"/>
          <w:numId w:val="1137"/>
        </w:numPr>
        <w:pStyle w:val="Compact"/>
      </w:pPr>
      <w:r>
        <w:t xml:space="preserve">every investment feeds the exposure engine.</w:t>
      </w:r>
    </w:p>
    <w:p>
      <w:pPr>
        <w:numPr>
          <w:ilvl w:val="0"/>
          <w:numId w:val="1131"/>
        </w:numPr>
        <w:pStyle w:val="Compact"/>
      </w:pPr>
      <w:r>
        <w:rPr>
          <w:bCs/>
          <w:b/>
        </w:rPr>
        <w:t xml:space="preserve">Borrowings and liabilities management</w:t>
      </w:r>
      <w:r>
        <w:t xml:space="preserve"> </w:t>
      </w:r>
      <w:r>
        <w:t xml:space="preserve">(an NBFC’s funding side):</w:t>
      </w:r>
    </w:p>
    <w:p>
      <w:pPr>
        <w:numPr>
          <w:ilvl w:val="1"/>
          <w:numId w:val="1138"/>
        </w:numPr>
        <w:pStyle w:val="Compact"/>
      </w:pPr>
      <w:r>
        <w:t xml:space="preserve">term loans from banks, NCDs, CPs, ECBs, sub-debt, inter-corporate deposits, securitisation liabilities;</w:t>
      </w:r>
    </w:p>
    <w:p>
      <w:pPr>
        <w:numPr>
          <w:ilvl w:val="1"/>
          <w:numId w:val="1138"/>
        </w:numPr>
        <w:pStyle w:val="Compact"/>
      </w:pPr>
      <w:r>
        <w:t xml:space="preserve">repayment and interest schedules, accruals, covenants, security cover and asset-cover certificates;</w:t>
      </w:r>
    </w:p>
    <w:p>
      <w:pPr>
        <w:numPr>
          <w:ilvl w:val="1"/>
          <w:numId w:val="1138"/>
        </w:numPr>
        <w:pStyle w:val="Compact"/>
      </w:pPr>
      <w:r>
        <w:t xml:space="preserve">drawdown and repayment workflow;</w:t>
      </w:r>
    </w:p>
    <w:p>
      <w:pPr>
        <w:numPr>
          <w:ilvl w:val="1"/>
          <w:numId w:val="1138"/>
        </w:numPr>
        <w:pStyle w:val="Compact"/>
      </w:pPr>
      <w:r>
        <w:t xml:space="preserve">lender-wise MIS;</w:t>
      </w:r>
    </w:p>
    <w:p>
      <w:pPr>
        <w:numPr>
          <w:ilvl w:val="1"/>
          <w:numId w:val="1138"/>
        </w:numPr>
        <w:pStyle w:val="Compact"/>
      </w:pPr>
      <w:r>
        <w:t xml:space="preserve">book-debt hypothecation statements.</w:t>
      </w:r>
    </w:p>
    <w:p>
      <w:pPr>
        <w:numPr>
          <w:ilvl w:val="0"/>
          <w:numId w:val="1131"/>
        </w:numPr>
        <w:pStyle w:val="Compact"/>
      </w:pPr>
      <w:r>
        <w:rPr>
          <w:bCs/>
          <w:b/>
        </w:rPr>
        <w:t xml:space="preserve">Month-end and year-end close:</w:t>
      </w:r>
    </w:p>
    <w:p>
      <w:pPr>
        <w:numPr>
          <w:ilvl w:val="1"/>
          <w:numId w:val="1139"/>
        </w:numPr>
        <w:pStyle w:val="Compact"/>
      </w:pPr>
      <w:r>
        <w:t xml:space="preserve">close checklist;</w:t>
      </w:r>
    </w:p>
    <w:p>
      <w:pPr>
        <w:numPr>
          <w:ilvl w:val="1"/>
          <w:numId w:val="1139"/>
        </w:numPr>
        <w:pStyle w:val="Compact"/>
      </w:pPr>
      <w:r>
        <w:t xml:space="preserve">accrual and provision runs;</w:t>
      </w:r>
    </w:p>
    <w:p>
      <w:pPr>
        <w:numPr>
          <w:ilvl w:val="1"/>
          <w:numId w:val="1139"/>
        </w:numPr>
        <w:pStyle w:val="Compact"/>
      </w:pPr>
      <w:r>
        <w:t xml:space="preserve">reconciliations;</w:t>
      </w:r>
    </w:p>
    <w:p>
      <w:pPr>
        <w:numPr>
          <w:ilvl w:val="1"/>
          <w:numId w:val="1139"/>
        </w:numPr>
        <w:pStyle w:val="Compact"/>
      </w:pPr>
      <w:r>
        <w:t xml:space="preserve">lock;</w:t>
      </w:r>
    </w:p>
    <w:p>
      <w:pPr>
        <w:numPr>
          <w:ilvl w:val="1"/>
          <w:numId w:val="1139"/>
        </w:numPr>
        <w:pStyle w:val="Compact"/>
      </w:pPr>
      <w:r>
        <w:t xml:space="preserve">financial statements (Balance Sheet, P&amp;L, Cash Flow) per the RBI (NBFC – Financial Statements: Presentation and Disclosures) Directions, 2025 and Schedule III to the Companies Act, 2013 (Division III for Ind AS NBFCs; Division I for non-Ind AS NBFCs);</w:t>
      </w:r>
    </w:p>
    <w:p>
      <w:pPr>
        <w:numPr>
          <w:ilvl w:val="1"/>
          <w:numId w:val="1139"/>
        </w:numPr>
        <w:pStyle w:val="Compact"/>
      </w:pPr>
      <w:r>
        <w:t xml:space="preserve">the disclosure engine under the FS Directions (Part 8A.8): Annex I Schedule; C.1 items for all NBFCs; C.2 for ML/UL; C.3 for UL; versioned templates with comparatives and nil-line suppression; quarterly website publications as scheduled jobs with evidence;</w:t>
      </w:r>
    </w:p>
    <w:p>
      <w:pPr>
        <w:numPr>
          <w:ilvl w:val="1"/>
          <w:numId w:val="1139"/>
        </w:numPr>
        <w:pStyle w:val="Compact"/>
      </w:pPr>
      <w:r>
        <w:t xml:space="preserve">other notes: gold/silver loans as % of total assets (CF para 50); fraud amount (FRM para 12); loans to directors, senior officers and relatives (CRM Annex I; FS 21(11)); related-party loans (FS 21(9A)).</w:t>
      </w:r>
    </w:p>
    <w:p>
      <w:pPr>
        <w:numPr>
          <w:ilvl w:val="0"/>
          <w:numId w:val="1131"/>
        </w:numPr>
        <w:pStyle w:val="Compact"/>
      </w:pPr>
      <w:r>
        <w:rPr>
          <w:bCs/>
          <w:b/>
        </w:rPr>
        <w:t xml:space="preserve">Accounting integrations:</w:t>
      </w:r>
    </w:p>
    <w:p>
      <w:pPr>
        <w:numPr>
          <w:ilvl w:val="1"/>
          <w:numId w:val="1140"/>
        </w:numPr>
        <w:pStyle w:val="Compact"/>
      </w:pPr>
      <w:r>
        <w:rPr>
          <w:bCs/>
          <w:b/>
        </w:rPr>
        <w:t xml:space="preserve">TallyPrime</w:t>
      </w:r>
      <w:r>
        <w:t xml:space="preserve"> </w:t>
      </w:r>
      <w:r>
        <w:t xml:space="preserve">(native JSON import/export since TallyPrime 7.0, Dec 2025; XML over HTTP remains supported): through a</w:t>
      </w:r>
      <w:r>
        <w:t xml:space="preserve"> </w:t>
      </w:r>
      <w:r>
        <w:rPr>
          <w:bCs/>
          <w:b/>
        </w:rPr>
        <w:t xml:space="preserve">local connector agent</w:t>
      </w:r>
      <w:r>
        <w:t xml:space="preserve"> </w:t>
      </w:r>
      <w:r>
        <w:t xml:space="preserve">on the client’s Tally machine, because Tally has no built-in API authentication. Push vouchers, ledgers and masters; reconcile.</w:t>
      </w:r>
    </w:p>
    <w:p>
      <w:pPr>
        <w:numPr>
          <w:ilvl w:val="1"/>
          <w:numId w:val="1140"/>
        </w:numPr>
        <w:pStyle w:val="Compact"/>
      </w:pPr>
      <w:r>
        <w:rPr>
          <w:bCs/>
          <w:b/>
        </w:rPr>
        <w:t xml:space="preserve">SAP S/4HANA</w:t>
      </w:r>
      <w:r>
        <w:t xml:space="preserve"> </w:t>
      </w:r>
      <w:r>
        <w:t xml:space="preserve">(OData Journal Entry APIs) and SAP Business One (Service Layer).</w:t>
      </w:r>
    </w:p>
    <w:p>
      <w:pPr>
        <w:numPr>
          <w:ilvl w:val="1"/>
          <w:numId w:val="1140"/>
        </w:numPr>
        <w:pStyle w:val="Compact"/>
      </w:pPr>
      <w:r>
        <w:rPr>
          <w:bCs/>
          <w:b/>
        </w:rPr>
        <w:t xml:space="preserve">Zoho Books.</w:t>
      </w:r>
    </w:p>
    <w:p>
      <w:pPr>
        <w:numPr>
          <w:ilvl w:val="1"/>
          <w:numId w:val="1140"/>
        </w:numPr>
        <w:pStyle w:val="Compact"/>
      </w:pPr>
      <w:r>
        <w:t xml:space="preserve">Configurable export formats (Excel/CSV/XML/JSON) for any other system.</w:t>
      </w:r>
    </w:p>
    <w:p>
      <w:pPr>
        <w:numPr>
          <w:ilvl w:val="0"/>
          <w:numId w:val="1131"/>
        </w:numPr>
        <w:pStyle w:val="Compact"/>
      </w:pPr>
      <w:r>
        <w:rPr>
          <w:bCs/>
          <w:b/>
        </w:rPr>
        <w:t xml:space="preserve">Recovery accounting (Part 7A, R12):</w:t>
      </w:r>
      <w:r>
        <w:t xml:space="preserve"> </w:t>
      </w:r>
      <w:r>
        <w:t xml:space="preserve">appropriation policies, the legal-cost memo ledger, technical and post-write-off sub-ledgers, SARFAESI sale proceeds under s.13(7), auction surplus, DLG recovery shares, RCM GST and TDS on legal and agency fees, and ARC-sale and settlement postings are specified in R12 and post through this ledger engine. Recovery exports include Tally Prime XML and SAP formats.</w:t>
      </w:r>
    </w:p>
    <w:bookmarkEnd w:id="83"/>
    <w:bookmarkStart w:id="84" w:name="X69f03c8f0b5fd91049897c0e6ae5f9c3f63ec8f"/>
    <w:p>
      <w:pPr>
        <w:pStyle w:val="Heading2"/>
      </w:pPr>
      <w:r>
        <w:t xml:space="preserve">M11. Co-lending, direct assignment and securitisation</w:t>
      </w:r>
    </w:p>
    <w:p>
      <w:pPr>
        <w:pStyle w:val="FirstParagraph"/>
      </w:pPr>
      <w:r>
        <w:rPr>
          <w:bCs/>
          <w:b/>
        </w:rPr>
        <w:t xml:space="preserve">v1.5 pointer.</w:t>
      </w:r>
      <w:r>
        <w:t xml:space="preserve"> </w:t>
      </w:r>
      <w:r>
        <w:t xml:space="preserve">Part 7H IV7 extends this module with securitisation servicing (transaction states, collections held in trust, the remittance waterfall to the SPV, servicer and investor reports, replenishment and the recycling rule, the clean-up call gate, servicer replacement), loan-transfer validator additions and the co-lending partner validator. Credit co-operative societies are not regulated entities and can be neither co-lending partners nor transferors or transferees of NBFC loans (TDCR paras 7, 12(4), 12(8), 97); Part 7G IP2.13 gives the lawful alternatives. ARC sales and stressed-asset acquisition are profiled in Part 7G IP5.</w:t>
      </w:r>
    </w:p>
    <w:p>
      <w:pPr>
        <w:numPr>
          <w:ilvl w:val="0"/>
          <w:numId w:val="1141"/>
        </w:numPr>
        <w:pStyle w:val="Compact"/>
      </w:pPr>
      <w:r>
        <w:rPr>
          <w:bCs/>
          <w:b/>
        </w:rPr>
        <w:t xml:space="preserve">Co-lending:</w:t>
      </w:r>
      <w:r>
        <w:t xml:space="preserve"> </w:t>
      </w:r>
      <w:r>
        <w:t xml:space="preserve">Part B of the RBI (NBFC – Transfer and Distribution of Credit Risk) Directions, 2025 (TDCR paras 95–127; in force 1 Jan 2026 or an earlier date set by internal policy; CLAs entered into before that date stay under the earlier rules, paras 2, 95–96). Not applicable to multiple banking, consortium or syndication (para 99). Eligible partners: SCBs excluding SFBs/LABs/RRBs, AIFIs, NBFCs incl. HFCs (para 97). The engine must handle:</w:t>
      </w:r>
    </w:p>
    <w:p>
      <w:pPr>
        <w:numPr>
          <w:ilvl w:val="1"/>
          <w:numId w:val="1142"/>
        </w:numPr>
        <w:pStyle w:val="Compact"/>
      </w:pPr>
      <w:r>
        <w:t xml:space="preserve">partner master and agreements;</w:t>
      </w:r>
    </w:p>
    <w:p>
      <w:pPr>
        <w:numPr>
          <w:ilvl w:val="1"/>
          <w:numId w:val="1142"/>
        </w:numPr>
        <w:pStyle w:val="Compact"/>
      </w:pPr>
      <w:r>
        <w:t xml:space="preserve">minimum 10% of each individual loan retained by each NBFC party to the CLA (TDCR para 102); the partner’s back-to-back commitment is irrevocable (para 112); separate borrower account per lender for its share (para 116);</w:t>
      </w:r>
    </w:p>
    <w:p>
      <w:pPr>
        <w:numPr>
          <w:ilvl w:val="1"/>
          <w:numId w:val="1142"/>
        </w:numPr>
        <w:pStyle w:val="Compact"/>
      </w:pPr>
      <w:r>
        <w:t xml:space="preserve">both books reflect the shares within 15 calendar days of disbursement; otherwise the loan stays with the originator and may be sold only under TDCR Part A (paras 113, 115); transfer only to the partner named in the agreement and the KFS (para 114);</w:t>
      </w:r>
    </w:p>
    <w:p>
      <w:pPr>
        <w:numPr>
          <w:ilvl w:val="1"/>
          <w:numId w:val="1142"/>
        </w:numPr>
        <w:pStyle w:val="Compact"/>
      </w:pPr>
      <w:r>
        <w:t xml:space="preserve">an escrow account with a bank (which may be one of the co-lenders) for all disbursements and repayments, between the lenders and with the borrower, with appropriation rules in the agreement (TDCR para 117), controlled only by the co-lenders (CF para 10, Note);</w:t>
      </w:r>
    </w:p>
    <w:p>
      <w:pPr>
        <w:numPr>
          <w:ilvl w:val="1"/>
          <w:numId w:val="1142"/>
        </w:numPr>
        <w:pStyle w:val="Compact"/>
      </w:pPr>
      <w:r>
        <w:t xml:space="preserve">a single blended rate to the borrower: the funding-share-weighted average of each lender’s rate, with any other fees reflected in the APR and KFS (TDCR paras 108–110); any partner rate change recomputes the blended rate and is communicated to the borrower (para 109); lending-service fees on objective criteria with no credit-enhancement or DLG element (para 111);</w:t>
      </w:r>
    </w:p>
    <w:p>
      <w:pPr>
        <w:numPr>
          <w:ilvl w:val="1"/>
          <w:numId w:val="1142"/>
        </w:numPr>
        <w:pStyle w:val="Compact"/>
      </w:pPr>
      <w:r>
        <w:t xml:space="preserve">partner-level income splits per the agreement;</w:t>
      </w:r>
    </w:p>
    <w:p>
      <w:pPr>
        <w:numPr>
          <w:ilvl w:val="1"/>
          <w:numId w:val="1142"/>
        </w:numPr>
        <w:pStyle w:val="Compact"/>
      </w:pPr>
      <w:r>
        <w:rPr>
          <w:bCs/>
          <w:b/>
        </w:rPr>
        <w:t xml:space="preserve">borrower-level SMA/NPA sync across partners, near-real time and by the end of the next working day at the latest</w:t>
      </w:r>
      <w:r>
        <w:t xml:space="preserve"> </w:t>
      </w:r>
      <w:r>
        <w:t xml:space="preserve">(TDCR para 124);</w:t>
      </w:r>
    </w:p>
    <w:p>
      <w:pPr>
        <w:numPr>
          <w:ilvl w:val="1"/>
          <w:numId w:val="1142"/>
        </w:numPr>
        <w:pStyle w:val="Compact"/>
      </w:pPr>
      <w:r>
        <w:t xml:space="preserve">each lender reports its own share to CICs (TDCR para 122);</w:t>
      </w:r>
    </w:p>
    <w:p>
      <w:pPr>
        <w:numPr>
          <w:ilvl w:val="1"/>
          <w:numId w:val="1142"/>
        </w:numPr>
        <w:pStyle w:val="Compact"/>
      </w:pPr>
      <w:r>
        <w:t xml:space="preserve">DLG only by the originating NBFC, up to 5% of loans outstanding under the CLA, governed mutatis mutandis by CF paras 19–29 (TDCR para 123; DLG defined in para 111, Explanation (2)). The cap base is loans outstanding under the CLA, not CF para 24’s amount disbursed; keep a separate CLA DLG ledger;</w:t>
      </w:r>
    </w:p>
    <w:p>
      <w:pPr>
        <w:numPr>
          <w:ilvl w:val="1"/>
          <w:numId w:val="1142"/>
        </w:numPr>
        <w:pStyle w:val="Compact"/>
      </w:pPr>
      <w:r>
        <w:t xml:space="preserve">the list of active co-lending partners published on the website (TDCR para 126; FS para 21(4)); annual aggregate CLA notes to accounts (TDCR para 127);</w:t>
      </w:r>
    </w:p>
    <w:p>
      <w:pPr>
        <w:numPr>
          <w:ilvl w:val="1"/>
          <w:numId w:val="1142"/>
        </w:numPr>
        <w:pStyle w:val="Compact"/>
      </w:pPr>
      <w:r>
        <w:t xml:space="preserve">co-lending disclosures in the KFS and the loan agreement: roles, single point of customer interface, change only after prior intimation (TDCR paras 105–106); unrealised CLA profit deducted from CET1/NOF (para 107); BCP on CLA termination (para 119); onward transfer only under Part A with mutual consent (para 125);</w:t>
      </w:r>
    </w:p>
    <w:p>
      <w:pPr>
        <w:numPr>
          <w:ilvl w:val="1"/>
          <w:numId w:val="1142"/>
        </w:numPr>
        <w:pStyle w:val="Compact"/>
      </w:pPr>
      <w:r>
        <w:t xml:space="preserve">partner reconciliation and servicer reports.</w:t>
      </w:r>
    </w:p>
    <w:p>
      <w:pPr>
        <w:numPr>
          <w:ilvl w:val="0"/>
          <w:numId w:val="1141"/>
        </w:numPr>
        <w:pStyle w:val="Compact"/>
      </w:pPr>
      <w:r>
        <w:rPr>
          <w:bCs/>
          <w:b/>
        </w:rPr>
        <w:t xml:space="preserve">Direct assignment, loan participation and stressed-loan sales</w:t>
      </w:r>
      <w:r>
        <w:t xml:space="preserve"> </w:t>
      </w:r>
      <w:r>
        <w:t xml:space="preserve">(TDCR Part A, paras 6–94)</w:t>
      </w:r>
      <w:r>
        <w:t xml:space="preserve"> </w:t>
      </w:r>
      <w:r>
        <w:rPr>
          <w:bCs/>
          <w:b/>
        </w:rPr>
        <w:t xml:space="preserve">and securitisation</w:t>
      </w:r>
      <w:r>
        <w:t xml:space="preserve"> </w:t>
      </w:r>
      <w:r>
        <w:t xml:space="preserve">(SEC, RBI/DOR/2025-26/353):</w:t>
      </w:r>
    </w:p>
    <w:p>
      <w:pPr>
        <w:numPr>
          <w:ilvl w:val="1"/>
          <w:numId w:val="1143"/>
        </w:numPr>
        <w:pStyle w:val="Compact"/>
      </w:pPr>
      <w:r>
        <w:t xml:space="preserve">pool selection with eligibility filters: standard loans only; no synthetic or re-securitisation; no revolving, bullet (except the agri and trade-receivable proviso), residual maturity &lt; 365 days, restructured-in-specified-period or lender exposures (SEC paras 5–6); no default or SMA for DA (TDCR paras 12(11), 33);</w:t>
      </w:r>
    </w:p>
    <w:p>
      <w:pPr>
        <w:numPr>
          <w:ilvl w:val="1"/>
          <w:numId w:val="1143"/>
        </w:numPr>
        <w:pStyle w:val="Compact"/>
      </w:pPr>
      <w:r>
        <w:t xml:space="preserve">MHP checks (TDCR para 43; for securitised mortgages, from the later of full disbursement and CERSAI registration, SEC para 7); 10% DA retention where portfolio-level due diligence is used (TDCR para 40); securitisation MRR 5% (≤ 24 months, and RMBS) or 10% (&gt; 24 months, and bullet loans), in the prescribed form, unhedged and maintained for life (SEC paras 10–14); originator retained exposure ≤ 20% (SEC para 23);</w:t>
      </w:r>
    </w:p>
    <w:p>
      <w:pPr>
        <w:numPr>
          <w:ilvl w:val="1"/>
          <w:numId w:val="1143"/>
        </w:numPr>
        <w:pStyle w:val="Compact"/>
      </w:pPr>
      <w:r>
        <w:t xml:space="preserve">pool tagging;</w:t>
      </w:r>
    </w:p>
    <w:p>
      <w:pPr>
        <w:numPr>
          <w:ilvl w:val="1"/>
          <w:numId w:val="1143"/>
        </w:numPr>
        <w:pStyle w:val="Compact"/>
      </w:pPr>
      <w:r>
        <w:t xml:space="preserve">sale accounting: cash only, with consideration received at transfer (TDCR para 38; SEC para 31); Ind AS NBFCs follow Ind AS 109 and ICAI advisories (TDCR para 72; SEC para 32); unrealised profit deducted from CET1/NOF (TDCR para 45), or for non-Ind AS securitisation held in</w:t>
      </w:r>
      <w:r>
        <w:t xml:space="preserve"> </w:t>
      </w:r>
      <w:r>
        <w:t xml:space="preserve">“</w:t>
      </w:r>
      <w:r>
        <w:t xml:space="preserve">Unrealised Gain on Loan Transfer Transactions</w:t>
      </w:r>
      <w:r>
        <w:t xml:space="preserve">”</w:t>
      </w:r>
      <w:r>
        <w:t xml:space="preserve"> </w:t>
      </w:r>
      <w:r>
        <w:t xml:space="preserve">(SEC para 34);</w:t>
      </w:r>
    </w:p>
    <w:p>
      <w:pPr>
        <w:numPr>
          <w:ilvl w:val="1"/>
          <w:numId w:val="1143"/>
        </w:numPr>
        <w:pStyle w:val="Compact"/>
      </w:pPr>
      <w:r>
        <w:t xml:space="preserve">servicing of sold pools: collections held in trust, no commingling, remit only after collection (TDCR para 30; SEC para 95); CE, liquidity and underwriting facility conditions (SEC paras 80–94);</w:t>
      </w:r>
    </w:p>
    <w:p>
      <w:pPr>
        <w:numPr>
          <w:ilvl w:val="1"/>
          <w:numId w:val="1143"/>
        </w:numPr>
        <w:pStyle w:val="Compact"/>
      </w:pPr>
      <w:r>
        <w:t xml:space="preserve">collection waterfalls;</w:t>
      </w:r>
    </w:p>
    <w:p>
      <w:pPr>
        <w:numPr>
          <w:ilvl w:val="1"/>
          <w:numId w:val="1143"/>
        </w:numPr>
        <w:pStyle w:val="Compact"/>
      </w:pPr>
      <w:r>
        <w:t xml:space="preserve">investor and trustee reports incl. Annex I MHP/MRR disclosure at origination, half-yearly and on breach (SEC paras 112–113); 14-day risk-profile notice (SEC para 22); quarterly RBI report (SEC para 115); STC checker (SEC paras 35–79);</w:t>
      </w:r>
    </w:p>
    <w:p>
      <w:pPr>
        <w:numPr>
          <w:ilvl w:val="1"/>
          <w:numId w:val="1143"/>
        </w:numPr>
        <w:pStyle w:val="Compact"/>
      </w:pPr>
      <w:r>
        <w:t xml:space="preserve">no buy-back: re-acquisition only under a resolution plan (TDCR para 17); replacement for breach of reps and warranties within 30 days for DA (TDCR para 52(4)) and 120 days for securitisation (SEC para 30(5)), each notified to RBI DoS (TDCR para 24; SEC para 30(7)); clean-up call as defined in SEC para 4(2), exercisable only at the originator’s discretion, at arm’s length and when the outstanding is ≤ 10% of the original value of the exposures or notes, and never as credit enhancement (CAP para 27(2), (6)–(8); resolved in v1.5; gate GR-7H-09, Part 7H IV7.7);</w:t>
      </w:r>
    </w:p>
    <w:p>
      <w:pPr>
        <w:numPr>
          <w:ilvl w:val="1"/>
          <w:numId w:val="1143"/>
        </w:numPr>
        <w:pStyle w:val="Compact"/>
      </w:pPr>
      <w:r>
        <w:t xml:space="preserve">stressed-loan sales: Board NPA review (TDCR para 56), two external valuations ≥ ₹100 crore (57), Swiss challenge (60, 89–92), 12-month cooling (61), ARC transfer accounting and SR valuation (78–86); acquired stressed loans classified and provisioned per paras 69–71 and held ≥ 6 months (74);</w:t>
      </w:r>
    </w:p>
    <w:p>
      <w:pPr>
        <w:numPr>
          <w:ilvl w:val="1"/>
          <w:numId w:val="1143"/>
        </w:numPr>
        <w:pStyle w:val="Compact"/>
      </w:pPr>
      <w:r>
        <w:t xml:space="preserve">loan-transfer trade reporting; database until the platform is notified (TDCR para 94).</w:t>
      </w:r>
    </w:p>
    <w:p>
      <w:pPr>
        <w:numPr>
          <w:ilvl w:val="0"/>
          <w:numId w:val="1141"/>
        </w:numPr>
        <w:pStyle w:val="Compact"/>
      </w:pPr>
      <w:r>
        <w:rPr>
          <w:bCs/>
          <w:b/>
        </w:rPr>
        <w:t xml:space="preserve">Recovery on shared exposures</w:t>
      </w:r>
      <w:r>
        <w:t xml:space="preserve"> </w:t>
      </w:r>
      <w:r>
        <w:t xml:space="preserve">(co-lent, transferred, securitised and ARC-sold loans, and consortium or ICA accounts) is specified in Part 7A, R13: who decides and who executes each recovery action, classification sync, servicer duties, joint-security enforcement (SARFAESI s.13(9)) and the ICA vote engine. M11 supplies the agreements, shares and ledgers that R13 reads.</w:t>
      </w:r>
    </w:p>
    <w:bookmarkEnd w:id="84"/>
    <w:bookmarkStart w:id="85" w:name="m12.-risk-management"/>
    <w:p>
      <w:pPr>
        <w:pStyle w:val="Heading2"/>
      </w:pPr>
      <w:r>
        <w:t xml:space="preserve">M12. Risk management</w:t>
      </w:r>
    </w:p>
    <w:p>
      <w:pPr>
        <w:pStyle w:val="FirstParagraph"/>
      </w:pPr>
      <w:r>
        <w:rPr>
          <w:bCs/>
          <w:b/>
        </w:rPr>
        <w:t xml:space="preserve">v1.5 pointer.</w:t>
      </w:r>
      <w:r>
        <w:t xml:space="preserve"> </w:t>
      </w:r>
      <w:r>
        <w:t xml:space="preserve">Part 7E extends this module into the tenant’s full risk-management function: CRO, RMC and risk-appetite governance (RK1); risk register, KRIs, loss events, RCSA and the LawDocsComply risk feed (RK2); the capital adequacy engine for every entity type, including the banks’ 1 April 2027 changes (RK3); liquidity, ALM, LCR and interest-rate risk (RK4); concentration, large-exposure and related-party limits (RK5); the governed ratio library (RK6); ICAAP, stress testing and PCA monitoring (RK7); and certified KMP, committee and Board dashboards (RK8). The engines below remain the computation core that Part 7E governs. Basel Pillar 2 and Pillar 3 apply only where the tenant’s own Directions require them (banks; ICAAP for ML and above under CAP para 54).</w:t>
      </w:r>
    </w:p>
    <w:p>
      <w:pPr>
        <w:numPr>
          <w:ilvl w:val="0"/>
          <w:numId w:val="1144"/>
        </w:numPr>
        <w:pStyle w:val="Compact"/>
      </w:pPr>
      <w:r>
        <w:rPr>
          <w:bCs/>
          <w:b/>
        </w:rPr>
        <w:t xml:space="preserve">Credit risk:</w:t>
      </w:r>
    </w:p>
    <w:p>
      <w:pPr>
        <w:numPr>
          <w:ilvl w:val="1"/>
          <w:numId w:val="1145"/>
        </w:numPr>
        <w:pStyle w:val="Compact"/>
      </w:pPr>
      <w:r>
        <w:t xml:space="preserve">portfolio quality: vintage curves, roll rates, flow rates, PAR/DPD buckets;</w:t>
      </w:r>
    </w:p>
    <w:p>
      <w:pPr>
        <w:numPr>
          <w:ilvl w:val="1"/>
          <w:numId w:val="1145"/>
        </w:numPr>
        <w:pStyle w:val="Compact"/>
      </w:pPr>
      <w:r>
        <w:rPr>
          <w:bCs/>
          <w:b/>
        </w:rPr>
        <w:t xml:space="preserve">exposure engine and concentration limits</w:t>
      </w:r>
      <w:r>
        <w:t xml:space="preserve"> </w:t>
      </w:r>
      <w:r>
        <w:t xml:space="preserve">(CON Directions, Part 8A.4):</w:t>
      </w:r>
    </w:p>
    <w:p>
      <w:pPr>
        <w:numPr>
          <w:ilvl w:val="2"/>
          <w:numId w:val="1146"/>
        </w:numPr>
        <w:pStyle w:val="Compact"/>
      </w:pPr>
      <w:r>
        <w:t xml:space="preserve">BL Board limits, plus unsecured consumer-credit sub-limits monitored by the RMC (paras 6–9);</w:t>
      </w:r>
    </w:p>
    <w:p>
      <w:pPr>
        <w:numPr>
          <w:ilvl w:val="2"/>
          <w:numId w:val="1146"/>
        </w:numPr>
        <w:pStyle w:val="Compact"/>
      </w:pPr>
      <w:r>
        <w:t xml:space="preserve">ML single/group 25% / 40% of Tier 1, IFC 30% / 50%, plus 5% / 10% for infrastructure (paras 13–14);</w:t>
      </w:r>
    </w:p>
    <w:p>
      <w:pPr>
        <w:numPr>
          <w:ilvl w:val="2"/>
          <w:numId w:val="1146"/>
        </w:numPr>
        <w:pStyle w:val="Compact"/>
      </w:pPr>
      <w:r>
        <w:t xml:space="preserve">exposure computation, CRT offsets and exemptions (paras 17, 20–23);</w:t>
      </w:r>
    </w:p>
    <w:p>
      <w:pPr>
        <w:numPr>
          <w:ilvl w:val="2"/>
          <w:numId w:val="1146"/>
        </w:numPr>
        <w:pStyle w:val="Compact"/>
      </w:pPr>
      <w:r>
        <w:t xml:space="preserve">sensitive-sector limits (para 24);</w:t>
      </w:r>
    </w:p>
    <w:p>
      <w:pPr>
        <w:numPr>
          <w:ilvl w:val="2"/>
          <w:numId w:val="1146"/>
        </w:numPr>
        <w:pStyle w:val="Compact"/>
      </w:pPr>
      <w:r>
        <w:t xml:space="preserve">group-of-connected-counterparties logic (para 4(3));</w:t>
      </w:r>
    </w:p>
    <w:p>
      <w:pPr>
        <w:numPr>
          <w:ilvl w:val="1"/>
          <w:numId w:val="1145"/>
        </w:numPr>
        <w:pStyle w:val="Compact"/>
      </w:pPr>
      <w:r>
        <w:rPr>
          <w:bCs/>
          <w:b/>
        </w:rPr>
        <w:t xml:space="preserve">UL only — Large Exposure Framework:</w:t>
      </w:r>
      <w:r>
        <w:t xml:space="preserve"> </w:t>
      </w:r>
      <w:r>
        <w:t xml:space="preserve">single 20% (25% hard cap; 30% for IFC), group 25% (IFC 35%; +10% infrastructure); immediate breach report to RBI and an automatic block on new exposure (paras 33–46); Return on Large Exposures (para 48; filed quarterly per SR para 21 item 12);</w:t>
      </w:r>
    </w:p>
    <w:p>
      <w:pPr>
        <w:numPr>
          <w:ilvl w:val="1"/>
          <w:numId w:val="1145"/>
        </w:numPr>
        <w:pStyle w:val="Compact"/>
      </w:pPr>
      <w:r>
        <w:t xml:space="preserve">CDS hedge register (CRM paras 16–17);</w:t>
      </w:r>
    </w:p>
    <w:p>
      <w:pPr>
        <w:numPr>
          <w:ilvl w:val="1"/>
          <w:numId w:val="1145"/>
        </w:numPr>
        <w:pStyle w:val="Compact"/>
      </w:pPr>
      <w:r>
        <w:t xml:space="preserve">EWS (bureau refresh triggers, bounce patterns, GST-filing gaps, adverse news).</w:t>
      </w:r>
    </w:p>
    <w:p>
      <w:pPr>
        <w:numPr>
          <w:ilvl w:val="0"/>
          <w:numId w:val="1144"/>
        </w:numPr>
        <w:pStyle w:val="Compact"/>
      </w:pPr>
      <w:r>
        <w:rPr>
          <w:bCs/>
          <w:b/>
        </w:rPr>
        <w:t xml:space="preserve">Liquidity and ALM</w:t>
      </w:r>
      <w:r>
        <w:t xml:space="preserve"> </w:t>
      </w:r>
      <w:r>
        <w:t xml:space="preserve">(ALM Directions, Part 8A.7):</w:t>
      </w:r>
    </w:p>
    <w:p>
      <w:pPr>
        <w:numPr>
          <w:ilvl w:val="1"/>
          <w:numId w:val="1147"/>
        </w:numPr>
        <w:pStyle w:val="Compact"/>
      </w:pPr>
      <w:r>
        <w:t xml:space="preserve">applicability resolver: Ch II if assets ≥ ₹100 crore; LCR for NBFC-D and NBFC-ND ≥ ₹5,000 crore; never CICs;</w:t>
      </w:r>
    </w:p>
    <w:p>
      <w:pPr>
        <w:numPr>
          <w:ilvl w:val="1"/>
          <w:numId w:val="1147"/>
        </w:numPr>
        <w:pStyle w:val="Compact"/>
      </w:pPr>
      <w:r>
        <w:t xml:space="preserve">the 10-bucket master, and a versioned slotting engine for every Annex II/III rule;</w:t>
      </w:r>
    </w:p>
    <w:p>
      <w:pPr>
        <w:numPr>
          <w:ilvl w:val="1"/>
          <w:numId w:val="1147"/>
        </w:numPr>
        <w:pStyle w:val="Compact"/>
      </w:pPr>
      <w:r>
        <w:t xml:space="preserve">tolerance limits on net cumulative negative mismatch: 10% (1–7 days), 10% (8–14 days), 20% (15–30 days), plus Board limits to 1 year, with breach alerts;</w:t>
      </w:r>
    </w:p>
    <w:p>
      <w:pPr>
        <w:numPr>
          <w:ilvl w:val="1"/>
          <w:numId w:val="1147"/>
        </w:numPr>
        <w:pStyle w:val="Compact"/>
      </w:pPr>
      <w:r>
        <w:t xml:space="preserve">STDL; stock ratios; funding-concentration tables; IRS gap and earnings-at-risk;</w:t>
      </w:r>
    </w:p>
    <w:p>
      <w:pPr>
        <w:numPr>
          <w:ilvl w:val="1"/>
          <w:numId w:val="1147"/>
        </w:numPr>
        <w:pStyle w:val="Compact"/>
      </w:pPr>
      <w:r>
        <w:t xml:space="preserve">behavioural assumptions approved by ALCO/Board;</w:t>
      </w:r>
    </w:p>
    <w:p>
      <w:pPr>
        <w:numPr>
          <w:ilvl w:val="1"/>
          <w:numId w:val="1147"/>
        </w:numPr>
        <w:pStyle w:val="Compact"/>
      </w:pPr>
      <w:r>
        <w:t xml:space="preserve">stress tests; contingency funding plan; encumbrance register; FTP;</w:t>
      </w:r>
    </w:p>
    <w:p>
      <w:pPr>
        <w:numPr>
          <w:ilvl w:val="1"/>
          <w:numId w:val="1147"/>
        </w:numPr>
        <w:pStyle w:val="Compact"/>
      </w:pPr>
      <w:r>
        <w:t xml:space="preserve">a</w:t>
      </w:r>
      <w:r>
        <w:t xml:space="preserve"> </w:t>
      </w:r>
      <w:r>
        <w:rPr>
          <w:bCs/>
          <w:b/>
        </w:rPr>
        <w:t xml:space="preserve">daily</w:t>
      </w:r>
      <w:r>
        <w:t xml:space="preserve"> </w:t>
      </w:r>
      <w:r>
        <w:t xml:space="preserve">LCR engine (HQLA haircuts 0% / 15% / 50%; outflows × 115%; inflows × 75% capped at 75% of outflows; ≥ 100%), with an immediate report to DoS if HQLA is used under stress.</w:t>
      </w:r>
    </w:p>
    <w:p>
      <w:pPr>
        <w:numPr>
          <w:ilvl w:val="0"/>
          <w:numId w:val="1144"/>
        </w:numPr>
        <w:pStyle w:val="Compact"/>
      </w:pPr>
      <w:r>
        <w:rPr>
          <w:bCs/>
          <w:b/>
        </w:rPr>
        <w:t xml:space="preserve">Capital</w:t>
      </w:r>
      <w:r>
        <w:t xml:space="preserve"> </w:t>
      </w:r>
      <w:r>
        <w:t xml:space="preserve">(CAP Directions, Part 8A.24): RWA engine — on-balance RW master (18(1)), CCF (18(4)), guarantee-scheme 0% up to the maximum permissible claim (18(2)(iv)), CEM (18(8)), SEC-ERBA (29–51), CDS (53); owned fund incl. quarterly EPt (9), CET1 and deductions (7–8), Tier 1 (10–11), Tier 2 with sub-debt discounting and 50% cap (13), DTA (14), AIF/co-lending/DLG deductions (15), Ind AS filters incl. Stage 1 ECL to Tier 2 and lifetime ECL netted from RWAs (16); minimums by profile — gold-primary Tier 1 12%/CRAR 15%, ML+ Tier 1 10%/CRAR 15%, UL CET1 9%, Tier 2 ≤ Tier 1 (6); BL leverage ≤ 7 (17). No CCB and no Pillar 1 operational/market-risk charge.</w:t>
      </w:r>
    </w:p>
    <w:p>
      <w:pPr>
        <w:numPr>
          <w:ilvl w:val="0"/>
          <w:numId w:val="1144"/>
        </w:numPr>
        <w:pStyle w:val="Compact"/>
      </w:pPr>
      <w:r>
        <w:rPr>
          <w:bCs/>
          <w:b/>
        </w:rPr>
        <w:t xml:space="preserve">ICAAP data mart</w:t>
      </w:r>
      <w:r>
        <w:t xml:space="preserve"> </w:t>
      </w:r>
      <w:r>
        <w:t xml:space="preserve">(ML and above; CAP para 54 — Board-approved, proportionate; Pillar 2 capital not insisted upon): inputs for credit, concentration, operational, market/IRRBB, liquidity, reputational, strategic, ESG and cyber risk assessments; stress scenarios; RAG (traffic-light) indicators against the Risk Appetite Statement.</w:t>
      </w:r>
    </w:p>
    <w:p>
      <w:pPr>
        <w:numPr>
          <w:ilvl w:val="0"/>
          <w:numId w:val="1144"/>
        </w:numPr>
        <w:pStyle w:val="Compact"/>
      </w:pPr>
      <w:r>
        <w:rPr>
          <w:bCs/>
          <w:b/>
        </w:rPr>
        <w:t xml:space="preserve">Operational risk:</w:t>
      </w:r>
    </w:p>
    <w:p>
      <w:pPr>
        <w:numPr>
          <w:ilvl w:val="1"/>
          <w:numId w:val="1148"/>
        </w:numPr>
        <w:pStyle w:val="Compact"/>
      </w:pPr>
      <w:r>
        <w:t xml:space="preserve">loss-event database;</w:t>
      </w:r>
    </w:p>
    <w:p>
      <w:pPr>
        <w:numPr>
          <w:ilvl w:val="1"/>
          <w:numId w:val="1148"/>
        </w:numPr>
        <w:pStyle w:val="Compact"/>
      </w:pPr>
      <w:r>
        <w:t xml:space="preserve">RCSA (risk and control self-assessment);</w:t>
      </w:r>
    </w:p>
    <w:p>
      <w:pPr>
        <w:numPr>
          <w:ilvl w:val="1"/>
          <w:numId w:val="1148"/>
        </w:numPr>
        <w:pStyle w:val="Compact"/>
      </w:pPr>
      <w:r>
        <w:t xml:space="preserve">KRIs (key risk indicators);</w:t>
      </w:r>
    </w:p>
    <w:p>
      <w:pPr>
        <w:numPr>
          <w:ilvl w:val="1"/>
          <w:numId w:val="1148"/>
        </w:numPr>
        <w:pStyle w:val="Compact"/>
      </w:pPr>
      <w:r>
        <w:t xml:space="preserve">aligned with the RBI Guidance Note on Operational Risk Management and Operational Resilience (DOR.ORG.REC.301/14.10.001/2025-26, 28 Nov 2025; guidance, not a binding Direction; applies to NBFC-BL/ML/UL): taxonomy and control library, loss events with occurrence/discovery/accounting dates and near misses, Board-approved critical operations and impact tolerances, dependency mapping, scenario testing, third-party register and lessons-learned workflow (Part 8A.30).</w:t>
      </w:r>
    </w:p>
    <w:p>
      <w:pPr>
        <w:numPr>
          <w:ilvl w:val="0"/>
          <w:numId w:val="1144"/>
        </w:numPr>
        <w:pStyle w:val="Compact"/>
      </w:pPr>
      <w:r>
        <w:rPr>
          <w:bCs/>
          <w:b/>
        </w:rPr>
        <w:t xml:space="preserve">Fraud risk management</w:t>
      </w:r>
      <w:r>
        <w:t xml:space="preserve"> </w:t>
      </w:r>
      <w:r>
        <w:t xml:space="preserve">(FRM Directions, Part 8A.14; UL, ML, and BL ≥ ₹500 crore on the audited 31 March balance sheet; HFC reporting goes to NHB):</w:t>
      </w:r>
    </w:p>
    <w:p>
      <w:pPr>
        <w:numPr>
          <w:ilvl w:val="1"/>
          <w:numId w:val="1149"/>
        </w:numPr>
        <w:pStyle w:val="Compact"/>
      </w:pPr>
      <w:r>
        <w:rPr>
          <w:bCs/>
          <w:b/>
        </w:rPr>
        <w:t xml:space="preserve">EWS (UL/ML only):</w:t>
      </w:r>
      <w:r>
        <w:t xml:space="preserve"> </w:t>
      </w:r>
      <w:r>
        <w:t xml:space="preserve">tenant-defined indicators; integrated with COB and real-time events; every alert gets a recorded decision; effectiveness reports to the RMC. The NBFC Directions have</w:t>
      </w:r>
      <w:r>
        <w:t xml:space="preserve"> </w:t>
      </w:r>
      <w:r>
        <w:rPr>
          <w:bCs/>
          <w:b/>
        </w:rPr>
        <w:t xml:space="preserve">no RFA category</w:t>
      </w:r>
      <w:r>
        <w:t xml:space="preserve"> </w:t>
      </w:r>
      <w:r>
        <w:t xml:space="preserve">— do not build one for NBFC/HFC tenants.</w:t>
      </w:r>
    </w:p>
    <w:p>
      <w:pPr>
        <w:numPr>
          <w:ilvl w:val="1"/>
          <w:numId w:val="1149"/>
        </w:numPr>
        <w:pStyle w:val="Compact"/>
      </w:pPr>
      <w:r>
        <w:rPr>
          <w:bCs/>
          <w:b/>
        </w:rPr>
        <w:t xml:space="preserve">Case lifecycle:</w:t>
      </w:r>
      <w:r>
        <w:t xml:space="preserve"> </w:t>
      </w:r>
      <w:r>
        <w:t xml:space="preserve">suspected → investigation (internal or external audit, with auditor timelines) → show-cause notice → at least 21 days’ response window (system-enforced) → examination → reasoned order → classified / not fraud → FMR → FUA → closure or withdrawal.</w:t>
      </w:r>
    </w:p>
    <w:p>
      <w:pPr>
        <w:numPr>
          <w:ilvl w:val="1"/>
          <w:numId w:val="1149"/>
        </w:numPr>
        <w:pStyle w:val="Compact"/>
      </w:pPr>
      <w:r>
        <w:t xml:space="preserve">Occurrence, detection and classification dates are captured separately.</w:t>
      </w:r>
    </w:p>
    <w:p>
      <w:pPr>
        <w:numPr>
          <w:ilvl w:val="1"/>
          <w:numId w:val="1149"/>
        </w:numPr>
        <w:pStyle w:val="Compact"/>
      </w:pPr>
      <w:r>
        <w:rPr>
          <w:bCs/>
          <w:b/>
        </w:rPr>
        <w:t xml:space="preserve">Clocks:</w:t>
      </w:r>
      <w:r>
        <w:t xml:space="preserve"> </w:t>
      </w:r>
      <w:r>
        <w:t xml:space="preserve">FMR within 14 days of classification, irrespective of amount; law-enforcement report immediately, mandatory at ₹1 lakh or more; staff accountability opened for every case.</w:t>
      </w:r>
    </w:p>
    <w:p>
      <w:pPr>
        <w:numPr>
          <w:ilvl w:val="1"/>
          <w:numId w:val="1149"/>
        </w:numPr>
        <w:pStyle w:val="Compact"/>
      </w:pPr>
      <w:r>
        <w:rPr>
          <w:bCs/>
          <w:b/>
        </w:rPr>
        <w:t xml:space="preserve">Routing:</w:t>
      </w:r>
      <w:r>
        <w:t xml:space="preserve"> </w:t>
      </w:r>
      <w:r>
        <w:t xml:space="preserve">SCBMF or Committee of Executives; ACB track with recusal for senior executives; ABBFF flag for Government NBFCs at ₹3 crore or more; examination of group companies.</w:t>
      </w:r>
    </w:p>
    <w:p>
      <w:pPr>
        <w:numPr>
          <w:ilvl w:val="1"/>
          <w:numId w:val="1149"/>
        </w:numPr>
        <w:pStyle w:val="Compact"/>
      </w:pPr>
      <w:r>
        <w:rPr>
          <w:bCs/>
          <w:b/>
        </w:rPr>
        <w:t xml:space="preserve">Withdrawal:</w:t>
      </w:r>
      <w:r>
        <w:t xml:space="preserve"> </w:t>
      </w:r>
      <w:r>
        <w:t xml:space="preserve">director-rank approval or a court direction.</w:t>
      </w:r>
    </w:p>
    <w:p>
      <w:pPr>
        <w:numPr>
          <w:ilvl w:val="1"/>
          <w:numId w:val="1149"/>
        </w:numPr>
        <w:pStyle w:val="Compact"/>
      </w:pPr>
      <w:r>
        <w:rPr>
          <w:bCs/>
          <w:b/>
        </w:rPr>
        <w:t xml:space="preserve">Closure:</w:t>
      </w:r>
      <w:r>
        <w:t xml:space="preserve"> </w:t>
      </w:r>
      <w:r>
        <w:t xml:space="preserve">after disposal and staff accountability, or the ₹25 lakh / 3-year statistical rule; closure files kept for auditors.</w:t>
      </w:r>
    </w:p>
    <w:p>
      <w:pPr>
        <w:numPr>
          <w:ilvl w:val="1"/>
          <w:numId w:val="1149"/>
        </w:numPr>
        <w:pStyle w:val="Compact"/>
      </w:pPr>
      <w:r>
        <w:rPr>
          <w:bCs/>
          <w:b/>
        </w:rPr>
        <w:t xml:space="preserve">Debarment register:</w:t>
      </w:r>
      <w:r>
        <w:t xml:space="preserve"> </w:t>
      </w:r>
      <w:r>
        <w:t xml:space="preserve">5 years from full repayment or settlement, covering associated entities.</w:t>
      </w:r>
    </w:p>
    <w:p>
      <w:pPr>
        <w:numPr>
          <w:ilvl w:val="1"/>
          <w:numId w:val="1149"/>
        </w:numPr>
        <w:pStyle w:val="Compact"/>
      </w:pPr>
      <w:r>
        <w:rPr>
          <w:bCs/>
          <w:b/>
        </w:rPr>
        <w:t xml:space="preserve">Transfer gate:</w:t>
      </w:r>
      <w:r>
        <w:t xml:space="preserve"> </w:t>
      </w:r>
      <w:r>
        <w:t xml:space="preserve">no transfer while an investigation is open.</w:t>
      </w:r>
    </w:p>
    <w:p>
      <w:pPr>
        <w:numPr>
          <w:ilvl w:val="1"/>
          <w:numId w:val="1149"/>
        </w:numPr>
        <w:pStyle w:val="Compact"/>
      </w:pPr>
      <w:r>
        <w:rPr>
          <w:bCs/>
          <w:b/>
        </w:rPr>
        <w:t xml:space="preserve">RBR:</w:t>
      </w:r>
      <w:r>
        <w:t xml:space="preserve"> </w:t>
      </w:r>
      <w:r>
        <w:t xml:space="preserve">theft, burglary, dacoity and robbery reports (7 days; quarterly).</w:t>
      </w:r>
    </w:p>
    <w:p>
      <w:pPr>
        <w:numPr>
          <w:ilvl w:val="0"/>
          <w:numId w:val="1144"/>
        </w:numPr>
        <w:pStyle w:val="Compact"/>
      </w:pPr>
      <w:r>
        <w:rPr>
          <w:bCs/>
          <w:b/>
        </w:rPr>
        <w:t xml:space="preserve">Model risk:</w:t>
      </w:r>
      <w:r>
        <w:t xml:space="preserve"> </w:t>
      </w:r>
      <w:r>
        <w:t xml:space="preserve">inventory of all scorecards, ECL, BRE and AI models, with owner, validation date, tier, performance monitoring and change log, aligned to the RBI draft Guidance on Model Risk Management (June 2026) [VERIFY final status] and the FREE-AI framework (Aug 2025).</w:t>
      </w:r>
    </w:p>
    <w:p>
      <w:pPr>
        <w:numPr>
          <w:ilvl w:val="0"/>
          <w:numId w:val="1144"/>
        </w:numPr>
        <w:pStyle w:val="Compact"/>
      </w:pPr>
      <w:r>
        <w:t xml:space="preserve">Basel/BCBS concepts are used</w:t>
      </w:r>
      <w:r>
        <w:t xml:space="preserve"> </w:t>
      </w:r>
      <w:r>
        <w:rPr>
          <w:bCs/>
          <w:b/>
        </w:rPr>
        <w:t xml:space="preserve">as reference methodology only</w:t>
      </w:r>
      <w:r>
        <w:t xml:space="preserve"> </w:t>
      </w:r>
      <w:r>
        <w:t xml:space="preserve">(for example PD/LGD/EAD, RWA, IRRBB, BCBS 239 data-aggregation principles). RBI Directions prevail for NBFCs.</w:t>
      </w:r>
    </w:p>
    <w:bookmarkEnd w:id="85"/>
    <w:bookmarkStart w:id="86" w:name="m13.-regulatory-reporting"/>
    <w:p>
      <w:pPr>
        <w:pStyle w:val="Heading2"/>
      </w:pPr>
      <w:r>
        <w:t xml:space="preserve">M13. Regulatory reporting</w:t>
      </w:r>
    </w:p>
    <w:p>
      <w:pPr>
        <w:pStyle w:val="FirstParagraph"/>
      </w:pPr>
      <w:r>
        <w:rPr>
          <w:bCs/>
          <w:b/>
        </w:rPr>
        <w:t xml:space="preserve">v1.5: M13 is now a pointer to Part 7B — Regulatory Returns, Supervisory Portals and Credit Bureau Submissions.</w:t>
      </w:r>
      <w:r>
        <w:t xml:space="preserve"> </w:t>
      </w:r>
      <w:r>
        <w:t xml:space="preserve">Part 7B specifies the return registry and applicability engine (RR1), the element dictionary and lineage (RR2), generation, validation and sign-off (RR3), portal filing workflows for CIMS, DAKSH, PRAVAAH, NABARD ENSURE, IFSCA, FIU-IND, CKYCR, CERSAI and the income-tax portal (RR4), the filing calendar, evidence vault, revisions and RBI queries (RR5), the credit bureau submission engine and rejection, correction and dispute handling (RR6–RR7), and CRILC, large-exposure, wilful-defaulter and fraud reporting (RR8). Finbyx prepares, validates, reconciles and evidences; an authorised human in the RE approves and files; portal credentials, OTPs and DSC tokens are never stored.</w:t>
      </w:r>
      <w:r>
        <w:t xml:space="preserve"> </w:t>
      </w:r>
      <w:r>
        <w:rPr>
          <w:bCs/>
          <w:b/>
        </w:rPr>
        <w:t xml:space="preserve">M13 content below remains the source list loaded by RR1:</w:t>
      </w:r>
      <w:r>
        <w:t xml:space="preserve"> </w:t>
      </w:r>
      <w:r>
        <w:t xml:space="preserve">each row seeds a return definition, and where a row conflicts with Part 7B, Part 8A.2 (CIR) or Part 8A.34 (SR), those prevail. CIC files use the current bureau formats: consumer UCRF v3.74, commercial UCRF v3.10 (delivered by SFTP) and MFI v3.3.1 (Part 7B RR6.5).</w:t>
      </w:r>
    </w:p>
    <w:p>
      <w:pPr>
        <w:pStyle w:val="BodyText"/>
      </w:pPr>
      <w:r>
        <w:t xml:space="preserve">All returns are generated as</w:t>
      </w:r>
      <w:r>
        <w:t xml:space="preserve"> </w:t>
      </w:r>
      <w:r>
        <w:rPr>
          <w:bCs/>
          <w:b/>
        </w:rPr>
        <w:t xml:space="preserve">code, not ad-hoc BI</w:t>
      </w:r>
      <w:r>
        <w:t xml:space="preserve">. Each return has:</w:t>
      </w:r>
    </w:p>
    <w:p>
      <w:pPr>
        <w:numPr>
          <w:ilvl w:val="0"/>
          <w:numId w:val="1150"/>
        </w:numPr>
        <w:pStyle w:val="Compact"/>
      </w:pPr>
      <w:r>
        <w:t xml:space="preserve">a versioned specification;</w:t>
      </w:r>
    </w:p>
    <w:p>
      <w:pPr>
        <w:numPr>
          <w:ilvl w:val="0"/>
          <w:numId w:val="1150"/>
        </w:numPr>
        <w:pStyle w:val="Compact"/>
      </w:pPr>
      <w:r>
        <w:t xml:space="preserve">validation rules;</w:t>
      </w:r>
    </w:p>
    <w:p>
      <w:pPr>
        <w:numPr>
          <w:ilvl w:val="0"/>
          <w:numId w:val="1150"/>
        </w:numPr>
        <w:pStyle w:val="Compact"/>
      </w:pPr>
      <w:r>
        <w:t xml:space="preserve">cell-level lineage back to GL and loan data;</w:t>
      </w:r>
    </w:p>
    <w:p>
      <w:pPr>
        <w:numPr>
          <w:ilvl w:val="0"/>
          <w:numId w:val="1150"/>
        </w:numPr>
        <w:pStyle w:val="Compact"/>
      </w:pPr>
      <w:r>
        <w:t xml:space="preserve">maker-checker;</w:t>
      </w:r>
    </w:p>
    <w:p>
      <w:pPr>
        <w:numPr>
          <w:ilvl w:val="0"/>
          <w:numId w:val="1150"/>
        </w:numPr>
        <w:pStyle w:val="Compact"/>
      </w:pPr>
      <w:r>
        <w:t xml:space="preserve">CCO/authorised-signatory certification;</w:t>
      </w:r>
    </w:p>
    <w:p>
      <w:pPr>
        <w:numPr>
          <w:ilvl w:val="0"/>
          <w:numId w:val="1150"/>
        </w:numPr>
        <w:pStyle w:val="Compact"/>
      </w:pPr>
      <w:r>
        <w:t xml:space="preserve">a submission log;</w:t>
      </w:r>
    </w:p>
    <w:p>
      <w:pPr>
        <w:numPr>
          <w:ilvl w:val="0"/>
          <w:numId w:val="1150"/>
        </w:numPr>
        <w:pStyle w:val="Compact"/>
      </w:pPr>
      <w:r>
        <w:t xml:space="preserve">an evidence archive.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582"/>
        <w:gridCol w:w="6056"/>
      </w:tblGrid>
      <w:tr>
        <w:trPr>
          <w:tblHeader w:val="true"/>
          <w:tblHeader w:val="true"/>
        </w:trPr>
        <w:tc>
          <w:tcPr>
            <w:tcW w:w="3582" w:type="dxa"/>
            <w:shd w:val="clear" w:color="auto" w:fill="1F3A5F"/>
          </w:tcPr>
          <w:p>
            <w:pPr>
              <w:pStyle w:val="Compact"/>
              <w:spacing w:after="40"/>
              <w:jc w:val="left"/>
            </w:pPr>
            <w:r>
              <w:rPr>
                <w:b/>
                <w:color w:val="FFFFFF"/>
                <w:sz w:val="18"/>
              </w:rPr>
              <w:t xml:space="preserve">Return / report</w:t>
            </w:r>
          </w:p>
        </w:tc>
        <w:tc>
          <w:tcPr>
            <w:tcW w:w="6056" w:type="dxa"/>
            <w:shd w:val="clear" w:color="auto" w:fill="1F3A5F"/>
          </w:tcPr>
          <w:p>
            <w:pPr>
              <w:pStyle w:val="Compact"/>
              <w:spacing w:after="40"/>
              <w:jc w:val="left"/>
            </w:pPr>
            <w:r>
              <w:rPr>
                <w:b/>
                <w:color w:val="FFFFFF"/>
                <w:sz w:val="18"/>
              </w:rPr>
              <w:t xml:space="preserve">Notes</w:t>
            </w:r>
          </w:p>
        </w:tc>
      </w:tr>
      <w:tr>
        <w:tc>
          <w:tcPr>
            <w:tcW w:w="3582" w:type="dxa"/>
          </w:tcPr>
          <w:p>
            <w:pPr>
              <w:pStyle w:val="Compact"/>
              <w:spacing w:after="40"/>
              <w:jc w:val="left"/>
            </w:pPr>
            <w:r>
              <w:rPr>
                <w:bCs/>
                <w:b/>
                <w:sz w:val="18"/>
              </w:rPr>
              <w:t xml:space="preserve">CIC data submission</w:t>
            </w:r>
            <w:r>
              <w:rPr>
                <w:sz w:val="18"/>
              </w:rPr>
              <w:t xml:space="preserve"> </w:t>
            </w:r>
            <w:r>
              <w:rPr>
                <w:sz w:val="18"/>
              </w:rPr>
              <w:t xml:space="preserve">(TransUnion CIBIL, Experian, Equifax, CRIF High Mark) in the Uniform Credit Reporting Format (consumer, commercial, MFI)</w:t>
            </w:r>
          </w:p>
        </w:tc>
        <w:tc>
          <w:tcPr>
            <w:tcW w:w="6056" w:type="dxa"/>
          </w:tcPr>
          <w:p>
            <w:pPr>
              <w:pStyle w:val="Compact"/>
              <w:spacing w:after="40"/>
              <w:jc w:val="left"/>
            </w:pPr>
            <w:r>
              <w:rPr>
                <w:sz w:val="18"/>
              </w:rPr>
              <w:t xml:space="preserve">Effective-dated calendar (CIR para 10(2)): fortnightly as on the 15th and month-end, within 7 days, until 30 Jun 2026. From 1 Jul 2026 (RBI/DOR/2025-26/117): the 9th, 16th and 23rd (incremental, within 4 calendar days) and month-end (full file by the 5th); a DPD change alone triggers an incremental record. Rejections: within 7 days until 30 Jun 2026; afterwards before or along with the next reference-date file (para 15). Last-instalment repayments and closures always reported (para 10(3)). CKYC number reported where available (para 12(10)). DLA loans of every tenor reported (CF para 17). MFI household income reported (CF para 54). Pre-submission validation of mandatory fields; catalogues per CIC; DQI half-yearly (CIR 15–17). Alerts to borrowers while reporting default (para 34(1)(i)). Full detail in Part 8A.2</w:t>
            </w:r>
          </w:p>
        </w:tc>
      </w:tr>
      <w:tr>
        <w:tc>
          <w:tcPr>
            <w:tcW w:w="3582" w:type="dxa"/>
          </w:tcPr>
          <w:p>
            <w:pPr>
              <w:pStyle w:val="Compact"/>
              <w:spacing w:after="40"/>
              <w:jc w:val="left"/>
            </w:pPr>
            <w:r>
              <w:rPr>
                <w:bCs/>
                <w:b/>
                <w:sz w:val="18"/>
              </w:rPr>
              <w:t xml:space="preserve">CRILC and DNBS09 (weekly defaulted borrowers)</w:t>
            </w:r>
          </w:p>
        </w:tc>
        <w:tc>
          <w:tcPr>
            <w:tcW w:w="6056" w:type="dxa"/>
          </w:tcPr>
          <w:p>
            <w:pPr>
              <w:pStyle w:val="Compact"/>
              <w:spacing w:after="40"/>
              <w:jc w:val="left"/>
            </w:pPr>
            <w:r>
              <w:rPr>
                <w:bCs/>
                <w:b/>
                <w:sz w:val="18"/>
              </w:rPr>
              <w:t xml:space="preserve">Filing catalogue (SR para 21 items 5–6):</w:t>
            </w:r>
            <w:r>
              <w:rPr>
                <w:sz w:val="18"/>
              </w:rPr>
              <w:t xml:space="preserve"> </w:t>
            </w:r>
            <w:r>
              <w:rPr>
                <w:sz w:val="18"/>
              </w:rPr>
              <w:t xml:space="preserve">UL and ML (except CICs); BL ICCs (except those with no public funds and no customer interface), BL MFIs, and BL Factors with assets ≥ ₹500 crore [VERIFY whether the ₹500 crore qualifier also covers ICCs and MFIs].</w:t>
            </w:r>
            <w:r>
              <w:rPr>
                <w:sz w:val="18"/>
              </w:rPr>
              <w:t xml:space="preserve"> </w:t>
            </w:r>
            <w:r>
              <w:rPr>
                <w:bCs/>
                <w:b/>
                <w:sz w:val="18"/>
              </w:rPr>
              <w:t xml:space="preserve">Reporting obligation (RSA paras 7, 20–21, 158):</w:t>
            </w:r>
            <w:r>
              <w:rPr>
                <w:sz w:val="18"/>
              </w:rPr>
              <w:t xml:space="preserve"> </w:t>
            </w:r>
            <w:r>
              <w:rPr>
                <w:sz w:val="18"/>
              </w:rPr>
              <w:t xml:space="preserve">NBFC-D, NBFC-ND ≥ ₹500 crore and any NBFC-Factor.</w:t>
            </w:r>
            <w:r>
              <w:rPr>
                <w:sz w:val="18"/>
              </w:rPr>
              <w:t xml:space="preserve"> </w:t>
            </w:r>
            <w:r>
              <w:rPr>
                <w:bCs/>
                <w:b/>
                <w:sz w:val="18"/>
              </w:rPr>
              <w:t xml:space="preserve">Build:</w:t>
            </w:r>
            <w:r>
              <w:rPr>
                <w:sz w:val="18"/>
              </w:rPr>
              <w:t xml:space="preserve"> </w:t>
            </w:r>
            <w:r>
              <w:rPr>
                <w:sz w:val="18"/>
              </w:rPr>
              <w:t xml:space="preserve">applicability = union of the two tests, with a tenant toggle until verified.</w:t>
            </w:r>
            <w:r>
              <w:rPr>
                <w:sz w:val="18"/>
              </w:rPr>
              <w:t xml:space="preserve"> </w:t>
            </w:r>
            <w:r>
              <w:rPr>
                <w:bCs/>
                <w:b/>
                <w:sz w:val="18"/>
              </w:rPr>
              <w:t xml:space="preserve">CRILC:</w:t>
            </w:r>
            <w:r>
              <w:rPr>
                <w:sz w:val="18"/>
              </w:rPr>
              <w:t xml:space="preserve"> </w:t>
            </w:r>
            <w:r>
              <w:rPr>
                <w:sz w:val="18"/>
              </w:rPr>
              <w:t xml:space="preserve">monthly, borrowers with aggregate fund-based plus non-fund-based exposure ≥ ₹5 crore, including SMA status (RSA 20), within 15 days, NIL return if none (SR 21–22); project credit events weekly and in CRILC-Main (RSA 106).</w:t>
            </w:r>
            <w:r>
              <w:rPr>
                <w:sz w:val="18"/>
              </w:rPr>
              <w:t xml:space="preserve"> </w:t>
            </w:r>
            <w:r>
              <w:rPr>
                <w:bCs/>
                <w:b/>
                <w:sz w:val="18"/>
              </w:rPr>
              <w:t xml:space="preserve">DNBS09 / weekly default report:</w:t>
            </w:r>
            <w:r>
              <w:rPr>
                <w:sz w:val="18"/>
              </w:rPr>
              <w:t xml:space="preserve"> </w:t>
            </w:r>
            <w:r>
              <w:rPr>
                <w:sz w:val="18"/>
              </w:rPr>
              <w:t xml:space="preserve">as on close of business every Friday (or the preceding working day), due by Wednesday of the following week; move-in and move-out sections (PAN, name, date of default, funded, non-funded and total outstanding); NIL return if none (RSA 21; SR 21–22)</w:t>
            </w:r>
          </w:p>
        </w:tc>
      </w:tr>
      <w:tr>
        <w:tc>
          <w:tcPr>
            <w:tcW w:w="3582" w:type="dxa"/>
          </w:tcPr>
          <w:p>
            <w:pPr>
              <w:pStyle w:val="Compact"/>
              <w:spacing w:after="40"/>
              <w:jc w:val="left"/>
            </w:pPr>
            <w:r>
              <w:rPr>
                <w:bCs/>
                <w:b/>
                <w:sz w:val="18"/>
              </w:rPr>
              <w:t xml:space="preserve">RBI supervisory returns (online portals / CIMS)</w:t>
            </w:r>
          </w:p>
        </w:tc>
        <w:tc>
          <w:tcPr>
            <w:tcW w:w="6056" w:type="dxa"/>
          </w:tcPr>
          <w:p>
            <w:pPr>
              <w:pStyle w:val="Compact"/>
              <w:spacing w:after="40"/>
              <w:jc w:val="left"/>
            </w:pPr>
            <w:r>
              <w:rPr>
                <w:sz w:val="18"/>
              </w:rPr>
              <w:t xml:space="preserve">Data-driven catalogue per the RBI (NBFC – Supervisory Returns) Directions, 2026 (RBI/DoS/2026-27/466; HFCs excluded, they file NHB returns), para 21: DNBS01, DNBS02, DNBS03, DNBS04A, DNBS04B, CRILC, DNBS09, DNBS10, DNBS11/12 (CICs), DNBS13 (all NBFCs, NIL return), DNBS14 (P2P), Large Exposure Framework, PDR III/IV, Stress Test and IRS Test (SPDs), FMR, FUA, FMR4/RBR, Form A; full table with applicability in Part 8A.34. Due (para 22): weekly by Wednesday of the following week; monthly within 15 days; quarterly and yearly within 21 days; audited returns within 5 working days of signing of the auditor’s report; exceptions in para 23. Online submission only; email only as an RBI-advised contingency, then resubmit online (para 18). Each return reconciled with accounting data, with recorded aggregation rules (paras 14–15). DNBS04A (quarterly) and DNBS04B (monthly): UL, ML (except SPDs) and BL ≥ ₹100 crore solely or at group level, excluding NBFCs with no public funds and no customer interface, NOFHCs, P2Ps, AAs and MGCs (para 21 item 4); Annex IV formats (ALM paras 57, 59). No XBRL requirement in the Directions; formats per return spec on the portal [VERIFY per return]</w:t>
            </w:r>
          </w:p>
        </w:tc>
      </w:tr>
      <w:tr>
        <w:tc>
          <w:tcPr>
            <w:tcW w:w="3582" w:type="dxa"/>
          </w:tcPr>
          <w:p>
            <w:pPr>
              <w:pStyle w:val="Compact"/>
              <w:spacing w:after="40"/>
              <w:jc w:val="left"/>
            </w:pPr>
            <w:r>
              <w:rPr>
                <w:bCs/>
                <w:b/>
                <w:sz w:val="18"/>
              </w:rPr>
              <w:t xml:space="preserve">Fraud Monitoring Returns (FMR)</w:t>
            </w:r>
          </w:p>
        </w:tc>
        <w:tc>
          <w:tcPr>
            <w:tcW w:w="6056" w:type="dxa"/>
          </w:tcPr>
          <w:p>
            <w:pPr>
              <w:pStyle w:val="Compact"/>
              <w:spacing w:after="40"/>
              <w:jc w:val="left"/>
            </w:pPr>
            <w:r>
              <w:rPr>
                <w:sz w:val="18"/>
              </w:rPr>
              <w:t xml:space="preserve">Per case, from the fraud module, irrespective of amount, immediately and not later than 14 days from classification; updates via FUA; group-entity frauds by email to fmgconbfc@rbi.org.in (FRM paras 42–45); FUA immediately; applicability UL, ML, BL ≥ ₹500 crore (SR para 21 items 17–19, para 23). HFCs report to NHB</w:t>
            </w:r>
          </w:p>
        </w:tc>
      </w:tr>
      <w:tr>
        <w:tc>
          <w:tcPr>
            <w:tcW w:w="3582" w:type="dxa"/>
          </w:tcPr>
          <w:p>
            <w:pPr>
              <w:pStyle w:val="Compact"/>
              <w:spacing w:after="40"/>
              <w:jc w:val="left"/>
            </w:pPr>
            <w:r>
              <w:rPr>
                <w:bCs/>
                <w:b/>
                <w:sz w:val="18"/>
              </w:rPr>
              <w:t xml:space="preserve">RBR (theft, burglary, dacoity, robbery)</w:t>
            </w:r>
          </w:p>
        </w:tc>
        <w:tc>
          <w:tcPr>
            <w:tcW w:w="6056" w:type="dxa"/>
          </w:tcPr>
          <w:p>
            <w:pPr>
              <w:pStyle w:val="Compact"/>
              <w:spacing w:after="40"/>
              <w:jc w:val="left"/>
            </w:pPr>
            <w:r>
              <w:rPr>
                <w:sz w:val="18"/>
              </w:rPr>
              <w:t xml:space="preserve">Incident report by email within 7 days; quarterly return (FMR4/RBR) within 15 days of quarter-end (FRM paras 57–58; SR para 23 item 5)</w:t>
            </w:r>
          </w:p>
        </w:tc>
      </w:tr>
      <w:tr>
        <w:tc>
          <w:tcPr>
            <w:tcW w:w="3582" w:type="dxa"/>
          </w:tcPr>
          <w:p>
            <w:pPr>
              <w:pStyle w:val="Compact"/>
              <w:spacing w:after="40"/>
              <w:jc w:val="left"/>
            </w:pPr>
            <w:r>
              <w:rPr>
                <w:bCs/>
                <w:b/>
                <w:sz w:val="18"/>
              </w:rPr>
              <w:t xml:space="preserve">Large Exposure Framework return (UL)</w:t>
            </w:r>
          </w:p>
        </w:tc>
        <w:tc>
          <w:tcPr>
            <w:tcW w:w="6056" w:type="dxa"/>
          </w:tcPr>
          <w:p>
            <w:pPr>
              <w:pStyle w:val="Compact"/>
              <w:spacing w:after="40"/>
              <w:jc w:val="left"/>
            </w:pPr>
            <w:r>
              <w:rPr>
                <w:sz w:val="18"/>
              </w:rPr>
              <w:t xml:space="preserve">Quarterly, within 21 days (SR para 21 item 12, para 22): 20 largest exposures, exposures ≥ 10% of Tier 1, other and exempted exposures; CON Annex I format (headed</w:t>
            </w:r>
            <w:r>
              <w:rPr>
                <w:sz w:val="18"/>
              </w:rPr>
              <w:t xml:space="preserve"> </w:t>
            </w:r>
            <w:r>
              <w:rPr>
                <w:sz w:val="18"/>
              </w:rPr>
              <w:t xml:space="preserve">“</w:t>
            </w:r>
            <w:r>
              <w:rPr>
                <w:sz w:val="18"/>
              </w:rPr>
              <w:t xml:space="preserve">Return for the Month</w:t>
            </w:r>
            <w:r>
              <w:rPr>
                <w:sz w:val="18"/>
              </w:rPr>
              <w:t xml:space="preserve">”</w:t>
            </w:r>
            <w:r>
              <w:rPr>
                <w:sz w:val="18"/>
              </w:rPr>
              <w:t xml:space="preserve">; para 48(4) says 10 largest). Periodicity and N configurable; default quarterly filing with monthly internal computation [VERIFY periodicity: SR para 21 vs CON Annex I]. Breach intimation immediately (CON para 45)</w:t>
            </w:r>
          </w:p>
        </w:tc>
      </w:tr>
      <w:tr>
        <w:tc>
          <w:tcPr>
            <w:tcW w:w="3582" w:type="dxa"/>
          </w:tcPr>
          <w:p>
            <w:pPr>
              <w:pStyle w:val="Compact"/>
              <w:spacing w:after="40"/>
              <w:jc w:val="left"/>
            </w:pPr>
            <w:r>
              <w:rPr>
                <w:bCs/>
                <w:b/>
                <w:sz w:val="18"/>
              </w:rPr>
              <w:t xml:space="preserve">CDS / CRT excess-exposure report</w:t>
            </w:r>
          </w:p>
        </w:tc>
        <w:tc>
          <w:tcPr>
            <w:tcW w:w="6056" w:type="dxa"/>
          </w:tcPr>
          <w:p>
            <w:pPr>
              <w:pStyle w:val="Compact"/>
              <w:spacing w:after="40"/>
              <w:jc w:val="left"/>
            </w:pPr>
            <w:r>
              <w:rPr>
                <w:sz w:val="18"/>
              </w:rPr>
              <w:t xml:space="preserve">Quarterly to the DoS Regional Office (CRM para 17(7))</w:t>
            </w:r>
          </w:p>
        </w:tc>
      </w:tr>
      <w:tr>
        <w:tc>
          <w:tcPr>
            <w:tcW w:w="3582" w:type="dxa"/>
          </w:tcPr>
          <w:p>
            <w:pPr>
              <w:pStyle w:val="Compact"/>
              <w:spacing w:after="40"/>
              <w:jc w:val="left"/>
            </w:pPr>
            <w:r>
              <w:rPr>
                <w:bCs/>
                <w:b/>
                <w:sz w:val="18"/>
              </w:rPr>
              <w:t xml:space="preserve">IRF data</w:t>
            </w:r>
          </w:p>
        </w:tc>
        <w:tc>
          <w:tcPr>
            <w:tcW w:w="6056" w:type="dxa"/>
          </w:tcPr>
          <w:p>
            <w:pPr>
              <w:pStyle w:val="Compact"/>
              <w:spacing w:after="40"/>
              <w:jc w:val="left"/>
            </w:pPr>
            <w:r>
              <w:rPr>
                <w:sz w:val="18"/>
              </w:rPr>
              <w:t xml:space="preserve">Half-yearly, within 1 month (INV para 29)</w:t>
            </w:r>
          </w:p>
        </w:tc>
      </w:tr>
      <w:tr>
        <w:tc>
          <w:tcPr>
            <w:tcW w:w="3582" w:type="dxa"/>
          </w:tcPr>
          <w:p>
            <w:pPr>
              <w:pStyle w:val="Compact"/>
              <w:spacing w:after="40"/>
              <w:jc w:val="left"/>
            </w:pPr>
            <w:r>
              <w:rPr>
                <w:bCs/>
                <w:b/>
                <w:sz w:val="18"/>
              </w:rPr>
              <w:t xml:space="preserve">Pledged-shares report</w:t>
            </w:r>
          </w:p>
        </w:tc>
        <w:tc>
          <w:tcPr>
            <w:tcW w:w="6056" w:type="dxa"/>
          </w:tcPr>
          <w:p>
            <w:pPr>
              <w:pStyle w:val="Compact"/>
              <w:spacing w:after="40"/>
              <w:jc w:val="left"/>
            </w:pPr>
            <w:r>
              <w:rPr>
                <w:sz w:val="18"/>
              </w:rPr>
              <w:t xml:space="preserve">Quarterly to stock exchanges, Annex-III format (CF para 106)</w:t>
            </w:r>
          </w:p>
        </w:tc>
      </w:tr>
      <w:tr>
        <w:tc>
          <w:tcPr>
            <w:tcW w:w="3582" w:type="dxa"/>
          </w:tcPr>
          <w:p>
            <w:pPr>
              <w:pStyle w:val="Compact"/>
              <w:spacing w:after="40"/>
              <w:jc w:val="left"/>
            </w:pPr>
            <w:r>
              <w:rPr>
                <w:bCs/>
                <w:b/>
                <w:sz w:val="18"/>
              </w:rPr>
              <w:t xml:space="preserve">Public liquidity disclosure</w:t>
            </w:r>
          </w:p>
        </w:tc>
        <w:tc>
          <w:tcPr>
            <w:tcW w:w="6056" w:type="dxa"/>
          </w:tcPr>
          <w:p>
            <w:pPr>
              <w:pStyle w:val="Compact"/>
              <w:spacing w:after="40"/>
              <w:jc w:val="left"/>
            </w:pPr>
            <w:r>
              <w:rPr>
                <w:sz w:val="18"/>
              </w:rPr>
              <w:t xml:space="preserve">Quarterly on the website and in the notes (ALM para 15, Annex I; FS 21(13))</w:t>
            </w:r>
          </w:p>
        </w:tc>
      </w:tr>
      <w:tr>
        <w:tc>
          <w:tcPr>
            <w:tcW w:w="3582" w:type="dxa"/>
          </w:tcPr>
          <w:p>
            <w:pPr>
              <w:pStyle w:val="Compact"/>
              <w:spacing w:after="40"/>
              <w:jc w:val="left"/>
            </w:pPr>
            <w:r>
              <w:rPr>
                <w:bCs/>
                <w:b/>
                <w:sz w:val="18"/>
              </w:rPr>
              <w:t xml:space="preserve">LCR disclosure</w:t>
            </w:r>
          </w:p>
        </w:tc>
        <w:tc>
          <w:tcPr>
            <w:tcW w:w="6056" w:type="dxa"/>
          </w:tcPr>
          <w:p>
            <w:pPr>
              <w:pStyle w:val="Compact"/>
              <w:spacing w:after="40"/>
              <w:jc w:val="left"/>
            </w:pPr>
            <w:r>
              <w:rPr>
                <w:sz w:val="18"/>
              </w:rPr>
              <w:t xml:space="preserve">Quarterly, from daily LCR values (FS C.2(32))</w:t>
            </w:r>
          </w:p>
        </w:tc>
      </w:tr>
      <w:tr>
        <w:tc>
          <w:tcPr>
            <w:tcW w:w="3582" w:type="dxa"/>
          </w:tcPr>
          <w:p>
            <w:pPr>
              <w:pStyle w:val="Compact"/>
              <w:spacing w:after="40"/>
              <w:jc w:val="left"/>
            </w:pPr>
            <w:r>
              <w:rPr>
                <w:bCs/>
                <w:b/>
                <w:sz w:val="18"/>
              </w:rPr>
              <w:t xml:space="preserve">DNBS10 Statutory Auditor’s Certificate</w:t>
            </w:r>
          </w:p>
        </w:tc>
        <w:tc>
          <w:tcPr>
            <w:tcW w:w="6056" w:type="dxa"/>
          </w:tcPr>
          <w:p>
            <w:pPr>
              <w:pStyle w:val="Compact"/>
              <w:spacing w:after="40"/>
              <w:jc w:val="left"/>
            </w:pPr>
            <w:r>
              <w:rPr>
                <w:sz w:val="18"/>
              </w:rPr>
              <w:t xml:space="preserve">Enable the auditor to file within 5 working days of signing, and by 31 December at the latest (AUD para 6; SR para 21 item 7, para 23). The auditor compiles and files on CIMS with login credentials the NBFC creates</w:t>
            </w:r>
          </w:p>
        </w:tc>
      </w:tr>
      <w:tr>
        <w:tc>
          <w:tcPr>
            <w:tcW w:w="3582" w:type="dxa"/>
          </w:tcPr>
          <w:p>
            <w:pPr>
              <w:pStyle w:val="Compact"/>
              <w:spacing w:after="40"/>
              <w:jc w:val="left"/>
            </w:pPr>
            <w:r>
              <w:rPr>
                <w:bCs/>
                <w:b/>
                <w:sz w:val="18"/>
              </w:rPr>
              <w:t xml:space="preserve">Branch-closure intimation (deposit-taking)</w:t>
            </w:r>
          </w:p>
        </w:tc>
        <w:tc>
          <w:tcPr>
            <w:tcW w:w="6056" w:type="dxa"/>
          </w:tcPr>
          <w:p>
            <w:pPr>
              <w:pStyle w:val="Compact"/>
              <w:spacing w:after="40"/>
              <w:jc w:val="left"/>
            </w:pPr>
            <w:r>
              <w:rPr>
                <w:sz w:val="18"/>
              </w:rPr>
              <w:t xml:space="preserve">To the RBI/NHB Regional Office within 7 days of the notice (BR para 12)</w:t>
            </w:r>
          </w:p>
        </w:tc>
      </w:tr>
      <w:tr>
        <w:tc>
          <w:tcPr>
            <w:tcW w:w="3582" w:type="dxa"/>
          </w:tcPr>
          <w:p>
            <w:pPr>
              <w:pStyle w:val="Compact"/>
              <w:spacing w:after="40"/>
              <w:jc w:val="left"/>
            </w:pPr>
            <w:r>
              <w:rPr>
                <w:bCs/>
                <w:b/>
                <w:sz w:val="18"/>
              </w:rPr>
              <w:t xml:space="preserve">FIU-IND</w:t>
            </w:r>
          </w:p>
        </w:tc>
        <w:tc>
          <w:tcPr>
            <w:tcW w:w="6056" w:type="dxa"/>
          </w:tcPr>
          <w:p>
            <w:pPr>
              <w:pStyle w:val="Compact"/>
              <w:spacing w:after="40"/>
              <w:jc w:val="left"/>
            </w:pPr>
            <w:r>
              <w:rPr>
                <w:sz w:val="18"/>
              </w:rPr>
              <w:t xml:space="preserve">STR, CTR, CCR, NTR in FIU-IND formats/utilities (KYC 49–53) [VERIFY: timelines in PML Rules r.8]; UAPA/WMD match reports immediately and unfreeze forwarding within 2 working days (KYC 54–55); Designated Director and Principal Officer details to FIU-IND and RBI (14–15)</w:t>
            </w:r>
          </w:p>
        </w:tc>
      </w:tr>
      <w:tr>
        <w:tc>
          <w:tcPr>
            <w:tcW w:w="3582" w:type="dxa"/>
          </w:tcPr>
          <w:p>
            <w:pPr>
              <w:pStyle w:val="Compact"/>
              <w:spacing w:after="40"/>
              <w:jc w:val="left"/>
            </w:pPr>
            <w:r>
              <w:rPr>
                <w:bCs/>
                <w:b/>
                <w:sz w:val="18"/>
              </w:rPr>
              <w:t xml:space="preserve">DLA/LSP reporting on CIMS</w:t>
            </w:r>
          </w:p>
        </w:tc>
        <w:tc>
          <w:tcPr>
            <w:tcW w:w="6056" w:type="dxa"/>
          </w:tcPr>
          <w:p>
            <w:pPr>
              <w:pStyle w:val="Compact"/>
              <w:spacing w:after="40"/>
              <w:jc w:val="left"/>
            </w:pPr>
            <w:r>
              <w:rPr>
                <w:sz w:val="18"/>
              </w:rPr>
              <w:t xml:space="preserve">Annex-I format, one line per DLA per platform; updated on addition or cessation; CCO or Board-designated certification of the four para 18(4) points (CF para 18). No</w:t>
            </w:r>
            <w:r>
              <w:rPr>
                <w:sz w:val="18"/>
              </w:rPr>
              <w:t xml:space="preserve"> </w:t>
            </w:r>
            <w:r>
              <w:rPr>
                <w:sz w:val="18"/>
              </w:rPr>
              <w:t xml:space="preserve">“</w:t>
            </w:r>
            <w:r>
              <w:rPr>
                <w:sz w:val="18"/>
              </w:rPr>
              <w:t xml:space="preserve">RBI-approved</w:t>
            </w:r>
            <w:r>
              <w:rPr>
                <w:sz w:val="18"/>
              </w:rPr>
              <w:t xml:space="preserve">”</w:t>
            </w:r>
            <w:r>
              <w:rPr>
                <w:sz w:val="18"/>
              </w:rPr>
              <w:t xml:space="preserve"> </w:t>
            </w:r>
            <w:r>
              <w:rPr>
                <w:sz w:val="18"/>
              </w:rPr>
              <w:t xml:space="preserve">wording in DLA marketing (para 18(6))</w:t>
            </w:r>
          </w:p>
        </w:tc>
      </w:tr>
      <w:tr>
        <w:tc>
          <w:tcPr>
            <w:tcW w:w="3582" w:type="dxa"/>
          </w:tcPr>
          <w:p>
            <w:pPr>
              <w:pStyle w:val="Compact"/>
              <w:spacing w:after="40"/>
              <w:jc w:val="left"/>
            </w:pPr>
            <w:r>
              <w:rPr>
                <w:bCs/>
                <w:b/>
                <w:sz w:val="18"/>
              </w:rPr>
              <w:t xml:space="preserve">NHB returns</w:t>
            </w:r>
            <w:r>
              <w:rPr>
                <w:sz w:val="18"/>
              </w:rPr>
              <w:t xml:space="preserve"> </w:t>
            </w:r>
            <w:r>
              <w:rPr>
                <w:sz w:val="18"/>
              </w:rPr>
              <w:t xml:space="preserve">(HFCs)</w:t>
            </w:r>
          </w:p>
        </w:tc>
        <w:tc>
          <w:tcPr>
            <w:tcW w:w="6056" w:type="dxa"/>
          </w:tcPr>
          <w:p>
            <w:pPr>
              <w:pStyle w:val="Compact"/>
              <w:spacing w:after="40"/>
              <w:jc w:val="left"/>
            </w:pPr>
            <w:r>
              <w:rPr>
                <w:sz w:val="18"/>
              </w:rPr>
              <w:t xml:space="preserve">As applicable</w:t>
            </w:r>
          </w:p>
        </w:tc>
      </w:tr>
      <w:tr>
        <w:tc>
          <w:tcPr>
            <w:tcW w:w="3582" w:type="dxa"/>
          </w:tcPr>
          <w:p>
            <w:pPr>
              <w:pStyle w:val="Compact"/>
              <w:spacing w:after="40"/>
              <w:jc w:val="left"/>
            </w:pPr>
            <w:r>
              <w:rPr>
                <w:bCs/>
                <w:b/>
                <w:sz w:val="18"/>
              </w:rPr>
              <w:t xml:space="preserve">Co-lending, loan-transfer and securitisation disclosures and reports</w:t>
            </w:r>
          </w:p>
        </w:tc>
        <w:tc>
          <w:tcPr>
            <w:tcW w:w="6056" w:type="dxa"/>
          </w:tcPr>
          <w:p>
            <w:pPr>
              <w:pStyle w:val="Compact"/>
              <w:spacing w:after="40"/>
              <w:jc w:val="left"/>
            </w:pPr>
            <w:r>
              <w:rPr>
                <w:sz w:val="18"/>
              </w:rPr>
              <w:t xml:space="preserve">Website CLA partner list (TDCR 126; FS 21(4)); annual CLA notes (TDCR 127); FS 21(5) STC/non-STC and 21(6) loan-transfer disclosures (TDCR 93; SEC 114); Annex I MHP/MRR disclosure per transaction at origination, half-yearly (Sep/Mar) and on breach (SEC 112–113); quarterly securitisation report to RBI, format awaited (SEC 115); loan-transfer trade reporting, database until platform notified (TDCR 94); DoS notice of rep/warranty replacements or damages (TDCR 24; SEC 30(7)); material risk-profile change to investors and CRAs within 14 calendar days (SEC 22)</w:t>
            </w:r>
          </w:p>
        </w:tc>
      </w:tr>
      <w:tr>
        <w:tc>
          <w:tcPr>
            <w:tcW w:w="3582" w:type="dxa"/>
          </w:tcPr>
          <w:p>
            <w:pPr>
              <w:pStyle w:val="Compact"/>
              <w:spacing w:after="40"/>
              <w:jc w:val="left"/>
            </w:pPr>
            <w:r>
              <w:rPr>
                <w:bCs/>
                <w:b/>
                <w:sz w:val="18"/>
              </w:rPr>
              <w:t xml:space="preserve">Board and committee packs</w:t>
            </w:r>
          </w:p>
        </w:tc>
        <w:tc>
          <w:tcPr>
            <w:tcW w:w="6056" w:type="dxa"/>
          </w:tcPr>
          <w:p>
            <w:pPr>
              <w:pStyle w:val="Compact"/>
              <w:spacing w:after="40"/>
              <w:jc w:val="left"/>
            </w:pPr>
            <w:r>
              <w:rPr>
                <w:sz w:val="18"/>
              </w:rPr>
              <w:t xml:space="preserve">Audit, Risk, NRC, ALCO, IT Strategy and Customer Service committees; half-yearly material-outsourcing review (OUT 12(1)(vii), 36); ACB outsourced-audit and vendor-reconciliation ageing (OUT 12(2)); risk-management and governance reviews (GOV 15); operational-risk appetite, critical operations, impact tolerances and post-incident reports (ORM 31–32, 55, 102)</w:t>
            </w:r>
          </w:p>
        </w:tc>
      </w:tr>
      <w:tr>
        <w:tc>
          <w:tcPr>
            <w:tcW w:w="3582" w:type="dxa"/>
          </w:tcPr>
          <w:p>
            <w:pPr>
              <w:pStyle w:val="Compact"/>
              <w:spacing w:after="40"/>
              <w:jc w:val="left"/>
            </w:pPr>
            <w:r>
              <w:rPr>
                <w:bCs/>
                <w:b/>
                <w:sz w:val="18"/>
              </w:rPr>
              <w:t xml:space="preserve">Statutory and tax</w:t>
            </w:r>
          </w:p>
        </w:tc>
        <w:tc>
          <w:tcPr>
            <w:tcW w:w="6056" w:type="dxa"/>
          </w:tcPr>
          <w:p>
            <w:pPr>
              <w:pStyle w:val="Compact"/>
              <w:spacing w:after="40"/>
              <w:jc w:val="left"/>
            </w:pPr>
            <w:r>
              <w:rPr>
                <w:sz w:val="18"/>
              </w:rPr>
              <w:t xml:space="preserve">GST returns data; TDS under the Income-tax Act 2025 (s.393; quarterly statement Form 140; certificate Form 131); SFT (s.508, Form 165); TDS-credit reconciliation with the Form 26AS successor; built in Part 7C AC4–AC5</w:t>
            </w:r>
          </w:p>
        </w:tc>
      </w:tr>
    </w:tbl>
    <w:bookmarkEnd w:id="86"/>
    <w:bookmarkStart w:id="87" w:name="X4a6017def8acfc2222ad04b7e233d39c827f59a"/>
    <w:p>
      <w:pPr>
        <w:pStyle w:val="Heading2"/>
      </w:pPr>
      <w:r>
        <w:t xml:space="preserve">M14. Compliance module (embedded) and LawDocsComply bridge</w:t>
      </w:r>
    </w:p>
    <w:p>
      <w:pPr>
        <w:numPr>
          <w:ilvl w:val="0"/>
          <w:numId w:val="1151"/>
        </w:numPr>
        <w:pStyle w:val="Compact"/>
      </w:pPr>
      <w:r>
        <w:rPr>
          <w:bCs/>
          <w:b/>
        </w:rPr>
        <w:t xml:space="preserve">Mode switch per tenant or group:</w:t>
      </w:r>
    </w:p>
    <w:p>
      <w:pPr>
        <w:numPr>
          <w:ilvl w:val="1"/>
          <w:numId w:val="1152"/>
        </w:numPr>
        <w:pStyle w:val="Compact"/>
      </w:pPr>
    </w:p>
    <w:p>
      <w:pPr>
        <w:numPr>
          <w:ilvl w:val="2"/>
          <w:numId w:val="1153"/>
        </w:numPr>
        <w:pStyle w:val="Compact"/>
      </w:pPr>
      <w:r>
        <w:t xml:space="preserve">embedded compliance inside Finbyx;</w:t>
      </w:r>
    </w:p>
    <w:p>
      <w:pPr>
        <w:numPr>
          <w:ilvl w:val="1"/>
          <w:numId w:val="1152"/>
        </w:numPr>
        <w:pStyle w:val="Compact"/>
      </w:pPr>
    </w:p>
    <w:p>
      <w:pPr>
        <w:numPr>
          <w:ilvl w:val="2"/>
          <w:numId w:val="1154"/>
        </w:numPr>
        <w:pStyle w:val="Compact"/>
      </w:pPr>
      <w:r>
        <w:t xml:space="preserve">LawDocsComply as the GRC system, with Finbyx pushing evidence and pulling obligations;</w:t>
      </w:r>
    </w:p>
    <w:p>
      <w:pPr>
        <w:numPr>
          <w:ilvl w:val="1"/>
          <w:numId w:val="1152"/>
        </w:numPr>
        <w:pStyle w:val="Compact"/>
      </w:pPr>
    </w:p>
    <w:p>
      <w:pPr>
        <w:numPr>
          <w:ilvl w:val="2"/>
          <w:numId w:val="1155"/>
        </w:numPr>
        <w:pStyle w:val="Compact"/>
      </w:pPr>
      <w:r>
        <w:t xml:space="preserve">group-level LawDocsComply covering several Finbyx entities;</w:t>
      </w:r>
    </w:p>
    <w:p>
      <w:pPr>
        <w:numPr>
          <w:ilvl w:val="1"/>
          <w:numId w:val="1152"/>
        </w:numPr>
        <w:pStyle w:val="Compact"/>
      </w:pPr>
    </w:p>
    <w:p>
      <w:pPr>
        <w:numPr>
          <w:ilvl w:val="2"/>
          <w:numId w:val="1156"/>
        </w:numPr>
        <w:pStyle w:val="Compact"/>
      </w:pPr>
      <w:r>
        <w:t xml:space="preserve">separately, a grievance-module host switch: Finbyx M15 or LawDocsComply, with Equator referral available from either.</w:t>
      </w:r>
    </w:p>
    <w:p>
      <w:pPr>
        <w:numPr>
          <w:ilvl w:val="1"/>
          <w:numId w:val="1152"/>
        </w:numPr>
        <w:pStyle w:val="Compact"/>
      </w:pPr>
    </w:p>
    <w:p>
      <w:pPr>
        <w:numPr>
          <w:ilvl w:val="2"/>
          <w:numId w:val="1157"/>
        </w:numPr>
        <w:pStyle w:val="Compact"/>
      </w:pPr>
      <w:r>
        <w:t xml:space="preserve">a third-party GRC tool through a certified adapter, and (f) export-only evidence packs and OSCAL; modes (a), (b), (c), (e) and (f) carry the Integration Specification 9.1 codes EMBEDDED, LDC_EXTERNAL, LDC_GROUP, THIRD_PARTY_GRC and EXPORT_ONLY, and set the risk-data system of record in Part 7E RK2.1.</w:t>
      </w:r>
    </w:p>
    <w:p>
      <w:pPr>
        <w:numPr>
          <w:ilvl w:val="0"/>
          <w:numId w:val="1151"/>
        </w:numPr>
        <w:pStyle w:val="Compact"/>
      </w:pPr>
      <w:r>
        <w:rPr>
          <w:bCs/>
          <w:b/>
        </w:rPr>
        <w:t xml:space="preserve">Compliance Function workflow suite</w:t>
      </w:r>
      <w:r>
        <w:t xml:space="preserve"> </w:t>
      </w:r>
      <w:r>
        <w:t xml:space="preserve">for ML/UL tenants (CMP paras 6–33; Part 8A.11), offered to all tenants:</w:t>
      </w:r>
    </w:p>
    <w:p>
      <w:pPr>
        <w:numPr>
          <w:ilvl w:val="1"/>
          <w:numId w:val="1158"/>
        </w:numPr>
        <w:pStyle w:val="Compact"/>
      </w:pPr>
      <w:r>
        <w:t xml:space="preserve">annual compliance risk assessment and Board review generator;</w:t>
      </w:r>
    </w:p>
    <w:p>
      <w:pPr>
        <w:numPr>
          <w:ilvl w:val="1"/>
          <w:numId w:val="1158"/>
        </w:numPr>
        <w:pStyle w:val="Compact"/>
      </w:pPr>
      <w:r>
        <w:t xml:space="preserve">product and process approval gate, with 6-month new-product monitoring;</w:t>
      </w:r>
    </w:p>
    <w:p>
      <w:pPr>
        <w:numPr>
          <w:ilvl w:val="1"/>
          <w:numId w:val="1158"/>
        </w:numPr>
        <w:pStyle w:val="Compact"/>
      </w:pPr>
      <w:r>
        <w:t xml:space="preserve">compliance testing;</w:t>
      </w:r>
    </w:p>
    <w:p>
      <w:pPr>
        <w:numPr>
          <w:ilvl w:val="1"/>
          <w:numId w:val="1158"/>
        </w:numPr>
        <w:pStyle w:val="Compact"/>
      </w:pPr>
      <w:r>
        <w:t xml:space="preserve">RMP/MAP tracker;</w:t>
      </w:r>
    </w:p>
    <w:p>
      <w:pPr>
        <w:numPr>
          <w:ilvl w:val="1"/>
          <w:numId w:val="1158"/>
        </w:numPr>
        <w:pStyle w:val="Compact"/>
      </w:pPr>
      <w:r>
        <w:t xml:space="preserve">CCO governance register and SSM intimations;</w:t>
      </w:r>
    </w:p>
    <w:p>
      <w:pPr>
        <w:numPr>
          <w:ilvl w:val="1"/>
          <w:numId w:val="1158"/>
        </w:numPr>
        <w:pStyle w:val="Compact"/>
      </w:pPr>
      <w:r>
        <w:t xml:space="preserve">recorded deviation approvals;</w:t>
      </w:r>
    </w:p>
    <w:p>
      <w:pPr>
        <w:numPr>
          <w:ilvl w:val="1"/>
          <w:numId w:val="1158"/>
        </w:numPr>
        <w:pStyle w:val="Compact"/>
      </w:pPr>
      <w:r>
        <w:t xml:space="preserve">unified dashboard.</w:t>
      </w:r>
    </w:p>
    <w:p>
      <w:pPr>
        <w:numPr>
          <w:ilvl w:val="0"/>
          <w:numId w:val="1151"/>
        </w:numPr>
        <w:pStyle w:val="Compact"/>
      </w:pPr>
      <w:r>
        <w:rPr>
          <w:bCs/>
          <w:b/>
        </w:rPr>
        <w:t xml:space="preserve">Applicability engine</w:t>
      </w:r>
      <w:r>
        <w:t xml:space="preserve"> </w:t>
      </w:r>
      <w:r>
        <w:t xml:space="preserve">driven by the entity regulatory profile (Part 8A.16).</w:t>
      </w:r>
    </w:p>
    <w:p>
      <w:pPr>
        <w:numPr>
          <w:ilvl w:val="0"/>
          <w:numId w:val="1151"/>
        </w:numPr>
        <w:pStyle w:val="Compact"/>
      </w:pPr>
      <w:r>
        <w:rPr>
          <w:bCs/>
          <w:b/>
        </w:rPr>
        <w:t xml:space="preserve">v1.5 risk feed, governance and calendars:</w:t>
      </w:r>
      <w:r>
        <w:t xml:space="preserve"> </w:t>
      </w:r>
      <w:r>
        <w:t xml:space="preserve">the risk register, KRIs, loss events and RCSA are specified in Part 7E RK2, with the system of record set by the compliance mode (RK2.1). In LawDocsComply modes Finbyx publishes the risk-data feed (RK2.4:</w:t>
      </w:r>
      <w:r>
        <w:t xml:space="preserve"> </w:t>
      </w:r>
      <w:r>
        <w:rPr>
          <w:rStyle w:val="VerbatimChar"/>
        </w:rPr>
        <w:t xml:space="preserve">KriBreached</w:t>
      </w:r>
      <w:r>
        <w:t xml:space="preserve">,</w:t>
      </w:r>
      <w:r>
        <w:t xml:space="preserve"> </w:t>
      </w:r>
      <w:r>
        <w:rPr>
          <w:rStyle w:val="VerbatimChar"/>
        </w:rPr>
        <w:t xml:space="preserve">LossEventRecorded</w:t>
      </w:r>
      <w:r>
        <w:t xml:space="preserve">,</w:t>
      </w:r>
      <w:r>
        <w:t xml:space="preserve"> </w:t>
      </w:r>
      <w:r>
        <w:rPr>
          <w:rStyle w:val="VerbatimChar"/>
        </w:rPr>
        <w:t xml:space="preserve">CapitalRatioComputed</w:t>
      </w:r>
      <w:r>
        <w:t xml:space="preserve">,</w:t>
      </w:r>
      <w:r>
        <w:t xml:space="preserve"> </w:t>
      </w:r>
      <w:r>
        <w:rPr>
          <w:rStyle w:val="VerbatimChar"/>
        </w:rPr>
        <w:t xml:space="preserve">LimitBreached</w:t>
      </w:r>
      <w:r>
        <w:t xml:space="preserve">,</w:t>
      </w:r>
      <w:r>
        <w:t xml:space="preserve"> </w:t>
      </w:r>
      <w:r>
        <w:rPr>
          <w:rStyle w:val="VerbatimChar"/>
        </w:rPr>
        <w:t xml:space="preserve">StressTestCompleted</w:t>
      </w:r>
      <w:r>
        <w:t xml:space="preserve">,</w:t>
      </w:r>
      <w:r>
        <w:t xml:space="preserve"> </w:t>
      </w:r>
      <w:r>
        <w:rPr>
          <w:rStyle w:val="VerbatimChar"/>
        </w:rPr>
        <w:t xml:space="preserve">RiskSnapshotPublished</w:t>
      </w:r>
      <w:r>
        <w:t xml:space="preserve">; HMAC pseudonyms keyed in the tenant’s KMS; no raw PII) and pulls KRI and Obligation resources. Governance events from Part 7F (</w:t>
      </w:r>
      <w:r>
        <w:rPr>
          <w:rStyle w:val="VerbatimChar"/>
        </w:rPr>
        <w:t xml:space="preserve">BoardMeetingScheduled</w:t>
      </w:r>
      <w:r>
        <w:t xml:space="preserve">,</w:t>
      </w:r>
      <w:r>
        <w:t xml:space="preserve"> </w:t>
      </w:r>
      <w:r>
        <w:rPr>
          <w:rStyle w:val="VerbatimChar"/>
        </w:rPr>
        <w:t xml:space="preserve">ResolutionPassed</w:t>
      </w:r>
      <w:r>
        <w:t xml:space="preserve">,</w:t>
      </w:r>
      <w:r>
        <w:t xml:space="preserve"> </w:t>
      </w:r>
      <w:r>
        <w:rPr>
          <w:rStyle w:val="VerbatimChar"/>
        </w:rPr>
        <w:t xml:space="preserve">KmpChanged</w:t>
      </w:r>
      <w:r>
        <w:t xml:space="preserve">,</w:t>
      </w:r>
      <w:r>
        <w:t xml:space="preserve"> </w:t>
      </w:r>
      <w:r>
        <w:rPr>
          <w:rStyle w:val="VerbatimChar"/>
        </w:rPr>
        <w:t xml:space="preserve">TaskAssigned</w:t>
      </w:r>
      <w:r>
        <w:t xml:space="preserve">) go only to the tenant’s own compliance destination (embedded M14 or LawDocsComply), never to the Operations Hub or another group company. The applicability engine also resolves through the institution profile (Part 7G IP1) and the accounting framework (Part 7C AC1); the compliance calendar merges the return calendar (RR5.1), the governance and MCA calendar (GV3.3) and the audit plan (Part 7D AU1); the regulatory register carries the Part 8A.37 codes.</w:t>
      </w:r>
    </w:p>
    <w:p>
      <w:pPr>
        <w:numPr>
          <w:ilvl w:val="0"/>
          <w:numId w:val="1151"/>
        </w:numPr>
        <w:pStyle w:val="Compact"/>
      </w:pPr>
      <w:r>
        <w:rPr>
          <w:bCs/>
          <w:b/>
        </w:rPr>
        <w:t xml:space="preserve">Regulatory register:</w:t>
      </w:r>
    </w:p>
    <w:p>
      <w:pPr>
        <w:numPr>
          <w:ilvl w:val="1"/>
          <w:numId w:val="1159"/>
        </w:numPr>
        <w:pStyle w:val="Compact"/>
      </w:pPr>
      <w:r>
        <w:t xml:space="preserve">dated, versioned instrument records;</w:t>
      </w:r>
    </w:p>
    <w:p>
      <w:pPr>
        <w:numPr>
          <w:ilvl w:val="1"/>
          <w:numId w:val="1159"/>
        </w:numPr>
        <w:pStyle w:val="Compact"/>
      </w:pPr>
      <w:r>
        <w:t xml:space="preserve">paragraph-level obligations;</w:t>
      </w:r>
    </w:p>
    <w:p>
      <w:pPr>
        <w:numPr>
          <w:ilvl w:val="1"/>
          <w:numId w:val="1159"/>
        </w:numPr>
        <w:pStyle w:val="Compact"/>
      </w:pPr>
      <w:r>
        <w:t xml:space="preserve">applicability per entity (layer, asset size, products, deposit-taking status, customer interface);</w:t>
      </w:r>
    </w:p>
    <w:p>
      <w:pPr>
        <w:numPr>
          <w:ilvl w:val="1"/>
          <w:numId w:val="1159"/>
        </w:numPr>
        <w:pStyle w:val="Compact"/>
      </w:pPr>
      <w:r>
        <w:t xml:space="preserve">responsible function;</w:t>
      </w:r>
    </w:p>
    <w:p>
      <w:pPr>
        <w:numPr>
          <w:ilvl w:val="1"/>
          <w:numId w:val="1159"/>
        </w:numPr>
        <w:pStyle w:val="Compact"/>
      </w:pPr>
      <w:r>
        <w:t xml:space="preserve">system control;</w:t>
      </w:r>
    </w:p>
    <w:p>
      <w:pPr>
        <w:numPr>
          <w:ilvl w:val="1"/>
          <w:numId w:val="1159"/>
        </w:numPr>
        <w:pStyle w:val="Compact"/>
      </w:pPr>
      <w:r>
        <w:t xml:space="preserve">evidence;</w:t>
      </w:r>
    </w:p>
    <w:p>
      <w:pPr>
        <w:numPr>
          <w:ilvl w:val="1"/>
          <w:numId w:val="1159"/>
        </w:numPr>
        <w:pStyle w:val="Compact"/>
      </w:pPr>
      <w:r>
        <w:t xml:space="preserve">test case;</w:t>
      </w:r>
    </w:p>
    <w:p>
      <w:pPr>
        <w:numPr>
          <w:ilvl w:val="1"/>
          <w:numId w:val="1159"/>
        </w:numPr>
        <w:pStyle w:val="Compact"/>
      </w:pPr>
      <w:r>
        <w:t xml:space="preserve">status;</w:t>
      </w:r>
    </w:p>
    <w:p>
      <w:pPr>
        <w:numPr>
          <w:ilvl w:val="1"/>
          <w:numId w:val="1159"/>
        </w:numPr>
        <w:pStyle w:val="Compact"/>
      </w:pPr>
      <w:r>
        <w:t xml:space="preserve">unresolved questions.</w:t>
      </w:r>
    </w:p>
    <w:p>
      <w:pPr>
        <w:numPr>
          <w:ilvl w:val="0"/>
          <w:numId w:val="1151"/>
        </w:numPr>
        <w:pStyle w:val="Compact"/>
      </w:pPr>
      <w:r>
        <w:t xml:space="preserve">Start the register with the RBI 28 Nov 2025 consolidated Directions and the 31 Jul 2026 Supervision Directions, then keep it current through a</w:t>
      </w:r>
      <w:r>
        <w:t xml:space="preserve"> </w:t>
      </w:r>
      <w:r>
        <w:rPr>
          <w:bCs/>
          <w:b/>
        </w:rPr>
        <w:t xml:space="preserve">regulatory change management</w:t>
      </w:r>
      <w:r>
        <w:t xml:space="preserve"> </w:t>
      </w:r>
      <w:r>
        <w:t xml:space="preserve">workflow (impact assessment across products, configurations, templates, workflows and tests).</w:t>
      </w:r>
    </w:p>
    <w:p>
      <w:pPr>
        <w:numPr>
          <w:ilvl w:val="0"/>
          <w:numId w:val="1151"/>
        </w:numPr>
        <w:pStyle w:val="Compact"/>
      </w:pPr>
      <w:r>
        <w:rPr>
          <w:bCs/>
          <w:b/>
        </w:rPr>
        <w:t xml:space="preserve">Compliance calendar:</w:t>
      </w:r>
      <w:r>
        <w:t xml:space="preserve"> </w:t>
      </w:r>
      <w:r>
        <w:t xml:space="preserve">returns, Board/committee reviews, policy reviews, audits, VAPT, DR drills, certifications.</w:t>
      </w:r>
    </w:p>
    <w:p>
      <w:pPr>
        <w:numPr>
          <w:ilvl w:val="0"/>
          <w:numId w:val="1151"/>
        </w:numPr>
        <w:pStyle w:val="Compact"/>
      </w:pPr>
      <w:r>
        <w:rPr>
          <w:bCs/>
          <w:b/>
        </w:rPr>
        <w:t xml:space="preserve">Automated control tests that run inside Finbyx and produce evidence.</w:t>
      </w:r>
      <w:r>
        <w:t xml:space="preserve"> </w:t>
      </w:r>
      <w:r>
        <w:t xml:space="preserve">Examples:</w:t>
      </w:r>
    </w:p>
    <w:p>
      <w:pPr>
        <w:numPr>
          <w:ilvl w:val="1"/>
          <w:numId w:val="1160"/>
        </w:numPr>
        <w:pStyle w:val="Compact"/>
      </w:pPr>
      <w:r>
        <w:t xml:space="preserve">KFS issued before execution;</w:t>
      </w:r>
    </w:p>
    <w:p>
      <w:pPr>
        <w:numPr>
          <w:ilvl w:val="1"/>
          <w:numId w:val="1160"/>
        </w:numPr>
        <w:pStyle w:val="Compact"/>
      </w:pPr>
      <w:r>
        <w:t xml:space="preserve">no penal interest;</w:t>
      </w:r>
    </w:p>
    <w:p>
      <w:pPr>
        <w:numPr>
          <w:ilvl w:val="1"/>
          <w:numId w:val="1160"/>
        </w:numPr>
        <w:pStyle w:val="Compact"/>
      </w:pPr>
      <w:r>
        <w:t xml:space="preserve">prepayment charges suppressed where barred;</w:t>
      </w:r>
    </w:p>
    <w:p>
      <w:pPr>
        <w:numPr>
          <w:ilvl w:val="1"/>
          <w:numId w:val="1160"/>
        </w:numPr>
        <w:pStyle w:val="Compact"/>
      </w:pPr>
      <w:r>
        <w:t xml:space="preserve">document release within 30 days;</w:t>
      </w:r>
    </w:p>
    <w:p>
      <w:pPr>
        <w:numPr>
          <w:ilvl w:val="1"/>
          <w:numId w:val="1160"/>
        </w:numPr>
        <w:pStyle w:val="Compact"/>
      </w:pPr>
      <w:r>
        <w:t xml:space="preserve">recovery calls within permitted hours;</w:t>
      </w:r>
    </w:p>
    <w:p>
      <w:pPr>
        <w:numPr>
          <w:ilvl w:val="1"/>
          <w:numId w:val="1160"/>
        </w:numPr>
        <w:pStyle w:val="Compact"/>
      </w:pPr>
      <w:r>
        <w:t xml:space="preserve">CKYC uploads within 10 days and updates within 7 days (KYC 63(1), 63(7));</w:t>
      </w:r>
    </w:p>
    <w:p>
      <w:pPr>
        <w:numPr>
          <w:ilvl w:val="1"/>
          <w:numId w:val="1160"/>
        </w:numPr>
        <w:pStyle w:val="Compact"/>
      </w:pPr>
      <w:r>
        <w:t xml:space="preserve">CIC files on time;</w:t>
      </w:r>
    </w:p>
    <w:p>
      <w:pPr>
        <w:numPr>
          <w:ilvl w:val="1"/>
          <w:numId w:val="1160"/>
        </w:numPr>
        <w:pStyle w:val="Compact"/>
      </w:pPr>
      <w:r>
        <w:t xml:space="preserve">NPA tagging correct;</w:t>
      </w:r>
    </w:p>
    <w:p>
      <w:pPr>
        <w:numPr>
          <w:ilvl w:val="1"/>
          <w:numId w:val="1160"/>
        </w:numPr>
        <w:pStyle w:val="Compact"/>
      </w:pPr>
      <w:r>
        <w:t xml:space="preserve">interest from disbursement date, EMI on disbursed amount only, schedule revision communicated on each tranche, no full-month interest for part months, advance instalments reduce the interest base (MSD para 7(1)–(5)).</w:t>
      </w:r>
    </w:p>
    <w:p>
      <w:pPr>
        <w:numPr>
          <w:ilvl w:val="0"/>
          <w:numId w:val="1151"/>
        </w:numPr>
        <w:pStyle w:val="Compact"/>
      </w:pPr>
      <w:r>
        <w:rPr>
          <w:bCs/>
          <w:b/>
        </w:rPr>
        <w:t xml:space="preserve">Policy library</w:t>
      </w:r>
      <w:r>
        <w:t xml:space="preserve"> </w:t>
      </w:r>
      <w:r>
        <w:t xml:space="preserve">with Board approval dates, and</w:t>
      </w:r>
      <w:r>
        <w:t xml:space="preserve"> </w:t>
      </w:r>
      <w:r>
        <w:rPr>
          <w:bCs/>
          <w:b/>
        </w:rPr>
        <w:t xml:space="preserve">product-approval workflow</w:t>
      </w:r>
      <w:r>
        <w:t xml:space="preserve"> </w:t>
      </w:r>
      <w:r>
        <w:t xml:space="preserve">(new-product evaluation by the Compliance Function under the RBI (NBFC – Compliance Function) Directions, 2026 [VERIFY]).</w:t>
      </w:r>
    </w:p>
    <w:p>
      <w:pPr>
        <w:numPr>
          <w:ilvl w:val="0"/>
          <w:numId w:val="1151"/>
        </w:numPr>
        <w:pStyle w:val="Compact"/>
      </w:pPr>
      <w:r>
        <w:rPr>
          <w:bCs/>
          <w:b/>
        </w:rPr>
        <w:t xml:space="preserve">LawDocsComply and third-party GRC connector (v1.4):</w:t>
      </w:r>
      <w:r>
        <w:t xml:space="preserve"> </w:t>
      </w:r>
      <w:r>
        <w:t xml:space="preserve">one generic GRC connector, defined in the Ecosystem Integration Specification, serves LawDocsComply and third-party GRC tools (MetricStream, IBM OpenPages, ServiceNow IRM, Archer, and Indian tools where an API exists [VERIFY]). Resources: Obligation (paragraph-cited, for example</w:t>
      </w:r>
      <w:r>
        <w:t xml:space="preserve"> </w:t>
      </w:r>
      <w:r>
        <w:rPr>
          <w:rStyle w:val="VerbatimChar"/>
        </w:rPr>
        <w:t xml:space="preserve">RBI/DOR/2025-26/352#124</w:t>
      </w:r>
      <w:r>
        <w:t xml:space="preserve">), Control, ControlTestResult, Issue, Incident, RegulatoryReturn, PolicyAttestation, OutsourcingArrangement and KRI. Transport: REST pull, CloudEvents push and a periodic</w:t>
      </w:r>
      <w:r>
        <w:t xml:space="preserve"> </w:t>
      </w:r>
      <w:r>
        <w:rPr>
          <w:bCs/>
          <w:b/>
        </w:rPr>
        <w:t xml:space="preserve">OSCAL</w:t>
      </w:r>
      <w:r>
        <w:t xml:space="preserve"> </w:t>
      </w:r>
      <w:r>
        <w:t xml:space="preserve">package (catalog, component-definition, assessment-results, POA&amp;M). Evidence is hash-chained, stored in India and carries aggregate counts and masked sample IDs, never raw PII. The Recovery Suite conduct controls (R15) publish through the same connector. The mode switch gains (e) a third-party GRC tool through a certified adapter and (f) export-only (evidence packs and OSCAL), matching the five compliance modes of Integration Spec Part 9.1; (d) is unchanged.</w:t>
      </w:r>
    </w:p>
    <w:bookmarkEnd w:id="87"/>
    <w:bookmarkStart w:id="88" w:name="X99601a06af5401c4330bf306eb1845feb6c4c6c"/>
    <w:p>
      <w:pPr>
        <w:pStyle w:val="Heading2"/>
      </w:pPr>
      <w:r>
        <w:t xml:space="preserve">M15. Customer service, grievance redressal and Equator</w:t>
      </w:r>
    </w:p>
    <w:p>
      <w:pPr>
        <w:numPr>
          <w:ilvl w:val="0"/>
          <w:numId w:val="1161"/>
        </w:numPr>
        <w:pStyle w:val="Compact"/>
      </w:pPr>
      <w:r>
        <w:rPr>
          <w:bCs/>
          <w:b/>
        </w:rPr>
        <w:t xml:space="preserve">Omnichannel complaints:</w:t>
      </w:r>
      <w:r>
        <w:t xml:space="preserve"> </w:t>
      </w:r>
      <w:r>
        <w:t xml:space="preserve">branch, phone, email, web portal, Udofin/LSP API, social media, RBI CMS references.</w:t>
      </w:r>
    </w:p>
    <w:p>
      <w:pPr>
        <w:numPr>
          <w:ilvl w:val="0"/>
          <w:numId w:val="1161"/>
        </w:numPr>
        <w:pStyle w:val="Compact"/>
      </w:pPr>
      <w:r>
        <w:rPr>
          <w:bCs/>
          <w:b/>
        </w:rPr>
        <w:t xml:space="preserve">Complaint handling:</w:t>
      </w:r>
    </w:p>
    <w:p>
      <w:pPr>
        <w:numPr>
          <w:ilvl w:val="1"/>
          <w:numId w:val="1162"/>
        </w:numPr>
        <w:pStyle w:val="Compact"/>
      </w:pPr>
      <w:r>
        <w:t xml:space="preserve">unique reference number;</w:t>
      </w:r>
    </w:p>
    <w:p>
      <w:pPr>
        <w:numPr>
          <w:ilvl w:val="1"/>
          <w:numId w:val="1162"/>
        </w:numPr>
        <w:pStyle w:val="Compact"/>
      </w:pPr>
      <w:r>
        <w:t xml:space="preserve">acknowledgement;</w:t>
      </w:r>
    </w:p>
    <w:p>
      <w:pPr>
        <w:numPr>
          <w:ilvl w:val="1"/>
          <w:numId w:val="1162"/>
        </w:numPr>
        <w:pStyle w:val="Compact"/>
      </w:pPr>
      <w:r>
        <w:t xml:space="preserve">classification (AI-assisted, human-confirmed);</w:t>
      </w:r>
    </w:p>
    <w:p>
      <w:pPr>
        <w:numPr>
          <w:ilvl w:val="1"/>
          <w:numId w:val="1162"/>
        </w:numPr>
        <w:pStyle w:val="Compact"/>
      </w:pPr>
      <w:r>
        <w:t xml:space="preserve">routing to the Grievance Redressal Officer or Nodal Officer;</w:t>
      </w:r>
    </w:p>
    <w:p>
      <w:pPr>
        <w:numPr>
          <w:ilvl w:val="1"/>
          <w:numId w:val="1162"/>
        </w:numPr>
        <w:pStyle w:val="Compact"/>
      </w:pPr>
      <w:r>
        <w:t xml:space="preserve">SLA clocks;</w:t>
      </w:r>
    </w:p>
    <w:p>
      <w:pPr>
        <w:numPr>
          <w:ilvl w:val="1"/>
          <w:numId w:val="1162"/>
        </w:numPr>
        <w:pStyle w:val="Compact"/>
      </w:pPr>
      <w:r>
        <w:t xml:space="preserve">communication history;</w:t>
      </w:r>
    </w:p>
    <w:p>
      <w:pPr>
        <w:numPr>
          <w:ilvl w:val="1"/>
          <w:numId w:val="1162"/>
        </w:numPr>
        <w:pStyle w:val="Compact"/>
      </w:pPr>
      <w:r>
        <w:t xml:space="preserve">attachments;</w:t>
      </w:r>
    </w:p>
    <w:p>
      <w:pPr>
        <w:numPr>
          <w:ilvl w:val="1"/>
          <w:numId w:val="1162"/>
        </w:numPr>
        <w:pStyle w:val="Compact"/>
      </w:pPr>
      <w:r>
        <w:t xml:space="preserve">root-cause tagging.</w:t>
      </w:r>
    </w:p>
    <w:p>
      <w:pPr>
        <w:numPr>
          <w:ilvl w:val="0"/>
          <w:numId w:val="1161"/>
        </w:numPr>
        <w:pStyle w:val="Compact"/>
      </w:pPr>
      <w:r>
        <w:rPr>
          <w:bCs/>
          <w:b/>
        </w:rPr>
        <w:t xml:space="preserve">Credit-information complaints</w:t>
      </w:r>
      <w:r>
        <w:t xml:space="preserve"> </w:t>
      </w:r>
      <w:r>
        <w:t xml:space="preserve">(CIR paras 18–19, 34–35; Part 8A.2):</w:t>
      </w:r>
    </w:p>
    <w:p>
      <w:pPr>
        <w:numPr>
          <w:ilvl w:val="1"/>
          <w:numId w:val="1163"/>
        </w:numPr>
        <w:pStyle w:val="Compact"/>
      </w:pPr>
      <w:r>
        <w:t xml:space="preserve">two clocks: the lender’s 21 days to send corrected data, and 30 days overall;</w:t>
      </w:r>
    </w:p>
    <w:p>
      <w:pPr>
        <w:numPr>
          <w:ilvl w:val="1"/>
          <w:numId w:val="1163"/>
        </w:numPr>
        <w:pStyle w:val="Compact"/>
      </w:pPr>
      <w:r>
        <w:t xml:space="preserve">₹100 per calendar day compensation, apportioned between the parties;</w:t>
      </w:r>
    </w:p>
    <w:p>
      <w:pPr>
        <w:numPr>
          <w:ilvl w:val="1"/>
          <w:numId w:val="1163"/>
        </w:numPr>
        <w:pStyle w:val="Compact"/>
      </w:pPr>
      <w:r>
        <w:t xml:space="preserve">payout within 5 working days;</w:t>
      </w:r>
    </w:p>
    <w:p>
      <w:pPr>
        <w:numPr>
          <w:ilvl w:val="1"/>
          <w:numId w:val="1163"/>
        </w:numPr>
        <w:pStyle w:val="Compact"/>
      </w:pPr>
      <w:r>
        <w:t xml:space="preserve">rejection reasons taken from the CIC list;</w:t>
      </w:r>
    </w:p>
    <w:p>
      <w:pPr>
        <w:numPr>
          <w:ilvl w:val="1"/>
          <w:numId w:val="1163"/>
        </w:numPr>
        <w:pStyle w:val="Compact"/>
      </w:pPr>
      <w:r>
        <w:t xml:space="preserve">correction at source;</w:t>
      </w:r>
    </w:p>
    <w:p>
      <w:pPr>
        <w:numPr>
          <w:ilvl w:val="1"/>
          <w:numId w:val="1163"/>
        </w:numPr>
        <w:pStyle w:val="Compact"/>
      </w:pPr>
      <w:r>
        <w:t xml:space="preserve">half-yearly root-cause analysis.</w:t>
      </w:r>
    </w:p>
    <w:p>
      <w:pPr>
        <w:numPr>
          <w:ilvl w:val="0"/>
          <w:numId w:val="1161"/>
        </w:numPr>
        <w:pStyle w:val="Compact"/>
      </w:pPr>
      <w:r>
        <w:rPr>
          <w:bCs/>
          <w:b/>
        </w:rPr>
        <w:t xml:space="preserve">Digital-loan grievance text</w:t>
      </w:r>
      <w:r>
        <w:t xml:space="preserve"> </w:t>
      </w:r>
      <w:r>
        <w:t xml:space="preserve">(CF para 12): nodal officers at the lender and LSP; escalation to CMS or CRPC after 30 days or on rejection.</w:t>
      </w:r>
    </w:p>
    <w:p>
      <w:pPr>
        <w:numPr>
          <w:ilvl w:val="0"/>
          <w:numId w:val="1161"/>
        </w:numPr>
        <w:pStyle w:val="Compact"/>
      </w:pPr>
      <w:r>
        <w:rPr>
          <w:bCs/>
          <w:b/>
        </w:rPr>
        <w:t xml:space="preserve">Internal Ombudsman (where applicable; HFCs excluded)</w:t>
      </w:r>
      <w:r>
        <w:t xml:space="preserve"> </w:t>
      </w:r>
      <w:r>
        <w:t xml:space="preserve">under the</w:t>
      </w:r>
      <w:r>
        <w:t xml:space="preserve"> </w:t>
      </w:r>
      <w:r>
        <w:rPr>
          <w:bCs/>
          <w:b/>
        </w:rPr>
        <w:t xml:space="preserve">RBI (NBFC – Internal Ombudsman) Directions, 2026 (14 Jan 2026)</w:t>
      </w:r>
      <w:r>
        <w:t xml:space="preserve">: automatic escalation of wholly or partly rejected complaints to the IO within 20 days, and the final response within 30 days. The complaint system must be fully automated.</w:t>
      </w:r>
    </w:p>
    <w:p>
      <w:pPr>
        <w:numPr>
          <w:ilvl w:val="0"/>
          <w:numId w:val="1161"/>
        </w:numPr>
        <w:pStyle w:val="Compact"/>
      </w:pPr>
      <w:r>
        <w:rPr>
          <w:bCs/>
          <w:b/>
        </w:rPr>
        <w:t xml:space="preserve">Reserve Bank – Integrated Ombudsman Scheme, 2026 (RB-IOS 2026)</w:t>
      </w:r>
      <w:r>
        <w:t xml:space="preserve"> </w:t>
      </w:r>
      <w:r>
        <w:t xml:space="preserve">(effective 1 Jul 2026, replacing the 2021 Scheme):</w:t>
      </w:r>
    </w:p>
    <w:p>
      <w:pPr>
        <w:numPr>
          <w:ilvl w:val="1"/>
          <w:numId w:val="1164"/>
        </w:numPr>
        <w:pStyle w:val="Compact"/>
      </w:pPr>
      <w:r>
        <w:t xml:space="preserve">display the Principal Nodal Officer’s details;</w:t>
      </w:r>
    </w:p>
    <w:p>
      <w:pPr>
        <w:numPr>
          <w:ilvl w:val="1"/>
          <w:numId w:val="1164"/>
        </w:numPr>
        <w:pStyle w:val="Compact"/>
      </w:pPr>
      <w:r>
        <w:t xml:space="preserve">give the borrower escalation information when no reply arrives within 30 days or they are dissatisfied;</w:t>
      </w:r>
    </w:p>
    <w:p>
      <w:pPr>
        <w:numPr>
          <w:ilvl w:val="1"/>
          <w:numId w:val="1164"/>
        </w:numPr>
        <w:pStyle w:val="Compact"/>
      </w:pPr>
      <w:r>
        <w:t xml:space="preserve">track RBI Ombudsman references with response deadlines: the complainant may approach the RBI Ombudsman within 90 days after the RE’s 30-day reply period or its last reply (cl.10(1)(g)); the RE responds to the Ombudsman within 15 days (cl.14(2)); complaints received before 1 Jul 2026 stay under the 2021 Scheme (cl.20) [VERIFY: clause numbers against the official text; the scheme text was read from a secondary reproduction];</w:t>
      </w:r>
    </w:p>
    <w:p>
      <w:pPr>
        <w:numPr>
          <w:ilvl w:val="1"/>
          <w:numId w:val="1164"/>
        </w:numPr>
        <w:pStyle w:val="Compact"/>
      </w:pPr>
      <w:r>
        <w:t xml:space="preserve">v1.5 events</w:t>
      </w:r>
      <w:r>
        <w:t xml:space="preserve"> </w:t>
      </w:r>
      <w:r>
        <w:rPr>
          <w:rStyle w:val="VerbatimChar"/>
        </w:rPr>
        <w:t xml:space="preserve">OmbudsmanReferralRecorded</w:t>
      </w:r>
      <w:r>
        <w:t xml:space="preserve">,</w:t>
      </w:r>
      <w:r>
        <w:t xml:space="preserve"> </w:t>
      </w:r>
      <w:r>
        <w:rPr>
          <w:rStyle w:val="VerbatimChar"/>
        </w:rPr>
        <w:t xml:space="preserve">GrievanceReopened</w:t>
      </w:r>
      <w:r>
        <w:t xml:space="preserve"> </w:t>
      </w:r>
      <w:r>
        <w:t xml:space="preserve">and</w:t>
      </w:r>
      <w:r>
        <w:t xml:space="preserve"> </w:t>
      </w:r>
      <w:r>
        <w:rPr>
          <w:rStyle w:val="VerbatimChar"/>
        </w:rPr>
        <w:t xml:space="preserve">GrievanceRated</w:t>
      </w:r>
      <w:r>
        <w:t xml:space="preserve"> </w:t>
      </w:r>
      <w:r>
        <w:t xml:space="preserve">(Integration Specification v1.1) carry the Udofin grievance escalation chain v2 (Udofin UB3–UB4) into the lender’s case; the RE’s Grievance Redressal Officer still owns the outcome (OUT paras 54–57).</w:t>
      </w:r>
    </w:p>
    <w:p>
      <w:pPr>
        <w:numPr>
          <w:ilvl w:val="0"/>
          <w:numId w:val="1161"/>
        </w:numPr>
        <w:pStyle w:val="Compact"/>
      </w:pPr>
      <w:r>
        <w:rPr>
          <w:bCs/>
          <w:b/>
        </w:rPr>
        <w:t xml:space="preserve">Equator Resolution referral:</w:t>
      </w:r>
    </w:p>
    <w:p>
      <w:pPr>
        <w:numPr>
          <w:ilvl w:val="1"/>
          <w:numId w:val="1165"/>
        </w:numPr>
        <w:pStyle w:val="Compact"/>
      </w:pPr>
      <w:r>
        <w:t xml:space="preserve">for mediation or conciliation, when a dispute remains unresolved and both parties consent; for arbitration, only where the loan agreement pre-names Equator (or another independent institution) or the borrower consents in writing after the dispute arises, and never with an arbitrator chosen or vetoed by the lender (</w:t>
      </w:r>
      <w:r>
        <w:rPr>
          <w:iCs/>
          <w:i/>
        </w:rPr>
        <w:t xml:space="preserve">CORE v ECI-SPIC-SMO-MCML (JV)</w:t>
      </w:r>
      <w:r>
        <w:t xml:space="preserve">, SC, 8 Nov 2024;</w:t>
      </w:r>
      <w:r>
        <w:t xml:space="preserve"> </w:t>
      </w:r>
      <w:r>
        <w:rPr>
          <w:iCs/>
          <w:i/>
        </w:rPr>
        <w:t xml:space="preserve">L&amp;T Finance v Jai Paras Material Store</w:t>
      </w:r>
      <w:r>
        <w:t xml:space="preserve">, Cal HC, 14 May 2026);</w:t>
      </w:r>
    </w:p>
    <w:p>
      <w:pPr>
        <w:numPr>
          <w:ilvl w:val="1"/>
          <w:numId w:val="1165"/>
        </w:numPr>
        <w:pStyle w:val="Compact"/>
      </w:pPr>
      <w:r>
        <w:t xml:space="preserve">create the Equator case through the ADR domain of the Ecosystem Integration Specification (</w:t>
      </w:r>
      <w:r>
        <w:rPr>
          <w:rStyle w:val="VerbatimChar"/>
        </w:rPr>
        <w:t xml:space="preserve">ADRReferralCreated</w:t>
      </w:r>
      <w:r>
        <w:t xml:space="preserve">,</w:t>
      </w:r>
      <w:r>
        <w:t xml:space="preserve"> </w:t>
      </w:r>
      <w:r>
        <w:rPr>
          <w:rStyle w:val="VerbatimChar"/>
        </w:rPr>
        <w:t xml:space="preserve">ADRConsentRecorded</w:t>
      </w:r>
      <w:r>
        <w:t xml:space="preserve"> </w:t>
      </w:r>
      <w:r>
        <w:t xml:space="preserve">and related events) with the agreed data set; other ODR providers use the same contract;</w:t>
      </w:r>
    </w:p>
    <w:p>
      <w:pPr>
        <w:numPr>
          <w:ilvl w:val="1"/>
          <w:numId w:val="1165"/>
        </w:numPr>
        <w:pStyle w:val="Compact"/>
      </w:pPr>
      <w:r>
        <w:t xml:space="preserve">the borrower accesses mediation or arbitration through a secure link, with no separate app;</w:t>
      </w:r>
    </w:p>
    <w:p>
      <w:pPr>
        <w:numPr>
          <w:ilvl w:val="1"/>
          <w:numId w:val="1165"/>
        </w:numPr>
        <w:pStyle w:val="Compact"/>
      </w:pPr>
      <w:r>
        <w:t xml:space="preserve">outcomes (</w:t>
      </w:r>
      <w:r>
        <w:rPr>
          <w:rStyle w:val="VerbatimChar"/>
        </w:rPr>
        <w:t xml:space="preserve">ADROutcomeRecorded</w:t>
      </w:r>
      <w:r>
        <w:t xml:space="preserve">,</w:t>
      </w:r>
      <w:r>
        <w:t xml:space="preserve"> </w:t>
      </w:r>
      <w:r>
        <w:rPr>
          <w:rStyle w:val="VerbatimChar"/>
        </w:rPr>
        <w:t xml:space="preserve">ADROutcomeComplianceUpdated</w:t>
      </w:r>
      <w:r>
        <w:t xml:space="preserve">) flow back to the Recovery Suite (Part 7A, R8 and R9) and the loan; an Equator referral never bypasses the RE’s Grievance Redressal Officer, Internal Ombudsman or RB-IOS route.</w:t>
      </w:r>
    </w:p>
    <w:p>
      <w:pPr>
        <w:numPr>
          <w:ilvl w:val="0"/>
          <w:numId w:val="1161"/>
        </w:numPr>
        <w:pStyle w:val="Compact"/>
      </w:pPr>
      <w:r>
        <w:rPr>
          <w:bCs/>
          <w:b/>
        </w:rPr>
        <w:t xml:space="preserve">AI support assistant</w:t>
      </w:r>
      <w:r>
        <w:t xml:space="preserve"> </w:t>
      </w:r>
      <w:r>
        <w:t xml:space="preserve">for staff and the optional borrower portal:</w:t>
      </w:r>
    </w:p>
    <w:p>
      <w:pPr>
        <w:numPr>
          <w:ilvl w:val="1"/>
          <w:numId w:val="1166"/>
        </w:numPr>
        <w:pStyle w:val="Compact"/>
      </w:pPr>
      <w:r>
        <w:t xml:space="preserve">answers only from approved knowledge sources and the customer’s own data;</w:t>
      </w:r>
    </w:p>
    <w:p>
      <w:pPr>
        <w:numPr>
          <w:ilvl w:val="1"/>
          <w:numId w:val="1166"/>
        </w:numPr>
        <w:pStyle w:val="Compact"/>
      </w:pPr>
      <w:r>
        <w:t xml:space="preserve">discloses that it is AI;</w:t>
      </w:r>
    </w:p>
    <w:p>
      <w:pPr>
        <w:numPr>
          <w:ilvl w:val="1"/>
          <w:numId w:val="1166"/>
        </w:numPr>
        <w:pStyle w:val="Compact"/>
      </w:pPr>
      <w:r>
        <w:t xml:space="preserve">never invents regulatory rights;</w:t>
      </w:r>
    </w:p>
    <w:p>
      <w:pPr>
        <w:numPr>
          <w:ilvl w:val="1"/>
          <w:numId w:val="1166"/>
        </w:numPr>
        <w:pStyle w:val="Compact"/>
      </w:pPr>
      <w:r>
        <w:t xml:space="preserve">never rejects complaints;</w:t>
      </w:r>
    </w:p>
    <w:p>
      <w:pPr>
        <w:numPr>
          <w:ilvl w:val="1"/>
          <w:numId w:val="1166"/>
        </w:numPr>
        <w:pStyle w:val="Compact"/>
      </w:pPr>
      <w:r>
        <w:t xml:space="preserve">always offers a human.</w:t>
      </w:r>
    </w:p>
    <w:p>
      <w:pPr>
        <w:numPr>
          <w:ilvl w:val="0"/>
          <w:numId w:val="1161"/>
        </w:numPr>
        <w:pStyle w:val="Compact"/>
      </w:pPr>
      <w:r>
        <w:rPr>
          <w:bCs/>
          <w:b/>
        </w:rPr>
        <w:t xml:space="preserve">Feedback:</w:t>
      </w:r>
    </w:p>
    <w:p>
      <w:pPr>
        <w:numPr>
          <w:ilvl w:val="1"/>
          <w:numId w:val="1167"/>
        </w:numPr>
        <w:pStyle w:val="Compact"/>
      </w:pPr>
      <w:r>
        <w:t xml:space="preserve">CSAT/NPS after service events and closure;</w:t>
      </w:r>
    </w:p>
    <w:p>
      <w:pPr>
        <w:numPr>
          <w:ilvl w:val="1"/>
          <w:numId w:val="1167"/>
        </w:numPr>
        <w:pStyle w:val="Compact"/>
      </w:pPr>
      <w:r>
        <w:t xml:space="preserve">feedback analytics;</w:t>
      </w:r>
    </w:p>
    <w:p>
      <w:pPr>
        <w:numPr>
          <w:ilvl w:val="1"/>
          <w:numId w:val="1167"/>
        </w:numPr>
        <w:pStyle w:val="Compact"/>
      </w:pPr>
      <w:r>
        <w:t xml:space="preserve">sales feedback within 30 days of sale under the RBC Second Amendment (para 101Y, effective 1 Jan 2027) [VERIFY: amendment text not supplied].</w:t>
      </w:r>
    </w:p>
    <w:bookmarkEnd w:id="88"/>
    <w:bookmarkStart w:id="89" w:name="m16.-document-management-system-dms"/>
    <w:p>
      <w:pPr>
        <w:pStyle w:val="Heading2"/>
      </w:pPr>
      <w:r>
        <w:t xml:space="preserve">M16. Document management system (DMS)</w:t>
      </w:r>
    </w:p>
    <w:p>
      <w:pPr>
        <w:numPr>
          <w:ilvl w:val="0"/>
          <w:numId w:val="1168"/>
        </w:numPr>
        <w:pStyle w:val="Compact"/>
      </w:pPr>
      <w:r>
        <w:t xml:space="preserve">Private, encrypted object storage with short-lived signed URLs.</w:t>
      </w:r>
    </w:p>
    <w:p>
      <w:pPr>
        <w:numPr>
          <w:ilvl w:val="0"/>
          <w:numId w:val="1168"/>
        </w:numPr>
        <w:pStyle w:val="Compact"/>
      </w:pPr>
      <w:r>
        <w:t xml:space="preserve">Document types and metadata; versions; hashes (SHA-256) for integrity; verification status; uploader; timestamps.</w:t>
      </w:r>
    </w:p>
    <w:p>
      <w:pPr>
        <w:numPr>
          <w:ilvl w:val="0"/>
          <w:numId w:val="1168"/>
        </w:numPr>
        <w:pStyle w:val="Compact"/>
      </w:pPr>
      <w:r>
        <w:t xml:space="preserve">Retention schedule by document class:</w:t>
      </w:r>
    </w:p>
    <w:p>
      <w:pPr>
        <w:numPr>
          <w:ilvl w:val="1"/>
          <w:numId w:val="1169"/>
        </w:numPr>
        <w:pStyle w:val="Compact"/>
      </w:pPr>
      <w:r>
        <w:t xml:space="preserve">PMLA/KYC: identification records 5 years after relationship end; transaction records 5 years from transaction (KYC 47);</w:t>
      </w:r>
    </w:p>
    <w:p>
      <w:pPr>
        <w:numPr>
          <w:ilvl w:val="1"/>
          <w:numId w:val="1169"/>
        </w:numPr>
        <w:pStyle w:val="Compact"/>
      </w:pPr>
      <w:r>
        <w:t xml:space="preserve">loan documents: Board policy;</w:t>
      </w:r>
    </w:p>
    <w:p>
      <w:pPr>
        <w:numPr>
          <w:ilvl w:val="1"/>
          <w:numId w:val="1169"/>
        </w:numPr>
        <w:pStyle w:val="Compact"/>
      </w:pPr>
      <w:r>
        <w:t xml:space="preserve">legal hold.</w:t>
      </w:r>
    </w:p>
    <w:p>
      <w:pPr>
        <w:numPr>
          <w:ilvl w:val="0"/>
          <w:numId w:val="1168"/>
        </w:numPr>
        <w:pStyle w:val="Compact"/>
      </w:pPr>
      <w:r>
        <w:t xml:space="preserve">Access logging. Watermarking on view and download.</w:t>
      </w:r>
    </w:p>
    <w:p>
      <w:pPr>
        <w:numPr>
          <w:ilvl w:val="0"/>
          <w:numId w:val="1168"/>
        </w:numPr>
        <w:pStyle w:val="Compact"/>
      </w:pPr>
      <w:r>
        <w:t xml:space="preserve">OCR and AI classification with human verification.</w:t>
      </w:r>
    </w:p>
    <w:p>
      <w:pPr>
        <w:numPr>
          <w:ilvl w:val="0"/>
          <w:numId w:val="1168"/>
        </w:numPr>
        <w:pStyle w:val="Compact"/>
      </w:pPr>
      <w:r>
        <w:rPr>
          <w:bCs/>
          <w:b/>
        </w:rPr>
        <w:t xml:space="preserve">Signed documents</w:t>
      </w:r>
      <w:r>
        <w:t xml:space="preserve"> </w:t>
      </w:r>
      <w:r>
        <w:t xml:space="preserve">(sanction letter, KFS, application form, CAM, guarantee agreement, loan agreement, KYC, mortgage and hypothecation documents) are viewable after eSign, together with their signing evidence.</w:t>
      </w:r>
    </w:p>
    <w:p>
      <w:pPr>
        <w:numPr>
          <w:ilvl w:val="0"/>
          <w:numId w:val="1168"/>
        </w:numPr>
        <w:pStyle w:val="Compact"/>
      </w:pPr>
      <w:r>
        <w:rPr>
          <w:bCs/>
          <w:b/>
        </w:rPr>
        <w:t xml:space="preserve">A document is never marked</w:t>
      </w:r>
      <w:r>
        <w:rPr>
          <w:bCs/>
          <w:b/>
        </w:rPr>
        <w:t xml:space="preserve"> </w:t>
      </w:r>
      <w:r>
        <w:rPr>
          <w:bCs/>
          <w:b/>
        </w:rPr>
        <w:t xml:space="preserve">“</w:t>
      </w:r>
      <w:r>
        <w:rPr>
          <w:bCs/>
          <w:b/>
        </w:rPr>
        <w:t xml:space="preserve">signed</w:t>
      </w:r>
      <w:r>
        <w:rPr>
          <w:bCs/>
          <w:b/>
        </w:rPr>
        <w:t xml:space="preserve">”</w:t>
      </w:r>
      <w:r>
        <w:rPr>
          <w:bCs/>
          <w:b/>
        </w:rPr>
        <w:t xml:space="preserve"> </w:t>
      </w:r>
      <w:r>
        <w:rPr>
          <w:bCs/>
          <w:b/>
        </w:rPr>
        <w:t xml:space="preserve">because a workflow stage was reached.</w:t>
      </w:r>
    </w:p>
    <w:p>
      <w:pPr>
        <w:numPr>
          <w:ilvl w:val="0"/>
          <w:numId w:val="1168"/>
        </w:numPr>
        <w:pStyle w:val="Compact"/>
      </w:pPr>
      <w:r>
        <w:t xml:space="preserve">Physical document custody register (file barcode, location, movement and retrieval requests).</w:t>
      </w:r>
    </w:p>
    <w:p>
      <w:pPr>
        <w:numPr>
          <w:ilvl w:val="0"/>
          <w:numId w:val="1168"/>
        </w:numPr>
        <w:pStyle w:val="Compact"/>
      </w:pPr>
      <w:r>
        <w:rPr>
          <w:bCs/>
          <w:b/>
        </w:rPr>
        <w:t xml:space="preserve">Legal and recovery documents (Part 7A):</w:t>
      </w:r>
      <w:r>
        <w:t xml:space="preserve"> </w:t>
      </w:r>
      <w:r>
        <w:t xml:space="preserve">notices with proof-of-service evidence (postal tracking and proof of delivery, email and SMS logs, affixation photographs, newspaper cuttings), pleadings, court and tribunal orders, arbitral awards, settlement agreements and consent decrees, valuation and auction records. Each is hashed, linked to its case and matter, held under legal hold while proceedings are pending, and exportable as a court-ready bundle (searchable PDF/A, paginated and bookmarked). Detaching the Recovery Suite never deletes these documents.</w:t>
      </w:r>
    </w:p>
    <w:p>
      <w:pPr>
        <w:numPr>
          <w:ilvl w:val="0"/>
          <w:numId w:val="1168"/>
        </w:numPr>
        <w:pStyle w:val="Compact"/>
      </w:pPr>
      <w:r>
        <w:rPr>
          <w:bCs/>
          <w:b/>
        </w:rPr>
        <w:t xml:space="preserve">v1.5 archives and customer storage:</w:t>
      </w:r>
      <w:r>
        <w:t xml:space="preserve"> </w:t>
      </w:r>
      <w:r>
        <w:t xml:space="preserve">every document class is exportable in the Part 7J DP1 archive standard (folder tree, original files with PDF/A renditions, Excel and Word registers, a manifest with SHA-256, data dictionary and README) that opens without Finbyx, and may be written to customer-controlled storage (DP3) subject to the data-class residency policy. Retention minimums follow Part 7C AC7.4.</w:t>
      </w:r>
    </w:p>
    <w:bookmarkEnd w:id="89"/>
    <w:bookmarkStart w:id="90" w:name="X3cdae23635f406a569fa91dccaa5cc20dd1a318"/>
    <w:p>
      <w:pPr>
        <w:pStyle w:val="Heading2"/>
      </w:pPr>
      <w:r>
        <w:t xml:space="preserve">M17. Reports, MIS, analytics and dashboards</w:t>
      </w:r>
    </w:p>
    <w:p>
      <w:pPr>
        <w:numPr>
          <w:ilvl w:val="0"/>
          <w:numId w:val="1170"/>
        </w:numPr>
        <w:pStyle w:val="Compact"/>
      </w:pPr>
      <w:r>
        <w:rPr>
          <w:bCs/>
          <w:b/>
        </w:rPr>
        <w:t xml:space="preserve">Report catalogue (200+ standard reports over time).</w:t>
      </w:r>
      <w:r>
        <w:t xml:space="preserve"> </w:t>
      </w:r>
      <w:r>
        <w:t xml:space="preserve">Each report has filters, saved views, scheduling, and export to Excel/CSV/PDF:</w:t>
      </w:r>
    </w:p>
    <w:p>
      <w:pPr>
        <w:numPr>
          <w:ilvl w:val="1"/>
          <w:numId w:val="1171"/>
        </w:numPr>
        <w:pStyle w:val="Compact"/>
      </w:pPr>
      <w:r>
        <w:t xml:space="preserve">sourcing funnel and TAT;</w:t>
      </w:r>
    </w:p>
    <w:p>
      <w:pPr>
        <w:numPr>
          <w:ilvl w:val="1"/>
          <w:numId w:val="1171"/>
        </w:numPr>
        <w:pStyle w:val="Compact"/>
      </w:pPr>
      <w:r>
        <w:t xml:space="preserve">sanction/disbursement registers;</w:t>
      </w:r>
    </w:p>
    <w:p>
      <w:pPr>
        <w:numPr>
          <w:ilvl w:val="1"/>
          <w:numId w:val="1171"/>
        </w:numPr>
        <w:pStyle w:val="Compact"/>
      </w:pPr>
      <w:r>
        <w:t xml:space="preserve">portfolio cuts;</w:t>
      </w:r>
    </w:p>
    <w:p>
      <w:pPr>
        <w:numPr>
          <w:ilvl w:val="1"/>
          <w:numId w:val="1171"/>
        </w:numPr>
        <w:pStyle w:val="Compact"/>
      </w:pPr>
      <w:r>
        <w:t xml:space="preserve">DPD/SMA/NPA movement;</w:t>
      </w:r>
    </w:p>
    <w:p>
      <w:pPr>
        <w:numPr>
          <w:ilvl w:val="1"/>
          <w:numId w:val="1171"/>
        </w:numPr>
        <w:pStyle w:val="Compact"/>
      </w:pPr>
      <w:r>
        <w:t xml:space="preserve">collections efficiency;</w:t>
      </w:r>
    </w:p>
    <w:p>
      <w:pPr>
        <w:numPr>
          <w:ilvl w:val="1"/>
          <w:numId w:val="1171"/>
        </w:numPr>
        <w:pStyle w:val="Compact"/>
      </w:pPr>
      <w:r>
        <w:t xml:space="preserve">roll rates;</w:t>
      </w:r>
    </w:p>
    <w:p>
      <w:pPr>
        <w:numPr>
          <w:ilvl w:val="1"/>
          <w:numId w:val="1171"/>
        </w:numPr>
        <w:pStyle w:val="Compact"/>
      </w:pPr>
      <w:r>
        <w:t xml:space="preserve">legal status;</w:t>
      </w:r>
    </w:p>
    <w:p>
      <w:pPr>
        <w:numPr>
          <w:ilvl w:val="1"/>
          <w:numId w:val="1171"/>
        </w:numPr>
        <w:pStyle w:val="Compact"/>
      </w:pPr>
      <w:r>
        <w:t xml:space="preserve">profitability by product, branch and DSA;</w:t>
      </w:r>
    </w:p>
    <w:p>
      <w:pPr>
        <w:numPr>
          <w:ilvl w:val="1"/>
          <w:numId w:val="1171"/>
        </w:numPr>
        <w:pStyle w:val="Compact"/>
      </w:pPr>
      <w:r>
        <w:t xml:space="preserve">yield and cost of funds;</w:t>
      </w:r>
    </w:p>
    <w:p>
      <w:pPr>
        <w:numPr>
          <w:ilvl w:val="1"/>
          <w:numId w:val="1171"/>
        </w:numPr>
        <w:pStyle w:val="Compact"/>
      </w:pPr>
      <w:r>
        <w:t xml:space="preserve">ECL/IRACP;</w:t>
      </w:r>
    </w:p>
    <w:p>
      <w:pPr>
        <w:numPr>
          <w:ilvl w:val="1"/>
          <w:numId w:val="1171"/>
        </w:numPr>
        <w:pStyle w:val="Compact"/>
      </w:pPr>
      <w:r>
        <w:t xml:space="preserve">ALM;</w:t>
      </w:r>
    </w:p>
    <w:p>
      <w:pPr>
        <w:numPr>
          <w:ilvl w:val="1"/>
          <w:numId w:val="1171"/>
        </w:numPr>
        <w:pStyle w:val="Compact"/>
      </w:pPr>
      <w:r>
        <w:t xml:space="preserve">concentration;</w:t>
      </w:r>
    </w:p>
    <w:p>
      <w:pPr>
        <w:numPr>
          <w:ilvl w:val="1"/>
          <w:numId w:val="1171"/>
        </w:numPr>
        <w:pStyle w:val="Compact"/>
      </w:pPr>
      <w:r>
        <w:t xml:space="preserve">compliance status;</w:t>
      </w:r>
    </w:p>
    <w:p>
      <w:pPr>
        <w:numPr>
          <w:ilvl w:val="1"/>
          <w:numId w:val="1171"/>
        </w:numPr>
        <w:pStyle w:val="Compact"/>
      </w:pPr>
      <w:r>
        <w:t xml:space="preserve">grievance analytics;</w:t>
      </w:r>
    </w:p>
    <w:p>
      <w:pPr>
        <w:numPr>
          <w:ilvl w:val="1"/>
          <w:numId w:val="1171"/>
        </w:numPr>
        <w:pStyle w:val="Compact"/>
      </w:pPr>
      <w:r>
        <w:t xml:space="preserve">unit economics (cost per file for verification, bureau, eSign, messaging and cloud).</w:t>
      </w:r>
    </w:p>
    <w:p>
      <w:pPr>
        <w:numPr>
          <w:ilvl w:val="0"/>
          <w:numId w:val="1170"/>
        </w:numPr>
        <w:pStyle w:val="Compact"/>
      </w:pPr>
      <w:r>
        <w:rPr>
          <w:bCs/>
          <w:b/>
        </w:rPr>
        <w:t xml:space="preserve">Dashboards per workspace and for the Board.</w:t>
      </w:r>
      <w:r>
        <w:t xml:space="preserve"> </w:t>
      </w:r>
      <w:r>
        <w:t xml:space="preserve">Self-service BI through an embedded semantic layer, with row-level tenant/branch security.</w:t>
      </w:r>
    </w:p>
    <w:p>
      <w:pPr>
        <w:numPr>
          <w:ilvl w:val="0"/>
          <w:numId w:val="1170"/>
        </w:numPr>
        <w:pStyle w:val="Compact"/>
      </w:pPr>
      <w:r>
        <w:rPr>
          <w:bCs/>
          <w:b/>
        </w:rPr>
        <w:t xml:space="preserve">Natural-language analytics copilot</w:t>
      </w:r>
      <w:r>
        <w:t xml:space="preserve"> </w:t>
      </w:r>
      <w:r>
        <w:t xml:space="preserve">over governed, read-only data, which cites the query it ran.</w:t>
      </w:r>
    </w:p>
    <w:p>
      <w:pPr>
        <w:numPr>
          <w:ilvl w:val="0"/>
          <w:numId w:val="1170"/>
        </w:numPr>
        <w:pStyle w:val="Compact"/>
      </w:pPr>
      <w:r>
        <w:rPr>
          <w:bCs/>
          <w:b/>
        </w:rPr>
        <w:t xml:space="preserve">Recovery dashboards (Part 7A, R14):</w:t>
      </w:r>
      <w:r>
        <w:t xml:space="preserve"> </w:t>
      </w:r>
      <w:r>
        <w:t xml:space="preserve">recovery funnel by mechanism and product; cure and resolution rates; recovery per rupee of legal cost; notice delivery and service rates; litigation ageing by forum; settlement approvals and breaches; ADR turnaround and outcomes; agency and counsel scorecards; conduct exceptions (contact outside permitted hours, complaints per 1,000 accounts); shared-exposure views per co-lender or investor.</w:t>
      </w:r>
    </w:p>
    <w:p>
      <w:pPr>
        <w:numPr>
          <w:ilvl w:val="0"/>
          <w:numId w:val="1170"/>
        </w:numPr>
        <w:pStyle w:val="Compact"/>
      </w:pPr>
      <w:r>
        <w:rPr>
          <w:bCs/>
          <w:b/>
        </w:rPr>
        <w:t xml:space="preserve">v1.5 leadership dashboards:</w:t>
      </w:r>
      <w:r>
        <w:t xml:space="preserve"> </w:t>
      </w:r>
      <w:r>
        <w:t xml:space="preserve">certified role dashboards for the CFO, CCO, CEO and MD, CRO, Head of Internal Audit, committees and the Board are specified in Part 7E RK8 on the governed metric layer and ratio library (RK6). A tile shows a regulatory ratio only with its applicability, completeness, data-quality status and sign-off. Return MIS is in Part 7B and audit dashboards in Part 7D.</w:t>
      </w:r>
    </w:p>
    <w:bookmarkEnd w:id="90"/>
    <w:bookmarkStart w:id="91" w:name="m18.-communications-and-marketing"/>
    <w:p>
      <w:pPr>
        <w:pStyle w:val="Heading2"/>
      </w:pPr>
      <w:r>
        <w:t xml:space="preserve">M18. Communications and marketing</w:t>
      </w:r>
    </w:p>
    <w:p>
      <w:pPr>
        <w:numPr>
          <w:ilvl w:val="0"/>
          <w:numId w:val="1172"/>
        </w:numPr>
        <w:pStyle w:val="Compact"/>
      </w:pPr>
      <w:r>
        <w:rPr>
          <w:bCs/>
          <w:b/>
        </w:rPr>
        <w:t xml:space="preserve">Template management:</w:t>
      </w:r>
      <w:r>
        <w:t xml:space="preserve"> </w:t>
      </w:r>
      <w:r>
        <w:t xml:space="preserve">multilingual (English, Hindi and major regional languages), versioned, approval workflow, DLT template IDs.</w:t>
      </w:r>
    </w:p>
    <w:p>
      <w:pPr>
        <w:numPr>
          <w:ilvl w:val="0"/>
          <w:numId w:val="1172"/>
        </w:numPr>
        <w:pStyle w:val="Compact"/>
      </w:pPr>
      <w:r>
        <w:rPr>
          <w:bCs/>
          <w:b/>
        </w:rPr>
        <w:t xml:space="preserve">Channels:</w:t>
      </w:r>
      <w:r>
        <w:t xml:space="preserve"> </w:t>
      </w:r>
      <w:r>
        <w:t xml:space="preserve">SMS, WhatsApp, email, push (borrower portal/app) and letters (print and dispatch with India Post tracking for legal notices).</w:t>
      </w:r>
    </w:p>
    <w:p>
      <w:pPr>
        <w:numPr>
          <w:ilvl w:val="0"/>
          <w:numId w:val="1172"/>
        </w:numPr>
        <w:pStyle w:val="Compact"/>
      </w:pPr>
      <w:r>
        <w:rPr>
          <w:bCs/>
          <w:b/>
        </w:rPr>
        <w:t xml:space="preserve">Voice and number series (v1.5):</w:t>
      </w:r>
      <w:r>
        <w:t xml:space="preserve"> </w:t>
      </w:r>
      <w:r>
        <w:t xml:space="preserve">service, transactional and recovery calls only from the tenant’s own 1600-series numbers (TRAI Direction of 19 Nov 2025: from 1 Feb 2026 for NBFCs above ₹5,000 crore, from 1 Mar 2026 for other NBFCs and co-operative banks; TRAI clarification of 10 Jul 2026); promotional calls only from 140-series numbers through a registered telemarketer, with DND scrubbing and consent (TCCCPR 2018 as amended on 12 Feb 2025). The tenant is the DLT principal entity. Voice, AI contact-centre and Jio adapters are in Part 7L EO6.</w:t>
      </w:r>
    </w:p>
    <w:p>
      <w:pPr>
        <w:numPr>
          <w:ilvl w:val="0"/>
          <w:numId w:val="1172"/>
        </w:numPr>
        <w:pStyle w:val="Compact"/>
      </w:pPr>
      <w:r>
        <w:rPr>
          <w:bCs/>
          <w:b/>
        </w:rPr>
        <w:t xml:space="preserve">Campaigns:</w:t>
      </w:r>
      <w:r>
        <w:t xml:space="preserve"> </w:t>
      </w:r>
      <w:r>
        <w:t xml:space="preserve">cross-sell, top-up, renewals.</w:t>
      </w:r>
    </w:p>
    <w:p>
      <w:pPr>
        <w:numPr>
          <w:ilvl w:val="0"/>
          <w:numId w:val="1172"/>
        </w:numPr>
        <w:pStyle w:val="Compact"/>
      </w:pPr>
      <w:r>
        <w:rPr>
          <w:bCs/>
          <w:b/>
        </w:rPr>
        <w:t xml:space="preserve">Consent, preference and DND management</w:t>
      </w:r>
      <w:r>
        <w:t xml:space="preserve">, honouring the</w:t>
      </w:r>
      <w:r>
        <w:t xml:space="preserve"> </w:t>
      </w:r>
      <w:r>
        <w:rPr>
          <w:bCs/>
          <w:b/>
        </w:rPr>
        <w:t xml:space="preserve">RBI (NBFC – Responsible Business Conduct) Second Amendment Directions, 2026</w:t>
      </w:r>
      <w:r>
        <w:t xml:space="preserve"> </w:t>
      </w:r>
      <w:r>
        <w:t xml:space="preserve">(15 Jun 2026; Chapter IIIA on sales and marketing; effective 1 Jan 2027) [VERIFY: amendment text not supplied]:</w:t>
      </w:r>
    </w:p>
    <w:p>
      <w:pPr>
        <w:numPr>
          <w:ilvl w:val="1"/>
          <w:numId w:val="1173"/>
        </w:numPr>
        <w:pStyle w:val="Compact"/>
      </w:pPr>
      <w:r>
        <w:t xml:space="preserve">explicit consent with</w:t>
      </w:r>
      <w:r>
        <w:t xml:space="preserve"> </w:t>
      </w:r>
      <w:r>
        <w:t xml:space="preserve">“</w:t>
      </w:r>
      <w:r>
        <w:t xml:space="preserve">No</w:t>
      </w:r>
      <w:r>
        <w:t xml:space="preserve">”</w:t>
      </w:r>
      <w:r>
        <w:t xml:space="preserve"> </w:t>
      </w:r>
      <w:r>
        <w:t xml:space="preserve">as the default (para 101I);</w:t>
      </w:r>
    </w:p>
    <w:p>
      <w:pPr>
        <w:numPr>
          <w:ilvl w:val="1"/>
          <w:numId w:val="1173"/>
        </w:numPr>
        <w:pStyle w:val="Compact"/>
      </w:pPr>
      <w:r>
        <w:t xml:space="preserve">ban on the listed dark patterns (para 101X, Annex III);</w:t>
      </w:r>
    </w:p>
    <w:p>
      <w:pPr>
        <w:numPr>
          <w:ilvl w:val="1"/>
          <w:numId w:val="1173"/>
        </w:numPr>
        <w:pStyle w:val="Compact"/>
      </w:pPr>
      <w:r>
        <w:t xml:space="preserve">no compulsory bundling (para 101V);</w:t>
      </w:r>
    </w:p>
    <w:p>
      <w:pPr>
        <w:numPr>
          <w:ilvl w:val="1"/>
          <w:numId w:val="1173"/>
        </w:numPr>
        <w:pStyle w:val="Compact"/>
      </w:pPr>
      <w:r>
        <w:t xml:space="preserve">marketing contact only 09:00–19:00 (para 101N(4));</w:t>
      </w:r>
    </w:p>
    <w:p>
      <w:pPr>
        <w:numPr>
          <w:ilvl w:val="1"/>
          <w:numId w:val="1173"/>
        </w:numPr>
        <w:pStyle w:val="Compact"/>
      </w:pPr>
      <w:r>
        <w:t xml:space="preserve">consent records retained;</w:t>
      </w:r>
    </w:p>
    <w:p>
      <w:pPr>
        <w:numPr>
          <w:ilvl w:val="1"/>
          <w:numId w:val="1173"/>
        </w:numPr>
        <w:pStyle w:val="Compact"/>
      </w:pPr>
      <w:r>
        <w:t xml:space="preserve">under the current text: DoT/TRAI-registered telemarketers only, with the list and registered numbers furnished to TRAI (RBC para 101); DSA/DMA training on soliciting, calling hours and privacy, and code-of-conduct undertakings (RBC paras 98–99).</w:t>
      </w:r>
    </w:p>
    <w:bookmarkEnd w:id="91"/>
    <w:bookmarkStart w:id="92" w:name="X1bd8dc264487c0f8869e53e268c9cd484974168"/>
    <w:p>
      <w:pPr>
        <w:pStyle w:val="Heading2"/>
      </w:pPr>
      <w:r>
        <w:t xml:space="preserve">M19. Administration, configuration and workflow</w:t>
      </w:r>
    </w:p>
    <w:p>
      <w:pPr>
        <w:numPr>
          <w:ilvl w:val="0"/>
          <w:numId w:val="1174"/>
        </w:numPr>
        <w:pStyle w:val="Compact"/>
      </w:pPr>
      <w:r>
        <w:rPr>
          <w:bCs/>
          <w:b/>
        </w:rPr>
        <w:t xml:space="preserve">Users and roles:</w:t>
      </w:r>
      <w:r>
        <w:t xml:space="preserve"> </w:t>
      </w:r>
      <w:r>
        <w:t xml:space="preserve">RBAC plus ABAC (attribute-based: amount limits, branch scope, product scope); segregation-of-duties checks; maker-checker per permission.</w:t>
      </w:r>
    </w:p>
    <w:p>
      <w:pPr>
        <w:numPr>
          <w:ilvl w:val="0"/>
          <w:numId w:val="1174"/>
        </w:numPr>
        <w:pStyle w:val="Compact"/>
      </w:pPr>
      <w:r>
        <w:rPr>
          <w:bCs/>
          <w:b/>
        </w:rPr>
        <w:t xml:space="preserve">Access security:</w:t>
      </w:r>
      <w:r>
        <w:t xml:space="preserve"> </w:t>
      </w:r>
      <w:r>
        <w:t xml:space="preserve">MFA; session policies; IP allow-lists; device binding for the field app; delegation and leave substitution; break-glass access with audit.</w:t>
      </w:r>
    </w:p>
    <w:p>
      <w:pPr>
        <w:numPr>
          <w:ilvl w:val="0"/>
          <w:numId w:val="1174"/>
        </w:numPr>
        <w:pStyle w:val="Compact"/>
      </w:pPr>
      <w:r>
        <w:rPr>
          <w:bCs/>
          <w:b/>
        </w:rPr>
        <w:t xml:space="preserve">Visual workflow designer for tenant workflows</w:t>
      </w:r>
      <w:r>
        <w:t xml:space="preserve">, within guard-rails, with versioned deployment.</w:t>
      </w:r>
    </w:p>
    <w:p>
      <w:pPr>
        <w:numPr>
          <w:ilvl w:val="0"/>
          <w:numId w:val="1174"/>
        </w:numPr>
        <w:pStyle w:val="Compact"/>
      </w:pPr>
      <w:r>
        <w:rPr>
          <w:bCs/>
          <w:b/>
        </w:rPr>
        <w:t xml:space="preserve">v1.5 organisation and identity:</w:t>
      </w:r>
      <w:r>
        <w:t xml:space="preserve"> </w:t>
      </w:r>
      <w:r>
        <w:t xml:space="preserve">departments, positions and the delegation-of-authority service (Part 7F GV5) resolve the approver for every maker-checker request and DoA limit. Workforce identity can come from Microsoft Entra ID or Google through OIDC or SAML with SCIM 2.0 provisioning (GV7.2); SCIM groups map to positions, never directly to privileged roles, and deactivation at the identity provider revokes Finbyx sessions promptly. The regulator and auditor access below is implemented as the Part 7D AU7 workspaces.</w:t>
      </w:r>
    </w:p>
    <w:p>
      <w:pPr>
        <w:numPr>
          <w:ilvl w:val="0"/>
          <w:numId w:val="1174"/>
        </w:numPr>
        <w:pStyle w:val="Compact"/>
      </w:pPr>
      <w:r>
        <w:rPr>
          <w:bCs/>
          <w:b/>
        </w:rPr>
        <w:t xml:space="preserve">Regulator and auditor access:</w:t>
      </w:r>
      <w:r>
        <w:t xml:space="preserve"> </w:t>
      </w:r>
      <w:r>
        <w:t xml:space="preserve">read-only</w:t>
      </w:r>
      <w:r>
        <w:t xml:space="preserve"> </w:t>
      </w:r>
      <w:r>
        <w:t xml:space="preserve">“</w:t>
      </w:r>
      <w:r>
        <w:t xml:space="preserve">RBI Supervisor</w:t>
      </w:r>
      <w:r>
        <w:t xml:space="preserve">”</w:t>
      </w:r>
      <w:r>
        <w:t xml:space="preserve"> </w:t>
      </w:r>
      <w:r>
        <w:t xml:space="preserve">and</w:t>
      </w:r>
      <w:r>
        <w:t xml:space="preserve"> </w:t>
      </w:r>
      <w:r>
        <w:t xml:space="preserve">“</w:t>
      </w:r>
      <w:r>
        <w:t xml:space="preserve">Auditor (audit-mode)</w:t>
      </w:r>
      <w:r>
        <w:t xml:space="preserve">”</w:t>
      </w:r>
      <w:r>
        <w:t xml:space="preserve"> </w:t>
      </w:r>
      <w:r>
        <w:t xml:space="preserve">roles over MIS, audit trails and evidence; time-boxed; provisioned by maker-checker (CYB paras 46, 57).</w:t>
      </w:r>
    </w:p>
    <w:p>
      <w:pPr>
        <w:numPr>
          <w:ilvl w:val="0"/>
          <w:numId w:val="1174"/>
        </w:numPr>
        <w:pStyle w:val="Compact"/>
      </w:pPr>
      <w:r>
        <w:rPr>
          <w:bCs/>
          <w:b/>
        </w:rPr>
        <w:t xml:space="preserve">Critical-action controls:</w:t>
      </w:r>
      <w:r>
        <w:t xml:space="preserve"> </w:t>
      </w:r>
      <w:r>
        <w:t xml:space="preserve">MFA (CYB para 115); delegated authority for key-parameter changes such as interest rates (CYB para 21(3)); unauthorised-activity logging (CYB para 21(8)).</w:t>
      </w:r>
    </w:p>
    <w:p>
      <w:pPr>
        <w:numPr>
          <w:ilvl w:val="0"/>
          <w:numId w:val="1174"/>
        </w:numPr>
        <w:pStyle w:val="Compact"/>
      </w:pPr>
      <w:r>
        <w:rPr>
          <w:bCs/>
          <w:b/>
        </w:rPr>
        <w:t xml:space="preserve">Ecosystem SSO (optional):</w:t>
      </w:r>
      <w:r>
        <w:t xml:space="preserve"> </w:t>
      </w:r>
      <w:r>
        <w:t xml:space="preserve">one Infrabyx OIDC identity across Finbyx, Udofin portals, LawDocsComply and Equator for users who need several products. Authorisation stays per product.</w:t>
      </w:r>
    </w:p>
    <w:p>
      <w:pPr>
        <w:numPr>
          <w:ilvl w:val="0"/>
          <w:numId w:val="1174"/>
        </w:numPr>
        <w:pStyle w:val="Compact"/>
      </w:pPr>
      <w:r>
        <w:rPr>
          <w:bCs/>
          <w:b/>
        </w:rPr>
        <w:t xml:space="preserve">Configurable forms, fields, checklists, templates and notifications.</w:t>
      </w:r>
    </w:p>
    <w:p>
      <w:pPr>
        <w:numPr>
          <w:ilvl w:val="0"/>
          <w:numId w:val="1174"/>
        </w:numPr>
        <w:pStyle w:val="Compact"/>
      </w:pPr>
      <w:r>
        <w:rPr>
          <w:bCs/>
          <w:b/>
        </w:rPr>
        <w:t xml:space="preserve">Feature flags; integration credential vault</w:t>
      </w:r>
      <w:r>
        <w:t xml:space="preserve"> </w:t>
      </w:r>
      <w:r>
        <w:t xml:space="preserve">(per tenant, encrypted, rotation reminders).</w:t>
      </w:r>
    </w:p>
    <w:p>
      <w:pPr>
        <w:numPr>
          <w:ilvl w:val="0"/>
          <w:numId w:val="1174"/>
        </w:numPr>
        <w:pStyle w:val="Compact"/>
      </w:pPr>
      <w:r>
        <w:rPr>
          <w:bCs/>
          <w:b/>
        </w:rPr>
        <w:t xml:space="preserve">Audit trail:</w:t>
      </w:r>
    </w:p>
    <w:p>
      <w:pPr>
        <w:numPr>
          <w:ilvl w:val="1"/>
          <w:numId w:val="1175"/>
        </w:numPr>
        <w:pStyle w:val="Compact"/>
      </w:pPr>
      <w:r>
        <w:t xml:space="preserve">immutable, tamper-evident (hash-chained);</w:t>
      </w:r>
    </w:p>
    <w:p>
      <w:pPr>
        <w:numPr>
          <w:ilvl w:val="1"/>
          <w:numId w:val="1175"/>
        </w:numPr>
        <w:pStyle w:val="Compact"/>
      </w:pPr>
      <w:r>
        <w:t xml:space="preserve">who, what, when, where, before/after values;</w:t>
      </w:r>
    </w:p>
    <w:p>
      <w:pPr>
        <w:numPr>
          <w:ilvl w:val="1"/>
          <w:numId w:val="1175"/>
        </w:numPr>
        <w:pStyle w:val="Compact"/>
      </w:pPr>
      <w:r>
        <w:t xml:space="preserve">searchable by auditors;</w:t>
      </w:r>
    </w:p>
    <w:p>
      <w:pPr>
        <w:numPr>
          <w:ilvl w:val="1"/>
          <w:numId w:val="1175"/>
        </w:numPr>
        <w:pStyle w:val="Compact"/>
      </w:pPr>
      <w:r>
        <w:t xml:space="preserve">in line with the audit-trail and logging requirements of the RBI (NBFC – Cybersecurity, Technology: Risk, Resilience and Assurance Framework) Directions, 2026 (31 Jul 2026) [VERIFY paras].</w:t>
      </w:r>
    </w:p>
    <w:bookmarkEnd w:id="92"/>
    <w:bookmarkStart w:id="93" w:name="m20.-ai-layer-governed"/>
    <w:p>
      <w:pPr>
        <w:pStyle w:val="Heading2"/>
      </w:pPr>
      <w:r>
        <w:t xml:space="preserve">M20. AI layer (governed)</w:t>
      </w:r>
    </w:p>
    <w:p>
      <w:pPr>
        <w:pStyle w:val="FirstParagraph"/>
      </w:pPr>
      <w:r>
        <w:rPr>
          <w:bCs/>
          <w:b/>
        </w:rPr>
        <w:t xml:space="preserve">Use AI for:</w:t>
      </w:r>
    </w:p>
    <w:p>
      <w:pPr>
        <w:numPr>
          <w:ilvl w:val="0"/>
          <w:numId w:val="1176"/>
        </w:numPr>
        <w:pStyle w:val="Compact"/>
      </w:pPr>
      <w:r>
        <w:t xml:space="preserve">document classification and extraction (with verification);</w:t>
      </w:r>
    </w:p>
    <w:p>
      <w:pPr>
        <w:numPr>
          <w:ilvl w:val="0"/>
          <w:numId w:val="1176"/>
        </w:numPr>
        <w:pStyle w:val="Compact"/>
      </w:pPr>
      <w:r>
        <w:t xml:space="preserve">application completeness checks;</w:t>
      </w:r>
    </w:p>
    <w:p>
      <w:pPr>
        <w:numPr>
          <w:ilvl w:val="0"/>
          <w:numId w:val="1176"/>
        </w:numPr>
        <w:pStyle w:val="Compact"/>
      </w:pPr>
      <w:r>
        <w:t xml:space="preserve">CAM narrative drafting;</w:t>
      </w:r>
    </w:p>
    <w:p>
      <w:pPr>
        <w:numPr>
          <w:ilvl w:val="0"/>
          <w:numId w:val="1176"/>
        </w:numPr>
        <w:pStyle w:val="Compact"/>
      </w:pPr>
      <w:r>
        <w:t xml:space="preserve">bank-statement and GST insight summaries;</w:t>
      </w:r>
    </w:p>
    <w:p>
      <w:pPr>
        <w:numPr>
          <w:ilvl w:val="0"/>
          <w:numId w:val="1176"/>
        </w:numPr>
        <w:pStyle w:val="Compact"/>
      </w:pPr>
      <w:r>
        <w:t xml:space="preserve">complaint classification and routing;</w:t>
      </w:r>
    </w:p>
    <w:p>
      <w:pPr>
        <w:numPr>
          <w:ilvl w:val="0"/>
          <w:numId w:val="1176"/>
        </w:numPr>
        <w:pStyle w:val="Compact"/>
      </w:pPr>
      <w:r>
        <w:t xml:space="preserve">staff copilot over policies and SOPs (RAG);</w:t>
      </w:r>
    </w:p>
    <w:p>
      <w:pPr>
        <w:numPr>
          <w:ilvl w:val="0"/>
          <w:numId w:val="1176"/>
        </w:numPr>
        <w:pStyle w:val="Compact"/>
      </w:pPr>
      <w:r>
        <w:t xml:space="preserve">collections QA and next-best-action;</w:t>
      </w:r>
    </w:p>
    <w:p>
      <w:pPr>
        <w:numPr>
          <w:ilvl w:val="0"/>
          <w:numId w:val="1176"/>
        </w:numPr>
        <w:pStyle w:val="Compact"/>
      </w:pPr>
      <w:r>
        <w:t xml:space="preserve">report drafting;</w:t>
      </w:r>
    </w:p>
    <w:p>
      <w:pPr>
        <w:numPr>
          <w:ilvl w:val="0"/>
          <w:numId w:val="1176"/>
        </w:numPr>
        <w:pStyle w:val="Compact"/>
      </w:pPr>
      <w:r>
        <w:t xml:space="preserve">natural-language MIS;</w:t>
      </w:r>
    </w:p>
    <w:p>
      <w:pPr>
        <w:numPr>
          <w:ilvl w:val="0"/>
          <w:numId w:val="1176"/>
        </w:numPr>
        <w:pStyle w:val="Compact"/>
      </w:pPr>
      <w:r>
        <w:t xml:space="preserve">anomaly detection in reconciliation;</w:t>
      </w:r>
    </w:p>
    <w:p>
      <w:pPr>
        <w:numPr>
          <w:ilvl w:val="0"/>
          <w:numId w:val="1176"/>
        </w:numPr>
        <w:pStyle w:val="Compact"/>
      </w:pPr>
      <w:r>
        <w:t xml:space="preserve">regulatory-change summarisation feeding M14.</w:t>
      </w:r>
    </w:p>
    <w:p>
      <w:pPr>
        <w:pStyle w:val="FirstParagraph"/>
      </w:pPr>
      <w:r>
        <w:rPr>
          <w:bCs/>
          <w:b/>
        </w:rPr>
        <w:t xml:space="preserve">AI must never:</w:t>
      </w:r>
    </w:p>
    <w:p>
      <w:pPr>
        <w:numPr>
          <w:ilvl w:val="0"/>
          <w:numId w:val="1177"/>
        </w:numPr>
        <w:pStyle w:val="Compact"/>
      </w:pPr>
      <w:r>
        <w:t xml:space="preserve">independently approve, reject or price a loan;</w:t>
      </w:r>
    </w:p>
    <w:p>
      <w:pPr>
        <w:numPr>
          <w:ilvl w:val="0"/>
          <w:numId w:val="1177"/>
        </w:numPr>
        <w:pStyle w:val="Compact"/>
      </w:pPr>
      <w:r>
        <w:t xml:space="preserve">execute financial transactions;</w:t>
      </w:r>
    </w:p>
    <w:p>
      <w:pPr>
        <w:numPr>
          <w:ilvl w:val="0"/>
          <w:numId w:val="1177"/>
        </w:numPr>
        <w:pStyle w:val="Compact"/>
      </w:pPr>
      <w:r>
        <w:t xml:space="preserve">alter contractual terms;</w:t>
      </w:r>
    </w:p>
    <w:p>
      <w:pPr>
        <w:numPr>
          <w:ilvl w:val="0"/>
          <w:numId w:val="1177"/>
        </w:numPr>
        <w:pStyle w:val="Compact"/>
      </w:pPr>
      <w:r>
        <w:t xml:space="preserve">bypass authorisation;</w:t>
      </w:r>
    </w:p>
    <w:p>
      <w:pPr>
        <w:numPr>
          <w:ilvl w:val="0"/>
          <w:numId w:val="1177"/>
        </w:numPr>
        <w:pStyle w:val="Compact"/>
      </w:pPr>
      <w:r>
        <w:t xml:space="preserve">reject a complaint;</w:t>
      </w:r>
    </w:p>
    <w:p>
      <w:pPr>
        <w:numPr>
          <w:ilvl w:val="0"/>
          <w:numId w:val="1177"/>
        </w:numPr>
        <w:pStyle w:val="Compact"/>
      </w:pPr>
      <w:r>
        <w:t xml:space="preserve">make binding legal decisions;</w:t>
      </w:r>
    </w:p>
    <w:p>
      <w:pPr>
        <w:numPr>
          <w:ilvl w:val="0"/>
          <w:numId w:val="1177"/>
        </w:numPr>
        <w:pStyle w:val="Compact"/>
      </w:pPr>
      <w:r>
        <w:t xml:space="preserve">send unapproved borrower communications.</w:t>
      </w:r>
    </w:p>
    <w:p>
      <w:pPr>
        <w:pStyle w:val="FirstParagraph"/>
      </w:pPr>
      <w:r>
        <w:t xml:space="preserve">All consequential actions pass deterministic rules, authorisation checks and human approval.</w:t>
      </w:r>
    </w:p>
    <w:p>
      <w:pPr>
        <w:pStyle w:val="BodyText"/>
      </w:pPr>
      <w:r>
        <w:rPr>
          <w:bCs/>
          <w:b/>
        </w:rPr>
        <w:t xml:space="preserve">Governance aligned with the RBI FREE-AI framework (Aug 2025) and model-risk guidance:</w:t>
      </w:r>
    </w:p>
    <w:p>
      <w:pPr>
        <w:numPr>
          <w:ilvl w:val="0"/>
          <w:numId w:val="1178"/>
        </w:numPr>
        <w:pStyle w:val="Compact"/>
      </w:pPr>
      <w:r>
        <w:t xml:space="preserve">AI model inventory;</w:t>
      </w:r>
    </w:p>
    <w:p>
      <w:pPr>
        <w:numPr>
          <w:ilvl w:val="0"/>
          <w:numId w:val="1178"/>
        </w:numPr>
        <w:pStyle w:val="Compact"/>
      </w:pPr>
      <w:r>
        <w:t xml:space="preserve">prompt and output logging (PII-redacted);</w:t>
      </w:r>
    </w:p>
    <w:p>
      <w:pPr>
        <w:numPr>
          <w:ilvl w:val="0"/>
          <w:numId w:val="1178"/>
        </w:numPr>
        <w:pStyle w:val="Compact"/>
      </w:pPr>
      <w:r>
        <w:t xml:space="preserve">explainability records;</w:t>
      </w:r>
    </w:p>
    <w:p>
      <w:pPr>
        <w:numPr>
          <w:ilvl w:val="0"/>
          <w:numId w:val="1178"/>
        </w:numPr>
        <w:pStyle w:val="Compact"/>
      </w:pPr>
      <w:r>
        <w:t xml:space="preserve">bias testing for any credit-adjacent model;</w:t>
      </w:r>
    </w:p>
    <w:p>
      <w:pPr>
        <w:numPr>
          <w:ilvl w:val="0"/>
          <w:numId w:val="1178"/>
        </w:numPr>
        <w:pStyle w:val="Compact"/>
      </w:pPr>
      <w:r>
        <w:t xml:space="preserve">AI disclosure to customers;</w:t>
      </w:r>
    </w:p>
    <w:p>
      <w:pPr>
        <w:numPr>
          <w:ilvl w:val="0"/>
          <w:numId w:val="1178"/>
        </w:numPr>
        <w:pStyle w:val="Compact"/>
      </w:pPr>
      <w:r>
        <w:t xml:space="preserve">an India-region inference endpoint, for example AWS Bedrock in ap-south-1 using in-region models only (no cross-region inference profiles), or an approved provider with a data-processing agreement and India residency [VERIFY per provider].</w:t>
      </w:r>
    </w:p>
    <w:p>
      <w:pPr>
        <w:pStyle w:val="FirstParagraph"/>
      </w:pPr>
      <w:r>
        <w:rPr>
          <w:bCs/>
          <w:b/>
        </w:rPr>
        <w:t xml:space="preserve">MCP server (later phase):</w:t>
      </w:r>
      <w:r>
        <w:t xml:space="preserve"> </w:t>
      </w:r>
      <w:r>
        <w:t xml:space="preserve">a read-only, tenant-scoped MCP server exposing loan-360, DPD and ledger queries to internal AI agents under RLS-scoped tokens.</w:t>
      </w:r>
    </w:p>
    <w:bookmarkEnd w:id="93"/>
    <w:bookmarkStart w:id="94" w:name="m21.-integration-hub-and-public-apis"/>
    <w:p>
      <w:pPr>
        <w:pStyle w:val="Heading2"/>
      </w:pPr>
      <w:r>
        <w:t xml:space="preserve">M21. Integration hub and public APIs</w:t>
      </w:r>
    </w:p>
    <w:p>
      <w:pPr>
        <w:numPr>
          <w:ilvl w:val="0"/>
          <w:numId w:val="1179"/>
        </w:numPr>
        <w:pStyle w:val="Compact"/>
      </w:pPr>
      <w:r>
        <w:t xml:space="preserve">An API gateway with an OpenAPI 3.1 catalogue.</w:t>
      </w:r>
    </w:p>
    <w:p>
      <w:pPr>
        <w:numPr>
          <w:ilvl w:val="0"/>
          <w:numId w:val="1179"/>
        </w:numPr>
        <w:pStyle w:val="Compact"/>
      </w:pPr>
      <w:r>
        <w:t xml:space="preserve">OAuth2 client credentials and mTLS for partners.</w:t>
      </w:r>
    </w:p>
    <w:p>
      <w:pPr>
        <w:numPr>
          <w:ilvl w:val="0"/>
          <w:numId w:val="1179"/>
        </w:numPr>
        <w:pStyle w:val="Compact"/>
      </w:pPr>
      <w:r>
        <w:t xml:space="preserve">Rate limits.</w:t>
      </w:r>
    </w:p>
    <w:p>
      <w:pPr>
        <w:numPr>
          <w:ilvl w:val="0"/>
          <w:numId w:val="1179"/>
        </w:numPr>
        <w:pStyle w:val="Compact"/>
      </w:pPr>
      <w:r>
        <w:t xml:space="preserve">Webhooks with signatures and retries.</w:t>
      </w:r>
    </w:p>
    <w:p>
      <w:pPr>
        <w:numPr>
          <w:ilvl w:val="0"/>
          <w:numId w:val="1179"/>
        </w:numPr>
        <w:pStyle w:val="Compact"/>
      </w:pPr>
      <w:r>
        <w:t xml:space="preserve">A developer sandbox per tenant.</w:t>
      </w:r>
    </w:p>
    <w:p>
      <w:pPr>
        <w:numPr>
          <w:ilvl w:val="0"/>
          <w:numId w:val="1179"/>
        </w:numPr>
        <w:pStyle w:val="Compact"/>
      </w:pPr>
      <w:r>
        <w:t xml:space="preserve">Event streaming (outbox → queue/stream).</w:t>
      </w:r>
    </w:p>
    <w:p>
      <w:pPr>
        <w:numPr>
          <w:ilvl w:val="0"/>
          <w:numId w:val="1179"/>
        </w:numPr>
        <w:pStyle w:val="Compact"/>
      </w:pPr>
      <w:r>
        <w:t xml:space="preserve">Bulk file interfaces (SFTP) for banks and CICs.</w:t>
      </w:r>
    </w:p>
    <w:p>
      <w:pPr>
        <w:numPr>
          <w:ilvl w:val="0"/>
          <w:numId w:val="1179"/>
        </w:numPr>
        <w:pStyle w:val="Compact"/>
      </w:pPr>
      <w:r>
        <w:rPr>
          <w:bCs/>
          <w:b/>
        </w:rPr>
        <w:t xml:space="preserve">v1.5 connectors:</w:t>
      </w:r>
      <w:r>
        <w:t xml:space="preserve"> </w:t>
      </w:r>
      <w:r>
        <w:t xml:space="preserve">customer-controlled storage targets (</w:t>
      </w:r>
      <w:r>
        <w:rPr>
          <w:rStyle w:val="VerbatimChar"/>
        </w:rPr>
        <w:t xml:space="preserve">StorageTarget</w:t>
      </w:r>
      <w:r>
        <w:t xml:space="preserve">: Amazon S3, Azure Blob, Google Cloud Storage, SharePoint and OneDrive, Google Drive for non-regulated data only (no personal data, books of account, returns, loan or HR data), SFTP, on-premises; Part 7J DP3); the outbound-only Finbyx Connector Agent (</w:t>
      </w:r>
      <w:r>
        <w:rPr>
          <w:rStyle w:val="VerbatimChar"/>
        </w:rPr>
        <w:t xml:space="preserve">apps/agent</w:t>
      </w:r>
      <w:r>
        <w:t xml:space="preserve">) for Tally Prime and on-premises targets (Part 7C AC6.1; Part 7F GV7.5); CIC SFTP delivery (Part 7B RR6.7); voice and messaging providers (Part 7L EO6); and the Operations Hub connectors (plan, entitlement and provisioning events in; aggregated usage, release, change, evidence, export and backup status out; Integration Specification v1.1). No connector stores a regulator, MCA, GST, income-tax or exchange portal credential.</w:t>
      </w:r>
    </w:p>
    <w:p>
      <w:pPr>
        <w:numPr>
          <w:ilvl w:val="0"/>
          <w:numId w:val="1179"/>
        </w:numPr>
        <w:pStyle w:val="Compact"/>
      </w:pPr>
      <w:r>
        <w:t xml:space="preserve">An integration monitor with health, latency, error rates and per-call cost.</w:t>
      </w:r>
    </w:p>
    <w:p>
      <w:pPr>
        <w:numPr>
          <w:ilvl w:val="0"/>
          <w:numId w:val="1179"/>
        </w:numPr>
        <w:pStyle w:val="Compact"/>
      </w:pPr>
      <w:r>
        <w:rPr>
          <w:bCs/>
          <w:b/>
        </w:rPr>
        <w:t xml:space="preserve">v1.4 ecosystem hub:</w:t>
      </w:r>
      <w:r>
        <w:t xml:space="preserve"> </w:t>
      </w:r>
      <w:r>
        <w:t xml:space="preserve">implements the Ecosystem Integration Specification: schema registry with compatibility checks; transactional outbox and inbox with dead-letter queues; Standard Webhooks;</w:t>
      </w:r>
      <w:r>
        <w:t xml:space="preserve"> </w:t>
      </w:r>
      <w:r>
        <w:rPr>
          <w:rStyle w:val="VerbatimChar"/>
        </w:rPr>
        <w:t xml:space="preserve">Idempotency-Key</w:t>
      </w:r>
      <w:r>
        <w:t xml:space="preserve">; mTLS with RFC 9421 message signatures on regulated messages; FAPI 2.0 for borrower-delegated APIs; consent references on PII payloads; a module registry with server-side entitlements; and a connector certification suite (</w:t>
      </w:r>
      <w:r>
        <w:rPr>
          <w:rStyle w:val="VerbatimChar"/>
        </w:rPr>
        <w:t xml:space="preserve">ConnectorCertified</w:t>
      </w:r>
      <w:r>
        <w:t xml:space="preserve">). Udofin and other LSPs, Equator and other ODR providers, LawDocsComply and other GRC tools, court-data providers, e-auction platforms, notice dispatch, agencies and diallers, accounting systems, third-party LOS/LMS and future ecosystem apps connect only through it (Phase 16b).</w:t>
      </w:r>
    </w:p>
    <w:bookmarkEnd w:id="94"/>
    <w:bookmarkStart w:id="95" w:name="m22.-field-application"/>
    <w:p>
      <w:pPr>
        <w:pStyle w:val="Heading2"/>
      </w:pPr>
      <w:r>
        <w:t xml:space="preserve">M22. Field application</w:t>
      </w:r>
    </w:p>
    <w:p>
      <w:pPr>
        <w:pStyle w:val="FirstParagraph"/>
      </w:pPr>
      <w:r>
        <w:t xml:space="preserve">Evaluate Expo React Native vs a PWA. Recommend Expo if offline mode, camera, GPS and device binding are needed (they are).</w:t>
      </w:r>
    </w:p>
    <w:p>
      <w:pPr>
        <w:pStyle w:val="BodyText"/>
      </w:pPr>
      <w:r>
        <w:rPr>
          <w:bCs/>
          <w:b/>
        </w:rPr>
        <w:t xml:space="preserve">Scope:</w:t>
      </w:r>
    </w:p>
    <w:p>
      <w:pPr>
        <w:numPr>
          <w:ilvl w:val="0"/>
          <w:numId w:val="1180"/>
        </w:numPr>
        <w:pStyle w:val="Compact"/>
      </w:pPr>
      <w:r>
        <w:t xml:space="preserve">assisted onboarding and KYC capture;</w:t>
      </w:r>
    </w:p>
    <w:p>
      <w:pPr>
        <w:numPr>
          <w:ilvl w:val="0"/>
          <w:numId w:val="1180"/>
        </w:numPr>
        <w:pStyle w:val="Compact"/>
      </w:pPr>
      <w:r>
        <w:t xml:space="preserve">document scan with edge detection and compression;</w:t>
      </w:r>
    </w:p>
    <w:p>
      <w:pPr>
        <w:numPr>
          <w:ilvl w:val="0"/>
          <w:numId w:val="1180"/>
        </w:numPr>
        <w:pStyle w:val="Compact"/>
      </w:pPr>
      <w:r>
        <w:t xml:space="preserve">FI/PD/valuation reports;</w:t>
      </w:r>
    </w:p>
    <w:p>
      <w:pPr>
        <w:numPr>
          <w:ilvl w:val="0"/>
          <w:numId w:val="1180"/>
        </w:numPr>
        <w:pStyle w:val="Compact"/>
      </w:pPr>
      <w:r>
        <w:t xml:space="preserve">collections;</w:t>
      </w:r>
    </w:p>
    <w:p>
      <w:pPr>
        <w:numPr>
          <w:ilvl w:val="0"/>
          <w:numId w:val="1180"/>
        </w:numPr>
        <w:pStyle w:val="Compact"/>
      </w:pPr>
      <w:r>
        <w:t xml:space="preserve">receipts;</w:t>
      </w:r>
    </w:p>
    <w:p>
      <w:pPr>
        <w:numPr>
          <w:ilvl w:val="0"/>
          <w:numId w:val="1180"/>
        </w:numPr>
        <w:pStyle w:val="Compact"/>
      </w:pPr>
      <w:r>
        <w:t xml:space="preserve">route plan;</w:t>
      </w:r>
    </w:p>
    <w:p>
      <w:pPr>
        <w:numPr>
          <w:ilvl w:val="0"/>
          <w:numId w:val="1180"/>
        </w:numPr>
        <w:pStyle w:val="Compact"/>
      </w:pPr>
      <w:r>
        <w:t xml:space="preserve">offline sync with conflict resolution.</w:t>
      </w:r>
    </w:p>
    <w:p>
      <w:pPr>
        <w:pStyle w:val="FirstParagraph"/>
      </w:pPr>
      <w:r>
        <w:rPr>
          <w:bCs/>
          <w:b/>
        </w:rPr>
        <w:t xml:space="preserve">Device controls:</w:t>
      </w:r>
    </w:p>
    <w:p>
      <w:pPr>
        <w:numPr>
          <w:ilvl w:val="0"/>
          <w:numId w:val="1181"/>
        </w:numPr>
        <w:pStyle w:val="Compact"/>
      </w:pPr>
      <w:r>
        <w:t xml:space="preserve">request only necessary permissions at the moment they are needed;</w:t>
      </w:r>
    </w:p>
    <w:p>
      <w:pPr>
        <w:numPr>
          <w:ilvl w:val="0"/>
          <w:numId w:val="1181"/>
        </w:numPr>
        <w:pStyle w:val="Compact"/>
      </w:pPr>
      <w:r>
        <w:t xml:space="preserve">no access to contacts, SMS or call logs;</w:t>
      </w:r>
    </w:p>
    <w:p>
      <w:pPr>
        <w:numPr>
          <w:ilvl w:val="0"/>
          <w:numId w:val="1181"/>
        </w:numPr>
        <w:pStyle w:val="Compact"/>
      </w:pPr>
      <w:r>
        <w:t xml:space="preserve">remote wipe of app data;</w:t>
      </w:r>
    </w:p>
    <w:p>
      <w:pPr>
        <w:numPr>
          <w:ilvl w:val="0"/>
          <w:numId w:val="1181"/>
        </w:numPr>
        <w:pStyle w:val="Compact"/>
      </w:pPr>
      <w:r>
        <w:t xml:space="preserve">distribution through managed Play Store/App Store or MDM, with a forced-update policy for incompatible versions;</w:t>
      </w:r>
    </w:p>
    <w:p>
      <w:pPr>
        <w:numPr>
          <w:ilvl w:val="0"/>
          <w:numId w:val="1181"/>
        </w:numPr>
        <w:pStyle w:val="Compact"/>
      </w:pPr>
      <w:r>
        <w:t xml:space="preserve">DPS para 68 mobile controls as the baseline: server-side version check; one live version, with older versions disabled within 6 months; root/jailbreak and remote-access detection; device binding with device register and new-device alerts; re-authentication at launch and after idle; no credentials or keys on the device; encrypted local database; certificate pinning; obfuscation.</w:t>
      </w:r>
    </w:p>
    <w:bookmarkEnd w:id="95"/>
    <w:bookmarkStart w:id="96" w:name="Xd90d51d80e190a2384c0d70db6dfa57fc9017d7"/>
    <w:p>
      <w:pPr>
        <w:pStyle w:val="Heading2"/>
      </w:pPr>
      <w:r>
        <w:t xml:space="preserve">M23. Borrower self-service portal (optional per tenant)</w:t>
      </w:r>
    </w:p>
    <w:p>
      <w:pPr>
        <w:pStyle w:val="FirstParagraph"/>
      </w:pPr>
      <w:r>
        <w:t xml:space="preserve">A lean, mobile-first web portal for lenders that do not use Udofin:</w:t>
      </w:r>
    </w:p>
    <w:p>
      <w:pPr>
        <w:numPr>
          <w:ilvl w:val="0"/>
          <w:numId w:val="1182"/>
        </w:numPr>
        <w:pStyle w:val="Compact"/>
      </w:pPr>
      <w:r>
        <w:t xml:space="preserve">loan summary;</w:t>
      </w:r>
    </w:p>
    <w:p>
      <w:pPr>
        <w:numPr>
          <w:ilvl w:val="0"/>
          <w:numId w:val="1182"/>
        </w:numPr>
        <w:pStyle w:val="Compact"/>
      </w:pPr>
      <w:r>
        <w:t xml:space="preserve">schedule;</w:t>
      </w:r>
    </w:p>
    <w:p>
      <w:pPr>
        <w:numPr>
          <w:ilvl w:val="0"/>
          <w:numId w:val="1182"/>
        </w:numPr>
        <w:pStyle w:val="Compact"/>
      </w:pPr>
      <w:r>
        <w:t xml:space="preserve">payments;</w:t>
      </w:r>
    </w:p>
    <w:p>
      <w:pPr>
        <w:numPr>
          <w:ilvl w:val="0"/>
          <w:numId w:val="1182"/>
        </w:numPr>
        <w:pStyle w:val="Compact"/>
      </w:pPr>
      <w:r>
        <w:t xml:space="preserve">statements and certificates;</w:t>
      </w:r>
    </w:p>
    <w:p>
      <w:pPr>
        <w:numPr>
          <w:ilvl w:val="0"/>
          <w:numId w:val="1182"/>
        </w:numPr>
        <w:pStyle w:val="Compact"/>
      </w:pPr>
      <w:r>
        <w:t xml:space="preserve">service requests;</w:t>
      </w:r>
    </w:p>
    <w:p>
      <w:pPr>
        <w:numPr>
          <w:ilvl w:val="0"/>
          <w:numId w:val="1182"/>
        </w:numPr>
        <w:pStyle w:val="Compact"/>
      </w:pPr>
      <w:r>
        <w:t xml:space="preserve">complaints with escalation path;</w:t>
      </w:r>
    </w:p>
    <w:p>
      <w:pPr>
        <w:numPr>
          <w:ilvl w:val="0"/>
          <w:numId w:val="1182"/>
        </w:numPr>
        <w:pStyle w:val="Compact"/>
      </w:pPr>
      <w:r>
        <w:t xml:space="preserve">consent and privacy dashboard (view, withdraw, data-rights requests);</w:t>
      </w:r>
    </w:p>
    <w:p>
      <w:pPr>
        <w:numPr>
          <w:ilvl w:val="0"/>
          <w:numId w:val="1182"/>
        </w:numPr>
        <w:pStyle w:val="Compact"/>
      </w:pPr>
      <w:r>
        <w:t xml:space="preserve">a</w:t>
      </w:r>
      <w:r>
        <w:t xml:space="preserve"> </w:t>
      </w:r>
      <w:r>
        <w:t xml:space="preserve">“</w:t>
      </w:r>
      <w:r>
        <w:t xml:space="preserve">books of account</w:t>
      </w:r>
      <w:r>
        <w:t xml:space="preserve">”</w:t>
      </w:r>
      <w:r>
        <w:t xml:space="preserve"> </w:t>
      </w:r>
      <w:r>
        <w:t xml:space="preserve">view of the borrower’s payments and charges, for transparency;</w:t>
      </w:r>
    </w:p>
    <w:p>
      <w:pPr>
        <w:numPr>
          <w:ilvl w:val="0"/>
          <w:numId w:val="1182"/>
        </w:numPr>
        <w:pStyle w:val="Compact"/>
      </w:pPr>
      <w:r>
        <w:rPr>
          <w:bCs/>
          <w:b/>
        </w:rPr>
        <w:t xml:space="preserve">payment-security profile</w:t>
      </w:r>
      <w:r>
        <w:t xml:space="preserve"> </w:t>
      </w:r>
      <w:r>
        <w:t xml:space="preserve">(mandatory for card-issuing tenants, default-on for others; DPS paras 41–67):</w:t>
      </w:r>
    </w:p>
    <w:p>
      <w:pPr>
        <w:numPr>
          <w:ilvl w:val="1"/>
          <w:numId w:val="1183"/>
        </w:numPr>
        <w:pStyle w:val="Compact"/>
      </w:pPr>
      <w:r>
        <w:t xml:space="preserve">MFA with one dynamic factor for payments and for bank/mobile/email changes;</w:t>
      </w:r>
    </w:p>
    <w:p>
      <w:pPr>
        <w:numPr>
          <w:ilvl w:val="1"/>
          <w:numId w:val="1183"/>
        </w:numPr>
        <w:pStyle w:val="Compact"/>
      </w:pPr>
      <w:r>
        <w:t xml:space="preserve">alerts on every debit and credit;</w:t>
      </w:r>
    </w:p>
    <w:p>
      <w:pPr>
        <w:numPr>
          <w:ilvl w:val="1"/>
          <w:numId w:val="1183"/>
        </w:numPr>
        <w:pStyle w:val="Compact"/>
      </w:pPr>
      <w:r>
        <w:t xml:space="preserve">lockout after failed attempts;</w:t>
      </w:r>
    </w:p>
    <w:p>
      <w:pPr>
        <w:numPr>
          <w:ilvl w:val="1"/>
          <w:numId w:val="1183"/>
        </w:numPr>
        <w:pStyle w:val="Compact"/>
      </w:pPr>
      <w:r>
        <w:t xml:space="preserve">session-termination handling;</w:t>
      </w:r>
    </w:p>
    <w:p>
      <w:pPr>
        <w:numPr>
          <w:ilvl w:val="1"/>
          <w:numId w:val="1183"/>
        </w:numPr>
        <w:pStyle w:val="Compact"/>
      </w:pPr>
      <w:r>
        <w:t xml:space="preserve">inactivity timeout;</w:t>
      </w:r>
    </w:p>
    <w:p>
      <w:pPr>
        <w:numPr>
          <w:ilvl w:val="1"/>
          <w:numId w:val="1183"/>
        </w:numPr>
        <w:pStyle w:val="Compact"/>
      </w:pPr>
      <w:r>
        <w:t xml:space="preserve">non-skippable secure-usage guidance;</w:t>
      </w:r>
    </w:p>
    <w:p>
      <w:pPr>
        <w:numPr>
          <w:ilvl w:val="1"/>
          <w:numId w:val="1183"/>
        </w:numPr>
        <w:pStyle w:val="Compact"/>
      </w:pPr>
      <w:r>
        <w:t xml:space="preserve">an in-app</w:t>
      </w:r>
      <w:r>
        <w:t xml:space="preserve"> </w:t>
      </w:r>
      <w:r>
        <w:t xml:space="preserve">“</w:t>
      </w:r>
      <w:r>
        <w:t xml:space="preserve">report as fraud</w:t>
      </w:r>
      <w:r>
        <w:t xml:space="preserve">”</w:t>
      </w:r>
      <w:r>
        <w:t xml:space="preserve"> </w:t>
      </w:r>
      <w:r>
        <w:t xml:space="preserve">button;</w:t>
      </w:r>
    </w:p>
    <w:p>
      <w:pPr>
        <w:numPr>
          <w:ilvl w:val="0"/>
          <w:numId w:val="1182"/>
        </w:numPr>
        <w:pStyle w:val="Compact"/>
      </w:pPr>
      <w:r>
        <w:rPr>
          <w:bCs/>
          <w:b/>
        </w:rPr>
        <w:t xml:space="preserve">DLA data limits</w:t>
      </w:r>
      <w:r>
        <w:t xml:space="preserve"> </w:t>
      </w:r>
      <w:r>
        <w:t xml:space="preserve">(CF paras 13–14): no access to files, contacts or call logs; one-time camera/microphone/location access for KYC only; no biometric storage unless statute allows; data processed abroad deleted and repatriated within 24 hours.</w:t>
      </w:r>
    </w:p>
    <w:p>
      <w:r>
        <w:pict>
          <v:rect style="width:0;height:1.5pt" o:hralign="center" o:hrstd="t" o:hr="t"/>
        </w:pict>
      </w:r>
    </w:p>
    <w:bookmarkEnd w:id="96"/>
    <w:bookmarkEnd w:id="97"/>
    <w:bookmarkStart w:id="216" w:name="X2cd3b7e070bd8109afb3187fb85fea234b78e45"/>
    <w:p>
      <w:pPr>
        <w:pStyle w:val="Heading1"/>
      </w:pPr>
      <w:r>
        <w:t xml:space="preserve">PART 7A — NPA AND DEBT RECOVERY, LITIGATION AND ADR SUITE (ATTACHABLE MODULE PACK)</w:t>
      </w:r>
    </w:p>
    <w:p>
      <w:pPr>
        <w:pStyle w:val="FirstParagraph"/>
      </w:pPr>
      <w:r>
        <w:t xml:space="preserve">The</w:t>
      </w:r>
      <w:r>
        <w:t xml:space="preserve"> </w:t>
      </w:r>
      <w:r>
        <w:rPr>
          <w:bCs/>
          <w:b/>
        </w:rPr>
        <w:t xml:space="preserve">Recovery, Litigation and ADR Suite (</w:t>
      </w:r>
      <w:r>
        <w:rPr>
          <w:bCs/>
          <w:b/>
        </w:rPr>
        <w:t xml:space="preserve">“</w:t>
      </w:r>
      <w:r>
        <w:rPr>
          <w:bCs/>
          <w:b/>
        </w:rPr>
        <w:t xml:space="preserve">Recovery Suite</w:t>
      </w:r>
      <w:r>
        <w:rPr>
          <w:bCs/>
          <w:b/>
        </w:rPr>
        <w:t xml:space="preserve">”</w:t>
      </w:r>
      <w:r>
        <w:rPr>
          <w:bCs/>
          <w:b/>
        </w:rPr>
        <w:t xml:space="preserve">)</w:t>
      </w:r>
      <w:r>
        <w:t xml:space="preserve"> </w:t>
      </w:r>
      <w:r>
        <w:t xml:space="preserve">takes over where collections (M8) stop being enough: recovery case management, notices, statutory enforcement, settlement and ADR, litigation in every forum, vendors, recovery accounting, registers and conduct controls. It replaces the v1.3 M9 specification; M9 is now a pointer to this Part.</w:t>
      </w:r>
    </w:p>
    <w:p>
      <w:pPr>
        <w:numPr>
          <w:ilvl w:val="0"/>
          <w:numId w:val="1184"/>
        </w:numPr>
        <w:pStyle w:val="Compact"/>
      </w:pPr>
      <w:r>
        <w:rPr>
          <w:bCs/>
          <w:b/>
        </w:rPr>
        <w:t xml:space="preserve">One suite, three deployment shapes.</w:t>
      </w:r>
    </w:p>
    <w:p>
      <w:pPr>
        <w:numPr>
          <w:ilvl w:val="1"/>
          <w:numId w:val="1185"/>
        </w:numPr>
        <w:pStyle w:val="Compact"/>
      </w:pPr>
      <w:r>
        <w:rPr>
          <w:bCs/>
          <w:b/>
        </w:rPr>
        <w:t xml:space="preserve">Finbyx</w:t>
      </w:r>
      <w:r>
        <w:t xml:space="preserve"> </w:t>
      </w:r>
      <w:r>
        <w:t xml:space="preserve">runs the full lender suite (R1–R16); the tenant lender is the system of record and takes every regulated decision.</w:t>
      </w:r>
    </w:p>
    <w:p>
      <w:pPr>
        <w:numPr>
          <w:ilvl w:val="1"/>
          <w:numId w:val="1185"/>
        </w:numPr>
        <w:pStyle w:val="Compact"/>
      </w:pPr>
      <w:r>
        <w:rPr>
          <w:bCs/>
          <w:b/>
        </w:rPr>
        <w:t xml:space="preserve">Udofin</w:t>
      </w:r>
      <w:r>
        <w:t xml:space="preserve"> </w:t>
      </w:r>
      <w:r>
        <w:t xml:space="preserve">runs only the LSP-scope subset (Udofin Part 7A, UR1–UR6): overdue and settlement centre, ADR access without a separate app, RE-permitted notices and case visibility, recovery-agent operations only where the RE appointed Udofin, and data feeds to the RE’s suite.</w:t>
      </w:r>
    </w:p>
    <w:p>
      <w:pPr>
        <w:numPr>
          <w:ilvl w:val="1"/>
          <w:numId w:val="1185"/>
        </w:numPr>
        <w:pStyle w:val="Compact"/>
      </w:pPr>
      <w:r>
        <w:rPr>
          <w:bCs/>
          <w:b/>
        </w:rPr>
        <w:t xml:space="preserve">Standalone</w:t>
      </w:r>
      <w:r>
        <w:t xml:space="preserve"> </w:t>
      </w:r>
      <w:r>
        <w:t xml:space="preserve">(later, e.g. </w:t>
      </w:r>
      <w:r>
        <w:rPr>
          <w:bCs/>
          <w:b/>
        </w:rPr>
        <w:t xml:space="preserve">Udolex</w:t>
      </w:r>
      <w:r>
        <w:t xml:space="preserve"> </w:t>
      </w:r>
      <w:r>
        <w:t xml:space="preserve">for lenders on other LMS platforms, law firms or agencies) runs the same packages behind the same contract, fed through the connector SPI.</w:t>
      </w:r>
    </w:p>
    <w:p>
      <w:pPr>
        <w:numPr>
          <w:ilvl w:val="0"/>
          <w:numId w:val="1184"/>
        </w:numPr>
        <w:pStyle w:val="Compact"/>
      </w:pPr>
      <w:r>
        <w:rPr>
          <w:bCs/>
          <w:b/>
        </w:rPr>
        <w:t xml:space="preserve">One contract.</w:t>
      </w:r>
      <w:r>
        <w:t xml:space="preserve"> </w:t>
      </w:r>
      <w:r>
        <w:t xml:space="preserve">Events, APIs, data ownership and connectors are defined once in the</w:t>
      </w:r>
      <w:r>
        <w:t xml:space="preserve"> </w:t>
      </w:r>
      <w:r>
        <w:rPr>
          <w:bCs/>
          <w:b/>
        </w:rPr>
        <w:t xml:space="preserve">Infrabyx Ecosystem Integration Specification</w:t>
      </w:r>
      <w:r>
        <w:t xml:space="preserve"> </w:t>
      </w:r>
      <w:r>
        <w:t xml:space="preserve">(</w:t>
      </w:r>
      <w:r>
        <w:rPr>
          <w:rStyle w:val="VerbatimChar"/>
        </w:rPr>
        <w:t xml:space="preserve">docs/ecosystem/infrabyx-integration-spec.md</w:t>
      </w:r>
      <w:r>
        <w:t xml:space="preserve">). Event names here are its canonical names; an event it does not yet carry is marked</w:t>
      </w:r>
      <w:r>
        <w:t xml:space="preserve"> </w:t>
      </w:r>
      <w:r>
        <w:t xml:space="preserve">“</w:t>
      </w:r>
      <w:r>
        <w:t xml:space="preserve">proposed for the Specification</w:t>
      </w:r>
      <w:r>
        <w:t xml:space="preserve">”</w:t>
      </w:r>
      <w:r>
        <w:t xml:space="preserve">.</w:t>
      </w:r>
    </w:p>
    <w:p>
      <w:pPr>
        <w:numPr>
          <w:ilvl w:val="0"/>
          <w:numId w:val="1184"/>
        </w:numPr>
        <w:pStyle w:val="Compact"/>
      </w:pPr>
      <w:r>
        <w:rPr>
          <w:bCs/>
          <w:b/>
        </w:rPr>
        <w:t xml:space="preserve">Law first.</w:t>
      </w:r>
      <w:r>
        <w:t xml:space="preserve"> </w:t>
      </w:r>
      <w:r>
        <w:t xml:space="preserve">Every gate, deadline and template cites its source; rules are versioned packs with</w:t>
      </w:r>
      <w:r>
        <w:t xml:space="preserve"> </w:t>
      </w:r>
      <w:r>
        <w:rPr>
          <w:rStyle w:val="VerbatimChar"/>
        </w:rPr>
        <w:t xml:space="preserve">effective_from</w:t>
      </w:r>
      <w:r>
        <w:t xml:space="preserve">,</w:t>
      </w:r>
      <w:r>
        <w:t xml:space="preserve"> </w:t>
      </w:r>
      <w:r>
        <w:rPr>
          <w:rStyle w:val="VerbatimChar"/>
        </w:rPr>
        <w:t xml:space="preserve">source_url</w:t>
      </w:r>
      <w:r>
        <w:t xml:space="preserve"> </w:t>
      </w:r>
      <w:r>
        <w:t xml:space="preserve">and</w:t>
      </w:r>
      <w:r>
        <w:t xml:space="preserve"> </w:t>
      </w:r>
      <w:r>
        <w:rPr>
          <w:rStyle w:val="VerbatimChar"/>
        </w:rPr>
        <w:t xml:space="preserve">status</w:t>
      </w:r>
      <w:r>
        <w:t xml:space="preserve"> </w:t>
      </w:r>
      <w:r>
        <w:t xml:space="preserve">(in force, enacted-not-notified, draft). A tenant may tighten a rule but never loosen a regulatory guard-rail (Part 3.3). Labels: [LAW], [JUD], [REC] and [interpretation: …];</w:t>
      </w:r>
      <w:r>
        <w:t xml:space="preserve"> </w:t>
      </w:r>
      <w:r>
        <w:rPr>
          <w:rStyle w:val="VerbatimChar"/>
        </w:rPr>
        <w:t xml:space="preserve">[VERIFY: …]</w:t>
      </w:r>
      <w:r>
        <w:t xml:space="preserve"> </w:t>
      </w:r>
      <w:r>
        <w:t xml:space="preserve">must be confirmed before the dependent feature goes live.</w:t>
      </w:r>
    </w:p>
    <w:p>
      <w:r>
        <w:pict>
          <v:rect style="width:0;height:1.5pt" o:hralign="center" o:hrstd="t" o:hr="t"/>
        </w:pict>
      </w:r>
    </w:p>
    <w:bookmarkStart w:id="108" w:name="Xe4c5fc4ec5ea1dcea2d5d037249b1730b1cc9ff"/>
    <w:p>
      <w:pPr>
        <w:pStyle w:val="Heading2"/>
      </w:pPr>
      <w:r>
        <w:t xml:space="preserve">7A.0 Suite design: attach and detach, customisation, extensibility and data ownership</w:t>
      </w:r>
    </w:p>
    <w:p>
      <w:pPr>
        <w:pStyle w:val="FirstParagraph"/>
      </w:pPr>
      <w:r>
        <w:rPr>
          <w:bCs/>
          <w:b/>
        </w:rPr>
        <w:t xml:space="preserve">Purpose.</w:t>
      </w:r>
      <w:r>
        <w:t xml:space="preserve"> </w:t>
      </w:r>
      <w:r>
        <w:t xml:space="preserve">Let a tenant switch the Recovery Suite (or any of its modules) on and off without code changes, without losing regulated records, and without weakening regulatory safeguards; and let future ecosystem apps plug in through stable extension points.</w:t>
      </w:r>
    </w:p>
    <w:bookmarkStart w:id="98" w:name="a.0.1-packaging-and-module-registry"/>
    <w:p>
      <w:pPr>
        <w:pStyle w:val="Heading3"/>
      </w:pPr>
      <w:r>
        <w:t xml:space="preserve">7A.0.1 Packaging and module registry</w:t>
      </w:r>
    </w:p>
    <w:p>
      <w:pPr>
        <w:numPr>
          <w:ilvl w:val="0"/>
          <w:numId w:val="1186"/>
        </w:numPr>
        <w:pStyle w:val="Compact"/>
      </w:pPr>
      <w:r>
        <w:rPr>
          <w:bCs/>
          <w:b/>
        </w:rPr>
        <w:t xml:space="preserve">Code layout</w:t>
      </w:r>
      <w:r>
        <w:t xml:space="preserve"> </w:t>
      </w:r>
      <w:r>
        <w:t xml:space="preserve">(extends Appendix C):</w:t>
      </w:r>
      <w:r>
        <w:t xml:space="preserve"> </w:t>
      </w:r>
      <w:r>
        <w:rPr>
          <w:rStyle w:val="VerbatimChar"/>
        </w:rPr>
        <w:t xml:space="preserve">packages/recovery-kernel</w:t>
      </w:r>
      <w:r>
        <w:t xml:space="preserve"> </w:t>
      </w:r>
      <w:r>
        <w:t xml:space="preserve">(case, party, claim by component, court-holiday calendar);</w:t>
      </w:r>
      <w:r>
        <w:t xml:space="preserve"> </w:t>
      </w:r>
      <w:r>
        <w:rPr>
          <w:rStyle w:val="VerbatimChar"/>
        </w:rPr>
        <w:t xml:space="preserve">packages/recovery-rules</w:t>
      </w:r>
      <w:r>
        <w:t xml:space="preserve"> </w:t>
      </w:r>
      <w:r>
        <w:t xml:space="preserve">(versioned eligibility, limitation, deadline, conduct and playbook packs);</w:t>
      </w:r>
      <w:r>
        <w:t xml:space="preserve"> </w:t>
      </w:r>
      <w:r>
        <w:rPr>
          <w:rStyle w:val="VerbatimChar"/>
        </w:rPr>
        <w:t xml:space="preserve">packages/recovery-contracts</w:t>
      </w:r>
      <w:r>
        <w:t xml:space="preserve"> </w:t>
      </w:r>
      <w:r>
        <w:t xml:space="preserve">(OpenAPI 3.1, AsyncAPI 3.0, JSON Schema 2020-12, generated from the Integration Specification);</w:t>
      </w:r>
      <w:r>
        <w:t xml:space="preserve"> </w:t>
      </w:r>
      <w:r>
        <w:rPr>
          <w:rStyle w:val="VerbatimChar"/>
        </w:rPr>
        <w:t xml:space="preserve">packages/recovery-documents</w:t>
      </w:r>
      <w:r>
        <w:t xml:space="preserve"> </w:t>
      </w:r>
      <w:r>
        <w:t xml:space="preserve">(templates, clauses, rendering, signing);</w:t>
      </w:r>
      <w:r>
        <w:t xml:space="preserve"> </w:t>
      </w:r>
      <w:r>
        <w:rPr>
          <w:rStyle w:val="VerbatimChar"/>
        </w:rPr>
        <w:t xml:space="preserve">packages/recovery-connectors</w:t>
      </w:r>
      <w:r>
        <w:t xml:space="preserve"> </w:t>
      </w:r>
      <w:r>
        <w:t xml:space="preserve">(connector SPI and adapters);</w:t>
      </w:r>
      <w:r>
        <w:t xml:space="preserve"> </w:t>
      </w:r>
      <w:r>
        <w:rPr>
          <w:rStyle w:val="VerbatimChar"/>
        </w:rPr>
        <w:t xml:space="preserve">modules/recovery-*</w:t>
      </w:r>
      <w:r>
        <w:t xml:space="preserve"> </w:t>
      </w:r>
      <w:r>
        <w:t xml:space="preserve">(one NestJS module per R-module; Temporal workflows for long-running processes).</w:t>
      </w:r>
    </w:p>
    <w:p>
      <w:pPr>
        <w:numPr>
          <w:ilvl w:val="0"/>
          <w:numId w:val="1186"/>
        </w:numPr>
        <w:pStyle w:val="Compact"/>
      </w:pPr>
      <w:r>
        <w:rPr>
          <w:bCs/>
          <w:b/>
        </w:rPr>
        <w:t xml:space="preserve">Module registry.</w:t>
      </w:r>
      <w:r>
        <w:t xml:space="preserve"> </w:t>
      </w:r>
      <w:r>
        <w:t xml:space="preserve">Every R-module ships a</w:t>
      </w:r>
      <w:r>
        <w:t xml:space="preserve"> </w:t>
      </w:r>
      <w:r>
        <w:rPr>
          <w:rStyle w:val="VerbatimChar"/>
        </w:rPr>
        <w:t xml:space="preserve">module.yaml</w:t>
      </w:r>
      <w:r>
        <w:t xml:space="preserve"> </w:t>
      </w:r>
      <w:r>
        <w:t xml:space="preserve">manifest:</w:t>
      </w:r>
    </w:p>
    <w:p>
      <w:pPr>
        <w:numPr>
          <w:ilvl w:val="1"/>
          <w:numId w:val="1187"/>
        </w:numPr>
        <w:pStyle w:val="Compact"/>
      </w:pPr>
      <w:r>
        <w:rPr>
          <w:rStyle w:val="VerbatimChar"/>
        </w:rPr>
        <w:t xml:space="preserve">id</w:t>
      </w:r>
      <w:r>
        <w:t xml:space="preserve">,</w:t>
      </w:r>
      <w:r>
        <w:t xml:space="preserve"> </w:t>
      </w:r>
      <w:r>
        <w:rPr>
          <w:rStyle w:val="VerbatimChar"/>
        </w:rPr>
        <w:t xml:space="preserve">version</w:t>
      </w:r>
      <w:r>
        <w:t xml:space="preserve">,</w:t>
      </w:r>
      <w:r>
        <w:t xml:space="preserve"> </w:t>
      </w:r>
      <w:r>
        <w:rPr>
          <w:rStyle w:val="VerbatimChar"/>
        </w:rPr>
        <w:t xml:space="preserve">requires</w:t>
      </w:r>
      <w:r>
        <w:t xml:space="preserve"> </w:t>
      </w:r>
      <w:r>
        <w:t xml:space="preserve">(other modules and core modules, e.g. R4 requires R1, R3, R9, R10, R12, M5, M10, M16);</w:t>
      </w:r>
    </w:p>
    <w:p>
      <w:pPr>
        <w:numPr>
          <w:ilvl w:val="1"/>
          <w:numId w:val="1187"/>
        </w:numPr>
        <w:pStyle w:val="Compact"/>
      </w:pPr>
      <w:r>
        <w:rPr>
          <w:rStyle w:val="VerbatimChar"/>
        </w:rPr>
        <w:t xml:space="preserve">capabilities</w:t>
      </w:r>
      <w:r>
        <w:t xml:space="preserve"> </w:t>
      </w:r>
      <w:r>
        <w:t xml:space="preserve">(flag keys</w:t>
      </w:r>
      <w:r>
        <w:t xml:space="preserve"> </w:t>
      </w:r>
      <w:r>
        <w:rPr>
          <w:rStyle w:val="VerbatimChar"/>
        </w:rPr>
        <w:t xml:space="preserve">mod.recovery.[module].[capability]</w:t>
      </w:r>
      <w:r>
        <w:t xml:space="preserve">);</w:t>
      </w:r>
    </w:p>
    <w:p>
      <w:pPr>
        <w:numPr>
          <w:ilvl w:val="1"/>
          <w:numId w:val="1187"/>
        </w:numPr>
        <w:pStyle w:val="Compact"/>
      </w:pPr>
      <w:r>
        <w:rPr>
          <w:rStyle w:val="VerbatimChar"/>
        </w:rPr>
        <w:t xml:space="preserve">events_produced</w:t>
      </w:r>
      <w:r>
        <w:t xml:space="preserve">,</w:t>
      </w:r>
      <w:r>
        <w:t xml:space="preserve"> </w:t>
      </w:r>
      <w:r>
        <w:rPr>
          <w:rStyle w:val="VerbatimChar"/>
        </w:rPr>
        <w:t xml:space="preserve">events_consumed</w:t>
      </w:r>
      <w:r>
        <w:t xml:space="preserve"> </w:t>
      </w:r>
      <w:r>
        <w:t xml:space="preserve">(canonical names only),</w:t>
      </w:r>
      <w:r>
        <w:t xml:space="preserve"> </w:t>
      </w:r>
      <w:r>
        <w:rPr>
          <w:rStyle w:val="VerbatimChar"/>
        </w:rPr>
        <w:t xml:space="preserve">apis</w:t>
      </w:r>
      <w:r>
        <w:t xml:space="preserve">,</w:t>
      </w:r>
      <w:r>
        <w:t xml:space="preserve"> </w:t>
      </w:r>
      <w:r>
        <w:rPr>
          <w:rStyle w:val="VerbatimChar"/>
        </w:rPr>
        <w:t xml:space="preserve">permissions</w:t>
      </w:r>
      <w:r>
        <w:t xml:space="preserve">,</w:t>
      </w:r>
      <w:r>
        <w:t xml:space="preserve"> </w:t>
      </w:r>
      <w:r>
        <w:rPr>
          <w:rStyle w:val="VerbatimChar"/>
        </w:rPr>
        <w:t xml:space="preserve">data_categories</w:t>
      </w:r>
      <w:r>
        <w:t xml:space="preserve">;</w:t>
      </w:r>
    </w:p>
    <w:p>
      <w:pPr>
        <w:numPr>
          <w:ilvl w:val="1"/>
          <w:numId w:val="1187"/>
        </w:numPr>
        <w:pStyle w:val="Compact"/>
      </w:pPr>
      <w:r>
        <w:rPr>
          <w:rStyle w:val="VerbatimChar"/>
        </w:rPr>
        <w:t xml:space="preserve">regulatory_refs</w:t>
      </w:r>
      <w:r>
        <w:t xml:space="preserve">,</w:t>
      </w:r>
      <w:r>
        <w:t xml:space="preserve"> </w:t>
      </w:r>
      <w:r>
        <w:rPr>
          <w:rStyle w:val="VerbatimChar"/>
        </w:rPr>
        <w:t xml:space="preserve">retention_class</w:t>
      </w:r>
      <w:r>
        <w:t xml:space="preserve">,</w:t>
      </w:r>
      <w:r>
        <w:t xml:space="preserve"> </w:t>
      </w:r>
      <w:r>
        <w:rPr>
          <w:rStyle w:val="VerbatimChar"/>
        </w:rPr>
        <w:t xml:space="preserve">licence_sku</w:t>
      </w:r>
      <w:r>
        <w:t xml:space="preserve">,</w:t>
      </w:r>
      <w:r>
        <w:t xml:space="preserve"> </w:t>
      </w:r>
      <w:r>
        <w:rPr>
          <w:rStyle w:val="VerbatimChar"/>
        </w:rPr>
        <w:t xml:space="preserve">ui_slots</w:t>
      </w:r>
      <w:r>
        <w:t xml:space="preserve">,</w:t>
      </w:r>
      <w:r>
        <w:t xml:space="preserve"> </w:t>
      </w:r>
      <w:r>
        <w:rPr>
          <w:rStyle w:val="VerbatimChar"/>
        </w:rPr>
        <w:t xml:space="preserve">migrations</w:t>
      </w:r>
      <w:r>
        <w:t xml:space="preserve">.</w:t>
      </w:r>
    </w:p>
    <w:p>
      <w:pPr>
        <w:numPr>
          <w:ilvl w:val="0"/>
          <w:numId w:val="1186"/>
        </w:numPr>
        <w:pStyle w:val="Compact"/>
      </w:pPr>
      <w:r>
        <w:rPr>
          <w:bCs/>
          <w:b/>
        </w:rPr>
        <w:t xml:space="preserve">Licence SKUs [REC].</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162"/>
        <w:gridCol w:w="4281"/>
        <w:gridCol w:w="2195"/>
      </w:tblGrid>
      <w:tr>
        <w:trPr>
          <w:tblHeader w:val="true"/>
          <w:tblHeader w:val="true"/>
        </w:trPr>
        <w:tc>
          <w:tcPr>
            <w:tcW w:w="3162" w:type="dxa"/>
            <w:shd w:val="clear" w:color="auto" w:fill="1F3A5F"/>
          </w:tcPr>
          <w:p>
            <w:pPr>
              <w:pStyle w:val="Compact"/>
              <w:spacing w:after="40"/>
              <w:jc w:val="left"/>
            </w:pPr>
            <w:r>
              <w:rPr>
                <w:b/>
                <w:color w:val="FFFFFF"/>
                <w:sz w:val="18"/>
              </w:rPr>
              <w:t xml:space="preserve">SKU</w:t>
            </w:r>
          </w:p>
        </w:tc>
        <w:tc>
          <w:tcPr>
            <w:tcW w:w="4281" w:type="dxa"/>
            <w:shd w:val="clear" w:color="auto" w:fill="1F3A5F"/>
          </w:tcPr>
          <w:p>
            <w:pPr>
              <w:pStyle w:val="Compact"/>
              <w:spacing w:after="40"/>
              <w:jc w:val="left"/>
            </w:pPr>
            <w:r>
              <w:rPr>
                <w:b/>
                <w:color w:val="FFFFFF"/>
                <w:sz w:val="18"/>
              </w:rPr>
              <w:t xml:space="preserve">Modules</w:t>
            </w:r>
          </w:p>
        </w:tc>
        <w:tc>
          <w:tcPr>
            <w:tcW w:w="2195" w:type="dxa"/>
            <w:shd w:val="clear" w:color="auto" w:fill="1F3A5F"/>
          </w:tcPr>
          <w:p>
            <w:pPr>
              <w:pStyle w:val="Compact"/>
              <w:spacing w:after="40"/>
              <w:jc w:val="left"/>
            </w:pPr>
            <w:r>
              <w:rPr>
                <w:b/>
                <w:color w:val="FFFFFF"/>
                <w:sz w:val="18"/>
              </w:rPr>
              <w:t xml:space="preserve">Phase</w:t>
            </w:r>
          </w:p>
        </w:tc>
      </w:tr>
      <w:tr>
        <w:tc>
          <w:tcPr>
            <w:tcW w:w="3162" w:type="dxa"/>
          </w:tcPr>
          <w:p>
            <w:pPr>
              <w:pStyle w:val="Compact"/>
              <w:spacing w:after="40"/>
              <w:jc w:val="left"/>
            </w:pPr>
            <w:r>
              <w:rPr>
                <w:sz w:val="18"/>
              </w:rPr>
              <w:t xml:space="preserve">Recovery Core</w:t>
            </w:r>
          </w:p>
        </w:tc>
        <w:tc>
          <w:tcPr>
            <w:tcW w:w="4281" w:type="dxa"/>
          </w:tcPr>
          <w:p>
            <w:pPr>
              <w:pStyle w:val="Compact"/>
              <w:spacing w:after="40"/>
              <w:jc w:val="left"/>
            </w:pPr>
            <w:r>
              <w:rPr>
                <w:sz w:val="18"/>
              </w:rPr>
              <w:t xml:space="preserve">7A.0, R1, R2, R3, R7, R9, R11, R12, R14, R15</w:t>
            </w:r>
          </w:p>
        </w:tc>
        <w:tc>
          <w:tcPr>
            <w:tcW w:w="2195" w:type="dxa"/>
          </w:tcPr>
          <w:p>
            <w:pPr>
              <w:pStyle w:val="Compact"/>
              <w:spacing w:after="40"/>
              <w:jc w:val="left"/>
            </w:pPr>
            <w:r>
              <w:rPr>
                <w:sz w:val="18"/>
              </w:rPr>
              <w:t xml:space="preserve">12</w:t>
            </w:r>
          </w:p>
        </w:tc>
      </w:tr>
      <w:tr>
        <w:tc>
          <w:tcPr>
            <w:tcW w:w="3162" w:type="dxa"/>
          </w:tcPr>
          <w:p>
            <w:pPr>
              <w:pStyle w:val="Compact"/>
              <w:spacing w:after="40"/>
              <w:jc w:val="left"/>
            </w:pPr>
            <w:r>
              <w:rPr>
                <w:sz w:val="18"/>
              </w:rPr>
              <w:t xml:space="preserve">Settlement and ADR</w:t>
            </w:r>
          </w:p>
        </w:tc>
        <w:tc>
          <w:tcPr>
            <w:tcW w:w="4281" w:type="dxa"/>
          </w:tcPr>
          <w:p>
            <w:pPr>
              <w:pStyle w:val="Compact"/>
              <w:spacing w:after="40"/>
              <w:jc w:val="left"/>
            </w:pPr>
            <w:r>
              <w:rPr>
                <w:sz w:val="18"/>
              </w:rPr>
              <w:t xml:space="preserve">R8</w:t>
            </w:r>
          </w:p>
        </w:tc>
        <w:tc>
          <w:tcPr>
            <w:tcW w:w="2195" w:type="dxa"/>
          </w:tcPr>
          <w:p>
            <w:pPr>
              <w:pStyle w:val="Compact"/>
              <w:spacing w:after="40"/>
              <w:jc w:val="left"/>
            </w:pPr>
            <w:r>
              <w:rPr>
                <w:sz w:val="18"/>
              </w:rPr>
              <w:t xml:space="preserve">12b</w:t>
            </w:r>
          </w:p>
        </w:tc>
      </w:tr>
      <w:tr>
        <w:tc>
          <w:tcPr>
            <w:tcW w:w="3162" w:type="dxa"/>
          </w:tcPr>
          <w:p>
            <w:pPr>
              <w:pStyle w:val="Compact"/>
              <w:spacing w:after="40"/>
              <w:jc w:val="left"/>
            </w:pPr>
            <w:r>
              <w:rPr>
                <w:sz w:val="18"/>
              </w:rPr>
              <w:t xml:space="preserve">Secured Enforcement</w:t>
            </w:r>
          </w:p>
        </w:tc>
        <w:tc>
          <w:tcPr>
            <w:tcW w:w="4281" w:type="dxa"/>
          </w:tcPr>
          <w:p>
            <w:pPr>
              <w:pStyle w:val="Compact"/>
              <w:spacing w:after="40"/>
              <w:jc w:val="left"/>
            </w:pPr>
            <w:r>
              <w:rPr>
                <w:sz w:val="18"/>
              </w:rPr>
              <w:t xml:space="preserve">R4, R5, R6, R10</w:t>
            </w:r>
          </w:p>
        </w:tc>
        <w:tc>
          <w:tcPr>
            <w:tcW w:w="2195" w:type="dxa"/>
          </w:tcPr>
          <w:p>
            <w:pPr>
              <w:pStyle w:val="Compact"/>
              <w:spacing w:after="40"/>
              <w:jc w:val="left"/>
            </w:pPr>
            <w:r>
              <w:rPr>
                <w:sz w:val="18"/>
              </w:rPr>
              <w:t xml:space="preserve">17b</w:t>
            </w:r>
          </w:p>
        </w:tc>
      </w:tr>
      <w:tr>
        <w:tc>
          <w:tcPr>
            <w:tcW w:w="3162" w:type="dxa"/>
          </w:tcPr>
          <w:p>
            <w:pPr>
              <w:pStyle w:val="Compact"/>
              <w:spacing w:after="40"/>
              <w:jc w:val="left"/>
            </w:pPr>
            <w:r>
              <w:rPr>
                <w:sz w:val="18"/>
              </w:rPr>
              <w:t xml:space="preserve">Shared-Exposure Recovery</w:t>
            </w:r>
          </w:p>
        </w:tc>
        <w:tc>
          <w:tcPr>
            <w:tcW w:w="4281" w:type="dxa"/>
          </w:tcPr>
          <w:p>
            <w:pPr>
              <w:pStyle w:val="Compact"/>
              <w:spacing w:after="40"/>
              <w:jc w:val="left"/>
            </w:pPr>
            <w:r>
              <w:rPr>
                <w:sz w:val="18"/>
              </w:rPr>
              <w:t xml:space="preserve">R13</w:t>
            </w:r>
          </w:p>
        </w:tc>
        <w:tc>
          <w:tcPr>
            <w:tcW w:w="2195" w:type="dxa"/>
          </w:tcPr>
          <w:p>
            <w:pPr>
              <w:pStyle w:val="Compact"/>
              <w:spacing w:after="40"/>
              <w:jc w:val="left"/>
            </w:pPr>
            <w:r>
              <w:rPr>
                <w:sz w:val="18"/>
              </w:rPr>
              <w:t xml:space="preserve">17b</w:t>
            </w:r>
          </w:p>
        </w:tc>
      </w:tr>
      <w:tr>
        <w:tc>
          <w:tcPr>
            <w:tcW w:w="3162" w:type="dxa"/>
          </w:tcPr>
          <w:p>
            <w:pPr>
              <w:pStyle w:val="Compact"/>
              <w:spacing w:after="40"/>
              <w:jc w:val="left"/>
            </w:pPr>
            <w:r>
              <w:rPr>
                <w:sz w:val="18"/>
              </w:rPr>
              <w:t xml:space="preserve">Product Playbooks</w:t>
            </w:r>
          </w:p>
        </w:tc>
        <w:tc>
          <w:tcPr>
            <w:tcW w:w="4281" w:type="dxa"/>
          </w:tcPr>
          <w:p>
            <w:pPr>
              <w:pStyle w:val="Compact"/>
              <w:spacing w:after="40"/>
              <w:jc w:val="left"/>
            </w:pPr>
            <w:r>
              <w:rPr>
                <w:sz w:val="18"/>
              </w:rPr>
              <w:t xml:space="preserve">R16</w:t>
            </w:r>
          </w:p>
        </w:tc>
        <w:tc>
          <w:tcPr>
            <w:tcW w:w="2195" w:type="dxa"/>
          </w:tcPr>
          <w:p>
            <w:pPr>
              <w:pStyle w:val="Compact"/>
              <w:spacing w:after="40"/>
              <w:jc w:val="left"/>
            </w:pPr>
            <w:r>
              <w:rPr>
                <w:sz w:val="18"/>
              </w:rPr>
              <w:t xml:space="preserve">17b</w:t>
            </w:r>
          </w:p>
        </w:tc>
      </w:tr>
    </w:tbl>
    <w:p>
      <w:pPr>
        <w:pStyle w:val="BodyText"/>
      </w:pPr>
      <w:r>
        <w:t xml:space="preserve">From v1.5 this SKU and module-registry pattern is generalised to every optional module (returns and bureaus, accounting and tax, risk and capital, audit, governance, workforce, institution profiles, investments, data-portability plus, voice) by Part 7K CM1.2. The Recovery Suite SKUs above are unchanged; prices, invoices and the plan catalogue are owned by the Operations Hub (OH8).</w:t>
      </w:r>
    </w:p>
    <w:bookmarkEnd w:id="98"/>
    <w:bookmarkStart w:id="99" w:name="a.0.2-entitlement-and-feature-flag-model"/>
    <w:p>
      <w:pPr>
        <w:pStyle w:val="Heading3"/>
      </w:pPr>
      <w:r>
        <w:t xml:space="preserve">7A.0.2 Entitlement and feature-flag model</w:t>
      </w:r>
    </w:p>
    <w:p>
      <w:pPr>
        <w:numPr>
          <w:ilvl w:val="0"/>
          <w:numId w:val="1188"/>
        </w:numPr>
        <w:pStyle w:val="Compact"/>
      </w:pPr>
      <w:r>
        <w:t xml:space="preserve">Two switches, both checked server-side on every request and workflow step:</w:t>
      </w:r>
      <w:r>
        <w:t xml:space="preserve"> </w:t>
      </w:r>
      <w:r>
        <w:rPr>
          <w:bCs/>
          <w:b/>
        </w:rPr>
        <w:t xml:space="preserve">entitlement</w:t>
      </w:r>
      <w:r>
        <w:t xml:space="preserve"> </w:t>
      </w:r>
      <w:r>
        <w:t xml:space="preserve">(licence per tenant and SKU, with dates, set by Infrabyx only) and</w:t>
      </w:r>
      <w:r>
        <w:t xml:space="preserve"> </w:t>
      </w:r>
      <w:r>
        <w:rPr>
          <w:bCs/>
          <w:b/>
        </w:rPr>
        <w:t xml:space="preserve">feature flag</w:t>
      </w:r>
      <w:r>
        <w:t xml:space="preserve"> </w:t>
      </w:r>
      <w:r>
        <w:t xml:space="preserve">(set by the tenant admin with maker-checker per legal entity, product and branch, through an OpenFeature-compatible provider).</w:t>
      </w:r>
    </w:p>
    <w:p>
      <w:pPr>
        <w:numPr>
          <w:ilvl w:val="0"/>
          <w:numId w:val="1188"/>
        </w:numPr>
        <w:pStyle w:val="Compact"/>
      </w:pPr>
      <w:r>
        <w:t xml:space="preserve">A capability runs only if the entitlement is active, the flag is on and every module in</w:t>
      </w:r>
      <w:r>
        <w:t xml:space="preserve"> </w:t>
      </w:r>
      <w:r>
        <w:rPr>
          <w:rStyle w:val="VerbatimChar"/>
        </w:rPr>
        <w:t xml:space="preserve">requires</w:t>
      </w:r>
      <w:r>
        <w:t xml:space="preserve"> </w:t>
      </w:r>
      <w:r>
        <w:t xml:space="preserve">is</w:t>
      </w:r>
      <w:r>
        <w:t xml:space="preserve"> </w:t>
      </w:r>
      <w:r>
        <w:rPr>
          <w:rStyle w:val="VerbatimChar"/>
        </w:rPr>
        <w:t xml:space="preserve">ENABLED</w:t>
      </w:r>
      <w:r>
        <w:t xml:space="preserve"> </w:t>
      </w:r>
      <w:r>
        <w:t xml:space="preserve">(or</w:t>
      </w:r>
      <w:r>
        <w:t xml:space="preserve"> </w:t>
      </w:r>
      <w:r>
        <w:rPr>
          <w:rStyle w:val="VerbatimChar"/>
        </w:rPr>
        <w:t xml:space="preserve">READ_ONLY</w:t>
      </w:r>
      <w:r>
        <w:t xml:space="preserve"> </w:t>
      </w:r>
      <w:r>
        <w:t xml:space="preserve">for reads). UI slots, routes, subscriptions and Temporal workers register only for live capabilities; others return</w:t>
      </w:r>
      <w:r>
        <w:t xml:space="preserve"> </w:t>
      </w:r>
      <w:r>
        <w:rPr>
          <w:rStyle w:val="VerbatimChar"/>
        </w:rPr>
        <w:t xml:space="preserve">403</w:t>
      </w:r>
      <w:r>
        <w:t xml:space="preserve"> </w:t>
      </w:r>
      <w:r>
        <w:t xml:space="preserve">with</w:t>
      </w:r>
      <w:r>
        <w:t xml:space="preserve"> </w:t>
      </w:r>
      <w:r>
        <w:rPr>
          <w:rStyle w:val="VerbatimChar"/>
        </w:rPr>
        <w:t xml:space="preserve">not_entitled</w:t>
      </w:r>
      <w:r>
        <w:t xml:space="preserve">,</w:t>
      </w:r>
      <w:r>
        <w:t xml:space="preserve"> </w:t>
      </w:r>
      <w:r>
        <w:rPr>
          <w:rStyle w:val="VerbatimChar"/>
        </w:rPr>
        <w:t xml:space="preserve">not_enabled</w:t>
      </w:r>
      <w:r>
        <w:t xml:space="preserve">,</w:t>
      </w:r>
      <w:r>
        <w:t xml:space="preserve"> </w:t>
      </w:r>
      <w:r>
        <w:rPr>
          <w:rStyle w:val="VerbatimChar"/>
        </w:rPr>
        <w:t xml:space="preserve">dependency_missing</w:t>
      </w:r>
      <w:r>
        <w:t xml:space="preserve"> </w:t>
      </w:r>
      <w:r>
        <w:t xml:space="preserve">or</w:t>
      </w:r>
      <w:r>
        <w:t xml:space="preserve"> </w:t>
      </w:r>
      <w:r>
        <w:rPr>
          <w:rStyle w:val="VerbatimChar"/>
        </w:rPr>
        <w:t xml:space="preserve">read_only</w:t>
      </w:r>
      <w:r>
        <w:t xml:space="preserve">.</w:t>
      </w:r>
    </w:p>
    <w:bookmarkEnd w:id="99"/>
    <w:bookmarkStart w:id="100" w:name="a.0.3-module-lifecycle"/>
    <w:p>
      <w:pPr>
        <w:pStyle w:val="Heading3"/>
      </w:pPr>
      <w:r>
        <w:t xml:space="preserve">7A.0.3 Module lifecycle</w:t>
      </w:r>
    </w:p>
    <w:p>
      <w:pPr>
        <w:pStyle w:val="FirstParagraph"/>
      </w:pPr>
      <w:r>
        <w:rPr>
          <w:rStyle w:val="VerbatimChar"/>
        </w:rPr>
        <w:t xml:space="preserve">AVAILABLE → LICENSED → INSTALLED → CONFIGURED (maker-checker) → CERTIFIED → ENABLED → READ_ONLY → DETACHED → (RE-ATTACHED → CONFIGURED …)</w:t>
      </w:r>
      <w:r>
        <w:t xml:space="preserve">.</w:t>
      </w:r>
      <w:r>
        <w:t xml:space="preserve"> </w:t>
      </w:r>
      <w:r>
        <w:rPr>
          <w:rStyle w:val="VerbatimChar"/>
        </w:rPr>
        <w:t xml:space="preserve">ModuleAttached</w:t>
      </w:r>
      <w:r>
        <w:t xml:space="preserve"> </w:t>
      </w:r>
      <w:r>
        <w:t xml:space="preserve">is emitted on CERTIFIED → ENABLED and</w:t>
      </w:r>
      <w:r>
        <w:t xml:space="preserve"> </w:t>
      </w:r>
      <w:r>
        <w:rPr>
          <w:rStyle w:val="VerbatimChar"/>
        </w:rPr>
        <w:t xml:space="preserve">ModuleDetached</w:t>
      </w:r>
      <w:r>
        <w:t xml:space="preserve"> </w:t>
      </w:r>
      <w:r>
        <w:t xml:space="preserve">(mode</w:t>
      </w:r>
      <w:r>
        <w:t xml:space="preserve"> </w:t>
      </w:r>
      <w:r>
        <w:rPr>
          <w:rStyle w:val="VerbatimChar"/>
        </w:rPr>
        <w:t xml:space="preserve">READ_ONLY</w:t>
      </w:r>
      <w:r>
        <w:t xml:space="preserve">, export-pack hash) on ENABLED → READ_ONLY, when writes stop (Integration Specification Part 6.16); READ_ONLY → DETACHED is recorded in the module registry.</w:t>
      </w:r>
    </w:p>
    <w:bookmarkEnd w:id="100"/>
    <w:bookmarkStart w:id="101" w:name="a.0.4-attach-workflow"/>
    <w:p>
      <w:pPr>
        <w:pStyle w:val="Heading3"/>
      </w:pPr>
      <w:r>
        <w:t xml:space="preserve">7A.0.4 Attach workflow</w:t>
      </w:r>
    </w:p>
    <w:p>
      <w:pPr>
        <w:numPr>
          <w:ilvl w:val="0"/>
          <w:numId w:val="1189"/>
        </w:numPr>
        <w:pStyle w:val="Compact"/>
      </w:pPr>
      <w:r>
        <w:rPr>
          <w:bCs/>
          <w:b/>
        </w:rPr>
        <w:t xml:space="preserve">Prerequisites (blocking):</w:t>
      </w:r>
    </w:p>
    <w:p>
      <w:pPr>
        <w:numPr>
          <w:ilvl w:val="1"/>
          <w:numId w:val="1190"/>
        </w:numPr>
        <w:pStyle w:val="Compact"/>
      </w:pPr>
      <w:r>
        <w:t xml:space="preserve">core modules live: M3, M6, M8, M10, M16, M18, M19;</w:t>
      </w:r>
    </w:p>
    <w:p>
      <w:pPr>
        <w:numPr>
          <w:ilvl w:val="1"/>
          <w:numId w:val="1190"/>
        </w:numPr>
        <w:pStyle w:val="Compact"/>
      </w:pPr>
      <w:r>
        <w:t xml:space="preserve">regulatory profile for recovery:</w:t>
      </w:r>
      <w:r>
        <w:t xml:space="preserve"> </w:t>
      </w:r>
      <w:r>
        <w:rPr>
          <w:rStyle w:val="VerbatimChar"/>
        </w:rPr>
        <w:t xml:space="preserve">sarfaesi_notified</w:t>
      </w:r>
      <w:r>
        <w:t xml:space="preserve"> </w:t>
      </w:r>
      <w:r>
        <w:t xml:space="preserve">(NBFC with total assets ≥ ₹100 crore; HFC, bank and AIFI true),</w:t>
      </w:r>
      <w:r>
        <w:t xml:space="preserve"> </w:t>
      </w:r>
      <w:r>
        <w:rPr>
          <w:rStyle w:val="VerbatimChar"/>
        </w:rPr>
        <w:t xml:space="preserve">rdb_notified</w:t>
      </w:r>
      <w:r>
        <w:t xml:space="preserve"> </w:t>
      </w:r>
      <w:r>
        <w:t xml:space="preserve">(false for NBFC and HFC unless a gazette reference under RDB Act s.2(h)(ii) is recorded),</w:t>
      </w:r>
      <w:r>
        <w:t xml:space="preserve"> </w:t>
      </w:r>
      <w:r>
        <w:rPr>
          <w:rStyle w:val="VerbatimChar"/>
        </w:rPr>
        <w:t xml:space="preserve">revenue_recovery_states[]</w:t>
      </w:r>
      <w:r>
        <w:t xml:space="preserve">,</w:t>
      </w:r>
      <w:r>
        <w:t xml:space="preserve"> </w:t>
      </w:r>
      <w:r>
        <w:rPr>
          <w:rStyle w:val="VerbatimChar"/>
        </w:rPr>
        <w:t xml:space="preserve">cgtmse_mli</w:t>
      </w:r>
      <w:r>
        <w:t xml:space="preserve">,</w:t>
      </w:r>
      <w:r>
        <w:t xml:space="preserve"> </w:t>
      </w:r>
      <w:r>
        <w:rPr>
          <w:rStyle w:val="VerbatimChar"/>
        </w:rPr>
        <w:t xml:space="preserve">wd_applicable</w:t>
      </w:r>
      <w:r>
        <w:t xml:space="preserve"> </w:t>
      </w:r>
      <w:r>
        <w:t xml:space="preserve">(WD para 2);</w:t>
      </w:r>
    </w:p>
    <w:p>
      <w:pPr>
        <w:numPr>
          <w:ilvl w:val="1"/>
          <w:numId w:val="1190"/>
        </w:numPr>
        <w:pStyle w:val="Compact"/>
      </w:pPr>
      <w:r>
        <w:t xml:space="preserve">Board policies in the policy registry: recovery and recovery-agent (RBC para 7; para 100D from 1 Jan 2027), settlement and technical write-off (RSA para 16), wilful defaulter (WD para 4), fraud (FRM para 5), outsourcing;</w:t>
      </w:r>
    </w:p>
    <w:p>
      <w:pPr>
        <w:numPr>
          <w:ilvl w:val="1"/>
          <w:numId w:val="1190"/>
        </w:numPr>
        <w:pStyle w:val="Compact"/>
      </w:pPr>
      <w:r>
        <w:t xml:space="preserve">roles mapped: Recovery Head, Authorised Officer, Legal, Recovery Conduct Owner, WD committees, settlement approvers.</w:t>
      </w:r>
    </w:p>
    <w:p>
      <w:pPr>
        <w:numPr>
          <w:ilvl w:val="0"/>
          <w:numId w:val="1189"/>
        </w:numPr>
        <w:pStyle w:val="Compact"/>
      </w:pPr>
      <w:r>
        <w:rPr>
          <w:bCs/>
          <w:b/>
        </w:rPr>
        <w:t xml:space="preserve">Data back-fill</w:t>
      </w:r>
      <w:r>
        <w:t xml:space="preserve"> </w:t>
      </w:r>
      <w:r>
        <w:t xml:space="preserve">(idempotent, dry-run first): cases for every SMA-2, NPA, written-off or legal-flagged account; legacy matters, notices and service proofs through the bulk import contract (CSV/XLSX, schema validation, reject file); limitation for every case, with</w:t>
      </w:r>
      <w:r>
        <w:t xml:space="preserve"> </w:t>
      </w:r>
      <w:r>
        <w:rPr>
          <w:rStyle w:val="VerbatimChar"/>
        </w:rPr>
        <w:t xml:space="preserve">UNKNOWN_REVIEW</w:t>
      </w:r>
      <w:r>
        <w:t xml:space="preserve"> </w:t>
      </w:r>
      <w:r>
        <w:t xml:space="preserve">(never</w:t>
      </w:r>
      <w:r>
        <w:t xml:space="preserve"> </w:t>
      </w:r>
      <w:r>
        <w:t xml:space="preserve">“</w:t>
      </w:r>
      <w:r>
        <w:t xml:space="preserve">safe</w:t>
      </w:r>
      <w:r>
        <w:t xml:space="preserve">”</w:t>
      </w:r>
      <w:r>
        <w:t xml:space="preserve">) where the base date or last acknowledgment is missing; existing vendors mapped to R11 with certificate expiry dates.</w:t>
      </w:r>
    </w:p>
    <w:p>
      <w:pPr>
        <w:numPr>
          <w:ilvl w:val="0"/>
          <w:numId w:val="1189"/>
        </w:numPr>
        <w:pStyle w:val="Compact"/>
      </w:pPr>
      <w:r>
        <w:rPr>
          <w:bCs/>
          <w:b/>
        </w:rPr>
        <w:t xml:space="preserve">Configuration wizard:</w:t>
      </w:r>
      <w:r>
        <w:t xml:space="preserve"> </w:t>
      </w:r>
      <w:r>
        <w:t xml:space="preserve">eligibility overrides (tighten only), playbooks (R16), DoA matrix, templates and languages, channels and vendors, SLAs, fee schedules, accounting rule map (R12), registers (R14).</w:t>
      </w:r>
    </w:p>
    <w:p>
      <w:pPr>
        <w:numPr>
          <w:ilvl w:val="0"/>
          <w:numId w:val="1189"/>
        </w:numPr>
        <w:pStyle w:val="Compact"/>
      </w:pPr>
      <w:r>
        <w:rPr>
          <w:bCs/>
          <w:b/>
        </w:rPr>
        <w:t xml:space="preserve">Certification:</w:t>
      </w:r>
      <w:r>
        <w:t xml:space="preserve"> </w:t>
      </w:r>
      <w:r>
        <w:t xml:space="preserve">each module’s</w:t>
      </w:r>
      <w:r>
        <w:t xml:space="preserve"> </w:t>
      </w:r>
      <w:r>
        <w:t xml:space="preserve">“</w:t>
      </w:r>
      <w:r>
        <w:t xml:space="preserve">Tests</w:t>
      </w:r>
      <w:r>
        <w:t xml:space="preserve">”</w:t>
      </w:r>
      <w:r>
        <w:t xml:space="preserve"> </w:t>
      </w:r>
      <w:r>
        <w:t xml:space="preserve">run in the sandbox against tenant configuration; DoA simulation; template rendering in every enabled language with human sign-off;</w:t>
      </w:r>
      <w:r>
        <w:t xml:space="preserve"> </w:t>
      </w:r>
      <w:r>
        <w:rPr>
          <w:rStyle w:val="VerbatimChar"/>
        </w:rPr>
        <w:t xml:space="preserve">ConnectorCertified</w:t>
      </w:r>
      <w:r>
        <w:t xml:space="preserve"> </w:t>
      </w:r>
      <w:r>
        <w:t xml:space="preserve">for each provider; CCO sign-off stored as evidence.</w:t>
      </w:r>
    </w:p>
    <w:bookmarkEnd w:id="101"/>
    <w:bookmarkStart w:id="102" w:name="a.0.5-detach-workflow"/>
    <w:p>
      <w:pPr>
        <w:pStyle w:val="Heading3"/>
      </w:pPr>
      <w:r>
        <w:t xml:space="preserve">7A.0.5 Detach workflow</w:t>
      </w:r>
    </w:p>
    <w:p>
      <w:pPr>
        <w:numPr>
          <w:ilvl w:val="0"/>
          <w:numId w:val="1191"/>
        </w:numPr>
        <w:pStyle w:val="Compact"/>
      </w:pPr>
      <w:r>
        <w:rPr>
          <w:bCs/>
          <w:b/>
        </w:rPr>
        <w:t xml:space="preserve">Read-only mode.</w:t>
      </w:r>
      <w:r>
        <w:t xml:space="preserve"> </w:t>
      </w:r>
      <w:r>
        <w:t xml:space="preserve">On detach, all writes, dispatches and workflow timers stop; UI and APIs stay readable for authorised roles; scheduled jobs for registers continue in read-only form so statutory reports can still be produced.</w:t>
      </w:r>
    </w:p>
    <w:p>
      <w:pPr>
        <w:numPr>
          <w:ilvl w:val="0"/>
          <w:numId w:val="1191"/>
        </w:numPr>
        <w:pStyle w:val="Compact"/>
      </w:pPr>
      <w:r>
        <w:rPr>
          <w:bCs/>
          <w:b/>
        </w:rPr>
        <w:t xml:space="preserve">Open-deadline gate.</w:t>
      </w:r>
      <w:r>
        <w:t xml:space="preserve"> </w:t>
      </w:r>
      <w:r>
        <w:t xml:space="preserve">Before</w:t>
      </w:r>
      <w:r>
        <w:t xml:space="preserve"> </w:t>
      </w:r>
      <w:r>
        <w:rPr>
          <w:rStyle w:val="VerbatimChar"/>
        </w:rPr>
        <w:t xml:space="preserve">READ_ONLY</w:t>
      </w:r>
      <w:r>
        <w:t xml:space="preserve">, the system lists every running statutory clock (limitation, s.138, s.17 window, Rule 9 balance, s.34 window, WD six-month deadline, FMR, CGTMSE). Detach proceeds only after the Recovery Head and CCO acknowledge the list and a named owner takes each item off-system.</w:t>
      </w:r>
    </w:p>
    <w:p>
      <w:pPr>
        <w:numPr>
          <w:ilvl w:val="0"/>
          <w:numId w:val="1191"/>
        </w:numPr>
        <w:pStyle w:val="Compact"/>
      </w:pPr>
      <w:r>
        <w:rPr>
          <w:bCs/>
          <w:b/>
        </w:rPr>
        <w:t xml:space="preserve">Retention (never delete regulated records):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14"/>
        <w:gridCol w:w="4145"/>
        <w:gridCol w:w="2679"/>
      </w:tblGrid>
      <w:tr>
        <w:trPr>
          <w:tblHeader w:val="true"/>
          <w:tblHeader w:val="true"/>
        </w:trPr>
        <w:tc>
          <w:tcPr>
            <w:tcW w:w="2814" w:type="dxa"/>
            <w:shd w:val="clear" w:color="auto" w:fill="1F3A5F"/>
          </w:tcPr>
          <w:p>
            <w:pPr>
              <w:pStyle w:val="Compact"/>
              <w:spacing w:after="40"/>
              <w:jc w:val="left"/>
            </w:pPr>
            <w:r>
              <w:rPr>
                <w:b/>
                <w:color w:val="FFFFFF"/>
                <w:sz w:val="18"/>
              </w:rPr>
              <w:t xml:space="preserve">Record class</w:t>
            </w:r>
          </w:p>
        </w:tc>
        <w:tc>
          <w:tcPr>
            <w:tcW w:w="4145" w:type="dxa"/>
            <w:shd w:val="clear" w:color="auto" w:fill="1F3A5F"/>
          </w:tcPr>
          <w:p>
            <w:pPr>
              <w:pStyle w:val="Compact"/>
              <w:spacing w:after="40"/>
              <w:jc w:val="left"/>
            </w:pPr>
            <w:r>
              <w:rPr>
                <w:b/>
                <w:color w:val="FFFFFF"/>
                <w:sz w:val="18"/>
              </w:rPr>
              <w:t xml:space="preserve">Minimum retention</w:t>
            </w:r>
          </w:p>
        </w:tc>
        <w:tc>
          <w:tcPr>
            <w:tcW w:w="2679" w:type="dxa"/>
            <w:shd w:val="clear" w:color="auto" w:fill="1F3A5F"/>
          </w:tcPr>
          <w:p>
            <w:pPr>
              <w:pStyle w:val="Compact"/>
              <w:spacing w:after="40"/>
              <w:jc w:val="left"/>
            </w:pPr>
            <w:r>
              <w:rPr>
                <w:b/>
                <w:color w:val="FFFFFF"/>
                <w:sz w:val="18"/>
              </w:rPr>
              <w:t xml:space="preserve">Basis</w:t>
            </w:r>
          </w:p>
        </w:tc>
      </w:tr>
      <w:tr>
        <w:tc>
          <w:tcPr>
            <w:tcW w:w="2814" w:type="dxa"/>
          </w:tcPr>
          <w:p>
            <w:pPr>
              <w:pStyle w:val="Compact"/>
              <w:spacing w:after="40"/>
              <w:jc w:val="left"/>
            </w:pPr>
            <w:r>
              <w:rPr>
                <w:sz w:val="18"/>
              </w:rPr>
              <w:t xml:space="preserve">KYC and identification records</w:t>
            </w:r>
          </w:p>
        </w:tc>
        <w:tc>
          <w:tcPr>
            <w:tcW w:w="4145" w:type="dxa"/>
          </w:tcPr>
          <w:p>
            <w:pPr>
              <w:pStyle w:val="Compact"/>
              <w:spacing w:after="40"/>
              <w:jc w:val="left"/>
            </w:pPr>
            <w:r>
              <w:rPr>
                <w:sz w:val="18"/>
              </w:rPr>
              <w:t xml:space="preserve">5 years after the relationship ends</w:t>
            </w:r>
          </w:p>
        </w:tc>
        <w:tc>
          <w:tcPr>
            <w:tcW w:w="2679" w:type="dxa"/>
          </w:tcPr>
          <w:p>
            <w:pPr>
              <w:pStyle w:val="Compact"/>
              <w:spacing w:after="40"/>
              <w:jc w:val="left"/>
            </w:pPr>
            <w:r>
              <w:rPr>
                <w:sz w:val="18"/>
              </w:rPr>
              <w:t xml:space="preserve">(KYC para 47); PMLA s.12</w:t>
            </w:r>
          </w:p>
        </w:tc>
      </w:tr>
      <w:tr>
        <w:tc>
          <w:tcPr>
            <w:tcW w:w="2814" w:type="dxa"/>
          </w:tcPr>
          <w:p>
            <w:pPr>
              <w:pStyle w:val="Compact"/>
              <w:spacing w:after="40"/>
              <w:jc w:val="left"/>
            </w:pPr>
            <w:r>
              <w:rPr>
                <w:sz w:val="18"/>
              </w:rPr>
              <w:t xml:space="preserve">Transaction records</w:t>
            </w:r>
          </w:p>
        </w:tc>
        <w:tc>
          <w:tcPr>
            <w:tcW w:w="4145" w:type="dxa"/>
          </w:tcPr>
          <w:p>
            <w:pPr>
              <w:pStyle w:val="Compact"/>
              <w:spacing w:after="40"/>
              <w:jc w:val="left"/>
            </w:pPr>
            <w:r>
              <w:rPr>
                <w:sz w:val="18"/>
              </w:rPr>
              <w:t xml:space="preserve">5 years from the transaction</w:t>
            </w:r>
          </w:p>
        </w:tc>
        <w:tc>
          <w:tcPr>
            <w:tcW w:w="2679" w:type="dxa"/>
          </w:tcPr>
          <w:p>
            <w:pPr>
              <w:pStyle w:val="Compact"/>
              <w:spacing w:after="40"/>
              <w:jc w:val="left"/>
            </w:pPr>
            <w:r>
              <w:rPr>
                <w:sz w:val="18"/>
              </w:rPr>
              <w:t xml:space="preserve">(KYC para 47)</w:t>
            </w:r>
          </w:p>
        </w:tc>
      </w:tr>
      <w:tr>
        <w:tc>
          <w:tcPr>
            <w:tcW w:w="2814" w:type="dxa"/>
          </w:tcPr>
          <w:p>
            <w:pPr>
              <w:pStyle w:val="Compact"/>
              <w:spacing w:after="40"/>
              <w:jc w:val="left"/>
            </w:pPr>
            <w:r>
              <w:rPr>
                <w:sz w:val="18"/>
              </w:rPr>
              <w:t xml:space="preserve">Recovery call recordings</w:t>
            </w:r>
          </w:p>
        </w:tc>
        <w:tc>
          <w:tcPr>
            <w:tcW w:w="4145" w:type="dxa"/>
          </w:tcPr>
          <w:p>
            <w:pPr>
              <w:pStyle w:val="Compact"/>
              <w:spacing w:after="40"/>
              <w:jc w:val="left"/>
            </w:pPr>
            <w:r>
              <w:rPr>
                <w:sz w:val="18"/>
              </w:rPr>
              <w:t xml:space="preserve">6 months, or until disposal if sub judice</w:t>
            </w:r>
          </w:p>
        </w:tc>
        <w:tc>
          <w:tcPr>
            <w:tcW w:w="2679" w:type="dxa"/>
          </w:tcPr>
          <w:p>
            <w:pPr>
              <w:pStyle w:val="Compact"/>
              <w:spacing w:after="40"/>
              <w:jc w:val="left"/>
            </w:pPr>
            <w:r>
              <w:rPr>
                <w:sz w:val="18"/>
              </w:rPr>
              <w:t xml:space="preserve">(RBC Third Amendment para 100P, from 1 Jan 2027)</w:t>
            </w:r>
          </w:p>
        </w:tc>
      </w:tr>
      <w:tr>
        <w:tc>
          <w:tcPr>
            <w:tcW w:w="2814" w:type="dxa"/>
          </w:tcPr>
          <w:p>
            <w:pPr>
              <w:pStyle w:val="Compact"/>
              <w:spacing w:after="40"/>
              <w:jc w:val="left"/>
            </w:pPr>
            <w:r>
              <w:rPr>
                <w:sz w:val="18"/>
              </w:rPr>
              <w:t xml:space="preserve">Case files, notices, proof of service, orders, awards</w:t>
            </w:r>
          </w:p>
        </w:tc>
        <w:tc>
          <w:tcPr>
            <w:tcW w:w="4145" w:type="dxa"/>
          </w:tcPr>
          <w:p>
            <w:pPr>
              <w:pStyle w:val="Compact"/>
              <w:spacing w:after="40"/>
              <w:jc w:val="left"/>
            </w:pPr>
            <w:r>
              <w:rPr>
                <w:sz w:val="18"/>
              </w:rPr>
              <w:t xml:space="preserve">Closure of the last proceeding plus the longest applicable limitation (up to 12 years: Limitation Act Arts 62, 136)</w:t>
            </w:r>
          </w:p>
        </w:tc>
        <w:tc>
          <w:tcPr>
            <w:tcW w:w="2679" w:type="dxa"/>
          </w:tcPr>
          <w:p>
            <w:pPr>
              <w:pStyle w:val="Compact"/>
              <w:spacing w:after="40"/>
              <w:jc w:val="left"/>
            </w:pPr>
            <w:r>
              <w:rPr>
                <w:sz w:val="18"/>
              </w:rPr>
              <w:t xml:space="preserve">[REC]</w:t>
            </w:r>
          </w:p>
        </w:tc>
      </w:tr>
      <w:tr>
        <w:tc>
          <w:tcPr>
            <w:tcW w:w="2814" w:type="dxa"/>
          </w:tcPr>
          <w:p>
            <w:pPr>
              <w:pStyle w:val="Compact"/>
              <w:spacing w:after="40"/>
              <w:jc w:val="left"/>
            </w:pPr>
            <w:r>
              <w:rPr>
                <w:sz w:val="18"/>
              </w:rPr>
              <w:t xml:space="preserve">ADR records held by the RE</w:t>
            </w:r>
          </w:p>
        </w:tc>
        <w:tc>
          <w:tcPr>
            <w:tcW w:w="4145" w:type="dxa"/>
          </w:tcPr>
          <w:p>
            <w:pPr>
              <w:pStyle w:val="Compact"/>
              <w:spacing w:after="40"/>
              <w:jc w:val="left"/>
            </w:pPr>
            <w:r>
              <w:rPr>
                <w:sz w:val="18"/>
              </w:rPr>
              <w:t xml:space="preserve">12 years after closure</w:t>
            </w:r>
          </w:p>
        </w:tc>
        <w:tc>
          <w:tcPr>
            <w:tcW w:w="2679" w:type="dxa"/>
          </w:tcPr>
          <w:p>
            <w:pPr>
              <w:pStyle w:val="Compact"/>
              <w:spacing w:after="40"/>
              <w:jc w:val="left"/>
            </w:pPr>
            <w:r>
              <w:rPr>
                <w:sz w:val="18"/>
              </w:rPr>
              <w:t xml:space="preserve">[REC]</w:t>
            </w:r>
          </w:p>
        </w:tc>
      </w:tr>
      <w:tr>
        <w:tc>
          <w:tcPr>
            <w:tcW w:w="2814" w:type="dxa"/>
          </w:tcPr>
          <w:p>
            <w:pPr>
              <w:pStyle w:val="Compact"/>
              <w:spacing w:after="40"/>
              <w:jc w:val="left"/>
            </w:pPr>
            <w:r>
              <w:rPr>
                <w:sz w:val="18"/>
              </w:rPr>
              <w:t xml:space="preserve">Records under legal hold</w:t>
            </w:r>
          </w:p>
        </w:tc>
        <w:tc>
          <w:tcPr>
            <w:tcW w:w="4145" w:type="dxa"/>
          </w:tcPr>
          <w:p>
            <w:pPr>
              <w:pStyle w:val="Compact"/>
              <w:spacing w:after="40"/>
              <w:jc w:val="left"/>
            </w:pPr>
            <w:r>
              <w:rPr>
                <w:sz w:val="18"/>
              </w:rPr>
              <w:t xml:space="preserve">Until the hold is released</w:t>
            </w:r>
          </w:p>
        </w:tc>
        <w:tc>
          <w:tcPr>
            <w:tcW w:w="2679" w:type="dxa"/>
          </w:tcPr>
          <w:p>
            <w:pPr>
              <w:pStyle w:val="Compact"/>
              <w:spacing w:after="40"/>
              <w:jc w:val="left"/>
            </w:pPr>
            <w:r>
              <w:rPr>
                <w:sz w:val="18"/>
              </w:rPr>
              <w:t xml:space="preserve">[REC]</w:t>
            </w:r>
          </w:p>
        </w:tc>
      </w:tr>
    </w:tbl>
    <w:p>
      <w:pPr>
        <w:numPr>
          <w:ilvl w:val="0"/>
          <w:numId w:val="1192"/>
        </w:numPr>
        <w:pStyle w:val="Compact"/>
      </w:pPr>
      <w:r>
        <w:t xml:space="preserve">DPDP erasure requests are refused for records under these classes with the statutory reason recorded (DPDP Act s.17(1)(a) legal claims) [VERIFY: exact retention reconciliation with DPDP Rules once Rules 3 and 5–16 apply from 13 May 2027].</w:t>
      </w:r>
    </w:p>
    <w:p>
      <w:pPr>
        <w:numPr>
          <w:ilvl w:val="0"/>
          <w:numId w:val="1192"/>
        </w:numPr>
        <w:pStyle w:val="Compact"/>
      </w:pPr>
      <w:r>
        <w:rPr>
          <w:bCs/>
          <w:b/>
        </w:rPr>
        <w:t xml:space="preserve">Export bundle:</w:t>
      </w:r>
      <w:r>
        <w:t xml:space="preserve"> </w:t>
      </w:r>
      <w:r>
        <w:t xml:space="preserve">JSON (schema-versioned) for every entity, CSV/XLSX registers, PDF/A-2b for every document, a SHA-256 manifest signed with the tenant’s signing key, and a deadline handover report. Delivered by SFTP or signed URL; receipt acknowledged.</w:t>
      </w:r>
    </w:p>
    <w:p>
      <w:pPr>
        <w:numPr>
          <w:ilvl w:val="0"/>
          <w:numId w:val="1192"/>
        </w:numPr>
        <w:pStyle w:val="Compact"/>
      </w:pPr>
      <w:r>
        <w:rPr>
          <w:bCs/>
          <w:b/>
        </w:rPr>
        <w:t xml:space="preserve">Re-attach:</w:t>
      </w:r>
      <w:r>
        <w:t xml:space="preserve"> </w:t>
      </w:r>
      <w:r>
        <w:t xml:space="preserve">restores the same records; replays events received during the gap from the outbox and partner feeds; re-runs limitation and deadline engines; flags any deadline that expired while detached.</w:t>
      </w:r>
    </w:p>
    <w:bookmarkEnd w:id="102"/>
    <w:bookmarkStart w:id="103" w:name="X66aefd5fc5183cd3460d462f3e706416a05b251"/>
    <w:p>
      <w:pPr>
        <w:pStyle w:val="Heading3"/>
      </w:pPr>
      <w:r>
        <w:t xml:space="preserve">7A.0.6 Per-tenant customisation layers and guard-rails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23"/>
        <w:gridCol w:w="4692"/>
        <w:gridCol w:w="2823"/>
      </w:tblGrid>
      <w:tr>
        <w:trPr>
          <w:tblHeader w:val="true"/>
          <w:tblHeader w:val="true"/>
        </w:trPr>
        <w:tc>
          <w:tcPr>
            <w:tcW w:w="2123" w:type="dxa"/>
            <w:shd w:val="clear" w:color="auto" w:fill="1F3A5F"/>
          </w:tcPr>
          <w:p>
            <w:pPr>
              <w:pStyle w:val="Compact"/>
              <w:spacing w:after="40"/>
              <w:jc w:val="left"/>
            </w:pPr>
            <w:r>
              <w:rPr>
                <w:b/>
                <w:color w:val="FFFFFF"/>
                <w:sz w:val="18"/>
              </w:rPr>
              <w:t xml:space="preserve">Layer</w:t>
            </w:r>
          </w:p>
        </w:tc>
        <w:tc>
          <w:tcPr>
            <w:tcW w:w="4692" w:type="dxa"/>
            <w:shd w:val="clear" w:color="auto" w:fill="1F3A5F"/>
          </w:tcPr>
          <w:p>
            <w:pPr>
              <w:pStyle w:val="Compact"/>
              <w:spacing w:after="40"/>
              <w:jc w:val="left"/>
            </w:pPr>
            <w:r>
              <w:rPr>
                <w:b/>
                <w:color w:val="FFFFFF"/>
                <w:sz w:val="18"/>
              </w:rPr>
              <w:t xml:space="preserve">Recovery Suite examples</w:t>
            </w:r>
          </w:p>
        </w:tc>
        <w:tc>
          <w:tcPr>
            <w:tcW w:w="2823" w:type="dxa"/>
            <w:shd w:val="clear" w:color="auto" w:fill="1F3A5F"/>
          </w:tcPr>
          <w:p>
            <w:pPr>
              <w:pStyle w:val="Compact"/>
              <w:spacing w:after="40"/>
              <w:jc w:val="left"/>
            </w:pPr>
            <w:r>
              <w:rPr>
                <w:b/>
                <w:color w:val="FFFFFF"/>
                <w:sz w:val="18"/>
              </w:rPr>
              <w:t xml:space="preserve">Who changes it</w:t>
            </w:r>
          </w:p>
        </w:tc>
      </w:tr>
      <w:tr>
        <w:tc>
          <w:tcPr>
            <w:tcW w:w="2123" w:type="dxa"/>
          </w:tcPr>
          <w:p>
            <w:pPr>
              <w:pStyle w:val="Compact"/>
              <w:spacing w:after="40"/>
              <w:jc w:val="left"/>
            </w:pPr>
            <w:r>
              <w:rPr>
                <w:sz w:val="18"/>
              </w:rPr>
              <w:t xml:space="preserve">Workflow designer</w:t>
            </w:r>
          </w:p>
        </w:tc>
        <w:tc>
          <w:tcPr>
            <w:tcW w:w="4692" w:type="dxa"/>
          </w:tcPr>
          <w:p>
            <w:pPr>
              <w:pStyle w:val="Compact"/>
              <w:spacing w:after="40"/>
              <w:jc w:val="left"/>
            </w:pPr>
            <w:r>
              <w:rPr>
                <w:sz w:val="18"/>
              </w:rPr>
              <w:t xml:space="preserve">Case stages, parallel tracks, approval steps, SLA timers, escalation paths</w:t>
            </w:r>
          </w:p>
        </w:tc>
        <w:tc>
          <w:tcPr>
            <w:tcW w:w="2823" w:type="dxa"/>
          </w:tcPr>
          <w:p>
            <w:pPr>
              <w:pStyle w:val="Compact"/>
              <w:spacing w:after="40"/>
              <w:jc w:val="left"/>
            </w:pPr>
            <w:r>
              <w:rPr>
                <w:sz w:val="18"/>
              </w:rPr>
              <w:t xml:space="preserve">Tenant admin (maker-checker)</w:t>
            </w:r>
          </w:p>
        </w:tc>
      </w:tr>
      <w:tr>
        <w:tc>
          <w:tcPr>
            <w:tcW w:w="2123" w:type="dxa"/>
          </w:tcPr>
          <w:p>
            <w:pPr>
              <w:pStyle w:val="Compact"/>
              <w:spacing w:after="40"/>
              <w:jc w:val="left"/>
            </w:pPr>
            <w:r>
              <w:rPr>
                <w:sz w:val="18"/>
              </w:rPr>
              <w:t xml:space="preserve">Rule packs</w:t>
            </w:r>
          </w:p>
        </w:tc>
        <w:tc>
          <w:tcPr>
            <w:tcW w:w="4692" w:type="dxa"/>
          </w:tcPr>
          <w:p>
            <w:pPr>
              <w:pStyle w:val="Compact"/>
              <w:spacing w:after="40"/>
              <w:jc w:val="left"/>
            </w:pPr>
            <w:r>
              <w:rPr>
                <w:sz w:val="18"/>
              </w:rPr>
              <w:t xml:space="preserve">Mechanism preferences, handoff triggers, strategy rules, champion–challenger splits</w:t>
            </w:r>
          </w:p>
        </w:tc>
        <w:tc>
          <w:tcPr>
            <w:tcW w:w="2823" w:type="dxa"/>
          </w:tcPr>
          <w:p>
            <w:pPr>
              <w:pStyle w:val="Compact"/>
              <w:spacing w:after="40"/>
              <w:jc w:val="left"/>
            </w:pPr>
            <w:r>
              <w:rPr>
                <w:sz w:val="18"/>
              </w:rPr>
              <w:t xml:space="preserve">Tenant admin + Recovery Head</w:t>
            </w:r>
          </w:p>
        </w:tc>
      </w:tr>
      <w:tr>
        <w:tc>
          <w:tcPr>
            <w:tcW w:w="2123" w:type="dxa"/>
          </w:tcPr>
          <w:p>
            <w:pPr>
              <w:pStyle w:val="Compact"/>
              <w:spacing w:after="40"/>
              <w:jc w:val="left"/>
            </w:pPr>
            <w:r>
              <w:rPr>
                <w:sz w:val="18"/>
              </w:rPr>
              <w:t xml:space="preserve">Thresholds</w:t>
            </w:r>
          </w:p>
        </w:tc>
        <w:tc>
          <w:tcPr>
            <w:tcW w:w="4692" w:type="dxa"/>
          </w:tcPr>
          <w:p>
            <w:pPr>
              <w:pStyle w:val="Compact"/>
              <w:spacing w:after="40"/>
              <w:jc w:val="left"/>
            </w:pPr>
            <w:r>
              <w:rPr>
                <w:sz w:val="18"/>
              </w:rPr>
              <w:t xml:space="preserve">Ticket bands, DoA limits, NPV floors, waiver bands, valuation refresh age</w:t>
            </w:r>
          </w:p>
        </w:tc>
        <w:tc>
          <w:tcPr>
            <w:tcW w:w="2823" w:type="dxa"/>
          </w:tcPr>
          <w:p>
            <w:pPr>
              <w:pStyle w:val="Compact"/>
              <w:spacing w:after="40"/>
              <w:jc w:val="left"/>
            </w:pPr>
            <w:r>
              <w:rPr>
                <w:sz w:val="18"/>
              </w:rPr>
              <w:t xml:space="preserve">Tenant admin + CCO (regulated)</w:t>
            </w:r>
          </w:p>
        </w:tc>
      </w:tr>
      <w:tr>
        <w:tc>
          <w:tcPr>
            <w:tcW w:w="2123" w:type="dxa"/>
          </w:tcPr>
          <w:p>
            <w:pPr>
              <w:pStyle w:val="Compact"/>
              <w:spacing w:after="40"/>
              <w:jc w:val="left"/>
            </w:pPr>
            <w:r>
              <w:rPr>
                <w:sz w:val="18"/>
              </w:rPr>
              <w:t xml:space="preserve">Playbooks</w:t>
            </w:r>
          </w:p>
        </w:tc>
        <w:tc>
          <w:tcPr>
            <w:tcW w:w="4692" w:type="dxa"/>
          </w:tcPr>
          <w:p>
            <w:pPr>
              <w:pStyle w:val="Compact"/>
              <w:spacing w:after="40"/>
              <w:jc w:val="left"/>
            </w:pPr>
            <w:r>
              <w:rPr>
                <w:sz w:val="18"/>
              </w:rPr>
              <w:t xml:space="preserve">Product recovery sequences (R16)</w:t>
            </w:r>
          </w:p>
        </w:tc>
        <w:tc>
          <w:tcPr>
            <w:tcW w:w="2823" w:type="dxa"/>
          </w:tcPr>
          <w:p>
            <w:pPr>
              <w:pStyle w:val="Compact"/>
              <w:spacing w:after="40"/>
              <w:jc w:val="left"/>
            </w:pPr>
            <w:r>
              <w:rPr>
                <w:sz w:val="18"/>
              </w:rPr>
              <w:t xml:space="preserve">Tenant admin + Recovery Head</w:t>
            </w:r>
          </w:p>
        </w:tc>
      </w:tr>
      <w:tr>
        <w:tc>
          <w:tcPr>
            <w:tcW w:w="2123" w:type="dxa"/>
          </w:tcPr>
          <w:p>
            <w:pPr>
              <w:pStyle w:val="Compact"/>
              <w:spacing w:after="40"/>
              <w:jc w:val="left"/>
            </w:pPr>
            <w:r>
              <w:rPr>
                <w:sz w:val="18"/>
              </w:rPr>
              <w:t xml:space="preserve">Templates</w:t>
            </w:r>
          </w:p>
        </w:tc>
        <w:tc>
          <w:tcPr>
            <w:tcW w:w="4692" w:type="dxa"/>
          </w:tcPr>
          <w:p>
            <w:pPr>
              <w:pStyle w:val="Compact"/>
              <w:spacing w:after="40"/>
              <w:jc w:val="left"/>
            </w:pPr>
            <w:r>
              <w:rPr>
                <w:sz w:val="18"/>
              </w:rPr>
              <w:t xml:space="preserve">Notices, letters, scripts, clause library, languages</w:t>
            </w:r>
          </w:p>
        </w:tc>
        <w:tc>
          <w:tcPr>
            <w:tcW w:w="2823" w:type="dxa"/>
          </w:tcPr>
          <w:p>
            <w:pPr>
              <w:pStyle w:val="Compact"/>
              <w:spacing w:after="40"/>
              <w:jc w:val="left"/>
            </w:pPr>
            <w:r>
              <w:rPr>
                <w:sz w:val="18"/>
              </w:rPr>
              <w:t xml:space="preserve">Legal + CCO approval</w:t>
            </w:r>
          </w:p>
        </w:tc>
      </w:tr>
      <w:tr>
        <w:tc>
          <w:tcPr>
            <w:tcW w:w="2123" w:type="dxa"/>
          </w:tcPr>
          <w:p>
            <w:pPr>
              <w:pStyle w:val="Compact"/>
              <w:spacing w:after="40"/>
              <w:jc w:val="left"/>
            </w:pPr>
            <w:r>
              <w:rPr>
                <w:sz w:val="18"/>
              </w:rPr>
              <w:t xml:space="preserve">Roles and SLAs</w:t>
            </w:r>
          </w:p>
        </w:tc>
        <w:tc>
          <w:tcPr>
            <w:tcW w:w="4692" w:type="dxa"/>
          </w:tcPr>
          <w:p>
            <w:pPr>
              <w:pStyle w:val="Compact"/>
              <w:spacing w:after="40"/>
              <w:jc w:val="left"/>
            </w:pPr>
            <w:r>
              <w:rPr>
                <w:sz w:val="18"/>
              </w:rPr>
              <w:t xml:space="preserve">Who may sign, approve, dispatch; turnaround targets</w:t>
            </w:r>
          </w:p>
        </w:tc>
        <w:tc>
          <w:tcPr>
            <w:tcW w:w="2823" w:type="dxa"/>
          </w:tcPr>
          <w:p>
            <w:pPr>
              <w:pStyle w:val="Compact"/>
              <w:spacing w:after="40"/>
              <w:jc w:val="left"/>
            </w:pPr>
            <w:r>
              <w:rPr>
                <w:sz w:val="18"/>
              </w:rPr>
              <w:t xml:space="preserve">Tenant admin</w:t>
            </w:r>
          </w:p>
        </w:tc>
      </w:tr>
      <w:tr>
        <w:tc>
          <w:tcPr>
            <w:tcW w:w="2123" w:type="dxa"/>
          </w:tcPr>
          <w:p>
            <w:pPr>
              <w:pStyle w:val="Compact"/>
              <w:spacing w:after="40"/>
              <w:jc w:val="left"/>
            </w:pPr>
            <w:r>
              <w:rPr>
                <w:sz w:val="18"/>
              </w:rPr>
              <w:t xml:space="preserve">Forms and fields</w:t>
            </w:r>
          </w:p>
        </w:tc>
        <w:tc>
          <w:tcPr>
            <w:tcW w:w="4692" w:type="dxa"/>
          </w:tcPr>
          <w:p>
            <w:pPr>
              <w:pStyle w:val="Compact"/>
              <w:spacing w:after="40"/>
              <w:jc w:val="left"/>
            </w:pPr>
            <w:r>
              <w:rPr>
                <w:sz w:val="18"/>
              </w:rPr>
              <w:t xml:space="preserve">Field-visit forms, custom case fields (datatables), checklists</w:t>
            </w:r>
          </w:p>
        </w:tc>
        <w:tc>
          <w:tcPr>
            <w:tcW w:w="2823" w:type="dxa"/>
          </w:tcPr>
          <w:p>
            <w:pPr>
              <w:pStyle w:val="Compact"/>
              <w:spacing w:after="40"/>
              <w:jc w:val="left"/>
            </w:pPr>
            <w:r>
              <w:rPr>
                <w:sz w:val="18"/>
              </w:rPr>
              <w:t xml:space="preserve">Tenant admin</w:t>
            </w:r>
          </w:p>
        </w:tc>
      </w:tr>
    </w:tbl>
    <w:p>
      <w:pPr>
        <w:pStyle w:val="BodyText"/>
      </w:pPr>
      <w:r>
        <w:rPr>
          <w:bCs/>
          <w:b/>
        </w:rPr>
        <w:t xml:space="preserve">Platform guard-rails a tenant cannot override</w:t>
      </w:r>
      <w:r>
        <w:t xml:space="preserve"> </w:t>
      </w:r>
      <w:r>
        <w:t xml:space="preserve">(validated on every configuration change; violations are rejected, not warned):</w:t>
      </w:r>
    </w:p>
    <w:p>
      <w:pPr>
        <w:numPr>
          <w:ilvl w:val="0"/>
          <w:numId w:val="1193"/>
        </w:numPr>
        <w:pStyle w:val="Compact"/>
      </w:pPr>
      <w:r>
        <w:t xml:space="preserve">no SARFAESI action unless</w:t>
      </w:r>
      <w:r>
        <w:t xml:space="preserve"> </w:t>
      </w:r>
      <w:r>
        <w:rPr>
          <w:rStyle w:val="VerbatimChar"/>
        </w:rPr>
        <w:t xml:space="preserve">sarfaesi_notified</w:t>
      </w:r>
      <w:r>
        <w:t xml:space="preserve">, the account is NPA, the claim passes s.31 and the security interest is registered with CERSAI (SARFAESI ss.13(2), 26D, 31);</w:t>
      </w:r>
    </w:p>
    <w:p>
      <w:pPr>
        <w:numPr>
          <w:ilvl w:val="0"/>
          <w:numId w:val="1193"/>
        </w:numPr>
        <w:pStyle w:val="Compact"/>
      </w:pPr>
      <w:r>
        <w:t xml:space="preserve">no DRT original application for an NBFC or HFC unless</w:t>
      </w:r>
      <w:r>
        <w:t xml:space="preserve"> </w:t>
      </w:r>
      <w:r>
        <w:rPr>
          <w:rStyle w:val="VerbatimChar"/>
        </w:rPr>
        <w:t xml:space="preserve">rdb_notified</w:t>
      </w:r>
      <w:r>
        <w:t xml:space="preserve"> </w:t>
      </w:r>
      <w:r>
        <w:t xml:space="preserve">with a gazette reference;</w:t>
      </w:r>
    </w:p>
    <w:p>
      <w:pPr>
        <w:numPr>
          <w:ilvl w:val="0"/>
          <w:numId w:val="1193"/>
        </w:numPr>
        <w:pStyle w:val="Compact"/>
      </w:pPr>
      <w:r>
        <w:t xml:space="preserve">no automatic referral to arbitration without a pre-agreed institution or written post-dispute consent; no lender appointment of an arbitrator (</w:t>
      </w:r>
      <w:r>
        <w:rPr>
          <w:iCs/>
          <w:i/>
        </w:rPr>
        <w:t xml:space="preserve">CORE v. ECI-SPIC-SMO-MCML (JV)</w:t>
      </w:r>
      <w:r>
        <w:t xml:space="preserve">, SC Constitution Bench, 8 Nov 2024);</w:t>
      </w:r>
    </w:p>
    <w:p>
      <w:pPr>
        <w:numPr>
          <w:ilvl w:val="0"/>
          <w:numId w:val="1193"/>
        </w:numPr>
        <w:pStyle w:val="Compact"/>
      </w:pPr>
      <w:r>
        <w:t xml:space="preserve">no recovery contact outside 08:00–19:00 (microfinance 09:00–18:00 until 31 Dec 2026), except at the borrower’s recorded request from 1 Jan 2027 (RBC paras 91, 100; para 100Y(4));</w:t>
      </w:r>
    </w:p>
    <w:p>
      <w:pPr>
        <w:numPr>
          <w:ilvl w:val="0"/>
          <w:numId w:val="1193"/>
        </w:numPr>
        <w:pStyle w:val="Compact"/>
      </w:pPr>
      <w:r>
        <w:t xml:space="preserve">no WhatsApp for any collection, recovery or legal-notice purpose (WhatsApp Business Messaging Policy §4);</w:t>
      </w:r>
    </w:p>
    <w:p>
      <w:pPr>
        <w:numPr>
          <w:ilvl w:val="0"/>
          <w:numId w:val="1193"/>
        </w:numPr>
        <w:pStyle w:val="Compact"/>
      </w:pPr>
      <w:r>
        <w:t xml:space="preserve">no settlement approval except by an authority at least one level above the sanctioning authority, with every official who sanctioned the loan excluded in any capacity; Board approval for fraud and wilful-defaulter settlements (RSA para 16(5)(i)–(ii));</w:t>
      </w:r>
    </w:p>
    <w:p>
      <w:pPr>
        <w:numPr>
          <w:ilvl w:val="0"/>
          <w:numId w:val="1193"/>
        </w:numPr>
        <w:pStyle w:val="Compact"/>
      </w:pPr>
      <w:r>
        <w:t xml:space="preserve">no vehicle repossession before the contractual notice period has elapsed and without a signed possession memo (RBC para 26;</w:t>
      </w:r>
      <w:r>
        <w:t xml:space="preserve"> </w:t>
      </w:r>
      <w:r>
        <w:rPr>
          <w:iCs/>
          <w:i/>
        </w:rPr>
        <w:t xml:space="preserve">Hari Dutta Sharma v. State of UP</w:t>
      </w:r>
      <w:r>
        <w:t xml:space="preserve">, SC, 16 Sep 2026);</w:t>
      </w:r>
    </w:p>
    <w:p>
      <w:pPr>
        <w:numPr>
          <w:ilvl w:val="0"/>
          <w:numId w:val="1193"/>
        </w:numPr>
        <w:pStyle w:val="Compact"/>
      </w:pPr>
      <w:r>
        <w:t xml:space="preserve">no gold auction reserve below 90% of current value (85% after two failed auctions) (RBC para 63);</w:t>
      </w:r>
    </w:p>
    <w:p>
      <w:pPr>
        <w:numPr>
          <w:ilvl w:val="0"/>
          <w:numId w:val="1193"/>
        </w:numPr>
        <w:pStyle w:val="Compact"/>
      </w:pPr>
      <w:r>
        <w:t xml:space="preserve">no deletion of any record in a retention class; no change to a dispatched notice;</w:t>
      </w:r>
    </w:p>
    <w:p>
      <w:pPr>
        <w:numPr>
          <w:ilvl w:val="0"/>
          <w:numId w:val="1193"/>
        </w:numPr>
        <w:pStyle w:val="Compact"/>
      </w:pPr>
      <w:r>
        <w:t xml:space="preserve">no</w:t>
      </w:r>
      <w:r>
        <w:t xml:space="preserve"> </w:t>
      </w:r>
      <w:r>
        <w:t xml:space="preserve">“</w:t>
      </w:r>
      <w:r>
        <w:t xml:space="preserve">served</w:t>
      </w:r>
      <w:r>
        <w:t xml:space="preserve">”</w:t>
      </w:r>
      <w:r>
        <w:t xml:space="preserve"> </w:t>
      </w:r>
      <w:r>
        <w:t xml:space="preserve">status without evidence.</w:t>
      </w:r>
    </w:p>
    <w:bookmarkEnd w:id="103"/>
    <w:bookmarkStart w:id="104" w:name="a.0.7-extension-points"/>
    <w:p>
      <w:pPr>
        <w:pStyle w:val="Heading3"/>
      </w:pPr>
      <w:r>
        <w:t xml:space="preserve">7A.0.7 Extension points</w:t>
      </w:r>
    </w:p>
    <w:p>
      <w:pPr>
        <w:numPr>
          <w:ilvl w:val="0"/>
          <w:numId w:val="1194"/>
        </w:numPr>
        <w:pStyle w:val="Compact"/>
      </w:pPr>
      <w:r>
        <w:rPr>
          <w:bCs/>
          <w:b/>
        </w:rPr>
        <w:t xml:space="preserve">Lifecycle hooks:</w:t>
      </w:r>
      <w:r>
        <w:t xml:space="preserve"> </w:t>
      </w:r>
      <w:r>
        <w:t xml:space="preserve">synchronous pre-hooks (validate, enrich, veto with reason; out of process, 2-second budget, fail closed) and asynchronous post-hooks on case, notice, matter, settlement and auction transitions.</w:t>
      </w:r>
    </w:p>
    <w:p>
      <w:pPr>
        <w:numPr>
          <w:ilvl w:val="0"/>
          <w:numId w:val="1194"/>
        </w:numPr>
        <w:pStyle w:val="Compact"/>
      </w:pPr>
      <w:r>
        <w:rPr>
          <w:bCs/>
          <w:b/>
        </w:rPr>
        <w:t xml:space="preserve">Custom workflow steps</w:t>
      </w:r>
      <w:r>
        <w:t xml:space="preserve"> </w:t>
      </w:r>
      <w:r>
        <w:t xml:space="preserve">between platform steps; a guard-rail step cannot be removed or reordered.</w:t>
      </w:r>
    </w:p>
    <w:p>
      <w:pPr>
        <w:numPr>
          <w:ilvl w:val="0"/>
          <w:numId w:val="1194"/>
        </w:numPr>
        <w:pStyle w:val="Compact"/>
      </w:pPr>
      <w:r>
        <w:rPr>
          <w:bCs/>
          <w:b/>
        </w:rPr>
        <w:t xml:space="preserve">Custom fields:</w:t>
      </w:r>
      <w:r>
        <w:t xml:space="preserve"> </w:t>
      </w:r>
      <w:r>
        <w:t xml:space="preserve">typed datatables on case, party, matter, notice, vendor and settlement.</w:t>
      </w:r>
    </w:p>
    <w:p>
      <w:pPr>
        <w:numPr>
          <w:ilvl w:val="0"/>
          <w:numId w:val="1194"/>
        </w:numPr>
        <w:pStyle w:val="Compact"/>
      </w:pPr>
      <w:r>
        <w:rPr>
          <w:bCs/>
          <w:b/>
        </w:rPr>
        <w:t xml:space="preserve">External task workers:</w:t>
      </w:r>
      <w:r>
        <w:t xml:space="preserve"> </w:t>
      </w:r>
      <w:r>
        <w:t xml:space="preserve">any ecosystem app (a field-investigation app, Udolex) claims tasks from named queues (</w:t>
      </w:r>
      <w:r>
        <w:rPr>
          <w:rStyle w:val="VerbatimChar"/>
        </w:rPr>
        <w:t xml:space="preserve">fi.visit</w:t>
      </w:r>
      <w:r>
        <w:t xml:space="preserve">,</w:t>
      </w:r>
      <w:r>
        <w:t xml:space="preserve"> </w:t>
      </w:r>
      <w:r>
        <w:rPr>
          <w:rStyle w:val="VerbatimChar"/>
        </w:rPr>
        <w:t xml:space="preserve">notice.print</w:t>
      </w:r>
      <w:r>
        <w:t xml:space="preserve">,</w:t>
      </w:r>
      <w:r>
        <w:t xml:space="preserve"> </w:t>
      </w:r>
      <w:r>
        <w:rPr>
          <w:rStyle w:val="VerbatimChar"/>
        </w:rPr>
        <w:t xml:space="preserve">valuation.report</w:t>
      </w:r>
      <w:r>
        <w:t xml:space="preserve">,</w:t>
      </w:r>
      <w:r>
        <w:t xml:space="preserve"> </w:t>
      </w:r>
      <w:r>
        <w:rPr>
          <w:rStyle w:val="VerbatimChar"/>
        </w:rPr>
        <w:t xml:space="preserve">counsel.update</w:t>
      </w:r>
      <w:r>
        <w:t xml:space="preserve">) through the task API, with tenant-scoped tokens and no database access.</w:t>
      </w:r>
    </w:p>
    <w:p>
      <w:pPr>
        <w:numPr>
          <w:ilvl w:val="0"/>
          <w:numId w:val="1194"/>
        </w:numPr>
        <w:pStyle w:val="Compact"/>
      </w:pPr>
      <w:r>
        <w:rPr>
          <w:bCs/>
          <w:b/>
        </w:rPr>
        <w:t xml:space="preserve">Connector SPI:</w:t>
      </w:r>
      <w:r>
        <w:t xml:space="preserve"> </w:t>
      </w:r>
      <w:r>
        <w:t xml:space="preserve">the</w:t>
      </w:r>
      <w:r>
        <w:t xml:space="preserve"> </w:t>
      </w:r>
      <w:r>
        <w:rPr>
          <w:rStyle w:val="VerbatimChar"/>
        </w:rPr>
        <w:t xml:space="preserve">@infrabyx/connector-sdk</w:t>
      </w:r>
      <w:r>
        <w:t xml:space="preserve"> </w:t>
      </w:r>
      <w:r>
        <w:rPr>
          <w:rStyle w:val="VerbatimChar"/>
        </w:rPr>
        <w:t xml:space="preserve">Connector</w:t>
      </w:r>
      <w:r>
        <w:t xml:space="preserve"> </w:t>
      </w:r>
      <w:r>
        <w:t xml:space="preserve">interface of Integration Spec Part 10.1 (</w:t>
      </w:r>
      <w:r>
        <w:rPr>
          <w:rStyle w:val="VerbatimChar"/>
        </w:rPr>
        <w:t xml:space="preserve">manifest</w:t>
      </w:r>
      <w:r>
        <w:t xml:space="preserve">,</w:t>
      </w:r>
      <w:r>
        <w:t xml:space="preserve"> </w:t>
      </w:r>
      <w:r>
        <w:rPr>
          <w:rStyle w:val="VerbatimChar"/>
        </w:rPr>
        <w:t xml:space="preserve">capabilities</w:t>
      </w:r>
      <w:r>
        <w:t xml:space="preserve">,</w:t>
      </w:r>
      <w:r>
        <w:t xml:space="preserve"> </w:t>
      </w:r>
      <w:r>
        <w:rPr>
          <w:rStyle w:val="VerbatimChar"/>
        </w:rPr>
        <w:t xml:space="preserve">healthCheck</w:t>
      </w:r>
      <w:r>
        <w:t xml:space="preserve">,</w:t>
      </w:r>
      <w:r>
        <w:t xml:space="preserve"> </w:t>
      </w:r>
      <w:r>
        <w:rPr>
          <w:rStyle w:val="VerbatimChar"/>
        </w:rPr>
        <w:t xml:space="preserve">send</w:t>
      </w:r>
      <w:r>
        <w:t xml:space="preserve">,</w:t>
      </w:r>
      <w:r>
        <w:t xml:space="preserve"> </w:t>
      </w:r>
      <w:r>
        <w:rPr>
          <w:rStyle w:val="VerbatimChar"/>
        </w:rPr>
        <w:t xml:space="preserve">receive</w:t>
      </w:r>
      <w:r>
        <w:t xml:space="preserve">,</w:t>
      </w:r>
      <w:r>
        <w:t xml:space="preserve"> </w:t>
      </w:r>
      <w:r>
        <w:rPr>
          <w:rStyle w:val="VerbatimChar"/>
        </w:rPr>
        <w:t xml:space="preserve">call</w:t>
      </w:r>
      <w:r>
        <w:t xml:space="preserve">,</w:t>
      </w:r>
      <w:r>
        <w:t xml:space="preserve"> </w:t>
      </w:r>
      <w:r>
        <w:rPr>
          <w:rStyle w:val="VerbatimChar"/>
        </w:rPr>
        <w:t xml:space="preserve">reconcile</w:t>
      </w:r>
      <w:r>
        <w:t xml:space="preserve">; configuration schema and polling declared in the manifest and capabilities), certified with the Part 14.3 suite; adapters for post, couriers, court data, ODR providers, e-auction platforms, valuers, agencies, GRC tools and third-party LOS/LMS.</w:t>
      </w:r>
    </w:p>
    <w:bookmarkEnd w:id="104"/>
    <w:bookmarkStart w:id="105" w:name="a.0.8-apis-and-events"/>
    <w:p>
      <w:pPr>
        <w:pStyle w:val="Heading3"/>
      </w:pPr>
      <w:r>
        <w:t xml:space="preserve">7A.0.8 APIs and events</w:t>
      </w:r>
    </w:p>
    <w:p>
      <w:pPr>
        <w:numPr>
          <w:ilvl w:val="0"/>
          <w:numId w:val="1195"/>
        </w:numPr>
        <w:pStyle w:val="Compact"/>
      </w:pPr>
      <w:r>
        <w:rPr>
          <w:bCs/>
          <w:b/>
        </w:rPr>
        <w:t xml:space="preserve">APIs</w:t>
      </w:r>
      <w:r>
        <w:t xml:space="preserve"> </w:t>
      </w:r>
      <w:r>
        <w:t xml:space="preserve">(OpenAPI 3.1, OAuth 2.1 client credentials with mTLS; FAPI 2.0 where an API acts for a borrower;</w:t>
      </w:r>
      <w:r>
        <w:t xml:space="preserve"> </w:t>
      </w:r>
      <w:r>
        <w:rPr>
          <w:rStyle w:val="VerbatimChar"/>
        </w:rPr>
        <w:t xml:space="preserve">Idempotency-Key</w:t>
      </w:r>
      <w:r>
        <w:t xml:space="preserve"> </w:t>
      </w:r>
      <w:r>
        <w:t xml:space="preserve">on every POST; RFC 9421 signatures on regulated messages):</w:t>
      </w:r>
      <w:r>
        <w:t xml:space="preserve"> </w:t>
      </w:r>
      <w:r>
        <w:rPr>
          <w:rStyle w:val="VerbatimChar"/>
        </w:rPr>
        <w:t xml:space="preserve">/recovery-cases</w:t>
      </w:r>
      <w:r>
        <w:t xml:space="preserve">,</w:t>
      </w:r>
      <w:r>
        <w:t xml:space="preserve"> </w:t>
      </w:r>
      <w:r>
        <w:rPr>
          <w:rStyle w:val="VerbatimChar"/>
        </w:rPr>
        <w:t xml:space="preserve">/mechanism-evaluations</w:t>
      </w:r>
      <w:r>
        <w:t xml:space="preserve">,</w:t>
      </w:r>
      <w:r>
        <w:t xml:space="preserve"> </w:t>
      </w:r>
      <w:r>
        <w:rPr>
          <w:rStyle w:val="VerbatimChar"/>
        </w:rPr>
        <w:t xml:space="preserve">/limitation</w:t>
      </w:r>
      <w:r>
        <w:t xml:space="preserve">,</w:t>
      </w:r>
      <w:r>
        <w:t xml:space="preserve"> </w:t>
      </w:r>
      <w:r>
        <w:rPr>
          <w:rStyle w:val="VerbatimChar"/>
        </w:rPr>
        <w:t xml:space="preserve">/notices</w:t>
      </w:r>
      <w:r>
        <w:t xml:space="preserve">,</w:t>
      </w:r>
      <w:r>
        <w:t xml:space="preserve"> </w:t>
      </w:r>
      <w:r>
        <w:rPr>
          <w:rStyle w:val="VerbatimChar"/>
        </w:rPr>
        <w:t xml:space="preserve">/service-records</w:t>
      </w:r>
      <w:r>
        <w:t xml:space="preserve">,</w:t>
      </w:r>
      <w:r>
        <w:t xml:space="preserve"> </w:t>
      </w:r>
      <w:r>
        <w:rPr>
          <w:rStyle w:val="VerbatimChar"/>
        </w:rPr>
        <w:t xml:space="preserve">/matters</w:t>
      </w:r>
      <w:r>
        <w:t xml:space="preserve">,</w:t>
      </w:r>
      <w:r>
        <w:t xml:space="preserve"> </w:t>
      </w:r>
      <w:r>
        <w:rPr>
          <w:rStyle w:val="VerbatimChar"/>
        </w:rPr>
        <w:t xml:space="preserve">/hearings</w:t>
      </w:r>
      <w:r>
        <w:t xml:space="preserve">,</w:t>
      </w:r>
      <w:r>
        <w:t xml:space="preserve"> </w:t>
      </w:r>
      <w:r>
        <w:rPr>
          <w:rStyle w:val="VerbatimChar"/>
        </w:rPr>
        <w:t xml:space="preserve">/orders</w:t>
      </w:r>
      <w:r>
        <w:t xml:space="preserve">,</w:t>
      </w:r>
      <w:r>
        <w:t xml:space="preserve"> </w:t>
      </w:r>
      <w:r>
        <w:rPr>
          <w:rStyle w:val="VerbatimChar"/>
        </w:rPr>
        <w:t xml:space="preserve">/settlements</w:t>
      </w:r>
      <w:r>
        <w:t xml:space="preserve">,</w:t>
      </w:r>
      <w:r>
        <w:t xml:space="preserve"> </w:t>
      </w:r>
      <w:r>
        <w:rPr>
          <w:rStyle w:val="VerbatimChar"/>
        </w:rPr>
        <w:t xml:space="preserve">/adr-referrals</w:t>
      </w:r>
      <w:r>
        <w:t xml:space="preserve">,</w:t>
      </w:r>
      <w:r>
        <w:t xml:space="preserve"> </w:t>
      </w:r>
      <w:r>
        <w:rPr>
          <w:rStyle w:val="VerbatimChar"/>
        </w:rPr>
        <w:t xml:space="preserve">/vendors</w:t>
      </w:r>
      <w:r>
        <w:t xml:space="preserve">,</w:t>
      </w:r>
      <w:r>
        <w:t xml:space="preserve"> </w:t>
      </w:r>
      <w:r>
        <w:rPr>
          <w:rStyle w:val="VerbatimChar"/>
        </w:rPr>
        <w:t xml:space="preserve">/registers</w:t>
      </w:r>
      <w:r>
        <w:t xml:space="preserve">,</w:t>
      </w:r>
      <w:r>
        <w:t xml:space="preserve"> </w:t>
      </w:r>
      <w:r>
        <w:rPr>
          <w:rStyle w:val="VerbatimChar"/>
        </w:rPr>
        <w:t xml:space="preserve">/exports</w:t>
      </w:r>
      <w:r>
        <w:t xml:space="preserve">.</w:t>
      </w:r>
    </w:p>
    <w:p>
      <w:pPr>
        <w:numPr>
          <w:ilvl w:val="0"/>
          <w:numId w:val="1195"/>
        </w:numPr>
        <w:pStyle w:val="Compact"/>
      </w:pPr>
      <w:r>
        <w:rPr>
          <w:bCs/>
          <w:b/>
        </w:rPr>
        <w:t xml:space="preserve">Events</w:t>
      </w:r>
      <w:r>
        <w:t xml:space="preserve"> </w:t>
      </w:r>
      <w:r>
        <w:t xml:space="preserve">(CloudEvents 1.0 envelope; Standard Webhooks delivery; outbox and inbox): the canonical names listed under each module. Module-private domain events (for example</w:t>
      </w:r>
      <w:r>
        <w:t xml:space="preserve"> </w:t>
      </w:r>
      <w:r>
        <w:rPr>
          <w:rStyle w:val="VerbatimChar"/>
        </w:rPr>
        <w:t xml:space="preserve">recovery.limitation.alert</w:t>
      </w:r>
      <w:r>
        <w:t xml:space="preserve">) stay inside Finbyx and are not published to the ecosystem.</w:t>
      </w:r>
    </w:p>
    <w:bookmarkEnd w:id="105"/>
    <w:bookmarkStart w:id="106" w:name="a.0.9-data-ownership"/>
    <w:p>
      <w:pPr>
        <w:pStyle w:val="Heading3"/>
      </w:pPr>
      <w:r>
        <w:t xml:space="preserve">7A.0.9 Data ownership</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60"/>
        <w:gridCol w:w="4348"/>
        <w:gridCol w:w="2430"/>
      </w:tblGrid>
      <w:tr>
        <w:trPr>
          <w:tblHeader w:val="true"/>
          <w:tblHeader w:val="true"/>
        </w:trPr>
        <w:tc>
          <w:tcPr>
            <w:tcW w:w="2860" w:type="dxa"/>
            <w:shd w:val="clear" w:color="auto" w:fill="1F3A5F"/>
          </w:tcPr>
          <w:p>
            <w:pPr>
              <w:pStyle w:val="Compact"/>
              <w:spacing w:after="40"/>
              <w:jc w:val="left"/>
            </w:pPr>
            <w:r>
              <w:rPr>
                <w:b/>
                <w:color w:val="FFFFFF"/>
                <w:sz w:val="18"/>
              </w:rPr>
              <w:t xml:space="preserve">Party</w:t>
            </w:r>
          </w:p>
        </w:tc>
        <w:tc>
          <w:tcPr>
            <w:tcW w:w="4348" w:type="dxa"/>
            <w:shd w:val="clear" w:color="auto" w:fill="1F3A5F"/>
          </w:tcPr>
          <w:p>
            <w:pPr>
              <w:pStyle w:val="Compact"/>
              <w:spacing w:after="40"/>
              <w:jc w:val="left"/>
            </w:pPr>
            <w:r>
              <w:rPr>
                <w:b/>
                <w:color w:val="FFFFFF"/>
                <w:sz w:val="18"/>
              </w:rPr>
              <w:t xml:space="preserve">Role for recovery data</w:t>
            </w:r>
          </w:p>
        </w:tc>
        <w:tc>
          <w:tcPr>
            <w:tcW w:w="2430" w:type="dxa"/>
            <w:shd w:val="clear" w:color="auto" w:fill="1F3A5F"/>
          </w:tcPr>
          <w:p>
            <w:pPr>
              <w:pStyle w:val="Compact"/>
              <w:spacing w:after="40"/>
              <w:jc w:val="left"/>
            </w:pPr>
            <w:r>
              <w:rPr>
                <w:b/>
                <w:color w:val="FFFFFF"/>
                <w:sz w:val="18"/>
              </w:rPr>
              <w:t xml:space="preserve">Basis</w:t>
            </w:r>
          </w:p>
        </w:tc>
      </w:tr>
      <w:tr>
        <w:tc>
          <w:tcPr>
            <w:tcW w:w="2860" w:type="dxa"/>
          </w:tcPr>
          <w:p>
            <w:pPr>
              <w:pStyle w:val="Compact"/>
              <w:spacing w:after="40"/>
              <w:jc w:val="left"/>
            </w:pPr>
            <w:r>
              <w:rPr>
                <w:sz w:val="18"/>
              </w:rPr>
              <w:t xml:space="preserve">Tenant lender (RE)</w:t>
            </w:r>
          </w:p>
        </w:tc>
        <w:tc>
          <w:tcPr>
            <w:tcW w:w="4348" w:type="dxa"/>
          </w:tcPr>
          <w:p>
            <w:pPr>
              <w:pStyle w:val="Compact"/>
              <w:spacing w:after="40"/>
              <w:jc w:val="left"/>
            </w:pPr>
            <w:r>
              <w:rPr>
                <w:sz w:val="18"/>
              </w:rPr>
              <w:t xml:space="preserve">Data fiduciary (controller) and system of record for loan, claim, classification, settlement, accounting, CIC reporting and litigation record</w:t>
            </w:r>
          </w:p>
        </w:tc>
        <w:tc>
          <w:tcPr>
            <w:tcW w:w="2430" w:type="dxa"/>
          </w:tcPr>
          <w:p>
            <w:pPr>
              <w:pStyle w:val="Compact"/>
              <w:spacing w:after="40"/>
              <w:jc w:val="left"/>
            </w:pPr>
            <w:r>
              <w:rPr>
                <w:sz w:val="18"/>
              </w:rPr>
              <w:t xml:space="preserve">Part 5.1; (OUT para 17)</w:t>
            </w:r>
          </w:p>
        </w:tc>
      </w:tr>
      <w:tr>
        <w:tc>
          <w:tcPr>
            <w:tcW w:w="2860" w:type="dxa"/>
          </w:tcPr>
          <w:p>
            <w:pPr>
              <w:pStyle w:val="Compact"/>
              <w:spacing w:after="40"/>
              <w:jc w:val="left"/>
            </w:pPr>
            <w:r>
              <w:rPr>
                <w:sz w:val="18"/>
              </w:rPr>
              <w:t xml:space="preserve">Infrabyx (Finbyx operator)</w:t>
            </w:r>
          </w:p>
        </w:tc>
        <w:tc>
          <w:tcPr>
            <w:tcW w:w="4348" w:type="dxa"/>
          </w:tcPr>
          <w:p>
            <w:pPr>
              <w:pStyle w:val="Compact"/>
              <w:spacing w:after="40"/>
              <w:jc w:val="left"/>
            </w:pPr>
            <w:r>
              <w:rPr>
                <w:sz w:val="18"/>
              </w:rPr>
              <w:t xml:space="preserve">Data processor and technology service provider to the RE</w:t>
            </w:r>
          </w:p>
        </w:tc>
        <w:tc>
          <w:tcPr>
            <w:tcW w:w="2430" w:type="dxa"/>
          </w:tcPr>
          <w:p>
            <w:pPr>
              <w:pStyle w:val="Compact"/>
              <w:spacing w:after="40"/>
              <w:jc w:val="left"/>
            </w:pPr>
            <w:r>
              <w:rPr>
                <w:sz w:val="18"/>
              </w:rPr>
              <w:t xml:space="preserve">(OUT paras 34, 45–51 where group)</w:t>
            </w:r>
          </w:p>
        </w:tc>
      </w:tr>
      <w:tr>
        <w:tc>
          <w:tcPr>
            <w:tcW w:w="2860" w:type="dxa"/>
          </w:tcPr>
          <w:p>
            <w:pPr>
              <w:pStyle w:val="Compact"/>
              <w:spacing w:after="40"/>
              <w:jc w:val="left"/>
            </w:pPr>
            <w:r>
              <w:rPr>
                <w:sz w:val="18"/>
              </w:rPr>
              <w:t xml:space="preserve">Udofin</w:t>
            </w:r>
          </w:p>
        </w:tc>
        <w:tc>
          <w:tcPr>
            <w:tcW w:w="4348" w:type="dxa"/>
          </w:tcPr>
          <w:p>
            <w:pPr>
              <w:pStyle w:val="Compact"/>
              <w:spacing w:after="40"/>
              <w:jc w:val="left"/>
            </w:pPr>
            <w:r>
              <w:rPr>
                <w:sz w:val="18"/>
              </w:rPr>
              <w:t xml:space="preserve">LSP; processor for RE-scoped recovery data only where appointed; fiduciary for its own app journey</w:t>
            </w:r>
          </w:p>
        </w:tc>
        <w:tc>
          <w:tcPr>
            <w:tcW w:w="2430" w:type="dxa"/>
          </w:tcPr>
          <w:p>
            <w:pPr>
              <w:pStyle w:val="Compact"/>
              <w:spacing w:after="40"/>
              <w:jc w:val="left"/>
            </w:pPr>
            <w:r>
              <w:rPr>
                <w:sz w:val="18"/>
              </w:rPr>
              <w:t xml:space="preserve">(CF paras 6(5), 6(7))</w:t>
            </w:r>
          </w:p>
        </w:tc>
      </w:tr>
      <w:tr>
        <w:tc>
          <w:tcPr>
            <w:tcW w:w="2860" w:type="dxa"/>
          </w:tcPr>
          <w:p>
            <w:pPr>
              <w:pStyle w:val="Compact"/>
              <w:spacing w:after="40"/>
              <w:jc w:val="left"/>
            </w:pPr>
            <w:r>
              <w:rPr>
                <w:sz w:val="18"/>
              </w:rPr>
              <w:t xml:space="preserve">Recovery agencies, field investigators, print-to-post vendors</w:t>
            </w:r>
          </w:p>
        </w:tc>
        <w:tc>
          <w:tcPr>
            <w:tcW w:w="4348" w:type="dxa"/>
          </w:tcPr>
          <w:p>
            <w:pPr>
              <w:pStyle w:val="Compact"/>
              <w:spacing w:after="40"/>
              <w:jc w:val="left"/>
            </w:pPr>
            <w:r>
              <w:rPr>
                <w:sz w:val="18"/>
              </w:rPr>
              <w:t xml:space="preserve">Processors under contract, need-to-know data only</w:t>
            </w:r>
          </w:p>
        </w:tc>
        <w:tc>
          <w:tcPr>
            <w:tcW w:w="2430" w:type="dxa"/>
          </w:tcPr>
          <w:p>
            <w:pPr>
              <w:pStyle w:val="Compact"/>
              <w:spacing w:after="40"/>
              <w:jc w:val="left"/>
            </w:pPr>
            <w:r>
              <w:rPr>
                <w:sz w:val="18"/>
              </w:rPr>
              <w:t xml:space="preserve">(OUT para 17; RBC para 100O from 1 Jan 2027)</w:t>
            </w:r>
          </w:p>
        </w:tc>
      </w:tr>
      <w:tr>
        <w:tc>
          <w:tcPr>
            <w:tcW w:w="2860" w:type="dxa"/>
          </w:tcPr>
          <w:p>
            <w:pPr>
              <w:pStyle w:val="Compact"/>
              <w:spacing w:after="40"/>
              <w:jc w:val="left"/>
            </w:pPr>
            <w:r>
              <w:rPr>
                <w:sz w:val="18"/>
              </w:rPr>
              <w:t xml:space="preserve">Empanelled advocates</w:t>
            </w:r>
          </w:p>
        </w:tc>
        <w:tc>
          <w:tcPr>
            <w:tcW w:w="4348" w:type="dxa"/>
          </w:tcPr>
          <w:p>
            <w:pPr>
              <w:pStyle w:val="Compact"/>
              <w:spacing w:after="40"/>
              <w:jc w:val="left"/>
            </w:pPr>
            <w:r>
              <w:rPr>
                <w:sz w:val="18"/>
              </w:rPr>
              <w:t xml:space="preserve">Independent professionals bound by privilege; processors for data supplied</w:t>
            </w:r>
          </w:p>
        </w:tc>
        <w:tc>
          <w:tcPr>
            <w:tcW w:w="2430" w:type="dxa"/>
          </w:tcPr>
          <w:p>
            <w:pPr>
              <w:pStyle w:val="Compact"/>
              <w:spacing w:after="40"/>
              <w:jc w:val="left"/>
            </w:pPr>
            <w:r>
              <w:rPr>
                <w:sz w:val="18"/>
              </w:rPr>
              <w:t xml:space="preserve">[REC]</w:t>
            </w:r>
          </w:p>
        </w:tc>
      </w:tr>
      <w:tr>
        <w:tc>
          <w:tcPr>
            <w:tcW w:w="2860" w:type="dxa"/>
          </w:tcPr>
          <w:p>
            <w:pPr>
              <w:pStyle w:val="Compact"/>
              <w:spacing w:after="40"/>
              <w:jc w:val="left"/>
            </w:pPr>
            <w:r>
              <w:rPr>
                <w:sz w:val="18"/>
              </w:rPr>
              <w:t xml:space="preserve">Equator and other ODR/ADR providers</w:t>
            </w:r>
          </w:p>
        </w:tc>
        <w:tc>
          <w:tcPr>
            <w:tcW w:w="4348" w:type="dxa"/>
          </w:tcPr>
          <w:p>
            <w:pPr>
              <w:pStyle w:val="Compact"/>
              <w:spacing w:after="40"/>
              <w:jc w:val="left"/>
            </w:pPr>
            <w:r>
              <w:rPr>
                <w:sz w:val="18"/>
              </w:rPr>
              <w:t xml:space="preserve">Processor for referral data; independent fiduciary for the case record, neutral selection logs and original awards</w:t>
            </w:r>
          </w:p>
        </w:tc>
        <w:tc>
          <w:tcPr>
            <w:tcW w:w="2430" w:type="dxa"/>
          </w:tcPr>
          <w:p>
            <w:pPr>
              <w:pStyle w:val="Compact"/>
              <w:spacing w:after="40"/>
              <w:jc w:val="left"/>
            </w:pPr>
            <w:r>
              <w:rPr>
                <w:sz w:val="18"/>
              </w:rPr>
              <w:t xml:space="preserve">[REC]; (A&amp;C Act s.42A confidentiality)</w:t>
            </w:r>
          </w:p>
        </w:tc>
      </w:tr>
      <w:tr>
        <w:tc>
          <w:tcPr>
            <w:tcW w:w="2860" w:type="dxa"/>
          </w:tcPr>
          <w:p>
            <w:pPr>
              <w:pStyle w:val="Compact"/>
              <w:spacing w:after="40"/>
              <w:jc w:val="left"/>
            </w:pPr>
            <w:r>
              <w:rPr>
                <w:sz w:val="18"/>
              </w:rPr>
              <w:t xml:space="preserve">Courts, tribunals, Lok Adalats</w:t>
            </w:r>
          </w:p>
        </w:tc>
        <w:tc>
          <w:tcPr>
            <w:tcW w:w="4348" w:type="dxa"/>
          </w:tcPr>
          <w:p>
            <w:pPr>
              <w:pStyle w:val="Compact"/>
              <w:spacing w:after="40"/>
              <w:jc w:val="left"/>
            </w:pPr>
            <w:r>
              <w:rPr>
                <w:sz w:val="18"/>
              </w:rPr>
              <w:t xml:space="preserve">Public authorities; outside the contract</w:t>
            </w:r>
          </w:p>
        </w:tc>
        <w:tc>
          <w:tcPr>
            <w:tcW w:w="2430" w:type="dxa"/>
          </w:tcPr>
          <w:p>
            <w:pPr>
              <w:pStyle w:val="Compact"/>
              <w:spacing w:after="40"/>
              <w:jc w:val="left"/>
            </w:pPr>
            <w:r>
              <w:rPr>
                <w:sz w:val="18"/>
              </w:rPr>
              <w:t xml:space="preserve">—</w:t>
            </w:r>
          </w:p>
        </w:tc>
      </w:tr>
    </w:tbl>
    <w:bookmarkEnd w:id="106"/>
    <w:bookmarkStart w:id="107" w:name="a.0.10-security-and-segregation"/>
    <w:p>
      <w:pPr>
        <w:pStyle w:val="Heading3"/>
      </w:pPr>
      <w:r>
        <w:t xml:space="preserve">7A.0.10 Security and segregation</w:t>
      </w:r>
    </w:p>
    <w:p>
      <w:pPr>
        <w:numPr>
          <w:ilvl w:val="0"/>
          <w:numId w:val="1196"/>
        </w:numPr>
        <w:pStyle w:val="Compact"/>
      </w:pPr>
      <w:r>
        <w:t xml:space="preserve">Row-level tenant isolation, plus scoping by legal entity, product, branch and assignment (agencies see only their allocation; counsel only assigned matters).</w:t>
      </w:r>
    </w:p>
    <w:p>
      <w:pPr>
        <w:numPr>
          <w:ilvl w:val="0"/>
          <w:numId w:val="1196"/>
        </w:numPr>
        <w:pStyle w:val="Compact"/>
      </w:pPr>
      <w:r>
        <w:t xml:space="preserve">Documents tagged</w:t>
      </w:r>
      <w:r>
        <w:t xml:space="preserve"> </w:t>
      </w:r>
      <w:r>
        <w:rPr>
          <w:rStyle w:val="VerbatimChar"/>
        </w:rPr>
        <w:t xml:space="preserve">privileged</w:t>
      </w:r>
      <w:r>
        <w:t xml:space="preserve"> </w:t>
      </w:r>
      <w:r>
        <w:t xml:space="preserve">are excluded from AI processing, processor exports and borrower feeds.</w:t>
      </w:r>
    </w:p>
    <w:p>
      <w:pPr>
        <w:numPr>
          <w:ilvl w:val="0"/>
          <w:numId w:val="1196"/>
        </w:numPr>
        <w:pStyle w:val="Compact"/>
      </w:pPr>
      <w:r>
        <w:t xml:space="preserve">Ethical walls: sanctioners cannot approve settlements of their loans (RSA para 16(5)); counsel acting for a borrower are blocked from that borrower’s cases (R11.5).</w:t>
      </w:r>
    </w:p>
    <w:p>
      <w:pPr>
        <w:numPr>
          <w:ilvl w:val="0"/>
          <w:numId w:val="1196"/>
        </w:numPr>
        <w:pStyle w:val="Compact"/>
      </w:pPr>
      <w:r>
        <w:t xml:space="preserve">India-only residency, encryption, signed URLs, watermarking, hash-chained audit trail (M19).</w:t>
      </w:r>
    </w:p>
    <w:p>
      <w:pPr>
        <w:pStyle w:val="FirstParagraph"/>
      </w:pPr>
      <w:r>
        <w:rPr>
          <w:bCs/>
          <w:b/>
        </w:rPr>
        <w:t xml:space="preserve">Tests (7A.0).</w:t>
      </w:r>
      <w:r>
        <w:t xml:space="preserve"> </w:t>
      </w:r>
      <w:r>
        <w:t xml:space="preserve">Attach with a missing prerequisite fails with</w:t>
      </w:r>
      <w:r>
        <w:t xml:space="preserve"> </w:t>
      </w:r>
      <w:r>
        <w:rPr>
          <w:rStyle w:val="VerbatimChar"/>
        </w:rPr>
        <w:t xml:space="preserve">dependency_missing</w:t>
      </w:r>
      <w:r>
        <w:t xml:space="preserve">; detach with an open s.138 clock is blocked until acknowledged; detached tenant can still export the NPA register; re-attach replays gap events in order; a tenant rule that sets the contact window to 07:00 is rejected; flag off for one branch hides UI and rejects API calls for that branch only.</w:t>
      </w:r>
    </w:p>
    <w:p>
      <w:r>
        <w:pict>
          <v:rect style="width:0;height:1.5pt" o:hralign="center" o:hrstd="t" o:hr="t"/>
        </w:pict>
      </w:r>
    </w:p>
    <w:bookmarkEnd w:id="107"/>
    <w:bookmarkEnd w:id="108"/>
    <w:bookmarkStart w:id="119" w:name="X25c082fef0750de03b4751432a27cee0f1d606d"/>
    <w:p>
      <w:pPr>
        <w:pStyle w:val="Heading2"/>
      </w:pPr>
      <w:r>
        <w:t xml:space="preserve">R1. Recovery case management and strategy engine</w:t>
      </w:r>
    </w:p>
    <w:p>
      <w:pPr>
        <w:pStyle w:val="FirstParagraph"/>
      </w:pPr>
      <w:r>
        <w:rPr>
          <w:bCs/>
          <w:b/>
        </w:rPr>
        <w:t xml:space="preserve">Purpose.</w:t>
      </w:r>
      <w:r>
        <w:t xml:space="preserve"> </w:t>
      </w:r>
      <w:r>
        <w:t xml:space="preserve">Open one recovery case per borrower relationship in stress, choose lawful mechanisms, keep every clock running, and drive parallel tracks to closure under delegated authority.</w:t>
      </w:r>
    </w:p>
    <w:bookmarkStart w:id="109" w:name="r1.1-triggers"/>
    <w:p>
      <w:pPr>
        <w:pStyle w:val="Heading3"/>
      </w:pPr>
      <w:r>
        <w:t xml:space="preserve">R1.1 Triggers</w:t>
      </w:r>
    </w:p>
    <w:p>
      <w:pPr>
        <w:numPr>
          <w:ilvl w:val="0"/>
          <w:numId w:val="1197"/>
        </w:numPr>
        <w:pStyle w:val="Compact"/>
      </w:pPr>
      <w:r>
        <w:rPr>
          <w:bCs/>
          <w:b/>
        </w:rPr>
        <w:t xml:space="preserve">Automatic:</w:t>
      </w:r>
      <w:r>
        <w:t xml:space="preserve"> </w:t>
      </w:r>
      <w:r>
        <w:rPr>
          <w:rStyle w:val="VerbatimChar"/>
        </w:rPr>
        <w:t xml:space="preserve">AssetClassificationChanged</w:t>
      </w:r>
      <w:r>
        <w:t xml:space="preserve"> </w:t>
      </w:r>
      <w:r>
        <w:t xml:space="preserve">to NPA;</w:t>
      </w:r>
      <w:r>
        <w:t xml:space="preserve"> </w:t>
      </w:r>
      <w:r>
        <w:rPr>
          <w:rStyle w:val="VerbatimChar"/>
        </w:rPr>
        <w:t xml:space="preserve">DPDChanged</w:t>
      </w:r>
      <w:r>
        <w:t xml:space="preserve"> </w:t>
      </w:r>
      <w:r>
        <w:t xml:space="preserve">into SMA-2 (RSA para 18) where the playbook says so;</w:t>
      </w:r>
      <w:r>
        <w:t xml:space="preserve"> </w:t>
      </w:r>
      <w:r>
        <w:rPr>
          <w:rStyle w:val="VerbatimChar"/>
        </w:rPr>
        <w:t xml:space="preserve">PaymentBounced</w:t>
      </w:r>
      <w:r>
        <w:t xml:space="preserve"> </w:t>
      </w:r>
      <w:r>
        <w:t xml:space="preserve">with a qualifying reason;</w:t>
      </w:r>
      <w:r>
        <w:t xml:space="preserve"> </w:t>
      </w:r>
      <w:r>
        <w:rPr>
          <w:rStyle w:val="VerbatimChar"/>
        </w:rPr>
        <w:t xml:space="preserve">MarginCallLapsed</w:t>
      </w:r>
      <w:r>
        <w:t xml:space="preserve"> </w:t>
      </w:r>
      <w:r>
        <w:t xml:space="preserve">(uncured margin call);</w:t>
      </w:r>
      <w:r>
        <w:t xml:space="preserve"> </w:t>
      </w:r>
      <w:r>
        <w:rPr>
          <w:rStyle w:val="VerbatimChar"/>
        </w:rPr>
        <w:t xml:space="preserve">ClassificationSynced</w:t>
      </w:r>
      <w:r>
        <w:t xml:space="preserve"> </w:t>
      </w:r>
      <w:r>
        <w:t xml:space="preserve">from a co-lender (TDCR para 124);</w:t>
      </w:r>
      <w:r>
        <w:t xml:space="preserve"> </w:t>
      </w:r>
      <w:r>
        <w:rPr>
          <w:rStyle w:val="VerbatimChar"/>
        </w:rPr>
        <w:t xml:space="preserve">RiskSignalRaised</w:t>
      </w:r>
      <w:r>
        <w:t xml:space="preserve"> </w:t>
      </w:r>
      <w:r>
        <w:t xml:space="preserve">(fraud, wilful-default or EWS flag); unpaid bullet gold loan at maturity.</w:t>
      </w:r>
    </w:p>
    <w:p>
      <w:pPr>
        <w:numPr>
          <w:ilvl w:val="0"/>
          <w:numId w:val="1197"/>
        </w:numPr>
        <w:pStyle w:val="Compact"/>
      </w:pPr>
      <w:r>
        <w:rPr>
          <w:bCs/>
          <w:b/>
        </w:rPr>
        <w:t xml:space="preserve">Specific events:</w:t>
      </w:r>
      <w:r>
        <w:t xml:space="preserve"> </w:t>
      </w:r>
      <w:r>
        <w:t xml:space="preserve">death of a borrower or guarantor; insolvency filing by or against the borrower; borrower litigation (s.17, writ, consumer complaint);</w:t>
      </w:r>
      <w:r>
        <w:t xml:space="preserve"> </w:t>
      </w:r>
      <w:r>
        <w:rPr>
          <w:rStyle w:val="VerbatimChar"/>
        </w:rPr>
        <w:t xml:space="preserve">CollateralValuationUpdated</w:t>
      </w:r>
      <w:r>
        <w:t xml:space="preserve"> </w:t>
      </w:r>
      <w:r>
        <w:t xml:space="preserve">below threshold; DLG invocation window approaching (CF para 27(1)).</w:t>
      </w:r>
    </w:p>
    <w:p>
      <w:pPr>
        <w:numPr>
          <w:ilvl w:val="0"/>
          <w:numId w:val="1197"/>
        </w:numPr>
        <w:pStyle w:val="Compact"/>
      </w:pPr>
      <w:r>
        <w:rPr>
          <w:bCs/>
          <w:b/>
        </w:rPr>
        <w:t xml:space="preserve">Manual:</w:t>
      </w:r>
      <w:r>
        <w:t xml:space="preserve"> </w:t>
      </w:r>
      <w:r>
        <w:t xml:space="preserve">Recovery Head with a reason code.</w:t>
      </w:r>
    </w:p>
    <w:bookmarkEnd w:id="109"/>
    <w:bookmarkStart w:id="110" w:name="r1.2-case-model"/>
    <w:p>
      <w:pPr>
        <w:pStyle w:val="Heading3"/>
      </w:pPr>
      <w:r>
        <w:t xml:space="preserve">R1.2 Case model</w:t>
      </w:r>
    </w:p>
    <w:p>
      <w:pPr>
        <w:numPr>
          <w:ilvl w:val="0"/>
          <w:numId w:val="1198"/>
        </w:numPr>
        <w:pStyle w:val="Compact"/>
      </w:pPr>
      <w:r>
        <w:rPr>
          <w:rStyle w:val="VerbatimChar"/>
        </w:rPr>
        <w:t xml:space="preserve">recovery_case</w:t>
      </w:r>
      <w:r>
        <w:t xml:space="preserve">: borrower-level (IRACP borrower-wise classification), linking facilities, co-obligors, guarantors, securities, instruments (PDCs, mandates), co-lending shares and DLG cover.</w:t>
      </w:r>
    </w:p>
    <w:p>
      <w:pPr>
        <w:numPr>
          <w:ilvl w:val="0"/>
          <w:numId w:val="1198"/>
        </w:numPr>
        <w:pStyle w:val="Compact"/>
      </w:pPr>
      <w:r>
        <w:t xml:space="preserve">Claim snapshot by component as at a stated date; penal charges never capitalised (RBC para 30).</w:t>
      </w:r>
    </w:p>
    <w:p>
      <w:pPr>
        <w:numPr>
          <w:ilvl w:val="0"/>
          <w:numId w:val="1198"/>
        </w:numPr>
        <w:pStyle w:val="Compact"/>
      </w:pPr>
      <w:r>
        <w:rPr>
          <w:rStyle w:val="VerbatimChar"/>
        </w:rPr>
        <w:t xml:space="preserve">track</w:t>
      </w:r>
      <w:r>
        <w:t xml:space="preserve">: one per mechanism in play, each with its own state machine in R3–R10.</w:t>
      </w:r>
    </w:p>
    <w:p>
      <w:pPr>
        <w:numPr>
          <w:ilvl w:val="0"/>
          <w:numId w:val="1198"/>
        </w:numPr>
        <w:pStyle w:val="Compact"/>
      </w:pPr>
      <w:r>
        <w:t xml:space="preserve">Flags:</w:t>
      </w:r>
      <w:r>
        <w:t xml:space="preserve"> </w:t>
      </w:r>
      <w:r>
        <w:rPr>
          <w:rStyle w:val="VerbatimChar"/>
        </w:rPr>
        <w:t xml:space="preserve">fraud</w:t>
      </w:r>
      <w:r>
        <w:t xml:space="preserve">,</w:t>
      </w:r>
      <w:r>
        <w:t xml:space="preserve"> </w:t>
      </w:r>
      <w:r>
        <w:rPr>
          <w:rStyle w:val="VerbatimChar"/>
        </w:rPr>
        <w:t xml:space="preserve">wd</w:t>
      </w:r>
      <w:r>
        <w:t xml:space="preserve">,</w:t>
      </w:r>
      <w:r>
        <w:t xml:space="preserve"> </w:t>
      </w:r>
      <w:r>
        <w:rPr>
          <w:rStyle w:val="VerbatimChar"/>
        </w:rPr>
        <w:t xml:space="preserve">ibc_state</w:t>
      </w:r>
      <w:r>
        <w:t xml:space="preserve"> </w:t>
      </w:r>
      <w:r>
        <w:t xml:space="preserve">(none, s7_pending, CIRP, liquidation, PG application),</w:t>
      </w:r>
      <w:r>
        <w:t xml:space="preserve"> </w:t>
      </w:r>
      <w:r>
        <w:rPr>
          <w:rStyle w:val="VerbatimChar"/>
        </w:rPr>
        <w:t xml:space="preserve">moratorium</w:t>
      </w:r>
      <w:r>
        <w:t xml:space="preserve">,</w:t>
      </w:r>
      <w:r>
        <w:t xml:space="preserve"> </w:t>
      </w:r>
      <w:r>
        <w:rPr>
          <w:rStyle w:val="VerbatimChar"/>
        </w:rPr>
        <w:t xml:space="preserve">deceased</w:t>
      </w:r>
      <w:r>
        <w:t xml:space="preserve">,</w:t>
      </w:r>
      <w:r>
        <w:t xml:space="preserve"> </w:t>
      </w:r>
      <w:r>
        <w:rPr>
          <w:rStyle w:val="VerbatimChar"/>
        </w:rPr>
        <w:t xml:space="preserve">litigation_hold</w:t>
      </w:r>
      <w:r>
        <w:t xml:space="preserve">,</w:t>
      </w:r>
      <w:r>
        <w:t xml:space="preserve"> </w:t>
      </w:r>
      <w:r>
        <w:rPr>
          <w:rStyle w:val="VerbatimChar"/>
        </w:rPr>
        <w:t xml:space="preserve">co_lent</w:t>
      </w:r>
      <w:r>
        <w:t xml:space="preserve">,</w:t>
      </w:r>
      <w:r>
        <w:t xml:space="preserve"> </w:t>
      </w:r>
      <w:r>
        <w:rPr>
          <w:rStyle w:val="VerbatimChar"/>
        </w:rPr>
        <w:t xml:space="preserve">transferred</w:t>
      </w:r>
      <w:r>
        <w:t xml:space="preserve">,</w:t>
      </w:r>
      <w:r>
        <w:t xml:space="preserve"> </w:t>
      </w:r>
      <w:r>
        <w:rPr>
          <w:rStyle w:val="VerbatimChar"/>
        </w:rPr>
        <w:t xml:space="preserve">securitised</w:t>
      </w:r>
      <w:r>
        <w:t xml:space="preserve">,</w:t>
      </w:r>
      <w:r>
        <w:t xml:space="preserve"> </w:t>
      </w:r>
      <w:r>
        <w:rPr>
          <w:rStyle w:val="VerbatimChar"/>
        </w:rPr>
        <w:t xml:space="preserve">dlg_covered</w:t>
      </w:r>
      <w:r>
        <w:t xml:space="preserve">,</w:t>
      </w:r>
      <w:r>
        <w:t xml:space="preserve"> </w:t>
      </w:r>
      <w:r>
        <w:rPr>
          <w:rStyle w:val="VerbatimChar"/>
        </w:rPr>
        <w:t xml:space="preserve">msme</w:t>
      </w:r>
      <w:r>
        <w:t xml:space="preserve">,</w:t>
      </w:r>
      <w:r>
        <w:t xml:space="preserve"> </w:t>
      </w:r>
      <w:r>
        <w:rPr>
          <w:rStyle w:val="VerbatimChar"/>
        </w:rPr>
        <w:t xml:space="preserve">cgtmse</w:t>
      </w:r>
      <w:r>
        <w:t xml:space="preserve">.</w:t>
      </w:r>
    </w:p>
    <w:bookmarkEnd w:id="110"/>
    <w:bookmarkStart w:id="111" w:name="r1.3-case-states"/>
    <w:p>
      <w:pPr>
        <w:pStyle w:val="Heading3"/>
      </w:pPr>
      <w:r>
        <w:t xml:space="preserve">R1.3 Case states</w:t>
      </w:r>
    </w:p>
    <w:p>
      <w:pPr>
        <w:pStyle w:val="FirstParagraph"/>
      </w:pPr>
      <w:r>
        <w:rPr>
          <w:rStyle w:val="VerbatimChar"/>
        </w:rPr>
        <w:t xml:space="preserve">OPENED → ASSESSMENT → STRATEGY_APPROVED → PRE_LEGAL → LEGAL_ACTIVE → RESOLUTION_IN_PROGRESS → RESOLVED → CLOSED</w:t>
      </w:r>
      <w:r>
        <w:t xml:space="preserve"> </w:t>
      </w:r>
      <w:r>
        <w:t xml:space="preserve">with side states</w:t>
      </w:r>
      <w:r>
        <w:t xml:space="preserve"> </w:t>
      </w:r>
      <w:r>
        <w:rPr>
          <w:rStyle w:val="VerbatimChar"/>
        </w:rPr>
        <w:t xml:space="preserve">ON_HOLD (moratorium, court stay, ADR standstill)</w:t>
      </w:r>
      <w:r>
        <w:t xml:space="preserve">,</w:t>
      </w:r>
      <w:r>
        <w:t xml:space="preserve"> </w:t>
      </w:r>
      <w:r>
        <w:rPr>
          <w:rStyle w:val="VerbatimChar"/>
        </w:rPr>
        <w:t xml:space="preserve">TRANSFERRED_OUT (ARC or assignee)</w:t>
      </w:r>
      <w:r>
        <w:t xml:space="preserve">,</w:t>
      </w:r>
      <w:r>
        <w:t xml:space="preserve"> </w:t>
      </w:r>
      <w:r>
        <w:rPr>
          <w:rStyle w:val="VerbatimChar"/>
        </w:rPr>
        <w:t xml:space="preserve">WRITTEN_OFF_TECHNICAL (enforcement continues)</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095"/>
        <w:gridCol w:w="6543"/>
      </w:tblGrid>
      <w:tr>
        <w:trPr>
          <w:tblHeader w:val="true"/>
          <w:tblHeader w:val="true"/>
        </w:trPr>
        <w:tc>
          <w:tcPr>
            <w:tcW w:w="3095" w:type="dxa"/>
            <w:shd w:val="clear" w:color="auto" w:fill="1F3A5F"/>
          </w:tcPr>
          <w:p>
            <w:pPr>
              <w:pStyle w:val="Compact"/>
              <w:spacing w:after="40"/>
              <w:jc w:val="left"/>
            </w:pPr>
            <w:r>
              <w:rPr>
                <w:b/>
                <w:color w:val="FFFFFF"/>
                <w:sz w:val="18"/>
              </w:rPr>
              <w:t xml:space="preserve">Transition</w:t>
            </w:r>
          </w:p>
        </w:tc>
        <w:tc>
          <w:tcPr>
            <w:tcW w:w="6543" w:type="dxa"/>
            <w:shd w:val="clear" w:color="auto" w:fill="1F3A5F"/>
          </w:tcPr>
          <w:p>
            <w:pPr>
              <w:pStyle w:val="Compact"/>
              <w:spacing w:after="40"/>
              <w:jc w:val="left"/>
            </w:pPr>
            <w:r>
              <w:rPr>
                <w:b/>
                <w:color w:val="FFFFFF"/>
                <w:sz w:val="18"/>
              </w:rPr>
              <w:t xml:space="preserve">Rule</w:t>
            </w:r>
          </w:p>
        </w:tc>
      </w:tr>
      <w:tr>
        <w:tc>
          <w:tcPr>
            <w:tcW w:w="3095" w:type="dxa"/>
          </w:tcPr>
          <w:p>
            <w:pPr>
              <w:pStyle w:val="Compact"/>
              <w:spacing w:after="40"/>
              <w:jc w:val="left"/>
            </w:pPr>
            <w:r>
              <w:rPr>
                <w:sz w:val="18"/>
              </w:rPr>
              <w:t xml:space="preserve">OPENED → ASSESSMENT</w:t>
            </w:r>
          </w:p>
        </w:tc>
        <w:tc>
          <w:tcPr>
            <w:tcW w:w="6543" w:type="dxa"/>
          </w:tcPr>
          <w:p>
            <w:pPr>
              <w:pStyle w:val="Compact"/>
              <w:spacing w:after="40"/>
              <w:jc w:val="left"/>
            </w:pPr>
            <w:r>
              <w:rPr>
                <w:sz w:val="18"/>
              </w:rPr>
              <w:t xml:space="preserve">Mechanism and limitation engines run; borrower 360 assembled</w:t>
            </w:r>
          </w:p>
        </w:tc>
      </w:tr>
      <w:tr>
        <w:tc>
          <w:tcPr>
            <w:tcW w:w="3095" w:type="dxa"/>
          </w:tcPr>
          <w:p>
            <w:pPr>
              <w:pStyle w:val="Compact"/>
              <w:spacing w:after="40"/>
              <w:jc w:val="left"/>
            </w:pPr>
            <w:r>
              <w:rPr>
                <w:sz w:val="18"/>
              </w:rPr>
              <w:t xml:space="preserve">ASSESSMENT → STRATEGY_APPROVED</w:t>
            </w:r>
          </w:p>
        </w:tc>
        <w:tc>
          <w:tcPr>
            <w:tcW w:w="6543" w:type="dxa"/>
          </w:tcPr>
          <w:p>
            <w:pPr>
              <w:pStyle w:val="Compact"/>
              <w:spacing w:after="40"/>
              <w:jc w:val="left"/>
            </w:pPr>
            <w:r>
              <w:rPr>
                <w:sz w:val="18"/>
              </w:rPr>
              <w:t xml:space="preserve">Strategy approved within DoA (maker-checker)</w:t>
            </w:r>
          </w:p>
        </w:tc>
      </w:tr>
      <w:tr>
        <w:tc>
          <w:tcPr>
            <w:tcW w:w="3095" w:type="dxa"/>
          </w:tcPr>
          <w:p>
            <w:pPr>
              <w:pStyle w:val="Compact"/>
              <w:spacing w:after="40"/>
              <w:jc w:val="left"/>
            </w:pPr>
            <w:r>
              <w:rPr>
                <w:sz w:val="18"/>
              </w:rPr>
              <w:t xml:space="preserve">any → ON_HOLD</w:t>
            </w:r>
          </w:p>
        </w:tc>
        <w:tc>
          <w:tcPr>
            <w:tcW w:w="6543" w:type="dxa"/>
          </w:tcPr>
          <w:p>
            <w:pPr>
              <w:pStyle w:val="Compact"/>
              <w:spacing w:after="40"/>
              <w:jc w:val="left"/>
            </w:pPr>
            <w:r>
              <w:rPr>
                <w:sz w:val="18"/>
              </w:rPr>
              <w:t xml:space="preserve">IBC moratorium (IBC ss.14, 101), court stay, or ADR standstill; all enforcement steps against the protected party freeze automatically</w:t>
            </w:r>
          </w:p>
        </w:tc>
      </w:tr>
      <w:tr>
        <w:tc>
          <w:tcPr>
            <w:tcW w:w="3095" w:type="dxa"/>
          </w:tcPr>
          <w:p>
            <w:pPr>
              <w:pStyle w:val="Compact"/>
              <w:spacing w:after="40"/>
              <w:jc w:val="left"/>
            </w:pPr>
            <w:r>
              <w:rPr>
                <w:sz w:val="18"/>
              </w:rPr>
              <w:t xml:space="preserve">any → TRANSFERRED_OUT</w:t>
            </w:r>
          </w:p>
        </w:tc>
        <w:tc>
          <w:tcPr>
            <w:tcW w:w="6543" w:type="dxa"/>
          </w:tcPr>
          <w:p>
            <w:pPr>
              <w:pStyle w:val="Compact"/>
              <w:spacing w:after="40"/>
              <w:jc w:val="left"/>
            </w:pPr>
            <w:r>
              <w:rPr>
                <w:rStyle w:val="VerbatimChar"/>
                <w:sz w:val="18"/>
              </w:rPr>
              <w:t xml:space="preserve">LoanTransferred</w:t>
            </w:r>
            <w:r>
              <w:rPr>
                <w:sz w:val="18"/>
              </w:rPr>
              <w:t xml:space="preserve"> </w:t>
            </w:r>
            <w:r>
              <w:rPr>
                <w:sz w:val="18"/>
              </w:rPr>
              <w:t xml:space="preserve">to ARC or assignee; pending matters marked for substitution (TDCR para 78)</w:t>
            </w:r>
          </w:p>
        </w:tc>
      </w:tr>
      <w:tr>
        <w:tc>
          <w:tcPr>
            <w:tcW w:w="3095" w:type="dxa"/>
          </w:tcPr>
          <w:p>
            <w:pPr>
              <w:pStyle w:val="Compact"/>
              <w:spacing w:after="40"/>
              <w:jc w:val="left"/>
            </w:pPr>
            <w:r>
              <w:rPr>
                <w:sz w:val="18"/>
              </w:rPr>
              <w:t xml:space="preserve">RESOLVED → CLOSED</w:t>
            </w:r>
          </w:p>
        </w:tc>
        <w:tc>
          <w:tcPr>
            <w:tcW w:w="6543" w:type="dxa"/>
          </w:tcPr>
          <w:p>
            <w:pPr>
              <w:pStyle w:val="Compact"/>
              <w:spacing w:after="40"/>
              <w:jc w:val="left"/>
            </w:pPr>
            <w:r>
              <w:rPr>
                <w:sz w:val="18"/>
              </w:rPr>
              <w:t xml:space="preserve">Zero dues or approved settlement fully paid; all tracks closed;</w:t>
            </w:r>
            <w:r>
              <w:rPr>
                <w:sz w:val="18"/>
              </w:rPr>
              <w:t xml:space="preserve"> </w:t>
            </w:r>
            <w:r>
              <w:rPr>
                <w:rStyle w:val="VerbatimChar"/>
                <w:sz w:val="18"/>
              </w:rPr>
              <w:t xml:space="preserve">NOCIssued</w:t>
            </w:r>
            <w:r>
              <w:rPr>
                <w:sz w:val="18"/>
              </w:rPr>
              <w:t xml:space="preserve">; securities released (RBC paras 17, 35)</w:t>
            </w:r>
          </w:p>
        </w:tc>
      </w:tr>
    </w:tbl>
    <w:p>
      <w:pPr>
        <w:pStyle w:val="BodyText"/>
      </w:pPr>
      <w:r>
        <w:rPr>
          <w:bCs/>
          <w:b/>
        </w:rPr>
        <w:t xml:space="preserve">Emits:</w:t>
      </w:r>
      <w:r>
        <w:t xml:space="preserve"> </w:t>
      </w:r>
      <w:r>
        <w:rPr>
          <w:rStyle w:val="VerbatimChar"/>
        </w:rPr>
        <w:t xml:space="preserve">RecoveryCaseOpened</w:t>
      </w:r>
      <w:r>
        <w:t xml:space="preserve">,</w:t>
      </w:r>
      <w:r>
        <w:t xml:space="preserve"> </w:t>
      </w:r>
      <w:r>
        <w:rPr>
          <w:rStyle w:val="VerbatimChar"/>
        </w:rPr>
        <w:t xml:space="preserve">RecoveryStrategyChanged</w:t>
      </w:r>
      <w:r>
        <w:t xml:space="preserve">,</w:t>
      </w:r>
      <w:r>
        <w:t xml:space="preserve"> </w:t>
      </w:r>
      <w:r>
        <w:rPr>
          <w:rStyle w:val="VerbatimChar"/>
        </w:rPr>
        <w:t xml:space="preserve">RecoveryCaseClosed</w:t>
      </w:r>
      <w:r>
        <w:t xml:space="preserve">.</w:t>
      </w:r>
    </w:p>
    <w:bookmarkEnd w:id="111"/>
    <w:bookmarkStart w:id="112" w:name="r1.4-mechanism-selection-engine"/>
    <w:p>
      <w:pPr>
        <w:pStyle w:val="Heading3"/>
      </w:pPr>
      <w:r>
        <w:t xml:space="preserve">R1.4 Mechanism-selection engine</w:t>
      </w:r>
    </w:p>
    <w:p>
      <w:pPr>
        <w:numPr>
          <w:ilvl w:val="0"/>
          <w:numId w:val="1199"/>
        </w:numPr>
        <w:pStyle w:val="Compact"/>
      </w:pPr>
      <w:r>
        <w:rPr>
          <w:bCs/>
          <w:b/>
        </w:rPr>
        <w:t xml:space="preserve">Inputs:</w:t>
      </w:r>
      <w:r>
        <w:t xml:space="preserve"> </w:t>
      </w:r>
      <w:r>
        <w:t xml:space="preserve">lender type and notifications; borrower constitution and corporate-debtor status (excluding financial service providers); security type, owner, value, CERSAI registration and valuation date; amount by component; product; limitation status; co-lending, transfer and securitisation status; ADR clause (institution named, unilateral, absent) and post-dispute consent; borrower behaviour (contactable, evasive, untraceable, fraud indicators); IBC state; fraud and WD flags; pending proceedings.</w:t>
      </w:r>
    </w:p>
    <w:p>
      <w:pPr>
        <w:numPr>
          <w:ilvl w:val="0"/>
          <w:numId w:val="1199"/>
        </w:numPr>
        <w:pStyle w:val="Compact"/>
      </w:pPr>
      <w:r>
        <w:rPr>
          <w:bCs/>
          <w:b/>
        </w:rPr>
        <w:t xml:space="preserve">Output</w:t>
      </w:r>
      <w:r>
        <w:t xml:space="preserve"> </w:t>
      </w:r>
      <w:r>
        <w:t xml:space="preserve">(re-evaluated on every material event): every mechanism as</w:t>
      </w:r>
      <w:r>
        <w:t xml:space="preserve"> </w:t>
      </w:r>
      <w:r>
        <w:rPr>
          <w:rStyle w:val="VerbatimChar"/>
        </w:rPr>
        <w:t xml:space="preserve">permitted</w:t>
      </w:r>
      <w:r>
        <w:t xml:space="preserve">,</w:t>
      </w:r>
      <w:r>
        <w:t xml:space="preserve"> </w:t>
      </w:r>
      <w:r>
        <w:rPr>
          <w:rStyle w:val="VerbatimChar"/>
        </w:rPr>
        <w:t xml:space="preserve">blocked</w:t>
      </w:r>
      <w:r>
        <w:t xml:space="preserve"> </w:t>
      </w:r>
      <w:r>
        <w:t xml:space="preserve">(rule and citation) or</w:t>
      </w:r>
      <w:r>
        <w:t xml:space="preserve"> </w:t>
      </w:r>
      <w:r>
        <w:rPr>
          <w:rStyle w:val="VerbatimChar"/>
        </w:rPr>
        <w:t xml:space="preserve">recommended</w:t>
      </w:r>
      <w:r>
        <w:t xml:space="preserve"> </w:t>
      </w:r>
      <w:r>
        <w:t xml:space="preserve">(ranked reasons with expected cost, time and recovery from R14). Overrides need a reason and approval and are logged.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19"/>
        <w:gridCol w:w="3782"/>
        <w:gridCol w:w="4137"/>
      </w:tblGrid>
      <w:tr>
        <w:trPr>
          <w:tblHeader w:val="true"/>
          <w:tblHeader w:val="true"/>
        </w:trPr>
        <w:tc>
          <w:tcPr>
            <w:tcW w:w="1719" w:type="dxa"/>
            <w:shd w:val="clear" w:color="auto" w:fill="1F3A5F"/>
          </w:tcPr>
          <w:p>
            <w:pPr>
              <w:pStyle w:val="Compact"/>
              <w:spacing w:after="40"/>
              <w:jc w:val="left"/>
            </w:pPr>
            <w:r>
              <w:rPr>
                <w:b/>
                <w:color w:val="FFFFFF"/>
                <w:sz w:val="18"/>
              </w:rPr>
              <w:t xml:space="preserve">Mechanism</w:t>
            </w:r>
          </w:p>
        </w:tc>
        <w:tc>
          <w:tcPr>
            <w:tcW w:w="3782" w:type="dxa"/>
            <w:shd w:val="clear" w:color="auto" w:fill="1F3A5F"/>
          </w:tcPr>
          <w:p>
            <w:pPr>
              <w:pStyle w:val="Compact"/>
              <w:spacing w:after="40"/>
              <w:jc w:val="left"/>
            </w:pPr>
            <w:r>
              <w:rPr>
                <w:b/>
                <w:color w:val="FFFFFF"/>
                <w:sz w:val="18"/>
              </w:rPr>
              <w:t xml:space="preserve">Eligibility (all must hold)</w:t>
            </w:r>
          </w:p>
        </w:tc>
        <w:tc>
          <w:tcPr>
            <w:tcW w:w="4137" w:type="dxa"/>
            <w:shd w:val="clear" w:color="auto" w:fill="1F3A5F"/>
          </w:tcPr>
          <w:p>
            <w:pPr>
              <w:pStyle w:val="Compact"/>
              <w:spacing w:after="40"/>
              <w:jc w:val="left"/>
            </w:pPr>
            <w:r>
              <w:rPr>
                <w:b/>
                <w:color w:val="FFFFFF"/>
                <w:sz w:val="18"/>
              </w:rPr>
              <w:t xml:space="preserve">Blockers</w:t>
            </w:r>
          </w:p>
        </w:tc>
      </w:tr>
      <w:tr>
        <w:tc>
          <w:tcPr>
            <w:tcW w:w="1719" w:type="dxa"/>
          </w:tcPr>
          <w:p>
            <w:pPr>
              <w:pStyle w:val="Compact"/>
              <w:spacing w:after="40"/>
              <w:jc w:val="left"/>
            </w:pPr>
            <w:r>
              <w:rPr>
                <w:sz w:val="18"/>
              </w:rPr>
              <w:t xml:space="preserve">SARFAESI s.13</w:t>
            </w:r>
          </w:p>
        </w:tc>
        <w:tc>
          <w:tcPr>
            <w:tcW w:w="3782" w:type="dxa"/>
          </w:tcPr>
          <w:p>
            <w:pPr>
              <w:pStyle w:val="Compact"/>
              <w:spacing w:after="40"/>
              <w:jc w:val="left"/>
            </w:pPr>
            <w:r>
              <w:rPr>
                <w:rStyle w:val="VerbatimChar"/>
                <w:sz w:val="18"/>
              </w:rPr>
              <w:t xml:space="preserve">sarfaesi_notified</w:t>
            </w:r>
            <w:r>
              <w:rPr>
                <w:sz w:val="18"/>
              </w:rPr>
              <w:t xml:space="preserve">; NPA; secured debt; for NBFC claim ≥ ₹20 lakh (S.O. 652(E), 12 Feb 2021); amount due ≥ 20% of principal plus interest and financial asset above ₹1 lakh (s.31(h), (j))</w:t>
            </w:r>
          </w:p>
        </w:tc>
        <w:tc>
          <w:tcPr>
            <w:tcW w:w="4137" w:type="dxa"/>
          </w:tcPr>
          <w:p>
            <w:pPr>
              <w:pStyle w:val="Compact"/>
              <w:spacing w:after="40"/>
              <w:jc w:val="left"/>
            </w:pPr>
            <w:r>
              <w:rPr>
                <w:sz w:val="18"/>
              </w:rPr>
              <w:t xml:space="preserve">No CERSAI registration (s.26D); time-barred (s.36); pledge, lien, agricultural land, HP or lease without security interest, aircraft, vessel (s.31); IBC moratorium; joint security without 60% by value (s.13(9))</w:t>
            </w:r>
          </w:p>
        </w:tc>
      </w:tr>
      <w:tr>
        <w:tc>
          <w:tcPr>
            <w:tcW w:w="1719" w:type="dxa"/>
          </w:tcPr>
          <w:p>
            <w:pPr>
              <w:pStyle w:val="Compact"/>
              <w:spacing w:after="40"/>
              <w:jc w:val="left"/>
            </w:pPr>
            <w:r>
              <w:rPr>
                <w:sz w:val="18"/>
              </w:rPr>
              <w:t xml:space="preserve">DRT original application</w:t>
            </w:r>
          </w:p>
        </w:tc>
        <w:tc>
          <w:tcPr>
            <w:tcW w:w="3782" w:type="dxa"/>
          </w:tcPr>
          <w:p>
            <w:pPr>
              <w:pStyle w:val="Compact"/>
              <w:spacing w:after="40"/>
              <w:jc w:val="left"/>
            </w:pPr>
            <w:r>
              <w:rPr>
                <w:sz w:val="18"/>
              </w:rPr>
              <w:t xml:space="preserve">Bank, AIFI or institution notified under RDB s.2(h)(ii); debt ≥ ₹20 lakh (S.O. 4312(E), 6 Sep 2018)</w:t>
            </w:r>
          </w:p>
        </w:tc>
        <w:tc>
          <w:tcPr>
            <w:tcW w:w="4137" w:type="dxa"/>
          </w:tcPr>
          <w:p>
            <w:pPr>
              <w:pStyle w:val="Compact"/>
              <w:spacing w:after="40"/>
              <w:jc w:val="left"/>
            </w:pPr>
            <w:r>
              <w:rPr>
                <w:sz w:val="18"/>
              </w:rPr>
              <w:t xml:space="preserve">Un-notified NBFC or HFC (</w:t>
            </w:r>
            <w:r>
              <w:rPr>
                <w:iCs/>
                <w:i/>
                <w:sz w:val="18"/>
              </w:rPr>
              <w:t xml:space="preserve">Tata Motors Finance v. Naushad Khan</w:t>
            </w:r>
            <w:r>
              <w:rPr>
                <w:sz w:val="18"/>
              </w:rPr>
              <w:t xml:space="preserve">, Bom HC 2023;</w:t>
            </w:r>
            <w:r>
              <w:rPr>
                <w:sz w:val="18"/>
              </w:rPr>
              <w:t xml:space="preserve"> </w:t>
            </w:r>
            <w:r>
              <w:rPr>
                <w:iCs/>
                <w:i/>
                <w:sz w:val="18"/>
              </w:rPr>
              <w:t xml:space="preserve">Aditya Birla Finance v. Anjali Nag</w:t>
            </w:r>
            <w:r>
              <w:rPr>
                <w:sz w:val="18"/>
              </w:rPr>
              <w:t xml:space="preserve">, Del HC 2024); moratorium</w:t>
            </w:r>
          </w:p>
        </w:tc>
      </w:tr>
      <w:tr>
        <w:tc>
          <w:tcPr>
            <w:tcW w:w="1719" w:type="dxa"/>
          </w:tcPr>
          <w:p>
            <w:pPr>
              <w:pStyle w:val="Compact"/>
              <w:spacing w:after="40"/>
              <w:jc w:val="left"/>
            </w:pPr>
            <w:r>
              <w:rPr>
                <w:sz w:val="18"/>
              </w:rPr>
              <w:t xml:space="preserve">Civil or commercial suit; Order XXXVII</w:t>
            </w:r>
          </w:p>
        </w:tc>
        <w:tc>
          <w:tcPr>
            <w:tcW w:w="3782" w:type="dxa"/>
          </w:tcPr>
          <w:p>
            <w:pPr>
              <w:pStyle w:val="Compact"/>
              <w:spacing w:after="40"/>
              <w:jc w:val="left"/>
            </w:pPr>
            <w:r>
              <w:rPr>
                <w:sz w:val="18"/>
              </w:rPr>
              <w:t xml:space="preserve">Any lender; specified value ≥ ₹3 lakh goes to the Commercial Court with s.12A pre-institution mediation unless urgent relief</w:t>
            </w:r>
          </w:p>
        </w:tc>
        <w:tc>
          <w:tcPr>
            <w:tcW w:w="4137" w:type="dxa"/>
          </w:tcPr>
          <w:p>
            <w:pPr>
              <w:pStyle w:val="Compact"/>
              <w:spacing w:after="40"/>
              <w:jc w:val="left"/>
            </w:pPr>
            <w:r>
              <w:rPr>
                <w:sz w:val="18"/>
              </w:rPr>
              <w:t xml:space="preserve">RDB s.18 bar for an RDB-eligible lender with ≥ ₹20 lakh; SARFAESI s.34 bar on matters the DRT may decide</w:t>
            </w:r>
          </w:p>
        </w:tc>
      </w:tr>
      <w:tr>
        <w:tc>
          <w:tcPr>
            <w:tcW w:w="1719" w:type="dxa"/>
          </w:tcPr>
          <w:p>
            <w:pPr>
              <w:pStyle w:val="Compact"/>
              <w:spacing w:after="40"/>
              <w:jc w:val="left"/>
            </w:pPr>
            <w:r>
              <w:rPr>
                <w:sz w:val="18"/>
              </w:rPr>
              <w:t xml:space="preserve">IBC s.7</w:t>
            </w:r>
          </w:p>
        </w:tc>
        <w:tc>
          <w:tcPr>
            <w:tcW w:w="3782" w:type="dxa"/>
          </w:tcPr>
          <w:p>
            <w:pPr>
              <w:pStyle w:val="Compact"/>
              <w:spacing w:after="40"/>
              <w:jc w:val="left"/>
            </w:pPr>
            <w:r>
              <w:rPr>
                <w:sz w:val="18"/>
              </w:rPr>
              <w:t xml:space="preserve">Financial creditor; corporate debtor that is not a financial service provider; default ≥ ₹1 crore; within 3 years of default (Art.137)</w:t>
            </w:r>
          </w:p>
        </w:tc>
        <w:tc>
          <w:tcPr>
            <w:tcW w:w="4137" w:type="dxa"/>
          </w:tcPr>
          <w:p>
            <w:pPr>
              <w:pStyle w:val="Compact"/>
              <w:spacing w:after="40"/>
              <w:jc w:val="left"/>
            </w:pPr>
            <w:r>
              <w:rPr>
                <w:sz w:val="18"/>
              </w:rPr>
              <w:t xml:space="preserve">Moratorium already running; CIIRP (not in force)</w:t>
            </w:r>
          </w:p>
        </w:tc>
      </w:tr>
      <w:tr>
        <w:tc>
          <w:tcPr>
            <w:tcW w:w="1719" w:type="dxa"/>
          </w:tcPr>
          <w:p>
            <w:pPr>
              <w:pStyle w:val="Compact"/>
              <w:spacing w:after="40"/>
              <w:jc w:val="left"/>
            </w:pPr>
            <w:r>
              <w:rPr>
                <w:sz w:val="18"/>
              </w:rPr>
              <w:t xml:space="preserve">Personal-guarantor insolvency s.95</w:t>
            </w:r>
          </w:p>
        </w:tc>
        <w:tc>
          <w:tcPr>
            <w:tcW w:w="3782" w:type="dxa"/>
          </w:tcPr>
          <w:p>
            <w:pPr>
              <w:pStyle w:val="Compact"/>
              <w:spacing w:after="40"/>
              <w:jc w:val="left"/>
            </w:pPr>
            <w:r>
              <w:rPr>
                <w:sz w:val="18"/>
              </w:rPr>
              <w:t xml:space="preserve">Guarantee invoked; 14-day demand unpaid; filed at NCLT (</w:t>
            </w:r>
            <w:r>
              <w:rPr>
                <w:iCs/>
                <w:i/>
                <w:sz w:val="18"/>
              </w:rPr>
              <w:t xml:space="preserve">SBI v. Mahendra Kumar Jajodia</w:t>
            </w:r>
            <w:r>
              <w:rPr>
                <w:sz w:val="18"/>
              </w:rPr>
              <w:t xml:space="preserve">, SC 2022)</w:t>
            </w:r>
          </w:p>
        </w:tc>
        <w:tc>
          <w:tcPr>
            <w:tcW w:w="4137" w:type="dxa"/>
          </w:tcPr>
          <w:p>
            <w:pPr>
              <w:pStyle w:val="Compact"/>
              <w:spacing w:after="40"/>
              <w:jc w:val="left"/>
            </w:pPr>
            <w:r>
              <w:rPr>
                <w:sz w:val="18"/>
              </w:rPr>
              <w:t xml:space="preserve">No interim moratorium is available against a PG to a corporate debtor (IBC s.96(4), from 26 May 2026)</w:t>
            </w:r>
          </w:p>
        </w:tc>
      </w:tr>
      <w:tr>
        <w:tc>
          <w:tcPr>
            <w:tcW w:w="1719" w:type="dxa"/>
          </w:tcPr>
          <w:p>
            <w:pPr>
              <w:pStyle w:val="Compact"/>
              <w:spacing w:after="40"/>
              <w:jc w:val="left"/>
            </w:pPr>
            <w:r>
              <w:rPr>
                <w:sz w:val="18"/>
              </w:rPr>
              <w:t xml:space="preserve">s.138 NI Act / s.25 PSS Act</w:t>
            </w:r>
          </w:p>
        </w:tc>
        <w:tc>
          <w:tcPr>
            <w:tcW w:w="3782" w:type="dxa"/>
          </w:tcPr>
          <w:p>
            <w:pPr>
              <w:pStyle w:val="Compact"/>
              <w:spacing w:after="40"/>
              <w:jc w:val="left"/>
            </w:pPr>
            <w:r>
              <w:rPr>
                <w:sz w:val="18"/>
              </w:rPr>
              <w:t xml:space="preserve">Cheque or e-mandate returned for a qualifying reason; notice within 30 days of information; complaint within one month of cause of action</w:t>
            </w:r>
          </w:p>
        </w:tc>
        <w:tc>
          <w:tcPr>
            <w:tcW w:w="4137" w:type="dxa"/>
          </w:tcPr>
          <w:p>
            <w:pPr>
              <w:pStyle w:val="Compact"/>
              <w:spacing w:after="40"/>
              <w:jc w:val="left"/>
            </w:pPr>
            <w:r>
              <w:rPr>
                <w:sz w:val="18"/>
              </w:rPr>
              <w:t xml:space="preserve">Time-barred debt; company drawer under moratorium (proceed against s.141 officers,</w:t>
            </w:r>
            <w:r>
              <w:rPr>
                <w:sz w:val="18"/>
              </w:rPr>
              <w:t xml:space="preserve"> </w:t>
            </w:r>
            <w:r>
              <w:rPr>
                <w:iCs/>
                <w:i/>
                <w:sz w:val="18"/>
              </w:rPr>
              <w:t xml:space="preserve">P. Mohanraj</w:t>
            </w:r>
            <w:r>
              <w:rPr>
                <w:sz w:val="18"/>
              </w:rPr>
              <w:t xml:space="preserve">, SC 2021)</w:t>
            </w:r>
          </w:p>
        </w:tc>
      </w:tr>
      <w:tr>
        <w:tc>
          <w:tcPr>
            <w:tcW w:w="1719" w:type="dxa"/>
          </w:tcPr>
          <w:p>
            <w:pPr>
              <w:pStyle w:val="Compact"/>
              <w:spacing w:after="40"/>
              <w:jc w:val="left"/>
            </w:pPr>
            <w:r>
              <w:rPr>
                <w:sz w:val="18"/>
              </w:rPr>
              <w:t xml:space="preserve">Arbitration</w:t>
            </w:r>
          </w:p>
        </w:tc>
        <w:tc>
          <w:tcPr>
            <w:tcW w:w="3782" w:type="dxa"/>
          </w:tcPr>
          <w:p>
            <w:pPr>
              <w:pStyle w:val="Compact"/>
              <w:spacing w:after="40"/>
              <w:jc w:val="left"/>
            </w:pPr>
            <w:r>
              <w:rPr>
                <w:sz w:val="18"/>
              </w:rPr>
              <w:t xml:space="preserve">Claim in personam; clause naming an independent institution, or written post-dispute consent</w:t>
            </w:r>
          </w:p>
        </w:tc>
        <w:tc>
          <w:tcPr>
            <w:tcW w:w="4137" w:type="dxa"/>
          </w:tcPr>
          <w:p>
            <w:pPr>
              <w:pStyle w:val="Compact"/>
              <w:spacing w:after="40"/>
              <w:jc w:val="left"/>
            </w:pPr>
            <w:r>
              <w:rPr>
                <w:sz w:val="18"/>
              </w:rPr>
              <w:t xml:space="preserve">Bank or notified FI with RDB claim ≥ ₹20 lakh (</w:t>
            </w:r>
            <w:r>
              <w:rPr>
                <w:iCs/>
                <w:i/>
                <w:sz w:val="18"/>
              </w:rPr>
              <w:t xml:space="preserve">Vidya Drolia</w:t>
            </w:r>
            <w:r>
              <w:rPr>
                <w:sz w:val="18"/>
              </w:rPr>
              <w:t xml:space="preserve">, SC, 14 Dec 2020); in-rem mortgage enforcement (</w:t>
            </w:r>
            <w:r>
              <w:rPr>
                <w:iCs/>
                <w:i/>
                <w:sz w:val="18"/>
              </w:rPr>
              <w:t xml:space="preserve">Booz Allen</w:t>
            </w:r>
            <w:r>
              <w:rPr>
                <w:sz w:val="18"/>
              </w:rPr>
              <w:t xml:space="preserve">, (2011) 5 SCC 532); unilateral clause without consent (</w:t>
            </w:r>
            <w:r>
              <w:rPr>
                <w:iCs/>
                <w:i/>
                <w:sz w:val="18"/>
              </w:rPr>
              <w:t xml:space="preserve">L&amp;T Finance v. Jai Paras</w:t>
            </w:r>
            <w:r>
              <w:rPr>
                <w:sz w:val="18"/>
              </w:rPr>
              <w:t xml:space="preserve">, Cal HC, 14 May 2026)</w:t>
            </w:r>
          </w:p>
        </w:tc>
      </w:tr>
      <w:tr>
        <w:tc>
          <w:tcPr>
            <w:tcW w:w="1719" w:type="dxa"/>
          </w:tcPr>
          <w:p>
            <w:pPr>
              <w:pStyle w:val="Compact"/>
              <w:spacing w:after="40"/>
              <w:jc w:val="left"/>
            </w:pPr>
            <w:r>
              <w:rPr>
                <w:sz w:val="18"/>
              </w:rPr>
              <w:t xml:space="preserve">Conciliation (A&amp;C Act ss.61–81)</w:t>
            </w:r>
          </w:p>
        </w:tc>
        <w:tc>
          <w:tcPr>
            <w:tcW w:w="3782" w:type="dxa"/>
          </w:tcPr>
          <w:p>
            <w:pPr>
              <w:pStyle w:val="Compact"/>
              <w:spacing w:after="40"/>
              <w:jc w:val="left"/>
            </w:pPr>
            <w:r>
              <w:rPr>
                <w:sz w:val="18"/>
              </w:rPr>
              <w:t xml:space="preserve">Both parties accept the invitation (s.62)</w:t>
            </w:r>
          </w:p>
        </w:tc>
        <w:tc>
          <w:tcPr>
            <w:tcW w:w="4137" w:type="dxa"/>
          </w:tcPr>
          <w:p>
            <w:pPr>
              <w:pStyle w:val="Compact"/>
              <w:spacing w:after="40"/>
              <w:jc w:val="left"/>
            </w:pPr>
            <w:r>
              <w:rPr>
                <w:sz w:val="18"/>
              </w:rPr>
              <w:t xml:space="preserve">IBC moratorium; party incapable of contracting</w:t>
            </w:r>
          </w:p>
        </w:tc>
      </w:tr>
      <w:tr>
        <w:tc>
          <w:tcPr>
            <w:tcW w:w="1719" w:type="dxa"/>
          </w:tcPr>
          <w:p>
            <w:pPr>
              <w:pStyle w:val="Compact"/>
              <w:spacing w:after="40"/>
              <w:jc w:val="left"/>
            </w:pPr>
            <w:r>
              <w:rPr>
                <w:sz w:val="18"/>
              </w:rPr>
              <w:t xml:space="preserve">Mediation (private or s.12A)</w:t>
            </w:r>
          </w:p>
        </w:tc>
        <w:tc>
          <w:tcPr>
            <w:tcW w:w="3782" w:type="dxa"/>
          </w:tcPr>
          <w:p>
            <w:pPr>
              <w:pStyle w:val="Compact"/>
              <w:spacing w:after="40"/>
              <w:jc w:val="left"/>
            </w:pPr>
            <w:r>
              <w:rPr>
                <w:sz w:val="18"/>
              </w:rPr>
              <w:t xml:space="preserve">Consent, or s.12A route before a commercial suit</w:t>
            </w:r>
          </w:p>
        </w:tc>
        <w:tc>
          <w:tcPr>
            <w:tcW w:w="4137" w:type="dxa"/>
          </w:tcPr>
          <w:p>
            <w:pPr>
              <w:pStyle w:val="Compact"/>
              <w:spacing w:after="40"/>
              <w:jc w:val="left"/>
            </w:pPr>
            <w:r>
              <w:rPr>
                <w:sz w:val="18"/>
              </w:rPr>
              <w:t xml:space="preserve">Matters unfit under Mediation Act First Schedule (applies once notified); outcome is only a contract until Mediation Act s.27 is notified</w:t>
            </w:r>
          </w:p>
        </w:tc>
      </w:tr>
      <w:tr>
        <w:tc>
          <w:tcPr>
            <w:tcW w:w="1719" w:type="dxa"/>
          </w:tcPr>
          <w:p>
            <w:pPr>
              <w:pStyle w:val="Compact"/>
              <w:spacing w:after="40"/>
              <w:jc w:val="left"/>
            </w:pPr>
            <w:r>
              <w:rPr>
                <w:sz w:val="18"/>
              </w:rPr>
              <w:t xml:space="preserve">Lok Adalat (LSA Act ss.19–21)</w:t>
            </w:r>
          </w:p>
        </w:tc>
        <w:tc>
          <w:tcPr>
            <w:tcW w:w="3782" w:type="dxa"/>
          </w:tcPr>
          <w:p>
            <w:pPr>
              <w:pStyle w:val="Compact"/>
              <w:spacing w:after="40"/>
              <w:jc w:val="left"/>
            </w:pPr>
            <w:r>
              <w:rPr>
                <w:sz w:val="18"/>
              </w:rPr>
              <w:t xml:space="preserve">Consent of both parties</w:t>
            </w:r>
          </w:p>
        </w:tc>
        <w:tc>
          <w:tcPr>
            <w:tcW w:w="4137" w:type="dxa"/>
          </w:tcPr>
          <w:p>
            <w:pPr>
              <w:pStyle w:val="Compact"/>
              <w:spacing w:after="40"/>
              <w:jc w:val="left"/>
            </w:pPr>
            <w:r>
              <w:rPr>
                <w:sz w:val="18"/>
              </w:rPr>
              <w:t xml:space="preserve">Fraud or WD without Board approval of the settlement (RSA para 16(5)(ii))</w:t>
            </w:r>
          </w:p>
        </w:tc>
      </w:tr>
      <w:tr>
        <w:tc>
          <w:tcPr>
            <w:tcW w:w="1719" w:type="dxa"/>
          </w:tcPr>
          <w:p>
            <w:pPr>
              <w:pStyle w:val="Compact"/>
              <w:spacing w:after="40"/>
              <w:jc w:val="left"/>
            </w:pPr>
            <w:r>
              <w:rPr>
                <w:sz w:val="18"/>
              </w:rPr>
              <w:t xml:space="preserve">Revenue recovery</w:t>
            </w:r>
          </w:p>
        </w:tc>
        <w:tc>
          <w:tcPr>
            <w:tcW w:w="3782" w:type="dxa"/>
          </w:tcPr>
          <w:p>
            <w:pPr>
              <w:pStyle w:val="Compact"/>
              <w:spacing w:after="40"/>
              <w:jc w:val="left"/>
            </w:pPr>
            <w:r>
              <w:rPr>
                <w:sz w:val="18"/>
              </w:rPr>
              <w:t xml:space="preserve">State flag true with a notification reference</w:t>
            </w:r>
          </w:p>
        </w:tc>
        <w:tc>
          <w:tcPr>
            <w:tcW w:w="4137" w:type="dxa"/>
          </w:tcPr>
          <w:p>
            <w:pPr>
              <w:pStyle w:val="Compact"/>
              <w:spacing w:after="40"/>
              <w:jc w:val="left"/>
            </w:pPr>
            <w:r>
              <w:rPr>
                <w:sz w:val="18"/>
              </w:rPr>
              <w:t xml:space="preserve">State flag false [VERIFY: state-wise NBFC access]</w:t>
            </w:r>
          </w:p>
        </w:tc>
      </w:tr>
      <w:tr>
        <w:tc>
          <w:tcPr>
            <w:tcW w:w="1719" w:type="dxa"/>
          </w:tcPr>
          <w:p>
            <w:pPr>
              <w:pStyle w:val="Compact"/>
              <w:spacing w:after="40"/>
              <w:jc w:val="left"/>
            </w:pPr>
            <w:r>
              <w:rPr>
                <w:sz w:val="18"/>
              </w:rPr>
              <w:t xml:space="preserve">Pledge sale (ICA s.176)</w:t>
            </w:r>
          </w:p>
        </w:tc>
        <w:tc>
          <w:tcPr>
            <w:tcW w:w="3782" w:type="dxa"/>
          </w:tcPr>
          <w:p>
            <w:pPr>
              <w:pStyle w:val="Compact"/>
              <w:spacing w:after="40"/>
              <w:jc w:val="left"/>
            </w:pPr>
            <w:r>
              <w:rPr>
                <w:sz w:val="18"/>
              </w:rPr>
              <w:t xml:space="preserve">Pledgee; reasonable notice given and logged</w:t>
            </w:r>
          </w:p>
        </w:tc>
        <w:tc>
          <w:tcPr>
            <w:tcW w:w="4137" w:type="dxa"/>
          </w:tcPr>
          <w:p>
            <w:pPr>
              <w:pStyle w:val="Compact"/>
              <w:spacing w:after="40"/>
              <w:jc w:val="left"/>
            </w:pPr>
            <w:r>
              <w:rPr>
                <w:sz w:val="18"/>
              </w:rPr>
              <w:t xml:space="preserve">Gold: RBC paras 60–66; shares: SEBI 5 Feb 2026 pledge-form notice undertaking; LTV cure window open (CF para 106)</w:t>
            </w:r>
          </w:p>
        </w:tc>
      </w:tr>
      <w:tr>
        <w:tc>
          <w:tcPr>
            <w:tcW w:w="1719" w:type="dxa"/>
          </w:tcPr>
          <w:p>
            <w:pPr>
              <w:pStyle w:val="Compact"/>
              <w:spacing w:after="40"/>
              <w:jc w:val="left"/>
            </w:pPr>
            <w:r>
              <w:rPr>
                <w:sz w:val="18"/>
              </w:rPr>
              <w:t xml:space="preserve">Contractual repossession</w:t>
            </w:r>
          </w:p>
        </w:tc>
        <w:tc>
          <w:tcPr>
            <w:tcW w:w="3782" w:type="dxa"/>
          </w:tcPr>
          <w:p>
            <w:pPr>
              <w:pStyle w:val="Compact"/>
              <w:spacing w:after="40"/>
              <w:jc w:val="left"/>
            </w:pPr>
            <w:r>
              <w:rPr>
                <w:sz w:val="18"/>
              </w:rPr>
              <w:t xml:space="preserve">Hypothecation with an RBC para 26 clause</w:t>
            </w:r>
          </w:p>
        </w:tc>
        <w:tc>
          <w:tcPr>
            <w:tcW w:w="4137" w:type="dxa"/>
          </w:tcPr>
          <w:p>
            <w:pPr>
              <w:pStyle w:val="Compact"/>
              <w:spacing w:after="40"/>
              <w:jc w:val="left"/>
            </w:pPr>
            <w:r>
              <w:rPr>
                <w:sz w:val="18"/>
              </w:rPr>
              <w:t xml:space="preserve">Notice period not elapsed; no authorised agent; no possession memo</w:t>
            </w:r>
          </w:p>
        </w:tc>
      </w:tr>
      <w:tr>
        <w:tc>
          <w:tcPr>
            <w:tcW w:w="1719" w:type="dxa"/>
          </w:tcPr>
          <w:p>
            <w:pPr>
              <w:pStyle w:val="Compact"/>
              <w:spacing w:after="40"/>
              <w:jc w:val="left"/>
            </w:pPr>
            <w:r>
              <w:rPr>
                <w:sz w:val="18"/>
              </w:rPr>
              <w:t xml:space="preserve">Set-off or lien</w:t>
            </w:r>
          </w:p>
        </w:tc>
        <w:tc>
          <w:tcPr>
            <w:tcW w:w="3782" w:type="dxa"/>
          </w:tcPr>
          <w:p>
            <w:pPr>
              <w:pStyle w:val="Compact"/>
              <w:spacing w:after="40"/>
              <w:jc w:val="left"/>
            </w:pPr>
            <w:r>
              <w:rPr>
                <w:sz w:val="18"/>
              </w:rPr>
              <w:t xml:space="preserve">Matured or pledged deposit; contractual right</w:t>
            </w:r>
          </w:p>
        </w:tc>
        <w:tc>
          <w:tcPr>
            <w:tcW w:w="4137" w:type="dxa"/>
          </w:tcPr>
          <w:p>
            <w:pPr>
              <w:pStyle w:val="Compact"/>
              <w:spacing w:after="40"/>
              <w:jc w:val="left"/>
            </w:pPr>
            <w:r>
              <w:rPr>
                <w:sz w:val="18"/>
              </w:rPr>
              <w:t xml:space="preserve">Notice with particulars not given (RBC para 17); joint holder; prior attachment; moratorium</w:t>
            </w:r>
          </w:p>
        </w:tc>
      </w:tr>
      <w:tr>
        <w:tc>
          <w:tcPr>
            <w:tcW w:w="1719" w:type="dxa"/>
          </w:tcPr>
          <w:p>
            <w:pPr>
              <w:pStyle w:val="Compact"/>
              <w:spacing w:after="40"/>
              <w:jc w:val="left"/>
            </w:pPr>
            <w:r>
              <w:rPr>
                <w:sz w:val="18"/>
              </w:rPr>
              <w:t xml:space="preserve">CGTMSE claim</w:t>
            </w:r>
          </w:p>
        </w:tc>
        <w:tc>
          <w:tcPr>
            <w:tcW w:w="3782" w:type="dxa"/>
          </w:tcPr>
          <w:p>
            <w:pPr>
              <w:pStyle w:val="Compact"/>
              <w:spacing w:after="40"/>
              <w:jc w:val="left"/>
            </w:pPr>
            <w:r>
              <w:rPr>
                <w:sz w:val="18"/>
              </w:rPr>
              <w:t xml:space="preserve">Member lending institution; MSE borrower; 18-month lock-in over; guarantee live on NPA date</w:t>
            </w:r>
          </w:p>
        </w:tc>
        <w:tc>
          <w:tcPr>
            <w:tcW w:w="4137" w:type="dxa"/>
          </w:tcPr>
          <w:p>
            <w:pPr>
              <w:pStyle w:val="Compact"/>
              <w:spacing w:after="40"/>
              <w:jc w:val="left"/>
            </w:pPr>
            <w:r>
              <w:rPr>
                <w:sz w:val="18"/>
              </w:rPr>
              <w:t xml:space="preserve">Legal action not started (waived for claims ≤ ₹10 lakh)</w:t>
            </w:r>
          </w:p>
        </w:tc>
      </w:tr>
      <w:tr>
        <w:tc>
          <w:tcPr>
            <w:tcW w:w="1719" w:type="dxa"/>
          </w:tcPr>
          <w:p>
            <w:pPr>
              <w:pStyle w:val="Compact"/>
              <w:spacing w:after="40"/>
              <w:jc w:val="left"/>
            </w:pPr>
            <w:r>
              <w:rPr>
                <w:sz w:val="18"/>
              </w:rPr>
              <w:t xml:space="preserve">Compromise settlement</w:t>
            </w:r>
          </w:p>
        </w:tc>
        <w:tc>
          <w:tcPr>
            <w:tcW w:w="3782" w:type="dxa"/>
          </w:tcPr>
          <w:p>
            <w:pPr>
              <w:pStyle w:val="Compact"/>
              <w:spacing w:after="40"/>
              <w:jc w:val="left"/>
            </w:pPr>
            <w:r>
              <w:rPr>
                <w:sz w:val="18"/>
              </w:rPr>
              <w:t xml:space="preserve">Board settlement policy in force</w:t>
            </w:r>
          </w:p>
        </w:tc>
        <w:tc>
          <w:tcPr>
            <w:tcW w:w="4137" w:type="dxa"/>
          </w:tcPr>
          <w:p>
            <w:pPr>
              <w:pStyle w:val="Compact"/>
              <w:spacing w:after="40"/>
              <w:jc w:val="left"/>
            </w:pPr>
            <w:r>
              <w:rPr>
                <w:sz w:val="18"/>
              </w:rPr>
              <w:t xml:space="preserve">Approver not one level above sanctioner; fraud or WD without Board approval (RSA para 16(5))</w:t>
            </w:r>
          </w:p>
        </w:tc>
      </w:tr>
    </w:tbl>
    <w:p>
      <w:pPr>
        <w:numPr>
          <w:ilvl w:val="0"/>
          <w:numId w:val="1200"/>
        </w:numPr>
        <w:pStyle w:val="Compact"/>
      </w:pPr>
      <w:r>
        <w:rPr>
          <w:bCs/>
          <w:b/>
        </w:rPr>
        <w:t xml:space="preserve">Recommendation heuristics [REC]:</w:t>
      </w:r>
      <w:r>
        <w:t xml:space="preserve"> </w:t>
      </w:r>
      <w:r>
        <w:t xml:space="preserve">IBC when the corporate debtor shows enterprise-level distress; SARFAESI for eligible secured exposures with s.138 run in parallel where an instrument bounced; conciliation (s.73/74) or Lok Adalat first for contactable retail tickets; protective filing when limitation is within 90 days even while settlement talks continue.</w:t>
      </w:r>
    </w:p>
    <w:bookmarkEnd w:id="112"/>
    <w:bookmarkStart w:id="113" w:name="r1.5-limitation-engine"/>
    <w:p>
      <w:pPr>
        <w:pStyle w:val="Heading3"/>
      </w:pPr>
      <w:r>
        <w:t xml:space="preserve">R1.5 Limitation engine</w:t>
      </w:r>
    </w:p>
    <w:p>
      <w:pPr>
        <w:numPr>
          <w:ilvl w:val="0"/>
          <w:numId w:val="1201"/>
        </w:numPr>
        <w:pStyle w:val="Compact"/>
      </w:pPr>
      <w:r>
        <w:rPr>
          <w:rStyle w:val="VerbatimChar"/>
        </w:rPr>
        <w:t xml:space="preserve">limitation_end = base_date + period</w:t>
      </w:r>
      <w:r>
        <w:t xml:space="preserve">, recomputed on every acknowledgment, part-payment, acceleration, demand or filing.</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004"/>
        <w:gridCol w:w="1318"/>
        <w:gridCol w:w="2359"/>
        <w:gridCol w:w="2957"/>
      </w:tblGrid>
      <w:tr>
        <w:trPr>
          <w:tblHeader w:val="true"/>
          <w:tblHeader w:val="true"/>
        </w:trPr>
        <w:tc>
          <w:tcPr>
            <w:tcW w:w="3004" w:type="dxa"/>
            <w:shd w:val="clear" w:color="auto" w:fill="1F3A5F"/>
          </w:tcPr>
          <w:p>
            <w:pPr>
              <w:pStyle w:val="Compact"/>
              <w:spacing w:after="40"/>
              <w:jc w:val="left"/>
            </w:pPr>
            <w:r>
              <w:rPr>
                <w:b/>
                <w:color w:val="FFFFFF"/>
                <w:sz w:val="18"/>
              </w:rPr>
              <w:t xml:space="preserve">Claim</w:t>
            </w:r>
          </w:p>
        </w:tc>
        <w:tc>
          <w:tcPr>
            <w:tcW w:w="1318" w:type="dxa"/>
            <w:shd w:val="clear" w:color="auto" w:fill="1F3A5F"/>
          </w:tcPr>
          <w:p>
            <w:pPr>
              <w:pStyle w:val="Compact"/>
              <w:spacing w:after="40"/>
              <w:jc w:val="left"/>
            </w:pPr>
            <w:r>
              <w:rPr>
                <w:b/>
                <w:color w:val="FFFFFF"/>
                <w:sz w:val="18"/>
              </w:rPr>
              <w:t xml:space="preserve">Article</w:t>
            </w:r>
          </w:p>
        </w:tc>
        <w:tc>
          <w:tcPr>
            <w:tcW w:w="2359" w:type="dxa"/>
            <w:shd w:val="clear" w:color="auto" w:fill="1F3A5F"/>
          </w:tcPr>
          <w:p>
            <w:pPr>
              <w:pStyle w:val="Compact"/>
              <w:spacing w:after="40"/>
              <w:jc w:val="left"/>
            </w:pPr>
            <w:r>
              <w:rPr>
                <w:b/>
                <w:color w:val="FFFFFF"/>
                <w:sz w:val="18"/>
              </w:rPr>
              <w:t xml:space="preserve">Base date</w:t>
            </w:r>
          </w:p>
        </w:tc>
        <w:tc>
          <w:tcPr>
            <w:tcW w:w="2957" w:type="dxa"/>
            <w:shd w:val="clear" w:color="auto" w:fill="1F3A5F"/>
          </w:tcPr>
          <w:p>
            <w:pPr>
              <w:pStyle w:val="Compact"/>
              <w:spacing w:after="40"/>
              <w:jc w:val="left"/>
            </w:pPr>
            <w:r>
              <w:rPr>
                <w:b/>
                <w:color w:val="FFFFFF"/>
                <w:sz w:val="18"/>
              </w:rPr>
              <w:t xml:space="preserve">Period</w:t>
            </w:r>
          </w:p>
        </w:tc>
      </w:tr>
      <w:tr>
        <w:tc>
          <w:tcPr>
            <w:tcW w:w="3004" w:type="dxa"/>
          </w:tcPr>
          <w:p>
            <w:pPr>
              <w:pStyle w:val="Compact"/>
              <w:spacing w:after="40"/>
              <w:jc w:val="left"/>
            </w:pPr>
            <w:r>
              <w:rPr>
                <w:sz w:val="18"/>
              </w:rPr>
              <w:t xml:space="preserve">Money lent</w:t>
            </w:r>
          </w:p>
        </w:tc>
        <w:tc>
          <w:tcPr>
            <w:tcW w:w="1318" w:type="dxa"/>
          </w:tcPr>
          <w:p>
            <w:pPr>
              <w:pStyle w:val="Compact"/>
              <w:spacing w:after="40"/>
              <w:jc w:val="left"/>
            </w:pPr>
            <w:r>
              <w:rPr>
                <w:sz w:val="18"/>
              </w:rPr>
              <w:t xml:space="preserve">Art.19</w:t>
            </w:r>
          </w:p>
        </w:tc>
        <w:tc>
          <w:tcPr>
            <w:tcW w:w="2359" w:type="dxa"/>
          </w:tcPr>
          <w:p>
            <w:pPr>
              <w:pStyle w:val="Compact"/>
              <w:spacing w:after="40"/>
              <w:jc w:val="left"/>
            </w:pPr>
            <w:r>
              <w:rPr>
                <w:sz w:val="18"/>
              </w:rPr>
              <w:t xml:space="preserve">Date of the loan</w:t>
            </w:r>
          </w:p>
        </w:tc>
        <w:tc>
          <w:tcPr>
            <w:tcW w:w="2957" w:type="dxa"/>
          </w:tcPr>
          <w:p>
            <w:pPr>
              <w:pStyle w:val="Compact"/>
              <w:spacing w:after="40"/>
              <w:jc w:val="left"/>
            </w:pPr>
            <w:r>
              <w:rPr>
                <w:sz w:val="18"/>
              </w:rPr>
              <w:t xml:space="preserve">3 years</w:t>
            </w:r>
          </w:p>
        </w:tc>
      </w:tr>
      <w:tr>
        <w:tc>
          <w:tcPr>
            <w:tcW w:w="3004" w:type="dxa"/>
          </w:tcPr>
          <w:p>
            <w:pPr>
              <w:pStyle w:val="Compact"/>
              <w:spacing w:after="40"/>
              <w:jc w:val="left"/>
            </w:pPr>
            <w:r>
              <w:rPr>
                <w:sz w:val="18"/>
              </w:rPr>
              <w:t xml:space="preserve">Demand loan</w:t>
            </w:r>
          </w:p>
        </w:tc>
        <w:tc>
          <w:tcPr>
            <w:tcW w:w="1318" w:type="dxa"/>
          </w:tcPr>
          <w:p>
            <w:pPr>
              <w:pStyle w:val="Compact"/>
              <w:spacing w:after="40"/>
              <w:jc w:val="left"/>
            </w:pPr>
            <w:r>
              <w:rPr>
                <w:sz w:val="18"/>
              </w:rPr>
              <w:t xml:space="preserve">Art.21</w:t>
            </w:r>
          </w:p>
        </w:tc>
        <w:tc>
          <w:tcPr>
            <w:tcW w:w="2359" w:type="dxa"/>
          </w:tcPr>
          <w:p>
            <w:pPr>
              <w:pStyle w:val="Compact"/>
              <w:spacing w:after="40"/>
              <w:jc w:val="left"/>
            </w:pPr>
            <w:r>
              <w:rPr>
                <w:sz w:val="18"/>
              </w:rPr>
              <w:t xml:space="preserve">Date of the loan, not the demand</w:t>
            </w:r>
          </w:p>
        </w:tc>
        <w:tc>
          <w:tcPr>
            <w:tcW w:w="2957" w:type="dxa"/>
          </w:tcPr>
          <w:p>
            <w:pPr>
              <w:pStyle w:val="Compact"/>
              <w:spacing w:after="40"/>
              <w:jc w:val="left"/>
            </w:pPr>
            <w:r>
              <w:rPr>
                <w:sz w:val="18"/>
              </w:rPr>
              <w:t xml:space="preserve">3 years</w:t>
            </w:r>
          </w:p>
        </w:tc>
      </w:tr>
      <w:tr>
        <w:tc>
          <w:tcPr>
            <w:tcW w:w="3004" w:type="dxa"/>
          </w:tcPr>
          <w:p>
            <w:pPr>
              <w:pStyle w:val="Compact"/>
              <w:spacing w:after="40"/>
              <w:jc w:val="left"/>
            </w:pPr>
            <w:r>
              <w:rPr>
                <w:sz w:val="18"/>
              </w:rPr>
              <w:t xml:space="preserve">Instalment loan and breach of contract</w:t>
            </w:r>
          </w:p>
        </w:tc>
        <w:tc>
          <w:tcPr>
            <w:tcW w:w="1318" w:type="dxa"/>
          </w:tcPr>
          <w:p>
            <w:pPr>
              <w:pStyle w:val="Compact"/>
              <w:spacing w:after="40"/>
              <w:jc w:val="left"/>
            </w:pPr>
            <w:r>
              <w:rPr>
                <w:sz w:val="18"/>
              </w:rPr>
              <w:t xml:space="preserve">Art.55</w:t>
            </w:r>
          </w:p>
        </w:tc>
        <w:tc>
          <w:tcPr>
            <w:tcW w:w="2359" w:type="dxa"/>
          </w:tcPr>
          <w:p>
            <w:pPr>
              <w:pStyle w:val="Compact"/>
              <w:spacing w:after="40"/>
              <w:jc w:val="left"/>
            </w:pPr>
            <w:r>
              <w:rPr>
                <w:sz w:val="18"/>
              </w:rPr>
              <w:t xml:space="preserve">Each breach, or the acceleration date</w:t>
            </w:r>
          </w:p>
        </w:tc>
        <w:tc>
          <w:tcPr>
            <w:tcW w:w="2957" w:type="dxa"/>
          </w:tcPr>
          <w:p>
            <w:pPr>
              <w:pStyle w:val="Compact"/>
              <w:spacing w:after="40"/>
              <w:jc w:val="left"/>
            </w:pPr>
            <w:r>
              <w:rPr>
                <w:sz w:val="18"/>
              </w:rPr>
              <w:t xml:space="preserve">3 years</w:t>
            </w:r>
          </w:p>
        </w:tc>
      </w:tr>
      <w:tr>
        <w:tc>
          <w:tcPr>
            <w:tcW w:w="3004" w:type="dxa"/>
          </w:tcPr>
          <w:p>
            <w:pPr>
              <w:pStyle w:val="Compact"/>
              <w:spacing w:after="40"/>
              <w:jc w:val="left"/>
            </w:pPr>
            <w:r>
              <w:rPr>
                <w:sz w:val="18"/>
              </w:rPr>
              <w:t xml:space="preserve">Guarantee</w:t>
            </w:r>
          </w:p>
        </w:tc>
        <w:tc>
          <w:tcPr>
            <w:tcW w:w="1318" w:type="dxa"/>
          </w:tcPr>
          <w:p>
            <w:pPr>
              <w:pStyle w:val="Compact"/>
              <w:spacing w:after="40"/>
              <w:jc w:val="left"/>
            </w:pPr>
            <w:r>
              <w:rPr>
                <w:sz w:val="18"/>
              </w:rPr>
              <w:t xml:space="preserve">Art.55</w:t>
            </w:r>
          </w:p>
        </w:tc>
        <w:tc>
          <w:tcPr>
            <w:tcW w:w="2359" w:type="dxa"/>
          </w:tcPr>
          <w:p>
            <w:pPr>
              <w:pStyle w:val="Compact"/>
              <w:spacing w:after="40"/>
              <w:jc w:val="left"/>
            </w:pPr>
            <w:r>
              <w:rPr>
                <w:sz w:val="18"/>
              </w:rPr>
              <w:t xml:space="preserve">Date of demand on the guarantor</w:t>
            </w:r>
          </w:p>
        </w:tc>
        <w:tc>
          <w:tcPr>
            <w:tcW w:w="2957" w:type="dxa"/>
          </w:tcPr>
          <w:p>
            <w:pPr>
              <w:pStyle w:val="Compact"/>
              <w:spacing w:after="40"/>
              <w:jc w:val="left"/>
            </w:pPr>
            <w:r>
              <w:rPr>
                <w:sz w:val="18"/>
              </w:rPr>
              <w:t xml:space="preserve">3 years</w:t>
            </w:r>
          </w:p>
        </w:tc>
      </w:tr>
      <w:tr>
        <w:tc>
          <w:tcPr>
            <w:tcW w:w="3004" w:type="dxa"/>
          </w:tcPr>
          <w:p>
            <w:pPr>
              <w:pStyle w:val="Compact"/>
              <w:spacing w:after="40"/>
              <w:jc w:val="left"/>
            </w:pPr>
            <w:r>
              <w:rPr>
                <w:sz w:val="18"/>
              </w:rPr>
              <w:t xml:space="preserve">Money charged on immovable property (suit and SARFAESI s.36)</w:t>
            </w:r>
          </w:p>
        </w:tc>
        <w:tc>
          <w:tcPr>
            <w:tcW w:w="1318" w:type="dxa"/>
          </w:tcPr>
          <w:p>
            <w:pPr>
              <w:pStyle w:val="Compact"/>
              <w:spacing w:after="40"/>
              <w:jc w:val="left"/>
            </w:pPr>
            <w:r>
              <w:rPr>
                <w:sz w:val="18"/>
              </w:rPr>
              <w:t xml:space="preserve">Art.62</w:t>
            </w:r>
          </w:p>
        </w:tc>
        <w:tc>
          <w:tcPr>
            <w:tcW w:w="2359" w:type="dxa"/>
          </w:tcPr>
          <w:p>
            <w:pPr>
              <w:pStyle w:val="Compact"/>
              <w:spacing w:after="40"/>
              <w:jc w:val="left"/>
            </w:pPr>
            <w:r>
              <w:rPr>
                <w:sz w:val="18"/>
              </w:rPr>
              <w:t xml:space="preserve">Date the money becomes due</w:t>
            </w:r>
          </w:p>
        </w:tc>
        <w:tc>
          <w:tcPr>
            <w:tcW w:w="2957" w:type="dxa"/>
          </w:tcPr>
          <w:p>
            <w:pPr>
              <w:pStyle w:val="Compact"/>
              <w:spacing w:after="40"/>
              <w:jc w:val="left"/>
            </w:pPr>
            <w:r>
              <w:rPr>
                <w:sz w:val="18"/>
              </w:rPr>
              <w:t xml:space="preserve">12 years [VERIFY: SC position on Art.62 for SARFAESI s.36]</w:t>
            </w:r>
          </w:p>
        </w:tc>
      </w:tr>
      <w:tr>
        <w:tc>
          <w:tcPr>
            <w:tcW w:w="3004" w:type="dxa"/>
          </w:tcPr>
          <w:p>
            <w:pPr>
              <w:pStyle w:val="Compact"/>
              <w:spacing w:after="40"/>
              <w:jc w:val="left"/>
            </w:pPr>
            <w:r>
              <w:rPr>
                <w:sz w:val="18"/>
              </w:rPr>
              <w:t xml:space="preserve">IBC s.7 or s.95</w:t>
            </w:r>
          </w:p>
        </w:tc>
        <w:tc>
          <w:tcPr>
            <w:tcW w:w="1318" w:type="dxa"/>
          </w:tcPr>
          <w:p>
            <w:pPr>
              <w:pStyle w:val="Compact"/>
              <w:spacing w:after="40"/>
              <w:jc w:val="left"/>
            </w:pPr>
            <w:r>
              <w:rPr>
                <w:sz w:val="18"/>
              </w:rPr>
              <w:t xml:space="preserve">Art.137</w:t>
            </w:r>
          </w:p>
        </w:tc>
        <w:tc>
          <w:tcPr>
            <w:tcW w:w="2359" w:type="dxa"/>
          </w:tcPr>
          <w:p>
            <w:pPr>
              <w:pStyle w:val="Compact"/>
              <w:spacing w:after="40"/>
              <w:jc w:val="left"/>
            </w:pPr>
            <w:r>
              <w:rPr>
                <w:sz w:val="18"/>
              </w:rPr>
              <w:t xml:space="preserve">Date of default</w:t>
            </w:r>
          </w:p>
        </w:tc>
        <w:tc>
          <w:tcPr>
            <w:tcW w:w="2957" w:type="dxa"/>
          </w:tcPr>
          <w:p>
            <w:pPr>
              <w:pStyle w:val="Compact"/>
              <w:spacing w:after="40"/>
              <w:jc w:val="left"/>
            </w:pPr>
            <w:r>
              <w:rPr>
                <w:sz w:val="18"/>
              </w:rPr>
              <w:t xml:space="preserve">3 years</w:t>
            </w:r>
          </w:p>
        </w:tc>
      </w:tr>
      <w:tr>
        <w:tc>
          <w:tcPr>
            <w:tcW w:w="3004" w:type="dxa"/>
          </w:tcPr>
          <w:p>
            <w:pPr>
              <w:pStyle w:val="Compact"/>
              <w:spacing w:after="40"/>
              <w:jc w:val="left"/>
            </w:pPr>
            <w:r>
              <w:rPr>
                <w:sz w:val="18"/>
              </w:rPr>
              <w:t xml:space="preserve">Execution of a decree</w:t>
            </w:r>
          </w:p>
        </w:tc>
        <w:tc>
          <w:tcPr>
            <w:tcW w:w="1318" w:type="dxa"/>
          </w:tcPr>
          <w:p>
            <w:pPr>
              <w:pStyle w:val="Compact"/>
              <w:spacing w:after="40"/>
              <w:jc w:val="left"/>
            </w:pPr>
            <w:r>
              <w:rPr>
                <w:sz w:val="18"/>
              </w:rPr>
              <w:t xml:space="preserve">Art.136</w:t>
            </w:r>
          </w:p>
        </w:tc>
        <w:tc>
          <w:tcPr>
            <w:tcW w:w="2359" w:type="dxa"/>
          </w:tcPr>
          <w:p>
            <w:pPr>
              <w:pStyle w:val="Compact"/>
              <w:spacing w:after="40"/>
              <w:jc w:val="left"/>
            </w:pPr>
            <w:r>
              <w:rPr>
                <w:sz w:val="18"/>
              </w:rPr>
              <w:t xml:space="preserve">Date of the decree</w:t>
            </w:r>
          </w:p>
        </w:tc>
        <w:tc>
          <w:tcPr>
            <w:tcW w:w="2957" w:type="dxa"/>
          </w:tcPr>
          <w:p>
            <w:pPr>
              <w:pStyle w:val="Compact"/>
              <w:spacing w:after="40"/>
              <w:jc w:val="left"/>
            </w:pPr>
            <w:r>
              <w:rPr>
                <w:sz w:val="18"/>
              </w:rPr>
              <w:t xml:space="preserve">12 years</w:t>
            </w:r>
          </w:p>
        </w:tc>
      </w:tr>
      <w:tr>
        <w:tc>
          <w:tcPr>
            <w:tcW w:w="3004" w:type="dxa"/>
          </w:tcPr>
          <w:p>
            <w:pPr>
              <w:pStyle w:val="Compact"/>
              <w:spacing w:after="40"/>
              <w:jc w:val="left"/>
            </w:pPr>
            <w:r>
              <w:rPr>
                <w:sz w:val="18"/>
              </w:rPr>
              <w:t xml:space="preserve">Recovery certificate execution</w:t>
            </w:r>
          </w:p>
        </w:tc>
        <w:tc>
          <w:tcPr>
            <w:tcW w:w="1318" w:type="dxa"/>
          </w:tcPr>
          <w:p>
            <w:pPr>
              <w:pStyle w:val="Compact"/>
              <w:spacing w:after="40"/>
              <w:jc w:val="left"/>
            </w:pPr>
            <w:r>
              <w:rPr>
                <w:sz w:val="18"/>
              </w:rPr>
              <w:t xml:space="preserve">Art.136</w:t>
            </w:r>
          </w:p>
        </w:tc>
        <w:tc>
          <w:tcPr>
            <w:tcW w:w="2359" w:type="dxa"/>
          </w:tcPr>
          <w:p>
            <w:pPr>
              <w:pStyle w:val="Compact"/>
              <w:spacing w:after="40"/>
              <w:jc w:val="left"/>
            </w:pPr>
            <w:r>
              <w:rPr>
                <w:sz w:val="18"/>
              </w:rPr>
              <w:t xml:space="preserve">Date of the certificate</w:t>
            </w:r>
          </w:p>
        </w:tc>
        <w:tc>
          <w:tcPr>
            <w:tcW w:w="2957" w:type="dxa"/>
          </w:tcPr>
          <w:p>
            <w:pPr>
              <w:pStyle w:val="Compact"/>
              <w:spacing w:after="40"/>
              <w:jc w:val="left"/>
            </w:pPr>
            <w:r>
              <w:rPr>
                <w:sz w:val="18"/>
              </w:rPr>
              <w:t xml:space="preserve">12 years [VERIFY: Art.136 applies to RCs]</w:t>
            </w:r>
          </w:p>
        </w:tc>
      </w:tr>
      <w:tr>
        <w:tc>
          <w:tcPr>
            <w:tcW w:w="3004" w:type="dxa"/>
          </w:tcPr>
          <w:p>
            <w:pPr>
              <w:pStyle w:val="Compact"/>
              <w:spacing w:after="40"/>
              <w:jc w:val="left"/>
            </w:pPr>
            <w:r>
              <w:rPr>
                <w:sz w:val="18"/>
              </w:rPr>
              <w:t xml:space="preserve">s.11 petition after a valid s.21 notice</w:t>
            </w:r>
          </w:p>
        </w:tc>
        <w:tc>
          <w:tcPr>
            <w:tcW w:w="1318" w:type="dxa"/>
          </w:tcPr>
          <w:p>
            <w:pPr>
              <w:pStyle w:val="Compact"/>
              <w:spacing w:after="40"/>
              <w:jc w:val="left"/>
            </w:pPr>
            <w:r>
              <w:rPr>
                <w:sz w:val="18"/>
              </w:rPr>
              <w:t xml:space="preserve">Art.137</w:t>
            </w:r>
          </w:p>
        </w:tc>
        <w:tc>
          <w:tcPr>
            <w:tcW w:w="2359" w:type="dxa"/>
          </w:tcPr>
          <w:p>
            <w:pPr>
              <w:pStyle w:val="Compact"/>
              <w:spacing w:after="40"/>
              <w:jc w:val="left"/>
            </w:pPr>
            <w:r>
              <w:rPr>
                <w:sz w:val="18"/>
              </w:rPr>
              <w:t xml:space="preserve">Failure to appoint</w:t>
            </w:r>
          </w:p>
        </w:tc>
        <w:tc>
          <w:tcPr>
            <w:tcW w:w="2957" w:type="dxa"/>
          </w:tcPr>
          <w:p>
            <w:pPr>
              <w:pStyle w:val="Compact"/>
              <w:spacing w:after="40"/>
              <w:jc w:val="left"/>
            </w:pPr>
            <w:r>
              <w:rPr>
                <w:sz w:val="18"/>
              </w:rPr>
              <w:t xml:space="preserve">3 years (</w:t>
            </w:r>
            <w:r>
              <w:rPr>
                <w:iCs/>
                <w:i/>
                <w:sz w:val="18"/>
              </w:rPr>
              <w:t xml:space="preserve">Arif Azim v. Aptech</w:t>
            </w:r>
            <w:r>
              <w:rPr>
                <w:sz w:val="18"/>
              </w:rPr>
              <w:t xml:space="preserve">, 2024 INSC 155)</w:t>
            </w:r>
          </w:p>
        </w:tc>
      </w:tr>
      <w:tr>
        <w:tc>
          <w:tcPr>
            <w:tcW w:w="3004" w:type="dxa"/>
          </w:tcPr>
          <w:p>
            <w:pPr>
              <w:pStyle w:val="Compact"/>
              <w:spacing w:after="40"/>
              <w:jc w:val="left"/>
            </w:pPr>
            <w:r>
              <w:rPr>
                <w:sz w:val="18"/>
              </w:rPr>
              <w:t xml:space="preserve">Substitution of legal representatives</w:t>
            </w:r>
          </w:p>
        </w:tc>
        <w:tc>
          <w:tcPr>
            <w:tcW w:w="1318" w:type="dxa"/>
          </w:tcPr>
          <w:p>
            <w:pPr>
              <w:pStyle w:val="Compact"/>
              <w:spacing w:after="40"/>
              <w:jc w:val="left"/>
            </w:pPr>
            <w:r>
              <w:rPr>
                <w:sz w:val="18"/>
              </w:rPr>
              <w:t xml:space="preserve">Art.120</w:t>
            </w:r>
          </w:p>
        </w:tc>
        <w:tc>
          <w:tcPr>
            <w:tcW w:w="2359" w:type="dxa"/>
          </w:tcPr>
          <w:p>
            <w:pPr>
              <w:pStyle w:val="Compact"/>
              <w:spacing w:after="40"/>
              <w:jc w:val="left"/>
            </w:pPr>
            <w:r>
              <w:rPr>
                <w:sz w:val="18"/>
              </w:rPr>
              <w:t xml:space="preserve">Death of a party</w:t>
            </w:r>
          </w:p>
        </w:tc>
        <w:tc>
          <w:tcPr>
            <w:tcW w:w="2957" w:type="dxa"/>
          </w:tcPr>
          <w:p>
            <w:pPr>
              <w:pStyle w:val="Compact"/>
              <w:spacing w:after="40"/>
              <w:jc w:val="left"/>
            </w:pPr>
            <w:r>
              <w:rPr>
                <w:sz w:val="18"/>
              </w:rPr>
              <w:t xml:space="preserve">90 days</w:t>
            </w:r>
          </w:p>
        </w:tc>
      </w:tr>
    </w:tbl>
    <w:p>
      <w:pPr>
        <w:numPr>
          <w:ilvl w:val="0"/>
          <w:numId w:val="1202"/>
        </w:numPr>
        <w:pStyle w:val="Compact"/>
      </w:pPr>
      <w:r>
        <w:rPr>
          <w:bCs/>
          <w:b/>
        </w:rPr>
        <w:t xml:space="preserve">Rebasing rules [LAW]:</w:t>
      </w:r>
      <w:r>
        <w:t xml:space="preserve"> </w:t>
      </w:r>
      <w:r>
        <w:t xml:space="preserve">a written, signed acknowledgment made before expiry starts a fresh period (s.18), including balance confirmations and corporate balance sheets (</w:t>
      </w:r>
      <w:r>
        <w:rPr>
          <w:iCs/>
          <w:i/>
        </w:rPr>
        <w:t xml:space="preserve">ARC v. Bishal Jaiswal</w:t>
      </w:r>
      <w:r>
        <w:t xml:space="preserve">, SC 2021); a part-payment before expiry restarts the period only if the payment is acknowledged in the payer’s writing (s.19); an unanswered demand notice is</w:t>
      </w:r>
      <w:r>
        <w:t xml:space="preserve"> </w:t>
      </w:r>
      <w:r>
        <w:rPr>
          <w:bCs/>
          <w:b/>
        </w:rPr>
        <w:t xml:space="preserve">not</w:t>
      </w:r>
      <w:r>
        <w:t xml:space="preserve"> </w:t>
      </w:r>
      <w:r>
        <w:t xml:space="preserve">an acknowledgment; death does not stop time (s.9).</w:t>
      </w:r>
    </w:p>
    <w:p>
      <w:pPr>
        <w:numPr>
          <w:ilvl w:val="0"/>
          <w:numId w:val="1202"/>
        </w:numPr>
        <w:pStyle w:val="Compact"/>
      </w:pPr>
      <w:r>
        <w:rPr>
          <w:bCs/>
          <w:b/>
        </w:rPr>
        <w:t xml:space="preserve">Per-mechanism deadlines</w:t>
      </w:r>
      <w:r>
        <w:t xml:space="preserve"> </w:t>
      </w:r>
      <w:r>
        <w:t xml:space="preserve">(rule packs of R3–R10 and R9.4): s.138 notice 30 days and complaint one month; s.13(2) cure 60 days; s.13(3A) reply 15 days; s.17 window 45 days; s.34 challenge 3 months + 30 days; WD classification within 6 months of NPA (WD para 6(2)); FMR within 14 days (FRM para 43); DLG invocation within 120 days overdue (CF para 27(1)); CGTMSE lock-in 18 months.</w:t>
      </w:r>
    </w:p>
    <w:p>
      <w:pPr>
        <w:numPr>
          <w:ilvl w:val="0"/>
          <w:numId w:val="1202"/>
        </w:numPr>
        <w:pStyle w:val="Compact"/>
      </w:pPr>
      <w:r>
        <w:rPr>
          <w:bCs/>
          <w:b/>
        </w:rPr>
        <w:t xml:space="preserve">Calendar service:</w:t>
      </w:r>
      <w:r>
        <w:t xml:space="preserve"> </w:t>
      </w:r>
      <w:r>
        <w:t xml:space="preserve">calendar days, working days and months; first day excluded (General Clauses Act s.9); court holidays;</w:t>
      </w:r>
      <w:r>
        <w:t xml:space="preserve"> </w:t>
      </w:r>
      <w:r>
        <w:t xml:space="preserve">“</w:t>
      </w:r>
      <w:r>
        <w:t xml:space="preserve">later-of</w:t>
      </w:r>
      <w:r>
        <w:t xml:space="preserve">”</w:t>
      </w:r>
      <w:r>
        <w:t xml:space="preserve"> </w:t>
      </w:r>
      <w:r>
        <w:t xml:space="preserve">triggers.</w:t>
      </w:r>
    </w:p>
    <w:p>
      <w:pPr>
        <w:numPr>
          <w:ilvl w:val="0"/>
          <w:numId w:val="1202"/>
        </w:numPr>
        <w:pStyle w:val="Compact"/>
      </w:pPr>
      <w:r>
        <w:rPr>
          <w:bCs/>
          <w:b/>
        </w:rPr>
        <w:t xml:space="preserve">Alerts:</w:t>
      </w:r>
      <w:r>
        <w:t xml:space="preserve"> </w:t>
      </w:r>
      <w:r>
        <w:t xml:space="preserve">T−180, T−90 (red), T−30 and T−7; at T−30 the Recovery Head and Legal must decide: file, obtain an acknowledgment, or record a reasoned, approved decision to let it lapse.</w:t>
      </w:r>
    </w:p>
    <w:bookmarkEnd w:id="113"/>
    <w:bookmarkStart w:id="114" w:name="r1.6-parallel-tracks-and-conflicts"/>
    <w:p>
      <w:pPr>
        <w:pStyle w:val="Heading3"/>
      </w:pPr>
      <w:r>
        <w:t xml:space="preserve">R1.6 Parallel tracks and conflicts</w:t>
      </w:r>
    </w:p>
    <w:p>
      <w:pPr>
        <w:numPr>
          <w:ilvl w:val="0"/>
          <w:numId w:val="1203"/>
        </w:numPr>
        <w:pStyle w:val="Compact"/>
      </w:pPr>
      <w:r>
        <w:t xml:space="preserve">Tracks run in parallel unless a conflict rule applies:</w:t>
      </w:r>
    </w:p>
    <w:p>
      <w:pPr>
        <w:numPr>
          <w:ilvl w:val="1"/>
          <w:numId w:val="1204"/>
        </w:numPr>
        <w:pStyle w:val="Compact"/>
      </w:pPr>
      <w:r>
        <w:t xml:space="preserve">IBC moratorium on a corporate debtor freezes SARFAESI, suits and set-off against it; s.138 continues against officers;</w:t>
      </w:r>
    </w:p>
    <w:p>
      <w:pPr>
        <w:numPr>
          <w:ilvl w:val="1"/>
          <w:numId w:val="1204"/>
        </w:numPr>
        <w:pStyle w:val="Compact"/>
      </w:pPr>
      <w:r>
        <w:t xml:space="preserve">where the tenant has commenced recovery proceedings that are pending before a judicial forum, any settlement needs a consent decree from that forum (RSA para 100);</w:t>
      </w:r>
    </w:p>
    <w:p>
      <w:pPr>
        <w:numPr>
          <w:ilvl w:val="1"/>
          <w:numId w:val="1204"/>
        </w:numPr>
        <w:pStyle w:val="Compact"/>
      </w:pPr>
      <w:r>
        <w:t xml:space="preserve">a stay order on a track freezes only the steps within the stay’s scope (</w:t>
      </w:r>
      <w:r>
        <w:rPr>
          <w:rStyle w:val="VerbatimChar"/>
        </w:rPr>
        <w:t xml:space="preserve">stay.scope</w:t>
      </w:r>
      <w:r>
        <w:t xml:space="preserve">);</w:t>
      </w:r>
    </w:p>
    <w:p>
      <w:pPr>
        <w:numPr>
          <w:ilvl w:val="1"/>
          <w:numId w:val="1204"/>
        </w:numPr>
        <w:pStyle w:val="Compact"/>
      </w:pPr>
      <w:r>
        <w:t xml:space="preserve">a borrower PLA application under LSA Act s.22C bars a court route for that dispute where the PLA has jurisdiction.</w:t>
      </w:r>
    </w:p>
    <w:p>
      <w:pPr>
        <w:numPr>
          <w:ilvl w:val="0"/>
          <w:numId w:val="1203"/>
        </w:numPr>
        <w:pStyle w:val="Compact"/>
      </w:pPr>
      <w:r>
        <w:t xml:space="preserve">Every track change emits</w:t>
      </w:r>
      <w:r>
        <w:t xml:space="preserve"> </w:t>
      </w:r>
      <w:r>
        <w:rPr>
          <w:rStyle w:val="VerbatimChar"/>
        </w:rPr>
        <w:t xml:space="preserve">RecoveryStrategyChanged</w:t>
      </w:r>
      <w:r>
        <w:t xml:space="preserve"> </w:t>
      </w:r>
      <w:r>
        <w:t xml:space="preserve">with the reason.</w:t>
      </w:r>
    </w:p>
    <w:bookmarkEnd w:id="114"/>
    <w:bookmarkStart w:id="115" w:name="r1.7-approvals-delegation-and-case-costs"/>
    <w:p>
      <w:pPr>
        <w:pStyle w:val="Heading3"/>
      </w:pPr>
      <w:r>
        <w:t xml:space="preserve">R1.7 Approvals, delegation and case costs</w:t>
      </w:r>
    </w:p>
    <w:p>
      <w:pPr>
        <w:numPr>
          <w:ilvl w:val="0"/>
          <w:numId w:val="1205"/>
        </w:numPr>
        <w:pStyle w:val="Compact"/>
      </w:pPr>
      <w:r>
        <w:t xml:space="preserve">DoA matrix by action (strategy, notice, filing, settlement, write-off, sale), amount band, product and mechanism; maker-checker on every regulated action; related-party recusal (CRM para 13J) and sanctioner exclusion (RSA para 16(5)(i)).</w:t>
      </w:r>
    </w:p>
    <w:p>
      <w:pPr>
        <w:numPr>
          <w:ilvl w:val="0"/>
          <w:numId w:val="1205"/>
        </w:numPr>
        <w:pStyle w:val="Compact"/>
      </w:pPr>
      <w:r>
        <w:t xml:space="preserve">Case cost budget per track with actuals from R11 invoices and R12 postings; recoverable-from-borrower flag with the contract clause reference; cost-to-recover ratio alert.</w:t>
      </w:r>
    </w:p>
    <w:bookmarkEnd w:id="115"/>
    <w:bookmarkStart w:id="116" w:name="Xfaceb432e3965e5ad2a1a9888c86d545f4c6b31"/>
    <w:p>
      <w:pPr>
        <w:pStyle w:val="Heading3"/>
      </w:pPr>
      <w:r>
        <w:t xml:space="preserve">R1.8 Borrower 360, guarantors and co-obligors</w:t>
      </w:r>
    </w:p>
    <w:p>
      <w:pPr>
        <w:numPr>
          <w:ilvl w:val="0"/>
          <w:numId w:val="1206"/>
        </w:numPr>
        <w:pStyle w:val="Compact"/>
      </w:pPr>
      <w:r>
        <w:t xml:space="preserve">Single view of facilities, dues, classification history, contact log, PTPs, field reports, securities, instruments, notices and service, matters, ADR, settlements, complaints, CIC status, DLG and co-lending shares.</w:t>
      </w:r>
    </w:p>
    <w:p>
      <w:pPr>
        <w:numPr>
          <w:ilvl w:val="0"/>
          <w:numId w:val="1206"/>
        </w:numPr>
        <w:pStyle w:val="Compact"/>
      </w:pPr>
      <w:r>
        <w:t xml:space="preserve">Guarantors: liability co-extensive and immediate on demand, without first exhausting remedies against the borrower (ICA s.128; WD para 10); invocation letter; 3-year limitation from demand; refusal routed to WD screening.</w:t>
      </w:r>
    </w:p>
    <w:bookmarkEnd w:id="116"/>
    <w:bookmarkStart w:id="117" w:name="r1.9-deceased-borrower-and-legal-heirs"/>
    <w:p>
      <w:pPr>
        <w:pStyle w:val="Heading3"/>
      </w:pPr>
      <w:r>
        <w:t xml:space="preserve">R1.9 Deceased borrower and legal heirs</w:t>
      </w:r>
    </w:p>
    <w:p>
      <w:pPr>
        <w:numPr>
          <w:ilvl w:val="0"/>
          <w:numId w:val="1207"/>
        </w:numPr>
        <w:pStyle w:val="Compact"/>
      </w:pPr>
      <w:r>
        <w:t xml:space="preserve">On death:</w:t>
      </w:r>
      <w:r>
        <w:t xml:space="preserve"> </w:t>
      </w:r>
      <w:r>
        <w:rPr>
          <w:rStyle w:val="VerbatimChar"/>
        </w:rPr>
        <w:t xml:space="preserve">deceased</w:t>
      </w:r>
      <w:r>
        <w:t xml:space="preserve"> </w:t>
      </w:r>
      <w:r>
        <w:t xml:space="preserve">flag; contact paused for a tenant-set bereavement period (Third Amendment para 100Y(4) requires avoiding bereavement from 1 Jan 2027); insurance claim check (credit-life cover) before any other step.</w:t>
      </w:r>
    </w:p>
    <w:p>
      <w:pPr>
        <w:numPr>
          <w:ilvl w:val="0"/>
          <w:numId w:val="1207"/>
        </w:numPr>
        <w:pStyle w:val="Compact"/>
      </w:pPr>
      <w:r>
        <w:t xml:space="preserve">Legal-heir workflow: heir identification (succession certificate, legal-heir certificate or probate as applicable), execution limited to the estate inherited (CPC s.52), substitution in pending proceedings within 90 days (Limitation Act Art.120; CPC Order XXII), legal-heir procedure published on the website (RBC para 38).</w:t>
      </w:r>
    </w:p>
    <w:p>
      <w:pPr>
        <w:numPr>
          <w:ilvl w:val="0"/>
          <w:numId w:val="1207"/>
        </w:numPr>
        <w:pStyle w:val="Compact"/>
      </w:pPr>
      <w:r>
        <w:t xml:space="preserve">Limitation is not reset by death (s.9). Criminal complaints (s.138) do not continue against heirs [interpretation: criminal liability is personal].</w:t>
      </w:r>
    </w:p>
    <w:bookmarkEnd w:id="117"/>
    <w:bookmarkStart w:id="118" w:name="X85ad29652079fd1fdec9e72026be588a8d79b4d"/>
    <w:p>
      <w:pPr>
        <w:pStyle w:val="Heading3"/>
      </w:pPr>
      <w:r>
        <w:t xml:space="preserve">R1.10 Data captured, controls and configuration</w:t>
      </w:r>
    </w:p>
    <w:p>
      <w:pPr>
        <w:numPr>
          <w:ilvl w:val="0"/>
          <w:numId w:val="1208"/>
        </w:numPr>
        <w:pStyle w:val="Compact"/>
      </w:pPr>
      <w:r>
        <w:rPr>
          <w:bCs/>
          <w:b/>
        </w:rPr>
        <w:t xml:space="preserve">Data:</w:t>
      </w:r>
      <w:r>
        <w:t xml:space="preserve"> </w:t>
      </w:r>
      <w:r>
        <w:t xml:space="preserve">case, track, claim snapshot, mechanism evaluation (inputs, rule versions, outputs, overrides), limitation record and acknowledgment evidence, strategy approvals, cost budget, heir records.</w:t>
      </w:r>
    </w:p>
    <w:p>
      <w:pPr>
        <w:numPr>
          <w:ilvl w:val="0"/>
          <w:numId w:val="1208"/>
        </w:numPr>
        <w:pStyle w:val="Compact"/>
      </w:pPr>
      <w:r>
        <w:rPr>
          <w:bCs/>
          <w:b/>
        </w:rPr>
        <w:t xml:space="preserve">Controls:</w:t>
      </w:r>
      <w:r>
        <w:t xml:space="preserve"> </w:t>
      </w:r>
      <w:r>
        <w:t xml:space="preserve">mechanism engine re-runs on every material event; overrides logged with approver; no irreversible step without a passing hard gate; case cannot close with an open track.</w:t>
      </w:r>
    </w:p>
    <w:p>
      <w:pPr>
        <w:numPr>
          <w:ilvl w:val="0"/>
          <w:numId w:val="1208"/>
        </w:numPr>
        <w:pStyle w:val="Compact"/>
      </w:pPr>
      <w:r>
        <w:rPr>
          <w:bCs/>
          <w:b/>
        </w:rPr>
        <w:t xml:space="preserve">Configuration:</w:t>
      </w:r>
      <w:r>
        <w:t xml:space="preserve"> </w:t>
      </w:r>
      <w:r>
        <w:t xml:space="preserve">triggers per product; strategy rules; DoA bands; alert offsets (tighten only); champion–challenger allocations.</w:t>
      </w:r>
    </w:p>
    <w:p>
      <w:pPr>
        <w:pStyle w:val="FirstParagraph"/>
      </w:pPr>
      <w:r>
        <w:rPr>
          <w:bCs/>
          <w:b/>
        </w:rPr>
        <w:t xml:space="preserve">Events consumed:</w:t>
      </w:r>
      <w:r>
        <w:t xml:space="preserve"> </w:t>
      </w:r>
      <w:r>
        <w:rPr>
          <w:rStyle w:val="VerbatimChar"/>
        </w:rPr>
        <w:t xml:space="preserve">DPDChanged</w:t>
      </w:r>
      <w:r>
        <w:t xml:space="preserve">,</w:t>
      </w:r>
      <w:r>
        <w:t xml:space="preserve"> </w:t>
      </w:r>
      <w:r>
        <w:rPr>
          <w:rStyle w:val="VerbatimChar"/>
        </w:rPr>
        <w:t xml:space="preserve">AssetClassificationChanged</w:t>
      </w:r>
      <w:r>
        <w:t xml:space="preserve">,</w:t>
      </w:r>
      <w:r>
        <w:t xml:space="preserve"> </w:t>
      </w:r>
      <w:r>
        <w:rPr>
          <w:rStyle w:val="VerbatimChar"/>
        </w:rPr>
        <w:t xml:space="preserve">PaymentReceived</w:t>
      </w:r>
      <w:r>
        <w:t xml:space="preserve">,</w:t>
      </w:r>
      <w:r>
        <w:t xml:space="preserve"> </w:t>
      </w:r>
      <w:r>
        <w:rPr>
          <w:rStyle w:val="VerbatimChar"/>
        </w:rPr>
        <w:t xml:space="preserve">PaymentBounced</w:t>
      </w:r>
      <w:r>
        <w:t xml:space="preserve">,</w:t>
      </w:r>
      <w:r>
        <w:t xml:space="preserve"> </w:t>
      </w:r>
      <w:r>
        <w:rPr>
          <w:rStyle w:val="VerbatimChar"/>
        </w:rPr>
        <w:t xml:space="preserve">RiskSignalRaised</w:t>
      </w:r>
      <w:r>
        <w:t xml:space="preserve">,</w:t>
      </w:r>
      <w:r>
        <w:t xml:space="preserve"> </w:t>
      </w:r>
      <w:r>
        <w:rPr>
          <w:rStyle w:val="VerbatimChar"/>
        </w:rPr>
        <w:t xml:space="preserve">MarginCallRaised</w:t>
      </w:r>
      <w:r>
        <w:t xml:space="preserve">,</w:t>
      </w:r>
      <w:r>
        <w:t xml:space="preserve"> </w:t>
      </w:r>
      <w:r>
        <w:rPr>
          <w:rStyle w:val="VerbatimChar"/>
        </w:rPr>
        <w:t xml:space="preserve">MarginCallCured</w:t>
      </w:r>
      <w:r>
        <w:t xml:space="preserve">,</w:t>
      </w:r>
      <w:r>
        <w:t xml:space="preserve"> </w:t>
      </w:r>
      <w:r>
        <w:rPr>
          <w:rStyle w:val="VerbatimChar"/>
        </w:rPr>
        <w:t xml:space="preserve">MarginCallLapsed</w:t>
      </w:r>
      <w:r>
        <w:t xml:space="preserve">,</w:t>
      </w:r>
      <w:r>
        <w:t xml:space="preserve"> </w:t>
      </w:r>
      <w:r>
        <w:rPr>
          <w:rStyle w:val="VerbatimChar"/>
        </w:rPr>
        <w:t xml:space="preserve">CollateralValuationUpdated</w:t>
      </w:r>
      <w:r>
        <w:t xml:space="preserve">,</w:t>
      </w:r>
      <w:r>
        <w:t xml:space="preserve"> </w:t>
      </w:r>
      <w:r>
        <w:rPr>
          <w:rStyle w:val="VerbatimChar"/>
        </w:rPr>
        <w:t xml:space="preserve">ClassificationSynced</w:t>
      </w:r>
      <w:r>
        <w:t xml:space="preserve">,</w:t>
      </w:r>
      <w:r>
        <w:t xml:space="preserve"> </w:t>
      </w:r>
      <w:r>
        <w:rPr>
          <w:rStyle w:val="VerbatimChar"/>
        </w:rPr>
        <w:t xml:space="preserve">CoLendingSplitConfirmed</w:t>
      </w:r>
      <w:r>
        <w:t xml:space="preserve">,</w:t>
      </w:r>
      <w:r>
        <w:t xml:space="preserve"> </w:t>
      </w:r>
      <w:r>
        <w:rPr>
          <w:rStyle w:val="VerbatimChar"/>
        </w:rPr>
        <w:t xml:space="preserve">LoanTransferred</w:t>
      </w:r>
      <w:r>
        <w:t xml:space="preserve">,</w:t>
      </w:r>
      <w:r>
        <w:t xml:space="preserve"> </w:t>
      </w:r>
      <w:r>
        <w:rPr>
          <w:rStyle w:val="VerbatimChar"/>
        </w:rPr>
        <w:t xml:space="preserve">ServicerChanged</w:t>
      </w:r>
      <w:r>
        <w:t xml:space="preserve">,</w:t>
      </w:r>
      <w:r>
        <w:t xml:space="preserve"> </w:t>
      </w:r>
      <w:r>
        <w:rPr>
          <w:rStyle w:val="VerbatimChar"/>
        </w:rPr>
        <w:t xml:space="preserve">SettlementRequested</w:t>
      </w:r>
      <w:r>
        <w:t xml:space="preserve">,</w:t>
      </w:r>
      <w:r>
        <w:t xml:space="preserve"> </w:t>
      </w:r>
      <w:r>
        <w:rPr>
          <w:rStyle w:val="VerbatimChar"/>
        </w:rPr>
        <w:t xml:space="preserve">OrderRecorded</w:t>
      </w:r>
      <w:r>
        <w:t xml:space="preserve">,</w:t>
      </w:r>
      <w:r>
        <w:t xml:space="preserve"> </w:t>
      </w:r>
      <w:r>
        <w:rPr>
          <w:rStyle w:val="VerbatimChar"/>
        </w:rPr>
        <w:t xml:space="preserve">ADROutcomeRecorded</w:t>
      </w:r>
      <w:r>
        <w:t xml:space="preserve">,</w:t>
      </w:r>
      <w:r>
        <w:t xml:space="preserve"> </w:t>
      </w:r>
      <w:r>
        <w:rPr>
          <w:rStyle w:val="VerbatimChar"/>
        </w:rPr>
        <w:t xml:space="preserve">RecoveryReceiptPosted</w:t>
      </w:r>
      <w:r>
        <w:t xml:space="preserve">,</w:t>
      </w:r>
      <w:r>
        <w:t xml:space="preserve"> </w:t>
      </w:r>
      <w:r>
        <w:rPr>
          <w:rStyle w:val="VerbatimChar"/>
        </w:rPr>
        <w:t xml:space="preserve">ConsentWithdrawn</w:t>
      </w:r>
      <w:r>
        <w:t xml:space="preserve">.</w:t>
      </w:r>
      <w:r>
        <w:t xml:space="preserve"> </w:t>
      </w:r>
      <w:r>
        <w:rPr>
          <w:bCs/>
          <w:b/>
        </w:rPr>
        <w:t xml:space="preserve">Emitted:</w:t>
      </w:r>
      <w:r>
        <w:t xml:space="preserve"> </w:t>
      </w:r>
      <w:r>
        <w:rPr>
          <w:rStyle w:val="VerbatimChar"/>
        </w:rPr>
        <w:t xml:space="preserve">RecoveryCaseOpened</w:t>
      </w:r>
      <w:r>
        <w:t xml:space="preserve">,</w:t>
      </w:r>
      <w:r>
        <w:t xml:space="preserve"> </w:t>
      </w:r>
      <w:r>
        <w:rPr>
          <w:rStyle w:val="VerbatimChar"/>
        </w:rPr>
        <w:t xml:space="preserve">RecoveryStrategyChanged</w:t>
      </w:r>
      <w:r>
        <w:t xml:space="preserve">,</w:t>
      </w:r>
      <w:r>
        <w:t xml:space="preserve"> </w:t>
      </w:r>
      <w:r>
        <w:rPr>
          <w:rStyle w:val="VerbatimChar"/>
        </w:rPr>
        <w:t xml:space="preserve">RecoveryCaseClosed</w:t>
      </w:r>
      <w:r>
        <w:t xml:space="preserve">.</w:t>
      </w:r>
    </w:p>
    <w:p>
      <w:pPr>
        <w:pStyle w:val="BodyText"/>
      </w:pPr>
      <w:r>
        <w:rPr>
          <w:bCs/>
          <w:b/>
        </w:rPr>
        <w:t xml:space="preserve">Tests (R1).</w:t>
      </w:r>
      <w:r>
        <w:t xml:space="preserve"> </w:t>
      </w:r>
      <w:r>
        <w:t xml:space="preserve">- NBFC with ₹90 crore assets: SARFAESI blocked with reason</w:t>
      </w:r>
      <w:r>
        <w:t xml:space="preserve"> </w:t>
      </w:r>
      <w:r>
        <w:t xml:space="preserve">“</w:t>
      </w:r>
      <w:r>
        <w:t xml:space="preserve">not notified (assets below ₹100 crore)</w:t>
      </w:r>
      <w:r>
        <w:t xml:space="preserve">”</w:t>
      </w:r>
      <w:r>
        <w:t xml:space="preserve">.</w:t>
      </w:r>
      <w:r>
        <w:t xml:space="preserve"> </w:t>
      </w:r>
      <w:r>
        <w:t xml:space="preserve">- NBFC with ₹500 crore assets, secured claim ₹15 lakh: SARFAESI blocked (below ₹20 lakh).</w:t>
      </w:r>
      <w:r>
        <w:t xml:space="preserve"> </w:t>
      </w:r>
      <w:r>
        <w:t xml:space="preserve">- HFC, secured claim ₹15 lakh: SARFAESI permitted (NBFC floor not applicable to HFCs;</w:t>
      </w:r>
      <w:r>
        <w:t xml:space="preserve"> </w:t>
      </w:r>
      <w:r>
        <w:rPr>
          <w:iCs/>
          <w:i/>
        </w:rPr>
        <w:t xml:space="preserve">Virendra Rathore v. Tehsildar</w:t>
      </w:r>
      <w:r>
        <w:t xml:space="preserve">, MP HC, 22 May 2024).</w:t>
      </w:r>
      <w:r>
        <w:t xml:space="preserve"> </w:t>
      </w:r>
      <w:r>
        <w:t xml:space="preserve">- NBFC claim ₹40 lakh: DRT blocked unless</w:t>
      </w:r>
      <w:r>
        <w:t xml:space="preserve"> </w:t>
      </w:r>
      <w:r>
        <w:rPr>
          <w:rStyle w:val="VerbatimChar"/>
        </w:rPr>
        <w:t xml:space="preserve">rdb_notified</w:t>
      </w:r>
      <w:r>
        <w:t xml:space="preserve">.</w:t>
      </w:r>
      <w:r>
        <w:t xml:space="preserve"> </w:t>
      </w:r>
      <w:r>
        <w:t xml:space="preserve">- Gold pledge: SARFAESI blocked (s.31(b)); pledge sale permitted under RBC paras 60–66.</w:t>
      </w:r>
      <w:r>
        <w:t xml:space="preserve"> </w:t>
      </w:r>
      <w:r>
        <w:t xml:space="preserve">- Demand loan dated 1 Jan 2023 with demand on 1 Jan 2025: limitation ends 1 Jan 2026 (Art.21), not 2028.</w:t>
      </w:r>
      <w:r>
        <w:t xml:space="preserve"> </w:t>
      </w:r>
      <w:r>
        <w:t xml:space="preserve">- Signed acknowledgment on day 1,000 rebases; an unanswered demand notice does not.</w:t>
      </w:r>
      <w:r>
        <w:t xml:space="preserve"> </w:t>
      </w:r>
      <w:r>
        <w:t xml:space="preserve">- CIRP admission against the corporate debtor freezes its SARFAESI track within one event cycle and leaves the s.138 track against directors open.</w:t>
      </w:r>
      <w:r>
        <w:t xml:space="preserve"> </w:t>
      </w:r>
      <w:r>
        <w:t xml:space="preserve">- Settlement approval attempted by the original sanctioning officer is rejected.</w:t>
      </w:r>
    </w:p>
    <w:p>
      <w:r>
        <w:pict>
          <v:rect style="width:0;height:1.5pt" o:hralign="center" o:hrstd="t" o:hr="t"/>
        </w:pict>
      </w:r>
    </w:p>
    <w:bookmarkEnd w:id="118"/>
    <w:bookmarkEnd w:id="119"/>
    <w:bookmarkStart w:id="127" w:name="X7a8ae2c535175f4a8b0c9179a74b6cf20218c85"/>
    <w:p>
      <w:pPr>
        <w:pStyle w:val="Heading2"/>
      </w:pPr>
      <w:r>
        <w:t xml:space="preserve">R2. Pre-legal recovery, field investigation and skip tracing</w:t>
      </w:r>
    </w:p>
    <w:p>
      <w:pPr>
        <w:pStyle w:val="FirstParagraph"/>
      </w:pPr>
      <w:r>
        <w:rPr>
          <w:bCs/>
          <w:b/>
        </w:rPr>
        <w:t xml:space="preserve">Purpose.</w:t>
      </w:r>
      <w:r>
        <w:t xml:space="preserve"> </w:t>
      </w:r>
      <w:r>
        <w:t xml:space="preserve">Run the structured pre-legal phase after collections, establish facts before choosing a legal route, locate untraceable borrowers lawfully, and capture every promise and negotiation within conduct rules.</w:t>
      </w:r>
    </w:p>
    <w:bookmarkStart w:id="120" w:name="r2.1-collections-to-recovery-handoff"/>
    <w:p>
      <w:pPr>
        <w:pStyle w:val="Heading3"/>
      </w:pPr>
      <w:r>
        <w:t xml:space="preserve">R2.1 Collections-to-recovery handoff</w:t>
      </w:r>
    </w:p>
    <w:p>
      <w:pPr>
        <w:numPr>
          <w:ilvl w:val="0"/>
          <w:numId w:val="1209"/>
        </w:numPr>
        <w:pStyle w:val="Compact"/>
      </w:pPr>
      <w:r>
        <w:rPr>
          <w:bCs/>
          <w:b/>
        </w:rPr>
        <w:t xml:space="preserve">Triggers (per product; defaults [REC]):</w:t>
      </w:r>
      <w:r>
        <w:t xml:space="preserve"> </w:t>
      </w:r>
      <w:r>
        <w:t xml:space="preserve">NPA; SMA-2 with a broken PTP; fraud or WD flag; untraceable after the contact ladder; limitation within 180 days; enterprise-level distress.</w:t>
      </w:r>
    </w:p>
    <w:p>
      <w:pPr>
        <w:numPr>
          <w:ilvl w:val="0"/>
          <w:numId w:val="1209"/>
        </w:numPr>
        <w:pStyle w:val="Compact"/>
      </w:pPr>
      <w:r>
        <w:rPr>
          <w:bCs/>
          <w:b/>
        </w:rPr>
        <w:t xml:space="preserve">LSP accounts:</w:t>
      </w:r>
      <w:r>
        <w:t xml:space="preserve"> </w:t>
      </w:r>
      <w:r>
        <w:t xml:space="preserve">an LSP (including Udofin) working early buckets hands over to the RE’s team or RE-appointed agency no later than SMA-2 or NPA per playbook; the LSP never decides escalation or legal action (OUT para 15; CF para 6(7)).</w:t>
      </w:r>
    </w:p>
    <w:p>
      <w:pPr>
        <w:numPr>
          <w:ilvl w:val="0"/>
          <w:numId w:val="1209"/>
        </w:numPr>
        <w:pStyle w:val="Compact"/>
      </w:pPr>
      <w:r>
        <w:rPr>
          <w:bCs/>
          <w:b/>
        </w:rPr>
        <w:t xml:space="preserve">Handoff file (system-assembled):</w:t>
      </w:r>
      <w:r>
        <w:t xml:space="preserve"> </w:t>
      </w:r>
      <w:r>
        <w:t xml:space="preserve">contact history and recordings, PTPs and fulfilment, field reports, intent-versus-ability assessment, restructuring discussions, consent and channel preferences, pre-positioned notice drafts (R3). Settlement-focused contact continues in parallel under R15.1.</w:t>
      </w:r>
    </w:p>
    <w:bookmarkEnd w:id="120"/>
    <w:bookmarkStart w:id="121" w:name="X0279085576d980aca4134da7d4359fcaf7247dd"/>
    <w:p>
      <w:pPr>
        <w:pStyle w:val="Heading3"/>
      </w:pPr>
      <w:r>
        <w:t xml:space="preserve">R2.2 Pre-legal sequence (default; tenant playbook may reorder within guard-rails)</w:t>
      </w:r>
    </w:p>
    <w:p>
      <w:pPr>
        <w:numPr>
          <w:ilvl w:val="0"/>
          <w:numId w:val="1210"/>
        </w:numPr>
        <w:pStyle w:val="Compact"/>
      </w:pPr>
      <w:r>
        <w:t xml:space="preserve">Recovery-agent particulars sent to the borrower before contact (CF para 9(6)); from 1 Jan 2027 agency details at least 1 day before the first visit (para 100L).</w:t>
      </w:r>
    </w:p>
    <w:p>
      <w:pPr>
        <w:numPr>
          <w:ilvl w:val="0"/>
          <w:numId w:val="1210"/>
        </w:numPr>
        <w:pStyle w:val="Compact"/>
      </w:pPr>
      <w:r>
        <w:t xml:space="preserve">Structured demand and settlement-option letter (R3) with grievance-officer block.</w:t>
      </w:r>
    </w:p>
    <w:p>
      <w:pPr>
        <w:numPr>
          <w:ilvl w:val="0"/>
          <w:numId w:val="1210"/>
        </w:numPr>
        <w:pStyle w:val="Compact"/>
      </w:pPr>
      <w:r>
        <w:t xml:space="preserve">Field investigation where ticket or risk justifies it.</w:t>
      </w:r>
    </w:p>
    <w:p>
      <w:pPr>
        <w:numPr>
          <w:ilvl w:val="0"/>
          <w:numId w:val="1210"/>
        </w:numPr>
        <w:pStyle w:val="Compact"/>
      </w:pPr>
      <w:r>
        <w:t xml:space="preserve">Agent or in-house recovery contact with PTP capture.</w:t>
      </w:r>
    </w:p>
    <w:p>
      <w:pPr>
        <w:numPr>
          <w:ilvl w:val="0"/>
          <w:numId w:val="1210"/>
        </w:numPr>
        <w:pStyle w:val="Compact"/>
      </w:pPr>
      <w:r>
        <w:t xml:space="preserve">Advocate’s demand notice (loan recall, guarantor invocation) where the playbook requires it before formal action.</w:t>
      </w:r>
    </w:p>
    <w:p>
      <w:pPr>
        <w:numPr>
          <w:ilvl w:val="0"/>
          <w:numId w:val="1210"/>
        </w:numPr>
        <w:pStyle w:val="Compact"/>
      </w:pPr>
      <w:r>
        <w:t xml:space="preserve">Strategy review at the end of the active-phase window (default 60–90 days for secured retail and MSME; tenant-set).</w:t>
      </w:r>
    </w:p>
    <w:bookmarkEnd w:id="121"/>
    <w:bookmarkStart w:id="122" w:name="X3d60b7f870274ebbd5d367c269e665c6ffa5328"/>
    <w:p>
      <w:pPr>
        <w:pStyle w:val="Heading3"/>
      </w:pPr>
      <w:r>
        <w:t xml:space="preserve">R2.3 Field investigation (fact-finding, not collection)</w:t>
      </w:r>
    </w:p>
    <w:p>
      <w:pPr>
        <w:numPr>
          <w:ilvl w:val="0"/>
          <w:numId w:val="1211"/>
        </w:numPr>
        <w:pStyle w:val="Compact"/>
      </w:pPr>
      <w:r>
        <w:rPr>
          <w:bCs/>
          <w:b/>
        </w:rPr>
        <w:t xml:space="preserve">Mandate:</w:t>
      </w:r>
      <w:r>
        <w:t xml:space="preserve"> </w:t>
      </w:r>
      <w:r>
        <w:t xml:space="preserve">verify and report only; no demand, negotiation or collection. An investigator who also collects is treated as a recovery agent [REC].</w:t>
      </w:r>
    </w:p>
    <w:p>
      <w:pPr>
        <w:numPr>
          <w:ilvl w:val="0"/>
          <w:numId w:val="1211"/>
        </w:numPr>
        <w:pStyle w:val="Compact"/>
      </w:pPr>
      <w:r>
        <w:rPr>
          <w:bCs/>
          <w:b/>
        </w:rPr>
        <w:t xml:space="preserve">Visit report (configurable form):</w:t>
      </w:r>
      <w:r>
        <w:t xml:space="preserve"> </w:t>
      </w:r>
      <w:r>
        <w:t xml:space="preserve">residential and business address status (confirmed, vacated, untraceable); occupancy and business activity; security condition, occupation and apparent tenancy (a tenancy created after the s.13(2) notice without consent is void, SARFAESI s.13(13);</w:t>
      </w:r>
      <w:r>
        <w:t xml:space="preserve"> </w:t>
      </w:r>
      <w:r>
        <w:rPr>
          <w:iCs/>
          <w:i/>
        </w:rPr>
        <w:t xml:space="preserve">Boon Realtors v. Julien Educational Trust</w:t>
      </w:r>
      <w:r>
        <w:t xml:space="preserve">, Cal HC DB, June 2026); other assets; willingness and capacity; fraud or diversion indicators; recommendation.</w:t>
      </w:r>
    </w:p>
    <w:p>
      <w:pPr>
        <w:numPr>
          <w:ilvl w:val="0"/>
          <w:numId w:val="1211"/>
        </w:numPr>
        <w:pStyle w:val="Compact"/>
      </w:pPr>
      <w:r>
        <w:rPr>
          <w:bCs/>
          <w:b/>
        </w:rPr>
        <w:t xml:space="preserve">Evidence:</w:t>
      </w:r>
      <w:r>
        <w:t xml:space="preserve"> </w:t>
      </w:r>
      <w:r>
        <w:t xml:space="preserve">device geo-tag and timestamp (read-only), geo-fence match, photographs of premises and name-plate only (no individuals without consent), visit inside the contact window, investigator ID and authorisation, offline capture with tamper-evident sync.</w:t>
      </w:r>
    </w:p>
    <w:p>
      <w:pPr>
        <w:numPr>
          <w:ilvl w:val="0"/>
          <w:numId w:val="1211"/>
        </w:numPr>
        <w:pStyle w:val="Compact"/>
      </w:pPr>
      <w:r>
        <w:rPr>
          <w:bCs/>
          <w:b/>
        </w:rPr>
        <w:t xml:space="preserve">Asset verification:</w:t>
      </w:r>
      <w:r>
        <w:t xml:space="preserve"> </w:t>
      </w:r>
      <w:r>
        <w:t xml:space="preserve">land records where available, Vahan via permitted channel, MCA, CERSAI search, existing charges.</w:t>
      </w:r>
    </w:p>
    <w:bookmarkEnd w:id="122"/>
    <w:bookmarkStart w:id="123" w:name="r2.4-lawful-skip-tracing"/>
    <w:p>
      <w:pPr>
        <w:pStyle w:val="Heading3"/>
      </w:pPr>
      <w:r>
        <w:t xml:space="preserve">R2.4 Lawful skip tracing</w:t>
      </w:r>
    </w:p>
    <w:p>
      <w:pPr>
        <w:numPr>
          <w:ilvl w:val="0"/>
          <w:numId w:val="1212"/>
        </w:numPr>
        <w:pStyle w:val="Compact"/>
      </w:pPr>
      <w:r>
        <w:rPr>
          <w:bCs/>
          <w:b/>
        </w:rPr>
        <w:t xml:space="preserve">Basis:</w:t>
      </w:r>
      <w:r>
        <w:t xml:space="preserve"> </w:t>
      </w:r>
      <w:r>
        <w:t xml:space="preserve">DPDP Act s.17(1)(f) exempts processing to ascertain the financial information, assets and liabilities of a person who has defaulted on a loan from a financial institution, from Chapter II (except s.8(1) and s.8(5)), Chapter III and s.16. Accuracy and security duties still apply, and so do RBC conduct rules.</w:t>
      </w:r>
    </w:p>
    <w:p>
      <w:pPr>
        <w:numPr>
          <w:ilvl w:val="0"/>
          <w:numId w:val="1212"/>
        </w:numPr>
        <w:pStyle w:val="Compact"/>
      </w:pPr>
      <w:r>
        <w:rPr>
          <w:bCs/>
          <w:b/>
        </w:rPr>
        <w:t xml:space="preserve">Permitted sources (each logged with source, time and purpose):</w:t>
      </w:r>
      <w:r>
        <w:t xml:space="preserve"> </w:t>
      </w:r>
      <w:r>
        <w:t xml:space="preserve">lender and group records; updated KYC and CKYC; CIC address refresh; public registers (CERSAI, MCA, land records, electoral rolls, court records); Vahan via permitted channel; Account Aggregator data only within the consent’s purpose and validity; third-party contact only for</w:t>
      </w:r>
      <w:r>
        <w:t xml:space="preserve"> </w:t>
      </w:r>
      <w:r>
        <w:rPr>
          <w:rStyle w:val="VerbatimChar"/>
        </w:rPr>
        <w:t xml:space="preserve">purpose = LOCATE</w:t>
      </w:r>
      <w:r>
        <w:t xml:space="preserve"> </w:t>
      </w:r>
      <w:r>
        <w:t xml:space="preserve">with a script that discloses nothing about the debt.</w:t>
      </w:r>
    </w:p>
    <w:p>
      <w:pPr>
        <w:numPr>
          <w:ilvl w:val="0"/>
          <w:numId w:val="1212"/>
        </w:numPr>
        <w:pStyle w:val="Compact"/>
      </w:pPr>
      <w:r>
        <w:rPr>
          <w:bCs/>
          <w:b/>
        </w:rPr>
        <w:t xml:space="preserve">Prohibited (hard-blocked):</w:t>
      </w:r>
      <w:r>
        <w:t xml:space="preserve"> </w:t>
      </w:r>
      <w:r>
        <w:t xml:space="preserve">pretext or impersonation; phone contacts, call logs or media (CF para 13(1)); device personal data (para 100U from 1 Jan 2027); disclosing the default to employers, relatives or neighbours (RBC paras 91, 100); unauthorised sources.</w:t>
      </w:r>
    </w:p>
    <w:p>
      <w:pPr>
        <w:numPr>
          <w:ilvl w:val="0"/>
          <w:numId w:val="1212"/>
        </w:numPr>
        <w:pStyle w:val="Compact"/>
      </w:pPr>
      <w:r>
        <w:rPr>
          <w:bCs/>
          <w:b/>
        </w:rPr>
        <w:t xml:space="preserve">Output:</w:t>
      </w:r>
      <w:r>
        <w:t xml:space="preserve"> </w:t>
      </w:r>
      <w:r>
        <w:t xml:space="preserve">a diligence log exportable as the affidavit annexure for substituted service (R3.5).</w:t>
      </w:r>
    </w:p>
    <w:bookmarkEnd w:id="123"/>
    <w:bookmarkStart w:id="124" w:name="r2.5-ptp-and-negotiation-logging"/>
    <w:p>
      <w:pPr>
        <w:pStyle w:val="Heading3"/>
      </w:pPr>
      <w:r>
        <w:t xml:space="preserve">R2.5 PTP and negotiation logging</w:t>
      </w:r>
    </w:p>
    <w:p>
      <w:pPr>
        <w:numPr>
          <w:ilvl w:val="0"/>
          <w:numId w:val="1213"/>
        </w:numPr>
        <w:pStyle w:val="Compact"/>
      </w:pPr>
      <w:r>
        <w:t xml:space="preserve">PTP = amount + date + channel; vague commitments are not PTPs. Confirmation with an RE payment link (funds only to the RE’s account; CF para 10(3)); reminder before the date; fulfilment tracked; broken PTP escalates.</w:t>
      </w:r>
    </w:p>
    <w:p>
      <w:pPr>
        <w:numPr>
          <w:ilvl w:val="0"/>
          <w:numId w:val="1213"/>
        </w:numPr>
        <w:pStyle w:val="Compact"/>
      </w:pPr>
      <w:r>
        <w:t xml:space="preserve">Negotiation log: offers and counter-offers, authority band of the negotiator, NPV floor reference, hardship evidence; any offer outside the band routes to R8 approval. A written, signed admission captured during negotiation is stored as an acknowledgment candidate for the limitation engine (R1.5).</w:t>
      </w:r>
    </w:p>
    <w:bookmarkEnd w:id="124"/>
    <w:bookmarkStart w:id="125" w:name="X6714dcd59459da3f181fd4b323e1fe0f4ee4e3e"/>
    <w:p>
      <w:pPr>
        <w:pStyle w:val="Heading3"/>
      </w:pPr>
      <w:r>
        <w:t xml:space="preserve">R2.6 Conduct limits (enforced by the contact-policy engine, R15.1)</w:t>
      </w:r>
    </w:p>
    <w:p>
      <w:pPr>
        <w:numPr>
          <w:ilvl w:val="0"/>
          <w:numId w:val="1214"/>
        </w:numPr>
        <w:pStyle w:val="Compact"/>
      </w:pPr>
      <w:r>
        <w:rPr>
          <w:bCs/>
          <w:b/>
        </w:rPr>
        <w:t xml:space="preserve">Until 31 Dec 2026:</w:t>
      </w:r>
      <w:r>
        <w:t xml:space="preserve"> </w:t>
      </w:r>
      <w:r>
        <w:t xml:space="preserve">recovery calls 08:00–19:00 (RBC para 100); microfinance 09:00–18:00, collection at the designated place, home or work visits only after two or more successive non-appearances (RBC paras 90–91); agent notice, authorisation and ID (paras 95–96); police verification (para 94).</w:t>
      </w:r>
    </w:p>
    <w:p>
      <w:pPr>
        <w:numPr>
          <w:ilvl w:val="0"/>
          <w:numId w:val="1214"/>
        </w:numPr>
        <w:pStyle w:val="Compact"/>
      </w:pPr>
      <w:r>
        <w:rPr>
          <w:bCs/>
          <w:b/>
        </w:rPr>
        <w:t xml:space="preserve">From 1 Jan 2027</w:t>
      </w:r>
      <w:r>
        <w:t xml:space="preserve"> </w:t>
      </w:r>
      <w:r>
        <w:t xml:space="preserve">(RBC Third Amendment Directions 2026, RBI/2026-27/230, 6 Aug 2026, deleting paras 89–100 and inserting paras 100A–100AB): contact and visits 08:00–19:00 unless the borrower asks otherwise, avoiding bereavement, weddings and festivals (para 100Y(4)); visits only where no place was chosen or after two or more non-appearances (para 100Y(5)); agency details at least 1 day before the first visit (para 100L); minimum data to agents (para 100O); call recording (para 100P); IIBF certificate (para 100I); pre-approved written communications (para 100Y(8)); grievance-officer details (para 100AA); no device personal data (para 100U) [VERIFY: whether a separate microfinance window survives after 1 Jan 2027].</w:t>
      </w:r>
    </w:p>
    <w:p>
      <w:pPr>
        <w:numPr>
          <w:ilvl w:val="0"/>
          <w:numId w:val="1214"/>
        </w:numPr>
        <w:pStyle w:val="Compact"/>
      </w:pPr>
      <w:r>
        <w:t xml:space="preserve">RBI sets no numeric frequency cap; the test is</w:t>
      </w:r>
      <w:r>
        <w:t xml:space="preserve"> </w:t>
      </w:r>
      <w:r>
        <w:t xml:space="preserve">“</w:t>
      </w:r>
      <w:r>
        <w:t xml:space="preserve">persistent or excessive</w:t>
      </w:r>
      <w:r>
        <w:t xml:space="preserve">”</w:t>
      </w:r>
      <w:r>
        <w:t xml:space="preserve">. Caps are Board policy (default [REC]: one right-party voice attempt a day plus a tenant-set weekly cap across channels).</w:t>
      </w:r>
    </w:p>
    <w:p>
      <w:pPr>
        <w:numPr>
          <w:ilvl w:val="0"/>
          <w:numId w:val="1214"/>
        </w:numPr>
        <w:pStyle w:val="Compact"/>
      </w:pPr>
      <w:r>
        <w:t xml:space="preserve">State overlays as rule packs by borrower state: Karnataka Act 15 of 2025; Tamil Nadu Money Lending Entities (Prevention of Coercive Actions) Act 2025 (notified 9 Jun 2025; ss.20–26 reach NBFCs; vires contested); Assam Act 2020.</w:t>
      </w:r>
    </w:p>
    <w:bookmarkEnd w:id="125"/>
    <w:bookmarkStart w:id="126" w:name="Xc965e5a09730dbd819d3bff9ce43394084668a3"/>
    <w:p>
      <w:pPr>
        <w:pStyle w:val="Heading3"/>
      </w:pPr>
      <w:r>
        <w:t xml:space="preserve">R2.7 Plug-in design for a future field-investigation app</w:t>
      </w:r>
    </w:p>
    <w:p>
      <w:pPr>
        <w:numPr>
          <w:ilvl w:val="0"/>
          <w:numId w:val="1215"/>
        </w:numPr>
        <w:pStyle w:val="Compact"/>
      </w:pPr>
      <w:r>
        <w:t xml:space="preserve">The FI app integrates as an external task worker on queue</w:t>
      </w:r>
      <w:r>
        <w:t xml:space="preserve"> </w:t>
      </w:r>
      <w:r>
        <w:rPr>
          <w:rStyle w:val="VerbatimChar"/>
        </w:rPr>
        <w:t xml:space="preserve">fi.visit</w:t>
      </w:r>
      <w:r>
        <w:t xml:space="preserve"> </w:t>
      </w:r>
      <w:r>
        <w:t xml:space="preserve">and through the Specification events (Integration Specification Part 6.2):</w:t>
      </w:r>
      <w:r>
        <w:t xml:space="preserve"> </w:t>
      </w:r>
      <w:r>
        <w:rPr>
          <w:rStyle w:val="VerbatimChar"/>
        </w:rPr>
        <w:t xml:space="preserve">VerificationRequested</w:t>
      </w:r>
      <w:r>
        <w:t xml:space="preserve"> </w:t>
      </w:r>
      <w:r>
        <w:t xml:space="preserve">(case reference, address, purpose, deadline, permitted data) and</w:t>
      </w:r>
      <w:r>
        <w:t xml:space="preserve"> </w:t>
      </w:r>
      <w:r>
        <w:rPr>
          <w:rStyle w:val="VerbatimChar"/>
        </w:rPr>
        <w:t xml:space="preserve">VerificationCompleted</w:t>
      </w:r>
      <w:r>
        <w:t xml:space="preserve"> </w:t>
      </w:r>
      <w:r>
        <w:t xml:space="preserve">(findings, geo, timestamps, evidence SHA-256, investigator ID, police-verification status).</w:t>
      </w:r>
    </w:p>
    <w:p>
      <w:pPr>
        <w:numPr>
          <w:ilvl w:val="0"/>
          <w:numId w:val="1215"/>
        </w:numPr>
        <w:pStyle w:val="Compact"/>
      </w:pPr>
      <w:r>
        <w:t xml:space="preserve">Onboarding follows the Specification’s ecosystem-product checklist: outsourcing materiality and group policy (OUT paras 45–51), DPIA, India-only data, OIDC and SCIM, mTLS, certification suite,</w:t>
      </w:r>
      <w:r>
        <w:t xml:space="preserve"> </w:t>
      </w:r>
      <w:r>
        <w:rPr>
          <w:rStyle w:val="VerbatimChar"/>
        </w:rPr>
        <w:t xml:space="preserve">ConnectorCertified</w:t>
      </w:r>
      <w:r>
        <w:t xml:space="preserve">.</w:t>
      </w:r>
    </w:p>
    <w:p>
      <w:pPr>
        <w:pStyle w:val="FirstParagraph"/>
      </w:pPr>
      <w:r>
        <w:rPr>
          <w:bCs/>
          <w:b/>
        </w:rPr>
        <w:t xml:space="preserve">Data captured.</w:t>
      </w:r>
      <w:r>
        <w:t xml:space="preserve"> </w:t>
      </w:r>
      <w:r>
        <w:t xml:space="preserve">Handoff file, FI report and evidence, skip-trace log (source, purpose, result), PTPs, negotiation log, contact attempts with recording reference.</w:t>
      </w:r>
    </w:p>
    <w:p>
      <w:pPr>
        <w:pStyle w:val="BodyText"/>
      </w:pPr>
      <w:r>
        <w:rPr>
          <w:bCs/>
          <w:b/>
        </w:rPr>
        <w:t xml:space="preserve">Controls.</w:t>
      </w:r>
      <w:r>
        <w:t xml:space="preserve"> </w:t>
      </w:r>
      <w:r>
        <w:t xml:space="preserve">Contact-policy check before every attempt (logged, including denials); FI cannot record a payment; third-party contact limited to</w:t>
      </w:r>
      <w:r>
        <w:t xml:space="preserve"> </w:t>
      </w:r>
      <w:r>
        <w:rPr>
          <w:rStyle w:val="VerbatimChar"/>
        </w:rPr>
        <w:t xml:space="preserve">LOCATE</w:t>
      </w:r>
      <w:r>
        <w:t xml:space="preserve">; geo and time fields read-only.</w:t>
      </w:r>
    </w:p>
    <w:p>
      <w:pPr>
        <w:pStyle w:val="BodyText"/>
      </w:pPr>
      <w:r>
        <w:rPr>
          <w:bCs/>
          <w:b/>
        </w:rPr>
        <w:t xml:space="preserve">Configuration.</w:t>
      </w:r>
      <w:r>
        <w:t xml:space="preserve"> </w:t>
      </w:r>
      <w:r>
        <w:t xml:space="preserve">Handoff triggers, active-phase window, FI thresholds by ticket and product, forms, frequency caps, festival calendars by state.</w:t>
      </w:r>
    </w:p>
    <w:p>
      <w:pPr>
        <w:pStyle w:val="BodyText"/>
      </w:pPr>
      <w:r>
        <w:rPr>
          <w:bCs/>
          <w:b/>
        </w:rPr>
        <w:t xml:space="preserve">Events.</w:t>
      </w:r>
      <w:r>
        <w:t xml:space="preserve"> </w:t>
      </w:r>
      <w:r>
        <w:t xml:space="preserve">Consumed:</w:t>
      </w:r>
      <w:r>
        <w:t xml:space="preserve"> </w:t>
      </w:r>
      <w:r>
        <w:rPr>
          <w:rStyle w:val="VerbatimChar"/>
        </w:rPr>
        <w:t xml:space="preserve">CollectionActivityLogged</w:t>
      </w:r>
      <w:r>
        <w:t xml:space="preserve">,</w:t>
      </w:r>
      <w:r>
        <w:t xml:space="preserve"> </w:t>
      </w:r>
      <w:r>
        <w:rPr>
          <w:rStyle w:val="VerbatimChar"/>
        </w:rPr>
        <w:t xml:space="preserve">PTPCaptured</w:t>
      </w:r>
      <w:r>
        <w:t xml:space="preserve">,</w:t>
      </w:r>
      <w:r>
        <w:t xml:space="preserve"> </w:t>
      </w:r>
      <w:r>
        <w:rPr>
          <w:rStyle w:val="VerbatimChar"/>
        </w:rPr>
        <w:t xml:space="preserve">FieldVisitLogged</w:t>
      </w:r>
      <w:r>
        <w:t xml:space="preserve">,</w:t>
      </w:r>
      <w:r>
        <w:t xml:space="preserve"> </w:t>
      </w:r>
      <w:r>
        <w:rPr>
          <w:rStyle w:val="VerbatimChar"/>
        </w:rPr>
        <w:t xml:space="preserve">ReceiptIssued</w:t>
      </w:r>
      <w:r>
        <w:t xml:space="preserve">,</w:t>
      </w:r>
      <w:r>
        <w:t xml:space="preserve"> </w:t>
      </w:r>
      <w:r>
        <w:rPr>
          <w:rStyle w:val="VerbatimChar"/>
        </w:rPr>
        <w:t xml:space="preserve">ConsentWithdrawn</w:t>
      </w:r>
      <w:r>
        <w:t xml:space="preserve">. Consumed also:</w:t>
      </w:r>
      <w:r>
        <w:t xml:space="preserve"> </w:t>
      </w:r>
      <w:r>
        <w:rPr>
          <w:rStyle w:val="VerbatimChar"/>
        </w:rPr>
        <w:t xml:space="preserve">VerificationCompleted</w:t>
      </w:r>
      <w:r>
        <w:t xml:space="preserve">. Emitted:</w:t>
      </w:r>
      <w:r>
        <w:t xml:space="preserve"> </w:t>
      </w:r>
      <w:r>
        <w:rPr>
          <w:rStyle w:val="VerbatimChar"/>
        </w:rPr>
        <w:t xml:space="preserve">CollectionAllocated</w:t>
      </w:r>
      <w:r>
        <w:t xml:space="preserve">,</w:t>
      </w:r>
      <w:r>
        <w:t xml:space="preserve"> </w:t>
      </w:r>
      <w:r>
        <w:rPr>
          <w:rStyle w:val="VerbatimChar"/>
        </w:rPr>
        <w:t xml:space="preserve">CollectionDeallocated</w:t>
      </w:r>
      <w:r>
        <w:t xml:space="preserve">,</w:t>
      </w:r>
      <w:r>
        <w:t xml:space="preserve"> </w:t>
      </w:r>
      <w:r>
        <w:rPr>
          <w:rStyle w:val="VerbatimChar"/>
        </w:rPr>
        <w:t xml:space="preserve">RecoveryAgentNoticeSent</w:t>
      </w:r>
      <w:r>
        <w:t xml:space="preserve"> </w:t>
      </w:r>
      <w:r>
        <w:t xml:space="preserve">(R2.2 step 1),</w:t>
      </w:r>
      <w:r>
        <w:t xml:space="preserve"> </w:t>
      </w:r>
      <w:r>
        <w:rPr>
          <w:rStyle w:val="VerbatimChar"/>
        </w:rPr>
        <w:t xml:space="preserve">VerificationRequested</w:t>
      </w:r>
      <w:r>
        <w:t xml:space="preserve">,</w:t>
      </w:r>
      <w:r>
        <w:t xml:space="preserve"> </w:t>
      </w:r>
      <w:r>
        <w:rPr>
          <w:rStyle w:val="VerbatimChar"/>
        </w:rPr>
        <w:t xml:space="preserve">RecoveryStrategyChanged</w:t>
      </w:r>
      <w:r>
        <w:t xml:space="preserve">.</w:t>
      </w:r>
    </w:p>
    <w:p>
      <w:pPr>
        <w:pStyle w:val="BodyText"/>
      </w:pPr>
      <w:r>
        <w:rPr>
          <w:bCs/>
          <w:b/>
        </w:rPr>
        <w:t xml:space="preserve">Tests (R2).</w:t>
      </w:r>
      <w:r>
        <w:t xml:space="preserve"> </w:t>
      </w:r>
      <w:r>
        <w:t xml:space="preserve">FI app cannot submit a receipt; a third-party call with</w:t>
      </w:r>
      <w:r>
        <w:t xml:space="preserve"> </w:t>
      </w:r>
      <w:r>
        <w:rPr>
          <w:rStyle w:val="VerbatimChar"/>
        </w:rPr>
        <w:t xml:space="preserve">purpose = COLLECT</w:t>
      </w:r>
      <w:r>
        <w:t xml:space="preserve"> </w:t>
      </w:r>
      <w:r>
        <w:t xml:space="preserve">is blocked; a visit logged at 19:20 is flagged as a breach; an LSP attempt to mark</w:t>
      </w:r>
      <w:r>
        <w:t xml:space="preserve"> </w:t>
      </w:r>
      <w:r>
        <w:t xml:space="preserve">“</w:t>
      </w:r>
      <w:r>
        <w:t xml:space="preserve">escalate to legal</w:t>
      </w:r>
      <w:r>
        <w:t xml:space="preserve">”</w:t>
      </w:r>
      <w:r>
        <w:t xml:space="preserve"> </w:t>
      </w:r>
      <w:r>
        <w:t xml:space="preserve">is rejected; PTP without an amount is rejected; skip-trace export lists every source with timestamps.</w:t>
      </w:r>
    </w:p>
    <w:p>
      <w:r>
        <w:pict>
          <v:rect style="width:0;height:1.5pt" o:hralign="center" o:hrstd="t" o:hr="t"/>
        </w:pict>
      </w:r>
    </w:p>
    <w:bookmarkEnd w:id="126"/>
    <w:bookmarkEnd w:id="127"/>
    <w:bookmarkStart w:id="134" w:name="X3200c7a93c2263bf7f4e216969c4d03faa673ac"/>
    <w:p>
      <w:pPr>
        <w:pStyle w:val="Heading2"/>
      </w:pPr>
      <w:r>
        <w:t xml:space="preserve">R3. Legal notices, letters and document automation</w:t>
      </w:r>
    </w:p>
    <w:p>
      <w:pPr>
        <w:pStyle w:val="FirstParagraph"/>
      </w:pPr>
      <w:r>
        <w:rPr>
          <w:bCs/>
          <w:b/>
        </w:rPr>
        <w:t xml:space="preserve">Purpose.</w:t>
      </w:r>
      <w:r>
        <w:t xml:space="preserve"> </w:t>
      </w:r>
      <w:r>
        <w:t xml:space="preserve">Generate, approve, sign, dispatch and prove service of every statutory and contractual notice and letter, in the borrower’s language, with deadlines started only by evidenced service.</w:t>
      </w:r>
    </w:p>
    <w:bookmarkStart w:id="128" w:name="r3.1-template-engine"/>
    <w:p>
      <w:pPr>
        <w:pStyle w:val="Heading3"/>
      </w:pPr>
      <w:r>
        <w:t xml:space="preserve">R3.1 Template engine</w:t>
      </w:r>
    </w:p>
    <w:p>
      <w:pPr>
        <w:numPr>
          <w:ilvl w:val="0"/>
          <w:numId w:val="1216"/>
        </w:numPr>
        <w:pStyle w:val="Compact"/>
      </w:pPr>
      <w:r>
        <w:rPr>
          <w:bCs/>
          <w:b/>
        </w:rPr>
        <w:t xml:space="preserve">Versioned templates:</w:t>
      </w:r>
      <w:r>
        <w:t xml:space="preserve"> </w:t>
      </w:r>
      <w:r>
        <w:rPr>
          <w:rStyle w:val="VerbatimChar"/>
        </w:rPr>
        <w:t xml:space="preserve">template {id, instrument, statute_ref, version, language, approval_chain, effective_from, effective_to, locked}</w:t>
      </w:r>
      <w:r>
        <w:t xml:space="preserve">; dispatched notices pin the exact version and content hash.</w:t>
      </w:r>
    </w:p>
    <w:p>
      <w:pPr>
        <w:numPr>
          <w:ilvl w:val="0"/>
          <w:numId w:val="1216"/>
        </w:numPr>
        <w:pStyle w:val="Compact"/>
      </w:pPr>
      <w:r>
        <w:rPr>
          <w:bCs/>
          <w:b/>
        </w:rPr>
        <w:t xml:space="preserve">Clause library:</w:t>
      </w:r>
      <w:r>
        <w:t xml:space="preserve"> </w:t>
      </w:r>
      <w:r>
        <w:t xml:space="preserve">clauses with text by language, condition (expression on case data),</w:t>
      </w:r>
      <w:r>
        <w:t xml:space="preserve"> </w:t>
      </w:r>
      <w:r>
        <w:rPr>
          <w:rStyle w:val="VerbatimChar"/>
        </w:rPr>
        <w:t xml:space="preserve">mandatory</w:t>
      </w:r>
      <w:r>
        <w:t xml:space="preserve"> </w:t>
      </w:r>
      <w:r>
        <w:t xml:space="preserve">flag and citation; mandatory clauses cannot be removed (for example the s.13(8) redemption note, Rule 3(5); the grievance-officer block, para 100AA).</w:t>
      </w:r>
    </w:p>
    <w:p>
      <w:pPr>
        <w:numPr>
          <w:ilvl w:val="0"/>
          <w:numId w:val="1216"/>
        </w:numPr>
        <w:pStyle w:val="Compact"/>
      </w:pPr>
      <w:r>
        <w:rPr>
          <w:bCs/>
          <w:b/>
        </w:rPr>
        <w:t xml:space="preserve">Conditional logic and variables:</w:t>
      </w:r>
      <w:r>
        <w:t xml:space="preserve"> </w:t>
      </w:r>
      <w:r>
        <w:t xml:space="preserve">borrower constitution; each borrower, co-borrower and guarantor (one notice per party, Rule 3(4)); security schedule; dues snapshot frozen at a stated date and shown by component; product; language.</w:t>
      </w:r>
    </w:p>
    <w:p>
      <w:pPr>
        <w:numPr>
          <w:ilvl w:val="0"/>
          <w:numId w:val="1216"/>
        </w:numPr>
        <w:pStyle w:val="Compact"/>
      </w:pPr>
      <w:r>
        <w:rPr>
          <w:bCs/>
          <w:b/>
        </w:rPr>
        <w:t xml:space="preserve">Languages:</w:t>
      </w:r>
      <w:r>
        <w:t xml:space="preserve"> </w:t>
      </w:r>
      <w:r>
        <w:t xml:space="preserve">English plus the 22 Eighth Schedule languages (Assamese, Bengali, Bodo, Dogri, Gujarati, Hindi, Kannada, Kashmiri, Konkani, Maithili, Malayalam, Manipuri, Marathi, Nepali, Odia, Punjabi, Sanskrit, Santali, Sindhi, Tamil, Telugu, Urdu), because communications must be in a language the borrower understands (RBC para 10). Machine translation is a draft only; a qualified translator certifies each version. Dispatch is blocked without a certified template in the borrower’s language unless an approved bilingual fallback is recorded.</w:t>
      </w:r>
    </w:p>
    <w:p>
      <w:pPr>
        <w:numPr>
          <w:ilvl w:val="0"/>
          <w:numId w:val="1216"/>
        </w:numPr>
        <w:pStyle w:val="Compact"/>
      </w:pPr>
      <w:r>
        <w:rPr>
          <w:bCs/>
          <w:b/>
        </w:rPr>
        <w:t xml:space="preserve">Approval workflow:</w:t>
      </w:r>
      <w:r>
        <w:t xml:space="preserve"> </w:t>
      </w:r>
      <w:r>
        <w:t xml:space="preserve">drafter → legal review → CCO (for regulated templates) → lock. Pre-approval of recovery communications is mandatory from 1 Jan 2027 (para 100Y(8)).</w:t>
      </w:r>
    </w:p>
    <w:p>
      <w:pPr>
        <w:numPr>
          <w:ilvl w:val="0"/>
          <w:numId w:val="1216"/>
        </w:numPr>
        <w:pStyle w:val="Compact"/>
      </w:pPr>
      <w:r>
        <w:rPr>
          <w:bCs/>
          <w:b/>
        </w:rPr>
        <w:t xml:space="preserve">Rendering:</w:t>
      </w:r>
      <w:r>
        <w:t xml:space="preserve"> </w:t>
      </w:r>
      <w:r>
        <w:t xml:space="preserve">PDF/A-2b with a QR code carrying the document hash and verification URL; outward register number.</w:t>
      </w:r>
    </w:p>
    <w:bookmarkEnd w:id="128"/>
    <w:bookmarkStart w:id="129" w:name="X8fd4200778798540adccf57cbf80e2e4ae2aba9"/>
    <w:p>
      <w:pPr>
        <w:pStyle w:val="Heading3"/>
      </w:pPr>
      <w:r>
        <w:t xml:space="preserve">R3.2 Notice and letter catalogue (each template is customisable within its mandatory clauses)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71"/>
        <w:gridCol w:w="2000"/>
        <w:gridCol w:w="2171"/>
        <w:gridCol w:w="3296"/>
      </w:tblGrid>
      <w:tr>
        <w:trPr>
          <w:tblHeader w:val="true"/>
          <w:tblHeader w:val="true"/>
        </w:trPr>
        <w:tc>
          <w:tcPr>
            <w:tcW w:w="2171" w:type="dxa"/>
            <w:shd w:val="clear" w:color="auto" w:fill="1F3A5F"/>
          </w:tcPr>
          <w:p>
            <w:pPr>
              <w:pStyle w:val="Compact"/>
              <w:spacing w:after="40"/>
              <w:jc w:val="left"/>
            </w:pPr>
            <w:r>
              <w:rPr>
                <w:b/>
                <w:color w:val="FFFFFF"/>
                <w:sz w:val="18"/>
              </w:rPr>
              <w:t xml:space="preserve">Instrument</w:t>
            </w:r>
          </w:p>
        </w:tc>
        <w:tc>
          <w:tcPr>
            <w:tcW w:w="2000" w:type="dxa"/>
            <w:shd w:val="clear" w:color="auto" w:fill="1F3A5F"/>
          </w:tcPr>
          <w:p>
            <w:pPr>
              <w:pStyle w:val="Compact"/>
              <w:spacing w:after="40"/>
              <w:jc w:val="left"/>
            </w:pPr>
            <w:r>
              <w:rPr>
                <w:b/>
                <w:color w:val="FFFFFF"/>
                <w:sz w:val="18"/>
              </w:rPr>
              <w:t xml:space="preserve">Legal basis</w:t>
            </w:r>
          </w:p>
        </w:tc>
        <w:tc>
          <w:tcPr>
            <w:tcW w:w="2171" w:type="dxa"/>
            <w:shd w:val="clear" w:color="auto" w:fill="1F3A5F"/>
          </w:tcPr>
          <w:p>
            <w:pPr>
              <w:pStyle w:val="Compact"/>
              <w:spacing w:after="40"/>
              <w:jc w:val="left"/>
            </w:pPr>
            <w:r>
              <w:rPr>
                <w:b/>
                <w:color w:val="FFFFFF"/>
                <w:sz w:val="18"/>
              </w:rPr>
              <w:t xml:space="preserve">Signatory</w:t>
            </w:r>
          </w:p>
        </w:tc>
        <w:tc>
          <w:tcPr>
            <w:tcW w:w="3296" w:type="dxa"/>
            <w:shd w:val="clear" w:color="auto" w:fill="1F3A5F"/>
          </w:tcPr>
          <w:p>
            <w:pPr>
              <w:pStyle w:val="Compact"/>
              <w:spacing w:after="40"/>
              <w:jc w:val="left"/>
            </w:pPr>
            <w:r>
              <w:rPr>
                <w:b/>
                <w:color w:val="FFFFFF"/>
                <w:sz w:val="18"/>
              </w:rPr>
              <w:t xml:space="preserve">Starts or satisfies</w:t>
            </w:r>
          </w:p>
        </w:tc>
      </w:tr>
      <w:tr>
        <w:tc>
          <w:tcPr>
            <w:tcW w:w="2171" w:type="dxa"/>
          </w:tcPr>
          <w:p>
            <w:pPr>
              <w:pStyle w:val="Compact"/>
              <w:spacing w:after="40"/>
              <w:jc w:val="left"/>
            </w:pPr>
            <w:r>
              <w:rPr>
                <w:sz w:val="18"/>
              </w:rPr>
              <w:t xml:space="preserve">Loan recall and acceleration</w:t>
            </w:r>
          </w:p>
        </w:tc>
        <w:tc>
          <w:tcPr>
            <w:tcW w:w="2000" w:type="dxa"/>
          </w:tcPr>
          <w:p>
            <w:pPr>
              <w:pStyle w:val="Compact"/>
              <w:spacing w:after="40"/>
              <w:jc w:val="left"/>
            </w:pPr>
            <w:r>
              <w:rPr>
                <w:sz w:val="18"/>
              </w:rPr>
              <w:t xml:space="preserve">Loan agreement; (RBC para 16)</w:t>
            </w:r>
          </w:p>
        </w:tc>
        <w:tc>
          <w:tcPr>
            <w:tcW w:w="2171" w:type="dxa"/>
          </w:tcPr>
          <w:p>
            <w:pPr>
              <w:pStyle w:val="Compact"/>
              <w:spacing w:after="40"/>
              <w:jc w:val="left"/>
            </w:pPr>
            <w:r>
              <w:rPr>
                <w:sz w:val="18"/>
              </w:rPr>
              <w:t xml:space="preserve">Authorised officer or advocate</w:t>
            </w:r>
          </w:p>
        </w:tc>
        <w:tc>
          <w:tcPr>
            <w:tcW w:w="3296" w:type="dxa"/>
          </w:tcPr>
          <w:p>
            <w:pPr>
              <w:pStyle w:val="Compact"/>
              <w:spacing w:after="40"/>
              <w:jc w:val="left"/>
            </w:pPr>
            <w:r>
              <w:rPr>
                <w:sz w:val="18"/>
              </w:rPr>
              <w:t xml:space="preserve">Contractual demand; Art.55 base on acceleration</w:t>
            </w:r>
          </w:p>
        </w:tc>
      </w:tr>
      <w:tr>
        <w:tc>
          <w:tcPr>
            <w:tcW w:w="2171" w:type="dxa"/>
          </w:tcPr>
          <w:p>
            <w:pPr>
              <w:pStyle w:val="Compact"/>
              <w:spacing w:after="40"/>
              <w:jc w:val="left"/>
            </w:pPr>
            <w:r>
              <w:rPr>
                <w:sz w:val="18"/>
              </w:rPr>
              <w:t xml:space="preserve">Guarantor invocation</w:t>
            </w:r>
          </w:p>
        </w:tc>
        <w:tc>
          <w:tcPr>
            <w:tcW w:w="2000" w:type="dxa"/>
          </w:tcPr>
          <w:p>
            <w:pPr>
              <w:pStyle w:val="Compact"/>
              <w:spacing w:after="40"/>
              <w:jc w:val="left"/>
            </w:pPr>
            <w:r>
              <w:rPr>
                <w:sz w:val="18"/>
              </w:rPr>
              <w:t xml:space="preserve">ICA s.128; (WD para 10)</w:t>
            </w:r>
          </w:p>
        </w:tc>
        <w:tc>
          <w:tcPr>
            <w:tcW w:w="2171" w:type="dxa"/>
          </w:tcPr>
          <w:p>
            <w:pPr>
              <w:pStyle w:val="Compact"/>
              <w:spacing w:after="40"/>
              <w:jc w:val="left"/>
            </w:pPr>
            <w:r>
              <w:rPr>
                <w:sz w:val="18"/>
              </w:rPr>
              <w:t xml:space="preserve">Authorised officer or advocate</w:t>
            </w:r>
          </w:p>
        </w:tc>
        <w:tc>
          <w:tcPr>
            <w:tcW w:w="3296" w:type="dxa"/>
          </w:tcPr>
          <w:p>
            <w:pPr>
              <w:pStyle w:val="Compact"/>
              <w:spacing w:after="40"/>
              <w:jc w:val="left"/>
            </w:pPr>
            <w:r>
              <w:rPr>
                <w:sz w:val="18"/>
              </w:rPr>
              <w:t xml:space="preserve">Guarantor limitation (3 years from demand)</w:t>
            </w:r>
          </w:p>
        </w:tc>
      </w:tr>
      <w:tr>
        <w:tc>
          <w:tcPr>
            <w:tcW w:w="2171" w:type="dxa"/>
          </w:tcPr>
          <w:p>
            <w:pPr>
              <w:pStyle w:val="Compact"/>
              <w:spacing w:after="40"/>
              <w:jc w:val="left"/>
            </w:pPr>
            <w:r>
              <w:rPr>
                <w:sz w:val="18"/>
              </w:rPr>
              <w:t xml:space="preserve">SARFAESI s.13(2) demand</w:t>
            </w:r>
          </w:p>
        </w:tc>
        <w:tc>
          <w:tcPr>
            <w:tcW w:w="2000" w:type="dxa"/>
          </w:tcPr>
          <w:p>
            <w:pPr>
              <w:pStyle w:val="Compact"/>
              <w:spacing w:after="40"/>
              <w:jc w:val="left"/>
            </w:pPr>
            <w:r>
              <w:rPr>
                <w:sz w:val="18"/>
              </w:rPr>
              <w:t xml:space="preserve">SARFAESI s.13(2); Rules 3, 3(5)</w:t>
            </w:r>
          </w:p>
        </w:tc>
        <w:tc>
          <w:tcPr>
            <w:tcW w:w="2171" w:type="dxa"/>
          </w:tcPr>
          <w:p>
            <w:pPr>
              <w:pStyle w:val="Compact"/>
              <w:spacing w:after="40"/>
              <w:jc w:val="left"/>
            </w:pPr>
            <w:r>
              <w:rPr>
                <w:sz w:val="18"/>
              </w:rPr>
              <w:t xml:space="preserve">Authorised officer</w:t>
            </w:r>
          </w:p>
        </w:tc>
        <w:tc>
          <w:tcPr>
            <w:tcW w:w="3296" w:type="dxa"/>
          </w:tcPr>
          <w:p>
            <w:pPr>
              <w:pStyle w:val="Compact"/>
              <w:spacing w:after="40"/>
              <w:jc w:val="left"/>
            </w:pPr>
            <w:r>
              <w:rPr>
                <w:sz w:val="18"/>
              </w:rPr>
              <w:t xml:space="preserve">60-day cure period from service on each borrower</w:t>
            </w:r>
          </w:p>
        </w:tc>
      </w:tr>
      <w:tr>
        <w:tc>
          <w:tcPr>
            <w:tcW w:w="2171" w:type="dxa"/>
          </w:tcPr>
          <w:p>
            <w:pPr>
              <w:pStyle w:val="Compact"/>
              <w:spacing w:after="40"/>
              <w:jc w:val="left"/>
            </w:pPr>
            <w:r>
              <w:rPr>
                <w:sz w:val="18"/>
              </w:rPr>
              <w:t xml:space="preserve">Reply to s.13(3A) representation</w:t>
            </w:r>
          </w:p>
        </w:tc>
        <w:tc>
          <w:tcPr>
            <w:tcW w:w="2000" w:type="dxa"/>
          </w:tcPr>
          <w:p>
            <w:pPr>
              <w:pStyle w:val="Compact"/>
              <w:spacing w:after="40"/>
              <w:jc w:val="left"/>
            </w:pPr>
            <w:r>
              <w:rPr>
                <w:sz w:val="18"/>
              </w:rPr>
              <w:t xml:space="preserve">SARFAESI s.13(3A)</w:t>
            </w:r>
          </w:p>
        </w:tc>
        <w:tc>
          <w:tcPr>
            <w:tcW w:w="2171" w:type="dxa"/>
          </w:tcPr>
          <w:p>
            <w:pPr>
              <w:pStyle w:val="Compact"/>
              <w:spacing w:after="40"/>
              <w:jc w:val="left"/>
            </w:pPr>
            <w:r>
              <w:rPr>
                <w:sz w:val="18"/>
              </w:rPr>
              <w:t xml:space="preserve">Authorised officer</w:t>
            </w:r>
          </w:p>
        </w:tc>
        <w:tc>
          <w:tcPr>
            <w:tcW w:w="3296" w:type="dxa"/>
          </w:tcPr>
          <w:p>
            <w:pPr>
              <w:pStyle w:val="Compact"/>
              <w:spacing w:after="40"/>
              <w:jc w:val="left"/>
            </w:pPr>
            <w:r>
              <w:rPr>
                <w:sz w:val="18"/>
              </w:rPr>
              <w:t xml:space="preserve">Must issue within 15 days of receiving the representation</w:t>
            </w:r>
          </w:p>
        </w:tc>
      </w:tr>
      <w:tr>
        <w:tc>
          <w:tcPr>
            <w:tcW w:w="2171" w:type="dxa"/>
          </w:tcPr>
          <w:p>
            <w:pPr>
              <w:pStyle w:val="Compact"/>
              <w:spacing w:after="40"/>
              <w:jc w:val="left"/>
            </w:pPr>
            <w:r>
              <w:rPr>
                <w:sz w:val="18"/>
              </w:rPr>
              <w:t xml:space="preserve">s.13(4) possession notice and publication</w:t>
            </w:r>
          </w:p>
        </w:tc>
        <w:tc>
          <w:tcPr>
            <w:tcW w:w="2000" w:type="dxa"/>
          </w:tcPr>
          <w:p>
            <w:pPr>
              <w:pStyle w:val="Compact"/>
              <w:spacing w:after="40"/>
              <w:jc w:val="left"/>
            </w:pPr>
            <w:r>
              <w:rPr>
                <w:sz w:val="18"/>
              </w:rPr>
              <w:t xml:space="preserve">SARFAESI s.13(4); Rule 8(1)–(2), Appendix IV</w:t>
            </w:r>
          </w:p>
        </w:tc>
        <w:tc>
          <w:tcPr>
            <w:tcW w:w="2171" w:type="dxa"/>
          </w:tcPr>
          <w:p>
            <w:pPr>
              <w:pStyle w:val="Compact"/>
              <w:spacing w:after="40"/>
              <w:jc w:val="left"/>
            </w:pPr>
            <w:r>
              <w:rPr>
                <w:sz w:val="18"/>
              </w:rPr>
              <w:t xml:space="preserve">Authorised officer</w:t>
            </w:r>
          </w:p>
        </w:tc>
        <w:tc>
          <w:tcPr>
            <w:tcW w:w="3296" w:type="dxa"/>
          </w:tcPr>
          <w:p>
            <w:pPr>
              <w:pStyle w:val="Compact"/>
              <w:spacing w:after="40"/>
              <w:jc w:val="left"/>
            </w:pPr>
            <w:r>
              <w:rPr>
                <w:sz w:val="18"/>
              </w:rPr>
              <w:t xml:space="preserve">Publication in two newspapers (one vernacular) within 7 days; s.17 window of 45 days; website display (CIR para 21)</w:t>
            </w:r>
          </w:p>
        </w:tc>
      </w:tr>
      <w:tr>
        <w:tc>
          <w:tcPr>
            <w:tcW w:w="2171" w:type="dxa"/>
          </w:tcPr>
          <w:p>
            <w:pPr>
              <w:pStyle w:val="Compact"/>
              <w:spacing w:after="40"/>
              <w:jc w:val="left"/>
            </w:pPr>
            <w:r>
              <w:rPr>
                <w:sz w:val="18"/>
              </w:rPr>
              <w:t xml:space="preserve">Sale notice (immovable or movable)</w:t>
            </w:r>
          </w:p>
        </w:tc>
        <w:tc>
          <w:tcPr>
            <w:tcW w:w="2000" w:type="dxa"/>
          </w:tcPr>
          <w:p>
            <w:pPr>
              <w:pStyle w:val="Compact"/>
              <w:spacing w:after="40"/>
              <w:jc w:val="left"/>
            </w:pPr>
            <w:r>
              <w:rPr>
                <w:sz w:val="18"/>
              </w:rPr>
              <w:t xml:space="preserve">Rules 8(6), 9(1) (Appendix IV-A); Rule 6 (Appendix II-A)</w:t>
            </w:r>
          </w:p>
        </w:tc>
        <w:tc>
          <w:tcPr>
            <w:tcW w:w="2171" w:type="dxa"/>
          </w:tcPr>
          <w:p>
            <w:pPr>
              <w:pStyle w:val="Compact"/>
              <w:spacing w:after="40"/>
              <w:jc w:val="left"/>
            </w:pPr>
            <w:r>
              <w:rPr>
                <w:sz w:val="18"/>
              </w:rPr>
              <w:t xml:space="preserve">Authorised officer</w:t>
            </w:r>
          </w:p>
        </w:tc>
        <w:tc>
          <w:tcPr>
            <w:tcW w:w="3296" w:type="dxa"/>
          </w:tcPr>
          <w:p>
            <w:pPr>
              <w:pStyle w:val="Compact"/>
              <w:spacing w:after="40"/>
              <w:jc w:val="left"/>
            </w:pPr>
            <w:r>
              <w:rPr>
                <w:sz w:val="18"/>
              </w:rPr>
              <w:t xml:space="preserve">First sale at least 30 days after notice; re-sale at least 15 days; redemption ends on publication (s.13(8);</w:t>
            </w:r>
            <w:r>
              <w:rPr>
                <w:sz w:val="18"/>
              </w:rPr>
              <w:t xml:space="preserve"> </w:t>
            </w:r>
            <w:r>
              <w:rPr>
                <w:iCs/>
                <w:i/>
                <w:sz w:val="18"/>
              </w:rPr>
              <w:t xml:space="preserve">Celir LLP v. Bafna Motors</w:t>
            </w:r>
            <w:r>
              <w:rPr>
                <w:sz w:val="18"/>
              </w:rPr>
              <w:t xml:space="preserve">, SC, 21 Sep 2023)</w:t>
            </w:r>
          </w:p>
        </w:tc>
      </w:tr>
      <w:tr>
        <w:tc>
          <w:tcPr>
            <w:tcW w:w="2171" w:type="dxa"/>
          </w:tcPr>
          <w:p>
            <w:pPr>
              <w:pStyle w:val="Compact"/>
              <w:spacing w:after="40"/>
              <w:jc w:val="left"/>
            </w:pPr>
            <w:r>
              <w:rPr>
                <w:sz w:val="18"/>
              </w:rPr>
              <w:t xml:space="preserve">s.138 NI Act demand notice</w:t>
            </w:r>
          </w:p>
        </w:tc>
        <w:tc>
          <w:tcPr>
            <w:tcW w:w="2000" w:type="dxa"/>
          </w:tcPr>
          <w:p>
            <w:pPr>
              <w:pStyle w:val="Compact"/>
              <w:spacing w:after="40"/>
              <w:jc w:val="left"/>
            </w:pPr>
            <w:r>
              <w:rPr>
                <w:sz w:val="18"/>
              </w:rPr>
              <w:t xml:space="preserve">NI Act s.138(b)</w:t>
            </w:r>
          </w:p>
        </w:tc>
        <w:tc>
          <w:tcPr>
            <w:tcW w:w="2171" w:type="dxa"/>
          </w:tcPr>
          <w:p>
            <w:pPr>
              <w:pStyle w:val="Compact"/>
              <w:spacing w:after="40"/>
              <w:jc w:val="left"/>
            </w:pPr>
            <w:r>
              <w:rPr>
                <w:sz w:val="18"/>
              </w:rPr>
              <w:t xml:space="preserve">Advocate or payee</w:t>
            </w:r>
          </w:p>
        </w:tc>
        <w:tc>
          <w:tcPr>
            <w:tcW w:w="3296" w:type="dxa"/>
          </w:tcPr>
          <w:p>
            <w:pPr>
              <w:pStyle w:val="Compact"/>
              <w:spacing w:after="40"/>
              <w:jc w:val="left"/>
            </w:pPr>
            <w:r>
              <w:rPr>
                <w:sz w:val="18"/>
              </w:rPr>
              <w:t xml:space="preserve">15 days to pay from receipt; cause of action on day 16</w:t>
            </w:r>
          </w:p>
        </w:tc>
      </w:tr>
      <w:tr>
        <w:tc>
          <w:tcPr>
            <w:tcW w:w="2171" w:type="dxa"/>
          </w:tcPr>
          <w:p>
            <w:pPr>
              <w:pStyle w:val="Compact"/>
              <w:spacing w:after="40"/>
              <w:jc w:val="left"/>
            </w:pPr>
            <w:r>
              <w:rPr>
                <w:sz w:val="18"/>
              </w:rPr>
              <w:t xml:space="preserve">s.25 PSS Act demand notice</w:t>
            </w:r>
          </w:p>
        </w:tc>
        <w:tc>
          <w:tcPr>
            <w:tcW w:w="2000" w:type="dxa"/>
          </w:tcPr>
          <w:p>
            <w:pPr>
              <w:pStyle w:val="Compact"/>
              <w:spacing w:after="40"/>
              <w:jc w:val="left"/>
            </w:pPr>
            <w:r>
              <w:rPr>
                <w:sz w:val="18"/>
              </w:rPr>
              <w:t xml:space="preserve">PSS Act s.25</w:t>
            </w:r>
          </w:p>
        </w:tc>
        <w:tc>
          <w:tcPr>
            <w:tcW w:w="2171" w:type="dxa"/>
          </w:tcPr>
          <w:p>
            <w:pPr>
              <w:pStyle w:val="Compact"/>
              <w:spacing w:after="40"/>
              <w:jc w:val="left"/>
            </w:pPr>
            <w:r>
              <w:rPr>
                <w:sz w:val="18"/>
              </w:rPr>
              <w:t xml:space="preserve">Advocate or payee</w:t>
            </w:r>
          </w:p>
        </w:tc>
        <w:tc>
          <w:tcPr>
            <w:tcW w:w="3296" w:type="dxa"/>
          </w:tcPr>
          <w:p>
            <w:pPr>
              <w:pStyle w:val="Compact"/>
              <w:spacing w:after="40"/>
              <w:jc w:val="left"/>
            </w:pPr>
            <w:r>
              <w:rPr>
                <w:sz w:val="18"/>
              </w:rPr>
              <w:t xml:space="preserve">Same as s.138</w:t>
            </w:r>
          </w:p>
        </w:tc>
      </w:tr>
      <w:tr>
        <w:tc>
          <w:tcPr>
            <w:tcW w:w="2171" w:type="dxa"/>
          </w:tcPr>
          <w:p>
            <w:pPr>
              <w:pStyle w:val="Compact"/>
              <w:spacing w:after="40"/>
              <w:jc w:val="left"/>
            </w:pPr>
            <w:r>
              <w:rPr>
                <w:sz w:val="18"/>
              </w:rPr>
              <w:t xml:space="preserve">Arbitration request</w:t>
            </w:r>
          </w:p>
        </w:tc>
        <w:tc>
          <w:tcPr>
            <w:tcW w:w="2000" w:type="dxa"/>
          </w:tcPr>
          <w:p>
            <w:pPr>
              <w:pStyle w:val="Compact"/>
              <w:spacing w:after="40"/>
              <w:jc w:val="left"/>
            </w:pPr>
            <w:r>
              <w:rPr>
                <w:sz w:val="18"/>
              </w:rPr>
              <w:t xml:space="preserve">A&amp;C Act ss.21, 3</w:t>
            </w:r>
          </w:p>
        </w:tc>
        <w:tc>
          <w:tcPr>
            <w:tcW w:w="2171" w:type="dxa"/>
          </w:tcPr>
          <w:p>
            <w:pPr>
              <w:pStyle w:val="Compact"/>
              <w:spacing w:after="40"/>
              <w:jc w:val="left"/>
            </w:pPr>
            <w:r>
              <w:rPr>
                <w:sz w:val="18"/>
              </w:rPr>
              <w:t xml:space="preserve">Advocate</w:t>
            </w:r>
          </w:p>
        </w:tc>
        <w:tc>
          <w:tcPr>
            <w:tcW w:w="3296" w:type="dxa"/>
          </w:tcPr>
          <w:p>
            <w:pPr>
              <w:pStyle w:val="Compact"/>
              <w:spacing w:after="40"/>
              <w:jc w:val="left"/>
            </w:pPr>
            <w:r>
              <w:rPr>
                <w:sz w:val="18"/>
              </w:rPr>
              <w:t xml:space="preserve">Commencement of arbitration; limitation anchor</w:t>
            </w:r>
          </w:p>
        </w:tc>
      </w:tr>
      <w:tr>
        <w:tc>
          <w:tcPr>
            <w:tcW w:w="2171" w:type="dxa"/>
          </w:tcPr>
          <w:p>
            <w:pPr>
              <w:pStyle w:val="Compact"/>
              <w:spacing w:after="40"/>
              <w:jc w:val="left"/>
            </w:pPr>
            <w:r>
              <w:rPr>
                <w:sz w:val="18"/>
              </w:rPr>
              <w:t xml:space="preserve">Conciliation or mediation invitation</w:t>
            </w:r>
          </w:p>
        </w:tc>
        <w:tc>
          <w:tcPr>
            <w:tcW w:w="2000" w:type="dxa"/>
          </w:tcPr>
          <w:p>
            <w:pPr>
              <w:pStyle w:val="Compact"/>
              <w:spacing w:after="40"/>
              <w:jc w:val="left"/>
            </w:pPr>
            <w:r>
              <w:rPr>
                <w:sz w:val="18"/>
              </w:rPr>
              <w:t xml:space="preserve">A&amp;C Act s.62; CCA s.12A (PIMS Rules 2018)</w:t>
            </w:r>
          </w:p>
        </w:tc>
        <w:tc>
          <w:tcPr>
            <w:tcW w:w="2171" w:type="dxa"/>
          </w:tcPr>
          <w:p>
            <w:pPr>
              <w:pStyle w:val="Compact"/>
              <w:spacing w:after="40"/>
              <w:jc w:val="left"/>
            </w:pPr>
            <w:r>
              <w:rPr>
                <w:sz w:val="18"/>
              </w:rPr>
              <w:t xml:space="preserve">Authorised officer or advocate</w:t>
            </w:r>
          </w:p>
        </w:tc>
        <w:tc>
          <w:tcPr>
            <w:tcW w:w="3296" w:type="dxa"/>
          </w:tcPr>
          <w:p>
            <w:pPr>
              <w:pStyle w:val="Compact"/>
              <w:spacing w:after="40"/>
              <w:jc w:val="left"/>
            </w:pPr>
            <w:r>
              <w:rPr>
                <w:sz w:val="18"/>
              </w:rPr>
              <w:t xml:space="preserve">30 days’ silence is rejection (s.62(4))</w:t>
            </w:r>
          </w:p>
        </w:tc>
      </w:tr>
      <w:tr>
        <w:tc>
          <w:tcPr>
            <w:tcW w:w="2171" w:type="dxa"/>
          </w:tcPr>
          <w:p>
            <w:pPr>
              <w:pStyle w:val="Compact"/>
              <w:spacing w:after="40"/>
              <w:jc w:val="left"/>
            </w:pPr>
            <w:r>
              <w:rPr>
                <w:sz w:val="18"/>
              </w:rPr>
              <w:t xml:space="preserve">Lok Adalat pre-litigation notice</w:t>
            </w:r>
          </w:p>
        </w:tc>
        <w:tc>
          <w:tcPr>
            <w:tcW w:w="2000" w:type="dxa"/>
          </w:tcPr>
          <w:p>
            <w:pPr>
              <w:pStyle w:val="Compact"/>
              <w:spacing w:after="40"/>
              <w:jc w:val="left"/>
            </w:pPr>
            <w:r>
              <w:rPr>
                <w:sz w:val="18"/>
              </w:rPr>
              <w:t xml:space="preserve">LSA Act s.20</w:t>
            </w:r>
          </w:p>
        </w:tc>
        <w:tc>
          <w:tcPr>
            <w:tcW w:w="2171" w:type="dxa"/>
          </w:tcPr>
          <w:p>
            <w:pPr>
              <w:pStyle w:val="Compact"/>
              <w:spacing w:after="40"/>
              <w:jc w:val="left"/>
            </w:pPr>
            <w:r>
              <w:rPr>
                <w:sz w:val="18"/>
              </w:rPr>
              <w:t xml:space="preserve">Issued by the Legal Services Authority on the lender’s application</w:t>
            </w:r>
          </w:p>
        </w:tc>
        <w:tc>
          <w:tcPr>
            <w:tcW w:w="3296" w:type="dxa"/>
          </w:tcPr>
          <w:p>
            <w:pPr>
              <w:pStyle w:val="Compact"/>
              <w:spacing w:after="40"/>
              <w:jc w:val="left"/>
            </w:pPr>
            <w:r>
              <w:rPr>
                <w:sz w:val="18"/>
              </w:rPr>
              <w:t xml:space="preserve">Sitting date</w:t>
            </w:r>
          </w:p>
        </w:tc>
      </w:tr>
      <w:tr>
        <w:tc>
          <w:tcPr>
            <w:tcW w:w="2171" w:type="dxa"/>
          </w:tcPr>
          <w:p>
            <w:pPr>
              <w:pStyle w:val="Compact"/>
              <w:spacing w:after="40"/>
              <w:jc w:val="left"/>
            </w:pPr>
            <w:r>
              <w:rPr>
                <w:sz w:val="18"/>
              </w:rPr>
              <w:t xml:space="preserve">IBC demand (where relevant)</w:t>
            </w:r>
          </w:p>
        </w:tc>
        <w:tc>
          <w:tcPr>
            <w:tcW w:w="2000" w:type="dxa"/>
          </w:tcPr>
          <w:p>
            <w:pPr>
              <w:pStyle w:val="Compact"/>
              <w:spacing w:after="40"/>
              <w:jc w:val="left"/>
            </w:pPr>
            <w:r>
              <w:rPr>
                <w:sz w:val="18"/>
              </w:rPr>
              <w:t xml:space="preserve">IBC s.95 and PG Rules (personal guarantor)</w:t>
            </w:r>
          </w:p>
        </w:tc>
        <w:tc>
          <w:tcPr>
            <w:tcW w:w="2171" w:type="dxa"/>
          </w:tcPr>
          <w:p>
            <w:pPr>
              <w:pStyle w:val="Compact"/>
              <w:spacing w:after="40"/>
              <w:jc w:val="left"/>
            </w:pPr>
            <w:r>
              <w:rPr>
                <w:sz w:val="18"/>
              </w:rPr>
              <w:t xml:space="preserve">Advocate</w:t>
            </w:r>
          </w:p>
        </w:tc>
        <w:tc>
          <w:tcPr>
            <w:tcW w:w="3296" w:type="dxa"/>
          </w:tcPr>
          <w:p>
            <w:pPr>
              <w:pStyle w:val="Compact"/>
              <w:spacing w:after="40"/>
              <w:jc w:val="left"/>
            </w:pPr>
            <w:r>
              <w:rPr>
                <w:sz w:val="18"/>
              </w:rPr>
              <w:t xml:space="preserve">14-day period before application</w:t>
            </w:r>
          </w:p>
        </w:tc>
      </w:tr>
      <w:tr>
        <w:tc>
          <w:tcPr>
            <w:tcW w:w="2171" w:type="dxa"/>
          </w:tcPr>
          <w:p>
            <w:pPr>
              <w:pStyle w:val="Compact"/>
              <w:spacing w:after="40"/>
              <w:jc w:val="left"/>
            </w:pPr>
            <w:r>
              <w:rPr>
                <w:sz w:val="18"/>
              </w:rPr>
              <w:t xml:space="preserve">WD show-cause notice and order</w:t>
            </w:r>
          </w:p>
        </w:tc>
        <w:tc>
          <w:tcPr>
            <w:tcW w:w="2000" w:type="dxa"/>
          </w:tcPr>
          <w:p>
            <w:pPr>
              <w:pStyle w:val="Compact"/>
              <w:spacing w:after="40"/>
              <w:jc w:val="left"/>
            </w:pPr>
            <w:r>
              <w:rPr>
                <w:sz w:val="18"/>
              </w:rPr>
              <w:t xml:space="preserve">WD paras 5(4)–5(13)</w:t>
            </w:r>
          </w:p>
        </w:tc>
        <w:tc>
          <w:tcPr>
            <w:tcW w:w="2171" w:type="dxa"/>
          </w:tcPr>
          <w:p>
            <w:pPr>
              <w:pStyle w:val="Compact"/>
              <w:spacing w:after="40"/>
              <w:jc w:val="left"/>
            </w:pPr>
            <w:r>
              <w:rPr>
                <w:sz w:val="18"/>
              </w:rPr>
              <w:t xml:space="preserve">Designated official naming committee members</w:t>
            </w:r>
          </w:p>
        </w:tc>
        <w:tc>
          <w:tcPr>
            <w:tcW w:w="3296" w:type="dxa"/>
          </w:tcPr>
          <w:p>
            <w:pPr>
              <w:pStyle w:val="Compact"/>
              <w:spacing w:after="40"/>
              <w:jc w:val="left"/>
            </w:pPr>
            <w:r>
              <w:rPr>
                <w:sz w:val="18"/>
              </w:rPr>
              <w:t xml:space="preserve">21 days to reply; 15 days for representation</w:t>
            </w:r>
          </w:p>
        </w:tc>
      </w:tr>
      <w:tr>
        <w:tc>
          <w:tcPr>
            <w:tcW w:w="2171" w:type="dxa"/>
          </w:tcPr>
          <w:p>
            <w:pPr>
              <w:pStyle w:val="Compact"/>
              <w:spacing w:after="40"/>
              <w:jc w:val="left"/>
            </w:pPr>
            <w:r>
              <w:rPr>
                <w:sz w:val="18"/>
              </w:rPr>
              <w:t xml:space="preserve">Fraud show-cause notice and order</w:t>
            </w:r>
          </w:p>
        </w:tc>
        <w:tc>
          <w:tcPr>
            <w:tcW w:w="2000" w:type="dxa"/>
          </w:tcPr>
          <w:p>
            <w:pPr>
              <w:pStyle w:val="Compact"/>
              <w:spacing w:after="40"/>
              <w:jc w:val="left"/>
            </w:pPr>
            <w:r>
              <w:rPr>
                <w:sz w:val="18"/>
              </w:rPr>
              <w:t xml:space="preserve">FRM para 6</w:t>
            </w:r>
          </w:p>
        </w:tc>
        <w:tc>
          <w:tcPr>
            <w:tcW w:w="2171" w:type="dxa"/>
          </w:tcPr>
          <w:p>
            <w:pPr>
              <w:pStyle w:val="Compact"/>
              <w:spacing w:after="40"/>
              <w:jc w:val="left"/>
            </w:pPr>
            <w:r>
              <w:rPr>
                <w:sz w:val="18"/>
              </w:rPr>
              <w:t xml:space="preserve">Designated official</w:t>
            </w:r>
          </w:p>
        </w:tc>
        <w:tc>
          <w:tcPr>
            <w:tcW w:w="3296" w:type="dxa"/>
          </w:tcPr>
          <w:p>
            <w:pPr>
              <w:pStyle w:val="Compact"/>
              <w:spacing w:after="40"/>
              <w:jc w:val="left"/>
            </w:pPr>
            <w:r>
              <w:rPr>
                <w:sz w:val="18"/>
              </w:rPr>
              <w:t xml:space="preserve">At least 21 days to reply</w:t>
            </w:r>
          </w:p>
        </w:tc>
      </w:tr>
      <w:tr>
        <w:tc>
          <w:tcPr>
            <w:tcW w:w="2171" w:type="dxa"/>
          </w:tcPr>
          <w:p>
            <w:pPr>
              <w:pStyle w:val="Compact"/>
              <w:spacing w:after="40"/>
              <w:jc w:val="left"/>
            </w:pPr>
            <w:r>
              <w:rPr>
                <w:sz w:val="18"/>
              </w:rPr>
              <w:t xml:space="preserve">Recovery-agent particulars intimation</w:t>
            </w:r>
          </w:p>
        </w:tc>
        <w:tc>
          <w:tcPr>
            <w:tcW w:w="2000" w:type="dxa"/>
          </w:tcPr>
          <w:p>
            <w:pPr>
              <w:pStyle w:val="Compact"/>
              <w:spacing w:after="40"/>
              <w:jc w:val="left"/>
            </w:pPr>
            <w:r>
              <w:rPr>
                <w:sz w:val="18"/>
              </w:rPr>
              <w:t xml:space="preserve">CF para 9(6); RBC para 95; para 100L from 1 Jan 2027</w:t>
            </w:r>
          </w:p>
        </w:tc>
        <w:tc>
          <w:tcPr>
            <w:tcW w:w="2171" w:type="dxa"/>
          </w:tcPr>
          <w:p>
            <w:pPr>
              <w:pStyle w:val="Compact"/>
              <w:spacing w:after="40"/>
              <w:jc w:val="left"/>
            </w:pPr>
            <w:r>
              <w:rPr>
                <w:sz w:val="18"/>
              </w:rPr>
              <w:t xml:space="preserve">System on behalf of the RE</w:t>
            </w:r>
          </w:p>
        </w:tc>
        <w:tc>
          <w:tcPr>
            <w:tcW w:w="3296" w:type="dxa"/>
          </w:tcPr>
          <w:p>
            <w:pPr>
              <w:pStyle w:val="Compact"/>
              <w:spacing w:after="40"/>
              <w:jc w:val="left"/>
            </w:pPr>
            <w:r>
              <w:rPr>
                <w:sz w:val="18"/>
              </w:rPr>
              <w:t xml:space="preserve">Must precede first contact; at least 1 day before first visit</w:t>
            </w:r>
          </w:p>
        </w:tc>
      </w:tr>
      <w:tr>
        <w:tc>
          <w:tcPr>
            <w:tcW w:w="2171" w:type="dxa"/>
          </w:tcPr>
          <w:p>
            <w:pPr>
              <w:pStyle w:val="Compact"/>
              <w:spacing w:after="40"/>
              <w:jc w:val="left"/>
            </w:pPr>
            <w:r>
              <w:rPr>
                <w:sz w:val="18"/>
              </w:rPr>
              <w:t xml:space="preserve">Settlement offer and sanction letter</w:t>
            </w:r>
          </w:p>
        </w:tc>
        <w:tc>
          <w:tcPr>
            <w:tcW w:w="2000" w:type="dxa"/>
          </w:tcPr>
          <w:p>
            <w:pPr>
              <w:pStyle w:val="Compact"/>
              <w:spacing w:after="40"/>
              <w:jc w:val="left"/>
            </w:pPr>
            <w:r>
              <w:rPr>
                <w:sz w:val="18"/>
              </w:rPr>
              <w:t xml:space="preserve">RSA paras 16, 89, 95, 100</w:t>
            </w:r>
          </w:p>
        </w:tc>
        <w:tc>
          <w:tcPr>
            <w:tcW w:w="2171" w:type="dxa"/>
          </w:tcPr>
          <w:p>
            <w:pPr>
              <w:pStyle w:val="Compact"/>
              <w:spacing w:after="40"/>
              <w:jc w:val="left"/>
            </w:pPr>
            <w:r>
              <w:rPr>
                <w:sz w:val="18"/>
              </w:rPr>
              <w:t xml:space="preserve">Approver per DoA</w:t>
            </w:r>
          </w:p>
        </w:tc>
        <w:tc>
          <w:tcPr>
            <w:tcW w:w="3296" w:type="dxa"/>
          </w:tcPr>
          <w:p>
            <w:pPr>
              <w:pStyle w:val="Compact"/>
              <w:spacing w:after="40"/>
              <w:jc w:val="left"/>
            </w:pPr>
            <w:r>
              <w:rPr>
                <w:sz w:val="18"/>
              </w:rPr>
              <w:t xml:space="preserve">Acceptance window; restructuring flag if over 3 months</w:t>
            </w:r>
          </w:p>
        </w:tc>
      </w:tr>
      <w:tr>
        <w:tc>
          <w:tcPr>
            <w:tcW w:w="2171" w:type="dxa"/>
          </w:tcPr>
          <w:p>
            <w:pPr>
              <w:pStyle w:val="Compact"/>
              <w:spacing w:after="40"/>
              <w:jc w:val="left"/>
            </w:pPr>
            <w:r>
              <w:rPr>
                <w:sz w:val="18"/>
              </w:rPr>
              <w:t xml:space="preserve">NOC and closure letter</w:t>
            </w:r>
          </w:p>
        </w:tc>
        <w:tc>
          <w:tcPr>
            <w:tcW w:w="2000" w:type="dxa"/>
          </w:tcPr>
          <w:p>
            <w:pPr>
              <w:pStyle w:val="Compact"/>
              <w:spacing w:after="40"/>
              <w:jc w:val="left"/>
            </w:pPr>
            <w:r>
              <w:rPr>
                <w:sz w:val="18"/>
              </w:rPr>
              <w:t xml:space="preserve">RBC paras 17, 35</w:t>
            </w:r>
          </w:p>
        </w:tc>
        <w:tc>
          <w:tcPr>
            <w:tcW w:w="2171" w:type="dxa"/>
          </w:tcPr>
          <w:p>
            <w:pPr>
              <w:pStyle w:val="Compact"/>
              <w:spacing w:after="40"/>
              <w:jc w:val="left"/>
            </w:pPr>
            <w:r>
              <w:rPr>
                <w:sz w:val="18"/>
              </w:rPr>
              <w:t xml:space="preserve">Authorised officer</w:t>
            </w:r>
          </w:p>
        </w:tc>
        <w:tc>
          <w:tcPr>
            <w:tcW w:w="3296" w:type="dxa"/>
          </w:tcPr>
          <w:p>
            <w:pPr>
              <w:pStyle w:val="Compact"/>
              <w:spacing w:after="40"/>
              <w:jc w:val="left"/>
            </w:pPr>
            <w:r>
              <w:rPr>
                <w:sz w:val="18"/>
              </w:rPr>
              <w:t xml:space="preserve">Document release within 30 days; ₹5,000 per day for attributable delay (RBC paras 35, 39 bind personal loans; applied to all loans by policy [REC])</w:t>
            </w:r>
          </w:p>
        </w:tc>
      </w:tr>
      <w:tr>
        <w:tc>
          <w:tcPr>
            <w:tcW w:w="2171" w:type="dxa"/>
          </w:tcPr>
          <w:p>
            <w:pPr>
              <w:pStyle w:val="Compact"/>
              <w:spacing w:after="40"/>
              <w:jc w:val="left"/>
            </w:pPr>
            <w:r>
              <w:rPr>
                <w:sz w:val="18"/>
              </w:rPr>
              <w:t xml:space="preserve">Cash receipt</w:t>
            </w:r>
          </w:p>
        </w:tc>
        <w:tc>
          <w:tcPr>
            <w:tcW w:w="2000" w:type="dxa"/>
          </w:tcPr>
          <w:p>
            <w:pPr>
              <w:pStyle w:val="Compact"/>
              <w:spacing w:after="40"/>
              <w:jc w:val="left"/>
            </w:pPr>
            <w:r>
              <w:rPr>
                <w:sz w:val="18"/>
              </w:rPr>
              <w:t xml:space="preserve">CF para 10(5)</w:t>
            </w:r>
          </w:p>
        </w:tc>
        <w:tc>
          <w:tcPr>
            <w:tcW w:w="2171" w:type="dxa"/>
          </w:tcPr>
          <w:p>
            <w:pPr>
              <w:pStyle w:val="Compact"/>
              <w:spacing w:after="40"/>
              <w:jc w:val="left"/>
            </w:pPr>
            <w:r>
              <w:rPr>
                <w:sz w:val="18"/>
              </w:rPr>
              <w:t xml:space="preserve">System</w:t>
            </w:r>
          </w:p>
        </w:tc>
        <w:tc>
          <w:tcPr>
            <w:tcW w:w="3296" w:type="dxa"/>
          </w:tcPr>
          <w:p>
            <w:pPr>
              <w:pStyle w:val="Compact"/>
              <w:spacing w:after="40"/>
              <w:jc w:val="left"/>
            </w:pPr>
            <w:r>
              <w:rPr>
                <w:sz w:val="18"/>
              </w:rPr>
              <w:t xml:space="preserve">Same-day posting</w:t>
            </w:r>
          </w:p>
        </w:tc>
      </w:tr>
      <w:tr>
        <w:tc>
          <w:tcPr>
            <w:tcW w:w="2171" w:type="dxa"/>
          </w:tcPr>
          <w:p>
            <w:pPr>
              <w:pStyle w:val="Compact"/>
              <w:spacing w:after="40"/>
              <w:jc w:val="left"/>
            </w:pPr>
            <w:r>
              <w:rPr>
                <w:sz w:val="18"/>
              </w:rPr>
              <w:t xml:space="preserve">Gold auction notice and public notice</w:t>
            </w:r>
          </w:p>
        </w:tc>
        <w:tc>
          <w:tcPr>
            <w:tcW w:w="2000" w:type="dxa"/>
          </w:tcPr>
          <w:p>
            <w:pPr>
              <w:pStyle w:val="Compact"/>
              <w:spacing w:after="40"/>
              <w:jc w:val="left"/>
            </w:pPr>
            <w:r>
              <w:rPr>
                <w:sz w:val="18"/>
              </w:rPr>
              <w:t xml:space="preserve">RBC paras 60–61</w:t>
            </w:r>
          </w:p>
        </w:tc>
        <w:tc>
          <w:tcPr>
            <w:tcW w:w="2171" w:type="dxa"/>
          </w:tcPr>
          <w:p>
            <w:pPr>
              <w:pStyle w:val="Compact"/>
              <w:spacing w:after="40"/>
              <w:jc w:val="left"/>
            </w:pPr>
            <w:r>
              <w:rPr>
                <w:sz w:val="18"/>
              </w:rPr>
              <w:t xml:space="preserve">Authorised officer</w:t>
            </w:r>
          </w:p>
        </w:tc>
        <w:tc>
          <w:tcPr>
            <w:tcW w:w="3296" w:type="dxa"/>
          </w:tcPr>
          <w:p>
            <w:pPr>
              <w:pStyle w:val="Compact"/>
              <w:spacing w:after="40"/>
              <w:jc w:val="left"/>
            </w:pPr>
            <w:r>
              <w:rPr>
                <w:sz w:val="18"/>
              </w:rPr>
              <w:t xml:space="preserve">Public notice plus 1 month if untraceable</w:t>
            </w:r>
          </w:p>
        </w:tc>
      </w:tr>
      <w:tr>
        <w:tc>
          <w:tcPr>
            <w:tcW w:w="2171" w:type="dxa"/>
          </w:tcPr>
          <w:p>
            <w:pPr>
              <w:pStyle w:val="Compact"/>
              <w:spacing w:after="40"/>
              <w:jc w:val="left"/>
            </w:pPr>
            <w:r>
              <w:rPr>
                <w:sz w:val="18"/>
              </w:rPr>
              <w:t xml:space="preserve">Auction outcome and surplus letter</w:t>
            </w:r>
          </w:p>
        </w:tc>
        <w:tc>
          <w:tcPr>
            <w:tcW w:w="2000" w:type="dxa"/>
          </w:tcPr>
          <w:p>
            <w:pPr>
              <w:pStyle w:val="Compact"/>
              <w:spacing w:after="40"/>
              <w:jc w:val="left"/>
            </w:pPr>
            <w:r>
              <w:rPr>
                <w:sz w:val="18"/>
              </w:rPr>
              <w:t xml:space="preserve">RBC para 66; SARFAESI s.13(7)</w:t>
            </w:r>
          </w:p>
        </w:tc>
        <w:tc>
          <w:tcPr>
            <w:tcW w:w="2171" w:type="dxa"/>
          </w:tcPr>
          <w:p>
            <w:pPr>
              <w:pStyle w:val="Compact"/>
              <w:spacing w:after="40"/>
              <w:jc w:val="left"/>
            </w:pPr>
            <w:r>
              <w:rPr>
                <w:sz w:val="18"/>
              </w:rPr>
              <w:t xml:space="preserve">Authorised officer</w:t>
            </w:r>
          </w:p>
        </w:tc>
        <w:tc>
          <w:tcPr>
            <w:tcW w:w="3296" w:type="dxa"/>
          </w:tcPr>
          <w:p>
            <w:pPr>
              <w:pStyle w:val="Compact"/>
              <w:spacing w:after="40"/>
              <w:jc w:val="left"/>
            </w:pPr>
            <w:r>
              <w:rPr>
                <w:sz w:val="18"/>
              </w:rPr>
              <w:t xml:space="preserve">Gold surplus within 7 working days</w:t>
            </w:r>
          </w:p>
        </w:tc>
      </w:tr>
      <w:tr>
        <w:tc>
          <w:tcPr>
            <w:tcW w:w="2171" w:type="dxa"/>
          </w:tcPr>
          <w:p>
            <w:pPr>
              <w:pStyle w:val="Compact"/>
              <w:spacing w:after="40"/>
              <w:jc w:val="left"/>
            </w:pPr>
            <w:r>
              <w:rPr>
                <w:sz w:val="18"/>
              </w:rPr>
              <w:t xml:space="preserve">Pre-repossession notice and final-chance letter</w:t>
            </w:r>
          </w:p>
        </w:tc>
        <w:tc>
          <w:tcPr>
            <w:tcW w:w="2000" w:type="dxa"/>
          </w:tcPr>
          <w:p>
            <w:pPr>
              <w:pStyle w:val="Compact"/>
              <w:spacing w:after="40"/>
              <w:jc w:val="left"/>
            </w:pPr>
            <w:r>
              <w:rPr>
                <w:sz w:val="18"/>
              </w:rPr>
              <w:t xml:space="preserve">RBC para 26; loan agreement</w:t>
            </w:r>
          </w:p>
        </w:tc>
        <w:tc>
          <w:tcPr>
            <w:tcW w:w="2171" w:type="dxa"/>
          </w:tcPr>
          <w:p>
            <w:pPr>
              <w:pStyle w:val="Compact"/>
              <w:spacing w:after="40"/>
              <w:jc w:val="left"/>
            </w:pPr>
            <w:r>
              <w:rPr>
                <w:sz w:val="18"/>
              </w:rPr>
              <w:t xml:space="preserve">Authorised officer</w:t>
            </w:r>
          </w:p>
        </w:tc>
        <w:tc>
          <w:tcPr>
            <w:tcW w:w="3296" w:type="dxa"/>
          </w:tcPr>
          <w:p>
            <w:pPr>
              <w:pStyle w:val="Compact"/>
              <w:spacing w:after="40"/>
              <w:jc w:val="left"/>
            </w:pPr>
            <w:r>
              <w:rPr>
                <w:sz w:val="18"/>
              </w:rPr>
              <w:t xml:space="preserve">Contractual notice period</w:t>
            </w:r>
          </w:p>
        </w:tc>
      </w:tr>
      <w:tr>
        <w:tc>
          <w:tcPr>
            <w:tcW w:w="2171" w:type="dxa"/>
          </w:tcPr>
          <w:p>
            <w:pPr>
              <w:pStyle w:val="Compact"/>
              <w:spacing w:after="40"/>
              <w:jc w:val="left"/>
            </w:pPr>
            <w:r>
              <w:rPr>
                <w:sz w:val="18"/>
              </w:rPr>
              <w:t xml:space="preserve">Vehicle Form 36 application for a fresh RC in the financier’s name</w:t>
            </w:r>
          </w:p>
        </w:tc>
        <w:tc>
          <w:tcPr>
            <w:tcW w:w="2000" w:type="dxa"/>
          </w:tcPr>
          <w:p>
            <w:pPr>
              <w:pStyle w:val="Compact"/>
              <w:spacing w:after="40"/>
              <w:jc w:val="left"/>
            </w:pPr>
            <w:r>
              <w:rPr>
                <w:sz w:val="18"/>
              </w:rPr>
              <w:t xml:space="preserve">CMVR r.61; MV Act s.51(5)</w:t>
            </w:r>
          </w:p>
        </w:tc>
        <w:tc>
          <w:tcPr>
            <w:tcW w:w="2171" w:type="dxa"/>
          </w:tcPr>
          <w:p>
            <w:pPr>
              <w:pStyle w:val="Compact"/>
              <w:spacing w:after="40"/>
              <w:jc w:val="left"/>
            </w:pPr>
            <w:r>
              <w:rPr>
                <w:sz w:val="18"/>
              </w:rPr>
              <w:t xml:space="preserve">Financier</w:t>
            </w:r>
          </w:p>
        </w:tc>
        <w:tc>
          <w:tcPr>
            <w:tcW w:w="3296" w:type="dxa"/>
          </w:tcPr>
          <w:p>
            <w:pPr>
              <w:pStyle w:val="Compact"/>
              <w:spacing w:after="40"/>
              <w:jc w:val="left"/>
            </w:pPr>
            <w:r>
              <w:rPr>
                <w:sz w:val="18"/>
              </w:rPr>
              <w:t xml:space="preserve">Registering authority’s Form 37 notice to the registered owner, then fresh RC</w:t>
            </w:r>
          </w:p>
        </w:tc>
      </w:tr>
    </w:tbl>
    <w:bookmarkEnd w:id="129"/>
    <w:bookmarkStart w:id="130" w:name="r3.3-signing-and-stamping"/>
    <w:p>
      <w:pPr>
        <w:pStyle w:val="Heading3"/>
      </w:pPr>
      <w:r>
        <w:t xml:space="preserve">R3.3 Signing and stamping</w:t>
      </w:r>
    </w:p>
    <w:p>
      <w:pPr>
        <w:numPr>
          <w:ilvl w:val="0"/>
          <w:numId w:val="1217"/>
        </w:numPr>
        <w:pStyle w:val="Compact"/>
      </w:pPr>
      <w:r>
        <w:t xml:space="preserve">Aadhaar eSign or DSC through the M4 signing adapters; signature evidence stored (certificate, transaction ID, hash). SARFAESI notices by the authorised officer’s DSC [VERIFY: DRT acceptance of e-signed s.13(2) notices; keep a wet-ink fallback]; advocate notices on letterhead with the advocate’s DSC.</w:t>
      </w:r>
    </w:p>
    <w:p>
      <w:pPr>
        <w:numPr>
          <w:ilvl w:val="0"/>
          <w:numId w:val="1217"/>
        </w:numPr>
        <w:pStyle w:val="Compact"/>
      </w:pPr>
      <w:r>
        <w:t xml:space="preserve">E-stamping (SHCIL or state system) for settlement agreements, undertakings and ADR settlements where state stamp law requires [VERIFY: state-wise duty on OTS agreements and s.73 settlements]. Awards are stamped at signing (</w:t>
      </w:r>
      <w:r>
        <w:rPr>
          <w:iCs/>
          <w:i/>
        </w:rPr>
        <w:t xml:space="preserve">URC Construction v. AAI</w:t>
      </w:r>
      <w:r>
        <w:t xml:space="preserve">, Del HC, 1 Sep 2026).</w:t>
      </w:r>
    </w:p>
    <w:bookmarkEnd w:id="130"/>
    <w:bookmarkStart w:id="131" w:name="r3.4-dispatch-channels-and-rules"/>
    <w:p>
      <w:pPr>
        <w:pStyle w:val="Heading3"/>
      </w:pPr>
      <w:r>
        <w:t xml:space="preserve">R3.4 Dispatch channels and rules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61"/>
        <w:gridCol w:w="3192"/>
        <w:gridCol w:w="4585"/>
      </w:tblGrid>
      <w:tr>
        <w:trPr>
          <w:tblHeader w:val="true"/>
          <w:tblHeader w:val="true"/>
        </w:trPr>
        <w:tc>
          <w:tcPr>
            <w:tcW w:w="1861" w:type="dxa"/>
            <w:shd w:val="clear" w:color="auto" w:fill="1F3A5F"/>
          </w:tcPr>
          <w:p>
            <w:pPr>
              <w:pStyle w:val="Compact"/>
              <w:spacing w:after="40"/>
              <w:jc w:val="left"/>
            </w:pPr>
            <w:r>
              <w:rPr>
                <w:b/>
                <w:color w:val="FFFFFF"/>
                <w:sz w:val="18"/>
              </w:rPr>
              <w:t xml:space="preserve">Channel</w:t>
            </w:r>
          </w:p>
        </w:tc>
        <w:tc>
          <w:tcPr>
            <w:tcW w:w="3192" w:type="dxa"/>
            <w:shd w:val="clear" w:color="auto" w:fill="1F3A5F"/>
          </w:tcPr>
          <w:p>
            <w:pPr>
              <w:pStyle w:val="Compact"/>
              <w:spacing w:after="40"/>
              <w:jc w:val="left"/>
            </w:pPr>
            <w:r>
              <w:rPr>
                <w:b/>
                <w:color w:val="FFFFFF"/>
                <w:sz w:val="18"/>
              </w:rPr>
              <w:t xml:space="preserve">Use</w:t>
            </w:r>
          </w:p>
        </w:tc>
        <w:tc>
          <w:tcPr>
            <w:tcW w:w="4585" w:type="dxa"/>
            <w:shd w:val="clear" w:color="auto" w:fill="1F3A5F"/>
          </w:tcPr>
          <w:p>
            <w:pPr>
              <w:pStyle w:val="Compact"/>
              <w:spacing w:after="40"/>
              <w:jc w:val="left"/>
            </w:pPr>
            <w:r>
              <w:rPr>
                <w:b/>
                <w:color w:val="FFFFFF"/>
                <w:sz w:val="18"/>
              </w:rPr>
              <w:t xml:space="preserve">Rule</w:t>
            </w:r>
          </w:p>
        </w:tc>
      </w:tr>
      <w:tr>
        <w:tc>
          <w:tcPr>
            <w:tcW w:w="1861" w:type="dxa"/>
          </w:tcPr>
          <w:p>
            <w:pPr>
              <w:pStyle w:val="Compact"/>
              <w:spacing w:after="40"/>
              <w:jc w:val="left"/>
            </w:pPr>
            <w:r>
              <w:rPr>
                <w:sz w:val="18"/>
              </w:rPr>
              <w:t xml:space="preserve">Speed Post with proof of delivery</w:t>
            </w:r>
          </w:p>
        </w:tc>
        <w:tc>
          <w:tcPr>
            <w:tcW w:w="3192" w:type="dxa"/>
          </w:tcPr>
          <w:p>
            <w:pPr>
              <w:pStyle w:val="Compact"/>
              <w:spacing w:after="40"/>
              <w:jc w:val="left"/>
            </w:pPr>
            <w:r>
              <w:rPr>
                <w:sz w:val="18"/>
              </w:rPr>
              <w:t xml:space="preserve">Default physical mode</w:t>
            </w:r>
          </w:p>
        </w:tc>
        <w:tc>
          <w:tcPr>
            <w:tcW w:w="4585" w:type="dxa"/>
          </w:tcPr>
          <w:p>
            <w:pPr>
              <w:pStyle w:val="Compact"/>
              <w:spacing w:after="40"/>
              <w:jc w:val="left"/>
            </w:pPr>
            <w:r>
              <w:rPr>
                <w:sz w:val="18"/>
              </w:rPr>
              <w:t xml:space="preserve">Registered Post merged into Speed Post on 1 Sep 2025; buy the PoD add-on; SARFAESI Rule 3 lists speed post; where a statute requires registered post, flag the General Clauses Act s.27 presumption risk</w:t>
            </w:r>
          </w:p>
        </w:tc>
      </w:tr>
      <w:tr>
        <w:tc>
          <w:tcPr>
            <w:tcW w:w="1861" w:type="dxa"/>
          </w:tcPr>
          <w:p>
            <w:pPr>
              <w:pStyle w:val="Compact"/>
              <w:spacing w:after="40"/>
              <w:jc w:val="left"/>
            </w:pPr>
            <w:r>
              <w:rPr>
                <w:sz w:val="18"/>
              </w:rPr>
              <w:t xml:space="preserve">Courier</w:t>
            </w:r>
          </w:p>
        </w:tc>
        <w:tc>
          <w:tcPr>
            <w:tcW w:w="3192" w:type="dxa"/>
          </w:tcPr>
          <w:p>
            <w:pPr>
              <w:pStyle w:val="Compact"/>
              <w:spacing w:after="40"/>
              <w:jc w:val="left"/>
            </w:pPr>
            <w:r>
              <w:rPr>
                <w:sz w:val="18"/>
              </w:rPr>
              <w:t xml:space="preserve">Alternative physical mode</w:t>
            </w:r>
          </w:p>
        </w:tc>
        <w:tc>
          <w:tcPr>
            <w:tcW w:w="4585" w:type="dxa"/>
          </w:tcPr>
          <w:p>
            <w:pPr>
              <w:pStyle w:val="Compact"/>
              <w:spacing w:after="40"/>
              <w:jc w:val="left"/>
            </w:pPr>
            <w:r>
              <w:rPr>
                <w:sz w:val="18"/>
              </w:rPr>
              <w:t xml:space="preserve">Tracking and PoD required; HC-approved courier where CPC rules apply</w:t>
            </w:r>
          </w:p>
        </w:tc>
      </w:tr>
      <w:tr>
        <w:tc>
          <w:tcPr>
            <w:tcW w:w="1861" w:type="dxa"/>
          </w:tcPr>
          <w:p>
            <w:pPr>
              <w:pStyle w:val="Compact"/>
              <w:spacing w:after="40"/>
              <w:jc w:val="left"/>
            </w:pPr>
            <w:r>
              <w:rPr>
                <w:sz w:val="18"/>
              </w:rPr>
              <w:t xml:space="preserve">Email</w:t>
            </w:r>
          </w:p>
        </w:tc>
        <w:tc>
          <w:tcPr>
            <w:tcW w:w="3192" w:type="dxa"/>
          </w:tcPr>
          <w:p>
            <w:pPr>
              <w:pStyle w:val="Compact"/>
              <w:spacing w:after="40"/>
              <w:jc w:val="left"/>
            </w:pPr>
            <w:r>
              <w:rPr>
                <w:sz w:val="18"/>
              </w:rPr>
              <w:t xml:space="preserve">Statutory notices where permitted (SARFAESI Rule 3; s.138 in practice) and all letters</w:t>
            </w:r>
          </w:p>
        </w:tc>
        <w:tc>
          <w:tcPr>
            <w:tcW w:w="4585" w:type="dxa"/>
          </w:tcPr>
          <w:p>
            <w:pPr>
              <w:pStyle w:val="Compact"/>
              <w:spacing w:after="40"/>
              <w:jc w:val="left"/>
            </w:pPr>
            <w:r>
              <w:rPr>
                <w:sz w:val="18"/>
              </w:rPr>
              <w:t xml:space="preserve">SPF, DKIM, message ID, server logs and hash kept; receipt per IT Act s.13</w:t>
            </w:r>
          </w:p>
        </w:tc>
      </w:tr>
      <w:tr>
        <w:tc>
          <w:tcPr>
            <w:tcW w:w="1861" w:type="dxa"/>
          </w:tcPr>
          <w:p>
            <w:pPr>
              <w:pStyle w:val="Compact"/>
              <w:spacing w:after="40"/>
              <w:jc w:val="left"/>
            </w:pPr>
            <w:r>
              <w:rPr>
                <w:sz w:val="18"/>
              </w:rPr>
              <w:t xml:space="preserve">SMS with secure link</w:t>
            </w:r>
          </w:p>
        </w:tc>
        <w:tc>
          <w:tcPr>
            <w:tcW w:w="3192" w:type="dxa"/>
          </w:tcPr>
          <w:p>
            <w:pPr>
              <w:pStyle w:val="Compact"/>
              <w:spacing w:after="40"/>
              <w:jc w:val="left"/>
            </w:pPr>
            <w:r>
              <w:rPr>
                <w:sz w:val="18"/>
              </w:rPr>
              <w:t xml:space="preserve">Alerts, notice links, agent intimation</w:t>
            </w:r>
          </w:p>
        </w:tc>
        <w:tc>
          <w:tcPr>
            <w:tcW w:w="4585" w:type="dxa"/>
          </w:tcPr>
          <w:p>
            <w:pPr>
              <w:pStyle w:val="Compact"/>
              <w:spacing w:after="40"/>
              <w:jc w:val="left"/>
            </w:pPr>
            <w:r>
              <w:rPr>
                <w:sz w:val="18"/>
              </w:rPr>
              <w:t xml:space="preserve">DLT template; 1600-series header for service calls (TRAI, 19 Nov 2025) [VERIFY: applies to agency recovery calls]</w:t>
            </w:r>
          </w:p>
        </w:tc>
      </w:tr>
      <w:tr>
        <w:tc>
          <w:tcPr>
            <w:tcW w:w="1861" w:type="dxa"/>
          </w:tcPr>
          <w:p>
            <w:pPr>
              <w:pStyle w:val="Compact"/>
              <w:spacing w:after="40"/>
              <w:jc w:val="left"/>
            </w:pPr>
            <w:r>
              <w:rPr>
                <w:sz w:val="18"/>
              </w:rPr>
              <w:t xml:space="preserve">WhatsApp</w:t>
            </w:r>
          </w:p>
        </w:tc>
        <w:tc>
          <w:tcPr>
            <w:tcW w:w="3192" w:type="dxa"/>
          </w:tcPr>
          <w:p>
            <w:pPr>
              <w:pStyle w:val="Compact"/>
              <w:spacing w:after="40"/>
              <w:jc w:val="left"/>
            </w:pPr>
            <w:r>
              <w:rPr>
                <w:sz w:val="18"/>
              </w:rPr>
              <w:t xml:space="preserve">Opt-in servicing only (receipts, NOC, payment confirmations)</w:t>
            </w:r>
          </w:p>
        </w:tc>
        <w:tc>
          <w:tcPr>
            <w:tcW w:w="4585" w:type="dxa"/>
          </w:tcPr>
          <w:p>
            <w:pPr>
              <w:pStyle w:val="Compact"/>
              <w:spacing w:after="40"/>
              <w:jc w:val="left"/>
            </w:pPr>
            <w:r>
              <w:rPr>
                <w:bCs/>
                <w:b/>
                <w:sz w:val="18"/>
              </w:rPr>
              <w:t xml:space="preserve">Never for collection, recovery or legal notices</w:t>
            </w:r>
            <w:r>
              <w:rPr>
                <w:sz w:val="18"/>
              </w:rPr>
              <w:t xml:space="preserve"> </w:t>
            </w:r>
            <w:r>
              <w:rPr>
                <w:sz w:val="18"/>
              </w:rPr>
              <w:t xml:space="preserve">(WhatsApp Business Messaging Policy §4 bars debt collection irrespective of licence)</w:t>
            </w:r>
          </w:p>
        </w:tc>
      </w:tr>
      <w:tr>
        <w:tc>
          <w:tcPr>
            <w:tcW w:w="1861" w:type="dxa"/>
          </w:tcPr>
          <w:p>
            <w:pPr>
              <w:pStyle w:val="Compact"/>
              <w:spacing w:after="40"/>
              <w:jc w:val="left"/>
            </w:pPr>
            <w:r>
              <w:rPr>
                <w:sz w:val="18"/>
              </w:rPr>
              <w:t xml:space="preserve">Hand delivery</w:t>
            </w:r>
          </w:p>
        </w:tc>
        <w:tc>
          <w:tcPr>
            <w:tcW w:w="3192" w:type="dxa"/>
          </w:tcPr>
          <w:p>
            <w:pPr>
              <w:pStyle w:val="Compact"/>
              <w:spacing w:after="40"/>
              <w:jc w:val="left"/>
            </w:pPr>
            <w:r>
              <w:rPr>
                <w:sz w:val="18"/>
              </w:rPr>
              <w:t xml:space="preserve">Any notice</w:t>
            </w:r>
          </w:p>
        </w:tc>
        <w:tc>
          <w:tcPr>
            <w:tcW w:w="4585" w:type="dxa"/>
          </w:tcPr>
          <w:p>
            <w:pPr>
              <w:pStyle w:val="Compact"/>
              <w:spacing w:after="40"/>
              <w:jc w:val="left"/>
            </w:pPr>
            <w:r>
              <w:rPr>
                <w:sz w:val="18"/>
              </w:rPr>
              <w:t xml:space="preserve">Signed acknowledgment or refusal endorsement, witness, geo-tagged photo</w:t>
            </w:r>
          </w:p>
        </w:tc>
      </w:tr>
      <w:tr>
        <w:tc>
          <w:tcPr>
            <w:tcW w:w="1861" w:type="dxa"/>
          </w:tcPr>
          <w:p>
            <w:pPr>
              <w:pStyle w:val="Compact"/>
              <w:spacing w:after="40"/>
              <w:jc w:val="left"/>
            </w:pPr>
            <w:r>
              <w:rPr>
                <w:sz w:val="18"/>
              </w:rPr>
              <w:t xml:space="preserve">Affixture</w:t>
            </w:r>
          </w:p>
        </w:tc>
        <w:tc>
          <w:tcPr>
            <w:tcW w:w="3192" w:type="dxa"/>
          </w:tcPr>
          <w:p>
            <w:pPr>
              <w:pStyle w:val="Compact"/>
              <w:spacing w:after="40"/>
              <w:jc w:val="left"/>
            </w:pPr>
            <w:r>
              <w:rPr>
                <w:sz w:val="18"/>
              </w:rPr>
              <w:t xml:space="preserve">On avoidance or refusal</w:t>
            </w:r>
          </w:p>
        </w:tc>
        <w:tc>
          <w:tcPr>
            <w:tcW w:w="4585" w:type="dxa"/>
          </w:tcPr>
          <w:p>
            <w:pPr>
              <w:pStyle w:val="Compact"/>
              <w:spacing w:after="40"/>
              <w:jc w:val="left"/>
            </w:pPr>
            <w:r>
              <w:rPr>
                <w:sz w:val="18"/>
              </w:rPr>
              <w:t xml:space="preserve">Geo-tagged, time-stamped photographs and witness; publication where the rule requires</w:t>
            </w:r>
          </w:p>
        </w:tc>
      </w:tr>
      <w:tr>
        <w:tc>
          <w:tcPr>
            <w:tcW w:w="1861" w:type="dxa"/>
          </w:tcPr>
          <w:p>
            <w:pPr>
              <w:pStyle w:val="Compact"/>
              <w:spacing w:after="40"/>
              <w:jc w:val="left"/>
            </w:pPr>
            <w:r>
              <w:rPr>
                <w:sz w:val="18"/>
              </w:rPr>
              <w:t xml:space="preserve">Newspaper publication</w:t>
            </w:r>
          </w:p>
        </w:tc>
        <w:tc>
          <w:tcPr>
            <w:tcW w:w="3192" w:type="dxa"/>
          </w:tcPr>
          <w:p>
            <w:pPr>
              <w:pStyle w:val="Compact"/>
              <w:spacing w:after="40"/>
              <w:jc w:val="left"/>
            </w:pPr>
            <w:r>
              <w:rPr>
                <w:sz w:val="18"/>
              </w:rPr>
              <w:t xml:space="preserve">SARFAESI avoidance (Rule 3), possession (Rule 8(2)), sale (Rule 8(6)); gold auction (RBC para 61)</w:t>
            </w:r>
          </w:p>
        </w:tc>
        <w:tc>
          <w:tcPr>
            <w:tcW w:w="4585" w:type="dxa"/>
          </w:tcPr>
          <w:p>
            <w:pPr>
              <w:pStyle w:val="Compact"/>
              <w:spacing w:after="40"/>
              <w:jc w:val="left"/>
            </w:pPr>
            <w:r>
              <w:rPr>
                <w:sz w:val="18"/>
              </w:rPr>
              <w:t xml:space="preserve">Two papers, one vernacular (gold: one regional, one national); cuttings stored</w:t>
            </w:r>
          </w:p>
        </w:tc>
      </w:tr>
      <w:tr>
        <w:tc>
          <w:tcPr>
            <w:tcW w:w="1861" w:type="dxa"/>
          </w:tcPr>
          <w:p>
            <w:pPr>
              <w:pStyle w:val="Compact"/>
              <w:spacing w:after="40"/>
              <w:jc w:val="left"/>
            </w:pPr>
            <w:r>
              <w:rPr>
                <w:sz w:val="18"/>
              </w:rPr>
              <w:t xml:space="preserve">Website</w:t>
            </w:r>
          </w:p>
        </w:tc>
        <w:tc>
          <w:tcPr>
            <w:tcW w:w="3192" w:type="dxa"/>
          </w:tcPr>
          <w:p>
            <w:pPr>
              <w:pStyle w:val="Compact"/>
              <w:spacing w:after="40"/>
              <w:jc w:val="left"/>
            </w:pPr>
            <w:r>
              <w:rPr>
                <w:sz w:val="18"/>
              </w:rPr>
              <w:t xml:space="preserve">Possessed assets (CIR para 21); sale notices; agency list</w:t>
            </w:r>
          </w:p>
        </w:tc>
        <w:tc>
          <w:tcPr>
            <w:tcW w:w="4585" w:type="dxa"/>
          </w:tcPr>
          <w:p>
            <w:pPr>
              <w:pStyle w:val="Compact"/>
              <w:spacing w:after="40"/>
              <w:jc w:val="left"/>
            </w:pPr>
            <w:r>
              <w:rPr>
                <w:sz w:val="18"/>
              </w:rPr>
              <w:t xml:space="preserve">Possessed assets updated monthly; removed on sale or settlement</w:t>
            </w:r>
          </w:p>
        </w:tc>
      </w:tr>
    </w:tbl>
    <w:p>
      <w:pPr>
        <w:numPr>
          <w:ilvl w:val="0"/>
          <w:numId w:val="1218"/>
        </w:numPr>
        <w:pStyle w:val="Compact"/>
      </w:pPr>
      <w:r>
        <w:t xml:space="preserve">Adapters through the connector SPI: India Post bulk API (needs a DoP contract and CEPT onboarding; XML manifests, tracking events), couriers, print-to-post, email, SMS, newspaper agencies.</w:t>
      </w:r>
    </w:p>
    <w:bookmarkEnd w:id="131"/>
    <w:bookmarkStart w:id="132" w:name="X344389942e8ef81b7d2ccbb65fe9a8d63dda1cf"/>
    <w:p>
      <w:pPr>
        <w:pStyle w:val="Heading3"/>
      </w:pPr>
      <w:r>
        <w:t xml:space="preserve">R3.5 Proof-of-service register and service states</w:t>
      </w:r>
    </w:p>
    <w:p>
      <w:pPr>
        <w:numPr>
          <w:ilvl w:val="0"/>
          <w:numId w:val="1219"/>
        </w:numPr>
        <w:pStyle w:val="Compact"/>
      </w:pPr>
      <w:r>
        <w:rPr>
          <w:bCs/>
          <w:b/>
        </w:rPr>
        <w:t xml:space="preserve">States:</w:t>
      </w:r>
      <w:r>
        <w:t xml:space="preserve"> </w:t>
      </w:r>
      <w:r>
        <w:rPr>
          <w:rStyle w:val="VerbatimChar"/>
        </w:rPr>
        <w:t xml:space="preserve">GENERATED → APPROVED → SIGNED → QUEUED → DISPATCHED → IN_TRANSIT → DELIVERED | REFUSED | UNCLAIMED | ADDRESSEE_LEFT | RETURNED → RE_SERVE | SUBSTITUTED_SERVICE → SERVED</w:t>
      </w:r>
      <w:r>
        <w:t xml:space="preserve">.</w:t>
      </w:r>
    </w:p>
    <w:p>
      <w:pPr>
        <w:numPr>
          <w:ilvl w:val="0"/>
          <w:numId w:val="1219"/>
        </w:numPr>
        <w:pStyle w:val="Compact"/>
      </w:pPr>
      <w:r>
        <w:rPr>
          <w:bCs/>
          <w:b/>
        </w:rPr>
        <w:t xml:space="preserve">Register row (one per party per mode):</w:t>
      </w:r>
      <w:r>
        <w:t xml:space="preserve"> </w:t>
      </w:r>
      <w:r>
        <w:t xml:space="preserve">notice ID, party, mode, address or handle, booking number or message ID, dispatched at, delivered at, status, evidence URIs, SHA-256, deemed-service date and rule, computed deadlines.</w:t>
      </w:r>
    </w:p>
    <w:p>
      <w:pPr>
        <w:numPr>
          <w:ilvl w:val="0"/>
          <w:numId w:val="1219"/>
        </w:numPr>
        <w:pStyle w:val="Compact"/>
      </w:pPr>
      <w:r>
        <w:rPr>
          <w:bCs/>
          <w:b/>
        </w:rPr>
        <w:t xml:space="preserve">No</w:t>
      </w:r>
      <w:r>
        <w:rPr>
          <w:bCs/>
          <w:b/>
        </w:rPr>
        <w:t xml:space="preserve"> </w:t>
      </w:r>
      <w:r>
        <w:rPr>
          <w:bCs/>
          <w:b/>
        </w:rPr>
        <w:t xml:space="preserve">“</w:t>
      </w:r>
      <w:r>
        <w:rPr>
          <w:bCs/>
          <w:b/>
        </w:rPr>
        <w:t xml:space="preserve">served</w:t>
      </w:r>
      <w:r>
        <w:rPr>
          <w:bCs/>
          <w:b/>
        </w:rPr>
        <w:t xml:space="preserve">”</w:t>
      </w:r>
      <w:r>
        <w:rPr>
          <w:bCs/>
          <w:b/>
        </w:rPr>
        <w:t xml:space="preserve"> </w:t>
      </w:r>
      <w:r>
        <w:rPr>
          <w:bCs/>
          <w:b/>
        </w:rPr>
        <w:t xml:space="preserve">status without evidence</w:t>
      </w:r>
      <w:r>
        <w:t xml:space="preserve"> </w:t>
      </w:r>
      <w:r>
        <w:t xml:space="preserve">(</w:t>
      </w:r>
      <w:r>
        <w:rPr>
          <w:iCs/>
          <w:i/>
        </w:rPr>
        <w:t xml:space="preserve">Sedhram Nilkanth Muglikar v. M.R. Makhare</w:t>
      </w:r>
      <w:r>
        <w:t xml:space="preserve">, Bom HC, 2026: failed attempts and</w:t>
      </w:r>
      <w:r>
        <w:t xml:space="preserve"> </w:t>
      </w:r>
      <w:r>
        <w:t xml:space="preserve">“</w:t>
      </w:r>
      <w:r>
        <w:t xml:space="preserve">intimation delivered</w:t>
      </w:r>
      <w:r>
        <w:t xml:space="preserve">”</w:t>
      </w:r>
      <w:r>
        <w:t xml:space="preserve"> </w:t>
      </w:r>
      <w:r>
        <w:t xml:space="preserve">endorsements are not proof; deemed service under A&amp;C Act s.3 needs reasonable inquiry and use of known email). Deemed service applies only through the instrument-specific rule pack.</w:t>
      </w:r>
    </w:p>
    <w:p>
      <w:pPr>
        <w:numPr>
          <w:ilvl w:val="0"/>
          <w:numId w:val="1219"/>
        </w:numPr>
        <w:pStyle w:val="Compact"/>
      </w:pPr>
      <w:r>
        <w:rPr>
          <w:bCs/>
          <w:b/>
        </w:rPr>
        <w:t xml:space="preserve">Returned or unserved:</w:t>
      </w:r>
      <w:r>
        <w:t xml:space="preserve"> </w:t>
      </w:r>
      <w:r>
        <w:t xml:space="preserve">automatic re-service at every known address and email; skip-trace task (R2.4); for SARFAESI avoidance, affixture plus two newspapers (Rule 3); diligence log exported as an affidavit annexure.</w:t>
      </w:r>
    </w:p>
    <w:p>
      <w:pPr>
        <w:numPr>
          <w:ilvl w:val="0"/>
          <w:numId w:val="1219"/>
        </w:numPr>
        <w:pStyle w:val="Compact"/>
      </w:pPr>
      <w:r>
        <w:rPr>
          <w:bCs/>
          <w:b/>
        </w:rPr>
        <w:t xml:space="preserve">Deadlines start only from the service date recorded for that party,</w:t>
      </w:r>
      <w:r>
        <w:t xml:space="preserve"> </w:t>
      </w:r>
      <w:r>
        <w:t xml:space="preserve">and for multi-party notices the rule pack decides whether the clock runs from each party’s service or from the last service (default: last service for SARFAESI s.13(2) cure [REC]).</w:t>
      </w:r>
    </w:p>
    <w:bookmarkEnd w:id="132"/>
    <w:bookmarkStart w:id="133" w:name="r3.6-bulk-generation"/>
    <w:p>
      <w:pPr>
        <w:pStyle w:val="Heading3"/>
      </w:pPr>
      <w:r>
        <w:t xml:space="preserve">R3.6 Bulk generation</w:t>
      </w:r>
    </w:p>
    <w:p>
      <w:pPr>
        <w:numPr>
          <w:ilvl w:val="0"/>
          <w:numId w:val="1220"/>
        </w:numPr>
        <w:pStyle w:val="Compact"/>
      </w:pPr>
      <w:r>
        <w:t xml:space="preserve">Rule-based selection excluding cured accounts, litigation holds, moratorium-protected parties, deceased borrowers without identified heirs and open same-subject grievances [REC]; frozen dues snapshot; human check of a preview sample; batch signing, dispatch and tracking reconciliation.</w:t>
      </w:r>
    </w:p>
    <w:p>
      <w:pPr>
        <w:pStyle w:val="FirstParagraph"/>
      </w:pPr>
      <w:r>
        <w:rPr>
          <w:bCs/>
          <w:b/>
        </w:rPr>
        <w:t xml:space="preserve">Data captured.</w:t>
      </w:r>
      <w:r>
        <w:t xml:space="preserve"> </w:t>
      </w:r>
      <w:r>
        <w:t xml:space="preserve">Template versions and approvals, rendered documents and hashes, signing evidence, stamp evidence, dispatch and tracking events, proof-of-service register, outward register.</w:t>
      </w:r>
    </w:p>
    <w:p>
      <w:pPr>
        <w:pStyle w:val="BodyText"/>
      </w:pPr>
      <w:r>
        <w:rPr>
          <w:bCs/>
          <w:b/>
        </w:rPr>
        <w:t xml:space="preserve">Controls.</w:t>
      </w:r>
      <w:r>
        <w:t xml:space="preserve"> </w:t>
      </w:r>
      <w:r>
        <w:t xml:space="preserve">No edit after signing; re-issue creates a new notice linked to the old one; language block; WhatsApp purpose block; mandatory clause check; authorised-signatory check per instrument; bulk batches require a second approver.</w:t>
      </w:r>
    </w:p>
    <w:p>
      <w:pPr>
        <w:pStyle w:val="BodyText"/>
      </w:pPr>
      <w:r>
        <w:rPr>
          <w:bCs/>
          <w:b/>
        </w:rPr>
        <w:t xml:space="preserve">Configuration.</w:t>
      </w:r>
      <w:r>
        <w:t xml:space="preserve"> </w:t>
      </w:r>
      <w:r>
        <w:t xml:space="preserve">Templates and clauses per product and state; signatories; channel mix per instrument (mandatory channels cannot be removed); re-service ladder; newspaper panel; deemed-service windows where the rule pack allows tenant choice.</w:t>
      </w:r>
    </w:p>
    <w:p>
      <w:pPr>
        <w:pStyle w:val="BodyText"/>
      </w:pPr>
      <w:r>
        <w:rPr>
          <w:bCs/>
          <w:b/>
        </w:rPr>
        <w:t xml:space="preserve">Events.</w:t>
      </w:r>
      <w:r>
        <w:t xml:space="preserve"> </w:t>
      </w:r>
      <w:r>
        <w:t xml:space="preserve">Emitted:</w:t>
      </w:r>
      <w:r>
        <w:t xml:space="preserve"> </w:t>
      </w:r>
      <w:r>
        <w:rPr>
          <w:rStyle w:val="VerbatimChar"/>
        </w:rPr>
        <w:t xml:space="preserve">LegalNoticeIssued</w:t>
      </w:r>
      <w:r>
        <w:t xml:space="preserve">,</w:t>
      </w:r>
      <w:r>
        <w:t xml:space="preserve"> </w:t>
      </w:r>
      <w:r>
        <w:rPr>
          <w:rStyle w:val="VerbatimChar"/>
        </w:rPr>
        <w:t xml:space="preserve">NoticeServiceUpdated</w:t>
      </w:r>
      <w:r>
        <w:t xml:space="preserve">,</w:t>
      </w:r>
      <w:r>
        <w:t xml:space="preserve"> </w:t>
      </w:r>
      <w:r>
        <w:rPr>
          <w:rStyle w:val="VerbatimChar"/>
        </w:rPr>
        <w:t xml:space="preserve">SettlementOfferIssued</w:t>
      </w:r>
      <w:r>
        <w:t xml:space="preserve">. Consumed:</w:t>
      </w:r>
      <w:r>
        <w:t xml:space="preserve"> </w:t>
      </w:r>
      <w:r>
        <w:rPr>
          <w:rStyle w:val="VerbatimChar"/>
        </w:rPr>
        <w:t xml:space="preserve">RecoveryStrategyChanged</w:t>
      </w:r>
      <w:r>
        <w:t xml:space="preserve">,</w:t>
      </w:r>
      <w:r>
        <w:t xml:space="preserve"> </w:t>
      </w:r>
      <w:r>
        <w:rPr>
          <w:rStyle w:val="VerbatimChar"/>
        </w:rPr>
        <w:t xml:space="preserve">SettlementApproved</w:t>
      </w:r>
      <w:r>
        <w:t xml:space="preserve">,</w:t>
      </w:r>
      <w:r>
        <w:t xml:space="preserve"> </w:t>
      </w:r>
      <w:r>
        <w:rPr>
          <w:rStyle w:val="VerbatimChar"/>
        </w:rPr>
        <w:t xml:space="preserve">ADRReferralCreated</w:t>
      </w:r>
      <w:r>
        <w:t xml:space="preserve">,</w:t>
      </w:r>
      <w:r>
        <w:t xml:space="preserve"> </w:t>
      </w:r>
      <w:r>
        <w:rPr>
          <w:rStyle w:val="VerbatimChar"/>
        </w:rPr>
        <w:t xml:space="preserve">ConsentWithdrawn</w:t>
      </w:r>
      <w:r>
        <w:t xml:space="preserve">.</w:t>
      </w:r>
    </w:p>
    <w:p>
      <w:pPr>
        <w:pStyle w:val="BodyText"/>
      </w:pPr>
      <w:r>
        <w:rPr>
          <w:bCs/>
          <w:b/>
        </w:rPr>
        <w:t xml:space="preserve">Tests (R3).</w:t>
      </w:r>
      <w:r>
        <w:t xml:space="preserve"> </w:t>
      </w:r>
      <w:r>
        <w:t xml:space="preserve">- s.13(2) notice to a company with two guarantor-mortgagors generates three notices, each with the s.13(8) note.</w:t>
      </w:r>
      <w:r>
        <w:t xml:space="preserve"> </w:t>
      </w:r>
      <w:r>
        <w:t xml:space="preserve">- A Marathi-preference borrower with no certified Marathi template blocks dispatch.</w:t>
      </w:r>
      <w:r>
        <w:t xml:space="preserve"> </w:t>
      </w:r>
      <w:r>
        <w:t xml:space="preserve">- WhatsApp selected for a s.138 notice is rejected with the policy reason.</w:t>
      </w:r>
      <w:r>
        <w:t xml:space="preserve"> </w:t>
      </w:r>
      <w:r>
        <w:t xml:space="preserve">- A returned speed-post article never sets</w:t>
      </w:r>
      <w:r>
        <w:t xml:space="preserve"> </w:t>
      </w:r>
      <w:r>
        <w:rPr>
          <w:rStyle w:val="VerbatimChar"/>
        </w:rPr>
        <w:t xml:space="preserve">SERVED</w:t>
      </w:r>
      <w:r>
        <w:t xml:space="preserve">; re-service is queued.</w:t>
      </w:r>
      <w:r>
        <w:t xml:space="preserve"> </w:t>
      </w:r>
      <w:r>
        <w:t xml:space="preserve">- The 60-day cure clock starts from the last borrower’s evidenced service date.</w:t>
      </w:r>
      <w:r>
        <w:t xml:space="preserve"> </w:t>
      </w:r>
      <w:r>
        <w:t xml:space="preserve">- s.13(3A) representation logged on 1 Mar creates a reply deadline of 16 Mar with alerts.</w:t>
      </w:r>
    </w:p>
    <w:p>
      <w:r>
        <w:pict>
          <v:rect style="width:0;height:1.5pt" o:hralign="center" o:hrstd="t" o:hr="t"/>
        </w:pict>
      </w:r>
    </w:p>
    <w:bookmarkEnd w:id="133"/>
    <w:bookmarkEnd w:id="134"/>
    <w:bookmarkStart w:id="139" w:name="r4.-sarfaesi-enforcement"/>
    <w:p>
      <w:pPr>
        <w:pStyle w:val="Heading2"/>
      </w:pPr>
      <w:r>
        <w:t xml:space="preserve">R4. SARFAESI enforcement</w:t>
      </w:r>
    </w:p>
    <w:p>
      <w:pPr>
        <w:pStyle w:val="FirstParagraph"/>
      </w:pPr>
      <w:r>
        <w:rPr>
          <w:bCs/>
          <w:b/>
        </w:rPr>
        <w:t xml:space="preserve">Purpose.</w:t>
      </w:r>
      <w:r>
        <w:t xml:space="preserve"> </w:t>
      </w:r>
      <w:r>
        <w:t xml:space="preserve">Enforce security interests in immovable property and hypothecated movables under Chapter III of the SARFAESI Act 2002 and the Security Interest (Enforcement) Rules 2002, for eligible tenants only, with a hard gate before every irreversible step and an evidence file that survives a s.17 challenge.</w:t>
      </w:r>
    </w:p>
    <w:p>
      <w:pPr>
        <w:pStyle w:val="BodyText"/>
      </w:pPr>
      <w:r>
        <w:rPr>
          <w:bCs/>
          <w:b/>
        </w:rPr>
        <w:t xml:space="preserve">Capabilities:</w:t>
      </w:r>
      <w:r>
        <w:t xml:space="preserve"> </w:t>
      </w:r>
      <w:r>
        <w:t xml:space="preserve">eligibility gate; enforcement workflow and Rules 3, 8 and 9 day-count engine; redemption cut-off; e-auction connector; s.13(9) consent record; possessed-asset feed (CIR para 21); evidence bundles (R15.7); surplus and shortfall routing.</w:t>
      </w:r>
    </w:p>
    <w:bookmarkStart w:id="135" w:name="r4.1-eligibility-gate"/>
    <w:p>
      <w:pPr>
        <w:pStyle w:val="Heading3"/>
      </w:pPr>
      <w:r>
        <w:t xml:space="preserve">R4.1 Eligibility gate</w:t>
      </w:r>
    </w:p>
    <w:p>
      <w:pPr>
        <w:pStyle w:val="FirstParagraph"/>
      </w:pPr>
      <w:r>
        <w:t xml:space="preserve">Run per account and per secured asset on entry to the track and again on every material event (payment, classification change, IBC event, court order, transfer, valuation). Output:</w:t>
      </w:r>
      <w:r>
        <w:t xml:space="preserve"> </w:t>
      </w:r>
      <w:r>
        <w:rPr>
          <w:rStyle w:val="VerbatimChar"/>
        </w:rPr>
        <w:t xml:space="preserve">eligible</w:t>
      </w:r>
      <w:r>
        <w:t xml:space="preserve">,</w:t>
      </w:r>
      <w:r>
        <w:t xml:space="preserve"> </w:t>
      </w:r>
      <w:r>
        <w:rPr>
          <w:rStyle w:val="VerbatimChar"/>
        </w:rPr>
        <w:t xml:space="preserve">blocking_reasons[]</w:t>
      </w:r>
      <w:r>
        <w:t xml:space="preserve">, evidence snapshot hash. The gate extends the R1.4 SARFAESI row.</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94"/>
        <w:gridCol w:w="1402"/>
        <w:gridCol w:w="3891"/>
        <w:gridCol w:w="2452"/>
        <w:gridCol w:w="1099"/>
      </w:tblGrid>
      <w:tr>
        <w:trPr>
          <w:tblHeader w:val="true"/>
          <w:tblHeader w:val="true"/>
        </w:trPr>
        <w:tc>
          <w:tcPr>
            <w:tcW w:w="794" w:type="dxa"/>
            <w:shd w:val="clear" w:color="auto" w:fill="1F3A5F"/>
          </w:tcPr>
          <w:p>
            <w:pPr>
              <w:pStyle w:val="Compact"/>
              <w:spacing w:after="40"/>
              <w:jc w:val="left"/>
            </w:pPr>
            <w:r>
              <w:rPr>
                <w:b/>
                <w:color w:val="FFFFFF"/>
                <w:sz w:val="18"/>
              </w:rPr>
              <w:t xml:space="preserve">#</w:t>
            </w:r>
          </w:p>
        </w:tc>
        <w:tc>
          <w:tcPr>
            <w:tcW w:w="1402" w:type="dxa"/>
            <w:shd w:val="clear" w:color="auto" w:fill="1F3A5F"/>
          </w:tcPr>
          <w:p>
            <w:pPr>
              <w:pStyle w:val="Compact"/>
              <w:spacing w:after="40"/>
              <w:jc w:val="left"/>
            </w:pPr>
            <w:r>
              <w:rPr>
                <w:b/>
                <w:color w:val="FFFFFF"/>
                <w:sz w:val="18"/>
              </w:rPr>
              <w:t xml:space="preserve">Test</w:t>
            </w:r>
          </w:p>
        </w:tc>
        <w:tc>
          <w:tcPr>
            <w:tcW w:w="3891" w:type="dxa"/>
            <w:shd w:val="clear" w:color="auto" w:fill="1F3A5F"/>
          </w:tcPr>
          <w:p>
            <w:pPr>
              <w:pStyle w:val="Compact"/>
              <w:spacing w:after="40"/>
              <w:jc w:val="left"/>
            </w:pPr>
            <w:r>
              <w:rPr>
                <w:b/>
                <w:color w:val="FFFFFF"/>
                <w:sz w:val="18"/>
              </w:rPr>
              <w:t xml:space="preserve">Rule</w:t>
            </w:r>
          </w:p>
        </w:tc>
        <w:tc>
          <w:tcPr>
            <w:tcW w:w="2452" w:type="dxa"/>
            <w:shd w:val="clear" w:color="auto" w:fill="1F3A5F"/>
          </w:tcPr>
          <w:p>
            <w:pPr>
              <w:pStyle w:val="Compact"/>
              <w:spacing w:after="40"/>
              <w:jc w:val="left"/>
            </w:pPr>
            <w:r>
              <w:rPr>
                <w:b/>
                <w:color w:val="FFFFFF"/>
                <w:sz w:val="18"/>
              </w:rPr>
              <w:t xml:space="preserve">Source</w:t>
            </w:r>
          </w:p>
        </w:tc>
        <w:tc>
          <w:tcPr>
            <w:tcW w:w="1099" w:type="dxa"/>
            <w:shd w:val="clear" w:color="auto" w:fill="1F3A5F"/>
          </w:tcPr>
          <w:p>
            <w:pPr>
              <w:pStyle w:val="Compact"/>
              <w:spacing w:after="40"/>
              <w:jc w:val="left"/>
            </w:pPr>
            <w:r>
              <w:rPr>
                <w:b/>
                <w:color w:val="FFFFFF"/>
                <w:sz w:val="18"/>
              </w:rPr>
              <w:t xml:space="preserve">If failed</w:t>
            </w:r>
          </w:p>
        </w:tc>
      </w:tr>
      <w:tr>
        <w:tc>
          <w:tcPr>
            <w:tcW w:w="794" w:type="dxa"/>
          </w:tcPr>
          <w:p>
            <w:pPr>
              <w:pStyle w:val="Compact"/>
              <w:spacing w:after="40"/>
              <w:jc w:val="left"/>
            </w:pPr>
            <w:r>
              <w:rPr>
                <w:sz w:val="18"/>
              </w:rPr>
              <w:t xml:space="preserve">1</w:t>
            </w:r>
          </w:p>
        </w:tc>
        <w:tc>
          <w:tcPr>
            <w:tcW w:w="1402" w:type="dxa"/>
          </w:tcPr>
          <w:p>
            <w:pPr>
              <w:pStyle w:val="Compact"/>
              <w:spacing w:after="40"/>
              <w:jc w:val="left"/>
            </w:pPr>
            <w:r>
              <w:rPr>
                <w:sz w:val="18"/>
              </w:rPr>
              <w:t xml:space="preserve">Secured creditor entitled to enforce</w:t>
            </w:r>
          </w:p>
        </w:tc>
        <w:tc>
          <w:tcPr>
            <w:tcW w:w="3891" w:type="dxa"/>
          </w:tcPr>
          <w:p>
            <w:pPr>
              <w:pStyle w:val="Compact"/>
              <w:spacing w:after="40"/>
              <w:jc w:val="left"/>
            </w:pPr>
            <w:r>
              <w:rPr>
                <w:sz w:val="18"/>
              </w:rPr>
              <w:t xml:space="preserve">Bank, co-operative bank, AIFI, ARC; HFC registered under NHB Act s.29A (notified financial institution); NBFC only with total assets ≥ ₹100 crore</w:t>
            </w:r>
          </w:p>
        </w:tc>
        <w:tc>
          <w:tcPr>
            <w:tcW w:w="2452" w:type="dxa"/>
          </w:tcPr>
          <w:p>
            <w:pPr>
              <w:pStyle w:val="Compact"/>
              <w:spacing w:after="40"/>
              <w:jc w:val="left"/>
            </w:pPr>
            <w:r>
              <w:rPr>
                <w:sz w:val="18"/>
              </w:rPr>
              <w:t xml:space="preserve">SARFAESI s.2(1)(m)(iv); S.O. 856(E), 24 Feb 2020; HFC notification of 17 Jun 2021 [VERIFY: HFC gazette number]</w:t>
            </w:r>
          </w:p>
        </w:tc>
        <w:tc>
          <w:tcPr>
            <w:tcW w:w="1099" w:type="dxa"/>
          </w:tcPr>
          <w:p>
            <w:pPr>
              <w:pStyle w:val="Compact"/>
              <w:spacing w:after="40"/>
              <w:jc w:val="left"/>
            </w:pPr>
            <w:r>
              <w:rPr>
                <w:sz w:val="18"/>
              </w:rPr>
              <w:t xml:space="preserve">Block; route to R5/R8</w:t>
            </w:r>
          </w:p>
        </w:tc>
      </w:tr>
      <w:tr>
        <w:tc>
          <w:tcPr>
            <w:tcW w:w="794" w:type="dxa"/>
          </w:tcPr>
          <w:p>
            <w:pPr>
              <w:pStyle w:val="Compact"/>
              <w:spacing w:after="40"/>
              <w:jc w:val="left"/>
            </w:pPr>
            <w:r>
              <w:rPr>
                <w:sz w:val="18"/>
              </w:rPr>
              <w:t xml:space="preserve">2</w:t>
            </w:r>
          </w:p>
        </w:tc>
        <w:tc>
          <w:tcPr>
            <w:tcW w:w="1402" w:type="dxa"/>
          </w:tcPr>
          <w:p>
            <w:pPr>
              <w:pStyle w:val="Compact"/>
              <w:spacing w:after="40"/>
              <w:jc w:val="left"/>
            </w:pPr>
            <w:r>
              <w:rPr>
                <w:sz w:val="18"/>
              </w:rPr>
              <w:t xml:space="preserve">NBFC debt threshold</w:t>
            </w:r>
          </w:p>
        </w:tc>
        <w:tc>
          <w:tcPr>
            <w:tcW w:w="3891" w:type="dxa"/>
          </w:tcPr>
          <w:p>
            <w:pPr>
              <w:pStyle w:val="Compact"/>
              <w:spacing w:after="40"/>
              <w:jc w:val="left"/>
            </w:pPr>
            <w:r>
              <w:rPr>
                <w:sz w:val="18"/>
              </w:rPr>
              <w:t xml:space="preserve">Secured debt ≥ ₹20 lakh; not applicable to HFCs (</w:t>
            </w:r>
            <w:r>
              <w:rPr>
                <w:iCs/>
                <w:i/>
                <w:sz w:val="18"/>
              </w:rPr>
              <w:t xml:space="preserve">Virendra Rathore v. Tehsildar</w:t>
            </w:r>
            <w:r>
              <w:rPr>
                <w:sz w:val="18"/>
              </w:rPr>
              <w:t xml:space="preserve">, MP HC, 22 May 2024)</w:t>
            </w:r>
          </w:p>
        </w:tc>
        <w:tc>
          <w:tcPr>
            <w:tcW w:w="2452" w:type="dxa"/>
          </w:tcPr>
          <w:p>
            <w:pPr>
              <w:pStyle w:val="Compact"/>
              <w:spacing w:after="40"/>
              <w:jc w:val="left"/>
            </w:pPr>
            <w:r>
              <w:rPr>
                <w:sz w:val="18"/>
              </w:rPr>
              <w:t xml:space="preserve">S.O. 652(E), 12 Feb 2021</w:t>
            </w:r>
          </w:p>
        </w:tc>
        <w:tc>
          <w:tcPr>
            <w:tcW w:w="1099" w:type="dxa"/>
          </w:tcPr>
          <w:p>
            <w:pPr>
              <w:pStyle w:val="Compact"/>
              <w:spacing w:after="40"/>
              <w:jc w:val="left"/>
            </w:pPr>
            <w:r>
              <w:rPr>
                <w:sz w:val="18"/>
              </w:rPr>
              <w:t xml:space="preserve">Block</w:t>
            </w:r>
          </w:p>
        </w:tc>
      </w:tr>
      <w:tr>
        <w:tc>
          <w:tcPr>
            <w:tcW w:w="794" w:type="dxa"/>
          </w:tcPr>
          <w:p>
            <w:pPr>
              <w:pStyle w:val="Compact"/>
              <w:spacing w:after="40"/>
              <w:jc w:val="left"/>
            </w:pPr>
            <w:r>
              <w:rPr>
                <w:sz w:val="18"/>
              </w:rPr>
              <w:t xml:space="preserve">3</w:t>
            </w:r>
          </w:p>
        </w:tc>
        <w:tc>
          <w:tcPr>
            <w:tcW w:w="1402" w:type="dxa"/>
          </w:tcPr>
          <w:p>
            <w:pPr>
              <w:pStyle w:val="Compact"/>
              <w:spacing w:after="40"/>
              <w:jc w:val="left"/>
            </w:pPr>
            <w:r>
              <w:rPr>
                <w:sz w:val="18"/>
              </w:rPr>
              <w:t xml:space="preserve">NPA</w:t>
            </w:r>
          </w:p>
        </w:tc>
        <w:tc>
          <w:tcPr>
            <w:tcW w:w="3891" w:type="dxa"/>
          </w:tcPr>
          <w:p>
            <w:pPr>
              <w:pStyle w:val="Compact"/>
              <w:spacing w:after="40"/>
              <w:jc w:val="left"/>
            </w:pPr>
            <w:r>
              <w:rPr>
                <w:sz w:val="18"/>
              </w:rPr>
              <w:t xml:space="preserve">Borrower-level NPA in the tenant’s books when the s.13(2) notice issues</w:t>
            </w:r>
          </w:p>
        </w:tc>
        <w:tc>
          <w:tcPr>
            <w:tcW w:w="2452" w:type="dxa"/>
          </w:tcPr>
          <w:p>
            <w:pPr>
              <w:pStyle w:val="Compact"/>
              <w:spacing w:after="40"/>
              <w:jc w:val="left"/>
            </w:pPr>
            <w:r>
              <w:rPr>
                <w:sz w:val="18"/>
              </w:rPr>
              <w:t xml:space="preserve">s.13(2); IRACP paras 23, 51</w:t>
            </w:r>
          </w:p>
        </w:tc>
        <w:tc>
          <w:tcPr>
            <w:tcW w:w="1099" w:type="dxa"/>
          </w:tcPr>
          <w:p>
            <w:pPr>
              <w:pStyle w:val="Compact"/>
              <w:spacing w:after="40"/>
              <w:jc w:val="left"/>
            </w:pPr>
            <w:r>
              <w:rPr>
                <w:sz w:val="18"/>
              </w:rPr>
              <w:t xml:space="preserve">Block</w:t>
            </w:r>
          </w:p>
        </w:tc>
      </w:tr>
      <w:tr>
        <w:tc>
          <w:tcPr>
            <w:tcW w:w="794" w:type="dxa"/>
          </w:tcPr>
          <w:p>
            <w:pPr>
              <w:pStyle w:val="Compact"/>
              <w:spacing w:after="40"/>
              <w:jc w:val="left"/>
            </w:pPr>
            <w:r>
              <w:rPr>
                <w:sz w:val="18"/>
              </w:rPr>
              <w:t xml:space="preserve">4</w:t>
            </w:r>
          </w:p>
        </w:tc>
        <w:tc>
          <w:tcPr>
            <w:tcW w:w="1402" w:type="dxa"/>
          </w:tcPr>
          <w:p>
            <w:pPr>
              <w:pStyle w:val="Compact"/>
              <w:spacing w:after="40"/>
              <w:jc w:val="left"/>
            </w:pPr>
            <w:r>
              <w:rPr>
                <w:sz w:val="18"/>
              </w:rPr>
              <w:t xml:space="preserve">CERSAI registration</w:t>
            </w:r>
          </w:p>
        </w:tc>
        <w:tc>
          <w:tcPr>
            <w:tcW w:w="3891" w:type="dxa"/>
          </w:tcPr>
          <w:p>
            <w:pPr>
              <w:pStyle w:val="Compact"/>
              <w:spacing w:after="40"/>
              <w:jc w:val="left"/>
            </w:pPr>
            <w:r>
              <w:rPr>
                <w:sz w:val="18"/>
              </w:rPr>
              <w:t xml:space="preserve">Registration ID and date for the asset</w:t>
            </w:r>
          </w:p>
        </w:tc>
        <w:tc>
          <w:tcPr>
            <w:tcW w:w="2452" w:type="dxa"/>
          </w:tcPr>
          <w:p>
            <w:pPr>
              <w:pStyle w:val="Compact"/>
              <w:spacing w:after="40"/>
              <w:jc w:val="left"/>
            </w:pPr>
            <w:r>
              <w:rPr>
                <w:sz w:val="18"/>
              </w:rPr>
              <w:t xml:space="preserve">s.26D</w:t>
            </w:r>
          </w:p>
        </w:tc>
        <w:tc>
          <w:tcPr>
            <w:tcW w:w="1099" w:type="dxa"/>
          </w:tcPr>
          <w:p>
            <w:pPr>
              <w:pStyle w:val="Compact"/>
              <w:spacing w:after="40"/>
              <w:jc w:val="left"/>
            </w:pPr>
            <w:r>
              <w:rPr>
                <w:sz w:val="18"/>
              </w:rPr>
              <w:t xml:space="preserve">Block, no override</w:t>
            </w:r>
          </w:p>
        </w:tc>
      </w:tr>
      <w:tr>
        <w:tc>
          <w:tcPr>
            <w:tcW w:w="794" w:type="dxa"/>
          </w:tcPr>
          <w:p>
            <w:pPr>
              <w:pStyle w:val="Compact"/>
              <w:spacing w:after="40"/>
              <w:jc w:val="left"/>
            </w:pPr>
            <w:r>
              <w:rPr>
                <w:sz w:val="18"/>
              </w:rPr>
              <w:t xml:space="preserve">5</w:t>
            </w:r>
          </w:p>
        </w:tc>
        <w:tc>
          <w:tcPr>
            <w:tcW w:w="1402" w:type="dxa"/>
          </w:tcPr>
          <w:p>
            <w:pPr>
              <w:pStyle w:val="Compact"/>
              <w:spacing w:after="40"/>
              <w:jc w:val="left"/>
            </w:pPr>
            <w:r>
              <w:rPr>
                <w:sz w:val="18"/>
              </w:rPr>
              <w:t xml:space="preserve">Not excluded</w:t>
            </w:r>
          </w:p>
        </w:tc>
        <w:tc>
          <w:tcPr>
            <w:tcW w:w="3891" w:type="dxa"/>
          </w:tcPr>
          <w:p>
            <w:pPr>
              <w:pStyle w:val="Compact"/>
              <w:spacing w:after="40"/>
              <w:jc w:val="left"/>
            </w:pPr>
            <w:r>
              <w:rPr>
                <w:sz w:val="18"/>
              </w:rPr>
              <w:t xml:space="preserve">Lien (a); pledge of movables (b) → R10; aircraft (c); vessel (d); conditional sale, HP or lease without a security interest (e); unpaid seller (f); CPC s.60 exempt property (g); financial asset ≤ ₹1 lakh (h); agricultural land (i); dues below 20% of principal plus interest (j)</w:t>
            </w:r>
          </w:p>
        </w:tc>
        <w:tc>
          <w:tcPr>
            <w:tcW w:w="2452" w:type="dxa"/>
          </w:tcPr>
          <w:p>
            <w:pPr>
              <w:pStyle w:val="Compact"/>
              <w:spacing w:after="40"/>
              <w:jc w:val="left"/>
            </w:pPr>
            <w:r>
              <w:rPr>
                <w:sz w:val="18"/>
              </w:rPr>
              <w:t xml:space="preserve">s.31</w:t>
            </w:r>
          </w:p>
        </w:tc>
        <w:tc>
          <w:tcPr>
            <w:tcW w:w="1099" w:type="dxa"/>
          </w:tcPr>
          <w:p>
            <w:pPr>
              <w:pStyle w:val="Compact"/>
              <w:spacing w:after="40"/>
              <w:jc w:val="left"/>
            </w:pPr>
            <w:r>
              <w:rPr>
                <w:sz w:val="18"/>
              </w:rPr>
              <w:t xml:space="preserve">Block; route per asset</w:t>
            </w:r>
          </w:p>
        </w:tc>
      </w:tr>
      <w:tr>
        <w:tc>
          <w:tcPr>
            <w:tcW w:w="794" w:type="dxa"/>
          </w:tcPr>
          <w:p>
            <w:pPr>
              <w:pStyle w:val="Compact"/>
              <w:spacing w:after="40"/>
              <w:jc w:val="left"/>
            </w:pPr>
            <w:r>
              <w:rPr>
                <w:sz w:val="18"/>
              </w:rPr>
              <w:t xml:space="preserve">6</w:t>
            </w:r>
          </w:p>
        </w:tc>
        <w:tc>
          <w:tcPr>
            <w:tcW w:w="1402" w:type="dxa"/>
          </w:tcPr>
          <w:p>
            <w:pPr>
              <w:pStyle w:val="Compact"/>
              <w:spacing w:after="40"/>
              <w:jc w:val="left"/>
            </w:pPr>
            <w:r>
              <w:rPr>
                <w:sz w:val="18"/>
              </w:rPr>
              <w:t xml:space="preserve">Agricultural land</w:t>
            </w:r>
          </w:p>
        </w:tc>
        <w:tc>
          <w:tcPr>
            <w:tcW w:w="3891" w:type="dxa"/>
          </w:tcPr>
          <w:p>
            <w:pPr>
              <w:pStyle w:val="Compact"/>
              <w:spacing w:after="40"/>
              <w:jc w:val="left"/>
            </w:pPr>
            <w:r>
              <w:rPr>
                <w:sz w:val="18"/>
              </w:rPr>
              <w:t xml:space="preserve">Nature and use when the security was created, not the revenue entry alone [VERIFY:</w:t>
            </w:r>
            <w:r>
              <w:rPr>
                <w:sz w:val="18"/>
              </w:rPr>
              <w:t xml:space="preserve"> </w:t>
            </w:r>
            <w:r>
              <w:rPr>
                <w:iCs/>
                <w:i/>
                <w:sz w:val="18"/>
              </w:rPr>
              <w:t xml:space="preserve">Pappireddiyar</w:t>
            </w:r>
            <w:r>
              <w:rPr>
                <w:sz w:val="18"/>
              </w:rPr>
              <w:t xml:space="preserve"> </w:t>
            </w:r>
            <w:r>
              <w:rPr>
                <w:sz w:val="18"/>
              </w:rPr>
              <w:t xml:space="preserve">(2018) and current SC position]</w:t>
            </w:r>
          </w:p>
        </w:tc>
        <w:tc>
          <w:tcPr>
            <w:tcW w:w="2452" w:type="dxa"/>
          </w:tcPr>
          <w:p>
            <w:pPr>
              <w:pStyle w:val="Compact"/>
              <w:spacing w:after="40"/>
              <w:jc w:val="left"/>
            </w:pPr>
            <w:r>
              <w:rPr>
                <w:sz w:val="18"/>
              </w:rPr>
              <w:t xml:space="preserve">s.31(i)</w:t>
            </w:r>
          </w:p>
        </w:tc>
        <w:tc>
          <w:tcPr>
            <w:tcW w:w="1099" w:type="dxa"/>
          </w:tcPr>
          <w:p>
            <w:pPr>
              <w:pStyle w:val="Compact"/>
              <w:spacing w:after="40"/>
              <w:jc w:val="left"/>
            </w:pPr>
            <w:r>
              <w:rPr>
                <w:sz w:val="18"/>
              </w:rPr>
              <w:t xml:space="preserve">Block pending opinion</w:t>
            </w:r>
          </w:p>
        </w:tc>
      </w:tr>
      <w:tr>
        <w:tc>
          <w:tcPr>
            <w:tcW w:w="794" w:type="dxa"/>
          </w:tcPr>
          <w:p>
            <w:pPr>
              <w:pStyle w:val="Compact"/>
              <w:spacing w:after="40"/>
              <w:jc w:val="left"/>
            </w:pPr>
            <w:r>
              <w:rPr>
                <w:sz w:val="18"/>
              </w:rPr>
              <w:t xml:space="preserve">7</w:t>
            </w:r>
          </w:p>
        </w:tc>
        <w:tc>
          <w:tcPr>
            <w:tcW w:w="1402" w:type="dxa"/>
          </w:tcPr>
          <w:p>
            <w:pPr>
              <w:pStyle w:val="Compact"/>
              <w:spacing w:after="40"/>
              <w:jc w:val="left"/>
            </w:pPr>
            <w:r>
              <w:rPr>
                <w:sz w:val="18"/>
              </w:rPr>
              <w:t xml:space="preserve">Not time-barred</w:t>
            </w:r>
          </w:p>
        </w:tc>
        <w:tc>
          <w:tcPr>
            <w:tcW w:w="3891" w:type="dxa"/>
          </w:tcPr>
          <w:p>
            <w:pPr>
              <w:pStyle w:val="Compact"/>
              <w:spacing w:after="40"/>
              <w:jc w:val="left"/>
            </w:pPr>
            <w:r>
              <w:rPr>
                <w:sz w:val="18"/>
              </w:rPr>
              <w:t xml:space="preserve">R1.5 limitation engine (Art.62, 12 years, for money charged on immovable property)</w:t>
            </w:r>
          </w:p>
        </w:tc>
        <w:tc>
          <w:tcPr>
            <w:tcW w:w="2452" w:type="dxa"/>
          </w:tcPr>
          <w:p>
            <w:pPr>
              <w:pStyle w:val="Compact"/>
              <w:spacing w:after="40"/>
              <w:jc w:val="left"/>
            </w:pPr>
            <w:r>
              <w:rPr>
                <w:sz w:val="18"/>
              </w:rPr>
              <w:t xml:space="preserve">s.36 [VERIFY: SC position on Art.62]</w:t>
            </w:r>
          </w:p>
        </w:tc>
        <w:tc>
          <w:tcPr>
            <w:tcW w:w="1099" w:type="dxa"/>
          </w:tcPr>
          <w:p>
            <w:pPr>
              <w:pStyle w:val="Compact"/>
              <w:spacing w:after="40"/>
              <w:jc w:val="left"/>
            </w:pPr>
            <w:r>
              <w:rPr>
                <w:sz w:val="18"/>
              </w:rPr>
              <w:t xml:space="preserve">Block</w:t>
            </w:r>
          </w:p>
        </w:tc>
      </w:tr>
      <w:tr>
        <w:tc>
          <w:tcPr>
            <w:tcW w:w="794" w:type="dxa"/>
          </w:tcPr>
          <w:p>
            <w:pPr>
              <w:pStyle w:val="Compact"/>
              <w:spacing w:after="40"/>
              <w:jc w:val="left"/>
            </w:pPr>
            <w:r>
              <w:rPr>
                <w:sz w:val="18"/>
              </w:rPr>
              <w:t xml:space="preserve">8</w:t>
            </w:r>
          </w:p>
        </w:tc>
        <w:tc>
          <w:tcPr>
            <w:tcW w:w="1402" w:type="dxa"/>
          </w:tcPr>
          <w:p>
            <w:pPr>
              <w:pStyle w:val="Compact"/>
              <w:spacing w:after="40"/>
              <w:jc w:val="left"/>
            </w:pPr>
            <w:r>
              <w:rPr>
                <w:sz w:val="18"/>
              </w:rPr>
              <w:t xml:space="preserve">Shared security</w:t>
            </w:r>
          </w:p>
        </w:tc>
        <w:tc>
          <w:tcPr>
            <w:tcW w:w="3891" w:type="dxa"/>
          </w:tcPr>
          <w:p>
            <w:pPr>
              <w:pStyle w:val="Compact"/>
              <w:spacing w:after="40"/>
              <w:jc w:val="left"/>
            </w:pPr>
            <w:r>
              <w:rPr>
                <w:sz w:val="18"/>
              </w:rPr>
              <w:t xml:space="preserve">Secured creditors holding ≥ 60% by value of the outstanding on a record date agree; binds all</w:t>
            </w:r>
          </w:p>
        </w:tc>
        <w:tc>
          <w:tcPr>
            <w:tcW w:w="2452" w:type="dxa"/>
          </w:tcPr>
          <w:p>
            <w:pPr>
              <w:pStyle w:val="Compact"/>
              <w:spacing w:after="40"/>
              <w:jc w:val="left"/>
            </w:pPr>
            <w:r>
              <w:rPr>
                <w:sz w:val="18"/>
              </w:rPr>
              <w:t xml:space="preserve">s.13(9); R13</w:t>
            </w:r>
          </w:p>
        </w:tc>
        <w:tc>
          <w:tcPr>
            <w:tcW w:w="1099" w:type="dxa"/>
          </w:tcPr>
          <w:p>
            <w:pPr>
              <w:pStyle w:val="Compact"/>
              <w:spacing w:after="40"/>
              <w:jc w:val="left"/>
            </w:pPr>
            <w:r>
              <w:rPr>
                <w:sz w:val="18"/>
              </w:rPr>
              <w:t xml:space="preserve">Block until recorded</w:t>
            </w:r>
          </w:p>
        </w:tc>
      </w:tr>
      <w:tr>
        <w:tc>
          <w:tcPr>
            <w:tcW w:w="794" w:type="dxa"/>
          </w:tcPr>
          <w:p>
            <w:pPr>
              <w:pStyle w:val="Compact"/>
              <w:spacing w:after="40"/>
              <w:jc w:val="left"/>
            </w:pPr>
            <w:r>
              <w:rPr>
                <w:sz w:val="18"/>
              </w:rPr>
              <w:t xml:space="preserve">9</w:t>
            </w:r>
          </w:p>
        </w:tc>
        <w:tc>
          <w:tcPr>
            <w:tcW w:w="1402" w:type="dxa"/>
          </w:tcPr>
          <w:p>
            <w:pPr>
              <w:pStyle w:val="Compact"/>
              <w:spacing w:after="40"/>
              <w:jc w:val="left"/>
            </w:pPr>
            <w:r>
              <w:rPr>
                <w:sz w:val="18"/>
              </w:rPr>
              <w:t xml:space="preserve">No moratorium or stay</w:t>
            </w:r>
          </w:p>
        </w:tc>
        <w:tc>
          <w:tcPr>
            <w:tcW w:w="3891" w:type="dxa"/>
          </w:tcPr>
          <w:p>
            <w:pPr>
              <w:pStyle w:val="Compact"/>
              <w:spacing w:after="40"/>
              <w:jc w:val="left"/>
            </w:pPr>
            <w:r>
              <w:rPr>
                <w:sz w:val="18"/>
              </w:rPr>
              <w:t xml:space="preserve">No IBC s.14, s.54E or s.101 moratorium over the asset owner; no court or DRT stay</w:t>
            </w:r>
          </w:p>
        </w:tc>
        <w:tc>
          <w:tcPr>
            <w:tcW w:w="2452" w:type="dxa"/>
          </w:tcPr>
          <w:p>
            <w:pPr>
              <w:pStyle w:val="Compact"/>
              <w:spacing w:after="40"/>
              <w:jc w:val="left"/>
            </w:pPr>
            <w:r>
              <w:rPr>
                <w:sz w:val="18"/>
              </w:rPr>
              <w:t xml:space="preserve">IBC; R6.7; R9</w:t>
            </w:r>
          </w:p>
        </w:tc>
        <w:tc>
          <w:tcPr>
            <w:tcW w:w="1099" w:type="dxa"/>
          </w:tcPr>
          <w:p>
            <w:pPr>
              <w:pStyle w:val="Compact"/>
              <w:spacing w:after="40"/>
              <w:jc w:val="left"/>
            </w:pPr>
            <w:r>
              <w:rPr>
                <w:sz w:val="18"/>
              </w:rPr>
              <w:t xml:space="preserve">Freeze</w:t>
            </w:r>
          </w:p>
        </w:tc>
      </w:tr>
      <w:tr>
        <w:tc>
          <w:tcPr>
            <w:tcW w:w="794" w:type="dxa"/>
          </w:tcPr>
          <w:p>
            <w:pPr>
              <w:pStyle w:val="Compact"/>
              <w:spacing w:after="40"/>
              <w:jc w:val="left"/>
            </w:pPr>
            <w:r>
              <w:rPr>
                <w:sz w:val="18"/>
              </w:rPr>
              <w:t xml:space="preserve">10</w:t>
            </w:r>
          </w:p>
        </w:tc>
        <w:tc>
          <w:tcPr>
            <w:tcW w:w="1402" w:type="dxa"/>
          </w:tcPr>
          <w:p>
            <w:pPr>
              <w:pStyle w:val="Compact"/>
              <w:spacing w:after="40"/>
              <w:jc w:val="left"/>
            </w:pPr>
            <w:r>
              <w:rPr>
                <w:sz w:val="18"/>
              </w:rPr>
              <w:t xml:space="preserve">Parties complete</w:t>
            </w:r>
          </w:p>
        </w:tc>
        <w:tc>
          <w:tcPr>
            <w:tcW w:w="3891" w:type="dxa"/>
          </w:tcPr>
          <w:p>
            <w:pPr>
              <w:pStyle w:val="Compact"/>
              <w:spacing w:after="40"/>
              <w:jc w:val="left"/>
            </w:pPr>
            <w:r>
              <w:rPr>
                <w:sz w:val="18"/>
              </w:rPr>
              <w:t xml:space="preserve">Every borrower, co-borrower and guarantor-mortgagor; legal heirs where a party has died</w:t>
            </w:r>
          </w:p>
        </w:tc>
        <w:tc>
          <w:tcPr>
            <w:tcW w:w="2452" w:type="dxa"/>
          </w:tcPr>
          <w:p>
            <w:pPr>
              <w:pStyle w:val="Compact"/>
              <w:spacing w:after="40"/>
              <w:jc w:val="left"/>
            </w:pPr>
            <w:r>
              <w:rPr>
                <w:sz w:val="18"/>
              </w:rPr>
              <w:t xml:space="preserve">s.2(1)(f); Rule 3(4); R1.9</w:t>
            </w:r>
          </w:p>
        </w:tc>
        <w:tc>
          <w:tcPr>
            <w:tcW w:w="1099" w:type="dxa"/>
          </w:tcPr>
          <w:p>
            <w:pPr>
              <w:pStyle w:val="Compact"/>
              <w:spacing w:after="40"/>
              <w:jc w:val="left"/>
            </w:pPr>
            <w:r>
              <w:rPr>
                <w:sz w:val="18"/>
              </w:rPr>
              <w:t xml:space="preserve">Block notice</w:t>
            </w:r>
          </w:p>
        </w:tc>
      </w:tr>
    </w:tbl>
    <w:p>
      <w:pPr>
        <w:pStyle w:val="BodyText"/>
      </w:pPr>
      <w:r>
        <w:t xml:space="preserve">Only tests 6 and 10 may be overridden, by the Head of Legal with maker-checker and a recorded opinion. For co-lent loans, whether s.13(9) applies is unsettled; default is to require the 60% record [interpretation: unsettled; confirm with counsel].</w:t>
      </w:r>
    </w:p>
    <w:bookmarkEnd w:id="135"/>
    <w:bookmarkStart w:id="136" w:name="r4.2-state-machine-and-day-counts"/>
    <w:p>
      <w:pPr>
        <w:pStyle w:val="Heading3"/>
      </w:pPr>
      <w:r>
        <w:t xml:space="preserve">R4.2 State machine and day counts</w:t>
      </w:r>
    </w:p>
    <w:p>
      <w:pPr>
        <w:pStyle w:val="FirstParagraph"/>
      </w:pPr>
      <w:r>
        <w:t xml:space="preserve">Calendar days with the first day excluded (General Clauses Act s.9) unless a step says working days; M1 holiday calendar of the place of the act.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34"/>
        <w:gridCol w:w="3260"/>
        <w:gridCol w:w="2812"/>
        <w:gridCol w:w="2432"/>
      </w:tblGrid>
      <w:tr>
        <w:trPr>
          <w:tblHeader w:val="true"/>
          <w:tblHeader w:val="true"/>
        </w:trPr>
        <w:tc>
          <w:tcPr>
            <w:tcW w:w="1134" w:type="dxa"/>
            <w:shd w:val="clear" w:color="auto" w:fill="1F3A5F"/>
          </w:tcPr>
          <w:p>
            <w:pPr>
              <w:pStyle w:val="Compact"/>
              <w:spacing w:after="40"/>
              <w:jc w:val="left"/>
            </w:pPr>
            <w:r>
              <w:rPr>
                <w:b/>
                <w:color w:val="FFFFFF"/>
                <w:sz w:val="18"/>
              </w:rPr>
              <w:t xml:space="preserve">State</w:t>
            </w:r>
          </w:p>
        </w:tc>
        <w:tc>
          <w:tcPr>
            <w:tcW w:w="3260" w:type="dxa"/>
            <w:shd w:val="clear" w:color="auto" w:fill="1F3A5F"/>
          </w:tcPr>
          <w:p>
            <w:pPr>
              <w:pStyle w:val="Compact"/>
              <w:spacing w:after="40"/>
              <w:jc w:val="left"/>
            </w:pPr>
            <w:r>
              <w:rPr>
                <w:b/>
                <w:color w:val="FFFFFF"/>
                <w:sz w:val="18"/>
              </w:rPr>
              <w:t xml:space="preserve">Entry gate and content</w:t>
            </w:r>
          </w:p>
        </w:tc>
        <w:tc>
          <w:tcPr>
            <w:tcW w:w="2812" w:type="dxa"/>
            <w:shd w:val="clear" w:color="auto" w:fill="1F3A5F"/>
          </w:tcPr>
          <w:p>
            <w:pPr>
              <w:pStyle w:val="Compact"/>
              <w:spacing w:after="40"/>
              <w:jc w:val="left"/>
            </w:pPr>
            <w:r>
              <w:rPr>
                <w:b/>
                <w:color w:val="FFFFFF"/>
                <w:sz w:val="18"/>
              </w:rPr>
              <w:t xml:space="preserve">Exit and timer</w:t>
            </w:r>
          </w:p>
        </w:tc>
        <w:tc>
          <w:tcPr>
            <w:tcW w:w="2432" w:type="dxa"/>
            <w:shd w:val="clear" w:color="auto" w:fill="1F3A5F"/>
          </w:tcPr>
          <w:p>
            <w:pPr>
              <w:pStyle w:val="Compact"/>
              <w:spacing w:after="40"/>
              <w:jc w:val="left"/>
            </w:pPr>
            <w:r>
              <w:rPr>
                <w:b/>
                <w:color w:val="FFFFFF"/>
                <w:sz w:val="18"/>
              </w:rPr>
              <w:t xml:space="preserve">Basis</w:t>
            </w:r>
          </w:p>
        </w:tc>
      </w:tr>
      <w:tr>
        <w:tc>
          <w:tcPr>
            <w:tcW w:w="1134" w:type="dxa"/>
          </w:tcPr>
          <w:p>
            <w:pPr>
              <w:pStyle w:val="Compact"/>
              <w:spacing w:after="40"/>
              <w:jc w:val="left"/>
            </w:pPr>
            <w:r>
              <w:rPr>
                <w:sz w:val="18"/>
              </w:rPr>
              <w:t xml:space="preserve">DEMAND_ISSUED</w:t>
            </w:r>
          </w:p>
        </w:tc>
        <w:tc>
          <w:tcPr>
            <w:tcW w:w="3260" w:type="dxa"/>
          </w:tcPr>
          <w:p>
            <w:pPr>
              <w:pStyle w:val="Compact"/>
              <w:spacing w:after="40"/>
              <w:jc w:val="left"/>
            </w:pPr>
            <w:r>
              <w:rPr>
                <w:sz w:val="18"/>
              </w:rPr>
              <w:t xml:space="preserve">Dues frozen as at a stated date by component; assets as described in the security document; s.13(13) restriction and s.13(8) redemption note; one notice per borrower and guarantor-mortgagor; amounts reconciled to the ledger</w:t>
            </w:r>
          </w:p>
        </w:tc>
        <w:tc>
          <w:tcPr>
            <w:tcW w:w="2812" w:type="dxa"/>
          </w:tcPr>
          <w:p>
            <w:pPr>
              <w:pStyle w:val="Compact"/>
              <w:spacing w:after="40"/>
              <w:jc w:val="left"/>
            </w:pPr>
            <w:r>
              <w:rPr>
                <w:sz w:val="18"/>
              </w:rPr>
              <w:t xml:space="preserve">Dispatch by Rule 3(1) modes (R3)</w:t>
            </w:r>
          </w:p>
        </w:tc>
        <w:tc>
          <w:tcPr>
            <w:tcW w:w="2432" w:type="dxa"/>
          </w:tcPr>
          <w:p>
            <w:pPr>
              <w:pStyle w:val="Compact"/>
              <w:spacing w:after="40"/>
              <w:jc w:val="left"/>
            </w:pPr>
            <w:r>
              <w:rPr>
                <w:sz w:val="18"/>
              </w:rPr>
              <w:t xml:space="preserve">s.13(2), s.13(3); Rules 3(1), 3(4), 3(5)</w:t>
            </w:r>
          </w:p>
        </w:tc>
      </w:tr>
      <w:tr>
        <w:tc>
          <w:tcPr>
            <w:tcW w:w="1134" w:type="dxa"/>
          </w:tcPr>
          <w:p>
            <w:pPr>
              <w:pStyle w:val="Compact"/>
              <w:spacing w:after="40"/>
              <w:jc w:val="left"/>
            </w:pPr>
            <w:r>
              <w:rPr>
                <w:sz w:val="18"/>
              </w:rPr>
              <w:t xml:space="preserve">DEMAND_SERVED</w:t>
            </w:r>
          </w:p>
        </w:tc>
        <w:tc>
          <w:tcPr>
            <w:tcW w:w="3260" w:type="dxa"/>
          </w:tcPr>
          <w:p>
            <w:pPr>
              <w:pStyle w:val="Compact"/>
              <w:spacing w:after="40"/>
              <w:jc w:val="left"/>
            </w:pPr>
            <w:r>
              <w:rPr>
                <w:sz w:val="18"/>
              </w:rPr>
              <w:t xml:space="preserve">Evidenced service per party; on avoidance, affixation plus 2 newspapers (one vernacular)</w:t>
            </w:r>
          </w:p>
        </w:tc>
        <w:tc>
          <w:tcPr>
            <w:tcW w:w="2812" w:type="dxa"/>
          </w:tcPr>
          <w:p>
            <w:pPr>
              <w:pStyle w:val="Compact"/>
              <w:spacing w:after="40"/>
              <w:jc w:val="left"/>
            </w:pPr>
            <w:r>
              <w:rPr>
                <w:sz w:val="18"/>
              </w:rPr>
              <w:t xml:space="preserve">Cure: 60 days from the last party’s service [REC: default; dispatch-based variant configurable]</w:t>
            </w:r>
          </w:p>
        </w:tc>
        <w:tc>
          <w:tcPr>
            <w:tcW w:w="2432" w:type="dxa"/>
          </w:tcPr>
          <w:p>
            <w:pPr>
              <w:pStyle w:val="Compact"/>
              <w:spacing w:after="40"/>
              <w:jc w:val="left"/>
            </w:pPr>
            <w:r>
              <w:rPr>
                <w:sz w:val="18"/>
              </w:rPr>
              <w:t xml:space="preserve">s.13(2); Rule 3(1)</w:t>
            </w:r>
          </w:p>
        </w:tc>
      </w:tr>
      <w:tr>
        <w:tc>
          <w:tcPr>
            <w:tcW w:w="1134" w:type="dxa"/>
          </w:tcPr>
          <w:p>
            <w:pPr>
              <w:pStyle w:val="Compact"/>
              <w:spacing w:after="40"/>
              <w:jc w:val="left"/>
            </w:pPr>
            <w:r>
              <w:rPr>
                <w:sz w:val="18"/>
              </w:rPr>
              <w:t xml:space="preserve">REPRESENTATION_OPEN</w:t>
            </w:r>
          </w:p>
        </w:tc>
        <w:tc>
          <w:tcPr>
            <w:tcW w:w="3260" w:type="dxa"/>
          </w:tcPr>
          <w:p>
            <w:pPr>
              <w:pStyle w:val="Compact"/>
              <w:spacing w:after="40"/>
              <w:jc w:val="left"/>
            </w:pPr>
            <w:r>
              <w:rPr>
                <w:sz w:val="18"/>
              </w:rPr>
              <w:t xml:space="preserve">Representation received before any s.13(4) measure</w:t>
            </w:r>
          </w:p>
        </w:tc>
        <w:tc>
          <w:tcPr>
            <w:tcW w:w="2812" w:type="dxa"/>
          </w:tcPr>
          <w:p>
            <w:pPr>
              <w:pStyle w:val="Compact"/>
              <w:spacing w:after="40"/>
              <w:jc w:val="left"/>
            </w:pPr>
            <w:r>
              <w:rPr>
                <w:sz w:val="18"/>
              </w:rPr>
              <w:t xml:space="preserve">Reasoned reply within 15 days of receipt; s.13(4) blocked until dispatched</w:t>
            </w:r>
          </w:p>
        </w:tc>
        <w:tc>
          <w:tcPr>
            <w:tcW w:w="2432" w:type="dxa"/>
          </w:tcPr>
          <w:p>
            <w:pPr>
              <w:pStyle w:val="Compact"/>
              <w:spacing w:after="40"/>
              <w:jc w:val="left"/>
            </w:pPr>
            <w:r>
              <w:rPr>
                <w:sz w:val="18"/>
              </w:rPr>
              <w:t xml:space="preserve">s.13(3A)</w:t>
            </w:r>
          </w:p>
        </w:tc>
      </w:tr>
      <w:tr>
        <w:tc>
          <w:tcPr>
            <w:tcW w:w="1134" w:type="dxa"/>
          </w:tcPr>
          <w:p>
            <w:pPr>
              <w:pStyle w:val="Compact"/>
              <w:spacing w:after="40"/>
              <w:jc w:val="left"/>
            </w:pPr>
            <w:r>
              <w:rPr>
                <w:sz w:val="18"/>
              </w:rPr>
              <w:t xml:space="preserve">SYMBOLIC_POSSESSION</w:t>
            </w:r>
          </w:p>
        </w:tc>
        <w:tc>
          <w:tcPr>
            <w:tcW w:w="3260" w:type="dxa"/>
          </w:tcPr>
          <w:p>
            <w:pPr>
              <w:pStyle w:val="Compact"/>
              <w:spacing w:after="40"/>
              <w:jc w:val="left"/>
            </w:pPr>
            <w:r>
              <w:rPr>
                <w:sz w:val="18"/>
              </w:rPr>
              <w:t xml:space="preserve">Appendix IV notice delivered and affixed; movables: panchnama (App. I) and inventory (App. II) with two witnesses</w:t>
            </w:r>
          </w:p>
        </w:tc>
        <w:tc>
          <w:tcPr>
            <w:tcW w:w="2812" w:type="dxa"/>
          </w:tcPr>
          <w:p>
            <w:pPr>
              <w:pStyle w:val="Compact"/>
              <w:spacing w:after="40"/>
              <w:jc w:val="left"/>
            </w:pPr>
            <w:r>
              <w:rPr>
                <w:sz w:val="18"/>
              </w:rPr>
              <w:t xml:space="preserve">Publication in 2 newspapers (one vernacular) within 7 days; website entry, updated monthly</w:t>
            </w:r>
          </w:p>
        </w:tc>
        <w:tc>
          <w:tcPr>
            <w:tcW w:w="2432" w:type="dxa"/>
          </w:tcPr>
          <w:p>
            <w:pPr>
              <w:pStyle w:val="Compact"/>
              <w:spacing w:after="40"/>
              <w:jc w:val="left"/>
            </w:pPr>
            <w:r>
              <w:rPr>
                <w:sz w:val="18"/>
              </w:rPr>
              <w:t xml:space="preserve">Rules 4, 8(1)–(2); CIR para 21</w:t>
            </w:r>
          </w:p>
        </w:tc>
      </w:tr>
      <w:tr>
        <w:tc>
          <w:tcPr>
            <w:tcW w:w="1134" w:type="dxa"/>
          </w:tcPr>
          <w:p>
            <w:pPr>
              <w:pStyle w:val="Compact"/>
              <w:spacing w:after="40"/>
              <w:jc w:val="left"/>
            </w:pPr>
            <w:r>
              <w:rPr>
                <w:sz w:val="18"/>
              </w:rPr>
              <w:t xml:space="preserve">S14_PENDING</w:t>
            </w:r>
          </w:p>
        </w:tc>
        <w:tc>
          <w:tcPr>
            <w:tcW w:w="3260" w:type="dxa"/>
          </w:tcPr>
          <w:p>
            <w:pPr>
              <w:pStyle w:val="Compact"/>
              <w:spacing w:after="40"/>
              <w:jc w:val="left"/>
            </w:pPr>
            <w:r>
              <w:rPr>
                <w:sz w:val="18"/>
              </w:rPr>
              <w:t xml:space="preserve">Physical possession resisted</w:t>
            </w:r>
          </w:p>
        </w:tc>
        <w:tc>
          <w:tcPr>
            <w:tcW w:w="2812" w:type="dxa"/>
          </w:tcPr>
          <w:p>
            <w:pPr>
              <w:pStyle w:val="Compact"/>
              <w:spacing w:after="40"/>
              <w:jc w:val="left"/>
            </w:pPr>
            <w:r>
              <w:rPr>
                <w:sz w:val="18"/>
              </w:rPr>
              <w:t xml:space="preserve">Application with the affidavit declarations in the s.14(1) proviso; order targeted in 30 days, extendable to 60 (directory:</w:t>
            </w:r>
            <w:r>
              <w:rPr>
                <w:sz w:val="18"/>
              </w:rPr>
              <w:t xml:space="preserve"> </w:t>
            </w:r>
            <w:r>
              <w:rPr>
                <w:iCs/>
                <w:i/>
                <w:sz w:val="18"/>
              </w:rPr>
              <w:t xml:space="preserve">C. Bright</w:t>
            </w:r>
            <w:r>
              <w:rPr>
                <w:sz w:val="18"/>
              </w:rPr>
              <w:t xml:space="preserve">, SC 2020); R9 matter</w:t>
            </w:r>
          </w:p>
        </w:tc>
        <w:tc>
          <w:tcPr>
            <w:tcW w:w="2432" w:type="dxa"/>
          </w:tcPr>
          <w:p>
            <w:pPr>
              <w:pStyle w:val="Compact"/>
              <w:spacing w:after="40"/>
              <w:jc w:val="left"/>
            </w:pPr>
            <w:r>
              <w:rPr>
                <w:sz w:val="18"/>
              </w:rPr>
              <w:t xml:space="preserve">s.14, s.14(1A)</w:t>
            </w:r>
          </w:p>
        </w:tc>
      </w:tr>
      <w:tr>
        <w:tc>
          <w:tcPr>
            <w:tcW w:w="1134" w:type="dxa"/>
          </w:tcPr>
          <w:p>
            <w:pPr>
              <w:pStyle w:val="Compact"/>
              <w:spacing w:after="40"/>
              <w:jc w:val="left"/>
            </w:pPr>
            <w:r>
              <w:rPr>
                <w:sz w:val="18"/>
              </w:rPr>
              <w:t xml:space="preserve">PHYSICAL_POSSESSION</w:t>
            </w:r>
          </w:p>
        </w:tc>
        <w:tc>
          <w:tcPr>
            <w:tcW w:w="3260" w:type="dxa"/>
          </w:tcPr>
          <w:p>
            <w:pPr>
              <w:pStyle w:val="Compact"/>
              <w:spacing w:after="40"/>
              <w:jc w:val="left"/>
            </w:pPr>
            <w:r>
              <w:rPr>
                <w:sz w:val="18"/>
              </w:rPr>
              <w:t xml:space="preserve">Order executed or peaceful handover</w:t>
            </w:r>
          </w:p>
        </w:tc>
        <w:tc>
          <w:tcPr>
            <w:tcW w:w="2812" w:type="dxa"/>
          </w:tcPr>
          <w:p>
            <w:pPr>
              <w:pStyle w:val="Compact"/>
              <w:spacing w:after="40"/>
              <w:jc w:val="left"/>
            </w:pPr>
            <w:r>
              <w:rPr>
                <w:sz w:val="18"/>
              </w:rPr>
              <w:t xml:space="preserve">Inventory of contents; occupant and tenancy check (post-notice tenancy void: s.13(13);</w:t>
            </w:r>
            <w:r>
              <w:rPr>
                <w:sz w:val="18"/>
              </w:rPr>
              <w:t xml:space="preserve"> </w:t>
            </w:r>
            <w:r>
              <w:rPr>
                <w:iCs/>
                <w:i/>
                <w:sz w:val="18"/>
              </w:rPr>
              <w:t xml:space="preserve">Boon Realtors v. Julien Educational Trust</w:t>
            </w:r>
            <w:r>
              <w:rPr>
                <w:sz w:val="18"/>
              </w:rPr>
              <w:t xml:space="preserve">, Cal HC DB, June 2026)</w:t>
            </w:r>
          </w:p>
        </w:tc>
        <w:tc>
          <w:tcPr>
            <w:tcW w:w="2432" w:type="dxa"/>
          </w:tcPr>
          <w:p>
            <w:pPr>
              <w:pStyle w:val="Compact"/>
              <w:spacing w:after="40"/>
              <w:jc w:val="left"/>
            </w:pPr>
            <w:r>
              <w:rPr>
                <w:sz w:val="18"/>
              </w:rPr>
              <w:t xml:space="preserve">s.13(13), s.17(4A)</w:t>
            </w:r>
          </w:p>
        </w:tc>
      </w:tr>
      <w:tr>
        <w:tc>
          <w:tcPr>
            <w:tcW w:w="1134" w:type="dxa"/>
          </w:tcPr>
          <w:p>
            <w:pPr>
              <w:pStyle w:val="Compact"/>
              <w:spacing w:after="40"/>
              <w:jc w:val="left"/>
            </w:pPr>
            <w:r>
              <w:rPr>
                <w:sz w:val="18"/>
              </w:rPr>
              <w:t xml:space="preserve">VALUED → RESERVE_FIXED</w:t>
            </w:r>
          </w:p>
        </w:tc>
        <w:tc>
          <w:tcPr>
            <w:tcW w:w="3260" w:type="dxa"/>
          </w:tcPr>
          <w:p>
            <w:pPr>
              <w:pStyle w:val="Compact"/>
              <w:spacing w:after="40"/>
              <w:jc w:val="left"/>
            </w:pPr>
            <w:r>
              <w:rPr>
                <w:sz w:val="18"/>
              </w:rPr>
              <w:t xml:space="preserve">Approved valuer’s report; reserve fixed by the Authorised Officer with the secured creditor, rationale recorded</w:t>
            </w:r>
          </w:p>
        </w:tc>
        <w:tc>
          <w:tcPr>
            <w:tcW w:w="2812" w:type="dxa"/>
          </w:tcPr>
          <w:p>
            <w:pPr>
              <w:pStyle w:val="Compact"/>
              <w:spacing w:after="40"/>
              <w:jc w:val="left"/>
            </w:pPr>
            <w:r>
              <w:rPr>
                <w:sz w:val="18"/>
              </w:rPr>
              <w:t xml:space="preserve">—</w:t>
            </w:r>
          </w:p>
        </w:tc>
        <w:tc>
          <w:tcPr>
            <w:tcW w:w="2432" w:type="dxa"/>
          </w:tcPr>
          <w:p>
            <w:pPr>
              <w:pStyle w:val="Compact"/>
              <w:spacing w:after="40"/>
              <w:jc w:val="left"/>
            </w:pPr>
            <w:r>
              <w:rPr>
                <w:sz w:val="18"/>
              </w:rPr>
              <w:t xml:space="preserve">Rule 8(5) [VERIFY: current</w:t>
            </w:r>
            <w:r>
              <w:rPr>
                <w:sz w:val="18"/>
              </w:rPr>
              <w:t xml:space="preserve"> </w:t>
            </w:r>
            <w:r>
              <w:rPr>
                <w:sz w:val="18"/>
              </w:rPr>
              <w:t xml:space="preserve">“</w:t>
            </w:r>
            <w:r>
              <w:rPr>
                <w:sz w:val="18"/>
              </w:rPr>
              <w:t xml:space="preserve">approved valuer</w:t>
            </w:r>
            <w:r>
              <w:rPr>
                <w:sz w:val="18"/>
              </w:rPr>
              <w:t xml:space="preserve">”</w:t>
            </w:r>
            <w:r>
              <w:rPr>
                <w:sz w:val="18"/>
              </w:rPr>
              <w:t xml:space="preserve"> </w:t>
            </w:r>
            <w:r>
              <w:rPr>
                <w:sz w:val="18"/>
              </w:rPr>
              <w:t xml:space="preserve">definition]</w:t>
            </w:r>
          </w:p>
        </w:tc>
      </w:tr>
      <w:tr>
        <w:tc>
          <w:tcPr>
            <w:tcW w:w="1134" w:type="dxa"/>
          </w:tcPr>
          <w:p>
            <w:pPr>
              <w:pStyle w:val="Compact"/>
              <w:spacing w:after="40"/>
              <w:jc w:val="left"/>
            </w:pPr>
            <w:r>
              <w:rPr>
                <w:sz w:val="18"/>
              </w:rPr>
              <w:t xml:space="preserve">SALE_NOTICE</w:t>
            </w:r>
          </w:p>
        </w:tc>
        <w:tc>
          <w:tcPr>
            <w:tcW w:w="3260" w:type="dxa"/>
          </w:tcPr>
          <w:p>
            <w:pPr>
              <w:pStyle w:val="Compact"/>
              <w:spacing w:after="40"/>
              <w:jc w:val="left"/>
            </w:pPr>
            <w:r>
              <w:rPr>
                <w:sz w:val="18"/>
              </w:rPr>
              <w:t xml:space="preserve">30-day notice to every borrower; App. IV-A in 2 newspapers (one vernacular); affixed; terms on the tenant’s website; platform listing</w:t>
            </w:r>
          </w:p>
        </w:tc>
        <w:tc>
          <w:tcPr>
            <w:tcW w:w="2812" w:type="dxa"/>
          </w:tcPr>
          <w:p>
            <w:pPr>
              <w:pStyle w:val="Compact"/>
              <w:spacing w:after="40"/>
              <w:jc w:val="left"/>
            </w:pPr>
            <w:r>
              <w:rPr>
                <w:sz w:val="18"/>
              </w:rPr>
              <w:t xml:space="preserve">Redemption ends on the date of publication</w:t>
            </w:r>
          </w:p>
        </w:tc>
        <w:tc>
          <w:tcPr>
            <w:tcW w:w="2432" w:type="dxa"/>
          </w:tcPr>
          <w:p>
            <w:pPr>
              <w:pStyle w:val="Compact"/>
              <w:spacing w:after="40"/>
              <w:jc w:val="left"/>
            </w:pPr>
            <w:r>
              <w:rPr>
                <w:sz w:val="18"/>
              </w:rPr>
              <w:t xml:space="preserve">Rules 8(6)–(7); s.13(8);</w:t>
            </w:r>
            <w:r>
              <w:rPr>
                <w:sz w:val="18"/>
              </w:rPr>
              <w:t xml:space="preserve"> </w:t>
            </w:r>
            <w:r>
              <w:rPr>
                <w:iCs/>
                <w:i/>
                <w:sz w:val="18"/>
              </w:rPr>
              <w:t xml:space="preserve">Celir LLP v. Bafna Motors</w:t>
            </w:r>
            <w:r>
              <w:rPr>
                <w:sz w:val="18"/>
              </w:rPr>
              <w:t xml:space="preserve"> </w:t>
            </w:r>
            <w:r>
              <w:rPr>
                <w:sz w:val="18"/>
              </w:rPr>
              <w:t xml:space="preserve">(SC, 21 Sep 2023);</w:t>
            </w:r>
            <w:r>
              <w:rPr>
                <w:sz w:val="18"/>
              </w:rPr>
              <w:t xml:space="preserve"> </w:t>
            </w:r>
            <w:r>
              <w:rPr>
                <w:iCs/>
                <w:i/>
                <w:sz w:val="18"/>
              </w:rPr>
              <w:t xml:space="preserve">M. Rajendran v. KPK Oils</w:t>
            </w:r>
            <w:r>
              <w:rPr>
                <w:sz w:val="18"/>
              </w:rPr>
              <w:t xml:space="preserve"> </w:t>
            </w:r>
            <w:r>
              <w:rPr>
                <w:sz w:val="18"/>
              </w:rPr>
              <w:t xml:space="preserve">(2025 INSC 1144, 22 Sep 2025)</w:t>
            </w:r>
          </w:p>
        </w:tc>
      </w:tr>
      <w:tr>
        <w:tc>
          <w:tcPr>
            <w:tcW w:w="1134" w:type="dxa"/>
          </w:tcPr>
          <w:p>
            <w:pPr>
              <w:pStyle w:val="Compact"/>
              <w:spacing w:after="40"/>
              <w:jc w:val="left"/>
            </w:pPr>
            <w:r>
              <w:rPr>
                <w:sz w:val="18"/>
              </w:rPr>
              <w:t xml:space="preserve">AUCTION_SCHEDULED</w:t>
            </w:r>
          </w:p>
        </w:tc>
        <w:tc>
          <w:tcPr>
            <w:tcW w:w="3260" w:type="dxa"/>
          </w:tcPr>
          <w:p>
            <w:pPr>
              <w:pStyle w:val="Compact"/>
              <w:spacing w:after="40"/>
              <w:jc w:val="left"/>
            </w:pPr>
            <w:r>
              <w:rPr>
                <w:sz w:val="18"/>
              </w:rPr>
              <w:t xml:space="preserve">Earliest date: later of service and publication + 30 clear days [interpretation: conservative]; re-sale needs ≥ 15 days’ notice</w:t>
            </w:r>
          </w:p>
        </w:tc>
        <w:tc>
          <w:tcPr>
            <w:tcW w:w="2812" w:type="dxa"/>
          </w:tcPr>
          <w:p>
            <w:pPr>
              <w:pStyle w:val="Compact"/>
              <w:spacing w:after="40"/>
              <w:jc w:val="left"/>
            </w:pPr>
            <w:r>
              <w:rPr>
                <w:sz w:val="18"/>
              </w:rPr>
              <w:t xml:space="preserve">—</w:t>
            </w:r>
          </w:p>
        </w:tc>
        <w:tc>
          <w:tcPr>
            <w:tcW w:w="2432" w:type="dxa"/>
          </w:tcPr>
          <w:p>
            <w:pPr>
              <w:pStyle w:val="Compact"/>
              <w:spacing w:after="40"/>
              <w:jc w:val="left"/>
            </w:pPr>
            <w:r>
              <w:rPr>
                <w:sz w:val="18"/>
              </w:rPr>
              <w:t xml:space="preserve">Rule 9(1)</w:t>
            </w:r>
          </w:p>
        </w:tc>
      </w:tr>
      <w:tr>
        <w:tc>
          <w:tcPr>
            <w:tcW w:w="1134" w:type="dxa"/>
          </w:tcPr>
          <w:p>
            <w:pPr>
              <w:pStyle w:val="Compact"/>
              <w:spacing w:after="40"/>
              <w:jc w:val="left"/>
            </w:pPr>
            <w:r>
              <w:rPr>
                <w:sz w:val="18"/>
              </w:rPr>
              <w:t xml:space="preserve">AUCTION_HELD</w:t>
            </w:r>
          </w:p>
        </w:tc>
        <w:tc>
          <w:tcPr>
            <w:tcW w:w="3260" w:type="dxa"/>
          </w:tcPr>
          <w:p>
            <w:pPr>
              <w:pStyle w:val="Compact"/>
              <w:spacing w:after="40"/>
              <w:jc w:val="left"/>
            </w:pPr>
            <w:r>
              <w:rPr>
                <w:sz w:val="18"/>
              </w:rPr>
              <w:t xml:space="preserve">Highest bid ≥ reserve; below reserve only with written consent of the borrower and the secured creditor</w:t>
            </w:r>
          </w:p>
        </w:tc>
        <w:tc>
          <w:tcPr>
            <w:tcW w:w="2812" w:type="dxa"/>
          </w:tcPr>
          <w:p>
            <w:pPr>
              <w:pStyle w:val="Compact"/>
              <w:spacing w:after="40"/>
              <w:jc w:val="left"/>
            </w:pPr>
            <w:r>
              <w:rPr>
                <w:sz w:val="18"/>
              </w:rPr>
              <w:t xml:space="preserve">Confirmation</w:t>
            </w:r>
          </w:p>
        </w:tc>
        <w:tc>
          <w:tcPr>
            <w:tcW w:w="2432" w:type="dxa"/>
          </w:tcPr>
          <w:p>
            <w:pPr>
              <w:pStyle w:val="Compact"/>
              <w:spacing w:after="40"/>
              <w:jc w:val="left"/>
            </w:pPr>
            <w:r>
              <w:rPr>
                <w:sz w:val="18"/>
              </w:rPr>
              <w:t xml:space="preserve">Rule 9(2)</w:t>
            </w:r>
          </w:p>
        </w:tc>
      </w:tr>
      <w:tr>
        <w:tc>
          <w:tcPr>
            <w:tcW w:w="1134" w:type="dxa"/>
          </w:tcPr>
          <w:p>
            <w:pPr>
              <w:pStyle w:val="Compact"/>
              <w:spacing w:after="40"/>
              <w:jc w:val="left"/>
            </w:pPr>
            <w:r>
              <w:rPr>
                <w:sz w:val="18"/>
              </w:rPr>
              <w:t xml:space="preserve">CONFIRMED</w:t>
            </w:r>
          </w:p>
        </w:tc>
        <w:tc>
          <w:tcPr>
            <w:tcW w:w="3260" w:type="dxa"/>
          </w:tcPr>
          <w:p>
            <w:pPr>
              <w:pStyle w:val="Compact"/>
              <w:spacing w:after="40"/>
              <w:jc w:val="left"/>
            </w:pPr>
            <w:r>
              <w:rPr>
                <w:sz w:val="18"/>
              </w:rPr>
              <w:t xml:space="preserve">—</w:t>
            </w:r>
          </w:p>
        </w:tc>
        <w:tc>
          <w:tcPr>
            <w:tcW w:w="2812" w:type="dxa"/>
          </w:tcPr>
          <w:p>
            <w:pPr>
              <w:pStyle w:val="Compact"/>
              <w:spacing w:after="40"/>
              <w:jc w:val="left"/>
            </w:pPr>
            <w:r>
              <w:rPr>
                <w:sz w:val="18"/>
              </w:rPr>
              <w:t xml:space="preserve">25% (including EMD) the same day or the next working day</w:t>
            </w:r>
          </w:p>
        </w:tc>
        <w:tc>
          <w:tcPr>
            <w:tcW w:w="2432" w:type="dxa"/>
          </w:tcPr>
          <w:p>
            <w:pPr>
              <w:pStyle w:val="Compact"/>
              <w:spacing w:after="40"/>
              <w:jc w:val="left"/>
            </w:pPr>
            <w:r>
              <w:rPr>
                <w:sz w:val="18"/>
              </w:rPr>
              <w:t xml:space="preserve">Rule 9(3)</w:t>
            </w:r>
          </w:p>
        </w:tc>
      </w:tr>
      <w:tr>
        <w:tc>
          <w:tcPr>
            <w:tcW w:w="1134" w:type="dxa"/>
          </w:tcPr>
          <w:p>
            <w:pPr>
              <w:pStyle w:val="Compact"/>
              <w:spacing w:after="40"/>
              <w:jc w:val="left"/>
            </w:pPr>
            <w:r>
              <w:rPr>
                <w:sz w:val="18"/>
              </w:rPr>
              <w:t xml:space="preserve">BALANCE_DUE</w:t>
            </w:r>
          </w:p>
        </w:tc>
        <w:tc>
          <w:tcPr>
            <w:tcW w:w="3260" w:type="dxa"/>
          </w:tcPr>
          <w:p>
            <w:pPr>
              <w:pStyle w:val="Compact"/>
              <w:spacing w:after="40"/>
              <w:jc w:val="left"/>
            </w:pPr>
            <w:r>
              <w:rPr>
                <w:sz w:val="18"/>
              </w:rPr>
              <w:t xml:space="preserve">25% received</w:t>
            </w:r>
          </w:p>
        </w:tc>
        <w:tc>
          <w:tcPr>
            <w:tcW w:w="2812" w:type="dxa"/>
          </w:tcPr>
          <w:p>
            <w:pPr>
              <w:pStyle w:val="Compact"/>
              <w:spacing w:after="40"/>
              <w:jc w:val="left"/>
            </w:pPr>
            <w:r>
              <w:rPr>
                <w:sz w:val="18"/>
              </w:rPr>
              <w:t xml:space="preserve">Balance on or before the 15th day from confirmation; written extension agreed with the purchaser, maximum 3 months; otherwise FORFEITED and re-sale</w:t>
            </w:r>
          </w:p>
        </w:tc>
        <w:tc>
          <w:tcPr>
            <w:tcW w:w="2432" w:type="dxa"/>
          </w:tcPr>
          <w:p>
            <w:pPr>
              <w:pStyle w:val="Compact"/>
              <w:spacing w:after="40"/>
              <w:jc w:val="left"/>
            </w:pPr>
            <w:r>
              <w:rPr>
                <w:sz w:val="18"/>
              </w:rPr>
              <w:t xml:space="preserve">Rule 9(4)–(5);</w:t>
            </w:r>
            <w:r>
              <w:rPr>
                <w:sz w:val="18"/>
              </w:rPr>
              <w:t xml:space="preserve"> </w:t>
            </w:r>
            <w:r>
              <w:rPr>
                <w:iCs/>
                <w:i/>
                <w:sz w:val="18"/>
              </w:rPr>
              <w:t xml:space="preserve">M.R. Vasumathi v. Authorized Officer</w:t>
            </w:r>
            <w:r>
              <w:rPr>
                <w:sz w:val="18"/>
              </w:rPr>
              <w:t xml:space="preserve"> </w:t>
            </w:r>
            <w:r>
              <w:rPr>
                <w:sz w:val="18"/>
              </w:rPr>
              <w:t xml:space="preserve">(SC, CA 1606/2026, 9 Jun 2026)</w:t>
            </w:r>
          </w:p>
        </w:tc>
      </w:tr>
      <w:tr>
        <w:tc>
          <w:tcPr>
            <w:tcW w:w="1134" w:type="dxa"/>
          </w:tcPr>
          <w:p>
            <w:pPr>
              <w:pStyle w:val="Compact"/>
              <w:spacing w:after="40"/>
              <w:jc w:val="left"/>
            </w:pPr>
            <w:r>
              <w:rPr>
                <w:sz w:val="18"/>
              </w:rPr>
              <w:t xml:space="preserve">CERTIFICATE_ISSUED</w:t>
            </w:r>
          </w:p>
        </w:tc>
        <w:tc>
          <w:tcPr>
            <w:tcW w:w="3260" w:type="dxa"/>
          </w:tcPr>
          <w:p>
            <w:pPr>
              <w:pStyle w:val="Compact"/>
              <w:spacing w:after="40"/>
              <w:jc w:val="left"/>
            </w:pPr>
            <w:r>
              <w:rPr>
                <w:sz w:val="18"/>
              </w:rPr>
              <w:t xml:space="preserve">Price received in time</w:t>
            </w:r>
          </w:p>
        </w:tc>
        <w:tc>
          <w:tcPr>
            <w:tcW w:w="2812" w:type="dxa"/>
          </w:tcPr>
          <w:p>
            <w:pPr>
              <w:pStyle w:val="Compact"/>
              <w:spacing w:after="40"/>
              <w:jc w:val="left"/>
            </w:pPr>
            <w:r>
              <w:rPr>
                <w:sz w:val="18"/>
              </w:rPr>
              <w:t xml:space="preserve">App. V certificate; registration and state stamp duty; delivery; encumbrances discharged where agreed</w:t>
            </w:r>
          </w:p>
        </w:tc>
        <w:tc>
          <w:tcPr>
            <w:tcW w:w="2432" w:type="dxa"/>
          </w:tcPr>
          <w:p>
            <w:pPr>
              <w:pStyle w:val="Compact"/>
              <w:spacing w:after="40"/>
              <w:jc w:val="left"/>
            </w:pPr>
            <w:r>
              <w:rPr>
                <w:sz w:val="18"/>
              </w:rPr>
              <w:t xml:space="preserve">Rules 9(6), 9(7), 9(9)</w:t>
            </w:r>
          </w:p>
        </w:tc>
      </w:tr>
      <w:tr>
        <w:tc>
          <w:tcPr>
            <w:tcW w:w="1134" w:type="dxa"/>
          </w:tcPr>
          <w:p>
            <w:pPr>
              <w:pStyle w:val="Compact"/>
              <w:spacing w:after="40"/>
              <w:jc w:val="left"/>
            </w:pPr>
            <w:r>
              <w:rPr>
                <w:sz w:val="18"/>
              </w:rPr>
              <w:t xml:space="preserve">APPROPRIATED</w:t>
            </w:r>
          </w:p>
        </w:tc>
        <w:tc>
          <w:tcPr>
            <w:tcW w:w="3260" w:type="dxa"/>
          </w:tcPr>
          <w:p>
            <w:pPr>
              <w:pStyle w:val="Compact"/>
              <w:spacing w:after="40"/>
              <w:jc w:val="left"/>
            </w:pPr>
            <w:r>
              <w:rPr>
                <w:sz w:val="18"/>
              </w:rPr>
              <w:t xml:space="preserve">Proceeds received</w:t>
            </w:r>
          </w:p>
        </w:tc>
        <w:tc>
          <w:tcPr>
            <w:tcW w:w="2812" w:type="dxa"/>
          </w:tcPr>
          <w:p>
            <w:pPr>
              <w:pStyle w:val="Compact"/>
              <w:spacing w:after="40"/>
              <w:jc w:val="left"/>
            </w:pPr>
            <w:r>
              <w:rPr>
                <w:sz w:val="18"/>
              </w:rPr>
              <w:t xml:space="preserve">Costs, charges and expenses → dues → residue to the persons entitled (R12 rows 11–13)</w:t>
            </w:r>
          </w:p>
        </w:tc>
        <w:tc>
          <w:tcPr>
            <w:tcW w:w="2432" w:type="dxa"/>
          </w:tcPr>
          <w:p>
            <w:pPr>
              <w:pStyle w:val="Compact"/>
              <w:spacing w:after="40"/>
              <w:jc w:val="left"/>
            </w:pPr>
            <w:r>
              <w:rPr>
                <w:sz w:val="18"/>
              </w:rPr>
              <w:t xml:space="preserve">s.13(7)</w:t>
            </w:r>
          </w:p>
        </w:tc>
      </w:tr>
      <w:tr>
        <w:tc>
          <w:tcPr>
            <w:tcW w:w="1134" w:type="dxa"/>
          </w:tcPr>
          <w:p>
            <w:pPr>
              <w:pStyle w:val="Compact"/>
              <w:spacing w:after="40"/>
              <w:jc w:val="left"/>
            </w:pPr>
            <w:r>
              <w:rPr>
                <w:sz w:val="18"/>
              </w:rPr>
              <w:t xml:space="preserve">SURPLUS_PAYABLE / SHORTFALL</w:t>
            </w:r>
          </w:p>
        </w:tc>
        <w:tc>
          <w:tcPr>
            <w:tcW w:w="3260" w:type="dxa"/>
          </w:tcPr>
          <w:p>
            <w:pPr>
              <w:pStyle w:val="Compact"/>
              <w:spacing w:after="40"/>
              <w:jc w:val="left"/>
            </w:pPr>
            <w:r>
              <w:rPr>
                <w:sz w:val="18"/>
              </w:rPr>
              <w:t xml:space="preserve">Residue or balance known</w:t>
            </w:r>
          </w:p>
        </w:tc>
        <w:tc>
          <w:tcPr>
            <w:tcW w:w="2812" w:type="dxa"/>
          </w:tcPr>
          <w:p>
            <w:pPr>
              <w:pStyle w:val="Compact"/>
              <w:spacing w:after="40"/>
              <w:jc w:val="left"/>
            </w:pPr>
            <w:r>
              <w:rPr>
                <w:sz w:val="18"/>
              </w:rPr>
              <w:t xml:space="preserve">Surplus after a CERSAI and encumbrance check (no statutory day count; default 7 working days [REC]); shortfall by s.13(10) application (Rule 11, App. VI) or suit (R5)</w:t>
            </w:r>
          </w:p>
        </w:tc>
        <w:tc>
          <w:tcPr>
            <w:tcW w:w="2432" w:type="dxa"/>
          </w:tcPr>
          <w:p>
            <w:pPr>
              <w:pStyle w:val="Compact"/>
              <w:spacing w:after="40"/>
              <w:jc w:val="left"/>
            </w:pPr>
            <w:r>
              <w:rPr>
                <w:sz w:val="18"/>
              </w:rPr>
              <w:t xml:space="preserve">s.13(7), s.13(10) [VERIFY: forum for an un-notified NBFC]</w:t>
            </w:r>
          </w:p>
        </w:tc>
      </w:tr>
      <w:tr>
        <w:tc>
          <w:tcPr>
            <w:tcW w:w="1134" w:type="dxa"/>
          </w:tcPr>
          <w:p>
            <w:pPr>
              <w:pStyle w:val="Compact"/>
              <w:spacing w:after="40"/>
              <w:jc w:val="left"/>
            </w:pPr>
            <w:r>
              <w:rPr>
                <w:sz w:val="18"/>
              </w:rPr>
              <w:t xml:space="preserve">CLOSED / WITHDRAWN / STAYED</w:t>
            </w:r>
          </w:p>
        </w:tc>
        <w:tc>
          <w:tcPr>
            <w:tcW w:w="3260" w:type="dxa"/>
          </w:tcPr>
          <w:p>
            <w:pPr>
              <w:pStyle w:val="Compact"/>
              <w:spacing w:after="40"/>
              <w:jc w:val="left"/>
            </w:pPr>
            <w:r>
              <w:rPr>
                <w:sz w:val="18"/>
              </w:rPr>
              <w:t xml:space="preserve">Paid, settled (R8), court order, moratorium</w:t>
            </w:r>
          </w:p>
        </w:tc>
        <w:tc>
          <w:tcPr>
            <w:tcW w:w="2812" w:type="dxa"/>
          </w:tcPr>
          <w:p>
            <w:pPr>
              <w:pStyle w:val="Compact"/>
              <w:spacing w:after="40"/>
              <w:jc w:val="left"/>
            </w:pPr>
            <w:r>
              <w:rPr>
                <w:sz w:val="18"/>
              </w:rPr>
              <w:t xml:space="preserve">CERSAI satisfaction or modification; website removal; document release (RBC para 35)</w:t>
            </w:r>
          </w:p>
        </w:tc>
        <w:tc>
          <w:tcPr>
            <w:tcW w:w="2432" w:type="dxa"/>
          </w:tcPr>
          <w:p>
            <w:pPr>
              <w:pStyle w:val="Compact"/>
              <w:spacing w:after="40"/>
              <w:jc w:val="left"/>
            </w:pPr>
            <w:r>
              <w:rPr>
                <w:sz w:val="18"/>
              </w:rPr>
              <w:t xml:space="preserve">CIR para 21; RBC para 35</w:t>
            </w:r>
          </w:p>
        </w:tc>
      </w:tr>
    </w:tbl>
    <w:p>
      <w:pPr>
        <w:numPr>
          <w:ilvl w:val="0"/>
          <w:numId w:val="1221"/>
        </w:numPr>
        <w:pStyle w:val="Compact"/>
      </w:pPr>
      <w:r>
        <w:rPr>
          <w:bCs/>
          <w:b/>
        </w:rPr>
        <w:t xml:space="preserve">Redemption:</w:t>
      </w:r>
      <w:r>
        <w:t xml:space="preserve"> </w:t>
      </w:r>
      <w:r>
        <w:t xml:space="preserve">for defaults or NPAs on or after 1 Sep 2016 the right ends on publication of the sale notice, which is one composite notice; the Rule 9(1) gap does not revive it (</w:t>
      </w:r>
      <w:r>
        <w:rPr>
          <w:iCs/>
          <w:i/>
        </w:rPr>
        <w:t xml:space="preserve">M. Rajendran</w:t>
      </w:r>
      <w:r>
        <w:t xml:space="preserve">). Accounts with an NPA date before 1 Sep 2016 go to counsel before publication.</w:t>
      </w:r>
    </w:p>
    <w:p>
      <w:pPr>
        <w:numPr>
          <w:ilvl w:val="0"/>
          <w:numId w:val="1221"/>
        </w:numPr>
        <w:pStyle w:val="Compact"/>
      </w:pPr>
      <w:r>
        <w:rPr>
          <w:bCs/>
          <w:b/>
        </w:rPr>
        <w:t xml:space="preserve">Movables (Rules 4–7):</w:t>
      </w:r>
      <w:r>
        <w:t xml:space="preserve"> </w:t>
      </w:r>
      <w:r>
        <w:t xml:space="preserve">perishables may be sold at once (Rule 4); valuation (Rule 5); 30 days’ notice with App. II-A publication, 15 days for a re-sale (Rule 6); App. III certificate (Rule 7); custody per R10.8.</w:t>
      </w:r>
    </w:p>
    <w:p>
      <w:pPr>
        <w:numPr>
          <w:ilvl w:val="0"/>
          <w:numId w:val="1221"/>
        </w:numPr>
        <w:pStyle w:val="Compact"/>
      </w:pPr>
      <w:r>
        <w:rPr>
          <w:bCs/>
          <w:b/>
        </w:rPr>
        <w:t xml:space="preserve">Borrower remedies (defensive matters in R9 with the R9.4 deadlines):</w:t>
      </w:r>
      <w:r>
        <w:t xml:space="preserve"> </w:t>
      </w:r>
      <w:r>
        <w:t xml:space="preserve">s.17 application within 45 days of the s.13(4) measure, decided in 60 days and at most 4 months (s.17(1), (5);</w:t>
      </w:r>
      <w:r>
        <w:t xml:space="preserve"> </w:t>
      </w:r>
      <w:r>
        <w:rPr>
          <w:iCs/>
          <w:i/>
        </w:rPr>
        <w:t xml:space="preserve">IOB v. Radhey Infra</w:t>
      </w:r>
      <w:r>
        <w:t xml:space="preserve">, SC, 7 Oct 2025); s.18 appeal within 30 days with pre-deposit of 50% of the lesser of the amount claimed and the amount determined, reducible to 25% (</w:t>
      </w:r>
      <w:r>
        <w:rPr>
          <w:iCs/>
          <w:i/>
        </w:rPr>
        <w:t xml:space="preserve">Narayan Chandra Ghosh</w:t>
      </w:r>
      <w:r>
        <w:t xml:space="preserve"> </w:t>
      </w:r>
      <w:r>
        <w:t xml:space="preserve">(2011) 4 SCC 548); writs (oppose on alternative remedy,</w:t>
      </w:r>
      <w:r>
        <w:t xml:space="preserve"> </w:t>
      </w:r>
      <w:r>
        <w:rPr>
          <w:iCs/>
          <w:i/>
        </w:rPr>
        <w:t xml:space="preserve">United Bank of India v. Satyawati Tondon</w:t>
      </w:r>
      <w:r>
        <w:t xml:space="preserve"> </w:t>
      </w:r>
      <w:r>
        <w:t xml:space="preserve">(2010) 8 SCC 110); civil suits barred by s.34 save fraud or action wholly without jurisdiction. All DRT pleadings are e-filed (from 23 Jun 2025).</w:t>
      </w:r>
    </w:p>
    <w:bookmarkEnd w:id="136"/>
    <w:bookmarkStart w:id="137" w:name="r4.3-documents-and-evidence"/>
    <w:p>
      <w:pPr>
        <w:pStyle w:val="Heading3"/>
      </w:pPr>
      <w:r>
        <w:t xml:space="preserve">R4.3 Documents and evidence</w:t>
      </w:r>
    </w:p>
    <w:p>
      <w:pPr>
        <w:pStyle w:val="FirstParagraph"/>
      </w:pPr>
      <w:r>
        <w:t xml:space="preserve">The file assembles itself as steps complete and exports as the s.14 annexure and s.17 defence bundles (R15.7): eligibility snapshot; security documents and CERSAI certificate; COB classification record (IRACP para 19); certified statement of account with an electronic-record certificate (BSA 2023 s.63 [VERIFY section]); notices and the R3.5 service register; representation and reply; possession papers, inventories, geotagged media, cuttings, website captures; s.14 papers; valuations and reserve note; bidder KYC, EMD, bid log with hash, consents, UTRs, written extensions; certificate, delivery memo, appropriation statement, surplus or shortfall letters.</w:t>
      </w:r>
    </w:p>
    <w:bookmarkEnd w:id="137"/>
    <w:bookmarkStart w:id="138" w:name="r4.4-controls"/>
    <w:p>
      <w:pPr>
        <w:pStyle w:val="Heading3"/>
      </w:pPr>
      <w:r>
        <w:t xml:space="preserve">R4.4 Controls</w:t>
      </w:r>
    </w:p>
    <w:p>
      <w:pPr>
        <w:numPr>
          <w:ilvl w:val="0"/>
          <w:numId w:val="1222"/>
        </w:numPr>
        <w:pStyle w:val="Compact"/>
      </w:pPr>
      <w:r>
        <w:t xml:space="preserve">Hard gates in R4.1–R4.2; the API returns the failing rule and citation.</w:t>
      </w:r>
    </w:p>
    <w:p>
      <w:pPr>
        <w:numPr>
          <w:ilvl w:val="0"/>
          <w:numId w:val="1222"/>
        </w:numPr>
        <w:pStyle w:val="Compact"/>
      </w:pPr>
      <w:r>
        <w:t xml:space="preserve">Authorised Officer designated by the Board with rank and delegation recorded (Rule 2 [VERIFY: rank equivalence for NBFCs]); only that officer signs (R3.3).</w:t>
      </w:r>
    </w:p>
    <w:p>
      <w:pPr>
        <w:numPr>
          <w:ilvl w:val="0"/>
          <w:numId w:val="1222"/>
        </w:numPr>
        <w:pStyle w:val="Compact"/>
      </w:pPr>
      <w:r>
        <w:t xml:space="preserve">Possession only by the Authorised Officer, without force; police help only under a s.14 order.</w:t>
      </w:r>
    </w:p>
    <w:p>
      <w:pPr>
        <w:numPr>
          <w:ilvl w:val="0"/>
          <w:numId w:val="1222"/>
        </w:numPr>
        <w:pStyle w:val="Compact"/>
      </w:pPr>
      <w:r>
        <w:t xml:space="preserve">Bidder exclusion list (tenant staff, agencies, valuers and related parties) [REC]; valuation not older than 6 months at sale notice and two valuations above a Board threshold [REC].</w:t>
      </w:r>
    </w:p>
    <w:p>
      <w:pPr>
        <w:numPr>
          <w:ilvl w:val="0"/>
          <w:numId w:val="1222"/>
        </w:numPr>
        <w:pStyle w:val="Compact"/>
      </w:pPr>
      <w:r>
        <w:rPr>
          <w:iCs/>
          <w:i/>
        </w:rPr>
        <w:t xml:space="preserve">Vasumathi</w:t>
      </w:r>
      <w:r>
        <w:t xml:space="preserve"> </w:t>
      </w:r>
      <w:r>
        <w:t xml:space="preserve">monitor: balance clock with T−5 and T−1 alerts; certificate generation blocked without timely payment or a signed extension.</w:t>
      </w:r>
    </w:p>
    <w:p>
      <w:pPr>
        <w:numPr>
          <w:ilvl w:val="0"/>
          <w:numId w:val="1222"/>
        </w:numPr>
        <w:pStyle w:val="Compact"/>
      </w:pPr>
      <w:r>
        <w:t xml:space="preserve">e-auction only on BAANKNET or a contracted platform with audit logs and bid-log export [VERIFY: NBFC access to BAANKNET and its API].</w:t>
      </w:r>
    </w:p>
    <w:p>
      <w:pPr>
        <w:pStyle w:val="FirstParagraph"/>
      </w:pPr>
      <w:r>
        <w:rPr>
          <w:bCs/>
          <w:b/>
        </w:rPr>
        <w:t xml:space="preserve">Data captured.</w:t>
      </w:r>
      <w:r>
        <w:t xml:space="preserve"> </w:t>
      </w:r>
      <w:r>
        <w:rPr>
          <w:rStyle w:val="VerbatimChar"/>
        </w:rPr>
        <w:t xml:space="preserve">sarfaesi_case</w:t>
      </w:r>
      <w:r>
        <w:t xml:space="preserve">,</w:t>
      </w:r>
      <w:r>
        <w:t xml:space="preserve"> </w:t>
      </w:r>
      <w:r>
        <w:rPr>
          <w:rStyle w:val="VerbatimChar"/>
        </w:rPr>
        <w:t xml:space="preserve">sarfaesi_eligibility_check</w:t>
      </w:r>
      <w:r>
        <w:t xml:space="preserve">,</w:t>
      </w:r>
      <w:r>
        <w:t xml:space="preserve"> </w:t>
      </w:r>
      <w:r>
        <w:rPr>
          <w:rStyle w:val="VerbatimChar"/>
        </w:rPr>
        <w:t xml:space="preserve">representation_13_3a</w:t>
      </w:r>
      <w:r>
        <w:t xml:space="preserve">,</w:t>
      </w:r>
      <w:r>
        <w:t xml:space="preserve"> </w:t>
      </w:r>
      <w:r>
        <w:rPr>
          <w:rStyle w:val="VerbatimChar"/>
        </w:rPr>
        <w:t xml:space="preserve">possession_record</w:t>
      </w:r>
      <w:r>
        <w:t xml:space="preserve">,</w:t>
      </w:r>
      <w:r>
        <w:t xml:space="preserve"> </w:t>
      </w:r>
      <w:r>
        <w:rPr>
          <w:rStyle w:val="VerbatimChar"/>
        </w:rPr>
        <w:t xml:space="preserve">valuer_assignment</w:t>
      </w:r>
      <w:r>
        <w:t xml:space="preserve">,</w:t>
      </w:r>
      <w:r>
        <w:t xml:space="preserve"> </w:t>
      </w:r>
      <w:r>
        <w:rPr>
          <w:rStyle w:val="VerbatimChar"/>
        </w:rPr>
        <w:t xml:space="preserve">reserve_price_decision</w:t>
      </w:r>
      <w:r>
        <w:t xml:space="preserve">,</w:t>
      </w:r>
      <w:r>
        <w:t xml:space="preserve"> </w:t>
      </w:r>
      <w:r>
        <w:rPr>
          <w:rStyle w:val="VerbatimChar"/>
        </w:rPr>
        <w:t xml:space="preserve">sale_notice</w:t>
      </w:r>
      <w:r>
        <w:t xml:space="preserve">,</w:t>
      </w:r>
      <w:r>
        <w:t xml:space="preserve"> </w:t>
      </w:r>
      <w:r>
        <w:rPr>
          <w:rStyle w:val="VerbatimChar"/>
        </w:rPr>
        <w:t xml:space="preserve">auction</w:t>
      </w:r>
      <w:r>
        <w:t xml:space="preserve"> </w:t>
      </w:r>
      <w:r>
        <w:t xml:space="preserve">(extended),</w:t>
      </w:r>
      <w:r>
        <w:t xml:space="preserve"> </w:t>
      </w:r>
      <w:r>
        <w:rPr>
          <w:rStyle w:val="VerbatimChar"/>
        </w:rPr>
        <w:t xml:space="preserve">sale_confirmation</w:t>
      </w:r>
      <w:r>
        <w:t xml:space="preserve">,</w:t>
      </w:r>
      <w:r>
        <w:t xml:space="preserve"> </w:t>
      </w:r>
      <w:r>
        <w:rPr>
          <w:rStyle w:val="VerbatimChar"/>
        </w:rPr>
        <w:t xml:space="preserve">sale_certificate</w:t>
      </w:r>
      <w:r>
        <w:t xml:space="preserve">,</w:t>
      </w:r>
      <w:r>
        <w:t xml:space="preserve"> </w:t>
      </w:r>
      <w:r>
        <w:rPr>
          <w:rStyle w:val="VerbatimChar"/>
        </w:rPr>
        <w:t xml:space="preserve">proceeds_appropriation</w:t>
      </w:r>
      <w:r>
        <w:t xml:space="preserve">,</w:t>
      </w:r>
      <w:r>
        <w:t xml:space="preserve"> </w:t>
      </w:r>
      <w:r>
        <w:rPr>
          <w:rStyle w:val="VerbatimChar"/>
        </w:rPr>
        <w:t xml:space="preserve">s13_9_consent</w:t>
      </w:r>
      <w:r>
        <w:t xml:space="preserve">; notices and service via R3 entities; matters via R9.</w:t>
      </w:r>
    </w:p>
    <w:p>
      <w:pPr>
        <w:pStyle w:val="BodyText"/>
      </w:pPr>
      <w:r>
        <w:rPr>
          <w:bCs/>
          <w:b/>
        </w:rPr>
        <w:t xml:space="preserve">Configuration.</w:t>
      </w:r>
      <w:r>
        <w:t xml:space="preserve"> </w:t>
      </w:r>
      <w:r>
        <w:t xml:space="preserve">Eligibility profile; Authorised Officers; newspaper master by district and language; valuer panel and refresh policy; reserve and re-sale reduction policy; EMD percentage; auction platform adapter; surplus SLA; cure-timer basis; templates per state and language (R3).</w:t>
      </w:r>
    </w:p>
    <w:p>
      <w:pPr>
        <w:pStyle w:val="BodyText"/>
      </w:pPr>
      <w:r>
        <w:rPr>
          <w:bCs/>
          <w:b/>
        </w:rPr>
        <w:t xml:space="preserve">Events.</w:t>
      </w:r>
      <w:r>
        <w:t xml:space="preserve"> </w:t>
      </w:r>
      <w:r>
        <w:rPr>
          <w:rStyle w:val="VerbatimChar"/>
        </w:rPr>
        <w:t xml:space="preserve">RecoveryStrategyChanged</w:t>
      </w:r>
      <w:r>
        <w:t xml:space="preserve"> </w:t>
      </w:r>
      <w:r>
        <w:t xml:space="preserve">(mechanism</w:t>
      </w:r>
      <w:r>
        <w:t xml:space="preserve"> </w:t>
      </w:r>
      <w:r>
        <w:rPr>
          <w:rStyle w:val="VerbatimChar"/>
        </w:rPr>
        <w:t xml:space="preserve">SARFAESI</w:t>
      </w:r>
      <w:r>
        <w:t xml:space="preserve">),</w:t>
      </w:r>
      <w:r>
        <w:t xml:space="preserve"> </w:t>
      </w:r>
      <w:r>
        <w:rPr>
          <w:rStyle w:val="VerbatimChar"/>
        </w:rPr>
        <w:t xml:space="preserve">LegalNoticeIssued</w:t>
      </w:r>
      <w:r>
        <w:t xml:space="preserve"> </w:t>
      </w:r>
      <w:r>
        <w:t xml:space="preserve">(</w:t>
      </w:r>
      <w:r>
        <w:rPr>
          <w:rStyle w:val="VerbatimChar"/>
        </w:rPr>
        <w:t xml:space="preserve">S13_2</w:t>
      </w:r>
      <w:r>
        <w:t xml:space="preserve">,</w:t>
      </w:r>
      <w:r>
        <w:t xml:space="preserve"> </w:t>
      </w:r>
      <w:r>
        <w:rPr>
          <w:rStyle w:val="VerbatimChar"/>
        </w:rPr>
        <w:t xml:space="preserve">S13_3A_REPLY</w:t>
      </w:r>
      <w:r>
        <w:t xml:space="preserve">,</w:t>
      </w:r>
      <w:r>
        <w:t xml:space="preserve"> </w:t>
      </w:r>
      <w:r>
        <w:rPr>
          <w:rStyle w:val="VerbatimChar"/>
        </w:rPr>
        <w:t xml:space="preserve">APPX_IV</w:t>
      </w:r>
      <w:r>
        <w:t xml:space="preserve">,</w:t>
      </w:r>
      <w:r>
        <w:t xml:space="preserve"> </w:t>
      </w:r>
      <w:r>
        <w:rPr>
          <w:rStyle w:val="VerbatimChar"/>
        </w:rPr>
        <w:t xml:space="preserve">APPX_IV_A</w:t>
      </w:r>
      <w:r>
        <w:t xml:space="preserve">),</w:t>
      </w:r>
      <w:r>
        <w:t xml:space="preserve"> </w:t>
      </w:r>
      <w:r>
        <w:rPr>
          <w:rStyle w:val="VerbatimChar"/>
        </w:rPr>
        <w:t xml:space="preserve">NoticeServiceUpdated</w:t>
      </w:r>
      <w:r>
        <w:t xml:space="preserve">,</w:t>
      </w:r>
      <w:r>
        <w:t xml:space="preserve"> </w:t>
      </w:r>
      <w:r>
        <w:rPr>
          <w:rStyle w:val="VerbatimChar"/>
        </w:rPr>
        <w:t xml:space="preserve">AssetRepossessed</w:t>
      </w:r>
      <w:r>
        <w:t xml:space="preserve"> </w:t>
      </w:r>
      <w:r>
        <w:t xml:space="preserve">(symbolic or physical),</w:t>
      </w:r>
      <w:r>
        <w:t xml:space="preserve"> </w:t>
      </w:r>
      <w:r>
        <w:rPr>
          <w:rStyle w:val="VerbatimChar"/>
        </w:rPr>
        <w:t xml:space="preserve">CollateralValuationUpdated</w:t>
      </w:r>
      <w:r>
        <w:t xml:space="preserve">,</w:t>
      </w:r>
      <w:r>
        <w:t xml:space="preserve"> </w:t>
      </w:r>
      <w:r>
        <w:rPr>
          <w:rStyle w:val="VerbatimChar"/>
        </w:rPr>
        <w:t xml:space="preserve">LitigationCaseOpened</w:t>
      </w:r>
      <w:r>
        <w:t xml:space="preserve"> </w:t>
      </w:r>
      <w:r>
        <w:t xml:space="preserve">(s.14, s.17, s.13(10)),</w:t>
      </w:r>
      <w:r>
        <w:t xml:space="preserve"> </w:t>
      </w:r>
      <w:r>
        <w:rPr>
          <w:rStyle w:val="VerbatimChar"/>
        </w:rPr>
        <w:t xml:space="preserve">OrderRecorded</w:t>
      </w:r>
      <w:r>
        <w:t xml:space="preserve">,</w:t>
      </w:r>
      <w:r>
        <w:t xml:space="preserve"> </w:t>
      </w:r>
      <w:r>
        <w:rPr>
          <w:rStyle w:val="VerbatimChar"/>
        </w:rPr>
        <w:t xml:space="preserve">AuctionScheduled</w:t>
      </w:r>
      <w:r>
        <w:t xml:space="preserve">,</w:t>
      </w:r>
      <w:r>
        <w:t xml:space="preserve"> </w:t>
      </w:r>
      <w:r>
        <w:rPr>
          <w:rStyle w:val="VerbatimChar"/>
        </w:rPr>
        <w:t xml:space="preserve">AuctionConcluded</w:t>
      </w:r>
      <w:r>
        <w:t xml:space="preserve"> </w:t>
      </w:r>
      <w:r>
        <w:t xml:space="preserve">(sold, failed, forfeited),</w:t>
      </w:r>
      <w:r>
        <w:t xml:space="preserve"> </w:t>
      </w:r>
      <w:r>
        <w:rPr>
          <w:rStyle w:val="VerbatimChar"/>
        </w:rPr>
        <w:t xml:space="preserve">RecoveryReceiptPosted</w:t>
      </w:r>
      <w:r>
        <w:t xml:space="preserve">,</w:t>
      </w:r>
      <w:r>
        <w:t xml:space="preserve"> </w:t>
      </w:r>
      <w:r>
        <w:rPr>
          <w:rStyle w:val="VerbatimChar"/>
        </w:rPr>
        <w:t xml:space="preserve">CollateralReleased</w:t>
      </w:r>
      <w:r>
        <w:t xml:space="preserve">,</w:t>
      </w:r>
      <w:r>
        <w:t xml:space="preserve"> </w:t>
      </w:r>
      <w:r>
        <w:rPr>
          <w:rStyle w:val="VerbatimChar"/>
        </w:rPr>
        <w:t xml:space="preserve">RecoveryCaseClosed</w:t>
      </w:r>
      <w:r>
        <w:t xml:space="preserve">.</w:t>
      </w:r>
    </w:p>
    <w:p>
      <w:pPr>
        <w:pStyle w:val="BodyText"/>
      </w:pPr>
      <w:r>
        <w:rPr>
          <w:bCs/>
          <w:b/>
        </w:rPr>
        <w:t xml:space="preserve">Tests (R4).</w:t>
      </w:r>
      <w:r>
        <w:t xml:space="preserve"> </w:t>
      </w:r>
      <w:r>
        <w:t xml:space="preserve">1. No CERSAI ID → blocked without override; gold pledge → routed to R10 (eligibility thresholds are tested in R1).</w:t>
      </w:r>
      <w:r>
        <w:t xml:space="preserve"> </w:t>
      </w:r>
      <w:r>
        <w:t xml:space="preserve">2. Borrower served 4 Jan 2027, guarantor-mortgagor 8 Jan 2027 → cure ends 9 Mar 2027; a s.13(4) measure dated 9 Mar is rejected, 10 Mar accepted.</w:t>
      </w:r>
      <w:r>
        <w:t xml:space="preserve"> </w:t>
      </w:r>
      <w:r>
        <w:t xml:space="preserve">3. Representation received 20 Feb 2027 → reply due 7 Mar 2027; s.13(4) blocked until the reply’s dispatch is recorded.</w:t>
      </w:r>
      <w:r>
        <w:t xml:space="preserve"> </w:t>
      </w:r>
      <w:r>
        <w:t xml:space="preserve">4. Symbolic possession 15 Mar 2027 → publication by 22 Mar 2027; s.17 window ends 29 Apr 2027.</w:t>
      </w:r>
      <w:r>
        <w:t xml:space="preserve"> </w:t>
      </w:r>
      <w:r>
        <w:t xml:space="preserve">5. Sale notice served 28 Jan and published 1 Feb 2027 → earliest auction 4 Mar 2027.</w:t>
      </w:r>
      <w:r>
        <w:t xml:space="preserve"> </w:t>
      </w:r>
      <w:r>
        <w:t xml:space="preserve">6. Confirmation 4 Mar 2027 → 25% by 5 Mar, balance by 19 Mar; balance on 22 Mar without a written extension → certificate blocked, forfeiture task opened.</w:t>
      </w:r>
      <w:r>
        <w:t xml:space="preserve"> </w:t>
      </w:r>
      <w:r>
        <w:t xml:space="preserve">7. Redemption tender after publication, NPA date 10 Jan 2020 → rejected (</w:t>
      </w:r>
      <w:r>
        <w:rPr>
          <w:iCs/>
          <w:i/>
        </w:rPr>
        <w:t xml:space="preserve">M. Rajendran</w:t>
      </w:r>
      <w:r>
        <w:t xml:space="preserve">); NPA date 10 Jan 2016 → counsel task.</w:t>
      </w:r>
      <w:r>
        <w:t xml:space="preserve"> </w:t>
      </w:r>
      <w:r>
        <w:t xml:space="preserve">8. CIRP admitted against the corporate borrower before the certificate → R4 frozen at the next COB (</w:t>
      </w:r>
      <w:r>
        <w:rPr>
          <w:iCs/>
          <w:i/>
        </w:rPr>
        <w:t xml:space="preserve">IOB v. RCM Infrastructure</w:t>
      </w:r>
      <w:r>
        <w:t xml:space="preserve">, SC 2022).</w:t>
      </w:r>
      <w:r>
        <w:t xml:space="preserve"> </w:t>
      </w:r>
      <w:r>
        <w:t xml:space="preserve">9. Proceeds ₹1.10 crore, costs ₹4 lakh, dues ₹96 lakh → surplus ₹10 lakh to the persons entitled after the CERSAI check.</w:t>
      </w:r>
    </w:p>
    <w:p>
      <w:r>
        <w:pict>
          <v:rect style="width:0;height:1.5pt" o:hralign="center" o:hrstd="t" o:hr="t"/>
        </w:pict>
      </w:r>
    </w:p>
    <w:bookmarkEnd w:id="138"/>
    <w:bookmarkEnd w:id="139"/>
    <w:bookmarkStart w:id="144" w:name="r5.-civil-and-tribunal-remedies"/>
    <w:p>
      <w:pPr>
        <w:pStyle w:val="Heading2"/>
      </w:pPr>
      <w:r>
        <w:t xml:space="preserve">R5. Civil and tribunal remedies</w:t>
      </w:r>
    </w:p>
    <w:p>
      <w:pPr>
        <w:pStyle w:val="FirstParagraph"/>
      </w:pPr>
      <w:r>
        <w:rPr>
          <w:bCs/>
          <w:b/>
        </w:rPr>
        <w:t xml:space="preserve">Purpose.</w:t>
      </w:r>
      <w:r>
        <w:t xml:space="preserve"> </w:t>
      </w:r>
      <w:r>
        <w:t xml:space="preserve">Obtain and execute money decrees and equivalent titles where self-help (R4, R10), cheque remedies (R7) or ADR (R8) are unavailable or insufficient, using only forums the tenant may lawfully use.</w:t>
      </w:r>
    </w:p>
    <w:p>
      <w:pPr>
        <w:pStyle w:val="BodyText"/>
      </w:pPr>
      <w:r>
        <w:rPr>
          <w:bCs/>
          <w:b/>
        </w:rPr>
        <w:t xml:space="preserve">Capabilities:</w:t>
      </w:r>
      <w:r>
        <w:t xml:space="preserve"> </w:t>
      </w:r>
      <w:r>
        <w:t xml:space="preserve">forum rules extending R1.4; pre-suit review; s.12A pre-institution mediation; ordinary, commercial and Order XXXVII suits; DRT track for eligible tenants; execution of every executable title; attachment, garnishee and salary attachment; guarantor actions; state revenue recovery (configurable).</w:t>
      </w:r>
    </w:p>
    <w:bookmarkStart w:id="140" w:name="r5.1-forum-rules"/>
    <w:p>
      <w:pPr>
        <w:pStyle w:val="Heading3"/>
      </w:pPr>
      <w:r>
        <w:t xml:space="preserve">R5.1 Forum rules</w:t>
      </w:r>
    </w:p>
    <w:p>
      <w:pPr>
        <w:numPr>
          <w:ilvl w:val="0"/>
          <w:numId w:val="1223"/>
        </w:numPr>
        <w:pStyle w:val="Compact"/>
      </w:pPr>
      <w:r>
        <w:rPr>
          <w:bCs/>
          <w:b/>
        </w:rPr>
        <w:t xml:space="preserve">DRT:</w:t>
      </w:r>
      <w:r>
        <w:t xml:space="preserve"> </w:t>
      </w:r>
      <w:r>
        <w:t xml:space="preserve">only banks as defined in RDB s.2(d) (including multi-State co-operative banks; other co-operative banks [VERIFY]) and FIs notified under RDB s.2(h)(ii); an NBFC or HFC only with a recorded gazette notification (default false); debt ≥ ₹20 lakh (S.O. 4312(E), 6 Sep 2018); a SARFAESI notification does not carry over (</w:t>
      </w:r>
      <w:r>
        <w:rPr>
          <w:iCs/>
          <w:i/>
        </w:rPr>
        <w:t xml:space="preserve">Tata Motors Finance v. Naushad Khan</w:t>
      </w:r>
      <w:r>
        <w:t xml:space="preserve">, Bom HC 2023;</w:t>
      </w:r>
      <w:r>
        <w:t xml:space="preserve"> </w:t>
      </w:r>
      <w:r>
        <w:rPr>
          <w:iCs/>
          <w:i/>
        </w:rPr>
        <w:t xml:space="preserve">Aditya Birla Finance v. Anjali Nag</w:t>
      </w:r>
      <w:r>
        <w:t xml:space="preserve">, Del HC 2024). Where false, the track is hidden with the reason.</w:t>
      </w:r>
    </w:p>
    <w:p>
      <w:pPr>
        <w:numPr>
          <w:ilvl w:val="0"/>
          <w:numId w:val="1223"/>
        </w:numPr>
        <w:pStyle w:val="Compact"/>
      </w:pPr>
      <w:r>
        <w:rPr>
          <w:bCs/>
          <w:b/>
        </w:rPr>
        <w:t xml:space="preserve">Commercial suit:</w:t>
      </w:r>
      <w:r>
        <w:t xml:space="preserve"> </w:t>
      </w:r>
      <w:r>
        <w:t xml:space="preserve">loan recovery by a banker or financier is a commercial dispute; specified value ≥ ₹3 lakh (CCA s.2(1)(c)(i)); s.12A pre-institution mediation first unless urgent interim relief is genuinely sought, judged from the plaint (</w:t>
      </w:r>
      <w:r>
        <w:rPr>
          <w:iCs/>
          <w:i/>
        </w:rPr>
        <w:t xml:space="preserve">Patil Automation</w:t>
      </w:r>
      <w:r>
        <w:t xml:space="preserve"> </w:t>
      </w:r>
      <w:r>
        <w:t xml:space="preserve">(2022) 10 SCC 1, prospective from 20 Aug 2022;</w:t>
      </w:r>
      <w:r>
        <w:t xml:space="preserve"> </w:t>
      </w:r>
      <w:r>
        <w:rPr>
          <w:iCs/>
          <w:i/>
        </w:rPr>
        <w:t xml:space="preserve">Dhanbad Fuels</w:t>
      </w:r>
      <w:r>
        <w:t xml:space="preserve"> </w:t>
      </w:r>
      <w:r>
        <w:t xml:space="preserve">(SC, 15 May 2025);</w:t>
      </w:r>
      <w:r>
        <w:t xml:space="preserve"> </w:t>
      </w:r>
      <w:r>
        <w:rPr>
          <w:iCs/>
          <w:i/>
        </w:rPr>
        <w:t xml:space="preserve">Novenco v. Xero Energy</w:t>
      </w:r>
      <w:r>
        <w:t xml:space="preserve"> </w:t>
      </w:r>
      <w:r>
        <w:t xml:space="preserve">(2025 INSC 1256)). Barred where RDB s.18 applies (RDB-eligible lender, claim ≥ ₹20 lakh) and for matters within SARFAESI s.34.</w:t>
      </w:r>
    </w:p>
    <w:p>
      <w:pPr>
        <w:numPr>
          <w:ilvl w:val="0"/>
          <w:numId w:val="1223"/>
        </w:numPr>
        <w:pStyle w:val="Compact"/>
      </w:pPr>
      <w:r>
        <w:rPr>
          <w:bCs/>
          <w:b/>
        </w:rPr>
        <w:t xml:space="preserve">Order XXXVII:</w:t>
      </w:r>
      <w:r>
        <w:t xml:space="preserve"> </w:t>
      </w:r>
      <w:r>
        <w:t xml:space="preserve">suits on written contracts, negotiable instruments and guarantees for a debt or liquidated demand, in courts where the Order applies (including commercial courts).</w:t>
      </w:r>
    </w:p>
    <w:p>
      <w:pPr>
        <w:numPr>
          <w:ilvl w:val="0"/>
          <w:numId w:val="1223"/>
        </w:numPr>
        <w:pStyle w:val="Compact"/>
      </w:pPr>
      <w:r>
        <w:rPr>
          <w:bCs/>
          <w:b/>
        </w:rPr>
        <w:t xml:space="preserve">Government or public-officer defendants:</w:t>
      </w:r>
      <w:r>
        <w:t xml:space="preserve"> </w:t>
      </w:r>
      <w:r>
        <w:t xml:space="preserve">2 months’ notice (CPC s.80); no execution for 3 months after decree (CPC s.82).</w:t>
      </w:r>
    </w:p>
    <w:p>
      <w:pPr>
        <w:numPr>
          <w:ilvl w:val="0"/>
          <w:numId w:val="1223"/>
        </w:numPr>
        <w:pStyle w:val="Compact"/>
      </w:pPr>
      <w:r>
        <w:rPr>
          <w:bCs/>
          <w:b/>
        </w:rPr>
        <w:t xml:space="preserve">Revenue recovery:</w:t>
      </w:r>
      <w:r>
        <w:t xml:space="preserve"> </w:t>
      </w:r>
      <w:r>
        <w:t xml:space="preserve">state statutes (e.g. UP 1972, Rajasthan 1952, Kerala, Tamil Nadu) only where the tenant class is notified; disabled by default; per-state record of statute, notification, form, authority and counsel sign-off [VERIFY per state].</w:t>
      </w:r>
    </w:p>
    <w:p>
      <w:pPr>
        <w:numPr>
          <w:ilvl w:val="0"/>
          <w:numId w:val="1223"/>
        </w:numPr>
        <w:pStyle w:val="Compact"/>
      </w:pPr>
      <w:r>
        <w:rPr>
          <w:bCs/>
          <w:b/>
        </w:rPr>
        <w:t xml:space="preserve">Defensive forums</w:t>
      </w:r>
      <w:r>
        <w:t xml:space="preserve"> </w:t>
      </w:r>
      <w:r>
        <w:t xml:space="preserve">(Permanent Lok Adalat under LSA s.22C, consumer commissions, writs) are R9 matters and blockers in R1.</w:t>
      </w:r>
    </w:p>
    <w:bookmarkEnd w:id="140"/>
    <w:bookmarkStart w:id="141" w:name="r5.2-suit-state-machine"/>
    <w:p>
      <w:pPr>
        <w:pStyle w:val="Heading3"/>
      </w:pPr>
      <w:r>
        <w:t xml:space="preserve">R5.2 Suit state machine</w:t>
      </w:r>
    </w:p>
    <w:p>
      <w:pPr>
        <w:pStyle w:val="FirstParagraph"/>
      </w:pPr>
      <w:r>
        <w:rPr>
          <w:rStyle w:val="VerbatimChar"/>
        </w:rPr>
        <w:t xml:space="preserve">PRE_SUIT_REVIEW → [S12A: PIMS_APPLIED → MEDIATION → SETTLED | NON_STARTER_REPORT] → SUIT_FILED → SUMMONS_SERVED → {O37_TRACK | ORDINARY_TRACK} → DECREE → EXECUTION (R5.3) → SATISFIED → CLOSED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51"/>
        <w:gridCol w:w="2610"/>
        <w:gridCol w:w="1808"/>
        <w:gridCol w:w="3569"/>
      </w:tblGrid>
      <w:tr>
        <w:trPr>
          <w:tblHeader w:val="true"/>
          <w:tblHeader w:val="true"/>
        </w:trPr>
        <w:tc>
          <w:tcPr>
            <w:tcW w:w="1651" w:type="dxa"/>
            <w:shd w:val="clear" w:color="auto" w:fill="1F3A5F"/>
          </w:tcPr>
          <w:p>
            <w:pPr>
              <w:pStyle w:val="Compact"/>
              <w:spacing w:after="40"/>
              <w:jc w:val="left"/>
            </w:pPr>
            <w:r>
              <w:rPr>
                <w:b/>
                <w:color w:val="FFFFFF"/>
                <w:sz w:val="18"/>
              </w:rPr>
              <w:t xml:space="preserve">Step</w:t>
            </w:r>
          </w:p>
        </w:tc>
        <w:tc>
          <w:tcPr>
            <w:tcW w:w="2610" w:type="dxa"/>
            <w:shd w:val="clear" w:color="auto" w:fill="1F3A5F"/>
          </w:tcPr>
          <w:p>
            <w:pPr>
              <w:pStyle w:val="Compact"/>
              <w:spacing w:after="40"/>
              <w:jc w:val="left"/>
            </w:pPr>
            <w:r>
              <w:rPr>
                <w:b/>
                <w:color w:val="FFFFFF"/>
                <w:sz w:val="18"/>
              </w:rPr>
              <w:t xml:space="preserve">Timer</w:t>
            </w:r>
          </w:p>
        </w:tc>
        <w:tc>
          <w:tcPr>
            <w:tcW w:w="1808" w:type="dxa"/>
            <w:shd w:val="clear" w:color="auto" w:fill="1F3A5F"/>
          </w:tcPr>
          <w:p>
            <w:pPr>
              <w:pStyle w:val="Compact"/>
              <w:spacing w:after="40"/>
              <w:jc w:val="left"/>
            </w:pPr>
            <w:r>
              <w:rPr>
                <w:b/>
                <w:color w:val="FFFFFF"/>
                <w:sz w:val="18"/>
              </w:rPr>
              <w:t xml:space="preserve">Basis</w:t>
            </w:r>
          </w:p>
        </w:tc>
        <w:tc>
          <w:tcPr>
            <w:tcW w:w="3569" w:type="dxa"/>
            <w:shd w:val="clear" w:color="auto" w:fill="1F3A5F"/>
          </w:tcPr>
          <w:p>
            <w:pPr>
              <w:pStyle w:val="Compact"/>
              <w:spacing w:after="40"/>
              <w:jc w:val="left"/>
            </w:pPr>
            <w:r>
              <w:rPr>
                <w:b/>
                <w:color w:val="FFFFFF"/>
                <w:sz w:val="18"/>
              </w:rPr>
              <w:t xml:space="preserve">Data</w:t>
            </w:r>
          </w:p>
        </w:tc>
      </w:tr>
      <w:tr>
        <w:tc>
          <w:tcPr>
            <w:tcW w:w="1651" w:type="dxa"/>
          </w:tcPr>
          <w:p>
            <w:pPr>
              <w:pStyle w:val="Compact"/>
              <w:spacing w:after="40"/>
              <w:jc w:val="left"/>
            </w:pPr>
            <w:r>
              <w:rPr>
                <w:sz w:val="18"/>
              </w:rPr>
              <w:t xml:space="preserve">Pre-suit review</w:t>
            </w:r>
          </w:p>
        </w:tc>
        <w:tc>
          <w:tcPr>
            <w:tcW w:w="2610" w:type="dxa"/>
          </w:tcPr>
          <w:p>
            <w:pPr>
              <w:pStyle w:val="Compact"/>
              <w:spacing w:after="40"/>
              <w:jc w:val="left"/>
            </w:pPr>
            <w:r>
              <w:rPr>
                <w:sz w:val="18"/>
              </w:rPr>
              <w:t xml:space="preserve">Before limitation end less a buffer</w:t>
            </w:r>
          </w:p>
        </w:tc>
        <w:tc>
          <w:tcPr>
            <w:tcW w:w="1808" w:type="dxa"/>
          </w:tcPr>
          <w:p>
            <w:pPr>
              <w:pStyle w:val="Compact"/>
              <w:spacing w:after="40"/>
              <w:jc w:val="left"/>
            </w:pPr>
            <w:r>
              <w:rPr>
                <w:sz w:val="18"/>
              </w:rPr>
              <w:t xml:space="preserve">R1.5</w:t>
            </w:r>
          </w:p>
        </w:tc>
        <w:tc>
          <w:tcPr>
            <w:tcW w:w="3569" w:type="dxa"/>
          </w:tcPr>
          <w:p>
            <w:pPr>
              <w:pStyle w:val="Compact"/>
              <w:spacing w:after="40"/>
              <w:jc w:val="left"/>
            </w:pPr>
            <w:r>
              <w:rPr>
                <w:sz w:val="18"/>
              </w:rPr>
              <w:t xml:space="preserve">Cause of action, jurisdiction (defendant residence, cause of action, exclusive-jurisdiction clause), suit valuation, court fee, urgency note</w:t>
            </w:r>
          </w:p>
        </w:tc>
      </w:tr>
      <w:tr>
        <w:tc>
          <w:tcPr>
            <w:tcW w:w="1651" w:type="dxa"/>
          </w:tcPr>
          <w:p>
            <w:pPr>
              <w:pStyle w:val="Compact"/>
              <w:spacing w:after="40"/>
              <w:jc w:val="left"/>
            </w:pPr>
            <w:r>
              <w:rPr>
                <w:sz w:val="18"/>
              </w:rPr>
              <w:t xml:space="preserve">s.12A mediation</w:t>
            </w:r>
          </w:p>
        </w:tc>
        <w:tc>
          <w:tcPr>
            <w:tcW w:w="2610" w:type="dxa"/>
          </w:tcPr>
          <w:p>
            <w:pPr>
              <w:pStyle w:val="Compact"/>
              <w:spacing w:after="40"/>
              <w:jc w:val="left"/>
            </w:pPr>
            <w:r>
              <w:rPr>
                <w:sz w:val="18"/>
              </w:rPr>
              <w:t xml:space="preserve">3 months, + 2 months by consent; limitation excluded meanwhile</w:t>
            </w:r>
          </w:p>
        </w:tc>
        <w:tc>
          <w:tcPr>
            <w:tcW w:w="1808" w:type="dxa"/>
          </w:tcPr>
          <w:p>
            <w:pPr>
              <w:pStyle w:val="Compact"/>
              <w:spacing w:after="40"/>
              <w:jc w:val="left"/>
            </w:pPr>
            <w:r>
              <w:rPr>
                <w:sz w:val="18"/>
              </w:rPr>
              <w:t xml:space="preserve">CCA s.12A(3); PIMS Rules 2018</w:t>
            </w:r>
          </w:p>
        </w:tc>
        <w:tc>
          <w:tcPr>
            <w:tcW w:w="3569" w:type="dxa"/>
          </w:tcPr>
          <w:p>
            <w:pPr>
              <w:pStyle w:val="Compact"/>
              <w:spacing w:after="40"/>
              <w:jc w:val="left"/>
            </w:pPr>
            <w:r>
              <w:rPr>
                <w:sz w:val="18"/>
              </w:rPr>
              <w:t xml:space="preserve">DLSA reference, sessions, report</w:t>
            </w:r>
          </w:p>
        </w:tc>
      </w:tr>
      <w:tr>
        <w:tc>
          <w:tcPr>
            <w:tcW w:w="1651" w:type="dxa"/>
          </w:tcPr>
          <w:p>
            <w:pPr>
              <w:pStyle w:val="Compact"/>
              <w:spacing w:after="40"/>
              <w:jc w:val="left"/>
            </w:pPr>
            <w:r>
              <w:rPr>
                <w:sz w:val="18"/>
              </w:rPr>
              <w:t xml:space="preserve">s.12A settlement</w:t>
            </w:r>
          </w:p>
        </w:tc>
        <w:tc>
          <w:tcPr>
            <w:tcW w:w="2610" w:type="dxa"/>
          </w:tcPr>
          <w:p>
            <w:pPr>
              <w:pStyle w:val="Compact"/>
              <w:spacing w:after="40"/>
              <w:jc w:val="left"/>
            </w:pPr>
            <w:r>
              <w:rPr>
                <w:sz w:val="18"/>
              </w:rPr>
              <w:t xml:space="preserve">Signed by parties and mediator; status of an arbitral award on agreed terms</w:t>
            </w:r>
          </w:p>
        </w:tc>
        <w:tc>
          <w:tcPr>
            <w:tcW w:w="1808" w:type="dxa"/>
          </w:tcPr>
          <w:p>
            <w:pPr>
              <w:pStyle w:val="Compact"/>
              <w:spacing w:after="40"/>
              <w:jc w:val="left"/>
            </w:pPr>
            <w:r>
              <w:rPr>
                <w:sz w:val="18"/>
              </w:rPr>
              <w:t xml:space="preserve">CCA s.12A(5); A&amp;C s.30(4)</w:t>
            </w:r>
          </w:p>
        </w:tc>
        <w:tc>
          <w:tcPr>
            <w:tcW w:w="3569" w:type="dxa"/>
          </w:tcPr>
          <w:p>
            <w:pPr>
              <w:pStyle w:val="Compact"/>
              <w:spacing w:after="40"/>
              <w:jc w:val="left"/>
            </w:pPr>
            <w:r>
              <w:rPr>
                <w:sz w:val="18"/>
              </w:rPr>
              <w:t xml:space="preserve">Settlement, stamp, R8 compliance schedule</w:t>
            </w:r>
          </w:p>
        </w:tc>
      </w:tr>
      <w:tr>
        <w:tc>
          <w:tcPr>
            <w:tcW w:w="1651" w:type="dxa"/>
          </w:tcPr>
          <w:p>
            <w:pPr>
              <w:pStyle w:val="Compact"/>
              <w:spacing w:after="40"/>
              <w:jc w:val="left"/>
            </w:pPr>
            <w:r>
              <w:rPr>
                <w:sz w:val="18"/>
              </w:rPr>
              <w:t xml:space="preserve">O.XXXVII appearance</w:t>
            </w:r>
          </w:p>
        </w:tc>
        <w:tc>
          <w:tcPr>
            <w:tcW w:w="2610" w:type="dxa"/>
          </w:tcPr>
          <w:p>
            <w:pPr>
              <w:pStyle w:val="Compact"/>
              <w:spacing w:after="40"/>
              <w:jc w:val="left"/>
            </w:pPr>
            <w:r>
              <w:rPr>
                <w:sz w:val="18"/>
              </w:rPr>
              <w:t xml:space="preserve">10 days from service of summons</w:t>
            </w:r>
          </w:p>
        </w:tc>
        <w:tc>
          <w:tcPr>
            <w:tcW w:w="1808" w:type="dxa"/>
          </w:tcPr>
          <w:p>
            <w:pPr>
              <w:pStyle w:val="Compact"/>
              <w:spacing w:after="40"/>
              <w:jc w:val="left"/>
            </w:pPr>
            <w:r>
              <w:rPr>
                <w:sz w:val="18"/>
              </w:rPr>
              <w:t xml:space="preserve">O.XXXVII r.3</w:t>
            </w:r>
          </w:p>
        </w:tc>
        <w:tc>
          <w:tcPr>
            <w:tcW w:w="3569" w:type="dxa"/>
          </w:tcPr>
          <w:p>
            <w:pPr>
              <w:pStyle w:val="Compact"/>
              <w:spacing w:after="40"/>
              <w:jc w:val="left"/>
            </w:pPr>
            <w:r>
              <w:rPr>
                <w:sz w:val="18"/>
              </w:rPr>
              <w:t xml:space="preserve">Date</w:t>
            </w:r>
          </w:p>
        </w:tc>
      </w:tr>
      <w:tr>
        <w:tc>
          <w:tcPr>
            <w:tcW w:w="1651" w:type="dxa"/>
          </w:tcPr>
          <w:p>
            <w:pPr>
              <w:pStyle w:val="Compact"/>
              <w:spacing w:after="40"/>
              <w:jc w:val="left"/>
            </w:pPr>
            <w:r>
              <w:rPr>
                <w:sz w:val="18"/>
              </w:rPr>
              <w:t xml:space="preserve">Leave to defend</w:t>
            </w:r>
          </w:p>
        </w:tc>
        <w:tc>
          <w:tcPr>
            <w:tcW w:w="2610" w:type="dxa"/>
          </w:tcPr>
          <w:p>
            <w:pPr>
              <w:pStyle w:val="Compact"/>
              <w:spacing w:after="40"/>
              <w:jc w:val="left"/>
            </w:pPr>
            <w:r>
              <w:rPr>
                <w:sz w:val="18"/>
              </w:rPr>
              <w:t xml:space="preserve">10 days from service of summons for judgment</w:t>
            </w:r>
          </w:p>
        </w:tc>
        <w:tc>
          <w:tcPr>
            <w:tcW w:w="1808" w:type="dxa"/>
          </w:tcPr>
          <w:p>
            <w:pPr>
              <w:pStyle w:val="Compact"/>
              <w:spacing w:after="40"/>
              <w:jc w:val="left"/>
            </w:pPr>
            <w:r>
              <w:rPr>
                <w:sz w:val="18"/>
              </w:rPr>
              <w:t xml:space="preserve">O.XXXVII r.3</w:t>
            </w:r>
          </w:p>
        </w:tc>
        <w:tc>
          <w:tcPr>
            <w:tcW w:w="3569" w:type="dxa"/>
          </w:tcPr>
          <w:p>
            <w:pPr>
              <w:pStyle w:val="Compact"/>
              <w:spacing w:after="40"/>
              <w:jc w:val="left"/>
            </w:pPr>
            <w:r>
              <w:rPr>
                <w:sz w:val="18"/>
              </w:rPr>
              <w:t xml:space="preserve">Application, order</w:t>
            </w:r>
          </w:p>
        </w:tc>
      </w:tr>
      <w:tr>
        <w:tc>
          <w:tcPr>
            <w:tcW w:w="1651" w:type="dxa"/>
          </w:tcPr>
          <w:p>
            <w:pPr>
              <w:pStyle w:val="Compact"/>
              <w:spacing w:after="40"/>
              <w:jc w:val="left"/>
            </w:pPr>
            <w:r>
              <w:rPr>
                <w:sz w:val="18"/>
              </w:rPr>
              <w:t xml:space="preserve">Written statement (commercial)</w:t>
            </w:r>
          </w:p>
        </w:tc>
        <w:tc>
          <w:tcPr>
            <w:tcW w:w="2610" w:type="dxa"/>
          </w:tcPr>
          <w:p>
            <w:pPr>
              <w:pStyle w:val="Compact"/>
              <w:spacing w:after="40"/>
              <w:jc w:val="left"/>
            </w:pPr>
            <w:r>
              <w:rPr>
                <w:sz w:val="18"/>
              </w:rPr>
              <w:t xml:space="preserve">30 days; hard cap 120 days</w:t>
            </w:r>
          </w:p>
        </w:tc>
        <w:tc>
          <w:tcPr>
            <w:tcW w:w="1808" w:type="dxa"/>
          </w:tcPr>
          <w:p>
            <w:pPr>
              <w:pStyle w:val="Compact"/>
              <w:spacing w:after="40"/>
              <w:jc w:val="left"/>
            </w:pPr>
            <w:r>
              <w:rPr>
                <w:sz w:val="18"/>
              </w:rPr>
              <w:t xml:space="preserve">CPC O.VIII r.1 as amended by the CCA</w:t>
            </w:r>
          </w:p>
        </w:tc>
        <w:tc>
          <w:tcPr>
            <w:tcW w:w="3569" w:type="dxa"/>
          </w:tcPr>
          <w:p>
            <w:pPr>
              <w:pStyle w:val="Compact"/>
              <w:spacing w:after="40"/>
              <w:jc w:val="left"/>
            </w:pPr>
            <w:r>
              <w:rPr>
                <w:sz w:val="18"/>
              </w:rPr>
              <w:t xml:space="preserve">Filing date; forfeiture flag</w:t>
            </w:r>
          </w:p>
        </w:tc>
      </w:tr>
      <w:tr>
        <w:tc>
          <w:tcPr>
            <w:tcW w:w="1651" w:type="dxa"/>
          </w:tcPr>
          <w:p>
            <w:pPr>
              <w:pStyle w:val="Compact"/>
              <w:spacing w:after="40"/>
              <w:jc w:val="left"/>
            </w:pPr>
            <w:r>
              <w:rPr>
                <w:sz w:val="18"/>
              </w:rPr>
              <w:t xml:space="preserve">Interim protection</w:t>
            </w:r>
          </w:p>
        </w:tc>
        <w:tc>
          <w:tcPr>
            <w:tcW w:w="2610" w:type="dxa"/>
          </w:tcPr>
          <w:p>
            <w:pPr>
              <w:pStyle w:val="Compact"/>
              <w:spacing w:after="40"/>
              <w:jc w:val="left"/>
            </w:pPr>
            <w:r>
              <w:rPr>
                <w:sz w:val="18"/>
              </w:rPr>
              <w:t xml:space="preserve">Any time</w:t>
            </w:r>
          </w:p>
        </w:tc>
        <w:tc>
          <w:tcPr>
            <w:tcW w:w="1808" w:type="dxa"/>
          </w:tcPr>
          <w:p>
            <w:pPr>
              <w:pStyle w:val="Compact"/>
              <w:spacing w:after="40"/>
              <w:jc w:val="left"/>
            </w:pPr>
            <w:r>
              <w:rPr>
                <w:sz w:val="18"/>
              </w:rPr>
              <w:t xml:space="preserve">CPC O.XXXVIII r.5, O.XXXIX, O.XL</w:t>
            </w:r>
          </w:p>
        </w:tc>
        <w:tc>
          <w:tcPr>
            <w:tcW w:w="3569" w:type="dxa"/>
          </w:tcPr>
          <w:p>
            <w:pPr>
              <w:pStyle w:val="Compact"/>
              <w:spacing w:after="40"/>
              <w:jc w:val="left"/>
            </w:pPr>
            <w:r>
              <w:rPr>
                <w:sz w:val="18"/>
              </w:rPr>
              <w:t xml:space="preserve">Dissipation grounds, order</w:t>
            </w:r>
          </w:p>
        </w:tc>
      </w:tr>
    </w:tbl>
    <w:p>
      <w:pPr>
        <w:pStyle w:val="BodyText"/>
      </w:pPr>
      <w:r>
        <w:rPr>
          <w:bCs/>
          <w:b/>
        </w:rPr>
        <w:t xml:space="preserve">DRT track (eligible tenants):</w:t>
      </w:r>
      <w:r>
        <w:t xml:space="preserve"> </w:t>
      </w:r>
      <w:r>
        <w:rPr>
          <w:rStyle w:val="VerbatimChar"/>
        </w:rPr>
        <w:t xml:space="preserve">OA_FILED (e-DRT) → SUMMONS → WRITTEN_STATEMENT → INTERIM_ORDERS → FINAL_ORDER → RECOVERY_CERTIFICATE (s.19(22)) → RO_EXECUTION → CLOSED</w:t>
      </w:r>
      <w:r>
        <w:t xml:space="preserve">; DRAT appeal 45 days with 50% pre-deposit of the debt determined, reducible to 25% (RDB ss.20–21); appeal against a Recovery Officer’s order 30 days (s.30); Limitation Act applies (s.24).</w:t>
      </w:r>
    </w:p>
    <w:bookmarkEnd w:id="141"/>
    <w:bookmarkStart w:id="142" w:name="r5.3-execution-engine"/>
    <w:p>
      <w:pPr>
        <w:pStyle w:val="Heading3"/>
      </w:pPr>
      <w:r>
        <w:t xml:space="preserve">R5.3 Execution engine</w:t>
      </w:r>
    </w:p>
    <w:p>
      <w:pPr>
        <w:numPr>
          <w:ilvl w:val="0"/>
          <w:numId w:val="1224"/>
        </w:numPr>
        <w:pStyle w:val="Compact"/>
      </w:pPr>
      <w:r>
        <w:rPr>
          <w:bCs/>
          <w:b/>
        </w:rPr>
        <w:t xml:space="preserve">Titles:</w:t>
      </w:r>
      <w:r>
        <w:t xml:space="preserve"> </w:t>
      </w:r>
      <w:r>
        <w:t xml:space="preserve">civil or commercial decree; consent decree (RSA para 100); arbitral award after the s.34 window, no automatic stay (A&amp;C s.36); s.74 conciliation settlement; s.12A settlement; Lok Adalat award (LSA s.21); DRT recovery certificate. A Mediation Act settlement is not a decree until s.27 is notified (R8.4).</w:t>
      </w:r>
    </w:p>
    <w:p>
      <w:pPr>
        <w:numPr>
          <w:ilvl w:val="0"/>
          <w:numId w:val="1224"/>
        </w:numPr>
        <w:pStyle w:val="Compact"/>
      </w:pPr>
      <w:r>
        <w:rPr>
          <w:bCs/>
          <w:b/>
        </w:rPr>
        <w:t xml:space="preserve">Workflow:</w:t>
      </w:r>
      <w:r>
        <w:t xml:space="preserve"> </w:t>
      </w:r>
      <w:r>
        <w:rPr>
          <w:rStyle w:val="VerbatimChar"/>
        </w:rPr>
        <w:t xml:space="preserve">TITLE_RECORDED → ASSET_DISCOVERY → EXECUTION_FILED → ATTACHMENT | GARNISHEE | SALARY_ATTACHMENT | ARREST_APPLICATION | RECEIVER → SALE → PROCEEDS → SATISFACTION_RECORDED → CLOSED</w:t>
      </w:r>
      <w:r>
        <w:t xml:space="preserve">.</w:t>
      </w:r>
    </w:p>
    <w:p>
      <w:pPr>
        <w:numPr>
          <w:ilvl w:val="0"/>
          <w:numId w:val="1224"/>
        </w:numPr>
        <w:pStyle w:val="Compact"/>
      </w:pPr>
      <w:r>
        <w:rPr>
          <w:bCs/>
          <w:b/>
        </w:rPr>
        <w:t xml:space="preserve">Forum:</w:t>
      </w:r>
      <w:r>
        <w:t xml:space="preserve"> </w:t>
      </w:r>
      <w:r>
        <w:t xml:space="preserve">awards in the court where assets lie (</w:t>
      </w:r>
      <w:r>
        <w:rPr>
          <w:iCs/>
          <w:i/>
        </w:rPr>
        <w:t xml:space="preserve">Sundaram Finance v. Abdul Samad</w:t>
      </w:r>
      <w:r>
        <w:t xml:space="preserve"> </w:t>
      </w:r>
      <w:r>
        <w:t xml:space="preserve">(2018) 3 SCC 622); decrees by transfer under CPC s.39 where needed.</w:t>
      </w:r>
    </w:p>
    <w:p>
      <w:pPr>
        <w:numPr>
          <w:ilvl w:val="0"/>
          <w:numId w:val="1224"/>
        </w:numPr>
        <w:pStyle w:val="Compact"/>
      </w:pPr>
      <w:r>
        <w:rPr>
          <w:bCs/>
          <w:b/>
        </w:rPr>
        <w:t xml:space="preserve">Limitation:</w:t>
      </w:r>
      <w:r>
        <w:t xml:space="preserve"> </w:t>
      </w:r>
      <w:r>
        <w:t xml:space="preserve">12 years from the decree (Art.136), alerts at T−365, T−180 and T−90.</w:t>
      </w:r>
    </w:p>
    <w:p>
      <w:pPr>
        <w:numPr>
          <w:ilvl w:val="0"/>
          <w:numId w:val="1224"/>
        </w:numPr>
        <w:pStyle w:val="Compact"/>
      </w:pPr>
      <w:r>
        <w:rPr>
          <w:bCs/>
          <w:b/>
        </w:rPr>
        <w:t xml:space="preserve">Asset discovery:</w:t>
      </w:r>
      <w:r>
        <w:t xml:space="preserve"> </w:t>
      </w:r>
      <w:r>
        <w:t xml:space="preserve">R2.4 sources; judgment-debtor examination and asset affidavit (CPC O.XXI r.41;</w:t>
      </w:r>
      <w:r>
        <w:t xml:space="preserve"> </w:t>
      </w:r>
      <w:r>
        <w:rPr>
          <w:iCs/>
          <w:i/>
        </w:rPr>
        <w:t xml:space="preserve">Rahul S. Shah v. Jinendra Kumar Gandhi</w:t>
      </w:r>
      <w:r>
        <w:t xml:space="preserve"> </w:t>
      </w:r>
      <w:r>
        <w:t xml:space="preserve">(2021) 6 SCC 418).</w:t>
      </w:r>
    </w:p>
    <w:p>
      <w:pPr>
        <w:numPr>
          <w:ilvl w:val="0"/>
          <w:numId w:val="1224"/>
        </w:numPr>
        <w:pStyle w:val="Compact"/>
      </w:pPr>
      <w:r>
        <w:rPr>
          <w:bCs/>
          <w:b/>
        </w:rPr>
        <w:t xml:space="preserve">Modes:</w:t>
      </w:r>
      <w:r>
        <w:t xml:space="preserve"> </w:t>
      </w:r>
      <w:r>
        <w:t xml:space="preserve">attachment and sale (O.XXI rr.43–54, 64–66; court-sale deposit 25% and balance in 15 days, rr.84–85); attachment of debts and garnishee (rr.46, 46A–46I); salary within the exempt limit (CPC s.60(1)(i)); bank accounts; arrest only on evidence of means (CPC s.51; O.XXI rr.37–40); receiver (O.XL).</w:t>
      </w:r>
    </w:p>
    <w:p>
      <w:pPr>
        <w:numPr>
          <w:ilvl w:val="0"/>
          <w:numId w:val="1224"/>
        </w:numPr>
        <w:pStyle w:val="Compact"/>
      </w:pPr>
      <w:r>
        <w:rPr>
          <w:bCs/>
          <w:b/>
        </w:rPr>
        <w:t xml:space="preserve">Payments out of court</w:t>
      </w:r>
      <w:r>
        <w:t xml:space="preserve"> </w:t>
      </w:r>
      <w:r>
        <w:t xml:space="preserve">are certified to the executing court (CPC O.XXI r.2); the R12 posting opens the certification task automatically.</w:t>
      </w:r>
    </w:p>
    <w:bookmarkEnd w:id="142"/>
    <w:bookmarkStart w:id="143" w:name="r5.4-guarantor-and-co-obligor-actions"/>
    <w:p>
      <w:pPr>
        <w:pStyle w:val="Heading3"/>
      </w:pPr>
      <w:r>
        <w:t xml:space="preserve">R5.4 Guarantor and co-obligor actions</w:t>
      </w:r>
    </w:p>
    <w:p>
      <w:pPr>
        <w:pStyle w:val="FirstParagraph"/>
      </w:pPr>
      <w:r>
        <w:t xml:space="preserve">Liability is co-extensive and immediate on demand; the lender need not exhaust remedies against the borrower (ICA s.128; WD para 10). Invocation through R3; limitation from the demand (R1.5); guarantors joined in the same suit so the decree runs jointly and severally; refusal despite means → WD screening (WD para 10(4)); a personal guarantor to a corporate debtor may also be pursued under IBC Part III (R6.3).</w:t>
      </w:r>
    </w:p>
    <w:p>
      <w:pPr>
        <w:pStyle w:val="BodyText"/>
      </w:pPr>
      <w:r>
        <w:rPr>
          <w:bCs/>
          <w:b/>
        </w:rPr>
        <w:t xml:space="preserve">Controls.</w:t>
      </w:r>
      <w:r>
        <w:t xml:space="preserve"> </w:t>
      </w:r>
      <w:r>
        <w:t xml:space="preserve">No DRT without the gazette record; no suit where RDB s.18 bars it; s.12A bypass only with a counsel note on the</w:t>
      </w:r>
      <w:r>
        <w:t xml:space="preserve"> </w:t>
      </w:r>
      <w:r>
        <w:rPr>
          <w:iCs/>
          <w:i/>
        </w:rPr>
        <w:t xml:space="preserve">Novenco</w:t>
      </w:r>
      <w:r>
        <w:t xml:space="preserve"> </w:t>
      </w:r>
      <w:r>
        <w:t xml:space="preserve">factors; no filing after limitation unless rebased under Limitation Act s.18 or s.19 (R1.5); execution needs a current title and a satisfaction ledger reconciled to R12.</w:t>
      </w:r>
    </w:p>
    <w:p>
      <w:pPr>
        <w:pStyle w:val="BodyText"/>
      </w:pPr>
      <w:r>
        <w:rPr>
          <w:bCs/>
          <w:b/>
        </w:rPr>
        <w:t xml:space="preserve">Data captured.</w:t>
      </w:r>
      <w:r>
        <w:t xml:space="preserve"> </w:t>
      </w:r>
      <w:r>
        <w:rPr>
          <w:rStyle w:val="VerbatimChar"/>
        </w:rPr>
        <w:t xml:space="preserve">suit_preparation</w:t>
      </w:r>
      <w:r>
        <w:t xml:space="preserve">,</w:t>
      </w:r>
      <w:r>
        <w:t xml:space="preserve"> </w:t>
      </w:r>
      <w:r>
        <w:rPr>
          <w:rStyle w:val="VerbatimChar"/>
        </w:rPr>
        <w:t xml:space="preserve">s12a_mediation</w:t>
      </w:r>
      <w:r>
        <w:t xml:space="preserve">,</w:t>
      </w:r>
      <w:r>
        <w:t xml:space="preserve"> </w:t>
      </w:r>
      <w:r>
        <w:rPr>
          <w:rStyle w:val="VerbatimChar"/>
        </w:rPr>
        <w:t xml:space="preserve">executable_title</w:t>
      </w:r>
      <w:r>
        <w:t xml:space="preserve">,</w:t>
      </w:r>
      <w:r>
        <w:t xml:space="preserve"> </w:t>
      </w:r>
      <w:r>
        <w:rPr>
          <w:rStyle w:val="VerbatimChar"/>
        </w:rPr>
        <w:t xml:space="preserve">execution_proceeding</w:t>
      </w:r>
      <w:r>
        <w:t xml:space="preserve">,</w:t>
      </w:r>
      <w:r>
        <w:t xml:space="preserve"> </w:t>
      </w:r>
      <w:r>
        <w:rPr>
          <w:rStyle w:val="VerbatimChar"/>
        </w:rPr>
        <w:t xml:space="preserve">attachment_order</w:t>
      </w:r>
      <w:r>
        <w:t xml:space="preserve"> </w:t>
      </w:r>
      <w:r>
        <w:t xml:space="preserve">(property, debt, salary, bank, garnishee),</w:t>
      </w:r>
      <w:r>
        <w:t xml:space="preserve"> </w:t>
      </w:r>
      <w:r>
        <w:rPr>
          <w:rStyle w:val="VerbatimChar"/>
        </w:rPr>
        <w:t xml:space="preserve">out_of_court_payment</w:t>
      </w:r>
      <w:r>
        <w:t xml:space="preserve">,</w:t>
      </w:r>
      <w:r>
        <w:t xml:space="preserve"> </w:t>
      </w:r>
      <w:r>
        <w:rPr>
          <w:rStyle w:val="VerbatimChar"/>
        </w:rPr>
        <w:t xml:space="preserve">guarantee_invocation</w:t>
      </w:r>
      <w:r>
        <w:t xml:space="preserve">,</w:t>
      </w:r>
      <w:r>
        <w:t xml:space="preserve"> </w:t>
      </w:r>
      <w:r>
        <w:rPr>
          <w:rStyle w:val="VerbatimChar"/>
        </w:rPr>
        <w:t xml:space="preserve">revenue_recovery_request</w:t>
      </w:r>
      <w:r>
        <w:t xml:space="preserve">.</w:t>
      </w:r>
    </w:p>
    <w:p>
      <w:pPr>
        <w:pStyle w:val="BodyText"/>
      </w:pPr>
      <w:r>
        <w:rPr>
          <w:bCs/>
          <w:b/>
        </w:rPr>
        <w:t xml:space="preserve">Configuration.</w:t>
      </w:r>
      <w:r>
        <w:t xml:space="preserve"> </w:t>
      </w:r>
      <w:r>
        <w:t xml:space="preserve">Court and forum master with pecuniary limits; state court-fee calculators; s.12A rules; O.XXXVII courts; DRT flag; revenue-recovery state table; execution strategy templates; counsel panels (R11).</w:t>
      </w:r>
    </w:p>
    <w:p>
      <w:pPr>
        <w:pStyle w:val="BodyText"/>
      </w:pPr>
      <w:r>
        <w:rPr>
          <w:bCs/>
          <w:b/>
        </w:rPr>
        <w:t xml:space="preserve">Events.</w:t>
      </w:r>
      <w:r>
        <w:t xml:space="preserve"> </w:t>
      </w:r>
      <w:r>
        <w:rPr>
          <w:rStyle w:val="VerbatimChar"/>
        </w:rPr>
        <w:t xml:space="preserve">RecoveryStrategyChanged</w:t>
      </w:r>
      <w:r>
        <w:t xml:space="preserve">;</w:t>
      </w:r>
      <w:r>
        <w:t xml:space="preserve"> </w:t>
      </w:r>
      <w:r>
        <w:rPr>
          <w:rStyle w:val="VerbatimChar"/>
        </w:rPr>
        <w:t xml:space="preserve">LegalNoticeIssued</w:t>
      </w:r>
      <w:r>
        <w:t xml:space="preserve"> </w:t>
      </w:r>
      <w:r>
        <w:t xml:space="preserve">(pre-suit demand, CPC s.80, guarantee invocation);</w:t>
      </w:r>
      <w:r>
        <w:t xml:space="preserve"> </w:t>
      </w:r>
      <w:r>
        <w:rPr>
          <w:rStyle w:val="VerbatimChar"/>
        </w:rPr>
        <w:t xml:space="preserve">ADRReferralCreated</w:t>
      </w:r>
      <w:r>
        <w:t xml:space="preserve"> </w:t>
      </w:r>
      <w:r>
        <w:t xml:space="preserve">and</w:t>
      </w:r>
      <w:r>
        <w:t xml:space="preserve"> </w:t>
      </w:r>
      <w:r>
        <w:rPr>
          <w:rStyle w:val="VerbatimChar"/>
        </w:rPr>
        <w:t xml:space="preserve">ADROutcomeRecorded</w:t>
      </w:r>
      <w:r>
        <w:t xml:space="preserve"> </w:t>
      </w:r>
      <w:r>
        <w:t xml:space="preserve">(s.12A, provider type</w:t>
      </w:r>
      <w:r>
        <w:t xml:space="preserve"> </w:t>
      </w:r>
      <w:r>
        <w:rPr>
          <w:rStyle w:val="VerbatimChar"/>
        </w:rPr>
        <w:t xml:space="preserve">LSA_PIMS</w:t>
      </w:r>
      <w:r>
        <w:t xml:space="preserve">);</w:t>
      </w:r>
      <w:r>
        <w:t xml:space="preserve"> </w:t>
      </w:r>
      <w:r>
        <w:rPr>
          <w:rStyle w:val="VerbatimChar"/>
        </w:rPr>
        <w:t xml:space="preserve">LitigationCaseOpened</w:t>
      </w:r>
      <w:r>
        <w:t xml:space="preserve"> </w:t>
      </w:r>
      <w:r>
        <w:t xml:space="preserve">(</w:t>
      </w:r>
      <w:r>
        <w:rPr>
          <w:rStyle w:val="VerbatimChar"/>
        </w:rPr>
        <w:t xml:space="preserve">CIVIL_SUIT</w:t>
      </w:r>
      <w:r>
        <w:t xml:space="preserve">,</w:t>
      </w:r>
      <w:r>
        <w:t xml:space="preserve"> </w:t>
      </w:r>
      <w:r>
        <w:rPr>
          <w:rStyle w:val="VerbatimChar"/>
        </w:rPr>
        <w:t xml:space="preserve">COMMERCIAL_SUIT</w:t>
      </w:r>
      <w:r>
        <w:t xml:space="preserve">,</w:t>
      </w:r>
      <w:r>
        <w:t xml:space="preserve"> </w:t>
      </w:r>
      <w:r>
        <w:rPr>
          <w:rStyle w:val="VerbatimChar"/>
        </w:rPr>
        <w:t xml:space="preserve">ORDER_37</w:t>
      </w:r>
      <w:r>
        <w:t xml:space="preserve">,</w:t>
      </w:r>
      <w:r>
        <w:t xml:space="preserve"> </w:t>
      </w:r>
      <w:r>
        <w:rPr>
          <w:rStyle w:val="VerbatimChar"/>
        </w:rPr>
        <w:t xml:space="preserve">DRT_OA</w:t>
      </w:r>
      <w:r>
        <w:t xml:space="preserve">,</w:t>
      </w:r>
      <w:r>
        <w:t xml:space="preserve"> </w:t>
      </w:r>
      <w:r>
        <w:rPr>
          <w:rStyle w:val="VerbatimChar"/>
        </w:rPr>
        <w:t xml:space="preserve">EXECUTION</w:t>
      </w:r>
      <w:r>
        <w:t xml:space="preserve">,</w:t>
      </w:r>
      <w:r>
        <w:t xml:space="preserve"> </w:t>
      </w:r>
      <w:r>
        <w:rPr>
          <w:rStyle w:val="VerbatimChar"/>
        </w:rPr>
        <w:t xml:space="preserve">REVENUE_RECOVERY</w:t>
      </w:r>
      <w:r>
        <w:t xml:space="preserve">);</w:t>
      </w:r>
      <w:r>
        <w:t xml:space="preserve"> </w:t>
      </w:r>
      <w:r>
        <w:rPr>
          <w:rStyle w:val="VerbatimChar"/>
        </w:rPr>
        <w:t xml:space="preserve">HearingScheduled</w:t>
      </w:r>
      <w:r>
        <w:t xml:space="preserve">;</w:t>
      </w:r>
      <w:r>
        <w:t xml:space="preserve"> </w:t>
      </w:r>
      <w:r>
        <w:rPr>
          <w:rStyle w:val="VerbatimChar"/>
        </w:rPr>
        <w:t xml:space="preserve">OrderRecorded</w:t>
      </w:r>
      <w:r>
        <w:t xml:space="preserve">;</w:t>
      </w:r>
      <w:r>
        <w:t xml:space="preserve"> </w:t>
      </w:r>
      <w:r>
        <w:rPr>
          <w:rStyle w:val="VerbatimChar"/>
        </w:rPr>
        <w:t xml:space="preserve">LitigationCaseUpdated</w:t>
      </w:r>
      <w:r>
        <w:t xml:space="preserve">;</w:t>
      </w:r>
      <w:r>
        <w:t xml:space="preserve"> </w:t>
      </w:r>
      <w:r>
        <w:rPr>
          <w:rStyle w:val="VerbatimChar"/>
        </w:rPr>
        <w:t xml:space="preserve">RecoveryReceiptPosted</w:t>
      </w:r>
      <w:r>
        <w:t xml:space="preserve">;</w:t>
      </w:r>
      <w:r>
        <w:t xml:space="preserve"> </w:t>
      </w:r>
      <w:r>
        <w:rPr>
          <w:rStyle w:val="VerbatimChar"/>
        </w:rPr>
        <w:t xml:space="preserve">LitigationCaseClosed</w:t>
      </w:r>
      <w:r>
        <w:t xml:space="preserve">.</w:t>
      </w:r>
    </w:p>
    <w:p>
      <w:pPr>
        <w:pStyle w:val="BodyText"/>
      </w:pPr>
      <w:r>
        <w:rPr>
          <w:bCs/>
          <w:b/>
        </w:rPr>
        <w:t xml:space="preserve">Tests (R5).</w:t>
      </w:r>
      <w:r>
        <w:t xml:space="preserve"> </w:t>
      </w:r>
      <w:r>
        <w:t xml:space="preserve">1. Un-notified NBFC, claim ₹50 lakh → DRT not offered; commercial suit offered with s.12A first; claim ₹2.5 lakh → ordinary civil court without s.12A.</w:t>
      </w:r>
      <w:r>
        <w:t xml:space="preserve"> </w:t>
      </w:r>
      <w:r>
        <w:t xml:space="preserve">2. s.12A reference with a 2-month consented extension → limitation end moves by the whole mediation period.</w:t>
      </w:r>
      <w:r>
        <w:t xml:space="preserve"> </w:t>
      </w:r>
      <w:r>
        <w:t xml:space="preserve">3. Urgent-relief bypass without a counsel note → filing blocked.</w:t>
      </w:r>
      <w:r>
        <w:t xml:space="preserve"> </w:t>
      </w:r>
      <w:r>
        <w:t xml:space="preserve">4. O.XXXVII summons served 3 Feb 2027 → appearance due 13 Feb; summons for judgment served 1 Mar → leave application due 11 Mar 2027.</w:t>
      </w:r>
      <w:r>
        <w:t xml:space="preserve"> </w:t>
      </w:r>
      <w:r>
        <w:t xml:space="preserve">5. Decree dated 15 Mar 2027 → execution limitation 15 Mar 2039 with alerts.</w:t>
      </w:r>
      <w:r>
        <w:t xml:space="preserve"> </w:t>
      </w:r>
      <w:r>
        <w:t xml:space="preserve">6. Borrower pays ₹2 lakh directly during execution → O.XXI r.2 certification task opened.</w:t>
      </w:r>
      <w:r>
        <w:t xml:space="preserve"> </w:t>
      </w:r>
      <w:r>
        <w:t xml:space="preserve">7. Revenue-recovery request for a state whose flag is false → rejected with the configuration reason.</w:t>
      </w:r>
    </w:p>
    <w:p>
      <w:r>
        <w:pict>
          <v:rect style="width:0;height:1.5pt" o:hralign="center" o:hrstd="t" o:hr="t"/>
        </w:pict>
      </w:r>
    </w:p>
    <w:bookmarkEnd w:id="143"/>
    <w:bookmarkEnd w:id="144"/>
    <w:bookmarkStart w:id="152" w:name="X0f1fa28842446e141a89dcca44abcda46740ab4"/>
    <w:p>
      <w:pPr>
        <w:pStyle w:val="Heading2"/>
      </w:pPr>
      <w:r>
        <w:t xml:space="preserve">R6. Insolvency (IBC) claims and proceedings</w:t>
      </w:r>
    </w:p>
    <w:p>
      <w:pPr>
        <w:pStyle w:val="FirstParagraph"/>
      </w:pPr>
      <w:r>
        <w:rPr>
          <w:bCs/>
          <w:b/>
        </w:rPr>
        <w:t xml:space="preserve">Purpose.</w:t>
      </w:r>
      <w:r>
        <w:t xml:space="preserve"> </w:t>
      </w:r>
      <w:r>
        <w:t xml:space="preserve">Use the Insolvency and Bankruptcy Code 2016 as a creditor (s.7, personal-guarantor proceedings, claims, CoC votes, plan and liquidation tracking, PPIRP) and propagate any moratorium to every other track at the next COB.</w:t>
      </w:r>
    </w:p>
    <w:p>
      <w:pPr>
        <w:pStyle w:val="BodyText"/>
      </w:pPr>
      <w:r>
        <w:rPr>
          <w:bCs/>
          <w:b/>
        </w:rPr>
        <w:t xml:space="preserve">Capabilities:</w:t>
      </w:r>
      <w:r>
        <w:t xml:space="preserve"> </w:t>
      </w:r>
      <w:r>
        <w:t xml:space="preserve">effective-dated rule pack; s.7 readiness and filing; IU (NeSL) records; Part III workflow; claims; CoC votes; plan and distribution tracking; PPIRP support; cause-list watcher; moratorium propagation.</w:t>
      </w:r>
    </w:p>
    <w:bookmarkStart w:id="145" w:name="X2785d9600fcd52a97a9aae43389184cf30b7183"/>
    <w:p>
      <w:pPr>
        <w:pStyle w:val="Heading3"/>
      </w:pPr>
      <w:r>
        <w:t xml:space="preserve">R6.1 Rule pack (IBC (Amendment) Act 2026, Act No. 6 of 2026)</w:t>
      </w:r>
    </w:p>
    <w:p>
      <w:pPr>
        <w:pStyle w:val="FirstParagraph"/>
      </w:pPr>
      <w:r>
        <w:t xml:space="preserve">Assent 6 Apr 2026; most provisions in force from</w:t>
      </w:r>
      <w:r>
        <w:t xml:space="preserve"> </w:t>
      </w:r>
      <w:r>
        <w:rPr>
          <w:bCs/>
          <w:b/>
        </w:rPr>
        <w:t xml:space="preserve">26 May 2026</w:t>
      </w:r>
      <w:r>
        <w:t xml:space="preserve"> </w:t>
      </w:r>
      <w:r>
        <w:t xml:space="preserve">(S.O. 2625(E), 22 May 2026). Each rule carries</w:t>
      </w:r>
      <w:r>
        <w:t xml:space="preserve"> </w:t>
      </w:r>
      <w:r>
        <w:rPr>
          <w:rStyle w:val="VerbatimChar"/>
        </w:rPr>
        <w:t xml:space="preserve">status</w:t>
      </w:r>
      <w:r>
        <w:t xml:space="preserve"> </w:t>
      </w:r>
      <w:r>
        <w:t xml:space="preserve">and</w:t>
      </w:r>
      <w:r>
        <w:t xml:space="preserve"> </w:t>
      </w:r>
      <w:r>
        <w:rPr>
          <w:rStyle w:val="VerbatimChar"/>
        </w:rPr>
        <w:t xml:space="preserve">effective_from</w:t>
      </w:r>
      <w:r>
        <w:t xml:space="preserve"> </w:t>
      </w:r>
      <w:r>
        <w:t xml:space="preserve">[VERIFY: any later commencement notification before go-live].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02"/>
        <w:gridCol w:w="5156"/>
        <w:gridCol w:w="1680"/>
      </w:tblGrid>
      <w:tr>
        <w:trPr>
          <w:tblHeader w:val="true"/>
          <w:tblHeader w:val="true"/>
        </w:trPr>
        <w:tc>
          <w:tcPr>
            <w:tcW w:w="2802" w:type="dxa"/>
            <w:shd w:val="clear" w:color="auto" w:fill="1F3A5F"/>
          </w:tcPr>
          <w:p>
            <w:pPr>
              <w:pStyle w:val="Compact"/>
              <w:spacing w:after="40"/>
              <w:jc w:val="left"/>
            </w:pPr>
            <w:r>
              <w:rPr>
                <w:b/>
                <w:color w:val="FFFFFF"/>
                <w:sz w:val="18"/>
              </w:rPr>
              <w:t xml:space="preserve">Provision</w:t>
            </w:r>
          </w:p>
        </w:tc>
        <w:tc>
          <w:tcPr>
            <w:tcW w:w="5156" w:type="dxa"/>
            <w:shd w:val="clear" w:color="auto" w:fill="1F3A5F"/>
          </w:tcPr>
          <w:p>
            <w:pPr>
              <w:pStyle w:val="Compact"/>
              <w:spacing w:after="40"/>
              <w:jc w:val="left"/>
            </w:pPr>
            <w:r>
              <w:rPr>
                <w:b/>
                <w:color w:val="FFFFFF"/>
                <w:sz w:val="18"/>
              </w:rPr>
              <w:t xml:space="preserve">Rule</w:t>
            </w:r>
          </w:p>
        </w:tc>
        <w:tc>
          <w:tcPr>
            <w:tcW w:w="1680" w:type="dxa"/>
            <w:shd w:val="clear" w:color="auto" w:fill="1F3A5F"/>
          </w:tcPr>
          <w:p>
            <w:pPr>
              <w:pStyle w:val="Compact"/>
              <w:spacing w:after="40"/>
              <w:jc w:val="left"/>
            </w:pPr>
            <w:r>
              <w:rPr>
                <w:b/>
                <w:color w:val="FFFFFF"/>
                <w:sz w:val="18"/>
              </w:rPr>
              <w:t xml:space="preserve">Status</w:t>
            </w:r>
          </w:p>
        </w:tc>
      </w:tr>
      <w:tr>
        <w:tc>
          <w:tcPr>
            <w:tcW w:w="2802" w:type="dxa"/>
          </w:tcPr>
          <w:p>
            <w:pPr>
              <w:pStyle w:val="Compact"/>
              <w:spacing w:after="40"/>
              <w:jc w:val="left"/>
            </w:pPr>
            <w:r>
              <w:rPr>
                <w:sz w:val="18"/>
              </w:rPr>
              <w:t xml:space="preserve">s.7(5)</w:t>
            </w:r>
          </w:p>
        </w:tc>
        <w:tc>
          <w:tcPr>
            <w:tcW w:w="5156" w:type="dxa"/>
          </w:tcPr>
          <w:p>
            <w:pPr>
              <w:pStyle w:val="Compact"/>
              <w:spacing w:after="40"/>
              <w:jc w:val="left"/>
            </w:pPr>
            <w:r>
              <w:rPr>
                <w:sz w:val="18"/>
              </w:rPr>
              <w:t xml:space="preserve">NCLT</w:t>
            </w:r>
            <w:r>
              <w:rPr>
                <w:sz w:val="18"/>
              </w:rPr>
              <w:t xml:space="preserve"> </w:t>
            </w:r>
            <w:r>
              <w:rPr>
                <w:sz w:val="18"/>
              </w:rPr>
              <w:t xml:space="preserve">“</w:t>
            </w:r>
            <w:r>
              <w:rPr>
                <w:sz w:val="18"/>
              </w:rPr>
              <w:t xml:space="preserve">shall</w:t>
            </w:r>
            <w:r>
              <w:rPr>
                <w:sz w:val="18"/>
              </w:rPr>
              <w:t xml:space="preserve">”</w:t>
            </w:r>
            <w:r>
              <w:rPr>
                <w:sz w:val="18"/>
              </w:rPr>
              <w:t xml:space="preserve"> </w:t>
            </w:r>
            <w:r>
              <w:rPr>
                <w:sz w:val="18"/>
              </w:rPr>
              <w:t xml:space="preserve">ascertain default and admit or reject within 14 days; must admit where default exists, the application is complete and no disciplinary proceeding is pending against the proposed RP; reasons for delay; 7 days to cure defects; IU record sufficient proof</w:t>
            </w:r>
          </w:p>
        </w:tc>
        <w:tc>
          <w:tcPr>
            <w:tcW w:w="1680" w:type="dxa"/>
          </w:tcPr>
          <w:p>
            <w:pPr>
              <w:pStyle w:val="Compact"/>
              <w:spacing w:after="40"/>
              <w:jc w:val="left"/>
            </w:pPr>
            <w:r>
              <w:rPr>
                <w:sz w:val="18"/>
              </w:rPr>
              <w:t xml:space="preserve">In force</w:t>
            </w:r>
          </w:p>
        </w:tc>
      </w:tr>
      <w:tr>
        <w:tc>
          <w:tcPr>
            <w:tcW w:w="2802" w:type="dxa"/>
          </w:tcPr>
          <w:p>
            <w:pPr>
              <w:pStyle w:val="Compact"/>
              <w:spacing w:after="40"/>
              <w:jc w:val="left"/>
            </w:pPr>
            <w:r>
              <w:rPr>
                <w:sz w:val="18"/>
              </w:rPr>
              <w:t xml:space="preserve">s.12A</w:t>
            </w:r>
          </w:p>
        </w:tc>
        <w:tc>
          <w:tcPr>
            <w:tcW w:w="5156" w:type="dxa"/>
          </w:tcPr>
          <w:p>
            <w:pPr>
              <w:pStyle w:val="Compact"/>
              <w:spacing w:after="40"/>
              <w:jc w:val="left"/>
            </w:pPr>
            <w:r>
              <w:rPr>
                <w:sz w:val="18"/>
              </w:rPr>
              <w:t xml:space="preserve">Withdrawal with 90% of the CoC, only between CoC constitution and the first invitation for resolution plans [VERIFY: reported 30-day disposal]</w:t>
            </w:r>
          </w:p>
        </w:tc>
        <w:tc>
          <w:tcPr>
            <w:tcW w:w="1680" w:type="dxa"/>
          </w:tcPr>
          <w:p>
            <w:pPr>
              <w:pStyle w:val="Compact"/>
              <w:spacing w:after="40"/>
              <w:jc w:val="left"/>
            </w:pPr>
            <w:r>
              <w:rPr>
                <w:sz w:val="18"/>
              </w:rPr>
              <w:t xml:space="preserve">In force</w:t>
            </w:r>
          </w:p>
        </w:tc>
      </w:tr>
      <w:tr>
        <w:tc>
          <w:tcPr>
            <w:tcW w:w="2802" w:type="dxa"/>
          </w:tcPr>
          <w:p>
            <w:pPr>
              <w:pStyle w:val="Compact"/>
              <w:spacing w:after="40"/>
              <w:jc w:val="left"/>
            </w:pPr>
            <w:r>
              <w:rPr>
                <w:sz w:val="18"/>
              </w:rPr>
              <w:t xml:space="preserve">s.28A</w:t>
            </w:r>
          </w:p>
        </w:tc>
        <w:tc>
          <w:tcPr>
            <w:tcW w:w="5156" w:type="dxa"/>
          </w:tcPr>
          <w:p>
            <w:pPr>
              <w:pStyle w:val="Compact"/>
              <w:spacing w:after="40"/>
              <w:jc w:val="left"/>
            </w:pPr>
            <w:r>
              <w:rPr>
                <w:sz w:val="18"/>
              </w:rPr>
              <w:t xml:space="preserve">Sale of a guarantor’s asset needs prior CoC approval</w:t>
            </w:r>
          </w:p>
        </w:tc>
        <w:tc>
          <w:tcPr>
            <w:tcW w:w="1680" w:type="dxa"/>
          </w:tcPr>
          <w:p>
            <w:pPr>
              <w:pStyle w:val="Compact"/>
              <w:spacing w:after="40"/>
              <w:jc w:val="left"/>
            </w:pPr>
            <w:r>
              <w:rPr>
                <w:sz w:val="18"/>
              </w:rPr>
              <w:t xml:space="preserve">In force</w:t>
            </w:r>
          </w:p>
        </w:tc>
      </w:tr>
      <w:tr>
        <w:tc>
          <w:tcPr>
            <w:tcW w:w="2802" w:type="dxa"/>
          </w:tcPr>
          <w:p>
            <w:pPr>
              <w:pStyle w:val="Compact"/>
              <w:spacing w:after="40"/>
              <w:jc w:val="left"/>
            </w:pPr>
            <w:r>
              <w:rPr>
                <w:sz w:val="18"/>
              </w:rPr>
              <w:t xml:space="preserve">s.30(2)</w:t>
            </w:r>
          </w:p>
        </w:tc>
        <w:tc>
          <w:tcPr>
            <w:tcW w:w="5156" w:type="dxa"/>
          </w:tcPr>
          <w:p>
            <w:pPr>
              <w:pStyle w:val="Compact"/>
              <w:spacing w:after="40"/>
              <w:jc w:val="left"/>
            </w:pPr>
            <w:r>
              <w:rPr>
                <w:sz w:val="18"/>
              </w:rPr>
              <w:t xml:space="preserve">Dissenting financial creditor gets at least the lower of its liquidation value and its s.53 share of plan proceeds</w:t>
            </w:r>
          </w:p>
        </w:tc>
        <w:tc>
          <w:tcPr>
            <w:tcW w:w="1680" w:type="dxa"/>
          </w:tcPr>
          <w:p>
            <w:pPr>
              <w:pStyle w:val="Compact"/>
              <w:spacing w:after="40"/>
              <w:jc w:val="left"/>
            </w:pPr>
            <w:r>
              <w:rPr>
                <w:sz w:val="18"/>
              </w:rPr>
              <w:t xml:space="preserve">In force</w:t>
            </w:r>
          </w:p>
        </w:tc>
      </w:tr>
      <w:tr>
        <w:tc>
          <w:tcPr>
            <w:tcW w:w="2802" w:type="dxa"/>
          </w:tcPr>
          <w:p>
            <w:pPr>
              <w:pStyle w:val="Compact"/>
              <w:spacing w:after="40"/>
              <w:jc w:val="left"/>
            </w:pPr>
            <w:r>
              <w:rPr>
                <w:sz w:val="18"/>
              </w:rPr>
              <w:t xml:space="preserve">ss.34A, 52, 54</w:t>
            </w:r>
          </w:p>
        </w:tc>
        <w:tc>
          <w:tcPr>
            <w:tcW w:w="5156" w:type="dxa"/>
          </w:tcPr>
          <w:p>
            <w:pPr>
              <w:pStyle w:val="Compact"/>
              <w:spacing w:after="40"/>
              <w:jc w:val="left"/>
            </w:pPr>
            <w:r>
              <w:rPr>
                <w:sz w:val="18"/>
              </w:rPr>
              <w:t xml:space="preserve">CoC may replace the liquidator by 66%; secured creditor’s election within 14 days with a cost contribution; liquidation 180 + 90 days</w:t>
            </w:r>
          </w:p>
        </w:tc>
        <w:tc>
          <w:tcPr>
            <w:tcW w:w="1680" w:type="dxa"/>
          </w:tcPr>
          <w:p>
            <w:pPr>
              <w:pStyle w:val="Compact"/>
              <w:spacing w:after="40"/>
              <w:jc w:val="left"/>
            </w:pPr>
            <w:r>
              <w:rPr>
                <w:sz w:val="18"/>
              </w:rPr>
              <w:t xml:space="preserve">In force</w:t>
            </w:r>
          </w:p>
        </w:tc>
      </w:tr>
      <w:tr>
        <w:tc>
          <w:tcPr>
            <w:tcW w:w="2802" w:type="dxa"/>
          </w:tcPr>
          <w:p>
            <w:pPr>
              <w:pStyle w:val="Compact"/>
              <w:spacing w:after="40"/>
              <w:jc w:val="left"/>
            </w:pPr>
            <w:r>
              <w:rPr>
                <w:sz w:val="18"/>
              </w:rPr>
              <w:t xml:space="preserve">s.53</w:t>
            </w:r>
          </w:p>
        </w:tc>
        <w:tc>
          <w:tcPr>
            <w:tcW w:w="5156" w:type="dxa"/>
          </w:tcPr>
          <w:p>
            <w:pPr>
              <w:pStyle w:val="Compact"/>
              <w:spacing w:after="40"/>
              <w:jc w:val="left"/>
            </w:pPr>
            <w:r>
              <w:rPr>
                <w:sz w:val="18"/>
              </w:rPr>
              <w:t xml:space="preserve">Secured status only to the value of security relinquished; government dues 2 years, no secured priority; statutory charges outside</w:t>
            </w:r>
            <w:r>
              <w:rPr>
                <w:sz w:val="18"/>
              </w:rPr>
              <w:t xml:space="preserve"> </w:t>
            </w:r>
            <w:r>
              <w:rPr>
                <w:sz w:val="18"/>
              </w:rPr>
              <w:t xml:space="preserve">“</w:t>
            </w:r>
            <w:r>
              <w:rPr>
                <w:sz w:val="18"/>
              </w:rPr>
              <w:t xml:space="preserve">security interest</w:t>
            </w:r>
            <w:r>
              <w:rPr>
                <w:sz w:val="18"/>
              </w:rPr>
              <w:t xml:space="preserve">”</w:t>
            </w:r>
          </w:p>
        </w:tc>
        <w:tc>
          <w:tcPr>
            <w:tcW w:w="1680" w:type="dxa"/>
          </w:tcPr>
          <w:p>
            <w:pPr>
              <w:pStyle w:val="Compact"/>
              <w:spacing w:after="40"/>
              <w:jc w:val="left"/>
            </w:pPr>
            <w:r>
              <w:rPr>
                <w:sz w:val="18"/>
              </w:rPr>
              <w:t xml:space="preserve">In force</w:t>
            </w:r>
          </w:p>
        </w:tc>
      </w:tr>
      <w:tr>
        <w:tc>
          <w:tcPr>
            <w:tcW w:w="2802" w:type="dxa"/>
          </w:tcPr>
          <w:p>
            <w:pPr>
              <w:pStyle w:val="Compact"/>
              <w:spacing w:after="40"/>
              <w:jc w:val="left"/>
            </w:pPr>
            <w:r>
              <w:rPr>
                <w:sz w:val="18"/>
              </w:rPr>
              <w:t xml:space="preserve">s.54A(2)(e)</w:t>
            </w:r>
          </w:p>
        </w:tc>
        <w:tc>
          <w:tcPr>
            <w:tcW w:w="5156" w:type="dxa"/>
          </w:tcPr>
          <w:p>
            <w:pPr>
              <w:pStyle w:val="Compact"/>
              <w:spacing w:after="40"/>
              <w:jc w:val="left"/>
            </w:pPr>
            <w:r>
              <w:rPr>
                <w:sz w:val="18"/>
              </w:rPr>
              <w:t xml:space="preserve">PPIRP approval threshold 51% (was 66%)</w:t>
            </w:r>
          </w:p>
        </w:tc>
        <w:tc>
          <w:tcPr>
            <w:tcW w:w="1680" w:type="dxa"/>
          </w:tcPr>
          <w:p>
            <w:pPr>
              <w:pStyle w:val="Compact"/>
              <w:spacing w:after="40"/>
              <w:jc w:val="left"/>
            </w:pPr>
            <w:r>
              <w:rPr>
                <w:sz w:val="18"/>
              </w:rPr>
              <w:t xml:space="preserve">In force</w:t>
            </w:r>
          </w:p>
        </w:tc>
      </w:tr>
      <w:tr>
        <w:tc>
          <w:tcPr>
            <w:tcW w:w="2802" w:type="dxa"/>
          </w:tcPr>
          <w:p>
            <w:pPr>
              <w:pStyle w:val="Compact"/>
              <w:spacing w:after="40"/>
              <w:jc w:val="left"/>
            </w:pPr>
            <w:r>
              <w:rPr>
                <w:sz w:val="18"/>
              </w:rPr>
              <w:t xml:space="preserve">s.61(6); ss.64A, 183A</w:t>
            </w:r>
          </w:p>
        </w:tc>
        <w:tc>
          <w:tcPr>
            <w:tcW w:w="5156" w:type="dxa"/>
          </w:tcPr>
          <w:p>
            <w:pPr>
              <w:pStyle w:val="Compact"/>
              <w:spacing w:after="40"/>
              <w:jc w:val="left"/>
            </w:pPr>
            <w:r>
              <w:rPr>
                <w:sz w:val="18"/>
              </w:rPr>
              <w:t xml:space="preserve">NCLAT disposal in 3 months; penalty ₹1 lakh to ₹2 crore for frivolous proceedings</w:t>
            </w:r>
          </w:p>
        </w:tc>
        <w:tc>
          <w:tcPr>
            <w:tcW w:w="1680" w:type="dxa"/>
          </w:tcPr>
          <w:p>
            <w:pPr>
              <w:pStyle w:val="Compact"/>
              <w:spacing w:after="40"/>
              <w:jc w:val="left"/>
            </w:pPr>
            <w:r>
              <w:rPr>
                <w:sz w:val="18"/>
              </w:rPr>
              <w:t xml:space="preserve">In force</w:t>
            </w:r>
          </w:p>
        </w:tc>
      </w:tr>
      <w:tr>
        <w:tc>
          <w:tcPr>
            <w:tcW w:w="2802" w:type="dxa"/>
          </w:tcPr>
          <w:p>
            <w:pPr>
              <w:pStyle w:val="Compact"/>
              <w:spacing w:after="40"/>
              <w:jc w:val="left"/>
            </w:pPr>
            <w:r>
              <w:rPr>
                <w:sz w:val="18"/>
              </w:rPr>
              <w:t xml:space="preserve">s.96(4)</w:t>
            </w:r>
          </w:p>
        </w:tc>
        <w:tc>
          <w:tcPr>
            <w:tcW w:w="5156" w:type="dxa"/>
          </w:tcPr>
          <w:p>
            <w:pPr>
              <w:pStyle w:val="Compact"/>
              <w:spacing w:after="40"/>
              <w:jc w:val="left"/>
            </w:pPr>
            <w:r>
              <w:rPr>
                <w:sz w:val="18"/>
              </w:rPr>
              <w:t xml:space="preserve">No interim moratorium against a personal guarantor to a corporate debtor</w:t>
            </w:r>
          </w:p>
        </w:tc>
        <w:tc>
          <w:tcPr>
            <w:tcW w:w="1680" w:type="dxa"/>
          </w:tcPr>
          <w:p>
            <w:pPr>
              <w:pStyle w:val="Compact"/>
              <w:spacing w:after="40"/>
              <w:jc w:val="left"/>
            </w:pPr>
            <w:r>
              <w:rPr>
                <w:sz w:val="18"/>
              </w:rPr>
              <w:t xml:space="preserve">In force</w:t>
            </w:r>
          </w:p>
        </w:tc>
      </w:tr>
      <w:tr>
        <w:tc>
          <w:tcPr>
            <w:tcW w:w="2802" w:type="dxa"/>
          </w:tcPr>
          <w:p>
            <w:pPr>
              <w:pStyle w:val="Compact"/>
              <w:spacing w:after="40"/>
              <w:jc w:val="left"/>
            </w:pPr>
            <w:r>
              <w:rPr>
                <w:sz w:val="18"/>
              </w:rPr>
              <w:t xml:space="preserve">Avoidance</w:t>
            </w:r>
          </w:p>
        </w:tc>
        <w:tc>
          <w:tcPr>
            <w:tcW w:w="5156" w:type="dxa"/>
          </w:tcPr>
          <w:p>
            <w:pPr>
              <w:pStyle w:val="Compact"/>
              <w:spacing w:after="40"/>
              <w:jc w:val="left"/>
            </w:pPr>
            <w:r>
              <w:rPr>
                <w:sz w:val="18"/>
              </w:rPr>
              <w:t xml:space="preserve">Look-back from the filing date; creditors may apply if the RP does not</w:t>
            </w:r>
          </w:p>
        </w:tc>
        <w:tc>
          <w:tcPr>
            <w:tcW w:w="1680" w:type="dxa"/>
          </w:tcPr>
          <w:p>
            <w:pPr>
              <w:pStyle w:val="Compact"/>
              <w:spacing w:after="40"/>
              <w:jc w:val="left"/>
            </w:pPr>
            <w:r>
              <w:rPr>
                <w:sz w:val="18"/>
              </w:rPr>
              <w:t xml:space="preserve">In force</w:t>
            </w:r>
          </w:p>
        </w:tc>
      </w:tr>
      <w:tr>
        <w:tc>
          <w:tcPr>
            <w:tcW w:w="2802" w:type="dxa"/>
          </w:tcPr>
          <w:p>
            <w:pPr>
              <w:pStyle w:val="Compact"/>
              <w:spacing w:after="40"/>
              <w:jc w:val="left"/>
            </w:pPr>
            <w:r>
              <w:rPr>
                <w:sz w:val="18"/>
              </w:rPr>
              <w:t xml:space="preserve">CIIRP (Ch. IV-A, ss.58A–58K); group insolvency (Ch. VA); cross-border (s.240C)</w:t>
            </w:r>
          </w:p>
        </w:tc>
        <w:tc>
          <w:tcPr>
            <w:tcW w:w="5156" w:type="dxa"/>
          </w:tcPr>
          <w:p>
            <w:pPr>
              <w:pStyle w:val="Compact"/>
              <w:spacing w:after="40"/>
              <w:jc w:val="left"/>
            </w:pPr>
            <w:r>
              <w:rPr>
                <w:sz w:val="18"/>
              </w:rPr>
              <w:t xml:space="preserve">—</w:t>
            </w:r>
          </w:p>
        </w:tc>
        <w:tc>
          <w:tcPr>
            <w:tcW w:w="1680" w:type="dxa"/>
          </w:tcPr>
          <w:p>
            <w:pPr>
              <w:pStyle w:val="Compact"/>
              <w:spacing w:after="40"/>
              <w:jc w:val="left"/>
            </w:pPr>
            <w:r>
              <w:rPr>
                <w:bCs/>
                <w:b/>
                <w:sz w:val="18"/>
              </w:rPr>
              <w:t xml:space="preserve">Not in force</w:t>
            </w:r>
            <w:r>
              <w:rPr>
                <w:sz w:val="18"/>
              </w:rPr>
              <w:t xml:space="preserve">: flags hard-off</w:t>
            </w:r>
          </w:p>
        </w:tc>
      </w:tr>
    </w:tbl>
    <w:p>
      <w:pPr>
        <w:pStyle w:val="BodyText"/>
      </w:pPr>
      <w:r>
        <w:t xml:space="preserve">Baseline: threshold ₹1 crore (S.O. 1205(E), 24 Mar 2020); CIRP 180 + 90 days, 330-day cap (</w:t>
      </w:r>
      <w:r>
        <w:rPr>
          <w:iCs/>
          <w:i/>
        </w:rPr>
        <w:t xml:space="preserve">Essar Steel</w:t>
      </w:r>
      <w:r>
        <w:t xml:space="preserve">); CoC 66% for plan approval and RP replacement, 51% otherwise; PPIRP threshold ₹10 lakh, 120 days.</w:t>
      </w:r>
    </w:p>
    <w:bookmarkEnd w:id="145"/>
    <w:bookmarkStart w:id="146" w:name="r6.2-s.7-application"/>
    <w:p>
      <w:pPr>
        <w:pStyle w:val="Heading3"/>
      </w:pPr>
      <w:r>
        <w:t xml:space="preserve">R6.2 s.7 application</w:t>
      </w:r>
    </w:p>
    <w:p>
      <w:pPr>
        <w:numPr>
          <w:ilvl w:val="0"/>
          <w:numId w:val="1225"/>
        </w:numPr>
        <w:pStyle w:val="Compact"/>
      </w:pPr>
      <w:r>
        <w:rPr>
          <w:bCs/>
          <w:b/>
        </w:rPr>
        <w:t xml:space="preserve">Eligibility:</w:t>
      </w:r>
      <w:r>
        <w:t xml:space="preserve"> </w:t>
      </w:r>
      <w:r>
        <w:t xml:space="preserve">financial creditor; corporate debtor that is not a financial service provider; default ≥ ₹1 crore; within Art.137 (3 years from default,</w:t>
      </w:r>
      <w:r>
        <w:t xml:space="preserve"> </w:t>
      </w:r>
      <w:r>
        <w:rPr>
          <w:iCs/>
          <w:i/>
        </w:rPr>
        <w:t xml:space="preserve">B.K. Educational</w:t>
      </w:r>
      <w:r>
        <w:t xml:space="preserve"> </w:t>
      </w:r>
      <w:r>
        <w:t xml:space="preserve">(2018)), rebased by s.18 acknowledgments including balance sheets (</w:t>
      </w:r>
      <w:r>
        <w:rPr>
          <w:iCs/>
          <w:i/>
        </w:rPr>
        <w:t xml:space="preserve">Laxmi Pat Surana</w:t>
      </w:r>
      <w:r>
        <w:t xml:space="preserve"> </w:t>
      </w:r>
      <w:r>
        <w:t xml:space="preserve">(2021);</w:t>
      </w:r>
      <w:r>
        <w:t xml:space="preserve"> </w:t>
      </w:r>
      <w:r>
        <w:rPr>
          <w:iCs/>
          <w:i/>
        </w:rPr>
        <w:t xml:space="preserve">ARC v. Bishal Jaiswal</w:t>
      </w:r>
      <w:r>
        <w:t xml:space="preserve"> </w:t>
      </w:r>
      <w:r>
        <w:t xml:space="preserve">(2021)); no existing moratorium.</w:t>
      </w:r>
    </w:p>
    <w:p>
      <w:pPr>
        <w:numPr>
          <w:ilvl w:val="0"/>
          <w:numId w:val="1225"/>
        </w:numPr>
        <w:pStyle w:val="Compact"/>
      </w:pPr>
      <w:r>
        <w:rPr>
          <w:bCs/>
          <w:b/>
        </w:rPr>
        <w:t xml:space="preserve">Readiness pack</w:t>
      </w:r>
      <w:r>
        <w:t xml:space="preserve"> </w:t>
      </w:r>
      <w:r>
        <w:t xml:space="preserve">(built from SMA-2 for corporate accounts flagged by R1): IU record of default and authentication status; Form 1 (AAA Rules 2016); proposed IRP’s Form 2 consent and disciplinary check; Board authority; financial contracts; certified statement of account; chronology of debt (CIRP Regulations as amended 18 Sep 2023 [VERIFY: regulation number]); bench by registered office.</w:t>
      </w:r>
    </w:p>
    <w:p>
      <w:pPr>
        <w:numPr>
          <w:ilvl w:val="0"/>
          <w:numId w:val="1225"/>
        </w:numPr>
        <w:pStyle w:val="Compact"/>
      </w:pPr>
      <w:r>
        <w:rPr>
          <w:bCs/>
          <w:b/>
        </w:rPr>
        <w:t xml:space="preserve">States:</w:t>
      </w:r>
      <w:r>
        <w:t xml:space="preserve"> </w:t>
      </w:r>
      <w:r>
        <w:rPr>
          <w:rStyle w:val="VerbatimChar"/>
        </w:rPr>
        <w:t xml:space="preserve">READY → FILED → DEFECTS_NOTIFIED (≤ 7 days) → ADMITTED | REJECTED | WITHDRAWN → ICD → PUBLIC_ANNOUNCEMENT → CLAIM_FILED → COC_CONSTITUTED → RFRP_ISSUED → PLAN_VOTED → PLAN_APPROVED | LIQUIDATION_ORDERED → IMPLEMENTATION | LIQUIDATION → CLOSED</w:t>
      </w:r>
      <w:r>
        <w:t xml:space="preserve">.</w:t>
      </w:r>
    </w:p>
    <w:p>
      <w:pPr>
        <w:numPr>
          <w:ilvl w:val="0"/>
          <w:numId w:val="1225"/>
        </w:numPr>
        <w:pStyle w:val="Compact"/>
      </w:pPr>
      <w:r>
        <w:rPr>
          <w:bCs/>
          <w:b/>
        </w:rPr>
        <w:t xml:space="preserve">Timers:</w:t>
      </w:r>
      <w:r>
        <w:t xml:space="preserve"> </w:t>
      </w:r>
      <w:r>
        <w:t xml:space="preserve">admission target 14 days from filing with escalation at day 10 and overdue flag at day 15; CIRP 180/270/330 days; appeal 30 + 15 days (s.61); s.12A window.</w:t>
      </w:r>
    </w:p>
    <w:bookmarkEnd w:id="146"/>
    <w:bookmarkStart w:id="147" w:name="Xe63edb81d9d01345026d934bb19fb09718311c3"/>
    <w:p>
      <w:pPr>
        <w:pStyle w:val="Heading3"/>
      </w:pPr>
      <w:r>
        <w:t xml:space="preserve">R6.3 Personal guarantor (Part III, at the NCLT)</w:t>
      </w:r>
    </w:p>
    <w:p>
      <w:pPr>
        <w:numPr>
          <w:ilvl w:val="0"/>
          <w:numId w:val="1226"/>
        </w:numPr>
        <w:pStyle w:val="Compact"/>
      </w:pPr>
      <w:r>
        <w:t xml:space="preserve">The NCLT is always the forum for personal guarantors to corporate debtors (s.60(1);</w:t>
      </w:r>
      <w:r>
        <w:t xml:space="preserve"> </w:t>
      </w:r>
      <w:r>
        <w:rPr>
          <w:iCs/>
          <w:i/>
        </w:rPr>
        <w:t xml:space="preserve">SBI v. Mahendra Kumar Jajodia</w:t>
      </w:r>
      <w:r>
        <w:t xml:space="preserve">, SC 2022).</w:t>
      </w:r>
    </w:p>
    <w:p>
      <w:pPr>
        <w:numPr>
          <w:ilvl w:val="0"/>
          <w:numId w:val="1226"/>
        </w:numPr>
        <w:pStyle w:val="Compact"/>
      </w:pPr>
      <w:r>
        <w:rPr>
          <w:rStyle w:val="VerbatimChar"/>
        </w:rPr>
        <w:t xml:space="preserve">DEMAND_SERVED (14 days, PG Rules) → S95_FILED → RP_APPOINTED → RP_REPORT (≤ 10 days, s.99) → ADMISSION (≤ 14 days of report, s.100) → S101_MORATORIUM (180 days) → CLAIMS → REPAYMENT_PLAN | BANKRUPTCY → CLOSED</w:t>
      </w:r>
      <w:r>
        <w:t xml:space="preserve"> </w:t>
      </w:r>
      <w:r>
        <w:t xml:space="preserve">[VERIFY: PG Rules form numbers].</w:t>
      </w:r>
    </w:p>
    <w:p>
      <w:pPr>
        <w:numPr>
          <w:ilvl w:val="0"/>
          <w:numId w:val="1226"/>
        </w:numPr>
        <w:pStyle w:val="Compact"/>
      </w:pPr>
      <w:r>
        <w:t xml:space="preserve">No interim moratorium on filing (s.96(4)); approval of the debtor’s plan does not discharge the guarantor (</w:t>
      </w:r>
      <w:r>
        <w:rPr>
          <w:iCs/>
          <w:i/>
        </w:rPr>
        <w:t xml:space="preserve">Lalit Kumar Jain v. UoI</w:t>
      </w:r>
      <w:r>
        <w:t xml:space="preserve"> </w:t>
      </w:r>
      <w:r>
        <w:t xml:space="preserve">(2021) 9 SCC 321).</w:t>
      </w:r>
    </w:p>
    <w:bookmarkEnd w:id="147"/>
    <w:bookmarkStart w:id="148" w:name="r6.4-claims-coc-votes-and-plans"/>
    <w:p>
      <w:pPr>
        <w:pStyle w:val="Heading3"/>
      </w:pPr>
      <w:r>
        <w:t xml:space="preserve">R6.4 Claims, CoC votes and plans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51"/>
        <w:gridCol w:w="5236"/>
        <w:gridCol w:w="3151"/>
      </w:tblGrid>
      <w:tr>
        <w:trPr>
          <w:tblHeader w:val="true"/>
          <w:tblHeader w:val="true"/>
        </w:trPr>
        <w:tc>
          <w:tcPr>
            <w:tcW w:w="1251" w:type="dxa"/>
            <w:shd w:val="clear" w:color="auto" w:fill="1F3A5F"/>
          </w:tcPr>
          <w:p>
            <w:pPr>
              <w:pStyle w:val="Compact"/>
              <w:spacing w:after="40"/>
              <w:jc w:val="left"/>
            </w:pPr>
            <w:r>
              <w:rPr>
                <w:b/>
                <w:color w:val="FFFFFF"/>
                <w:sz w:val="18"/>
              </w:rPr>
              <w:t xml:space="preserve">Item</w:t>
            </w:r>
          </w:p>
        </w:tc>
        <w:tc>
          <w:tcPr>
            <w:tcW w:w="5236" w:type="dxa"/>
            <w:shd w:val="clear" w:color="auto" w:fill="1F3A5F"/>
          </w:tcPr>
          <w:p>
            <w:pPr>
              <w:pStyle w:val="Compact"/>
              <w:spacing w:after="40"/>
              <w:jc w:val="left"/>
            </w:pPr>
            <w:r>
              <w:rPr>
                <w:b/>
                <w:color w:val="FFFFFF"/>
                <w:sz w:val="18"/>
              </w:rPr>
              <w:t xml:space="preserve">Rule</w:t>
            </w:r>
          </w:p>
        </w:tc>
        <w:tc>
          <w:tcPr>
            <w:tcW w:w="3151" w:type="dxa"/>
            <w:shd w:val="clear" w:color="auto" w:fill="1F3A5F"/>
          </w:tcPr>
          <w:p>
            <w:pPr>
              <w:pStyle w:val="Compact"/>
              <w:spacing w:after="40"/>
              <w:jc w:val="left"/>
            </w:pPr>
            <w:r>
              <w:rPr>
                <w:b/>
                <w:color w:val="FFFFFF"/>
                <w:sz w:val="18"/>
              </w:rPr>
              <w:t xml:space="preserve">Data</w:t>
            </w:r>
          </w:p>
        </w:tc>
      </w:tr>
      <w:tr>
        <w:tc>
          <w:tcPr>
            <w:tcW w:w="1251" w:type="dxa"/>
          </w:tcPr>
          <w:p>
            <w:pPr>
              <w:pStyle w:val="Compact"/>
              <w:spacing w:after="40"/>
              <w:jc w:val="left"/>
            </w:pPr>
            <w:r>
              <w:rPr>
                <w:sz w:val="18"/>
              </w:rPr>
              <w:t xml:space="preserve">CIRP claim</w:t>
            </w:r>
          </w:p>
        </w:tc>
        <w:tc>
          <w:tcPr>
            <w:tcW w:w="5236" w:type="dxa"/>
          </w:tcPr>
          <w:p>
            <w:pPr>
              <w:pStyle w:val="Compact"/>
              <w:spacing w:after="40"/>
              <w:jc w:val="left"/>
            </w:pPr>
            <w:r>
              <w:rPr>
                <w:sz w:val="18"/>
              </w:rPr>
              <w:t xml:space="preserve">Form C (Form CA for a class) with proof by the last date in the public announcement (14 days from IRP appointment)</w:t>
            </w:r>
          </w:p>
        </w:tc>
        <w:tc>
          <w:tcPr>
            <w:tcW w:w="3151" w:type="dxa"/>
          </w:tcPr>
          <w:p>
            <w:pPr>
              <w:pStyle w:val="Compact"/>
              <w:spacing w:after="40"/>
              <w:jc w:val="left"/>
            </w:pPr>
            <w:r>
              <w:rPr>
                <w:sz w:val="18"/>
              </w:rPr>
              <w:t xml:space="preserve">Principal, interest to the ICD, charges, security, guarantees, set-off, hash</w:t>
            </w:r>
          </w:p>
        </w:tc>
      </w:tr>
      <w:tr>
        <w:tc>
          <w:tcPr>
            <w:tcW w:w="1251" w:type="dxa"/>
          </w:tcPr>
          <w:p>
            <w:pPr>
              <w:pStyle w:val="Compact"/>
              <w:spacing w:after="40"/>
              <w:jc w:val="left"/>
            </w:pPr>
            <w:r>
              <w:rPr>
                <w:sz w:val="18"/>
              </w:rPr>
              <w:t xml:space="preserve">Late claim</w:t>
            </w:r>
          </w:p>
        </w:tc>
        <w:tc>
          <w:tcPr>
            <w:tcW w:w="5236" w:type="dxa"/>
          </w:tcPr>
          <w:p>
            <w:pPr>
              <w:pStyle w:val="Compact"/>
              <w:spacing w:after="40"/>
              <w:jc w:val="left"/>
            </w:pPr>
            <w:r>
              <w:rPr>
                <w:sz w:val="18"/>
              </w:rPr>
              <w:t xml:space="preserve">Up to the later of 90 days from the ICD and the RFRP date; reasons after 90 days; RP verifies up to 7 days before the vote</w:t>
            </w:r>
          </w:p>
        </w:tc>
        <w:tc>
          <w:tcPr>
            <w:tcW w:w="3151" w:type="dxa"/>
          </w:tcPr>
          <w:p>
            <w:pPr>
              <w:pStyle w:val="Compact"/>
              <w:spacing w:after="40"/>
              <w:jc w:val="left"/>
            </w:pPr>
            <w:r>
              <w:rPr>
                <w:sz w:val="18"/>
              </w:rPr>
              <w:t xml:space="preserve">Reason note</w:t>
            </w:r>
          </w:p>
        </w:tc>
      </w:tr>
      <w:tr>
        <w:tc>
          <w:tcPr>
            <w:tcW w:w="1251" w:type="dxa"/>
          </w:tcPr>
          <w:p>
            <w:pPr>
              <w:pStyle w:val="Compact"/>
              <w:spacing w:after="40"/>
              <w:jc w:val="left"/>
            </w:pPr>
            <w:r>
              <w:rPr>
                <w:sz w:val="18"/>
              </w:rPr>
              <w:t xml:space="preserve">Assignment</w:t>
            </w:r>
          </w:p>
        </w:tc>
        <w:tc>
          <w:tcPr>
            <w:tcW w:w="5236" w:type="dxa"/>
          </w:tcPr>
          <w:p>
            <w:pPr>
              <w:pStyle w:val="Compact"/>
              <w:spacing w:after="40"/>
              <w:jc w:val="left"/>
            </w:pPr>
            <w:r>
              <w:rPr>
                <w:sz w:val="18"/>
              </w:rPr>
              <w:t xml:space="preserve">Report within 7 days (CIRP Regulations, 2023 amendment) [VERIFY: regulation number]</w:t>
            </w:r>
          </w:p>
        </w:tc>
        <w:tc>
          <w:tcPr>
            <w:tcW w:w="3151" w:type="dxa"/>
          </w:tcPr>
          <w:p>
            <w:pPr>
              <w:pStyle w:val="Compact"/>
              <w:spacing w:after="40"/>
              <w:jc w:val="left"/>
            </w:pPr>
            <w:r>
              <w:rPr>
                <w:sz w:val="18"/>
              </w:rPr>
              <w:t xml:space="preserve">Transferee, R13 link</w:t>
            </w:r>
          </w:p>
        </w:tc>
      </w:tr>
      <w:tr>
        <w:tc>
          <w:tcPr>
            <w:tcW w:w="1251" w:type="dxa"/>
          </w:tcPr>
          <w:p>
            <w:pPr>
              <w:pStyle w:val="Compact"/>
              <w:spacing w:after="40"/>
              <w:jc w:val="left"/>
            </w:pPr>
            <w:r>
              <w:rPr>
                <w:sz w:val="18"/>
              </w:rPr>
              <w:t xml:space="preserve">Liquidation</w:t>
            </w:r>
          </w:p>
        </w:tc>
        <w:tc>
          <w:tcPr>
            <w:tcW w:w="5236" w:type="dxa"/>
          </w:tcPr>
          <w:p>
            <w:pPr>
              <w:pStyle w:val="Compact"/>
              <w:spacing w:after="40"/>
              <w:jc w:val="left"/>
            </w:pPr>
            <w:r>
              <w:rPr>
                <w:sz w:val="18"/>
              </w:rPr>
              <w:t xml:space="preserve">Claim as at the liquidation commencement date; s.52 election within 14 days</w:t>
            </w:r>
          </w:p>
        </w:tc>
        <w:tc>
          <w:tcPr>
            <w:tcW w:w="3151" w:type="dxa"/>
          </w:tcPr>
          <w:p>
            <w:pPr>
              <w:pStyle w:val="Compact"/>
              <w:spacing w:after="40"/>
              <w:jc w:val="left"/>
            </w:pPr>
            <w:r>
              <w:rPr>
                <w:sz w:val="18"/>
              </w:rPr>
              <w:t xml:space="preserve">Election, realisation plan</w:t>
            </w:r>
          </w:p>
        </w:tc>
      </w:tr>
      <w:tr>
        <w:tc>
          <w:tcPr>
            <w:tcW w:w="1251" w:type="dxa"/>
          </w:tcPr>
          <w:p>
            <w:pPr>
              <w:pStyle w:val="Compact"/>
              <w:spacing w:after="40"/>
              <w:jc w:val="left"/>
            </w:pPr>
            <w:r>
              <w:rPr>
                <w:sz w:val="18"/>
              </w:rPr>
              <w:t xml:space="preserve">CoC vote</w:t>
            </w:r>
          </w:p>
        </w:tc>
        <w:tc>
          <w:tcPr>
            <w:tcW w:w="5236" w:type="dxa"/>
          </w:tcPr>
          <w:p>
            <w:pPr>
              <w:pStyle w:val="Compact"/>
              <w:spacing w:after="40"/>
              <w:jc w:val="left"/>
            </w:pPr>
            <w:r>
              <w:rPr>
                <w:sz w:val="18"/>
              </w:rPr>
              <w:t xml:space="preserve">One record per agenda item: voting share, internal approval (DoA, recusal), decision, rationale, time, e-vote evidence; thresholds 66% (plan, RP replacement, liquidation), 51% (others), 90% (s.12A), 66% (s.34A)</w:t>
            </w:r>
          </w:p>
        </w:tc>
        <w:tc>
          <w:tcPr>
            <w:tcW w:w="3151" w:type="dxa"/>
          </w:tcPr>
          <w:p>
            <w:pPr>
              <w:pStyle w:val="Compact"/>
              <w:spacing w:after="40"/>
              <w:jc w:val="left"/>
            </w:pPr>
            <w:r>
              <w:rPr>
                <w:sz w:val="18"/>
              </w:rPr>
              <w:t xml:space="preserve">Signed record</w:t>
            </w:r>
          </w:p>
        </w:tc>
      </w:tr>
      <w:tr>
        <w:tc>
          <w:tcPr>
            <w:tcW w:w="1251" w:type="dxa"/>
          </w:tcPr>
          <w:p>
            <w:pPr>
              <w:pStyle w:val="Compact"/>
              <w:spacing w:after="40"/>
              <w:jc w:val="left"/>
            </w:pPr>
            <w:r>
              <w:rPr>
                <w:sz w:val="18"/>
              </w:rPr>
              <w:t xml:space="preserve">Plan tracker</w:t>
            </w:r>
          </w:p>
        </w:tc>
        <w:tc>
          <w:tcPr>
            <w:tcW w:w="5236" w:type="dxa"/>
          </w:tcPr>
          <w:p>
            <w:pPr>
              <w:pStyle w:val="Compact"/>
              <w:spacing w:after="40"/>
              <w:jc w:val="left"/>
            </w:pPr>
            <w:r>
              <w:rPr>
                <w:sz w:val="18"/>
              </w:rPr>
              <w:t xml:space="preserve">Applicant’s s.29A declaration; upfront and deferred amounts; instruments valued under RSA paras 139–156; s.30(2) floor check on dissent; milestones; monitoring committee; breach to R9</w:t>
            </w:r>
          </w:p>
        </w:tc>
        <w:tc>
          <w:tcPr>
            <w:tcW w:w="3151" w:type="dxa"/>
          </w:tcPr>
          <w:p>
            <w:pPr>
              <w:pStyle w:val="Compact"/>
              <w:spacing w:after="40"/>
              <w:jc w:val="left"/>
            </w:pPr>
            <w:r>
              <w:rPr>
                <w:sz w:val="18"/>
              </w:rPr>
              <w:t xml:space="preserve">Plan version</w:t>
            </w:r>
          </w:p>
        </w:tc>
      </w:tr>
    </w:tbl>
    <w:p>
      <w:pPr>
        <w:pStyle w:val="BodyText"/>
      </w:pPr>
      <w:r>
        <w:t xml:space="preserve">Each lender of a co-lent or consortium claim votes its own admitted claim; alignment clauses bind only if the agreement says so [interpretation]. On plan approval, claims not in the plan are extinguished against the debtor (</w:t>
      </w:r>
      <w:r>
        <w:rPr>
          <w:iCs/>
          <w:i/>
        </w:rPr>
        <w:t xml:space="preserve">Ghanshyam Mishra</w:t>
      </w:r>
      <w:r>
        <w:t xml:space="preserve"> </w:t>
      </w:r>
      <w:r>
        <w:t xml:space="preserve">(2021)); the residue goes to R12 and recovery continues against guarantors.</w:t>
      </w:r>
    </w:p>
    <w:bookmarkEnd w:id="148"/>
    <w:bookmarkStart w:id="149" w:name="Xf9c045e4878cdcf03ac78f5b19ea54c24dad4ec"/>
    <w:p>
      <w:pPr>
        <w:pStyle w:val="Heading3"/>
      </w:pPr>
      <w:r>
        <w:t xml:space="preserve">R6.5 Liquidation waterfall (s.53, with the 2026 explanations)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13"/>
        <w:gridCol w:w="7425"/>
      </w:tblGrid>
      <w:tr>
        <w:trPr>
          <w:tblHeader w:val="true"/>
          <w:tblHeader w:val="true"/>
        </w:trPr>
        <w:tc>
          <w:tcPr>
            <w:tcW w:w="2213" w:type="dxa"/>
            <w:shd w:val="clear" w:color="auto" w:fill="1F3A5F"/>
          </w:tcPr>
          <w:p>
            <w:pPr>
              <w:pStyle w:val="Compact"/>
              <w:spacing w:after="40"/>
              <w:jc w:val="left"/>
            </w:pPr>
            <w:r>
              <w:rPr>
                <w:b/>
                <w:color w:val="FFFFFF"/>
                <w:sz w:val="18"/>
              </w:rPr>
              <w:t xml:space="preserve">Rank</w:t>
            </w:r>
          </w:p>
        </w:tc>
        <w:tc>
          <w:tcPr>
            <w:tcW w:w="7425" w:type="dxa"/>
            <w:shd w:val="clear" w:color="auto" w:fill="1F3A5F"/>
          </w:tcPr>
          <w:p>
            <w:pPr>
              <w:pStyle w:val="Compact"/>
              <w:spacing w:after="40"/>
              <w:jc w:val="left"/>
            </w:pPr>
            <w:r>
              <w:rPr>
                <w:b/>
                <w:color w:val="FFFFFF"/>
                <w:sz w:val="18"/>
              </w:rPr>
              <w:t xml:space="preserve">Claim</w:t>
            </w:r>
          </w:p>
        </w:tc>
      </w:tr>
      <w:tr>
        <w:tc>
          <w:tcPr>
            <w:tcW w:w="2213" w:type="dxa"/>
          </w:tcPr>
          <w:p>
            <w:pPr>
              <w:pStyle w:val="Compact"/>
              <w:spacing w:after="40"/>
              <w:jc w:val="left"/>
            </w:pPr>
            <w:r>
              <w:rPr>
                <w:sz w:val="18"/>
              </w:rPr>
              <w:t xml:space="preserve">1</w:t>
            </w:r>
          </w:p>
        </w:tc>
        <w:tc>
          <w:tcPr>
            <w:tcW w:w="7425" w:type="dxa"/>
          </w:tcPr>
          <w:p>
            <w:pPr>
              <w:pStyle w:val="Compact"/>
              <w:spacing w:after="40"/>
              <w:jc w:val="left"/>
            </w:pPr>
            <w:r>
              <w:rPr>
                <w:sz w:val="18"/>
              </w:rPr>
              <w:t xml:space="preserve">CIRP and liquidation costs</w:t>
            </w:r>
          </w:p>
        </w:tc>
      </w:tr>
      <w:tr>
        <w:tc>
          <w:tcPr>
            <w:tcW w:w="2213" w:type="dxa"/>
          </w:tcPr>
          <w:p>
            <w:pPr>
              <w:pStyle w:val="Compact"/>
              <w:spacing w:after="40"/>
              <w:jc w:val="left"/>
            </w:pPr>
            <w:r>
              <w:rPr>
                <w:sz w:val="18"/>
              </w:rPr>
              <w:t xml:space="preserve">2</w:t>
            </w:r>
          </w:p>
        </w:tc>
        <w:tc>
          <w:tcPr>
            <w:tcW w:w="7425" w:type="dxa"/>
          </w:tcPr>
          <w:p>
            <w:pPr>
              <w:pStyle w:val="Compact"/>
              <w:spacing w:after="40"/>
              <w:jc w:val="left"/>
            </w:pPr>
            <w:r>
              <w:rPr>
                <w:sz w:val="18"/>
              </w:rPr>
              <w:t xml:space="preserve">Workmen’s dues for 24 months, pari passu with secured creditors who relinquished security (secured only to the value relinquished)</w:t>
            </w:r>
          </w:p>
        </w:tc>
      </w:tr>
      <w:tr>
        <w:tc>
          <w:tcPr>
            <w:tcW w:w="2213" w:type="dxa"/>
          </w:tcPr>
          <w:p>
            <w:pPr>
              <w:pStyle w:val="Compact"/>
              <w:spacing w:after="40"/>
              <w:jc w:val="left"/>
            </w:pPr>
            <w:r>
              <w:rPr>
                <w:sz w:val="18"/>
              </w:rPr>
              <w:t xml:space="preserve">3</w:t>
            </w:r>
          </w:p>
        </w:tc>
        <w:tc>
          <w:tcPr>
            <w:tcW w:w="7425" w:type="dxa"/>
          </w:tcPr>
          <w:p>
            <w:pPr>
              <w:pStyle w:val="Compact"/>
              <w:spacing w:after="40"/>
              <w:jc w:val="left"/>
            </w:pPr>
            <w:r>
              <w:rPr>
                <w:sz w:val="18"/>
              </w:rPr>
              <w:t xml:space="preserve">Other employees’ dues for 12 months</w:t>
            </w:r>
          </w:p>
        </w:tc>
      </w:tr>
      <w:tr>
        <w:tc>
          <w:tcPr>
            <w:tcW w:w="2213" w:type="dxa"/>
          </w:tcPr>
          <w:p>
            <w:pPr>
              <w:pStyle w:val="Compact"/>
              <w:spacing w:after="40"/>
              <w:jc w:val="left"/>
            </w:pPr>
            <w:r>
              <w:rPr>
                <w:sz w:val="18"/>
              </w:rPr>
              <w:t xml:space="preserve">4</w:t>
            </w:r>
          </w:p>
        </w:tc>
        <w:tc>
          <w:tcPr>
            <w:tcW w:w="7425" w:type="dxa"/>
          </w:tcPr>
          <w:p>
            <w:pPr>
              <w:pStyle w:val="Compact"/>
              <w:spacing w:after="40"/>
              <w:jc w:val="left"/>
            </w:pPr>
            <w:r>
              <w:rPr>
                <w:sz w:val="18"/>
              </w:rPr>
              <w:t xml:space="preserve">Financial debts of unsecured creditors</w:t>
            </w:r>
          </w:p>
        </w:tc>
      </w:tr>
      <w:tr>
        <w:tc>
          <w:tcPr>
            <w:tcW w:w="2213" w:type="dxa"/>
          </w:tcPr>
          <w:p>
            <w:pPr>
              <w:pStyle w:val="Compact"/>
              <w:spacing w:after="40"/>
              <w:jc w:val="left"/>
            </w:pPr>
            <w:r>
              <w:rPr>
                <w:sz w:val="18"/>
              </w:rPr>
              <w:t xml:space="preserve">5</w:t>
            </w:r>
          </w:p>
        </w:tc>
        <w:tc>
          <w:tcPr>
            <w:tcW w:w="7425" w:type="dxa"/>
          </w:tcPr>
          <w:p>
            <w:pPr>
              <w:pStyle w:val="Compact"/>
              <w:spacing w:after="40"/>
              <w:jc w:val="left"/>
            </w:pPr>
            <w:r>
              <w:rPr>
                <w:sz w:val="18"/>
              </w:rPr>
              <w:t xml:space="preserve">Government dues for 2 years (no secured priority), pari passu with secured creditors’ unpaid amounts after enforcement</w:t>
            </w:r>
          </w:p>
        </w:tc>
      </w:tr>
      <w:tr>
        <w:tc>
          <w:tcPr>
            <w:tcW w:w="2213" w:type="dxa"/>
          </w:tcPr>
          <w:p>
            <w:pPr>
              <w:pStyle w:val="Compact"/>
              <w:spacing w:after="40"/>
              <w:jc w:val="left"/>
            </w:pPr>
            <w:r>
              <w:rPr>
                <w:sz w:val="18"/>
              </w:rPr>
              <w:t xml:space="preserve">6</w:t>
            </w:r>
          </w:p>
        </w:tc>
        <w:tc>
          <w:tcPr>
            <w:tcW w:w="7425" w:type="dxa"/>
          </w:tcPr>
          <w:p>
            <w:pPr>
              <w:pStyle w:val="Compact"/>
              <w:spacing w:after="40"/>
              <w:jc w:val="left"/>
            </w:pPr>
            <w:r>
              <w:rPr>
                <w:sz w:val="18"/>
              </w:rPr>
              <w:t xml:space="preserve">Remaining debts</w:t>
            </w:r>
          </w:p>
        </w:tc>
      </w:tr>
      <w:tr>
        <w:tc>
          <w:tcPr>
            <w:tcW w:w="2213" w:type="dxa"/>
          </w:tcPr>
          <w:p>
            <w:pPr>
              <w:pStyle w:val="Compact"/>
              <w:spacing w:after="40"/>
              <w:jc w:val="left"/>
            </w:pPr>
            <w:r>
              <w:rPr>
                <w:sz w:val="18"/>
              </w:rPr>
              <w:t xml:space="preserve">7</w:t>
            </w:r>
          </w:p>
        </w:tc>
        <w:tc>
          <w:tcPr>
            <w:tcW w:w="7425" w:type="dxa"/>
          </w:tcPr>
          <w:p>
            <w:pPr>
              <w:pStyle w:val="Compact"/>
              <w:spacing w:after="40"/>
              <w:jc w:val="left"/>
            </w:pPr>
            <w:r>
              <w:rPr>
                <w:sz w:val="18"/>
              </w:rPr>
              <w:t xml:space="preserve">Preference shareholders</w:t>
            </w:r>
          </w:p>
        </w:tc>
      </w:tr>
      <w:tr>
        <w:tc>
          <w:tcPr>
            <w:tcW w:w="2213" w:type="dxa"/>
          </w:tcPr>
          <w:p>
            <w:pPr>
              <w:pStyle w:val="Compact"/>
              <w:spacing w:after="40"/>
              <w:jc w:val="left"/>
            </w:pPr>
            <w:r>
              <w:rPr>
                <w:sz w:val="18"/>
              </w:rPr>
              <w:t xml:space="preserve">8</w:t>
            </w:r>
          </w:p>
        </w:tc>
        <w:tc>
          <w:tcPr>
            <w:tcW w:w="7425" w:type="dxa"/>
          </w:tcPr>
          <w:p>
            <w:pPr>
              <w:pStyle w:val="Compact"/>
              <w:spacing w:after="40"/>
              <w:jc w:val="left"/>
            </w:pPr>
            <w:r>
              <w:rPr>
                <w:sz w:val="18"/>
              </w:rPr>
              <w:t xml:space="preserve">Equity shareholders or partners</w:t>
            </w:r>
          </w:p>
        </w:tc>
      </w:tr>
    </w:tbl>
    <w:p>
      <w:pPr>
        <w:pStyle w:val="BodyText"/>
      </w:pPr>
      <w:r>
        <w:t xml:space="preserve">The calculator estimates recovery and reconciles each distribution. Liquidation auctions are on BAANKNET for notices from 1 Apr 2025 (IBBI circulars); where the tenant realises its own security under s.52, R10 runs the sale and R6 records the distribution and any shortfall claim.</w:t>
      </w:r>
    </w:p>
    <w:bookmarkEnd w:id="149"/>
    <w:bookmarkStart w:id="150" w:name="r6.6-ppirp-for-msme-corporate-debtors"/>
    <w:p>
      <w:pPr>
        <w:pStyle w:val="Heading3"/>
      </w:pPr>
      <w:r>
        <w:t xml:space="preserve">R6.6 PPIRP for MSME corporate debtors</w:t>
      </w:r>
    </w:p>
    <w:p>
      <w:pPr>
        <w:pStyle w:val="FirstParagraph"/>
      </w:pPr>
      <w:r>
        <w:t xml:space="preserve">Record MSME status, default ≥ ₹10 lakh, the tenant’s share, its approval under the 51% threshold of unrelated financial creditors (s.54A(2)(e)), base-plan terms, the 120-day clock (plan within 90 days), the s.54E moratorium and any conversion to CIRP.</w:t>
      </w:r>
    </w:p>
    <w:bookmarkEnd w:id="150"/>
    <w:bookmarkStart w:id="151" w:name="r6.7-moratorium-propagation"/>
    <w:p>
      <w:pPr>
        <w:pStyle w:val="Heading3"/>
      </w:pPr>
      <w:r>
        <w:t xml:space="preserve">R6.7 Moratorium propagation</w:t>
      </w:r>
    </w:p>
    <w:p>
      <w:pPr>
        <w:pStyle w:val="FirstParagraph"/>
      </w:pPr>
      <w:r>
        <w:t xml:space="preserve">The NCLT cause-list watcher matches borrower, guarantor and group CINs each morning; a hit raises</w:t>
      </w:r>
      <w:r>
        <w:t xml:space="preserve"> </w:t>
      </w:r>
      <w:r>
        <w:rPr>
          <w:rStyle w:val="VerbatimChar"/>
        </w:rPr>
        <w:t xml:space="preserve">RiskSignalRaised</w:t>
      </w:r>
      <w:r>
        <w:t xml:space="preserve">; an admission order updates every track at the next COB.</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52"/>
        <w:gridCol w:w="2474"/>
        <w:gridCol w:w="3336"/>
        <w:gridCol w:w="2476"/>
      </w:tblGrid>
      <w:tr>
        <w:trPr>
          <w:tblHeader w:val="true"/>
          <w:tblHeader w:val="true"/>
        </w:trPr>
        <w:tc>
          <w:tcPr>
            <w:tcW w:w="1352" w:type="dxa"/>
            <w:shd w:val="clear" w:color="auto" w:fill="1F3A5F"/>
          </w:tcPr>
          <w:p>
            <w:pPr>
              <w:pStyle w:val="Compact"/>
              <w:spacing w:after="40"/>
              <w:jc w:val="left"/>
            </w:pPr>
            <w:r>
              <w:rPr>
                <w:b/>
                <w:color w:val="FFFFFF"/>
                <w:sz w:val="18"/>
              </w:rPr>
              <w:t xml:space="preserve">Event</w:t>
            </w:r>
          </w:p>
        </w:tc>
        <w:tc>
          <w:tcPr>
            <w:tcW w:w="2474" w:type="dxa"/>
            <w:shd w:val="clear" w:color="auto" w:fill="1F3A5F"/>
          </w:tcPr>
          <w:p>
            <w:pPr>
              <w:pStyle w:val="Compact"/>
              <w:spacing w:after="40"/>
              <w:jc w:val="left"/>
            </w:pPr>
            <w:r>
              <w:rPr>
                <w:b/>
                <w:color w:val="FFFFFF"/>
                <w:sz w:val="18"/>
              </w:rPr>
              <w:t xml:space="preserve">Frozen</w:t>
            </w:r>
          </w:p>
        </w:tc>
        <w:tc>
          <w:tcPr>
            <w:tcW w:w="3336" w:type="dxa"/>
            <w:shd w:val="clear" w:color="auto" w:fill="1F3A5F"/>
          </w:tcPr>
          <w:p>
            <w:pPr>
              <w:pStyle w:val="Compact"/>
              <w:spacing w:after="40"/>
              <w:jc w:val="left"/>
            </w:pPr>
            <w:r>
              <w:rPr>
                <w:b/>
                <w:color w:val="FFFFFF"/>
                <w:sz w:val="18"/>
              </w:rPr>
              <w:t xml:space="preserve">Continues</w:t>
            </w:r>
          </w:p>
        </w:tc>
        <w:tc>
          <w:tcPr>
            <w:tcW w:w="2476" w:type="dxa"/>
            <w:shd w:val="clear" w:color="auto" w:fill="1F3A5F"/>
          </w:tcPr>
          <w:p>
            <w:pPr>
              <w:pStyle w:val="Compact"/>
              <w:spacing w:after="40"/>
              <w:jc w:val="left"/>
            </w:pPr>
            <w:r>
              <w:rPr>
                <w:b/>
                <w:color w:val="FFFFFF"/>
                <w:sz w:val="18"/>
              </w:rPr>
              <w:t xml:space="preserve">Basis</w:t>
            </w:r>
          </w:p>
        </w:tc>
      </w:tr>
      <w:tr>
        <w:tc>
          <w:tcPr>
            <w:tcW w:w="1352" w:type="dxa"/>
          </w:tcPr>
          <w:p>
            <w:pPr>
              <w:pStyle w:val="Compact"/>
              <w:spacing w:after="40"/>
              <w:jc w:val="left"/>
            </w:pPr>
            <w:r>
              <w:rPr>
                <w:sz w:val="18"/>
              </w:rPr>
              <w:t xml:space="preserve">Application pending</w:t>
            </w:r>
          </w:p>
        </w:tc>
        <w:tc>
          <w:tcPr>
            <w:tcW w:w="2474" w:type="dxa"/>
          </w:tcPr>
          <w:p>
            <w:pPr>
              <w:pStyle w:val="Compact"/>
              <w:spacing w:after="40"/>
              <w:jc w:val="left"/>
            </w:pPr>
            <w:r>
              <w:rPr>
                <w:sz w:val="18"/>
              </w:rPr>
              <w:t xml:space="preserve">Nothing; senior review before any SARFAESI sale step</w:t>
            </w:r>
          </w:p>
        </w:tc>
        <w:tc>
          <w:tcPr>
            <w:tcW w:w="3336" w:type="dxa"/>
          </w:tcPr>
          <w:p>
            <w:pPr>
              <w:pStyle w:val="Compact"/>
              <w:spacing w:after="40"/>
              <w:jc w:val="left"/>
            </w:pPr>
            <w:r>
              <w:rPr>
                <w:sz w:val="18"/>
              </w:rPr>
              <w:t xml:space="preserve">All, with risk flag</w:t>
            </w:r>
          </w:p>
        </w:tc>
        <w:tc>
          <w:tcPr>
            <w:tcW w:w="2476" w:type="dxa"/>
          </w:tcPr>
          <w:p>
            <w:pPr>
              <w:pStyle w:val="Compact"/>
              <w:spacing w:after="40"/>
              <w:jc w:val="left"/>
            </w:pPr>
            <w:r>
              <w:rPr>
                <w:iCs/>
                <w:i/>
                <w:sz w:val="18"/>
              </w:rPr>
              <w:t xml:space="preserve">IOB v. RCM Infrastructure</w:t>
            </w:r>
            <w:r>
              <w:rPr>
                <w:sz w:val="18"/>
              </w:rPr>
              <w:t xml:space="preserve"> </w:t>
            </w:r>
            <w:r>
              <w:rPr>
                <w:sz w:val="18"/>
              </w:rPr>
              <w:t xml:space="preserve">(SC 2022): a sale not complete before the ICD fails</w:t>
            </w:r>
          </w:p>
        </w:tc>
      </w:tr>
      <w:tr>
        <w:tc>
          <w:tcPr>
            <w:tcW w:w="1352" w:type="dxa"/>
          </w:tcPr>
          <w:p>
            <w:pPr>
              <w:pStyle w:val="Compact"/>
              <w:spacing w:after="40"/>
              <w:jc w:val="left"/>
            </w:pPr>
            <w:r>
              <w:rPr>
                <w:sz w:val="18"/>
              </w:rPr>
              <w:t xml:space="preserve">CIRP admitted</w:t>
            </w:r>
          </w:p>
        </w:tc>
        <w:tc>
          <w:tcPr>
            <w:tcW w:w="2474" w:type="dxa"/>
          </w:tcPr>
          <w:p>
            <w:pPr>
              <w:pStyle w:val="Compact"/>
              <w:spacing w:after="40"/>
              <w:jc w:val="left"/>
            </w:pPr>
            <w:r>
              <w:rPr>
                <w:sz w:val="18"/>
              </w:rPr>
              <w:t xml:space="preserve">R4, R5, R8, R10 against the corporate debtor and its assets; set-off [VERIFY]</w:t>
            </w:r>
          </w:p>
        </w:tc>
        <w:tc>
          <w:tcPr>
            <w:tcW w:w="3336" w:type="dxa"/>
          </w:tcPr>
          <w:p>
            <w:pPr>
              <w:pStyle w:val="Compact"/>
              <w:spacing w:after="40"/>
              <w:jc w:val="left"/>
            </w:pPr>
            <w:r>
              <w:rPr>
                <w:sz w:val="18"/>
              </w:rPr>
              <w:t xml:space="preserve">Guarantor actions (s.14(3)(b);</w:t>
            </w:r>
            <w:r>
              <w:rPr>
                <w:sz w:val="18"/>
              </w:rPr>
              <w:t xml:space="preserve"> </w:t>
            </w:r>
            <w:r>
              <w:rPr>
                <w:iCs/>
                <w:i/>
                <w:sz w:val="18"/>
              </w:rPr>
              <w:t xml:space="preserve">SBI v. V. Ramakrishnan</w:t>
            </w:r>
            <w:r>
              <w:rPr>
                <w:sz w:val="18"/>
              </w:rPr>
              <w:t xml:space="preserve"> </w:t>
            </w:r>
            <w:r>
              <w:rPr>
                <w:sz w:val="18"/>
              </w:rPr>
              <w:t xml:space="preserve">(2018)); s.138 against directors (</w:t>
            </w:r>
            <w:r>
              <w:rPr>
                <w:iCs/>
                <w:i/>
                <w:sz w:val="18"/>
              </w:rPr>
              <w:t xml:space="preserve">P. Mohanraj v. Shah Brothers Ispat</w:t>
            </w:r>
            <w:r>
              <w:rPr>
                <w:sz w:val="18"/>
              </w:rPr>
              <w:t xml:space="preserve"> </w:t>
            </w:r>
            <w:r>
              <w:rPr>
                <w:sz w:val="18"/>
              </w:rPr>
              <w:t xml:space="preserve">(2021) 6 SCC 258)</w:t>
            </w:r>
          </w:p>
        </w:tc>
        <w:tc>
          <w:tcPr>
            <w:tcW w:w="2476" w:type="dxa"/>
          </w:tcPr>
          <w:p>
            <w:pPr>
              <w:pStyle w:val="Compact"/>
              <w:spacing w:after="40"/>
              <w:jc w:val="left"/>
            </w:pPr>
            <w:r>
              <w:rPr>
                <w:sz w:val="18"/>
              </w:rPr>
              <w:t xml:space="preserve">IBC s.14</w:t>
            </w:r>
          </w:p>
        </w:tc>
      </w:tr>
      <w:tr>
        <w:tc>
          <w:tcPr>
            <w:tcW w:w="1352" w:type="dxa"/>
          </w:tcPr>
          <w:p>
            <w:pPr>
              <w:pStyle w:val="Compact"/>
              <w:spacing w:after="40"/>
              <w:jc w:val="left"/>
            </w:pPr>
            <w:r>
              <w:rPr>
                <w:sz w:val="18"/>
              </w:rPr>
              <w:t xml:space="preserve">PPIRP commenced</w:t>
            </w:r>
          </w:p>
        </w:tc>
        <w:tc>
          <w:tcPr>
            <w:tcW w:w="2474" w:type="dxa"/>
          </w:tcPr>
          <w:p>
            <w:pPr>
              <w:pStyle w:val="Compact"/>
              <w:spacing w:after="40"/>
              <w:jc w:val="left"/>
            </w:pPr>
            <w:r>
              <w:rPr>
                <w:sz w:val="18"/>
              </w:rPr>
              <w:t xml:space="preserve">As for CIRP</w:t>
            </w:r>
          </w:p>
        </w:tc>
        <w:tc>
          <w:tcPr>
            <w:tcW w:w="3336" w:type="dxa"/>
          </w:tcPr>
          <w:p>
            <w:pPr>
              <w:pStyle w:val="Compact"/>
              <w:spacing w:after="40"/>
              <w:jc w:val="left"/>
            </w:pPr>
            <w:r>
              <w:rPr>
                <w:sz w:val="18"/>
              </w:rPr>
              <w:t xml:space="preserve">As for CIRP</w:t>
            </w:r>
          </w:p>
        </w:tc>
        <w:tc>
          <w:tcPr>
            <w:tcW w:w="2476" w:type="dxa"/>
          </w:tcPr>
          <w:p>
            <w:pPr>
              <w:pStyle w:val="Compact"/>
              <w:spacing w:after="40"/>
              <w:jc w:val="left"/>
            </w:pPr>
            <w:r>
              <w:rPr>
                <w:sz w:val="18"/>
              </w:rPr>
              <w:t xml:space="preserve">s.54E</w:t>
            </w:r>
          </w:p>
        </w:tc>
      </w:tr>
      <w:tr>
        <w:tc>
          <w:tcPr>
            <w:tcW w:w="1352" w:type="dxa"/>
          </w:tcPr>
          <w:p>
            <w:pPr>
              <w:pStyle w:val="Compact"/>
              <w:spacing w:after="40"/>
              <w:jc w:val="left"/>
            </w:pPr>
            <w:r>
              <w:rPr>
                <w:sz w:val="18"/>
              </w:rPr>
              <w:t xml:space="preserve">PG application filed</w:t>
            </w:r>
          </w:p>
        </w:tc>
        <w:tc>
          <w:tcPr>
            <w:tcW w:w="2474" w:type="dxa"/>
          </w:tcPr>
          <w:p>
            <w:pPr>
              <w:pStyle w:val="Compact"/>
              <w:spacing w:after="40"/>
              <w:jc w:val="left"/>
            </w:pPr>
            <w:r>
              <w:rPr>
                <w:sz w:val="18"/>
              </w:rPr>
              <w:t xml:space="preserve">Nothing</w:t>
            </w:r>
          </w:p>
        </w:tc>
        <w:tc>
          <w:tcPr>
            <w:tcW w:w="3336" w:type="dxa"/>
          </w:tcPr>
          <w:p>
            <w:pPr>
              <w:pStyle w:val="Compact"/>
              <w:spacing w:after="40"/>
              <w:jc w:val="left"/>
            </w:pPr>
            <w:r>
              <w:rPr>
                <w:sz w:val="18"/>
              </w:rPr>
              <w:t xml:space="preserve">All</w:t>
            </w:r>
          </w:p>
        </w:tc>
        <w:tc>
          <w:tcPr>
            <w:tcW w:w="2476" w:type="dxa"/>
          </w:tcPr>
          <w:p>
            <w:pPr>
              <w:pStyle w:val="Compact"/>
              <w:spacing w:after="40"/>
              <w:jc w:val="left"/>
            </w:pPr>
            <w:r>
              <w:rPr>
                <w:sz w:val="18"/>
              </w:rPr>
              <w:t xml:space="preserve">s.96(4)</w:t>
            </w:r>
          </w:p>
        </w:tc>
      </w:tr>
      <w:tr>
        <w:tc>
          <w:tcPr>
            <w:tcW w:w="1352" w:type="dxa"/>
          </w:tcPr>
          <w:p>
            <w:pPr>
              <w:pStyle w:val="Compact"/>
              <w:spacing w:after="40"/>
              <w:jc w:val="left"/>
            </w:pPr>
            <w:r>
              <w:rPr>
                <w:sz w:val="18"/>
              </w:rPr>
              <w:t xml:space="preserve">PG application admitted</w:t>
            </w:r>
          </w:p>
        </w:tc>
        <w:tc>
          <w:tcPr>
            <w:tcW w:w="2474" w:type="dxa"/>
          </w:tcPr>
          <w:p>
            <w:pPr>
              <w:pStyle w:val="Compact"/>
              <w:spacing w:after="40"/>
              <w:jc w:val="left"/>
            </w:pPr>
            <w:r>
              <w:rPr>
                <w:sz w:val="18"/>
              </w:rPr>
              <w:t xml:space="preserve">All actions on that guarantor’s debts</w:t>
            </w:r>
          </w:p>
        </w:tc>
        <w:tc>
          <w:tcPr>
            <w:tcW w:w="3336" w:type="dxa"/>
          </w:tcPr>
          <w:p>
            <w:pPr>
              <w:pStyle w:val="Compact"/>
              <w:spacing w:after="40"/>
              <w:jc w:val="left"/>
            </w:pPr>
            <w:r>
              <w:rPr>
                <w:sz w:val="18"/>
              </w:rPr>
              <w:t xml:space="preserve">Actions against others</w:t>
            </w:r>
          </w:p>
        </w:tc>
        <w:tc>
          <w:tcPr>
            <w:tcW w:w="2476" w:type="dxa"/>
          </w:tcPr>
          <w:p>
            <w:pPr>
              <w:pStyle w:val="Compact"/>
              <w:spacing w:after="40"/>
              <w:jc w:val="left"/>
            </w:pPr>
            <w:r>
              <w:rPr>
                <w:sz w:val="18"/>
              </w:rPr>
              <w:t xml:space="preserve">s.101</w:t>
            </w:r>
          </w:p>
        </w:tc>
      </w:tr>
      <w:tr>
        <w:tc>
          <w:tcPr>
            <w:tcW w:w="1352" w:type="dxa"/>
          </w:tcPr>
          <w:p>
            <w:pPr>
              <w:pStyle w:val="Compact"/>
              <w:spacing w:after="40"/>
              <w:jc w:val="left"/>
            </w:pPr>
            <w:r>
              <w:rPr>
                <w:sz w:val="18"/>
              </w:rPr>
              <w:t xml:space="preserve">Liquidation order</w:t>
            </w:r>
          </w:p>
        </w:tc>
        <w:tc>
          <w:tcPr>
            <w:tcW w:w="2474" w:type="dxa"/>
          </w:tcPr>
          <w:p>
            <w:pPr>
              <w:pStyle w:val="Compact"/>
              <w:spacing w:after="40"/>
              <w:jc w:val="left"/>
            </w:pPr>
            <w:r>
              <w:rPr>
                <w:sz w:val="18"/>
              </w:rPr>
              <w:t xml:space="preserve">Suits against the debtor without NCLT leave</w:t>
            </w:r>
          </w:p>
        </w:tc>
        <w:tc>
          <w:tcPr>
            <w:tcW w:w="3336" w:type="dxa"/>
          </w:tcPr>
          <w:p>
            <w:pPr>
              <w:pStyle w:val="Compact"/>
              <w:spacing w:after="40"/>
              <w:jc w:val="left"/>
            </w:pPr>
            <w:r>
              <w:rPr>
                <w:sz w:val="18"/>
              </w:rPr>
              <w:t xml:space="preserve">s.52 realisation</w:t>
            </w:r>
          </w:p>
        </w:tc>
        <w:tc>
          <w:tcPr>
            <w:tcW w:w="2476" w:type="dxa"/>
          </w:tcPr>
          <w:p>
            <w:pPr>
              <w:pStyle w:val="Compact"/>
              <w:spacing w:after="40"/>
              <w:jc w:val="left"/>
            </w:pPr>
            <w:r>
              <w:rPr>
                <w:sz w:val="18"/>
              </w:rPr>
              <w:t xml:space="preserve">ss.33(5), 52</w:t>
            </w:r>
          </w:p>
        </w:tc>
      </w:tr>
      <w:tr>
        <w:tc>
          <w:tcPr>
            <w:tcW w:w="1352" w:type="dxa"/>
          </w:tcPr>
          <w:p>
            <w:pPr>
              <w:pStyle w:val="Compact"/>
              <w:spacing w:after="40"/>
              <w:jc w:val="left"/>
            </w:pPr>
            <w:r>
              <w:rPr>
                <w:sz w:val="18"/>
              </w:rPr>
              <w:t xml:space="preserve">Plan approved</w:t>
            </w:r>
          </w:p>
        </w:tc>
        <w:tc>
          <w:tcPr>
            <w:tcW w:w="2474" w:type="dxa"/>
          </w:tcPr>
          <w:p>
            <w:pPr>
              <w:pStyle w:val="Compact"/>
              <w:spacing w:after="40"/>
              <w:jc w:val="left"/>
            </w:pPr>
            <w:r>
              <w:rPr>
                <w:sz w:val="18"/>
              </w:rPr>
              <w:t xml:space="preserve">Claims beyond the plan</w:t>
            </w:r>
          </w:p>
        </w:tc>
        <w:tc>
          <w:tcPr>
            <w:tcW w:w="3336" w:type="dxa"/>
          </w:tcPr>
          <w:p>
            <w:pPr>
              <w:pStyle w:val="Compact"/>
              <w:spacing w:after="40"/>
              <w:jc w:val="left"/>
            </w:pPr>
            <w:r>
              <w:rPr>
                <w:sz w:val="18"/>
              </w:rPr>
              <w:t xml:space="preserve">Guarantors</w:t>
            </w:r>
          </w:p>
        </w:tc>
        <w:tc>
          <w:tcPr>
            <w:tcW w:w="2476" w:type="dxa"/>
          </w:tcPr>
          <w:p>
            <w:pPr>
              <w:pStyle w:val="Compact"/>
              <w:spacing w:after="40"/>
              <w:jc w:val="left"/>
            </w:pPr>
            <w:r>
              <w:rPr>
                <w:iCs/>
                <w:i/>
                <w:sz w:val="18"/>
              </w:rPr>
              <w:t xml:space="preserve">Ghanshyam Mishra</w:t>
            </w:r>
            <w:r>
              <w:rPr>
                <w:sz w:val="18"/>
              </w:rPr>
              <w:t xml:space="preserve">;</w:t>
            </w:r>
            <w:r>
              <w:rPr>
                <w:sz w:val="18"/>
              </w:rPr>
              <w:t xml:space="preserve"> </w:t>
            </w:r>
            <w:r>
              <w:rPr>
                <w:iCs/>
                <w:i/>
                <w:sz w:val="18"/>
              </w:rPr>
              <w:t xml:space="preserve">Lalit Kumar Jain</w:t>
            </w:r>
          </w:p>
        </w:tc>
      </w:tr>
    </w:tbl>
    <w:p>
      <w:pPr>
        <w:pStyle w:val="BodyText"/>
      </w:pPr>
      <w:r>
        <w:rPr>
          <w:bCs/>
          <w:b/>
        </w:rPr>
        <w:t xml:space="preserve">Accounting.</w:t>
      </w:r>
      <w:r>
        <w:t xml:space="preserve"> </w:t>
      </w:r>
      <w:r>
        <w:t xml:space="preserve">Plan proceeds, instruments and distributions post through R12 row 25 (instruments under RSA paras 139–156 and Ind AS 109; deferred consideration per policy [VERIFY: auditor sign-off]); admitted cases are reported to CICs as suit-filed (CIR para 12(7)).</w:t>
      </w:r>
    </w:p>
    <w:p>
      <w:pPr>
        <w:pStyle w:val="BodyText"/>
      </w:pPr>
      <w:r>
        <w:rPr>
          <w:bCs/>
          <w:b/>
        </w:rPr>
        <w:t xml:space="preserve">Controls.</w:t>
      </w:r>
      <w:r>
        <w:t xml:space="preserve"> </w:t>
      </w:r>
      <w:r>
        <w:t xml:space="preserve">Filing by a Board-delegated officer; IU record authenticated before filing; confidentiality undertakings for CoC papers; votes cast only by the authorised representative; cause-list hits acknowledged within one business day.</w:t>
      </w:r>
    </w:p>
    <w:p>
      <w:pPr>
        <w:pStyle w:val="BodyText"/>
      </w:pPr>
      <w:r>
        <w:rPr>
          <w:bCs/>
          <w:b/>
        </w:rPr>
        <w:t xml:space="preserve">Data captured.</w:t>
      </w:r>
      <w:r>
        <w:t xml:space="preserve"> </w:t>
      </w:r>
      <w:r>
        <w:rPr>
          <w:rStyle w:val="VerbatimChar"/>
        </w:rPr>
        <w:t xml:space="preserve">ibc_proceeding</w:t>
      </w:r>
      <w:r>
        <w:t xml:space="preserve">,</w:t>
      </w:r>
      <w:r>
        <w:t xml:space="preserve"> </w:t>
      </w:r>
      <w:r>
        <w:rPr>
          <w:rStyle w:val="VerbatimChar"/>
        </w:rPr>
        <w:t xml:space="preserve">iu_record</w:t>
      </w:r>
      <w:r>
        <w:t xml:space="preserve">,</w:t>
      </w:r>
      <w:r>
        <w:t xml:space="preserve"> </w:t>
      </w:r>
      <w:r>
        <w:rPr>
          <w:rStyle w:val="VerbatimChar"/>
        </w:rPr>
        <w:t xml:space="preserve">ibc_claim</w:t>
      </w:r>
      <w:r>
        <w:t xml:space="preserve"> </w:t>
      </w:r>
      <w:r>
        <w:t xml:space="preserve">(versions),</w:t>
      </w:r>
      <w:r>
        <w:t xml:space="preserve"> </w:t>
      </w:r>
      <w:r>
        <w:rPr>
          <w:rStyle w:val="VerbatimChar"/>
        </w:rPr>
        <w:t xml:space="preserve">coc_meeting</w:t>
      </w:r>
      <w:r>
        <w:t xml:space="preserve">,</w:t>
      </w:r>
      <w:r>
        <w:t xml:space="preserve"> </w:t>
      </w:r>
      <w:r>
        <w:rPr>
          <w:rStyle w:val="VerbatimChar"/>
        </w:rPr>
        <w:t xml:space="preserve">coc_vote</w:t>
      </w:r>
      <w:r>
        <w:t xml:space="preserve">,</w:t>
      </w:r>
      <w:r>
        <w:t xml:space="preserve"> </w:t>
      </w:r>
      <w:r>
        <w:rPr>
          <w:rStyle w:val="VerbatimChar"/>
        </w:rPr>
        <w:t xml:space="preserve">ibc_resolution_plan</w:t>
      </w:r>
      <w:r>
        <w:t xml:space="preserve">,</w:t>
      </w:r>
      <w:r>
        <w:t xml:space="preserve"> </w:t>
      </w:r>
      <w:r>
        <w:rPr>
          <w:rStyle w:val="VerbatimChar"/>
        </w:rPr>
        <w:t xml:space="preserve">s52_election</w:t>
      </w:r>
      <w:r>
        <w:t xml:space="preserve">,</w:t>
      </w:r>
      <w:r>
        <w:t xml:space="preserve"> </w:t>
      </w:r>
      <w:r>
        <w:rPr>
          <w:rStyle w:val="VerbatimChar"/>
        </w:rPr>
        <w:t xml:space="preserve">liquidation_distribution</w:t>
      </w:r>
      <w:r>
        <w:t xml:space="preserve">,</w:t>
      </w:r>
      <w:r>
        <w:t xml:space="preserve"> </w:t>
      </w:r>
      <w:r>
        <w:rPr>
          <w:rStyle w:val="VerbatimChar"/>
        </w:rPr>
        <w:t xml:space="preserve">moratorium_order</w:t>
      </w:r>
      <w:r>
        <w:t xml:space="preserve">,</w:t>
      </w:r>
      <w:r>
        <w:t xml:space="preserve"> </w:t>
      </w:r>
      <w:r>
        <w:rPr>
          <w:rStyle w:val="VerbatimChar"/>
        </w:rPr>
        <w:t xml:space="preserve">cause_list_hit</w:t>
      </w:r>
      <w:r>
        <w:t xml:space="preserve">.</w:t>
      </w:r>
    </w:p>
    <w:p>
      <w:pPr>
        <w:pStyle w:val="BodyText"/>
      </w:pPr>
      <w:r>
        <w:rPr>
          <w:bCs/>
          <w:b/>
        </w:rPr>
        <w:t xml:space="preserve">Configuration.</w:t>
      </w:r>
      <w:r>
        <w:t xml:space="preserve"> </w:t>
      </w:r>
      <w:r>
        <w:t xml:space="preserve">NCLT bench master [VERIFY: bench jurisdiction map — Chandigarh bench for Punjab, Haryana, HP, J&amp;K and Ladakh; Uttarakhand to Allahabad; no Pune or Aurangabad bench]; CoC DoA; claim-update triggers; recovery-estimate models.</w:t>
      </w:r>
    </w:p>
    <w:p>
      <w:pPr>
        <w:pStyle w:val="BodyText"/>
      </w:pPr>
      <w:r>
        <w:rPr>
          <w:bCs/>
          <w:b/>
        </w:rPr>
        <w:t xml:space="preserve">Events.</w:t>
      </w:r>
      <w:r>
        <w:t xml:space="preserve"> </w:t>
      </w:r>
      <w:r>
        <w:rPr>
          <w:rStyle w:val="VerbatimChar"/>
        </w:rPr>
        <w:t xml:space="preserve">LitigationCaseOpened</w:t>
      </w:r>
      <w:r>
        <w:t xml:space="preserve"> </w:t>
      </w:r>
      <w:r>
        <w:t xml:space="preserve">(</w:t>
      </w:r>
      <w:r>
        <w:rPr>
          <w:rStyle w:val="VerbatimChar"/>
        </w:rPr>
        <w:t xml:space="preserve">IBC_S7</w:t>
      </w:r>
      <w:r>
        <w:t xml:space="preserve">,</w:t>
      </w:r>
      <w:r>
        <w:t xml:space="preserve"> </w:t>
      </w:r>
      <w:r>
        <w:rPr>
          <w:rStyle w:val="VerbatimChar"/>
        </w:rPr>
        <w:t xml:space="preserve">IBC_S95</w:t>
      </w:r>
      <w:r>
        <w:t xml:space="preserve">,</w:t>
      </w:r>
      <w:r>
        <w:t xml:space="preserve"> </w:t>
      </w:r>
      <w:r>
        <w:rPr>
          <w:rStyle w:val="VerbatimChar"/>
        </w:rPr>
        <w:t xml:space="preserve">CIRP_CLAIM</w:t>
      </w:r>
      <w:r>
        <w:t xml:space="preserve">,</w:t>
      </w:r>
      <w:r>
        <w:t xml:space="preserve"> </w:t>
      </w:r>
      <w:r>
        <w:rPr>
          <w:rStyle w:val="VerbatimChar"/>
        </w:rPr>
        <w:t xml:space="preserve">LIQUIDATION_CLAIM</w:t>
      </w:r>
      <w:r>
        <w:t xml:space="preserve">,</w:t>
      </w:r>
      <w:r>
        <w:t xml:space="preserve"> </w:t>
      </w:r>
      <w:r>
        <w:rPr>
          <w:rStyle w:val="VerbatimChar"/>
        </w:rPr>
        <w:t xml:space="preserve">PPIRP</w:t>
      </w:r>
      <w:r>
        <w:t xml:space="preserve">),</w:t>
      </w:r>
      <w:r>
        <w:t xml:space="preserve"> </w:t>
      </w:r>
      <w:r>
        <w:rPr>
          <w:rStyle w:val="VerbatimChar"/>
        </w:rPr>
        <w:t xml:space="preserve">HearingScheduled</w:t>
      </w:r>
      <w:r>
        <w:t xml:space="preserve">,</w:t>
      </w:r>
      <w:r>
        <w:t xml:space="preserve"> </w:t>
      </w:r>
      <w:r>
        <w:rPr>
          <w:rStyle w:val="VerbatimChar"/>
        </w:rPr>
        <w:t xml:space="preserve">OrderRecorded</w:t>
      </w:r>
      <w:r>
        <w:t xml:space="preserve"> </w:t>
      </w:r>
      <w:r>
        <w:t xml:space="preserve">(admission, moratorium, plan, liquidation),</w:t>
      </w:r>
      <w:r>
        <w:t xml:space="preserve"> </w:t>
      </w:r>
      <w:r>
        <w:rPr>
          <w:rStyle w:val="VerbatimChar"/>
        </w:rPr>
        <w:t xml:space="preserve">LitigationCaseUpdated</w:t>
      </w:r>
      <w:r>
        <w:t xml:space="preserve"> </w:t>
      </w:r>
      <w:r>
        <w:t xml:space="preserve">(claim admitted, vote cast),</w:t>
      </w:r>
      <w:r>
        <w:t xml:space="preserve"> </w:t>
      </w:r>
      <w:r>
        <w:rPr>
          <w:rStyle w:val="VerbatimChar"/>
        </w:rPr>
        <w:t xml:space="preserve">RiskSignalRaised</w:t>
      </w:r>
      <w:r>
        <w:t xml:space="preserve">,</w:t>
      </w:r>
      <w:r>
        <w:t xml:space="preserve"> </w:t>
      </w:r>
      <w:r>
        <w:rPr>
          <w:rStyle w:val="VerbatimChar"/>
        </w:rPr>
        <w:t xml:space="preserve">RecoveryStrategyChanged</w:t>
      </w:r>
      <w:r>
        <w:t xml:space="preserve"> </w:t>
      </w:r>
      <w:r>
        <w:t xml:space="preserve">(freeze or release),</w:t>
      </w:r>
      <w:r>
        <w:t xml:space="preserve"> </w:t>
      </w:r>
      <w:r>
        <w:rPr>
          <w:rStyle w:val="VerbatimChar"/>
        </w:rPr>
        <w:t xml:space="preserve">AuctionScheduled</w:t>
      </w:r>
      <w:r>
        <w:t xml:space="preserve">,</w:t>
      </w:r>
      <w:r>
        <w:t xml:space="preserve"> </w:t>
      </w:r>
      <w:r>
        <w:rPr>
          <w:rStyle w:val="VerbatimChar"/>
        </w:rPr>
        <w:t xml:space="preserve">AuctionConcluded</w:t>
      </w:r>
      <w:r>
        <w:t xml:space="preserve">,</w:t>
      </w:r>
      <w:r>
        <w:t xml:space="preserve"> </w:t>
      </w:r>
      <w:r>
        <w:rPr>
          <w:rStyle w:val="VerbatimChar"/>
        </w:rPr>
        <w:t xml:space="preserve">RecoveryReceiptPosted</w:t>
      </w:r>
      <w:r>
        <w:t xml:space="preserve">,</w:t>
      </w:r>
      <w:r>
        <w:t xml:space="preserve"> </w:t>
      </w:r>
      <w:r>
        <w:rPr>
          <w:rStyle w:val="VerbatimChar"/>
        </w:rPr>
        <w:t xml:space="preserve">LitigationCaseClosed</w:t>
      </w:r>
      <w:r>
        <w:t xml:space="preserve">.</w:t>
      </w:r>
    </w:p>
    <w:p>
      <w:pPr>
        <w:pStyle w:val="BodyText"/>
      </w:pPr>
      <w:r>
        <w:rPr>
          <w:bCs/>
          <w:b/>
        </w:rPr>
        <w:t xml:space="preserve">Tests (R6).</w:t>
      </w:r>
      <w:r>
        <w:t xml:space="preserve"> </w:t>
      </w:r>
      <w:r>
        <w:t xml:space="preserve">1. Default ₹90 lakh, or a corporate debtor that is an NBFC → s.7 blocked.</w:t>
      </w:r>
      <w:r>
        <w:t xml:space="preserve"> </w:t>
      </w:r>
      <w:r>
        <w:t xml:space="preserve">2. Default 3 Feb 2023 with a balance-sheet acknowledgment signed 30 Jun 2024 → limitation 30 Jun 2027 [interpretation:</w:t>
      </w:r>
      <w:r>
        <w:t xml:space="preserve"> </w:t>
      </w:r>
      <w:r>
        <w:rPr>
          <w:iCs/>
          <w:i/>
        </w:rPr>
        <w:t xml:space="preserve">Bishal Jaiswal</w:t>
      </w:r>
      <w:r>
        <w:t xml:space="preserve">].</w:t>
      </w:r>
      <w:r>
        <w:t xml:space="preserve"> </w:t>
      </w:r>
      <w:r>
        <w:t xml:space="preserve">3. Filed 1 Feb 2027 → admission target 15 Feb 2027; escalation 11 Feb; overdue flag 16 Feb.</w:t>
      </w:r>
      <w:r>
        <w:t xml:space="preserve"> </w:t>
      </w:r>
      <w:r>
        <w:t xml:space="preserve">4. IRP appointed 10 Mar 2027 → claim due 24 Mar 2027; a claim on 20 Jun 2027 with the RFRP issued 15 Jul 2027 → accepted as late with reasons.</w:t>
      </w:r>
      <w:r>
        <w:t xml:space="preserve"> </w:t>
      </w:r>
      <w:r>
        <w:t xml:space="preserve">5. CIRP admitted → R4, R5 and R8 actions against the debtor frozen at the next COB; the s.138 matter against two directors stays active.</w:t>
      </w:r>
      <w:r>
        <w:t xml:space="preserve"> </w:t>
      </w:r>
      <w:r>
        <w:t xml:space="preserve">6. PG s.95 filed → no freeze; admitted → all actions against that guarantor frozen.</w:t>
      </w:r>
      <w:r>
        <w:t xml:space="preserve"> </w:t>
      </w:r>
      <w:r>
        <w:t xml:space="preserve">7. A CIIRP workflow request → rejected:</w:t>
      </w:r>
      <w:r>
        <w:t xml:space="preserve"> </w:t>
      </w:r>
      <w:r>
        <w:t xml:space="preserve">“</w:t>
      </w:r>
      <w:r>
        <w:t xml:space="preserve">provision not in force</w:t>
      </w:r>
      <w:r>
        <w:t xml:space="preserve">”</w:t>
      </w:r>
      <w:r>
        <w:t xml:space="preserve">.</w:t>
      </w:r>
    </w:p>
    <w:p>
      <w:r>
        <w:pict>
          <v:rect style="width:0;height:1.5pt" o:hralign="center" o:hrstd="t" o:hr="t"/>
        </w:pict>
      </w:r>
    </w:p>
    <w:bookmarkEnd w:id="151"/>
    <w:bookmarkEnd w:id="152"/>
    <w:bookmarkStart w:id="158" w:name="X2602510fae8d1d5436c7d9b5000428ab146802a"/>
    <w:p>
      <w:pPr>
        <w:pStyle w:val="Heading2"/>
      </w:pPr>
      <w:r>
        <w:t xml:space="preserve">R7. Cheque and mandate dishonour (s.138 NI Act; s.25 PSS Act)</w:t>
      </w:r>
    </w:p>
    <w:p>
      <w:pPr>
        <w:pStyle w:val="FirstParagraph"/>
      </w:pPr>
      <w:r>
        <w:rPr>
          <w:bCs/>
          <w:b/>
        </w:rPr>
        <w:t xml:space="preserve">Purpose.</w:t>
      </w:r>
      <w:r>
        <w:t xml:space="preserve"> </w:t>
      </w:r>
      <w:r>
        <w:t xml:space="preserve">Turn every qualifying cheque or e-mandate dishonour into a time-compliant notice and, where policy allows, a complaint, with an evidence pack drawn from M7 and communications that stay factual.</w:t>
      </w:r>
    </w:p>
    <w:p>
      <w:pPr>
        <w:pStyle w:val="BodyText"/>
      </w:pPr>
      <w:r>
        <w:rPr>
          <w:bCs/>
          <w:b/>
        </w:rPr>
        <w:t xml:space="preserve">Capabilities:</w:t>
      </w:r>
      <w:r>
        <w:t xml:space="preserve"> </w:t>
      </w:r>
      <w:r>
        <w:t xml:space="preserve">instrument registry; return-reason qualification; day-count engine; bulk notices (R3); complaint pack and jurisdiction resolver;</w:t>
      </w:r>
      <w:r>
        <w:t xml:space="preserve"> </w:t>
      </w:r>
      <w:r>
        <w:rPr>
          <w:iCs/>
          <w:i/>
        </w:rPr>
        <w:t xml:space="preserve">Sanjabij Tari</w:t>
      </w:r>
      <w:r>
        <w:t xml:space="preserve"> </w:t>
      </w:r>
      <w:r>
        <w:t xml:space="preserve">procedure support; s.143A and s.148 tracking; compounding linked to R8; director-liability data; court-cluster operations.</w:t>
      </w:r>
    </w:p>
    <w:bookmarkStart w:id="153" w:name="r7.1-inputs-and-qualification"/>
    <w:p>
      <w:pPr>
        <w:pStyle w:val="Heading3"/>
      </w:pPr>
      <w:r>
        <w:t xml:space="preserve">R7.1 Inputs and qualification</w:t>
      </w:r>
    </w:p>
    <w:p>
      <w:pPr>
        <w:pStyle w:val="FirstParagraph"/>
      </w:pPr>
      <w:r>
        <w:rPr>
          <w:bCs/>
          <w:b/>
        </w:rPr>
        <w:t xml:space="preserve">From M7 (immutable):</w:t>
      </w:r>
      <w:r>
        <w:t xml:space="preserve"> </w:t>
      </w:r>
      <w:r>
        <w:t xml:space="preserve">cheque number, date, amount, drawer account, drawee branch, payee branch where deposited for collection, purpose (EMI, PDC, SPDC, security); NACH/ECS UMRN, sponsor and destination banks, debit date and amount; presentation record; return memo or NPCI return code with timestamp; date the information reached the tenant.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149"/>
        <w:gridCol w:w="4075"/>
        <w:gridCol w:w="2414"/>
      </w:tblGrid>
      <w:tr>
        <w:trPr>
          <w:tblHeader w:val="true"/>
          <w:tblHeader w:val="true"/>
        </w:trPr>
        <w:tc>
          <w:tcPr>
            <w:tcW w:w="3149" w:type="dxa"/>
            <w:shd w:val="clear" w:color="auto" w:fill="1F3A5F"/>
          </w:tcPr>
          <w:p>
            <w:pPr>
              <w:pStyle w:val="Compact"/>
              <w:spacing w:after="40"/>
              <w:jc w:val="left"/>
            </w:pPr>
            <w:r>
              <w:rPr>
                <w:b/>
                <w:color w:val="FFFFFF"/>
                <w:sz w:val="18"/>
              </w:rPr>
              <w:t xml:space="preserve">Return reason</w:t>
            </w:r>
          </w:p>
        </w:tc>
        <w:tc>
          <w:tcPr>
            <w:tcW w:w="4075" w:type="dxa"/>
            <w:shd w:val="clear" w:color="auto" w:fill="1F3A5F"/>
          </w:tcPr>
          <w:p>
            <w:pPr>
              <w:pStyle w:val="Compact"/>
              <w:spacing w:after="40"/>
              <w:jc w:val="left"/>
            </w:pPr>
            <w:r>
              <w:rPr>
                <w:b/>
                <w:color w:val="FFFFFF"/>
                <w:sz w:val="18"/>
              </w:rPr>
              <w:t xml:space="preserve">s.138 (cheque)</w:t>
            </w:r>
          </w:p>
        </w:tc>
        <w:tc>
          <w:tcPr>
            <w:tcW w:w="2414" w:type="dxa"/>
            <w:shd w:val="clear" w:color="auto" w:fill="1F3A5F"/>
          </w:tcPr>
          <w:p>
            <w:pPr>
              <w:pStyle w:val="Compact"/>
              <w:spacing w:after="40"/>
              <w:jc w:val="left"/>
            </w:pPr>
            <w:r>
              <w:rPr>
                <w:b/>
                <w:color w:val="FFFFFF"/>
                <w:sz w:val="18"/>
              </w:rPr>
              <w:t xml:space="preserve">s.25 PSS (e-mandate)</w:t>
            </w:r>
          </w:p>
        </w:tc>
      </w:tr>
      <w:tr>
        <w:tc>
          <w:tcPr>
            <w:tcW w:w="3149" w:type="dxa"/>
          </w:tcPr>
          <w:p>
            <w:pPr>
              <w:pStyle w:val="Compact"/>
              <w:spacing w:after="40"/>
              <w:jc w:val="left"/>
            </w:pPr>
            <w:r>
              <w:rPr>
                <w:sz w:val="18"/>
              </w:rPr>
              <w:t xml:space="preserve">Insufficient funds; exceeds arrangement</w:t>
            </w:r>
          </w:p>
        </w:tc>
        <w:tc>
          <w:tcPr>
            <w:tcW w:w="4075" w:type="dxa"/>
          </w:tcPr>
          <w:p>
            <w:pPr>
              <w:pStyle w:val="Compact"/>
              <w:spacing w:after="40"/>
              <w:jc w:val="left"/>
            </w:pPr>
            <w:r>
              <w:rPr>
                <w:sz w:val="18"/>
              </w:rPr>
              <w:t xml:space="preserve">Yes</w:t>
            </w:r>
          </w:p>
        </w:tc>
        <w:tc>
          <w:tcPr>
            <w:tcW w:w="2414" w:type="dxa"/>
          </w:tcPr>
          <w:p>
            <w:pPr>
              <w:pStyle w:val="Compact"/>
              <w:spacing w:after="40"/>
              <w:jc w:val="left"/>
            </w:pPr>
            <w:r>
              <w:rPr>
                <w:sz w:val="18"/>
              </w:rPr>
              <w:t xml:space="preserve">Yes (the only s.25 grounds)</w:t>
            </w:r>
          </w:p>
        </w:tc>
      </w:tr>
      <w:tr>
        <w:tc>
          <w:tcPr>
            <w:tcW w:w="3149" w:type="dxa"/>
          </w:tcPr>
          <w:p>
            <w:pPr>
              <w:pStyle w:val="Compact"/>
              <w:spacing w:after="40"/>
              <w:jc w:val="left"/>
            </w:pPr>
            <w:r>
              <w:rPr>
                <w:sz w:val="18"/>
              </w:rPr>
              <w:t xml:space="preserve">Account closed</w:t>
            </w:r>
          </w:p>
        </w:tc>
        <w:tc>
          <w:tcPr>
            <w:tcW w:w="4075" w:type="dxa"/>
          </w:tcPr>
          <w:p>
            <w:pPr>
              <w:pStyle w:val="Compact"/>
              <w:spacing w:after="40"/>
              <w:jc w:val="left"/>
            </w:pPr>
            <w:r>
              <w:rPr>
                <w:sz w:val="18"/>
              </w:rPr>
              <w:t xml:space="preserve">Yes (</w:t>
            </w:r>
            <w:r>
              <w:rPr>
                <w:iCs/>
                <w:i/>
                <w:sz w:val="18"/>
              </w:rPr>
              <w:t xml:space="preserve">NEPC Micon v. Magma Leasing</w:t>
            </w:r>
            <w:r>
              <w:rPr>
                <w:sz w:val="18"/>
              </w:rPr>
              <w:t xml:space="preserve"> </w:t>
            </w:r>
            <w:r>
              <w:rPr>
                <w:sz w:val="18"/>
              </w:rPr>
              <w:t xml:space="preserve">(1999) 4 SCC 253)</w:t>
            </w:r>
          </w:p>
        </w:tc>
        <w:tc>
          <w:tcPr>
            <w:tcW w:w="2414" w:type="dxa"/>
          </w:tcPr>
          <w:p>
            <w:pPr>
              <w:pStyle w:val="Compact"/>
              <w:spacing w:after="40"/>
              <w:jc w:val="left"/>
            </w:pPr>
            <w:r>
              <w:rPr>
                <w:sz w:val="18"/>
              </w:rPr>
              <w:t xml:space="preserve">No</w:t>
            </w:r>
          </w:p>
        </w:tc>
      </w:tr>
      <w:tr>
        <w:tc>
          <w:tcPr>
            <w:tcW w:w="3149" w:type="dxa"/>
          </w:tcPr>
          <w:p>
            <w:pPr>
              <w:pStyle w:val="Compact"/>
              <w:spacing w:after="40"/>
              <w:jc w:val="left"/>
            </w:pPr>
            <w:r>
              <w:rPr>
                <w:sz w:val="18"/>
              </w:rPr>
              <w:t xml:space="preserve">Payment stopped by drawer</w:t>
            </w:r>
          </w:p>
        </w:tc>
        <w:tc>
          <w:tcPr>
            <w:tcW w:w="4075" w:type="dxa"/>
          </w:tcPr>
          <w:p>
            <w:pPr>
              <w:pStyle w:val="Compact"/>
              <w:spacing w:after="40"/>
              <w:jc w:val="left"/>
            </w:pPr>
            <w:r>
              <w:rPr>
                <w:sz w:val="18"/>
              </w:rPr>
              <w:t xml:space="preserve">Generally yes, case-dependent [VERIFY: counsel-approved mapping]</w:t>
            </w:r>
          </w:p>
        </w:tc>
        <w:tc>
          <w:tcPr>
            <w:tcW w:w="2414" w:type="dxa"/>
          </w:tcPr>
          <w:p>
            <w:pPr>
              <w:pStyle w:val="Compact"/>
              <w:spacing w:after="40"/>
              <w:jc w:val="left"/>
            </w:pPr>
            <w:r>
              <w:rPr>
                <w:sz w:val="18"/>
              </w:rPr>
              <w:t xml:space="preserve">No</w:t>
            </w:r>
          </w:p>
        </w:tc>
      </w:tr>
      <w:tr>
        <w:tc>
          <w:tcPr>
            <w:tcW w:w="3149" w:type="dxa"/>
          </w:tcPr>
          <w:p>
            <w:pPr>
              <w:pStyle w:val="Compact"/>
              <w:spacing w:after="40"/>
              <w:jc w:val="left"/>
            </w:pPr>
            <w:r>
              <w:rPr>
                <w:sz w:val="18"/>
              </w:rPr>
              <w:t xml:space="preserve">Signature mismatch</w:t>
            </w:r>
          </w:p>
        </w:tc>
        <w:tc>
          <w:tcPr>
            <w:tcW w:w="4075" w:type="dxa"/>
          </w:tcPr>
          <w:p>
            <w:pPr>
              <w:pStyle w:val="Compact"/>
              <w:spacing w:after="40"/>
              <w:jc w:val="left"/>
            </w:pPr>
            <w:r>
              <w:rPr>
                <w:sz w:val="18"/>
              </w:rPr>
              <w:t xml:space="preserve">Case-dependent (</w:t>
            </w:r>
            <w:r>
              <w:rPr>
                <w:iCs/>
                <w:i/>
                <w:sz w:val="18"/>
              </w:rPr>
              <w:t xml:space="preserve">Laxmi Dyechem v. State of Gujarat</w:t>
            </w:r>
            <w:r>
              <w:rPr>
                <w:sz w:val="18"/>
              </w:rPr>
              <w:t xml:space="preserve"> </w:t>
            </w:r>
            <w:r>
              <w:rPr>
                <w:sz w:val="18"/>
              </w:rPr>
              <w:t xml:space="preserve">(2012) 13 SCC 375) [VERIFY]</w:t>
            </w:r>
          </w:p>
        </w:tc>
        <w:tc>
          <w:tcPr>
            <w:tcW w:w="2414" w:type="dxa"/>
          </w:tcPr>
          <w:p>
            <w:pPr>
              <w:pStyle w:val="Compact"/>
              <w:spacing w:after="40"/>
              <w:jc w:val="left"/>
            </w:pPr>
            <w:r>
              <w:rPr>
                <w:sz w:val="18"/>
              </w:rPr>
              <w:t xml:space="preserve">No</w:t>
            </w:r>
          </w:p>
        </w:tc>
      </w:tr>
      <w:tr>
        <w:tc>
          <w:tcPr>
            <w:tcW w:w="3149" w:type="dxa"/>
          </w:tcPr>
          <w:p>
            <w:pPr>
              <w:pStyle w:val="Compact"/>
              <w:spacing w:after="40"/>
              <w:jc w:val="left"/>
            </w:pPr>
            <w:r>
              <w:rPr>
                <w:sz w:val="18"/>
              </w:rPr>
              <w:t xml:space="preserve">Technical (mandate not registered, bank error)</w:t>
            </w:r>
          </w:p>
        </w:tc>
        <w:tc>
          <w:tcPr>
            <w:tcW w:w="4075" w:type="dxa"/>
          </w:tcPr>
          <w:p>
            <w:pPr>
              <w:pStyle w:val="Compact"/>
              <w:spacing w:after="40"/>
              <w:jc w:val="left"/>
            </w:pPr>
            <w:r>
              <w:rPr>
                <w:sz w:val="18"/>
              </w:rPr>
              <w:t xml:space="preserve">No: re-present or correct</w:t>
            </w:r>
          </w:p>
        </w:tc>
        <w:tc>
          <w:tcPr>
            <w:tcW w:w="2414" w:type="dxa"/>
          </w:tcPr>
          <w:p>
            <w:pPr>
              <w:pStyle w:val="Compact"/>
              <w:spacing w:after="40"/>
              <w:jc w:val="left"/>
            </w:pPr>
            <w:r>
              <w:rPr>
                <w:sz w:val="18"/>
              </w:rPr>
              <w:t xml:space="preserve">No</w:t>
            </w:r>
          </w:p>
        </w:tc>
      </w:tr>
    </w:tbl>
    <w:p>
      <w:pPr>
        <w:pStyle w:val="BodyText"/>
      </w:pPr>
      <w:r>
        <w:t xml:space="preserve">A security cheque presented after the instalment fell due qualifies (</w:t>
      </w:r>
      <w:r>
        <w:rPr>
          <w:iCs/>
          <w:i/>
        </w:rPr>
        <w:t xml:space="preserve">Sampelly Satyanarayana Rao v. IREDA</w:t>
      </w:r>
      <w:r>
        <w:t xml:space="preserve"> </w:t>
      </w:r>
      <w:r>
        <w:t xml:space="preserve">(2016) 10 SCC 458); time-barred debts do not (R1.5).</w:t>
      </w:r>
    </w:p>
    <w:bookmarkEnd w:id="153"/>
    <w:bookmarkStart w:id="154" w:name="r7.2-day-count-engine"/>
    <w:p>
      <w:pPr>
        <w:pStyle w:val="Heading3"/>
      </w:pPr>
      <w:r>
        <w:t xml:space="preserve">R7.2 Day-count engine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68"/>
        <w:gridCol w:w="3945"/>
        <w:gridCol w:w="2201"/>
        <w:gridCol w:w="2324"/>
      </w:tblGrid>
      <w:tr>
        <w:trPr>
          <w:tblHeader w:val="true"/>
          <w:tblHeader w:val="true"/>
        </w:trPr>
        <w:tc>
          <w:tcPr>
            <w:tcW w:w="1168" w:type="dxa"/>
            <w:shd w:val="clear" w:color="auto" w:fill="1F3A5F"/>
          </w:tcPr>
          <w:p>
            <w:pPr>
              <w:pStyle w:val="Compact"/>
              <w:spacing w:after="40"/>
              <w:jc w:val="left"/>
            </w:pPr>
            <w:r>
              <w:rPr>
                <w:b/>
                <w:color w:val="FFFFFF"/>
                <w:sz w:val="18"/>
              </w:rPr>
              <w:t xml:space="preserve">Step</w:t>
            </w:r>
          </w:p>
        </w:tc>
        <w:tc>
          <w:tcPr>
            <w:tcW w:w="3945" w:type="dxa"/>
            <w:shd w:val="clear" w:color="auto" w:fill="1F3A5F"/>
          </w:tcPr>
          <w:p>
            <w:pPr>
              <w:pStyle w:val="Compact"/>
              <w:spacing w:after="40"/>
              <w:jc w:val="left"/>
            </w:pPr>
            <w:r>
              <w:rPr>
                <w:b/>
                <w:color w:val="FFFFFF"/>
                <w:sz w:val="18"/>
              </w:rPr>
              <w:t xml:space="preserve">Rule</w:t>
            </w:r>
          </w:p>
        </w:tc>
        <w:tc>
          <w:tcPr>
            <w:tcW w:w="2201" w:type="dxa"/>
            <w:shd w:val="clear" w:color="auto" w:fill="1F3A5F"/>
          </w:tcPr>
          <w:p>
            <w:pPr>
              <w:pStyle w:val="Compact"/>
              <w:spacing w:after="40"/>
              <w:jc w:val="left"/>
            </w:pPr>
            <w:r>
              <w:rPr>
                <w:b/>
                <w:color w:val="FFFFFF"/>
                <w:sz w:val="18"/>
              </w:rPr>
              <w:t xml:space="preserve">Basis</w:t>
            </w:r>
          </w:p>
        </w:tc>
        <w:tc>
          <w:tcPr>
            <w:tcW w:w="2324" w:type="dxa"/>
            <w:shd w:val="clear" w:color="auto" w:fill="1F3A5F"/>
          </w:tcPr>
          <w:p>
            <w:pPr>
              <w:pStyle w:val="Compact"/>
              <w:spacing w:after="40"/>
              <w:jc w:val="left"/>
            </w:pPr>
            <w:r>
              <w:rPr>
                <w:b/>
                <w:color w:val="FFFFFF"/>
                <w:sz w:val="18"/>
              </w:rPr>
              <w:t xml:space="preserve">Golden test</w:t>
            </w:r>
          </w:p>
        </w:tc>
      </w:tr>
      <w:tr>
        <w:tc>
          <w:tcPr>
            <w:tcW w:w="1168" w:type="dxa"/>
          </w:tcPr>
          <w:p>
            <w:pPr>
              <w:pStyle w:val="Compact"/>
              <w:spacing w:after="40"/>
              <w:jc w:val="left"/>
            </w:pPr>
            <w:r>
              <w:rPr>
                <w:sz w:val="18"/>
              </w:rPr>
              <w:t xml:space="preserve">Presentation</w:t>
            </w:r>
          </w:p>
        </w:tc>
        <w:tc>
          <w:tcPr>
            <w:tcW w:w="3945" w:type="dxa"/>
          </w:tcPr>
          <w:p>
            <w:pPr>
              <w:pStyle w:val="Compact"/>
              <w:spacing w:after="40"/>
              <w:jc w:val="left"/>
            </w:pPr>
            <w:r>
              <w:rPr>
                <w:sz w:val="18"/>
              </w:rPr>
              <w:t xml:space="preserve">Within validity (3 months); re-presentation within validity allowed, each dishonour plus notice a fresh cause of action</w:t>
            </w:r>
          </w:p>
        </w:tc>
        <w:tc>
          <w:tcPr>
            <w:tcW w:w="2201" w:type="dxa"/>
          </w:tcPr>
          <w:p>
            <w:pPr>
              <w:pStyle w:val="Compact"/>
              <w:spacing w:after="40"/>
              <w:jc w:val="left"/>
            </w:pPr>
            <w:r>
              <w:rPr>
                <w:sz w:val="18"/>
              </w:rPr>
              <w:t xml:space="preserve">s.138 proviso (a);</w:t>
            </w:r>
            <w:r>
              <w:rPr>
                <w:sz w:val="18"/>
              </w:rPr>
              <w:t xml:space="preserve"> </w:t>
            </w:r>
            <w:r>
              <w:rPr>
                <w:iCs/>
                <w:i/>
                <w:sz w:val="18"/>
              </w:rPr>
              <w:t xml:space="preserve">MSR Leathers v. S. Palaniappan</w:t>
            </w:r>
            <w:r>
              <w:rPr>
                <w:sz w:val="18"/>
              </w:rPr>
              <w:t xml:space="preserve"> </w:t>
            </w:r>
            <w:r>
              <w:rPr>
                <w:sz w:val="18"/>
              </w:rPr>
              <w:t xml:space="preserve">(2013) 1 SCC 177</w:t>
            </w:r>
          </w:p>
        </w:tc>
        <w:tc>
          <w:tcPr>
            <w:tcW w:w="2324" w:type="dxa"/>
          </w:tcPr>
          <w:p>
            <w:pPr>
              <w:pStyle w:val="Compact"/>
              <w:spacing w:after="40"/>
              <w:jc w:val="left"/>
            </w:pPr>
            <w:r>
              <w:rPr>
                <w:sz w:val="18"/>
              </w:rPr>
              <w:t xml:space="preserve">Cheque dated 1 Nov 2026 → present by 31 Jan 2027 [interpretation: conservative]</w:t>
            </w:r>
          </w:p>
        </w:tc>
      </w:tr>
      <w:tr>
        <w:tc>
          <w:tcPr>
            <w:tcW w:w="1168" w:type="dxa"/>
          </w:tcPr>
          <w:p>
            <w:pPr>
              <w:pStyle w:val="Compact"/>
              <w:spacing w:after="40"/>
              <w:jc w:val="left"/>
            </w:pPr>
            <w:r>
              <w:rPr>
                <w:sz w:val="18"/>
              </w:rPr>
              <w:t xml:space="preserve">Information received</w:t>
            </w:r>
          </w:p>
        </w:tc>
        <w:tc>
          <w:tcPr>
            <w:tcW w:w="3945" w:type="dxa"/>
          </w:tcPr>
          <w:p>
            <w:pPr>
              <w:pStyle w:val="Compact"/>
              <w:spacing w:after="40"/>
              <w:jc w:val="left"/>
            </w:pPr>
            <w:r>
              <w:rPr>
                <w:sz w:val="18"/>
              </w:rPr>
              <w:t xml:space="preserve">Date the return memo or file reaches the tenant</w:t>
            </w:r>
          </w:p>
        </w:tc>
        <w:tc>
          <w:tcPr>
            <w:tcW w:w="2201" w:type="dxa"/>
          </w:tcPr>
          <w:p>
            <w:pPr>
              <w:pStyle w:val="Compact"/>
              <w:spacing w:after="40"/>
              <w:jc w:val="left"/>
            </w:pPr>
            <w:r>
              <w:rPr>
                <w:sz w:val="18"/>
              </w:rPr>
              <w:t xml:space="preserve">s.138(b)</w:t>
            </w:r>
          </w:p>
        </w:tc>
        <w:tc>
          <w:tcPr>
            <w:tcW w:w="2324" w:type="dxa"/>
          </w:tcPr>
          <w:p>
            <w:pPr>
              <w:pStyle w:val="Compact"/>
              <w:spacing w:after="40"/>
              <w:jc w:val="left"/>
            </w:pPr>
            <w:r>
              <w:rPr>
                <w:sz w:val="18"/>
              </w:rPr>
              <w:t xml:space="preserve">5 Jan 2027</w:t>
            </w:r>
          </w:p>
        </w:tc>
      </w:tr>
      <w:tr>
        <w:tc>
          <w:tcPr>
            <w:tcW w:w="1168" w:type="dxa"/>
          </w:tcPr>
          <w:p>
            <w:pPr>
              <w:pStyle w:val="Compact"/>
              <w:spacing w:after="40"/>
              <w:jc w:val="left"/>
            </w:pPr>
            <w:r>
              <w:rPr>
                <w:sz w:val="18"/>
              </w:rPr>
              <w:t xml:space="preserve">Demand notice</w:t>
            </w:r>
          </w:p>
        </w:tc>
        <w:tc>
          <w:tcPr>
            <w:tcW w:w="3945" w:type="dxa"/>
          </w:tcPr>
          <w:p>
            <w:pPr>
              <w:pStyle w:val="Compact"/>
              <w:spacing w:after="40"/>
              <w:jc w:val="left"/>
            </w:pPr>
            <w:r>
              <w:rPr>
                <w:sz w:val="18"/>
              </w:rPr>
              <w:t xml:space="preserve">Within 30 days of receiving information</w:t>
            </w:r>
          </w:p>
        </w:tc>
        <w:tc>
          <w:tcPr>
            <w:tcW w:w="2201" w:type="dxa"/>
          </w:tcPr>
          <w:p>
            <w:pPr>
              <w:pStyle w:val="Compact"/>
              <w:spacing w:after="40"/>
              <w:jc w:val="left"/>
            </w:pPr>
            <w:r>
              <w:rPr>
                <w:sz w:val="18"/>
              </w:rPr>
              <w:t xml:space="preserve">s.138(b)</w:t>
            </w:r>
          </w:p>
        </w:tc>
        <w:tc>
          <w:tcPr>
            <w:tcW w:w="2324" w:type="dxa"/>
          </w:tcPr>
          <w:p>
            <w:pPr>
              <w:pStyle w:val="Compact"/>
              <w:spacing w:after="40"/>
              <w:jc w:val="left"/>
            </w:pPr>
            <w:r>
              <w:rPr>
                <w:sz w:val="18"/>
              </w:rPr>
              <w:t xml:space="preserve">Last day 4 Feb 2027</w:t>
            </w:r>
          </w:p>
        </w:tc>
      </w:tr>
      <w:tr>
        <w:tc>
          <w:tcPr>
            <w:tcW w:w="1168" w:type="dxa"/>
          </w:tcPr>
          <w:p>
            <w:pPr>
              <w:pStyle w:val="Compact"/>
              <w:spacing w:after="40"/>
              <w:jc w:val="left"/>
            </w:pPr>
            <w:r>
              <w:rPr>
                <w:sz w:val="18"/>
              </w:rPr>
              <w:t xml:space="preserve">Service</w:t>
            </w:r>
          </w:p>
        </w:tc>
        <w:tc>
          <w:tcPr>
            <w:tcW w:w="3945" w:type="dxa"/>
          </w:tcPr>
          <w:p>
            <w:pPr>
              <w:pStyle w:val="Compact"/>
              <w:spacing w:after="40"/>
              <w:jc w:val="left"/>
            </w:pPr>
            <w:r>
              <w:rPr>
                <w:sz w:val="18"/>
              </w:rPr>
              <w:t xml:space="preserve">Speed post with PoD, courier and email through R3 (WhatsApp barred by the 7A.0.6 guard-rail although courts have accepted it,</w:t>
            </w:r>
            <w:r>
              <w:rPr>
                <w:sz w:val="18"/>
              </w:rPr>
              <w:t xml:space="preserve"> </w:t>
            </w:r>
            <w:r>
              <w:rPr>
                <w:iCs/>
                <w:i/>
                <w:sz w:val="18"/>
              </w:rPr>
              <w:t xml:space="preserve">Rajendra v. State of UP</w:t>
            </w:r>
            <w:r>
              <w:rPr>
                <w:sz w:val="18"/>
              </w:rPr>
              <w:t xml:space="preserve">, All HC 2024); deemed service on refusal or</w:t>
            </w:r>
            <w:r>
              <w:rPr>
                <w:sz w:val="18"/>
              </w:rPr>
              <w:t xml:space="preserve"> </w:t>
            </w:r>
            <w:r>
              <w:rPr>
                <w:sz w:val="18"/>
              </w:rPr>
              <w:t xml:space="preserve">“</w:t>
            </w:r>
            <w:r>
              <w:rPr>
                <w:sz w:val="18"/>
              </w:rPr>
              <w:t xml:space="preserve">unclaimed</w:t>
            </w:r>
            <w:r>
              <w:rPr>
                <w:sz w:val="18"/>
              </w:rPr>
              <w:t xml:space="preserve">”</w:t>
            </w:r>
            <w:r>
              <w:rPr>
                <w:sz w:val="18"/>
              </w:rPr>
              <w:t xml:space="preserve"> </w:t>
            </w:r>
            <w:r>
              <w:rPr>
                <w:sz w:val="18"/>
              </w:rPr>
              <w:t xml:space="preserve">at the correct address</w:t>
            </w:r>
          </w:p>
        </w:tc>
        <w:tc>
          <w:tcPr>
            <w:tcW w:w="2201" w:type="dxa"/>
          </w:tcPr>
          <w:p>
            <w:pPr>
              <w:pStyle w:val="Compact"/>
              <w:spacing w:after="40"/>
              <w:jc w:val="left"/>
            </w:pPr>
            <w:r>
              <w:rPr>
                <w:iCs/>
                <w:i/>
                <w:sz w:val="18"/>
              </w:rPr>
              <w:t xml:space="preserve">C.C. Alavi Haji</w:t>
            </w:r>
            <w:r>
              <w:rPr>
                <w:sz w:val="18"/>
              </w:rPr>
              <w:t xml:space="preserve"> </w:t>
            </w:r>
            <w:r>
              <w:rPr>
                <w:sz w:val="18"/>
              </w:rPr>
              <w:t xml:space="preserve">(2007) 6 SCC 555</w:t>
            </w:r>
          </w:p>
        </w:tc>
        <w:tc>
          <w:tcPr>
            <w:tcW w:w="2324" w:type="dxa"/>
          </w:tcPr>
          <w:p>
            <w:pPr>
              <w:pStyle w:val="Compact"/>
              <w:spacing w:after="40"/>
              <w:jc w:val="left"/>
            </w:pPr>
            <w:r>
              <w:rPr>
                <w:sz w:val="18"/>
              </w:rPr>
              <w:t xml:space="preserve">Delivered 10 Feb 2027</w:t>
            </w:r>
          </w:p>
        </w:tc>
      </w:tr>
      <w:tr>
        <w:tc>
          <w:tcPr>
            <w:tcW w:w="1168" w:type="dxa"/>
          </w:tcPr>
          <w:p>
            <w:pPr>
              <w:pStyle w:val="Compact"/>
              <w:spacing w:after="40"/>
              <w:jc w:val="left"/>
            </w:pPr>
            <w:r>
              <w:rPr>
                <w:sz w:val="18"/>
              </w:rPr>
              <w:t xml:space="preserve">Payment window</w:t>
            </w:r>
          </w:p>
        </w:tc>
        <w:tc>
          <w:tcPr>
            <w:tcW w:w="3945" w:type="dxa"/>
          </w:tcPr>
          <w:p>
            <w:pPr>
              <w:pStyle w:val="Compact"/>
              <w:spacing w:after="40"/>
              <w:jc w:val="left"/>
            </w:pPr>
            <w:r>
              <w:rPr>
                <w:sz w:val="18"/>
              </w:rPr>
              <w:t xml:space="preserve">15 days from receipt</w:t>
            </w:r>
          </w:p>
        </w:tc>
        <w:tc>
          <w:tcPr>
            <w:tcW w:w="2201" w:type="dxa"/>
          </w:tcPr>
          <w:p>
            <w:pPr>
              <w:pStyle w:val="Compact"/>
              <w:spacing w:after="40"/>
              <w:jc w:val="left"/>
            </w:pPr>
            <w:r>
              <w:rPr>
                <w:sz w:val="18"/>
              </w:rPr>
              <w:t xml:space="preserve">s.138(c)</w:t>
            </w:r>
          </w:p>
        </w:tc>
        <w:tc>
          <w:tcPr>
            <w:tcW w:w="2324" w:type="dxa"/>
          </w:tcPr>
          <w:p>
            <w:pPr>
              <w:pStyle w:val="Compact"/>
              <w:spacing w:after="40"/>
              <w:jc w:val="left"/>
            </w:pPr>
            <w:r>
              <w:rPr>
                <w:sz w:val="18"/>
              </w:rPr>
              <w:t xml:space="preserve">Ends 25 Feb 2027</w:t>
            </w:r>
          </w:p>
        </w:tc>
      </w:tr>
      <w:tr>
        <w:tc>
          <w:tcPr>
            <w:tcW w:w="1168" w:type="dxa"/>
          </w:tcPr>
          <w:p>
            <w:pPr>
              <w:pStyle w:val="Compact"/>
              <w:spacing w:after="40"/>
              <w:jc w:val="left"/>
            </w:pPr>
            <w:r>
              <w:rPr>
                <w:sz w:val="18"/>
              </w:rPr>
              <w:t xml:space="preserve">Cause of action</w:t>
            </w:r>
          </w:p>
        </w:tc>
        <w:tc>
          <w:tcPr>
            <w:tcW w:w="3945" w:type="dxa"/>
          </w:tcPr>
          <w:p>
            <w:pPr>
              <w:pStyle w:val="Compact"/>
              <w:spacing w:after="40"/>
              <w:jc w:val="left"/>
            </w:pPr>
            <w:r>
              <w:rPr>
                <w:sz w:val="18"/>
              </w:rPr>
              <w:t xml:space="preserve">Next day</w:t>
            </w:r>
          </w:p>
        </w:tc>
        <w:tc>
          <w:tcPr>
            <w:tcW w:w="2201" w:type="dxa"/>
          </w:tcPr>
          <w:p>
            <w:pPr>
              <w:pStyle w:val="Compact"/>
              <w:spacing w:after="40"/>
              <w:jc w:val="left"/>
            </w:pPr>
            <w:r>
              <w:rPr>
                <w:sz w:val="18"/>
              </w:rPr>
              <w:t xml:space="preserve">—</w:t>
            </w:r>
          </w:p>
        </w:tc>
        <w:tc>
          <w:tcPr>
            <w:tcW w:w="2324" w:type="dxa"/>
          </w:tcPr>
          <w:p>
            <w:pPr>
              <w:pStyle w:val="Compact"/>
              <w:spacing w:after="40"/>
              <w:jc w:val="left"/>
            </w:pPr>
            <w:r>
              <w:rPr>
                <w:sz w:val="18"/>
              </w:rPr>
              <w:t xml:space="preserve">26 Feb 2027</w:t>
            </w:r>
          </w:p>
        </w:tc>
      </w:tr>
      <w:tr>
        <w:tc>
          <w:tcPr>
            <w:tcW w:w="1168" w:type="dxa"/>
          </w:tcPr>
          <w:p>
            <w:pPr>
              <w:pStyle w:val="Compact"/>
              <w:spacing w:after="40"/>
              <w:jc w:val="left"/>
            </w:pPr>
            <w:r>
              <w:rPr>
                <w:sz w:val="18"/>
              </w:rPr>
              <w:t xml:space="preserve">Complaint</w:t>
            </w:r>
          </w:p>
        </w:tc>
        <w:tc>
          <w:tcPr>
            <w:tcW w:w="3945" w:type="dxa"/>
          </w:tcPr>
          <w:p>
            <w:pPr>
              <w:pStyle w:val="Compact"/>
              <w:spacing w:after="40"/>
              <w:jc w:val="left"/>
            </w:pPr>
            <w:r>
              <w:rPr>
                <w:sz w:val="18"/>
              </w:rPr>
              <w:t xml:space="preserve">Within one month, excluding the first day; condonable for sufficient cause</w:t>
            </w:r>
          </w:p>
        </w:tc>
        <w:tc>
          <w:tcPr>
            <w:tcW w:w="2201" w:type="dxa"/>
          </w:tcPr>
          <w:p>
            <w:pPr>
              <w:pStyle w:val="Compact"/>
              <w:spacing w:after="40"/>
              <w:jc w:val="left"/>
            </w:pPr>
            <w:r>
              <w:rPr>
                <w:sz w:val="18"/>
              </w:rPr>
              <w:t xml:space="preserve">s.142(1)(b) and proviso;</w:t>
            </w:r>
            <w:r>
              <w:rPr>
                <w:sz w:val="18"/>
              </w:rPr>
              <w:t xml:space="preserve"> </w:t>
            </w:r>
            <w:r>
              <w:rPr>
                <w:iCs/>
                <w:i/>
                <w:sz w:val="18"/>
              </w:rPr>
              <w:t xml:space="preserve">Econ Antri v. Rom Industries</w:t>
            </w:r>
            <w:r>
              <w:rPr>
                <w:sz w:val="18"/>
              </w:rPr>
              <w:t xml:space="preserve"> </w:t>
            </w:r>
            <w:r>
              <w:rPr>
                <w:sz w:val="18"/>
              </w:rPr>
              <w:t xml:space="preserve">(2014) 11 SCC 769</w:t>
            </w:r>
          </w:p>
        </w:tc>
        <w:tc>
          <w:tcPr>
            <w:tcW w:w="2324" w:type="dxa"/>
          </w:tcPr>
          <w:p>
            <w:pPr>
              <w:pStyle w:val="Compact"/>
              <w:spacing w:after="40"/>
              <w:jc w:val="left"/>
            </w:pPr>
            <w:r>
              <w:rPr>
                <w:sz w:val="18"/>
              </w:rPr>
              <w:t xml:space="preserve">Last day 26 Mar 2027; filing on 29 Mar drafts a condonation application</w:t>
            </w:r>
          </w:p>
        </w:tc>
      </w:tr>
      <w:tr>
        <w:tc>
          <w:tcPr>
            <w:tcW w:w="1168" w:type="dxa"/>
          </w:tcPr>
          <w:p>
            <w:pPr>
              <w:pStyle w:val="Compact"/>
              <w:spacing w:after="40"/>
              <w:jc w:val="left"/>
            </w:pPr>
            <w:r>
              <w:rPr>
                <w:sz w:val="18"/>
              </w:rPr>
              <w:t xml:space="preserve">Jurisdiction</w:t>
            </w:r>
          </w:p>
        </w:tc>
        <w:tc>
          <w:tcPr>
            <w:tcW w:w="3945" w:type="dxa"/>
          </w:tcPr>
          <w:p>
            <w:pPr>
              <w:pStyle w:val="Compact"/>
              <w:spacing w:after="40"/>
              <w:jc w:val="left"/>
            </w:pPr>
            <w:r>
              <w:rPr>
                <w:sz w:val="18"/>
              </w:rPr>
              <w:t xml:space="preserve">Court where the payee’s branch of deposit is</w:t>
            </w:r>
          </w:p>
        </w:tc>
        <w:tc>
          <w:tcPr>
            <w:tcW w:w="2201" w:type="dxa"/>
          </w:tcPr>
          <w:p>
            <w:pPr>
              <w:pStyle w:val="Compact"/>
              <w:spacing w:after="40"/>
              <w:jc w:val="left"/>
            </w:pPr>
            <w:r>
              <w:rPr>
                <w:sz w:val="18"/>
              </w:rPr>
              <w:t xml:space="preserve">s.142(2)(a); s.142A</w:t>
            </w:r>
          </w:p>
        </w:tc>
        <w:tc>
          <w:tcPr>
            <w:tcW w:w="2324" w:type="dxa"/>
          </w:tcPr>
          <w:p>
            <w:pPr>
              <w:pStyle w:val="Compact"/>
              <w:spacing w:after="40"/>
              <w:jc w:val="left"/>
            </w:pPr>
            <w:r>
              <w:rPr>
                <w:sz w:val="18"/>
              </w:rPr>
              <w:t xml:space="preserve">From M7</w:t>
            </w:r>
          </w:p>
        </w:tc>
      </w:tr>
      <w:tr>
        <w:tc>
          <w:tcPr>
            <w:tcW w:w="1168" w:type="dxa"/>
          </w:tcPr>
          <w:p>
            <w:pPr>
              <w:pStyle w:val="Compact"/>
              <w:spacing w:after="40"/>
              <w:jc w:val="left"/>
            </w:pPr>
            <w:r>
              <w:rPr>
                <w:sz w:val="18"/>
              </w:rPr>
              <w:t xml:space="preserve">Trial</w:t>
            </w:r>
          </w:p>
        </w:tc>
        <w:tc>
          <w:tcPr>
            <w:tcW w:w="3945" w:type="dxa"/>
          </w:tcPr>
          <w:p>
            <w:pPr>
              <w:pStyle w:val="Compact"/>
              <w:spacing w:after="40"/>
              <w:jc w:val="left"/>
            </w:pPr>
            <w:r>
              <w:rPr>
                <w:sz w:val="18"/>
              </w:rPr>
              <w:t xml:space="preserve">Summary; reasons to convert; evidence on affidavit</w:t>
            </w:r>
          </w:p>
        </w:tc>
        <w:tc>
          <w:tcPr>
            <w:tcW w:w="2201" w:type="dxa"/>
          </w:tcPr>
          <w:p>
            <w:pPr>
              <w:pStyle w:val="Compact"/>
              <w:spacing w:after="40"/>
              <w:jc w:val="left"/>
            </w:pPr>
            <w:r>
              <w:rPr>
                <w:sz w:val="18"/>
              </w:rPr>
              <w:t xml:space="preserve">s.143;</w:t>
            </w:r>
            <w:r>
              <w:rPr>
                <w:sz w:val="18"/>
              </w:rPr>
              <w:t xml:space="preserve"> </w:t>
            </w:r>
            <w:r>
              <w:rPr>
                <w:iCs/>
                <w:i/>
                <w:sz w:val="18"/>
              </w:rPr>
              <w:t xml:space="preserve">In re Expeditious Trial</w:t>
            </w:r>
            <w:r>
              <w:rPr>
                <w:sz w:val="18"/>
              </w:rPr>
              <w:t xml:space="preserve"> </w:t>
            </w:r>
            <w:r>
              <w:rPr>
                <w:sz w:val="18"/>
              </w:rPr>
              <w:t xml:space="preserve">(SC, 16 Apr 2021)</w:t>
            </w:r>
          </w:p>
        </w:tc>
        <w:tc>
          <w:tcPr>
            <w:tcW w:w="2324" w:type="dxa"/>
          </w:tcPr>
          <w:p>
            <w:pPr>
              <w:pStyle w:val="Compact"/>
              <w:spacing w:after="40"/>
              <w:jc w:val="left"/>
            </w:pPr>
            <w:r>
              <w:rPr>
                <w:sz w:val="18"/>
              </w:rPr>
              <w:t xml:space="preserve">—</w:t>
            </w:r>
          </w:p>
        </w:tc>
      </w:tr>
      <w:tr>
        <w:tc>
          <w:tcPr>
            <w:tcW w:w="1168" w:type="dxa"/>
          </w:tcPr>
          <w:p>
            <w:pPr>
              <w:pStyle w:val="Compact"/>
              <w:spacing w:after="40"/>
              <w:jc w:val="left"/>
            </w:pPr>
            <w:r>
              <w:rPr>
                <w:sz w:val="18"/>
              </w:rPr>
              <w:t xml:space="preserve">Interim compensation</w:t>
            </w:r>
          </w:p>
        </w:tc>
        <w:tc>
          <w:tcPr>
            <w:tcW w:w="3945" w:type="dxa"/>
          </w:tcPr>
          <w:p>
            <w:pPr>
              <w:pStyle w:val="Compact"/>
              <w:spacing w:after="40"/>
              <w:jc w:val="left"/>
            </w:pPr>
            <w:r>
              <w:rPr>
                <w:sz w:val="18"/>
              </w:rPr>
              <w:t xml:space="preserve">Up to 20%, discretionary; paid within 60 days, + 30</w:t>
            </w:r>
          </w:p>
        </w:tc>
        <w:tc>
          <w:tcPr>
            <w:tcW w:w="2201" w:type="dxa"/>
          </w:tcPr>
          <w:p>
            <w:pPr>
              <w:pStyle w:val="Compact"/>
              <w:spacing w:after="40"/>
              <w:jc w:val="left"/>
            </w:pPr>
            <w:r>
              <w:rPr>
                <w:sz w:val="18"/>
              </w:rPr>
              <w:t xml:space="preserve">s.143A</w:t>
            </w:r>
          </w:p>
        </w:tc>
        <w:tc>
          <w:tcPr>
            <w:tcW w:w="2324" w:type="dxa"/>
          </w:tcPr>
          <w:p>
            <w:pPr>
              <w:pStyle w:val="Compact"/>
              <w:spacing w:after="40"/>
              <w:jc w:val="left"/>
            </w:pPr>
            <w:r>
              <w:rPr>
                <w:sz w:val="18"/>
              </w:rPr>
              <w:t xml:space="preserve">—</w:t>
            </w:r>
          </w:p>
        </w:tc>
      </w:tr>
      <w:tr>
        <w:tc>
          <w:tcPr>
            <w:tcW w:w="1168" w:type="dxa"/>
          </w:tcPr>
          <w:p>
            <w:pPr>
              <w:pStyle w:val="Compact"/>
              <w:spacing w:after="40"/>
              <w:jc w:val="left"/>
            </w:pPr>
            <w:r>
              <w:rPr>
                <w:sz w:val="18"/>
              </w:rPr>
              <w:t xml:space="preserve">Appeal deposit</w:t>
            </w:r>
          </w:p>
        </w:tc>
        <w:tc>
          <w:tcPr>
            <w:tcW w:w="3945" w:type="dxa"/>
          </w:tcPr>
          <w:p>
            <w:pPr>
              <w:pStyle w:val="Compact"/>
              <w:spacing w:after="40"/>
              <w:jc w:val="left"/>
            </w:pPr>
            <w:r>
              <w:rPr>
                <w:sz w:val="18"/>
              </w:rPr>
              <w:t xml:space="preserve">≥ 20% of fine or compensation</w:t>
            </w:r>
          </w:p>
        </w:tc>
        <w:tc>
          <w:tcPr>
            <w:tcW w:w="2201" w:type="dxa"/>
          </w:tcPr>
          <w:p>
            <w:pPr>
              <w:pStyle w:val="Compact"/>
              <w:spacing w:after="40"/>
              <w:jc w:val="left"/>
            </w:pPr>
            <w:r>
              <w:rPr>
                <w:sz w:val="18"/>
              </w:rPr>
              <w:t xml:space="preserve">s.148</w:t>
            </w:r>
          </w:p>
        </w:tc>
        <w:tc>
          <w:tcPr>
            <w:tcW w:w="2324" w:type="dxa"/>
          </w:tcPr>
          <w:p>
            <w:pPr>
              <w:pStyle w:val="Compact"/>
              <w:spacing w:after="40"/>
              <w:jc w:val="left"/>
            </w:pPr>
            <w:r>
              <w:rPr>
                <w:sz w:val="18"/>
              </w:rPr>
              <w:t xml:space="preserve">—</w:t>
            </w:r>
          </w:p>
        </w:tc>
      </w:tr>
    </w:tbl>
    <w:p>
      <w:pPr>
        <w:pStyle w:val="BodyText"/>
      </w:pPr>
      <w:r>
        <w:rPr>
          <w:bCs/>
          <w:b/>
        </w:rPr>
        <w:t xml:space="preserve">s.25 PSS Act:</w:t>
      </w:r>
      <w:r>
        <w:t xml:space="preserve"> </w:t>
      </w:r>
      <w:r>
        <w:t xml:space="preserve">the same notice, payment, complaint and trial steps apply to an electronic funds transfer dishonoured for insufficiency or exceeding the arrangement; the mandate, UMRN and NPCI return file replace the cheque and memo.</w:t>
      </w:r>
    </w:p>
    <w:bookmarkEnd w:id="154"/>
    <w:bookmarkStart w:id="155" w:name="X7749eadbec8d4eb968f9a4ff91b488ae6a50140"/>
    <w:p>
      <w:pPr>
        <w:pStyle w:val="Heading3"/>
      </w:pPr>
      <w:r>
        <w:t xml:space="preserve">R7.3</w:t>
      </w:r>
      <w:r>
        <w:t xml:space="preserve"> </w:t>
      </w:r>
      <w:r>
        <w:rPr>
          <w:iCs/>
          <w:i/>
        </w:rPr>
        <w:t xml:space="preserve">Sanjabij Tari v. Kishore Borcar</w:t>
      </w:r>
      <w:r>
        <w:t xml:space="preserve"> </w:t>
      </w:r>
      <w:r>
        <w:t xml:space="preserve">(2025 INSC 1158, 25 Sep 2025)</w:t>
      </w:r>
    </w:p>
    <w:p>
      <w:pPr>
        <w:numPr>
          <w:ilvl w:val="0"/>
          <w:numId w:val="1227"/>
        </w:numPr>
        <w:pStyle w:val="Compact"/>
      </w:pPr>
      <w:r>
        <w:t xml:space="preserve">Mandatory synopsis, generated with the complaint.</w:t>
      </w:r>
    </w:p>
    <w:p>
      <w:pPr>
        <w:numPr>
          <w:ilvl w:val="0"/>
          <w:numId w:val="1227"/>
        </w:numPr>
        <w:pStyle w:val="Compact"/>
      </w:pPr>
      <w:r>
        <w:t xml:space="preserve">Summons by ordinary modes plus dasti, email, WhatsApp and other electronic modes under the BNSS, with an affidavit of service; the tenant supplies verified contacts from M3 (court-issued service is not a tenant communication).</w:t>
      </w:r>
    </w:p>
    <w:p>
      <w:pPr>
        <w:numPr>
          <w:ilvl w:val="0"/>
          <w:numId w:val="1227"/>
        </w:numPr>
        <w:pStyle w:val="Compact"/>
      </w:pPr>
      <w:r>
        <w:t xml:space="preserve">Summons may carry a court QR or UPI link; payment of the cheque amount closes the case; the tenant reconciles its receipt to the court’s confirmation.</w:t>
      </w:r>
    </w:p>
    <w:p>
      <w:pPr>
        <w:numPr>
          <w:ilvl w:val="0"/>
          <w:numId w:val="1227"/>
        </w:numPr>
        <w:pStyle w:val="Compact"/>
      </w:pPr>
      <w:r>
        <w:t xml:space="preserve">No pre-cognizance summons under BNSS s.223; a Delhi HC Larger Bench reference on the s.223 proviso (18 Mar 2026) keeps this configurable per court [VERIFY: outcome].</w:t>
      </w:r>
    </w:p>
    <w:p>
      <w:pPr>
        <w:numPr>
          <w:ilvl w:val="0"/>
          <w:numId w:val="1227"/>
        </w:numPr>
        <w:pStyle w:val="Compact"/>
      </w:pPr>
      <w:r>
        <w:t xml:space="preserve">s.143A applied for at the first opportunity.</w:t>
      </w:r>
    </w:p>
    <w:p>
      <w:pPr>
        <w:numPr>
          <w:ilvl w:val="0"/>
          <w:numId w:val="1227"/>
        </w:numPr>
        <w:pStyle w:val="Compact"/>
      </w:pPr>
      <w:r>
        <w:t xml:space="preserve">Compounding costs on the cheque amount: nil before defence evidence; 5% after defence evidence and before judgment; 7.5% in revision or appeal before the Sessions Court or High Court; 10% before the Supreme Court [VERIFY: payee of costs]. The R8 settlement screen shows the cost at the current stage.</w:t>
      </w:r>
    </w:p>
    <w:bookmarkEnd w:id="155"/>
    <w:bookmarkStart w:id="156" w:name="r7.4-complaint-pack-and-accused"/>
    <w:p>
      <w:pPr>
        <w:pStyle w:val="Heading3"/>
      </w:pPr>
      <w:r>
        <w:t xml:space="preserve">R7.4 Complaint pack and accused</w:t>
      </w:r>
    </w:p>
    <w:p>
      <w:pPr>
        <w:numPr>
          <w:ilvl w:val="0"/>
          <w:numId w:val="1228"/>
        </w:numPr>
        <w:pStyle w:val="Compact"/>
      </w:pPr>
      <w:r>
        <w:rPr>
          <w:bCs/>
          <w:b/>
        </w:rPr>
        <w:t xml:space="preserve">Pack:</w:t>
      </w:r>
      <w:r>
        <w:t xml:space="preserve"> </w:t>
      </w:r>
      <w:r>
        <w:t xml:space="preserve">verified complaint; Board resolution or power of attorney; synopsis; original cheque or mandate record; return memo or NPCI file; notice and service evidence; electronic-record certificate (BSA 2023 s.63 [VERIFY section]); statement of account; agreement and KFS; affidavit evidence (s.145).</w:t>
      </w:r>
    </w:p>
    <w:p>
      <w:pPr>
        <w:numPr>
          <w:ilvl w:val="0"/>
          <w:numId w:val="1228"/>
        </w:numPr>
        <w:pStyle w:val="Compact"/>
      </w:pPr>
      <w:r>
        <w:rPr>
          <w:bCs/>
          <w:b/>
        </w:rPr>
        <w:t xml:space="preserve">Accused (s.141):</w:t>
      </w:r>
      <w:r>
        <w:t xml:space="preserve"> </w:t>
      </w:r>
      <w:r>
        <w:t xml:space="preserve">the company must be arraigned (</w:t>
      </w:r>
      <w:r>
        <w:rPr>
          <w:iCs/>
          <w:i/>
        </w:rPr>
        <w:t xml:space="preserve">Aneeta Hada v. Godfather Travels</w:t>
      </w:r>
      <w:r>
        <w:t xml:space="preserve"> </w:t>
      </w:r>
      <w:r>
        <w:t xml:space="preserve">(2012) 5 SCC 661); directors named only with specific averments that they were in charge of and responsible for the business at the time (</w:t>
      </w:r>
      <w:r>
        <w:rPr>
          <w:iCs/>
          <w:i/>
        </w:rPr>
        <w:t xml:space="preserve">SMS Pharmaceuticals v. Neeta Bhalla</w:t>
      </w:r>
      <w:r>
        <w:t xml:space="preserve"> </w:t>
      </w:r>
      <w:r>
        <w:t xml:space="preserve">(2005) 8 SCC 89); officer data from MCA as at the offence date; under an IBC moratorium, natural persons only (</w:t>
      </w:r>
      <w:r>
        <w:rPr>
          <w:iCs/>
          <w:i/>
        </w:rPr>
        <w:t xml:space="preserve">P. Mohanraj</w:t>
      </w:r>
      <w:r>
        <w:t xml:space="preserve">).</w:t>
      </w:r>
    </w:p>
    <w:bookmarkEnd w:id="156"/>
    <w:bookmarkStart w:id="157" w:name="r7.5-state-machine"/>
    <w:p>
      <w:pPr>
        <w:pStyle w:val="Heading3"/>
      </w:pPr>
      <w:r>
        <w:t xml:space="preserve">R7.5 State machine</w:t>
      </w:r>
    </w:p>
    <w:p>
      <w:pPr>
        <w:pStyle w:val="FirstParagraph"/>
      </w:pPr>
      <w:r>
        <w:rPr>
          <w:rStyle w:val="VerbatimChar"/>
        </w:rPr>
        <w:t xml:space="preserve">INSTRUMENT_RETURNED → QUALIFIED | NOT_QUALIFIED → NOTICE_ISSUED → NOTICE_SERVED | SERVICE_FAILED → PAYMENT_WINDOW → PAID | CAUSE_OF_ACTION → POLICY_DECISION (ticket, product, prospects) → COMPLAINT_FILED → COGNIZANCE → SUMMONS_SERVED → S143A_ORDERED → TRIAL → COMPOUNDED | CONVICTED | ACQUITTED | WITHDRAWN → APPEAL (R9) → CLOSED</w:t>
      </w:r>
    </w:p>
    <w:p>
      <w:pPr>
        <w:pStyle w:val="BodyText"/>
      </w:pPr>
      <w:r>
        <w:t xml:space="preserve">A settlement in R8 closes a pending complaint only by a compounding or withdrawal order recorded by the court [interpretation: RSA para 100 speaks of recovery proceedings; record the court’s order in every case].</w:t>
      </w:r>
    </w:p>
    <w:p>
      <w:pPr>
        <w:pStyle w:val="BodyText"/>
      </w:pPr>
      <w:r>
        <w:rPr>
          <w:bCs/>
          <w:b/>
        </w:rPr>
        <w:t xml:space="preserve">Controls.</w:t>
      </w:r>
      <w:r>
        <w:t xml:space="preserve"> </w:t>
      </w:r>
      <w:r>
        <w:t xml:space="preserve">Users cannot extend timers; a missed notice deadline closes the instrument as</w:t>
      </w:r>
      <w:r>
        <w:t xml:space="preserve"> </w:t>
      </w:r>
      <w:r>
        <w:rPr>
          <w:rStyle w:val="VerbatimChar"/>
        </w:rPr>
        <w:t xml:space="preserve">TIME_BARRED_NOTICE</w:t>
      </w:r>
      <w:r>
        <w:t xml:space="preserve">; communications factual, with no threat of arrest, police action or exposure, and a description of the criminal process only where an instrument was actually dishonoured (R15.1; RBC para 100); PDC/SPDC custody register with dual control; unused instruments returned and mandates cancelled on closure (RBC para 17); interim compensation held as refundable (R12 row 26); volume filing by court cluster with one evidence pack per complaint.</w:t>
      </w:r>
    </w:p>
    <w:p>
      <w:pPr>
        <w:pStyle w:val="BodyText"/>
      </w:pPr>
      <w:r>
        <w:rPr>
          <w:bCs/>
          <w:b/>
        </w:rPr>
        <w:t xml:space="preserve">Data captured.</w:t>
      </w:r>
      <w:r>
        <w:t xml:space="preserve"> </w:t>
      </w:r>
      <w:r>
        <w:rPr>
          <w:rStyle w:val="VerbatimChar"/>
        </w:rPr>
        <w:t xml:space="preserve">negotiable_instrument</w:t>
      </w:r>
      <w:r>
        <w:t xml:space="preserve"> </w:t>
      </w:r>
      <w:r>
        <w:t xml:space="preserve">(cheque or mandate, custody, validity end),</w:t>
      </w:r>
      <w:r>
        <w:t xml:space="preserve"> </w:t>
      </w:r>
      <w:r>
        <w:rPr>
          <w:rStyle w:val="VerbatimChar"/>
        </w:rPr>
        <w:t xml:space="preserve">instrument_return</w:t>
      </w:r>
      <w:r>
        <w:t xml:space="preserve"> </w:t>
      </w:r>
      <w:r>
        <w:t xml:space="preserve">(reason code, information date, qualification),</w:t>
      </w:r>
      <w:r>
        <w:t xml:space="preserve"> </w:t>
      </w:r>
      <w:r>
        <w:rPr>
          <w:rStyle w:val="VerbatimChar"/>
        </w:rPr>
        <w:t xml:space="preserve">dishonour_track</w:t>
      </w:r>
      <w:r>
        <w:t xml:space="preserve"> </w:t>
      </w:r>
      <w:r>
        <w:t xml:space="preserve">(notice, service, window, cause of action, complaint last date, condonation flag),</w:t>
      </w:r>
      <w:r>
        <w:t xml:space="preserve"> </w:t>
      </w:r>
      <w:r>
        <w:rPr>
          <w:rStyle w:val="VerbatimChar"/>
        </w:rPr>
        <w:t xml:space="preserve">accused_person</w:t>
      </w:r>
      <w:r>
        <w:t xml:space="preserve"> </w:t>
      </w:r>
      <w:r>
        <w:t xml:space="preserve">(role, s.141 basis, DIN),</w:t>
      </w:r>
      <w:r>
        <w:t xml:space="preserve"> </w:t>
      </w:r>
      <w:r>
        <w:rPr>
          <w:rStyle w:val="VerbatimChar"/>
        </w:rPr>
        <w:t xml:space="preserve">compounding_cost_calc</w:t>
      </w:r>
      <w:r>
        <w:t xml:space="preserve">.</w:t>
      </w:r>
    </w:p>
    <w:p>
      <w:pPr>
        <w:pStyle w:val="BodyText"/>
      </w:pPr>
      <w:r>
        <w:rPr>
          <w:bCs/>
          <w:b/>
        </w:rPr>
        <w:t xml:space="preserve">Configuration.</w:t>
      </w:r>
      <w:r>
        <w:t xml:space="preserve"> </w:t>
      </w:r>
      <w:r>
        <w:t xml:space="preserve">Return-reason mapping (counsel-approved); filing policy by product, ticket and DPD; templates per language; court clusters; counsel allocation (R11); compounding authority (R8 matrix).</w:t>
      </w:r>
    </w:p>
    <w:p>
      <w:pPr>
        <w:pStyle w:val="BodyText"/>
      </w:pPr>
      <w:r>
        <w:rPr>
          <w:bCs/>
          <w:b/>
        </w:rPr>
        <w:t xml:space="preserve">Events.</w:t>
      </w:r>
      <w:r>
        <w:t xml:space="preserve"> </w:t>
      </w:r>
      <w:r>
        <w:t xml:space="preserve">Consumes Part 5.2</w:t>
      </w:r>
      <w:r>
        <w:t xml:space="preserve"> </w:t>
      </w:r>
      <w:r>
        <w:rPr>
          <w:rStyle w:val="VerbatimChar"/>
        </w:rPr>
        <w:t xml:space="preserve">PaymentBounced</w:t>
      </w:r>
      <w:r>
        <w:t xml:space="preserve">; emits</w:t>
      </w:r>
      <w:r>
        <w:t xml:space="preserve"> </w:t>
      </w:r>
      <w:r>
        <w:rPr>
          <w:rStyle w:val="VerbatimChar"/>
        </w:rPr>
        <w:t xml:space="preserve">LegalNoticeIssued</w:t>
      </w:r>
      <w:r>
        <w:t xml:space="preserve"> </w:t>
      </w:r>
      <w:r>
        <w:t xml:space="preserve">(</w:t>
      </w:r>
      <w:r>
        <w:rPr>
          <w:rStyle w:val="VerbatimChar"/>
        </w:rPr>
        <w:t xml:space="preserve">S138</w:t>
      </w:r>
      <w:r>
        <w:t xml:space="preserve">,</w:t>
      </w:r>
      <w:r>
        <w:t xml:space="preserve"> </w:t>
      </w:r>
      <w:r>
        <w:rPr>
          <w:rStyle w:val="VerbatimChar"/>
        </w:rPr>
        <w:t xml:space="preserve">S25_PSS</w:t>
      </w:r>
      <w:r>
        <w:t xml:space="preserve">),</w:t>
      </w:r>
      <w:r>
        <w:t xml:space="preserve"> </w:t>
      </w:r>
      <w:r>
        <w:rPr>
          <w:rStyle w:val="VerbatimChar"/>
        </w:rPr>
        <w:t xml:space="preserve">NoticeServiceUpdated</w:t>
      </w:r>
      <w:r>
        <w:t xml:space="preserve">,</w:t>
      </w:r>
      <w:r>
        <w:t xml:space="preserve"> </w:t>
      </w:r>
      <w:r>
        <w:rPr>
          <w:rStyle w:val="VerbatimChar"/>
        </w:rPr>
        <w:t xml:space="preserve">LitigationCaseOpened</w:t>
      </w:r>
      <w:r>
        <w:t xml:space="preserve"> </w:t>
      </w:r>
      <w:r>
        <w:t xml:space="preserve">(</w:t>
      </w:r>
      <w:r>
        <w:rPr>
          <w:rStyle w:val="VerbatimChar"/>
        </w:rPr>
        <w:t xml:space="preserve">S138</w:t>
      </w:r>
      <w:r>
        <w:t xml:space="preserve">,</w:t>
      </w:r>
      <w:r>
        <w:t xml:space="preserve"> </w:t>
      </w:r>
      <w:r>
        <w:rPr>
          <w:rStyle w:val="VerbatimChar"/>
        </w:rPr>
        <w:t xml:space="preserve">S25PSS</w:t>
      </w:r>
      <w:r>
        <w:t xml:space="preserve">),</w:t>
      </w:r>
      <w:r>
        <w:t xml:space="preserve"> </w:t>
      </w:r>
      <w:r>
        <w:rPr>
          <w:rStyle w:val="VerbatimChar"/>
        </w:rPr>
        <w:t xml:space="preserve">HearingScheduled</w:t>
      </w:r>
      <w:r>
        <w:t xml:space="preserve">,</w:t>
      </w:r>
      <w:r>
        <w:t xml:space="preserve"> </w:t>
      </w:r>
      <w:r>
        <w:rPr>
          <w:rStyle w:val="VerbatimChar"/>
        </w:rPr>
        <w:t xml:space="preserve">OrderRecorded</w:t>
      </w:r>
      <w:r>
        <w:t xml:space="preserve"> </w:t>
      </w:r>
      <w:r>
        <w:t xml:space="preserve">(summons, s.143A, conviction, compounding),</w:t>
      </w:r>
      <w:r>
        <w:t xml:space="preserve"> </w:t>
      </w:r>
      <w:r>
        <w:rPr>
          <w:rStyle w:val="VerbatimChar"/>
        </w:rPr>
        <w:t xml:space="preserve">SettlementApproved</w:t>
      </w:r>
      <w:r>
        <w:t xml:space="preserve">,</w:t>
      </w:r>
      <w:r>
        <w:t xml:space="preserve"> </w:t>
      </w:r>
      <w:r>
        <w:rPr>
          <w:rStyle w:val="VerbatimChar"/>
        </w:rPr>
        <w:t xml:space="preserve">RecoveryReceiptPosted</w:t>
      </w:r>
      <w:r>
        <w:t xml:space="preserve">,</w:t>
      </w:r>
      <w:r>
        <w:t xml:space="preserve"> </w:t>
      </w:r>
      <w:r>
        <w:rPr>
          <w:rStyle w:val="VerbatimChar"/>
        </w:rPr>
        <w:t xml:space="preserve">LitigationCaseClosed</w:t>
      </w:r>
      <w:r>
        <w:t xml:space="preserve">.</w:t>
      </w:r>
    </w:p>
    <w:p>
      <w:pPr>
        <w:pStyle w:val="BodyText"/>
      </w:pPr>
      <w:r>
        <w:rPr>
          <w:bCs/>
          <w:b/>
        </w:rPr>
        <w:t xml:space="preserve">Tests (R7).</w:t>
      </w:r>
      <w:r>
        <w:t xml:space="preserve"> </w:t>
      </w:r>
      <w:r>
        <w:t xml:space="preserve">1. The R7.2 golden dates are reproduced exactly.</w:t>
      </w:r>
      <w:r>
        <w:t xml:space="preserve"> </w:t>
      </w:r>
      <w:r>
        <w:t xml:space="preserve">2. NACH returned</w:t>
      </w:r>
      <w:r>
        <w:t xml:space="preserve"> </w:t>
      </w:r>
      <w:r>
        <w:t xml:space="preserve">“</w:t>
      </w:r>
      <w:r>
        <w:t xml:space="preserve">account closed</w:t>
      </w:r>
      <w:r>
        <w:t xml:space="preserve">”</w:t>
      </w:r>
      <w:r>
        <w:t xml:space="preserve"> </w:t>
      </w:r>
      <w:r>
        <w:t xml:space="preserve">→ s.25 not offered; a cheque returned</w:t>
      </w:r>
      <w:r>
        <w:t xml:space="preserve"> </w:t>
      </w:r>
      <w:r>
        <w:t xml:space="preserve">“</w:t>
      </w:r>
      <w:r>
        <w:t xml:space="preserve">account closed</w:t>
      </w:r>
      <w:r>
        <w:t xml:space="preserve">”</w:t>
      </w:r>
      <w:r>
        <w:t xml:space="preserve"> </w:t>
      </w:r>
      <w:r>
        <w:t xml:space="preserve">→ s.138 offered.</w:t>
      </w:r>
      <w:r>
        <w:t xml:space="preserve"> </w:t>
      </w:r>
      <w:r>
        <w:t xml:space="preserve">3. Cheque presented after validity → flagged stale; no notice.</w:t>
      </w:r>
      <w:r>
        <w:t xml:space="preserve"> </w:t>
      </w:r>
      <w:r>
        <w:t xml:space="preserve">4. Venue resolves to the court of the payee’s branch of deposit, not the drawee branch.</w:t>
      </w:r>
      <w:r>
        <w:t xml:space="preserve"> </w:t>
      </w:r>
      <w:r>
        <w:t xml:space="preserve">5. Compounding cost on a ₹2,00,000 cheque: ₹0, ₹10,000, ₹15,000 and ₹20,000 by stage.</w:t>
      </w:r>
      <w:r>
        <w:t xml:space="preserve"> </w:t>
      </w:r>
      <w:r>
        <w:t xml:space="preserve">6. Company accused admitted into CIRP → complaint continues against named directors; company stage</w:t>
      </w:r>
      <w:r>
        <w:t xml:space="preserve"> </w:t>
      </w:r>
      <w:r>
        <w:rPr>
          <w:rStyle w:val="VerbatimChar"/>
        </w:rPr>
        <w:t xml:space="preserve">STAYED</w:t>
      </w:r>
      <w:r>
        <w:t xml:space="preserve">.</w:t>
      </w:r>
    </w:p>
    <w:p>
      <w:r>
        <w:pict>
          <v:rect style="width:0;height:1.5pt" o:hralign="center" o:hrstd="t" o:hr="t"/>
        </w:pict>
      </w:r>
    </w:p>
    <w:bookmarkEnd w:id="157"/>
    <w:bookmarkEnd w:id="158"/>
    <w:bookmarkStart w:id="165" w:name="X365d6305ffb819e324002dfd643f5cccc0b6905"/>
    <w:p>
      <w:pPr>
        <w:pStyle w:val="Heading2"/>
      </w:pPr>
      <w:r>
        <w:t xml:space="preserve">R8. Settlement and ADR (negotiation/OTS, conciliation, mediation, arbitration, Lok Adalat; Equator and other providers)</w:t>
      </w:r>
    </w:p>
    <w:p>
      <w:pPr>
        <w:pStyle w:val="FirstParagraph"/>
      </w:pPr>
      <w:r>
        <w:rPr>
          <w:bCs/>
          <w:b/>
        </w:rPr>
        <w:t xml:space="preserve">Purpose.</w:t>
      </w:r>
      <w:r>
        <w:t xml:space="preserve"> </w:t>
      </w:r>
      <w:r>
        <w:t xml:space="preserve">Resolve defaulted accounts by agreement or by an enforceable neutral outcome, within the Board’s settlement policy and the RBI rules, through Equator Resolution first and any certified provider on the same contract, using arbitration only where the appointment will survive enforcement scrutiny.</w:t>
      </w:r>
    </w:p>
    <w:p>
      <w:pPr>
        <w:pStyle w:val="BodyText"/>
      </w:pPr>
      <w:r>
        <w:rPr>
          <w:bCs/>
          <w:b/>
        </w:rPr>
        <w:t xml:space="preserve">Capabilities:</w:t>
      </w:r>
      <w:r>
        <w:t xml:space="preserve"> </w:t>
      </w:r>
      <w:r>
        <w:t xml:space="preserve">settlement policy engine, NPV calculator and approvals; negotiation log; consent-decree and restructuring routing; arbitration gates; conciliation; Mediation Act features behind flags; Lok Adalat batches; provider abstraction; outcome compliance; hand-off to R5.</w:t>
      </w:r>
    </w:p>
    <w:bookmarkStart w:id="159" w:name="X4fda223e2592b53f6fd1b5f5802486234aa063b"/>
    <w:p>
      <w:pPr>
        <w:pStyle w:val="Heading3"/>
      </w:pPr>
      <w:r>
        <w:t xml:space="preserve">R8.1 Settlement policy engine (RSA paras 16, 86–100)</w:t>
      </w:r>
    </w:p>
    <w:p>
      <w:pPr>
        <w:pStyle w:val="FirstParagraph"/>
      </w:pPr>
      <w:r>
        <w:t xml:space="preserve">The policy is a versioned object linked to its Board approval (M19). It applies to all NBFCs including those below ₹500 crore (RSA para 157); for HFCs only paras 86–138 bind (RSA para 5), which do not include para 16, so the para 16 approver rule is applied to HFC tenants as policy [REC].</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93"/>
        <w:gridCol w:w="5141"/>
        <w:gridCol w:w="2604"/>
      </w:tblGrid>
      <w:tr>
        <w:trPr>
          <w:tblHeader w:val="true"/>
          <w:tblHeader w:val="true"/>
        </w:trPr>
        <w:tc>
          <w:tcPr>
            <w:tcW w:w="1893" w:type="dxa"/>
            <w:shd w:val="clear" w:color="auto" w:fill="1F3A5F"/>
          </w:tcPr>
          <w:p>
            <w:pPr>
              <w:pStyle w:val="Compact"/>
              <w:spacing w:after="40"/>
              <w:jc w:val="left"/>
            </w:pPr>
            <w:r>
              <w:rPr>
                <w:b/>
                <w:color w:val="FFFFFF"/>
                <w:sz w:val="18"/>
              </w:rPr>
              <w:t xml:space="preserve">Element</w:t>
            </w:r>
          </w:p>
        </w:tc>
        <w:tc>
          <w:tcPr>
            <w:tcW w:w="5141" w:type="dxa"/>
            <w:shd w:val="clear" w:color="auto" w:fill="1F3A5F"/>
          </w:tcPr>
          <w:p>
            <w:pPr>
              <w:pStyle w:val="Compact"/>
              <w:spacing w:after="40"/>
              <w:jc w:val="left"/>
            </w:pPr>
            <w:r>
              <w:rPr>
                <w:b/>
                <w:color w:val="FFFFFF"/>
                <w:sz w:val="18"/>
              </w:rPr>
              <w:t xml:space="preserve">Rule</w:t>
            </w:r>
          </w:p>
        </w:tc>
        <w:tc>
          <w:tcPr>
            <w:tcW w:w="2604" w:type="dxa"/>
            <w:shd w:val="clear" w:color="auto" w:fill="1F3A5F"/>
          </w:tcPr>
          <w:p>
            <w:pPr>
              <w:pStyle w:val="Compact"/>
              <w:spacing w:after="40"/>
              <w:jc w:val="left"/>
            </w:pPr>
            <w:r>
              <w:rPr>
                <w:b/>
                <w:color w:val="FFFFFF"/>
                <w:sz w:val="18"/>
              </w:rPr>
              <w:t xml:space="preserve">Basis</w:t>
            </w:r>
          </w:p>
        </w:tc>
      </w:tr>
      <w:tr>
        <w:tc>
          <w:tcPr>
            <w:tcW w:w="1893" w:type="dxa"/>
          </w:tcPr>
          <w:p>
            <w:pPr>
              <w:pStyle w:val="Compact"/>
              <w:spacing w:after="40"/>
              <w:jc w:val="left"/>
            </w:pPr>
            <w:r>
              <w:rPr>
                <w:sz w:val="18"/>
              </w:rPr>
              <w:t xml:space="preserve">Policy content</w:t>
            </w:r>
          </w:p>
        </w:tc>
        <w:tc>
          <w:tcPr>
            <w:tcW w:w="5141" w:type="dxa"/>
          </w:tcPr>
          <w:p>
            <w:pPr>
              <w:pStyle w:val="Compact"/>
              <w:spacing w:after="40"/>
              <w:jc w:val="left"/>
            </w:pPr>
            <w:r>
              <w:rPr>
                <w:sz w:val="18"/>
              </w:rPr>
              <w:t xml:space="preserve">Conditions precedent (minimum ageing, collateral deterioration); graded staff accountability; permissible sacrifice by category after realisable value; realisable-value methodology</w:t>
            </w:r>
          </w:p>
        </w:tc>
        <w:tc>
          <w:tcPr>
            <w:tcW w:w="2604" w:type="dxa"/>
          </w:tcPr>
          <w:p>
            <w:pPr>
              <w:pStyle w:val="Compact"/>
              <w:spacing w:after="40"/>
              <w:jc w:val="left"/>
            </w:pPr>
            <w:r>
              <w:rPr>
                <w:sz w:val="18"/>
              </w:rPr>
              <w:t xml:space="preserve">RSA para 16(1)–(4)</w:t>
            </w:r>
          </w:p>
        </w:tc>
      </w:tr>
      <w:tr>
        <w:tc>
          <w:tcPr>
            <w:tcW w:w="1893" w:type="dxa"/>
          </w:tcPr>
          <w:p>
            <w:pPr>
              <w:pStyle w:val="Compact"/>
              <w:spacing w:after="40"/>
              <w:jc w:val="left"/>
            </w:pPr>
            <w:r>
              <w:rPr>
                <w:sz w:val="18"/>
              </w:rPr>
              <w:t xml:space="preserve">Approver</w:t>
            </w:r>
          </w:p>
        </w:tc>
        <w:tc>
          <w:tcPr>
            <w:tcW w:w="5141" w:type="dxa"/>
          </w:tcPr>
          <w:p>
            <w:pPr>
              <w:pStyle w:val="Compact"/>
              <w:spacing w:after="40"/>
              <w:jc w:val="left"/>
            </w:pPr>
            <w:r>
              <w:rPr>
                <w:sz w:val="18"/>
              </w:rPr>
              <w:t xml:space="preserve">At least one level above the sanctioning authority; anyone who sanctioned the loan excluded in any capacity; related-party recusal</w:t>
            </w:r>
          </w:p>
        </w:tc>
        <w:tc>
          <w:tcPr>
            <w:tcW w:w="2604" w:type="dxa"/>
          </w:tcPr>
          <w:p>
            <w:pPr>
              <w:pStyle w:val="Compact"/>
              <w:spacing w:after="40"/>
              <w:jc w:val="left"/>
            </w:pPr>
            <w:r>
              <w:rPr>
                <w:sz w:val="18"/>
              </w:rPr>
              <w:t xml:space="preserve">RSA para 16(5)(i); CRM para 13J</w:t>
            </w:r>
          </w:p>
        </w:tc>
      </w:tr>
      <w:tr>
        <w:tc>
          <w:tcPr>
            <w:tcW w:w="1893" w:type="dxa"/>
          </w:tcPr>
          <w:p>
            <w:pPr>
              <w:pStyle w:val="Compact"/>
              <w:spacing w:after="40"/>
              <w:jc w:val="left"/>
            </w:pPr>
            <w:r>
              <w:rPr>
                <w:sz w:val="18"/>
              </w:rPr>
              <w:t xml:space="preserve">Fraud and wilful defaulters</w:t>
            </w:r>
          </w:p>
        </w:tc>
        <w:tc>
          <w:tcPr>
            <w:tcW w:w="5141" w:type="dxa"/>
          </w:tcPr>
          <w:p>
            <w:pPr>
              <w:pStyle w:val="Compact"/>
              <w:spacing w:after="40"/>
              <w:jc w:val="left"/>
            </w:pPr>
            <w:r>
              <w:rPr>
                <w:sz w:val="18"/>
              </w:rPr>
              <w:t xml:space="preserve">Board approval in every case; without prejudice to criminal proceedings; penal measures continue; fraud debarment runs 5 years from full payment of the settlement; LWD removal only after full payment</w:t>
            </w:r>
          </w:p>
        </w:tc>
        <w:tc>
          <w:tcPr>
            <w:tcW w:w="2604" w:type="dxa"/>
          </w:tcPr>
          <w:p>
            <w:pPr>
              <w:pStyle w:val="Compact"/>
              <w:spacing w:after="40"/>
              <w:jc w:val="left"/>
            </w:pPr>
            <w:r>
              <w:rPr>
                <w:sz w:val="18"/>
              </w:rPr>
              <w:t xml:space="preserve">RSA paras 16(5)(ii), 97–98; FRM para 35; WD para 13</w:t>
            </w:r>
          </w:p>
        </w:tc>
      </w:tr>
      <w:tr>
        <w:tc>
          <w:tcPr>
            <w:tcW w:w="1893" w:type="dxa"/>
          </w:tcPr>
          <w:p>
            <w:pPr>
              <w:pStyle w:val="Compact"/>
              <w:spacing w:after="40"/>
              <w:jc w:val="left"/>
            </w:pPr>
            <w:r>
              <w:rPr>
                <w:sz w:val="18"/>
              </w:rPr>
              <w:t xml:space="preserve">Discretion</w:t>
            </w:r>
          </w:p>
        </w:tc>
        <w:tc>
          <w:tcPr>
            <w:tcW w:w="5141" w:type="dxa"/>
          </w:tcPr>
          <w:p>
            <w:pPr>
              <w:pStyle w:val="Compact"/>
              <w:spacing w:after="40"/>
              <w:jc w:val="left"/>
            </w:pPr>
            <w:r>
              <w:rPr>
                <w:sz w:val="18"/>
              </w:rPr>
              <w:t xml:space="preserve">Not a borrower’s right</w:t>
            </w:r>
          </w:p>
        </w:tc>
        <w:tc>
          <w:tcPr>
            <w:tcW w:w="2604" w:type="dxa"/>
          </w:tcPr>
          <w:p>
            <w:pPr>
              <w:pStyle w:val="Compact"/>
              <w:spacing w:after="40"/>
              <w:jc w:val="left"/>
            </w:pPr>
            <w:r>
              <w:rPr>
                <w:sz w:val="18"/>
              </w:rPr>
              <w:t xml:space="preserve">RSA para 87</w:t>
            </w:r>
          </w:p>
        </w:tc>
      </w:tr>
      <w:tr>
        <w:tc>
          <w:tcPr>
            <w:tcW w:w="1893" w:type="dxa"/>
          </w:tcPr>
          <w:p>
            <w:pPr>
              <w:pStyle w:val="Compact"/>
              <w:spacing w:after="40"/>
              <w:jc w:val="left"/>
            </w:pPr>
            <w:r>
              <w:rPr>
                <w:sz w:val="18"/>
              </w:rPr>
              <w:t xml:space="preserve">Contingent claims</w:t>
            </w:r>
          </w:p>
        </w:tc>
        <w:tc>
          <w:tcPr>
            <w:tcW w:w="5141" w:type="dxa"/>
          </w:tcPr>
          <w:p>
            <w:pPr>
              <w:pStyle w:val="Compact"/>
              <w:spacing w:after="40"/>
              <w:jc w:val="left"/>
            </w:pPr>
            <w:r>
              <w:rPr>
                <w:sz w:val="18"/>
              </w:rPr>
              <w:t xml:space="preserve">May be agreed but not recognised on balance sheet; recognition makes it restructuring</w:t>
            </w:r>
          </w:p>
        </w:tc>
        <w:tc>
          <w:tcPr>
            <w:tcW w:w="2604" w:type="dxa"/>
          </w:tcPr>
          <w:p>
            <w:pPr>
              <w:pStyle w:val="Compact"/>
              <w:spacing w:after="40"/>
              <w:jc w:val="left"/>
            </w:pPr>
            <w:r>
              <w:rPr>
                <w:sz w:val="18"/>
              </w:rPr>
              <w:t xml:space="preserve">RSA para 88</w:t>
            </w:r>
          </w:p>
        </w:tc>
      </w:tr>
      <w:tr>
        <w:tc>
          <w:tcPr>
            <w:tcW w:w="1893" w:type="dxa"/>
          </w:tcPr>
          <w:p>
            <w:pPr>
              <w:pStyle w:val="Compact"/>
              <w:spacing w:after="40"/>
              <w:jc w:val="left"/>
            </w:pPr>
            <w:r>
              <w:rPr>
                <w:sz w:val="18"/>
              </w:rPr>
              <w:t xml:space="preserve">Payment period</w:t>
            </w:r>
          </w:p>
        </w:tc>
        <w:tc>
          <w:tcPr>
            <w:tcW w:w="5141" w:type="dxa"/>
          </w:tcPr>
          <w:p>
            <w:pPr>
              <w:pStyle w:val="Compact"/>
              <w:spacing w:after="40"/>
              <w:jc w:val="left"/>
            </w:pPr>
            <w:r>
              <w:rPr>
                <w:sz w:val="18"/>
              </w:rPr>
              <w:t xml:space="preserve">Over 3 months, or any part settlement, is restructuring</w:t>
            </w:r>
          </w:p>
        </w:tc>
        <w:tc>
          <w:tcPr>
            <w:tcW w:w="2604" w:type="dxa"/>
          </w:tcPr>
          <w:p>
            <w:pPr>
              <w:pStyle w:val="Compact"/>
              <w:spacing w:after="40"/>
              <w:jc w:val="left"/>
            </w:pPr>
            <w:r>
              <w:rPr>
                <w:sz w:val="18"/>
              </w:rPr>
              <w:t xml:space="preserve">RSA paras 89–90</w:t>
            </w:r>
          </w:p>
        </w:tc>
      </w:tr>
      <w:tr>
        <w:tc>
          <w:tcPr>
            <w:tcW w:w="1893" w:type="dxa"/>
          </w:tcPr>
          <w:p>
            <w:pPr>
              <w:pStyle w:val="Compact"/>
              <w:spacing w:after="40"/>
              <w:jc w:val="left"/>
            </w:pPr>
            <w:r>
              <w:rPr>
                <w:sz w:val="18"/>
              </w:rPr>
              <w:t xml:space="preserve">Pending proceedings</w:t>
            </w:r>
          </w:p>
        </w:tc>
        <w:tc>
          <w:tcPr>
            <w:tcW w:w="5141" w:type="dxa"/>
          </w:tcPr>
          <w:p>
            <w:pPr>
              <w:pStyle w:val="Compact"/>
              <w:spacing w:after="40"/>
              <w:jc w:val="left"/>
            </w:pPr>
            <w:r>
              <w:rPr>
                <w:sz w:val="18"/>
              </w:rPr>
              <w:t xml:space="preserve">Settlement subject to a consent decree from the forum</w:t>
            </w:r>
          </w:p>
        </w:tc>
        <w:tc>
          <w:tcPr>
            <w:tcW w:w="2604" w:type="dxa"/>
          </w:tcPr>
          <w:p>
            <w:pPr>
              <w:pStyle w:val="Compact"/>
              <w:spacing w:after="40"/>
              <w:jc w:val="left"/>
            </w:pPr>
            <w:r>
              <w:rPr>
                <w:sz w:val="18"/>
              </w:rPr>
              <w:t xml:space="preserve">RSA para 100</w:t>
            </w:r>
          </w:p>
        </w:tc>
      </w:tr>
      <w:tr>
        <w:tc>
          <w:tcPr>
            <w:tcW w:w="1893" w:type="dxa"/>
          </w:tcPr>
          <w:p>
            <w:pPr>
              <w:pStyle w:val="Compact"/>
              <w:spacing w:after="40"/>
              <w:jc w:val="left"/>
            </w:pPr>
            <w:r>
              <w:rPr>
                <w:sz w:val="18"/>
              </w:rPr>
              <w:t xml:space="preserve">Cooling period</w:t>
            </w:r>
          </w:p>
        </w:tc>
        <w:tc>
          <w:tcPr>
            <w:tcW w:w="5141" w:type="dxa"/>
          </w:tcPr>
          <w:p>
            <w:pPr>
              <w:pStyle w:val="Compact"/>
              <w:spacing w:after="40"/>
              <w:jc w:val="left"/>
            </w:pPr>
            <w:r>
              <w:rPr>
                <w:sz w:val="18"/>
              </w:rPr>
              <w:t xml:space="preserve">Board-set, floor 12 months; technical write-offs per Board</w:t>
            </w:r>
          </w:p>
        </w:tc>
        <w:tc>
          <w:tcPr>
            <w:tcW w:w="2604" w:type="dxa"/>
          </w:tcPr>
          <w:p>
            <w:pPr>
              <w:pStyle w:val="Compact"/>
              <w:spacing w:after="40"/>
              <w:jc w:val="left"/>
            </w:pPr>
            <w:r>
              <w:rPr>
                <w:sz w:val="18"/>
              </w:rPr>
              <w:t xml:space="preserve">RSA paras 95–96</w:t>
            </w:r>
          </w:p>
        </w:tc>
      </w:tr>
      <w:tr>
        <w:tc>
          <w:tcPr>
            <w:tcW w:w="1893" w:type="dxa"/>
          </w:tcPr>
          <w:p>
            <w:pPr>
              <w:pStyle w:val="Compact"/>
              <w:spacing w:after="40"/>
              <w:jc w:val="left"/>
            </w:pPr>
            <w:r>
              <w:rPr>
                <w:sz w:val="18"/>
              </w:rPr>
              <w:t xml:space="preserve">Reporting</w:t>
            </w:r>
          </w:p>
        </w:tc>
        <w:tc>
          <w:tcPr>
            <w:tcW w:w="5141" w:type="dxa"/>
          </w:tcPr>
          <w:p>
            <w:pPr>
              <w:pStyle w:val="Compact"/>
              <w:spacing w:after="40"/>
              <w:jc w:val="left"/>
            </w:pPr>
            <w:r>
              <w:rPr>
                <w:sz w:val="18"/>
              </w:rPr>
              <w:t xml:space="preserve">Quarterly to the next higher authority; MD &amp; CEO or Board-committee approvals to the Board; para 94 content</w:t>
            </w:r>
          </w:p>
        </w:tc>
        <w:tc>
          <w:tcPr>
            <w:tcW w:w="2604" w:type="dxa"/>
          </w:tcPr>
          <w:p>
            <w:pPr>
              <w:pStyle w:val="Compact"/>
              <w:spacing w:after="40"/>
              <w:jc w:val="left"/>
            </w:pPr>
            <w:r>
              <w:rPr>
                <w:sz w:val="18"/>
              </w:rPr>
              <w:t xml:space="preserve">RSA paras 93–94</w:t>
            </w:r>
          </w:p>
        </w:tc>
      </w:tr>
      <w:tr>
        <w:tc>
          <w:tcPr>
            <w:tcW w:w="1893" w:type="dxa"/>
          </w:tcPr>
          <w:p>
            <w:pPr>
              <w:pStyle w:val="Compact"/>
              <w:spacing w:after="40"/>
              <w:jc w:val="left"/>
            </w:pPr>
            <w:r>
              <w:rPr>
                <w:sz w:val="18"/>
              </w:rPr>
              <w:t xml:space="preserve">CIC</w:t>
            </w:r>
          </w:p>
        </w:tc>
        <w:tc>
          <w:tcPr>
            <w:tcW w:w="5141" w:type="dxa"/>
          </w:tcPr>
          <w:p>
            <w:pPr>
              <w:pStyle w:val="Compact"/>
              <w:spacing w:after="40"/>
              <w:jc w:val="left"/>
            </w:pPr>
            <w:r>
              <w:rPr>
                <w:sz w:val="18"/>
              </w:rPr>
              <w:t xml:space="preserve">Report settlements with reasons;</w:t>
            </w:r>
            <w:r>
              <w:rPr>
                <w:sz w:val="18"/>
              </w:rPr>
              <w:t xml:space="preserve"> </w:t>
            </w:r>
            <w:r>
              <w:rPr>
                <w:sz w:val="18"/>
              </w:rPr>
              <w:t xml:space="preserve">“</w:t>
            </w:r>
            <w:r>
              <w:rPr>
                <w:sz w:val="18"/>
              </w:rPr>
              <w:t xml:space="preserve">settled</w:t>
            </w:r>
            <w:r>
              <w:rPr>
                <w:sz w:val="18"/>
              </w:rPr>
              <w:t xml:space="preserve">”</w:t>
            </w:r>
            <w:r>
              <w:rPr>
                <w:sz w:val="18"/>
              </w:rPr>
              <w:t xml:space="preserve"> </w:t>
            </w:r>
            <w:r>
              <w:rPr>
                <w:sz w:val="18"/>
              </w:rPr>
              <w:t xml:space="preserve">only for waivers due to financial inability; wrong debits and contested charges as</w:t>
            </w:r>
            <w:r>
              <w:rPr>
                <w:sz w:val="18"/>
              </w:rPr>
              <w:t xml:space="preserve"> </w:t>
            </w:r>
            <w:r>
              <w:rPr>
                <w:sz w:val="18"/>
              </w:rPr>
              <w:t xml:space="preserve">“</w:t>
            </w:r>
            <w:r>
              <w:rPr>
                <w:sz w:val="18"/>
              </w:rPr>
              <w:t xml:space="preserve">disputed</w:t>
            </w:r>
            <w:r>
              <w:rPr>
                <w:sz w:val="18"/>
              </w:rPr>
              <w:t xml:space="preserve">”</w:t>
            </w:r>
          </w:p>
        </w:tc>
        <w:tc>
          <w:tcPr>
            <w:tcW w:w="2604" w:type="dxa"/>
          </w:tcPr>
          <w:p>
            <w:pPr>
              <w:pStyle w:val="Compact"/>
              <w:spacing w:after="40"/>
              <w:jc w:val="left"/>
            </w:pPr>
            <w:r>
              <w:rPr>
                <w:sz w:val="18"/>
              </w:rPr>
              <w:t xml:space="preserve">CIR paras 12(2), 12(4)</w:t>
            </w:r>
          </w:p>
        </w:tc>
      </w:tr>
    </w:tbl>
    <w:p>
      <w:pPr>
        <w:numPr>
          <w:ilvl w:val="0"/>
          <w:numId w:val="1229"/>
        </w:numPr>
        <w:pStyle w:val="Compact"/>
      </w:pPr>
      <w:r>
        <w:rPr>
          <w:bCs/>
          <w:b/>
        </w:rPr>
        <w:t xml:space="preserve">Calculator:</w:t>
      </w:r>
      <w:r>
        <w:t xml:space="preserve"> </w:t>
      </w:r>
      <w:r>
        <w:t xml:space="preserve">NPV of the offer against the realisable path for each permitted mechanism (R1 estimates of time, cost and recovery); sacrifice by component (penal charges, interest, principal, costs); band check by product, DPD and amount. Bots and Udofin may present offers only inside the pre-approved band (R15.3).</w:t>
      </w:r>
    </w:p>
    <w:p>
      <w:pPr>
        <w:numPr>
          <w:ilvl w:val="0"/>
          <w:numId w:val="1229"/>
        </w:numPr>
        <w:pStyle w:val="Compact"/>
      </w:pPr>
      <w:r>
        <w:rPr>
          <w:bCs/>
          <w:b/>
        </w:rPr>
        <w:t xml:space="preserve">Negotiation log:</w:t>
      </w:r>
      <w:r>
        <w:t xml:space="preserve"> </w:t>
      </w:r>
      <w:r>
        <w:t xml:space="preserve">every offer and counter-offer, channel, participants, recording or transcript reference (none for mediation) and the policy-check result at that moment (extends the R2.5 log).</w:t>
      </w:r>
    </w:p>
    <w:p>
      <w:pPr>
        <w:numPr>
          <w:ilvl w:val="0"/>
          <w:numId w:val="1229"/>
        </w:numPr>
        <w:pStyle w:val="Compact"/>
      </w:pPr>
      <w:r>
        <w:rPr>
          <w:bCs/>
          <w:b/>
        </w:rPr>
        <w:t xml:space="preserve">States:</w:t>
      </w:r>
      <w:r>
        <w:t xml:space="preserve"> </w:t>
      </w:r>
      <w:r>
        <w:rPr>
          <w:rStyle w:val="VerbatimChar"/>
        </w:rPr>
        <w:t xml:space="preserve">SETTLEMENT_REQUESTED → PROPOSAL_DRAFTED → POLICY_CHECKED → APPROVAL_ROUTED → APPROVED | REJECTED → OFFER_ISSUED → ACCEPTED (eSign) → [CONSENT_DECREE_REQUIRED → DECREE_RECORDED] → PAYMENT_PLAN_ACTIVE → COMPLETED | BREACHED → CURE_PERIOD → REVIVED → CLOSED</w:t>
      </w:r>
      <w:r>
        <w:t xml:space="preserve">.</w:t>
      </w:r>
    </w:p>
    <w:p>
      <w:pPr>
        <w:numPr>
          <w:ilvl w:val="0"/>
          <w:numId w:val="1229"/>
        </w:numPr>
        <w:pStyle w:val="Compact"/>
      </w:pPr>
      <w:r>
        <w:rPr>
          <w:bCs/>
          <w:b/>
        </w:rPr>
        <w:t xml:space="preserve">On completion:</w:t>
      </w:r>
      <w:r>
        <w:t xml:space="preserve"> </w:t>
      </w:r>
      <w:r>
        <w:t xml:space="preserve">NOC; release of security (property documents within 30 days, RBC paras 35–39; gold within 7 working days, RBC paras 58, 69); CIC update; LWD removal where due; CERSAI satisfaction; cooling-period block in the M4 BRE; R12 row 19.</w:t>
      </w:r>
    </w:p>
    <w:p>
      <w:pPr>
        <w:numPr>
          <w:ilvl w:val="0"/>
          <w:numId w:val="1229"/>
        </w:numPr>
        <w:pStyle w:val="Compact"/>
      </w:pPr>
      <w:r>
        <w:rPr>
          <w:bCs/>
          <w:b/>
        </w:rPr>
        <w:t xml:space="preserve">Shared exposures:</w:t>
      </w:r>
      <w:r>
        <w:t xml:space="preserve"> </w:t>
      </w:r>
      <w:r>
        <w:t xml:space="preserve">each lender approves its own share under its own policy; the servicer issues one joint offer only when all approvals exist (R13.2). A DLG provider has no approval right.</w:t>
      </w:r>
    </w:p>
    <w:bookmarkEnd w:id="159"/>
    <w:bookmarkStart w:id="160" w:name="r8.2-arbitration-gates"/>
    <w:p>
      <w:pPr>
        <w:pStyle w:val="Heading3"/>
      </w:pPr>
      <w:r>
        <w:t xml:space="preserve">R8.2 Arbitration gates</w:t>
      </w:r>
    </w:p>
    <w:p>
      <w:pPr>
        <w:pStyle w:val="FirstParagraph"/>
      </w:pPr>
      <w:r>
        <w:t xml:space="preserve">R1.4 decides arbitrability: blocked for banks and notified FIs with RDB claims ≥ ₹20 lakh (</w:t>
      </w:r>
      <w:r>
        <w:rPr>
          <w:iCs/>
          <w:i/>
        </w:rPr>
        <w:t xml:space="preserve">Vidya Drolia</w:t>
      </w:r>
      <w:r>
        <w:t xml:space="preserve">, SC, 14 Dec 2020), for in-rem mortgage enforcement (</w:t>
      </w:r>
      <w:r>
        <w:rPr>
          <w:iCs/>
          <w:i/>
        </w:rPr>
        <w:t xml:space="preserve">Booz Allen</w:t>
      </w:r>
      <w:r>
        <w:t xml:space="preserve"> </w:t>
      </w:r>
      <w:r>
        <w:t xml:space="preserve">(2011) 5 SCC 532), under an IBC moratorium, and not compellable while a consumer complaint is pending (</w:t>
      </w:r>
      <w:r>
        <w:rPr>
          <w:iCs/>
          <w:i/>
        </w:rPr>
        <w:t xml:space="preserve">Emaar MGF v. Aftab Singh</w:t>
      </w:r>
      <w:r>
        <w:t xml:space="preserve"> </w:t>
      </w:r>
      <w:r>
        <w:t xml:space="preserve">(2019) 12 SCC 751). Where it is permitted, four gates apply and none can be overridden.</w:t>
      </w:r>
    </w:p>
    <w:p>
      <w:pPr>
        <w:numPr>
          <w:ilvl w:val="0"/>
          <w:numId w:val="1230"/>
        </w:numPr>
        <w:pStyle w:val="Compact"/>
      </w:pPr>
      <w:r>
        <w:rPr>
          <w:bCs/>
          <w:b/>
        </w:rPr>
        <w:t xml:space="preserve">Gate A — consent basis.</w:t>
      </w:r>
      <w:r>
        <w:t xml:space="preserve"> </w:t>
      </w:r>
      <w:r>
        <w:t xml:space="preserve">Either the loan agreement version on the account pre-names Equator or another independent institution (clause, version, execution and stamp proof stored; appointment by such an institution is not unilateral,</w:t>
      </w:r>
      <w:r>
        <w:t xml:space="preserve"> </w:t>
      </w:r>
      <w:r>
        <w:rPr>
          <w:iCs/>
          <w:i/>
        </w:rPr>
        <w:t xml:space="preserve">Sundaram Finance v. Hanuman Prasad</w:t>
      </w:r>
      <w:r>
        <w:t xml:space="preserve">, Raj HC, SBCWP 17398/2024, 2026), or the borrower gives written post-dispute consent naming the institution (eSign or OTP, IP, timestamp, full text shown, explicit decline path). Otherwise the referral is blocked and the engine offers a s.11 petition (R9) or other routes; referral to a provider not pre-agreed is unilateral in substance and the award a nullity (</w:t>
      </w:r>
      <w:r>
        <w:rPr>
          <w:iCs/>
          <w:i/>
        </w:rPr>
        <w:t xml:space="preserve">L&amp;T Finance v. Jai Paras Material Store</w:t>
      </w:r>
      <w:r>
        <w:t xml:space="preserve">, Cal HC, EC-COM 218/2026, 14 May 2026).</w:t>
      </w:r>
    </w:p>
    <w:p>
      <w:pPr>
        <w:numPr>
          <w:ilvl w:val="0"/>
          <w:numId w:val="1230"/>
        </w:numPr>
        <w:pStyle w:val="Compact"/>
      </w:pPr>
      <w:r>
        <w:rPr>
          <w:bCs/>
          <w:b/>
        </w:rPr>
        <w:t xml:space="preserve">Gate B — no unilateral appointment.</w:t>
      </w:r>
      <w:r>
        <w:t xml:space="preserve"> </w:t>
      </w:r>
      <w:r>
        <w:t xml:space="preserve">The tenant, its counsel, agencies and Udofin cannot nominate, shortlist, rank or veto a neutral, or force a choice from a tenant-curated panel (</w:t>
      </w:r>
      <w:r>
        <w:rPr>
          <w:iCs/>
          <w:i/>
        </w:rPr>
        <w:t xml:space="preserve">CORE v. ECI-SPIC-SMO-MCML (JV)</w:t>
      </w:r>
      <w:r>
        <w:t xml:space="preserve">, Constitution Bench, 8 Nov 2024;</w:t>
      </w:r>
      <w:r>
        <w:t xml:space="preserve"> </w:t>
      </w:r>
      <w:r>
        <w:rPr>
          <w:iCs/>
          <w:i/>
        </w:rPr>
        <w:t xml:space="preserve">Perkins Eastman v. HSCC</w:t>
      </w:r>
      <w:r>
        <w:t xml:space="preserve"> </w:t>
      </w:r>
      <w:r>
        <w:t xml:space="preserve">(2020) 20 SCC 760); a s.12(5) waiver needs an express post-dispute written agreement (</w:t>
      </w:r>
      <w:r>
        <w:rPr>
          <w:iCs/>
          <w:i/>
        </w:rPr>
        <w:t xml:space="preserve">Bharat Broadband</w:t>
      </w:r>
      <w:r>
        <w:t xml:space="preserve"> </w:t>
      </w:r>
      <w:r>
        <w:t xml:space="preserve">(2019) 5 SCC 755). The API has no</w:t>
      </w:r>
      <w:r>
        <w:t xml:space="preserve"> </w:t>
      </w:r>
      <w:r>
        <w:t xml:space="preserve">“</w:t>
      </w:r>
      <w:r>
        <w:t xml:space="preserve">preferred neutral</w:t>
      </w:r>
      <w:r>
        <w:t xml:space="preserve">”</w:t>
      </w:r>
      <w:r>
        <w:t xml:space="preserve"> </w:t>
      </w:r>
      <w:r>
        <w:t xml:space="preserve">field.</w:t>
      </w:r>
    </w:p>
    <w:p>
      <w:pPr>
        <w:numPr>
          <w:ilvl w:val="0"/>
          <w:numId w:val="1230"/>
        </w:numPr>
        <w:pStyle w:val="Compact"/>
      </w:pPr>
      <w:r>
        <w:rPr>
          <w:bCs/>
          <w:b/>
        </w:rPr>
        <w:t xml:space="preserve">Gate C — independence evidence.</w:t>
      </w:r>
      <w:r>
        <w:t xml:space="preserve"> </w:t>
      </w:r>
      <w:r>
        <w:t xml:space="preserve">For each appointment the provider returns the pool snapshot, filters, random seed and selection log; the neutral’s 3-year count of this tenant’s matters against the configured cap (Fifth Schedule items 22 and 24); the Sixth Schedule disclosure signed before acceptance; a Seventh Schedule conflict check; and the fee basis (published schedule, paid to the institution or neutral, never through the tenant’s counsel, no outcome-linked fee). In</w:t>
      </w:r>
      <w:r>
        <w:t xml:space="preserve"> </w:t>
      </w:r>
      <w:r>
        <w:rPr>
          <w:iCs/>
          <w:i/>
        </w:rPr>
        <w:t xml:space="preserve">Shikha Ghosh v. Axis Bank</w:t>
      </w:r>
      <w:r>
        <w:t xml:space="preserve"> </w:t>
      </w:r>
      <w:r>
        <w:t xml:space="preserve">(Del HC DB, FAO(COMM) 91/2025, 30 Sep 2026) an arbitrator who handled 4,155 of a bank’s cases and was paid through its lawyer produced unenforceable awards; the bank and RBI must file affidavits by 16 Nov 2026, next date 17 Nov 2026 [VERIFY: outcome and any RBI direction before go-live].</w:t>
      </w:r>
    </w:p>
    <w:p>
      <w:pPr>
        <w:numPr>
          <w:ilvl w:val="0"/>
          <w:numId w:val="1230"/>
        </w:numPr>
        <w:pStyle w:val="Compact"/>
      </w:pPr>
      <w:r>
        <w:rPr>
          <w:bCs/>
          <w:b/>
        </w:rPr>
        <w:t xml:space="preserve">Gate D — service.</w:t>
      </w:r>
      <w:r>
        <w:t xml:space="preserve"> </w:t>
      </w:r>
      <w:r>
        <w:t xml:space="preserve">The s.21 request goes to every known address and email through R3 with delivery evidence; no deemed service without evidence or a documented reasonable inquiry (A&amp;C s.3;</w:t>
      </w:r>
      <w:r>
        <w:t xml:space="preserve"> </w:t>
      </w:r>
      <w:r>
        <w:rPr>
          <w:iCs/>
          <w:i/>
        </w:rPr>
        <w:t xml:space="preserve">Sedhram Nilkanth Muglikar v. M.R. Makhare</w:t>
      </w:r>
      <w:r>
        <w:t xml:space="preserve">, Bom HC, 2026).</w:t>
      </w:r>
    </w:p>
    <w:p>
      <w:pPr>
        <w:pStyle w:val="FirstParagraph"/>
      </w:pPr>
      <w:r>
        <w:rPr>
          <w:bCs/>
          <w:b/>
        </w:rPr>
        <w:t xml:space="preserve">Timelines (R9 alerts):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02"/>
        <w:gridCol w:w="4488"/>
        <w:gridCol w:w="3448"/>
      </w:tblGrid>
      <w:tr>
        <w:trPr>
          <w:tblHeader w:val="true"/>
          <w:tblHeader w:val="true"/>
        </w:trPr>
        <w:tc>
          <w:tcPr>
            <w:tcW w:w="1702" w:type="dxa"/>
            <w:shd w:val="clear" w:color="auto" w:fill="1F3A5F"/>
          </w:tcPr>
          <w:p>
            <w:pPr>
              <w:pStyle w:val="Compact"/>
              <w:spacing w:after="40"/>
              <w:jc w:val="left"/>
            </w:pPr>
            <w:r>
              <w:rPr>
                <w:b/>
                <w:color w:val="FFFFFF"/>
                <w:sz w:val="18"/>
              </w:rPr>
              <w:t xml:space="preserve">Step</w:t>
            </w:r>
          </w:p>
        </w:tc>
        <w:tc>
          <w:tcPr>
            <w:tcW w:w="4488" w:type="dxa"/>
            <w:shd w:val="clear" w:color="auto" w:fill="1F3A5F"/>
          </w:tcPr>
          <w:p>
            <w:pPr>
              <w:pStyle w:val="Compact"/>
              <w:spacing w:after="40"/>
              <w:jc w:val="left"/>
            </w:pPr>
            <w:r>
              <w:rPr>
                <w:b/>
                <w:color w:val="FFFFFF"/>
                <w:sz w:val="18"/>
              </w:rPr>
              <w:t xml:space="preserve">Limit</w:t>
            </w:r>
          </w:p>
        </w:tc>
        <w:tc>
          <w:tcPr>
            <w:tcW w:w="3448" w:type="dxa"/>
            <w:shd w:val="clear" w:color="auto" w:fill="1F3A5F"/>
          </w:tcPr>
          <w:p>
            <w:pPr>
              <w:pStyle w:val="Compact"/>
              <w:spacing w:after="40"/>
              <w:jc w:val="left"/>
            </w:pPr>
            <w:r>
              <w:rPr>
                <w:b/>
                <w:color w:val="FFFFFF"/>
                <w:sz w:val="18"/>
              </w:rPr>
              <w:t xml:space="preserve">Basis</w:t>
            </w:r>
          </w:p>
        </w:tc>
      </w:tr>
      <w:tr>
        <w:tc>
          <w:tcPr>
            <w:tcW w:w="1702" w:type="dxa"/>
          </w:tcPr>
          <w:p>
            <w:pPr>
              <w:pStyle w:val="Compact"/>
              <w:spacing w:after="40"/>
              <w:jc w:val="left"/>
            </w:pPr>
            <w:r>
              <w:rPr>
                <w:sz w:val="18"/>
              </w:rPr>
              <w:t xml:space="preserve">Commencement</w:t>
            </w:r>
          </w:p>
        </w:tc>
        <w:tc>
          <w:tcPr>
            <w:tcW w:w="4488" w:type="dxa"/>
          </w:tcPr>
          <w:p>
            <w:pPr>
              <w:pStyle w:val="Compact"/>
              <w:spacing w:after="40"/>
              <w:jc w:val="left"/>
            </w:pPr>
            <w:r>
              <w:rPr>
                <w:sz w:val="18"/>
              </w:rPr>
              <w:t xml:space="preserve">Receipt of the s.21 request (limitation anchor)</w:t>
            </w:r>
          </w:p>
        </w:tc>
        <w:tc>
          <w:tcPr>
            <w:tcW w:w="3448" w:type="dxa"/>
          </w:tcPr>
          <w:p>
            <w:pPr>
              <w:pStyle w:val="Compact"/>
              <w:spacing w:after="40"/>
              <w:jc w:val="left"/>
            </w:pPr>
            <w:r>
              <w:rPr>
                <w:sz w:val="18"/>
              </w:rPr>
              <w:t xml:space="preserve">A&amp;C ss.21, 43</w:t>
            </w:r>
          </w:p>
        </w:tc>
      </w:tr>
      <w:tr>
        <w:tc>
          <w:tcPr>
            <w:tcW w:w="1702" w:type="dxa"/>
          </w:tcPr>
          <w:p>
            <w:pPr>
              <w:pStyle w:val="Compact"/>
              <w:spacing w:after="40"/>
              <w:jc w:val="left"/>
            </w:pPr>
            <w:r>
              <w:rPr>
                <w:sz w:val="18"/>
              </w:rPr>
              <w:t xml:space="preserve">Failure to appoint</w:t>
            </w:r>
          </w:p>
        </w:tc>
        <w:tc>
          <w:tcPr>
            <w:tcW w:w="4488" w:type="dxa"/>
          </w:tcPr>
          <w:p>
            <w:pPr>
              <w:pStyle w:val="Compact"/>
              <w:spacing w:after="40"/>
              <w:jc w:val="left"/>
            </w:pPr>
            <w:r>
              <w:rPr>
                <w:sz w:val="18"/>
              </w:rPr>
              <w:t xml:space="preserve">s.11 petition after 30 days, within 3 years</w:t>
            </w:r>
          </w:p>
        </w:tc>
        <w:tc>
          <w:tcPr>
            <w:tcW w:w="3448" w:type="dxa"/>
          </w:tcPr>
          <w:p>
            <w:pPr>
              <w:pStyle w:val="Compact"/>
              <w:spacing w:after="40"/>
              <w:jc w:val="left"/>
            </w:pPr>
            <w:r>
              <w:rPr>
                <w:sz w:val="18"/>
              </w:rPr>
              <w:t xml:space="preserve">s.11(4)–(5);</w:t>
            </w:r>
            <w:r>
              <w:rPr>
                <w:sz w:val="18"/>
              </w:rPr>
              <w:t xml:space="preserve"> </w:t>
            </w:r>
            <w:r>
              <w:rPr>
                <w:iCs/>
                <w:i/>
                <w:sz w:val="18"/>
              </w:rPr>
              <w:t xml:space="preserve">Arif Azim v. Aptech</w:t>
            </w:r>
            <w:r>
              <w:rPr>
                <w:sz w:val="18"/>
              </w:rPr>
              <w:t xml:space="preserve"> </w:t>
            </w:r>
            <w:r>
              <w:rPr>
                <w:sz w:val="18"/>
              </w:rPr>
              <w:t xml:space="preserve">(2024 INSC 155)</w:t>
            </w:r>
          </w:p>
        </w:tc>
      </w:tr>
      <w:tr>
        <w:tc>
          <w:tcPr>
            <w:tcW w:w="1702" w:type="dxa"/>
          </w:tcPr>
          <w:p>
            <w:pPr>
              <w:pStyle w:val="Compact"/>
              <w:spacing w:after="40"/>
              <w:jc w:val="left"/>
            </w:pPr>
            <w:r>
              <w:rPr>
                <w:sz w:val="18"/>
              </w:rPr>
              <w:t xml:space="preserve">Challenge to neutral</w:t>
            </w:r>
          </w:p>
        </w:tc>
        <w:tc>
          <w:tcPr>
            <w:tcW w:w="4488" w:type="dxa"/>
          </w:tcPr>
          <w:p>
            <w:pPr>
              <w:pStyle w:val="Compact"/>
              <w:spacing w:after="40"/>
              <w:jc w:val="left"/>
            </w:pPr>
            <w:r>
              <w:rPr>
                <w:sz w:val="18"/>
              </w:rPr>
              <w:t xml:space="preserve">15 days from awareness</w:t>
            </w:r>
          </w:p>
        </w:tc>
        <w:tc>
          <w:tcPr>
            <w:tcW w:w="3448" w:type="dxa"/>
          </w:tcPr>
          <w:p>
            <w:pPr>
              <w:pStyle w:val="Compact"/>
              <w:spacing w:after="40"/>
              <w:jc w:val="left"/>
            </w:pPr>
            <w:r>
              <w:rPr>
                <w:sz w:val="18"/>
              </w:rPr>
              <w:t xml:space="preserve">s.13(2)</w:t>
            </w:r>
          </w:p>
        </w:tc>
      </w:tr>
      <w:tr>
        <w:tc>
          <w:tcPr>
            <w:tcW w:w="1702" w:type="dxa"/>
          </w:tcPr>
          <w:p>
            <w:pPr>
              <w:pStyle w:val="Compact"/>
              <w:spacing w:after="40"/>
              <w:jc w:val="left"/>
            </w:pPr>
            <w:r>
              <w:rPr>
                <w:sz w:val="18"/>
              </w:rPr>
              <w:t xml:space="preserve">Pleadings</w:t>
            </w:r>
          </w:p>
        </w:tc>
        <w:tc>
          <w:tcPr>
            <w:tcW w:w="4488" w:type="dxa"/>
          </w:tcPr>
          <w:p>
            <w:pPr>
              <w:pStyle w:val="Compact"/>
              <w:spacing w:after="40"/>
              <w:jc w:val="left"/>
            </w:pPr>
            <w:r>
              <w:rPr>
                <w:sz w:val="18"/>
              </w:rPr>
              <w:t xml:space="preserve">6 months from the arbitrator’s notice of appointment</w:t>
            </w:r>
          </w:p>
        </w:tc>
        <w:tc>
          <w:tcPr>
            <w:tcW w:w="3448" w:type="dxa"/>
          </w:tcPr>
          <w:p>
            <w:pPr>
              <w:pStyle w:val="Compact"/>
              <w:spacing w:after="40"/>
              <w:jc w:val="left"/>
            </w:pPr>
            <w:r>
              <w:rPr>
                <w:sz w:val="18"/>
              </w:rPr>
              <w:t xml:space="preserve">s.23(4)</w:t>
            </w:r>
          </w:p>
        </w:tc>
      </w:tr>
      <w:tr>
        <w:tc>
          <w:tcPr>
            <w:tcW w:w="1702" w:type="dxa"/>
          </w:tcPr>
          <w:p>
            <w:pPr>
              <w:pStyle w:val="Compact"/>
              <w:spacing w:after="40"/>
              <w:jc w:val="left"/>
            </w:pPr>
            <w:r>
              <w:rPr>
                <w:sz w:val="18"/>
              </w:rPr>
              <w:t xml:space="preserve">Award</w:t>
            </w:r>
          </w:p>
        </w:tc>
        <w:tc>
          <w:tcPr>
            <w:tcW w:w="4488" w:type="dxa"/>
          </w:tcPr>
          <w:p>
            <w:pPr>
              <w:pStyle w:val="Compact"/>
              <w:spacing w:after="40"/>
              <w:jc w:val="left"/>
            </w:pPr>
            <w:r>
              <w:rPr>
                <w:sz w:val="18"/>
              </w:rPr>
              <w:t xml:space="preserve">12 months from completion of pleadings; + 6 by consent; then court</w:t>
            </w:r>
          </w:p>
        </w:tc>
        <w:tc>
          <w:tcPr>
            <w:tcW w:w="3448" w:type="dxa"/>
          </w:tcPr>
          <w:p>
            <w:pPr>
              <w:pStyle w:val="Compact"/>
              <w:spacing w:after="40"/>
              <w:jc w:val="left"/>
            </w:pPr>
            <w:r>
              <w:rPr>
                <w:sz w:val="18"/>
              </w:rPr>
              <w:t xml:space="preserve">s.29A</w:t>
            </w:r>
          </w:p>
        </w:tc>
      </w:tr>
      <w:tr>
        <w:tc>
          <w:tcPr>
            <w:tcW w:w="1702" w:type="dxa"/>
          </w:tcPr>
          <w:p>
            <w:pPr>
              <w:pStyle w:val="Compact"/>
              <w:spacing w:after="40"/>
              <w:jc w:val="left"/>
            </w:pPr>
            <w:r>
              <w:rPr>
                <w:sz w:val="18"/>
              </w:rPr>
              <w:t xml:space="preserve">Fast track</w:t>
            </w:r>
          </w:p>
        </w:tc>
        <w:tc>
          <w:tcPr>
            <w:tcW w:w="4488" w:type="dxa"/>
          </w:tcPr>
          <w:p>
            <w:pPr>
              <w:pStyle w:val="Compact"/>
              <w:spacing w:after="40"/>
              <w:jc w:val="left"/>
            </w:pPr>
            <w:r>
              <w:rPr>
                <w:sz w:val="18"/>
              </w:rPr>
              <w:t xml:space="preserve">6 months, on documents, by written agreement</w:t>
            </w:r>
          </w:p>
        </w:tc>
        <w:tc>
          <w:tcPr>
            <w:tcW w:w="3448" w:type="dxa"/>
          </w:tcPr>
          <w:p>
            <w:pPr>
              <w:pStyle w:val="Compact"/>
              <w:spacing w:after="40"/>
              <w:jc w:val="left"/>
            </w:pPr>
            <w:r>
              <w:rPr>
                <w:sz w:val="18"/>
              </w:rPr>
              <w:t xml:space="preserve">s.29B</w:t>
            </w:r>
          </w:p>
        </w:tc>
      </w:tr>
      <w:tr>
        <w:tc>
          <w:tcPr>
            <w:tcW w:w="1702" w:type="dxa"/>
          </w:tcPr>
          <w:p>
            <w:pPr>
              <w:pStyle w:val="Compact"/>
              <w:spacing w:after="40"/>
              <w:jc w:val="left"/>
            </w:pPr>
            <w:r>
              <w:rPr>
                <w:sz w:val="18"/>
              </w:rPr>
              <w:t xml:space="preserve">Award form</w:t>
            </w:r>
          </w:p>
        </w:tc>
        <w:tc>
          <w:tcPr>
            <w:tcW w:w="4488" w:type="dxa"/>
          </w:tcPr>
          <w:p>
            <w:pPr>
              <w:pStyle w:val="Compact"/>
              <w:spacing w:after="40"/>
              <w:jc w:val="left"/>
            </w:pPr>
            <w:r>
              <w:rPr>
                <w:sz w:val="18"/>
              </w:rPr>
              <w:t xml:space="preserve">Written, signed (eSign valid), reasoned, dated, place stated; post-award interest 2% above the current rate unless the award says otherwise</w:t>
            </w:r>
          </w:p>
        </w:tc>
        <w:tc>
          <w:tcPr>
            <w:tcW w:w="3448" w:type="dxa"/>
          </w:tcPr>
          <w:p>
            <w:pPr>
              <w:pStyle w:val="Compact"/>
              <w:spacing w:after="40"/>
              <w:jc w:val="left"/>
            </w:pPr>
            <w:r>
              <w:rPr>
                <w:sz w:val="18"/>
              </w:rPr>
              <w:t xml:space="preserve">s.31, s.31(7)(b)</w:t>
            </w:r>
          </w:p>
        </w:tc>
      </w:tr>
      <w:tr>
        <w:tc>
          <w:tcPr>
            <w:tcW w:w="1702" w:type="dxa"/>
          </w:tcPr>
          <w:p>
            <w:pPr>
              <w:pStyle w:val="Compact"/>
              <w:spacing w:after="40"/>
              <w:jc w:val="left"/>
            </w:pPr>
            <w:r>
              <w:rPr>
                <w:sz w:val="18"/>
              </w:rPr>
              <w:t xml:space="preserve">Stamping</w:t>
            </w:r>
          </w:p>
        </w:tc>
        <w:tc>
          <w:tcPr>
            <w:tcW w:w="4488" w:type="dxa"/>
          </w:tcPr>
          <w:p>
            <w:pPr>
              <w:pStyle w:val="Compact"/>
              <w:spacing w:after="40"/>
              <w:jc w:val="left"/>
            </w:pPr>
            <w:r>
              <w:rPr>
                <w:sz w:val="18"/>
              </w:rPr>
              <w:t xml:space="preserve">Duty due on signing; stamp the same day</w:t>
            </w:r>
          </w:p>
        </w:tc>
        <w:tc>
          <w:tcPr>
            <w:tcW w:w="3448" w:type="dxa"/>
          </w:tcPr>
          <w:p>
            <w:pPr>
              <w:pStyle w:val="Compact"/>
              <w:spacing w:after="40"/>
              <w:jc w:val="left"/>
            </w:pPr>
            <w:r>
              <w:rPr>
                <w:sz w:val="18"/>
              </w:rPr>
              <w:t xml:space="preserve">Stamp Act Sch. I Art.12 or state law;</w:t>
            </w:r>
            <w:r>
              <w:rPr>
                <w:sz w:val="18"/>
              </w:rPr>
              <w:t xml:space="preserve"> </w:t>
            </w:r>
            <w:r>
              <w:rPr>
                <w:iCs/>
                <w:i/>
                <w:sz w:val="18"/>
              </w:rPr>
              <w:t xml:space="preserve">URC Construction v. AAI</w:t>
            </w:r>
            <w:r>
              <w:rPr>
                <w:sz w:val="18"/>
              </w:rPr>
              <w:t xml:space="preserve"> </w:t>
            </w:r>
            <w:r>
              <w:rPr>
                <w:sz w:val="18"/>
              </w:rPr>
              <w:t xml:space="preserve">(Del HC, 1 Sep 2026)</w:t>
            </w:r>
          </w:p>
        </w:tc>
      </w:tr>
      <w:tr>
        <w:tc>
          <w:tcPr>
            <w:tcW w:w="1702" w:type="dxa"/>
          </w:tcPr>
          <w:p>
            <w:pPr>
              <w:pStyle w:val="Compact"/>
              <w:spacing w:after="40"/>
              <w:jc w:val="left"/>
            </w:pPr>
            <w:r>
              <w:rPr>
                <w:sz w:val="18"/>
              </w:rPr>
              <w:t xml:space="preserve">Correction</w:t>
            </w:r>
          </w:p>
        </w:tc>
        <w:tc>
          <w:tcPr>
            <w:tcW w:w="4488" w:type="dxa"/>
          </w:tcPr>
          <w:p>
            <w:pPr>
              <w:pStyle w:val="Compact"/>
              <w:spacing w:after="40"/>
              <w:jc w:val="left"/>
            </w:pPr>
            <w:r>
              <w:rPr>
                <w:sz w:val="18"/>
              </w:rPr>
              <w:t xml:space="preserve">30 days; additional award 60 days</w:t>
            </w:r>
          </w:p>
        </w:tc>
        <w:tc>
          <w:tcPr>
            <w:tcW w:w="3448" w:type="dxa"/>
          </w:tcPr>
          <w:p>
            <w:pPr>
              <w:pStyle w:val="Compact"/>
              <w:spacing w:after="40"/>
              <w:jc w:val="left"/>
            </w:pPr>
            <w:r>
              <w:rPr>
                <w:sz w:val="18"/>
              </w:rPr>
              <w:t xml:space="preserve">s.33</w:t>
            </w:r>
          </w:p>
        </w:tc>
      </w:tr>
      <w:tr>
        <w:tc>
          <w:tcPr>
            <w:tcW w:w="1702" w:type="dxa"/>
          </w:tcPr>
          <w:p>
            <w:pPr>
              <w:pStyle w:val="Compact"/>
              <w:spacing w:after="40"/>
              <w:jc w:val="left"/>
            </w:pPr>
            <w:r>
              <w:rPr>
                <w:sz w:val="18"/>
              </w:rPr>
              <w:t xml:space="preserve">Challenge</w:t>
            </w:r>
          </w:p>
        </w:tc>
        <w:tc>
          <w:tcPr>
            <w:tcW w:w="4488" w:type="dxa"/>
          </w:tcPr>
          <w:p>
            <w:pPr>
              <w:pStyle w:val="Compact"/>
              <w:spacing w:after="40"/>
              <w:jc w:val="left"/>
            </w:pPr>
            <w:r>
              <w:rPr>
                <w:sz w:val="18"/>
              </w:rPr>
              <w:t xml:space="preserve">3 months + 30 days from each party’s receipt</w:t>
            </w:r>
          </w:p>
        </w:tc>
        <w:tc>
          <w:tcPr>
            <w:tcW w:w="3448" w:type="dxa"/>
          </w:tcPr>
          <w:p>
            <w:pPr>
              <w:pStyle w:val="Compact"/>
              <w:spacing w:after="40"/>
              <w:jc w:val="left"/>
            </w:pPr>
            <w:r>
              <w:rPr>
                <w:sz w:val="18"/>
              </w:rPr>
              <w:t xml:space="preserve">s.34(3)</w:t>
            </w:r>
          </w:p>
        </w:tc>
      </w:tr>
      <w:tr>
        <w:tc>
          <w:tcPr>
            <w:tcW w:w="1702" w:type="dxa"/>
          </w:tcPr>
          <w:p>
            <w:pPr>
              <w:pStyle w:val="Compact"/>
              <w:spacing w:after="40"/>
              <w:jc w:val="left"/>
            </w:pPr>
            <w:r>
              <w:rPr>
                <w:sz w:val="18"/>
              </w:rPr>
              <w:t xml:space="preserve">Enforcement</w:t>
            </w:r>
          </w:p>
        </w:tc>
        <w:tc>
          <w:tcPr>
            <w:tcW w:w="4488" w:type="dxa"/>
          </w:tcPr>
          <w:p>
            <w:pPr>
              <w:pStyle w:val="Compact"/>
              <w:spacing w:after="40"/>
              <w:jc w:val="left"/>
            </w:pPr>
            <w:r>
              <w:rPr>
                <w:sz w:val="18"/>
              </w:rPr>
              <w:t xml:space="preserve">As a decree after the window, in the civil court where assets lie; no automatic stay</w:t>
            </w:r>
          </w:p>
        </w:tc>
        <w:tc>
          <w:tcPr>
            <w:tcW w:w="3448" w:type="dxa"/>
          </w:tcPr>
          <w:p>
            <w:pPr>
              <w:pStyle w:val="Compact"/>
              <w:spacing w:after="40"/>
              <w:jc w:val="left"/>
            </w:pPr>
            <w:r>
              <w:rPr>
                <w:sz w:val="18"/>
              </w:rPr>
              <w:t xml:space="preserve">s.36;</w:t>
            </w:r>
            <w:r>
              <w:rPr>
                <w:sz w:val="18"/>
              </w:rPr>
              <w:t xml:space="preserve"> </w:t>
            </w:r>
            <w:r>
              <w:rPr>
                <w:iCs/>
                <w:i/>
                <w:sz w:val="18"/>
              </w:rPr>
              <w:t xml:space="preserve">Sundaram Finance v. Abdul Samad</w:t>
            </w:r>
            <w:r>
              <w:rPr>
                <w:sz w:val="18"/>
              </w:rPr>
              <w:t xml:space="preserve"> </w:t>
            </w:r>
            <w:r>
              <w:rPr>
                <w:sz w:val="18"/>
              </w:rPr>
              <w:t xml:space="preserve">(2018) 3 SCC 622</w:t>
            </w:r>
          </w:p>
        </w:tc>
      </w:tr>
    </w:tbl>
    <w:p>
      <w:pPr>
        <w:numPr>
          <w:ilvl w:val="0"/>
          <w:numId w:val="1231"/>
        </w:numPr>
        <w:pStyle w:val="Compact"/>
      </w:pPr>
      <w:r>
        <w:rPr>
          <w:bCs/>
          <w:b/>
        </w:rPr>
        <w:t xml:space="preserve">Enforcement risk:</w:t>
      </w:r>
      <w:r>
        <w:t xml:space="preserve"> </w:t>
      </w:r>
      <w:r>
        <w:t xml:space="preserve">High Courts are split on whether an executing court may refuse an award by a unilaterally appointed arbitrator (refusal:</w:t>
      </w:r>
      <w:r>
        <w:t xml:space="preserve"> </w:t>
      </w:r>
      <w:r>
        <w:rPr>
          <w:iCs/>
          <w:i/>
        </w:rPr>
        <w:t xml:space="preserve">Mahavir Prasad Gupta v. GNCTD</w:t>
      </w:r>
      <w:r>
        <w:t xml:space="preserve">, Del HC DB, 31 May 2025, and</w:t>
      </w:r>
      <w:r>
        <w:t xml:space="preserve"> </w:t>
      </w:r>
      <w:r>
        <w:rPr>
          <w:iCs/>
          <w:i/>
        </w:rPr>
        <w:t xml:space="preserve">L&amp;T Finance</w:t>
      </w:r>
      <w:r>
        <w:t xml:space="preserve">; contra:</w:t>
      </w:r>
      <w:r>
        <w:t xml:space="preserve"> </w:t>
      </w:r>
      <w:r>
        <w:rPr>
          <w:iCs/>
          <w:i/>
        </w:rPr>
        <w:t xml:space="preserve">Sundaram Finance v. S.M. Thangaraj</w:t>
      </w:r>
      <w:r>
        <w:t xml:space="preserve">, Mad HC, 27 Jan 2025). Legacy awards with unilateral appointments are flagged</w:t>
      </w:r>
      <w:r>
        <w:t xml:space="preserve"> </w:t>
      </w:r>
      <w:r>
        <w:rPr>
          <w:rStyle w:val="VerbatimChar"/>
        </w:rPr>
        <w:t xml:space="preserve">ENFORCEMENT_RISK</w:t>
      </w:r>
      <w:r>
        <w:t xml:space="preserve"> </w:t>
      </w:r>
      <w:r>
        <w:t xml:space="preserve">and executed only after counsel review; legacy loans with unilateral or no-institution clauses enter a post-dispute consent campaign (UR2) or the s.11 route [REC].</w:t>
      </w:r>
    </w:p>
    <w:p>
      <w:pPr>
        <w:numPr>
          <w:ilvl w:val="0"/>
          <w:numId w:val="1231"/>
        </w:numPr>
        <w:pStyle w:val="Compact"/>
      </w:pPr>
      <w:r>
        <w:rPr>
          <w:bCs/>
          <w:b/>
        </w:rPr>
        <w:t xml:space="preserve">Interim relief:</w:t>
      </w:r>
      <w:r>
        <w:t xml:space="preserve"> </w:t>
      </w:r>
      <w:r>
        <w:t xml:space="preserve">s.9 (proceedings within 90 days, s.9(2)); s.17 tribunal orders; emergency-arbitrator orders only under institutional rules (</w:t>
      </w:r>
      <w:r>
        <w:rPr>
          <w:iCs/>
          <w:i/>
        </w:rPr>
        <w:t xml:space="preserve">Amazon v. Future Retail</w:t>
      </w:r>
      <w:r>
        <w:t xml:space="preserve"> </w:t>
      </w:r>
      <w:r>
        <w:t xml:space="preserve">(2022) 1 SCC 209).</w:t>
      </w:r>
    </w:p>
    <w:bookmarkEnd w:id="160"/>
    <w:bookmarkStart w:id="161" w:name="Xc031641302fc4b75df17f146f8adc65bdefe448"/>
    <w:p>
      <w:pPr>
        <w:pStyle w:val="Heading3"/>
      </w:pPr>
      <w:r>
        <w:t xml:space="preserve">R8.3 Conciliation (default enforceable settlement route)</w:t>
      </w:r>
    </w:p>
    <w:p>
      <w:pPr>
        <w:pStyle w:val="FirstParagraph"/>
      </w:pPr>
      <w:r>
        <w:t xml:space="preserve">Part III of the A&amp;C Act stays in force until Mediation Act s.61 and the Sixth Schedule are notified.</w:t>
      </w:r>
    </w:p>
    <w:p>
      <w:pPr>
        <w:pStyle w:val="BodyText"/>
      </w:pPr>
      <w:r>
        <w:rPr>
          <w:rStyle w:val="VerbatimChar"/>
        </w:rPr>
        <w:t xml:space="preserve">INVITED (s.62) → ACCEPTED | DECLINED | DEEMED_DECLINED (30 days' silence, s.62(4)) → CONCILIATOR_APPOINTED → SESSIONS → SETTLEMENT_SIGNED (s.73: signed by the parties, authenticated by the conciliator) → STAMPED [VERIFY: state article] → COMPLIANCE → CLOSED | NON_SETTLEMENT</w:t>
      </w:r>
    </w:p>
    <w:p>
      <w:pPr>
        <w:pStyle w:val="BodyText"/>
      </w:pPr>
      <w:r>
        <w:t xml:space="preserve">The settlement has the status of an arbitral award on agreed terms (s.74 with s.30), executable under s.36. Confidentiality (s.75); no proceedings during conciliation except to preserve rights (s.77), so limitation keeps running and protective filing stays open; the conciliator cannot later arbitrate (s.80). RSA checks apply: instalments over 3 months make it restructuring (para 89); where a proceeding is pending, the settlement is also filed there for a consent decree (para 100).</w:t>
      </w:r>
    </w:p>
    <w:bookmarkEnd w:id="161"/>
    <w:bookmarkStart w:id="162" w:name="r8.4-mediation"/>
    <w:p>
      <w:pPr>
        <w:pStyle w:val="Heading3"/>
      </w:pPr>
      <w:r>
        <w:t xml:space="preserve">R8.4 Mediation</w:t>
      </w:r>
    </w:p>
    <w:p>
      <w:pPr>
        <w:pStyle w:val="FirstParagraph"/>
      </w:pPr>
      <w:r>
        <w:t xml:space="preserve">S.O. 4384(E) of 9 Oct 2023 brought into force only ss.1, 3, 26, 31–38, 45–47, 50–54 and 56–57 of the Mediation Act 2023; the Mediation Council of India was established on 27 Aug 2026; no notification was found for ss.4–25 or 27–30 [VERIFY: egazette before go-live].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242"/>
        <w:gridCol w:w="2618"/>
        <w:gridCol w:w="2778"/>
      </w:tblGrid>
      <w:tr>
        <w:trPr>
          <w:tblHeader w:val="true"/>
          <w:tblHeader w:val="true"/>
        </w:trPr>
        <w:tc>
          <w:tcPr>
            <w:tcW w:w="4242" w:type="dxa"/>
            <w:shd w:val="clear" w:color="auto" w:fill="1F3A5F"/>
          </w:tcPr>
          <w:p>
            <w:pPr>
              <w:pStyle w:val="Compact"/>
              <w:spacing w:after="40"/>
              <w:jc w:val="left"/>
            </w:pPr>
            <w:r>
              <w:rPr>
                <w:b/>
                <w:color w:val="FFFFFF"/>
                <w:sz w:val="18"/>
              </w:rPr>
              <w:t xml:space="preserve">Provision</w:t>
            </w:r>
          </w:p>
        </w:tc>
        <w:tc>
          <w:tcPr>
            <w:tcW w:w="2618" w:type="dxa"/>
            <w:shd w:val="clear" w:color="auto" w:fill="1F3A5F"/>
          </w:tcPr>
          <w:p>
            <w:pPr>
              <w:pStyle w:val="Compact"/>
              <w:spacing w:after="40"/>
              <w:jc w:val="left"/>
            </w:pPr>
            <w:r>
              <w:rPr>
                <w:b/>
                <w:color w:val="FFFFFF"/>
                <w:sz w:val="18"/>
              </w:rPr>
              <w:t xml:space="preserve">Feature</w:t>
            </w:r>
          </w:p>
        </w:tc>
        <w:tc>
          <w:tcPr>
            <w:tcW w:w="2778" w:type="dxa"/>
            <w:shd w:val="clear" w:color="auto" w:fill="1F3A5F"/>
          </w:tcPr>
          <w:p>
            <w:pPr>
              <w:pStyle w:val="Compact"/>
              <w:spacing w:after="40"/>
              <w:jc w:val="left"/>
            </w:pPr>
            <w:r>
              <w:rPr>
                <w:b/>
                <w:color w:val="FFFFFF"/>
                <w:sz w:val="18"/>
              </w:rPr>
              <w:t xml:space="preserve">Status</w:t>
            </w:r>
          </w:p>
        </w:tc>
      </w:tr>
      <w:tr>
        <w:tc>
          <w:tcPr>
            <w:tcW w:w="4242" w:type="dxa"/>
          </w:tcPr>
          <w:p>
            <w:pPr>
              <w:pStyle w:val="Compact"/>
              <w:spacing w:after="40"/>
              <w:jc w:val="left"/>
            </w:pPr>
            <w:r>
              <w:rPr>
                <w:sz w:val="18"/>
              </w:rPr>
              <w:t xml:space="preserve">s.5 pre-litigation mediation (voluntary)</w:t>
            </w:r>
          </w:p>
        </w:tc>
        <w:tc>
          <w:tcPr>
            <w:tcW w:w="2618" w:type="dxa"/>
          </w:tcPr>
          <w:p>
            <w:pPr>
              <w:pStyle w:val="Compact"/>
              <w:spacing w:after="40"/>
              <w:jc w:val="left"/>
            </w:pPr>
            <w:r>
              <w:rPr>
                <w:sz w:val="18"/>
              </w:rPr>
              <w:t xml:space="preserve">Pre-litigation workflow</w:t>
            </w:r>
          </w:p>
        </w:tc>
        <w:tc>
          <w:tcPr>
            <w:tcW w:w="2778" w:type="dxa"/>
          </w:tcPr>
          <w:p>
            <w:pPr>
              <w:pStyle w:val="Compact"/>
              <w:spacing w:after="40"/>
              <w:jc w:val="left"/>
            </w:pPr>
            <w:r>
              <w:rPr>
                <w:sz w:val="18"/>
              </w:rPr>
              <w:t xml:space="preserve">Not notified: flag off</w:t>
            </w:r>
          </w:p>
        </w:tc>
      </w:tr>
      <w:tr>
        <w:tc>
          <w:tcPr>
            <w:tcW w:w="4242" w:type="dxa"/>
          </w:tcPr>
          <w:p>
            <w:pPr>
              <w:pStyle w:val="Compact"/>
              <w:spacing w:after="40"/>
              <w:jc w:val="left"/>
            </w:pPr>
            <w:r>
              <w:rPr>
                <w:sz w:val="18"/>
              </w:rPr>
              <w:t xml:space="preserve">s.8 (appointment in 7 days); s.18 (120 + 60 days); ss.19–20 (settlement, optional registration); s.28 (challenge 90 + 90 days)</w:t>
            </w:r>
          </w:p>
        </w:tc>
        <w:tc>
          <w:tcPr>
            <w:tcW w:w="2618" w:type="dxa"/>
          </w:tcPr>
          <w:p>
            <w:pPr>
              <w:pStyle w:val="Compact"/>
              <w:spacing w:after="40"/>
              <w:jc w:val="left"/>
            </w:pPr>
            <w:r>
              <w:rPr>
                <w:sz w:val="18"/>
              </w:rPr>
              <w:t xml:space="preserve">Clocks and records</w:t>
            </w:r>
          </w:p>
        </w:tc>
        <w:tc>
          <w:tcPr>
            <w:tcW w:w="2778" w:type="dxa"/>
          </w:tcPr>
          <w:p>
            <w:pPr>
              <w:pStyle w:val="Compact"/>
              <w:spacing w:after="40"/>
              <w:jc w:val="left"/>
            </w:pPr>
            <w:r>
              <w:rPr>
                <w:sz w:val="18"/>
              </w:rPr>
              <w:t xml:space="preserve">Not notified: built, flag off</w:t>
            </w:r>
          </w:p>
        </w:tc>
      </w:tr>
      <w:tr>
        <w:tc>
          <w:tcPr>
            <w:tcW w:w="4242" w:type="dxa"/>
          </w:tcPr>
          <w:p>
            <w:pPr>
              <w:pStyle w:val="Compact"/>
              <w:spacing w:after="40"/>
              <w:jc w:val="left"/>
            </w:pPr>
            <w:r>
              <w:rPr>
                <w:sz w:val="18"/>
              </w:rPr>
              <w:t xml:space="preserve">ss.22–23 confidentiality, no recording</w:t>
            </w:r>
          </w:p>
        </w:tc>
        <w:tc>
          <w:tcPr>
            <w:tcW w:w="2618" w:type="dxa"/>
          </w:tcPr>
          <w:p>
            <w:pPr>
              <w:pStyle w:val="Compact"/>
              <w:spacing w:after="40"/>
              <w:jc w:val="left"/>
            </w:pPr>
            <w:r>
              <w:rPr>
                <w:sz w:val="18"/>
              </w:rPr>
              <w:t xml:space="preserve">Recording hard-disabled in any mediation session</w:t>
            </w:r>
          </w:p>
        </w:tc>
        <w:tc>
          <w:tcPr>
            <w:tcW w:w="2778" w:type="dxa"/>
          </w:tcPr>
          <w:p>
            <w:pPr>
              <w:pStyle w:val="Compact"/>
              <w:spacing w:after="40"/>
              <w:jc w:val="left"/>
            </w:pPr>
            <w:r>
              <w:rPr>
                <w:sz w:val="18"/>
              </w:rPr>
              <w:t xml:space="preserve">Applied now as policy [REC]</w:t>
            </w:r>
          </w:p>
        </w:tc>
      </w:tr>
      <w:tr>
        <w:tc>
          <w:tcPr>
            <w:tcW w:w="4242" w:type="dxa"/>
          </w:tcPr>
          <w:p>
            <w:pPr>
              <w:pStyle w:val="Compact"/>
              <w:spacing w:after="40"/>
              <w:jc w:val="left"/>
            </w:pPr>
            <w:r>
              <w:rPr>
                <w:sz w:val="18"/>
              </w:rPr>
              <w:t xml:space="preserve">s.27 enforcement as a decree</w:t>
            </w:r>
          </w:p>
        </w:tc>
        <w:tc>
          <w:tcPr>
            <w:tcW w:w="2618" w:type="dxa"/>
          </w:tcPr>
          <w:p>
            <w:pPr>
              <w:pStyle w:val="Compact"/>
              <w:spacing w:after="40"/>
              <w:jc w:val="left"/>
            </w:pPr>
            <w:r>
              <w:rPr>
                <w:sz w:val="18"/>
              </w:rPr>
              <w:t xml:space="preserve">Executable title</w:t>
            </w:r>
          </w:p>
        </w:tc>
        <w:tc>
          <w:tcPr>
            <w:tcW w:w="2778" w:type="dxa"/>
          </w:tcPr>
          <w:p>
            <w:pPr>
              <w:pStyle w:val="Compact"/>
              <w:spacing w:after="40"/>
              <w:jc w:val="left"/>
            </w:pPr>
            <w:r>
              <w:rPr>
                <w:bCs/>
                <w:b/>
                <w:sz w:val="18"/>
              </w:rPr>
              <w:t xml:space="preserve">Not notified</w:t>
            </w:r>
            <w:r>
              <w:rPr>
                <w:sz w:val="18"/>
              </w:rPr>
              <w:t xml:space="preserve">: a mediated settlement is a contract only</w:t>
            </w:r>
          </w:p>
        </w:tc>
      </w:tr>
      <w:tr>
        <w:tc>
          <w:tcPr>
            <w:tcW w:w="4242" w:type="dxa"/>
          </w:tcPr>
          <w:p>
            <w:pPr>
              <w:pStyle w:val="Compact"/>
              <w:spacing w:after="40"/>
              <w:jc w:val="left"/>
            </w:pPr>
            <w:r>
              <w:rPr>
                <w:sz w:val="18"/>
              </w:rPr>
              <w:t xml:space="preserve">s.30 online mediation with written consent</w:t>
            </w:r>
          </w:p>
        </w:tc>
        <w:tc>
          <w:tcPr>
            <w:tcW w:w="2618" w:type="dxa"/>
          </w:tcPr>
          <w:p>
            <w:pPr>
              <w:pStyle w:val="Compact"/>
              <w:spacing w:after="40"/>
              <w:jc w:val="left"/>
            </w:pPr>
            <w:r>
              <w:rPr>
                <w:sz w:val="18"/>
              </w:rPr>
              <w:t xml:space="preserve">Consent capture</w:t>
            </w:r>
          </w:p>
        </w:tc>
        <w:tc>
          <w:tcPr>
            <w:tcW w:w="2778" w:type="dxa"/>
          </w:tcPr>
          <w:p>
            <w:pPr>
              <w:pStyle w:val="Compact"/>
              <w:spacing w:after="40"/>
              <w:jc w:val="left"/>
            </w:pPr>
            <w:r>
              <w:rPr>
                <w:sz w:val="18"/>
              </w:rPr>
              <w:t xml:space="preserve">Not notified: consent captured anyway [REC]</w:t>
            </w:r>
          </w:p>
        </w:tc>
      </w:tr>
      <w:tr>
        <w:tc>
          <w:tcPr>
            <w:tcW w:w="4242" w:type="dxa"/>
          </w:tcPr>
          <w:p>
            <w:pPr>
              <w:pStyle w:val="Compact"/>
              <w:spacing w:after="40"/>
              <w:jc w:val="left"/>
            </w:pPr>
            <w:r>
              <w:rPr>
                <w:sz w:val="18"/>
              </w:rPr>
              <w:t xml:space="preserve">CCA s.12A pre-institution mediation</w:t>
            </w:r>
          </w:p>
        </w:tc>
        <w:tc>
          <w:tcPr>
            <w:tcW w:w="2618" w:type="dxa"/>
          </w:tcPr>
          <w:p>
            <w:pPr>
              <w:pStyle w:val="Compact"/>
              <w:spacing w:after="40"/>
              <w:jc w:val="left"/>
            </w:pPr>
            <w:r>
              <w:rPr>
                <w:sz w:val="18"/>
              </w:rPr>
              <w:t xml:space="preserve">R5.2</w:t>
            </w:r>
          </w:p>
        </w:tc>
        <w:tc>
          <w:tcPr>
            <w:tcW w:w="2778" w:type="dxa"/>
          </w:tcPr>
          <w:p>
            <w:pPr>
              <w:pStyle w:val="Compact"/>
              <w:spacing w:after="40"/>
              <w:jc w:val="left"/>
            </w:pPr>
            <w:r>
              <w:rPr>
                <w:sz w:val="18"/>
              </w:rPr>
              <w:t xml:space="preserve">In force</w:t>
            </w:r>
          </w:p>
        </w:tc>
      </w:tr>
    </w:tbl>
    <w:p>
      <w:pPr>
        <w:pStyle w:val="BodyText"/>
      </w:pPr>
      <w:r>
        <w:t xml:space="preserve">Until s.27 is in force, a mediated outcome is converted into a s.73/74 settlement, a s.12A settlement or a consent decree before it is treated as enforceable.</w:t>
      </w:r>
    </w:p>
    <w:bookmarkEnd w:id="162"/>
    <w:bookmarkStart w:id="163" w:name="r8.5-lok-adalat"/>
    <w:p>
      <w:pPr>
        <w:pStyle w:val="Heading3"/>
      </w:pPr>
      <w:r>
        <w:t xml:space="preserve">R8.5 Lok Adalat</w:t>
      </w:r>
    </w:p>
    <w:p>
      <w:pPr>
        <w:numPr>
          <w:ilvl w:val="0"/>
          <w:numId w:val="1232"/>
        </w:numPr>
        <w:pStyle w:val="Compact"/>
      </w:pPr>
      <w:r>
        <w:rPr>
          <w:bCs/>
          <w:b/>
        </w:rPr>
        <w:t xml:space="preserve">Law:</w:t>
      </w:r>
      <w:r>
        <w:t xml:space="preserve"> </w:t>
      </w:r>
      <w:r>
        <w:t xml:space="preserve">pending and pre-litigation matters (LSA ss.19–20); the award is a deemed civil-court decree, final and not appealable (s.21); no statutory cap; RBI’s ₹20 lakh ceiling (RBI/2004-05/95, 3 Aug 2004) binds banks and AIFIs only.</w:t>
      </w:r>
    </w:p>
    <w:p>
      <w:pPr>
        <w:numPr>
          <w:ilvl w:val="0"/>
          <w:numId w:val="1232"/>
        </w:numPr>
        <w:pStyle w:val="Compact"/>
      </w:pPr>
      <w:r>
        <w:rPr>
          <w:bCs/>
          <w:b/>
        </w:rPr>
        <w:t xml:space="preserve">Calendar:</w:t>
      </w:r>
      <w:r>
        <w:t xml:space="preserve"> </w:t>
      </w:r>
      <w:r>
        <w:t xml:space="preserve">National Lok Adalats 2026 on 14 Mar, 9 May, 12 Sep and 12 Dec [VERIFY: nalsa.gov.in]; maintained per state and district; DRT Lok Adalats only for DRT-eligible tenants.</w:t>
      </w:r>
    </w:p>
    <w:p>
      <w:pPr>
        <w:numPr>
          <w:ilvl w:val="0"/>
          <w:numId w:val="1232"/>
        </w:numPr>
        <w:pStyle w:val="Compact"/>
      </w:pPr>
      <w:r>
        <w:rPr>
          <w:bCs/>
          <w:b/>
        </w:rPr>
        <w:t xml:space="preserve">Batch:</w:t>
      </w:r>
      <w:r>
        <w:t xml:space="preserve"> </w:t>
      </w:r>
      <w:r>
        <w:t xml:space="preserve">T−45 to T−30 select (exclude fraud or WD without the Board protocol, IBC moratorium, deceased without legal representatives; apply the R8.1 band); T−15 submit in the DLSA or SLSA format; per-account delegation letter signed one level above the sanctioner; LSA notice plus the tenant’s RBC-compliant SMS or email; sitting; certified award uploaded; schedule (restructuring flag over 3 months); breach → execution (R5.3); no settlement → re-queue.</w:t>
      </w:r>
    </w:p>
    <w:p>
      <w:pPr>
        <w:numPr>
          <w:ilvl w:val="0"/>
          <w:numId w:val="1232"/>
        </w:numPr>
        <w:pStyle w:val="Compact"/>
      </w:pPr>
      <w:r>
        <w:rPr>
          <w:bCs/>
          <w:b/>
        </w:rPr>
        <w:t xml:space="preserve">Permanent Lok Adalat:</w:t>
      </w:r>
      <w:r>
        <w:t xml:space="preserve"> </w:t>
      </w:r>
      <w:r>
        <w:t xml:space="preserve">a borrower forum for notified public-utility services up to ₹1 crore; once invoked, the court route is barred (s.22C) → R9.</w:t>
      </w:r>
    </w:p>
    <w:bookmarkEnd w:id="163"/>
    <w:bookmarkStart w:id="164" w:name="Xb4bd03fb222548ee5503bc571b42868858ec005"/>
    <w:p>
      <w:pPr>
        <w:pStyle w:val="Heading3"/>
      </w:pPr>
      <w:r>
        <w:t xml:space="preserve">R8.6 ADR provider abstraction and Equator</w:t>
      </w:r>
    </w:p>
    <w:p>
      <w:pPr>
        <w:pStyle w:val="FirstParagraph"/>
      </w:pPr>
      <w:r>
        <w:rPr>
          <w:bCs/>
          <w:b/>
        </w:rPr>
        <w:t xml:space="preserve">Contract</w:t>
      </w:r>
      <w:r>
        <w:t xml:space="preserve"> </w:t>
      </w:r>
      <w:r>
        <w:t xml:space="preserve">(Integration Specification): processes, appointment model with Gate C evidence, service proof, eSign and e-stamp, hearing modes, fees, data role, API or CSV/SFTP transport, SLAs. A provider is enabled only after</w:t>
      </w:r>
      <w:r>
        <w:t xml:space="preserve"> </w:t>
      </w:r>
      <w:r>
        <w:rPr>
          <w:rStyle w:val="VerbatimChar"/>
        </w:rPr>
        <w:t xml:space="preserve">ConnectorCertified</w:t>
      </w:r>
      <w:r>
        <w:t xml:space="preserve">, including an independence test pack. Equator is the first certified provider; others (for example Presolv360, Sama, Jupitice, CADRE, Webnyay) connect through adapters, CSV where no API exists.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783"/>
        <w:gridCol w:w="2438"/>
        <w:gridCol w:w="3417"/>
      </w:tblGrid>
      <w:tr>
        <w:trPr>
          <w:tblHeader w:val="true"/>
          <w:tblHeader w:val="true"/>
        </w:trPr>
        <w:tc>
          <w:tcPr>
            <w:tcW w:w="3783" w:type="dxa"/>
            <w:shd w:val="clear" w:color="auto" w:fill="1F3A5F"/>
          </w:tcPr>
          <w:p>
            <w:pPr>
              <w:pStyle w:val="Compact"/>
              <w:spacing w:after="40"/>
              <w:jc w:val="left"/>
            </w:pPr>
            <w:r>
              <w:rPr>
                <w:b/>
                <w:color w:val="FFFFFF"/>
                <w:sz w:val="18"/>
              </w:rPr>
              <w:t xml:space="preserve">Provider state</w:t>
            </w:r>
          </w:p>
        </w:tc>
        <w:tc>
          <w:tcPr>
            <w:tcW w:w="2438" w:type="dxa"/>
            <w:shd w:val="clear" w:color="auto" w:fill="1F3A5F"/>
          </w:tcPr>
          <w:p>
            <w:pPr>
              <w:pStyle w:val="Compact"/>
              <w:spacing w:after="40"/>
              <w:jc w:val="left"/>
            </w:pPr>
            <w:r>
              <w:rPr>
                <w:b/>
                <w:color w:val="FFFFFF"/>
                <w:sz w:val="18"/>
              </w:rPr>
              <w:t xml:space="preserve">Canonical event</w:t>
            </w:r>
          </w:p>
        </w:tc>
        <w:tc>
          <w:tcPr>
            <w:tcW w:w="3417" w:type="dxa"/>
            <w:shd w:val="clear" w:color="auto" w:fill="1F3A5F"/>
          </w:tcPr>
          <w:p>
            <w:pPr>
              <w:pStyle w:val="Compact"/>
              <w:spacing w:after="40"/>
              <w:jc w:val="left"/>
            </w:pPr>
            <w:r>
              <w:rPr>
                <w:b/>
                <w:color w:val="FFFFFF"/>
                <w:sz w:val="18"/>
              </w:rPr>
              <w:t xml:space="preserve">Finbyx action</w:t>
            </w:r>
          </w:p>
        </w:tc>
      </w:tr>
      <w:tr>
        <w:tc>
          <w:tcPr>
            <w:tcW w:w="3783" w:type="dxa"/>
          </w:tcPr>
          <w:p>
            <w:pPr>
              <w:pStyle w:val="Compact"/>
              <w:spacing w:after="40"/>
              <w:jc w:val="left"/>
            </w:pPr>
            <w:r>
              <w:rPr>
                <w:sz w:val="18"/>
              </w:rPr>
              <w:t xml:space="preserve">Referral sent</w:t>
            </w:r>
          </w:p>
        </w:tc>
        <w:tc>
          <w:tcPr>
            <w:tcW w:w="2438" w:type="dxa"/>
          </w:tcPr>
          <w:p>
            <w:pPr>
              <w:pStyle w:val="Compact"/>
              <w:spacing w:after="40"/>
              <w:jc w:val="left"/>
            </w:pPr>
            <w:r>
              <w:rPr>
                <w:rStyle w:val="VerbatimChar"/>
                <w:sz w:val="18"/>
              </w:rPr>
              <w:t xml:space="preserve">ADRReferralCreated</w:t>
            </w:r>
          </w:p>
        </w:tc>
        <w:tc>
          <w:tcPr>
            <w:tcW w:w="3417" w:type="dxa"/>
          </w:tcPr>
          <w:p>
            <w:pPr>
              <w:pStyle w:val="Compact"/>
              <w:spacing w:after="40"/>
              <w:jc w:val="left"/>
            </w:pPr>
            <w:r>
              <w:rPr>
                <w:sz w:val="18"/>
              </w:rPr>
              <w:t xml:space="preserve">Referral pack frozen and hashed</w:t>
            </w:r>
          </w:p>
        </w:tc>
      </w:tr>
      <w:tr>
        <w:tc>
          <w:tcPr>
            <w:tcW w:w="3783" w:type="dxa"/>
          </w:tcPr>
          <w:p>
            <w:pPr>
              <w:pStyle w:val="Compact"/>
              <w:spacing w:after="40"/>
              <w:jc w:val="left"/>
            </w:pPr>
            <w:r>
              <w:rPr>
                <w:sz w:val="18"/>
              </w:rPr>
              <w:t xml:space="preserve">Screening result; withdrawn, terminated, stayed, mandate extended</w:t>
            </w:r>
          </w:p>
        </w:tc>
        <w:tc>
          <w:tcPr>
            <w:tcW w:w="2438" w:type="dxa"/>
          </w:tcPr>
          <w:p>
            <w:pPr>
              <w:pStyle w:val="Compact"/>
              <w:spacing w:after="40"/>
              <w:jc w:val="left"/>
            </w:pPr>
            <w:r>
              <w:rPr>
                <w:rStyle w:val="VerbatimChar"/>
                <w:sz w:val="18"/>
              </w:rPr>
              <w:t xml:space="preserve">ADRCaseStatusChanged</w:t>
            </w:r>
          </w:p>
        </w:tc>
        <w:tc>
          <w:tcPr>
            <w:tcW w:w="3417" w:type="dxa"/>
          </w:tcPr>
          <w:p>
            <w:pPr>
              <w:pStyle w:val="Compact"/>
              <w:spacing w:after="40"/>
              <w:jc w:val="left"/>
            </w:pPr>
            <w:r>
              <w:rPr>
                <w:sz w:val="18"/>
              </w:rPr>
              <w:t xml:space="preserve">Fix, reroute or update the track</w:t>
            </w:r>
          </w:p>
        </w:tc>
      </w:tr>
      <w:tr>
        <w:tc>
          <w:tcPr>
            <w:tcW w:w="3783" w:type="dxa"/>
          </w:tcPr>
          <w:p>
            <w:pPr>
              <w:pStyle w:val="Compact"/>
              <w:spacing w:after="40"/>
              <w:jc w:val="left"/>
            </w:pPr>
            <w:r>
              <w:rPr>
                <w:sz w:val="18"/>
              </w:rPr>
              <w:t xml:space="preserve">Notice dispatched or delivered</w:t>
            </w:r>
          </w:p>
        </w:tc>
        <w:tc>
          <w:tcPr>
            <w:tcW w:w="2438" w:type="dxa"/>
          </w:tcPr>
          <w:p>
            <w:pPr>
              <w:pStyle w:val="Compact"/>
              <w:spacing w:after="40"/>
              <w:jc w:val="left"/>
            </w:pPr>
            <w:r>
              <w:rPr>
                <w:rStyle w:val="VerbatimChar"/>
                <w:sz w:val="18"/>
              </w:rPr>
              <w:t xml:space="preserve">NoticeServiceUpdated</w:t>
            </w:r>
          </w:p>
        </w:tc>
        <w:tc>
          <w:tcPr>
            <w:tcW w:w="3417" w:type="dxa"/>
          </w:tcPr>
          <w:p>
            <w:pPr>
              <w:pStyle w:val="Compact"/>
              <w:spacing w:after="40"/>
              <w:jc w:val="left"/>
            </w:pPr>
            <w:r>
              <w:rPr>
                <w:sz w:val="18"/>
              </w:rPr>
              <w:t xml:space="preserve">Proof per channel</w:t>
            </w:r>
          </w:p>
        </w:tc>
      </w:tr>
      <w:tr>
        <w:tc>
          <w:tcPr>
            <w:tcW w:w="3783" w:type="dxa"/>
          </w:tcPr>
          <w:p>
            <w:pPr>
              <w:pStyle w:val="Compact"/>
              <w:spacing w:after="40"/>
              <w:jc w:val="left"/>
            </w:pPr>
            <w:r>
              <w:rPr>
                <w:sz w:val="18"/>
              </w:rPr>
              <w:t xml:space="preserve">Post-dispute, online-mediation or fast-track consent; decline</w:t>
            </w:r>
          </w:p>
        </w:tc>
        <w:tc>
          <w:tcPr>
            <w:tcW w:w="2438" w:type="dxa"/>
          </w:tcPr>
          <w:p>
            <w:pPr>
              <w:pStyle w:val="Compact"/>
              <w:spacing w:after="40"/>
              <w:jc w:val="left"/>
            </w:pPr>
            <w:r>
              <w:rPr>
                <w:rStyle w:val="VerbatimChar"/>
                <w:sz w:val="18"/>
              </w:rPr>
              <w:t xml:space="preserve">ADRConsentRecorded</w:t>
            </w:r>
          </w:p>
        </w:tc>
        <w:tc>
          <w:tcPr>
            <w:tcW w:w="3417" w:type="dxa"/>
          </w:tcPr>
          <w:p>
            <w:pPr>
              <w:pStyle w:val="Compact"/>
              <w:spacing w:after="40"/>
              <w:jc w:val="left"/>
            </w:pPr>
            <w:r>
              <w:rPr>
                <w:sz w:val="18"/>
              </w:rPr>
              <w:t xml:space="preserve">Gate A satisfied or route closed</w:t>
            </w:r>
          </w:p>
        </w:tc>
      </w:tr>
      <w:tr>
        <w:tc>
          <w:tcPr>
            <w:tcW w:w="3783" w:type="dxa"/>
          </w:tcPr>
          <w:p>
            <w:pPr>
              <w:pStyle w:val="Compact"/>
              <w:spacing w:after="40"/>
              <w:jc w:val="left"/>
            </w:pPr>
            <w:r>
              <w:rPr>
                <w:sz w:val="18"/>
              </w:rPr>
              <w:t xml:space="preserve">Neutral appointed with disclosure</w:t>
            </w:r>
          </w:p>
        </w:tc>
        <w:tc>
          <w:tcPr>
            <w:tcW w:w="2438" w:type="dxa"/>
          </w:tcPr>
          <w:p>
            <w:pPr>
              <w:pStyle w:val="Compact"/>
              <w:spacing w:after="40"/>
              <w:jc w:val="left"/>
            </w:pPr>
            <w:r>
              <w:rPr>
                <w:rStyle w:val="VerbatimChar"/>
                <w:sz w:val="18"/>
              </w:rPr>
              <w:t xml:space="preserve">ADRNeutralAppointed</w:t>
            </w:r>
          </w:p>
        </w:tc>
        <w:tc>
          <w:tcPr>
            <w:tcW w:w="3417" w:type="dxa"/>
          </w:tcPr>
          <w:p>
            <w:pPr>
              <w:pStyle w:val="Compact"/>
              <w:spacing w:after="40"/>
              <w:jc w:val="left"/>
            </w:pPr>
            <w:r>
              <w:rPr>
                <w:sz w:val="18"/>
              </w:rPr>
              <w:t xml:space="preserve">Gate C checked; challenge clock</w:t>
            </w:r>
          </w:p>
        </w:tc>
      </w:tr>
      <w:tr>
        <w:tc>
          <w:tcPr>
            <w:tcW w:w="3783" w:type="dxa"/>
          </w:tcPr>
          <w:p>
            <w:pPr>
              <w:pStyle w:val="Compact"/>
              <w:spacing w:after="40"/>
              <w:jc w:val="left"/>
            </w:pPr>
            <w:r>
              <w:rPr>
                <w:sz w:val="18"/>
              </w:rPr>
              <w:t xml:space="preserve">Hearing scheduled</w:t>
            </w:r>
          </w:p>
        </w:tc>
        <w:tc>
          <w:tcPr>
            <w:tcW w:w="2438" w:type="dxa"/>
          </w:tcPr>
          <w:p>
            <w:pPr>
              <w:pStyle w:val="Compact"/>
              <w:spacing w:after="40"/>
              <w:jc w:val="left"/>
            </w:pPr>
            <w:r>
              <w:rPr>
                <w:rStyle w:val="VerbatimChar"/>
                <w:sz w:val="18"/>
              </w:rPr>
              <w:t xml:space="preserve">ADRHearingScheduled</w:t>
            </w:r>
          </w:p>
        </w:tc>
        <w:tc>
          <w:tcPr>
            <w:tcW w:w="3417" w:type="dxa"/>
          </w:tcPr>
          <w:p>
            <w:pPr>
              <w:pStyle w:val="Compact"/>
              <w:spacing w:after="40"/>
              <w:jc w:val="left"/>
            </w:pPr>
            <w:r>
              <w:rPr>
                <w:sz w:val="18"/>
              </w:rPr>
              <w:t xml:space="preserve">R9 calendar; Udofin link (UR2)</w:t>
            </w:r>
          </w:p>
        </w:tc>
      </w:tr>
      <w:tr>
        <w:tc>
          <w:tcPr>
            <w:tcW w:w="3783" w:type="dxa"/>
          </w:tcPr>
          <w:p>
            <w:pPr>
              <w:pStyle w:val="Compact"/>
              <w:spacing w:after="40"/>
              <w:jc w:val="left"/>
            </w:pPr>
            <w:r>
              <w:rPr>
                <w:sz w:val="18"/>
              </w:rPr>
              <w:t xml:space="preserve">Settlement proposed outside the mandate</w:t>
            </w:r>
          </w:p>
        </w:tc>
        <w:tc>
          <w:tcPr>
            <w:tcW w:w="2438" w:type="dxa"/>
          </w:tcPr>
          <w:p>
            <w:pPr>
              <w:pStyle w:val="Compact"/>
              <w:spacing w:after="40"/>
              <w:jc w:val="left"/>
            </w:pPr>
            <w:r>
              <w:rPr>
                <w:rStyle w:val="VerbatimChar"/>
                <w:sz w:val="18"/>
              </w:rPr>
              <w:t xml:space="preserve">ADRCaseStatusChanged</w:t>
            </w:r>
          </w:p>
        </w:tc>
        <w:tc>
          <w:tcPr>
            <w:tcW w:w="3417" w:type="dxa"/>
          </w:tcPr>
          <w:p>
            <w:pPr>
              <w:pStyle w:val="Compact"/>
              <w:spacing w:after="40"/>
              <w:jc w:val="left"/>
            </w:pPr>
            <w:r>
              <w:rPr>
                <w:sz w:val="18"/>
              </w:rPr>
              <w:t xml:space="preserve">Routed to R8.1 approval</w:t>
            </w:r>
          </w:p>
        </w:tc>
      </w:tr>
      <w:tr>
        <w:tc>
          <w:tcPr>
            <w:tcW w:w="3783" w:type="dxa"/>
          </w:tcPr>
          <w:p>
            <w:pPr>
              <w:pStyle w:val="Compact"/>
              <w:spacing w:after="40"/>
              <w:jc w:val="left"/>
            </w:pPr>
            <w:r>
              <w:rPr>
                <w:sz w:val="18"/>
              </w:rPr>
              <w:t xml:space="preserve">Settlement signed, award signed or stamped, non-settlement</w:t>
            </w:r>
          </w:p>
        </w:tc>
        <w:tc>
          <w:tcPr>
            <w:tcW w:w="2438" w:type="dxa"/>
          </w:tcPr>
          <w:p>
            <w:pPr>
              <w:pStyle w:val="Compact"/>
              <w:spacing w:after="40"/>
              <w:jc w:val="left"/>
            </w:pPr>
            <w:r>
              <w:rPr>
                <w:rStyle w:val="VerbatimChar"/>
                <w:sz w:val="18"/>
              </w:rPr>
              <w:t xml:space="preserve">ADROutcomeRecorded</w:t>
            </w:r>
          </w:p>
        </w:tc>
        <w:tc>
          <w:tcPr>
            <w:tcW w:w="3417" w:type="dxa"/>
          </w:tcPr>
          <w:p>
            <w:pPr>
              <w:pStyle w:val="Compact"/>
              <w:spacing w:after="40"/>
              <w:jc w:val="left"/>
            </w:pPr>
            <w:r>
              <w:rPr>
                <w:sz w:val="18"/>
              </w:rPr>
              <w:t xml:space="preserve">Title recorded; s.34 clock or schedule</w:t>
            </w:r>
          </w:p>
        </w:tc>
      </w:tr>
      <w:tr>
        <w:tc>
          <w:tcPr>
            <w:tcW w:w="3783" w:type="dxa"/>
          </w:tcPr>
          <w:p>
            <w:pPr>
              <w:pStyle w:val="Compact"/>
              <w:spacing w:after="40"/>
              <w:jc w:val="left"/>
            </w:pPr>
            <w:r>
              <w:rPr>
                <w:sz w:val="18"/>
              </w:rPr>
              <w:t xml:space="preserve">Payment or breach against the outcome</w:t>
            </w:r>
          </w:p>
        </w:tc>
        <w:tc>
          <w:tcPr>
            <w:tcW w:w="2438" w:type="dxa"/>
          </w:tcPr>
          <w:p>
            <w:pPr>
              <w:pStyle w:val="Compact"/>
              <w:spacing w:after="40"/>
              <w:jc w:val="left"/>
            </w:pPr>
            <w:r>
              <w:rPr>
                <w:rStyle w:val="VerbatimChar"/>
                <w:sz w:val="18"/>
              </w:rPr>
              <w:t xml:space="preserve">ADROutcomeComplianceUpdated</w:t>
            </w:r>
          </w:p>
        </w:tc>
        <w:tc>
          <w:tcPr>
            <w:tcW w:w="3417" w:type="dxa"/>
          </w:tcPr>
          <w:p>
            <w:pPr>
              <w:pStyle w:val="Compact"/>
              <w:spacing w:after="40"/>
              <w:jc w:val="left"/>
            </w:pPr>
            <w:r>
              <w:rPr>
                <w:sz w:val="18"/>
              </w:rPr>
              <w:t xml:space="preserve">R12 posting;</w:t>
            </w:r>
            <w:r>
              <w:rPr>
                <w:sz w:val="18"/>
              </w:rPr>
              <w:t xml:space="preserve"> </w:t>
            </w:r>
            <w:r>
              <w:rPr>
                <w:rStyle w:val="VerbatimChar"/>
                <w:sz w:val="18"/>
              </w:rPr>
              <w:t xml:space="preserve">SettlementBreached</w:t>
            </w:r>
            <w:r>
              <w:rPr>
                <w:sz w:val="18"/>
              </w:rPr>
              <w:t xml:space="preserve">; enforcement hand-off</w:t>
            </w:r>
          </w:p>
        </w:tc>
      </w:tr>
    </w:tbl>
    <w:p>
      <w:pPr>
        <w:numPr>
          <w:ilvl w:val="0"/>
          <w:numId w:val="1233"/>
        </w:numPr>
        <w:pStyle w:val="Compact"/>
      </w:pPr>
      <w:r>
        <w:rPr>
          <w:bCs/>
          <w:b/>
        </w:rPr>
        <w:t xml:space="preserve">Documents:</w:t>
      </w:r>
      <w:r>
        <w:t xml:space="preserve"> </w:t>
      </w:r>
      <w:r>
        <w:t xml:space="preserve">referral pack (agreement with clause and stamp proof, KFS, certified statement of account, recall and s.21 notices with proofs, settlement mandate with floor, tenor, waiver limits and expiry, authority letter); outputs (disclosures, orders, minutes except for mediation, eSigned and e-stamped settlement or award in PDF/A, non-settlement report, closure certificate); the provider keeps originals, Finbyx certified copies and hashes.</w:t>
      </w:r>
    </w:p>
    <w:p>
      <w:pPr>
        <w:numPr>
          <w:ilvl w:val="0"/>
          <w:numId w:val="1233"/>
        </w:numPr>
        <w:pStyle w:val="Compact"/>
      </w:pPr>
      <w:r>
        <w:rPr>
          <w:bCs/>
          <w:b/>
        </w:rPr>
        <w:t xml:space="preserve">Payments:</w:t>
      </w:r>
      <w:r>
        <w:t xml:space="preserve"> </w:t>
      </w:r>
      <w:r>
        <w:t xml:space="preserve">only through links or virtual accounts into the tenant’s own account (CF para 10(2)–(3)); Equator and Udofin never receive borrower money; neutral fees paid by the tenant under the provider’s schedule; any recovery of ADR costs from the borrower needs a KFS-disclosed charge or explicit consent (RBC para 29(5)) [VERIFY: interaction with penal-charge rules].</w:t>
      </w:r>
    </w:p>
    <w:p>
      <w:pPr>
        <w:numPr>
          <w:ilvl w:val="0"/>
          <w:numId w:val="1233"/>
        </w:numPr>
        <w:pStyle w:val="Compact"/>
      </w:pPr>
      <w:r>
        <w:rPr>
          <w:bCs/>
          <w:b/>
        </w:rPr>
        <w:t xml:space="preserve">Outcome compliance:</w:t>
      </w:r>
      <w:r>
        <w:t xml:space="preserve"> </w:t>
      </w:r>
      <w:r>
        <w:t xml:space="preserve">schedule tracking, reminders (UR1 where permitted), breach detection, cure notice, then R5 with an enforcement pack (certified outcome, stamp proof, service proofs, s.34 status) or R8.1 for a revised settlement.</w:t>
      </w:r>
    </w:p>
    <w:p>
      <w:pPr>
        <w:pStyle w:val="FirstParagraph"/>
      </w:pPr>
      <w:r>
        <w:rPr>
          <w:bCs/>
          <w:b/>
        </w:rPr>
        <w:t xml:space="preserve">Controls.</w:t>
      </w:r>
      <w:r>
        <w:t xml:space="preserve"> </w:t>
      </w:r>
      <w:r>
        <w:t xml:space="preserve">Gates A–D; R8.1 matrix with sanctioners excluded; a settlement cannot reach</w:t>
      </w:r>
      <w:r>
        <w:t xml:space="preserve"> </w:t>
      </w:r>
      <w:r>
        <w:rPr>
          <w:rStyle w:val="VerbatimChar"/>
        </w:rPr>
        <w:t xml:space="preserve">COMPLETED</w:t>
      </w:r>
      <w:r>
        <w:t xml:space="preserve"> </w:t>
      </w:r>
      <w:r>
        <w:t xml:space="preserve">while R9 shows a pending matter without a consent decree; mediation recording disabled; cooling-period block in M4; monthly neutral-concentration review by Compliance.</w:t>
      </w:r>
    </w:p>
    <w:p>
      <w:pPr>
        <w:pStyle w:val="BodyText"/>
      </w:pPr>
      <w:r>
        <w:rPr>
          <w:bCs/>
          <w:b/>
        </w:rPr>
        <w:t xml:space="preserve">Data captured.</w:t>
      </w:r>
      <w:r>
        <w:t xml:space="preserve"> </w:t>
      </w:r>
      <w:r>
        <w:rPr>
          <w:rStyle w:val="VerbatimChar"/>
        </w:rPr>
        <w:t xml:space="preserve">settlement_proposal</w:t>
      </w:r>
      <w:r>
        <w:t xml:space="preserve"> </w:t>
      </w:r>
      <w:r>
        <w:t xml:space="preserve">(dues snapshot, offer, sacrifice by component, NPV, policy version, restructuring flag),</w:t>
      </w:r>
      <w:r>
        <w:t xml:space="preserve"> </w:t>
      </w:r>
      <w:r>
        <w:rPr>
          <w:rStyle w:val="VerbatimChar"/>
        </w:rPr>
        <w:t xml:space="preserve">settlement_approval</w:t>
      </w:r>
      <w:r>
        <w:t xml:space="preserve">,</w:t>
      </w:r>
      <w:r>
        <w:t xml:space="preserve"> </w:t>
      </w:r>
      <w:r>
        <w:rPr>
          <w:rStyle w:val="VerbatimChar"/>
        </w:rPr>
        <w:t xml:space="preserve">settlement_schedule</w:t>
      </w:r>
      <w:r>
        <w:t xml:space="preserve">,</w:t>
      </w:r>
      <w:r>
        <w:t xml:space="preserve"> </w:t>
      </w:r>
      <w:r>
        <w:rPr>
          <w:rStyle w:val="VerbatimChar"/>
        </w:rPr>
        <w:t xml:space="preserve">settlement_breach</w:t>
      </w:r>
      <w:r>
        <w:t xml:space="preserve">,</w:t>
      </w:r>
      <w:r>
        <w:t xml:space="preserve"> </w:t>
      </w:r>
      <w:r>
        <w:rPr>
          <w:rStyle w:val="VerbatimChar"/>
        </w:rPr>
        <w:t xml:space="preserve">adr_case</w:t>
      </w:r>
      <w:r>
        <w:t xml:space="preserve">,</w:t>
      </w:r>
      <w:r>
        <w:t xml:space="preserve"> </w:t>
      </w:r>
      <w:r>
        <w:rPr>
          <w:rStyle w:val="VerbatimChar"/>
        </w:rPr>
        <w:t xml:space="preserve">arbitration_clause_version</w:t>
      </w:r>
      <w:r>
        <w:t xml:space="preserve">,</w:t>
      </w:r>
      <w:r>
        <w:t xml:space="preserve"> </w:t>
      </w:r>
      <w:r>
        <w:rPr>
          <w:rStyle w:val="VerbatimChar"/>
        </w:rPr>
        <w:t xml:space="preserve">adr_consent</w:t>
      </w:r>
      <w:r>
        <w:t xml:space="preserve">,</w:t>
      </w:r>
      <w:r>
        <w:t xml:space="preserve"> </w:t>
      </w:r>
      <w:r>
        <w:rPr>
          <w:rStyle w:val="VerbatimChar"/>
        </w:rPr>
        <w:t xml:space="preserve">neutral_appointment</w:t>
      </w:r>
      <w:r>
        <w:t xml:space="preserve">,</w:t>
      </w:r>
      <w:r>
        <w:t xml:space="preserve"> </w:t>
      </w:r>
      <w:r>
        <w:rPr>
          <w:rStyle w:val="VerbatimChar"/>
        </w:rPr>
        <w:t xml:space="preserve">adr_outcome</w:t>
      </w:r>
      <w:r>
        <w:t xml:space="preserve">,</w:t>
      </w:r>
      <w:r>
        <w:t xml:space="preserve"> </w:t>
      </w:r>
      <w:r>
        <w:rPr>
          <w:rStyle w:val="VerbatimChar"/>
        </w:rPr>
        <w:t xml:space="preserve">lok_adalat_batch</w:t>
      </w:r>
      <w:r>
        <w:t xml:space="preserve">,</w:t>
      </w:r>
      <w:r>
        <w:t xml:space="preserve"> </w:t>
      </w:r>
      <w:r>
        <w:rPr>
          <w:rStyle w:val="VerbatimChar"/>
        </w:rPr>
        <w:t xml:space="preserve">lok_adalat_entry</w:t>
      </w:r>
      <w:r>
        <w:t xml:space="preserve">; v1.3</w:t>
      </w:r>
      <w:r>
        <w:t xml:space="preserve"> </w:t>
      </w:r>
      <w:r>
        <w:rPr>
          <w:rStyle w:val="VerbatimChar"/>
        </w:rPr>
        <w:t xml:space="preserve">settlement</w:t>
      </w:r>
      <w:r>
        <w:t xml:space="preserve">,</w:t>
      </w:r>
      <w:r>
        <w:t xml:space="preserve"> </w:t>
      </w:r>
      <w:r>
        <w:rPr>
          <w:rStyle w:val="VerbatimChar"/>
        </w:rPr>
        <w:t xml:space="preserve">consent_decree</w:t>
      </w:r>
      <w:r>
        <w:t xml:space="preserve">,</w:t>
      </w:r>
      <w:r>
        <w:t xml:space="preserve"> </w:t>
      </w:r>
      <w:r>
        <w:rPr>
          <w:rStyle w:val="VerbatimChar"/>
        </w:rPr>
        <w:t xml:space="preserve">cooling_period</w:t>
      </w:r>
      <w:r>
        <w:t xml:space="preserve"> </w:t>
      </w:r>
      <w:r>
        <w:t xml:space="preserve">reused.</w:t>
      </w:r>
    </w:p>
    <w:p>
      <w:pPr>
        <w:pStyle w:val="BodyText"/>
      </w:pPr>
      <w:r>
        <w:rPr>
          <w:bCs/>
          <w:b/>
        </w:rPr>
        <w:t xml:space="preserve">Configuration.</w:t>
      </w:r>
      <w:r>
        <w:t xml:space="preserve"> </w:t>
      </w:r>
      <w:r>
        <w:t xml:space="preserve">Policy versions and bands; approval matrix; clause library (institution and alternate, seat in the borrower’s state by default [REC], online hearings, fast track, consumer carve-out); providers and caps; Lok Adalat calendars and DLSA formats; stamp rules by state.</w:t>
      </w:r>
    </w:p>
    <w:p>
      <w:pPr>
        <w:pStyle w:val="BodyText"/>
      </w:pPr>
      <w:r>
        <w:rPr>
          <w:bCs/>
          <w:b/>
        </w:rPr>
        <w:t xml:space="preserve">Events.</w:t>
      </w:r>
      <w:r>
        <w:t xml:space="preserve"> </w:t>
      </w:r>
      <w:r>
        <w:rPr>
          <w:rStyle w:val="VerbatimChar"/>
        </w:rPr>
        <w:t xml:space="preserve">SettlementRequested</w:t>
      </w:r>
      <w:r>
        <w:t xml:space="preserve">,</w:t>
      </w:r>
      <w:r>
        <w:t xml:space="preserve"> </w:t>
      </w:r>
      <w:r>
        <w:rPr>
          <w:rStyle w:val="VerbatimChar"/>
        </w:rPr>
        <w:t xml:space="preserve">SettlementOfferIssued</w:t>
      </w:r>
      <w:r>
        <w:t xml:space="preserve">,</w:t>
      </w:r>
      <w:r>
        <w:t xml:space="preserve"> </w:t>
      </w:r>
      <w:r>
        <w:rPr>
          <w:rStyle w:val="VerbatimChar"/>
        </w:rPr>
        <w:t xml:space="preserve">SettlementOfferAccepted</w:t>
      </w:r>
      <w:r>
        <w:t xml:space="preserve"> </w:t>
      </w:r>
      <w:r>
        <w:t xml:space="preserve">(consumed; eSign or OTP acceptance),</w:t>
      </w:r>
      <w:r>
        <w:t xml:space="preserve"> </w:t>
      </w:r>
      <w:r>
        <w:rPr>
          <w:rStyle w:val="VerbatimChar"/>
        </w:rPr>
        <w:t xml:space="preserve">SettlementApproved</w:t>
      </w:r>
      <w:r>
        <w:t xml:space="preserve">,</w:t>
      </w:r>
      <w:r>
        <w:t xml:space="preserve"> </w:t>
      </w:r>
      <w:r>
        <w:rPr>
          <w:rStyle w:val="VerbatimChar"/>
        </w:rPr>
        <w:t xml:space="preserve">SettlementBreached</w:t>
      </w:r>
      <w:r>
        <w:t xml:space="preserve">,</w:t>
      </w:r>
      <w:r>
        <w:t xml:space="preserve"> </w:t>
      </w:r>
      <w:r>
        <w:rPr>
          <w:rStyle w:val="VerbatimChar"/>
        </w:rPr>
        <w:t xml:space="preserve">ADRReferralCreated</w:t>
      </w:r>
      <w:r>
        <w:t xml:space="preserve">,</w:t>
      </w:r>
      <w:r>
        <w:t xml:space="preserve"> </w:t>
      </w:r>
      <w:r>
        <w:rPr>
          <w:rStyle w:val="VerbatimChar"/>
        </w:rPr>
        <w:t xml:space="preserve">ADRConsentRecorded</w:t>
      </w:r>
      <w:r>
        <w:t xml:space="preserve">,</w:t>
      </w:r>
      <w:r>
        <w:t xml:space="preserve"> </w:t>
      </w:r>
      <w:r>
        <w:rPr>
          <w:rStyle w:val="VerbatimChar"/>
        </w:rPr>
        <w:t xml:space="preserve">ADRNeutralAppointed</w:t>
      </w:r>
      <w:r>
        <w:t xml:space="preserve">,</w:t>
      </w:r>
      <w:r>
        <w:t xml:space="preserve"> </w:t>
      </w:r>
      <w:r>
        <w:rPr>
          <w:rStyle w:val="VerbatimChar"/>
        </w:rPr>
        <w:t xml:space="preserve">ADRHearingScheduled</w:t>
      </w:r>
      <w:r>
        <w:t xml:space="preserve">,</w:t>
      </w:r>
      <w:r>
        <w:t xml:space="preserve"> </w:t>
      </w:r>
      <w:r>
        <w:rPr>
          <w:rStyle w:val="VerbatimChar"/>
        </w:rPr>
        <w:t xml:space="preserve">ADRCaseStatusChanged</w:t>
      </w:r>
      <w:r>
        <w:t xml:space="preserve">,</w:t>
      </w:r>
      <w:r>
        <w:t xml:space="preserve"> </w:t>
      </w:r>
      <w:r>
        <w:rPr>
          <w:rStyle w:val="VerbatimChar"/>
        </w:rPr>
        <w:t xml:space="preserve">ADROutcomeRecorded</w:t>
      </w:r>
      <w:r>
        <w:t xml:space="preserve">,</w:t>
      </w:r>
      <w:r>
        <w:t xml:space="preserve"> </w:t>
      </w:r>
      <w:r>
        <w:rPr>
          <w:rStyle w:val="VerbatimChar"/>
        </w:rPr>
        <w:t xml:space="preserve">ADROutcomeComplianceUpdated</w:t>
      </w:r>
      <w:r>
        <w:t xml:space="preserve">,</w:t>
      </w:r>
      <w:r>
        <w:t xml:space="preserve"> </w:t>
      </w:r>
      <w:r>
        <w:rPr>
          <w:rStyle w:val="VerbatimChar"/>
        </w:rPr>
        <w:t xml:space="preserve">NoticeServiceUpdated</w:t>
      </w:r>
      <w:r>
        <w:t xml:space="preserve">,</w:t>
      </w:r>
      <w:r>
        <w:t xml:space="preserve"> </w:t>
      </w:r>
      <w:r>
        <w:rPr>
          <w:rStyle w:val="VerbatimChar"/>
        </w:rPr>
        <w:t xml:space="preserve">LitigationCaseOpened</w:t>
      </w:r>
      <w:r>
        <w:t xml:space="preserve"> </w:t>
      </w:r>
      <w:r>
        <w:t xml:space="preserve">(s.9, s.11, s.34, s.36),</w:t>
      </w:r>
      <w:r>
        <w:t xml:space="preserve"> </w:t>
      </w:r>
      <w:r>
        <w:rPr>
          <w:rStyle w:val="VerbatimChar"/>
        </w:rPr>
        <w:t xml:space="preserve">RecoveryReceiptPosted</w:t>
      </w:r>
      <w:r>
        <w:t xml:space="preserve">,</w:t>
      </w:r>
      <w:r>
        <w:t xml:space="preserve"> </w:t>
      </w:r>
      <w:r>
        <w:rPr>
          <w:rStyle w:val="VerbatimChar"/>
        </w:rPr>
        <w:t xml:space="preserve">RecoveryCaseClosed</w:t>
      </w:r>
      <w:r>
        <w:t xml:space="preserve">,</w:t>
      </w:r>
      <w:r>
        <w:t xml:space="preserve"> </w:t>
      </w:r>
      <w:r>
        <w:rPr>
          <w:rStyle w:val="VerbatimChar"/>
        </w:rPr>
        <w:t xml:space="preserve">PolicyAttested</w:t>
      </w:r>
      <w:r>
        <w:t xml:space="preserve">.</w:t>
      </w:r>
    </w:p>
    <w:p>
      <w:pPr>
        <w:pStyle w:val="BodyText"/>
      </w:pPr>
      <w:r>
        <w:rPr>
          <w:bCs/>
          <w:b/>
        </w:rPr>
        <w:t xml:space="preserve">Tests (R8).</w:t>
      </w:r>
      <w:r>
        <w:t xml:space="preserve"> </w:t>
      </w:r>
      <w:r>
        <w:t xml:space="preserve">1. Four monthly instalments → restructuring tag before approval; three instalments within 3 months → no tag.</w:t>
      </w:r>
      <w:r>
        <w:t xml:space="preserve"> </w:t>
      </w:r>
      <w:r>
        <w:t xml:space="preserve">2. Approver who sat on the sanctioning committee → blocked; fraud-classified borrower → routed to the Board.</w:t>
      </w:r>
      <w:r>
        <w:t xml:space="preserve"> </w:t>
      </w:r>
      <w:r>
        <w:t xml:space="preserve">3. Pending civil suit → settlement cannot complete until a consent decree is recorded.</w:t>
      </w:r>
      <w:r>
        <w:t xml:space="preserve"> </w:t>
      </w:r>
      <w:r>
        <w:t xml:space="preserve">4. Fresh loan application 11 months after completion → BRE declines on the cooling period.</w:t>
      </w:r>
      <w:r>
        <w:t xml:space="preserve"> </w:t>
      </w:r>
      <w:r>
        <w:t xml:space="preserve">5. Clause names no institution and no post-dispute consent → referral blocked with the</w:t>
      </w:r>
      <w:r>
        <w:t xml:space="preserve"> </w:t>
      </w:r>
      <w:r>
        <w:rPr>
          <w:iCs/>
          <w:i/>
        </w:rPr>
        <w:t xml:space="preserve">L&amp;T Finance</w:t>
      </w:r>
      <w:r>
        <w:t xml:space="preserve"> </w:t>
      </w:r>
      <w:r>
        <w:t xml:space="preserve">reason.</w:t>
      </w:r>
      <w:r>
        <w:t xml:space="preserve"> </w:t>
      </w:r>
      <w:r>
        <w:t xml:space="preserve">6. Neutral at the tenant’s cap → excluded; provider response without a selection log → appointment rejected.</w:t>
      </w:r>
      <w:r>
        <w:t xml:space="preserve"> </w:t>
      </w:r>
      <w:r>
        <w:t xml:space="preserve">7. Award received 10 Apr 2027 → 3 months end 10 Jul 2027, condonable outer limit 9 Aug 2027; execution blocked until 10 Aug 2027 unless counsel records a decision to file after 10 Jul [interpretation].</w:t>
      </w:r>
      <w:r>
        <w:t xml:space="preserve"> </w:t>
      </w:r>
      <w:r>
        <w:t xml:space="preserve">8. Award not stamped within the state window → enforcement pack blocked pending impounding and duty.</w:t>
      </w:r>
      <w:r>
        <w:t xml:space="preserve"> </w:t>
      </w:r>
      <w:r>
        <w:t xml:space="preserve">9. Mediation-as-decree requested → disabled (</w:t>
      </w:r>
      <w:r>
        <w:t xml:space="preserve">“</w:t>
      </w:r>
      <w:r>
        <w:t xml:space="preserve">Mediation Act s.27 not in force</w:t>
      </w:r>
      <w:r>
        <w:t xml:space="preserve">”</w:t>
      </w:r>
      <w:r>
        <w:t xml:space="preserve">); conciliation offered.</w:t>
      </w:r>
      <w:r>
        <w:t xml:space="preserve"> </w:t>
      </w:r>
      <w:r>
        <w:t xml:space="preserve">10. Lok Adalat batch excludes a borrower under moratorium and a deceased borrower without legal representatives.</w:t>
      </w:r>
    </w:p>
    <w:p>
      <w:r>
        <w:pict>
          <v:rect style="width:0;height:1.5pt" o:hralign="center" o:hrstd="t" o:hr="t"/>
        </w:pict>
      </w:r>
    </w:p>
    <w:bookmarkEnd w:id="164"/>
    <w:bookmarkEnd w:id="165"/>
    <w:bookmarkStart w:id="172" w:name="r9.-litigation-and-proceedings-tracker"/>
    <w:p>
      <w:pPr>
        <w:pStyle w:val="Heading2"/>
      </w:pPr>
      <w:r>
        <w:t xml:space="preserve">R9. Litigation and proceedings tracker</w:t>
      </w:r>
    </w:p>
    <w:p>
      <w:pPr>
        <w:pStyle w:val="FirstParagraph"/>
      </w:pPr>
      <w:r>
        <w:rPr>
          <w:bCs/>
          <w:b/>
        </w:rPr>
        <w:t xml:space="preserve">Purpose.</w:t>
      </w:r>
      <w:r>
        <w:t xml:space="preserve"> </w:t>
      </w:r>
      <w:r>
        <w:t xml:space="preserve">One record of every proceeding the lender brings or defends, in every forum, linked to the recovery case, ADR, accounting and provisioning.</w:t>
      </w:r>
    </w:p>
    <w:bookmarkStart w:id="166" w:name="r9.1-forums-and-matter-types"/>
    <w:p>
      <w:pPr>
        <w:pStyle w:val="Heading3"/>
      </w:pPr>
      <w:r>
        <w:t xml:space="preserve">R9.1 Forums and matter types</w:t>
      </w:r>
    </w:p>
    <w:p>
      <w:pPr>
        <w:numPr>
          <w:ilvl w:val="0"/>
          <w:numId w:val="1234"/>
        </w:numPr>
        <w:pStyle w:val="Compact"/>
      </w:pPr>
      <w:r>
        <w:rPr>
          <w:bCs/>
          <w:b/>
        </w:rPr>
        <w:t xml:space="preserve">Forums:</w:t>
      </w:r>
      <w:r>
        <w:t xml:space="preserve"> </w:t>
      </w:r>
      <w:r>
        <w:t xml:space="preserve">civil and commercial courts (including Order XXXVII and execution); DRT and DRAT; NCLT and NCLAT; High Courts (writs, appeals, s.11 and s.34 petitions); Supreme Court; criminal courts (s.138 and s.25 complaints, FIRs); consumer commissions (e-Jagriti, live from 1 Jan 2025); RBI Ombudsman and CMS; arbitral tribunals; Lok Adalats and Permanent Lok Adalats; Equator and other ODR providers; revenue-recovery authorities; s.14 CMM or DM proceedings.</w:t>
      </w:r>
    </w:p>
    <w:p>
      <w:pPr>
        <w:numPr>
          <w:ilvl w:val="0"/>
          <w:numId w:val="1234"/>
        </w:numPr>
        <w:pStyle w:val="Compact"/>
      </w:pPr>
      <w:r>
        <w:rPr>
          <w:bCs/>
          <w:b/>
        </w:rPr>
        <w:t xml:space="preserve">Offensive matters:</w:t>
      </w:r>
      <w:r>
        <w:t xml:space="preserve"> </w:t>
      </w:r>
      <w:r>
        <w:t xml:space="preserve">s.14 applications, DRT original applications (where eligible), suits, s.138 complaints, IBC s.7 and s.95 applications, Form C claims, arbitration claims, execution petitions, s.13(10) shortfall applications.</w:t>
      </w:r>
    </w:p>
    <w:p>
      <w:pPr>
        <w:numPr>
          <w:ilvl w:val="0"/>
          <w:numId w:val="1234"/>
        </w:numPr>
        <w:pStyle w:val="Compact"/>
      </w:pPr>
      <w:r>
        <w:rPr>
          <w:bCs/>
          <w:b/>
        </w:rPr>
        <w:t xml:space="preserve">Defensive matters:</w:t>
      </w:r>
      <w:r>
        <w:t xml:space="preserve"> </w:t>
      </w:r>
      <w:r>
        <w:t xml:space="preserve">borrower s.17 applications (45 days from the s.13(4) measure; DRT decides in 60 days, maximum 4 months, SARFAESI s.17(5), enforced in</w:t>
      </w:r>
      <w:r>
        <w:t xml:space="preserve"> </w:t>
      </w:r>
      <w:r>
        <w:rPr>
          <w:iCs/>
          <w:i/>
        </w:rPr>
        <w:t xml:space="preserve">IOB v. Radhey Infra</w:t>
      </w:r>
      <w:r>
        <w:t xml:space="preserve">, SC, 7 Oct 2025); writs; consumer complaints (an arbitration clause does not bar them,</w:t>
      </w:r>
      <w:r>
        <w:t xml:space="preserve"> </w:t>
      </w:r>
      <w:r>
        <w:rPr>
          <w:iCs/>
          <w:i/>
        </w:rPr>
        <w:t xml:space="preserve">Emaar MGF v. Aftab Singh</w:t>
      </w:r>
      <w:r>
        <w:t xml:space="preserve">, (2019) 12 SCC 751); PLA applications; s.34 challenges to awards; police complaints against agents; RB-IOS complaints; CPGRAMS.</w:t>
      </w:r>
    </w:p>
    <w:p>
      <w:pPr>
        <w:numPr>
          <w:ilvl w:val="0"/>
          <w:numId w:val="1234"/>
        </w:numPr>
        <w:pStyle w:val="Compact"/>
      </w:pPr>
      <w:r>
        <w:t xml:space="preserve">Counter-litigation links: every defensive matter links to the offensive track it attacks (</w:t>
      </w:r>
      <w:r>
        <w:rPr>
          <w:rStyle w:val="VerbatimChar"/>
        </w:rPr>
        <w:t xml:space="preserve">linked_matters[]</w:t>
      </w:r>
      <w:r>
        <w:t xml:space="preserve">).</w:t>
      </w:r>
    </w:p>
    <w:bookmarkEnd w:id="166"/>
    <w:bookmarkStart w:id="167" w:name="r9.2-data-model"/>
    <w:p>
      <w:pPr>
        <w:pStyle w:val="Heading3"/>
      </w:pPr>
      <w:r>
        <w:t xml:space="preserve">R9.2 Data model</w:t>
      </w:r>
    </w:p>
    <w:p>
      <w:pPr>
        <w:numPr>
          <w:ilvl w:val="0"/>
          <w:numId w:val="1235"/>
        </w:numPr>
        <w:pStyle w:val="Compact"/>
      </w:pPr>
      <w:r>
        <w:rPr>
          <w:rStyle w:val="VerbatimChar"/>
        </w:rPr>
        <w:t xml:space="preserve">matter</w:t>
      </w:r>
      <w:r>
        <w:t xml:space="preserve">: case and account links, role (petitioner or respondent), mechanism, forum (type, state, district, bench, court number), case type and number, CNR or diary or filing number, filed on, claim and relief, status and stage, next date and purpose, judge or bench, counsel and opposing counsel, stay (flag, order, scope, expiry), outcome (type, amount, date), costs awarded, recovery to date, provisioning and contingent-liability link.</w:t>
      </w:r>
    </w:p>
    <w:p>
      <w:pPr>
        <w:numPr>
          <w:ilvl w:val="0"/>
          <w:numId w:val="1235"/>
        </w:numPr>
        <w:pStyle w:val="Compact"/>
      </w:pPr>
      <w:r>
        <w:rPr>
          <w:rStyle w:val="VerbatimChar"/>
        </w:rPr>
        <w:t xml:space="preserve">hearing</w:t>
      </w:r>
      <w:r>
        <w:t xml:space="preserve">: date, bench, item number, purpose, attended by, minutes, next date, adjournment reason and party, costs imposed.</w:t>
      </w:r>
    </w:p>
    <w:p>
      <w:pPr>
        <w:numPr>
          <w:ilvl w:val="0"/>
          <w:numId w:val="1235"/>
        </w:numPr>
        <w:pStyle w:val="Compact"/>
      </w:pPr>
      <w:r>
        <w:rPr>
          <w:rStyle w:val="VerbatimChar"/>
        </w:rPr>
        <w:t xml:space="preserve">order</w:t>
      </w:r>
      <w:r>
        <w:t xml:space="preserve">: date, type (interim, final, decree, award, RC, dismissal), PDF, OCR text, AI summary with a</w:t>
      </w:r>
      <w:r>
        <w:t xml:space="preserve"> </w:t>
      </w:r>
      <w:r>
        <w:rPr>
          <w:rStyle w:val="VerbatimChar"/>
        </w:rPr>
        <w:t xml:space="preserve">human_verified</w:t>
      </w:r>
      <w:r>
        <w:t xml:space="preserve"> </w:t>
      </w:r>
      <w:r>
        <w:t xml:space="preserve">flag, extracted directions converted to tasks.</w:t>
      </w:r>
    </w:p>
    <w:p>
      <w:pPr>
        <w:numPr>
          <w:ilvl w:val="0"/>
          <w:numId w:val="1235"/>
        </w:numPr>
        <w:pStyle w:val="Compact"/>
      </w:pPr>
      <w:r>
        <w:rPr>
          <w:rStyle w:val="VerbatimChar"/>
        </w:rPr>
        <w:t xml:space="preserve">deadline</w:t>
      </w:r>
      <w:r>
        <w:t xml:space="preserve">: source (rule pack, order, manual), due, owner, escalation chain, status.</w:t>
      </w:r>
    </w:p>
    <w:bookmarkEnd w:id="167"/>
    <w:bookmarkStart w:id="168" w:name="r9.3-court-data-synchronisation"/>
    <w:p>
      <w:pPr>
        <w:pStyle w:val="Heading3"/>
      </w:pPr>
      <w:r>
        <w:t xml:space="preserve">R9.3 Court-data synchronisation</w:t>
      </w:r>
    </w:p>
    <w:p>
      <w:pPr>
        <w:numPr>
          <w:ilvl w:val="0"/>
          <w:numId w:val="1236"/>
        </w:numPr>
        <w:pStyle w:val="Compact"/>
      </w:pPr>
      <w:r>
        <w:rPr>
          <w:bCs/>
          <w:b/>
        </w:rPr>
        <w:t xml:space="preserve">Source hierarchy:</w:t>
      </w:r>
      <w:r>
        <w:t xml:space="preserve"> </w:t>
      </w:r>
      <w:r>
        <w:t xml:space="preserve">(1) official eCourts open APIs for institutional litigants, applied for through the e-Committee or a High Court [VERIFY: NBFC eligibility for institutional credentials]; (2) licensed CNR-based court-data vendors through the connector SPI [VERIFY: vendor coverage of DRT and DRAT]; (3) counsel portal updates; (4) manual entry with upload.</w:t>
      </w:r>
    </w:p>
    <w:p>
      <w:pPr>
        <w:numPr>
          <w:ilvl w:val="0"/>
          <w:numId w:val="1236"/>
        </w:numPr>
        <w:pStyle w:val="Compact"/>
      </w:pPr>
      <w:r>
        <w:t xml:space="preserve">DRT: all RDB and SARFAESI pleadings are e-filed since 23 Jun 2025 (DRT/DRAT Electronic Filing (Amendment) Rules 2025), but no public API is known; NCLT, NCLAT, Supreme Court and RBI CMS likewise. Status comes from vendors or counsel.</w:t>
      </w:r>
    </w:p>
    <w:p>
      <w:pPr>
        <w:numPr>
          <w:ilvl w:val="0"/>
          <w:numId w:val="1236"/>
        </w:numPr>
        <w:pStyle w:val="Compact"/>
      </w:pPr>
      <w:r>
        <w:t xml:space="preserve">Conflicting next dates: show both, prefer counsel for the next date and the official source for orders, raise a task. Each morning, match cause lists against open matters; a missing expected listing raises an alert.</w:t>
      </w:r>
    </w:p>
    <w:bookmarkEnd w:id="168"/>
    <w:bookmarkStart w:id="169" w:name="X58449c20af9d4586e642e602d178b23102bbee4"/>
    <w:p>
      <w:pPr>
        <w:pStyle w:val="Heading3"/>
      </w:pPr>
      <w:r>
        <w:t xml:space="preserve">R9.4 Hearing calendar and deadlines engine</w:t>
      </w:r>
    </w:p>
    <w:p>
      <w:pPr>
        <w:numPr>
          <w:ilvl w:val="0"/>
          <w:numId w:val="1237"/>
        </w:numPr>
        <w:pStyle w:val="Compact"/>
      </w:pPr>
      <w:r>
        <w:t xml:space="preserve">Calendars by counsel, forum, officer and region; conflict detection (two matters, one counsel, same time in different cities).</w:t>
      </w:r>
    </w:p>
    <w:p>
      <w:pPr>
        <w:numPr>
          <w:ilvl w:val="0"/>
          <w:numId w:val="1237"/>
        </w:numPr>
        <w:pStyle w:val="Compact"/>
      </w:pPr>
      <w:r>
        <w:rPr>
          <w:bCs/>
          <w:b/>
        </w:rPr>
        <w:t xml:space="preserve">Deadline rules (rule pack, each cited):</w:t>
      </w:r>
      <w:r>
        <w:t xml:space="preserve"> </w:t>
      </w:r>
      <w:r>
        <w:t xml:space="preserve">s.17 reply and the DRT’s s.17(5) outer limit; SARFAESI s.18 appeal 30 days with 50% pre-deposit of the lesser of claim and amount determined (reducible to 25%); RDB s.20 appeal 45 days with s.21 deposit; RDB s.30 appeal 30 days; NCLAT appeal 30 + 15 days (IBC s.61); s.7(5) NCLT decision within 14 days with 7 days to cure defects; CIRP 330-day cap; Form C by the public-announcement date; s.34 challenge 3 months + 30 days (A&amp;C Act s.34(3)); s.33 correction 30 days; s.29A mandate 12 months after completion of pleadings; consumer complaint 2 years (CPA 2019 s.69) and appeal 45 days (CPA 2019 s.41); SLP 90 days [VERIFY: Supreme Court Rules 2013 O.XXII r.2(1)]; written statement in commercial suits capped at 120 days; Order XXXVII appearance and leave to defend 10 days each.</w:t>
      </w:r>
    </w:p>
    <w:p>
      <w:pPr>
        <w:numPr>
          <w:ilvl w:val="0"/>
          <w:numId w:val="1237"/>
        </w:numPr>
        <w:pStyle w:val="Compact"/>
      </w:pPr>
      <w:r>
        <w:rPr>
          <w:bCs/>
          <w:b/>
        </w:rPr>
        <w:t xml:space="preserve">Watch items:</w:t>
      </w:r>
      <w:r>
        <w:t xml:space="preserve"> </w:t>
      </w:r>
      <w:r>
        <w:rPr>
          <w:iCs/>
          <w:i/>
        </w:rPr>
        <w:t xml:space="preserve">Shikha Ghosh v. Axis Bank</w:t>
      </w:r>
      <w:r>
        <w:t xml:space="preserve"> </w:t>
      </w:r>
      <w:r>
        <w:t xml:space="preserve">(Del HC DB, 30 Sep 2026; RBI affidavit due 16 Nov 2026, next hearing 17 Nov 2026) on bulk unilateral arbitration; the Delhi HC Larger Bench reference on BNSS s.223 and s.138 (18 Mar 2026).</w:t>
      </w:r>
    </w:p>
    <w:bookmarkEnd w:id="169"/>
    <w:bookmarkStart w:id="170" w:name="r9.5-orders-documents-and-counsel-portal"/>
    <w:p>
      <w:pPr>
        <w:pStyle w:val="Heading3"/>
      </w:pPr>
      <w:r>
        <w:t xml:space="preserve">R9.5 Orders, documents and counsel portal</w:t>
      </w:r>
    </w:p>
    <w:p>
      <w:pPr>
        <w:numPr>
          <w:ilvl w:val="0"/>
          <w:numId w:val="1238"/>
        </w:numPr>
        <w:pStyle w:val="Compact"/>
      </w:pPr>
      <w:r>
        <w:t xml:space="preserve">Orders synced or uploaded, OCR’d and summarised by AI; directions become tasks only after human confirmation (M20). Certified copies tracked. E-filing bundles prepared (searchable, paginated, bookmarked, split to portal limits) [VERIFY: portal size limits by forum]. All documents in M16 with hash and legal hold.</w:t>
      </w:r>
    </w:p>
    <w:p>
      <w:pPr>
        <w:numPr>
          <w:ilvl w:val="0"/>
          <w:numId w:val="1238"/>
        </w:numPr>
        <w:pStyle w:val="Compact"/>
      </w:pPr>
      <w:r>
        <w:t xml:space="preserve">Counsel portal: assigned matters only; next date, purpose and minutes; orders and drafts; instruction requests; fee notes against the R11 schedule. Instructions to file, settle, concede or appeal are recorded with approver and time.</w:t>
      </w:r>
    </w:p>
    <w:bookmarkEnd w:id="170"/>
    <w:bookmarkStart w:id="171" w:name="X104a1018286ce4c7e7a9e9eff733fd34f5e4379"/>
    <w:p>
      <w:pPr>
        <w:pStyle w:val="Heading3"/>
      </w:pPr>
      <w:r>
        <w:t xml:space="preserve">R9.6 Costs, outcomes, contingent liabilities and alerts</w:t>
      </w:r>
    </w:p>
    <w:p>
      <w:pPr>
        <w:numPr>
          <w:ilvl w:val="0"/>
          <w:numId w:val="1239"/>
        </w:numPr>
        <w:pStyle w:val="Compact"/>
      </w:pPr>
      <w:r>
        <w:t xml:space="preserve">Fee budget per matter and stage with variance alerts.</w:t>
      </w:r>
    </w:p>
    <w:p>
      <w:pPr>
        <w:numPr>
          <w:ilvl w:val="0"/>
          <w:numId w:val="1239"/>
        </w:numPr>
        <w:pStyle w:val="Compact"/>
      </w:pPr>
      <w:r>
        <w:t xml:space="preserve">Outcomes drive R12: decree amounts to a memo legal-claim ledger (no NPA income until realised, IRACP para 38); costs awarded recognised on realisation; deposits (SARFAESI s.18, RDB s.21, NI Act ss.143A, 148) tracked with interest per order.</w:t>
      </w:r>
    </w:p>
    <w:p>
      <w:pPr>
        <w:numPr>
          <w:ilvl w:val="0"/>
          <w:numId w:val="1239"/>
        </w:numPr>
        <w:pStyle w:val="Compact"/>
      </w:pPr>
      <w:r>
        <w:t xml:space="preserve">Defensive matters with monetary exposure assessed quarterly as probable, possible or remote, feeding provisions and disclosures (Ind AS 37).</w:t>
      </w:r>
    </w:p>
    <w:p>
      <w:pPr>
        <w:numPr>
          <w:ilvl w:val="0"/>
          <w:numId w:val="1239"/>
        </w:numPr>
        <w:pStyle w:val="Compact"/>
      </w:pPr>
      <w:r>
        <w:t xml:space="preserve">Alerts: next date within 7 days without an update; order without tasks; adjournments over a threshold; stay expiring; appeal or execution limitation.</w:t>
      </w:r>
    </w:p>
    <w:p>
      <w:pPr>
        <w:numPr>
          <w:ilvl w:val="0"/>
          <w:numId w:val="1239"/>
        </w:numPr>
        <w:pStyle w:val="Compact"/>
      </w:pPr>
      <w:r>
        <w:t xml:space="preserve">Integration: an R8 or Equator referral creates a matter that</w:t>
      </w:r>
      <w:r>
        <w:t xml:space="preserve"> </w:t>
      </w:r>
      <w:r>
        <w:rPr>
          <w:rStyle w:val="VerbatimChar"/>
        </w:rPr>
        <w:t xml:space="preserve">ADRCaseStatusChanged</w:t>
      </w:r>
      <w:r>
        <w:t xml:space="preserve"> </w:t>
      </w:r>
      <w:r>
        <w:t xml:space="preserve">and</w:t>
      </w:r>
      <w:r>
        <w:t xml:space="preserve"> </w:t>
      </w:r>
      <w:r>
        <w:rPr>
          <w:rStyle w:val="VerbatimChar"/>
        </w:rPr>
        <w:t xml:space="preserve">ADROutcomeRecorded</w:t>
      </w:r>
      <w:r>
        <w:t xml:space="preserve"> </w:t>
      </w:r>
      <w:r>
        <w:t xml:space="preserve">update; s.9, s.11, s.34 and execution proceedings on an award are linked court matters; an IBC admission order puts R1 on moratorium hold.</w:t>
      </w:r>
    </w:p>
    <w:p>
      <w:pPr>
        <w:pStyle w:val="FirstParagraph"/>
      </w:pPr>
      <w:r>
        <w:rPr>
          <w:bCs/>
          <w:b/>
        </w:rPr>
        <w:t xml:space="preserve">Data captured.</w:t>
      </w:r>
      <w:r>
        <w:t xml:space="preserve"> </w:t>
      </w:r>
      <w:r>
        <w:t xml:space="preserve">Matters, hearings, orders, deadlines, stays, deposits, costs, outcomes, contingent-liability assessments, source and conflict log.</w:t>
      </w:r>
    </w:p>
    <w:p>
      <w:pPr>
        <w:pStyle w:val="BodyText"/>
      </w:pPr>
      <w:r>
        <w:rPr>
          <w:bCs/>
          <w:b/>
        </w:rPr>
        <w:t xml:space="preserve">Controls.</w:t>
      </w:r>
      <w:r>
        <w:t xml:space="preserve"> </w:t>
      </w:r>
      <w:r>
        <w:t xml:space="preserve">Matter cannot close without an outcome and an order; any settlement in a pending matter requires a consent-decree task (RSA para 100); AI summaries cannot create tasks until verified; counsel edits are versioned.</w:t>
      </w:r>
    </w:p>
    <w:p>
      <w:pPr>
        <w:pStyle w:val="BodyText"/>
      </w:pPr>
      <w:r>
        <w:rPr>
          <w:bCs/>
          <w:b/>
        </w:rPr>
        <w:t xml:space="preserve">Configuration.</w:t>
      </w:r>
      <w:r>
        <w:t xml:space="preserve"> </w:t>
      </w:r>
      <w:r>
        <w:t xml:space="preserve">Forum masters, matter types, stage lists per forum, alert offsets (tighten only), vendor sources and polling schedules, contingent-liability thresholds.</w:t>
      </w:r>
    </w:p>
    <w:p>
      <w:pPr>
        <w:pStyle w:val="BodyText"/>
      </w:pPr>
      <w:r>
        <w:rPr>
          <w:bCs/>
          <w:b/>
        </w:rPr>
        <w:t xml:space="preserve">Events.</w:t>
      </w:r>
      <w:r>
        <w:t xml:space="preserve"> </w:t>
      </w:r>
      <w:r>
        <w:t xml:space="preserve">Emitted:</w:t>
      </w:r>
      <w:r>
        <w:t xml:space="preserve"> </w:t>
      </w:r>
      <w:r>
        <w:rPr>
          <w:rStyle w:val="VerbatimChar"/>
        </w:rPr>
        <w:t xml:space="preserve">LitigationCaseOpened</w:t>
      </w:r>
      <w:r>
        <w:t xml:space="preserve">,</w:t>
      </w:r>
      <w:r>
        <w:t xml:space="preserve"> </w:t>
      </w:r>
      <w:r>
        <w:rPr>
          <w:rStyle w:val="VerbatimChar"/>
        </w:rPr>
        <w:t xml:space="preserve">LitigationCaseUpdated</w:t>
      </w:r>
      <w:r>
        <w:t xml:space="preserve">,</w:t>
      </w:r>
      <w:r>
        <w:t xml:space="preserve"> </w:t>
      </w:r>
      <w:r>
        <w:rPr>
          <w:rStyle w:val="VerbatimChar"/>
        </w:rPr>
        <w:t xml:space="preserve">HearingScheduled</w:t>
      </w:r>
      <w:r>
        <w:t xml:space="preserve">,</w:t>
      </w:r>
      <w:r>
        <w:t xml:space="preserve"> </w:t>
      </w:r>
      <w:r>
        <w:rPr>
          <w:rStyle w:val="VerbatimChar"/>
        </w:rPr>
        <w:t xml:space="preserve">OrderRecorded</w:t>
      </w:r>
      <w:r>
        <w:t xml:space="preserve">,</w:t>
      </w:r>
      <w:r>
        <w:t xml:space="preserve"> </w:t>
      </w:r>
      <w:r>
        <w:rPr>
          <w:rStyle w:val="VerbatimChar"/>
        </w:rPr>
        <w:t xml:space="preserve">LitigationCaseClosed</w:t>
      </w:r>
      <w:r>
        <w:t xml:space="preserve">,</w:t>
      </w:r>
      <w:r>
        <w:t xml:space="preserve"> </w:t>
      </w:r>
      <w:r>
        <w:rPr>
          <w:rStyle w:val="VerbatimChar"/>
        </w:rPr>
        <w:t xml:space="preserve">LegalHoldChanged</w:t>
      </w:r>
      <w:r>
        <w:t xml:space="preserve"> </w:t>
      </w:r>
      <w:r>
        <w:t xml:space="preserve">(hold applied or released on a matter). Consumed:</w:t>
      </w:r>
      <w:r>
        <w:t xml:space="preserve"> </w:t>
      </w:r>
      <w:r>
        <w:rPr>
          <w:rStyle w:val="VerbatimChar"/>
        </w:rPr>
        <w:t xml:space="preserve">ADRReferralCreated</w:t>
      </w:r>
      <w:r>
        <w:t xml:space="preserve">,</w:t>
      </w:r>
      <w:r>
        <w:t xml:space="preserve"> </w:t>
      </w:r>
      <w:r>
        <w:rPr>
          <w:rStyle w:val="VerbatimChar"/>
        </w:rPr>
        <w:t xml:space="preserve">ADRCaseStatusChanged</w:t>
      </w:r>
      <w:r>
        <w:t xml:space="preserve">,</w:t>
      </w:r>
      <w:r>
        <w:t xml:space="preserve"> </w:t>
      </w:r>
      <w:r>
        <w:rPr>
          <w:rStyle w:val="VerbatimChar"/>
        </w:rPr>
        <w:t xml:space="preserve">ADROutcomeRecorded</w:t>
      </w:r>
      <w:r>
        <w:t xml:space="preserve">,</w:t>
      </w:r>
      <w:r>
        <w:t xml:space="preserve"> </w:t>
      </w:r>
      <w:r>
        <w:rPr>
          <w:rStyle w:val="VerbatimChar"/>
        </w:rPr>
        <w:t xml:space="preserve">ADROutcomeComplianceUpdated</w:t>
      </w:r>
      <w:r>
        <w:t xml:space="preserve">,</w:t>
      </w:r>
      <w:r>
        <w:t xml:space="preserve"> </w:t>
      </w:r>
      <w:r>
        <w:rPr>
          <w:rStyle w:val="VerbatimChar"/>
        </w:rPr>
        <w:t xml:space="preserve">LegalNoticeIssued</w:t>
      </w:r>
      <w:r>
        <w:t xml:space="preserve">,</w:t>
      </w:r>
      <w:r>
        <w:t xml:space="preserve"> </w:t>
      </w:r>
      <w:r>
        <w:rPr>
          <w:rStyle w:val="VerbatimChar"/>
        </w:rPr>
        <w:t xml:space="preserve">GrievanceRaised</w:t>
      </w:r>
      <w:r>
        <w:t xml:space="preserve">,</w:t>
      </w:r>
      <w:r>
        <w:t xml:space="preserve"> </w:t>
      </w:r>
      <w:r>
        <w:rPr>
          <w:rStyle w:val="VerbatimChar"/>
        </w:rPr>
        <w:t xml:space="preserve">LoanTransferred</w:t>
      </w:r>
      <w:r>
        <w:t xml:space="preserve">.</w:t>
      </w:r>
    </w:p>
    <w:p>
      <w:pPr>
        <w:pStyle w:val="BodyText"/>
      </w:pPr>
      <w:r>
        <w:rPr>
          <w:bCs/>
          <w:b/>
        </w:rPr>
        <w:t xml:space="preserve">Tests (R9).</w:t>
      </w:r>
      <w:r>
        <w:t xml:space="preserve"> </w:t>
      </w:r>
      <w:r>
        <w:t xml:space="preserve">A s.17 application against a possession taken on 1 Jun creates a 45-day window ending 16 Jul and links to the SARFAESI track; a CNR sync showing a different next date from counsel raises a conflict task; a final order cannot close a matter while a deposit refund is pending; a consumer complaint against an account with an arbitration clause is accepted as a defensive matter; an IBC admission order freezes the SARFAESI track in R1.</w:t>
      </w:r>
    </w:p>
    <w:p>
      <w:r>
        <w:pict>
          <v:rect style="width:0;height:1.5pt" o:hralign="center" o:hrstd="t" o:hr="t"/>
        </w:pict>
      </w:r>
    </w:p>
    <w:bookmarkEnd w:id="171"/>
    <w:bookmarkEnd w:id="172"/>
    <w:bookmarkStart w:id="181" w:name="Xbda97a93d27951482848b0530279fa1985ee2d4"/>
    <w:p>
      <w:pPr>
        <w:pStyle w:val="Heading2"/>
      </w:pPr>
      <w:r>
        <w:t xml:space="preserve">R10. Repossession, valuation, auction and sale</w:t>
      </w:r>
    </w:p>
    <w:p>
      <w:pPr>
        <w:pStyle w:val="FirstParagraph"/>
      </w:pPr>
      <w:r>
        <w:rPr>
          <w:bCs/>
          <w:b/>
        </w:rPr>
        <w:t xml:space="preserve">Purpose.</w:t>
      </w:r>
      <w:r>
        <w:t xml:space="preserve"> </w:t>
      </w:r>
      <w:r>
        <w:t xml:space="preserve">Take, hold, value and sell or invoke each type of security lawfully, apply proceeds correctly and return any surplus.</w:t>
      </w:r>
    </w:p>
    <w:p>
      <w:pPr>
        <w:pStyle w:val="BodyText"/>
      </w:pPr>
      <w:r>
        <w:rPr>
          <w:bCs/>
          <w:b/>
        </w:rPr>
        <w:t xml:space="preserve">Capabilities:</w:t>
      </w:r>
      <w:r>
        <w:t xml:space="preserve"> </w:t>
      </w:r>
      <w:r>
        <w:t xml:space="preserve">asset routing; vehicle repossession; gold and silver auctions; pledge and lien invocation; deposit set-off; receivable notices; liquidation-auction tracking; custody registers; platform adapters; surplus and shortfall handling.</w:t>
      </w:r>
    </w:p>
    <w:bookmarkStart w:id="173" w:name="r10.1-asset-routing"/>
    <w:p>
      <w:pPr>
        <w:pStyle w:val="Heading3"/>
      </w:pPr>
      <w:r>
        <w:t xml:space="preserve">R10.1 Asset routing</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359"/>
        <w:gridCol w:w="4791"/>
        <w:gridCol w:w="1488"/>
      </w:tblGrid>
      <w:tr>
        <w:trPr>
          <w:tblHeader w:val="true"/>
          <w:tblHeader w:val="true"/>
        </w:trPr>
        <w:tc>
          <w:tcPr>
            <w:tcW w:w="3359" w:type="dxa"/>
            <w:shd w:val="clear" w:color="auto" w:fill="1F3A5F"/>
          </w:tcPr>
          <w:p>
            <w:pPr>
              <w:pStyle w:val="Compact"/>
              <w:spacing w:after="40"/>
              <w:jc w:val="left"/>
            </w:pPr>
            <w:r>
              <w:rPr>
                <w:b/>
                <w:color w:val="FFFFFF"/>
                <w:sz w:val="18"/>
              </w:rPr>
              <w:t xml:space="preserve">Asset</w:t>
            </w:r>
          </w:p>
        </w:tc>
        <w:tc>
          <w:tcPr>
            <w:tcW w:w="4791" w:type="dxa"/>
            <w:shd w:val="clear" w:color="auto" w:fill="1F3A5F"/>
          </w:tcPr>
          <w:p>
            <w:pPr>
              <w:pStyle w:val="Compact"/>
              <w:spacing w:after="40"/>
              <w:jc w:val="left"/>
            </w:pPr>
            <w:r>
              <w:rPr>
                <w:b/>
                <w:color w:val="FFFFFF"/>
                <w:sz w:val="18"/>
              </w:rPr>
              <w:t xml:space="preserve">Route</w:t>
            </w:r>
          </w:p>
        </w:tc>
        <w:tc>
          <w:tcPr>
            <w:tcW w:w="1488" w:type="dxa"/>
            <w:shd w:val="clear" w:color="auto" w:fill="1F3A5F"/>
          </w:tcPr>
          <w:p>
            <w:pPr>
              <w:pStyle w:val="Compact"/>
              <w:spacing w:after="40"/>
              <w:jc w:val="left"/>
            </w:pPr>
            <w:r>
              <w:rPr>
                <w:b/>
                <w:color w:val="FFFFFF"/>
                <w:sz w:val="18"/>
              </w:rPr>
              <w:t xml:space="preserve">Engine</w:t>
            </w:r>
          </w:p>
        </w:tc>
      </w:tr>
      <w:tr>
        <w:tc>
          <w:tcPr>
            <w:tcW w:w="3359" w:type="dxa"/>
          </w:tcPr>
          <w:p>
            <w:pPr>
              <w:pStyle w:val="Compact"/>
              <w:spacing w:after="40"/>
              <w:jc w:val="left"/>
            </w:pPr>
            <w:r>
              <w:rPr>
                <w:sz w:val="18"/>
              </w:rPr>
              <w:t xml:space="preserve">Immovable property</w:t>
            </w:r>
          </w:p>
        </w:tc>
        <w:tc>
          <w:tcPr>
            <w:tcW w:w="4791" w:type="dxa"/>
          </w:tcPr>
          <w:p>
            <w:pPr>
              <w:pStyle w:val="Compact"/>
              <w:spacing w:after="40"/>
              <w:jc w:val="left"/>
            </w:pPr>
            <w:r>
              <w:rPr>
                <w:sz w:val="18"/>
              </w:rPr>
              <w:t xml:space="preserve">SARFAESI if eligible, else decree execution</w:t>
            </w:r>
          </w:p>
        </w:tc>
        <w:tc>
          <w:tcPr>
            <w:tcW w:w="1488" w:type="dxa"/>
          </w:tcPr>
          <w:p>
            <w:pPr>
              <w:pStyle w:val="Compact"/>
              <w:spacing w:after="40"/>
              <w:jc w:val="left"/>
            </w:pPr>
            <w:r>
              <w:rPr>
                <w:sz w:val="18"/>
              </w:rPr>
              <w:t xml:space="preserve">R4; R5</w:t>
            </w:r>
          </w:p>
        </w:tc>
      </w:tr>
      <w:tr>
        <w:tc>
          <w:tcPr>
            <w:tcW w:w="3359" w:type="dxa"/>
          </w:tcPr>
          <w:p>
            <w:pPr>
              <w:pStyle w:val="Compact"/>
              <w:spacing w:after="40"/>
              <w:jc w:val="left"/>
            </w:pPr>
            <w:r>
              <w:rPr>
                <w:sz w:val="18"/>
              </w:rPr>
              <w:t xml:space="preserve">Plant, machinery, stock</w:t>
            </w:r>
          </w:p>
        </w:tc>
        <w:tc>
          <w:tcPr>
            <w:tcW w:w="4791" w:type="dxa"/>
          </w:tcPr>
          <w:p>
            <w:pPr>
              <w:pStyle w:val="Compact"/>
              <w:spacing w:after="40"/>
              <w:jc w:val="left"/>
            </w:pPr>
            <w:r>
              <w:rPr>
                <w:sz w:val="18"/>
              </w:rPr>
              <w:t xml:space="preserve">SARFAESI Rules 4–7 if eligible, else contract or court receiver</w:t>
            </w:r>
          </w:p>
        </w:tc>
        <w:tc>
          <w:tcPr>
            <w:tcW w:w="1488" w:type="dxa"/>
          </w:tcPr>
          <w:p>
            <w:pPr>
              <w:pStyle w:val="Compact"/>
              <w:spacing w:after="40"/>
              <w:jc w:val="left"/>
            </w:pPr>
            <w:r>
              <w:rPr>
                <w:sz w:val="18"/>
              </w:rPr>
              <w:t xml:space="preserve">R4; R5</w:t>
            </w:r>
          </w:p>
        </w:tc>
      </w:tr>
      <w:tr>
        <w:tc>
          <w:tcPr>
            <w:tcW w:w="3359" w:type="dxa"/>
          </w:tcPr>
          <w:p>
            <w:pPr>
              <w:pStyle w:val="Compact"/>
              <w:spacing w:after="40"/>
              <w:jc w:val="left"/>
            </w:pPr>
            <w:r>
              <w:rPr>
                <w:sz w:val="18"/>
              </w:rPr>
              <w:t xml:space="preserve">Vehicles</w:t>
            </w:r>
          </w:p>
        </w:tc>
        <w:tc>
          <w:tcPr>
            <w:tcW w:w="4791" w:type="dxa"/>
          </w:tcPr>
          <w:p>
            <w:pPr>
              <w:pStyle w:val="Compact"/>
              <w:spacing w:after="40"/>
              <w:jc w:val="left"/>
            </w:pPr>
            <w:r>
              <w:rPr>
                <w:sz w:val="18"/>
              </w:rPr>
              <w:t xml:space="preserve">Contractual repossession within RBC para 26 and</w:t>
            </w:r>
            <w:r>
              <w:rPr>
                <w:sz w:val="18"/>
              </w:rPr>
              <w:t xml:space="preserve"> </w:t>
            </w:r>
            <w:r>
              <w:rPr>
                <w:iCs/>
                <w:i/>
                <w:sz w:val="18"/>
              </w:rPr>
              <w:t xml:space="preserve">Hari Dutta Sharma</w:t>
            </w:r>
            <w:r>
              <w:rPr>
                <w:sz w:val="18"/>
              </w:rPr>
              <w:t xml:space="preserve">; SARFAESI movables where eligible and chosen by policy</w:t>
            </w:r>
          </w:p>
        </w:tc>
        <w:tc>
          <w:tcPr>
            <w:tcW w:w="1488" w:type="dxa"/>
          </w:tcPr>
          <w:p>
            <w:pPr>
              <w:pStyle w:val="Compact"/>
              <w:spacing w:after="40"/>
              <w:jc w:val="left"/>
            </w:pPr>
            <w:r>
              <w:rPr>
                <w:sz w:val="18"/>
              </w:rPr>
              <w:t xml:space="preserve">R10.2</w:t>
            </w:r>
          </w:p>
        </w:tc>
      </w:tr>
      <w:tr>
        <w:tc>
          <w:tcPr>
            <w:tcW w:w="3359" w:type="dxa"/>
          </w:tcPr>
          <w:p>
            <w:pPr>
              <w:pStyle w:val="Compact"/>
              <w:spacing w:after="40"/>
              <w:jc w:val="left"/>
            </w:pPr>
            <w:r>
              <w:rPr>
                <w:sz w:val="18"/>
              </w:rPr>
              <w:t xml:space="preserve">Gold and silver (pledge)</w:t>
            </w:r>
          </w:p>
        </w:tc>
        <w:tc>
          <w:tcPr>
            <w:tcW w:w="4791" w:type="dxa"/>
          </w:tcPr>
          <w:p>
            <w:pPr>
              <w:pStyle w:val="Compact"/>
              <w:spacing w:after="40"/>
              <w:jc w:val="left"/>
            </w:pPr>
            <w:r>
              <w:rPr>
                <w:sz w:val="18"/>
              </w:rPr>
              <w:t xml:space="preserve">ICA s.176 under RBC paras 60–66 and CF para 40; outside SARFAESI (s.31(b))</w:t>
            </w:r>
          </w:p>
        </w:tc>
        <w:tc>
          <w:tcPr>
            <w:tcW w:w="1488" w:type="dxa"/>
          </w:tcPr>
          <w:p>
            <w:pPr>
              <w:pStyle w:val="Compact"/>
              <w:spacing w:after="40"/>
              <w:jc w:val="left"/>
            </w:pPr>
            <w:r>
              <w:rPr>
                <w:sz w:val="18"/>
              </w:rPr>
              <w:t xml:space="preserve">R10.3</w:t>
            </w:r>
          </w:p>
        </w:tc>
      </w:tr>
      <w:tr>
        <w:tc>
          <w:tcPr>
            <w:tcW w:w="3359" w:type="dxa"/>
          </w:tcPr>
          <w:p>
            <w:pPr>
              <w:pStyle w:val="Compact"/>
              <w:spacing w:after="40"/>
              <w:jc w:val="left"/>
            </w:pPr>
            <w:r>
              <w:rPr>
                <w:sz w:val="18"/>
              </w:rPr>
              <w:t xml:space="preserve">Securities and demat MF units (pledge); SOA MF units (lien)</w:t>
            </w:r>
          </w:p>
        </w:tc>
        <w:tc>
          <w:tcPr>
            <w:tcW w:w="4791" w:type="dxa"/>
          </w:tcPr>
          <w:p>
            <w:pPr>
              <w:pStyle w:val="Compact"/>
              <w:spacing w:after="40"/>
              <w:jc w:val="left"/>
            </w:pPr>
            <w:r>
              <w:rPr>
                <w:sz w:val="18"/>
              </w:rPr>
              <w:t xml:space="preserve">ICA ss.176–177; depository or RTA invocation</w:t>
            </w:r>
          </w:p>
        </w:tc>
        <w:tc>
          <w:tcPr>
            <w:tcW w:w="1488" w:type="dxa"/>
          </w:tcPr>
          <w:p>
            <w:pPr>
              <w:pStyle w:val="Compact"/>
              <w:spacing w:after="40"/>
              <w:jc w:val="left"/>
            </w:pPr>
            <w:r>
              <w:rPr>
                <w:sz w:val="18"/>
              </w:rPr>
              <w:t xml:space="preserve">R10.4</w:t>
            </w:r>
          </w:p>
        </w:tc>
      </w:tr>
      <w:tr>
        <w:tc>
          <w:tcPr>
            <w:tcW w:w="3359" w:type="dxa"/>
          </w:tcPr>
          <w:p>
            <w:pPr>
              <w:pStyle w:val="Compact"/>
              <w:spacing w:after="40"/>
              <w:jc w:val="left"/>
            </w:pPr>
            <w:r>
              <w:rPr>
                <w:sz w:val="18"/>
              </w:rPr>
              <w:t xml:space="preserve">Fixed deposits</w:t>
            </w:r>
          </w:p>
        </w:tc>
        <w:tc>
          <w:tcPr>
            <w:tcW w:w="4791" w:type="dxa"/>
          </w:tcPr>
          <w:p>
            <w:pPr>
              <w:pStyle w:val="Compact"/>
              <w:spacing w:after="40"/>
              <w:jc w:val="left"/>
            </w:pPr>
            <w:r>
              <w:rPr>
                <w:sz w:val="18"/>
              </w:rPr>
              <w:t xml:space="preserve">Contractual lien and set-off</w:t>
            </w:r>
          </w:p>
        </w:tc>
        <w:tc>
          <w:tcPr>
            <w:tcW w:w="1488" w:type="dxa"/>
          </w:tcPr>
          <w:p>
            <w:pPr>
              <w:pStyle w:val="Compact"/>
              <w:spacing w:after="40"/>
              <w:jc w:val="left"/>
            </w:pPr>
            <w:r>
              <w:rPr>
                <w:sz w:val="18"/>
              </w:rPr>
              <w:t xml:space="preserve">R10.5</w:t>
            </w:r>
          </w:p>
        </w:tc>
      </w:tr>
      <w:tr>
        <w:tc>
          <w:tcPr>
            <w:tcW w:w="3359" w:type="dxa"/>
          </w:tcPr>
          <w:p>
            <w:pPr>
              <w:pStyle w:val="Compact"/>
              <w:spacing w:after="40"/>
              <w:jc w:val="left"/>
            </w:pPr>
            <w:r>
              <w:rPr>
                <w:sz w:val="18"/>
              </w:rPr>
              <w:t xml:space="preserve">Book debts, receivables, TReDS units</w:t>
            </w:r>
          </w:p>
        </w:tc>
        <w:tc>
          <w:tcPr>
            <w:tcW w:w="4791" w:type="dxa"/>
          </w:tcPr>
          <w:p>
            <w:pPr>
              <w:pStyle w:val="Compact"/>
              <w:spacing w:after="40"/>
              <w:jc w:val="left"/>
            </w:pPr>
            <w:r>
              <w:rPr>
                <w:sz w:val="18"/>
              </w:rPr>
              <w:t xml:space="preserve">Notice to account debtors; assignment; TReDS settlement</w:t>
            </w:r>
          </w:p>
        </w:tc>
        <w:tc>
          <w:tcPr>
            <w:tcW w:w="1488" w:type="dxa"/>
          </w:tcPr>
          <w:p>
            <w:pPr>
              <w:pStyle w:val="Compact"/>
              <w:spacing w:after="40"/>
              <w:jc w:val="left"/>
            </w:pPr>
            <w:r>
              <w:rPr>
                <w:sz w:val="18"/>
              </w:rPr>
              <w:t xml:space="preserve">R10.6</w:t>
            </w:r>
          </w:p>
        </w:tc>
      </w:tr>
      <w:tr>
        <w:tc>
          <w:tcPr>
            <w:tcW w:w="3359" w:type="dxa"/>
          </w:tcPr>
          <w:p>
            <w:pPr>
              <w:pStyle w:val="Compact"/>
              <w:spacing w:after="40"/>
              <w:jc w:val="left"/>
            </w:pPr>
            <w:r>
              <w:rPr>
                <w:sz w:val="18"/>
              </w:rPr>
              <w:t xml:space="preserve">Assets in IBC liquidation</w:t>
            </w:r>
          </w:p>
        </w:tc>
        <w:tc>
          <w:tcPr>
            <w:tcW w:w="4791" w:type="dxa"/>
          </w:tcPr>
          <w:p>
            <w:pPr>
              <w:pStyle w:val="Compact"/>
              <w:spacing w:after="40"/>
              <w:jc w:val="left"/>
            </w:pPr>
            <w:r>
              <w:rPr>
                <w:sz w:val="18"/>
              </w:rPr>
              <w:t xml:space="preserve">Liquidator’s sale or s.52 realisation</w:t>
            </w:r>
          </w:p>
        </w:tc>
        <w:tc>
          <w:tcPr>
            <w:tcW w:w="1488" w:type="dxa"/>
          </w:tcPr>
          <w:p>
            <w:pPr>
              <w:pStyle w:val="Compact"/>
              <w:spacing w:after="40"/>
              <w:jc w:val="left"/>
            </w:pPr>
            <w:r>
              <w:rPr>
                <w:sz w:val="18"/>
              </w:rPr>
              <w:t xml:space="preserve">R10.7; R6</w:t>
            </w:r>
          </w:p>
        </w:tc>
      </w:tr>
    </w:tbl>
    <w:bookmarkEnd w:id="173"/>
    <w:bookmarkStart w:id="174" w:name="r10.2-vehicles"/>
    <w:p>
      <w:pPr>
        <w:pStyle w:val="Heading3"/>
      </w:pPr>
      <w:r>
        <w:t xml:space="preserve">R10.2 Vehicles</w:t>
      </w:r>
    </w:p>
    <w:p>
      <w:pPr>
        <w:pStyle w:val="FirstParagraph"/>
      </w:pPr>
      <w:r>
        <w:t xml:space="preserve">The agreement must contain an enforceable clause on notice period, waiver circumstances, procedure, final chance to repay before sale, redelivery and sale (RBC para 26). In</w:t>
      </w:r>
      <w:r>
        <w:t xml:space="preserve"> </w:t>
      </w:r>
      <w:r>
        <w:rPr>
          <w:iCs/>
          <w:i/>
        </w:rPr>
        <w:t xml:space="preserve">Hari Dutta Sharma v. State of UP</w:t>
      </w:r>
      <w:r>
        <w:t xml:space="preserve"> </w:t>
      </w:r>
      <w:r>
        <w:t xml:space="preserve">(2026 LiveLaw (SC) 942, SC, 16 Sep 2026) a forcible 1 a.m. seizure without the contractual 7-day notice or a signed possession memo conferred no right of repossession and violated Articles 14 and 21; the Court awarded ₹10 lakh compensation, closed the loans, ordered refund of the sale price with 6% interest and directed RBI to enforce compliance.</w:t>
      </w:r>
    </w:p>
    <w:p>
      <w:pPr>
        <w:pStyle w:val="BodyText"/>
      </w:pPr>
      <w:r>
        <w:rPr>
          <w:rStyle w:val="VerbatimChar"/>
        </w:rPr>
        <w:t xml:space="preserve">DEFAULT → PRE_REPOSSESSION_NOTICE → NOTICE_PERIOD_ELAPSED → ASSIGNED → REPOSSESSED → YARD_INTAKE → PRE_SALE_NOTICE (final chance) → REDEEMED | VALUED → SALE → FORM_36 → TRANSFER_TO_BUYER → APPROPRIATED → SURPLUS | SHORTFALL → CLOSED</w:t>
      </w:r>
    </w:p>
    <w:p>
      <w:pPr>
        <w:numPr>
          <w:ilvl w:val="0"/>
          <w:numId w:val="1240"/>
        </w:numPr>
        <w:pStyle w:val="Compact"/>
      </w:pPr>
      <w:r>
        <w:rPr>
          <w:bCs/>
          <w:b/>
        </w:rPr>
        <w:t xml:space="preserve">Hard gates:</w:t>
      </w:r>
      <w:r>
        <w:t xml:space="preserve"> </w:t>
      </w:r>
      <w:r>
        <w:t xml:space="preserve">no assignment until the contractual notice period has elapsed after evidenced delivery; agent carries ID, authorisation letter and notice copy (RBC paras 95–96); no seizure outside 08:00–19:00 [REC: aligned to RBC para 100]; no force, no seizure with occupants inside; police intimation per state practice [VERIFY].</w:t>
      </w:r>
    </w:p>
    <w:p>
      <w:pPr>
        <w:numPr>
          <w:ilvl w:val="0"/>
          <w:numId w:val="1240"/>
        </w:numPr>
        <w:pStyle w:val="Compact"/>
      </w:pPr>
      <w:r>
        <w:rPr>
          <w:bCs/>
          <w:b/>
        </w:rPr>
        <w:t xml:space="preserve">Possession memo and inventory:</w:t>
      </w:r>
      <w:r>
        <w:t xml:space="preserve"> </w:t>
      </w:r>
      <w:r>
        <w:t xml:space="preserve">odometer, condition, contents (personal belongings returned against receipt), geotagged media, signatures of the agent and the person in charge or two witnesses; copy to the borrower the same day; insurance from repossession; storage charges only as disclosed in the KFS.</w:t>
      </w:r>
    </w:p>
    <w:p>
      <w:pPr>
        <w:numPr>
          <w:ilvl w:val="0"/>
          <w:numId w:val="1240"/>
        </w:numPr>
        <w:pStyle w:val="Compact"/>
      </w:pPr>
      <w:r>
        <w:rPr>
          <w:bCs/>
          <w:b/>
        </w:rPr>
        <w:t xml:space="preserve">Re-registration:</w:t>
      </w:r>
      <w:r>
        <w:t xml:space="preserve"> </w:t>
      </w:r>
      <w:r>
        <w:t xml:space="preserve">the financier applies in Form 36 for a fresh certificate, with the registering authority’s Form 37 notice to the owner (MV Act s.51(5); CMVR r.61); Form 35 only on closure (</w:t>
      </w:r>
      <w:r>
        <w:rPr>
          <w:iCs/>
          <w:i/>
        </w:rPr>
        <w:t xml:space="preserve">Shahrukh Saleem</w:t>
      </w:r>
      <w:r>
        <w:t xml:space="preserve">, All HC, 4 Jul 2023); then transfer to the buyer [VERIFY: Forms 29/30 sequence and state Vahan practice].</w:t>
      </w:r>
    </w:p>
    <w:p>
      <w:pPr>
        <w:numPr>
          <w:ilvl w:val="0"/>
          <w:numId w:val="1240"/>
        </w:numPr>
        <w:pStyle w:val="Compact"/>
      </w:pPr>
      <w:r>
        <w:rPr>
          <w:bCs/>
          <w:b/>
        </w:rPr>
        <w:t xml:space="preserve">GPS and telematics:</w:t>
      </w:r>
      <w:r>
        <w:t xml:space="preserve"> </w:t>
      </w:r>
      <w:r>
        <w:t xml:space="preserve">only where disclosed in the agreement and consented to; location only; no remote immobilisation unless contract and law allow [VERIFY: whether RBC paras 100S–100T on financed devices reach vehicle immobilisers]; a GPS fix never replaces notice at the recorded address.</w:t>
      </w:r>
    </w:p>
    <w:p>
      <w:pPr>
        <w:numPr>
          <w:ilvl w:val="0"/>
          <w:numId w:val="1240"/>
        </w:numPr>
        <w:pStyle w:val="Compact"/>
      </w:pPr>
      <w:r>
        <w:rPr>
          <w:bCs/>
          <w:b/>
        </w:rPr>
        <w:t xml:space="preserve">Sale:</w:t>
      </w:r>
      <w:r>
        <w:t xml:space="preserve"> </w:t>
      </w:r>
      <w:r>
        <w:t xml:space="preserve">independent valuation (two for commercial vehicles above a threshold [REC]); e-auction (e.g. SAMIL, MSTC) or sealed dealer bids, at least three [REC]; no staff or agency bidders.</w:t>
      </w:r>
    </w:p>
    <w:bookmarkEnd w:id="174"/>
    <w:bookmarkStart w:id="175" w:name="r10.3-gold-and-silver"/>
    <w:p>
      <w:pPr>
        <w:pStyle w:val="Heading3"/>
      </w:pPr>
      <w:r>
        <w:t xml:space="preserve">R10.3 Gold and silver</w:t>
      </w:r>
    </w:p>
    <w:p>
      <w:pPr>
        <w:pStyle w:val="FirstParagraph"/>
      </w:pPr>
      <w:r>
        <w:rPr>
          <w:rStyle w:val="VerbatimChar"/>
        </w:rPr>
        <w:t xml:space="preserve">DEFAULT_OR_MATURITY → REPAYMENT_NOTICE (acknowledgment kept) → [UNTRACEABLE → PUBLIC_NOTICE → 1 MONTH] → ADVERTISED → VALUED → RESERVE_FIXED → AUCTION_1 (physical, same district) → SOLD | FAILED → AUCTION_N → STATEMENT → SURPLUS_REFUNDED | SHORTFALL → CLOSED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64"/>
        <w:gridCol w:w="5820"/>
        <w:gridCol w:w="1854"/>
      </w:tblGrid>
      <w:tr>
        <w:trPr>
          <w:tblHeader w:val="true"/>
          <w:tblHeader w:val="true"/>
        </w:trPr>
        <w:tc>
          <w:tcPr>
            <w:tcW w:w="1964" w:type="dxa"/>
            <w:shd w:val="clear" w:color="auto" w:fill="1F3A5F"/>
          </w:tcPr>
          <w:p>
            <w:pPr>
              <w:pStyle w:val="Compact"/>
              <w:spacing w:after="40"/>
              <w:jc w:val="left"/>
            </w:pPr>
            <w:r>
              <w:rPr>
                <w:b/>
                <w:color w:val="FFFFFF"/>
                <w:sz w:val="18"/>
              </w:rPr>
              <w:t xml:space="preserve">Rule</w:t>
            </w:r>
          </w:p>
        </w:tc>
        <w:tc>
          <w:tcPr>
            <w:tcW w:w="5820" w:type="dxa"/>
            <w:shd w:val="clear" w:color="auto" w:fill="1F3A5F"/>
          </w:tcPr>
          <w:p>
            <w:pPr>
              <w:pStyle w:val="Compact"/>
              <w:spacing w:after="40"/>
              <w:jc w:val="left"/>
            </w:pPr>
            <w:r>
              <w:rPr>
                <w:b/>
                <w:color w:val="FFFFFF"/>
                <w:sz w:val="18"/>
              </w:rPr>
              <w:t xml:space="preserve">Implementation</w:t>
            </w:r>
          </w:p>
        </w:tc>
        <w:tc>
          <w:tcPr>
            <w:tcW w:w="1854" w:type="dxa"/>
            <w:shd w:val="clear" w:color="auto" w:fill="1F3A5F"/>
          </w:tcPr>
          <w:p>
            <w:pPr>
              <w:pStyle w:val="Compact"/>
              <w:spacing w:after="40"/>
              <w:jc w:val="left"/>
            </w:pPr>
            <w:r>
              <w:rPr>
                <w:b/>
                <w:color w:val="FFFFFF"/>
                <w:sz w:val="18"/>
              </w:rPr>
              <w:t xml:space="preserve">Basis</w:t>
            </w:r>
          </w:p>
        </w:tc>
      </w:tr>
      <w:tr>
        <w:tc>
          <w:tcPr>
            <w:tcW w:w="1964" w:type="dxa"/>
          </w:tcPr>
          <w:p>
            <w:pPr>
              <w:pStyle w:val="Compact"/>
              <w:spacing w:after="40"/>
              <w:jc w:val="left"/>
            </w:pPr>
            <w:r>
              <w:rPr>
                <w:sz w:val="18"/>
              </w:rPr>
              <w:t xml:space="preserve">Notice</w:t>
            </w:r>
          </w:p>
        </w:tc>
        <w:tc>
          <w:tcPr>
            <w:tcW w:w="5820" w:type="dxa"/>
          </w:tcPr>
          <w:p>
            <w:pPr>
              <w:pStyle w:val="Compact"/>
              <w:spacing w:after="40"/>
              <w:jc w:val="left"/>
            </w:pPr>
            <w:r>
              <w:rPr>
                <w:sz w:val="18"/>
              </w:rPr>
              <w:t xml:space="preserve">Adequate notice through available means to the borrower or legal heirs; copy and acknowledgment kept; period set by policy</w:t>
            </w:r>
          </w:p>
        </w:tc>
        <w:tc>
          <w:tcPr>
            <w:tcW w:w="1854" w:type="dxa"/>
          </w:tcPr>
          <w:p>
            <w:pPr>
              <w:pStyle w:val="Compact"/>
              <w:spacing w:after="40"/>
              <w:jc w:val="left"/>
            </w:pPr>
            <w:r>
              <w:rPr>
                <w:sz w:val="18"/>
              </w:rPr>
              <w:t xml:space="preserve">RBC para 60</w:t>
            </w:r>
          </w:p>
        </w:tc>
      </w:tr>
      <w:tr>
        <w:tc>
          <w:tcPr>
            <w:tcW w:w="1964" w:type="dxa"/>
          </w:tcPr>
          <w:p>
            <w:pPr>
              <w:pStyle w:val="Compact"/>
              <w:spacing w:after="40"/>
              <w:jc w:val="left"/>
            </w:pPr>
            <w:r>
              <w:rPr>
                <w:sz w:val="18"/>
              </w:rPr>
              <w:t xml:space="preserve">Untraceable</w:t>
            </w:r>
          </w:p>
        </w:tc>
        <w:tc>
          <w:tcPr>
            <w:tcW w:w="5820" w:type="dxa"/>
          </w:tcPr>
          <w:p>
            <w:pPr>
              <w:pStyle w:val="Compact"/>
              <w:spacing w:after="40"/>
              <w:jc w:val="left"/>
            </w:pPr>
            <w:r>
              <w:rPr>
                <w:sz w:val="18"/>
              </w:rPr>
              <w:t xml:space="preserve">Auction only one month after a public notice</w:t>
            </w:r>
          </w:p>
        </w:tc>
        <w:tc>
          <w:tcPr>
            <w:tcW w:w="1854" w:type="dxa"/>
          </w:tcPr>
          <w:p>
            <w:pPr>
              <w:pStyle w:val="Compact"/>
              <w:spacing w:after="40"/>
              <w:jc w:val="left"/>
            </w:pPr>
            <w:r>
              <w:rPr>
                <w:sz w:val="18"/>
              </w:rPr>
              <w:t xml:space="preserve">RBC para 60</w:t>
            </w:r>
          </w:p>
        </w:tc>
      </w:tr>
      <w:tr>
        <w:tc>
          <w:tcPr>
            <w:tcW w:w="1964" w:type="dxa"/>
          </w:tcPr>
          <w:p>
            <w:pPr>
              <w:pStyle w:val="Compact"/>
              <w:spacing w:after="40"/>
              <w:jc w:val="left"/>
            </w:pPr>
            <w:r>
              <w:rPr>
                <w:sz w:val="18"/>
              </w:rPr>
              <w:t xml:space="preserve">Publicity</w:t>
            </w:r>
          </w:p>
        </w:tc>
        <w:tc>
          <w:tcPr>
            <w:tcW w:w="5820" w:type="dxa"/>
          </w:tcPr>
          <w:p>
            <w:pPr>
              <w:pStyle w:val="Compact"/>
              <w:spacing w:after="40"/>
              <w:jc w:val="left"/>
            </w:pPr>
            <w:r>
              <w:rPr>
                <w:sz w:val="18"/>
              </w:rPr>
              <w:t xml:space="preserve">At least 2 newspapers: one regional-language, one national daily</w:t>
            </w:r>
          </w:p>
        </w:tc>
        <w:tc>
          <w:tcPr>
            <w:tcW w:w="1854" w:type="dxa"/>
          </w:tcPr>
          <w:p>
            <w:pPr>
              <w:pStyle w:val="Compact"/>
              <w:spacing w:after="40"/>
              <w:jc w:val="left"/>
            </w:pPr>
            <w:r>
              <w:rPr>
                <w:sz w:val="18"/>
              </w:rPr>
              <w:t xml:space="preserve">RBC para 61</w:t>
            </w:r>
          </w:p>
        </w:tc>
      </w:tr>
      <w:tr>
        <w:tc>
          <w:tcPr>
            <w:tcW w:w="1964" w:type="dxa"/>
          </w:tcPr>
          <w:p>
            <w:pPr>
              <w:pStyle w:val="Compact"/>
              <w:spacing w:after="40"/>
              <w:jc w:val="left"/>
            </w:pPr>
            <w:r>
              <w:rPr>
                <w:sz w:val="18"/>
              </w:rPr>
              <w:t xml:space="preserve">Auctioneer</w:t>
            </w:r>
          </w:p>
        </w:tc>
        <w:tc>
          <w:tcPr>
            <w:tcW w:w="5820" w:type="dxa"/>
          </w:tcPr>
          <w:p>
            <w:pPr>
              <w:pStyle w:val="Compact"/>
              <w:spacing w:after="40"/>
              <w:jc w:val="left"/>
            </w:pPr>
            <w:r>
              <w:rPr>
                <w:sz w:val="18"/>
              </w:rPr>
              <w:t xml:space="preserve">Trained employee or empanelled auctioneer, with surprise visits and internal audit</w:t>
            </w:r>
          </w:p>
        </w:tc>
        <w:tc>
          <w:tcPr>
            <w:tcW w:w="1854" w:type="dxa"/>
          </w:tcPr>
          <w:p>
            <w:pPr>
              <w:pStyle w:val="Compact"/>
              <w:spacing w:after="40"/>
              <w:jc w:val="left"/>
            </w:pPr>
            <w:r>
              <w:rPr>
                <w:sz w:val="18"/>
              </w:rPr>
              <w:t xml:space="preserve">RBC para 62</w:t>
            </w:r>
          </w:p>
        </w:tc>
      </w:tr>
      <w:tr>
        <w:tc>
          <w:tcPr>
            <w:tcW w:w="1964" w:type="dxa"/>
          </w:tcPr>
          <w:p>
            <w:pPr>
              <w:pStyle w:val="Compact"/>
              <w:spacing w:after="40"/>
              <w:jc w:val="left"/>
            </w:pPr>
            <w:r>
              <w:rPr>
                <w:sz w:val="18"/>
              </w:rPr>
              <w:t xml:space="preserve">Current value</w:t>
            </w:r>
          </w:p>
        </w:tc>
        <w:tc>
          <w:tcPr>
            <w:tcW w:w="5820" w:type="dxa"/>
          </w:tcPr>
          <w:p>
            <w:pPr>
              <w:pStyle w:val="Compact"/>
              <w:spacing w:after="40"/>
              <w:jc w:val="left"/>
            </w:pPr>
            <w:r>
              <w:rPr>
                <w:sz w:val="18"/>
              </w:rPr>
              <w:t xml:space="preserve">Actual purity; lower of the 30-day average close and the previous day’s close (IBJA or a SEBI-regulated exchange); nearest-purity adjustment; metal value only</w:t>
            </w:r>
          </w:p>
        </w:tc>
        <w:tc>
          <w:tcPr>
            <w:tcW w:w="1854" w:type="dxa"/>
          </w:tcPr>
          <w:p>
            <w:pPr>
              <w:pStyle w:val="Compact"/>
              <w:spacing w:after="40"/>
              <w:jc w:val="left"/>
            </w:pPr>
            <w:r>
              <w:rPr>
                <w:sz w:val="18"/>
              </w:rPr>
              <w:t xml:space="preserve">CF paras 40–42</w:t>
            </w:r>
          </w:p>
        </w:tc>
      </w:tr>
      <w:tr>
        <w:tc>
          <w:tcPr>
            <w:tcW w:w="1964" w:type="dxa"/>
          </w:tcPr>
          <w:p>
            <w:pPr>
              <w:pStyle w:val="Compact"/>
              <w:spacing w:after="40"/>
              <w:jc w:val="left"/>
            </w:pPr>
            <w:r>
              <w:rPr>
                <w:sz w:val="18"/>
              </w:rPr>
              <w:t xml:space="preserve">Reserve</w:t>
            </w:r>
          </w:p>
        </w:tc>
        <w:tc>
          <w:tcPr>
            <w:tcW w:w="5820" w:type="dxa"/>
          </w:tcPr>
          <w:p>
            <w:pPr>
              <w:pStyle w:val="Compact"/>
              <w:spacing w:after="40"/>
              <w:jc w:val="left"/>
            </w:pPr>
            <w:r>
              <w:rPr>
                <w:sz w:val="18"/>
              </w:rPr>
              <w:t xml:space="preserve">≥ 90% of current value; ≥ 85% after two failed auctions</w:t>
            </w:r>
          </w:p>
        </w:tc>
        <w:tc>
          <w:tcPr>
            <w:tcW w:w="1854" w:type="dxa"/>
          </w:tcPr>
          <w:p>
            <w:pPr>
              <w:pStyle w:val="Compact"/>
              <w:spacing w:after="40"/>
              <w:jc w:val="left"/>
            </w:pPr>
            <w:r>
              <w:rPr>
                <w:sz w:val="18"/>
              </w:rPr>
              <w:t xml:space="preserve">RBC para 63</w:t>
            </w:r>
          </w:p>
        </w:tc>
      </w:tr>
      <w:tr>
        <w:tc>
          <w:tcPr>
            <w:tcW w:w="1964" w:type="dxa"/>
          </w:tcPr>
          <w:p>
            <w:pPr>
              <w:pStyle w:val="Compact"/>
              <w:spacing w:after="40"/>
              <w:jc w:val="left"/>
            </w:pPr>
            <w:r>
              <w:rPr>
                <w:sz w:val="18"/>
              </w:rPr>
              <w:t xml:space="preserve">Venue</w:t>
            </w:r>
          </w:p>
        </w:tc>
        <w:tc>
          <w:tcPr>
            <w:tcW w:w="5820" w:type="dxa"/>
          </w:tcPr>
          <w:p>
            <w:pPr>
              <w:pStyle w:val="Compact"/>
              <w:spacing w:after="40"/>
              <w:jc w:val="left"/>
            </w:pPr>
            <w:r>
              <w:rPr>
                <w:sz w:val="18"/>
              </w:rPr>
              <w:t xml:space="preserve">First auction physical in the lending branch’s district; then adjoining district or online</w:t>
            </w:r>
          </w:p>
        </w:tc>
        <w:tc>
          <w:tcPr>
            <w:tcW w:w="1854" w:type="dxa"/>
          </w:tcPr>
          <w:p>
            <w:pPr>
              <w:pStyle w:val="Compact"/>
              <w:spacing w:after="40"/>
              <w:jc w:val="left"/>
            </w:pPr>
            <w:r>
              <w:rPr>
                <w:sz w:val="18"/>
              </w:rPr>
              <w:t xml:space="preserve">RBC para 64</w:t>
            </w:r>
          </w:p>
        </w:tc>
      </w:tr>
      <w:tr>
        <w:tc>
          <w:tcPr>
            <w:tcW w:w="1964" w:type="dxa"/>
          </w:tcPr>
          <w:p>
            <w:pPr>
              <w:pStyle w:val="Compact"/>
              <w:spacing w:after="40"/>
              <w:jc w:val="left"/>
            </w:pPr>
            <w:r>
              <w:rPr>
                <w:sz w:val="18"/>
              </w:rPr>
              <w:t xml:space="preserve">Bidders</w:t>
            </w:r>
          </w:p>
        </w:tc>
        <w:tc>
          <w:tcPr>
            <w:tcW w:w="5820" w:type="dxa"/>
          </w:tcPr>
          <w:p>
            <w:pPr>
              <w:pStyle w:val="Compact"/>
              <w:spacing w:after="40"/>
              <w:jc w:val="left"/>
            </w:pPr>
            <w:r>
              <w:rPr>
                <w:sz w:val="18"/>
              </w:rPr>
              <w:t xml:space="preserve">Tenant and related parties barred</w:t>
            </w:r>
          </w:p>
        </w:tc>
        <w:tc>
          <w:tcPr>
            <w:tcW w:w="1854" w:type="dxa"/>
          </w:tcPr>
          <w:p>
            <w:pPr>
              <w:pStyle w:val="Compact"/>
              <w:spacing w:after="40"/>
              <w:jc w:val="left"/>
            </w:pPr>
            <w:r>
              <w:rPr>
                <w:sz w:val="18"/>
              </w:rPr>
              <w:t xml:space="preserve">RBC para 65</w:t>
            </w:r>
          </w:p>
        </w:tc>
      </w:tr>
      <w:tr>
        <w:tc>
          <w:tcPr>
            <w:tcW w:w="1964" w:type="dxa"/>
          </w:tcPr>
          <w:p>
            <w:pPr>
              <w:pStyle w:val="Compact"/>
              <w:spacing w:after="40"/>
              <w:jc w:val="left"/>
            </w:pPr>
            <w:r>
              <w:rPr>
                <w:sz w:val="18"/>
              </w:rPr>
              <w:t xml:space="preserve">After auction</w:t>
            </w:r>
          </w:p>
        </w:tc>
        <w:tc>
          <w:tcPr>
            <w:tcW w:w="5820" w:type="dxa"/>
          </w:tcPr>
          <w:p>
            <w:pPr>
              <w:pStyle w:val="Compact"/>
              <w:spacing w:after="40"/>
              <w:jc w:val="left"/>
            </w:pPr>
            <w:r>
              <w:rPr>
                <w:sz w:val="18"/>
              </w:rPr>
              <w:t xml:space="preserve">Full details to the borrower; surplus within 7 working days of receipt of full proceeds; shortfall per agreement</w:t>
            </w:r>
          </w:p>
        </w:tc>
        <w:tc>
          <w:tcPr>
            <w:tcW w:w="1854" w:type="dxa"/>
          </w:tcPr>
          <w:p>
            <w:pPr>
              <w:pStyle w:val="Compact"/>
              <w:spacing w:after="40"/>
              <w:jc w:val="left"/>
            </w:pPr>
            <w:r>
              <w:rPr>
                <w:sz w:val="18"/>
              </w:rPr>
              <w:t xml:space="preserve">RBC para 66</w:t>
            </w:r>
          </w:p>
        </w:tc>
      </w:tr>
      <w:tr>
        <w:tc>
          <w:tcPr>
            <w:tcW w:w="1964" w:type="dxa"/>
          </w:tcPr>
          <w:p>
            <w:pPr>
              <w:pStyle w:val="Compact"/>
              <w:spacing w:after="40"/>
              <w:jc w:val="left"/>
            </w:pPr>
            <w:r>
              <w:rPr>
                <w:sz w:val="18"/>
              </w:rPr>
              <w:t xml:space="preserve">Discrepancy</w:t>
            </w:r>
          </w:p>
        </w:tc>
        <w:tc>
          <w:tcPr>
            <w:tcW w:w="5820" w:type="dxa"/>
          </w:tcPr>
          <w:p>
            <w:pPr>
              <w:pStyle w:val="Compact"/>
              <w:spacing w:after="40"/>
              <w:jc w:val="left"/>
            </w:pPr>
            <w:r>
              <w:rPr>
                <w:sz w:val="18"/>
              </w:rPr>
              <w:t xml:space="preserve">Reconcile to the assay certificate; compensate</w:t>
            </w:r>
          </w:p>
        </w:tc>
        <w:tc>
          <w:tcPr>
            <w:tcW w:w="1854" w:type="dxa"/>
          </w:tcPr>
          <w:p>
            <w:pPr>
              <w:pStyle w:val="Compact"/>
              <w:spacing w:after="40"/>
              <w:jc w:val="left"/>
            </w:pPr>
            <w:r>
              <w:rPr>
                <w:sz w:val="18"/>
              </w:rPr>
              <w:t xml:space="preserve">RBC paras 50, 68</w:t>
            </w:r>
          </w:p>
        </w:tc>
      </w:tr>
      <w:tr>
        <w:tc>
          <w:tcPr>
            <w:tcW w:w="1964" w:type="dxa"/>
          </w:tcPr>
          <w:p>
            <w:pPr>
              <w:pStyle w:val="Compact"/>
              <w:spacing w:after="40"/>
              <w:jc w:val="left"/>
            </w:pPr>
            <w:r>
              <w:rPr>
                <w:sz w:val="18"/>
              </w:rPr>
              <w:t xml:space="preserve">Release on closure</w:t>
            </w:r>
          </w:p>
        </w:tc>
        <w:tc>
          <w:tcPr>
            <w:tcW w:w="5820" w:type="dxa"/>
          </w:tcPr>
          <w:p>
            <w:pPr>
              <w:pStyle w:val="Compact"/>
              <w:spacing w:after="40"/>
              <w:jc w:val="left"/>
            </w:pPr>
            <w:r>
              <w:rPr>
                <w:sz w:val="18"/>
              </w:rPr>
              <w:t xml:space="preserve">Same day, maximum 7 working days; ₹5,000 per day of attributable delay</w:t>
            </w:r>
          </w:p>
        </w:tc>
        <w:tc>
          <w:tcPr>
            <w:tcW w:w="1854" w:type="dxa"/>
          </w:tcPr>
          <w:p>
            <w:pPr>
              <w:pStyle w:val="Compact"/>
              <w:spacing w:after="40"/>
              <w:jc w:val="left"/>
            </w:pPr>
            <w:r>
              <w:rPr>
                <w:sz w:val="18"/>
              </w:rPr>
              <w:t xml:space="preserve">RBC paras 58, 69</w:t>
            </w:r>
          </w:p>
        </w:tc>
      </w:tr>
    </w:tbl>
    <w:p>
      <w:pPr>
        <w:pStyle w:val="BodyText"/>
      </w:pPr>
      <w:r>
        <w:t xml:space="preserve">The reserve calculator stores the feed inputs and refuses an auction below the floor for that attempt; GST on auction sales is configured with tax counsel [VERIFY].</w:t>
      </w:r>
    </w:p>
    <w:bookmarkEnd w:id="175"/>
    <w:bookmarkStart w:id="176" w:name="r10.4-securities-las-and-lamf"/>
    <w:p>
      <w:pPr>
        <w:pStyle w:val="Heading3"/>
      </w:pPr>
      <w:r>
        <w:t xml:space="preserve">R10.4 Securities (LAS and LAMF)</w:t>
      </w:r>
    </w:p>
    <w:p>
      <w:pPr>
        <w:numPr>
          <w:ilvl w:val="0"/>
          <w:numId w:val="1241"/>
        </w:numPr>
        <w:pStyle w:val="Compact"/>
      </w:pPr>
      <w:r>
        <w:rPr>
          <w:bCs/>
          <w:b/>
        </w:rPr>
        <w:t xml:space="preserve">Monitoring:</w:t>
      </w:r>
      <w:r>
        <w:t xml:space="preserve"> </w:t>
      </w:r>
      <w:r>
        <w:t xml:space="preserve">daily valuation on T-1 bhavcopy or AMFI NAV, drawdowns frozen if data is over one business day stale [REC]; listed shares held by a tenant with assets ≥ ₹100 crore: 50% LTV at all times, shortfall made good within 7 working days (CF para 106(1)); others on Board haircuts; primary-gold-backed units barred (CF para 35(2)).</w:t>
      </w:r>
    </w:p>
    <w:p>
      <w:pPr>
        <w:numPr>
          <w:ilvl w:val="0"/>
          <w:numId w:val="1241"/>
        </w:numPr>
        <w:pStyle w:val="Compact"/>
      </w:pPr>
      <w:r>
        <w:rPr>
          <w:bCs/>
          <w:b/>
        </w:rPr>
        <w:t xml:space="preserve">Margin call:</w:t>
      </w:r>
      <w:r>
        <w:t xml:space="preserve"> </w:t>
      </w:r>
      <w:r>
        <w:rPr>
          <w:rStyle w:val="VerbatimChar"/>
        </w:rPr>
        <w:t xml:space="preserve">MarginCallRaised</w:t>
      </w:r>
      <w:r>
        <w:t xml:space="preserve"> </w:t>
      </w:r>
      <w:r>
        <w:t xml:space="preserve">with shortfall, options and deadline; cure by payment or top-up (</w:t>
      </w:r>
      <w:r>
        <w:rPr>
          <w:rStyle w:val="VerbatimChar"/>
        </w:rPr>
        <w:t xml:space="preserve">MarginCallCured</w:t>
      </w:r>
      <w:r>
        <w:t xml:space="preserve">); Udofin may present and capture a top-up (UR1).</w:t>
      </w:r>
    </w:p>
    <w:p>
      <w:pPr>
        <w:numPr>
          <w:ilvl w:val="0"/>
          <w:numId w:val="1241"/>
        </w:numPr>
        <w:pStyle w:val="Compact"/>
      </w:pPr>
      <w:r>
        <w:rPr>
          <w:bCs/>
          <w:b/>
        </w:rPr>
        <w:t xml:space="preserve">Pre-invocation notice:</w:t>
      </w:r>
      <w:r>
        <w:t xml:space="preserve"> </w:t>
      </w:r>
      <w:r>
        <w:t xml:space="preserve">reasonable notice to the pledgor under the pledgee’s undertaking in the pledge form required by the SEBI circular of 5 Feb 2026 (implementation by 6 Apr 2026) and ICA ss.176–177; the notice log is a hard gate.</w:t>
      </w:r>
    </w:p>
    <w:p>
      <w:pPr>
        <w:numPr>
          <w:ilvl w:val="0"/>
          <w:numId w:val="1241"/>
        </w:numPr>
        <w:pStyle w:val="Compact"/>
      </w:pPr>
      <w:r>
        <w:rPr>
          <w:bCs/>
          <w:b/>
        </w:rPr>
        <w:t xml:space="preserve">Invocation:</w:t>
      </w:r>
      <w:r>
        <w:t xml:space="preserve"> </w:t>
      </w:r>
      <w:r>
        <w:t xml:space="preserve">the pledgee’s DP instructs; the depository notifies both sides and records the pledgee as beneficial owner (D&amp;P Regulations 2018 reg 79(8)); locked-in securities cannot be invoked; SOA MF liens are invoked through the RTA or MF Central, redeeming to the tenant [VERIFY: operating guideline and contracting route].</w:t>
      </w:r>
    </w:p>
    <w:p>
      <w:pPr>
        <w:numPr>
          <w:ilvl w:val="0"/>
          <w:numId w:val="1241"/>
        </w:numPr>
        <w:pStyle w:val="Compact"/>
      </w:pPr>
      <w:r>
        <w:rPr>
          <w:bCs/>
          <w:b/>
        </w:rPr>
        <w:t xml:space="preserve">Sale:</w:t>
      </w:r>
      <w:r>
        <w:t xml:space="preserve"> </w:t>
      </w:r>
      <w:r>
        <w:t xml:space="preserve">Board disposal policy (market, VWAP over a period, block deal) with SEBI SAST and PIT checks;</w:t>
      </w:r>
      <w:r>
        <w:t xml:space="preserve"> </w:t>
      </w:r>
      <w:r>
        <w:rPr>
          <w:rStyle w:val="VerbatimChar"/>
        </w:rPr>
        <w:t xml:space="preserve">CollateralInvoked</w:t>
      </w:r>
      <w:r>
        <w:t xml:space="preserve">; surplus refunded; shortfall to R5 or R8.</w:t>
      </w:r>
    </w:p>
    <w:bookmarkEnd w:id="176"/>
    <w:bookmarkStart w:id="177" w:name="r10.5-loan-against-fixed-deposit"/>
    <w:p>
      <w:pPr>
        <w:pStyle w:val="Heading3"/>
      </w:pPr>
      <w:r>
        <w:t xml:space="preserve">R10.5 Loan against fixed deposit</w:t>
      </w:r>
    </w:p>
    <w:p>
      <w:pPr>
        <w:pStyle w:val="FirstParagraph"/>
      </w:pPr>
      <w:r>
        <w:t xml:space="preserve">Lien marked at origination with every joint holder’s consent; on default, a set-off notice with full particulars of remaining claims and retention conditions (RBC para 17); premature closure only where the agreement allows; a third-party bank deposit is invoked through the lien letter; net proceeds appropriated and surplus refunded; set-off against a corporate debtor under moratorium held for counsel [VERIFY].</w:t>
      </w:r>
    </w:p>
    <w:bookmarkEnd w:id="177"/>
    <w:bookmarkStart w:id="178" w:name="r10.6-book-debts-receivables-and-treds"/>
    <w:p>
      <w:pPr>
        <w:pStyle w:val="Heading3"/>
      </w:pPr>
      <w:r>
        <w:t xml:space="preserve">R10.6 Book debts, receivables and TReDS</w:t>
      </w:r>
    </w:p>
    <w:p>
      <w:pPr>
        <w:numPr>
          <w:ilvl w:val="0"/>
          <w:numId w:val="1242"/>
        </w:numPr>
        <w:pStyle w:val="Compact"/>
      </w:pPr>
      <w:r>
        <w:rPr>
          <w:bCs/>
          <w:b/>
        </w:rPr>
        <w:t xml:space="preserve">Book debts:</w:t>
      </w:r>
      <w:r>
        <w:t xml:space="preserve"> </w:t>
      </w:r>
      <w:r>
        <w:t xml:space="preserve">identify account debtors (GST data, ledgers, M5); notice to pay the tenant’s account; under an assignment, payment to the borrower after notice is at the debtor’s risk (TPA ss.130–131) [interpretation: for hypothecation without assignment, enforce through SARFAESI or court].</w:t>
      </w:r>
    </w:p>
    <w:p>
      <w:pPr>
        <w:numPr>
          <w:ilvl w:val="0"/>
          <w:numId w:val="1242"/>
        </w:numPr>
        <w:pStyle w:val="Compact"/>
      </w:pPr>
      <w:r>
        <w:rPr>
          <w:bCs/>
          <w:b/>
        </w:rPr>
        <w:t xml:space="preserve">Factoring:</w:t>
      </w:r>
      <w:r>
        <w:t xml:space="preserve"> </w:t>
      </w:r>
      <w:r>
        <w:t xml:space="preserve">assignment registered with CERSAI under the Factoring Regulation Act 2011; claim against the account debtor.</w:t>
      </w:r>
    </w:p>
    <w:p>
      <w:pPr>
        <w:numPr>
          <w:ilvl w:val="0"/>
          <w:numId w:val="1242"/>
        </w:numPr>
        <w:pStyle w:val="Compact"/>
      </w:pPr>
      <w:r>
        <w:rPr>
          <w:bCs/>
          <w:b/>
        </w:rPr>
        <w:t xml:space="preserve">TReDS:</w:t>
      </w:r>
      <w:r>
        <w:t xml:space="preserve"> </w:t>
      </w:r>
      <w:r>
        <w:t xml:space="preserve">an accepted factoring unit binds the buyer, who pays the financier on the due date and cannot set off disputes; no recourse to the MSME seller; the platform files the assignment with CERSAI (TReDS Directions 2026, RBI/DPSS/2026-27/406, 23 Jun 2026); default → demand on the buyer, platform settlement-failure process, then R5.</w:t>
      </w:r>
    </w:p>
    <w:bookmarkEnd w:id="178"/>
    <w:bookmarkStart w:id="179" w:name="r10.7-ibc-liquidation-auctions"/>
    <w:p>
      <w:pPr>
        <w:pStyle w:val="Heading3"/>
      </w:pPr>
      <w:r>
        <w:t xml:space="preserve">R10.7 IBC liquidation auctions</w:t>
      </w:r>
    </w:p>
    <w:p>
      <w:pPr>
        <w:pStyle w:val="FirstParagraph"/>
      </w:pPr>
      <w:r>
        <w:t xml:space="preserve">As a realising secured creditor (s.52) the tenant sells under R4 or R10; otherwise it tracks the liquidator’s BAANKNET listings (IBBI mandate for notices from 1 Apr 2025), EMD and s.29A declarations of any bidder it introduces, results and distribution (R6.5).</w:t>
      </w:r>
    </w:p>
    <w:bookmarkEnd w:id="179"/>
    <w:bookmarkStart w:id="180" w:name="X10b868162d7de1ccf0c6b31ffa2ef91b8c1d99c"/>
    <w:p>
      <w:pPr>
        <w:pStyle w:val="Heading3"/>
      </w:pPr>
      <w:r>
        <w:t xml:space="preserve">R10.8 Valuation, surplus, shortfall and custody</w:t>
      </w:r>
    </w:p>
    <w:p>
      <w:pPr>
        <w:numPr>
          <w:ilvl w:val="0"/>
          <w:numId w:val="1243"/>
        </w:numPr>
        <w:pStyle w:val="Compact"/>
      </w:pPr>
      <w:r>
        <w:rPr>
          <w:bCs/>
          <w:b/>
        </w:rPr>
        <w:t xml:space="preserve">Valuers (R11):</w:t>
      </w:r>
      <w:r>
        <w:t xml:space="preserve"> </w:t>
      </w:r>
      <w:r>
        <w:t xml:space="preserve">registered valuers by asset class (Companies (Registered Valuers and Valuation) Rules 2017 where applicable); conflict declaration per assignment; rotation; market, realisable and distress values; age limits; two valuations above a threshold.</w:t>
      </w:r>
    </w:p>
    <w:p>
      <w:pPr>
        <w:numPr>
          <w:ilvl w:val="0"/>
          <w:numId w:val="1243"/>
        </w:numPr>
        <w:pStyle w:val="Compact"/>
      </w:pPr>
      <w:r>
        <w:rPr>
          <w:bCs/>
          <w:b/>
        </w:rPr>
        <w:t xml:space="preserve">Surplus:</w:t>
      </w:r>
      <w:r>
        <w:t xml:space="preserve"> </w:t>
      </w:r>
      <w:r>
        <w:t xml:space="preserve">identify persons entitled (CERSAI and encumbrance search, subsequent charge-holders, joint owners, heirs); notice; payment only to a verified account; unclaimed surplus stays a liability; SLA 7 working days for gold (RBC para 66), policy default 7 working days elsewhere [REC].</w:t>
      </w:r>
    </w:p>
    <w:p>
      <w:pPr>
        <w:numPr>
          <w:ilvl w:val="0"/>
          <w:numId w:val="1243"/>
        </w:numPr>
        <w:pStyle w:val="Compact"/>
      </w:pPr>
      <w:r>
        <w:rPr>
          <w:bCs/>
          <w:b/>
        </w:rPr>
        <w:t xml:space="preserve">Shortfall:</w:t>
      </w:r>
      <w:r>
        <w:t xml:space="preserve"> </w:t>
      </w:r>
      <w:r>
        <w:t xml:space="preserve">computation statement to the borrower; recovery continues through R5, R7 or R8; limitation recomputed (sale proceeds are not the borrower’s acknowledgment [interpretation]).</w:t>
      </w:r>
    </w:p>
    <w:p>
      <w:pPr>
        <w:numPr>
          <w:ilvl w:val="0"/>
          <w:numId w:val="1243"/>
        </w:numPr>
        <w:pStyle w:val="Compact"/>
      </w:pPr>
      <w:r>
        <w:rPr>
          <w:bCs/>
          <w:b/>
        </w:rPr>
        <w:t xml:space="preserve">Custody:</w:t>
      </w:r>
      <w:r>
        <w:t xml:space="preserve"> </w:t>
      </w:r>
      <w:r>
        <w:t xml:space="preserve">yard, vault and warehouse registers with chain of custody, insurance and ageing; exceptions raise</w:t>
      </w:r>
      <w:r>
        <w:t xml:space="preserve"> </w:t>
      </w:r>
      <w:r>
        <w:rPr>
          <w:rStyle w:val="VerbatimChar"/>
        </w:rPr>
        <w:t xml:space="preserve">ComplianceIssueRaised</w:t>
      </w:r>
      <w:r>
        <w:t xml:space="preserve">.</w:t>
      </w:r>
    </w:p>
    <w:p>
      <w:pPr>
        <w:pStyle w:val="FirstParagraph"/>
      </w:pPr>
      <w:r>
        <w:rPr>
          <w:bCs/>
          <w:b/>
        </w:rPr>
        <w:t xml:space="preserve">Controls.</w:t>
      </w:r>
      <w:r>
        <w:t xml:space="preserve"> </w:t>
      </w:r>
      <w:r>
        <w:t xml:space="preserve">Notice gates; field-app (M22) ID and authorisation checks before a repossession can be recorded; geofenced, time-stamped evidence; no related-party or staff bidders; reserve floors; surplus SLAs; dual control over vault and yard releases; R15 conduct rules.</w:t>
      </w:r>
    </w:p>
    <w:p>
      <w:pPr>
        <w:pStyle w:val="BodyText"/>
      </w:pPr>
      <w:r>
        <w:rPr>
          <w:bCs/>
          <w:b/>
        </w:rPr>
        <w:t xml:space="preserve">Data captured.</w:t>
      </w:r>
      <w:r>
        <w:t xml:space="preserve"> </w:t>
      </w:r>
      <w:r>
        <w:rPr>
          <w:rStyle w:val="VerbatimChar"/>
        </w:rPr>
        <w:t xml:space="preserve">repossession</w:t>
      </w:r>
      <w:r>
        <w:t xml:space="preserve"> </w:t>
      </w:r>
      <w:r>
        <w:t xml:space="preserve">(extended),</w:t>
      </w:r>
      <w:r>
        <w:t xml:space="preserve"> </w:t>
      </w:r>
      <w:r>
        <w:rPr>
          <w:rStyle w:val="VerbatimChar"/>
        </w:rPr>
        <w:t xml:space="preserve">vehicle_reregistration</w:t>
      </w:r>
      <w:r>
        <w:t xml:space="preserve">,</w:t>
      </w:r>
      <w:r>
        <w:t xml:space="preserve"> </w:t>
      </w:r>
      <w:r>
        <w:rPr>
          <w:rStyle w:val="VerbatimChar"/>
        </w:rPr>
        <w:t xml:space="preserve">custody_location</w:t>
      </w:r>
      <w:r>
        <w:t xml:space="preserve">,</w:t>
      </w:r>
      <w:r>
        <w:t xml:space="preserve"> </w:t>
      </w:r>
      <w:r>
        <w:rPr>
          <w:rStyle w:val="VerbatimChar"/>
        </w:rPr>
        <w:t xml:space="preserve">custody_movement</w:t>
      </w:r>
      <w:r>
        <w:t xml:space="preserve">,</w:t>
      </w:r>
      <w:r>
        <w:t xml:space="preserve"> </w:t>
      </w:r>
      <w:r>
        <w:rPr>
          <w:rStyle w:val="VerbatimChar"/>
        </w:rPr>
        <w:t xml:space="preserve">gold_auction</w:t>
      </w:r>
      <w:r>
        <w:t xml:space="preserve"> </w:t>
      </w:r>
      <w:r>
        <w:t xml:space="preserve">(extended with price inputs, attempt, venue),</w:t>
      </w:r>
      <w:r>
        <w:t xml:space="preserve"> </w:t>
      </w:r>
      <w:r>
        <w:rPr>
          <w:rStyle w:val="VerbatimChar"/>
        </w:rPr>
        <w:t xml:space="preserve">margin_call</w:t>
      </w:r>
      <w:r>
        <w:t xml:space="preserve">,</w:t>
      </w:r>
      <w:r>
        <w:t xml:space="preserve"> </w:t>
      </w:r>
      <w:r>
        <w:rPr>
          <w:rStyle w:val="VerbatimChar"/>
        </w:rPr>
        <w:t xml:space="preserve">pledge_invocation</w:t>
      </w:r>
      <w:r>
        <w:t xml:space="preserve">,</w:t>
      </w:r>
      <w:r>
        <w:t xml:space="preserve"> </w:t>
      </w:r>
      <w:r>
        <w:rPr>
          <w:rStyle w:val="VerbatimChar"/>
        </w:rPr>
        <w:t xml:space="preserve">setoff_action</w:t>
      </w:r>
      <w:r>
        <w:t xml:space="preserve">,</w:t>
      </w:r>
      <w:r>
        <w:t xml:space="preserve"> </w:t>
      </w:r>
      <w:r>
        <w:rPr>
          <w:rStyle w:val="VerbatimChar"/>
        </w:rPr>
        <w:t xml:space="preserve">account_debtor_notice</w:t>
      </w:r>
      <w:r>
        <w:t xml:space="preserve">,</w:t>
      </w:r>
      <w:r>
        <w:t xml:space="preserve"> </w:t>
      </w:r>
      <w:r>
        <w:rPr>
          <w:rStyle w:val="VerbatimChar"/>
        </w:rPr>
        <w:t xml:space="preserve">liquidation_auction_watch</w:t>
      </w:r>
      <w:r>
        <w:t xml:space="preserve">,</w:t>
      </w:r>
      <w:r>
        <w:t xml:space="preserve"> </w:t>
      </w:r>
      <w:r>
        <w:rPr>
          <w:rStyle w:val="VerbatimChar"/>
        </w:rPr>
        <w:t xml:space="preserve">valuer_assignment</w:t>
      </w:r>
      <w:r>
        <w:t xml:space="preserve">,</w:t>
      </w:r>
      <w:r>
        <w:t xml:space="preserve"> </w:t>
      </w:r>
      <w:r>
        <w:rPr>
          <w:rStyle w:val="VerbatimChar"/>
        </w:rPr>
        <w:t xml:space="preserve">shortfall_statement</w:t>
      </w:r>
      <w:r>
        <w:t xml:space="preserve">.</w:t>
      </w:r>
    </w:p>
    <w:p>
      <w:pPr>
        <w:pStyle w:val="BodyText"/>
      </w:pPr>
      <w:r>
        <w:rPr>
          <w:bCs/>
          <w:b/>
        </w:rPr>
        <w:t xml:space="preserve">Configuration.</w:t>
      </w:r>
      <w:r>
        <w:t xml:space="preserve"> </w:t>
      </w:r>
      <w:r>
        <w:t xml:space="preserve">Notice periods by product; repossession windows; yards and vaults; valuer panels; auction platforms; gold price feed; securities disposal policy; surplus SLA.</w:t>
      </w:r>
    </w:p>
    <w:p>
      <w:pPr>
        <w:pStyle w:val="BodyText"/>
      </w:pPr>
      <w:r>
        <w:rPr>
          <w:bCs/>
          <w:b/>
        </w:rPr>
        <w:t xml:space="preserve">Events.</w:t>
      </w:r>
      <w:r>
        <w:t xml:space="preserve"> </w:t>
      </w:r>
      <w:r>
        <w:rPr>
          <w:rStyle w:val="VerbatimChar"/>
        </w:rPr>
        <w:t xml:space="preserve">LegalNoticeIssued</w:t>
      </w:r>
      <w:r>
        <w:t xml:space="preserve"> </w:t>
      </w:r>
      <w:r>
        <w:t xml:space="preserve">(pre-repossession, gold auction, pledge invocation, set-off, account-debtor),</w:t>
      </w:r>
      <w:r>
        <w:t xml:space="preserve"> </w:t>
      </w:r>
      <w:r>
        <w:rPr>
          <w:rStyle w:val="VerbatimChar"/>
        </w:rPr>
        <w:t xml:space="preserve">NoticeServiceUpdated</w:t>
      </w:r>
      <w:r>
        <w:t xml:space="preserve">,</w:t>
      </w:r>
      <w:r>
        <w:t xml:space="preserve"> </w:t>
      </w:r>
      <w:r>
        <w:rPr>
          <w:rStyle w:val="VerbatimChar"/>
        </w:rPr>
        <w:t xml:space="preserve">AssetRepossessed</w:t>
      </w:r>
      <w:r>
        <w:t xml:space="preserve">,</w:t>
      </w:r>
      <w:r>
        <w:t xml:space="preserve"> </w:t>
      </w:r>
      <w:r>
        <w:rPr>
          <w:rStyle w:val="VerbatimChar"/>
        </w:rPr>
        <w:t xml:space="preserve">CollateralValuationUpdated</w:t>
      </w:r>
      <w:r>
        <w:t xml:space="preserve">,</w:t>
      </w:r>
      <w:r>
        <w:t xml:space="preserve"> </w:t>
      </w:r>
      <w:r>
        <w:rPr>
          <w:rStyle w:val="VerbatimChar"/>
        </w:rPr>
        <w:t xml:space="preserve">MarginCallRaised</w:t>
      </w:r>
      <w:r>
        <w:t xml:space="preserve">,</w:t>
      </w:r>
      <w:r>
        <w:t xml:space="preserve"> </w:t>
      </w:r>
      <w:r>
        <w:rPr>
          <w:rStyle w:val="VerbatimChar"/>
        </w:rPr>
        <w:t xml:space="preserve">MarginCallCured</w:t>
      </w:r>
      <w:r>
        <w:t xml:space="preserve">,</w:t>
      </w:r>
      <w:r>
        <w:t xml:space="preserve"> </w:t>
      </w:r>
      <w:r>
        <w:rPr>
          <w:rStyle w:val="VerbatimChar"/>
        </w:rPr>
        <w:t xml:space="preserve">CollateralInvoked</w:t>
      </w:r>
      <w:r>
        <w:t xml:space="preserve">,</w:t>
      </w:r>
      <w:r>
        <w:t xml:space="preserve"> </w:t>
      </w:r>
      <w:r>
        <w:rPr>
          <w:rStyle w:val="VerbatimChar"/>
        </w:rPr>
        <w:t xml:space="preserve">AuctionScheduled</w:t>
      </w:r>
      <w:r>
        <w:t xml:space="preserve">,</w:t>
      </w:r>
      <w:r>
        <w:t xml:space="preserve"> </w:t>
      </w:r>
      <w:r>
        <w:rPr>
          <w:rStyle w:val="VerbatimChar"/>
        </w:rPr>
        <w:t xml:space="preserve">AuctionConcluded</w:t>
      </w:r>
      <w:r>
        <w:t xml:space="preserve">,</w:t>
      </w:r>
      <w:r>
        <w:t xml:space="preserve"> </w:t>
      </w:r>
      <w:r>
        <w:rPr>
          <w:rStyle w:val="VerbatimChar"/>
        </w:rPr>
        <w:t xml:space="preserve">RecoveryReceiptPosted</w:t>
      </w:r>
      <w:r>
        <w:t xml:space="preserve">,</w:t>
      </w:r>
      <w:r>
        <w:t xml:space="preserve"> </w:t>
      </w:r>
      <w:r>
        <w:rPr>
          <w:rStyle w:val="VerbatimChar"/>
        </w:rPr>
        <w:t xml:space="preserve">SurplusRefunded</w:t>
      </w:r>
      <w:r>
        <w:t xml:space="preserve">,</w:t>
      </w:r>
      <w:r>
        <w:t xml:space="preserve"> </w:t>
      </w:r>
      <w:r>
        <w:rPr>
          <w:rStyle w:val="VerbatimChar"/>
        </w:rPr>
        <w:t xml:space="preserve">CollateralReleased</w:t>
      </w:r>
      <w:r>
        <w:t xml:space="preserve">,</w:t>
      </w:r>
      <w:r>
        <w:t xml:space="preserve"> </w:t>
      </w:r>
      <w:r>
        <w:rPr>
          <w:rStyle w:val="VerbatimChar"/>
        </w:rPr>
        <w:t xml:space="preserve">RecoveryCaseClosed</w:t>
      </w:r>
      <w:r>
        <w:t xml:space="preserve">.</w:t>
      </w:r>
    </w:p>
    <w:p>
      <w:pPr>
        <w:pStyle w:val="BodyText"/>
      </w:pPr>
      <w:r>
        <w:rPr>
          <w:bCs/>
          <w:b/>
        </w:rPr>
        <w:t xml:space="preserve">Tests (R10).</w:t>
      </w:r>
      <w:r>
        <w:t xml:space="preserve"> </w:t>
      </w:r>
      <w:r>
        <w:t xml:space="preserve">1. Vehicle: 7-day notice delivered 1 Feb 2027 → assignment blocked until 9 Feb 2027; repossession logged at 22:15 → rejected; memo without signatures → cannot reach</w:t>
      </w:r>
      <w:r>
        <w:t xml:space="preserve"> </w:t>
      </w:r>
      <w:r>
        <w:rPr>
          <w:rStyle w:val="VerbatimChar"/>
        </w:rPr>
        <w:t xml:space="preserve">REPOSSESSED</w:t>
      </w:r>
      <w:r>
        <w:t xml:space="preserve">.</w:t>
      </w:r>
      <w:r>
        <w:t xml:space="preserve"> </w:t>
      </w:r>
      <w:r>
        <w:t xml:space="preserve">2. Gold: 30-day average ₹7,000/g and previous close ₹6,900/g for that purity; net weight 50 g → current value ₹3,45,000; reserve ≥ ₹3,10,500; after two failures ≥ ₹2,93,250.</w:t>
      </w:r>
      <w:r>
        <w:t xml:space="preserve"> </w:t>
      </w:r>
      <w:r>
        <w:t xml:space="preserve">3. Gold: first auction outside the branch district → blocked; related-party bidder → rejected; full proceeds Friday 5 Mar 2027 → surplus due 16 Mar 2027 (no holidays assumed).</w:t>
      </w:r>
      <w:r>
        <w:t xml:space="preserve"> </w:t>
      </w:r>
      <w:r>
        <w:t xml:space="preserve">4. LAS: shortfall Monday 1 Feb 2027 → cure deadline 10 Feb 2027; invocation without a notice log → blocked.</w:t>
      </w:r>
      <w:r>
        <w:t xml:space="preserve"> </w:t>
      </w:r>
      <w:r>
        <w:t xml:space="preserve">5. LAFD: joint deposit without the co-holder’s lien consent → set-off blocked.</w:t>
      </w:r>
      <w:r>
        <w:t xml:space="preserve"> </w:t>
      </w:r>
      <w:r>
        <w:t xml:space="preserve">6. Surplus with a subsequent charge on CERSAI → paid to the charge-holder by priority, not the borrower.</w:t>
      </w:r>
    </w:p>
    <w:p>
      <w:r>
        <w:pict>
          <v:rect style="width:0;height:1.5pt" o:hralign="center" o:hrstd="t" o:hr="t"/>
        </w:pict>
      </w:r>
    </w:p>
    <w:bookmarkEnd w:id="180"/>
    <w:bookmarkEnd w:id="181"/>
    <w:bookmarkStart w:id="188" w:name="Xfd5581d1e72b8ef93feddd5bc2be13acc03329c"/>
    <w:p>
      <w:pPr>
        <w:pStyle w:val="Heading2"/>
      </w:pPr>
      <w:r>
        <w:t xml:space="preserve">R11. Counsel, agency and vendor management</w:t>
      </w:r>
    </w:p>
    <w:p>
      <w:pPr>
        <w:pStyle w:val="FirstParagraph"/>
      </w:pPr>
      <w:r>
        <w:rPr>
          <w:bCs/>
          <w:b/>
        </w:rPr>
        <w:t xml:space="preserve">Purpose.</w:t>
      </w:r>
      <w:r>
        <w:t xml:space="preserve"> </w:t>
      </w:r>
      <w:r>
        <w:t xml:space="preserve">Empanel, allocate, pay, score and audit every external party used in recovery, with the RE retaining responsibility for all of them (OUT para 17).</w:t>
      </w:r>
    </w:p>
    <w:bookmarkStart w:id="182" w:name="r11.1-vendor-types-and-empanelment"/>
    <w:p>
      <w:pPr>
        <w:pStyle w:val="Heading3"/>
      </w:pPr>
      <w:r>
        <w:t xml:space="preserve">R11.1 Vendor types and empanelment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54"/>
        <w:gridCol w:w="7084"/>
      </w:tblGrid>
      <w:tr>
        <w:trPr>
          <w:tblHeader w:val="true"/>
          <w:tblHeader w:val="true"/>
        </w:trPr>
        <w:tc>
          <w:tcPr>
            <w:tcW w:w="2554" w:type="dxa"/>
            <w:shd w:val="clear" w:color="auto" w:fill="1F3A5F"/>
          </w:tcPr>
          <w:p>
            <w:pPr>
              <w:pStyle w:val="Compact"/>
              <w:spacing w:after="40"/>
              <w:jc w:val="left"/>
            </w:pPr>
            <w:r>
              <w:rPr>
                <w:b/>
                <w:color w:val="FFFFFF"/>
                <w:sz w:val="18"/>
              </w:rPr>
              <w:t xml:space="preserve">Vendor type</w:t>
            </w:r>
          </w:p>
        </w:tc>
        <w:tc>
          <w:tcPr>
            <w:tcW w:w="7084" w:type="dxa"/>
            <w:shd w:val="clear" w:color="auto" w:fill="1F3A5F"/>
          </w:tcPr>
          <w:p>
            <w:pPr>
              <w:pStyle w:val="Compact"/>
              <w:spacing w:after="40"/>
              <w:jc w:val="left"/>
            </w:pPr>
            <w:r>
              <w:rPr>
                <w:b/>
                <w:color w:val="FFFFFF"/>
                <w:sz w:val="18"/>
              </w:rPr>
              <w:t xml:space="preserve">Empanelment requirements</w:t>
            </w:r>
          </w:p>
        </w:tc>
      </w:tr>
      <w:tr>
        <w:tc>
          <w:tcPr>
            <w:tcW w:w="2554" w:type="dxa"/>
          </w:tcPr>
          <w:p>
            <w:pPr>
              <w:pStyle w:val="Compact"/>
              <w:spacing w:after="40"/>
              <w:jc w:val="left"/>
            </w:pPr>
            <w:r>
              <w:rPr>
                <w:sz w:val="18"/>
              </w:rPr>
              <w:t xml:space="preserve">Advocates and law firms</w:t>
            </w:r>
          </w:p>
        </w:tc>
        <w:tc>
          <w:tcPr>
            <w:tcW w:w="7084" w:type="dxa"/>
          </w:tcPr>
          <w:p>
            <w:pPr>
              <w:pStyle w:val="Compact"/>
              <w:spacing w:after="40"/>
              <w:jc w:val="left"/>
            </w:pPr>
            <w:r>
              <w:rPr>
                <w:sz w:val="18"/>
              </w:rPr>
              <w:t xml:space="preserve">Enrolment and practice verification; forum experience; conflict declaration; fee schedule approved; engagement letter</w:t>
            </w:r>
          </w:p>
        </w:tc>
      </w:tr>
      <w:tr>
        <w:tc>
          <w:tcPr>
            <w:tcW w:w="2554" w:type="dxa"/>
          </w:tcPr>
          <w:p>
            <w:pPr>
              <w:pStyle w:val="Compact"/>
              <w:spacing w:after="40"/>
              <w:jc w:val="left"/>
            </w:pPr>
            <w:r>
              <w:rPr>
                <w:sz w:val="18"/>
              </w:rPr>
              <w:t xml:space="preserve">Recovery agencies and agents</w:t>
            </w:r>
          </w:p>
        </w:tc>
        <w:tc>
          <w:tcPr>
            <w:tcW w:w="7084" w:type="dxa"/>
          </w:tcPr>
          <w:p>
            <w:pPr>
              <w:pStyle w:val="Compact"/>
              <w:spacing w:after="40"/>
              <w:jc w:val="left"/>
            </w:pPr>
            <w:r>
              <w:rPr>
                <w:sz w:val="18"/>
              </w:rPr>
              <w:t xml:space="preserve">Due diligence; police verification (RBC para 94; para 100H from 1 Jan 2027); IIBF Debt Recovery Agent certificate (para 100I: from 1 Jan 2027, existing agents within one year); code-of-conduct undertaking (RBC para 99); authorisation letter and ID (paras 95–96); website list (RBC para 97; updated within 7 days, para 100K)</w:t>
            </w:r>
          </w:p>
        </w:tc>
      </w:tr>
      <w:tr>
        <w:tc>
          <w:tcPr>
            <w:tcW w:w="2554" w:type="dxa"/>
          </w:tcPr>
          <w:p>
            <w:pPr>
              <w:pStyle w:val="Compact"/>
              <w:spacing w:after="40"/>
              <w:jc w:val="left"/>
            </w:pPr>
            <w:r>
              <w:rPr>
                <w:sz w:val="18"/>
              </w:rPr>
              <w:t xml:space="preserve">Valuers</w:t>
            </w:r>
          </w:p>
        </w:tc>
        <w:tc>
          <w:tcPr>
            <w:tcW w:w="7084" w:type="dxa"/>
          </w:tcPr>
          <w:p>
            <w:pPr>
              <w:pStyle w:val="Compact"/>
              <w:spacing w:after="40"/>
              <w:jc w:val="left"/>
            </w:pPr>
            <w:r>
              <w:rPr>
                <w:sz w:val="18"/>
              </w:rPr>
              <w:t xml:space="preserve">Approved or registered valuer status for SARFAESI valuations (Rule 8(5)) [VERIFY: current definition of</w:t>
            </w:r>
            <w:r>
              <w:rPr>
                <w:sz w:val="18"/>
              </w:rPr>
              <w:t xml:space="preserve"> </w:t>
            </w:r>
            <w:r>
              <w:rPr>
                <w:sz w:val="18"/>
              </w:rPr>
              <w:t xml:space="preserve">“</w:t>
            </w:r>
            <w:r>
              <w:rPr>
                <w:sz w:val="18"/>
              </w:rPr>
              <w:t xml:space="preserve">approved valuer</w:t>
            </w:r>
            <w:r>
              <w:rPr>
                <w:sz w:val="18"/>
              </w:rPr>
              <w:t xml:space="preserve">”</w:t>
            </w:r>
            <w:r>
              <w:rPr>
                <w:sz w:val="18"/>
              </w:rPr>
              <w:t xml:space="preserve"> </w:t>
            </w:r>
            <w:r>
              <w:rPr>
                <w:sz w:val="18"/>
              </w:rPr>
              <w:t xml:space="preserve">in the 2002 Rules]; independence declaration; rotation rules</w:t>
            </w:r>
          </w:p>
        </w:tc>
      </w:tr>
      <w:tr>
        <w:tc>
          <w:tcPr>
            <w:tcW w:w="2554" w:type="dxa"/>
          </w:tcPr>
          <w:p>
            <w:pPr>
              <w:pStyle w:val="Compact"/>
              <w:spacing w:after="40"/>
              <w:jc w:val="left"/>
            </w:pPr>
            <w:r>
              <w:rPr>
                <w:sz w:val="18"/>
              </w:rPr>
              <w:t xml:space="preserve">Auctioneers and e-auction platforms</w:t>
            </w:r>
          </w:p>
        </w:tc>
        <w:tc>
          <w:tcPr>
            <w:tcW w:w="7084" w:type="dxa"/>
          </w:tcPr>
          <w:p>
            <w:pPr>
              <w:pStyle w:val="Compact"/>
              <w:spacing w:after="40"/>
              <w:jc w:val="left"/>
            </w:pPr>
            <w:r>
              <w:rPr>
                <w:sz w:val="18"/>
              </w:rPr>
              <w:t xml:space="preserve">For gold: employee or empanelled auctioneer with safeguards (RBC para 62); platform terms, EMD handling, bid-log export</w:t>
            </w:r>
          </w:p>
        </w:tc>
      </w:tr>
      <w:tr>
        <w:tc>
          <w:tcPr>
            <w:tcW w:w="2554" w:type="dxa"/>
          </w:tcPr>
          <w:p>
            <w:pPr>
              <w:pStyle w:val="Compact"/>
              <w:spacing w:after="40"/>
              <w:jc w:val="left"/>
            </w:pPr>
            <w:r>
              <w:rPr>
                <w:sz w:val="18"/>
              </w:rPr>
              <w:t xml:space="preserve">Field investigators</w:t>
            </w:r>
          </w:p>
        </w:tc>
        <w:tc>
          <w:tcPr>
            <w:tcW w:w="7084" w:type="dxa"/>
          </w:tcPr>
          <w:p>
            <w:pPr>
              <w:pStyle w:val="Compact"/>
              <w:spacing w:after="40"/>
              <w:jc w:val="left"/>
            </w:pPr>
            <w:r>
              <w:rPr>
                <w:sz w:val="18"/>
              </w:rPr>
              <w:t xml:space="preserve">FI-only mandate (R2.3); identity and police verification [REC]</w:t>
            </w:r>
          </w:p>
        </w:tc>
      </w:tr>
      <w:tr>
        <w:tc>
          <w:tcPr>
            <w:tcW w:w="2554" w:type="dxa"/>
          </w:tcPr>
          <w:p>
            <w:pPr>
              <w:pStyle w:val="Compact"/>
              <w:spacing w:after="40"/>
              <w:jc w:val="left"/>
            </w:pPr>
            <w:r>
              <w:rPr>
                <w:sz w:val="18"/>
              </w:rPr>
              <w:t xml:space="preserve">Print-to-post and dispatch vendors</w:t>
            </w:r>
          </w:p>
        </w:tc>
        <w:tc>
          <w:tcPr>
            <w:tcW w:w="7084" w:type="dxa"/>
          </w:tcPr>
          <w:p>
            <w:pPr>
              <w:pStyle w:val="Compact"/>
              <w:spacing w:after="40"/>
              <w:jc w:val="left"/>
            </w:pPr>
            <w:r>
              <w:rPr>
                <w:sz w:val="18"/>
              </w:rPr>
              <w:t xml:space="preserve">Data-protection terms; tracking integration</w:t>
            </w:r>
          </w:p>
        </w:tc>
      </w:tr>
      <w:tr>
        <w:tc>
          <w:tcPr>
            <w:tcW w:w="2554" w:type="dxa"/>
          </w:tcPr>
          <w:p>
            <w:pPr>
              <w:pStyle w:val="Compact"/>
              <w:spacing w:after="40"/>
              <w:jc w:val="left"/>
            </w:pPr>
            <w:r>
              <w:rPr>
                <w:sz w:val="18"/>
              </w:rPr>
              <w:t xml:space="preserve">ODR and ADR providers (Equator and others)</w:t>
            </w:r>
          </w:p>
        </w:tc>
        <w:tc>
          <w:tcPr>
            <w:tcW w:w="7084" w:type="dxa"/>
          </w:tcPr>
          <w:p>
            <w:pPr>
              <w:pStyle w:val="Compact"/>
              <w:spacing w:after="40"/>
              <w:jc w:val="left"/>
            </w:pPr>
            <w:r>
              <w:rPr>
                <w:sz w:val="18"/>
              </w:rPr>
              <w:t xml:space="preserve">Published rules and fees; independent appointment engine; per-lender concentration caps; no fees paid through the lender’s counsel; no outcome-linked fees (Fifth Schedule items 22 and 24 to the A&amp;C Act;</w:t>
            </w:r>
            <w:r>
              <w:rPr>
                <w:sz w:val="18"/>
              </w:rPr>
              <w:t xml:space="preserve"> </w:t>
            </w:r>
            <w:r>
              <w:rPr>
                <w:iCs/>
                <w:i/>
                <w:sz w:val="18"/>
              </w:rPr>
              <w:t xml:space="preserve">Shikha Ghosh v. Axis Bank</w:t>
            </w:r>
            <w:r>
              <w:rPr>
                <w:sz w:val="18"/>
              </w:rPr>
              <w:t xml:space="preserve">, Del HC DB, 30 Sep 2026)</w:t>
            </w:r>
          </w:p>
        </w:tc>
      </w:tr>
      <w:tr>
        <w:tc>
          <w:tcPr>
            <w:tcW w:w="2554" w:type="dxa"/>
          </w:tcPr>
          <w:p>
            <w:pPr>
              <w:pStyle w:val="Compact"/>
              <w:spacing w:after="40"/>
              <w:jc w:val="left"/>
            </w:pPr>
            <w:r>
              <w:rPr>
                <w:sz w:val="18"/>
              </w:rPr>
              <w:t xml:space="preserve">Repossession yards and custodians</w:t>
            </w:r>
          </w:p>
        </w:tc>
        <w:tc>
          <w:tcPr>
            <w:tcW w:w="7084" w:type="dxa"/>
          </w:tcPr>
          <w:p>
            <w:pPr>
              <w:pStyle w:val="Compact"/>
              <w:spacing w:after="40"/>
              <w:jc w:val="left"/>
            </w:pPr>
            <w:r>
              <w:rPr>
                <w:sz w:val="18"/>
              </w:rPr>
              <w:t xml:space="preserve">Insurance, inventory and access controls</w:t>
            </w:r>
          </w:p>
        </w:tc>
      </w:tr>
    </w:tbl>
    <w:p>
      <w:pPr>
        <w:numPr>
          <w:ilvl w:val="0"/>
          <w:numId w:val="1244"/>
        </w:numPr>
        <w:pStyle w:val="Compact"/>
      </w:pPr>
      <w:r>
        <w:t xml:space="preserve">Every vendor sits in the outsourcing register with a materiality assessment (OUT para 36) and a contract with the OUT para 34 clauses, including audit rights (para 34(vii)). Group entities (Equator, Udofin as agent, Infrabyx field apps) also follow OUT paras 45–51 (Board policy, arm’s-length SLAs, customer told which entity serves them).</w:t>
      </w:r>
    </w:p>
    <w:p>
      <w:pPr>
        <w:numPr>
          <w:ilvl w:val="0"/>
          <w:numId w:val="1244"/>
        </w:numPr>
        <w:pStyle w:val="Compact"/>
      </w:pPr>
      <w:r>
        <w:rPr>
          <w:bCs/>
          <w:b/>
        </w:rPr>
        <w:t xml:space="preserve">Group professional and advocate directory (v1.5):</w:t>
      </w:r>
      <w:r>
        <w:t xml:space="preserve"> </w:t>
      </w:r>
      <w:r>
        <w:t xml:space="preserve">advocates, law firms, valuers, investigators and other professionals may be sourced from the Infrabyx Operations Hub directory (OH9) through the Integration Specification (</w:t>
      </w:r>
      <w:r>
        <w:rPr>
          <w:rStyle w:val="VerbatimChar"/>
        </w:rPr>
        <w:t xml:space="preserve">ProfessionalEmpanelled</w:t>
      </w:r>
      <w:r>
        <w:t xml:space="preserve">,</w:t>
      </w:r>
      <w:r>
        <w:t xml:space="preserve"> </w:t>
      </w:r>
      <w:r>
        <w:rPr>
          <w:rStyle w:val="VerbatimChar"/>
        </w:rPr>
        <w:t xml:space="preserve">ProfessionalSuspended</w:t>
      </w:r>
      <w:r>
        <w:t xml:space="preserve">,</w:t>
      </w:r>
      <w:r>
        <w:t xml:space="preserve"> </w:t>
      </w:r>
      <w:r>
        <w:rPr>
          <w:rStyle w:val="VerbatimChar"/>
        </w:rPr>
        <w:t xml:space="preserve">MatterAllocated</w:t>
      </w:r>
      <w:r>
        <w:t xml:space="preserve">). The directory is a sourcing list only: the tenant still runs its own empanelment, conflict check, engagement letter and fee approval under R11.1–R11.5 and remains responsible (OUT para 17). Directory entries carry only the information Bar Council of India Rules Part VI, Chapter II, Rule 36 permits an advocate to publish (name, address, contact details, enrolment number and State Bar Council, enrolment date, qualifications, areas of practice): no ratings, success rates,</w:t>
      </w:r>
      <w:r>
        <w:t xml:space="preserve"> </w:t>
      </w:r>
      <w:r>
        <w:t xml:space="preserve">“</w:t>
      </w:r>
      <w:r>
        <w:t xml:space="preserve">top</w:t>
      </w:r>
      <w:r>
        <w:t xml:space="preserve">”</w:t>
      </w:r>
      <w:r>
        <w:t xml:space="preserve"> </w:t>
      </w:r>
      <w:r>
        <w:t xml:space="preserve">labels, fees, testimonials or paid placement. The tenant’s R11.4 scorecards stay inside the tenant and never flow back to the Hub. ADR neutrals are appointed only by the ODR institution (R8.6), never allocated from the directory. Litigation is opened only after the R1.4 mechanism-selection engine routes a case to it.</w:t>
      </w:r>
    </w:p>
    <w:bookmarkEnd w:id="182"/>
    <w:bookmarkStart w:id="183" w:name="r11.2-allocation-rules"/>
    <w:p>
      <w:pPr>
        <w:pStyle w:val="Heading3"/>
      </w:pPr>
      <w:r>
        <w:t xml:space="preserve">R11.2 Allocation rules</w:t>
      </w:r>
    </w:p>
    <w:p>
      <w:pPr>
        <w:numPr>
          <w:ilvl w:val="0"/>
          <w:numId w:val="1245"/>
        </w:numPr>
        <w:pStyle w:val="Compact"/>
      </w:pPr>
      <w:r>
        <w:t xml:space="preserve">Rule-based allocation by forum, mechanism, geography, language, product, ticket, capacity, conflict status and performance; round-robin within a tier; champion–challenger for agencies.</w:t>
      </w:r>
    </w:p>
    <w:p>
      <w:pPr>
        <w:numPr>
          <w:ilvl w:val="0"/>
          <w:numId w:val="1245"/>
        </w:numPr>
        <w:pStyle w:val="Compact"/>
      </w:pPr>
      <w:r>
        <w:rPr>
          <w:bCs/>
          <w:b/>
        </w:rPr>
        <w:t xml:space="preserve">Eligibility gate before every allocation:</w:t>
      </w:r>
      <w:r>
        <w:t xml:space="preserve"> </w:t>
      </w:r>
      <w:r>
        <w:t xml:space="preserve">certificate current, police verification current, authorisation letter valid, website listing live, no open conduct incident above a severity threshold, capacity available.</w:t>
      </w:r>
    </w:p>
    <w:p>
      <w:pPr>
        <w:numPr>
          <w:ilvl w:val="0"/>
          <w:numId w:val="1245"/>
        </w:numPr>
        <w:pStyle w:val="Compact"/>
      </w:pPr>
      <w:r>
        <w:t xml:space="preserve">Allocation to an agency triggers the borrower intimation (R3) before first contact; recall or change triggers immediate intimation (paras 100M–100N from 1 Jan 2027; RBC para 95 now).</w:t>
      </w:r>
    </w:p>
    <w:bookmarkEnd w:id="183"/>
    <w:bookmarkStart w:id="184" w:name="r11.3-fees-invoices-and-taxes"/>
    <w:p>
      <w:pPr>
        <w:pStyle w:val="Heading3"/>
      </w:pPr>
      <w:r>
        <w:t xml:space="preserve">R11.3 Fees, invoices and taxes</w:t>
      </w:r>
    </w:p>
    <w:p>
      <w:pPr>
        <w:numPr>
          <w:ilvl w:val="0"/>
          <w:numId w:val="1246"/>
        </w:numPr>
        <w:pStyle w:val="Compact"/>
      </w:pPr>
      <w:r>
        <w:t xml:space="preserve">Fee schedules by vendor, forum and stage; success-linked agency fees only within policy (incentives must not induce harsh conduct, para 100Q from 1 Jan 2027).</w:t>
      </w:r>
    </w:p>
    <w:p>
      <w:pPr>
        <w:numPr>
          <w:ilvl w:val="0"/>
          <w:numId w:val="1246"/>
        </w:numPr>
        <w:pStyle w:val="Compact"/>
      </w:pPr>
      <w:r>
        <w:rPr>
          <w:bCs/>
          <w:b/>
        </w:rPr>
        <w:t xml:space="preserve">GST reverse charge</w:t>
      </w:r>
      <w:r>
        <w:t xml:space="preserve"> </w:t>
      </w:r>
      <w:r>
        <w:t xml:space="preserve">(Notification 13/2017-Central Tax (Rate)): Sl.2 advocates; Sl.3 arbitral tribunal; Sl.8 recovery agent to a bank, FI or NBFC [VERIFY: ITC treatment under the tenant’s s.17(4) option].</w:t>
      </w:r>
    </w:p>
    <w:p>
      <w:pPr>
        <w:numPr>
          <w:ilvl w:val="0"/>
          <w:numId w:val="1246"/>
        </w:numPr>
        <w:pStyle w:val="Compact"/>
      </w:pPr>
      <w:r>
        <w:rPr>
          <w:bCs/>
          <w:b/>
        </w:rPr>
        <w:t xml:space="preserve">TDS</w:t>
      </w:r>
      <w:r>
        <w:t xml:space="preserve"> </w:t>
      </w:r>
      <w:r>
        <w:t xml:space="preserve">under Income-tax Act 2025 s.393(1), which replaced s.194J from 1 Apr 2026 (10% professional, 2% technical, threshold ₹50,000) [VERIFY: against the official text].</w:t>
      </w:r>
    </w:p>
    <w:p>
      <w:pPr>
        <w:numPr>
          <w:ilvl w:val="0"/>
          <w:numId w:val="1246"/>
        </w:numPr>
        <w:pStyle w:val="Compact"/>
      </w:pPr>
      <w:r>
        <w:t xml:space="preserve">Agency fees paid by the RE, never netted from borrower receipts (CF para 10(5)). Invoices: match to schedule and stage → maker-checker → R12 posting with matter and loan tags → payment.</w:t>
      </w:r>
    </w:p>
    <w:bookmarkEnd w:id="184"/>
    <w:bookmarkStart w:id="185" w:name="r11.4-performance-scorecards"/>
    <w:p>
      <w:pPr>
        <w:pStyle w:val="Heading3"/>
      </w:pPr>
      <w:r>
        <w:t xml:space="preserve">R11.4 Performance scorecards</w:t>
      </w:r>
    </w:p>
    <w:p>
      <w:pPr>
        <w:numPr>
          <w:ilvl w:val="0"/>
          <w:numId w:val="1247"/>
        </w:numPr>
        <w:pStyle w:val="Compact"/>
      </w:pPr>
      <w:r>
        <w:rPr>
          <w:bCs/>
          <w:b/>
        </w:rPr>
        <w:t xml:space="preserve">Counsel:</w:t>
      </w:r>
      <w:r>
        <w:t xml:space="preserve"> </w:t>
      </w:r>
      <w:r>
        <w:t xml:space="preserve">hearings attended, adjournments sought, time to disposal by forum, success rate, recovery per ₹ of fee, timeliness of updates.</w:t>
      </w:r>
    </w:p>
    <w:p>
      <w:pPr>
        <w:numPr>
          <w:ilvl w:val="0"/>
          <w:numId w:val="1247"/>
        </w:numPr>
        <w:pStyle w:val="Compact"/>
      </w:pPr>
      <w:r>
        <w:rPr>
          <w:bCs/>
          <w:b/>
        </w:rPr>
        <w:t xml:space="preserve">Agencies:</w:t>
      </w:r>
      <w:r>
        <w:t xml:space="preserve"> </w:t>
      </w:r>
      <w:r>
        <w:t xml:space="preserve">resolution %, ₹ collected to ₹ allocated, PTP-kept %, roll-back %, complaints per 1,000 accounts, out-of-window attempts (target zero), recording coverage %, script QA score, unauthorised third-party contacts, certificate currency.</w:t>
      </w:r>
    </w:p>
    <w:p>
      <w:pPr>
        <w:numPr>
          <w:ilvl w:val="0"/>
          <w:numId w:val="1247"/>
        </w:numPr>
        <w:pStyle w:val="Compact"/>
      </w:pPr>
      <w:r>
        <w:rPr>
          <w:bCs/>
          <w:b/>
        </w:rPr>
        <w:t xml:space="preserve">Valuers and auctioneers:</w:t>
      </w:r>
      <w:r>
        <w:t xml:space="preserve"> </w:t>
      </w:r>
      <w:r>
        <w:t xml:space="preserve">valuation variance to realised price, turnaround, failed-auction rate.</w:t>
      </w:r>
    </w:p>
    <w:p>
      <w:pPr>
        <w:numPr>
          <w:ilvl w:val="0"/>
          <w:numId w:val="1247"/>
        </w:numPr>
        <w:pStyle w:val="Compact"/>
      </w:pPr>
      <w:r>
        <w:rPr>
          <w:bCs/>
          <w:b/>
        </w:rPr>
        <w:t xml:space="preserve">ODR providers:</w:t>
      </w:r>
      <w:r>
        <w:t xml:space="preserve"> </w:t>
      </w:r>
      <w:r>
        <w:t xml:space="preserve">turnaround by stage, set-aside rate, enforcement yield, neutral-workload concentration.</w:t>
      </w:r>
    </w:p>
    <w:bookmarkEnd w:id="185"/>
    <w:bookmarkStart w:id="186" w:name="r11.5-conflicts"/>
    <w:p>
      <w:pPr>
        <w:pStyle w:val="Heading3"/>
      </w:pPr>
      <w:r>
        <w:t xml:space="preserve">R11.5 Conflicts</w:t>
      </w:r>
    </w:p>
    <w:p>
      <w:pPr>
        <w:numPr>
          <w:ilvl w:val="0"/>
          <w:numId w:val="1248"/>
        </w:numPr>
        <w:pStyle w:val="Compact"/>
      </w:pPr>
      <w:r>
        <w:t xml:space="preserve">Conflict check at empanelment and at each allocation: counsel acting for the borrower or a related party; valuer related to the borrower or bidder; auctioneer related to the lender (RBC para 65 bars the NBFC and its related parties from bidding in gold auctions); neutral appointed by the same party twice in 3 years (Fifth Schedule item 22).</w:t>
      </w:r>
    </w:p>
    <w:bookmarkEnd w:id="186"/>
    <w:bookmarkStart w:id="187" w:name="r11.6-audits"/>
    <w:p>
      <w:pPr>
        <w:pStyle w:val="Heading3"/>
      </w:pPr>
      <w:r>
        <w:t xml:space="preserve">R11.6 Audits</w:t>
      </w:r>
    </w:p>
    <w:p>
      <w:pPr>
        <w:numPr>
          <w:ilvl w:val="0"/>
          <w:numId w:val="1249"/>
        </w:numPr>
        <w:pStyle w:val="Compact"/>
      </w:pPr>
      <w:r>
        <w:t xml:space="preserve">Audits by internal or external auditors, or pooled audits of common providers (OUT paras 37, 76–78); annual review of each provider’s condition (OUT para 38); agency audits and penalties (paras 100E–100F from 1 Jan 2027); findings tracked to closure; repeated breaches suspend the vendor.</w:t>
      </w:r>
    </w:p>
    <w:p>
      <w:pPr>
        <w:numPr>
          <w:ilvl w:val="0"/>
          <w:numId w:val="1249"/>
        </w:numPr>
        <w:pStyle w:val="Compact"/>
      </w:pPr>
      <w:r>
        <w:t xml:space="preserve">Exit: plan and data return or destruction (OUT paras 43–44); borrowers told immediately of agency termination; website updated within 7 days.</w:t>
      </w:r>
    </w:p>
    <w:p>
      <w:pPr>
        <w:pStyle w:val="FirstParagraph"/>
      </w:pPr>
      <w:r>
        <w:rPr>
          <w:bCs/>
          <w:b/>
        </w:rPr>
        <w:t xml:space="preserve">Data captured.</w:t>
      </w:r>
      <w:r>
        <w:t xml:space="preserve"> </w:t>
      </w:r>
      <w:r>
        <w:t xml:space="preserve">Vendor master, certificates and expiries, verifications, contracts and clauses, allocations, fee schedules, invoices with RCM and TDS, scorecards, conflict checks, audits and findings.</w:t>
      </w:r>
    </w:p>
    <w:p>
      <w:pPr>
        <w:pStyle w:val="BodyText"/>
      </w:pPr>
      <w:r>
        <w:rPr>
          <w:bCs/>
          <w:b/>
        </w:rPr>
        <w:t xml:space="preserve">Controls.</w:t>
      </w:r>
      <w:r>
        <w:t xml:space="preserve"> </w:t>
      </w:r>
      <w:r>
        <w:t xml:space="preserve">Allocation blocked on any failed eligibility check; invoices blocked without matter and stage; no payment to an ODR provider routed through counsel; expiring certificates alert at 60 and 30 days and block on expiry.</w:t>
      </w:r>
    </w:p>
    <w:p>
      <w:pPr>
        <w:pStyle w:val="BodyText"/>
      </w:pPr>
      <w:r>
        <w:rPr>
          <w:bCs/>
          <w:b/>
        </w:rPr>
        <w:t xml:space="preserve">Configuration.</w:t>
      </w:r>
      <w:r>
        <w:t xml:space="preserve"> </w:t>
      </w:r>
      <w:r>
        <w:t xml:space="preserve">Vendor categories, empanelment checklists, fee schedules, scorecard weights, allocation rules, audit frequency.</w:t>
      </w:r>
    </w:p>
    <w:p>
      <w:pPr>
        <w:pStyle w:val="BodyText"/>
      </w:pPr>
      <w:r>
        <w:rPr>
          <w:bCs/>
          <w:b/>
        </w:rPr>
        <w:t xml:space="preserve">Events.</w:t>
      </w:r>
      <w:r>
        <w:t xml:space="preserve"> </w:t>
      </w:r>
      <w:r>
        <w:t xml:space="preserve">Emitted:</w:t>
      </w:r>
      <w:r>
        <w:t xml:space="preserve"> </w:t>
      </w:r>
      <w:r>
        <w:rPr>
          <w:rStyle w:val="VerbatimChar"/>
        </w:rPr>
        <w:t xml:space="preserve">ConnectorCertified</w:t>
      </w:r>
      <w:r>
        <w:t xml:space="preserve"> </w:t>
      </w:r>
      <w:r>
        <w:t xml:space="preserve">(for provider connectors),</w:t>
      </w:r>
      <w:r>
        <w:t xml:space="preserve"> </w:t>
      </w:r>
      <w:r>
        <w:rPr>
          <w:rStyle w:val="VerbatimChar"/>
        </w:rPr>
        <w:t xml:space="preserve">EvidenceSubmitted</w:t>
      </w:r>
      <w:r>
        <w:t xml:space="preserve"> </w:t>
      </w:r>
      <w:r>
        <w:t xml:space="preserve">(audit evidence to GRC). Consumed:</w:t>
      </w:r>
      <w:r>
        <w:t xml:space="preserve"> </w:t>
      </w:r>
      <w:r>
        <w:rPr>
          <w:rStyle w:val="VerbatimChar"/>
        </w:rPr>
        <w:t xml:space="preserve">CollectionActivityLogged</w:t>
      </w:r>
      <w:r>
        <w:t xml:space="preserve">,</w:t>
      </w:r>
      <w:r>
        <w:t xml:space="preserve"> </w:t>
      </w:r>
      <w:r>
        <w:rPr>
          <w:rStyle w:val="VerbatimChar"/>
        </w:rPr>
        <w:t xml:space="preserve">FieldVisitLogged</w:t>
      </w:r>
      <w:r>
        <w:t xml:space="preserve">,</w:t>
      </w:r>
      <w:r>
        <w:t xml:space="preserve"> </w:t>
      </w:r>
      <w:r>
        <w:rPr>
          <w:rStyle w:val="VerbatimChar"/>
        </w:rPr>
        <w:t xml:space="preserve">GrievanceRaised</w:t>
      </w:r>
      <w:r>
        <w:t xml:space="preserve"> </w:t>
      </w:r>
      <w:r>
        <w:t xml:space="preserve">(complaints naming an agent).</w:t>
      </w:r>
    </w:p>
    <w:p>
      <w:pPr>
        <w:pStyle w:val="BodyText"/>
      </w:pPr>
      <w:r>
        <w:rPr>
          <w:bCs/>
          <w:b/>
        </w:rPr>
        <w:t xml:space="preserve">Tests (R11).</w:t>
      </w:r>
      <w:r>
        <w:t xml:space="preserve"> </w:t>
      </w:r>
      <w:r>
        <w:t xml:space="preserve">Allocation to an agent without an IIBF certificate is warned before 1 Jan 2027, blocked from 1 Jan 2027 for agents engaged on or after that date, and blocked from 1 Jan 2028 for agents engaged earlier; an advocate invoice of ₹1,00,000 posts RCM GST and TDS correctly; terminating an agency queues borrower intimations for all its live allocations; an ODR fee payment to a law firm account is rejected.</w:t>
      </w:r>
    </w:p>
    <w:p>
      <w:r>
        <w:pict>
          <v:rect style="width:0;height:1.5pt" o:hralign="center" o:hrstd="t" o:hr="t"/>
        </w:pict>
      </w:r>
    </w:p>
    <w:bookmarkEnd w:id="187"/>
    <w:bookmarkEnd w:id="188"/>
    <w:bookmarkStart w:id="192" w:name="r12.-recovery-accounting-and-finance"/>
    <w:p>
      <w:pPr>
        <w:pStyle w:val="Heading2"/>
      </w:pPr>
      <w:r>
        <w:t xml:space="preserve">R12. Recovery accounting and finance</w:t>
      </w:r>
    </w:p>
    <w:p>
      <w:pPr>
        <w:pStyle w:val="FirstParagraph"/>
      </w:pPr>
      <w:r>
        <w:rPr>
          <w:bCs/>
          <w:b/>
        </w:rPr>
        <w:t xml:space="preserve">Purpose.</w:t>
      </w:r>
      <w:r>
        <w:t xml:space="preserve"> </w:t>
      </w:r>
      <w:r>
        <w:t xml:space="preserve">Post every recovery event in Finbyx’s own ledger (M10) correctly under Ind AS 109 and the IRACP floor, keep written-off dues alive in sub-ledgers, keep money that is not the borrower’s repayment (DLG, CGTMSE, partner shares, trust collections) off the loan, and export and reconcile daily.</w:t>
      </w:r>
    </w:p>
    <w:p>
      <w:pPr>
        <w:pStyle w:val="BodyText"/>
      </w:pPr>
      <w:r>
        <w:rPr>
          <w:bCs/>
          <w:b/>
        </w:rPr>
        <w:t xml:space="preserve">Capabilities:</w:t>
      </w:r>
      <w:r>
        <w:t xml:space="preserve"> </w:t>
      </w:r>
      <w:r>
        <w:t xml:space="preserve">appropriation engine; posting rules; memo legal-claim, recoverable-cost, technical write-off (TWO) and post-write-off ledgers; DLG, CGTMSE, co-lending, servicer-trust and ARC postings; provisioning hooks; exports; reconciliations.</w:t>
      </w:r>
    </w:p>
    <w:bookmarkStart w:id="189" w:name="r12.1-principles-and-appropriation"/>
    <w:p>
      <w:pPr>
        <w:pStyle w:val="Heading3"/>
      </w:pPr>
      <w:r>
        <w:t xml:space="preserve">R12.1 Principles and appropriation</w:t>
      </w:r>
    </w:p>
    <w:p>
      <w:pPr>
        <w:numPr>
          <w:ilvl w:val="0"/>
          <w:numId w:val="1250"/>
        </w:numPr>
        <w:pStyle w:val="Compact"/>
      </w:pPr>
      <w:r>
        <w:t xml:space="preserve">Finbyx is the book of record; external systems receive exports only (M10). Postings come from events through versioned rules; manual journals need maker-checker and a reason code; every line carries</w:t>
      </w:r>
      <w:r>
        <w:t xml:space="preserve"> </w:t>
      </w:r>
      <w:r>
        <w:rPr>
          <w:rStyle w:val="VerbatimChar"/>
        </w:rPr>
        <w:t xml:space="preserve">{loan_id, lender_share, recovery_case_id, matter_id, mechanism, channel, product, branch}</w:t>
      </w:r>
      <w:r>
        <w:t xml:space="preserve">.</w:t>
      </w:r>
    </w:p>
    <w:p>
      <w:pPr>
        <w:numPr>
          <w:ilvl w:val="0"/>
          <w:numId w:val="1250"/>
        </w:numPr>
        <w:pStyle w:val="Compact"/>
      </w:pPr>
      <w:r>
        <w:t xml:space="preserve">Ind AS 109 and IRACP run in parallel; any shortfall of the allowance against IRACP goes to the impairment reserve (IRACP paras 34–36).</w:t>
      </w:r>
    </w:p>
    <w:p>
      <w:pPr>
        <w:numPr>
          <w:ilvl w:val="0"/>
          <w:numId w:val="1250"/>
        </w:numPr>
        <w:pStyle w:val="Compact"/>
      </w:pPr>
      <w:r>
        <w:t xml:space="preserve">Borrower cash is posted the same day (CF para 10(5)); rows 15–18 and 24 are not borrower repayments.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22"/>
        <w:gridCol w:w="4195"/>
        <w:gridCol w:w="3021"/>
      </w:tblGrid>
      <w:tr>
        <w:trPr>
          <w:tblHeader w:val="true"/>
          <w:tblHeader w:val="true"/>
        </w:trPr>
        <w:tc>
          <w:tcPr>
            <w:tcW w:w="2422" w:type="dxa"/>
            <w:shd w:val="clear" w:color="auto" w:fill="1F3A5F"/>
          </w:tcPr>
          <w:p>
            <w:pPr>
              <w:pStyle w:val="Compact"/>
              <w:spacing w:after="40"/>
              <w:jc w:val="left"/>
            </w:pPr>
            <w:r>
              <w:rPr>
                <w:b/>
                <w:color w:val="FFFFFF"/>
                <w:sz w:val="18"/>
              </w:rPr>
              <w:t xml:space="preserve">Context</w:t>
            </w:r>
          </w:p>
        </w:tc>
        <w:tc>
          <w:tcPr>
            <w:tcW w:w="4195" w:type="dxa"/>
            <w:shd w:val="clear" w:color="auto" w:fill="1F3A5F"/>
          </w:tcPr>
          <w:p>
            <w:pPr>
              <w:pStyle w:val="Compact"/>
              <w:spacing w:after="40"/>
              <w:jc w:val="left"/>
            </w:pPr>
            <w:r>
              <w:rPr>
                <w:b/>
                <w:color w:val="FFFFFF"/>
                <w:sz w:val="18"/>
              </w:rPr>
              <w:t xml:space="preserve">Default appropriation</w:t>
            </w:r>
          </w:p>
        </w:tc>
        <w:tc>
          <w:tcPr>
            <w:tcW w:w="3021" w:type="dxa"/>
            <w:shd w:val="clear" w:color="auto" w:fill="1F3A5F"/>
          </w:tcPr>
          <w:p>
            <w:pPr>
              <w:pStyle w:val="Compact"/>
              <w:spacing w:after="40"/>
              <w:jc w:val="left"/>
            </w:pPr>
            <w:r>
              <w:rPr>
                <w:b/>
                <w:color w:val="FFFFFF"/>
                <w:sz w:val="18"/>
              </w:rPr>
              <w:t xml:space="preserve">Basis</w:t>
            </w:r>
          </w:p>
        </w:tc>
      </w:tr>
      <w:tr>
        <w:tc>
          <w:tcPr>
            <w:tcW w:w="2422" w:type="dxa"/>
          </w:tcPr>
          <w:p>
            <w:pPr>
              <w:pStyle w:val="Compact"/>
              <w:spacing w:after="40"/>
              <w:jc w:val="left"/>
            </w:pPr>
            <w:r>
              <w:rPr>
                <w:sz w:val="18"/>
              </w:rPr>
              <w:t xml:space="preserve">Standard account</w:t>
            </w:r>
          </w:p>
        </w:tc>
        <w:tc>
          <w:tcPr>
            <w:tcW w:w="4195" w:type="dxa"/>
          </w:tcPr>
          <w:p>
            <w:pPr>
              <w:pStyle w:val="Compact"/>
              <w:spacing w:after="40"/>
              <w:jc w:val="left"/>
            </w:pPr>
            <w:r>
              <w:rPr>
                <w:sz w:val="18"/>
              </w:rPr>
              <w:t xml:space="preserve">Costs → charges → penal charges → interest → principal [REC]</w:t>
            </w:r>
          </w:p>
        </w:tc>
        <w:tc>
          <w:tcPr>
            <w:tcW w:w="3021" w:type="dxa"/>
          </w:tcPr>
          <w:p>
            <w:pPr>
              <w:pStyle w:val="Compact"/>
              <w:spacing w:after="40"/>
              <w:jc w:val="left"/>
            </w:pPr>
            <w:r>
              <w:rPr>
                <w:sz w:val="18"/>
              </w:rPr>
              <w:t xml:space="preserve">Contract prevails; else ICA ss.59–61</w:t>
            </w:r>
          </w:p>
        </w:tc>
      </w:tr>
      <w:tr>
        <w:tc>
          <w:tcPr>
            <w:tcW w:w="2422" w:type="dxa"/>
          </w:tcPr>
          <w:p>
            <w:pPr>
              <w:pStyle w:val="Compact"/>
              <w:spacing w:after="40"/>
              <w:jc w:val="left"/>
            </w:pPr>
            <w:r>
              <w:rPr>
                <w:sz w:val="18"/>
              </w:rPr>
              <w:t xml:space="preserve">NPA account</w:t>
            </w:r>
          </w:p>
        </w:tc>
        <w:tc>
          <w:tcPr>
            <w:tcW w:w="4195" w:type="dxa"/>
          </w:tcPr>
          <w:p>
            <w:pPr>
              <w:pStyle w:val="Compact"/>
              <w:spacing w:after="40"/>
              <w:jc w:val="left"/>
            </w:pPr>
            <w:r>
              <w:rPr>
                <w:sz w:val="18"/>
              </w:rPr>
              <w:t xml:space="preserve">Principal-first or interest-first, chosen per product and applied uniformly [REC]</w:t>
            </w:r>
          </w:p>
        </w:tc>
        <w:tc>
          <w:tcPr>
            <w:tcW w:w="3021" w:type="dxa"/>
          </w:tcPr>
          <w:p>
            <w:pPr>
              <w:pStyle w:val="Compact"/>
              <w:spacing w:after="40"/>
              <w:jc w:val="left"/>
            </w:pPr>
            <w:r>
              <w:rPr>
                <w:sz w:val="18"/>
              </w:rPr>
              <w:t xml:space="preserve">Income only on realisation (IRACP para 38)</w:t>
            </w:r>
          </w:p>
        </w:tc>
      </w:tr>
      <w:tr>
        <w:tc>
          <w:tcPr>
            <w:tcW w:w="2422" w:type="dxa"/>
          </w:tcPr>
          <w:p>
            <w:pPr>
              <w:pStyle w:val="Compact"/>
              <w:spacing w:after="40"/>
              <w:jc w:val="left"/>
            </w:pPr>
            <w:r>
              <w:rPr>
                <w:sz w:val="18"/>
              </w:rPr>
              <w:t xml:space="preserve">SARFAESI proceeds</w:t>
            </w:r>
          </w:p>
        </w:tc>
        <w:tc>
          <w:tcPr>
            <w:tcW w:w="4195" w:type="dxa"/>
          </w:tcPr>
          <w:p>
            <w:pPr>
              <w:pStyle w:val="Compact"/>
              <w:spacing w:after="40"/>
              <w:jc w:val="left"/>
            </w:pPr>
            <w:r>
              <w:rPr>
                <w:sz w:val="18"/>
              </w:rPr>
              <w:t xml:space="preserve">Costs, charges, expenses → dues → residue to persons entitled</w:t>
            </w:r>
          </w:p>
        </w:tc>
        <w:tc>
          <w:tcPr>
            <w:tcW w:w="3021" w:type="dxa"/>
          </w:tcPr>
          <w:p>
            <w:pPr>
              <w:pStyle w:val="Compact"/>
              <w:spacing w:after="40"/>
              <w:jc w:val="left"/>
            </w:pPr>
            <w:r>
              <w:rPr>
                <w:sz w:val="18"/>
              </w:rPr>
              <w:t xml:space="preserve">SARFAESI s.13(7)</w:t>
            </w:r>
          </w:p>
        </w:tc>
      </w:tr>
      <w:tr>
        <w:tc>
          <w:tcPr>
            <w:tcW w:w="2422" w:type="dxa"/>
          </w:tcPr>
          <w:p>
            <w:pPr>
              <w:pStyle w:val="Compact"/>
              <w:spacing w:after="40"/>
              <w:jc w:val="left"/>
            </w:pPr>
            <w:r>
              <w:rPr>
                <w:sz w:val="18"/>
              </w:rPr>
              <w:t xml:space="preserve">Gold auction proceeds</w:t>
            </w:r>
          </w:p>
        </w:tc>
        <w:tc>
          <w:tcPr>
            <w:tcW w:w="4195" w:type="dxa"/>
          </w:tcPr>
          <w:p>
            <w:pPr>
              <w:pStyle w:val="Compact"/>
              <w:spacing w:after="40"/>
              <w:jc w:val="left"/>
            </w:pPr>
            <w:r>
              <w:rPr>
                <w:sz w:val="18"/>
              </w:rPr>
              <w:t xml:space="preserve">Per agreement (no RBI order)</w:t>
            </w:r>
          </w:p>
        </w:tc>
        <w:tc>
          <w:tcPr>
            <w:tcW w:w="3021" w:type="dxa"/>
          </w:tcPr>
          <w:p>
            <w:pPr>
              <w:pStyle w:val="Compact"/>
              <w:spacing w:after="40"/>
              <w:jc w:val="left"/>
            </w:pPr>
            <w:r>
              <w:rPr>
                <w:sz w:val="18"/>
              </w:rPr>
              <w:t xml:space="preserve">RBC para 66</w:t>
            </w:r>
          </w:p>
        </w:tc>
      </w:tr>
      <w:tr>
        <w:tc>
          <w:tcPr>
            <w:tcW w:w="2422" w:type="dxa"/>
          </w:tcPr>
          <w:p>
            <w:pPr>
              <w:pStyle w:val="Compact"/>
              <w:spacing w:after="40"/>
              <w:jc w:val="left"/>
            </w:pPr>
            <w:r>
              <w:rPr>
                <w:sz w:val="18"/>
              </w:rPr>
              <w:t xml:space="preserve">Co-lending escrow</w:t>
            </w:r>
          </w:p>
        </w:tc>
        <w:tc>
          <w:tcPr>
            <w:tcW w:w="4195" w:type="dxa"/>
          </w:tcPr>
          <w:p>
            <w:pPr>
              <w:pStyle w:val="Compact"/>
              <w:spacing w:after="40"/>
              <w:jc w:val="left"/>
            </w:pPr>
            <w:r>
              <w:rPr>
                <w:sz w:val="18"/>
              </w:rPr>
              <w:t xml:space="preserve">CLA clause, then each lender’s own policy</w:t>
            </w:r>
          </w:p>
        </w:tc>
        <w:tc>
          <w:tcPr>
            <w:tcW w:w="3021" w:type="dxa"/>
          </w:tcPr>
          <w:p>
            <w:pPr>
              <w:pStyle w:val="Compact"/>
              <w:spacing w:after="40"/>
              <w:jc w:val="left"/>
            </w:pPr>
            <w:r>
              <w:rPr>
                <w:sz w:val="18"/>
              </w:rPr>
              <w:t xml:space="preserve">TDCR para 117</w:t>
            </w:r>
          </w:p>
        </w:tc>
      </w:tr>
      <w:tr>
        <w:tc>
          <w:tcPr>
            <w:tcW w:w="2422" w:type="dxa"/>
          </w:tcPr>
          <w:p>
            <w:pPr>
              <w:pStyle w:val="Compact"/>
              <w:spacing w:after="40"/>
              <w:jc w:val="left"/>
            </w:pPr>
            <w:r>
              <w:rPr>
                <w:sz w:val="18"/>
              </w:rPr>
              <w:t xml:space="preserve">Settlement and IBC receipts</w:t>
            </w:r>
          </w:p>
        </w:tc>
        <w:tc>
          <w:tcPr>
            <w:tcW w:w="4195" w:type="dxa"/>
          </w:tcPr>
          <w:p>
            <w:pPr>
              <w:pStyle w:val="Compact"/>
              <w:spacing w:after="40"/>
              <w:jc w:val="left"/>
            </w:pPr>
            <w:r>
              <w:rPr>
                <w:sz w:val="18"/>
              </w:rPr>
              <w:t xml:space="preserve">Settlement letter; plan or s.53 statement</w:t>
            </w:r>
          </w:p>
        </w:tc>
        <w:tc>
          <w:tcPr>
            <w:tcW w:w="3021" w:type="dxa"/>
          </w:tcPr>
          <w:p>
            <w:pPr>
              <w:pStyle w:val="Compact"/>
              <w:spacing w:after="40"/>
              <w:jc w:val="left"/>
            </w:pPr>
            <w:r>
              <w:rPr>
                <w:sz w:val="18"/>
              </w:rPr>
              <w:t xml:space="preserve">RSA paras 86–100; IBC ss.30, 53</w:t>
            </w:r>
          </w:p>
        </w:tc>
      </w:tr>
      <w:tr>
        <w:tc>
          <w:tcPr>
            <w:tcW w:w="2422" w:type="dxa"/>
          </w:tcPr>
          <w:p>
            <w:pPr>
              <w:pStyle w:val="Compact"/>
              <w:spacing w:after="40"/>
              <w:jc w:val="left"/>
            </w:pPr>
            <w:r>
              <w:rPr>
                <w:sz w:val="18"/>
              </w:rPr>
              <w:t xml:space="preserve">Acquired stressed loans</w:t>
            </w:r>
          </w:p>
        </w:tc>
        <w:tc>
          <w:tcPr>
            <w:tcW w:w="4195" w:type="dxa"/>
          </w:tcPr>
          <w:p>
            <w:pPr>
              <w:pStyle w:val="Compact"/>
              <w:spacing w:after="40"/>
              <w:jc w:val="left"/>
            </w:pPr>
            <w:r>
              <w:rPr>
                <w:sz w:val="18"/>
              </w:rPr>
              <w:t xml:space="preserve">Acquisition cost first</w:t>
            </w:r>
          </w:p>
        </w:tc>
        <w:tc>
          <w:tcPr>
            <w:tcW w:w="3021" w:type="dxa"/>
          </w:tcPr>
          <w:p>
            <w:pPr>
              <w:pStyle w:val="Compact"/>
              <w:spacing w:after="40"/>
              <w:jc w:val="left"/>
            </w:pPr>
            <w:r>
              <w:rPr>
                <w:sz w:val="18"/>
              </w:rPr>
              <w:t xml:space="preserve">TDCR para 76</w:t>
            </w:r>
          </w:p>
        </w:tc>
      </w:tr>
    </w:tbl>
    <w:bookmarkEnd w:id="189"/>
    <w:bookmarkStart w:id="190" w:name="r12.2-posting-rules"/>
    <w:p>
      <w:pPr>
        <w:pStyle w:val="Heading3"/>
      </w:pPr>
      <w:r>
        <w:t xml:space="preserve">R12.2 Posting rules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88"/>
        <w:gridCol w:w="1736"/>
        <w:gridCol w:w="1521"/>
        <w:gridCol w:w="1607"/>
        <w:gridCol w:w="1227"/>
        <w:gridCol w:w="2759"/>
      </w:tblGrid>
      <w:tr>
        <w:trPr>
          <w:tblHeader w:val="true"/>
          <w:tblHeader w:val="true"/>
        </w:trPr>
        <w:tc>
          <w:tcPr>
            <w:tcW w:w="788" w:type="dxa"/>
            <w:shd w:val="clear" w:color="auto" w:fill="1F3A5F"/>
          </w:tcPr>
          <w:p>
            <w:pPr>
              <w:pStyle w:val="Compact"/>
              <w:spacing w:after="40"/>
              <w:jc w:val="left"/>
            </w:pPr>
            <w:r>
              <w:rPr>
                <w:b/>
                <w:color w:val="FFFFFF"/>
                <w:sz w:val="18"/>
              </w:rPr>
              <w:t xml:space="preserve">#</w:t>
            </w:r>
          </w:p>
        </w:tc>
        <w:tc>
          <w:tcPr>
            <w:tcW w:w="1736" w:type="dxa"/>
            <w:shd w:val="clear" w:color="auto" w:fill="1F3A5F"/>
          </w:tcPr>
          <w:p>
            <w:pPr>
              <w:pStyle w:val="Compact"/>
              <w:spacing w:after="40"/>
              <w:jc w:val="left"/>
            </w:pPr>
            <w:r>
              <w:rPr>
                <w:b/>
                <w:color w:val="FFFFFF"/>
                <w:sz w:val="18"/>
              </w:rPr>
              <w:t xml:space="preserve">Event</w:t>
            </w:r>
          </w:p>
        </w:tc>
        <w:tc>
          <w:tcPr>
            <w:tcW w:w="1521" w:type="dxa"/>
            <w:shd w:val="clear" w:color="auto" w:fill="1F3A5F"/>
          </w:tcPr>
          <w:p>
            <w:pPr>
              <w:pStyle w:val="Compact"/>
              <w:spacing w:after="40"/>
              <w:jc w:val="left"/>
            </w:pPr>
            <w:r>
              <w:rPr>
                <w:b/>
                <w:color w:val="FFFFFF"/>
                <w:sz w:val="18"/>
              </w:rPr>
              <w:t xml:space="preserve">Debit</w:t>
            </w:r>
          </w:p>
        </w:tc>
        <w:tc>
          <w:tcPr>
            <w:tcW w:w="1607" w:type="dxa"/>
            <w:shd w:val="clear" w:color="auto" w:fill="1F3A5F"/>
          </w:tcPr>
          <w:p>
            <w:pPr>
              <w:pStyle w:val="Compact"/>
              <w:spacing w:after="40"/>
              <w:jc w:val="left"/>
            </w:pPr>
            <w:r>
              <w:rPr>
                <w:b/>
                <w:color w:val="FFFFFF"/>
                <w:sz w:val="18"/>
              </w:rPr>
              <w:t xml:space="preserve">Credit</w:t>
            </w:r>
          </w:p>
        </w:tc>
        <w:tc>
          <w:tcPr>
            <w:tcW w:w="1227" w:type="dxa"/>
            <w:shd w:val="clear" w:color="auto" w:fill="1F3A5F"/>
          </w:tcPr>
          <w:p>
            <w:pPr>
              <w:pStyle w:val="Compact"/>
              <w:spacing w:after="40"/>
              <w:jc w:val="left"/>
            </w:pPr>
            <w:r>
              <w:rPr>
                <w:b/>
                <w:color w:val="FFFFFF"/>
                <w:sz w:val="18"/>
              </w:rPr>
              <w:t xml:space="preserve">Sub-ledger</w:t>
            </w:r>
          </w:p>
        </w:tc>
        <w:tc>
          <w:tcPr>
            <w:tcW w:w="2759" w:type="dxa"/>
            <w:shd w:val="clear" w:color="auto" w:fill="1F3A5F"/>
          </w:tcPr>
          <w:p>
            <w:pPr>
              <w:pStyle w:val="Compact"/>
              <w:spacing w:after="40"/>
              <w:jc w:val="left"/>
            </w:pPr>
            <w:r>
              <w:rPr>
                <w:b/>
                <w:color w:val="FFFFFF"/>
                <w:sz w:val="18"/>
              </w:rPr>
              <w:t xml:space="preserve">Notes</w:t>
            </w:r>
          </w:p>
        </w:tc>
      </w:tr>
      <w:tr>
        <w:tc>
          <w:tcPr>
            <w:tcW w:w="788" w:type="dxa"/>
          </w:tcPr>
          <w:p>
            <w:pPr>
              <w:pStyle w:val="Compact"/>
              <w:spacing w:after="40"/>
              <w:jc w:val="left"/>
            </w:pPr>
            <w:r>
              <w:rPr>
                <w:sz w:val="18"/>
              </w:rPr>
              <w:t xml:space="preserve">1</w:t>
            </w:r>
          </w:p>
        </w:tc>
        <w:tc>
          <w:tcPr>
            <w:tcW w:w="1736" w:type="dxa"/>
          </w:tcPr>
          <w:p>
            <w:pPr>
              <w:pStyle w:val="Compact"/>
              <w:spacing w:after="40"/>
              <w:jc w:val="left"/>
            </w:pPr>
            <w:r>
              <w:rPr>
                <w:sz w:val="18"/>
              </w:rPr>
              <w:t xml:space="preserve">Account becomes NPA</w:t>
            </w:r>
          </w:p>
        </w:tc>
        <w:tc>
          <w:tcPr>
            <w:tcW w:w="1521" w:type="dxa"/>
          </w:tcPr>
          <w:p>
            <w:pPr>
              <w:pStyle w:val="Compact"/>
              <w:spacing w:after="40"/>
              <w:jc w:val="left"/>
            </w:pPr>
            <w:r>
              <w:rPr>
                <w:sz w:val="18"/>
              </w:rPr>
              <w:t xml:space="preserve">Interest income (unrealised)</w:t>
            </w:r>
          </w:p>
        </w:tc>
        <w:tc>
          <w:tcPr>
            <w:tcW w:w="1607" w:type="dxa"/>
          </w:tcPr>
          <w:p>
            <w:pPr>
              <w:pStyle w:val="Compact"/>
              <w:spacing w:after="40"/>
              <w:jc w:val="left"/>
            </w:pPr>
            <w:r>
              <w:rPr>
                <w:sz w:val="18"/>
              </w:rPr>
              <w:t xml:space="preserve">Interest and charges receivable</w:t>
            </w:r>
          </w:p>
        </w:tc>
        <w:tc>
          <w:tcPr>
            <w:tcW w:w="1227" w:type="dxa"/>
          </w:tcPr>
          <w:p>
            <w:pPr>
              <w:pStyle w:val="Compact"/>
              <w:spacing w:after="40"/>
              <w:jc w:val="left"/>
            </w:pPr>
            <w:r>
              <w:rPr>
                <w:sz w:val="18"/>
              </w:rPr>
              <w:t xml:space="preserve">Loan; interest suspense</w:t>
            </w:r>
          </w:p>
        </w:tc>
        <w:tc>
          <w:tcPr>
            <w:tcW w:w="2759" w:type="dxa"/>
          </w:tcPr>
          <w:p>
            <w:pPr>
              <w:pStyle w:val="Compact"/>
              <w:spacing w:after="40"/>
              <w:jc w:val="left"/>
            </w:pPr>
            <w:r>
              <w:rPr>
                <w:sz w:val="18"/>
              </w:rPr>
              <w:t xml:space="preserve">IRACP para 38; Ind AS stage 3 interest on net carrying amount (Ind AS 109 para 5.4.1(b))</w:t>
            </w:r>
          </w:p>
        </w:tc>
      </w:tr>
      <w:tr>
        <w:tc>
          <w:tcPr>
            <w:tcW w:w="788" w:type="dxa"/>
          </w:tcPr>
          <w:p>
            <w:pPr>
              <w:pStyle w:val="Compact"/>
              <w:spacing w:after="40"/>
              <w:jc w:val="left"/>
            </w:pPr>
            <w:r>
              <w:rPr>
                <w:sz w:val="18"/>
              </w:rPr>
              <w:t xml:space="preserve">2</w:t>
            </w:r>
          </w:p>
        </w:tc>
        <w:tc>
          <w:tcPr>
            <w:tcW w:w="1736" w:type="dxa"/>
          </w:tcPr>
          <w:p>
            <w:pPr>
              <w:pStyle w:val="Compact"/>
              <w:spacing w:after="40"/>
              <w:jc w:val="left"/>
            </w:pPr>
            <w:r>
              <w:rPr>
                <w:sz w:val="18"/>
              </w:rPr>
              <w:t xml:space="preserve">Contractual interest on an NPA</w:t>
            </w:r>
          </w:p>
        </w:tc>
        <w:tc>
          <w:tcPr>
            <w:tcW w:w="1521" w:type="dxa"/>
          </w:tcPr>
          <w:p>
            <w:pPr>
              <w:pStyle w:val="Compact"/>
              <w:spacing w:after="40"/>
              <w:jc w:val="left"/>
            </w:pPr>
            <w:r>
              <w:rPr>
                <w:sz w:val="18"/>
              </w:rPr>
              <w:t xml:space="preserve">Memo</w:t>
            </w:r>
          </w:p>
        </w:tc>
        <w:tc>
          <w:tcPr>
            <w:tcW w:w="1607" w:type="dxa"/>
          </w:tcPr>
          <w:p>
            <w:pPr>
              <w:pStyle w:val="Compact"/>
              <w:spacing w:after="40"/>
              <w:jc w:val="left"/>
            </w:pPr>
            <w:r>
              <w:rPr>
                <w:sz w:val="18"/>
              </w:rPr>
              <w:t xml:space="preserve">Memo</w:t>
            </w:r>
          </w:p>
        </w:tc>
        <w:tc>
          <w:tcPr>
            <w:tcW w:w="1227" w:type="dxa"/>
          </w:tcPr>
          <w:p>
            <w:pPr>
              <w:pStyle w:val="Compact"/>
              <w:spacing w:after="40"/>
              <w:jc w:val="left"/>
            </w:pPr>
            <w:r>
              <w:rPr>
                <w:sz w:val="18"/>
              </w:rPr>
              <w:t xml:space="preserve">Legal-claim</w:t>
            </w:r>
          </w:p>
        </w:tc>
        <w:tc>
          <w:tcPr>
            <w:tcW w:w="2759" w:type="dxa"/>
          </w:tcPr>
          <w:p>
            <w:pPr>
              <w:pStyle w:val="Compact"/>
              <w:spacing w:after="40"/>
              <w:jc w:val="left"/>
            </w:pPr>
            <w:r>
              <w:rPr>
                <w:sz w:val="18"/>
              </w:rPr>
              <w:t xml:space="preserve">Feeds notices, claims, decrees</w:t>
            </w:r>
          </w:p>
        </w:tc>
      </w:tr>
      <w:tr>
        <w:tc>
          <w:tcPr>
            <w:tcW w:w="788" w:type="dxa"/>
          </w:tcPr>
          <w:p>
            <w:pPr>
              <w:pStyle w:val="Compact"/>
              <w:spacing w:after="40"/>
              <w:jc w:val="left"/>
            </w:pPr>
            <w:r>
              <w:rPr>
                <w:sz w:val="18"/>
              </w:rPr>
              <w:t xml:space="preserve">3</w:t>
            </w:r>
          </w:p>
        </w:tc>
        <w:tc>
          <w:tcPr>
            <w:tcW w:w="1736" w:type="dxa"/>
          </w:tcPr>
          <w:p>
            <w:pPr>
              <w:pStyle w:val="Compact"/>
              <w:spacing w:after="40"/>
              <w:jc w:val="left"/>
            </w:pPr>
            <w:r>
              <w:rPr>
                <w:sz w:val="18"/>
              </w:rPr>
              <w:t xml:space="preserve">Borrower receipt on an NPA</w:t>
            </w:r>
          </w:p>
        </w:tc>
        <w:tc>
          <w:tcPr>
            <w:tcW w:w="1521" w:type="dxa"/>
          </w:tcPr>
          <w:p>
            <w:pPr>
              <w:pStyle w:val="Compact"/>
              <w:spacing w:after="40"/>
              <w:jc w:val="left"/>
            </w:pPr>
            <w:r>
              <w:rPr>
                <w:sz w:val="18"/>
              </w:rPr>
              <w:t xml:space="preserve">Bank</w:t>
            </w:r>
          </w:p>
        </w:tc>
        <w:tc>
          <w:tcPr>
            <w:tcW w:w="1607" w:type="dxa"/>
          </w:tcPr>
          <w:p>
            <w:pPr>
              <w:pStyle w:val="Compact"/>
              <w:spacing w:after="40"/>
              <w:jc w:val="left"/>
            </w:pPr>
            <w:r>
              <w:rPr>
                <w:sz w:val="18"/>
              </w:rPr>
              <w:t xml:space="preserve">Loan components per R12.1</w:t>
            </w:r>
          </w:p>
        </w:tc>
        <w:tc>
          <w:tcPr>
            <w:tcW w:w="1227" w:type="dxa"/>
          </w:tcPr>
          <w:p>
            <w:pPr>
              <w:pStyle w:val="Compact"/>
              <w:spacing w:after="40"/>
              <w:jc w:val="left"/>
            </w:pPr>
            <w:r>
              <w:rPr>
                <w:sz w:val="18"/>
              </w:rPr>
              <w:t xml:space="preserve">Loan</w:t>
            </w:r>
          </w:p>
        </w:tc>
        <w:tc>
          <w:tcPr>
            <w:tcW w:w="2759" w:type="dxa"/>
          </w:tcPr>
          <w:p>
            <w:pPr>
              <w:pStyle w:val="Compact"/>
              <w:spacing w:after="40"/>
              <w:jc w:val="left"/>
            </w:pPr>
            <w:r>
              <w:rPr>
                <w:sz w:val="18"/>
              </w:rPr>
              <w:t xml:space="preserve">Interest and charges are income on realisation</w:t>
            </w:r>
          </w:p>
        </w:tc>
      </w:tr>
      <w:tr>
        <w:tc>
          <w:tcPr>
            <w:tcW w:w="788" w:type="dxa"/>
          </w:tcPr>
          <w:p>
            <w:pPr>
              <w:pStyle w:val="Compact"/>
              <w:spacing w:after="40"/>
              <w:jc w:val="left"/>
            </w:pPr>
            <w:r>
              <w:rPr>
                <w:sz w:val="18"/>
              </w:rPr>
              <w:t xml:space="preserve">4</w:t>
            </w:r>
          </w:p>
        </w:tc>
        <w:tc>
          <w:tcPr>
            <w:tcW w:w="1736" w:type="dxa"/>
          </w:tcPr>
          <w:p>
            <w:pPr>
              <w:pStyle w:val="Compact"/>
              <w:spacing w:after="40"/>
              <w:jc w:val="left"/>
            </w:pPr>
            <w:r>
              <w:rPr>
                <w:sz w:val="18"/>
              </w:rPr>
              <w:t xml:space="preserve">Counsel bill</w:t>
            </w:r>
          </w:p>
        </w:tc>
        <w:tc>
          <w:tcPr>
            <w:tcW w:w="1521" w:type="dxa"/>
          </w:tcPr>
          <w:p>
            <w:pPr>
              <w:pStyle w:val="Compact"/>
              <w:spacing w:after="40"/>
              <w:jc w:val="left"/>
            </w:pPr>
            <w:r>
              <w:rPr>
                <w:sz w:val="18"/>
              </w:rPr>
              <w:t xml:space="preserve">Legal expense; RCM GST input</w:t>
            </w:r>
          </w:p>
        </w:tc>
        <w:tc>
          <w:tcPr>
            <w:tcW w:w="1607" w:type="dxa"/>
          </w:tcPr>
          <w:p>
            <w:pPr>
              <w:pStyle w:val="Compact"/>
              <w:spacing w:after="40"/>
              <w:jc w:val="left"/>
            </w:pPr>
            <w:r>
              <w:rPr>
                <w:sz w:val="18"/>
              </w:rPr>
              <w:t xml:space="preserve">Vendor (net); TDS payable; RCM GST payable</w:t>
            </w:r>
          </w:p>
        </w:tc>
        <w:tc>
          <w:tcPr>
            <w:tcW w:w="1227" w:type="dxa"/>
          </w:tcPr>
          <w:p>
            <w:pPr>
              <w:pStyle w:val="Compact"/>
              <w:spacing w:after="40"/>
              <w:jc w:val="left"/>
            </w:pPr>
            <w:r>
              <w:rPr>
                <w:sz w:val="18"/>
              </w:rPr>
              <w:t xml:space="preserve">Matter; vendor</w:t>
            </w:r>
          </w:p>
        </w:tc>
        <w:tc>
          <w:tcPr>
            <w:tcW w:w="2759" w:type="dxa"/>
          </w:tcPr>
          <w:p>
            <w:pPr>
              <w:pStyle w:val="Compact"/>
              <w:spacing w:after="40"/>
              <w:jc w:val="left"/>
            </w:pPr>
            <w:r>
              <w:rPr>
                <w:sz w:val="18"/>
              </w:rPr>
              <w:t xml:space="preserve">RCM Notif. 13/2017-CT(Rate) Sl.2; TDS Income-tax Act 2025 s.393(1) Table Sl.6(iii).D(b), formerly s.194J (R11.3) [VERIFY: official text]</w:t>
            </w:r>
          </w:p>
        </w:tc>
      </w:tr>
      <w:tr>
        <w:tc>
          <w:tcPr>
            <w:tcW w:w="788" w:type="dxa"/>
          </w:tcPr>
          <w:p>
            <w:pPr>
              <w:pStyle w:val="Compact"/>
              <w:spacing w:after="40"/>
              <w:jc w:val="left"/>
            </w:pPr>
            <w:r>
              <w:rPr>
                <w:sz w:val="18"/>
              </w:rPr>
              <w:t xml:space="preserve">5</w:t>
            </w:r>
          </w:p>
        </w:tc>
        <w:tc>
          <w:tcPr>
            <w:tcW w:w="1736" w:type="dxa"/>
          </w:tcPr>
          <w:p>
            <w:pPr>
              <w:pStyle w:val="Compact"/>
              <w:spacing w:after="40"/>
              <w:jc w:val="left"/>
            </w:pPr>
            <w:r>
              <w:rPr>
                <w:sz w:val="18"/>
              </w:rPr>
              <w:t xml:space="preserve">Recovery-agent fee</w:t>
            </w:r>
          </w:p>
        </w:tc>
        <w:tc>
          <w:tcPr>
            <w:tcW w:w="1521" w:type="dxa"/>
          </w:tcPr>
          <w:p>
            <w:pPr>
              <w:pStyle w:val="Compact"/>
              <w:spacing w:after="40"/>
              <w:jc w:val="left"/>
            </w:pPr>
            <w:r>
              <w:rPr>
                <w:sz w:val="18"/>
              </w:rPr>
              <w:t xml:space="preserve">Collection expense; RCM GST input</w:t>
            </w:r>
          </w:p>
        </w:tc>
        <w:tc>
          <w:tcPr>
            <w:tcW w:w="1607" w:type="dxa"/>
          </w:tcPr>
          <w:p>
            <w:pPr>
              <w:pStyle w:val="Compact"/>
              <w:spacing w:after="40"/>
              <w:jc w:val="left"/>
            </w:pPr>
            <w:r>
              <w:rPr>
                <w:sz w:val="18"/>
              </w:rPr>
              <w:t xml:space="preserve">Agency (net); TDS; RCM GST</w:t>
            </w:r>
          </w:p>
        </w:tc>
        <w:tc>
          <w:tcPr>
            <w:tcW w:w="1227" w:type="dxa"/>
          </w:tcPr>
          <w:p>
            <w:pPr>
              <w:pStyle w:val="Compact"/>
              <w:spacing w:after="40"/>
              <w:jc w:val="left"/>
            </w:pPr>
            <w:r>
              <w:rPr>
                <w:sz w:val="18"/>
              </w:rPr>
              <w:t xml:space="preserve">Agency</w:t>
            </w:r>
          </w:p>
        </w:tc>
        <w:tc>
          <w:tcPr>
            <w:tcW w:w="2759" w:type="dxa"/>
          </w:tcPr>
          <w:p>
            <w:pPr>
              <w:pStyle w:val="Compact"/>
              <w:spacing w:after="40"/>
              <w:jc w:val="left"/>
            </w:pPr>
            <w:r>
              <w:rPr>
                <w:sz w:val="18"/>
              </w:rPr>
              <w:t xml:space="preserve">RCM Sl.8; never netted from borrower receipts (CF para 10(5))</w:t>
            </w:r>
          </w:p>
        </w:tc>
      </w:tr>
      <w:tr>
        <w:tc>
          <w:tcPr>
            <w:tcW w:w="788" w:type="dxa"/>
          </w:tcPr>
          <w:p>
            <w:pPr>
              <w:pStyle w:val="Compact"/>
              <w:spacing w:after="40"/>
              <w:jc w:val="left"/>
            </w:pPr>
            <w:r>
              <w:rPr>
                <w:sz w:val="18"/>
              </w:rPr>
              <w:t xml:space="preserve">6</w:t>
            </w:r>
          </w:p>
        </w:tc>
        <w:tc>
          <w:tcPr>
            <w:tcW w:w="1736" w:type="dxa"/>
          </w:tcPr>
          <w:p>
            <w:pPr>
              <w:pStyle w:val="Compact"/>
              <w:spacing w:after="40"/>
              <w:jc w:val="left"/>
            </w:pPr>
            <w:r>
              <w:rPr>
                <w:sz w:val="18"/>
              </w:rPr>
              <w:t xml:space="preserve">Tribunal or institution fee</w:t>
            </w:r>
          </w:p>
        </w:tc>
        <w:tc>
          <w:tcPr>
            <w:tcW w:w="1521" w:type="dxa"/>
          </w:tcPr>
          <w:p>
            <w:pPr>
              <w:pStyle w:val="Compact"/>
              <w:spacing w:after="40"/>
              <w:jc w:val="left"/>
            </w:pPr>
            <w:r>
              <w:rPr>
                <w:sz w:val="18"/>
              </w:rPr>
              <w:t xml:space="preserve">Legal expense; RCM GST input</w:t>
            </w:r>
          </w:p>
        </w:tc>
        <w:tc>
          <w:tcPr>
            <w:tcW w:w="1607" w:type="dxa"/>
          </w:tcPr>
          <w:p>
            <w:pPr>
              <w:pStyle w:val="Compact"/>
              <w:spacing w:after="40"/>
              <w:jc w:val="left"/>
            </w:pPr>
            <w:r>
              <w:rPr>
                <w:sz w:val="18"/>
              </w:rPr>
              <w:t xml:space="preserve">Provider; RCM GST</w:t>
            </w:r>
          </w:p>
        </w:tc>
        <w:tc>
          <w:tcPr>
            <w:tcW w:w="1227" w:type="dxa"/>
          </w:tcPr>
          <w:p>
            <w:pPr>
              <w:pStyle w:val="Compact"/>
              <w:spacing w:after="40"/>
              <w:jc w:val="left"/>
            </w:pPr>
            <w:r>
              <w:rPr>
                <w:sz w:val="18"/>
              </w:rPr>
              <w:t xml:space="preserve">ADR case</w:t>
            </w:r>
          </w:p>
        </w:tc>
        <w:tc>
          <w:tcPr>
            <w:tcW w:w="2759" w:type="dxa"/>
          </w:tcPr>
          <w:p>
            <w:pPr>
              <w:pStyle w:val="Compact"/>
              <w:spacing w:after="40"/>
              <w:jc w:val="left"/>
            </w:pPr>
            <w:r>
              <w:rPr>
                <w:sz w:val="18"/>
              </w:rPr>
              <w:t xml:space="preserve">RCM Sl.3 [VERIFY: institution versus tribunal invoicing]</w:t>
            </w:r>
          </w:p>
        </w:tc>
      </w:tr>
      <w:tr>
        <w:tc>
          <w:tcPr>
            <w:tcW w:w="788" w:type="dxa"/>
          </w:tcPr>
          <w:p>
            <w:pPr>
              <w:pStyle w:val="Compact"/>
              <w:spacing w:after="40"/>
              <w:jc w:val="left"/>
            </w:pPr>
            <w:r>
              <w:rPr>
                <w:sz w:val="18"/>
              </w:rPr>
              <w:t xml:space="preserve">7</w:t>
            </w:r>
          </w:p>
        </w:tc>
        <w:tc>
          <w:tcPr>
            <w:tcW w:w="1736" w:type="dxa"/>
          </w:tcPr>
          <w:p>
            <w:pPr>
              <w:pStyle w:val="Compact"/>
              <w:spacing w:after="40"/>
              <w:jc w:val="left"/>
            </w:pPr>
            <w:r>
              <w:rPr>
                <w:sz w:val="18"/>
              </w:rPr>
              <w:t xml:space="preserve">Recoverable cost, standard account</w:t>
            </w:r>
          </w:p>
        </w:tc>
        <w:tc>
          <w:tcPr>
            <w:tcW w:w="1521" w:type="dxa"/>
          </w:tcPr>
          <w:p>
            <w:pPr>
              <w:pStyle w:val="Compact"/>
              <w:spacing w:after="40"/>
              <w:jc w:val="left"/>
            </w:pPr>
            <w:r>
              <w:rPr>
                <w:sz w:val="18"/>
              </w:rPr>
              <w:t xml:space="preserve">Loan charges receivable</w:t>
            </w:r>
          </w:p>
        </w:tc>
        <w:tc>
          <w:tcPr>
            <w:tcW w:w="1607" w:type="dxa"/>
          </w:tcPr>
          <w:p>
            <w:pPr>
              <w:pStyle w:val="Compact"/>
              <w:spacing w:after="40"/>
              <w:jc w:val="left"/>
            </w:pPr>
            <w:r>
              <w:rPr>
                <w:sz w:val="18"/>
              </w:rPr>
              <w:t xml:space="preserve">Recoverable-cost clearing</w:t>
            </w:r>
          </w:p>
        </w:tc>
        <w:tc>
          <w:tcPr>
            <w:tcW w:w="1227" w:type="dxa"/>
          </w:tcPr>
          <w:p>
            <w:pPr>
              <w:pStyle w:val="Compact"/>
              <w:spacing w:after="40"/>
              <w:jc w:val="left"/>
            </w:pPr>
            <w:r>
              <w:rPr>
                <w:sz w:val="18"/>
              </w:rPr>
              <w:t xml:space="preserve">Loan</w:t>
            </w:r>
          </w:p>
        </w:tc>
        <w:tc>
          <w:tcPr>
            <w:tcW w:w="2759" w:type="dxa"/>
          </w:tcPr>
          <w:p>
            <w:pPr>
              <w:pStyle w:val="Compact"/>
              <w:spacing w:after="40"/>
              <w:jc w:val="left"/>
            </w:pPr>
            <w:r>
              <w:rPr>
                <w:sz w:val="18"/>
              </w:rPr>
              <w:t xml:space="preserve">Only if agreement and KFS provide (RBC para 29(4)–(5)); never penal (RBC para 30)</w:t>
            </w:r>
          </w:p>
        </w:tc>
      </w:tr>
      <w:tr>
        <w:tc>
          <w:tcPr>
            <w:tcW w:w="788" w:type="dxa"/>
          </w:tcPr>
          <w:p>
            <w:pPr>
              <w:pStyle w:val="Compact"/>
              <w:spacing w:after="40"/>
              <w:jc w:val="left"/>
            </w:pPr>
            <w:r>
              <w:rPr>
                <w:sz w:val="18"/>
              </w:rPr>
              <w:t xml:space="preserve">8</w:t>
            </w:r>
          </w:p>
        </w:tc>
        <w:tc>
          <w:tcPr>
            <w:tcW w:w="1736" w:type="dxa"/>
          </w:tcPr>
          <w:p>
            <w:pPr>
              <w:pStyle w:val="Compact"/>
              <w:spacing w:after="40"/>
              <w:jc w:val="left"/>
            </w:pPr>
            <w:r>
              <w:rPr>
                <w:sz w:val="18"/>
              </w:rPr>
              <w:t xml:space="preserve">Recoverable cost, NPA</w:t>
            </w:r>
          </w:p>
        </w:tc>
        <w:tc>
          <w:tcPr>
            <w:tcW w:w="1521" w:type="dxa"/>
          </w:tcPr>
          <w:p>
            <w:pPr>
              <w:pStyle w:val="Compact"/>
              <w:spacing w:after="40"/>
              <w:jc w:val="left"/>
            </w:pPr>
            <w:r>
              <w:rPr>
                <w:sz w:val="18"/>
              </w:rPr>
              <w:t xml:space="preserve">—</w:t>
            </w:r>
          </w:p>
        </w:tc>
        <w:tc>
          <w:tcPr>
            <w:tcW w:w="1607" w:type="dxa"/>
          </w:tcPr>
          <w:p>
            <w:pPr>
              <w:pStyle w:val="Compact"/>
              <w:spacing w:after="40"/>
              <w:jc w:val="left"/>
            </w:pPr>
            <w:r>
              <w:rPr>
                <w:sz w:val="18"/>
              </w:rPr>
              <w:t xml:space="preserve">—</w:t>
            </w:r>
          </w:p>
        </w:tc>
        <w:tc>
          <w:tcPr>
            <w:tcW w:w="1227" w:type="dxa"/>
          </w:tcPr>
          <w:p>
            <w:pPr>
              <w:pStyle w:val="Compact"/>
              <w:spacing w:after="40"/>
              <w:jc w:val="left"/>
            </w:pPr>
            <w:r>
              <w:rPr>
                <w:sz w:val="18"/>
              </w:rPr>
              <w:t xml:space="preserve">Shadow cost</w:t>
            </w:r>
          </w:p>
        </w:tc>
        <w:tc>
          <w:tcPr>
            <w:tcW w:w="2759" w:type="dxa"/>
          </w:tcPr>
          <w:p>
            <w:pPr>
              <w:pStyle w:val="Compact"/>
              <w:spacing w:after="40"/>
              <w:jc w:val="left"/>
            </w:pPr>
            <w:r>
              <w:rPr>
                <w:sz w:val="18"/>
              </w:rPr>
              <w:t xml:space="preserve">No income until realised (IRACP para 38)</w:t>
            </w:r>
          </w:p>
        </w:tc>
      </w:tr>
      <w:tr>
        <w:tc>
          <w:tcPr>
            <w:tcW w:w="788" w:type="dxa"/>
          </w:tcPr>
          <w:p>
            <w:pPr>
              <w:pStyle w:val="Compact"/>
              <w:spacing w:after="40"/>
              <w:jc w:val="left"/>
            </w:pPr>
            <w:r>
              <w:rPr>
                <w:sz w:val="18"/>
              </w:rPr>
              <w:t xml:space="preserve">9</w:t>
            </w:r>
          </w:p>
        </w:tc>
        <w:tc>
          <w:tcPr>
            <w:tcW w:w="1736" w:type="dxa"/>
          </w:tcPr>
          <w:p>
            <w:pPr>
              <w:pStyle w:val="Compact"/>
              <w:spacing w:after="40"/>
              <w:jc w:val="left"/>
            </w:pPr>
            <w:r>
              <w:rPr>
                <w:sz w:val="18"/>
              </w:rPr>
              <w:t xml:space="preserve">Costs recovered</w:t>
            </w:r>
          </w:p>
        </w:tc>
        <w:tc>
          <w:tcPr>
            <w:tcW w:w="1521" w:type="dxa"/>
          </w:tcPr>
          <w:p>
            <w:pPr>
              <w:pStyle w:val="Compact"/>
              <w:spacing w:after="40"/>
              <w:jc w:val="left"/>
            </w:pPr>
            <w:r>
              <w:rPr>
                <w:sz w:val="18"/>
              </w:rPr>
              <w:t xml:space="preserve">Bank</w:t>
            </w:r>
          </w:p>
        </w:tc>
        <w:tc>
          <w:tcPr>
            <w:tcW w:w="1607" w:type="dxa"/>
          </w:tcPr>
          <w:p>
            <w:pPr>
              <w:pStyle w:val="Compact"/>
              <w:spacing w:after="40"/>
              <w:jc w:val="left"/>
            </w:pPr>
            <w:r>
              <w:rPr>
                <w:sz w:val="18"/>
              </w:rPr>
              <w:t xml:space="preserve">Recovery of legal expenses</w:t>
            </w:r>
          </w:p>
        </w:tc>
        <w:tc>
          <w:tcPr>
            <w:tcW w:w="1227" w:type="dxa"/>
          </w:tcPr>
          <w:p>
            <w:pPr>
              <w:pStyle w:val="Compact"/>
              <w:spacing w:after="40"/>
              <w:jc w:val="left"/>
            </w:pPr>
            <w:r>
              <w:rPr>
                <w:sz w:val="18"/>
              </w:rPr>
              <w:t xml:space="preserve">Shadow cost</w:t>
            </w:r>
          </w:p>
        </w:tc>
        <w:tc>
          <w:tcPr>
            <w:tcW w:w="2759" w:type="dxa"/>
          </w:tcPr>
          <w:p>
            <w:pPr>
              <w:pStyle w:val="Compact"/>
              <w:spacing w:after="40"/>
              <w:jc w:val="left"/>
            </w:pPr>
            <w:r>
              <w:rPr>
                <w:sz w:val="18"/>
              </w:rPr>
              <w:t xml:space="preserve">On realisation</w:t>
            </w:r>
          </w:p>
        </w:tc>
      </w:tr>
      <w:tr>
        <w:tc>
          <w:tcPr>
            <w:tcW w:w="788" w:type="dxa"/>
          </w:tcPr>
          <w:p>
            <w:pPr>
              <w:pStyle w:val="Compact"/>
              <w:spacing w:after="40"/>
              <w:jc w:val="left"/>
            </w:pPr>
            <w:r>
              <w:rPr>
                <w:sz w:val="18"/>
              </w:rPr>
              <w:t xml:space="preserve">10</w:t>
            </w:r>
          </w:p>
        </w:tc>
        <w:tc>
          <w:tcPr>
            <w:tcW w:w="1736" w:type="dxa"/>
          </w:tcPr>
          <w:p>
            <w:pPr>
              <w:pStyle w:val="Compact"/>
              <w:spacing w:after="40"/>
              <w:jc w:val="left"/>
            </w:pPr>
            <w:r>
              <w:rPr>
                <w:sz w:val="18"/>
              </w:rPr>
              <w:t xml:space="preserve">Bidder EMD</w:t>
            </w:r>
          </w:p>
        </w:tc>
        <w:tc>
          <w:tcPr>
            <w:tcW w:w="1521" w:type="dxa"/>
          </w:tcPr>
          <w:p>
            <w:pPr>
              <w:pStyle w:val="Compact"/>
              <w:spacing w:after="40"/>
              <w:jc w:val="left"/>
            </w:pPr>
            <w:r>
              <w:rPr>
                <w:sz w:val="18"/>
              </w:rPr>
              <w:t xml:space="preserve">Bank</w:t>
            </w:r>
          </w:p>
        </w:tc>
        <w:tc>
          <w:tcPr>
            <w:tcW w:w="1607" w:type="dxa"/>
          </w:tcPr>
          <w:p>
            <w:pPr>
              <w:pStyle w:val="Compact"/>
              <w:spacing w:after="40"/>
              <w:jc w:val="left"/>
            </w:pPr>
            <w:r>
              <w:rPr>
                <w:sz w:val="18"/>
              </w:rPr>
              <w:t xml:space="preserve">EMD payable</w:t>
            </w:r>
          </w:p>
        </w:tc>
        <w:tc>
          <w:tcPr>
            <w:tcW w:w="1227" w:type="dxa"/>
          </w:tcPr>
          <w:p>
            <w:pPr>
              <w:pStyle w:val="Compact"/>
              <w:spacing w:after="40"/>
              <w:jc w:val="left"/>
            </w:pPr>
            <w:r>
              <w:rPr>
                <w:sz w:val="18"/>
              </w:rPr>
              <w:t xml:space="preserve">Auction</w:t>
            </w:r>
          </w:p>
        </w:tc>
        <w:tc>
          <w:tcPr>
            <w:tcW w:w="2759" w:type="dxa"/>
          </w:tcPr>
          <w:p>
            <w:pPr>
              <w:pStyle w:val="Compact"/>
              <w:spacing w:after="40"/>
              <w:jc w:val="left"/>
            </w:pPr>
            <w:r>
              <w:rPr>
                <w:sz w:val="18"/>
              </w:rPr>
              <w:t xml:space="preserve">Forfeited deposit credited to the loan [interpretation: Rule 9(5); auditor sign-off]</w:t>
            </w:r>
          </w:p>
        </w:tc>
      </w:tr>
      <w:tr>
        <w:tc>
          <w:tcPr>
            <w:tcW w:w="788" w:type="dxa"/>
          </w:tcPr>
          <w:p>
            <w:pPr>
              <w:pStyle w:val="Compact"/>
              <w:spacing w:after="40"/>
              <w:jc w:val="left"/>
            </w:pPr>
            <w:r>
              <w:rPr>
                <w:sz w:val="18"/>
              </w:rPr>
              <w:t xml:space="preserve">11</w:t>
            </w:r>
          </w:p>
        </w:tc>
        <w:tc>
          <w:tcPr>
            <w:tcW w:w="1736" w:type="dxa"/>
          </w:tcPr>
          <w:p>
            <w:pPr>
              <w:pStyle w:val="Compact"/>
              <w:spacing w:after="40"/>
              <w:jc w:val="left"/>
            </w:pPr>
            <w:r>
              <w:rPr>
                <w:sz w:val="18"/>
              </w:rPr>
              <w:t xml:space="preserve">Sale proceeds</w:t>
            </w:r>
          </w:p>
        </w:tc>
        <w:tc>
          <w:tcPr>
            <w:tcW w:w="1521" w:type="dxa"/>
          </w:tcPr>
          <w:p>
            <w:pPr>
              <w:pStyle w:val="Compact"/>
              <w:spacing w:after="40"/>
              <w:jc w:val="left"/>
            </w:pPr>
            <w:r>
              <w:rPr>
                <w:sz w:val="18"/>
              </w:rPr>
              <w:t xml:space="preserve">Bank</w:t>
            </w:r>
          </w:p>
        </w:tc>
        <w:tc>
          <w:tcPr>
            <w:tcW w:w="1607" w:type="dxa"/>
          </w:tcPr>
          <w:p>
            <w:pPr>
              <w:pStyle w:val="Compact"/>
              <w:spacing w:after="40"/>
              <w:jc w:val="left"/>
            </w:pPr>
            <w:r>
              <w:rPr>
                <w:sz w:val="18"/>
              </w:rPr>
              <w:t xml:space="preserve">Sale-proceeds suspense</w:t>
            </w:r>
          </w:p>
        </w:tc>
        <w:tc>
          <w:tcPr>
            <w:tcW w:w="1227" w:type="dxa"/>
          </w:tcPr>
          <w:p>
            <w:pPr>
              <w:pStyle w:val="Compact"/>
              <w:spacing w:after="40"/>
              <w:jc w:val="left"/>
            </w:pPr>
            <w:r>
              <w:rPr>
                <w:sz w:val="18"/>
              </w:rPr>
              <w:t xml:space="preserve">Case</w:t>
            </w:r>
          </w:p>
        </w:tc>
        <w:tc>
          <w:tcPr>
            <w:tcW w:w="2759" w:type="dxa"/>
          </w:tcPr>
          <w:p>
            <w:pPr>
              <w:pStyle w:val="Compact"/>
              <w:spacing w:after="40"/>
              <w:jc w:val="left"/>
            </w:pPr>
            <w:r>
              <w:rPr>
                <w:sz w:val="18"/>
              </w:rPr>
              <w:t xml:space="preserve">Cleared by row 12</w:t>
            </w:r>
          </w:p>
        </w:tc>
      </w:tr>
      <w:tr>
        <w:tc>
          <w:tcPr>
            <w:tcW w:w="788" w:type="dxa"/>
          </w:tcPr>
          <w:p>
            <w:pPr>
              <w:pStyle w:val="Compact"/>
              <w:spacing w:after="40"/>
              <w:jc w:val="left"/>
            </w:pPr>
            <w:r>
              <w:rPr>
                <w:sz w:val="18"/>
              </w:rPr>
              <w:t xml:space="preserve">12</w:t>
            </w:r>
          </w:p>
        </w:tc>
        <w:tc>
          <w:tcPr>
            <w:tcW w:w="1736" w:type="dxa"/>
          </w:tcPr>
          <w:p>
            <w:pPr>
              <w:pStyle w:val="Compact"/>
              <w:spacing w:after="40"/>
              <w:jc w:val="left"/>
            </w:pPr>
            <w:r>
              <w:rPr>
                <w:sz w:val="18"/>
              </w:rPr>
              <w:t xml:space="preserve">Clearing of proceeds</w:t>
            </w:r>
          </w:p>
        </w:tc>
        <w:tc>
          <w:tcPr>
            <w:tcW w:w="1521" w:type="dxa"/>
          </w:tcPr>
          <w:p>
            <w:pPr>
              <w:pStyle w:val="Compact"/>
              <w:spacing w:after="40"/>
              <w:jc w:val="left"/>
            </w:pPr>
            <w:r>
              <w:rPr>
                <w:sz w:val="18"/>
              </w:rPr>
              <w:t xml:space="preserve">Sale-proceeds suspense</w:t>
            </w:r>
          </w:p>
        </w:tc>
        <w:tc>
          <w:tcPr>
            <w:tcW w:w="1607" w:type="dxa"/>
          </w:tcPr>
          <w:p>
            <w:pPr>
              <w:pStyle w:val="Compact"/>
              <w:spacing w:after="40"/>
              <w:jc w:val="left"/>
            </w:pPr>
            <w:r>
              <w:rPr>
                <w:sz w:val="18"/>
              </w:rPr>
              <w:t xml:space="preserve">Costs recovered; loan; surplus payable</w:t>
            </w:r>
          </w:p>
        </w:tc>
        <w:tc>
          <w:tcPr>
            <w:tcW w:w="1227" w:type="dxa"/>
          </w:tcPr>
          <w:p>
            <w:pPr>
              <w:pStyle w:val="Compact"/>
              <w:spacing w:after="40"/>
              <w:jc w:val="left"/>
            </w:pPr>
            <w:r>
              <w:rPr>
                <w:sz w:val="18"/>
              </w:rPr>
              <w:t xml:space="preserve">Loan; surplus</w:t>
            </w:r>
          </w:p>
        </w:tc>
        <w:tc>
          <w:tcPr>
            <w:tcW w:w="2759" w:type="dxa"/>
          </w:tcPr>
          <w:p>
            <w:pPr>
              <w:pStyle w:val="Compact"/>
              <w:spacing w:after="40"/>
              <w:jc w:val="left"/>
            </w:pPr>
            <w:r>
              <w:rPr>
                <w:sz w:val="18"/>
              </w:rPr>
              <w:t xml:space="preserve">s.13(7); surplus after the CERSAI check</w:t>
            </w:r>
          </w:p>
        </w:tc>
      </w:tr>
      <w:tr>
        <w:tc>
          <w:tcPr>
            <w:tcW w:w="788" w:type="dxa"/>
          </w:tcPr>
          <w:p>
            <w:pPr>
              <w:pStyle w:val="Compact"/>
              <w:spacing w:after="40"/>
              <w:jc w:val="left"/>
            </w:pPr>
            <w:r>
              <w:rPr>
                <w:sz w:val="18"/>
              </w:rPr>
              <w:t xml:space="preserve">13</w:t>
            </w:r>
          </w:p>
        </w:tc>
        <w:tc>
          <w:tcPr>
            <w:tcW w:w="1736" w:type="dxa"/>
          </w:tcPr>
          <w:p>
            <w:pPr>
              <w:pStyle w:val="Compact"/>
              <w:spacing w:after="40"/>
              <w:jc w:val="left"/>
            </w:pPr>
            <w:r>
              <w:rPr>
                <w:sz w:val="18"/>
              </w:rPr>
              <w:t xml:space="preserve">Surplus paid</w:t>
            </w:r>
          </w:p>
        </w:tc>
        <w:tc>
          <w:tcPr>
            <w:tcW w:w="1521" w:type="dxa"/>
          </w:tcPr>
          <w:p>
            <w:pPr>
              <w:pStyle w:val="Compact"/>
              <w:spacing w:after="40"/>
              <w:jc w:val="left"/>
            </w:pPr>
            <w:r>
              <w:rPr>
                <w:sz w:val="18"/>
              </w:rPr>
              <w:t xml:space="preserve">Surplus payable</w:t>
            </w:r>
          </w:p>
        </w:tc>
        <w:tc>
          <w:tcPr>
            <w:tcW w:w="1607" w:type="dxa"/>
          </w:tcPr>
          <w:p>
            <w:pPr>
              <w:pStyle w:val="Compact"/>
              <w:spacing w:after="40"/>
              <w:jc w:val="left"/>
            </w:pPr>
            <w:r>
              <w:rPr>
                <w:sz w:val="18"/>
              </w:rPr>
              <w:t xml:space="preserve">Bank</w:t>
            </w:r>
          </w:p>
        </w:tc>
        <w:tc>
          <w:tcPr>
            <w:tcW w:w="1227" w:type="dxa"/>
          </w:tcPr>
          <w:p>
            <w:pPr>
              <w:pStyle w:val="Compact"/>
              <w:spacing w:after="40"/>
              <w:jc w:val="left"/>
            </w:pPr>
            <w:r>
              <w:rPr>
                <w:sz w:val="18"/>
              </w:rPr>
              <w:t xml:space="preserve">Surplus</w:t>
            </w:r>
          </w:p>
        </w:tc>
        <w:tc>
          <w:tcPr>
            <w:tcW w:w="2759" w:type="dxa"/>
          </w:tcPr>
          <w:p>
            <w:pPr>
              <w:pStyle w:val="Compact"/>
              <w:spacing w:after="40"/>
              <w:jc w:val="left"/>
            </w:pPr>
            <w:r>
              <w:rPr>
                <w:sz w:val="18"/>
              </w:rPr>
              <w:t xml:space="preserve">Unclaimed surplus stays a liability</w:t>
            </w:r>
          </w:p>
        </w:tc>
      </w:tr>
      <w:tr>
        <w:tc>
          <w:tcPr>
            <w:tcW w:w="788" w:type="dxa"/>
          </w:tcPr>
          <w:p>
            <w:pPr>
              <w:pStyle w:val="Compact"/>
              <w:spacing w:after="40"/>
              <w:jc w:val="left"/>
            </w:pPr>
            <w:r>
              <w:rPr>
                <w:sz w:val="18"/>
              </w:rPr>
              <w:t xml:space="preserve">14</w:t>
            </w:r>
          </w:p>
        </w:tc>
        <w:tc>
          <w:tcPr>
            <w:tcW w:w="1736" w:type="dxa"/>
          </w:tcPr>
          <w:p>
            <w:pPr>
              <w:pStyle w:val="Compact"/>
              <w:spacing w:after="40"/>
              <w:jc w:val="left"/>
            </w:pPr>
            <w:r>
              <w:rPr>
                <w:sz w:val="18"/>
              </w:rPr>
              <w:t xml:space="preserve">Shortfall</w:t>
            </w:r>
          </w:p>
        </w:tc>
        <w:tc>
          <w:tcPr>
            <w:tcW w:w="1521" w:type="dxa"/>
          </w:tcPr>
          <w:p>
            <w:pPr>
              <w:pStyle w:val="Compact"/>
              <w:spacing w:after="40"/>
              <w:jc w:val="left"/>
            </w:pPr>
            <w:r>
              <w:rPr>
                <w:sz w:val="18"/>
              </w:rPr>
              <w:t xml:space="preserve">—</w:t>
            </w:r>
          </w:p>
        </w:tc>
        <w:tc>
          <w:tcPr>
            <w:tcW w:w="1607" w:type="dxa"/>
          </w:tcPr>
          <w:p>
            <w:pPr>
              <w:pStyle w:val="Compact"/>
              <w:spacing w:after="40"/>
              <w:jc w:val="left"/>
            </w:pPr>
            <w:r>
              <w:rPr>
                <w:sz w:val="18"/>
              </w:rPr>
              <w:t xml:space="preserve">—</w:t>
            </w:r>
          </w:p>
        </w:tc>
        <w:tc>
          <w:tcPr>
            <w:tcW w:w="1227" w:type="dxa"/>
          </w:tcPr>
          <w:p>
            <w:pPr>
              <w:pStyle w:val="Compact"/>
              <w:spacing w:after="40"/>
              <w:jc w:val="left"/>
            </w:pPr>
            <w:r>
              <w:rPr>
                <w:sz w:val="18"/>
              </w:rPr>
              <w:t xml:space="preserve">Loan</w:t>
            </w:r>
          </w:p>
        </w:tc>
        <w:tc>
          <w:tcPr>
            <w:tcW w:w="2759" w:type="dxa"/>
          </w:tcPr>
          <w:p>
            <w:pPr>
              <w:pStyle w:val="Compact"/>
              <w:spacing w:after="40"/>
              <w:jc w:val="left"/>
            </w:pPr>
            <w:r>
              <w:rPr>
                <w:sz w:val="18"/>
              </w:rPr>
              <w:t xml:space="preserve">Stays open; R5 or R8; limitation recomputed</w:t>
            </w:r>
          </w:p>
        </w:tc>
      </w:tr>
      <w:tr>
        <w:tc>
          <w:tcPr>
            <w:tcW w:w="788" w:type="dxa"/>
          </w:tcPr>
          <w:p>
            <w:pPr>
              <w:pStyle w:val="Compact"/>
              <w:spacing w:after="40"/>
              <w:jc w:val="left"/>
            </w:pPr>
            <w:r>
              <w:rPr>
                <w:sz w:val="18"/>
              </w:rPr>
              <w:t xml:space="preserve">15</w:t>
            </w:r>
          </w:p>
        </w:tc>
        <w:tc>
          <w:tcPr>
            <w:tcW w:w="1736" w:type="dxa"/>
          </w:tcPr>
          <w:p>
            <w:pPr>
              <w:pStyle w:val="Compact"/>
              <w:spacing w:after="40"/>
              <w:jc w:val="left"/>
            </w:pPr>
            <w:r>
              <w:rPr>
                <w:sz w:val="18"/>
              </w:rPr>
              <w:t xml:space="preserve">DLG invocation receipt</w:t>
            </w:r>
          </w:p>
        </w:tc>
        <w:tc>
          <w:tcPr>
            <w:tcW w:w="1521" w:type="dxa"/>
          </w:tcPr>
          <w:p>
            <w:pPr>
              <w:pStyle w:val="Compact"/>
              <w:spacing w:after="40"/>
              <w:jc w:val="left"/>
            </w:pPr>
            <w:r>
              <w:rPr>
                <w:sz w:val="18"/>
              </w:rPr>
              <w:t xml:space="preserve">Bank (or cash, FD or BG appropriated)</w:t>
            </w:r>
          </w:p>
        </w:tc>
        <w:tc>
          <w:tcPr>
            <w:tcW w:w="1607" w:type="dxa"/>
          </w:tcPr>
          <w:p>
            <w:pPr>
              <w:pStyle w:val="Compact"/>
              <w:spacing w:after="40"/>
              <w:jc w:val="left"/>
            </w:pPr>
            <w:r>
              <w:rPr>
                <w:sz w:val="18"/>
              </w:rPr>
              <w:t xml:space="preserve">DLG received</w:t>
            </w:r>
          </w:p>
        </w:tc>
        <w:tc>
          <w:tcPr>
            <w:tcW w:w="1227" w:type="dxa"/>
          </w:tcPr>
          <w:p>
            <w:pPr>
              <w:pStyle w:val="Compact"/>
              <w:spacing w:after="40"/>
              <w:jc w:val="left"/>
            </w:pPr>
            <w:r>
              <w:rPr>
                <w:sz w:val="18"/>
              </w:rPr>
              <w:t xml:space="preserve">DLG</w:t>
            </w:r>
          </w:p>
        </w:tc>
        <w:tc>
          <w:tcPr>
            <w:tcW w:w="2759" w:type="dxa"/>
          </w:tcPr>
          <w:p>
            <w:pPr>
              <w:pStyle w:val="Compact"/>
              <w:spacing w:after="40"/>
              <w:jc w:val="left"/>
            </w:pPr>
            <w:r>
              <w:rPr>
                <w:sz w:val="18"/>
              </w:rPr>
              <w:t xml:space="preserve">Not credited to the loan (CF para 25(2)); never reinstated (para 25(4)); ECL recomputed (IRACP para 36C) [VERIFY: Ind AS presentation]</w:t>
            </w:r>
          </w:p>
        </w:tc>
      </w:tr>
      <w:tr>
        <w:tc>
          <w:tcPr>
            <w:tcW w:w="788" w:type="dxa"/>
          </w:tcPr>
          <w:p>
            <w:pPr>
              <w:pStyle w:val="Compact"/>
              <w:spacing w:after="40"/>
              <w:jc w:val="left"/>
            </w:pPr>
            <w:r>
              <w:rPr>
                <w:sz w:val="18"/>
              </w:rPr>
              <w:t xml:space="preserve">16</w:t>
            </w:r>
          </w:p>
        </w:tc>
        <w:tc>
          <w:tcPr>
            <w:tcW w:w="1736" w:type="dxa"/>
          </w:tcPr>
          <w:p>
            <w:pPr>
              <w:pStyle w:val="Compact"/>
              <w:spacing w:after="40"/>
              <w:jc w:val="left"/>
            </w:pPr>
            <w:r>
              <w:rPr>
                <w:sz w:val="18"/>
              </w:rPr>
              <w:t xml:space="preserve">Recovery after DLG invocation</w:t>
            </w:r>
          </w:p>
        </w:tc>
        <w:tc>
          <w:tcPr>
            <w:tcW w:w="1521" w:type="dxa"/>
          </w:tcPr>
          <w:p>
            <w:pPr>
              <w:pStyle w:val="Compact"/>
              <w:spacing w:after="40"/>
              <w:jc w:val="left"/>
            </w:pPr>
            <w:r>
              <w:rPr>
                <w:sz w:val="18"/>
              </w:rPr>
              <w:t xml:space="preserve">Bank</w:t>
            </w:r>
          </w:p>
        </w:tc>
        <w:tc>
          <w:tcPr>
            <w:tcW w:w="1607" w:type="dxa"/>
          </w:tcPr>
          <w:p>
            <w:pPr>
              <w:pStyle w:val="Compact"/>
              <w:spacing w:after="40"/>
              <w:jc w:val="left"/>
            </w:pPr>
            <w:r>
              <w:rPr>
                <w:sz w:val="18"/>
              </w:rPr>
              <w:t xml:space="preserve">Loan; DLG provider payable</w:t>
            </w:r>
          </w:p>
        </w:tc>
        <w:tc>
          <w:tcPr>
            <w:tcW w:w="1227" w:type="dxa"/>
          </w:tcPr>
          <w:p>
            <w:pPr>
              <w:pStyle w:val="Compact"/>
              <w:spacing w:after="40"/>
              <w:jc w:val="left"/>
            </w:pPr>
            <w:r>
              <w:rPr>
                <w:sz w:val="18"/>
              </w:rPr>
              <w:t xml:space="preserve">Loan; DLG</w:t>
            </w:r>
          </w:p>
        </w:tc>
        <w:tc>
          <w:tcPr>
            <w:tcW w:w="2759" w:type="dxa"/>
          </w:tcPr>
          <w:p>
            <w:pPr>
              <w:pStyle w:val="Compact"/>
              <w:spacing w:after="40"/>
              <w:jc w:val="left"/>
            </w:pPr>
            <w:r>
              <w:rPr>
                <w:sz w:val="18"/>
              </w:rPr>
              <w:t xml:space="preserve">Sharing per contract (CF para 25(3))</w:t>
            </w:r>
          </w:p>
        </w:tc>
      </w:tr>
      <w:tr>
        <w:tc>
          <w:tcPr>
            <w:tcW w:w="788" w:type="dxa"/>
          </w:tcPr>
          <w:p>
            <w:pPr>
              <w:pStyle w:val="Compact"/>
              <w:spacing w:after="40"/>
              <w:jc w:val="left"/>
            </w:pPr>
            <w:r>
              <w:rPr>
                <w:sz w:val="18"/>
              </w:rPr>
              <w:t xml:space="preserve">17</w:t>
            </w:r>
          </w:p>
        </w:tc>
        <w:tc>
          <w:tcPr>
            <w:tcW w:w="1736" w:type="dxa"/>
          </w:tcPr>
          <w:p>
            <w:pPr>
              <w:pStyle w:val="Compact"/>
              <w:spacing w:after="40"/>
              <w:jc w:val="left"/>
            </w:pPr>
            <w:r>
              <w:rPr>
                <w:sz w:val="18"/>
              </w:rPr>
              <w:t xml:space="preserve">Co-lending escrow receipt</w:t>
            </w:r>
          </w:p>
        </w:tc>
        <w:tc>
          <w:tcPr>
            <w:tcW w:w="1521" w:type="dxa"/>
          </w:tcPr>
          <w:p>
            <w:pPr>
              <w:pStyle w:val="Compact"/>
              <w:spacing w:after="40"/>
              <w:jc w:val="left"/>
            </w:pPr>
            <w:r>
              <w:rPr>
                <w:sz w:val="18"/>
              </w:rPr>
              <w:t xml:space="preserve">Escrow bank</w:t>
            </w:r>
          </w:p>
        </w:tc>
        <w:tc>
          <w:tcPr>
            <w:tcW w:w="1607" w:type="dxa"/>
          </w:tcPr>
          <w:p>
            <w:pPr>
              <w:pStyle w:val="Compact"/>
              <w:spacing w:after="40"/>
              <w:jc w:val="left"/>
            </w:pPr>
            <w:r>
              <w:rPr>
                <w:sz w:val="18"/>
              </w:rPr>
              <w:t xml:space="preserve">Own-share loan; partner payable</w:t>
            </w:r>
          </w:p>
        </w:tc>
        <w:tc>
          <w:tcPr>
            <w:tcW w:w="1227" w:type="dxa"/>
          </w:tcPr>
          <w:p>
            <w:pPr>
              <w:pStyle w:val="Compact"/>
              <w:spacing w:after="40"/>
              <w:jc w:val="left"/>
            </w:pPr>
            <w:r>
              <w:rPr>
                <w:sz w:val="18"/>
              </w:rPr>
              <w:t xml:space="preserve">Per-lender account</w:t>
            </w:r>
          </w:p>
        </w:tc>
        <w:tc>
          <w:tcPr>
            <w:tcW w:w="2759" w:type="dxa"/>
          </w:tcPr>
          <w:p>
            <w:pPr>
              <w:pStyle w:val="Compact"/>
              <w:spacing w:after="40"/>
              <w:jc w:val="left"/>
            </w:pPr>
            <w:r>
              <w:rPr>
                <w:sz w:val="18"/>
              </w:rPr>
              <w:t xml:space="preserve">TDCR paras 116–117</w:t>
            </w:r>
          </w:p>
        </w:tc>
      </w:tr>
      <w:tr>
        <w:tc>
          <w:tcPr>
            <w:tcW w:w="788" w:type="dxa"/>
          </w:tcPr>
          <w:p>
            <w:pPr>
              <w:pStyle w:val="Compact"/>
              <w:spacing w:after="40"/>
              <w:jc w:val="left"/>
            </w:pPr>
            <w:r>
              <w:rPr>
                <w:sz w:val="18"/>
              </w:rPr>
              <w:t xml:space="preserve">18</w:t>
            </w:r>
          </w:p>
        </w:tc>
        <w:tc>
          <w:tcPr>
            <w:tcW w:w="1736" w:type="dxa"/>
          </w:tcPr>
          <w:p>
            <w:pPr>
              <w:pStyle w:val="Compact"/>
              <w:spacing w:after="40"/>
              <w:jc w:val="left"/>
            </w:pPr>
            <w:r>
              <w:rPr>
                <w:sz w:val="18"/>
              </w:rPr>
              <w:t xml:space="preserve">Servicer collections on transferred or securitised loans</w:t>
            </w:r>
          </w:p>
        </w:tc>
        <w:tc>
          <w:tcPr>
            <w:tcW w:w="1521" w:type="dxa"/>
          </w:tcPr>
          <w:p>
            <w:pPr>
              <w:pStyle w:val="Compact"/>
              <w:spacing w:after="40"/>
              <w:jc w:val="left"/>
            </w:pPr>
            <w:r>
              <w:rPr>
                <w:sz w:val="18"/>
              </w:rPr>
              <w:t xml:space="preserve">Bank (trust)</w:t>
            </w:r>
          </w:p>
        </w:tc>
        <w:tc>
          <w:tcPr>
            <w:tcW w:w="1607" w:type="dxa"/>
          </w:tcPr>
          <w:p>
            <w:pPr>
              <w:pStyle w:val="Compact"/>
              <w:spacing w:after="40"/>
              <w:jc w:val="left"/>
            </w:pPr>
            <w:r>
              <w:rPr>
                <w:sz w:val="18"/>
              </w:rPr>
              <w:t xml:space="preserve">Collections held in trust</w:t>
            </w:r>
          </w:p>
        </w:tc>
        <w:tc>
          <w:tcPr>
            <w:tcW w:w="1227" w:type="dxa"/>
          </w:tcPr>
          <w:p>
            <w:pPr>
              <w:pStyle w:val="Compact"/>
              <w:spacing w:after="40"/>
              <w:jc w:val="left"/>
            </w:pPr>
            <w:r>
              <w:rPr>
                <w:sz w:val="18"/>
              </w:rPr>
              <w:t xml:space="preserve">Servicer</w:t>
            </w:r>
          </w:p>
        </w:tc>
        <w:tc>
          <w:tcPr>
            <w:tcW w:w="2759" w:type="dxa"/>
          </w:tcPr>
          <w:p>
            <w:pPr>
              <w:pStyle w:val="Compact"/>
              <w:spacing w:after="40"/>
              <w:jc w:val="left"/>
            </w:pPr>
            <w:r>
              <w:rPr>
                <w:sz w:val="18"/>
              </w:rPr>
              <w:t xml:space="preserve">Remit after receipt; no commingling (TDCR para 30; SEC para 95)</w:t>
            </w:r>
          </w:p>
        </w:tc>
      </w:tr>
      <w:tr>
        <w:tc>
          <w:tcPr>
            <w:tcW w:w="788" w:type="dxa"/>
          </w:tcPr>
          <w:p>
            <w:pPr>
              <w:pStyle w:val="Compact"/>
              <w:spacing w:after="40"/>
              <w:jc w:val="left"/>
            </w:pPr>
            <w:r>
              <w:rPr>
                <w:sz w:val="18"/>
              </w:rPr>
              <w:t xml:space="preserve">19</w:t>
            </w:r>
          </w:p>
        </w:tc>
        <w:tc>
          <w:tcPr>
            <w:tcW w:w="1736" w:type="dxa"/>
          </w:tcPr>
          <w:p>
            <w:pPr>
              <w:pStyle w:val="Compact"/>
              <w:spacing w:after="40"/>
              <w:jc w:val="left"/>
            </w:pPr>
            <w:r>
              <w:rPr>
                <w:sz w:val="18"/>
              </w:rPr>
              <w:t xml:space="preserve">Settlement completed</w:t>
            </w:r>
          </w:p>
        </w:tc>
        <w:tc>
          <w:tcPr>
            <w:tcW w:w="1521" w:type="dxa"/>
          </w:tcPr>
          <w:p>
            <w:pPr>
              <w:pStyle w:val="Compact"/>
              <w:spacing w:after="40"/>
              <w:jc w:val="left"/>
            </w:pPr>
            <w:r>
              <w:rPr>
                <w:sz w:val="18"/>
              </w:rPr>
              <w:t xml:space="preserve">Bank; ECL allowance for the waiver</w:t>
            </w:r>
          </w:p>
        </w:tc>
        <w:tc>
          <w:tcPr>
            <w:tcW w:w="1607" w:type="dxa"/>
          </w:tcPr>
          <w:p>
            <w:pPr>
              <w:pStyle w:val="Compact"/>
              <w:spacing w:after="40"/>
              <w:jc w:val="left"/>
            </w:pPr>
            <w:r>
              <w:rPr>
                <w:sz w:val="18"/>
              </w:rPr>
              <w:t xml:space="preserve">Loan (gross)</w:t>
            </w:r>
          </w:p>
        </w:tc>
        <w:tc>
          <w:tcPr>
            <w:tcW w:w="1227" w:type="dxa"/>
          </w:tcPr>
          <w:p>
            <w:pPr>
              <w:pStyle w:val="Compact"/>
              <w:spacing w:after="40"/>
              <w:jc w:val="left"/>
            </w:pPr>
            <w:r>
              <w:rPr>
                <w:sz w:val="18"/>
              </w:rPr>
              <w:t xml:space="preserve">Settlement</w:t>
            </w:r>
          </w:p>
        </w:tc>
        <w:tc>
          <w:tcPr>
            <w:tcW w:w="2759" w:type="dxa"/>
          </w:tcPr>
          <w:p>
            <w:pPr>
              <w:pStyle w:val="Compact"/>
              <w:spacing w:after="40"/>
              <w:jc w:val="left"/>
            </w:pPr>
            <w:r>
              <w:rPr>
                <w:sz w:val="18"/>
              </w:rPr>
              <w:t xml:space="preserve">Waiver posted on completion only; contingent claims off balance sheet (RSA para 88)</w:t>
            </w:r>
          </w:p>
        </w:tc>
      </w:tr>
      <w:tr>
        <w:tc>
          <w:tcPr>
            <w:tcW w:w="788" w:type="dxa"/>
          </w:tcPr>
          <w:p>
            <w:pPr>
              <w:pStyle w:val="Compact"/>
              <w:spacing w:after="40"/>
              <w:jc w:val="left"/>
            </w:pPr>
            <w:r>
              <w:rPr>
                <w:sz w:val="18"/>
              </w:rPr>
              <w:t xml:space="preserve">20</w:t>
            </w:r>
          </w:p>
        </w:tc>
        <w:tc>
          <w:tcPr>
            <w:tcW w:w="1736" w:type="dxa"/>
          </w:tcPr>
          <w:p>
            <w:pPr>
              <w:pStyle w:val="Compact"/>
              <w:spacing w:after="40"/>
              <w:jc w:val="left"/>
            </w:pPr>
            <w:r>
              <w:rPr>
                <w:sz w:val="18"/>
              </w:rPr>
              <w:t xml:space="preserve">Technical write-off</w:t>
            </w:r>
          </w:p>
        </w:tc>
        <w:tc>
          <w:tcPr>
            <w:tcW w:w="1521" w:type="dxa"/>
          </w:tcPr>
          <w:p>
            <w:pPr>
              <w:pStyle w:val="Compact"/>
              <w:spacing w:after="40"/>
              <w:jc w:val="left"/>
            </w:pPr>
            <w:r>
              <w:rPr>
                <w:sz w:val="18"/>
              </w:rPr>
              <w:t xml:space="preserve">ECL allowance</w:t>
            </w:r>
          </w:p>
        </w:tc>
        <w:tc>
          <w:tcPr>
            <w:tcW w:w="1607" w:type="dxa"/>
          </w:tcPr>
          <w:p>
            <w:pPr>
              <w:pStyle w:val="Compact"/>
              <w:spacing w:after="40"/>
              <w:jc w:val="left"/>
            </w:pPr>
            <w:r>
              <w:rPr>
                <w:sz w:val="18"/>
              </w:rPr>
              <w:t xml:space="preserve">Loan (gross)</w:t>
            </w:r>
          </w:p>
        </w:tc>
        <w:tc>
          <w:tcPr>
            <w:tcW w:w="1227" w:type="dxa"/>
          </w:tcPr>
          <w:p>
            <w:pPr>
              <w:pStyle w:val="Compact"/>
              <w:spacing w:after="40"/>
              <w:jc w:val="left"/>
            </w:pPr>
            <w:r>
              <w:rPr>
                <w:sz w:val="18"/>
              </w:rPr>
              <w:t xml:space="preserve">TWO (full dues by component)</w:t>
            </w:r>
          </w:p>
        </w:tc>
        <w:tc>
          <w:tcPr>
            <w:tcW w:w="2759" w:type="dxa"/>
          </w:tcPr>
          <w:p>
            <w:pPr>
              <w:pStyle w:val="Compact"/>
              <w:spacing w:after="40"/>
              <w:jc w:val="left"/>
            </w:pPr>
            <w:r>
              <w:rPr>
                <w:sz w:val="18"/>
              </w:rPr>
              <w:t xml:space="preserve">Ind AS 109 para 5.4.4; no waiver (RSA para 91); partial TWO on original exposure (para 92)</w:t>
            </w:r>
          </w:p>
        </w:tc>
      </w:tr>
      <w:tr>
        <w:tc>
          <w:tcPr>
            <w:tcW w:w="788" w:type="dxa"/>
          </w:tcPr>
          <w:p>
            <w:pPr>
              <w:pStyle w:val="Compact"/>
              <w:spacing w:after="40"/>
              <w:jc w:val="left"/>
            </w:pPr>
            <w:r>
              <w:rPr>
                <w:sz w:val="18"/>
              </w:rPr>
              <w:t xml:space="preserve">21</w:t>
            </w:r>
          </w:p>
        </w:tc>
        <w:tc>
          <w:tcPr>
            <w:tcW w:w="1736" w:type="dxa"/>
          </w:tcPr>
          <w:p>
            <w:pPr>
              <w:pStyle w:val="Compact"/>
              <w:spacing w:after="40"/>
              <w:jc w:val="left"/>
            </w:pPr>
            <w:r>
              <w:rPr>
                <w:sz w:val="18"/>
              </w:rPr>
              <w:t xml:space="preserve">Recovery after write-off</w:t>
            </w:r>
          </w:p>
        </w:tc>
        <w:tc>
          <w:tcPr>
            <w:tcW w:w="1521" w:type="dxa"/>
          </w:tcPr>
          <w:p>
            <w:pPr>
              <w:pStyle w:val="Compact"/>
              <w:spacing w:after="40"/>
              <w:jc w:val="left"/>
            </w:pPr>
            <w:r>
              <w:rPr>
                <w:sz w:val="18"/>
              </w:rPr>
              <w:t xml:space="preserve">Bank</w:t>
            </w:r>
          </w:p>
        </w:tc>
        <w:tc>
          <w:tcPr>
            <w:tcW w:w="1607" w:type="dxa"/>
          </w:tcPr>
          <w:p>
            <w:pPr>
              <w:pStyle w:val="Compact"/>
              <w:spacing w:after="40"/>
              <w:jc w:val="left"/>
            </w:pPr>
            <w:r>
              <w:rPr>
                <w:sz w:val="18"/>
              </w:rPr>
              <w:t xml:space="preserve">Bad debts recovered (P&amp;L); DLG or CGTMSE payable</w:t>
            </w:r>
          </w:p>
        </w:tc>
        <w:tc>
          <w:tcPr>
            <w:tcW w:w="1227" w:type="dxa"/>
          </w:tcPr>
          <w:p>
            <w:pPr>
              <w:pStyle w:val="Compact"/>
              <w:spacing w:after="40"/>
              <w:jc w:val="left"/>
            </w:pPr>
            <w:r>
              <w:rPr>
                <w:sz w:val="18"/>
              </w:rPr>
              <w:t xml:space="preserve">TWO; post-write-off</w:t>
            </w:r>
          </w:p>
        </w:tc>
        <w:tc>
          <w:tcPr>
            <w:tcW w:w="2759" w:type="dxa"/>
          </w:tcPr>
          <w:p>
            <w:pPr>
              <w:pStyle w:val="Compact"/>
              <w:spacing w:after="40"/>
              <w:jc w:val="left"/>
            </w:pPr>
            <w:r>
              <w:rPr>
                <w:sz w:val="18"/>
              </w:rPr>
              <w:t xml:space="preserve">RSA para 94(4) reporting</w:t>
            </w:r>
          </w:p>
        </w:tc>
      </w:tr>
      <w:tr>
        <w:tc>
          <w:tcPr>
            <w:tcW w:w="788" w:type="dxa"/>
          </w:tcPr>
          <w:p>
            <w:pPr>
              <w:pStyle w:val="Compact"/>
              <w:spacing w:after="40"/>
              <w:jc w:val="left"/>
            </w:pPr>
            <w:r>
              <w:rPr>
                <w:sz w:val="18"/>
              </w:rPr>
              <w:t xml:space="preserve">22</w:t>
            </w:r>
          </w:p>
        </w:tc>
        <w:tc>
          <w:tcPr>
            <w:tcW w:w="1736" w:type="dxa"/>
          </w:tcPr>
          <w:p>
            <w:pPr>
              <w:pStyle w:val="Compact"/>
              <w:spacing w:after="40"/>
              <w:jc w:val="left"/>
            </w:pPr>
            <w:r>
              <w:rPr>
                <w:sz w:val="18"/>
              </w:rPr>
              <w:t xml:space="preserve">Transfer to an ARC</w:t>
            </w:r>
          </w:p>
        </w:tc>
        <w:tc>
          <w:tcPr>
            <w:tcW w:w="1521" w:type="dxa"/>
          </w:tcPr>
          <w:p>
            <w:pPr>
              <w:pStyle w:val="Compact"/>
              <w:spacing w:after="40"/>
              <w:jc w:val="left"/>
            </w:pPr>
            <w:r>
              <w:rPr>
                <w:sz w:val="18"/>
              </w:rPr>
              <w:t xml:space="preserve">Bank; investment in SRs; provision utilised</w:t>
            </w:r>
          </w:p>
        </w:tc>
        <w:tc>
          <w:tcPr>
            <w:tcW w:w="1607" w:type="dxa"/>
          </w:tcPr>
          <w:p>
            <w:pPr>
              <w:pStyle w:val="Compact"/>
              <w:spacing w:after="40"/>
              <w:jc w:val="left"/>
            </w:pPr>
            <w:r>
              <w:rPr>
                <w:sz w:val="18"/>
              </w:rPr>
              <w:t xml:space="preserve">Loan (gross)</w:t>
            </w:r>
          </w:p>
        </w:tc>
        <w:tc>
          <w:tcPr>
            <w:tcW w:w="1227" w:type="dxa"/>
          </w:tcPr>
          <w:p>
            <w:pPr>
              <w:pStyle w:val="Compact"/>
              <w:spacing w:after="40"/>
              <w:jc w:val="left"/>
            </w:pPr>
            <w:r>
              <w:rPr>
                <w:sz w:val="18"/>
              </w:rPr>
              <w:t xml:space="preserve">ARC transfer</w:t>
            </w:r>
          </w:p>
        </w:tc>
        <w:tc>
          <w:tcPr>
            <w:tcW w:w="2759" w:type="dxa"/>
          </w:tcPr>
          <w:p>
            <w:pPr>
              <w:pStyle w:val="Compact"/>
              <w:spacing w:after="40"/>
              <w:jc w:val="left"/>
            </w:pPr>
            <w:r>
              <w:rPr>
                <w:sz w:val="18"/>
              </w:rPr>
              <w:t xml:space="preserve">Below NBV: shortfall to P&amp;L (TDCR para 80); above NBV: reversal only as cash exceeds NBV (para 81)</w:t>
            </w:r>
          </w:p>
        </w:tc>
      </w:tr>
      <w:tr>
        <w:tc>
          <w:tcPr>
            <w:tcW w:w="788" w:type="dxa"/>
          </w:tcPr>
          <w:p>
            <w:pPr>
              <w:pStyle w:val="Compact"/>
              <w:spacing w:after="40"/>
              <w:jc w:val="left"/>
            </w:pPr>
            <w:r>
              <w:rPr>
                <w:sz w:val="18"/>
              </w:rPr>
              <w:t xml:space="preserve">23</w:t>
            </w:r>
          </w:p>
        </w:tc>
        <w:tc>
          <w:tcPr>
            <w:tcW w:w="1736" w:type="dxa"/>
          </w:tcPr>
          <w:p>
            <w:pPr>
              <w:pStyle w:val="Compact"/>
              <w:spacing w:after="40"/>
              <w:jc w:val="left"/>
            </w:pPr>
            <w:r>
              <w:rPr>
                <w:sz w:val="18"/>
              </w:rPr>
              <w:t xml:space="preserve">SR revaluation</w:t>
            </w:r>
          </w:p>
        </w:tc>
        <w:tc>
          <w:tcPr>
            <w:tcW w:w="1521" w:type="dxa"/>
          </w:tcPr>
          <w:p>
            <w:pPr>
              <w:pStyle w:val="Compact"/>
              <w:spacing w:after="40"/>
              <w:jc w:val="left"/>
            </w:pPr>
            <w:r>
              <w:rPr>
                <w:sz w:val="18"/>
              </w:rPr>
              <w:t xml:space="preserve">Investment provision</w:t>
            </w:r>
          </w:p>
        </w:tc>
        <w:tc>
          <w:tcPr>
            <w:tcW w:w="1607" w:type="dxa"/>
          </w:tcPr>
          <w:p>
            <w:pPr>
              <w:pStyle w:val="Compact"/>
              <w:spacing w:after="40"/>
              <w:jc w:val="left"/>
            </w:pPr>
            <w:r>
              <w:rPr>
                <w:sz w:val="18"/>
              </w:rPr>
              <w:t xml:space="preserve">Investment in SRs</w:t>
            </w:r>
          </w:p>
        </w:tc>
        <w:tc>
          <w:tcPr>
            <w:tcW w:w="1227" w:type="dxa"/>
          </w:tcPr>
          <w:p>
            <w:pPr>
              <w:pStyle w:val="Compact"/>
              <w:spacing w:after="40"/>
              <w:jc w:val="left"/>
            </w:pPr>
            <w:r>
              <w:rPr>
                <w:sz w:val="18"/>
              </w:rPr>
              <w:t xml:space="preserve">SR</w:t>
            </w:r>
          </w:p>
        </w:tc>
        <w:tc>
          <w:tcPr>
            <w:tcW w:w="2759" w:type="dxa"/>
          </w:tcPr>
          <w:p>
            <w:pPr>
              <w:pStyle w:val="Compact"/>
              <w:spacing w:after="40"/>
              <w:jc w:val="left"/>
            </w:pPr>
            <w:r>
              <w:rPr>
                <w:sz w:val="18"/>
              </w:rPr>
              <w:t xml:space="preserve">Lower of NAV value and NBV (para 82); over-10% cap (para 83); ₹1 after GoI guarantee (para 84(3)); loss at end of resolution period (para 85)</w:t>
            </w:r>
          </w:p>
        </w:tc>
      </w:tr>
      <w:tr>
        <w:tc>
          <w:tcPr>
            <w:tcW w:w="788" w:type="dxa"/>
          </w:tcPr>
          <w:p>
            <w:pPr>
              <w:pStyle w:val="Compact"/>
              <w:spacing w:after="40"/>
              <w:jc w:val="left"/>
            </w:pPr>
            <w:r>
              <w:rPr>
                <w:sz w:val="18"/>
              </w:rPr>
              <w:t xml:space="preserve">24</w:t>
            </w:r>
          </w:p>
        </w:tc>
        <w:tc>
          <w:tcPr>
            <w:tcW w:w="1736" w:type="dxa"/>
          </w:tcPr>
          <w:p>
            <w:pPr>
              <w:pStyle w:val="Compact"/>
              <w:spacing w:after="40"/>
              <w:jc w:val="left"/>
            </w:pPr>
            <w:r>
              <w:rPr>
                <w:sz w:val="18"/>
              </w:rPr>
              <w:t xml:space="preserve">CGTMSE claim receipt</w:t>
            </w:r>
          </w:p>
        </w:tc>
        <w:tc>
          <w:tcPr>
            <w:tcW w:w="1521" w:type="dxa"/>
          </w:tcPr>
          <w:p>
            <w:pPr>
              <w:pStyle w:val="Compact"/>
              <w:spacing w:after="40"/>
              <w:jc w:val="left"/>
            </w:pPr>
            <w:r>
              <w:rPr>
                <w:sz w:val="18"/>
              </w:rPr>
              <w:t xml:space="preserve">Bank</w:t>
            </w:r>
          </w:p>
        </w:tc>
        <w:tc>
          <w:tcPr>
            <w:tcW w:w="1607" w:type="dxa"/>
          </w:tcPr>
          <w:p>
            <w:pPr>
              <w:pStyle w:val="Compact"/>
              <w:spacing w:after="40"/>
              <w:jc w:val="left"/>
            </w:pPr>
            <w:r>
              <w:rPr>
                <w:sz w:val="18"/>
              </w:rPr>
              <w:t xml:space="preserve">CGTMSE claim received</w:t>
            </w:r>
          </w:p>
        </w:tc>
        <w:tc>
          <w:tcPr>
            <w:tcW w:w="1227" w:type="dxa"/>
          </w:tcPr>
          <w:p>
            <w:pPr>
              <w:pStyle w:val="Compact"/>
              <w:spacing w:after="40"/>
              <w:jc w:val="left"/>
            </w:pPr>
            <w:r>
              <w:rPr>
                <w:sz w:val="18"/>
              </w:rPr>
              <w:t xml:space="preserve">CGTMSE</w:t>
            </w:r>
          </w:p>
        </w:tc>
        <w:tc>
          <w:tcPr>
            <w:tcW w:w="2759" w:type="dxa"/>
          </w:tcPr>
          <w:p>
            <w:pPr>
              <w:pStyle w:val="Compact"/>
              <w:spacing w:after="40"/>
              <w:jc w:val="left"/>
            </w:pPr>
            <w:r>
              <w:rPr>
                <w:sz w:val="18"/>
              </w:rPr>
              <w:t xml:space="preserve">[VERIFY: presentation]; later recoveries remitted (row 21)</w:t>
            </w:r>
          </w:p>
        </w:tc>
      </w:tr>
      <w:tr>
        <w:tc>
          <w:tcPr>
            <w:tcW w:w="788" w:type="dxa"/>
          </w:tcPr>
          <w:p>
            <w:pPr>
              <w:pStyle w:val="Compact"/>
              <w:spacing w:after="40"/>
              <w:jc w:val="left"/>
            </w:pPr>
            <w:r>
              <w:rPr>
                <w:sz w:val="18"/>
              </w:rPr>
              <w:t xml:space="preserve">25</w:t>
            </w:r>
          </w:p>
        </w:tc>
        <w:tc>
          <w:tcPr>
            <w:tcW w:w="1736" w:type="dxa"/>
          </w:tcPr>
          <w:p>
            <w:pPr>
              <w:pStyle w:val="Compact"/>
              <w:spacing w:after="40"/>
              <w:jc w:val="left"/>
            </w:pPr>
            <w:r>
              <w:rPr>
                <w:sz w:val="18"/>
              </w:rPr>
              <w:t xml:space="preserve">IBC plan or liquidation receipt</w:t>
            </w:r>
          </w:p>
        </w:tc>
        <w:tc>
          <w:tcPr>
            <w:tcW w:w="1521" w:type="dxa"/>
          </w:tcPr>
          <w:p>
            <w:pPr>
              <w:pStyle w:val="Compact"/>
              <w:spacing w:after="40"/>
              <w:jc w:val="left"/>
            </w:pPr>
            <w:r>
              <w:rPr>
                <w:sz w:val="18"/>
              </w:rPr>
              <w:t xml:space="preserve">Bank; instruments</w:t>
            </w:r>
          </w:p>
        </w:tc>
        <w:tc>
          <w:tcPr>
            <w:tcW w:w="1607" w:type="dxa"/>
          </w:tcPr>
          <w:p>
            <w:pPr>
              <w:pStyle w:val="Compact"/>
              <w:spacing w:after="40"/>
              <w:jc w:val="left"/>
            </w:pPr>
            <w:r>
              <w:rPr>
                <w:sz w:val="18"/>
              </w:rPr>
              <w:t xml:space="preserve">Loan</w:t>
            </w:r>
          </w:p>
        </w:tc>
        <w:tc>
          <w:tcPr>
            <w:tcW w:w="1227" w:type="dxa"/>
          </w:tcPr>
          <w:p>
            <w:pPr>
              <w:pStyle w:val="Compact"/>
              <w:spacing w:after="40"/>
              <w:jc w:val="left"/>
            </w:pPr>
            <w:r>
              <w:rPr>
                <w:sz w:val="18"/>
              </w:rPr>
              <w:t xml:space="preserve">IBC claim</w:t>
            </w:r>
          </w:p>
        </w:tc>
        <w:tc>
          <w:tcPr>
            <w:tcW w:w="2759" w:type="dxa"/>
          </w:tcPr>
          <w:p>
            <w:pPr>
              <w:pStyle w:val="Compact"/>
              <w:spacing w:after="40"/>
              <w:jc w:val="left"/>
            </w:pPr>
            <w:r>
              <w:rPr>
                <w:sz w:val="18"/>
              </w:rPr>
              <w:t xml:space="preserve">RSA paras 139–156; residue to row 20 or write-off [VERIFY: deferred consideration]</w:t>
            </w:r>
          </w:p>
        </w:tc>
      </w:tr>
      <w:tr>
        <w:tc>
          <w:tcPr>
            <w:tcW w:w="788" w:type="dxa"/>
          </w:tcPr>
          <w:p>
            <w:pPr>
              <w:pStyle w:val="Compact"/>
              <w:spacing w:after="40"/>
              <w:jc w:val="left"/>
            </w:pPr>
            <w:r>
              <w:rPr>
                <w:sz w:val="18"/>
              </w:rPr>
              <w:t xml:space="preserve">26</w:t>
            </w:r>
          </w:p>
        </w:tc>
        <w:tc>
          <w:tcPr>
            <w:tcW w:w="1736" w:type="dxa"/>
          </w:tcPr>
          <w:p>
            <w:pPr>
              <w:pStyle w:val="Compact"/>
              <w:spacing w:after="40"/>
              <w:jc w:val="left"/>
            </w:pPr>
            <w:r>
              <w:rPr>
                <w:sz w:val="18"/>
              </w:rPr>
              <w:t xml:space="preserve">Interim compensation (NI Act s.143A)</w:t>
            </w:r>
          </w:p>
        </w:tc>
        <w:tc>
          <w:tcPr>
            <w:tcW w:w="1521" w:type="dxa"/>
          </w:tcPr>
          <w:p>
            <w:pPr>
              <w:pStyle w:val="Compact"/>
              <w:spacing w:after="40"/>
              <w:jc w:val="left"/>
            </w:pPr>
            <w:r>
              <w:rPr>
                <w:sz w:val="18"/>
              </w:rPr>
              <w:t xml:space="preserve">Bank</w:t>
            </w:r>
          </w:p>
        </w:tc>
        <w:tc>
          <w:tcPr>
            <w:tcW w:w="1607" w:type="dxa"/>
          </w:tcPr>
          <w:p>
            <w:pPr>
              <w:pStyle w:val="Compact"/>
              <w:spacing w:after="40"/>
              <w:jc w:val="left"/>
            </w:pPr>
            <w:r>
              <w:rPr>
                <w:sz w:val="18"/>
              </w:rPr>
              <w:t xml:space="preserve">Compensation refundable</w:t>
            </w:r>
          </w:p>
        </w:tc>
        <w:tc>
          <w:tcPr>
            <w:tcW w:w="1227" w:type="dxa"/>
          </w:tcPr>
          <w:p>
            <w:pPr>
              <w:pStyle w:val="Compact"/>
              <w:spacing w:after="40"/>
              <w:jc w:val="left"/>
            </w:pPr>
            <w:r>
              <w:rPr>
                <w:sz w:val="18"/>
              </w:rPr>
              <w:t xml:space="preserve">Matter</w:t>
            </w:r>
          </w:p>
        </w:tc>
        <w:tc>
          <w:tcPr>
            <w:tcW w:w="2759" w:type="dxa"/>
          </w:tcPr>
          <w:p>
            <w:pPr>
              <w:pStyle w:val="Compact"/>
              <w:spacing w:after="40"/>
              <w:jc w:val="left"/>
            </w:pPr>
            <w:r>
              <w:rPr>
                <w:sz w:val="18"/>
              </w:rPr>
              <w:t xml:space="preserve">Refundable on acquittal (s.143A(4)); applied to dues on conviction or compounding [interpretation]</w:t>
            </w:r>
          </w:p>
        </w:tc>
      </w:tr>
    </w:tbl>
    <w:p>
      <w:pPr>
        <w:pStyle w:val="BodyText"/>
      </w:pPr>
      <w:r>
        <w:t xml:space="preserve">Rows 3, 9, 12, 16, 17, 19, 21 and 25 emit</w:t>
      </w:r>
      <w:r>
        <w:t xml:space="preserve"> </w:t>
      </w:r>
      <w:r>
        <w:rPr>
          <w:rStyle w:val="VerbatimChar"/>
        </w:rPr>
        <w:t xml:space="preserve">RecoveryReceiptPosted</w:t>
      </w:r>
      <w:r>
        <w:t xml:space="preserve"> </w:t>
      </w:r>
      <w:r>
        <w:t xml:space="preserve">and refresh the dues view used by notices, settlements and claims.</w:t>
      </w:r>
    </w:p>
    <w:bookmarkEnd w:id="190"/>
    <w:bookmarkStart w:id="191" w:name="r12.3-taxes-provisioning-and-exports"/>
    <w:p>
      <w:pPr>
        <w:pStyle w:val="Heading3"/>
      </w:pPr>
      <w:r>
        <w:t xml:space="preserve">R12.3 Taxes, provisioning and exports</w:t>
      </w:r>
    </w:p>
    <w:p>
      <w:pPr>
        <w:numPr>
          <w:ilvl w:val="0"/>
          <w:numId w:val="1251"/>
        </w:numPr>
        <w:pStyle w:val="Compact"/>
      </w:pPr>
      <w:r>
        <w:rPr>
          <w:bCs/>
          <w:b/>
        </w:rPr>
        <w:t xml:space="preserve">Taxes:</w:t>
      </w:r>
      <w:r>
        <w:t xml:space="preserve"> </w:t>
      </w:r>
      <w:r>
        <w:t xml:space="preserve">reverse-charge GST and TDS on counsel, agency and tribunal fees per R11.3; GST valuation of goods repossessed from unregistered borrowers (CGST Rules r.32(5)) and gold-auction GST [VERIFY]; TDS by purchasers of immovable property under the Income-tax Act 2025 [VERIFY: section]; stamp duty on sale certificates borne by purchasers.</w:t>
      </w:r>
    </w:p>
    <w:p>
      <w:pPr>
        <w:numPr>
          <w:ilvl w:val="0"/>
          <w:numId w:val="1251"/>
        </w:numPr>
        <w:pStyle w:val="Compact"/>
      </w:pPr>
      <w:r>
        <w:rPr>
          <w:bCs/>
          <w:b/>
        </w:rPr>
        <w:t xml:space="preserve">Provisioning (M10):</w:t>
      </w:r>
      <w:r>
        <w:t xml:space="preserve"> </w:t>
      </w:r>
      <w:r>
        <w:t xml:space="preserve">any event changing expected recovery (possession, valuation, sale, settlement approval, IBC plan, DLG invocation, ARC sale) requests an ECL re-estimate; IRACP class and ageing stay COB-driven (IRACP paras 19, 21–27); settlements over 3 months and part settlements are tagged restructuring (RSA paras 89–90) and classified under RSA paras 53–55; DLG reflected in ECL only where integral, recomputed after invocation (IRACP paras 36A–36C).</w:t>
      </w:r>
    </w:p>
    <w:p>
      <w:pPr>
        <w:numPr>
          <w:ilvl w:val="0"/>
          <w:numId w:val="1251"/>
        </w:numPr>
        <w:pStyle w:val="Compact"/>
      </w:pPr>
      <w:r>
        <w:rPr>
          <w:bCs/>
          <w:b/>
        </w:rPr>
        <w:t xml:space="preserve">Exports (R14.4):</w:t>
      </w:r>
      <w:r>
        <w:t xml:space="preserve"> </w:t>
      </w:r>
      <w:r>
        <w:t xml:space="preserve">Tally Prime vouchers by XML over HTTP (port 9000) or JSON through the local connector; SAP S/4HANA OData journal entries, BAPI or IDoc where required [VERIFY: customer landscape]; Zoho Books; CSV, XLSX, JSON, XML, PDF/A. Batches are numbered, signed and idempotent.</w:t>
      </w:r>
    </w:p>
    <w:p>
      <w:pPr>
        <w:numPr>
          <w:ilvl w:val="0"/>
          <w:numId w:val="1251"/>
        </w:numPr>
        <w:pStyle w:val="Compact"/>
      </w:pPr>
      <w:r>
        <w:rPr>
          <w:bCs/>
          <w:b/>
        </w:rPr>
        <w:t xml:space="preserve">Daily reconciliations:</w:t>
      </w:r>
      <w:r>
        <w:t xml:space="preserve"> </w:t>
      </w:r>
      <w:r>
        <w:t xml:space="preserve">recovery sub-ledgers to GL; bank and escrow (three-way for co-lending); servicer trust accounts to remittances; surplus ageing; legal expense to R11 invoices; DLG cover, invocations and shares; CGTMSE claims and remittances; TWO sub-ledger to the RSA para 94 report; decree satisfaction to receipts (O.XXI r.2). Breaks open a task at T+1.</w:t>
      </w:r>
    </w:p>
    <w:p>
      <w:pPr>
        <w:pStyle w:val="FirstParagraph"/>
      </w:pPr>
      <w:r>
        <w:rPr>
          <w:bCs/>
          <w:b/>
        </w:rPr>
        <w:t xml:space="preserve">Controls.</w:t>
      </w:r>
      <w:r>
        <w:t xml:space="preserve"> </w:t>
      </w:r>
      <w:r>
        <w:t xml:space="preserve">Versioned posting rules with approver and effective date; closed periods locked; validator blocks DLG and CGTMSE receipts from loan principal accounts and surplus from income; manual recovery adjustments need Finance and Recovery sign-off.</w:t>
      </w:r>
    </w:p>
    <w:p>
      <w:pPr>
        <w:pStyle w:val="BodyText"/>
      </w:pPr>
      <w:r>
        <w:rPr>
          <w:bCs/>
          <w:b/>
        </w:rPr>
        <w:t xml:space="preserve">Data captured.</w:t>
      </w:r>
      <w:r>
        <w:t xml:space="preserve"> </w:t>
      </w:r>
      <w:r>
        <w:rPr>
          <w:rStyle w:val="VerbatimChar"/>
        </w:rPr>
        <w:t xml:space="preserve">appropriation_policy</w:t>
      </w:r>
      <w:r>
        <w:t xml:space="preserve">,</w:t>
      </w:r>
      <w:r>
        <w:t xml:space="preserve"> </w:t>
      </w:r>
      <w:r>
        <w:rPr>
          <w:rStyle w:val="VerbatimChar"/>
        </w:rPr>
        <w:t xml:space="preserve">posting_rule</w:t>
      </w:r>
      <w:r>
        <w:t xml:space="preserve">,</w:t>
      </w:r>
      <w:r>
        <w:t xml:space="preserve"> </w:t>
      </w:r>
      <w:r>
        <w:rPr>
          <w:rStyle w:val="VerbatimChar"/>
        </w:rPr>
        <w:t xml:space="preserve">memo_claim_entry</w:t>
      </w:r>
      <w:r>
        <w:t xml:space="preserve">,</w:t>
      </w:r>
      <w:r>
        <w:t xml:space="preserve"> </w:t>
      </w:r>
      <w:r>
        <w:rPr>
          <w:rStyle w:val="VerbatimChar"/>
        </w:rPr>
        <w:t xml:space="preserve">recoverable_cost_entry</w:t>
      </w:r>
      <w:r>
        <w:t xml:space="preserve">,</w:t>
      </w:r>
      <w:r>
        <w:t xml:space="preserve"> </w:t>
      </w:r>
      <w:r>
        <w:rPr>
          <w:rStyle w:val="VerbatimChar"/>
        </w:rPr>
        <w:t xml:space="preserve">two_ledger_entry</w:t>
      </w:r>
      <w:r>
        <w:t xml:space="preserve">,</w:t>
      </w:r>
      <w:r>
        <w:t xml:space="preserve"> </w:t>
      </w:r>
      <w:r>
        <w:rPr>
          <w:rStyle w:val="VerbatimChar"/>
        </w:rPr>
        <w:t xml:space="preserve">post_writeoff_recovery</w:t>
      </w:r>
      <w:r>
        <w:t xml:space="preserve">,</w:t>
      </w:r>
      <w:r>
        <w:t xml:space="preserve"> </w:t>
      </w:r>
      <w:r>
        <w:rPr>
          <w:rStyle w:val="VerbatimChar"/>
        </w:rPr>
        <w:t xml:space="preserve">dlg_recovery_share</w:t>
      </w:r>
      <w:r>
        <w:t xml:space="preserve">,</w:t>
      </w:r>
      <w:r>
        <w:t xml:space="preserve"> </w:t>
      </w:r>
      <w:r>
        <w:rPr>
          <w:rStyle w:val="VerbatimChar"/>
        </w:rPr>
        <w:t xml:space="preserve">interim_compensation_holding</w:t>
      </w:r>
      <w:r>
        <w:t xml:space="preserve">,</w:t>
      </w:r>
      <w:r>
        <w:t xml:space="preserve"> </w:t>
      </w:r>
      <w:r>
        <w:rPr>
          <w:rStyle w:val="VerbatimChar"/>
        </w:rPr>
        <w:t xml:space="preserve">export_batch</w:t>
      </w:r>
      <w:r>
        <w:t xml:space="preserve">; v1.3</w:t>
      </w:r>
      <w:r>
        <w:t xml:space="preserve"> </w:t>
      </w:r>
      <w:r>
        <w:rPr>
          <w:rStyle w:val="VerbatimChar"/>
        </w:rPr>
        <w:t xml:space="preserve">journal</w:t>
      </w:r>
      <w:r>
        <w:t xml:space="preserve">,</w:t>
      </w:r>
      <w:r>
        <w:t xml:space="preserve"> </w:t>
      </w:r>
      <w:r>
        <w:rPr>
          <w:rStyle w:val="VerbatimChar"/>
        </w:rPr>
        <w:t xml:space="preserve">posting</w:t>
      </w:r>
      <w:r>
        <w:t xml:space="preserve">,</w:t>
      </w:r>
      <w:r>
        <w:t xml:space="preserve"> </w:t>
      </w:r>
      <w:r>
        <w:rPr>
          <w:rStyle w:val="VerbatimChar"/>
        </w:rPr>
        <w:t xml:space="preserve">reconciliation_run/break</w:t>
      </w:r>
      <w:r>
        <w:t xml:space="preserve"> </w:t>
      </w:r>
      <w:r>
        <w:t xml:space="preserve">reused.</w:t>
      </w:r>
    </w:p>
    <w:p>
      <w:pPr>
        <w:pStyle w:val="BodyText"/>
      </w:pPr>
      <w:r>
        <w:rPr>
          <w:bCs/>
          <w:b/>
        </w:rPr>
        <w:t xml:space="preserve">Configuration.</w:t>
      </w:r>
      <w:r>
        <w:t xml:space="preserve"> </w:t>
      </w:r>
      <w:r>
        <w:t xml:space="preserve">Appropriation policies; CoA mapping; tax rules; export targets and mappings; reconciliation tolerances.</w:t>
      </w:r>
    </w:p>
    <w:p>
      <w:pPr>
        <w:pStyle w:val="BodyText"/>
      </w:pPr>
      <w:r>
        <w:rPr>
          <w:bCs/>
          <w:b/>
        </w:rPr>
        <w:t xml:space="preserve">Events.</w:t>
      </w:r>
      <w:r>
        <w:t xml:space="preserve"> </w:t>
      </w:r>
      <w:r>
        <w:t xml:space="preserve">Consumes</w:t>
      </w:r>
      <w:r>
        <w:t xml:space="preserve"> </w:t>
      </w:r>
      <w:r>
        <w:rPr>
          <w:rStyle w:val="VerbatimChar"/>
        </w:rPr>
        <w:t xml:space="preserve">AuctionConcluded</w:t>
      </w:r>
      <w:r>
        <w:t xml:space="preserve">,</w:t>
      </w:r>
      <w:r>
        <w:t xml:space="preserve"> </w:t>
      </w:r>
      <w:r>
        <w:rPr>
          <w:rStyle w:val="VerbatimChar"/>
        </w:rPr>
        <w:t xml:space="preserve">SettlementApproved</w:t>
      </w:r>
      <w:r>
        <w:t xml:space="preserve">,</w:t>
      </w:r>
      <w:r>
        <w:t xml:space="preserve"> </w:t>
      </w:r>
      <w:r>
        <w:rPr>
          <w:rStyle w:val="VerbatimChar"/>
        </w:rPr>
        <w:t xml:space="preserve">ADROutcomeComplianceUpdated</w:t>
      </w:r>
      <w:r>
        <w:t xml:space="preserve">,</w:t>
      </w:r>
      <w:r>
        <w:t xml:space="preserve"> </w:t>
      </w:r>
      <w:r>
        <w:rPr>
          <w:rStyle w:val="VerbatimChar"/>
        </w:rPr>
        <w:t xml:space="preserve">CollateralInvoked</w:t>
      </w:r>
      <w:r>
        <w:t xml:space="preserve">,</w:t>
      </w:r>
      <w:r>
        <w:t xml:space="preserve"> </w:t>
      </w:r>
      <w:r>
        <w:rPr>
          <w:rStyle w:val="VerbatimChar"/>
        </w:rPr>
        <w:t xml:space="preserve">LoanTransferred</w:t>
      </w:r>
      <w:r>
        <w:t xml:space="preserve">,</w:t>
      </w:r>
      <w:r>
        <w:t xml:space="preserve"> </w:t>
      </w:r>
      <w:r>
        <w:rPr>
          <w:rStyle w:val="VerbatimChar"/>
        </w:rPr>
        <w:t xml:space="preserve">CoLendingSplitConfirmed</w:t>
      </w:r>
      <w:r>
        <w:t xml:space="preserve">, Part 5.2</w:t>
      </w:r>
      <w:r>
        <w:t xml:space="preserve"> </w:t>
      </w:r>
      <w:r>
        <w:rPr>
          <w:rStyle w:val="VerbatimChar"/>
        </w:rPr>
        <w:t xml:space="preserve">DLGInvocationSettled</w:t>
      </w:r>
      <w:r>
        <w:t xml:space="preserve">; emits</w:t>
      </w:r>
      <w:r>
        <w:t xml:space="preserve"> </w:t>
      </w:r>
      <w:r>
        <w:rPr>
          <w:rStyle w:val="VerbatimChar"/>
        </w:rPr>
        <w:t xml:space="preserve">RecoveryReceiptPosted</w:t>
      </w:r>
      <w:r>
        <w:t xml:space="preserve">,</w:t>
      </w:r>
      <w:r>
        <w:t xml:space="preserve"> </w:t>
      </w:r>
      <w:r>
        <w:rPr>
          <w:rStyle w:val="VerbatimChar"/>
        </w:rPr>
        <w:t xml:space="preserve">DLGRecoveryShared</w:t>
      </w:r>
      <w:r>
        <w:t xml:space="preserve"> </w:t>
      </w:r>
      <w:r>
        <w:t xml:space="preserve">(row 16, CF para 25(3)),</w:t>
      </w:r>
      <w:r>
        <w:t xml:space="preserve"> </w:t>
      </w:r>
      <w:r>
        <w:rPr>
          <w:rStyle w:val="VerbatimChar"/>
        </w:rPr>
        <w:t xml:space="preserve">ReconciliationBreakRaised</w:t>
      </w:r>
      <w:r>
        <w:t xml:space="preserve"> </w:t>
      </w:r>
      <w:r>
        <w:t xml:space="preserve">(daily reconciliation breaks),</w:t>
      </w:r>
      <w:r>
        <w:t xml:space="preserve"> </w:t>
      </w:r>
      <w:r>
        <w:rPr>
          <w:rStyle w:val="VerbatimChar"/>
        </w:rPr>
        <w:t xml:space="preserve">ControlTestResultPublished</w:t>
      </w:r>
      <w:r>
        <w:t xml:space="preserve"> </w:t>
      </w:r>
      <w:r>
        <w:t xml:space="preserve">(reconciliation results, R15.8).</w:t>
      </w:r>
    </w:p>
    <w:p>
      <w:pPr>
        <w:pStyle w:val="BodyText"/>
      </w:pPr>
      <w:r>
        <w:rPr>
          <w:bCs/>
          <w:b/>
        </w:rPr>
        <w:t xml:space="preserve">Tests (R12).</w:t>
      </w:r>
      <w:r>
        <w:t xml:space="preserve"> </w:t>
      </w:r>
      <w:r>
        <w:t xml:space="preserve">1. Every rule produces a balanced journal (property test over random event sequences).</w:t>
      </w:r>
      <w:r>
        <w:t xml:space="preserve"> </w:t>
      </w:r>
      <w:r>
        <w:t xml:space="preserve">2. DLG receipt ₹50,000 on dues of ₹2,00,000 → borrower dues stay ₹2,00,000; cover reduced; no reinstatement on later recovery.</w:t>
      </w:r>
      <w:r>
        <w:t xml:space="preserve"> </w:t>
      </w:r>
      <w:r>
        <w:t xml:space="preserve">3. TWO of ₹5,00,000 → GL loan nil, TWO sub-ledger ₹5,00,000 plus memo interest; recovery of ₹1,00,000 → P&amp;L and TWO reduced.</w:t>
      </w:r>
      <w:r>
        <w:t xml:space="preserve"> </w:t>
      </w:r>
      <w:r>
        <w:t xml:space="preserve">4. Settlement of ₹6,00,000 on dues of ₹10,00,000 → ₹4,00,000 waiver posted only on the final receipt.</w:t>
      </w:r>
      <w:r>
        <w:t xml:space="preserve"> </w:t>
      </w:r>
      <w:r>
        <w:t xml:space="preserve">5. ₹10,000 escrow receipt under an 80:20 CLA → ₹8,000 partner payable, ₹2,000 own loan.</w:t>
      </w:r>
      <w:r>
        <w:t xml:space="preserve"> </w:t>
      </w:r>
      <w:r>
        <w:t xml:space="preserve">6. ARC sale of an NBV ₹55 lakh loan for ₹40 lakh cash plus SRs → shortfall to P&amp;L per paras 80–82 after SR valuation.</w:t>
      </w:r>
      <w:r>
        <w:t xml:space="preserve"> </w:t>
      </w:r>
      <w:r>
        <w:t xml:space="preserve">7. An export batch sent twice to Tally → one set of vouchers.</w:t>
      </w:r>
    </w:p>
    <w:p>
      <w:r>
        <w:pict>
          <v:rect style="width:0;height:1.5pt" o:hralign="center" o:hrstd="t" o:hr="t"/>
        </w:pict>
      </w:r>
    </w:p>
    <w:bookmarkEnd w:id="191"/>
    <w:bookmarkEnd w:id="192"/>
    <w:bookmarkStart w:id="199" w:name="X3fd6ed06c08a1b86c21c8c0099be40ef1aeb716"/>
    <w:p>
      <w:pPr>
        <w:pStyle w:val="Heading2"/>
      </w:pPr>
      <w:r>
        <w:t xml:space="preserve">R13. Shared-exposure recovery (co-lending, transferred and securitised loans, ARC sale, consortium/ICA)</w:t>
      </w:r>
    </w:p>
    <w:p>
      <w:pPr>
        <w:pStyle w:val="FirstParagraph"/>
      </w:pPr>
      <w:r>
        <w:rPr>
          <w:bCs/>
          <w:b/>
        </w:rPr>
        <w:t xml:space="preserve">Purpose.</w:t>
      </w:r>
      <w:r>
        <w:t xml:space="preserve"> </w:t>
      </w:r>
      <w:r>
        <w:t xml:space="preserve">Recover loans in which several regulated lenders, investors or ARCs have an interest, so that each acts only within its rights, money reaches the right account, classification and reporting stay consistent, and each party gets the data it needs.</w:t>
      </w:r>
    </w:p>
    <w:p>
      <w:pPr>
        <w:pStyle w:val="BodyText"/>
      </w:pPr>
      <w:r>
        <w:rPr>
          <w:bCs/>
          <w:b/>
        </w:rPr>
        <w:t xml:space="preserve">Capabilities:</w:t>
      </w:r>
      <w:r>
        <w:t xml:space="preserve"> </w:t>
      </w:r>
      <w:r>
        <w:t xml:space="preserve">shared-exposure registry; CLA recovery matrix; escrow and trust validators; classification-sync monitor; per-share approvals; s.13(9) and ICA vote engines; servicer reporting; stressed-loan and ARC sale workflows; party feeds.</w:t>
      </w:r>
    </w:p>
    <w:bookmarkStart w:id="193" w:name="r13.1-registry"/>
    <w:p>
      <w:pPr>
        <w:pStyle w:val="Heading3"/>
      </w:pPr>
      <w:r>
        <w:t xml:space="preserve">R13.1 Registry</w:t>
      </w:r>
    </w:p>
    <w:p>
      <w:pPr>
        <w:pStyle w:val="FirstParagraph"/>
      </w:pPr>
      <w:r>
        <w:t xml:space="preserve">One record per arrangement: type (CLA, assignment, novation, participation, securitisation, ARC transfer, ARC as recovery agent, consortium, multiple banking); parties and shares; lender of record; servicer; security trustee; agreement version and</w:t>
      </w:r>
      <w:r>
        <w:t xml:space="preserve"> </w:t>
      </w:r>
      <w:r>
        <w:rPr>
          <w:rStyle w:val="VerbatimChar"/>
        </w:rPr>
        <w:t xml:space="preserve">cla_regime</w:t>
      </w:r>
      <w:r>
        <w:t xml:space="preserve"> </w:t>
      </w:r>
      <w:r>
        <w:t xml:space="preserve">(TDCR paras 2 and 96 define</w:t>
      </w:r>
      <w:r>
        <w:t xml:space="preserve"> </w:t>
      </w:r>
      <w:r>
        <w:t xml:space="preserve">“</w:t>
      </w:r>
      <w:r>
        <w:t xml:space="preserve">existing CLAs</w:t>
      </w:r>
      <w:r>
        <w:t xml:space="preserve">”</w:t>
      </w:r>
      <w:r>
        <w:t xml:space="preserve"> </w:t>
      </w:r>
      <w:r>
        <w:t xml:space="preserve">by different dates [VERIFY: legal view for CLAs signed 6 Aug–28 Nov 2025]); recovery matrix; information SLA; escrow or trust account; DLG arrangement. R1.4 reads it before offering any mechanism.</w:t>
      </w:r>
    </w:p>
    <w:bookmarkEnd w:id="193"/>
    <w:bookmarkStart w:id="194" w:name="r13.2-co-lending-tdcr-part-b"/>
    <w:p>
      <w:pPr>
        <w:pStyle w:val="Heading3"/>
      </w:pPr>
      <w:r>
        <w:t xml:space="preserve">R13.2 Co-lending (TDCR Part B)</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107"/>
        <w:gridCol w:w="3259"/>
        <w:gridCol w:w="2272"/>
      </w:tblGrid>
      <w:tr>
        <w:trPr>
          <w:tblHeader w:val="true"/>
          <w:tblHeader w:val="true"/>
        </w:trPr>
        <w:tc>
          <w:tcPr>
            <w:tcW w:w="4107" w:type="dxa"/>
            <w:shd w:val="clear" w:color="auto" w:fill="1F3A5F"/>
          </w:tcPr>
          <w:p>
            <w:pPr>
              <w:pStyle w:val="Compact"/>
              <w:spacing w:after="40"/>
              <w:jc w:val="left"/>
            </w:pPr>
            <w:r>
              <w:rPr>
                <w:b/>
                <w:color w:val="FFFFFF"/>
                <w:sz w:val="18"/>
              </w:rPr>
              <w:t xml:space="preserve">Rule</w:t>
            </w:r>
          </w:p>
        </w:tc>
        <w:tc>
          <w:tcPr>
            <w:tcW w:w="3259" w:type="dxa"/>
            <w:shd w:val="clear" w:color="auto" w:fill="1F3A5F"/>
          </w:tcPr>
          <w:p>
            <w:pPr>
              <w:pStyle w:val="Compact"/>
              <w:spacing w:after="40"/>
              <w:jc w:val="left"/>
            </w:pPr>
            <w:r>
              <w:rPr>
                <w:b/>
                <w:color w:val="FFFFFF"/>
                <w:sz w:val="18"/>
              </w:rPr>
              <w:t xml:space="preserve">Implementation</w:t>
            </w:r>
          </w:p>
        </w:tc>
        <w:tc>
          <w:tcPr>
            <w:tcW w:w="2272" w:type="dxa"/>
            <w:shd w:val="clear" w:color="auto" w:fill="1F3A5F"/>
          </w:tcPr>
          <w:p>
            <w:pPr>
              <w:pStyle w:val="Compact"/>
              <w:spacing w:after="40"/>
              <w:jc w:val="left"/>
            </w:pPr>
            <w:r>
              <w:rPr>
                <w:b/>
                <w:color w:val="FFFFFF"/>
                <w:sz w:val="18"/>
              </w:rPr>
              <w:t xml:space="preserve">Basis</w:t>
            </w:r>
          </w:p>
        </w:tc>
      </w:tr>
      <w:tr>
        <w:tc>
          <w:tcPr>
            <w:tcW w:w="4107" w:type="dxa"/>
          </w:tcPr>
          <w:p>
            <w:pPr>
              <w:pStyle w:val="Compact"/>
              <w:spacing w:after="40"/>
              <w:jc w:val="left"/>
            </w:pPr>
            <w:r>
              <w:rPr>
                <w:sz w:val="18"/>
              </w:rPr>
              <w:t xml:space="preserve">CLA allocates servicing and recovery to the REs or their agents</w:t>
            </w:r>
          </w:p>
        </w:tc>
        <w:tc>
          <w:tcPr>
            <w:tcW w:w="3259" w:type="dxa"/>
          </w:tcPr>
          <w:p>
            <w:pPr>
              <w:pStyle w:val="Compact"/>
              <w:spacing w:after="40"/>
              <w:jc w:val="left"/>
            </w:pPr>
            <w:r>
              <w:rPr>
                <w:sz w:val="18"/>
              </w:rPr>
              <w:t xml:space="preserve">Recovery matrix per CLA</w:t>
            </w:r>
          </w:p>
        </w:tc>
        <w:tc>
          <w:tcPr>
            <w:tcW w:w="2272" w:type="dxa"/>
          </w:tcPr>
          <w:p>
            <w:pPr>
              <w:pStyle w:val="Compact"/>
              <w:spacing w:after="40"/>
              <w:jc w:val="left"/>
            </w:pPr>
            <w:r>
              <w:rPr>
                <w:sz w:val="18"/>
              </w:rPr>
              <w:t xml:space="preserve">TDCR para 104 and Explanation</w:t>
            </w:r>
          </w:p>
        </w:tc>
      </w:tr>
      <w:tr>
        <w:tc>
          <w:tcPr>
            <w:tcW w:w="4107" w:type="dxa"/>
          </w:tcPr>
          <w:p>
            <w:pPr>
              <w:pStyle w:val="Compact"/>
              <w:spacing w:after="40"/>
              <w:jc w:val="left"/>
            </w:pPr>
            <w:r>
              <w:rPr>
                <w:sz w:val="18"/>
              </w:rPr>
              <w:t xml:space="preserve">Single point of interface in the loan agreement; change only after prior intimation; CLA details in the KFS</w:t>
            </w:r>
          </w:p>
        </w:tc>
        <w:tc>
          <w:tcPr>
            <w:tcW w:w="3259" w:type="dxa"/>
          </w:tcPr>
          <w:p>
            <w:pPr>
              <w:pStyle w:val="Compact"/>
              <w:spacing w:after="40"/>
              <w:jc w:val="left"/>
            </w:pPr>
            <w:r>
              <w:rPr>
                <w:sz w:val="18"/>
              </w:rPr>
              <w:t xml:space="preserve">Interface field and change workflow; KFS Part 2 item 5 check</w:t>
            </w:r>
          </w:p>
        </w:tc>
        <w:tc>
          <w:tcPr>
            <w:tcW w:w="2272" w:type="dxa"/>
          </w:tcPr>
          <w:p>
            <w:pPr>
              <w:pStyle w:val="Compact"/>
              <w:spacing w:after="40"/>
              <w:jc w:val="left"/>
            </w:pPr>
            <w:r>
              <w:rPr>
                <w:sz w:val="18"/>
              </w:rPr>
              <w:t xml:space="preserve">TDCR paras 105–106</w:t>
            </w:r>
          </w:p>
        </w:tc>
      </w:tr>
      <w:tr>
        <w:tc>
          <w:tcPr>
            <w:tcW w:w="4107" w:type="dxa"/>
          </w:tcPr>
          <w:p>
            <w:pPr>
              <w:pStyle w:val="Compact"/>
              <w:spacing w:after="40"/>
              <w:jc w:val="left"/>
            </w:pPr>
            <w:r>
              <w:rPr>
                <w:sz w:val="18"/>
              </w:rPr>
              <w:t xml:space="preserve">All flows through one bank escrow controlled only by the co-lenders; appropriation per agreement</w:t>
            </w:r>
          </w:p>
        </w:tc>
        <w:tc>
          <w:tcPr>
            <w:tcW w:w="3259" w:type="dxa"/>
          </w:tcPr>
          <w:p>
            <w:pPr>
              <w:pStyle w:val="Compact"/>
              <w:spacing w:after="40"/>
              <w:jc w:val="left"/>
            </w:pPr>
            <w:r>
              <w:rPr>
                <w:sz w:val="18"/>
              </w:rPr>
              <w:t xml:space="preserve">Validator rejects any LSP signatory; R12 row 17</w:t>
            </w:r>
          </w:p>
        </w:tc>
        <w:tc>
          <w:tcPr>
            <w:tcW w:w="2272" w:type="dxa"/>
          </w:tcPr>
          <w:p>
            <w:pPr>
              <w:pStyle w:val="Compact"/>
              <w:spacing w:after="40"/>
              <w:jc w:val="left"/>
            </w:pPr>
            <w:r>
              <w:rPr>
                <w:sz w:val="18"/>
              </w:rPr>
              <w:t xml:space="preserve">TDCR para 117; CF para 10(1) Note</w:t>
            </w:r>
          </w:p>
        </w:tc>
      </w:tr>
      <w:tr>
        <w:tc>
          <w:tcPr>
            <w:tcW w:w="4107" w:type="dxa"/>
          </w:tcPr>
          <w:p>
            <w:pPr>
              <w:pStyle w:val="Compact"/>
              <w:spacing w:after="40"/>
              <w:jc w:val="left"/>
            </w:pPr>
            <w:r>
              <w:rPr>
                <w:sz w:val="18"/>
              </w:rPr>
              <w:t xml:space="preserve">Separate borrower account per lender</w:t>
            </w:r>
          </w:p>
        </w:tc>
        <w:tc>
          <w:tcPr>
            <w:tcW w:w="3259" w:type="dxa"/>
          </w:tcPr>
          <w:p>
            <w:pPr>
              <w:pStyle w:val="Compact"/>
              <w:spacing w:after="40"/>
              <w:jc w:val="left"/>
            </w:pPr>
            <w:r>
              <w:rPr>
                <w:sz w:val="18"/>
              </w:rPr>
              <w:t xml:space="preserve">Dual sub-accounts</w:t>
            </w:r>
          </w:p>
        </w:tc>
        <w:tc>
          <w:tcPr>
            <w:tcW w:w="2272" w:type="dxa"/>
          </w:tcPr>
          <w:p>
            <w:pPr>
              <w:pStyle w:val="Compact"/>
              <w:spacing w:after="40"/>
              <w:jc w:val="left"/>
            </w:pPr>
            <w:r>
              <w:rPr>
                <w:sz w:val="18"/>
              </w:rPr>
              <w:t xml:space="preserve">TDCR para 116</w:t>
            </w:r>
          </w:p>
        </w:tc>
      </w:tr>
      <w:tr>
        <w:tc>
          <w:tcPr>
            <w:tcW w:w="4107" w:type="dxa"/>
          </w:tcPr>
          <w:p>
            <w:pPr>
              <w:pStyle w:val="Compact"/>
              <w:spacing w:after="40"/>
              <w:jc w:val="left"/>
            </w:pPr>
            <w:r>
              <w:rPr>
                <w:sz w:val="18"/>
              </w:rPr>
              <w:t xml:space="preserve">Borrower-level SMA/NPA applied by the other lender; shared near-real time, latest by end of next working day</w:t>
            </w:r>
          </w:p>
        </w:tc>
        <w:tc>
          <w:tcPr>
            <w:tcW w:w="3259" w:type="dxa"/>
          </w:tcPr>
          <w:p>
            <w:pPr>
              <w:pStyle w:val="Compact"/>
              <w:spacing w:after="40"/>
              <w:jc w:val="left"/>
            </w:pPr>
            <w:r>
              <w:rPr>
                <w:rStyle w:val="VerbatimChar"/>
                <w:sz w:val="18"/>
              </w:rPr>
              <w:t xml:space="preserve">ClassificationSynced</w:t>
            </w:r>
            <w:r>
              <w:rPr>
                <w:sz w:val="18"/>
              </w:rPr>
              <w:t xml:space="preserve"> </w:t>
            </w:r>
            <w:r>
              <w:rPr>
                <w:sz w:val="18"/>
              </w:rPr>
              <w:t xml:space="preserve">with as-of date; breach →</w:t>
            </w:r>
            <w:r>
              <w:rPr>
                <w:sz w:val="18"/>
              </w:rPr>
              <w:t xml:space="preserve"> </w:t>
            </w:r>
            <w:r>
              <w:rPr>
                <w:rStyle w:val="VerbatimChar"/>
                <w:sz w:val="18"/>
              </w:rPr>
              <w:t xml:space="preserve">ComplianceIssueRaised</w:t>
            </w:r>
          </w:p>
        </w:tc>
        <w:tc>
          <w:tcPr>
            <w:tcW w:w="2272" w:type="dxa"/>
          </w:tcPr>
          <w:p>
            <w:pPr>
              <w:pStyle w:val="Compact"/>
              <w:spacing w:after="40"/>
              <w:jc w:val="left"/>
            </w:pPr>
            <w:r>
              <w:rPr>
                <w:sz w:val="18"/>
              </w:rPr>
              <w:t xml:space="preserve">TDCR para 124; IRACP para 23</w:t>
            </w:r>
          </w:p>
        </w:tc>
      </w:tr>
      <w:tr>
        <w:tc>
          <w:tcPr>
            <w:tcW w:w="4107" w:type="dxa"/>
          </w:tcPr>
          <w:p>
            <w:pPr>
              <w:pStyle w:val="Compact"/>
              <w:spacing w:after="40"/>
              <w:jc w:val="left"/>
            </w:pPr>
            <w:r>
              <w:rPr>
                <w:sz w:val="18"/>
              </w:rPr>
              <w:t xml:space="preserve">Each lender reports its own share to CICs</w:t>
            </w:r>
          </w:p>
        </w:tc>
        <w:tc>
          <w:tcPr>
            <w:tcW w:w="3259" w:type="dxa"/>
          </w:tcPr>
          <w:p>
            <w:pPr>
              <w:pStyle w:val="Compact"/>
              <w:spacing w:after="40"/>
              <w:jc w:val="left"/>
            </w:pPr>
            <w:r>
              <w:rPr>
                <w:sz w:val="18"/>
              </w:rPr>
              <w:t xml:space="preserve">Per-share CIC file</w:t>
            </w:r>
          </w:p>
        </w:tc>
        <w:tc>
          <w:tcPr>
            <w:tcW w:w="2272" w:type="dxa"/>
          </w:tcPr>
          <w:p>
            <w:pPr>
              <w:pStyle w:val="Compact"/>
              <w:spacing w:after="40"/>
              <w:jc w:val="left"/>
            </w:pPr>
            <w:r>
              <w:rPr>
                <w:sz w:val="18"/>
              </w:rPr>
              <w:t xml:space="preserve">TDCR para 122</w:t>
            </w:r>
          </w:p>
        </w:tc>
      </w:tr>
      <w:tr>
        <w:tc>
          <w:tcPr>
            <w:tcW w:w="4107" w:type="dxa"/>
          </w:tcPr>
          <w:p>
            <w:pPr>
              <w:pStyle w:val="Compact"/>
              <w:spacing w:after="40"/>
              <w:jc w:val="left"/>
            </w:pPr>
            <w:r>
              <w:rPr>
                <w:sz w:val="18"/>
              </w:rPr>
              <w:t xml:space="preserve">DLG only from the originating NBFC, ≤ 5% of loans outstanding under the CLA</w:t>
            </w:r>
          </w:p>
        </w:tc>
        <w:tc>
          <w:tcPr>
            <w:tcW w:w="3259" w:type="dxa"/>
          </w:tcPr>
          <w:p>
            <w:pPr>
              <w:pStyle w:val="Compact"/>
              <w:spacing w:after="40"/>
              <w:jc w:val="left"/>
            </w:pPr>
            <w:r>
              <w:rPr>
                <w:sz w:val="18"/>
              </w:rPr>
              <w:t xml:space="preserve">Separate CLA DLG ledger, not the CF para 24 ledger</w:t>
            </w:r>
          </w:p>
        </w:tc>
        <w:tc>
          <w:tcPr>
            <w:tcW w:w="2272" w:type="dxa"/>
          </w:tcPr>
          <w:p>
            <w:pPr>
              <w:pStyle w:val="Compact"/>
              <w:spacing w:after="40"/>
              <w:jc w:val="left"/>
            </w:pPr>
            <w:r>
              <w:rPr>
                <w:sz w:val="18"/>
              </w:rPr>
              <w:t xml:space="preserve">TDCR paras 111, 123</w:t>
            </w:r>
          </w:p>
        </w:tc>
      </w:tr>
      <w:tr>
        <w:tc>
          <w:tcPr>
            <w:tcW w:w="4107" w:type="dxa"/>
          </w:tcPr>
          <w:p>
            <w:pPr>
              <w:pStyle w:val="Compact"/>
              <w:spacing w:after="40"/>
              <w:jc w:val="left"/>
            </w:pPr>
            <w:r>
              <w:rPr>
                <w:sz w:val="18"/>
              </w:rPr>
              <w:t xml:space="preserve">Onward or inter-se transfer only under Part A with mutual consent</w:t>
            </w:r>
          </w:p>
        </w:tc>
        <w:tc>
          <w:tcPr>
            <w:tcW w:w="3259" w:type="dxa"/>
          </w:tcPr>
          <w:p>
            <w:pPr>
              <w:pStyle w:val="Compact"/>
              <w:spacing w:after="40"/>
              <w:jc w:val="left"/>
            </w:pPr>
            <w:r>
              <w:rPr>
                <w:sz w:val="18"/>
              </w:rPr>
              <w:t xml:space="preserve">Transfer gate</w:t>
            </w:r>
          </w:p>
        </w:tc>
        <w:tc>
          <w:tcPr>
            <w:tcW w:w="2272" w:type="dxa"/>
          </w:tcPr>
          <w:p>
            <w:pPr>
              <w:pStyle w:val="Compact"/>
              <w:spacing w:after="40"/>
              <w:jc w:val="left"/>
            </w:pPr>
            <w:r>
              <w:rPr>
                <w:sz w:val="18"/>
              </w:rPr>
              <w:t xml:space="preserve">TDCR para 125</w:t>
            </w:r>
          </w:p>
        </w:tc>
      </w:tr>
      <w:tr>
        <w:tc>
          <w:tcPr>
            <w:tcW w:w="4107" w:type="dxa"/>
          </w:tcPr>
          <w:p>
            <w:pPr>
              <w:pStyle w:val="Compact"/>
              <w:spacing w:after="40"/>
              <w:jc w:val="left"/>
            </w:pPr>
            <w:r>
              <w:rPr>
                <w:sz w:val="18"/>
              </w:rPr>
              <w:t xml:space="preserve">Service continues if the CLA ends</w:t>
            </w:r>
          </w:p>
        </w:tc>
        <w:tc>
          <w:tcPr>
            <w:tcW w:w="3259" w:type="dxa"/>
          </w:tcPr>
          <w:p>
            <w:pPr>
              <w:pStyle w:val="Compact"/>
              <w:spacing w:after="40"/>
              <w:jc w:val="left"/>
            </w:pPr>
            <w:r>
              <w:rPr>
                <w:sz w:val="18"/>
              </w:rPr>
              <w:t xml:space="preserve">BCP runbook</w:t>
            </w:r>
          </w:p>
        </w:tc>
        <w:tc>
          <w:tcPr>
            <w:tcW w:w="2272" w:type="dxa"/>
          </w:tcPr>
          <w:p>
            <w:pPr>
              <w:pStyle w:val="Compact"/>
              <w:spacing w:after="40"/>
              <w:jc w:val="left"/>
            </w:pPr>
            <w:r>
              <w:rPr>
                <w:sz w:val="18"/>
              </w:rPr>
              <w:t xml:space="preserve">TDCR para 119</w:t>
            </w:r>
          </w:p>
        </w:tc>
      </w:tr>
    </w:tbl>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14"/>
        <w:gridCol w:w="2526"/>
        <w:gridCol w:w="2271"/>
        <w:gridCol w:w="2927"/>
      </w:tblGrid>
      <w:tr>
        <w:trPr>
          <w:tblHeader w:val="true"/>
          <w:tblHeader w:val="true"/>
        </w:trPr>
        <w:tc>
          <w:tcPr>
            <w:tcW w:w="1914" w:type="dxa"/>
            <w:shd w:val="clear" w:color="auto" w:fill="1F3A5F"/>
          </w:tcPr>
          <w:p>
            <w:pPr>
              <w:pStyle w:val="Compact"/>
              <w:spacing w:after="40"/>
              <w:jc w:val="left"/>
            </w:pPr>
            <w:r>
              <w:rPr>
                <w:b/>
                <w:color w:val="FFFFFF"/>
                <w:sz w:val="18"/>
              </w:rPr>
              <w:t xml:space="preserve">Action</w:t>
            </w:r>
          </w:p>
        </w:tc>
        <w:tc>
          <w:tcPr>
            <w:tcW w:w="2526" w:type="dxa"/>
            <w:shd w:val="clear" w:color="auto" w:fill="1F3A5F"/>
          </w:tcPr>
          <w:p>
            <w:pPr>
              <w:pStyle w:val="Compact"/>
              <w:spacing w:after="40"/>
              <w:jc w:val="left"/>
            </w:pPr>
            <w:r>
              <w:rPr>
                <w:b/>
                <w:color w:val="FFFFFF"/>
                <w:sz w:val="18"/>
              </w:rPr>
              <w:t xml:space="preserve">Decides</w:t>
            </w:r>
          </w:p>
        </w:tc>
        <w:tc>
          <w:tcPr>
            <w:tcW w:w="2271" w:type="dxa"/>
            <w:shd w:val="clear" w:color="auto" w:fill="1F3A5F"/>
          </w:tcPr>
          <w:p>
            <w:pPr>
              <w:pStyle w:val="Compact"/>
              <w:spacing w:after="40"/>
              <w:jc w:val="left"/>
            </w:pPr>
            <w:r>
              <w:rPr>
                <w:b/>
                <w:color w:val="FFFFFF"/>
                <w:sz w:val="18"/>
              </w:rPr>
              <w:t xml:space="preserve">Executes</w:t>
            </w:r>
          </w:p>
        </w:tc>
        <w:tc>
          <w:tcPr>
            <w:tcW w:w="2927" w:type="dxa"/>
            <w:shd w:val="clear" w:color="auto" w:fill="1F3A5F"/>
          </w:tcPr>
          <w:p>
            <w:pPr>
              <w:pStyle w:val="Compact"/>
              <w:spacing w:after="40"/>
              <w:jc w:val="left"/>
            </w:pPr>
            <w:r>
              <w:rPr>
                <w:b/>
                <w:color w:val="FFFFFF"/>
                <w:sz w:val="18"/>
              </w:rPr>
              <w:t xml:space="preserve">Gate</w:t>
            </w:r>
          </w:p>
        </w:tc>
      </w:tr>
      <w:tr>
        <w:tc>
          <w:tcPr>
            <w:tcW w:w="1914" w:type="dxa"/>
          </w:tcPr>
          <w:p>
            <w:pPr>
              <w:pStyle w:val="Compact"/>
              <w:spacing w:after="40"/>
              <w:jc w:val="left"/>
            </w:pPr>
            <w:r>
              <w:rPr>
                <w:sz w:val="18"/>
              </w:rPr>
              <w:t xml:space="preserve">Reminders, calls, visits</w:t>
            </w:r>
          </w:p>
        </w:tc>
        <w:tc>
          <w:tcPr>
            <w:tcW w:w="2526" w:type="dxa"/>
          </w:tcPr>
          <w:p>
            <w:pPr>
              <w:pStyle w:val="Compact"/>
              <w:spacing w:after="40"/>
              <w:jc w:val="left"/>
            </w:pPr>
            <w:r>
              <w:rPr>
                <w:sz w:val="18"/>
              </w:rPr>
              <w:t xml:space="preserve">Servicer RE</w:t>
            </w:r>
          </w:p>
        </w:tc>
        <w:tc>
          <w:tcPr>
            <w:tcW w:w="2271" w:type="dxa"/>
          </w:tcPr>
          <w:p>
            <w:pPr>
              <w:pStyle w:val="Compact"/>
              <w:spacing w:after="40"/>
              <w:jc w:val="left"/>
            </w:pPr>
            <w:r>
              <w:rPr>
                <w:sz w:val="18"/>
              </w:rPr>
              <w:t xml:space="preserve">Servicer or its appointed agent or LSP</w:t>
            </w:r>
          </w:p>
        </w:tc>
        <w:tc>
          <w:tcPr>
            <w:tcW w:w="2927" w:type="dxa"/>
          </w:tcPr>
          <w:p>
            <w:pPr>
              <w:pStyle w:val="Compact"/>
              <w:spacing w:after="40"/>
              <w:jc w:val="left"/>
            </w:pPr>
            <w:r>
              <w:rPr>
                <w:sz w:val="18"/>
              </w:rPr>
              <w:t xml:space="preserve">RBC paras 95–100; CF para 9(6)</w:t>
            </w:r>
          </w:p>
        </w:tc>
      </w:tr>
      <w:tr>
        <w:tc>
          <w:tcPr>
            <w:tcW w:w="1914" w:type="dxa"/>
          </w:tcPr>
          <w:p>
            <w:pPr>
              <w:pStyle w:val="Compact"/>
              <w:spacing w:after="40"/>
              <w:jc w:val="left"/>
            </w:pPr>
            <w:r>
              <w:rPr>
                <w:sz w:val="18"/>
              </w:rPr>
              <w:t xml:space="preserve">Settlement</w:t>
            </w:r>
          </w:p>
        </w:tc>
        <w:tc>
          <w:tcPr>
            <w:tcW w:w="2526" w:type="dxa"/>
          </w:tcPr>
          <w:p>
            <w:pPr>
              <w:pStyle w:val="Compact"/>
              <w:spacing w:after="40"/>
              <w:jc w:val="left"/>
            </w:pPr>
            <w:r>
              <w:rPr>
                <w:sz w:val="18"/>
              </w:rPr>
              <w:t xml:space="preserve">Each RE for its own share, own Board policy</w:t>
            </w:r>
          </w:p>
        </w:tc>
        <w:tc>
          <w:tcPr>
            <w:tcW w:w="2271" w:type="dxa"/>
          </w:tcPr>
          <w:p>
            <w:pPr>
              <w:pStyle w:val="Compact"/>
              <w:spacing w:after="40"/>
              <w:jc w:val="left"/>
            </w:pPr>
            <w:r>
              <w:rPr>
                <w:sz w:val="18"/>
              </w:rPr>
              <w:t xml:space="preserve">Servicer issues one joint offer</w:t>
            </w:r>
          </w:p>
        </w:tc>
        <w:tc>
          <w:tcPr>
            <w:tcW w:w="2927" w:type="dxa"/>
          </w:tcPr>
          <w:p>
            <w:pPr>
              <w:pStyle w:val="Compact"/>
              <w:spacing w:after="40"/>
              <w:jc w:val="left"/>
            </w:pPr>
            <w:r>
              <w:rPr>
                <w:sz w:val="18"/>
              </w:rPr>
              <w:t xml:space="preserve">RSA paras 16(5), 89, 100</w:t>
            </w:r>
          </w:p>
        </w:tc>
      </w:tr>
      <w:tr>
        <w:tc>
          <w:tcPr>
            <w:tcW w:w="1914" w:type="dxa"/>
          </w:tcPr>
          <w:p>
            <w:pPr>
              <w:pStyle w:val="Compact"/>
              <w:spacing w:after="40"/>
              <w:jc w:val="left"/>
            </w:pPr>
            <w:r>
              <w:rPr>
                <w:sz w:val="18"/>
              </w:rPr>
              <w:t xml:space="preserve">SARFAESI on shared security</w:t>
            </w:r>
          </w:p>
        </w:tc>
        <w:tc>
          <w:tcPr>
            <w:tcW w:w="2526" w:type="dxa"/>
          </w:tcPr>
          <w:p>
            <w:pPr>
              <w:pStyle w:val="Compact"/>
              <w:spacing w:after="40"/>
              <w:jc w:val="left"/>
            </w:pPr>
            <w:r>
              <w:rPr>
                <w:sz w:val="18"/>
              </w:rPr>
              <w:t xml:space="preserve">Secured creditors ≥ 60% by value</w:t>
            </w:r>
          </w:p>
        </w:tc>
        <w:tc>
          <w:tcPr>
            <w:tcW w:w="2271" w:type="dxa"/>
          </w:tcPr>
          <w:p>
            <w:pPr>
              <w:pStyle w:val="Compact"/>
              <w:spacing w:after="40"/>
              <w:jc w:val="left"/>
            </w:pPr>
            <w:r>
              <w:rPr>
                <w:sz w:val="18"/>
              </w:rPr>
              <w:t xml:space="preserve">Designated RE’s Authorised Officer</w:t>
            </w:r>
          </w:p>
        </w:tc>
        <w:tc>
          <w:tcPr>
            <w:tcW w:w="2927" w:type="dxa"/>
          </w:tcPr>
          <w:p>
            <w:pPr>
              <w:pStyle w:val="Compact"/>
              <w:spacing w:after="40"/>
              <w:jc w:val="left"/>
            </w:pPr>
            <w:r>
              <w:rPr>
                <w:sz w:val="18"/>
              </w:rPr>
              <w:t xml:space="preserve">s.13(9) [interpretation: applicability to CLAs]</w:t>
            </w:r>
          </w:p>
        </w:tc>
      </w:tr>
      <w:tr>
        <w:tc>
          <w:tcPr>
            <w:tcW w:w="1914" w:type="dxa"/>
          </w:tcPr>
          <w:p>
            <w:pPr>
              <w:pStyle w:val="Compact"/>
              <w:spacing w:after="40"/>
              <w:jc w:val="left"/>
            </w:pPr>
            <w:r>
              <w:rPr>
                <w:sz w:val="18"/>
              </w:rPr>
              <w:t xml:space="preserve">Suit, s.138, arbitration</w:t>
            </w:r>
          </w:p>
        </w:tc>
        <w:tc>
          <w:tcPr>
            <w:tcW w:w="2526" w:type="dxa"/>
          </w:tcPr>
          <w:p>
            <w:pPr>
              <w:pStyle w:val="Compact"/>
              <w:spacing w:after="40"/>
              <w:jc w:val="left"/>
            </w:pPr>
            <w:r>
              <w:rPr>
                <w:sz w:val="18"/>
              </w:rPr>
              <w:t xml:space="preserve">Each lender of record for its share, or jointly</w:t>
            </w:r>
          </w:p>
        </w:tc>
        <w:tc>
          <w:tcPr>
            <w:tcW w:w="2271" w:type="dxa"/>
          </w:tcPr>
          <w:p>
            <w:pPr>
              <w:pStyle w:val="Compact"/>
              <w:spacing w:after="40"/>
              <w:jc w:val="left"/>
            </w:pPr>
            <w:r>
              <w:rPr>
                <w:sz w:val="18"/>
              </w:rPr>
              <w:t xml:space="preserve">Panel counsel</w:t>
            </w:r>
          </w:p>
        </w:tc>
        <w:tc>
          <w:tcPr>
            <w:tcW w:w="2927" w:type="dxa"/>
          </w:tcPr>
          <w:p>
            <w:pPr>
              <w:pStyle w:val="Compact"/>
              <w:spacing w:after="40"/>
              <w:jc w:val="left"/>
            </w:pPr>
            <w:r>
              <w:rPr>
                <w:sz w:val="18"/>
              </w:rPr>
              <w:t xml:space="preserve">Consent decree where pending (RSA para 100)</w:t>
            </w:r>
          </w:p>
        </w:tc>
      </w:tr>
      <w:tr>
        <w:tc>
          <w:tcPr>
            <w:tcW w:w="1914" w:type="dxa"/>
          </w:tcPr>
          <w:p>
            <w:pPr>
              <w:pStyle w:val="Compact"/>
              <w:spacing w:after="40"/>
              <w:jc w:val="left"/>
            </w:pPr>
            <w:r>
              <w:rPr>
                <w:sz w:val="18"/>
              </w:rPr>
              <w:t xml:space="preserve">Sale of the loan</w:t>
            </w:r>
          </w:p>
        </w:tc>
        <w:tc>
          <w:tcPr>
            <w:tcW w:w="2526" w:type="dxa"/>
          </w:tcPr>
          <w:p>
            <w:pPr>
              <w:pStyle w:val="Compact"/>
              <w:spacing w:after="40"/>
              <w:jc w:val="left"/>
            </w:pPr>
            <w:r>
              <w:rPr>
                <w:sz w:val="18"/>
              </w:rPr>
              <w:t xml:space="preserve">Mutual consent</w:t>
            </w:r>
          </w:p>
        </w:tc>
        <w:tc>
          <w:tcPr>
            <w:tcW w:w="2271" w:type="dxa"/>
          </w:tcPr>
          <w:p>
            <w:pPr>
              <w:pStyle w:val="Compact"/>
              <w:spacing w:after="40"/>
              <w:jc w:val="left"/>
            </w:pPr>
            <w:r>
              <w:rPr>
                <w:sz w:val="18"/>
              </w:rPr>
              <w:t xml:space="preserve">Part A process</w:t>
            </w:r>
          </w:p>
        </w:tc>
        <w:tc>
          <w:tcPr>
            <w:tcW w:w="2927" w:type="dxa"/>
          </w:tcPr>
          <w:p>
            <w:pPr>
              <w:pStyle w:val="Compact"/>
              <w:spacing w:after="40"/>
              <w:jc w:val="left"/>
            </w:pPr>
            <w:r>
              <w:rPr>
                <w:sz w:val="18"/>
              </w:rPr>
              <w:t xml:space="preserve">TDCR para 125</w:t>
            </w:r>
          </w:p>
        </w:tc>
      </w:tr>
      <w:tr>
        <w:tc>
          <w:tcPr>
            <w:tcW w:w="1914" w:type="dxa"/>
          </w:tcPr>
          <w:p>
            <w:pPr>
              <w:pStyle w:val="Compact"/>
              <w:spacing w:after="40"/>
              <w:jc w:val="left"/>
            </w:pPr>
            <w:r>
              <w:rPr>
                <w:sz w:val="18"/>
              </w:rPr>
              <w:t xml:space="preserve">DLG invocation</w:t>
            </w:r>
          </w:p>
        </w:tc>
        <w:tc>
          <w:tcPr>
            <w:tcW w:w="2526" w:type="dxa"/>
          </w:tcPr>
          <w:p>
            <w:pPr>
              <w:pStyle w:val="Compact"/>
              <w:spacing w:after="40"/>
              <w:jc w:val="left"/>
            </w:pPr>
            <w:r>
              <w:rPr>
                <w:sz w:val="18"/>
              </w:rPr>
              <w:t xml:space="preserve">Partner RE</w:t>
            </w:r>
          </w:p>
        </w:tc>
        <w:tc>
          <w:tcPr>
            <w:tcW w:w="2271" w:type="dxa"/>
          </w:tcPr>
          <w:p>
            <w:pPr>
              <w:pStyle w:val="Compact"/>
              <w:spacing w:after="40"/>
              <w:jc w:val="left"/>
            </w:pPr>
            <w:r>
              <w:rPr>
                <w:sz w:val="18"/>
              </w:rPr>
              <w:t xml:space="preserve">—</w:t>
            </w:r>
          </w:p>
        </w:tc>
        <w:tc>
          <w:tcPr>
            <w:tcW w:w="2927" w:type="dxa"/>
          </w:tcPr>
          <w:p>
            <w:pPr>
              <w:pStyle w:val="Compact"/>
              <w:spacing w:after="40"/>
              <w:jc w:val="left"/>
            </w:pPr>
            <w:r>
              <w:rPr>
                <w:sz w:val="18"/>
              </w:rPr>
              <w:t xml:space="preserve">Within 120 days overdue; 5% CLA cap (CF para 27; TDCR para 123)</w:t>
            </w:r>
          </w:p>
        </w:tc>
      </w:tr>
    </w:tbl>
    <w:p>
      <w:pPr>
        <w:pStyle w:val="BodyText"/>
      </w:pPr>
      <w:r>
        <w:t xml:space="preserve">[interpretation] Classification sync also reaches each RE’s other exposures to the same borrower (IRACP para 23); confirm with counsel.</w:t>
      </w:r>
    </w:p>
    <w:bookmarkEnd w:id="194"/>
    <w:bookmarkStart w:id="195" w:name="r13.3-transferred-and-securitised-loans"/>
    <w:p>
      <w:pPr>
        <w:pStyle w:val="Heading3"/>
      </w:pPr>
      <w:r>
        <w:t xml:space="preserve">R13.3 Transferred and securitised loans</w:t>
      </w:r>
    </w:p>
    <w:p>
      <w:pPr>
        <w:numPr>
          <w:ilvl w:val="0"/>
          <w:numId w:val="1252"/>
        </w:numPr>
        <w:pStyle w:val="Compact"/>
      </w:pPr>
      <w:r>
        <w:rPr>
          <w:bCs/>
          <w:b/>
        </w:rPr>
        <w:t xml:space="preserve">Own-share recovery:</w:t>
      </w:r>
      <w:r>
        <w:t xml:space="preserve"> </w:t>
      </w:r>
      <w:r>
        <w:t xml:space="preserve">each party may resolve or recover its own economic interest without the other’s consent (TDCR para 19(2)); security held in trust needs a documented, binding invocation mechanism, which R4 and R10 read first (para 21).</w:t>
      </w:r>
    </w:p>
    <w:p>
      <w:pPr>
        <w:numPr>
          <w:ilvl w:val="0"/>
          <w:numId w:val="1252"/>
        </w:numPr>
        <w:pStyle w:val="Compact"/>
      </w:pPr>
      <w:r>
        <w:rPr>
          <w:bCs/>
          <w:b/>
        </w:rPr>
        <w:t xml:space="preserve">Servicer:</w:t>
      </w:r>
      <w:r>
        <w:t xml:space="preserve"> </w:t>
      </w:r>
      <w:r>
        <w:t xml:space="preserve">written arm’s-length agreement; no fee deferral or waiver; limited duration; replaceable by the transferee; no remittance before collection; collections in trust (TDCR para 30); certified MIS and audit access (paras 41–42); no change of terms without a restructuring test (paras 14, 23).</w:t>
      </w:r>
    </w:p>
    <w:p>
      <w:pPr>
        <w:numPr>
          <w:ilvl w:val="0"/>
          <w:numId w:val="1252"/>
        </w:numPr>
        <w:pStyle w:val="Compact"/>
      </w:pPr>
      <w:r>
        <w:rPr>
          <w:bCs/>
          <w:b/>
        </w:rPr>
        <w:t xml:space="preserve">Participation:</w:t>
      </w:r>
      <w:r>
        <w:t xml:space="preserve"> </w:t>
      </w:r>
      <w:r>
        <w:t xml:space="preserve">the transferor stays lender of record and runs recovery [interpretation].</w:t>
      </w:r>
      <w:r>
        <w:t xml:space="preserve"> </w:t>
      </w:r>
      <w:r>
        <w:rPr>
          <w:bCs/>
          <w:b/>
        </w:rPr>
        <w:t xml:space="preserve">Assignment or novation:</w:t>
      </w:r>
      <w:r>
        <w:t xml:space="preserve"> </w:t>
      </w:r>
      <w:r>
        <w:t xml:space="preserve">borrower notice and new payment instructions (TPA ss.130–131);</w:t>
      </w:r>
      <w:r>
        <w:t xml:space="preserve"> </w:t>
      </w:r>
      <w:r>
        <w:rPr>
          <w:rStyle w:val="VerbatimChar"/>
        </w:rPr>
        <w:t xml:space="preserve">LoanTransferred</w:t>
      </w:r>
      <w:r>
        <w:t xml:space="preserve">,</w:t>
      </w:r>
      <w:r>
        <w:t xml:space="preserve"> </w:t>
      </w:r>
      <w:r>
        <w:rPr>
          <w:rStyle w:val="VerbatimChar"/>
        </w:rPr>
        <w:t xml:space="preserve">ServicerChanged</w:t>
      </w:r>
      <w:r>
        <w:t xml:space="preserve">. Reps and warranties: replacement within 30 days, each replacement or damages payment notified to RBI DoS (paras 24, 52(4)).</w:t>
      </w:r>
    </w:p>
    <w:p>
      <w:pPr>
        <w:numPr>
          <w:ilvl w:val="0"/>
          <w:numId w:val="1252"/>
        </w:numPr>
        <w:pStyle w:val="Compact"/>
      </w:pPr>
      <w:r>
        <w:rPr>
          <w:bCs/>
          <w:b/>
        </w:rPr>
        <w:t xml:space="preserve">Securitisation:</w:t>
      </w:r>
      <w:r>
        <w:t xml:space="preserve"> </w:t>
      </w:r>
      <w:r>
        <w:t xml:space="preserve">the servicer bears no loss beyond its own default, negligence or fraud, remits only after receipt, holds collections in trust without commingling and remits all cash flows, failing which it is treated as a liquidity facility (SEC paras 95–96); facility providers, servicers included, must be regulated by at least one financial-sector regulator (SEC para 80), so an unregulated Infrabyx entity may act only as a technology sub-contractor [interpretation]; material risk change notified within 14 days (para 22); replacement provisions (para 70); third-party servicer data certified by auditors, preferably annually (para 109); Annex I MHP/MRR disclosure (paras 112–113). Recovery on securitised NPAs runs under the servicing agreement, with proceeds to the SPE trust account.</w:t>
      </w:r>
    </w:p>
    <w:bookmarkEnd w:id="195"/>
    <w:bookmarkStart w:id="196" w:name="X25d968ac434b3903e2f071af288a4550e46e8ef"/>
    <w:p>
      <w:pPr>
        <w:pStyle w:val="Heading3"/>
      </w:pPr>
      <w:r>
        <w:t xml:space="preserve">R13.4 Stressed-loan transfers and ARC sale (TDCR Part A Ch. IV)</w:t>
      </w:r>
    </w:p>
    <w:p>
      <w:pPr>
        <w:pStyle w:val="FirstParagraph"/>
      </w:pPr>
      <w:r>
        <w:rPr>
          <w:rStyle w:val="VerbatimChar"/>
        </w:rPr>
        <w:t xml:space="preserve">BOARD_REVIEW (para 56) → VALUATION (two external at ≥ ₹100 crore, para 57) → FRAUD_AND_WD_CHECKS (FRM para 54; WD para 14) → SALE_ROUTE (e-auction, para 59; bilateral + Swiss challenge, para 60) → BUYER_GATES → TRANSFER → POST_TRANSFER → CLOSED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11"/>
        <w:gridCol w:w="5583"/>
        <w:gridCol w:w="2044"/>
      </w:tblGrid>
      <w:tr>
        <w:trPr>
          <w:tblHeader w:val="true"/>
          <w:tblHeader w:val="true"/>
        </w:trPr>
        <w:tc>
          <w:tcPr>
            <w:tcW w:w="2011" w:type="dxa"/>
            <w:shd w:val="clear" w:color="auto" w:fill="1F3A5F"/>
          </w:tcPr>
          <w:p>
            <w:pPr>
              <w:pStyle w:val="Compact"/>
              <w:spacing w:after="40"/>
              <w:jc w:val="left"/>
            </w:pPr>
            <w:r>
              <w:rPr>
                <w:b/>
                <w:color w:val="FFFFFF"/>
                <w:sz w:val="18"/>
              </w:rPr>
              <w:t xml:space="preserve">Gate</w:t>
            </w:r>
          </w:p>
        </w:tc>
        <w:tc>
          <w:tcPr>
            <w:tcW w:w="5583" w:type="dxa"/>
            <w:shd w:val="clear" w:color="auto" w:fill="1F3A5F"/>
          </w:tcPr>
          <w:p>
            <w:pPr>
              <w:pStyle w:val="Compact"/>
              <w:spacing w:after="40"/>
              <w:jc w:val="left"/>
            </w:pPr>
            <w:r>
              <w:rPr>
                <w:b/>
                <w:color w:val="FFFFFF"/>
                <w:sz w:val="18"/>
              </w:rPr>
              <w:t xml:space="preserve">Rule</w:t>
            </w:r>
          </w:p>
        </w:tc>
        <w:tc>
          <w:tcPr>
            <w:tcW w:w="2044" w:type="dxa"/>
            <w:shd w:val="clear" w:color="auto" w:fill="1F3A5F"/>
          </w:tcPr>
          <w:p>
            <w:pPr>
              <w:pStyle w:val="Compact"/>
              <w:spacing w:after="40"/>
              <w:jc w:val="left"/>
            </w:pPr>
            <w:r>
              <w:rPr>
                <w:b/>
                <w:color w:val="FFFFFF"/>
                <w:sz w:val="18"/>
              </w:rPr>
              <w:t xml:space="preserve">Basis</w:t>
            </w:r>
          </w:p>
        </w:tc>
      </w:tr>
      <w:tr>
        <w:tc>
          <w:tcPr>
            <w:tcW w:w="2011" w:type="dxa"/>
          </w:tcPr>
          <w:p>
            <w:pPr>
              <w:pStyle w:val="Compact"/>
              <w:spacing w:after="40"/>
              <w:jc w:val="left"/>
            </w:pPr>
            <w:r>
              <w:rPr>
                <w:sz w:val="18"/>
              </w:rPr>
              <w:t xml:space="preserve">Mode and buyer</w:t>
            </w:r>
          </w:p>
        </w:tc>
        <w:tc>
          <w:tcPr>
            <w:tcW w:w="5583" w:type="dxa"/>
          </w:tcPr>
          <w:p>
            <w:pPr>
              <w:pStyle w:val="Compact"/>
              <w:spacing w:after="40"/>
              <w:jc w:val="left"/>
            </w:pPr>
            <w:r>
              <w:rPr>
                <w:sz w:val="18"/>
              </w:rPr>
              <w:t xml:space="preserve">Assignment or novation only; permitted transferee or ARC; not s.29A-disqualified; for fraud accounts not the promoter group</w:t>
            </w:r>
          </w:p>
        </w:tc>
        <w:tc>
          <w:tcPr>
            <w:tcW w:w="2044" w:type="dxa"/>
          </w:tcPr>
          <w:p>
            <w:pPr>
              <w:pStyle w:val="Compact"/>
              <w:spacing w:after="40"/>
              <w:jc w:val="left"/>
            </w:pPr>
            <w:r>
              <w:rPr>
                <w:sz w:val="18"/>
              </w:rPr>
              <w:t xml:space="preserve">TDCR paras 12(14), 54, 58</w:t>
            </w:r>
          </w:p>
        </w:tc>
      </w:tr>
      <w:tr>
        <w:tc>
          <w:tcPr>
            <w:tcW w:w="2011" w:type="dxa"/>
          </w:tcPr>
          <w:p>
            <w:pPr>
              <w:pStyle w:val="Compact"/>
              <w:spacing w:after="40"/>
              <w:jc w:val="left"/>
            </w:pPr>
            <w:r>
              <w:rPr>
                <w:sz w:val="18"/>
              </w:rPr>
              <w:t xml:space="preserve">Swiss challenge</w:t>
            </w:r>
          </w:p>
        </w:tc>
        <w:tc>
          <w:tcPr>
            <w:tcW w:w="5583" w:type="dxa"/>
          </w:tcPr>
          <w:p>
            <w:pPr>
              <w:pStyle w:val="Compact"/>
              <w:spacing w:after="40"/>
              <w:jc w:val="left"/>
            </w:pPr>
            <w:r>
              <w:rPr>
                <w:sz w:val="18"/>
              </w:rPr>
              <w:t xml:space="preserve">Mandatory after bilateral negotiation where lenders’ aggregate exposure ≥ ₹100 crore, and for any ICA exit of all lenders; Board mark-up; if the winning bid is declined, provide the higher of the challenger discount and the IRACP provision</w:t>
            </w:r>
          </w:p>
        </w:tc>
        <w:tc>
          <w:tcPr>
            <w:tcW w:w="2044" w:type="dxa"/>
          </w:tcPr>
          <w:p>
            <w:pPr>
              <w:pStyle w:val="Compact"/>
              <w:spacing w:after="40"/>
              <w:jc w:val="left"/>
            </w:pPr>
            <w:r>
              <w:rPr>
                <w:sz w:val="18"/>
              </w:rPr>
              <w:t xml:space="preserve">TDCR paras 60, 89–92</w:t>
            </w:r>
          </w:p>
        </w:tc>
      </w:tr>
      <w:tr>
        <w:tc>
          <w:tcPr>
            <w:tcW w:w="2011" w:type="dxa"/>
          </w:tcPr>
          <w:p>
            <w:pPr>
              <w:pStyle w:val="Compact"/>
              <w:spacing w:after="40"/>
              <w:jc w:val="left"/>
            </w:pPr>
            <w:r>
              <w:rPr>
                <w:sz w:val="18"/>
              </w:rPr>
              <w:t xml:space="preserve">Price</w:t>
            </w:r>
          </w:p>
        </w:tc>
        <w:tc>
          <w:tcPr>
            <w:tcW w:w="5583" w:type="dxa"/>
          </w:tcPr>
          <w:p>
            <w:pPr>
              <w:pStyle w:val="Compact"/>
              <w:spacing w:after="40"/>
              <w:jc w:val="left"/>
            </w:pPr>
            <w:r>
              <w:rPr>
                <w:sz w:val="18"/>
              </w:rPr>
              <w:t xml:space="preserve">Cash only to non-ARCs; derecognise on full consideration; no contingent price</w:t>
            </w:r>
          </w:p>
        </w:tc>
        <w:tc>
          <w:tcPr>
            <w:tcW w:w="2044" w:type="dxa"/>
          </w:tcPr>
          <w:p>
            <w:pPr>
              <w:pStyle w:val="Compact"/>
              <w:spacing w:after="40"/>
              <w:jc w:val="left"/>
            </w:pPr>
            <w:r>
              <w:rPr>
                <w:sz w:val="18"/>
              </w:rPr>
              <w:t xml:space="preserve">TDCR paras 65–66</w:t>
            </w:r>
          </w:p>
        </w:tc>
      </w:tr>
      <w:tr>
        <w:tc>
          <w:tcPr>
            <w:tcW w:w="2011" w:type="dxa"/>
          </w:tcPr>
          <w:p>
            <w:pPr>
              <w:pStyle w:val="Compact"/>
              <w:spacing w:after="40"/>
              <w:jc w:val="left"/>
            </w:pPr>
            <w:r>
              <w:rPr>
                <w:sz w:val="18"/>
              </w:rPr>
              <w:t xml:space="preserve">Fraud accounts to ARCs</w:t>
            </w:r>
          </w:p>
        </w:tc>
        <w:tc>
          <w:tcPr>
            <w:tcW w:w="5583" w:type="dxa"/>
          </w:tcPr>
          <w:p>
            <w:pPr>
              <w:pStyle w:val="Compact"/>
              <w:spacing w:after="40"/>
              <w:jc w:val="left"/>
            </w:pPr>
            <w:r>
              <w:rPr>
                <w:sz w:val="18"/>
              </w:rPr>
              <w:t xml:space="preserve">Reporting, monitoring, complaints and proceedings pass to the ARC; staff accountability stays</w:t>
            </w:r>
          </w:p>
        </w:tc>
        <w:tc>
          <w:tcPr>
            <w:tcW w:w="2044" w:type="dxa"/>
          </w:tcPr>
          <w:p>
            <w:pPr>
              <w:pStyle w:val="Compact"/>
              <w:spacing w:after="40"/>
              <w:jc w:val="left"/>
            </w:pPr>
            <w:r>
              <w:rPr>
                <w:sz w:val="18"/>
              </w:rPr>
              <w:t xml:space="preserve">TDCR para 78; FRM para 54</w:t>
            </w:r>
          </w:p>
        </w:tc>
      </w:tr>
      <w:tr>
        <w:tc>
          <w:tcPr>
            <w:tcW w:w="2011" w:type="dxa"/>
          </w:tcPr>
          <w:p>
            <w:pPr>
              <w:pStyle w:val="Compact"/>
              <w:spacing w:after="40"/>
              <w:jc w:val="left"/>
            </w:pPr>
            <w:r>
              <w:rPr>
                <w:sz w:val="18"/>
              </w:rPr>
              <w:t xml:space="preserve">After transfer</w:t>
            </w:r>
          </w:p>
        </w:tc>
        <w:tc>
          <w:tcPr>
            <w:tcW w:w="5583" w:type="dxa"/>
          </w:tcPr>
          <w:p>
            <w:pPr>
              <w:pStyle w:val="Compact"/>
              <w:spacing w:after="40"/>
              <w:jc w:val="left"/>
            </w:pPr>
            <w:r>
              <w:rPr>
                <w:sz w:val="18"/>
              </w:rPr>
              <w:t xml:space="preserve">CIC duty with a credit-institution transferee; cooling period ≥ 12 months; surplus share booked only when realised; SR valuation (R12 row 23); loan-transfer database entry</w:t>
            </w:r>
          </w:p>
        </w:tc>
        <w:tc>
          <w:tcPr>
            <w:tcW w:w="2044" w:type="dxa"/>
          </w:tcPr>
          <w:p>
            <w:pPr>
              <w:pStyle w:val="Compact"/>
              <w:spacing w:after="40"/>
              <w:jc w:val="left"/>
            </w:pPr>
            <w:r>
              <w:rPr>
                <w:sz w:val="18"/>
              </w:rPr>
              <w:t xml:space="preserve">TDCR paras 61, 68, 79, 82–85, 94</w:t>
            </w:r>
          </w:p>
        </w:tc>
      </w:tr>
      <w:tr>
        <w:tc>
          <w:tcPr>
            <w:tcW w:w="2011" w:type="dxa"/>
          </w:tcPr>
          <w:p>
            <w:pPr>
              <w:pStyle w:val="Compact"/>
              <w:spacing w:after="40"/>
              <w:jc w:val="left"/>
            </w:pPr>
            <w:r>
              <w:rPr>
                <w:sz w:val="18"/>
              </w:rPr>
              <w:t xml:space="preserve">ARC as fee-based recovery agent</w:t>
            </w:r>
          </w:p>
        </w:tc>
        <w:tc>
          <w:tcPr>
            <w:tcW w:w="5583" w:type="dxa"/>
          </w:tcPr>
          <w:p>
            <w:pPr>
              <w:pStyle w:val="Compact"/>
              <w:spacing w:after="40"/>
              <w:jc w:val="left"/>
            </w:pPr>
            <w:r>
              <w:rPr>
                <w:sz w:val="18"/>
              </w:rPr>
              <w:t xml:space="preserve">Loan stays on books; realisations credited to it</w:t>
            </w:r>
          </w:p>
        </w:tc>
        <w:tc>
          <w:tcPr>
            <w:tcW w:w="2044" w:type="dxa"/>
          </w:tcPr>
          <w:p>
            <w:pPr>
              <w:pStyle w:val="Compact"/>
              <w:spacing w:after="40"/>
              <w:jc w:val="left"/>
            </w:pPr>
            <w:r>
              <w:rPr>
                <w:sz w:val="18"/>
              </w:rPr>
              <w:t xml:space="preserve">TDCR para 88</w:t>
            </w:r>
          </w:p>
        </w:tc>
      </w:tr>
      <w:tr>
        <w:tc>
          <w:tcPr>
            <w:tcW w:w="2011" w:type="dxa"/>
          </w:tcPr>
          <w:p>
            <w:pPr>
              <w:pStyle w:val="Compact"/>
              <w:spacing w:after="40"/>
              <w:jc w:val="left"/>
            </w:pPr>
            <w:r>
              <w:rPr>
                <w:sz w:val="18"/>
              </w:rPr>
              <w:t xml:space="preserve">Acquired stressed loans</w:t>
            </w:r>
          </w:p>
        </w:tc>
        <w:tc>
          <w:tcPr>
            <w:tcW w:w="5583" w:type="dxa"/>
          </w:tcPr>
          <w:p>
            <w:pPr>
              <w:pStyle w:val="Compact"/>
              <w:spacing w:after="40"/>
              <w:jc w:val="left"/>
            </w:pPr>
            <w:r>
              <w:rPr>
                <w:sz w:val="18"/>
              </w:rPr>
              <w:t xml:space="preserve">Hold ≥ 6 months; recoveries first reduce acquisition cost</w:t>
            </w:r>
          </w:p>
        </w:tc>
        <w:tc>
          <w:tcPr>
            <w:tcW w:w="2044" w:type="dxa"/>
          </w:tcPr>
          <w:p>
            <w:pPr>
              <w:pStyle w:val="Compact"/>
              <w:spacing w:after="40"/>
              <w:jc w:val="left"/>
            </w:pPr>
            <w:r>
              <w:rPr>
                <w:sz w:val="18"/>
              </w:rPr>
              <w:t xml:space="preserve">TDCR paras 74, 76</w:t>
            </w:r>
          </w:p>
        </w:tc>
      </w:tr>
    </w:tbl>
    <w:p>
      <w:pPr>
        <w:pStyle w:val="BodyText"/>
      </w:pPr>
      <w:r>
        <w:t xml:space="preserve">Pending matters: substitution applications (R9), IBC claim transfer report (R6.4), CERSAI charge assignment, CIR para 21 website update.</w:t>
      </w:r>
    </w:p>
    <w:bookmarkEnd w:id="196"/>
    <w:bookmarkStart w:id="197" w:name="X3cffc4510c4e23743bfe120b3b39ec8be7d7de4"/>
    <w:p>
      <w:pPr>
        <w:pStyle w:val="Heading3"/>
      </w:pPr>
      <w:r>
        <w:t xml:space="preserve">R13.5 Consortium, multiple banking and ICA</w:t>
      </w:r>
    </w:p>
    <w:p>
      <w:pPr>
        <w:numPr>
          <w:ilvl w:val="0"/>
          <w:numId w:val="1253"/>
        </w:numPr>
        <w:pStyle w:val="Compact"/>
      </w:pPr>
      <w:r>
        <w:t xml:space="preserve">All specified lenders sign the ICA within the 30-day Review Period (RSA paras 10(13), 31); specified lenders are commercial banks, AIFIs, deposit-taking NBFCs and non-deposit NBFCs with assets ≥ ₹500 crore, excluding HFCs (RSA para 10(15)).</w:t>
      </w:r>
    </w:p>
    <w:p>
      <w:pPr>
        <w:numPr>
          <w:ilvl w:val="0"/>
          <w:numId w:val="1253"/>
        </w:numPr>
        <w:pStyle w:val="Compact"/>
      </w:pPr>
      <w:r>
        <w:rPr>
          <w:bCs/>
          <w:b/>
        </w:rPr>
        <w:t xml:space="preserve">Vote engine:</w:t>
      </w:r>
      <w:r>
        <w:t xml:space="preserve"> </w:t>
      </w:r>
      <w:r>
        <w:t xml:space="preserve">a decision passes with ≥ 75% by value of total outstanding facilities (fund and non-fund)</w:t>
      </w:r>
      <w:r>
        <w:t xml:space="preserve"> </w:t>
      </w:r>
      <w:r>
        <w:rPr>
          <w:bCs/>
          <w:b/>
        </w:rPr>
        <w:t xml:space="preserve">and</w:t>
      </w:r>
      <w:r>
        <w:t xml:space="preserve"> </w:t>
      </w:r>
      <w:r>
        <w:t xml:space="preserve">≥ 60% of signatories by number; it binds all; dissenters receive at least liquidation value (RSA para 32). An NBFC may still start legal proceedings (RSA para 29).</w:t>
      </w:r>
    </w:p>
    <w:p>
      <w:pPr>
        <w:numPr>
          <w:ilvl w:val="0"/>
          <w:numId w:val="1253"/>
        </w:numPr>
        <w:pStyle w:val="Compact"/>
      </w:pPr>
      <w:r>
        <w:t xml:space="preserve">Additional provisions only where aggregate exposure ≥ ₹1,500 crore: 20% if not implemented within 180 days from the end of the Review Period, + 15% at 365 days from its start (RSA paras 45–48).</w:t>
      </w:r>
    </w:p>
    <w:p>
      <w:pPr>
        <w:numPr>
          <w:ilvl w:val="0"/>
          <w:numId w:val="1253"/>
        </w:numPr>
        <w:pStyle w:val="Compact"/>
      </w:pPr>
      <w:r>
        <w:t xml:space="preserve">CRILC monthly for exposures ≥ ₹5 crore and weekly default reports (RSA paras 20–21); project-finance credit events to all members (RSA para 107).</w:t>
      </w:r>
    </w:p>
    <w:p>
      <w:pPr>
        <w:numPr>
          <w:ilvl w:val="0"/>
          <w:numId w:val="1253"/>
        </w:numPr>
        <w:pStyle w:val="Compact"/>
      </w:pPr>
      <w:r>
        <w:t xml:space="preserve">The s.13(9) test (60% by value) is computed separately from the ICA test; every member displays possessed assets (CIR para 21(1)(xi)).</w:t>
      </w:r>
    </w:p>
    <w:bookmarkEnd w:id="197"/>
    <w:bookmarkStart w:id="198" w:name="r13.6-data-shared-per-party"/>
    <w:p>
      <w:pPr>
        <w:pStyle w:val="Heading3"/>
      </w:pPr>
      <w:r>
        <w:t xml:space="preserve">R13.6 Data shared per party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52"/>
        <w:gridCol w:w="3017"/>
        <w:gridCol w:w="2296"/>
        <w:gridCol w:w="2873"/>
      </w:tblGrid>
      <w:tr>
        <w:trPr>
          <w:tblHeader w:val="true"/>
          <w:tblHeader w:val="true"/>
        </w:trPr>
        <w:tc>
          <w:tcPr>
            <w:tcW w:w="1452" w:type="dxa"/>
            <w:shd w:val="clear" w:color="auto" w:fill="1F3A5F"/>
          </w:tcPr>
          <w:p>
            <w:pPr>
              <w:pStyle w:val="Compact"/>
              <w:spacing w:after="40"/>
              <w:jc w:val="left"/>
            </w:pPr>
            <w:r>
              <w:rPr>
                <w:b/>
                <w:color w:val="FFFFFF"/>
                <w:sz w:val="18"/>
              </w:rPr>
              <w:t xml:space="preserve">Party</w:t>
            </w:r>
          </w:p>
        </w:tc>
        <w:tc>
          <w:tcPr>
            <w:tcW w:w="3017" w:type="dxa"/>
            <w:shd w:val="clear" w:color="auto" w:fill="1F3A5F"/>
          </w:tcPr>
          <w:p>
            <w:pPr>
              <w:pStyle w:val="Compact"/>
              <w:spacing w:after="40"/>
              <w:jc w:val="left"/>
            </w:pPr>
            <w:r>
              <w:rPr>
                <w:b/>
                <w:color w:val="FFFFFF"/>
                <w:sz w:val="18"/>
              </w:rPr>
              <w:t xml:space="preserve">Receives from the tenant</w:t>
            </w:r>
          </w:p>
        </w:tc>
        <w:tc>
          <w:tcPr>
            <w:tcW w:w="2296" w:type="dxa"/>
            <w:shd w:val="clear" w:color="auto" w:fill="1F3A5F"/>
          </w:tcPr>
          <w:p>
            <w:pPr>
              <w:pStyle w:val="Compact"/>
              <w:spacing w:after="40"/>
              <w:jc w:val="left"/>
            </w:pPr>
            <w:r>
              <w:rPr>
                <w:b/>
                <w:color w:val="FFFFFF"/>
                <w:sz w:val="18"/>
              </w:rPr>
              <w:t xml:space="preserve">Sends to the tenant</w:t>
            </w:r>
          </w:p>
        </w:tc>
        <w:tc>
          <w:tcPr>
            <w:tcW w:w="2873" w:type="dxa"/>
            <w:shd w:val="clear" w:color="auto" w:fill="1F3A5F"/>
          </w:tcPr>
          <w:p>
            <w:pPr>
              <w:pStyle w:val="Compact"/>
              <w:spacing w:after="40"/>
              <w:jc w:val="left"/>
            </w:pPr>
            <w:r>
              <w:rPr>
                <w:b/>
                <w:color w:val="FFFFFF"/>
                <w:sz w:val="18"/>
              </w:rPr>
              <w:t xml:space="preserve">SLA</w:t>
            </w:r>
          </w:p>
        </w:tc>
      </w:tr>
      <w:tr>
        <w:tc>
          <w:tcPr>
            <w:tcW w:w="1452" w:type="dxa"/>
          </w:tcPr>
          <w:p>
            <w:pPr>
              <w:pStyle w:val="Compact"/>
              <w:spacing w:after="40"/>
              <w:jc w:val="left"/>
            </w:pPr>
            <w:r>
              <w:rPr>
                <w:sz w:val="18"/>
              </w:rPr>
              <w:t xml:space="preserve">Co-lender</w:t>
            </w:r>
          </w:p>
        </w:tc>
        <w:tc>
          <w:tcPr>
            <w:tcW w:w="3017" w:type="dxa"/>
          </w:tcPr>
          <w:p>
            <w:pPr>
              <w:pStyle w:val="Compact"/>
              <w:spacing w:after="40"/>
              <w:jc w:val="left"/>
            </w:pPr>
            <w:r>
              <w:rPr>
                <w:sz w:val="18"/>
              </w:rPr>
              <w:t xml:space="preserve">Classification changes, escrow allocations, recovery actions, settlement proposals, legal stage</w:t>
            </w:r>
          </w:p>
        </w:tc>
        <w:tc>
          <w:tcPr>
            <w:tcW w:w="2296" w:type="dxa"/>
          </w:tcPr>
          <w:p>
            <w:pPr>
              <w:pStyle w:val="Compact"/>
              <w:spacing w:after="40"/>
              <w:jc w:val="left"/>
            </w:pPr>
            <w:r>
              <w:rPr>
                <w:sz w:val="18"/>
              </w:rPr>
              <w:t xml:space="preserve">Its classification changes, approvals, CIC confirmation</w:t>
            </w:r>
          </w:p>
        </w:tc>
        <w:tc>
          <w:tcPr>
            <w:tcW w:w="2873" w:type="dxa"/>
          </w:tcPr>
          <w:p>
            <w:pPr>
              <w:pStyle w:val="Compact"/>
              <w:spacing w:after="40"/>
              <w:jc w:val="left"/>
            </w:pPr>
            <w:r>
              <w:rPr>
                <w:sz w:val="18"/>
              </w:rPr>
              <w:t xml:space="preserve">Classification by end of next working day (TDCR para 124); daily three-way escrow file</w:t>
            </w:r>
          </w:p>
        </w:tc>
      </w:tr>
      <w:tr>
        <w:tc>
          <w:tcPr>
            <w:tcW w:w="1452" w:type="dxa"/>
          </w:tcPr>
          <w:p>
            <w:pPr>
              <w:pStyle w:val="Compact"/>
              <w:spacing w:after="40"/>
              <w:jc w:val="left"/>
            </w:pPr>
            <w:r>
              <w:rPr>
                <w:sz w:val="18"/>
              </w:rPr>
              <w:t xml:space="preserve">Transferee or investor</w:t>
            </w:r>
          </w:p>
        </w:tc>
        <w:tc>
          <w:tcPr>
            <w:tcW w:w="3017" w:type="dxa"/>
          </w:tcPr>
          <w:p>
            <w:pPr>
              <w:pStyle w:val="Compact"/>
              <w:spacing w:after="40"/>
              <w:jc w:val="left"/>
            </w:pPr>
            <w:r>
              <w:rPr>
                <w:sz w:val="18"/>
              </w:rPr>
              <w:t xml:space="preserve">Collections, remittances, certified MIS, recovery status</w:t>
            </w:r>
          </w:p>
        </w:tc>
        <w:tc>
          <w:tcPr>
            <w:tcW w:w="2296" w:type="dxa"/>
          </w:tcPr>
          <w:p>
            <w:pPr>
              <w:pStyle w:val="Compact"/>
              <w:spacing w:after="40"/>
              <w:jc w:val="left"/>
            </w:pPr>
            <w:r>
              <w:rPr>
                <w:sz w:val="18"/>
              </w:rPr>
              <w:t xml:space="preserve">Servicer replacement, instructions within its rights</w:t>
            </w:r>
          </w:p>
        </w:tc>
        <w:tc>
          <w:tcPr>
            <w:tcW w:w="2873" w:type="dxa"/>
          </w:tcPr>
          <w:p>
            <w:pPr>
              <w:pStyle w:val="Compact"/>
              <w:spacing w:after="40"/>
              <w:jc w:val="left"/>
            </w:pPr>
            <w:r>
              <w:rPr>
                <w:sz w:val="18"/>
              </w:rPr>
              <w:t xml:space="preserve">Monthly certified MIS (TDCR para 41)</w:t>
            </w:r>
          </w:p>
        </w:tc>
      </w:tr>
      <w:tr>
        <w:tc>
          <w:tcPr>
            <w:tcW w:w="1452" w:type="dxa"/>
          </w:tcPr>
          <w:p>
            <w:pPr>
              <w:pStyle w:val="Compact"/>
              <w:spacing w:after="40"/>
              <w:jc w:val="left"/>
            </w:pPr>
            <w:r>
              <w:rPr>
                <w:sz w:val="18"/>
              </w:rPr>
              <w:t xml:space="preserve">SPE or trustee</w:t>
            </w:r>
          </w:p>
        </w:tc>
        <w:tc>
          <w:tcPr>
            <w:tcW w:w="3017" w:type="dxa"/>
          </w:tcPr>
          <w:p>
            <w:pPr>
              <w:pStyle w:val="Compact"/>
              <w:spacing w:after="40"/>
              <w:jc w:val="left"/>
            </w:pPr>
            <w:r>
              <w:rPr>
                <w:sz w:val="18"/>
              </w:rPr>
              <w:t xml:space="preserve">Collections, waterfall inputs, trigger status, Annex I data</w:t>
            </w:r>
          </w:p>
        </w:tc>
        <w:tc>
          <w:tcPr>
            <w:tcW w:w="2296" w:type="dxa"/>
          </w:tcPr>
          <w:p>
            <w:pPr>
              <w:pStyle w:val="Compact"/>
              <w:spacing w:after="40"/>
              <w:jc w:val="left"/>
            </w:pPr>
            <w:r>
              <w:rPr>
                <w:sz w:val="18"/>
              </w:rPr>
              <w:t xml:space="preserve">Payment instructions</w:t>
            </w:r>
          </w:p>
        </w:tc>
        <w:tc>
          <w:tcPr>
            <w:tcW w:w="2873" w:type="dxa"/>
          </w:tcPr>
          <w:p>
            <w:pPr>
              <w:pStyle w:val="Compact"/>
              <w:spacing w:after="40"/>
              <w:jc w:val="left"/>
            </w:pPr>
            <w:r>
              <w:rPr>
                <w:sz w:val="18"/>
              </w:rPr>
              <w:t xml:space="preserve">Servicing agreement; 14-day material-change notice (SEC para 22)</w:t>
            </w:r>
          </w:p>
        </w:tc>
      </w:tr>
      <w:tr>
        <w:tc>
          <w:tcPr>
            <w:tcW w:w="1452" w:type="dxa"/>
          </w:tcPr>
          <w:p>
            <w:pPr>
              <w:pStyle w:val="Compact"/>
              <w:spacing w:after="40"/>
              <w:jc w:val="left"/>
            </w:pPr>
            <w:r>
              <w:rPr>
                <w:sz w:val="18"/>
              </w:rPr>
              <w:t xml:space="preserve">ARC</w:t>
            </w:r>
          </w:p>
        </w:tc>
        <w:tc>
          <w:tcPr>
            <w:tcW w:w="3017" w:type="dxa"/>
          </w:tcPr>
          <w:p>
            <w:pPr>
              <w:pStyle w:val="Compact"/>
              <w:spacing w:after="40"/>
              <w:jc w:val="left"/>
            </w:pPr>
            <w:r>
              <w:rPr>
                <w:sz w:val="18"/>
              </w:rPr>
              <w:t xml:space="preserve">Loan and legal file, fraud-reporting duties, CERSAI assignment</w:t>
            </w:r>
          </w:p>
        </w:tc>
        <w:tc>
          <w:tcPr>
            <w:tcW w:w="2296" w:type="dxa"/>
          </w:tcPr>
          <w:p>
            <w:pPr>
              <w:pStyle w:val="Compact"/>
              <w:spacing w:after="40"/>
              <w:jc w:val="left"/>
            </w:pPr>
            <w:r>
              <w:rPr>
                <w:sz w:val="18"/>
              </w:rPr>
              <w:t xml:space="preserve">Surplus-share reports (TDCR para 79), SR NAV</w:t>
            </w:r>
          </w:p>
        </w:tc>
        <w:tc>
          <w:tcPr>
            <w:tcW w:w="2873" w:type="dxa"/>
          </w:tcPr>
          <w:p>
            <w:pPr>
              <w:pStyle w:val="Compact"/>
              <w:spacing w:after="40"/>
              <w:jc w:val="left"/>
            </w:pPr>
            <w:r>
              <w:rPr>
                <w:sz w:val="18"/>
              </w:rPr>
              <w:t xml:space="preserve">Data room; quarterly NAV</w:t>
            </w:r>
          </w:p>
        </w:tc>
      </w:tr>
      <w:tr>
        <w:tc>
          <w:tcPr>
            <w:tcW w:w="1452" w:type="dxa"/>
          </w:tcPr>
          <w:p>
            <w:pPr>
              <w:pStyle w:val="Compact"/>
              <w:spacing w:after="40"/>
              <w:jc w:val="left"/>
            </w:pPr>
            <w:r>
              <w:rPr>
                <w:sz w:val="18"/>
              </w:rPr>
              <w:t xml:space="preserve">Consortium members</w:t>
            </w:r>
          </w:p>
        </w:tc>
        <w:tc>
          <w:tcPr>
            <w:tcW w:w="3017" w:type="dxa"/>
          </w:tcPr>
          <w:p>
            <w:pPr>
              <w:pStyle w:val="Compact"/>
              <w:spacing w:after="40"/>
              <w:jc w:val="left"/>
            </w:pPr>
            <w:r>
              <w:rPr>
                <w:sz w:val="18"/>
              </w:rPr>
              <w:t xml:space="preserve">Lead-lender notices, votes, s.13(9) consents, possessed-asset data</w:t>
            </w:r>
          </w:p>
        </w:tc>
        <w:tc>
          <w:tcPr>
            <w:tcW w:w="2296" w:type="dxa"/>
          </w:tcPr>
          <w:p>
            <w:pPr>
              <w:pStyle w:val="Compact"/>
              <w:spacing w:after="40"/>
              <w:jc w:val="left"/>
            </w:pPr>
            <w:r>
              <w:rPr>
                <w:sz w:val="18"/>
              </w:rPr>
              <w:t xml:space="preserve">Votes, consents</w:t>
            </w:r>
          </w:p>
        </w:tc>
        <w:tc>
          <w:tcPr>
            <w:tcW w:w="2873" w:type="dxa"/>
          </w:tcPr>
          <w:p>
            <w:pPr>
              <w:pStyle w:val="Compact"/>
              <w:spacing w:after="40"/>
              <w:jc w:val="left"/>
            </w:pPr>
            <w:r>
              <w:rPr>
                <w:sz w:val="18"/>
              </w:rPr>
              <w:t xml:space="preserve">Signed records</w:t>
            </w:r>
          </w:p>
        </w:tc>
      </w:tr>
      <w:tr>
        <w:tc>
          <w:tcPr>
            <w:tcW w:w="1452" w:type="dxa"/>
          </w:tcPr>
          <w:p>
            <w:pPr>
              <w:pStyle w:val="Compact"/>
              <w:spacing w:after="40"/>
              <w:jc w:val="left"/>
            </w:pPr>
            <w:r>
              <w:rPr>
                <w:sz w:val="18"/>
              </w:rPr>
              <w:t xml:space="preserve">DLG provider</w:t>
            </w:r>
          </w:p>
        </w:tc>
        <w:tc>
          <w:tcPr>
            <w:tcW w:w="3017" w:type="dxa"/>
          </w:tcPr>
          <w:p>
            <w:pPr>
              <w:pStyle w:val="Compact"/>
              <w:spacing w:after="40"/>
              <w:jc w:val="left"/>
            </w:pPr>
            <w:r>
              <w:rPr>
                <w:sz w:val="18"/>
              </w:rPr>
              <w:t xml:space="preserve">Invocation notices, recovery-share statements</w:t>
            </w:r>
          </w:p>
        </w:tc>
        <w:tc>
          <w:tcPr>
            <w:tcW w:w="2296" w:type="dxa"/>
          </w:tcPr>
          <w:p>
            <w:pPr>
              <w:pStyle w:val="Compact"/>
              <w:spacing w:after="40"/>
              <w:jc w:val="left"/>
            </w:pPr>
            <w:r>
              <w:rPr>
                <w:sz w:val="18"/>
              </w:rPr>
              <w:t xml:space="preserve">Cover within the fixed set</w:t>
            </w:r>
          </w:p>
        </w:tc>
        <w:tc>
          <w:tcPr>
            <w:tcW w:w="2873" w:type="dxa"/>
          </w:tcPr>
          <w:p>
            <w:pPr>
              <w:pStyle w:val="Compact"/>
              <w:spacing w:after="40"/>
              <w:jc w:val="left"/>
            </w:pPr>
            <w:r>
              <w:rPr>
                <w:sz w:val="18"/>
              </w:rPr>
              <w:t xml:space="preserve">Part 5.2 DLG events; monthly disclosure (CF para 28)</w:t>
            </w:r>
          </w:p>
        </w:tc>
      </w:tr>
      <w:tr>
        <w:tc>
          <w:tcPr>
            <w:tcW w:w="1452" w:type="dxa"/>
          </w:tcPr>
          <w:p>
            <w:pPr>
              <w:pStyle w:val="Compact"/>
              <w:spacing w:after="40"/>
              <w:jc w:val="left"/>
            </w:pPr>
            <w:r>
              <w:rPr>
                <w:sz w:val="18"/>
              </w:rPr>
              <w:t xml:space="preserve">Udofin (as LSP)</w:t>
            </w:r>
          </w:p>
        </w:tc>
        <w:tc>
          <w:tcPr>
            <w:tcW w:w="3017" w:type="dxa"/>
          </w:tcPr>
          <w:p>
            <w:pPr>
              <w:pStyle w:val="Compact"/>
              <w:spacing w:after="40"/>
              <w:jc w:val="left"/>
            </w:pPr>
            <w:r>
              <w:rPr>
                <w:sz w:val="18"/>
              </w:rPr>
              <w:t xml:space="preserve">Status-level legal stage, settlement status, allocation</w:t>
            </w:r>
          </w:p>
        </w:tc>
        <w:tc>
          <w:tcPr>
            <w:tcW w:w="2296" w:type="dxa"/>
          </w:tcPr>
          <w:p>
            <w:pPr>
              <w:pStyle w:val="Compact"/>
              <w:spacing w:after="40"/>
              <w:jc w:val="left"/>
            </w:pPr>
            <w:r>
              <w:rPr>
                <w:sz w:val="18"/>
              </w:rPr>
              <w:t xml:space="preserve">Activity, PTPs, settlement requests</w:t>
            </w:r>
          </w:p>
        </w:tc>
        <w:tc>
          <w:tcPr>
            <w:tcW w:w="2873" w:type="dxa"/>
          </w:tcPr>
          <w:p>
            <w:pPr>
              <w:pStyle w:val="Compact"/>
              <w:spacing w:after="40"/>
              <w:jc w:val="left"/>
            </w:pPr>
            <w:r>
              <w:rPr>
                <w:sz w:val="18"/>
              </w:rPr>
              <w:t xml:space="preserve">UR5, consent-scoped</w:t>
            </w:r>
          </w:p>
        </w:tc>
      </w:tr>
    </w:tbl>
    <w:p>
      <w:pPr>
        <w:pStyle w:val="BodyText"/>
      </w:pPr>
      <w:r>
        <w:rPr>
          <w:bCs/>
          <w:b/>
        </w:rPr>
        <w:t xml:space="preserve">Controls.</w:t>
      </w:r>
      <w:r>
        <w:t xml:space="preserve"> </w:t>
      </w:r>
      <w:r>
        <w:t xml:space="preserve">Escrow and trust validators; per-share approvals before a joint settlement; signed, immutable vote records; sync breaches raise</w:t>
      </w:r>
      <w:r>
        <w:t xml:space="preserve"> </w:t>
      </w:r>
      <w:r>
        <w:rPr>
          <w:rStyle w:val="VerbatimChar"/>
        </w:rPr>
        <w:t xml:space="preserve">ComplianceIssueRaised</w:t>
      </w:r>
      <w:r>
        <w:t xml:space="preserve">; no action outside a party’s matrix role; transfer database entry before closure.</w:t>
      </w:r>
    </w:p>
    <w:p>
      <w:pPr>
        <w:pStyle w:val="BodyText"/>
      </w:pPr>
      <w:r>
        <w:rPr>
          <w:bCs/>
          <w:b/>
        </w:rPr>
        <w:t xml:space="preserve">Data captured.</w:t>
      </w:r>
      <w:r>
        <w:t xml:space="preserve"> </w:t>
      </w:r>
      <w:r>
        <w:rPr>
          <w:rStyle w:val="VerbatimChar"/>
        </w:rPr>
        <w:t xml:space="preserve">shared_exposure</w:t>
      </w:r>
      <w:r>
        <w:t xml:space="preserve">,</w:t>
      </w:r>
      <w:r>
        <w:t xml:space="preserve"> </w:t>
      </w:r>
      <w:r>
        <w:rPr>
          <w:rStyle w:val="VerbatimChar"/>
        </w:rPr>
        <w:t xml:space="preserve">recovery_matrix_rule</w:t>
      </w:r>
      <w:r>
        <w:t xml:space="preserve">,</w:t>
      </w:r>
      <w:r>
        <w:t xml:space="preserve"> </w:t>
      </w:r>
      <w:r>
        <w:rPr>
          <w:rStyle w:val="VerbatimChar"/>
        </w:rPr>
        <w:t xml:space="preserve">share_approval</w:t>
      </w:r>
      <w:r>
        <w:t xml:space="preserve">,</w:t>
      </w:r>
      <w:r>
        <w:t xml:space="preserve"> </w:t>
      </w:r>
      <w:r>
        <w:rPr>
          <w:rStyle w:val="VerbatimChar"/>
        </w:rPr>
        <w:t xml:space="preserve">servicer_remittance</w:t>
      </w:r>
      <w:r>
        <w:t xml:space="preserve">,</w:t>
      </w:r>
      <w:r>
        <w:t xml:space="preserve"> </w:t>
      </w:r>
      <w:r>
        <w:rPr>
          <w:rStyle w:val="VerbatimChar"/>
        </w:rPr>
        <w:t xml:space="preserve">trust_account</w:t>
      </w:r>
      <w:r>
        <w:t xml:space="preserve">,</w:t>
      </w:r>
      <w:r>
        <w:t xml:space="preserve"> </w:t>
      </w:r>
      <w:r>
        <w:rPr>
          <w:rStyle w:val="VerbatimChar"/>
        </w:rPr>
        <w:t xml:space="preserve">ica_vote</w:t>
      </w:r>
      <w:r>
        <w:t xml:space="preserve">,</w:t>
      </w:r>
      <w:r>
        <w:t xml:space="preserve"> </w:t>
      </w:r>
      <w:r>
        <w:rPr>
          <w:rStyle w:val="VerbatimChar"/>
        </w:rPr>
        <w:t xml:space="preserve">substitution_task</w:t>
      </w:r>
      <w:r>
        <w:t xml:space="preserve">; v1.3</w:t>
      </w:r>
      <w:r>
        <w:t xml:space="preserve"> </w:t>
      </w:r>
      <w:r>
        <w:rPr>
          <w:rStyle w:val="VerbatimChar"/>
        </w:rPr>
        <w:t xml:space="preserve">cla_*</w:t>
      </w:r>
      <w:r>
        <w:t xml:space="preserve">,</w:t>
      </w:r>
      <w:r>
        <w:t xml:space="preserve"> </w:t>
      </w:r>
      <w:r>
        <w:rPr>
          <w:rStyle w:val="VerbatimChar"/>
        </w:rPr>
        <w:t xml:space="preserve">loan_transfer</w:t>
      </w:r>
      <w:r>
        <w:t xml:space="preserve">,</w:t>
      </w:r>
      <w:r>
        <w:t xml:space="preserve"> </w:t>
      </w:r>
      <w:r>
        <w:rPr>
          <w:rStyle w:val="VerbatimChar"/>
        </w:rPr>
        <w:t xml:space="preserve">arc_transfer</w:t>
      </w:r>
      <w:r>
        <w:t xml:space="preserve">,</w:t>
      </w:r>
      <w:r>
        <w:t xml:space="preserve"> </w:t>
      </w:r>
      <w:r>
        <w:rPr>
          <w:rStyle w:val="VerbatimChar"/>
        </w:rPr>
        <w:t xml:space="preserve">swiss_challenge</w:t>
      </w:r>
      <w:r>
        <w:t xml:space="preserve">,</w:t>
      </w:r>
      <w:r>
        <w:t xml:space="preserve"> </w:t>
      </w:r>
      <w:r>
        <w:rPr>
          <w:rStyle w:val="VerbatimChar"/>
        </w:rPr>
        <w:t xml:space="preserve">security_receipt</w:t>
      </w:r>
      <w:r>
        <w:t xml:space="preserve"> </w:t>
      </w:r>
      <w:r>
        <w:t xml:space="preserve">reused.</w:t>
      </w:r>
    </w:p>
    <w:p>
      <w:pPr>
        <w:pStyle w:val="BodyText"/>
      </w:pPr>
      <w:r>
        <w:rPr>
          <w:bCs/>
          <w:b/>
        </w:rPr>
        <w:t xml:space="preserve">Configuration.</w:t>
      </w:r>
      <w:r>
        <w:t xml:space="preserve"> </w:t>
      </w:r>
      <w:r>
        <w:t xml:space="preserve">CLA matrices; servicing agreements; vote thresholds (statutory values locked); reporting SLAs; counterpart endpoints.</w:t>
      </w:r>
    </w:p>
    <w:p>
      <w:pPr>
        <w:pStyle w:val="BodyText"/>
      </w:pPr>
      <w:r>
        <w:rPr>
          <w:bCs/>
          <w:b/>
        </w:rPr>
        <w:t xml:space="preserve">Events.</w:t>
      </w:r>
      <w:r>
        <w:t xml:space="preserve"> </w:t>
      </w:r>
      <w:r>
        <w:rPr>
          <w:rStyle w:val="VerbatimChar"/>
        </w:rPr>
        <w:t xml:space="preserve">CoLendingSplitConfirmed</w:t>
      </w:r>
      <w:r>
        <w:t xml:space="preserve">,</w:t>
      </w:r>
      <w:r>
        <w:t xml:space="preserve"> </w:t>
      </w:r>
      <w:r>
        <w:rPr>
          <w:rStyle w:val="VerbatimChar"/>
        </w:rPr>
        <w:t xml:space="preserve">ClassificationSynced</w:t>
      </w:r>
      <w:r>
        <w:t xml:space="preserve">,</w:t>
      </w:r>
      <w:r>
        <w:t xml:space="preserve"> </w:t>
      </w:r>
      <w:r>
        <w:rPr>
          <w:rStyle w:val="VerbatimChar"/>
        </w:rPr>
        <w:t xml:space="preserve">LoanTransferred</w:t>
      </w:r>
      <w:r>
        <w:t xml:space="preserve">,</w:t>
      </w:r>
      <w:r>
        <w:t xml:space="preserve"> </w:t>
      </w:r>
      <w:r>
        <w:rPr>
          <w:rStyle w:val="VerbatimChar"/>
        </w:rPr>
        <w:t xml:space="preserve">ServicerChanged</w:t>
      </w:r>
      <w:r>
        <w:t xml:space="preserve">,</w:t>
      </w:r>
      <w:r>
        <w:t xml:space="preserve"> </w:t>
      </w:r>
      <w:r>
        <w:rPr>
          <w:rStyle w:val="VerbatimChar"/>
        </w:rPr>
        <w:t xml:space="preserve">RecoveryStrategyChanged</w:t>
      </w:r>
      <w:r>
        <w:t xml:space="preserve">,</w:t>
      </w:r>
      <w:r>
        <w:t xml:space="preserve"> </w:t>
      </w:r>
      <w:r>
        <w:rPr>
          <w:rStyle w:val="VerbatimChar"/>
        </w:rPr>
        <w:t xml:space="preserve">SettlementApproved</w:t>
      </w:r>
      <w:r>
        <w:t xml:space="preserve"> </w:t>
      </w:r>
      <w:r>
        <w:t xml:space="preserve">(per share),</w:t>
      </w:r>
      <w:r>
        <w:t xml:space="preserve"> </w:t>
      </w:r>
      <w:r>
        <w:rPr>
          <w:rStyle w:val="VerbatimChar"/>
        </w:rPr>
        <w:t xml:space="preserve">RecoveryReceiptPosted</w:t>
      </w:r>
      <w:r>
        <w:t xml:space="preserve">, Part 5.2</w:t>
      </w:r>
      <w:r>
        <w:t xml:space="preserve"> </w:t>
      </w:r>
      <w:r>
        <w:rPr>
          <w:rStyle w:val="VerbatimChar"/>
        </w:rPr>
        <w:t xml:space="preserve">DLGInvocationRaised</w:t>
      </w:r>
      <w:r>
        <w:t xml:space="preserve"> </w:t>
      </w:r>
      <w:r>
        <w:t xml:space="preserve">and</w:t>
      </w:r>
      <w:r>
        <w:t xml:space="preserve"> </w:t>
      </w:r>
      <w:r>
        <w:rPr>
          <w:rStyle w:val="VerbatimChar"/>
        </w:rPr>
        <w:t xml:space="preserve">DLGInvocationSettled</w:t>
      </w:r>
      <w:r>
        <w:t xml:space="preserve">,</w:t>
      </w:r>
      <w:r>
        <w:t xml:space="preserve"> </w:t>
      </w:r>
      <w:r>
        <w:rPr>
          <w:rStyle w:val="VerbatimChar"/>
        </w:rPr>
        <w:t xml:space="preserve">LitigationCaseUpdated</w:t>
      </w:r>
      <w:r>
        <w:t xml:space="preserve"> </w:t>
      </w:r>
      <w:r>
        <w:t xml:space="preserve">(substitution),</w:t>
      </w:r>
      <w:r>
        <w:t xml:space="preserve"> </w:t>
      </w:r>
      <w:r>
        <w:rPr>
          <w:rStyle w:val="VerbatimChar"/>
        </w:rPr>
        <w:t xml:space="preserve">ComplianceIssueRaised</w:t>
      </w:r>
      <w:r>
        <w:t xml:space="preserve">.</w:t>
      </w:r>
    </w:p>
    <w:p>
      <w:pPr>
        <w:pStyle w:val="BodyText"/>
      </w:pPr>
      <w:r>
        <w:rPr>
          <w:bCs/>
          <w:b/>
        </w:rPr>
        <w:t xml:space="preserve">Tests (R13).</w:t>
      </w:r>
      <w:r>
        <w:t xml:space="preserve"> </w:t>
      </w:r>
      <w:r>
        <w:t xml:space="preserve">1. CLA escrow with an LSP signatory → rejected.</w:t>
      </w:r>
      <w:r>
        <w:t xml:space="preserve"> </w:t>
      </w:r>
      <w:r>
        <w:t xml:space="preserve">2. Partner marks the borrower NPA at COB Wednesday 3 Feb 2027 → originator applies NPA as of 3 Feb by 23:59 Thursday 4 Feb 2027, else a compliance issue opens.</w:t>
      </w:r>
      <w:r>
        <w:t xml:space="preserve"> </w:t>
      </w:r>
      <w:r>
        <w:t xml:space="preserve">3. CLA DLG of ₹6 crore on ₹100 crore CLA outstanding → rejected (cap ₹5 crore); CF DLG ledger unaffected.</w:t>
      </w:r>
      <w:r>
        <w:t xml:space="preserve"> </w:t>
      </w:r>
      <w:r>
        <w:t xml:space="preserve">4. ICA shares 50, 20, 15, 10 and 5%: first, second and fourth vote yes → 80% by value and 3 of 5 → passes; first two only → fails.</w:t>
      </w:r>
      <w:r>
        <w:t xml:space="preserve"> </w:t>
      </w:r>
      <w:r>
        <w:t xml:space="preserve">5. Shared security 65% bank, 25% NBFC, 10% NBFC → the 25% NBFC alone cannot act under s.13(4); bank plus the 10% NBFC can.</w:t>
      </w:r>
      <w:r>
        <w:t xml:space="preserve"> </w:t>
      </w:r>
      <w:r>
        <w:t xml:space="preserve">6. Bilateral sale with ₹120 crore aggregate exposure → Swiss challenge mandatory; ₹80 crore → policy; ICA exit of ₹40 crore → mandatory.</w:t>
      </w:r>
      <w:r>
        <w:t xml:space="preserve"> </w:t>
      </w:r>
      <w:r>
        <w:t xml:space="preserve">7. Servicer remittance before collection → blocked; securitisation servicer role given to an unregulated entity → rejected.</w:t>
      </w:r>
    </w:p>
    <w:p>
      <w:r>
        <w:pict>
          <v:rect style="width:0;height:1.5pt" o:hralign="center" o:hrstd="t" o:hr="t"/>
        </w:pict>
      </w:r>
    </w:p>
    <w:bookmarkEnd w:id="198"/>
    <w:bookmarkEnd w:id="199"/>
    <w:bookmarkStart w:id="204" w:name="X5b136dad6ada95586ad374c22c9582a347ff1d2"/>
    <w:p>
      <w:pPr>
        <w:pStyle w:val="Heading2"/>
      </w:pPr>
      <w:r>
        <w:t xml:space="preserve">R14. Recovery analytics, registers, reporting and exports</w:t>
      </w:r>
    </w:p>
    <w:p>
      <w:pPr>
        <w:pStyle w:val="FirstParagraph"/>
      </w:pPr>
      <w:r>
        <w:rPr>
          <w:bCs/>
          <w:b/>
        </w:rPr>
        <w:t xml:space="preserve">Purpose.</w:t>
      </w:r>
      <w:r>
        <w:t xml:space="preserve"> </w:t>
      </w:r>
      <w:r>
        <w:t xml:space="preserve">Produce the registers inspectors and auditors ask for, the KPIs management runs on, the regulatory and Board inputs, and every export format the tenant needs.</w:t>
      </w:r>
    </w:p>
    <w:bookmarkStart w:id="200" w:name="X3b42fb8ac73f1d78ff485ab1a825f7e130aca8c"/>
    <w:p>
      <w:pPr>
        <w:pStyle w:val="Heading3"/>
      </w:pPr>
      <w:r>
        <w:t xml:space="preserve">R14.1 Registers (system-maintained; updated on the triggering event; produced on demand)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69"/>
        <w:gridCol w:w="3718"/>
        <w:gridCol w:w="4151"/>
      </w:tblGrid>
      <w:tr>
        <w:trPr>
          <w:tblHeader w:val="true"/>
          <w:tblHeader w:val="true"/>
        </w:trPr>
        <w:tc>
          <w:tcPr>
            <w:tcW w:w="1769" w:type="dxa"/>
            <w:shd w:val="clear" w:color="auto" w:fill="1F3A5F"/>
          </w:tcPr>
          <w:p>
            <w:pPr>
              <w:pStyle w:val="Compact"/>
              <w:spacing w:after="40"/>
              <w:jc w:val="left"/>
            </w:pPr>
            <w:r>
              <w:rPr>
                <w:b/>
                <w:color w:val="FFFFFF"/>
                <w:sz w:val="18"/>
              </w:rPr>
              <w:t xml:space="preserve">Register</w:t>
            </w:r>
          </w:p>
        </w:tc>
        <w:tc>
          <w:tcPr>
            <w:tcW w:w="3718" w:type="dxa"/>
            <w:shd w:val="clear" w:color="auto" w:fill="1F3A5F"/>
          </w:tcPr>
          <w:p>
            <w:pPr>
              <w:pStyle w:val="Compact"/>
              <w:spacing w:after="40"/>
              <w:jc w:val="left"/>
            </w:pPr>
            <w:r>
              <w:rPr>
                <w:b/>
                <w:color w:val="FFFFFF"/>
                <w:sz w:val="18"/>
              </w:rPr>
              <w:t xml:space="preserve">Key contents</w:t>
            </w:r>
          </w:p>
        </w:tc>
        <w:tc>
          <w:tcPr>
            <w:tcW w:w="4151" w:type="dxa"/>
            <w:shd w:val="clear" w:color="auto" w:fill="1F3A5F"/>
          </w:tcPr>
          <w:p>
            <w:pPr>
              <w:pStyle w:val="Compact"/>
              <w:spacing w:after="40"/>
              <w:jc w:val="left"/>
            </w:pPr>
            <w:r>
              <w:rPr>
                <w:b/>
                <w:color w:val="FFFFFF"/>
                <w:sz w:val="18"/>
              </w:rPr>
              <w:t xml:space="preserve">Corrections to the Udolex templates</w:t>
            </w:r>
          </w:p>
        </w:tc>
      </w:tr>
      <w:tr>
        <w:tc>
          <w:tcPr>
            <w:tcW w:w="1769" w:type="dxa"/>
          </w:tcPr>
          <w:p>
            <w:pPr>
              <w:pStyle w:val="Compact"/>
              <w:spacing w:after="40"/>
              <w:jc w:val="left"/>
            </w:pPr>
            <w:r>
              <w:rPr>
                <w:sz w:val="18"/>
              </w:rPr>
              <w:t xml:space="preserve">NPA classification and provisioning</w:t>
            </w:r>
          </w:p>
        </w:tc>
        <w:tc>
          <w:tcPr>
            <w:tcW w:w="3718" w:type="dxa"/>
          </w:tcPr>
          <w:p>
            <w:pPr>
              <w:pStyle w:val="Compact"/>
              <w:spacing w:after="40"/>
              <w:jc w:val="left"/>
            </w:pPr>
            <w:r>
              <w:rPr>
                <w:sz w:val="18"/>
              </w:rPr>
              <w:t xml:space="preserve">Account, product, dues by component, DPD, class, NPA date (immutable), provision, CRILC flag, WD status, mechanism and stage, recoveries, limitation date</w:t>
            </w:r>
          </w:p>
        </w:tc>
        <w:tc>
          <w:tcPr>
            <w:tcW w:w="4151" w:type="dxa"/>
          </w:tcPr>
          <w:p>
            <w:pPr>
              <w:pStyle w:val="Compact"/>
              <w:spacing w:after="40"/>
              <w:jc w:val="left"/>
            </w:pPr>
            <w:r>
              <w:rPr>
                <w:sz w:val="18"/>
              </w:rPr>
              <w:t xml:space="preserve">Limitation per claim type and article (R1.5), not a flat 3 years from last payment; sub-standard up to 12 months (IRACP)</w:t>
            </w:r>
          </w:p>
        </w:tc>
      </w:tr>
      <w:tr>
        <w:tc>
          <w:tcPr>
            <w:tcW w:w="1769" w:type="dxa"/>
          </w:tcPr>
          <w:p>
            <w:pPr>
              <w:pStyle w:val="Compact"/>
              <w:spacing w:after="40"/>
              <w:jc w:val="left"/>
            </w:pPr>
            <w:r>
              <w:rPr>
                <w:sz w:val="18"/>
              </w:rPr>
              <w:t xml:space="preserve">Legal proceedings</w:t>
            </w:r>
          </w:p>
        </w:tc>
        <w:tc>
          <w:tcPr>
            <w:tcW w:w="3718" w:type="dxa"/>
          </w:tcPr>
          <w:p>
            <w:pPr>
              <w:pStyle w:val="Compact"/>
              <w:spacing w:after="40"/>
              <w:jc w:val="left"/>
            </w:pPr>
            <w:r>
              <w:rPr>
                <w:sz w:val="18"/>
              </w:rPr>
              <w:t xml:space="preserve">Matter, forum, numbers, filing date, counsel, stage, next date, claim, recovery, counter-litigation, deadline watch</w:t>
            </w:r>
          </w:p>
        </w:tc>
        <w:tc>
          <w:tcPr>
            <w:tcW w:w="4151" w:type="dxa"/>
          </w:tcPr>
          <w:p>
            <w:pPr>
              <w:pStyle w:val="Compact"/>
              <w:spacing w:after="40"/>
              <w:jc w:val="left"/>
            </w:pPr>
            <w:r>
              <w:rPr>
                <w:sz w:val="18"/>
              </w:rPr>
              <w:t xml:space="preserve">Adds ADR and defensive matters</w:t>
            </w:r>
          </w:p>
        </w:tc>
      </w:tr>
      <w:tr>
        <w:tc>
          <w:tcPr>
            <w:tcW w:w="1769" w:type="dxa"/>
          </w:tcPr>
          <w:p>
            <w:pPr>
              <w:pStyle w:val="Compact"/>
              <w:spacing w:after="40"/>
              <w:jc w:val="left"/>
            </w:pPr>
            <w:r>
              <w:rPr>
                <w:sz w:val="18"/>
              </w:rPr>
              <w:t xml:space="preserve">Recovery-agent assignment</w:t>
            </w:r>
          </w:p>
        </w:tc>
        <w:tc>
          <w:tcPr>
            <w:tcW w:w="3718" w:type="dxa"/>
          </w:tcPr>
          <w:p>
            <w:pPr>
              <w:pStyle w:val="Compact"/>
              <w:spacing w:after="40"/>
              <w:jc w:val="left"/>
            </w:pPr>
            <w:r>
              <w:rPr>
                <w:sz w:val="18"/>
              </w:rPr>
              <w:t xml:space="preserve">Account, agency, agent, IIBF reference, authorisation, intimation proof, contact log, recording reference, complaints, outcome</w:t>
            </w:r>
          </w:p>
        </w:tc>
        <w:tc>
          <w:tcPr>
            <w:tcW w:w="4151" w:type="dxa"/>
          </w:tcPr>
          <w:p>
            <w:pPr>
              <w:pStyle w:val="Compact"/>
              <w:spacing w:after="40"/>
              <w:jc w:val="left"/>
            </w:pPr>
            <w:r>
              <w:rPr>
                <w:sz w:val="18"/>
              </w:rPr>
              <w:t xml:space="preserve">No RBI</w:t>
            </w:r>
            <w:r>
              <w:rPr>
                <w:sz w:val="18"/>
              </w:rPr>
              <w:t xml:space="preserve"> </w:t>
            </w:r>
            <w:r>
              <w:rPr>
                <w:sz w:val="18"/>
              </w:rPr>
              <w:t xml:space="preserve">“</w:t>
            </w:r>
            <w:r>
              <w:rPr>
                <w:sz w:val="18"/>
              </w:rPr>
              <w:t xml:space="preserve">3 attempts a week</w:t>
            </w:r>
            <w:r>
              <w:rPr>
                <w:sz w:val="18"/>
              </w:rPr>
              <w:t xml:space="preserve">”</w:t>
            </w:r>
            <w:r>
              <w:rPr>
                <w:sz w:val="18"/>
              </w:rPr>
              <w:t xml:space="preserve"> </w:t>
            </w:r>
            <w:r>
              <w:rPr>
                <w:sz w:val="18"/>
              </w:rPr>
              <w:t xml:space="preserve">rule (policy only); recordings at least 6 months or until disposal if sub judice (para 100P)</w:t>
            </w:r>
          </w:p>
        </w:tc>
      </w:tr>
      <w:tr>
        <w:tc>
          <w:tcPr>
            <w:tcW w:w="1769" w:type="dxa"/>
          </w:tcPr>
          <w:p>
            <w:pPr>
              <w:pStyle w:val="Compact"/>
              <w:spacing w:after="40"/>
              <w:jc w:val="left"/>
            </w:pPr>
            <w:r>
              <w:rPr>
                <w:sz w:val="18"/>
              </w:rPr>
              <w:t xml:space="preserve">Grievance and complaint (recovery)</w:t>
            </w:r>
          </w:p>
        </w:tc>
        <w:tc>
          <w:tcPr>
            <w:tcW w:w="3718" w:type="dxa"/>
          </w:tcPr>
          <w:p>
            <w:pPr>
              <w:pStyle w:val="Compact"/>
              <w:spacing w:after="40"/>
              <w:jc w:val="left"/>
            </w:pPr>
            <w:r>
              <w:rPr>
                <w:sz w:val="18"/>
              </w:rPr>
              <w:t xml:space="preserve">Reference, channel, nature, agent named, deadlines, response, outcome</w:t>
            </w:r>
          </w:p>
        </w:tc>
        <w:tc>
          <w:tcPr>
            <w:tcW w:w="4151" w:type="dxa"/>
          </w:tcPr>
          <w:p>
            <w:pPr>
              <w:pStyle w:val="Compact"/>
              <w:spacing w:after="40"/>
              <w:jc w:val="left"/>
            </w:pPr>
            <w:r>
              <w:rPr>
                <w:sz w:val="18"/>
              </w:rPr>
              <w:t xml:space="preserve">Linked to M15 clocks (IO, RB-IOS 2026)</w:t>
            </w:r>
          </w:p>
        </w:tc>
      </w:tr>
      <w:tr>
        <w:tc>
          <w:tcPr>
            <w:tcW w:w="1769" w:type="dxa"/>
          </w:tcPr>
          <w:p>
            <w:pPr>
              <w:pStyle w:val="Compact"/>
              <w:spacing w:after="40"/>
              <w:jc w:val="left"/>
            </w:pPr>
            <w:r>
              <w:rPr>
                <w:sz w:val="18"/>
              </w:rPr>
              <w:t xml:space="preserve">OTS and compromise settlement</w:t>
            </w:r>
          </w:p>
        </w:tc>
        <w:tc>
          <w:tcPr>
            <w:tcW w:w="3718" w:type="dxa"/>
          </w:tcPr>
          <w:p>
            <w:pPr>
              <w:pStyle w:val="Compact"/>
              <w:spacing w:after="40"/>
              <w:jc w:val="left"/>
            </w:pPr>
            <w:r>
              <w:rPr>
                <w:sz w:val="18"/>
              </w:rPr>
              <w:t xml:space="preserve">Dues, settlement amount, sacrifice, approver level, NPV test, fraud or WD flag, schedule, restructuring flag, consent decree, CIC reporting, cooling-period end</w:t>
            </w:r>
          </w:p>
        </w:tc>
        <w:tc>
          <w:tcPr>
            <w:tcW w:w="4151" w:type="dxa"/>
          </w:tcPr>
          <w:p>
            <w:pPr>
              <w:pStyle w:val="Compact"/>
              <w:spacing w:after="40"/>
              <w:jc w:val="left"/>
            </w:pPr>
            <w:r>
              <w:rPr>
                <w:sz w:val="18"/>
              </w:rPr>
              <w:t xml:space="preserve">RSA paras 16, 89–100 replace the</w:t>
            </w:r>
            <w:r>
              <w:rPr>
                <w:sz w:val="18"/>
              </w:rPr>
              <w:t xml:space="preserve"> </w:t>
            </w:r>
            <w:r>
              <w:rPr>
                <w:sz w:val="18"/>
              </w:rPr>
              <w:t xml:space="preserve">“</w:t>
            </w:r>
            <w:r>
              <w:rPr>
                <w:sz w:val="18"/>
              </w:rPr>
              <w:t xml:space="preserve">June 2023 framework</w:t>
            </w:r>
            <w:r>
              <w:rPr>
                <w:sz w:val="18"/>
              </w:rPr>
              <w:t xml:space="preserve">”</w:t>
            </w:r>
            <w:r>
              <w:rPr>
                <w:sz w:val="18"/>
              </w:rPr>
              <w:t xml:space="preserve">; 12-month minimum cooling period for every settlement (para 95), not</w:t>
            </w:r>
            <w:r>
              <w:rPr>
                <w:sz w:val="18"/>
              </w:rPr>
              <w:t xml:space="preserve"> </w:t>
            </w:r>
            <w:r>
              <w:rPr>
                <w:sz w:val="18"/>
              </w:rPr>
              <w:t xml:space="preserve">“</w:t>
            </w:r>
            <w:r>
              <w:rPr>
                <w:sz w:val="18"/>
              </w:rPr>
              <w:t xml:space="preserve">5 years for WD</w:t>
            </w:r>
            <w:r>
              <w:rPr>
                <w:sz w:val="18"/>
              </w:rPr>
              <w:t xml:space="preserve">”</w:t>
            </w:r>
            <w:r>
              <w:rPr>
                <w:sz w:val="18"/>
              </w:rPr>
              <w:t xml:space="preserve">; WD name stays on the LWD until full payment (WD para 13)</w:t>
            </w:r>
          </w:p>
        </w:tc>
      </w:tr>
      <w:tr>
        <w:tc>
          <w:tcPr>
            <w:tcW w:w="1769" w:type="dxa"/>
          </w:tcPr>
          <w:p>
            <w:pPr>
              <w:pStyle w:val="Compact"/>
              <w:spacing w:after="40"/>
              <w:jc w:val="left"/>
            </w:pPr>
            <w:r>
              <w:rPr>
                <w:sz w:val="18"/>
              </w:rPr>
              <w:t xml:space="preserve">Technical write-off</w:t>
            </w:r>
          </w:p>
        </w:tc>
        <w:tc>
          <w:tcPr>
            <w:tcW w:w="3718" w:type="dxa"/>
          </w:tcPr>
          <w:p>
            <w:pPr>
              <w:pStyle w:val="Compact"/>
              <w:spacing w:after="40"/>
              <w:jc w:val="left"/>
            </w:pPr>
            <w:r>
              <w:rPr>
                <w:sz w:val="18"/>
              </w:rPr>
              <w:t xml:space="preserve">Original exposure, amount written off, continuing enforcement, recoveries</w:t>
            </w:r>
          </w:p>
        </w:tc>
        <w:tc>
          <w:tcPr>
            <w:tcW w:w="4151" w:type="dxa"/>
          </w:tcPr>
          <w:p>
            <w:pPr>
              <w:pStyle w:val="Compact"/>
              <w:spacing w:after="40"/>
              <w:jc w:val="left"/>
            </w:pPr>
            <w:r>
              <w:rPr>
                <w:sz w:val="18"/>
              </w:rPr>
              <w:t xml:space="preserve">Claim retained (RSA para 91); quarterly recovery reporting (para 94)</w:t>
            </w:r>
          </w:p>
        </w:tc>
      </w:tr>
      <w:tr>
        <w:tc>
          <w:tcPr>
            <w:tcW w:w="1769" w:type="dxa"/>
          </w:tcPr>
          <w:p>
            <w:pPr>
              <w:pStyle w:val="Compact"/>
              <w:spacing w:after="40"/>
              <w:jc w:val="left"/>
            </w:pPr>
            <w:r>
              <w:rPr>
                <w:sz w:val="18"/>
              </w:rPr>
              <w:t xml:space="preserve">CGTMSE claim</w:t>
            </w:r>
          </w:p>
        </w:tc>
        <w:tc>
          <w:tcPr>
            <w:tcW w:w="3718" w:type="dxa"/>
          </w:tcPr>
          <w:p>
            <w:pPr>
              <w:pStyle w:val="Compact"/>
              <w:spacing w:after="40"/>
              <w:jc w:val="left"/>
            </w:pPr>
            <w:r>
              <w:rPr>
                <w:sz w:val="18"/>
              </w:rPr>
              <w:t xml:space="preserve">Scheme, guarantee cover, NPA date, lock-in end (18 months), legal-action date, claim lodged, first instalment (75% of eligible amount), recoveries remitted</w:t>
            </w:r>
          </w:p>
        </w:tc>
        <w:tc>
          <w:tcPr>
            <w:tcW w:w="4151" w:type="dxa"/>
          </w:tcPr>
          <w:p>
            <w:pPr>
              <w:pStyle w:val="Compact"/>
              <w:spacing w:after="40"/>
              <w:jc w:val="left"/>
            </w:pPr>
            <w:r>
              <w:rPr>
                <w:sz w:val="18"/>
              </w:rPr>
              <w:t xml:space="preserve">Replaces the</w:t>
            </w:r>
            <w:r>
              <w:rPr>
                <w:sz w:val="18"/>
              </w:rPr>
              <w:t xml:space="preserve"> </w:t>
            </w:r>
            <w:r>
              <w:rPr>
                <w:sz w:val="18"/>
              </w:rPr>
              <w:t xml:space="preserve">“</w:t>
            </w:r>
            <w:r>
              <w:rPr>
                <w:sz w:val="18"/>
              </w:rPr>
              <w:t xml:space="preserve">12 months from NPA</w:t>
            </w:r>
            <w:r>
              <w:rPr>
                <w:sz w:val="18"/>
              </w:rPr>
              <w:t xml:space="preserve">”</w:t>
            </w:r>
            <w:r>
              <w:rPr>
                <w:sz w:val="18"/>
              </w:rPr>
              <w:t xml:space="preserve"> </w:t>
            </w:r>
            <w:r>
              <w:rPr>
                <w:sz w:val="18"/>
              </w:rPr>
              <w:t xml:space="preserve">deadline [VERIFY: current claim-lodgement deadline and ₹10 crore ceiling]</w:t>
            </w:r>
          </w:p>
        </w:tc>
      </w:tr>
      <w:tr>
        <w:tc>
          <w:tcPr>
            <w:tcW w:w="1769" w:type="dxa"/>
          </w:tcPr>
          <w:p>
            <w:pPr>
              <w:pStyle w:val="Compact"/>
              <w:spacing w:after="40"/>
              <w:jc w:val="left"/>
            </w:pPr>
            <w:r>
              <w:rPr>
                <w:sz w:val="18"/>
              </w:rPr>
              <w:t xml:space="preserve">SARFAESI possessed assets (website)</w:t>
            </w:r>
          </w:p>
        </w:tc>
        <w:tc>
          <w:tcPr>
            <w:tcW w:w="3718" w:type="dxa"/>
          </w:tcPr>
          <w:p>
            <w:pPr>
              <w:pStyle w:val="Compact"/>
              <w:spacing w:after="40"/>
              <w:jc w:val="left"/>
            </w:pPr>
            <w:r>
              <w:rPr>
                <w:sz w:val="18"/>
              </w:rPr>
              <w:t xml:space="preserve">Annex IV columns; possession date on or after 25 Sep 2023; symbolic and physical</w:t>
            </w:r>
          </w:p>
        </w:tc>
        <w:tc>
          <w:tcPr>
            <w:tcW w:w="4151" w:type="dxa"/>
          </w:tcPr>
          <w:p>
            <w:pPr>
              <w:pStyle w:val="Compact"/>
              <w:spacing w:after="40"/>
              <w:jc w:val="left"/>
            </w:pPr>
            <w:r>
              <w:rPr>
                <w:sz w:val="18"/>
              </w:rPr>
              <w:t xml:space="preserve">Monthly update; removal on sale or full settlement (CIR para 21)</w:t>
            </w:r>
          </w:p>
        </w:tc>
      </w:tr>
      <w:tr>
        <w:tc>
          <w:tcPr>
            <w:tcW w:w="1769" w:type="dxa"/>
          </w:tcPr>
          <w:p>
            <w:pPr>
              <w:pStyle w:val="Compact"/>
              <w:spacing w:after="40"/>
              <w:jc w:val="left"/>
            </w:pPr>
            <w:r>
              <w:rPr>
                <w:sz w:val="18"/>
              </w:rPr>
              <w:t xml:space="preserve">Notices outward and proof of service</w:t>
            </w:r>
          </w:p>
        </w:tc>
        <w:tc>
          <w:tcPr>
            <w:tcW w:w="3718" w:type="dxa"/>
          </w:tcPr>
          <w:p>
            <w:pPr>
              <w:pStyle w:val="Compact"/>
              <w:spacing w:after="40"/>
              <w:jc w:val="left"/>
            </w:pPr>
            <w:r>
              <w:rPr>
                <w:sz w:val="18"/>
              </w:rPr>
              <w:t xml:space="preserve">Per R3.5</w:t>
            </w:r>
          </w:p>
        </w:tc>
        <w:tc>
          <w:tcPr>
            <w:tcW w:w="4151" w:type="dxa"/>
          </w:tcPr>
          <w:p>
            <w:pPr>
              <w:pStyle w:val="Compact"/>
              <w:spacing w:after="40"/>
              <w:jc w:val="left"/>
            </w:pPr>
            <w:r>
              <w:rPr>
                <w:sz w:val="18"/>
              </w:rPr>
              <w:t xml:space="preserve">—</w:t>
            </w:r>
          </w:p>
        </w:tc>
      </w:tr>
      <w:tr>
        <w:tc>
          <w:tcPr>
            <w:tcW w:w="1769" w:type="dxa"/>
          </w:tcPr>
          <w:p>
            <w:pPr>
              <w:pStyle w:val="Compact"/>
              <w:spacing w:after="40"/>
              <w:jc w:val="left"/>
            </w:pPr>
            <w:r>
              <w:rPr>
                <w:sz w:val="18"/>
              </w:rPr>
              <w:t xml:space="preserve">s.138 and s.25 instruments</w:t>
            </w:r>
          </w:p>
        </w:tc>
        <w:tc>
          <w:tcPr>
            <w:tcW w:w="3718" w:type="dxa"/>
          </w:tcPr>
          <w:p>
            <w:pPr>
              <w:pStyle w:val="Compact"/>
              <w:spacing w:after="40"/>
              <w:jc w:val="left"/>
            </w:pPr>
            <w:r>
              <w:rPr>
                <w:sz w:val="18"/>
              </w:rPr>
              <w:t xml:space="preserve">Instrument, return memo, notice, service, complaint, stage</w:t>
            </w:r>
          </w:p>
        </w:tc>
        <w:tc>
          <w:tcPr>
            <w:tcW w:w="4151" w:type="dxa"/>
          </w:tcPr>
          <w:p>
            <w:pPr>
              <w:pStyle w:val="Compact"/>
              <w:spacing w:after="40"/>
              <w:jc w:val="left"/>
            </w:pPr>
            <w:r>
              <w:rPr>
                <w:sz w:val="18"/>
              </w:rPr>
              <w:t xml:space="preserve">—</w:t>
            </w:r>
          </w:p>
        </w:tc>
      </w:tr>
      <w:tr>
        <w:tc>
          <w:tcPr>
            <w:tcW w:w="1769" w:type="dxa"/>
          </w:tcPr>
          <w:p>
            <w:pPr>
              <w:pStyle w:val="Compact"/>
              <w:spacing w:after="40"/>
              <w:jc w:val="left"/>
            </w:pPr>
            <w:r>
              <w:rPr>
                <w:sz w:val="18"/>
              </w:rPr>
              <w:t xml:space="preserve">Auction and sale</w:t>
            </w:r>
          </w:p>
        </w:tc>
        <w:tc>
          <w:tcPr>
            <w:tcW w:w="3718" w:type="dxa"/>
          </w:tcPr>
          <w:p>
            <w:pPr>
              <w:pStyle w:val="Compact"/>
              <w:spacing w:after="40"/>
              <w:jc w:val="left"/>
            </w:pPr>
            <w:r>
              <w:rPr>
                <w:sz w:val="18"/>
              </w:rPr>
              <w:t xml:space="preserve">Asset, valuation, reserve, notices, bids, deposits, confirmation, certificate, surplus or shortfall</w:t>
            </w:r>
          </w:p>
        </w:tc>
        <w:tc>
          <w:tcPr>
            <w:tcW w:w="4151" w:type="dxa"/>
          </w:tcPr>
          <w:p>
            <w:pPr>
              <w:pStyle w:val="Compact"/>
              <w:spacing w:after="40"/>
              <w:jc w:val="left"/>
            </w:pPr>
            <w:r>
              <w:rPr>
                <w:sz w:val="18"/>
              </w:rPr>
              <w:t xml:space="preserve">Rule 9 deposit and balance deadlines</w:t>
            </w:r>
          </w:p>
        </w:tc>
      </w:tr>
      <w:tr>
        <w:tc>
          <w:tcPr>
            <w:tcW w:w="1769" w:type="dxa"/>
          </w:tcPr>
          <w:p>
            <w:pPr>
              <w:pStyle w:val="Compact"/>
              <w:spacing w:after="40"/>
              <w:jc w:val="left"/>
            </w:pPr>
            <w:r>
              <w:rPr>
                <w:sz w:val="18"/>
              </w:rPr>
              <w:t xml:space="preserve">Surplus refund</w:t>
            </w:r>
          </w:p>
        </w:tc>
        <w:tc>
          <w:tcPr>
            <w:tcW w:w="3718" w:type="dxa"/>
          </w:tcPr>
          <w:p>
            <w:pPr>
              <w:pStyle w:val="Compact"/>
              <w:spacing w:after="40"/>
              <w:jc w:val="left"/>
            </w:pPr>
            <w:r>
              <w:rPr>
                <w:sz w:val="18"/>
              </w:rPr>
              <w:t xml:space="preserve">Surplus amount, entitled persons, CERSAI check, paid date</w:t>
            </w:r>
          </w:p>
        </w:tc>
        <w:tc>
          <w:tcPr>
            <w:tcW w:w="4151" w:type="dxa"/>
          </w:tcPr>
          <w:p>
            <w:pPr>
              <w:pStyle w:val="Compact"/>
              <w:spacing w:after="40"/>
              <w:jc w:val="left"/>
            </w:pPr>
            <w:r>
              <w:rPr>
                <w:sz w:val="18"/>
              </w:rPr>
              <w:t xml:space="preserve">Gold surplus within 7 working days (RBC para 66)</w:t>
            </w:r>
          </w:p>
        </w:tc>
      </w:tr>
      <w:tr>
        <w:tc>
          <w:tcPr>
            <w:tcW w:w="1769" w:type="dxa"/>
          </w:tcPr>
          <w:p>
            <w:pPr>
              <w:pStyle w:val="Compact"/>
              <w:spacing w:after="40"/>
              <w:jc w:val="left"/>
            </w:pPr>
            <w:r>
              <w:rPr>
                <w:sz w:val="18"/>
              </w:rPr>
              <w:t xml:space="preserve">Wilful defaulter and large defaulter</w:t>
            </w:r>
          </w:p>
        </w:tc>
        <w:tc>
          <w:tcPr>
            <w:tcW w:w="3718" w:type="dxa"/>
          </w:tcPr>
          <w:p>
            <w:pPr>
              <w:pStyle w:val="Compact"/>
              <w:spacing w:after="40"/>
              <w:jc w:val="left"/>
            </w:pPr>
            <w:r>
              <w:rPr>
                <w:sz w:val="18"/>
              </w:rPr>
              <w:t xml:space="preserve">Cases, committees, notices, orders, Annex I and II submissions</w:t>
            </w:r>
          </w:p>
        </w:tc>
        <w:tc>
          <w:tcPr>
            <w:tcW w:w="4151" w:type="dxa"/>
          </w:tcPr>
          <w:p>
            <w:pPr>
              <w:pStyle w:val="Compact"/>
              <w:spacing w:after="40"/>
              <w:jc w:val="left"/>
            </w:pPr>
            <w:r>
              <w:rPr>
                <w:sz w:val="18"/>
              </w:rPr>
              <w:t xml:space="preserve">WD paras 5–6, 11–12</w:t>
            </w:r>
          </w:p>
        </w:tc>
      </w:tr>
      <w:tr>
        <w:tc>
          <w:tcPr>
            <w:tcW w:w="1769" w:type="dxa"/>
          </w:tcPr>
          <w:p>
            <w:pPr>
              <w:pStyle w:val="Compact"/>
              <w:spacing w:after="40"/>
              <w:jc w:val="left"/>
            </w:pPr>
            <w:r>
              <w:rPr>
                <w:sz w:val="18"/>
              </w:rPr>
              <w:t xml:space="preserve">Fraud</w:t>
            </w:r>
          </w:p>
        </w:tc>
        <w:tc>
          <w:tcPr>
            <w:tcW w:w="3718" w:type="dxa"/>
          </w:tcPr>
          <w:p>
            <w:pPr>
              <w:pStyle w:val="Compact"/>
              <w:spacing w:after="40"/>
              <w:jc w:val="left"/>
            </w:pPr>
            <w:r>
              <w:rPr>
                <w:sz w:val="18"/>
              </w:rPr>
              <w:t xml:space="preserve">Dates of occurrence, detection and classification; SCN; FMR; LEA report; debarment clock</w:t>
            </w:r>
          </w:p>
        </w:tc>
        <w:tc>
          <w:tcPr>
            <w:tcW w:w="4151" w:type="dxa"/>
          </w:tcPr>
          <w:p>
            <w:pPr>
              <w:pStyle w:val="Compact"/>
              <w:spacing w:after="40"/>
              <w:jc w:val="left"/>
            </w:pPr>
            <w:r>
              <w:rPr>
                <w:sz w:val="18"/>
              </w:rPr>
              <w:t xml:space="preserve">FRM paras 4, 6, 35, 40, 43</w:t>
            </w:r>
          </w:p>
        </w:tc>
      </w:tr>
      <w:tr>
        <w:tc>
          <w:tcPr>
            <w:tcW w:w="1769" w:type="dxa"/>
          </w:tcPr>
          <w:p>
            <w:pPr>
              <w:pStyle w:val="Compact"/>
              <w:spacing w:after="40"/>
              <w:jc w:val="left"/>
            </w:pPr>
            <w:r>
              <w:rPr>
                <w:sz w:val="18"/>
              </w:rPr>
              <w:t xml:space="preserve">ADR</w:t>
            </w:r>
          </w:p>
        </w:tc>
        <w:tc>
          <w:tcPr>
            <w:tcW w:w="3718" w:type="dxa"/>
          </w:tcPr>
          <w:p>
            <w:pPr>
              <w:pStyle w:val="Compact"/>
              <w:spacing w:after="40"/>
              <w:jc w:val="left"/>
            </w:pPr>
            <w:r>
              <w:rPr>
                <w:sz w:val="18"/>
              </w:rPr>
              <w:t xml:space="preserve">Referral basis (clause or consent), provider, neutral, stages, outcome, compliance</w:t>
            </w:r>
          </w:p>
        </w:tc>
        <w:tc>
          <w:tcPr>
            <w:tcW w:w="4151" w:type="dxa"/>
          </w:tcPr>
          <w:p>
            <w:pPr>
              <w:pStyle w:val="Compact"/>
              <w:spacing w:after="40"/>
              <w:jc w:val="left"/>
            </w:pPr>
            <w:r>
              <w:rPr>
                <w:sz w:val="18"/>
              </w:rPr>
              <w:t xml:space="preserve">—</w:t>
            </w:r>
          </w:p>
        </w:tc>
      </w:tr>
      <w:tr>
        <w:tc>
          <w:tcPr>
            <w:tcW w:w="1769" w:type="dxa"/>
          </w:tcPr>
          <w:p>
            <w:pPr>
              <w:pStyle w:val="Compact"/>
              <w:spacing w:after="40"/>
              <w:jc w:val="left"/>
            </w:pPr>
            <w:r>
              <w:rPr>
                <w:sz w:val="18"/>
              </w:rPr>
              <w:t xml:space="preserve">Legal hold</w:t>
            </w:r>
          </w:p>
        </w:tc>
        <w:tc>
          <w:tcPr>
            <w:tcW w:w="3718" w:type="dxa"/>
          </w:tcPr>
          <w:p>
            <w:pPr>
              <w:pStyle w:val="Compact"/>
              <w:spacing w:after="40"/>
              <w:jc w:val="left"/>
            </w:pPr>
            <w:r>
              <w:rPr>
                <w:sz w:val="18"/>
              </w:rPr>
              <w:t xml:space="preserve">Scope, reason, owner, release</w:t>
            </w:r>
          </w:p>
        </w:tc>
        <w:tc>
          <w:tcPr>
            <w:tcW w:w="4151" w:type="dxa"/>
          </w:tcPr>
          <w:p>
            <w:pPr>
              <w:pStyle w:val="Compact"/>
              <w:spacing w:after="40"/>
              <w:jc w:val="left"/>
            </w:pPr>
            <w:r>
              <w:rPr>
                <w:sz w:val="18"/>
              </w:rPr>
              <w:t xml:space="preserve">—</w:t>
            </w:r>
          </w:p>
        </w:tc>
      </w:tr>
      <w:tr>
        <w:tc>
          <w:tcPr>
            <w:tcW w:w="1769" w:type="dxa"/>
          </w:tcPr>
          <w:p>
            <w:pPr>
              <w:pStyle w:val="Compact"/>
              <w:spacing w:after="40"/>
              <w:jc w:val="left"/>
            </w:pPr>
            <w:r>
              <w:rPr>
                <w:sz w:val="18"/>
              </w:rPr>
              <w:t xml:space="preserve">DLG recovery share</w:t>
            </w:r>
          </w:p>
        </w:tc>
        <w:tc>
          <w:tcPr>
            <w:tcW w:w="3718" w:type="dxa"/>
          </w:tcPr>
          <w:p>
            <w:pPr>
              <w:pStyle w:val="Compact"/>
              <w:spacing w:after="40"/>
              <w:jc w:val="left"/>
            </w:pPr>
            <w:r>
              <w:rPr>
                <w:sz w:val="18"/>
              </w:rPr>
              <w:t xml:space="preserve">Invocation, post-invocation recoveries, shares</w:t>
            </w:r>
          </w:p>
        </w:tc>
        <w:tc>
          <w:tcPr>
            <w:tcW w:w="4151" w:type="dxa"/>
          </w:tcPr>
          <w:p>
            <w:pPr>
              <w:pStyle w:val="Compact"/>
              <w:spacing w:after="40"/>
              <w:jc w:val="left"/>
            </w:pPr>
            <w:r>
              <w:rPr>
                <w:sz w:val="18"/>
              </w:rPr>
              <w:t xml:space="preserve">Never credited to the loan (CF para 25(2))</w:t>
            </w:r>
          </w:p>
        </w:tc>
      </w:tr>
    </w:tbl>
    <w:bookmarkEnd w:id="200"/>
    <w:bookmarkStart w:id="201" w:name="Xe020bd12660b57689a8ef54c9e02bb89268cdac"/>
    <w:p>
      <w:pPr>
        <w:pStyle w:val="Heading3"/>
      </w:pPr>
      <w:r>
        <w:t xml:space="preserve">R14.2 KPIs (definitions fixed; targets set by the tenant — Udolex targets are indicative only)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158"/>
        <w:gridCol w:w="6480"/>
      </w:tblGrid>
      <w:tr>
        <w:trPr>
          <w:tblHeader w:val="true"/>
          <w:tblHeader w:val="true"/>
        </w:trPr>
        <w:tc>
          <w:tcPr>
            <w:tcW w:w="3158" w:type="dxa"/>
            <w:shd w:val="clear" w:color="auto" w:fill="1F3A5F"/>
          </w:tcPr>
          <w:p>
            <w:pPr>
              <w:pStyle w:val="Compact"/>
              <w:spacing w:after="40"/>
              <w:jc w:val="left"/>
            </w:pPr>
            <w:r>
              <w:rPr>
                <w:b/>
                <w:color w:val="FFFFFF"/>
                <w:sz w:val="18"/>
              </w:rPr>
              <w:t xml:space="preserve">KPI</w:t>
            </w:r>
          </w:p>
        </w:tc>
        <w:tc>
          <w:tcPr>
            <w:tcW w:w="6480" w:type="dxa"/>
            <w:shd w:val="clear" w:color="auto" w:fill="1F3A5F"/>
          </w:tcPr>
          <w:p>
            <w:pPr>
              <w:pStyle w:val="Compact"/>
              <w:spacing w:after="40"/>
              <w:jc w:val="left"/>
            </w:pPr>
            <w:r>
              <w:rPr>
                <w:b/>
                <w:color w:val="FFFFFF"/>
                <w:sz w:val="18"/>
              </w:rPr>
              <w:t xml:space="preserve">Formula</w:t>
            </w:r>
          </w:p>
        </w:tc>
      </w:tr>
      <w:tr>
        <w:tc>
          <w:tcPr>
            <w:tcW w:w="3158" w:type="dxa"/>
          </w:tcPr>
          <w:p>
            <w:pPr>
              <w:pStyle w:val="Compact"/>
              <w:spacing w:after="40"/>
              <w:jc w:val="left"/>
            </w:pPr>
            <w:r>
              <w:rPr>
                <w:sz w:val="18"/>
              </w:rPr>
              <w:t xml:space="preserve">Roll rate</w:t>
            </w:r>
          </w:p>
        </w:tc>
        <w:tc>
          <w:tcPr>
            <w:tcW w:w="6480" w:type="dxa"/>
          </w:tcPr>
          <w:p>
            <w:pPr>
              <w:pStyle w:val="Compact"/>
              <w:spacing w:after="40"/>
              <w:jc w:val="left"/>
            </w:pPr>
            <w:r>
              <w:rPr>
                <w:sz w:val="18"/>
              </w:rPr>
              <w:t xml:space="preserve">Accounts moving to the next bucket ÷ accounts in the bucket at period start</w:t>
            </w:r>
          </w:p>
        </w:tc>
      </w:tr>
      <w:tr>
        <w:tc>
          <w:tcPr>
            <w:tcW w:w="3158" w:type="dxa"/>
          </w:tcPr>
          <w:p>
            <w:pPr>
              <w:pStyle w:val="Compact"/>
              <w:spacing w:after="40"/>
              <w:jc w:val="left"/>
            </w:pPr>
            <w:r>
              <w:rPr>
                <w:sz w:val="18"/>
              </w:rPr>
              <w:t xml:space="preserve">Cure rate</w:t>
            </w:r>
          </w:p>
        </w:tc>
        <w:tc>
          <w:tcPr>
            <w:tcW w:w="6480" w:type="dxa"/>
          </w:tcPr>
          <w:p>
            <w:pPr>
              <w:pStyle w:val="Compact"/>
              <w:spacing w:after="40"/>
              <w:jc w:val="left"/>
            </w:pPr>
            <w:r>
              <w:rPr>
                <w:sz w:val="18"/>
              </w:rPr>
              <w:t xml:space="preserve">Accounts returning to 0 DPD ÷ accounts in the bucket</w:t>
            </w:r>
          </w:p>
        </w:tc>
      </w:tr>
      <w:tr>
        <w:tc>
          <w:tcPr>
            <w:tcW w:w="3158" w:type="dxa"/>
          </w:tcPr>
          <w:p>
            <w:pPr>
              <w:pStyle w:val="Compact"/>
              <w:spacing w:after="40"/>
              <w:jc w:val="left"/>
            </w:pPr>
            <w:r>
              <w:rPr>
                <w:sz w:val="18"/>
              </w:rPr>
              <w:t xml:space="preserve">NPA slippage</w:t>
            </w:r>
          </w:p>
        </w:tc>
        <w:tc>
          <w:tcPr>
            <w:tcW w:w="6480" w:type="dxa"/>
          </w:tcPr>
          <w:p>
            <w:pPr>
              <w:pStyle w:val="Compact"/>
              <w:spacing w:after="40"/>
              <w:jc w:val="left"/>
            </w:pPr>
            <w:r>
              <w:rPr>
                <w:sz w:val="18"/>
              </w:rPr>
              <w:t xml:space="preserve">New NPAs ÷ standard book at period start</w:t>
            </w:r>
          </w:p>
        </w:tc>
      </w:tr>
      <w:tr>
        <w:tc>
          <w:tcPr>
            <w:tcW w:w="3158" w:type="dxa"/>
          </w:tcPr>
          <w:p>
            <w:pPr>
              <w:pStyle w:val="Compact"/>
              <w:spacing w:after="40"/>
              <w:jc w:val="left"/>
            </w:pPr>
            <w:r>
              <w:rPr>
                <w:sz w:val="18"/>
              </w:rPr>
              <w:t xml:space="preserve">Recovery rate</w:t>
            </w:r>
          </w:p>
        </w:tc>
        <w:tc>
          <w:tcPr>
            <w:tcW w:w="6480" w:type="dxa"/>
          </w:tcPr>
          <w:p>
            <w:pPr>
              <w:pStyle w:val="Compact"/>
              <w:spacing w:after="40"/>
              <w:jc w:val="left"/>
            </w:pPr>
            <w:r>
              <w:rPr>
                <w:sz w:val="18"/>
              </w:rPr>
              <w:t xml:space="preserve">Amount recovered ÷ outstanding at case opening, by mechanism, product, vintage and bucket</w:t>
            </w:r>
          </w:p>
        </w:tc>
      </w:tr>
      <w:tr>
        <w:tc>
          <w:tcPr>
            <w:tcW w:w="3158" w:type="dxa"/>
          </w:tcPr>
          <w:p>
            <w:pPr>
              <w:pStyle w:val="Compact"/>
              <w:spacing w:after="40"/>
              <w:jc w:val="left"/>
            </w:pPr>
            <w:r>
              <w:rPr>
                <w:sz w:val="18"/>
              </w:rPr>
              <w:t xml:space="preserve">Cost to recover</w:t>
            </w:r>
          </w:p>
        </w:tc>
        <w:tc>
          <w:tcPr>
            <w:tcW w:w="6480" w:type="dxa"/>
          </w:tcPr>
          <w:p>
            <w:pPr>
              <w:pStyle w:val="Compact"/>
              <w:spacing w:after="40"/>
              <w:jc w:val="left"/>
            </w:pPr>
            <w:r>
              <w:rPr>
                <w:sz w:val="18"/>
              </w:rPr>
              <w:t xml:space="preserve">Total recovery cost (legal, agency, valuation, publication, internal allocation) ÷ amount recovered</w:t>
            </w:r>
          </w:p>
        </w:tc>
      </w:tr>
      <w:tr>
        <w:tc>
          <w:tcPr>
            <w:tcW w:w="3158" w:type="dxa"/>
          </w:tcPr>
          <w:p>
            <w:pPr>
              <w:pStyle w:val="Compact"/>
              <w:spacing w:after="40"/>
              <w:jc w:val="left"/>
            </w:pPr>
            <w:r>
              <w:rPr>
                <w:sz w:val="18"/>
              </w:rPr>
              <w:t xml:space="preserve">Time to recover</w:t>
            </w:r>
          </w:p>
        </w:tc>
        <w:tc>
          <w:tcPr>
            <w:tcW w:w="6480" w:type="dxa"/>
          </w:tcPr>
          <w:p>
            <w:pPr>
              <w:pStyle w:val="Compact"/>
              <w:spacing w:after="40"/>
              <w:jc w:val="left"/>
            </w:pPr>
            <w:r>
              <w:rPr>
                <w:sz w:val="18"/>
              </w:rPr>
              <w:t xml:space="preserve">Days from case opening (or NPA) to resolution, by mechanism and forum</w:t>
            </w:r>
          </w:p>
        </w:tc>
      </w:tr>
      <w:tr>
        <w:tc>
          <w:tcPr>
            <w:tcW w:w="3158" w:type="dxa"/>
          </w:tcPr>
          <w:p>
            <w:pPr>
              <w:pStyle w:val="Compact"/>
              <w:spacing w:after="40"/>
              <w:jc w:val="left"/>
            </w:pPr>
            <w:r>
              <w:rPr>
                <w:sz w:val="18"/>
              </w:rPr>
              <w:t xml:space="preserve">Case ageing</w:t>
            </w:r>
          </w:p>
        </w:tc>
        <w:tc>
          <w:tcPr>
            <w:tcW w:w="6480" w:type="dxa"/>
          </w:tcPr>
          <w:p>
            <w:pPr>
              <w:pStyle w:val="Compact"/>
              <w:spacing w:after="40"/>
              <w:jc w:val="left"/>
            </w:pPr>
            <w:r>
              <w:rPr>
                <w:sz w:val="18"/>
              </w:rPr>
              <w:t xml:space="preserve">Open cases by days since opening and since last action</w:t>
            </w:r>
          </w:p>
        </w:tc>
      </w:tr>
      <w:tr>
        <w:tc>
          <w:tcPr>
            <w:tcW w:w="3158" w:type="dxa"/>
          </w:tcPr>
          <w:p>
            <w:pPr>
              <w:pStyle w:val="Compact"/>
              <w:spacing w:after="40"/>
              <w:jc w:val="left"/>
            </w:pPr>
            <w:r>
              <w:rPr>
                <w:sz w:val="18"/>
              </w:rPr>
              <w:t xml:space="preserve">PTP kept rate</w:t>
            </w:r>
          </w:p>
        </w:tc>
        <w:tc>
          <w:tcPr>
            <w:tcW w:w="6480" w:type="dxa"/>
          </w:tcPr>
          <w:p>
            <w:pPr>
              <w:pStyle w:val="Compact"/>
              <w:spacing w:after="40"/>
              <w:jc w:val="left"/>
            </w:pPr>
            <w:r>
              <w:rPr>
                <w:sz w:val="18"/>
              </w:rPr>
              <w:t xml:space="preserve">PTPs honoured ÷ PTPs taken</w:t>
            </w:r>
          </w:p>
        </w:tc>
      </w:tr>
      <w:tr>
        <w:tc>
          <w:tcPr>
            <w:tcW w:w="3158" w:type="dxa"/>
          </w:tcPr>
          <w:p>
            <w:pPr>
              <w:pStyle w:val="Compact"/>
              <w:spacing w:after="40"/>
              <w:jc w:val="left"/>
            </w:pPr>
            <w:r>
              <w:rPr>
                <w:sz w:val="18"/>
              </w:rPr>
              <w:t xml:space="preserve">Right-party contact rate</w:t>
            </w:r>
          </w:p>
        </w:tc>
        <w:tc>
          <w:tcPr>
            <w:tcW w:w="6480" w:type="dxa"/>
          </w:tcPr>
          <w:p>
            <w:pPr>
              <w:pStyle w:val="Compact"/>
              <w:spacing w:after="40"/>
              <w:jc w:val="left"/>
            </w:pPr>
            <w:r>
              <w:rPr>
                <w:sz w:val="18"/>
              </w:rPr>
              <w:t xml:space="preserve">Contacts reaching the borrower ÷ attempts</w:t>
            </w:r>
          </w:p>
        </w:tc>
      </w:tr>
      <w:tr>
        <w:tc>
          <w:tcPr>
            <w:tcW w:w="3158" w:type="dxa"/>
          </w:tcPr>
          <w:p>
            <w:pPr>
              <w:pStyle w:val="Compact"/>
              <w:spacing w:after="40"/>
              <w:jc w:val="left"/>
            </w:pPr>
            <w:r>
              <w:rPr>
                <w:sz w:val="18"/>
              </w:rPr>
              <w:t xml:space="preserve">Legal success rate</w:t>
            </w:r>
          </w:p>
        </w:tc>
        <w:tc>
          <w:tcPr>
            <w:tcW w:w="6480" w:type="dxa"/>
          </w:tcPr>
          <w:p>
            <w:pPr>
              <w:pStyle w:val="Compact"/>
              <w:spacing w:after="40"/>
              <w:jc w:val="left"/>
            </w:pPr>
            <w:r>
              <w:rPr>
                <w:sz w:val="18"/>
              </w:rPr>
              <w:t xml:space="preserve">Favourable outcomes ÷ disposed matters, by forum</w:t>
            </w:r>
          </w:p>
        </w:tc>
      </w:tr>
      <w:tr>
        <w:tc>
          <w:tcPr>
            <w:tcW w:w="3158" w:type="dxa"/>
          </w:tcPr>
          <w:p>
            <w:pPr>
              <w:pStyle w:val="Compact"/>
              <w:spacing w:after="40"/>
              <w:jc w:val="left"/>
            </w:pPr>
            <w:r>
              <w:rPr>
                <w:sz w:val="18"/>
              </w:rPr>
              <w:t xml:space="preserve">ADR outcome rates</w:t>
            </w:r>
          </w:p>
        </w:tc>
        <w:tc>
          <w:tcPr>
            <w:tcW w:w="6480" w:type="dxa"/>
          </w:tcPr>
          <w:p>
            <w:pPr>
              <w:pStyle w:val="Compact"/>
              <w:spacing w:after="40"/>
              <w:jc w:val="left"/>
            </w:pPr>
            <w:r>
              <w:rPr>
                <w:sz w:val="18"/>
              </w:rPr>
              <w:t xml:space="preserve">Settled, awarded, set aside, enforced</w:t>
            </w:r>
          </w:p>
        </w:tc>
      </w:tr>
      <w:tr>
        <w:tc>
          <w:tcPr>
            <w:tcW w:w="3158" w:type="dxa"/>
          </w:tcPr>
          <w:p>
            <w:pPr>
              <w:pStyle w:val="Compact"/>
              <w:spacing w:after="40"/>
              <w:jc w:val="left"/>
            </w:pPr>
            <w:r>
              <w:rPr>
                <w:sz w:val="18"/>
              </w:rPr>
              <w:t xml:space="preserve">Conduct KPIs</w:t>
            </w:r>
          </w:p>
        </w:tc>
        <w:tc>
          <w:tcPr>
            <w:tcW w:w="6480" w:type="dxa"/>
          </w:tcPr>
          <w:p>
            <w:pPr>
              <w:pStyle w:val="Compact"/>
              <w:spacing w:after="40"/>
              <w:jc w:val="left"/>
            </w:pPr>
            <w:r>
              <w:rPr>
                <w:sz w:val="18"/>
              </w:rPr>
              <w:t xml:space="preserve">Out-of-window attempts, complaints per 1,000 accounts, recording coverage, agent certificate currency</w:t>
            </w:r>
          </w:p>
        </w:tc>
      </w:tr>
    </w:tbl>
    <w:bookmarkEnd w:id="201"/>
    <w:bookmarkStart w:id="202" w:name="r14.3-board-rbi-and-cic-inputs"/>
    <w:p>
      <w:pPr>
        <w:pStyle w:val="Heading3"/>
      </w:pPr>
      <w:r>
        <w:t xml:space="preserve">R14.3 Board, RBI and CIC inputs</w:t>
      </w:r>
    </w:p>
    <w:p>
      <w:pPr>
        <w:numPr>
          <w:ilvl w:val="0"/>
          <w:numId w:val="1254"/>
        </w:numPr>
        <w:pStyle w:val="Compact"/>
      </w:pPr>
      <w:r>
        <w:t xml:space="preserve">Quarterly settlement and write-off report with the RSA para 94 splits, including recovery on written-off accounts (RSA paras 93–94).</w:t>
      </w:r>
    </w:p>
    <w:p>
      <w:pPr>
        <w:numPr>
          <w:ilvl w:val="0"/>
          <w:numId w:val="1254"/>
        </w:numPr>
        <w:pStyle w:val="Compact"/>
      </w:pPr>
      <w:r>
        <w:t xml:space="preserve">CRILC monthly for exposures ≥ ₹5 crore and the Friday weekly default report (RSA paras 20–21); WD Annex I and II monthly to all CICs by SFTP (WD paras 11–12); FMR (FRM para 43).</w:t>
      </w:r>
    </w:p>
    <w:p>
      <w:pPr>
        <w:numPr>
          <w:ilvl w:val="0"/>
          <w:numId w:val="1254"/>
        </w:numPr>
        <w:pStyle w:val="Compact"/>
      </w:pPr>
      <w:r>
        <w:t xml:space="preserve">CIC status: suit-filed, settled (only for waivers for financial inability, with reason and amount) and disputed (CIR paras 12(2), 12(4), 12(7)).</w:t>
      </w:r>
    </w:p>
    <w:p>
      <w:pPr>
        <w:numPr>
          <w:ilvl w:val="0"/>
          <w:numId w:val="1254"/>
        </w:numPr>
        <w:pStyle w:val="Compact"/>
      </w:pPr>
      <w:r>
        <w:t xml:space="preserve">Board and RMC packs: proceedings tracker, settlement register, agency conduct, contingent liabilities, limitation-risk list.</w:t>
      </w:r>
    </w:p>
    <w:bookmarkEnd w:id="202"/>
    <w:bookmarkStart w:id="203" w:name="r14.4-exports-and-report-designer"/>
    <w:p>
      <w:pPr>
        <w:pStyle w:val="Heading3"/>
      </w:pPr>
      <w:r>
        <w:t xml:space="preserve">R14.4 Exports and report designer</w:t>
      </w:r>
    </w:p>
    <w:p>
      <w:pPr>
        <w:numPr>
          <w:ilvl w:val="0"/>
          <w:numId w:val="1255"/>
        </w:numPr>
        <w:pStyle w:val="Compact"/>
      </w:pPr>
      <w:r>
        <w:rPr>
          <w:bCs/>
          <w:b/>
        </w:rPr>
        <w:t xml:space="preserve">Formats:</w:t>
      </w:r>
      <w:r>
        <w:t xml:space="preserve"> </w:t>
      </w:r>
      <w:r>
        <w:t xml:space="preserve">CSV (RFC 4180), XLSX, JSON (schema-versioned), XML, PDF and PDF/A-2b; Tally Prime XML over HTTP (port 9000) through the local connector agent; SAP S/4HANA (OData Journal Entry APIs; BAPI or IDoc where required) [VERIFY: per customer landscape]; REST API and webhooks; scheduled SFTP extracts with checksums; court e-filing bundles.</w:t>
      </w:r>
    </w:p>
    <w:p>
      <w:pPr>
        <w:numPr>
          <w:ilvl w:val="0"/>
          <w:numId w:val="1255"/>
        </w:numPr>
        <w:pStyle w:val="Compact"/>
      </w:pPr>
      <w:r>
        <w:t xml:space="preserve">Every export carries a logged manifest (filter, as-of date, row count, SHA-256, requester) and a masking profile by recipient type.</w:t>
      </w:r>
    </w:p>
    <w:p>
      <w:pPr>
        <w:numPr>
          <w:ilvl w:val="0"/>
          <w:numId w:val="1255"/>
        </w:numPr>
        <w:pStyle w:val="Compact"/>
      </w:pPr>
      <w:r>
        <w:rPr>
          <w:bCs/>
          <w:b/>
        </w:rPr>
        <w:t xml:space="preserve">Report designer</w:t>
      </w:r>
      <w:r>
        <w:t xml:space="preserve"> </w:t>
      </w:r>
      <w:r>
        <w:t xml:space="preserve">over the governed semantic layer (M17) with row-level security, schedules and Board-pack templates.</w:t>
      </w:r>
    </w:p>
    <w:p>
      <w:pPr>
        <w:pStyle w:val="FirstParagraph"/>
      </w:pPr>
      <w:r>
        <w:rPr>
          <w:bCs/>
          <w:b/>
        </w:rPr>
        <w:t xml:space="preserve">Controls.</w:t>
      </w:r>
      <w:r>
        <w:t xml:space="preserve"> </w:t>
      </w:r>
      <w:r>
        <w:t xml:space="preserve">Registers derived from source records, never hand-edited; manual corrections only through the source record with maker-checker; regulatory files validated against schemas before submission.</w:t>
      </w:r>
    </w:p>
    <w:p>
      <w:pPr>
        <w:pStyle w:val="BodyText"/>
      </w:pPr>
      <w:r>
        <w:rPr>
          <w:bCs/>
          <w:b/>
        </w:rPr>
        <w:t xml:space="preserve">Configuration.</w:t>
      </w:r>
      <w:r>
        <w:t xml:space="preserve"> </w:t>
      </w:r>
      <w:r>
        <w:t xml:space="preserve">Register columns (add only), KPI targets, segment dimensions, export schedules and recipients, masking profiles.</w:t>
      </w:r>
    </w:p>
    <w:p>
      <w:pPr>
        <w:pStyle w:val="BodyText"/>
      </w:pPr>
      <w:r>
        <w:rPr>
          <w:bCs/>
          <w:b/>
        </w:rPr>
        <w:t xml:space="preserve">Events.</w:t>
      </w:r>
      <w:r>
        <w:t xml:space="preserve"> </w:t>
      </w:r>
      <w:r>
        <w:t xml:space="preserve">Emitted:</w:t>
      </w:r>
      <w:r>
        <w:t xml:space="preserve"> </w:t>
      </w:r>
      <w:r>
        <w:rPr>
          <w:rStyle w:val="VerbatimChar"/>
        </w:rPr>
        <w:t xml:space="preserve">ReturnStatusUpdated</w:t>
      </w:r>
      <w:r>
        <w:t xml:space="preserve">,</w:t>
      </w:r>
      <w:r>
        <w:t xml:space="preserve"> </w:t>
      </w:r>
      <w:r>
        <w:rPr>
          <w:rStyle w:val="VerbatimChar"/>
        </w:rPr>
        <w:t xml:space="preserve">EvidenceSubmitted</w:t>
      </w:r>
      <w:r>
        <w:t xml:space="preserve">. Consumed: all recovery, litigation, ADR and settlement events.</w:t>
      </w:r>
    </w:p>
    <w:p>
      <w:pPr>
        <w:pStyle w:val="BodyText"/>
      </w:pPr>
      <w:r>
        <w:rPr>
          <w:bCs/>
          <w:b/>
        </w:rPr>
        <w:t xml:space="preserve">Tests (R14).</w:t>
      </w:r>
      <w:r>
        <w:t xml:space="preserve"> </w:t>
      </w:r>
      <w:r>
        <w:t xml:space="preserve">NPA date cannot change after first setting without a classification-correction workflow; a settlement paid over four months shows the restructuring flag in the OTS register; a possessed asset sold is removed from the next monthly website file; a Tally export of recovery postings imports with STATUS 1 in a test instance; a PDF/A export validates as PDF/A-2b.</w:t>
      </w:r>
    </w:p>
    <w:p>
      <w:r>
        <w:pict>
          <v:rect style="width:0;height:1.5pt" o:hralign="center" o:hrstd="t" o:hr="t"/>
        </w:pict>
      </w:r>
    </w:p>
    <w:bookmarkEnd w:id="203"/>
    <w:bookmarkEnd w:id="204"/>
    <w:bookmarkStart w:id="214" w:name="Xcc1627d2da6ef6aeb85a126b4659859f38650f8"/>
    <w:p>
      <w:pPr>
        <w:pStyle w:val="Heading2"/>
      </w:pPr>
      <w:r>
        <w:t xml:space="preserve">R15. Conduct, compliance and evidence controls</w:t>
      </w:r>
    </w:p>
    <w:p>
      <w:pPr>
        <w:pStyle w:val="FirstParagraph"/>
      </w:pPr>
      <w:r>
        <w:rPr>
          <w:bCs/>
          <w:b/>
        </w:rPr>
        <w:t xml:space="preserve">Purpose.</w:t>
      </w:r>
      <w:r>
        <w:t xml:space="preserve"> </w:t>
      </w:r>
      <w:r>
        <w:t xml:space="preserve">Make every recovery action lawful by design, prove it with evidence, and feed LawDocsComply or any third-party GRC tool automatically.</w:t>
      </w:r>
    </w:p>
    <w:bookmarkStart w:id="205" w:name="r15.1-contact-policy-engine"/>
    <w:p>
      <w:pPr>
        <w:pStyle w:val="Heading3"/>
      </w:pPr>
      <w:r>
        <w:t xml:space="preserve">R15.1 Contact-policy engine</w:t>
      </w:r>
    </w:p>
    <w:p>
      <w:pPr>
        <w:numPr>
          <w:ilvl w:val="0"/>
          <w:numId w:val="1256"/>
        </w:numPr>
        <w:pStyle w:val="Compact"/>
      </w:pPr>
      <w:r>
        <w:rPr>
          <w:rStyle w:val="VerbatimChar"/>
        </w:rPr>
        <w:t xml:space="preserve">canContact(account, party, channel, purpose, timestamp)</w:t>
      </w:r>
      <w:r>
        <w:t xml:space="preserve"> </w:t>
      </w:r>
      <w:r>
        <w:t xml:space="preserve">runs before every outbound attempt by staff, diallers, voicebots, field app, agencies and Udofin; every evaluation is logged, denials included; missing inputs fail closed.</w:t>
      </w:r>
    </w:p>
    <w:p>
      <w:pPr>
        <w:numPr>
          <w:ilvl w:val="0"/>
          <w:numId w:val="1256"/>
        </w:numPr>
        <w:pStyle w:val="Compact"/>
      </w:pPr>
      <w:r>
        <w:t xml:space="preserve">Rules (effective-dated packs, R2.6): party of record only (third parties only for</w:t>
      </w:r>
      <w:r>
        <w:t xml:space="preserve"> </w:t>
      </w:r>
      <w:r>
        <w:rPr>
          <w:rStyle w:val="VerbatimChar"/>
        </w:rPr>
        <w:t xml:space="preserve">LOCATE</w:t>
      </w:r>
      <w:r>
        <w:t xml:space="preserve">); contact window; sensitive-occasion blackouts; Board-policy frequency caps; stop on valid payment, PTP not yet due, same-subject dispute or grievance, stay or moratorium; agent eligibility (R11.2); no anonymous numbers; pre-approved content with sender and grievance-officer details; vernacular (RBC para 10); prohibited-phrase lint (arrest, police, public exposure, false consequences; para 100Z from 1 Jan 2027); channel consent and DND (TRAI TCCCPR; para 100AB).</w:t>
      </w:r>
    </w:p>
    <w:bookmarkEnd w:id="205"/>
    <w:bookmarkStart w:id="206" w:name="r15.2-call-recording-and-retention"/>
    <w:p>
      <w:pPr>
        <w:pStyle w:val="Heading3"/>
      </w:pPr>
      <w:r>
        <w:t xml:space="preserve">R15.2 Call recording and retention</w:t>
      </w:r>
    </w:p>
    <w:p>
      <w:pPr>
        <w:numPr>
          <w:ilvl w:val="0"/>
          <w:numId w:val="1257"/>
        </w:numPr>
        <w:pStyle w:val="Compact"/>
      </w:pPr>
      <w:r>
        <w:t xml:space="preserve">Record all recovery calls (outbound, and inbound to numbers the NBFC provided) with disclosure; log time and count (para 100P from 1 Jan 2027; recommended now).</w:t>
      </w:r>
    </w:p>
    <w:p>
      <w:pPr>
        <w:numPr>
          <w:ilvl w:val="0"/>
          <w:numId w:val="1257"/>
        </w:numPr>
        <w:pStyle w:val="Compact"/>
      </w:pPr>
      <w:r>
        <w:t xml:space="preserve">Retain at least 6 months, or until disposal where sub judice (hold set automatically when a linked matter or complaint is open); QA sampling with human review of adverse AI scores.</w:t>
      </w:r>
    </w:p>
    <w:bookmarkEnd w:id="206"/>
    <w:bookmarkStart w:id="207" w:name="r15.3-ai-and-voicebots"/>
    <w:p>
      <w:pPr>
        <w:pStyle w:val="Heading3"/>
      </w:pPr>
      <w:r>
        <w:t xml:space="preserve">R15.3 AI and voicebots</w:t>
      </w:r>
    </w:p>
    <w:p>
      <w:pPr>
        <w:numPr>
          <w:ilvl w:val="0"/>
          <w:numId w:val="1258"/>
        </w:numPr>
        <w:pStyle w:val="Compact"/>
      </w:pPr>
      <w:r>
        <w:t xml:space="preserve">Disclose at the start that the caller is an automated assistant for the lender (and LSP, if any), with grievance details;</w:t>
      </w:r>
      <w:r>
        <w:t xml:space="preserve"> </w:t>
      </w:r>
      <w:r>
        <w:t xml:space="preserve">“</w:t>
      </w:r>
      <w:r>
        <w:t xml:space="preserve">talk to a human</w:t>
      </w:r>
      <w:r>
        <w:t xml:space="preserve">”</w:t>
      </w:r>
      <w:r>
        <w:t xml:space="preserve"> </w:t>
      </w:r>
      <w:r>
        <w:t xml:space="preserve">at any turn [REC; FREE-AI Committee report, 13 Aug 2025].</w:t>
      </w:r>
    </w:p>
    <w:p>
      <w:pPr>
        <w:numPr>
          <w:ilvl w:val="0"/>
          <w:numId w:val="1258"/>
        </w:numPr>
        <w:pStyle w:val="Compact"/>
      </w:pPr>
      <w:r>
        <w:t xml:space="preserve">Offers only within the R8 pre-approved band; no threats; no mention of criminal action except an accurate s.138 description where a cheque was dishonoured; payment only into the RE’s account.</w:t>
      </w:r>
    </w:p>
    <w:bookmarkEnd w:id="207"/>
    <w:bookmarkStart w:id="208" w:name="r15.4-grievance-linkage"/>
    <w:p>
      <w:pPr>
        <w:pStyle w:val="Heading3"/>
      </w:pPr>
      <w:r>
        <w:t xml:space="preserve">R15.4 Grievance linkage</w:t>
      </w:r>
    </w:p>
    <w:p>
      <w:pPr>
        <w:numPr>
          <w:ilvl w:val="0"/>
          <w:numId w:val="1259"/>
        </w:numPr>
        <w:pStyle w:val="Compact"/>
      </w:pPr>
      <w:r>
        <w:t xml:space="preserve">Every recovery-conduct complaint (direct, RB-IOS 2026, CMS, CPGRAMS, consumer commission, social media) links to the case, agent and contact attempts; same-subject contact pauses per policy; the evidence pack is auto-assembled.</w:t>
      </w:r>
    </w:p>
    <w:p>
      <w:pPr>
        <w:numPr>
          <w:ilvl w:val="0"/>
          <w:numId w:val="1259"/>
        </w:numPr>
        <w:pStyle w:val="Compact"/>
      </w:pPr>
      <w:r>
        <w:t xml:space="preserve">Internal Ombudsman and RB-IOS handling per M15; disputes heard at the next higher level (RBC para 7(2)); compensation for non-compliant recovery (paras 100E–100F from 1 Jan 2027).</w:t>
      </w:r>
    </w:p>
    <w:bookmarkEnd w:id="208"/>
    <w:bookmarkStart w:id="209" w:name="r15.5-dpdp-and-data-controls"/>
    <w:p>
      <w:pPr>
        <w:pStyle w:val="Heading3"/>
      </w:pPr>
      <w:r>
        <w:t xml:space="preserve">R15.5 DPDP and data controls</w:t>
      </w:r>
    </w:p>
    <w:p>
      <w:pPr>
        <w:numPr>
          <w:ilvl w:val="0"/>
          <w:numId w:val="1260"/>
        </w:numPr>
        <w:pStyle w:val="Compact"/>
      </w:pPr>
      <w:r>
        <w:t xml:space="preserve">Purpose tags on recovery data (servicing, recovery, legal claim, locate) with the legal basis recorded where consent is not the basis (DPDP Act s.17(1)(a) legal claims; s.17(1)(f) defaulter financial information).</w:t>
      </w:r>
      <w:r>
        <w:t xml:space="preserve"> </w:t>
      </w:r>
      <w:r>
        <w:rPr>
          <w:rStyle w:val="VerbatimChar"/>
        </w:rPr>
        <w:t xml:space="preserve">ConsentWithdrawn</w:t>
      </w:r>
      <w:r>
        <w:t xml:space="preserve"> </w:t>
      </w:r>
      <w:r>
        <w:t xml:space="preserve">stops consent-based processing (marketing, AA monitoring) but not legal-basis processing, and the borrower is told why.</w:t>
      </w:r>
    </w:p>
    <w:p>
      <w:pPr>
        <w:numPr>
          <w:ilvl w:val="0"/>
          <w:numId w:val="1260"/>
        </w:numPr>
        <w:pStyle w:val="Compact"/>
      </w:pPr>
      <w:r>
        <w:rPr>
          <w:rStyle w:val="VerbatimChar"/>
        </w:rPr>
        <w:t xml:space="preserve">DataPrincipalRequest</w:t>
      </w:r>
      <w:r>
        <w:t xml:space="preserve"> </w:t>
      </w:r>
      <w:r>
        <w:t xml:space="preserve">answered within M15 and DPDP clocks, excluding records under retention or hold; breaches via</w:t>
      </w:r>
      <w:r>
        <w:t xml:space="preserve"> </w:t>
      </w:r>
      <w:r>
        <w:rPr>
          <w:rStyle w:val="VerbatimChar"/>
        </w:rPr>
        <w:t xml:space="preserve">SecurityIncidentNotified</w:t>
      </w:r>
      <w:r>
        <w:t xml:space="preserve">; minimum data to agents (para 100O); India-only storage.</w:t>
      </w:r>
    </w:p>
    <w:bookmarkEnd w:id="209"/>
    <w:bookmarkStart w:id="210" w:name="Xcc59135df4b7f129dd54308640da3974cb0371b"/>
    <w:p>
      <w:pPr>
        <w:pStyle w:val="Heading3"/>
      </w:pPr>
      <w:r>
        <w:t xml:space="preserve">R15.6 Wilful-defaulter, fraud and settlement tracks</w:t>
      </w:r>
    </w:p>
    <w:p>
      <w:pPr>
        <w:pStyle w:val="FirstParagraph"/>
      </w:pPr>
      <w:r>
        <w:t xml:space="preserve">Full rules are in Part 8A.20 (WD), 8A.14 (FRM) and 8A.18 (RSA); R15 runs them as case state machines with these hard clocks and gates:</w:t>
      </w:r>
    </w:p>
    <w:p>
      <w:pPr>
        <w:numPr>
          <w:ilvl w:val="0"/>
          <w:numId w:val="1261"/>
        </w:numPr>
        <w:pStyle w:val="Compact"/>
      </w:pPr>
      <w:r>
        <w:rPr>
          <w:bCs/>
          <w:b/>
        </w:rPr>
        <w:t xml:space="preserve">WD:</w:t>
      </w:r>
      <w:r>
        <w:t xml:space="preserve"> </w:t>
      </w:r>
      <w:r>
        <w:t xml:space="preserve">screen NPAs ≥ ₹25 lakh; classify within 6 months of NPA (WD para 6); show-cause reply 21 days, representation 15 days, hearing without a lawyer, reasoned order naming committee members (para 5); committee-composition validator; guarantor refusal routed here (para 10); pre-transfer gate (para 14); penal clocks (para 7(3)); monthly Annex I and II files (paras 11–12).</w:t>
      </w:r>
    </w:p>
    <w:p>
      <w:pPr>
        <w:numPr>
          <w:ilvl w:val="0"/>
          <w:numId w:val="1261"/>
        </w:numPr>
        <w:pStyle w:val="Compact"/>
      </w:pPr>
      <w:r>
        <w:rPr>
          <w:bCs/>
          <w:b/>
        </w:rPr>
        <w:t xml:space="preserve">Fraud:</w:t>
      </w:r>
      <w:r>
        <w:t xml:space="preserve"> </w:t>
      </w:r>
      <w:r>
        <w:t xml:space="preserve">three dates captured (FRM para 4); show-cause reply at least 21 days and a reasoned order (para 6;</w:t>
      </w:r>
      <w:r>
        <w:t xml:space="preserve"> </w:t>
      </w:r>
      <w:r>
        <w:rPr>
          <w:iCs/>
          <w:i/>
        </w:rPr>
        <w:t xml:space="preserve">SBI v. Rajesh Agarwal</w:t>
      </w:r>
      <w:r>
        <w:t xml:space="preserve">, SC 2023); FMR within 14 days of classification (para 43); law-enforcement report mandatory at ₹1 lakh or more (para 40); no sale to lenders or ARCs before the investigation ends (para 54); 5-year debarment from full repayment or settlement (para 35).</w:t>
      </w:r>
    </w:p>
    <w:p>
      <w:pPr>
        <w:numPr>
          <w:ilvl w:val="0"/>
          <w:numId w:val="1261"/>
        </w:numPr>
        <w:pStyle w:val="Compact"/>
      </w:pPr>
      <w:r>
        <w:rPr>
          <w:bCs/>
          <w:b/>
        </w:rPr>
        <w:t xml:space="preserve">Settlement guard-rails (executed in R8):</w:t>
      </w:r>
      <w:r>
        <w:t xml:space="preserve"> </w:t>
      </w:r>
      <w:r>
        <w:t xml:space="preserve">approver one level above the sanctioner, sanctioners excluded; Board approval for fraud and WD (RSA para 16(5)); over 3 months or part settlement is restructuring (paras 89–90); consent decree where proceedings are pending (para 100); cooling period at least 12 months (para 95); applies to NBFCs below ₹500 crore too (para 157).</w:t>
      </w:r>
    </w:p>
    <w:bookmarkEnd w:id="210"/>
    <w:bookmarkStart w:id="211" w:name="r15.7-evidence-packs-and-audit-trail"/>
    <w:p>
      <w:pPr>
        <w:pStyle w:val="Heading3"/>
      </w:pPr>
      <w:r>
        <w:t xml:space="preserve">R15.7 Evidence packs and audit trail</w:t>
      </w:r>
    </w:p>
    <w:p>
      <w:pPr>
        <w:numPr>
          <w:ilvl w:val="0"/>
          <w:numId w:val="1262"/>
        </w:numPr>
        <w:pStyle w:val="Compact"/>
      </w:pPr>
      <w:r>
        <w:t xml:space="preserve">One-click evidence packs: s.14 affidavit annexures (notice, service, non-payment, CERSAI, NPA), s.17 defence bundle, s.138 complaint bundle (instrument, return memo, notice, service, BSA 2023 s.63 certificate for electronic records), RB-IOS response, ADR referral pack, auditor and RBI inspection packs.</w:t>
      </w:r>
    </w:p>
    <w:p>
      <w:pPr>
        <w:numPr>
          <w:ilvl w:val="0"/>
          <w:numId w:val="1262"/>
        </w:numPr>
        <w:pStyle w:val="Compact"/>
      </w:pPr>
      <w:r>
        <w:t xml:space="preserve">Hash-chained audit trail (M19) covering who, what, when, where and before and after values for every recovery action, configuration change and override.</w:t>
      </w:r>
    </w:p>
    <w:bookmarkEnd w:id="211"/>
    <w:bookmarkStart w:id="212" w:name="Xc2c2585cce0e749e44b0076ce652be3fa16adc4"/>
    <w:p>
      <w:pPr>
        <w:pStyle w:val="Heading3"/>
      </w:pPr>
      <w:r>
        <w:t xml:space="preserve">R15.8 LawDocsComply and third-party GRC feeds</w:t>
      </w:r>
    </w:p>
    <w:p>
      <w:pPr>
        <w:numPr>
          <w:ilvl w:val="0"/>
          <w:numId w:val="1263"/>
        </w:numPr>
        <w:pStyle w:val="Compact"/>
      </w:pPr>
      <w:r>
        <w:t xml:space="preserve">Through the Specification’s GRC connector (LawDocsComply, MetricStream, IBM OpenPages, ServiceNow IRM, Archer; OSCAL export where mapped), Finbyx consumes</w:t>
      </w:r>
      <w:r>
        <w:t xml:space="preserve"> </w:t>
      </w:r>
      <w:r>
        <w:rPr>
          <w:rStyle w:val="VerbatimChar"/>
        </w:rPr>
        <w:t xml:space="preserve">ObligationPublished</w:t>
      </w:r>
      <w:r>
        <w:t xml:space="preserve"> </w:t>
      </w:r>
      <w:r>
        <w:t xml:space="preserve">(paragraph-referenced obligations, e.g. </w:t>
      </w:r>
      <w:r>
        <w:rPr>
          <w:rStyle w:val="VerbatimChar"/>
        </w:rPr>
        <w:t xml:space="preserve">RBI/2026-27/230#100P</w:t>
      </w:r>
      <w:r>
        <w:t xml:space="preserve">) and emits</w:t>
      </w:r>
      <w:r>
        <w:t xml:space="preserve"> </w:t>
      </w:r>
      <w:r>
        <w:rPr>
          <w:rStyle w:val="VerbatimChar"/>
        </w:rPr>
        <w:t xml:space="preserve">ControlTestResultPublished</w:t>
      </w:r>
      <w:r>
        <w:t xml:space="preserve"> </w:t>
      </w:r>
      <w:r>
        <w:t xml:space="preserve">(contact-window compliance, recording coverage, IIBF currency, WD six-month deadline, FMR and s.13(3A) timeliness),</w:t>
      </w:r>
      <w:r>
        <w:t xml:space="preserve"> </w:t>
      </w:r>
      <w:r>
        <w:rPr>
          <w:rStyle w:val="VerbatimChar"/>
        </w:rPr>
        <w:t xml:space="preserve">EvidenceSubmitted</w:t>
      </w:r>
      <w:r>
        <w:t xml:space="preserve"> </w:t>
      </w:r>
      <w:r>
        <w:t xml:space="preserve">(hashed evidence with aggregate counts and masked sample IDs, never raw PII),</w:t>
      </w:r>
      <w:r>
        <w:t xml:space="preserve"> </w:t>
      </w:r>
      <w:r>
        <w:rPr>
          <w:rStyle w:val="VerbatimChar"/>
        </w:rPr>
        <w:t xml:space="preserve">ComplianceIssueRaised</w:t>
      </w:r>
      <w:r>
        <w:t xml:space="preserve">,</w:t>
      </w:r>
      <w:r>
        <w:t xml:space="preserve"> </w:t>
      </w:r>
      <w:r>
        <w:rPr>
          <w:rStyle w:val="VerbatimChar"/>
        </w:rPr>
        <w:t xml:space="preserve">ReturnStatusUpdated</w:t>
      </w:r>
      <w:r>
        <w:t xml:space="preserve"> </w:t>
      </w:r>
      <w:r>
        <w:t xml:space="preserve">(WD files, FMR, CRILC) and</w:t>
      </w:r>
      <w:r>
        <w:t xml:space="preserve"> </w:t>
      </w:r>
      <w:r>
        <w:rPr>
          <w:rStyle w:val="VerbatimChar"/>
        </w:rPr>
        <w:t xml:space="preserve">PolicyAttested</w:t>
      </w:r>
      <w:r>
        <w:t xml:space="preserve">.</w:t>
      </w:r>
    </w:p>
    <w:p>
      <w:pPr>
        <w:numPr>
          <w:ilvl w:val="0"/>
          <w:numId w:val="1263"/>
        </w:numPr>
        <w:pStyle w:val="Compact"/>
      </w:pPr>
      <w:r>
        <w:t xml:space="preserve">Switch, not rebuild: the same events feed the embedded compliance module (M14) when LawDocsComply is not used.</w:t>
      </w:r>
    </w:p>
    <w:bookmarkEnd w:id="212"/>
    <w:bookmarkStart w:id="213" w:name="r15.9-regulatory-change-management"/>
    <w:p>
      <w:pPr>
        <w:pStyle w:val="Heading3"/>
      </w:pPr>
      <w:r>
        <w:t xml:space="preserve">R15.9 Regulatory change management</w:t>
      </w:r>
    </w:p>
    <w:p>
      <w:pPr>
        <w:numPr>
          <w:ilvl w:val="0"/>
          <w:numId w:val="1264"/>
        </w:numPr>
        <w:pStyle w:val="Compact"/>
      </w:pPr>
      <w:r>
        <w:t xml:space="preserve">Each rule pack has an owner, sources, status and effective dates; scheduled cut-overs (Third Amendment on 1 Jan 2027) run as dated releases with regression tests.</w:t>
      </w:r>
    </w:p>
    <w:p>
      <w:pPr>
        <w:numPr>
          <w:ilvl w:val="0"/>
          <w:numId w:val="1264"/>
        </w:numPr>
        <w:pStyle w:val="Compact"/>
      </w:pPr>
      <w:r>
        <w:t xml:space="preserve">Watch-list with review dates: RBI response in</w:t>
      </w:r>
      <w:r>
        <w:t xml:space="preserve"> </w:t>
      </w:r>
      <w:r>
        <w:rPr>
          <w:iCs/>
          <w:i/>
        </w:rPr>
        <w:t xml:space="preserve">Shikha Ghosh</w:t>
      </w:r>
      <w:r>
        <w:t xml:space="preserve"> </w:t>
      </w:r>
      <w:r>
        <w:t xml:space="preserve">(after 17 Nov 2026); Mediation Act notification of ss.4–25, 27–30 and 39–44 (s.26 is in force); IBC CIIRP, group and cross-border commencement; DPDP Rules phasing (Rule 4 from 13 Nov 2026; Rules 3 and 5–16 from 13 May 2027); state anti-coercion laws; CGTMSE circulars; RBI CIMS return changes.</w:t>
      </w:r>
    </w:p>
    <w:p>
      <w:pPr>
        <w:numPr>
          <w:ilvl w:val="0"/>
          <w:numId w:val="1264"/>
        </w:numPr>
        <w:pStyle w:val="Compact"/>
      </w:pPr>
      <w:r>
        <w:t xml:space="preserve">Every regulatory change produces an impact list (rules, templates, registers, tests) and a CCO sign-off before activation.</w:t>
      </w:r>
    </w:p>
    <w:p>
      <w:pPr>
        <w:pStyle w:val="FirstParagraph"/>
      </w:pPr>
      <w:r>
        <w:rPr>
          <w:bCs/>
          <w:b/>
        </w:rPr>
        <w:t xml:space="preserve">Data captured.</w:t>
      </w:r>
      <w:r>
        <w:t xml:space="preserve"> </w:t>
      </w:r>
      <w:r>
        <w:t xml:space="preserve">Contact-policy evaluations, recordings and QA scores, AI transcripts, complaint links, purpose and basis tags, WD and fraud case records, settlement policy checks, evidence packs, GRC event log, rule-pack versions and sign-offs.</w:t>
      </w:r>
    </w:p>
    <w:p>
      <w:pPr>
        <w:pStyle w:val="BodyText"/>
      </w:pPr>
      <w:r>
        <w:rPr>
          <w:bCs/>
          <w:b/>
        </w:rPr>
        <w:t xml:space="preserve">Controls.</w:t>
      </w:r>
      <w:r>
        <w:t xml:space="preserve"> </w:t>
      </w:r>
      <w:r>
        <w:t xml:space="preserve">Fail-closed contact policy; guard-rail validation on configuration; maker-checker for rule-pack activation; automated control tests with exceptions raised as</w:t>
      </w:r>
      <w:r>
        <w:t xml:space="preserve"> </w:t>
      </w:r>
      <w:r>
        <w:rPr>
          <w:rStyle w:val="VerbatimChar"/>
        </w:rPr>
        <w:t xml:space="preserve">ComplianceIssueRaised</w:t>
      </w:r>
      <w:r>
        <w:t xml:space="preserve">.</w:t>
      </w:r>
    </w:p>
    <w:p>
      <w:pPr>
        <w:pStyle w:val="BodyText"/>
      </w:pPr>
      <w:r>
        <w:rPr>
          <w:bCs/>
          <w:b/>
        </w:rPr>
        <w:t xml:space="preserve">Configuration.</w:t>
      </w:r>
      <w:r>
        <w:t xml:space="preserve"> </w:t>
      </w:r>
      <w:r>
        <w:t xml:space="preserve">Frequency caps, blackout calendars, prohibited-phrase lists (add only), QA sampling rates, retention above the minimum, GRC destination and mappings.</w:t>
      </w:r>
    </w:p>
    <w:p>
      <w:pPr>
        <w:pStyle w:val="BodyText"/>
      </w:pPr>
      <w:r>
        <w:rPr>
          <w:bCs/>
          <w:b/>
        </w:rPr>
        <w:t xml:space="preserve">Events.</w:t>
      </w:r>
      <w:r>
        <w:t xml:space="preserve"> </w:t>
      </w:r>
      <w:r>
        <w:t xml:space="preserve">Emitted:</w:t>
      </w:r>
      <w:r>
        <w:t xml:space="preserve"> </w:t>
      </w:r>
      <w:r>
        <w:rPr>
          <w:rStyle w:val="VerbatimChar"/>
        </w:rPr>
        <w:t xml:space="preserve">ControlTestResultPublished</w:t>
      </w:r>
      <w:r>
        <w:t xml:space="preserve">,</w:t>
      </w:r>
      <w:r>
        <w:t xml:space="preserve"> </w:t>
      </w:r>
      <w:r>
        <w:rPr>
          <w:rStyle w:val="VerbatimChar"/>
        </w:rPr>
        <w:t xml:space="preserve">EvidenceSubmitted</w:t>
      </w:r>
      <w:r>
        <w:t xml:space="preserve">,</w:t>
      </w:r>
      <w:r>
        <w:t xml:space="preserve"> </w:t>
      </w:r>
      <w:r>
        <w:rPr>
          <w:rStyle w:val="VerbatimChar"/>
        </w:rPr>
        <w:t xml:space="preserve">ComplianceIssueRaised</w:t>
      </w:r>
      <w:r>
        <w:t xml:space="preserve">,</w:t>
      </w:r>
      <w:r>
        <w:t xml:space="preserve"> </w:t>
      </w:r>
      <w:r>
        <w:rPr>
          <w:rStyle w:val="VerbatimChar"/>
        </w:rPr>
        <w:t xml:space="preserve">ReturnStatusUpdated</w:t>
      </w:r>
      <w:r>
        <w:t xml:space="preserve">,</w:t>
      </w:r>
      <w:r>
        <w:t xml:space="preserve"> </w:t>
      </w:r>
      <w:r>
        <w:rPr>
          <w:rStyle w:val="VerbatimChar"/>
        </w:rPr>
        <w:t xml:space="preserve">PolicyAttested</w:t>
      </w:r>
      <w:r>
        <w:t xml:space="preserve">. Consumed:</w:t>
      </w:r>
      <w:r>
        <w:t xml:space="preserve"> </w:t>
      </w:r>
      <w:r>
        <w:rPr>
          <w:rStyle w:val="VerbatimChar"/>
        </w:rPr>
        <w:t xml:space="preserve">ObligationPublished</w:t>
      </w:r>
      <w:r>
        <w:t xml:space="preserve">,</w:t>
      </w:r>
      <w:r>
        <w:t xml:space="preserve"> </w:t>
      </w:r>
      <w:r>
        <w:rPr>
          <w:rStyle w:val="VerbatimChar"/>
        </w:rPr>
        <w:t xml:space="preserve">ConsentWithdrawn</w:t>
      </w:r>
      <w:r>
        <w:t xml:space="preserve">,</w:t>
      </w:r>
      <w:r>
        <w:t xml:space="preserve"> </w:t>
      </w:r>
      <w:r>
        <w:rPr>
          <w:rStyle w:val="VerbatimChar"/>
        </w:rPr>
        <w:t xml:space="preserve">DataPrincipalRequest</w:t>
      </w:r>
      <w:r>
        <w:t xml:space="preserve">,</w:t>
      </w:r>
      <w:r>
        <w:t xml:space="preserve"> </w:t>
      </w:r>
      <w:r>
        <w:rPr>
          <w:rStyle w:val="VerbatimChar"/>
        </w:rPr>
        <w:t xml:space="preserve">SecurityIncidentNotified</w:t>
      </w:r>
      <w:r>
        <w:t xml:space="preserve">,</w:t>
      </w:r>
      <w:r>
        <w:t xml:space="preserve"> </w:t>
      </w:r>
      <w:r>
        <w:rPr>
          <w:rStyle w:val="VerbatimChar"/>
        </w:rPr>
        <w:t xml:space="preserve">GrievanceRaised</w:t>
      </w:r>
      <w:r>
        <w:t xml:space="preserve">,</w:t>
      </w:r>
      <w:r>
        <w:t xml:space="preserve"> </w:t>
      </w:r>
      <w:r>
        <w:rPr>
          <w:rStyle w:val="VerbatimChar"/>
        </w:rPr>
        <w:t xml:space="preserve">GrievanceEscalated</w:t>
      </w:r>
      <w:r>
        <w:t xml:space="preserve">,</w:t>
      </w:r>
      <w:r>
        <w:t xml:space="preserve"> </w:t>
      </w:r>
      <w:r>
        <w:rPr>
          <w:rStyle w:val="VerbatimChar"/>
        </w:rPr>
        <w:t xml:space="preserve">SettlementRequested</w:t>
      </w:r>
      <w:r>
        <w:t xml:space="preserve">.</w:t>
      </w:r>
    </w:p>
    <w:p>
      <w:pPr>
        <w:pStyle w:val="BodyText"/>
      </w:pPr>
      <w:r>
        <w:rPr>
          <w:bCs/>
          <w:b/>
        </w:rPr>
        <w:t xml:space="preserve">Tests (R15).</w:t>
      </w:r>
      <w:r>
        <w:t xml:space="preserve"> </w:t>
      </w:r>
      <w:r>
        <w:t xml:space="preserve">- A call scheduled at 18:30 for a microfinance borrower on 15 Dec 2026 is denied; the same call on 15 Jan 2027 follows the post-amendment pack.</w:t>
      </w:r>
      <w:r>
        <w:t xml:space="preserve"> </w:t>
      </w:r>
      <w:r>
        <w:t xml:space="preserve">- An agent without a valid authorisation letter is denied contact.</w:t>
      </w:r>
      <w:r>
        <w:t xml:space="preserve"> </w:t>
      </w:r>
      <w:r>
        <w:t xml:space="preserve">- A recording linked to an open RB-IOS complaint survives the 6-month purge.</w:t>
      </w:r>
      <w:r>
        <w:t xml:space="preserve"> </w:t>
      </w:r>
      <w:r>
        <w:t xml:space="preserve">- A WD case without an order at NPA + 6 months raises</w:t>
      </w:r>
      <w:r>
        <w:t xml:space="preserve"> </w:t>
      </w:r>
      <w:r>
        <w:rPr>
          <w:rStyle w:val="VerbatimChar"/>
        </w:rPr>
        <w:t xml:space="preserve">ComplianceIssueRaised</w:t>
      </w:r>
      <w:r>
        <w:t xml:space="preserve">.</w:t>
      </w:r>
      <w:r>
        <w:t xml:space="preserve"> </w:t>
      </w:r>
      <w:r>
        <w:t xml:space="preserve">- A fraud classification on day 0 without FMR by day 14 raises an issue.</w:t>
      </w:r>
      <w:r>
        <w:t xml:space="preserve"> </w:t>
      </w:r>
      <w:r>
        <w:t xml:space="preserve">-</w:t>
      </w:r>
      <w:r>
        <w:t xml:space="preserve"> </w:t>
      </w:r>
      <w:r>
        <w:rPr>
          <w:rStyle w:val="VerbatimChar"/>
        </w:rPr>
        <w:t xml:space="preserve">ConsentWithdrawn</w:t>
      </w:r>
      <w:r>
        <w:t xml:space="preserve"> </w:t>
      </w:r>
      <w:r>
        <w:t xml:space="preserve">for marketing does not stop a s.13(2) notice.</w:t>
      </w:r>
      <w:r>
        <w:t xml:space="preserve"> </w:t>
      </w:r>
      <w:r>
        <w:t xml:space="preserve">- The contact-window control test publishes</w:t>
      </w:r>
      <w:r>
        <w:t xml:space="preserve"> </w:t>
      </w:r>
      <w:r>
        <w:rPr>
          <w:rStyle w:val="VerbatimChar"/>
        </w:rPr>
        <w:t xml:space="preserve">ControlTestResultPublished</w:t>
      </w:r>
      <w:r>
        <w:t xml:space="preserve"> </w:t>
      </w:r>
      <w:r>
        <w:t xml:space="preserve">with population, exceptions and an evidence hash.</w:t>
      </w:r>
    </w:p>
    <w:p>
      <w:r>
        <w:pict>
          <v:rect style="width:0;height:1.5pt" o:hralign="center" o:hrstd="t" o:hr="t"/>
        </w:pict>
      </w:r>
    </w:p>
    <w:bookmarkEnd w:id="213"/>
    <w:bookmarkEnd w:id="214"/>
    <w:bookmarkStart w:id="215" w:name="r16.-product-recovery-playbooks"/>
    <w:p>
      <w:pPr>
        <w:pStyle w:val="Heading2"/>
      </w:pPr>
      <w:r>
        <w:t xml:space="preserve">R16. Product recovery playbooks</w:t>
      </w:r>
    </w:p>
    <w:p>
      <w:pPr>
        <w:pStyle w:val="FirstParagraph"/>
      </w:pPr>
      <w:r>
        <w:rPr>
          <w:bCs/>
          <w:b/>
        </w:rPr>
        <w:t xml:space="preserve">Purpose.</w:t>
      </w:r>
      <w:r>
        <w:t xml:space="preserve"> </w:t>
      </w:r>
      <w:r>
        <w:t xml:space="preserve">Give every Part 6 product a default, tenant-configurable recovery playbook that sequences mechanisms lawfully for its security, borrower type and conduct rules, so that R1 can propose a strategy and R2–R13 can execute it.</w:t>
      </w:r>
    </w:p>
    <w:p>
      <w:pPr>
        <w:pStyle w:val="BodyText"/>
      </w:pPr>
      <w:r>
        <w:rPr>
          <w:bCs/>
          <w:b/>
        </w:rPr>
        <w:t xml:space="preserve">Model.</w:t>
      </w:r>
      <w:r>
        <w:t xml:space="preserve"> </w:t>
      </w:r>
      <w:r>
        <w:rPr>
          <w:rStyle w:val="VerbatimChar"/>
        </w:rPr>
        <w:t xml:space="preserve">playbook</w:t>
      </w:r>
      <w:r>
        <w:t xml:space="preserve"> </w:t>
      </w:r>
      <w:r>
        <w:t xml:space="preserve">(product, version, effective dates, approval) → ordered steps (trigger by DPD or event, action, mechanism, R3 template, owner, SLA, gates) → permitted mechanisms (re-evaluated per account by R1.4) → asset handling → ADR suitability → accounting notes → conduct pack (contact windows, visit rules, state overlays). Tenants may tighten statutory parameters but not loosen them; a lint rejects any version that breaks a floor; champion–challenger variants run only after the R1 compliance check.</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05"/>
        <w:gridCol w:w="1862"/>
        <w:gridCol w:w="1618"/>
        <w:gridCol w:w="1959"/>
        <w:gridCol w:w="1002"/>
        <w:gridCol w:w="898"/>
        <w:gridCol w:w="1194"/>
      </w:tblGrid>
      <w:tr>
        <w:trPr>
          <w:tblHeader w:val="true"/>
          <w:tblHeader w:val="true"/>
        </w:trPr>
        <w:tc>
          <w:tcPr>
            <w:tcW w:w="1105" w:type="dxa"/>
            <w:shd w:val="clear" w:color="auto" w:fill="1F3A5F"/>
          </w:tcPr>
          <w:p>
            <w:pPr>
              <w:pStyle w:val="Compact"/>
              <w:spacing w:after="40"/>
              <w:jc w:val="left"/>
            </w:pPr>
            <w:r>
              <w:rPr>
                <w:b/>
                <w:color w:val="FFFFFF"/>
                <w:sz w:val="18"/>
              </w:rPr>
              <w:t xml:space="preserve">Family (Part 6 #)</w:t>
            </w:r>
          </w:p>
        </w:tc>
        <w:tc>
          <w:tcPr>
            <w:tcW w:w="1862" w:type="dxa"/>
            <w:shd w:val="clear" w:color="auto" w:fill="1F3A5F"/>
          </w:tcPr>
          <w:p>
            <w:pPr>
              <w:pStyle w:val="Compact"/>
              <w:spacing w:after="40"/>
              <w:jc w:val="left"/>
            </w:pPr>
            <w:r>
              <w:rPr>
                <w:b/>
                <w:color w:val="FFFFFF"/>
                <w:sz w:val="18"/>
              </w:rPr>
              <w:t xml:space="preserve">Default sequence</w:t>
            </w:r>
          </w:p>
        </w:tc>
        <w:tc>
          <w:tcPr>
            <w:tcW w:w="1618" w:type="dxa"/>
            <w:shd w:val="clear" w:color="auto" w:fill="1F3A5F"/>
          </w:tcPr>
          <w:p>
            <w:pPr>
              <w:pStyle w:val="Compact"/>
              <w:spacing w:after="40"/>
              <w:jc w:val="left"/>
            </w:pPr>
            <w:r>
              <w:rPr>
                <w:b/>
                <w:color w:val="FFFFFF"/>
                <w:sz w:val="18"/>
              </w:rPr>
              <w:t xml:space="preserve">Mechanisms</w:t>
            </w:r>
          </w:p>
        </w:tc>
        <w:tc>
          <w:tcPr>
            <w:tcW w:w="1959" w:type="dxa"/>
            <w:shd w:val="clear" w:color="auto" w:fill="1F3A5F"/>
          </w:tcPr>
          <w:p>
            <w:pPr>
              <w:pStyle w:val="Compact"/>
              <w:spacing w:after="40"/>
              <w:jc w:val="left"/>
            </w:pPr>
            <w:r>
              <w:rPr>
                <w:b/>
                <w:color w:val="FFFFFF"/>
                <w:sz w:val="18"/>
              </w:rPr>
              <w:t xml:space="preserve">Key rules and timelines</w:t>
            </w:r>
          </w:p>
        </w:tc>
        <w:tc>
          <w:tcPr>
            <w:tcW w:w="1002" w:type="dxa"/>
            <w:shd w:val="clear" w:color="auto" w:fill="1F3A5F"/>
          </w:tcPr>
          <w:p>
            <w:pPr>
              <w:pStyle w:val="Compact"/>
              <w:spacing w:after="40"/>
              <w:jc w:val="left"/>
            </w:pPr>
            <w:r>
              <w:rPr>
                <w:b/>
                <w:color w:val="FFFFFF"/>
                <w:sz w:val="18"/>
              </w:rPr>
              <w:t xml:space="preserve">Assets</w:t>
            </w:r>
          </w:p>
        </w:tc>
        <w:tc>
          <w:tcPr>
            <w:tcW w:w="898" w:type="dxa"/>
            <w:shd w:val="clear" w:color="auto" w:fill="1F3A5F"/>
          </w:tcPr>
          <w:p>
            <w:pPr>
              <w:pStyle w:val="Compact"/>
              <w:spacing w:after="40"/>
              <w:jc w:val="left"/>
            </w:pPr>
            <w:r>
              <w:rPr>
                <w:b/>
                <w:color w:val="FFFFFF"/>
                <w:sz w:val="18"/>
              </w:rPr>
              <w:t xml:space="preserve">ADR fit</w:t>
            </w:r>
          </w:p>
        </w:tc>
        <w:tc>
          <w:tcPr>
            <w:tcW w:w="1194" w:type="dxa"/>
            <w:shd w:val="clear" w:color="auto" w:fill="1F3A5F"/>
          </w:tcPr>
          <w:p>
            <w:pPr>
              <w:pStyle w:val="Compact"/>
              <w:spacing w:after="40"/>
              <w:jc w:val="left"/>
            </w:pPr>
            <w:r>
              <w:rPr>
                <w:b/>
                <w:color w:val="FFFFFF"/>
                <w:sz w:val="18"/>
              </w:rPr>
              <w:t xml:space="preserve">Accounting</w:t>
            </w:r>
          </w:p>
        </w:tc>
      </w:tr>
      <w:tr>
        <w:tc>
          <w:tcPr>
            <w:tcW w:w="1105" w:type="dxa"/>
          </w:tcPr>
          <w:p>
            <w:pPr>
              <w:pStyle w:val="Compact"/>
              <w:spacing w:after="40"/>
              <w:jc w:val="left"/>
            </w:pPr>
            <w:r>
              <w:rPr>
                <w:sz w:val="18"/>
              </w:rPr>
              <w:t xml:space="preserve">Personal, payday (1, 2); consumer durable (10); staff (19)</w:t>
            </w:r>
          </w:p>
        </w:tc>
        <w:tc>
          <w:tcPr>
            <w:tcW w:w="1862" w:type="dxa"/>
          </w:tcPr>
          <w:p>
            <w:pPr>
              <w:pStyle w:val="Compact"/>
              <w:spacing w:after="40"/>
              <w:jc w:val="left"/>
            </w:pPr>
            <w:r>
              <w:rPr>
                <w:sz w:val="18"/>
              </w:rPr>
              <w:t xml:space="preserve">Nudges → calls → field visit above a ticket threshold → recall → s.138/s.25 if an instrument bounced → settlement or Lok Adalat → suit → TWO</w:t>
            </w:r>
          </w:p>
        </w:tc>
        <w:tc>
          <w:tcPr>
            <w:tcW w:w="1618" w:type="dxa"/>
          </w:tcPr>
          <w:p>
            <w:pPr>
              <w:pStyle w:val="Compact"/>
              <w:spacing w:after="40"/>
              <w:jc w:val="left"/>
            </w:pPr>
            <w:r>
              <w:rPr>
                <w:sz w:val="18"/>
              </w:rPr>
              <w:t xml:space="preserve">Settlement, conciliation, arbitration with Gate A, Lok Adalat, s.138/s.25, suit</w:t>
            </w:r>
          </w:p>
        </w:tc>
        <w:tc>
          <w:tcPr>
            <w:tcW w:w="1959" w:type="dxa"/>
          </w:tcPr>
          <w:p>
            <w:pPr>
              <w:pStyle w:val="Compact"/>
              <w:spacing w:after="40"/>
              <w:jc w:val="left"/>
            </w:pPr>
            <w:r>
              <w:rPr>
                <w:sz w:val="18"/>
              </w:rPr>
              <w:t xml:space="preserve">Agent particulars before contact on digital loans (CF para 9(6)); 08:00–19:00 (RBC para 100); payday under heightened conduct monitoring</w:t>
            </w:r>
          </w:p>
        </w:tc>
        <w:tc>
          <w:tcPr>
            <w:tcW w:w="1002" w:type="dxa"/>
          </w:tcPr>
          <w:p>
            <w:pPr>
              <w:pStyle w:val="Compact"/>
              <w:spacing w:after="40"/>
              <w:jc w:val="left"/>
            </w:pPr>
            <w:r>
              <w:rPr>
                <w:sz w:val="18"/>
              </w:rPr>
              <w:t xml:space="preserve">None; staff loans by payroll deduction per contract</w:t>
            </w:r>
          </w:p>
        </w:tc>
        <w:tc>
          <w:tcPr>
            <w:tcW w:w="898" w:type="dxa"/>
          </w:tcPr>
          <w:p>
            <w:pPr>
              <w:pStyle w:val="Compact"/>
              <w:spacing w:after="40"/>
              <w:jc w:val="left"/>
            </w:pPr>
            <w:r>
              <w:rPr>
                <w:sz w:val="18"/>
              </w:rPr>
              <w:t xml:space="preserve">High (conciliation, Lok Adalat)</w:t>
            </w:r>
          </w:p>
        </w:tc>
        <w:tc>
          <w:tcPr>
            <w:tcW w:w="1194" w:type="dxa"/>
          </w:tcPr>
          <w:p>
            <w:pPr>
              <w:pStyle w:val="Compact"/>
              <w:spacing w:after="40"/>
              <w:jc w:val="left"/>
            </w:pPr>
            <w:r>
              <w:rPr>
                <w:sz w:val="18"/>
              </w:rPr>
              <w:t xml:space="preserve">Small-balance TWO; post-write-off ledger</w:t>
            </w:r>
          </w:p>
        </w:tc>
      </w:tr>
      <w:tr>
        <w:tc>
          <w:tcPr>
            <w:tcW w:w="1105" w:type="dxa"/>
          </w:tcPr>
          <w:p>
            <w:pPr>
              <w:pStyle w:val="Compact"/>
              <w:spacing w:after="40"/>
              <w:jc w:val="left"/>
            </w:pPr>
            <w:r>
              <w:rPr>
                <w:sz w:val="18"/>
              </w:rPr>
              <w:t xml:space="preserve">MSME and business (3), CGTMSE</w:t>
            </w:r>
          </w:p>
        </w:tc>
        <w:tc>
          <w:tcPr>
            <w:tcW w:w="1862" w:type="dxa"/>
          </w:tcPr>
          <w:p>
            <w:pPr>
              <w:pStyle w:val="Compact"/>
              <w:spacing w:after="40"/>
              <w:jc w:val="left"/>
            </w:pPr>
            <w:r>
              <w:rPr>
                <w:sz w:val="18"/>
              </w:rPr>
              <w:t xml:space="preserve">SMA monitoring → resolution test (RSA paras 13–15) → recall → SARFAESI if secured and eligible → book-debt notices → guarantors → IBC s.7 or PPIRP for corporates → CGTMSE claim</w:t>
            </w:r>
          </w:p>
        </w:tc>
        <w:tc>
          <w:tcPr>
            <w:tcW w:w="1618" w:type="dxa"/>
          </w:tcPr>
          <w:p>
            <w:pPr>
              <w:pStyle w:val="Compact"/>
              <w:spacing w:after="40"/>
              <w:jc w:val="left"/>
            </w:pPr>
            <w:r>
              <w:rPr>
                <w:sz w:val="18"/>
              </w:rPr>
              <w:t xml:space="preserve">All, incl. IBC for corporate debtors</w:t>
            </w:r>
          </w:p>
        </w:tc>
        <w:tc>
          <w:tcPr>
            <w:tcW w:w="1959" w:type="dxa"/>
          </w:tcPr>
          <w:p>
            <w:pPr>
              <w:pStyle w:val="Compact"/>
              <w:spacing w:after="40"/>
              <w:jc w:val="left"/>
            </w:pPr>
            <w:r>
              <w:rPr>
                <w:sz w:val="18"/>
              </w:rPr>
              <w:t xml:space="preserve">CGTMSE: guarantee live on NPA date; 18-month lock-in; first instalment 75% after legal action, waived ≤ ₹10 lakh [VERIFY: ceilings and lodgement deadline]</w:t>
            </w:r>
          </w:p>
        </w:tc>
        <w:tc>
          <w:tcPr>
            <w:tcW w:w="1002" w:type="dxa"/>
          </w:tcPr>
          <w:p>
            <w:pPr>
              <w:pStyle w:val="Compact"/>
              <w:spacing w:after="40"/>
              <w:jc w:val="left"/>
            </w:pPr>
            <w:r>
              <w:rPr>
                <w:sz w:val="18"/>
              </w:rPr>
              <w:t xml:space="preserve">Stock, receivables (R10.6); mortgage (R4)</w:t>
            </w:r>
          </w:p>
        </w:tc>
        <w:tc>
          <w:tcPr>
            <w:tcW w:w="898" w:type="dxa"/>
          </w:tcPr>
          <w:p>
            <w:pPr>
              <w:pStyle w:val="Compact"/>
              <w:spacing w:after="40"/>
              <w:jc w:val="left"/>
            </w:pPr>
            <w:r>
              <w:rPr>
                <w:sz w:val="18"/>
              </w:rPr>
              <w:t xml:space="preserve">Medium</w:t>
            </w:r>
          </w:p>
        </w:tc>
        <w:tc>
          <w:tcPr>
            <w:tcW w:w="1194" w:type="dxa"/>
          </w:tcPr>
          <w:p>
            <w:pPr>
              <w:pStyle w:val="Compact"/>
              <w:spacing w:after="40"/>
              <w:jc w:val="left"/>
            </w:pPr>
            <w:r>
              <w:rPr>
                <w:sz w:val="18"/>
              </w:rPr>
              <w:t xml:space="preserve">CGTMSE ledger (R12 rows 21, 24)</w:t>
            </w:r>
          </w:p>
        </w:tc>
      </w:tr>
      <w:tr>
        <w:tc>
          <w:tcPr>
            <w:tcW w:w="1105" w:type="dxa"/>
          </w:tcPr>
          <w:p>
            <w:pPr>
              <w:pStyle w:val="Compact"/>
              <w:spacing w:after="40"/>
              <w:jc w:val="left"/>
            </w:pPr>
            <w:r>
              <w:rPr>
                <w:sz w:val="18"/>
              </w:rPr>
              <w:t xml:space="preserve">LAP (4)</w:t>
            </w:r>
          </w:p>
        </w:tc>
        <w:tc>
          <w:tcPr>
            <w:tcW w:w="1862" w:type="dxa"/>
          </w:tcPr>
          <w:p>
            <w:pPr>
              <w:pStyle w:val="Compact"/>
              <w:spacing w:after="40"/>
              <w:jc w:val="left"/>
            </w:pPr>
            <w:r>
              <w:rPr>
                <w:sz w:val="18"/>
              </w:rPr>
              <w:t xml:space="preserve">Recall → s.13(2) → possession → auction → shortfall suit</w:t>
            </w:r>
          </w:p>
        </w:tc>
        <w:tc>
          <w:tcPr>
            <w:tcW w:w="1618" w:type="dxa"/>
          </w:tcPr>
          <w:p>
            <w:pPr>
              <w:pStyle w:val="Compact"/>
              <w:spacing w:after="40"/>
              <w:jc w:val="left"/>
            </w:pPr>
            <w:r>
              <w:rPr>
                <w:sz w:val="18"/>
              </w:rPr>
              <w:t xml:space="preserve">SARFAESI if eligible, suit, settlement, IBC for corporates</w:t>
            </w:r>
          </w:p>
        </w:tc>
        <w:tc>
          <w:tcPr>
            <w:tcW w:w="1959" w:type="dxa"/>
          </w:tcPr>
          <w:p>
            <w:pPr>
              <w:pStyle w:val="Compact"/>
              <w:spacing w:after="40"/>
              <w:jc w:val="left"/>
            </w:pPr>
            <w:r>
              <w:rPr>
                <w:sz w:val="18"/>
              </w:rPr>
              <w:t xml:space="preserve">s.31(i) check; post-notice tenancy void (s.13(13)); documents released in 30 days, ₹5,000/day if late (RBC paras 35, 39 for personal loans; policy for business LAP)</w:t>
            </w:r>
          </w:p>
        </w:tc>
        <w:tc>
          <w:tcPr>
            <w:tcW w:w="1002" w:type="dxa"/>
          </w:tcPr>
          <w:p>
            <w:pPr>
              <w:pStyle w:val="Compact"/>
              <w:spacing w:after="40"/>
              <w:jc w:val="left"/>
            </w:pPr>
            <w:r>
              <w:rPr>
                <w:sz w:val="18"/>
              </w:rPr>
              <w:t xml:space="preserve">R4</w:t>
            </w:r>
          </w:p>
        </w:tc>
        <w:tc>
          <w:tcPr>
            <w:tcW w:w="898" w:type="dxa"/>
          </w:tcPr>
          <w:p>
            <w:pPr>
              <w:pStyle w:val="Compact"/>
              <w:spacing w:after="40"/>
              <w:jc w:val="left"/>
            </w:pPr>
            <w:r>
              <w:rPr>
                <w:sz w:val="18"/>
              </w:rPr>
              <w:t xml:space="preserve">Settlement high; arbitration low (in-rem)</w:t>
            </w:r>
          </w:p>
        </w:tc>
        <w:tc>
          <w:tcPr>
            <w:tcW w:w="1194" w:type="dxa"/>
          </w:tcPr>
          <w:p>
            <w:pPr>
              <w:pStyle w:val="Compact"/>
              <w:spacing w:after="40"/>
              <w:jc w:val="left"/>
            </w:pPr>
            <w:r>
              <w:rPr>
                <w:sz w:val="18"/>
              </w:rPr>
              <w:t xml:space="preserve">s.13(7); surplus ledger</w:t>
            </w:r>
          </w:p>
        </w:tc>
      </w:tr>
      <w:tr>
        <w:tc>
          <w:tcPr>
            <w:tcW w:w="1105" w:type="dxa"/>
          </w:tcPr>
          <w:p>
            <w:pPr>
              <w:pStyle w:val="Compact"/>
              <w:spacing w:after="40"/>
              <w:jc w:val="left"/>
            </w:pPr>
            <w:r>
              <w:rPr>
                <w:sz w:val="18"/>
              </w:rPr>
              <w:t xml:space="preserve">Home (5)</w:t>
            </w:r>
          </w:p>
        </w:tc>
        <w:tc>
          <w:tcPr>
            <w:tcW w:w="1862" w:type="dxa"/>
          </w:tcPr>
          <w:p>
            <w:pPr>
              <w:pStyle w:val="Compact"/>
              <w:spacing w:after="40"/>
              <w:jc w:val="left"/>
            </w:pPr>
            <w:r>
              <w:rPr>
                <w:sz w:val="18"/>
              </w:rPr>
              <w:t xml:space="preserve">Restructuring options (RSA paras 185–187 for Part B NBFCs; HFCs per the HFC Directions [VERIFY]) → recall → SARFAESI with senior review for primary residences [REC] → auction</w:t>
            </w:r>
          </w:p>
        </w:tc>
        <w:tc>
          <w:tcPr>
            <w:tcW w:w="1618" w:type="dxa"/>
          </w:tcPr>
          <w:p>
            <w:pPr>
              <w:pStyle w:val="Compact"/>
              <w:spacing w:after="40"/>
              <w:jc w:val="left"/>
            </w:pPr>
            <w:r>
              <w:rPr>
                <w:sz w:val="18"/>
              </w:rPr>
              <w:t xml:space="preserve">SARFAESI if eligible (HFC tenants: notified, no ₹20 lakh floor; NBFC tenants: ₹100 crore assets and ₹20 lakh floor), suit, settlement</w:t>
            </w:r>
          </w:p>
        </w:tc>
        <w:tc>
          <w:tcPr>
            <w:tcW w:w="1959" w:type="dxa"/>
          </w:tcPr>
          <w:p>
            <w:pPr>
              <w:pStyle w:val="Compact"/>
              <w:spacing w:after="40"/>
              <w:jc w:val="left"/>
            </w:pPr>
            <w:r>
              <w:rPr>
                <w:sz w:val="18"/>
              </w:rPr>
              <w:t xml:space="preserve">RERA and under-construction checks; subsidy flags</w:t>
            </w:r>
          </w:p>
        </w:tc>
        <w:tc>
          <w:tcPr>
            <w:tcW w:w="1002" w:type="dxa"/>
          </w:tcPr>
          <w:p>
            <w:pPr>
              <w:pStyle w:val="Compact"/>
              <w:spacing w:after="40"/>
              <w:jc w:val="left"/>
            </w:pPr>
            <w:r>
              <w:rPr>
                <w:sz w:val="18"/>
              </w:rPr>
              <w:t xml:space="preserve">R4</w:t>
            </w:r>
          </w:p>
        </w:tc>
        <w:tc>
          <w:tcPr>
            <w:tcW w:w="898" w:type="dxa"/>
          </w:tcPr>
          <w:p>
            <w:pPr>
              <w:pStyle w:val="Compact"/>
              <w:spacing w:after="40"/>
              <w:jc w:val="left"/>
            </w:pPr>
            <w:r>
              <w:rPr>
                <w:sz w:val="18"/>
              </w:rPr>
              <w:t xml:space="preserve">Settlement, Lok Adalat</w:t>
            </w:r>
          </w:p>
        </w:tc>
        <w:tc>
          <w:tcPr>
            <w:tcW w:w="1194" w:type="dxa"/>
          </w:tcPr>
          <w:p>
            <w:pPr>
              <w:pStyle w:val="Compact"/>
              <w:spacing w:after="40"/>
              <w:jc w:val="left"/>
            </w:pPr>
            <w:r>
              <w:rPr>
                <w:sz w:val="18"/>
              </w:rPr>
              <w:t xml:space="preserve">As LAP</w:t>
            </w:r>
          </w:p>
        </w:tc>
      </w:tr>
      <w:tr>
        <w:tc>
          <w:tcPr>
            <w:tcW w:w="1105" w:type="dxa"/>
          </w:tcPr>
          <w:p>
            <w:pPr>
              <w:pStyle w:val="Compact"/>
              <w:spacing w:after="40"/>
              <w:jc w:val="left"/>
            </w:pPr>
            <w:r>
              <w:rPr>
                <w:sz w:val="18"/>
              </w:rPr>
              <w:t xml:space="preserve">Vehicle, new and used (6)</w:t>
            </w:r>
          </w:p>
        </w:tc>
        <w:tc>
          <w:tcPr>
            <w:tcW w:w="1862" w:type="dxa"/>
          </w:tcPr>
          <w:p>
            <w:pPr>
              <w:pStyle w:val="Compact"/>
              <w:spacing w:after="40"/>
              <w:jc w:val="left"/>
            </w:pPr>
            <w:r>
              <w:rPr>
                <w:sz w:val="18"/>
              </w:rPr>
              <w:t xml:space="preserve">Reminders → pre-repossession notice → repossession → pre-sale notice → sale → Form 36 → shortfall</w:t>
            </w:r>
          </w:p>
        </w:tc>
        <w:tc>
          <w:tcPr>
            <w:tcW w:w="1618" w:type="dxa"/>
          </w:tcPr>
          <w:p>
            <w:pPr>
              <w:pStyle w:val="Compact"/>
              <w:spacing w:after="40"/>
              <w:jc w:val="left"/>
            </w:pPr>
            <w:r>
              <w:rPr>
                <w:sz w:val="18"/>
              </w:rPr>
              <w:t xml:space="preserve">Contractual repossession, s.138/s.25, settlement, suit</w:t>
            </w:r>
          </w:p>
        </w:tc>
        <w:tc>
          <w:tcPr>
            <w:tcW w:w="1959" w:type="dxa"/>
          </w:tcPr>
          <w:p>
            <w:pPr>
              <w:pStyle w:val="Compact"/>
              <w:spacing w:after="40"/>
              <w:jc w:val="left"/>
            </w:pPr>
            <w:r>
              <w:rPr>
                <w:sz w:val="18"/>
              </w:rPr>
              <w:t xml:space="preserve">RBC para 26 clause; contractual notice (</w:t>
            </w:r>
            <w:r>
              <w:rPr>
                <w:iCs/>
                <w:i/>
                <w:sz w:val="18"/>
              </w:rPr>
              <w:t xml:space="preserve">Hari Dutta Sharma</w:t>
            </w:r>
            <w:r>
              <w:rPr>
                <w:sz w:val="18"/>
              </w:rPr>
              <w:t xml:space="preserve">); Vahan title check for used vehicles</w:t>
            </w:r>
          </w:p>
        </w:tc>
        <w:tc>
          <w:tcPr>
            <w:tcW w:w="1002" w:type="dxa"/>
          </w:tcPr>
          <w:p>
            <w:pPr>
              <w:pStyle w:val="Compact"/>
              <w:spacing w:after="40"/>
              <w:jc w:val="left"/>
            </w:pPr>
            <w:r>
              <w:rPr>
                <w:sz w:val="18"/>
              </w:rPr>
              <w:t xml:space="preserve">R10.2</w:t>
            </w:r>
          </w:p>
        </w:tc>
        <w:tc>
          <w:tcPr>
            <w:tcW w:w="898" w:type="dxa"/>
          </w:tcPr>
          <w:p>
            <w:pPr>
              <w:pStyle w:val="Compact"/>
              <w:spacing w:after="40"/>
              <w:jc w:val="left"/>
            </w:pPr>
            <w:r>
              <w:rPr>
                <w:sz w:val="18"/>
              </w:rPr>
              <w:t xml:space="preserve">Medium</w:t>
            </w:r>
          </w:p>
        </w:tc>
        <w:tc>
          <w:tcPr>
            <w:tcW w:w="1194" w:type="dxa"/>
          </w:tcPr>
          <w:p>
            <w:pPr>
              <w:pStyle w:val="Compact"/>
              <w:spacing w:after="40"/>
              <w:jc w:val="left"/>
            </w:pPr>
            <w:r>
              <w:rPr>
                <w:sz w:val="18"/>
              </w:rPr>
              <w:t xml:space="preserve">Vehicle stays in the loan until sale [interpretation]; sale GST [VERIFY]</w:t>
            </w:r>
          </w:p>
        </w:tc>
      </w:tr>
      <w:tr>
        <w:tc>
          <w:tcPr>
            <w:tcW w:w="1105" w:type="dxa"/>
          </w:tcPr>
          <w:p>
            <w:pPr>
              <w:pStyle w:val="Compact"/>
              <w:spacing w:after="40"/>
              <w:jc w:val="left"/>
            </w:pPr>
            <w:r>
              <w:rPr>
                <w:sz w:val="18"/>
              </w:rPr>
              <w:t xml:space="preserve">Gold and silver (8)</w:t>
            </w:r>
          </w:p>
        </w:tc>
        <w:tc>
          <w:tcPr>
            <w:tcW w:w="1862" w:type="dxa"/>
          </w:tcPr>
          <w:p>
            <w:pPr>
              <w:pStyle w:val="Compact"/>
              <w:spacing w:after="40"/>
              <w:jc w:val="left"/>
            </w:pPr>
            <w:r>
              <w:rPr>
                <w:sz w:val="18"/>
              </w:rPr>
              <w:t xml:space="preserve">LTV watch → repayment notice → auction → surplus</w:t>
            </w:r>
          </w:p>
        </w:tc>
        <w:tc>
          <w:tcPr>
            <w:tcW w:w="1618" w:type="dxa"/>
          </w:tcPr>
          <w:p>
            <w:pPr>
              <w:pStyle w:val="Compact"/>
              <w:spacing w:after="40"/>
              <w:jc w:val="left"/>
            </w:pPr>
            <w:r>
              <w:rPr>
                <w:sz w:val="18"/>
              </w:rPr>
              <w:t xml:space="preserve">Pledge sale only (s.31(b))</w:t>
            </w:r>
          </w:p>
        </w:tc>
        <w:tc>
          <w:tcPr>
            <w:tcW w:w="1959" w:type="dxa"/>
          </w:tcPr>
          <w:p>
            <w:pPr>
              <w:pStyle w:val="Compact"/>
              <w:spacing w:after="40"/>
              <w:jc w:val="left"/>
            </w:pPr>
            <w:r>
              <w:rPr>
                <w:sz w:val="18"/>
              </w:rPr>
              <w:t xml:space="preserve">RBC paras 60–66; release in 7 working days, ₹5,000/day (paras 58, 69); LTV throughout tenor (CF para 44)</w:t>
            </w:r>
          </w:p>
        </w:tc>
        <w:tc>
          <w:tcPr>
            <w:tcW w:w="1002" w:type="dxa"/>
          </w:tcPr>
          <w:p>
            <w:pPr>
              <w:pStyle w:val="Compact"/>
              <w:spacing w:after="40"/>
              <w:jc w:val="left"/>
            </w:pPr>
            <w:r>
              <w:rPr>
                <w:sz w:val="18"/>
              </w:rPr>
              <w:t xml:space="preserve">R10.3</w:t>
            </w:r>
          </w:p>
        </w:tc>
        <w:tc>
          <w:tcPr>
            <w:tcW w:w="898" w:type="dxa"/>
          </w:tcPr>
          <w:p>
            <w:pPr>
              <w:pStyle w:val="Compact"/>
              <w:spacing w:after="40"/>
              <w:jc w:val="left"/>
            </w:pPr>
            <w:r>
              <w:rPr>
                <w:sz w:val="18"/>
              </w:rPr>
              <w:t xml:space="preserve">Low</w:t>
            </w:r>
          </w:p>
        </w:tc>
        <w:tc>
          <w:tcPr>
            <w:tcW w:w="1194" w:type="dxa"/>
          </w:tcPr>
          <w:p>
            <w:pPr>
              <w:pStyle w:val="Compact"/>
              <w:spacing w:after="40"/>
              <w:jc w:val="left"/>
            </w:pPr>
            <w:r>
              <w:rPr>
                <w:sz w:val="18"/>
              </w:rPr>
              <w:t xml:space="preserve">Surplus in 7 working days</w:t>
            </w:r>
          </w:p>
        </w:tc>
      </w:tr>
      <w:tr>
        <w:tc>
          <w:tcPr>
            <w:tcW w:w="1105" w:type="dxa"/>
          </w:tcPr>
          <w:p>
            <w:pPr>
              <w:pStyle w:val="Compact"/>
              <w:spacing w:after="40"/>
              <w:jc w:val="left"/>
            </w:pPr>
            <w:r>
              <w:rPr>
                <w:sz w:val="18"/>
              </w:rPr>
              <w:t xml:space="preserve">LAS and LAMF (7)</w:t>
            </w:r>
          </w:p>
        </w:tc>
        <w:tc>
          <w:tcPr>
            <w:tcW w:w="1862" w:type="dxa"/>
          </w:tcPr>
          <w:p>
            <w:pPr>
              <w:pStyle w:val="Compact"/>
              <w:spacing w:after="40"/>
              <w:jc w:val="left"/>
            </w:pPr>
            <w:r>
              <w:rPr>
                <w:sz w:val="18"/>
              </w:rPr>
              <w:t xml:space="preserve">Daily LTV → margin call → notice → invocation → sale</w:t>
            </w:r>
          </w:p>
        </w:tc>
        <w:tc>
          <w:tcPr>
            <w:tcW w:w="1618" w:type="dxa"/>
          </w:tcPr>
          <w:p>
            <w:pPr>
              <w:pStyle w:val="Compact"/>
              <w:spacing w:after="40"/>
              <w:jc w:val="left"/>
            </w:pPr>
            <w:r>
              <w:rPr>
                <w:sz w:val="18"/>
              </w:rPr>
              <w:t xml:space="preserve">Pledge or lien invocation; shortfall suit</w:t>
            </w:r>
          </w:p>
        </w:tc>
        <w:tc>
          <w:tcPr>
            <w:tcW w:w="1959" w:type="dxa"/>
          </w:tcPr>
          <w:p>
            <w:pPr>
              <w:pStyle w:val="Compact"/>
              <w:spacing w:after="40"/>
              <w:jc w:val="left"/>
            </w:pPr>
            <w:r>
              <w:rPr>
                <w:sz w:val="18"/>
              </w:rPr>
              <w:t xml:space="preserve">CF para 106 (50% LTV, 7 working days); SEBI 5 Feb 2026 notice</w:t>
            </w:r>
          </w:p>
        </w:tc>
        <w:tc>
          <w:tcPr>
            <w:tcW w:w="1002" w:type="dxa"/>
          </w:tcPr>
          <w:p>
            <w:pPr>
              <w:pStyle w:val="Compact"/>
              <w:spacing w:after="40"/>
              <w:jc w:val="left"/>
            </w:pPr>
            <w:r>
              <w:rPr>
                <w:sz w:val="18"/>
              </w:rPr>
              <w:t xml:space="preserve">R10.4</w:t>
            </w:r>
          </w:p>
        </w:tc>
        <w:tc>
          <w:tcPr>
            <w:tcW w:w="898" w:type="dxa"/>
          </w:tcPr>
          <w:p>
            <w:pPr>
              <w:pStyle w:val="Compact"/>
              <w:spacing w:after="40"/>
              <w:jc w:val="left"/>
            </w:pPr>
            <w:r>
              <w:rPr>
                <w:sz w:val="18"/>
              </w:rPr>
              <w:t xml:space="preserve">Low</w:t>
            </w:r>
          </w:p>
        </w:tc>
        <w:tc>
          <w:tcPr>
            <w:tcW w:w="1194" w:type="dxa"/>
          </w:tcPr>
          <w:p>
            <w:pPr>
              <w:pStyle w:val="Compact"/>
              <w:spacing w:after="40"/>
              <w:jc w:val="left"/>
            </w:pPr>
            <w:r>
              <w:rPr>
                <w:sz w:val="18"/>
              </w:rPr>
              <w:t xml:space="preserve">SAST and PIT checks</w:t>
            </w:r>
          </w:p>
        </w:tc>
      </w:tr>
      <w:tr>
        <w:tc>
          <w:tcPr>
            <w:tcW w:w="1105" w:type="dxa"/>
          </w:tcPr>
          <w:p>
            <w:pPr>
              <w:pStyle w:val="Compact"/>
              <w:spacing w:after="40"/>
              <w:jc w:val="left"/>
            </w:pPr>
            <w:r>
              <w:rPr>
                <w:sz w:val="18"/>
              </w:rPr>
              <w:t xml:space="preserve">Loan against FD (no Part 6 template)</w:t>
            </w:r>
          </w:p>
        </w:tc>
        <w:tc>
          <w:tcPr>
            <w:tcW w:w="1862" w:type="dxa"/>
          </w:tcPr>
          <w:p>
            <w:pPr>
              <w:pStyle w:val="Compact"/>
              <w:spacing w:after="40"/>
              <w:jc w:val="left"/>
            </w:pPr>
            <w:r>
              <w:rPr>
                <w:sz w:val="18"/>
              </w:rPr>
              <w:t xml:space="preserve">Demand → set-off notice → appropriation</w:t>
            </w:r>
          </w:p>
        </w:tc>
        <w:tc>
          <w:tcPr>
            <w:tcW w:w="1618" w:type="dxa"/>
          </w:tcPr>
          <w:p>
            <w:pPr>
              <w:pStyle w:val="Compact"/>
              <w:spacing w:after="40"/>
              <w:jc w:val="left"/>
            </w:pPr>
            <w:r>
              <w:rPr>
                <w:sz w:val="18"/>
              </w:rPr>
              <w:t xml:space="preserve">Contractual set-off</w:t>
            </w:r>
          </w:p>
        </w:tc>
        <w:tc>
          <w:tcPr>
            <w:tcW w:w="1959" w:type="dxa"/>
          </w:tcPr>
          <w:p>
            <w:pPr>
              <w:pStyle w:val="Compact"/>
              <w:spacing w:after="40"/>
              <w:jc w:val="left"/>
            </w:pPr>
            <w:r>
              <w:rPr>
                <w:sz w:val="18"/>
              </w:rPr>
              <w:t xml:space="preserve">RBC para 17 notice</w:t>
            </w:r>
          </w:p>
        </w:tc>
        <w:tc>
          <w:tcPr>
            <w:tcW w:w="1002" w:type="dxa"/>
          </w:tcPr>
          <w:p>
            <w:pPr>
              <w:pStyle w:val="Compact"/>
              <w:spacing w:after="40"/>
              <w:jc w:val="left"/>
            </w:pPr>
            <w:r>
              <w:rPr>
                <w:sz w:val="18"/>
              </w:rPr>
              <w:t xml:space="preserve">R10.5</w:t>
            </w:r>
          </w:p>
        </w:tc>
        <w:tc>
          <w:tcPr>
            <w:tcW w:w="898" w:type="dxa"/>
          </w:tcPr>
          <w:p>
            <w:pPr>
              <w:pStyle w:val="Compact"/>
              <w:spacing w:after="40"/>
              <w:jc w:val="left"/>
            </w:pPr>
            <w:r>
              <w:rPr>
                <w:sz w:val="18"/>
              </w:rPr>
              <w:t xml:space="preserve">—</w:t>
            </w:r>
          </w:p>
        </w:tc>
        <w:tc>
          <w:tcPr>
            <w:tcW w:w="1194" w:type="dxa"/>
          </w:tcPr>
          <w:p>
            <w:pPr>
              <w:pStyle w:val="Compact"/>
              <w:spacing w:after="40"/>
              <w:jc w:val="left"/>
            </w:pPr>
            <w:r>
              <w:rPr>
                <w:sz w:val="18"/>
              </w:rPr>
              <w:t xml:space="preserve">Surplus refund</w:t>
            </w:r>
          </w:p>
        </w:tc>
      </w:tr>
      <w:tr>
        <w:tc>
          <w:tcPr>
            <w:tcW w:w="1105" w:type="dxa"/>
          </w:tcPr>
          <w:p>
            <w:pPr>
              <w:pStyle w:val="Compact"/>
              <w:spacing w:after="40"/>
              <w:jc w:val="left"/>
            </w:pPr>
            <w:r>
              <w:rPr>
                <w:sz w:val="18"/>
              </w:rPr>
              <w:t xml:space="preserve">Microfinance (11)</w:t>
            </w:r>
          </w:p>
        </w:tc>
        <w:tc>
          <w:tcPr>
            <w:tcW w:w="1862" w:type="dxa"/>
          </w:tcPr>
          <w:p>
            <w:pPr>
              <w:pStyle w:val="Compact"/>
              <w:spacing w:after="40"/>
              <w:jc w:val="left"/>
            </w:pPr>
            <w:r>
              <w:rPr>
                <w:sz w:val="18"/>
              </w:rPr>
              <w:t xml:space="preserve">Centre follow-up → designated-place collection → visit only after 2 or more successive non-appearances → Lok Adalat → TWO</w:t>
            </w:r>
          </w:p>
        </w:tc>
        <w:tc>
          <w:tcPr>
            <w:tcW w:w="1618" w:type="dxa"/>
          </w:tcPr>
          <w:p>
            <w:pPr>
              <w:pStyle w:val="Compact"/>
              <w:spacing w:after="40"/>
              <w:jc w:val="left"/>
            </w:pPr>
            <w:r>
              <w:rPr>
                <w:sz w:val="18"/>
              </w:rPr>
              <w:t xml:space="preserve">Settlement, Lok Adalat; no SARFAESI</w:t>
            </w:r>
          </w:p>
        </w:tc>
        <w:tc>
          <w:tcPr>
            <w:tcW w:w="1959" w:type="dxa"/>
          </w:tcPr>
          <w:p>
            <w:pPr>
              <w:pStyle w:val="Compact"/>
              <w:spacing w:after="40"/>
              <w:jc w:val="left"/>
            </w:pPr>
            <w:r>
              <w:rPr>
                <w:sz w:val="18"/>
              </w:rPr>
              <w:t xml:space="preserve">09:00–18:00 until 31 Dec 2026 (RBC paras 90–91), then the Third Amendment pack [VERIFY]; Karnataka Act 15 of 2025, Tamil Nadu Act 2025, Assam Act 2020 overlays; no coercive use of group liability</w:t>
            </w:r>
          </w:p>
        </w:tc>
        <w:tc>
          <w:tcPr>
            <w:tcW w:w="1002" w:type="dxa"/>
          </w:tcPr>
          <w:p>
            <w:pPr>
              <w:pStyle w:val="Compact"/>
              <w:spacing w:after="40"/>
              <w:jc w:val="left"/>
            </w:pPr>
            <w:r>
              <w:rPr>
                <w:sz w:val="18"/>
              </w:rPr>
              <w:t xml:space="preserve">None</w:t>
            </w:r>
          </w:p>
        </w:tc>
        <w:tc>
          <w:tcPr>
            <w:tcW w:w="898" w:type="dxa"/>
          </w:tcPr>
          <w:p>
            <w:pPr>
              <w:pStyle w:val="Compact"/>
              <w:spacing w:after="40"/>
              <w:jc w:val="left"/>
            </w:pPr>
            <w:r>
              <w:rPr>
                <w:sz w:val="18"/>
              </w:rPr>
              <w:t xml:space="preserve">Lok Adalat</w:t>
            </w:r>
          </w:p>
        </w:tc>
        <w:tc>
          <w:tcPr>
            <w:tcW w:w="1194" w:type="dxa"/>
          </w:tcPr>
          <w:p>
            <w:pPr>
              <w:pStyle w:val="Compact"/>
              <w:spacing w:after="40"/>
              <w:jc w:val="left"/>
            </w:pPr>
            <w:r>
              <w:rPr>
                <w:sz w:val="18"/>
              </w:rPr>
              <w:t xml:space="preserve">MFI provisioning</w:t>
            </w:r>
          </w:p>
        </w:tc>
      </w:tr>
      <w:tr>
        <w:tc>
          <w:tcPr>
            <w:tcW w:w="1105" w:type="dxa"/>
          </w:tcPr>
          <w:p>
            <w:pPr>
              <w:pStyle w:val="Compact"/>
              <w:spacing w:after="40"/>
              <w:jc w:val="left"/>
            </w:pPr>
            <w:r>
              <w:rPr>
                <w:sz w:val="18"/>
              </w:rPr>
              <w:t xml:space="preserve">Supply chain, invoice, channel, TReDS (12)</w:t>
            </w:r>
          </w:p>
        </w:tc>
        <w:tc>
          <w:tcPr>
            <w:tcW w:w="1862" w:type="dxa"/>
          </w:tcPr>
          <w:p>
            <w:pPr>
              <w:pStyle w:val="Compact"/>
              <w:spacing w:after="40"/>
              <w:jc w:val="left"/>
            </w:pPr>
            <w:r>
              <w:rPr>
                <w:sz w:val="18"/>
              </w:rPr>
              <w:t xml:space="preserve">Due-date watch → demand on buyer or anchor → platform settlement-failure process → supplier recourse only where structured → suit</w:t>
            </w:r>
          </w:p>
        </w:tc>
        <w:tc>
          <w:tcPr>
            <w:tcW w:w="1618" w:type="dxa"/>
          </w:tcPr>
          <w:p>
            <w:pPr>
              <w:pStyle w:val="Compact"/>
              <w:spacing w:after="40"/>
              <w:jc w:val="left"/>
            </w:pPr>
            <w:r>
              <w:rPr>
                <w:sz w:val="18"/>
              </w:rPr>
              <w:t xml:space="preserve">Buyer claim, factoring rights, supplier recourse</w:t>
            </w:r>
          </w:p>
        </w:tc>
        <w:tc>
          <w:tcPr>
            <w:tcW w:w="1959" w:type="dxa"/>
          </w:tcPr>
          <w:p>
            <w:pPr>
              <w:pStyle w:val="Compact"/>
              <w:spacing w:after="40"/>
              <w:jc w:val="left"/>
            </w:pPr>
            <w:r>
              <w:rPr>
                <w:sz w:val="18"/>
              </w:rPr>
              <w:t xml:space="preserve">TReDS: no recourse to the MSME seller, buyer cannot set off disputes (TReDS Directions 2026); supplier’s MSEFC route (MSMED Act s.18(4)) where assisting</w:t>
            </w:r>
          </w:p>
        </w:tc>
        <w:tc>
          <w:tcPr>
            <w:tcW w:w="1002" w:type="dxa"/>
          </w:tcPr>
          <w:p>
            <w:pPr>
              <w:pStyle w:val="Compact"/>
              <w:spacing w:after="40"/>
              <w:jc w:val="left"/>
            </w:pPr>
            <w:r>
              <w:rPr>
                <w:sz w:val="18"/>
              </w:rPr>
              <w:t xml:space="preserve">R10.6</w:t>
            </w:r>
          </w:p>
        </w:tc>
        <w:tc>
          <w:tcPr>
            <w:tcW w:w="898" w:type="dxa"/>
          </w:tcPr>
          <w:p>
            <w:pPr>
              <w:pStyle w:val="Compact"/>
              <w:spacing w:after="40"/>
              <w:jc w:val="left"/>
            </w:pPr>
            <w:r>
              <w:rPr>
                <w:sz w:val="18"/>
              </w:rPr>
              <w:t xml:space="preserve">Medium (B2B conciliation)</w:t>
            </w:r>
          </w:p>
        </w:tc>
        <w:tc>
          <w:tcPr>
            <w:tcW w:w="1194" w:type="dxa"/>
          </w:tcPr>
          <w:p>
            <w:pPr>
              <w:pStyle w:val="Compact"/>
              <w:spacing w:after="40"/>
              <w:jc w:val="left"/>
            </w:pPr>
            <w:r>
              <w:rPr>
                <w:sz w:val="18"/>
              </w:rPr>
              <w:t xml:space="preserve">Revolving variants flagged [VERIFY: Aug 2026 draft]</w:t>
            </w:r>
          </w:p>
        </w:tc>
      </w:tr>
      <w:tr>
        <w:tc>
          <w:tcPr>
            <w:tcW w:w="1105" w:type="dxa"/>
          </w:tcPr>
          <w:p>
            <w:pPr>
              <w:pStyle w:val="Compact"/>
              <w:spacing w:after="40"/>
              <w:jc w:val="left"/>
            </w:pPr>
            <w:r>
              <w:rPr>
                <w:sz w:val="18"/>
              </w:rPr>
              <w:t xml:space="preserve">Education (9)</w:t>
            </w:r>
          </w:p>
        </w:tc>
        <w:tc>
          <w:tcPr>
            <w:tcW w:w="1862" w:type="dxa"/>
          </w:tcPr>
          <w:p>
            <w:pPr>
              <w:pStyle w:val="Compact"/>
              <w:spacing w:after="40"/>
              <w:jc w:val="left"/>
            </w:pPr>
            <w:r>
              <w:rPr>
                <w:sz w:val="18"/>
              </w:rPr>
              <w:t xml:space="preserve">Moratorium and grace tracking → co-borrower contact → restructuring test → recall → suit</w:t>
            </w:r>
          </w:p>
        </w:tc>
        <w:tc>
          <w:tcPr>
            <w:tcW w:w="1618" w:type="dxa"/>
          </w:tcPr>
          <w:p>
            <w:pPr>
              <w:pStyle w:val="Compact"/>
              <w:spacing w:after="40"/>
              <w:jc w:val="left"/>
            </w:pPr>
            <w:r>
              <w:rPr>
                <w:sz w:val="18"/>
              </w:rPr>
              <w:t xml:space="preserve">Settlement, suit, SARFAESI if secured and eligible</w:t>
            </w:r>
          </w:p>
        </w:tc>
        <w:tc>
          <w:tcPr>
            <w:tcW w:w="1959" w:type="dxa"/>
          </w:tcPr>
          <w:p>
            <w:pPr>
              <w:pStyle w:val="Compact"/>
              <w:spacing w:after="40"/>
              <w:jc w:val="left"/>
            </w:pPr>
            <w:r>
              <w:rPr>
                <w:sz w:val="18"/>
              </w:rPr>
              <w:t xml:space="preserve">Co-borrower conduct rules; sensitive-occasion blackouts (R15.1)</w:t>
            </w:r>
          </w:p>
        </w:tc>
        <w:tc>
          <w:tcPr>
            <w:tcW w:w="1002" w:type="dxa"/>
          </w:tcPr>
          <w:p>
            <w:pPr>
              <w:pStyle w:val="Compact"/>
              <w:spacing w:after="40"/>
              <w:jc w:val="left"/>
            </w:pPr>
            <w:r>
              <w:rPr>
                <w:sz w:val="18"/>
              </w:rPr>
              <w:t xml:space="preserve">Collateral if any</w:t>
            </w:r>
          </w:p>
        </w:tc>
        <w:tc>
          <w:tcPr>
            <w:tcW w:w="898" w:type="dxa"/>
          </w:tcPr>
          <w:p>
            <w:pPr>
              <w:pStyle w:val="Compact"/>
              <w:spacing w:after="40"/>
              <w:jc w:val="left"/>
            </w:pPr>
            <w:r>
              <w:rPr>
                <w:sz w:val="18"/>
              </w:rPr>
              <w:t xml:space="preserve">High (conciliation)</w:t>
            </w:r>
          </w:p>
        </w:tc>
        <w:tc>
          <w:tcPr>
            <w:tcW w:w="1194" w:type="dxa"/>
          </w:tcPr>
          <w:p>
            <w:pPr>
              <w:pStyle w:val="Compact"/>
              <w:spacing w:after="40"/>
              <w:jc w:val="left"/>
            </w:pPr>
            <w:r>
              <w:rPr>
                <w:sz w:val="18"/>
              </w:rPr>
              <w:t xml:space="preserve">—</w:t>
            </w:r>
          </w:p>
        </w:tc>
      </w:tr>
      <w:tr>
        <w:tc>
          <w:tcPr>
            <w:tcW w:w="1105" w:type="dxa"/>
          </w:tcPr>
          <w:p>
            <w:pPr>
              <w:pStyle w:val="Compact"/>
              <w:spacing w:after="40"/>
              <w:jc w:val="left"/>
            </w:pPr>
            <w:r>
              <w:rPr>
                <w:sz w:val="18"/>
              </w:rPr>
              <w:t xml:space="preserve">Medical, legal-expense, resolution, debt-reset (13–16, pilots)</w:t>
            </w:r>
          </w:p>
        </w:tc>
        <w:tc>
          <w:tcPr>
            <w:tcW w:w="1862" w:type="dxa"/>
          </w:tcPr>
          <w:p>
            <w:pPr>
              <w:pStyle w:val="Compact"/>
              <w:spacing w:after="40"/>
              <w:jc w:val="left"/>
            </w:pPr>
            <w:r>
              <w:rPr>
                <w:sz w:val="18"/>
              </w:rPr>
              <w:t xml:space="preserve">Base secured or unsecured playbook plus pilot limits</w:t>
            </w:r>
          </w:p>
        </w:tc>
        <w:tc>
          <w:tcPr>
            <w:tcW w:w="1618" w:type="dxa"/>
          </w:tcPr>
          <w:p>
            <w:pPr>
              <w:pStyle w:val="Compact"/>
              <w:spacing w:after="40"/>
              <w:jc w:val="left"/>
            </w:pPr>
            <w:r>
              <w:rPr>
                <w:sz w:val="18"/>
              </w:rPr>
              <w:t xml:space="preserve">Per base</w:t>
            </w:r>
          </w:p>
        </w:tc>
        <w:tc>
          <w:tcPr>
            <w:tcW w:w="1959" w:type="dxa"/>
          </w:tcPr>
          <w:p>
            <w:pPr>
              <w:pStyle w:val="Compact"/>
              <w:spacing w:after="40"/>
              <w:jc w:val="left"/>
            </w:pPr>
            <w:r>
              <w:rPr>
                <w:sz w:val="18"/>
              </w:rPr>
              <w:t xml:space="preserve">Refinancing the tenant’s own stressed account is restructuring (RSA paras 10(12), 169)</w:t>
            </w:r>
          </w:p>
        </w:tc>
        <w:tc>
          <w:tcPr>
            <w:tcW w:w="1002" w:type="dxa"/>
          </w:tcPr>
          <w:p>
            <w:pPr>
              <w:pStyle w:val="Compact"/>
              <w:spacing w:after="40"/>
              <w:jc w:val="left"/>
            </w:pPr>
            <w:r>
              <w:rPr>
                <w:sz w:val="18"/>
              </w:rPr>
              <w:t xml:space="preserve">Per base</w:t>
            </w:r>
          </w:p>
        </w:tc>
        <w:tc>
          <w:tcPr>
            <w:tcW w:w="898" w:type="dxa"/>
          </w:tcPr>
          <w:p>
            <w:pPr>
              <w:pStyle w:val="Compact"/>
              <w:spacing w:after="40"/>
              <w:jc w:val="left"/>
            </w:pPr>
            <w:r>
              <w:rPr>
                <w:sz w:val="18"/>
              </w:rPr>
              <w:t xml:space="preserve">Per base</w:t>
            </w:r>
          </w:p>
        </w:tc>
        <w:tc>
          <w:tcPr>
            <w:tcW w:w="1194" w:type="dxa"/>
          </w:tcPr>
          <w:p>
            <w:pPr>
              <w:pStyle w:val="Compact"/>
              <w:spacing w:after="40"/>
              <w:jc w:val="left"/>
            </w:pPr>
            <w:r>
              <w:rPr>
                <w:sz w:val="18"/>
              </w:rPr>
              <w:t xml:space="preserve">Restructuring tags</w:t>
            </w:r>
          </w:p>
        </w:tc>
      </w:tr>
      <w:tr>
        <w:tc>
          <w:tcPr>
            <w:tcW w:w="1105" w:type="dxa"/>
          </w:tcPr>
          <w:p>
            <w:pPr>
              <w:pStyle w:val="Compact"/>
              <w:spacing w:after="40"/>
              <w:jc w:val="left"/>
            </w:pPr>
            <w:r>
              <w:rPr>
                <w:sz w:val="18"/>
              </w:rPr>
              <w:t xml:space="preserve">Corporate, entity, project (18, 21); demand loans (20)</w:t>
            </w:r>
          </w:p>
        </w:tc>
        <w:tc>
          <w:tcPr>
            <w:tcW w:w="1862" w:type="dxa"/>
          </w:tcPr>
          <w:p>
            <w:pPr>
              <w:pStyle w:val="Compact"/>
              <w:spacing w:after="40"/>
              <w:jc w:val="left"/>
            </w:pPr>
            <w:r>
              <w:rPr>
                <w:sz w:val="18"/>
              </w:rPr>
              <w:t xml:space="preserve">Early warning and credit events → ICA in the Review Period → resolution plan → share-pledge invocation and TRA/DSRA sweep → SARFAESI (s.13(9) if shared) → IBC s.7</w:t>
            </w:r>
          </w:p>
        </w:tc>
        <w:tc>
          <w:tcPr>
            <w:tcW w:w="1618" w:type="dxa"/>
          </w:tcPr>
          <w:p>
            <w:pPr>
              <w:pStyle w:val="Compact"/>
              <w:spacing w:after="40"/>
              <w:jc w:val="left"/>
            </w:pPr>
            <w:r>
              <w:rPr>
                <w:sz w:val="18"/>
              </w:rPr>
              <w:t xml:space="preserve">ICA, SARFAESI, IBC, suit, institutional arbitration</w:t>
            </w:r>
          </w:p>
        </w:tc>
        <w:tc>
          <w:tcPr>
            <w:tcW w:w="1959" w:type="dxa"/>
          </w:tcPr>
          <w:p>
            <w:pPr>
              <w:pStyle w:val="Compact"/>
              <w:spacing w:after="40"/>
              <w:jc w:val="left"/>
            </w:pPr>
            <w:r>
              <w:rPr>
                <w:sz w:val="18"/>
              </w:rPr>
              <w:t xml:space="preserve">Credit events to all members (RSA para 107); CRILC (paras 20–21); demand loans per CF para 107</w:t>
            </w:r>
          </w:p>
        </w:tc>
        <w:tc>
          <w:tcPr>
            <w:tcW w:w="1002" w:type="dxa"/>
          </w:tcPr>
          <w:p>
            <w:pPr>
              <w:pStyle w:val="Compact"/>
              <w:spacing w:after="40"/>
              <w:jc w:val="left"/>
            </w:pPr>
            <w:r>
              <w:rPr>
                <w:sz w:val="18"/>
              </w:rPr>
              <w:t xml:space="preserve">R10.4, R4, R10.6</w:t>
            </w:r>
          </w:p>
        </w:tc>
        <w:tc>
          <w:tcPr>
            <w:tcW w:w="898" w:type="dxa"/>
          </w:tcPr>
          <w:p>
            <w:pPr>
              <w:pStyle w:val="Compact"/>
              <w:spacing w:after="40"/>
              <w:jc w:val="left"/>
            </w:pPr>
            <w:r>
              <w:rPr>
                <w:sz w:val="18"/>
              </w:rPr>
              <w:t xml:space="preserve">Medium</w:t>
            </w:r>
          </w:p>
        </w:tc>
        <w:tc>
          <w:tcPr>
            <w:tcW w:w="1194" w:type="dxa"/>
          </w:tcPr>
          <w:p>
            <w:pPr>
              <w:pStyle w:val="Compact"/>
              <w:spacing w:after="40"/>
              <w:jc w:val="left"/>
            </w:pPr>
            <w:r>
              <w:rPr>
                <w:sz w:val="18"/>
              </w:rPr>
              <w:t xml:space="preserve">ICA provisions; IBC instruments</w:t>
            </w:r>
          </w:p>
        </w:tc>
      </w:tr>
      <w:tr>
        <w:tc>
          <w:tcPr>
            <w:tcW w:w="1105" w:type="dxa"/>
          </w:tcPr>
          <w:p>
            <w:pPr>
              <w:pStyle w:val="Compact"/>
              <w:spacing w:after="40"/>
              <w:jc w:val="left"/>
            </w:pPr>
            <w:r>
              <w:rPr>
                <w:sz w:val="18"/>
              </w:rPr>
              <w:t xml:space="preserve">Co-lent (17), assigned, securitised</w:t>
            </w:r>
          </w:p>
        </w:tc>
        <w:tc>
          <w:tcPr>
            <w:tcW w:w="1862" w:type="dxa"/>
          </w:tcPr>
          <w:p>
            <w:pPr>
              <w:pStyle w:val="Compact"/>
              <w:spacing w:after="40"/>
              <w:jc w:val="left"/>
            </w:pPr>
            <w:r>
              <w:rPr>
                <w:sz w:val="18"/>
              </w:rPr>
              <w:t xml:space="preserve">Product playbook with the R13 overlay</w:t>
            </w:r>
          </w:p>
        </w:tc>
        <w:tc>
          <w:tcPr>
            <w:tcW w:w="1618" w:type="dxa"/>
          </w:tcPr>
          <w:p>
            <w:pPr>
              <w:pStyle w:val="Compact"/>
              <w:spacing w:after="40"/>
              <w:jc w:val="left"/>
            </w:pPr>
            <w:r>
              <w:rPr>
                <w:sz w:val="18"/>
              </w:rPr>
              <w:t xml:space="preserve">Only R13-matrix actions</w:t>
            </w:r>
          </w:p>
        </w:tc>
        <w:tc>
          <w:tcPr>
            <w:tcW w:w="1959" w:type="dxa"/>
          </w:tcPr>
          <w:p>
            <w:pPr>
              <w:pStyle w:val="Compact"/>
              <w:spacing w:after="40"/>
              <w:jc w:val="left"/>
            </w:pPr>
            <w:r>
              <w:rPr>
                <w:sz w:val="18"/>
              </w:rPr>
              <w:t xml:space="preserve">Classification sync by next working day; per-share CIC</w:t>
            </w:r>
          </w:p>
        </w:tc>
        <w:tc>
          <w:tcPr>
            <w:tcW w:w="1002" w:type="dxa"/>
          </w:tcPr>
          <w:p>
            <w:pPr>
              <w:pStyle w:val="Compact"/>
              <w:spacing w:after="40"/>
              <w:jc w:val="left"/>
            </w:pPr>
            <w:r>
              <w:rPr>
                <w:sz w:val="18"/>
              </w:rPr>
              <w:t xml:space="preserve">Per product</w:t>
            </w:r>
          </w:p>
        </w:tc>
        <w:tc>
          <w:tcPr>
            <w:tcW w:w="898" w:type="dxa"/>
          </w:tcPr>
          <w:p>
            <w:pPr>
              <w:pStyle w:val="Compact"/>
              <w:spacing w:after="40"/>
              <w:jc w:val="left"/>
            </w:pPr>
            <w:r>
              <w:rPr>
                <w:sz w:val="18"/>
              </w:rPr>
              <w:t xml:space="preserve">Per-share approval</w:t>
            </w:r>
          </w:p>
        </w:tc>
        <w:tc>
          <w:tcPr>
            <w:tcW w:w="1194" w:type="dxa"/>
          </w:tcPr>
          <w:p>
            <w:pPr>
              <w:pStyle w:val="Compact"/>
              <w:spacing w:after="40"/>
              <w:jc w:val="left"/>
            </w:pPr>
            <w:r>
              <w:rPr>
                <w:sz w:val="18"/>
              </w:rPr>
              <w:t xml:space="preserve">R12 rows 17–18</w:t>
            </w:r>
          </w:p>
        </w:tc>
      </w:tr>
      <w:tr>
        <w:tc>
          <w:tcPr>
            <w:tcW w:w="1105" w:type="dxa"/>
          </w:tcPr>
          <w:p>
            <w:pPr>
              <w:pStyle w:val="Compact"/>
              <w:spacing w:after="40"/>
              <w:jc w:val="left"/>
            </w:pPr>
            <w:r>
              <w:rPr>
                <w:sz w:val="18"/>
              </w:rPr>
              <w:t xml:space="preserve">Revolving or card-like lines</w:t>
            </w:r>
          </w:p>
        </w:tc>
        <w:tc>
          <w:tcPr>
            <w:tcW w:w="1862" w:type="dxa"/>
          </w:tcPr>
          <w:p>
            <w:pPr>
              <w:pStyle w:val="Compact"/>
              <w:spacing w:after="40"/>
              <w:jc w:val="left"/>
            </w:pPr>
            <w:r>
              <w:rPr>
                <w:sz w:val="18"/>
              </w:rPr>
              <w:t xml:space="preserve">Disabled unless authorised and flagged on</w:t>
            </w:r>
          </w:p>
        </w:tc>
        <w:tc>
          <w:tcPr>
            <w:tcW w:w="1618" w:type="dxa"/>
          </w:tcPr>
          <w:p>
            <w:pPr>
              <w:pStyle w:val="Compact"/>
              <w:spacing w:after="40"/>
              <w:jc w:val="left"/>
            </w:pPr>
            <w:r>
              <w:rPr>
                <w:sz w:val="18"/>
              </w:rPr>
              <w:t xml:space="preserve">—</w:t>
            </w:r>
          </w:p>
        </w:tc>
        <w:tc>
          <w:tcPr>
            <w:tcW w:w="1959" w:type="dxa"/>
          </w:tcPr>
          <w:p>
            <w:pPr>
              <w:pStyle w:val="Compact"/>
              <w:spacing w:after="40"/>
              <w:jc w:val="left"/>
            </w:pPr>
            <w:r>
              <w:rPr>
                <w:sz w:val="18"/>
              </w:rPr>
              <w:t xml:space="preserve">Draft NBFC revolving-credit restriction (6 Aug 2026) [VERIFY: final status]</w:t>
            </w:r>
          </w:p>
        </w:tc>
        <w:tc>
          <w:tcPr>
            <w:tcW w:w="1002" w:type="dxa"/>
          </w:tcPr>
          <w:p>
            <w:pPr>
              <w:pStyle w:val="Compact"/>
              <w:spacing w:after="40"/>
              <w:jc w:val="left"/>
            </w:pPr>
            <w:r>
              <w:rPr>
                <w:sz w:val="18"/>
              </w:rPr>
              <w:t xml:space="preserve">—</w:t>
            </w:r>
          </w:p>
        </w:tc>
        <w:tc>
          <w:tcPr>
            <w:tcW w:w="898" w:type="dxa"/>
          </w:tcPr>
          <w:p>
            <w:pPr>
              <w:pStyle w:val="Compact"/>
              <w:spacing w:after="40"/>
              <w:jc w:val="left"/>
            </w:pPr>
            <w:r>
              <w:rPr>
                <w:sz w:val="18"/>
              </w:rPr>
              <w:t xml:space="preserve">—</w:t>
            </w:r>
          </w:p>
        </w:tc>
        <w:tc>
          <w:tcPr>
            <w:tcW w:w="1194" w:type="dxa"/>
          </w:tcPr>
          <w:p>
            <w:pPr>
              <w:pStyle w:val="Compact"/>
              <w:spacing w:after="40"/>
              <w:jc w:val="left"/>
            </w:pPr>
            <w:r>
              <w:rPr>
                <w:sz w:val="18"/>
              </w:rPr>
              <w:t xml:space="preserve">—</w:t>
            </w:r>
          </w:p>
        </w:tc>
      </w:tr>
    </w:tbl>
    <w:p>
      <w:pPr>
        <w:pStyle w:val="BodyText"/>
      </w:pPr>
      <w:r>
        <w:rPr>
          <w:bCs/>
          <w:b/>
        </w:rPr>
        <w:t xml:space="preserve">Playbook notes [REC].</w:t>
      </w:r>
      <w:r>
        <w:t xml:space="preserve"> </w:t>
      </w:r>
      <w:r>
        <w:t xml:space="preserve">Run the R4 gate at SMA-2 for LAP and home loans so CERSAI, title and agricultural-land defects are fixed before NPA, and offer a settlement before any sale notice on a primary residence; mark the CGTMSE portal by the quarter after NPA; build the IBC readiness pack (R6.2) from SMA-2 for corporates; release timers for gold and property documents run independently of recovery.</w:t>
      </w:r>
    </w:p>
    <w:p>
      <w:pPr>
        <w:pStyle w:val="BodyText"/>
      </w:pPr>
      <w:r>
        <w:rPr>
          <w:bCs/>
          <w:b/>
        </w:rPr>
        <w:t xml:space="preserve">Controls.</w:t>
      </w:r>
      <w:r>
        <w:t xml:space="preserve"> </w:t>
      </w:r>
      <w:r>
        <w:t xml:space="preserve">Lint against floors (contact windows, notice periods, gold reserve, no SARFAESI for pledges, no DRT for un-notified tenants, Gate A for arbitration, microfinance visit rule); approval of each version; every executed step records the playbook version.</w:t>
      </w:r>
    </w:p>
    <w:p>
      <w:pPr>
        <w:pStyle w:val="BodyText"/>
      </w:pPr>
      <w:r>
        <w:rPr>
          <w:bCs/>
          <w:b/>
        </w:rPr>
        <w:t xml:space="preserve">Data captured.</w:t>
      </w:r>
      <w:r>
        <w:t xml:space="preserve"> </w:t>
      </w:r>
      <w:r>
        <w:rPr>
          <w:rStyle w:val="VerbatimChar"/>
        </w:rPr>
        <w:t xml:space="preserve">recovery_playbook</w:t>
      </w:r>
      <w:r>
        <w:t xml:space="preserve">,</w:t>
      </w:r>
      <w:r>
        <w:t xml:space="preserve"> </w:t>
      </w:r>
      <w:r>
        <w:rPr>
          <w:rStyle w:val="VerbatimChar"/>
        </w:rPr>
        <w:t xml:space="preserve">playbook_step</w:t>
      </w:r>
      <w:r>
        <w:t xml:space="preserve">,</w:t>
      </w:r>
      <w:r>
        <w:t xml:space="preserve"> </w:t>
      </w:r>
      <w:r>
        <w:rPr>
          <w:rStyle w:val="VerbatimChar"/>
        </w:rPr>
        <w:t xml:space="preserve">playbook_lint_result</w:t>
      </w:r>
      <w:r>
        <w:t xml:space="preserve">.</w:t>
      </w:r>
    </w:p>
    <w:p>
      <w:pPr>
        <w:pStyle w:val="BodyText"/>
      </w:pPr>
      <w:r>
        <w:rPr>
          <w:bCs/>
          <w:b/>
        </w:rPr>
        <w:t xml:space="preserve">Configuration.</w:t>
      </w:r>
      <w:r>
        <w:t xml:space="preserve"> </w:t>
      </w:r>
      <w:r>
        <w:t xml:space="preserve">Per tenant, product, branch and segment; effective dating; variants; state overlays.</w:t>
      </w:r>
    </w:p>
    <w:p>
      <w:pPr>
        <w:pStyle w:val="BodyText"/>
      </w:pPr>
      <w:r>
        <w:rPr>
          <w:bCs/>
          <w:b/>
        </w:rPr>
        <w:t xml:space="preserve">Events.</w:t>
      </w:r>
      <w:r>
        <w:t xml:space="preserve"> </w:t>
      </w:r>
      <w:r>
        <w:rPr>
          <w:rStyle w:val="VerbatimChar"/>
        </w:rPr>
        <w:t xml:space="preserve">RecoveryCaseOpened</w:t>
      </w:r>
      <w:r>
        <w:t xml:space="preserve"> </w:t>
      </w:r>
      <w:r>
        <w:t xml:space="preserve">(playbook version),</w:t>
      </w:r>
      <w:r>
        <w:t xml:space="preserve"> </w:t>
      </w:r>
      <w:r>
        <w:rPr>
          <w:rStyle w:val="VerbatimChar"/>
        </w:rPr>
        <w:t xml:space="preserve">RecoveryStrategyChanged</w:t>
      </w:r>
      <w:r>
        <w:t xml:space="preserve">,</w:t>
      </w:r>
      <w:r>
        <w:t xml:space="preserve"> </w:t>
      </w:r>
      <w:r>
        <w:rPr>
          <w:rStyle w:val="VerbatimChar"/>
        </w:rPr>
        <w:t xml:space="preserve">PolicyAttested</w:t>
      </w:r>
      <w:r>
        <w:t xml:space="preserve">.</w:t>
      </w:r>
    </w:p>
    <w:p>
      <w:pPr>
        <w:pStyle w:val="BodyText"/>
      </w:pPr>
      <w:r>
        <w:rPr>
          <w:bCs/>
          <w:b/>
        </w:rPr>
        <w:t xml:space="preserve">Tests (R16).</w:t>
      </w:r>
      <w:r>
        <w:t xml:space="preserve"> </w:t>
      </w:r>
      <w:r>
        <w:t xml:space="preserve">1. Every default playbook passes the lint; a microfinance step calling at 18:30 before 1 Jan 2027 fails.</w:t>
      </w:r>
      <w:r>
        <w:t xml:space="preserve"> </w:t>
      </w:r>
      <w:r>
        <w:t xml:space="preserve">2. A gold playbook with a SARFAESI step fails; an LAP playbook offering the DRT to an un-notified NBFC fails.</w:t>
      </w:r>
      <w:r>
        <w:t xml:space="preserve"> </w:t>
      </w:r>
      <w:r>
        <w:t xml:space="preserve">3. A personal-loan arbitration step without Gate A fails.</w:t>
      </w:r>
      <w:r>
        <w:t xml:space="preserve"> </w:t>
      </w:r>
      <w:r>
        <w:t xml:space="preserve">4. Shortening a vehicle notice period applies only to agreements whose clause permits it.</w:t>
      </w:r>
      <w:r>
        <w:t xml:space="preserve"> </w:t>
      </w:r>
      <w:r>
        <w:t xml:space="preserve">5. A co-lent settlement step without a partner-approval gate → the R13 overlay inserts it before the step can run.</w:t>
      </w:r>
    </w:p>
    <w:p>
      <w:r>
        <w:pict>
          <v:rect style="width:0;height:1.5pt" o:hralign="center" o:hrstd="t" o:hr="t"/>
        </w:pict>
      </w:r>
    </w:p>
    <w:bookmarkEnd w:id="215"/>
    <w:bookmarkEnd w:id="216"/>
    <w:bookmarkStart w:id="284" w:name="Xe3979f1db1be99c8e3101b7d17682475e9ed3de"/>
    <w:p>
      <w:pPr>
        <w:pStyle w:val="Heading1"/>
      </w:pPr>
      <w:r>
        <w:t xml:space="preserve">PART 7B — REGULATORY RETURNS, SUPERVISORY PORTALS AND CREDIT BUREAU SUBMISSIONS</w:t>
      </w:r>
    </w:p>
    <w:p>
      <w:pPr>
        <w:pStyle w:val="FirstParagraph"/>
      </w:pPr>
      <w:r>
        <w:rPr>
          <w:bCs/>
          <w:b/>
        </w:rPr>
        <w:t xml:space="preserve">Purpose.</w:t>
      </w:r>
      <w:r>
        <w:t xml:space="preserve"> </w:t>
      </w:r>
      <w:r>
        <w:t xml:space="preserve">Turn Finbyx’s ledger, loan, exposure, fraud and KYC data into every return, report and bureau file that the tenant’s regulators and the credit information companies (CICs) require, on time, reconciled to the books and with a complete evidence trail. Finbyx prepares, validates, reconciles, packages and evidences.</w:t>
      </w:r>
      <w:r>
        <w:t xml:space="preserve"> </w:t>
      </w:r>
      <w:r>
        <w:rPr>
          <w:bCs/>
          <w:b/>
        </w:rPr>
        <w:t xml:space="preserve">Authorised humans in the regulated entity (RE) approve and file.</w:t>
      </w:r>
      <w:r>
        <w:t xml:space="preserve"> </w:t>
      </w:r>
      <w:r>
        <w:t xml:space="preserve">This Part replaces the build content of M13; M13 becomes a pointer to this Part, and its return table, Part 8A.2 (CIR), Part 8A.34 (SR) and Part 8A.36.2 remain the regulatory source rows that the RR1 registry loads.</w:t>
      </w:r>
    </w:p>
    <w:p>
      <w:pPr>
        <w:pStyle w:val="BodyText"/>
      </w:pPr>
      <w:r>
        <w:rPr>
          <w:bCs/>
          <w:b/>
        </w:rPr>
        <w:t xml:space="preserve">Applicability.</w:t>
      </w:r>
    </w:p>
    <w:p>
      <w:pPr>
        <w:numPr>
          <w:ilvl w:val="0"/>
          <w:numId w:val="1265"/>
        </w:numPr>
        <w:pStyle w:val="Compact"/>
      </w:pPr>
      <w:r>
        <w:rPr>
          <w:bCs/>
          <w:b/>
        </w:rPr>
        <w:t xml:space="preserve">Full scope:</w:t>
      </w:r>
      <w:r>
        <w:t xml:space="preserve"> </w:t>
      </w:r>
      <w:r>
        <w:t xml:space="preserve">NBFCs in every layer and category under the RBI (NBFC – Supervisory Returns) Directions, 2026, RBI/DoS/2026-27/466, DoS.CO.DSG.60/33.01.001/2026-27,</w:t>
      </w:r>
      <w:r>
        <w:t xml:space="preserve"> </w:t>
      </w:r>
      <w:r>
        <w:rPr>
          <w:bCs/>
          <w:b/>
        </w:rPr>
        <w:t xml:space="preserve">31 July 2026</w:t>
      </w:r>
      <w:r>
        <w:t xml:space="preserve"> </w:t>
      </w:r>
      <w:r>
        <w:t xml:space="preserve">(SR). The owner’s reference to</w:t>
      </w:r>
      <w:r>
        <w:t xml:space="preserve"> </w:t>
      </w:r>
      <w:r>
        <w:t xml:space="preserve">“</w:t>
      </w:r>
      <w:r>
        <w:t xml:space="preserve">28 Nov 2025</w:t>
      </w:r>
      <w:r>
        <w:t xml:space="preserve">”</w:t>
      </w:r>
      <w:r>
        <w:t xml:space="preserve"> </w:t>
      </w:r>
      <w:r>
        <w:t xml:space="preserve">for this instrument is superseded (that is the date of the DoR prudential set); log it in</w:t>
      </w:r>
      <w:r>
        <w:t xml:space="preserve"> </w:t>
      </w:r>
      <w:r>
        <w:rPr>
          <w:rStyle w:val="VerbatimChar"/>
        </w:rPr>
        <w:t xml:space="preserve">docs/regulations/errata.md</w:t>
      </w:r>
      <w:r>
        <w:t xml:space="preserve">.</w:t>
      </w:r>
    </w:p>
    <w:p>
      <w:pPr>
        <w:numPr>
          <w:ilvl w:val="0"/>
          <w:numId w:val="1265"/>
        </w:numPr>
        <w:pStyle w:val="Compact"/>
      </w:pPr>
      <w:r>
        <w:rPr>
          <w:bCs/>
          <w:b/>
        </w:rPr>
        <w:t xml:space="preserve">HFCs:</w:t>
      </w:r>
      <w:r>
        <w:t xml:space="preserve"> </w:t>
      </w:r>
      <w:r>
        <w:t xml:space="preserve">excluded from SR (SR para 3); returns go to NHB [VERIFY: NHB list and portal]; HFCs still report to CICs (CIR para 3).</w:t>
      </w:r>
    </w:p>
    <w:p>
      <w:pPr>
        <w:numPr>
          <w:ilvl w:val="0"/>
          <w:numId w:val="1265"/>
        </w:numPr>
        <w:pStyle w:val="Compact"/>
      </w:pPr>
      <w:r>
        <w:rPr>
          <w:bCs/>
          <w:b/>
        </w:rPr>
        <w:t xml:space="preserve">Indicative packs ([VERIFY] row by row):</w:t>
      </w:r>
      <w:r>
        <w:t xml:space="preserve"> </w:t>
      </w:r>
      <w:r>
        <w:t xml:space="preserve">commercial banks, UCBs, StCBs/DCCBs, ARCs, IFSCA Finance Companies and Finance Units, credit co-operative societies (Registrar returns, not RBI).</w:t>
      </w:r>
    </w:p>
    <w:p>
      <w:pPr>
        <w:numPr>
          <w:ilvl w:val="0"/>
          <w:numId w:val="1265"/>
        </w:numPr>
        <w:pStyle w:val="Compact"/>
      </w:pPr>
      <w:r>
        <w:rPr>
          <w:bCs/>
          <w:b/>
        </w:rPr>
        <w:t xml:space="preserve">Never a filer:</w:t>
      </w:r>
      <w:r>
        <w:t xml:space="preserve"> </w:t>
      </w:r>
      <w:r>
        <w:t xml:space="preserve">Udofin or any LSP. The RE reports DLA loans to CICs (CF para 17) and DLAs on CIMS (CF para 18); Udofin supplies DLA facts (Udofin UP3).</w:t>
      </w:r>
    </w:p>
    <w:p>
      <w:pPr>
        <w:pStyle w:val="FirstParagraph"/>
      </w:pPr>
      <w:r>
        <w:rPr>
          <w:bCs/>
          <w:b/>
        </w:rPr>
        <w:t xml:space="preserve">Direction and requirement codes used.</w:t>
      </w:r>
      <w:r>
        <w:t xml:space="preserve"> </w:t>
      </w:r>
      <w:r>
        <w:t xml:space="preserve">SR, CIR, CF, RSA, WD, FRM, KYC, ALM, CON, CRM, INV, CYB, MSD, GOV, CMP, SA, AUD, SEC, TDCR, BR, MISC, RBC (existing);</w:t>
      </w:r>
      <w:r>
        <w:t xml:space="preserve"> </w:t>
      </w:r>
      <w:r>
        <w:rPr>
          <w:rStyle w:val="VerbatimChar"/>
        </w:rPr>
        <w:t xml:space="preserve">CICRA</w:t>
      </w:r>
      <w:r>
        <w:t xml:space="preserve">,</w:t>
      </w:r>
      <w:r>
        <w:t xml:space="preserve"> </w:t>
      </w:r>
      <w:r>
        <w:rPr>
          <w:rStyle w:val="VerbatimChar"/>
        </w:rPr>
        <w:t xml:space="preserve">CIC-AMD</w:t>
      </w:r>
      <w:r>
        <w:t xml:space="preserve">,</w:t>
      </w:r>
      <w:r>
        <w:t xml:space="preserve"> </w:t>
      </w:r>
      <w:r>
        <w:rPr>
          <w:rStyle w:val="VerbatimChar"/>
        </w:rPr>
        <w:t xml:space="preserve">CICD</w:t>
      </w:r>
      <w:r>
        <w:t xml:space="preserve">,</w:t>
      </w:r>
      <w:r>
        <w:t xml:space="preserve"> </w:t>
      </w:r>
      <w:r>
        <w:rPr>
          <w:rStyle w:val="VerbatimChar"/>
        </w:rPr>
        <w:t xml:space="preserve">CB-SR</w:t>
      </w:r>
      <w:r>
        <w:t xml:space="preserve">,</w:t>
      </w:r>
      <w:r>
        <w:t xml:space="preserve"> </w:t>
      </w:r>
      <w:r>
        <w:rPr>
          <w:rStyle w:val="VerbatimChar"/>
        </w:rPr>
        <w:t xml:space="preserve">UCB</w:t>
      </w:r>
      <w:r>
        <w:t xml:space="preserve">,</w:t>
      </w:r>
      <w:r>
        <w:t xml:space="preserve"> </w:t>
      </w:r>
      <w:r>
        <w:rPr>
          <w:rStyle w:val="VerbatimChar"/>
        </w:rPr>
        <w:t xml:space="preserve">HFC</w:t>
      </w:r>
      <w:r>
        <w:t xml:space="preserve">,</w:t>
      </w:r>
      <w:r>
        <w:t xml:space="preserve"> </w:t>
      </w:r>
      <w:r>
        <w:rPr>
          <w:rStyle w:val="VerbatimChar"/>
        </w:rPr>
        <w:t xml:space="preserve">ARC</w:t>
      </w:r>
      <w:r>
        <w:t xml:space="preserve">,</w:t>
      </w:r>
      <w:r>
        <w:t xml:space="preserve"> </w:t>
      </w:r>
      <w:r>
        <w:rPr>
          <w:rStyle w:val="VerbatimChar"/>
        </w:rPr>
        <w:t xml:space="preserve">NABARD</w:t>
      </w:r>
      <w:r>
        <w:t xml:space="preserve">,</w:t>
      </w:r>
      <w:r>
        <w:t xml:space="preserve"> </w:t>
      </w:r>
      <w:r>
        <w:rPr>
          <w:rStyle w:val="VerbatimChar"/>
        </w:rPr>
        <w:t xml:space="preserve">IFSCA-FC</w:t>
      </w:r>
      <w:r>
        <w:t xml:space="preserve">,</w:t>
      </w:r>
      <w:r>
        <w:t xml:space="preserve"> </w:t>
      </w:r>
      <w:r>
        <w:rPr>
          <w:rStyle w:val="VerbatimChar"/>
        </w:rPr>
        <w:t xml:space="preserve">PMLA</w:t>
      </w:r>
      <w:r>
        <w:t xml:space="preserve">,</w:t>
      </w:r>
      <w:r>
        <w:t xml:space="preserve"> </w:t>
      </w:r>
      <w:r>
        <w:rPr>
          <w:rStyle w:val="VerbatimChar"/>
        </w:rPr>
        <w:t xml:space="preserve">SARFAESI</w:t>
      </w:r>
      <w:r>
        <w:t xml:space="preserve">,</w:t>
      </w:r>
      <w:r>
        <w:t xml:space="preserve"> </w:t>
      </w:r>
      <w:r>
        <w:rPr>
          <w:rStyle w:val="VerbatimChar"/>
        </w:rPr>
        <w:t xml:space="preserve">ITA25</w:t>
      </w:r>
      <w:r>
        <w:t xml:space="preserve">,</w:t>
      </w:r>
      <w:r>
        <w:t xml:space="preserve"> </w:t>
      </w:r>
      <w:r>
        <w:rPr>
          <w:rStyle w:val="VerbatimChar"/>
        </w:rPr>
        <w:t xml:space="preserve">MSCS</w:t>
      </w:r>
      <w:r>
        <w:t xml:space="preserve">,</w:t>
      </w:r>
      <w:r>
        <w:t xml:space="preserve"> </w:t>
      </w:r>
      <w:r>
        <w:rPr>
          <w:rStyle w:val="VerbatimChar"/>
        </w:rPr>
        <w:t xml:space="preserve">SCS</w:t>
      </w:r>
      <w:r>
        <w:t xml:space="preserve">,</w:t>
      </w:r>
      <w:r>
        <w:t xml:space="preserve"> </w:t>
      </w:r>
      <w:r>
        <w:rPr>
          <w:rStyle w:val="VerbatimChar"/>
        </w:rPr>
        <w:t xml:space="preserve">SRO-MFIN</w:t>
      </w:r>
      <w:r>
        <w:t xml:space="preserve">,</w:t>
      </w:r>
      <w:r>
        <w:t xml:space="preserve"> </w:t>
      </w:r>
      <w:r>
        <w:rPr>
          <w:rStyle w:val="VerbatimChar"/>
        </w:rPr>
        <w:t xml:space="preserve">RBIOS26</w:t>
      </w:r>
      <w:r>
        <w:t xml:space="preserve">,</w:t>
      </w:r>
      <w:r>
        <w:t xml:space="preserve"> </w:t>
      </w:r>
      <w:r>
        <w:rPr>
          <w:rStyle w:val="VerbatimChar"/>
        </w:rPr>
        <w:t xml:space="preserve">IO26</w:t>
      </w:r>
      <w:r>
        <w:t xml:space="preserve">,</w:t>
      </w:r>
      <w:r>
        <w:t xml:space="preserve"> </w:t>
      </w:r>
      <w:r>
        <w:rPr>
          <w:rStyle w:val="VerbatimChar"/>
        </w:rPr>
        <w:t xml:space="preserve">DPDP</w:t>
      </w:r>
      <w:r>
        <w:t xml:space="preserve">,</w:t>
      </w:r>
      <w:r>
        <w:t xml:space="preserve"> </w:t>
      </w:r>
      <w:r>
        <w:rPr>
          <w:rStyle w:val="VerbatimChar"/>
        </w:rPr>
        <w:t xml:space="preserve">TRAI</w:t>
      </w:r>
      <w:r>
        <w:t xml:space="preserve">,</w:t>
      </w:r>
      <w:r>
        <w:t xml:space="preserve"> </w:t>
      </w:r>
      <w:r>
        <w:rPr>
          <w:rStyle w:val="VerbatimChar"/>
        </w:rPr>
        <w:t xml:space="preserve">CERTIN</w:t>
      </w:r>
      <w:r>
        <w:t xml:space="preserve">,</w:t>
      </w:r>
      <w:r>
        <w:t xml:space="preserve"> </w:t>
      </w:r>
      <w:r>
        <w:rPr>
          <w:rStyle w:val="VerbatimChar"/>
        </w:rPr>
        <w:t xml:space="preserve">FEMA</w:t>
      </w:r>
      <w:r>
        <w:t xml:space="preserve"> </w:t>
      </w:r>
      <w:r>
        <w:t xml:space="preserve">(Part 8A.37). REQ-IDs follow Part 8A.0.1 (</w:t>
      </w:r>
      <w:r>
        <w:rPr>
          <w:rStyle w:val="VerbatimChar"/>
        </w:rPr>
        <w:t xml:space="preserve">REQ-SR-21</w:t>
      </w:r>
      <w:r>
        <w:t xml:space="preserve">,</w:t>
      </w:r>
      <w:r>
        <w:t xml:space="preserve"> </w:t>
      </w:r>
      <w:r>
        <w:rPr>
          <w:rStyle w:val="VerbatimChar"/>
        </w:rPr>
        <w:t xml:space="preserve">REQ-CIR-10(2)</w:t>
      </w:r>
      <w:r>
        <w:t xml:space="preserve">,</w:t>
      </w:r>
      <w:r>
        <w:t xml:space="preserve"> </w:t>
      </w:r>
      <w:r>
        <w:rPr>
          <w:rStyle w:val="VerbatimChar"/>
        </w:rPr>
        <w:t xml:space="preserve">REQ-CICRA-21(3)</w:t>
      </w:r>
      <w:r>
        <w:t xml:space="preserve">,</w:t>
      </w:r>
      <w:r>
        <w:t xml:space="preserve"> </w:t>
      </w:r>
      <w:r>
        <w:rPr>
          <w:rStyle w:val="VerbatimChar"/>
        </w:rPr>
        <w:t xml:space="preserve">REQ-CIC-AMD-19(1)</w:t>
      </w:r>
      <w:r>
        <w:t xml:space="preserve">).</w:t>
      </w:r>
    </w:p>
    <w:p>
      <w:pPr>
        <w:pStyle w:val="BodyText"/>
      </w:pPr>
      <w:r>
        <w:rPr>
          <w:bCs/>
          <w:b/>
        </w:rPr>
        <w:t xml:space="preserve">Terminology.</w:t>
      </w:r>
      <w:r>
        <w:t xml:space="preserve"> </w:t>
      </w:r>
      <w:r>
        <w:t xml:space="preserve">“</w:t>
      </w:r>
      <w:r>
        <w:t xml:space="preserve">CIC</w:t>
      </w:r>
      <w:r>
        <w:t xml:space="preserve">”</w:t>
      </w:r>
      <w:r>
        <w:t xml:space="preserve"> </w:t>
      </w:r>
      <w:r>
        <w:t xml:space="preserve">alone means a credit information company. Core investment companies are written out or coded</w:t>
      </w:r>
      <w:r>
        <w:t xml:space="preserve"> </w:t>
      </w:r>
      <w:r>
        <w:rPr>
          <w:rStyle w:val="VerbatimChar"/>
        </w:rPr>
        <w:t xml:space="preserve">CICD</w:t>
      </w:r>
      <w:r>
        <w:t xml:space="preserve"> </w:t>
      </w:r>
      <w:r>
        <w:t xml:space="preserve">(RBI (Core Investment Companies) Directions, 2025).</w:t>
      </w:r>
      <w:r>
        <w:t xml:space="preserve"> </w:t>
      </w:r>
      <w:r>
        <w:rPr>
          <w:rStyle w:val="VerbatimChar"/>
        </w:rPr>
        <w:t xml:space="preserve">CIC-AMD para n</w:t>
      </w:r>
      <w:r>
        <w:t xml:space="preserve"> </w:t>
      </w:r>
      <w:r>
        <w:t xml:space="preserve">cites the RBI (Credit Information Companies) Directions, 2025 as amended by the Amendment Directions, 2025, RBI/DOR/2025-26/119, DoR.FIN.REC.No.326/20.16.056/2025-26 (the CIC-side rules); the lender-side amendment of CIR is RBI/DOR/2025-26/117, DoR.FIN.REC.No.324/20.16.056/2025-26.</w:t>
      </w:r>
    </w:p>
    <w:p>
      <w:pPr>
        <w:pStyle w:val="BodyText"/>
      </w:pPr>
      <w:r>
        <w:rPr>
          <w:bCs/>
          <w:b/>
        </w:rPr>
        <w:t xml:space="preserve">Data owned.</w:t>
      </w:r>
      <w:r>
        <w:t xml:space="preserve"> </w:t>
      </w:r>
      <w:r>
        <w:t xml:space="preserve">Return registry, element dictionary, cell maps and lineage, validation rule packs, return runs and packages, acknowledgements, revisions, supervisory query register, portal-user alias register (aliases only, never credentials), bureau format packs, bureau submissions, rejections, DQI, disputes and compensation, CRILC, WD/LD and FMR outputs, revision assessments, and reporting settings (RR9). Source data (GL, loans, borrowers, collateral, exposures, fraud cases) stays owned by M3–M12 and Part 7A; this Part reads it through governed snapshots.</w:t>
      </w:r>
    </w:p>
    <w:p>
      <w:pPr>
        <w:pStyle w:val="BodyText"/>
      </w:pPr>
      <w:r>
        <w:rPr>
          <w:bCs/>
          <w:b/>
        </w:rPr>
        <w:t xml:space="preserve">Events (Integration Specification v1.1, sections 6.15, 6.18 and 6.19).</w:t>
      </w:r>
      <w:r>
        <w:t xml:space="preserve"> </w:t>
      </w:r>
      <w:r>
        <w:t xml:space="preserve">Emits</w:t>
      </w:r>
      <w:r>
        <w:t xml:space="preserve"> </w:t>
      </w:r>
      <w:r>
        <w:rPr>
          <w:rStyle w:val="VerbatimChar"/>
        </w:rPr>
        <w:t xml:space="preserve">ReturnDue</w:t>
      </w:r>
      <w:r>
        <w:t xml:space="preserve">,</w:t>
      </w:r>
      <w:r>
        <w:t xml:space="preserve"> </w:t>
      </w:r>
      <w:r>
        <w:rPr>
          <w:rStyle w:val="VerbatimChar"/>
        </w:rPr>
        <w:t xml:space="preserve">ReturnGenerated</w:t>
      </w:r>
      <w:r>
        <w:t xml:space="preserve">,</w:t>
      </w:r>
      <w:r>
        <w:t xml:space="preserve"> </w:t>
      </w:r>
      <w:r>
        <w:rPr>
          <w:rStyle w:val="VerbatimChar"/>
        </w:rPr>
        <w:t xml:space="preserve">ReturnValidated</w:t>
      </w:r>
      <w:r>
        <w:t xml:space="preserve">,</w:t>
      </w:r>
      <w:r>
        <w:t xml:space="preserve"> </w:t>
      </w:r>
      <w:r>
        <w:rPr>
          <w:rStyle w:val="VerbatimChar"/>
        </w:rPr>
        <w:t xml:space="preserve">ReturnApproved</w:t>
      </w:r>
      <w:r>
        <w:t xml:space="preserve">,</w:t>
      </w:r>
      <w:r>
        <w:t xml:space="preserve"> </w:t>
      </w:r>
      <w:r>
        <w:rPr>
          <w:rStyle w:val="VerbatimChar"/>
        </w:rPr>
        <w:t xml:space="preserve">ReturnFiled</w:t>
      </w:r>
      <w:r>
        <w:t xml:space="preserve">,</w:t>
      </w:r>
      <w:r>
        <w:t xml:space="preserve"> </w:t>
      </w:r>
      <w:r>
        <w:rPr>
          <w:rStyle w:val="VerbatimChar"/>
        </w:rPr>
        <w:t xml:space="preserve">ReturnRevised</w:t>
      </w:r>
      <w:r>
        <w:t xml:space="preserve">,</w:t>
      </w:r>
      <w:r>
        <w:t xml:space="preserve"> </w:t>
      </w:r>
      <w:r>
        <w:rPr>
          <w:rStyle w:val="VerbatimChar"/>
        </w:rPr>
        <w:t xml:space="preserve">ReturnStatusUpdated</w:t>
      </w:r>
      <w:r>
        <w:t xml:space="preserve"> </w:t>
      </w:r>
      <w:r>
        <w:t xml:space="preserve">(existing),</w:t>
      </w:r>
      <w:r>
        <w:t xml:space="preserve"> </w:t>
      </w:r>
      <w:r>
        <w:rPr>
          <w:rStyle w:val="VerbatimChar"/>
        </w:rPr>
        <w:t xml:space="preserve">BureauFileGenerated</w:t>
      </w:r>
      <w:r>
        <w:t xml:space="preserve">,</w:t>
      </w:r>
      <w:r>
        <w:t xml:space="preserve"> </w:t>
      </w:r>
      <w:r>
        <w:rPr>
          <w:rStyle w:val="VerbatimChar"/>
        </w:rPr>
        <w:t xml:space="preserve">BureauFileSubmitted</w:t>
      </w:r>
      <w:r>
        <w:t xml:space="preserve">,</w:t>
      </w:r>
      <w:r>
        <w:t xml:space="preserve"> </w:t>
      </w:r>
      <w:r>
        <w:rPr>
          <w:rStyle w:val="VerbatimChar"/>
        </w:rPr>
        <w:t xml:space="preserve">BureauRejectionReceived</w:t>
      </w:r>
      <w:r>
        <w:t xml:space="preserve">,</w:t>
      </w:r>
      <w:r>
        <w:t xml:space="preserve"> </w:t>
      </w:r>
      <w:r>
        <w:rPr>
          <w:rStyle w:val="VerbatimChar"/>
        </w:rPr>
        <w:t xml:space="preserve">BureauCorrectionRequested</w:t>
      </w:r>
      <w:r>
        <w:t xml:space="preserve">,</w:t>
      </w:r>
      <w:r>
        <w:t xml:space="preserve"> </w:t>
      </w:r>
      <w:r>
        <w:rPr>
          <w:rStyle w:val="VerbatimChar"/>
        </w:rPr>
        <w:t xml:space="preserve">BureauCorrectionCompleted</w:t>
      </w:r>
      <w:r>
        <w:t xml:space="preserve">,</w:t>
      </w:r>
      <w:r>
        <w:t xml:space="preserve"> </w:t>
      </w:r>
      <w:r>
        <w:rPr>
          <w:rStyle w:val="VerbatimChar"/>
        </w:rPr>
        <w:t xml:space="preserve">ControlTestResultPublished</w:t>
      </w:r>
      <w:r>
        <w:t xml:space="preserve">,</w:t>
      </w:r>
      <w:r>
        <w:t xml:space="preserve"> </w:t>
      </w:r>
      <w:r>
        <w:rPr>
          <w:rStyle w:val="VerbatimChar"/>
        </w:rPr>
        <w:t xml:space="preserve">EvidenceSubmitted</w:t>
      </w:r>
      <w:r>
        <w:t xml:space="preserve">,</w:t>
      </w:r>
      <w:r>
        <w:t xml:space="preserve"> </w:t>
      </w:r>
      <w:r>
        <w:rPr>
          <w:rStyle w:val="VerbatimChar"/>
        </w:rPr>
        <w:t xml:space="preserve">ComplianceIssueRaised</w:t>
      </w:r>
      <w:r>
        <w:t xml:space="preserve">. Consumes</w:t>
      </w:r>
      <w:r>
        <w:t xml:space="preserve"> </w:t>
      </w:r>
      <w:r>
        <w:rPr>
          <w:rStyle w:val="VerbatimChar"/>
        </w:rPr>
        <w:t xml:space="preserve">PeriodClosed</w:t>
      </w:r>
      <w:r>
        <w:t xml:space="preserve"> </w:t>
      </w:r>
      <w:r>
        <w:t xml:space="preserve">and</w:t>
      </w:r>
      <w:r>
        <w:t xml:space="preserve"> </w:t>
      </w:r>
      <w:r>
        <w:rPr>
          <w:rStyle w:val="VerbatimChar"/>
        </w:rPr>
        <w:t xml:space="preserve">FinancialStatementsApproved</w:t>
      </w:r>
      <w:r>
        <w:t xml:space="preserve"> </w:t>
      </w:r>
      <w:r>
        <w:t xml:space="preserve">(Part 7C),</w:t>
      </w:r>
      <w:r>
        <w:t xml:space="preserve"> </w:t>
      </w:r>
      <w:r>
        <w:rPr>
          <w:rStyle w:val="VerbatimChar"/>
        </w:rPr>
        <w:t xml:space="preserve">LoanDisbursed</w:t>
      </w:r>
      <w:r>
        <w:t xml:space="preserve">,</w:t>
      </w:r>
      <w:r>
        <w:t xml:space="preserve"> </w:t>
      </w:r>
      <w:r>
        <w:rPr>
          <w:rStyle w:val="VerbatimChar"/>
        </w:rPr>
        <w:t xml:space="preserve">LoanClosed</w:t>
      </w:r>
      <w:r>
        <w:t xml:space="preserve">,</w:t>
      </w:r>
      <w:r>
        <w:t xml:space="preserve"> </w:t>
      </w:r>
      <w:r>
        <w:rPr>
          <w:rStyle w:val="VerbatimChar"/>
        </w:rPr>
        <w:t xml:space="preserve">AssetClassificationChanged</w:t>
      </w:r>
      <w:r>
        <w:t xml:space="preserve">,</w:t>
      </w:r>
      <w:r>
        <w:t xml:space="preserve"> </w:t>
      </w:r>
      <w:r>
        <w:rPr>
          <w:rStyle w:val="VerbatimChar"/>
        </w:rPr>
        <w:t xml:space="preserve">LoanTransferred</w:t>
      </w:r>
      <w:r>
        <w:t xml:space="preserve">,</w:t>
      </w:r>
      <w:r>
        <w:t xml:space="preserve"> </w:t>
      </w:r>
      <w:r>
        <w:rPr>
          <w:rStyle w:val="VerbatimChar"/>
        </w:rPr>
        <w:t xml:space="preserve">GrievanceRaised</w:t>
      </w:r>
      <w:r>
        <w:t xml:space="preserve"> </w:t>
      </w:r>
      <w:r>
        <w:t xml:space="preserve">(category CREDIT_INFORMATION) and</w:t>
      </w:r>
      <w:r>
        <w:t xml:space="preserve"> </w:t>
      </w:r>
      <w:r>
        <w:rPr>
          <w:rStyle w:val="VerbatimChar"/>
        </w:rPr>
        <w:t xml:space="preserve">ObligationPublished</w:t>
      </w:r>
      <w:r>
        <w:t xml:space="preserve">. LawDocsComply (through the M14 GRC connector) or embedded M14 consumes every return and bureau event. Return packages and bureau files travel only by document reference, never inside an event.</w:t>
      </w:r>
      <w:r>
        <w:t xml:space="preserve"> </w:t>
      </w:r>
      <w:r>
        <w:rPr>
          <w:bCs/>
          <w:b/>
        </w:rPr>
        <w:t xml:space="preserve">The Operations Hub receives only</w:t>
      </w:r>
      <w:r>
        <w:rPr>
          <w:bCs/>
          <w:b/>
        </w:rPr>
        <w:t xml:space="preserve"> </w:t>
      </w:r>
      <w:r>
        <w:rPr>
          <w:rStyle w:val="VerbatimChar"/>
          <w:bCs/>
          <w:b/>
        </w:rPr>
        <w:t xml:space="preserve">ReturnDue</w:t>
      </w:r>
      <w:r>
        <w:rPr>
          <w:bCs/>
          <w:b/>
        </w:rPr>
        <w:t xml:space="preserve"> </w:t>
      </w:r>
      <w:r>
        <w:rPr>
          <w:bCs/>
          <w:b/>
        </w:rPr>
        <w:t xml:space="preserve">and</w:t>
      </w:r>
      <w:r>
        <w:rPr>
          <w:bCs/>
          <w:b/>
        </w:rPr>
        <w:t xml:space="preserve"> </w:t>
      </w:r>
      <w:r>
        <w:rPr>
          <w:rStyle w:val="VerbatimChar"/>
          <w:bCs/>
          <w:b/>
        </w:rPr>
        <w:t xml:space="preserve">ReturnFiled</w:t>
      </w:r>
      <w:r>
        <w:rPr>
          <w:bCs/>
          <w:b/>
        </w:rPr>
        <w:t xml:space="preserve">, as status metadata (return code, legal entity, period, due date, status, acknowledgement reference), and only where the tenant opts in</w:t>
      </w:r>
      <w:r>
        <w:t xml:space="preserve"> </w:t>
      </w:r>
      <w:r>
        <w:t xml:space="preserve">(setting</w:t>
      </w:r>
      <w:r>
        <w:t xml:space="preserve"> </w:t>
      </w:r>
      <w:r>
        <w:rPr>
          <w:rStyle w:val="VerbatimChar"/>
        </w:rPr>
        <w:t xml:space="preserve">share_return_status_with_hub</w:t>
      </w:r>
      <w:r>
        <w:t xml:space="preserve">, default off, RR9.1). It never receives amounts, package contents, bureau events or borrower data.</w:t>
      </w:r>
    </w:p>
    <w:p>
      <w:r>
        <w:pict>
          <v:rect style="width:0;height:1.5pt" o:hralign="center" o:hrstd="t" o:hr="t"/>
        </w:pict>
      </w:r>
    </w:p>
    <w:bookmarkStart w:id="218" w:name="X1f03d9ac37f13be43d756a7d329ea603983ba32"/>
    <w:p>
      <w:pPr>
        <w:pStyle w:val="Heading2"/>
      </w:pPr>
      <w:r>
        <w:t xml:space="preserve">7B.0 Design principles and filing boundaries</w:t>
      </w:r>
    </w:p>
    <w:p>
      <w:pPr>
        <w:numPr>
          <w:ilvl w:val="0"/>
          <w:numId w:val="1266"/>
        </w:numPr>
        <w:pStyle w:val="Compact"/>
      </w:pPr>
      <w:r>
        <w:rPr>
          <w:bCs/>
          <w:b/>
        </w:rPr>
        <w:t xml:space="preserve">Prepare, never file.</w:t>
      </w:r>
      <w:r>
        <w:t xml:space="preserve"> </w:t>
      </w:r>
      <w:r>
        <w:t xml:space="preserve">Finbyx generates, validates, reconciles, packages and evidences; an authorised RE user submits on the portal (RBI, NABARD, IFSCA, FIU-IND, CERSAI/CKYCR, income-tax, MCA, GST) and records the acknowledgement.</w:t>
      </w:r>
    </w:p>
    <w:p>
      <w:pPr>
        <w:numPr>
          <w:ilvl w:val="0"/>
          <w:numId w:val="1266"/>
        </w:numPr>
        <w:pStyle w:val="Compact"/>
      </w:pPr>
      <w:r>
        <w:rPr>
          <w:bCs/>
          <w:b/>
        </w:rPr>
        <w:t xml:space="preserve">No credentials, no scripting.</w:t>
      </w:r>
      <w:r>
        <w:t xml:space="preserve"> </w:t>
      </w:r>
      <w:r>
        <w:t xml:space="preserve">No regulator-portal user IDs, passwords, OTPs, DSC PINs, cookies or tokens are stored or proxied; no RPA or scraping [REC; SR para 19 places user administration with the NBFC]. A portal-user alias register records only who filed.</w:t>
      </w:r>
    </w:p>
    <w:p>
      <w:pPr>
        <w:numPr>
          <w:ilvl w:val="0"/>
          <w:numId w:val="1266"/>
        </w:numPr>
        <w:pStyle w:val="Compact"/>
      </w:pPr>
      <w:r>
        <w:rPr>
          <w:bCs/>
          <w:b/>
        </w:rPr>
        <w:t xml:space="preserve">Machine-to-machine only where documented for the entity class.</w:t>
      </w:r>
      <w:r>
        <w:t xml:space="preserve"> </w:t>
      </w:r>
      <w:r>
        <w:t xml:space="preserve">CIMS system-to-system collection from an ADF server is documented for banks,</w:t>
      </w:r>
      <w:r>
        <w:t xml:space="preserve"> </w:t>
      </w:r>
      <w:r>
        <w:rPr>
          <w:bCs/>
          <w:b/>
        </w:rPr>
        <w:t xml:space="preserve">not assumed for NBFCs or UCBs</w:t>
      </w:r>
      <w:r>
        <w:t xml:space="preserve"> </w:t>
      </w:r>
      <w:r>
        <w:t xml:space="preserve">[VERIFY: Sankalan help documents]; the adapter stays behind a flag until RBI’s written confirmation is attached. CIC SFTP is a documented machine channel (RR6).</w:t>
      </w:r>
    </w:p>
    <w:p>
      <w:pPr>
        <w:numPr>
          <w:ilvl w:val="0"/>
          <w:numId w:val="1266"/>
        </w:numPr>
        <w:pStyle w:val="Compact"/>
      </w:pPr>
      <w:r>
        <w:rPr>
          <w:bCs/>
          <w:b/>
        </w:rPr>
        <w:t xml:space="preserve">The Direction prevails over the RBI web list</w:t>
      </w:r>
      <w:r>
        <w:t xml:space="preserve"> </w:t>
      </w:r>
      <w:r>
        <w:t xml:space="preserve">(RR1.4).</w:t>
      </w:r>
    </w:p>
    <w:p>
      <w:pPr>
        <w:numPr>
          <w:ilvl w:val="0"/>
          <w:numId w:val="1266"/>
        </w:numPr>
        <w:pStyle w:val="Compact"/>
      </w:pPr>
      <w:r>
        <w:rPr>
          <w:bCs/>
          <w:b/>
        </w:rPr>
        <w:t xml:space="preserve">Online only.</w:t>
      </w:r>
      <w:r>
        <w:t xml:space="preserve"> </w:t>
      </w:r>
      <w:r>
        <w:t xml:space="preserve">Email is a filing only as an RBI-advised contingency, followed by online re-submission (SR para 18).</w:t>
      </w:r>
    </w:p>
    <w:p>
      <w:pPr>
        <w:numPr>
          <w:ilvl w:val="0"/>
          <w:numId w:val="1266"/>
        </w:numPr>
        <w:pStyle w:val="Compact"/>
      </w:pPr>
      <w:r>
        <w:rPr>
          <w:bCs/>
          <w:b/>
        </w:rPr>
        <w:t xml:space="preserve">Versioned data, not code.</w:t>
      </w:r>
      <w:r>
        <w:t xml:space="preserve"> </w:t>
      </w:r>
      <w:r>
        <w:t xml:space="preserve">Definitions, templates, rule packs and bureau formats are effective-dated, because RBI may add or withdraw returns at any time (SR para 25); every filing stays pinned to the versions it used [REC].</w:t>
      </w:r>
    </w:p>
    <w:p>
      <w:pPr>
        <w:numPr>
          <w:ilvl w:val="0"/>
          <w:numId w:val="1266"/>
        </w:numPr>
        <w:pStyle w:val="Compact"/>
      </w:pPr>
      <w:r>
        <w:rPr>
          <w:bCs/>
          <w:b/>
        </w:rPr>
        <w:t xml:space="preserve">Reconcile and trace.</w:t>
      </w:r>
      <w:r>
        <w:t xml:space="preserve"> </w:t>
      </w:r>
      <w:r>
        <w:t xml:space="preserve">No approval without TB reconciliation (SR para 14) and cell lineage (SR para 15).</w:t>
      </w:r>
    </w:p>
    <w:p>
      <w:pPr>
        <w:numPr>
          <w:ilvl w:val="0"/>
          <w:numId w:val="1266"/>
        </w:numPr>
        <w:pStyle w:val="Compact"/>
      </w:pPr>
      <w:r>
        <w:rPr>
          <w:bCs/>
          <w:b/>
        </w:rPr>
        <w:t xml:space="preserve">Privacy and residency.</w:t>
      </w:r>
      <w:r>
        <w:t xml:space="preserve"> </w:t>
      </w:r>
      <w:r>
        <w:t xml:space="preserve">Return and bureau files are PII: stored in India, encrypted, access-logged, retained per AC7, never emailed.</w:t>
      </w:r>
    </w:p>
    <w:p>
      <w:pPr>
        <w:pStyle w:val="FirstParagraph"/>
      </w:pPr>
      <w:r>
        <w:rPr>
          <w:bCs/>
          <w:b/>
        </w:rPr>
        <w:t xml:space="preserve">Filing boundary matrix.</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71"/>
        <w:gridCol w:w="3193"/>
        <w:gridCol w:w="2937"/>
        <w:gridCol w:w="1737"/>
      </w:tblGrid>
      <w:tr>
        <w:trPr>
          <w:tblHeader w:val="true"/>
          <w:tblHeader w:val="true"/>
        </w:trPr>
        <w:tc>
          <w:tcPr>
            <w:tcW w:w="1771" w:type="dxa"/>
            <w:shd w:val="clear" w:color="auto" w:fill="1F3A5F"/>
          </w:tcPr>
          <w:p>
            <w:pPr>
              <w:pStyle w:val="Compact"/>
              <w:spacing w:after="40"/>
              <w:jc w:val="left"/>
            </w:pPr>
            <w:r>
              <w:rPr>
                <w:b/>
                <w:color w:val="FFFFFF"/>
                <w:sz w:val="18"/>
              </w:rPr>
              <w:t xml:space="preserve">Filing</w:t>
            </w:r>
          </w:p>
        </w:tc>
        <w:tc>
          <w:tcPr>
            <w:tcW w:w="3193" w:type="dxa"/>
            <w:shd w:val="clear" w:color="auto" w:fill="1F3A5F"/>
          </w:tcPr>
          <w:p>
            <w:pPr>
              <w:pStyle w:val="Compact"/>
              <w:spacing w:after="40"/>
              <w:jc w:val="left"/>
            </w:pPr>
            <w:r>
              <w:rPr>
                <w:b/>
                <w:color w:val="FFFFFF"/>
                <w:sz w:val="18"/>
              </w:rPr>
              <w:t xml:space="preserve">Finbyx does</w:t>
            </w:r>
          </w:p>
        </w:tc>
        <w:tc>
          <w:tcPr>
            <w:tcW w:w="2937" w:type="dxa"/>
            <w:shd w:val="clear" w:color="auto" w:fill="1F3A5F"/>
          </w:tcPr>
          <w:p>
            <w:pPr>
              <w:pStyle w:val="Compact"/>
              <w:spacing w:after="40"/>
              <w:jc w:val="left"/>
            </w:pPr>
            <w:r>
              <w:rPr>
                <w:b/>
                <w:color w:val="FFFFFF"/>
                <w:sz w:val="18"/>
              </w:rPr>
              <w:t xml:space="preserve">RE user does</w:t>
            </w:r>
          </w:p>
        </w:tc>
        <w:tc>
          <w:tcPr>
            <w:tcW w:w="1737" w:type="dxa"/>
            <w:shd w:val="clear" w:color="auto" w:fill="1F3A5F"/>
          </w:tcPr>
          <w:p>
            <w:pPr>
              <w:pStyle w:val="Compact"/>
              <w:spacing w:after="40"/>
              <w:jc w:val="left"/>
            </w:pPr>
            <w:r>
              <w:rPr>
                <w:b/>
                <w:color w:val="FFFFFF"/>
                <w:sz w:val="18"/>
              </w:rPr>
              <w:t xml:space="preserve">Channel</w:t>
            </w:r>
          </w:p>
        </w:tc>
      </w:tr>
      <w:tr>
        <w:tc>
          <w:tcPr>
            <w:tcW w:w="1771" w:type="dxa"/>
          </w:tcPr>
          <w:p>
            <w:pPr>
              <w:pStyle w:val="Compact"/>
              <w:spacing w:after="40"/>
              <w:jc w:val="left"/>
            </w:pPr>
            <w:r>
              <w:rPr>
                <w:sz w:val="18"/>
              </w:rPr>
              <w:t xml:space="preserve">RBI returns (SR para 21)</w:t>
            </w:r>
          </w:p>
        </w:tc>
        <w:tc>
          <w:tcPr>
            <w:tcW w:w="3193" w:type="dxa"/>
          </w:tcPr>
          <w:p>
            <w:pPr>
              <w:pStyle w:val="Compact"/>
              <w:spacing w:after="40"/>
              <w:jc w:val="left"/>
            </w:pPr>
            <w:r>
              <w:rPr>
                <w:sz w:val="18"/>
              </w:rPr>
              <w:t xml:space="preserve">Template fill, validation, reconciliation, package, clock, ack capture</w:t>
            </w:r>
          </w:p>
        </w:tc>
        <w:tc>
          <w:tcPr>
            <w:tcW w:w="2937" w:type="dxa"/>
          </w:tcPr>
          <w:p>
            <w:pPr>
              <w:pStyle w:val="Compact"/>
              <w:spacing w:after="40"/>
              <w:jc w:val="left"/>
            </w:pPr>
            <w:r>
              <w:rPr>
                <w:sz w:val="18"/>
              </w:rPr>
              <w:t xml:space="preserve">Maker uploads, checker submits on CIMS; ack recorded</w:t>
            </w:r>
          </w:p>
        </w:tc>
        <w:tc>
          <w:tcPr>
            <w:tcW w:w="1737" w:type="dxa"/>
          </w:tcPr>
          <w:p>
            <w:pPr>
              <w:pStyle w:val="Compact"/>
              <w:spacing w:after="40"/>
              <w:jc w:val="left"/>
            </w:pPr>
            <w:r>
              <w:rPr>
                <w:sz w:val="18"/>
              </w:rPr>
              <w:t xml:space="preserve">CIMS upload or web form</w:t>
            </w:r>
          </w:p>
        </w:tc>
      </w:tr>
      <w:tr>
        <w:tc>
          <w:tcPr>
            <w:tcW w:w="1771" w:type="dxa"/>
          </w:tcPr>
          <w:p>
            <w:pPr>
              <w:pStyle w:val="Compact"/>
              <w:spacing w:after="40"/>
              <w:jc w:val="left"/>
            </w:pPr>
            <w:r>
              <w:rPr>
                <w:sz w:val="18"/>
              </w:rPr>
              <w:t xml:space="preserve">DNBS10 (SAC)</w:t>
            </w:r>
          </w:p>
        </w:tc>
        <w:tc>
          <w:tcPr>
            <w:tcW w:w="3193" w:type="dxa"/>
          </w:tcPr>
          <w:p>
            <w:pPr>
              <w:pStyle w:val="Compact"/>
              <w:spacing w:after="40"/>
              <w:jc w:val="left"/>
            </w:pPr>
            <w:r>
              <w:rPr>
                <w:sz w:val="18"/>
              </w:rPr>
              <w:t xml:space="preserve">Auditor data pack, clock</w:t>
            </w:r>
          </w:p>
        </w:tc>
        <w:tc>
          <w:tcPr>
            <w:tcW w:w="2937" w:type="dxa"/>
          </w:tcPr>
          <w:p>
            <w:pPr>
              <w:pStyle w:val="Compact"/>
              <w:spacing w:after="40"/>
              <w:jc w:val="left"/>
            </w:pPr>
            <w:r>
              <w:rPr>
                <w:sz w:val="18"/>
              </w:rPr>
              <w:t xml:space="preserve">Statutory auditor files with the NBFC-created login (SR 21 item 7)</w:t>
            </w:r>
          </w:p>
        </w:tc>
        <w:tc>
          <w:tcPr>
            <w:tcW w:w="1737" w:type="dxa"/>
          </w:tcPr>
          <w:p>
            <w:pPr>
              <w:pStyle w:val="Compact"/>
              <w:spacing w:after="40"/>
              <w:jc w:val="left"/>
            </w:pPr>
            <w:r>
              <w:rPr>
                <w:sz w:val="18"/>
              </w:rPr>
              <w:t xml:space="preserve">CIMS</w:t>
            </w:r>
          </w:p>
        </w:tc>
      </w:tr>
      <w:tr>
        <w:tc>
          <w:tcPr>
            <w:tcW w:w="1771" w:type="dxa"/>
          </w:tcPr>
          <w:p>
            <w:pPr>
              <w:pStyle w:val="Compact"/>
              <w:spacing w:after="40"/>
              <w:jc w:val="left"/>
            </w:pPr>
            <w:r>
              <w:rPr>
                <w:sz w:val="18"/>
              </w:rPr>
              <w:t xml:space="preserve">Cyber incident</w:t>
            </w:r>
          </w:p>
        </w:tc>
        <w:tc>
          <w:tcPr>
            <w:tcW w:w="3193" w:type="dxa"/>
          </w:tcPr>
          <w:p>
            <w:pPr>
              <w:pStyle w:val="Compact"/>
              <w:spacing w:after="40"/>
              <w:jc w:val="left"/>
            </w:pPr>
            <w:r>
              <w:rPr>
                <w:sz w:val="18"/>
              </w:rPr>
              <w:t xml:space="preserve">Incident record, 6-hour timer, draft</w:t>
            </w:r>
          </w:p>
        </w:tc>
        <w:tc>
          <w:tcPr>
            <w:tcW w:w="2937" w:type="dxa"/>
          </w:tcPr>
          <w:p>
            <w:pPr>
              <w:pStyle w:val="Compact"/>
              <w:spacing w:after="40"/>
              <w:jc w:val="left"/>
            </w:pPr>
            <w:r>
              <w:rPr>
                <w:sz w:val="18"/>
              </w:rPr>
              <w:t xml:space="preserve">Files on DAKSH</w:t>
            </w:r>
          </w:p>
        </w:tc>
        <w:tc>
          <w:tcPr>
            <w:tcW w:w="1737" w:type="dxa"/>
          </w:tcPr>
          <w:p>
            <w:pPr>
              <w:pStyle w:val="Compact"/>
              <w:spacing w:after="40"/>
              <w:jc w:val="left"/>
            </w:pPr>
            <w:r>
              <w:rPr>
                <w:sz w:val="18"/>
              </w:rPr>
              <w:t xml:space="preserve">DAKSH</w:t>
            </w:r>
          </w:p>
        </w:tc>
      </w:tr>
      <w:tr>
        <w:tc>
          <w:tcPr>
            <w:tcW w:w="1771" w:type="dxa"/>
          </w:tcPr>
          <w:p>
            <w:pPr>
              <w:pStyle w:val="Compact"/>
              <w:spacing w:after="40"/>
              <w:jc w:val="left"/>
            </w:pPr>
            <w:r>
              <w:rPr>
                <w:sz w:val="18"/>
              </w:rPr>
              <w:t xml:space="preserve">Applications</w:t>
            </w:r>
          </w:p>
        </w:tc>
        <w:tc>
          <w:tcPr>
            <w:tcW w:w="3193" w:type="dxa"/>
          </w:tcPr>
          <w:p>
            <w:pPr>
              <w:pStyle w:val="Compact"/>
              <w:spacing w:after="40"/>
              <w:jc w:val="left"/>
            </w:pPr>
            <w:r>
              <w:rPr>
                <w:sz w:val="18"/>
              </w:rPr>
              <w:t xml:space="preserve">Pack, checklist, query tracking</w:t>
            </w:r>
          </w:p>
        </w:tc>
        <w:tc>
          <w:tcPr>
            <w:tcW w:w="2937" w:type="dxa"/>
          </w:tcPr>
          <w:p>
            <w:pPr>
              <w:pStyle w:val="Compact"/>
              <w:spacing w:after="40"/>
              <w:jc w:val="left"/>
            </w:pPr>
            <w:r>
              <w:rPr>
                <w:sz w:val="18"/>
              </w:rPr>
              <w:t xml:space="preserve">Submits and answers on PRAVAAH</w:t>
            </w:r>
          </w:p>
        </w:tc>
        <w:tc>
          <w:tcPr>
            <w:tcW w:w="1737" w:type="dxa"/>
          </w:tcPr>
          <w:p>
            <w:pPr>
              <w:pStyle w:val="Compact"/>
              <w:spacing w:after="40"/>
              <w:jc w:val="left"/>
            </w:pPr>
            <w:r>
              <w:rPr>
                <w:sz w:val="18"/>
              </w:rPr>
              <w:t xml:space="preserve">PRAVAAH</w:t>
            </w:r>
          </w:p>
        </w:tc>
      </w:tr>
      <w:tr>
        <w:tc>
          <w:tcPr>
            <w:tcW w:w="1771" w:type="dxa"/>
          </w:tcPr>
          <w:p>
            <w:pPr>
              <w:pStyle w:val="Compact"/>
              <w:spacing w:after="40"/>
              <w:jc w:val="left"/>
            </w:pPr>
            <w:r>
              <w:rPr>
                <w:sz w:val="18"/>
              </w:rPr>
              <w:t xml:space="preserve">FIU-IND reports</w:t>
            </w:r>
          </w:p>
        </w:tc>
        <w:tc>
          <w:tcPr>
            <w:tcW w:w="3193" w:type="dxa"/>
          </w:tcPr>
          <w:p>
            <w:pPr>
              <w:pStyle w:val="Compact"/>
              <w:spacing w:after="40"/>
              <w:jc w:val="left"/>
            </w:pPr>
            <w:r>
              <w:rPr>
                <w:sz w:val="18"/>
              </w:rPr>
              <w:t xml:space="preserve">XML via FIU utilities</w:t>
            </w:r>
          </w:p>
        </w:tc>
        <w:tc>
          <w:tcPr>
            <w:tcW w:w="2937" w:type="dxa"/>
          </w:tcPr>
          <w:p>
            <w:pPr>
              <w:pStyle w:val="Compact"/>
              <w:spacing w:after="40"/>
              <w:jc w:val="left"/>
            </w:pPr>
            <w:r>
              <w:rPr>
                <w:sz w:val="18"/>
              </w:rPr>
              <w:t xml:space="preserve">Principal Officer uploads</w:t>
            </w:r>
          </w:p>
        </w:tc>
        <w:tc>
          <w:tcPr>
            <w:tcW w:w="1737" w:type="dxa"/>
          </w:tcPr>
          <w:p>
            <w:pPr>
              <w:pStyle w:val="Compact"/>
              <w:spacing w:after="40"/>
              <w:jc w:val="left"/>
            </w:pPr>
            <w:r>
              <w:rPr>
                <w:sz w:val="18"/>
              </w:rPr>
              <w:t xml:space="preserve">FINGate 2.0</w:t>
            </w:r>
          </w:p>
        </w:tc>
      </w:tr>
      <w:tr>
        <w:tc>
          <w:tcPr>
            <w:tcW w:w="1771" w:type="dxa"/>
          </w:tcPr>
          <w:p>
            <w:pPr>
              <w:pStyle w:val="Compact"/>
              <w:spacing w:after="40"/>
              <w:jc w:val="left"/>
            </w:pPr>
            <w:r>
              <w:rPr>
                <w:sz w:val="18"/>
              </w:rPr>
              <w:t xml:space="preserve">CKYCR, CERSAI</w:t>
            </w:r>
          </w:p>
        </w:tc>
        <w:tc>
          <w:tcPr>
            <w:tcW w:w="3193" w:type="dxa"/>
          </w:tcPr>
          <w:p>
            <w:pPr>
              <w:pStyle w:val="Compact"/>
              <w:spacing w:after="40"/>
              <w:jc w:val="left"/>
            </w:pPr>
            <w:r>
              <w:rPr>
                <w:sz w:val="18"/>
              </w:rPr>
              <w:t xml:space="preserve">Upload files, 10/7/30-day clocks</w:t>
            </w:r>
          </w:p>
        </w:tc>
        <w:tc>
          <w:tcPr>
            <w:tcW w:w="2937" w:type="dxa"/>
          </w:tcPr>
          <w:p>
            <w:pPr>
              <w:pStyle w:val="Compact"/>
              <w:spacing w:after="40"/>
              <w:jc w:val="left"/>
            </w:pPr>
            <w:r>
              <w:rPr>
                <w:sz w:val="18"/>
              </w:rPr>
              <w:t xml:space="preserve">Authorised user uploads</w:t>
            </w:r>
          </w:p>
        </w:tc>
        <w:tc>
          <w:tcPr>
            <w:tcW w:w="1737" w:type="dxa"/>
          </w:tcPr>
          <w:p>
            <w:pPr>
              <w:pStyle w:val="Compact"/>
              <w:spacing w:after="40"/>
              <w:jc w:val="left"/>
            </w:pPr>
            <w:r>
              <w:rPr>
                <w:sz w:val="18"/>
              </w:rPr>
              <w:t xml:space="preserve">CKYCR, CERSAI</w:t>
            </w:r>
          </w:p>
        </w:tc>
      </w:tr>
      <w:tr>
        <w:tc>
          <w:tcPr>
            <w:tcW w:w="1771" w:type="dxa"/>
          </w:tcPr>
          <w:p>
            <w:pPr>
              <w:pStyle w:val="Compact"/>
              <w:spacing w:after="40"/>
              <w:jc w:val="left"/>
            </w:pPr>
            <w:r>
              <w:rPr>
                <w:sz w:val="18"/>
              </w:rPr>
              <w:t xml:space="preserve">SFT, FATCA/CRS</w:t>
            </w:r>
          </w:p>
        </w:tc>
        <w:tc>
          <w:tcPr>
            <w:tcW w:w="3193" w:type="dxa"/>
          </w:tcPr>
          <w:p>
            <w:pPr>
              <w:pStyle w:val="Compact"/>
              <w:spacing w:after="40"/>
              <w:jc w:val="left"/>
            </w:pPr>
            <w:r>
              <w:rPr>
                <w:sz w:val="18"/>
              </w:rPr>
              <w:t xml:space="preserve">Form 165/166 data files</w:t>
            </w:r>
          </w:p>
        </w:tc>
        <w:tc>
          <w:tcPr>
            <w:tcW w:w="2937" w:type="dxa"/>
          </w:tcPr>
          <w:p>
            <w:pPr>
              <w:pStyle w:val="Compact"/>
              <w:spacing w:after="40"/>
              <w:jc w:val="left"/>
            </w:pPr>
            <w:r>
              <w:rPr>
                <w:sz w:val="18"/>
              </w:rPr>
              <w:t xml:space="preserve">Designated director uploads</w:t>
            </w:r>
          </w:p>
        </w:tc>
        <w:tc>
          <w:tcPr>
            <w:tcW w:w="1737" w:type="dxa"/>
          </w:tcPr>
          <w:p>
            <w:pPr>
              <w:pStyle w:val="Compact"/>
              <w:spacing w:after="40"/>
              <w:jc w:val="left"/>
            </w:pPr>
            <w:r>
              <w:rPr>
                <w:sz w:val="18"/>
              </w:rPr>
              <w:t xml:space="preserve">Income-tax portal</w:t>
            </w:r>
          </w:p>
        </w:tc>
      </w:tr>
      <w:tr>
        <w:tc>
          <w:tcPr>
            <w:tcW w:w="1771" w:type="dxa"/>
          </w:tcPr>
          <w:p>
            <w:pPr>
              <w:pStyle w:val="Compact"/>
              <w:spacing w:after="40"/>
              <w:jc w:val="left"/>
            </w:pPr>
            <w:r>
              <w:rPr>
                <w:sz w:val="18"/>
              </w:rPr>
              <w:t xml:space="preserve">CIC files</w:t>
            </w:r>
          </w:p>
        </w:tc>
        <w:tc>
          <w:tcPr>
            <w:tcW w:w="3193" w:type="dxa"/>
          </w:tcPr>
          <w:p>
            <w:pPr>
              <w:pStyle w:val="Compact"/>
              <w:spacing w:after="40"/>
              <w:jc w:val="left"/>
            </w:pPr>
            <w:r>
              <w:rPr>
                <w:sz w:val="18"/>
              </w:rPr>
              <w:t xml:space="preserve">Build, validate, encrypt, SFTP from a tenant-controlled host, ingest responses</w:t>
            </w:r>
          </w:p>
        </w:tc>
        <w:tc>
          <w:tcPr>
            <w:tcW w:w="2937" w:type="dxa"/>
          </w:tcPr>
          <w:p>
            <w:pPr>
              <w:pStyle w:val="Compact"/>
              <w:spacing w:after="40"/>
              <w:jc w:val="left"/>
            </w:pPr>
            <w:r>
              <w:rPr>
                <w:sz w:val="18"/>
              </w:rPr>
              <w:t xml:space="preserve">CIC nodal officer approves each cycle</w:t>
            </w:r>
          </w:p>
        </w:tc>
        <w:tc>
          <w:tcPr>
            <w:tcW w:w="1737" w:type="dxa"/>
          </w:tcPr>
          <w:p>
            <w:pPr>
              <w:pStyle w:val="Compact"/>
              <w:spacing w:after="40"/>
              <w:jc w:val="left"/>
            </w:pPr>
            <w:r>
              <w:rPr>
                <w:sz w:val="18"/>
              </w:rPr>
              <w:t xml:space="preserve">CIC SFTP</w:t>
            </w:r>
          </w:p>
        </w:tc>
      </w:tr>
    </w:tbl>
    <w:bookmarkStart w:id="217" w:name="acceptance-tests-1"/>
    <w:p>
      <w:pPr>
        <w:pStyle w:val="Heading3"/>
      </w:pPr>
      <w:r>
        <w:t xml:space="preserve">Acceptance tests</w:t>
      </w:r>
    </w:p>
    <w:p>
      <w:pPr>
        <w:numPr>
          <w:ilvl w:val="0"/>
          <w:numId w:val="1267"/>
        </w:numPr>
        <w:pStyle w:val="Compact"/>
      </w:pPr>
      <w:r>
        <w:t xml:space="preserve">A static scan and runtime test find no storage field, secret reference or HTTP client configured for any regulator-portal domain (</w:t>
      </w:r>
      <w:r>
        <w:rPr>
          <w:rStyle w:val="VerbatimChar"/>
        </w:rPr>
        <w:t xml:space="preserve">*.rbi.org.in</w:t>
      </w:r>
      <w:r>
        <w:t xml:space="preserve">, ENSURE, FINGate, CERSAI, income-tax portal); the build fails if one is added.</w:t>
      </w:r>
    </w:p>
    <w:p>
      <w:pPr>
        <w:numPr>
          <w:ilvl w:val="0"/>
          <w:numId w:val="1267"/>
        </w:numPr>
        <w:pStyle w:val="Compact"/>
      </w:pPr>
      <w:r>
        <w:t xml:space="preserve">The ADF/S2S adapter returns</w:t>
      </w:r>
      <w:r>
        <w:t xml:space="preserve"> </w:t>
      </w:r>
      <w:r>
        <w:rPr>
          <w:rStyle w:val="VerbatimChar"/>
        </w:rPr>
        <w:t xml:space="preserve">channel_not_confirmed</w:t>
      </w:r>
      <w:r>
        <w:t xml:space="preserve"> </w:t>
      </w:r>
      <w:r>
        <w:t xml:space="preserve">unless the tenant’s confirmation evidence is attached and a second approver has enabled the flag.</w:t>
      </w:r>
    </w:p>
    <w:p>
      <w:pPr>
        <w:numPr>
          <w:ilvl w:val="0"/>
          <w:numId w:val="1267"/>
        </w:numPr>
        <w:pStyle w:val="Compact"/>
      </w:pPr>
      <w:r>
        <w:t xml:space="preserve">An email-contingency filing without an RBI-advice attachment cannot be saved; one with it opens an</w:t>
      </w:r>
      <w:r>
        <w:t xml:space="preserve"> </w:t>
      </w:r>
      <w:r>
        <w:rPr>
          <w:rStyle w:val="VerbatimChar"/>
        </w:rPr>
        <w:t xml:space="preserve">ONLINE_RESUBMISSION_PENDING</w:t>
      </w:r>
      <w:r>
        <w:t xml:space="preserve"> </w:t>
      </w:r>
      <w:r>
        <w:t xml:space="preserve">task that stays open until an online acknowledgement is recorded.</w:t>
      </w:r>
    </w:p>
    <w:p>
      <w:r>
        <w:pict>
          <v:rect style="width:0;height:1.5pt" o:hralign="center" o:hrstd="t" o:hr="t"/>
        </w:pict>
      </w:r>
    </w:p>
    <w:bookmarkEnd w:id="217"/>
    <w:bookmarkEnd w:id="218"/>
    <w:bookmarkStart w:id="225" w:name="Xb67a3932c9bca54bc473271273c527981691948"/>
    <w:p>
      <w:pPr>
        <w:pStyle w:val="Heading2"/>
      </w:pPr>
      <w:r>
        <w:t xml:space="preserve">RR1. Return registry and applicability engine</w:t>
      </w:r>
    </w:p>
    <w:p>
      <w:pPr>
        <w:pStyle w:val="FirstParagraph"/>
      </w:pPr>
      <w:r>
        <w:rPr>
          <w:bCs/>
          <w:b/>
        </w:rPr>
        <w:t xml:space="preserve">Purpose.</w:t>
      </w:r>
      <w:r>
        <w:t xml:space="preserve"> </w:t>
      </w:r>
      <w:r>
        <w:t xml:space="preserve">One data-driven registry of every return, report, certificate and bureau file the tenant must produce, with legal basis, applicability, timing, format, channel and signatory, resolved per legal entity from its regulatory profile.</w:t>
      </w:r>
    </w:p>
    <w:bookmarkStart w:id="219" w:name="rr1.1-registry-model"/>
    <w:p>
      <w:pPr>
        <w:pStyle w:val="Heading3"/>
      </w:pPr>
      <w:r>
        <w:t xml:space="preserve">RR1.1 Registry model</w:t>
      </w:r>
    </w:p>
    <w:p>
      <w:pPr>
        <w:pStyle w:val="FirstParagraph"/>
      </w:pPr>
      <w:r>
        <w:rPr>
          <w:rStyle w:val="VerbatimChar"/>
        </w:rPr>
        <w:t xml:space="preserve">regulator</w:t>
      </w:r>
      <w:r>
        <w:t xml:space="preserve"> </w:t>
      </w:r>
      <w:r>
        <w:t xml:space="preserve">→</w:t>
      </w:r>
      <w:r>
        <w:t xml:space="preserve"> </w:t>
      </w:r>
      <w:r>
        <w:rPr>
          <w:rStyle w:val="VerbatimChar"/>
        </w:rPr>
        <w:t xml:space="preserve">portal</w:t>
      </w:r>
      <w:r>
        <w:t xml:space="preserve"> </w:t>
      </w:r>
      <w:r>
        <w:t xml:space="preserve">→</w:t>
      </w:r>
      <w:r>
        <w:t xml:space="preserve"> </w:t>
      </w:r>
      <w:r>
        <w:rPr>
          <w:rStyle w:val="VerbatimChar"/>
        </w:rPr>
        <w:t xml:space="preserve">return_definition</w:t>
      </w:r>
      <w:r>
        <w:t xml:space="preserve"> </w:t>
      </w:r>
      <w:r>
        <w:t xml:space="preserve">→</w:t>
      </w:r>
      <w:r>
        <w:t xml:space="preserve"> </w:t>
      </w:r>
      <w:r>
        <w:rPr>
          <w:rStyle w:val="VerbatimChar"/>
        </w:rPr>
        <w:t xml:space="preserve">return_version</w:t>
      </w:r>
      <w:r>
        <w:t xml:space="preserve"> </w:t>
      </w:r>
      <w:r>
        <w:t xml:space="preserve">→</w:t>
      </w:r>
      <w:r>
        <w:t xml:space="preserve"> </w:t>
      </w:r>
      <w:r>
        <w:rPr>
          <w:rStyle w:val="VerbatimChar"/>
        </w:rPr>
        <w:t xml:space="preserve">return_due_instance</w:t>
      </w:r>
      <w:r>
        <w:t xml:space="preserve"> </w:t>
      </w:r>
      <w:r>
        <w:t xml:space="preserve">→</w:t>
      </w:r>
      <w:r>
        <w:t xml:space="preserve"> </w:t>
      </w:r>
      <w:r>
        <w:rPr>
          <w:rStyle w:val="VerbatimChar"/>
        </w:rPr>
        <w:t xml:space="preserve">return_run</w:t>
      </w:r>
      <w:r>
        <w:t xml:space="preserve">.</w:t>
      </w:r>
    </w:p>
    <w:p>
      <w:pPr>
        <w:numPr>
          <w:ilvl w:val="0"/>
          <w:numId w:val="1268"/>
        </w:numPr>
        <w:pStyle w:val="Compact"/>
      </w:pPr>
      <w:r>
        <w:rPr>
          <w:rStyle w:val="VerbatimChar"/>
        </w:rPr>
        <w:t xml:space="preserve">regulator</w:t>
      </w:r>
      <w:r>
        <w:t xml:space="preserve"> </w:t>
      </w:r>
      <w:r>
        <w:t xml:space="preserve">(RBI-DoS, RBI-DoR, RBI-FED, NHB, NABARD, FIU-IND, CERSAI, CBDT, IFSCA, MCA, GSTN, CRCS, state Registrar, CIC) and</w:t>
      </w:r>
      <w:r>
        <w:t xml:space="preserve"> </w:t>
      </w:r>
      <w:r>
        <w:rPr>
          <w:rStyle w:val="VerbatimChar"/>
        </w:rPr>
        <w:t xml:space="preserve">portal</w:t>
      </w:r>
      <w:r>
        <w:t xml:space="preserve"> </w:t>
      </w:r>
      <w:r>
        <w:t xml:space="preserve">(CIMS-SANKALAN, DAKSH, PRAVAAH, ENSURE, IFSCA, FINGATE2, CKYCR, CERSAI-CR, IT-REPORTING, CIC-SFTP, EMAIL-CONTINGENCY; URL, channels, help-document URL and fetch date).</w:t>
      </w:r>
    </w:p>
    <w:p>
      <w:pPr>
        <w:numPr>
          <w:ilvl w:val="0"/>
          <w:numId w:val="1268"/>
        </w:numPr>
        <w:pStyle w:val="Compact"/>
      </w:pPr>
      <w:r>
        <w:rPr>
          <w:rStyle w:val="VerbatimChar"/>
        </w:rPr>
        <w:t xml:space="preserve">return_definition</w:t>
      </w:r>
      <w:r>
        <w:t xml:space="preserve">:</w:t>
      </w:r>
      <w:r>
        <w:t xml:space="preserve"> </w:t>
      </w:r>
      <w:r>
        <w:rPr>
          <w:rStyle w:val="VerbatimChar"/>
        </w:rPr>
        <w:t xml:space="preserve">code</w:t>
      </w:r>
      <w:r>
        <w:t xml:space="preserve">,</w:t>
      </w:r>
      <w:r>
        <w:t xml:space="preserve"> </w:t>
      </w:r>
      <w:r>
        <w:rPr>
          <w:rStyle w:val="VerbatimChar"/>
        </w:rPr>
        <w:t xml:space="preserve">name</w:t>
      </w:r>
      <w:r>
        <w:t xml:space="preserve">,</w:t>
      </w:r>
      <w:r>
        <w:t xml:space="preserve"> </w:t>
      </w:r>
      <w:r>
        <w:rPr>
          <w:rStyle w:val="VerbatimChar"/>
        </w:rPr>
        <w:t xml:space="preserve">rbi_return_id</w:t>
      </w:r>
      <w:r>
        <w:t xml:space="preserve">,</w:t>
      </w:r>
      <w:r>
        <w:t xml:space="preserve"> </w:t>
      </w:r>
      <w:r>
        <w:rPr>
          <w:rStyle w:val="VerbatimChar"/>
        </w:rPr>
        <w:t xml:space="preserve">legal_basis[]</w:t>
      </w:r>
      <w:r>
        <w:t xml:space="preserve"> </w:t>
      </w:r>
      <w:r>
        <w:t xml:space="preserve">(e.g. </w:t>
      </w:r>
      <w:r>
        <w:rPr>
          <w:rStyle w:val="VerbatimChar"/>
        </w:rPr>
        <w:t xml:space="preserve">RBI/DoS/2026-27/466#21.5</w:t>
      </w:r>
      <w:r>
        <w:t xml:space="preserve">),</w:t>
      </w:r>
      <w:r>
        <w:t xml:space="preserve"> </w:t>
      </w:r>
      <w:r>
        <w:rPr>
          <w:rStyle w:val="VerbatimChar"/>
        </w:rPr>
        <w:t xml:space="preserve">applicability_rule</w:t>
      </w:r>
      <w:r>
        <w:t xml:space="preserve"> </w:t>
      </w:r>
      <w:r>
        <w:t xml:space="preserve">(RR1.3),</w:t>
      </w:r>
      <w:r>
        <w:t xml:space="preserve"> </w:t>
      </w:r>
      <w:r>
        <w:rPr>
          <w:rStyle w:val="VerbatimChar"/>
        </w:rPr>
        <w:t xml:space="preserve">periodicity</w:t>
      </w:r>
      <w:r>
        <w:t xml:space="preserve">,</w:t>
      </w:r>
      <w:r>
        <w:t xml:space="preserve"> </w:t>
      </w:r>
      <w:r>
        <w:rPr>
          <w:rStyle w:val="VerbatimChar"/>
        </w:rPr>
        <w:t xml:space="preserve">reference_date_rule</w:t>
      </w:r>
      <w:r>
        <w:t xml:space="preserve">,</w:t>
      </w:r>
      <w:r>
        <w:t xml:space="preserve"> </w:t>
      </w:r>
      <w:r>
        <w:rPr>
          <w:rStyle w:val="VerbatimChar"/>
        </w:rPr>
        <w:t xml:space="preserve">due_rule</w:t>
      </w:r>
      <w:r>
        <w:t xml:space="preserve"> </w:t>
      </w:r>
      <w:r>
        <w:t xml:space="preserve">(</w:t>
      </w:r>
      <w:r>
        <w:rPr>
          <w:rStyle w:val="VerbatimChar"/>
        </w:rPr>
        <w:t xml:space="preserve">+15D</w:t>
      </w:r>
      <w:r>
        <w:t xml:space="preserve">,</w:t>
      </w:r>
      <w:r>
        <w:t xml:space="preserve"> </w:t>
      </w:r>
      <w:r>
        <w:rPr>
          <w:rStyle w:val="VerbatimChar"/>
        </w:rPr>
        <w:t xml:space="preserve">+21D</w:t>
      </w:r>
      <w:r>
        <w:t xml:space="preserve">,</w:t>
      </w:r>
      <w:r>
        <w:t xml:space="preserve"> </w:t>
      </w:r>
      <w:r>
        <w:rPr>
          <w:rStyle w:val="VerbatimChar"/>
        </w:rPr>
        <w:t xml:space="preserve">WED_NEXT_WEEK</w:t>
      </w:r>
      <w:r>
        <w:t xml:space="preserve">,</w:t>
      </w:r>
      <w:r>
        <w:t xml:space="preserve"> </w:t>
      </w:r>
      <w:r>
        <w:rPr>
          <w:rStyle w:val="VerbatimChar"/>
        </w:rPr>
        <w:t xml:space="preserve">+5WD_FROM_AUDIT_REPORT_CAP_31DEC</w:t>
      </w:r>
      <w:r>
        <w:t xml:space="preserve">,</w:t>
      </w:r>
      <w:r>
        <w:t xml:space="preserve"> </w:t>
      </w:r>
      <w:r>
        <w:rPr>
          <w:rStyle w:val="VerbatimChar"/>
        </w:rPr>
        <w:t xml:space="preserve">+1M_FROM_SA_APPOINTMENT</w:t>
      </w:r>
      <w:r>
        <w:t xml:space="preserve">,</w:t>
      </w:r>
      <w:r>
        <w:t xml:space="preserve"> </w:t>
      </w:r>
      <w:r>
        <w:rPr>
          <w:rStyle w:val="VerbatimChar"/>
        </w:rPr>
        <w:t xml:space="preserve">+14D_FROM_CLASSIFICATION</w:t>
      </w:r>
      <w:r>
        <w:t xml:space="preserve">,</w:t>
      </w:r>
      <w:r>
        <w:t xml:space="preserve"> </w:t>
      </w:r>
      <w:r>
        <w:rPr>
          <w:rStyle w:val="VerbatimChar"/>
        </w:rPr>
        <w:t xml:space="preserve">IMMEDIATE</w:t>
      </w:r>
      <w:r>
        <w:t xml:space="preserve">,</w:t>
      </w:r>
      <w:r>
        <w:t xml:space="preserve"> </w:t>
      </w:r>
      <w:r>
        <w:rPr>
          <w:rStyle w:val="VerbatimChar"/>
        </w:rPr>
        <w:t xml:space="preserve">+6H_FROM_DETECTION</w:t>
      </w:r>
      <w:r>
        <w:t xml:space="preserve">),</w:t>
      </w:r>
      <w:r>
        <w:t xml:space="preserve"> </w:t>
      </w:r>
      <w:r>
        <w:rPr>
          <w:rStyle w:val="VerbatimChar"/>
        </w:rPr>
        <w:t xml:space="preserve">holiday_calendar</w:t>
      </w:r>
      <w:r>
        <w:t xml:space="preserve">, flags (</w:t>
      </w:r>
      <w:r>
        <w:rPr>
          <w:rStyle w:val="VerbatimChar"/>
        </w:rPr>
        <w:t xml:space="preserve">nil_return_required</w:t>
      </w:r>
      <w:r>
        <w:t xml:space="preserve">,</w:t>
      </w:r>
      <w:r>
        <w:t xml:space="preserve"> </w:t>
      </w:r>
      <w:r>
        <w:rPr>
          <w:rStyle w:val="VerbatimChar"/>
        </w:rPr>
        <w:t xml:space="preserve">audited</w:t>
      </w:r>
      <w:r>
        <w:t xml:space="preserve">,</w:t>
      </w:r>
      <w:r>
        <w:t xml:space="preserve"> </w:t>
      </w:r>
      <w:r>
        <w:rPr>
          <w:rStyle w:val="VerbatimChar"/>
        </w:rPr>
        <w:t xml:space="preserve">solo_or_group</w:t>
      </w:r>
      <w:r>
        <w:t xml:space="preserve">,</w:t>
      </w:r>
      <w:r>
        <w:t xml:space="preserve"> </w:t>
      </w:r>
      <w:r>
        <w:rPr>
          <w:rStyle w:val="VerbatimChar"/>
        </w:rPr>
        <w:t xml:space="preserve">contains_pii</w:t>
      </w:r>
      <w:r>
        <w:t xml:space="preserve">,</w:t>
      </w:r>
      <w:r>
        <w:t xml:space="preserve"> </w:t>
      </w:r>
      <w:r>
        <w:rPr>
          <w:rStyle w:val="VerbatimChar"/>
        </w:rPr>
        <w:t xml:space="preserve">ad_hoc</w:t>
      </w:r>
      <w:r>
        <w:t xml:space="preserve">), roles (RR3.5),</w:t>
      </w:r>
      <w:r>
        <w:t xml:space="preserve"> </w:t>
      </w:r>
      <w:r>
        <w:rPr>
          <w:rStyle w:val="VerbatimChar"/>
        </w:rPr>
        <w:t xml:space="preserve">format_version</w:t>
      </w:r>
      <w:r>
        <w:t xml:space="preserve"> </w:t>
      </w:r>
      <w:r>
        <w:t xml:space="preserve">(template hash, schema, UCRF version),</w:t>
      </w:r>
      <w:r>
        <w:t xml:space="preserve"> </w:t>
      </w:r>
      <w:r>
        <w:rPr>
          <w:rStyle w:val="VerbatimChar"/>
        </w:rPr>
        <w:t xml:space="preserve">channel</w:t>
      </w:r>
      <w:r>
        <w:t xml:space="preserve"> </w:t>
      </w:r>
      <w:r>
        <w:t xml:space="preserve">(WEB_FORM, TEMPLATE_UPLOAD, XML_UPLOAD, S2S, SFTP, EMAIL_CONTINGENCY, PDF),</w:t>
      </w:r>
      <w:r>
        <w:t xml:space="preserve"> </w:t>
      </w:r>
      <w:r>
        <w:rPr>
          <w:rStyle w:val="VerbatimChar"/>
        </w:rPr>
        <w:t xml:space="preserve">record_limit</w:t>
      </w:r>
      <w:r>
        <w:t xml:space="preserve">,</w:t>
      </w:r>
      <w:r>
        <w:t xml:space="preserve"> </w:t>
      </w:r>
      <w:r>
        <w:rPr>
          <w:rStyle w:val="VerbatimChar"/>
        </w:rPr>
        <w:t xml:space="preserve">status</w:t>
      </w:r>
      <w:r>
        <w:t xml:space="preserve">, effective dates,</w:t>
      </w:r>
      <w:r>
        <w:t xml:space="preserve"> </w:t>
      </w:r>
      <w:r>
        <w:rPr>
          <w:rStyle w:val="VerbatimChar"/>
        </w:rPr>
        <w:t xml:space="preserve">change_log</w:t>
      </w:r>
      <w:r>
        <w:t xml:space="preserve"> </w:t>
      </w:r>
      <w:r>
        <w:t xml:space="preserve">(source URL, fetch date, approver).</w:t>
      </w:r>
    </w:p>
    <w:p>
      <w:pPr>
        <w:numPr>
          <w:ilvl w:val="0"/>
          <w:numId w:val="1268"/>
        </w:numPr>
        <w:pStyle w:val="Compact"/>
      </w:pPr>
      <w:r>
        <w:t xml:space="preserve">Any format or rule change creates a new</w:t>
      </w:r>
      <w:r>
        <w:t xml:space="preserve"> </w:t>
      </w:r>
      <w:r>
        <w:rPr>
          <w:rStyle w:val="VerbatimChar"/>
        </w:rPr>
        <w:t xml:space="preserve">return_version</w:t>
      </w:r>
      <w:r>
        <w:t xml:space="preserve">; old versions are closed, never edited.</w:t>
      </w:r>
    </w:p>
    <w:bookmarkEnd w:id="219"/>
    <w:bookmarkStart w:id="220" w:name="X161b091385ac6bdb01f600ba63bc8a0d1b51841"/>
    <w:p>
      <w:pPr>
        <w:pStyle w:val="Heading3"/>
      </w:pPr>
      <w:r>
        <w:t xml:space="preserve">RR1.2 NBFC return inventory (SR paras 21–23)</w:t>
      </w:r>
    </w:p>
    <w:p>
      <w:pPr>
        <w:pStyle w:val="FirstParagraph"/>
      </w:pPr>
      <w:r>
        <w:t xml:space="preserve">Applicability is quoted from SR para 21; due dates from paras 22–23; portal and format from the RBI list of returns (fetched 23 Oct 2026) unless stated.</w:t>
      </w:r>
      <w:r>
        <w:t xml:space="preserve"> </w:t>
      </w:r>
      <w:r>
        <w:t xml:space="preserve">“</w:t>
      </w:r>
      <w:r>
        <w:t xml:space="preserve">Template</w:t>
      </w:r>
      <w:r>
        <w:t xml:space="preserve">”</w:t>
      </w:r>
      <w:r>
        <w:t xml:space="preserve"> </w:t>
      </w:r>
      <w:r>
        <w:t xml:space="preserve">means the RBI-published XLSX template downloaded from the portal; the registry stores its hash.</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504"/>
        <w:gridCol w:w="1535"/>
        <w:gridCol w:w="504"/>
        <w:gridCol w:w="826"/>
        <w:gridCol w:w="1491"/>
        <w:gridCol w:w="2007"/>
        <w:gridCol w:w="1476"/>
        <w:gridCol w:w="504"/>
        <w:gridCol w:w="791"/>
      </w:tblGrid>
      <w:tr>
        <w:trPr>
          <w:tblHeader w:val="true"/>
          <w:tblHeader w:val="true"/>
        </w:trPr>
        <w:tc>
          <w:tcPr>
            <w:tcW w:w="504" w:type="dxa"/>
            <w:shd w:val="clear" w:color="auto" w:fill="1F3A5F"/>
          </w:tcPr>
          <w:p>
            <w:pPr>
              <w:pStyle w:val="Compact"/>
              <w:spacing w:after="40"/>
              <w:jc w:val="left"/>
            </w:pPr>
            <w:r>
              <w:rPr>
                <w:b/>
                <w:color w:val="FFFFFF"/>
                <w:sz w:val="18"/>
              </w:rPr>
              <w:t xml:space="preserve">Code</w:t>
            </w:r>
          </w:p>
        </w:tc>
        <w:tc>
          <w:tcPr>
            <w:tcW w:w="1535" w:type="dxa"/>
            <w:shd w:val="clear" w:color="auto" w:fill="1F3A5F"/>
          </w:tcPr>
          <w:p>
            <w:pPr>
              <w:pStyle w:val="Compact"/>
              <w:spacing w:after="40"/>
              <w:jc w:val="left"/>
            </w:pPr>
            <w:r>
              <w:rPr>
                <w:b/>
                <w:color w:val="FFFFFF"/>
                <w:sz w:val="18"/>
              </w:rPr>
              <w:t xml:space="preserve">Return</w:t>
            </w:r>
          </w:p>
        </w:tc>
        <w:tc>
          <w:tcPr>
            <w:tcW w:w="504" w:type="dxa"/>
            <w:shd w:val="clear" w:color="auto" w:fill="1F3A5F"/>
          </w:tcPr>
          <w:p>
            <w:pPr>
              <w:pStyle w:val="Compact"/>
              <w:spacing w:after="40"/>
              <w:jc w:val="left"/>
            </w:pPr>
            <w:r>
              <w:rPr>
                <w:b/>
                <w:color w:val="FFFFFF"/>
                <w:sz w:val="18"/>
              </w:rPr>
              <w:t xml:space="preserve">Freq.</w:t>
            </w:r>
          </w:p>
        </w:tc>
        <w:tc>
          <w:tcPr>
            <w:tcW w:w="826" w:type="dxa"/>
            <w:shd w:val="clear" w:color="auto" w:fill="1F3A5F"/>
          </w:tcPr>
          <w:p>
            <w:pPr>
              <w:pStyle w:val="Compact"/>
              <w:spacing w:after="40"/>
              <w:jc w:val="left"/>
            </w:pPr>
            <w:r>
              <w:rPr>
                <w:b/>
                <w:color w:val="FFFFFF"/>
                <w:sz w:val="18"/>
              </w:rPr>
              <w:t xml:space="preserve">Reference date</w:t>
            </w:r>
          </w:p>
        </w:tc>
        <w:tc>
          <w:tcPr>
            <w:tcW w:w="1491" w:type="dxa"/>
            <w:shd w:val="clear" w:color="auto" w:fill="1F3A5F"/>
          </w:tcPr>
          <w:p>
            <w:pPr>
              <w:pStyle w:val="Compact"/>
              <w:spacing w:after="40"/>
              <w:jc w:val="left"/>
            </w:pPr>
            <w:r>
              <w:rPr>
                <w:b/>
                <w:color w:val="FFFFFF"/>
                <w:sz w:val="18"/>
              </w:rPr>
              <w:t xml:space="preserve">Due</w:t>
            </w:r>
          </w:p>
        </w:tc>
        <w:tc>
          <w:tcPr>
            <w:tcW w:w="2007" w:type="dxa"/>
            <w:shd w:val="clear" w:color="auto" w:fill="1F3A5F"/>
          </w:tcPr>
          <w:p>
            <w:pPr>
              <w:pStyle w:val="Compact"/>
              <w:spacing w:after="40"/>
              <w:jc w:val="left"/>
            </w:pPr>
            <w:r>
              <w:rPr>
                <w:b/>
                <w:color w:val="FFFFFF"/>
                <w:sz w:val="18"/>
              </w:rPr>
              <w:t xml:space="preserve">Applicability (SR para 21)</w:t>
            </w:r>
          </w:p>
        </w:tc>
        <w:tc>
          <w:tcPr>
            <w:tcW w:w="1476" w:type="dxa"/>
            <w:shd w:val="clear" w:color="auto" w:fill="1F3A5F"/>
          </w:tcPr>
          <w:p>
            <w:pPr>
              <w:pStyle w:val="Compact"/>
              <w:spacing w:after="40"/>
              <w:jc w:val="left"/>
            </w:pPr>
            <w:r>
              <w:rPr>
                <w:b/>
                <w:color w:val="FFFFFF"/>
                <w:sz w:val="18"/>
              </w:rPr>
              <w:t xml:space="preserve">Portal and format</w:t>
            </w:r>
          </w:p>
        </w:tc>
        <w:tc>
          <w:tcPr>
            <w:tcW w:w="504" w:type="dxa"/>
            <w:shd w:val="clear" w:color="auto" w:fill="1F3A5F"/>
          </w:tcPr>
          <w:p>
            <w:pPr>
              <w:pStyle w:val="Compact"/>
              <w:spacing w:after="40"/>
              <w:jc w:val="left"/>
            </w:pPr>
            <w:r>
              <w:rPr>
                <w:b/>
                <w:color w:val="FFFFFF"/>
                <w:sz w:val="18"/>
              </w:rPr>
              <w:t xml:space="preserve">NIL</w:t>
            </w:r>
          </w:p>
        </w:tc>
        <w:tc>
          <w:tcPr>
            <w:tcW w:w="791" w:type="dxa"/>
            <w:shd w:val="clear" w:color="auto" w:fill="1F3A5F"/>
          </w:tcPr>
          <w:p>
            <w:pPr>
              <w:pStyle w:val="Compact"/>
              <w:spacing w:after="40"/>
              <w:jc w:val="left"/>
            </w:pPr>
            <w:r>
              <w:rPr>
                <w:b/>
                <w:color w:val="FFFFFF"/>
                <w:sz w:val="18"/>
              </w:rPr>
              <w:t xml:space="preserve">Source</w:t>
            </w:r>
          </w:p>
        </w:tc>
      </w:tr>
      <w:tr>
        <w:tc>
          <w:tcPr>
            <w:tcW w:w="504" w:type="dxa"/>
          </w:tcPr>
          <w:p>
            <w:pPr>
              <w:pStyle w:val="Compact"/>
              <w:spacing w:after="40"/>
              <w:jc w:val="left"/>
            </w:pPr>
            <w:r>
              <w:rPr>
                <w:sz w:val="18"/>
              </w:rPr>
              <w:t xml:space="preserve">DNBS01</w:t>
            </w:r>
          </w:p>
        </w:tc>
        <w:tc>
          <w:tcPr>
            <w:tcW w:w="1535" w:type="dxa"/>
          </w:tcPr>
          <w:p>
            <w:pPr>
              <w:pStyle w:val="Compact"/>
              <w:spacing w:after="40"/>
              <w:jc w:val="left"/>
            </w:pPr>
            <w:r>
              <w:rPr>
                <w:sz w:val="18"/>
              </w:rPr>
              <w:t xml:space="preserve">Important Financial Parameters</w:t>
            </w:r>
          </w:p>
        </w:tc>
        <w:tc>
          <w:tcPr>
            <w:tcW w:w="504" w:type="dxa"/>
          </w:tcPr>
          <w:p>
            <w:pPr>
              <w:pStyle w:val="Compact"/>
              <w:spacing w:after="40"/>
              <w:jc w:val="left"/>
            </w:pPr>
            <w:r>
              <w:rPr>
                <w:sz w:val="18"/>
              </w:rPr>
              <w:t xml:space="preserve">Q</w:t>
            </w:r>
          </w:p>
        </w:tc>
        <w:tc>
          <w:tcPr>
            <w:tcW w:w="826" w:type="dxa"/>
          </w:tcPr>
          <w:p>
            <w:pPr>
              <w:pStyle w:val="Compact"/>
              <w:spacing w:after="40"/>
              <w:jc w:val="left"/>
            </w:pPr>
            <w:r>
              <w:rPr>
                <w:sz w:val="18"/>
              </w:rPr>
              <w:t xml:space="preserve">Quarter-end</w:t>
            </w:r>
          </w:p>
        </w:tc>
        <w:tc>
          <w:tcPr>
            <w:tcW w:w="1491" w:type="dxa"/>
          </w:tcPr>
          <w:p>
            <w:pPr>
              <w:pStyle w:val="Compact"/>
              <w:spacing w:after="40"/>
              <w:jc w:val="left"/>
            </w:pPr>
            <w:r>
              <w:rPr>
                <w:sz w:val="18"/>
              </w:rPr>
              <w:t xml:space="preserve">21 days</w:t>
            </w:r>
          </w:p>
        </w:tc>
        <w:tc>
          <w:tcPr>
            <w:tcW w:w="2007" w:type="dxa"/>
          </w:tcPr>
          <w:p>
            <w:pPr>
              <w:pStyle w:val="Compact"/>
              <w:spacing w:after="40"/>
              <w:jc w:val="left"/>
            </w:pPr>
            <w:r>
              <w:rPr>
                <w:sz w:val="18"/>
              </w:rPr>
              <w:t xml:space="preserve">UL and ML, excluding core investment companies</w:t>
            </w:r>
          </w:p>
        </w:tc>
        <w:tc>
          <w:tcPr>
            <w:tcW w:w="1476" w:type="dxa"/>
          </w:tcPr>
          <w:p>
            <w:pPr>
              <w:pStyle w:val="Compact"/>
              <w:spacing w:after="40"/>
              <w:jc w:val="left"/>
            </w:pPr>
            <w:r>
              <w:rPr>
                <w:sz w:val="18"/>
              </w:rPr>
              <w:t xml:space="preserve">CIMS; template</w:t>
            </w:r>
          </w:p>
        </w:tc>
        <w:tc>
          <w:tcPr>
            <w:tcW w:w="504" w:type="dxa"/>
          </w:tcPr>
          <w:p>
            <w:pPr>
              <w:pStyle w:val="Compact"/>
              <w:spacing w:after="40"/>
              <w:jc w:val="left"/>
            </w:pPr>
            <w:r>
              <w:rPr>
                <w:sz w:val="18"/>
              </w:rPr>
              <w:t xml:space="preserve">No</w:t>
            </w:r>
          </w:p>
        </w:tc>
        <w:tc>
          <w:tcPr>
            <w:tcW w:w="791" w:type="dxa"/>
          </w:tcPr>
          <w:p>
            <w:pPr>
              <w:pStyle w:val="Compact"/>
              <w:spacing w:after="40"/>
              <w:jc w:val="left"/>
            </w:pPr>
            <w:r>
              <w:rPr>
                <w:sz w:val="18"/>
              </w:rPr>
              <w:t xml:space="preserve">SR 21 item 1, 22</w:t>
            </w:r>
          </w:p>
        </w:tc>
      </w:tr>
      <w:tr>
        <w:tc>
          <w:tcPr>
            <w:tcW w:w="504" w:type="dxa"/>
          </w:tcPr>
          <w:p>
            <w:pPr>
              <w:pStyle w:val="Compact"/>
              <w:spacing w:after="40"/>
              <w:jc w:val="left"/>
            </w:pPr>
            <w:r>
              <w:rPr>
                <w:sz w:val="18"/>
              </w:rPr>
              <w:t xml:space="preserve">DNBS02</w:t>
            </w:r>
          </w:p>
        </w:tc>
        <w:tc>
          <w:tcPr>
            <w:tcW w:w="1535" w:type="dxa"/>
          </w:tcPr>
          <w:p>
            <w:pPr>
              <w:pStyle w:val="Compact"/>
              <w:spacing w:after="40"/>
              <w:jc w:val="left"/>
            </w:pPr>
            <w:r>
              <w:rPr>
                <w:sz w:val="18"/>
              </w:rPr>
              <w:t xml:space="preserve">Important Financial Parameters</w:t>
            </w:r>
          </w:p>
        </w:tc>
        <w:tc>
          <w:tcPr>
            <w:tcW w:w="504" w:type="dxa"/>
          </w:tcPr>
          <w:p>
            <w:pPr>
              <w:pStyle w:val="Compact"/>
              <w:spacing w:after="40"/>
              <w:jc w:val="left"/>
            </w:pPr>
            <w:r>
              <w:rPr>
                <w:sz w:val="18"/>
              </w:rPr>
              <w:t xml:space="preserve">Q</w:t>
            </w:r>
          </w:p>
        </w:tc>
        <w:tc>
          <w:tcPr>
            <w:tcW w:w="826" w:type="dxa"/>
          </w:tcPr>
          <w:p>
            <w:pPr>
              <w:pStyle w:val="Compact"/>
              <w:spacing w:after="40"/>
              <w:jc w:val="left"/>
            </w:pPr>
            <w:r>
              <w:rPr>
                <w:sz w:val="18"/>
              </w:rPr>
              <w:t xml:space="preserve">Quarter-end</w:t>
            </w:r>
          </w:p>
        </w:tc>
        <w:tc>
          <w:tcPr>
            <w:tcW w:w="1491" w:type="dxa"/>
          </w:tcPr>
          <w:p>
            <w:pPr>
              <w:pStyle w:val="Compact"/>
              <w:spacing w:after="40"/>
              <w:jc w:val="left"/>
            </w:pPr>
            <w:r>
              <w:rPr>
                <w:sz w:val="18"/>
              </w:rPr>
              <w:t xml:space="preserve">21 days</w:t>
            </w:r>
          </w:p>
        </w:tc>
        <w:tc>
          <w:tcPr>
            <w:tcW w:w="2007" w:type="dxa"/>
          </w:tcPr>
          <w:p>
            <w:pPr>
              <w:pStyle w:val="Compact"/>
              <w:spacing w:after="40"/>
              <w:jc w:val="left"/>
            </w:pPr>
            <w:r>
              <w:rPr>
                <w:sz w:val="18"/>
              </w:rPr>
              <w:t xml:space="preserve">BL, excluding P2Ps</w:t>
            </w:r>
          </w:p>
        </w:tc>
        <w:tc>
          <w:tcPr>
            <w:tcW w:w="1476" w:type="dxa"/>
          </w:tcPr>
          <w:p>
            <w:pPr>
              <w:pStyle w:val="Compact"/>
              <w:spacing w:after="40"/>
              <w:jc w:val="left"/>
            </w:pPr>
            <w:r>
              <w:rPr>
                <w:sz w:val="18"/>
              </w:rPr>
              <w:t xml:space="preserve">CIMS; template</w:t>
            </w:r>
          </w:p>
        </w:tc>
        <w:tc>
          <w:tcPr>
            <w:tcW w:w="504" w:type="dxa"/>
          </w:tcPr>
          <w:p>
            <w:pPr>
              <w:pStyle w:val="Compact"/>
              <w:spacing w:after="40"/>
              <w:jc w:val="left"/>
            </w:pPr>
            <w:r>
              <w:rPr>
                <w:sz w:val="18"/>
              </w:rPr>
              <w:t xml:space="preserve">No</w:t>
            </w:r>
          </w:p>
        </w:tc>
        <w:tc>
          <w:tcPr>
            <w:tcW w:w="791" w:type="dxa"/>
          </w:tcPr>
          <w:p>
            <w:pPr>
              <w:pStyle w:val="Compact"/>
              <w:spacing w:after="40"/>
              <w:jc w:val="left"/>
            </w:pPr>
            <w:r>
              <w:rPr>
                <w:sz w:val="18"/>
              </w:rPr>
              <w:t xml:space="preserve">SR 21 item 2, 22</w:t>
            </w:r>
          </w:p>
        </w:tc>
      </w:tr>
      <w:tr>
        <w:tc>
          <w:tcPr>
            <w:tcW w:w="504" w:type="dxa"/>
          </w:tcPr>
          <w:p>
            <w:pPr>
              <w:pStyle w:val="Compact"/>
              <w:spacing w:after="40"/>
              <w:jc w:val="left"/>
            </w:pPr>
            <w:r>
              <w:rPr>
                <w:sz w:val="18"/>
              </w:rPr>
              <w:t xml:space="preserve">DNBS03</w:t>
            </w:r>
          </w:p>
        </w:tc>
        <w:tc>
          <w:tcPr>
            <w:tcW w:w="1535" w:type="dxa"/>
          </w:tcPr>
          <w:p>
            <w:pPr>
              <w:pStyle w:val="Compact"/>
              <w:spacing w:after="40"/>
              <w:jc w:val="left"/>
            </w:pPr>
            <w:r>
              <w:rPr>
                <w:sz w:val="18"/>
              </w:rPr>
              <w:t xml:space="preserve">Important Prudential Parameters (CRAR, provisioning)</w:t>
            </w:r>
          </w:p>
        </w:tc>
        <w:tc>
          <w:tcPr>
            <w:tcW w:w="504" w:type="dxa"/>
          </w:tcPr>
          <w:p>
            <w:pPr>
              <w:pStyle w:val="Compact"/>
              <w:spacing w:after="40"/>
              <w:jc w:val="left"/>
            </w:pPr>
            <w:r>
              <w:rPr>
                <w:sz w:val="18"/>
              </w:rPr>
              <w:t xml:space="preserve">Q</w:t>
            </w:r>
          </w:p>
        </w:tc>
        <w:tc>
          <w:tcPr>
            <w:tcW w:w="826" w:type="dxa"/>
          </w:tcPr>
          <w:p>
            <w:pPr>
              <w:pStyle w:val="Compact"/>
              <w:spacing w:after="40"/>
              <w:jc w:val="left"/>
            </w:pPr>
            <w:r>
              <w:rPr>
                <w:sz w:val="18"/>
              </w:rPr>
              <w:t xml:space="preserve">Quarter-end</w:t>
            </w:r>
          </w:p>
        </w:tc>
        <w:tc>
          <w:tcPr>
            <w:tcW w:w="1491" w:type="dxa"/>
          </w:tcPr>
          <w:p>
            <w:pPr>
              <w:pStyle w:val="Compact"/>
              <w:spacing w:after="40"/>
              <w:jc w:val="left"/>
            </w:pPr>
            <w:r>
              <w:rPr>
                <w:sz w:val="18"/>
              </w:rPr>
              <w:t xml:space="preserve">21 days</w:t>
            </w:r>
          </w:p>
        </w:tc>
        <w:tc>
          <w:tcPr>
            <w:tcW w:w="2007" w:type="dxa"/>
          </w:tcPr>
          <w:p>
            <w:pPr>
              <w:pStyle w:val="Compact"/>
              <w:spacing w:after="40"/>
              <w:jc w:val="left"/>
            </w:pPr>
            <w:r>
              <w:rPr>
                <w:sz w:val="18"/>
              </w:rPr>
              <w:t xml:space="preserve">UL excluding core investment companies; ML excluding core investment companies and SPDs</w:t>
            </w:r>
          </w:p>
        </w:tc>
        <w:tc>
          <w:tcPr>
            <w:tcW w:w="1476" w:type="dxa"/>
          </w:tcPr>
          <w:p>
            <w:pPr>
              <w:pStyle w:val="Compact"/>
              <w:spacing w:after="40"/>
              <w:jc w:val="left"/>
            </w:pPr>
            <w:r>
              <w:rPr>
                <w:sz w:val="18"/>
              </w:rPr>
              <w:t xml:space="preserve">CIMS; template</w:t>
            </w:r>
          </w:p>
        </w:tc>
        <w:tc>
          <w:tcPr>
            <w:tcW w:w="504" w:type="dxa"/>
          </w:tcPr>
          <w:p>
            <w:pPr>
              <w:pStyle w:val="Compact"/>
              <w:spacing w:after="40"/>
              <w:jc w:val="left"/>
            </w:pPr>
            <w:r>
              <w:rPr>
                <w:sz w:val="18"/>
              </w:rPr>
              <w:t xml:space="preserve">No</w:t>
            </w:r>
          </w:p>
        </w:tc>
        <w:tc>
          <w:tcPr>
            <w:tcW w:w="791" w:type="dxa"/>
          </w:tcPr>
          <w:p>
            <w:pPr>
              <w:pStyle w:val="Compact"/>
              <w:spacing w:after="40"/>
              <w:jc w:val="left"/>
            </w:pPr>
            <w:r>
              <w:rPr>
                <w:sz w:val="18"/>
              </w:rPr>
              <w:t xml:space="preserve">SR 21 item 3, 22</w:t>
            </w:r>
          </w:p>
        </w:tc>
      </w:tr>
      <w:tr>
        <w:tc>
          <w:tcPr>
            <w:tcW w:w="504" w:type="dxa"/>
          </w:tcPr>
          <w:p>
            <w:pPr>
              <w:pStyle w:val="Compact"/>
              <w:spacing w:after="40"/>
              <w:jc w:val="left"/>
            </w:pPr>
            <w:r>
              <w:rPr>
                <w:sz w:val="18"/>
              </w:rPr>
              <w:t xml:space="preserve">DNBS04A</w:t>
            </w:r>
          </w:p>
        </w:tc>
        <w:tc>
          <w:tcPr>
            <w:tcW w:w="1535" w:type="dxa"/>
          </w:tcPr>
          <w:p>
            <w:pPr>
              <w:pStyle w:val="Compact"/>
              <w:spacing w:after="40"/>
              <w:jc w:val="left"/>
            </w:pPr>
            <w:r>
              <w:rPr>
                <w:sz w:val="18"/>
              </w:rPr>
              <w:t xml:space="preserve">Short Term Dynamic Liquidity</w:t>
            </w:r>
          </w:p>
        </w:tc>
        <w:tc>
          <w:tcPr>
            <w:tcW w:w="504" w:type="dxa"/>
          </w:tcPr>
          <w:p>
            <w:pPr>
              <w:pStyle w:val="Compact"/>
              <w:spacing w:after="40"/>
              <w:jc w:val="left"/>
            </w:pPr>
            <w:r>
              <w:rPr>
                <w:sz w:val="18"/>
              </w:rPr>
              <w:t xml:space="preserve">Q</w:t>
            </w:r>
          </w:p>
        </w:tc>
        <w:tc>
          <w:tcPr>
            <w:tcW w:w="826" w:type="dxa"/>
          </w:tcPr>
          <w:p>
            <w:pPr>
              <w:pStyle w:val="Compact"/>
              <w:spacing w:after="40"/>
              <w:jc w:val="left"/>
            </w:pPr>
            <w:r>
              <w:rPr>
                <w:sz w:val="18"/>
              </w:rPr>
              <w:t xml:space="preserve">Quarter-end</w:t>
            </w:r>
          </w:p>
        </w:tc>
        <w:tc>
          <w:tcPr>
            <w:tcW w:w="1491" w:type="dxa"/>
          </w:tcPr>
          <w:p>
            <w:pPr>
              <w:pStyle w:val="Compact"/>
              <w:spacing w:after="40"/>
              <w:jc w:val="left"/>
            </w:pPr>
            <w:r>
              <w:rPr>
                <w:sz w:val="18"/>
              </w:rPr>
              <w:t xml:space="preserve">21 days</w:t>
            </w:r>
          </w:p>
        </w:tc>
        <w:tc>
          <w:tcPr>
            <w:tcW w:w="2007" w:type="dxa"/>
          </w:tcPr>
          <w:p>
            <w:pPr>
              <w:pStyle w:val="Compact"/>
              <w:spacing w:after="40"/>
              <w:jc w:val="left"/>
            </w:pPr>
            <w:r>
              <w:rPr>
                <w:sz w:val="18"/>
              </w:rPr>
              <w:t xml:space="preserve">UL; ML excluding SPDs; BL with assets ≥ ₹100 crore solely or at group level, excluding NBFCs with no public funds and no customer interface, NOFHCs, P2Ps, AAs and MGCs</w:t>
            </w:r>
          </w:p>
        </w:tc>
        <w:tc>
          <w:tcPr>
            <w:tcW w:w="1476" w:type="dxa"/>
          </w:tcPr>
          <w:p>
            <w:pPr>
              <w:pStyle w:val="Compact"/>
              <w:spacing w:after="40"/>
              <w:jc w:val="left"/>
            </w:pPr>
            <w:r>
              <w:rPr>
                <w:sz w:val="18"/>
              </w:rPr>
              <w:t xml:space="preserve">CIMS; template; ALM Annex IV layout</w:t>
            </w:r>
          </w:p>
        </w:tc>
        <w:tc>
          <w:tcPr>
            <w:tcW w:w="504" w:type="dxa"/>
          </w:tcPr>
          <w:p>
            <w:pPr>
              <w:pStyle w:val="Compact"/>
              <w:spacing w:after="40"/>
              <w:jc w:val="left"/>
            </w:pPr>
            <w:r>
              <w:rPr>
                <w:sz w:val="18"/>
              </w:rPr>
              <w:t xml:space="preserve">No</w:t>
            </w:r>
          </w:p>
        </w:tc>
        <w:tc>
          <w:tcPr>
            <w:tcW w:w="791" w:type="dxa"/>
          </w:tcPr>
          <w:p>
            <w:pPr>
              <w:pStyle w:val="Compact"/>
              <w:spacing w:after="40"/>
              <w:jc w:val="left"/>
            </w:pPr>
            <w:r>
              <w:rPr>
                <w:sz w:val="18"/>
              </w:rPr>
              <w:t xml:space="preserve">SR 21 item 4, 22; ALM 57, 59</w:t>
            </w:r>
          </w:p>
        </w:tc>
      </w:tr>
      <w:tr>
        <w:tc>
          <w:tcPr>
            <w:tcW w:w="504" w:type="dxa"/>
          </w:tcPr>
          <w:p>
            <w:pPr>
              <w:pStyle w:val="Compact"/>
              <w:spacing w:after="40"/>
              <w:jc w:val="left"/>
            </w:pPr>
            <w:r>
              <w:rPr>
                <w:sz w:val="18"/>
              </w:rPr>
              <w:t xml:space="preserve">DNBS04B</w:t>
            </w:r>
          </w:p>
        </w:tc>
        <w:tc>
          <w:tcPr>
            <w:tcW w:w="1535" w:type="dxa"/>
          </w:tcPr>
          <w:p>
            <w:pPr>
              <w:pStyle w:val="Compact"/>
              <w:spacing w:after="40"/>
              <w:jc w:val="left"/>
            </w:pPr>
            <w:r>
              <w:rPr>
                <w:sz w:val="18"/>
              </w:rPr>
              <w:t xml:space="preserve">Structural Liquidity and Interest Rate Sensitivity</w:t>
            </w:r>
          </w:p>
        </w:tc>
        <w:tc>
          <w:tcPr>
            <w:tcW w:w="504" w:type="dxa"/>
          </w:tcPr>
          <w:p>
            <w:pPr>
              <w:pStyle w:val="Compact"/>
              <w:spacing w:after="40"/>
              <w:jc w:val="left"/>
            </w:pPr>
            <w:r>
              <w:rPr>
                <w:sz w:val="18"/>
              </w:rPr>
              <w:t xml:space="preserve">M</w:t>
            </w:r>
          </w:p>
        </w:tc>
        <w:tc>
          <w:tcPr>
            <w:tcW w:w="826" w:type="dxa"/>
          </w:tcPr>
          <w:p>
            <w:pPr>
              <w:pStyle w:val="Compact"/>
              <w:spacing w:after="40"/>
              <w:jc w:val="left"/>
            </w:pPr>
            <w:r>
              <w:rPr>
                <w:sz w:val="18"/>
              </w:rPr>
              <w:t xml:space="preserve">Month-end</w:t>
            </w:r>
          </w:p>
        </w:tc>
        <w:tc>
          <w:tcPr>
            <w:tcW w:w="1491" w:type="dxa"/>
          </w:tcPr>
          <w:p>
            <w:pPr>
              <w:pStyle w:val="Compact"/>
              <w:spacing w:after="40"/>
              <w:jc w:val="left"/>
            </w:pPr>
            <w:r>
              <w:rPr>
                <w:sz w:val="18"/>
              </w:rPr>
              <w:t xml:space="preserve">15 days</w:t>
            </w:r>
          </w:p>
        </w:tc>
        <w:tc>
          <w:tcPr>
            <w:tcW w:w="2007" w:type="dxa"/>
          </w:tcPr>
          <w:p>
            <w:pPr>
              <w:pStyle w:val="Compact"/>
              <w:spacing w:after="40"/>
              <w:jc w:val="left"/>
            </w:pPr>
            <w:r>
              <w:rPr>
                <w:sz w:val="18"/>
              </w:rPr>
              <w:t xml:space="preserve">As DNBS04A</w:t>
            </w:r>
          </w:p>
        </w:tc>
        <w:tc>
          <w:tcPr>
            <w:tcW w:w="1476" w:type="dxa"/>
          </w:tcPr>
          <w:p>
            <w:pPr>
              <w:pStyle w:val="Compact"/>
              <w:spacing w:after="40"/>
              <w:jc w:val="left"/>
            </w:pPr>
            <w:r>
              <w:rPr>
                <w:sz w:val="18"/>
              </w:rPr>
              <w:t xml:space="preserve">CIMS; template</w:t>
            </w:r>
          </w:p>
        </w:tc>
        <w:tc>
          <w:tcPr>
            <w:tcW w:w="504" w:type="dxa"/>
          </w:tcPr>
          <w:p>
            <w:pPr>
              <w:pStyle w:val="Compact"/>
              <w:spacing w:after="40"/>
              <w:jc w:val="left"/>
            </w:pPr>
            <w:r>
              <w:rPr>
                <w:sz w:val="18"/>
              </w:rPr>
              <w:t xml:space="preserve">No</w:t>
            </w:r>
          </w:p>
        </w:tc>
        <w:tc>
          <w:tcPr>
            <w:tcW w:w="791" w:type="dxa"/>
          </w:tcPr>
          <w:p>
            <w:pPr>
              <w:pStyle w:val="Compact"/>
              <w:spacing w:after="40"/>
              <w:jc w:val="left"/>
            </w:pPr>
            <w:r>
              <w:rPr>
                <w:sz w:val="18"/>
              </w:rPr>
              <w:t xml:space="preserve">SR 21 item 4, 22</w:t>
            </w:r>
          </w:p>
        </w:tc>
      </w:tr>
      <w:tr>
        <w:tc>
          <w:tcPr>
            <w:tcW w:w="504" w:type="dxa"/>
          </w:tcPr>
          <w:p>
            <w:pPr>
              <w:pStyle w:val="Compact"/>
              <w:spacing w:after="40"/>
              <w:jc w:val="left"/>
            </w:pPr>
            <w:r>
              <w:rPr>
                <w:sz w:val="18"/>
              </w:rPr>
              <w:t xml:space="preserve">DNBS08</w:t>
            </w:r>
          </w:p>
        </w:tc>
        <w:tc>
          <w:tcPr>
            <w:tcW w:w="1535" w:type="dxa"/>
          </w:tcPr>
          <w:p>
            <w:pPr>
              <w:pStyle w:val="Compact"/>
              <w:spacing w:after="40"/>
              <w:jc w:val="left"/>
            </w:pPr>
            <w:r>
              <w:rPr>
                <w:sz w:val="18"/>
              </w:rPr>
              <w:t xml:space="preserve">CRILC – NBFCs (borrowers with aggregate fund-based and non-fund-based exposure ≥ ₹5 crore, with SMA status)</w:t>
            </w:r>
          </w:p>
        </w:tc>
        <w:tc>
          <w:tcPr>
            <w:tcW w:w="504" w:type="dxa"/>
          </w:tcPr>
          <w:p>
            <w:pPr>
              <w:pStyle w:val="Compact"/>
              <w:spacing w:after="40"/>
              <w:jc w:val="left"/>
            </w:pPr>
            <w:r>
              <w:rPr>
                <w:sz w:val="18"/>
              </w:rPr>
              <w:t xml:space="preserve">M</w:t>
            </w:r>
          </w:p>
        </w:tc>
        <w:tc>
          <w:tcPr>
            <w:tcW w:w="826" w:type="dxa"/>
          </w:tcPr>
          <w:p>
            <w:pPr>
              <w:pStyle w:val="Compact"/>
              <w:spacing w:after="40"/>
              <w:jc w:val="left"/>
            </w:pPr>
            <w:r>
              <w:rPr>
                <w:sz w:val="18"/>
              </w:rPr>
              <w:t xml:space="preserve">Month-end</w:t>
            </w:r>
          </w:p>
        </w:tc>
        <w:tc>
          <w:tcPr>
            <w:tcW w:w="1491" w:type="dxa"/>
          </w:tcPr>
          <w:p>
            <w:pPr>
              <w:pStyle w:val="Compact"/>
              <w:spacing w:after="40"/>
              <w:jc w:val="left"/>
            </w:pPr>
            <w:r>
              <w:rPr>
                <w:sz w:val="18"/>
              </w:rPr>
              <w:t xml:space="preserve">15 days</w:t>
            </w:r>
          </w:p>
        </w:tc>
        <w:tc>
          <w:tcPr>
            <w:tcW w:w="2007" w:type="dxa"/>
          </w:tcPr>
          <w:p>
            <w:pPr>
              <w:pStyle w:val="Compact"/>
              <w:spacing w:after="40"/>
              <w:jc w:val="left"/>
            </w:pPr>
            <w:r>
              <w:rPr>
                <w:sz w:val="18"/>
              </w:rPr>
              <w:t xml:space="preserve">UL and ML excluding core investment companies; BL ICCs (excluding no public funds and no customer interface), MFIs, and Factors with assets ≥ ₹500 crore (RR8.1 resolves the qualifier)</w:t>
            </w:r>
          </w:p>
        </w:tc>
        <w:tc>
          <w:tcPr>
            <w:tcW w:w="1476" w:type="dxa"/>
          </w:tcPr>
          <w:p>
            <w:pPr>
              <w:pStyle w:val="Compact"/>
              <w:spacing w:after="40"/>
              <w:jc w:val="left"/>
            </w:pPr>
            <w:r>
              <w:rPr>
                <w:sz w:val="18"/>
              </w:rPr>
              <w:t xml:space="preserve">CIMS; template</w:t>
            </w:r>
          </w:p>
        </w:tc>
        <w:tc>
          <w:tcPr>
            <w:tcW w:w="504" w:type="dxa"/>
          </w:tcPr>
          <w:p>
            <w:pPr>
              <w:pStyle w:val="Compact"/>
              <w:spacing w:after="40"/>
              <w:jc w:val="left"/>
            </w:pPr>
            <w:r>
              <w:rPr>
                <w:sz w:val="18"/>
              </w:rPr>
              <w:t xml:space="preserve">Yes</w:t>
            </w:r>
          </w:p>
        </w:tc>
        <w:tc>
          <w:tcPr>
            <w:tcW w:w="791" w:type="dxa"/>
          </w:tcPr>
          <w:p>
            <w:pPr>
              <w:pStyle w:val="Compact"/>
              <w:spacing w:after="40"/>
              <w:jc w:val="left"/>
            </w:pPr>
            <w:r>
              <w:rPr>
                <w:sz w:val="18"/>
              </w:rPr>
              <w:t xml:space="preserve">SR 21 item 5, 22; RSA 20</w:t>
            </w:r>
          </w:p>
        </w:tc>
      </w:tr>
      <w:tr>
        <w:tc>
          <w:tcPr>
            <w:tcW w:w="504" w:type="dxa"/>
          </w:tcPr>
          <w:p>
            <w:pPr>
              <w:pStyle w:val="Compact"/>
              <w:spacing w:after="40"/>
              <w:jc w:val="left"/>
            </w:pPr>
            <w:r>
              <w:rPr>
                <w:sz w:val="18"/>
              </w:rPr>
              <w:t xml:space="preserve">DNBS09</w:t>
            </w:r>
          </w:p>
        </w:tc>
        <w:tc>
          <w:tcPr>
            <w:tcW w:w="1535" w:type="dxa"/>
          </w:tcPr>
          <w:p>
            <w:pPr>
              <w:pStyle w:val="Compact"/>
              <w:spacing w:after="40"/>
              <w:jc w:val="left"/>
            </w:pPr>
            <w:r>
              <w:rPr>
                <w:sz w:val="18"/>
              </w:rPr>
              <w:t xml:space="preserve">Return on Defaulted Borrowers (move-in and move-out sections)</w:t>
            </w:r>
          </w:p>
        </w:tc>
        <w:tc>
          <w:tcPr>
            <w:tcW w:w="504" w:type="dxa"/>
          </w:tcPr>
          <w:p>
            <w:pPr>
              <w:pStyle w:val="Compact"/>
              <w:spacing w:after="40"/>
              <w:jc w:val="left"/>
            </w:pPr>
            <w:r>
              <w:rPr>
                <w:sz w:val="18"/>
              </w:rPr>
              <w:t xml:space="preserve">W</w:t>
            </w:r>
          </w:p>
        </w:tc>
        <w:tc>
          <w:tcPr>
            <w:tcW w:w="826" w:type="dxa"/>
          </w:tcPr>
          <w:p>
            <w:pPr>
              <w:pStyle w:val="Compact"/>
              <w:spacing w:after="40"/>
              <w:jc w:val="left"/>
            </w:pPr>
            <w:r>
              <w:rPr>
                <w:sz w:val="18"/>
              </w:rPr>
              <w:t xml:space="preserve">Friday or preceding working day</w:t>
            </w:r>
          </w:p>
        </w:tc>
        <w:tc>
          <w:tcPr>
            <w:tcW w:w="1491" w:type="dxa"/>
          </w:tcPr>
          <w:p>
            <w:pPr>
              <w:pStyle w:val="Compact"/>
              <w:spacing w:after="40"/>
              <w:jc w:val="left"/>
            </w:pPr>
            <w:r>
              <w:rPr>
                <w:sz w:val="18"/>
              </w:rPr>
              <w:t xml:space="preserve">Wednesday of the following week</w:t>
            </w:r>
          </w:p>
        </w:tc>
        <w:tc>
          <w:tcPr>
            <w:tcW w:w="2007" w:type="dxa"/>
          </w:tcPr>
          <w:p>
            <w:pPr>
              <w:pStyle w:val="Compact"/>
              <w:spacing w:after="40"/>
              <w:jc w:val="left"/>
            </w:pPr>
            <w:r>
              <w:rPr>
                <w:sz w:val="18"/>
              </w:rPr>
              <w:t xml:space="preserve">As DNBS08</w:t>
            </w:r>
          </w:p>
        </w:tc>
        <w:tc>
          <w:tcPr>
            <w:tcW w:w="1476" w:type="dxa"/>
          </w:tcPr>
          <w:p>
            <w:pPr>
              <w:pStyle w:val="Compact"/>
              <w:spacing w:after="40"/>
              <w:jc w:val="left"/>
            </w:pPr>
            <w:r>
              <w:rPr>
                <w:sz w:val="18"/>
              </w:rPr>
              <w:t xml:space="preserve">CIMS; template</w:t>
            </w:r>
          </w:p>
        </w:tc>
        <w:tc>
          <w:tcPr>
            <w:tcW w:w="504" w:type="dxa"/>
          </w:tcPr>
          <w:p>
            <w:pPr>
              <w:pStyle w:val="Compact"/>
              <w:spacing w:after="40"/>
              <w:jc w:val="left"/>
            </w:pPr>
            <w:r>
              <w:rPr>
                <w:sz w:val="18"/>
              </w:rPr>
              <w:t xml:space="preserve">Yes</w:t>
            </w:r>
          </w:p>
        </w:tc>
        <w:tc>
          <w:tcPr>
            <w:tcW w:w="791" w:type="dxa"/>
          </w:tcPr>
          <w:p>
            <w:pPr>
              <w:pStyle w:val="Compact"/>
              <w:spacing w:after="40"/>
              <w:jc w:val="left"/>
            </w:pPr>
            <w:r>
              <w:rPr>
                <w:sz w:val="18"/>
              </w:rPr>
              <w:t xml:space="preserve">SR 21 item 6, 22; RSA 21</w:t>
            </w:r>
          </w:p>
        </w:tc>
      </w:tr>
      <w:tr>
        <w:tc>
          <w:tcPr>
            <w:tcW w:w="504" w:type="dxa"/>
          </w:tcPr>
          <w:p>
            <w:pPr>
              <w:pStyle w:val="Compact"/>
              <w:spacing w:after="40"/>
              <w:jc w:val="left"/>
            </w:pPr>
            <w:r>
              <w:rPr>
                <w:sz w:val="18"/>
              </w:rPr>
              <w:t xml:space="preserve">DNBS10</w:t>
            </w:r>
          </w:p>
        </w:tc>
        <w:tc>
          <w:tcPr>
            <w:tcW w:w="1535" w:type="dxa"/>
          </w:tcPr>
          <w:p>
            <w:pPr>
              <w:pStyle w:val="Compact"/>
              <w:spacing w:after="40"/>
              <w:jc w:val="left"/>
            </w:pPr>
            <w:r>
              <w:rPr>
                <w:sz w:val="18"/>
              </w:rPr>
              <w:t xml:space="preserve">Statutory Auditor Certificate (SAC)</w:t>
            </w:r>
          </w:p>
        </w:tc>
        <w:tc>
          <w:tcPr>
            <w:tcW w:w="504" w:type="dxa"/>
          </w:tcPr>
          <w:p>
            <w:pPr>
              <w:pStyle w:val="Compact"/>
              <w:spacing w:after="40"/>
              <w:jc w:val="left"/>
            </w:pPr>
            <w:r>
              <w:rPr>
                <w:sz w:val="18"/>
              </w:rPr>
              <w:t xml:space="preserve">A</w:t>
            </w:r>
          </w:p>
        </w:tc>
        <w:tc>
          <w:tcPr>
            <w:tcW w:w="826" w:type="dxa"/>
          </w:tcPr>
          <w:p>
            <w:pPr>
              <w:pStyle w:val="Compact"/>
              <w:spacing w:after="40"/>
              <w:jc w:val="left"/>
            </w:pPr>
            <w:r>
              <w:rPr>
                <w:sz w:val="18"/>
              </w:rPr>
              <w:t xml:space="preserve">31 March</w:t>
            </w:r>
          </w:p>
        </w:tc>
        <w:tc>
          <w:tcPr>
            <w:tcW w:w="1491" w:type="dxa"/>
          </w:tcPr>
          <w:p>
            <w:pPr>
              <w:pStyle w:val="Compact"/>
              <w:spacing w:after="40"/>
              <w:jc w:val="left"/>
            </w:pPr>
            <w:r>
              <w:rPr>
                <w:sz w:val="18"/>
              </w:rPr>
              <w:t xml:space="preserve">5 working days from signing of the auditor’s report (Companies Act s.134), not later than 31 December</w:t>
            </w:r>
          </w:p>
        </w:tc>
        <w:tc>
          <w:tcPr>
            <w:tcW w:w="2007" w:type="dxa"/>
          </w:tcPr>
          <w:p>
            <w:pPr>
              <w:pStyle w:val="Compact"/>
              <w:spacing w:after="40"/>
              <w:jc w:val="left"/>
            </w:pPr>
            <w:r>
              <w:rPr>
                <w:sz w:val="18"/>
              </w:rPr>
              <w:t xml:space="preserve">All NBFCs</w:t>
            </w:r>
          </w:p>
        </w:tc>
        <w:tc>
          <w:tcPr>
            <w:tcW w:w="1476" w:type="dxa"/>
          </w:tcPr>
          <w:p>
            <w:pPr>
              <w:pStyle w:val="Compact"/>
              <w:spacing w:after="40"/>
              <w:jc w:val="left"/>
            </w:pPr>
            <w:r>
              <w:rPr>
                <w:sz w:val="18"/>
              </w:rPr>
              <w:t xml:space="preserve">CIMS; filed by the statutory auditor with credentials the NBFC creates</w:t>
            </w:r>
          </w:p>
        </w:tc>
        <w:tc>
          <w:tcPr>
            <w:tcW w:w="504" w:type="dxa"/>
          </w:tcPr>
          <w:p>
            <w:pPr>
              <w:pStyle w:val="Compact"/>
              <w:spacing w:after="40"/>
              <w:jc w:val="left"/>
            </w:pPr>
            <w:r>
              <w:rPr>
                <w:sz w:val="18"/>
              </w:rPr>
              <w:t xml:space="preserve">No</w:t>
            </w:r>
          </w:p>
        </w:tc>
        <w:tc>
          <w:tcPr>
            <w:tcW w:w="791" w:type="dxa"/>
          </w:tcPr>
          <w:p>
            <w:pPr>
              <w:pStyle w:val="Compact"/>
              <w:spacing w:after="40"/>
              <w:jc w:val="left"/>
            </w:pPr>
            <w:r>
              <w:rPr>
                <w:sz w:val="18"/>
              </w:rPr>
              <w:t xml:space="preserve">SR 21 item 7, 23; AUD 6</w:t>
            </w:r>
          </w:p>
        </w:tc>
      </w:tr>
      <w:tr>
        <w:tc>
          <w:tcPr>
            <w:tcW w:w="504" w:type="dxa"/>
          </w:tcPr>
          <w:p>
            <w:pPr>
              <w:pStyle w:val="Compact"/>
              <w:spacing w:after="40"/>
              <w:jc w:val="left"/>
            </w:pPr>
            <w:r>
              <w:rPr>
                <w:sz w:val="18"/>
              </w:rPr>
              <w:t xml:space="preserve">DNBS11</w:t>
            </w:r>
          </w:p>
        </w:tc>
        <w:tc>
          <w:tcPr>
            <w:tcW w:w="1535" w:type="dxa"/>
          </w:tcPr>
          <w:p>
            <w:pPr>
              <w:pStyle w:val="Compact"/>
              <w:spacing w:after="40"/>
              <w:jc w:val="left"/>
            </w:pPr>
            <w:r>
              <w:rPr>
                <w:sz w:val="18"/>
              </w:rPr>
              <w:t xml:space="preserve">Core investment companies – Important Financial Parameters</w:t>
            </w:r>
          </w:p>
        </w:tc>
        <w:tc>
          <w:tcPr>
            <w:tcW w:w="504" w:type="dxa"/>
          </w:tcPr>
          <w:p>
            <w:pPr>
              <w:pStyle w:val="Compact"/>
              <w:spacing w:after="40"/>
              <w:jc w:val="left"/>
            </w:pPr>
            <w:r>
              <w:rPr>
                <w:sz w:val="18"/>
              </w:rPr>
              <w:t xml:space="preserve">Q</w:t>
            </w:r>
          </w:p>
        </w:tc>
        <w:tc>
          <w:tcPr>
            <w:tcW w:w="826" w:type="dxa"/>
          </w:tcPr>
          <w:p>
            <w:pPr>
              <w:pStyle w:val="Compact"/>
              <w:spacing w:after="40"/>
              <w:jc w:val="left"/>
            </w:pPr>
            <w:r>
              <w:rPr>
                <w:sz w:val="18"/>
              </w:rPr>
              <w:t xml:space="preserve">Quarter-end</w:t>
            </w:r>
          </w:p>
        </w:tc>
        <w:tc>
          <w:tcPr>
            <w:tcW w:w="1491" w:type="dxa"/>
          </w:tcPr>
          <w:p>
            <w:pPr>
              <w:pStyle w:val="Compact"/>
              <w:spacing w:after="40"/>
              <w:jc w:val="left"/>
            </w:pPr>
            <w:r>
              <w:rPr>
                <w:sz w:val="18"/>
              </w:rPr>
              <w:t xml:space="preserve">21 days</w:t>
            </w:r>
          </w:p>
        </w:tc>
        <w:tc>
          <w:tcPr>
            <w:tcW w:w="2007" w:type="dxa"/>
          </w:tcPr>
          <w:p>
            <w:pPr>
              <w:pStyle w:val="Compact"/>
              <w:spacing w:after="40"/>
              <w:jc w:val="left"/>
            </w:pPr>
            <w:r>
              <w:rPr>
                <w:sz w:val="18"/>
              </w:rPr>
              <w:t xml:space="preserve">Core Investment Companies</w:t>
            </w:r>
          </w:p>
        </w:tc>
        <w:tc>
          <w:tcPr>
            <w:tcW w:w="1476" w:type="dxa"/>
          </w:tcPr>
          <w:p>
            <w:pPr>
              <w:pStyle w:val="Compact"/>
              <w:spacing w:after="40"/>
              <w:jc w:val="left"/>
            </w:pPr>
            <w:r>
              <w:rPr>
                <w:sz w:val="18"/>
              </w:rPr>
              <w:t xml:space="preserve">CIMS; template</w:t>
            </w:r>
          </w:p>
        </w:tc>
        <w:tc>
          <w:tcPr>
            <w:tcW w:w="504" w:type="dxa"/>
          </w:tcPr>
          <w:p>
            <w:pPr>
              <w:pStyle w:val="Compact"/>
              <w:spacing w:after="40"/>
              <w:jc w:val="left"/>
            </w:pPr>
            <w:r>
              <w:rPr>
                <w:sz w:val="18"/>
              </w:rPr>
              <w:t xml:space="preserve">No</w:t>
            </w:r>
          </w:p>
        </w:tc>
        <w:tc>
          <w:tcPr>
            <w:tcW w:w="791" w:type="dxa"/>
          </w:tcPr>
          <w:p>
            <w:pPr>
              <w:pStyle w:val="Compact"/>
              <w:spacing w:after="40"/>
              <w:jc w:val="left"/>
            </w:pPr>
            <w:r>
              <w:rPr>
                <w:sz w:val="18"/>
              </w:rPr>
              <w:t xml:space="preserve">SR 21 item 8</w:t>
            </w:r>
          </w:p>
        </w:tc>
      </w:tr>
      <w:tr>
        <w:tc>
          <w:tcPr>
            <w:tcW w:w="504" w:type="dxa"/>
          </w:tcPr>
          <w:p>
            <w:pPr>
              <w:pStyle w:val="Compact"/>
              <w:spacing w:after="40"/>
              <w:jc w:val="left"/>
            </w:pPr>
            <w:r>
              <w:rPr>
                <w:sz w:val="18"/>
              </w:rPr>
              <w:t xml:space="preserve">DNBS12</w:t>
            </w:r>
          </w:p>
        </w:tc>
        <w:tc>
          <w:tcPr>
            <w:tcW w:w="1535" w:type="dxa"/>
          </w:tcPr>
          <w:p>
            <w:pPr>
              <w:pStyle w:val="Compact"/>
              <w:spacing w:after="40"/>
              <w:jc w:val="left"/>
            </w:pPr>
            <w:r>
              <w:rPr>
                <w:sz w:val="18"/>
              </w:rPr>
              <w:t xml:space="preserve">Core investment companies – Important Prudential Parameters (ANW, RWA, group exposures)</w:t>
            </w:r>
          </w:p>
        </w:tc>
        <w:tc>
          <w:tcPr>
            <w:tcW w:w="504" w:type="dxa"/>
          </w:tcPr>
          <w:p>
            <w:pPr>
              <w:pStyle w:val="Compact"/>
              <w:spacing w:after="40"/>
              <w:jc w:val="left"/>
            </w:pPr>
            <w:r>
              <w:rPr>
                <w:sz w:val="18"/>
              </w:rPr>
              <w:t xml:space="preserve">Q</w:t>
            </w:r>
          </w:p>
        </w:tc>
        <w:tc>
          <w:tcPr>
            <w:tcW w:w="826" w:type="dxa"/>
          </w:tcPr>
          <w:p>
            <w:pPr>
              <w:pStyle w:val="Compact"/>
              <w:spacing w:after="40"/>
              <w:jc w:val="left"/>
            </w:pPr>
            <w:r>
              <w:rPr>
                <w:sz w:val="18"/>
              </w:rPr>
              <w:t xml:space="preserve">Quarter-end</w:t>
            </w:r>
          </w:p>
        </w:tc>
        <w:tc>
          <w:tcPr>
            <w:tcW w:w="1491" w:type="dxa"/>
          </w:tcPr>
          <w:p>
            <w:pPr>
              <w:pStyle w:val="Compact"/>
              <w:spacing w:after="40"/>
              <w:jc w:val="left"/>
            </w:pPr>
            <w:r>
              <w:rPr>
                <w:sz w:val="18"/>
              </w:rPr>
              <w:t xml:space="preserve">21 days</w:t>
            </w:r>
          </w:p>
        </w:tc>
        <w:tc>
          <w:tcPr>
            <w:tcW w:w="2007" w:type="dxa"/>
          </w:tcPr>
          <w:p>
            <w:pPr>
              <w:pStyle w:val="Compact"/>
              <w:spacing w:after="40"/>
              <w:jc w:val="left"/>
            </w:pPr>
            <w:r>
              <w:rPr>
                <w:sz w:val="18"/>
              </w:rPr>
              <w:t xml:space="preserve">Core Investment Companies</w:t>
            </w:r>
          </w:p>
        </w:tc>
        <w:tc>
          <w:tcPr>
            <w:tcW w:w="1476" w:type="dxa"/>
          </w:tcPr>
          <w:p>
            <w:pPr>
              <w:pStyle w:val="Compact"/>
              <w:spacing w:after="40"/>
              <w:jc w:val="left"/>
            </w:pPr>
            <w:r>
              <w:rPr>
                <w:sz w:val="18"/>
              </w:rPr>
              <w:t xml:space="preserve">CIMS; template</w:t>
            </w:r>
          </w:p>
        </w:tc>
        <w:tc>
          <w:tcPr>
            <w:tcW w:w="504" w:type="dxa"/>
          </w:tcPr>
          <w:p>
            <w:pPr>
              <w:pStyle w:val="Compact"/>
              <w:spacing w:after="40"/>
              <w:jc w:val="left"/>
            </w:pPr>
            <w:r>
              <w:rPr>
                <w:sz w:val="18"/>
              </w:rPr>
              <w:t xml:space="preserve">No</w:t>
            </w:r>
          </w:p>
        </w:tc>
        <w:tc>
          <w:tcPr>
            <w:tcW w:w="791" w:type="dxa"/>
          </w:tcPr>
          <w:p>
            <w:pPr>
              <w:pStyle w:val="Compact"/>
              <w:spacing w:after="40"/>
              <w:jc w:val="left"/>
            </w:pPr>
            <w:r>
              <w:rPr>
                <w:sz w:val="18"/>
              </w:rPr>
              <w:t xml:space="preserve">SR 21 item 9</w:t>
            </w:r>
          </w:p>
        </w:tc>
      </w:tr>
      <w:tr>
        <w:tc>
          <w:tcPr>
            <w:tcW w:w="504" w:type="dxa"/>
          </w:tcPr>
          <w:p>
            <w:pPr>
              <w:pStyle w:val="Compact"/>
              <w:spacing w:after="40"/>
              <w:jc w:val="left"/>
            </w:pPr>
            <w:r>
              <w:rPr>
                <w:sz w:val="18"/>
              </w:rPr>
              <w:t xml:space="preserve">DNBS13</w:t>
            </w:r>
          </w:p>
        </w:tc>
        <w:tc>
          <w:tcPr>
            <w:tcW w:w="1535" w:type="dxa"/>
          </w:tcPr>
          <w:p>
            <w:pPr>
              <w:pStyle w:val="Compact"/>
              <w:spacing w:after="40"/>
              <w:jc w:val="left"/>
            </w:pPr>
            <w:r>
              <w:rPr>
                <w:sz w:val="18"/>
              </w:rPr>
              <w:t xml:space="preserve">Overseas Investment Details</w:t>
            </w:r>
          </w:p>
        </w:tc>
        <w:tc>
          <w:tcPr>
            <w:tcW w:w="504" w:type="dxa"/>
          </w:tcPr>
          <w:p>
            <w:pPr>
              <w:pStyle w:val="Compact"/>
              <w:spacing w:after="40"/>
              <w:jc w:val="left"/>
            </w:pPr>
            <w:r>
              <w:rPr>
                <w:sz w:val="18"/>
              </w:rPr>
              <w:t xml:space="preserve">Q</w:t>
            </w:r>
          </w:p>
        </w:tc>
        <w:tc>
          <w:tcPr>
            <w:tcW w:w="826" w:type="dxa"/>
          </w:tcPr>
          <w:p>
            <w:pPr>
              <w:pStyle w:val="Compact"/>
              <w:spacing w:after="40"/>
              <w:jc w:val="left"/>
            </w:pPr>
            <w:r>
              <w:rPr>
                <w:sz w:val="18"/>
              </w:rPr>
              <w:t xml:space="preserve">Quarter-end</w:t>
            </w:r>
          </w:p>
        </w:tc>
        <w:tc>
          <w:tcPr>
            <w:tcW w:w="1491" w:type="dxa"/>
          </w:tcPr>
          <w:p>
            <w:pPr>
              <w:pStyle w:val="Compact"/>
              <w:spacing w:after="40"/>
              <w:jc w:val="left"/>
            </w:pPr>
            <w:r>
              <w:rPr>
                <w:sz w:val="18"/>
              </w:rPr>
              <w:t xml:space="preserve">21 days</w:t>
            </w:r>
          </w:p>
        </w:tc>
        <w:tc>
          <w:tcPr>
            <w:tcW w:w="2007" w:type="dxa"/>
          </w:tcPr>
          <w:p>
            <w:pPr>
              <w:pStyle w:val="Compact"/>
              <w:spacing w:after="40"/>
              <w:jc w:val="left"/>
            </w:pPr>
            <w:r>
              <w:rPr>
                <w:sz w:val="18"/>
              </w:rPr>
              <w:t xml:space="preserve">All NBFCs, irrespective of category and size</w:t>
            </w:r>
          </w:p>
        </w:tc>
        <w:tc>
          <w:tcPr>
            <w:tcW w:w="1476" w:type="dxa"/>
          </w:tcPr>
          <w:p>
            <w:pPr>
              <w:pStyle w:val="Compact"/>
              <w:spacing w:after="40"/>
              <w:jc w:val="left"/>
            </w:pPr>
            <w:r>
              <w:rPr>
                <w:sz w:val="18"/>
              </w:rPr>
              <w:t xml:space="preserve">CIMS; template</w:t>
            </w:r>
          </w:p>
        </w:tc>
        <w:tc>
          <w:tcPr>
            <w:tcW w:w="504" w:type="dxa"/>
          </w:tcPr>
          <w:p>
            <w:pPr>
              <w:pStyle w:val="Compact"/>
              <w:spacing w:after="40"/>
              <w:jc w:val="left"/>
            </w:pPr>
            <w:r>
              <w:rPr>
                <w:sz w:val="18"/>
              </w:rPr>
              <w:t xml:space="preserve">Yes</w:t>
            </w:r>
          </w:p>
        </w:tc>
        <w:tc>
          <w:tcPr>
            <w:tcW w:w="791" w:type="dxa"/>
          </w:tcPr>
          <w:p>
            <w:pPr>
              <w:pStyle w:val="Compact"/>
              <w:spacing w:after="40"/>
              <w:jc w:val="left"/>
            </w:pPr>
            <w:r>
              <w:rPr>
                <w:sz w:val="18"/>
              </w:rPr>
              <w:t xml:space="preserve">SR 21 item 10</w:t>
            </w:r>
          </w:p>
        </w:tc>
      </w:tr>
      <w:tr>
        <w:tc>
          <w:tcPr>
            <w:tcW w:w="504" w:type="dxa"/>
          </w:tcPr>
          <w:p>
            <w:pPr>
              <w:pStyle w:val="Compact"/>
              <w:spacing w:after="40"/>
              <w:jc w:val="left"/>
            </w:pPr>
            <w:r>
              <w:rPr>
                <w:sz w:val="18"/>
              </w:rPr>
              <w:t xml:space="preserve">DNBS14</w:t>
            </w:r>
          </w:p>
        </w:tc>
        <w:tc>
          <w:tcPr>
            <w:tcW w:w="1535" w:type="dxa"/>
          </w:tcPr>
          <w:p>
            <w:pPr>
              <w:pStyle w:val="Compact"/>
              <w:spacing w:after="40"/>
              <w:jc w:val="left"/>
            </w:pPr>
            <w:r>
              <w:rPr>
                <w:sz w:val="18"/>
              </w:rPr>
              <w:t xml:space="preserve">P2Ps – Important Financial and Prudential Parameters</w:t>
            </w:r>
          </w:p>
        </w:tc>
        <w:tc>
          <w:tcPr>
            <w:tcW w:w="504" w:type="dxa"/>
          </w:tcPr>
          <w:p>
            <w:pPr>
              <w:pStyle w:val="Compact"/>
              <w:spacing w:after="40"/>
              <w:jc w:val="left"/>
            </w:pPr>
            <w:r>
              <w:rPr>
                <w:sz w:val="18"/>
              </w:rPr>
              <w:t xml:space="preserve">Q</w:t>
            </w:r>
          </w:p>
        </w:tc>
        <w:tc>
          <w:tcPr>
            <w:tcW w:w="826" w:type="dxa"/>
          </w:tcPr>
          <w:p>
            <w:pPr>
              <w:pStyle w:val="Compact"/>
              <w:spacing w:after="40"/>
              <w:jc w:val="left"/>
            </w:pPr>
            <w:r>
              <w:rPr>
                <w:sz w:val="18"/>
              </w:rPr>
              <w:t xml:space="preserve">Quarter-end</w:t>
            </w:r>
          </w:p>
        </w:tc>
        <w:tc>
          <w:tcPr>
            <w:tcW w:w="1491" w:type="dxa"/>
          </w:tcPr>
          <w:p>
            <w:pPr>
              <w:pStyle w:val="Compact"/>
              <w:spacing w:after="40"/>
              <w:jc w:val="left"/>
            </w:pPr>
            <w:r>
              <w:rPr>
                <w:sz w:val="18"/>
              </w:rPr>
              <w:t xml:space="preserve">21 days</w:t>
            </w:r>
          </w:p>
        </w:tc>
        <w:tc>
          <w:tcPr>
            <w:tcW w:w="2007" w:type="dxa"/>
          </w:tcPr>
          <w:p>
            <w:pPr>
              <w:pStyle w:val="Compact"/>
              <w:spacing w:after="40"/>
              <w:jc w:val="left"/>
            </w:pPr>
            <w:r>
              <w:rPr>
                <w:sz w:val="18"/>
              </w:rPr>
              <w:t xml:space="preserve">P2Ps</w:t>
            </w:r>
          </w:p>
        </w:tc>
        <w:tc>
          <w:tcPr>
            <w:tcW w:w="1476" w:type="dxa"/>
          </w:tcPr>
          <w:p>
            <w:pPr>
              <w:pStyle w:val="Compact"/>
              <w:spacing w:after="40"/>
              <w:jc w:val="left"/>
            </w:pPr>
            <w:r>
              <w:rPr>
                <w:sz w:val="18"/>
              </w:rPr>
              <w:t xml:space="preserve">CIMS; template</w:t>
            </w:r>
          </w:p>
        </w:tc>
        <w:tc>
          <w:tcPr>
            <w:tcW w:w="504" w:type="dxa"/>
          </w:tcPr>
          <w:p>
            <w:pPr>
              <w:pStyle w:val="Compact"/>
              <w:spacing w:after="40"/>
              <w:jc w:val="left"/>
            </w:pPr>
            <w:r>
              <w:rPr>
                <w:sz w:val="18"/>
              </w:rPr>
              <w:t xml:space="preserve">No</w:t>
            </w:r>
          </w:p>
        </w:tc>
        <w:tc>
          <w:tcPr>
            <w:tcW w:w="791" w:type="dxa"/>
          </w:tcPr>
          <w:p>
            <w:pPr>
              <w:pStyle w:val="Compact"/>
              <w:spacing w:after="40"/>
              <w:jc w:val="left"/>
            </w:pPr>
            <w:r>
              <w:rPr>
                <w:sz w:val="18"/>
              </w:rPr>
              <w:t xml:space="preserve">SR 21 item 11</w:t>
            </w:r>
          </w:p>
        </w:tc>
      </w:tr>
      <w:tr>
        <w:tc>
          <w:tcPr>
            <w:tcW w:w="504" w:type="dxa"/>
          </w:tcPr>
          <w:p>
            <w:pPr>
              <w:pStyle w:val="Compact"/>
              <w:spacing w:after="40"/>
              <w:jc w:val="left"/>
            </w:pPr>
            <w:r>
              <w:rPr>
                <w:sz w:val="18"/>
              </w:rPr>
              <w:t xml:space="preserve">LEF</w:t>
            </w:r>
          </w:p>
        </w:tc>
        <w:tc>
          <w:tcPr>
            <w:tcW w:w="1535" w:type="dxa"/>
          </w:tcPr>
          <w:p>
            <w:pPr>
              <w:pStyle w:val="Compact"/>
              <w:spacing w:after="40"/>
              <w:jc w:val="left"/>
            </w:pPr>
            <w:r>
              <w:rPr>
                <w:sz w:val="18"/>
              </w:rPr>
              <w:t xml:space="preserve">Large Exposure Framework (20 largest exposures; exposures ≥ 10% of Tier 1; other and exempted)</w:t>
            </w:r>
          </w:p>
        </w:tc>
        <w:tc>
          <w:tcPr>
            <w:tcW w:w="504" w:type="dxa"/>
          </w:tcPr>
          <w:p>
            <w:pPr>
              <w:pStyle w:val="Compact"/>
              <w:spacing w:after="40"/>
              <w:jc w:val="left"/>
            </w:pPr>
            <w:r>
              <w:rPr>
                <w:sz w:val="18"/>
              </w:rPr>
              <w:t xml:space="preserve">Q</w:t>
            </w:r>
          </w:p>
        </w:tc>
        <w:tc>
          <w:tcPr>
            <w:tcW w:w="826" w:type="dxa"/>
          </w:tcPr>
          <w:p>
            <w:pPr>
              <w:pStyle w:val="Compact"/>
              <w:spacing w:after="40"/>
              <w:jc w:val="left"/>
            </w:pPr>
            <w:r>
              <w:rPr>
                <w:sz w:val="18"/>
              </w:rPr>
              <w:t xml:space="preserve">Quarter-end</w:t>
            </w:r>
          </w:p>
        </w:tc>
        <w:tc>
          <w:tcPr>
            <w:tcW w:w="1491" w:type="dxa"/>
          </w:tcPr>
          <w:p>
            <w:pPr>
              <w:pStyle w:val="Compact"/>
              <w:spacing w:after="40"/>
              <w:jc w:val="left"/>
            </w:pPr>
            <w:r>
              <w:rPr>
                <w:sz w:val="18"/>
              </w:rPr>
              <w:t xml:space="preserve">21 days</w:t>
            </w:r>
          </w:p>
        </w:tc>
        <w:tc>
          <w:tcPr>
            <w:tcW w:w="2007" w:type="dxa"/>
          </w:tcPr>
          <w:p>
            <w:pPr>
              <w:pStyle w:val="Compact"/>
              <w:spacing w:after="40"/>
              <w:jc w:val="left"/>
            </w:pPr>
            <w:r>
              <w:rPr>
                <w:sz w:val="18"/>
              </w:rPr>
              <w:t xml:space="preserve">UL</w:t>
            </w:r>
          </w:p>
        </w:tc>
        <w:tc>
          <w:tcPr>
            <w:tcW w:w="1476" w:type="dxa"/>
          </w:tcPr>
          <w:p>
            <w:pPr>
              <w:pStyle w:val="Compact"/>
              <w:spacing w:after="40"/>
              <w:jc w:val="left"/>
            </w:pPr>
            <w:r>
              <w:rPr>
                <w:sz w:val="18"/>
              </w:rPr>
              <w:t xml:space="preserve">CIMS [VERIFY: template]</w:t>
            </w:r>
          </w:p>
        </w:tc>
        <w:tc>
          <w:tcPr>
            <w:tcW w:w="504" w:type="dxa"/>
          </w:tcPr>
          <w:p>
            <w:pPr>
              <w:pStyle w:val="Compact"/>
              <w:spacing w:after="40"/>
              <w:jc w:val="left"/>
            </w:pPr>
            <w:r>
              <w:rPr>
                <w:sz w:val="18"/>
              </w:rPr>
              <w:t xml:space="preserve">No</w:t>
            </w:r>
          </w:p>
        </w:tc>
        <w:tc>
          <w:tcPr>
            <w:tcW w:w="791" w:type="dxa"/>
          </w:tcPr>
          <w:p>
            <w:pPr>
              <w:pStyle w:val="Compact"/>
              <w:spacing w:after="40"/>
              <w:jc w:val="left"/>
            </w:pPr>
            <w:r>
              <w:rPr>
                <w:sz w:val="18"/>
              </w:rPr>
              <w:t xml:space="preserve">SR 21 item 12; CON 48</w:t>
            </w:r>
          </w:p>
        </w:tc>
      </w:tr>
      <w:tr>
        <w:tc>
          <w:tcPr>
            <w:tcW w:w="504" w:type="dxa"/>
          </w:tcPr>
          <w:p>
            <w:pPr>
              <w:pStyle w:val="Compact"/>
              <w:spacing w:after="40"/>
              <w:jc w:val="left"/>
            </w:pPr>
            <w:r>
              <w:rPr>
                <w:sz w:val="18"/>
              </w:rPr>
              <w:t xml:space="preserve">PDR-III</w:t>
            </w:r>
          </w:p>
        </w:tc>
        <w:tc>
          <w:tcPr>
            <w:tcW w:w="1535" w:type="dxa"/>
          </w:tcPr>
          <w:p>
            <w:pPr>
              <w:pStyle w:val="Compact"/>
              <w:spacing w:after="40"/>
              <w:jc w:val="left"/>
            </w:pPr>
            <w:r>
              <w:rPr>
                <w:sz w:val="18"/>
              </w:rPr>
              <w:t xml:space="preserve">Statement on Capital Adequacy</w:t>
            </w:r>
          </w:p>
        </w:tc>
        <w:tc>
          <w:tcPr>
            <w:tcW w:w="504" w:type="dxa"/>
          </w:tcPr>
          <w:p>
            <w:pPr>
              <w:pStyle w:val="Compact"/>
              <w:spacing w:after="40"/>
              <w:jc w:val="left"/>
            </w:pPr>
            <w:r>
              <w:rPr>
                <w:sz w:val="18"/>
              </w:rPr>
              <w:t xml:space="preserve">Q</w:t>
            </w:r>
          </w:p>
        </w:tc>
        <w:tc>
          <w:tcPr>
            <w:tcW w:w="826" w:type="dxa"/>
          </w:tcPr>
          <w:p>
            <w:pPr>
              <w:pStyle w:val="Compact"/>
              <w:spacing w:after="40"/>
              <w:jc w:val="left"/>
            </w:pPr>
            <w:r>
              <w:rPr>
                <w:sz w:val="18"/>
              </w:rPr>
              <w:t xml:space="preserve">Quarter-end</w:t>
            </w:r>
          </w:p>
        </w:tc>
        <w:tc>
          <w:tcPr>
            <w:tcW w:w="1491" w:type="dxa"/>
          </w:tcPr>
          <w:p>
            <w:pPr>
              <w:pStyle w:val="Compact"/>
              <w:spacing w:after="40"/>
              <w:jc w:val="left"/>
            </w:pPr>
            <w:r>
              <w:rPr>
                <w:sz w:val="18"/>
              </w:rPr>
              <w:t xml:space="preserve">21 days</w:t>
            </w:r>
          </w:p>
        </w:tc>
        <w:tc>
          <w:tcPr>
            <w:tcW w:w="2007" w:type="dxa"/>
          </w:tcPr>
          <w:p>
            <w:pPr>
              <w:pStyle w:val="Compact"/>
              <w:spacing w:after="40"/>
              <w:jc w:val="left"/>
            </w:pPr>
            <w:r>
              <w:rPr>
                <w:sz w:val="18"/>
              </w:rPr>
              <w:t xml:space="preserve">SPDs</w:t>
            </w:r>
          </w:p>
        </w:tc>
        <w:tc>
          <w:tcPr>
            <w:tcW w:w="1476" w:type="dxa"/>
          </w:tcPr>
          <w:p>
            <w:pPr>
              <w:pStyle w:val="Compact"/>
              <w:spacing w:after="40"/>
              <w:jc w:val="left"/>
            </w:pPr>
            <w:r>
              <w:rPr>
                <w:sz w:val="18"/>
              </w:rPr>
              <w:t xml:space="preserve">CIMS</w:t>
            </w:r>
          </w:p>
        </w:tc>
        <w:tc>
          <w:tcPr>
            <w:tcW w:w="504" w:type="dxa"/>
          </w:tcPr>
          <w:p>
            <w:pPr>
              <w:pStyle w:val="Compact"/>
              <w:spacing w:after="40"/>
              <w:jc w:val="left"/>
            </w:pPr>
            <w:r>
              <w:rPr>
                <w:sz w:val="18"/>
              </w:rPr>
              <w:t xml:space="preserve">No</w:t>
            </w:r>
          </w:p>
        </w:tc>
        <w:tc>
          <w:tcPr>
            <w:tcW w:w="791" w:type="dxa"/>
          </w:tcPr>
          <w:p>
            <w:pPr>
              <w:pStyle w:val="Compact"/>
              <w:spacing w:after="40"/>
              <w:jc w:val="left"/>
            </w:pPr>
            <w:r>
              <w:rPr>
                <w:sz w:val="18"/>
              </w:rPr>
              <w:t xml:space="preserve">SR 21 item 13</w:t>
            </w:r>
          </w:p>
        </w:tc>
      </w:tr>
      <w:tr>
        <w:tc>
          <w:tcPr>
            <w:tcW w:w="504" w:type="dxa"/>
          </w:tcPr>
          <w:p>
            <w:pPr>
              <w:pStyle w:val="Compact"/>
              <w:spacing w:after="40"/>
              <w:jc w:val="left"/>
            </w:pPr>
            <w:r>
              <w:rPr>
                <w:sz w:val="18"/>
              </w:rPr>
              <w:t xml:space="preserve">PDR-IV</w:t>
            </w:r>
          </w:p>
        </w:tc>
        <w:tc>
          <w:tcPr>
            <w:tcW w:w="1535" w:type="dxa"/>
          </w:tcPr>
          <w:p>
            <w:pPr>
              <w:pStyle w:val="Compact"/>
              <w:spacing w:after="40"/>
              <w:jc w:val="left"/>
            </w:pPr>
            <w:r>
              <w:rPr>
                <w:sz w:val="18"/>
              </w:rPr>
              <w:t xml:space="preserve">Select Financial and Balance Sheet Indicators</w:t>
            </w:r>
          </w:p>
        </w:tc>
        <w:tc>
          <w:tcPr>
            <w:tcW w:w="504" w:type="dxa"/>
          </w:tcPr>
          <w:p>
            <w:pPr>
              <w:pStyle w:val="Compact"/>
              <w:spacing w:after="40"/>
              <w:jc w:val="left"/>
            </w:pPr>
            <w:r>
              <w:rPr>
                <w:sz w:val="18"/>
              </w:rPr>
              <w:t xml:space="preserve">Q</w:t>
            </w:r>
          </w:p>
        </w:tc>
        <w:tc>
          <w:tcPr>
            <w:tcW w:w="826" w:type="dxa"/>
          </w:tcPr>
          <w:p>
            <w:pPr>
              <w:pStyle w:val="Compact"/>
              <w:spacing w:after="40"/>
              <w:jc w:val="left"/>
            </w:pPr>
            <w:r>
              <w:rPr>
                <w:sz w:val="18"/>
              </w:rPr>
              <w:t xml:space="preserve">Quarter-end</w:t>
            </w:r>
          </w:p>
        </w:tc>
        <w:tc>
          <w:tcPr>
            <w:tcW w:w="1491" w:type="dxa"/>
          </w:tcPr>
          <w:p>
            <w:pPr>
              <w:pStyle w:val="Compact"/>
              <w:spacing w:after="40"/>
              <w:jc w:val="left"/>
            </w:pPr>
            <w:r>
              <w:rPr>
                <w:sz w:val="18"/>
              </w:rPr>
              <w:t xml:space="preserve">21 days</w:t>
            </w:r>
          </w:p>
        </w:tc>
        <w:tc>
          <w:tcPr>
            <w:tcW w:w="2007" w:type="dxa"/>
          </w:tcPr>
          <w:p>
            <w:pPr>
              <w:pStyle w:val="Compact"/>
              <w:spacing w:after="40"/>
              <w:jc w:val="left"/>
            </w:pPr>
            <w:r>
              <w:rPr>
                <w:sz w:val="18"/>
              </w:rPr>
              <w:t xml:space="preserve">SPDs</w:t>
            </w:r>
          </w:p>
        </w:tc>
        <w:tc>
          <w:tcPr>
            <w:tcW w:w="1476" w:type="dxa"/>
          </w:tcPr>
          <w:p>
            <w:pPr>
              <w:pStyle w:val="Compact"/>
              <w:spacing w:after="40"/>
              <w:jc w:val="left"/>
            </w:pPr>
            <w:r>
              <w:rPr>
                <w:sz w:val="18"/>
              </w:rPr>
              <w:t xml:space="preserve">CIMS</w:t>
            </w:r>
          </w:p>
        </w:tc>
        <w:tc>
          <w:tcPr>
            <w:tcW w:w="504" w:type="dxa"/>
          </w:tcPr>
          <w:p>
            <w:pPr>
              <w:pStyle w:val="Compact"/>
              <w:spacing w:after="40"/>
              <w:jc w:val="left"/>
            </w:pPr>
            <w:r>
              <w:rPr>
                <w:sz w:val="18"/>
              </w:rPr>
              <w:t xml:space="preserve">No</w:t>
            </w:r>
          </w:p>
        </w:tc>
        <w:tc>
          <w:tcPr>
            <w:tcW w:w="791" w:type="dxa"/>
          </w:tcPr>
          <w:p>
            <w:pPr>
              <w:pStyle w:val="Compact"/>
              <w:spacing w:after="40"/>
              <w:jc w:val="left"/>
            </w:pPr>
            <w:r>
              <w:rPr>
                <w:sz w:val="18"/>
              </w:rPr>
              <w:t xml:space="preserve">SR 21 item 14</w:t>
            </w:r>
          </w:p>
        </w:tc>
      </w:tr>
      <w:tr>
        <w:tc>
          <w:tcPr>
            <w:tcW w:w="504" w:type="dxa"/>
          </w:tcPr>
          <w:p>
            <w:pPr>
              <w:pStyle w:val="Compact"/>
              <w:spacing w:after="40"/>
              <w:jc w:val="left"/>
            </w:pPr>
            <w:r>
              <w:rPr>
                <w:sz w:val="18"/>
              </w:rPr>
              <w:t xml:space="preserve">STRESS</w:t>
            </w:r>
          </w:p>
        </w:tc>
        <w:tc>
          <w:tcPr>
            <w:tcW w:w="1535" w:type="dxa"/>
          </w:tcPr>
          <w:p>
            <w:pPr>
              <w:pStyle w:val="Compact"/>
              <w:spacing w:after="40"/>
              <w:jc w:val="left"/>
            </w:pPr>
            <w:r>
              <w:rPr>
                <w:sz w:val="18"/>
              </w:rPr>
              <w:t xml:space="preserve">Stress Test</w:t>
            </w:r>
          </w:p>
        </w:tc>
        <w:tc>
          <w:tcPr>
            <w:tcW w:w="504" w:type="dxa"/>
          </w:tcPr>
          <w:p>
            <w:pPr>
              <w:pStyle w:val="Compact"/>
              <w:spacing w:after="40"/>
              <w:jc w:val="left"/>
            </w:pPr>
            <w:r>
              <w:rPr>
                <w:sz w:val="18"/>
              </w:rPr>
              <w:t xml:space="preserve">M</w:t>
            </w:r>
          </w:p>
        </w:tc>
        <w:tc>
          <w:tcPr>
            <w:tcW w:w="826" w:type="dxa"/>
          </w:tcPr>
          <w:p>
            <w:pPr>
              <w:pStyle w:val="Compact"/>
              <w:spacing w:after="40"/>
              <w:jc w:val="left"/>
            </w:pPr>
            <w:r>
              <w:rPr>
                <w:sz w:val="18"/>
              </w:rPr>
              <w:t xml:space="preserve">Month-end</w:t>
            </w:r>
          </w:p>
        </w:tc>
        <w:tc>
          <w:tcPr>
            <w:tcW w:w="1491" w:type="dxa"/>
          </w:tcPr>
          <w:p>
            <w:pPr>
              <w:pStyle w:val="Compact"/>
              <w:spacing w:after="40"/>
              <w:jc w:val="left"/>
            </w:pPr>
            <w:r>
              <w:rPr>
                <w:sz w:val="18"/>
              </w:rPr>
              <w:t xml:space="preserve">15 days</w:t>
            </w:r>
          </w:p>
        </w:tc>
        <w:tc>
          <w:tcPr>
            <w:tcW w:w="2007" w:type="dxa"/>
          </w:tcPr>
          <w:p>
            <w:pPr>
              <w:pStyle w:val="Compact"/>
              <w:spacing w:after="40"/>
              <w:jc w:val="left"/>
            </w:pPr>
            <w:r>
              <w:rPr>
                <w:sz w:val="18"/>
              </w:rPr>
              <w:t xml:space="preserve">SPDs</w:t>
            </w:r>
          </w:p>
        </w:tc>
        <w:tc>
          <w:tcPr>
            <w:tcW w:w="1476" w:type="dxa"/>
          </w:tcPr>
          <w:p>
            <w:pPr>
              <w:pStyle w:val="Compact"/>
              <w:spacing w:after="40"/>
              <w:jc w:val="left"/>
            </w:pPr>
            <w:r>
              <w:rPr>
                <w:sz w:val="18"/>
              </w:rPr>
              <w:t xml:space="preserve">CIMS</w:t>
            </w:r>
          </w:p>
        </w:tc>
        <w:tc>
          <w:tcPr>
            <w:tcW w:w="504" w:type="dxa"/>
          </w:tcPr>
          <w:p>
            <w:pPr>
              <w:pStyle w:val="Compact"/>
              <w:spacing w:after="40"/>
              <w:jc w:val="left"/>
            </w:pPr>
            <w:r>
              <w:rPr>
                <w:sz w:val="18"/>
              </w:rPr>
              <w:t xml:space="preserve">No</w:t>
            </w:r>
          </w:p>
        </w:tc>
        <w:tc>
          <w:tcPr>
            <w:tcW w:w="791" w:type="dxa"/>
          </w:tcPr>
          <w:p>
            <w:pPr>
              <w:pStyle w:val="Compact"/>
              <w:spacing w:after="40"/>
              <w:jc w:val="left"/>
            </w:pPr>
            <w:r>
              <w:rPr>
                <w:sz w:val="18"/>
              </w:rPr>
              <w:t xml:space="preserve">SR 21 item 15</w:t>
            </w:r>
          </w:p>
        </w:tc>
      </w:tr>
      <w:tr>
        <w:tc>
          <w:tcPr>
            <w:tcW w:w="504" w:type="dxa"/>
          </w:tcPr>
          <w:p>
            <w:pPr>
              <w:pStyle w:val="Compact"/>
              <w:spacing w:after="40"/>
              <w:jc w:val="left"/>
            </w:pPr>
            <w:r>
              <w:rPr>
                <w:sz w:val="18"/>
              </w:rPr>
              <w:t xml:space="preserve">IRS</w:t>
            </w:r>
          </w:p>
        </w:tc>
        <w:tc>
          <w:tcPr>
            <w:tcW w:w="1535" w:type="dxa"/>
          </w:tcPr>
          <w:p>
            <w:pPr>
              <w:pStyle w:val="Compact"/>
              <w:spacing w:after="40"/>
              <w:jc w:val="left"/>
            </w:pPr>
            <w:r>
              <w:rPr>
                <w:sz w:val="18"/>
              </w:rPr>
              <w:t xml:space="preserve">Interest Rate Sensitivity Test</w:t>
            </w:r>
          </w:p>
        </w:tc>
        <w:tc>
          <w:tcPr>
            <w:tcW w:w="504" w:type="dxa"/>
          </w:tcPr>
          <w:p>
            <w:pPr>
              <w:pStyle w:val="Compact"/>
              <w:spacing w:after="40"/>
              <w:jc w:val="left"/>
            </w:pPr>
            <w:r>
              <w:rPr>
                <w:sz w:val="18"/>
              </w:rPr>
              <w:t xml:space="preserve">M</w:t>
            </w:r>
          </w:p>
        </w:tc>
        <w:tc>
          <w:tcPr>
            <w:tcW w:w="826" w:type="dxa"/>
          </w:tcPr>
          <w:p>
            <w:pPr>
              <w:pStyle w:val="Compact"/>
              <w:spacing w:after="40"/>
              <w:jc w:val="left"/>
            </w:pPr>
            <w:r>
              <w:rPr>
                <w:sz w:val="18"/>
              </w:rPr>
              <w:t xml:space="preserve">Month-end</w:t>
            </w:r>
          </w:p>
        </w:tc>
        <w:tc>
          <w:tcPr>
            <w:tcW w:w="1491" w:type="dxa"/>
          </w:tcPr>
          <w:p>
            <w:pPr>
              <w:pStyle w:val="Compact"/>
              <w:spacing w:after="40"/>
              <w:jc w:val="left"/>
            </w:pPr>
            <w:r>
              <w:rPr>
                <w:sz w:val="18"/>
              </w:rPr>
              <w:t xml:space="preserve">15 days</w:t>
            </w:r>
          </w:p>
        </w:tc>
        <w:tc>
          <w:tcPr>
            <w:tcW w:w="2007" w:type="dxa"/>
          </w:tcPr>
          <w:p>
            <w:pPr>
              <w:pStyle w:val="Compact"/>
              <w:spacing w:after="40"/>
              <w:jc w:val="left"/>
            </w:pPr>
            <w:r>
              <w:rPr>
                <w:sz w:val="18"/>
              </w:rPr>
              <w:t xml:space="preserve">SPDs</w:t>
            </w:r>
          </w:p>
        </w:tc>
        <w:tc>
          <w:tcPr>
            <w:tcW w:w="1476" w:type="dxa"/>
          </w:tcPr>
          <w:p>
            <w:pPr>
              <w:pStyle w:val="Compact"/>
              <w:spacing w:after="40"/>
              <w:jc w:val="left"/>
            </w:pPr>
            <w:r>
              <w:rPr>
                <w:sz w:val="18"/>
              </w:rPr>
              <w:t xml:space="preserve">CIMS</w:t>
            </w:r>
          </w:p>
        </w:tc>
        <w:tc>
          <w:tcPr>
            <w:tcW w:w="504" w:type="dxa"/>
          </w:tcPr>
          <w:p>
            <w:pPr>
              <w:pStyle w:val="Compact"/>
              <w:spacing w:after="40"/>
              <w:jc w:val="left"/>
            </w:pPr>
            <w:r>
              <w:rPr>
                <w:sz w:val="18"/>
              </w:rPr>
              <w:t xml:space="preserve">No</w:t>
            </w:r>
          </w:p>
        </w:tc>
        <w:tc>
          <w:tcPr>
            <w:tcW w:w="791" w:type="dxa"/>
          </w:tcPr>
          <w:p>
            <w:pPr>
              <w:pStyle w:val="Compact"/>
              <w:spacing w:after="40"/>
              <w:jc w:val="left"/>
            </w:pPr>
            <w:r>
              <w:rPr>
                <w:sz w:val="18"/>
              </w:rPr>
              <w:t xml:space="preserve">SR 21 item 16</w:t>
            </w:r>
          </w:p>
        </w:tc>
      </w:tr>
      <w:tr>
        <w:tc>
          <w:tcPr>
            <w:tcW w:w="504" w:type="dxa"/>
          </w:tcPr>
          <w:p>
            <w:pPr>
              <w:pStyle w:val="Compact"/>
              <w:spacing w:after="40"/>
              <w:jc w:val="left"/>
            </w:pPr>
            <w:r>
              <w:rPr>
                <w:sz w:val="18"/>
              </w:rPr>
              <w:t xml:space="preserve">FMR</w:t>
            </w:r>
          </w:p>
        </w:tc>
        <w:tc>
          <w:tcPr>
            <w:tcW w:w="1535" w:type="dxa"/>
          </w:tcPr>
          <w:p>
            <w:pPr>
              <w:pStyle w:val="Compact"/>
              <w:spacing w:after="40"/>
              <w:jc w:val="left"/>
            </w:pPr>
            <w:r>
              <w:rPr>
                <w:sz w:val="18"/>
              </w:rPr>
              <w:t xml:space="preserve">Fraud Monitoring Return – NBFCs</w:t>
            </w:r>
          </w:p>
        </w:tc>
        <w:tc>
          <w:tcPr>
            <w:tcW w:w="504" w:type="dxa"/>
          </w:tcPr>
          <w:p>
            <w:pPr>
              <w:pStyle w:val="Compact"/>
              <w:spacing w:after="40"/>
              <w:jc w:val="left"/>
            </w:pPr>
            <w:r>
              <w:rPr>
                <w:sz w:val="18"/>
              </w:rPr>
              <w:t xml:space="preserve">Event</w:t>
            </w:r>
          </w:p>
        </w:tc>
        <w:tc>
          <w:tcPr>
            <w:tcW w:w="826" w:type="dxa"/>
          </w:tcPr>
          <w:p>
            <w:pPr>
              <w:pStyle w:val="Compact"/>
              <w:spacing w:after="40"/>
              <w:jc w:val="left"/>
            </w:pPr>
            <w:r>
              <w:rPr>
                <w:sz w:val="18"/>
              </w:rPr>
              <w:t xml:space="preserve">Fraud classification date</w:t>
            </w:r>
          </w:p>
        </w:tc>
        <w:tc>
          <w:tcPr>
            <w:tcW w:w="1491" w:type="dxa"/>
          </w:tcPr>
          <w:p>
            <w:pPr>
              <w:pStyle w:val="Compact"/>
              <w:spacing w:after="40"/>
              <w:jc w:val="left"/>
            </w:pPr>
            <w:r>
              <w:rPr>
                <w:sz w:val="18"/>
              </w:rPr>
              <w:t xml:space="preserve">14 days</w:t>
            </w:r>
          </w:p>
        </w:tc>
        <w:tc>
          <w:tcPr>
            <w:tcW w:w="2007" w:type="dxa"/>
          </w:tcPr>
          <w:p>
            <w:pPr>
              <w:pStyle w:val="Compact"/>
              <w:spacing w:after="40"/>
              <w:jc w:val="left"/>
            </w:pPr>
            <w:r>
              <w:rPr>
                <w:sz w:val="18"/>
              </w:rPr>
              <w:t xml:space="preserve">UL; ML; BL with assets ≥ ₹500 crore</w:t>
            </w:r>
          </w:p>
        </w:tc>
        <w:tc>
          <w:tcPr>
            <w:tcW w:w="1476" w:type="dxa"/>
          </w:tcPr>
          <w:p>
            <w:pPr>
              <w:pStyle w:val="Compact"/>
              <w:spacing w:after="40"/>
              <w:jc w:val="left"/>
            </w:pPr>
            <w:r>
              <w:rPr>
                <w:sz w:val="18"/>
              </w:rPr>
              <w:t xml:space="preserve">CIMS; template</w:t>
            </w:r>
          </w:p>
        </w:tc>
        <w:tc>
          <w:tcPr>
            <w:tcW w:w="504" w:type="dxa"/>
          </w:tcPr>
          <w:p>
            <w:pPr>
              <w:pStyle w:val="Compact"/>
              <w:spacing w:after="40"/>
              <w:jc w:val="left"/>
            </w:pPr>
            <w:r>
              <w:rPr>
                <w:sz w:val="18"/>
              </w:rPr>
              <w:t xml:space="preserve">No</w:t>
            </w:r>
          </w:p>
        </w:tc>
        <w:tc>
          <w:tcPr>
            <w:tcW w:w="791" w:type="dxa"/>
          </w:tcPr>
          <w:p>
            <w:pPr>
              <w:pStyle w:val="Compact"/>
              <w:spacing w:after="40"/>
              <w:jc w:val="left"/>
            </w:pPr>
            <w:r>
              <w:rPr>
                <w:sz w:val="18"/>
              </w:rPr>
              <w:t xml:space="preserve">SR 21 item 17, 23; FRM 42–43</w:t>
            </w:r>
          </w:p>
        </w:tc>
      </w:tr>
      <w:tr>
        <w:tc>
          <w:tcPr>
            <w:tcW w:w="504" w:type="dxa"/>
          </w:tcPr>
          <w:p>
            <w:pPr>
              <w:pStyle w:val="Compact"/>
              <w:spacing w:after="40"/>
              <w:jc w:val="left"/>
            </w:pPr>
            <w:r>
              <w:rPr>
                <w:sz w:val="18"/>
              </w:rPr>
              <w:t xml:space="preserve">FUA</w:t>
            </w:r>
          </w:p>
        </w:tc>
        <w:tc>
          <w:tcPr>
            <w:tcW w:w="1535" w:type="dxa"/>
          </w:tcPr>
          <w:p>
            <w:pPr>
              <w:pStyle w:val="Compact"/>
              <w:spacing w:after="40"/>
              <w:jc w:val="left"/>
            </w:pPr>
            <w:r>
              <w:rPr>
                <w:sz w:val="18"/>
              </w:rPr>
              <w:t xml:space="preserve">FMR Update Application</w:t>
            </w:r>
          </w:p>
        </w:tc>
        <w:tc>
          <w:tcPr>
            <w:tcW w:w="504" w:type="dxa"/>
          </w:tcPr>
          <w:p>
            <w:pPr>
              <w:pStyle w:val="Compact"/>
              <w:spacing w:after="40"/>
              <w:jc w:val="left"/>
            </w:pPr>
            <w:r>
              <w:rPr>
                <w:sz w:val="18"/>
              </w:rPr>
              <w:t xml:space="preserve">Event</w:t>
            </w:r>
          </w:p>
        </w:tc>
        <w:tc>
          <w:tcPr>
            <w:tcW w:w="826" w:type="dxa"/>
          </w:tcPr>
          <w:p>
            <w:pPr>
              <w:pStyle w:val="Compact"/>
              <w:spacing w:after="40"/>
              <w:jc w:val="left"/>
            </w:pPr>
            <w:r>
              <w:rPr>
                <w:sz w:val="18"/>
              </w:rPr>
              <w:t xml:space="preserve">Update or progress date</w:t>
            </w:r>
          </w:p>
        </w:tc>
        <w:tc>
          <w:tcPr>
            <w:tcW w:w="1491" w:type="dxa"/>
          </w:tcPr>
          <w:p>
            <w:pPr>
              <w:pStyle w:val="Compact"/>
              <w:spacing w:after="40"/>
              <w:jc w:val="left"/>
            </w:pPr>
            <w:r>
              <w:rPr>
                <w:sz w:val="18"/>
              </w:rPr>
              <w:t xml:space="preserve">Immediate</w:t>
            </w:r>
          </w:p>
        </w:tc>
        <w:tc>
          <w:tcPr>
            <w:tcW w:w="2007" w:type="dxa"/>
          </w:tcPr>
          <w:p>
            <w:pPr>
              <w:pStyle w:val="Compact"/>
              <w:spacing w:after="40"/>
              <w:jc w:val="left"/>
            </w:pPr>
            <w:r>
              <w:rPr>
                <w:sz w:val="18"/>
              </w:rPr>
              <w:t xml:space="preserve">As FMR</w:t>
            </w:r>
          </w:p>
        </w:tc>
        <w:tc>
          <w:tcPr>
            <w:tcW w:w="1476" w:type="dxa"/>
          </w:tcPr>
          <w:p>
            <w:pPr>
              <w:pStyle w:val="Compact"/>
              <w:spacing w:after="40"/>
              <w:jc w:val="left"/>
            </w:pPr>
            <w:r>
              <w:rPr>
                <w:sz w:val="18"/>
              </w:rPr>
              <w:t xml:space="preserve">CIMS; template</w:t>
            </w:r>
          </w:p>
        </w:tc>
        <w:tc>
          <w:tcPr>
            <w:tcW w:w="504" w:type="dxa"/>
          </w:tcPr>
          <w:p>
            <w:pPr>
              <w:pStyle w:val="Compact"/>
              <w:spacing w:after="40"/>
              <w:jc w:val="left"/>
            </w:pPr>
            <w:r>
              <w:rPr>
                <w:sz w:val="18"/>
              </w:rPr>
              <w:t xml:space="preserve">No</w:t>
            </w:r>
          </w:p>
        </w:tc>
        <w:tc>
          <w:tcPr>
            <w:tcW w:w="791" w:type="dxa"/>
          </w:tcPr>
          <w:p>
            <w:pPr>
              <w:pStyle w:val="Compact"/>
              <w:spacing w:after="40"/>
              <w:jc w:val="left"/>
            </w:pPr>
            <w:r>
              <w:rPr>
                <w:sz w:val="18"/>
              </w:rPr>
              <w:t xml:space="preserve">SR 21 item 18, 23</w:t>
            </w:r>
          </w:p>
        </w:tc>
      </w:tr>
      <w:tr>
        <w:tc>
          <w:tcPr>
            <w:tcW w:w="504" w:type="dxa"/>
          </w:tcPr>
          <w:p>
            <w:pPr>
              <w:pStyle w:val="Compact"/>
              <w:spacing w:after="40"/>
              <w:jc w:val="left"/>
            </w:pPr>
            <w:r>
              <w:rPr>
                <w:sz w:val="18"/>
              </w:rPr>
              <w:t xml:space="preserve">FMR4-RBR</w:t>
            </w:r>
          </w:p>
        </w:tc>
        <w:tc>
          <w:tcPr>
            <w:tcW w:w="1535" w:type="dxa"/>
          </w:tcPr>
          <w:p>
            <w:pPr>
              <w:pStyle w:val="Compact"/>
              <w:spacing w:after="40"/>
              <w:jc w:val="left"/>
            </w:pPr>
            <w:r>
              <w:rPr>
                <w:sz w:val="18"/>
              </w:rPr>
              <w:t xml:space="preserve">Dacoity, robbery, theft and burglary (consolidated)</w:t>
            </w:r>
          </w:p>
        </w:tc>
        <w:tc>
          <w:tcPr>
            <w:tcW w:w="504" w:type="dxa"/>
          </w:tcPr>
          <w:p>
            <w:pPr>
              <w:pStyle w:val="Compact"/>
              <w:spacing w:after="40"/>
              <w:jc w:val="left"/>
            </w:pPr>
            <w:r>
              <w:rPr>
                <w:sz w:val="18"/>
              </w:rPr>
              <w:t xml:space="preserve">Q</w:t>
            </w:r>
          </w:p>
        </w:tc>
        <w:tc>
          <w:tcPr>
            <w:tcW w:w="826" w:type="dxa"/>
          </w:tcPr>
          <w:p>
            <w:pPr>
              <w:pStyle w:val="Compact"/>
              <w:spacing w:after="40"/>
              <w:jc w:val="left"/>
            </w:pPr>
            <w:r>
              <w:rPr>
                <w:sz w:val="18"/>
              </w:rPr>
              <w:t xml:space="preserve">Quarter-end</w:t>
            </w:r>
          </w:p>
        </w:tc>
        <w:tc>
          <w:tcPr>
            <w:tcW w:w="1491" w:type="dxa"/>
          </w:tcPr>
          <w:p>
            <w:pPr>
              <w:pStyle w:val="Compact"/>
              <w:spacing w:after="40"/>
              <w:jc w:val="left"/>
            </w:pPr>
            <w:r>
              <w:rPr>
                <w:sz w:val="18"/>
              </w:rPr>
              <w:t xml:space="preserve">15 days</w:t>
            </w:r>
          </w:p>
        </w:tc>
        <w:tc>
          <w:tcPr>
            <w:tcW w:w="2007" w:type="dxa"/>
          </w:tcPr>
          <w:p>
            <w:pPr>
              <w:pStyle w:val="Compact"/>
              <w:spacing w:after="40"/>
              <w:jc w:val="left"/>
            </w:pPr>
            <w:r>
              <w:rPr>
                <w:sz w:val="18"/>
              </w:rPr>
              <w:t xml:space="preserve">As FMR</w:t>
            </w:r>
          </w:p>
        </w:tc>
        <w:tc>
          <w:tcPr>
            <w:tcW w:w="1476" w:type="dxa"/>
          </w:tcPr>
          <w:p>
            <w:pPr>
              <w:pStyle w:val="Compact"/>
              <w:spacing w:after="40"/>
              <w:jc w:val="left"/>
            </w:pPr>
            <w:r>
              <w:rPr>
                <w:sz w:val="18"/>
              </w:rPr>
              <w:t xml:space="preserve">CIMS; template</w:t>
            </w:r>
          </w:p>
        </w:tc>
        <w:tc>
          <w:tcPr>
            <w:tcW w:w="504" w:type="dxa"/>
          </w:tcPr>
          <w:p>
            <w:pPr>
              <w:pStyle w:val="Compact"/>
              <w:spacing w:after="40"/>
              <w:jc w:val="left"/>
            </w:pPr>
            <w:r>
              <w:rPr>
                <w:sz w:val="18"/>
              </w:rPr>
              <w:t xml:space="preserve">No</w:t>
            </w:r>
          </w:p>
        </w:tc>
        <w:tc>
          <w:tcPr>
            <w:tcW w:w="791" w:type="dxa"/>
          </w:tcPr>
          <w:p>
            <w:pPr>
              <w:pStyle w:val="Compact"/>
              <w:spacing w:after="40"/>
              <w:jc w:val="left"/>
            </w:pPr>
            <w:r>
              <w:rPr>
                <w:sz w:val="18"/>
              </w:rPr>
              <w:t xml:space="preserve">SR 21 item 19, 23; FRM 58</w:t>
            </w:r>
          </w:p>
        </w:tc>
      </w:tr>
      <w:tr>
        <w:tc>
          <w:tcPr>
            <w:tcW w:w="504" w:type="dxa"/>
          </w:tcPr>
          <w:p>
            <w:pPr>
              <w:pStyle w:val="Compact"/>
              <w:spacing w:after="40"/>
              <w:jc w:val="left"/>
            </w:pPr>
            <w:r>
              <w:rPr>
                <w:sz w:val="18"/>
              </w:rPr>
              <w:t xml:space="preserve">FORM-A-SA</w:t>
            </w:r>
          </w:p>
        </w:tc>
        <w:tc>
          <w:tcPr>
            <w:tcW w:w="1535" w:type="dxa"/>
          </w:tcPr>
          <w:p>
            <w:pPr>
              <w:pStyle w:val="Compact"/>
              <w:spacing w:after="40"/>
              <w:jc w:val="left"/>
            </w:pPr>
            <w:r>
              <w:rPr>
                <w:sz w:val="18"/>
              </w:rPr>
              <w:t xml:space="preserve">Form A Certificate (appointment of SCA/SA)</w:t>
            </w:r>
          </w:p>
        </w:tc>
        <w:tc>
          <w:tcPr>
            <w:tcW w:w="504" w:type="dxa"/>
          </w:tcPr>
          <w:p>
            <w:pPr>
              <w:pStyle w:val="Compact"/>
              <w:spacing w:after="40"/>
              <w:jc w:val="left"/>
            </w:pPr>
            <w:r>
              <w:rPr>
                <w:sz w:val="18"/>
              </w:rPr>
              <w:t xml:space="preserve">A</w:t>
            </w:r>
          </w:p>
        </w:tc>
        <w:tc>
          <w:tcPr>
            <w:tcW w:w="826" w:type="dxa"/>
          </w:tcPr>
          <w:p>
            <w:pPr>
              <w:pStyle w:val="Compact"/>
              <w:spacing w:after="40"/>
              <w:jc w:val="left"/>
            </w:pPr>
            <w:r>
              <w:rPr>
                <w:sz w:val="18"/>
              </w:rPr>
              <w:t xml:space="preserve">31 March</w:t>
            </w:r>
          </w:p>
        </w:tc>
        <w:tc>
          <w:tcPr>
            <w:tcW w:w="1491" w:type="dxa"/>
          </w:tcPr>
          <w:p>
            <w:pPr>
              <w:pStyle w:val="Compact"/>
              <w:spacing w:after="40"/>
              <w:jc w:val="left"/>
            </w:pPr>
            <w:r>
              <w:rPr>
                <w:sz w:val="18"/>
              </w:rPr>
              <w:t xml:space="preserve">1 month from appointment</w:t>
            </w:r>
          </w:p>
        </w:tc>
        <w:tc>
          <w:tcPr>
            <w:tcW w:w="2007" w:type="dxa"/>
          </w:tcPr>
          <w:p>
            <w:pPr>
              <w:pStyle w:val="Compact"/>
              <w:spacing w:after="40"/>
              <w:jc w:val="left"/>
            </w:pPr>
            <w:r>
              <w:rPr>
                <w:sz w:val="18"/>
              </w:rPr>
              <w:t xml:space="preserve">All NBFCs</w:t>
            </w:r>
          </w:p>
        </w:tc>
        <w:tc>
          <w:tcPr>
            <w:tcW w:w="1476" w:type="dxa"/>
          </w:tcPr>
          <w:p>
            <w:pPr>
              <w:pStyle w:val="Compact"/>
              <w:spacing w:after="40"/>
              <w:jc w:val="left"/>
            </w:pPr>
            <w:r>
              <w:rPr>
                <w:sz w:val="18"/>
              </w:rPr>
              <w:t xml:space="preserve">RBI list shows</w:t>
            </w:r>
            <w:r>
              <w:rPr>
                <w:sz w:val="18"/>
              </w:rPr>
              <w:t xml:space="preserve"> </w:t>
            </w:r>
            <w:r>
              <w:rPr>
                <w:sz w:val="18"/>
              </w:rPr>
              <w:t xml:space="preserve">“</w:t>
            </w:r>
            <w:r>
              <w:rPr>
                <w:sz w:val="18"/>
              </w:rPr>
              <w:t xml:space="preserve">Hard copy / Digital, PDF</w:t>
            </w:r>
            <w:r>
              <w:rPr>
                <w:sz w:val="18"/>
              </w:rPr>
              <w:t xml:space="preserve">”</w:t>
            </w:r>
            <w:r>
              <w:rPr>
                <w:sz w:val="18"/>
              </w:rPr>
              <w:t xml:space="preserve">; routing per SA para 30 [VERIFY: mode against SR para 18]</w:t>
            </w:r>
          </w:p>
        </w:tc>
        <w:tc>
          <w:tcPr>
            <w:tcW w:w="504" w:type="dxa"/>
          </w:tcPr>
          <w:p>
            <w:pPr>
              <w:pStyle w:val="Compact"/>
              <w:spacing w:after="40"/>
              <w:jc w:val="left"/>
            </w:pPr>
            <w:r>
              <w:rPr>
                <w:sz w:val="18"/>
              </w:rPr>
              <w:t xml:space="preserve">No</w:t>
            </w:r>
          </w:p>
        </w:tc>
        <w:tc>
          <w:tcPr>
            <w:tcW w:w="791" w:type="dxa"/>
          </w:tcPr>
          <w:p>
            <w:pPr>
              <w:pStyle w:val="Compact"/>
              <w:spacing w:after="40"/>
              <w:jc w:val="left"/>
            </w:pPr>
            <w:r>
              <w:rPr>
                <w:sz w:val="18"/>
              </w:rPr>
              <w:t xml:space="preserve">SR 21 item 20, 23; SA 30</w:t>
            </w:r>
          </w:p>
        </w:tc>
      </w:tr>
    </w:tbl>
    <w:p>
      <w:pPr>
        <w:pStyle w:val="BodyText"/>
      </w:pPr>
      <w:r>
        <w:rPr>
          <w:bCs/>
          <w:b/>
        </w:rPr>
        <w:t xml:space="preserve">Returns under other Directions (SR para 26 keeps them alive).</w:t>
      </w:r>
      <w:r>
        <w:t xml:space="preserve"> </w:t>
      </w:r>
      <w:r>
        <w:t xml:space="preserve">The registry also loads every row of Part 8A.36.2 and the M13 table, adding channel and format: DLA register on CIMS template, CCO-certified, published by RBI without validation (CF 18); RBR incident by email within 7 days (FRM 57); group-entity fraud by email only to fmgconbfc@rbi.org.in (FRM 45); cyber incident and NBFC-D nomination coverage on DAKSH (CYB 28, 141; MSD 12); CFSS progress, LE breach, CDS/CRT, IRF and GOV 14 statements to the DoS Regional Office as advised [VERIFY: channel each]; securitisation quarterly report, format awaited (SEC 115) [VERIFY]; WD/LD and UCRF files by CIC SFTP (RR6, RR8.4).</w:t>
      </w:r>
    </w:p>
    <w:bookmarkEnd w:id="220"/>
    <w:bookmarkStart w:id="221" w:name="rr1.3-applicability-engine"/>
    <w:p>
      <w:pPr>
        <w:pStyle w:val="Heading3"/>
      </w:pPr>
      <w:r>
        <w:t xml:space="preserve">RR1.3 Applicability engine</w:t>
      </w:r>
    </w:p>
    <w:p>
      <w:pPr>
        <w:pStyle w:val="FirstParagraph"/>
      </w:pPr>
      <w:r>
        <w:rPr>
          <w:bCs/>
          <w:b/>
        </w:rPr>
        <w:t xml:space="preserve">Inputs (entity regulatory profile, M1 and Part 8A.25):</w:t>
      </w:r>
      <w:r>
        <w:t xml:space="preserve"> </w:t>
      </w:r>
      <w:r>
        <w:t xml:space="preserve">legal form; regulator class; layer and the date and source of layer classification; category flags (</w:t>
      </w:r>
      <w:r>
        <w:rPr>
          <w:rStyle w:val="VerbatimChar"/>
        </w:rPr>
        <w:t xml:space="preserve">nbfc_mfi</w:t>
      </w:r>
      <w:r>
        <w:t xml:space="preserve">,</w:t>
      </w:r>
      <w:r>
        <w:t xml:space="preserve"> </w:t>
      </w:r>
      <w:r>
        <w:rPr>
          <w:rStyle w:val="VerbatimChar"/>
        </w:rPr>
        <w:t xml:space="preserve">core_investment_co</w:t>
      </w:r>
      <w:r>
        <w:t xml:space="preserve">,</w:t>
      </w:r>
      <w:r>
        <w:t xml:space="preserve"> </w:t>
      </w:r>
      <w:r>
        <w:rPr>
          <w:rStyle w:val="VerbatimChar"/>
        </w:rPr>
        <w:t xml:space="preserve">p2p</w:t>
      </w:r>
      <w:r>
        <w:t xml:space="preserve">,</w:t>
      </w:r>
      <w:r>
        <w:t xml:space="preserve"> </w:t>
      </w:r>
      <w:r>
        <w:rPr>
          <w:rStyle w:val="VerbatimChar"/>
        </w:rPr>
        <w:t xml:space="preserve">spd</w:t>
      </w:r>
      <w:r>
        <w:t xml:space="preserve">,</w:t>
      </w:r>
      <w:r>
        <w:t xml:space="preserve"> </w:t>
      </w:r>
      <w:r>
        <w:rPr>
          <w:rStyle w:val="VerbatimChar"/>
        </w:rPr>
        <w:t xml:space="preserve">factor</w:t>
      </w:r>
      <w:r>
        <w:t xml:space="preserve">,</w:t>
      </w:r>
      <w:r>
        <w:t xml:space="preserve"> </w:t>
      </w:r>
      <w:r>
        <w:rPr>
          <w:rStyle w:val="VerbatimChar"/>
        </w:rPr>
        <w:t xml:space="preserve">aa</w:t>
      </w:r>
      <w:r>
        <w:t xml:space="preserve">,</w:t>
      </w:r>
      <w:r>
        <w:t xml:space="preserve"> </w:t>
      </w:r>
      <w:r>
        <w:rPr>
          <w:rStyle w:val="VerbatimChar"/>
        </w:rPr>
        <w:t xml:space="preserve">mgc</w:t>
      </w:r>
      <w:r>
        <w:t xml:space="preserve">,</w:t>
      </w:r>
      <w:r>
        <w:t xml:space="preserve"> </w:t>
      </w:r>
      <w:r>
        <w:rPr>
          <w:rStyle w:val="VerbatimChar"/>
        </w:rPr>
        <w:t xml:space="preserve">nofhc</w:t>
      </w:r>
      <w:r>
        <w:t xml:space="preserve">,</w:t>
      </w:r>
      <w:r>
        <w:t xml:space="preserve"> </w:t>
      </w:r>
      <w:r>
        <w:rPr>
          <w:rStyle w:val="VerbatimChar"/>
        </w:rPr>
        <w:t xml:space="preserve">hfc</w:t>
      </w:r>
      <w:r>
        <w:t xml:space="preserve">,</w:t>
      </w:r>
      <w:r>
        <w:t xml:space="preserve"> </w:t>
      </w:r>
      <w:r>
        <w:rPr>
          <w:rStyle w:val="VerbatimChar"/>
        </w:rPr>
        <w:t xml:space="preserve">idf</w:t>
      </w:r>
      <w:r>
        <w:t xml:space="preserve">,</w:t>
      </w:r>
      <w:r>
        <w:t xml:space="preserve"> </w:t>
      </w:r>
      <w:r>
        <w:rPr>
          <w:rStyle w:val="VerbatimChar"/>
        </w:rPr>
        <w:t xml:space="preserve">ifc</w:t>
      </w:r>
      <w:r>
        <w:t xml:space="preserve">);</w:t>
      </w:r>
      <w:r>
        <w:t xml:space="preserve"> </w:t>
      </w:r>
      <w:r>
        <w:rPr>
          <w:rStyle w:val="VerbatimChar"/>
        </w:rPr>
        <w:t xml:space="preserve">deposit_taking</w:t>
      </w:r>
      <w:r>
        <w:t xml:space="preserve">;</w:t>
      </w:r>
      <w:r>
        <w:t xml:space="preserve"> </w:t>
      </w:r>
      <w:r>
        <w:rPr>
          <w:rStyle w:val="VerbatimChar"/>
        </w:rPr>
        <w:t xml:space="preserve">public_funds</w:t>
      </w:r>
      <w:r>
        <w:t xml:space="preserve">;</w:t>
      </w:r>
      <w:r>
        <w:t xml:space="preserve"> </w:t>
      </w:r>
      <w:r>
        <w:rPr>
          <w:rStyle w:val="VerbatimChar"/>
        </w:rPr>
        <w:t xml:space="preserve">customer_interface</w:t>
      </w:r>
      <w:r>
        <w:t xml:space="preserve">; standalone, last-audited and group asset size;</w:t>
      </w:r>
      <w:r>
        <w:t xml:space="preserve"> </w:t>
      </w:r>
      <w:r>
        <w:rPr>
          <w:rStyle w:val="VerbatimChar"/>
        </w:rPr>
        <w:t xml:space="preserve">has_dla</w:t>
      </w:r>
      <w:r>
        <w:t xml:space="preserve">;</w:t>
      </w:r>
      <w:r>
        <w:t xml:space="preserve"> </w:t>
      </w:r>
      <w:r>
        <w:rPr>
          <w:rStyle w:val="VerbatimChar"/>
        </w:rPr>
        <w:t xml:space="preserve">has_overseas_investment</w:t>
      </w:r>
      <w:r>
        <w:t xml:space="preserve">;</w:t>
      </w:r>
      <w:r>
        <w:t xml:space="preserve"> </w:t>
      </w:r>
      <w:r>
        <w:rPr>
          <w:rStyle w:val="VerbatimChar"/>
        </w:rPr>
        <w:t xml:space="preserve">fraud_frm_applicable</w:t>
      </w:r>
      <w:r>
        <w:t xml:space="preserve">;</w:t>
      </w:r>
      <w:r>
        <w:t xml:space="preserve"> </w:t>
      </w:r>
      <w:r>
        <w:rPr>
          <w:rStyle w:val="VerbatimChar"/>
        </w:rPr>
        <w:t xml:space="preserve">listed</w:t>
      </w:r>
      <w:r>
        <w:t xml:space="preserve">;</w:t>
      </w:r>
      <w:r>
        <w:t xml:space="preserve"> </w:t>
      </w:r>
      <w:r>
        <w:rPr>
          <w:rStyle w:val="VerbatimChar"/>
        </w:rPr>
        <w:t xml:space="preserve">ifsc_unit</w:t>
      </w:r>
      <w:r>
        <w:t xml:space="preserve">;</w:t>
      </w:r>
      <w:r>
        <w:t xml:space="preserve"> </w:t>
      </w:r>
      <w:r>
        <w:rPr>
          <w:rStyle w:val="VerbatimChar"/>
        </w:rPr>
        <w:t xml:space="preserve">cooperative_type</w:t>
      </w:r>
      <w:r>
        <w:t xml:space="preserve">;</w:t>
      </w:r>
      <w:r>
        <w:t xml:space="preserve"> </w:t>
      </w:r>
      <w:r>
        <w:rPr>
          <w:rStyle w:val="VerbatimChar"/>
        </w:rPr>
        <w:t xml:space="preserve">cic_member[]</w:t>
      </w:r>
      <w:r>
        <w:t xml:space="preserve"> </w:t>
      </w:r>
      <w:r>
        <w:t xml:space="preserve">by bureau.</w:t>
      </w:r>
    </w:p>
    <w:p>
      <w:pPr>
        <w:pStyle w:val="BodyText"/>
      </w:pPr>
      <w:r>
        <w:rPr>
          <w:bCs/>
          <w:b/>
        </w:rPr>
        <w:t xml:space="preserve">Rule form.</w:t>
      </w:r>
      <w:r>
        <w:t xml:space="preserve"> </w:t>
      </w:r>
      <w:r>
        <w:t xml:space="preserve">Each</w:t>
      </w:r>
      <w:r>
        <w:t xml:space="preserve"> </w:t>
      </w:r>
      <w:r>
        <w:rPr>
          <w:rStyle w:val="VerbatimChar"/>
        </w:rPr>
        <w:t xml:space="preserve">applicability_rule</w:t>
      </w:r>
      <w:r>
        <w:t xml:space="preserve"> </w:t>
      </w:r>
      <w:r>
        <w:t xml:space="preserve">is a CEL expression (Common Expression Language, chosen for side-effect-free, typed evaluation [REC]) with a citation. Example:</w:t>
      </w:r>
    </w:p>
    <w:p>
      <w:pPr>
        <w:pStyle w:val="SourceCode"/>
      </w:pPr>
      <w:r>
        <w:rPr>
          <w:rStyle w:val="VerbatimChar"/>
        </w:rPr>
        <w:t xml:space="preserve">// REQ-SR-21(4): DNBS04A / DNBS04B</w:t>
      </w:r>
      <w:r>
        <w:br/>
      </w:r>
      <w:r>
        <w:rPr>
          <w:rStyle w:val="VerbatimChar"/>
        </w:rPr>
        <w:t xml:space="preserve">layer == "UL" ||</w:t>
      </w:r>
      <w:r>
        <w:br/>
      </w:r>
      <w:r>
        <w:rPr>
          <w:rStyle w:val="VerbatimChar"/>
        </w:rPr>
        <w:t xml:space="preserve">  (layer == "ML" &amp;&amp; !spd) ||</w:t>
      </w:r>
      <w:r>
        <w:br/>
      </w:r>
      <w:r>
        <w:rPr>
          <w:rStyle w:val="VerbatimChar"/>
        </w:rPr>
        <w:t xml:space="preserve">  (layer == "BL" &amp;&amp; max(assets_solo, assets_group) &gt;= 1000000000   // ₹100 crore</w:t>
      </w:r>
      <w:r>
        <w:br/>
      </w:r>
      <w:r>
        <w:rPr>
          <w:rStyle w:val="VerbatimChar"/>
        </w:rPr>
        <w:t xml:space="preserve">   &amp;&amp; (public_funds || customer_interface)</w:t>
      </w:r>
      <w:r>
        <w:br/>
      </w:r>
      <w:r>
        <w:rPr>
          <w:rStyle w:val="VerbatimChar"/>
        </w:rPr>
        <w:t xml:space="preserve">   &amp;&amp; !(nofhc || p2p || aa || mgc))</w:t>
      </w:r>
    </w:p>
    <w:p>
      <w:pPr>
        <w:pStyle w:val="FirstParagraph"/>
      </w:pPr>
      <w:r>
        <w:rPr>
          <w:bCs/>
          <w:b/>
        </w:rPr>
        <w:t xml:space="preserve">Evaluation.</w:t>
      </w:r>
      <w:r>
        <w:t xml:space="preserve"> </w:t>
      </w:r>
      <w:r>
        <w:t xml:space="preserve">The engine runs at onboarding, at each financial-year start, on any profile change and on any registry version change. Inputs are effective-dated: a layer or category change applies from the date in the RBI letter or the SBR test date, and an obligation starts with the first reference date on or after that date. It writes an</w:t>
      </w:r>
      <w:r>
        <w:t xml:space="preserve"> </w:t>
      </w:r>
      <w:r>
        <w:rPr>
          <w:rStyle w:val="VerbatimChar"/>
        </w:rPr>
        <w:t xml:space="preserve">applicability_decision</w:t>
      </w:r>
      <w:r>
        <w:t xml:space="preserve"> </w:t>
      </w:r>
      <w:r>
        <w:t xml:space="preserve">(rule version, inputs hash, result, citation) and creates or cancels</w:t>
      </w:r>
      <w:r>
        <w:t xml:space="preserve"> </w:t>
      </w:r>
      <w:r>
        <w:rPr>
          <w:rStyle w:val="VerbatimChar"/>
        </w:rPr>
        <w:t xml:space="preserve">return_due_instance</w:t>
      </w:r>
      <w:r>
        <w:t xml:space="preserve"> </w:t>
      </w:r>
      <w:r>
        <w:t xml:space="preserve">rows. Removing an obligation never deletes past instances; future ones close with reason</w:t>
      </w:r>
      <w:r>
        <w:t xml:space="preserve"> </w:t>
      </w:r>
      <w:r>
        <w:rPr>
          <w:rStyle w:val="VerbatimChar"/>
        </w:rPr>
        <w:t xml:space="preserve">APPLICABILITY_CHANGED</w:t>
      </w:r>
      <w:r>
        <w:t xml:space="preserve">. A per-entity applicability matrix (returns × reasons) is rendered from the decisions for the CCO and auditors.</w:t>
      </w:r>
    </w:p>
    <w:bookmarkEnd w:id="221"/>
    <w:bookmarkStart w:id="222" w:name="Xa6f0859f8c39b28991a89cedd610075b535a45d"/>
    <w:p>
      <w:pPr>
        <w:pStyle w:val="Heading3"/>
      </w:pPr>
      <w:r>
        <w:t xml:space="preserve">RR1.4 Conflict rule: RBI web list versus the Direction</w:t>
      </w:r>
    </w:p>
    <w:p>
      <w:pPr>
        <w:pStyle w:val="FirstParagraph"/>
      </w:pPr>
      <w:r>
        <w:rPr>
          <w:bCs/>
          <w:b/>
        </w:rPr>
        <w:t xml:space="preserve">Rule [REC].</w:t>
      </w:r>
      <w:r>
        <w:t xml:space="preserve"> </w:t>
      </w:r>
      <w:r>
        <w:t xml:space="preserve">The binding Direction prevails. When the RBI list of returns, a portal help note or an FAQ differs from the Direction, the registry follows the Direction, writes a</w:t>
      </w:r>
      <w:r>
        <w:t xml:space="preserve"> </w:t>
      </w:r>
      <w:r>
        <w:rPr>
          <w:rStyle w:val="VerbatimChar"/>
        </w:rPr>
        <w:t xml:space="preserve">registry_variance</w:t>
      </w:r>
      <w:r>
        <w:t xml:space="preserve"> </w:t>
      </w:r>
      <w:r>
        <w:t xml:space="preserve">(return, field, Direction text and citation, web text and URL, fetch date, decision, approver, review date) and raises a CCO task to seek clarification from RBI DoS where the variance is material. The variance list is shown on the compliance dashboard and in the evidence pack of every affected filing.</w:t>
      </w:r>
    </w:p>
    <w:p>
      <w:pPr>
        <w:pStyle w:val="BodyText"/>
      </w:pPr>
      <w:r>
        <w:rPr>
          <w:bCs/>
          <w:b/>
        </w:rPr>
        <w:t xml:space="preserve">Known variances at v1.5:</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73"/>
        <w:gridCol w:w="960"/>
        <w:gridCol w:w="2296"/>
        <w:gridCol w:w="2717"/>
        <w:gridCol w:w="2792"/>
      </w:tblGrid>
      <w:tr>
        <w:trPr>
          <w:tblHeader w:val="true"/>
          <w:tblHeader w:val="true"/>
        </w:trPr>
        <w:tc>
          <w:tcPr>
            <w:tcW w:w="873" w:type="dxa"/>
            <w:shd w:val="clear" w:color="auto" w:fill="1F3A5F"/>
          </w:tcPr>
          <w:p>
            <w:pPr>
              <w:pStyle w:val="Compact"/>
              <w:spacing w:after="40"/>
              <w:jc w:val="left"/>
            </w:pPr>
            <w:r>
              <w:rPr>
                <w:b/>
                <w:color w:val="FFFFFF"/>
                <w:sz w:val="18"/>
              </w:rPr>
              <w:t xml:space="preserve">#</w:t>
            </w:r>
          </w:p>
        </w:tc>
        <w:tc>
          <w:tcPr>
            <w:tcW w:w="960" w:type="dxa"/>
            <w:shd w:val="clear" w:color="auto" w:fill="1F3A5F"/>
          </w:tcPr>
          <w:p>
            <w:pPr>
              <w:pStyle w:val="Compact"/>
              <w:spacing w:after="40"/>
              <w:jc w:val="left"/>
            </w:pPr>
            <w:r>
              <w:rPr>
                <w:b/>
                <w:color w:val="FFFFFF"/>
                <w:sz w:val="18"/>
              </w:rPr>
              <w:t xml:space="preserve">Return</w:t>
            </w:r>
          </w:p>
        </w:tc>
        <w:tc>
          <w:tcPr>
            <w:tcW w:w="2296" w:type="dxa"/>
            <w:shd w:val="clear" w:color="auto" w:fill="1F3A5F"/>
          </w:tcPr>
          <w:p>
            <w:pPr>
              <w:pStyle w:val="Compact"/>
              <w:spacing w:after="40"/>
              <w:jc w:val="left"/>
            </w:pPr>
            <w:r>
              <w:rPr>
                <w:b/>
                <w:color w:val="FFFFFF"/>
                <w:sz w:val="18"/>
              </w:rPr>
              <w:t xml:space="preserve">Web list (23 Oct 2026)</w:t>
            </w:r>
          </w:p>
        </w:tc>
        <w:tc>
          <w:tcPr>
            <w:tcW w:w="2717" w:type="dxa"/>
            <w:shd w:val="clear" w:color="auto" w:fill="1F3A5F"/>
          </w:tcPr>
          <w:p>
            <w:pPr>
              <w:pStyle w:val="Compact"/>
              <w:spacing w:after="40"/>
              <w:jc w:val="left"/>
            </w:pPr>
            <w:r>
              <w:rPr>
                <w:b/>
                <w:color w:val="FFFFFF"/>
                <w:sz w:val="18"/>
              </w:rPr>
              <w:t xml:space="preserve">Direction</w:t>
            </w:r>
          </w:p>
        </w:tc>
        <w:tc>
          <w:tcPr>
            <w:tcW w:w="2792" w:type="dxa"/>
            <w:shd w:val="clear" w:color="auto" w:fill="1F3A5F"/>
          </w:tcPr>
          <w:p>
            <w:pPr>
              <w:pStyle w:val="Compact"/>
              <w:spacing w:after="40"/>
              <w:jc w:val="left"/>
            </w:pPr>
            <w:r>
              <w:rPr>
                <w:b/>
                <w:color w:val="FFFFFF"/>
                <w:sz w:val="18"/>
              </w:rPr>
              <w:t xml:space="preserve">Registry decision</w:t>
            </w:r>
          </w:p>
        </w:tc>
      </w:tr>
      <w:tr>
        <w:tc>
          <w:tcPr>
            <w:tcW w:w="873" w:type="dxa"/>
          </w:tcPr>
          <w:p>
            <w:pPr>
              <w:pStyle w:val="Compact"/>
              <w:spacing w:after="40"/>
              <w:jc w:val="left"/>
            </w:pPr>
            <w:r>
              <w:rPr>
                <w:sz w:val="18"/>
              </w:rPr>
              <w:t xml:space="preserve">1</w:t>
            </w:r>
          </w:p>
        </w:tc>
        <w:tc>
          <w:tcPr>
            <w:tcW w:w="960" w:type="dxa"/>
          </w:tcPr>
          <w:p>
            <w:pPr>
              <w:pStyle w:val="Compact"/>
              <w:spacing w:after="40"/>
              <w:jc w:val="left"/>
            </w:pPr>
            <w:r>
              <w:rPr>
                <w:sz w:val="18"/>
              </w:rPr>
              <w:t xml:space="preserve">DNBS04A/04B</w:t>
            </w:r>
          </w:p>
        </w:tc>
        <w:tc>
          <w:tcPr>
            <w:tcW w:w="2296" w:type="dxa"/>
          </w:tcPr>
          <w:p>
            <w:pPr>
              <w:pStyle w:val="Compact"/>
              <w:spacing w:after="40"/>
              <w:jc w:val="left"/>
            </w:pPr>
            <w:r>
              <w:rPr>
                <w:sz w:val="18"/>
              </w:rPr>
              <w:t xml:space="preserve">BL</w:t>
            </w:r>
            <w:r>
              <w:rPr>
                <w:sz w:val="18"/>
              </w:rPr>
              <w:t xml:space="preserve"> </w:t>
            </w:r>
            <w:r>
              <w:rPr>
                <w:sz w:val="18"/>
              </w:rPr>
              <w:t xml:space="preserve">“</w:t>
            </w:r>
            <w:r>
              <w:rPr>
                <w:sz w:val="18"/>
              </w:rPr>
              <w:t xml:space="preserve">₹500 crore and above (at sole or group level) which are ICCs, MFIs, Factors</w:t>
            </w:r>
            <w:r>
              <w:rPr>
                <w:sz w:val="18"/>
              </w:rPr>
              <w:t xml:space="preserve">”</w:t>
            </w:r>
          </w:p>
        </w:tc>
        <w:tc>
          <w:tcPr>
            <w:tcW w:w="2717" w:type="dxa"/>
          </w:tcPr>
          <w:p>
            <w:pPr>
              <w:pStyle w:val="Compact"/>
              <w:spacing w:after="40"/>
              <w:jc w:val="left"/>
            </w:pPr>
            <w:r>
              <w:rPr>
                <w:sz w:val="18"/>
              </w:rPr>
              <w:t xml:space="preserve">BL ≥ ₹100 crore solely or at group level, with exclusions (SR para 21 item 4)</w:t>
            </w:r>
          </w:p>
        </w:tc>
        <w:tc>
          <w:tcPr>
            <w:tcW w:w="2792" w:type="dxa"/>
          </w:tcPr>
          <w:p>
            <w:pPr>
              <w:pStyle w:val="Compact"/>
              <w:spacing w:after="40"/>
              <w:jc w:val="left"/>
            </w:pPr>
            <w:r>
              <w:rPr>
                <w:sz w:val="18"/>
              </w:rPr>
              <w:t xml:space="preserve">Follow SR: ₹100 crore</w:t>
            </w:r>
          </w:p>
        </w:tc>
      </w:tr>
      <w:tr>
        <w:tc>
          <w:tcPr>
            <w:tcW w:w="873" w:type="dxa"/>
          </w:tcPr>
          <w:p>
            <w:pPr>
              <w:pStyle w:val="Compact"/>
              <w:spacing w:after="40"/>
              <w:jc w:val="left"/>
            </w:pPr>
            <w:r>
              <w:rPr>
                <w:sz w:val="18"/>
              </w:rPr>
              <w:t xml:space="preserve">2</w:t>
            </w:r>
          </w:p>
        </w:tc>
        <w:tc>
          <w:tcPr>
            <w:tcW w:w="960" w:type="dxa"/>
          </w:tcPr>
          <w:p>
            <w:pPr>
              <w:pStyle w:val="Compact"/>
              <w:spacing w:after="40"/>
              <w:jc w:val="left"/>
            </w:pPr>
            <w:r>
              <w:rPr>
                <w:sz w:val="18"/>
              </w:rPr>
              <w:t xml:space="preserve">DNBS08/DNBS09</w:t>
            </w:r>
          </w:p>
        </w:tc>
        <w:tc>
          <w:tcPr>
            <w:tcW w:w="2296" w:type="dxa"/>
          </w:tcPr>
          <w:p>
            <w:pPr>
              <w:pStyle w:val="Compact"/>
              <w:spacing w:after="40"/>
              <w:jc w:val="left"/>
            </w:pPr>
            <w:r>
              <w:rPr>
                <w:sz w:val="18"/>
              </w:rPr>
              <w:t xml:space="preserve">₹500 crore read as applying to ICCs, MFIs and Factors</w:t>
            </w:r>
          </w:p>
        </w:tc>
        <w:tc>
          <w:tcPr>
            <w:tcW w:w="2717" w:type="dxa"/>
          </w:tcPr>
          <w:p>
            <w:pPr>
              <w:pStyle w:val="Compact"/>
              <w:spacing w:after="40"/>
              <w:jc w:val="left"/>
            </w:pPr>
            <w:r>
              <w:rPr>
                <w:sz w:val="18"/>
              </w:rPr>
              <w:t xml:space="preserve">SR para 21 item 5 places the qualifier after</w:t>
            </w:r>
            <w:r>
              <w:rPr>
                <w:sz w:val="18"/>
              </w:rPr>
              <w:t xml:space="preserve"> </w:t>
            </w:r>
            <w:r>
              <w:rPr>
                <w:sz w:val="18"/>
              </w:rPr>
              <w:t xml:space="preserve">“</w:t>
            </w:r>
            <w:r>
              <w:rPr>
                <w:sz w:val="18"/>
              </w:rPr>
              <w:t xml:space="preserve">Factors</w:t>
            </w:r>
            <w:r>
              <w:rPr>
                <w:sz w:val="18"/>
              </w:rPr>
              <w:t xml:space="preserve">”</w:t>
            </w:r>
            <w:r>
              <w:rPr>
                <w:sz w:val="18"/>
              </w:rPr>
              <w:t xml:space="preserve"> </w:t>
            </w:r>
            <w:r>
              <w:rPr>
                <w:sz w:val="18"/>
              </w:rPr>
              <w:t xml:space="preserve">only; RSA para 20 imposes CRILC on NBFCs within RSA scope</w:t>
            </w:r>
          </w:p>
        </w:tc>
        <w:tc>
          <w:tcPr>
            <w:tcW w:w="2792" w:type="dxa"/>
          </w:tcPr>
          <w:p>
            <w:pPr>
              <w:pStyle w:val="Compact"/>
              <w:spacing w:after="40"/>
              <w:jc w:val="left"/>
            </w:pPr>
            <w:r>
              <w:rPr>
                <w:sz w:val="18"/>
              </w:rPr>
              <w:t xml:space="preserve">Default ≥ ₹500 crore for all three BL categories, union with the RSA test, tenant toggle (RR8.1) [VERIFY with RBI DoS]</w:t>
            </w:r>
          </w:p>
        </w:tc>
      </w:tr>
      <w:tr>
        <w:tc>
          <w:tcPr>
            <w:tcW w:w="873" w:type="dxa"/>
          </w:tcPr>
          <w:p>
            <w:pPr>
              <w:pStyle w:val="Compact"/>
              <w:spacing w:after="40"/>
              <w:jc w:val="left"/>
            </w:pPr>
            <w:r>
              <w:rPr>
                <w:sz w:val="18"/>
              </w:rPr>
              <w:t xml:space="preserve">3</w:t>
            </w:r>
          </w:p>
        </w:tc>
        <w:tc>
          <w:tcPr>
            <w:tcW w:w="960" w:type="dxa"/>
          </w:tcPr>
          <w:p>
            <w:pPr>
              <w:pStyle w:val="Compact"/>
              <w:spacing w:after="40"/>
              <w:jc w:val="left"/>
            </w:pPr>
            <w:r>
              <w:rPr>
                <w:sz w:val="18"/>
              </w:rPr>
              <w:t xml:space="preserve">DNBS10, DNBS13</w:t>
            </w:r>
          </w:p>
        </w:tc>
        <w:tc>
          <w:tcPr>
            <w:tcW w:w="2296" w:type="dxa"/>
          </w:tcPr>
          <w:p>
            <w:pPr>
              <w:pStyle w:val="Compact"/>
              <w:spacing w:after="40"/>
              <w:jc w:val="left"/>
            </w:pPr>
            <w:r>
              <w:rPr>
                <w:sz w:val="18"/>
              </w:rPr>
              <w:t xml:space="preserve">Lists ARCs as filers</w:t>
            </w:r>
          </w:p>
        </w:tc>
        <w:tc>
          <w:tcPr>
            <w:tcW w:w="2717" w:type="dxa"/>
          </w:tcPr>
          <w:p>
            <w:pPr>
              <w:pStyle w:val="Compact"/>
              <w:spacing w:after="40"/>
              <w:jc w:val="left"/>
            </w:pPr>
            <w:r>
              <w:rPr>
                <w:sz w:val="18"/>
              </w:rPr>
              <w:t xml:space="preserve">NBFC SR covers NBFCs; ARCs file under the ARC Supervisory Returns Directions</w:t>
            </w:r>
          </w:p>
        </w:tc>
        <w:tc>
          <w:tcPr>
            <w:tcW w:w="2792" w:type="dxa"/>
          </w:tcPr>
          <w:p>
            <w:pPr>
              <w:pStyle w:val="Compact"/>
              <w:spacing w:after="40"/>
              <w:jc w:val="left"/>
            </w:pPr>
            <w:r>
              <w:rPr>
                <w:sz w:val="18"/>
              </w:rPr>
              <w:t xml:space="preserve">ARC rows sit under the ARC profile (RR1.5) [VERIFY: ARC SR number and table]</w:t>
            </w:r>
          </w:p>
        </w:tc>
      </w:tr>
      <w:tr>
        <w:tc>
          <w:tcPr>
            <w:tcW w:w="873" w:type="dxa"/>
          </w:tcPr>
          <w:p>
            <w:pPr>
              <w:pStyle w:val="Compact"/>
              <w:spacing w:after="40"/>
              <w:jc w:val="left"/>
            </w:pPr>
            <w:r>
              <w:rPr>
                <w:sz w:val="18"/>
              </w:rPr>
              <w:t xml:space="preserve">4</w:t>
            </w:r>
          </w:p>
        </w:tc>
        <w:tc>
          <w:tcPr>
            <w:tcW w:w="960" w:type="dxa"/>
          </w:tcPr>
          <w:p>
            <w:pPr>
              <w:pStyle w:val="Compact"/>
              <w:spacing w:after="40"/>
              <w:jc w:val="left"/>
            </w:pPr>
            <w:r>
              <w:rPr>
                <w:sz w:val="18"/>
              </w:rPr>
              <w:t xml:space="preserve">FORM-A-SA</w:t>
            </w:r>
          </w:p>
        </w:tc>
        <w:tc>
          <w:tcPr>
            <w:tcW w:w="2296" w:type="dxa"/>
          </w:tcPr>
          <w:p>
            <w:pPr>
              <w:pStyle w:val="Compact"/>
              <w:spacing w:after="40"/>
              <w:jc w:val="left"/>
            </w:pPr>
            <w:r>
              <w:rPr>
                <w:sz w:val="18"/>
              </w:rPr>
              <w:t xml:space="preserve">“</w:t>
            </w:r>
            <w:r>
              <w:rPr>
                <w:sz w:val="18"/>
              </w:rPr>
              <w:t xml:space="preserve">Hard copy / Digital, PDF</w:t>
            </w:r>
            <w:r>
              <w:rPr>
                <w:sz w:val="18"/>
              </w:rPr>
              <w:t xml:space="preserve">”</w:t>
            </w:r>
          </w:p>
        </w:tc>
        <w:tc>
          <w:tcPr>
            <w:tcW w:w="2717" w:type="dxa"/>
          </w:tcPr>
          <w:p>
            <w:pPr>
              <w:pStyle w:val="Compact"/>
              <w:spacing w:after="40"/>
              <w:jc w:val="left"/>
            </w:pPr>
            <w:r>
              <w:rPr>
                <w:sz w:val="18"/>
              </w:rPr>
              <w:t xml:space="preserve">SR para 18 requires online filing unless prescribed; SA para 30 prescribes the form</w:t>
            </w:r>
          </w:p>
        </w:tc>
        <w:tc>
          <w:tcPr>
            <w:tcW w:w="2792" w:type="dxa"/>
          </w:tcPr>
          <w:p>
            <w:pPr>
              <w:pStyle w:val="Compact"/>
              <w:spacing w:after="40"/>
              <w:jc w:val="left"/>
            </w:pPr>
            <w:r>
              <w:rPr>
                <w:sz w:val="18"/>
              </w:rPr>
              <w:t xml:space="preserve">Generate PDF; channel per SA para 30 and RBI advice [VERIFY]</w:t>
            </w:r>
          </w:p>
        </w:tc>
      </w:tr>
    </w:tbl>
    <w:p>
      <w:pPr>
        <w:pStyle w:val="BodyText"/>
      </w:pPr>
      <w:r>
        <w:t xml:space="preserve">Also logged: ALM para 58 still cites the repealed 2024 Filing Directions (read as SR); LEF quarterly under SR versus CON Annex I</w:t>
      </w:r>
      <w:r>
        <w:t xml:space="preserve"> </w:t>
      </w:r>
      <w:r>
        <w:t xml:space="preserve">“</w:t>
      </w:r>
      <w:r>
        <w:t xml:space="preserve">Return for the Month</w:t>
      </w:r>
      <w:r>
        <w:t xml:space="preserve">”</w:t>
      </w:r>
      <w:r>
        <w:t xml:space="preserve"> </w:t>
      </w:r>
      <w:r>
        <w:t xml:space="preserve">(8A.36.2 decision kept); the superseded</w:t>
      </w:r>
      <w:r>
        <w:t xml:space="preserve"> </w:t>
      </w:r>
      <w:r>
        <w:t xml:space="preserve">“</w:t>
      </w:r>
      <w:r>
        <w:t xml:space="preserve">28 Nov 2025</w:t>
      </w:r>
      <w:r>
        <w:t xml:space="preserve">”</w:t>
      </w:r>
      <w:r>
        <w:t xml:space="preserve"> </w:t>
      </w:r>
      <w:r>
        <w:t xml:space="preserve">SR reference.</w:t>
      </w:r>
    </w:p>
    <w:bookmarkEnd w:id="222"/>
    <w:bookmarkStart w:id="223" w:name="X1d4ea64f49c79d15476ade62fd83b4dc47bccb3"/>
    <w:p>
      <w:pPr>
        <w:pStyle w:val="Heading3"/>
      </w:pPr>
      <w:r>
        <w:t xml:space="preserve">RR1.5 Indicative inventories for other institution types</w:t>
      </w:r>
    </w:p>
    <w:p>
      <w:pPr>
        <w:pStyle w:val="FirstParagraph"/>
      </w:pPr>
      <w:r>
        <w:t xml:space="preserve">Rows below seed the registry with</w:t>
      </w:r>
      <w:r>
        <w:t xml:space="preserve"> </w:t>
      </w:r>
      <w:r>
        <w:rPr>
          <w:rStyle w:val="VerbatimChar"/>
        </w:rPr>
        <w:t xml:space="preserve">status = ACTIVE_UNVERIFIED</w:t>
      </w:r>
      <w:r>
        <w:t xml:space="preserve">. A row cannot generate a filing until a named reviewer confirms it against the primary text and sets</w:t>
      </w:r>
      <w:r>
        <w:t xml:space="preserve"> </w:t>
      </w:r>
      <w:r>
        <w:rPr>
          <w:rStyle w:val="VerbatimChar"/>
        </w:rPr>
        <w:t xml:space="preserve">verified_at</w:t>
      </w:r>
      <w:r>
        <w:t xml:space="preserve">. Part 7G (IP2–IP6) owns the institution profiles that switch these packs on.</w:t>
      </w:r>
    </w:p>
    <w:p>
      <w:pPr>
        <w:pStyle w:val="BodyText"/>
      </w:pPr>
      <w:r>
        <w:rPr>
          <w:bCs/>
          <w:b/>
        </w:rPr>
        <w:t xml:space="preserve">Commercial banks</w:t>
      </w:r>
      <w:r>
        <w:t xml:space="preserve"> </w:t>
      </w:r>
      <w:r>
        <w:t xml:space="preserve">(RBI (Commercial Banks – Supervisory Returns) Directions, 2026, RBI/DoS/2026-27/415; 37 returns [VERIFY each row]). Timelines (para 22): weekly by Wednesday of the following week;</w:t>
      </w:r>
      <w:r>
        <w:t xml:space="preserve"> </w:t>
      </w:r>
      <w:r>
        <w:rPr>
          <w:bCs/>
          <w:b/>
        </w:rPr>
        <w:t xml:space="preserve">fortnightly within 7 days of the 15th</w:t>
      </w:r>
      <w:r>
        <w:t xml:space="preserve">; monthly 15 days; quarterly, half-yearly and yearly 21 days; audited returns 5 working days from signing. Seed rows: Form A (NDTL/CRR, RBI Act s.42) fortnightly; Form VIII (SLR, BR Act s.24) monthly; Form IX (unclaimed, BR Act s.26) annual; BSR-1/BSR-2 quarterly; CPR half-yearly (provisional by end-June/December, audited by end-September); BLR-3/BLR-7 quarterly within 15 days; RFA within 7 days of detection (</w:t>
      </w:r>
      <w:r>
        <w:rPr>
          <w:bCs/>
          <w:b/>
        </w:rPr>
        <w:t xml:space="preserve">banks only; never built for NBFC tenants</w:t>
      </w:r>
      <w:r>
        <w:t xml:space="preserve">); Gold Metal Loans quarterly within 7 days; FMR/FUA/FMR4-RBR; CRILC, LCR, NSFR, LEF, SLS/IRS and RBS data (para 23; [VERIFY each]).</w:t>
      </w:r>
    </w:p>
    <w:p>
      <w:pPr>
        <w:pStyle w:val="BodyText"/>
      </w:pPr>
      <w:r>
        <w:rPr>
          <w:bCs/>
          <w:b/>
        </w:rPr>
        <w:t xml:space="preserve">UCBs</w:t>
      </w:r>
      <w:r>
        <w:t xml:space="preserve"> </w:t>
      </w:r>
      <w:r>
        <w:t xml:space="preserve">(RBI (Urban Co-operative Banks – Supervisory Returns) Directions, 2026 [VERIFY: number]; RBI list rows 70–83, all CIMS template): Form I (CRR/SLR) monthly; Form B fortnightly (scheduled UCBs); RAL, ROE, RCL, RCP quarterly; RBP yearly; Form IX (assets and liabilities) and Form II (unsecured loans to directors) monthly; PSA quarterly or yearly (not salary earners’ banks); Form VIII (unclaimed) yearly; Dir-I, Dir-IV, Planning-3 quarterly; CRILC for UCBs with assets ≥ ₹500 crore and exposures ≥ ₹5 crore [VERIFY: UCB RSA para 12].</w:t>
      </w:r>
    </w:p>
    <w:p>
      <w:pPr>
        <w:pStyle w:val="BodyText"/>
      </w:pPr>
      <w:r>
        <w:rPr>
          <w:bCs/>
          <w:b/>
        </w:rPr>
        <w:t xml:space="preserve">StCBs and DCCBs</w:t>
      </w:r>
      <w:r>
        <w:t xml:space="preserve"> </w:t>
      </w:r>
      <w:r>
        <w:t xml:space="preserve">(no SR Direction in the 31 Jul 2026 set; RBI list rows 64–69, CIMS template): Form I (SLR) monthly; Form II monthly; Form IX monthly; Form VIII annual as on 31 December; sectoral deposits half-yearly; Form B (StCB CRR) fortnightly. Supervisory returns to NABARD on ENSURE (RR4.4).</w:t>
      </w:r>
    </w:p>
    <w:p>
      <w:pPr>
        <w:pStyle w:val="BodyText"/>
      </w:pPr>
      <w:r>
        <w:rPr>
          <w:bCs/>
          <w:b/>
        </w:rPr>
        <w:t xml:space="preserve">ARCs</w:t>
      </w:r>
      <w:r>
        <w:t xml:space="preserve"> </w:t>
      </w:r>
      <w:r>
        <w:t xml:space="preserve">(ARC Supervisory Returns Directions, 2026 [VERIFY: number and table]; RBI (Asset Reconstruction Companies) Directions, 2025, DoR.FIN.REC.No.293/26.03.001/2025-26): DNBS07 quarterly on CIMS; DNBS10 and DNBS13 per the RBI list; returns (ARC para 151); audited balance sheet to the Regional Office within 1 month of the AGM (para 152); monthly website possession list (para 154); CERSAI and information-utility filings (paras 158–162) [VERIFY: paragraph numbers]; CIC reporting [VERIFY].</w:t>
      </w:r>
    </w:p>
    <w:p>
      <w:pPr>
        <w:pStyle w:val="BodyText"/>
      </w:pPr>
      <w:r>
        <w:rPr>
          <w:bCs/>
          <w:b/>
        </w:rPr>
        <w:t xml:space="preserve">IFSCA Finance Companies and Finance Units:</w:t>
      </w:r>
      <w:r>
        <w:t xml:space="preserve"> </w:t>
      </w:r>
      <w:r>
        <w:t xml:space="preserve">reports as IFSCA specifies,</w:t>
      </w:r>
      <w:r>
        <w:t xml:space="preserve"> </w:t>
      </w:r>
      <w:r>
        <w:rPr>
          <w:bCs/>
          <w:b/>
        </w:rPr>
        <w:t xml:space="preserve">in USD</w:t>
      </w:r>
      <w:r>
        <w:t xml:space="preserve"> </w:t>
      </w:r>
      <w:r>
        <w:t xml:space="preserve">(IFSCA-FC reg 9) [VERIFY: list, frequency, portal]; FIU-IND reporting [VERIFY]; FEMA/ECB reporting where lending into India [VERIFY].</w:t>
      </w:r>
    </w:p>
    <w:p>
      <w:pPr>
        <w:pStyle w:val="BodyText"/>
      </w:pPr>
      <w:r>
        <w:rPr>
          <w:bCs/>
          <w:b/>
        </w:rPr>
        <w:t xml:space="preserve">Credit co-operative societies</w:t>
      </w:r>
      <w:r>
        <w:t xml:space="preserve"> </w:t>
      </w:r>
      <w:r>
        <w:t xml:space="preserve">(no RBI returns): MSCS s.120 annual return within 6 months and quarterly CRCS returns (MSCS) [VERIFY]; State Act returns, e.g. Maharashtra s.79(1A) (SCS) [VERIFY per state]; late returns can disqualify directors (MSCS s.43(2)(e)–(f)) [VERIFY]; CIC reporting only as a CIC member (RR6.1).</w:t>
      </w:r>
    </w:p>
    <w:bookmarkEnd w:id="223"/>
    <w:bookmarkStart w:id="224" w:name="acceptance-tests-2"/>
    <w:p>
      <w:pPr>
        <w:pStyle w:val="Heading3"/>
      </w:pPr>
      <w:r>
        <w:t xml:space="preserve">Acceptance tests</w:t>
      </w:r>
    </w:p>
    <w:p>
      <w:pPr>
        <w:numPr>
          <w:ilvl w:val="0"/>
          <w:numId w:val="1269"/>
        </w:numPr>
        <w:pStyle w:val="Compact"/>
      </w:pPr>
      <w:r>
        <w:t xml:space="preserve">Loading the SR table yields exactly 21 return definitions (the 20 items of SR para 21, with item 4 split into DNBS04A and DNBS04B); each resolves its citation to the stored SR paragraph text.</w:t>
      </w:r>
    </w:p>
    <w:p>
      <w:pPr>
        <w:numPr>
          <w:ilvl w:val="0"/>
          <w:numId w:val="1269"/>
        </w:numPr>
        <w:pStyle w:val="Compact"/>
      </w:pPr>
      <w:r>
        <w:t xml:space="preserve">A BL ICC with solo assets ₹80 crore and group assets ₹120 crore, with public funds, gets DNBS04A and DNBS04B; the same entity with no public funds and no customer interface does not.</w:t>
      </w:r>
    </w:p>
    <w:p>
      <w:pPr>
        <w:numPr>
          <w:ilvl w:val="0"/>
          <w:numId w:val="1269"/>
        </w:numPr>
        <w:pStyle w:val="Compact"/>
      </w:pPr>
      <w:r>
        <w:t xml:space="preserve">A variance row is required before a registry version differing from the cached RBI list can be activated; the activation log shows the approver.</w:t>
      </w:r>
    </w:p>
    <w:p>
      <w:pPr>
        <w:numPr>
          <w:ilvl w:val="0"/>
          <w:numId w:val="1269"/>
        </w:numPr>
        <w:pStyle w:val="Compact"/>
      </w:pPr>
      <w:r>
        <w:t xml:space="preserve">Changing an entity from ML to BL closes future DNBS01/DNBS03 instances with</w:t>
      </w:r>
      <w:r>
        <w:t xml:space="preserve"> </w:t>
      </w:r>
      <w:r>
        <w:rPr>
          <w:rStyle w:val="VerbatimChar"/>
        </w:rPr>
        <w:t xml:space="preserve">APPLICABILITY_CHANGED</w:t>
      </w:r>
      <w:r>
        <w:t xml:space="preserve">, opens DNBS02 from the next quarter-end, and keeps all past runs readable.</w:t>
      </w:r>
    </w:p>
    <w:p>
      <w:pPr>
        <w:numPr>
          <w:ilvl w:val="0"/>
          <w:numId w:val="1269"/>
        </w:numPr>
        <w:pStyle w:val="Compact"/>
      </w:pPr>
      <w:r>
        <w:t xml:space="preserve">A UCB pack row with</w:t>
      </w:r>
      <w:r>
        <w:t xml:space="preserve"> </w:t>
      </w:r>
      <w:r>
        <w:rPr>
          <w:rStyle w:val="VerbatimChar"/>
        </w:rPr>
        <w:t xml:space="preserve">ACTIVE_UNVERIFIED</w:t>
      </w:r>
      <w:r>
        <w:t xml:space="preserve"> </w:t>
      </w:r>
      <w:r>
        <w:t xml:space="preserve">cannot reach</w:t>
      </w:r>
      <w:r>
        <w:t xml:space="preserve"> </w:t>
      </w:r>
      <w:r>
        <w:rPr>
          <w:rStyle w:val="VerbatimChar"/>
        </w:rPr>
        <w:t xml:space="preserve">GENERATED</w:t>
      </w:r>
      <w:r>
        <w:t xml:space="preserve">.</w:t>
      </w:r>
    </w:p>
    <w:p>
      <w:r>
        <w:pict>
          <v:rect style="width:0;height:1.5pt" o:hralign="center" o:hrstd="t" o:hr="t"/>
        </w:pict>
      </w:r>
    </w:p>
    <w:bookmarkEnd w:id="224"/>
    <w:bookmarkEnd w:id="225"/>
    <w:bookmarkStart w:id="230" w:name="Xe1b3eb810ff46f74742ec9dccb8d1155be69fc6"/>
    <w:p>
      <w:pPr>
        <w:pStyle w:val="Heading2"/>
      </w:pPr>
      <w:r>
        <w:t xml:space="preserve">RR2. Element-based data dictionary and lineage</w:t>
      </w:r>
    </w:p>
    <w:p>
      <w:pPr>
        <w:pStyle w:val="FirstParagraph"/>
      </w:pPr>
      <w:r>
        <w:rPr>
          <w:bCs/>
          <w:b/>
        </w:rPr>
        <w:t xml:space="preserve">Purpose.</w:t>
      </w:r>
      <w:r>
        <w:t xml:space="preserve"> </w:t>
      </w:r>
      <w:r>
        <w:t xml:space="preserve">Generate returns from governed data elements, not from report queries, so that every cell is defined once, reconciled to the books and traceable to source records (SR paras 7, 12, 14–17).</w:t>
      </w:r>
    </w:p>
    <w:bookmarkStart w:id="226" w:name="rr2.1-data-elements"/>
    <w:p>
      <w:pPr>
        <w:pStyle w:val="Heading3"/>
      </w:pPr>
      <w:r>
        <w:t xml:space="preserve">RR2.1 Data elements</w:t>
      </w:r>
    </w:p>
    <w:p>
      <w:pPr>
        <w:numPr>
          <w:ilvl w:val="0"/>
          <w:numId w:val="1270"/>
        </w:numPr>
        <w:pStyle w:val="Compact"/>
      </w:pPr>
      <w:r>
        <w:rPr>
          <w:rStyle w:val="VerbatimChar"/>
        </w:rPr>
        <w:t xml:space="preserve">data_element</w:t>
      </w:r>
      <w:r>
        <w:t xml:space="preserve">: id, label, definition,</w:t>
      </w:r>
      <w:r>
        <w:t xml:space="preserve"> </w:t>
      </w:r>
      <w:r>
        <w:rPr>
          <w:bCs/>
          <w:b/>
        </w:rPr>
        <w:t xml:space="preserve">RBI harmonised definition reference</w:t>
      </w:r>
      <w:r>
        <w:t xml:space="preserve"> </w:t>
      </w:r>
      <w:r>
        <w:t xml:space="preserve">where one exists (https://rbi.org.in/scripts/DataDefinition.aspx, updated 17 Jun 2026, with its validation-rules/taxonomy page), unit, sign, scale (₹, ₹ lakh, ₹ crore), rounding, owner (SR para 12), effective dates.</w:t>
      </w:r>
    </w:p>
    <w:p>
      <w:pPr>
        <w:numPr>
          <w:ilvl w:val="0"/>
          <w:numId w:val="1270"/>
        </w:numPr>
        <w:pStyle w:val="Compact"/>
      </w:pPr>
      <w:r>
        <w:rPr>
          <w:bCs/>
          <w:b/>
        </w:rPr>
        <w:t xml:space="preserve">Dimensions:</w:t>
      </w:r>
      <w:r>
        <w:t xml:space="preserve"> </w:t>
      </w:r>
      <w:r>
        <w:t xml:space="preserve">product; BSR sector; state, district, PIN; counterparty type; residency; ALM bucket; IRACP class; Ind AS stage; SMA status; solo or group; currency.</w:t>
      </w:r>
    </w:p>
    <w:p>
      <w:pPr>
        <w:numPr>
          <w:ilvl w:val="0"/>
          <w:numId w:val="1270"/>
        </w:numPr>
        <w:pStyle w:val="Compact"/>
      </w:pPr>
      <w:r>
        <w:t xml:space="preserve">One element serves many outputs:</w:t>
      </w:r>
      <w:r>
        <w:t xml:space="preserve"> </w:t>
      </w:r>
      <w:r>
        <w:t xml:space="preserve">“</w:t>
      </w:r>
      <w:r>
        <w:t xml:space="preserve">gross advances</w:t>
      </w:r>
      <w:r>
        <w:t xml:space="preserve">”</w:t>
      </w:r>
      <w:r>
        <w:t xml:space="preserve"> </w:t>
      </w:r>
      <w:r>
        <w:t xml:space="preserve">feeds DNBS01/02, DNBS03, DNBS04B and the notes to accounts (AC3).</w:t>
      </w:r>
    </w:p>
    <w:bookmarkEnd w:id="226"/>
    <w:bookmarkStart w:id="227" w:name="rr2.2-source-mapping-to-finbyx"/>
    <w:p>
      <w:pPr>
        <w:pStyle w:val="Heading3"/>
      </w:pPr>
      <w:r>
        <w:t xml:space="preserve">RR2.2 Source mapping to Finbyx</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905"/>
        <w:gridCol w:w="4157"/>
        <w:gridCol w:w="2576"/>
      </w:tblGrid>
      <w:tr>
        <w:trPr>
          <w:tblHeader w:val="true"/>
          <w:tblHeader w:val="true"/>
        </w:trPr>
        <w:tc>
          <w:tcPr>
            <w:tcW w:w="2905" w:type="dxa"/>
            <w:shd w:val="clear" w:color="auto" w:fill="1F3A5F"/>
          </w:tcPr>
          <w:p>
            <w:pPr>
              <w:pStyle w:val="Compact"/>
              <w:spacing w:after="40"/>
              <w:jc w:val="left"/>
            </w:pPr>
            <w:r>
              <w:rPr>
                <w:b/>
                <w:color w:val="FFFFFF"/>
                <w:sz w:val="18"/>
              </w:rPr>
              <w:t xml:space="preserve">Element family</w:t>
            </w:r>
          </w:p>
        </w:tc>
        <w:tc>
          <w:tcPr>
            <w:tcW w:w="4157" w:type="dxa"/>
            <w:shd w:val="clear" w:color="auto" w:fill="1F3A5F"/>
          </w:tcPr>
          <w:p>
            <w:pPr>
              <w:pStyle w:val="Compact"/>
              <w:spacing w:after="40"/>
              <w:jc w:val="left"/>
            </w:pPr>
            <w:r>
              <w:rPr>
                <w:b/>
                <w:color w:val="FFFFFF"/>
                <w:sz w:val="18"/>
              </w:rPr>
              <w:t xml:space="preserve">Finbyx source</w:t>
            </w:r>
          </w:p>
        </w:tc>
        <w:tc>
          <w:tcPr>
            <w:tcW w:w="2576" w:type="dxa"/>
            <w:shd w:val="clear" w:color="auto" w:fill="1F3A5F"/>
          </w:tcPr>
          <w:p>
            <w:pPr>
              <w:pStyle w:val="Compact"/>
              <w:spacing w:after="40"/>
              <w:jc w:val="left"/>
            </w:pPr>
            <w:r>
              <w:rPr>
                <w:b/>
                <w:color w:val="FFFFFF"/>
                <w:sz w:val="18"/>
              </w:rPr>
              <w:t xml:space="preserve">Aggregation</w:t>
            </w:r>
          </w:p>
        </w:tc>
      </w:tr>
      <w:tr>
        <w:tc>
          <w:tcPr>
            <w:tcW w:w="2905" w:type="dxa"/>
          </w:tcPr>
          <w:p>
            <w:pPr>
              <w:pStyle w:val="Compact"/>
              <w:spacing w:after="40"/>
              <w:jc w:val="left"/>
            </w:pPr>
            <w:r>
              <w:rPr>
                <w:sz w:val="18"/>
              </w:rPr>
              <w:t xml:space="preserve">Balance sheet and P&amp;L lines</w:t>
            </w:r>
          </w:p>
        </w:tc>
        <w:tc>
          <w:tcPr>
            <w:tcW w:w="4157" w:type="dxa"/>
          </w:tcPr>
          <w:p>
            <w:pPr>
              <w:pStyle w:val="Compact"/>
              <w:spacing w:after="40"/>
              <w:jc w:val="left"/>
            </w:pPr>
            <w:r>
              <w:rPr>
                <w:sz w:val="18"/>
              </w:rPr>
              <w:t xml:space="preserve">GL period balances by chart-of-accounts node (M10) via the Schedule III line map (AC3)</w:t>
            </w:r>
          </w:p>
        </w:tc>
        <w:tc>
          <w:tcPr>
            <w:tcW w:w="2576" w:type="dxa"/>
          </w:tcPr>
          <w:p>
            <w:pPr>
              <w:pStyle w:val="Compact"/>
              <w:spacing w:after="40"/>
              <w:jc w:val="left"/>
            </w:pPr>
            <w:r>
              <w:rPr>
                <w:sz w:val="18"/>
              </w:rPr>
              <w:t xml:space="preserve">Sum by node set; sign per element</w:t>
            </w:r>
          </w:p>
        </w:tc>
      </w:tr>
      <w:tr>
        <w:tc>
          <w:tcPr>
            <w:tcW w:w="2905" w:type="dxa"/>
          </w:tcPr>
          <w:p>
            <w:pPr>
              <w:pStyle w:val="Compact"/>
              <w:spacing w:after="40"/>
              <w:jc w:val="left"/>
            </w:pPr>
            <w:r>
              <w:rPr>
                <w:sz w:val="18"/>
              </w:rPr>
              <w:t xml:space="preserve">Advances, asset classification, provisions</w:t>
            </w:r>
          </w:p>
        </w:tc>
        <w:tc>
          <w:tcPr>
            <w:tcW w:w="4157" w:type="dxa"/>
          </w:tcPr>
          <w:p>
            <w:pPr>
              <w:pStyle w:val="Compact"/>
              <w:spacing w:after="40"/>
              <w:jc w:val="left"/>
            </w:pPr>
            <w:r>
              <w:rPr>
                <w:rStyle w:val="VerbatimChar"/>
                <w:sz w:val="18"/>
              </w:rPr>
              <w:t xml:space="preserve">loan_balance_snapshot</w:t>
            </w:r>
            <w:r>
              <w:rPr>
                <w:sz w:val="18"/>
              </w:rPr>
              <w:t xml:space="preserve">,</w:t>
            </w:r>
            <w:r>
              <w:rPr>
                <w:sz w:val="18"/>
              </w:rPr>
              <w:t xml:space="preserve"> </w:t>
            </w:r>
            <w:r>
              <w:rPr>
                <w:rStyle w:val="VerbatimChar"/>
                <w:sz w:val="18"/>
              </w:rPr>
              <w:t xml:space="preserve">classification_history</w:t>
            </w:r>
            <w:r>
              <w:rPr>
                <w:sz w:val="18"/>
              </w:rPr>
              <w:t xml:space="preserve">,</w:t>
            </w:r>
            <w:r>
              <w:rPr>
                <w:sz w:val="18"/>
              </w:rPr>
              <w:t xml:space="preserve"> </w:t>
            </w:r>
            <w:r>
              <w:rPr>
                <w:rStyle w:val="VerbatimChar"/>
                <w:sz w:val="18"/>
              </w:rPr>
              <w:t xml:space="preserve">provision_run</w:t>
            </w:r>
            <w:r>
              <w:rPr>
                <w:sz w:val="18"/>
              </w:rPr>
              <w:t xml:space="preserve">,</w:t>
            </w:r>
            <w:r>
              <w:rPr>
                <w:sz w:val="18"/>
              </w:rPr>
              <w:t xml:space="preserve"> </w:t>
            </w:r>
            <w:r>
              <w:rPr>
                <w:rStyle w:val="VerbatimChar"/>
                <w:sz w:val="18"/>
              </w:rPr>
              <w:t xml:space="preserve">ecl_run</w:t>
            </w:r>
            <w:r>
              <w:rPr>
                <w:sz w:val="18"/>
              </w:rPr>
              <w:t xml:space="preserve"> </w:t>
            </w:r>
            <w:r>
              <w:rPr>
                <w:sz w:val="18"/>
              </w:rPr>
              <w:t xml:space="preserve">(M6, M10)</w:t>
            </w:r>
          </w:p>
        </w:tc>
        <w:tc>
          <w:tcPr>
            <w:tcW w:w="2576" w:type="dxa"/>
          </w:tcPr>
          <w:p>
            <w:pPr>
              <w:pStyle w:val="Compact"/>
              <w:spacing w:after="40"/>
              <w:jc w:val="left"/>
            </w:pPr>
            <w:r>
              <w:rPr>
                <w:sz w:val="18"/>
              </w:rPr>
              <w:t xml:space="preserve">Sum, count, distinct borrower</w:t>
            </w:r>
          </w:p>
        </w:tc>
      </w:tr>
      <w:tr>
        <w:tc>
          <w:tcPr>
            <w:tcW w:w="2905" w:type="dxa"/>
          </w:tcPr>
          <w:p>
            <w:pPr>
              <w:pStyle w:val="Compact"/>
              <w:spacing w:after="40"/>
              <w:jc w:val="left"/>
            </w:pPr>
            <w:r>
              <w:rPr>
                <w:sz w:val="18"/>
              </w:rPr>
              <w:t xml:space="preserve">Sectoral and geographic credit</w:t>
            </w:r>
          </w:p>
        </w:tc>
        <w:tc>
          <w:tcPr>
            <w:tcW w:w="4157" w:type="dxa"/>
          </w:tcPr>
          <w:p>
            <w:pPr>
              <w:pStyle w:val="Compact"/>
              <w:spacing w:after="40"/>
              <w:jc w:val="left"/>
            </w:pPr>
            <w:r>
              <w:rPr>
                <w:sz w:val="18"/>
              </w:rPr>
              <w:t xml:space="preserve">Loan + borrower master (BSR code, district)</w:t>
            </w:r>
          </w:p>
        </w:tc>
        <w:tc>
          <w:tcPr>
            <w:tcW w:w="2576" w:type="dxa"/>
          </w:tcPr>
          <w:p>
            <w:pPr>
              <w:pStyle w:val="Compact"/>
              <w:spacing w:after="40"/>
              <w:jc w:val="left"/>
            </w:pPr>
            <w:r>
              <w:rPr>
                <w:sz w:val="18"/>
              </w:rPr>
              <w:t xml:space="preserve">Sum by dimension</w:t>
            </w:r>
          </w:p>
        </w:tc>
      </w:tr>
      <w:tr>
        <w:tc>
          <w:tcPr>
            <w:tcW w:w="2905" w:type="dxa"/>
          </w:tcPr>
          <w:p>
            <w:pPr>
              <w:pStyle w:val="Compact"/>
              <w:spacing w:after="40"/>
              <w:jc w:val="left"/>
            </w:pPr>
            <w:r>
              <w:rPr>
                <w:sz w:val="18"/>
              </w:rPr>
              <w:t xml:space="preserve">Exposure and concentration</w:t>
            </w:r>
          </w:p>
        </w:tc>
        <w:tc>
          <w:tcPr>
            <w:tcW w:w="4157" w:type="dxa"/>
          </w:tcPr>
          <w:p>
            <w:pPr>
              <w:pStyle w:val="Compact"/>
              <w:spacing w:after="40"/>
              <w:jc w:val="left"/>
            </w:pPr>
            <w:r>
              <w:rPr>
                <w:rStyle w:val="VerbatimChar"/>
                <w:sz w:val="18"/>
              </w:rPr>
              <w:t xml:space="preserve">exposure_snapshot</w:t>
            </w:r>
            <w:r>
              <w:rPr>
                <w:sz w:val="18"/>
              </w:rPr>
              <w:t xml:space="preserve"> </w:t>
            </w:r>
            <w:r>
              <w:rPr>
                <w:sz w:val="18"/>
              </w:rPr>
              <w:t xml:space="preserve">(M12; fund + non-fund, borrower and group level)</w:t>
            </w:r>
          </w:p>
        </w:tc>
        <w:tc>
          <w:tcPr>
            <w:tcW w:w="2576" w:type="dxa"/>
          </w:tcPr>
          <w:p>
            <w:pPr>
              <w:pStyle w:val="Compact"/>
              <w:spacing w:after="40"/>
              <w:jc w:val="left"/>
            </w:pPr>
            <w:r>
              <w:rPr>
                <w:sz w:val="18"/>
              </w:rPr>
              <w:t xml:space="preserve">Max, sum, top-N</w:t>
            </w:r>
          </w:p>
        </w:tc>
      </w:tr>
      <w:tr>
        <w:tc>
          <w:tcPr>
            <w:tcW w:w="2905" w:type="dxa"/>
          </w:tcPr>
          <w:p>
            <w:pPr>
              <w:pStyle w:val="Compact"/>
              <w:spacing w:after="40"/>
              <w:jc w:val="left"/>
            </w:pPr>
            <w:r>
              <w:rPr>
                <w:sz w:val="18"/>
              </w:rPr>
              <w:t xml:space="preserve">Liquidity and IRS</w:t>
            </w:r>
          </w:p>
        </w:tc>
        <w:tc>
          <w:tcPr>
            <w:tcW w:w="4157" w:type="dxa"/>
          </w:tcPr>
          <w:p>
            <w:pPr>
              <w:pStyle w:val="Compact"/>
              <w:spacing w:after="40"/>
              <w:jc w:val="left"/>
            </w:pPr>
            <w:r>
              <w:rPr>
                <w:rStyle w:val="VerbatimChar"/>
                <w:sz w:val="18"/>
              </w:rPr>
              <w:t xml:space="preserve">liquidity_run</w:t>
            </w:r>
            <w:r>
              <w:rPr>
                <w:sz w:val="18"/>
              </w:rPr>
              <w:t xml:space="preserve">, ALM slotting (M12, Part 8A.7)</w:t>
            </w:r>
          </w:p>
        </w:tc>
        <w:tc>
          <w:tcPr>
            <w:tcW w:w="2576" w:type="dxa"/>
          </w:tcPr>
          <w:p>
            <w:pPr>
              <w:pStyle w:val="Compact"/>
              <w:spacing w:after="40"/>
              <w:jc w:val="left"/>
            </w:pPr>
            <w:r>
              <w:rPr>
                <w:sz w:val="18"/>
              </w:rPr>
              <w:t xml:space="preserve">Bucket sums</w:t>
            </w:r>
          </w:p>
        </w:tc>
      </w:tr>
      <w:tr>
        <w:tc>
          <w:tcPr>
            <w:tcW w:w="2905" w:type="dxa"/>
          </w:tcPr>
          <w:p>
            <w:pPr>
              <w:pStyle w:val="Compact"/>
              <w:spacing w:after="40"/>
              <w:jc w:val="left"/>
            </w:pPr>
            <w:r>
              <w:rPr>
                <w:sz w:val="18"/>
              </w:rPr>
              <w:t xml:space="preserve">Capital</w:t>
            </w:r>
          </w:p>
        </w:tc>
        <w:tc>
          <w:tcPr>
            <w:tcW w:w="4157" w:type="dxa"/>
          </w:tcPr>
          <w:p>
            <w:pPr>
              <w:pStyle w:val="Compact"/>
              <w:spacing w:after="40"/>
              <w:jc w:val="left"/>
            </w:pPr>
            <w:r>
              <w:rPr>
                <w:rStyle w:val="VerbatimChar"/>
                <w:sz w:val="18"/>
              </w:rPr>
              <w:t xml:space="preserve">capital_run</w:t>
            </w:r>
            <w:r>
              <w:rPr>
                <w:sz w:val="18"/>
              </w:rPr>
              <w:t xml:space="preserve"> </w:t>
            </w:r>
            <w:r>
              <w:rPr>
                <w:sz w:val="18"/>
              </w:rPr>
              <w:t xml:space="preserve">(CAP Part 8A.24; Part 7E RK3)</w:t>
            </w:r>
          </w:p>
        </w:tc>
        <w:tc>
          <w:tcPr>
            <w:tcW w:w="2576" w:type="dxa"/>
          </w:tcPr>
          <w:p>
            <w:pPr>
              <w:pStyle w:val="Compact"/>
              <w:spacing w:after="40"/>
              <w:jc w:val="left"/>
            </w:pPr>
            <w:r>
              <w:rPr>
                <w:sz w:val="18"/>
              </w:rPr>
              <w:t xml:space="preserve">Ratio components</w:t>
            </w:r>
          </w:p>
        </w:tc>
      </w:tr>
      <w:tr>
        <w:tc>
          <w:tcPr>
            <w:tcW w:w="2905" w:type="dxa"/>
          </w:tcPr>
          <w:p>
            <w:pPr>
              <w:pStyle w:val="Compact"/>
              <w:spacing w:after="40"/>
              <w:jc w:val="left"/>
            </w:pPr>
            <w:r>
              <w:rPr>
                <w:sz w:val="18"/>
              </w:rPr>
              <w:t xml:space="preserve">CRILC and defaults</w:t>
            </w:r>
          </w:p>
        </w:tc>
        <w:tc>
          <w:tcPr>
            <w:tcW w:w="4157" w:type="dxa"/>
          </w:tcPr>
          <w:p>
            <w:pPr>
              <w:pStyle w:val="Compact"/>
              <w:spacing w:after="40"/>
              <w:jc w:val="left"/>
            </w:pPr>
            <w:r>
              <w:rPr>
                <w:rStyle w:val="VerbatimChar"/>
                <w:sz w:val="18"/>
              </w:rPr>
              <w:t xml:space="preserve">exposure_snapshot</w:t>
            </w:r>
            <w:r>
              <w:rPr>
                <w:sz w:val="18"/>
              </w:rPr>
              <w:t xml:space="preserve"> </w:t>
            </w:r>
            <w:r>
              <w:rPr>
                <w:sz w:val="18"/>
              </w:rPr>
              <w:t xml:space="preserve">≥ ₹5 crore, SMA events</w:t>
            </w:r>
          </w:p>
        </w:tc>
        <w:tc>
          <w:tcPr>
            <w:tcW w:w="2576" w:type="dxa"/>
          </w:tcPr>
          <w:p>
            <w:pPr>
              <w:pStyle w:val="Compact"/>
              <w:spacing w:after="40"/>
              <w:jc w:val="left"/>
            </w:pPr>
            <w:r>
              <w:rPr>
                <w:sz w:val="18"/>
              </w:rPr>
              <w:t xml:space="preserve">Borrower list</w:t>
            </w:r>
          </w:p>
        </w:tc>
      </w:tr>
      <w:tr>
        <w:tc>
          <w:tcPr>
            <w:tcW w:w="2905" w:type="dxa"/>
          </w:tcPr>
          <w:p>
            <w:pPr>
              <w:pStyle w:val="Compact"/>
              <w:spacing w:after="40"/>
              <w:jc w:val="left"/>
            </w:pPr>
            <w:r>
              <w:rPr>
                <w:sz w:val="18"/>
              </w:rPr>
              <w:t xml:space="preserve">Overseas investment</w:t>
            </w:r>
          </w:p>
        </w:tc>
        <w:tc>
          <w:tcPr>
            <w:tcW w:w="4157" w:type="dxa"/>
          </w:tcPr>
          <w:p>
            <w:pPr>
              <w:pStyle w:val="Compact"/>
              <w:spacing w:after="40"/>
              <w:jc w:val="left"/>
            </w:pPr>
            <w:r>
              <w:rPr>
                <w:rStyle w:val="VerbatimChar"/>
                <w:sz w:val="18"/>
              </w:rPr>
              <w:t xml:space="preserve">investment_holding</w:t>
            </w:r>
            <w:r>
              <w:rPr>
                <w:sz w:val="18"/>
              </w:rPr>
              <w:t xml:space="preserve"> </w:t>
            </w:r>
            <w:r>
              <w:rPr>
                <w:sz w:val="18"/>
              </w:rPr>
              <w:t xml:space="preserve">with residency (M10 item 7A; Part 7H)</w:t>
            </w:r>
          </w:p>
        </w:tc>
        <w:tc>
          <w:tcPr>
            <w:tcW w:w="2576" w:type="dxa"/>
          </w:tcPr>
          <w:p>
            <w:pPr>
              <w:pStyle w:val="Compact"/>
              <w:spacing w:after="40"/>
              <w:jc w:val="left"/>
            </w:pPr>
            <w:r>
              <w:rPr>
                <w:sz w:val="18"/>
              </w:rPr>
              <w:t xml:space="preserve">Sum; NIL if empty</w:t>
            </w:r>
          </w:p>
        </w:tc>
      </w:tr>
      <w:tr>
        <w:tc>
          <w:tcPr>
            <w:tcW w:w="2905" w:type="dxa"/>
          </w:tcPr>
          <w:p>
            <w:pPr>
              <w:pStyle w:val="Compact"/>
              <w:spacing w:after="40"/>
              <w:jc w:val="left"/>
            </w:pPr>
            <w:r>
              <w:rPr>
                <w:sz w:val="18"/>
              </w:rPr>
              <w:t xml:space="preserve">Fraud, RBR, DLA</w:t>
            </w:r>
          </w:p>
        </w:tc>
        <w:tc>
          <w:tcPr>
            <w:tcW w:w="4157" w:type="dxa"/>
          </w:tcPr>
          <w:p>
            <w:pPr>
              <w:pStyle w:val="Compact"/>
              <w:spacing w:after="40"/>
              <w:jc w:val="left"/>
            </w:pPr>
            <w:r>
              <w:rPr>
                <w:rStyle w:val="VerbatimChar"/>
                <w:sz w:val="18"/>
              </w:rPr>
              <w:t xml:space="preserve">fraud_case</w:t>
            </w:r>
            <w:r>
              <w:rPr>
                <w:sz w:val="18"/>
              </w:rPr>
              <w:t xml:space="preserve">,</w:t>
            </w:r>
            <w:r>
              <w:rPr>
                <w:sz w:val="18"/>
              </w:rPr>
              <w:t xml:space="preserve"> </w:t>
            </w:r>
            <w:r>
              <w:rPr>
                <w:rStyle w:val="VerbatimChar"/>
                <w:sz w:val="18"/>
              </w:rPr>
              <w:t xml:space="preserve">rbr_report</w:t>
            </w:r>
            <w:r>
              <w:rPr>
                <w:sz w:val="18"/>
              </w:rPr>
              <w:t xml:space="preserve">,</w:t>
            </w:r>
            <w:r>
              <w:rPr>
                <w:sz w:val="18"/>
              </w:rPr>
              <w:t xml:space="preserve"> </w:t>
            </w:r>
            <w:r>
              <w:rPr>
                <w:rStyle w:val="VerbatimChar"/>
                <w:sz w:val="18"/>
              </w:rPr>
              <w:t xml:space="preserve">dla_register</w:t>
            </w:r>
          </w:p>
        </w:tc>
        <w:tc>
          <w:tcPr>
            <w:tcW w:w="2576" w:type="dxa"/>
          </w:tcPr>
          <w:p>
            <w:pPr>
              <w:pStyle w:val="Compact"/>
              <w:spacing w:after="40"/>
              <w:jc w:val="left"/>
            </w:pPr>
            <w:r>
              <w:rPr>
                <w:sz w:val="18"/>
              </w:rPr>
              <w:t xml:space="preserve">Case or line list</w:t>
            </w:r>
          </w:p>
        </w:tc>
      </w:tr>
    </w:tbl>
    <w:bookmarkEnd w:id="227"/>
    <w:bookmarkStart w:id="228" w:name="rr2.3-cell-maps-and-snapshots"/>
    <w:p>
      <w:pPr>
        <w:pStyle w:val="Heading3"/>
      </w:pPr>
      <w:r>
        <w:t xml:space="preserve">RR2.3 Cell maps and snapshots</w:t>
      </w:r>
    </w:p>
    <w:p>
      <w:pPr>
        <w:numPr>
          <w:ilvl w:val="0"/>
          <w:numId w:val="1271"/>
        </w:numPr>
        <w:pStyle w:val="Compact"/>
      </w:pPr>
      <w:r>
        <w:rPr>
          <w:rStyle w:val="VerbatimChar"/>
        </w:rPr>
        <w:t xml:space="preserve">cell_map</w:t>
      </w:r>
      <w:r>
        <w:t xml:space="preserve">: return version → sheet and cell (or XML path, or UCRF field) → element + filter + aggregation (sum, count, max, distinct borrower, top-N) + scale and rounding (templates typically ₹ crore or ₹ lakh to 2 decimals [VERIFY per template]).</w:t>
      </w:r>
    </w:p>
    <w:p>
      <w:pPr>
        <w:numPr>
          <w:ilvl w:val="0"/>
          <w:numId w:val="1271"/>
        </w:numPr>
        <w:pStyle w:val="Compact"/>
      </w:pPr>
      <w:r>
        <w:rPr>
          <w:bCs/>
          <w:b/>
        </w:rPr>
        <w:t xml:space="preserve">Snapshot:</w:t>
      </w:r>
      <w:r>
        <w:t xml:space="preserve"> </w:t>
      </w:r>
      <w:r>
        <w:t xml:space="preserve">each run reads a frozen</w:t>
      </w:r>
      <w:r>
        <w:t xml:space="preserve"> </w:t>
      </w:r>
      <w:r>
        <w:rPr>
          <w:rStyle w:val="VerbatimChar"/>
        </w:rPr>
        <w:t xml:space="preserve">reporting_snapshot</w:t>
      </w:r>
      <w:r>
        <w:t xml:space="preserve"> </w:t>
      </w:r>
      <w:r>
        <w:t xml:space="preserve">(reference date, post-COB, content hash). Later back-dated postings surface as reconciliation items and, if material, a revision (RR5.3).</w:t>
      </w:r>
    </w:p>
    <w:p>
      <w:pPr>
        <w:numPr>
          <w:ilvl w:val="0"/>
          <w:numId w:val="1271"/>
        </w:numPr>
        <w:pStyle w:val="Compact"/>
      </w:pPr>
      <w:r>
        <w:rPr>
          <w:bCs/>
          <w:b/>
        </w:rPr>
        <w:t xml:space="preserve">Lineage (SR para 15):</w:t>
      </w:r>
      <w:r>
        <w:t xml:space="preserve"> </w:t>
      </w:r>
      <w:r>
        <w:t xml:space="preserve">each cell stores element, query hash, snapshot id, row count and a masked drill-down to contributing records.</w:t>
      </w:r>
    </w:p>
    <w:p>
      <w:pPr>
        <w:numPr>
          <w:ilvl w:val="0"/>
          <w:numId w:val="1271"/>
        </w:numPr>
        <w:pStyle w:val="Compact"/>
      </w:pPr>
      <w:r>
        <w:rPr>
          <w:bCs/>
          <w:b/>
        </w:rPr>
        <w:t xml:space="preserve">Ad hoc subsets (SR para 13):</w:t>
      </w:r>
      <w:r>
        <w:t xml:space="preserve"> </w:t>
      </w:r>
      <w:r>
        <w:t xml:space="preserve">governed query service over the exposure and loan marts; canonical test</w:t>
      </w:r>
      <w:r>
        <w:t xml:space="preserve"> </w:t>
      </w:r>
      <w:r>
        <w:t xml:space="preserve">“</w:t>
      </w:r>
      <w:r>
        <w:t xml:space="preserve">exposure for a particular period for a specific industry cluster in a district</w:t>
      </w:r>
      <w:r>
        <w:t xml:space="preserve">”</w:t>
      </w:r>
      <w:r>
        <w:t xml:space="preserve">; outputs use the return package path (</w:t>
      </w:r>
      <w:r>
        <w:rPr>
          <w:rStyle w:val="VerbatimChar"/>
        </w:rPr>
        <w:t xml:space="preserve">ad_hoc = true</w:t>
      </w:r>
      <w:r>
        <w:t xml:space="preserve">).</w:t>
      </w:r>
    </w:p>
    <w:p>
      <w:pPr>
        <w:numPr>
          <w:ilvl w:val="0"/>
          <w:numId w:val="1271"/>
        </w:numPr>
        <w:pStyle w:val="Compact"/>
      </w:pPr>
      <w:r>
        <w:rPr>
          <w:bCs/>
          <w:b/>
        </w:rPr>
        <w:t xml:space="preserve">Data quality (SR para 17):</w:t>
      </w:r>
      <w:r>
        <w:t xml:space="preserve"> </w:t>
      </w:r>
      <w:r>
        <w:t xml:space="preserve">completeness, validity, consistency and timeliness metrics per element with thresholds, issue register and escalation.</w:t>
      </w:r>
    </w:p>
    <w:p>
      <w:pPr>
        <w:numPr>
          <w:ilvl w:val="0"/>
          <w:numId w:val="1271"/>
        </w:numPr>
        <w:pStyle w:val="Compact"/>
      </w:pPr>
      <w:r>
        <w:rPr>
          <w:bCs/>
          <w:b/>
        </w:rPr>
        <w:t xml:space="preserve">Independent validation (SR para 7):</w:t>
      </w:r>
      <w:r>
        <w:t xml:space="preserve"> </w:t>
      </w:r>
      <w:r>
        <w:t xml:space="preserve">each cell-map version is approved by a reviewer outside the building team.</w:t>
      </w:r>
    </w:p>
    <w:bookmarkEnd w:id="228"/>
    <w:bookmarkStart w:id="229" w:name="acceptance-tests-3"/>
    <w:p>
      <w:pPr>
        <w:pStyle w:val="Heading3"/>
      </w:pPr>
      <w:r>
        <w:t xml:space="preserve">Acceptance tests</w:t>
      </w:r>
    </w:p>
    <w:p>
      <w:pPr>
        <w:numPr>
          <w:ilvl w:val="0"/>
          <w:numId w:val="1272"/>
        </w:numPr>
        <w:pStyle w:val="Compact"/>
      </w:pPr>
      <w:r>
        <w:t xml:space="preserve">Every cell in every active template version maps to an element or is marked</w:t>
      </w:r>
      <w:r>
        <w:t xml:space="preserve"> </w:t>
      </w:r>
      <w:r>
        <w:rPr>
          <w:rStyle w:val="VerbatimChar"/>
        </w:rPr>
        <w:t xml:space="preserve">NOT_APPLICABLE_FOR_ENTITY</w:t>
      </w:r>
      <w:r>
        <w:t xml:space="preserve"> </w:t>
      </w:r>
      <w:r>
        <w:t xml:space="preserve">with a reason; an unmapped cell blocks activation.</w:t>
      </w:r>
    </w:p>
    <w:p>
      <w:pPr>
        <w:numPr>
          <w:ilvl w:val="0"/>
          <w:numId w:val="1272"/>
        </w:numPr>
        <w:pStyle w:val="Compact"/>
      </w:pPr>
      <w:r>
        <w:t xml:space="preserve">Drill-down from a DNBS02</w:t>
      </w:r>
      <w:r>
        <w:t xml:space="preserve"> </w:t>
      </w:r>
      <w:r>
        <w:t xml:space="preserve">“</w:t>
      </w:r>
      <w:r>
        <w:t xml:space="preserve">gross advances</w:t>
      </w:r>
      <w:r>
        <w:t xml:space="preserve">”</w:t>
      </w:r>
      <w:r>
        <w:t xml:space="preserve"> </w:t>
      </w:r>
      <w:r>
        <w:t xml:space="preserve">cell lists loan IDs whose sum equals the cell value before rounding.</w:t>
      </w:r>
    </w:p>
    <w:p>
      <w:pPr>
        <w:numPr>
          <w:ilvl w:val="0"/>
          <w:numId w:val="1272"/>
        </w:numPr>
        <w:pStyle w:val="Compact"/>
      </w:pPr>
      <w:r>
        <w:t xml:space="preserve">A posting dated before the reference date but booked after the snapshot appears in the reconciliation as a post-snapshot item and does not change the generated file.</w:t>
      </w:r>
    </w:p>
    <w:p>
      <w:r>
        <w:pict>
          <v:rect style="width:0;height:1.5pt" o:hralign="center" o:hrstd="t" o:hr="t"/>
        </w:pict>
      </w:r>
    </w:p>
    <w:bookmarkEnd w:id="229"/>
    <w:bookmarkEnd w:id="230"/>
    <w:bookmarkStart w:id="238" w:name="X842862c78e4313643087c56c4cd50726e6a4c39"/>
    <w:p>
      <w:pPr>
        <w:pStyle w:val="Heading2"/>
      </w:pPr>
      <w:r>
        <w:t xml:space="preserve">RR3. Return generation, validation and sign-off</w:t>
      </w:r>
    </w:p>
    <w:p>
      <w:pPr>
        <w:pStyle w:val="FirstParagraph"/>
      </w:pPr>
      <w:r>
        <w:rPr>
          <w:bCs/>
          <w:b/>
        </w:rPr>
        <w:t xml:space="preserve">Purpose.</w:t>
      </w:r>
      <w:r>
        <w:t xml:space="preserve"> </w:t>
      </w:r>
      <w:r>
        <w:t xml:space="preserve">Produce each return as a validated, reconciled, approved and signed package.</w:t>
      </w:r>
    </w:p>
    <w:bookmarkStart w:id="231" w:name="rr3.1-filing-state-machine"/>
    <w:p>
      <w:pPr>
        <w:pStyle w:val="Heading3"/>
      </w:pPr>
      <w:r>
        <w:t xml:space="preserve">RR3.1 Filing state machine</w:t>
      </w:r>
    </w:p>
    <w:p>
      <w:pPr>
        <w:pStyle w:val="FirstParagraph"/>
      </w:pPr>
      <w:r>
        <w:rPr>
          <w:rStyle w:val="VerbatimChar"/>
        </w:rPr>
        <w:t xml:space="preserve">SCHEDULED → DATA_FROZEN → GENERATED → VALIDATED → RECONCILED → MAKER_SUBMITTED → CHECKER_APPROVED → SIGNED_OFF → PACKAGED → UPLOADED_BY_HUMAN → ACKNOWLEDGED → CLOSED</w:t>
      </w:r>
    </w:p>
    <w:p>
      <w:pPr>
        <w:pStyle w:val="BodyText"/>
      </w:pPr>
      <w:r>
        <w:t xml:space="preserve">Every transition is a server-side command with an idempotency key</w:t>
      </w:r>
      <w:r>
        <w:t xml:space="preserve"> </w:t>
      </w:r>
      <w:r>
        <w:rPr>
          <w:rStyle w:val="VerbatimChar"/>
        </w:rPr>
        <w:t xml:space="preserve">(instance_id, run_no, command)</w:t>
      </w:r>
      <w:r>
        <w:t xml:space="preserve">, writes</w:t>
      </w:r>
      <w:r>
        <w:t xml:space="preserve"> </w:t>
      </w:r>
      <w:r>
        <w:rPr>
          <w:rStyle w:val="VerbatimChar"/>
        </w:rPr>
        <w:t xml:space="preserve">ReturnStatusUpdated</w:t>
      </w:r>
      <w:r>
        <w:t xml:space="preserve">, and is refused (409</w:t>
      </w:r>
      <w:r>
        <w:t xml:space="preserve"> </w:t>
      </w:r>
      <w:r>
        <w:rPr>
          <w:rStyle w:val="VerbatimChar"/>
        </w:rPr>
        <w:t xml:space="preserve">invalid_transition</w:t>
      </w:r>
      <w:r>
        <w:t xml:space="preserve">) from any other state.</w:t>
      </w:r>
      <w:r>
        <w:t xml:space="preserve"> </w:t>
      </w:r>
      <w:r>
        <w:rPr>
          <w:rStyle w:val="VerbatimChar"/>
        </w:rPr>
        <w:t xml:space="preserve">due_at</w:t>
      </w:r>
      <w:r>
        <w:t xml:space="preserve"> </w:t>
      </w:r>
      <w:r>
        <w:t xml:space="preserve">comes from the RR5.1 instance;</w:t>
      </w:r>
      <w:r>
        <w:t xml:space="preserve"> </w:t>
      </w:r>
      <w:r>
        <w:t xml:space="preserve">“</w:t>
      </w:r>
      <w:r>
        <w:t xml:space="preserve">lead</w:t>
      </w:r>
      <w:r>
        <w:t xml:space="preserve">”</w:t>
      </w:r>
      <w:r>
        <w:t xml:space="preserve"> </w:t>
      </w:r>
      <w:r>
        <w:t xml:space="preserve">timers are settings (RR9.1).</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27"/>
        <w:gridCol w:w="2470"/>
        <w:gridCol w:w="927"/>
        <w:gridCol w:w="1701"/>
        <w:gridCol w:w="1493"/>
        <w:gridCol w:w="2020"/>
      </w:tblGrid>
      <w:tr>
        <w:trPr>
          <w:tblHeader w:val="true"/>
          <w:tblHeader w:val="true"/>
        </w:trPr>
        <w:tc>
          <w:tcPr>
            <w:tcW w:w="1027" w:type="dxa"/>
            <w:shd w:val="clear" w:color="auto" w:fill="1F3A5F"/>
          </w:tcPr>
          <w:p>
            <w:pPr>
              <w:pStyle w:val="Compact"/>
              <w:spacing w:after="40"/>
              <w:jc w:val="left"/>
            </w:pPr>
            <w:r>
              <w:rPr>
                <w:b/>
                <w:color w:val="FFFFFF"/>
                <w:sz w:val="18"/>
              </w:rPr>
              <w:t xml:space="preserve">State</w:t>
            </w:r>
          </w:p>
        </w:tc>
        <w:tc>
          <w:tcPr>
            <w:tcW w:w="2470" w:type="dxa"/>
            <w:shd w:val="clear" w:color="auto" w:fill="1F3A5F"/>
          </w:tcPr>
          <w:p>
            <w:pPr>
              <w:pStyle w:val="Compact"/>
              <w:spacing w:after="40"/>
              <w:jc w:val="left"/>
            </w:pPr>
            <w:r>
              <w:rPr>
                <w:b/>
                <w:color w:val="FFFFFF"/>
                <w:sz w:val="18"/>
              </w:rPr>
              <w:t xml:space="preserve">Entry condition</w:t>
            </w:r>
          </w:p>
        </w:tc>
        <w:tc>
          <w:tcPr>
            <w:tcW w:w="927" w:type="dxa"/>
            <w:shd w:val="clear" w:color="auto" w:fill="1F3A5F"/>
          </w:tcPr>
          <w:p>
            <w:pPr>
              <w:pStyle w:val="Compact"/>
              <w:spacing w:after="40"/>
              <w:jc w:val="left"/>
            </w:pPr>
            <w:r>
              <w:rPr>
                <w:b/>
                <w:color w:val="FFFFFF"/>
                <w:sz w:val="18"/>
              </w:rPr>
              <w:t xml:space="preserve">Owner</w:t>
            </w:r>
          </w:p>
        </w:tc>
        <w:tc>
          <w:tcPr>
            <w:tcW w:w="1701" w:type="dxa"/>
            <w:shd w:val="clear" w:color="auto" w:fill="1F3A5F"/>
          </w:tcPr>
          <w:p>
            <w:pPr>
              <w:pStyle w:val="Compact"/>
              <w:spacing w:after="40"/>
              <w:jc w:val="left"/>
            </w:pPr>
            <w:r>
              <w:rPr>
                <w:b/>
                <w:color w:val="FFFFFF"/>
                <w:sz w:val="18"/>
              </w:rPr>
              <w:t xml:space="preserve">Allowed actions</w:t>
            </w:r>
          </w:p>
        </w:tc>
        <w:tc>
          <w:tcPr>
            <w:tcW w:w="1493" w:type="dxa"/>
            <w:shd w:val="clear" w:color="auto" w:fill="1F3A5F"/>
          </w:tcPr>
          <w:p>
            <w:pPr>
              <w:pStyle w:val="Compact"/>
              <w:spacing w:after="40"/>
              <w:jc w:val="left"/>
            </w:pPr>
            <w:r>
              <w:rPr>
                <w:b/>
                <w:color w:val="FFFFFF"/>
                <w:sz w:val="18"/>
              </w:rPr>
              <w:t xml:space="preserve">Timer</w:t>
            </w:r>
          </w:p>
        </w:tc>
        <w:tc>
          <w:tcPr>
            <w:tcW w:w="2020" w:type="dxa"/>
            <w:shd w:val="clear" w:color="auto" w:fill="1F3A5F"/>
          </w:tcPr>
          <w:p>
            <w:pPr>
              <w:pStyle w:val="Compact"/>
              <w:spacing w:after="40"/>
              <w:jc w:val="left"/>
            </w:pPr>
            <w:r>
              <w:rPr>
                <w:b/>
                <w:color w:val="FFFFFF"/>
                <w:sz w:val="18"/>
              </w:rPr>
              <w:t xml:space="preserve">Exit, failure and rollback</w:t>
            </w:r>
          </w:p>
        </w:tc>
      </w:tr>
      <w:tr>
        <w:tc>
          <w:tcPr>
            <w:tcW w:w="1027" w:type="dxa"/>
          </w:tcPr>
          <w:p>
            <w:pPr>
              <w:pStyle w:val="Compact"/>
              <w:spacing w:after="40"/>
              <w:jc w:val="left"/>
            </w:pPr>
            <w:r>
              <w:rPr>
                <w:rStyle w:val="VerbatimChar"/>
                <w:sz w:val="18"/>
              </w:rPr>
              <w:t xml:space="preserve">SCHEDULED</w:t>
            </w:r>
          </w:p>
        </w:tc>
        <w:tc>
          <w:tcPr>
            <w:tcW w:w="2470" w:type="dxa"/>
          </w:tcPr>
          <w:p>
            <w:pPr>
              <w:pStyle w:val="Compact"/>
              <w:spacing w:after="40"/>
              <w:jc w:val="left"/>
            </w:pPr>
            <w:r>
              <w:rPr>
                <w:sz w:val="18"/>
              </w:rPr>
              <w:t xml:space="preserve">Due instance created (RR5.1)</w:t>
            </w:r>
          </w:p>
        </w:tc>
        <w:tc>
          <w:tcPr>
            <w:tcW w:w="927" w:type="dxa"/>
          </w:tcPr>
          <w:p>
            <w:pPr>
              <w:pStyle w:val="Compact"/>
              <w:spacing w:after="40"/>
              <w:jc w:val="left"/>
            </w:pPr>
            <w:r>
              <w:rPr>
                <w:sz w:val="18"/>
              </w:rPr>
              <w:t xml:space="preserve">Return owner (maker)</w:t>
            </w:r>
          </w:p>
        </w:tc>
        <w:tc>
          <w:tcPr>
            <w:tcW w:w="1701" w:type="dxa"/>
          </w:tcPr>
          <w:p>
            <w:pPr>
              <w:pStyle w:val="Compact"/>
              <w:spacing w:after="40"/>
              <w:jc w:val="left"/>
            </w:pPr>
            <w:r>
              <w:rPr>
                <w:sz w:val="18"/>
              </w:rPr>
              <w:t xml:space="preserve">Assign owner; mark</w:t>
            </w:r>
            <w:r>
              <w:rPr>
                <w:sz w:val="18"/>
              </w:rPr>
              <w:t xml:space="preserve"> </w:t>
            </w:r>
            <w:r>
              <w:rPr>
                <w:rStyle w:val="VerbatimChar"/>
                <w:sz w:val="18"/>
              </w:rPr>
              <w:t xml:space="preserve">NOT_APPLICABLE</w:t>
            </w:r>
            <w:r>
              <w:rPr>
                <w:sz w:val="18"/>
              </w:rPr>
              <w:t xml:space="preserve"> </w:t>
            </w:r>
            <w:r>
              <w:rPr>
                <w:sz w:val="18"/>
              </w:rPr>
              <w:t xml:space="preserve">(CCO approval and reason)</w:t>
            </w:r>
          </w:p>
        </w:tc>
        <w:tc>
          <w:tcPr>
            <w:tcW w:w="1493" w:type="dxa"/>
          </w:tcPr>
          <w:p>
            <w:pPr>
              <w:pStyle w:val="Compact"/>
              <w:spacing w:after="40"/>
              <w:jc w:val="left"/>
            </w:pPr>
            <w:r>
              <w:rPr>
                <w:sz w:val="18"/>
              </w:rPr>
              <w:t xml:space="preserve">Freeze target = reference date +</w:t>
            </w:r>
            <w:r>
              <w:rPr>
                <w:sz w:val="18"/>
              </w:rPr>
              <w:t xml:space="preserve"> </w:t>
            </w:r>
            <w:r>
              <w:rPr>
                <w:rStyle w:val="VerbatimChar"/>
                <w:sz w:val="18"/>
              </w:rPr>
              <w:t xml:space="preserve">freeze_lead</w:t>
            </w:r>
          </w:p>
        </w:tc>
        <w:tc>
          <w:tcPr>
            <w:tcW w:w="2020" w:type="dxa"/>
          </w:tcPr>
          <w:p>
            <w:pPr>
              <w:pStyle w:val="Compact"/>
              <w:spacing w:after="40"/>
              <w:jc w:val="left"/>
            </w:pPr>
            <w:r>
              <w:rPr>
                <w:sz w:val="18"/>
              </w:rPr>
              <w:t xml:space="preserve">Freeze →</w:t>
            </w:r>
            <w:r>
              <w:rPr>
                <w:sz w:val="18"/>
              </w:rPr>
              <w:t xml:space="preserve"> </w:t>
            </w:r>
            <w:r>
              <w:rPr>
                <w:rStyle w:val="VerbatimChar"/>
                <w:sz w:val="18"/>
              </w:rPr>
              <w:t xml:space="preserve">DATA_FROZEN</w:t>
            </w:r>
            <w:r>
              <w:rPr>
                <w:sz w:val="18"/>
              </w:rPr>
              <w:t xml:space="preserve">; an applicability change →</w:t>
            </w:r>
            <w:r>
              <w:rPr>
                <w:sz w:val="18"/>
              </w:rPr>
              <w:t xml:space="preserve"> </w:t>
            </w:r>
            <w:r>
              <w:rPr>
                <w:rStyle w:val="VerbatimChar"/>
                <w:sz w:val="18"/>
              </w:rPr>
              <w:t xml:space="preserve">CANCELLED</w:t>
            </w:r>
            <w:r>
              <w:rPr>
                <w:sz w:val="18"/>
              </w:rPr>
              <w:t xml:space="preserve"> </w:t>
            </w:r>
            <w:r>
              <w:rPr>
                <w:sz w:val="18"/>
              </w:rPr>
              <w:t xml:space="preserve">(</w:t>
            </w:r>
            <w:r>
              <w:rPr>
                <w:rStyle w:val="VerbatimChar"/>
                <w:sz w:val="18"/>
              </w:rPr>
              <w:t xml:space="preserve">APPLICABILITY_CHANGED</w:t>
            </w:r>
            <w:r>
              <w:rPr>
                <w:sz w:val="18"/>
              </w:rPr>
              <w:t xml:space="preserve">)</w:t>
            </w:r>
          </w:p>
        </w:tc>
      </w:tr>
      <w:tr>
        <w:tc>
          <w:tcPr>
            <w:tcW w:w="1027" w:type="dxa"/>
          </w:tcPr>
          <w:p>
            <w:pPr>
              <w:pStyle w:val="Compact"/>
              <w:spacing w:after="40"/>
              <w:jc w:val="left"/>
            </w:pPr>
            <w:r>
              <w:rPr>
                <w:rStyle w:val="VerbatimChar"/>
                <w:sz w:val="18"/>
              </w:rPr>
              <w:t xml:space="preserve">DATA_FROZEN</w:t>
            </w:r>
          </w:p>
        </w:tc>
        <w:tc>
          <w:tcPr>
            <w:tcW w:w="2470" w:type="dxa"/>
          </w:tcPr>
          <w:p>
            <w:pPr>
              <w:pStyle w:val="Compact"/>
              <w:spacing w:after="40"/>
              <w:jc w:val="left"/>
            </w:pPr>
            <w:r>
              <w:rPr>
                <w:sz w:val="18"/>
              </w:rPr>
              <w:t xml:space="preserve">COB complete for the reference date; sub-ledger-to-GL breaks zero (RR3.4); for TB-based returns the period is locked or soft-closed per book (Part 7C AC2.8)</w:t>
            </w:r>
          </w:p>
        </w:tc>
        <w:tc>
          <w:tcPr>
            <w:tcW w:w="927" w:type="dxa"/>
          </w:tcPr>
          <w:p>
            <w:pPr>
              <w:pStyle w:val="Compact"/>
              <w:spacing w:after="40"/>
              <w:jc w:val="left"/>
            </w:pPr>
            <w:r>
              <w:rPr>
                <w:sz w:val="18"/>
              </w:rPr>
              <w:t xml:space="preserve">Maker</w:t>
            </w:r>
          </w:p>
        </w:tc>
        <w:tc>
          <w:tcPr>
            <w:tcW w:w="1701" w:type="dxa"/>
          </w:tcPr>
          <w:p>
            <w:pPr>
              <w:pStyle w:val="Compact"/>
              <w:spacing w:after="40"/>
              <w:jc w:val="left"/>
            </w:pPr>
            <w:r>
              <w:rPr>
                <w:sz w:val="18"/>
              </w:rPr>
              <w:t xml:space="preserve">Generate; unfreeze (checker approval and reason; the old snapshot is kept)</w:t>
            </w:r>
          </w:p>
        </w:tc>
        <w:tc>
          <w:tcPr>
            <w:tcW w:w="1493" w:type="dxa"/>
          </w:tcPr>
          <w:p>
            <w:pPr>
              <w:pStyle w:val="Compact"/>
              <w:spacing w:after="40"/>
              <w:jc w:val="left"/>
            </w:pPr>
            <w:r>
              <w:rPr>
                <w:sz w:val="18"/>
              </w:rPr>
              <w:t xml:space="preserve">Alert if not generated by due −</w:t>
            </w:r>
            <w:r>
              <w:rPr>
                <w:sz w:val="18"/>
              </w:rPr>
              <w:t xml:space="preserve"> </w:t>
            </w:r>
            <w:r>
              <w:rPr>
                <w:rStyle w:val="VerbatimChar"/>
                <w:sz w:val="18"/>
              </w:rPr>
              <w:t xml:space="preserve">generate_lead</w:t>
            </w:r>
          </w:p>
        </w:tc>
        <w:tc>
          <w:tcPr>
            <w:tcW w:w="2020" w:type="dxa"/>
          </w:tcPr>
          <w:p>
            <w:pPr>
              <w:pStyle w:val="Compact"/>
              <w:spacing w:after="40"/>
              <w:jc w:val="left"/>
            </w:pPr>
            <w:r>
              <w:rPr>
                <w:sz w:val="18"/>
              </w:rPr>
              <w:t xml:space="preserve">Generate →</w:t>
            </w:r>
            <w:r>
              <w:rPr>
                <w:sz w:val="18"/>
              </w:rPr>
              <w:t xml:space="preserve"> </w:t>
            </w:r>
            <w:r>
              <w:rPr>
                <w:rStyle w:val="VerbatimChar"/>
                <w:sz w:val="18"/>
              </w:rPr>
              <w:t xml:space="preserve">GENERATED</w:t>
            </w:r>
            <w:r>
              <w:rPr>
                <w:sz w:val="18"/>
              </w:rPr>
              <w:t xml:space="preserve">; unfreeze →</w:t>
            </w:r>
            <w:r>
              <w:rPr>
                <w:sz w:val="18"/>
              </w:rPr>
              <w:t xml:space="preserve"> </w:t>
            </w:r>
            <w:r>
              <w:rPr>
                <w:rStyle w:val="VerbatimChar"/>
                <w:sz w:val="18"/>
              </w:rPr>
              <w:t xml:space="preserve">SCHEDULED</w:t>
            </w:r>
          </w:p>
        </w:tc>
      </w:tr>
      <w:tr>
        <w:tc>
          <w:tcPr>
            <w:tcW w:w="1027" w:type="dxa"/>
          </w:tcPr>
          <w:p>
            <w:pPr>
              <w:pStyle w:val="Compact"/>
              <w:spacing w:after="40"/>
              <w:jc w:val="left"/>
            </w:pPr>
            <w:r>
              <w:rPr>
                <w:rStyle w:val="VerbatimChar"/>
                <w:sz w:val="18"/>
              </w:rPr>
              <w:t xml:space="preserve">GENERATED</w:t>
            </w:r>
          </w:p>
        </w:tc>
        <w:tc>
          <w:tcPr>
            <w:tcW w:w="2470" w:type="dxa"/>
          </w:tcPr>
          <w:p>
            <w:pPr>
              <w:pStyle w:val="Compact"/>
              <w:spacing w:after="40"/>
              <w:jc w:val="left"/>
            </w:pPr>
            <w:r>
              <w:rPr>
                <w:sz w:val="18"/>
              </w:rPr>
              <w:t xml:space="preserve">Template hash matches</w:t>
            </w:r>
            <w:r>
              <w:rPr>
                <w:sz w:val="18"/>
              </w:rPr>
              <w:t xml:space="preserve"> </w:t>
            </w:r>
            <w:r>
              <w:rPr>
                <w:rStyle w:val="VerbatimChar"/>
                <w:sz w:val="18"/>
              </w:rPr>
              <w:t xml:space="preserve">format_version</w:t>
            </w:r>
            <w:r>
              <w:rPr>
                <w:sz w:val="18"/>
              </w:rPr>
              <w:t xml:space="preserve">; every cell mapped (RR2.3)</w:t>
            </w:r>
          </w:p>
        </w:tc>
        <w:tc>
          <w:tcPr>
            <w:tcW w:w="927" w:type="dxa"/>
          </w:tcPr>
          <w:p>
            <w:pPr>
              <w:pStyle w:val="Compact"/>
              <w:spacing w:after="40"/>
              <w:jc w:val="left"/>
            </w:pPr>
            <w:r>
              <w:rPr>
                <w:sz w:val="18"/>
              </w:rPr>
              <w:t xml:space="preserve">Maker</w:t>
            </w:r>
          </w:p>
        </w:tc>
        <w:tc>
          <w:tcPr>
            <w:tcW w:w="1701" w:type="dxa"/>
          </w:tcPr>
          <w:p>
            <w:pPr>
              <w:pStyle w:val="Compact"/>
              <w:spacing w:after="40"/>
              <w:jc w:val="left"/>
            </w:pPr>
            <w:r>
              <w:rPr>
                <w:sz w:val="18"/>
              </w:rPr>
              <w:t xml:space="preserve">Run validation; view lineage</w:t>
            </w:r>
          </w:p>
        </w:tc>
        <w:tc>
          <w:tcPr>
            <w:tcW w:w="1493" w:type="dxa"/>
          </w:tcPr>
          <w:p>
            <w:pPr>
              <w:pStyle w:val="Compact"/>
              <w:spacing w:after="40"/>
              <w:jc w:val="left"/>
            </w:pPr>
            <w:r>
              <w:rPr>
                <w:sz w:val="18"/>
              </w:rPr>
              <w:t xml:space="preserve">—</w:t>
            </w:r>
          </w:p>
        </w:tc>
        <w:tc>
          <w:tcPr>
            <w:tcW w:w="2020" w:type="dxa"/>
          </w:tcPr>
          <w:p>
            <w:pPr>
              <w:pStyle w:val="Compact"/>
              <w:spacing w:after="40"/>
              <w:jc w:val="left"/>
            </w:pPr>
            <w:r>
              <w:rPr>
                <w:sz w:val="18"/>
              </w:rPr>
              <w:t xml:space="preserve">No ERROR →</w:t>
            </w:r>
            <w:r>
              <w:rPr>
                <w:sz w:val="18"/>
              </w:rPr>
              <w:t xml:space="preserve"> </w:t>
            </w:r>
            <w:r>
              <w:rPr>
                <w:rStyle w:val="VerbatimChar"/>
                <w:sz w:val="18"/>
              </w:rPr>
              <w:t xml:space="preserve">VALIDATED</w:t>
            </w:r>
            <w:r>
              <w:rPr>
                <w:sz w:val="18"/>
              </w:rPr>
              <w:t xml:space="preserve">; any ERROR →</w:t>
            </w:r>
            <w:r>
              <w:rPr>
                <w:sz w:val="18"/>
              </w:rPr>
              <w:t xml:space="preserve"> </w:t>
            </w:r>
            <w:r>
              <w:rPr>
                <w:rStyle w:val="VerbatimChar"/>
                <w:sz w:val="18"/>
              </w:rPr>
              <w:t xml:space="preserve">REPAIR</w:t>
            </w:r>
          </w:p>
        </w:tc>
      </w:tr>
      <w:tr>
        <w:tc>
          <w:tcPr>
            <w:tcW w:w="1027" w:type="dxa"/>
          </w:tcPr>
          <w:p>
            <w:pPr>
              <w:pStyle w:val="Compact"/>
              <w:spacing w:after="40"/>
              <w:jc w:val="left"/>
            </w:pPr>
            <w:r>
              <w:rPr>
                <w:rStyle w:val="VerbatimChar"/>
                <w:sz w:val="18"/>
              </w:rPr>
              <w:t xml:space="preserve">VALIDATED</w:t>
            </w:r>
          </w:p>
        </w:tc>
        <w:tc>
          <w:tcPr>
            <w:tcW w:w="2470" w:type="dxa"/>
          </w:tcPr>
          <w:p>
            <w:pPr>
              <w:pStyle w:val="Compact"/>
              <w:spacing w:after="40"/>
              <w:jc w:val="left"/>
            </w:pPr>
            <w:r>
              <w:rPr>
                <w:sz w:val="18"/>
              </w:rPr>
              <w:t xml:space="preserve">No ERROR; WARNINGs listed</w:t>
            </w:r>
          </w:p>
        </w:tc>
        <w:tc>
          <w:tcPr>
            <w:tcW w:w="927" w:type="dxa"/>
          </w:tcPr>
          <w:p>
            <w:pPr>
              <w:pStyle w:val="Compact"/>
              <w:spacing w:after="40"/>
              <w:jc w:val="left"/>
            </w:pPr>
            <w:r>
              <w:rPr>
                <w:sz w:val="18"/>
              </w:rPr>
              <w:t xml:space="preserve">Maker</w:t>
            </w:r>
          </w:p>
        </w:tc>
        <w:tc>
          <w:tcPr>
            <w:tcW w:w="1701" w:type="dxa"/>
          </w:tcPr>
          <w:p>
            <w:pPr>
              <w:pStyle w:val="Compact"/>
              <w:spacing w:after="40"/>
              <w:jc w:val="left"/>
            </w:pPr>
            <w:r>
              <w:rPr>
                <w:sz w:val="18"/>
              </w:rPr>
              <w:t xml:space="preserve">Run reconciliation; comment on each WARNING</w:t>
            </w:r>
          </w:p>
        </w:tc>
        <w:tc>
          <w:tcPr>
            <w:tcW w:w="1493" w:type="dxa"/>
          </w:tcPr>
          <w:p>
            <w:pPr>
              <w:pStyle w:val="Compact"/>
              <w:spacing w:after="40"/>
              <w:jc w:val="left"/>
            </w:pPr>
            <w:r>
              <w:rPr>
                <w:sz w:val="18"/>
              </w:rPr>
              <w:t xml:space="preserve">—</w:t>
            </w:r>
          </w:p>
        </w:tc>
        <w:tc>
          <w:tcPr>
            <w:tcW w:w="2020" w:type="dxa"/>
          </w:tcPr>
          <w:p>
            <w:pPr>
              <w:pStyle w:val="Compact"/>
              <w:spacing w:after="40"/>
              <w:jc w:val="left"/>
            </w:pPr>
            <w:r>
              <w:rPr>
                <w:sz w:val="18"/>
              </w:rPr>
              <w:t xml:space="preserve">All variances within tolerance or explained →</w:t>
            </w:r>
            <w:r>
              <w:rPr>
                <w:sz w:val="18"/>
              </w:rPr>
              <w:t xml:space="preserve"> </w:t>
            </w:r>
            <w:r>
              <w:rPr>
                <w:rStyle w:val="VerbatimChar"/>
                <w:sz w:val="18"/>
              </w:rPr>
              <w:t xml:space="preserve">RECONCILED</w:t>
            </w:r>
            <w:r>
              <w:rPr>
                <w:sz w:val="18"/>
              </w:rPr>
              <w:t xml:space="preserve">; open break →</w:t>
            </w:r>
            <w:r>
              <w:rPr>
                <w:sz w:val="18"/>
              </w:rPr>
              <w:t xml:space="preserve"> </w:t>
            </w:r>
            <w:r>
              <w:rPr>
                <w:rStyle w:val="VerbatimChar"/>
                <w:sz w:val="18"/>
              </w:rPr>
              <w:t xml:space="preserve">REPAIR</w:t>
            </w:r>
          </w:p>
        </w:tc>
      </w:tr>
      <w:tr>
        <w:tc>
          <w:tcPr>
            <w:tcW w:w="1027" w:type="dxa"/>
          </w:tcPr>
          <w:p>
            <w:pPr>
              <w:pStyle w:val="Compact"/>
              <w:spacing w:after="40"/>
              <w:jc w:val="left"/>
            </w:pPr>
            <w:r>
              <w:rPr>
                <w:rStyle w:val="VerbatimChar"/>
                <w:sz w:val="18"/>
              </w:rPr>
              <w:t xml:space="preserve">RECONCILED</w:t>
            </w:r>
          </w:p>
        </w:tc>
        <w:tc>
          <w:tcPr>
            <w:tcW w:w="2470" w:type="dxa"/>
          </w:tcPr>
          <w:p>
            <w:pPr>
              <w:pStyle w:val="Compact"/>
              <w:spacing w:after="40"/>
              <w:jc w:val="left"/>
            </w:pPr>
            <w:r>
              <w:rPr>
                <w:sz w:val="18"/>
              </w:rPr>
              <w:t xml:space="preserve">Reconciliation hash stored</w:t>
            </w:r>
          </w:p>
        </w:tc>
        <w:tc>
          <w:tcPr>
            <w:tcW w:w="927" w:type="dxa"/>
          </w:tcPr>
          <w:p>
            <w:pPr>
              <w:pStyle w:val="Compact"/>
              <w:spacing w:after="40"/>
              <w:jc w:val="left"/>
            </w:pPr>
            <w:r>
              <w:rPr>
                <w:sz w:val="18"/>
              </w:rPr>
              <w:t xml:space="preserve">Maker</w:t>
            </w:r>
          </w:p>
        </w:tc>
        <w:tc>
          <w:tcPr>
            <w:tcW w:w="1701" w:type="dxa"/>
          </w:tcPr>
          <w:p>
            <w:pPr>
              <w:pStyle w:val="Compact"/>
              <w:spacing w:after="40"/>
              <w:jc w:val="left"/>
            </w:pPr>
            <w:r>
              <w:rPr>
                <w:sz w:val="18"/>
              </w:rPr>
              <w:t xml:space="preserve">Attest and submit</w:t>
            </w:r>
          </w:p>
        </w:tc>
        <w:tc>
          <w:tcPr>
            <w:tcW w:w="1493" w:type="dxa"/>
          </w:tcPr>
          <w:p>
            <w:pPr>
              <w:pStyle w:val="Compact"/>
              <w:spacing w:after="40"/>
              <w:jc w:val="left"/>
            </w:pPr>
            <w:r>
              <w:rPr>
                <w:sz w:val="18"/>
              </w:rPr>
              <w:t xml:space="preserve">—</w:t>
            </w:r>
          </w:p>
        </w:tc>
        <w:tc>
          <w:tcPr>
            <w:tcW w:w="2020" w:type="dxa"/>
          </w:tcPr>
          <w:p>
            <w:pPr>
              <w:pStyle w:val="Compact"/>
              <w:spacing w:after="40"/>
              <w:jc w:val="left"/>
            </w:pPr>
            <w:r>
              <w:rPr>
                <w:sz w:val="18"/>
              </w:rPr>
              <w:t xml:space="preserve">→</w:t>
            </w:r>
            <w:r>
              <w:rPr>
                <w:sz w:val="18"/>
              </w:rPr>
              <w:t xml:space="preserve"> </w:t>
            </w:r>
            <w:r>
              <w:rPr>
                <w:rStyle w:val="VerbatimChar"/>
                <w:sz w:val="18"/>
              </w:rPr>
              <w:t xml:space="preserve">MAKER_SUBMITTED</w:t>
            </w:r>
          </w:p>
        </w:tc>
      </w:tr>
      <w:tr>
        <w:tc>
          <w:tcPr>
            <w:tcW w:w="1027" w:type="dxa"/>
          </w:tcPr>
          <w:p>
            <w:pPr>
              <w:pStyle w:val="Compact"/>
              <w:spacing w:after="40"/>
              <w:jc w:val="left"/>
            </w:pPr>
            <w:r>
              <w:rPr>
                <w:rStyle w:val="VerbatimChar"/>
                <w:sz w:val="18"/>
              </w:rPr>
              <w:t xml:space="preserve">MAKER_SUBMITTED</w:t>
            </w:r>
          </w:p>
        </w:tc>
        <w:tc>
          <w:tcPr>
            <w:tcW w:w="2470" w:type="dxa"/>
          </w:tcPr>
          <w:p>
            <w:pPr>
              <w:pStyle w:val="Compact"/>
              <w:spacing w:after="40"/>
              <w:jc w:val="left"/>
            </w:pPr>
            <w:r>
              <w:rPr>
                <w:sz w:val="18"/>
              </w:rPr>
              <w:t xml:space="preserve">Maker attestation</w:t>
            </w:r>
          </w:p>
        </w:tc>
        <w:tc>
          <w:tcPr>
            <w:tcW w:w="927" w:type="dxa"/>
          </w:tcPr>
          <w:p>
            <w:pPr>
              <w:pStyle w:val="Compact"/>
              <w:spacing w:after="40"/>
              <w:jc w:val="left"/>
            </w:pPr>
            <w:r>
              <w:rPr>
                <w:sz w:val="18"/>
              </w:rPr>
              <w:t xml:space="preserve">Checker</w:t>
            </w:r>
          </w:p>
        </w:tc>
        <w:tc>
          <w:tcPr>
            <w:tcW w:w="1701" w:type="dxa"/>
          </w:tcPr>
          <w:p>
            <w:pPr>
              <w:pStyle w:val="Compact"/>
              <w:spacing w:after="40"/>
              <w:jc w:val="left"/>
            </w:pPr>
            <w:r>
              <w:rPr>
                <w:sz w:val="18"/>
              </w:rPr>
              <w:t xml:space="preserve">Accept each WARNING; approve; reject (reason code mandatory)</w:t>
            </w:r>
          </w:p>
        </w:tc>
        <w:tc>
          <w:tcPr>
            <w:tcW w:w="1493" w:type="dxa"/>
          </w:tcPr>
          <w:p>
            <w:pPr>
              <w:pStyle w:val="Compact"/>
              <w:spacing w:after="40"/>
              <w:jc w:val="left"/>
            </w:pPr>
            <w:r>
              <w:rPr>
                <w:sz w:val="18"/>
              </w:rPr>
              <w:t xml:space="preserve">Checker SLA (default 1 working day) with reminder</w:t>
            </w:r>
          </w:p>
        </w:tc>
        <w:tc>
          <w:tcPr>
            <w:tcW w:w="2020" w:type="dxa"/>
          </w:tcPr>
          <w:p>
            <w:pPr>
              <w:pStyle w:val="Compact"/>
              <w:spacing w:after="40"/>
              <w:jc w:val="left"/>
            </w:pPr>
            <w:r>
              <w:rPr>
                <w:sz w:val="18"/>
              </w:rPr>
              <w:t xml:space="preserve">Approve →</w:t>
            </w:r>
            <w:r>
              <w:rPr>
                <w:sz w:val="18"/>
              </w:rPr>
              <w:t xml:space="preserve"> </w:t>
            </w:r>
            <w:r>
              <w:rPr>
                <w:rStyle w:val="VerbatimChar"/>
                <w:sz w:val="18"/>
              </w:rPr>
              <w:t xml:space="preserve">CHECKER_APPROVED</w:t>
            </w:r>
            <w:r>
              <w:rPr>
                <w:sz w:val="18"/>
              </w:rPr>
              <w:t xml:space="preserve">; reject →</w:t>
            </w:r>
            <w:r>
              <w:rPr>
                <w:sz w:val="18"/>
              </w:rPr>
              <w:t xml:space="preserve"> </w:t>
            </w:r>
            <w:r>
              <w:rPr>
                <w:rStyle w:val="VerbatimChar"/>
                <w:sz w:val="18"/>
              </w:rPr>
              <w:t xml:space="preserve">REPAIR</w:t>
            </w:r>
          </w:p>
        </w:tc>
      </w:tr>
      <w:tr>
        <w:tc>
          <w:tcPr>
            <w:tcW w:w="1027" w:type="dxa"/>
          </w:tcPr>
          <w:p>
            <w:pPr>
              <w:pStyle w:val="Compact"/>
              <w:spacing w:after="40"/>
              <w:jc w:val="left"/>
            </w:pPr>
            <w:r>
              <w:rPr>
                <w:rStyle w:val="VerbatimChar"/>
                <w:sz w:val="18"/>
              </w:rPr>
              <w:t xml:space="preserve">CHECKER_APPROVED</w:t>
            </w:r>
          </w:p>
        </w:tc>
        <w:tc>
          <w:tcPr>
            <w:tcW w:w="2470" w:type="dxa"/>
          </w:tcPr>
          <w:p>
            <w:pPr>
              <w:pStyle w:val="Compact"/>
              <w:spacing w:after="40"/>
              <w:jc w:val="left"/>
            </w:pPr>
            <w:r>
              <w:rPr>
                <w:sz w:val="18"/>
              </w:rPr>
              <w:t xml:space="preserve">SoD check passed (RR3.5)</w:t>
            </w:r>
          </w:p>
        </w:tc>
        <w:tc>
          <w:tcPr>
            <w:tcW w:w="927" w:type="dxa"/>
          </w:tcPr>
          <w:p>
            <w:pPr>
              <w:pStyle w:val="Compact"/>
              <w:spacing w:after="40"/>
              <w:jc w:val="left"/>
            </w:pPr>
            <w:r>
              <w:rPr>
                <w:sz w:val="18"/>
              </w:rPr>
              <w:t xml:space="preserve">Authorised signatory</w:t>
            </w:r>
          </w:p>
        </w:tc>
        <w:tc>
          <w:tcPr>
            <w:tcW w:w="1701" w:type="dxa"/>
          </w:tcPr>
          <w:p>
            <w:pPr>
              <w:pStyle w:val="Compact"/>
              <w:spacing w:after="40"/>
              <w:jc w:val="left"/>
            </w:pPr>
            <w:r>
              <w:rPr>
                <w:sz w:val="18"/>
              </w:rPr>
              <w:t xml:space="preserve">Sign off with step-up authentication; reject</w:t>
            </w:r>
          </w:p>
        </w:tc>
        <w:tc>
          <w:tcPr>
            <w:tcW w:w="1493" w:type="dxa"/>
          </w:tcPr>
          <w:p>
            <w:pPr>
              <w:pStyle w:val="Compact"/>
              <w:spacing w:after="40"/>
              <w:jc w:val="left"/>
            </w:pPr>
            <w:r>
              <w:rPr>
                <w:sz w:val="18"/>
              </w:rPr>
              <w:t xml:space="preserve">Signatory SLA (default 1 working day)</w:t>
            </w:r>
          </w:p>
        </w:tc>
        <w:tc>
          <w:tcPr>
            <w:tcW w:w="2020" w:type="dxa"/>
          </w:tcPr>
          <w:p>
            <w:pPr>
              <w:pStyle w:val="Compact"/>
              <w:spacing w:after="40"/>
              <w:jc w:val="left"/>
            </w:pPr>
            <w:r>
              <w:rPr>
                <w:sz w:val="18"/>
              </w:rPr>
              <w:t xml:space="preserve">Sign →</w:t>
            </w:r>
            <w:r>
              <w:rPr>
                <w:sz w:val="18"/>
              </w:rPr>
              <w:t xml:space="preserve"> </w:t>
            </w:r>
            <w:r>
              <w:rPr>
                <w:rStyle w:val="VerbatimChar"/>
                <w:sz w:val="18"/>
              </w:rPr>
              <w:t xml:space="preserve">SIGNED_OFF</w:t>
            </w:r>
            <w:r>
              <w:rPr>
                <w:sz w:val="18"/>
              </w:rPr>
              <w:t xml:space="preserve"> </w:t>
            </w:r>
            <w:r>
              <w:rPr>
                <w:sz w:val="18"/>
              </w:rPr>
              <w:t xml:space="preserve">(</w:t>
            </w:r>
            <w:r>
              <w:rPr>
                <w:rStyle w:val="VerbatimChar"/>
                <w:sz w:val="18"/>
              </w:rPr>
              <w:t xml:space="preserve">ReturnApproved</w:t>
            </w:r>
            <w:r>
              <w:rPr>
                <w:sz w:val="18"/>
              </w:rPr>
              <w:t xml:space="preserve">); reject →</w:t>
            </w:r>
            <w:r>
              <w:rPr>
                <w:sz w:val="18"/>
              </w:rPr>
              <w:t xml:space="preserve"> </w:t>
            </w:r>
            <w:r>
              <w:rPr>
                <w:rStyle w:val="VerbatimChar"/>
                <w:sz w:val="18"/>
              </w:rPr>
              <w:t xml:space="preserve">REPAIR</w:t>
            </w:r>
          </w:p>
        </w:tc>
      </w:tr>
      <w:tr>
        <w:tc>
          <w:tcPr>
            <w:tcW w:w="1027" w:type="dxa"/>
          </w:tcPr>
          <w:p>
            <w:pPr>
              <w:pStyle w:val="Compact"/>
              <w:spacing w:after="40"/>
              <w:jc w:val="left"/>
            </w:pPr>
            <w:r>
              <w:rPr>
                <w:rStyle w:val="VerbatimChar"/>
                <w:sz w:val="18"/>
              </w:rPr>
              <w:t xml:space="preserve">SIGNED_OFF</w:t>
            </w:r>
          </w:p>
        </w:tc>
        <w:tc>
          <w:tcPr>
            <w:tcW w:w="2470" w:type="dxa"/>
          </w:tcPr>
          <w:p>
            <w:pPr>
              <w:pStyle w:val="Compact"/>
              <w:spacing w:after="40"/>
              <w:jc w:val="left"/>
            </w:pPr>
            <w:r>
              <w:rPr>
                <w:sz w:val="18"/>
              </w:rPr>
              <w:t xml:space="preserve">Signature recorded</w:t>
            </w:r>
          </w:p>
        </w:tc>
        <w:tc>
          <w:tcPr>
            <w:tcW w:w="927" w:type="dxa"/>
          </w:tcPr>
          <w:p>
            <w:pPr>
              <w:pStyle w:val="Compact"/>
              <w:spacing w:after="40"/>
              <w:jc w:val="left"/>
            </w:pPr>
            <w:r>
              <w:rPr>
                <w:sz w:val="18"/>
              </w:rPr>
              <w:t xml:space="preserve">System</w:t>
            </w:r>
          </w:p>
        </w:tc>
        <w:tc>
          <w:tcPr>
            <w:tcW w:w="1701" w:type="dxa"/>
          </w:tcPr>
          <w:p>
            <w:pPr>
              <w:pStyle w:val="Compact"/>
              <w:spacing w:after="40"/>
              <w:jc w:val="left"/>
            </w:pPr>
            <w:r>
              <w:rPr>
                <w:sz w:val="18"/>
              </w:rPr>
              <w:t xml:space="preserve">Build package (RR3.6)</w:t>
            </w:r>
          </w:p>
        </w:tc>
        <w:tc>
          <w:tcPr>
            <w:tcW w:w="1493" w:type="dxa"/>
          </w:tcPr>
          <w:p>
            <w:pPr>
              <w:pStyle w:val="Compact"/>
              <w:spacing w:after="40"/>
              <w:jc w:val="left"/>
            </w:pPr>
            <w:r>
              <w:rPr>
                <w:sz w:val="18"/>
              </w:rPr>
              <w:t xml:space="preserve">Immediate</w:t>
            </w:r>
          </w:p>
        </w:tc>
        <w:tc>
          <w:tcPr>
            <w:tcW w:w="2020" w:type="dxa"/>
          </w:tcPr>
          <w:p>
            <w:pPr>
              <w:pStyle w:val="Compact"/>
              <w:spacing w:after="40"/>
              <w:jc w:val="left"/>
            </w:pPr>
            <w:r>
              <w:rPr>
                <w:sz w:val="18"/>
              </w:rPr>
              <w:t xml:space="preserve">→</w:t>
            </w:r>
            <w:r>
              <w:rPr>
                <w:sz w:val="18"/>
              </w:rPr>
              <w:t xml:space="preserve"> </w:t>
            </w:r>
            <w:r>
              <w:rPr>
                <w:rStyle w:val="VerbatimChar"/>
                <w:sz w:val="18"/>
              </w:rPr>
              <w:t xml:space="preserve">PACKAGED</w:t>
            </w:r>
            <w:r>
              <w:rPr>
                <w:sz w:val="18"/>
              </w:rPr>
              <w:t xml:space="preserve">; any later input change voids the sign-off and starts run n+1</w:t>
            </w:r>
          </w:p>
        </w:tc>
      </w:tr>
      <w:tr>
        <w:tc>
          <w:tcPr>
            <w:tcW w:w="1027" w:type="dxa"/>
          </w:tcPr>
          <w:p>
            <w:pPr>
              <w:pStyle w:val="Compact"/>
              <w:spacing w:after="40"/>
              <w:jc w:val="left"/>
            </w:pPr>
            <w:r>
              <w:rPr>
                <w:rStyle w:val="VerbatimChar"/>
                <w:sz w:val="18"/>
              </w:rPr>
              <w:t xml:space="preserve">PACKAGED</w:t>
            </w:r>
          </w:p>
        </w:tc>
        <w:tc>
          <w:tcPr>
            <w:tcW w:w="2470" w:type="dxa"/>
          </w:tcPr>
          <w:p>
            <w:pPr>
              <w:pStyle w:val="Compact"/>
              <w:spacing w:after="40"/>
              <w:jc w:val="left"/>
            </w:pPr>
            <w:r>
              <w:rPr>
                <w:sz w:val="18"/>
              </w:rPr>
              <w:t xml:space="preserve">Package hash stored</w:t>
            </w:r>
          </w:p>
        </w:tc>
        <w:tc>
          <w:tcPr>
            <w:tcW w:w="927" w:type="dxa"/>
          </w:tcPr>
          <w:p>
            <w:pPr>
              <w:pStyle w:val="Compact"/>
              <w:spacing w:after="40"/>
              <w:jc w:val="left"/>
            </w:pPr>
            <w:r>
              <w:rPr>
                <w:sz w:val="18"/>
              </w:rPr>
              <w:t xml:space="preserve">Authorised filer</w:t>
            </w:r>
          </w:p>
        </w:tc>
        <w:tc>
          <w:tcPr>
            <w:tcW w:w="1701" w:type="dxa"/>
          </w:tcPr>
          <w:p>
            <w:pPr>
              <w:pStyle w:val="Compact"/>
              <w:spacing w:after="40"/>
              <w:jc w:val="left"/>
            </w:pPr>
            <w:r>
              <w:rPr>
                <w:sz w:val="18"/>
              </w:rPr>
              <w:t xml:space="preserve">Download package; follow the guided upload checklist (RR4.1)</w:t>
            </w:r>
          </w:p>
        </w:tc>
        <w:tc>
          <w:tcPr>
            <w:tcW w:w="1493" w:type="dxa"/>
          </w:tcPr>
          <w:p>
            <w:pPr>
              <w:pStyle w:val="Compact"/>
              <w:spacing w:after="40"/>
              <w:jc w:val="left"/>
            </w:pPr>
            <w:r>
              <w:rPr>
                <w:sz w:val="18"/>
              </w:rPr>
              <w:t xml:space="preserve">Alert at due − 1 working day if not uploaded</w:t>
            </w:r>
          </w:p>
        </w:tc>
        <w:tc>
          <w:tcPr>
            <w:tcW w:w="2020" w:type="dxa"/>
          </w:tcPr>
          <w:p>
            <w:pPr>
              <w:pStyle w:val="Compact"/>
              <w:spacing w:after="40"/>
              <w:jc w:val="left"/>
            </w:pPr>
            <w:r>
              <w:rPr>
                <w:sz w:val="18"/>
              </w:rPr>
              <w:t xml:space="preserve">Upload recorded →</w:t>
            </w:r>
            <w:r>
              <w:rPr>
                <w:sz w:val="18"/>
              </w:rPr>
              <w:t xml:space="preserve"> </w:t>
            </w:r>
            <w:r>
              <w:rPr>
                <w:rStyle w:val="VerbatimChar"/>
                <w:sz w:val="18"/>
              </w:rPr>
              <w:t xml:space="preserve">UPLOADED_BY_HUMAN</w:t>
            </w:r>
            <w:r>
              <w:rPr>
                <w:sz w:val="18"/>
              </w:rPr>
              <w:t xml:space="preserve">; portal down and RBI advises email →</w:t>
            </w:r>
            <w:r>
              <w:rPr>
                <w:sz w:val="18"/>
              </w:rPr>
              <w:t xml:space="preserve"> </w:t>
            </w:r>
            <w:r>
              <w:rPr>
                <w:rStyle w:val="VerbatimChar"/>
                <w:sz w:val="18"/>
              </w:rPr>
              <w:t xml:space="preserve">CONTINGENCY_EMAIL</w:t>
            </w:r>
          </w:p>
        </w:tc>
      </w:tr>
      <w:tr>
        <w:tc>
          <w:tcPr>
            <w:tcW w:w="1027" w:type="dxa"/>
          </w:tcPr>
          <w:p>
            <w:pPr>
              <w:pStyle w:val="Compact"/>
              <w:spacing w:after="40"/>
              <w:jc w:val="left"/>
            </w:pPr>
            <w:r>
              <w:rPr>
                <w:rStyle w:val="VerbatimChar"/>
                <w:sz w:val="18"/>
              </w:rPr>
              <w:t xml:space="preserve">UPLOADED_BY_HUMAN</w:t>
            </w:r>
          </w:p>
        </w:tc>
        <w:tc>
          <w:tcPr>
            <w:tcW w:w="2470" w:type="dxa"/>
          </w:tcPr>
          <w:p>
            <w:pPr>
              <w:pStyle w:val="Compact"/>
              <w:spacing w:after="40"/>
              <w:jc w:val="left"/>
            </w:pPr>
            <w:r>
              <w:rPr>
                <w:sz w:val="18"/>
              </w:rPr>
              <w:t xml:space="preserve">Filer alias, time and file hash confirmed</w:t>
            </w:r>
          </w:p>
        </w:tc>
        <w:tc>
          <w:tcPr>
            <w:tcW w:w="927" w:type="dxa"/>
          </w:tcPr>
          <w:p>
            <w:pPr>
              <w:pStyle w:val="Compact"/>
              <w:spacing w:after="40"/>
              <w:jc w:val="left"/>
            </w:pPr>
            <w:r>
              <w:rPr>
                <w:sz w:val="18"/>
              </w:rPr>
              <w:t xml:space="preserve">Filer</w:t>
            </w:r>
          </w:p>
        </w:tc>
        <w:tc>
          <w:tcPr>
            <w:tcW w:w="1701" w:type="dxa"/>
          </w:tcPr>
          <w:p>
            <w:pPr>
              <w:pStyle w:val="Compact"/>
              <w:spacing w:after="40"/>
              <w:jc w:val="left"/>
            </w:pPr>
            <w:r>
              <w:rPr>
                <w:sz w:val="18"/>
              </w:rPr>
              <w:t xml:space="preserve">Record portal validation result; upload acknowledgement</w:t>
            </w:r>
          </w:p>
        </w:tc>
        <w:tc>
          <w:tcPr>
            <w:tcW w:w="1493" w:type="dxa"/>
          </w:tcPr>
          <w:p>
            <w:pPr>
              <w:pStyle w:val="Compact"/>
              <w:spacing w:after="40"/>
              <w:jc w:val="left"/>
            </w:pPr>
            <w:r>
              <w:rPr>
                <w:sz w:val="18"/>
              </w:rPr>
              <w:t xml:space="preserve">Reminder after 4 working hours without an acknowledgement</w:t>
            </w:r>
          </w:p>
        </w:tc>
        <w:tc>
          <w:tcPr>
            <w:tcW w:w="2020" w:type="dxa"/>
          </w:tcPr>
          <w:p>
            <w:pPr>
              <w:pStyle w:val="Compact"/>
              <w:spacing w:after="40"/>
              <w:jc w:val="left"/>
            </w:pPr>
            <w:r>
              <w:rPr>
                <w:sz w:val="18"/>
              </w:rPr>
              <w:t xml:space="preserve">Acknowledgement and confirmed reference →</w:t>
            </w:r>
            <w:r>
              <w:rPr>
                <w:sz w:val="18"/>
              </w:rPr>
              <w:t xml:space="preserve"> </w:t>
            </w:r>
            <w:r>
              <w:rPr>
                <w:rStyle w:val="VerbatimChar"/>
                <w:sz w:val="18"/>
              </w:rPr>
              <w:t xml:space="preserve">ACKNOWLEDGED</w:t>
            </w:r>
            <w:r>
              <w:rPr>
                <w:sz w:val="18"/>
              </w:rPr>
              <w:t xml:space="preserve"> </w:t>
            </w:r>
            <w:r>
              <w:rPr>
                <w:sz w:val="18"/>
              </w:rPr>
              <w:t xml:space="preserve">(</w:t>
            </w:r>
            <w:r>
              <w:rPr>
                <w:rStyle w:val="VerbatimChar"/>
                <w:sz w:val="18"/>
              </w:rPr>
              <w:t xml:space="preserve">ReturnFiled</w:t>
            </w:r>
            <w:r>
              <w:rPr>
                <w:sz w:val="18"/>
              </w:rPr>
              <w:t xml:space="preserve">); portal rejection →</w:t>
            </w:r>
            <w:r>
              <w:rPr>
                <w:sz w:val="18"/>
              </w:rPr>
              <w:t xml:space="preserve"> </w:t>
            </w:r>
            <w:r>
              <w:rPr>
                <w:rStyle w:val="VerbatimChar"/>
                <w:sz w:val="18"/>
              </w:rPr>
              <w:t xml:space="preserve">PORTAL_REJECTED</w:t>
            </w:r>
          </w:p>
        </w:tc>
      </w:tr>
      <w:tr>
        <w:tc>
          <w:tcPr>
            <w:tcW w:w="1027" w:type="dxa"/>
          </w:tcPr>
          <w:p>
            <w:pPr>
              <w:pStyle w:val="Compact"/>
              <w:spacing w:after="40"/>
              <w:jc w:val="left"/>
            </w:pPr>
            <w:r>
              <w:rPr>
                <w:rStyle w:val="VerbatimChar"/>
                <w:sz w:val="18"/>
              </w:rPr>
              <w:t xml:space="preserve">PORTAL_REJECTED</w:t>
            </w:r>
          </w:p>
        </w:tc>
        <w:tc>
          <w:tcPr>
            <w:tcW w:w="2470" w:type="dxa"/>
          </w:tcPr>
          <w:p>
            <w:pPr>
              <w:pStyle w:val="Compact"/>
              <w:spacing w:after="40"/>
              <w:jc w:val="left"/>
            </w:pPr>
            <w:r>
              <w:rPr>
                <w:sz w:val="18"/>
              </w:rPr>
              <w:t xml:space="preserve">Portal message recorded</w:t>
            </w:r>
          </w:p>
        </w:tc>
        <w:tc>
          <w:tcPr>
            <w:tcW w:w="927" w:type="dxa"/>
          </w:tcPr>
          <w:p>
            <w:pPr>
              <w:pStyle w:val="Compact"/>
              <w:spacing w:after="40"/>
              <w:jc w:val="left"/>
            </w:pPr>
            <w:r>
              <w:rPr>
                <w:sz w:val="18"/>
              </w:rPr>
              <w:t xml:space="preserve">Maker</w:t>
            </w:r>
          </w:p>
        </w:tc>
        <w:tc>
          <w:tcPr>
            <w:tcW w:w="1701" w:type="dxa"/>
          </w:tcPr>
          <w:p>
            <w:pPr>
              <w:pStyle w:val="Compact"/>
              <w:spacing w:after="40"/>
              <w:jc w:val="left"/>
            </w:pPr>
            <w:r>
              <w:rPr>
                <w:sz w:val="18"/>
              </w:rPr>
              <w:t xml:space="preserve">Classify: data error or portal-side error</w:t>
            </w:r>
          </w:p>
        </w:tc>
        <w:tc>
          <w:tcPr>
            <w:tcW w:w="1493" w:type="dxa"/>
          </w:tcPr>
          <w:p>
            <w:pPr>
              <w:pStyle w:val="Compact"/>
              <w:spacing w:after="40"/>
              <w:jc w:val="left"/>
            </w:pPr>
            <w:r>
              <w:rPr>
                <w:sz w:val="18"/>
              </w:rPr>
              <w:t xml:space="preserve">—</w:t>
            </w:r>
          </w:p>
        </w:tc>
        <w:tc>
          <w:tcPr>
            <w:tcW w:w="2020" w:type="dxa"/>
          </w:tcPr>
          <w:p>
            <w:pPr>
              <w:pStyle w:val="Compact"/>
              <w:spacing w:after="40"/>
              <w:jc w:val="left"/>
            </w:pPr>
            <w:r>
              <w:rPr>
                <w:sz w:val="18"/>
              </w:rPr>
              <w:t xml:space="preserve">Data error →</w:t>
            </w:r>
            <w:r>
              <w:rPr>
                <w:sz w:val="18"/>
              </w:rPr>
              <w:t xml:space="preserve"> </w:t>
            </w:r>
            <w:r>
              <w:rPr>
                <w:rStyle w:val="VerbatimChar"/>
                <w:sz w:val="18"/>
              </w:rPr>
              <w:t xml:space="preserve">REPAIR</w:t>
            </w:r>
            <w:r>
              <w:rPr>
                <w:sz w:val="18"/>
              </w:rPr>
              <w:t xml:space="preserve">; portal-side error (same file, no change) →</w:t>
            </w:r>
            <w:r>
              <w:rPr>
                <w:sz w:val="18"/>
              </w:rPr>
              <w:t xml:space="preserve"> </w:t>
            </w:r>
            <w:r>
              <w:rPr>
                <w:rStyle w:val="VerbatimChar"/>
                <w:sz w:val="18"/>
              </w:rPr>
              <w:t xml:space="preserve">PACKAGED</w:t>
            </w:r>
            <w:r>
              <w:rPr>
                <w:sz w:val="18"/>
              </w:rPr>
              <w:t xml:space="preserve"> </w:t>
            </w:r>
            <w:r>
              <w:rPr>
                <w:sz w:val="18"/>
              </w:rPr>
              <w:t xml:space="preserve">with reason</w:t>
            </w:r>
          </w:p>
        </w:tc>
      </w:tr>
      <w:tr>
        <w:tc>
          <w:tcPr>
            <w:tcW w:w="1027" w:type="dxa"/>
          </w:tcPr>
          <w:p>
            <w:pPr>
              <w:pStyle w:val="Compact"/>
              <w:spacing w:after="40"/>
              <w:jc w:val="left"/>
            </w:pPr>
            <w:r>
              <w:rPr>
                <w:rStyle w:val="VerbatimChar"/>
                <w:sz w:val="18"/>
              </w:rPr>
              <w:t xml:space="preserve">REPAIR</w:t>
            </w:r>
          </w:p>
        </w:tc>
        <w:tc>
          <w:tcPr>
            <w:tcW w:w="2470" w:type="dxa"/>
          </w:tcPr>
          <w:p>
            <w:pPr>
              <w:pStyle w:val="Compact"/>
              <w:spacing w:after="40"/>
              <w:jc w:val="left"/>
            </w:pPr>
            <w:r>
              <w:rPr>
                <w:sz w:val="18"/>
              </w:rPr>
              <w:t xml:space="preserve">Rule failure, break, rejection or reject decision</w:t>
            </w:r>
          </w:p>
        </w:tc>
        <w:tc>
          <w:tcPr>
            <w:tcW w:w="927" w:type="dxa"/>
          </w:tcPr>
          <w:p>
            <w:pPr>
              <w:pStyle w:val="Compact"/>
              <w:spacing w:after="40"/>
              <w:jc w:val="left"/>
            </w:pPr>
            <w:r>
              <w:rPr>
                <w:sz w:val="18"/>
              </w:rPr>
              <w:t xml:space="preserve">Data owner, then maker</w:t>
            </w:r>
          </w:p>
        </w:tc>
        <w:tc>
          <w:tcPr>
            <w:tcW w:w="1701" w:type="dxa"/>
          </w:tcPr>
          <w:p>
            <w:pPr>
              <w:pStyle w:val="Compact"/>
              <w:spacing w:after="40"/>
              <w:jc w:val="left"/>
            </w:pPr>
            <w:r>
              <w:rPr>
                <w:sz w:val="18"/>
              </w:rPr>
              <w:t xml:space="preserve">Fix at source (never in the file); regenerate</w:t>
            </w:r>
          </w:p>
        </w:tc>
        <w:tc>
          <w:tcPr>
            <w:tcW w:w="1493" w:type="dxa"/>
          </w:tcPr>
          <w:p>
            <w:pPr>
              <w:pStyle w:val="Compact"/>
              <w:spacing w:after="40"/>
              <w:jc w:val="left"/>
            </w:pPr>
            <w:r>
              <w:rPr>
                <w:sz w:val="18"/>
              </w:rPr>
              <w:t xml:space="preserve">Escalate to the CCO if repair would breach</w:t>
            </w:r>
            <w:r>
              <w:rPr>
                <w:sz w:val="18"/>
              </w:rPr>
              <w:t xml:space="preserve"> </w:t>
            </w:r>
            <w:r>
              <w:rPr>
                <w:rStyle w:val="VerbatimChar"/>
                <w:sz w:val="18"/>
              </w:rPr>
              <w:t xml:space="preserve">due_at</w:t>
            </w:r>
          </w:p>
        </w:tc>
        <w:tc>
          <w:tcPr>
            <w:tcW w:w="2020" w:type="dxa"/>
          </w:tcPr>
          <w:p>
            <w:pPr>
              <w:pStyle w:val="Compact"/>
              <w:spacing w:after="40"/>
              <w:jc w:val="left"/>
            </w:pPr>
            <w:r>
              <w:rPr>
                <w:sz w:val="18"/>
              </w:rPr>
              <w:t xml:space="preserve">→</w:t>
            </w:r>
            <w:r>
              <w:rPr>
                <w:sz w:val="18"/>
              </w:rPr>
              <w:t xml:space="preserve"> </w:t>
            </w:r>
            <w:r>
              <w:rPr>
                <w:rStyle w:val="VerbatimChar"/>
                <w:sz w:val="18"/>
              </w:rPr>
              <w:t xml:space="preserve">GENERATED</w:t>
            </w:r>
            <w:r>
              <w:rPr>
                <w:sz w:val="18"/>
              </w:rPr>
              <w:t xml:space="preserve"> </w:t>
            </w:r>
            <w:r>
              <w:rPr>
                <w:sz w:val="18"/>
              </w:rPr>
              <w:t xml:space="preserve">(same run number until</w:t>
            </w:r>
            <w:r>
              <w:rPr>
                <w:sz w:val="18"/>
              </w:rPr>
              <w:t xml:space="preserve"> </w:t>
            </w:r>
            <w:r>
              <w:rPr>
                <w:rStyle w:val="VerbatimChar"/>
                <w:sz w:val="18"/>
              </w:rPr>
              <w:t xml:space="preserve">SIGNED_OFF</w:t>
            </w:r>
            <w:r>
              <w:rPr>
                <w:sz w:val="18"/>
              </w:rPr>
              <w:t xml:space="preserve">, a new run after)</w:t>
            </w:r>
          </w:p>
        </w:tc>
      </w:tr>
      <w:tr>
        <w:tc>
          <w:tcPr>
            <w:tcW w:w="1027" w:type="dxa"/>
          </w:tcPr>
          <w:p>
            <w:pPr>
              <w:pStyle w:val="Compact"/>
              <w:spacing w:after="40"/>
              <w:jc w:val="left"/>
            </w:pPr>
            <w:r>
              <w:rPr>
                <w:rStyle w:val="VerbatimChar"/>
                <w:sz w:val="18"/>
              </w:rPr>
              <w:t xml:space="preserve">CONTINGENCY_EMAIL</w:t>
            </w:r>
          </w:p>
        </w:tc>
        <w:tc>
          <w:tcPr>
            <w:tcW w:w="2470" w:type="dxa"/>
          </w:tcPr>
          <w:p>
            <w:pPr>
              <w:pStyle w:val="Compact"/>
              <w:spacing w:after="40"/>
              <w:jc w:val="left"/>
            </w:pPr>
            <w:r>
              <w:rPr>
                <w:sz w:val="18"/>
              </w:rPr>
              <w:t xml:space="preserve">RBI advice attached (SR para 18)</w:t>
            </w:r>
          </w:p>
        </w:tc>
        <w:tc>
          <w:tcPr>
            <w:tcW w:w="927" w:type="dxa"/>
          </w:tcPr>
          <w:p>
            <w:pPr>
              <w:pStyle w:val="Compact"/>
              <w:spacing w:after="40"/>
              <w:jc w:val="left"/>
            </w:pPr>
            <w:r>
              <w:rPr>
                <w:sz w:val="18"/>
              </w:rPr>
              <w:t xml:space="preserve">Filer</w:t>
            </w:r>
          </w:p>
        </w:tc>
        <w:tc>
          <w:tcPr>
            <w:tcW w:w="1701" w:type="dxa"/>
          </w:tcPr>
          <w:p>
            <w:pPr>
              <w:pStyle w:val="Compact"/>
              <w:spacing w:after="40"/>
              <w:jc w:val="left"/>
            </w:pPr>
            <w:r>
              <w:rPr>
                <w:sz w:val="18"/>
              </w:rPr>
              <w:t xml:space="preserve">Record email sent</w:t>
            </w:r>
          </w:p>
        </w:tc>
        <w:tc>
          <w:tcPr>
            <w:tcW w:w="1493" w:type="dxa"/>
          </w:tcPr>
          <w:p>
            <w:pPr>
              <w:pStyle w:val="Compact"/>
              <w:spacing w:after="40"/>
              <w:jc w:val="left"/>
            </w:pPr>
            <w:r>
              <w:rPr>
                <w:sz w:val="18"/>
              </w:rPr>
              <w:t xml:space="preserve">—</w:t>
            </w:r>
          </w:p>
        </w:tc>
        <w:tc>
          <w:tcPr>
            <w:tcW w:w="2020" w:type="dxa"/>
          </w:tcPr>
          <w:p>
            <w:pPr>
              <w:pStyle w:val="Compact"/>
              <w:spacing w:after="40"/>
              <w:jc w:val="left"/>
            </w:pPr>
            <w:r>
              <w:rPr>
                <w:sz w:val="18"/>
              </w:rPr>
              <w:t xml:space="preserve">→</w:t>
            </w:r>
            <w:r>
              <w:rPr>
                <w:sz w:val="18"/>
              </w:rPr>
              <w:t xml:space="preserve"> </w:t>
            </w:r>
            <w:r>
              <w:rPr>
                <w:rStyle w:val="VerbatimChar"/>
                <w:sz w:val="18"/>
              </w:rPr>
              <w:t xml:space="preserve">ONLINE_RESUBMISSION_PENDING</w:t>
            </w:r>
          </w:p>
        </w:tc>
      </w:tr>
      <w:tr>
        <w:tc>
          <w:tcPr>
            <w:tcW w:w="1027" w:type="dxa"/>
          </w:tcPr>
          <w:p>
            <w:pPr>
              <w:pStyle w:val="Compact"/>
              <w:spacing w:after="40"/>
              <w:jc w:val="left"/>
            </w:pPr>
            <w:r>
              <w:rPr>
                <w:rStyle w:val="VerbatimChar"/>
                <w:sz w:val="18"/>
              </w:rPr>
              <w:t xml:space="preserve">ONLINE_RESUBMISSION_PENDING</w:t>
            </w:r>
          </w:p>
        </w:tc>
        <w:tc>
          <w:tcPr>
            <w:tcW w:w="2470" w:type="dxa"/>
          </w:tcPr>
          <w:p>
            <w:pPr>
              <w:pStyle w:val="Compact"/>
              <w:spacing w:after="40"/>
              <w:jc w:val="left"/>
            </w:pPr>
            <w:r>
              <w:rPr>
                <w:sz w:val="18"/>
              </w:rPr>
              <w:t xml:space="preserve">Contingency filing recorded</w:t>
            </w:r>
          </w:p>
        </w:tc>
        <w:tc>
          <w:tcPr>
            <w:tcW w:w="927" w:type="dxa"/>
          </w:tcPr>
          <w:p>
            <w:pPr>
              <w:pStyle w:val="Compact"/>
              <w:spacing w:after="40"/>
              <w:jc w:val="left"/>
            </w:pPr>
            <w:r>
              <w:rPr>
                <w:sz w:val="18"/>
              </w:rPr>
              <w:t xml:space="preserve">Filer</w:t>
            </w:r>
          </w:p>
        </w:tc>
        <w:tc>
          <w:tcPr>
            <w:tcW w:w="1701" w:type="dxa"/>
          </w:tcPr>
          <w:p>
            <w:pPr>
              <w:pStyle w:val="Compact"/>
              <w:spacing w:after="40"/>
              <w:jc w:val="left"/>
            </w:pPr>
            <w:r>
              <w:rPr>
                <w:sz w:val="18"/>
              </w:rPr>
              <w:t xml:space="preserve">Upload online when the portal returns</w:t>
            </w:r>
          </w:p>
        </w:tc>
        <w:tc>
          <w:tcPr>
            <w:tcW w:w="1493" w:type="dxa"/>
          </w:tcPr>
          <w:p>
            <w:pPr>
              <w:pStyle w:val="Compact"/>
              <w:spacing w:after="40"/>
              <w:jc w:val="left"/>
            </w:pPr>
            <w:r>
              <w:rPr>
                <w:sz w:val="18"/>
              </w:rPr>
              <w:t xml:space="preserve">Daily reminder</w:t>
            </w:r>
          </w:p>
        </w:tc>
        <w:tc>
          <w:tcPr>
            <w:tcW w:w="2020" w:type="dxa"/>
          </w:tcPr>
          <w:p>
            <w:pPr>
              <w:pStyle w:val="Compact"/>
              <w:spacing w:after="40"/>
              <w:jc w:val="left"/>
            </w:pPr>
            <w:r>
              <w:rPr>
                <w:sz w:val="18"/>
              </w:rPr>
              <w:t xml:space="preserve">Online acknowledgement →</w:t>
            </w:r>
            <w:r>
              <w:rPr>
                <w:sz w:val="18"/>
              </w:rPr>
              <w:t xml:space="preserve"> </w:t>
            </w:r>
            <w:r>
              <w:rPr>
                <w:rStyle w:val="VerbatimChar"/>
                <w:sz w:val="18"/>
              </w:rPr>
              <w:t xml:space="preserve">ACKNOWLEDGED</w:t>
            </w:r>
          </w:p>
        </w:tc>
      </w:tr>
      <w:tr>
        <w:tc>
          <w:tcPr>
            <w:tcW w:w="1027" w:type="dxa"/>
          </w:tcPr>
          <w:p>
            <w:pPr>
              <w:pStyle w:val="Compact"/>
              <w:spacing w:after="40"/>
              <w:jc w:val="left"/>
            </w:pPr>
            <w:r>
              <w:rPr>
                <w:rStyle w:val="VerbatimChar"/>
                <w:sz w:val="18"/>
              </w:rPr>
              <w:t xml:space="preserve">ACKNOWLEDGED</w:t>
            </w:r>
          </w:p>
        </w:tc>
        <w:tc>
          <w:tcPr>
            <w:tcW w:w="2470" w:type="dxa"/>
          </w:tcPr>
          <w:p>
            <w:pPr>
              <w:pStyle w:val="Compact"/>
              <w:spacing w:after="40"/>
              <w:jc w:val="left"/>
            </w:pPr>
            <w:r>
              <w:rPr>
                <w:sz w:val="18"/>
              </w:rPr>
              <w:t xml:space="preserve">Acknowledgement document hash and reference stored</w:t>
            </w:r>
          </w:p>
        </w:tc>
        <w:tc>
          <w:tcPr>
            <w:tcW w:w="927" w:type="dxa"/>
          </w:tcPr>
          <w:p>
            <w:pPr>
              <w:pStyle w:val="Compact"/>
              <w:spacing w:after="40"/>
              <w:jc w:val="left"/>
            </w:pPr>
            <w:r>
              <w:rPr>
                <w:sz w:val="18"/>
              </w:rPr>
              <w:t xml:space="preserve">System</w:t>
            </w:r>
          </w:p>
        </w:tc>
        <w:tc>
          <w:tcPr>
            <w:tcW w:w="1701" w:type="dxa"/>
          </w:tcPr>
          <w:p>
            <w:pPr>
              <w:pStyle w:val="Compact"/>
              <w:spacing w:after="40"/>
              <w:jc w:val="left"/>
            </w:pPr>
            <w:r>
              <w:rPr>
                <w:sz w:val="18"/>
              </w:rPr>
              <w:t xml:space="preserve">Evidence completeness check</w:t>
            </w:r>
          </w:p>
        </w:tc>
        <w:tc>
          <w:tcPr>
            <w:tcW w:w="1493" w:type="dxa"/>
          </w:tcPr>
          <w:p>
            <w:pPr>
              <w:pStyle w:val="Compact"/>
              <w:spacing w:after="40"/>
              <w:jc w:val="left"/>
            </w:pPr>
            <w:r>
              <w:rPr>
                <w:sz w:val="18"/>
              </w:rPr>
              <w:t xml:space="preserve">—</w:t>
            </w:r>
          </w:p>
        </w:tc>
        <w:tc>
          <w:tcPr>
            <w:tcW w:w="2020" w:type="dxa"/>
          </w:tcPr>
          <w:p>
            <w:pPr>
              <w:pStyle w:val="Compact"/>
              <w:spacing w:after="40"/>
              <w:jc w:val="left"/>
            </w:pPr>
            <w:r>
              <w:rPr>
                <w:sz w:val="18"/>
              </w:rPr>
              <w:t xml:space="preserve">Complete →</w:t>
            </w:r>
            <w:r>
              <w:rPr>
                <w:sz w:val="18"/>
              </w:rPr>
              <w:t xml:space="preserve"> </w:t>
            </w:r>
            <w:r>
              <w:rPr>
                <w:rStyle w:val="VerbatimChar"/>
                <w:sz w:val="18"/>
              </w:rPr>
              <w:t xml:space="preserve">CLOSED</w:t>
            </w:r>
          </w:p>
        </w:tc>
      </w:tr>
      <w:tr>
        <w:tc>
          <w:tcPr>
            <w:tcW w:w="1027" w:type="dxa"/>
          </w:tcPr>
          <w:p>
            <w:pPr>
              <w:pStyle w:val="Compact"/>
              <w:spacing w:after="40"/>
              <w:jc w:val="left"/>
            </w:pPr>
            <w:r>
              <w:rPr>
                <w:rStyle w:val="VerbatimChar"/>
                <w:sz w:val="18"/>
              </w:rPr>
              <w:t xml:space="preserve">CLOSED</w:t>
            </w:r>
          </w:p>
        </w:tc>
        <w:tc>
          <w:tcPr>
            <w:tcW w:w="2470" w:type="dxa"/>
          </w:tcPr>
          <w:p>
            <w:pPr>
              <w:pStyle w:val="Compact"/>
              <w:spacing w:after="40"/>
              <w:jc w:val="left"/>
            </w:pPr>
            <w:r>
              <w:rPr>
                <w:sz w:val="18"/>
              </w:rPr>
              <w:t xml:space="preserve">Evidence pack sealed (RR5.2)</w:t>
            </w:r>
          </w:p>
        </w:tc>
        <w:tc>
          <w:tcPr>
            <w:tcW w:w="927" w:type="dxa"/>
          </w:tcPr>
          <w:p>
            <w:pPr>
              <w:pStyle w:val="Compact"/>
              <w:spacing w:after="40"/>
              <w:jc w:val="left"/>
            </w:pPr>
            <w:r>
              <w:rPr>
                <w:sz w:val="18"/>
              </w:rPr>
              <w:t xml:space="preserve">CCO</w:t>
            </w:r>
          </w:p>
        </w:tc>
        <w:tc>
          <w:tcPr>
            <w:tcW w:w="1701" w:type="dxa"/>
          </w:tcPr>
          <w:p>
            <w:pPr>
              <w:pStyle w:val="Compact"/>
              <w:spacing w:after="40"/>
              <w:jc w:val="left"/>
            </w:pPr>
            <w:r>
              <w:rPr>
                <w:sz w:val="18"/>
              </w:rPr>
              <w:t xml:space="preserve">Request revision (RR5.3)</w:t>
            </w:r>
          </w:p>
        </w:tc>
        <w:tc>
          <w:tcPr>
            <w:tcW w:w="1493" w:type="dxa"/>
          </w:tcPr>
          <w:p>
            <w:pPr>
              <w:pStyle w:val="Compact"/>
              <w:spacing w:after="40"/>
              <w:jc w:val="left"/>
            </w:pPr>
            <w:r>
              <w:rPr>
                <w:sz w:val="18"/>
              </w:rPr>
              <w:t xml:space="preserve">—</w:t>
            </w:r>
          </w:p>
        </w:tc>
        <w:tc>
          <w:tcPr>
            <w:tcW w:w="2020" w:type="dxa"/>
          </w:tcPr>
          <w:p>
            <w:pPr>
              <w:pStyle w:val="Compact"/>
              <w:spacing w:after="40"/>
              <w:jc w:val="left"/>
            </w:pPr>
            <w:r>
              <w:rPr>
                <w:sz w:val="18"/>
              </w:rPr>
              <w:t xml:space="preserve">→</w:t>
            </w:r>
            <w:r>
              <w:rPr>
                <w:sz w:val="18"/>
              </w:rPr>
              <w:t xml:space="preserve"> </w:t>
            </w:r>
            <w:r>
              <w:rPr>
                <w:rStyle w:val="VerbatimChar"/>
                <w:sz w:val="18"/>
              </w:rPr>
              <w:t xml:space="preserve">REVISION_REQUESTED</w:t>
            </w:r>
            <w:r>
              <w:rPr>
                <w:sz w:val="18"/>
              </w:rPr>
              <w:t xml:space="preserve"> </w:t>
            </w:r>
            <w:r>
              <w:rPr>
                <w:sz w:val="18"/>
              </w:rPr>
              <w:t xml:space="preserve">→ run n+1 from</w:t>
            </w:r>
            <w:r>
              <w:rPr>
                <w:sz w:val="18"/>
              </w:rPr>
              <w:t xml:space="preserve"> </w:t>
            </w:r>
            <w:r>
              <w:rPr>
                <w:rStyle w:val="VerbatimChar"/>
                <w:sz w:val="18"/>
              </w:rPr>
              <w:t xml:space="preserve">DATA_FROZEN</w:t>
            </w:r>
          </w:p>
        </w:tc>
      </w:tr>
    </w:tbl>
    <w:p>
      <w:pPr>
        <w:numPr>
          <w:ilvl w:val="0"/>
          <w:numId w:val="1273"/>
        </w:numPr>
        <w:pStyle w:val="Compact"/>
      </w:pPr>
      <w:r>
        <w:rPr>
          <w:bCs/>
          <w:b/>
        </w:rPr>
        <w:t xml:space="preserve">Overdue</w:t>
      </w:r>
      <w:r>
        <w:t xml:space="preserve"> </w:t>
      </w:r>
      <w:r>
        <w:t xml:space="preserve">is a flag, not a state: when</w:t>
      </w:r>
      <w:r>
        <w:t xml:space="preserve"> </w:t>
      </w:r>
      <w:r>
        <w:rPr>
          <w:rStyle w:val="VerbatimChar"/>
        </w:rPr>
        <w:t xml:space="preserve">now &gt; due_at</w:t>
      </w:r>
      <w:r>
        <w:t xml:space="preserve"> </w:t>
      </w:r>
      <w:r>
        <w:t xml:space="preserve">and the state is before</w:t>
      </w:r>
      <w:r>
        <w:t xml:space="preserve"> </w:t>
      </w:r>
      <w:r>
        <w:rPr>
          <w:rStyle w:val="VerbatimChar"/>
        </w:rPr>
        <w:t xml:space="preserve">UPLOADED_BY_HUMAN</w:t>
      </w:r>
      <w:r>
        <w:t xml:space="preserve">, Finbyx raises</w:t>
      </w:r>
      <w:r>
        <w:t xml:space="preserve"> </w:t>
      </w:r>
      <w:r>
        <w:rPr>
          <w:rStyle w:val="VerbatimChar"/>
        </w:rPr>
        <w:t xml:space="preserve">ComplianceIssueRaised</w:t>
      </w:r>
      <w:r>
        <w:t xml:space="preserve"> </w:t>
      </w:r>
      <w:r>
        <w:t xml:space="preserve">and escalates (RR5.1).</w:t>
      </w:r>
    </w:p>
    <w:p>
      <w:pPr>
        <w:numPr>
          <w:ilvl w:val="0"/>
          <w:numId w:val="1273"/>
        </w:numPr>
        <w:pStyle w:val="Compact"/>
      </w:pPr>
      <w:r>
        <w:rPr>
          <w:bCs/>
          <w:b/>
        </w:rPr>
        <w:t xml:space="preserve">NIL returns:</w:t>
      </w:r>
      <w:r>
        <w:t xml:space="preserve"> </w:t>
      </w:r>
      <w:r>
        <w:t xml:space="preserve">an empty population for DNBS08, DNBS09 or DNBS13 generates a NIL return that passes every state with the same approvals.</w:t>
      </w:r>
    </w:p>
    <w:p>
      <w:pPr>
        <w:numPr>
          <w:ilvl w:val="0"/>
          <w:numId w:val="1273"/>
        </w:numPr>
        <w:pStyle w:val="Compact"/>
      </w:pPr>
      <w:r>
        <w:rPr>
          <w:bCs/>
          <w:b/>
        </w:rPr>
        <w:t xml:space="preserve">Back-dated postings</w:t>
      </w:r>
      <w:r>
        <w:t xml:space="preserve"> </w:t>
      </w:r>
      <w:r>
        <w:t xml:space="preserve">after</w:t>
      </w:r>
      <w:r>
        <w:t xml:space="preserve"> </w:t>
      </w:r>
      <w:r>
        <w:rPr>
          <w:rStyle w:val="VerbatimChar"/>
        </w:rPr>
        <w:t xml:space="preserve">DATA_FROZEN</w:t>
      </w:r>
      <w:r>
        <w:t xml:space="preserve"> </w:t>
      </w:r>
      <w:r>
        <w:t xml:space="preserve">never change the run; they appear as post-snapshot reconciliation items and, after</w:t>
      </w:r>
      <w:r>
        <w:t xml:space="preserve"> </w:t>
      </w:r>
      <w:r>
        <w:rPr>
          <w:rStyle w:val="VerbatimChar"/>
        </w:rPr>
        <w:t xml:space="preserve">CLOSED</w:t>
      </w:r>
      <w:r>
        <w:t xml:space="preserve">, open a revision assessment (RR5.3).</w:t>
      </w:r>
    </w:p>
    <w:bookmarkEnd w:id="231"/>
    <w:bookmarkStart w:id="232" w:name="rr3.2-generation"/>
    <w:p>
      <w:pPr>
        <w:pStyle w:val="Heading3"/>
      </w:pPr>
      <w:r>
        <w:t xml:space="preserve">RR3.2 Generation</w:t>
      </w:r>
    </w:p>
    <w:p>
      <w:pPr>
        <w:numPr>
          <w:ilvl w:val="0"/>
          <w:numId w:val="1274"/>
        </w:numPr>
        <w:pStyle w:val="Compact"/>
      </w:pPr>
      <w:r>
        <w:t xml:space="preserve">The filer downloads the period’s RBI template and uploads it; Finbyx checks its hash against</w:t>
      </w:r>
      <w:r>
        <w:t xml:space="preserve"> </w:t>
      </w:r>
      <w:r>
        <w:rPr>
          <w:rStyle w:val="VerbatimChar"/>
        </w:rPr>
        <w:t xml:space="preserve">format_version</w:t>
      </w:r>
      <w:r>
        <w:t xml:space="preserve">, and a changed hash opens a template-change task (new version, cell-map review).</w:t>
      </w:r>
    </w:p>
    <w:p>
      <w:pPr>
        <w:numPr>
          <w:ilvl w:val="0"/>
          <w:numId w:val="1274"/>
        </w:numPr>
        <w:pStyle w:val="Compact"/>
      </w:pPr>
      <w:r>
        <w:t xml:space="preserve">Only unprotected input cells are filled; sheet names, protected cells, formulas and hidden sheets are never altered. XML or the CIMS web-form sheet is produced where that channel applies (RR4.1).</w:t>
      </w:r>
    </w:p>
    <w:p>
      <w:pPr>
        <w:numPr>
          <w:ilvl w:val="0"/>
          <w:numId w:val="1274"/>
        </w:numPr>
        <w:pStyle w:val="Compact"/>
      </w:pPr>
      <w:r>
        <w:rPr>
          <w:bCs/>
          <w:b/>
        </w:rPr>
        <w:t xml:space="preserve">Deterministic and idempotent:</w:t>
      </w:r>
      <w:r>
        <w:t xml:space="preserve"> </w:t>
      </w:r>
      <w:r>
        <w:t xml:space="preserve">the same snapshot hash, cell-map version and template hash give a byte-identical file; a generate command with unchanged inputs returns the existing file (key</w:t>
      </w:r>
      <w:r>
        <w:t xml:space="preserve"> </w:t>
      </w:r>
      <w:r>
        <w:rPr>
          <w:rStyle w:val="VerbatimChar"/>
        </w:rPr>
        <w:t xml:space="preserve">(instance_id, snapshot_hash, cell_map_version, template_hash)</w:t>
      </w:r>
      <w:r>
        <w:t xml:space="preserve">).</w:t>
      </w:r>
    </w:p>
    <w:bookmarkEnd w:id="232"/>
    <w:bookmarkStart w:id="233" w:name="rr3.3-validation-rule-dsl"/>
    <w:p>
      <w:pPr>
        <w:pStyle w:val="Heading3"/>
      </w:pPr>
      <w:r>
        <w:t xml:space="preserve">RR3.3 Validation rule DSL</w:t>
      </w:r>
    </w:p>
    <w:p>
      <w:pPr>
        <w:pStyle w:val="FirstParagraph"/>
      </w:pPr>
      <w:r>
        <w:t xml:space="preserve">Rules are versioned YAML documents with CEL expressions. Severity ERROR blocks sign-off; WARNING requires a maker comment and checker acceptance; INFO is logged.</w:t>
      </w:r>
    </w:p>
    <w:p>
      <w:pPr>
        <w:pStyle w:val="SourceCode"/>
      </w:pPr>
      <w:r>
        <w:rPr>
          <w:rStyle w:val="FunctionTok"/>
        </w:rPr>
        <w:t xml:space="preserve">id</w:t>
      </w:r>
      <w:r>
        <w:rPr>
          <w:rStyle w:val="KeywordTok"/>
        </w:rPr>
        <w:t xml:space="preserve">:</w:t>
      </w:r>
      <w:r>
        <w:rPr>
          <w:rStyle w:val="AttributeTok"/>
        </w:rPr>
        <w:t xml:space="preserve"> DNBS02.BS.BALANCE</w:t>
      </w:r>
      <w:r>
        <w:br/>
      </w:r>
      <w:r>
        <w:rPr>
          <w:rStyle w:val="FunctionTok"/>
        </w:rPr>
        <w:t xml:space="preserve">return</w:t>
      </w:r>
      <w:r>
        <w:rPr>
          <w:rStyle w:val="KeywordTok"/>
        </w:rPr>
        <w:t xml:space="preserve">:</w:t>
      </w:r>
      <w:r>
        <w:rPr>
          <w:rStyle w:val="AttributeTok"/>
        </w:rPr>
        <w:t xml:space="preserve"> DNBS02</w:t>
      </w:r>
      <w:r>
        <w:br/>
      </w:r>
      <w:r>
        <w:rPr>
          <w:rStyle w:val="FunctionTok"/>
        </w:rPr>
        <w:t xml:space="preserve">version</w:t>
      </w:r>
      <w:r>
        <w:rPr>
          <w:rStyle w:val="KeywordTok"/>
        </w:rPr>
        <w:t xml:space="preserve">:</w:t>
      </w:r>
      <w:r>
        <w:rPr>
          <w:rStyle w:val="AttributeTok"/>
        </w:rPr>
        <w:t xml:space="preserve"> </w:t>
      </w:r>
      <w:r>
        <w:rPr>
          <w:rStyle w:val="FloatTok"/>
        </w:rPr>
        <w:t xml:space="preserve">2026.10</w:t>
      </w:r>
      <w:r>
        <w:br/>
      </w:r>
      <w:r>
        <w:rPr>
          <w:rStyle w:val="FunctionTok"/>
        </w:rPr>
        <w:t xml:space="preserve">severity</w:t>
      </w:r>
      <w:r>
        <w:rPr>
          <w:rStyle w:val="KeywordTok"/>
        </w:rPr>
        <w:t xml:space="preserve">:</w:t>
      </w:r>
      <w:r>
        <w:rPr>
          <w:rStyle w:val="AttributeTok"/>
        </w:rPr>
        <w:t xml:space="preserve"> ERROR</w:t>
      </w:r>
      <w:r>
        <w:br/>
      </w:r>
      <w:r>
        <w:rPr>
          <w:rStyle w:val="FunctionTok"/>
        </w:rPr>
        <w:t xml:space="preserve">assert</w:t>
      </w:r>
      <w:r>
        <w:rPr>
          <w:rStyle w:val="KeywordTok"/>
        </w:rPr>
        <w:t xml:space="preserve">:</w:t>
      </w:r>
      <w:r>
        <w:rPr>
          <w:rStyle w:val="AttributeTok"/>
        </w:rPr>
        <w:t xml:space="preserve"> cell("BS", "TOTAL_ASSETS") == cell("BS", "TOTAL_LIABILITIES")</w:t>
      </w:r>
      <w:r>
        <w:br/>
      </w:r>
      <w:r>
        <w:rPr>
          <w:rStyle w:val="FunctionTok"/>
        </w:rPr>
        <w:t xml:space="preserve">message</w:t>
      </w:r>
      <w:r>
        <w:rPr>
          <w:rStyle w:val="KeywordTok"/>
        </w:rPr>
        <w:t xml:space="preserve">:</w:t>
      </w:r>
      <w:r>
        <w:rPr>
          <w:rStyle w:val="AttributeTok"/>
        </w:rPr>
        <w:t xml:space="preserve"> </w:t>
      </w:r>
      <w:r>
        <w:rPr>
          <w:rStyle w:val="StringTok"/>
        </w:rPr>
        <w:t xml:space="preserve">"Total assets must equal total liabilities"</w:t>
      </w:r>
      <w:r>
        <w:br/>
      </w:r>
      <w:r>
        <w:rPr>
          <w:rStyle w:val="FunctionTok"/>
        </w:rPr>
        <w:t xml:space="preserve">refs</w:t>
      </w:r>
      <w:r>
        <w:rPr>
          <w:rStyle w:val="KeywordTok"/>
        </w:rPr>
        <w:t xml:space="preserve">:</w:t>
      </w:r>
      <w:r>
        <w:rPr>
          <w:rStyle w:val="AttributeTok"/>
        </w:rPr>
        <w:t xml:space="preserve"> </w:t>
      </w:r>
      <w:r>
        <w:rPr>
          <w:rStyle w:val="KeywordTok"/>
        </w:rPr>
        <w:t xml:space="preserve">[</w:t>
      </w:r>
      <w:r>
        <w:rPr>
          <w:rStyle w:val="StringTok"/>
        </w:rPr>
        <w:t xml:space="preserve">"REQ-SR-14"</w:t>
      </w:r>
      <w:r>
        <w:rPr>
          <w:rStyle w:val="KeywordTok"/>
        </w:rPr>
        <w:t xml:space="preserve">]</w:t>
      </w:r>
      <w:r>
        <w:br/>
      </w:r>
      <w:r>
        <w:rPr>
          <w:rStyle w:val="PreprocessorTok"/>
        </w:rPr>
        <w:t xml:space="preserve">---</w:t>
      </w:r>
      <w:r>
        <w:br/>
      </w:r>
      <w:r>
        <w:rPr>
          <w:rStyle w:val="FunctionTok"/>
        </w:rPr>
        <w:t xml:space="preserve">id</w:t>
      </w:r>
      <w:r>
        <w:rPr>
          <w:rStyle w:val="KeywordTok"/>
        </w:rPr>
        <w:t xml:space="preserve">:</w:t>
      </w:r>
      <w:r>
        <w:rPr>
          <w:rStyle w:val="AttributeTok"/>
        </w:rPr>
        <w:t xml:space="preserve"> DNBS04B.BUCKET.TIE</w:t>
      </w:r>
      <w:r>
        <w:br/>
      </w:r>
      <w:r>
        <w:rPr>
          <w:rStyle w:val="FunctionTok"/>
        </w:rPr>
        <w:t xml:space="preserve">severity</w:t>
      </w:r>
      <w:r>
        <w:rPr>
          <w:rStyle w:val="KeywordTok"/>
        </w:rPr>
        <w:t xml:space="preserve">:</w:t>
      </w:r>
      <w:r>
        <w:rPr>
          <w:rStyle w:val="AttributeTok"/>
        </w:rPr>
        <w:t xml:space="preserve"> ERROR</w:t>
      </w:r>
      <w:r>
        <w:br/>
      </w:r>
      <w:r>
        <w:rPr>
          <w:rStyle w:val="FunctionTok"/>
        </w:rPr>
        <w:t xml:space="preserve">assert</w:t>
      </w:r>
      <w:r>
        <w:rPr>
          <w:rStyle w:val="KeywordTok"/>
        </w:rPr>
        <w:t xml:space="preserve">:</w:t>
      </w:r>
      <w:r>
        <w:rPr>
          <w:rStyle w:val="AttributeTok"/>
        </w:rPr>
        <w:t xml:space="preserve"> abs(sum(cells("SLS", "OUTFLOW_B1".."OUTFLOW_B10")) - gl("LIABILITIES_TOTAL", scale="CR")) &lt;= 0.01</w:t>
      </w:r>
      <w:r>
        <w:br/>
      </w:r>
      <w:r>
        <w:rPr>
          <w:rStyle w:val="FunctionTok"/>
        </w:rPr>
        <w:t xml:space="preserve">refs</w:t>
      </w:r>
      <w:r>
        <w:rPr>
          <w:rStyle w:val="KeywordTok"/>
        </w:rPr>
        <w:t xml:space="preserve">:</w:t>
      </w:r>
      <w:r>
        <w:rPr>
          <w:rStyle w:val="AttributeTok"/>
        </w:rPr>
        <w:t xml:space="preserve"> </w:t>
      </w:r>
      <w:r>
        <w:rPr>
          <w:rStyle w:val="KeywordTok"/>
        </w:rPr>
        <w:t xml:space="preserve">[</w:t>
      </w:r>
      <w:r>
        <w:rPr>
          <w:rStyle w:val="StringTok"/>
        </w:rPr>
        <w:t xml:space="preserve">"REQ-SR-14"</w:t>
      </w:r>
      <w:r>
        <w:rPr>
          <w:rStyle w:val="KeywordTok"/>
        </w:rPr>
        <w:t xml:space="preserve">,</w:t>
      </w:r>
      <w:r>
        <w:rPr>
          <w:rStyle w:val="AttributeTok"/>
        </w:rPr>
        <w:t xml:space="preserve"> </w:t>
      </w:r>
      <w:r>
        <w:rPr>
          <w:rStyle w:val="StringTok"/>
        </w:rPr>
        <w:t xml:space="preserve">"REQ-ALM-57"</w:t>
      </w:r>
      <w:r>
        <w:rPr>
          <w:rStyle w:val="KeywordTok"/>
        </w:rPr>
        <w:t xml:space="preserve">]</w:t>
      </w:r>
    </w:p>
    <w:p>
      <w:pPr>
        <w:pStyle w:val="FirstParagraph"/>
      </w:pPr>
      <w:r>
        <w:t xml:space="preserve">Functions:</w:t>
      </w:r>
      <w:r>
        <w:t xml:space="preserve"> </w:t>
      </w:r>
      <w:r>
        <w:rPr>
          <w:rStyle w:val="VerbatimChar"/>
        </w:rPr>
        <w:t xml:space="preserve">cell</w:t>
      </w:r>
      <w:r>
        <w:t xml:space="preserve">,</w:t>
      </w:r>
      <w:r>
        <w:t xml:space="preserve"> </w:t>
      </w:r>
      <w:r>
        <w:rPr>
          <w:rStyle w:val="VerbatimChar"/>
        </w:rPr>
        <w:t xml:space="preserve">cells</w:t>
      </w:r>
      <w:r>
        <w:t xml:space="preserve">,</w:t>
      </w:r>
      <w:r>
        <w:t xml:space="preserve"> </w:t>
      </w:r>
      <w:r>
        <w:rPr>
          <w:rStyle w:val="VerbatimChar"/>
        </w:rPr>
        <w:t xml:space="preserve">element</w:t>
      </w:r>
      <w:r>
        <w:t xml:space="preserve">,</w:t>
      </w:r>
      <w:r>
        <w:t xml:space="preserve"> </w:t>
      </w:r>
      <w:r>
        <w:rPr>
          <w:rStyle w:val="VerbatimChar"/>
        </w:rPr>
        <w:t xml:space="preserve">gl</w:t>
      </w:r>
      <w:r>
        <w:t xml:space="preserve">,</w:t>
      </w:r>
      <w:r>
        <w:t xml:space="preserve"> </w:t>
      </w:r>
      <w:r>
        <w:rPr>
          <w:rStyle w:val="VerbatimChar"/>
        </w:rPr>
        <w:t xml:space="preserve">subledger</w:t>
      </w:r>
      <w:r>
        <w:t xml:space="preserve">,</w:t>
      </w:r>
      <w:r>
        <w:t xml:space="preserve"> </w:t>
      </w:r>
      <w:r>
        <w:rPr>
          <w:rStyle w:val="VerbatimChar"/>
        </w:rPr>
        <w:t xml:space="preserve">count_where</w:t>
      </w:r>
      <w:r>
        <w:t xml:space="preserve">,</w:t>
      </w:r>
      <w:r>
        <w:t xml:space="preserve"> </w:t>
      </w:r>
      <w:r>
        <w:rPr>
          <w:rStyle w:val="VerbatimChar"/>
        </w:rPr>
        <w:t xml:space="preserve">prev_period</w:t>
      </w:r>
      <w:r>
        <w:t xml:space="preserve">,</w:t>
      </w:r>
      <w:r>
        <w:t xml:space="preserve"> </w:t>
      </w:r>
      <w:r>
        <w:rPr>
          <w:rStyle w:val="VerbatimChar"/>
        </w:rPr>
        <w:t xml:space="preserve">pct_change</w:t>
      </w:r>
      <w:r>
        <w:t xml:space="preserve">,</w:t>
      </w:r>
      <w:r>
        <w:t xml:space="preserve"> </w:t>
      </w:r>
      <w:r>
        <w:rPr>
          <w:rStyle w:val="VerbatimChar"/>
        </w:rPr>
        <w:t xml:space="preserve">tenant.param</w:t>
      </w:r>
      <w:r>
        <w:t xml:space="preserve">,</w:t>
      </w:r>
      <w:r>
        <w:t xml:space="preserve"> </w:t>
      </w:r>
      <w:r>
        <w:rPr>
          <w:rStyle w:val="VerbatimChar"/>
        </w:rPr>
        <w:t xml:space="preserve">lookup</w:t>
      </w:r>
      <w:r>
        <w:t xml:space="preserve">. Rule types: (1) schema (type, length, mandatory, catalogue); (2) intra-return arithmetic; (3) cross-return (DNBS01/02 ↔ DNBS04B outflows; DNBS03 CRAR ↔ capital run and notes; DNBS08 count ↔ ledger exposures ≥ ₹5 crore; DNBS09 ↔ week’s SMA-0 events; FMR ↔ fraud register; DNBS13 ↔ investment book); (4) GL reconciliation (RR3.4); (5) period-on-period reasonableness (warnings only); (6) the portal’s own validation rules (SR para 19) as a separate versioned pack.</w:t>
      </w:r>
    </w:p>
    <w:bookmarkEnd w:id="233"/>
    <w:bookmarkStart w:id="234" w:name="X44bbd2e094361b74a451279bad8156463d51936"/>
    <w:p>
      <w:pPr>
        <w:pStyle w:val="Heading3"/>
      </w:pPr>
      <w:r>
        <w:t xml:space="preserve">RR3.4 Reconciliation to the trial balance</w:t>
      </w:r>
    </w:p>
    <w:p>
      <w:pPr>
        <w:numPr>
          <w:ilvl w:val="0"/>
          <w:numId w:val="1275"/>
        </w:numPr>
        <w:pStyle w:val="Compact"/>
      </w:pPr>
      <w:r>
        <w:t xml:space="preserve">For each balance-sheet and P&amp;L element:</w:t>
      </w:r>
      <w:r>
        <w:t xml:space="preserve"> </w:t>
      </w:r>
      <w:r>
        <w:rPr>
          <w:rStyle w:val="VerbatimChar"/>
        </w:rPr>
        <w:t xml:space="preserve">variance = return_value − TB_value</w:t>
      </w:r>
      <w:r>
        <w:t xml:space="preserve"> </w:t>
      </w:r>
      <w:r>
        <w:t xml:space="preserve">after scaling. Tolerance for balance-sheet items is the rounding unit of the template (for ₹ crore to 2 decimals, ₹1 lakh); any larger variance must be explained in the</w:t>
      </w:r>
      <w:r>
        <w:t xml:space="preserve"> </w:t>
      </w:r>
      <w:r>
        <w:rPr>
          <w:rStyle w:val="VerbatimChar"/>
        </w:rPr>
        <w:t xml:space="preserve">explained_variance</w:t>
      </w:r>
      <w:r>
        <w:t xml:space="preserve"> </w:t>
      </w:r>
      <w:r>
        <w:t xml:space="preserve">register (reason code, amount, evidence, approver) before</w:t>
      </w:r>
      <w:r>
        <w:t xml:space="preserve"> </w:t>
      </w:r>
      <w:r>
        <w:rPr>
          <w:rStyle w:val="VerbatimChar"/>
        </w:rPr>
        <w:t xml:space="preserve">RECONCILED</w:t>
      </w:r>
      <w:r>
        <w:t xml:space="preserve">.</w:t>
      </w:r>
    </w:p>
    <w:p>
      <w:pPr>
        <w:numPr>
          <w:ilvl w:val="0"/>
          <w:numId w:val="1275"/>
        </w:numPr>
        <w:pStyle w:val="Compact"/>
      </w:pPr>
      <w:r>
        <w:t xml:space="preserve">Sub-ledger to GL reconciliation for loans, provisions, borrowings and investments must be clean for the snapshot date (M10 item 3); open breaks block the run.</w:t>
      </w:r>
    </w:p>
    <w:p>
      <w:pPr>
        <w:numPr>
          <w:ilvl w:val="0"/>
          <w:numId w:val="1275"/>
        </w:numPr>
        <w:pStyle w:val="Compact"/>
      </w:pPr>
      <w:r>
        <w:t xml:space="preserve">The reconciliation sheet is part of the package.</w:t>
      </w:r>
    </w:p>
    <w:bookmarkEnd w:id="234"/>
    <w:bookmarkStart w:id="235" w:name="Xc26a6f28182d82bafd5d056127df09f6f4423aa"/>
    <w:p>
      <w:pPr>
        <w:pStyle w:val="Heading3"/>
      </w:pPr>
      <w:r>
        <w:t xml:space="preserve">RR3.5 Maker, checker and sign-off matrix (defaults; tenant-configurable within SoD rules)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611"/>
        <w:gridCol w:w="2132"/>
        <w:gridCol w:w="1846"/>
        <w:gridCol w:w="3049"/>
      </w:tblGrid>
      <w:tr>
        <w:trPr>
          <w:tblHeader w:val="true"/>
          <w:tblHeader w:val="true"/>
        </w:trPr>
        <w:tc>
          <w:tcPr>
            <w:tcW w:w="2611" w:type="dxa"/>
            <w:shd w:val="clear" w:color="auto" w:fill="1F3A5F"/>
          </w:tcPr>
          <w:p>
            <w:pPr>
              <w:pStyle w:val="Compact"/>
              <w:spacing w:after="40"/>
              <w:jc w:val="left"/>
            </w:pPr>
            <w:r>
              <w:rPr>
                <w:b/>
                <w:color w:val="FFFFFF"/>
                <w:sz w:val="18"/>
              </w:rPr>
              <w:t xml:space="preserve">Return family</w:t>
            </w:r>
          </w:p>
        </w:tc>
        <w:tc>
          <w:tcPr>
            <w:tcW w:w="2132" w:type="dxa"/>
            <w:shd w:val="clear" w:color="auto" w:fill="1F3A5F"/>
          </w:tcPr>
          <w:p>
            <w:pPr>
              <w:pStyle w:val="Compact"/>
              <w:spacing w:after="40"/>
              <w:jc w:val="left"/>
            </w:pPr>
            <w:r>
              <w:rPr>
                <w:b/>
                <w:color w:val="FFFFFF"/>
                <w:sz w:val="18"/>
              </w:rPr>
              <w:t xml:space="preserve">Maker</w:t>
            </w:r>
          </w:p>
        </w:tc>
        <w:tc>
          <w:tcPr>
            <w:tcW w:w="1846" w:type="dxa"/>
            <w:shd w:val="clear" w:color="auto" w:fill="1F3A5F"/>
          </w:tcPr>
          <w:p>
            <w:pPr>
              <w:pStyle w:val="Compact"/>
              <w:spacing w:after="40"/>
              <w:jc w:val="left"/>
            </w:pPr>
            <w:r>
              <w:rPr>
                <w:b/>
                <w:color w:val="FFFFFF"/>
                <w:sz w:val="18"/>
              </w:rPr>
              <w:t xml:space="preserve">Checker</w:t>
            </w:r>
          </w:p>
        </w:tc>
        <w:tc>
          <w:tcPr>
            <w:tcW w:w="3049" w:type="dxa"/>
            <w:shd w:val="clear" w:color="auto" w:fill="1F3A5F"/>
          </w:tcPr>
          <w:p>
            <w:pPr>
              <w:pStyle w:val="Compact"/>
              <w:spacing w:after="40"/>
              <w:jc w:val="left"/>
            </w:pPr>
            <w:r>
              <w:rPr>
                <w:b/>
                <w:color w:val="FFFFFF"/>
                <w:sz w:val="18"/>
              </w:rPr>
              <w:t xml:space="preserve">Sign-off</w:t>
            </w:r>
          </w:p>
        </w:tc>
      </w:tr>
      <w:tr>
        <w:tc>
          <w:tcPr>
            <w:tcW w:w="2611" w:type="dxa"/>
          </w:tcPr>
          <w:p>
            <w:pPr>
              <w:pStyle w:val="Compact"/>
              <w:spacing w:after="40"/>
              <w:jc w:val="left"/>
            </w:pPr>
            <w:r>
              <w:rPr>
                <w:sz w:val="18"/>
              </w:rPr>
              <w:t xml:space="preserve">DNBS01/02/03, DNBS11/12, DNBS14, PDR</w:t>
            </w:r>
          </w:p>
        </w:tc>
        <w:tc>
          <w:tcPr>
            <w:tcW w:w="2132" w:type="dxa"/>
          </w:tcPr>
          <w:p>
            <w:pPr>
              <w:pStyle w:val="Compact"/>
              <w:spacing w:after="40"/>
              <w:jc w:val="left"/>
            </w:pPr>
            <w:r>
              <w:rPr>
                <w:sz w:val="18"/>
              </w:rPr>
              <w:t xml:space="preserve">Financial reporting</w:t>
            </w:r>
          </w:p>
        </w:tc>
        <w:tc>
          <w:tcPr>
            <w:tcW w:w="1846" w:type="dxa"/>
          </w:tcPr>
          <w:p>
            <w:pPr>
              <w:pStyle w:val="Compact"/>
              <w:spacing w:after="40"/>
              <w:jc w:val="left"/>
            </w:pPr>
            <w:r>
              <w:rPr>
                <w:sz w:val="18"/>
              </w:rPr>
              <w:t xml:space="preserve">Head of finance</w:t>
            </w:r>
          </w:p>
        </w:tc>
        <w:tc>
          <w:tcPr>
            <w:tcW w:w="3049" w:type="dxa"/>
          </w:tcPr>
          <w:p>
            <w:pPr>
              <w:pStyle w:val="Compact"/>
              <w:spacing w:after="40"/>
              <w:jc w:val="left"/>
            </w:pPr>
            <w:r>
              <w:rPr>
                <w:sz w:val="18"/>
              </w:rPr>
              <w:t xml:space="preserve">CFO</w:t>
            </w:r>
          </w:p>
        </w:tc>
      </w:tr>
      <w:tr>
        <w:tc>
          <w:tcPr>
            <w:tcW w:w="2611" w:type="dxa"/>
          </w:tcPr>
          <w:p>
            <w:pPr>
              <w:pStyle w:val="Compact"/>
              <w:spacing w:after="40"/>
              <w:jc w:val="left"/>
            </w:pPr>
            <w:r>
              <w:rPr>
                <w:sz w:val="18"/>
              </w:rPr>
              <w:t xml:space="preserve">DNBS04A/04B, IRS, STRESS</w:t>
            </w:r>
          </w:p>
        </w:tc>
        <w:tc>
          <w:tcPr>
            <w:tcW w:w="2132" w:type="dxa"/>
          </w:tcPr>
          <w:p>
            <w:pPr>
              <w:pStyle w:val="Compact"/>
              <w:spacing w:after="40"/>
              <w:jc w:val="left"/>
            </w:pPr>
            <w:r>
              <w:rPr>
                <w:sz w:val="18"/>
              </w:rPr>
              <w:t xml:space="preserve">Treasury / ALM</w:t>
            </w:r>
          </w:p>
        </w:tc>
        <w:tc>
          <w:tcPr>
            <w:tcW w:w="1846" w:type="dxa"/>
          </w:tcPr>
          <w:p>
            <w:pPr>
              <w:pStyle w:val="Compact"/>
              <w:spacing w:after="40"/>
              <w:jc w:val="left"/>
            </w:pPr>
            <w:r>
              <w:rPr>
                <w:sz w:val="18"/>
              </w:rPr>
              <w:t xml:space="preserve">Head of treasury</w:t>
            </w:r>
          </w:p>
        </w:tc>
        <w:tc>
          <w:tcPr>
            <w:tcW w:w="3049" w:type="dxa"/>
          </w:tcPr>
          <w:p>
            <w:pPr>
              <w:pStyle w:val="Compact"/>
              <w:spacing w:after="40"/>
              <w:jc w:val="left"/>
            </w:pPr>
            <w:r>
              <w:rPr>
                <w:sz w:val="18"/>
              </w:rPr>
              <w:t xml:space="preserve">CFO or ALCO convenor</w:t>
            </w:r>
          </w:p>
        </w:tc>
      </w:tr>
      <w:tr>
        <w:tc>
          <w:tcPr>
            <w:tcW w:w="2611" w:type="dxa"/>
          </w:tcPr>
          <w:p>
            <w:pPr>
              <w:pStyle w:val="Compact"/>
              <w:spacing w:after="40"/>
              <w:jc w:val="left"/>
            </w:pPr>
            <w:r>
              <w:rPr>
                <w:sz w:val="18"/>
              </w:rPr>
              <w:t xml:space="preserve">DNBS08, DNBS09, LEF</w:t>
            </w:r>
          </w:p>
        </w:tc>
        <w:tc>
          <w:tcPr>
            <w:tcW w:w="2132" w:type="dxa"/>
          </w:tcPr>
          <w:p>
            <w:pPr>
              <w:pStyle w:val="Compact"/>
              <w:spacing w:after="40"/>
              <w:jc w:val="left"/>
            </w:pPr>
            <w:r>
              <w:rPr>
                <w:sz w:val="18"/>
              </w:rPr>
              <w:t xml:space="preserve">Credit risk</w:t>
            </w:r>
          </w:p>
        </w:tc>
        <w:tc>
          <w:tcPr>
            <w:tcW w:w="1846" w:type="dxa"/>
          </w:tcPr>
          <w:p>
            <w:pPr>
              <w:pStyle w:val="Compact"/>
              <w:spacing w:after="40"/>
              <w:jc w:val="left"/>
            </w:pPr>
            <w:r>
              <w:rPr>
                <w:sz w:val="18"/>
              </w:rPr>
              <w:t xml:space="preserve">Head of risk</w:t>
            </w:r>
          </w:p>
        </w:tc>
        <w:tc>
          <w:tcPr>
            <w:tcW w:w="3049" w:type="dxa"/>
          </w:tcPr>
          <w:p>
            <w:pPr>
              <w:pStyle w:val="Compact"/>
              <w:spacing w:after="40"/>
              <w:jc w:val="left"/>
            </w:pPr>
            <w:r>
              <w:rPr>
                <w:sz w:val="18"/>
              </w:rPr>
              <w:t xml:space="preserve">CRO (or CFO where no CRO)</w:t>
            </w:r>
          </w:p>
        </w:tc>
      </w:tr>
      <w:tr>
        <w:tc>
          <w:tcPr>
            <w:tcW w:w="2611" w:type="dxa"/>
          </w:tcPr>
          <w:p>
            <w:pPr>
              <w:pStyle w:val="Compact"/>
              <w:spacing w:after="40"/>
              <w:jc w:val="left"/>
            </w:pPr>
            <w:r>
              <w:rPr>
                <w:sz w:val="18"/>
              </w:rPr>
              <w:t xml:space="preserve">DNBS13</w:t>
            </w:r>
          </w:p>
        </w:tc>
        <w:tc>
          <w:tcPr>
            <w:tcW w:w="2132" w:type="dxa"/>
          </w:tcPr>
          <w:p>
            <w:pPr>
              <w:pStyle w:val="Compact"/>
              <w:spacing w:after="40"/>
              <w:jc w:val="left"/>
            </w:pPr>
            <w:r>
              <w:rPr>
                <w:sz w:val="18"/>
              </w:rPr>
              <w:t xml:space="preserve">Treasury</w:t>
            </w:r>
          </w:p>
        </w:tc>
        <w:tc>
          <w:tcPr>
            <w:tcW w:w="1846" w:type="dxa"/>
          </w:tcPr>
          <w:p>
            <w:pPr>
              <w:pStyle w:val="Compact"/>
              <w:spacing w:after="40"/>
              <w:jc w:val="left"/>
            </w:pPr>
            <w:r>
              <w:rPr>
                <w:sz w:val="18"/>
              </w:rPr>
              <w:t xml:space="preserve">Head of finance</w:t>
            </w:r>
          </w:p>
        </w:tc>
        <w:tc>
          <w:tcPr>
            <w:tcW w:w="3049" w:type="dxa"/>
          </w:tcPr>
          <w:p>
            <w:pPr>
              <w:pStyle w:val="Compact"/>
              <w:spacing w:after="40"/>
              <w:jc w:val="left"/>
            </w:pPr>
            <w:r>
              <w:rPr>
                <w:sz w:val="18"/>
              </w:rPr>
              <w:t xml:space="preserve">CFO</w:t>
            </w:r>
          </w:p>
        </w:tc>
      </w:tr>
      <w:tr>
        <w:tc>
          <w:tcPr>
            <w:tcW w:w="2611" w:type="dxa"/>
          </w:tcPr>
          <w:p>
            <w:pPr>
              <w:pStyle w:val="Compact"/>
              <w:spacing w:after="40"/>
              <w:jc w:val="left"/>
            </w:pPr>
            <w:r>
              <w:rPr>
                <w:sz w:val="18"/>
              </w:rPr>
              <w:t xml:space="preserve">FMR, FUA, FMR4-RBR</w:t>
            </w:r>
          </w:p>
        </w:tc>
        <w:tc>
          <w:tcPr>
            <w:tcW w:w="2132" w:type="dxa"/>
          </w:tcPr>
          <w:p>
            <w:pPr>
              <w:pStyle w:val="Compact"/>
              <w:spacing w:after="40"/>
              <w:jc w:val="left"/>
            </w:pPr>
            <w:r>
              <w:rPr>
                <w:sz w:val="18"/>
              </w:rPr>
              <w:t xml:space="preserve">Fraud risk unit</w:t>
            </w:r>
          </w:p>
        </w:tc>
        <w:tc>
          <w:tcPr>
            <w:tcW w:w="1846" w:type="dxa"/>
          </w:tcPr>
          <w:p>
            <w:pPr>
              <w:pStyle w:val="Compact"/>
              <w:spacing w:after="40"/>
              <w:jc w:val="left"/>
            </w:pPr>
            <w:r>
              <w:rPr>
                <w:sz w:val="18"/>
              </w:rPr>
              <w:t xml:space="preserve">Head of fraud risk</w:t>
            </w:r>
          </w:p>
        </w:tc>
        <w:tc>
          <w:tcPr>
            <w:tcW w:w="3049" w:type="dxa"/>
          </w:tcPr>
          <w:p>
            <w:pPr>
              <w:pStyle w:val="Compact"/>
              <w:spacing w:after="40"/>
              <w:jc w:val="left"/>
            </w:pPr>
            <w:r>
              <w:rPr>
                <w:sz w:val="18"/>
              </w:rPr>
              <w:t xml:space="preserve">Authority under the Board fraud policy (FRM; M12)</w:t>
            </w:r>
          </w:p>
        </w:tc>
      </w:tr>
      <w:tr>
        <w:tc>
          <w:tcPr>
            <w:tcW w:w="2611" w:type="dxa"/>
          </w:tcPr>
          <w:p>
            <w:pPr>
              <w:pStyle w:val="Compact"/>
              <w:spacing w:after="40"/>
              <w:jc w:val="left"/>
            </w:pPr>
            <w:r>
              <w:rPr>
                <w:sz w:val="18"/>
              </w:rPr>
              <w:t xml:space="preserve">FORM-A-SA, GOV-14</w:t>
            </w:r>
          </w:p>
        </w:tc>
        <w:tc>
          <w:tcPr>
            <w:tcW w:w="2132" w:type="dxa"/>
          </w:tcPr>
          <w:p>
            <w:pPr>
              <w:pStyle w:val="Compact"/>
              <w:spacing w:after="40"/>
              <w:jc w:val="left"/>
            </w:pPr>
            <w:r>
              <w:rPr>
                <w:sz w:val="18"/>
              </w:rPr>
              <w:t xml:space="preserve">Company Secretary</w:t>
            </w:r>
          </w:p>
        </w:tc>
        <w:tc>
          <w:tcPr>
            <w:tcW w:w="1846" w:type="dxa"/>
          </w:tcPr>
          <w:p>
            <w:pPr>
              <w:pStyle w:val="Compact"/>
              <w:spacing w:after="40"/>
              <w:jc w:val="left"/>
            </w:pPr>
            <w:r>
              <w:rPr>
                <w:sz w:val="18"/>
              </w:rPr>
              <w:t xml:space="preserve">CFO</w:t>
            </w:r>
          </w:p>
        </w:tc>
        <w:tc>
          <w:tcPr>
            <w:tcW w:w="3049" w:type="dxa"/>
          </w:tcPr>
          <w:p>
            <w:pPr>
              <w:pStyle w:val="Compact"/>
              <w:spacing w:after="40"/>
              <w:jc w:val="left"/>
            </w:pPr>
            <w:r>
              <w:rPr>
                <w:sz w:val="18"/>
              </w:rPr>
              <w:t xml:space="preserve">MD/CEO</w:t>
            </w:r>
          </w:p>
        </w:tc>
      </w:tr>
      <w:tr>
        <w:tc>
          <w:tcPr>
            <w:tcW w:w="2611" w:type="dxa"/>
          </w:tcPr>
          <w:p>
            <w:pPr>
              <w:pStyle w:val="Compact"/>
              <w:spacing w:after="40"/>
              <w:jc w:val="left"/>
            </w:pPr>
            <w:r>
              <w:rPr>
                <w:sz w:val="18"/>
              </w:rPr>
              <w:t xml:space="preserve">DLA-CIMS</w:t>
            </w:r>
          </w:p>
        </w:tc>
        <w:tc>
          <w:tcPr>
            <w:tcW w:w="2132" w:type="dxa"/>
          </w:tcPr>
          <w:p>
            <w:pPr>
              <w:pStyle w:val="Compact"/>
              <w:spacing w:after="40"/>
              <w:jc w:val="left"/>
            </w:pPr>
            <w:r>
              <w:rPr>
                <w:sz w:val="18"/>
              </w:rPr>
              <w:t xml:space="preserve">Digital lending ops</w:t>
            </w:r>
          </w:p>
        </w:tc>
        <w:tc>
          <w:tcPr>
            <w:tcW w:w="1846" w:type="dxa"/>
          </w:tcPr>
          <w:p>
            <w:pPr>
              <w:pStyle w:val="Compact"/>
              <w:spacing w:after="40"/>
              <w:jc w:val="left"/>
            </w:pPr>
            <w:r>
              <w:rPr>
                <w:sz w:val="18"/>
              </w:rPr>
              <w:t xml:space="preserve">Compliance</w:t>
            </w:r>
          </w:p>
        </w:tc>
        <w:tc>
          <w:tcPr>
            <w:tcW w:w="3049" w:type="dxa"/>
          </w:tcPr>
          <w:p>
            <w:pPr>
              <w:pStyle w:val="Compact"/>
              <w:spacing w:after="40"/>
              <w:jc w:val="left"/>
            </w:pPr>
            <w:r>
              <w:rPr>
                <w:sz w:val="18"/>
              </w:rPr>
              <w:t xml:space="preserve">CCO certification (CF 18(4))</w:t>
            </w:r>
          </w:p>
        </w:tc>
      </w:tr>
      <w:tr>
        <w:tc>
          <w:tcPr>
            <w:tcW w:w="2611" w:type="dxa"/>
          </w:tcPr>
          <w:p>
            <w:pPr>
              <w:pStyle w:val="Compact"/>
              <w:spacing w:after="40"/>
              <w:jc w:val="left"/>
            </w:pPr>
            <w:r>
              <w:rPr>
                <w:sz w:val="18"/>
              </w:rPr>
              <w:t xml:space="preserve">DNBS10</w:t>
            </w:r>
          </w:p>
        </w:tc>
        <w:tc>
          <w:tcPr>
            <w:tcW w:w="2132" w:type="dxa"/>
          </w:tcPr>
          <w:p>
            <w:pPr>
              <w:pStyle w:val="Compact"/>
              <w:spacing w:after="40"/>
              <w:jc w:val="left"/>
            </w:pPr>
            <w:r>
              <w:rPr>
                <w:sz w:val="18"/>
              </w:rPr>
              <w:t xml:space="preserve">NBFC finance (data pack)</w:t>
            </w:r>
          </w:p>
        </w:tc>
        <w:tc>
          <w:tcPr>
            <w:tcW w:w="1846" w:type="dxa"/>
          </w:tcPr>
          <w:p>
            <w:pPr>
              <w:pStyle w:val="Compact"/>
              <w:spacing w:after="40"/>
              <w:jc w:val="left"/>
            </w:pPr>
            <w:r>
              <w:rPr>
                <w:sz w:val="18"/>
              </w:rPr>
              <w:t xml:space="preserve">—</w:t>
            </w:r>
          </w:p>
        </w:tc>
        <w:tc>
          <w:tcPr>
            <w:tcW w:w="3049" w:type="dxa"/>
          </w:tcPr>
          <w:p>
            <w:pPr>
              <w:pStyle w:val="Compact"/>
              <w:spacing w:after="40"/>
              <w:jc w:val="left"/>
            </w:pPr>
            <w:r>
              <w:rPr>
                <w:sz w:val="18"/>
              </w:rPr>
              <w:t xml:space="preserve">Statutory auditor files</w:t>
            </w:r>
          </w:p>
        </w:tc>
      </w:tr>
      <w:tr>
        <w:tc>
          <w:tcPr>
            <w:tcW w:w="2611" w:type="dxa"/>
          </w:tcPr>
          <w:p>
            <w:pPr>
              <w:pStyle w:val="Compact"/>
              <w:spacing w:after="40"/>
              <w:jc w:val="left"/>
            </w:pPr>
            <w:r>
              <w:rPr>
                <w:sz w:val="18"/>
              </w:rPr>
              <w:t xml:space="preserve">FIU-IND reports</w:t>
            </w:r>
          </w:p>
        </w:tc>
        <w:tc>
          <w:tcPr>
            <w:tcW w:w="2132" w:type="dxa"/>
          </w:tcPr>
          <w:p>
            <w:pPr>
              <w:pStyle w:val="Compact"/>
              <w:spacing w:after="40"/>
              <w:jc w:val="left"/>
            </w:pPr>
            <w:r>
              <w:rPr>
                <w:sz w:val="18"/>
              </w:rPr>
              <w:t xml:space="preserve">AML analyst</w:t>
            </w:r>
          </w:p>
        </w:tc>
        <w:tc>
          <w:tcPr>
            <w:tcW w:w="1846" w:type="dxa"/>
          </w:tcPr>
          <w:p>
            <w:pPr>
              <w:pStyle w:val="Compact"/>
              <w:spacing w:after="40"/>
              <w:jc w:val="left"/>
            </w:pPr>
            <w:r>
              <w:rPr>
                <w:sz w:val="18"/>
              </w:rPr>
              <w:t xml:space="preserve">Principal Officer</w:t>
            </w:r>
          </w:p>
        </w:tc>
        <w:tc>
          <w:tcPr>
            <w:tcW w:w="3049" w:type="dxa"/>
          </w:tcPr>
          <w:p>
            <w:pPr>
              <w:pStyle w:val="Compact"/>
              <w:spacing w:after="40"/>
              <w:jc w:val="left"/>
            </w:pPr>
            <w:r>
              <w:rPr>
                <w:sz w:val="18"/>
              </w:rPr>
              <w:t xml:space="preserve">Principal Officer (KYC 15)</w:t>
            </w:r>
          </w:p>
        </w:tc>
      </w:tr>
      <w:tr>
        <w:tc>
          <w:tcPr>
            <w:tcW w:w="2611" w:type="dxa"/>
          </w:tcPr>
          <w:p>
            <w:pPr>
              <w:pStyle w:val="Compact"/>
              <w:spacing w:after="40"/>
              <w:jc w:val="left"/>
            </w:pPr>
            <w:r>
              <w:rPr>
                <w:sz w:val="18"/>
              </w:rPr>
              <w:t xml:space="preserve">CIC files (RR6)</w:t>
            </w:r>
          </w:p>
        </w:tc>
        <w:tc>
          <w:tcPr>
            <w:tcW w:w="2132" w:type="dxa"/>
          </w:tcPr>
          <w:p>
            <w:pPr>
              <w:pStyle w:val="Compact"/>
              <w:spacing w:after="40"/>
              <w:jc w:val="left"/>
            </w:pPr>
            <w:r>
              <w:rPr>
                <w:sz w:val="18"/>
              </w:rPr>
              <w:t xml:space="preserve">Bureau operations</w:t>
            </w:r>
          </w:p>
        </w:tc>
        <w:tc>
          <w:tcPr>
            <w:tcW w:w="1846" w:type="dxa"/>
          </w:tcPr>
          <w:p>
            <w:pPr>
              <w:pStyle w:val="Compact"/>
              <w:spacing w:after="40"/>
              <w:jc w:val="left"/>
            </w:pPr>
            <w:r>
              <w:rPr>
                <w:sz w:val="18"/>
              </w:rPr>
              <w:t xml:space="preserve">CIC nodal officer</w:t>
            </w:r>
          </w:p>
        </w:tc>
        <w:tc>
          <w:tcPr>
            <w:tcW w:w="3049" w:type="dxa"/>
          </w:tcPr>
          <w:p>
            <w:pPr>
              <w:pStyle w:val="Compact"/>
              <w:spacing w:after="40"/>
              <w:jc w:val="left"/>
            </w:pPr>
            <w:r>
              <w:rPr>
                <w:sz w:val="18"/>
              </w:rPr>
              <w:t xml:space="preserve">CIC nodal officer (CIR 34(2))</w:t>
            </w:r>
          </w:p>
        </w:tc>
      </w:tr>
    </w:tbl>
    <w:p>
      <w:pPr>
        <w:pStyle w:val="BodyText"/>
      </w:pPr>
      <w:r>
        <w:t xml:space="preserve">SoD: the maker cannot be the checker or signatory for the same run; the CRO and CCO cannot be makers (GOV 21(3)–(4); CMP 27). Sign-off needs step-up authentication; a signatory’s absence is covered only by a time-boxed delegation recorded in the Part 7F delegation-of-authority register, never by sharing a login.</w:t>
      </w:r>
    </w:p>
    <w:bookmarkEnd w:id="235"/>
    <w:bookmarkStart w:id="236" w:name="rr3.6-signed-package"/>
    <w:p>
      <w:pPr>
        <w:pStyle w:val="Heading3"/>
      </w:pPr>
      <w:r>
        <w:t xml:space="preserve">RR3.6 Signed package</w:t>
      </w:r>
    </w:p>
    <w:p>
      <w:pPr>
        <w:numPr>
          <w:ilvl w:val="0"/>
          <w:numId w:val="1276"/>
        </w:numPr>
        <w:pStyle w:val="Compact"/>
      </w:pPr>
      <w:r>
        <w:rPr>
          <w:bCs/>
          <w:b/>
        </w:rPr>
        <w:t xml:space="preserve">Contents:</w:t>
      </w:r>
      <w:r>
        <w:t xml:space="preserve"> </w:t>
      </w:r>
      <w:r>
        <w:t xml:space="preserve">filled template or XML;</w:t>
      </w:r>
      <w:r>
        <w:t xml:space="preserve"> </w:t>
      </w:r>
      <w:r>
        <w:rPr>
          <w:rStyle w:val="VerbatimChar"/>
        </w:rPr>
        <w:t xml:space="preserve">manifest.json</w:t>
      </w:r>
      <w:r>
        <w:t xml:space="preserve"> </w:t>
      </w:r>
      <w:r>
        <w:t xml:space="preserve">(entity, return, period, run and template versions, snapshot hash, file SHA-256, validation and reconciliation hashes, approvals); validation report; reconciliation sheet; lineage extract; NIL declaration where applicable.</w:t>
      </w:r>
    </w:p>
    <w:p>
      <w:pPr>
        <w:numPr>
          <w:ilvl w:val="0"/>
          <w:numId w:val="1276"/>
        </w:numPr>
        <w:pStyle w:val="Compact"/>
      </w:pPr>
      <w:r>
        <w:rPr>
          <w:bCs/>
          <w:b/>
        </w:rPr>
        <w:t xml:space="preserve">Signature:</w:t>
      </w:r>
      <w:r>
        <w:t xml:space="preserve"> </w:t>
      </w:r>
      <w:r>
        <w:t xml:space="preserve">detached JWS over the manifest with the tenant’s signing key in the tenant KMS [REC]. A portal DSC is applied by the signatory on the portal; Finbyx never holds a DSC or PIN [VERIFY: CIMS DSC requirement]. The upload screen shows the file SHA-256; any regeneration after</w:t>
      </w:r>
      <w:r>
        <w:t xml:space="preserve"> </w:t>
      </w:r>
      <w:r>
        <w:rPr>
          <w:rStyle w:val="VerbatimChar"/>
        </w:rPr>
        <w:t xml:space="preserve">SIGNED_OFF</w:t>
      </w:r>
      <w:r>
        <w:t xml:space="preserve"> </w:t>
      </w:r>
      <w:r>
        <w:t xml:space="preserve">is a new version.</w:t>
      </w:r>
    </w:p>
    <w:bookmarkEnd w:id="236"/>
    <w:bookmarkStart w:id="237" w:name="acceptance-tests-4"/>
    <w:p>
      <w:pPr>
        <w:pStyle w:val="Heading3"/>
      </w:pPr>
      <w:r>
        <w:t xml:space="preserve">Acceptance tests</w:t>
      </w:r>
    </w:p>
    <w:p>
      <w:pPr>
        <w:numPr>
          <w:ilvl w:val="0"/>
          <w:numId w:val="1277"/>
        </w:numPr>
        <w:pStyle w:val="Compact"/>
      </w:pPr>
      <w:r>
        <w:t xml:space="preserve">A DNBS02 run with an unbalanced balance sheet cannot leave</w:t>
      </w:r>
      <w:r>
        <w:t xml:space="preserve"> </w:t>
      </w:r>
      <w:r>
        <w:rPr>
          <w:rStyle w:val="VerbatimChar"/>
        </w:rPr>
        <w:t xml:space="preserve">VALIDATED</w:t>
      </w:r>
      <w:r>
        <w:t xml:space="preserve">; the error names the rule ID and REQ-ID.</w:t>
      </w:r>
    </w:p>
    <w:p>
      <w:pPr>
        <w:numPr>
          <w:ilvl w:val="0"/>
          <w:numId w:val="1277"/>
        </w:numPr>
        <w:pStyle w:val="Compact"/>
      </w:pPr>
      <w:r>
        <w:t xml:space="preserve">A WARNING without a maker comment and checker acceptance blocks</w:t>
      </w:r>
      <w:r>
        <w:t xml:space="preserve"> </w:t>
      </w:r>
      <w:r>
        <w:rPr>
          <w:rStyle w:val="VerbatimChar"/>
        </w:rPr>
        <w:t xml:space="preserve">CHECKER_APPROVED</w:t>
      </w:r>
      <w:r>
        <w:t xml:space="preserve">.</w:t>
      </w:r>
    </w:p>
    <w:p>
      <w:pPr>
        <w:numPr>
          <w:ilvl w:val="0"/>
          <w:numId w:val="1277"/>
        </w:numPr>
        <w:pStyle w:val="Compact"/>
      </w:pPr>
      <w:r>
        <w:t xml:space="preserve">A ₹2 lakh variance between DNBS02</w:t>
      </w:r>
      <w:r>
        <w:t xml:space="preserve"> </w:t>
      </w:r>
      <w:r>
        <w:t xml:space="preserve">“</w:t>
      </w:r>
      <w:r>
        <w:t xml:space="preserve">investments</w:t>
      </w:r>
      <w:r>
        <w:t xml:space="preserve">”</w:t>
      </w:r>
      <w:r>
        <w:t xml:space="preserve"> </w:t>
      </w:r>
      <w:r>
        <w:t xml:space="preserve">(₹ crore, 2 decimals) and the TB blocks</w:t>
      </w:r>
      <w:r>
        <w:t xml:space="preserve"> </w:t>
      </w:r>
      <w:r>
        <w:rPr>
          <w:rStyle w:val="VerbatimChar"/>
        </w:rPr>
        <w:t xml:space="preserve">RECONCILED</w:t>
      </w:r>
      <w:r>
        <w:t xml:space="preserve"> </w:t>
      </w:r>
      <w:r>
        <w:t xml:space="preserve">until an explained-variance entry is approved; a ₹40,000 variance passes as rounding.</w:t>
      </w:r>
    </w:p>
    <w:p>
      <w:pPr>
        <w:numPr>
          <w:ilvl w:val="0"/>
          <w:numId w:val="1277"/>
        </w:numPr>
        <w:pStyle w:val="Compact"/>
      </w:pPr>
      <w:r>
        <w:t xml:space="preserve">The same user cannot act as maker and checker on one run (403</w:t>
      </w:r>
      <w:r>
        <w:t xml:space="preserve"> </w:t>
      </w:r>
      <w:r>
        <w:rPr>
          <w:rStyle w:val="VerbatimChar"/>
        </w:rPr>
        <w:t xml:space="preserve">sod_conflict</w:t>
      </w:r>
      <w:r>
        <w:t xml:space="preserve">).</w:t>
      </w:r>
    </w:p>
    <w:p>
      <w:pPr>
        <w:numPr>
          <w:ilvl w:val="0"/>
          <w:numId w:val="1277"/>
        </w:numPr>
        <w:pStyle w:val="Compact"/>
      </w:pPr>
      <w:r>
        <w:t xml:space="preserve">A DNBS13 run for a quarter with no overseas investment produces a NIL package that still requires sign-off.</w:t>
      </w:r>
    </w:p>
    <w:p>
      <w:pPr>
        <w:numPr>
          <w:ilvl w:val="0"/>
          <w:numId w:val="1277"/>
        </w:numPr>
        <w:pStyle w:val="Compact"/>
      </w:pPr>
      <w:r>
        <w:t xml:space="preserve">Altering a protected template cell (simulated) fails the template-integrity check.</w:t>
      </w:r>
    </w:p>
    <w:p>
      <w:pPr>
        <w:numPr>
          <w:ilvl w:val="0"/>
          <w:numId w:val="1277"/>
        </w:numPr>
        <w:pStyle w:val="Compact"/>
      </w:pPr>
      <w:r>
        <w:t xml:space="preserve">A sign-off command on a run in</w:t>
      </w:r>
      <w:r>
        <w:t xml:space="preserve"> </w:t>
      </w:r>
      <w:r>
        <w:rPr>
          <w:rStyle w:val="VerbatimChar"/>
        </w:rPr>
        <w:t xml:space="preserve">MAKER_SUBMITTED</w:t>
      </w:r>
      <w:r>
        <w:t xml:space="preserve"> </w:t>
      </w:r>
      <w:r>
        <w:t xml:space="preserve">returns 409</w:t>
      </w:r>
      <w:r>
        <w:t xml:space="preserve"> </w:t>
      </w:r>
      <w:r>
        <w:rPr>
          <w:rStyle w:val="VerbatimChar"/>
        </w:rPr>
        <w:t xml:space="preserve">invalid_transition</w:t>
      </w:r>
      <w:r>
        <w:t xml:space="preserve">; repeating an accepted command with the same idempotency key returns the original result.</w:t>
      </w:r>
    </w:p>
    <w:p>
      <w:pPr>
        <w:numPr>
          <w:ilvl w:val="0"/>
          <w:numId w:val="1277"/>
        </w:numPr>
        <w:pStyle w:val="Compact"/>
      </w:pPr>
      <w:r>
        <w:t xml:space="preserve">Regenerating a run with an unchanged snapshot, cell map and template returns the same file hash; a portal rejection classified as portal-side returns the run to</w:t>
      </w:r>
      <w:r>
        <w:t xml:space="preserve"> </w:t>
      </w:r>
      <w:r>
        <w:rPr>
          <w:rStyle w:val="VerbatimChar"/>
        </w:rPr>
        <w:t xml:space="preserve">PACKAGED</w:t>
      </w:r>
      <w:r>
        <w:t xml:space="preserve"> </w:t>
      </w:r>
      <w:r>
        <w:t xml:space="preserve">without a new run number.</w:t>
      </w:r>
    </w:p>
    <w:p>
      <w:r>
        <w:pict>
          <v:rect style="width:0;height:1.5pt" o:hralign="center" o:hrstd="t" o:hr="t"/>
        </w:pict>
      </w:r>
    </w:p>
    <w:bookmarkEnd w:id="237"/>
    <w:bookmarkEnd w:id="238"/>
    <w:bookmarkStart w:id="249" w:name="Xd25dcf26924436882feb1f4f67eb82e29cfeeff"/>
    <w:p>
      <w:pPr>
        <w:pStyle w:val="Heading2"/>
      </w:pPr>
      <w:r>
        <w:t xml:space="preserve">RR4. Portal filing workflows (CIMS, DAKSH, PRAVAAH, NABARD ENSURE, IFSCA, FIU-IND, CKYCR, CERSAI, income-tax SFT)</w:t>
      </w:r>
    </w:p>
    <w:p>
      <w:pPr>
        <w:pStyle w:val="FirstParagraph"/>
      </w:pPr>
      <w:r>
        <w:rPr>
          <w:bCs/>
          <w:b/>
        </w:rPr>
        <w:t xml:space="preserve">Purpose.</w:t>
      </w:r>
      <w:r>
        <w:t xml:space="preserve"> </w:t>
      </w:r>
      <w:r>
        <w:t xml:space="preserve">A guided, evidenced workflow for each portal, with the human filer in control and no credentials in Finbyx.</w:t>
      </w:r>
    </w:p>
    <w:bookmarkStart w:id="239" w:name="rr4.1-rbi-cims-sankalan"/>
    <w:p>
      <w:pPr>
        <w:pStyle w:val="Heading3"/>
      </w:pPr>
      <w:r>
        <w:t xml:space="preserve">RR4.1 RBI CIMS (Sankalan)</w:t>
      </w:r>
    </w:p>
    <w:p>
      <w:pPr>
        <w:numPr>
          <w:ilvl w:val="0"/>
          <w:numId w:val="1278"/>
        </w:numPr>
        <w:pStyle w:val="Compact"/>
      </w:pPr>
      <w:r>
        <w:rPr>
          <w:bCs/>
          <w:b/>
        </w:rPr>
        <w:t xml:space="preserve">Portals:</w:t>
      </w:r>
      <w:r>
        <w:t xml:space="preserve"> </w:t>
      </w:r>
      <w:r>
        <w:t xml:space="preserve">CIMS Common Login (https://cims.rbi.org.in) and Sankalan (https://sankalan.rbi.org.in) (https://rbi.org.in/scripts/ReportingPlaform.aspx). Legacy XBRL, DBIE and SAARC portals close when CIMS is complete; NBFC returns left XBRL in 2024.</w:t>
      </w:r>
    </w:p>
    <w:p>
      <w:pPr>
        <w:numPr>
          <w:ilvl w:val="0"/>
          <w:numId w:val="1278"/>
        </w:numPr>
        <w:pStyle w:val="Compact"/>
      </w:pPr>
      <w:r>
        <w:rPr>
          <w:bCs/>
          <w:b/>
        </w:rPr>
        <w:t xml:space="preserve">Channels</w:t>
      </w:r>
      <w:r>
        <w:t xml:space="preserve"> </w:t>
      </w:r>
      <w:r>
        <w:t xml:space="preserve">(A.P. (DIR Series) Circular No. 24, RBI/2026-27/280, 1 Oct 2026, return R012; generalised [VERIFY per return]):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87"/>
        <w:gridCol w:w="3494"/>
        <w:gridCol w:w="3757"/>
      </w:tblGrid>
      <w:tr>
        <w:trPr>
          <w:tblHeader w:val="true"/>
          <w:tblHeader w:val="true"/>
        </w:trPr>
        <w:tc>
          <w:tcPr>
            <w:tcW w:w="2387" w:type="dxa"/>
            <w:shd w:val="clear" w:color="auto" w:fill="1F3A5F"/>
          </w:tcPr>
          <w:p>
            <w:pPr>
              <w:pStyle w:val="Compact"/>
              <w:spacing w:after="40"/>
              <w:jc w:val="left"/>
            </w:pPr>
            <w:r>
              <w:rPr>
                <w:b/>
                <w:color w:val="FFFFFF"/>
                <w:sz w:val="18"/>
              </w:rPr>
              <w:t xml:space="preserve">Channel</w:t>
            </w:r>
          </w:p>
        </w:tc>
        <w:tc>
          <w:tcPr>
            <w:tcW w:w="3494" w:type="dxa"/>
            <w:shd w:val="clear" w:color="auto" w:fill="1F3A5F"/>
          </w:tcPr>
          <w:p>
            <w:pPr>
              <w:pStyle w:val="Compact"/>
              <w:spacing w:after="40"/>
              <w:jc w:val="left"/>
            </w:pPr>
            <w:r>
              <w:rPr>
                <w:b/>
                <w:color w:val="FFFFFF"/>
                <w:sz w:val="18"/>
              </w:rPr>
              <w:t xml:space="preserve">Mechanism</w:t>
            </w:r>
          </w:p>
        </w:tc>
        <w:tc>
          <w:tcPr>
            <w:tcW w:w="3757" w:type="dxa"/>
            <w:shd w:val="clear" w:color="auto" w:fill="1F3A5F"/>
          </w:tcPr>
          <w:p>
            <w:pPr>
              <w:pStyle w:val="Compact"/>
              <w:spacing w:after="40"/>
              <w:jc w:val="left"/>
            </w:pPr>
            <w:r>
              <w:rPr>
                <w:b/>
                <w:color w:val="FFFFFF"/>
                <w:sz w:val="18"/>
              </w:rPr>
              <w:t xml:space="preserve">Finbyx support</w:t>
            </w:r>
          </w:p>
        </w:tc>
      </w:tr>
      <w:tr>
        <w:tc>
          <w:tcPr>
            <w:tcW w:w="2387" w:type="dxa"/>
          </w:tcPr>
          <w:p>
            <w:pPr>
              <w:pStyle w:val="Compact"/>
              <w:spacing w:after="40"/>
              <w:jc w:val="left"/>
            </w:pPr>
            <w:r>
              <w:rPr>
                <w:sz w:val="18"/>
              </w:rPr>
              <w:t xml:space="preserve">System-to-system</w:t>
            </w:r>
          </w:p>
        </w:tc>
        <w:tc>
          <w:tcPr>
            <w:tcW w:w="3494" w:type="dxa"/>
          </w:tcPr>
          <w:p>
            <w:pPr>
              <w:pStyle w:val="Compact"/>
              <w:spacing w:after="40"/>
              <w:jc w:val="left"/>
            </w:pPr>
            <w:r>
              <w:rPr>
                <w:sz w:val="18"/>
              </w:rPr>
              <w:t xml:space="preserve">RBI collects from the RE’s ADF server</w:t>
            </w:r>
          </w:p>
        </w:tc>
        <w:tc>
          <w:tcPr>
            <w:tcW w:w="3757" w:type="dxa"/>
          </w:tcPr>
          <w:p>
            <w:pPr>
              <w:pStyle w:val="Compact"/>
              <w:spacing w:after="40"/>
              <w:jc w:val="left"/>
            </w:pPr>
            <w:r>
              <w:rPr>
                <w:sz w:val="18"/>
              </w:rPr>
              <w:t xml:space="preserve">Flagged off unless RBI confirms for the entity class</w:t>
            </w:r>
          </w:p>
        </w:tc>
      </w:tr>
      <w:tr>
        <w:tc>
          <w:tcPr>
            <w:tcW w:w="2387" w:type="dxa"/>
          </w:tcPr>
          <w:p>
            <w:pPr>
              <w:pStyle w:val="Compact"/>
              <w:spacing w:after="40"/>
              <w:jc w:val="left"/>
            </w:pPr>
            <w:r>
              <w:rPr>
                <w:sz w:val="18"/>
              </w:rPr>
              <w:t xml:space="preserve">File upload</w:t>
            </w:r>
          </w:p>
        </w:tc>
        <w:tc>
          <w:tcPr>
            <w:tcW w:w="3494" w:type="dxa"/>
          </w:tcPr>
          <w:p>
            <w:pPr>
              <w:pStyle w:val="Compact"/>
              <w:spacing w:after="40"/>
              <w:jc w:val="left"/>
            </w:pPr>
            <w:r>
              <w:rPr>
                <w:sz w:val="18"/>
              </w:rPr>
              <w:t xml:space="preserve">RBI XML or XLSX template on the Data Portal</w:t>
            </w:r>
          </w:p>
        </w:tc>
        <w:tc>
          <w:tcPr>
            <w:tcW w:w="3757" w:type="dxa"/>
          </w:tcPr>
          <w:p>
            <w:pPr>
              <w:pStyle w:val="Compact"/>
              <w:spacing w:after="40"/>
              <w:jc w:val="left"/>
            </w:pPr>
            <w:r>
              <w:rPr>
                <w:sz w:val="18"/>
              </w:rPr>
              <w:t xml:space="preserve">Default (RR3.6 package)</w:t>
            </w:r>
          </w:p>
        </w:tc>
      </w:tr>
      <w:tr>
        <w:tc>
          <w:tcPr>
            <w:tcW w:w="2387" w:type="dxa"/>
          </w:tcPr>
          <w:p>
            <w:pPr>
              <w:pStyle w:val="Compact"/>
              <w:spacing w:after="40"/>
              <w:jc w:val="left"/>
            </w:pPr>
            <w:r>
              <w:rPr>
                <w:sz w:val="18"/>
              </w:rPr>
              <w:t xml:space="preserve">Screen-based web form</w:t>
            </w:r>
          </w:p>
        </w:tc>
        <w:tc>
          <w:tcPr>
            <w:tcW w:w="3494" w:type="dxa"/>
          </w:tcPr>
          <w:p>
            <w:pPr>
              <w:pStyle w:val="Compact"/>
              <w:spacing w:after="40"/>
              <w:jc w:val="left"/>
            </w:pPr>
            <w:r>
              <w:rPr>
                <w:sz w:val="18"/>
              </w:rPr>
              <w:t xml:space="preserve">From the RBI .xlsx template;</w:t>
            </w:r>
            <w:r>
              <w:rPr>
                <w:sz w:val="18"/>
              </w:rPr>
              <w:t xml:space="preserve"> </w:t>
            </w:r>
            <w:r>
              <w:rPr>
                <w:bCs/>
                <w:b/>
                <w:sz w:val="18"/>
              </w:rPr>
              <w:t xml:space="preserve">2,000-record cap</w:t>
            </w:r>
          </w:p>
        </w:tc>
        <w:tc>
          <w:tcPr>
            <w:tcW w:w="3757" w:type="dxa"/>
          </w:tcPr>
          <w:p>
            <w:pPr>
              <w:pStyle w:val="Compact"/>
              <w:spacing w:after="40"/>
              <w:jc w:val="left"/>
            </w:pPr>
            <w:r>
              <w:rPr>
                <w:sz w:val="18"/>
              </w:rPr>
              <w:t xml:space="preserve">Web-form sheet; above the cap, file upload is forced</w:t>
            </w:r>
          </w:p>
        </w:tc>
      </w:tr>
    </w:tbl>
    <w:p>
      <w:pPr>
        <w:numPr>
          <w:ilvl w:val="0"/>
          <w:numId w:val="1279"/>
        </w:numPr>
        <w:pStyle w:val="Compact"/>
      </w:pPr>
      <w:r>
        <w:rPr>
          <w:bCs/>
          <w:b/>
        </w:rPr>
        <w:t xml:space="preserve">Roles (SR para 19):</w:t>
      </w:r>
      <w:r>
        <w:t xml:space="preserve"> </w:t>
      </w:r>
      <w:r>
        <w:t xml:space="preserve">RBI’s super-user credential lets the RE create maker and checker users. Finbyx mirrors the roles for preparation and keeps a</w:t>
      </w:r>
      <w:r>
        <w:t xml:space="preserve"> </w:t>
      </w:r>
      <w:r>
        <w:rPr>
          <w:bCs/>
          <w:b/>
        </w:rPr>
        <w:t xml:space="preserve">portal-user alias register</w:t>
      </w:r>
      <w:r>
        <w:t xml:space="preserve"> </w:t>
      </w:r>
      <w:r>
        <w:t xml:space="preserve">(portal role, employee, alias, validity); no password or OTP field exists.</w:t>
      </w:r>
    </w:p>
    <w:p>
      <w:pPr>
        <w:numPr>
          <w:ilvl w:val="0"/>
          <w:numId w:val="1279"/>
        </w:numPr>
        <w:pStyle w:val="Compact"/>
      </w:pPr>
      <w:r>
        <w:rPr>
          <w:bCs/>
          <w:b/>
        </w:rPr>
        <w:t xml:space="preserve">Guided upload checklist</w:t>
      </w:r>
      <w:r>
        <w:t xml:space="preserve"> </w:t>
      </w:r>
      <w:r>
        <w:t xml:space="preserve">(one screen, each step ticked by the filer and time-stamped): open the portal in a separate browser tab (Finbyx shows the link, never embeds or automates it) → confirm entity, return, period and template version → upload the package file and compare the SHA-256 shown by Finbyx → record the portal validation result (errors pasted or attached go to</w:t>
      </w:r>
      <w:r>
        <w:t xml:space="preserve"> </w:t>
      </w:r>
      <w:r>
        <w:rPr>
          <w:rStyle w:val="VerbatimChar"/>
        </w:rPr>
        <w:t xml:space="preserve">PORTAL_REJECTED</w:t>
      </w:r>
      <w:r>
        <w:t xml:space="preserve">) → portal checker submits → download the acknowledgement → upload it to Finbyx, which pre-reads the reference and time for the filer to confirm. A step cannot be ticked out of order.</w:t>
      </w:r>
    </w:p>
    <w:p>
      <w:pPr>
        <w:numPr>
          <w:ilvl w:val="0"/>
          <w:numId w:val="1279"/>
        </w:numPr>
        <w:pStyle w:val="Compact"/>
      </w:pPr>
      <w:r>
        <w:rPr>
          <w:bCs/>
          <w:b/>
        </w:rPr>
        <w:t xml:space="preserve">DNBS10:</w:t>
      </w:r>
      <w:r>
        <w:t xml:space="preserve"> </w:t>
      </w:r>
      <w:r>
        <w:t xml:space="preserve">the NBFC super user creates the auditor’s login (SR 21 item 7); the auditor workspace (Part 7D, AU7) carries the data pack and clock; the CFO records the auditor’s filing reference.</w:t>
      </w:r>
    </w:p>
    <w:bookmarkEnd w:id="239"/>
    <w:bookmarkStart w:id="240" w:name="rr4.2-daksh-supervisory-monitoring"/>
    <w:p>
      <w:pPr>
        <w:pStyle w:val="Heading3"/>
      </w:pPr>
      <w:r>
        <w:t xml:space="preserve">RR4.2 DAKSH (supervisory monitoring)</w:t>
      </w:r>
    </w:p>
    <w:p>
      <w:pPr>
        <w:pStyle w:val="FirstParagraph"/>
      </w:pPr>
      <w:r>
        <w:t xml:space="preserve">DAKSH (https://daksh.rbi.org.in, launched 6 Oct 2022) is RBI’s workflow application for compliance monitoring, inspection, communication, cyber-incident reporting and MIS. It is not a return portal.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602"/>
        <w:gridCol w:w="2562"/>
        <w:gridCol w:w="3474"/>
      </w:tblGrid>
      <w:tr>
        <w:trPr>
          <w:tblHeader w:val="true"/>
          <w:tblHeader w:val="true"/>
        </w:trPr>
        <w:tc>
          <w:tcPr>
            <w:tcW w:w="3602" w:type="dxa"/>
            <w:shd w:val="clear" w:color="auto" w:fill="1F3A5F"/>
          </w:tcPr>
          <w:p>
            <w:pPr>
              <w:pStyle w:val="Compact"/>
              <w:spacing w:after="40"/>
              <w:jc w:val="left"/>
            </w:pPr>
            <w:r>
              <w:rPr>
                <w:b/>
                <w:color w:val="FFFFFF"/>
                <w:sz w:val="18"/>
              </w:rPr>
              <w:t xml:space="preserve">Workflow</w:t>
            </w:r>
          </w:p>
        </w:tc>
        <w:tc>
          <w:tcPr>
            <w:tcW w:w="2562" w:type="dxa"/>
            <w:shd w:val="clear" w:color="auto" w:fill="1F3A5F"/>
          </w:tcPr>
          <w:p>
            <w:pPr>
              <w:pStyle w:val="Compact"/>
              <w:spacing w:after="40"/>
              <w:jc w:val="left"/>
            </w:pPr>
            <w:r>
              <w:rPr>
                <w:b/>
                <w:color w:val="FFFFFF"/>
                <w:sz w:val="18"/>
              </w:rPr>
              <w:t xml:space="preserve">Direction</w:t>
            </w:r>
          </w:p>
        </w:tc>
        <w:tc>
          <w:tcPr>
            <w:tcW w:w="3474" w:type="dxa"/>
            <w:shd w:val="clear" w:color="auto" w:fill="1F3A5F"/>
          </w:tcPr>
          <w:p>
            <w:pPr>
              <w:pStyle w:val="Compact"/>
              <w:spacing w:after="40"/>
              <w:jc w:val="left"/>
            </w:pPr>
            <w:r>
              <w:rPr>
                <w:b/>
                <w:color w:val="FFFFFF"/>
                <w:sz w:val="18"/>
              </w:rPr>
              <w:t xml:space="preserve">Finbyx role</w:t>
            </w:r>
          </w:p>
        </w:tc>
      </w:tr>
      <w:tr>
        <w:tc>
          <w:tcPr>
            <w:tcW w:w="3602" w:type="dxa"/>
          </w:tcPr>
          <w:p>
            <w:pPr>
              <w:pStyle w:val="Compact"/>
              <w:spacing w:after="40"/>
              <w:jc w:val="left"/>
            </w:pPr>
            <w:r>
              <w:rPr>
                <w:sz w:val="18"/>
              </w:rPr>
              <w:t xml:space="preserve">Cyber incident within 6 hours of detection</w:t>
            </w:r>
          </w:p>
        </w:tc>
        <w:tc>
          <w:tcPr>
            <w:tcW w:w="2562" w:type="dxa"/>
          </w:tcPr>
          <w:p>
            <w:pPr>
              <w:pStyle w:val="Compact"/>
              <w:spacing w:after="40"/>
              <w:jc w:val="left"/>
            </w:pPr>
            <w:r>
              <w:rPr>
                <w:sz w:val="18"/>
              </w:rPr>
              <w:t xml:space="preserve">CYB 28, 141 (HFCs to NHB)</w:t>
            </w:r>
          </w:p>
        </w:tc>
        <w:tc>
          <w:tcPr>
            <w:tcW w:w="3474" w:type="dxa"/>
          </w:tcPr>
          <w:p>
            <w:pPr>
              <w:pStyle w:val="Compact"/>
              <w:spacing w:after="40"/>
              <w:jc w:val="left"/>
            </w:pPr>
            <w:r>
              <w:rPr>
                <w:sz w:val="18"/>
              </w:rPr>
              <w:t xml:space="preserve">Incident record starts the timer; draft; DAKSH evidence; CERT-In clock separate</w:t>
            </w:r>
          </w:p>
        </w:tc>
      </w:tr>
      <w:tr>
        <w:tc>
          <w:tcPr>
            <w:tcW w:w="3602" w:type="dxa"/>
          </w:tcPr>
          <w:p>
            <w:pPr>
              <w:pStyle w:val="Compact"/>
              <w:spacing w:after="40"/>
              <w:jc w:val="left"/>
            </w:pPr>
            <w:r>
              <w:rPr>
                <w:sz w:val="18"/>
              </w:rPr>
              <w:t xml:space="preserve">Nomination coverage (NBFC-D), quarterly</w:t>
            </w:r>
          </w:p>
        </w:tc>
        <w:tc>
          <w:tcPr>
            <w:tcW w:w="2562" w:type="dxa"/>
          </w:tcPr>
          <w:p>
            <w:pPr>
              <w:pStyle w:val="Compact"/>
              <w:spacing w:after="40"/>
              <w:jc w:val="left"/>
            </w:pPr>
            <w:r>
              <w:rPr>
                <w:sz w:val="18"/>
              </w:rPr>
              <w:t xml:space="preserve">MSD 12</w:t>
            </w:r>
          </w:p>
        </w:tc>
        <w:tc>
          <w:tcPr>
            <w:tcW w:w="3474" w:type="dxa"/>
          </w:tcPr>
          <w:p>
            <w:pPr>
              <w:pStyle w:val="Compact"/>
              <w:spacing w:after="40"/>
              <w:jc w:val="left"/>
            </w:pPr>
            <w:r>
              <w:rPr>
                <w:sz w:val="18"/>
              </w:rPr>
              <w:t xml:space="preserve">Coverage report from the deposits module</w:t>
            </w:r>
          </w:p>
        </w:tc>
      </w:tr>
      <w:tr>
        <w:tc>
          <w:tcPr>
            <w:tcW w:w="3602" w:type="dxa"/>
          </w:tcPr>
          <w:p>
            <w:pPr>
              <w:pStyle w:val="Compact"/>
              <w:spacing w:after="40"/>
              <w:jc w:val="left"/>
            </w:pPr>
            <w:r>
              <w:rPr>
                <w:sz w:val="18"/>
              </w:rPr>
              <w:t xml:space="preserve">Supervisory letters, inspection RMPs, compliance items</w:t>
            </w:r>
          </w:p>
        </w:tc>
        <w:tc>
          <w:tcPr>
            <w:tcW w:w="2562" w:type="dxa"/>
          </w:tcPr>
          <w:p>
            <w:pPr>
              <w:pStyle w:val="Compact"/>
              <w:spacing w:after="40"/>
              <w:jc w:val="left"/>
            </w:pPr>
            <w:r>
              <w:rPr>
                <w:sz w:val="18"/>
              </w:rPr>
              <w:t xml:space="preserve">[VERIFY: no primary text on RMP submission]</w:t>
            </w:r>
          </w:p>
        </w:tc>
        <w:tc>
          <w:tcPr>
            <w:tcW w:w="3474" w:type="dxa"/>
          </w:tcPr>
          <w:p>
            <w:pPr>
              <w:pStyle w:val="Compact"/>
              <w:spacing w:after="40"/>
              <w:jc w:val="left"/>
            </w:pPr>
            <w:r>
              <w:rPr>
                <w:sz w:val="18"/>
              </w:rPr>
              <w:t xml:space="preserve">Inbound item register (RR5.4)</w:t>
            </w:r>
          </w:p>
        </w:tc>
      </w:tr>
      <w:tr>
        <w:tc>
          <w:tcPr>
            <w:tcW w:w="3602" w:type="dxa"/>
          </w:tcPr>
          <w:p>
            <w:pPr>
              <w:pStyle w:val="Compact"/>
              <w:spacing w:after="40"/>
              <w:jc w:val="left"/>
            </w:pPr>
            <w:r>
              <w:rPr>
                <w:sz w:val="18"/>
              </w:rPr>
              <w:t xml:space="preserve">CIC laggard lists (CICs report late CIs half-yearly, as on 31 March and 30 September)</w:t>
            </w:r>
          </w:p>
        </w:tc>
        <w:tc>
          <w:tcPr>
            <w:tcW w:w="2562" w:type="dxa"/>
          </w:tcPr>
          <w:p>
            <w:pPr>
              <w:pStyle w:val="Compact"/>
              <w:spacing w:after="40"/>
              <w:jc w:val="left"/>
            </w:pPr>
            <w:r>
              <w:rPr>
                <w:sz w:val="18"/>
              </w:rPr>
              <w:t xml:space="preserve">CIR 10(2)(v) as amended; CIC-AMD 15(2)</w:t>
            </w:r>
          </w:p>
        </w:tc>
        <w:tc>
          <w:tcPr>
            <w:tcW w:w="3474" w:type="dxa"/>
          </w:tcPr>
          <w:p>
            <w:pPr>
              <w:pStyle w:val="Compact"/>
              <w:spacing w:after="40"/>
              <w:jc w:val="left"/>
            </w:pPr>
            <w:r>
              <w:rPr>
                <w:sz w:val="18"/>
              </w:rPr>
              <w:t xml:space="preserve">Not a tenant filing; RR6 timeliness keeps the tenant off it</w:t>
            </w:r>
          </w:p>
        </w:tc>
      </w:tr>
    </w:tbl>
    <w:bookmarkEnd w:id="240"/>
    <w:bookmarkStart w:id="241" w:name="Xe414ad9dbafd7586df3d1b3a5a93fa24a717c2c"/>
    <w:p>
      <w:pPr>
        <w:pStyle w:val="Heading3"/>
      </w:pPr>
      <w:r>
        <w:t xml:space="preserve">RR4.3 PRAVAAH (applications and authorisations)</w:t>
      </w:r>
    </w:p>
    <w:p>
      <w:pPr>
        <w:pStyle w:val="FirstParagraph"/>
      </w:pPr>
      <w:r>
        <w:t xml:space="preserve">PRAVAAH (https://pravaah.rbi.org.in; mandatory for all applicants from 1 May 2025; 108 forms) is used for applications, status tracking, query responses and decisions.</w:t>
      </w:r>
    </w:p>
    <w:p>
      <w:pPr>
        <w:numPr>
          <w:ilvl w:val="0"/>
          <w:numId w:val="1280"/>
        </w:numPr>
        <w:pStyle w:val="Compact"/>
      </w:pPr>
      <w:r>
        <w:rPr>
          <w:bCs/>
          <w:b/>
        </w:rPr>
        <w:t xml:space="preserve">Application pack builder:</w:t>
      </w:r>
      <w:r>
        <w:t xml:space="preserve"> </w:t>
      </w:r>
      <w:r>
        <w:t xml:space="preserve">form, entity, documents with hashes, Board resolutions (Part 7F), checklist. Seeded uses: change in control or management incl. the 30% director change (GOV 10–11, Annex I); overseas representative office (BR 13); NBFC-AA registration; ICC-to-Factor conversion (MISC 39); IDF-MF sponsorship (MISC 63); core investment company registration within 3 months of meeting the test (CICD paras 11(7), 15–17; Part 7H IV5.6) [VERIFY: CICD paragraph numbers].</w:t>
      </w:r>
    </w:p>
    <w:p>
      <w:pPr>
        <w:numPr>
          <w:ilvl w:val="0"/>
          <w:numId w:val="1280"/>
        </w:numPr>
        <w:pStyle w:val="Compact"/>
      </w:pPr>
      <w:r>
        <w:rPr>
          <w:bCs/>
          <w:b/>
        </w:rPr>
        <w:t xml:space="preserve">States:</w:t>
      </w:r>
      <w:r>
        <w:t xml:space="preserve"> </w:t>
      </w:r>
      <w:r>
        <w:rPr>
          <w:rStyle w:val="VerbatimChar"/>
        </w:rPr>
        <w:t xml:space="preserve">DRAFT → INTERNAL_APPROVED → SUBMITTED_BY_HUMAN → RBI_QUERY → RESPONDED → DECIDED → CONDITIONS_TRACKED → CLOSED</w:t>
      </w:r>
      <w:r>
        <w:t xml:space="preserve">; decision conditions become M14 obligations.</w:t>
      </w:r>
    </w:p>
    <w:bookmarkEnd w:id="241"/>
    <w:bookmarkStart w:id="242" w:name="X6eae8157228ee012e165eec9663ce984b31ee7e"/>
    <w:p>
      <w:pPr>
        <w:pStyle w:val="Heading3"/>
      </w:pPr>
      <w:r>
        <w:t xml:space="preserve">RR4.4 NABARD ENSURE (StCB and DCCB tenants)</w:t>
      </w:r>
    </w:p>
    <w:p>
      <w:pPr>
        <w:pStyle w:val="FirstParagraph"/>
      </w:pPr>
      <w:r>
        <w:t xml:space="preserve">NABARD supervises StCBs and DCCBs under BR Act s.35(6). ENSURE returns (indicative):</w:t>
      </w:r>
      <w:r>
        <w:t xml:space="preserve"> </w:t>
      </w:r>
      <w:r>
        <w:rPr>
          <w:bCs/>
          <w:b/>
        </w:rPr>
        <w:t xml:space="preserve">OSC-10 quarterly; CS-01 and CS-02 within 15 days; CSIR-01 cyber incident within 6 hours</w:t>
      </w:r>
      <w:r>
        <w:t xml:space="preserve"> </w:t>
      </w:r>
      <w:r>
        <w:t xml:space="preserve">[VERIFY: current list and formats]. Same package and evidence flow as CIMS.</w:t>
      </w:r>
    </w:p>
    <w:bookmarkEnd w:id="242"/>
    <w:bookmarkStart w:id="243" w:name="Xd5294cdd6ab8a73cbdd2fa328ad5bd0e051f1a2"/>
    <w:p>
      <w:pPr>
        <w:pStyle w:val="Heading3"/>
      </w:pPr>
      <w:r>
        <w:t xml:space="preserve">RR4.5 IFSCA (Finance Companies and Finance Units)</w:t>
      </w:r>
    </w:p>
    <w:p>
      <w:pPr>
        <w:pStyle w:val="FirstParagraph"/>
      </w:pPr>
      <w:r>
        <w:t xml:space="preserve">Reports under IFSCA-FC reg 9 in USD from the USD ledger (AC1–AC2), one tenant per IFSC unit (Part 7G, IP6) [VERIFY: return list, frequency, portal].</w:t>
      </w:r>
    </w:p>
    <w:bookmarkEnd w:id="243"/>
    <w:bookmarkStart w:id="244" w:name="rr4.6-fiu-ind-fingate-2.0"/>
    <w:p>
      <w:pPr>
        <w:pStyle w:val="Heading3"/>
      </w:pPr>
      <w:r>
        <w:t xml:space="preserve">RR4.6 FIU-IND (FINGate 2.0)</w:t>
      </w:r>
    </w:p>
    <w:p>
      <w:pPr>
        <w:numPr>
          <w:ilvl w:val="0"/>
          <w:numId w:val="1281"/>
        </w:numPr>
        <w:pStyle w:val="Compact"/>
      </w:pPr>
      <w:r>
        <w:rPr>
          <w:bCs/>
          <w:b/>
        </w:rPr>
        <w:t xml:space="preserve">Reports:</w:t>
      </w:r>
      <w:r>
        <w:t xml:space="preserve"> </w:t>
      </w:r>
      <w:r>
        <w:t xml:space="preserve">STR, CTR, NTR, CCR, CBWTR under PML (Maintenance of Records) Rules 2005 r.3, filed per r.7 (KYC 49) on FINnet 2.0 / FINGate 2.0 (live 22 Mar 2023).</w:t>
      </w:r>
    </w:p>
    <w:p>
      <w:pPr>
        <w:numPr>
          <w:ilvl w:val="0"/>
          <w:numId w:val="1281"/>
        </w:numPr>
        <w:pStyle w:val="Compact"/>
      </w:pPr>
      <w:r>
        <w:rPr>
          <w:bCs/>
          <w:b/>
        </w:rPr>
        <w:t xml:space="preserve">Timelines (PML Rules r.8) [VERIFY exact text]:</w:t>
      </w:r>
      <w:r>
        <w:t xml:space="preserve"> </w:t>
      </w:r>
      <w:r>
        <w:t xml:space="preserve">CTR, NTR, CBWTR by the 15th of the next month; STR within 7 working days of being satisfied that a transaction is suspicious; CCR [VERIFY]. Each day of delay is a separate violation (KYC 51).</w:t>
      </w:r>
    </w:p>
    <w:p>
      <w:pPr>
        <w:numPr>
          <w:ilvl w:val="0"/>
          <w:numId w:val="1281"/>
        </w:numPr>
        <w:pStyle w:val="Compact"/>
      </w:pPr>
      <w:r>
        <w:rPr>
          <w:bCs/>
          <w:b/>
        </w:rPr>
        <w:t xml:space="preserve">Build:</w:t>
      </w:r>
      <w:r>
        <w:t xml:space="preserve"> </w:t>
      </w:r>
      <w:r>
        <w:t xml:space="preserve">XML from the AML case module (Part 8A.21) through the FIU-IND Report Generation and Validation Utilities [VERIFY: Reporting Format Guide version]; Principal Officer approval; STRs hidden from non-AML roles (no tipping off; no account restriction merely because an STR is filed, KYC 51); batch hash and FINGate acknowledgement recorded; Designated Director and Principal Officer intimations (KYC 14–15).</w:t>
      </w:r>
    </w:p>
    <w:bookmarkEnd w:id="244"/>
    <w:bookmarkStart w:id="245" w:name="rr4.7-ckycr-cersai"/>
    <w:p>
      <w:pPr>
        <w:pStyle w:val="Heading3"/>
      </w:pPr>
      <w:r>
        <w:t xml:space="preserve">RR4.7 CKYCR (CERSAI)</w:t>
      </w:r>
    </w:p>
    <w:p>
      <w:pPr>
        <w:pStyle w:val="FirstParagraph"/>
      </w:pPr>
      <w:r>
        <w:t xml:space="preserve">Upload within</w:t>
      </w:r>
      <w:r>
        <w:t xml:space="preserve"> </w:t>
      </w:r>
      <w:r>
        <w:rPr>
          <w:bCs/>
          <w:b/>
        </w:rPr>
        <w:t xml:space="preserve">10 days</w:t>
      </w:r>
      <w:r>
        <w:t xml:space="preserve"> </w:t>
      </w:r>
      <w:r>
        <w:t xml:space="preserve">of starting an account-based relationship and updates within</w:t>
      </w:r>
      <w:r>
        <w:t xml:space="preserve"> </w:t>
      </w:r>
      <w:r>
        <w:rPr>
          <w:bCs/>
          <w:b/>
        </w:rPr>
        <w:t xml:space="preserve">7 days</w:t>
      </w:r>
      <w:r>
        <w:t xml:space="preserve"> </w:t>
      </w:r>
      <w:r>
        <w:t xml:space="preserve">(KYC 63(1), 63(7); PML Rules r.9(1A), 9(1C)). Build: bulk file generator, response ingest (KYC identifier, errors), retry queue, identifier sent to the customer (KYC 63(6)), and the 14-digit CKYC number pushed to bureau mapping (CIR 12(10)). Breaches fail the M14 control test.</w:t>
      </w:r>
    </w:p>
    <w:bookmarkEnd w:id="245"/>
    <w:bookmarkStart w:id="246" w:name="rr4.8-cersai-central-registry"/>
    <w:p>
      <w:pPr>
        <w:pStyle w:val="Heading3"/>
      </w:pPr>
      <w:r>
        <w:t xml:space="preserve">RR4.8 CERSAI Central Registry</w:t>
      </w:r>
    </w:p>
    <w:p>
      <w:pPr>
        <w:pStyle w:val="FirstParagraph"/>
      </w:pPr>
      <w:r>
        <w:t xml:space="preserve">Security interest registered</w:t>
      </w:r>
      <w:r>
        <w:t xml:space="preserve"> </w:t>
      </w:r>
      <w:r>
        <w:rPr>
          <w:bCs/>
          <w:b/>
        </w:rPr>
        <w:t xml:space="preserve">within 30 days of creation, modification or satisfaction</w:t>
      </w:r>
      <w:r>
        <w:t xml:space="preserve"> </w:t>
      </w:r>
      <w:r>
        <w:t xml:space="preserve">(SARFAESI ss.20–26) [VERIFY: Central Registry Rules 2011 as amended, late fees]; no SARFAESI enforcement without it (s.26D). M5</w:t>
      </w:r>
      <w:r>
        <w:t xml:space="preserve"> </w:t>
      </w:r>
      <w:r>
        <w:rPr>
          <w:rStyle w:val="VerbatimChar"/>
        </w:rPr>
        <w:t xml:space="preserve">charge_registration</w:t>
      </w:r>
      <w:r>
        <w:t xml:space="preserve"> </w:t>
      </w:r>
      <w:r>
        <w:t xml:space="preserve">holds the record; RR4 adds the deadline instance, checklist, acknowledgement capture and the satisfaction trigger on closure.</w:t>
      </w:r>
    </w:p>
    <w:bookmarkEnd w:id="246"/>
    <w:bookmarkStart w:id="247" w:name="rr4.9-income-tax-reporting-portal-ita25"/>
    <w:p>
      <w:pPr>
        <w:pStyle w:val="Heading3"/>
      </w:pPr>
      <w:r>
        <w:t xml:space="preserve">RR4.9 Income-tax reporting portal (ITA25)</w:t>
      </w:r>
    </w:p>
    <w:p>
      <w:pPr>
        <w:numPr>
          <w:ilvl w:val="0"/>
          <w:numId w:val="1282"/>
        </w:numPr>
        <w:pStyle w:val="Compact"/>
      </w:pPr>
      <w:r>
        <w:rPr>
          <w:bCs/>
          <w:b/>
        </w:rPr>
        <w:t xml:space="preserve">SFT:</w:t>
      </w:r>
      <w:r>
        <w:t xml:space="preserve"> </w:t>
      </w:r>
      <w:r>
        <w:t xml:space="preserve">ITA25</w:t>
      </w:r>
      <w:r>
        <w:t xml:space="preserve"> </w:t>
      </w:r>
      <w:r>
        <w:rPr>
          <w:bCs/>
          <w:b/>
        </w:rPr>
        <w:t xml:space="preserve">s.508, Form 165</w:t>
      </w:r>
      <w:r>
        <w:t xml:space="preserve"> </w:t>
      </w:r>
      <w:r>
        <w:t xml:space="preserve">(formerly s.285BA, Form 61A), annual, due 31 May [VERIFY: Income-tax Rules 2026]; defects cured within 30 days, corrections within 10 days (incometaxindia.gov.in, s.508); NBFC reportable-transaction list [VERIFY].</w:t>
      </w:r>
    </w:p>
    <w:p>
      <w:pPr>
        <w:numPr>
          <w:ilvl w:val="0"/>
          <w:numId w:val="1282"/>
        </w:numPr>
        <w:pStyle w:val="Compact"/>
      </w:pPr>
      <w:r>
        <w:rPr>
          <w:bCs/>
          <w:b/>
        </w:rPr>
        <w:t xml:space="preserve">FATCA/CRS:</w:t>
      </w:r>
      <w:r>
        <w:t xml:space="preserve"> </w:t>
      </w:r>
      <w:r>
        <w:rPr>
          <w:bCs/>
          <w:b/>
        </w:rPr>
        <w:t xml:space="preserve">Form 166</w:t>
      </w:r>
      <w:r>
        <w:t xml:space="preserve"> </w:t>
      </w:r>
      <w:r>
        <w:t xml:space="preserve">(formerly 61B) and NIL reports, Reporting FIs only (KYC 64) [VERIFY: rule].</w:t>
      </w:r>
    </w:p>
    <w:p>
      <w:pPr>
        <w:numPr>
          <w:ilvl w:val="0"/>
          <w:numId w:val="1282"/>
        </w:numPr>
        <w:pStyle w:val="Compact"/>
      </w:pPr>
      <w:r>
        <w:t xml:space="preserve">Build: year-versioned reportable rules, CBDT-schema data file, reporting-entity ID register, designated-director sign-off, acknowledgement capture. TDS statements are in AC5.</w:t>
      </w:r>
    </w:p>
    <w:bookmarkEnd w:id="247"/>
    <w:bookmarkStart w:id="248" w:name="acceptance-tests-5"/>
    <w:p>
      <w:pPr>
        <w:pStyle w:val="Heading3"/>
      </w:pPr>
      <w:r>
        <w:t xml:space="preserve">Acceptance tests</w:t>
      </w:r>
    </w:p>
    <w:p>
      <w:pPr>
        <w:numPr>
          <w:ilvl w:val="0"/>
          <w:numId w:val="1283"/>
        </w:numPr>
        <w:pStyle w:val="Compact"/>
      </w:pPr>
      <w:r>
        <w:t xml:space="preserve">A CIMS web-form run with 2,001 records refuses the web-form channel and offers file upload only.</w:t>
      </w:r>
    </w:p>
    <w:p>
      <w:pPr>
        <w:numPr>
          <w:ilvl w:val="0"/>
          <w:numId w:val="1283"/>
        </w:numPr>
        <w:pStyle w:val="Compact"/>
      </w:pPr>
      <w:r>
        <w:t xml:space="preserve">The cyber-incident record shows a 6-hour countdown from detection time; recording the DAKSH reference after 6 hours raises a compliance issue with root cause mandatory.</w:t>
      </w:r>
    </w:p>
    <w:p>
      <w:pPr>
        <w:numPr>
          <w:ilvl w:val="0"/>
          <w:numId w:val="1283"/>
        </w:numPr>
        <w:pStyle w:val="Compact"/>
      </w:pPr>
      <w:r>
        <w:t xml:space="preserve">A PRAVAAH application cannot move to</w:t>
      </w:r>
      <w:r>
        <w:t xml:space="preserve"> </w:t>
      </w:r>
      <w:r>
        <w:rPr>
          <w:rStyle w:val="VerbatimChar"/>
        </w:rPr>
        <w:t xml:space="preserve">SUBMITTED_BY_HUMAN</w:t>
      </w:r>
      <w:r>
        <w:t xml:space="preserve"> </w:t>
      </w:r>
      <w:r>
        <w:t xml:space="preserve">without internal approval and a Board resolution reference where the form requires one.</w:t>
      </w:r>
    </w:p>
    <w:p>
      <w:pPr>
        <w:numPr>
          <w:ilvl w:val="0"/>
          <w:numId w:val="1283"/>
        </w:numPr>
        <w:pStyle w:val="Compact"/>
      </w:pPr>
      <w:r>
        <w:t xml:space="preserve">An STR is not visible to roles outside AML and the Principal Officer; an attempt to view it is logged.</w:t>
      </w:r>
    </w:p>
    <w:p>
      <w:pPr>
        <w:numPr>
          <w:ilvl w:val="0"/>
          <w:numId w:val="1283"/>
        </w:numPr>
        <w:pStyle w:val="Compact"/>
      </w:pPr>
      <w:r>
        <w:t xml:space="preserve">A loan opened on day 0 with no CKYCR upload by day 10 fails the M14 control test on day 11.</w:t>
      </w:r>
    </w:p>
    <w:p>
      <w:pPr>
        <w:numPr>
          <w:ilvl w:val="0"/>
          <w:numId w:val="1283"/>
        </w:numPr>
        <w:pStyle w:val="Compact"/>
      </w:pPr>
      <w:r>
        <w:t xml:space="preserve">A loan closure with a CERSAI-registered charge opens a satisfaction-filing task due in 30 days.</w:t>
      </w:r>
    </w:p>
    <w:p>
      <w:r>
        <w:pict>
          <v:rect style="width:0;height:1.5pt" o:hralign="center" o:hrstd="t" o:hr="t"/>
        </w:pict>
      </w:r>
    </w:p>
    <w:bookmarkEnd w:id="248"/>
    <w:bookmarkEnd w:id="249"/>
    <w:bookmarkStart w:id="255" w:name="X39291f56b237c3537c5a44659affb8448333434"/>
    <w:p>
      <w:pPr>
        <w:pStyle w:val="Heading2"/>
      </w:pPr>
      <w:r>
        <w:t xml:space="preserve">RR5. Filing calendar, evidence vault, revisions and RBI queries</w:t>
      </w:r>
    </w:p>
    <w:bookmarkStart w:id="250" w:name="rr5.1-filing-calendar"/>
    <w:p>
      <w:pPr>
        <w:pStyle w:val="Heading3"/>
      </w:pPr>
      <w:r>
        <w:t xml:space="preserve">RR5.1 Filing calendar</w:t>
      </w:r>
    </w:p>
    <w:p>
      <w:pPr>
        <w:numPr>
          <w:ilvl w:val="0"/>
          <w:numId w:val="1284"/>
        </w:numPr>
        <w:pStyle w:val="Compact"/>
      </w:pPr>
      <w:r>
        <w:rPr>
          <w:rStyle w:val="VerbatimChar"/>
        </w:rPr>
        <w:t xml:space="preserve">return_due_instance</w:t>
      </w:r>
      <w:r>
        <w:t xml:space="preserve"> </w:t>
      </w:r>
      <w:r>
        <w:t xml:space="preserve">rows are generated 13 months ahead per entity. Weekly reference dates move to the preceding working day if Friday is a holiday (SR para 21 item 6) [VERIFY: RBI or RE holiday calendar].</w:t>
      </w:r>
    </w:p>
    <w:p>
      <w:pPr>
        <w:numPr>
          <w:ilvl w:val="0"/>
          <w:numId w:val="1284"/>
        </w:numPr>
        <w:pStyle w:val="Compact"/>
      </w:pPr>
      <w:r>
        <w:t xml:space="preserve">Event-driven instances: fraud classification (FMR +14 days), update (FUA immediate), cyber detection (+6 hours), SA appointment (Form A +1 month), audit-report signing (DNBS10 and all audited returns +5 working days, DNBS10 capped at 31 Dec; SR 22 Note 1, 23), DLA change, account opening (CKYCR +10 days), charge creation (CERSAI +30 days).</w:t>
      </w:r>
    </w:p>
    <w:p>
      <w:pPr>
        <w:numPr>
          <w:ilvl w:val="0"/>
          <w:numId w:val="1284"/>
        </w:numPr>
        <w:pStyle w:val="Compact"/>
      </w:pPr>
      <w:r>
        <w:t xml:space="preserve">Alerts at T−7, T−3, T−1 and on breach (tenants may add stages but never remove the breach alert); escalation to the CCO on breach and to the MD/CEO after 2 working days [REC].</w:t>
      </w:r>
      <w:r>
        <w:t xml:space="preserve"> </w:t>
      </w:r>
      <w:r>
        <w:rPr>
          <w:rStyle w:val="VerbatimChar"/>
        </w:rPr>
        <w:t xml:space="preserve">ReturnDue</w:t>
      </w:r>
      <w:r>
        <w:t xml:space="preserve"> </w:t>
      </w:r>
      <w:r>
        <w:t xml:space="preserve">is emitted at each alert stage to LawDocsComply or embedded M14, and to the Operations Hub as status metadata only where the tenant has opted in.</w:t>
      </w:r>
    </w:p>
    <w:p>
      <w:pPr>
        <w:numPr>
          <w:ilvl w:val="0"/>
          <w:numId w:val="1284"/>
        </w:numPr>
        <w:pStyle w:val="Compact"/>
      </w:pPr>
      <w:r>
        <w:rPr>
          <w:bCs/>
          <w:b/>
        </w:rPr>
        <w:t xml:space="preserve">Working days:</w:t>
      </w:r>
      <w:r>
        <w:t xml:space="preserve"> </w:t>
      </w:r>
      <w:r>
        <w:t xml:space="preserve">the instance’s</w:t>
      </w:r>
      <w:r>
        <w:t xml:space="preserve"> </w:t>
      </w:r>
      <w:r>
        <w:rPr>
          <w:rStyle w:val="VerbatimChar"/>
        </w:rPr>
        <w:t xml:space="preserve">holiday_calendar</w:t>
      </w:r>
      <w:r>
        <w:t xml:space="preserve"> </w:t>
      </w:r>
      <w:r>
        <w:t xml:space="preserve">(default: RBI holidays for Mumbai plus the tenant’s registered-office State calendar; Saturdays and Sundays non-working). Where a calendar-day limit ends on a holiday, the instance is due on the preceding working day [REC]; a due date is never moved later than the Direction allows.</w:t>
      </w:r>
    </w:p>
    <w:bookmarkEnd w:id="250"/>
    <w:bookmarkStart w:id="251" w:name="X4cb7dcbedcc5546df1bbb674cb313632b550fb5"/>
    <w:p>
      <w:pPr>
        <w:pStyle w:val="Heading3"/>
      </w:pPr>
      <w:r>
        <w:t xml:space="preserve">RR5.2 Evidence vault and acknowledgements</w:t>
      </w:r>
    </w:p>
    <w:p>
      <w:pPr>
        <w:numPr>
          <w:ilvl w:val="0"/>
          <w:numId w:val="1285"/>
        </w:numPr>
        <w:pStyle w:val="Compact"/>
      </w:pPr>
      <w:r>
        <w:t xml:space="preserve">Folders (Part 7J DP1.2 and Integration Specification 12.1):</w:t>
      </w:r>
      <w:r>
        <w:t xml:space="preserve"> </w:t>
      </w:r>
      <w:r>
        <w:rPr>
          <w:rStyle w:val="VerbatimChar"/>
        </w:rPr>
        <w:t xml:space="preserve">05 Regulatory Returns/[regulator]/[portal]/[return code]/[period]/</w:t>
      </w:r>
      <w:r>
        <w:t xml:space="preserve"> </w:t>
      </w:r>
      <w:r>
        <w:t xml:space="preserve">and</w:t>
      </w:r>
      <w:r>
        <w:t xml:space="preserve"> </w:t>
      </w:r>
      <w:r>
        <w:rPr>
          <w:rStyle w:val="VerbatimChar"/>
        </w:rPr>
        <w:t xml:space="preserve">06 Credit Bureau Reporting/[CIC]/[file type]/[period]/</w:t>
      </w:r>
      <w:r>
        <w:t xml:space="preserve">, where the bureau period is the reference date and cycle code (for example</w:t>
      </w:r>
      <w:r>
        <w:t xml:space="preserve"> </w:t>
      </w:r>
      <w:r>
        <w:rPr>
          <w:rStyle w:val="VerbatimChar"/>
        </w:rPr>
        <w:t xml:space="preserve">2026-07-09 W1</w:t>
      </w:r>
      <w:r>
        <w:t xml:space="preserve">). Files are byte-identical to what was filed, with the validation report, sign-offs and acknowledgement alongside.</w:t>
      </w:r>
    </w:p>
    <w:p>
      <w:pPr>
        <w:numPr>
          <w:ilvl w:val="0"/>
          <w:numId w:val="1285"/>
        </w:numPr>
        <w:pStyle w:val="Compact"/>
      </w:pPr>
      <w:r>
        <w:t xml:space="preserve">Contents: versions, snapshot hash, file and hash, validation report, reconciliation, lineage extract, approvals, signed manifest, acknowledgement, revision history, applicable variance rows.</w:t>
      </w:r>
    </w:p>
    <w:p>
      <w:pPr>
        <w:numPr>
          <w:ilvl w:val="0"/>
          <w:numId w:val="1285"/>
        </w:numPr>
        <w:pStyle w:val="Compact"/>
      </w:pPr>
      <w:r>
        <w:rPr>
          <w:bCs/>
          <w:b/>
        </w:rPr>
        <w:t xml:space="preserve">Acknowledgement capture:</w:t>
      </w:r>
      <w:r>
        <w:t xml:space="preserve"> </w:t>
      </w:r>
      <w:r>
        <w:t xml:space="preserve">the filer uploads the portal acknowledgement and confirms the reference (Finbyx may pre-read it from the PDF);</w:t>
      </w:r>
      <w:r>
        <w:t xml:space="preserve"> </w:t>
      </w:r>
      <w:r>
        <w:rPr>
          <w:rStyle w:val="VerbatimChar"/>
        </w:rPr>
        <w:t xml:space="preserve">ACKNOWLEDGED</w:t>
      </w:r>
      <w:r>
        <w:t xml:space="preserve"> </w:t>
      </w:r>
      <w:r>
        <w:t xml:space="preserve">needs both.</w:t>
      </w:r>
    </w:p>
    <w:p>
      <w:pPr>
        <w:numPr>
          <w:ilvl w:val="0"/>
          <w:numId w:val="1285"/>
        </w:numPr>
        <w:pStyle w:val="Compact"/>
      </w:pPr>
      <w:r>
        <w:t xml:space="preserve">Retention class</w:t>
      </w:r>
      <w:r>
        <w:t xml:space="preserve"> </w:t>
      </w:r>
      <w:r>
        <w:rPr>
          <w:rStyle w:val="VerbatimChar"/>
        </w:rPr>
        <w:t xml:space="preserve">REG-RETURN</w:t>
      </w:r>
      <w:r>
        <w:t xml:space="preserve">: 10 years from filing [REC], never below the statutory period (AC7).</w:t>
      </w:r>
    </w:p>
    <w:bookmarkEnd w:id="251"/>
    <w:bookmarkStart w:id="252" w:name="rr5.3-revisions"/>
    <w:p>
      <w:pPr>
        <w:pStyle w:val="Heading3"/>
      </w:pPr>
      <w:r>
        <w:t xml:space="preserve">RR5.3 Revisions</w:t>
      </w:r>
    </w:p>
    <w:p>
      <w:pPr>
        <w:numPr>
          <w:ilvl w:val="0"/>
          <w:numId w:val="1286"/>
        </w:numPr>
        <w:pStyle w:val="Compact"/>
      </w:pPr>
      <w:r>
        <w:t xml:space="preserve">A revision is run</w:t>
      </w:r>
      <w:r>
        <w:t xml:space="preserve"> </w:t>
      </w:r>
      <w:r>
        <w:rPr>
          <w:rStyle w:val="VerbatimChar"/>
        </w:rPr>
        <w:t xml:space="preserve">n+1</w:t>
      </w:r>
      <w:r>
        <w:t xml:space="preserve"> </w:t>
      </w:r>
      <w:r>
        <w:t xml:space="preserve">with a reason code (RBI_QUERY, INTERNAL_ERROR, AUDIT_ADJUSTMENT, LATE_POSTING, FORMAT_CHANGE), trigger reference, cell-level diff, fresh validation, reconciliation, approvals and package; version n is preserved. SR has no revision paragraph; the portal’s resubmission mechanism applies [VERIFY: CIMS procedure].</w:t>
      </w:r>
      <w:r>
        <w:t xml:space="preserve"> </w:t>
      </w:r>
      <w:r>
        <w:rPr>
          <w:rStyle w:val="VerbatimChar"/>
        </w:rPr>
        <w:t xml:space="preserve">ReturnRevised</w:t>
      </w:r>
      <w:r>
        <w:t xml:space="preserve"> </w:t>
      </w:r>
      <w:r>
        <w:t xml:space="preserve">is emitted on acknowledgement.</w:t>
      </w:r>
    </w:p>
    <w:p>
      <w:pPr>
        <w:numPr>
          <w:ilvl w:val="0"/>
          <w:numId w:val="1286"/>
        </w:numPr>
        <w:pStyle w:val="Compact"/>
      </w:pPr>
      <w:r>
        <w:rPr>
          <w:bCs/>
          <w:b/>
        </w:rPr>
        <w:t xml:space="preserve">Revision assessment (query and revision loop):</w:t>
      </w:r>
      <w:r>
        <w:t xml:space="preserve"> </w:t>
      </w:r>
      <w:r>
        <w:t xml:space="preserve">a trigger (RBI query, audit adjustment, back-dated posting into a filed period, error found by DQ checks,</w:t>
      </w:r>
      <w:r>
        <w:t xml:space="preserve"> </w:t>
      </w:r>
      <w:r>
        <w:rPr>
          <w:rStyle w:val="VerbatimChar"/>
        </w:rPr>
        <w:t xml:space="preserve">FinancialStatementsApproved</w:t>
      </w:r>
      <w:r>
        <w:t xml:space="preserve"> </w:t>
      </w:r>
      <w:r>
        <w:t xml:space="preserve">with figures that differ from filed quarterly returns) opens a</w:t>
      </w:r>
      <w:r>
        <w:t xml:space="preserve"> </w:t>
      </w:r>
      <w:r>
        <w:rPr>
          <w:rStyle w:val="VerbatimChar"/>
        </w:rPr>
        <w:t xml:space="preserve">revision_assessment</w:t>
      </w:r>
      <w:r>
        <w:t xml:space="preserve"> </w:t>
      </w:r>
      <w:r>
        <w:t xml:space="preserve">listing every affected return and period with a draft cell diff computed from a fresh snapshot → the return owner proposes</w:t>
      </w:r>
      <w:r>
        <w:t xml:space="preserve"> </w:t>
      </w:r>
      <w:r>
        <w:rPr>
          <w:rStyle w:val="VerbatimChar"/>
        </w:rPr>
        <w:t xml:space="preserve">REVISE</w:t>
      </w:r>
      <w:r>
        <w:t xml:space="preserve"> </w:t>
      </w:r>
      <w:r>
        <w:t xml:space="preserve">or</w:t>
      </w:r>
      <w:r>
        <w:t xml:space="preserve"> </w:t>
      </w:r>
      <w:r>
        <w:rPr>
          <w:rStyle w:val="VerbatimChar"/>
        </w:rPr>
        <w:t xml:space="preserve">NO_REVISION</w:t>
      </w:r>
      <w:r>
        <w:t xml:space="preserve"> </w:t>
      </w:r>
      <w:r>
        <w:t xml:space="preserve">(with reasons; any change to a prudential-ratio cell or above the</w:t>
      </w:r>
      <w:r>
        <w:t xml:space="preserve"> </w:t>
      </w:r>
      <w:r>
        <w:rPr>
          <w:rStyle w:val="VerbatimChar"/>
        </w:rPr>
        <w:t xml:space="preserve">revision_materiality</w:t>
      </w:r>
      <w:r>
        <w:t xml:space="preserve"> </w:t>
      </w:r>
      <w:r>
        <w:t xml:space="preserve">setting defaults to</w:t>
      </w:r>
      <w:r>
        <w:t xml:space="preserve"> </w:t>
      </w:r>
      <w:r>
        <w:rPr>
          <w:rStyle w:val="VerbatimChar"/>
        </w:rPr>
        <w:t xml:space="preserve">REVISE</w:t>
      </w:r>
      <w:r>
        <w:t xml:space="preserve">) → CCO decides →</w:t>
      </w:r>
      <w:r>
        <w:t xml:space="preserve"> </w:t>
      </w:r>
      <w:r>
        <w:rPr>
          <w:rStyle w:val="VerbatimChar"/>
        </w:rPr>
        <w:t xml:space="preserve">REVISE</w:t>
      </w:r>
      <w:r>
        <w:t xml:space="preserve"> </w:t>
      </w:r>
      <w:r>
        <w:t xml:space="preserve">opens run n+1 at</w:t>
      </w:r>
      <w:r>
        <w:t xml:space="preserve"> </w:t>
      </w:r>
      <w:r>
        <w:rPr>
          <w:rStyle w:val="VerbatimChar"/>
        </w:rPr>
        <w:t xml:space="preserve">DATA_FROZEN</w:t>
      </w:r>
      <w:r>
        <w:t xml:space="preserve"> </w:t>
      </w:r>
      <w:r>
        <w:t xml:space="preserve">and the full RR3.1 path → after</w:t>
      </w:r>
      <w:r>
        <w:t xml:space="preserve"> </w:t>
      </w:r>
      <w:r>
        <w:rPr>
          <w:rStyle w:val="VerbatimChar"/>
        </w:rPr>
        <w:t xml:space="preserve">ACKNOWLEDGED</w:t>
      </w:r>
      <w:r>
        <w:t xml:space="preserve">, the linked</w:t>
      </w:r>
      <w:r>
        <w:t xml:space="preserve"> </w:t>
      </w:r>
      <w:r>
        <w:rPr>
          <w:rStyle w:val="VerbatimChar"/>
        </w:rPr>
        <w:t xml:space="preserve">supervisory_item</w:t>
      </w:r>
      <w:r>
        <w:t xml:space="preserve"> </w:t>
      </w:r>
      <w:r>
        <w:t xml:space="preserve">records the response and closes. A</w:t>
      </w:r>
      <w:r>
        <w:t xml:space="preserve"> </w:t>
      </w:r>
      <w:r>
        <w:rPr>
          <w:rStyle w:val="VerbatimChar"/>
        </w:rPr>
        <w:t xml:space="preserve">NO_REVISION</w:t>
      </w:r>
      <w:r>
        <w:t xml:space="preserve"> </w:t>
      </w:r>
      <w:r>
        <w:t xml:space="preserve">decision is kept in the evidence pack with the diff.</w:t>
      </w:r>
    </w:p>
    <w:p>
      <w:pPr>
        <w:numPr>
          <w:ilvl w:val="0"/>
          <w:numId w:val="1286"/>
        </w:numPr>
        <w:pStyle w:val="Compact"/>
      </w:pPr>
      <w:r>
        <w:t xml:space="preserve">Audit adjustments after a quarterly filing open a revision assessment for every affected return automatically.</w:t>
      </w:r>
    </w:p>
    <w:bookmarkEnd w:id="252"/>
    <w:bookmarkStart w:id="253" w:name="X1fa6345bb669189788564d6f9c75f5f1662b5bb"/>
    <w:p>
      <w:pPr>
        <w:pStyle w:val="Heading3"/>
      </w:pPr>
      <w:r>
        <w:t xml:space="preserve">RR5.4 RBI queries and supervisory requests</w:t>
      </w:r>
    </w:p>
    <w:p>
      <w:pPr>
        <w:numPr>
          <w:ilvl w:val="0"/>
          <w:numId w:val="1287"/>
        </w:numPr>
        <w:pStyle w:val="Compact"/>
      </w:pPr>
      <w:r>
        <w:rPr>
          <w:rStyle w:val="VerbatimChar"/>
        </w:rPr>
        <w:t xml:space="preserve">supervisory_item</w:t>
      </w:r>
      <w:r>
        <w:t xml:space="preserve"> </w:t>
      </w:r>
      <w:r>
        <w:t xml:space="preserve">register: source (DAKSH, email, letter, inspection, PRAVAAH), type (return query, SR 13 ad hoc request, RMP item, letter), linked returns, owner, due date, drafts, approvals, response reference. Ad hoc requests run as ad hoc returns with RBI’s due date (SR 22 Note 2).</w:t>
      </w:r>
    </w:p>
    <w:p>
      <w:pPr>
        <w:numPr>
          <w:ilvl w:val="0"/>
          <w:numId w:val="1287"/>
        </w:numPr>
        <w:pStyle w:val="Compact"/>
      </w:pPr>
      <w:r>
        <w:t xml:space="preserve">A missed filing opens a compliance issue with root cause and a penalty-exposure note (SR para 24 [VERIFY: quantum under RBI Act ss.58B/58G]); late FMRs open staff-accountability review (FRM 46).</w:t>
      </w:r>
    </w:p>
    <w:bookmarkEnd w:id="253"/>
    <w:bookmarkStart w:id="254" w:name="acceptance-tests-6"/>
    <w:p>
      <w:pPr>
        <w:pStyle w:val="Heading3"/>
      </w:pPr>
      <w:r>
        <w:t xml:space="preserve">Acceptance tests</w:t>
      </w:r>
    </w:p>
    <w:p>
      <w:pPr>
        <w:numPr>
          <w:ilvl w:val="0"/>
          <w:numId w:val="1288"/>
        </w:numPr>
        <w:pStyle w:val="Compact"/>
      </w:pPr>
      <w:r>
        <w:t xml:space="preserve">An FMR classified on 1 November shows due 15 November; FUA instances are due on the update date.</w:t>
      </w:r>
    </w:p>
    <w:p>
      <w:pPr>
        <w:numPr>
          <w:ilvl w:val="0"/>
          <w:numId w:val="1288"/>
        </w:numPr>
        <w:pStyle w:val="Compact"/>
      </w:pPr>
      <w:r>
        <w:t xml:space="preserve">DNBS10 for an audit report signed on Friday 25 Sep 2026 is due Monday 5 Oct 2026 (2 Oct is a holiday); one signed on Thursday 24 Dec 2026 is due 31 Dec 2026 (cap).</w:t>
      </w:r>
    </w:p>
    <w:p>
      <w:pPr>
        <w:numPr>
          <w:ilvl w:val="0"/>
          <w:numId w:val="1288"/>
        </w:numPr>
        <w:pStyle w:val="Compact"/>
      </w:pPr>
      <w:r>
        <w:t xml:space="preserve">A revision preserves version n byte-for-byte and its acknowledgement; the diff lists only changed cells.</w:t>
      </w:r>
    </w:p>
    <w:p>
      <w:pPr>
        <w:numPr>
          <w:ilvl w:val="0"/>
          <w:numId w:val="1288"/>
        </w:numPr>
        <w:pStyle w:val="Compact"/>
      </w:pPr>
      <w:r>
        <w:t xml:space="preserve">A run cannot be</w:t>
      </w:r>
      <w:r>
        <w:t xml:space="preserve"> </w:t>
      </w:r>
      <w:r>
        <w:rPr>
          <w:rStyle w:val="VerbatimChar"/>
        </w:rPr>
        <w:t xml:space="preserve">CLOSED</w:t>
      </w:r>
      <w:r>
        <w:t xml:space="preserve"> </w:t>
      </w:r>
      <w:r>
        <w:t xml:space="preserve">without an acknowledgement attachment whose hash is stored.</w:t>
      </w:r>
    </w:p>
    <w:p>
      <w:pPr>
        <w:numPr>
          <w:ilvl w:val="0"/>
          <w:numId w:val="1288"/>
        </w:numPr>
        <w:pStyle w:val="Compact"/>
      </w:pPr>
      <w:r>
        <w:t xml:space="preserve">For a tenant that has opted in, the Operations Hub receives</w:t>
      </w:r>
      <w:r>
        <w:t xml:space="preserve"> </w:t>
      </w:r>
      <w:r>
        <w:rPr>
          <w:rStyle w:val="VerbatimChar"/>
        </w:rPr>
        <w:t xml:space="preserve">ReturnDue</w:t>
      </w:r>
      <w:r>
        <w:t xml:space="preserve"> </w:t>
      </w:r>
      <w:r>
        <w:t xml:space="preserve">at each alert stage and</w:t>
      </w:r>
      <w:r>
        <w:t xml:space="preserve"> </w:t>
      </w:r>
      <w:r>
        <w:rPr>
          <w:rStyle w:val="VerbatimChar"/>
        </w:rPr>
        <w:t xml:space="preserve">ReturnFiled</w:t>
      </w:r>
      <w:r>
        <w:t xml:space="preserve"> </w:t>
      </w:r>
      <w:r>
        <w:t xml:space="preserve">on acknowledgement, with no amount, package or borrower field; for a tenant that has not, the Hub receives nothing.</w:t>
      </w:r>
    </w:p>
    <w:p>
      <w:pPr>
        <w:numPr>
          <w:ilvl w:val="0"/>
          <w:numId w:val="1288"/>
        </w:numPr>
        <w:pStyle w:val="Compact"/>
      </w:pPr>
      <w:r>
        <w:t xml:space="preserve">A</w:t>
      </w:r>
      <w:r>
        <w:t xml:space="preserve"> </w:t>
      </w:r>
      <w:r>
        <w:rPr>
          <w:rStyle w:val="VerbatimChar"/>
        </w:rPr>
        <w:t xml:space="preserve">FinancialStatementsApproved</w:t>
      </w:r>
      <w:r>
        <w:t xml:space="preserve"> </w:t>
      </w:r>
      <w:r>
        <w:t xml:space="preserve">event whose audited CRAR differs from the filed March DNBS03 opens a revision assessment defaulting to</w:t>
      </w:r>
      <w:r>
        <w:t xml:space="preserve"> </w:t>
      </w:r>
      <w:r>
        <w:rPr>
          <w:rStyle w:val="VerbatimChar"/>
        </w:rPr>
        <w:t xml:space="preserve">REVISE</w:t>
      </w:r>
      <w:r>
        <w:t xml:space="preserve">.</w:t>
      </w:r>
    </w:p>
    <w:p>
      <w:r>
        <w:pict>
          <v:rect style="width:0;height:1.5pt" o:hralign="center" o:hrstd="t" o:hr="t"/>
        </w:pict>
      </w:r>
    </w:p>
    <w:bookmarkEnd w:id="254"/>
    <w:bookmarkEnd w:id="255"/>
    <w:bookmarkStart w:id="264" w:name="X66e6b8d5547be02497a28f4d61d0fa2e3cbe3e2"/>
    <w:p>
      <w:pPr>
        <w:pStyle w:val="Heading2"/>
      </w:pPr>
      <w:r>
        <w:t xml:space="preserve">RR6. Credit bureau submission engine (consumer, commercial, MFI)</w:t>
      </w:r>
    </w:p>
    <w:p>
      <w:pPr>
        <w:pStyle w:val="FirstParagraph"/>
      </w:pPr>
      <w:r>
        <w:rPr>
          <w:bCs/>
          <w:b/>
        </w:rPr>
        <w:t xml:space="preserve">Purpose.</w:t>
      </w:r>
      <w:r>
        <w:t xml:space="preserve"> </w:t>
      </w:r>
      <w:r>
        <w:t xml:space="preserve">Report complete, accurate and timely credit information to all four CICs in the Uniform Credit Reporting Formats, on the cadence in force from 1 Jul 2026. Extends Part 8A.2.</w:t>
      </w:r>
    </w:p>
    <w:bookmarkStart w:id="256" w:name="rr6.1-legal-frame-and-scope"/>
    <w:p>
      <w:pPr>
        <w:pStyle w:val="Heading3"/>
      </w:pPr>
      <w:r>
        <w:t xml:space="preserve">RR6.1 Legal frame and scope</w:t>
      </w:r>
    </w:p>
    <w:p>
      <w:pPr>
        <w:numPr>
          <w:ilvl w:val="0"/>
          <w:numId w:val="1289"/>
        </w:numPr>
        <w:pStyle w:val="Compact"/>
      </w:pPr>
      <w:r>
        <w:rPr>
          <w:bCs/>
          <w:b/>
        </w:rPr>
        <w:t xml:space="preserve">Law:</w:t>
      </w:r>
      <w:r>
        <w:t xml:space="preserve"> </w:t>
      </w:r>
      <w:r>
        <w:t xml:space="preserve">CICRA 2005, CIC Rules and Regulations 2006; CIR (349, under CICRA s.11) as amended by RBI/DOR/2025-26/117, DoR.FIN.REC.No.324/20.16.056/2025-26,</w:t>
      </w:r>
      <w:r>
        <w:t xml:space="preserve"> </w:t>
      </w:r>
      <w:r>
        <w:rPr>
          <w:bCs/>
          <w:b/>
        </w:rPr>
        <w:t xml:space="preserve">4 Dec 2025, in force 1 Jul 2026</w:t>
      </w:r>
      <w:r>
        <w:t xml:space="preserve"> </w:t>
      </w:r>
      <w:r>
        <w:t xml:space="preserve">(paras 10(2), 12(10), 15, Annex VI); CIC-side rules as amended by RBI/DOR/2025-26/119 (</w:t>
      </w:r>
      <w:r>
        <w:rPr>
          <w:rStyle w:val="VerbatimChar"/>
        </w:rPr>
        <w:t xml:space="preserve">CIC-AMD</w:t>
      </w:r>
      <w:r>
        <w:t xml:space="preserve">). Membership of all four CICs (CIR 6);</w:t>
      </w:r>
      <w:r>
        <w:t xml:space="preserve"> </w:t>
      </w:r>
      <w:r>
        <w:rPr>
          <w:bCs/>
          <w:b/>
        </w:rPr>
        <w:t xml:space="preserve">no borrower consent needed</w:t>
      </w:r>
      <w:r>
        <w:t xml:space="preserve"> </w:t>
      </w:r>
      <w:r>
        <w:t xml:space="preserve">(CIR 11).</w:t>
      </w:r>
    </w:p>
    <w:p>
      <w:pPr>
        <w:numPr>
          <w:ilvl w:val="0"/>
          <w:numId w:val="1289"/>
        </w:numPr>
        <w:pStyle w:val="Compact"/>
      </w:pPr>
      <w:r>
        <w:rPr>
          <w:bCs/>
          <w:b/>
        </w:rPr>
        <w:t xml:space="preserve">Scope:</w:t>
      </w:r>
      <w:r>
        <w:t xml:space="preserve"> </w:t>
      </w:r>
      <w:r>
        <w:t xml:space="preserve">reporting CIs per CIR 3 (Part 8A.2); banks and UCBs on their own amended CIR Directions [VERIFY: StCB/DCCB]. Credit co-operative societies report only if a CIC admits them as members [VERIFY]; otherwise the module stays off and no other lender’s membership is ever used. LSPs never report (CF 17); co-lenders report their own shares (TDCR 122). MFIN members add</w:t>
      </w:r>
      <w:r>
        <w:t xml:space="preserve"> </w:t>
      </w:r>
      <w:r>
        <w:rPr>
          <w:bCs/>
          <w:b/>
        </w:rPr>
        <w:t xml:space="preserve">daily</w:t>
      </w:r>
      <w:r>
        <w:t xml:space="preserve"> </w:t>
      </w:r>
      <w:r>
        <w:t xml:space="preserve">submission (MFIN Guardrails 2.0, Directive #14) [SRO].</w:t>
      </w:r>
    </w:p>
    <w:bookmarkEnd w:id="256"/>
    <w:bookmarkStart w:id="257" w:name="X9adb25960d0d464c8df8d7f97b629f89b6fe36a"/>
    <w:p>
      <w:pPr>
        <w:pStyle w:val="Heading3"/>
      </w:pPr>
      <w:r>
        <w:t xml:space="preserve">RR6.2 Cadence (effective-dated; CIR para 10(2) as substituted)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16"/>
        <w:gridCol w:w="2147"/>
        <w:gridCol w:w="3800"/>
        <w:gridCol w:w="2075"/>
      </w:tblGrid>
      <w:tr>
        <w:trPr>
          <w:tblHeader w:val="true"/>
          <w:tblHeader w:val="true"/>
        </w:trPr>
        <w:tc>
          <w:tcPr>
            <w:tcW w:w="1616" w:type="dxa"/>
            <w:shd w:val="clear" w:color="auto" w:fill="1F3A5F"/>
          </w:tcPr>
          <w:p>
            <w:pPr>
              <w:pStyle w:val="Compact"/>
              <w:spacing w:after="40"/>
              <w:jc w:val="left"/>
            </w:pPr>
            <w:r>
              <w:rPr>
                <w:b/>
                <w:color w:val="FFFFFF"/>
                <w:sz w:val="18"/>
              </w:rPr>
              <w:t xml:space="preserve">Period</w:t>
            </w:r>
          </w:p>
        </w:tc>
        <w:tc>
          <w:tcPr>
            <w:tcW w:w="2147" w:type="dxa"/>
            <w:shd w:val="clear" w:color="auto" w:fill="1F3A5F"/>
          </w:tcPr>
          <w:p>
            <w:pPr>
              <w:pStyle w:val="Compact"/>
              <w:spacing w:after="40"/>
              <w:jc w:val="left"/>
            </w:pPr>
            <w:r>
              <w:rPr>
                <w:b/>
                <w:color w:val="FFFFFF"/>
                <w:sz w:val="18"/>
              </w:rPr>
              <w:t xml:space="preserve">Reference dates</w:t>
            </w:r>
          </w:p>
        </w:tc>
        <w:tc>
          <w:tcPr>
            <w:tcW w:w="3800" w:type="dxa"/>
            <w:shd w:val="clear" w:color="auto" w:fill="1F3A5F"/>
          </w:tcPr>
          <w:p>
            <w:pPr>
              <w:pStyle w:val="Compact"/>
              <w:spacing w:after="40"/>
              <w:jc w:val="left"/>
            </w:pPr>
            <w:r>
              <w:rPr>
                <w:b/>
                <w:color w:val="FFFFFF"/>
                <w:sz w:val="18"/>
              </w:rPr>
              <w:t xml:space="preserve">File</w:t>
            </w:r>
          </w:p>
        </w:tc>
        <w:tc>
          <w:tcPr>
            <w:tcW w:w="2075" w:type="dxa"/>
            <w:shd w:val="clear" w:color="auto" w:fill="1F3A5F"/>
          </w:tcPr>
          <w:p>
            <w:pPr>
              <w:pStyle w:val="Compact"/>
              <w:spacing w:after="40"/>
              <w:jc w:val="left"/>
            </w:pPr>
            <w:r>
              <w:rPr>
                <w:b/>
                <w:color w:val="FFFFFF"/>
                <w:sz w:val="18"/>
              </w:rPr>
              <w:t xml:space="preserve">Due</w:t>
            </w:r>
          </w:p>
        </w:tc>
      </w:tr>
      <w:tr>
        <w:tc>
          <w:tcPr>
            <w:tcW w:w="1616" w:type="dxa"/>
          </w:tcPr>
          <w:p>
            <w:pPr>
              <w:pStyle w:val="Compact"/>
              <w:spacing w:after="40"/>
              <w:jc w:val="left"/>
            </w:pPr>
            <w:r>
              <w:rPr>
                <w:sz w:val="18"/>
              </w:rPr>
              <w:t xml:space="preserve">Until 30 Jun 2026</w:t>
            </w:r>
          </w:p>
        </w:tc>
        <w:tc>
          <w:tcPr>
            <w:tcW w:w="2147" w:type="dxa"/>
          </w:tcPr>
          <w:p>
            <w:pPr>
              <w:pStyle w:val="Compact"/>
              <w:spacing w:after="40"/>
              <w:jc w:val="left"/>
            </w:pPr>
            <w:r>
              <w:rPr>
                <w:sz w:val="18"/>
              </w:rPr>
              <w:t xml:space="preserve">15th and month-end</w:t>
            </w:r>
          </w:p>
        </w:tc>
        <w:tc>
          <w:tcPr>
            <w:tcW w:w="3800" w:type="dxa"/>
          </w:tcPr>
          <w:p>
            <w:pPr>
              <w:pStyle w:val="Compact"/>
              <w:spacing w:after="40"/>
              <w:jc w:val="left"/>
            </w:pPr>
            <w:r>
              <w:rPr>
                <w:sz w:val="18"/>
              </w:rPr>
              <w:t xml:space="preserve">Full</w:t>
            </w:r>
          </w:p>
        </w:tc>
        <w:tc>
          <w:tcPr>
            <w:tcW w:w="2075" w:type="dxa"/>
          </w:tcPr>
          <w:p>
            <w:pPr>
              <w:pStyle w:val="Compact"/>
              <w:spacing w:after="40"/>
              <w:jc w:val="left"/>
            </w:pPr>
            <w:r>
              <w:rPr>
                <w:sz w:val="18"/>
              </w:rPr>
              <w:t xml:space="preserve">Within 7 calendar days</w:t>
            </w:r>
          </w:p>
        </w:tc>
      </w:tr>
      <w:tr>
        <w:tc>
          <w:tcPr>
            <w:tcW w:w="1616" w:type="dxa"/>
          </w:tcPr>
          <w:p>
            <w:pPr>
              <w:pStyle w:val="Compact"/>
              <w:spacing w:after="40"/>
              <w:jc w:val="left"/>
            </w:pPr>
            <w:r>
              <w:rPr>
                <w:sz w:val="18"/>
              </w:rPr>
              <w:t xml:space="preserve">From 1 Jul 2026</w:t>
            </w:r>
          </w:p>
        </w:tc>
        <w:tc>
          <w:tcPr>
            <w:tcW w:w="2147" w:type="dxa"/>
          </w:tcPr>
          <w:p>
            <w:pPr>
              <w:pStyle w:val="Compact"/>
              <w:spacing w:after="40"/>
              <w:jc w:val="left"/>
            </w:pPr>
            <w:r>
              <w:rPr>
                <w:sz w:val="18"/>
              </w:rPr>
              <w:t xml:space="preserve">9th (W1), 16th (W2), 23rd (W3)</w:t>
            </w:r>
          </w:p>
        </w:tc>
        <w:tc>
          <w:tcPr>
            <w:tcW w:w="3800" w:type="dxa"/>
          </w:tcPr>
          <w:p>
            <w:pPr>
              <w:pStyle w:val="Compact"/>
              <w:spacing w:after="40"/>
              <w:jc w:val="left"/>
            </w:pPr>
            <w:r>
              <w:rPr>
                <w:sz w:val="18"/>
              </w:rPr>
              <w:t xml:space="preserve">Incremental</w:t>
            </w:r>
          </w:p>
        </w:tc>
        <w:tc>
          <w:tcPr>
            <w:tcW w:w="2075" w:type="dxa"/>
          </w:tcPr>
          <w:p>
            <w:pPr>
              <w:pStyle w:val="Compact"/>
              <w:spacing w:after="40"/>
              <w:jc w:val="left"/>
            </w:pPr>
            <w:r>
              <w:rPr>
                <w:sz w:val="18"/>
              </w:rPr>
              <w:t xml:space="preserve">Within 4 calendar days</w:t>
            </w:r>
          </w:p>
        </w:tc>
      </w:tr>
      <w:tr>
        <w:tc>
          <w:tcPr>
            <w:tcW w:w="1616" w:type="dxa"/>
          </w:tcPr>
          <w:p>
            <w:pPr>
              <w:pStyle w:val="Compact"/>
              <w:spacing w:after="40"/>
              <w:jc w:val="left"/>
            </w:pPr>
            <w:r>
              <w:rPr>
                <w:sz w:val="18"/>
              </w:rPr>
              <w:t xml:space="preserve">From 1 Jul 2026</w:t>
            </w:r>
          </w:p>
        </w:tc>
        <w:tc>
          <w:tcPr>
            <w:tcW w:w="2147" w:type="dxa"/>
          </w:tcPr>
          <w:p>
            <w:pPr>
              <w:pStyle w:val="Compact"/>
              <w:spacing w:after="40"/>
              <w:jc w:val="left"/>
            </w:pPr>
            <w:r>
              <w:rPr>
                <w:sz w:val="18"/>
              </w:rPr>
              <w:t xml:space="preserve">Month-end (ME)</w:t>
            </w:r>
          </w:p>
        </w:tc>
        <w:tc>
          <w:tcPr>
            <w:tcW w:w="3800" w:type="dxa"/>
          </w:tcPr>
          <w:p>
            <w:pPr>
              <w:pStyle w:val="Compact"/>
              <w:spacing w:after="40"/>
              <w:jc w:val="left"/>
            </w:pPr>
            <w:r>
              <w:rPr>
                <w:sz w:val="18"/>
              </w:rPr>
              <w:t xml:space="preserve">Full: all active accounts plus accounts whose relationship ended since the last reference date</w:t>
            </w:r>
          </w:p>
        </w:tc>
        <w:tc>
          <w:tcPr>
            <w:tcW w:w="2075" w:type="dxa"/>
          </w:tcPr>
          <w:p>
            <w:pPr>
              <w:pStyle w:val="Compact"/>
              <w:spacing w:after="40"/>
              <w:jc w:val="left"/>
            </w:pPr>
            <w:r>
              <w:rPr>
                <w:sz w:val="18"/>
              </w:rPr>
              <w:t xml:space="preserve">By the 5th of the next month</w:t>
            </w:r>
          </w:p>
        </w:tc>
      </w:tr>
      <w:tr>
        <w:tc>
          <w:tcPr>
            <w:tcW w:w="1616" w:type="dxa"/>
          </w:tcPr>
          <w:p>
            <w:pPr>
              <w:pStyle w:val="Compact"/>
              <w:spacing w:after="40"/>
              <w:jc w:val="left"/>
            </w:pPr>
            <w:r>
              <w:rPr>
                <w:sz w:val="18"/>
              </w:rPr>
              <w:t xml:space="preserve">By agreement</w:t>
            </w:r>
          </w:p>
        </w:tc>
        <w:tc>
          <w:tcPr>
            <w:tcW w:w="2147" w:type="dxa"/>
          </w:tcPr>
          <w:p>
            <w:pPr>
              <w:pStyle w:val="Compact"/>
              <w:spacing w:after="40"/>
              <w:jc w:val="left"/>
            </w:pPr>
            <w:r>
              <w:rPr>
                <w:sz w:val="18"/>
              </w:rPr>
              <w:t xml:space="preserve">Daily (DL)</w:t>
            </w:r>
          </w:p>
        </w:tc>
        <w:tc>
          <w:tcPr>
            <w:tcW w:w="3800" w:type="dxa"/>
          </w:tcPr>
          <w:p>
            <w:pPr>
              <w:pStyle w:val="Compact"/>
              <w:spacing w:after="40"/>
              <w:jc w:val="left"/>
            </w:pPr>
            <w:r>
              <w:rPr>
                <w:sz w:val="18"/>
              </w:rPr>
              <w:t xml:space="preserve">Incremental</w:t>
            </w:r>
          </w:p>
        </w:tc>
        <w:tc>
          <w:tcPr>
            <w:tcW w:w="2075" w:type="dxa"/>
          </w:tcPr>
          <w:p>
            <w:pPr>
              <w:pStyle w:val="Compact"/>
              <w:spacing w:after="40"/>
              <w:jc w:val="left"/>
            </w:pPr>
            <w:r>
              <w:rPr>
                <w:sz w:val="18"/>
              </w:rPr>
              <w:t xml:space="preserve">Next day (MFIN members)</w:t>
            </w:r>
          </w:p>
        </w:tc>
      </w:tr>
    </w:tbl>
    <w:p>
      <w:pPr>
        <w:pStyle w:val="BodyText"/>
      </w:pPr>
      <w:r>
        <w:rPr>
          <w:bCs/>
          <w:b/>
        </w:rPr>
        <w:t xml:space="preserve">Annex VI timetable (from 1 Jul 2026):</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48"/>
        <w:gridCol w:w="2367"/>
        <w:gridCol w:w="2753"/>
        <w:gridCol w:w="2370"/>
      </w:tblGrid>
      <w:tr>
        <w:trPr>
          <w:tblHeader w:val="true"/>
          <w:tblHeader w:val="true"/>
        </w:trPr>
        <w:tc>
          <w:tcPr>
            <w:tcW w:w="2148" w:type="dxa"/>
            <w:shd w:val="clear" w:color="auto" w:fill="1F3A5F"/>
          </w:tcPr>
          <w:p>
            <w:pPr>
              <w:pStyle w:val="Compact"/>
              <w:spacing w:after="40"/>
              <w:jc w:val="left"/>
            </w:pPr>
            <w:r>
              <w:rPr>
                <w:b/>
                <w:color w:val="FFFFFF"/>
                <w:sz w:val="18"/>
              </w:rPr>
              <w:t xml:space="preserve">Reference date</w:t>
            </w:r>
          </w:p>
        </w:tc>
        <w:tc>
          <w:tcPr>
            <w:tcW w:w="2367" w:type="dxa"/>
            <w:shd w:val="clear" w:color="auto" w:fill="1F3A5F"/>
          </w:tcPr>
          <w:p>
            <w:pPr>
              <w:pStyle w:val="Compact"/>
              <w:spacing w:after="40"/>
              <w:jc w:val="left"/>
            </w:pPr>
            <w:r>
              <w:rPr>
                <w:b/>
                <w:color w:val="FFFFFF"/>
                <w:sz w:val="18"/>
              </w:rPr>
              <w:t xml:space="preserve">CI shares data by</w:t>
            </w:r>
          </w:p>
        </w:tc>
        <w:tc>
          <w:tcPr>
            <w:tcW w:w="2753" w:type="dxa"/>
            <w:shd w:val="clear" w:color="auto" w:fill="1F3A5F"/>
          </w:tcPr>
          <w:p>
            <w:pPr>
              <w:pStyle w:val="Compact"/>
              <w:spacing w:after="40"/>
              <w:jc w:val="left"/>
            </w:pPr>
            <w:r>
              <w:rPr>
                <w:b/>
                <w:color w:val="FFFFFF"/>
                <w:sz w:val="18"/>
              </w:rPr>
              <w:t xml:space="preserve">CIC rejection report by</w:t>
            </w:r>
          </w:p>
        </w:tc>
        <w:tc>
          <w:tcPr>
            <w:tcW w:w="2370" w:type="dxa"/>
            <w:shd w:val="clear" w:color="auto" w:fill="1F3A5F"/>
          </w:tcPr>
          <w:p>
            <w:pPr>
              <w:pStyle w:val="Compact"/>
              <w:spacing w:after="40"/>
              <w:jc w:val="left"/>
            </w:pPr>
            <w:r>
              <w:rPr>
                <w:b/>
                <w:color w:val="FFFFFF"/>
                <w:sz w:val="18"/>
              </w:rPr>
              <w:t xml:space="preserve">CI correction by</w:t>
            </w:r>
          </w:p>
        </w:tc>
      </w:tr>
      <w:tr>
        <w:tc>
          <w:tcPr>
            <w:tcW w:w="2148" w:type="dxa"/>
          </w:tcPr>
          <w:p>
            <w:pPr>
              <w:pStyle w:val="Compact"/>
              <w:spacing w:after="40"/>
              <w:jc w:val="left"/>
            </w:pPr>
            <w:r>
              <w:rPr>
                <w:sz w:val="18"/>
              </w:rPr>
              <w:t xml:space="preserve">9th</w:t>
            </w:r>
          </w:p>
        </w:tc>
        <w:tc>
          <w:tcPr>
            <w:tcW w:w="2367" w:type="dxa"/>
          </w:tcPr>
          <w:p>
            <w:pPr>
              <w:pStyle w:val="Compact"/>
              <w:spacing w:after="40"/>
              <w:jc w:val="left"/>
            </w:pPr>
            <w:r>
              <w:rPr>
                <w:sz w:val="18"/>
              </w:rPr>
              <w:t xml:space="preserve">13th</w:t>
            </w:r>
          </w:p>
        </w:tc>
        <w:tc>
          <w:tcPr>
            <w:tcW w:w="2753" w:type="dxa"/>
          </w:tcPr>
          <w:p>
            <w:pPr>
              <w:pStyle w:val="Compact"/>
              <w:spacing w:after="40"/>
              <w:jc w:val="left"/>
            </w:pPr>
            <w:r>
              <w:rPr>
                <w:sz w:val="18"/>
              </w:rPr>
              <w:t xml:space="preserve">16th</w:t>
            </w:r>
          </w:p>
        </w:tc>
        <w:tc>
          <w:tcPr>
            <w:tcW w:w="2370" w:type="dxa"/>
          </w:tcPr>
          <w:p>
            <w:pPr>
              <w:pStyle w:val="Compact"/>
              <w:spacing w:after="40"/>
              <w:jc w:val="left"/>
            </w:pPr>
            <w:r>
              <w:rPr>
                <w:sz w:val="18"/>
              </w:rPr>
              <w:t xml:space="preserve">20th</w:t>
            </w:r>
          </w:p>
        </w:tc>
      </w:tr>
      <w:tr>
        <w:tc>
          <w:tcPr>
            <w:tcW w:w="2148" w:type="dxa"/>
          </w:tcPr>
          <w:p>
            <w:pPr>
              <w:pStyle w:val="Compact"/>
              <w:spacing w:after="40"/>
              <w:jc w:val="left"/>
            </w:pPr>
            <w:r>
              <w:rPr>
                <w:sz w:val="18"/>
              </w:rPr>
              <w:t xml:space="preserve">16th</w:t>
            </w:r>
          </w:p>
        </w:tc>
        <w:tc>
          <w:tcPr>
            <w:tcW w:w="2367" w:type="dxa"/>
          </w:tcPr>
          <w:p>
            <w:pPr>
              <w:pStyle w:val="Compact"/>
              <w:spacing w:after="40"/>
              <w:jc w:val="left"/>
            </w:pPr>
            <w:r>
              <w:rPr>
                <w:sz w:val="18"/>
              </w:rPr>
              <w:t xml:space="preserve">20th</w:t>
            </w:r>
          </w:p>
        </w:tc>
        <w:tc>
          <w:tcPr>
            <w:tcW w:w="2753" w:type="dxa"/>
          </w:tcPr>
          <w:p>
            <w:pPr>
              <w:pStyle w:val="Compact"/>
              <w:spacing w:after="40"/>
              <w:jc w:val="left"/>
            </w:pPr>
            <w:r>
              <w:rPr>
                <w:sz w:val="18"/>
              </w:rPr>
              <w:t xml:space="preserve">23rd</w:t>
            </w:r>
          </w:p>
        </w:tc>
        <w:tc>
          <w:tcPr>
            <w:tcW w:w="2370" w:type="dxa"/>
          </w:tcPr>
          <w:p>
            <w:pPr>
              <w:pStyle w:val="Compact"/>
              <w:spacing w:after="40"/>
              <w:jc w:val="left"/>
            </w:pPr>
            <w:r>
              <w:rPr>
                <w:sz w:val="18"/>
              </w:rPr>
              <w:t xml:space="preserve">27th</w:t>
            </w:r>
          </w:p>
        </w:tc>
      </w:tr>
      <w:tr>
        <w:tc>
          <w:tcPr>
            <w:tcW w:w="2148" w:type="dxa"/>
          </w:tcPr>
          <w:p>
            <w:pPr>
              <w:pStyle w:val="Compact"/>
              <w:spacing w:after="40"/>
              <w:jc w:val="left"/>
            </w:pPr>
            <w:r>
              <w:rPr>
                <w:sz w:val="18"/>
              </w:rPr>
              <w:t xml:space="preserve">23rd</w:t>
            </w:r>
          </w:p>
        </w:tc>
        <w:tc>
          <w:tcPr>
            <w:tcW w:w="2367" w:type="dxa"/>
          </w:tcPr>
          <w:p>
            <w:pPr>
              <w:pStyle w:val="Compact"/>
              <w:spacing w:after="40"/>
              <w:jc w:val="left"/>
            </w:pPr>
            <w:r>
              <w:rPr>
                <w:sz w:val="18"/>
              </w:rPr>
              <w:t xml:space="preserve">27th</w:t>
            </w:r>
          </w:p>
        </w:tc>
        <w:tc>
          <w:tcPr>
            <w:tcW w:w="2753" w:type="dxa"/>
          </w:tcPr>
          <w:p>
            <w:pPr>
              <w:pStyle w:val="Compact"/>
              <w:spacing w:after="40"/>
              <w:jc w:val="left"/>
            </w:pPr>
            <w:r>
              <w:rPr>
                <w:sz w:val="18"/>
              </w:rPr>
              <w:t xml:space="preserve">30th</w:t>
            </w:r>
          </w:p>
        </w:tc>
        <w:tc>
          <w:tcPr>
            <w:tcW w:w="2370" w:type="dxa"/>
          </w:tcPr>
          <w:p>
            <w:pPr>
              <w:pStyle w:val="Compact"/>
              <w:spacing w:after="40"/>
              <w:jc w:val="left"/>
            </w:pPr>
            <w:r>
              <w:rPr>
                <w:sz w:val="18"/>
              </w:rPr>
              <w:t xml:space="preserve">5th of next month</w:t>
            </w:r>
          </w:p>
        </w:tc>
      </w:tr>
      <w:tr>
        <w:tc>
          <w:tcPr>
            <w:tcW w:w="2148" w:type="dxa"/>
          </w:tcPr>
          <w:p>
            <w:pPr>
              <w:pStyle w:val="Compact"/>
              <w:spacing w:after="40"/>
              <w:jc w:val="left"/>
            </w:pPr>
            <w:r>
              <w:rPr>
                <w:sz w:val="18"/>
              </w:rPr>
              <w:t xml:space="preserve">Month-end</w:t>
            </w:r>
          </w:p>
        </w:tc>
        <w:tc>
          <w:tcPr>
            <w:tcW w:w="2367" w:type="dxa"/>
          </w:tcPr>
          <w:p>
            <w:pPr>
              <w:pStyle w:val="Compact"/>
              <w:spacing w:after="40"/>
              <w:jc w:val="left"/>
            </w:pPr>
            <w:r>
              <w:rPr>
                <w:sz w:val="18"/>
              </w:rPr>
              <w:t xml:space="preserve">5th</w:t>
            </w:r>
          </w:p>
        </w:tc>
        <w:tc>
          <w:tcPr>
            <w:tcW w:w="2753" w:type="dxa"/>
          </w:tcPr>
          <w:p>
            <w:pPr>
              <w:pStyle w:val="Compact"/>
              <w:spacing w:after="40"/>
              <w:jc w:val="left"/>
            </w:pPr>
            <w:r>
              <w:rPr>
                <w:sz w:val="18"/>
              </w:rPr>
              <w:t xml:space="preserve">8th</w:t>
            </w:r>
          </w:p>
        </w:tc>
        <w:tc>
          <w:tcPr>
            <w:tcW w:w="2370" w:type="dxa"/>
          </w:tcPr>
          <w:p>
            <w:pPr>
              <w:pStyle w:val="Compact"/>
              <w:spacing w:after="40"/>
              <w:jc w:val="left"/>
            </w:pPr>
            <w:r>
              <w:rPr>
                <w:sz w:val="18"/>
              </w:rPr>
              <w:t xml:space="preserve">13th</w:t>
            </w:r>
          </w:p>
        </w:tc>
      </w:tr>
    </w:tbl>
    <w:p>
      <w:pPr>
        <w:pStyle w:val="BodyText"/>
      </w:pPr>
      <w:r>
        <w:t xml:space="preserve">February: the</w:t>
      </w:r>
      <w:r>
        <w:t xml:space="preserve"> </w:t>
      </w:r>
      <w:r>
        <w:t xml:space="preserve">“</w:t>
      </w:r>
      <w:r>
        <w:t xml:space="preserve">30th</w:t>
      </w:r>
      <w:r>
        <w:t xml:space="preserve">”</w:t>
      </w:r>
      <w:r>
        <w:t xml:space="preserve"> </w:t>
      </w:r>
      <w:r>
        <w:t xml:space="preserve">rejection date falls in March; the calendar engine computes it as reference date + 7 calendar days [VERIFY: CIC practice for February].</w:t>
      </w:r>
      <w:r>
        <w:t xml:space="preserve"> </w:t>
      </w:r>
      <w:r>
        <w:rPr>
          <w:bCs/>
          <w:b/>
        </w:rPr>
        <w:t xml:space="preserve">Do not build to the draft cadence</w:t>
      </w:r>
      <w:r>
        <w:t xml:space="preserve"> </w:t>
      </w:r>
      <w:r>
        <w:t xml:space="preserve">(7th/14th/21st/28th and a 3rd-of-month full file); the final text dropped it.</w:t>
      </w:r>
    </w:p>
    <w:bookmarkEnd w:id="257"/>
    <w:bookmarkStart w:id="258" w:name="rr6.3-population-rules"/>
    <w:p>
      <w:pPr>
        <w:pStyle w:val="Heading3"/>
      </w:pPr>
      <w:r>
        <w:t xml:space="preserve">RR6.3 Population rules</w:t>
      </w:r>
    </w:p>
    <w:p>
      <w:pPr>
        <w:numPr>
          <w:ilvl w:val="0"/>
          <w:numId w:val="1290"/>
        </w:numPr>
        <w:pStyle w:val="Compact"/>
      </w:pPr>
      <w:r>
        <w:rPr>
          <w:bCs/>
          <w:b/>
        </w:rPr>
        <w:t xml:space="preserve">ME file:</w:t>
      </w:r>
      <w:r>
        <w:t xml:space="preserve"> </w:t>
      </w:r>
      <w:r>
        <w:t xml:space="preserve">every active account plus every account closed, sold, written off or otherwise ended since the last reference date.</w:t>
      </w:r>
    </w:p>
    <w:p>
      <w:pPr>
        <w:numPr>
          <w:ilvl w:val="0"/>
          <w:numId w:val="1290"/>
        </w:numPr>
        <w:pStyle w:val="Compact"/>
      </w:pPr>
      <w:r>
        <w:rPr>
          <w:bCs/>
          <w:b/>
        </w:rPr>
        <w:t xml:space="preserve">W1–W3 incremental:</w:t>
      </w:r>
      <w:r>
        <w:t xml:space="preserve"> </w:t>
      </w:r>
      <w:r>
        <w:t xml:space="preserve">A opened since the last reference date ∪ B relationship ended ∪ C changed by borrower-initiated action or transaction (repayment, balance, demographic, related-party, guarantor, ownership, account type) ∪ D any interest or principal overdue.</w:t>
      </w:r>
      <w:r>
        <w:t xml:space="preserve"> </w:t>
      </w:r>
      <w:r>
        <w:rPr>
          <w:bCs/>
          <w:b/>
        </w:rPr>
        <w:t xml:space="preserve">Accounts whose only change is DPD must be reported.</w:t>
      </w:r>
      <w:r>
        <w:t xml:space="preserve"> </w:t>
      </w:r>
      <w:r>
        <w:t xml:space="preserve">Implementation:</w:t>
      </w:r>
      <w:r>
        <w:t xml:space="preserve"> </w:t>
      </w:r>
      <w:r>
        <w:rPr>
          <w:rStyle w:val="VerbatimChar"/>
        </w:rPr>
        <w:t xml:space="preserve">changed_since(last_ref) OR amount_overdue &gt; 0</w:t>
      </w:r>
      <w:r>
        <w:t xml:space="preserve">, where change detection compares a canonical record hash per account and bureau.</w:t>
      </w:r>
    </w:p>
    <w:p>
      <w:pPr>
        <w:numPr>
          <w:ilvl w:val="0"/>
          <w:numId w:val="1290"/>
        </w:numPr>
        <w:pStyle w:val="Compact"/>
      </w:pPr>
      <w:r>
        <w:t xml:space="preserve">No repayment goes unreported, including the last instalment; closure always produces a category-B record at the next reference date (CIR 10(3)).</w:t>
      </w:r>
    </w:p>
    <w:p>
      <w:pPr>
        <w:numPr>
          <w:ilvl w:val="0"/>
          <w:numId w:val="1290"/>
        </w:numPr>
        <w:pStyle w:val="Compact"/>
      </w:pPr>
      <w:r>
        <w:t xml:space="preserve">Reporting continues after CoR cancellation until the loans run off (CIR 14).</w:t>
      </w:r>
    </w:p>
    <w:bookmarkEnd w:id="258"/>
    <w:bookmarkStart w:id="259" w:name="rr6.4-routing"/>
    <w:p>
      <w:pPr>
        <w:pStyle w:val="Heading3"/>
      </w:pPr>
      <w:r>
        <w:t xml:space="preserve">RR6.4 Routing</w:t>
      </w:r>
    </w:p>
    <w:p>
      <w:pPr>
        <w:numPr>
          <w:ilvl w:val="0"/>
          <w:numId w:val="1291"/>
        </w:numPr>
        <w:pStyle w:val="Compact"/>
      </w:pPr>
      <w:r>
        <w:t xml:space="preserve">Individual borrowers → Consumer; non-individual borrowers and guarantors → Commercial, with the Relationship segment for accounts opened on or after 1 Jul 2018 (beneficial-owner shareholders only) (CIR 12(8)); microfinance loans → MFI only, never also Consumer.</w:t>
      </w:r>
    </w:p>
    <w:p>
      <w:pPr>
        <w:numPr>
          <w:ilvl w:val="0"/>
          <w:numId w:val="1291"/>
        </w:numPr>
        <w:pStyle w:val="Compact"/>
      </w:pPr>
      <w:r>
        <w:t xml:space="preserve">Consumer and commercial co-borrowers each go in their own format (CIR 12(9)).</w:t>
      </w:r>
    </w:p>
    <w:p>
      <w:pPr>
        <w:numPr>
          <w:ilvl w:val="0"/>
          <w:numId w:val="1291"/>
        </w:numPr>
        <w:pStyle w:val="Compact"/>
      </w:pPr>
      <w:r>
        <w:t xml:space="preserve">Sold, purchased, co-lent and securitised accounts carry old-member fields and the relevant status codes; the servicer reports per the transfer documents.</w:t>
      </w:r>
    </w:p>
    <w:bookmarkEnd w:id="259"/>
    <w:bookmarkStart w:id="260" w:name="rr6.5-format-packs-data-never-code"/>
    <w:p>
      <w:pPr>
        <w:pStyle w:val="Heading3"/>
      </w:pPr>
      <w:r>
        <w:t xml:space="preserve">RR6.5 Format packs (data, never code)</w:t>
      </w:r>
    </w:p>
    <w:p>
      <w:pPr>
        <w:pStyle w:val="FirstParagraph"/>
      </w:pPr>
      <w:r>
        <w:rPr>
          <w:bCs/>
          <w:b/>
        </w:rPr>
        <w:t xml:space="preserve">Consumer — UCRF Consumer v3.74</w:t>
      </w:r>
      <w:r>
        <w:t xml:space="preserve"> </w:t>
      </w:r>
      <w:r>
        <w:t xml:space="preserve">(4 Feb 2026, w.e.f. 1 Jul 2026; builds on v3.73 of 7 Apr 2025; the former CIBIL TUDF layout, now non-proprietary) [CIC]:</w:t>
      </w:r>
    </w:p>
    <w:p>
      <w:pPr>
        <w:numPr>
          <w:ilvl w:val="0"/>
          <w:numId w:val="1292"/>
        </w:numPr>
        <w:pStyle w:val="Compact"/>
      </w:pPr>
      <w:r>
        <w:rPr>
          <w:bCs/>
          <w:b/>
        </w:rPr>
        <w:t xml:space="preserve">Record order:</w:t>
      </w:r>
      <w:r>
        <w:t xml:space="preserve"> </w:t>
      </w:r>
      <w:r>
        <w:t xml:space="preserve">Header (fixed 146 bytes; segment tag</w:t>
      </w:r>
      <w:r>
        <w:t xml:space="preserve"> </w:t>
      </w:r>
      <w:r>
        <w:rPr>
          <w:rStyle w:val="VerbatimChar"/>
        </w:rPr>
        <w:t xml:space="preserve">TUDF</w:t>
      </w:r>
      <w:r>
        <w:t xml:space="preserve"> </w:t>
      </w:r>
      <w:r>
        <w:t xml:space="preserve">or, from v3.74,</w:t>
      </w:r>
      <w:r>
        <w:t xml:space="preserve"> </w:t>
      </w:r>
      <w:r>
        <w:rPr>
          <w:rStyle w:val="VerbatimChar"/>
        </w:rPr>
        <w:t xml:space="preserve">CONS</w:t>
      </w:r>
      <w:r>
        <w:t xml:space="preserve">; version field</w:t>
      </w:r>
      <w:r>
        <w:t xml:space="preserve"> </w:t>
      </w:r>
      <w:r>
        <w:rPr>
          <w:rStyle w:val="VerbatimChar"/>
        </w:rPr>
        <w:t xml:space="preserve">12</w:t>
      </w:r>
      <w:r>
        <w:t xml:space="preserve">) → per subject:</w:t>
      </w:r>
      <w:r>
        <w:t xml:space="preserve"> </w:t>
      </w:r>
      <w:r>
        <w:rPr>
          <w:bCs/>
          <w:b/>
        </w:rPr>
        <w:t xml:space="preserve">PN</w:t>
      </w:r>
      <w:r>
        <w:t xml:space="preserve"> </w:t>
      </w:r>
      <w:r>
        <w:t xml:space="preserve">name (N01) →</w:t>
      </w:r>
      <w:r>
        <w:t xml:space="preserve"> </w:t>
      </w:r>
      <w:r>
        <w:rPr>
          <w:bCs/>
          <w:b/>
        </w:rPr>
        <w:t xml:space="preserve">ID</w:t>
      </w:r>
      <w:r>
        <w:t xml:space="preserve"> </w:t>
      </w:r>
      <w:r>
        <w:t xml:space="preserve">(I01–I08) →</w:t>
      </w:r>
      <w:r>
        <w:t xml:space="preserve"> </w:t>
      </w:r>
      <w:r>
        <w:rPr>
          <w:bCs/>
          <w:b/>
        </w:rPr>
        <w:t xml:space="preserve">PT</w:t>
      </w:r>
      <w:r>
        <w:t xml:space="preserve"> </w:t>
      </w:r>
      <w:r>
        <w:t xml:space="preserve">telephone (T01–T10) →</w:t>
      </w:r>
      <w:r>
        <w:t xml:space="preserve"> </w:t>
      </w:r>
      <w:r>
        <w:rPr>
          <w:bCs/>
          <w:b/>
        </w:rPr>
        <w:t xml:space="preserve">EC</w:t>
      </w:r>
      <w:r>
        <w:t xml:space="preserve"> </w:t>
      </w:r>
      <w:r>
        <w:t xml:space="preserve">email (C01–C10) →</w:t>
      </w:r>
      <w:r>
        <w:t xml:space="preserve"> </w:t>
      </w:r>
      <w:r>
        <w:rPr>
          <w:bCs/>
          <w:b/>
        </w:rPr>
        <w:t xml:space="preserve">PA</w:t>
      </w:r>
      <w:r>
        <w:t xml:space="preserve"> </w:t>
      </w:r>
      <w:r>
        <w:t xml:space="preserve">address (A01–A05) →</w:t>
      </w:r>
      <w:r>
        <w:t xml:space="preserve"> </w:t>
      </w:r>
      <w:r>
        <w:rPr>
          <w:bCs/>
          <w:b/>
        </w:rPr>
        <w:t xml:space="preserve">TL</w:t>
      </w:r>
      <w:r>
        <w:t xml:space="preserve"> </w:t>
      </w:r>
      <w:r>
        <w:t xml:space="preserve">account (T001) →</w:t>
      </w:r>
      <w:r>
        <w:t xml:space="preserve"> </w:t>
      </w:r>
      <w:r>
        <w:rPr>
          <w:bCs/>
          <w:b/>
        </w:rPr>
        <w:t xml:space="preserve">TH</w:t>
      </w:r>
      <w:r>
        <w:t xml:space="preserve"> </w:t>
      </w:r>
      <w:r>
        <w:t xml:space="preserve">account history (H01–H48, initial load only) →</w:t>
      </w:r>
      <w:r>
        <w:t xml:space="preserve"> </w:t>
      </w:r>
      <w:r>
        <w:rPr>
          <w:bCs/>
          <w:b/>
        </w:rPr>
        <w:t xml:space="preserve">ES</w:t>
      </w:r>
      <w:r>
        <w:t xml:space="preserve"> </w:t>
      </w:r>
      <w:r>
        <w:t xml:space="preserve">end of subject (fixed</w:t>
      </w:r>
      <w:r>
        <w:t xml:space="preserve"> </w:t>
      </w:r>
      <w:r>
        <w:rPr>
          <w:rStyle w:val="VerbatimChar"/>
        </w:rPr>
        <w:t xml:space="preserve">ES02**</w:t>
      </w:r>
      <w:r>
        <w:t xml:space="preserve">) → file trailer</w:t>
      </w:r>
      <w:r>
        <w:t xml:space="preserve"> </w:t>
      </w:r>
      <w:r>
        <w:rPr>
          <w:rStyle w:val="VerbatimChar"/>
        </w:rPr>
        <w:t xml:space="preserve">TRLR</w:t>
      </w:r>
      <w:r>
        <w:t xml:space="preserve">.</w:t>
      </w:r>
    </w:p>
    <w:p>
      <w:pPr>
        <w:numPr>
          <w:ilvl w:val="0"/>
          <w:numId w:val="1292"/>
        </w:numPr>
        <w:pStyle w:val="Compact"/>
      </w:pPr>
      <w:r>
        <w:rPr>
          <w:bCs/>
          <w:b/>
        </w:rPr>
        <w:t xml:space="preserve">Tag-length-value</w:t>
      </w:r>
      <w:r>
        <w:t xml:space="preserve"> </w:t>
      </w:r>
      <w:r>
        <w:t xml:space="preserve">encoding for variable segments: 2-byte field tag, 2-byte length, value (for example</w:t>
      </w:r>
      <w:r>
        <w:t xml:space="preserve"> </w:t>
      </w:r>
      <w:r>
        <w:rPr>
          <w:rStyle w:val="VerbatimChar"/>
        </w:rPr>
        <w:t xml:space="preserve">0111HAREN PATEL</w:t>
      </w:r>
      <w:r>
        <w:t xml:space="preserve">).</w:t>
      </w:r>
    </w:p>
    <w:p>
      <w:pPr>
        <w:numPr>
          <w:ilvl w:val="0"/>
          <w:numId w:val="1292"/>
        </w:numPr>
        <w:pStyle w:val="Compact"/>
      </w:pPr>
      <w:r>
        <w:rPr>
          <w:bCs/>
          <w:b/>
        </w:rPr>
        <w:t xml:space="preserve">Header:</w:t>
      </w:r>
      <w:r>
        <w:t xml:space="preserve"> </w:t>
      </w:r>
      <w:r>
        <w:t xml:space="preserve">member user ID, short name, reporting cycle, date reported and certified (DDMMYYYY); password and authentication method become Future Use in v3.74.</w:t>
      </w:r>
      <w:r>
        <w:t xml:space="preserve"> </w:t>
      </w:r>
      <w:r>
        <w:rPr>
          <w:bCs/>
          <w:b/>
        </w:rPr>
        <w:t xml:space="preserve">Reporting Cycle codes:</w:t>
      </w:r>
      <w:r>
        <w:t xml:space="preserve"> </w:t>
      </w:r>
      <w:r>
        <w:t xml:space="preserve">DL daily, W1 (9th), W2 (16th), W3 (23rd), ME month-end, DC correction or dispute, AH ad hoc, RR rejection resubmission.</w:t>
      </w:r>
    </w:p>
    <w:p>
      <w:pPr>
        <w:numPr>
          <w:ilvl w:val="0"/>
          <w:numId w:val="1292"/>
        </w:numPr>
        <w:pStyle w:val="Compact"/>
      </w:pPr>
      <w:r>
        <w:rPr>
          <w:bCs/>
          <w:b/>
        </w:rPr>
        <w:t xml:space="preserve">File name:</w:t>
      </w:r>
      <w:r>
        <w:t xml:space="preserve"> </w:t>
      </w:r>
      <w:r>
        <w:rPr>
          <w:rStyle w:val="VerbatimChar"/>
        </w:rPr>
        <w:t xml:space="preserve">[MEMBER-ID]-[DDMMYYYY]-[HHMMSS].txt</w:t>
      </w:r>
      <w:r>
        <w:t xml:space="preserve">, or</w:t>
      </w:r>
      <w:r>
        <w:t xml:space="preserve"> </w:t>
      </w:r>
      <w:r>
        <w:rPr>
          <w:rStyle w:val="VerbatimChar"/>
        </w:rPr>
        <w:t xml:space="preserve">.gpg</w:t>
      </w:r>
      <w:r>
        <w:t xml:space="preserve"> </w:t>
      </w:r>
      <w:r>
        <w:t xml:space="preserve">if encrypted.</w:t>
      </w:r>
    </w:p>
    <w:p>
      <w:pPr>
        <w:numPr>
          <w:ilvl w:val="0"/>
          <w:numId w:val="1292"/>
        </w:numPr>
        <w:pStyle w:val="Compact"/>
      </w:pPr>
      <w:r>
        <w:rPr>
          <w:bCs/>
          <w:b/>
        </w:rPr>
        <w:t xml:space="preserve">Key TL fields:</w:t>
      </w:r>
      <w:r>
        <w:t xml:space="preserve"> </w:t>
      </w:r>
      <w:r>
        <w:t xml:space="preserve">01–05 member, account and ownership; 08–11 dates (closed only at zero balance); 12 sanctioned (required); 13 balance; 14 overdue;</w:t>
      </w:r>
      <w:r>
        <w:t xml:space="preserve"> </w:t>
      </w:r>
      <w:r>
        <w:rPr>
          <w:bCs/>
          <w:b/>
        </w:rPr>
        <w:t xml:space="preserve">15 DPD (max 900)</w:t>
      </w:r>
      <w:r>
        <w:t xml:space="preserve">; 16–20 old member and account;</w:t>
      </w:r>
      <w:r>
        <w:t xml:space="preserve"> </w:t>
      </w:r>
      <w:r>
        <w:rPr>
          <w:bCs/>
          <w:b/>
        </w:rPr>
        <w:t xml:space="preserve">21 suit-filed/WD; 22 facility status; 26 asset class</w:t>
      </w:r>
      <w:r>
        <w:t xml:space="preserve">; 34–35 collateral; 38–40 rate, tenure, EMI;</w:t>
      </w:r>
      <w:r>
        <w:t xml:space="preserve"> </w:t>
      </w:r>
      <w:r>
        <w:rPr>
          <w:bCs/>
          <w:b/>
        </w:rPr>
        <w:t xml:space="preserve">41–43 written-off and settlement amounts</w:t>
      </w:r>
      <w:r>
        <w:t xml:space="preserve">; 44–49 frequency, payment, occupation, income. Amounts widen to 20 in v3.74.</w:t>
      </w:r>
    </w:p>
    <w:p>
      <w:pPr>
        <w:numPr>
          <w:ilvl w:val="0"/>
          <w:numId w:val="1292"/>
        </w:numPr>
        <w:pStyle w:val="Compact"/>
      </w:pPr>
      <w:r>
        <w:rPr>
          <w:bCs/>
          <w:b/>
        </w:rPr>
        <w:t xml:space="preserve">Catalogues (data):</w:t>
      </w:r>
      <w:r>
        <w:t xml:space="preserve"> </w:t>
      </w:r>
      <w:r>
        <w:t xml:space="preserve">account types 00–71; ownership 1–5; ID types incl. </w:t>
      </w:r>
      <w:r>
        <w:rPr>
          <w:bCs/>
          <w:b/>
        </w:rPr>
        <w:t xml:space="preserve">09 CKYC (14 digits)</w:t>
      </w:r>
      <w:r>
        <w:t xml:space="preserve">; suit-filed/WD 00–03; facility status 00–17, 99; asset class 01–05; state codes (v3.74 adds Ladakh and Foreign).</w:t>
      </w:r>
    </w:p>
    <w:p>
      <w:pPr>
        <w:numPr>
          <w:ilvl w:val="0"/>
          <w:numId w:val="1292"/>
        </w:numPr>
        <w:pStyle w:val="Compact"/>
      </w:pPr>
      <w:r>
        <w:rPr>
          <w:bCs/>
          <w:b/>
        </w:rPr>
        <w:t xml:space="preserve">Validations:</w:t>
      </w:r>
      <w:r>
        <w:t xml:space="preserve"> </w:t>
      </w:r>
      <w:r>
        <w:t xml:space="preserve">PAN pattern; UID check digit; mobile starts 6–9; PIN consistent with state; DOB ≥ 16 years before reporting; date ordering; written-off amounts for statuses 02/03/04/13/15/16 and settlement for 03/04/15/16. Required-field failure rejects the record; header failure rejects the file.</w:t>
      </w:r>
    </w:p>
    <w:p>
      <w:pPr>
        <w:pStyle w:val="FirstParagraph"/>
      </w:pPr>
      <w:r>
        <w:rPr>
          <w:bCs/>
          <w:b/>
        </w:rPr>
        <w:t xml:space="preserve">Commercial — UCRF Commercial v3.10 (Delimited)</w:t>
      </w:r>
      <w:r>
        <w:t xml:space="preserve"> </w:t>
      </w:r>
      <w:r>
        <w:t xml:space="preserve">(13 Apr 2026, effective July 2026) [CIC]:</w:t>
      </w:r>
    </w:p>
    <w:p>
      <w:pPr>
        <w:numPr>
          <w:ilvl w:val="0"/>
          <w:numId w:val="1293"/>
        </w:numPr>
        <w:pStyle w:val="Compact"/>
      </w:pPr>
      <w:r>
        <w:rPr>
          <w:bCs/>
          <w:b/>
        </w:rPr>
        <w:t xml:space="preserve">Segments:</w:t>
      </w:r>
      <w:r>
        <w:t xml:space="preserve"> </w:t>
      </w:r>
      <w:r>
        <w:t xml:space="preserve">HD header → BS borrower → AS address (registered office required) / RS relationship (mandatory except factoring-without-recourse buyer trades) → CR credit facility → GS guarantor / SS security / CD dishonour of cheques → TS file closure (counts of BS and CR).</w:t>
      </w:r>
    </w:p>
    <w:p>
      <w:pPr>
        <w:numPr>
          <w:ilvl w:val="0"/>
          <w:numId w:val="1293"/>
        </w:numPr>
        <w:pStyle w:val="Compact"/>
      </w:pPr>
      <w:r>
        <w:rPr>
          <w:bCs/>
          <w:b/>
        </w:rPr>
        <w:t xml:space="preserve">Encoding:</w:t>
      </w:r>
      <w:r>
        <w:t xml:space="preserve"> </w:t>
      </w:r>
      <w:r>
        <w:t xml:space="preserve">pipe-delimited fields; each segment ends with CRLF; dates DDMMYYYY; whole-rupee amounts; the characters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anywhere reject the whole file.</w:t>
      </w:r>
    </w:p>
    <w:p>
      <w:pPr>
        <w:numPr>
          <w:ilvl w:val="0"/>
          <w:numId w:val="1293"/>
        </w:numPr>
        <w:pStyle w:val="Compact"/>
      </w:pPr>
      <w:r>
        <w:rPr>
          <w:bCs/>
          <w:b/>
        </w:rPr>
        <w:t xml:space="preserve">Transport:</w:t>
      </w:r>
      <w:r>
        <w:t xml:space="preserve"> </w:t>
      </w:r>
      <w:r>
        <w:rPr>
          <w:bCs/>
          <w:b/>
        </w:rPr>
        <w:t xml:space="preserve">SFTP only</w:t>
      </w:r>
      <w:r>
        <w:t xml:space="preserve"> </w:t>
      </w:r>
      <w:r>
        <w:t xml:space="preserve">(since v3.8, Nov 2024).</w:t>
      </w:r>
    </w:p>
    <w:p>
      <w:pPr>
        <w:numPr>
          <w:ilvl w:val="0"/>
          <w:numId w:val="1293"/>
        </w:numPr>
        <w:pStyle w:val="Compact"/>
      </w:pPr>
      <w:r>
        <w:rPr>
          <w:bCs/>
          <w:b/>
        </w:rPr>
        <w:t xml:space="preserve">File name:</w:t>
      </w:r>
      <w:r>
        <w:t xml:space="preserve"> </w:t>
      </w:r>
      <w:r>
        <w:rPr>
          <w:rStyle w:val="VerbatimChar"/>
        </w:rPr>
        <w:t xml:space="preserve">Commercial-[Cycle][DateReported][InternalRef]</w:t>
      </w:r>
      <w:r>
        <w:t xml:space="preserve"> </w:t>
      </w:r>
      <w:r>
        <w:t xml:space="preserve">with cycles DL/W1/W2/W3/ME/DC/AH/RR (naming does not cause rejection).</w:t>
      </w:r>
    </w:p>
    <w:p>
      <w:pPr>
        <w:numPr>
          <w:ilvl w:val="0"/>
          <w:numId w:val="1293"/>
        </w:numPr>
        <w:pStyle w:val="Compact"/>
      </w:pPr>
      <w:r>
        <w:rPr>
          <w:bCs/>
          <w:b/>
        </w:rPr>
        <w:t xml:space="preserve">Mandatory:</w:t>
      </w:r>
      <w:r>
        <w:t xml:space="preserve"> </w:t>
      </w:r>
      <w:r>
        <w:t xml:space="preserve">BS name, constitution, business category, industry, BSR activity and at least one identifier (CIN, PAN, registration number, TIN, Udyam, CKYC); CR account number,</w:t>
      </w:r>
      <w:r>
        <w:t xml:space="preserve"> </w:t>
      </w:r>
      <w:r>
        <w:rPr>
          <w:bCs/>
          <w:b/>
        </w:rPr>
        <w:t xml:space="preserve">sanction date</w:t>
      </w:r>
      <w:r>
        <w:t xml:space="preserve">, sanctioned amount, currency, credit type, balance, asset class/DPD, overdue, status, wilful-default status.</w:t>
      </w:r>
    </w:p>
    <w:p>
      <w:pPr>
        <w:numPr>
          <w:ilvl w:val="0"/>
          <w:numId w:val="1293"/>
        </w:numPr>
        <w:pStyle w:val="Compact"/>
      </w:pPr>
      <w:r>
        <w:rPr>
          <w:bCs/>
          <w:b/>
        </w:rPr>
        <w:t xml:space="preserve">Catalogues (data):</w:t>
      </w:r>
      <w:r>
        <w:t xml:space="preserve"> </w:t>
      </w:r>
      <w:r>
        <w:t xml:space="preserve">legal constitution (60 co-operative society, 85 SHG, 90 individual …); relationship (55 SHG member, 70 Karta …); credit types (0100 CC … 9026 factoring without recourse);</w:t>
      </w:r>
      <w:r>
        <w:t xml:space="preserve"> </w:t>
      </w:r>
      <w:r>
        <w:rPr>
          <w:bCs/>
          <w:b/>
        </w:rPr>
        <w:t xml:space="preserve">suit-filed 05 NCLT/NCLAT</w:t>
      </w:r>
      <w:r>
        <w:t xml:space="preserve">; restructuring reasons; asset class/DPD codes incl. SMA-0/1/2 and Doubtful 1/2/3 [VERIFY: full list].</w:t>
      </w:r>
    </w:p>
    <w:p>
      <w:pPr>
        <w:numPr>
          <w:ilvl w:val="0"/>
          <w:numId w:val="1293"/>
        </w:numPr>
        <w:pStyle w:val="Compact"/>
      </w:pPr>
      <w:r>
        <w:rPr>
          <w:bCs/>
          <w:b/>
        </w:rPr>
        <w:t xml:space="preserve">v3.10:</w:t>
      </w:r>
      <w:r>
        <w:t xml:space="preserve"> </w:t>
      </w:r>
      <w:r>
        <w:t xml:space="preserve">“</w:t>
      </w:r>
      <w:r>
        <w:t xml:space="preserve">Reporting cycle</w:t>
      </w:r>
      <w:r>
        <w:t xml:space="preserve">”</w:t>
      </w:r>
      <w:r>
        <w:t xml:space="preserve"> </w:t>
      </w:r>
      <w:r>
        <w:t xml:space="preserve">in the header; identifiers required-conditional;</w:t>
      </w:r>
      <w:r>
        <w:t xml:space="preserve"> </w:t>
      </w:r>
      <w:r>
        <w:rPr>
          <w:bCs/>
          <w:b/>
        </w:rPr>
        <w:t xml:space="preserve">written-off and settled amounts enforced from 1 Apr 2027</w:t>
      </w:r>
      <w:r>
        <w:t xml:space="preserve">.</w:t>
      </w:r>
    </w:p>
    <w:p>
      <w:pPr>
        <w:pStyle w:val="FirstParagraph"/>
      </w:pPr>
      <w:r>
        <w:rPr>
          <w:bCs/>
          <w:b/>
        </w:rPr>
        <w:t xml:space="preserve">MFI (incl. SHG) — UCRF MFI v3.3.1</w:t>
      </w:r>
      <w:r>
        <w:t xml:space="preserve"> </w:t>
      </w:r>
      <w:r>
        <w:t xml:space="preserve">(April 2026, effective 1 Jul 2026; base layout CIR Annex I Form 3) [CIC]:</w:t>
      </w:r>
    </w:p>
    <w:p>
      <w:pPr>
        <w:numPr>
          <w:ilvl w:val="0"/>
          <w:numId w:val="1294"/>
        </w:numPr>
        <w:pStyle w:val="Compact"/>
      </w:pPr>
      <w:r>
        <w:rPr>
          <w:bCs/>
          <w:b/>
        </w:rPr>
        <w:t xml:space="preserve">Segments:</w:t>
      </w:r>
      <w:r>
        <w:t xml:space="preserve"> </w:t>
      </w:r>
      <w:r>
        <w:t xml:space="preserve">HDR (fixed) → GRPCRD (SHG groups only) → CNSCRD member → ADRCRD → ACTCRD → TRL (fixed). Pipe separator in v3.3.1.</w:t>
      </w:r>
      <w:r>
        <w:t xml:space="preserve"> </w:t>
      </w:r>
      <w:r>
        <w:rPr>
          <w:bCs/>
          <w:b/>
        </w:rPr>
        <w:t xml:space="preserve">Separate files for SHG and for JLG + individual</w:t>
      </w:r>
      <w:r>
        <w:t xml:space="preserve"> </w:t>
      </w:r>
      <w:r>
        <w:t xml:space="preserve">(header field 9).</w:t>
      </w:r>
    </w:p>
    <w:p>
      <w:pPr>
        <w:numPr>
          <w:ilvl w:val="0"/>
          <w:numId w:val="1294"/>
        </w:numPr>
        <w:pStyle w:val="Compact"/>
      </w:pPr>
      <w:r>
        <w:rPr>
          <w:bCs/>
          <w:b/>
        </w:rPr>
        <w:t xml:space="preserve">Header:</w:t>
      </w:r>
      <w:r>
        <w:t xml:space="preserve"> </w:t>
      </w:r>
      <w:r>
        <w:t xml:space="preserve">file name tag; layout version 3.3; member ID (10); member name; branch ID (mandatory from v3.3); reported date; creation date;</w:t>
      </w:r>
      <w:r>
        <w:t xml:space="preserve"> </w:t>
      </w:r>
      <w:r>
        <w:rPr>
          <w:bCs/>
          <w:b/>
        </w:rPr>
        <w:t xml:space="preserve">system vendor identifier and version</w:t>
      </w:r>
      <w:r>
        <w:t xml:space="preserve"> </w:t>
      </w:r>
      <w:r>
        <w:t xml:space="preserve">(Finbyx writes</w:t>
      </w:r>
      <w:r>
        <w:t xml:space="preserve"> </w:t>
      </w:r>
      <w:r>
        <w:rPr>
          <w:rStyle w:val="VerbatimChar"/>
        </w:rPr>
        <w:t xml:space="preserve">FINBYX</w:t>
      </w:r>
      <w:r>
        <w:t xml:space="preserve"> </w:t>
      </w:r>
      <w:r>
        <w:t xml:space="preserve">and its release version [REC]).</w:t>
      </w:r>
    </w:p>
    <w:p>
      <w:pPr>
        <w:numPr>
          <w:ilvl w:val="0"/>
          <w:numId w:val="1294"/>
        </w:numPr>
        <w:pStyle w:val="Compact"/>
      </w:pPr>
      <w:r>
        <w:rPr>
          <w:bCs/>
          <w:b/>
        </w:rPr>
        <w:t xml:space="preserve">Account:</w:t>
      </w:r>
      <w:r>
        <w:t xml:space="preserve"> </w:t>
      </w:r>
      <w:r>
        <w:t xml:space="preserve">loan category T01–T08; status S04–S17 (S01–S03 removed in v3.3; S13 sold, S14 purchased, S16 calamity-restructured added; S18 also appears); frequency F01–F10;</w:t>
      </w:r>
      <w:r>
        <w:t xml:space="preserve"> </w:t>
      </w:r>
      <w:r>
        <w:rPr>
          <w:bCs/>
          <w:b/>
        </w:rPr>
        <w:t xml:space="preserve">DPD 000–999, mandatory from v3.3</w:t>
      </w:r>
      <w:r>
        <w:t xml:space="preserve">; write-off reasons X01–X10 (fields 90–92 for S06); insurance L01–L10.</w:t>
      </w:r>
      <w:r>
        <w:t xml:space="preserve"> </w:t>
      </w:r>
      <w:r>
        <w:rPr>
          <w:bCs/>
          <w:b/>
        </w:rPr>
        <w:t xml:space="preserve">Fields 49 (household income), 84, 85, 86 missing → record rejected.</w:t>
      </w:r>
      <w:r>
        <w:t xml:space="preserve"> </w:t>
      </w:r>
      <w:r>
        <w:rPr>
          <w:bCs/>
          <w:b/>
        </w:rPr>
        <w:t xml:space="preserve">CKYC own field (length 15)</w:t>
      </w:r>
      <w:r>
        <w:t xml:space="preserve">.</w:t>
      </w:r>
    </w:p>
    <w:p>
      <w:pPr>
        <w:numPr>
          <w:ilvl w:val="0"/>
          <w:numId w:val="1294"/>
        </w:numPr>
        <w:pStyle w:val="Compact"/>
      </w:pPr>
      <w:r>
        <w:rPr>
          <w:bCs/>
          <w:b/>
        </w:rPr>
        <w:t xml:space="preserve">File name:</w:t>
      </w:r>
      <w:r>
        <w:t xml:space="preserve"> </w:t>
      </w:r>
      <w:r>
        <w:rPr>
          <w:rStyle w:val="VerbatimChar"/>
        </w:rPr>
        <w:t xml:space="preserve">[MFI]-[CYCLE]-[DDMMYYYY]-[MEMBER-CODE]-[REF]</w:t>
      </w:r>
      <w:r>
        <w:t xml:space="preserve"> </w:t>
      </w:r>
      <w:r>
        <w:t xml:space="preserve">with cycle DL/W1/W2/W3/ME.</w:t>
      </w:r>
    </w:p>
    <w:p>
      <w:pPr>
        <w:pStyle w:val="FirstParagraph"/>
      </w:pPr>
      <w:r>
        <w:rPr>
          <w:bCs/>
          <w:b/>
        </w:rPr>
        <w:t xml:space="preserve">Spec inconsistencies</w:t>
      </w:r>
      <w:r>
        <w:t xml:space="preserve"> </w:t>
      </w:r>
      <w:r>
        <w:t xml:space="preserve">(TH occurrences, status-17 rule, the v3.74 PIN-length note, S18) are logged as</w:t>
      </w:r>
      <w:r>
        <w:t xml:space="preserve"> </w:t>
      </w:r>
      <w:r>
        <w:rPr>
          <w:rStyle w:val="VerbatimChar"/>
        </w:rPr>
        <w:t xml:space="preserve">format_issue</w:t>
      </w:r>
      <w:r>
        <w:t xml:space="preserve"> </w:t>
      </w:r>
      <w:r>
        <w:t xml:space="preserve">rows and resolved in writing with the bureau; they are never coded around. Each CIC’s current specification is obtained under its member agreement before go-live.</w:t>
      </w:r>
    </w:p>
    <w:bookmarkEnd w:id="260"/>
    <w:bookmarkStart w:id="261" w:name="X210969cb7649d14fb2ad3930e66ff34f9c425d3"/>
    <w:p>
      <w:pPr>
        <w:pStyle w:val="Heading3"/>
      </w:pPr>
      <w:r>
        <w:t xml:space="preserve">RR6.6 Mapping rules (enforced in the generator)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32"/>
        <w:gridCol w:w="2254"/>
        <w:gridCol w:w="2127"/>
        <w:gridCol w:w="1464"/>
        <w:gridCol w:w="1761"/>
      </w:tblGrid>
      <w:tr>
        <w:trPr>
          <w:tblHeader w:val="true"/>
          <w:tblHeader w:val="true"/>
        </w:trPr>
        <w:tc>
          <w:tcPr>
            <w:tcW w:w="2032" w:type="dxa"/>
            <w:shd w:val="clear" w:color="auto" w:fill="1F3A5F"/>
          </w:tcPr>
          <w:p>
            <w:pPr>
              <w:pStyle w:val="Compact"/>
              <w:spacing w:after="40"/>
              <w:jc w:val="left"/>
            </w:pPr>
            <w:r>
              <w:rPr>
                <w:b/>
                <w:color w:val="FFFFFF"/>
                <w:sz w:val="18"/>
              </w:rPr>
              <w:t xml:space="preserve">Finbyx fact</w:t>
            </w:r>
          </w:p>
        </w:tc>
        <w:tc>
          <w:tcPr>
            <w:tcW w:w="2254" w:type="dxa"/>
            <w:shd w:val="clear" w:color="auto" w:fill="1F3A5F"/>
          </w:tcPr>
          <w:p>
            <w:pPr>
              <w:pStyle w:val="Compact"/>
              <w:spacing w:after="40"/>
              <w:jc w:val="left"/>
            </w:pPr>
            <w:r>
              <w:rPr>
                <w:b/>
                <w:color w:val="FFFFFF"/>
                <w:sz w:val="18"/>
              </w:rPr>
              <w:t xml:space="preserve">Consumer</w:t>
            </w:r>
          </w:p>
        </w:tc>
        <w:tc>
          <w:tcPr>
            <w:tcW w:w="2127" w:type="dxa"/>
            <w:shd w:val="clear" w:color="auto" w:fill="1F3A5F"/>
          </w:tcPr>
          <w:p>
            <w:pPr>
              <w:pStyle w:val="Compact"/>
              <w:spacing w:after="40"/>
              <w:jc w:val="left"/>
            </w:pPr>
            <w:r>
              <w:rPr>
                <w:b/>
                <w:color w:val="FFFFFF"/>
                <w:sz w:val="18"/>
              </w:rPr>
              <w:t xml:space="preserve">Commercial</w:t>
            </w:r>
          </w:p>
        </w:tc>
        <w:tc>
          <w:tcPr>
            <w:tcW w:w="1464" w:type="dxa"/>
            <w:shd w:val="clear" w:color="auto" w:fill="1F3A5F"/>
          </w:tcPr>
          <w:p>
            <w:pPr>
              <w:pStyle w:val="Compact"/>
              <w:spacing w:after="40"/>
              <w:jc w:val="left"/>
            </w:pPr>
            <w:r>
              <w:rPr>
                <w:b/>
                <w:color w:val="FFFFFF"/>
                <w:sz w:val="18"/>
              </w:rPr>
              <w:t xml:space="preserve">MFI</w:t>
            </w:r>
          </w:p>
        </w:tc>
        <w:tc>
          <w:tcPr>
            <w:tcW w:w="1761" w:type="dxa"/>
            <w:shd w:val="clear" w:color="auto" w:fill="1F3A5F"/>
          </w:tcPr>
          <w:p>
            <w:pPr>
              <w:pStyle w:val="Compact"/>
              <w:spacing w:after="40"/>
              <w:jc w:val="left"/>
            </w:pPr>
            <w:r>
              <w:rPr>
                <w:b/>
                <w:color w:val="FFFFFF"/>
                <w:sz w:val="18"/>
              </w:rPr>
              <w:t xml:space="preserve">Rule</w:t>
            </w:r>
          </w:p>
        </w:tc>
      </w:tr>
      <w:tr>
        <w:tc>
          <w:tcPr>
            <w:tcW w:w="2032" w:type="dxa"/>
          </w:tcPr>
          <w:p>
            <w:pPr>
              <w:pStyle w:val="Compact"/>
              <w:spacing w:after="40"/>
              <w:jc w:val="left"/>
            </w:pPr>
            <w:r>
              <w:rPr>
                <w:sz w:val="18"/>
              </w:rPr>
              <w:t xml:space="preserve">Principal or interest waived for financial inability</w:t>
            </w:r>
          </w:p>
        </w:tc>
        <w:tc>
          <w:tcPr>
            <w:tcW w:w="2254" w:type="dxa"/>
          </w:tcPr>
          <w:p>
            <w:pPr>
              <w:pStyle w:val="Compact"/>
              <w:spacing w:after="40"/>
              <w:jc w:val="left"/>
            </w:pPr>
            <w:r>
              <w:rPr>
                <w:sz w:val="18"/>
              </w:rPr>
              <w:t xml:space="preserve">Status 03 settled (or 04 after write-off) with settlement amount</w:t>
            </w:r>
          </w:p>
        </w:tc>
        <w:tc>
          <w:tcPr>
            <w:tcW w:w="2127" w:type="dxa"/>
          </w:tcPr>
          <w:p>
            <w:pPr>
              <w:pStyle w:val="Compact"/>
              <w:spacing w:after="40"/>
              <w:jc w:val="left"/>
            </w:pPr>
            <w:r>
              <w:rPr>
                <w:sz w:val="18"/>
              </w:rPr>
              <w:t xml:space="preserve">Account status settled with amount</w:t>
            </w:r>
          </w:p>
        </w:tc>
        <w:tc>
          <w:tcPr>
            <w:tcW w:w="1464" w:type="dxa"/>
          </w:tcPr>
          <w:p>
            <w:pPr>
              <w:pStyle w:val="Compact"/>
              <w:spacing w:after="40"/>
              <w:jc w:val="left"/>
            </w:pPr>
            <w:r>
              <w:rPr>
                <w:sz w:val="18"/>
              </w:rPr>
              <w:t xml:space="preserve">S10 or S11</w:t>
            </w:r>
          </w:p>
        </w:tc>
        <w:tc>
          <w:tcPr>
            <w:tcW w:w="1761" w:type="dxa"/>
          </w:tcPr>
          <w:p>
            <w:pPr>
              <w:pStyle w:val="Compact"/>
              <w:spacing w:after="40"/>
              <w:jc w:val="left"/>
            </w:pPr>
            <w:r>
              <w:rPr>
                <w:sz w:val="18"/>
              </w:rPr>
              <w:t xml:space="preserve">Only this case is</w:t>
            </w:r>
            <w:r>
              <w:rPr>
                <w:sz w:val="18"/>
              </w:rPr>
              <w:t xml:space="preserve"> </w:t>
            </w:r>
            <w:r>
              <w:rPr>
                <w:sz w:val="18"/>
              </w:rPr>
              <w:t xml:space="preserve">“</w:t>
            </w:r>
            <w:r>
              <w:rPr>
                <w:sz w:val="18"/>
              </w:rPr>
              <w:t xml:space="preserve">settled</w:t>
            </w:r>
            <w:r>
              <w:rPr>
                <w:sz w:val="18"/>
              </w:rPr>
              <w:t xml:space="preserve">”</w:t>
            </w:r>
            <w:r>
              <w:rPr>
                <w:sz w:val="18"/>
              </w:rPr>
              <w:t xml:space="preserve"> </w:t>
            </w:r>
            <w:r>
              <w:rPr>
                <w:sz w:val="18"/>
              </w:rPr>
              <w:t xml:space="preserve">(CIR 12(4))</w:t>
            </w:r>
          </w:p>
        </w:tc>
      </w:tr>
      <w:tr>
        <w:tc>
          <w:tcPr>
            <w:tcW w:w="2032" w:type="dxa"/>
          </w:tcPr>
          <w:p>
            <w:pPr>
              <w:pStyle w:val="Compact"/>
              <w:spacing w:after="40"/>
              <w:jc w:val="left"/>
            </w:pPr>
            <w:r>
              <w:rPr>
                <w:sz w:val="18"/>
              </w:rPr>
              <w:t xml:space="preserve">Wrong debit or contested charge</w:t>
            </w:r>
          </w:p>
        </w:tc>
        <w:tc>
          <w:tcPr>
            <w:tcW w:w="2254" w:type="dxa"/>
          </w:tcPr>
          <w:p>
            <w:pPr>
              <w:pStyle w:val="Compact"/>
              <w:spacing w:after="40"/>
              <w:jc w:val="left"/>
            </w:pPr>
            <w:r>
              <w:rPr>
                <w:sz w:val="18"/>
              </w:rPr>
              <w:t xml:space="preserve">Dispute marker; never</w:t>
            </w:r>
            <w:r>
              <w:rPr>
                <w:sz w:val="18"/>
              </w:rPr>
              <w:t xml:space="preserve"> </w:t>
            </w:r>
            <w:r>
              <w:rPr>
                <w:sz w:val="18"/>
              </w:rPr>
              <w:t xml:space="preserve">“</w:t>
            </w:r>
            <w:r>
              <w:rPr>
                <w:sz w:val="18"/>
              </w:rPr>
              <w:t xml:space="preserve">settled</w:t>
            </w:r>
            <w:r>
              <w:rPr>
                <w:sz w:val="18"/>
              </w:rPr>
              <w:t xml:space="preserve">”</w:t>
            </w:r>
          </w:p>
        </w:tc>
        <w:tc>
          <w:tcPr>
            <w:tcW w:w="2127" w:type="dxa"/>
          </w:tcPr>
          <w:p>
            <w:pPr>
              <w:pStyle w:val="Compact"/>
              <w:spacing w:after="40"/>
              <w:jc w:val="left"/>
            </w:pPr>
            <w:r>
              <w:rPr>
                <w:sz w:val="18"/>
              </w:rPr>
              <w:t xml:space="preserve">Dispute marker</w:t>
            </w:r>
          </w:p>
        </w:tc>
        <w:tc>
          <w:tcPr>
            <w:tcW w:w="1464" w:type="dxa"/>
          </w:tcPr>
          <w:p>
            <w:pPr>
              <w:pStyle w:val="Compact"/>
              <w:spacing w:after="40"/>
              <w:jc w:val="left"/>
            </w:pPr>
            <w:r>
              <w:rPr>
                <w:sz w:val="18"/>
              </w:rPr>
              <w:t xml:space="preserve">Dispute marker</w:t>
            </w:r>
          </w:p>
        </w:tc>
        <w:tc>
          <w:tcPr>
            <w:tcW w:w="1761" w:type="dxa"/>
          </w:tcPr>
          <w:p>
            <w:pPr>
              <w:pStyle w:val="Compact"/>
              <w:spacing w:after="40"/>
              <w:jc w:val="left"/>
            </w:pPr>
            <w:r>
              <w:rPr>
                <w:sz w:val="18"/>
              </w:rPr>
              <w:t xml:space="preserve">“</w:t>
            </w:r>
            <w:r>
              <w:rPr>
                <w:sz w:val="18"/>
              </w:rPr>
              <w:t xml:space="preserve">Disputed</w:t>
            </w:r>
            <w:r>
              <w:rPr>
                <w:sz w:val="18"/>
              </w:rPr>
              <w:t xml:space="preserve">”</w:t>
            </w:r>
            <w:r>
              <w:rPr>
                <w:sz w:val="18"/>
              </w:rPr>
              <w:t xml:space="preserve"> </w:t>
            </w:r>
            <w:r>
              <w:rPr>
                <w:sz w:val="18"/>
              </w:rPr>
              <w:t xml:space="preserve">(CIR 12(4))</w:t>
            </w:r>
          </w:p>
        </w:tc>
      </w:tr>
      <w:tr>
        <w:tc>
          <w:tcPr>
            <w:tcW w:w="2032" w:type="dxa"/>
          </w:tcPr>
          <w:p>
            <w:pPr>
              <w:pStyle w:val="Compact"/>
              <w:spacing w:after="40"/>
              <w:jc w:val="left"/>
            </w:pPr>
            <w:r>
              <w:rPr>
                <w:sz w:val="18"/>
              </w:rPr>
              <w:t xml:space="preserve">IBC admission</w:t>
            </w:r>
          </w:p>
        </w:tc>
        <w:tc>
          <w:tcPr>
            <w:tcW w:w="2254" w:type="dxa"/>
          </w:tcPr>
          <w:p>
            <w:pPr>
              <w:pStyle w:val="Compact"/>
              <w:spacing w:after="40"/>
              <w:jc w:val="left"/>
            </w:pPr>
            <w:r>
              <w:rPr>
                <w:sz w:val="18"/>
              </w:rPr>
              <w:t xml:space="preserve">Suit-filed 01</w:t>
            </w:r>
          </w:p>
        </w:tc>
        <w:tc>
          <w:tcPr>
            <w:tcW w:w="2127" w:type="dxa"/>
          </w:tcPr>
          <w:p>
            <w:pPr>
              <w:pStyle w:val="Compact"/>
              <w:spacing w:after="40"/>
              <w:jc w:val="left"/>
            </w:pPr>
            <w:r>
              <w:rPr>
                <w:sz w:val="18"/>
              </w:rPr>
              <w:t xml:space="preserve">Suit-filed 05 NCLT/NCLAT</w:t>
            </w:r>
          </w:p>
        </w:tc>
        <w:tc>
          <w:tcPr>
            <w:tcW w:w="1464" w:type="dxa"/>
          </w:tcPr>
          <w:p>
            <w:pPr>
              <w:pStyle w:val="Compact"/>
              <w:spacing w:after="40"/>
              <w:jc w:val="left"/>
            </w:pPr>
            <w:r>
              <w:rPr>
                <w:sz w:val="18"/>
              </w:rPr>
              <w:t xml:space="preserve">n/a</w:t>
            </w:r>
          </w:p>
        </w:tc>
        <w:tc>
          <w:tcPr>
            <w:tcW w:w="1761" w:type="dxa"/>
          </w:tcPr>
          <w:p>
            <w:pPr>
              <w:pStyle w:val="Compact"/>
              <w:spacing w:after="40"/>
              <w:jc w:val="left"/>
            </w:pPr>
            <w:r>
              <w:rPr>
                <w:sz w:val="18"/>
              </w:rPr>
              <w:t xml:space="preserve">CIR 12(7)</w:t>
            </w:r>
          </w:p>
        </w:tc>
      </w:tr>
      <w:tr>
        <w:tc>
          <w:tcPr>
            <w:tcW w:w="2032" w:type="dxa"/>
          </w:tcPr>
          <w:p>
            <w:pPr>
              <w:pStyle w:val="Compact"/>
              <w:spacing w:after="40"/>
              <w:jc w:val="left"/>
            </w:pPr>
            <w:r>
              <w:rPr>
                <w:sz w:val="18"/>
              </w:rPr>
              <w:t xml:space="preserve">Wilful defaulter (ML+ only)</w:t>
            </w:r>
          </w:p>
        </w:tc>
        <w:tc>
          <w:tcPr>
            <w:tcW w:w="2254" w:type="dxa"/>
          </w:tcPr>
          <w:p>
            <w:pPr>
              <w:pStyle w:val="Compact"/>
              <w:spacing w:after="40"/>
              <w:jc w:val="left"/>
            </w:pPr>
            <w:r>
              <w:rPr>
                <w:sz w:val="18"/>
              </w:rPr>
              <w:t xml:space="preserve">02 or 03</w:t>
            </w:r>
          </w:p>
        </w:tc>
        <w:tc>
          <w:tcPr>
            <w:tcW w:w="2127" w:type="dxa"/>
          </w:tcPr>
          <w:p>
            <w:pPr>
              <w:pStyle w:val="Compact"/>
              <w:spacing w:after="40"/>
              <w:jc w:val="left"/>
            </w:pPr>
            <w:r>
              <w:rPr>
                <w:sz w:val="18"/>
              </w:rPr>
              <w:t xml:space="preserve">Wilful default 1 with date</w:t>
            </w:r>
          </w:p>
        </w:tc>
        <w:tc>
          <w:tcPr>
            <w:tcW w:w="1464" w:type="dxa"/>
          </w:tcPr>
          <w:p>
            <w:pPr>
              <w:pStyle w:val="Compact"/>
              <w:spacing w:after="40"/>
              <w:jc w:val="left"/>
            </w:pPr>
            <w:r>
              <w:rPr>
                <w:sz w:val="18"/>
              </w:rPr>
              <w:t xml:space="preserve">n/a</w:t>
            </w:r>
          </w:p>
        </w:tc>
        <w:tc>
          <w:tcPr>
            <w:tcW w:w="1761" w:type="dxa"/>
          </w:tcPr>
          <w:p>
            <w:pPr>
              <w:pStyle w:val="Compact"/>
              <w:spacing w:after="40"/>
              <w:jc w:val="left"/>
            </w:pPr>
            <w:r>
              <w:rPr>
                <w:sz w:val="18"/>
              </w:rPr>
              <w:t xml:space="preserve">WD 12(3)</w:t>
            </w:r>
          </w:p>
        </w:tc>
      </w:tr>
      <w:tr>
        <w:tc>
          <w:tcPr>
            <w:tcW w:w="2032" w:type="dxa"/>
          </w:tcPr>
          <w:p>
            <w:pPr>
              <w:pStyle w:val="Compact"/>
              <w:spacing w:after="40"/>
              <w:jc w:val="left"/>
            </w:pPr>
            <w:r>
              <w:rPr>
                <w:sz w:val="18"/>
              </w:rPr>
              <w:t xml:space="preserve">Written off (full or technical)</w:t>
            </w:r>
          </w:p>
        </w:tc>
        <w:tc>
          <w:tcPr>
            <w:tcW w:w="2254" w:type="dxa"/>
          </w:tcPr>
          <w:p>
            <w:pPr>
              <w:pStyle w:val="Compact"/>
              <w:spacing w:after="40"/>
              <w:jc w:val="left"/>
            </w:pPr>
            <w:r>
              <w:rPr>
                <w:sz w:val="18"/>
              </w:rPr>
              <w:t xml:space="preserve">02 with written-off total and principal</w:t>
            </w:r>
          </w:p>
        </w:tc>
        <w:tc>
          <w:tcPr>
            <w:tcW w:w="2127" w:type="dxa"/>
          </w:tcPr>
          <w:p>
            <w:pPr>
              <w:pStyle w:val="Compact"/>
              <w:spacing w:after="40"/>
              <w:jc w:val="left"/>
            </w:pPr>
            <w:r>
              <w:rPr>
                <w:sz w:val="18"/>
              </w:rPr>
              <w:t xml:space="preserve">Written-off amount (required-conditional from 1 Apr 2027)</w:t>
            </w:r>
          </w:p>
        </w:tc>
        <w:tc>
          <w:tcPr>
            <w:tcW w:w="1464" w:type="dxa"/>
          </w:tcPr>
          <w:p>
            <w:pPr>
              <w:pStyle w:val="Compact"/>
              <w:spacing w:after="40"/>
              <w:jc w:val="left"/>
            </w:pPr>
            <w:r>
              <w:rPr>
                <w:sz w:val="18"/>
              </w:rPr>
              <w:t xml:space="preserve">S06 with X-code</w:t>
            </w:r>
          </w:p>
        </w:tc>
        <w:tc>
          <w:tcPr>
            <w:tcW w:w="1761" w:type="dxa"/>
          </w:tcPr>
          <w:p>
            <w:pPr>
              <w:pStyle w:val="Compact"/>
              <w:spacing w:after="40"/>
            </w:pPr>
          </w:p>
        </w:tc>
      </w:tr>
      <w:tr>
        <w:tc>
          <w:tcPr>
            <w:tcW w:w="2032" w:type="dxa"/>
          </w:tcPr>
          <w:p>
            <w:pPr>
              <w:pStyle w:val="Compact"/>
              <w:spacing w:after="40"/>
              <w:jc w:val="left"/>
            </w:pPr>
            <w:r>
              <w:rPr>
                <w:sz w:val="18"/>
              </w:rPr>
              <w:t xml:space="preserve">Sold to ARC or another lender</w:t>
            </w:r>
          </w:p>
        </w:tc>
        <w:tc>
          <w:tcPr>
            <w:tcW w:w="2254" w:type="dxa"/>
          </w:tcPr>
          <w:p>
            <w:pPr>
              <w:pStyle w:val="Compact"/>
              <w:spacing w:after="40"/>
              <w:jc w:val="left"/>
            </w:pPr>
            <w:r>
              <w:rPr>
                <w:sz w:val="18"/>
              </w:rPr>
              <w:t xml:space="preserve">05 sold; old member fields</w:t>
            </w:r>
          </w:p>
        </w:tc>
        <w:tc>
          <w:tcPr>
            <w:tcW w:w="2127" w:type="dxa"/>
          </w:tcPr>
          <w:p>
            <w:pPr>
              <w:pStyle w:val="Compact"/>
              <w:spacing w:after="40"/>
              <w:jc w:val="left"/>
            </w:pPr>
            <w:r>
              <w:rPr>
                <w:sz w:val="18"/>
              </w:rPr>
              <w:t xml:space="preserve">Status per catalogue</w:t>
            </w:r>
          </w:p>
        </w:tc>
        <w:tc>
          <w:tcPr>
            <w:tcW w:w="1464" w:type="dxa"/>
          </w:tcPr>
          <w:p>
            <w:pPr>
              <w:pStyle w:val="Compact"/>
              <w:spacing w:after="40"/>
              <w:jc w:val="left"/>
            </w:pPr>
            <w:r>
              <w:rPr>
                <w:sz w:val="18"/>
              </w:rPr>
              <w:t xml:space="preserve">S13</w:t>
            </w:r>
          </w:p>
        </w:tc>
        <w:tc>
          <w:tcPr>
            <w:tcW w:w="1761" w:type="dxa"/>
          </w:tcPr>
          <w:p>
            <w:pPr>
              <w:pStyle w:val="Compact"/>
              <w:spacing w:after="40"/>
            </w:pPr>
          </w:p>
        </w:tc>
      </w:tr>
      <w:tr>
        <w:tc>
          <w:tcPr>
            <w:tcW w:w="2032" w:type="dxa"/>
          </w:tcPr>
          <w:p>
            <w:pPr>
              <w:pStyle w:val="Compact"/>
              <w:spacing w:after="40"/>
              <w:jc w:val="left"/>
            </w:pPr>
            <w:r>
              <w:rPr>
                <w:sz w:val="18"/>
              </w:rPr>
              <w:t xml:space="preserve">Restructured</w:t>
            </w:r>
          </w:p>
        </w:tc>
        <w:tc>
          <w:tcPr>
            <w:tcW w:w="2254" w:type="dxa"/>
          </w:tcPr>
          <w:p>
            <w:pPr>
              <w:pStyle w:val="Compact"/>
              <w:spacing w:after="40"/>
              <w:jc w:val="left"/>
            </w:pPr>
            <w:r>
              <w:rPr>
                <w:sz w:val="18"/>
              </w:rPr>
              <w:t xml:space="preserve">Status per reason</w:t>
            </w:r>
          </w:p>
        </w:tc>
        <w:tc>
          <w:tcPr>
            <w:tcW w:w="2127" w:type="dxa"/>
          </w:tcPr>
          <w:p>
            <w:pPr>
              <w:pStyle w:val="Compact"/>
              <w:spacing w:after="40"/>
              <w:jc w:val="left"/>
            </w:pPr>
            <w:r>
              <w:rPr>
                <w:sz w:val="18"/>
              </w:rPr>
              <w:t xml:space="preserve">Restructuring reason code</w:t>
            </w:r>
          </w:p>
        </w:tc>
        <w:tc>
          <w:tcPr>
            <w:tcW w:w="1464" w:type="dxa"/>
          </w:tcPr>
          <w:p>
            <w:pPr>
              <w:pStyle w:val="Compact"/>
              <w:spacing w:after="40"/>
              <w:jc w:val="left"/>
            </w:pPr>
            <w:r>
              <w:rPr>
                <w:sz w:val="18"/>
              </w:rPr>
              <w:t xml:space="preserve">S08/S16/S17</w:t>
            </w:r>
          </w:p>
        </w:tc>
        <w:tc>
          <w:tcPr>
            <w:tcW w:w="1761" w:type="dxa"/>
          </w:tcPr>
          <w:p>
            <w:pPr>
              <w:pStyle w:val="Compact"/>
              <w:spacing w:after="40"/>
            </w:pPr>
          </w:p>
        </w:tc>
      </w:tr>
      <w:tr>
        <w:tc>
          <w:tcPr>
            <w:tcW w:w="2032" w:type="dxa"/>
          </w:tcPr>
          <w:p>
            <w:pPr>
              <w:pStyle w:val="Compact"/>
              <w:spacing w:after="40"/>
              <w:jc w:val="left"/>
            </w:pPr>
            <w:r>
              <w:rPr>
                <w:sz w:val="18"/>
              </w:rPr>
              <w:t xml:space="preserve">Compromise settlement</w:t>
            </w:r>
          </w:p>
        </w:tc>
        <w:tc>
          <w:tcPr>
            <w:tcW w:w="2254" w:type="dxa"/>
          </w:tcPr>
          <w:p>
            <w:pPr>
              <w:pStyle w:val="Compact"/>
              <w:spacing w:after="40"/>
              <w:jc w:val="left"/>
            </w:pPr>
            <w:r>
              <w:rPr>
                <w:sz w:val="18"/>
              </w:rPr>
              <w:t xml:space="preserve">Reported with reason</w:t>
            </w:r>
          </w:p>
        </w:tc>
        <w:tc>
          <w:tcPr>
            <w:tcW w:w="2127" w:type="dxa"/>
          </w:tcPr>
          <w:p>
            <w:pPr>
              <w:pStyle w:val="Compact"/>
              <w:spacing w:after="40"/>
              <w:jc w:val="left"/>
            </w:pPr>
            <w:r>
              <w:rPr>
                <w:sz w:val="18"/>
              </w:rPr>
              <w:t xml:space="preserve">Reported with reason</w:t>
            </w:r>
          </w:p>
        </w:tc>
        <w:tc>
          <w:tcPr>
            <w:tcW w:w="1464" w:type="dxa"/>
          </w:tcPr>
          <w:p>
            <w:pPr>
              <w:pStyle w:val="Compact"/>
              <w:spacing w:after="40"/>
            </w:pPr>
          </w:p>
        </w:tc>
        <w:tc>
          <w:tcPr>
            <w:tcW w:w="1761" w:type="dxa"/>
          </w:tcPr>
          <w:p>
            <w:pPr>
              <w:pStyle w:val="Compact"/>
              <w:spacing w:after="40"/>
              <w:jc w:val="left"/>
            </w:pPr>
            <w:r>
              <w:rPr>
                <w:sz w:val="18"/>
              </w:rPr>
              <w:t xml:space="preserve">CIR 12(2)</w:t>
            </w:r>
          </w:p>
        </w:tc>
      </w:tr>
      <w:tr>
        <w:tc>
          <w:tcPr>
            <w:tcW w:w="2032" w:type="dxa"/>
          </w:tcPr>
          <w:p>
            <w:pPr>
              <w:pStyle w:val="Compact"/>
              <w:spacing w:after="40"/>
              <w:jc w:val="left"/>
            </w:pPr>
            <w:r>
              <w:rPr>
                <w:sz w:val="18"/>
              </w:rPr>
              <w:t xml:space="preserve">DPD</w:t>
            </w:r>
          </w:p>
        </w:tc>
        <w:tc>
          <w:tcPr>
            <w:tcW w:w="2254" w:type="dxa"/>
          </w:tcPr>
          <w:p>
            <w:pPr>
              <w:pStyle w:val="Compact"/>
              <w:spacing w:after="40"/>
              <w:jc w:val="left"/>
            </w:pPr>
            <w:r>
              <w:rPr>
                <w:sz w:val="18"/>
              </w:rPr>
              <w:t xml:space="preserve">Cap 900</w:t>
            </w:r>
          </w:p>
        </w:tc>
        <w:tc>
          <w:tcPr>
            <w:tcW w:w="2127" w:type="dxa"/>
          </w:tcPr>
          <w:p>
            <w:pPr>
              <w:pStyle w:val="Compact"/>
              <w:spacing w:after="40"/>
              <w:jc w:val="left"/>
            </w:pPr>
            <w:r>
              <w:rPr>
                <w:sz w:val="18"/>
              </w:rPr>
              <w:t xml:space="preserve">Asset class or DPD code</w:t>
            </w:r>
          </w:p>
        </w:tc>
        <w:tc>
          <w:tcPr>
            <w:tcW w:w="1464" w:type="dxa"/>
          </w:tcPr>
          <w:p>
            <w:pPr>
              <w:pStyle w:val="Compact"/>
              <w:spacing w:after="40"/>
              <w:jc w:val="left"/>
            </w:pPr>
            <w:r>
              <w:rPr>
                <w:sz w:val="18"/>
              </w:rPr>
              <w:t xml:space="preserve">Cap 999</w:t>
            </w:r>
          </w:p>
        </w:tc>
        <w:tc>
          <w:tcPr>
            <w:tcW w:w="1761" w:type="dxa"/>
          </w:tcPr>
          <w:p>
            <w:pPr>
              <w:pStyle w:val="Compact"/>
              <w:spacing w:after="40"/>
            </w:pPr>
          </w:p>
        </w:tc>
      </w:tr>
      <w:tr>
        <w:tc>
          <w:tcPr>
            <w:tcW w:w="2032" w:type="dxa"/>
          </w:tcPr>
          <w:p>
            <w:pPr>
              <w:pStyle w:val="Compact"/>
              <w:spacing w:after="40"/>
              <w:jc w:val="left"/>
            </w:pPr>
            <w:r>
              <w:rPr>
                <w:sz w:val="18"/>
              </w:rPr>
              <w:t xml:space="preserve">CKYC number</w:t>
            </w:r>
          </w:p>
        </w:tc>
        <w:tc>
          <w:tcPr>
            <w:tcW w:w="2254" w:type="dxa"/>
          </w:tcPr>
          <w:p>
            <w:pPr>
              <w:pStyle w:val="Compact"/>
              <w:spacing w:after="40"/>
              <w:jc w:val="left"/>
            </w:pPr>
            <w:r>
              <w:rPr>
                <w:sz w:val="18"/>
              </w:rPr>
              <w:t xml:space="preserve">ID type 09</w:t>
            </w:r>
          </w:p>
        </w:tc>
        <w:tc>
          <w:tcPr>
            <w:tcW w:w="2127" w:type="dxa"/>
          </w:tcPr>
          <w:p>
            <w:pPr>
              <w:pStyle w:val="Compact"/>
              <w:spacing w:after="40"/>
              <w:jc w:val="left"/>
            </w:pPr>
            <w:r>
              <w:rPr>
                <w:sz w:val="18"/>
              </w:rPr>
              <w:t xml:space="preserve">Identifier on BS/RS</w:t>
            </w:r>
          </w:p>
        </w:tc>
        <w:tc>
          <w:tcPr>
            <w:tcW w:w="1464" w:type="dxa"/>
          </w:tcPr>
          <w:p>
            <w:pPr>
              <w:pStyle w:val="Compact"/>
              <w:spacing w:after="40"/>
              <w:jc w:val="left"/>
            </w:pPr>
            <w:r>
              <w:rPr>
                <w:sz w:val="18"/>
              </w:rPr>
              <w:t xml:space="preserve">CKYC field</w:t>
            </w:r>
          </w:p>
        </w:tc>
        <w:tc>
          <w:tcPr>
            <w:tcW w:w="1761" w:type="dxa"/>
          </w:tcPr>
          <w:p>
            <w:pPr>
              <w:pStyle w:val="Compact"/>
              <w:spacing w:after="40"/>
              <w:jc w:val="left"/>
            </w:pPr>
            <w:r>
              <w:rPr>
                <w:sz w:val="18"/>
              </w:rPr>
              <w:t xml:space="preserve">CIR 12(10)</w:t>
            </w:r>
          </w:p>
        </w:tc>
      </w:tr>
      <w:tr>
        <w:tc>
          <w:tcPr>
            <w:tcW w:w="2032" w:type="dxa"/>
          </w:tcPr>
          <w:p>
            <w:pPr>
              <w:pStyle w:val="Compact"/>
              <w:spacing w:after="40"/>
              <w:jc w:val="left"/>
            </w:pPr>
            <w:r>
              <w:rPr>
                <w:sz w:val="18"/>
              </w:rPr>
              <w:t xml:space="preserve">Microfinance household income</w:t>
            </w:r>
          </w:p>
        </w:tc>
        <w:tc>
          <w:tcPr>
            <w:tcW w:w="2254" w:type="dxa"/>
          </w:tcPr>
          <w:p>
            <w:pPr>
              <w:pStyle w:val="Compact"/>
              <w:spacing w:after="40"/>
            </w:pPr>
          </w:p>
        </w:tc>
        <w:tc>
          <w:tcPr>
            <w:tcW w:w="2127" w:type="dxa"/>
          </w:tcPr>
          <w:p>
            <w:pPr>
              <w:pStyle w:val="Compact"/>
              <w:spacing w:after="40"/>
            </w:pPr>
          </w:p>
        </w:tc>
        <w:tc>
          <w:tcPr>
            <w:tcW w:w="1464" w:type="dxa"/>
          </w:tcPr>
          <w:p>
            <w:pPr>
              <w:pStyle w:val="Compact"/>
              <w:spacing w:after="40"/>
              <w:jc w:val="left"/>
            </w:pPr>
            <w:r>
              <w:rPr>
                <w:sz w:val="18"/>
              </w:rPr>
              <w:t xml:space="preserve">Field 49; divergence reason</w:t>
            </w:r>
          </w:p>
        </w:tc>
        <w:tc>
          <w:tcPr>
            <w:tcW w:w="1761" w:type="dxa"/>
          </w:tcPr>
          <w:p>
            <w:pPr>
              <w:pStyle w:val="Compact"/>
              <w:spacing w:after="40"/>
              <w:jc w:val="left"/>
            </w:pPr>
            <w:r>
              <w:rPr>
                <w:sz w:val="18"/>
              </w:rPr>
              <w:t xml:space="preserve">CF 54</w:t>
            </w:r>
          </w:p>
        </w:tc>
      </w:tr>
    </w:tbl>
    <w:bookmarkEnd w:id="261"/>
    <w:bookmarkStart w:id="262" w:name="rr6.7-build-transmit-and-acknowledge"/>
    <w:p>
      <w:pPr>
        <w:pStyle w:val="Heading3"/>
      </w:pPr>
      <w:r>
        <w:t xml:space="preserve">RR6.7 Build, transmit and acknowledge</w:t>
      </w:r>
    </w:p>
    <w:p>
      <w:pPr>
        <w:numPr>
          <w:ilvl w:val="0"/>
          <w:numId w:val="1295"/>
        </w:numPr>
        <w:pStyle w:val="Compact"/>
      </w:pPr>
      <w:r>
        <w:rPr>
          <w:bCs/>
          <w:b/>
        </w:rPr>
        <w:t xml:space="preserve">Freeze</w:t>
      </w:r>
      <w:r>
        <w:t xml:space="preserve"> </w:t>
      </w:r>
      <w:r>
        <w:t xml:space="preserve">the snapshot;</w:t>
      </w:r>
      <w:r>
        <w:t xml:space="preserve"> </w:t>
      </w:r>
      <w:r>
        <w:rPr>
          <w:bCs/>
          <w:b/>
        </w:rPr>
        <w:t xml:space="preserve">extract</w:t>
      </w:r>
      <w:r>
        <w:t xml:space="preserve"> </w:t>
      </w:r>
      <w:r>
        <w:t xml:space="preserve">(RR6.3) and</w:t>
      </w:r>
      <w:r>
        <w:t xml:space="preserve"> </w:t>
      </w:r>
      <w:r>
        <w:rPr>
          <w:bCs/>
          <w:b/>
        </w:rPr>
        <w:t xml:space="preserve">route</w:t>
      </w:r>
      <w:r>
        <w:t xml:space="preserve"> </w:t>
      </w:r>
      <w:r>
        <w:t xml:space="preserve">(RR6.4).</w:t>
      </w:r>
    </w:p>
    <w:p>
      <w:pPr>
        <w:numPr>
          <w:ilvl w:val="0"/>
          <w:numId w:val="1295"/>
        </w:numPr>
        <w:pStyle w:val="Compact"/>
      </w:pPr>
      <w:r>
        <w:rPr>
          <w:bCs/>
          <w:b/>
        </w:rPr>
        <w:t xml:space="preserve">Validate</w:t>
      </w:r>
      <w:r>
        <w:t xml:space="preserve"> </w:t>
      </w:r>
      <w:r>
        <w:t xml:space="preserve">against the version pack and the CICs’</w:t>
      </w:r>
      <w:r>
        <w:t xml:space="preserve"> </w:t>
      </w:r>
      <w:r>
        <w:rPr>
          <w:bCs/>
          <w:b/>
        </w:rPr>
        <w:t xml:space="preserve">uniform data-acceptance rules</w:t>
      </w:r>
      <w:r>
        <w:t xml:space="preserve"> </w:t>
      </w:r>
      <w:r>
        <w:t xml:space="preserve">(CIC-AMD 19(1)); ERROR records go to the repair queue with reason codes, never silently dropped.</w:t>
      </w:r>
    </w:p>
    <w:p>
      <w:pPr>
        <w:numPr>
          <w:ilvl w:val="0"/>
          <w:numId w:val="1295"/>
        </w:numPr>
        <w:pStyle w:val="Compact"/>
      </w:pPr>
      <w:r>
        <w:rPr>
          <w:bCs/>
          <w:b/>
        </w:rPr>
        <w:t xml:space="preserve">Build four outputs from one dataset</w:t>
      </w:r>
      <w:r>
        <w:t xml:space="preserve">, differing only in bureau header values, file name and encryption.</w:t>
      </w:r>
    </w:p>
    <w:p>
      <w:pPr>
        <w:numPr>
          <w:ilvl w:val="0"/>
          <w:numId w:val="1295"/>
        </w:numPr>
        <w:pStyle w:val="Compact"/>
      </w:pPr>
      <w:r>
        <w:rPr>
          <w:bCs/>
          <w:b/>
        </w:rPr>
        <w:t xml:space="preserve">Approve:</w:t>
      </w:r>
      <w:r>
        <w:t xml:space="preserve"> </w:t>
      </w:r>
      <w:r>
        <w:t xml:space="preserve">the CIC nodal officer reviews counts by segment, status and DPD bucket, held-back records and variance to the last cycle.</w:t>
      </w:r>
    </w:p>
    <w:p>
      <w:pPr>
        <w:numPr>
          <w:ilvl w:val="0"/>
          <w:numId w:val="1295"/>
        </w:numPr>
        <w:pStyle w:val="Compact"/>
      </w:pPr>
      <w:r>
        <w:rPr>
          <w:bCs/>
          <w:b/>
        </w:rPr>
        <w:t xml:space="preserve">Transmit</w:t>
      </w:r>
      <w:r>
        <w:t xml:space="preserve"> </w:t>
      </w:r>
      <w:r>
        <w:t xml:space="preserve">by SFTP from a lender-controlled host (or a tenant-run agent on premises), key-based, with SFTP and PGP keys in the tenant vault (BYOK; unreadable by Finbyx staff); CIBIL consumer files may be</w:t>
      </w:r>
      <w:r>
        <w:t xml:space="preserve"> </w:t>
      </w:r>
      <w:r>
        <w:rPr>
          <w:rStyle w:val="VerbatimChar"/>
        </w:rPr>
        <w:t xml:space="preserve">.gpg</w:t>
      </w:r>
      <w:r>
        <w:t xml:space="preserve"> </w:t>
      </w:r>
      <w:r>
        <w:t xml:space="preserve">and</w:t>
      </w:r>
      <w:r>
        <w:t xml:space="preserve"> </w:t>
      </w:r>
      <w:r>
        <w:rPr>
          <w:bCs/>
          <w:b/>
        </w:rPr>
        <w:t xml:space="preserve">CIBIL correction uploads are not encrypted</w:t>
      </w:r>
      <w:r>
        <w:t xml:space="preserve"> </w:t>
      </w:r>
      <w:r>
        <w:t xml:space="preserve">[CIC: TransUnion CIBIL data-acquisition note]; the encryption rule for each other CIC is a format-pack setting taken from its member specification.</w:t>
      </w:r>
    </w:p>
    <w:p>
      <w:pPr>
        <w:numPr>
          <w:ilvl w:val="0"/>
          <w:numId w:val="1295"/>
        </w:numPr>
        <w:pStyle w:val="Compact"/>
      </w:pPr>
      <w:r>
        <w:rPr>
          <w:bCs/>
          <w:b/>
        </w:rPr>
        <w:t xml:space="preserve">Record</w:t>
      </w:r>
      <w:r>
        <w:t xml:space="preserve"> </w:t>
      </w:r>
      <w:r>
        <w:t xml:space="preserve">hash, size, time and server acknowledgement; ingest status files; emit</w:t>
      </w:r>
      <w:r>
        <w:t xml:space="preserve"> </w:t>
      </w:r>
      <w:r>
        <w:rPr>
          <w:rStyle w:val="VerbatimChar"/>
        </w:rPr>
        <w:t xml:space="preserve">BureauFileGenerated</w:t>
      </w:r>
      <w:r>
        <w:t xml:space="preserve"> </w:t>
      </w:r>
      <w:r>
        <w:t xml:space="preserve">(on</w:t>
      </w:r>
      <w:r>
        <w:t xml:space="preserve"> </w:t>
      </w:r>
      <w:r>
        <w:rPr>
          <w:rStyle w:val="VerbatimChar"/>
        </w:rPr>
        <w:t xml:space="preserve">APPROVED</w:t>
      </w:r>
      <w:r>
        <w:t xml:space="preserve">) and</w:t>
      </w:r>
      <w:r>
        <w:t xml:space="preserve"> </w:t>
      </w:r>
      <w:r>
        <w:rPr>
          <w:rStyle w:val="VerbatimChar"/>
        </w:rPr>
        <w:t xml:space="preserve">BureauFileSubmitted</w:t>
      </w:r>
      <w:r>
        <w:t xml:space="preserve"> </w:t>
      </w:r>
      <w:r>
        <w:t xml:space="preserve">(on</w:t>
      </w:r>
      <w:r>
        <w:t xml:space="preserve"> </w:t>
      </w:r>
      <w:r>
        <w:rPr>
          <w:rStyle w:val="VerbatimChar"/>
        </w:rPr>
        <w:t xml:space="preserve">ACK_RECEIVED</w:t>
      </w:r>
      <w:r>
        <w:t xml:space="preserve">).</w:t>
      </w:r>
    </w:p>
    <w:p>
      <w:pPr>
        <w:pStyle w:val="FirstParagraph"/>
      </w:pPr>
      <w:r>
        <w:rPr>
          <w:bCs/>
          <w:b/>
        </w:rPr>
        <w:t xml:space="preserve">State machine (one</w:t>
      </w:r>
      <w:r>
        <w:rPr>
          <w:bCs/>
          <w:b/>
        </w:rPr>
        <w:t xml:space="preserve"> </w:t>
      </w:r>
      <w:r>
        <w:rPr>
          <w:rStyle w:val="VerbatimChar"/>
          <w:bCs/>
          <w:b/>
        </w:rPr>
        <w:t xml:space="preserve">bureau_cycle</w:t>
      </w:r>
      <w:r>
        <w:rPr>
          <w:bCs/>
          <w:b/>
        </w:rPr>
        <w:t xml:space="preserve"> </w:t>
      </w:r>
      <w:r>
        <w:rPr>
          <w:bCs/>
          <w:b/>
        </w:rPr>
        <w:t xml:space="preserve">per CIC, format and reference date):</w:t>
      </w:r>
      <w:r>
        <w:t xml:space="preserve"> </w:t>
      </w:r>
      <w:r>
        <w:rPr>
          <w:rStyle w:val="VerbatimChar"/>
        </w:rPr>
        <w:t xml:space="preserve">PLANNED → SNAPSHOT → EXTRACTED → VALIDATED → BUILT → APPROVED → TRANSMITTED → ACK_RECEIVED → REJECTIONS_INGESTED → (REPAIRED → RESUBMITTED)* → DQI_RECEIVED → CLOSED</w:t>
      </w:r>
      <w:r>
        <w:t xml:space="preserve">. Missing the 4-day or 5th-of-month deadline raises a compliance issue, because CICs report laggards to RBI on DAKSH (CIR 10(2)(v) as amended).</w:t>
      </w:r>
    </w:p>
    <w:p>
      <w:pPr>
        <w:pStyle w:val="BodyText"/>
      </w:pPr>
      <w:r>
        <w:rPr>
          <w:bCs/>
          <w:b/>
        </w:rPr>
        <w:t xml:space="preserve">Exception paths:</w:t>
      </w:r>
    </w:p>
    <w:p>
      <w:pPr>
        <w:numPr>
          <w:ilvl w:val="0"/>
          <w:numId w:val="1296"/>
        </w:numPr>
        <w:pStyle w:val="Compact"/>
      </w:pPr>
      <w:r>
        <w:rPr>
          <w:bCs/>
          <w:b/>
        </w:rPr>
        <w:t xml:space="preserve">Nodal officer rejects at</w:t>
      </w:r>
      <w:r>
        <w:rPr>
          <w:bCs/>
          <w:b/>
        </w:rPr>
        <w:t xml:space="preserve"> </w:t>
      </w:r>
      <w:r>
        <w:rPr>
          <w:rStyle w:val="VerbatimChar"/>
          <w:bCs/>
          <w:b/>
        </w:rPr>
        <w:t xml:space="preserve">APPROVED</w:t>
      </w:r>
      <w:r>
        <w:rPr>
          <w:bCs/>
          <w:b/>
        </w:rPr>
        <w:t xml:space="preserve">:</w:t>
      </w:r>
      <w:r>
        <w:t xml:space="preserve"> </w:t>
      </w:r>
      <w:r>
        <w:t xml:space="preserve">reason recorded → back to</w:t>
      </w:r>
      <w:r>
        <w:t xml:space="preserve"> </w:t>
      </w:r>
      <w:r>
        <w:rPr>
          <w:rStyle w:val="VerbatimChar"/>
        </w:rPr>
        <w:t xml:space="preserve">EXTRACTED</w:t>
      </w:r>
      <w:r>
        <w:t xml:space="preserve"> </w:t>
      </w:r>
      <w:r>
        <w:t xml:space="preserve">after the fix; the four bureau outputs are rebuilt together so they never diverge.</w:t>
      </w:r>
    </w:p>
    <w:p>
      <w:pPr>
        <w:numPr>
          <w:ilvl w:val="0"/>
          <w:numId w:val="1296"/>
        </w:numPr>
        <w:pStyle w:val="Compact"/>
      </w:pPr>
      <w:r>
        <w:rPr>
          <w:bCs/>
          <w:b/>
        </w:rPr>
        <w:t xml:space="preserve">Transmission failure</w:t>
      </w:r>
      <w:r>
        <w:t xml:space="preserve"> </w:t>
      </w:r>
      <w:r>
        <w:t xml:space="preserve">(SFTP unreachable, key rejected): automatic retries with back-off for 2 hours, then an alert to bureau operations and the nodal officer; at due − 1 day an unresolved failure escalates to the CCO. The same file (same hash) is re-sent; a rebuild is a new</w:t>
      </w:r>
      <w:r>
        <w:t xml:space="preserve"> </w:t>
      </w:r>
      <w:r>
        <w:rPr>
          <w:rStyle w:val="VerbatimChar"/>
        </w:rPr>
        <w:t xml:space="preserve">file_seq</w:t>
      </w:r>
      <w:r>
        <w:t xml:space="preserve">.</w:t>
      </w:r>
    </w:p>
    <w:p>
      <w:pPr>
        <w:numPr>
          <w:ilvl w:val="0"/>
          <w:numId w:val="1296"/>
        </w:numPr>
        <w:pStyle w:val="Compact"/>
      </w:pPr>
      <w:r>
        <w:rPr>
          <w:bCs/>
          <w:b/>
        </w:rPr>
        <w:t xml:space="preserve">File-level rejection</w:t>
      </w:r>
      <w:r>
        <w:t xml:space="preserve"> </w:t>
      </w:r>
      <w:r>
        <w:t xml:space="preserve">(header or trailer failure, forbidden character): the cycle goes to</w:t>
      </w:r>
      <w:r>
        <w:t xml:space="preserve"> </w:t>
      </w:r>
      <w:r>
        <w:rPr>
          <w:rStyle w:val="VerbatimChar"/>
        </w:rPr>
        <w:t xml:space="preserve">FILE_REJECTED</w:t>
      </w:r>
      <w:r>
        <w:t xml:space="preserve">, the whole file is repaired at source and re-sent as the same cycle code before the due date; after the due date it is still sent and the compliance issue records the delay.</w:t>
      </w:r>
    </w:p>
    <w:p>
      <w:pPr>
        <w:numPr>
          <w:ilvl w:val="0"/>
          <w:numId w:val="1296"/>
        </w:numPr>
        <w:pStyle w:val="Compact"/>
      </w:pPr>
      <w:r>
        <w:rPr>
          <w:bCs/>
          <w:b/>
        </w:rPr>
        <w:t xml:space="preserve">No acknowledgement</w:t>
      </w:r>
      <w:r>
        <w:t xml:space="preserve"> </w:t>
      </w:r>
      <w:r>
        <w:t xml:space="preserve">within 1 working day of transmission: task to confirm with the CIC; the cycle cannot close without an acknowledgement or the CIC’s written confirmation.</w:t>
      </w:r>
    </w:p>
    <w:p>
      <w:pPr>
        <w:numPr>
          <w:ilvl w:val="0"/>
          <w:numId w:val="1296"/>
        </w:numPr>
        <w:pStyle w:val="Compact"/>
      </w:pPr>
      <w:r>
        <w:rPr>
          <w:bCs/>
          <w:b/>
        </w:rPr>
        <w:t xml:space="preserve">Partial bureau success:</w:t>
      </w:r>
      <w:r>
        <w:t xml:space="preserve"> </w:t>
      </w:r>
      <w:r>
        <w:t xml:space="preserve">each CIC’s cycle is tracked separately; a failure at one CIC never blocks or re-sends the others.</w:t>
      </w:r>
    </w:p>
    <w:bookmarkEnd w:id="262"/>
    <w:bookmarkStart w:id="263" w:name="acceptance-tests-7"/>
    <w:p>
      <w:pPr>
        <w:pStyle w:val="Heading3"/>
      </w:pPr>
      <w:r>
        <w:t xml:space="preserve">Acceptance tests</w:t>
      </w:r>
    </w:p>
    <w:p>
      <w:pPr>
        <w:numPr>
          <w:ilvl w:val="0"/>
          <w:numId w:val="1297"/>
        </w:numPr>
        <w:pStyle w:val="Compact"/>
      </w:pPr>
      <w:r>
        <w:t xml:space="preserve">Golden files: one consumer, one commercial and one MFI file per cycle code pass each bureau’s published validator [VERIFY: validator availability per CIC] and match stored byte-level fixtures.</w:t>
      </w:r>
    </w:p>
    <w:p>
      <w:pPr>
        <w:numPr>
          <w:ilvl w:val="0"/>
          <w:numId w:val="1297"/>
        </w:numPr>
        <w:pStyle w:val="Compact"/>
      </w:pPr>
      <w:r>
        <w:t xml:space="preserve">An account whose only change since the 9th is DPD 31 → 38 appears in the W2 file.</w:t>
      </w:r>
    </w:p>
    <w:p>
      <w:pPr>
        <w:numPr>
          <w:ilvl w:val="0"/>
          <w:numId w:val="1297"/>
        </w:numPr>
        <w:pStyle w:val="Compact"/>
      </w:pPr>
      <w:r>
        <w:t xml:space="preserve">A loan closed on the 20th appears in the W3 file as category B and is absent from the next ME active set except as ended since the last reference date.</w:t>
      </w:r>
    </w:p>
    <w:p>
      <w:pPr>
        <w:numPr>
          <w:ilvl w:val="0"/>
          <w:numId w:val="1297"/>
        </w:numPr>
        <w:pStyle w:val="Compact"/>
      </w:pPr>
      <w:r>
        <w:t xml:space="preserve">A microfinance individual loan never appears in the consumer file.</w:t>
      </w:r>
    </w:p>
    <w:p>
      <w:pPr>
        <w:numPr>
          <w:ilvl w:val="0"/>
          <w:numId w:val="1297"/>
        </w:numPr>
        <w:pStyle w:val="Compact"/>
      </w:pPr>
      <w:r>
        <w:t xml:space="preserve">A record containing</w:t>
      </w:r>
      <w:r>
        <w:t xml:space="preserve"> </w:t>
      </w:r>
      <w:r>
        <w:rPr>
          <w:rStyle w:val="VerbatimChar"/>
        </w:rPr>
        <w:t xml:space="preserve">~</w:t>
      </w:r>
      <w:r>
        <w:t xml:space="preserve"> </w:t>
      </w:r>
      <w:r>
        <w:t xml:space="preserve">in a commercial field is cleaned at source or held back; the file never contains it.</w:t>
      </w:r>
    </w:p>
    <w:p>
      <w:pPr>
        <w:numPr>
          <w:ilvl w:val="0"/>
          <w:numId w:val="1297"/>
        </w:numPr>
        <w:pStyle w:val="Compact"/>
      </w:pPr>
      <w:r>
        <w:t xml:space="preserve">The ME file for July is due on 5 August; transmission on 6 August raises a compliance issue.</w:t>
      </w:r>
    </w:p>
    <w:p>
      <w:pPr>
        <w:numPr>
          <w:ilvl w:val="0"/>
          <w:numId w:val="1297"/>
        </w:numPr>
        <w:pStyle w:val="Compact"/>
      </w:pPr>
      <w:r>
        <w:t xml:space="preserve">No SFTP private key is readable through any Finbyx admin API or log.</w:t>
      </w:r>
    </w:p>
    <w:p>
      <w:r>
        <w:pict>
          <v:rect style="width:0;height:1.5pt" o:hralign="center" o:hrstd="t" o:hr="t"/>
        </w:pict>
      </w:r>
    </w:p>
    <w:bookmarkEnd w:id="263"/>
    <w:bookmarkEnd w:id="264"/>
    <w:bookmarkStart w:id="271" w:name="X98d53b5a0da018c96a4826d5a275d9bef7aae75"/>
    <w:p>
      <w:pPr>
        <w:pStyle w:val="Heading2"/>
      </w:pPr>
      <w:r>
        <w:t xml:space="preserve">RR7. Bureau rejections, corrections, disputes and data quality</w:t>
      </w:r>
    </w:p>
    <w:bookmarkStart w:id="265" w:name="rr7.1-rejection-repair-loop"/>
    <w:p>
      <w:pPr>
        <w:pStyle w:val="Heading3"/>
      </w:pPr>
      <w:r>
        <w:t xml:space="preserve">RR7.1 Rejection repair loop</w:t>
      </w:r>
    </w:p>
    <w:p>
      <w:pPr>
        <w:numPr>
          <w:ilvl w:val="0"/>
          <w:numId w:val="1298"/>
        </w:numPr>
        <w:pStyle w:val="Compact"/>
      </w:pPr>
      <w:r>
        <w:rPr>
          <w:bCs/>
          <w:b/>
        </w:rPr>
        <w:t xml:space="preserve">Ingest</w:t>
      </w:r>
      <w:r>
        <w:t xml:space="preserve"> </w:t>
      </w:r>
      <w:r>
        <w:t xml:space="preserve">rejection reports and file-level DQI (CICs return both within</w:t>
      </w:r>
      <w:r>
        <w:t xml:space="preserve"> </w:t>
      </w:r>
      <w:r>
        <w:rPr>
          <w:bCs/>
          <w:b/>
        </w:rPr>
        <w:t xml:space="preserve">3 calendar days</w:t>
      </w:r>
      <w:r>
        <w:t xml:space="preserve">, CIC-AMD 39(1)–(2), 20(1)) into one</w:t>
      </w:r>
      <w:r>
        <w:t xml:space="preserve"> </w:t>
      </w:r>
      <w:r>
        <w:rPr>
          <w:rStyle w:val="VerbatimChar"/>
        </w:rPr>
        <w:t xml:space="preserve">bureau_rejection</w:t>
      </w:r>
      <w:r>
        <w:t xml:space="preserve"> </w:t>
      </w:r>
      <w:r>
        <w:t xml:space="preserve">table keyed by bureau, cycle, account and</w:t>
      </w:r>
      <w:r>
        <w:t xml:space="preserve"> </w:t>
      </w:r>
      <w:r>
        <w:rPr>
          <w:bCs/>
          <w:b/>
        </w:rPr>
        <w:t xml:space="preserve">uniform reason code</w:t>
      </w:r>
      <w:r>
        <w:t xml:space="preserve"> </w:t>
      </w:r>
      <w:r>
        <w:t xml:space="preserve">(CIC-AMD 19(2)).</w:t>
      </w:r>
    </w:p>
    <w:p>
      <w:pPr>
        <w:numPr>
          <w:ilvl w:val="0"/>
          <w:numId w:val="1298"/>
        </w:numPr>
        <w:pStyle w:val="Compact"/>
      </w:pPr>
      <w:r>
        <w:rPr>
          <w:bCs/>
          <w:b/>
        </w:rPr>
        <w:t xml:space="preserve">Repair at source</w:t>
      </w:r>
      <w:r>
        <w:t xml:space="preserve"> </w:t>
      </w:r>
      <w:r>
        <w:t xml:space="preserve">(CIR 19): a task for the data owner; corrected master data flows into the next generation, never a hand-edited file.</w:t>
      </w:r>
    </w:p>
    <w:p>
      <w:pPr>
        <w:numPr>
          <w:ilvl w:val="0"/>
          <w:numId w:val="1298"/>
        </w:numPr>
        <w:pStyle w:val="Compact"/>
      </w:pPr>
      <w:r>
        <w:rPr>
          <w:bCs/>
          <w:b/>
        </w:rPr>
        <w:t xml:space="preserve">Resubmit</w:t>
      </w:r>
      <w:r>
        <w:t xml:space="preserve"> </w:t>
      </w:r>
      <w:r>
        <w:t xml:space="preserve">as cycle</w:t>
      </w:r>
      <w:r>
        <w:t xml:space="preserve"> </w:t>
      </w:r>
      <w:r>
        <w:rPr>
          <w:rStyle w:val="VerbatimChar"/>
        </w:rPr>
        <w:t xml:space="preserve">RR</w:t>
      </w:r>
      <w:r>
        <w:t xml:space="preserve"> </w:t>
      </w:r>
      <w:r>
        <w:rPr>
          <w:bCs/>
          <w:b/>
        </w:rPr>
        <w:t xml:space="preserve">before or with the next reference-date file</w:t>
      </w:r>
      <w:r>
        <w:t xml:space="preserve"> </w:t>
      </w:r>
      <w:r>
        <w:t xml:space="preserve">(CIR 15 as substituted; 7 days until 30 Jun 2026), i.e. by the 20th, 27th, 5th or 13th.</w:t>
      </w:r>
    </w:p>
    <w:p>
      <w:pPr>
        <w:numPr>
          <w:ilvl w:val="0"/>
          <w:numId w:val="1298"/>
        </w:numPr>
        <w:pStyle w:val="Compact"/>
      </w:pPr>
      <w:r>
        <w:t xml:space="preserve">Ageing escalates after one cycle to the nodal officer and after two to the CCO. Online Maintenance corrections (uniform formats, CIC-AMD 19(1)) are mirrored as</w:t>
      </w:r>
      <w:r>
        <w:t xml:space="preserve"> </w:t>
      </w:r>
      <w:r>
        <w:rPr>
          <w:rStyle w:val="VerbatimChar"/>
        </w:rPr>
        <w:t xml:space="preserve">bureau_correction</w:t>
      </w:r>
      <w:r>
        <w:t xml:space="preserve"> </w:t>
      </w:r>
      <w:r>
        <w:t xml:space="preserve">records.</w:t>
      </w:r>
    </w:p>
    <w:bookmarkEnd w:id="265"/>
    <w:bookmarkStart w:id="266" w:name="rr7.2-data-quality"/>
    <w:p>
      <w:pPr>
        <w:pStyle w:val="Heading3"/>
      </w:pPr>
      <w:r>
        <w:t xml:space="preserve">RR7.2 Data quality</w:t>
      </w:r>
    </w:p>
    <w:p>
      <w:pPr>
        <w:numPr>
          <w:ilvl w:val="0"/>
          <w:numId w:val="1299"/>
        </w:numPr>
        <w:pStyle w:val="Compact"/>
      </w:pPr>
      <w:r>
        <w:t xml:space="preserve">File-level DQI within 3 calendar days and CI-level DQI monthly by the 10th (weighted-average method; CIC-AMD 20(1), 20(3), Annex X), trended by segment.</w:t>
      </w:r>
    </w:p>
    <w:p>
      <w:pPr>
        <w:numPr>
          <w:ilvl w:val="0"/>
          <w:numId w:val="1299"/>
        </w:numPr>
        <w:pStyle w:val="Compact"/>
      </w:pPr>
      <w:r>
        <w:rPr>
          <w:bCs/>
          <w:b/>
        </w:rPr>
        <w:t xml:space="preserve">Half-yearly DQI review</w:t>
      </w:r>
      <w:r>
        <w:t xml:space="preserve">; report of issues and corrective steps to top management</w:t>
      </w:r>
      <w:r>
        <w:t xml:space="preserve"> </w:t>
      </w:r>
      <w:r>
        <w:rPr>
          <w:bCs/>
          <w:b/>
        </w:rPr>
        <w:t xml:space="preserve">within two months of the half-year end</w:t>
      </w:r>
      <w:r>
        <w:t xml:space="preserve"> </w:t>
      </w:r>
      <w:r>
        <w:t xml:space="preserve">(CIR 17), drafted by Finbyx; rejection reasons and DQI feed the half-yearly grievance RCA (CIR 34(4)).</w:t>
      </w:r>
    </w:p>
    <w:bookmarkEnd w:id="266"/>
    <w:bookmarkStart w:id="267" w:name="rr7.3-borrower-alerts"/>
    <w:p>
      <w:pPr>
        <w:pStyle w:val="Heading3"/>
      </w:pPr>
      <w:r>
        <w:t xml:space="preserve">RR7.3 Borrower alerts</w:t>
      </w:r>
    </w:p>
    <w:p>
      <w:pPr>
        <w:pStyle w:val="FirstParagraph"/>
      </w:pPr>
      <w:r>
        <w:rPr>
          <w:bCs/>
          <w:b/>
        </w:rPr>
        <w:t xml:space="preserve">SMS or email alert while submitting default or DPD data</w:t>
      </w:r>
      <w:r>
        <w:t xml:space="preserve">, wherever contact details exist (CIR 34(1)(i)): a notification at submission,</w:t>
      </w:r>
      <w:r>
        <w:t xml:space="preserve"> </w:t>
      </w:r>
      <w:r>
        <w:rPr>
          <w:bCs/>
          <w:b/>
        </w:rPr>
        <w:t xml:space="preserve">not a pre-reporting notice</w:t>
      </w:r>
      <w:r>
        <w:t xml:space="preserve">, never delaying the file. Language preference applies (RBC 10); SMS only on a DLT-registered service or transactional header and template, and any voice alert only from a 1600-series number, never a 140-series one (TRAI); template version and delivery logged per account per cycle; awareness prompts for missing contacts (CIR 34(1)(iii)).</w:t>
      </w:r>
    </w:p>
    <w:bookmarkEnd w:id="267"/>
    <w:bookmarkStart w:id="268" w:name="rr7.4-credit-information-disputes"/>
    <w:p>
      <w:pPr>
        <w:pStyle w:val="Heading3"/>
      </w:pPr>
      <w:r>
        <w:t xml:space="preserve">RR7.4 Credit-information disputes</w:t>
      </w:r>
    </w:p>
    <w:p>
      <w:pPr>
        <w:pStyle w:val="FirstParagraph"/>
      </w:pPr>
      <w:r>
        <w:rPr>
          <w:bCs/>
          <w:b/>
        </w:rPr>
        <w:t xml:space="preserve">Intake:</w:t>
      </w:r>
      <w:r>
        <w:t xml:space="preserve"> </w:t>
      </w:r>
      <w:r>
        <w:t xml:space="preserve">borrower (branch, portal, app, email, Udofin relay), CIC-forwarded dispute, RBI Ombudsman or Internal Ombudsman reference; complaint form captures email and bank account or UPI for compensation (CIR 35(8)). Linked to M15 grievances (CIR 38(3)).</w:t>
      </w:r>
    </w:p>
    <w:p>
      <w:pPr>
        <w:pStyle w:val="BodyText"/>
      </w:pPr>
      <w:r>
        <w:rPr>
          <w:bCs/>
          <w:b/>
        </w:rPr>
        <w:t xml:space="preserve">State machine:</w:t>
      </w:r>
      <w:r>
        <w:t xml:space="preserve"> </w:t>
      </w:r>
      <w:r>
        <w:rPr>
          <w:rStyle w:val="VerbatimChar"/>
        </w:rPr>
        <w:t xml:space="preserve">RECEIVED (t0 = date first filed with the CI or a CIC) → ACKNOWLEDGED → INVESTIGATING → DECISION (ACCEPT or REJECT with a reason from the CICs' standard list, CIR 34(3)) → CORRECTION_SENT_TO_CICs (DC cycle or Online Maintenance) → CIC_CONFIRMED → BORROWER_INFORMED (rectified CIR sent) → CLOSED</w:t>
      </w:r>
      <w:r>
        <w:t xml:space="preserve">.</w:t>
      </w:r>
    </w:p>
    <w:p>
      <w:pPr>
        <w:pStyle w:val="BodyText"/>
      </w:pPr>
      <w:r>
        <w:rPr>
          <w:bCs/>
          <w:b/>
        </w:rPr>
        <w:t xml:space="preserve">Clocks:</w:t>
      </w:r>
    </w:p>
    <w:p>
      <w:pPr>
        <w:numPr>
          <w:ilvl w:val="0"/>
          <w:numId w:val="1300"/>
        </w:numPr>
        <w:pStyle w:val="Compact"/>
      </w:pPr>
      <w:r>
        <w:t xml:space="preserve">The CI sends corrected data to the CICs within</w:t>
      </w:r>
      <w:r>
        <w:t xml:space="preserve"> </w:t>
      </w:r>
      <w:r>
        <w:rPr>
          <w:bCs/>
          <w:b/>
        </w:rPr>
        <w:t xml:space="preserve">21 calendar days</w:t>
      </w:r>
      <w:r>
        <w:t xml:space="preserve"> </w:t>
      </w:r>
      <w:r>
        <w:t xml:space="preserve">of being informed (CIC Rules r.20(3)(c); CIR 35(2)).</w:t>
      </w:r>
    </w:p>
    <w:p>
      <w:pPr>
        <w:numPr>
          <w:ilvl w:val="0"/>
          <w:numId w:val="1300"/>
        </w:numPr>
        <w:pStyle w:val="Compact"/>
      </w:pPr>
      <w:r>
        <w:t xml:space="preserve">Overall resolution within</w:t>
      </w:r>
      <w:r>
        <w:t xml:space="preserve"> </w:t>
      </w:r>
      <w:r>
        <w:rPr>
          <w:bCs/>
          <w:b/>
        </w:rPr>
        <w:t xml:space="preserve">30 calendar days</w:t>
      </w:r>
      <w:r>
        <w:t xml:space="preserve"> </w:t>
      </w:r>
      <w:r>
        <w:t xml:space="preserve">of the initial filing (CICRA s.21(3); CIR 35(1)); the CIC effectively has the remaining 9 days.</w:t>
      </w:r>
    </w:p>
    <w:p>
      <w:pPr>
        <w:numPr>
          <w:ilvl w:val="0"/>
          <w:numId w:val="1300"/>
        </w:numPr>
        <w:pStyle w:val="Compact"/>
      </w:pPr>
      <w:r>
        <w:t xml:space="preserve">Resolution date = date the rectified CIR is sent to the complainant (CIR 35(7)).</w:t>
      </w:r>
    </w:p>
    <w:p>
      <w:pPr>
        <w:pStyle w:val="FirstParagraph"/>
      </w:pPr>
      <w:r>
        <w:rPr>
          <w:bCs/>
          <w:b/>
        </w:rPr>
        <w:t xml:space="preserve">Compensation (CIR 35).</w:t>
      </w:r>
      <w:r>
        <w:t xml:space="preserve"> </w:t>
      </w:r>
      <w:r>
        <w:t xml:space="preserve">All dates are calendar dates; the algorithm reproduces every CIR para 35 illustration (Cases 1–7) and those cases are its golden tests.</w:t>
      </w:r>
    </w:p>
    <w:p>
      <w:pPr>
        <w:pStyle w:val="SourceCode"/>
      </w:pPr>
      <w:r>
        <w:rPr>
          <w:rStyle w:val="VerbatimChar"/>
        </w:rPr>
        <w:t xml:space="preserve">t0             = date the complaint was first filed with the CI or a CIC</w:t>
      </w:r>
      <w:r>
        <w:br/>
      </w:r>
      <w:r>
        <w:rPr>
          <w:rStyle w:val="VerbatimChar"/>
        </w:rPr>
        <w:t xml:space="preserve">days_late      = max(0, resolution_date - (t0 + 30))        # resolution_date per CIR 35(7)</w:t>
      </w:r>
      <w:r>
        <w:br/>
      </w:r>
      <w:r>
        <w:rPr>
          <w:rStyle w:val="VerbatimChar"/>
        </w:rPr>
        <w:t xml:space="preserve">if days_late == 0: no compensation</w:t>
      </w:r>
      <w:r>
        <w:br/>
      </w:r>
      <w:r>
        <w:rPr>
          <w:rStyle w:val="VerbatimChar"/>
        </w:rPr>
        <w:t xml:space="preserve"># delay attributed to each party</w:t>
      </w:r>
      <w:r>
        <w:br/>
      </w:r>
      <w:r>
        <w:rPr>
          <w:rStyle w:val="VerbatimChar"/>
        </w:rPr>
        <w:t xml:space="preserve">d_ci[i]        = max(0, ci_response_date[i] - (ci_informed_date[i] + 21))   # each CI i (CIR 35(2))</w:t>
      </w:r>
      <w:r>
        <w:br/>
      </w:r>
      <w:r>
        <w:rPr>
          <w:rStyle w:val="VerbatimChar"/>
        </w:rPr>
        <w:t xml:space="preserve">cic_elapsed    = days the CIC held the complaint:</w:t>
      </w:r>
      <w:r>
        <w:br/>
      </w:r>
      <w:r>
        <w:rPr>
          <w:rStyle w:val="VerbatimChar"/>
        </w:rPr>
        <w:t xml:space="preserve">                 CIC-registered: (ci_informed_date - t0) + (resolution_date - last ci_response_date)</w:t>
      </w:r>
      <w:r>
        <w:br/>
      </w:r>
      <w:r>
        <w:rPr>
          <w:rStyle w:val="VerbatimChar"/>
        </w:rPr>
        <w:t xml:space="preserve">                 CI-registered:  cic_rectified_cir_date - ci_response_date</w:t>
      </w:r>
      <w:r>
        <w:br/>
      </w:r>
      <w:r>
        <w:rPr>
          <w:rStyle w:val="VerbatimChar"/>
        </w:rPr>
        <w:t xml:space="preserve">d_cic          = max(0, cic_elapsed - 9)</w:t>
      </w:r>
      <w:r>
        <w:br/>
      </w:r>
      <w:r>
        <w:rPr>
          <w:rStyle w:val="VerbatimChar"/>
        </w:rPr>
        <w:t xml:space="preserve">d_fwd          = CI-registered only: resolution_date - cic_rectified_cir_date   # CI forwarding to complainant</w:t>
      </w:r>
      <w:r>
        <w:br/>
      </w:r>
      <w:r>
        <w:rPr>
          <w:rStyle w:val="VerbatimChar"/>
        </w:rPr>
        <w:t xml:space="preserve">amount_total   = 100 * days_late                            # ₹100 per calendar day</w:t>
      </w:r>
      <w:r>
        <w:br/>
      </w:r>
      <w:r>
        <w:rPr>
          <w:rStyle w:val="VerbatimChar"/>
        </w:rPr>
        <w:t xml:space="preserve">share_x        = amount_total * d_x / sum(d)                # CIR 35(4): proportionate; d_fwd is the CI's</w:t>
      </w:r>
      <w:r>
        <w:br/>
      </w:r>
      <w:r>
        <w:rPr>
          <w:rStyle w:val="VerbatimChar"/>
        </w:rPr>
        <w:t xml:space="preserve">round to paise by largest remainder so the shares sum to amount_total</w:t>
      </w:r>
      <w:r>
        <w:br/>
      </w:r>
      <w:r>
        <w:rPr>
          <w:rStyle w:val="VerbatimChar"/>
        </w:rPr>
        <w:t xml:space="preserve">pay_by         = resolution_date + 5 working days           # CIR 35(9)</w:t>
      </w:r>
    </w:p>
    <w:p>
      <w:pPr>
        <w:numPr>
          <w:ilvl w:val="0"/>
          <w:numId w:val="1301"/>
        </w:numPr>
        <w:pStyle w:val="Compact"/>
      </w:pPr>
      <w:r>
        <w:t xml:space="preserve">The CI pays its share (and, for a complaint registered with it, informs the CIC and the complainant of the total delay and each party’s amount, CIR 35(6)); a CIC’s share is recorded as receivable from or payable by that CIC per the member agreement.</w:t>
      </w:r>
    </w:p>
    <w:p>
      <w:pPr>
        <w:numPr>
          <w:ilvl w:val="0"/>
          <w:numId w:val="1301"/>
        </w:numPr>
        <w:pStyle w:val="Compact"/>
      </w:pPr>
      <w:r>
        <w:t xml:space="preserve">Credit to the complainant’s bank account or UPI ID from a payout batch approved by a checker, posted to a compensation-expense GL; deviations reported to the Board or customer-service committee (CIR 18); CIR 35(12) exclusions tagged with the reason; multi-CI complaints routed to the CIC (35(5)). The complainant is told of the Ombudsman route for wrongful denial (35(10)): the RBI Integrated Ombudsman Scheme, 2026 for complaints received from 1 Jul 2026 (</w:t>
      </w:r>
      <w:r>
        <w:rPr>
          <w:rStyle w:val="VerbatimChar"/>
        </w:rPr>
        <w:t xml:space="preserve">RBIOS26</w:t>
      </w:r>
      <w:r>
        <w:t xml:space="preserve">; the 2021 Scheme for earlier ones), and the Internal Ombudsman under</w:t>
      </w:r>
      <w:r>
        <w:t xml:space="preserve"> </w:t>
      </w:r>
      <w:r>
        <w:rPr>
          <w:rStyle w:val="VerbatimChar"/>
        </w:rPr>
        <w:t xml:space="preserve">IO26</w:t>
      </w:r>
      <w:r>
        <w:t xml:space="preserve"> </w:t>
      </w:r>
      <w:r>
        <w:t xml:space="preserve">where applicable.</w:t>
      </w:r>
    </w:p>
    <w:p>
      <w:pPr>
        <w:numPr>
          <w:ilvl w:val="0"/>
          <w:numId w:val="1301"/>
        </w:numPr>
        <w:pStyle w:val="Compact"/>
      </w:pPr>
      <w:r>
        <w:t xml:space="preserve">Events:</w:t>
      </w:r>
      <w:r>
        <w:t xml:space="preserve"> </w:t>
      </w:r>
      <w:r>
        <w:rPr>
          <w:rStyle w:val="VerbatimChar"/>
        </w:rPr>
        <w:t xml:space="preserve">BureauCorrectionRequested</w:t>
      </w:r>
      <w:r>
        <w:t xml:space="preserve"> </w:t>
      </w:r>
      <w:r>
        <w:t xml:space="preserve">on ACCEPT;</w:t>
      </w:r>
      <w:r>
        <w:t xml:space="preserve"> </w:t>
      </w:r>
      <w:r>
        <w:rPr>
          <w:rStyle w:val="VerbatimChar"/>
        </w:rPr>
        <w:t xml:space="preserve">BureauCorrectionCompleted</w:t>
      </w:r>
      <w:r>
        <w:t xml:space="preserve"> </w:t>
      </w:r>
      <w:r>
        <w:t xml:space="preserve">on CIC_CONFIRMED.</w:t>
      </w:r>
    </w:p>
    <w:bookmarkEnd w:id="268"/>
    <w:bookmarkStart w:id="269" w:name="rr7.5-nodal-officer-and-governance"/>
    <w:p>
      <w:pPr>
        <w:pStyle w:val="Heading3"/>
      </w:pPr>
      <w:r>
        <w:t xml:space="preserve">RR7.5 Nodal officer and governance</w:t>
      </w:r>
    </w:p>
    <w:p>
      <w:pPr>
        <w:numPr>
          <w:ilvl w:val="0"/>
          <w:numId w:val="1302"/>
        </w:numPr>
        <w:pStyle w:val="Compact"/>
      </w:pPr>
      <w:r>
        <w:t xml:space="preserve">CIC nodal officer register with email and phone; changes notified to every CIC within</w:t>
      </w:r>
      <w:r>
        <w:t xml:space="preserve"> </w:t>
      </w:r>
      <w:r>
        <w:rPr>
          <w:bCs/>
          <w:b/>
        </w:rPr>
        <w:t xml:space="preserve">5 calendar days</w:t>
      </w:r>
      <w:r>
        <w:t xml:space="preserve"> </w:t>
      </w:r>
      <w:r>
        <w:t xml:space="preserve">(CIR 34(2)(ii)); the change opens a 5-day task per bureau.</w:t>
      </w:r>
    </w:p>
    <w:p>
      <w:pPr>
        <w:numPr>
          <w:ilvl w:val="0"/>
          <w:numId w:val="1302"/>
        </w:numPr>
        <w:pStyle w:val="Compact"/>
      </w:pPr>
      <w:r>
        <w:t xml:space="preserve">Half-yearly RCA with annual top-management review (CIR 34(4)); quarterly Board/customer-service committee pack with dispute clocks, compensation paid and DQI.</w:t>
      </w:r>
    </w:p>
    <w:bookmarkEnd w:id="269"/>
    <w:bookmarkStart w:id="270" w:name="acceptance-tests-8"/>
    <w:p>
      <w:pPr>
        <w:pStyle w:val="Heading3"/>
      </w:pPr>
      <w:r>
        <w:t xml:space="preserve">Acceptance tests</w:t>
      </w:r>
    </w:p>
    <w:p>
      <w:pPr>
        <w:numPr>
          <w:ilvl w:val="0"/>
          <w:numId w:val="1303"/>
        </w:numPr>
        <w:pStyle w:val="Compact"/>
      </w:pPr>
      <w:r>
        <w:t xml:space="preserve">CIR para 35 Case 7 golden tests: complaint with the CI on 1 Jan 2022, corrections sent 25 Jan (3 days late), CIC returns the rectified CIR on 3 Feb and the CI sends it the same day → ₹300 payable by the CI; CIC on 4 Feb, CI the same day → ₹400 (₹100 CIC, ₹300 CI); CIC on 4 Feb, CI on 5 Feb → ₹500 (₹100 CIC, ₹400 CI).</w:t>
      </w:r>
    </w:p>
    <w:p>
      <w:pPr>
        <w:numPr>
          <w:ilvl w:val="0"/>
          <w:numId w:val="1303"/>
        </w:numPr>
        <w:pStyle w:val="Compact"/>
      </w:pPr>
      <w:r>
        <w:t xml:space="preserve">CIR para 35 Case 4 golden test: CIC-registered complaint of 1 Jan 2022, banks B–E late by 5, 7, 9 and 11 days, resolution on 15 Feb → ₹1,500 split ₹208.33, ₹291.67, ₹375.00, ₹458.33 and CIC ₹166.67 (largest-remainder rounding; total exactly ₹1,500).</w:t>
      </w:r>
    </w:p>
    <w:p>
      <w:pPr>
        <w:numPr>
          <w:ilvl w:val="0"/>
          <w:numId w:val="1303"/>
        </w:numPr>
        <w:pStyle w:val="Compact"/>
      </w:pPr>
      <w:r>
        <w:t xml:space="preserve">Case 1: CIC seeks confirmation on day 11, the bank replies on day 21 of its window, resolution on 3 Feb → ₹300, all payable by the CIC.</w:t>
      </w:r>
    </w:p>
    <w:p>
      <w:pPr>
        <w:numPr>
          <w:ilvl w:val="0"/>
          <w:numId w:val="1303"/>
        </w:numPr>
        <w:pStyle w:val="Compact"/>
      </w:pPr>
      <w:r>
        <w:t xml:space="preserve">A rejection from the 9th cycle not resubmitted by the 20th shows as overdue and is included in the 16th-cycle file as</w:t>
      </w:r>
      <w:r>
        <w:t xml:space="preserve"> </w:t>
      </w:r>
      <w:r>
        <w:rPr>
          <w:rStyle w:val="VerbatimChar"/>
        </w:rPr>
        <w:t xml:space="preserve">RR</w:t>
      </w:r>
      <w:r>
        <w:t xml:space="preserve">.</w:t>
      </w:r>
    </w:p>
    <w:p>
      <w:pPr>
        <w:numPr>
          <w:ilvl w:val="0"/>
          <w:numId w:val="1303"/>
        </w:numPr>
        <w:pStyle w:val="Compact"/>
      </w:pPr>
      <w:r>
        <w:t xml:space="preserve">A dispute decision of REJECT without a standard reason code cannot be saved.</w:t>
      </w:r>
    </w:p>
    <w:p>
      <w:pPr>
        <w:numPr>
          <w:ilvl w:val="0"/>
          <w:numId w:val="1303"/>
        </w:numPr>
        <w:pStyle w:val="Compact"/>
      </w:pPr>
      <w:r>
        <w:t xml:space="preserve">A default record in the W1 file triggers one alert per borrower per cycle; a borrower with no mobile or email is counted in the</w:t>
      </w:r>
      <w:r>
        <w:t xml:space="preserve"> </w:t>
      </w:r>
      <w:r>
        <w:t xml:space="preserve">“</w:t>
      </w:r>
      <w:r>
        <w:t xml:space="preserve">no contact</w:t>
      </w:r>
      <w:r>
        <w:t xml:space="preserve">”</w:t>
      </w:r>
      <w:r>
        <w:t xml:space="preserve"> </w:t>
      </w:r>
      <w:r>
        <w:t xml:space="preserve">metric.</w:t>
      </w:r>
    </w:p>
    <w:p>
      <w:pPr>
        <w:numPr>
          <w:ilvl w:val="0"/>
          <w:numId w:val="1303"/>
        </w:numPr>
        <w:pStyle w:val="Compact"/>
      </w:pPr>
      <w:r>
        <w:t xml:space="preserve">The half-yearly DQI report for H1 (April–September) is due by 30 November and appears on the compliance calendar.</w:t>
      </w:r>
    </w:p>
    <w:p>
      <w:r>
        <w:pict>
          <v:rect style="width:0;height:1.5pt" o:hralign="center" o:hrstd="t" o:hr="t"/>
        </w:pict>
      </w:r>
    </w:p>
    <w:bookmarkEnd w:id="270"/>
    <w:bookmarkEnd w:id="271"/>
    <w:bookmarkStart w:id="279" w:name="X3c96faa4fbc79be9d4c49b555c4c9575e1ba534"/>
    <w:p>
      <w:pPr>
        <w:pStyle w:val="Heading2"/>
      </w:pPr>
      <w:r>
        <w:t xml:space="preserve">RR8. CRILC, large-exposure, wilful and large defaulter and fraud reporting</w:t>
      </w:r>
    </w:p>
    <w:bookmarkStart w:id="272" w:name="rr8.1-crilc-main-dnbs08"/>
    <w:p>
      <w:pPr>
        <w:pStyle w:val="Heading3"/>
      </w:pPr>
      <w:r>
        <w:t xml:space="preserve">RR8.1 CRILC Main (DNBS08)</w:t>
      </w:r>
    </w:p>
    <w:p>
      <w:pPr>
        <w:numPr>
          <w:ilvl w:val="0"/>
          <w:numId w:val="1304"/>
        </w:numPr>
        <w:pStyle w:val="Compact"/>
      </w:pPr>
      <w:r>
        <w:rPr>
          <w:bCs/>
          <w:b/>
        </w:rPr>
        <w:t xml:space="preserve">Population:</w:t>
      </w:r>
      <w:r>
        <w:t xml:space="preserve"> </w:t>
      </w:r>
      <w:r>
        <w:t xml:space="preserve">borrowers whose</w:t>
      </w:r>
      <w:r>
        <w:t xml:space="preserve"> </w:t>
      </w:r>
      <w:r>
        <w:rPr>
          <w:bCs/>
          <w:b/>
        </w:rPr>
        <w:t xml:space="preserve">aggregate fund-based and non-fund-based exposure</w:t>
      </w:r>
      <w:r>
        <w:t xml:space="preserve"> </w:t>
      </w:r>
      <w:r>
        <w:t xml:space="preserve">from the NBFC is</w:t>
      </w:r>
      <w:r>
        <w:t xml:space="preserve"> </w:t>
      </w:r>
      <w:r>
        <w:rPr>
          <w:bCs/>
          <w:b/>
        </w:rPr>
        <w:t xml:space="preserve">₹5 crore or more</w:t>
      </w:r>
      <w:r>
        <w:t xml:space="preserve">, computed at borrower level across products as on month-end, with SMA status (RSA 20; SR 21 item 5). NIL return if none.</w:t>
      </w:r>
    </w:p>
    <w:p>
      <w:pPr>
        <w:numPr>
          <w:ilvl w:val="0"/>
          <w:numId w:val="1304"/>
        </w:numPr>
        <w:pStyle w:val="Compact"/>
      </w:pPr>
      <w:r>
        <w:rPr>
          <w:bCs/>
          <w:b/>
        </w:rPr>
        <w:t xml:space="preserve">Applicability (8A.36.5 decision kept):</w:t>
      </w:r>
      <w:r>
        <w:t xml:space="preserve"> </w:t>
      </w:r>
      <w:r>
        <w:t xml:space="preserve">union of SR para 21 item 5 (₹500 crore qualifier read across BL ICCs, MFIs and Factors by default) and the RSA obligation (NBFC-D, NBFC-ND ≥ ₹500 crore, any Factor; RSA 7, 20–21, 158), tenant toggle, variance row (RR1.4 item 2) [VERIFY with RBI DoS].</w:t>
      </w:r>
    </w:p>
    <w:p>
      <w:pPr>
        <w:numPr>
          <w:ilvl w:val="0"/>
          <w:numId w:val="1304"/>
        </w:numPr>
        <w:pStyle w:val="Compact"/>
      </w:pPr>
      <w:r>
        <w:t xml:space="preserve">Project-finance credit events go in the weekly report and CRILC Main (RSA 106–107). Reported SMA status is compared with</w:t>
      </w:r>
      <w:r>
        <w:t xml:space="preserve"> </w:t>
      </w:r>
      <w:r>
        <w:rPr>
          <w:rStyle w:val="VerbatimChar"/>
        </w:rPr>
        <w:t xml:space="preserve">classification_history</w:t>
      </w:r>
      <w:r>
        <w:t xml:space="preserve"> </w:t>
      </w:r>
      <w:r>
        <w:t xml:space="preserve">before sign-off, because concealment triggers accelerated provisioning (RSA 22–23).</w:t>
      </w:r>
    </w:p>
    <w:bookmarkEnd w:id="272"/>
    <w:bookmarkStart w:id="273" w:name="rr8.2-dnbs09-weekly-defaulted-borrowers"/>
    <w:p>
      <w:pPr>
        <w:pStyle w:val="Heading3"/>
      </w:pPr>
      <w:r>
        <w:t xml:space="preserve">RR8.2 DNBS09 weekly defaulted borrowers</w:t>
      </w:r>
    </w:p>
    <w:p>
      <w:pPr>
        <w:pStyle w:val="FirstParagraph"/>
      </w:pPr>
      <w:r>
        <w:t xml:space="preserve">As at every Friday (or the preceding working day), due by the following Wednesday (SR 21 item 6, 22; RSA 21): move-in and move-out sections (PAN, name, date of default, funded, non-funded, total), computed from SMA-0 events since the previous Friday for the ≥ ₹5 crore population and reconciled with M6 classification events; NIL if none.</w:t>
      </w:r>
    </w:p>
    <w:bookmarkEnd w:id="273"/>
    <w:bookmarkStart w:id="274" w:name="rr8.3-large-exposure-framework-return-ul"/>
    <w:p>
      <w:pPr>
        <w:pStyle w:val="Heading3"/>
      </w:pPr>
      <w:r>
        <w:t xml:space="preserve">RR8.3 Large Exposure Framework return (UL)</w:t>
      </w:r>
    </w:p>
    <w:p>
      <w:pPr>
        <w:pStyle w:val="FirstParagraph"/>
      </w:pPr>
      <w:r>
        <w:t xml:space="preserve">Quarterly within 21 days (SR 21 item 12) from the M12 exposure engine and Part 7E (RK5), monthly internal computation, N configurable (8A.36.2). Breaches are intimated immediately as an event-driven return and block new exposure (CON 45).</w:t>
      </w:r>
    </w:p>
    <w:bookmarkEnd w:id="274"/>
    <w:bookmarkStart w:id="275" w:name="X2b3d1776f6250d6a60b0849a363ca0a510d22b6"/>
    <w:p>
      <w:pPr>
        <w:pStyle w:val="Heading3"/>
      </w:pPr>
      <w:r>
        <w:t xml:space="preserve">RR8.4 Large and wilful defaulter files to CICs</w:t>
      </w:r>
    </w:p>
    <w:p>
      <w:pPr>
        <w:numPr>
          <w:ilvl w:val="0"/>
          <w:numId w:val="1305"/>
        </w:numPr>
        <w:pStyle w:val="Compact"/>
      </w:pPr>
      <w:r>
        <w:rPr>
          <w:bCs/>
          <w:b/>
        </w:rPr>
        <w:t xml:space="preserve">Monthly to all four CICs by SFTP</w:t>
      </w:r>
      <w:r>
        <w:t xml:space="preserve"> </w:t>
      </w:r>
      <w:r>
        <w:t xml:space="preserve">(WD 11–12, Annexes I–II): large defaulters ≥ ₹1 crore and wilful defaulters,</w:t>
      </w:r>
      <w:r>
        <w:t xml:space="preserve"> </w:t>
      </w:r>
      <w:r>
        <w:rPr>
          <w:bCs/>
          <w:b/>
        </w:rPr>
        <w:t xml:space="preserve">suit-filed and non-suit-filed in separate files</w:t>
      </w:r>
      <w:r>
        <w:t xml:space="preserve">, row-level, cycle identifier in the RBI format (e.g. </w:t>
      </w:r>
      <w:r>
        <w:rPr>
          <w:rStyle w:val="VerbatimChar"/>
        </w:rPr>
        <w:t xml:space="preserve">JAN24</w:t>
      </w:r>
      <w:r>
        <w:t xml:space="preserve">). Removal within 30 days once outstanding falls below ₹25 lakh, and for settlements only after full payment (WD 12(2), 13). Only ML and above classify; BL keeps updating history (WD 12(3)). LWD status reported before any transfer (WD 14). Built from Part 7A R15.6 and the WD case module on the RR6 SFTP, key and evidence path.</w:t>
      </w:r>
    </w:p>
    <w:bookmarkEnd w:id="275"/>
    <w:bookmarkStart w:id="276" w:name="rr8.5-fraud-reporting"/>
    <w:p>
      <w:pPr>
        <w:pStyle w:val="Heading3"/>
      </w:pPr>
      <w:r>
        <w:t xml:space="preserve">RR8.5 Fraud reporting</w:t>
      </w:r>
    </w:p>
    <w:p>
      <w:pPr>
        <w:pStyle w:val="FirstParagraph"/>
      </w:pPr>
      <w:r>
        <w:t xml:space="preserve">FMR, FUA and FMR4/RBR are generated from the M12 fraud module (Part 8A.14) through the RR3 pipeline, with the RR5 clocks. Generator guards: FMR category from the FRM 42 list; no uninvolved person named (FRM 47); withdrawal only with director-rank approval or a court order (FRM 48–49); group-entity frauds routed to the email pack, never CIMS (FRM 45); late filing opens staff-accountability review (FRM 46). NBFCs have</w:t>
      </w:r>
      <w:r>
        <w:t xml:space="preserve"> </w:t>
      </w:r>
      <w:r>
        <w:rPr>
          <w:bCs/>
          <w:b/>
        </w:rPr>
        <w:t xml:space="preserve">no Red Flagged Account category</w:t>
      </w:r>
      <w:r>
        <w:t xml:space="preserve">; the bank RFA return (7 days, CB SR para 23) exists only under a bank profile.</w:t>
      </w:r>
    </w:p>
    <w:bookmarkEnd w:id="276"/>
    <w:bookmarkStart w:id="277" w:name="rr8.6-bank-ucb-and-arc-equivalents"/>
    <w:p>
      <w:pPr>
        <w:pStyle w:val="Heading3"/>
      </w:pPr>
      <w:r>
        <w:t xml:space="preserve">RR8.6 Bank, UCB and ARC equivalents</w:t>
      </w:r>
    </w:p>
    <w:p>
      <w:pPr>
        <w:pStyle w:val="FirstParagraph"/>
      </w:pPr>
      <w:r>
        <w:t xml:space="preserve">Commercial banks: CRILC, RFA, FMR and LEF under CB SR (RR1.5); UCBs with assets ≥ ₹500 crore: CRILC for exposures ≥ ₹5 crore [VERIFY: UCB RSA para 12]; ARCs per the ARC Directions [VERIFY].</w:t>
      </w:r>
    </w:p>
    <w:bookmarkEnd w:id="277"/>
    <w:bookmarkStart w:id="278" w:name="acceptance-tests-9"/>
    <w:p>
      <w:pPr>
        <w:pStyle w:val="Heading3"/>
      </w:pPr>
      <w:r>
        <w:t xml:space="preserve">Acceptance tests</w:t>
      </w:r>
    </w:p>
    <w:p>
      <w:pPr>
        <w:numPr>
          <w:ilvl w:val="0"/>
          <w:numId w:val="1306"/>
        </w:numPr>
        <w:pStyle w:val="Compact"/>
      </w:pPr>
      <w:r>
        <w:t xml:space="preserve">A borrower with ₹3.2 crore term loan and ₹2 crore bank guarantee (non-fund) appears in CRILC Main; a borrower at ₹4.99 crore does not.</w:t>
      </w:r>
    </w:p>
    <w:p>
      <w:pPr>
        <w:numPr>
          <w:ilvl w:val="0"/>
          <w:numId w:val="1306"/>
        </w:numPr>
        <w:pStyle w:val="Compact"/>
      </w:pPr>
      <w:r>
        <w:t xml:space="preserve">A ₹6 crore borrower turning SMA-0 on Tuesday appears in that Friday’s DNBS09 move-in section; curing on the following Monday appears in the next move-out section.</w:t>
      </w:r>
    </w:p>
    <w:p>
      <w:pPr>
        <w:numPr>
          <w:ilvl w:val="0"/>
          <w:numId w:val="1306"/>
        </w:numPr>
        <w:pStyle w:val="Compact"/>
      </w:pPr>
      <w:r>
        <w:t xml:space="preserve">A month with no ≥ ₹5 crore borrower produces a NIL CRILC that still needs CRO sign-off.</w:t>
      </w:r>
    </w:p>
    <w:p>
      <w:pPr>
        <w:numPr>
          <w:ilvl w:val="0"/>
          <w:numId w:val="1306"/>
        </w:numPr>
        <w:pStyle w:val="Compact"/>
      </w:pPr>
      <w:r>
        <w:t xml:space="preserve">A BL tenant cannot mark a borrower as wilful defaulter; the WD file still carries the history it inherited.</w:t>
      </w:r>
    </w:p>
    <w:p>
      <w:pPr>
        <w:numPr>
          <w:ilvl w:val="0"/>
          <w:numId w:val="1306"/>
        </w:numPr>
        <w:pStyle w:val="Compact"/>
      </w:pPr>
      <w:r>
        <w:t xml:space="preserve">An FMR naming a person flagged</w:t>
      </w:r>
      <w:r>
        <w:t xml:space="preserve"> </w:t>
      </w:r>
      <w:r>
        <w:t xml:space="preserve">“</w:t>
      </w:r>
      <w:r>
        <w:t xml:space="preserve">not involved</w:t>
      </w:r>
      <w:r>
        <w:t xml:space="preserve">”</w:t>
      </w:r>
      <w:r>
        <w:t xml:space="preserve"> </w:t>
      </w:r>
      <w:r>
        <w:t xml:space="preserve">fails validation.</w:t>
      </w:r>
    </w:p>
    <w:p>
      <w:pPr>
        <w:numPr>
          <w:ilvl w:val="0"/>
          <w:numId w:val="1306"/>
        </w:numPr>
        <w:pStyle w:val="Compact"/>
      </w:pPr>
      <w:r>
        <w:t xml:space="preserve">A wilful defaulter whose outstanding drops to ₹24 lakh on 3 March is removed in a file sent to all CICs by 2 April.</w:t>
      </w:r>
    </w:p>
    <w:p>
      <w:r>
        <w:pict>
          <v:rect style="width:0;height:1.5pt" o:hralign="center" o:hrstd="t" o:hr="t"/>
        </w:pict>
      </w:r>
    </w:p>
    <w:bookmarkEnd w:id="278"/>
    <w:bookmarkEnd w:id="279"/>
    <w:bookmarkStart w:id="283" w:name="Xc98f599b64b19fee438a0872889f21bc3fdf215"/>
    <w:p>
      <w:pPr>
        <w:pStyle w:val="Heading2"/>
      </w:pPr>
      <w:r>
        <w:t xml:space="preserve">RR9. Settings, menus and screens (workspace K — Compliance and Regulatory Reporting)</w:t>
      </w:r>
    </w:p>
    <w:p>
      <w:pPr>
        <w:pStyle w:val="FirstParagraph"/>
      </w:pPr>
      <w:r>
        <w:rPr>
          <w:bCs/>
          <w:b/>
        </w:rPr>
        <w:t xml:space="preserve">Purpose.</w:t>
      </w:r>
      <w:r>
        <w:t xml:space="preserve"> </w:t>
      </w:r>
      <w:r>
        <w:t xml:space="preserve">Give the returns and bureau teams one place to work, with settings that cannot breach a regulatory floor. Returns screens ship with Phase 14b, bureau screens with Phase 14c. Every setting is effective-dated, changed under maker-checker and written to the audit trail; the server enforces floors whatever the UI sends (403</w:t>
      </w:r>
      <w:r>
        <w:t xml:space="preserve"> </w:t>
      </w:r>
      <w:r>
        <w:rPr>
          <w:rStyle w:val="VerbatimChar"/>
        </w:rPr>
        <w:t xml:space="preserve">floor_violation</w:t>
      </w:r>
      <w:r>
        <w:t xml:space="preserve">, with the citation).</w:t>
      </w:r>
    </w:p>
    <w:bookmarkStart w:id="280" w:name="rr9.1-settings-and-options"/>
    <w:p>
      <w:pPr>
        <w:pStyle w:val="Heading3"/>
      </w:pPr>
      <w:r>
        <w:t xml:space="preserve">RR9.1 Settings and options</w:t>
      </w:r>
    </w:p>
    <w:p>
      <w:pPr>
        <w:pStyle w:val="FirstParagraph"/>
      </w:pPr>
      <w:r>
        <w:t xml:space="preserve">“</w:t>
      </w:r>
      <w:r>
        <w:t xml:space="preserve">Floor</w:t>
      </w:r>
      <w:r>
        <w:t xml:space="preserve">”</w:t>
      </w:r>
      <w:r>
        <w:t xml:space="preserve"> </w:t>
      </w:r>
      <w:r>
        <w:t xml:space="preserve">= regulatory or platform minimum that a tenant cannot relax (it may only tighten);</w:t>
      </w:r>
      <w:r>
        <w:t xml:space="preserve"> </w:t>
      </w:r>
      <w:r>
        <w:t xml:space="preserve">“</w:t>
      </w:r>
      <w:r>
        <w:t xml:space="preserve">Choice</w:t>
      </w:r>
      <w:r>
        <w:t xml:space="preserve">”</w:t>
      </w:r>
      <w:r>
        <w:t xml:space="preserve"> </w:t>
      </w:r>
      <w:r>
        <w:t xml:space="preserve">= tenant decision within the floor.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54"/>
        <w:gridCol w:w="1261"/>
        <w:gridCol w:w="2537"/>
        <w:gridCol w:w="2577"/>
        <w:gridCol w:w="1209"/>
      </w:tblGrid>
      <w:tr>
        <w:trPr>
          <w:tblHeader w:val="true"/>
          <w:tblHeader w:val="true"/>
        </w:trPr>
        <w:tc>
          <w:tcPr>
            <w:tcW w:w="2054" w:type="dxa"/>
            <w:shd w:val="clear" w:color="auto" w:fill="1F3A5F"/>
          </w:tcPr>
          <w:p>
            <w:pPr>
              <w:pStyle w:val="Compact"/>
              <w:spacing w:after="40"/>
              <w:jc w:val="left"/>
            </w:pPr>
            <w:r>
              <w:rPr>
                <w:b/>
                <w:color w:val="FFFFFF"/>
                <w:sz w:val="18"/>
              </w:rPr>
              <w:t xml:space="preserve">Setting</w:t>
            </w:r>
          </w:p>
        </w:tc>
        <w:tc>
          <w:tcPr>
            <w:tcW w:w="1261" w:type="dxa"/>
            <w:shd w:val="clear" w:color="auto" w:fill="1F3A5F"/>
          </w:tcPr>
          <w:p>
            <w:pPr>
              <w:pStyle w:val="Compact"/>
              <w:spacing w:after="40"/>
              <w:jc w:val="left"/>
            </w:pPr>
            <w:r>
              <w:rPr>
                <w:b/>
                <w:color w:val="FFFFFF"/>
                <w:sz w:val="18"/>
              </w:rPr>
              <w:t xml:space="preserve">Level</w:t>
            </w:r>
          </w:p>
        </w:tc>
        <w:tc>
          <w:tcPr>
            <w:tcW w:w="2537" w:type="dxa"/>
            <w:shd w:val="clear" w:color="auto" w:fill="1F3A5F"/>
          </w:tcPr>
          <w:p>
            <w:pPr>
              <w:pStyle w:val="Compact"/>
              <w:spacing w:after="40"/>
              <w:jc w:val="left"/>
            </w:pPr>
            <w:r>
              <w:rPr>
                <w:b/>
                <w:color w:val="FFFFFF"/>
                <w:sz w:val="18"/>
              </w:rPr>
              <w:t xml:space="preserve">Default</w:t>
            </w:r>
          </w:p>
        </w:tc>
        <w:tc>
          <w:tcPr>
            <w:tcW w:w="2577" w:type="dxa"/>
            <w:shd w:val="clear" w:color="auto" w:fill="1F3A5F"/>
          </w:tcPr>
          <w:p>
            <w:pPr>
              <w:pStyle w:val="Compact"/>
              <w:spacing w:after="40"/>
              <w:jc w:val="left"/>
            </w:pPr>
            <w:r>
              <w:rPr>
                <w:b/>
                <w:color w:val="FFFFFF"/>
                <w:sz w:val="18"/>
              </w:rPr>
              <w:t xml:space="preserve">Floor or choice</w:t>
            </w:r>
          </w:p>
        </w:tc>
        <w:tc>
          <w:tcPr>
            <w:tcW w:w="1209" w:type="dxa"/>
            <w:shd w:val="clear" w:color="auto" w:fill="1F3A5F"/>
          </w:tcPr>
          <w:p>
            <w:pPr>
              <w:pStyle w:val="Compact"/>
              <w:spacing w:after="40"/>
              <w:jc w:val="left"/>
            </w:pPr>
            <w:r>
              <w:rPr>
                <w:b/>
                <w:color w:val="FFFFFF"/>
                <w:sz w:val="18"/>
              </w:rPr>
              <w:t xml:space="preserve">Basis</w:t>
            </w:r>
          </w:p>
        </w:tc>
      </w:tr>
      <w:tr>
        <w:tc>
          <w:tcPr>
            <w:tcW w:w="2054" w:type="dxa"/>
          </w:tcPr>
          <w:p>
            <w:pPr>
              <w:pStyle w:val="Compact"/>
              <w:spacing w:after="40"/>
              <w:jc w:val="left"/>
            </w:pPr>
            <w:r>
              <w:rPr>
                <w:sz w:val="18"/>
              </w:rPr>
              <w:t xml:space="preserve">Applicable returns</w:t>
            </w:r>
          </w:p>
        </w:tc>
        <w:tc>
          <w:tcPr>
            <w:tcW w:w="1261" w:type="dxa"/>
          </w:tcPr>
          <w:p>
            <w:pPr>
              <w:pStyle w:val="Compact"/>
              <w:spacing w:after="40"/>
              <w:jc w:val="left"/>
            </w:pPr>
            <w:r>
              <w:rPr>
                <w:sz w:val="18"/>
              </w:rPr>
              <w:t xml:space="preserve">Legal entity</w:t>
            </w:r>
          </w:p>
        </w:tc>
        <w:tc>
          <w:tcPr>
            <w:tcW w:w="2537" w:type="dxa"/>
          </w:tcPr>
          <w:p>
            <w:pPr>
              <w:pStyle w:val="Compact"/>
              <w:spacing w:after="40"/>
              <w:jc w:val="left"/>
            </w:pPr>
            <w:r>
              <w:rPr>
                <w:sz w:val="18"/>
              </w:rPr>
              <w:t xml:space="preserve">As resolved by RR1.3</w:t>
            </w:r>
          </w:p>
        </w:tc>
        <w:tc>
          <w:tcPr>
            <w:tcW w:w="2577" w:type="dxa"/>
          </w:tcPr>
          <w:p>
            <w:pPr>
              <w:pStyle w:val="Compact"/>
              <w:spacing w:after="40"/>
              <w:jc w:val="left"/>
            </w:pPr>
            <w:r>
              <w:rPr>
                <w:sz w:val="18"/>
              </w:rPr>
              <w:t xml:space="preserve">Floor: a resolved return cannot be switched off; a tenant may add voluntary or ad hoc returns</w:t>
            </w:r>
          </w:p>
        </w:tc>
        <w:tc>
          <w:tcPr>
            <w:tcW w:w="1209" w:type="dxa"/>
          </w:tcPr>
          <w:p>
            <w:pPr>
              <w:pStyle w:val="Compact"/>
              <w:spacing w:after="40"/>
              <w:jc w:val="left"/>
            </w:pPr>
            <w:r>
              <w:rPr>
                <w:sz w:val="18"/>
              </w:rPr>
              <w:t xml:space="preserve">SR 21, 25</w:t>
            </w:r>
          </w:p>
        </w:tc>
      </w:tr>
      <w:tr>
        <w:tc>
          <w:tcPr>
            <w:tcW w:w="2054" w:type="dxa"/>
          </w:tcPr>
          <w:p>
            <w:pPr>
              <w:pStyle w:val="Compact"/>
              <w:spacing w:after="40"/>
              <w:jc w:val="left"/>
            </w:pPr>
            <w:r>
              <w:rPr>
                <w:sz w:val="18"/>
              </w:rPr>
              <w:t xml:space="preserve">CRILC BL qualifier reading</w:t>
            </w:r>
          </w:p>
        </w:tc>
        <w:tc>
          <w:tcPr>
            <w:tcW w:w="1261" w:type="dxa"/>
          </w:tcPr>
          <w:p>
            <w:pPr>
              <w:pStyle w:val="Compact"/>
              <w:spacing w:after="40"/>
              <w:jc w:val="left"/>
            </w:pPr>
            <w:r>
              <w:rPr>
                <w:sz w:val="18"/>
              </w:rPr>
              <w:t xml:space="preserve">Legal entity</w:t>
            </w:r>
          </w:p>
        </w:tc>
        <w:tc>
          <w:tcPr>
            <w:tcW w:w="2537" w:type="dxa"/>
          </w:tcPr>
          <w:p>
            <w:pPr>
              <w:pStyle w:val="Compact"/>
              <w:spacing w:after="40"/>
              <w:jc w:val="left"/>
            </w:pPr>
            <w:r>
              <w:rPr>
                <w:sz w:val="18"/>
              </w:rPr>
              <w:t xml:space="preserve">₹500 crore for BL ICCs, MFIs and Factors, union with the RSA test</w:t>
            </w:r>
          </w:p>
        </w:tc>
        <w:tc>
          <w:tcPr>
            <w:tcW w:w="2577" w:type="dxa"/>
          </w:tcPr>
          <w:p>
            <w:pPr>
              <w:pStyle w:val="Compact"/>
              <w:spacing w:after="40"/>
              <w:jc w:val="left"/>
            </w:pPr>
            <w:r>
              <w:rPr>
                <w:sz w:val="18"/>
              </w:rPr>
              <w:t xml:space="preserve">Choice of the CCO with a variance row, until RBI DoS clarifies</w:t>
            </w:r>
          </w:p>
        </w:tc>
        <w:tc>
          <w:tcPr>
            <w:tcW w:w="1209" w:type="dxa"/>
          </w:tcPr>
          <w:p>
            <w:pPr>
              <w:pStyle w:val="Compact"/>
              <w:spacing w:after="40"/>
              <w:jc w:val="left"/>
            </w:pPr>
            <w:r>
              <w:rPr>
                <w:sz w:val="18"/>
              </w:rPr>
              <w:t xml:space="preserve">RR1.4, RR8.1</w:t>
            </w:r>
          </w:p>
        </w:tc>
      </w:tr>
      <w:tr>
        <w:tc>
          <w:tcPr>
            <w:tcW w:w="2054" w:type="dxa"/>
          </w:tcPr>
          <w:p>
            <w:pPr>
              <w:pStyle w:val="Compact"/>
              <w:spacing w:after="40"/>
              <w:jc w:val="left"/>
            </w:pPr>
            <w:r>
              <w:rPr>
                <w:rStyle w:val="VerbatimChar"/>
                <w:sz w:val="18"/>
              </w:rPr>
              <w:t xml:space="preserve">freeze_lead</w:t>
            </w:r>
            <w:r>
              <w:rPr>
                <w:sz w:val="18"/>
              </w:rPr>
              <w:t xml:space="preserve">,</w:t>
            </w:r>
            <w:r>
              <w:rPr>
                <w:sz w:val="18"/>
              </w:rPr>
              <w:t xml:space="preserve"> </w:t>
            </w:r>
            <w:r>
              <w:rPr>
                <w:rStyle w:val="VerbatimChar"/>
                <w:sz w:val="18"/>
              </w:rPr>
              <w:t xml:space="preserve">generate_lead</w:t>
            </w:r>
          </w:p>
        </w:tc>
        <w:tc>
          <w:tcPr>
            <w:tcW w:w="1261" w:type="dxa"/>
          </w:tcPr>
          <w:p>
            <w:pPr>
              <w:pStyle w:val="Compact"/>
              <w:spacing w:after="40"/>
              <w:jc w:val="left"/>
            </w:pPr>
            <w:r>
              <w:rPr>
                <w:sz w:val="18"/>
              </w:rPr>
              <w:t xml:space="preserve">Return family</w:t>
            </w:r>
          </w:p>
        </w:tc>
        <w:tc>
          <w:tcPr>
            <w:tcW w:w="2537" w:type="dxa"/>
          </w:tcPr>
          <w:p>
            <w:pPr>
              <w:pStyle w:val="Compact"/>
              <w:spacing w:after="40"/>
              <w:jc w:val="left"/>
            </w:pPr>
            <w:r>
              <w:rPr>
                <w:sz w:val="18"/>
              </w:rPr>
              <w:t xml:space="preserve">Monthly: reference date + 3 working days and due − 5 working days; quarterly: + 7 and due − 7</w:t>
            </w:r>
          </w:p>
        </w:tc>
        <w:tc>
          <w:tcPr>
            <w:tcW w:w="2577" w:type="dxa"/>
          </w:tcPr>
          <w:p>
            <w:pPr>
              <w:pStyle w:val="Compact"/>
              <w:spacing w:after="40"/>
              <w:jc w:val="left"/>
            </w:pPr>
            <w:r>
              <w:rPr>
                <w:sz w:val="18"/>
              </w:rPr>
              <w:t xml:space="preserve">Choice; the server rejects a value that leaves less than 2 working days before due</w:t>
            </w:r>
          </w:p>
        </w:tc>
        <w:tc>
          <w:tcPr>
            <w:tcW w:w="1209" w:type="dxa"/>
          </w:tcPr>
          <w:p>
            <w:pPr>
              <w:pStyle w:val="Compact"/>
              <w:spacing w:after="40"/>
              <w:jc w:val="left"/>
            </w:pPr>
            <w:r>
              <w:rPr>
                <w:sz w:val="18"/>
              </w:rPr>
              <w:t xml:space="preserve">[REC]</w:t>
            </w:r>
          </w:p>
        </w:tc>
      </w:tr>
      <w:tr>
        <w:tc>
          <w:tcPr>
            <w:tcW w:w="2054" w:type="dxa"/>
          </w:tcPr>
          <w:p>
            <w:pPr>
              <w:pStyle w:val="Compact"/>
              <w:spacing w:after="40"/>
              <w:jc w:val="left"/>
            </w:pPr>
            <w:r>
              <w:rPr>
                <w:sz w:val="18"/>
              </w:rPr>
              <w:t xml:space="preserve">Alert stages and escalation</w:t>
            </w:r>
          </w:p>
        </w:tc>
        <w:tc>
          <w:tcPr>
            <w:tcW w:w="1261" w:type="dxa"/>
          </w:tcPr>
          <w:p>
            <w:pPr>
              <w:pStyle w:val="Compact"/>
              <w:spacing w:after="40"/>
              <w:jc w:val="left"/>
            </w:pPr>
            <w:r>
              <w:rPr>
                <w:sz w:val="18"/>
              </w:rPr>
              <w:t xml:space="preserve">Tenant</w:t>
            </w:r>
          </w:p>
        </w:tc>
        <w:tc>
          <w:tcPr>
            <w:tcW w:w="2537" w:type="dxa"/>
          </w:tcPr>
          <w:p>
            <w:pPr>
              <w:pStyle w:val="Compact"/>
              <w:spacing w:after="40"/>
              <w:jc w:val="left"/>
            </w:pPr>
            <w:r>
              <w:rPr>
                <w:sz w:val="18"/>
              </w:rPr>
              <w:t xml:space="preserve">T−7, T−3, T−1, breach; CCO on breach, MD/CEO after 2 working days</w:t>
            </w:r>
          </w:p>
        </w:tc>
        <w:tc>
          <w:tcPr>
            <w:tcW w:w="2577" w:type="dxa"/>
          </w:tcPr>
          <w:p>
            <w:pPr>
              <w:pStyle w:val="Compact"/>
              <w:spacing w:after="40"/>
              <w:jc w:val="left"/>
            </w:pPr>
            <w:r>
              <w:rPr>
                <w:sz w:val="18"/>
              </w:rPr>
              <w:t xml:space="preserve">Floor: the breach alert and CCO escalation stay</w:t>
            </w:r>
          </w:p>
        </w:tc>
        <w:tc>
          <w:tcPr>
            <w:tcW w:w="1209" w:type="dxa"/>
          </w:tcPr>
          <w:p>
            <w:pPr>
              <w:pStyle w:val="Compact"/>
              <w:spacing w:after="40"/>
              <w:jc w:val="left"/>
            </w:pPr>
            <w:r>
              <w:rPr>
                <w:sz w:val="18"/>
              </w:rPr>
              <w:t xml:space="preserve">RR5.1</w:t>
            </w:r>
          </w:p>
        </w:tc>
      </w:tr>
      <w:tr>
        <w:tc>
          <w:tcPr>
            <w:tcW w:w="2054" w:type="dxa"/>
          </w:tcPr>
          <w:p>
            <w:pPr>
              <w:pStyle w:val="Compact"/>
              <w:spacing w:after="40"/>
              <w:jc w:val="left"/>
            </w:pPr>
            <w:r>
              <w:rPr>
                <w:sz w:val="18"/>
              </w:rPr>
              <w:t xml:space="preserve">Maker, checker and signatory roles</w:t>
            </w:r>
          </w:p>
        </w:tc>
        <w:tc>
          <w:tcPr>
            <w:tcW w:w="1261" w:type="dxa"/>
          </w:tcPr>
          <w:p>
            <w:pPr>
              <w:pStyle w:val="Compact"/>
              <w:spacing w:after="40"/>
              <w:jc w:val="left"/>
            </w:pPr>
            <w:r>
              <w:rPr>
                <w:sz w:val="18"/>
              </w:rPr>
              <w:t xml:space="preserve">Return family</w:t>
            </w:r>
          </w:p>
        </w:tc>
        <w:tc>
          <w:tcPr>
            <w:tcW w:w="2537" w:type="dxa"/>
          </w:tcPr>
          <w:p>
            <w:pPr>
              <w:pStyle w:val="Compact"/>
              <w:spacing w:after="40"/>
              <w:jc w:val="left"/>
            </w:pPr>
            <w:r>
              <w:rPr>
                <w:sz w:val="18"/>
              </w:rPr>
              <w:t xml:space="preserve">RR3.5 matrix</w:t>
            </w:r>
          </w:p>
        </w:tc>
        <w:tc>
          <w:tcPr>
            <w:tcW w:w="2577" w:type="dxa"/>
          </w:tcPr>
          <w:p>
            <w:pPr>
              <w:pStyle w:val="Compact"/>
              <w:spacing w:after="40"/>
              <w:jc w:val="left"/>
            </w:pPr>
            <w:r>
              <w:rPr>
                <w:sz w:val="18"/>
              </w:rPr>
              <w:t xml:space="preserve">Floor: maker, checker and signatory are three different people; CRO and CCO never makers</w:t>
            </w:r>
          </w:p>
        </w:tc>
        <w:tc>
          <w:tcPr>
            <w:tcW w:w="1209" w:type="dxa"/>
          </w:tcPr>
          <w:p>
            <w:pPr>
              <w:pStyle w:val="Compact"/>
              <w:spacing w:after="40"/>
              <w:jc w:val="left"/>
            </w:pPr>
            <w:r>
              <w:rPr>
                <w:sz w:val="18"/>
              </w:rPr>
              <w:t xml:space="preserve">GOV 21(3)–(4); CMP 27</w:t>
            </w:r>
          </w:p>
        </w:tc>
      </w:tr>
      <w:tr>
        <w:tc>
          <w:tcPr>
            <w:tcW w:w="2054" w:type="dxa"/>
          </w:tcPr>
          <w:p>
            <w:pPr>
              <w:pStyle w:val="Compact"/>
              <w:spacing w:after="40"/>
              <w:jc w:val="left"/>
            </w:pPr>
            <w:r>
              <w:rPr>
                <w:sz w:val="18"/>
              </w:rPr>
              <w:t xml:space="preserve">Checker and signatory SLA</w:t>
            </w:r>
          </w:p>
        </w:tc>
        <w:tc>
          <w:tcPr>
            <w:tcW w:w="1261" w:type="dxa"/>
          </w:tcPr>
          <w:p>
            <w:pPr>
              <w:pStyle w:val="Compact"/>
              <w:spacing w:after="40"/>
              <w:jc w:val="left"/>
            </w:pPr>
            <w:r>
              <w:rPr>
                <w:sz w:val="18"/>
              </w:rPr>
              <w:t xml:space="preserve">Return family</w:t>
            </w:r>
          </w:p>
        </w:tc>
        <w:tc>
          <w:tcPr>
            <w:tcW w:w="2537" w:type="dxa"/>
          </w:tcPr>
          <w:p>
            <w:pPr>
              <w:pStyle w:val="Compact"/>
              <w:spacing w:after="40"/>
              <w:jc w:val="left"/>
            </w:pPr>
            <w:r>
              <w:rPr>
                <w:sz w:val="18"/>
              </w:rPr>
              <w:t xml:space="preserve">1 working day each</w:t>
            </w:r>
          </w:p>
        </w:tc>
        <w:tc>
          <w:tcPr>
            <w:tcW w:w="2577" w:type="dxa"/>
          </w:tcPr>
          <w:p>
            <w:pPr>
              <w:pStyle w:val="Compact"/>
              <w:spacing w:after="40"/>
              <w:jc w:val="left"/>
            </w:pPr>
            <w:r>
              <w:rPr>
                <w:sz w:val="18"/>
              </w:rPr>
              <w:t xml:space="preserve">Choice</w:t>
            </w:r>
          </w:p>
        </w:tc>
        <w:tc>
          <w:tcPr>
            <w:tcW w:w="1209" w:type="dxa"/>
          </w:tcPr>
          <w:p>
            <w:pPr>
              <w:pStyle w:val="Compact"/>
              <w:spacing w:after="40"/>
              <w:jc w:val="left"/>
            </w:pPr>
            <w:r>
              <w:rPr>
                <w:sz w:val="18"/>
              </w:rPr>
              <w:t xml:space="preserve">[REC]</w:t>
            </w:r>
          </w:p>
        </w:tc>
      </w:tr>
      <w:tr>
        <w:tc>
          <w:tcPr>
            <w:tcW w:w="2054" w:type="dxa"/>
          </w:tcPr>
          <w:p>
            <w:pPr>
              <w:pStyle w:val="Compact"/>
              <w:spacing w:after="40"/>
              <w:jc w:val="left"/>
            </w:pPr>
            <w:r>
              <w:rPr>
                <w:sz w:val="18"/>
              </w:rPr>
              <w:t xml:space="preserve">Rule severity</w:t>
            </w:r>
          </w:p>
        </w:tc>
        <w:tc>
          <w:tcPr>
            <w:tcW w:w="1261" w:type="dxa"/>
          </w:tcPr>
          <w:p>
            <w:pPr>
              <w:pStyle w:val="Compact"/>
              <w:spacing w:after="40"/>
              <w:jc w:val="left"/>
            </w:pPr>
            <w:r>
              <w:rPr>
                <w:sz w:val="18"/>
              </w:rPr>
              <w:t xml:space="preserve">Rule pack</w:t>
            </w:r>
          </w:p>
        </w:tc>
        <w:tc>
          <w:tcPr>
            <w:tcW w:w="2537" w:type="dxa"/>
          </w:tcPr>
          <w:p>
            <w:pPr>
              <w:pStyle w:val="Compact"/>
              <w:spacing w:after="40"/>
              <w:jc w:val="left"/>
            </w:pPr>
            <w:r>
              <w:rPr>
                <w:sz w:val="18"/>
              </w:rPr>
              <w:t xml:space="preserve">As published</w:t>
            </w:r>
          </w:p>
        </w:tc>
        <w:tc>
          <w:tcPr>
            <w:tcW w:w="2577" w:type="dxa"/>
          </w:tcPr>
          <w:p>
            <w:pPr>
              <w:pStyle w:val="Compact"/>
              <w:spacing w:after="40"/>
              <w:jc w:val="left"/>
            </w:pPr>
            <w:r>
              <w:rPr>
                <w:sz w:val="18"/>
              </w:rPr>
              <w:t xml:space="preserve">Floor: portal and REQ-linked rules cannot be downgraded; tenants may add rules or raise severity</w:t>
            </w:r>
          </w:p>
        </w:tc>
        <w:tc>
          <w:tcPr>
            <w:tcW w:w="1209" w:type="dxa"/>
          </w:tcPr>
          <w:p>
            <w:pPr>
              <w:pStyle w:val="Compact"/>
              <w:spacing w:after="40"/>
              <w:jc w:val="left"/>
            </w:pPr>
            <w:r>
              <w:rPr>
                <w:sz w:val="18"/>
              </w:rPr>
              <w:t xml:space="preserve">RR3.3</w:t>
            </w:r>
          </w:p>
        </w:tc>
      </w:tr>
      <w:tr>
        <w:tc>
          <w:tcPr>
            <w:tcW w:w="2054" w:type="dxa"/>
          </w:tcPr>
          <w:p>
            <w:pPr>
              <w:pStyle w:val="Compact"/>
              <w:spacing w:after="40"/>
              <w:jc w:val="left"/>
            </w:pPr>
            <w:r>
              <w:rPr>
                <w:sz w:val="18"/>
              </w:rPr>
              <w:t xml:space="preserve">Reconciliation tolerance</w:t>
            </w:r>
          </w:p>
        </w:tc>
        <w:tc>
          <w:tcPr>
            <w:tcW w:w="1261" w:type="dxa"/>
          </w:tcPr>
          <w:p>
            <w:pPr>
              <w:pStyle w:val="Compact"/>
              <w:spacing w:after="40"/>
              <w:jc w:val="left"/>
            </w:pPr>
            <w:r>
              <w:rPr>
                <w:sz w:val="18"/>
              </w:rPr>
              <w:t xml:space="preserve">Return version</w:t>
            </w:r>
          </w:p>
        </w:tc>
        <w:tc>
          <w:tcPr>
            <w:tcW w:w="2537" w:type="dxa"/>
          </w:tcPr>
          <w:p>
            <w:pPr>
              <w:pStyle w:val="Compact"/>
              <w:spacing w:after="40"/>
              <w:jc w:val="left"/>
            </w:pPr>
            <w:r>
              <w:rPr>
                <w:sz w:val="18"/>
              </w:rPr>
              <w:t xml:space="preserve">Template rounding unit</w:t>
            </w:r>
          </w:p>
        </w:tc>
        <w:tc>
          <w:tcPr>
            <w:tcW w:w="2577" w:type="dxa"/>
          </w:tcPr>
          <w:p>
            <w:pPr>
              <w:pStyle w:val="Compact"/>
              <w:spacing w:after="40"/>
              <w:jc w:val="left"/>
            </w:pPr>
            <w:r>
              <w:rPr>
                <w:sz w:val="18"/>
              </w:rPr>
              <w:t xml:space="preserve">Floor: may be tightened, never loosened</w:t>
            </w:r>
          </w:p>
        </w:tc>
        <w:tc>
          <w:tcPr>
            <w:tcW w:w="1209" w:type="dxa"/>
          </w:tcPr>
          <w:p>
            <w:pPr>
              <w:pStyle w:val="Compact"/>
              <w:spacing w:after="40"/>
              <w:jc w:val="left"/>
            </w:pPr>
            <w:r>
              <w:rPr>
                <w:sz w:val="18"/>
              </w:rPr>
              <w:t xml:space="preserve">SR 14</w:t>
            </w:r>
          </w:p>
        </w:tc>
      </w:tr>
      <w:tr>
        <w:tc>
          <w:tcPr>
            <w:tcW w:w="2054" w:type="dxa"/>
          </w:tcPr>
          <w:p>
            <w:pPr>
              <w:pStyle w:val="Compact"/>
              <w:spacing w:after="40"/>
              <w:jc w:val="left"/>
            </w:pPr>
            <w:r>
              <w:rPr>
                <w:rStyle w:val="VerbatimChar"/>
                <w:sz w:val="18"/>
              </w:rPr>
              <w:t xml:space="preserve">revision_materiality</w:t>
            </w:r>
          </w:p>
        </w:tc>
        <w:tc>
          <w:tcPr>
            <w:tcW w:w="1261" w:type="dxa"/>
          </w:tcPr>
          <w:p>
            <w:pPr>
              <w:pStyle w:val="Compact"/>
              <w:spacing w:after="40"/>
              <w:jc w:val="left"/>
            </w:pPr>
            <w:r>
              <w:rPr>
                <w:sz w:val="18"/>
              </w:rPr>
              <w:t xml:space="preserve">Tenant</w:t>
            </w:r>
          </w:p>
        </w:tc>
        <w:tc>
          <w:tcPr>
            <w:tcW w:w="2537" w:type="dxa"/>
          </w:tcPr>
          <w:p>
            <w:pPr>
              <w:pStyle w:val="Compact"/>
              <w:spacing w:after="40"/>
              <w:jc w:val="left"/>
            </w:pPr>
            <w:r>
              <w:rPr>
                <w:sz w:val="18"/>
              </w:rPr>
              <w:t xml:space="preserve">Any change to a prudential-ratio cell, or above the template rounding unit</w:t>
            </w:r>
          </w:p>
        </w:tc>
        <w:tc>
          <w:tcPr>
            <w:tcW w:w="2577" w:type="dxa"/>
          </w:tcPr>
          <w:p>
            <w:pPr>
              <w:pStyle w:val="Compact"/>
              <w:spacing w:after="40"/>
              <w:jc w:val="left"/>
            </w:pPr>
            <w:r>
              <w:rPr>
                <w:sz w:val="18"/>
              </w:rPr>
              <w:t xml:space="preserve">Choice above the floor that every RBI query gets an assessment</w:t>
            </w:r>
          </w:p>
        </w:tc>
        <w:tc>
          <w:tcPr>
            <w:tcW w:w="1209" w:type="dxa"/>
          </w:tcPr>
          <w:p>
            <w:pPr>
              <w:pStyle w:val="Compact"/>
              <w:spacing w:after="40"/>
              <w:jc w:val="left"/>
            </w:pPr>
            <w:r>
              <w:rPr>
                <w:sz w:val="18"/>
              </w:rPr>
              <w:t xml:space="preserve">RR5.3</w:t>
            </w:r>
          </w:p>
        </w:tc>
      </w:tr>
      <w:tr>
        <w:tc>
          <w:tcPr>
            <w:tcW w:w="2054" w:type="dxa"/>
          </w:tcPr>
          <w:p>
            <w:pPr>
              <w:pStyle w:val="Compact"/>
              <w:spacing w:after="40"/>
              <w:jc w:val="left"/>
            </w:pPr>
            <w:r>
              <w:rPr>
                <w:sz w:val="18"/>
              </w:rPr>
              <w:t xml:space="preserve">Holiday calendar</w:t>
            </w:r>
          </w:p>
        </w:tc>
        <w:tc>
          <w:tcPr>
            <w:tcW w:w="1261" w:type="dxa"/>
          </w:tcPr>
          <w:p>
            <w:pPr>
              <w:pStyle w:val="Compact"/>
              <w:spacing w:after="40"/>
              <w:jc w:val="left"/>
            </w:pPr>
            <w:r>
              <w:rPr>
                <w:sz w:val="18"/>
              </w:rPr>
              <w:t xml:space="preserve">Legal entity</w:t>
            </w:r>
          </w:p>
        </w:tc>
        <w:tc>
          <w:tcPr>
            <w:tcW w:w="2537" w:type="dxa"/>
          </w:tcPr>
          <w:p>
            <w:pPr>
              <w:pStyle w:val="Compact"/>
              <w:spacing w:after="40"/>
              <w:jc w:val="left"/>
            </w:pPr>
            <w:r>
              <w:rPr>
                <w:sz w:val="18"/>
              </w:rPr>
              <w:t xml:space="preserve">RBI Mumbai plus registered-office State; Saturday and Sunday off</w:t>
            </w:r>
          </w:p>
        </w:tc>
        <w:tc>
          <w:tcPr>
            <w:tcW w:w="2577" w:type="dxa"/>
          </w:tcPr>
          <w:p>
            <w:pPr>
              <w:pStyle w:val="Compact"/>
              <w:spacing w:after="40"/>
              <w:jc w:val="left"/>
            </w:pPr>
            <w:r>
              <w:rPr>
                <w:sz w:val="18"/>
              </w:rPr>
              <w:t xml:space="preserve">Choice of State list</w:t>
            </w:r>
          </w:p>
        </w:tc>
        <w:tc>
          <w:tcPr>
            <w:tcW w:w="1209" w:type="dxa"/>
          </w:tcPr>
          <w:p>
            <w:pPr>
              <w:pStyle w:val="Compact"/>
              <w:spacing w:after="40"/>
              <w:jc w:val="left"/>
            </w:pPr>
            <w:r>
              <w:rPr>
                <w:sz w:val="18"/>
              </w:rPr>
              <w:t xml:space="preserve">RR5.1</w:t>
            </w:r>
          </w:p>
        </w:tc>
      </w:tr>
      <w:tr>
        <w:tc>
          <w:tcPr>
            <w:tcW w:w="2054" w:type="dxa"/>
          </w:tcPr>
          <w:p>
            <w:pPr>
              <w:pStyle w:val="Compact"/>
              <w:spacing w:after="40"/>
              <w:jc w:val="left"/>
            </w:pPr>
            <w:r>
              <w:rPr>
                <w:rStyle w:val="VerbatimChar"/>
                <w:sz w:val="18"/>
              </w:rPr>
              <w:t xml:space="preserve">share_return_status_with_hub</w:t>
            </w:r>
          </w:p>
        </w:tc>
        <w:tc>
          <w:tcPr>
            <w:tcW w:w="1261" w:type="dxa"/>
          </w:tcPr>
          <w:p>
            <w:pPr>
              <w:pStyle w:val="Compact"/>
              <w:spacing w:after="40"/>
              <w:jc w:val="left"/>
            </w:pPr>
            <w:r>
              <w:rPr>
                <w:sz w:val="18"/>
              </w:rPr>
              <w:t xml:space="preserve">Tenant</w:t>
            </w:r>
          </w:p>
        </w:tc>
        <w:tc>
          <w:tcPr>
            <w:tcW w:w="2537" w:type="dxa"/>
          </w:tcPr>
          <w:p>
            <w:pPr>
              <w:pStyle w:val="Compact"/>
              <w:spacing w:after="40"/>
              <w:jc w:val="left"/>
            </w:pPr>
            <w:r>
              <w:rPr>
                <w:sz w:val="18"/>
              </w:rPr>
              <w:t xml:space="preserve">Off</w:t>
            </w:r>
          </w:p>
        </w:tc>
        <w:tc>
          <w:tcPr>
            <w:tcW w:w="2577" w:type="dxa"/>
          </w:tcPr>
          <w:p>
            <w:pPr>
              <w:pStyle w:val="Compact"/>
              <w:spacing w:after="40"/>
              <w:jc w:val="left"/>
            </w:pPr>
            <w:r>
              <w:rPr>
                <w:sz w:val="18"/>
              </w:rPr>
              <w:t xml:space="preserve">Choice; when on,</w:t>
            </w:r>
            <w:r>
              <w:rPr>
                <w:sz w:val="18"/>
              </w:rPr>
              <w:t xml:space="preserve"> </w:t>
            </w:r>
            <w:r>
              <w:rPr>
                <w:rStyle w:val="VerbatimChar"/>
                <w:sz w:val="18"/>
              </w:rPr>
              <w:t xml:space="preserve">ReturnDue</w:t>
            </w:r>
            <w:r>
              <w:rPr>
                <w:sz w:val="18"/>
              </w:rPr>
              <w:t xml:space="preserve"> </w:t>
            </w:r>
            <w:r>
              <w:rPr>
                <w:sz w:val="18"/>
              </w:rPr>
              <w:t xml:space="preserve">and</w:t>
            </w:r>
            <w:r>
              <w:rPr>
                <w:sz w:val="18"/>
              </w:rPr>
              <w:t xml:space="preserve"> </w:t>
            </w:r>
            <w:r>
              <w:rPr>
                <w:rStyle w:val="VerbatimChar"/>
                <w:sz w:val="18"/>
              </w:rPr>
              <w:t xml:space="preserve">ReturnFiled</w:t>
            </w:r>
            <w:r>
              <w:rPr>
                <w:sz w:val="18"/>
              </w:rPr>
              <w:t xml:space="preserve"> </w:t>
            </w:r>
            <w:r>
              <w:rPr>
                <w:sz w:val="18"/>
              </w:rPr>
              <w:t xml:space="preserve">metadata only</w:t>
            </w:r>
          </w:p>
        </w:tc>
        <w:tc>
          <w:tcPr>
            <w:tcW w:w="1209" w:type="dxa"/>
          </w:tcPr>
          <w:p>
            <w:pPr>
              <w:pStyle w:val="Compact"/>
              <w:spacing w:after="40"/>
              <w:jc w:val="left"/>
            </w:pPr>
            <w:r>
              <w:rPr>
                <w:sz w:val="18"/>
              </w:rPr>
              <w:t xml:space="preserve">Integration Spec 6.18</w:t>
            </w:r>
          </w:p>
        </w:tc>
      </w:tr>
      <w:tr>
        <w:tc>
          <w:tcPr>
            <w:tcW w:w="2054" w:type="dxa"/>
          </w:tcPr>
          <w:p>
            <w:pPr>
              <w:pStyle w:val="Compact"/>
              <w:spacing w:after="40"/>
              <w:jc w:val="left"/>
            </w:pPr>
            <w:r>
              <w:rPr>
                <w:sz w:val="18"/>
              </w:rPr>
              <w:t xml:space="preserve">ADF or system-to-system channel</w:t>
            </w:r>
          </w:p>
        </w:tc>
        <w:tc>
          <w:tcPr>
            <w:tcW w:w="1261" w:type="dxa"/>
          </w:tcPr>
          <w:p>
            <w:pPr>
              <w:pStyle w:val="Compact"/>
              <w:spacing w:after="40"/>
              <w:jc w:val="left"/>
            </w:pPr>
            <w:r>
              <w:rPr>
                <w:sz w:val="18"/>
              </w:rPr>
              <w:t xml:space="preserve">Legal entity and return</w:t>
            </w:r>
          </w:p>
        </w:tc>
        <w:tc>
          <w:tcPr>
            <w:tcW w:w="2537" w:type="dxa"/>
          </w:tcPr>
          <w:p>
            <w:pPr>
              <w:pStyle w:val="Compact"/>
              <w:spacing w:after="40"/>
              <w:jc w:val="left"/>
            </w:pPr>
            <w:r>
              <w:rPr>
                <w:sz w:val="18"/>
              </w:rPr>
              <w:t xml:space="preserve">Off</w:t>
            </w:r>
          </w:p>
        </w:tc>
        <w:tc>
          <w:tcPr>
            <w:tcW w:w="2577" w:type="dxa"/>
          </w:tcPr>
          <w:p>
            <w:pPr>
              <w:pStyle w:val="Compact"/>
              <w:spacing w:after="40"/>
              <w:jc w:val="left"/>
            </w:pPr>
            <w:r>
              <w:rPr>
                <w:sz w:val="18"/>
              </w:rPr>
              <w:t xml:space="preserve">Floor: on only with RBI evidence and a second approver</w:t>
            </w:r>
          </w:p>
        </w:tc>
        <w:tc>
          <w:tcPr>
            <w:tcW w:w="1209" w:type="dxa"/>
          </w:tcPr>
          <w:p>
            <w:pPr>
              <w:pStyle w:val="Compact"/>
              <w:spacing w:after="40"/>
              <w:jc w:val="left"/>
            </w:pPr>
            <w:r>
              <w:rPr>
                <w:sz w:val="18"/>
              </w:rPr>
              <w:t xml:space="preserve">7B.0 item 3</w:t>
            </w:r>
          </w:p>
        </w:tc>
      </w:tr>
      <w:tr>
        <w:tc>
          <w:tcPr>
            <w:tcW w:w="2054" w:type="dxa"/>
          </w:tcPr>
          <w:p>
            <w:pPr>
              <w:pStyle w:val="Compact"/>
              <w:spacing w:after="40"/>
              <w:jc w:val="left"/>
            </w:pPr>
            <w:r>
              <w:rPr>
                <w:sz w:val="18"/>
              </w:rPr>
              <w:t xml:space="preserve">Email contingency</w:t>
            </w:r>
          </w:p>
        </w:tc>
        <w:tc>
          <w:tcPr>
            <w:tcW w:w="1261" w:type="dxa"/>
          </w:tcPr>
          <w:p>
            <w:pPr>
              <w:pStyle w:val="Compact"/>
              <w:spacing w:after="40"/>
              <w:jc w:val="left"/>
            </w:pPr>
            <w:r>
              <w:rPr>
                <w:sz w:val="18"/>
              </w:rPr>
              <w:t xml:space="preserve">Return</w:t>
            </w:r>
          </w:p>
        </w:tc>
        <w:tc>
          <w:tcPr>
            <w:tcW w:w="2537" w:type="dxa"/>
          </w:tcPr>
          <w:p>
            <w:pPr>
              <w:pStyle w:val="Compact"/>
              <w:spacing w:after="40"/>
              <w:jc w:val="left"/>
            </w:pPr>
            <w:r>
              <w:rPr>
                <w:sz w:val="18"/>
              </w:rPr>
              <w:t xml:space="preserve">Disabled</w:t>
            </w:r>
          </w:p>
        </w:tc>
        <w:tc>
          <w:tcPr>
            <w:tcW w:w="2577" w:type="dxa"/>
          </w:tcPr>
          <w:p>
            <w:pPr>
              <w:pStyle w:val="Compact"/>
              <w:spacing w:after="40"/>
              <w:jc w:val="left"/>
            </w:pPr>
            <w:r>
              <w:rPr>
                <w:sz w:val="18"/>
              </w:rPr>
              <w:t xml:space="preserve">Floor: enabled per filing only with RBI advice attached</w:t>
            </w:r>
          </w:p>
        </w:tc>
        <w:tc>
          <w:tcPr>
            <w:tcW w:w="1209" w:type="dxa"/>
          </w:tcPr>
          <w:p>
            <w:pPr>
              <w:pStyle w:val="Compact"/>
              <w:spacing w:after="40"/>
              <w:jc w:val="left"/>
            </w:pPr>
            <w:r>
              <w:rPr>
                <w:sz w:val="18"/>
              </w:rPr>
              <w:t xml:space="preserve">SR 18</w:t>
            </w:r>
          </w:p>
        </w:tc>
      </w:tr>
      <w:tr>
        <w:tc>
          <w:tcPr>
            <w:tcW w:w="2054" w:type="dxa"/>
          </w:tcPr>
          <w:p>
            <w:pPr>
              <w:pStyle w:val="Compact"/>
              <w:spacing w:after="40"/>
              <w:jc w:val="left"/>
            </w:pPr>
            <w:r>
              <w:rPr>
                <w:sz w:val="18"/>
              </w:rPr>
              <w:t xml:space="preserve">Indicative packs (banks, UCBs, StCBs, ARCs, IFSCA, societies)</w:t>
            </w:r>
          </w:p>
        </w:tc>
        <w:tc>
          <w:tcPr>
            <w:tcW w:w="1261" w:type="dxa"/>
          </w:tcPr>
          <w:p>
            <w:pPr>
              <w:pStyle w:val="Compact"/>
              <w:spacing w:after="40"/>
              <w:jc w:val="left"/>
            </w:pPr>
            <w:r>
              <w:rPr>
                <w:sz w:val="18"/>
              </w:rPr>
              <w:t xml:space="preserve">Institution profile</w:t>
            </w:r>
          </w:p>
        </w:tc>
        <w:tc>
          <w:tcPr>
            <w:tcW w:w="2537" w:type="dxa"/>
          </w:tcPr>
          <w:p>
            <w:pPr>
              <w:pStyle w:val="Compact"/>
              <w:spacing w:after="40"/>
              <w:jc w:val="left"/>
            </w:pPr>
            <w:r>
              <w:rPr>
                <w:rStyle w:val="VerbatimChar"/>
                <w:sz w:val="18"/>
              </w:rPr>
              <w:t xml:space="preserve">ACTIVE_UNVERIFIED</w:t>
            </w:r>
          </w:p>
        </w:tc>
        <w:tc>
          <w:tcPr>
            <w:tcW w:w="2577" w:type="dxa"/>
          </w:tcPr>
          <w:p>
            <w:pPr>
              <w:pStyle w:val="Compact"/>
              <w:spacing w:after="40"/>
              <w:jc w:val="left"/>
            </w:pPr>
            <w:r>
              <w:rPr>
                <w:sz w:val="18"/>
              </w:rPr>
              <w:t xml:space="preserve">Floor: no filing until a named reviewer verifies the row</w:t>
            </w:r>
          </w:p>
        </w:tc>
        <w:tc>
          <w:tcPr>
            <w:tcW w:w="1209" w:type="dxa"/>
          </w:tcPr>
          <w:p>
            <w:pPr>
              <w:pStyle w:val="Compact"/>
              <w:spacing w:after="40"/>
              <w:jc w:val="left"/>
            </w:pPr>
            <w:r>
              <w:rPr>
                <w:sz w:val="18"/>
              </w:rPr>
              <w:t xml:space="preserve">RR1.5</w:t>
            </w:r>
          </w:p>
        </w:tc>
      </w:tr>
      <w:tr>
        <w:tc>
          <w:tcPr>
            <w:tcW w:w="2054" w:type="dxa"/>
          </w:tcPr>
          <w:p>
            <w:pPr>
              <w:pStyle w:val="Compact"/>
              <w:spacing w:after="40"/>
              <w:jc w:val="left"/>
            </w:pPr>
            <w:r>
              <w:rPr>
                <w:sz w:val="18"/>
              </w:rPr>
              <w:t xml:space="preserve">Return evidence retention</w:t>
            </w:r>
          </w:p>
        </w:tc>
        <w:tc>
          <w:tcPr>
            <w:tcW w:w="1261" w:type="dxa"/>
          </w:tcPr>
          <w:p>
            <w:pPr>
              <w:pStyle w:val="Compact"/>
              <w:spacing w:after="40"/>
              <w:jc w:val="left"/>
            </w:pPr>
            <w:r>
              <w:rPr>
                <w:sz w:val="18"/>
              </w:rPr>
              <w:t xml:space="preserve">Tenant</w:t>
            </w:r>
          </w:p>
        </w:tc>
        <w:tc>
          <w:tcPr>
            <w:tcW w:w="2537" w:type="dxa"/>
          </w:tcPr>
          <w:p>
            <w:pPr>
              <w:pStyle w:val="Compact"/>
              <w:spacing w:after="40"/>
              <w:jc w:val="left"/>
            </w:pPr>
            <w:r>
              <w:rPr>
                <w:sz w:val="18"/>
              </w:rPr>
              <w:t xml:space="preserve">10 years from filing</w:t>
            </w:r>
          </w:p>
        </w:tc>
        <w:tc>
          <w:tcPr>
            <w:tcW w:w="2577" w:type="dxa"/>
          </w:tcPr>
          <w:p>
            <w:pPr>
              <w:pStyle w:val="Compact"/>
              <w:spacing w:after="40"/>
              <w:jc w:val="left"/>
            </w:pPr>
            <w:r>
              <w:rPr>
                <w:sz w:val="18"/>
              </w:rPr>
              <w:t xml:space="preserve">Floor: never below the statutory period</w:t>
            </w:r>
          </w:p>
        </w:tc>
        <w:tc>
          <w:tcPr>
            <w:tcW w:w="1209" w:type="dxa"/>
          </w:tcPr>
          <w:p>
            <w:pPr>
              <w:pStyle w:val="Compact"/>
              <w:spacing w:after="40"/>
              <w:jc w:val="left"/>
            </w:pPr>
            <w:r>
              <w:rPr>
                <w:sz w:val="18"/>
              </w:rPr>
              <w:t xml:space="preserve">RR5.2; Part 7C AC7.4</w:t>
            </w:r>
          </w:p>
        </w:tc>
      </w:tr>
      <w:tr>
        <w:tc>
          <w:tcPr>
            <w:tcW w:w="2054" w:type="dxa"/>
          </w:tcPr>
          <w:p>
            <w:pPr>
              <w:pStyle w:val="Compact"/>
              <w:spacing w:after="40"/>
              <w:jc w:val="left"/>
            </w:pPr>
            <w:r>
              <w:rPr>
                <w:sz w:val="18"/>
              </w:rPr>
              <w:t xml:space="preserve">Portal-user alias review</w:t>
            </w:r>
          </w:p>
        </w:tc>
        <w:tc>
          <w:tcPr>
            <w:tcW w:w="1261" w:type="dxa"/>
          </w:tcPr>
          <w:p>
            <w:pPr>
              <w:pStyle w:val="Compact"/>
              <w:spacing w:after="40"/>
              <w:jc w:val="left"/>
            </w:pPr>
            <w:r>
              <w:rPr>
                <w:sz w:val="18"/>
              </w:rPr>
              <w:t xml:space="preserve">Tenant</w:t>
            </w:r>
          </w:p>
        </w:tc>
        <w:tc>
          <w:tcPr>
            <w:tcW w:w="2537" w:type="dxa"/>
          </w:tcPr>
          <w:p>
            <w:pPr>
              <w:pStyle w:val="Compact"/>
              <w:spacing w:after="40"/>
              <w:jc w:val="left"/>
            </w:pPr>
            <w:r>
              <w:rPr>
                <w:sz w:val="18"/>
              </w:rPr>
              <w:t xml:space="preserve">Quarterly</w:t>
            </w:r>
          </w:p>
        </w:tc>
        <w:tc>
          <w:tcPr>
            <w:tcW w:w="2577" w:type="dxa"/>
          </w:tcPr>
          <w:p>
            <w:pPr>
              <w:pStyle w:val="Compact"/>
              <w:spacing w:after="40"/>
              <w:jc w:val="left"/>
            </w:pPr>
            <w:r>
              <w:rPr>
                <w:sz w:val="18"/>
              </w:rPr>
              <w:t xml:space="preserve">Choice (at least annual)</w:t>
            </w:r>
          </w:p>
        </w:tc>
        <w:tc>
          <w:tcPr>
            <w:tcW w:w="1209" w:type="dxa"/>
          </w:tcPr>
          <w:p>
            <w:pPr>
              <w:pStyle w:val="Compact"/>
              <w:spacing w:after="40"/>
              <w:jc w:val="left"/>
            </w:pPr>
            <w:r>
              <w:rPr>
                <w:sz w:val="18"/>
              </w:rPr>
              <w:t xml:space="preserve">7B.0 item 2</w:t>
            </w:r>
          </w:p>
        </w:tc>
      </w:tr>
      <w:tr>
        <w:tc>
          <w:tcPr>
            <w:tcW w:w="2054" w:type="dxa"/>
          </w:tcPr>
          <w:p>
            <w:pPr>
              <w:pStyle w:val="Compact"/>
              <w:spacing w:after="40"/>
              <w:jc w:val="left"/>
            </w:pPr>
            <w:r>
              <w:rPr>
                <w:sz w:val="18"/>
              </w:rPr>
              <w:t xml:space="preserve">CICs reported to</w:t>
            </w:r>
          </w:p>
        </w:tc>
        <w:tc>
          <w:tcPr>
            <w:tcW w:w="1261" w:type="dxa"/>
          </w:tcPr>
          <w:p>
            <w:pPr>
              <w:pStyle w:val="Compact"/>
              <w:spacing w:after="40"/>
              <w:jc w:val="left"/>
            </w:pPr>
            <w:r>
              <w:rPr>
                <w:sz w:val="18"/>
              </w:rPr>
              <w:t xml:space="preserve">Legal entity</w:t>
            </w:r>
          </w:p>
        </w:tc>
        <w:tc>
          <w:tcPr>
            <w:tcW w:w="2537" w:type="dxa"/>
          </w:tcPr>
          <w:p>
            <w:pPr>
              <w:pStyle w:val="Compact"/>
              <w:spacing w:after="40"/>
              <w:jc w:val="left"/>
            </w:pPr>
            <w:r>
              <w:rPr>
                <w:sz w:val="18"/>
              </w:rPr>
              <w:t xml:space="preserve">All four</w:t>
            </w:r>
          </w:p>
        </w:tc>
        <w:tc>
          <w:tcPr>
            <w:tcW w:w="2577" w:type="dxa"/>
          </w:tcPr>
          <w:p>
            <w:pPr>
              <w:pStyle w:val="Compact"/>
              <w:spacing w:after="40"/>
              <w:jc w:val="left"/>
            </w:pPr>
            <w:r>
              <w:rPr>
                <w:sz w:val="18"/>
              </w:rPr>
              <w:t xml:space="preserve">Floor for every CI; off only for a society no CIC has admitted</w:t>
            </w:r>
          </w:p>
        </w:tc>
        <w:tc>
          <w:tcPr>
            <w:tcW w:w="1209" w:type="dxa"/>
          </w:tcPr>
          <w:p>
            <w:pPr>
              <w:pStyle w:val="Compact"/>
              <w:spacing w:after="40"/>
              <w:jc w:val="left"/>
            </w:pPr>
            <w:r>
              <w:rPr>
                <w:sz w:val="18"/>
              </w:rPr>
              <w:t xml:space="preserve">CIR 6; RR6.1</w:t>
            </w:r>
          </w:p>
        </w:tc>
      </w:tr>
      <w:tr>
        <w:tc>
          <w:tcPr>
            <w:tcW w:w="2054" w:type="dxa"/>
          </w:tcPr>
          <w:p>
            <w:pPr>
              <w:pStyle w:val="Compact"/>
              <w:spacing w:after="40"/>
              <w:jc w:val="left"/>
            </w:pPr>
            <w:r>
              <w:rPr>
                <w:sz w:val="18"/>
              </w:rPr>
              <w:t xml:space="preserve">Daily (DL) bureau cycle</w:t>
            </w:r>
          </w:p>
        </w:tc>
        <w:tc>
          <w:tcPr>
            <w:tcW w:w="1261" w:type="dxa"/>
          </w:tcPr>
          <w:p>
            <w:pPr>
              <w:pStyle w:val="Compact"/>
              <w:spacing w:after="40"/>
              <w:jc w:val="left"/>
            </w:pPr>
            <w:r>
              <w:rPr>
                <w:sz w:val="18"/>
              </w:rPr>
              <w:t xml:space="preserve">Legal entity</w:t>
            </w:r>
          </w:p>
        </w:tc>
        <w:tc>
          <w:tcPr>
            <w:tcW w:w="2537" w:type="dxa"/>
          </w:tcPr>
          <w:p>
            <w:pPr>
              <w:pStyle w:val="Compact"/>
              <w:spacing w:after="40"/>
              <w:jc w:val="left"/>
            </w:pPr>
            <w:r>
              <w:rPr>
                <w:sz w:val="18"/>
              </w:rPr>
              <w:t xml:space="preserve">Off; on for MFIN members</w:t>
            </w:r>
          </w:p>
        </w:tc>
        <w:tc>
          <w:tcPr>
            <w:tcW w:w="2577" w:type="dxa"/>
          </w:tcPr>
          <w:p>
            <w:pPr>
              <w:pStyle w:val="Compact"/>
              <w:spacing w:after="40"/>
              <w:jc w:val="left"/>
            </w:pPr>
            <w:r>
              <w:rPr>
                <w:sz w:val="18"/>
              </w:rPr>
              <w:t xml:space="preserve">Floor for MFIN members</w:t>
            </w:r>
          </w:p>
        </w:tc>
        <w:tc>
          <w:tcPr>
            <w:tcW w:w="1209" w:type="dxa"/>
          </w:tcPr>
          <w:p>
            <w:pPr>
              <w:pStyle w:val="Compact"/>
              <w:spacing w:after="40"/>
              <w:jc w:val="left"/>
            </w:pPr>
            <w:r>
              <w:rPr>
                <w:sz w:val="18"/>
              </w:rPr>
              <w:t xml:space="preserve">SRO-MFIN</w:t>
            </w:r>
          </w:p>
        </w:tc>
      </w:tr>
      <w:tr>
        <w:tc>
          <w:tcPr>
            <w:tcW w:w="2054" w:type="dxa"/>
          </w:tcPr>
          <w:p>
            <w:pPr>
              <w:pStyle w:val="Compact"/>
              <w:spacing w:after="40"/>
              <w:jc w:val="left"/>
            </w:pPr>
            <w:r>
              <w:rPr>
                <w:sz w:val="18"/>
              </w:rPr>
              <w:t xml:space="preserve">Transmission host</w:t>
            </w:r>
          </w:p>
        </w:tc>
        <w:tc>
          <w:tcPr>
            <w:tcW w:w="1261" w:type="dxa"/>
          </w:tcPr>
          <w:p>
            <w:pPr>
              <w:pStyle w:val="Compact"/>
              <w:spacing w:after="40"/>
              <w:jc w:val="left"/>
            </w:pPr>
            <w:r>
              <w:rPr>
                <w:sz w:val="18"/>
              </w:rPr>
              <w:t xml:space="preserve">Legal entity</w:t>
            </w:r>
          </w:p>
        </w:tc>
        <w:tc>
          <w:tcPr>
            <w:tcW w:w="2537" w:type="dxa"/>
          </w:tcPr>
          <w:p>
            <w:pPr>
              <w:pStyle w:val="Compact"/>
              <w:spacing w:after="40"/>
              <w:jc w:val="left"/>
            </w:pPr>
            <w:r>
              <w:rPr>
                <w:sz w:val="18"/>
              </w:rPr>
              <w:t xml:space="preserve">Tenant-controlled host</w:t>
            </w:r>
          </w:p>
        </w:tc>
        <w:tc>
          <w:tcPr>
            <w:tcW w:w="2577" w:type="dxa"/>
          </w:tcPr>
          <w:p>
            <w:pPr>
              <w:pStyle w:val="Compact"/>
              <w:spacing w:after="40"/>
              <w:jc w:val="left"/>
            </w:pPr>
            <w:r>
              <w:rPr>
                <w:sz w:val="18"/>
              </w:rPr>
              <w:t xml:space="preserve">Choice: tenant host or on-premises agent; never a Finbyx-held key</w:t>
            </w:r>
          </w:p>
        </w:tc>
        <w:tc>
          <w:tcPr>
            <w:tcW w:w="1209" w:type="dxa"/>
          </w:tcPr>
          <w:p>
            <w:pPr>
              <w:pStyle w:val="Compact"/>
              <w:spacing w:after="40"/>
              <w:jc w:val="left"/>
            </w:pPr>
            <w:r>
              <w:rPr>
                <w:sz w:val="18"/>
              </w:rPr>
              <w:t xml:space="preserve">RR6.7</w:t>
            </w:r>
          </w:p>
        </w:tc>
      </w:tr>
      <w:tr>
        <w:tc>
          <w:tcPr>
            <w:tcW w:w="2054" w:type="dxa"/>
          </w:tcPr>
          <w:p>
            <w:pPr>
              <w:pStyle w:val="Compact"/>
              <w:spacing w:after="40"/>
              <w:jc w:val="left"/>
            </w:pPr>
            <w:r>
              <w:rPr>
                <w:sz w:val="18"/>
              </w:rPr>
              <w:t xml:space="preserve">Held-back records</w:t>
            </w:r>
          </w:p>
        </w:tc>
        <w:tc>
          <w:tcPr>
            <w:tcW w:w="1261" w:type="dxa"/>
          </w:tcPr>
          <w:p>
            <w:pPr>
              <w:pStyle w:val="Compact"/>
              <w:spacing w:after="40"/>
              <w:jc w:val="left"/>
            </w:pPr>
            <w:r>
              <w:rPr>
                <w:sz w:val="18"/>
              </w:rPr>
              <w:t xml:space="preserve">Format pack</w:t>
            </w:r>
          </w:p>
        </w:tc>
        <w:tc>
          <w:tcPr>
            <w:tcW w:w="2537" w:type="dxa"/>
          </w:tcPr>
          <w:p>
            <w:pPr>
              <w:pStyle w:val="Compact"/>
              <w:spacing w:after="40"/>
              <w:jc w:val="left"/>
            </w:pPr>
            <w:r>
              <w:rPr>
                <w:sz w:val="18"/>
              </w:rPr>
              <w:t xml:space="preserve">ERROR held, WARNING sent and flagged</w:t>
            </w:r>
          </w:p>
        </w:tc>
        <w:tc>
          <w:tcPr>
            <w:tcW w:w="2577" w:type="dxa"/>
          </w:tcPr>
          <w:p>
            <w:pPr>
              <w:pStyle w:val="Compact"/>
              <w:spacing w:after="40"/>
              <w:jc w:val="left"/>
            </w:pPr>
            <w:r>
              <w:rPr>
                <w:sz w:val="18"/>
              </w:rPr>
              <w:t xml:space="preserve">Floor: ERROR never sent and never dropped; a tenant may also hold WARNINGs</w:t>
            </w:r>
          </w:p>
        </w:tc>
        <w:tc>
          <w:tcPr>
            <w:tcW w:w="1209" w:type="dxa"/>
          </w:tcPr>
          <w:p>
            <w:pPr>
              <w:pStyle w:val="Compact"/>
              <w:spacing w:after="40"/>
              <w:jc w:val="left"/>
            </w:pPr>
            <w:r>
              <w:rPr>
                <w:sz w:val="18"/>
              </w:rPr>
              <w:t xml:space="preserve">RR6.7</w:t>
            </w:r>
          </w:p>
        </w:tc>
      </w:tr>
      <w:tr>
        <w:tc>
          <w:tcPr>
            <w:tcW w:w="2054" w:type="dxa"/>
          </w:tcPr>
          <w:p>
            <w:pPr>
              <w:pStyle w:val="Compact"/>
              <w:spacing w:after="40"/>
              <w:jc w:val="left"/>
            </w:pPr>
            <w:r>
              <w:rPr>
                <w:sz w:val="18"/>
              </w:rPr>
              <w:t xml:space="preserve">Auto-include repaired records as</w:t>
            </w:r>
            <w:r>
              <w:rPr>
                <w:sz w:val="18"/>
              </w:rPr>
              <w:t xml:space="preserve"> </w:t>
            </w:r>
            <w:r>
              <w:rPr>
                <w:rStyle w:val="VerbatimChar"/>
                <w:sz w:val="18"/>
              </w:rPr>
              <w:t xml:space="preserve">RR</w:t>
            </w:r>
          </w:p>
        </w:tc>
        <w:tc>
          <w:tcPr>
            <w:tcW w:w="1261" w:type="dxa"/>
          </w:tcPr>
          <w:p>
            <w:pPr>
              <w:pStyle w:val="Compact"/>
              <w:spacing w:after="40"/>
              <w:jc w:val="left"/>
            </w:pPr>
            <w:r>
              <w:rPr>
                <w:sz w:val="18"/>
              </w:rPr>
              <w:t xml:space="preserve">Tenant</w:t>
            </w:r>
          </w:p>
        </w:tc>
        <w:tc>
          <w:tcPr>
            <w:tcW w:w="2537" w:type="dxa"/>
          </w:tcPr>
          <w:p>
            <w:pPr>
              <w:pStyle w:val="Compact"/>
              <w:spacing w:after="40"/>
              <w:jc w:val="left"/>
            </w:pPr>
            <w:r>
              <w:rPr>
                <w:sz w:val="18"/>
              </w:rPr>
              <w:t xml:space="preserve">On</w:t>
            </w:r>
          </w:p>
        </w:tc>
        <w:tc>
          <w:tcPr>
            <w:tcW w:w="2577" w:type="dxa"/>
          </w:tcPr>
          <w:p>
            <w:pPr>
              <w:pStyle w:val="Compact"/>
              <w:spacing w:after="40"/>
              <w:jc w:val="left"/>
            </w:pPr>
            <w:r>
              <w:rPr>
                <w:sz w:val="18"/>
              </w:rPr>
              <w:t xml:space="preserve">Choice</w:t>
            </w:r>
          </w:p>
        </w:tc>
        <w:tc>
          <w:tcPr>
            <w:tcW w:w="1209" w:type="dxa"/>
          </w:tcPr>
          <w:p>
            <w:pPr>
              <w:pStyle w:val="Compact"/>
              <w:spacing w:after="40"/>
              <w:jc w:val="left"/>
            </w:pPr>
            <w:r>
              <w:rPr>
                <w:sz w:val="18"/>
              </w:rPr>
              <w:t xml:space="preserve">RR7.1</w:t>
            </w:r>
          </w:p>
        </w:tc>
      </w:tr>
      <w:tr>
        <w:tc>
          <w:tcPr>
            <w:tcW w:w="2054" w:type="dxa"/>
          </w:tcPr>
          <w:p>
            <w:pPr>
              <w:pStyle w:val="Compact"/>
              <w:spacing w:after="40"/>
              <w:jc w:val="left"/>
            </w:pPr>
            <w:r>
              <w:rPr>
                <w:sz w:val="18"/>
              </w:rPr>
              <w:t xml:space="preserve">Borrower default/DPD alert</w:t>
            </w:r>
          </w:p>
        </w:tc>
        <w:tc>
          <w:tcPr>
            <w:tcW w:w="1261" w:type="dxa"/>
          </w:tcPr>
          <w:p>
            <w:pPr>
              <w:pStyle w:val="Compact"/>
              <w:spacing w:after="40"/>
              <w:jc w:val="left"/>
            </w:pPr>
            <w:r>
              <w:rPr>
                <w:sz w:val="18"/>
              </w:rPr>
              <w:t xml:space="preserve">Tenant</w:t>
            </w:r>
          </w:p>
        </w:tc>
        <w:tc>
          <w:tcPr>
            <w:tcW w:w="2537" w:type="dxa"/>
          </w:tcPr>
          <w:p>
            <w:pPr>
              <w:pStyle w:val="Compact"/>
              <w:spacing w:after="40"/>
              <w:jc w:val="left"/>
            </w:pPr>
            <w:r>
              <w:rPr>
                <w:sz w:val="18"/>
              </w:rPr>
              <w:t xml:space="preserve">SMS and email wherever contact exists; preferred language, else English and Hindi</w:t>
            </w:r>
          </w:p>
        </w:tc>
        <w:tc>
          <w:tcPr>
            <w:tcW w:w="2577" w:type="dxa"/>
          </w:tcPr>
          <w:p>
            <w:pPr>
              <w:pStyle w:val="Compact"/>
              <w:spacing w:after="40"/>
              <w:jc w:val="left"/>
            </w:pPr>
            <w:r>
              <w:rPr>
                <w:sz w:val="18"/>
              </w:rPr>
              <w:t xml:space="preserve">Floor: cannot be switched off; never delays a file</w:t>
            </w:r>
          </w:p>
        </w:tc>
        <w:tc>
          <w:tcPr>
            <w:tcW w:w="1209" w:type="dxa"/>
          </w:tcPr>
          <w:p>
            <w:pPr>
              <w:pStyle w:val="Compact"/>
              <w:spacing w:after="40"/>
              <w:jc w:val="left"/>
            </w:pPr>
            <w:r>
              <w:rPr>
                <w:sz w:val="18"/>
              </w:rPr>
              <w:t xml:space="preserve">CIR 34(1)(i); TRAI</w:t>
            </w:r>
          </w:p>
        </w:tc>
      </w:tr>
      <w:tr>
        <w:tc>
          <w:tcPr>
            <w:tcW w:w="2054" w:type="dxa"/>
          </w:tcPr>
          <w:p>
            <w:pPr>
              <w:pStyle w:val="Compact"/>
              <w:spacing w:after="40"/>
              <w:jc w:val="left"/>
            </w:pPr>
            <w:r>
              <w:rPr>
                <w:sz w:val="18"/>
              </w:rPr>
              <w:t xml:space="preserve">Dispute compensation payout</w:t>
            </w:r>
          </w:p>
        </w:tc>
        <w:tc>
          <w:tcPr>
            <w:tcW w:w="1261" w:type="dxa"/>
          </w:tcPr>
          <w:p>
            <w:pPr>
              <w:pStyle w:val="Compact"/>
              <w:spacing w:after="40"/>
              <w:jc w:val="left"/>
            </w:pPr>
            <w:r>
              <w:rPr>
                <w:sz w:val="18"/>
              </w:rPr>
              <w:t xml:space="preserve">Tenant</w:t>
            </w:r>
          </w:p>
        </w:tc>
        <w:tc>
          <w:tcPr>
            <w:tcW w:w="2537" w:type="dxa"/>
          </w:tcPr>
          <w:p>
            <w:pPr>
              <w:pStyle w:val="Compact"/>
              <w:spacing w:after="40"/>
              <w:jc w:val="left"/>
            </w:pPr>
            <w:r>
              <w:rPr>
                <w:sz w:val="18"/>
              </w:rPr>
              <w:t xml:space="preserve">Auto-computed; payout batch needs a checker</w:t>
            </w:r>
          </w:p>
        </w:tc>
        <w:tc>
          <w:tcPr>
            <w:tcW w:w="2577" w:type="dxa"/>
          </w:tcPr>
          <w:p>
            <w:pPr>
              <w:pStyle w:val="Compact"/>
              <w:spacing w:after="40"/>
              <w:jc w:val="left"/>
            </w:pPr>
            <w:r>
              <w:rPr>
                <w:sz w:val="18"/>
              </w:rPr>
              <w:t xml:space="preserve">Floor: pay within 5 working days of resolution</w:t>
            </w:r>
          </w:p>
        </w:tc>
        <w:tc>
          <w:tcPr>
            <w:tcW w:w="1209" w:type="dxa"/>
          </w:tcPr>
          <w:p>
            <w:pPr>
              <w:pStyle w:val="Compact"/>
              <w:spacing w:after="40"/>
              <w:jc w:val="left"/>
            </w:pPr>
            <w:r>
              <w:rPr>
                <w:sz w:val="18"/>
              </w:rPr>
              <w:t xml:space="preserve">CIR 35(9)</w:t>
            </w:r>
          </w:p>
        </w:tc>
      </w:tr>
      <w:tr>
        <w:tc>
          <w:tcPr>
            <w:tcW w:w="2054" w:type="dxa"/>
          </w:tcPr>
          <w:p>
            <w:pPr>
              <w:pStyle w:val="Compact"/>
              <w:spacing w:after="40"/>
              <w:jc w:val="left"/>
            </w:pPr>
            <w:r>
              <w:rPr>
                <w:sz w:val="18"/>
              </w:rPr>
              <w:t xml:space="preserve">Rejection ageing escalation</w:t>
            </w:r>
          </w:p>
        </w:tc>
        <w:tc>
          <w:tcPr>
            <w:tcW w:w="1261" w:type="dxa"/>
          </w:tcPr>
          <w:p>
            <w:pPr>
              <w:pStyle w:val="Compact"/>
              <w:spacing w:after="40"/>
              <w:jc w:val="left"/>
            </w:pPr>
            <w:r>
              <w:rPr>
                <w:sz w:val="18"/>
              </w:rPr>
              <w:t xml:space="preserve">Tenant</w:t>
            </w:r>
          </w:p>
        </w:tc>
        <w:tc>
          <w:tcPr>
            <w:tcW w:w="2537" w:type="dxa"/>
          </w:tcPr>
          <w:p>
            <w:pPr>
              <w:pStyle w:val="Compact"/>
              <w:spacing w:after="40"/>
              <w:jc w:val="left"/>
            </w:pPr>
            <w:r>
              <w:rPr>
                <w:sz w:val="18"/>
              </w:rPr>
              <w:t xml:space="preserve">Nodal officer after one cycle, CCO after two</w:t>
            </w:r>
          </w:p>
        </w:tc>
        <w:tc>
          <w:tcPr>
            <w:tcW w:w="2577" w:type="dxa"/>
          </w:tcPr>
          <w:p>
            <w:pPr>
              <w:pStyle w:val="Compact"/>
              <w:spacing w:after="40"/>
              <w:jc w:val="left"/>
            </w:pPr>
            <w:r>
              <w:rPr>
                <w:sz w:val="18"/>
              </w:rPr>
              <w:t xml:space="preserve">Choice (may tighten)</w:t>
            </w:r>
          </w:p>
        </w:tc>
        <w:tc>
          <w:tcPr>
            <w:tcW w:w="1209" w:type="dxa"/>
          </w:tcPr>
          <w:p>
            <w:pPr>
              <w:pStyle w:val="Compact"/>
              <w:spacing w:after="40"/>
              <w:jc w:val="left"/>
            </w:pPr>
            <w:r>
              <w:rPr>
                <w:sz w:val="18"/>
              </w:rPr>
              <w:t xml:space="preserve">RR7.1</w:t>
            </w:r>
          </w:p>
        </w:tc>
      </w:tr>
      <w:tr>
        <w:tc>
          <w:tcPr>
            <w:tcW w:w="2054" w:type="dxa"/>
          </w:tcPr>
          <w:p>
            <w:pPr>
              <w:pStyle w:val="Compact"/>
              <w:spacing w:after="40"/>
              <w:jc w:val="left"/>
            </w:pPr>
            <w:r>
              <w:rPr>
                <w:sz w:val="18"/>
              </w:rPr>
              <w:t xml:space="preserve">DQI alert threshold</w:t>
            </w:r>
          </w:p>
        </w:tc>
        <w:tc>
          <w:tcPr>
            <w:tcW w:w="1261" w:type="dxa"/>
          </w:tcPr>
          <w:p>
            <w:pPr>
              <w:pStyle w:val="Compact"/>
              <w:spacing w:after="40"/>
              <w:jc w:val="left"/>
            </w:pPr>
            <w:r>
              <w:rPr>
                <w:sz w:val="18"/>
              </w:rPr>
              <w:t xml:space="preserve">Format</w:t>
            </w:r>
          </w:p>
        </w:tc>
        <w:tc>
          <w:tcPr>
            <w:tcW w:w="2537" w:type="dxa"/>
          </w:tcPr>
          <w:p>
            <w:pPr>
              <w:pStyle w:val="Compact"/>
              <w:spacing w:after="40"/>
              <w:jc w:val="left"/>
            </w:pPr>
            <w:r>
              <w:rPr>
                <w:sz w:val="18"/>
              </w:rPr>
              <w:t xml:space="preserve">File DQI below the tenant target or 5 points below the trailing 3-cycle average</w:t>
            </w:r>
          </w:p>
        </w:tc>
        <w:tc>
          <w:tcPr>
            <w:tcW w:w="2577" w:type="dxa"/>
          </w:tcPr>
          <w:p>
            <w:pPr>
              <w:pStyle w:val="Compact"/>
              <w:spacing w:after="40"/>
              <w:jc w:val="left"/>
            </w:pPr>
            <w:r>
              <w:rPr>
                <w:sz w:val="18"/>
              </w:rPr>
              <w:t xml:space="preserve">Choice</w:t>
            </w:r>
          </w:p>
        </w:tc>
        <w:tc>
          <w:tcPr>
            <w:tcW w:w="1209" w:type="dxa"/>
          </w:tcPr>
          <w:p>
            <w:pPr>
              <w:pStyle w:val="Compact"/>
              <w:spacing w:after="40"/>
              <w:jc w:val="left"/>
            </w:pPr>
            <w:r>
              <w:rPr>
                <w:sz w:val="18"/>
              </w:rPr>
              <w:t xml:space="preserve">[REC]</w:t>
            </w:r>
          </w:p>
        </w:tc>
      </w:tr>
    </w:tbl>
    <w:bookmarkEnd w:id="280"/>
    <w:bookmarkStart w:id="281" w:name="rr9.2-menu-and-screens"/>
    <w:p>
      <w:pPr>
        <w:pStyle w:val="Heading3"/>
      </w:pPr>
      <w:r>
        <w:t xml:space="preserve">RR9.2 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77"/>
        <w:gridCol w:w="2598"/>
        <w:gridCol w:w="2557"/>
        <w:gridCol w:w="1812"/>
        <w:gridCol w:w="1494"/>
      </w:tblGrid>
      <w:tr>
        <w:trPr>
          <w:tblHeader w:val="true"/>
          <w:tblHeader w:val="true"/>
        </w:trPr>
        <w:tc>
          <w:tcPr>
            <w:tcW w:w="1177" w:type="dxa"/>
            <w:shd w:val="clear" w:color="auto" w:fill="1F3A5F"/>
          </w:tcPr>
          <w:p>
            <w:pPr>
              <w:pStyle w:val="Compact"/>
              <w:spacing w:after="40"/>
              <w:jc w:val="left"/>
            </w:pPr>
            <w:r>
              <w:rPr>
                <w:b/>
                <w:color w:val="FFFFFF"/>
                <w:sz w:val="18"/>
              </w:rPr>
              <w:t xml:space="preserve">Path</w:t>
            </w:r>
          </w:p>
        </w:tc>
        <w:tc>
          <w:tcPr>
            <w:tcW w:w="2598" w:type="dxa"/>
            <w:shd w:val="clear" w:color="auto" w:fill="1F3A5F"/>
          </w:tcPr>
          <w:p>
            <w:pPr>
              <w:pStyle w:val="Compact"/>
              <w:spacing w:after="40"/>
              <w:jc w:val="left"/>
            </w:pPr>
            <w:r>
              <w:rPr>
                <w:b/>
                <w:color w:val="FFFFFF"/>
                <w:sz w:val="18"/>
              </w:rPr>
              <w:t xml:space="preserve">Screen</w:t>
            </w:r>
          </w:p>
        </w:tc>
        <w:tc>
          <w:tcPr>
            <w:tcW w:w="2557" w:type="dxa"/>
            <w:shd w:val="clear" w:color="auto" w:fill="1F3A5F"/>
          </w:tcPr>
          <w:p>
            <w:pPr>
              <w:pStyle w:val="Compact"/>
              <w:spacing w:after="40"/>
              <w:jc w:val="left"/>
            </w:pPr>
            <w:r>
              <w:rPr>
                <w:b/>
                <w:color w:val="FFFFFF"/>
                <w:sz w:val="18"/>
              </w:rPr>
              <w:t xml:space="preserve">Key actions</w:t>
            </w:r>
          </w:p>
        </w:tc>
        <w:tc>
          <w:tcPr>
            <w:tcW w:w="1812" w:type="dxa"/>
            <w:shd w:val="clear" w:color="auto" w:fill="1F3A5F"/>
          </w:tcPr>
          <w:p>
            <w:pPr>
              <w:pStyle w:val="Compact"/>
              <w:spacing w:after="40"/>
              <w:jc w:val="left"/>
            </w:pPr>
            <w:r>
              <w:rPr>
                <w:b/>
                <w:color w:val="FFFFFF"/>
                <w:sz w:val="18"/>
              </w:rPr>
              <w:t xml:space="preserve">Filters, bulk actions and exports</w:t>
            </w:r>
          </w:p>
        </w:tc>
        <w:tc>
          <w:tcPr>
            <w:tcW w:w="1494" w:type="dxa"/>
            <w:shd w:val="clear" w:color="auto" w:fill="1F3A5F"/>
          </w:tcPr>
          <w:p>
            <w:pPr>
              <w:pStyle w:val="Compact"/>
              <w:spacing w:after="40"/>
              <w:jc w:val="left"/>
            </w:pPr>
            <w:r>
              <w:rPr>
                <w:b/>
                <w:color w:val="FFFFFF"/>
                <w:sz w:val="18"/>
              </w:rPr>
              <w:t xml:space="preserve">Visible to</w:t>
            </w:r>
          </w:p>
        </w:tc>
      </w:tr>
      <w:tr>
        <w:tc>
          <w:tcPr>
            <w:tcW w:w="1177" w:type="dxa"/>
          </w:tcPr>
          <w:p>
            <w:pPr>
              <w:pStyle w:val="Compact"/>
              <w:spacing w:after="40"/>
              <w:jc w:val="left"/>
            </w:pPr>
            <w:r>
              <w:rPr>
                <w:rStyle w:val="VerbatimChar"/>
                <w:sz w:val="18"/>
              </w:rPr>
              <w:t xml:space="preserve">Compliance › Returns › Calendar</w:t>
            </w:r>
          </w:p>
        </w:tc>
        <w:tc>
          <w:tcPr>
            <w:tcW w:w="2598" w:type="dxa"/>
          </w:tcPr>
          <w:p>
            <w:pPr>
              <w:pStyle w:val="Compact"/>
              <w:spacing w:after="40"/>
              <w:jc w:val="left"/>
            </w:pPr>
            <w:r>
              <w:rPr>
                <w:sz w:val="18"/>
              </w:rPr>
              <w:t xml:space="preserve">Month and list views of due instances with a RAG status per entity</w:t>
            </w:r>
          </w:p>
        </w:tc>
        <w:tc>
          <w:tcPr>
            <w:tcW w:w="2557" w:type="dxa"/>
          </w:tcPr>
          <w:p>
            <w:pPr>
              <w:pStyle w:val="Compact"/>
              <w:spacing w:after="40"/>
              <w:jc w:val="left"/>
            </w:pPr>
            <w:r>
              <w:rPr>
                <w:sz w:val="18"/>
              </w:rPr>
              <w:t xml:space="preserve">Open run; assign owner; mark not applicable (CCO approval)</w:t>
            </w:r>
          </w:p>
        </w:tc>
        <w:tc>
          <w:tcPr>
            <w:tcW w:w="1812" w:type="dxa"/>
          </w:tcPr>
          <w:p>
            <w:pPr>
              <w:pStyle w:val="Compact"/>
              <w:spacing w:after="40"/>
              <w:jc w:val="left"/>
            </w:pPr>
            <w:r>
              <w:rPr>
                <w:sz w:val="18"/>
              </w:rPr>
              <w:t xml:space="preserve">Entity, regulator, portal, family, owner, state, overdue; bulk assign owner; export XLSX and ICS; saved views</w:t>
            </w:r>
          </w:p>
        </w:tc>
        <w:tc>
          <w:tcPr>
            <w:tcW w:w="1494" w:type="dxa"/>
          </w:tcPr>
          <w:p>
            <w:pPr>
              <w:pStyle w:val="Compact"/>
              <w:spacing w:after="40"/>
              <w:jc w:val="left"/>
            </w:pPr>
            <w:r>
              <w:rPr>
                <w:sz w:val="18"/>
              </w:rPr>
              <w:t xml:space="preserve">Return makers (own families), checkers, signatories, CCO</w:t>
            </w:r>
          </w:p>
        </w:tc>
      </w:tr>
      <w:tr>
        <w:tc>
          <w:tcPr>
            <w:tcW w:w="1177" w:type="dxa"/>
          </w:tcPr>
          <w:p>
            <w:pPr>
              <w:pStyle w:val="Compact"/>
              <w:spacing w:after="40"/>
              <w:jc w:val="left"/>
            </w:pPr>
            <w:r>
              <w:rPr>
                <w:rStyle w:val="VerbatimChar"/>
                <w:sz w:val="18"/>
              </w:rPr>
              <w:t xml:space="preserve">Compliance › Returns › Run</w:t>
            </w:r>
          </w:p>
        </w:tc>
        <w:tc>
          <w:tcPr>
            <w:tcW w:w="2598" w:type="dxa"/>
          </w:tcPr>
          <w:p>
            <w:pPr>
              <w:pStyle w:val="Compact"/>
              <w:spacing w:after="40"/>
              <w:jc w:val="left"/>
            </w:pPr>
            <w:r>
              <w:rPr>
                <w:sz w:val="18"/>
              </w:rPr>
              <w:t xml:space="preserve">Detail with an RR3.1 stepper and tabs: snapshot, validation (rule ID, REQ-ID, cell, explain-why text, fix link), reconciliation, lineage drill-down, approvals, package, upload checklist, acknowledgement, revisions, variances</w:t>
            </w:r>
          </w:p>
        </w:tc>
        <w:tc>
          <w:tcPr>
            <w:tcW w:w="2557" w:type="dxa"/>
          </w:tcPr>
          <w:p>
            <w:pPr>
              <w:pStyle w:val="Compact"/>
              <w:spacing w:after="40"/>
              <w:jc w:val="left"/>
            </w:pPr>
            <w:r>
              <w:rPr>
                <w:sz w:val="18"/>
              </w:rPr>
              <w:t xml:space="preserve">Only the actions valid for the current state: freeze, generate, validate, reconcile, submit, approve or reject with reason, sign off (step-up), download package, record upload, upload acknowledgement, request revision</w:t>
            </w:r>
          </w:p>
        </w:tc>
        <w:tc>
          <w:tcPr>
            <w:tcW w:w="1812" w:type="dxa"/>
          </w:tcPr>
          <w:p>
            <w:pPr>
              <w:pStyle w:val="Compact"/>
              <w:spacing w:after="40"/>
              <w:jc w:val="left"/>
            </w:pPr>
            <w:r>
              <w:rPr>
                <w:sz w:val="18"/>
              </w:rPr>
              <w:t xml:space="preserve">Export the evidence pack (ZIP per RR5.2)</w:t>
            </w:r>
          </w:p>
        </w:tc>
        <w:tc>
          <w:tcPr>
            <w:tcW w:w="1494" w:type="dxa"/>
          </w:tcPr>
          <w:p>
            <w:pPr>
              <w:pStyle w:val="Compact"/>
              <w:spacing w:after="40"/>
              <w:jc w:val="left"/>
            </w:pPr>
            <w:r>
              <w:rPr>
                <w:sz w:val="18"/>
              </w:rPr>
              <w:t xml:space="preserve">As above; auditors and supervisors read-only (workspaces L, V, W)</w:t>
            </w:r>
          </w:p>
        </w:tc>
      </w:tr>
      <w:tr>
        <w:tc>
          <w:tcPr>
            <w:tcW w:w="1177" w:type="dxa"/>
          </w:tcPr>
          <w:p>
            <w:pPr>
              <w:pStyle w:val="Compact"/>
              <w:spacing w:after="40"/>
              <w:jc w:val="left"/>
            </w:pPr>
            <w:r>
              <w:rPr>
                <w:rStyle w:val="VerbatimChar"/>
                <w:sz w:val="18"/>
              </w:rPr>
              <w:t xml:space="preserve">Compliance › Returns › Approvals</w:t>
            </w:r>
          </w:p>
        </w:tc>
        <w:tc>
          <w:tcPr>
            <w:tcW w:w="2598" w:type="dxa"/>
          </w:tcPr>
          <w:p>
            <w:pPr>
              <w:pStyle w:val="Compact"/>
              <w:spacing w:after="40"/>
              <w:jc w:val="left"/>
            </w:pPr>
            <w:r>
              <w:rPr>
                <w:sz w:val="18"/>
              </w:rPr>
              <w:t xml:space="preserve">My checker and signatory queue with SLA countdown</w:t>
            </w:r>
          </w:p>
        </w:tc>
        <w:tc>
          <w:tcPr>
            <w:tcW w:w="2557" w:type="dxa"/>
          </w:tcPr>
          <w:p>
            <w:pPr>
              <w:pStyle w:val="Compact"/>
              <w:spacing w:after="40"/>
              <w:jc w:val="left"/>
            </w:pPr>
            <w:r>
              <w:rPr>
                <w:sz w:val="18"/>
              </w:rPr>
              <w:t xml:space="preserve">Approve, reject, open run</w:t>
            </w:r>
          </w:p>
        </w:tc>
        <w:tc>
          <w:tcPr>
            <w:tcW w:w="1812" w:type="dxa"/>
          </w:tcPr>
          <w:p>
            <w:pPr>
              <w:pStyle w:val="Compact"/>
              <w:spacing w:after="40"/>
              <w:jc w:val="left"/>
            </w:pPr>
            <w:r>
              <w:rPr>
                <w:sz w:val="18"/>
              </w:rPr>
              <w:t xml:space="preserve">Bulk accept is offered only for NIL returns; sign-off is always one run at a time</w:t>
            </w:r>
          </w:p>
        </w:tc>
        <w:tc>
          <w:tcPr>
            <w:tcW w:w="1494" w:type="dxa"/>
          </w:tcPr>
          <w:p>
            <w:pPr>
              <w:pStyle w:val="Compact"/>
              <w:spacing w:after="40"/>
              <w:jc w:val="left"/>
            </w:pPr>
            <w:r>
              <w:rPr>
                <w:sz w:val="18"/>
              </w:rPr>
              <w:t xml:space="preserve">Checkers, signatories</w:t>
            </w:r>
          </w:p>
        </w:tc>
      </w:tr>
      <w:tr>
        <w:tc>
          <w:tcPr>
            <w:tcW w:w="1177" w:type="dxa"/>
          </w:tcPr>
          <w:p>
            <w:pPr>
              <w:pStyle w:val="Compact"/>
              <w:spacing w:after="40"/>
              <w:jc w:val="left"/>
            </w:pPr>
            <w:r>
              <w:rPr>
                <w:rStyle w:val="VerbatimChar"/>
                <w:sz w:val="18"/>
              </w:rPr>
              <w:t xml:space="preserve">Compliance › Returns › Registry</w:t>
            </w:r>
          </w:p>
        </w:tc>
        <w:tc>
          <w:tcPr>
            <w:tcW w:w="2598" w:type="dxa"/>
          </w:tcPr>
          <w:p>
            <w:pPr>
              <w:pStyle w:val="Compact"/>
              <w:spacing w:after="40"/>
              <w:jc w:val="left"/>
            </w:pPr>
            <w:r>
              <w:rPr>
                <w:sz w:val="18"/>
              </w:rPr>
              <w:t xml:space="preserve">Definitions, versions, applicability matrix per entity, variance register, unverified rows</w:t>
            </w:r>
          </w:p>
        </w:tc>
        <w:tc>
          <w:tcPr>
            <w:tcW w:w="2557" w:type="dxa"/>
          </w:tcPr>
          <w:p>
            <w:pPr>
              <w:pStyle w:val="Compact"/>
              <w:spacing w:after="40"/>
              <w:jc w:val="left"/>
            </w:pPr>
            <w:r>
              <w:rPr>
                <w:sz w:val="18"/>
              </w:rPr>
              <w:t xml:space="preserve">New-version wizard (upload template → hash → cell-map diff → independent reviewer approval); verify a row; record a variance</w:t>
            </w:r>
          </w:p>
        </w:tc>
        <w:tc>
          <w:tcPr>
            <w:tcW w:w="1812" w:type="dxa"/>
          </w:tcPr>
          <w:p>
            <w:pPr>
              <w:pStyle w:val="Compact"/>
              <w:spacing w:after="40"/>
              <w:jc w:val="left"/>
            </w:pPr>
            <w:r>
              <w:rPr>
                <w:sz w:val="18"/>
              </w:rPr>
              <w:t xml:space="preserve">Export the applicability matrix (PDF, XLSX) for the CCO and auditors</w:t>
            </w:r>
          </w:p>
        </w:tc>
        <w:tc>
          <w:tcPr>
            <w:tcW w:w="1494" w:type="dxa"/>
          </w:tcPr>
          <w:p>
            <w:pPr>
              <w:pStyle w:val="Compact"/>
              <w:spacing w:after="40"/>
              <w:jc w:val="left"/>
            </w:pPr>
            <w:r>
              <w:rPr>
                <w:sz w:val="18"/>
              </w:rPr>
              <w:t xml:space="preserve">Compliance administrator, CCO; others read-only</w:t>
            </w:r>
          </w:p>
        </w:tc>
      </w:tr>
      <w:tr>
        <w:tc>
          <w:tcPr>
            <w:tcW w:w="1177" w:type="dxa"/>
          </w:tcPr>
          <w:p>
            <w:pPr>
              <w:pStyle w:val="Compact"/>
              <w:spacing w:after="40"/>
              <w:jc w:val="left"/>
            </w:pPr>
            <w:r>
              <w:rPr>
                <w:rStyle w:val="VerbatimChar"/>
                <w:sz w:val="18"/>
              </w:rPr>
              <w:t xml:space="preserve">Compliance › Returns › Data dictionary</w:t>
            </w:r>
          </w:p>
        </w:tc>
        <w:tc>
          <w:tcPr>
            <w:tcW w:w="2598" w:type="dxa"/>
          </w:tcPr>
          <w:p>
            <w:pPr>
              <w:pStyle w:val="Compact"/>
              <w:spacing w:after="40"/>
              <w:jc w:val="left"/>
            </w:pPr>
            <w:r>
              <w:rPr>
                <w:sz w:val="18"/>
              </w:rPr>
              <w:t xml:space="preserve">Elements, cell maps, lineage, DQ metrics and issues</w:t>
            </w:r>
          </w:p>
        </w:tc>
        <w:tc>
          <w:tcPr>
            <w:tcW w:w="2557" w:type="dxa"/>
          </w:tcPr>
          <w:p>
            <w:pPr>
              <w:pStyle w:val="Compact"/>
              <w:spacing w:after="40"/>
              <w:jc w:val="left"/>
            </w:pPr>
            <w:r>
              <w:rPr>
                <w:sz w:val="18"/>
              </w:rPr>
              <w:t xml:space="preserve">Propose element or map change (maker-checker); raise DQ issue</w:t>
            </w:r>
          </w:p>
        </w:tc>
        <w:tc>
          <w:tcPr>
            <w:tcW w:w="1812" w:type="dxa"/>
          </w:tcPr>
          <w:p>
            <w:pPr>
              <w:pStyle w:val="Compact"/>
              <w:spacing w:after="40"/>
              <w:jc w:val="left"/>
            </w:pPr>
            <w:r>
              <w:rPr>
                <w:sz w:val="18"/>
              </w:rPr>
              <w:t xml:space="preserve">Filter by return, owner, DQ status; export</w:t>
            </w:r>
          </w:p>
        </w:tc>
        <w:tc>
          <w:tcPr>
            <w:tcW w:w="1494" w:type="dxa"/>
          </w:tcPr>
          <w:p>
            <w:pPr>
              <w:pStyle w:val="Compact"/>
              <w:spacing w:after="40"/>
              <w:jc w:val="left"/>
            </w:pPr>
            <w:r>
              <w:rPr>
                <w:sz w:val="18"/>
              </w:rPr>
              <w:t xml:space="preserve">Data owners, compliance administrator</w:t>
            </w:r>
          </w:p>
        </w:tc>
      </w:tr>
      <w:tr>
        <w:tc>
          <w:tcPr>
            <w:tcW w:w="1177" w:type="dxa"/>
          </w:tcPr>
          <w:p>
            <w:pPr>
              <w:pStyle w:val="Compact"/>
              <w:spacing w:after="40"/>
              <w:jc w:val="left"/>
            </w:pPr>
            <w:r>
              <w:rPr>
                <w:rStyle w:val="VerbatimChar"/>
                <w:sz w:val="18"/>
              </w:rPr>
              <w:t xml:space="preserve">Compliance › Returns › Portal filings</w:t>
            </w:r>
          </w:p>
        </w:tc>
        <w:tc>
          <w:tcPr>
            <w:tcW w:w="2598" w:type="dxa"/>
          </w:tcPr>
          <w:p>
            <w:pPr>
              <w:pStyle w:val="Compact"/>
              <w:spacing w:after="40"/>
              <w:jc w:val="left"/>
            </w:pPr>
            <w:r>
              <w:rPr>
                <w:sz w:val="18"/>
              </w:rPr>
              <w:t xml:space="preserve">Queues for DAKSH items, PRAVAAH applications, FIU-IND batches, CKYCR, CERSAI, SFT and FATCA/CRS</w:t>
            </w:r>
          </w:p>
        </w:tc>
        <w:tc>
          <w:tcPr>
            <w:tcW w:w="2557" w:type="dxa"/>
          </w:tcPr>
          <w:p>
            <w:pPr>
              <w:pStyle w:val="Compact"/>
              <w:spacing w:after="40"/>
              <w:jc w:val="left"/>
            </w:pPr>
            <w:r>
              <w:rPr>
                <w:sz w:val="18"/>
              </w:rPr>
              <w:t xml:space="preserve">Per-portal guided checklist; acknowledgement capture</w:t>
            </w:r>
          </w:p>
        </w:tc>
        <w:tc>
          <w:tcPr>
            <w:tcW w:w="1812" w:type="dxa"/>
          </w:tcPr>
          <w:p>
            <w:pPr>
              <w:pStyle w:val="Compact"/>
              <w:spacing w:after="40"/>
              <w:jc w:val="left"/>
            </w:pPr>
            <w:r>
              <w:rPr>
                <w:sz w:val="18"/>
              </w:rPr>
              <w:t xml:space="preserve">Due, state, owner; export</w:t>
            </w:r>
          </w:p>
        </w:tc>
        <w:tc>
          <w:tcPr>
            <w:tcW w:w="1494" w:type="dxa"/>
          </w:tcPr>
          <w:p>
            <w:pPr>
              <w:pStyle w:val="Compact"/>
              <w:spacing w:after="40"/>
              <w:jc w:val="left"/>
            </w:pPr>
            <w:r>
              <w:rPr>
                <w:sz w:val="18"/>
              </w:rPr>
              <w:t xml:space="preserve">Per portal role; FIU-IND items only for the AML team and Principal Officer</w:t>
            </w:r>
          </w:p>
        </w:tc>
      </w:tr>
      <w:tr>
        <w:tc>
          <w:tcPr>
            <w:tcW w:w="1177" w:type="dxa"/>
          </w:tcPr>
          <w:p>
            <w:pPr>
              <w:pStyle w:val="Compact"/>
              <w:spacing w:after="40"/>
              <w:jc w:val="left"/>
            </w:pPr>
            <w:r>
              <w:rPr>
                <w:rStyle w:val="VerbatimChar"/>
                <w:sz w:val="18"/>
              </w:rPr>
              <w:t xml:space="preserve">Compliance › Returns › RBI queries</w:t>
            </w:r>
          </w:p>
        </w:tc>
        <w:tc>
          <w:tcPr>
            <w:tcW w:w="2598" w:type="dxa"/>
          </w:tcPr>
          <w:p>
            <w:pPr>
              <w:pStyle w:val="Compact"/>
              <w:spacing w:after="40"/>
              <w:jc w:val="left"/>
            </w:pPr>
            <w:r>
              <w:rPr>
                <w:rStyle w:val="VerbatimChar"/>
                <w:sz w:val="18"/>
              </w:rPr>
              <w:t xml:space="preserve">supervisory_item</w:t>
            </w:r>
            <w:r>
              <w:rPr>
                <w:sz w:val="18"/>
              </w:rPr>
              <w:t xml:space="preserve"> </w:t>
            </w:r>
            <w:r>
              <w:rPr>
                <w:sz w:val="18"/>
              </w:rPr>
              <w:t xml:space="preserve">register and revision assessments</w:t>
            </w:r>
          </w:p>
        </w:tc>
        <w:tc>
          <w:tcPr>
            <w:tcW w:w="2557" w:type="dxa"/>
          </w:tcPr>
          <w:p>
            <w:pPr>
              <w:pStyle w:val="Compact"/>
              <w:spacing w:after="40"/>
              <w:jc w:val="left"/>
            </w:pPr>
            <w:r>
              <w:rPr>
                <w:sz w:val="18"/>
              </w:rPr>
              <w:t xml:space="preserve">Draft response, link returns, decide</w:t>
            </w:r>
            <w:r>
              <w:rPr>
                <w:sz w:val="18"/>
              </w:rPr>
              <w:t xml:space="preserve"> </w:t>
            </w:r>
            <w:r>
              <w:rPr>
                <w:rStyle w:val="VerbatimChar"/>
                <w:sz w:val="18"/>
              </w:rPr>
              <w:t xml:space="preserve">REVISE</w:t>
            </w:r>
            <w:r>
              <w:rPr>
                <w:sz w:val="18"/>
              </w:rPr>
              <w:t xml:space="preserve"> </w:t>
            </w:r>
            <w:r>
              <w:rPr>
                <w:sz w:val="18"/>
              </w:rPr>
              <w:t xml:space="preserve">or</w:t>
            </w:r>
            <w:r>
              <w:rPr>
                <w:sz w:val="18"/>
              </w:rPr>
              <w:t xml:space="preserve"> </w:t>
            </w:r>
            <w:r>
              <w:rPr>
                <w:rStyle w:val="VerbatimChar"/>
                <w:sz w:val="18"/>
              </w:rPr>
              <w:t xml:space="preserve">NO_REVISION</w:t>
            </w:r>
            <w:r>
              <w:rPr>
                <w:sz w:val="18"/>
              </w:rPr>
              <w:t xml:space="preserve"> </w:t>
            </w:r>
            <w:r>
              <w:rPr>
                <w:sz w:val="18"/>
              </w:rPr>
              <w:t xml:space="preserve">(CCO)</w:t>
            </w:r>
          </w:p>
        </w:tc>
        <w:tc>
          <w:tcPr>
            <w:tcW w:w="1812" w:type="dxa"/>
          </w:tcPr>
          <w:p>
            <w:pPr>
              <w:pStyle w:val="Compact"/>
              <w:spacing w:after="40"/>
              <w:jc w:val="left"/>
            </w:pPr>
            <w:r>
              <w:rPr>
                <w:sz w:val="18"/>
              </w:rPr>
              <w:t xml:space="preserve">Source, due, owner, state; export</w:t>
            </w:r>
          </w:p>
        </w:tc>
        <w:tc>
          <w:tcPr>
            <w:tcW w:w="1494" w:type="dxa"/>
          </w:tcPr>
          <w:p>
            <w:pPr>
              <w:pStyle w:val="Compact"/>
              <w:spacing w:after="40"/>
              <w:jc w:val="left"/>
            </w:pPr>
            <w:r>
              <w:rPr>
                <w:sz w:val="18"/>
              </w:rPr>
              <w:t xml:space="preserve">Compliance, CCO</w:t>
            </w:r>
          </w:p>
        </w:tc>
      </w:tr>
      <w:tr>
        <w:tc>
          <w:tcPr>
            <w:tcW w:w="1177" w:type="dxa"/>
          </w:tcPr>
          <w:p>
            <w:pPr>
              <w:pStyle w:val="Compact"/>
              <w:spacing w:after="40"/>
              <w:jc w:val="left"/>
            </w:pPr>
            <w:r>
              <w:rPr>
                <w:rStyle w:val="VerbatimChar"/>
                <w:sz w:val="18"/>
              </w:rPr>
              <w:t xml:space="preserve">Compliance › Returns › Dashboard</w:t>
            </w:r>
          </w:p>
        </w:tc>
        <w:tc>
          <w:tcPr>
            <w:tcW w:w="2598" w:type="dxa"/>
          </w:tcPr>
          <w:p>
            <w:pPr>
              <w:pStyle w:val="Compact"/>
              <w:spacing w:after="40"/>
              <w:jc w:val="left"/>
            </w:pPr>
            <w:r>
              <w:rPr>
                <w:sz w:val="18"/>
              </w:rPr>
              <w:t xml:space="preserve">On-time rate, overdue, next 7 days, open variances, revisions by reason, DQ trend</w:t>
            </w:r>
          </w:p>
        </w:tc>
        <w:tc>
          <w:tcPr>
            <w:tcW w:w="2557" w:type="dxa"/>
          </w:tcPr>
          <w:p>
            <w:pPr>
              <w:pStyle w:val="Compact"/>
              <w:spacing w:after="40"/>
              <w:jc w:val="left"/>
            </w:pPr>
            <w:r>
              <w:rPr>
                <w:sz w:val="18"/>
              </w:rPr>
              <w:t xml:space="preserve">Drill to runs</w:t>
            </w:r>
          </w:p>
        </w:tc>
        <w:tc>
          <w:tcPr>
            <w:tcW w:w="1812" w:type="dxa"/>
          </w:tcPr>
          <w:p>
            <w:pPr>
              <w:pStyle w:val="Compact"/>
              <w:spacing w:after="40"/>
              <w:jc w:val="left"/>
            </w:pPr>
            <w:r>
              <w:rPr>
                <w:sz w:val="18"/>
              </w:rPr>
              <w:t xml:space="preserve">Period, entity; export PDF for the Board pack</w:t>
            </w:r>
          </w:p>
        </w:tc>
        <w:tc>
          <w:tcPr>
            <w:tcW w:w="1494" w:type="dxa"/>
          </w:tcPr>
          <w:p>
            <w:pPr>
              <w:pStyle w:val="Compact"/>
              <w:spacing w:after="40"/>
              <w:jc w:val="left"/>
            </w:pPr>
            <w:r>
              <w:rPr>
                <w:sz w:val="18"/>
              </w:rPr>
              <w:t xml:space="preserve">CCO, management (workspace M)</w:t>
            </w:r>
          </w:p>
        </w:tc>
      </w:tr>
      <w:tr>
        <w:tc>
          <w:tcPr>
            <w:tcW w:w="1177" w:type="dxa"/>
          </w:tcPr>
          <w:p>
            <w:pPr>
              <w:pStyle w:val="Compact"/>
              <w:spacing w:after="40"/>
              <w:jc w:val="left"/>
            </w:pPr>
            <w:r>
              <w:rPr>
                <w:rStyle w:val="VerbatimChar"/>
                <w:sz w:val="18"/>
              </w:rPr>
              <w:t xml:space="preserve">Compliance › Credit Bureaus › Cycles</w:t>
            </w:r>
          </w:p>
        </w:tc>
        <w:tc>
          <w:tcPr>
            <w:tcW w:w="2598" w:type="dxa"/>
          </w:tcPr>
          <w:p>
            <w:pPr>
              <w:pStyle w:val="Compact"/>
              <w:spacing w:after="40"/>
              <w:jc w:val="left"/>
            </w:pPr>
            <w:r>
              <w:rPr>
                <w:sz w:val="18"/>
              </w:rPr>
              <w:t xml:space="preserve">Board of cycles by CIC, format and reference date with state, due date and counts</w:t>
            </w:r>
          </w:p>
        </w:tc>
        <w:tc>
          <w:tcPr>
            <w:tcW w:w="2557" w:type="dxa"/>
          </w:tcPr>
          <w:p>
            <w:pPr>
              <w:pStyle w:val="Compact"/>
              <w:spacing w:after="40"/>
              <w:jc w:val="left"/>
            </w:pPr>
            <w:r>
              <w:rPr>
                <w:sz w:val="18"/>
              </w:rPr>
              <w:t xml:space="preserve">Freeze, build, approve (nodal officer), record transmission, view acknowledgement</w:t>
            </w:r>
          </w:p>
        </w:tc>
        <w:tc>
          <w:tcPr>
            <w:tcW w:w="1812" w:type="dxa"/>
          </w:tcPr>
          <w:p>
            <w:pPr>
              <w:pStyle w:val="Compact"/>
              <w:spacing w:after="40"/>
              <w:jc w:val="left"/>
            </w:pPr>
            <w:r>
              <w:rPr>
                <w:sz w:val="18"/>
              </w:rPr>
              <w:t xml:space="preserve">CIC, format, cycle code, state, late; export</w:t>
            </w:r>
          </w:p>
        </w:tc>
        <w:tc>
          <w:tcPr>
            <w:tcW w:w="1494" w:type="dxa"/>
          </w:tcPr>
          <w:p>
            <w:pPr>
              <w:pStyle w:val="Compact"/>
              <w:spacing w:after="40"/>
              <w:jc w:val="left"/>
            </w:pPr>
            <w:r>
              <w:rPr>
                <w:sz w:val="18"/>
              </w:rPr>
              <w:t xml:space="preserve">Bureau operations, nodal officer, CCO</w:t>
            </w:r>
          </w:p>
        </w:tc>
      </w:tr>
      <w:tr>
        <w:tc>
          <w:tcPr>
            <w:tcW w:w="1177" w:type="dxa"/>
          </w:tcPr>
          <w:p>
            <w:pPr>
              <w:pStyle w:val="Compact"/>
              <w:spacing w:after="40"/>
              <w:jc w:val="left"/>
            </w:pPr>
            <w:r>
              <w:rPr>
                <w:rStyle w:val="VerbatimChar"/>
                <w:sz w:val="18"/>
              </w:rPr>
              <w:t xml:space="preserve">Compliance › Credit Bureaus › Cycle</w:t>
            </w:r>
          </w:p>
        </w:tc>
        <w:tc>
          <w:tcPr>
            <w:tcW w:w="2598" w:type="dxa"/>
          </w:tcPr>
          <w:p>
            <w:pPr>
              <w:pStyle w:val="Compact"/>
              <w:spacing w:after="40"/>
              <w:jc w:val="left"/>
            </w:pPr>
            <w:r>
              <w:rPr>
                <w:sz w:val="18"/>
              </w:rPr>
              <w:t xml:space="preserve">Counts by segment, status and DPD bucket; variance to the last cycle; held-back records; file hashes per CIC</w:t>
            </w:r>
          </w:p>
        </w:tc>
        <w:tc>
          <w:tcPr>
            <w:tcW w:w="2557" w:type="dxa"/>
          </w:tcPr>
          <w:p>
            <w:pPr>
              <w:pStyle w:val="Compact"/>
              <w:spacing w:after="40"/>
              <w:jc w:val="left"/>
            </w:pPr>
            <w:r>
              <w:rPr>
                <w:sz w:val="18"/>
              </w:rPr>
              <w:t xml:space="preserve">Approve or reject (reason); re-send after a transmission failure</w:t>
            </w:r>
          </w:p>
        </w:tc>
        <w:tc>
          <w:tcPr>
            <w:tcW w:w="1812" w:type="dxa"/>
          </w:tcPr>
          <w:p>
            <w:pPr>
              <w:pStyle w:val="Compact"/>
              <w:spacing w:after="40"/>
              <w:jc w:val="left"/>
            </w:pPr>
            <w:r>
              <w:rPr>
                <w:sz w:val="18"/>
              </w:rPr>
              <w:t xml:space="preserve">Export the count summary</w:t>
            </w:r>
          </w:p>
        </w:tc>
        <w:tc>
          <w:tcPr>
            <w:tcW w:w="1494" w:type="dxa"/>
          </w:tcPr>
          <w:p>
            <w:pPr>
              <w:pStyle w:val="Compact"/>
              <w:spacing w:after="40"/>
              <w:jc w:val="left"/>
            </w:pPr>
            <w:r>
              <w:rPr>
                <w:sz w:val="18"/>
              </w:rPr>
              <w:t xml:space="preserve">As above</w:t>
            </w:r>
          </w:p>
        </w:tc>
      </w:tr>
      <w:tr>
        <w:tc>
          <w:tcPr>
            <w:tcW w:w="1177" w:type="dxa"/>
          </w:tcPr>
          <w:p>
            <w:pPr>
              <w:pStyle w:val="Compact"/>
              <w:spacing w:after="40"/>
              <w:jc w:val="left"/>
            </w:pPr>
            <w:r>
              <w:rPr>
                <w:rStyle w:val="VerbatimChar"/>
                <w:sz w:val="18"/>
              </w:rPr>
              <w:t xml:space="preserve">Compliance › Credit Bureaus › Rejections</w:t>
            </w:r>
          </w:p>
        </w:tc>
        <w:tc>
          <w:tcPr>
            <w:tcW w:w="2598" w:type="dxa"/>
          </w:tcPr>
          <w:p>
            <w:pPr>
              <w:pStyle w:val="Compact"/>
              <w:spacing w:after="40"/>
              <w:jc w:val="left"/>
            </w:pPr>
            <w:r>
              <w:rPr>
                <w:sz w:val="18"/>
              </w:rPr>
              <w:t xml:space="preserve">Queue by uniform reason code with ageing</w:t>
            </w:r>
          </w:p>
        </w:tc>
        <w:tc>
          <w:tcPr>
            <w:tcW w:w="2557" w:type="dxa"/>
          </w:tcPr>
          <w:p>
            <w:pPr>
              <w:pStyle w:val="Compact"/>
              <w:spacing w:after="40"/>
              <w:jc w:val="left"/>
            </w:pPr>
            <w:r>
              <w:rPr>
                <w:sz w:val="18"/>
              </w:rPr>
              <w:t xml:space="preserve">Open the source record to fix; assign</w:t>
            </w:r>
          </w:p>
        </w:tc>
        <w:tc>
          <w:tcPr>
            <w:tcW w:w="1812" w:type="dxa"/>
          </w:tcPr>
          <w:p>
            <w:pPr>
              <w:pStyle w:val="Compact"/>
              <w:spacing w:after="40"/>
              <w:jc w:val="left"/>
            </w:pPr>
            <w:r>
              <w:rPr>
                <w:sz w:val="18"/>
              </w:rPr>
              <w:t xml:space="preserve">Reason, CIC, owner, ageing; bulk assign; export</w:t>
            </w:r>
          </w:p>
        </w:tc>
        <w:tc>
          <w:tcPr>
            <w:tcW w:w="1494" w:type="dxa"/>
          </w:tcPr>
          <w:p>
            <w:pPr>
              <w:pStyle w:val="Compact"/>
              <w:spacing w:after="40"/>
              <w:jc w:val="left"/>
            </w:pPr>
            <w:r>
              <w:rPr>
                <w:sz w:val="18"/>
              </w:rPr>
              <w:t xml:space="preserve">Bureau operations, data owners</w:t>
            </w:r>
          </w:p>
        </w:tc>
      </w:tr>
      <w:tr>
        <w:tc>
          <w:tcPr>
            <w:tcW w:w="1177" w:type="dxa"/>
          </w:tcPr>
          <w:p>
            <w:pPr>
              <w:pStyle w:val="Compact"/>
              <w:spacing w:after="40"/>
              <w:jc w:val="left"/>
            </w:pPr>
            <w:r>
              <w:rPr>
                <w:rStyle w:val="VerbatimChar"/>
                <w:sz w:val="18"/>
              </w:rPr>
              <w:t xml:space="preserve">Compliance › Credit Bureaus › Disputes</w:t>
            </w:r>
          </w:p>
        </w:tc>
        <w:tc>
          <w:tcPr>
            <w:tcW w:w="2598" w:type="dxa"/>
          </w:tcPr>
          <w:p>
            <w:pPr>
              <w:pStyle w:val="Compact"/>
              <w:spacing w:after="40"/>
              <w:jc w:val="left"/>
            </w:pPr>
            <w:r>
              <w:rPr>
                <w:sz w:val="18"/>
              </w:rPr>
              <w:t xml:space="preserve">Dispute queue with 21-day and 30-day clocks; compensation calculator; payout batches</w:t>
            </w:r>
          </w:p>
        </w:tc>
        <w:tc>
          <w:tcPr>
            <w:tcW w:w="2557" w:type="dxa"/>
          </w:tcPr>
          <w:p>
            <w:pPr>
              <w:pStyle w:val="Compact"/>
              <w:spacing w:after="40"/>
              <w:jc w:val="left"/>
            </w:pPr>
            <w:r>
              <w:rPr>
                <w:sz w:val="18"/>
              </w:rPr>
              <w:t xml:space="preserve">Acknowledge, decide (standard reason), send correction, record CIC confirmation, send rectified CIR, approve payout</w:t>
            </w:r>
          </w:p>
        </w:tc>
        <w:tc>
          <w:tcPr>
            <w:tcW w:w="1812" w:type="dxa"/>
          </w:tcPr>
          <w:p>
            <w:pPr>
              <w:pStyle w:val="Compact"/>
              <w:spacing w:after="40"/>
              <w:jc w:val="left"/>
            </w:pPr>
            <w:r>
              <w:rPr>
                <w:sz w:val="18"/>
              </w:rPr>
              <w:t xml:space="preserve">Clock status, channel, CIC; export</w:t>
            </w:r>
          </w:p>
        </w:tc>
        <w:tc>
          <w:tcPr>
            <w:tcW w:w="1494" w:type="dxa"/>
          </w:tcPr>
          <w:p>
            <w:pPr>
              <w:pStyle w:val="Compact"/>
              <w:spacing w:after="40"/>
              <w:jc w:val="left"/>
            </w:pPr>
            <w:r>
              <w:rPr>
                <w:sz w:val="18"/>
              </w:rPr>
              <w:t xml:space="preserve">Grievance team, nodal officer; Grievance Redressal Officer</w:t>
            </w:r>
          </w:p>
        </w:tc>
      </w:tr>
      <w:tr>
        <w:tc>
          <w:tcPr>
            <w:tcW w:w="1177" w:type="dxa"/>
          </w:tcPr>
          <w:p>
            <w:pPr>
              <w:pStyle w:val="Compact"/>
              <w:spacing w:after="40"/>
              <w:jc w:val="left"/>
            </w:pPr>
            <w:r>
              <w:rPr>
                <w:rStyle w:val="VerbatimChar"/>
                <w:sz w:val="18"/>
              </w:rPr>
              <w:t xml:space="preserve">Compliance › Credit Bureaus › Data quality</w:t>
            </w:r>
          </w:p>
        </w:tc>
        <w:tc>
          <w:tcPr>
            <w:tcW w:w="2598" w:type="dxa"/>
          </w:tcPr>
          <w:p>
            <w:pPr>
              <w:pStyle w:val="Compact"/>
              <w:spacing w:after="40"/>
              <w:jc w:val="left"/>
            </w:pPr>
            <w:r>
              <w:rPr>
                <w:sz w:val="18"/>
              </w:rPr>
              <w:t xml:space="preserve">File and CI-level DQI trends; half-yearly review builder</w:t>
            </w:r>
          </w:p>
        </w:tc>
        <w:tc>
          <w:tcPr>
            <w:tcW w:w="2557" w:type="dxa"/>
          </w:tcPr>
          <w:p>
            <w:pPr>
              <w:pStyle w:val="Compact"/>
              <w:spacing w:after="40"/>
              <w:jc w:val="left"/>
            </w:pPr>
            <w:r>
              <w:rPr>
                <w:sz w:val="18"/>
              </w:rPr>
              <w:t xml:space="preserve">Generate the review report for top management</w:t>
            </w:r>
          </w:p>
        </w:tc>
        <w:tc>
          <w:tcPr>
            <w:tcW w:w="1812" w:type="dxa"/>
          </w:tcPr>
          <w:p>
            <w:pPr>
              <w:pStyle w:val="Compact"/>
              <w:spacing w:after="40"/>
              <w:jc w:val="left"/>
            </w:pPr>
            <w:r>
              <w:rPr>
                <w:sz w:val="18"/>
              </w:rPr>
              <w:t xml:space="preserve">Segment, CIC, period; export</w:t>
            </w:r>
          </w:p>
        </w:tc>
        <w:tc>
          <w:tcPr>
            <w:tcW w:w="1494" w:type="dxa"/>
          </w:tcPr>
          <w:p>
            <w:pPr>
              <w:pStyle w:val="Compact"/>
              <w:spacing w:after="40"/>
              <w:jc w:val="left"/>
            </w:pPr>
            <w:r>
              <w:rPr>
                <w:sz w:val="18"/>
              </w:rPr>
              <w:t xml:space="preserve">Nodal officer, CCO</w:t>
            </w:r>
          </w:p>
        </w:tc>
      </w:tr>
      <w:tr>
        <w:tc>
          <w:tcPr>
            <w:tcW w:w="1177" w:type="dxa"/>
          </w:tcPr>
          <w:p>
            <w:pPr>
              <w:pStyle w:val="Compact"/>
              <w:spacing w:after="40"/>
              <w:jc w:val="left"/>
            </w:pPr>
            <w:r>
              <w:rPr>
                <w:rStyle w:val="VerbatimChar"/>
                <w:sz w:val="18"/>
              </w:rPr>
              <w:t xml:space="preserve">Compliance › Credit Bureaus › Formats</w:t>
            </w:r>
          </w:p>
        </w:tc>
        <w:tc>
          <w:tcPr>
            <w:tcW w:w="2598" w:type="dxa"/>
          </w:tcPr>
          <w:p>
            <w:pPr>
              <w:pStyle w:val="Compact"/>
              <w:spacing w:after="40"/>
              <w:jc w:val="left"/>
            </w:pPr>
            <w:r>
              <w:rPr>
                <w:sz w:val="18"/>
              </w:rPr>
              <w:t xml:space="preserve">Format packs, catalogues,</w:t>
            </w:r>
            <w:r>
              <w:rPr>
                <w:sz w:val="18"/>
              </w:rPr>
              <w:t xml:space="preserve"> </w:t>
            </w:r>
            <w:r>
              <w:rPr>
                <w:rStyle w:val="VerbatimChar"/>
                <w:sz w:val="18"/>
              </w:rPr>
              <w:t xml:space="preserve">format_issue</w:t>
            </w:r>
            <w:r>
              <w:rPr>
                <w:sz w:val="18"/>
              </w:rPr>
              <w:t xml:space="preserve"> </w:t>
            </w:r>
            <w:r>
              <w:rPr>
                <w:sz w:val="18"/>
              </w:rPr>
              <w:t xml:space="preserve">list</w:t>
            </w:r>
          </w:p>
        </w:tc>
        <w:tc>
          <w:tcPr>
            <w:tcW w:w="2557" w:type="dxa"/>
          </w:tcPr>
          <w:p>
            <w:pPr>
              <w:pStyle w:val="Compact"/>
              <w:spacing w:after="40"/>
              <w:jc w:val="left"/>
            </w:pPr>
            <w:r>
              <w:rPr>
                <w:sz w:val="18"/>
              </w:rPr>
              <w:t xml:space="preserve">Activate a pack version (maker-checker)</w:t>
            </w:r>
          </w:p>
        </w:tc>
        <w:tc>
          <w:tcPr>
            <w:tcW w:w="1812" w:type="dxa"/>
          </w:tcPr>
          <w:p>
            <w:pPr>
              <w:pStyle w:val="Compact"/>
              <w:spacing w:after="40"/>
              <w:jc w:val="left"/>
            </w:pPr>
            <w:r>
              <w:rPr>
                <w:sz w:val="18"/>
              </w:rPr>
              <w:t xml:space="preserve">Export</w:t>
            </w:r>
          </w:p>
        </w:tc>
        <w:tc>
          <w:tcPr>
            <w:tcW w:w="1494" w:type="dxa"/>
          </w:tcPr>
          <w:p>
            <w:pPr>
              <w:pStyle w:val="Compact"/>
              <w:spacing w:after="40"/>
              <w:jc w:val="left"/>
            </w:pPr>
            <w:r>
              <w:rPr>
                <w:sz w:val="18"/>
              </w:rPr>
              <w:t xml:space="preserve">Bureau operations, compliance administrator</w:t>
            </w:r>
          </w:p>
        </w:tc>
      </w:tr>
      <w:tr>
        <w:tc>
          <w:tcPr>
            <w:tcW w:w="1177" w:type="dxa"/>
          </w:tcPr>
          <w:p>
            <w:pPr>
              <w:pStyle w:val="Compact"/>
              <w:spacing w:after="40"/>
              <w:jc w:val="left"/>
            </w:pPr>
            <w:r>
              <w:rPr>
                <w:rStyle w:val="VerbatimChar"/>
                <w:sz w:val="18"/>
              </w:rPr>
              <w:t xml:space="preserve">Compliance › Credit Bureaus › Nodal and alerts</w:t>
            </w:r>
          </w:p>
        </w:tc>
        <w:tc>
          <w:tcPr>
            <w:tcW w:w="2598" w:type="dxa"/>
          </w:tcPr>
          <w:p>
            <w:pPr>
              <w:pStyle w:val="Compact"/>
              <w:spacing w:after="40"/>
              <w:jc w:val="left"/>
            </w:pPr>
            <w:r>
              <w:rPr>
                <w:sz w:val="18"/>
              </w:rPr>
              <w:t xml:space="preserve">Nodal-officer register; borrower alert delivery and</w:t>
            </w:r>
            <w:r>
              <w:rPr>
                <w:sz w:val="18"/>
              </w:rPr>
              <w:t xml:space="preserve"> </w:t>
            </w:r>
            <w:r>
              <w:rPr>
                <w:sz w:val="18"/>
              </w:rPr>
              <w:t xml:space="preserve">“</w:t>
            </w:r>
            <w:r>
              <w:rPr>
                <w:sz w:val="18"/>
              </w:rPr>
              <w:t xml:space="preserve">no contact</w:t>
            </w:r>
            <w:r>
              <w:rPr>
                <w:sz w:val="18"/>
              </w:rPr>
              <w:t xml:space="preserve">”</w:t>
            </w:r>
            <w:r>
              <w:rPr>
                <w:sz w:val="18"/>
              </w:rPr>
              <w:t xml:space="preserve"> </w:t>
            </w:r>
            <w:r>
              <w:rPr>
                <w:sz w:val="18"/>
              </w:rPr>
              <w:t xml:space="preserve">list; WD/LD monthly files (RR8.4)</w:t>
            </w:r>
          </w:p>
        </w:tc>
        <w:tc>
          <w:tcPr>
            <w:tcW w:w="2557" w:type="dxa"/>
          </w:tcPr>
          <w:p>
            <w:pPr>
              <w:pStyle w:val="Compact"/>
              <w:spacing w:after="40"/>
              <w:jc w:val="left"/>
            </w:pPr>
            <w:r>
              <w:rPr>
                <w:sz w:val="18"/>
              </w:rPr>
              <w:t xml:space="preserve">Change nodal officer (opens the 5-day tasks); export no-contact list for awareness campaigns</w:t>
            </w:r>
          </w:p>
        </w:tc>
        <w:tc>
          <w:tcPr>
            <w:tcW w:w="1812" w:type="dxa"/>
          </w:tcPr>
          <w:p>
            <w:pPr>
              <w:pStyle w:val="Compact"/>
              <w:spacing w:after="40"/>
              <w:jc w:val="left"/>
            </w:pPr>
            <w:r>
              <w:rPr>
                <w:sz w:val="18"/>
              </w:rPr>
              <w:t xml:space="preserve">Export</w:t>
            </w:r>
          </w:p>
        </w:tc>
        <w:tc>
          <w:tcPr>
            <w:tcW w:w="1494" w:type="dxa"/>
          </w:tcPr>
          <w:p>
            <w:pPr>
              <w:pStyle w:val="Compact"/>
              <w:spacing w:after="40"/>
              <w:jc w:val="left"/>
            </w:pPr>
            <w:r>
              <w:rPr>
                <w:sz w:val="18"/>
              </w:rPr>
              <w:t xml:space="preserve">Nodal officer, CCO</w:t>
            </w:r>
          </w:p>
        </w:tc>
      </w:tr>
    </w:tbl>
    <w:p>
      <w:pPr>
        <w:numPr>
          <w:ilvl w:val="0"/>
          <w:numId w:val="1307"/>
        </w:numPr>
        <w:pStyle w:val="Compact"/>
      </w:pPr>
      <w:r>
        <w:rPr>
          <w:bCs/>
          <w:b/>
        </w:rPr>
        <w:t xml:space="preserve">Empty and error states</w:t>
      </w:r>
      <w:r>
        <w:t xml:space="preserve"> </w:t>
      </w:r>
      <w:r>
        <w:t xml:space="preserve">say what to do next, for example</w:t>
      </w:r>
      <w:r>
        <w:t xml:space="preserve"> </w:t>
      </w:r>
      <w:r>
        <w:t xml:space="preserve">“</w:t>
      </w:r>
      <w:r>
        <w:t xml:space="preserve">No template uploaded for DNBS02 version 2026.10: download it from Sankalan and upload it here</w:t>
      </w:r>
      <w:r>
        <w:t xml:space="preserve">”</w:t>
      </w:r>
      <w:r>
        <w:t xml:space="preserve">,</w:t>
      </w:r>
      <w:r>
        <w:t xml:space="preserve"> </w:t>
      </w:r>
      <w:r>
        <w:t xml:space="preserve">“</w:t>
      </w:r>
      <w:r>
        <w:t xml:space="preserve">Snapshot unavailable: COB for 30 Sep 2026 has not completed</w:t>
      </w:r>
      <w:r>
        <w:t xml:space="preserve">”</w:t>
      </w:r>
      <w:r>
        <w:t xml:space="preserve">,</w:t>
      </w:r>
      <w:r>
        <w:t xml:space="preserve"> </w:t>
      </w:r>
      <w:r>
        <w:t xml:space="preserve">“</w:t>
      </w:r>
      <w:r>
        <w:t xml:space="preserve">Sign-off blocked: 2 WARNINGs not accepted by the checker</w:t>
      </w:r>
      <w:r>
        <w:t xml:space="preserve">”</w:t>
      </w:r>
      <w:r>
        <w:t xml:space="preserve">.</w:t>
      </w:r>
    </w:p>
    <w:p>
      <w:pPr>
        <w:numPr>
          <w:ilvl w:val="0"/>
          <w:numId w:val="1307"/>
        </w:numPr>
        <w:pStyle w:val="Compact"/>
      </w:pPr>
      <w:r>
        <w:rPr>
          <w:bCs/>
          <w:b/>
        </w:rPr>
        <w:t xml:space="preserve">Explain-why:</w:t>
      </w:r>
      <w:r>
        <w:t xml:space="preserve"> </w:t>
      </w:r>
      <w:r>
        <w:t xml:space="preserve">every block or refusal shows the rule ID, the REQ-ID with its citation and the screen that fixes it.</w:t>
      </w:r>
    </w:p>
    <w:p>
      <w:pPr>
        <w:numPr>
          <w:ilvl w:val="0"/>
          <w:numId w:val="1307"/>
        </w:numPr>
        <w:pStyle w:val="Compact"/>
      </w:pPr>
      <w:r>
        <w:rPr>
          <w:bCs/>
          <w:b/>
        </w:rPr>
        <w:t xml:space="preserve">Notifications:</w:t>
      </w:r>
      <w:r>
        <w:t xml:space="preserve"> </w:t>
      </w:r>
      <w:r>
        <w:t xml:space="preserve">in-app and email for assignments, SLA breaches and alert stages, with a daily digest; reminders never contain amounts or borrower data.</w:t>
      </w:r>
    </w:p>
    <w:p>
      <w:pPr>
        <w:numPr>
          <w:ilvl w:val="0"/>
          <w:numId w:val="1307"/>
        </w:numPr>
        <w:pStyle w:val="Compact"/>
      </w:pPr>
      <w:r>
        <w:rPr>
          <w:bCs/>
          <w:b/>
        </w:rPr>
        <w:t xml:space="preserve">Keyboard shortcuts</w:t>
      </w:r>
      <w:r>
        <w:t xml:space="preserve"> </w:t>
      </w:r>
      <w:r>
        <w:t xml:space="preserve">on queues and the run screen:</w:t>
      </w:r>
      <w:r>
        <w:t xml:space="preserve"> </w:t>
      </w:r>
      <w:r>
        <w:rPr>
          <w:rStyle w:val="VerbatimChar"/>
        </w:rPr>
        <w:t xml:space="preserve">j</w:t>
      </w:r>
      <w:r>
        <w:t xml:space="preserve">/</w:t>
      </w:r>
      <w:r>
        <w:rPr>
          <w:rStyle w:val="VerbatimChar"/>
        </w:rPr>
        <w:t xml:space="preserve">k</w:t>
      </w:r>
      <w:r>
        <w:t xml:space="preserve"> </w:t>
      </w:r>
      <w:r>
        <w:t xml:space="preserve">next and previous item,</w:t>
      </w:r>
      <w:r>
        <w:t xml:space="preserve"> </w:t>
      </w:r>
      <w:r>
        <w:rPr>
          <w:rStyle w:val="VerbatimChar"/>
        </w:rPr>
        <w:t xml:space="preserve">a</w:t>
      </w:r>
      <w:r>
        <w:t xml:space="preserve"> </w:t>
      </w:r>
      <w:r>
        <w:t xml:space="preserve">approve,</w:t>
      </w:r>
      <w:r>
        <w:t xml:space="preserve"> </w:t>
      </w:r>
      <w:r>
        <w:rPr>
          <w:rStyle w:val="VerbatimChar"/>
        </w:rPr>
        <w:t xml:space="preserve">r</w:t>
      </w:r>
      <w:r>
        <w:t xml:space="preserve"> </w:t>
      </w:r>
      <w:r>
        <w:t xml:space="preserve">reject with reason,</w:t>
      </w:r>
      <w:r>
        <w:t xml:space="preserve"> </w:t>
      </w:r>
      <w:r>
        <w:rPr>
          <w:rStyle w:val="VerbatimChar"/>
        </w:rPr>
        <w:t xml:space="preserve">/</w:t>
      </w:r>
      <w:r>
        <w:t xml:space="preserve"> </w:t>
      </w:r>
      <w:r>
        <w:t xml:space="preserve">search,</w:t>
      </w:r>
      <w:r>
        <w:t xml:space="preserve"> </w:t>
      </w:r>
      <w:r>
        <w:rPr>
          <w:rStyle w:val="VerbatimChar"/>
        </w:rPr>
        <w:t xml:space="preserve">g c</w:t>
      </w:r>
      <w:r>
        <w:t xml:space="preserve"> </w:t>
      </w:r>
      <w:r>
        <w:t xml:space="preserve">calendar; every action also has a button.</w:t>
      </w:r>
    </w:p>
    <w:p>
      <w:pPr>
        <w:numPr>
          <w:ilvl w:val="0"/>
          <w:numId w:val="1307"/>
        </w:numPr>
        <w:pStyle w:val="Compact"/>
      </w:pPr>
      <w:r>
        <w:rPr>
          <w:bCs/>
          <w:b/>
        </w:rPr>
        <w:t xml:space="preserve">Accessibility:</w:t>
      </w:r>
      <w:r>
        <w:t xml:space="preserve"> </w:t>
      </w:r>
      <w:r>
        <w:t xml:space="preserve">WCAG 2.2 AA (contrast, focus order, keyboard-only operation, status never shown by colour alone).</w:t>
      </w:r>
    </w:p>
    <w:bookmarkEnd w:id="281"/>
    <w:bookmarkStart w:id="282" w:name="acceptance-tests-10"/>
    <w:p>
      <w:pPr>
        <w:pStyle w:val="Heading3"/>
      </w:pPr>
      <w:r>
        <w:t xml:space="preserve">Acceptance tests</w:t>
      </w:r>
    </w:p>
    <w:p>
      <w:pPr>
        <w:numPr>
          <w:ilvl w:val="0"/>
          <w:numId w:val="1308"/>
        </w:numPr>
        <w:pStyle w:val="Compact"/>
      </w:pPr>
      <w:r>
        <w:t xml:space="preserve">Setting the reconciliation tolerance above the template rounding unit returns 403</w:t>
      </w:r>
      <w:r>
        <w:t xml:space="preserve"> </w:t>
      </w:r>
      <w:r>
        <w:rPr>
          <w:rStyle w:val="VerbatimChar"/>
        </w:rPr>
        <w:t xml:space="preserve">floor_violation</w:t>
      </w:r>
      <w:r>
        <w:t xml:space="preserve"> </w:t>
      </w:r>
      <w:r>
        <w:t xml:space="preserve">citing SR para 14; tightening it is accepted after checker approval.</w:t>
      </w:r>
    </w:p>
    <w:p>
      <w:pPr>
        <w:numPr>
          <w:ilvl w:val="0"/>
          <w:numId w:val="1308"/>
        </w:numPr>
        <w:pStyle w:val="Compact"/>
      </w:pPr>
      <w:r>
        <w:t xml:space="preserve">With</w:t>
      </w:r>
      <w:r>
        <w:t xml:space="preserve"> </w:t>
      </w:r>
      <w:r>
        <w:rPr>
          <w:rStyle w:val="VerbatimChar"/>
        </w:rPr>
        <w:t xml:space="preserve">share_return_status_with_hub</w:t>
      </w:r>
      <w:r>
        <w:t xml:space="preserve"> </w:t>
      </w:r>
      <w:r>
        <w:t xml:space="preserve">off, no return event reaches the Operations Hub subscription; switching it on is logged with the approver.</w:t>
      </w:r>
    </w:p>
    <w:p>
      <w:pPr>
        <w:numPr>
          <w:ilvl w:val="0"/>
          <w:numId w:val="1308"/>
        </w:numPr>
        <w:pStyle w:val="Compact"/>
      </w:pPr>
      <w:r>
        <w:t xml:space="preserve">A user who is maker on a run sees no approve or sign-off button for it, and a direct API call returns 403</w:t>
      </w:r>
      <w:r>
        <w:t xml:space="preserve"> </w:t>
      </w:r>
      <w:r>
        <w:rPr>
          <w:rStyle w:val="VerbatimChar"/>
        </w:rPr>
        <w:t xml:space="preserve">sod_conflict</w:t>
      </w:r>
      <w:r>
        <w:t xml:space="preserve">.</w:t>
      </w:r>
    </w:p>
    <w:p>
      <w:pPr>
        <w:numPr>
          <w:ilvl w:val="0"/>
          <w:numId w:val="1308"/>
        </w:numPr>
        <w:pStyle w:val="Compact"/>
      </w:pPr>
      <w:r>
        <w:t xml:space="preserve">An attempt to switch off reporting to one of the four CICs for an NBFC CI is refused with CIR para 6 cited.</w:t>
      </w:r>
    </w:p>
    <w:p>
      <w:pPr>
        <w:numPr>
          <w:ilvl w:val="0"/>
          <w:numId w:val="1308"/>
        </w:numPr>
        <w:pStyle w:val="Compact"/>
      </w:pPr>
      <w:r>
        <w:t xml:space="preserve">The run screen is fully operable by keyboard and passes an automated WCAG 2.2 AA check.</w:t>
      </w:r>
    </w:p>
    <w:p>
      <w:r>
        <w:pict>
          <v:rect style="width:0;height:1.5pt" o:hralign="center" o:hrstd="t" o:hr="t"/>
        </w:pict>
      </w:r>
    </w:p>
    <w:bookmarkEnd w:id="282"/>
    <w:bookmarkEnd w:id="283"/>
    <w:bookmarkEnd w:id="284"/>
    <w:bookmarkStart w:id="337" w:name="X82a11f3c95ee377cdd8712e640d6c5cb0fcd601"/>
    <w:p>
      <w:pPr>
        <w:pStyle w:val="Heading1"/>
      </w:pPr>
      <w:r>
        <w:t xml:space="preserve">PART 7C — ACCOUNTING FRAMEWORKS, FINANCIAL STATEMENTS, TAXATION AND STATUTORY AUDIT TRAIL</w:t>
      </w:r>
    </w:p>
    <w:p>
      <w:pPr>
        <w:pStyle w:val="FirstParagraph"/>
      </w:pPr>
      <w:r>
        <w:rPr>
          <w:bCs/>
          <w:b/>
        </w:rPr>
        <w:t xml:space="preserve">Purpose.</w:t>
      </w:r>
      <w:r>
        <w:t xml:space="preserve"> </w:t>
      </w:r>
      <w:r>
        <w:t xml:space="preserve">Keep each tenant entity’s books under the correct accounting framework for its type and year, run the prudential overlay alongside the statutory books, produce statutory statements and regulatory disclosures, prepare GST and income-tax outputs, connect to Tally Prime and ERPs without making them the book of record, and meet the Companies Act audit-trail, backup and retention rules. This Part extends M10 (the double-entry core stays there): AC1–AC3 extend M10 items 1, 5 and 9; AC4–AC5 extend item 6; AC6 extends item 10 and R12.3; AC7 extends the M19 audit trail. Part 8A.8 (FS) and Part 8A.17 (IRACP) remain the regulatory source rows.</w:t>
      </w:r>
    </w:p>
    <w:p>
      <w:pPr>
        <w:pStyle w:val="BodyText"/>
      </w:pPr>
      <w:r>
        <w:rPr>
          <w:bCs/>
          <w:b/>
        </w:rPr>
        <w:t xml:space="preserve">Applicability.</w:t>
      </w:r>
      <w:r>
        <w:t xml:space="preserve"> </w:t>
      </w:r>
      <w:r>
        <w:t xml:space="preserve">Every tenant legal entity: NBFCs of every layer, HFCs, core investment companies, ARCs, commercial banks, SFBs, UCBs, StCBs/DCCBs, credit co-operative societies, non-company entities (trusts, LLPs, partnerships, AIFs), IFSC units and group companies. The framework is resolved per legal entity per financial year (AC1). Banks and co-operatives are served through institution profiles (Part 7G); rows marked [VERIFY] are not used for statutory output until confirmed.</w:t>
      </w:r>
    </w:p>
    <w:p>
      <w:pPr>
        <w:pStyle w:val="BodyText"/>
      </w:pPr>
      <w:r>
        <w:rPr>
          <w:bCs/>
          <w:b/>
        </w:rPr>
        <w:t xml:space="preserve">Codes used.</w:t>
      </w:r>
      <w:r>
        <w:t xml:space="preserve"> </w:t>
      </w:r>
      <w:r>
        <w:t xml:space="preserve">FS, IRACP, CAP, AUD, SA, CYB, KYC, RSA, TDCR, MISC, RBC, SBR (existing);</w:t>
      </w:r>
      <w:r>
        <w:t xml:space="preserve"> </w:t>
      </w:r>
      <w:r>
        <w:rPr>
          <w:rStyle w:val="VerbatimChar"/>
        </w:rPr>
        <w:t xml:space="preserve">IND-AS</w:t>
      </w:r>
      <w:r>
        <w:t xml:space="preserve">,</w:t>
      </w:r>
      <w:r>
        <w:t xml:space="preserve"> </w:t>
      </w:r>
      <w:r>
        <w:rPr>
          <w:rStyle w:val="VerbatimChar"/>
        </w:rPr>
        <w:t xml:space="preserve">CA13</w:t>
      </w:r>
      <w:r>
        <w:t xml:space="preserve">,</w:t>
      </w:r>
      <w:r>
        <w:t xml:space="preserve"> </w:t>
      </w:r>
      <w:r>
        <w:rPr>
          <w:rStyle w:val="VerbatimChar"/>
        </w:rPr>
        <w:t xml:space="preserve">ICAI</w:t>
      </w:r>
      <w:r>
        <w:t xml:space="preserve">,</w:t>
      </w:r>
      <w:r>
        <w:t xml:space="preserve"> </w:t>
      </w:r>
      <w:r>
        <w:rPr>
          <w:rStyle w:val="VerbatimChar"/>
        </w:rPr>
        <w:t xml:space="preserve">ICSI</w:t>
      </w:r>
      <w:r>
        <w:t xml:space="preserve">,</w:t>
      </w:r>
      <w:r>
        <w:t xml:space="preserve"> </w:t>
      </w:r>
      <w:r>
        <w:rPr>
          <w:rStyle w:val="VerbatimChar"/>
        </w:rPr>
        <w:t xml:space="preserve">CB-ECL</w:t>
      </w:r>
      <w:r>
        <w:t xml:space="preserve">,</w:t>
      </w:r>
      <w:r>
        <w:t xml:space="preserve"> </w:t>
      </w:r>
      <w:r>
        <w:rPr>
          <w:rStyle w:val="VerbatimChar"/>
        </w:rPr>
        <w:t xml:space="preserve">GST</w:t>
      </w:r>
      <w:r>
        <w:t xml:space="preserve">,</w:t>
      </w:r>
      <w:r>
        <w:t xml:space="preserve"> </w:t>
      </w:r>
      <w:r>
        <w:rPr>
          <w:rStyle w:val="VerbatimChar"/>
        </w:rPr>
        <w:t xml:space="preserve">ITA25</w:t>
      </w:r>
      <w:r>
        <w:t xml:space="preserve">,</w:t>
      </w:r>
      <w:r>
        <w:t xml:space="preserve"> </w:t>
      </w:r>
      <w:r>
        <w:rPr>
          <w:rStyle w:val="VerbatimChar"/>
        </w:rPr>
        <w:t xml:space="preserve">ITA61</w:t>
      </w:r>
      <w:r>
        <w:t xml:space="preserve">,</w:t>
      </w:r>
      <w:r>
        <w:t xml:space="preserve"> </w:t>
      </w:r>
      <w:r>
        <w:rPr>
          <w:rStyle w:val="VerbatimChar"/>
        </w:rPr>
        <w:t xml:space="preserve">IFSCA-FC</w:t>
      </w:r>
      <w:r>
        <w:t xml:space="preserve">,</w:t>
      </w:r>
      <w:r>
        <w:t xml:space="preserve"> </w:t>
      </w:r>
      <w:r>
        <w:rPr>
          <w:rStyle w:val="VerbatimChar"/>
        </w:rPr>
        <w:t xml:space="preserve">ARC</w:t>
      </w:r>
      <w:r>
        <w:t xml:space="preserve">,</w:t>
      </w:r>
      <w:r>
        <w:t xml:space="preserve"> </w:t>
      </w:r>
      <w:r>
        <w:rPr>
          <w:rStyle w:val="VerbatimChar"/>
        </w:rPr>
        <w:t xml:space="preserve">MSCS</w:t>
      </w:r>
      <w:r>
        <w:t xml:space="preserve">,</w:t>
      </w:r>
      <w:r>
        <w:t xml:space="preserve"> </w:t>
      </w:r>
      <w:r>
        <w:rPr>
          <w:rStyle w:val="VerbatimChar"/>
        </w:rPr>
        <w:t xml:space="preserve">SCS</w:t>
      </w:r>
      <w:r>
        <w:t xml:space="preserve">,</w:t>
      </w:r>
      <w:r>
        <w:t xml:space="preserve"> </w:t>
      </w:r>
      <w:r>
        <w:rPr>
          <w:rStyle w:val="VerbatimChar"/>
        </w:rPr>
        <w:t xml:space="preserve">NABARD</w:t>
      </w:r>
      <w:r>
        <w:t xml:space="preserve">,</w:t>
      </w:r>
      <w:r>
        <w:t xml:space="preserve"> </w:t>
      </w:r>
      <w:r>
        <w:rPr>
          <w:rStyle w:val="VerbatimChar"/>
        </w:rPr>
        <w:t xml:space="preserve">DPDP</w:t>
      </w:r>
      <w:r>
        <w:t xml:space="preserve">,</w:t>
      </w:r>
      <w:r>
        <w:t xml:space="preserve"> </w:t>
      </w:r>
      <w:r>
        <w:rPr>
          <w:rStyle w:val="VerbatimChar"/>
        </w:rPr>
        <w:t xml:space="preserve">SOC2</w:t>
      </w:r>
      <w:r>
        <w:t xml:space="preserve">,</w:t>
      </w:r>
      <w:r>
        <w:t xml:space="preserve"> </w:t>
      </w:r>
      <w:r>
        <w:rPr>
          <w:rStyle w:val="VerbatimChar"/>
        </w:rPr>
        <w:t xml:space="preserve">TRAI</w:t>
      </w:r>
      <w:r>
        <w:t xml:space="preserve"> </w:t>
      </w:r>
      <w:r>
        <w:t xml:space="preserve">(Part 8A.37).</w:t>
      </w:r>
      <w:r>
        <w:t xml:space="preserve"> </w:t>
      </w:r>
      <w:r>
        <w:t xml:space="preserve">“</w:t>
      </w:r>
      <w:r>
        <w:t xml:space="preserve">CIC</w:t>
      </w:r>
      <w:r>
        <w:t xml:space="preserve">”</w:t>
      </w:r>
      <w:r>
        <w:t xml:space="preserve"> </w:t>
      </w:r>
      <w:r>
        <w:t xml:space="preserve">alone means a credit information company; core investment companies are written out. Labels: [LAW] statute or rules, [REG] regulator instrument, [ICAI] professional guidance (recommendatory unless an SA, CARO or Rule 11(g) requirement), [REC] recommendation.</w:t>
      </w:r>
    </w:p>
    <w:p>
      <w:pPr>
        <w:pStyle w:val="BodyText"/>
      </w:pPr>
      <w:r>
        <w:rPr>
          <w:bCs/>
          <w:b/>
        </w:rPr>
        <w:t xml:space="preserve">Data owned.</w:t>
      </w:r>
      <w:r>
        <w:t xml:space="preserve"> </w:t>
      </w:r>
      <w:r>
        <w:t xml:space="preserve">Framework profile and decision log; book definitions and book-specific postings; prudential-overlay and Impairment Reserve runs; bank ECL runs; GL-to-statement line maps; statement, disclosure, consolidation and MCA payload runs; GST fee master, invoices, ITC election, IMS actions and return exports; TDS, TDS-receivable, tax-computation and borrower-certificate records; connector agents and export batches; the statutory audit-trail ledger, daily seals, backup and restore evidence, Rule 3(6) data and the retention schedule.</w:t>
      </w:r>
    </w:p>
    <w:p>
      <w:pPr>
        <w:pStyle w:val="BodyText"/>
      </w:pPr>
      <w:r>
        <w:rPr>
          <w:bCs/>
          <w:b/>
        </w:rPr>
        <w:t xml:space="preserve">Events (Integration Specification v1.1, section 6.20).</w:t>
      </w:r>
      <w:r>
        <w:t xml:space="preserve"> </w:t>
      </w:r>
      <w:r>
        <w:t xml:space="preserve">Emits</w:t>
      </w:r>
      <w:r>
        <w:t xml:space="preserve"> </w:t>
      </w:r>
      <w:r>
        <w:rPr>
          <w:rStyle w:val="VerbatimChar"/>
        </w:rPr>
        <w:t xml:space="preserve">PeriodClosed</w:t>
      </w:r>
      <w:r>
        <w:t xml:space="preserve">,</w:t>
      </w:r>
      <w:r>
        <w:t xml:space="preserve"> </w:t>
      </w:r>
      <w:r>
        <w:rPr>
          <w:rStyle w:val="VerbatimChar"/>
        </w:rPr>
        <w:t xml:space="preserve">FinancialStatementsApproved</w:t>
      </w:r>
      <w:r>
        <w:t xml:space="preserve">,</w:t>
      </w:r>
      <w:r>
        <w:t xml:space="preserve"> </w:t>
      </w:r>
      <w:r>
        <w:rPr>
          <w:rStyle w:val="VerbatimChar"/>
        </w:rPr>
        <w:t xml:space="preserve">GstReturnPrepared</w:t>
      </w:r>
      <w:r>
        <w:t xml:space="preserve">,</w:t>
      </w:r>
      <w:r>
        <w:t xml:space="preserve"> </w:t>
      </w:r>
      <w:r>
        <w:rPr>
          <w:rStyle w:val="VerbatimChar"/>
        </w:rPr>
        <w:t xml:space="preserve">TdsStatementPrepared</w:t>
      </w:r>
      <w:r>
        <w:t xml:space="preserve">,</w:t>
      </w:r>
      <w:r>
        <w:t xml:space="preserve"> </w:t>
      </w:r>
      <w:r>
        <w:rPr>
          <w:rStyle w:val="VerbatimChar"/>
        </w:rPr>
        <w:t xml:space="preserve">InterestCertificateIssued</w:t>
      </w:r>
      <w:r>
        <w:t xml:space="preserve">,</w:t>
      </w:r>
      <w:r>
        <w:t xml:space="preserve"> </w:t>
      </w:r>
      <w:r>
        <w:rPr>
          <w:rStyle w:val="VerbatimChar"/>
        </w:rPr>
        <w:t xml:space="preserve">ControlTestResultPublished</w:t>
      </w:r>
      <w:r>
        <w:t xml:space="preserve">,</w:t>
      </w:r>
      <w:r>
        <w:t xml:space="preserve"> </w:t>
      </w:r>
      <w:r>
        <w:rPr>
          <w:rStyle w:val="VerbatimChar"/>
        </w:rPr>
        <w:t xml:space="preserve">EvidenceSubmitted</w:t>
      </w:r>
      <w:r>
        <w:t xml:space="preserve">. Part 7B consumes</w:t>
      </w:r>
      <w:r>
        <w:t xml:space="preserve"> </w:t>
      </w:r>
      <w:r>
        <w:rPr>
          <w:rStyle w:val="VerbatimChar"/>
        </w:rPr>
        <w:t xml:space="preserve">PeriodClosed</w:t>
      </w:r>
      <w:r>
        <w:t xml:space="preserve"> </w:t>
      </w:r>
      <w:r>
        <w:t xml:space="preserve">and</w:t>
      </w:r>
      <w:r>
        <w:t xml:space="preserve"> </w:t>
      </w:r>
      <w:r>
        <w:rPr>
          <w:rStyle w:val="VerbatimChar"/>
        </w:rPr>
        <w:t xml:space="preserve">FinancialStatementsApproved</w:t>
      </w:r>
      <w:r>
        <w:t xml:space="preserve"> </w:t>
      </w:r>
      <w:r>
        <w:t xml:space="preserve">(DNBS10 and audited-return clocks); LawDocsComply or embedded M14 consumes all of them; Udofin consumes</w:t>
      </w:r>
      <w:r>
        <w:t xml:space="preserve"> </w:t>
      </w:r>
      <w:r>
        <w:rPr>
          <w:rStyle w:val="VerbatimChar"/>
        </w:rPr>
        <w:t xml:space="preserve">InterestCertificateIssued</w:t>
      </w:r>
      <w:r>
        <w:t xml:space="preserve"> </w:t>
      </w:r>
      <w:r>
        <w:t xml:space="preserve">to show RE-signed certificates. Statements, returns and amounts travel only by document reference; events carry hashes and status.</w:t>
      </w:r>
      <w:r>
        <w:t xml:space="preserve"> </w:t>
      </w:r>
      <w:r>
        <w:rPr>
          <w:bCs/>
          <w:b/>
        </w:rPr>
        <w:t xml:space="preserve">The Operations Hub receives only</w:t>
      </w:r>
      <w:r>
        <w:rPr>
          <w:bCs/>
          <w:b/>
        </w:rPr>
        <w:t xml:space="preserve"> </w:t>
      </w:r>
      <w:r>
        <w:rPr>
          <w:rStyle w:val="VerbatimChar"/>
          <w:bCs/>
          <w:b/>
        </w:rPr>
        <w:t xml:space="preserve">PeriodClosed</w:t>
      </w:r>
      <w:r>
        <w:rPr>
          <w:bCs/>
          <w:b/>
        </w:rPr>
        <w:t xml:space="preserve"> </w:t>
      </w:r>
      <w:r>
        <w:rPr>
          <w:bCs/>
          <w:b/>
        </w:rPr>
        <w:t xml:space="preserve">status metadata (legal entity, period, books locked; no balances or trial-balance hashes), and only where the tenant opts in</w:t>
      </w:r>
      <w:r>
        <w:t xml:space="preserve"> </w:t>
      </w:r>
      <w:r>
        <w:t xml:space="preserve">(setting</w:t>
      </w:r>
      <w:r>
        <w:t xml:space="preserve"> </w:t>
      </w:r>
      <w:r>
        <w:rPr>
          <w:rStyle w:val="VerbatimChar"/>
        </w:rPr>
        <w:t xml:space="preserve">share_close_status_with_hub</w:t>
      </w:r>
      <w:r>
        <w:t xml:space="preserve">, default off, AC8.1); it never receives</w:t>
      </w:r>
      <w:r>
        <w:t xml:space="preserve"> </w:t>
      </w:r>
      <w:r>
        <w:rPr>
          <w:rStyle w:val="VerbatimChar"/>
        </w:rPr>
        <w:t xml:space="preserve">InterestCertificateIssued</w:t>
      </w:r>
      <w:r>
        <w:t xml:space="preserve">, any amount or any tax data.</w:t>
      </w:r>
    </w:p>
    <w:p>
      <w:r>
        <w:pict>
          <v:rect style="width:0;height:1.5pt" o:hralign="center" o:hrstd="t" o:hr="t"/>
        </w:pict>
      </w:r>
    </w:p>
    <w:bookmarkStart w:id="289" w:name="X49ee49e25eb4676a04587fe217d8afcb7493edb"/>
    <w:p>
      <w:pPr>
        <w:pStyle w:val="Heading2"/>
      </w:pPr>
      <w:r>
        <w:t xml:space="preserve">AC1. Accounting framework applicability engine (Ind AS, AS, co-operative formats, IFRS for IFSC)</w:t>
      </w:r>
    </w:p>
    <w:p>
      <w:pPr>
        <w:pStyle w:val="FirstParagraph"/>
      </w:pPr>
      <w:r>
        <w:rPr>
          <w:bCs/>
          <w:b/>
        </w:rPr>
        <w:t xml:space="preserve">Purpose.</w:t>
      </w:r>
      <w:r>
        <w:t xml:space="preserve"> </w:t>
      </w:r>
      <w:r>
        <w:t xml:space="preserve">Decide, with citations and a stored decision log, which framework, statement format, credit-loss regime and filing route apply to each legal entity in each year.</w:t>
      </w:r>
    </w:p>
    <w:bookmarkStart w:id="285" w:name="ac1.1-applicability-matrix"/>
    <w:p>
      <w:pPr>
        <w:pStyle w:val="Heading3"/>
      </w:pPr>
      <w:r>
        <w:t xml:space="preserve">AC1.1 Applicability matrix</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51"/>
        <w:gridCol w:w="1970"/>
        <w:gridCol w:w="2370"/>
        <w:gridCol w:w="1762"/>
        <w:gridCol w:w="1285"/>
      </w:tblGrid>
      <w:tr>
        <w:trPr>
          <w:tblHeader w:val="true"/>
          <w:tblHeader w:val="true"/>
        </w:trPr>
        <w:tc>
          <w:tcPr>
            <w:tcW w:w="2251" w:type="dxa"/>
            <w:shd w:val="clear" w:color="auto" w:fill="1F3A5F"/>
          </w:tcPr>
          <w:p>
            <w:pPr>
              <w:pStyle w:val="Compact"/>
              <w:spacing w:after="40"/>
              <w:jc w:val="left"/>
            </w:pPr>
            <w:r>
              <w:rPr>
                <w:b/>
                <w:color w:val="FFFFFF"/>
                <w:sz w:val="18"/>
              </w:rPr>
              <w:t xml:space="preserve">Entity</w:t>
            </w:r>
          </w:p>
        </w:tc>
        <w:tc>
          <w:tcPr>
            <w:tcW w:w="1970" w:type="dxa"/>
            <w:shd w:val="clear" w:color="auto" w:fill="1F3A5F"/>
          </w:tcPr>
          <w:p>
            <w:pPr>
              <w:pStyle w:val="Compact"/>
              <w:spacing w:after="40"/>
              <w:jc w:val="left"/>
            </w:pPr>
            <w:r>
              <w:rPr>
                <w:b/>
                <w:color w:val="FFFFFF"/>
                <w:sz w:val="18"/>
              </w:rPr>
              <w:t xml:space="preserve">Framework</w:t>
            </w:r>
          </w:p>
        </w:tc>
        <w:tc>
          <w:tcPr>
            <w:tcW w:w="2370" w:type="dxa"/>
            <w:shd w:val="clear" w:color="auto" w:fill="1F3A5F"/>
          </w:tcPr>
          <w:p>
            <w:pPr>
              <w:pStyle w:val="Compact"/>
              <w:spacing w:after="40"/>
              <w:jc w:val="left"/>
            </w:pPr>
            <w:r>
              <w:rPr>
                <w:b/>
                <w:color w:val="FFFFFF"/>
                <w:sz w:val="18"/>
              </w:rPr>
              <w:t xml:space="preserve">Statement format</w:t>
            </w:r>
          </w:p>
        </w:tc>
        <w:tc>
          <w:tcPr>
            <w:tcW w:w="1762" w:type="dxa"/>
            <w:shd w:val="clear" w:color="auto" w:fill="1F3A5F"/>
          </w:tcPr>
          <w:p>
            <w:pPr>
              <w:pStyle w:val="Compact"/>
              <w:spacing w:after="40"/>
              <w:jc w:val="left"/>
            </w:pPr>
            <w:r>
              <w:rPr>
                <w:b/>
                <w:color w:val="FFFFFF"/>
                <w:sz w:val="18"/>
              </w:rPr>
              <w:t xml:space="preserve">Credit-loss regime</w:t>
            </w:r>
          </w:p>
        </w:tc>
        <w:tc>
          <w:tcPr>
            <w:tcW w:w="1285" w:type="dxa"/>
            <w:shd w:val="clear" w:color="auto" w:fill="1F3A5F"/>
          </w:tcPr>
          <w:p>
            <w:pPr>
              <w:pStyle w:val="Compact"/>
              <w:spacing w:after="40"/>
              <w:jc w:val="left"/>
            </w:pPr>
            <w:r>
              <w:rPr>
                <w:b/>
                <w:color w:val="FFFFFF"/>
                <w:sz w:val="18"/>
              </w:rPr>
              <w:t xml:space="preserve">MCA or regulator filing</w:t>
            </w:r>
          </w:p>
        </w:tc>
      </w:tr>
      <w:tr>
        <w:tc>
          <w:tcPr>
            <w:tcW w:w="2251" w:type="dxa"/>
          </w:tcPr>
          <w:p>
            <w:pPr>
              <w:pStyle w:val="Compact"/>
              <w:spacing w:after="40"/>
              <w:jc w:val="left"/>
            </w:pPr>
            <w:r>
              <w:rPr>
                <w:sz w:val="18"/>
              </w:rPr>
              <w:t xml:space="preserve">NBFC (incl. HFC and core investment company) in Ind AS Phase I or II</w:t>
            </w:r>
          </w:p>
        </w:tc>
        <w:tc>
          <w:tcPr>
            <w:tcW w:w="1970" w:type="dxa"/>
          </w:tcPr>
          <w:p>
            <w:pPr>
              <w:pStyle w:val="Compact"/>
              <w:spacing w:after="40"/>
              <w:jc w:val="left"/>
            </w:pPr>
            <w:r>
              <w:rPr>
                <w:sz w:val="18"/>
              </w:rPr>
              <w:t xml:space="preserve">Ind AS (IND-AS r.4(1)(iii)–(iv))</w:t>
            </w:r>
          </w:p>
        </w:tc>
        <w:tc>
          <w:tcPr>
            <w:tcW w:w="2370" w:type="dxa"/>
          </w:tcPr>
          <w:p>
            <w:pPr>
              <w:pStyle w:val="Compact"/>
              <w:spacing w:after="40"/>
              <w:jc w:val="left"/>
            </w:pPr>
            <w:r>
              <w:rPr>
                <w:sz w:val="18"/>
              </w:rPr>
              <w:t xml:space="preserve">Schedule III Division III + FS Directions</w:t>
            </w:r>
          </w:p>
        </w:tc>
        <w:tc>
          <w:tcPr>
            <w:tcW w:w="1762" w:type="dxa"/>
          </w:tcPr>
          <w:p>
            <w:pPr>
              <w:pStyle w:val="Compact"/>
              <w:spacing w:after="40"/>
              <w:jc w:val="left"/>
            </w:pPr>
            <w:r>
              <w:rPr>
                <w:sz w:val="18"/>
              </w:rPr>
              <w:t xml:space="preserve">Ind AS 109 ECL with IRACP floor and Impairment Reserve (IRACP 34–36)</w:t>
            </w:r>
          </w:p>
        </w:tc>
        <w:tc>
          <w:tcPr>
            <w:tcW w:w="1285" w:type="dxa"/>
          </w:tcPr>
          <w:p>
            <w:pPr>
              <w:pStyle w:val="Compact"/>
              <w:spacing w:after="40"/>
              <w:jc w:val="left"/>
            </w:pPr>
            <w:r>
              <w:rPr>
                <w:sz w:val="18"/>
              </w:rPr>
              <w:t xml:space="preserve">AOC-4 NBFC (Ind AS); XBRL exempt</w:t>
            </w:r>
          </w:p>
        </w:tc>
      </w:tr>
      <w:tr>
        <w:tc>
          <w:tcPr>
            <w:tcW w:w="2251" w:type="dxa"/>
          </w:tcPr>
          <w:p>
            <w:pPr>
              <w:pStyle w:val="Compact"/>
              <w:spacing w:after="40"/>
              <w:jc w:val="left"/>
            </w:pPr>
            <w:r>
              <w:rPr>
                <w:sz w:val="18"/>
              </w:rPr>
              <w:t xml:space="preserve">NBFC outside Rule 4</w:t>
            </w:r>
          </w:p>
        </w:tc>
        <w:tc>
          <w:tcPr>
            <w:tcW w:w="1970" w:type="dxa"/>
          </w:tcPr>
          <w:p>
            <w:pPr>
              <w:pStyle w:val="Compact"/>
              <w:spacing w:after="40"/>
              <w:jc w:val="left"/>
            </w:pPr>
            <w:r>
              <w:rPr>
                <w:sz w:val="18"/>
              </w:rPr>
              <w:t xml:space="preserve">Companies (AS) Rules 2021, to the extent not inconsistent with RBI directions (FS 10)</w:t>
            </w:r>
          </w:p>
        </w:tc>
        <w:tc>
          <w:tcPr>
            <w:tcW w:w="2370" w:type="dxa"/>
          </w:tcPr>
          <w:p>
            <w:pPr>
              <w:pStyle w:val="Compact"/>
              <w:spacing w:after="40"/>
              <w:jc w:val="left"/>
            </w:pPr>
            <w:r>
              <w:rPr>
                <w:sz w:val="18"/>
              </w:rPr>
              <w:t xml:space="preserve">Schedule III Division I + FS Directions</w:t>
            </w:r>
          </w:p>
        </w:tc>
        <w:tc>
          <w:tcPr>
            <w:tcW w:w="1762" w:type="dxa"/>
          </w:tcPr>
          <w:p>
            <w:pPr>
              <w:pStyle w:val="Compact"/>
              <w:spacing w:after="40"/>
              <w:jc w:val="left"/>
            </w:pPr>
            <w:r>
              <w:rPr>
                <w:sz w:val="18"/>
              </w:rPr>
              <w:t xml:space="preserve">IRACP</w:t>
            </w:r>
          </w:p>
        </w:tc>
        <w:tc>
          <w:tcPr>
            <w:tcW w:w="1285" w:type="dxa"/>
          </w:tcPr>
          <w:p>
            <w:pPr>
              <w:pStyle w:val="Compact"/>
              <w:spacing w:after="40"/>
              <w:jc w:val="left"/>
            </w:pPr>
            <w:r>
              <w:rPr>
                <w:sz w:val="18"/>
              </w:rPr>
              <w:t xml:space="preserve">AOC-4; XBRL exempt</w:t>
            </w:r>
          </w:p>
        </w:tc>
      </w:tr>
      <w:tr>
        <w:tc>
          <w:tcPr>
            <w:tcW w:w="2251" w:type="dxa"/>
          </w:tcPr>
          <w:p>
            <w:pPr>
              <w:pStyle w:val="Compact"/>
              <w:spacing w:after="40"/>
              <w:jc w:val="left"/>
            </w:pPr>
            <w:r>
              <w:rPr>
                <w:sz w:val="18"/>
              </w:rPr>
              <w:t xml:space="preserve">NOFHC; NBFC with no public funds and no customer interface; BL NBFC with customer interface but no public funds</w:t>
            </w:r>
          </w:p>
        </w:tc>
        <w:tc>
          <w:tcPr>
            <w:tcW w:w="1970" w:type="dxa"/>
          </w:tcPr>
          <w:p>
            <w:pPr>
              <w:pStyle w:val="Compact"/>
              <w:spacing w:after="40"/>
              <w:jc w:val="left"/>
            </w:pPr>
            <w:r>
              <w:rPr>
                <w:sz w:val="18"/>
              </w:rPr>
              <w:t xml:space="preserve">As above</w:t>
            </w:r>
          </w:p>
        </w:tc>
        <w:tc>
          <w:tcPr>
            <w:tcW w:w="2370" w:type="dxa"/>
          </w:tcPr>
          <w:p>
            <w:pPr>
              <w:pStyle w:val="Compact"/>
              <w:spacing w:after="40"/>
              <w:jc w:val="left"/>
            </w:pPr>
            <w:r>
              <w:rPr>
                <w:sz w:val="18"/>
              </w:rPr>
              <w:t xml:space="preserve">Schedule III; FS Directions not applicable (FS 8(i)–(iii))</w:t>
            </w:r>
          </w:p>
        </w:tc>
        <w:tc>
          <w:tcPr>
            <w:tcW w:w="1762" w:type="dxa"/>
          </w:tcPr>
          <w:p>
            <w:pPr>
              <w:pStyle w:val="Compact"/>
              <w:spacing w:after="40"/>
              <w:jc w:val="left"/>
            </w:pPr>
            <w:r>
              <w:rPr>
                <w:sz w:val="18"/>
              </w:rPr>
              <w:t xml:space="preserve">IRACP</w:t>
            </w:r>
          </w:p>
        </w:tc>
        <w:tc>
          <w:tcPr>
            <w:tcW w:w="1285" w:type="dxa"/>
          </w:tcPr>
          <w:p>
            <w:pPr>
              <w:pStyle w:val="Compact"/>
              <w:spacing w:after="40"/>
              <w:jc w:val="left"/>
            </w:pPr>
            <w:r>
              <w:rPr>
                <w:sz w:val="18"/>
              </w:rPr>
              <w:t xml:space="preserve">As above</w:t>
            </w:r>
          </w:p>
        </w:tc>
      </w:tr>
      <w:tr>
        <w:tc>
          <w:tcPr>
            <w:tcW w:w="2251" w:type="dxa"/>
          </w:tcPr>
          <w:p>
            <w:pPr>
              <w:pStyle w:val="Compact"/>
              <w:spacing w:after="40"/>
              <w:jc w:val="left"/>
            </w:pPr>
            <w:r>
              <w:rPr>
                <w:sz w:val="18"/>
              </w:rPr>
              <w:t xml:space="preserve">ARC</w:t>
            </w:r>
          </w:p>
        </w:tc>
        <w:tc>
          <w:tcPr>
            <w:tcW w:w="1970" w:type="dxa"/>
          </w:tcPr>
          <w:p>
            <w:pPr>
              <w:pStyle w:val="Compact"/>
              <w:spacing w:after="40"/>
              <w:jc w:val="left"/>
            </w:pPr>
            <w:r>
              <w:rPr>
                <w:sz w:val="18"/>
              </w:rPr>
              <w:t xml:space="preserve">Ind AS if a Rule 4 limb applies, else AS + RBI ARC norms [VERIFY: Rule 4 limb]</w:t>
            </w:r>
          </w:p>
        </w:tc>
        <w:tc>
          <w:tcPr>
            <w:tcW w:w="2370" w:type="dxa"/>
          </w:tcPr>
          <w:p>
            <w:pPr>
              <w:pStyle w:val="Compact"/>
              <w:spacing w:after="40"/>
              <w:jc w:val="left"/>
            </w:pPr>
            <w:r>
              <w:rPr>
                <w:sz w:val="18"/>
              </w:rPr>
              <w:t xml:space="preserve">Schedule III Div III or I</w:t>
            </w:r>
          </w:p>
        </w:tc>
        <w:tc>
          <w:tcPr>
            <w:tcW w:w="1762" w:type="dxa"/>
          </w:tcPr>
          <w:p>
            <w:pPr>
              <w:pStyle w:val="Compact"/>
              <w:spacing w:after="40"/>
              <w:jc w:val="left"/>
            </w:pPr>
            <w:r>
              <w:rPr>
                <w:sz w:val="18"/>
              </w:rPr>
              <w:t xml:space="preserve">SR NAV valuation; ARC provisioning</w:t>
            </w:r>
          </w:p>
        </w:tc>
        <w:tc>
          <w:tcPr>
            <w:tcW w:w="1285" w:type="dxa"/>
          </w:tcPr>
          <w:p>
            <w:pPr>
              <w:pStyle w:val="Compact"/>
              <w:spacing w:after="40"/>
              <w:jc w:val="left"/>
            </w:pPr>
            <w:r>
              <w:rPr>
                <w:sz w:val="18"/>
              </w:rPr>
              <w:t xml:space="preserve">AOC-4 [VERIFY: XBRL]</w:t>
            </w:r>
          </w:p>
        </w:tc>
      </w:tr>
      <w:tr>
        <w:tc>
          <w:tcPr>
            <w:tcW w:w="2251" w:type="dxa"/>
          </w:tcPr>
          <w:p>
            <w:pPr>
              <w:pStyle w:val="Compact"/>
              <w:spacing w:after="40"/>
              <w:jc w:val="left"/>
            </w:pPr>
            <w:r>
              <w:rPr>
                <w:sz w:val="18"/>
              </w:rPr>
              <w:t xml:space="preserve">Commercial bank (SCB)</w:t>
            </w:r>
          </w:p>
        </w:tc>
        <w:tc>
          <w:tcPr>
            <w:tcW w:w="1970" w:type="dxa"/>
          </w:tcPr>
          <w:p>
            <w:pPr>
              <w:pStyle w:val="Compact"/>
              <w:spacing w:after="40"/>
              <w:jc w:val="left"/>
            </w:pPr>
            <w:r>
              <w:rPr>
                <w:sz w:val="18"/>
              </w:rPr>
              <w:t xml:space="preserve">AS + RBI; Ind AS deferred</w:t>
            </w:r>
            <w:r>
              <w:rPr>
                <w:sz w:val="18"/>
              </w:rPr>
              <w:t xml:space="preserve"> </w:t>
            </w:r>
            <w:r>
              <w:rPr>
                <w:sz w:val="18"/>
              </w:rPr>
              <w:t xml:space="preserve">“</w:t>
            </w:r>
            <w:r>
              <w:rPr>
                <w:sz w:val="18"/>
              </w:rPr>
              <w:t xml:space="preserve">till further notice</w:t>
            </w:r>
            <w:r>
              <w:rPr>
                <w:sz w:val="18"/>
              </w:rPr>
              <w:t xml:space="preserve">”</w:t>
            </w:r>
            <w:r>
              <w:rPr>
                <w:sz w:val="18"/>
              </w:rPr>
              <w:t xml:space="preserve"> </w:t>
            </w:r>
            <w:r>
              <w:rPr>
                <w:sz w:val="18"/>
              </w:rPr>
              <w:t xml:space="preserve">(RBI/2018-2019/146, 22 Mar 2019)</w:t>
            </w:r>
          </w:p>
        </w:tc>
        <w:tc>
          <w:tcPr>
            <w:tcW w:w="2370" w:type="dxa"/>
          </w:tcPr>
          <w:p>
            <w:pPr>
              <w:pStyle w:val="Compact"/>
              <w:spacing w:after="40"/>
              <w:jc w:val="left"/>
            </w:pPr>
            <w:r>
              <w:rPr>
                <w:sz w:val="18"/>
              </w:rPr>
              <w:t xml:space="preserve">BR Act s.29 Third Schedule Form A (Schedules 1–12), Form B (13–16)</w:t>
            </w:r>
          </w:p>
        </w:tc>
        <w:tc>
          <w:tcPr>
            <w:tcW w:w="1762" w:type="dxa"/>
          </w:tcPr>
          <w:p>
            <w:pPr>
              <w:pStyle w:val="Compact"/>
              <w:spacing w:after="40"/>
              <w:jc w:val="left"/>
            </w:pPr>
            <w:r>
              <w:rPr>
                <w:sz w:val="18"/>
              </w:rPr>
              <w:t xml:space="preserve">IRACP to 31 Mar 2027;</w:t>
            </w:r>
            <w:r>
              <w:rPr>
                <w:sz w:val="18"/>
              </w:rPr>
              <w:t xml:space="preserve"> </w:t>
            </w:r>
            <w:r>
              <w:rPr>
                <w:bCs/>
                <w:b/>
                <w:sz w:val="18"/>
              </w:rPr>
              <w:t xml:space="preserve">ECL from 1 Apr 2027</w:t>
            </w:r>
            <w:r>
              <w:rPr>
                <w:sz w:val="18"/>
              </w:rPr>
              <w:t xml:space="preserve"> </w:t>
            </w:r>
            <w:r>
              <w:rPr>
                <w:sz w:val="18"/>
              </w:rPr>
              <w:t xml:space="preserve">(RBI/DOR/2026-27/398)</w:t>
            </w:r>
          </w:p>
        </w:tc>
        <w:tc>
          <w:tcPr>
            <w:tcW w:w="1285" w:type="dxa"/>
          </w:tcPr>
          <w:p>
            <w:pPr>
              <w:pStyle w:val="Compact"/>
              <w:spacing w:after="40"/>
              <w:jc w:val="left"/>
            </w:pPr>
            <w:r>
              <w:rPr>
                <w:sz w:val="18"/>
              </w:rPr>
              <w:t xml:space="preserve">XBRL exempt</w:t>
            </w:r>
            <w:r>
              <w:rPr>
                <w:sz w:val="18"/>
              </w:rPr>
              <w:t xml:space="preserve"> </w:t>
            </w:r>
            <w:r>
              <w:rPr>
                <w:sz w:val="18"/>
              </w:rPr>
              <w:t xml:space="preserve">“</w:t>
            </w:r>
            <w:r>
              <w:rPr>
                <w:sz w:val="18"/>
              </w:rPr>
              <w:t xml:space="preserve">till further order</w:t>
            </w:r>
            <w:r>
              <w:rPr>
                <w:sz w:val="18"/>
              </w:rPr>
              <w:t xml:space="preserve">”</w:t>
            </w:r>
          </w:p>
        </w:tc>
      </w:tr>
      <w:tr>
        <w:tc>
          <w:tcPr>
            <w:tcW w:w="2251" w:type="dxa"/>
          </w:tcPr>
          <w:p>
            <w:pPr>
              <w:pStyle w:val="Compact"/>
              <w:spacing w:after="40"/>
              <w:jc w:val="left"/>
            </w:pPr>
            <w:r>
              <w:rPr>
                <w:sz w:val="18"/>
              </w:rPr>
              <w:t xml:space="preserve">SFB, payments bank, LAB, RRB</w:t>
            </w:r>
          </w:p>
        </w:tc>
        <w:tc>
          <w:tcPr>
            <w:tcW w:w="1970" w:type="dxa"/>
          </w:tcPr>
          <w:p>
            <w:pPr>
              <w:pStyle w:val="Compact"/>
              <w:spacing w:after="40"/>
              <w:jc w:val="left"/>
            </w:pPr>
            <w:r>
              <w:rPr>
                <w:sz w:val="18"/>
              </w:rPr>
              <w:t xml:space="preserve">AS + RBI</w:t>
            </w:r>
          </w:p>
        </w:tc>
        <w:tc>
          <w:tcPr>
            <w:tcW w:w="2370" w:type="dxa"/>
          </w:tcPr>
          <w:p>
            <w:pPr>
              <w:pStyle w:val="Compact"/>
              <w:spacing w:after="40"/>
              <w:jc w:val="left"/>
            </w:pPr>
            <w:r>
              <w:rPr>
                <w:sz w:val="18"/>
              </w:rPr>
              <w:t xml:space="preserve">Third Schedule</w:t>
            </w:r>
          </w:p>
        </w:tc>
        <w:tc>
          <w:tcPr>
            <w:tcW w:w="1762" w:type="dxa"/>
          </w:tcPr>
          <w:p>
            <w:pPr>
              <w:pStyle w:val="Compact"/>
              <w:spacing w:after="40"/>
              <w:jc w:val="left"/>
            </w:pPr>
            <w:r>
              <w:rPr>
                <w:sz w:val="18"/>
              </w:rPr>
              <w:t xml:space="preserve">IRACP; outside the 2026 bank ECL Directions [VERIFY]</w:t>
            </w:r>
          </w:p>
        </w:tc>
        <w:tc>
          <w:tcPr>
            <w:tcW w:w="1285" w:type="dxa"/>
          </w:tcPr>
          <w:p>
            <w:pPr>
              <w:pStyle w:val="Compact"/>
              <w:spacing w:after="40"/>
              <w:jc w:val="left"/>
            </w:pPr>
            <w:r>
              <w:rPr>
                <w:sz w:val="18"/>
              </w:rPr>
              <w:t xml:space="preserve">As banks</w:t>
            </w:r>
          </w:p>
        </w:tc>
      </w:tr>
      <w:tr>
        <w:tc>
          <w:tcPr>
            <w:tcW w:w="2251" w:type="dxa"/>
          </w:tcPr>
          <w:p>
            <w:pPr>
              <w:pStyle w:val="Compact"/>
              <w:spacing w:after="40"/>
              <w:jc w:val="left"/>
            </w:pPr>
            <w:r>
              <w:rPr>
                <w:sz w:val="18"/>
              </w:rPr>
              <w:t xml:space="preserve">UCB</w:t>
            </w:r>
          </w:p>
        </w:tc>
        <w:tc>
          <w:tcPr>
            <w:tcW w:w="1970" w:type="dxa"/>
          </w:tcPr>
          <w:p>
            <w:pPr>
              <w:pStyle w:val="Compact"/>
              <w:spacing w:after="40"/>
              <w:jc w:val="left"/>
            </w:pPr>
            <w:r>
              <w:rPr>
                <w:sz w:val="18"/>
              </w:rPr>
              <w:t xml:space="preserve">AS (ICAI Large) + RBI</w:t>
            </w:r>
          </w:p>
        </w:tc>
        <w:tc>
          <w:tcPr>
            <w:tcW w:w="2370" w:type="dxa"/>
          </w:tcPr>
          <w:p>
            <w:pPr>
              <w:pStyle w:val="Compact"/>
              <w:spacing w:after="40"/>
              <w:jc w:val="left"/>
            </w:pPr>
            <w:r>
              <w:rPr>
                <w:sz w:val="18"/>
              </w:rPr>
              <w:t xml:space="preserve">Third Schedule via BR Act s.56</w:t>
            </w:r>
          </w:p>
        </w:tc>
        <w:tc>
          <w:tcPr>
            <w:tcW w:w="1762" w:type="dxa"/>
          </w:tcPr>
          <w:p>
            <w:pPr>
              <w:pStyle w:val="Compact"/>
              <w:spacing w:after="40"/>
              <w:jc w:val="left"/>
            </w:pPr>
            <w:r>
              <w:rPr>
                <w:sz w:val="18"/>
              </w:rPr>
              <w:t xml:space="preserve">UCB IRACP</w:t>
            </w:r>
          </w:p>
        </w:tc>
        <w:tc>
          <w:tcPr>
            <w:tcW w:w="1285" w:type="dxa"/>
          </w:tcPr>
          <w:p>
            <w:pPr>
              <w:pStyle w:val="Compact"/>
              <w:spacing w:after="40"/>
              <w:jc w:val="left"/>
            </w:pPr>
            <w:r>
              <w:rPr>
                <w:sz w:val="18"/>
              </w:rPr>
              <w:t xml:space="preserve">Not a company; RBI and Registrar</w:t>
            </w:r>
          </w:p>
        </w:tc>
      </w:tr>
      <w:tr>
        <w:tc>
          <w:tcPr>
            <w:tcW w:w="2251" w:type="dxa"/>
          </w:tcPr>
          <w:p>
            <w:pPr>
              <w:pStyle w:val="Compact"/>
              <w:spacing w:after="40"/>
              <w:jc w:val="left"/>
            </w:pPr>
            <w:r>
              <w:rPr>
                <w:sz w:val="18"/>
              </w:rPr>
              <w:t xml:space="preserve">StCB, DCCB</w:t>
            </w:r>
          </w:p>
        </w:tc>
        <w:tc>
          <w:tcPr>
            <w:tcW w:w="1970" w:type="dxa"/>
          </w:tcPr>
          <w:p>
            <w:pPr>
              <w:pStyle w:val="Compact"/>
              <w:spacing w:after="40"/>
              <w:jc w:val="left"/>
            </w:pPr>
            <w:r>
              <w:rPr>
                <w:sz w:val="18"/>
              </w:rPr>
              <w:t xml:space="preserve">AS + NABARD</w:t>
            </w:r>
          </w:p>
        </w:tc>
        <w:tc>
          <w:tcPr>
            <w:tcW w:w="2370" w:type="dxa"/>
          </w:tcPr>
          <w:p>
            <w:pPr>
              <w:pStyle w:val="Compact"/>
              <w:spacing w:after="40"/>
              <w:jc w:val="left"/>
            </w:pPr>
            <w:r>
              <w:rPr>
                <w:sz w:val="18"/>
              </w:rPr>
              <w:t xml:space="preserve">Third Schedule; NABARD formats; State Act</w:t>
            </w:r>
          </w:p>
        </w:tc>
        <w:tc>
          <w:tcPr>
            <w:tcW w:w="1762" w:type="dxa"/>
          </w:tcPr>
          <w:p>
            <w:pPr>
              <w:pStyle w:val="Compact"/>
              <w:spacing w:after="40"/>
              <w:jc w:val="left"/>
            </w:pPr>
            <w:r>
              <w:rPr>
                <w:sz w:val="18"/>
              </w:rPr>
              <w:t xml:space="preserve">RBI/NABARD IRAC</w:t>
            </w:r>
          </w:p>
        </w:tc>
        <w:tc>
          <w:tcPr>
            <w:tcW w:w="1285" w:type="dxa"/>
          </w:tcPr>
          <w:p>
            <w:pPr>
              <w:pStyle w:val="Compact"/>
              <w:spacing w:after="40"/>
              <w:jc w:val="left"/>
            </w:pPr>
            <w:r>
              <w:rPr>
                <w:sz w:val="18"/>
              </w:rPr>
              <w:t xml:space="preserve">Registrar; NABARD</w:t>
            </w:r>
          </w:p>
        </w:tc>
      </w:tr>
      <w:tr>
        <w:tc>
          <w:tcPr>
            <w:tcW w:w="2251" w:type="dxa"/>
          </w:tcPr>
          <w:p>
            <w:pPr>
              <w:pStyle w:val="Compact"/>
              <w:spacing w:after="40"/>
              <w:jc w:val="left"/>
            </w:pPr>
            <w:r>
              <w:rPr>
                <w:sz w:val="18"/>
              </w:rPr>
              <w:t xml:space="preserve">Credit co-operative society (state)</w:t>
            </w:r>
          </w:p>
        </w:tc>
        <w:tc>
          <w:tcPr>
            <w:tcW w:w="1970" w:type="dxa"/>
          </w:tcPr>
          <w:p>
            <w:pPr>
              <w:pStyle w:val="Compact"/>
              <w:spacing w:after="40"/>
              <w:jc w:val="left"/>
            </w:pPr>
            <w:r>
              <w:rPr>
                <w:sz w:val="18"/>
              </w:rPr>
              <w:t xml:space="preserve">State Act formats; ICAI AS where the Act is silent (SCS)</w:t>
            </w:r>
          </w:p>
        </w:tc>
        <w:tc>
          <w:tcPr>
            <w:tcW w:w="2370" w:type="dxa"/>
          </w:tcPr>
          <w:p>
            <w:pPr>
              <w:pStyle w:val="Compact"/>
              <w:spacing w:after="40"/>
              <w:jc w:val="left"/>
            </w:pPr>
            <w:r>
              <w:rPr>
                <w:sz w:val="18"/>
              </w:rPr>
              <w:t xml:space="preserve">Act/Registrar format</w:t>
            </w:r>
          </w:p>
        </w:tc>
        <w:tc>
          <w:tcPr>
            <w:tcW w:w="1762" w:type="dxa"/>
          </w:tcPr>
          <w:p>
            <w:pPr>
              <w:pStyle w:val="Compact"/>
              <w:spacing w:after="40"/>
              <w:jc w:val="left"/>
            </w:pPr>
            <w:r>
              <w:rPr>
                <w:sz w:val="18"/>
              </w:rPr>
              <w:t xml:space="preserve">Registrar norms [VERIFY per state]</w:t>
            </w:r>
          </w:p>
        </w:tc>
        <w:tc>
          <w:tcPr>
            <w:tcW w:w="1285" w:type="dxa"/>
          </w:tcPr>
          <w:p>
            <w:pPr>
              <w:pStyle w:val="Compact"/>
              <w:spacing w:after="40"/>
              <w:jc w:val="left"/>
            </w:pPr>
            <w:r>
              <w:rPr>
                <w:sz w:val="18"/>
              </w:rPr>
              <w:t xml:space="preserve">Registrar returns (Part 7B RR1.5)</w:t>
            </w:r>
          </w:p>
        </w:tc>
      </w:tr>
      <w:tr>
        <w:tc>
          <w:tcPr>
            <w:tcW w:w="2251" w:type="dxa"/>
          </w:tcPr>
          <w:p>
            <w:pPr>
              <w:pStyle w:val="Compact"/>
              <w:spacing w:after="40"/>
              <w:jc w:val="left"/>
            </w:pPr>
            <w:r>
              <w:rPr>
                <w:sz w:val="18"/>
              </w:rPr>
              <w:t xml:space="preserve">Multi-state credit co-operative society</w:t>
            </w:r>
          </w:p>
        </w:tc>
        <w:tc>
          <w:tcPr>
            <w:tcW w:w="1970" w:type="dxa"/>
          </w:tcPr>
          <w:p>
            <w:pPr>
              <w:pStyle w:val="Compact"/>
              <w:spacing w:after="40"/>
              <w:jc w:val="left"/>
            </w:pPr>
            <w:r>
              <w:rPr>
                <w:sz w:val="18"/>
              </w:rPr>
              <w:t xml:space="preserve">MSCS Act 2002 (amended 2023) and Rules (MSCS)</w:t>
            </w:r>
          </w:p>
        </w:tc>
        <w:tc>
          <w:tcPr>
            <w:tcW w:w="2370" w:type="dxa"/>
          </w:tcPr>
          <w:p>
            <w:pPr>
              <w:pStyle w:val="Compact"/>
              <w:spacing w:after="40"/>
              <w:jc w:val="left"/>
            </w:pPr>
            <w:r>
              <w:rPr>
                <w:sz w:val="18"/>
              </w:rPr>
              <w:t xml:space="preserve">Rules format [VERIFY]</w:t>
            </w:r>
          </w:p>
        </w:tc>
        <w:tc>
          <w:tcPr>
            <w:tcW w:w="1762" w:type="dxa"/>
          </w:tcPr>
          <w:p>
            <w:pPr>
              <w:pStyle w:val="Compact"/>
              <w:spacing w:after="40"/>
              <w:jc w:val="left"/>
            </w:pPr>
            <w:r>
              <w:rPr>
                <w:sz w:val="18"/>
              </w:rPr>
              <w:t xml:space="preserve">Per Rules [VERIFY]</w:t>
            </w:r>
          </w:p>
        </w:tc>
        <w:tc>
          <w:tcPr>
            <w:tcW w:w="1285" w:type="dxa"/>
          </w:tcPr>
          <w:p>
            <w:pPr>
              <w:pStyle w:val="Compact"/>
              <w:spacing w:after="40"/>
              <w:jc w:val="left"/>
            </w:pPr>
            <w:r>
              <w:rPr>
                <w:sz w:val="18"/>
              </w:rPr>
              <w:t xml:space="preserve">CRCS</w:t>
            </w:r>
          </w:p>
        </w:tc>
      </w:tr>
      <w:tr>
        <w:tc>
          <w:tcPr>
            <w:tcW w:w="2251" w:type="dxa"/>
          </w:tcPr>
          <w:p>
            <w:pPr>
              <w:pStyle w:val="Compact"/>
              <w:spacing w:after="40"/>
              <w:jc w:val="left"/>
            </w:pPr>
            <w:r>
              <w:rPr>
                <w:sz w:val="18"/>
              </w:rPr>
              <w:t xml:space="preserve">Non-company entity (trust, LLP, partnership, AIF trust)</w:t>
            </w:r>
          </w:p>
        </w:tc>
        <w:tc>
          <w:tcPr>
            <w:tcW w:w="1970" w:type="dxa"/>
          </w:tcPr>
          <w:p>
            <w:pPr>
              <w:pStyle w:val="Compact"/>
              <w:spacing w:after="40"/>
              <w:jc w:val="left"/>
            </w:pPr>
            <w:r>
              <w:rPr>
                <w:sz w:val="18"/>
              </w:rPr>
              <w:t xml:space="preserve">ICAI AS under the ICAI scheme for non-company entities (MSME or Large)</w:t>
            </w:r>
          </w:p>
        </w:tc>
        <w:tc>
          <w:tcPr>
            <w:tcW w:w="2370" w:type="dxa"/>
          </w:tcPr>
          <w:p>
            <w:pPr>
              <w:pStyle w:val="Compact"/>
              <w:spacing w:after="40"/>
              <w:jc w:val="left"/>
            </w:pPr>
            <w:r>
              <w:rPr>
                <w:sz w:val="18"/>
              </w:rPr>
              <w:t xml:space="preserve">ICAI format or SEBI format for AIFs [VERIFY]</w:t>
            </w:r>
          </w:p>
        </w:tc>
        <w:tc>
          <w:tcPr>
            <w:tcW w:w="1762" w:type="dxa"/>
          </w:tcPr>
          <w:p>
            <w:pPr>
              <w:pStyle w:val="Compact"/>
              <w:spacing w:after="40"/>
              <w:jc w:val="left"/>
            </w:pPr>
            <w:r>
              <w:rPr>
                <w:sz w:val="18"/>
              </w:rPr>
              <w:t xml:space="preserve">AS; fair value for AIFs (SEBI)</w:t>
            </w:r>
          </w:p>
        </w:tc>
        <w:tc>
          <w:tcPr>
            <w:tcW w:w="1285" w:type="dxa"/>
          </w:tcPr>
          <w:p>
            <w:pPr>
              <w:pStyle w:val="Compact"/>
              <w:spacing w:after="40"/>
              <w:jc w:val="left"/>
            </w:pPr>
            <w:r>
              <w:rPr>
                <w:sz w:val="18"/>
              </w:rPr>
              <w:t xml:space="preserve">Not MCA unless LLP (Form 8) [VERIFY]</w:t>
            </w:r>
          </w:p>
        </w:tc>
      </w:tr>
      <w:tr>
        <w:tc>
          <w:tcPr>
            <w:tcW w:w="2251" w:type="dxa"/>
          </w:tcPr>
          <w:p>
            <w:pPr>
              <w:pStyle w:val="Compact"/>
              <w:spacing w:after="40"/>
              <w:jc w:val="left"/>
            </w:pPr>
            <w:r>
              <w:rPr>
                <w:sz w:val="18"/>
              </w:rPr>
              <w:t xml:space="preserve">IFSC Banking Unit</w:t>
            </w:r>
          </w:p>
        </w:tc>
        <w:tc>
          <w:tcPr>
            <w:tcW w:w="1970" w:type="dxa"/>
          </w:tcPr>
          <w:p>
            <w:pPr>
              <w:pStyle w:val="Compact"/>
              <w:spacing w:after="40"/>
              <w:jc w:val="left"/>
            </w:pPr>
            <w:r>
              <w:rPr>
                <w:sz w:val="18"/>
              </w:rPr>
              <w:t xml:space="preserve">IFRS as issued by the IASB (IFSCA, 30 Jul 2021)</w:t>
            </w:r>
          </w:p>
        </w:tc>
        <w:tc>
          <w:tcPr>
            <w:tcW w:w="2370" w:type="dxa"/>
          </w:tcPr>
          <w:p>
            <w:pPr>
              <w:pStyle w:val="Compact"/>
              <w:spacing w:after="40"/>
              <w:jc w:val="left"/>
            </w:pPr>
            <w:r>
              <w:rPr>
                <w:sz w:val="18"/>
              </w:rPr>
              <w:t xml:space="preserve">IFRS, USD</w:t>
            </w:r>
          </w:p>
        </w:tc>
        <w:tc>
          <w:tcPr>
            <w:tcW w:w="1762" w:type="dxa"/>
          </w:tcPr>
          <w:p>
            <w:pPr>
              <w:pStyle w:val="Compact"/>
              <w:spacing w:after="40"/>
              <w:jc w:val="left"/>
            </w:pPr>
            <w:r>
              <w:rPr>
                <w:sz w:val="18"/>
              </w:rPr>
              <w:t xml:space="preserve">IFSCA IRAC</w:t>
            </w:r>
          </w:p>
        </w:tc>
        <w:tc>
          <w:tcPr>
            <w:tcW w:w="1285" w:type="dxa"/>
          </w:tcPr>
          <w:p>
            <w:pPr>
              <w:pStyle w:val="Compact"/>
              <w:spacing w:after="40"/>
              <w:jc w:val="left"/>
            </w:pPr>
            <w:r>
              <w:rPr>
                <w:sz w:val="18"/>
              </w:rPr>
              <w:t xml:space="preserve">IFSCA</w:t>
            </w:r>
          </w:p>
        </w:tc>
      </w:tr>
      <w:tr>
        <w:tc>
          <w:tcPr>
            <w:tcW w:w="2251" w:type="dxa"/>
          </w:tcPr>
          <w:p>
            <w:pPr>
              <w:pStyle w:val="Compact"/>
              <w:spacing w:after="40"/>
              <w:jc w:val="left"/>
            </w:pPr>
            <w:r>
              <w:rPr>
                <w:sz w:val="18"/>
              </w:rPr>
              <w:t xml:space="preserve">IFSCA Finance Company or Finance Unit</w:t>
            </w:r>
          </w:p>
        </w:tc>
        <w:tc>
          <w:tcPr>
            <w:tcW w:w="1970" w:type="dxa"/>
          </w:tcPr>
          <w:p>
            <w:pPr>
              <w:pStyle w:val="Compact"/>
              <w:spacing w:after="40"/>
              <w:jc w:val="left"/>
            </w:pPr>
            <w:r>
              <w:rPr>
                <w:sz w:val="18"/>
              </w:rPr>
              <w:t xml:space="preserve">[VERIFY: Ind AS or IFRS]; FU follows parent GAAP with separate books</w:t>
            </w:r>
          </w:p>
        </w:tc>
        <w:tc>
          <w:tcPr>
            <w:tcW w:w="2370" w:type="dxa"/>
          </w:tcPr>
          <w:p>
            <w:pPr>
              <w:pStyle w:val="Compact"/>
              <w:spacing w:after="40"/>
              <w:jc w:val="left"/>
            </w:pPr>
            <w:r>
              <w:rPr>
                <w:sz w:val="18"/>
              </w:rPr>
              <w:t xml:space="preserve">USD balance sheet (IFSCA-FC reg 6) + governance-circular disclosures (owned-fund components, off-balance-sheet, top 5 NPAs)</w:t>
            </w:r>
          </w:p>
        </w:tc>
        <w:tc>
          <w:tcPr>
            <w:tcW w:w="1762" w:type="dxa"/>
          </w:tcPr>
          <w:p>
            <w:pPr>
              <w:pStyle w:val="Compact"/>
              <w:spacing w:after="40"/>
              <w:jc w:val="left"/>
            </w:pPr>
            <w:r>
              <w:rPr>
                <w:sz w:val="18"/>
              </w:rPr>
              <w:t xml:space="preserve">IFSCA prudential</w:t>
            </w:r>
          </w:p>
        </w:tc>
        <w:tc>
          <w:tcPr>
            <w:tcW w:w="1285" w:type="dxa"/>
          </w:tcPr>
          <w:p>
            <w:pPr>
              <w:pStyle w:val="Compact"/>
              <w:spacing w:after="40"/>
              <w:jc w:val="left"/>
            </w:pPr>
            <w:r>
              <w:rPr>
                <w:sz w:val="18"/>
              </w:rPr>
              <w:t xml:space="preserve">IFSCA; MCA if a company</w:t>
            </w:r>
          </w:p>
        </w:tc>
      </w:tr>
      <w:tr>
        <w:tc>
          <w:tcPr>
            <w:tcW w:w="2251" w:type="dxa"/>
          </w:tcPr>
          <w:p>
            <w:pPr>
              <w:pStyle w:val="Compact"/>
              <w:spacing w:after="40"/>
              <w:jc w:val="left"/>
            </w:pPr>
            <w:r>
              <w:rPr>
                <w:sz w:val="18"/>
              </w:rPr>
              <w:t xml:space="preserve">Group company (non-financial, e.g. Udofin)</w:t>
            </w:r>
          </w:p>
        </w:tc>
        <w:tc>
          <w:tcPr>
            <w:tcW w:w="1970" w:type="dxa"/>
          </w:tcPr>
          <w:p>
            <w:pPr>
              <w:pStyle w:val="Compact"/>
              <w:spacing w:after="40"/>
              <w:jc w:val="left"/>
            </w:pPr>
            <w:r>
              <w:rPr>
                <w:sz w:val="18"/>
              </w:rPr>
              <w:t xml:space="preserve">Ind AS (listed other than SME exchange, or net worth ≥ ₹250 crore) or AS</w:t>
            </w:r>
          </w:p>
        </w:tc>
        <w:tc>
          <w:tcPr>
            <w:tcW w:w="2370" w:type="dxa"/>
          </w:tcPr>
          <w:p>
            <w:pPr>
              <w:pStyle w:val="Compact"/>
              <w:spacing w:after="40"/>
              <w:jc w:val="left"/>
            </w:pPr>
            <w:r>
              <w:rPr>
                <w:sz w:val="18"/>
              </w:rPr>
              <w:t xml:space="preserve">Schedule III Div II or I</w:t>
            </w:r>
          </w:p>
        </w:tc>
        <w:tc>
          <w:tcPr>
            <w:tcW w:w="1762" w:type="dxa"/>
          </w:tcPr>
          <w:p>
            <w:pPr>
              <w:pStyle w:val="Compact"/>
              <w:spacing w:after="40"/>
              <w:jc w:val="left"/>
            </w:pPr>
            <w:r>
              <w:rPr>
                <w:sz w:val="18"/>
              </w:rPr>
              <w:t xml:space="preserve">Simplified ECL on receivables (Ind AS)</w:t>
            </w:r>
          </w:p>
        </w:tc>
        <w:tc>
          <w:tcPr>
            <w:tcW w:w="1285" w:type="dxa"/>
          </w:tcPr>
          <w:p>
            <w:pPr>
              <w:pStyle w:val="Compact"/>
              <w:spacing w:after="40"/>
              <w:jc w:val="left"/>
            </w:pPr>
            <w:r>
              <w:rPr>
                <w:sz w:val="18"/>
              </w:rPr>
              <w:t xml:space="preserve">AOC-4; XBRL if triggered</w:t>
            </w:r>
          </w:p>
        </w:tc>
      </w:tr>
    </w:tbl>
    <w:bookmarkEnd w:id="285"/>
    <w:bookmarkStart w:id="286" w:name="ac1.2-rule-pack-details"/>
    <w:p>
      <w:pPr>
        <w:pStyle w:val="Heading3"/>
      </w:pPr>
      <w:r>
        <w:t xml:space="preserve">AC1.2 Rule pack details</w:t>
      </w:r>
    </w:p>
    <w:p>
      <w:pPr>
        <w:numPr>
          <w:ilvl w:val="0"/>
          <w:numId w:val="1309"/>
        </w:numPr>
        <w:pStyle w:val="Compact"/>
      </w:pPr>
      <w:r>
        <w:rPr>
          <w:bCs/>
          <w:b/>
        </w:rPr>
        <w:t xml:space="preserve">Ind AS for NBFCs [LAW]</w:t>
      </w:r>
      <w:r>
        <w:t xml:space="preserve"> </w:t>
      </w:r>
      <w:r>
        <w:t xml:space="preserve">(Companies (Indian Accounting Standards) Rules 2015, as amended 2016):</w:t>
      </w:r>
    </w:p>
    <w:p>
      <w:pPr>
        <w:numPr>
          <w:ilvl w:val="1"/>
          <w:numId w:val="1310"/>
        </w:numPr>
        <w:pStyle w:val="Compact"/>
      </w:pPr>
      <w:r>
        <w:rPr>
          <w:bCs/>
          <w:b/>
        </w:rPr>
        <w:t xml:space="preserve">Phase I, r.4(1)(iii):</w:t>
      </w:r>
      <w:r>
        <w:t xml:space="preserve"> </w:t>
      </w:r>
      <w:r>
        <w:t xml:space="preserve">periods beginning on or after 1 Apr 2018 (comparatives for 31 Mar 2018) for NBFCs with net worth ≥ ₹500 crore, and their holding, subsidiary, JV and associate companies.</w:t>
      </w:r>
    </w:p>
    <w:p>
      <w:pPr>
        <w:numPr>
          <w:ilvl w:val="1"/>
          <w:numId w:val="1310"/>
        </w:numPr>
        <w:pStyle w:val="Compact"/>
      </w:pPr>
      <w:r>
        <w:rPr>
          <w:bCs/>
          <w:b/>
        </w:rPr>
        <w:t xml:space="preserve">Phase II, r.4(1)(iv):</w:t>
      </w:r>
      <w:r>
        <w:t xml:space="preserve"> </w:t>
      </w:r>
      <w:r>
        <w:t xml:space="preserve">periods beginning on or after 1 Apr 2019 for NBFCs listed or being listed (in India or abroad) with net worth &lt; ₹500 crore, and unlisted NBFCs with net worth ₹250 crore to &lt; ₹500 crore, and their group companies.</w:t>
      </w:r>
    </w:p>
    <w:p>
      <w:pPr>
        <w:numPr>
          <w:ilvl w:val="1"/>
          <w:numId w:val="1310"/>
        </w:numPr>
        <w:pStyle w:val="Compact"/>
      </w:pPr>
      <w:r>
        <w:rPr>
          <w:bCs/>
          <w:b/>
        </w:rPr>
        <w:t xml:space="preserve">Net worth test:</w:t>
      </w:r>
      <w:r>
        <w:t xml:space="preserve"> </w:t>
      </w:r>
      <w:r>
        <w:t xml:space="preserve">standalone net worth on 31 Mar 2016; a later entrant uses its first audited statements; a later threshold-crosser applies from the following period (IND-AS r.4).</w:t>
      </w:r>
    </w:p>
    <w:p>
      <w:pPr>
        <w:numPr>
          <w:ilvl w:val="1"/>
          <w:numId w:val="1310"/>
        </w:numPr>
        <w:pStyle w:val="Compact"/>
      </w:pPr>
      <w:r>
        <w:rPr>
          <w:bCs/>
          <w:b/>
        </w:rPr>
        <w:t xml:space="preserve">NBFC definition (r.2(g)):</w:t>
      </w:r>
      <w:r>
        <w:t xml:space="preserve"> </w:t>
      </w:r>
      <w:r>
        <w:t xml:space="preserve">refers to RBI Act s.45-I(f) and lists 13 types incl. HFCs and core investment companies; ARCs are not listed.</w:t>
      </w:r>
    </w:p>
    <w:p>
      <w:pPr>
        <w:numPr>
          <w:ilvl w:val="1"/>
          <w:numId w:val="1310"/>
        </w:numPr>
        <w:pStyle w:val="Compact"/>
      </w:pPr>
      <w:r>
        <w:t xml:space="preserve">Voluntary adoption is not available to NBFCs [VERIFY]; once on Ind AS, an entity cannot revert (r.4(2)) [VERIFY: numbering]; in a mixed group each entity follows its own roadmap but supplies Ind AS figures for the parent’s consolidated statements.</w:t>
      </w:r>
    </w:p>
    <w:p>
      <w:pPr>
        <w:numPr>
          <w:ilvl w:val="0"/>
          <w:numId w:val="1309"/>
        </w:numPr>
        <w:pStyle w:val="Compact"/>
      </w:pPr>
      <w:r>
        <w:rPr>
          <w:bCs/>
          <w:b/>
        </w:rPr>
        <w:t xml:space="preserve">Non-NBFC companies [LAW; VERIFY]:</w:t>
      </w:r>
      <w:r>
        <w:t xml:space="preserve"> </w:t>
      </w:r>
      <w:r>
        <w:t xml:space="preserve">Phase I from FY 2016-17 (net worth ≥ ₹500 crore); Phase II from FY 2017-18 (listed other than SME exchange, or net worth ≥ ₹250 crore); voluntary adoption allowed.</w:t>
      </w:r>
    </w:p>
    <w:p>
      <w:pPr>
        <w:numPr>
          <w:ilvl w:val="0"/>
          <w:numId w:val="1309"/>
        </w:numPr>
        <w:pStyle w:val="Compact"/>
      </w:pPr>
      <w:r>
        <w:rPr>
          <w:bCs/>
          <w:b/>
        </w:rPr>
        <w:t xml:space="preserve">Banks [REG]:</w:t>
      </w:r>
      <w:r>
        <w:t xml:space="preserve"> </w:t>
      </w:r>
      <w:r>
        <w:t xml:space="preserve">Ind AS deferred for SCBs (excluding RRBs) by RBI/2018-2019/146, DBR.BP.BC.No.29/21.07.001/2018-19. The RBI (Commercial Banks – Asset Classification, Provisioning and Income Recognition) Directions, 2026, RBI/DOR/2026-27/398, 27 Apr 2026, bring ECL without Ind AS from</w:t>
      </w:r>
      <w:r>
        <w:t xml:space="preserve"> </w:t>
      </w:r>
      <w:r>
        <w:rPr>
          <w:bCs/>
          <w:b/>
        </w:rPr>
        <w:t xml:space="preserve">1 Apr 2027</w:t>
      </w:r>
      <w:r>
        <w:t xml:space="preserve"> </w:t>
      </w:r>
      <w:r>
        <w:t xml:space="preserve">for banking companies other than SFBs, PBs and LABs, plus nationalised banks and SBI (paras 2–4) (AC2.6).</w:t>
      </w:r>
    </w:p>
    <w:p>
      <w:pPr>
        <w:numPr>
          <w:ilvl w:val="0"/>
          <w:numId w:val="1309"/>
        </w:numPr>
        <w:pStyle w:val="Compact"/>
      </w:pPr>
      <w:r>
        <w:rPr>
          <w:bCs/>
          <w:b/>
        </w:rPr>
        <w:t xml:space="preserve">ICAI scheme for non-company entities [ICAI]</w:t>
      </w:r>
      <w:r>
        <w:t xml:space="preserve"> </w:t>
      </w:r>
      <w:r>
        <w:t xml:space="preserve">(periods from 1 Apr 2024, superseding the March 2021 scheme):</w:t>
      </w:r>
      <w:r>
        <w:t xml:space="preserve"> </w:t>
      </w:r>
      <w:r>
        <w:rPr>
          <w:bCs/>
          <w:b/>
        </w:rPr>
        <w:t xml:space="preserve">MSME</w:t>
      </w:r>
      <w:r>
        <w:t xml:space="preserve"> </w:t>
      </w:r>
      <w:r>
        <w:t xml:space="preserve">if all hold: not listed or being listed; not a bank, FI or insurer; turnover (excluding other income) ≤ ₹250 crore; borrowings never above ₹50 crore in the preceding year; not a holding or subsidiary of a non-MSME. Otherwise</w:t>
      </w:r>
      <w:r>
        <w:t xml:space="preserve"> </w:t>
      </w:r>
      <w:r>
        <w:rPr>
          <w:bCs/>
          <w:b/>
        </w:rPr>
        <w:t xml:space="preserve">Large</w:t>
      </w:r>
      <w:r>
        <w:t xml:space="preserve"> </w:t>
      </w:r>
      <w:r>
        <w:t xml:space="preserve">(all banks and FIs are Large). MSME relaxations: AS 3, 17 and 24 do not apply; AS 18 and 28 do not apply where turnover ≤ ₹50 crore and borrowings ≤ ₹10 crore; AS 15, 19, 22 (current tax only), 28 and 29 relaxed.</w:t>
      </w:r>
    </w:p>
    <w:p>
      <w:pPr>
        <w:numPr>
          <w:ilvl w:val="0"/>
          <w:numId w:val="1309"/>
        </w:numPr>
        <w:pStyle w:val="Compact"/>
      </w:pPr>
      <w:r>
        <w:rPr>
          <w:bCs/>
          <w:b/>
        </w:rPr>
        <w:t xml:space="preserve">IFSC [REG]:</w:t>
      </w:r>
      <w:r>
        <w:t xml:space="preserve"> </w:t>
      </w:r>
      <w:r>
        <w:t xml:space="preserve">IBUs use IFRS from the period starting 1 Oct 2021 if the parent already reports under IFRS, otherwise from 1 Apr 2022 (IFSCA F.No.383/IFSCA/IFSC RULE BOOK/IFRS/IRAC NORMS/1); IFSCA may allow parent GAAP case by case. USD books for IFSC companies were recommended by the 2022 IFSCA working group (recommendation only).</w:t>
      </w:r>
    </w:p>
    <w:bookmarkEnd w:id="286"/>
    <w:bookmarkStart w:id="287" w:name="ac1.3-rules-engine"/>
    <w:p>
      <w:pPr>
        <w:pStyle w:val="Heading3"/>
      </w:pPr>
      <w:r>
        <w:t xml:space="preserve">AC1.3 Rules engine</w:t>
      </w:r>
    </w:p>
    <w:p>
      <w:pPr>
        <w:pStyle w:val="FirstParagraph"/>
      </w:pPr>
      <w:r>
        <w:rPr>
          <w:bCs/>
          <w:b/>
        </w:rPr>
        <w:t xml:space="preserve">Inputs:</w:t>
      </w:r>
      <w:r>
        <w:t xml:space="preserve"> </w:t>
      </w:r>
      <w:r>
        <w:rPr>
          <w:rStyle w:val="VerbatimChar"/>
        </w:rPr>
        <w:t xml:space="preserve">legal_form</w:t>
      </w:r>
      <w:r>
        <w:t xml:space="preserve">,</w:t>
      </w:r>
      <w:r>
        <w:t xml:space="preserve"> </w:t>
      </w:r>
      <w:r>
        <w:rPr>
          <w:rStyle w:val="VerbatimChar"/>
        </w:rPr>
        <w:t xml:space="preserve">regulator_class</w:t>
      </w:r>
      <w:r>
        <w:t xml:space="preserve">,</w:t>
      </w:r>
      <w:r>
        <w:t xml:space="preserve"> </w:t>
      </w:r>
      <w:r>
        <w:rPr>
          <w:rStyle w:val="VerbatimChar"/>
        </w:rPr>
        <w:t xml:space="preserve">layer</w:t>
      </w:r>
      <w:r>
        <w:t xml:space="preserve">,</w:t>
      </w:r>
      <w:r>
        <w:t xml:space="preserve"> </w:t>
      </w:r>
      <w:r>
        <w:rPr>
          <w:rStyle w:val="VerbatimChar"/>
        </w:rPr>
        <w:t xml:space="preserve">deposit_taking</w:t>
      </w:r>
      <w:r>
        <w:t xml:space="preserve">,</w:t>
      </w:r>
      <w:r>
        <w:t xml:space="preserve"> </w:t>
      </w:r>
      <w:r>
        <w:rPr>
          <w:rStyle w:val="VerbatimChar"/>
        </w:rPr>
        <w:t xml:space="preserve">listed</w:t>
      </w:r>
      <w:r>
        <w:t xml:space="preserve"> </w:t>
      </w:r>
      <w:r>
        <w:t xml:space="preserve">(exchange, country, SME flag),</w:t>
      </w:r>
      <w:r>
        <w:t xml:space="preserve"> </w:t>
      </w:r>
      <w:r>
        <w:rPr>
          <w:rStyle w:val="VerbatimChar"/>
        </w:rPr>
        <w:t xml:space="preserve">net_worth</w:t>
      </w:r>
      <w:r>
        <w:t xml:space="preserve"> </w:t>
      </w:r>
      <w:r>
        <w:t xml:space="preserve">with as-of date, group links (holding, subsidiary, JV, associate) with each linked entity’s framework,</w:t>
      </w:r>
      <w:r>
        <w:t xml:space="preserve"> </w:t>
      </w:r>
      <w:r>
        <w:rPr>
          <w:rStyle w:val="VerbatimChar"/>
        </w:rPr>
        <w:t xml:space="preserve">first_ind_as_year</w:t>
      </w:r>
      <w:r>
        <w:t xml:space="preserve">, and for non-company entities</w:t>
      </w:r>
      <w:r>
        <w:t xml:space="preserve"> </w:t>
      </w:r>
      <w:r>
        <w:rPr>
          <w:rStyle w:val="VerbatimChar"/>
        </w:rPr>
        <w:t xml:space="preserve">turnover_prev</w:t>
      </w:r>
      <w:r>
        <w:t xml:space="preserve">,</w:t>
      </w:r>
      <w:r>
        <w:t xml:space="preserve"> </w:t>
      </w:r>
      <w:r>
        <w:rPr>
          <w:rStyle w:val="VerbatimChar"/>
        </w:rPr>
        <w:t xml:space="preserve">max_borrowings_prev</w:t>
      </w:r>
      <w:r>
        <w:t xml:space="preserve">,</w:t>
      </w:r>
      <w:r>
        <w:t xml:space="preserve"> </w:t>
      </w:r>
      <w:r>
        <w:rPr>
          <w:rStyle w:val="VerbatimChar"/>
        </w:rPr>
        <w:t xml:space="preserve">is_bank_fi_insurer</w:t>
      </w:r>
      <w:r>
        <w:t xml:space="preserve">,</w:t>
      </w:r>
      <w:r>
        <w:t xml:space="preserve"> </w:t>
      </w:r>
      <w:r>
        <w:rPr>
          <w:rStyle w:val="VerbatimChar"/>
        </w:rPr>
        <w:t xml:space="preserve">parent_is_non_msme</w:t>
      </w:r>
      <w:r>
        <w:t xml:space="preserve">.</w:t>
      </w:r>
    </w:p>
    <w:p>
      <w:pPr>
        <w:pStyle w:val="SourceCode"/>
      </w:pPr>
      <w:r>
        <w:rPr>
          <w:rStyle w:val="VerbatimChar"/>
        </w:rPr>
        <w:t xml:space="preserve">if regulator_class in {SCB, SFB, PB, LAB, RRB, UCB, StCB, DCCB}:</w:t>
      </w:r>
      <w:r>
        <w:br/>
      </w:r>
      <w:r>
        <w:rPr>
          <w:rStyle w:val="VerbatimChar"/>
        </w:rPr>
        <w:t xml:space="preserve">    fw = AS_BANK; fmt = BR_THIRD_SCHEDULE</w:t>
      </w:r>
      <w:r>
        <w:br/>
      </w:r>
      <w:r>
        <w:rPr>
          <w:rStyle w:val="VerbatimChar"/>
        </w:rPr>
        <w:t xml:space="preserve">    loss = (regulator_class == SCB and fy &gt;= "2027-28") ? RBI_BANK_ECL_2026 : IRACP_BANK</w:t>
      </w:r>
      <w:r>
        <w:br/>
      </w:r>
      <w:r>
        <w:rPr>
          <w:rStyle w:val="VerbatimChar"/>
        </w:rPr>
        <w:t xml:space="preserve">elif regulator_class == IFSC_IBU: fw = IFRS; ccy = USD</w:t>
      </w:r>
      <w:r>
        <w:br/>
      </w:r>
      <w:r>
        <w:rPr>
          <w:rStyle w:val="VerbatimChar"/>
        </w:rPr>
        <w:t xml:space="preserve">elif regulator_class in {IFSCA_FC, IFSCA_FU}: fw = PROFILE_SETTING [VERIFY]; ccy = USD</w:t>
      </w:r>
      <w:r>
        <w:br/>
      </w:r>
      <w:r>
        <w:rPr>
          <w:rStyle w:val="VerbatimChar"/>
        </w:rPr>
        <w:t xml:space="preserve">elif legal_form == COMPANY:</w:t>
      </w:r>
      <w:r>
        <w:br/>
      </w:r>
      <w:r>
        <w:rPr>
          <w:rStyle w:val="VerbatimChar"/>
        </w:rPr>
        <w:t xml:space="preserve">    if first_ind_as_year != null: fw = IND_AS                       # sticky</w:t>
      </w:r>
      <w:r>
        <w:br/>
      </w:r>
      <w:r>
        <w:rPr>
          <w:rStyle w:val="VerbatimChar"/>
        </w:rPr>
        <w:t xml:space="preserve">    elif nbfc_type in IND_AS_RULE_2G_LIST:                           # incl. HFC, core investment co; ARC excluded [VERIFY]</w:t>
      </w:r>
      <w:r>
        <w:br/>
      </w:r>
      <w:r>
        <w:rPr>
          <w:rStyle w:val="VerbatimChar"/>
        </w:rPr>
        <w:t xml:space="preserve">        if nw_2016 &gt;= 500cr or group_link(PHASE_I): fw = IND_AS from FY2018-19</w:t>
      </w:r>
      <w:r>
        <w:br/>
      </w:r>
      <w:r>
        <w:rPr>
          <w:rStyle w:val="VerbatimChar"/>
        </w:rPr>
        <w:t xml:space="preserve">        elif listed or 250cr &lt;= nw &lt; 500cr or group_link(PHASE_II): fw = IND_AS from FY2019-20</w:t>
      </w:r>
      <w:r>
        <w:br/>
      </w:r>
      <w:r>
        <w:rPr>
          <w:rStyle w:val="VerbatimChar"/>
        </w:rPr>
        <w:t xml:space="preserve">        else: fw = AS_2021                                           # no voluntary adoption [VERIFY]</w:t>
      </w:r>
      <w:r>
        <w:br/>
      </w:r>
      <w:r>
        <w:rPr>
          <w:rStyle w:val="VerbatimChar"/>
        </w:rPr>
        <w:t xml:space="preserve">    else: non-NBFC roadmap; voluntary allowed</w:t>
      </w:r>
      <w:r>
        <w:br/>
      </w:r>
      <w:r>
        <w:rPr>
          <w:rStyle w:val="VerbatimChar"/>
        </w:rPr>
        <w:t xml:space="preserve">    fmt = IND_AS ? (nbfc ? SCH3_DIV3 : SCH3_DIV2) : SCH3_DIV1</w:t>
      </w:r>
      <w:r>
        <w:br/>
      </w:r>
      <w:r>
        <w:rPr>
          <w:rStyle w:val="VerbatimChar"/>
        </w:rPr>
        <w:t xml:space="preserve">elif legal_form == COOPERATIVE: fw = ACT_FORMAT + ICAI_AS(size(entity))</w:t>
      </w:r>
      <w:r>
        <w:br/>
      </w:r>
      <w:r>
        <w:rPr>
          <w:rStyle w:val="VerbatimChar"/>
        </w:rPr>
        <w:t xml:space="preserve">else: fw = ICAI_AS; size = MSME if all(msme_tests) else LARGE</w:t>
      </w:r>
    </w:p>
    <w:p>
      <w:pPr>
        <w:pStyle w:val="FirstParagraph"/>
      </w:pPr>
      <w:r>
        <w:rPr>
          <w:bCs/>
          <w:b/>
        </w:rPr>
        <w:t xml:space="preserve">Outputs per entity-year:</w:t>
      </w:r>
      <w:r>
        <w:t xml:space="preserve"> </w:t>
      </w:r>
      <w:r>
        <w:t xml:space="preserve">framework, currency, statement set, disclosure packs (FS C.1 all; C.2 ML/UL; C.3 UL), loss engines to run (IRACP always for RBI-regulated lenders; Ind AS ECL; bank ECL), CARO flag, MCA form route, s.204 secretarial-audit flag (Part 7F), IAF flag (deposit-taking or ≥ ₹5,000 crore; Part 7D), cyber chapter (CYB Ch III, IV or V), statutory-audit band (&lt; ₹1,000 crore; ₹1,000–15,000 crore; &gt; ₹15,000 crore; SA 11–15).</w:t>
      </w:r>
    </w:p>
    <w:p>
      <w:pPr>
        <w:pStyle w:val="BodyText"/>
      </w:pPr>
      <w:r>
        <w:rPr>
          <w:bCs/>
          <w:b/>
        </w:rPr>
        <w:t xml:space="preserve">Decision log.</w:t>
      </w:r>
      <w:r>
        <w:t xml:space="preserve"> </w:t>
      </w:r>
      <w:r>
        <w:t xml:space="preserve">Each run stores inputs hash, rule-pack version, result, citations and approver (CFO). The engine re-runs at each FY start and on any change of layer, listing, net worth or group links. A change of framework mid-year is blocked; transition to Ind AS opens a transition project (opening balance sheet, Ind AS 101 elections, comparative restatement).</w:t>
      </w:r>
    </w:p>
    <w:bookmarkEnd w:id="287"/>
    <w:bookmarkStart w:id="288" w:name="acceptance-tests-11"/>
    <w:p>
      <w:pPr>
        <w:pStyle w:val="Heading3"/>
      </w:pPr>
      <w:r>
        <w:t xml:space="preserve">Acceptance tests</w:t>
      </w:r>
    </w:p>
    <w:p>
      <w:pPr>
        <w:numPr>
          <w:ilvl w:val="0"/>
          <w:numId w:val="1311"/>
        </w:numPr>
        <w:pStyle w:val="Compact"/>
      </w:pPr>
      <w:r>
        <w:t xml:space="preserve">An unlisted NBFC with net worth ₹320 crore on 31 Mar 2016 resolves to Ind AS from FY 2019-20, Division III, with IRACP and ECL engines on.</w:t>
      </w:r>
    </w:p>
    <w:p>
      <w:pPr>
        <w:numPr>
          <w:ilvl w:val="0"/>
          <w:numId w:val="1311"/>
        </w:numPr>
        <w:pStyle w:val="Compact"/>
      </w:pPr>
      <w:r>
        <w:t xml:space="preserve">A listed NBFC with net worth ₹40 crore resolves to Ind AS Phase II; an unlisted NBFC with ₹40 crore and no Ind AS group link resolves to AS 2021, Division I.</w:t>
      </w:r>
    </w:p>
    <w:p>
      <w:pPr>
        <w:numPr>
          <w:ilvl w:val="0"/>
          <w:numId w:val="1311"/>
        </w:numPr>
        <w:pStyle w:val="Compact"/>
      </w:pPr>
      <w:r>
        <w:t xml:space="preserve">An SCB resolves to IRACP for FY 2026-27 and to bank ECL for FY 2027-28; an SFB never resolves to bank ECL.</w:t>
      </w:r>
    </w:p>
    <w:p>
      <w:pPr>
        <w:numPr>
          <w:ilvl w:val="0"/>
          <w:numId w:val="1311"/>
        </w:numPr>
        <w:pStyle w:val="Compact"/>
      </w:pPr>
      <w:r>
        <w:t xml:space="preserve">A partnership with turnover ₹180 crore and peak borrowings ₹60 crore in the preceding year resolves to ICAI Large.</w:t>
      </w:r>
    </w:p>
    <w:p>
      <w:pPr>
        <w:numPr>
          <w:ilvl w:val="0"/>
          <w:numId w:val="1311"/>
        </w:numPr>
        <w:pStyle w:val="Compact"/>
      </w:pPr>
      <w:r>
        <w:t xml:space="preserve">An entity with</w:t>
      </w:r>
      <w:r>
        <w:t xml:space="preserve"> </w:t>
      </w:r>
      <w:r>
        <w:rPr>
          <w:rStyle w:val="VerbatimChar"/>
        </w:rPr>
        <w:t xml:space="preserve">first_ind_as_year</w:t>
      </w:r>
      <w:r>
        <w:t xml:space="preserve"> </w:t>
      </w:r>
      <w:r>
        <w:t xml:space="preserve">set cannot be resolved to AS by any input change.</w:t>
      </w:r>
    </w:p>
    <w:p>
      <w:r>
        <w:pict>
          <v:rect style="width:0;height:1.5pt" o:hralign="center" o:hrstd="t" o:hr="t"/>
        </w:pict>
      </w:r>
    </w:p>
    <w:bookmarkEnd w:id="288"/>
    <w:bookmarkEnd w:id="289"/>
    <w:bookmarkStart w:id="299" w:name="X40f5cd939af33cd5059022e83a79aa11b13f87b"/>
    <w:p>
      <w:pPr>
        <w:pStyle w:val="Heading2"/>
      </w:pPr>
      <w:r>
        <w:t xml:space="preserve">AC2. Multi-framework ledger and prudential overlay</w:t>
      </w:r>
    </w:p>
    <w:p>
      <w:pPr>
        <w:pStyle w:val="FirstParagraph"/>
      </w:pPr>
      <w:r>
        <w:rPr>
          <w:bCs/>
          <w:b/>
        </w:rPr>
        <w:t xml:space="preserve">Purpose.</w:t>
      </w:r>
      <w:r>
        <w:t xml:space="preserve"> </w:t>
      </w:r>
      <w:r>
        <w:t xml:space="preserve">One journal, several books: statutory books under the resolved framework, a prudential memo book for IRACP, a tax memo book, and parallel books where a transition or a group parent requires them, all reconciled.</w:t>
      </w:r>
    </w:p>
    <w:bookmarkStart w:id="290" w:name="ac2.1-book-model"/>
    <w:p>
      <w:pPr>
        <w:pStyle w:val="Heading3"/>
      </w:pPr>
      <w:r>
        <w:t xml:space="preserve">AC2.1 Book model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77"/>
        <w:gridCol w:w="4522"/>
        <w:gridCol w:w="3339"/>
      </w:tblGrid>
      <w:tr>
        <w:trPr>
          <w:tblHeader w:val="true"/>
          <w:tblHeader w:val="true"/>
        </w:trPr>
        <w:tc>
          <w:tcPr>
            <w:tcW w:w="1777" w:type="dxa"/>
            <w:shd w:val="clear" w:color="auto" w:fill="1F3A5F"/>
          </w:tcPr>
          <w:p>
            <w:pPr>
              <w:pStyle w:val="Compact"/>
              <w:spacing w:after="40"/>
              <w:jc w:val="left"/>
            </w:pPr>
            <w:r>
              <w:rPr>
                <w:b/>
                <w:color w:val="FFFFFF"/>
                <w:sz w:val="18"/>
              </w:rPr>
              <w:t xml:space="preserve">Book</w:t>
            </w:r>
          </w:p>
        </w:tc>
        <w:tc>
          <w:tcPr>
            <w:tcW w:w="4522" w:type="dxa"/>
            <w:shd w:val="clear" w:color="auto" w:fill="1F3A5F"/>
          </w:tcPr>
          <w:p>
            <w:pPr>
              <w:pStyle w:val="Compact"/>
              <w:spacing w:after="40"/>
              <w:jc w:val="left"/>
            </w:pPr>
            <w:r>
              <w:rPr>
                <w:b/>
                <w:color w:val="FFFFFF"/>
                <w:sz w:val="18"/>
              </w:rPr>
              <w:t xml:space="preserve">Basis</w:t>
            </w:r>
          </w:p>
        </w:tc>
        <w:tc>
          <w:tcPr>
            <w:tcW w:w="3339" w:type="dxa"/>
            <w:shd w:val="clear" w:color="auto" w:fill="1F3A5F"/>
          </w:tcPr>
          <w:p>
            <w:pPr>
              <w:pStyle w:val="Compact"/>
              <w:spacing w:after="40"/>
              <w:jc w:val="left"/>
            </w:pPr>
            <w:r>
              <w:rPr>
                <w:b/>
                <w:color w:val="FFFFFF"/>
                <w:sz w:val="18"/>
              </w:rPr>
              <w:t xml:space="preserve">Use</w:t>
            </w:r>
          </w:p>
        </w:tc>
      </w:tr>
      <w:tr>
        <w:tc>
          <w:tcPr>
            <w:tcW w:w="1777" w:type="dxa"/>
          </w:tcPr>
          <w:p>
            <w:pPr>
              <w:pStyle w:val="Compact"/>
              <w:spacing w:after="40"/>
              <w:jc w:val="left"/>
            </w:pPr>
            <w:r>
              <w:rPr>
                <w:rStyle w:val="VerbatimChar"/>
                <w:sz w:val="18"/>
              </w:rPr>
              <w:t xml:space="preserve">STAT</w:t>
            </w:r>
          </w:p>
        </w:tc>
        <w:tc>
          <w:tcPr>
            <w:tcW w:w="4522" w:type="dxa"/>
          </w:tcPr>
          <w:p>
            <w:pPr>
              <w:pStyle w:val="Compact"/>
              <w:spacing w:after="40"/>
              <w:jc w:val="left"/>
            </w:pPr>
            <w:r>
              <w:rPr>
                <w:sz w:val="18"/>
              </w:rPr>
              <w:t xml:space="preserve">Ind AS, AS 2021, ICAI AS, bank AS, co-operative Act format or IFRS (AC1)</w:t>
            </w:r>
          </w:p>
        </w:tc>
        <w:tc>
          <w:tcPr>
            <w:tcW w:w="3339" w:type="dxa"/>
          </w:tcPr>
          <w:p>
            <w:pPr>
              <w:pStyle w:val="Compact"/>
              <w:spacing w:after="40"/>
              <w:jc w:val="left"/>
            </w:pPr>
            <w:r>
              <w:rPr>
                <w:sz w:val="18"/>
              </w:rPr>
              <w:t xml:space="preserve">Statutory statements, MCA filings, audited returns</w:t>
            </w:r>
          </w:p>
        </w:tc>
      </w:tr>
      <w:tr>
        <w:tc>
          <w:tcPr>
            <w:tcW w:w="1777" w:type="dxa"/>
          </w:tcPr>
          <w:p>
            <w:pPr>
              <w:pStyle w:val="Compact"/>
              <w:spacing w:after="40"/>
              <w:jc w:val="left"/>
            </w:pPr>
            <w:r>
              <w:rPr>
                <w:rStyle w:val="VerbatimChar"/>
                <w:sz w:val="18"/>
              </w:rPr>
              <w:t xml:space="preserve">PRUD</w:t>
            </w:r>
          </w:p>
        </w:tc>
        <w:tc>
          <w:tcPr>
            <w:tcW w:w="4522" w:type="dxa"/>
          </w:tcPr>
          <w:p>
            <w:pPr>
              <w:pStyle w:val="Compact"/>
              <w:spacing w:after="40"/>
              <w:jc w:val="left"/>
            </w:pPr>
            <w:r>
              <w:rPr>
                <w:sz w:val="18"/>
              </w:rPr>
              <w:t xml:space="preserve">IRACP (memo): borrower-wise classification, NPA income on realisation (IRACP 38), standard, restructured and NPA provisions</w:t>
            </w:r>
          </w:p>
        </w:tc>
        <w:tc>
          <w:tcPr>
            <w:tcW w:w="3339" w:type="dxa"/>
          </w:tcPr>
          <w:p>
            <w:pPr>
              <w:pStyle w:val="Compact"/>
              <w:spacing w:after="40"/>
              <w:jc w:val="left"/>
            </w:pPr>
            <w:r>
              <w:rPr>
                <w:sz w:val="18"/>
              </w:rPr>
              <w:t xml:space="preserve">Impairment Reserve test, FS 21(15) table, DNBS returns, CRAR inputs</w:t>
            </w:r>
          </w:p>
        </w:tc>
      </w:tr>
      <w:tr>
        <w:tc>
          <w:tcPr>
            <w:tcW w:w="1777" w:type="dxa"/>
          </w:tcPr>
          <w:p>
            <w:pPr>
              <w:pStyle w:val="Compact"/>
              <w:spacing w:after="40"/>
              <w:jc w:val="left"/>
            </w:pPr>
            <w:r>
              <w:rPr>
                <w:rStyle w:val="VerbatimChar"/>
                <w:sz w:val="18"/>
              </w:rPr>
              <w:t xml:space="preserve">TAX</w:t>
            </w:r>
          </w:p>
        </w:tc>
        <w:tc>
          <w:tcPr>
            <w:tcW w:w="4522" w:type="dxa"/>
          </w:tcPr>
          <w:p>
            <w:pPr>
              <w:pStyle w:val="Compact"/>
              <w:spacing w:after="40"/>
              <w:jc w:val="left"/>
            </w:pPr>
            <w:r>
              <w:rPr>
                <w:sz w:val="18"/>
              </w:rPr>
              <w:t xml:space="preserve">ITA25 (memo): s.56 receipt basis for NPA interest of notified classes, s.31 deductions</w:t>
            </w:r>
          </w:p>
        </w:tc>
        <w:tc>
          <w:tcPr>
            <w:tcW w:w="3339" w:type="dxa"/>
          </w:tcPr>
          <w:p>
            <w:pPr>
              <w:pStyle w:val="Compact"/>
              <w:spacing w:after="40"/>
              <w:jc w:val="left"/>
            </w:pPr>
            <w:r>
              <w:rPr>
                <w:sz w:val="18"/>
              </w:rPr>
              <w:t xml:space="preserve">Tax computation and Form 26 data (AC5)</w:t>
            </w:r>
          </w:p>
        </w:tc>
      </w:tr>
      <w:tr>
        <w:tc>
          <w:tcPr>
            <w:tcW w:w="1777" w:type="dxa"/>
          </w:tcPr>
          <w:p>
            <w:pPr>
              <w:pStyle w:val="Compact"/>
              <w:spacing w:after="40"/>
              <w:jc w:val="left"/>
            </w:pPr>
            <w:r>
              <w:rPr>
                <w:rStyle w:val="VerbatimChar"/>
                <w:sz w:val="18"/>
              </w:rPr>
              <w:t xml:space="preserve">PARALLEL</w:t>
            </w:r>
            <w:r>
              <w:rPr>
                <w:sz w:val="18"/>
              </w:rPr>
              <w:t xml:space="preserve"> </w:t>
            </w:r>
            <w:r>
              <w:rPr>
                <w:sz w:val="18"/>
              </w:rPr>
              <w:t xml:space="preserve">(optional)</w:t>
            </w:r>
          </w:p>
        </w:tc>
        <w:tc>
          <w:tcPr>
            <w:tcW w:w="4522" w:type="dxa"/>
          </w:tcPr>
          <w:p>
            <w:pPr>
              <w:pStyle w:val="Compact"/>
              <w:spacing w:after="40"/>
              <w:jc w:val="left"/>
            </w:pPr>
            <w:r>
              <w:rPr>
                <w:sz w:val="18"/>
              </w:rPr>
              <w:t xml:space="preserve">Bank ECL in parallel run before 1 Apr 2027; IFRS for a foreign parent; Ind AS transition shadow</w:t>
            </w:r>
          </w:p>
        </w:tc>
        <w:tc>
          <w:tcPr>
            <w:tcW w:w="3339" w:type="dxa"/>
          </w:tcPr>
          <w:p>
            <w:pPr>
              <w:pStyle w:val="Compact"/>
              <w:spacing w:after="40"/>
              <w:jc w:val="left"/>
            </w:pPr>
            <w:r>
              <w:rPr>
                <w:sz w:val="18"/>
              </w:rPr>
              <w:t xml:space="preserve">Transition and group reporting</w:t>
            </w:r>
          </w:p>
        </w:tc>
      </w:tr>
    </w:tbl>
    <w:p>
      <w:pPr>
        <w:numPr>
          <w:ilvl w:val="0"/>
          <w:numId w:val="1312"/>
        </w:numPr>
        <w:pStyle w:val="Compact"/>
      </w:pPr>
      <w:r>
        <w:rPr>
          <w:bCs/>
          <w:b/>
        </w:rPr>
        <w:t xml:space="preserve">Mechanics:</w:t>
      </w:r>
      <w:r>
        <w:t xml:space="preserve"> </w:t>
      </w:r>
      <w:r>
        <w:t xml:space="preserve">postings carry</w:t>
      </w:r>
      <w:r>
        <w:t xml:space="preserve"> </w:t>
      </w:r>
      <w:r>
        <w:rPr>
          <w:rStyle w:val="VerbatimChar"/>
        </w:rPr>
        <w:t xml:space="preserve">book_set</w:t>
      </w:r>
      <w:r>
        <w:t xml:space="preserve">; shared postings apply to every book; book-specific adjustments live in adjustment layers (e.g. Ind AS EIR amortisation in</w:t>
      </w:r>
      <w:r>
        <w:t xml:space="preserve"> </w:t>
      </w:r>
      <w:r>
        <w:rPr>
          <w:rStyle w:val="VerbatimChar"/>
        </w:rPr>
        <w:t xml:space="preserve">STAT</w:t>
      </w:r>
      <w:r>
        <w:t xml:space="preserve">, NPA interest derecognition in</w:t>
      </w:r>
      <w:r>
        <w:t xml:space="preserve"> </w:t>
      </w:r>
      <w:r>
        <w:rPr>
          <w:rStyle w:val="VerbatimChar"/>
        </w:rPr>
        <w:t xml:space="preserve">PRUD</w:t>
      </w:r>
      <w:r>
        <w:t xml:space="preserve">). Trial balance per book = base + layer. Periods lock per book.</w:t>
      </w:r>
    </w:p>
    <w:p>
      <w:pPr>
        <w:numPr>
          <w:ilvl w:val="0"/>
          <w:numId w:val="1312"/>
        </w:numPr>
        <w:pStyle w:val="Compact"/>
      </w:pPr>
      <w:r>
        <w:rPr>
          <w:bCs/>
          <w:b/>
        </w:rPr>
        <w:t xml:space="preserve">Reconciliation:</w:t>
      </w:r>
      <w:r>
        <w:t xml:space="preserve"> </w:t>
      </w:r>
      <w:r>
        <w:t xml:space="preserve">a book-difference report explains every</w:t>
      </w:r>
      <w:r>
        <w:t xml:space="preserve"> </w:t>
      </w:r>
      <w:r>
        <w:rPr>
          <w:rStyle w:val="VerbatimChar"/>
        </w:rPr>
        <w:t xml:space="preserve">STAT</w:t>
      </w:r>
      <w:r>
        <w:t xml:space="preserve"> </w:t>
      </w:r>
      <w:r>
        <w:t xml:space="preserve">vs</w:t>
      </w:r>
      <w:r>
        <w:t xml:space="preserve"> </w:t>
      </w:r>
      <w:r>
        <w:rPr>
          <w:rStyle w:val="VerbatimChar"/>
        </w:rPr>
        <w:t xml:space="preserve">PRUD</w:t>
      </w:r>
      <w:r>
        <w:t xml:space="preserve"> </w:t>
      </w:r>
      <w:r>
        <w:t xml:space="preserve">difference by cause (EIR, ECL vs IRACP, income derecognition, fair value) and feeds the FS 21(15) table and DNBS03.</w:t>
      </w:r>
    </w:p>
    <w:p>
      <w:pPr>
        <w:numPr>
          <w:ilvl w:val="0"/>
          <w:numId w:val="1312"/>
        </w:numPr>
        <w:pStyle w:val="Compact"/>
      </w:pPr>
      <w:r>
        <w:rPr>
          <w:bCs/>
          <w:b/>
        </w:rPr>
        <w:t xml:space="preserve">Single source:</w:t>
      </w:r>
      <w:r>
        <w:t xml:space="preserve"> </w:t>
      </w:r>
      <w:r>
        <w:t xml:space="preserve">the loan sub-ledger (M6) feeds all books; no book is re-keyed.</w:t>
      </w:r>
    </w:p>
    <w:bookmarkEnd w:id="290"/>
    <w:bookmarkStart w:id="291" w:name="Xe5ff51b27df1f73de6eb29bf8ead136dacb63ee"/>
    <w:p>
      <w:pPr>
        <w:pStyle w:val="Heading3"/>
      </w:pPr>
      <w:r>
        <w:t xml:space="preserve">AC2.2 Ind AS 109 governance gates (extends M10 item 5; FS 12(1))</w:t>
      </w:r>
    </w:p>
    <w:p>
      <w:pPr>
        <w:numPr>
          <w:ilvl w:val="0"/>
          <w:numId w:val="1313"/>
        </w:numPr>
        <w:pStyle w:val="Compact"/>
      </w:pPr>
      <w:r>
        <w:t xml:space="preserve">Board-approved business-model policy, policy on sales out of amortised cost and ECL methodology are recorded with version and Board date; a model or parameter change needs Board approval and a sensitivity file and cannot be back-dated to smooth profit (FS 12(1)(i)–(iii), from RBI/2019-20/170, 13 Mar 2020).</w:t>
      </w:r>
    </w:p>
    <w:p>
      <w:pPr>
        <w:numPr>
          <w:ilvl w:val="0"/>
          <w:numId w:val="1313"/>
        </w:numPr>
        <w:pStyle w:val="Compact"/>
      </w:pPr>
      <w:r>
        <w:t xml:space="preserve">Management overlays need Audit Committee approval (FS 12(1)(iii)); SICR rebuttal above 30 DPD needs a case file and Audit Committee minute reference and is impossible above 60 DPD (FS 12(1)(v)); a &gt; 90 DPD account outside Stage 3 needs Audit Committee approval and feeds the disclosure count, outstanding and overdue amounts (FS 12(1)(iv)).</w:t>
      </w:r>
    </w:p>
    <w:p>
      <w:pPr>
        <w:numPr>
          <w:ilvl w:val="0"/>
          <w:numId w:val="1313"/>
        </w:numPr>
        <w:pStyle w:val="Compact"/>
      </w:pPr>
      <w:r>
        <w:rPr>
          <w:bCs/>
          <w:b/>
        </w:rPr>
        <w:t xml:space="preserve">Ind AS amendments 2026</w:t>
      </w:r>
      <w:r>
        <w:t xml:space="preserve"> </w:t>
      </w:r>
      <w:r>
        <w:t xml:space="preserve">(Companies (Ind AS) Amendment Rules 2026, G.S.R. 725(E), 12 Aug 2026, mostly for periods from 1 Apr 2026) [LAW]: SPPI assessment for ESG-linked and contingent-feature loans; look-through for non-recourse and tranched assets; an accounting-policy option to derecognise liabilities settled through electronic payment systems before settlement date; new Ind AS 107 disclosures; retrospective application without restating comparatives. Implement as a rule-pack version with a product-level SPPI questionnaire and a policy election record. Ind AS 118 (IFRS 18) is under formulation; no build.</w:t>
      </w:r>
    </w:p>
    <w:bookmarkEnd w:id="291"/>
    <w:bookmarkStart w:id="292" w:name="X587fe9c99884498df1b570a416f63629b22b1f5"/>
    <w:p>
      <w:pPr>
        <w:pStyle w:val="Heading3"/>
      </w:pPr>
      <w:r>
        <w:t xml:space="preserve">AC2.3 Impairment Reserve floor job (IRACP 34–36; FS 12(2))</w:t>
      </w:r>
    </w:p>
    <w:p>
      <w:pPr>
        <w:pStyle w:val="FirstParagraph"/>
      </w:pPr>
      <w:r>
        <w:t xml:space="preserve">Runs quarterly (and on demand) for Ind AS NBFC tenants:</w:t>
      </w:r>
    </w:p>
    <w:p>
      <w:pPr>
        <w:numPr>
          <w:ilvl w:val="0"/>
          <w:numId w:val="1314"/>
        </w:numPr>
        <w:pStyle w:val="Compact"/>
      </w:pPr>
      <w:r>
        <w:t xml:space="preserve">Compute ECL (Stages 1–3, incl. off-balance-sheet exposures and guarantees) from</w:t>
      </w:r>
      <w:r>
        <w:t xml:space="preserve"> </w:t>
      </w:r>
      <w:r>
        <w:rPr>
          <w:rStyle w:val="VerbatimChar"/>
        </w:rPr>
        <w:t xml:space="preserve">STAT</w:t>
      </w:r>
      <w:r>
        <w:t xml:space="preserve"> </w:t>
      </w:r>
      <w:r>
        <w:t xml:space="preserve">and IRACP provisions (standard, restructured, sub-standard, doubtful, loss) from</w:t>
      </w:r>
      <w:r>
        <w:t xml:space="preserve"> </w:t>
      </w:r>
      <w:r>
        <w:rPr>
          <w:rStyle w:val="VerbatimChar"/>
        </w:rPr>
        <w:t xml:space="preserve">PRUD</w:t>
      </w:r>
      <w:r>
        <w:t xml:space="preserve">, by asset class.</w:t>
      </w:r>
    </w:p>
    <w:p>
      <w:pPr>
        <w:numPr>
          <w:ilvl w:val="0"/>
          <w:numId w:val="1314"/>
        </w:numPr>
        <w:pStyle w:val="Compact"/>
      </w:pPr>
      <w:r>
        <w:rPr>
          <w:rStyle w:val="VerbatimChar"/>
        </w:rPr>
        <w:t xml:space="preserve">shortfall = max(0, IRACP_total − ECL_total)</w:t>
      </w:r>
      <w:r>
        <w:t xml:space="preserve">;</w:t>
      </w:r>
      <w:r>
        <w:t xml:space="preserve"> </w:t>
      </w:r>
      <w:r>
        <w:rPr>
          <w:rStyle w:val="VerbatimChar"/>
        </w:rPr>
        <w:t xml:space="preserve">appropriation = shortfall − existing_impairment_reserve</w:t>
      </w:r>
      <w:r>
        <w:t xml:space="preserve"> </w:t>
      </w:r>
      <w:r>
        <w:t xml:space="preserve">(if positive).</w:t>
      </w:r>
    </w:p>
    <w:p>
      <w:pPr>
        <w:numPr>
          <w:ilvl w:val="0"/>
          <w:numId w:val="1314"/>
        </w:numPr>
        <w:pStyle w:val="Compact"/>
      </w:pPr>
      <w:r>
        <w:t xml:space="preserve">Propose the journal: Dr profit after tax (appropriation), Cr Impairment Reserve. The CFO approves; the posting is below PAT in</w:t>
      </w:r>
      <w:r>
        <w:t xml:space="preserve"> </w:t>
      </w:r>
      <w:r>
        <w:rPr>
          <w:rStyle w:val="VerbatimChar"/>
        </w:rPr>
        <w:t xml:space="preserve">STAT</w:t>
      </w:r>
      <w:r>
        <w:t xml:space="preserve">.</w:t>
      </w:r>
    </w:p>
    <w:p>
      <w:pPr>
        <w:numPr>
          <w:ilvl w:val="0"/>
          <w:numId w:val="1314"/>
        </w:numPr>
        <w:pStyle w:val="Compact"/>
      </w:pPr>
      <w:r>
        <w:rPr>
          <w:bCs/>
          <w:b/>
        </w:rPr>
        <w:t xml:space="preserve">Release is blocked</w:t>
      </w:r>
      <w:r>
        <w:t xml:space="preserve"> </w:t>
      </w:r>
      <w:r>
        <w:t xml:space="preserve">without a DoS permission reference attached (IRACP 35).</w:t>
      </w:r>
    </w:p>
    <w:p>
      <w:pPr>
        <w:numPr>
          <w:ilvl w:val="0"/>
          <w:numId w:val="1314"/>
        </w:numPr>
        <w:pStyle w:val="Compact"/>
      </w:pPr>
      <w:r>
        <w:t xml:space="preserve">Emit FS 21(15) rows (asset classification × stage: gross carrying amount, loss allowance, net carrying amount, IRACP provision, difference) and tag the reserve as excluded from regulatory capital (never CET1) and from net NPA (IRACP 36; CAP).</w:t>
      </w:r>
    </w:p>
    <w:bookmarkEnd w:id="292"/>
    <w:bookmarkStart w:id="293" w:name="Xa2c7f3d24cf0affaa491a706bed46d6e9f691ae"/>
    <w:p>
      <w:pPr>
        <w:pStyle w:val="Heading3"/>
      </w:pPr>
      <w:r>
        <w:t xml:space="preserve">AC2.4 DLG in ECL (IRACP 36A–36C, from 13 Feb 2026)</w:t>
      </w:r>
    </w:p>
    <w:p>
      <w:pPr>
        <w:pStyle w:val="FirstParagraph"/>
      </w:pPr>
      <w:r>
        <w:t xml:space="preserve">DLG cover may be considered in ECL at every stage only if it is integral to the loan’s contractual terms and not recognised separately; disclosure follows Ind AS 1; ECL is recomputed after each invocation because the cover reduces. Build:</w:t>
      </w:r>
      <w:r>
        <w:t xml:space="preserve"> </w:t>
      </w:r>
      <w:r>
        <w:rPr>
          <w:rStyle w:val="VerbatimChar"/>
        </w:rPr>
        <w:t xml:space="preserve">dlg_integral</w:t>
      </w:r>
      <w:r>
        <w:t xml:space="preserve"> </w:t>
      </w:r>
      <w:r>
        <w:t xml:space="preserve">flag per arrangement with legal-review evidence; cover allocation to the covered pool; recompute on</w:t>
      </w:r>
      <w:r>
        <w:t xml:space="preserve"> </w:t>
      </w:r>
      <w:r>
        <w:rPr>
          <w:rStyle w:val="VerbatimChar"/>
        </w:rPr>
        <w:t xml:space="preserve">DLGInvocationSettled</w:t>
      </w:r>
      <w:r>
        <w:t xml:space="preserve"> </w:t>
      </w:r>
      <w:r>
        <w:t xml:space="preserve">(existing event); CLA DLG ledger kept separate (TDCR 123).</w:t>
      </w:r>
    </w:p>
    <w:bookmarkEnd w:id="293"/>
    <w:bookmarkStart w:id="294" w:name="ac2.5-capital-interface"/>
    <w:p>
      <w:pPr>
        <w:pStyle w:val="Heading3"/>
      </w:pPr>
      <w:r>
        <w:t xml:space="preserve">AC2.5 Capital interface</w:t>
      </w:r>
    </w:p>
    <w:p>
      <w:pPr>
        <w:pStyle w:val="FirstParagraph"/>
      </w:pPr>
      <w:r>
        <w:t xml:space="preserve">Capital tags flow to Part 7E (RK3): Impairment Reserve excluded; net unrealised fair-value gains excluded from owned funds; 12-month ECL eligible as Tier 2 within limits; lifetime ECL reduces RWA (CAP 16; RBI/2019-20/170).</w:t>
      </w:r>
    </w:p>
    <w:bookmarkEnd w:id="294"/>
    <w:bookmarkStart w:id="295" w:name="Xc3d9e32d91f56779f449041cd96eed51fedb025"/>
    <w:p>
      <w:pPr>
        <w:pStyle w:val="Heading3"/>
      </w:pPr>
      <w:r>
        <w:t xml:space="preserve">AC2.6 Bank ECL module (SCB tenants; RBI/DOR/2026-27/398)</w:t>
      </w:r>
    </w:p>
    <w:p>
      <w:pPr>
        <w:numPr>
          <w:ilvl w:val="0"/>
          <w:numId w:val="1315"/>
        </w:numPr>
        <w:pStyle w:val="Compact"/>
      </w:pPr>
      <w:r>
        <w:rPr>
          <w:bCs/>
          <w:b/>
        </w:rPr>
        <w:t xml:space="preserve">Staging:</w:t>
      </w:r>
      <w:r>
        <w:t xml:space="preserve"> </w:t>
      </w:r>
      <w:r>
        <w:t xml:space="preserve">Stage 1 12-month ECL; Stages 2–3 lifetime. SICR presumed above 30 DPD; for revolving facilities, continuous excess over limit or drawing power up to 60 days; rebuttal needs Board-approved documentation (paras 25, 33–36). Stage 3 assessed per borrower, Stage 2 per facility (para 76).</w:t>
      </w:r>
    </w:p>
    <w:p>
      <w:pPr>
        <w:numPr>
          <w:ilvl w:val="0"/>
          <w:numId w:val="1315"/>
        </w:numPr>
        <w:pStyle w:val="Compact"/>
      </w:pPr>
      <w:r>
        <w:rPr>
          <w:bCs/>
          <w:b/>
        </w:rPr>
        <w:t xml:space="preserve">Measurement:</w:t>
      </w:r>
      <w:r>
        <w:t xml:space="preserve"> </w:t>
      </w:r>
      <w:r>
        <w:t xml:space="preserve">book fair-valued on 1 Apr 2027 with the difference to opening retained earnings (para 19); new loans at amortised cost with EIR (para 20); legacy loans migrate to EIR by 31 Mar 2030 (paras 21, 50) with a migration tracker.</w:t>
      </w:r>
    </w:p>
    <w:p>
      <w:pPr>
        <w:numPr>
          <w:ilvl w:val="0"/>
          <w:numId w:val="1315"/>
        </w:numPr>
        <w:pStyle w:val="Compact"/>
      </w:pPr>
      <w:r>
        <w:rPr>
          <w:bCs/>
          <w:b/>
        </w:rPr>
        <w:t xml:space="preserve">Floors (para 82):</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217"/>
        <w:gridCol w:w="2710"/>
        <w:gridCol w:w="2711"/>
      </w:tblGrid>
      <w:tr>
        <w:trPr>
          <w:tblHeader w:val="true"/>
          <w:tblHeader w:val="true"/>
        </w:trPr>
        <w:tc>
          <w:tcPr>
            <w:tcW w:w="4217" w:type="dxa"/>
            <w:shd w:val="clear" w:color="auto" w:fill="1F3A5F"/>
          </w:tcPr>
          <w:p>
            <w:pPr>
              <w:pStyle w:val="Compact"/>
              <w:spacing w:after="40"/>
              <w:jc w:val="left"/>
            </w:pPr>
            <w:r>
              <w:rPr>
                <w:b/>
                <w:color w:val="FFFFFF"/>
                <w:sz w:val="18"/>
              </w:rPr>
              <w:t xml:space="preserve">Category</w:t>
            </w:r>
          </w:p>
        </w:tc>
        <w:tc>
          <w:tcPr>
            <w:tcW w:w="2710" w:type="dxa"/>
            <w:shd w:val="clear" w:color="auto" w:fill="1F3A5F"/>
          </w:tcPr>
          <w:p>
            <w:pPr>
              <w:pStyle w:val="Compact"/>
              <w:spacing w:after="40"/>
              <w:jc w:val="left"/>
            </w:pPr>
            <w:r>
              <w:rPr>
                <w:b/>
                <w:color w:val="FFFFFF"/>
                <w:sz w:val="18"/>
              </w:rPr>
              <w:t xml:space="preserve">Stage 1</w:t>
            </w:r>
          </w:p>
        </w:tc>
        <w:tc>
          <w:tcPr>
            <w:tcW w:w="2711" w:type="dxa"/>
            <w:shd w:val="clear" w:color="auto" w:fill="1F3A5F"/>
          </w:tcPr>
          <w:p>
            <w:pPr>
              <w:pStyle w:val="Compact"/>
              <w:spacing w:after="40"/>
              <w:jc w:val="left"/>
            </w:pPr>
            <w:r>
              <w:rPr>
                <w:b/>
                <w:color w:val="FFFFFF"/>
                <w:sz w:val="18"/>
              </w:rPr>
              <w:t xml:space="preserve">Stage 2</w:t>
            </w:r>
          </w:p>
        </w:tc>
      </w:tr>
      <w:tr>
        <w:tc>
          <w:tcPr>
            <w:tcW w:w="4217" w:type="dxa"/>
          </w:tcPr>
          <w:p>
            <w:pPr>
              <w:pStyle w:val="Compact"/>
              <w:spacing w:after="40"/>
              <w:jc w:val="left"/>
            </w:pPr>
            <w:r>
              <w:rPr>
                <w:sz w:val="18"/>
              </w:rPr>
              <w:t xml:space="preserve">Secured retail and corporate</w:t>
            </w:r>
          </w:p>
        </w:tc>
        <w:tc>
          <w:tcPr>
            <w:tcW w:w="2710" w:type="dxa"/>
          </w:tcPr>
          <w:p>
            <w:pPr>
              <w:pStyle w:val="Compact"/>
              <w:spacing w:after="40"/>
              <w:jc w:val="left"/>
            </w:pPr>
            <w:r>
              <w:rPr>
                <w:sz w:val="18"/>
              </w:rPr>
              <w:t xml:space="preserve">0.40%</w:t>
            </w:r>
          </w:p>
        </w:tc>
        <w:tc>
          <w:tcPr>
            <w:tcW w:w="2711" w:type="dxa"/>
          </w:tcPr>
          <w:p>
            <w:pPr>
              <w:pStyle w:val="Compact"/>
              <w:spacing w:after="40"/>
              <w:jc w:val="left"/>
            </w:pPr>
            <w:r>
              <w:rPr>
                <w:sz w:val="18"/>
              </w:rPr>
              <w:t xml:space="preserve">5%</w:t>
            </w:r>
          </w:p>
        </w:tc>
      </w:tr>
      <w:tr>
        <w:tc>
          <w:tcPr>
            <w:tcW w:w="4217" w:type="dxa"/>
          </w:tcPr>
          <w:p>
            <w:pPr>
              <w:pStyle w:val="Compact"/>
              <w:spacing w:after="40"/>
              <w:jc w:val="left"/>
            </w:pPr>
            <w:r>
              <w:rPr>
                <w:sz w:val="18"/>
              </w:rPr>
              <w:t xml:space="preserve">Unsecured retail</w:t>
            </w:r>
          </w:p>
        </w:tc>
        <w:tc>
          <w:tcPr>
            <w:tcW w:w="2710" w:type="dxa"/>
          </w:tcPr>
          <w:p>
            <w:pPr>
              <w:pStyle w:val="Compact"/>
              <w:spacing w:after="40"/>
              <w:jc w:val="left"/>
            </w:pPr>
            <w:r>
              <w:rPr>
                <w:sz w:val="18"/>
              </w:rPr>
              <w:t xml:space="preserve">1%</w:t>
            </w:r>
          </w:p>
        </w:tc>
        <w:tc>
          <w:tcPr>
            <w:tcW w:w="2711" w:type="dxa"/>
          </w:tcPr>
          <w:p>
            <w:pPr>
              <w:pStyle w:val="Compact"/>
              <w:spacing w:after="40"/>
              <w:jc w:val="left"/>
            </w:pPr>
            <w:r>
              <w:rPr>
                <w:sz w:val="18"/>
              </w:rPr>
              <w:t xml:space="preserve">5%</w:t>
            </w:r>
          </w:p>
        </w:tc>
      </w:tr>
      <w:tr>
        <w:tc>
          <w:tcPr>
            <w:tcW w:w="4217" w:type="dxa"/>
          </w:tcPr>
          <w:p>
            <w:pPr>
              <w:pStyle w:val="Compact"/>
              <w:spacing w:after="40"/>
              <w:jc w:val="left"/>
            </w:pPr>
            <w:r>
              <w:rPr>
                <w:sz w:val="18"/>
              </w:rPr>
              <w:t xml:space="preserve">Individual housing</w:t>
            </w:r>
          </w:p>
        </w:tc>
        <w:tc>
          <w:tcPr>
            <w:tcW w:w="2710" w:type="dxa"/>
          </w:tcPr>
          <w:p>
            <w:pPr>
              <w:pStyle w:val="Compact"/>
              <w:spacing w:after="40"/>
              <w:jc w:val="left"/>
            </w:pPr>
            <w:r>
              <w:rPr>
                <w:sz w:val="18"/>
              </w:rPr>
              <w:t xml:space="preserve">0.25%</w:t>
            </w:r>
          </w:p>
        </w:tc>
        <w:tc>
          <w:tcPr>
            <w:tcW w:w="2711" w:type="dxa"/>
          </w:tcPr>
          <w:p>
            <w:pPr>
              <w:pStyle w:val="Compact"/>
              <w:spacing w:after="40"/>
              <w:jc w:val="left"/>
            </w:pPr>
            <w:r>
              <w:rPr>
                <w:sz w:val="18"/>
              </w:rPr>
              <w:t xml:space="preserve">1.5%</w:t>
            </w:r>
          </w:p>
        </w:tc>
      </w:tr>
      <w:tr>
        <w:tc>
          <w:tcPr>
            <w:tcW w:w="4217" w:type="dxa"/>
          </w:tcPr>
          <w:p>
            <w:pPr>
              <w:pStyle w:val="Compact"/>
              <w:spacing w:after="40"/>
              <w:jc w:val="left"/>
            </w:pPr>
            <w:r>
              <w:rPr>
                <w:sz w:val="18"/>
              </w:rPr>
              <w:t xml:space="preserve">Gold loans</w:t>
            </w:r>
          </w:p>
        </w:tc>
        <w:tc>
          <w:tcPr>
            <w:tcW w:w="2710" w:type="dxa"/>
          </w:tcPr>
          <w:p>
            <w:pPr>
              <w:pStyle w:val="Compact"/>
              <w:spacing w:after="40"/>
              <w:jc w:val="left"/>
            </w:pPr>
            <w:r>
              <w:rPr>
                <w:sz w:val="18"/>
              </w:rPr>
              <w:t xml:space="preserve">0.40%</w:t>
            </w:r>
          </w:p>
        </w:tc>
        <w:tc>
          <w:tcPr>
            <w:tcW w:w="2711" w:type="dxa"/>
          </w:tcPr>
          <w:p>
            <w:pPr>
              <w:pStyle w:val="Compact"/>
              <w:spacing w:after="40"/>
              <w:jc w:val="left"/>
            </w:pPr>
            <w:r>
              <w:rPr>
                <w:sz w:val="18"/>
              </w:rPr>
              <w:t xml:space="preserve">1.5%</w:t>
            </w:r>
          </w:p>
        </w:tc>
      </w:tr>
    </w:tbl>
    <w:p>
      <w:pPr>
        <w:pStyle w:val="BodyText"/>
      </w:pPr>
      <w:r>
        <w:t xml:space="preserve">Stage 3 floors rise by vintage to 100% (vintage clock per borrower).</w:t>
      </w:r>
      <w:r>
        <w:t xml:space="preserve"> </w:t>
      </w:r>
      <w:r>
        <w:t xml:space="preserve">-</w:t>
      </w:r>
      <w:r>
        <w:t xml:space="preserve"> </w:t>
      </w:r>
      <w:r>
        <w:rPr>
          <w:bCs/>
          <w:b/>
        </w:rPr>
        <w:t xml:space="preserve">Capital (para 75):</w:t>
      </w:r>
      <w:r>
        <w:t xml:space="preserve"> </w:t>
      </w:r>
      <w:r>
        <w:t xml:space="preserve">Stage 3 ECL counts as specific provisions; Stage 1/2 ECL and overlays as general provisions toward Tier 2.</w:t>
      </w:r>
      <w:r>
        <w:t xml:space="preserve"> </w:t>
      </w:r>
      <w:r>
        <w:t xml:space="preserve">-</w:t>
      </w:r>
      <w:r>
        <w:t xml:space="preserve"> </w:t>
      </w:r>
      <w:r>
        <w:rPr>
          <w:bCs/>
          <w:b/>
        </w:rPr>
        <w:t xml:space="preserve">Transition (paras 107–110):</w:t>
      </w:r>
      <w:r>
        <w:t xml:space="preserve"> </w:t>
      </w:r>
      <w:r>
        <w:t xml:space="preserve">ECL in excess of IRACP charged to opening earnings; optional CET1 add-back factor f = 0.8, 0.6, 0.4, 0.2 for FY 2027-28 to FY 2030-31.</w:t>
      </w:r>
      <w:r>
        <w:t xml:space="preserve"> </w:t>
      </w:r>
      <w:r>
        <w:t xml:space="preserve">-</w:t>
      </w:r>
      <w:r>
        <w:t xml:space="preserve"> </w:t>
      </w:r>
      <w:r>
        <w:rPr>
          <w:bCs/>
          <w:b/>
        </w:rPr>
        <w:t xml:space="preserve">Parallel run:</w:t>
      </w:r>
      <w:r>
        <w:t xml:space="preserve"> </w:t>
      </w:r>
      <w:r>
        <w:t xml:space="preserve">at least two quarters of</w:t>
      </w:r>
      <w:r>
        <w:t xml:space="preserve"> </w:t>
      </w:r>
      <w:r>
        <w:rPr>
          <w:rStyle w:val="VerbatimChar"/>
        </w:rPr>
        <w:t xml:space="preserve">PARALLEL</w:t>
      </w:r>
      <w:r>
        <w:t xml:space="preserve"> </w:t>
      </w:r>
      <w:r>
        <w:t xml:space="preserve">book before go-live [REC]. Floors never apply to SFBs, PBs, LABs, RRBs or UCBs.</w:t>
      </w:r>
    </w:p>
    <w:bookmarkEnd w:id="295"/>
    <w:bookmarkStart w:id="296" w:name="ac2.7-other-institution-overlays"/>
    <w:p>
      <w:pPr>
        <w:pStyle w:val="Heading3"/>
      </w:pPr>
      <w:r>
        <w:t xml:space="preserve">AC2.7 Other institution overlays</w:t>
      </w:r>
    </w:p>
    <w:p>
      <w:pPr>
        <w:numPr>
          <w:ilvl w:val="0"/>
          <w:numId w:val="1316"/>
        </w:numPr>
        <w:pStyle w:val="Compact"/>
      </w:pPr>
      <w:r>
        <w:rPr>
          <w:bCs/>
          <w:b/>
        </w:rPr>
        <w:t xml:space="preserve">ARCs [REG]:</w:t>
      </w:r>
      <w:r>
        <w:t xml:space="preserve"> </w:t>
      </w:r>
      <w:r>
        <w:t xml:space="preserve">SRs valued at NAV within the rating’s recovery range; SR yield and upside recognised only after principal is fully redeemed; SRs more than 20% below acquisition value disclosed (Master Circular RBI/2022-23/03, paras 1(2), 12–14); management fee on NAV at the lower end of the recovery range, capped at acquisition value, unrealised fees reversed after 180 days (ARC Directions 2025 paras 142–144) [VERIFY: paragraph numbers].</w:t>
      </w:r>
    </w:p>
    <w:p>
      <w:pPr>
        <w:numPr>
          <w:ilvl w:val="0"/>
          <w:numId w:val="1316"/>
        </w:numPr>
        <w:pStyle w:val="Compact"/>
      </w:pPr>
      <w:r>
        <w:rPr>
          <w:bCs/>
          <w:b/>
        </w:rPr>
        <w:t xml:space="preserve">Co-operatives:</w:t>
      </w:r>
      <w:r>
        <w:t xml:space="preserve"> </w:t>
      </w:r>
      <w:r>
        <w:t xml:space="preserve">statutory appropriations from surplus (reserve fund, education fund and others) are configured per Act and by-laws [VERIFY per Act]; provisioning per Registrar, NABARD or RBI UCB norms.</w:t>
      </w:r>
    </w:p>
    <w:p>
      <w:pPr>
        <w:numPr>
          <w:ilvl w:val="0"/>
          <w:numId w:val="1316"/>
        </w:numPr>
        <w:pStyle w:val="Compact"/>
      </w:pPr>
      <w:r>
        <w:rPr>
          <w:bCs/>
          <w:b/>
        </w:rPr>
        <w:t xml:space="preserve">IFSC:</w:t>
      </w:r>
      <w:r>
        <w:t xml:space="preserve"> </w:t>
      </w:r>
      <w:r>
        <w:t xml:space="preserve">USD functional and presentation currency; an INR account only for administrative and statutory expenses (IFSCA-FC reg 6); a Finance Unit’s books are separate from its parent’s.</w:t>
      </w:r>
    </w:p>
    <w:bookmarkEnd w:id="296"/>
    <w:bookmarkStart w:id="297" w:name="ac2.8-period-close"/>
    <w:p>
      <w:pPr>
        <w:pStyle w:val="Heading3"/>
      </w:pPr>
      <w:r>
        <w:t xml:space="preserve">AC2.8 Period close</w:t>
      </w:r>
    </w:p>
    <w:p>
      <w:pPr>
        <w:pStyle w:val="FirstParagraph"/>
      </w:pPr>
      <w:r>
        <w:t xml:space="preserve">Extends the M10 item 9 checklist with: book-difference report signed; Impairment Reserve job approved; bank ECL floor test; DLG recompute log; intercompany eliminations prepared; tax memo book updated.</w:t>
      </w:r>
    </w:p>
    <w:p>
      <w:pPr>
        <w:pStyle w:val="BodyText"/>
      </w:pPr>
      <w:r>
        <w:rPr>
          <w:bCs/>
          <w:b/>
        </w:rPr>
        <w:t xml:space="preserve">Close state machine (per legal entity, period and book).</w:t>
      </w:r>
      <w:r>
        <w:t xml:space="preserve"> </w:t>
      </w:r>
      <w:r>
        <w:t xml:space="preserve">Each transition is a server-side command under maker-checker, idempotent on</w:t>
      </w:r>
      <w:r>
        <w:t xml:space="preserve"> </w:t>
      </w:r>
      <w:r>
        <w:rPr>
          <w:rStyle w:val="VerbatimChar"/>
        </w:rPr>
        <w:t xml:space="preserve">(legal_entity, period, book, command)</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89"/>
        <w:gridCol w:w="1926"/>
        <w:gridCol w:w="1603"/>
        <w:gridCol w:w="2822"/>
        <w:gridCol w:w="2398"/>
      </w:tblGrid>
      <w:tr>
        <w:trPr>
          <w:tblHeader w:val="true"/>
          <w:tblHeader w:val="true"/>
        </w:trPr>
        <w:tc>
          <w:tcPr>
            <w:tcW w:w="889" w:type="dxa"/>
            <w:shd w:val="clear" w:color="auto" w:fill="1F3A5F"/>
          </w:tcPr>
          <w:p>
            <w:pPr>
              <w:pStyle w:val="Compact"/>
              <w:spacing w:after="40"/>
              <w:jc w:val="left"/>
            </w:pPr>
            <w:r>
              <w:rPr>
                <w:b/>
                <w:color w:val="FFFFFF"/>
                <w:sz w:val="18"/>
              </w:rPr>
              <w:t xml:space="preserve">State</w:t>
            </w:r>
          </w:p>
        </w:tc>
        <w:tc>
          <w:tcPr>
            <w:tcW w:w="1926" w:type="dxa"/>
            <w:shd w:val="clear" w:color="auto" w:fill="1F3A5F"/>
          </w:tcPr>
          <w:p>
            <w:pPr>
              <w:pStyle w:val="Compact"/>
              <w:spacing w:after="40"/>
              <w:jc w:val="left"/>
            </w:pPr>
            <w:r>
              <w:rPr>
                <w:b/>
                <w:color w:val="FFFFFF"/>
                <w:sz w:val="18"/>
              </w:rPr>
              <w:t xml:space="preserve">Entry condition</w:t>
            </w:r>
          </w:p>
        </w:tc>
        <w:tc>
          <w:tcPr>
            <w:tcW w:w="1603" w:type="dxa"/>
            <w:shd w:val="clear" w:color="auto" w:fill="1F3A5F"/>
          </w:tcPr>
          <w:p>
            <w:pPr>
              <w:pStyle w:val="Compact"/>
              <w:spacing w:after="40"/>
              <w:jc w:val="left"/>
            </w:pPr>
            <w:r>
              <w:rPr>
                <w:b/>
                <w:color w:val="FFFFFF"/>
                <w:sz w:val="18"/>
              </w:rPr>
              <w:t xml:space="preserve">Owner</w:t>
            </w:r>
          </w:p>
        </w:tc>
        <w:tc>
          <w:tcPr>
            <w:tcW w:w="2822" w:type="dxa"/>
            <w:shd w:val="clear" w:color="auto" w:fill="1F3A5F"/>
          </w:tcPr>
          <w:p>
            <w:pPr>
              <w:pStyle w:val="Compact"/>
              <w:spacing w:after="40"/>
              <w:jc w:val="left"/>
            </w:pPr>
            <w:r>
              <w:rPr>
                <w:b/>
                <w:color w:val="FFFFFF"/>
                <w:sz w:val="18"/>
              </w:rPr>
              <w:t xml:space="preserve">Allowed postings</w:t>
            </w:r>
          </w:p>
        </w:tc>
        <w:tc>
          <w:tcPr>
            <w:tcW w:w="2398" w:type="dxa"/>
            <w:shd w:val="clear" w:color="auto" w:fill="1F3A5F"/>
          </w:tcPr>
          <w:p>
            <w:pPr>
              <w:pStyle w:val="Compact"/>
              <w:spacing w:after="40"/>
              <w:jc w:val="left"/>
            </w:pPr>
            <w:r>
              <w:rPr>
                <w:b/>
                <w:color w:val="FFFFFF"/>
                <w:sz w:val="18"/>
              </w:rPr>
              <w:t xml:space="preserve">Exit, failure and rollback</w:t>
            </w:r>
          </w:p>
        </w:tc>
      </w:tr>
      <w:tr>
        <w:tc>
          <w:tcPr>
            <w:tcW w:w="889" w:type="dxa"/>
          </w:tcPr>
          <w:p>
            <w:pPr>
              <w:pStyle w:val="Compact"/>
              <w:spacing w:after="40"/>
              <w:jc w:val="left"/>
            </w:pPr>
            <w:r>
              <w:rPr>
                <w:rStyle w:val="VerbatimChar"/>
                <w:sz w:val="18"/>
              </w:rPr>
              <w:t xml:space="preserve">OPEN</w:t>
            </w:r>
          </w:p>
        </w:tc>
        <w:tc>
          <w:tcPr>
            <w:tcW w:w="1926" w:type="dxa"/>
          </w:tcPr>
          <w:p>
            <w:pPr>
              <w:pStyle w:val="Compact"/>
              <w:spacing w:after="40"/>
              <w:jc w:val="left"/>
            </w:pPr>
            <w:r>
              <w:rPr>
                <w:sz w:val="18"/>
              </w:rPr>
              <w:t xml:space="preserve">Period start</w:t>
            </w:r>
          </w:p>
        </w:tc>
        <w:tc>
          <w:tcPr>
            <w:tcW w:w="1603" w:type="dxa"/>
          </w:tcPr>
          <w:p>
            <w:pPr>
              <w:pStyle w:val="Compact"/>
              <w:spacing w:after="40"/>
              <w:jc w:val="left"/>
            </w:pPr>
            <w:r>
              <w:rPr>
                <w:sz w:val="18"/>
              </w:rPr>
              <w:t xml:space="preserve">Accounts</w:t>
            </w:r>
          </w:p>
        </w:tc>
        <w:tc>
          <w:tcPr>
            <w:tcW w:w="2822" w:type="dxa"/>
          </w:tcPr>
          <w:p>
            <w:pPr>
              <w:pStyle w:val="Compact"/>
              <w:spacing w:after="40"/>
              <w:jc w:val="left"/>
            </w:pPr>
            <w:r>
              <w:rPr>
                <w:sz w:val="18"/>
              </w:rPr>
              <w:t xml:space="preserve">All</w:t>
            </w:r>
          </w:p>
        </w:tc>
        <w:tc>
          <w:tcPr>
            <w:tcW w:w="2398" w:type="dxa"/>
          </w:tcPr>
          <w:p>
            <w:pPr>
              <w:pStyle w:val="Compact"/>
              <w:spacing w:after="40"/>
              <w:jc w:val="left"/>
            </w:pPr>
            <w:r>
              <w:rPr>
                <w:sz w:val="18"/>
              </w:rPr>
              <w:t xml:space="preserve">Close date reached (calendar setting) →</w:t>
            </w:r>
            <w:r>
              <w:rPr>
                <w:sz w:val="18"/>
              </w:rPr>
              <w:t xml:space="preserve"> </w:t>
            </w:r>
            <w:r>
              <w:rPr>
                <w:rStyle w:val="VerbatimChar"/>
                <w:sz w:val="18"/>
              </w:rPr>
              <w:t xml:space="preserve">SOFT_CLOSE</w:t>
            </w:r>
          </w:p>
        </w:tc>
      </w:tr>
      <w:tr>
        <w:tc>
          <w:tcPr>
            <w:tcW w:w="889" w:type="dxa"/>
          </w:tcPr>
          <w:p>
            <w:pPr>
              <w:pStyle w:val="Compact"/>
              <w:spacing w:after="40"/>
              <w:jc w:val="left"/>
            </w:pPr>
            <w:r>
              <w:rPr>
                <w:rStyle w:val="VerbatimChar"/>
                <w:sz w:val="18"/>
              </w:rPr>
              <w:t xml:space="preserve">SOFT_CLOSE</w:t>
            </w:r>
          </w:p>
        </w:tc>
        <w:tc>
          <w:tcPr>
            <w:tcW w:w="1926" w:type="dxa"/>
          </w:tcPr>
          <w:p>
            <w:pPr>
              <w:pStyle w:val="Compact"/>
              <w:spacing w:after="40"/>
              <w:jc w:val="left"/>
            </w:pPr>
            <w:r>
              <w:rPr>
                <w:sz w:val="18"/>
              </w:rPr>
              <w:t xml:space="preserve">Business-date cut-off passed; COB complete</w:t>
            </w:r>
          </w:p>
        </w:tc>
        <w:tc>
          <w:tcPr>
            <w:tcW w:w="1603" w:type="dxa"/>
          </w:tcPr>
          <w:p>
            <w:pPr>
              <w:pStyle w:val="Compact"/>
              <w:spacing w:after="40"/>
              <w:jc w:val="left"/>
            </w:pPr>
            <w:r>
              <w:rPr>
                <w:sz w:val="18"/>
              </w:rPr>
              <w:t xml:space="preserve">Accounts lead</w:t>
            </w:r>
          </w:p>
        </w:tc>
        <w:tc>
          <w:tcPr>
            <w:tcW w:w="2822" w:type="dxa"/>
          </w:tcPr>
          <w:p>
            <w:pPr>
              <w:pStyle w:val="Compact"/>
              <w:spacing w:after="40"/>
              <w:jc w:val="left"/>
            </w:pPr>
            <w:r>
              <w:rPr>
                <w:sz w:val="18"/>
              </w:rPr>
              <w:t xml:space="preserve">Adjusting entries only, each with a reason code; operational postings dated in the period are routed to the next open period with a back-dated business date flag</w:t>
            </w:r>
          </w:p>
        </w:tc>
        <w:tc>
          <w:tcPr>
            <w:tcW w:w="2398" w:type="dxa"/>
          </w:tcPr>
          <w:p>
            <w:pPr>
              <w:pStyle w:val="Compact"/>
              <w:spacing w:after="40"/>
              <w:jc w:val="left"/>
            </w:pPr>
            <w:r>
              <w:rPr>
                <w:sz w:val="18"/>
              </w:rPr>
              <w:t xml:space="preserve">Checklist complete and all reconciliations clean →</w:t>
            </w:r>
            <w:r>
              <w:rPr>
                <w:sz w:val="18"/>
              </w:rPr>
              <w:t xml:space="preserve"> </w:t>
            </w:r>
            <w:r>
              <w:rPr>
                <w:rStyle w:val="VerbatimChar"/>
                <w:sz w:val="18"/>
              </w:rPr>
              <w:t xml:space="preserve">LOCK_PENDING</w:t>
            </w:r>
            <w:r>
              <w:rPr>
                <w:sz w:val="18"/>
              </w:rPr>
              <w:t xml:space="preserve">; a failed item stays here with an owner and due date</w:t>
            </w:r>
          </w:p>
        </w:tc>
      </w:tr>
      <w:tr>
        <w:tc>
          <w:tcPr>
            <w:tcW w:w="889" w:type="dxa"/>
          </w:tcPr>
          <w:p>
            <w:pPr>
              <w:pStyle w:val="Compact"/>
              <w:spacing w:after="40"/>
              <w:jc w:val="left"/>
            </w:pPr>
            <w:r>
              <w:rPr>
                <w:rStyle w:val="VerbatimChar"/>
                <w:sz w:val="18"/>
              </w:rPr>
              <w:t xml:space="preserve">LOCK_PENDING</w:t>
            </w:r>
          </w:p>
        </w:tc>
        <w:tc>
          <w:tcPr>
            <w:tcW w:w="1926" w:type="dxa"/>
          </w:tcPr>
          <w:p>
            <w:pPr>
              <w:pStyle w:val="Compact"/>
              <w:spacing w:after="40"/>
              <w:jc w:val="left"/>
            </w:pPr>
            <w:r>
              <w:rPr>
                <w:sz w:val="18"/>
              </w:rPr>
              <w:t xml:space="preserve">Checklist evidence attached</w:t>
            </w:r>
          </w:p>
        </w:tc>
        <w:tc>
          <w:tcPr>
            <w:tcW w:w="1603" w:type="dxa"/>
          </w:tcPr>
          <w:p>
            <w:pPr>
              <w:pStyle w:val="Compact"/>
              <w:spacing w:after="40"/>
              <w:jc w:val="left"/>
            </w:pPr>
            <w:r>
              <w:rPr>
                <w:sz w:val="18"/>
              </w:rPr>
              <w:t xml:space="preserve">CFO (checker)</w:t>
            </w:r>
          </w:p>
        </w:tc>
        <w:tc>
          <w:tcPr>
            <w:tcW w:w="2822" w:type="dxa"/>
          </w:tcPr>
          <w:p>
            <w:pPr>
              <w:pStyle w:val="Compact"/>
              <w:spacing w:after="40"/>
              <w:jc w:val="left"/>
            </w:pPr>
            <w:r>
              <w:rPr>
                <w:sz w:val="18"/>
              </w:rPr>
              <w:t xml:space="preserve">None</w:t>
            </w:r>
          </w:p>
        </w:tc>
        <w:tc>
          <w:tcPr>
            <w:tcW w:w="2398" w:type="dxa"/>
          </w:tcPr>
          <w:p>
            <w:pPr>
              <w:pStyle w:val="Compact"/>
              <w:spacing w:after="40"/>
              <w:jc w:val="left"/>
            </w:pPr>
            <w:r>
              <w:rPr>
                <w:sz w:val="18"/>
              </w:rPr>
              <w:t xml:space="preserve">Approve →</w:t>
            </w:r>
            <w:r>
              <w:rPr>
                <w:sz w:val="18"/>
              </w:rPr>
              <w:t xml:space="preserve"> </w:t>
            </w:r>
            <w:r>
              <w:rPr>
                <w:rStyle w:val="VerbatimChar"/>
                <w:sz w:val="18"/>
              </w:rPr>
              <w:t xml:space="preserve">LOCKED</w:t>
            </w:r>
            <w:r>
              <w:rPr>
                <w:sz w:val="18"/>
              </w:rPr>
              <w:t xml:space="preserve">; reject →</w:t>
            </w:r>
            <w:r>
              <w:rPr>
                <w:sz w:val="18"/>
              </w:rPr>
              <w:t xml:space="preserve"> </w:t>
            </w:r>
            <w:r>
              <w:rPr>
                <w:rStyle w:val="VerbatimChar"/>
                <w:sz w:val="18"/>
              </w:rPr>
              <w:t xml:space="preserve">SOFT_CLOSE</w:t>
            </w:r>
            <w:r>
              <w:rPr>
                <w:sz w:val="18"/>
              </w:rPr>
              <w:t xml:space="preserve"> </w:t>
            </w:r>
            <w:r>
              <w:rPr>
                <w:sz w:val="18"/>
              </w:rPr>
              <w:t xml:space="preserve">with reason</w:t>
            </w:r>
          </w:p>
        </w:tc>
      </w:tr>
      <w:tr>
        <w:tc>
          <w:tcPr>
            <w:tcW w:w="889" w:type="dxa"/>
          </w:tcPr>
          <w:p>
            <w:pPr>
              <w:pStyle w:val="Compact"/>
              <w:spacing w:after="40"/>
              <w:jc w:val="left"/>
            </w:pPr>
            <w:r>
              <w:rPr>
                <w:rStyle w:val="VerbatimChar"/>
                <w:sz w:val="18"/>
              </w:rPr>
              <w:t xml:space="preserve">LOCKED</w:t>
            </w:r>
          </w:p>
        </w:tc>
        <w:tc>
          <w:tcPr>
            <w:tcW w:w="1926" w:type="dxa"/>
          </w:tcPr>
          <w:p>
            <w:pPr>
              <w:pStyle w:val="Compact"/>
              <w:spacing w:after="40"/>
              <w:jc w:val="left"/>
            </w:pPr>
            <w:r>
              <w:rPr>
                <w:sz w:val="18"/>
              </w:rPr>
              <w:t xml:space="preserve">CFO approval</w:t>
            </w:r>
          </w:p>
        </w:tc>
        <w:tc>
          <w:tcPr>
            <w:tcW w:w="1603" w:type="dxa"/>
          </w:tcPr>
          <w:p>
            <w:pPr>
              <w:pStyle w:val="Compact"/>
              <w:spacing w:after="40"/>
              <w:jc w:val="left"/>
            </w:pPr>
            <w:r>
              <w:rPr>
                <w:sz w:val="18"/>
              </w:rPr>
              <w:t xml:space="preserve">System</w:t>
            </w:r>
          </w:p>
        </w:tc>
        <w:tc>
          <w:tcPr>
            <w:tcW w:w="2822" w:type="dxa"/>
          </w:tcPr>
          <w:p>
            <w:pPr>
              <w:pStyle w:val="Compact"/>
              <w:spacing w:after="40"/>
              <w:jc w:val="left"/>
            </w:pPr>
            <w:r>
              <w:rPr>
                <w:sz w:val="18"/>
              </w:rPr>
              <w:t xml:space="preserve">None; corrections post in the open period as prior-period items (Ind AS 8 or AS 5)</w:t>
            </w:r>
          </w:p>
        </w:tc>
        <w:tc>
          <w:tcPr>
            <w:tcW w:w="2398" w:type="dxa"/>
          </w:tcPr>
          <w:p>
            <w:pPr>
              <w:pStyle w:val="Compact"/>
              <w:spacing w:after="40"/>
              <w:jc w:val="left"/>
            </w:pPr>
            <w:r>
              <w:rPr>
                <w:sz w:val="18"/>
              </w:rPr>
              <w:t xml:space="preserve">Emits</w:t>
            </w:r>
            <w:r>
              <w:rPr>
                <w:sz w:val="18"/>
              </w:rPr>
              <w:t xml:space="preserve"> </w:t>
            </w:r>
            <w:r>
              <w:rPr>
                <w:rStyle w:val="VerbatimChar"/>
                <w:sz w:val="18"/>
              </w:rPr>
              <w:t xml:space="preserve">PeriodClosed</w:t>
            </w:r>
            <w:r>
              <w:rPr>
                <w:sz w:val="18"/>
              </w:rPr>
              <w:t xml:space="preserve"> </w:t>
            </w:r>
            <w:r>
              <w:rPr>
                <w:sz w:val="18"/>
              </w:rPr>
              <w:t xml:space="preserve">(with</w:t>
            </w:r>
            <w:r>
              <w:rPr>
                <w:sz w:val="18"/>
              </w:rPr>
              <w:t xml:space="preserve"> </w:t>
            </w:r>
            <w:r>
              <w:rPr>
                <w:rStyle w:val="VerbatimChar"/>
                <w:sz w:val="18"/>
              </w:rPr>
              <w:t xml:space="preserve">lock_version</w:t>
            </w:r>
            <w:r>
              <w:rPr>
                <w:sz w:val="18"/>
              </w:rPr>
              <w:t xml:space="preserve">); reopen request →</w:t>
            </w:r>
            <w:r>
              <w:rPr>
                <w:sz w:val="18"/>
              </w:rPr>
              <w:t xml:space="preserve"> </w:t>
            </w:r>
            <w:r>
              <w:rPr>
                <w:rStyle w:val="VerbatimChar"/>
                <w:sz w:val="18"/>
              </w:rPr>
              <w:t xml:space="preserve">REOPEN_REQUESTED</w:t>
            </w:r>
          </w:p>
        </w:tc>
      </w:tr>
      <w:tr>
        <w:tc>
          <w:tcPr>
            <w:tcW w:w="889" w:type="dxa"/>
          </w:tcPr>
          <w:p>
            <w:pPr>
              <w:pStyle w:val="Compact"/>
              <w:spacing w:after="40"/>
              <w:jc w:val="left"/>
            </w:pPr>
            <w:r>
              <w:rPr>
                <w:rStyle w:val="VerbatimChar"/>
                <w:sz w:val="18"/>
              </w:rPr>
              <w:t xml:space="preserve">REOPEN_REQUESTED</w:t>
            </w:r>
          </w:p>
        </w:tc>
        <w:tc>
          <w:tcPr>
            <w:tcW w:w="1926" w:type="dxa"/>
          </w:tcPr>
          <w:p>
            <w:pPr>
              <w:pStyle w:val="Compact"/>
              <w:spacing w:after="40"/>
              <w:jc w:val="left"/>
            </w:pPr>
            <w:r>
              <w:rPr>
                <w:sz w:val="18"/>
              </w:rPr>
              <w:t xml:space="preserve">Reason, impact list (returns, statements, tax filings that used the period)</w:t>
            </w:r>
          </w:p>
        </w:tc>
        <w:tc>
          <w:tcPr>
            <w:tcW w:w="1603" w:type="dxa"/>
          </w:tcPr>
          <w:p>
            <w:pPr>
              <w:pStyle w:val="Compact"/>
              <w:spacing w:after="40"/>
              <w:jc w:val="left"/>
            </w:pPr>
            <w:r>
              <w:rPr>
                <w:sz w:val="18"/>
              </w:rPr>
              <w:t xml:space="preserve">CFO, with CCO concurrence where a return is affected</w:t>
            </w:r>
          </w:p>
        </w:tc>
        <w:tc>
          <w:tcPr>
            <w:tcW w:w="2822" w:type="dxa"/>
          </w:tcPr>
          <w:p>
            <w:pPr>
              <w:pStyle w:val="Compact"/>
              <w:spacing w:after="40"/>
              <w:jc w:val="left"/>
            </w:pPr>
            <w:r>
              <w:rPr>
                <w:sz w:val="18"/>
              </w:rPr>
              <w:t xml:space="preserve">None</w:t>
            </w:r>
          </w:p>
        </w:tc>
        <w:tc>
          <w:tcPr>
            <w:tcW w:w="2398" w:type="dxa"/>
          </w:tcPr>
          <w:p>
            <w:pPr>
              <w:pStyle w:val="Compact"/>
              <w:spacing w:after="40"/>
              <w:jc w:val="left"/>
            </w:pPr>
            <w:r>
              <w:rPr>
                <w:sz w:val="18"/>
              </w:rPr>
              <w:t xml:space="preserve">Approved →</w:t>
            </w:r>
            <w:r>
              <w:rPr>
                <w:sz w:val="18"/>
              </w:rPr>
              <w:t xml:space="preserve"> </w:t>
            </w:r>
            <w:r>
              <w:rPr>
                <w:rStyle w:val="VerbatimChar"/>
                <w:sz w:val="18"/>
              </w:rPr>
              <w:t xml:space="preserve">SOFT_CLOSE</w:t>
            </w:r>
            <w:r>
              <w:rPr>
                <w:sz w:val="18"/>
              </w:rPr>
              <w:t xml:space="preserve"> </w:t>
            </w:r>
            <w:r>
              <w:rPr>
                <w:sz w:val="18"/>
              </w:rPr>
              <w:t xml:space="preserve">(adjusting entries only); refused →</w:t>
            </w:r>
            <w:r>
              <w:rPr>
                <w:sz w:val="18"/>
              </w:rPr>
              <w:t xml:space="preserve"> </w:t>
            </w:r>
            <w:r>
              <w:rPr>
                <w:rStyle w:val="VerbatimChar"/>
                <w:sz w:val="18"/>
              </w:rPr>
              <w:t xml:space="preserve">LOCKED</w:t>
            </w:r>
          </w:p>
        </w:tc>
      </w:tr>
    </w:tbl>
    <w:p>
      <w:pPr>
        <w:numPr>
          <w:ilvl w:val="0"/>
          <w:numId w:val="1317"/>
        </w:numPr>
        <w:pStyle w:val="Compact"/>
      </w:pPr>
      <w:r>
        <w:rPr>
          <w:bCs/>
          <w:b/>
        </w:rPr>
        <w:t xml:space="preserve">Reopen floor:</w:t>
      </w:r>
      <w:r>
        <w:t xml:space="preserve"> </w:t>
      </w:r>
      <w:r>
        <w:t xml:space="preserve">a period whose audited statements are</w:t>
      </w:r>
      <w:r>
        <w:t xml:space="preserve"> </w:t>
      </w:r>
      <w:r>
        <w:rPr>
          <w:rStyle w:val="VerbatimChar"/>
        </w:rPr>
        <w:t xml:space="preserve">FINAL</w:t>
      </w:r>
      <w:r>
        <w:t xml:space="preserve"> </w:t>
      </w:r>
      <w:r>
        <w:t xml:space="preserve">(AC3.1) or whose figures sit in a filed GST or TDS return is never reopened; corrections go through the current period and the return’s own amendment route (GSTR-1A, correction statement). A period used by a</w:t>
      </w:r>
      <w:r>
        <w:t xml:space="preserve"> </w:t>
      </w:r>
      <w:r>
        <w:rPr>
          <w:rStyle w:val="VerbatimChar"/>
        </w:rPr>
        <w:t xml:space="preserve">SIGNED_OFF</w:t>
      </w:r>
      <w:r>
        <w:t xml:space="preserve"> </w:t>
      </w:r>
      <w:r>
        <w:t xml:space="preserve">or filed RBI return may be reopened only with the CCO’s concurrence, and re-locking opens a Part 7B RR5.3 revision assessment.</w:t>
      </w:r>
    </w:p>
    <w:p>
      <w:pPr>
        <w:numPr>
          <w:ilvl w:val="0"/>
          <w:numId w:val="1317"/>
        </w:numPr>
        <w:pStyle w:val="Compact"/>
      </w:pPr>
      <w:r>
        <w:rPr>
          <w:bCs/>
          <w:b/>
        </w:rPr>
        <w:t xml:space="preserve">Re-lock</w:t>
      </w:r>
      <w:r>
        <w:t xml:space="preserve"> </w:t>
      </w:r>
      <w:r>
        <w:t xml:space="preserve">increments</w:t>
      </w:r>
      <w:r>
        <w:t xml:space="preserve"> </w:t>
      </w:r>
      <w:r>
        <w:rPr>
          <w:rStyle w:val="VerbatimChar"/>
        </w:rPr>
        <w:t xml:space="preserve">lock_version</w:t>
      </w:r>
      <w:r>
        <w:t xml:space="preserve">, recomputes the TB hashes and re-emits</w:t>
      </w:r>
      <w:r>
        <w:t xml:space="preserve"> </w:t>
      </w:r>
      <w:r>
        <w:rPr>
          <w:rStyle w:val="VerbatimChar"/>
        </w:rPr>
        <w:t xml:space="preserve">PeriodClosed</w:t>
      </w:r>
      <w:r>
        <w:t xml:space="preserve">; consumers treat a higher</w:t>
      </w:r>
      <w:r>
        <w:t xml:space="preserve"> </w:t>
      </w:r>
      <w:r>
        <w:rPr>
          <w:rStyle w:val="VerbatimChar"/>
        </w:rPr>
        <w:t xml:space="preserve">lock_version</w:t>
      </w:r>
      <w:r>
        <w:t xml:space="preserve"> </w:t>
      </w:r>
      <w:r>
        <w:t xml:space="preserve">as superseding the earlier one.</w:t>
      </w:r>
    </w:p>
    <w:p>
      <w:pPr>
        <w:numPr>
          <w:ilvl w:val="0"/>
          <w:numId w:val="1317"/>
        </w:numPr>
        <w:pStyle w:val="Compact"/>
      </w:pPr>
      <w:r>
        <w:t xml:space="preserve">Late operational postings into a locked period never fail silently: the posting is accepted into the open period, tagged</w:t>
      </w:r>
      <w:r>
        <w:t xml:space="preserve"> </w:t>
      </w:r>
      <w:r>
        <w:rPr>
          <w:rStyle w:val="VerbatimChar"/>
        </w:rPr>
        <w:t xml:space="preserve">back_dated</w:t>
      </w:r>
      <w:r>
        <w:t xml:space="preserve">, listed on the close dashboard and, where it touches a filed return’s elements, sent to Part 7B as a post-snapshot reconciliation item.</w:t>
      </w:r>
    </w:p>
    <w:bookmarkEnd w:id="297"/>
    <w:bookmarkStart w:id="298" w:name="acceptance-tests-12"/>
    <w:p>
      <w:pPr>
        <w:pStyle w:val="Heading3"/>
      </w:pPr>
      <w:r>
        <w:t xml:space="preserve">Acceptance tests</w:t>
      </w:r>
    </w:p>
    <w:p>
      <w:pPr>
        <w:numPr>
          <w:ilvl w:val="0"/>
          <w:numId w:val="1318"/>
        </w:numPr>
        <w:pStyle w:val="Compact"/>
      </w:pPr>
      <w:r>
        <w:t xml:space="preserve">ECL ₹42 crore and IRACP ₹50 crore with an existing reserve of ₹5 crore → proposed appropriation ₹3 crore below PAT; with IRACP ₹40 crore → no entry and no release.</w:t>
      </w:r>
    </w:p>
    <w:p>
      <w:pPr>
        <w:numPr>
          <w:ilvl w:val="0"/>
          <w:numId w:val="1318"/>
        </w:numPr>
        <w:pStyle w:val="Compact"/>
      </w:pPr>
      <w:r>
        <w:t xml:space="preserve">An attempt to release the Impairment Reserve without a DoS permission reference fails.</w:t>
      </w:r>
    </w:p>
    <w:p>
      <w:pPr>
        <w:numPr>
          <w:ilvl w:val="0"/>
          <w:numId w:val="1318"/>
        </w:numPr>
        <w:pStyle w:val="Compact"/>
      </w:pPr>
      <w:r>
        <w:t xml:space="preserve">SICR rebuttal at 61 DPD is rejected; at 45 DPD it needs an Audit Committee minute reference.</w:t>
      </w:r>
    </w:p>
    <w:p>
      <w:pPr>
        <w:numPr>
          <w:ilvl w:val="0"/>
          <w:numId w:val="1318"/>
        </w:numPr>
        <w:pStyle w:val="Compact"/>
      </w:pPr>
      <w:r>
        <w:t xml:space="preserve">A bank unsecured retail Stage 2 facility with modelled ECL 3% is floored to 5%.</w:t>
      </w:r>
    </w:p>
    <w:p>
      <w:pPr>
        <w:numPr>
          <w:ilvl w:val="0"/>
          <w:numId w:val="1318"/>
        </w:numPr>
        <w:pStyle w:val="Compact"/>
      </w:pPr>
      <w:r>
        <w:t xml:space="preserve">A DLG invocation of ₹50 lakh on a covered pool triggers an ECL recompute; the cover balance falls by ₹50 lakh.</w:t>
      </w:r>
    </w:p>
    <w:p>
      <w:pPr>
        <w:numPr>
          <w:ilvl w:val="0"/>
          <w:numId w:val="1318"/>
        </w:numPr>
        <w:pStyle w:val="Compact"/>
      </w:pPr>
      <w:r>
        <w:rPr>
          <w:rStyle w:val="VerbatimChar"/>
        </w:rPr>
        <w:t xml:space="preserve">STAT</w:t>
      </w:r>
      <w:r>
        <w:t xml:space="preserve"> </w:t>
      </w:r>
      <w:r>
        <w:t xml:space="preserve">and</w:t>
      </w:r>
      <w:r>
        <w:t xml:space="preserve"> </w:t>
      </w:r>
      <w:r>
        <w:rPr>
          <w:rStyle w:val="VerbatimChar"/>
        </w:rPr>
        <w:t xml:space="preserve">PRUD</w:t>
      </w:r>
      <w:r>
        <w:t xml:space="preserve"> </w:t>
      </w:r>
      <w:r>
        <w:t xml:space="preserve">trial balances differ only by items explained in the book-difference report.</w:t>
      </w:r>
    </w:p>
    <w:p>
      <w:r>
        <w:pict>
          <v:rect style="width:0;height:1.5pt" o:hralign="center" o:hrstd="t" o:hr="t"/>
        </w:pict>
      </w:r>
    </w:p>
    <w:bookmarkEnd w:id="298"/>
    <w:bookmarkEnd w:id="299"/>
    <w:bookmarkStart w:id="308" w:name="X1a0059359f759d671730fa52e3295b12f3e07fe"/>
    <w:p>
      <w:pPr>
        <w:pStyle w:val="Heading2"/>
      </w:pPr>
      <w:r>
        <w:t xml:space="preserve">AC3. Financial statements, schedules and disclosures</w:t>
      </w:r>
    </w:p>
    <w:p>
      <w:pPr>
        <w:pStyle w:val="FirstParagraph"/>
      </w:pPr>
      <w:r>
        <w:rPr>
          <w:bCs/>
          <w:b/>
        </w:rPr>
        <w:t xml:space="preserve">Purpose.</w:t>
      </w:r>
      <w:r>
        <w:t xml:space="preserve"> </w:t>
      </w:r>
      <w:r>
        <w:t xml:space="preserve">Produce complete, validated statutory statements and disclosures for each framework, plus the data the statutory auditor, the MCA and RBI need.</w:t>
      </w:r>
    </w:p>
    <w:bookmarkStart w:id="300" w:name="ac3.1-pipeline"/>
    <w:p>
      <w:pPr>
        <w:pStyle w:val="Heading3"/>
      </w:pPr>
      <w:r>
        <w:t xml:space="preserve">AC3.1 Pipeline</w:t>
      </w:r>
    </w:p>
    <w:p>
      <w:pPr>
        <w:numPr>
          <w:ilvl w:val="0"/>
          <w:numId w:val="1319"/>
        </w:numPr>
        <w:pStyle w:val="Compact"/>
      </w:pPr>
      <w:r>
        <w:t xml:space="preserve">Lock the trial balance per book (</w:t>
      </w:r>
      <w:r>
        <w:rPr>
          <w:rStyle w:val="VerbatimChar"/>
        </w:rPr>
        <w:t xml:space="preserve">PeriodClosed</w:t>
      </w:r>
      <w:r>
        <w:t xml:space="preserve">).</w:t>
      </w:r>
    </w:p>
    <w:p>
      <w:pPr>
        <w:numPr>
          <w:ilvl w:val="0"/>
          <w:numId w:val="1319"/>
        </w:numPr>
        <w:pStyle w:val="Compact"/>
      </w:pPr>
      <w:r>
        <w:t xml:space="preserve">Map every GL account to a statement line through a versioned</w:t>
      </w:r>
      <w:r>
        <w:t xml:space="preserve"> </w:t>
      </w:r>
      <w:r>
        <w:rPr>
          <w:rStyle w:val="VerbatimChar"/>
        </w:rPr>
        <w:t xml:space="preserve">gl_line_map</w:t>
      </w:r>
      <w:r>
        <w:t xml:space="preserve"> </w:t>
      </w:r>
      <w:r>
        <w:t xml:space="preserve">per format;</w:t>
      </w:r>
      <w:r>
        <w:t xml:space="preserve"> </w:t>
      </w:r>
      <w:r>
        <w:rPr>
          <w:bCs/>
          <w:b/>
        </w:rPr>
        <w:t xml:space="preserve">no orphan accounts</w:t>
      </w:r>
      <w:r>
        <w:t xml:space="preserve"> </w:t>
      </w:r>
      <w:r>
        <w:t xml:space="preserve">(the run fails).</w:t>
      </w:r>
    </w:p>
    <w:p>
      <w:pPr>
        <w:numPr>
          <w:ilvl w:val="0"/>
          <w:numId w:val="1319"/>
        </w:numPr>
        <w:pStyle w:val="Compact"/>
      </w:pPr>
      <w:r>
        <w:t xml:space="preserve">Produce balance sheet, statement of profit and loss (incl. OCI for Ind AS), statement of changes in equity, cash flow statement and notes, with comparatives (FS 19).</w:t>
      </w:r>
    </w:p>
    <w:p>
      <w:pPr>
        <w:numPr>
          <w:ilvl w:val="0"/>
          <w:numId w:val="1319"/>
        </w:numPr>
        <w:pStyle w:val="Compact"/>
      </w:pPr>
      <w:r>
        <w:t xml:space="preserve">Add the regulatory disclosure packs (AC3.3) and the Schedule III datasets (AC3.2).</w:t>
      </w:r>
    </w:p>
    <w:p>
      <w:pPr>
        <w:numPr>
          <w:ilvl w:val="0"/>
          <w:numId w:val="1319"/>
        </w:numPr>
        <w:pStyle w:val="Compact"/>
      </w:pPr>
      <w:r>
        <w:t xml:space="preserve">Consolidate (FS Ch IV; AC3.6).</w:t>
      </w:r>
    </w:p>
    <w:p>
      <w:pPr>
        <w:numPr>
          <w:ilvl w:val="0"/>
          <w:numId w:val="1319"/>
        </w:numPr>
        <w:pStyle w:val="Compact"/>
      </w:pPr>
      <w:r>
        <w:t xml:space="preserve">Review and approve through the statement state machine below, render PDF/A, XLSX and the MCA payload, and hash all outputs.</w:t>
      </w:r>
    </w:p>
    <w:p>
      <w:pPr>
        <w:pStyle w:val="FirstParagraph"/>
      </w:pPr>
      <w:r>
        <w:rPr>
          <w:bCs/>
          <w:b/>
        </w:rPr>
        <w:t xml:space="preserve">Statement state machine (per legal entity, financial year, book and format).</w:t>
      </w:r>
      <w:r>
        <w:t xml:space="preserve"> </w:t>
      </w:r>
      <w:r>
        <w:rPr>
          <w:rStyle w:val="VerbatimChar"/>
        </w:rPr>
        <w:t xml:space="preserve">DRAFT → TIED_OUT → CFO_APPROVED → AUDIT_COMMITTEE_REVIEWED → BOARD_APPROVED → AUDITOR_REPORT_SIGNED → FINAL → MCA_FILED_BY_HUMAN</w:t>
      </w:r>
      <w:r>
        <w:t xml:space="preserve">.</w:t>
      </w:r>
    </w:p>
    <w:p>
      <w:pPr>
        <w:numPr>
          <w:ilvl w:val="0"/>
          <w:numId w:val="1320"/>
        </w:numPr>
        <w:pStyle w:val="Compact"/>
      </w:pPr>
      <w:r>
        <w:rPr>
          <w:rStyle w:val="VerbatimChar"/>
        </w:rPr>
        <w:t xml:space="preserve">TIED_OUT</w:t>
      </w:r>
      <w:r>
        <w:t xml:space="preserve"> </w:t>
      </w:r>
      <w:r>
        <w:t xml:space="preserve">needs every AC3.7 validation to pass; a failure returns to</w:t>
      </w:r>
      <w:r>
        <w:t xml:space="preserve"> </w:t>
      </w:r>
      <w:r>
        <w:rPr>
          <w:rStyle w:val="VerbatimChar"/>
        </w:rPr>
        <w:t xml:space="preserve">DRAFT</w:t>
      </w:r>
      <w:r>
        <w:t xml:space="preserve"> </w:t>
      </w:r>
      <w:r>
        <w:t xml:space="preserve">with the rule named. Audit adjustments return the run to</w:t>
      </w:r>
      <w:r>
        <w:t xml:space="preserve"> </w:t>
      </w:r>
      <w:r>
        <w:rPr>
          <w:rStyle w:val="VerbatimChar"/>
        </w:rPr>
        <w:t xml:space="preserve">DRAFT</w:t>
      </w:r>
      <w:r>
        <w:t xml:space="preserve"> </w:t>
      </w:r>
      <w:r>
        <w:t xml:space="preserve">as version n+1 and keep version n.</w:t>
      </w:r>
    </w:p>
    <w:p>
      <w:pPr>
        <w:numPr>
          <w:ilvl w:val="0"/>
          <w:numId w:val="1320"/>
        </w:numPr>
        <w:pStyle w:val="Compact"/>
      </w:pPr>
      <w:r>
        <w:rPr>
          <w:rStyle w:val="VerbatimChar"/>
        </w:rPr>
        <w:t xml:space="preserve">BOARD_APPROVED</w:t>
      </w:r>
      <w:r>
        <w:t xml:space="preserve"> </w:t>
      </w:r>
      <w:r>
        <w:t xml:space="preserve">records the Board meeting date and resolution reference (Part 7F);</w:t>
      </w:r>
      <w:r>
        <w:t xml:space="preserve"> </w:t>
      </w:r>
      <w:r>
        <w:rPr>
          <w:rStyle w:val="VerbatimChar"/>
        </w:rPr>
        <w:t xml:space="preserve">AUDITOR_REPORT_SIGNED</w:t>
      </w:r>
      <w:r>
        <w:t xml:space="preserve"> </w:t>
      </w:r>
      <w:r>
        <w:t xml:space="preserve">records the auditor’s report date and UDIN.</w:t>
      </w:r>
      <w:r>
        <w:t xml:space="preserve"> </w:t>
      </w:r>
      <w:r>
        <w:rPr>
          <w:rStyle w:val="VerbatimChar"/>
          <w:bCs/>
          <w:b/>
        </w:rPr>
        <w:t xml:space="preserve">FinancialStatementsApproved</w:t>
      </w:r>
      <w:r>
        <w:rPr>
          <w:bCs/>
          <w:b/>
        </w:rPr>
        <w:t xml:space="preserve"> </w:t>
      </w:r>
      <w:r>
        <w:rPr>
          <w:bCs/>
          <w:b/>
        </w:rPr>
        <w:t xml:space="preserve">is emitted once both dates are recorded</w:t>
      </w:r>
      <w:r>
        <w:t xml:space="preserve">, with</w:t>
      </w:r>
      <w:r>
        <w:t xml:space="preserve"> </w:t>
      </w:r>
      <w:r>
        <w:rPr>
          <w:rStyle w:val="VerbatimChar"/>
        </w:rPr>
        <w:t xml:space="preserve">framework</w:t>
      </w:r>
      <w:r>
        <w:t xml:space="preserve"> </w:t>
      </w:r>
      <w:r>
        <w:t xml:space="preserve">mapped to the Integration Specification values (</w:t>
      </w:r>
      <w:r>
        <w:rPr>
          <w:rStyle w:val="VerbatimChar"/>
        </w:rPr>
        <w:t xml:space="preserve">IND_AS</w:t>
      </w:r>
      <w:r>
        <w:t xml:space="preserve">;</w:t>
      </w:r>
      <w:r>
        <w:t xml:space="preserve"> </w:t>
      </w:r>
      <w:r>
        <w:rPr>
          <w:rStyle w:val="VerbatimChar"/>
        </w:rPr>
        <w:t xml:space="preserve">AS</w:t>
      </w:r>
      <w:r>
        <w:t xml:space="preserve"> </w:t>
      </w:r>
      <w:r>
        <w:t xml:space="preserve">for AS 2021, bank AS and ICAI AS;</w:t>
      </w:r>
      <w:r>
        <w:t xml:space="preserve"> </w:t>
      </w:r>
      <w:r>
        <w:rPr>
          <w:rStyle w:val="VerbatimChar"/>
        </w:rPr>
        <w:t xml:space="preserve">COOP</w:t>
      </w:r>
      <w:r>
        <w:t xml:space="preserve"> </w:t>
      </w:r>
      <w:r>
        <w:t xml:space="preserve">for co-operative Act formats;</w:t>
      </w:r>
      <w:r>
        <w:t xml:space="preserve"> </w:t>
      </w:r>
      <w:r>
        <w:rPr>
          <w:rStyle w:val="VerbatimChar"/>
        </w:rPr>
        <w:t xml:space="preserve">IFRS_IFSC</w:t>
      </w:r>
      <w:r>
        <w:t xml:space="preserve">). Its audit report date starts the Part 7B DNBS10 and audited-return clocks.</w:t>
      </w:r>
    </w:p>
    <w:p>
      <w:pPr>
        <w:numPr>
          <w:ilvl w:val="0"/>
          <w:numId w:val="1320"/>
        </w:numPr>
        <w:pStyle w:val="Compact"/>
      </w:pPr>
      <w:r>
        <w:t xml:space="preserve">A change after</w:t>
      </w:r>
      <w:r>
        <w:t xml:space="preserve"> </w:t>
      </w:r>
      <w:r>
        <w:rPr>
          <w:rStyle w:val="VerbatimChar"/>
        </w:rPr>
        <w:t xml:space="preserve">FINAL</w:t>
      </w:r>
      <w:r>
        <w:t xml:space="preserve"> </w:t>
      </w:r>
      <w:r>
        <w:t xml:space="preserve">(for example re-approval after an adjusting event) is a new version that re-emits the event with a higher version, and opens a Part 7B revision assessment for returns built on the earlier figures.</w:t>
      </w:r>
    </w:p>
    <w:p>
      <w:pPr>
        <w:numPr>
          <w:ilvl w:val="0"/>
          <w:numId w:val="1320"/>
        </w:numPr>
        <w:pStyle w:val="Compact"/>
      </w:pPr>
      <w:r>
        <w:rPr>
          <w:rStyle w:val="VerbatimChar"/>
        </w:rPr>
        <w:t xml:space="preserve">MCA_FILED_BY_HUMAN</w:t>
      </w:r>
      <w:r>
        <w:t xml:space="preserve"> </w:t>
      </w:r>
      <w:r>
        <w:t xml:space="preserve">records the SRN entered by the company’s authorised signatory (AC3.5).</w:t>
      </w:r>
    </w:p>
    <w:bookmarkEnd w:id="300"/>
    <w:bookmarkStart w:id="301" w:name="ac3.2-format-catalogue"/>
    <w:p>
      <w:pPr>
        <w:pStyle w:val="Heading3"/>
      </w:pPr>
      <w:r>
        <w:t xml:space="preserve">AC3.2 Format catalogue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94"/>
        <w:gridCol w:w="2958"/>
        <w:gridCol w:w="4686"/>
      </w:tblGrid>
      <w:tr>
        <w:trPr>
          <w:tblHeader w:val="true"/>
          <w:tblHeader w:val="true"/>
        </w:trPr>
        <w:tc>
          <w:tcPr>
            <w:tcW w:w="1994" w:type="dxa"/>
            <w:shd w:val="clear" w:color="auto" w:fill="1F3A5F"/>
          </w:tcPr>
          <w:p>
            <w:pPr>
              <w:pStyle w:val="Compact"/>
              <w:spacing w:after="40"/>
              <w:jc w:val="left"/>
            </w:pPr>
            <w:r>
              <w:rPr>
                <w:b/>
                <w:color w:val="FFFFFF"/>
                <w:sz w:val="18"/>
              </w:rPr>
              <w:t xml:space="preserve">Format</w:t>
            </w:r>
          </w:p>
        </w:tc>
        <w:tc>
          <w:tcPr>
            <w:tcW w:w="2958" w:type="dxa"/>
            <w:shd w:val="clear" w:color="auto" w:fill="1F3A5F"/>
          </w:tcPr>
          <w:p>
            <w:pPr>
              <w:pStyle w:val="Compact"/>
              <w:spacing w:after="40"/>
              <w:jc w:val="left"/>
            </w:pPr>
            <w:r>
              <w:rPr>
                <w:b/>
                <w:color w:val="FFFFFF"/>
                <w:sz w:val="18"/>
              </w:rPr>
              <w:t xml:space="preserve">Basis</w:t>
            </w:r>
          </w:p>
        </w:tc>
        <w:tc>
          <w:tcPr>
            <w:tcW w:w="4686" w:type="dxa"/>
            <w:shd w:val="clear" w:color="auto" w:fill="1F3A5F"/>
          </w:tcPr>
          <w:p>
            <w:pPr>
              <w:pStyle w:val="Compact"/>
              <w:spacing w:after="40"/>
              <w:jc w:val="left"/>
            </w:pPr>
            <w:r>
              <w:rPr>
                <w:b/>
                <w:color w:val="FFFFFF"/>
                <w:sz w:val="18"/>
              </w:rPr>
              <w:t xml:space="preserve">Notes</w:t>
            </w:r>
          </w:p>
        </w:tc>
      </w:tr>
      <w:tr>
        <w:tc>
          <w:tcPr>
            <w:tcW w:w="1994" w:type="dxa"/>
          </w:tcPr>
          <w:p>
            <w:pPr>
              <w:pStyle w:val="Compact"/>
              <w:spacing w:after="40"/>
              <w:jc w:val="left"/>
            </w:pPr>
            <w:r>
              <w:rPr>
                <w:sz w:val="18"/>
              </w:rPr>
              <w:t xml:space="preserve">Schedule III Division I</w:t>
            </w:r>
          </w:p>
        </w:tc>
        <w:tc>
          <w:tcPr>
            <w:tcW w:w="2958" w:type="dxa"/>
          </w:tcPr>
          <w:p>
            <w:pPr>
              <w:pStyle w:val="Compact"/>
              <w:spacing w:after="40"/>
              <w:jc w:val="left"/>
            </w:pPr>
            <w:r>
              <w:rPr>
                <w:sz w:val="18"/>
              </w:rPr>
              <w:t xml:space="preserve">CA13 Sch III (AS)</w:t>
            </w:r>
          </w:p>
        </w:tc>
        <w:tc>
          <w:tcPr>
            <w:tcW w:w="4686" w:type="dxa"/>
          </w:tcPr>
          <w:p>
            <w:pPr>
              <w:pStyle w:val="Compact"/>
              <w:spacing w:after="40"/>
              <w:jc w:val="left"/>
            </w:pPr>
            <w:r>
              <w:rPr>
                <w:sz w:val="18"/>
              </w:rPr>
              <w:t xml:space="preserve">Non-Ind AS companies incl. AS NBFCs</w:t>
            </w:r>
          </w:p>
        </w:tc>
      </w:tr>
      <w:tr>
        <w:tc>
          <w:tcPr>
            <w:tcW w:w="1994" w:type="dxa"/>
          </w:tcPr>
          <w:p>
            <w:pPr>
              <w:pStyle w:val="Compact"/>
              <w:spacing w:after="40"/>
              <w:jc w:val="left"/>
            </w:pPr>
            <w:r>
              <w:rPr>
                <w:sz w:val="18"/>
              </w:rPr>
              <w:t xml:space="preserve">Schedule III Division II</w:t>
            </w:r>
          </w:p>
        </w:tc>
        <w:tc>
          <w:tcPr>
            <w:tcW w:w="2958" w:type="dxa"/>
          </w:tcPr>
          <w:p>
            <w:pPr>
              <w:pStyle w:val="Compact"/>
              <w:spacing w:after="40"/>
              <w:jc w:val="left"/>
            </w:pPr>
            <w:r>
              <w:rPr>
                <w:sz w:val="18"/>
              </w:rPr>
              <w:t xml:space="preserve">CA13 Sch III (Ind AS, non-NBFC)</w:t>
            </w:r>
          </w:p>
        </w:tc>
        <w:tc>
          <w:tcPr>
            <w:tcW w:w="4686" w:type="dxa"/>
          </w:tcPr>
          <w:p>
            <w:pPr>
              <w:pStyle w:val="Compact"/>
              <w:spacing w:after="40"/>
              <w:jc w:val="left"/>
            </w:pPr>
            <w:r>
              <w:rPr>
                <w:sz w:val="18"/>
              </w:rPr>
              <w:t xml:space="preserve">Group companies, Udofin when on Ind AS</w:t>
            </w:r>
          </w:p>
        </w:tc>
      </w:tr>
      <w:tr>
        <w:tc>
          <w:tcPr>
            <w:tcW w:w="1994" w:type="dxa"/>
          </w:tcPr>
          <w:p>
            <w:pPr>
              <w:pStyle w:val="Compact"/>
              <w:spacing w:after="40"/>
              <w:jc w:val="left"/>
            </w:pPr>
            <w:r>
              <w:rPr>
                <w:sz w:val="18"/>
              </w:rPr>
              <w:t xml:space="preserve">Schedule III Division III</w:t>
            </w:r>
          </w:p>
        </w:tc>
        <w:tc>
          <w:tcPr>
            <w:tcW w:w="2958" w:type="dxa"/>
          </w:tcPr>
          <w:p>
            <w:pPr>
              <w:pStyle w:val="Compact"/>
              <w:spacing w:after="40"/>
              <w:jc w:val="left"/>
            </w:pPr>
            <w:r>
              <w:rPr>
                <w:sz w:val="18"/>
              </w:rPr>
              <w:t xml:space="preserve">CA13 Sch III (Ind AS NBFC), G.S.R. 1022(E), 11 Oct 2018</w:t>
            </w:r>
          </w:p>
        </w:tc>
        <w:tc>
          <w:tcPr>
            <w:tcW w:w="4686" w:type="dxa"/>
          </w:tcPr>
          <w:p>
            <w:pPr>
              <w:pStyle w:val="Compact"/>
              <w:spacing w:after="40"/>
              <w:jc w:val="left"/>
            </w:pPr>
            <w:r>
              <w:rPr>
                <w:sz w:val="18"/>
              </w:rPr>
              <w:t xml:space="preserve">Ind AS NBFCs incl. HFCs and core investment companies; ratios CRAR, Tier I, Tier II, LCR</w:t>
            </w:r>
          </w:p>
        </w:tc>
      </w:tr>
      <w:tr>
        <w:tc>
          <w:tcPr>
            <w:tcW w:w="1994" w:type="dxa"/>
          </w:tcPr>
          <w:p>
            <w:pPr>
              <w:pStyle w:val="Compact"/>
              <w:spacing w:after="40"/>
              <w:jc w:val="left"/>
            </w:pPr>
            <w:r>
              <w:rPr>
                <w:sz w:val="18"/>
              </w:rPr>
              <w:t xml:space="preserve">BR Act Third Schedule</w:t>
            </w:r>
          </w:p>
        </w:tc>
        <w:tc>
          <w:tcPr>
            <w:tcW w:w="2958" w:type="dxa"/>
          </w:tcPr>
          <w:p>
            <w:pPr>
              <w:pStyle w:val="Compact"/>
              <w:spacing w:after="40"/>
              <w:jc w:val="left"/>
            </w:pPr>
            <w:r>
              <w:rPr>
                <w:sz w:val="18"/>
              </w:rPr>
              <w:t xml:space="preserve">BR Act s.29 (s.56 for co-operative banks)</w:t>
            </w:r>
          </w:p>
        </w:tc>
        <w:tc>
          <w:tcPr>
            <w:tcW w:w="4686" w:type="dxa"/>
          </w:tcPr>
          <w:p>
            <w:pPr>
              <w:pStyle w:val="Compact"/>
              <w:spacing w:after="40"/>
              <w:jc w:val="left"/>
            </w:pPr>
            <w:r>
              <w:rPr>
                <w:sz w:val="18"/>
              </w:rPr>
              <w:t xml:space="preserve">Form A Schedules 1–12, Form B Schedules 13–16 with RBI notes-to-accounts directions [VERIFY: 2025 consolidated bank and UCB FS Directions]</w:t>
            </w:r>
          </w:p>
        </w:tc>
      </w:tr>
      <w:tr>
        <w:tc>
          <w:tcPr>
            <w:tcW w:w="1994" w:type="dxa"/>
          </w:tcPr>
          <w:p>
            <w:pPr>
              <w:pStyle w:val="Compact"/>
              <w:spacing w:after="40"/>
              <w:jc w:val="left"/>
            </w:pPr>
            <w:r>
              <w:rPr>
                <w:sz w:val="18"/>
              </w:rPr>
              <w:t xml:space="preserve">Co-operative society</w:t>
            </w:r>
          </w:p>
        </w:tc>
        <w:tc>
          <w:tcPr>
            <w:tcW w:w="2958" w:type="dxa"/>
          </w:tcPr>
          <w:p>
            <w:pPr>
              <w:pStyle w:val="Compact"/>
              <w:spacing w:after="40"/>
              <w:jc w:val="left"/>
            </w:pPr>
            <w:r>
              <w:rPr>
                <w:sz w:val="18"/>
              </w:rPr>
              <w:t xml:space="preserve">State Act or MSCS Rules format</w:t>
            </w:r>
          </w:p>
        </w:tc>
        <w:tc>
          <w:tcPr>
            <w:tcW w:w="4686" w:type="dxa"/>
          </w:tcPr>
          <w:p>
            <w:pPr>
              <w:pStyle w:val="Compact"/>
              <w:spacing w:after="40"/>
              <w:jc w:val="left"/>
            </w:pPr>
            <w:r>
              <w:rPr>
                <w:sz w:val="18"/>
              </w:rPr>
              <w:t xml:space="preserve">Registrar formats [VERIFY per state]</w:t>
            </w:r>
          </w:p>
        </w:tc>
      </w:tr>
      <w:tr>
        <w:tc>
          <w:tcPr>
            <w:tcW w:w="1994" w:type="dxa"/>
          </w:tcPr>
          <w:p>
            <w:pPr>
              <w:pStyle w:val="Compact"/>
              <w:spacing w:after="40"/>
              <w:jc w:val="left"/>
            </w:pPr>
            <w:r>
              <w:rPr>
                <w:sz w:val="18"/>
              </w:rPr>
              <w:t xml:space="preserve">ICAI non-company</w:t>
            </w:r>
          </w:p>
        </w:tc>
        <w:tc>
          <w:tcPr>
            <w:tcW w:w="2958" w:type="dxa"/>
          </w:tcPr>
          <w:p>
            <w:pPr>
              <w:pStyle w:val="Compact"/>
              <w:spacing w:after="40"/>
              <w:jc w:val="left"/>
            </w:pPr>
            <w:r>
              <w:rPr>
                <w:sz w:val="18"/>
              </w:rPr>
              <w:t xml:space="preserve">ICAI formats (MSME or Large)</w:t>
            </w:r>
          </w:p>
        </w:tc>
        <w:tc>
          <w:tcPr>
            <w:tcW w:w="4686" w:type="dxa"/>
          </w:tcPr>
          <w:p>
            <w:pPr>
              <w:pStyle w:val="Compact"/>
              <w:spacing w:after="40"/>
              <w:jc w:val="left"/>
            </w:pPr>
            <w:r>
              <w:rPr>
                <w:sz w:val="18"/>
              </w:rPr>
              <w:t xml:space="preserve">Trusts, LLPs, partnerships</w:t>
            </w:r>
          </w:p>
        </w:tc>
      </w:tr>
      <w:tr>
        <w:tc>
          <w:tcPr>
            <w:tcW w:w="1994" w:type="dxa"/>
          </w:tcPr>
          <w:p>
            <w:pPr>
              <w:pStyle w:val="Compact"/>
              <w:spacing w:after="40"/>
              <w:jc w:val="left"/>
            </w:pPr>
            <w:r>
              <w:rPr>
                <w:sz w:val="18"/>
              </w:rPr>
              <w:t xml:space="preserve">IFRS (USD)</w:t>
            </w:r>
          </w:p>
        </w:tc>
        <w:tc>
          <w:tcPr>
            <w:tcW w:w="2958" w:type="dxa"/>
          </w:tcPr>
          <w:p>
            <w:pPr>
              <w:pStyle w:val="Compact"/>
              <w:spacing w:after="40"/>
              <w:jc w:val="left"/>
            </w:pPr>
            <w:r>
              <w:rPr>
                <w:sz w:val="18"/>
              </w:rPr>
              <w:t xml:space="preserve">IASB IFRS</w:t>
            </w:r>
          </w:p>
        </w:tc>
        <w:tc>
          <w:tcPr>
            <w:tcW w:w="4686" w:type="dxa"/>
          </w:tcPr>
          <w:p>
            <w:pPr>
              <w:pStyle w:val="Compact"/>
              <w:spacing w:after="40"/>
              <w:jc w:val="left"/>
            </w:pPr>
            <w:r>
              <w:rPr>
                <w:sz w:val="18"/>
              </w:rPr>
              <w:t xml:space="preserve">IBUs; IFSC units where profiled</w:t>
            </w:r>
          </w:p>
        </w:tc>
      </w:tr>
    </w:tbl>
    <w:p>
      <w:pPr>
        <w:pStyle w:val="BodyText"/>
      </w:pPr>
      <w:r>
        <w:rPr>
          <w:bCs/>
          <w:b/>
        </w:rPr>
        <w:t xml:space="preserve">Schedule III datasets (2021 amendment, in force 1 Apr 2021) [LAW]:</w:t>
      </w:r>
      <w:r>
        <w:t xml:space="preserve"> </w:t>
      </w:r>
      <w:r>
        <w:t xml:space="preserve">promoter shareholding; ageing of receivables, payables and CWIP; title deeds not in the company’s name; loans to promoters, directors, KMP and related parties repayable on demand or without terms; benami proceedings; wilful-defaulter status; transactions with struck-off companies; charges not registered in time; layering compliance; schemes of arrangement; funds routed through intermediaries; undisclosed income; CSR; crypto. Each dataset has a source query and a</w:t>
      </w:r>
      <w:r>
        <w:t xml:space="preserve"> </w:t>
      </w:r>
      <w:r>
        <w:t xml:space="preserve">“</w:t>
      </w:r>
      <w:r>
        <w:t xml:space="preserve">nil with evidence</w:t>
      </w:r>
      <w:r>
        <w:t xml:space="preserve">”</w:t>
      </w:r>
      <w:r>
        <w:t xml:space="preserve"> </w:t>
      </w:r>
      <w:r>
        <w:t xml:space="preserve">option [VERIFY: no 2025–26 Schedule III format amendment].</w:t>
      </w:r>
    </w:p>
    <w:bookmarkEnd w:id="301"/>
    <w:bookmarkStart w:id="302" w:name="X5c3a8623129cdd061bd289dc51c47c55193d006"/>
    <w:p>
      <w:pPr>
        <w:pStyle w:val="Heading3"/>
      </w:pPr>
      <w:r>
        <w:t xml:space="preserve">AC3.3 Regulatory disclosures (extends Part 8A.8)</w:t>
      </w:r>
    </w:p>
    <w:p>
      <w:pPr>
        <w:pStyle w:val="FirstParagraph"/>
      </w:pPr>
      <w:r>
        <w:t xml:space="preserve">The FS disclosure engine (M10 item 9; 8A.8) is extended with datasets that tie to source modules: gold and silver loans and auctions (RBC; Part 7A R10); project finance and DCCO; non-fund-based facilities; co-lending partner list and notes (TDCR 126–127); securitisation and transfers (SEC 114; TDCR 93); restructuring; sectoral and intra-group exposures; related parties and loans to directors and senior officers (FS 21(9), 21(9A), 21(11)); complaints (from M15); liquidity and LCR (from Part 7E RK4); concentration (RK5); NPA movement (from</w:t>
      </w:r>
      <w:r>
        <w:t xml:space="preserve"> </w:t>
      </w:r>
      <w:r>
        <w:rPr>
          <w:rStyle w:val="VerbatimChar"/>
        </w:rPr>
        <w:t xml:space="preserve">classification_history</w:t>
      </w:r>
      <w:r>
        <w:t xml:space="preserve">); IRACP vs Ind AS table (AC2.3); &gt; 90 DPD not impaired (AC2.2). Every dataset carries a tie-out rule to its source run.</w:t>
      </w:r>
    </w:p>
    <w:bookmarkEnd w:id="302"/>
    <w:bookmarkStart w:id="303" w:name="ac3.4-caro-2020-data-pack"/>
    <w:p>
      <w:pPr>
        <w:pStyle w:val="Heading3"/>
      </w:pPr>
      <w:r>
        <w:t xml:space="preserve">AC3.4 CARO 2020 data pack</w:t>
      </w:r>
    </w:p>
    <w:p>
      <w:pPr>
        <w:pStyle w:val="FirstParagraph"/>
      </w:pPr>
      <w:r>
        <w:t xml:space="preserve">CARO 2020 applies to NBFCs and other companies except banks, insurers, s.8 companies, OPCs and small companies [LAW]. Finbyx assembles evidence per clause: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69"/>
        <w:gridCol w:w="7969"/>
      </w:tblGrid>
      <w:tr>
        <w:trPr>
          <w:tblHeader w:val="true"/>
          <w:tblHeader w:val="true"/>
        </w:trPr>
        <w:tc>
          <w:tcPr>
            <w:tcW w:w="1669" w:type="dxa"/>
            <w:shd w:val="clear" w:color="auto" w:fill="1F3A5F"/>
          </w:tcPr>
          <w:p>
            <w:pPr>
              <w:pStyle w:val="Compact"/>
              <w:spacing w:after="40"/>
              <w:jc w:val="left"/>
            </w:pPr>
            <w:r>
              <w:rPr>
                <w:b/>
                <w:color w:val="FFFFFF"/>
                <w:sz w:val="18"/>
              </w:rPr>
              <w:t xml:space="preserve">Clause</w:t>
            </w:r>
          </w:p>
        </w:tc>
        <w:tc>
          <w:tcPr>
            <w:tcW w:w="7969" w:type="dxa"/>
            <w:shd w:val="clear" w:color="auto" w:fill="1F3A5F"/>
          </w:tcPr>
          <w:p>
            <w:pPr>
              <w:pStyle w:val="Compact"/>
              <w:spacing w:after="40"/>
              <w:jc w:val="left"/>
            </w:pPr>
            <w:r>
              <w:rPr>
                <w:b/>
                <w:color w:val="FFFFFF"/>
                <w:sz w:val="18"/>
              </w:rPr>
              <w:t xml:space="preserve">Finbyx data</w:t>
            </w:r>
          </w:p>
        </w:tc>
      </w:tr>
      <w:tr>
        <w:tc>
          <w:tcPr>
            <w:tcW w:w="1669" w:type="dxa"/>
          </w:tcPr>
          <w:p>
            <w:pPr>
              <w:pStyle w:val="Compact"/>
              <w:spacing w:after="40"/>
              <w:jc w:val="left"/>
            </w:pPr>
            <w:r>
              <w:rPr>
                <w:sz w:val="18"/>
              </w:rPr>
              <w:t xml:space="preserve">3(ii)(b)</w:t>
            </w:r>
          </w:p>
        </w:tc>
        <w:tc>
          <w:tcPr>
            <w:tcW w:w="7969" w:type="dxa"/>
          </w:tcPr>
          <w:p>
            <w:pPr>
              <w:pStyle w:val="Compact"/>
              <w:spacing w:after="40"/>
              <w:jc w:val="left"/>
            </w:pPr>
            <w:r>
              <w:rPr>
                <w:sz w:val="18"/>
              </w:rPr>
              <w:t xml:space="preserve">Returns and statements filed with lenders (borrowings module) vs books</w:t>
            </w:r>
          </w:p>
        </w:tc>
      </w:tr>
      <w:tr>
        <w:tc>
          <w:tcPr>
            <w:tcW w:w="1669" w:type="dxa"/>
          </w:tcPr>
          <w:p>
            <w:pPr>
              <w:pStyle w:val="Compact"/>
              <w:spacing w:after="40"/>
              <w:jc w:val="left"/>
            </w:pPr>
            <w:r>
              <w:rPr>
                <w:sz w:val="18"/>
              </w:rPr>
              <w:t xml:space="preserve">3(iii)</w:t>
            </w:r>
          </w:p>
        </w:tc>
        <w:tc>
          <w:tcPr>
            <w:tcW w:w="7969" w:type="dxa"/>
          </w:tcPr>
          <w:p>
            <w:pPr>
              <w:pStyle w:val="Compact"/>
              <w:spacing w:after="40"/>
              <w:jc w:val="left"/>
            </w:pPr>
            <w:r>
              <w:rPr>
                <w:sz w:val="18"/>
              </w:rPr>
              <w:t xml:space="preserve">Loans, guarantees, investments; (a) and (e) do not apply where the principal business is lending</w:t>
            </w:r>
          </w:p>
        </w:tc>
      </w:tr>
      <w:tr>
        <w:tc>
          <w:tcPr>
            <w:tcW w:w="1669" w:type="dxa"/>
          </w:tcPr>
          <w:p>
            <w:pPr>
              <w:pStyle w:val="Compact"/>
              <w:spacing w:after="40"/>
              <w:jc w:val="left"/>
            </w:pPr>
            <w:r>
              <w:rPr>
                <w:sz w:val="18"/>
              </w:rPr>
              <w:t xml:space="preserve">3(ix)</w:t>
            </w:r>
          </w:p>
        </w:tc>
        <w:tc>
          <w:tcPr>
            <w:tcW w:w="7969" w:type="dxa"/>
          </w:tcPr>
          <w:p>
            <w:pPr>
              <w:pStyle w:val="Compact"/>
              <w:spacing w:after="40"/>
              <w:jc w:val="left"/>
            </w:pPr>
            <w:r>
              <w:rPr>
                <w:sz w:val="18"/>
              </w:rPr>
              <w:t xml:space="preserve">Defaults on borrowings, wilful-defaulter status, end-use of term loans and short-term funds</w:t>
            </w:r>
          </w:p>
        </w:tc>
      </w:tr>
      <w:tr>
        <w:tc>
          <w:tcPr>
            <w:tcW w:w="1669" w:type="dxa"/>
          </w:tcPr>
          <w:p>
            <w:pPr>
              <w:pStyle w:val="Compact"/>
              <w:spacing w:after="40"/>
              <w:jc w:val="left"/>
            </w:pPr>
            <w:r>
              <w:rPr>
                <w:sz w:val="18"/>
              </w:rPr>
              <w:t xml:space="preserve">3(xi)</w:t>
            </w:r>
          </w:p>
        </w:tc>
        <w:tc>
          <w:tcPr>
            <w:tcW w:w="7969" w:type="dxa"/>
          </w:tcPr>
          <w:p>
            <w:pPr>
              <w:pStyle w:val="Compact"/>
              <w:spacing w:after="40"/>
              <w:jc w:val="left"/>
            </w:pPr>
            <w:r>
              <w:rPr>
                <w:sz w:val="18"/>
              </w:rPr>
              <w:t xml:space="preserve">Frauds (fraud module), s.143(12) reports, whistle-blower complaints (GOV 38)</w:t>
            </w:r>
          </w:p>
        </w:tc>
      </w:tr>
      <w:tr>
        <w:tc>
          <w:tcPr>
            <w:tcW w:w="1669" w:type="dxa"/>
          </w:tcPr>
          <w:p>
            <w:pPr>
              <w:pStyle w:val="Compact"/>
              <w:spacing w:after="40"/>
              <w:jc w:val="left"/>
            </w:pPr>
            <w:r>
              <w:rPr>
                <w:sz w:val="18"/>
              </w:rPr>
              <w:t xml:space="preserve">3(xiv)</w:t>
            </w:r>
          </w:p>
        </w:tc>
        <w:tc>
          <w:tcPr>
            <w:tcW w:w="7969" w:type="dxa"/>
          </w:tcPr>
          <w:p>
            <w:pPr>
              <w:pStyle w:val="Compact"/>
              <w:spacing w:after="40"/>
              <w:jc w:val="left"/>
            </w:pPr>
            <w:r>
              <w:rPr>
                <w:sz w:val="18"/>
              </w:rPr>
              <w:t xml:space="preserve">Internal audit reports considered (Part 7D)</w:t>
            </w:r>
          </w:p>
        </w:tc>
      </w:tr>
      <w:tr>
        <w:tc>
          <w:tcPr>
            <w:tcW w:w="1669" w:type="dxa"/>
          </w:tcPr>
          <w:p>
            <w:pPr>
              <w:pStyle w:val="Compact"/>
              <w:spacing w:after="40"/>
              <w:jc w:val="left"/>
            </w:pPr>
            <w:r>
              <w:rPr>
                <w:sz w:val="18"/>
              </w:rPr>
              <w:t xml:space="preserve">3(xvi)(a)–(d)</w:t>
            </w:r>
          </w:p>
        </w:tc>
        <w:tc>
          <w:tcPr>
            <w:tcW w:w="7969" w:type="dxa"/>
          </w:tcPr>
          <w:p>
            <w:pPr>
              <w:pStyle w:val="Compact"/>
              <w:spacing w:after="40"/>
              <w:jc w:val="left"/>
            </w:pPr>
            <w:r>
              <w:rPr>
                <w:sz w:val="18"/>
              </w:rPr>
              <w:t xml:space="preserve">s.45-IA registration required and held; NBFI or HFC activity without CoR; core investment company status and continued compliance; number of core investment companies in the group. Includes the principal-business-criteria computation (&gt; 50% financial assets and income [VERIFY]) (SBR 38; MISC 21)</w:t>
            </w:r>
          </w:p>
        </w:tc>
      </w:tr>
      <w:tr>
        <w:tc>
          <w:tcPr>
            <w:tcW w:w="1669" w:type="dxa"/>
          </w:tcPr>
          <w:p>
            <w:pPr>
              <w:pStyle w:val="Compact"/>
              <w:spacing w:after="40"/>
              <w:jc w:val="left"/>
            </w:pPr>
            <w:r>
              <w:rPr>
                <w:sz w:val="18"/>
              </w:rPr>
              <w:t xml:space="preserve">3(xix)</w:t>
            </w:r>
          </w:p>
        </w:tc>
        <w:tc>
          <w:tcPr>
            <w:tcW w:w="7969" w:type="dxa"/>
          </w:tcPr>
          <w:p>
            <w:pPr>
              <w:pStyle w:val="Compact"/>
              <w:spacing w:after="40"/>
              <w:jc w:val="left"/>
            </w:pPr>
            <w:r>
              <w:rPr>
                <w:sz w:val="18"/>
              </w:rPr>
              <w:t xml:space="preserve">Ability to meet liabilities: ALM maturity profile (Part 7E RK4)</w:t>
            </w:r>
          </w:p>
        </w:tc>
      </w:tr>
      <w:tr>
        <w:tc>
          <w:tcPr>
            <w:tcW w:w="1669" w:type="dxa"/>
          </w:tcPr>
          <w:p>
            <w:pPr>
              <w:pStyle w:val="Compact"/>
              <w:spacing w:after="40"/>
              <w:jc w:val="left"/>
            </w:pPr>
            <w:r>
              <w:rPr>
                <w:sz w:val="18"/>
              </w:rPr>
              <w:t xml:space="preserve">3(xx), 3(xxi)</w:t>
            </w:r>
          </w:p>
        </w:tc>
        <w:tc>
          <w:tcPr>
            <w:tcW w:w="7969" w:type="dxa"/>
          </w:tcPr>
          <w:p>
            <w:pPr>
              <w:pStyle w:val="Compact"/>
              <w:spacing w:after="40"/>
              <w:jc w:val="left"/>
            </w:pPr>
            <w:r>
              <w:rPr>
                <w:sz w:val="18"/>
              </w:rPr>
              <w:t xml:space="preserve">CSR unspent amounts; qualifications in group companies’ CARO reports</w:t>
            </w:r>
          </w:p>
        </w:tc>
      </w:tr>
    </w:tbl>
    <w:p>
      <w:pPr>
        <w:pStyle w:val="BodyText"/>
      </w:pPr>
      <w:r>
        <w:t xml:space="preserve">The NBFC Auditor’s Report Directions checklist (AUD 6–12; Part 8A.15) and the exception-report register are produced in Part 7D (AU5) from the same data.</w:t>
      </w:r>
    </w:p>
    <w:bookmarkEnd w:id="303"/>
    <w:bookmarkStart w:id="304" w:name="ac3.5-mca-filing-data"/>
    <w:p>
      <w:pPr>
        <w:pStyle w:val="Heading3"/>
      </w:pPr>
      <w:r>
        <w:t xml:space="preserve">AC3.5 MCA filing data</w:t>
      </w:r>
    </w:p>
    <w:p>
      <w:pPr>
        <w:numPr>
          <w:ilvl w:val="0"/>
          <w:numId w:val="1321"/>
        </w:numPr>
        <w:pStyle w:val="Compact"/>
      </w:pPr>
      <w:r>
        <w:rPr>
          <w:bCs/>
          <w:b/>
        </w:rPr>
        <w:t xml:space="preserve">Forms:</w:t>
      </w:r>
      <w:r>
        <w:t xml:space="preserve"> </w:t>
      </w:r>
      <w:r>
        <w:t xml:space="preserve">AOC-4 and AOC-4 CFS for non-Ind AS and non-NBFC companies;</w:t>
      </w:r>
      <w:r>
        <w:t xml:space="preserve"> </w:t>
      </w:r>
      <w:r>
        <w:rPr>
          <w:bCs/>
          <w:b/>
        </w:rPr>
        <w:t xml:space="preserve">AOC-4 NBFC (Ind AS) and AOC-4 CFS NBFC (Ind AS)</w:t>
      </w:r>
      <w:r>
        <w:t xml:space="preserve"> </w:t>
      </w:r>
      <w:r>
        <w:t xml:space="preserve">for Ind AS NBFCs (notified 30 Jan 2020; substituted by the Companies (Accounts) Second Amendment Rules 2025, 30 May 2025, in force 14 Jul 2025) [LAW].</w:t>
      </w:r>
    </w:p>
    <w:p>
      <w:pPr>
        <w:numPr>
          <w:ilvl w:val="0"/>
          <w:numId w:val="1321"/>
        </w:numPr>
        <w:pStyle w:val="Compact"/>
      </w:pPr>
      <w:r>
        <w:rPr>
          <w:bCs/>
          <w:b/>
        </w:rPr>
        <w:t xml:space="preserve">XBRL:</w:t>
      </w:r>
      <w:r>
        <w:t xml:space="preserve"> </w:t>
      </w:r>
      <w:r>
        <w:rPr>
          <w:bCs/>
          <w:b/>
        </w:rPr>
        <w:t xml:space="preserve">NBFCs are exempt from XBRL filing</w:t>
      </w:r>
      <w:r>
        <w:t xml:space="preserve"> </w:t>
      </w:r>
      <w:r>
        <w:t xml:space="preserve">irrespective of whether Schedule III applies (MCA XBRL FAQs); banking companies exempt</w:t>
      </w:r>
      <w:r>
        <w:t xml:space="preserve"> </w:t>
      </w:r>
      <w:r>
        <w:t xml:space="preserve">“</w:t>
      </w:r>
      <w:r>
        <w:t xml:space="preserve">till further order</w:t>
      </w:r>
      <w:r>
        <w:t xml:space="preserve">”</w:t>
      </w:r>
      <w:r>
        <w:t xml:space="preserve">. Never generate XBRL for an NBFC; generate the AOC-4 NBFC (Ind AS) data payload instead [VERIFY: whether that form takes an XBRL instance or structured web-form data]. Non-NBFC group companies follow the XBRL triggers (listed; paid-up capital ≥ ₹5 crore; turnover ≥ ₹100 crore; or Ind AS) [VERIFY].</w:t>
      </w:r>
    </w:p>
    <w:p>
      <w:pPr>
        <w:numPr>
          <w:ilvl w:val="0"/>
          <w:numId w:val="1321"/>
        </w:numPr>
        <w:pStyle w:val="Compact"/>
      </w:pPr>
      <w:r>
        <w:rPr>
          <w:bCs/>
          <w:b/>
        </w:rPr>
        <w:t xml:space="preserve">Board’s report data</w:t>
      </w:r>
      <w:r>
        <w:t xml:space="preserve"> </w:t>
      </w:r>
      <w:r>
        <w:t xml:space="preserve">(Rule 8 as amended 2025: POSH complaint counts, maternity-benefit compliance statement) is supplied to Part 7F (GV3); the Rule 3(6) statement comes from AC7.</w:t>
      </w:r>
    </w:p>
    <w:p>
      <w:pPr>
        <w:numPr>
          <w:ilvl w:val="0"/>
          <w:numId w:val="1321"/>
        </w:numPr>
        <w:pStyle w:val="Compact"/>
      </w:pPr>
      <w:r>
        <w:t xml:space="preserve">Filing on MCA V3 is done by the company’s authorised signatory; Finbyx produces the payload, attachments and checklist only.</w:t>
      </w:r>
    </w:p>
    <w:bookmarkEnd w:id="304"/>
    <w:bookmarkStart w:id="305" w:name="ac3.6-consolidation"/>
    <w:p>
      <w:pPr>
        <w:pStyle w:val="Heading3"/>
      </w:pPr>
      <w:r>
        <w:t xml:space="preserve">AC3.6 Consolidation</w:t>
      </w:r>
    </w:p>
    <w:p>
      <w:pPr>
        <w:pStyle w:val="FirstParagraph"/>
      </w:pPr>
      <w:r>
        <w:t xml:space="preserve">All subsidiaries are consolidated; any omission is logged with reasons for the auditor (FS Ch IV). AS subsidiaries of an Ind AS parent supply Ind AS figures through mapping adjustments; intercompany balances and transactions (including group co-lending, servicing fees and Udofin LSP fees) are matched and eliminated with break reports.</w:t>
      </w:r>
    </w:p>
    <w:bookmarkEnd w:id="305"/>
    <w:bookmarkStart w:id="306" w:name="ac3.7-validations-blocking-unless-stated"/>
    <w:p>
      <w:pPr>
        <w:pStyle w:val="Heading3"/>
      </w:pPr>
      <w:r>
        <w:t xml:space="preserve">AC3.7 Validations (blocking unless stated)</w:t>
      </w:r>
    </w:p>
    <w:p>
      <w:pPr>
        <w:pStyle w:val="FirstParagraph"/>
      </w:pPr>
      <w:r>
        <w:t xml:space="preserve">Balance sheet balances; cash flow reconciles to cash movement; provisions shown separately and not netted (FS 13–15); IRACP vs Ind AS table ties to the ECL and IRACP runs; NPA movement ties to</w:t>
      </w:r>
      <w:r>
        <w:t xml:space="preserve"> </w:t>
      </w:r>
      <w:r>
        <w:rPr>
          <w:rStyle w:val="VerbatimChar"/>
        </w:rPr>
        <w:t xml:space="preserve">classification_history</w:t>
      </w:r>
      <w:r>
        <w:t xml:space="preserve">; Annex I schedule (FS 20) ties to the balance sheet; CRAR in the notes equals DNBS03 and the capital run; every C.2 item present for ML/UL or marked not applicable with zero in both years; Schedule III datasets present or evidenced nil; comparatives present (FS 19); FS finalised within 3 months of 31 March (FS 9) — warning at 60 days.</w:t>
      </w:r>
    </w:p>
    <w:bookmarkEnd w:id="306"/>
    <w:bookmarkStart w:id="307" w:name="acceptance-tests-13"/>
    <w:p>
      <w:pPr>
        <w:pStyle w:val="Heading3"/>
      </w:pPr>
      <w:r>
        <w:t xml:space="preserve">Acceptance tests</w:t>
      </w:r>
    </w:p>
    <w:p>
      <w:pPr>
        <w:numPr>
          <w:ilvl w:val="0"/>
          <w:numId w:val="1322"/>
        </w:numPr>
        <w:pStyle w:val="Compact"/>
      </w:pPr>
      <w:r>
        <w:t xml:space="preserve">A GL account without a line mapping blocks the statement run and names the account.</w:t>
      </w:r>
    </w:p>
    <w:p>
      <w:pPr>
        <w:numPr>
          <w:ilvl w:val="0"/>
          <w:numId w:val="1322"/>
        </w:numPr>
        <w:pStyle w:val="Compact"/>
      </w:pPr>
      <w:r>
        <w:t xml:space="preserve">An Ind AS NBFC produces Division III statements, the AOC-4 NBFC (Ind AS) payload and no XBRL file.</w:t>
      </w:r>
    </w:p>
    <w:p>
      <w:pPr>
        <w:numPr>
          <w:ilvl w:val="0"/>
          <w:numId w:val="1322"/>
        </w:numPr>
        <w:pStyle w:val="Compact"/>
      </w:pPr>
      <w:r>
        <w:t xml:space="preserve">CRAR in the notes differing from DNBS03 by 0.01 percentage points blocks approval.</w:t>
      </w:r>
    </w:p>
    <w:p>
      <w:pPr>
        <w:numPr>
          <w:ilvl w:val="0"/>
          <w:numId w:val="1322"/>
        </w:numPr>
        <w:pStyle w:val="Compact"/>
      </w:pPr>
      <w:r>
        <w:t xml:space="preserve">The consolidated statements of a group with one AS subsidiary show the Ind AS adjustment schedule and a nil omission log.</w:t>
      </w:r>
    </w:p>
    <w:p>
      <w:pPr>
        <w:numPr>
          <w:ilvl w:val="0"/>
          <w:numId w:val="1322"/>
        </w:numPr>
        <w:pStyle w:val="Compact"/>
      </w:pPr>
      <w:r>
        <w:rPr>
          <w:rStyle w:val="VerbatimChar"/>
        </w:rPr>
        <w:t xml:space="preserve">FinancialStatementsApproved</w:t>
      </w:r>
      <w:r>
        <w:t xml:space="preserve"> </w:t>
      </w:r>
      <w:r>
        <w:t xml:space="preserve">starts the DNBS10 and audited-return clocks in Part 7B when the auditor’s report signing date is recorded.</w:t>
      </w:r>
    </w:p>
    <w:p>
      <w:r>
        <w:pict>
          <v:rect style="width:0;height:1.5pt" o:hralign="center" o:hrstd="t" o:hr="t"/>
        </w:pict>
      </w:r>
    </w:p>
    <w:bookmarkEnd w:id="307"/>
    <w:bookmarkEnd w:id="308"/>
    <w:bookmarkStart w:id="314" w:name="ac4.-gst-engine-and-return-exports"/>
    <w:p>
      <w:pPr>
        <w:pStyle w:val="Heading2"/>
      </w:pPr>
      <w:r>
        <w:t xml:space="preserve">AC4. GST engine and return exports</w:t>
      </w:r>
    </w:p>
    <w:p>
      <w:pPr>
        <w:pStyle w:val="FirstParagraph"/>
      </w:pPr>
      <w:r>
        <w:rPr>
          <w:bCs/>
          <w:b/>
        </w:rPr>
        <w:t xml:space="preserve">Purpose.</w:t>
      </w:r>
      <w:r>
        <w:t xml:space="preserve"> </w:t>
      </w:r>
      <w:r>
        <w:t xml:space="preserve">Apply the correct GST treatment to every fee and charge, keep ITC compliant, and produce validated return files for human filing. Extends M10 item 6.</w:t>
      </w:r>
    </w:p>
    <w:bookmarkStart w:id="309" w:name="ac4.1-fee-master-and-treatment"/>
    <w:p>
      <w:pPr>
        <w:pStyle w:val="Heading3"/>
      </w:pPr>
      <w:r>
        <w:t xml:space="preserve">AC4.1 Fee master and treatment</w:t>
      </w:r>
    </w:p>
    <w:p>
      <w:pPr>
        <w:pStyle w:val="FirstParagraph"/>
      </w:pPr>
      <w:r>
        <w:t xml:space="preserve">Each</w:t>
      </w:r>
      <w:r>
        <w:t xml:space="preserve"> </w:t>
      </w:r>
      <w:r>
        <w:rPr>
          <w:rStyle w:val="VerbatimChar"/>
        </w:rPr>
        <w:t xml:space="preserve">charge_definition</w:t>
      </w:r>
      <w:r>
        <w:t xml:space="preserve"> </w:t>
      </w:r>
      <w:r>
        <w:t xml:space="preserve">carries</w:t>
      </w:r>
      <w:r>
        <w:t xml:space="preserve"> </w:t>
      </w:r>
      <w:r>
        <w:rPr>
          <w:rStyle w:val="VerbatimChar"/>
        </w:rPr>
        <w:t xml:space="preserve">gst_treatment</w:t>
      </w:r>
      <w:r>
        <w:t xml:space="preserve">, SAC, place-of-supply rule and an evidence reference: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37"/>
        <w:gridCol w:w="3042"/>
        <w:gridCol w:w="5259"/>
      </w:tblGrid>
      <w:tr>
        <w:trPr>
          <w:tblHeader w:val="true"/>
          <w:tblHeader w:val="true"/>
        </w:trPr>
        <w:tc>
          <w:tcPr>
            <w:tcW w:w="1337" w:type="dxa"/>
            <w:shd w:val="clear" w:color="auto" w:fill="1F3A5F"/>
          </w:tcPr>
          <w:p>
            <w:pPr>
              <w:pStyle w:val="Compact"/>
              <w:spacing w:after="40"/>
              <w:jc w:val="left"/>
            </w:pPr>
            <w:r>
              <w:rPr>
                <w:b/>
                <w:color w:val="FFFFFF"/>
                <w:sz w:val="18"/>
              </w:rPr>
              <w:t xml:space="preserve">Treatment</w:t>
            </w:r>
          </w:p>
        </w:tc>
        <w:tc>
          <w:tcPr>
            <w:tcW w:w="3042" w:type="dxa"/>
            <w:shd w:val="clear" w:color="auto" w:fill="1F3A5F"/>
          </w:tcPr>
          <w:p>
            <w:pPr>
              <w:pStyle w:val="Compact"/>
              <w:spacing w:after="40"/>
              <w:jc w:val="left"/>
            </w:pPr>
            <w:r>
              <w:rPr>
                <w:b/>
                <w:color w:val="FFFFFF"/>
                <w:sz w:val="18"/>
              </w:rPr>
              <w:t xml:space="preserve">Applies to</w:t>
            </w:r>
          </w:p>
        </w:tc>
        <w:tc>
          <w:tcPr>
            <w:tcW w:w="5259" w:type="dxa"/>
            <w:shd w:val="clear" w:color="auto" w:fill="1F3A5F"/>
          </w:tcPr>
          <w:p>
            <w:pPr>
              <w:pStyle w:val="Compact"/>
              <w:spacing w:after="40"/>
              <w:jc w:val="left"/>
            </w:pPr>
            <w:r>
              <w:rPr>
                <w:b/>
                <w:color w:val="FFFFFF"/>
                <w:sz w:val="18"/>
              </w:rPr>
              <w:t xml:space="preserve">Basis</w:t>
            </w:r>
          </w:p>
        </w:tc>
      </w:tr>
      <w:tr>
        <w:tc>
          <w:tcPr>
            <w:tcW w:w="1337" w:type="dxa"/>
          </w:tcPr>
          <w:p>
            <w:pPr>
              <w:pStyle w:val="Compact"/>
              <w:spacing w:after="40"/>
              <w:jc w:val="left"/>
            </w:pPr>
            <w:r>
              <w:rPr>
                <w:rStyle w:val="VerbatimChar"/>
                <w:sz w:val="18"/>
              </w:rPr>
              <w:t xml:space="preserve">EXEMPT_INTEREST</w:t>
            </w:r>
          </w:p>
        </w:tc>
        <w:tc>
          <w:tcPr>
            <w:tcW w:w="3042" w:type="dxa"/>
          </w:tcPr>
          <w:p>
            <w:pPr>
              <w:pStyle w:val="Compact"/>
              <w:spacing w:after="40"/>
              <w:jc w:val="left"/>
            </w:pPr>
            <w:r>
              <w:rPr>
                <w:sz w:val="18"/>
              </w:rPr>
              <w:t xml:space="preserve">Interest or discount on loans, advances and deposits</w:t>
            </w:r>
          </w:p>
        </w:tc>
        <w:tc>
          <w:tcPr>
            <w:tcW w:w="5259" w:type="dxa"/>
          </w:tcPr>
          <w:p>
            <w:pPr>
              <w:pStyle w:val="Compact"/>
              <w:spacing w:after="40"/>
              <w:jc w:val="left"/>
            </w:pPr>
            <w:r>
              <w:rPr>
                <w:sz w:val="18"/>
              </w:rPr>
              <w:t xml:space="preserve">GST: Notification 12/2017-CT(Rate), entry 27(a) [VERIFY: entry wording]; credit-card service charges are excluded from the exemption</w:t>
            </w:r>
          </w:p>
        </w:tc>
      </w:tr>
      <w:tr>
        <w:tc>
          <w:tcPr>
            <w:tcW w:w="1337" w:type="dxa"/>
          </w:tcPr>
          <w:p>
            <w:pPr>
              <w:pStyle w:val="Compact"/>
              <w:spacing w:after="40"/>
              <w:jc w:val="left"/>
            </w:pPr>
            <w:r>
              <w:rPr>
                <w:rStyle w:val="VerbatimChar"/>
                <w:sz w:val="18"/>
              </w:rPr>
              <w:t xml:space="preserve">TAXABLE_18</w:t>
            </w:r>
          </w:p>
        </w:tc>
        <w:tc>
          <w:tcPr>
            <w:tcW w:w="3042" w:type="dxa"/>
          </w:tcPr>
          <w:p>
            <w:pPr>
              <w:pStyle w:val="Compact"/>
              <w:spacing w:after="40"/>
              <w:jc w:val="left"/>
            </w:pPr>
            <w:r>
              <w:rPr>
                <w:sz w:val="18"/>
              </w:rPr>
              <w:t xml:space="preserve">Processing, documentation, foreclosure, cheque or mandate bounce, service and other fees</w:t>
            </w:r>
          </w:p>
        </w:tc>
        <w:tc>
          <w:tcPr>
            <w:tcW w:w="5259" w:type="dxa"/>
          </w:tcPr>
          <w:p>
            <w:pPr>
              <w:pStyle w:val="Compact"/>
              <w:spacing w:after="40"/>
              <w:jc w:val="left"/>
            </w:pPr>
            <w:r>
              <w:rPr>
                <w:sz w:val="18"/>
              </w:rPr>
              <w:t xml:space="preserve">18%, SAC 9971 [VERIFY: SAC per fee; bounce and foreclosure after Circular 245]</w:t>
            </w:r>
          </w:p>
        </w:tc>
      </w:tr>
      <w:tr>
        <w:tc>
          <w:tcPr>
            <w:tcW w:w="1337" w:type="dxa"/>
          </w:tcPr>
          <w:p>
            <w:pPr>
              <w:pStyle w:val="Compact"/>
              <w:spacing w:after="40"/>
              <w:jc w:val="left"/>
            </w:pPr>
            <w:r>
              <w:rPr>
                <w:rStyle w:val="VerbatimChar"/>
                <w:sz w:val="18"/>
              </w:rPr>
              <w:t xml:space="preserve">PENAL_NO_GST</w:t>
            </w:r>
          </w:p>
        </w:tc>
        <w:tc>
          <w:tcPr>
            <w:tcW w:w="3042" w:type="dxa"/>
          </w:tcPr>
          <w:p>
            <w:pPr>
              <w:pStyle w:val="Compact"/>
              <w:spacing w:after="40"/>
              <w:jc w:val="left"/>
            </w:pPr>
            <w:r>
              <w:rPr>
                <w:sz w:val="18"/>
              </w:rPr>
              <w:t xml:space="preserve">Penal charges levied under the RBI penal-charges framework (RBC 30)</w:t>
            </w:r>
          </w:p>
        </w:tc>
        <w:tc>
          <w:tcPr>
            <w:tcW w:w="5259" w:type="dxa"/>
          </w:tcPr>
          <w:p>
            <w:pPr>
              <w:pStyle w:val="Compact"/>
              <w:spacing w:after="40"/>
              <w:jc w:val="left"/>
            </w:pPr>
            <w:r>
              <w:rPr>
                <w:sz w:val="18"/>
              </w:rPr>
              <w:t xml:space="preserve">CBIC Circular 245/02/2025-GST, 28 Jan 2025, relying on Circular 178/10/2022-GST; a fee labelled</w:t>
            </w:r>
            <w:r>
              <w:rPr>
                <w:sz w:val="18"/>
              </w:rPr>
              <w:t xml:space="preserve"> </w:t>
            </w:r>
            <w:r>
              <w:rPr>
                <w:sz w:val="18"/>
              </w:rPr>
              <w:t xml:space="preserve">“</w:t>
            </w:r>
            <w:r>
              <w:rPr>
                <w:sz w:val="18"/>
              </w:rPr>
              <w:t xml:space="preserve">penal</w:t>
            </w:r>
            <w:r>
              <w:rPr>
                <w:sz w:val="18"/>
              </w:rPr>
              <w:t xml:space="preserve">”</w:t>
            </w:r>
            <w:r>
              <w:rPr>
                <w:sz w:val="18"/>
              </w:rPr>
              <w:t xml:space="preserve"> </w:t>
            </w:r>
            <w:r>
              <w:rPr>
                <w:sz w:val="18"/>
              </w:rPr>
              <w:t xml:space="preserve">that does not meet RBC 30 stays taxable</w:t>
            </w:r>
          </w:p>
        </w:tc>
      </w:tr>
      <w:tr>
        <w:tc>
          <w:tcPr>
            <w:tcW w:w="1337" w:type="dxa"/>
          </w:tcPr>
          <w:p>
            <w:pPr>
              <w:pStyle w:val="Compact"/>
              <w:spacing w:after="40"/>
              <w:jc w:val="left"/>
            </w:pPr>
            <w:r>
              <w:rPr>
                <w:rStyle w:val="VerbatimChar"/>
                <w:sz w:val="18"/>
              </w:rPr>
              <w:t xml:space="preserve">PURE_AGENT</w:t>
            </w:r>
          </w:p>
        </w:tc>
        <w:tc>
          <w:tcPr>
            <w:tcW w:w="3042" w:type="dxa"/>
          </w:tcPr>
          <w:p>
            <w:pPr>
              <w:pStyle w:val="Compact"/>
              <w:spacing w:after="40"/>
              <w:jc w:val="left"/>
            </w:pPr>
            <w:r>
              <w:rPr>
                <w:sz w:val="18"/>
              </w:rPr>
              <w:t xml:space="preserve">Stamp duty, registration and similar costs recovered at actuals</w:t>
            </w:r>
          </w:p>
        </w:tc>
        <w:tc>
          <w:tcPr>
            <w:tcW w:w="5259" w:type="dxa"/>
          </w:tcPr>
          <w:p>
            <w:pPr>
              <w:pStyle w:val="Compact"/>
              <w:spacing w:after="40"/>
              <w:jc w:val="left"/>
            </w:pPr>
            <w:r>
              <w:rPr>
                <w:sz w:val="18"/>
              </w:rPr>
              <w:t xml:space="preserve">CGST Rules r.33 conditions recorded per charge</w:t>
            </w:r>
          </w:p>
        </w:tc>
      </w:tr>
      <w:tr>
        <w:tc>
          <w:tcPr>
            <w:tcW w:w="1337" w:type="dxa"/>
          </w:tcPr>
          <w:p>
            <w:pPr>
              <w:pStyle w:val="Compact"/>
              <w:spacing w:after="40"/>
              <w:jc w:val="left"/>
            </w:pPr>
            <w:r>
              <w:rPr>
                <w:rStyle w:val="VerbatimChar"/>
                <w:sz w:val="18"/>
              </w:rPr>
              <w:t xml:space="preserve">CO_LENDING_SPREAD</w:t>
            </w:r>
          </w:p>
        </w:tc>
        <w:tc>
          <w:tcPr>
            <w:tcW w:w="3042" w:type="dxa"/>
          </w:tcPr>
          <w:p>
            <w:pPr>
              <w:pStyle w:val="Compact"/>
              <w:spacing w:after="40"/>
              <w:jc w:val="left"/>
            </w:pPr>
            <w:r>
              <w:rPr>
                <w:sz w:val="18"/>
              </w:rPr>
              <w:t xml:space="preserve">Spread or servicing fee retained by the originator under a CLA</w:t>
            </w:r>
          </w:p>
        </w:tc>
        <w:tc>
          <w:tcPr>
            <w:tcW w:w="5259" w:type="dxa"/>
          </w:tcPr>
          <w:p>
            <w:pPr>
              <w:pStyle w:val="Compact"/>
              <w:spacing w:after="40"/>
              <w:jc w:val="left"/>
            </w:pPr>
            <w:r>
              <w:rPr>
                <w:sz w:val="18"/>
              </w:rPr>
              <w:t xml:space="preserve">Unresolved: the Department of Revenue rejected an industry request to remove 18% GST (Feb 2025); FIDC treats the spread as interest, the government as a servicing fee. Default</w:t>
            </w:r>
            <w:r>
              <w:rPr>
                <w:sz w:val="18"/>
              </w:rPr>
              <w:t xml:space="preserve"> </w:t>
            </w:r>
            <w:r>
              <w:rPr>
                <w:rStyle w:val="VerbatimChar"/>
                <w:sz w:val="18"/>
              </w:rPr>
              <w:t xml:space="preserve">TAXABLE_18</w:t>
            </w:r>
            <w:r>
              <w:rPr>
                <w:sz w:val="18"/>
              </w:rPr>
              <w:t xml:space="preserve"> </w:t>
            </w:r>
            <w:r>
              <w:rPr>
                <w:sz w:val="18"/>
              </w:rPr>
              <w:t xml:space="preserve">unless the tenant records an owner decision with a written tax opinion [REC]</w:t>
            </w:r>
          </w:p>
        </w:tc>
      </w:tr>
    </w:tbl>
    <w:p>
      <w:pPr>
        <w:numPr>
          <w:ilvl w:val="0"/>
          <w:numId w:val="1323"/>
        </w:numPr>
        <w:pStyle w:val="Compact"/>
      </w:pPr>
      <w:r>
        <w:t xml:space="preserve">The product factory (M19, Part 6) cannot activate a charge without a treatment; a change of treatment is versioned and prospective.</w:t>
      </w:r>
    </w:p>
    <w:p>
      <w:pPr>
        <w:numPr>
          <w:ilvl w:val="0"/>
          <w:numId w:val="1323"/>
        </w:numPr>
        <w:pStyle w:val="Compact"/>
      </w:pPr>
      <w:r>
        <w:t xml:space="preserve">RCM on legal, recovery-agent and tribunal fees follows R11.3 and R12.2.</w:t>
      </w:r>
    </w:p>
    <w:bookmarkEnd w:id="309"/>
    <w:bookmarkStart w:id="310" w:name="ac4.2-invoices"/>
    <w:p>
      <w:pPr>
        <w:pStyle w:val="Heading3"/>
      </w:pPr>
      <w:r>
        <w:t xml:space="preserve">AC4.2 Invoices</w:t>
      </w:r>
    </w:p>
    <w:p>
      <w:pPr>
        <w:numPr>
          <w:ilvl w:val="0"/>
          <w:numId w:val="1324"/>
        </w:numPr>
        <w:pStyle w:val="Compact"/>
      </w:pPr>
      <w:r>
        <w:t xml:space="preserve">Tax invoices and credit or debit notes per GSTIN, with series per registration and financial year.</w:t>
      </w:r>
    </w:p>
    <w:p>
      <w:pPr>
        <w:numPr>
          <w:ilvl w:val="0"/>
          <w:numId w:val="1324"/>
        </w:numPr>
        <w:pStyle w:val="Compact"/>
      </w:pPr>
      <w:r>
        <w:rPr>
          <w:bCs/>
          <w:b/>
        </w:rPr>
        <w:t xml:space="preserve">E-invoicing does not apply</w:t>
      </w:r>
      <w:r>
        <w:t xml:space="preserve"> </w:t>
      </w:r>
      <w:r>
        <w:t xml:space="preserve">to banking companies and financial institutions including NBFCs (CGST Rules r.48(4); Notification 13/2020-CT as amended) [LAW]. The IRP adapter stays available for non-exempt group entities and Udofin (general threshold ₹5 crore AATO from 1 Aug 2023, Notification 10/2023).</w:t>
      </w:r>
    </w:p>
    <w:p>
      <w:pPr>
        <w:numPr>
          <w:ilvl w:val="0"/>
          <w:numId w:val="1324"/>
        </w:numPr>
        <w:pStyle w:val="Compact"/>
      </w:pPr>
      <w:r>
        <w:t xml:space="preserve">Consolidated or periodic invoice documents for financial services where permitted (CGST Rules r.54(2)) [VERIFY].</w:t>
      </w:r>
    </w:p>
    <w:bookmarkEnd w:id="310"/>
    <w:bookmarkStart w:id="311" w:name="ac4.3-input-tax-credit"/>
    <w:p>
      <w:pPr>
        <w:pStyle w:val="Heading3"/>
      </w:pPr>
      <w:r>
        <w:t xml:space="preserve">AC4.3 Input tax credit</w:t>
      </w:r>
    </w:p>
    <w:p>
      <w:pPr>
        <w:numPr>
          <w:ilvl w:val="0"/>
          <w:numId w:val="1325"/>
        </w:numPr>
        <w:pStyle w:val="Compact"/>
      </w:pPr>
      <w:r>
        <w:rPr>
          <w:bCs/>
          <w:b/>
        </w:rPr>
        <w:t xml:space="preserve">Annual election</w:t>
      </w:r>
      <w:r>
        <w:t xml:space="preserve"> </w:t>
      </w:r>
      <w:r>
        <w:t xml:space="preserve">(GST: CGST Act s.17(4) with Rule 38): either proportionate reversal under s.17(2) with Rules 42–43, or</w:t>
      </w:r>
      <w:r>
        <w:t xml:space="preserve"> </w:t>
      </w:r>
      <w:r>
        <w:rPr>
          <w:bCs/>
          <w:b/>
        </w:rPr>
        <w:t xml:space="preserve">50% of eligible ITC each month</w:t>
      </w:r>
      <w:r>
        <w:t xml:space="preserve">, the other 50% lapsing. The election is irrevocable for the financial year; ITC on supplies from a registration with the same PAN is outside the 50% restriction; reported in GSTR-3B Table 4B(1).</w:t>
      </w:r>
    </w:p>
    <w:p>
      <w:pPr>
        <w:numPr>
          <w:ilvl w:val="0"/>
          <w:numId w:val="1325"/>
        </w:numPr>
        <w:pStyle w:val="Compact"/>
      </w:pPr>
      <w:r>
        <w:t xml:space="preserve">The election is recorded with CFO approval before the first GSTR-3B of the year and locks for the year.</w:t>
      </w:r>
    </w:p>
    <w:p>
      <w:pPr>
        <w:numPr>
          <w:ilvl w:val="0"/>
          <w:numId w:val="1325"/>
        </w:numPr>
        <w:pStyle w:val="Compact"/>
      </w:pPr>
      <w:r>
        <w:rPr>
          <w:bCs/>
          <w:b/>
        </w:rPr>
        <w:t xml:space="preserve">IMS (live from 14 Oct 2024):</w:t>
      </w:r>
      <w:r>
        <w:t xml:space="preserve"> </w:t>
      </w:r>
      <w:r>
        <w:t xml:space="preserve">each inward invoice is accepted, rejected or kept pending with maker-checker; no action is deemed acceptance and drives GSTR-2B; alert before the GSTR-2B cut-off [VERIFY: cut-off date]. Purchase-register-to-2B matching with mismatch tasks.</w:t>
      </w:r>
    </w:p>
    <w:bookmarkEnd w:id="311"/>
    <w:bookmarkStart w:id="312" w:name="ac4.4-return-exports"/>
    <w:p>
      <w:pPr>
        <w:pStyle w:val="Heading3"/>
      </w:pPr>
      <w:r>
        <w:t xml:space="preserve">AC4.4 Return exports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84"/>
        <w:gridCol w:w="5583"/>
        <w:gridCol w:w="2671"/>
      </w:tblGrid>
      <w:tr>
        <w:trPr>
          <w:tblHeader w:val="true"/>
          <w:tblHeader w:val="true"/>
        </w:trPr>
        <w:tc>
          <w:tcPr>
            <w:tcW w:w="1384" w:type="dxa"/>
            <w:shd w:val="clear" w:color="auto" w:fill="1F3A5F"/>
          </w:tcPr>
          <w:p>
            <w:pPr>
              <w:pStyle w:val="Compact"/>
              <w:spacing w:after="40"/>
              <w:jc w:val="left"/>
            </w:pPr>
            <w:r>
              <w:rPr>
                <w:b/>
                <w:color w:val="FFFFFF"/>
                <w:sz w:val="18"/>
              </w:rPr>
              <w:t xml:space="preserve">Return</w:t>
            </w:r>
          </w:p>
        </w:tc>
        <w:tc>
          <w:tcPr>
            <w:tcW w:w="5583" w:type="dxa"/>
            <w:shd w:val="clear" w:color="auto" w:fill="1F3A5F"/>
          </w:tcPr>
          <w:p>
            <w:pPr>
              <w:pStyle w:val="Compact"/>
              <w:spacing w:after="40"/>
              <w:jc w:val="left"/>
            </w:pPr>
            <w:r>
              <w:rPr>
                <w:b/>
                <w:color w:val="FFFFFF"/>
                <w:sz w:val="18"/>
              </w:rPr>
              <w:t xml:space="preserve">Content</w:t>
            </w:r>
          </w:p>
        </w:tc>
        <w:tc>
          <w:tcPr>
            <w:tcW w:w="2671" w:type="dxa"/>
            <w:shd w:val="clear" w:color="auto" w:fill="1F3A5F"/>
          </w:tcPr>
          <w:p>
            <w:pPr>
              <w:pStyle w:val="Compact"/>
              <w:spacing w:after="40"/>
              <w:jc w:val="left"/>
            </w:pPr>
            <w:r>
              <w:rPr>
                <w:b/>
                <w:color w:val="FFFFFF"/>
                <w:sz w:val="18"/>
              </w:rPr>
              <w:t xml:space="preserve">Notes</w:t>
            </w:r>
          </w:p>
        </w:tc>
      </w:tr>
      <w:tr>
        <w:tc>
          <w:tcPr>
            <w:tcW w:w="1384" w:type="dxa"/>
          </w:tcPr>
          <w:p>
            <w:pPr>
              <w:pStyle w:val="Compact"/>
              <w:spacing w:after="40"/>
              <w:jc w:val="left"/>
            </w:pPr>
            <w:r>
              <w:rPr>
                <w:sz w:val="18"/>
              </w:rPr>
              <w:t xml:space="preserve">GSTR-1</w:t>
            </w:r>
          </w:p>
        </w:tc>
        <w:tc>
          <w:tcPr>
            <w:tcW w:w="5583" w:type="dxa"/>
          </w:tcPr>
          <w:p>
            <w:pPr>
              <w:pStyle w:val="Compact"/>
              <w:spacing w:after="40"/>
              <w:jc w:val="left"/>
            </w:pPr>
            <w:r>
              <w:rPr>
                <w:sz w:val="18"/>
              </w:rPr>
              <w:t xml:space="preserve">Outward supplies (B2B, B2C, exempt, credit/debit notes); HSN Table 12 with separate B2B and B2C tabs, 4-digit HSN up to ₹5 crore AATO and 6-digit above (Phase III from the Feb 2025 period)</w:t>
            </w:r>
          </w:p>
        </w:tc>
        <w:tc>
          <w:tcPr>
            <w:tcW w:w="2671" w:type="dxa"/>
          </w:tcPr>
          <w:p>
            <w:pPr>
              <w:pStyle w:val="Compact"/>
              <w:spacing w:after="40"/>
              <w:jc w:val="left"/>
            </w:pPr>
            <w:r>
              <w:rPr>
                <w:sz w:val="18"/>
              </w:rPr>
              <w:t xml:space="preserve">JSON per the GSTN offline-tool schema</w:t>
            </w:r>
          </w:p>
        </w:tc>
      </w:tr>
      <w:tr>
        <w:tc>
          <w:tcPr>
            <w:tcW w:w="1384" w:type="dxa"/>
          </w:tcPr>
          <w:p>
            <w:pPr>
              <w:pStyle w:val="Compact"/>
              <w:spacing w:after="40"/>
              <w:jc w:val="left"/>
            </w:pPr>
            <w:r>
              <w:rPr>
                <w:sz w:val="18"/>
              </w:rPr>
              <w:t xml:space="preserve">GSTR-1A</w:t>
            </w:r>
          </w:p>
        </w:tc>
        <w:tc>
          <w:tcPr>
            <w:tcW w:w="5583" w:type="dxa"/>
          </w:tcPr>
          <w:p>
            <w:pPr>
              <w:pStyle w:val="Compact"/>
              <w:spacing w:after="40"/>
              <w:jc w:val="left"/>
            </w:pPr>
            <w:r>
              <w:rPr>
                <w:sz w:val="18"/>
              </w:rPr>
              <w:t xml:space="preserve">Amendments to the current period’s GSTR-1 after filing</w:t>
            </w:r>
          </w:p>
        </w:tc>
        <w:tc>
          <w:tcPr>
            <w:tcW w:w="2671" w:type="dxa"/>
          </w:tcPr>
          <w:p>
            <w:pPr>
              <w:pStyle w:val="Compact"/>
              <w:spacing w:after="40"/>
              <w:jc w:val="left"/>
            </w:pPr>
            <w:r>
              <w:rPr>
                <w:sz w:val="18"/>
              </w:rPr>
              <w:t xml:space="preserve">Only route to correct auto-filled liability</w:t>
            </w:r>
          </w:p>
        </w:tc>
      </w:tr>
      <w:tr>
        <w:tc>
          <w:tcPr>
            <w:tcW w:w="1384" w:type="dxa"/>
          </w:tcPr>
          <w:p>
            <w:pPr>
              <w:pStyle w:val="Compact"/>
              <w:spacing w:after="40"/>
              <w:jc w:val="left"/>
            </w:pPr>
            <w:r>
              <w:rPr>
                <w:sz w:val="18"/>
              </w:rPr>
              <w:t xml:space="preserve">GSTR-3B</w:t>
            </w:r>
          </w:p>
        </w:tc>
        <w:tc>
          <w:tcPr>
            <w:tcW w:w="5583" w:type="dxa"/>
          </w:tcPr>
          <w:p>
            <w:pPr>
              <w:pStyle w:val="Compact"/>
              <w:spacing w:after="40"/>
              <w:jc w:val="left"/>
            </w:pPr>
            <w:r>
              <w:rPr>
                <w:sz w:val="18"/>
              </w:rPr>
              <w:t xml:space="preserve">Summary return; Table 3 auto-populated and hard-locked from the July 2025 period; Table 4 ITC incl. 4B(1) reversal under the 50% option</w:t>
            </w:r>
          </w:p>
        </w:tc>
        <w:tc>
          <w:tcPr>
            <w:tcW w:w="2671" w:type="dxa"/>
          </w:tcPr>
          <w:p>
            <w:pPr>
              <w:pStyle w:val="Compact"/>
              <w:spacing w:after="40"/>
              <w:jc w:val="left"/>
            </w:pPr>
            <w:r>
              <w:rPr>
                <w:sz w:val="18"/>
              </w:rPr>
              <w:t xml:space="preserve">Corrections only through GSTR-1A</w:t>
            </w:r>
          </w:p>
        </w:tc>
      </w:tr>
      <w:tr>
        <w:tc>
          <w:tcPr>
            <w:tcW w:w="1384" w:type="dxa"/>
          </w:tcPr>
          <w:p>
            <w:pPr>
              <w:pStyle w:val="Compact"/>
              <w:spacing w:after="40"/>
              <w:jc w:val="left"/>
            </w:pPr>
            <w:r>
              <w:rPr>
                <w:sz w:val="18"/>
              </w:rPr>
              <w:t xml:space="preserve">GSTR-9</w:t>
            </w:r>
          </w:p>
        </w:tc>
        <w:tc>
          <w:tcPr>
            <w:tcW w:w="5583" w:type="dxa"/>
          </w:tcPr>
          <w:p>
            <w:pPr>
              <w:pStyle w:val="Compact"/>
              <w:spacing w:after="40"/>
              <w:jc w:val="left"/>
            </w:pPr>
            <w:r>
              <w:rPr>
                <w:sz w:val="18"/>
              </w:rPr>
              <w:t xml:space="preserve">Annual return</w:t>
            </w:r>
          </w:p>
        </w:tc>
        <w:tc>
          <w:tcPr>
            <w:tcW w:w="2671" w:type="dxa"/>
          </w:tcPr>
          <w:p>
            <w:pPr>
              <w:pStyle w:val="Compact"/>
              <w:spacing w:after="40"/>
              <w:jc w:val="left"/>
            </w:pPr>
            <w:r>
              <w:rPr>
                <w:sz w:val="18"/>
              </w:rPr>
              <w:t xml:space="preserve">From books, GSTR-1 and GSTR-3B</w:t>
            </w:r>
          </w:p>
        </w:tc>
      </w:tr>
      <w:tr>
        <w:tc>
          <w:tcPr>
            <w:tcW w:w="1384" w:type="dxa"/>
          </w:tcPr>
          <w:p>
            <w:pPr>
              <w:pStyle w:val="Compact"/>
              <w:spacing w:after="40"/>
              <w:jc w:val="left"/>
            </w:pPr>
            <w:r>
              <w:rPr>
                <w:sz w:val="18"/>
              </w:rPr>
              <w:t xml:space="preserve">GSTR-9C</w:t>
            </w:r>
          </w:p>
        </w:tc>
        <w:tc>
          <w:tcPr>
            <w:tcW w:w="5583" w:type="dxa"/>
          </w:tcPr>
          <w:p>
            <w:pPr>
              <w:pStyle w:val="Compact"/>
              <w:spacing w:after="40"/>
              <w:jc w:val="left"/>
            </w:pPr>
            <w:r>
              <w:rPr>
                <w:sz w:val="18"/>
              </w:rPr>
              <w:t xml:space="preserve">Reconciliation statement, self-certified where AATO exceeds ₹5 crore [VERIFY]</w:t>
            </w:r>
          </w:p>
        </w:tc>
        <w:tc>
          <w:tcPr>
            <w:tcW w:w="2671" w:type="dxa"/>
          </w:tcPr>
          <w:p>
            <w:pPr>
              <w:pStyle w:val="Compact"/>
              <w:spacing w:after="40"/>
              <w:jc w:val="left"/>
            </w:pPr>
            <w:r>
              <w:rPr>
                <w:sz w:val="18"/>
              </w:rPr>
              <w:t xml:space="preserve">Books-to-return reconciliation workpapers</w:t>
            </w:r>
          </w:p>
        </w:tc>
      </w:tr>
    </w:tbl>
    <w:p>
      <w:pPr>
        <w:numPr>
          <w:ilvl w:val="0"/>
          <w:numId w:val="1326"/>
        </w:numPr>
        <w:pStyle w:val="Compact"/>
      </w:pPr>
      <w:r>
        <w:rPr>
          <w:bCs/>
          <w:b/>
        </w:rPr>
        <w:t xml:space="preserve">Time bar:</w:t>
      </w:r>
      <w:r>
        <w:t xml:space="preserve"> </w:t>
      </w:r>
      <w:r>
        <w:t xml:space="preserve">returns cannot be filed more than 3 years after their due date (portal validation since July 2025); the calendar flags any open period approaching the bar.</w:t>
      </w:r>
    </w:p>
    <w:p>
      <w:pPr>
        <w:numPr>
          <w:ilvl w:val="0"/>
          <w:numId w:val="1326"/>
        </w:numPr>
        <w:pStyle w:val="Compact"/>
      </w:pPr>
      <w:r>
        <w:rPr>
          <w:bCs/>
          <w:b/>
        </w:rPr>
        <w:t xml:space="preserve">Filing:</w:t>
      </w:r>
      <w:r>
        <w:t xml:space="preserve"> </w:t>
      </w:r>
      <w:r>
        <w:t xml:space="preserve">an authorised user files on the GST portal with EVC or DSC, or through a GSP/ASP the tenant contracts, where the taxpayer enables API access by OTP for a time-limited session [VERIFY: GSTN developer documents]. Finbyx never stores GST portal credentials or OTPs.</w:t>
      </w:r>
    </w:p>
    <w:p>
      <w:pPr>
        <w:numPr>
          <w:ilvl w:val="0"/>
          <w:numId w:val="1326"/>
        </w:numPr>
        <w:pStyle w:val="Compact"/>
      </w:pPr>
      <w:r>
        <w:rPr>
          <w:bCs/>
          <w:b/>
        </w:rPr>
        <w:t xml:space="preserve">Reconciliations:</w:t>
      </w:r>
      <w:r>
        <w:t xml:space="preserve"> </w:t>
      </w:r>
      <w:r>
        <w:t xml:space="preserve">books vs GSTR-1 by month; GSTR-3B liability vs GSTR-1; 2B vs purchase register; ITC reversal computation; RCM liability vs vendor invoices.</w:t>
      </w:r>
    </w:p>
    <w:p>
      <w:pPr>
        <w:numPr>
          <w:ilvl w:val="0"/>
          <w:numId w:val="1326"/>
        </w:numPr>
        <w:pStyle w:val="Compact"/>
      </w:pPr>
      <w:r>
        <w:rPr>
          <w:bCs/>
          <w:b/>
        </w:rPr>
        <w:t xml:space="preserve">Return workflow (per GSTIN, period and return):</w:t>
      </w:r>
      <w:r>
        <w:t xml:space="preserve"> </w:t>
      </w:r>
      <w:r>
        <w:rPr>
          <w:rStyle w:val="VerbatimChar"/>
        </w:rPr>
        <w:t xml:space="preserve">DATA_FROZEN → GENERATED → SCHEMA_VALIDATED → RECONCILED → CHECKER_APPROVED</w:t>
      </w:r>
      <w:r>
        <w:t xml:space="preserve"> </w:t>
      </w:r>
      <w:r>
        <w:t xml:space="preserve">(emits</w:t>
      </w:r>
      <w:r>
        <w:t xml:space="preserve"> </w:t>
      </w:r>
      <w:r>
        <w:rPr>
          <w:rStyle w:val="VerbatimChar"/>
        </w:rPr>
        <w:t xml:space="preserve">GstReturnPrepared</w:t>
      </w:r>
      <w:r>
        <w:t xml:space="preserve">)</w:t>
      </w:r>
      <w:r>
        <w:t xml:space="preserve"> </w:t>
      </w:r>
      <w:r>
        <w:rPr>
          <w:rStyle w:val="VerbatimChar"/>
        </w:rPr>
        <w:t xml:space="preserve">→ FILED_BY_HUMAN</w:t>
      </w:r>
      <w:r>
        <w:t xml:space="preserve"> </w:t>
      </w:r>
      <w:r>
        <w:t xml:space="preserve">(ARN and filing date recorded)</w:t>
      </w:r>
      <w:r>
        <w:t xml:space="preserve"> </w:t>
      </w:r>
      <w:r>
        <w:rPr>
          <w:rStyle w:val="VerbatimChar"/>
        </w:rPr>
        <w:t xml:space="preserve">→ CLOSED</w:t>
      </w:r>
      <w:r>
        <w:t xml:space="preserve">. A schema or reconciliation failure returns to</w:t>
      </w:r>
      <w:r>
        <w:t xml:space="preserve"> </w:t>
      </w:r>
      <w:r>
        <w:rPr>
          <w:rStyle w:val="VerbatimChar"/>
        </w:rPr>
        <w:t xml:space="preserve">GENERATED</w:t>
      </w:r>
      <w:r>
        <w:t xml:space="preserve"> </w:t>
      </w:r>
      <w:r>
        <w:t xml:space="preserve">after a fix at source; a difference found after filing opens a GSTR-1A amendment (current period) or a next-period adjustment, never an edit of the filed package; a filing not recorded by the due date raises a compliance issue and starts the late-fee and interest computation.</w:t>
      </w:r>
    </w:p>
    <w:bookmarkEnd w:id="312"/>
    <w:bookmarkStart w:id="313" w:name="acceptance-tests-14"/>
    <w:p>
      <w:pPr>
        <w:pStyle w:val="Heading3"/>
      </w:pPr>
      <w:r>
        <w:t xml:space="preserve">Acceptance tests</w:t>
      </w:r>
    </w:p>
    <w:p>
      <w:pPr>
        <w:numPr>
          <w:ilvl w:val="0"/>
          <w:numId w:val="1327"/>
        </w:numPr>
        <w:pStyle w:val="Compact"/>
      </w:pPr>
      <w:r>
        <w:t xml:space="preserve">A loan with ₹10,000 interest, ₹2,000 processing fee and ₹500 penal charge under the RBC 30 policy generates GST only on ₹2,000.</w:t>
      </w:r>
    </w:p>
    <w:p>
      <w:pPr>
        <w:numPr>
          <w:ilvl w:val="0"/>
          <w:numId w:val="1327"/>
        </w:numPr>
        <w:pStyle w:val="Compact"/>
      </w:pPr>
      <w:r>
        <w:t xml:space="preserve">A co-lending servicing spread without an attached opinion is invoiced at 18%.</w:t>
      </w:r>
    </w:p>
    <w:p>
      <w:pPr>
        <w:numPr>
          <w:ilvl w:val="0"/>
          <w:numId w:val="1327"/>
        </w:numPr>
        <w:pStyle w:val="Compact"/>
      </w:pPr>
      <w:r>
        <w:t xml:space="preserve">Choosing the 50% ITC option in April blocks any change until the next 1 April; same-PAN ITC is excluded from the 50% computation.</w:t>
      </w:r>
    </w:p>
    <w:p>
      <w:pPr>
        <w:numPr>
          <w:ilvl w:val="0"/>
          <w:numId w:val="1327"/>
        </w:numPr>
        <w:pStyle w:val="Compact"/>
      </w:pPr>
      <w:r>
        <w:t xml:space="preserve">No IRN request is ever made for an NBFC GSTIN; a non-exempt group GSTIN above ₹5 crore AATO generates IRN requests.</w:t>
      </w:r>
    </w:p>
    <w:p>
      <w:pPr>
        <w:numPr>
          <w:ilvl w:val="0"/>
          <w:numId w:val="1327"/>
        </w:numPr>
        <w:pStyle w:val="Compact"/>
      </w:pPr>
      <w:r>
        <w:t xml:space="preserve">GSTR-1 JSON passes the GSTN offline-tool schema validation; a B2C HSN row in the B2B tab fails.</w:t>
      </w:r>
    </w:p>
    <w:p>
      <w:pPr>
        <w:numPr>
          <w:ilvl w:val="0"/>
          <w:numId w:val="1327"/>
        </w:numPr>
        <w:pStyle w:val="Compact"/>
      </w:pPr>
      <w:r>
        <w:t xml:space="preserve">An attempt to change a filed GSTR-3B Table 3 value is redirected to a GSTR-1A amendment.</w:t>
      </w:r>
    </w:p>
    <w:p>
      <w:r>
        <w:pict>
          <v:rect style="width:0;height:1.5pt" o:hralign="center" o:hrstd="t" o:hr="t"/>
        </w:pict>
      </w:r>
    </w:p>
    <w:bookmarkEnd w:id="313"/>
    <w:bookmarkEnd w:id="314"/>
    <w:bookmarkStart w:id="321" w:name="X8c735d675cfbd3614cef2bb4185f619e25a307d"/>
    <w:p>
      <w:pPr>
        <w:pStyle w:val="Heading2"/>
      </w:pPr>
      <w:r>
        <w:t xml:space="preserve">AC5. Income-tax Act 2025: TDS, SFT, tax audit data and certificates</w:t>
      </w:r>
    </w:p>
    <w:p>
      <w:pPr>
        <w:pStyle w:val="FirstParagraph"/>
      </w:pPr>
      <w:r>
        <w:rPr>
          <w:bCs/>
          <w:b/>
        </w:rPr>
        <w:t xml:space="preserve">Purpose.</w:t>
      </w:r>
      <w:r>
        <w:t xml:space="preserve"> </w:t>
      </w:r>
      <w:r>
        <w:t xml:space="preserve">Meet the lender’s income-tax obligations under the Income-tax Act 2025 (in force 1 Apr 2026) and the Income-tax Rules 2026, and give borrowers correct certificates. Section, form and table numbers are configurable data because several are taken from secondary concordances [VERIFY: official text before each go-live].</w:t>
      </w:r>
    </w:p>
    <w:bookmarkStart w:id="315" w:name="ac5.1-transition-and-concordance"/>
    <w:p>
      <w:pPr>
        <w:pStyle w:val="Heading3"/>
      </w:pPr>
      <w:r>
        <w:t xml:space="preserve">AC5.1 Transition and concordance</w:t>
      </w:r>
    </w:p>
    <w:p>
      <w:pPr>
        <w:numPr>
          <w:ilvl w:val="0"/>
          <w:numId w:val="1328"/>
        </w:numPr>
        <w:pStyle w:val="Compact"/>
      </w:pPr>
      <w:r>
        <w:t xml:space="preserve">Obligations for FY 2025-26 and earlier (including statements and certificates filed after 1 Apr 2026) use the Income-tax Act 1961 forms; obligations for tax year 2026-27 onwards use the 2025 Act. The engine selects the regime by payment or credit date and tax year [VERIFY: CBDT transition FAQs].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35"/>
        <w:gridCol w:w="4161"/>
        <w:gridCol w:w="3042"/>
      </w:tblGrid>
      <w:tr>
        <w:trPr>
          <w:tblHeader w:val="true"/>
          <w:tblHeader w:val="true"/>
        </w:trPr>
        <w:tc>
          <w:tcPr>
            <w:tcW w:w="2435" w:type="dxa"/>
            <w:shd w:val="clear" w:color="auto" w:fill="1F3A5F"/>
          </w:tcPr>
          <w:p>
            <w:pPr>
              <w:pStyle w:val="Compact"/>
              <w:spacing w:after="40"/>
              <w:jc w:val="left"/>
            </w:pPr>
            <w:r>
              <w:rPr>
                <w:b/>
                <w:color w:val="FFFFFF"/>
                <w:sz w:val="18"/>
              </w:rPr>
              <w:t xml:space="preserve">1961 Act</w:t>
            </w:r>
          </w:p>
        </w:tc>
        <w:tc>
          <w:tcPr>
            <w:tcW w:w="4161" w:type="dxa"/>
            <w:shd w:val="clear" w:color="auto" w:fill="1F3A5F"/>
          </w:tcPr>
          <w:p>
            <w:pPr>
              <w:pStyle w:val="Compact"/>
              <w:spacing w:after="40"/>
              <w:jc w:val="left"/>
            </w:pPr>
            <w:r>
              <w:rPr>
                <w:b/>
                <w:color w:val="FFFFFF"/>
                <w:sz w:val="18"/>
              </w:rPr>
              <w:t xml:space="preserve">2025 Act</w:t>
            </w:r>
          </w:p>
        </w:tc>
        <w:tc>
          <w:tcPr>
            <w:tcW w:w="3042" w:type="dxa"/>
            <w:shd w:val="clear" w:color="auto" w:fill="1F3A5F"/>
          </w:tcPr>
          <w:p>
            <w:pPr>
              <w:pStyle w:val="Compact"/>
              <w:spacing w:after="40"/>
              <w:jc w:val="left"/>
            </w:pPr>
            <w:r>
              <w:rPr>
                <w:b/>
                <w:color w:val="FFFFFF"/>
                <w:sz w:val="18"/>
              </w:rPr>
              <w:t xml:space="preserve">Use in Finbyx</w:t>
            </w:r>
          </w:p>
        </w:tc>
      </w:tr>
      <w:tr>
        <w:tc>
          <w:tcPr>
            <w:tcW w:w="2435" w:type="dxa"/>
          </w:tcPr>
          <w:p>
            <w:pPr>
              <w:pStyle w:val="Compact"/>
              <w:spacing w:after="40"/>
              <w:jc w:val="left"/>
            </w:pPr>
            <w:r>
              <w:rPr>
                <w:sz w:val="18"/>
              </w:rPr>
              <w:t xml:space="preserve">s.194A interest (and 194J, 194C, 194H, 194I, 194Q)</w:t>
            </w:r>
          </w:p>
        </w:tc>
        <w:tc>
          <w:tcPr>
            <w:tcW w:w="4161" w:type="dxa"/>
          </w:tcPr>
          <w:p>
            <w:pPr>
              <w:pStyle w:val="Compact"/>
              <w:spacing w:after="40"/>
              <w:jc w:val="left"/>
            </w:pPr>
            <w:r>
              <w:rPr>
                <w:sz w:val="18"/>
              </w:rPr>
              <w:t xml:space="preserve">s.393(1) Table (e.g. Sl. 5 interest; Sl. 6(iii) professional; 6(i) contractors; 1(ii) commission; 2 rent; 8(ii) goods) [VERIFY: serials and codes]</w:t>
            </w:r>
          </w:p>
        </w:tc>
        <w:tc>
          <w:tcPr>
            <w:tcW w:w="3042" w:type="dxa"/>
          </w:tcPr>
          <w:p>
            <w:pPr>
              <w:pStyle w:val="Compact"/>
              <w:spacing w:after="40"/>
              <w:jc w:val="left"/>
            </w:pPr>
            <w:r>
              <w:rPr>
                <w:sz w:val="18"/>
              </w:rPr>
              <w:t xml:space="preserve">TDS deduction codes</w:t>
            </w:r>
          </w:p>
        </w:tc>
      </w:tr>
      <w:tr>
        <w:tc>
          <w:tcPr>
            <w:tcW w:w="2435" w:type="dxa"/>
          </w:tcPr>
          <w:p>
            <w:pPr>
              <w:pStyle w:val="Compact"/>
              <w:spacing w:after="40"/>
              <w:jc w:val="left"/>
            </w:pPr>
            <w:r>
              <w:rPr>
                <w:sz w:val="18"/>
              </w:rPr>
              <w:t xml:space="preserve">s.200(3); Form 26Q</w:t>
            </w:r>
          </w:p>
        </w:tc>
        <w:tc>
          <w:tcPr>
            <w:tcW w:w="4161" w:type="dxa"/>
          </w:tcPr>
          <w:p>
            <w:pPr>
              <w:pStyle w:val="Compact"/>
              <w:spacing w:after="40"/>
              <w:jc w:val="left"/>
            </w:pPr>
            <w:r>
              <w:rPr>
                <w:sz w:val="18"/>
              </w:rPr>
              <w:t xml:space="preserve">s.397(3)(b); Rule 219;</w:t>
            </w:r>
            <w:r>
              <w:rPr>
                <w:sz w:val="18"/>
              </w:rPr>
              <w:t xml:space="preserve"> </w:t>
            </w:r>
            <w:r>
              <w:rPr>
                <w:bCs/>
                <w:b/>
                <w:sz w:val="18"/>
              </w:rPr>
              <w:t xml:space="preserve">Form 140</w:t>
            </w:r>
            <w:r>
              <w:rPr>
                <w:sz w:val="18"/>
              </w:rPr>
              <w:t xml:space="preserve"> </w:t>
            </w:r>
            <w:r>
              <w:rPr>
                <w:sz w:val="18"/>
              </w:rPr>
              <w:t xml:space="preserve">(quarterly; due 31 Jul, 31 Oct, 31 Jan, 31 May)</w:t>
            </w:r>
          </w:p>
        </w:tc>
        <w:tc>
          <w:tcPr>
            <w:tcW w:w="3042" w:type="dxa"/>
          </w:tcPr>
          <w:p>
            <w:pPr>
              <w:pStyle w:val="Compact"/>
              <w:spacing w:after="40"/>
              <w:jc w:val="left"/>
            </w:pPr>
            <w:r>
              <w:rPr>
                <w:sz w:val="18"/>
              </w:rPr>
              <w:t xml:space="preserve">Non-salary TDS statement</w:t>
            </w:r>
          </w:p>
        </w:tc>
      </w:tr>
      <w:tr>
        <w:tc>
          <w:tcPr>
            <w:tcW w:w="2435" w:type="dxa"/>
          </w:tcPr>
          <w:p>
            <w:pPr>
              <w:pStyle w:val="Compact"/>
              <w:spacing w:after="40"/>
              <w:jc w:val="left"/>
            </w:pPr>
            <w:r>
              <w:rPr>
                <w:sz w:val="18"/>
              </w:rPr>
              <w:t xml:space="preserve">Forms 24Q, 27Q, 27EQ</w:t>
            </w:r>
          </w:p>
        </w:tc>
        <w:tc>
          <w:tcPr>
            <w:tcW w:w="4161" w:type="dxa"/>
          </w:tcPr>
          <w:p>
            <w:pPr>
              <w:pStyle w:val="Compact"/>
              <w:spacing w:after="40"/>
              <w:jc w:val="left"/>
            </w:pPr>
            <w:r>
              <w:rPr>
                <w:sz w:val="18"/>
              </w:rPr>
              <w:t xml:space="preserve">Forms 138, 144, 143</w:t>
            </w:r>
          </w:p>
        </w:tc>
        <w:tc>
          <w:tcPr>
            <w:tcW w:w="3042" w:type="dxa"/>
          </w:tcPr>
          <w:p>
            <w:pPr>
              <w:pStyle w:val="Compact"/>
              <w:spacing w:after="40"/>
              <w:jc w:val="left"/>
            </w:pPr>
            <w:r>
              <w:rPr>
                <w:sz w:val="18"/>
              </w:rPr>
              <w:t xml:space="preserve">Salary (client HRMS, Part 7F GV6), non-resident, TCS</w:t>
            </w:r>
          </w:p>
        </w:tc>
      </w:tr>
      <w:tr>
        <w:tc>
          <w:tcPr>
            <w:tcW w:w="2435" w:type="dxa"/>
          </w:tcPr>
          <w:p>
            <w:pPr>
              <w:pStyle w:val="Compact"/>
              <w:spacing w:after="40"/>
              <w:jc w:val="left"/>
            </w:pPr>
            <w:r>
              <w:rPr>
                <w:sz w:val="18"/>
              </w:rPr>
              <w:t xml:space="preserve">Forms 16, 16A, 27D</w:t>
            </w:r>
          </w:p>
        </w:tc>
        <w:tc>
          <w:tcPr>
            <w:tcW w:w="4161" w:type="dxa"/>
          </w:tcPr>
          <w:p>
            <w:pPr>
              <w:pStyle w:val="Compact"/>
              <w:spacing w:after="40"/>
              <w:jc w:val="left"/>
            </w:pPr>
            <w:r>
              <w:rPr>
                <w:sz w:val="18"/>
              </w:rPr>
              <w:t xml:space="preserve">Forms 130 (s.392 salary),</w:t>
            </w:r>
            <w:r>
              <w:rPr>
                <w:sz w:val="18"/>
              </w:rPr>
              <w:t xml:space="preserve"> </w:t>
            </w:r>
            <w:r>
              <w:rPr>
                <w:bCs/>
                <w:b/>
                <w:sz w:val="18"/>
              </w:rPr>
              <w:t xml:space="preserve">131</w:t>
            </w:r>
            <w:r>
              <w:rPr>
                <w:sz w:val="18"/>
              </w:rPr>
              <w:t xml:space="preserve">, 133 (s.395)</w:t>
            </w:r>
          </w:p>
        </w:tc>
        <w:tc>
          <w:tcPr>
            <w:tcW w:w="3042" w:type="dxa"/>
          </w:tcPr>
          <w:p>
            <w:pPr>
              <w:pStyle w:val="Compact"/>
              <w:spacing w:after="40"/>
              <w:jc w:val="left"/>
            </w:pPr>
            <w:r>
              <w:rPr>
                <w:sz w:val="18"/>
              </w:rPr>
              <w:t xml:space="preserve">TDS certificates</w:t>
            </w:r>
          </w:p>
        </w:tc>
      </w:tr>
      <w:tr>
        <w:tc>
          <w:tcPr>
            <w:tcW w:w="2435" w:type="dxa"/>
          </w:tcPr>
          <w:p>
            <w:pPr>
              <w:pStyle w:val="Compact"/>
              <w:spacing w:after="40"/>
              <w:jc w:val="left"/>
            </w:pPr>
            <w:r>
              <w:rPr>
                <w:sz w:val="18"/>
              </w:rPr>
              <w:t xml:space="preserve">15G/15H; Form 13</w:t>
            </w:r>
          </w:p>
        </w:tc>
        <w:tc>
          <w:tcPr>
            <w:tcW w:w="4161" w:type="dxa"/>
          </w:tcPr>
          <w:p>
            <w:pPr>
              <w:pStyle w:val="Compact"/>
              <w:spacing w:after="40"/>
              <w:jc w:val="left"/>
            </w:pPr>
            <w:r>
              <w:rPr>
                <w:sz w:val="18"/>
              </w:rPr>
              <w:t xml:space="preserve">Form 121 (s.393(6)); Form 128 (s.395)</w:t>
            </w:r>
          </w:p>
        </w:tc>
        <w:tc>
          <w:tcPr>
            <w:tcW w:w="3042" w:type="dxa"/>
          </w:tcPr>
          <w:p>
            <w:pPr>
              <w:pStyle w:val="Compact"/>
              <w:spacing w:after="40"/>
              <w:jc w:val="left"/>
            </w:pPr>
            <w:r>
              <w:rPr>
                <w:sz w:val="18"/>
              </w:rPr>
              <w:t xml:space="preserve">Declarations; lower-deduction certificates</w:t>
            </w:r>
          </w:p>
        </w:tc>
      </w:tr>
      <w:tr>
        <w:tc>
          <w:tcPr>
            <w:tcW w:w="2435" w:type="dxa"/>
          </w:tcPr>
          <w:p>
            <w:pPr>
              <w:pStyle w:val="Compact"/>
              <w:spacing w:after="40"/>
              <w:jc w:val="left"/>
            </w:pPr>
            <w:r>
              <w:rPr>
                <w:sz w:val="18"/>
              </w:rPr>
              <w:t xml:space="preserve">s.285BA; Forms 61A, 61B</w:t>
            </w:r>
          </w:p>
        </w:tc>
        <w:tc>
          <w:tcPr>
            <w:tcW w:w="4161" w:type="dxa"/>
          </w:tcPr>
          <w:p>
            <w:pPr>
              <w:pStyle w:val="Compact"/>
              <w:spacing w:after="40"/>
              <w:jc w:val="left"/>
            </w:pPr>
            <w:r>
              <w:rPr>
                <w:bCs/>
                <w:b/>
                <w:sz w:val="18"/>
              </w:rPr>
              <w:t xml:space="preserve">s.508; Forms 165, 166</w:t>
            </w:r>
          </w:p>
        </w:tc>
        <w:tc>
          <w:tcPr>
            <w:tcW w:w="3042" w:type="dxa"/>
          </w:tcPr>
          <w:p>
            <w:pPr>
              <w:pStyle w:val="Compact"/>
              <w:spacing w:after="40"/>
              <w:jc w:val="left"/>
            </w:pPr>
            <w:r>
              <w:rPr>
                <w:sz w:val="18"/>
              </w:rPr>
              <w:t xml:space="preserve">SFT and FATCA/CRS (Part 7B RR4.9)</w:t>
            </w:r>
          </w:p>
        </w:tc>
      </w:tr>
      <w:tr>
        <w:tc>
          <w:tcPr>
            <w:tcW w:w="2435" w:type="dxa"/>
          </w:tcPr>
          <w:p>
            <w:pPr>
              <w:pStyle w:val="Compact"/>
              <w:spacing w:after="40"/>
              <w:jc w:val="left"/>
            </w:pPr>
            <w:r>
              <w:rPr>
                <w:sz w:val="18"/>
              </w:rPr>
              <w:t xml:space="preserve">Form 26AS</w:t>
            </w:r>
          </w:p>
        </w:tc>
        <w:tc>
          <w:tcPr>
            <w:tcW w:w="4161" w:type="dxa"/>
          </w:tcPr>
          <w:p>
            <w:pPr>
              <w:pStyle w:val="Compact"/>
              <w:spacing w:after="40"/>
              <w:jc w:val="left"/>
            </w:pPr>
            <w:r>
              <w:rPr>
                <w:sz w:val="18"/>
              </w:rPr>
              <w:t xml:space="preserve">Form 168 [VERIFY]</w:t>
            </w:r>
          </w:p>
        </w:tc>
        <w:tc>
          <w:tcPr>
            <w:tcW w:w="3042" w:type="dxa"/>
          </w:tcPr>
          <w:p>
            <w:pPr>
              <w:pStyle w:val="Compact"/>
              <w:spacing w:after="40"/>
              <w:jc w:val="left"/>
            </w:pPr>
            <w:r>
              <w:rPr>
                <w:sz w:val="18"/>
              </w:rPr>
              <w:t xml:space="preserve">TDS credit matching</w:t>
            </w:r>
          </w:p>
        </w:tc>
      </w:tr>
      <w:tr>
        <w:tc>
          <w:tcPr>
            <w:tcW w:w="2435" w:type="dxa"/>
          </w:tcPr>
          <w:p>
            <w:pPr>
              <w:pStyle w:val="Compact"/>
              <w:spacing w:after="40"/>
              <w:jc w:val="left"/>
            </w:pPr>
            <w:r>
              <w:rPr>
                <w:sz w:val="18"/>
              </w:rPr>
              <w:t xml:space="preserve">s.43D</w:t>
            </w:r>
          </w:p>
        </w:tc>
        <w:tc>
          <w:tcPr>
            <w:tcW w:w="4161" w:type="dxa"/>
          </w:tcPr>
          <w:p>
            <w:pPr>
              <w:pStyle w:val="Compact"/>
              <w:spacing w:after="40"/>
              <w:jc w:val="left"/>
            </w:pPr>
            <w:r>
              <w:rPr>
                <w:bCs/>
                <w:b/>
                <w:sz w:val="18"/>
              </w:rPr>
              <w:t xml:space="preserve">s.56</w:t>
            </w:r>
          </w:p>
        </w:tc>
        <w:tc>
          <w:tcPr>
            <w:tcW w:w="3042" w:type="dxa"/>
          </w:tcPr>
          <w:p>
            <w:pPr>
              <w:pStyle w:val="Compact"/>
              <w:spacing w:after="40"/>
              <w:jc w:val="left"/>
            </w:pPr>
            <w:r>
              <w:rPr>
                <w:sz w:val="18"/>
              </w:rPr>
              <w:t xml:space="preserve">NPA interest on receipt basis for notified NBFC classes</w:t>
            </w:r>
          </w:p>
        </w:tc>
      </w:tr>
      <w:tr>
        <w:tc>
          <w:tcPr>
            <w:tcW w:w="2435" w:type="dxa"/>
          </w:tcPr>
          <w:p>
            <w:pPr>
              <w:pStyle w:val="Compact"/>
              <w:spacing w:after="40"/>
              <w:jc w:val="left"/>
            </w:pPr>
            <w:r>
              <w:rPr>
                <w:sz w:val="18"/>
              </w:rPr>
              <w:t xml:space="preserve">s.36(1)(vii), (viia)</w:t>
            </w:r>
          </w:p>
        </w:tc>
        <w:tc>
          <w:tcPr>
            <w:tcW w:w="4161" w:type="dxa"/>
          </w:tcPr>
          <w:p>
            <w:pPr>
              <w:pStyle w:val="Compact"/>
              <w:spacing w:after="40"/>
              <w:jc w:val="left"/>
            </w:pPr>
            <w:r>
              <w:rPr>
                <w:bCs/>
                <w:b/>
                <w:sz w:val="18"/>
              </w:rPr>
              <w:t xml:space="preserve">s.31</w:t>
            </w:r>
            <w:r>
              <w:rPr>
                <w:sz w:val="18"/>
              </w:rPr>
              <w:t xml:space="preserve"> </w:t>
            </w:r>
            <w:r>
              <w:rPr>
                <w:sz w:val="18"/>
              </w:rPr>
              <w:t xml:space="preserve">[VERIFY: clause; NBFC cap]</w:t>
            </w:r>
          </w:p>
        </w:tc>
        <w:tc>
          <w:tcPr>
            <w:tcW w:w="3042" w:type="dxa"/>
          </w:tcPr>
          <w:p>
            <w:pPr>
              <w:pStyle w:val="Compact"/>
              <w:spacing w:after="40"/>
              <w:jc w:val="left"/>
            </w:pPr>
            <w:r>
              <w:rPr>
                <w:sz w:val="18"/>
              </w:rPr>
              <w:t xml:space="preserve">Bad debts and provision deduction</w:t>
            </w:r>
          </w:p>
        </w:tc>
      </w:tr>
      <w:tr>
        <w:tc>
          <w:tcPr>
            <w:tcW w:w="2435" w:type="dxa"/>
          </w:tcPr>
          <w:p>
            <w:pPr>
              <w:pStyle w:val="Compact"/>
              <w:spacing w:after="40"/>
              <w:jc w:val="left"/>
            </w:pPr>
            <w:r>
              <w:rPr>
                <w:sz w:val="18"/>
              </w:rPr>
              <w:t xml:space="preserve">s.44AB; Forms 3CA/3CB/3CD</w:t>
            </w:r>
          </w:p>
        </w:tc>
        <w:tc>
          <w:tcPr>
            <w:tcW w:w="4161" w:type="dxa"/>
          </w:tcPr>
          <w:p>
            <w:pPr>
              <w:pStyle w:val="Compact"/>
              <w:spacing w:after="40"/>
              <w:jc w:val="left"/>
            </w:pPr>
            <w:r>
              <w:rPr>
                <w:bCs/>
                <w:b/>
                <w:sz w:val="18"/>
              </w:rPr>
              <w:t xml:space="preserve">s.63; Form 26</w:t>
            </w:r>
          </w:p>
        </w:tc>
        <w:tc>
          <w:tcPr>
            <w:tcW w:w="3042" w:type="dxa"/>
          </w:tcPr>
          <w:p>
            <w:pPr>
              <w:pStyle w:val="Compact"/>
              <w:spacing w:after="40"/>
              <w:jc w:val="left"/>
            </w:pPr>
            <w:r>
              <w:rPr>
                <w:sz w:val="18"/>
              </w:rPr>
              <w:t xml:space="preserve">Tax audit</w:t>
            </w:r>
          </w:p>
        </w:tc>
      </w:tr>
      <w:tr>
        <w:tc>
          <w:tcPr>
            <w:tcW w:w="2435" w:type="dxa"/>
          </w:tcPr>
          <w:p>
            <w:pPr>
              <w:pStyle w:val="Compact"/>
              <w:spacing w:after="40"/>
              <w:jc w:val="left"/>
            </w:pPr>
            <w:r>
              <w:rPr>
                <w:sz w:val="18"/>
              </w:rPr>
              <w:t xml:space="preserve">s.43B; ss.269SS, 269ST, 269T</w:t>
            </w:r>
          </w:p>
        </w:tc>
        <w:tc>
          <w:tcPr>
            <w:tcW w:w="4161" w:type="dxa"/>
          </w:tcPr>
          <w:p>
            <w:pPr>
              <w:pStyle w:val="Compact"/>
              <w:spacing w:after="40"/>
              <w:jc w:val="left"/>
            </w:pPr>
            <w:r>
              <w:rPr>
                <w:sz w:val="18"/>
              </w:rPr>
              <w:t xml:space="preserve">s.37; ss.185, 186, 188</w:t>
            </w:r>
          </w:p>
        </w:tc>
        <w:tc>
          <w:tcPr>
            <w:tcW w:w="3042" w:type="dxa"/>
          </w:tcPr>
          <w:p>
            <w:pPr>
              <w:pStyle w:val="Compact"/>
              <w:spacing w:after="40"/>
              <w:jc w:val="left"/>
            </w:pPr>
            <w:r>
              <w:rPr>
                <w:sz w:val="18"/>
              </w:rPr>
              <w:t xml:space="preserve">Payment-basis items; cash loan, receipt and repayment limits (MISC 24 control)</w:t>
            </w:r>
          </w:p>
        </w:tc>
      </w:tr>
      <w:tr>
        <w:tc>
          <w:tcPr>
            <w:tcW w:w="2435" w:type="dxa"/>
          </w:tcPr>
          <w:p>
            <w:pPr>
              <w:pStyle w:val="Compact"/>
              <w:spacing w:after="40"/>
              <w:jc w:val="left"/>
            </w:pPr>
            <w:r>
              <w:rPr>
                <w:sz w:val="18"/>
              </w:rPr>
              <w:t xml:space="preserve">s.24(b); s.80C; s.80E; 80EE/80EEA/80EEB; s.115BAC</w:t>
            </w:r>
          </w:p>
        </w:tc>
        <w:tc>
          <w:tcPr>
            <w:tcW w:w="4161" w:type="dxa"/>
          </w:tcPr>
          <w:p>
            <w:pPr>
              <w:pStyle w:val="Compact"/>
              <w:spacing w:after="40"/>
              <w:jc w:val="left"/>
            </w:pPr>
            <w:r>
              <w:rPr>
                <w:bCs/>
                <w:b/>
                <w:sz w:val="18"/>
              </w:rPr>
              <w:t xml:space="preserve">s.22; s.123</w:t>
            </w:r>
            <w:r>
              <w:rPr>
                <w:sz w:val="18"/>
              </w:rPr>
              <w:t xml:space="preserve"> </w:t>
            </w:r>
            <w:r>
              <w:rPr>
                <w:sz w:val="18"/>
              </w:rPr>
              <w:t xml:space="preserve">(Schedule XV);</w:t>
            </w:r>
            <w:r>
              <w:rPr>
                <w:sz w:val="18"/>
              </w:rPr>
              <w:t xml:space="preserve"> </w:t>
            </w:r>
            <w:r>
              <w:rPr>
                <w:bCs/>
                <w:b/>
                <w:sz w:val="18"/>
              </w:rPr>
              <w:t xml:space="preserve">s.129</w:t>
            </w:r>
            <w:r>
              <w:rPr>
                <w:sz w:val="18"/>
              </w:rPr>
              <w:t xml:space="preserve">; s.130, s.131, s.132;</w:t>
            </w:r>
            <w:r>
              <w:rPr>
                <w:sz w:val="18"/>
              </w:rPr>
              <w:t xml:space="preserve"> </w:t>
            </w:r>
            <w:r>
              <w:rPr>
                <w:bCs/>
                <w:b/>
                <w:sz w:val="18"/>
              </w:rPr>
              <w:t xml:space="preserve">s.202</w:t>
            </w:r>
          </w:p>
        </w:tc>
        <w:tc>
          <w:tcPr>
            <w:tcW w:w="3042" w:type="dxa"/>
          </w:tcPr>
          <w:p>
            <w:pPr>
              <w:pStyle w:val="Compact"/>
              <w:spacing w:after="40"/>
              <w:jc w:val="left"/>
            </w:pPr>
            <w:r>
              <w:rPr>
                <w:sz w:val="18"/>
              </w:rPr>
              <w:t xml:space="preserve">Borrower certificates</w:t>
            </w:r>
          </w:p>
        </w:tc>
      </w:tr>
    </w:tbl>
    <w:bookmarkEnd w:id="315"/>
    <w:bookmarkStart w:id="316" w:name="ac5.2-tds-the-tenant-deducts"/>
    <w:p>
      <w:pPr>
        <w:pStyle w:val="Heading3"/>
      </w:pPr>
      <w:r>
        <w:t xml:space="preserve">AC5.2 TDS the tenant deducts</w:t>
      </w:r>
    </w:p>
    <w:p>
      <w:pPr>
        <w:numPr>
          <w:ilvl w:val="0"/>
          <w:numId w:val="1329"/>
        </w:numPr>
        <w:pStyle w:val="Compact"/>
      </w:pPr>
      <w:r>
        <w:t xml:space="preserve">On interest paid on deposits, NCDs and borrowings, and on payments to vendors, DSAs, agencies and advocates. Thresholds, rates and lower-deduction certificates (Form 128) are data [VERIFY: NBFC-deposit and senior-citizen thresholds carried into the 2025 Act]. Form 121 declarations captured with validity year.</w:t>
      </w:r>
    </w:p>
    <w:p>
      <w:pPr>
        <w:numPr>
          <w:ilvl w:val="0"/>
          <w:numId w:val="1329"/>
        </w:numPr>
        <w:pStyle w:val="Compact"/>
      </w:pPr>
      <w:r>
        <w:t xml:space="preserve">Challan creation data and challan-to-deduction matching; interest on late deposit computed.</w:t>
      </w:r>
    </w:p>
    <w:p>
      <w:pPr>
        <w:numPr>
          <w:ilvl w:val="0"/>
          <w:numId w:val="1329"/>
        </w:numPr>
        <w:pStyle w:val="Compact"/>
      </w:pPr>
      <w:r>
        <w:rPr>
          <w:bCs/>
          <w:b/>
        </w:rPr>
        <w:t xml:space="preserve">Form 140</w:t>
      </w:r>
      <w:r>
        <w:t xml:space="preserve"> </w:t>
      </w:r>
      <w:r>
        <w:t xml:space="preserve">quarterly statement data file (and Forms 144 and 143 where relevant) validated with the official validation utility [VERIFY: utility name]; filing and corrections by an authorised user;</w:t>
      </w:r>
      <w:r>
        <w:t xml:space="preserve"> </w:t>
      </w:r>
      <w:r>
        <w:rPr>
          <w:bCs/>
          <w:b/>
        </w:rPr>
        <w:t xml:space="preserve">Form 131</w:t>
      </w:r>
      <w:r>
        <w:t xml:space="preserve"> </w:t>
      </w:r>
      <w:r>
        <w:t xml:space="preserve">certificates generated after the statement is processed.</w:t>
      </w:r>
    </w:p>
    <w:p>
      <w:pPr>
        <w:numPr>
          <w:ilvl w:val="0"/>
          <w:numId w:val="1329"/>
        </w:numPr>
        <w:pStyle w:val="Compact"/>
      </w:pPr>
      <w:r>
        <w:rPr>
          <w:bCs/>
          <w:b/>
        </w:rPr>
        <w:t xml:space="preserve">Statement workflow (per TAN, quarter and form):</w:t>
      </w:r>
      <w:r>
        <w:t xml:space="preserve"> </w:t>
      </w:r>
      <w:r>
        <w:rPr>
          <w:rStyle w:val="VerbatimChar"/>
        </w:rPr>
        <w:t xml:space="preserve">DATA_FROZEN → GENERATED → UTILITY_VALIDATED → CHECKER_APPROVED</w:t>
      </w:r>
      <w:r>
        <w:t xml:space="preserve"> </w:t>
      </w:r>
      <w:r>
        <w:t xml:space="preserve">(emits</w:t>
      </w:r>
      <w:r>
        <w:t xml:space="preserve"> </w:t>
      </w:r>
      <w:r>
        <w:rPr>
          <w:rStyle w:val="VerbatimChar"/>
        </w:rPr>
        <w:t xml:space="preserve">TdsStatementPrepared</w:t>
      </w:r>
      <w:r>
        <w:t xml:space="preserve">)</w:t>
      </w:r>
      <w:r>
        <w:t xml:space="preserve"> </w:t>
      </w:r>
      <w:r>
        <w:rPr>
          <w:rStyle w:val="VerbatimChar"/>
        </w:rPr>
        <w:t xml:space="preserve">→ FILED_BY_HUMAN</w:t>
      </w:r>
      <w:r>
        <w:t xml:space="preserve"> </w:t>
      </w:r>
      <w:r>
        <w:t xml:space="preserve">(token or acknowledgement number recorded)</w:t>
      </w:r>
      <w:r>
        <w:t xml:space="preserve"> </w:t>
      </w:r>
      <w:r>
        <w:rPr>
          <w:rStyle w:val="VerbatimChar"/>
        </w:rPr>
        <w:t xml:space="preserve">→ PROCESSED</w:t>
      </w:r>
      <w:r>
        <w:t xml:space="preserve"> </w:t>
      </w:r>
      <w:r>
        <w:t xml:space="preserve">(processing result imported)</w:t>
      </w:r>
      <w:r>
        <w:t xml:space="preserve"> </w:t>
      </w:r>
      <w:r>
        <w:rPr>
          <w:rStyle w:val="VerbatimChar"/>
        </w:rPr>
        <w:t xml:space="preserve">→ CERTIFICATES_ISSUED → CLOSED</w:t>
      </w:r>
      <w:r>
        <w:t xml:space="preserve">. A processing default (short deduction, late deposit, PAN error) opens a correction-statement run linked to the original, with challan and interest recomputation; certificates are re-issued only from the corrected statement.</w:t>
      </w:r>
    </w:p>
    <w:bookmarkEnd w:id="316"/>
    <w:bookmarkStart w:id="317" w:name="ac5.3-tds-suffered-on-interest-received"/>
    <w:p>
      <w:pPr>
        <w:pStyle w:val="Heading3"/>
      </w:pPr>
      <w:r>
        <w:t xml:space="preserve">AC5.3 TDS suffered on interest received</w:t>
      </w:r>
    </w:p>
    <w:p>
      <w:pPr>
        <w:pStyle w:val="FirstParagraph"/>
      </w:pPr>
      <w:r>
        <w:t xml:space="preserve">Corporate borrowers deduct TDS on interest paid to the lender. Finbyx books a per-borrower TDS receivable, matches it to Form 168 credits by TAN, period and amount, and runs a chase workflow for Form 131 certificates. A short or missing credit does</w:t>
      </w:r>
      <w:r>
        <w:t xml:space="preserve"> </w:t>
      </w:r>
      <w:r>
        <w:rPr>
          <w:bCs/>
          <w:b/>
        </w:rPr>
        <w:t xml:space="preserve">not</w:t>
      </w:r>
      <w:r>
        <w:t xml:space="preserve"> </w:t>
      </w:r>
      <w:r>
        <w:t xml:space="preserve">close the borrower’s interest receivable; it stays open until the credit appears or a write-off is approved.</w:t>
      </w:r>
    </w:p>
    <w:bookmarkEnd w:id="317"/>
    <w:bookmarkStart w:id="318" w:name="ac5.4-tax-computation-memo-book"/>
    <w:p>
      <w:pPr>
        <w:pStyle w:val="Heading3"/>
      </w:pPr>
      <w:r>
        <w:t xml:space="preserve">AC5.4 Tax computation memo book</w:t>
      </w:r>
    </w:p>
    <w:p>
      <w:pPr>
        <w:numPr>
          <w:ilvl w:val="0"/>
          <w:numId w:val="1330"/>
        </w:numPr>
        <w:pStyle w:val="Compact"/>
      </w:pPr>
      <w:r>
        <w:rPr>
          <w:bCs/>
          <w:b/>
        </w:rPr>
        <w:t xml:space="preserve">s.56:</w:t>
      </w:r>
      <w:r>
        <w:t xml:space="preserve"> </w:t>
      </w:r>
      <w:r>
        <w:t xml:space="preserve">interest on NPAs taxed on receipt for notified NBFC classes (TL, UL and ML were notified under the 1961 Act by Notification 79/2023, 22 Sep 2023) [VERIFY: re-notification under the 2025 Act]; the</w:t>
      </w:r>
      <w:r>
        <w:t xml:space="preserve"> </w:t>
      </w:r>
      <w:r>
        <w:rPr>
          <w:rStyle w:val="VerbatimChar"/>
        </w:rPr>
        <w:t xml:space="preserve">TAX</w:t>
      </w:r>
      <w:r>
        <w:t xml:space="preserve"> </w:t>
      </w:r>
      <w:r>
        <w:t xml:space="preserve">book applies receipt basis only where the tenant’s class is notified.</w:t>
      </w:r>
    </w:p>
    <w:p>
      <w:pPr>
        <w:numPr>
          <w:ilvl w:val="0"/>
          <w:numId w:val="1330"/>
        </w:numPr>
        <w:pStyle w:val="Compact"/>
      </w:pPr>
      <w:r>
        <w:rPr>
          <w:bCs/>
          <w:b/>
        </w:rPr>
        <w:t xml:space="preserve">s.31:</w:t>
      </w:r>
      <w:r>
        <w:t xml:space="preserve"> </w:t>
      </w:r>
      <w:r>
        <w:t xml:space="preserve">provision for bad and doubtful debts and bad-debt write-offs, with the NBFC limit [VERIFY]; reconciled with</w:t>
      </w:r>
      <w:r>
        <w:t xml:space="preserve"> </w:t>
      </w:r>
      <w:r>
        <w:rPr>
          <w:rStyle w:val="VerbatimChar"/>
        </w:rPr>
        <w:t xml:space="preserve">PRUD</w:t>
      </w:r>
      <w:r>
        <w:t xml:space="preserve"> </w:t>
      </w:r>
      <w:r>
        <w:t xml:space="preserve">and</w:t>
      </w:r>
      <w:r>
        <w:t xml:space="preserve"> </w:t>
      </w:r>
      <w:r>
        <w:rPr>
          <w:rStyle w:val="VerbatimChar"/>
        </w:rPr>
        <w:t xml:space="preserve">STAT</w:t>
      </w:r>
      <w:r>
        <w:t xml:space="preserve">.</w:t>
      </w:r>
    </w:p>
    <w:p>
      <w:pPr>
        <w:numPr>
          <w:ilvl w:val="0"/>
          <w:numId w:val="1330"/>
        </w:numPr>
        <w:pStyle w:val="Compact"/>
      </w:pPr>
      <w:r>
        <w:rPr>
          <w:bCs/>
          <w:b/>
        </w:rPr>
        <w:t xml:space="preserve">s.37</w:t>
      </w:r>
      <w:r>
        <w:t xml:space="preserve"> </w:t>
      </w:r>
      <w:r>
        <w:t xml:space="preserve">payment-basis items (formerly s.43B); deferred tax computation per framework.</w:t>
      </w:r>
    </w:p>
    <w:p>
      <w:pPr>
        <w:numPr>
          <w:ilvl w:val="0"/>
          <w:numId w:val="1330"/>
        </w:numPr>
        <w:pStyle w:val="Compact"/>
      </w:pPr>
      <w:r>
        <w:rPr>
          <w:bCs/>
          <w:b/>
        </w:rPr>
        <w:t xml:space="preserve">Form 26 (s.63) tax audit data:</w:t>
      </w:r>
      <w:r>
        <w:t xml:space="preserve"> </w:t>
      </w:r>
      <w:r>
        <w:t xml:space="preserve">clause-wise schedules from the ledger (loans and deposits accepted and repaid in cash vs ss.185–188 limits, TDS compliance, payment-basis items, related-party payments) [VERIFY: Form 26 clause list]; delivered to the tax auditor through the Part 7D workspace.</w:t>
      </w:r>
    </w:p>
    <w:bookmarkEnd w:id="318"/>
    <w:bookmarkStart w:id="319" w:name="ac5.5-borrower-certificates"/>
    <w:p>
      <w:pPr>
        <w:pStyle w:val="Heading3"/>
      </w:pPr>
      <w:r>
        <w:t xml:space="preserve">AC5.5 Borrower certificates</w:t>
      </w:r>
    </w:p>
    <w:p>
      <w:pPr>
        <w:pStyle w:val="FirstParagraph"/>
      </w:pPr>
      <w:r>
        <w:t xml:space="preserve">Issued by the RE, digitally signed, provisional (on request during the year) and final (after year end), per borrower and co-borrower with PAN and share:</w:t>
      </w:r>
    </w:p>
    <w:p>
      <w:pPr>
        <w:numPr>
          <w:ilvl w:val="0"/>
          <w:numId w:val="1331"/>
        </w:numPr>
        <w:pStyle w:val="Compact"/>
      </w:pPr>
      <w:r>
        <w:rPr>
          <w:bCs/>
          <w:b/>
        </w:rPr>
        <w:t xml:space="preserve">Home loan:</w:t>
      </w:r>
      <w:r>
        <w:t xml:space="preserve"> </w:t>
      </w:r>
      <w:r>
        <w:t xml:space="preserve">account, sanction date and amount, purpose, property and possession date; financial-year</w:t>
      </w:r>
      <w:r>
        <w:t xml:space="preserve"> </w:t>
      </w:r>
      <w:r>
        <w:rPr>
          <w:bCs/>
          <w:b/>
        </w:rPr>
        <w:t xml:space="preserve">principal (s.123, Schedule XV)</w:t>
      </w:r>
      <w:r>
        <w:t xml:space="preserve"> </w:t>
      </w:r>
      <w:r>
        <w:t xml:space="preserve">and</w:t>
      </w:r>
      <w:r>
        <w:t xml:space="preserve"> </w:t>
      </w:r>
      <w:r>
        <w:rPr>
          <w:bCs/>
          <w:b/>
        </w:rPr>
        <w:t xml:space="preserve">interest (s.22)</w:t>
      </w:r>
      <w:r>
        <w:t xml:space="preserve">; pre-construction interest and the instalment year; legacy windows under s.130 and s.131 (s.131 only where stamp-duty value ≤ ₹45 lakh) flagged by sanction date; a note that ss.129–132 deductions are unavailable under the default regime (s.202) unless the taxpayer opts out.</w:t>
      </w:r>
    </w:p>
    <w:p>
      <w:pPr>
        <w:numPr>
          <w:ilvl w:val="0"/>
          <w:numId w:val="1331"/>
        </w:numPr>
        <w:pStyle w:val="Compact"/>
      </w:pPr>
      <w:r>
        <w:rPr>
          <w:bCs/>
          <w:b/>
        </w:rPr>
        <w:t xml:space="preserve">Education loan:</w:t>
      </w:r>
      <w:r>
        <w:t xml:space="preserve"> </w:t>
      </w:r>
      <w:r>
        <w:t xml:space="preserve">interest only (s.129), initial year plus 7 years; generated only if the lender meets the s.129 lender condition [VERIFY: whether an NBFC must be notified or approved].</w:t>
      </w:r>
    </w:p>
    <w:p>
      <w:pPr>
        <w:numPr>
          <w:ilvl w:val="0"/>
          <w:numId w:val="1331"/>
        </w:numPr>
        <w:pStyle w:val="Compact"/>
      </w:pPr>
      <w:r>
        <w:rPr>
          <w:bCs/>
          <w:b/>
        </w:rPr>
        <w:t xml:space="preserve">Electric-vehicle loan:</w:t>
      </w:r>
      <w:r>
        <w:t xml:space="preserve"> </w:t>
      </w:r>
      <w:r>
        <w:t xml:space="preserve">s.132 for legacy sanctions only.</w:t>
      </w:r>
    </w:p>
    <w:p>
      <w:pPr>
        <w:numPr>
          <w:ilvl w:val="0"/>
          <w:numId w:val="1331"/>
        </w:numPr>
        <w:pStyle w:val="Compact"/>
      </w:pPr>
      <w:r>
        <w:rPr>
          <w:rStyle w:val="VerbatimChar"/>
        </w:rPr>
        <w:t xml:space="preserve">InterestCertificateIssued</w:t>
      </w:r>
      <w:r>
        <w:t xml:space="preserve"> </w:t>
      </w:r>
      <w:r>
        <w:t xml:space="preserve">is emitted per certificate.</w:t>
      </w:r>
      <w:r>
        <w:t xml:space="preserve"> </w:t>
      </w:r>
      <w:r>
        <w:rPr>
          <w:bCs/>
          <w:b/>
        </w:rPr>
        <w:t xml:space="preserve">Udofin displays RE-signed certificates and never issues tax certificates in its own name.</w:t>
      </w:r>
    </w:p>
    <w:bookmarkEnd w:id="319"/>
    <w:bookmarkStart w:id="320" w:name="acceptance-tests-15"/>
    <w:p>
      <w:pPr>
        <w:pStyle w:val="Heading3"/>
      </w:pPr>
      <w:r>
        <w:t xml:space="preserve">Acceptance tests</w:t>
      </w:r>
    </w:p>
    <w:p>
      <w:pPr>
        <w:numPr>
          <w:ilvl w:val="0"/>
          <w:numId w:val="1332"/>
        </w:numPr>
        <w:pStyle w:val="Compact"/>
      </w:pPr>
      <w:r>
        <w:t xml:space="preserve">A vendor payment dated 25 Mar 2026 uses the 1961 Act code and Form 26Q; one dated 2 Apr 2026 uses s.393 and Form 140.</w:t>
      </w:r>
    </w:p>
    <w:p>
      <w:pPr>
        <w:numPr>
          <w:ilvl w:val="0"/>
          <w:numId w:val="1332"/>
        </w:numPr>
        <w:pStyle w:val="Compact"/>
      </w:pPr>
      <w:r>
        <w:t xml:space="preserve">The Q1 instance of Form 140 for tax year 2026-27 is due 31 Jul 2026; the Q4 instance is due 31 May 2027.</w:t>
      </w:r>
    </w:p>
    <w:p>
      <w:pPr>
        <w:numPr>
          <w:ilvl w:val="0"/>
          <w:numId w:val="1332"/>
        </w:numPr>
        <w:pStyle w:val="Compact"/>
      </w:pPr>
      <w:r>
        <w:t xml:space="preserve">A borrower’s ₹1,00,000 TDS deduction not visible in Form 168 keeps ₹1,00,000 of interest receivable open and creates a chase task.</w:t>
      </w:r>
    </w:p>
    <w:p>
      <w:pPr>
        <w:numPr>
          <w:ilvl w:val="0"/>
          <w:numId w:val="1332"/>
        </w:numPr>
        <w:pStyle w:val="Compact"/>
      </w:pPr>
      <w:r>
        <w:t xml:space="preserve">A home-loan certificate for joint borrowers in a 60:40 share splits principal and interest accordingly and carries both PANs.</w:t>
      </w:r>
    </w:p>
    <w:p>
      <w:pPr>
        <w:numPr>
          <w:ilvl w:val="0"/>
          <w:numId w:val="1332"/>
        </w:numPr>
        <w:pStyle w:val="Compact"/>
      </w:pPr>
      <w:r>
        <w:t xml:space="preserve">An education-loan certificate cannot be generated while the lender eligibility flag is unset.</w:t>
      </w:r>
    </w:p>
    <w:p>
      <w:pPr>
        <w:numPr>
          <w:ilvl w:val="0"/>
          <w:numId w:val="1332"/>
        </w:numPr>
        <w:pStyle w:val="Compact"/>
      </w:pPr>
      <w:r>
        <w:t xml:space="preserve">The</w:t>
      </w:r>
      <w:r>
        <w:t xml:space="preserve"> </w:t>
      </w:r>
      <w:r>
        <w:rPr>
          <w:rStyle w:val="VerbatimChar"/>
        </w:rPr>
        <w:t xml:space="preserve">TAX</w:t>
      </w:r>
      <w:r>
        <w:t xml:space="preserve"> </w:t>
      </w:r>
      <w:r>
        <w:t xml:space="preserve">book shows NPA interest on receipt basis only for a tenant whose class is notified.</w:t>
      </w:r>
    </w:p>
    <w:p>
      <w:r>
        <w:pict>
          <v:rect style="width:0;height:1.5pt" o:hralign="center" o:hrstd="t" o:hr="t"/>
        </w:pict>
      </w:r>
    </w:p>
    <w:bookmarkEnd w:id="320"/>
    <w:bookmarkEnd w:id="321"/>
    <w:bookmarkStart w:id="326" w:name="ac6.-tally-prime-and-erp-connectors"/>
    <w:p>
      <w:pPr>
        <w:pStyle w:val="Heading2"/>
      </w:pPr>
      <w:r>
        <w:t xml:space="preserve">AC6. Tally Prime and ERP connectors</w:t>
      </w:r>
    </w:p>
    <w:p>
      <w:pPr>
        <w:pStyle w:val="FirstParagraph"/>
      </w:pPr>
      <w:r>
        <w:rPr>
          <w:bCs/>
          <w:b/>
        </w:rPr>
        <w:t xml:space="preserve">Purpose.</w:t>
      </w:r>
      <w:r>
        <w:t xml:space="preserve"> </w:t>
      </w:r>
      <w:r>
        <w:t xml:space="preserve">Push Finbyx’s books to Tally Prime and ERPs that tenants keep for group consolidation or familiarity, safely and idempotently, while</w:t>
      </w:r>
      <w:r>
        <w:t xml:space="preserve"> </w:t>
      </w:r>
      <w:r>
        <w:rPr>
          <w:bCs/>
          <w:b/>
        </w:rPr>
        <w:t xml:space="preserve">Finbyx remains the book of record</w:t>
      </w:r>
      <w:r>
        <w:t xml:space="preserve"> </w:t>
      </w:r>
      <w:r>
        <w:t xml:space="preserve">(M10).</w:t>
      </w:r>
    </w:p>
    <w:bookmarkStart w:id="322" w:name="ac6.1-tally-local-agent"/>
    <w:p>
      <w:pPr>
        <w:pStyle w:val="Heading3"/>
      </w:pPr>
      <w:r>
        <w:t xml:space="preserve">AC6.1 Tally local agent</w:t>
      </w:r>
    </w:p>
    <w:p>
      <w:pPr>
        <w:numPr>
          <w:ilvl w:val="0"/>
          <w:numId w:val="1333"/>
        </w:numPr>
        <w:pStyle w:val="Compact"/>
      </w:pPr>
      <w:r>
        <w:rPr>
          <w:bCs/>
          <w:b/>
        </w:rPr>
        <w:t xml:space="preserve">Why an agent:</w:t>
      </w:r>
      <w:r>
        <w:t xml:space="preserve"> </w:t>
      </w:r>
      <w:r>
        <w:t xml:space="preserve">the TallyPrime HTTP listener (default port 9000) accepts XML or JSON requests and Tally’s documentation describes</w:t>
      </w:r>
      <w:r>
        <w:t xml:space="preserve"> </w:t>
      </w:r>
      <w:r>
        <w:rPr>
          <w:bCs/>
          <w:b/>
        </w:rPr>
        <w:t xml:space="preserve">no authentication</w:t>
      </w:r>
      <w:r>
        <w:t xml:space="preserve"> </w:t>
      </w:r>
      <w:r>
        <w:t xml:space="preserve">(help.tallysolutions.com, TallyPrime 7.0 integration). It must never be exposed to a network beyond the local host.</w:t>
      </w:r>
    </w:p>
    <w:p>
      <w:pPr>
        <w:numPr>
          <w:ilvl w:val="0"/>
          <w:numId w:val="1333"/>
        </w:numPr>
        <w:pStyle w:val="Compact"/>
      </w:pPr>
      <w:r>
        <w:rPr>
          <w:bCs/>
          <w:b/>
        </w:rPr>
        <w:t xml:space="preserve">Architecture:</w:t>
      </w:r>
      <w:r>
        <w:t xml:space="preserve"> </w:t>
      </w:r>
      <w:r>
        <w:t xml:space="preserve">a signed Finbyx Connector Agent (Windows service) installed on the Tally machine. It makes</w:t>
      </w:r>
      <w:r>
        <w:t xml:space="preserve"> </w:t>
      </w:r>
      <w:r>
        <w:rPr>
          <w:bCs/>
          <w:b/>
        </w:rPr>
        <w:t xml:space="preserve">outbound-only</w:t>
      </w:r>
      <w:r>
        <w:t xml:space="preserve"> </w:t>
      </w:r>
      <w:r>
        <w:t xml:space="preserve">mutually authenticated TLS connections to Finbyx, pulls signed export batches, verifies the batch signature, and posts to Tally on</w:t>
      </w:r>
      <w:r>
        <w:t xml:space="preserve"> </w:t>
      </w:r>
      <w:r>
        <w:rPr>
          <w:rStyle w:val="VerbatimChar"/>
        </w:rPr>
        <w:t xml:space="preserve">127.0.0.1:9000</w:t>
      </w:r>
      <w:r>
        <w:t xml:space="preserve">. No inbound port is opened; the agent’s device certificate is the only credential it holds and the tenant can revoke it.</w:t>
      </w:r>
    </w:p>
    <w:p>
      <w:pPr>
        <w:numPr>
          <w:ilvl w:val="0"/>
          <w:numId w:val="1333"/>
        </w:numPr>
        <w:pStyle w:val="Compact"/>
      </w:pPr>
      <w:r>
        <w:rPr>
          <w:bCs/>
          <w:b/>
        </w:rPr>
        <w:t xml:space="preserve">Protocol:</w:t>
      </w:r>
    </w:p>
    <w:p>
      <w:pPr>
        <w:numPr>
          <w:ilvl w:val="1"/>
          <w:numId w:val="1334"/>
        </w:numPr>
        <w:pStyle w:val="Compact"/>
      </w:pPr>
      <w:r>
        <w:rPr>
          <w:bCs/>
          <w:b/>
        </w:rPr>
        <w:t xml:space="preserve">TallyPrime 7.0 and later</w:t>
      </w:r>
      <w:r>
        <w:t xml:space="preserve"> </w:t>
      </w:r>
      <w:r>
        <w:t xml:space="preserve">(released 19 Dec 2025): native JSON (</w:t>
      </w:r>
      <w:r>
        <w:t xml:space="preserve">“</w:t>
      </w:r>
      <w:r>
        <w:t xml:space="preserve">JSONEx</w:t>
      </w:r>
      <w:r>
        <w:t xml:space="preserve">”</w:t>
      </w:r>
      <w:r>
        <w:t xml:space="preserve"> </w:t>
      </w:r>
      <w:r>
        <w:t xml:space="preserve">recommended) with headers</w:t>
      </w:r>
      <w:r>
        <w:t xml:space="preserve"> </w:t>
      </w:r>
      <w:r>
        <w:rPr>
          <w:rStyle w:val="VerbatimChar"/>
        </w:rPr>
        <w:t xml:space="preserve">content-type: application/json</w:t>
      </w:r>
      <w:r>
        <w:t xml:space="preserve">,</w:t>
      </w:r>
      <w:r>
        <w:t xml:space="preserve"> </w:t>
      </w:r>
      <w:r>
        <w:rPr>
          <w:rStyle w:val="VerbatimChar"/>
        </w:rPr>
        <w:t xml:space="preserve">version: 1</w:t>
      </w:r>
      <w:r>
        <w:t xml:space="preserve">,</w:t>
      </w:r>
      <w:r>
        <w:t xml:space="preserve"> </w:t>
      </w:r>
      <w:r>
        <w:rPr>
          <w:rStyle w:val="VerbatimChar"/>
        </w:rPr>
        <w:t xml:space="preserve">tallyrequest: Import</w:t>
      </w:r>
      <w:r>
        <w:t xml:space="preserve">,</w:t>
      </w:r>
      <w:r>
        <w:t xml:space="preserve"> </w:t>
      </w:r>
      <w:r>
        <w:rPr>
          <w:rStyle w:val="VerbatimChar"/>
        </w:rPr>
        <w:t xml:space="preserve">type: Data</w:t>
      </w:r>
      <w:r>
        <w:t xml:space="preserve">,</w:t>
      </w:r>
      <w:r>
        <w:t xml:space="preserve"> </w:t>
      </w:r>
      <w:r>
        <w:rPr>
          <w:rStyle w:val="VerbatimChar"/>
        </w:rPr>
        <w:t xml:space="preserve">id: Vouchers</w:t>
      </w:r>
      <w:r>
        <w:t xml:space="preserve"> </w:t>
      </w:r>
      <w:r>
        <w:t xml:space="preserve">or</w:t>
      </w:r>
      <w:r>
        <w:t xml:space="preserve"> </w:t>
      </w:r>
      <w:r>
        <w:rPr>
          <w:rStyle w:val="VerbatimChar"/>
        </w:rPr>
        <w:t xml:space="preserve">All Masters</w:t>
      </w:r>
      <w:r>
        <w:t xml:space="preserve">, optional</w:t>
      </w:r>
      <w:r>
        <w:t xml:space="preserve"> </w:t>
      </w:r>
      <w:r>
        <w:rPr>
          <w:rStyle w:val="VerbatimChar"/>
        </w:rPr>
        <w:t xml:space="preserve">detailed-response</w:t>
      </w:r>
      <w:r>
        <w:t xml:space="preserve">;</w:t>
      </w:r>
      <w:r>
        <w:t xml:space="preserve"> </w:t>
      </w:r>
      <w:r>
        <w:rPr>
          <w:rStyle w:val="VerbatimChar"/>
        </w:rPr>
        <w:t xml:space="preserve">svCurrentCompany</w:t>
      </w:r>
      <w:r>
        <w:t xml:space="preserve"> </w:t>
      </w:r>
      <w:r>
        <w:t xml:space="preserve">is always set so data cannot land in the wrong company.</w:t>
      </w:r>
    </w:p>
    <w:p>
      <w:pPr>
        <w:numPr>
          <w:ilvl w:val="1"/>
          <w:numId w:val="1334"/>
        </w:numPr>
        <w:pStyle w:val="Compact"/>
      </w:pPr>
      <w:r>
        <w:rPr>
          <w:bCs/>
          <w:b/>
        </w:rPr>
        <w:t xml:space="preserve">Earlier releases:</w:t>
      </w:r>
      <w:r>
        <w:t xml:space="preserve"> </w:t>
      </w:r>
      <w:r>
        <w:t xml:space="preserve">XML ENVELOPE (TALLYREQUEST Import, Data, Vouchers or All Masters).</w:t>
      </w:r>
    </w:p>
    <w:p>
      <w:pPr>
        <w:numPr>
          <w:ilvl w:val="1"/>
          <w:numId w:val="1334"/>
        </w:numPr>
        <w:pStyle w:val="Compact"/>
      </w:pPr>
      <w:r>
        <w:t xml:space="preserve">Exports use the</w:t>
      </w:r>
      <w:r>
        <w:t xml:space="preserve"> </w:t>
      </w:r>
      <w:r>
        <w:rPr>
          <w:rStyle w:val="VerbatimChar"/>
        </w:rPr>
        <w:t xml:space="preserve">Ledger</w:t>
      </w:r>
      <w:r>
        <w:t xml:space="preserve"> </w:t>
      </w:r>
      <w:r>
        <w:t xml:space="preserve">and voucher collections for reconciliation.</w:t>
      </w:r>
    </w:p>
    <w:p>
      <w:pPr>
        <w:numPr>
          <w:ilvl w:val="0"/>
          <w:numId w:val="1333"/>
        </w:numPr>
        <w:pStyle w:val="Compact"/>
      </w:pPr>
      <w:r>
        <w:rPr>
          <w:bCs/>
          <w:b/>
        </w:rPr>
        <w:t xml:space="preserve">Posting order:</w:t>
      </w:r>
      <w:r>
        <w:t xml:space="preserve"> </w:t>
      </w:r>
      <w:r>
        <w:t xml:space="preserve">groups → ledgers → cost categories and centres → voucher types → vouchers.</w:t>
      </w:r>
    </w:p>
    <w:p>
      <w:pPr>
        <w:numPr>
          <w:ilvl w:val="0"/>
          <w:numId w:val="1333"/>
        </w:numPr>
        <w:pStyle w:val="Compact"/>
      </w:pPr>
      <w:r>
        <w:rPr>
          <w:bCs/>
          <w:b/>
        </w:rPr>
        <w:t xml:space="preserve">Idempotency:</w:t>
      </w:r>
      <w:r>
        <w:t xml:space="preserve"> </w:t>
      </w:r>
      <w:r>
        <w:t xml:space="preserve">each voucher carries a GUID or REMOTEID derived from the Finbyx journal ID, so a re-sent batch alters, never duplicates; the agent parses CREATED, ALTERED and ERRORS counts and line errors, retries only failed items and parks repeat failures in a dead-letter queue with the Tally error.</w:t>
      </w:r>
    </w:p>
    <w:p>
      <w:pPr>
        <w:numPr>
          <w:ilvl w:val="0"/>
          <w:numId w:val="1333"/>
        </w:numPr>
        <w:pStyle w:val="Compact"/>
      </w:pPr>
      <w:r>
        <w:rPr>
          <w:bCs/>
          <w:b/>
        </w:rPr>
        <w:t xml:space="preserve">Batching:</w:t>
      </w:r>
      <w:r>
        <w:t xml:space="preserve"> </w:t>
      </w:r>
      <w:r>
        <w:t xml:space="preserve">moderate batch sizes (default 500 vouchers [REC]); Tally must be running with the company loaded, otherwise the batch waits with an alert.</w:t>
      </w:r>
    </w:p>
    <w:p>
      <w:pPr>
        <w:numPr>
          <w:ilvl w:val="0"/>
          <w:numId w:val="1333"/>
        </w:numPr>
        <w:pStyle w:val="Compact"/>
      </w:pPr>
      <w:r>
        <w:rPr>
          <w:bCs/>
          <w:b/>
        </w:rPr>
        <w:t xml:space="preserve">Modes:</w:t>
      </w:r>
      <w:r>
        <w:t xml:space="preserve"> </w:t>
      </w:r>
      <w:r>
        <w:t xml:space="preserve">detailed (one voucher per Finbyx journal) or summarised (daily summary vouchers per ledger and cost centre) per tenant.</w:t>
      </w:r>
    </w:p>
    <w:p>
      <w:pPr>
        <w:numPr>
          <w:ilvl w:val="0"/>
          <w:numId w:val="1333"/>
        </w:numPr>
        <w:pStyle w:val="Compact"/>
      </w:pPr>
      <w:r>
        <w:rPr>
          <w:bCs/>
          <w:b/>
        </w:rPr>
        <w:t xml:space="preserve">Reconciliation:</w:t>
      </w:r>
      <w:r>
        <w:t xml:space="preserve"> </w:t>
      </w:r>
      <w:r>
        <w:t xml:space="preserve">a daily trial-balance pull from Tally compared ledger by ledger with Finbyx</w:t>
      </w:r>
      <w:r>
        <w:t xml:space="preserve"> </w:t>
      </w:r>
      <w:r>
        <w:rPr>
          <w:rStyle w:val="VerbatimChar"/>
        </w:rPr>
        <w:t xml:space="preserve">STAT</w:t>
      </w:r>
      <w:r>
        <w:t xml:space="preserve">; any difference, including manual entries made directly in Tally, opens a break task. Breaks never flow back into Finbyx automatically.</w:t>
      </w:r>
    </w:p>
    <w:p>
      <w:pPr>
        <w:numPr>
          <w:ilvl w:val="0"/>
          <w:numId w:val="1333"/>
        </w:numPr>
        <w:pStyle w:val="Compact"/>
      </w:pPr>
      <w:r>
        <w:rPr>
          <w:bCs/>
          <w:b/>
        </w:rPr>
        <w:t xml:space="preserve">Agent hygiene:</w:t>
      </w:r>
      <w:r>
        <w:t xml:space="preserve"> </w:t>
      </w:r>
      <w:r>
        <w:t xml:space="preserve">code-signed binary, signature-verified auto-update, heartbeat, local log shipping to the tenant audit trail, version inventory for IS audit (Part 7D AU4).</w:t>
      </w:r>
    </w:p>
    <w:bookmarkEnd w:id="322"/>
    <w:bookmarkStart w:id="323" w:name="ac6.2-mapping"/>
    <w:p>
      <w:pPr>
        <w:pStyle w:val="Heading3"/>
      </w:pPr>
      <w:r>
        <w:t xml:space="preserve">AC6.2 Mapping</w:t>
      </w:r>
    </w:p>
    <w:p>
      <w:pPr>
        <w:pStyle w:val="FirstParagraph"/>
      </w:pPr>
      <w:r>
        <w:t xml:space="preserve">Versioned</w:t>
      </w:r>
      <w:r>
        <w:t xml:space="preserve"> </w:t>
      </w:r>
      <w:r>
        <w:rPr>
          <w:rStyle w:val="VerbatimChar"/>
        </w:rPr>
        <w:t xml:space="preserve">tally_map</w:t>
      </w:r>
      <w:r>
        <w:t xml:space="preserve"> </w:t>
      </w:r>
      <w:r>
        <w:t xml:space="preserve">from Finbyx chart of accounts and dimensions to Tally groups, ledgers, cost centres and voucher types, with GST details where the tenant still uses Tally for GST filing (Finbyx’s GST engine remains the recommended source [REC]). An unmapped account blocks the batch.</w:t>
      </w:r>
    </w:p>
    <w:bookmarkEnd w:id="323"/>
    <w:bookmarkStart w:id="324" w:name="ac6.3-other-erps"/>
    <w:p>
      <w:pPr>
        <w:pStyle w:val="Heading3"/>
      </w:pPr>
      <w:r>
        <w:t xml:space="preserve">AC6.3 Other ERPs</w:t>
      </w:r>
    </w:p>
    <w:p>
      <w:pPr>
        <w:pStyle w:val="FirstParagraph"/>
      </w:pPr>
      <w:r>
        <w:t xml:space="preserve">SAP S/4HANA (OData journal-entry APIs), SAP Business One (Service Layer) and Zoho Books follow the same contract (signed, numbered, idempotent batches; error parsing; daily TB reconciliation) as specified in M10 item 10 and R12.3. Generic CSV, XLSX, JSON and XML exports remain available.</w:t>
      </w:r>
    </w:p>
    <w:bookmarkEnd w:id="324"/>
    <w:bookmarkStart w:id="325" w:name="acceptance-tests-16"/>
    <w:p>
      <w:pPr>
        <w:pStyle w:val="Heading3"/>
      </w:pPr>
      <w:r>
        <w:t xml:space="preserve">Acceptance tests</w:t>
      </w:r>
    </w:p>
    <w:p>
      <w:pPr>
        <w:numPr>
          <w:ilvl w:val="0"/>
          <w:numId w:val="1335"/>
        </w:numPr>
        <w:pStyle w:val="Compact"/>
      </w:pPr>
      <w:r>
        <w:t xml:space="preserve">Port 9000 is not reachable from any host other than the Tally machine in the reference deployment; the agent refuses to start if its configured Tally endpoint is not a loopback address.</w:t>
      </w:r>
    </w:p>
    <w:p>
      <w:pPr>
        <w:numPr>
          <w:ilvl w:val="0"/>
          <w:numId w:val="1335"/>
        </w:numPr>
        <w:pStyle w:val="Compact"/>
      </w:pPr>
      <w:r>
        <w:t xml:space="preserve">Sending the same batch twice results in one set of vouchers (ALTERED count equals the batch size on the second send).</w:t>
      </w:r>
    </w:p>
    <w:p>
      <w:pPr>
        <w:numPr>
          <w:ilvl w:val="0"/>
          <w:numId w:val="1335"/>
        </w:numPr>
        <w:pStyle w:val="Compact"/>
      </w:pPr>
      <w:r>
        <w:t xml:space="preserve">A batch for company A is rejected by the agent if</w:t>
      </w:r>
      <w:r>
        <w:t xml:space="preserve"> </w:t>
      </w:r>
      <w:r>
        <w:rPr>
          <w:rStyle w:val="VerbatimChar"/>
        </w:rPr>
        <w:t xml:space="preserve">svCurrentCompany</w:t>
      </w:r>
      <w:r>
        <w:t xml:space="preserve"> </w:t>
      </w:r>
      <w:r>
        <w:t xml:space="preserve">does not match the company mapped to the tenant entity.</w:t>
      </w:r>
    </w:p>
    <w:p>
      <w:pPr>
        <w:numPr>
          <w:ilvl w:val="0"/>
          <w:numId w:val="1335"/>
        </w:numPr>
        <w:pStyle w:val="Compact"/>
      </w:pPr>
      <w:r>
        <w:t xml:space="preserve">A manual voucher entered in Tally appears as a break in the next daily reconciliation.</w:t>
      </w:r>
    </w:p>
    <w:p>
      <w:pPr>
        <w:numPr>
          <w:ilvl w:val="0"/>
          <w:numId w:val="1335"/>
        </w:numPr>
        <w:pStyle w:val="Compact"/>
      </w:pPr>
      <w:r>
        <w:t xml:space="preserve">A tampered batch (signature mismatch) is refused and logged.</w:t>
      </w:r>
    </w:p>
    <w:p>
      <w:r>
        <w:pict>
          <v:rect style="width:0;height:1.5pt" o:hralign="center" o:hrstd="t" o:hr="t"/>
        </w:pict>
      </w:r>
    </w:p>
    <w:bookmarkEnd w:id="325"/>
    <w:bookmarkEnd w:id="326"/>
    <w:bookmarkStart w:id="332" w:name="X586cb44f38834309403c36364ea434233fbf684"/>
    <w:p>
      <w:pPr>
        <w:pStyle w:val="Heading2"/>
      </w:pPr>
      <w:r>
        <w:t xml:space="preserve">AC7. Statutory audit trail, books backup and record retention</w:t>
      </w:r>
    </w:p>
    <w:p>
      <w:pPr>
        <w:pStyle w:val="FirstParagraph"/>
      </w:pPr>
      <w:r>
        <w:rPr>
          <w:bCs/>
          <w:b/>
        </w:rPr>
        <w:t xml:space="preserve">Purpose.</w:t>
      </w:r>
      <w:r>
        <w:t xml:space="preserve"> </w:t>
      </w:r>
      <w:r>
        <w:t xml:space="preserve">Make Finbyx’s books meet the Companies Act audit-trail, India-backup and retention rules and the RBI forensic-trail expectations, with evidence that auditors can test. Extends the M19 audit trail and Part 10.4.</w:t>
      </w:r>
    </w:p>
    <w:bookmarkStart w:id="327" w:name="ac7.1-legal-requirements"/>
    <w:p>
      <w:pPr>
        <w:pStyle w:val="Heading3"/>
      </w:pPr>
      <w:r>
        <w:t xml:space="preserve">AC7.1 Legal requirements</w:t>
      </w:r>
    </w:p>
    <w:p>
      <w:pPr>
        <w:numPr>
          <w:ilvl w:val="0"/>
          <w:numId w:val="1336"/>
        </w:numPr>
        <w:pStyle w:val="Compact"/>
      </w:pPr>
      <w:r>
        <w:rPr>
          <w:bCs/>
          <w:b/>
        </w:rPr>
        <w:t xml:space="preserve">Edit log (CA13: Companies (Accounts) Rules 2014, r.3(1) proviso, from financial years beginning 1 Apr 2023):</w:t>
      </w:r>
      <w:r>
        <w:t xml:space="preserve"> </w:t>
      </w:r>
      <w:r>
        <w:t xml:space="preserve">accounting software must record an audit trail of each transaction, creating an edit log of each change with the date of the change, and the audit trail</w:t>
      </w:r>
      <w:r>
        <w:t xml:space="preserve"> </w:t>
      </w:r>
      <w:r>
        <w:rPr>
          <w:bCs/>
          <w:b/>
        </w:rPr>
        <w:t xml:space="preserve">cannot be disabled</w:t>
      </w:r>
      <w:r>
        <w:t xml:space="preserve">. Books must be accessible in India at all times (r.3(1)).</w:t>
      </w:r>
    </w:p>
    <w:p>
      <w:pPr>
        <w:numPr>
          <w:ilvl w:val="0"/>
          <w:numId w:val="1336"/>
        </w:numPr>
        <w:pStyle w:val="Compact"/>
      </w:pPr>
      <w:r>
        <w:rPr>
          <w:bCs/>
          <w:b/>
        </w:rPr>
        <w:t xml:space="preserve">Daily backup in India (r.3(5)):</w:t>
      </w:r>
      <w:r>
        <w:t xml:space="preserve"> </w:t>
      </w:r>
      <w:r>
        <w:t xml:space="preserve">backups of books and papers kept electronically are taken daily on servers physically located in India, even where a copy is kept abroad.</w:t>
      </w:r>
    </w:p>
    <w:p>
      <w:pPr>
        <w:numPr>
          <w:ilvl w:val="0"/>
          <w:numId w:val="1336"/>
        </w:numPr>
        <w:pStyle w:val="Compact"/>
      </w:pPr>
      <w:r>
        <w:rPr>
          <w:bCs/>
          <w:b/>
        </w:rPr>
        <w:t xml:space="preserve">Registrar statement (r.3(6)):</w:t>
      </w:r>
      <w:r>
        <w:t xml:space="preserve"> </w:t>
      </w:r>
      <w:r>
        <w:t xml:space="preserve">an annual statement with the financial statements giving the service provider’s name, its internet protocol address and location, the cloud address where books are kept on cloud and, where the provider is outside India, the name and address of the person in India controlling the books (amended 5 Aug 2022, in force 11 Aug 2022).</w:t>
      </w:r>
    </w:p>
    <w:p>
      <w:pPr>
        <w:numPr>
          <w:ilvl w:val="0"/>
          <w:numId w:val="1336"/>
        </w:numPr>
        <w:pStyle w:val="Compact"/>
      </w:pPr>
      <w:r>
        <w:rPr>
          <w:bCs/>
          <w:b/>
        </w:rPr>
        <w:t xml:space="preserve">Retention:</w:t>
      </w:r>
      <w:r>
        <w:t xml:space="preserve"> </w:t>
      </w:r>
      <w:r>
        <w:t xml:space="preserve">books for 8 financial years (CA13 s.128(5)).</w:t>
      </w:r>
    </w:p>
    <w:p>
      <w:pPr>
        <w:numPr>
          <w:ilvl w:val="0"/>
          <w:numId w:val="1336"/>
        </w:numPr>
        <w:pStyle w:val="Compact"/>
      </w:pPr>
      <w:r>
        <w:rPr>
          <w:bCs/>
          <w:b/>
        </w:rPr>
        <w:t xml:space="preserve">Auditor reporting (Companies (Audit and Auditors) Rules 2014, r.11(g)):</w:t>
      </w:r>
      <w:r>
        <w:t xml:space="preserve"> </w:t>
      </w:r>
      <w:r>
        <w:t xml:space="preserve">the auditor reports whether the audit trail feature operated throughout the year for all relevant transactions, was not tampered with, and was preserved.</w:t>
      </w:r>
    </w:p>
    <w:p>
      <w:pPr>
        <w:numPr>
          <w:ilvl w:val="0"/>
          <w:numId w:val="1336"/>
        </w:numPr>
        <w:pStyle w:val="Compact"/>
      </w:pPr>
      <w:r>
        <w:rPr>
          <w:bCs/>
          <w:b/>
        </w:rPr>
        <w:t xml:space="preserve">ICAI Implementation Guide on Rule 11(g) (revised January 2024) [ICAI]:</w:t>
      </w:r>
      <w:r>
        <w:t xml:space="preserve"> </w:t>
      </w:r>
      <w:r>
        <w:t xml:space="preserve">covers all software holding books of account, including payroll and sales sub-systems, and</w:t>
      </w:r>
      <w:r>
        <w:t xml:space="preserve"> </w:t>
      </w:r>
      <w:r>
        <w:rPr>
          <w:bCs/>
          <w:b/>
        </w:rPr>
        <w:t xml:space="preserve">database-level changes</w:t>
      </w:r>
      <w:r>
        <w:t xml:space="preserve">; voucher listings, error logs and last-change-only logs are insufficient; the trail must stay on all year (technical glitches are no excuse); backups do not substitute for the trail; auditors may rely on SOC 1, SOC 2 or SAE 3402 reports for service organisations (SA 402).</w:t>
      </w:r>
    </w:p>
    <w:p>
      <w:pPr>
        <w:numPr>
          <w:ilvl w:val="0"/>
          <w:numId w:val="1336"/>
        </w:numPr>
        <w:pStyle w:val="Compact"/>
      </w:pPr>
      <w:r>
        <w:rPr>
          <w:bCs/>
          <w:b/>
        </w:rPr>
        <w:t xml:space="preserve">RBI:</w:t>
      </w:r>
      <w:r>
        <w:t xml:space="preserve"> </w:t>
      </w:r>
      <w:r>
        <w:t xml:space="preserve">critical applications keep forensic-grade, non-repudiable audit trails and logs are monitored (CYB 109–111); read-only audit mode for auditors and regulators (CYB 46, 57).</w:t>
      </w:r>
    </w:p>
    <w:bookmarkEnd w:id="327"/>
    <w:bookmarkStart w:id="328" w:name="ac7.2-design"/>
    <w:p>
      <w:pPr>
        <w:pStyle w:val="Heading3"/>
      </w:pPr>
      <w:r>
        <w:t xml:space="preserve">AC7.2 Design</w:t>
      </w:r>
    </w:p>
    <w:p>
      <w:pPr>
        <w:numPr>
          <w:ilvl w:val="0"/>
          <w:numId w:val="1337"/>
        </w:numPr>
        <w:pStyle w:val="Compact"/>
      </w:pPr>
      <w:r>
        <w:rPr>
          <w:bCs/>
          <w:b/>
        </w:rPr>
        <w:t xml:space="preserve">Scope inventory:</w:t>
      </w:r>
      <w:r>
        <w:t xml:space="preserve"> </w:t>
      </w:r>
      <w:r>
        <w:t xml:space="preserve">every table that forms books of account or drives postings (journals, postings, sub-ledgers, GL masters, posting rules, charge definitions, product versions, users and roles, period locks) and every sub-system holding books (client payroll in Part 7F GV6; connector batches in AC6).</w:t>
      </w:r>
    </w:p>
    <w:p>
      <w:pPr>
        <w:numPr>
          <w:ilvl w:val="0"/>
          <w:numId w:val="1337"/>
        </w:numPr>
        <w:pStyle w:val="Compact"/>
      </w:pPr>
      <w:r>
        <w:rPr>
          <w:bCs/>
          <w:b/>
        </w:rPr>
        <w:t xml:space="preserve">Capture at database level:</w:t>
      </w:r>
      <w:r>
        <w:t xml:space="preserve"> </w:t>
      </w:r>
      <w:r>
        <w:t xml:space="preserve">row-level triggers or logical-replication CDC write to an append-only</w:t>
      </w:r>
      <w:r>
        <w:t xml:space="preserve"> </w:t>
      </w:r>
      <w:r>
        <w:rPr>
          <w:rStyle w:val="VerbatimChar"/>
        </w:rPr>
        <w:t xml:space="preserve">audit_log</w:t>
      </w:r>
      <w:r>
        <w:t xml:space="preserve"> </w:t>
      </w:r>
      <w:r>
        <w:t xml:space="preserve">(tenant, table, primary key, operation, before and after values, transaction ID, database user, application user, session, channel, reason code, UTC and IST timestamps). Application context is attached through session variables so that both layers are recorded.</w:t>
      </w:r>
    </w:p>
    <w:p>
      <w:pPr>
        <w:numPr>
          <w:ilvl w:val="0"/>
          <w:numId w:val="1337"/>
        </w:numPr>
        <w:pStyle w:val="Compact"/>
      </w:pPr>
      <w:r>
        <w:rPr>
          <w:bCs/>
          <w:b/>
        </w:rPr>
        <w:t xml:space="preserve">Append-only and reversal-only:</w:t>
      </w:r>
      <w:r>
        <w:t xml:space="preserve"> </w:t>
      </w:r>
      <w:r>
        <w:t xml:space="preserve">no UPDATE or DELETE on posted journal rows; corrections only by reversal and re-posting (M10 item 2); masters versioned.</w:t>
      </w:r>
    </w:p>
    <w:p>
      <w:pPr>
        <w:numPr>
          <w:ilvl w:val="0"/>
          <w:numId w:val="1337"/>
        </w:numPr>
        <w:pStyle w:val="Compact"/>
      </w:pPr>
      <w:r>
        <w:rPr>
          <w:bCs/>
          <w:b/>
        </w:rPr>
        <w:t xml:space="preserve">Hash chain and daily seal:</w:t>
      </w:r>
      <w:r>
        <w:t xml:space="preserve"> </w:t>
      </w:r>
      <w:r>
        <w:t xml:space="preserve">each</w:t>
      </w:r>
      <w:r>
        <w:t xml:space="preserve"> </w:t>
      </w:r>
      <w:r>
        <w:rPr>
          <w:rStyle w:val="VerbatimChar"/>
        </w:rPr>
        <w:t xml:space="preserve">audit_log</w:t>
      </w:r>
      <w:r>
        <w:t xml:space="preserve"> </w:t>
      </w:r>
      <w:r>
        <w:t xml:space="preserve">row carries the hash of the previous row in its tenant partition; a daily seal (Merkle root per tenant per day) is signed with a KMS key and written to WORM storage (object lock in compliance mode); optional external anchoring of the seal [REC].</w:t>
      </w:r>
    </w:p>
    <w:p>
      <w:pPr>
        <w:numPr>
          <w:ilvl w:val="0"/>
          <w:numId w:val="1337"/>
        </w:numPr>
        <w:pStyle w:val="Compact"/>
      </w:pPr>
      <w:r>
        <w:rPr>
          <w:bCs/>
          <w:b/>
        </w:rPr>
        <w:t xml:space="preserve">Cannot be disabled:</w:t>
      </w:r>
      <w:r>
        <w:t xml:space="preserve"> </w:t>
      </w:r>
      <w:r>
        <w:t xml:space="preserve">there is no configuration flag for the trail; triggers are owned by a dedicated database role that application and support roles cannot assume; DDL event triggers raise a P1 alert on any attempt to drop or alter capture objects; privileged database sessions are logged (pgaudit); a gap detector compares transaction sequences and WAL positions with captured rows. Any gap or capture failure raises a P1 incident and an entry in the Rule 11(g) exception register, which the auditor sees.</w:t>
      </w:r>
    </w:p>
    <w:p>
      <w:pPr>
        <w:numPr>
          <w:ilvl w:val="0"/>
          <w:numId w:val="1337"/>
        </w:numPr>
        <w:pStyle w:val="Compact"/>
      </w:pPr>
      <w:r>
        <w:rPr>
          <w:bCs/>
          <w:b/>
        </w:rPr>
        <w:t xml:space="preserve">Access:</w:t>
      </w:r>
      <w:r>
        <w:t xml:space="preserve"> </w:t>
      </w:r>
      <w:r>
        <w:t xml:space="preserve">time-boxed read-only audit-mode role and the auditor workspace (Part 7D AU7); every read of the trail is itself logged.</w:t>
      </w:r>
    </w:p>
    <w:p>
      <w:pPr>
        <w:numPr>
          <w:ilvl w:val="0"/>
          <w:numId w:val="1337"/>
        </w:numPr>
        <w:pStyle w:val="Compact"/>
      </w:pPr>
      <w:r>
        <w:rPr>
          <w:bCs/>
          <w:b/>
        </w:rPr>
        <w:t xml:space="preserve">Daily backup in India:</w:t>
      </w:r>
      <w:r>
        <w:t xml:space="preserve"> </w:t>
      </w:r>
      <w:r>
        <w:t xml:space="preserve">database and document backups at least daily to storage in an Indian region, with location, timestamp, size and hash recorded per backup; any copy abroad is additional, never a substitute (r.3(5)); quarterly restore tests with evidence (Part 10.3; Part 7L EO3). Customer-controlled backups (Part 7J) are in addition to, not instead of, this backup.</w:t>
      </w:r>
    </w:p>
    <w:p>
      <w:pPr>
        <w:numPr>
          <w:ilvl w:val="0"/>
          <w:numId w:val="1337"/>
        </w:numPr>
        <w:pStyle w:val="Compact"/>
      </w:pPr>
      <w:r>
        <w:rPr>
          <w:bCs/>
          <w:b/>
        </w:rPr>
        <w:t xml:space="preserve">Rule 3(6) data:</w:t>
      </w:r>
      <w:r>
        <w:t xml:space="preserve"> </w:t>
      </w:r>
      <w:r>
        <w:t xml:space="preserve">per tenant per financial year, generated from the infrastructure inventory: service provider name, IP address and location, server and backup locations, cloud address and the India contact; published in Finbyx’s vendor assurance pack (Part 10.6) so the tenant can file it with its financial statements.</w:t>
      </w:r>
    </w:p>
    <w:bookmarkEnd w:id="328"/>
    <w:bookmarkStart w:id="329" w:name="ac7.3-rule-11g-evidence-pack"/>
    <w:p>
      <w:pPr>
        <w:pStyle w:val="Heading3"/>
      </w:pPr>
      <w:r>
        <w:t xml:space="preserve">AC7.3 Rule 11(g) evidence pack</w:t>
      </w:r>
    </w:p>
    <w:p>
      <w:pPr>
        <w:pStyle w:val="FirstParagraph"/>
      </w:pPr>
      <w:r>
        <w:t xml:space="preserve">Software inventory of book-holding systems; configuration snapshots showing capture enabled throughout the year; daily seal verification report for the year; gap and exception register with root causes; privileged-access log review; user-access reviews; India backup log and restore-test results; Rule 3(6) data; Finbyx’s SOC report or bridge letter register [VERIFY: availability; Part 7L EO5]; a draft management representation on the audit trail. The pack is produced per entity per year and on demand.</w:t>
      </w:r>
    </w:p>
    <w:bookmarkEnd w:id="329"/>
    <w:bookmarkStart w:id="330" w:name="X3aa432b4baba7584eb2d3d2c72024e770b7d7e6"/>
    <w:p>
      <w:pPr>
        <w:pStyle w:val="Heading3"/>
      </w:pPr>
      <w:r>
        <w:t xml:space="preserve">AC7.4 Retention schedule (minimums; the longest applicable period wins)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071"/>
        <w:gridCol w:w="3283"/>
        <w:gridCol w:w="3284"/>
      </w:tblGrid>
      <w:tr>
        <w:trPr>
          <w:tblHeader w:val="true"/>
          <w:tblHeader w:val="true"/>
        </w:trPr>
        <w:tc>
          <w:tcPr>
            <w:tcW w:w="3071" w:type="dxa"/>
            <w:shd w:val="clear" w:color="auto" w:fill="1F3A5F"/>
          </w:tcPr>
          <w:p>
            <w:pPr>
              <w:pStyle w:val="Compact"/>
              <w:spacing w:after="40"/>
              <w:jc w:val="left"/>
            </w:pPr>
            <w:r>
              <w:rPr>
                <w:b/>
                <w:color w:val="FFFFFF"/>
                <w:sz w:val="18"/>
              </w:rPr>
              <w:t xml:space="preserve">Record class</w:t>
            </w:r>
          </w:p>
        </w:tc>
        <w:tc>
          <w:tcPr>
            <w:tcW w:w="3283" w:type="dxa"/>
            <w:shd w:val="clear" w:color="auto" w:fill="1F3A5F"/>
          </w:tcPr>
          <w:p>
            <w:pPr>
              <w:pStyle w:val="Compact"/>
              <w:spacing w:after="40"/>
              <w:jc w:val="left"/>
            </w:pPr>
            <w:r>
              <w:rPr>
                <w:b/>
                <w:color w:val="FFFFFF"/>
                <w:sz w:val="18"/>
              </w:rPr>
              <w:t xml:space="preserve">Minimum retention</w:t>
            </w:r>
          </w:p>
        </w:tc>
        <w:tc>
          <w:tcPr>
            <w:tcW w:w="3284" w:type="dxa"/>
            <w:shd w:val="clear" w:color="auto" w:fill="1F3A5F"/>
          </w:tcPr>
          <w:p>
            <w:pPr>
              <w:pStyle w:val="Compact"/>
              <w:spacing w:after="40"/>
              <w:jc w:val="left"/>
            </w:pPr>
            <w:r>
              <w:rPr>
                <w:b/>
                <w:color w:val="FFFFFF"/>
                <w:sz w:val="18"/>
              </w:rPr>
              <w:t xml:space="preserve">Basis</w:t>
            </w:r>
          </w:p>
        </w:tc>
      </w:tr>
      <w:tr>
        <w:tc>
          <w:tcPr>
            <w:tcW w:w="3071" w:type="dxa"/>
          </w:tcPr>
          <w:p>
            <w:pPr>
              <w:pStyle w:val="Compact"/>
              <w:spacing w:after="40"/>
              <w:jc w:val="left"/>
            </w:pPr>
            <w:r>
              <w:rPr>
                <w:sz w:val="18"/>
              </w:rPr>
              <w:t xml:space="preserve">Books of account and vouchers, audit trail</w:t>
            </w:r>
          </w:p>
        </w:tc>
        <w:tc>
          <w:tcPr>
            <w:tcW w:w="3283" w:type="dxa"/>
          </w:tcPr>
          <w:p>
            <w:pPr>
              <w:pStyle w:val="Compact"/>
              <w:spacing w:after="40"/>
              <w:jc w:val="left"/>
            </w:pPr>
            <w:r>
              <w:rPr>
                <w:sz w:val="18"/>
              </w:rPr>
              <w:t xml:space="preserve">8 financial years</w:t>
            </w:r>
          </w:p>
        </w:tc>
        <w:tc>
          <w:tcPr>
            <w:tcW w:w="3284" w:type="dxa"/>
          </w:tcPr>
          <w:p>
            <w:pPr>
              <w:pStyle w:val="Compact"/>
              <w:spacing w:after="40"/>
              <w:jc w:val="left"/>
            </w:pPr>
            <w:r>
              <w:rPr>
                <w:sz w:val="18"/>
              </w:rPr>
              <w:t xml:space="preserve">CA13 s.128(5); ICAI guide counts from 1 Apr 2023</w:t>
            </w:r>
          </w:p>
        </w:tc>
      </w:tr>
      <w:tr>
        <w:tc>
          <w:tcPr>
            <w:tcW w:w="3071" w:type="dxa"/>
          </w:tcPr>
          <w:p>
            <w:pPr>
              <w:pStyle w:val="Compact"/>
              <w:spacing w:after="40"/>
              <w:jc w:val="left"/>
            </w:pPr>
            <w:r>
              <w:rPr>
                <w:sz w:val="18"/>
              </w:rPr>
              <w:t xml:space="preserve">KYC identification records</w:t>
            </w:r>
          </w:p>
        </w:tc>
        <w:tc>
          <w:tcPr>
            <w:tcW w:w="3283" w:type="dxa"/>
          </w:tcPr>
          <w:p>
            <w:pPr>
              <w:pStyle w:val="Compact"/>
              <w:spacing w:after="40"/>
              <w:jc w:val="left"/>
            </w:pPr>
            <w:r>
              <w:rPr>
                <w:sz w:val="18"/>
              </w:rPr>
              <w:t xml:space="preserve">5 years after the relationship ends</w:t>
            </w:r>
          </w:p>
        </w:tc>
        <w:tc>
          <w:tcPr>
            <w:tcW w:w="3284" w:type="dxa"/>
          </w:tcPr>
          <w:p>
            <w:pPr>
              <w:pStyle w:val="Compact"/>
              <w:spacing w:after="40"/>
              <w:jc w:val="left"/>
            </w:pPr>
            <w:r>
              <w:rPr>
                <w:sz w:val="18"/>
              </w:rPr>
              <w:t xml:space="preserve">KYC 47</w:t>
            </w:r>
          </w:p>
        </w:tc>
      </w:tr>
      <w:tr>
        <w:tc>
          <w:tcPr>
            <w:tcW w:w="3071" w:type="dxa"/>
          </w:tcPr>
          <w:p>
            <w:pPr>
              <w:pStyle w:val="Compact"/>
              <w:spacing w:after="40"/>
              <w:jc w:val="left"/>
            </w:pPr>
            <w:r>
              <w:rPr>
                <w:sz w:val="18"/>
              </w:rPr>
              <w:t xml:space="preserve">Transaction records</w:t>
            </w:r>
          </w:p>
        </w:tc>
        <w:tc>
          <w:tcPr>
            <w:tcW w:w="3283" w:type="dxa"/>
          </w:tcPr>
          <w:p>
            <w:pPr>
              <w:pStyle w:val="Compact"/>
              <w:spacing w:after="40"/>
              <w:jc w:val="left"/>
            </w:pPr>
            <w:r>
              <w:rPr>
                <w:sz w:val="18"/>
              </w:rPr>
              <w:t xml:space="preserve">5 years from the transaction</w:t>
            </w:r>
          </w:p>
        </w:tc>
        <w:tc>
          <w:tcPr>
            <w:tcW w:w="3284" w:type="dxa"/>
          </w:tcPr>
          <w:p>
            <w:pPr>
              <w:pStyle w:val="Compact"/>
              <w:spacing w:after="40"/>
              <w:jc w:val="left"/>
            </w:pPr>
            <w:r>
              <w:rPr>
                <w:sz w:val="18"/>
              </w:rPr>
              <w:t xml:space="preserve">KYC 47</w:t>
            </w:r>
          </w:p>
        </w:tc>
      </w:tr>
      <w:tr>
        <w:tc>
          <w:tcPr>
            <w:tcW w:w="3071" w:type="dxa"/>
          </w:tcPr>
          <w:p>
            <w:pPr>
              <w:pStyle w:val="Compact"/>
              <w:spacing w:after="40"/>
              <w:jc w:val="left"/>
            </w:pPr>
            <w:r>
              <w:rPr>
                <w:sz w:val="18"/>
              </w:rPr>
              <w:t xml:space="preserve">GST accounts and records</w:t>
            </w:r>
          </w:p>
        </w:tc>
        <w:tc>
          <w:tcPr>
            <w:tcW w:w="3283" w:type="dxa"/>
          </w:tcPr>
          <w:p>
            <w:pPr>
              <w:pStyle w:val="Compact"/>
              <w:spacing w:after="40"/>
              <w:jc w:val="left"/>
            </w:pPr>
            <w:r>
              <w:rPr>
                <w:sz w:val="18"/>
              </w:rPr>
              <w:t xml:space="preserve">72 months from the due date of the annual return</w:t>
            </w:r>
          </w:p>
        </w:tc>
        <w:tc>
          <w:tcPr>
            <w:tcW w:w="3284" w:type="dxa"/>
          </w:tcPr>
          <w:p>
            <w:pPr>
              <w:pStyle w:val="Compact"/>
              <w:spacing w:after="40"/>
              <w:jc w:val="left"/>
            </w:pPr>
            <w:r>
              <w:rPr>
                <w:sz w:val="18"/>
              </w:rPr>
              <w:t xml:space="preserve">GST: CGST Act s.36</w:t>
            </w:r>
          </w:p>
        </w:tc>
      </w:tr>
      <w:tr>
        <w:tc>
          <w:tcPr>
            <w:tcW w:w="3071" w:type="dxa"/>
          </w:tcPr>
          <w:p>
            <w:pPr>
              <w:pStyle w:val="Compact"/>
              <w:spacing w:after="40"/>
              <w:jc w:val="left"/>
            </w:pPr>
            <w:r>
              <w:rPr>
                <w:sz w:val="18"/>
              </w:rPr>
              <w:t xml:space="preserve">Income-tax records</w:t>
            </w:r>
          </w:p>
        </w:tc>
        <w:tc>
          <w:tcPr>
            <w:tcW w:w="3283" w:type="dxa"/>
          </w:tcPr>
          <w:p>
            <w:pPr>
              <w:pStyle w:val="Compact"/>
              <w:spacing w:after="40"/>
              <w:jc w:val="left"/>
            </w:pPr>
            <w:r>
              <w:rPr>
                <w:sz w:val="18"/>
              </w:rPr>
              <w:t xml:space="preserve">Per ITA25 and Rules 2026 [VERIFY]</w:t>
            </w:r>
          </w:p>
        </w:tc>
        <w:tc>
          <w:tcPr>
            <w:tcW w:w="3284" w:type="dxa"/>
          </w:tcPr>
          <w:p>
            <w:pPr>
              <w:pStyle w:val="Compact"/>
              <w:spacing w:after="40"/>
              <w:jc w:val="left"/>
            </w:pPr>
            <w:r>
              <w:rPr>
                <w:sz w:val="18"/>
              </w:rPr>
              <w:t xml:space="preserve">ITA25</w:t>
            </w:r>
          </w:p>
        </w:tc>
      </w:tr>
      <w:tr>
        <w:tc>
          <w:tcPr>
            <w:tcW w:w="3071" w:type="dxa"/>
          </w:tcPr>
          <w:p>
            <w:pPr>
              <w:pStyle w:val="Compact"/>
              <w:spacing w:after="40"/>
              <w:jc w:val="left"/>
            </w:pPr>
            <w:r>
              <w:rPr>
                <w:sz w:val="18"/>
              </w:rPr>
              <w:t xml:space="preserve">Regulatory return evidence</w:t>
            </w:r>
          </w:p>
        </w:tc>
        <w:tc>
          <w:tcPr>
            <w:tcW w:w="3283" w:type="dxa"/>
          </w:tcPr>
          <w:p>
            <w:pPr>
              <w:pStyle w:val="Compact"/>
              <w:spacing w:after="40"/>
              <w:jc w:val="left"/>
            </w:pPr>
            <w:r>
              <w:rPr>
                <w:sz w:val="18"/>
              </w:rPr>
              <w:t xml:space="preserve">10 years from filing</w:t>
            </w:r>
          </w:p>
        </w:tc>
        <w:tc>
          <w:tcPr>
            <w:tcW w:w="3284" w:type="dxa"/>
          </w:tcPr>
          <w:p>
            <w:pPr>
              <w:pStyle w:val="Compact"/>
              <w:spacing w:after="40"/>
              <w:jc w:val="left"/>
            </w:pPr>
            <w:r>
              <w:rPr>
                <w:sz w:val="18"/>
              </w:rPr>
              <w:t xml:space="preserve">[REC]; Part 7B RR5.2</w:t>
            </w:r>
          </w:p>
        </w:tc>
      </w:tr>
      <w:tr>
        <w:tc>
          <w:tcPr>
            <w:tcW w:w="3071" w:type="dxa"/>
          </w:tcPr>
          <w:p>
            <w:pPr>
              <w:pStyle w:val="Compact"/>
              <w:spacing w:after="40"/>
              <w:jc w:val="left"/>
            </w:pPr>
            <w:r>
              <w:rPr>
                <w:sz w:val="18"/>
              </w:rPr>
              <w:t xml:space="preserve">CIC submission files and disputes</w:t>
            </w:r>
          </w:p>
        </w:tc>
        <w:tc>
          <w:tcPr>
            <w:tcW w:w="3283" w:type="dxa"/>
          </w:tcPr>
          <w:p>
            <w:pPr>
              <w:pStyle w:val="Compact"/>
              <w:spacing w:after="40"/>
              <w:jc w:val="left"/>
            </w:pPr>
            <w:r>
              <w:rPr>
                <w:sz w:val="18"/>
              </w:rPr>
              <w:t xml:space="preserve">10 years [REC]</w:t>
            </w:r>
          </w:p>
        </w:tc>
        <w:tc>
          <w:tcPr>
            <w:tcW w:w="3284" w:type="dxa"/>
          </w:tcPr>
          <w:p>
            <w:pPr>
              <w:pStyle w:val="Compact"/>
              <w:spacing w:after="40"/>
              <w:jc w:val="left"/>
            </w:pPr>
            <w:r>
              <w:rPr>
                <w:sz w:val="18"/>
              </w:rPr>
              <w:t xml:space="preserve">CICRA; CIR</w:t>
            </w:r>
          </w:p>
        </w:tc>
      </w:tr>
      <w:tr>
        <w:tc>
          <w:tcPr>
            <w:tcW w:w="3071" w:type="dxa"/>
          </w:tcPr>
          <w:p>
            <w:pPr>
              <w:pStyle w:val="Compact"/>
              <w:spacing w:after="40"/>
              <w:jc w:val="left"/>
            </w:pPr>
            <w:r>
              <w:rPr>
                <w:sz w:val="18"/>
              </w:rPr>
              <w:t xml:space="preserve">Secretarial audit files</w:t>
            </w:r>
          </w:p>
        </w:tc>
        <w:tc>
          <w:tcPr>
            <w:tcW w:w="3283" w:type="dxa"/>
          </w:tcPr>
          <w:p>
            <w:pPr>
              <w:pStyle w:val="Compact"/>
              <w:spacing w:after="40"/>
              <w:jc w:val="left"/>
            </w:pPr>
            <w:r>
              <w:rPr>
                <w:sz w:val="18"/>
              </w:rPr>
              <w:t xml:space="preserve">8 years</w:t>
            </w:r>
          </w:p>
        </w:tc>
        <w:tc>
          <w:tcPr>
            <w:tcW w:w="3284" w:type="dxa"/>
          </w:tcPr>
          <w:p>
            <w:pPr>
              <w:pStyle w:val="Compact"/>
              <w:spacing w:after="40"/>
              <w:jc w:val="left"/>
            </w:pPr>
            <w:r>
              <w:rPr>
                <w:sz w:val="18"/>
              </w:rPr>
              <w:t xml:space="preserve">ICSI CSAS-2 (Part 7D AU6)</w:t>
            </w:r>
          </w:p>
        </w:tc>
      </w:tr>
    </w:tbl>
    <w:p>
      <w:pPr>
        <w:numPr>
          <w:ilvl w:val="0"/>
          <w:numId w:val="1338"/>
        </w:numPr>
        <w:pStyle w:val="Compact"/>
      </w:pPr>
      <w:r>
        <w:rPr>
          <w:bCs/>
          <w:b/>
        </w:rPr>
        <w:t xml:space="preserve">Legal hold</w:t>
      </w:r>
      <w:r>
        <w:t xml:space="preserve"> </w:t>
      </w:r>
      <w:r>
        <w:t xml:space="preserve">suspends deletion for any record linked to litigation, investigation or supervisory query.</w:t>
      </w:r>
    </w:p>
    <w:p>
      <w:pPr>
        <w:numPr>
          <w:ilvl w:val="0"/>
          <w:numId w:val="1338"/>
        </w:numPr>
        <w:pStyle w:val="Compact"/>
      </w:pPr>
      <w:r>
        <w:rPr>
          <w:bCs/>
          <w:b/>
        </w:rPr>
        <w:t xml:space="preserve">DPDP:</w:t>
      </w:r>
      <w:r>
        <w:t xml:space="preserve"> </w:t>
      </w:r>
      <w:r>
        <w:t xml:space="preserve">an erasure request does not delete records whose retention is required by law; processing is restricted and the requester is told why (DPDP) [REC].</w:t>
      </w:r>
    </w:p>
    <w:p>
      <w:pPr>
        <w:numPr>
          <w:ilvl w:val="0"/>
          <w:numId w:val="1338"/>
        </w:numPr>
        <w:pStyle w:val="Compact"/>
      </w:pPr>
      <w:r>
        <w:t xml:space="preserve">Deletion at the end of retention is a logged, approved batch with a destruction certificate.</w:t>
      </w:r>
    </w:p>
    <w:bookmarkEnd w:id="330"/>
    <w:bookmarkStart w:id="331" w:name="acceptance-tests-17"/>
    <w:p>
      <w:pPr>
        <w:pStyle w:val="Heading3"/>
      </w:pPr>
      <w:r>
        <w:t xml:space="preserve">Acceptance tests</w:t>
      </w:r>
    </w:p>
    <w:p>
      <w:pPr>
        <w:numPr>
          <w:ilvl w:val="0"/>
          <w:numId w:val="1339"/>
        </w:numPr>
        <w:pStyle w:val="Compact"/>
      </w:pPr>
      <w:r>
        <w:t xml:space="preserve">Updating a posted journal row through any database role fails; a reversal is the only path.</w:t>
      </w:r>
    </w:p>
    <w:p>
      <w:pPr>
        <w:numPr>
          <w:ilvl w:val="0"/>
          <w:numId w:val="1339"/>
        </w:numPr>
        <w:pStyle w:val="Compact"/>
      </w:pPr>
      <w:r>
        <w:t xml:space="preserve">Disabling or dropping a capture trigger in a test environment raises a P1 alert within 5 minutes and creates a Rule 11(g) exception entry.</w:t>
      </w:r>
    </w:p>
    <w:p>
      <w:pPr>
        <w:numPr>
          <w:ilvl w:val="0"/>
          <w:numId w:val="1339"/>
        </w:numPr>
        <w:pStyle w:val="Compact"/>
      </w:pPr>
      <w:r>
        <w:t xml:space="preserve">Altering one historical</w:t>
      </w:r>
      <w:r>
        <w:t xml:space="preserve"> </w:t>
      </w:r>
      <w:r>
        <w:rPr>
          <w:rStyle w:val="VerbatimChar"/>
        </w:rPr>
        <w:t xml:space="preserve">audit_log</w:t>
      </w:r>
      <w:r>
        <w:t xml:space="preserve"> </w:t>
      </w:r>
      <w:r>
        <w:t xml:space="preserve">row breaks the hash chain, and the daily seal verification flags the exact row and date.</w:t>
      </w:r>
    </w:p>
    <w:p>
      <w:pPr>
        <w:numPr>
          <w:ilvl w:val="0"/>
          <w:numId w:val="1339"/>
        </w:numPr>
        <w:pStyle w:val="Compact"/>
      </w:pPr>
      <w:r>
        <w:t xml:space="preserve">The daily backup job writes to an Indian region every day of a 30-day test window; a missed day raises an incident.</w:t>
      </w:r>
    </w:p>
    <w:p>
      <w:pPr>
        <w:numPr>
          <w:ilvl w:val="0"/>
          <w:numId w:val="1339"/>
        </w:numPr>
        <w:pStyle w:val="Compact"/>
      </w:pPr>
      <w:r>
        <w:t xml:space="preserve">The Rule 3(6) statement for a tenant lists provider name, IP address, server and backup locations, cloud address and the India contact, matching the infrastructure inventory.</w:t>
      </w:r>
    </w:p>
    <w:p>
      <w:pPr>
        <w:numPr>
          <w:ilvl w:val="0"/>
          <w:numId w:val="1339"/>
        </w:numPr>
        <w:pStyle w:val="Compact"/>
      </w:pPr>
      <w:r>
        <w:t xml:space="preserve">A DPDP erasure request for a borrower with a loan closed 2 years ago restricts processing but retains KYC and ledger records, with a reason given.</w:t>
      </w:r>
    </w:p>
    <w:p>
      <w:r>
        <w:pict>
          <v:rect style="width:0;height:1.5pt" o:hralign="center" o:hrstd="t" o:hr="t"/>
        </w:pict>
      </w:r>
    </w:p>
    <w:bookmarkEnd w:id="331"/>
    <w:bookmarkEnd w:id="332"/>
    <w:bookmarkStart w:id="336" w:name="X55e128e8887eff98a9509689bbdc55c9ef93116"/>
    <w:p>
      <w:pPr>
        <w:pStyle w:val="Heading2"/>
      </w:pPr>
      <w:r>
        <w:t xml:space="preserve">AC8. Settings, menus and screens (workspace I — Finance and Accounts)</w:t>
      </w:r>
    </w:p>
    <w:p>
      <w:pPr>
        <w:pStyle w:val="FirstParagraph"/>
      </w:pPr>
      <w:r>
        <w:rPr>
          <w:bCs/>
          <w:b/>
        </w:rPr>
        <w:t xml:space="preserve">Purpose.</w:t>
      </w:r>
      <w:r>
        <w:t xml:space="preserve"> </w:t>
      </w:r>
      <w:r>
        <w:t xml:space="preserve">One finance workspace for close, statements, tax and connectors. Every setting is effective-dated, changed under maker-checker and audited; floors are enforced server-side (403</w:t>
      </w:r>
      <w:r>
        <w:t xml:space="preserve"> </w:t>
      </w:r>
      <w:r>
        <w:rPr>
          <w:rStyle w:val="VerbatimChar"/>
        </w:rPr>
        <w:t xml:space="preserve">floor_violation</w:t>
      </w:r>
      <w:r>
        <w:t xml:space="preserve"> </w:t>
      </w:r>
      <w:r>
        <w:t xml:space="preserve">with the citation).</w:t>
      </w:r>
    </w:p>
    <w:bookmarkStart w:id="333" w:name="ac8.1-settings-and-options"/>
    <w:p>
      <w:pPr>
        <w:pStyle w:val="Heading3"/>
      </w:pPr>
      <w:r>
        <w:t xml:space="preserve">AC8.1 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92"/>
        <w:gridCol w:w="1300"/>
        <w:gridCol w:w="2951"/>
        <w:gridCol w:w="2625"/>
        <w:gridCol w:w="1170"/>
      </w:tblGrid>
      <w:tr>
        <w:trPr>
          <w:tblHeader w:val="true"/>
          <w:tblHeader w:val="true"/>
        </w:trPr>
        <w:tc>
          <w:tcPr>
            <w:tcW w:w="1592" w:type="dxa"/>
            <w:shd w:val="clear" w:color="auto" w:fill="1F3A5F"/>
          </w:tcPr>
          <w:p>
            <w:pPr>
              <w:pStyle w:val="Compact"/>
              <w:spacing w:after="40"/>
              <w:jc w:val="left"/>
            </w:pPr>
            <w:r>
              <w:rPr>
                <w:b/>
                <w:color w:val="FFFFFF"/>
                <w:sz w:val="18"/>
              </w:rPr>
              <w:t xml:space="preserve">Setting</w:t>
            </w:r>
          </w:p>
        </w:tc>
        <w:tc>
          <w:tcPr>
            <w:tcW w:w="1300" w:type="dxa"/>
            <w:shd w:val="clear" w:color="auto" w:fill="1F3A5F"/>
          </w:tcPr>
          <w:p>
            <w:pPr>
              <w:pStyle w:val="Compact"/>
              <w:spacing w:after="40"/>
              <w:jc w:val="left"/>
            </w:pPr>
            <w:r>
              <w:rPr>
                <w:b/>
                <w:color w:val="FFFFFF"/>
                <w:sz w:val="18"/>
              </w:rPr>
              <w:t xml:space="preserve">Level</w:t>
            </w:r>
          </w:p>
        </w:tc>
        <w:tc>
          <w:tcPr>
            <w:tcW w:w="2951" w:type="dxa"/>
            <w:shd w:val="clear" w:color="auto" w:fill="1F3A5F"/>
          </w:tcPr>
          <w:p>
            <w:pPr>
              <w:pStyle w:val="Compact"/>
              <w:spacing w:after="40"/>
              <w:jc w:val="left"/>
            </w:pPr>
            <w:r>
              <w:rPr>
                <w:b/>
                <w:color w:val="FFFFFF"/>
                <w:sz w:val="18"/>
              </w:rPr>
              <w:t xml:space="preserve">Default</w:t>
            </w:r>
          </w:p>
        </w:tc>
        <w:tc>
          <w:tcPr>
            <w:tcW w:w="2625" w:type="dxa"/>
            <w:shd w:val="clear" w:color="auto" w:fill="1F3A5F"/>
          </w:tcPr>
          <w:p>
            <w:pPr>
              <w:pStyle w:val="Compact"/>
              <w:spacing w:after="40"/>
              <w:jc w:val="left"/>
            </w:pPr>
            <w:r>
              <w:rPr>
                <w:b/>
                <w:color w:val="FFFFFF"/>
                <w:sz w:val="18"/>
              </w:rPr>
              <w:t xml:space="preserve">Floor or choice</w:t>
            </w:r>
          </w:p>
        </w:tc>
        <w:tc>
          <w:tcPr>
            <w:tcW w:w="1170" w:type="dxa"/>
            <w:shd w:val="clear" w:color="auto" w:fill="1F3A5F"/>
          </w:tcPr>
          <w:p>
            <w:pPr>
              <w:pStyle w:val="Compact"/>
              <w:spacing w:after="40"/>
              <w:jc w:val="left"/>
            </w:pPr>
            <w:r>
              <w:rPr>
                <w:b/>
                <w:color w:val="FFFFFF"/>
                <w:sz w:val="18"/>
              </w:rPr>
              <w:t xml:space="preserve">Basis</w:t>
            </w:r>
          </w:p>
        </w:tc>
      </w:tr>
      <w:tr>
        <w:tc>
          <w:tcPr>
            <w:tcW w:w="1592" w:type="dxa"/>
          </w:tcPr>
          <w:p>
            <w:pPr>
              <w:pStyle w:val="Compact"/>
              <w:spacing w:after="40"/>
              <w:jc w:val="left"/>
            </w:pPr>
            <w:r>
              <w:rPr>
                <w:sz w:val="18"/>
              </w:rPr>
              <w:t xml:space="preserve">Accounting framework</w:t>
            </w:r>
          </w:p>
        </w:tc>
        <w:tc>
          <w:tcPr>
            <w:tcW w:w="1300" w:type="dxa"/>
          </w:tcPr>
          <w:p>
            <w:pPr>
              <w:pStyle w:val="Compact"/>
              <w:spacing w:after="40"/>
              <w:jc w:val="left"/>
            </w:pPr>
            <w:r>
              <w:rPr>
                <w:sz w:val="18"/>
              </w:rPr>
              <w:t xml:space="preserve">Legal entity and year</w:t>
            </w:r>
          </w:p>
        </w:tc>
        <w:tc>
          <w:tcPr>
            <w:tcW w:w="2951" w:type="dxa"/>
          </w:tcPr>
          <w:p>
            <w:pPr>
              <w:pStyle w:val="Compact"/>
              <w:spacing w:after="40"/>
              <w:jc w:val="left"/>
            </w:pPr>
            <w:r>
              <w:rPr>
                <w:sz w:val="18"/>
              </w:rPr>
              <w:t xml:space="preserve">As resolved by AC1</w:t>
            </w:r>
          </w:p>
        </w:tc>
        <w:tc>
          <w:tcPr>
            <w:tcW w:w="2625" w:type="dxa"/>
          </w:tcPr>
          <w:p>
            <w:pPr>
              <w:pStyle w:val="Compact"/>
              <w:spacing w:after="40"/>
              <w:jc w:val="left"/>
            </w:pPr>
            <w:r>
              <w:rPr>
                <w:sz w:val="18"/>
              </w:rPr>
              <w:t xml:space="preserve">Floor: no manual override; a lawful voluntary choice (non-NBFC Ind AS adoption) is a recorded CFO election</w:t>
            </w:r>
          </w:p>
        </w:tc>
        <w:tc>
          <w:tcPr>
            <w:tcW w:w="1170" w:type="dxa"/>
          </w:tcPr>
          <w:p>
            <w:pPr>
              <w:pStyle w:val="Compact"/>
              <w:spacing w:after="40"/>
              <w:jc w:val="left"/>
            </w:pPr>
            <w:r>
              <w:rPr>
                <w:sz w:val="18"/>
              </w:rPr>
              <w:t xml:space="preserve">AC1</w:t>
            </w:r>
          </w:p>
        </w:tc>
      </w:tr>
      <w:tr>
        <w:tc>
          <w:tcPr>
            <w:tcW w:w="1592" w:type="dxa"/>
          </w:tcPr>
          <w:p>
            <w:pPr>
              <w:pStyle w:val="Compact"/>
              <w:spacing w:after="40"/>
              <w:jc w:val="left"/>
            </w:pPr>
            <w:r>
              <w:rPr>
                <w:sz w:val="18"/>
              </w:rPr>
              <w:t xml:space="preserve">Close calendar</w:t>
            </w:r>
          </w:p>
        </w:tc>
        <w:tc>
          <w:tcPr>
            <w:tcW w:w="1300" w:type="dxa"/>
          </w:tcPr>
          <w:p>
            <w:pPr>
              <w:pStyle w:val="Compact"/>
              <w:spacing w:after="40"/>
              <w:jc w:val="left"/>
            </w:pPr>
            <w:r>
              <w:rPr>
                <w:sz w:val="18"/>
              </w:rPr>
              <w:t xml:space="preserve">Legal entity</w:t>
            </w:r>
          </w:p>
        </w:tc>
        <w:tc>
          <w:tcPr>
            <w:tcW w:w="2951" w:type="dxa"/>
          </w:tcPr>
          <w:p>
            <w:pPr>
              <w:pStyle w:val="Compact"/>
              <w:spacing w:after="40"/>
              <w:jc w:val="left"/>
            </w:pPr>
            <w:r>
              <w:rPr>
                <w:sz w:val="18"/>
              </w:rPr>
              <w:t xml:space="preserve">Soft close on working day 3, lock on working day 7 (monthly); working day 10 at quarter-end</w:t>
            </w:r>
          </w:p>
        </w:tc>
        <w:tc>
          <w:tcPr>
            <w:tcW w:w="2625" w:type="dxa"/>
          </w:tcPr>
          <w:p>
            <w:pPr>
              <w:pStyle w:val="Compact"/>
              <w:spacing w:after="40"/>
              <w:jc w:val="left"/>
            </w:pPr>
            <w:r>
              <w:rPr>
                <w:sz w:val="18"/>
              </w:rPr>
              <w:t xml:space="preserve">Choice; quarter-end lock must leave time for the 21-day returns</w:t>
            </w:r>
          </w:p>
        </w:tc>
        <w:tc>
          <w:tcPr>
            <w:tcW w:w="1170" w:type="dxa"/>
          </w:tcPr>
          <w:p>
            <w:pPr>
              <w:pStyle w:val="Compact"/>
              <w:spacing w:after="40"/>
              <w:jc w:val="left"/>
            </w:pPr>
            <w:r>
              <w:rPr>
                <w:sz w:val="18"/>
              </w:rPr>
              <w:t xml:space="preserve">[REC]; SR 22</w:t>
            </w:r>
          </w:p>
        </w:tc>
      </w:tr>
      <w:tr>
        <w:tc>
          <w:tcPr>
            <w:tcW w:w="1592" w:type="dxa"/>
          </w:tcPr>
          <w:p>
            <w:pPr>
              <w:pStyle w:val="Compact"/>
              <w:spacing w:after="40"/>
              <w:jc w:val="left"/>
            </w:pPr>
            <w:r>
              <w:rPr>
                <w:sz w:val="18"/>
              </w:rPr>
              <w:t xml:space="preserve">Reopen policy</w:t>
            </w:r>
          </w:p>
        </w:tc>
        <w:tc>
          <w:tcPr>
            <w:tcW w:w="1300" w:type="dxa"/>
          </w:tcPr>
          <w:p>
            <w:pPr>
              <w:pStyle w:val="Compact"/>
              <w:spacing w:after="40"/>
              <w:jc w:val="left"/>
            </w:pPr>
            <w:r>
              <w:rPr>
                <w:sz w:val="18"/>
              </w:rPr>
              <w:t xml:space="preserve">Legal entity</w:t>
            </w:r>
          </w:p>
        </w:tc>
        <w:tc>
          <w:tcPr>
            <w:tcW w:w="2951" w:type="dxa"/>
          </w:tcPr>
          <w:p>
            <w:pPr>
              <w:pStyle w:val="Compact"/>
              <w:spacing w:after="40"/>
              <w:jc w:val="left"/>
            </w:pPr>
            <w:r>
              <w:rPr>
                <w:sz w:val="18"/>
              </w:rPr>
              <w:t xml:space="preserve">CFO approval, CCO concurrence where a return used the period</w:t>
            </w:r>
          </w:p>
        </w:tc>
        <w:tc>
          <w:tcPr>
            <w:tcW w:w="2625" w:type="dxa"/>
          </w:tcPr>
          <w:p>
            <w:pPr>
              <w:pStyle w:val="Compact"/>
              <w:spacing w:after="40"/>
              <w:jc w:val="left"/>
            </w:pPr>
            <w:r>
              <w:rPr>
                <w:sz w:val="18"/>
              </w:rPr>
              <w:t xml:space="preserve">Floor: no reopen after</w:t>
            </w:r>
            <w:r>
              <w:rPr>
                <w:sz w:val="18"/>
              </w:rPr>
              <w:t xml:space="preserve"> </w:t>
            </w:r>
            <w:r>
              <w:rPr>
                <w:rStyle w:val="VerbatimChar"/>
                <w:sz w:val="18"/>
              </w:rPr>
              <w:t xml:space="preserve">FINAL</w:t>
            </w:r>
            <w:r>
              <w:rPr>
                <w:sz w:val="18"/>
              </w:rPr>
              <w:t xml:space="preserve"> </w:t>
            </w:r>
            <w:r>
              <w:rPr>
                <w:sz w:val="18"/>
              </w:rPr>
              <w:t xml:space="preserve">statements or filed GST/TDS figures</w:t>
            </w:r>
          </w:p>
        </w:tc>
        <w:tc>
          <w:tcPr>
            <w:tcW w:w="1170" w:type="dxa"/>
          </w:tcPr>
          <w:p>
            <w:pPr>
              <w:pStyle w:val="Compact"/>
              <w:spacing w:after="40"/>
              <w:jc w:val="left"/>
            </w:pPr>
            <w:r>
              <w:rPr>
                <w:sz w:val="18"/>
              </w:rPr>
              <w:t xml:space="preserve">AC2.8</w:t>
            </w:r>
          </w:p>
        </w:tc>
      </w:tr>
      <w:tr>
        <w:tc>
          <w:tcPr>
            <w:tcW w:w="1592" w:type="dxa"/>
          </w:tcPr>
          <w:p>
            <w:pPr>
              <w:pStyle w:val="Compact"/>
              <w:spacing w:after="40"/>
              <w:jc w:val="left"/>
            </w:pPr>
            <w:r>
              <w:rPr>
                <w:sz w:val="18"/>
              </w:rPr>
              <w:t xml:space="preserve">Impairment Reserve job</w:t>
            </w:r>
          </w:p>
        </w:tc>
        <w:tc>
          <w:tcPr>
            <w:tcW w:w="1300" w:type="dxa"/>
          </w:tcPr>
          <w:p>
            <w:pPr>
              <w:pStyle w:val="Compact"/>
              <w:spacing w:after="40"/>
              <w:jc w:val="left"/>
            </w:pPr>
            <w:r>
              <w:rPr>
                <w:sz w:val="18"/>
              </w:rPr>
              <w:t xml:space="preserve">Legal entity (Ind AS NBFC)</w:t>
            </w:r>
          </w:p>
        </w:tc>
        <w:tc>
          <w:tcPr>
            <w:tcW w:w="2951" w:type="dxa"/>
          </w:tcPr>
          <w:p>
            <w:pPr>
              <w:pStyle w:val="Compact"/>
              <w:spacing w:after="40"/>
              <w:jc w:val="left"/>
            </w:pPr>
            <w:r>
              <w:rPr>
                <w:sz w:val="18"/>
              </w:rPr>
              <w:t xml:space="preserve">Quarterly, plus on demand</w:t>
            </w:r>
          </w:p>
        </w:tc>
        <w:tc>
          <w:tcPr>
            <w:tcW w:w="2625" w:type="dxa"/>
          </w:tcPr>
          <w:p>
            <w:pPr>
              <w:pStyle w:val="Compact"/>
              <w:spacing w:after="40"/>
              <w:jc w:val="left"/>
            </w:pPr>
            <w:r>
              <w:rPr>
                <w:sz w:val="18"/>
              </w:rPr>
              <w:t xml:space="preserve">Floor: at least quarterly; release only with a DoS permission reference</w:t>
            </w:r>
          </w:p>
        </w:tc>
        <w:tc>
          <w:tcPr>
            <w:tcW w:w="1170" w:type="dxa"/>
          </w:tcPr>
          <w:p>
            <w:pPr>
              <w:pStyle w:val="Compact"/>
              <w:spacing w:after="40"/>
              <w:jc w:val="left"/>
            </w:pPr>
            <w:r>
              <w:rPr>
                <w:sz w:val="18"/>
              </w:rPr>
              <w:t xml:space="preserve">IRACP 34–36</w:t>
            </w:r>
          </w:p>
        </w:tc>
      </w:tr>
      <w:tr>
        <w:tc>
          <w:tcPr>
            <w:tcW w:w="1592" w:type="dxa"/>
          </w:tcPr>
          <w:p>
            <w:pPr>
              <w:pStyle w:val="Compact"/>
              <w:spacing w:after="40"/>
              <w:jc w:val="left"/>
            </w:pPr>
            <w:r>
              <w:rPr>
                <w:sz w:val="18"/>
              </w:rPr>
              <w:t xml:space="preserve">ECL overlay and SICR rebuttal approvals</w:t>
            </w:r>
          </w:p>
        </w:tc>
        <w:tc>
          <w:tcPr>
            <w:tcW w:w="1300" w:type="dxa"/>
          </w:tcPr>
          <w:p>
            <w:pPr>
              <w:pStyle w:val="Compact"/>
              <w:spacing w:after="40"/>
              <w:jc w:val="left"/>
            </w:pPr>
            <w:r>
              <w:rPr>
                <w:sz w:val="18"/>
              </w:rPr>
              <w:t xml:space="preserve">Legal entity</w:t>
            </w:r>
          </w:p>
        </w:tc>
        <w:tc>
          <w:tcPr>
            <w:tcW w:w="2951" w:type="dxa"/>
          </w:tcPr>
          <w:p>
            <w:pPr>
              <w:pStyle w:val="Compact"/>
              <w:spacing w:after="40"/>
              <w:jc w:val="left"/>
            </w:pPr>
            <w:r>
              <w:rPr>
                <w:sz w:val="18"/>
              </w:rPr>
              <w:t xml:space="preserve">Audit Committee</w:t>
            </w:r>
          </w:p>
        </w:tc>
        <w:tc>
          <w:tcPr>
            <w:tcW w:w="2625" w:type="dxa"/>
          </w:tcPr>
          <w:p>
            <w:pPr>
              <w:pStyle w:val="Compact"/>
              <w:spacing w:after="40"/>
              <w:jc w:val="left"/>
            </w:pPr>
            <w:r>
              <w:rPr>
                <w:sz w:val="18"/>
              </w:rPr>
              <w:t xml:space="preserve">Floor</w:t>
            </w:r>
          </w:p>
        </w:tc>
        <w:tc>
          <w:tcPr>
            <w:tcW w:w="1170" w:type="dxa"/>
          </w:tcPr>
          <w:p>
            <w:pPr>
              <w:pStyle w:val="Compact"/>
              <w:spacing w:after="40"/>
              <w:jc w:val="left"/>
            </w:pPr>
            <w:r>
              <w:rPr>
                <w:sz w:val="18"/>
              </w:rPr>
              <w:t xml:space="preserve">FS 12(1)</w:t>
            </w:r>
          </w:p>
        </w:tc>
      </w:tr>
      <w:tr>
        <w:tc>
          <w:tcPr>
            <w:tcW w:w="1592" w:type="dxa"/>
          </w:tcPr>
          <w:p>
            <w:pPr>
              <w:pStyle w:val="Compact"/>
              <w:spacing w:after="40"/>
              <w:jc w:val="left"/>
            </w:pPr>
            <w:r>
              <w:rPr>
                <w:sz w:val="18"/>
              </w:rPr>
              <w:t xml:space="preserve">Bank ECL parallel run</w:t>
            </w:r>
          </w:p>
        </w:tc>
        <w:tc>
          <w:tcPr>
            <w:tcW w:w="1300" w:type="dxa"/>
          </w:tcPr>
          <w:p>
            <w:pPr>
              <w:pStyle w:val="Compact"/>
              <w:spacing w:after="40"/>
              <w:jc w:val="left"/>
            </w:pPr>
            <w:r>
              <w:rPr>
                <w:sz w:val="18"/>
              </w:rPr>
              <w:t xml:space="preserve">Legal entity (SCB)</w:t>
            </w:r>
          </w:p>
        </w:tc>
        <w:tc>
          <w:tcPr>
            <w:tcW w:w="2951" w:type="dxa"/>
          </w:tcPr>
          <w:p>
            <w:pPr>
              <w:pStyle w:val="Compact"/>
              <w:spacing w:after="40"/>
              <w:jc w:val="left"/>
            </w:pPr>
            <w:r>
              <w:rPr>
                <w:sz w:val="18"/>
              </w:rPr>
              <w:t xml:space="preserve">2 quarters before 1 Apr 2027</w:t>
            </w:r>
          </w:p>
        </w:tc>
        <w:tc>
          <w:tcPr>
            <w:tcW w:w="2625" w:type="dxa"/>
          </w:tcPr>
          <w:p>
            <w:pPr>
              <w:pStyle w:val="Compact"/>
              <w:spacing w:after="40"/>
              <w:jc w:val="left"/>
            </w:pPr>
            <w:r>
              <w:rPr>
                <w:sz w:val="18"/>
              </w:rPr>
              <w:t xml:space="preserve">Floor of 2 quarters [REC]</w:t>
            </w:r>
          </w:p>
        </w:tc>
        <w:tc>
          <w:tcPr>
            <w:tcW w:w="1170" w:type="dxa"/>
          </w:tcPr>
          <w:p>
            <w:pPr>
              <w:pStyle w:val="Compact"/>
              <w:spacing w:after="40"/>
              <w:jc w:val="left"/>
            </w:pPr>
            <w:r>
              <w:rPr>
                <w:sz w:val="18"/>
              </w:rPr>
              <w:t xml:space="preserve">AC2.6</w:t>
            </w:r>
          </w:p>
        </w:tc>
      </w:tr>
      <w:tr>
        <w:tc>
          <w:tcPr>
            <w:tcW w:w="1592" w:type="dxa"/>
          </w:tcPr>
          <w:p>
            <w:pPr>
              <w:pStyle w:val="Compact"/>
              <w:spacing w:after="40"/>
              <w:jc w:val="left"/>
            </w:pPr>
            <w:r>
              <w:rPr>
                <w:sz w:val="18"/>
              </w:rPr>
              <w:t xml:space="preserve">GL line-map changes</w:t>
            </w:r>
          </w:p>
        </w:tc>
        <w:tc>
          <w:tcPr>
            <w:tcW w:w="1300" w:type="dxa"/>
          </w:tcPr>
          <w:p>
            <w:pPr>
              <w:pStyle w:val="Compact"/>
              <w:spacing w:after="40"/>
              <w:jc w:val="left"/>
            </w:pPr>
            <w:r>
              <w:rPr>
                <w:sz w:val="18"/>
              </w:rPr>
              <w:t xml:space="preserve">Format version</w:t>
            </w:r>
          </w:p>
        </w:tc>
        <w:tc>
          <w:tcPr>
            <w:tcW w:w="2951" w:type="dxa"/>
          </w:tcPr>
          <w:p>
            <w:pPr>
              <w:pStyle w:val="Compact"/>
              <w:spacing w:after="40"/>
              <w:jc w:val="left"/>
            </w:pPr>
            <w:r>
              <w:rPr>
                <w:sz w:val="18"/>
              </w:rPr>
              <w:t xml:space="preserve">Maker-checker</w:t>
            </w:r>
          </w:p>
        </w:tc>
        <w:tc>
          <w:tcPr>
            <w:tcW w:w="2625" w:type="dxa"/>
          </w:tcPr>
          <w:p>
            <w:pPr>
              <w:pStyle w:val="Compact"/>
              <w:spacing w:after="40"/>
              <w:jc w:val="left"/>
            </w:pPr>
            <w:r>
              <w:rPr>
                <w:sz w:val="18"/>
              </w:rPr>
              <w:t xml:space="preserve">Floor: no orphan account</w:t>
            </w:r>
          </w:p>
        </w:tc>
        <w:tc>
          <w:tcPr>
            <w:tcW w:w="1170" w:type="dxa"/>
          </w:tcPr>
          <w:p>
            <w:pPr>
              <w:pStyle w:val="Compact"/>
              <w:spacing w:after="40"/>
              <w:jc w:val="left"/>
            </w:pPr>
            <w:r>
              <w:rPr>
                <w:sz w:val="18"/>
              </w:rPr>
              <w:t xml:space="preserve">AC3.1</w:t>
            </w:r>
          </w:p>
        </w:tc>
      </w:tr>
      <w:tr>
        <w:tc>
          <w:tcPr>
            <w:tcW w:w="1592" w:type="dxa"/>
          </w:tcPr>
          <w:p>
            <w:pPr>
              <w:pStyle w:val="Compact"/>
              <w:spacing w:after="40"/>
              <w:jc w:val="left"/>
            </w:pPr>
            <w:r>
              <w:rPr>
                <w:sz w:val="18"/>
              </w:rPr>
              <w:t xml:space="preserve">FS finalisation warning</w:t>
            </w:r>
          </w:p>
        </w:tc>
        <w:tc>
          <w:tcPr>
            <w:tcW w:w="1300" w:type="dxa"/>
          </w:tcPr>
          <w:p>
            <w:pPr>
              <w:pStyle w:val="Compact"/>
              <w:spacing w:after="40"/>
              <w:jc w:val="left"/>
            </w:pPr>
            <w:r>
              <w:rPr>
                <w:sz w:val="18"/>
              </w:rPr>
              <w:t xml:space="preserve">Legal entity</w:t>
            </w:r>
          </w:p>
        </w:tc>
        <w:tc>
          <w:tcPr>
            <w:tcW w:w="2951" w:type="dxa"/>
          </w:tcPr>
          <w:p>
            <w:pPr>
              <w:pStyle w:val="Compact"/>
              <w:spacing w:after="40"/>
              <w:jc w:val="left"/>
            </w:pPr>
            <w:r>
              <w:rPr>
                <w:sz w:val="18"/>
              </w:rPr>
              <w:t xml:space="preserve">Day 60 after 31 March</w:t>
            </w:r>
          </w:p>
        </w:tc>
        <w:tc>
          <w:tcPr>
            <w:tcW w:w="2625" w:type="dxa"/>
          </w:tcPr>
          <w:p>
            <w:pPr>
              <w:pStyle w:val="Compact"/>
              <w:spacing w:after="40"/>
              <w:jc w:val="left"/>
            </w:pPr>
            <w:r>
              <w:rPr>
                <w:sz w:val="18"/>
              </w:rPr>
              <w:t xml:space="preserve">Choice (earlier only)</w:t>
            </w:r>
          </w:p>
        </w:tc>
        <w:tc>
          <w:tcPr>
            <w:tcW w:w="1170" w:type="dxa"/>
          </w:tcPr>
          <w:p>
            <w:pPr>
              <w:pStyle w:val="Compact"/>
              <w:spacing w:after="40"/>
              <w:jc w:val="left"/>
            </w:pPr>
            <w:r>
              <w:rPr>
                <w:sz w:val="18"/>
              </w:rPr>
              <w:t xml:space="preserve">FS 9</w:t>
            </w:r>
          </w:p>
        </w:tc>
      </w:tr>
      <w:tr>
        <w:tc>
          <w:tcPr>
            <w:tcW w:w="1592" w:type="dxa"/>
          </w:tcPr>
          <w:p>
            <w:pPr>
              <w:pStyle w:val="Compact"/>
              <w:spacing w:after="40"/>
              <w:jc w:val="left"/>
            </w:pPr>
            <w:r>
              <w:rPr>
                <w:sz w:val="18"/>
              </w:rPr>
              <w:t xml:space="preserve">Charge GST treatment</w:t>
            </w:r>
          </w:p>
        </w:tc>
        <w:tc>
          <w:tcPr>
            <w:tcW w:w="1300" w:type="dxa"/>
          </w:tcPr>
          <w:p>
            <w:pPr>
              <w:pStyle w:val="Compact"/>
              <w:spacing w:after="40"/>
              <w:jc w:val="left"/>
            </w:pPr>
            <w:r>
              <w:rPr>
                <w:sz w:val="18"/>
              </w:rPr>
              <w:t xml:space="preserve">Charge definition</w:t>
            </w:r>
          </w:p>
        </w:tc>
        <w:tc>
          <w:tcPr>
            <w:tcW w:w="2951" w:type="dxa"/>
          </w:tcPr>
          <w:p>
            <w:pPr>
              <w:pStyle w:val="Compact"/>
              <w:spacing w:after="40"/>
              <w:jc w:val="left"/>
            </w:pPr>
            <w:r>
              <w:rPr>
                <w:sz w:val="18"/>
              </w:rPr>
              <w:t xml:space="preserve">None (activation blocked)</w:t>
            </w:r>
          </w:p>
        </w:tc>
        <w:tc>
          <w:tcPr>
            <w:tcW w:w="2625" w:type="dxa"/>
          </w:tcPr>
          <w:p>
            <w:pPr>
              <w:pStyle w:val="Compact"/>
              <w:spacing w:after="40"/>
              <w:jc w:val="left"/>
            </w:pPr>
            <w:r>
              <w:rPr>
                <w:sz w:val="18"/>
              </w:rPr>
              <w:t xml:space="preserve">Floor: every charge needs a treatment;</w:t>
            </w:r>
            <w:r>
              <w:rPr>
                <w:sz w:val="18"/>
              </w:rPr>
              <w:t xml:space="preserve"> </w:t>
            </w:r>
            <w:r>
              <w:rPr>
                <w:rStyle w:val="VerbatimChar"/>
                <w:sz w:val="18"/>
              </w:rPr>
              <w:t xml:space="preserve">PENAL_NO_GST</w:t>
            </w:r>
            <w:r>
              <w:rPr>
                <w:sz w:val="18"/>
              </w:rPr>
              <w:t xml:space="preserve"> </w:t>
            </w:r>
            <w:r>
              <w:rPr>
                <w:sz w:val="18"/>
              </w:rPr>
              <w:t xml:space="preserve">only for RBC 30 penal charges</w:t>
            </w:r>
          </w:p>
        </w:tc>
        <w:tc>
          <w:tcPr>
            <w:tcW w:w="1170" w:type="dxa"/>
          </w:tcPr>
          <w:p>
            <w:pPr>
              <w:pStyle w:val="Compact"/>
              <w:spacing w:after="40"/>
              <w:jc w:val="left"/>
            </w:pPr>
            <w:r>
              <w:rPr>
                <w:sz w:val="18"/>
              </w:rPr>
              <w:t xml:space="preserve">AC4.1</w:t>
            </w:r>
          </w:p>
        </w:tc>
      </w:tr>
      <w:tr>
        <w:tc>
          <w:tcPr>
            <w:tcW w:w="1592" w:type="dxa"/>
          </w:tcPr>
          <w:p>
            <w:pPr>
              <w:pStyle w:val="Compact"/>
              <w:spacing w:after="40"/>
              <w:jc w:val="left"/>
            </w:pPr>
            <w:r>
              <w:rPr>
                <w:sz w:val="18"/>
              </w:rPr>
              <w:t xml:space="preserve">Co-lending spread treatment</w:t>
            </w:r>
          </w:p>
        </w:tc>
        <w:tc>
          <w:tcPr>
            <w:tcW w:w="1300" w:type="dxa"/>
          </w:tcPr>
          <w:p>
            <w:pPr>
              <w:pStyle w:val="Compact"/>
              <w:spacing w:after="40"/>
              <w:jc w:val="left"/>
            </w:pPr>
            <w:r>
              <w:rPr>
                <w:sz w:val="18"/>
              </w:rPr>
              <w:t xml:space="preserve">Co-lending arrangement</w:t>
            </w:r>
          </w:p>
        </w:tc>
        <w:tc>
          <w:tcPr>
            <w:tcW w:w="2951" w:type="dxa"/>
          </w:tcPr>
          <w:p>
            <w:pPr>
              <w:pStyle w:val="Compact"/>
              <w:spacing w:after="40"/>
              <w:jc w:val="left"/>
            </w:pPr>
            <w:r>
              <w:rPr>
                <w:rStyle w:val="VerbatimChar"/>
                <w:sz w:val="18"/>
              </w:rPr>
              <w:t xml:space="preserve">TAXABLE_18</w:t>
            </w:r>
          </w:p>
        </w:tc>
        <w:tc>
          <w:tcPr>
            <w:tcW w:w="2625" w:type="dxa"/>
          </w:tcPr>
          <w:p>
            <w:pPr>
              <w:pStyle w:val="Compact"/>
              <w:spacing w:after="40"/>
              <w:jc w:val="left"/>
            </w:pPr>
            <w:r>
              <w:rPr>
                <w:sz w:val="18"/>
              </w:rPr>
              <w:t xml:space="preserve">Choice only with a recorded tax opinion</w:t>
            </w:r>
          </w:p>
        </w:tc>
        <w:tc>
          <w:tcPr>
            <w:tcW w:w="1170" w:type="dxa"/>
          </w:tcPr>
          <w:p>
            <w:pPr>
              <w:pStyle w:val="Compact"/>
              <w:spacing w:after="40"/>
              <w:jc w:val="left"/>
            </w:pPr>
            <w:r>
              <w:rPr>
                <w:sz w:val="18"/>
              </w:rPr>
              <w:t xml:space="preserve">AC4.1</w:t>
            </w:r>
          </w:p>
        </w:tc>
      </w:tr>
      <w:tr>
        <w:tc>
          <w:tcPr>
            <w:tcW w:w="1592" w:type="dxa"/>
          </w:tcPr>
          <w:p>
            <w:pPr>
              <w:pStyle w:val="Compact"/>
              <w:spacing w:after="40"/>
              <w:jc w:val="left"/>
            </w:pPr>
            <w:r>
              <w:rPr>
                <w:sz w:val="18"/>
              </w:rPr>
              <w:t xml:space="preserve">ITC option</w:t>
            </w:r>
          </w:p>
        </w:tc>
        <w:tc>
          <w:tcPr>
            <w:tcW w:w="1300" w:type="dxa"/>
          </w:tcPr>
          <w:p>
            <w:pPr>
              <w:pStyle w:val="Compact"/>
              <w:spacing w:after="40"/>
              <w:jc w:val="left"/>
            </w:pPr>
            <w:r>
              <w:rPr>
                <w:sz w:val="18"/>
              </w:rPr>
              <w:t xml:space="preserve">GSTIN and year</w:t>
            </w:r>
          </w:p>
        </w:tc>
        <w:tc>
          <w:tcPr>
            <w:tcW w:w="2951" w:type="dxa"/>
          </w:tcPr>
          <w:p>
            <w:pPr>
              <w:pStyle w:val="Compact"/>
              <w:spacing w:after="40"/>
              <w:jc w:val="left"/>
            </w:pPr>
            <w:r>
              <w:rPr>
                <w:sz w:val="18"/>
              </w:rPr>
              <w:t xml:space="preserve">Proportionate (s.17(2)) until elected</w:t>
            </w:r>
          </w:p>
        </w:tc>
        <w:tc>
          <w:tcPr>
            <w:tcW w:w="2625" w:type="dxa"/>
          </w:tcPr>
          <w:p>
            <w:pPr>
              <w:pStyle w:val="Compact"/>
              <w:spacing w:after="40"/>
              <w:jc w:val="left"/>
            </w:pPr>
            <w:r>
              <w:rPr>
                <w:sz w:val="18"/>
              </w:rPr>
              <w:t xml:space="preserve">Floor: locked for the year once the first GSTR-3B is prepared</w:t>
            </w:r>
          </w:p>
        </w:tc>
        <w:tc>
          <w:tcPr>
            <w:tcW w:w="1170" w:type="dxa"/>
          </w:tcPr>
          <w:p>
            <w:pPr>
              <w:pStyle w:val="Compact"/>
              <w:spacing w:after="40"/>
              <w:jc w:val="left"/>
            </w:pPr>
            <w:r>
              <w:rPr>
                <w:sz w:val="18"/>
              </w:rPr>
              <w:t xml:space="preserve">AC4.3</w:t>
            </w:r>
          </w:p>
        </w:tc>
      </w:tr>
      <w:tr>
        <w:tc>
          <w:tcPr>
            <w:tcW w:w="1592" w:type="dxa"/>
          </w:tcPr>
          <w:p>
            <w:pPr>
              <w:pStyle w:val="Compact"/>
              <w:spacing w:after="40"/>
              <w:jc w:val="left"/>
            </w:pPr>
            <w:r>
              <w:rPr>
                <w:sz w:val="18"/>
              </w:rPr>
              <w:t xml:space="preserve">IMS cut-off reminder</w:t>
            </w:r>
          </w:p>
        </w:tc>
        <w:tc>
          <w:tcPr>
            <w:tcW w:w="1300" w:type="dxa"/>
          </w:tcPr>
          <w:p>
            <w:pPr>
              <w:pStyle w:val="Compact"/>
              <w:spacing w:after="40"/>
              <w:jc w:val="left"/>
            </w:pPr>
            <w:r>
              <w:rPr>
                <w:sz w:val="18"/>
              </w:rPr>
              <w:t xml:space="preserve">GSTIN</w:t>
            </w:r>
          </w:p>
        </w:tc>
        <w:tc>
          <w:tcPr>
            <w:tcW w:w="2951" w:type="dxa"/>
          </w:tcPr>
          <w:p>
            <w:pPr>
              <w:pStyle w:val="Compact"/>
              <w:spacing w:after="40"/>
              <w:jc w:val="left"/>
            </w:pPr>
            <w:r>
              <w:rPr>
                <w:sz w:val="18"/>
              </w:rPr>
              <w:t xml:space="preserve">3 working days before the GSTR-2B cut-off</w:t>
            </w:r>
          </w:p>
        </w:tc>
        <w:tc>
          <w:tcPr>
            <w:tcW w:w="2625" w:type="dxa"/>
          </w:tcPr>
          <w:p>
            <w:pPr>
              <w:pStyle w:val="Compact"/>
              <w:spacing w:after="40"/>
              <w:jc w:val="left"/>
            </w:pPr>
            <w:r>
              <w:rPr>
                <w:sz w:val="18"/>
              </w:rPr>
              <w:t xml:space="preserve">Choice</w:t>
            </w:r>
          </w:p>
        </w:tc>
        <w:tc>
          <w:tcPr>
            <w:tcW w:w="1170" w:type="dxa"/>
          </w:tcPr>
          <w:p>
            <w:pPr>
              <w:pStyle w:val="Compact"/>
              <w:spacing w:after="40"/>
              <w:jc w:val="left"/>
            </w:pPr>
            <w:r>
              <w:rPr>
                <w:sz w:val="18"/>
              </w:rPr>
              <w:t xml:space="preserve">AC4.3</w:t>
            </w:r>
          </w:p>
        </w:tc>
      </w:tr>
      <w:tr>
        <w:tc>
          <w:tcPr>
            <w:tcW w:w="1592" w:type="dxa"/>
          </w:tcPr>
          <w:p>
            <w:pPr>
              <w:pStyle w:val="Compact"/>
              <w:spacing w:after="40"/>
              <w:jc w:val="left"/>
            </w:pPr>
            <w:r>
              <w:rPr>
                <w:sz w:val="18"/>
              </w:rPr>
              <w:t xml:space="preserve">TDS regime selection</w:t>
            </w:r>
          </w:p>
        </w:tc>
        <w:tc>
          <w:tcPr>
            <w:tcW w:w="1300" w:type="dxa"/>
          </w:tcPr>
          <w:p>
            <w:pPr>
              <w:pStyle w:val="Compact"/>
              <w:spacing w:after="40"/>
              <w:jc w:val="left"/>
            </w:pPr>
            <w:r>
              <w:rPr>
                <w:sz w:val="18"/>
              </w:rPr>
              <w:t xml:space="preserve">Legal entity</w:t>
            </w:r>
          </w:p>
        </w:tc>
        <w:tc>
          <w:tcPr>
            <w:tcW w:w="2951" w:type="dxa"/>
          </w:tcPr>
          <w:p>
            <w:pPr>
              <w:pStyle w:val="Compact"/>
              <w:spacing w:after="40"/>
              <w:jc w:val="left"/>
            </w:pPr>
            <w:r>
              <w:rPr>
                <w:sz w:val="18"/>
              </w:rPr>
              <w:t xml:space="preserve">By payment or credit date and tax year</w:t>
            </w:r>
          </w:p>
        </w:tc>
        <w:tc>
          <w:tcPr>
            <w:tcW w:w="2625" w:type="dxa"/>
          </w:tcPr>
          <w:p>
            <w:pPr>
              <w:pStyle w:val="Compact"/>
              <w:spacing w:after="40"/>
              <w:jc w:val="left"/>
            </w:pPr>
            <w:r>
              <w:rPr>
                <w:sz w:val="18"/>
              </w:rPr>
              <w:t xml:space="preserve">Floor</w:t>
            </w:r>
          </w:p>
        </w:tc>
        <w:tc>
          <w:tcPr>
            <w:tcW w:w="1170" w:type="dxa"/>
          </w:tcPr>
          <w:p>
            <w:pPr>
              <w:pStyle w:val="Compact"/>
              <w:spacing w:after="40"/>
              <w:jc w:val="left"/>
            </w:pPr>
            <w:r>
              <w:rPr>
                <w:sz w:val="18"/>
              </w:rPr>
              <w:t xml:space="preserve">AC5.1</w:t>
            </w:r>
          </w:p>
        </w:tc>
      </w:tr>
      <w:tr>
        <w:tc>
          <w:tcPr>
            <w:tcW w:w="1592" w:type="dxa"/>
          </w:tcPr>
          <w:p>
            <w:pPr>
              <w:pStyle w:val="Compact"/>
              <w:spacing w:after="40"/>
              <w:jc w:val="left"/>
            </w:pPr>
            <w:r>
              <w:rPr>
                <w:sz w:val="18"/>
              </w:rPr>
              <w:t xml:space="preserve">Borrower certificates</w:t>
            </w:r>
          </w:p>
        </w:tc>
        <w:tc>
          <w:tcPr>
            <w:tcW w:w="1300" w:type="dxa"/>
          </w:tcPr>
          <w:p>
            <w:pPr>
              <w:pStyle w:val="Compact"/>
              <w:spacing w:after="40"/>
              <w:jc w:val="left"/>
            </w:pPr>
            <w:r>
              <w:rPr>
                <w:sz w:val="18"/>
              </w:rPr>
              <w:t xml:space="preserve">Product</w:t>
            </w:r>
          </w:p>
        </w:tc>
        <w:tc>
          <w:tcPr>
            <w:tcW w:w="2951" w:type="dxa"/>
          </w:tcPr>
          <w:p>
            <w:pPr>
              <w:pStyle w:val="Compact"/>
              <w:spacing w:after="40"/>
              <w:jc w:val="left"/>
            </w:pPr>
            <w:r>
              <w:rPr>
                <w:sz w:val="18"/>
              </w:rPr>
              <w:t xml:space="preserve">Provisional on request; final within 15 days of year-end close [REC]; borrower’s language preference; portal, email and Udofin display</w:t>
            </w:r>
          </w:p>
        </w:tc>
        <w:tc>
          <w:tcPr>
            <w:tcW w:w="2625" w:type="dxa"/>
          </w:tcPr>
          <w:p>
            <w:pPr>
              <w:pStyle w:val="Compact"/>
              <w:spacing w:after="40"/>
              <w:jc w:val="left"/>
            </w:pPr>
            <w:r>
              <w:rPr>
                <w:sz w:val="18"/>
              </w:rPr>
              <w:t xml:space="preserve">Choice of channels and timing</w:t>
            </w:r>
          </w:p>
        </w:tc>
        <w:tc>
          <w:tcPr>
            <w:tcW w:w="1170" w:type="dxa"/>
          </w:tcPr>
          <w:p>
            <w:pPr>
              <w:pStyle w:val="Compact"/>
              <w:spacing w:after="40"/>
              <w:jc w:val="left"/>
            </w:pPr>
            <w:r>
              <w:rPr>
                <w:sz w:val="18"/>
              </w:rPr>
              <w:t xml:space="preserve">AC5.5</w:t>
            </w:r>
          </w:p>
        </w:tc>
      </w:tr>
      <w:tr>
        <w:tc>
          <w:tcPr>
            <w:tcW w:w="1592" w:type="dxa"/>
          </w:tcPr>
          <w:p>
            <w:pPr>
              <w:pStyle w:val="Compact"/>
              <w:spacing w:after="40"/>
              <w:jc w:val="left"/>
            </w:pPr>
            <w:r>
              <w:rPr>
                <w:rStyle w:val="VerbatimChar"/>
                <w:sz w:val="18"/>
              </w:rPr>
              <w:t xml:space="preserve">share_close_status_with_hub</w:t>
            </w:r>
          </w:p>
        </w:tc>
        <w:tc>
          <w:tcPr>
            <w:tcW w:w="1300" w:type="dxa"/>
          </w:tcPr>
          <w:p>
            <w:pPr>
              <w:pStyle w:val="Compact"/>
              <w:spacing w:after="40"/>
              <w:jc w:val="left"/>
            </w:pPr>
            <w:r>
              <w:rPr>
                <w:sz w:val="18"/>
              </w:rPr>
              <w:t xml:space="preserve">Tenant</w:t>
            </w:r>
          </w:p>
        </w:tc>
        <w:tc>
          <w:tcPr>
            <w:tcW w:w="2951" w:type="dxa"/>
          </w:tcPr>
          <w:p>
            <w:pPr>
              <w:pStyle w:val="Compact"/>
              <w:spacing w:after="40"/>
              <w:jc w:val="left"/>
            </w:pPr>
            <w:r>
              <w:rPr>
                <w:sz w:val="18"/>
              </w:rPr>
              <w:t xml:space="preserve">Off</w:t>
            </w:r>
          </w:p>
        </w:tc>
        <w:tc>
          <w:tcPr>
            <w:tcW w:w="2625" w:type="dxa"/>
          </w:tcPr>
          <w:p>
            <w:pPr>
              <w:pStyle w:val="Compact"/>
              <w:spacing w:after="40"/>
              <w:jc w:val="left"/>
            </w:pPr>
            <w:r>
              <w:rPr>
                <w:sz w:val="18"/>
              </w:rPr>
              <w:t xml:space="preserve">Choice; when on,</w:t>
            </w:r>
            <w:r>
              <w:rPr>
                <w:sz w:val="18"/>
              </w:rPr>
              <w:t xml:space="preserve"> </w:t>
            </w:r>
            <w:r>
              <w:rPr>
                <w:rStyle w:val="VerbatimChar"/>
                <w:sz w:val="18"/>
              </w:rPr>
              <w:t xml:space="preserve">PeriodClosed</w:t>
            </w:r>
            <w:r>
              <w:rPr>
                <w:sz w:val="18"/>
              </w:rPr>
              <w:t xml:space="preserve"> </w:t>
            </w:r>
            <w:r>
              <w:rPr>
                <w:sz w:val="18"/>
              </w:rPr>
              <w:t xml:space="preserve">metadata only</w:t>
            </w:r>
          </w:p>
        </w:tc>
        <w:tc>
          <w:tcPr>
            <w:tcW w:w="1170" w:type="dxa"/>
          </w:tcPr>
          <w:p>
            <w:pPr>
              <w:pStyle w:val="Compact"/>
              <w:spacing w:after="40"/>
              <w:jc w:val="left"/>
            </w:pPr>
            <w:r>
              <w:rPr>
                <w:sz w:val="18"/>
              </w:rPr>
              <w:t xml:space="preserve">Integration Spec 6.20</w:t>
            </w:r>
          </w:p>
        </w:tc>
      </w:tr>
      <w:tr>
        <w:tc>
          <w:tcPr>
            <w:tcW w:w="1592" w:type="dxa"/>
          </w:tcPr>
          <w:p>
            <w:pPr>
              <w:pStyle w:val="Compact"/>
              <w:spacing w:after="40"/>
              <w:jc w:val="left"/>
            </w:pPr>
            <w:r>
              <w:rPr>
                <w:sz w:val="18"/>
              </w:rPr>
              <w:t xml:space="preserve">Tally or ERP mode</w:t>
            </w:r>
          </w:p>
        </w:tc>
        <w:tc>
          <w:tcPr>
            <w:tcW w:w="1300" w:type="dxa"/>
          </w:tcPr>
          <w:p>
            <w:pPr>
              <w:pStyle w:val="Compact"/>
              <w:spacing w:after="40"/>
              <w:jc w:val="left"/>
            </w:pPr>
            <w:r>
              <w:rPr>
                <w:sz w:val="18"/>
              </w:rPr>
              <w:t xml:space="preserve">Connector</w:t>
            </w:r>
          </w:p>
        </w:tc>
        <w:tc>
          <w:tcPr>
            <w:tcW w:w="2951" w:type="dxa"/>
          </w:tcPr>
          <w:p>
            <w:pPr>
              <w:pStyle w:val="Compact"/>
              <w:spacing w:after="40"/>
              <w:jc w:val="left"/>
            </w:pPr>
            <w:r>
              <w:rPr>
                <w:sz w:val="18"/>
              </w:rPr>
              <w:t xml:space="preserve">Detailed vouchers; batch 500; nightly 22:00 IST; daily TB reconciliation</w:t>
            </w:r>
          </w:p>
        </w:tc>
        <w:tc>
          <w:tcPr>
            <w:tcW w:w="2625" w:type="dxa"/>
          </w:tcPr>
          <w:p>
            <w:pPr>
              <w:pStyle w:val="Compact"/>
              <w:spacing w:after="40"/>
              <w:jc w:val="left"/>
            </w:pPr>
            <w:r>
              <w:rPr>
                <w:sz w:val="18"/>
              </w:rPr>
              <w:t xml:space="preserve">Choice; reconciliation cannot be switched off</w:t>
            </w:r>
          </w:p>
        </w:tc>
        <w:tc>
          <w:tcPr>
            <w:tcW w:w="1170" w:type="dxa"/>
          </w:tcPr>
          <w:p>
            <w:pPr>
              <w:pStyle w:val="Compact"/>
              <w:spacing w:after="40"/>
              <w:jc w:val="left"/>
            </w:pPr>
            <w:r>
              <w:rPr>
                <w:sz w:val="18"/>
              </w:rPr>
              <w:t xml:space="preserve">AC6</w:t>
            </w:r>
          </w:p>
        </w:tc>
      </w:tr>
      <w:tr>
        <w:tc>
          <w:tcPr>
            <w:tcW w:w="1592" w:type="dxa"/>
          </w:tcPr>
          <w:p>
            <w:pPr>
              <w:pStyle w:val="Compact"/>
              <w:spacing w:after="40"/>
              <w:jc w:val="left"/>
            </w:pPr>
            <w:r>
              <w:rPr>
                <w:sz w:val="18"/>
              </w:rPr>
              <w:t xml:space="preserve">Audit trail</w:t>
            </w:r>
          </w:p>
        </w:tc>
        <w:tc>
          <w:tcPr>
            <w:tcW w:w="1300" w:type="dxa"/>
          </w:tcPr>
          <w:p>
            <w:pPr>
              <w:pStyle w:val="Compact"/>
              <w:spacing w:after="40"/>
              <w:jc w:val="left"/>
            </w:pPr>
            <w:r>
              <w:rPr>
                <w:sz w:val="18"/>
              </w:rPr>
              <w:t xml:space="preserve">Platform</w:t>
            </w:r>
          </w:p>
        </w:tc>
        <w:tc>
          <w:tcPr>
            <w:tcW w:w="2951" w:type="dxa"/>
          </w:tcPr>
          <w:p>
            <w:pPr>
              <w:pStyle w:val="Compact"/>
              <w:spacing w:after="40"/>
              <w:jc w:val="left"/>
            </w:pPr>
            <w:r>
              <w:rPr>
                <w:sz w:val="18"/>
              </w:rPr>
              <w:t xml:space="preserve">Always on</w:t>
            </w:r>
          </w:p>
        </w:tc>
        <w:tc>
          <w:tcPr>
            <w:tcW w:w="2625" w:type="dxa"/>
          </w:tcPr>
          <w:p>
            <w:pPr>
              <w:pStyle w:val="Compact"/>
              <w:spacing w:after="40"/>
              <w:jc w:val="left"/>
            </w:pPr>
            <w:r>
              <w:rPr>
                <w:sz w:val="18"/>
              </w:rPr>
              <w:t xml:space="preserve">Floor: no setting exists</w:t>
            </w:r>
          </w:p>
        </w:tc>
        <w:tc>
          <w:tcPr>
            <w:tcW w:w="1170" w:type="dxa"/>
          </w:tcPr>
          <w:p>
            <w:pPr>
              <w:pStyle w:val="Compact"/>
              <w:spacing w:after="40"/>
              <w:jc w:val="left"/>
            </w:pPr>
            <w:r>
              <w:rPr>
                <w:sz w:val="18"/>
              </w:rPr>
              <w:t xml:space="preserve">CA13 r.3(1)</w:t>
            </w:r>
          </w:p>
        </w:tc>
      </w:tr>
      <w:tr>
        <w:tc>
          <w:tcPr>
            <w:tcW w:w="1592" w:type="dxa"/>
          </w:tcPr>
          <w:p>
            <w:pPr>
              <w:pStyle w:val="Compact"/>
              <w:spacing w:after="40"/>
              <w:jc w:val="left"/>
            </w:pPr>
            <w:r>
              <w:rPr>
                <w:sz w:val="18"/>
              </w:rPr>
              <w:t xml:space="preserve">Books backup</w:t>
            </w:r>
          </w:p>
        </w:tc>
        <w:tc>
          <w:tcPr>
            <w:tcW w:w="1300" w:type="dxa"/>
          </w:tcPr>
          <w:p>
            <w:pPr>
              <w:pStyle w:val="Compact"/>
              <w:spacing w:after="40"/>
              <w:jc w:val="left"/>
            </w:pPr>
            <w:r>
              <w:rPr>
                <w:sz w:val="18"/>
              </w:rPr>
              <w:t xml:space="preserve">Platform</w:t>
            </w:r>
          </w:p>
        </w:tc>
        <w:tc>
          <w:tcPr>
            <w:tcW w:w="2951" w:type="dxa"/>
          </w:tcPr>
          <w:p>
            <w:pPr>
              <w:pStyle w:val="Compact"/>
              <w:spacing w:after="40"/>
              <w:jc w:val="left"/>
            </w:pPr>
            <w:r>
              <w:rPr>
                <w:sz w:val="18"/>
              </w:rPr>
              <w:t xml:space="preserve">Daily, Indian region; quarterly restore test</w:t>
            </w:r>
          </w:p>
        </w:tc>
        <w:tc>
          <w:tcPr>
            <w:tcW w:w="2625" w:type="dxa"/>
          </w:tcPr>
          <w:p>
            <w:pPr>
              <w:pStyle w:val="Compact"/>
              <w:spacing w:after="40"/>
              <w:jc w:val="left"/>
            </w:pPr>
            <w:r>
              <w:rPr>
                <w:sz w:val="18"/>
              </w:rPr>
              <w:t xml:space="preserve">Floor</w:t>
            </w:r>
          </w:p>
        </w:tc>
        <w:tc>
          <w:tcPr>
            <w:tcW w:w="1170" w:type="dxa"/>
          </w:tcPr>
          <w:p>
            <w:pPr>
              <w:pStyle w:val="Compact"/>
              <w:spacing w:after="40"/>
              <w:jc w:val="left"/>
            </w:pPr>
            <w:r>
              <w:rPr>
                <w:sz w:val="18"/>
              </w:rPr>
              <w:t xml:space="preserve">CA13 r.3(5)</w:t>
            </w:r>
          </w:p>
        </w:tc>
      </w:tr>
      <w:tr>
        <w:tc>
          <w:tcPr>
            <w:tcW w:w="1592" w:type="dxa"/>
          </w:tcPr>
          <w:p>
            <w:pPr>
              <w:pStyle w:val="Compact"/>
              <w:spacing w:after="40"/>
              <w:jc w:val="left"/>
            </w:pPr>
            <w:r>
              <w:rPr>
                <w:sz w:val="18"/>
              </w:rPr>
              <w:t xml:space="preserve">Retention periods</w:t>
            </w:r>
          </w:p>
        </w:tc>
        <w:tc>
          <w:tcPr>
            <w:tcW w:w="1300" w:type="dxa"/>
          </w:tcPr>
          <w:p>
            <w:pPr>
              <w:pStyle w:val="Compact"/>
              <w:spacing w:after="40"/>
              <w:jc w:val="left"/>
            </w:pPr>
            <w:r>
              <w:rPr>
                <w:sz w:val="18"/>
              </w:rPr>
              <w:t xml:space="preserve">Record class</w:t>
            </w:r>
          </w:p>
        </w:tc>
        <w:tc>
          <w:tcPr>
            <w:tcW w:w="2951" w:type="dxa"/>
          </w:tcPr>
          <w:p>
            <w:pPr>
              <w:pStyle w:val="Compact"/>
              <w:spacing w:after="40"/>
              <w:jc w:val="left"/>
            </w:pPr>
            <w:r>
              <w:rPr>
                <w:sz w:val="18"/>
              </w:rPr>
              <w:t xml:space="preserve">AC7.4 minimums</w:t>
            </w:r>
          </w:p>
        </w:tc>
        <w:tc>
          <w:tcPr>
            <w:tcW w:w="2625" w:type="dxa"/>
          </w:tcPr>
          <w:p>
            <w:pPr>
              <w:pStyle w:val="Compact"/>
              <w:spacing w:after="40"/>
              <w:jc w:val="left"/>
            </w:pPr>
            <w:r>
              <w:rPr>
                <w:sz w:val="18"/>
              </w:rPr>
              <w:t xml:space="preserve">Floor: may lengthen only</w:t>
            </w:r>
          </w:p>
        </w:tc>
        <w:tc>
          <w:tcPr>
            <w:tcW w:w="1170" w:type="dxa"/>
          </w:tcPr>
          <w:p>
            <w:pPr>
              <w:pStyle w:val="Compact"/>
              <w:spacing w:after="40"/>
              <w:jc w:val="left"/>
            </w:pPr>
            <w:r>
              <w:rPr>
                <w:sz w:val="18"/>
              </w:rPr>
              <w:t xml:space="preserve">AC7.4</w:t>
            </w:r>
          </w:p>
        </w:tc>
      </w:tr>
    </w:tbl>
    <w:bookmarkEnd w:id="333"/>
    <w:bookmarkStart w:id="334" w:name="ac8.2-menu-and-screens"/>
    <w:p>
      <w:pPr>
        <w:pStyle w:val="Heading3"/>
      </w:pPr>
      <w:r>
        <w:t xml:space="preserve">AC8.2 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88"/>
        <w:gridCol w:w="2795"/>
        <w:gridCol w:w="2231"/>
        <w:gridCol w:w="1965"/>
        <w:gridCol w:w="1659"/>
      </w:tblGrid>
      <w:tr>
        <w:trPr>
          <w:tblHeader w:val="true"/>
          <w:tblHeader w:val="true"/>
        </w:trPr>
        <w:tc>
          <w:tcPr>
            <w:tcW w:w="988" w:type="dxa"/>
            <w:shd w:val="clear" w:color="auto" w:fill="1F3A5F"/>
          </w:tcPr>
          <w:p>
            <w:pPr>
              <w:pStyle w:val="Compact"/>
              <w:spacing w:after="40"/>
              <w:jc w:val="left"/>
            </w:pPr>
            <w:r>
              <w:rPr>
                <w:b/>
                <w:color w:val="FFFFFF"/>
                <w:sz w:val="18"/>
              </w:rPr>
              <w:t xml:space="preserve">Path</w:t>
            </w:r>
          </w:p>
        </w:tc>
        <w:tc>
          <w:tcPr>
            <w:tcW w:w="2795" w:type="dxa"/>
            <w:shd w:val="clear" w:color="auto" w:fill="1F3A5F"/>
          </w:tcPr>
          <w:p>
            <w:pPr>
              <w:pStyle w:val="Compact"/>
              <w:spacing w:after="40"/>
              <w:jc w:val="left"/>
            </w:pPr>
            <w:r>
              <w:rPr>
                <w:b/>
                <w:color w:val="FFFFFF"/>
                <w:sz w:val="18"/>
              </w:rPr>
              <w:t xml:space="preserve">Screen</w:t>
            </w:r>
          </w:p>
        </w:tc>
        <w:tc>
          <w:tcPr>
            <w:tcW w:w="2231" w:type="dxa"/>
            <w:shd w:val="clear" w:color="auto" w:fill="1F3A5F"/>
          </w:tcPr>
          <w:p>
            <w:pPr>
              <w:pStyle w:val="Compact"/>
              <w:spacing w:after="40"/>
              <w:jc w:val="left"/>
            </w:pPr>
            <w:r>
              <w:rPr>
                <w:b/>
                <w:color w:val="FFFFFF"/>
                <w:sz w:val="18"/>
              </w:rPr>
              <w:t xml:space="preserve">Key actions</w:t>
            </w:r>
          </w:p>
        </w:tc>
        <w:tc>
          <w:tcPr>
            <w:tcW w:w="1965" w:type="dxa"/>
            <w:shd w:val="clear" w:color="auto" w:fill="1F3A5F"/>
          </w:tcPr>
          <w:p>
            <w:pPr>
              <w:pStyle w:val="Compact"/>
              <w:spacing w:after="40"/>
              <w:jc w:val="left"/>
            </w:pPr>
            <w:r>
              <w:rPr>
                <w:b/>
                <w:color w:val="FFFFFF"/>
                <w:sz w:val="18"/>
              </w:rPr>
              <w:t xml:space="preserve">Filters, bulk actions and exports</w:t>
            </w:r>
          </w:p>
        </w:tc>
        <w:tc>
          <w:tcPr>
            <w:tcW w:w="1659" w:type="dxa"/>
            <w:shd w:val="clear" w:color="auto" w:fill="1F3A5F"/>
          </w:tcPr>
          <w:p>
            <w:pPr>
              <w:pStyle w:val="Compact"/>
              <w:spacing w:after="40"/>
              <w:jc w:val="left"/>
            </w:pPr>
            <w:r>
              <w:rPr>
                <w:b/>
                <w:color w:val="FFFFFF"/>
                <w:sz w:val="18"/>
              </w:rPr>
              <w:t xml:space="preserve">Visible to</w:t>
            </w:r>
          </w:p>
        </w:tc>
      </w:tr>
      <w:tr>
        <w:tc>
          <w:tcPr>
            <w:tcW w:w="988" w:type="dxa"/>
          </w:tcPr>
          <w:p>
            <w:pPr>
              <w:pStyle w:val="Compact"/>
              <w:spacing w:after="40"/>
              <w:jc w:val="left"/>
            </w:pPr>
            <w:r>
              <w:rPr>
                <w:rStyle w:val="VerbatimChar"/>
                <w:sz w:val="18"/>
              </w:rPr>
              <w:t xml:space="preserve">Finance › Framework</w:t>
            </w:r>
          </w:p>
        </w:tc>
        <w:tc>
          <w:tcPr>
            <w:tcW w:w="2795" w:type="dxa"/>
          </w:tcPr>
          <w:p>
            <w:pPr>
              <w:pStyle w:val="Compact"/>
              <w:spacing w:after="40"/>
              <w:jc w:val="left"/>
            </w:pPr>
            <w:r>
              <w:rPr>
                <w:sz w:val="18"/>
              </w:rPr>
              <w:t xml:space="preserve">Framework profile per entity and year; decision log; transition projects</w:t>
            </w:r>
          </w:p>
        </w:tc>
        <w:tc>
          <w:tcPr>
            <w:tcW w:w="2231" w:type="dxa"/>
          </w:tcPr>
          <w:p>
            <w:pPr>
              <w:pStyle w:val="Compact"/>
              <w:spacing w:after="40"/>
              <w:jc w:val="left"/>
            </w:pPr>
            <w:r>
              <w:rPr>
                <w:sz w:val="18"/>
              </w:rPr>
              <w:t xml:space="preserve">Re-run engine; approve decision (CFO); open Ind AS transition project</w:t>
            </w:r>
          </w:p>
        </w:tc>
        <w:tc>
          <w:tcPr>
            <w:tcW w:w="1965" w:type="dxa"/>
          </w:tcPr>
          <w:p>
            <w:pPr>
              <w:pStyle w:val="Compact"/>
              <w:spacing w:after="40"/>
              <w:jc w:val="left"/>
            </w:pPr>
            <w:r>
              <w:rPr>
                <w:sz w:val="18"/>
              </w:rPr>
              <w:t xml:space="preserve">Entity, year; export decision log PDF</w:t>
            </w:r>
          </w:p>
        </w:tc>
        <w:tc>
          <w:tcPr>
            <w:tcW w:w="1659" w:type="dxa"/>
          </w:tcPr>
          <w:p>
            <w:pPr>
              <w:pStyle w:val="Compact"/>
              <w:spacing w:after="40"/>
              <w:jc w:val="left"/>
            </w:pPr>
            <w:r>
              <w:rPr>
                <w:sz w:val="18"/>
              </w:rPr>
              <w:t xml:space="preserve">CFO office; auditors read-only</w:t>
            </w:r>
          </w:p>
        </w:tc>
      </w:tr>
      <w:tr>
        <w:tc>
          <w:tcPr>
            <w:tcW w:w="988" w:type="dxa"/>
          </w:tcPr>
          <w:p>
            <w:pPr>
              <w:pStyle w:val="Compact"/>
              <w:spacing w:after="40"/>
              <w:jc w:val="left"/>
            </w:pPr>
            <w:r>
              <w:rPr>
                <w:rStyle w:val="VerbatimChar"/>
                <w:sz w:val="18"/>
              </w:rPr>
              <w:t xml:space="preserve">Finance › Close</w:t>
            </w:r>
          </w:p>
        </w:tc>
        <w:tc>
          <w:tcPr>
            <w:tcW w:w="2795" w:type="dxa"/>
          </w:tcPr>
          <w:p>
            <w:pPr>
              <w:pStyle w:val="Compact"/>
              <w:spacing w:after="40"/>
              <w:jc w:val="left"/>
            </w:pPr>
            <w:r>
              <w:rPr>
                <w:sz w:val="18"/>
              </w:rPr>
              <w:t xml:space="preserve">Close calendar and checklist per entity, period and book; lock and reopen requests; back-dated postings list</w:t>
            </w:r>
          </w:p>
        </w:tc>
        <w:tc>
          <w:tcPr>
            <w:tcW w:w="2231" w:type="dxa"/>
          </w:tcPr>
          <w:p>
            <w:pPr>
              <w:pStyle w:val="Compact"/>
              <w:spacing w:after="40"/>
              <w:jc w:val="left"/>
            </w:pPr>
            <w:r>
              <w:rPr>
                <w:sz w:val="18"/>
              </w:rPr>
              <w:t xml:space="preserve">Tick checklist item with evidence; request lock; approve lock (CFO); request or approve reopen</w:t>
            </w:r>
          </w:p>
        </w:tc>
        <w:tc>
          <w:tcPr>
            <w:tcW w:w="1965" w:type="dxa"/>
          </w:tcPr>
          <w:p>
            <w:pPr>
              <w:pStyle w:val="Compact"/>
              <w:spacing w:after="40"/>
              <w:jc w:val="left"/>
            </w:pPr>
            <w:r>
              <w:rPr>
                <w:sz w:val="18"/>
              </w:rPr>
              <w:t xml:space="preserve">Entity, period, book, state, owner; bulk assign checklist items; export checklist</w:t>
            </w:r>
          </w:p>
        </w:tc>
        <w:tc>
          <w:tcPr>
            <w:tcW w:w="1659" w:type="dxa"/>
          </w:tcPr>
          <w:p>
            <w:pPr>
              <w:pStyle w:val="Compact"/>
              <w:spacing w:after="40"/>
              <w:jc w:val="left"/>
            </w:pPr>
            <w:r>
              <w:rPr>
                <w:sz w:val="18"/>
              </w:rPr>
              <w:t xml:space="preserve">Accounts team, CFO</w:t>
            </w:r>
          </w:p>
        </w:tc>
      </w:tr>
      <w:tr>
        <w:tc>
          <w:tcPr>
            <w:tcW w:w="988" w:type="dxa"/>
          </w:tcPr>
          <w:p>
            <w:pPr>
              <w:pStyle w:val="Compact"/>
              <w:spacing w:after="40"/>
              <w:jc w:val="left"/>
            </w:pPr>
            <w:r>
              <w:rPr>
                <w:rStyle w:val="VerbatimChar"/>
                <w:sz w:val="18"/>
              </w:rPr>
              <w:t xml:space="preserve">Finance › Books</w:t>
            </w:r>
          </w:p>
        </w:tc>
        <w:tc>
          <w:tcPr>
            <w:tcW w:w="2795" w:type="dxa"/>
          </w:tcPr>
          <w:p>
            <w:pPr>
              <w:pStyle w:val="Compact"/>
              <w:spacing w:after="40"/>
              <w:jc w:val="left"/>
            </w:pPr>
            <w:r>
              <w:rPr>
                <w:sz w:val="18"/>
              </w:rPr>
              <w:t xml:space="preserve">TB per book; book-difference report; adjustment layers; Impairment Reserve and bank ECL runs</w:t>
            </w:r>
          </w:p>
        </w:tc>
        <w:tc>
          <w:tcPr>
            <w:tcW w:w="2231" w:type="dxa"/>
          </w:tcPr>
          <w:p>
            <w:pPr>
              <w:pStyle w:val="Compact"/>
              <w:spacing w:after="40"/>
              <w:jc w:val="left"/>
            </w:pPr>
            <w:r>
              <w:rPr>
                <w:sz w:val="18"/>
              </w:rPr>
              <w:t xml:space="preserve">Run job; propose journal; approve (CFO)</w:t>
            </w:r>
          </w:p>
        </w:tc>
        <w:tc>
          <w:tcPr>
            <w:tcW w:w="1965" w:type="dxa"/>
          </w:tcPr>
          <w:p>
            <w:pPr>
              <w:pStyle w:val="Compact"/>
              <w:spacing w:after="40"/>
              <w:jc w:val="left"/>
            </w:pPr>
            <w:r>
              <w:rPr>
                <w:sz w:val="18"/>
              </w:rPr>
              <w:t xml:space="preserve">Book, cause, period; export XLSX</w:t>
            </w:r>
          </w:p>
        </w:tc>
        <w:tc>
          <w:tcPr>
            <w:tcW w:w="1659" w:type="dxa"/>
          </w:tcPr>
          <w:p>
            <w:pPr>
              <w:pStyle w:val="Compact"/>
              <w:spacing w:after="40"/>
              <w:jc w:val="left"/>
            </w:pPr>
            <w:r>
              <w:rPr>
                <w:sz w:val="18"/>
              </w:rPr>
              <w:t xml:space="preserve">Accounts, CFO, CRO read-only</w:t>
            </w:r>
          </w:p>
        </w:tc>
      </w:tr>
      <w:tr>
        <w:tc>
          <w:tcPr>
            <w:tcW w:w="988" w:type="dxa"/>
          </w:tcPr>
          <w:p>
            <w:pPr>
              <w:pStyle w:val="Compact"/>
              <w:spacing w:after="40"/>
              <w:jc w:val="left"/>
            </w:pPr>
            <w:r>
              <w:rPr>
                <w:rStyle w:val="VerbatimChar"/>
                <w:sz w:val="18"/>
              </w:rPr>
              <w:t xml:space="preserve">Finance › Statements</w:t>
            </w:r>
          </w:p>
        </w:tc>
        <w:tc>
          <w:tcPr>
            <w:tcW w:w="2795" w:type="dxa"/>
          </w:tcPr>
          <w:p>
            <w:pPr>
              <w:pStyle w:val="Compact"/>
              <w:spacing w:after="40"/>
              <w:jc w:val="left"/>
            </w:pPr>
            <w:r>
              <w:rPr>
                <w:sz w:val="18"/>
              </w:rPr>
              <w:t xml:space="preserve">Statement runs with the AC3.1 state stepper;</w:t>
            </w:r>
            <w:r>
              <w:rPr>
                <w:sz w:val="18"/>
              </w:rPr>
              <w:t xml:space="preserve"> </w:t>
            </w:r>
            <w:r>
              <w:rPr>
                <w:rStyle w:val="VerbatimChar"/>
                <w:sz w:val="18"/>
              </w:rPr>
              <w:t xml:space="preserve">gl_line_map</w:t>
            </w:r>
            <w:r>
              <w:rPr>
                <w:sz w:val="18"/>
              </w:rPr>
              <w:t xml:space="preserve"> </w:t>
            </w:r>
            <w:r>
              <w:rPr>
                <w:sz w:val="18"/>
              </w:rPr>
              <w:t xml:space="preserve">editor with an orphan-account list; disclosure tie-outs; CARO pack; consolidation and eliminations; MCA payload</w:t>
            </w:r>
          </w:p>
        </w:tc>
        <w:tc>
          <w:tcPr>
            <w:tcW w:w="2231" w:type="dxa"/>
          </w:tcPr>
          <w:p>
            <w:pPr>
              <w:pStyle w:val="Compact"/>
              <w:spacing w:after="40"/>
              <w:jc w:val="left"/>
            </w:pPr>
            <w:r>
              <w:rPr>
                <w:sz w:val="18"/>
              </w:rPr>
              <w:t xml:space="preserve">Generate, validate, approve per state, record Board and audit-report dates, record SRN</w:t>
            </w:r>
          </w:p>
        </w:tc>
        <w:tc>
          <w:tcPr>
            <w:tcW w:w="1965" w:type="dxa"/>
          </w:tcPr>
          <w:p>
            <w:pPr>
              <w:pStyle w:val="Compact"/>
              <w:spacing w:after="40"/>
              <w:jc w:val="left"/>
            </w:pPr>
            <w:r>
              <w:rPr>
                <w:sz w:val="18"/>
              </w:rPr>
              <w:t xml:space="preserve">Entity, year, format, state; export PDF/A, XLSX, payload</w:t>
            </w:r>
          </w:p>
        </w:tc>
        <w:tc>
          <w:tcPr>
            <w:tcW w:w="1659" w:type="dxa"/>
          </w:tcPr>
          <w:p>
            <w:pPr>
              <w:pStyle w:val="Compact"/>
              <w:spacing w:after="40"/>
              <w:jc w:val="left"/>
            </w:pPr>
            <w:r>
              <w:rPr>
                <w:sz w:val="18"/>
              </w:rPr>
              <w:t xml:space="preserve">CFO office, Company Secretary; auditors read-only</w:t>
            </w:r>
          </w:p>
        </w:tc>
      </w:tr>
      <w:tr>
        <w:tc>
          <w:tcPr>
            <w:tcW w:w="988" w:type="dxa"/>
          </w:tcPr>
          <w:p>
            <w:pPr>
              <w:pStyle w:val="Compact"/>
              <w:spacing w:after="40"/>
              <w:jc w:val="left"/>
            </w:pPr>
            <w:r>
              <w:rPr>
                <w:rStyle w:val="VerbatimChar"/>
                <w:sz w:val="18"/>
              </w:rPr>
              <w:t xml:space="preserve">Finance › GST</w:t>
            </w:r>
          </w:p>
        </w:tc>
        <w:tc>
          <w:tcPr>
            <w:tcW w:w="2795" w:type="dxa"/>
          </w:tcPr>
          <w:p>
            <w:pPr>
              <w:pStyle w:val="Compact"/>
              <w:spacing w:after="40"/>
              <w:jc w:val="left"/>
            </w:pPr>
            <w:r>
              <w:rPr>
                <w:sz w:val="18"/>
              </w:rPr>
              <w:t xml:space="preserve">Charge treatment master; invoices and notes; IMS inbox; ITC election; return packages; reconciliations</w:t>
            </w:r>
          </w:p>
        </w:tc>
        <w:tc>
          <w:tcPr>
            <w:tcW w:w="2231" w:type="dxa"/>
          </w:tcPr>
          <w:p>
            <w:pPr>
              <w:pStyle w:val="Compact"/>
              <w:spacing w:after="40"/>
              <w:jc w:val="left"/>
            </w:pPr>
            <w:r>
              <w:rPr>
                <w:sz w:val="18"/>
              </w:rPr>
              <w:t xml:space="preserve">Accept, reject or keep pending (maker-checker); elect ITC option; generate and approve packages; record ARN</w:t>
            </w:r>
          </w:p>
        </w:tc>
        <w:tc>
          <w:tcPr>
            <w:tcW w:w="1965" w:type="dxa"/>
          </w:tcPr>
          <w:p>
            <w:pPr>
              <w:pStyle w:val="Compact"/>
              <w:spacing w:after="40"/>
              <w:jc w:val="left"/>
            </w:pPr>
            <w:r>
              <w:rPr>
                <w:sz w:val="18"/>
              </w:rPr>
              <w:t xml:space="preserve">GSTIN, period, status; bulk IMS actions with checker approval; export JSON and XLSX</w:t>
            </w:r>
          </w:p>
        </w:tc>
        <w:tc>
          <w:tcPr>
            <w:tcW w:w="1659" w:type="dxa"/>
          </w:tcPr>
          <w:p>
            <w:pPr>
              <w:pStyle w:val="Compact"/>
              <w:spacing w:after="40"/>
              <w:jc w:val="left"/>
            </w:pPr>
            <w:r>
              <w:rPr>
                <w:sz w:val="18"/>
              </w:rPr>
              <w:t xml:space="preserve">Tax team, CFO</w:t>
            </w:r>
          </w:p>
        </w:tc>
      </w:tr>
      <w:tr>
        <w:tc>
          <w:tcPr>
            <w:tcW w:w="988" w:type="dxa"/>
          </w:tcPr>
          <w:p>
            <w:pPr>
              <w:pStyle w:val="Compact"/>
              <w:spacing w:after="40"/>
              <w:jc w:val="left"/>
            </w:pPr>
            <w:r>
              <w:rPr>
                <w:rStyle w:val="VerbatimChar"/>
                <w:sz w:val="18"/>
              </w:rPr>
              <w:t xml:space="preserve">Finance › Income tax</w:t>
            </w:r>
          </w:p>
        </w:tc>
        <w:tc>
          <w:tcPr>
            <w:tcW w:w="2795" w:type="dxa"/>
          </w:tcPr>
          <w:p>
            <w:pPr>
              <w:pStyle w:val="Compact"/>
              <w:spacing w:after="40"/>
              <w:jc w:val="left"/>
            </w:pPr>
            <w:r>
              <w:rPr>
                <w:sz w:val="18"/>
              </w:rPr>
              <w:t xml:space="preserve">TDS deducted and challans; Form 140, 144 and 143 packages; TDS receivable and Form 168 matching; chase queue; tax memo book; Form 26 data; borrower certificates</w:t>
            </w:r>
          </w:p>
        </w:tc>
        <w:tc>
          <w:tcPr>
            <w:tcW w:w="2231" w:type="dxa"/>
          </w:tcPr>
          <w:p>
            <w:pPr>
              <w:pStyle w:val="Compact"/>
              <w:spacing w:after="40"/>
              <w:jc w:val="left"/>
            </w:pPr>
            <w:r>
              <w:rPr>
                <w:sz w:val="18"/>
              </w:rPr>
              <w:t xml:space="preserve">Generate, validate, approve, record token; send chase letters; issue certificates</w:t>
            </w:r>
          </w:p>
        </w:tc>
        <w:tc>
          <w:tcPr>
            <w:tcW w:w="1965" w:type="dxa"/>
          </w:tcPr>
          <w:p>
            <w:pPr>
              <w:pStyle w:val="Compact"/>
              <w:spacing w:after="40"/>
              <w:jc w:val="left"/>
            </w:pPr>
            <w:r>
              <w:rPr>
                <w:sz w:val="18"/>
              </w:rPr>
              <w:t xml:space="preserve">TAN, quarter, match status; bulk chase; export</w:t>
            </w:r>
          </w:p>
        </w:tc>
        <w:tc>
          <w:tcPr>
            <w:tcW w:w="1659" w:type="dxa"/>
          </w:tcPr>
          <w:p>
            <w:pPr>
              <w:pStyle w:val="Compact"/>
              <w:spacing w:after="40"/>
              <w:jc w:val="left"/>
            </w:pPr>
            <w:r>
              <w:rPr>
                <w:sz w:val="18"/>
              </w:rPr>
              <w:t xml:space="preserve">Tax team, CFO; servicing sees certificates only</w:t>
            </w:r>
          </w:p>
        </w:tc>
      </w:tr>
      <w:tr>
        <w:tc>
          <w:tcPr>
            <w:tcW w:w="988" w:type="dxa"/>
          </w:tcPr>
          <w:p>
            <w:pPr>
              <w:pStyle w:val="Compact"/>
              <w:spacing w:after="40"/>
              <w:jc w:val="left"/>
            </w:pPr>
            <w:r>
              <w:rPr>
                <w:rStyle w:val="VerbatimChar"/>
                <w:sz w:val="18"/>
              </w:rPr>
              <w:t xml:space="preserve">Finance › Connectors</w:t>
            </w:r>
          </w:p>
        </w:tc>
        <w:tc>
          <w:tcPr>
            <w:tcW w:w="2795" w:type="dxa"/>
          </w:tcPr>
          <w:p>
            <w:pPr>
              <w:pStyle w:val="Compact"/>
              <w:spacing w:after="40"/>
              <w:jc w:val="left"/>
            </w:pPr>
            <w:r>
              <w:rPr>
                <w:sz w:val="18"/>
              </w:rPr>
              <w:t xml:space="preserve">Tally and ERP agents (heartbeat, version), batches, dead-letter queue, TB reconciliation breaks</w:t>
            </w:r>
          </w:p>
        </w:tc>
        <w:tc>
          <w:tcPr>
            <w:tcW w:w="2231" w:type="dxa"/>
          </w:tcPr>
          <w:p>
            <w:pPr>
              <w:pStyle w:val="Compact"/>
              <w:spacing w:after="40"/>
              <w:jc w:val="left"/>
            </w:pPr>
            <w:r>
              <w:rPr>
                <w:sz w:val="18"/>
              </w:rPr>
              <w:t xml:space="preserve">Retry failed items; revoke agent; resolve break with a note</w:t>
            </w:r>
          </w:p>
        </w:tc>
        <w:tc>
          <w:tcPr>
            <w:tcW w:w="1965" w:type="dxa"/>
          </w:tcPr>
          <w:p>
            <w:pPr>
              <w:pStyle w:val="Compact"/>
              <w:spacing w:after="40"/>
              <w:jc w:val="left"/>
            </w:pPr>
            <w:r>
              <w:rPr>
                <w:sz w:val="18"/>
              </w:rPr>
              <w:t xml:space="preserve">Target, status, date; export</w:t>
            </w:r>
          </w:p>
        </w:tc>
        <w:tc>
          <w:tcPr>
            <w:tcW w:w="1659" w:type="dxa"/>
          </w:tcPr>
          <w:p>
            <w:pPr>
              <w:pStyle w:val="Compact"/>
              <w:spacing w:after="40"/>
              <w:jc w:val="left"/>
            </w:pPr>
            <w:r>
              <w:rPr>
                <w:sz w:val="18"/>
              </w:rPr>
              <w:t xml:space="preserve">Accounts, tenant IT</w:t>
            </w:r>
          </w:p>
        </w:tc>
      </w:tr>
      <w:tr>
        <w:tc>
          <w:tcPr>
            <w:tcW w:w="988" w:type="dxa"/>
          </w:tcPr>
          <w:p>
            <w:pPr>
              <w:pStyle w:val="Compact"/>
              <w:spacing w:after="40"/>
              <w:jc w:val="left"/>
            </w:pPr>
            <w:r>
              <w:rPr>
                <w:rStyle w:val="VerbatimChar"/>
                <w:sz w:val="18"/>
              </w:rPr>
              <w:t xml:space="preserve">Finance › Audit trail</w:t>
            </w:r>
          </w:p>
        </w:tc>
        <w:tc>
          <w:tcPr>
            <w:tcW w:w="2795" w:type="dxa"/>
          </w:tcPr>
          <w:p>
            <w:pPr>
              <w:pStyle w:val="Compact"/>
              <w:spacing w:after="40"/>
              <w:jc w:val="left"/>
            </w:pPr>
            <w:r>
              <w:rPr>
                <w:sz w:val="18"/>
              </w:rPr>
              <w:t xml:space="preserve">Seal verification, capture-gap register, Rule 11(g) exceptions and evidence pack, backup log and restore tests, Rule 3(6) statement, retention and destruction batches</w:t>
            </w:r>
          </w:p>
        </w:tc>
        <w:tc>
          <w:tcPr>
            <w:tcW w:w="2231" w:type="dxa"/>
          </w:tcPr>
          <w:p>
            <w:pPr>
              <w:pStyle w:val="Compact"/>
              <w:spacing w:after="40"/>
              <w:jc w:val="left"/>
            </w:pPr>
            <w:r>
              <w:rPr>
                <w:sz w:val="18"/>
              </w:rPr>
              <w:t xml:space="preserve">Generate pack; approve destruction batch (two approvers); place or lift legal hold</w:t>
            </w:r>
          </w:p>
        </w:tc>
        <w:tc>
          <w:tcPr>
            <w:tcW w:w="1965" w:type="dxa"/>
          </w:tcPr>
          <w:p>
            <w:pPr>
              <w:pStyle w:val="Compact"/>
              <w:spacing w:after="40"/>
              <w:jc w:val="left"/>
            </w:pPr>
            <w:r>
              <w:rPr>
                <w:sz w:val="18"/>
              </w:rPr>
              <w:t xml:space="preserve">Entity, year; export pack</w:t>
            </w:r>
          </w:p>
        </w:tc>
        <w:tc>
          <w:tcPr>
            <w:tcW w:w="1659" w:type="dxa"/>
          </w:tcPr>
          <w:p>
            <w:pPr>
              <w:pStyle w:val="Compact"/>
              <w:spacing w:after="40"/>
              <w:jc w:val="left"/>
            </w:pPr>
            <w:r>
              <w:rPr>
                <w:sz w:val="18"/>
              </w:rPr>
              <w:t xml:space="preserve">CFO, CISO, internal audit; external auditors in workspace V</w:t>
            </w:r>
          </w:p>
        </w:tc>
      </w:tr>
    </w:tbl>
    <w:p>
      <w:pPr>
        <w:numPr>
          <w:ilvl w:val="0"/>
          <w:numId w:val="1340"/>
        </w:numPr>
        <w:pStyle w:val="Compact"/>
      </w:pPr>
      <w:r>
        <w:rPr>
          <w:bCs/>
          <w:b/>
        </w:rPr>
        <w:t xml:space="preserve">Empty and error states</w:t>
      </w:r>
      <w:r>
        <w:t xml:space="preserve"> </w:t>
      </w:r>
      <w:r>
        <w:t xml:space="preserve">name the fix, for example</w:t>
      </w:r>
      <w:r>
        <w:t xml:space="preserve"> </w:t>
      </w:r>
      <w:r>
        <w:t xml:space="preserve">“</w:t>
      </w:r>
      <w:r>
        <w:t xml:space="preserve">Statement run blocked: 3 GL accounts have no line mapping (open the map editor)</w:t>
      </w:r>
      <w:r>
        <w:t xml:space="preserve">”</w:t>
      </w:r>
      <w:r>
        <w:t xml:space="preserve">,</w:t>
      </w:r>
      <w:r>
        <w:t xml:space="preserve"> </w:t>
      </w:r>
      <w:r>
        <w:t xml:space="preserve">“</w:t>
      </w:r>
      <w:r>
        <w:t xml:space="preserve">Lock blocked: loan sub-ledger to GL break of ₹12,400 on 30 Sep 2026</w:t>
      </w:r>
      <w:r>
        <w:t xml:space="preserve">”</w:t>
      </w:r>
      <w:r>
        <w:t xml:space="preserve">.</w:t>
      </w:r>
    </w:p>
    <w:p>
      <w:pPr>
        <w:numPr>
          <w:ilvl w:val="0"/>
          <w:numId w:val="1340"/>
        </w:numPr>
        <w:pStyle w:val="Compact"/>
      </w:pPr>
      <w:r>
        <w:rPr>
          <w:bCs/>
          <w:b/>
        </w:rPr>
        <w:t xml:space="preserve">Smart defaults:</w:t>
      </w:r>
      <w:r>
        <w:t xml:space="preserve"> </w:t>
      </w:r>
      <w:r>
        <w:t xml:space="preserve">the close checklist pre-fills from the last period; the GST package pre-fills from the books with differences highlighted; certificate runs pre-select borrowers with interest or principal paid in the year.</w:t>
      </w:r>
    </w:p>
    <w:p>
      <w:pPr>
        <w:numPr>
          <w:ilvl w:val="0"/>
          <w:numId w:val="1340"/>
        </w:numPr>
        <w:pStyle w:val="Compact"/>
      </w:pPr>
      <w:r>
        <w:rPr>
          <w:bCs/>
          <w:b/>
        </w:rPr>
        <w:t xml:space="preserve">Notifications and shortcuts</w:t>
      </w:r>
      <w:r>
        <w:t xml:space="preserve"> </w:t>
      </w:r>
      <w:r>
        <w:t xml:space="preserve">follow Part 7B RR9.2 (in-app and email, daily digest,</w:t>
      </w:r>
      <w:r>
        <w:t xml:space="preserve"> </w:t>
      </w:r>
      <w:r>
        <w:rPr>
          <w:rStyle w:val="VerbatimChar"/>
        </w:rPr>
        <w:t xml:space="preserve">j</w:t>
      </w:r>
      <w:r>
        <w:t xml:space="preserve">/</w:t>
      </w:r>
      <w:r>
        <w:rPr>
          <w:rStyle w:val="VerbatimChar"/>
        </w:rPr>
        <w:t xml:space="preserve">k</w:t>
      </w:r>
      <w:r>
        <w:t xml:space="preserve">/</w:t>
      </w:r>
      <w:r>
        <w:rPr>
          <w:rStyle w:val="VerbatimChar"/>
        </w:rPr>
        <w:t xml:space="preserve">a</w:t>
      </w:r>
      <w:r>
        <w:t xml:space="preserve">/</w:t>
      </w:r>
      <w:r>
        <w:rPr>
          <w:rStyle w:val="VerbatimChar"/>
        </w:rPr>
        <w:t xml:space="preserve">r</w:t>
      </w:r>
      <w:r>
        <w:t xml:space="preserve"> </w:t>
      </w:r>
      <w:r>
        <w:t xml:space="preserve">on queues); WCAG 2.2 AA throughout.</w:t>
      </w:r>
    </w:p>
    <w:bookmarkEnd w:id="334"/>
    <w:bookmarkStart w:id="335" w:name="acceptance-tests-18"/>
    <w:p>
      <w:pPr>
        <w:pStyle w:val="Heading3"/>
      </w:pPr>
      <w:r>
        <w:t xml:space="preserve">Acceptance tests</w:t>
      </w:r>
    </w:p>
    <w:p>
      <w:pPr>
        <w:numPr>
          <w:ilvl w:val="0"/>
          <w:numId w:val="1341"/>
        </w:numPr>
        <w:pStyle w:val="Compact"/>
      </w:pPr>
      <w:r>
        <w:t xml:space="preserve">A reopen request for a period whose statements are</w:t>
      </w:r>
      <w:r>
        <w:t xml:space="preserve"> </w:t>
      </w:r>
      <w:r>
        <w:rPr>
          <w:rStyle w:val="VerbatimChar"/>
        </w:rPr>
        <w:t xml:space="preserve">FINAL</w:t>
      </w:r>
      <w:r>
        <w:t xml:space="preserve"> </w:t>
      </w:r>
      <w:r>
        <w:t xml:space="preserve">is refused with the AC2.8 floor cited; a reopen of an unaudited month with CCO concurrence returns it to</w:t>
      </w:r>
      <w:r>
        <w:t xml:space="preserve"> </w:t>
      </w:r>
      <w:r>
        <w:rPr>
          <w:rStyle w:val="VerbatimChar"/>
        </w:rPr>
        <w:t xml:space="preserve">SOFT_CLOSE</w:t>
      </w:r>
      <w:r>
        <w:t xml:space="preserve">, and re-locking re-emits</w:t>
      </w:r>
      <w:r>
        <w:t xml:space="preserve"> </w:t>
      </w:r>
      <w:r>
        <w:rPr>
          <w:rStyle w:val="VerbatimChar"/>
        </w:rPr>
        <w:t xml:space="preserve">PeriodClosed</w:t>
      </w:r>
      <w:r>
        <w:t xml:space="preserve"> </w:t>
      </w:r>
      <w:r>
        <w:t xml:space="preserve">with</w:t>
      </w:r>
      <w:r>
        <w:t xml:space="preserve"> </w:t>
      </w:r>
      <w:r>
        <w:rPr>
          <w:rStyle w:val="VerbatimChar"/>
        </w:rPr>
        <w:t xml:space="preserve">lock_version</w:t>
      </w:r>
      <w:r>
        <w:t xml:space="preserve"> </w:t>
      </w:r>
      <w:r>
        <w:t xml:space="preserve">2.</w:t>
      </w:r>
    </w:p>
    <w:p>
      <w:pPr>
        <w:numPr>
          <w:ilvl w:val="0"/>
          <w:numId w:val="1341"/>
        </w:numPr>
        <w:pStyle w:val="Compact"/>
      </w:pPr>
      <w:r>
        <w:t xml:space="preserve">With</w:t>
      </w:r>
      <w:r>
        <w:t xml:space="preserve"> </w:t>
      </w:r>
      <w:r>
        <w:rPr>
          <w:rStyle w:val="VerbatimChar"/>
        </w:rPr>
        <w:t xml:space="preserve">share_close_status_with_hub</w:t>
      </w:r>
      <w:r>
        <w:t xml:space="preserve"> </w:t>
      </w:r>
      <w:r>
        <w:t xml:space="preserve">off, the Operations Hub receives no finance event; with it on, it receives</w:t>
      </w:r>
      <w:r>
        <w:t xml:space="preserve"> </w:t>
      </w:r>
      <w:r>
        <w:rPr>
          <w:rStyle w:val="VerbatimChar"/>
        </w:rPr>
        <w:t xml:space="preserve">PeriodClosed</w:t>
      </w:r>
      <w:r>
        <w:t xml:space="preserve"> </w:t>
      </w:r>
      <w:r>
        <w:t xml:space="preserve">metadata without balances or hashes, and never</w:t>
      </w:r>
      <w:r>
        <w:t xml:space="preserve"> </w:t>
      </w:r>
      <w:r>
        <w:rPr>
          <w:rStyle w:val="VerbatimChar"/>
        </w:rPr>
        <w:t xml:space="preserve">InterestCertificateIssued</w:t>
      </w:r>
      <w:r>
        <w:t xml:space="preserve">.</w:t>
      </w:r>
    </w:p>
    <w:p>
      <w:pPr>
        <w:numPr>
          <w:ilvl w:val="0"/>
          <w:numId w:val="1341"/>
        </w:numPr>
        <w:pStyle w:val="Compact"/>
      </w:pPr>
      <w:r>
        <w:rPr>
          <w:rStyle w:val="VerbatimChar"/>
        </w:rPr>
        <w:t xml:space="preserve">FinancialStatementsApproved</w:t>
      </w:r>
      <w:r>
        <w:t xml:space="preserve"> </w:t>
      </w:r>
      <w:r>
        <w:t xml:space="preserve">is not emitted until both the Board date and the audit report date are recorded.</w:t>
      </w:r>
    </w:p>
    <w:p>
      <w:pPr>
        <w:numPr>
          <w:ilvl w:val="0"/>
          <w:numId w:val="1341"/>
        </w:numPr>
        <w:pStyle w:val="Compact"/>
      </w:pPr>
      <w:r>
        <w:t xml:space="preserve">A bulk IMS</w:t>
      </w:r>
      <w:r>
        <w:t xml:space="preserve"> </w:t>
      </w:r>
      <w:r>
        <w:t xml:space="preserve">“</w:t>
      </w:r>
      <w:r>
        <w:t xml:space="preserve">accept</w:t>
      </w:r>
      <w:r>
        <w:t xml:space="preserve">”</w:t>
      </w:r>
      <w:r>
        <w:t xml:space="preserve"> </w:t>
      </w:r>
      <w:r>
        <w:t xml:space="preserve">by a maker stays pending until a checker approves it.</w:t>
      </w:r>
    </w:p>
    <w:p>
      <w:r>
        <w:pict>
          <v:rect style="width:0;height:1.5pt" o:hralign="center" o:hrstd="t" o:hr="t"/>
        </w:pict>
      </w:r>
    </w:p>
    <w:bookmarkEnd w:id="335"/>
    <w:bookmarkEnd w:id="336"/>
    <w:bookmarkEnd w:id="337"/>
    <w:bookmarkStart w:id="397" w:name="part-7d-audit-and-assurance-suite"/>
    <w:p>
      <w:pPr>
        <w:pStyle w:val="Heading1"/>
      </w:pPr>
      <w:r>
        <w:t xml:space="preserve">PART 7D — AUDIT AND ASSURANCE SUITE</w:t>
      </w:r>
    </w:p>
    <w:p>
      <w:pPr>
        <w:pStyle w:val="FirstParagraph"/>
      </w:pPr>
      <w:r>
        <w:rPr>
          <w:bCs/>
          <w:b/>
        </w:rPr>
        <w:t xml:space="preserve">Purpose.</w:t>
      </w:r>
      <w:r>
        <w:t xml:space="preserve"> </w:t>
      </w:r>
      <w:r>
        <w:t xml:space="preserve">Part 7D gives every Finbyx tenant one assurance workspace for all audits that touch a regulated lender: internal audit and risk-based internal audit (RBIA), concurrent audit, information systems (IS) audit, IT general-controls audit, VAPT tracking, statutory and external audit support, secretarial audit and Secretarial Standards compliance. It also provides the time-bound, read-only workspaces through which auditors and supervisors (RBI, NHB, NABARD, IFSCA, Registrars of Co-operative Societies) see tenant data. Finbyx is the</w:t>
      </w:r>
      <w:r>
        <w:t xml:space="preserve"> </w:t>
      </w:r>
      <w:r>
        <w:rPr>
          <w:bCs/>
          <w:b/>
        </w:rPr>
        <w:t xml:space="preserve">tooling</w:t>
      </w:r>
      <w:r>
        <w:t xml:space="preserve">; the tenant’s auditors own every opinion, report and finding. Finbyx never performs internal audit for a tenant (OUT para 15; IAF para 39) and never files a return on an auditor’s behalf.</w:t>
      </w:r>
    </w:p>
    <w:p>
      <w:pPr>
        <w:pStyle w:val="BodyText"/>
      </w:pPr>
      <w:r>
        <w:rPr>
          <w:bCs/>
          <w:b/>
        </w:rPr>
        <w:t xml:space="preserve">What this Part extends (do not re-specify).</w:t>
      </w:r>
      <w:r>
        <w:t xml:space="preserve"> </w:t>
      </w:r>
      <w:r>
        <w:t xml:space="preserve">Part 8A.32 (IAF: applicability, Board/ACB duties, policy, 10 parameters, HIA rules), 8A.33 (SA: auditor register, Form A/B, eligibility, tenure), 8A.15 (AUD: what the auditor reports), 8A.12 (CYB: IS audit, VA/PT, audit trails), 8A.29 and Part 10.6 (OUT: vendor access and audit rights), M14 (auditor register, compliance calendar, RMP/MAP), M12 (fraud audit timelines) and Part 7C AC7 (statutory audit trail and Rule 11(g) data). Part 7D adds the engagement engine, workpapers, sampling, evidence, findings, ATR tracking, the audit-type packs and the external-access workspace.</w:t>
      </w:r>
    </w:p>
    <w:p>
      <w:pPr>
        <w:pStyle w:val="BodyText"/>
      </w:pPr>
      <w:r>
        <w:rPr>
          <w:bCs/>
          <w:b/>
        </w:rPr>
        <w:t xml:space="preserve">Applicability.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72"/>
        <w:gridCol w:w="4521"/>
        <w:gridCol w:w="3245"/>
      </w:tblGrid>
      <w:tr>
        <w:trPr>
          <w:tblHeader w:val="true"/>
          <w:tblHeader w:val="true"/>
        </w:trPr>
        <w:tc>
          <w:tcPr>
            <w:tcW w:w="1872" w:type="dxa"/>
            <w:shd w:val="clear" w:color="auto" w:fill="1F3A5F"/>
          </w:tcPr>
          <w:p>
            <w:pPr>
              <w:pStyle w:val="Compact"/>
              <w:spacing w:after="40"/>
              <w:jc w:val="left"/>
            </w:pPr>
            <w:r>
              <w:rPr>
                <w:b/>
                <w:color w:val="FFFFFF"/>
                <w:sz w:val="18"/>
              </w:rPr>
              <w:t xml:space="preserve">Capability</w:t>
            </w:r>
          </w:p>
        </w:tc>
        <w:tc>
          <w:tcPr>
            <w:tcW w:w="4521" w:type="dxa"/>
            <w:shd w:val="clear" w:color="auto" w:fill="1F3A5F"/>
          </w:tcPr>
          <w:p>
            <w:pPr>
              <w:pStyle w:val="Compact"/>
              <w:spacing w:after="40"/>
              <w:jc w:val="left"/>
            </w:pPr>
            <w:r>
              <w:rPr>
                <w:b/>
                <w:color w:val="FFFFFF"/>
                <w:sz w:val="18"/>
              </w:rPr>
              <w:t xml:space="preserve">Mandatory for (law or regulation)</w:t>
            </w:r>
          </w:p>
        </w:tc>
        <w:tc>
          <w:tcPr>
            <w:tcW w:w="3245" w:type="dxa"/>
            <w:shd w:val="clear" w:color="auto" w:fill="1F3A5F"/>
          </w:tcPr>
          <w:p>
            <w:pPr>
              <w:pStyle w:val="Compact"/>
              <w:spacing w:after="40"/>
              <w:jc w:val="left"/>
            </w:pPr>
            <w:r>
              <w:rPr>
                <w:b/>
                <w:color w:val="FFFFFF"/>
                <w:sz w:val="18"/>
              </w:rPr>
              <w:t xml:space="preserve">Offered to (recommendation)</w:t>
            </w:r>
          </w:p>
        </w:tc>
      </w:tr>
      <w:tr>
        <w:tc>
          <w:tcPr>
            <w:tcW w:w="1872" w:type="dxa"/>
          </w:tcPr>
          <w:p>
            <w:pPr>
              <w:pStyle w:val="Compact"/>
              <w:spacing w:after="40"/>
              <w:jc w:val="left"/>
            </w:pPr>
            <w:r>
              <w:rPr>
                <w:sz w:val="18"/>
              </w:rPr>
              <w:t xml:space="preserve">RBIA and HIA controls (AU1, AU3)</w:t>
            </w:r>
          </w:p>
        </w:tc>
        <w:tc>
          <w:tcPr>
            <w:tcW w:w="4521" w:type="dxa"/>
          </w:tcPr>
          <w:p>
            <w:pPr>
              <w:pStyle w:val="Compact"/>
              <w:spacing w:after="40"/>
              <w:jc w:val="left"/>
            </w:pPr>
            <w:r>
              <w:rPr>
                <w:sz w:val="18"/>
              </w:rPr>
              <w:t xml:space="preserve">NBFC-D, HFC-D; NBFC-ND and HFC-ND with assets ≥ ₹5,000 crore (IAF para 3); commercial banks (Commercial Banks – Internal Audit Function Directions 2026, RBI/DoS/2026-27/413, para 3; excludes SFB, PB, LAB)</w:t>
            </w:r>
          </w:p>
        </w:tc>
        <w:tc>
          <w:tcPr>
            <w:tcW w:w="3245" w:type="dxa"/>
          </w:tcPr>
          <w:p>
            <w:pPr>
              <w:pStyle w:val="Compact"/>
              <w:spacing w:after="40"/>
              <w:jc w:val="left"/>
            </w:pPr>
            <w:r>
              <w:rPr>
                <w:sz w:val="18"/>
              </w:rPr>
              <w:t xml:space="preserve">Every tenant, including BL NBFCs, MFIs, CICs, ARCs, credit co-operative societies and IFSC entities [REC]</w:t>
            </w:r>
          </w:p>
        </w:tc>
      </w:tr>
      <w:tr>
        <w:tc>
          <w:tcPr>
            <w:tcW w:w="1872" w:type="dxa"/>
          </w:tcPr>
          <w:p>
            <w:pPr>
              <w:pStyle w:val="Compact"/>
              <w:spacing w:after="40"/>
              <w:jc w:val="left"/>
            </w:pPr>
            <w:r>
              <w:rPr>
                <w:sz w:val="18"/>
              </w:rPr>
              <w:t xml:space="preserve">Concurrent audit (AU3)</w:t>
            </w:r>
          </w:p>
        </w:tc>
        <w:tc>
          <w:tcPr>
            <w:tcW w:w="4521" w:type="dxa"/>
          </w:tcPr>
          <w:p>
            <w:pPr>
              <w:pStyle w:val="Compact"/>
              <w:spacing w:after="40"/>
              <w:jc w:val="left"/>
            </w:pPr>
            <w:r>
              <w:rPr>
                <w:sz w:val="18"/>
              </w:rPr>
              <w:t xml:space="preserve">Commercial banks (Commercial Banks – Concurrent Audit Directions 2026) [VERIFY: coverage, scope and appointment — PDF not read]; UCBs, StCBs and DCCBs per RBI/NABARD instructions [VERIFY]</w:t>
            </w:r>
          </w:p>
        </w:tc>
        <w:tc>
          <w:tcPr>
            <w:tcW w:w="3245" w:type="dxa"/>
          </w:tcPr>
          <w:p>
            <w:pPr>
              <w:pStyle w:val="Compact"/>
              <w:spacing w:after="40"/>
              <w:jc w:val="left"/>
            </w:pPr>
            <w:r>
              <w:rPr>
                <w:sz w:val="18"/>
              </w:rPr>
              <w:t xml:space="preserve">NBFCs and credit co-operative societies as a voluntary control [REC]</w:t>
            </w:r>
          </w:p>
        </w:tc>
      </w:tr>
      <w:tr>
        <w:tc>
          <w:tcPr>
            <w:tcW w:w="1872" w:type="dxa"/>
          </w:tcPr>
          <w:p>
            <w:pPr>
              <w:pStyle w:val="Compact"/>
              <w:spacing w:after="40"/>
              <w:jc w:val="left"/>
            </w:pPr>
            <w:r>
              <w:rPr>
                <w:sz w:val="18"/>
              </w:rPr>
              <w:t xml:space="preserve">IS audit (AU4)</w:t>
            </w:r>
          </w:p>
        </w:tc>
        <w:tc>
          <w:tcPr>
            <w:tcW w:w="4521" w:type="dxa"/>
          </w:tcPr>
          <w:p>
            <w:pPr>
              <w:pStyle w:val="Compact"/>
              <w:spacing w:after="40"/>
              <w:jc w:val="left"/>
            </w:pPr>
            <w:r>
              <w:rPr>
                <w:sz w:val="18"/>
              </w:rPr>
              <w:t xml:space="preserve">BL ≥ ₹500 crore (CYB paras 47–58); ML, UL, TL excluding CICs (CYB paras 149–154); banks per bank IT directions</w:t>
            </w:r>
          </w:p>
        </w:tc>
        <w:tc>
          <w:tcPr>
            <w:tcW w:w="3245" w:type="dxa"/>
          </w:tcPr>
          <w:p>
            <w:pPr>
              <w:pStyle w:val="Compact"/>
              <w:spacing w:after="40"/>
              <w:jc w:val="left"/>
            </w:pPr>
            <w:r>
              <w:rPr>
                <w:sz w:val="18"/>
              </w:rPr>
              <w:t xml:space="preserve">BL &lt; ₹500 crore and CICs (CYB Ch III has no IS audit mandate) [REC]</w:t>
            </w:r>
          </w:p>
        </w:tc>
      </w:tr>
      <w:tr>
        <w:tc>
          <w:tcPr>
            <w:tcW w:w="1872" w:type="dxa"/>
          </w:tcPr>
          <w:p>
            <w:pPr>
              <w:pStyle w:val="Compact"/>
              <w:spacing w:after="40"/>
              <w:jc w:val="left"/>
            </w:pPr>
            <w:r>
              <w:rPr>
                <w:sz w:val="18"/>
              </w:rPr>
              <w:t xml:space="preserve">VAPT tracking (AU4)</w:t>
            </w:r>
          </w:p>
        </w:tc>
        <w:tc>
          <w:tcPr>
            <w:tcW w:w="4521" w:type="dxa"/>
          </w:tcPr>
          <w:p>
            <w:pPr>
              <w:pStyle w:val="Compact"/>
              <w:spacing w:after="40"/>
              <w:jc w:val="left"/>
            </w:pPr>
            <w:r>
              <w:rPr>
                <w:sz w:val="18"/>
              </w:rPr>
              <w:t xml:space="preserve">ML and above: VA ≥ every 6 months, PT ≥ every 12 months for critical and DMZ systems (CYB paras 121–126); BL ≥ ₹500 crore: vulnerability management (CYB para 23)</w:t>
            </w:r>
          </w:p>
        </w:tc>
        <w:tc>
          <w:tcPr>
            <w:tcW w:w="3245" w:type="dxa"/>
          </w:tcPr>
          <w:p>
            <w:pPr>
              <w:pStyle w:val="Compact"/>
              <w:spacing w:after="40"/>
              <w:jc w:val="left"/>
            </w:pPr>
            <w:r>
              <w:rPr>
                <w:sz w:val="18"/>
              </w:rPr>
              <w:t xml:space="preserve">All tenants</w:t>
            </w:r>
          </w:p>
        </w:tc>
      </w:tr>
      <w:tr>
        <w:tc>
          <w:tcPr>
            <w:tcW w:w="1872" w:type="dxa"/>
          </w:tcPr>
          <w:p>
            <w:pPr>
              <w:pStyle w:val="Compact"/>
              <w:spacing w:after="40"/>
              <w:jc w:val="left"/>
            </w:pPr>
            <w:r>
              <w:rPr>
                <w:sz w:val="18"/>
              </w:rPr>
              <w:t xml:space="preserve">Statutory audit support (AU5)</w:t>
            </w:r>
          </w:p>
        </w:tc>
        <w:tc>
          <w:tcPr>
            <w:tcW w:w="4521" w:type="dxa"/>
          </w:tcPr>
          <w:p>
            <w:pPr>
              <w:pStyle w:val="Compact"/>
              <w:spacing w:after="40"/>
              <w:jc w:val="left"/>
            </w:pPr>
            <w:r>
              <w:rPr>
                <w:sz w:val="18"/>
              </w:rPr>
              <w:t xml:space="preserve">All NBFCs including HFCs (SA para 3; non-deposit NBFCs &lt; ₹1,000 crore may keep their extant procedure); AUD for NBFC auditors (HFC auditors excluded); CARO 2020 for companies in scope</w:t>
            </w:r>
          </w:p>
        </w:tc>
        <w:tc>
          <w:tcPr>
            <w:tcW w:w="3245" w:type="dxa"/>
          </w:tcPr>
          <w:p>
            <w:pPr>
              <w:pStyle w:val="Compact"/>
              <w:spacing w:after="40"/>
              <w:jc w:val="left"/>
            </w:pPr>
            <w:r>
              <w:rPr>
                <w:sz w:val="18"/>
              </w:rPr>
              <w:t xml:space="preserve">Banks, co-operatives (state-panel or Central Registrar-panel auditors), ARCs, AIF companies</w:t>
            </w:r>
          </w:p>
        </w:tc>
      </w:tr>
      <w:tr>
        <w:tc>
          <w:tcPr>
            <w:tcW w:w="1872" w:type="dxa"/>
          </w:tcPr>
          <w:p>
            <w:pPr>
              <w:pStyle w:val="Compact"/>
              <w:spacing w:after="40"/>
              <w:jc w:val="left"/>
            </w:pPr>
            <w:r>
              <w:rPr>
                <w:sz w:val="18"/>
              </w:rPr>
              <w:t xml:space="preserve">Secretarial audit (AU6)</w:t>
            </w:r>
          </w:p>
        </w:tc>
        <w:tc>
          <w:tcPr>
            <w:tcW w:w="4521" w:type="dxa"/>
          </w:tcPr>
          <w:p>
            <w:pPr>
              <w:pStyle w:val="Compact"/>
              <w:spacing w:after="40"/>
              <w:jc w:val="left"/>
            </w:pPr>
            <w:r>
              <w:rPr>
                <w:sz w:val="18"/>
              </w:rPr>
              <w:t xml:space="preserve">Companies meeting CA13 s.204 / Rule 9 thresholds; listed entities and material unlisted Indian subsidiaries (LODR Reg 24A)</w:t>
            </w:r>
          </w:p>
        </w:tc>
        <w:tc>
          <w:tcPr>
            <w:tcW w:w="3245" w:type="dxa"/>
          </w:tcPr>
          <w:p>
            <w:pPr>
              <w:pStyle w:val="Compact"/>
              <w:spacing w:after="40"/>
              <w:jc w:val="left"/>
            </w:pPr>
            <w:r>
              <w:rPr>
                <w:sz w:val="18"/>
              </w:rPr>
              <w:t xml:space="preserve">Every company tenant (SS-1 and SS-2 checks apply to all companies under CA13 s.118(10))</w:t>
            </w:r>
          </w:p>
        </w:tc>
      </w:tr>
      <w:tr>
        <w:tc>
          <w:tcPr>
            <w:tcW w:w="1872" w:type="dxa"/>
          </w:tcPr>
          <w:p>
            <w:pPr>
              <w:pStyle w:val="Compact"/>
              <w:spacing w:after="40"/>
              <w:jc w:val="left"/>
            </w:pPr>
            <w:r>
              <w:rPr>
                <w:sz w:val="18"/>
              </w:rPr>
              <w:t xml:space="preserve">External read-only workspaces (AU7)</w:t>
            </w:r>
          </w:p>
        </w:tc>
        <w:tc>
          <w:tcPr>
            <w:tcW w:w="4521" w:type="dxa"/>
          </w:tcPr>
          <w:p>
            <w:pPr>
              <w:pStyle w:val="Compact"/>
              <w:spacing w:after="40"/>
              <w:jc w:val="left"/>
            </w:pPr>
            <w:r>
              <w:rPr>
                <w:sz w:val="18"/>
              </w:rPr>
              <w:t xml:space="preserve">BL ≥ ₹500 crore: read-only MIS for RBI supervisors and audit-mode access (CYB paras 46, 57); every NBFC tenant through the outsourcing clauses (OUT paras 34(vii)–(ix), 74(ii), 74(xii))</w:t>
            </w:r>
          </w:p>
        </w:tc>
        <w:tc>
          <w:tcPr>
            <w:tcW w:w="3245" w:type="dxa"/>
          </w:tcPr>
          <w:p>
            <w:pPr>
              <w:pStyle w:val="Compact"/>
              <w:spacing w:after="40"/>
              <w:jc w:val="left"/>
            </w:pPr>
            <w:r>
              <w:rPr>
                <w:sz w:val="18"/>
              </w:rPr>
              <w:t xml:space="preserve">All tenants, all regulators; built once for every layer (see AU7.1)</w:t>
            </w:r>
          </w:p>
        </w:tc>
      </w:tr>
    </w:tbl>
    <w:p>
      <w:pPr>
        <w:pStyle w:val="BodyText"/>
      </w:pPr>
      <w:r>
        <w:rPr>
          <w:bCs/>
          <w:b/>
        </w:rPr>
        <w:t xml:space="preserve">REQ-ID / Direction codes used.</w:t>
      </w:r>
      <w:r>
        <w:t xml:space="preserve"> </w:t>
      </w:r>
      <w:r>
        <w:t xml:space="preserve">IAF, SA, AUD, CYB, OUT, GOV, CMP, CRM, FRM, MSD, MISC, SR, FS, IRACP; from Part 8A.37:</w:t>
      </w:r>
      <w:r>
        <w:t xml:space="preserve"> </w:t>
      </w:r>
      <w:r>
        <w:rPr>
          <w:rStyle w:val="VerbatimChar"/>
        </w:rPr>
        <w:t xml:space="preserve">CB-IA</w:t>
      </w:r>
      <w:r>
        <w:t xml:space="preserve"> </w:t>
      </w:r>
      <w:r>
        <w:t xml:space="preserve">(Commercial Banks – Internal Audit Function Directions 2026, RBI/DoS/2026-27/413),</w:t>
      </w:r>
      <w:r>
        <w:t xml:space="preserve"> </w:t>
      </w:r>
      <w:r>
        <w:rPr>
          <w:rStyle w:val="VerbatimChar"/>
        </w:rPr>
        <w:t xml:space="preserve">CB-CA</w:t>
      </w:r>
      <w:r>
        <w:t xml:space="preserve"> </w:t>
      </w:r>
      <w:r>
        <w:t xml:space="preserve">(Commercial Banks – Concurrent Audit Directions 2026),</w:t>
      </w:r>
      <w:r>
        <w:t xml:space="preserve"> </w:t>
      </w:r>
      <w:r>
        <w:rPr>
          <w:rStyle w:val="VerbatimChar"/>
        </w:rPr>
        <w:t xml:space="preserve">CA13</w:t>
      </w:r>
      <w:r>
        <w:t xml:space="preserve">,</w:t>
      </w:r>
      <w:r>
        <w:t xml:space="preserve"> </w:t>
      </w:r>
      <w:r>
        <w:rPr>
          <w:rStyle w:val="VerbatimChar"/>
        </w:rPr>
        <w:t xml:space="preserve">ICAI</w:t>
      </w:r>
      <w:r>
        <w:t xml:space="preserve">,</w:t>
      </w:r>
      <w:r>
        <w:t xml:space="preserve"> </w:t>
      </w:r>
      <w:r>
        <w:rPr>
          <w:rStyle w:val="VerbatimChar"/>
        </w:rPr>
        <w:t xml:space="preserve">ICSI</w:t>
      </w:r>
      <w:r>
        <w:t xml:space="preserve">,</w:t>
      </w:r>
      <w:r>
        <w:t xml:space="preserve"> </w:t>
      </w:r>
      <w:r>
        <w:rPr>
          <w:rStyle w:val="VerbatimChar"/>
        </w:rPr>
        <w:t xml:space="preserve">LODR</w:t>
      </w:r>
      <w:r>
        <w:t xml:space="preserve">,</w:t>
      </w:r>
      <w:r>
        <w:t xml:space="preserve"> </w:t>
      </w:r>
      <w:r>
        <w:rPr>
          <w:rStyle w:val="VerbatimChar"/>
        </w:rPr>
        <w:t xml:space="preserve">DPDP</w:t>
      </w:r>
      <w:r>
        <w:t xml:space="preserve">,</w:t>
      </w:r>
      <w:r>
        <w:t xml:space="preserve"> </w:t>
      </w:r>
      <w:r>
        <w:rPr>
          <w:rStyle w:val="VerbatimChar"/>
        </w:rPr>
        <w:t xml:space="preserve">MSCS</w:t>
      </w:r>
      <w:r>
        <w:t xml:space="preserve">,</w:t>
      </w:r>
      <w:r>
        <w:t xml:space="preserve"> </w:t>
      </w:r>
      <w:r>
        <w:rPr>
          <w:rStyle w:val="VerbatimChar"/>
        </w:rPr>
        <w:t xml:space="preserve">SCS</w:t>
      </w:r>
      <w:r>
        <w:t xml:space="preserve">. Labels: [LAW] statute or rules; [REG] RBI/SEBI/IFSCA instrument; [ICAI] or [ICSI] professional standard or guidance; [REC] Finbyx recommendation; [interpretation: …] where the text is silent.</w:t>
      </w:r>
    </w:p>
    <w:p>
      <w:pPr>
        <w:pStyle w:val="BodyText"/>
      </w:pPr>
      <w:r>
        <w:rPr>
          <w:bCs/>
          <w:b/>
        </w:rPr>
        <w:t xml:space="preserve">Data owned.</w:t>
      </w:r>
      <w:r>
        <w:t xml:space="preserve"> </w:t>
      </w:r>
      <w:r>
        <w:t xml:space="preserve">Audit universe, risk assessments, plans, engagements, workpapers, samples, evidence links, findings, management responses, action items, ATRs, QAIP records, VAPT trackers, PBC lists, checklist runs, secretarial-audit files and external-access records. Source records (loans, ledger, configuration, logs) stay owned by their modules; Part 7D stores only references and hash-pinned snapshots. Events (Integration Specification v1.1,</w:t>
      </w:r>
      <w:r>
        <w:t xml:space="preserve"> </w:t>
      </w:r>
      <w:r>
        <w:rPr>
          <w:rStyle w:val="VerbatimChar"/>
        </w:rPr>
        <w:t xml:space="preserve">audit</w:t>
      </w:r>
      <w:r>
        <w:t xml:space="preserve"> </w:t>
      </w:r>
      <w:r>
        <w:t xml:space="preserve">domain):</w:t>
      </w:r>
      <w:r>
        <w:t xml:space="preserve"> </w:t>
      </w:r>
      <w:r>
        <w:rPr>
          <w:rStyle w:val="VerbatimChar"/>
        </w:rPr>
        <w:t xml:space="preserve">AuditEngagementOpened</w:t>
      </w:r>
      <w:r>
        <w:t xml:space="preserve">,</w:t>
      </w:r>
      <w:r>
        <w:t xml:space="preserve"> </w:t>
      </w:r>
      <w:r>
        <w:rPr>
          <w:rStyle w:val="VerbatimChar"/>
        </w:rPr>
        <w:t xml:space="preserve">AuditFindingRaised</w:t>
      </w:r>
      <w:r>
        <w:t xml:space="preserve">,</w:t>
      </w:r>
      <w:r>
        <w:t xml:space="preserve"> </w:t>
      </w:r>
      <w:r>
        <w:rPr>
          <w:rStyle w:val="VerbatimChar"/>
        </w:rPr>
        <w:t xml:space="preserve">AuditFindingClosed</w:t>
      </w:r>
      <w:r>
        <w:t xml:space="preserve">,</w:t>
      </w:r>
      <w:r>
        <w:t xml:space="preserve"> </w:t>
      </w:r>
      <w:r>
        <w:rPr>
          <w:rStyle w:val="VerbatimChar"/>
        </w:rPr>
        <w:t xml:space="preserve">ExternalAccessGranted</w:t>
      </w:r>
      <w:r>
        <w:t xml:space="preserve">,</w:t>
      </w:r>
      <w:r>
        <w:t xml:space="preserve"> </w:t>
      </w:r>
      <w:r>
        <w:rPr>
          <w:rStyle w:val="VerbatimChar"/>
        </w:rPr>
        <w:t xml:space="preserve">ExternalAccessRevoked</w:t>
      </w:r>
      <w:r>
        <w:t xml:space="preserve">,</w:t>
      </w:r>
      <w:r>
        <w:t xml:space="preserve"> </w:t>
      </w:r>
      <w:r>
        <w:rPr>
          <w:rStyle w:val="VerbatimChar"/>
        </w:rPr>
        <w:t xml:space="preserve">ExternalAccessUsed</w:t>
      </w:r>
      <w:r>
        <w:t xml:space="preserve">; reuse</w:t>
      </w:r>
      <w:r>
        <w:t xml:space="preserve"> </w:t>
      </w:r>
      <w:r>
        <w:rPr>
          <w:rStyle w:val="VerbatimChar"/>
        </w:rPr>
        <w:t xml:space="preserve">ControlTestResultPublished</w:t>
      </w:r>
      <w:r>
        <w:t xml:space="preserve">,</w:t>
      </w:r>
      <w:r>
        <w:t xml:space="preserve"> </w:t>
      </w:r>
      <w:r>
        <w:rPr>
          <w:rStyle w:val="VerbatimChar"/>
        </w:rPr>
        <w:t xml:space="preserve">EvidenceSubmitted</w:t>
      </w:r>
      <w:r>
        <w:t xml:space="preserve"> </w:t>
      </w:r>
      <w:r>
        <w:t xml:space="preserve">and</w:t>
      </w:r>
      <w:r>
        <w:t xml:space="preserve"> </w:t>
      </w:r>
      <w:r>
        <w:rPr>
          <w:rStyle w:val="VerbatimChar"/>
        </w:rPr>
        <w:t xml:space="preserve">ComplianceIssueRaised</w:t>
      </w:r>
      <w:r>
        <w:t xml:space="preserve"> </w:t>
      </w:r>
      <w:r>
        <w:t xml:space="preserve">towards LawDocsComply.</w:t>
      </w:r>
    </w:p>
    <w:p>
      <w:pPr>
        <w:pStyle w:val="BodyText"/>
      </w:pPr>
      <w:r>
        <w:rPr>
          <w:bCs/>
          <w:b/>
        </w:rPr>
        <w:t xml:space="preserve">Design rules.</w:t>
      </w:r>
      <w:r>
        <w:t xml:space="preserve"> </w:t>
      </w:r>
      <w:r>
        <w:t xml:space="preserve">(1) Audit roles are segregated from business, risk and compliance roles in the SoD matrix (M19); auditors write only audit objects. (2) Finbyx pre-fills data, scores and samples; ratings, conclusions and opinions are decisions of named auditors (M20 may draft, a human signs). (3) Every sample and system evidence item is reproducible from a population hash, a seed and a source snapshot. (4) Methodology is versioned configuration; regulatory minimums (for example IAF para 31’s ten parameters) are locked. (5) Only items derived from the Standards on Auditing, CARO 2020, Rule 11(g) or an RBI Direction are labelled</w:t>
      </w:r>
      <w:r>
        <w:t xml:space="preserve"> </w:t>
      </w:r>
      <w:r>
        <w:t xml:space="preserve">“</w:t>
      </w:r>
      <w:r>
        <w:t xml:space="preserve">mandatory</w:t>
      </w:r>
      <w:r>
        <w:t xml:space="preserve">”</w:t>
      </w:r>
      <w:r>
        <w:t xml:space="preserve">; ICAI Technical Guides and Guidance Notes are</w:t>
      </w:r>
      <w:r>
        <w:t xml:space="preserve"> </w:t>
      </w:r>
      <w:r>
        <w:t xml:space="preserve">“</w:t>
      </w:r>
      <w:r>
        <w:t xml:space="preserve">recommendatory</w:t>
      </w:r>
      <w:r>
        <w:t xml:space="preserve">”</w:t>
      </w:r>
      <w:r>
        <w:t xml:space="preserve">; Standards on Internal Audit follow their phased dates [VERIFY].</w:t>
      </w:r>
    </w:p>
    <w:p>
      <w:r>
        <w:pict>
          <v:rect style="width:0;height:1.5pt" o:hralign="center" o:hrstd="t" o:hr="t"/>
        </w:pict>
      </w:r>
    </w:p>
    <w:bookmarkStart w:id="345" w:name="X6c6f099330496ebbc76128357fa068c17504aa0"/>
    <w:p>
      <w:pPr>
        <w:pStyle w:val="Heading2"/>
      </w:pPr>
      <w:r>
        <w:t xml:space="preserve">AU1. Audit universe, risk assessment and planning</w:t>
      </w:r>
    </w:p>
    <w:bookmarkStart w:id="338" w:name="au1.1-audit-universe"/>
    <w:p>
      <w:pPr>
        <w:pStyle w:val="Heading3"/>
      </w:pPr>
      <w:r>
        <w:t xml:space="preserve">AU1.1 Audit universe</w:t>
      </w:r>
    </w:p>
    <w:p>
      <w:pPr>
        <w:numPr>
          <w:ilvl w:val="0"/>
          <w:numId w:val="1342"/>
        </w:numPr>
        <w:pStyle w:val="Compact"/>
      </w:pPr>
      <w:r>
        <w:rPr>
          <w:bCs/>
          <w:b/>
        </w:rPr>
        <w:t xml:space="preserve">Units.</w:t>
      </w:r>
      <w:r>
        <w:t xml:space="preserve"> </w:t>
      </w:r>
      <w:r>
        <w:t xml:space="preserve">Every auditable unit is an</w:t>
      </w:r>
      <w:r>
        <w:t xml:space="preserve"> </w:t>
      </w:r>
      <w:r>
        <w:rPr>
          <w:rStyle w:val="VerbatimChar"/>
        </w:rPr>
        <w:t xml:space="preserve">audit_universe_unit</w:t>
      </w:r>
      <w:r>
        <w:t xml:space="preserve"> </w:t>
      </w:r>
      <w:r>
        <w:t xml:space="preserve">(existing entity) of a type: branch, fixed-point service delivery unit, hub, department, process, product, IT system, outsourced arrangement, legal entity, LSP/DLA, co-lending arrangement, securitisation SPV servicing book, group company. Risk Management and Compliance are mandatory units (IAF para 26); every critical process and IT system is a mandatory unit for system and process audit (IAF para 34).</w:t>
      </w:r>
    </w:p>
    <w:p>
      <w:pPr>
        <w:numPr>
          <w:ilvl w:val="0"/>
          <w:numId w:val="1342"/>
        </w:numPr>
        <w:pStyle w:val="Compact"/>
      </w:pPr>
      <w:r>
        <w:rPr>
          <w:bCs/>
          <w:b/>
        </w:rPr>
        <w:t xml:space="preserve">Auto-population.</w:t>
      </w:r>
      <w:r>
        <w:t xml:space="preserve"> </w:t>
      </w:r>
      <w:r>
        <w:t xml:space="preserve">The universe is seeded and kept current from masters: branches and</w:t>
      </w:r>
      <w:r>
        <w:t xml:space="preserve"> </w:t>
      </w:r>
      <w:r>
        <w:rPr>
          <w:rStyle w:val="VerbatimChar"/>
        </w:rPr>
        <w:t xml:space="preserve">fixed_point_unit</w:t>
      </w:r>
      <w:r>
        <w:t xml:space="preserve"> </w:t>
      </w:r>
      <w:r>
        <w:t xml:space="preserve">flags (M1; MSD para 5), products and product versions (Part 6), IT systems and critical applications (CYB para 21(1) asset inventory), outsourcing arrangements (OUT register, Part 8A.29), DLAs (CF para 18), co-lending and transfer arrangements (M11), recovery vendors (R11) and group entities (SBR). IA must be kept informed of new products and changes in reporting lines and accounting policies (IAF para 23): a new product, branch, critical system, material outsourcing, reporting-line change or accounting-policy change raises a</w:t>
      </w:r>
      <w:r>
        <w:t xml:space="preserve"> </w:t>
      </w:r>
      <w:r>
        <w:t xml:space="preserve">“</w:t>
      </w:r>
      <w:r>
        <w:t xml:space="preserve">universe change</w:t>
      </w:r>
      <w:r>
        <w:t xml:space="preserve">”</w:t>
      </w:r>
      <w:r>
        <w:t xml:space="preserve"> </w:t>
      </w:r>
      <w:r>
        <w:t xml:space="preserve">task to the HIA within 1 working day [REC]; the HIA adds, merges or archives units (archive needs a reason and reviewer approval).</w:t>
      </w:r>
    </w:p>
    <w:p>
      <w:pPr>
        <w:numPr>
          <w:ilvl w:val="0"/>
          <w:numId w:val="1342"/>
        </w:numPr>
        <w:pStyle w:val="Compact"/>
      </w:pPr>
      <w:r>
        <w:rPr>
          <w:bCs/>
          <w:b/>
        </w:rPr>
        <w:t xml:space="preserve">Attributes.</w:t>
      </w:r>
      <w:r>
        <w:t xml:space="preserve"> </w:t>
      </w:r>
      <w:r>
        <w:t xml:space="preserve">Owner, line of defence, last audit date, last rating, policy maximum interval (IAF para 14), regulatory touchpoints (obligation references from M14), linked KRIs (Part 7E RK2), volume measures (AUM, accounts, transactions, cash handled), and open findings.</w:t>
      </w:r>
    </w:p>
    <w:p>
      <w:pPr>
        <w:numPr>
          <w:ilvl w:val="0"/>
          <w:numId w:val="1342"/>
        </w:numPr>
        <w:pStyle w:val="Compact"/>
      </w:pPr>
      <w:r>
        <w:rPr>
          <w:bCs/>
          <w:b/>
        </w:rPr>
        <w:t xml:space="preserve">Coverage clock.</w:t>
      </w:r>
      <w:r>
        <w:t xml:space="preserve"> </w:t>
      </w:r>
      <w:r>
        <w:rPr>
          <w:rStyle w:val="VerbatimChar"/>
        </w:rPr>
        <w:t xml:space="preserve">next_audit_due = last_audit_end + min(policy_max_interval, frequency_for_risk_tier)</w:t>
      </w:r>
      <w:r>
        <w:t xml:space="preserve">. A unit reaching the policy maximum raises a hard alert and is force-included in the next plan; exclusion requires an ACB minute reference (IAF paras 14, 32).</w:t>
      </w:r>
    </w:p>
    <w:bookmarkEnd w:id="338"/>
    <w:bookmarkStart w:id="339" w:name="Xc6f38b05336ddcbf0a1c237493e45afeb3df80e"/>
    <w:p>
      <w:pPr>
        <w:pStyle w:val="Heading3"/>
      </w:pPr>
      <w:r>
        <w:t xml:space="preserve">AU1.2 Risk assessment engine (IAF paras 25–31)</w:t>
      </w:r>
    </w:p>
    <w:p>
      <w:pPr>
        <w:numPr>
          <w:ilvl w:val="0"/>
          <w:numId w:val="1343"/>
        </w:numPr>
        <w:pStyle w:val="Compact"/>
      </w:pPr>
      <w:r>
        <w:rPr>
          <w:bCs/>
          <w:b/>
        </w:rPr>
        <w:t xml:space="preserve">Cycle.</w:t>
      </w:r>
      <w:r>
        <w:t xml:space="preserve"> </w:t>
      </w:r>
      <w:r>
        <w:t xml:space="preserve">At least annual, with ad hoc reassessment on a trigger (IAF para 25): new product, regulatory observation, fraud classification, KRI breach, change of key personnel, significant incident.</w:t>
      </w:r>
    </w:p>
    <w:p>
      <w:pPr>
        <w:numPr>
          <w:ilvl w:val="0"/>
          <w:numId w:val="1343"/>
        </w:numPr>
        <w:pStyle w:val="Compact"/>
      </w:pPr>
      <w:r>
        <w:rPr>
          <w:bCs/>
          <w:b/>
        </w:rPr>
        <w:t xml:space="preserve">Matrix.</w:t>
      </w:r>
      <w:r>
        <w:t xml:space="preserve"> </w:t>
      </w:r>
      <w:r>
        <w:t xml:space="preserve">Inherent business risk × control risk (IAF para 28). Each dimension is scored on the tenant scale (default 1–5), mapped to a level H/M/L with a trend (increasing, stable, decreasing) and a documented basis (IAF para 29).</w:t>
      </w:r>
    </w:p>
    <w:p>
      <w:pPr>
        <w:numPr>
          <w:ilvl w:val="0"/>
          <w:numId w:val="1343"/>
        </w:numPr>
        <w:pStyle w:val="Compact"/>
      </w:pPr>
      <w:r>
        <w:rPr>
          <w:bCs/>
          <w:b/>
        </w:rPr>
        <w:t xml:space="preserve">Ten locked parameters (IAF para 31)</w:t>
      </w:r>
      <w:r>
        <w:t xml:space="preserve"> </w:t>
      </w:r>
      <w:r>
        <w:t xml:space="preserve">with default data sources Finbyx pre-fills; the auditor confirms or overrides each with a reason: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63"/>
        <w:gridCol w:w="3012"/>
        <w:gridCol w:w="3388"/>
        <w:gridCol w:w="1775"/>
      </w:tblGrid>
      <w:tr>
        <w:trPr>
          <w:tblHeader w:val="true"/>
          <w:tblHeader w:val="true"/>
        </w:trPr>
        <w:tc>
          <w:tcPr>
            <w:tcW w:w="1463" w:type="dxa"/>
            <w:shd w:val="clear" w:color="auto" w:fill="1F3A5F"/>
          </w:tcPr>
          <w:p>
            <w:pPr>
              <w:pStyle w:val="Compact"/>
              <w:spacing w:after="40"/>
              <w:jc w:val="left"/>
            </w:pPr>
            <w:r>
              <w:rPr>
                <w:b/>
                <w:color w:val="FFFFFF"/>
                <w:sz w:val="18"/>
              </w:rPr>
              <w:t xml:space="preserve">#</w:t>
            </w:r>
          </w:p>
        </w:tc>
        <w:tc>
          <w:tcPr>
            <w:tcW w:w="3012" w:type="dxa"/>
            <w:shd w:val="clear" w:color="auto" w:fill="1F3A5F"/>
          </w:tcPr>
          <w:p>
            <w:pPr>
              <w:pStyle w:val="Compact"/>
              <w:spacing w:after="40"/>
              <w:jc w:val="left"/>
            </w:pPr>
            <w:r>
              <w:rPr>
                <w:b/>
                <w:color w:val="FFFFFF"/>
                <w:sz w:val="18"/>
              </w:rPr>
              <w:t xml:space="preserve">Parameter</w:t>
            </w:r>
          </w:p>
        </w:tc>
        <w:tc>
          <w:tcPr>
            <w:tcW w:w="3388" w:type="dxa"/>
            <w:shd w:val="clear" w:color="auto" w:fill="1F3A5F"/>
          </w:tcPr>
          <w:p>
            <w:pPr>
              <w:pStyle w:val="Compact"/>
              <w:spacing w:after="40"/>
              <w:jc w:val="left"/>
            </w:pPr>
            <w:r>
              <w:rPr>
                <w:b/>
                <w:color w:val="FFFFFF"/>
                <w:sz w:val="18"/>
              </w:rPr>
              <w:t xml:space="preserve">Default pre-fill source</w:t>
            </w:r>
          </w:p>
        </w:tc>
        <w:tc>
          <w:tcPr>
            <w:tcW w:w="1775" w:type="dxa"/>
            <w:shd w:val="clear" w:color="auto" w:fill="1F3A5F"/>
          </w:tcPr>
          <w:p>
            <w:pPr>
              <w:pStyle w:val="Compact"/>
              <w:spacing w:after="40"/>
              <w:jc w:val="left"/>
            </w:pPr>
            <w:r>
              <w:rPr>
                <w:b/>
                <w:color w:val="FFFFFF"/>
                <w:sz w:val="18"/>
              </w:rPr>
              <w:t xml:space="preserve">Default dimension</w:t>
            </w:r>
          </w:p>
        </w:tc>
      </w:tr>
      <w:tr>
        <w:tc>
          <w:tcPr>
            <w:tcW w:w="1463" w:type="dxa"/>
          </w:tcPr>
          <w:p>
            <w:pPr>
              <w:pStyle w:val="Compact"/>
              <w:spacing w:after="40"/>
              <w:jc w:val="left"/>
            </w:pPr>
            <w:r>
              <w:rPr>
                <w:sz w:val="18"/>
              </w:rPr>
              <w:t xml:space="preserve">1</w:t>
            </w:r>
          </w:p>
        </w:tc>
        <w:tc>
          <w:tcPr>
            <w:tcW w:w="3012" w:type="dxa"/>
          </w:tcPr>
          <w:p>
            <w:pPr>
              <w:pStyle w:val="Compact"/>
              <w:spacing w:after="40"/>
              <w:jc w:val="left"/>
            </w:pPr>
            <w:r>
              <w:rPr>
                <w:sz w:val="18"/>
              </w:rPr>
              <w:t xml:space="preserve">Previous internal audit reports and compliance</w:t>
            </w:r>
          </w:p>
        </w:tc>
        <w:tc>
          <w:tcPr>
            <w:tcW w:w="3388" w:type="dxa"/>
          </w:tcPr>
          <w:p>
            <w:pPr>
              <w:pStyle w:val="Compact"/>
              <w:spacing w:after="40"/>
              <w:jc w:val="left"/>
            </w:pPr>
            <w:r>
              <w:rPr>
                <w:sz w:val="18"/>
              </w:rPr>
              <w:t xml:space="preserve">Open and repeat findings, ATR ageing (AU3)</w:t>
            </w:r>
          </w:p>
        </w:tc>
        <w:tc>
          <w:tcPr>
            <w:tcW w:w="1775" w:type="dxa"/>
          </w:tcPr>
          <w:p>
            <w:pPr>
              <w:pStyle w:val="Compact"/>
              <w:spacing w:after="40"/>
              <w:jc w:val="left"/>
            </w:pPr>
            <w:r>
              <w:rPr>
                <w:sz w:val="18"/>
              </w:rPr>
              <w:t xml:space="preserve">Control</w:t>
            </w:r>
          </w:p>
        </w:tc>
      </w:tr>
      <w:tr>
        <w:tc>
          <w:tcPr>
            <w:tcW w:w="1463" w:type="dxa"/>
          </w:tcPr>
          <w:p>
            <w:pPr>
              <w:pStyle w:val="Compact"/>
              <w:spacing w:after="40"/>
              <w:jc w:val="left"/>
            </w:pPr>
            <w:r>
              <w:rPr>
                <w:sz w:val="18"/>
              </w:rPr>
              <w:t xml:space="preserve">2</w:t>
            </w:r>
          </w:p>
        </w:tc>
        <w:tc>
          <w:tcPr>
            <w:tcW w:w="3012" w:type="dxa"/>
          </w:tcPr>
          <w:p>
            <w:pPr>
              <w:pStyle w:val="Compact"/>
              <w:spacing w:after="40"/>
              <w:jc w:val="left"/>
            </w:pPr>
            <w:r>
              <w:rPr>
                <w:sz w:val="18"/>
              </w:rPr>
              <w:t xml:space="preserve">Proposed changes in business lines or focus</w:t>
            </w:r>
          </w:p>
        </w:tc>
        <w:tc>
          <w:tcPr>
            <w:tcW w:w="3388" w:type="dxa"/>
          </w:tcPr>
          <w:p>
            <w:pPr>
              <w:pStyle w:val="Compact"/>
              <w:spacing w:after="40"/>
              <w:jc w:val="left"/>
            </w:pPr>
            <w:r>
              <w:rPr>
                <w:sz w:val="18"/>
              </w:rPr>
              <w:t xml:space="preserve">Product approvals and pipeline (M14 product gate)</w:t>
            </w:r>
          </w:p>
        </w:tc>
        <w:tc>
          <w:tcPr>
            <w:tcW w:w="1775" w:type="dxa"/>
          </w:tcPr>
          <w:p>
            <w:pPr>
              <w:pStyle w:val="Compact"/>
              <w:spacing w:after="40"/>
              <w:jc w:val="left"/>
            </w:pPr>
            <w:r>
              <w:rPr>
                <w:sz w:val="18"/>
              </w:rPr>
              <w:t xml:space="preserve">Inherent</w:t>
            </w:r>
          </w:p>
        </w:tc>
      </w:tr>
      <w:tr>
        <w:tc>
          <w:tcPr>
            <w:tcW w:w="1463" w:type="dxa"/>
          </w:tcPr>
          <w:p>
            <w:pPr>
              <w:pStyle w:val="Compact"/>
              <w:spacing w:after="40"/>
              <w:jc w:val="left"/>
            </w:pPr>
            <w:r>
              <w:rPr>
                <w:sz w:val="18"/>
              </w:rPr>
              <w:t xml:space="preserve">3</w:t>
            </w:r>
          </w:p>
        </w:tc>
        <w:tc>
          <w:tcPr>
            <w:tcW w:w="3012" w:type="dxa"/>
          </w:tcPr>
          <w:p>
            <w:pPr>
              <w:pStyle w:val="Compact"/>
              <w:spacing w:after="40"/>
              <w:jc w:val="left"/>
            </w:pPr>
            <w:r>
              <w:rPr>
                <w:sz w:val="18"/>
              </w:rPr>
              <w:t xml:space="preserve">Significant change in management or key personnel</w:t>
            </w:r>
          </w:p>
        </w:tc>
        <w:tc>
          <w:tcPr>
            <w:tcW w:w="3388" w:type="dxa"/>
          </w:tcPr>
          <w:p>
            <w:pPr>
              <w:pStyle w:val="Compact"/>
              <w:spacing w:after="40"/>
              <w:jc w:val="left"/>
            </w:pPr>
            <w:r>
              <w:rPr>
                <w:sz w:val="18"/>
              </w:rPr>
              <w:t xml:space="preserve">KMP and role-change events (Part 7F GV1, M19)</w:t>
            </w:r>
          </w:p>
        </w:tc>
        <w:tc>
          <w:tcPr>
            <w:tcW w:w="1775" w:type="dxa"/>
          </w:tcPr>
          <w:p>
            <w:pPr>
              <w:pStyle w:val="Compact"/>
              <w:spacing w:after="40"/>
              <w:jc w:val="left"/>
            </w:pPr>
            <w:r>
              <w:rPr>
                <w:sz w:val="18"/>
              </w:rPr>
              <w:t xml:space="preserve">Control</w:t>
            </w:r>
          </w:p>
        </w:tc>
      </w:tr>
      <w:tr>
        <w:tc>
          <w:tcPr>
            <w:tcW w:w="1463" w:type="dxa"/>
          </w:tcPr>
          <w:p>
            <w:pPr>
              <w:pStyle w:val="Compact"/>
              <w:spacing w:after="40"/>
              <w:jc w:val="left"/>
            </w:pPr>
            <w:r>
              <w:rPr>
                <w:sz w:val="18"/>
              </w:rPr>
              <w:t xml:space="preserve">4</w:t>
            </w:r>
          </w:p>
        </w:tc>
        <w:tc>
          <w:tcPr>
            <w:tcW w:w="3012" w:type="dxa"/>
          </w:tcPr>
          <w:p>
            <w:pPr>
              <w:pStyle w:val="Compact"/>
              <w:spacing w:after="40"/>
              <w:jc w:val="left"/>
            </w:pPr>
            <w:r>
              <w:rPr>
                <w:sz w:val="18"/>
              </w:rPr>
              <w:t xml:space="preserve">Results of regulatory examination</w:t>
            </w:r>
          </w:p>
        </w:tc>
        <w:tc>
          <w:tcPr>
            <w:tcW w:w="3388" w:type="dxa"/>
          </w:tcPr>
          <w:p>
            <w:pPr>
              <w:pStyle w:val="Compact"/>
              <w:spacing w:after="40"/>
              <w:jc w:val="left"/>
            </w:pPr>
            <w:r>
              <w:rPr>
                <w:sz w:val="18"/>
              </w:rPr>
              <w:t xml:space="preserve">RBI inspection observations and RMP/MAP status (M14)</w:t>
            </w:r>
          </w:p>
        </w:tc>
        <w:tc>
          <w:tcPr>
            <w:tcW w:w="1775" w:type="dxa"/>
          </w:tcPr>
          <w:p>
            <w:pPr>
              <w:pStyle w:val="Compact"/>
              <w:spacing w:after="40"/>
              <w:jc w:val="left"/>
            </w:pPr>
            <w:r>
              <w:rPr>
                <w:sz w:val="18"/>
              </w:rPr>
              <w:t xml:space="preserve">Control</w:t>
            </w:r>
          </w:p>
        </w:tc>
      </w:tr>
      <w:tr>
        <w:tc>
          <w:tcPr>
            <w:tcW w:w="1463" w:type="dxa"/>
          </w:tcPr>
          <w:p>
            <w:pPr>
              <w:pStyle w:val="Compact"/>
              <w:spacing w:after="40"/>
              <w:jc w:val="left"/>
            </w:pPr>
            <w:r>
              <w:rPr>
                <w:sz w:val="18"/>
              </w:rPr>
              <w:t xml:space="preserve">5</w:t>
            </w:r>
          </w:p>
        </w:tc>
        <w:tc>
          <w:tcPr>
            <w:tcW w:w="3012" w:type="dxa"/>
          </w:tcPr>
          <w:p>
            <w:pPr>
              <w:pStyle w:val="Compact"/>
              <w:spacing w:after="40"/>
              <w:jc w:val="left"/>
            </w:pPr>
            <w:r>
              <w:rPr>
                <w:sz w:val="18"/>
              </w:rPr>
              <w:t xml:space="preserve">Reports of external auditors</w:t>
            </w:r>
          </w:p>
        </w:tc>
        <w:tc>
          <w:tcPr>
            <w:tcW w:w="3388" w:type="dxa"/>
          </w:tcPr>
          <w:p>
            <w:pPr>
              <w:pStyle w:val="Compact"/>
              <w:spacing w:after="40"/>
              <w:jc w:val="left"/>
            </w:pPr>
            <w:r>
              <w:rPr>
                <w:sz w:val="18"/>
              </w:rPr>
              <w:t xml:space="preserve">Statutory, IS and concurrent audit findings (AU4, AU5)</w:t>
            </w:r>
          </w:p>
        </w:tc>
        <w:tc>
          <w:tcPr>
            <w:tcW w:w="1775" w:type="dxa"/>
          </w:tcPr>
          <w:p>
            <w:pPr>
              <w:pStyle w:val="Compact"/>
              <w:spacing w:after="40"/>
              <w:jc w:val="left"/>
            </w:pPr>
            <w:r>
              <w:rPr>
                <w:sz w:val="18"/>
              </w:rPr>
              <w:t xml:space="preserve">Control</w:t>
            </w:r>
          </w:p>
        </w:tc>
      </w:tr>
      <w:tr>
        <w:tc>
          <w:tcPr>
            <w:tcW w:w="1463" w:type="dxa"/>
          </w:tcPr>
          <w:p>
            <w:pPr>
              <w:pStyle w:val="Compact"/>
              <w:spacing w:after="40"/>
              <w:jc w:val="left"/>
            </w:pPr>
            <w:r>
              <w:rPr>
                <w:sz w:val="18"/>
              </w:rPr>
              <w:t xml:space="preserve">6</w:t>
            </w:r>
          </w:p>
        </w:tc>
        <w:tc>
          <w:tcPr>
            <w:tcW w:w="3012" w:type="dxa"/>
          </w:tcPr>
          <w:p>
            <w:pPr>
              <w:pStyle w:val="Compact"/>
              <w:spacing w:after="40"/>
              <w:jc w:val="left"/>
            </w:pPr>
            <w:r>
              <w:rPr>
                <w:sz w:val="18"/>
              </w:rPr>
              <w:t xml:space="preserve">Industry trends and macro factors</w:t>
            </w:r>
          </w:p>
        </w:tc>
        <w:tc>
          <w:tcPr>
            <w:tcW w:w="3388" w:type="dxa"/>
          </w:tcPr>
          <w:p>
            <w:pPr>
              <w:pStyle w:val="Compact"/>
              <w:spacing w:after="40"/>
              <w:jc w:val="left"/>
            </w:pPr>
            <w:r>
              <w:rPr>
                <w:sz w:val="18"/>
              </w:rPr>
              <w:t xml:space="preserve">Tenant-maintained register; sector NPA trends from Part 7E RK6</w:t>
            </w:r>
          </w:p>
        </w:tc>
        <w:tc>
          <w:tcPr>
            <w:tcW w:w="1775" w:type="dxa"/>
          </w:tcPr>
          <w:p>
            <w:pPr>
              <w:pStyle w:val="Compact"/>
              <w:spacing w:after="40"/>
              <w:jc w:val="left"/>
            </w:pPr>
            <w:r>
              <w:rPr>
                <w:sz w:val="18"/>
              </w:rPr>
              <w:t xml:space="preserve">Inherent</w:t>
            </w:r>
          </w:p>
        </w:tc>
      </w:tr>
      <w:tr>
        <w:tc>
          <w:tcPr>
            <w:tcW w:w="1463" w:type="dxa"/>
          </w:tcPr>
          <w:p>
            <w:pPr>
              <w:pStyle w:val="Compact"/>
              <w:spacing w:after="40"/>
              <w:jc w:val="left"/>
            </w:pPr>
            <w:r>
              <w:rPr>
                <w:sz w:val="18"/>
              </w:rPr>
              <w:t xml:space="preserve">7</w:t>
            </w:r>
          </w:p>
        </w:tc>
        <w:tc>
          <w:tcPr>
            <w:tcW w:w="3012" w:type="dxa"/>
          </w:tcPr>
          <w:p>
            <w:pPr>
              <w:pStyle w:val="Compact"/>
              <w:spacing w:after="40"/>
              <w:jc w:val="left"/>
            </w:pPr>
            <w:r>
              <w:rPr>
                <w:sz w:val="18"/>
              </w:rPr>
              <w:t xml:space="preserve">Time elapsed since last audit</w:t>
            </w:r>
          </w:p>
        </w:tc>
        <w:tc>
          <w:tcPr>
            <w:tcW w:w="3388" w:type="dxa"/>
          </w:tcPr>
          <w:p>
            <w:pPr>
              <w:pStyle w:val="Compact"/>
              <w:spacing w:after="40"/>
              <w:jc w:val="left"/>
            </w:pPr>
            <w:r>
              <w:rPr>
                <w:sz w:val="18"/>
              </w:rPr>
              <w:t xml:space="preserve">Universe coverage clock (AU1.1)</w:t>
            </w:r>
          </w:p>
        </w:tc>
        <w:tc>
          <w:tcPr>
            <w:tcW w:w="1775" w:type="dxa"/>
          </w:tcPr>
          <w:p>
            <w:pPr>
              <w:pStyle w:val="Compact"/>
              <w:spacing w:after="40"/>
              <w:jc w:val="left"/>
            </w:pPr>
            <w:r>
              <w:rPr>
                <w:sz w:val="18"/>
              </w:rPr>
              <w:t xml:space="preserve">Control</w:t>
            </w:r>
          </w:p>
        </w:tc>
      </w:tr>
      <w:tr>
        <w:tc>
          <w:tcPr>
            <w:tcW w:w="1463" w:type="dxa"/>
          </w:tcPr>
          <w:p>
            <w:pPr>
              <w:pStyle w:val="Compact"/>
              <w:spacing w:after="40"/>
              <w:jc w:val="left"/>
            </w:pPr>
            <w:r>
              <w:rPr>
                <w:sz w:val="18"/>
              </w:rPr>
              <w:t xml:space="preserve">8</w:t>
            </w:r>
          </w:p>
        </w:tc>
        <w:tc>
          <w:tcPr>
            <w:tcW w:w="3012" w:type="dxa"/>
          </w:tcPr>
          <w:p>
            <w:pPr>
              <w:pStyle w:val="Compact"/>
              <w:spacing w:after="40"/>
              <w:jc w:val="left"/>
            </w:pPr>
            <w:r>
              <w:rPr>
                <w:sz w:val="18"/>
              </w:rPr>
              <w:t xml:space="preserve">Volume of business and complexity</w:t>
            </w:r>
          </w:p>
        </w:tc>
        <w:tc>
          <w:tcPr>
            <w:tcW w:w="3388" w:type="dxa"/>
          </w:tcPr>
          <w:p>
            <w:pPr>
              <w:pStyle w:val="Compact"/>
              <w:spacing w:after="40"/>
              <w:jc w:val="left"/>
            </w:pPr>
            <w:r>
              <w:rPr>
                <w:sz w:val="18"/>
              </w:rPr>
              <w:t xml:space="preserve">AUM, accounts, transaction counts, products per unit</w:t>
            </w:r>
          </w:p>
        </w:tc>
        <w:tc>
          <w:tcPr>
            <w:tcW w:w="1775" w:type="dxa"/>
          </w:tcPr>
          <w:p>
            <w:pPr>
              <w:pStyle w:val="Compact"/>
              <w:spacing w:after="40"/>
              <w:jc w:val="left"/>
            </w:pPr>
            <w:r>
              <w:rPr>
                <w:sz w:val="18"/>
              </w:rPr>
              <w:t xml:space="preserve">Inherent</w:t>
            </w:r>
          </w:p>
        </w:tc>
      </w:tr>
      <w:tr>
        <w:tc>
          <w:tcPr>
            <w:tcW w:w="1463" w:type="dxa"/>
          </w:tcPr>
          <w:p>
            <w:pPr>
              <w:pStyle w:val="Compact"/>
              <w:spacing w:after="40"/>
              <w:jc w:val="left"/>
            </w:pPr>
            <w:r>
              <w:rPr>
                <w:sz w:val="18"/>
              </w:rPr>
              <w:t xml:space="preserve">9</w:t>
            </w:r>
          </w:p>
        </w:tc>
        <w:tc>
          <w:tcPr>
            <w:tcW w:w="3012" w:type="dxa"/>
          </w:tcPr>
          <w:p>
            <w:pPr>
              <w:pStyle w:val="Compact"/>
              <w:spacing w:after="40"/>
              <w:jc w:val="left"/>
            </w:pPr>
            <w:r>
              <w:rPr>
                <w:sz w:val="18"/>
              </w:rPr>
              <w:t xml:space="preserve">Variances between actual and budgeted performance</w:t>
            </w:r>
          </w:p>
        </w:tc>
        <w:tc>
          <w:tcPr>
            <w:tcW w:w="3388" w:type="dxa"/>
          </w:tcPr>
          <w:p>
            <w:pPr>
              <w:pStyle w:val="Compact"/>
              <w:spacing w:after="40"/>
              <w:jc w:val="left"/>
            </w:pPr>
            <w:r>
              <w:rPr>
                <w:sz w:val="18"/>
              </w:rPr>
              <w:t xml:space="preserve">GL vs budget (M10)</w:t>
            </w:r>
          </w:p>
        </w:tc>
        <w:tc>
          <w:tcPr>
            <w:tcW w:w="1775" w:type="dxa"/>
          </w:tcPr>
          <w:p>
            <w:pPr>
              <w:pStyle w:val="Compact"/>
              <w:spacing w:after="40"/>
              <w:jc w:val="left"/>
            </w:pPr>
            <w:r>
              <w:rPr>
                <w:sz w:val="18"/>
              </w:rPr>
              <w:t xml:space="preserve">Inherent</w:t>
            </w:r>
          </w:p>
        </w:tc>
      </w:tr>
      <w:tr>
        <w:tc>
          <w:tcPr>
            <w:tcW w:w="1463" w:type="dxa"/>
          </w:tcPr>
          <w:p>
            <w:pPr>
              <w:pStyle w:val="Compact"/>
              <w:spacing w:after="40"/>
              <w:jc w:val="left"/>
            </w:pPr>
            <w:r>
              <w:rPr>
                <w:sz w:val="18"/>
              </w:rPr>
              <w:t xml:space="preserve">10</w:t>
            </w:r>
          </w:p>
        </w:tc>
        <w:tc>
          <w:tcPr>
            <w:tcW w:w="3012" w:type="dxa"/>
          </w:tcPr>
          <w:p>
            <w:pPr>
              <w:pStyle w:val="Compact"/>
              <w:spacing w:after="40"/>
              <w:jc w:val="left"/>
            </w:pPr>
            <w:r>
              <w:rPr>
                <w:sz w:val="18"/>
              </w:rPr>
              <w:t xml:space="preserve">Business strategy vis-à-vis risk appetite</w:t>
            </w:r>
          </w:p>
        </w:tc>
        <w:tc>
          <w:tcPr>
            <w:tcW w:w="3388" w:type="dxa"/>
          </w:tcPr>
          <w:p>
            <w:pPr>
              <w:pStyle w:val="Compact"/>
              <w:spacing w:after="40"/>
              <w:jc w:val="left"/>
            </w:pPr>
            <w:r>
              <w:rPr>
                <w:sz w:val="18"/>
              </w:rPr>
              <w:t xml:space="preserve">RAS utilisation for the unit (Part 7E RK1)</w:t>
            </w:r>
          </w:p>
        </w:tc>
        <w:tc>
          <w:tcPr>
            <w:tcW w:w="1775" w:type="dxa"/>
          </w:tcPr>
          <w:p>
            <w:pPr>
              <w:pStyle w:val="Compact"/>
              <w:spacing w:after="40"/>
              <w:jc w:val="left"/>
            </w:pPr>
            <w:r>
              <w:rPr>
                <w:sz w:val="18"/>
              </w:rPr>
              <w:t xml:space="preserve">Inherent</w:t>
            </w:r>
          </w:p>
        </w:tc>
      </w:tr>
    </w:tbl>
    <w:p>
      <w:pPr>
        <w:numPr>
          <w:ilvl w:val="0"/>
          <w:numId w:val="1344"/>
        </w:numPr>
        <w:pStyle w:val="Compact"/>
      </w:pPr>
      <w:r>
        <w:rPr>
          <w:bCs/>
          <w:b/>
        </w:rPr>
        <w:t xml:space="preserve">Additional tenant parameters</w:t>
      </w:r>
      <w:r>
        <w:t xml:space="preserve"> </w:t>
      </w:r>
      <w:r>
        <w:t xml:space="preserve">(configurable, weighted): fraud cases and EWS alerts (FRM), complaints per 10,000 accounts (RBC), DPD migration and slippage (RK6 R17–R18), cash intensity, cyber incidents, outsourcing materiality, data-quality issues.</w:t>
      </w:r>
    </w:p>
    <w:p>
      <w:pPr>
        <w:numPr>
          <w:ilvl w:val="0"/>
          <w:numId w:val="1344"/>
        </w:numPr>
        <w:pStyle w:val="Compact"/>
      </w:pPr>
      <w:r>
        <w:rPr>
          <w:bCs/>
          <w:b/>
        </w:rPr>
        <w:t xml:space="preserve">Output.</w:t>
      </w:r>
      <w:r>
        <w:t xml:space="preserve"> </w:t>
      </w:r>
      <w:r>
        <w:t xml:space="preserve">Per unit: inherent score, control score, level, trend, cell in the Risk Audit Matrix, recommended frequency and scope tier, with the basis text and parameter evidence pinned (AU2.4). The assessment is approved by the HIA and noted by the ACB.</w:t>
      </w:r>
    </w:p>
    <w:bookmarkEnd w:id="339"/>
    <w:bookmarkStart w:id="340" w:name="X5692b14f713dec22e70d0dfd8c0e0dcd491a15f"/>
    <w:p>
      <w:pPr>
        <w:pStyle w:val="Heading3"/>
      </w:pPr>
      <w:r>
        <w:t xml:space="preserve">AU1.3 Risk Audit Matrix and plan (IAF paras 32–34)</w:t>
      </w:r>
    </w:p>
    <w:p>
      <w:pPr>
        <w:numPr>
          <w:ilvl w:val="0"/>
          <w:numId w:val="1345"/>
        </w:numPr>
        <w:pStyle w:val="Compact"/>
      </w:pPr>
      <w:r>
        <w:rPr>
          <w:bCs/>
          <w:b/>
        </w:rPr>
        <w:t xml:space="preserve">Matrix.</w:t>
      </w:r>
      <w:r>
        <w:t xml:space="preserve"> </w:t>
      </w:r>
      <w:r>
        <w:t xml:space="preserve">Magnitude × frequency of risk. Planning priority follows the six cells in IAF para 32, in order:</w:t>
      </w:r>
      <w:r>
        <w:t xml:space="preserve"> </w:t>
      </w:r>
      <w:r>
        <w:rPr>
          <w:bCs/>
          <w:b/>
        </w:rPr>
        <w:t xml:space="preserve">H/H, H/M, H/L, M/H, M/M, L/H</w:t>
      </w:r>
      <w:r>
        <w:t xml:space="preserve">. Units in the remaining cells (M/L, L/M, L/L) are covered only by the policy-maximum clock. The order is locked; the tenant can add tie-breakers (for example, regulatory touchpoints, open high findings).</w:t>
      </w:r>
    </w:p>
    <w:p>
      <w:pPr>
        <w:numPr>
          <w:ilvl w:val="0"/>
          <w:numId w:val="1345"/>
        </w:numPr>
        <w:pStyle w:val="Compact"/>
      </w:pPr>
      <w:r>
        <w:rPr>
          <w:bCs/>
          <w:b/>
        </w:rPr>
        <w:t xml:space="preserve">Scope tiers.</w:t>
      </w:r>
      <w:r>
        <w:t xml:space="preserve"> </w:t>
      </w:r>
      <w:r>
        <w:t xml:space="preserve">Low, medium, high, very high and extremely high (IAF para 34), mapped by the tenant from the three-level assessment (IAF para 29) [interpretation: the Direction uses both scales; keep both and store the mapping].</w:t>
      </w:r>
    </w:p>
    <w:p>
      <w:pPr>
        <w:numPr>
          <w:ilvl w:val="0"/>
          <w:numId w:val="1345"/>
        </w:numPr>
        <w:pStyle w:val="Compact"/>
      </w:pPr>
      <w:r>
        <w:rPr>
          <w:bCs/>
          <w:b/>
        </w:rPr>
        <w:t xml:space="preserve">Plan builder.</w:t>
      </w:r>
      <w:r>
        <w:t xml:space="preserve"> </w:t>
      </w:r>
      <w:r>
        <w:t xml:space="preserve">Inputs: ranked universe, auditor capacity (person-days by skill: credit, IT/IS, treasury, KYC/AML, forensic), mandatory inclusions (policy-maximum units, regulatory requests, ACB asks, IS audit before the statutory audit — CYB para 56), and calendar constraints. Output: a draft annual RBIA plan with unit, quarter, scope tier, days, team and skills; a capacity gap report; and a list of units deferred with reasons.</w:t>
      </w:r>
    </w:p>
    <w:p>
      <w:pPr>
        <w:numPr>
          <w:ilvl w:val="0"/>
          <w:numId w:val="1345"/>
        </w:numPr>
        <w:pStyle w:val="Compact"/>
      </w:pPr>
      <w:r>
        <w:rPr>
          <w:bCs/>
          <w:b/>
        </w:rPr>
        <w:t xml:space="preserve">Approval.</w:t>
      </w:r>
      <w:r>
        <w:t xml:space="preserve"> </w:t>
      </w:r>
      <w:r>
        <w:t xml:space="preserve">HIA → (MD &amp; CEO or WTD for information where the reporting line requires) → ACB/Board approval with minute reference (IAF para 5). Plan versions are immutable; changes in-year are plan amendments with reasons and ACB noting.</w:t>
      </w:r>
    </w:p>
    <w:p>
      <w:pPr>
        <w:numPr>
          <w:ilvl w:val="0"/>
          <w:numId w:val="1345"/>
        </w:numPr>
        <w:pStyle w:val="Compact"/>
      </w:pPr>
      <w:r>
        <w:rPr>
          <w:bCs/>
          <w:b/>
        </w:rPr>
        <w:t xml:space="preserve">System and process audits.</w:t>
      </w:r>
      <w:r>
        <w:t xml:space="preserve"> </w:t>
      </w:r>
      <w:r>
        <w:t xml:space="preserve">All critical processes are flagged; system-audit findings route also to the IT Committee of the Board (ITSC; IAF para 34), and IS audit findings to the Board or ACB (CYB paras 51, 151).</w:t>
      </w:r>
    </w:p>
    <w:bookmarkEnd w:id="340"/>
    <w:bookmarkStart w:id="341" w:name="au1.4-policy-and-methodology-registry"/>
    <w:p>
      <w:pPr>
        <w:pStyle w:val="Heading3"/>
      </w:pPr>
      <w:r>
        <w:t xml:space="preserve">AU1.4 Policy and methodology registry</w:t>
      </w:r>
    </w:p>
    <w:p>
      <w:pPr>
        <w:numPr>
          <w:ilvl w:val="0"/>
          <w:numId w:val="1346"/>
        </w:numPr>
        <w:pStyle w:val="Compact"/>
      </w:pPr>
      <w:r>
        <w:t xml:space="preserve">IA and RBIA Policy (IAF 13–15), IS Audit Policy (CYB 150; ACB-approved framework for BL ≥ ₹500 crore, CYB 49) and Concurrent Audit Policy are</w:t>
      </w:r>
      <w:r>
        <w:t xml:space="preserve"> </w:t>
      </w:r>
      <w:r>
        <w:rPr>
          <w:rStyle w:val="VerbatimChar"/>
        </w:rPr>
        <w:t xml:space="preserve">policy_document</w:t>
      </w:r>
      <w:r>
        <w:t xml:space="preserve"> </w:t>
      </w:r>
      <w:r>
        <w:t xml:space="preserve">records;</w:t>
      </w:r>
      <w:r>
        <w:t xml:space="preserve"> </w:t>
      </w:r>
      <w:r>
        <w:rPr>
          <w:rStyle w:val="VerbatimChar"/>
        </w:rPr>
        <w:t xml:space="preserve">audit_methodology_version</w:t>
      </w:r>
      <w:r>
        <w:t xml:space="preserve"> </w:t>
      </w:r>
      <w:r>
        <w:t xml:space="preserve">holds scales, weights, scope-tier mapping, ratings, sample-size tables and templates, and every plan and engagement records the version used.</w:t>
      </w:r>
    </w:p>
    <w:p>
      <w:pPr>
        <w:numPr>
          <w:ilvl w:val="0"/>
          <w:numId w:val="1346"/>
        </w:numPr>
        <w:pStyle w:val="Compact"/>
      </w:pPr>
      <w:r>
        <w:rPr>
          <w:bCs/>
          <w:b/>
        </w:rPr>
        <w:t xml:space="preserve">Methodology change control.</w:t>
      </w:r>
      <w:r>
        <w:t xml:space="preserve"> </w:t>
      </w:r>
      <w:r>
        <w:t xml:space="preserve">A new methodology version is drafted by the HIA, reviewed by a second IA reviewer, approved by the ACB (minute reference) and effective from a stated date; in-flight engagements keep their version unless the HIA migrates them with a reason. Locked regulatory items cannot be edited in any version.</w:t>
      </w:r>
    </w:p>
    <w:bookmarkEnd w:id="341"/>
    <w:bookmarkStart w:id="342" w:name="settings-and-options"/>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29"/>
        <w:gridCol w:w="2920"/>
        <w:gridCol w:w="1204"/>
        <w:gridCol w:w="2985"/>
      </w:tblGrid>
      <w:tr>
        <w:trPr>
          <w:tblHeader w:val="true"/>
          <w:tblHeader w:val="true"/>
        </w:trPr>
        <w:tc>
          <w:tcPr>
            <w:tcW w:w="2529" w:type="dxa"/>
            <w:shd w:val="clear" w:color="auto" w:fill="1F3A5F"/>
          </w:tcPr>
          <w:p>
            <w:pPr>
              <w:pStyle w:val="Compact"/>
              <w:spacing w:after="40"/>
              <w:jc w:val="left"/>
            </w:pPr>
            <w:r>
              <w:rPr>
                <w:b/>
                <w:color w:val="FFFFFF"/>
                <w:sz w:val="18"/>
              </w:rPr>
              <w:t xml:space="preserve">Setting</w:t>
            </w:r>
          </w:p>
        </w:tc>
        <w:tc>
          <w:tcPr>
            <w:tcW w:w="2920" w:type="dxa"/>
            <w:shd w:val="clear" w:color="auto" w:fill="1F3A5F"/>
          </w:tcPr>
          <w:p>
            <w:pPr>
              <w:pStyle w:val="Compact"/>
              <w:spacing w:after="40"/>
              <w:jc w:val="left"/>
            </w:pPr>
            <w:r>
              <w:rPr>
                <w:b/>
                <w:color w:val="FFFFFF"/>
                <w:sz w:val="18"/>
              </w:rPr>
              <w:t xml:space="preserve">Default</w:t>
            </w:r>
          </w:p>
        </w:tc>
        <w:tc>
          <w:tcPr>
            <w:tcW w:w="1204" w:type="dxa"/>
            <w:shd w:val="clear" w:color="auto" w:fill="1F3A5F"/>
          </w:tcPr>
          <w:p>
            <w:pPr>
              <w:pStyle w:val="Compact"/>
              <w:spacing w:after="40"/>
              <w:jc w:val="left"/>
            </w:pPr>
            <w:r>
              <w:rPr>
                <w:b/>
                <w:color w:val="FFFFFF"/>
                <w:sz w:val="18"/>
              </w:rPr>
              <w:t xml:space="preserve">Level</w:t>
            </w:r>
          </w:p>
        </w:tc>
        <w:tc>
          <w:tcPr>
            <w:tcW w:w="2985" w:type="dxa"/>
            <w:shd w:val="clear" w:color="auto" w:fill="1F3A5F"/>
          </w:tcPr>
          <w:p>
            <w:pPr>
              <w:pStyle w:val="Compact"/>
              <w:spacing w:after="40"/>
              <w:jc w:val="left"/>
            </w:pPr>
            <w:r>
              <w:rPr>
                <w:b/>
                <w:color w:val="FFFFFF"/>
                <w:sz w:val="18"/>
              </w:rPr>
              <w:t xml:space="preserve">Floor or choice</w:t>
            </w:r>
          </w:p>
        </w:tc>
      </w:tr>
      <w:tr>
        <w:tc>
          <w:tcPr>
            <w:tcW w:w="2529" w:type="dxa"/>
          </w:tcPr>
          <w:p>
            <w:pPr>
              <w:pStyle w:val="Compact"/>
              <w:spacing w:after="40"/>
              <w:jc w:val="left"/>
            </w:pPr>
            <w:r>
              <w:rPr>
                <w:sz w:val="18"/>
              </w:rPr>
              <w:t xml:space="preserve">Policy maximum interval per unit type (IAF para 14)</w:t>
            </w:r>
          </w:p>
        </w:tc>
        <w:tc>
          <w:tcPr>
            <w:tcW w:w="2920" w:type="dxa"/>
          </w:tcPr>
          <w:p>
            <w:pPr>
              <w:pStyle w:val="Compact"/>
              <w:spacing w:after="40"/>
              <w:jc w:val="left"/>
            </w:pPr>
            <w:r>
              <w:rPr>
                <w:sz w:val="18"/>
              </w:rPr>
              <w:t xml:space="preserve">3 years low risk, 2 medium, 1 high [REC]</w:t>
            </w:r>
          </w:p>
        </w:tc>
        <w:tc>
          <w:tcPr>
            <w:tcW w:w="1204" w:type="dxa"/>
          </w:tcPr>
          <w:p>
            <w:pPr>
              <w:pStyle w:val="Compact"/>
              <w:spacing w:after="40"/>
              <w:jc w:val="left"/>
            </w:pPr>
            <w:r>
              <w:rPr>
                <w:sz w:val="18"/>
              </w:rPr>
              <w:t xml:space="preserve">Tenant</w:t>
            </w:r>
          </w:p>
        </w:tc>
        <w:tc>
          <w:tcPr>
            <w:tcW w:w="2985" w:type="dxa"/>
          </w:tcPr>
          <w:p>
            <w:pPr>
              <w:pStyle w:val="Compact"/>
              <w:spacing w:after="40"/>
              <w:jc w:val="left"/>
            </w:pPr>
            <w:r>
              <w:rPr>
                <w:sz w:val="18"/>
              </w:rPr>
              <w:t xml:space="preserve">Must exist for every unit type (floor); values are the tenant’s</w:t>
            </w:r>
          </w:p>
        </w:tc>
      </w:tr>
      <w:tr>
        <w:tc>
          <w:tcPr>
            <w:tcW w:w="2529" w:type="dxa"/>
          </w:tcPr>
          <w:p>
            <w:pPr>
              <w:pStyle w:val="Compact"/>
              <w:spacing w:after="40"/>
              <w:jc w:val="left"/>
            </w:pPr>
            <w:r>
              <w:rPr>
                <w:sz w:val="18"/>
              </w:rPr>
              <w:t xml:space="preserve">Risk scale and H/M/L cut-offs</w:t>
            </w:r>
          </w:p>
        </w:tc>
        <w:tc>
          <w:tcPr>
            <w:tcW w:w="2920" w:type="dxa"/>
          </w:tcPr>
          <w:p>
            <w:pPr>
              <w:pStyle w:val="Compact"/>
              <w:spacing w:after="40"/>
              <w:jc w:val="left"/>
            </w:pPr>
            <w:r>
              <w:rPr>
                <w:sz w:val="18"/>
              </w:rPr>
              <w:t xml:space="preserve">1–5; H ≥ 4, M 2.5–3.9, L &lt; 2.5</w:t>
            </w:r>
          </w:p>
        </w:tc>
        <w:tc>
          <w:tcPr>
            <w:tcW w:w="1204" w:type="dxa"/>
          </w:tcPr>
          <w:p>
            <w:pPr>
              <w:pStyle w:val="Compact"/>
              <w:spacing w:after="40"/>
              <w:jc w:val="left"/>
            </w:pPr>
            <w:r>
              <w:rPr>
                <w:sz w:val="18"/>
              </w:rPr>
              <w:t xml:space="preserve">Methodology</w:t>
            </w:r>
          </w:p>
        </w:tc>
        <w:tc>
          <w:tcPr>
            <w:tcW w:w="2985" w:type="dxa"/>
          </w:tcPr>
          <w:p>
            <w:pPr>
              <w:pStyle w:val="Compact"/>
              <w:spacing w:after="40"/>
              <w:jc w:val="left"/>
            </w:pPr>
            <w:r>
              <w:rPr>
                <w:sz w:val="18"/>
              </w:rPr>
              <w:t xml:space="preserve">Choice; level and trend with basis are mandatory (IAF para 29)</w:t>
            </w:r>
          </w:p>
        </w:tc>
      </w:tr>
      <w:tr>
        <w:tc>
          <w:tcPr>
            <w:tcW w:w="2529" w:type="dxa"/>
          </w:tcPr>
          <w:p>
            <w:pPr>
              <w:pStyle w:val="Compact"/>
              <w:spacing w:after="40"/>
              <w:jc w:val="left"/>
            </w:pPr>
            <w:r>
              <w:rPr>
                <w:sz w:val="18"/>
              </w:rPr>
              <w:t xml:space="preserve">Ten IAF para 31 parameters</w:t>
            </w:r>
          </w:p>
        </w:tc>
        <w:tc>
          <w:tcPr>
            <w:tcW w:w="2920" w:type="dxa"/>
          </w:tcPr>
          <w:p>
            <w:pPr>
              <w:pStyle w:val="Compact"/>
              <w:spacing w:after="40"/>
              <w:jc w:val="left"/>
            </w:pPr>
            <w:r>
              <w:rPr>
                <w:sz w:val="18"/>
              </w:rPr>
              <w:t xml:space="preserve">Locked on</w:t>
            </w:r>
          </w:p>
        </w:tc>
        <w:tc>
          <w:tcPr>
            <w:tcW w:w="1204" w:type="dxa"/>
          </w:tcPr>
          <w:p>
            <w:pPr>
              <w:pStyle w:val="Compact"/>
              <w:spacing w:after="40"/>
              <w:jc w:val="left"/>
            </w:pPr>
            <w:r>
              <w:rPr>
                <w:sz w:val="18"/>
              </w:rPr>
              <w:t xml:space="preserve">Methodology</w:t>
            </w:r>
          </w:p>
        </w:tc>
        <w:tc>
          <w:tcPr>
            <w:tcW w:w="2985" w:type="dxa"/>
          </w:tcPr>
          <w:p>
            <w:pPr>
              <w:pStyle w:val="Compact"/>
              <w:spacing w:after="40"/>
              <w:jc w:val="left"/>
            </w:pPr>
            <w:r>
              <w:rPr>
                <w:sz w:val="18"/>
              </w:rPr>
              <w:t xml:space="preserve">Floor; tenant parameters and weights are additions</w:t>
            </w:r>
          </w:p>
        </w:tc>
      </w:tr>
      <w:tr>
        <w:tc>
          <w:tcPr>
            <w:tcW w:w="2529" w:type="dxa"/>
          </w:tcPr>
          <w:p>
            <w:pPr>
              <w:pStyle w:val="Compact"/>
              <w:spacing w:after="40"/>
              <w:jc w:val="left"/>
            </w:pPr>
            <w:r>
              <w:rPr>
                <w:sz w:val="18"/>
              </w:rPr>
              <w:t xml:space="preserve">Matrix priority order</w:t>
            </w:r>
          </w:p>
        </w:tc>
        <w:tc>
          <w:tcPr>
            <w:tcW w:w="2920" w:type="dxa"/>
          </w:tcPr>
          <w:p>
            <w:pPr>
              <w:pStyle w:val="Compact"/>
              <w:spacing w:after="40"/>
              <w:jc w:val="left"/>
            </w:pPr>
            <w:r>
              <w:rPr>
                <w:sz w:val="18"/>
              </w:rPr>
              <w:t xml:space="preserve">IAF para 32 order</w:t>
            </w:r>
          </w:p>
        </w:tc>
        <w:tc>
          <w:tcPr>
            <w:tcW w:w="1204" w:type="dxa"/>
          </w:tcPr>
          <w:p>
            <w:pPr>
              <w:pStyle w:val="Compact"/>
              <w:spacing w:after="40"/>
              <w:jc w:val="left"/>
            </w:pPr>
            <w:r>
              <w:rPr>
                <w:sz w:val="18"/>
              </w:rPr>
              <w:t xml:space="preserve">Methodology</w:t>
            </w:r>
          </w:p>
        </w:tc>
        <w:tc>
          <w:tcPr>
            <w:tcW w:w="2985" w:type="dxa"/>
          </w:tcPr>
          <w:p>
            <w:pPr>
              <w:pStyle w:val="Compact"/>
              <w:spacing w:after="40"/>
              <w:jc w:val="left"/>
            </w:pPr>
            <w:r>
              <w:rPr>
                <w:sz w:val="18"/>
              </w:rPr>
              <w:t xml:space="preserve">Floor; tie-breakers are a choice</w:t>
            </w:r>
          </w:p>
        </w:tc>
      </w:tr>
      <w:tr>
        <w:tc>
          <w:tcPr>
            <w:tcW w:w="2529" w:type="dxa"/>
          </w:tcPr>
          <w:p>
            <w:pPr>
              <w:pStyle w:val="Compact"/>
              <w:spacing w:after="40"/>
              <w:jc w:val="left"/>
            </w:pPr>
            <w:r>
              <w:rPr>
                <w:sz w:val="18"/>
              </w:rPr>
              <w:t xml:space="preserve">Scope-tier mapping (3 levels to 5 tiers)</w:t>
            </w:r>
          </w:p>
        </w:tc>
        <w:tc>
          <w:tcPr>
            <w:tcW w:w="2920" w:type="dxa"/>
          </w:tcPr>
          <w:p>
            <w:pPr>
              <w:pStyle w:val="Compact"/>
              <w:spacing w:after="40"/>
              <w:jc w:val="left"/>
            </w:pPr>
            <w:r>
              <w:rPr>
                <w:sz w:val="18"/>
              </w:rPr>
              <w:t xml:space="preserve">H→high, M→medium, L→low; very high and extremely high from overrides</w:t>
            </w:r>
          </w:p>
        </w:tc>
        <w:tc>
          <w:tcPr>
            <w:tcW w:w="1204" w:type="dxa"/>
          </w:tcPr>
          <w:p>
            <w:pPr>
              <w:pStyle w:val="Compact"/>
              <w:spacing w:after="40"/>
              <w:jc w:val="left"/>
            </w:pPr>
            <w:r>
              <w:rPr>
                <w:sz w:val="18"/>
              </w:rPr>
              <w:t xml:space="preserve">Methodology</w:t>
            </w:r>
          </w:p>
        </w:tc>
        <w:tc>
          <w:tcPr>
            <w:tcW w:w="2985" w:type="dxa"/>
          </w:tcPr>
          <w:p>
            <w:pPr>
              <w:pStyle w:val="Compact"/>
              <w:spacing w:after="40"/>
              <w:jc w:val="left"/>
            </w:pPr>
            <w:r>
              <w:rPr>
                <w:sz w:val="18"/>
              </w:rPr>
              <w:t xml:space="preserve">Choice; mapping stored (IAF paras 29, 34)</w:t>
            </w:r>
          </w:p>
        </w:tc>
      </w:tr>
      <w:tr>
        <w:tc>
          <w:tcPr>
            <w:tcW w:w="2529" w:type="dxa"/>
          </w:tcPr>
          <w:p>
            <w:pPr>
              <w:pStyle w:val="Compact"/>
              <w:spacing w:after="40"/>
              <w:jc w:val="left"/>
            </w:pPr>
            <w:r>
              <w:rPr>
                <w:sz w:val="18"/>
              </w:rPr>
              <w:t xml:space="preserve">Universe-change task SLA</w:t>
            </w:r>
          </w:p>
        </w:tc>
        <w:tc>
          <w:tcPr>
            <w:tcW w:w="2920" w:type="dxa"/>
          </w:tcPr>
          <w:p>
            <w:pPr>
              <w:pStyle w:val="Compact"/>
              <w:spacing w:after="40"/>
              <w:jc w:val="left"/>
            </w:pPr>
            <w:r>
              <w:rPr>
                <w:sz w:val="18"/>
              </w:rPr>
              <w:t xml:space="preserve">1 working day</w:t>
            </w:r>
          </w:p>
        </w:tc>
        <w:tc>
          <w:tcPr>
            <w:tcW w:w="1204" w:type="dxa"/>
          </w:tcPr>
          <w:p>
            <w:pPr>
              <w:pStyle w:val="Compact"/>
              <w:spacing w:after="40"/>
              <w:jc w:val="left"/>
            </w:pPr>
            <w:r>
              <w:rPr>
                <w:sz w:val="18"/>
              </w:rPr>
              <w:t xml:space="preserve">Tenant</w:t>
            </w:r>
          </w:p>
        </w:tc>
        <w:tc>
          <w:tcPr>
            <w:tcW w:w="2985" w:type="dxa"/>
          </w:tcPr>
          <w:p>
            <w:pPr>
              <w:pStyle w:val="Compact"/>
              <w:spacing w:after="40"/>
              <w:jc w:val="left"/>
            </w:pPr>
            <w:r>
              <w:rPr>
                <w:sz w:val="18"/>
              </w:rPr>
              <w:t xml:space="preserve">Choice [REC]</w:t>
            </w:r>
          </w:p>
        </w:tc>
      </w:tr>
      <w:tr>
        <w:tc>
          <w:tcPr>
            <w:tcW w:w="2529" w:type="dxa"/>
          </w:tcPr>
          <w:p>
            <w:pPr>
              <w:pStyle w:val="Compact"/>
              <w:spacing w:after="40"/>
              <w:jc w:val="left"/>
            </w:pPr>
            <w:r>
              <w:rPr>
                <w:sz w:val="18"/>
              </w:rPr>
              <w:t xml:space="preserve">Minimum service period for IA staff (IAF para 8)</w:t>
            </w:r>
          </w:p>
        </w:tc>
        <w:tc>
          <w:tcPr>
            <w:tcW w:w="2920" w:type="dxa"/>
          </w:tcPr>
          <w:p>
            <w:pPr>
              <w:pStyle w:val="Compact"/>
              <w:spacing w:after="40"/>
              <w:jc w:val="left"/>
            </w:pPr>
            <w:r>
              <w:rPr>
                <w:sz w:val="18"/>
              </w:rPr>
              <w:t xml:space="preserve">3 years [REC]; off for career-auditor functions</w:t>
            </w:r>
          </w:p>
        </w:tc>
        <w:tc>
          <w:tcPr>
            <w:tcW w:w="1204" w:type="dxa"/>
          </w:tcPr>
          <w:p>
            <w:pPr>
              <w:pStyle w:val="Compact"/>
              <w:spacing w:after="40"/>
              <w:jc w:val="left"/>
            </w:pPr>
            <w:r>
              <w:rPr>
                <w:sz w:val="18"/>
              </w:rPr>
              <w:t xml:space="preserve">Tenant</w:t>
            </w:r>
          </w:p>
        </w:tc>
        <w:tc>
          <w:tcPr>
            <w:tcW w:w="2985" w:type="dxa"/>
          </w:tcPr>
          <w:p>
            <w:pPr>
              <w:pStyle w:val="Compact"/>
              <w:spacing w:after="40"/>
              <w:jc w:val="left"/>
            </w:pPr>
            <w:r>
              <w:rPr>
                <w:sz w:val="18"/>
              </w:rPr>
              <w:t xml:space="preserve">Board sets the value (floor: a value must exist unless career auditors)</w:t>
            </w:r>
          </w:p>
        </w:tc>
      </w:tr>
      <w:tr>
        <w:tc>
          <w:tcPr>
            <w:tcW w:w="2529" w:type="dxa"/>
          </w:tcPr>
          <w:p>
            <w:pPr>
              <w:pStyle w:val="Compact"/>
              <w:spacing w:after="40"/>
              <w:jc w:val="left"/>
            </w:pPr>
            <w:r>
              <w:rPr>
                <w:sz w:val="18"/>
              </w:rPr>
              <w:t xml:space="preserve">Plan approval chain</w:t>
            </w:r>
          </w:p>
        </w:tc>
        <w:tc>
          <w:tcPr>
            <w:tcW w:w="2920" w:type="dxa"/>
          </w:tcPr>
          <w:p>
            <w:pPr>
              <w:pStyle w:val="Compact"/>
              <w:spacing w:after="40"/>
              <w:jc w:val="left"/>
            </w:pPr>
            <w:r>
              <w:rPr>
                <w:sz w:val="18"/>
              </w:rPr>
              <w:t xml:space="preserve">HIA → MD &amp; CEO (information) → ACB</w:t>
            </w:r>
          </w:p>
        </w:tc>
        <w:tc>
          <w:tcPr>
            <w:tcW w:w="1204" w:type="dxa"/>
          </w:tcPr>
          <w:p>
            <w:pPr>
              <w:pStyle w:val="Compact"/>
              <w:spacing w:after="40"/>
              <w:jc w:val="left"/>
            </w:pPr>
            <w:r>
              <w:rPr>
                <w:sz w:val="18"/>
              </w:rPr>
              <w:t xml:space="preserve">Tenant</w:t>
            </w:r>
          </w:p>
        </w:tc>
        <w:tc>
          <w:tcPr>
            <w:tcW w:w="2985" w:type="dxa"/>
          </w:tcPr>
          <w:p>
            <w:pPr>
              <w:pStyle w:val="Compact"/>
              <w:spacing w:after="40"/>
              <w:jc w:val="left"/>
            </w:pPr>
            <w:r>
              <w:rPr>
                <w:sz w:val="18"/>
              </w:rPr>
              <w:t xml:space="preserve">ACB/Board approval is a floor (IAF para 5)</w:t>
            </w:r>
          </w:p>
        </w:tc>
      </w:tr>
    </w:tbl>
    <w:bookmarkEnd w:id="342"/>
    <w:bookmarkStart w:id="343" w:name="menu-and-screens"/>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15"/>
        <w:gridCol w:w="3164"/>
        <w:gridCol w:w="3191"/>
        <w:gridCol w:w="1868"/>
      </w:tblGrid>
      <w:tr>
        <w:trPr>
          <w:tblHeader w:val="true"/>
          <w:tblHeader w:val="true"/>
        </w:trPr>
        <w:tc>
          <w:tcPr>
            <w:tcW w:w="1415" w:type="dxa"/>
            <w:shd w:val="clear" w:color="auto" w:fill="1F3A5F"/>
          </w:tcPr>
          <w:p>
            <w:pPr>
              <w:pStyle w:val="Compact"/>
              <w:spacing w:after="40"/>
              <w:jc w:val="left"/>
            </w:pPr>
            <w:r>
              <w:rPr>
                <w:b/>
                <w:color w:val="FFFFFF"/>
                <w:sz w:val="18"/>
              </w:rPr>
              <w:t xml:space="preserve">Path (workspace L)</w:t>
            </w:r>
          </w:p>
        </w:tc>
        <w:tc>
          <w:tcPr>
            <w:tcW w:w="3164" w:type="dxa"/>
            <w:shd w:val="clear" w:color="auto" w:fill="1F3A5F"/>
          </w:tcPr>
          <w:p>
            <w:pPr>
              <w:pStyle w:val="Compact"/>
              <w:spacing w:after="40"/>
              <w:jc w:val="left"/>
            </w:pPr>
            <w:r>
              <w:rPr>
                <w:b/>
                <w:color w:val="FFFFFF"/>
                <w:sz w:val="18"/>
              </w:rPr>
              <w:t xml:space="preserve">Screens</w:t>
            </w:r>
          </w:p>
        </w:tc>
        <w:tc>
          <w:tcPr>
            <w:tcW w:w="3191" w:type="dxa"/>
            <w:shd w:val="clear" w:color="auto" w:fill="1F3A5F"/>
          </w:tcPr>
          <w:p>
            <w:pPr>
              <w:pStyle w:val="Compact"/>
              <w:spacing w:after="40"/>
              <w:jc w:val="left"/>
            </w:pPr>
            <w:r>
              <w:rPr>
                <w:b/>
                <w:color w:val="FFFFFF"/>
                <w:sz w:val="18"/>
              </w:rPr>
              <w:t xml:space="preserve">Key actions and rules</w:t>
            </w:r>
          </w:p>
        </w:tc>
        <w:tc>
          <w:tcPr>
            <w:tcW w:w="1868" w:type="dxa"/>
            <w:shd w:val="clear" w:color="auto" w:fill="1F3A5F"/>
          </w:tcPr>
          <w:p>
            <w:pPr>
              <w:pStyle w:val="Compact"/>
              <w:spacing w:after="40"/>
              <w:jc w:val="left"/>
            </w:pPr>
            <w:r>
              <w:rPr>
                <w:b/>
                <w:color w:val="FFFFFF"/>
                <w:sz w:val="18"/>
              </w:rPr>
              <w:t xml:space="preserve">Visible to</w:t>
            </w:r>
          </w:p>
        </w:tc>
      </w:tr>
      <w:tr>
        <w:tc>
          <w:tcPr>
            <w:tcW w:w="1415" w:type="dxa"/>
          </w:tcPr>
          <w:p>
            <w:pPr>
              <w:pStyle w:val="Compact"/>
              <w:spacing w:after="40"/>
              <w:jc w:val="left"/>
            </w:pPr>
            <w:r>
              <w:rPr>
                <w:rStyle w:val="VerbatimChar"/>
                <w:sz w:val="18"/>
              </w:rPr>
              <w:t xml:space="preserve">Audit › Universe</w:t>
            </w:r>
          </w:p>
        </w:tc>
        <w:tc>
          <w:tcPr>
            <w:tcW w:w="3164" w:type="dxa"/>
          </w:tcPr>
          <w:p>
            <w:pPr>
              <w:pStyle w:val="Compact"/>
              <w:spacing w:after="40"/>
              <w:jc w:val="left"/>
            </w:pPr>
            <w:r>
              <w:rPr>
                <w:sz w:val="18"/>
              </w:rPr>
              <w:t xml:space="preserve">Unit list (filters: type, owner, risk level, due date, overdue); unit detail with coverage clock; change-task queue</w:t>
            </w:r>
          </w:p>
        </w:tc>
        <w:tc>
          <w:tcPr>
            <w:tcW w:w="3191" w:type="dxa"/>
          </w:tcPr>
          <w:p>
            <w:pPr>
              <w:pStyle w:val="Compact"/>
              <w:spacing w:after="40"/>
              <w:jc w:val="left"/>
            </w:pPr>
            <w:r>
              <w:rPr>
                <w:sz w:val="18"/>
              </w:rPr>
              <w:t xml:space="preserve">Add, merge, archive with reason; bulk re-assign owner; export CSV/XLSX; empty state</w:t>
            </w:r>
            <w:r>
              <w:rPr>
                <w:sz w:val="18"/>
              </w:rPr>
              <w:t xml:space="preserve"> </w:t>
            </w:r>
            <w:r>
              <w:rPr>
                <w:sz w:val="18"/>
              </w:rPr>
              <w:t xml:space="preserve">“</w:t>
            </w:r>
            <w:r>
              <w:rPr>
                <w:sz w:val="18"/>
              </w:rPr>
              <w:t xml:space="preserve">seed from masters</w:t>
            </w:r>
            <w:r>
              <w:rPr>
                <w:sz w:val="18"/>
              </w:rPr>
              <w:t xml:space="preserve">”</w:t>
            </w:r>
            <w:r>
              <w:rPr>
                <w:sz w:val="18"/>
              </w:rPr>
              <w:t xml:space="preserve"> </w:t>
            </w:r>
            <w:r>
              <w:rPr>
                <w:sz w:val="18"/>
              </w:rPr>
              <w:t xml:space="preserve">button</w:t>
            </w:r>
          </w:p>
        </w:tc>
        <w:tc>
          <w:tcPr>
            <w:tcW w:w="1868" w:type="dxa"/>
          </w:tcPr>
          <w:p>
            <w:pPr>
              <w:pStyle w:val="Compact"/>
              <w:spacing w:after="40"/>
              <w:jc w:val="left"/>
            </w:pPr>
            <w:r>
              <w:rPr>
                <w:sz w:val="18"/>
              </w:rPr>
              <w:t xml:space="preserve">HIA, IA staff (edit); ACB members (read)</w:t>
            </w:r>
          </w:p>
        </w:tc>
      </w:tr>
      <w:tr>
        <w:tc>
          <w:tcPr>
            <w:tcW w:w="1415" w:type="dxa"/>
          </w:tcPr>
          <w:p>
            <w:pPr>
              <w:pStyle w:val="Compact"/>
              <w:spacing w:after="40"/>
              <w:jc w:val="left"/>
            </w:pPr>
            <w:r>
              <w:rPr>
                <w:rStyle w:val="VerbatimChar"/>
                <w:sz w:val="18"/>
              </w:rPr>
              <w:t xml:space="preserve">Audit › Risk assessment</w:t>
            </w:r>
          </w:p>
        </w:tc>
        <w:tc>
          <w:tcPr>
            <w:tcW w:w="3164" w:type="dxa"/>
          </w:tcPr>
          <w:p>
            <w:pPr>
              <w:pStyle w:val="Compact"/>
              <w:spacing w:after="40"/>
              <w:jc w:val="left"/>
            </w:pPr>
            <w:r>
              <w:rPr>
                <w:sz w:val="18"/>
              </w:rPr>
              <w:t xml:space="preserve">Assessment wizard per unit (parameter by parameter with pre-fill and source link); heatmap; trend view</w:t>
            </w:r>
          </w:p>
        </w:tc>
        <w:tc>
          <w:tcPr>
            <w:tcW w:w="3191" w:type="dxa"/>
          </w:tcPr>
          <w:p>
            <w:pPr>
              <w:pStyle w:val="Compact"/>
              <w:spacing w:after="40"/>
              <w:jc w:val="left"/>
            </w:pPr>
            <w:r>
              <w:rPr>
                <w:sz w:val="18"/>
              </w:rPr>
              <w:t xml:space="preserve">Confirm or override with reason; submit for HIA approval; inline</w:t>
            </w:r>
            <w:r>
              <w:rPr>
                <w:sz w:val="18"/>
              </w:rPr>
              <w:t xml:space="preserve"> </w:t>
            </w:r>
            <w:r>
              <w:rPr>
                <w:sz w:val="18"/>
              </w:rPr>
              <w:t xml:space="preserve">“</w:t>
            </w:r>
            <w:r>
              <w:rPr>
                <w:sz w:val="18"/>
              </w:rPr>
              <w:t xml:space="preserve">why blocked</w:t>
            </w:r>
            <w:r>
              <w:rPr>
                <w:sz w:val="18"/>
              </w:rPr>
              <w:t xml:space="preserve">”</w:t>
            </w:r>
            <w:r>
              <w:rPr>
                <w:sz w:val="18"/>
              </w:rPr>
              <w:t xml:space="preserve"> </w:t>
            </w:r>
            <w:r>
              <w:rPr>
                <w:sz w:val="18"/>
              </w:rPr>
              <w:t xml:space="preserve">when a parameter lacks a basis</w:t>
            </w:r>
          </w:p>
        </w:tc>
        <w:tc>
          <w:tcPr>
            <w:tcW w:w="1868" w:type="dxa"/>
          </w:tcPr>
          <w:p>
            <w:pPr>
              <w:pStyle w:val="Compact"/>
              <w:spacing w:after="40"/>
              <w:jc w:val="left"/>
            </w:pPr>
            <w:r>
              <w:rPr>
                <w:sz w:val="18"/>
              </w:rPr>
              <w:t xml:space="preserve">IA staff, HIA</w:t>
            </w:r>
          </w:p>
        </w:tc>
      </w:tr>
      <w:tr>
        <w:tc>
          <w:tcPr>
            <w:tcW w:w="1415" w:type="dxa"/>
          </w:tcPr>
          <w:p>
            <w:pPr>
              <w:pStyle w:val="Compact"/>
              <w:spacing w:after="40"/>
              <w:jc w:val="left"/>
            </w:pPr>
            <w:r>
              <w:rPr>
                <w:rStyle w:val="VerbatimChar"/>
                <w:sz w:val="18"/>
              </w:rPr>
              <w:t xml:space="preserve">Audit › Plan</w:t>
            </w:r>
          </w:p>
        </w:tc>
        <w:tc>
          <w:tcPr>
            <w:tcW w:w="3164" w:type="dxa"/>
          </w:tcPr>
          <w:p>
            <w:pPr>
              <w:pStyle w:val="Compact"/>
              <w:spacing w:after="40"/>
              <w:jc w:val="left"/>
            </w:pPr>
            <w:r>
              <w:rPr>
                <w:sz w:val="18"/>
              </w:rPr>
              <w:t xml:space="preserve">Plan builder (ranked list, capacity bar by skill, deferred list); plan versions; amendment queue</w:t>
            </w:r>
          </w:p>
        </w:tc>
        <w:tc>
          <w:tcPr>
            <w:tcW w:w="3191" w:type="dxa"/>
          </w:tcPr>
          <w:p>
            <w:pPr>
              <w:pStyle w:val="Compact"/>
              <w:spacing w:after="40"/>
              <w:jc w:val="left"/>
            </w:pPr>
            <w:r>
              <w:rPr>
                <w:sz w:val="18"/>
              </w:rPr>
              <w:t xml:space="preserve">Generate draft; drag a unit between quarters (capacity re-checked); submit to ACB; publish only with minute reference</w:t>
            </w:r>
          </w:p>
        </w:tc>
        <w:tc>
          <w:tcPr>
            <w:tcW w:w="1868" w:type="dxa"/>
          </w:tcPr>
          <w:p>
            <w:pPr>
              <w:pStyle w:val="Compact"/>
              <w:spacing w:after="40"/>
              <w:jc w:val="left"/>
            </w:pPr>
            <w:r>
              <w:rPr>
                <w:sz w:val="18"/>
              </w:rPr>
              <w:t xml:space="preserve">HIA (edit); ACB (approve, read)</w:t>
            </w:r>
          </w:p>
        </w:tc>
      </w:tr>
      <w:tr>
        <w:tc>
          <w:tcPr>
            <w:tcW w:w="1415" w:type="dxa"/>
          </w:tcPr>
          <w:p>
            <w:pPr>
              <w:pStyle w:val="Compact"/>
              <w:spacing w:after="40"/>
              <w:jc w:val="left"/>
            </w:pPr>
            <w:r>
              <w:rPr>
                <w:rStyle w:val="VerbatimChar"/>
                <w:sz w:val="18"/>
              </w:rPr>
              <w:t xml:space="preserve">Audit › Methodology</w:t>
            </w:r>
          </w:p>
        </w:tc>
        <w:tc>
          <w:tcPr>
            <w:tcW w:w="3164" w:type="dxa"/>
          </w:tcPr>
          <w:p>
            <w:pPr>
              <w:pStyle w:val="Compact"/>
              <w:spacing w:after="40"/>
              <w:jc w:val="left"/>
            </w:pPr>
            <w:r>
              <w:rPr>
                <w:sz w:val="18"/>
              </w:rPr>
              <w:t xml:space="preserve">Version list; diff view; locked-item badges</w:t>
            </w:r>
          </w:p>
        </w:tc>
        <w:tc>
          <w:tcPr>
            <w:tcW w:w="3191" w:type="dxa"/>
          </w:tcPr>
          <w:p>
            <w:pPr>
              <w:pStyle w:val="Compact"/>
              <w:spacing w:after="40"/>
              <w:jc w:val="left"/>
            </w:pPr>
            <w:r>
              <w:rPr>
                <w:sz w:val="18"/>
              </w:rPr>
              <w:t xml:space="preserve">Draft, review, approve, set effective date</w:t>
            </w:r>
          </w:p>
        </w:tc>
        <w:tc>
          <w:tcPr>
            <w:tcW w:w="1868" w:type="dxa"/>
          </w:tcPr>
          <w:p>
            <w:pPr>
              <w:pStyle w:val="Compact"/>
              <w:spacing w:after="40"/>
              <w:jc w:val="left"/>
            </w:pPr>
            <w:r>
              <w:rPr>
                <w:sz w:val="18"/>
              </w:rPr>
              <w:t xml:space="preserve">HIA (edit); ACB (approve)</w:t>
            </w:r>
          </w:p>
        </w:tc>
      </w:tr>
    </w:tbl>
    <w:bookmarkEnd w:id="343"/>
    <w:bookmarkStart w:id="344" w:name="acceptance-tests-19"/>
    <w:p>
      <w:pPr>
        <w:pStyle w:val="Heading3"/>
      </w:pPr>
      <w:r>
        <w:t xml:space="preserve">Acceptance tests</w:t>
      </w:r>
    </w:p>
    <w:p>
      <w:pPr>
        <w:numPr>
          <w:ilvl w:val="0"/>
          <w:numId w:val="1347"/>
        </w:numPr>
        <w:pStyle w:val="Compact"/>
      </w:pPr>
      <w:r>
        <w:t xml:space="preserve">Creating a product version, a branch with</w:t>
      </w:r>
      <w:r>
        <w:t xml:space="preserve"> </w:t>
      </w:r>
      <w:r>
        <w:rPr>
          <w:rStyle w:val="VerbatimChar"/>
        </w:rPr>
        <w:t xml:space="preserve">fixed_point_unit = true</w:t>
      </w:r>
      <w:r>
        <w:t xml:space="preserve"> </w:t>
      </w:r>
      <w:r>
        <w:t xml:space="preserve">or a material outsourcing arrangement creates a universe unit and an HIA task within 1 working day.</w:t>
      </w:r>
    </w:p>
    <w:p>
      <w:pPr>
        <w:numPr>
          <w:ilvl w:val="0"/>
          <w:numId w:val="1347"/>
        </w:numPr>
        <w:pStyle w:val="Compact"/>
      </w:pPr>
      <w:r>
        <w:t xml:space="preserve">A risk assessment cannot be approved while any of the ten IAF para 31 parameters is blank or lacks a basis text; removing a locked parameter from the methodology is rejected.</w:t>
      </w:r>
    </w:p>
    <w:p>
      <w:pPr>
        <w:numPr>
          <w:ilvl w:val="0"/>
          <w:numId w:val="1347"/>
        </w:numPr>
        <w:pStyle w:val="Compact"/>
      </w:pPr>
      <w:r>
        <w:t xml:space="preserve">With 40 seeded units, the plan builder orders them H/H, H/M, H/L, M/H, M/M, L/H, then fills by capacity; a unit past its policy maximum appears in the plan regardless of cell.</w:t>
      </w:r>
    </w:p>
    <w:p>
      <w:pPr>
        <w:numPr>
          <w:ilvl w:val="0"/>
          <w:numId w:val="1347"/>
        </w:numPr>
        <w:pStyle w:val="Compact"/>
      </w:pPr>
      <w:r>
        <w:t xml:space="preserve">Risk Management and Compliance units, and a unit for every critical IT system, exist in every universe and cannot be archived.</w:t>
      </w:r>
    </w:p>
    <w:p>
      <w:pPr>
        <w:numPr>
          <w:ilvl w:val="0"/>
          <w:numId w:val="1347"/>
        </w:numPr>
        <w:pStyle w:val="Compact"/>
      </w:pPr>
      <w:r>
        <w:t xml:space="preserve">A methodology version approved by the ACB with a future effective date does not change in-flight engagements until the HIA migrates them with a reason.</w:t>
      </w:r>
    </w:p>
    <w:p>
      <w:pPr>
        <w:numPr>
          <w:ilvl w:val="0"/>
          <w:numId w:val="1347"/>
        </w:numPr>
        <w:pStyle w:val="Compact"/>
      </w:pPr>
      <w:r>
        <w:t xml:space="preserve">A plan amendment without an ACB noting reference cannot be published.</w:t>
      </w:r>
    </w:p>
    <w:p>
      <w:r>
        <w:pict>
          <v:rect style="width:0;height:1.5pt" o:hralign="center" o:hrstd="t" o:hr="t"/>
        </w:pict>
      </w:r>
    </w:p>
    <w:bookmarkEnd w:id="344"/>
    <w:bookmarkEnd w:id="345"/>
    <w:bookmarkStart w:id="354" w:name="Xcfe0cea507e7974fd3803791fbe3b3df23729f7"/>
    <w:p>
      <w:pPr>
        <w:pStyle w:val="Heading2"/>
      </w:pPr>
      <w:r>
        <w:t xml:space="preserve">AU2. Engagements, workpapers, sampling and evidence</w:t>
      </w:r>
    </w:p>
    <w:bookmarkStart w:id="346" w:name="au2.1-engagement-types-and-lifecycle"/>
    <w:p>
      <w:pPr>
        <w:pStyle w:val="Heading3"/>
      </w:pPr>
      <w:r>
        <w:t xml:space="preserve">AU2.1 Engagement types and lifecycle</w:t>
      </w:r>
    </w:p>
    <w:p>
      <w:pPr>
        <w:numPr>
          <w:ilvl w:val="0"/>
          <w:numId w:val="1348"/>
        </w:numPr>
        <w:pStyle w:val="Compact"/>
      </w:pPr>
      <w:r>
        <w:rPr>
          <w:bCs/>
          <w:b/>
        </w:rPr>
        <w:t xml:space="preserve">Types.</w:t>
      </w:r>
      <w:r>
        <w:t xml:space="preserve"> </w:t>
      </w:r>
      <w:r>
        <w:rPr>
          <w:rStyle w:val="VerbatimChar"/>
        </w:rPr>
        <w:t xml:space="preserve">RBIA_UNIT</w:t>
      </w:r>
      <w:r>
        <w:t xml:space="preserve">,</w:t>
      </w:r>
      <w:r>
        <w:t xml:space="preserve"> </w:t>
      </w:r>
      <w:r>
        <w:rPr>
          <w:rStyle w:val="VerbatimChar"/>
        </w:rPr>
        <w:t xml:space="preserve">RBIA_THEMATIC</w:t>
      </w:r>
      <w:r>
        <w:t xml:space="preserve">,</w:t>
      </w:r>
      <w:r>
        <w:t xml:space="preserve"> </w:t>
      </w:r>
      <w:r>
        <w:rPr>
          <w:rStyle w:val="VerbatimChar"/>
        </w:rPr>
        <w:t xml:space="preserve">CONCURRENT</w:t>
      </w:r>
      <w:r>
        <w:t xml:space="preserve">,</w:t>
      </w:r>
      <w:r>
        <w:t xml:space="preserve"> </w:t>
      </w:r>
      <w:r>
        <w:rPr>
          <w:rStyle w:val="VerbatimChar"/>
        </w:rPr>
        <w:t xml:space="preserve">IS_AUDIT</w:t>
      </w:r>
      <w:r>
        <w:t xml:space="preserve">,</w:t>
      </w:r>
      <w:r>
        <w:t xml:space="preserve"> </w:t>
      </w:r>
      <w:r>
        <w:rPr>
          <w:rStyle w:val="VerbatimChar"/>
        </w:rPr>
        <w:t xml:space="preserve">IT_GENERAL_CONTROLS</w:t>
      </w:r>
      <w:r>
        <w:t xml:space="preserve">,</w:t>
      </w:r>
      <w:r>
        <w:t xml:space="preserve"> </w:t>
      </w:r>
      <w:r>
        <w:rPr>
          <w:rStyle w:val="VerbatimChar"/>
        </w:rPr>
        <w:t xml:space="preserve">VAPT_REVIEW</w:t>
      </w:r>
      <w:r>
        <w:t xml:space="preserve">,</w:t>
      </w:r>
      <w:r>
        <w:t xml:space="preserve"> </w:t>
      </w:r>
      <w:r>
        <w:rPr>
          <w:rStyle w:val="VerbatimChar"/>
        </w:rPr>
        <w:t xml:space="preserve">STATUTORY_SUPPORT</w:t>
      </w:r>
      <w:r>
        <w:t xml:space="preserve">,</w:t>
      </w:r>
      <w:r>
        <w:t xml:space="preserve"> </w:t>
      </w:r>
      <w:r>
        <w:rPr>
          <w:rStyle w:val="VerbatimChar"/>
        </w:rPr>
        <w:t xml:space="preserve">TAX_AUDIT_SUPPORT</w:t>
      </w:r>
      <w:r>
        <w:t xml:space="preserve">,</w:t>
      </w:r>
      <w:r>
        <w:t xml:space="preserve"> </w:t>
      </w:r>
      <w:r>
        <w:rPr>
          <w:rStyle w:val="VerbatimChar"/>
        </w:rPr>
        <w:t xml:space="preserve">RULE_11G</w:t>
      </w:r>
      <w:r>
        <w:t xml:space="preserve">,</w:t>
      </w:r>
      <w:r>
        <w:t xml:space="preserve"> </w:t>
      </w:r>
      <w:r>
        <w:rPr>
          <w:rStyle w:val="VerbatimChar"/>
        </w:rPr>
        <w:t xml:space="preserve">IFC_ICFR</w:t>
      </w:r>
      <w:r>
        <w:t xml:space="preserve">,</w:t>
      </w:r>
      <w:r>
        <w:t xml:space="preserve"> </w:t>
      </w:r>
      <w:r>
        <w:rPr>
          <w:rStyle w:val="VerbatimChar"/>
        </w:rPr>
        <w:t xml:space="preserve">SECRETARIAL</w:t>
      </w:r>
      <w:r>
        <w:t xml:space="preserve">,</w:t>
      </w:r>
      <w:r>
        <w:t xml:space="preserve"> </w:t>
      </w:r>
      <w:r>
        <w:rPr>
          <w:rStyle w:val="VerbatimChar"/>
        </w:rPr>
        <w:t xml:space="preserve">SPECIAL_INVESTIGATION</w:t>
      </w:r>
      <w:r>
        <w:t xml:space="preserve"> </w:t>
      </w:r>
      <w:r>
        <w:t xml:space="preserve">(fraud examination per FRM),</w:t>
      </w:r>
      <w:r>
        <w:t xml:space="preserve"> </w:t>
      </w:r>
      <w:r>
        <w:rPr>
          <w:rStyle w:val="VerbatimChar"/>
        </w:rPr>
        <w:t xml:space="preserve">REGULATORY_INSPECTION</w:t>
      </w:r>
      <w:r>
        <w:t xml:space="preserve"> </w:t>
      </w:r>
      <w:r>
        <w:t xml:space="preserve">(RBI/NHB/NABARD/IFSCA inspection support),</w:t>
      </w:r>
      <w:r>
        <w:t xml:space="preserve"> </w:t>
      </w:r>
      <w:r>
        <w:rPr>
          <w:rStyle w:val="VerbatimChar"/>
        </w:rPr>
        <w:t xml:space="preserve">OUTSOURCED_PROVIDER_AUDIT</w:t>
      </w:r>
      <w:r>
        <w:t xml:space="preserve"> </w:t>
      </w:r>
      <w:r>
        <w:t xml:space="preserve">(tenant auditing Finbyx, Udofin or another service provider under OUT para 34(vii)),</w:t>
      </w:r>
      <w:r>
        <w:t xml:space="preserve"> </w:t>
      </w:r>
      <w:r>
        <w:rPr>
          <w:rStyle w:val="VerbatimChar"/>
        </w:rPr>
        <w:t xml:space="preserve">QAIP_REVIEW</w:t>
      </w:r>
      <w:r>
        <w:t xml:space="preserve">.</w:t>
      </w:r>
    </w:p>
    <w:p>
      <w:pPr>
        <w:numPr>
          <w:ilvl w:val="0"/>
          <w:numId w:val="1348"/>
        </w:numPr>
        <w:pStyle w:val="Compact"/>
      </w:pPr>
      <w:r>
        <w:rPr>
          <w:bCs/>
          <w:b/>
        </w:rPr>
        <w:t xml:space="preserve">States.</w:t>
      </w:r>
      <w:r>
        <w:t xml:space="preserve"> </w:t>
      </w:r>
      <w:r>
        <w:rPr>
          <w:rStyle w:val="VerbatimChar"/>
        </w:rPr>
        <w:t xml:space="preserve">PLANNED → SCOPED → APPROVED → FIELDWORK → DRAFT_REPORT → MANAGEMENT_RESPONSE → FINAL_REPORT → ISSUED → FOLLOW_UP → CLOSED</w:t>
      </w:r>
      <w:r>
        <w:t xml:space="preserve">, plus</w:t>
      </w:r>
      <w:r>
        <w:t xml:space="preserve"> </w:t>
      </w:r>
      <w:r>
        <w:rPr>
          <w:rStyle w:val="VerbatimChar"/>
        </w:rPr>
        <w:t xml:space="preserve">ON_HOLD</w:t>
      </w:r>
      <w:r>
        <w:t xml:space="preserve"> </w:t>
      </w:r>
      <w:r>
        <w:t xml:space="preserve">and</w:t>
      </w:r>
      <w:r>
        <w:t xml:space="preserve"> </w:t>
      </w:r>
      <w:r>
        <w:rPr>
          <w:rStyle w:val="VerbatimChar"/>
        </w:rPr>
        <w:t xml:space="preserve">CANCELLED</w:t>
      </w:r>
      <w:r>
        <w:t xml:space="preserve">.</w:t>
      </w:r>
      <w:r>
        <w:t xml:space="preserve"> </w:t>
      </w:r>
      <w:r>
        <w:rPr>
          <w:rStyle w:val="VerbatimChar"/>
        </w:rPr>
        <w:t xml:space="preserve">AuditEngagementOpened</w:t>
      </w:r>
      <w:r>
        <w:t xml:space="preserve"> </w:t>
      </w:r>
      <w:r>
        <w:t xml:space="preserve">is emitted on</w:t>
      </w:r>
      <w:r>
        <w:t xml:space="preserve"> </w:t>
      </w:r>
      <w:r>
        <w:rPr>
          <w:rStyle w:val="VerbatimChar"/>
        </w:rPr>
        <w:t xml:space="preserve">APPROVED</w:t>
      </w:r>
      <w:r>
        <w:t xml:space="preserve">; its</w:t>
      </w:r>
      <w:r>
        <w:t xml:space="preserve"> </w:t>
      </w:r>
      <w:r>
        <w:rPr>
          <w:rStyle w:val="VerbatimChar"/>
        </w:rPr>
        <w:t xml:space="preserve">type</w:t>
      </w:r>
      <w:r>
        <w:t xml:space="preserve"> </w:t>
      </w:r>
      <w:r>
        <w:t xml:space="preserve">maps to Integration Specification 6.21:</w:t>
      </w:r>
      <w:r>
        <w:t xml:space="preserve"> </w:t>
      </w:r>
      <w:r>
        <w:rPr>
          <w:rStyle w:val="VerbatimChar"/>
        </w:rPr>
        <w:t xml:space="preserve">RBIA_UNIT</w:t>
      </w:r>
      <w:r>
        <w:t xml:space="preserve">,</w:t>
      </w:r>
      <w:r>
        <w:t xml:space="preserve"> </w:t>
      </w:r>
      <w:r>
        <w:rPr>
          <w:rStyle w:val="VerbatimChar"/>
        </w:rPr>
        <w:t xml:space="preserve">RBIA_THEMATIC</w:t>
      </w:r>
      <w:r>
        <w:t xml:space="preserve"> </w:t>
      </w:r>
      <w:r>
        <w:t xml:space="preserve">→ RBIA;</w:t>
      </w:r>
      <w:r>
        <w:t xml:space="preserve"> </w:t>
      </w:r>
      <w:r>
        <w:rPr>
          <w:rStyle w:val="VerbatimChar"/>
        </w:rPr>
        <w:t xml:space="preserve">CONCURRENT</w:t>
      </w:r>
      <w:r>
        <w:t xml:space="preserve">;</w:t>
      </w:r>
      <w:r>
        <w:t xml:space="preserve"> </w:t>
      </w:r>
      <w:r>
        <w:rPr>
          <w:rStyle w:val="VerbatimChar"/>
        </w:rPr>
        <w:t xml:space="preserve">IS_AUDIT</w:t>
      </w:r>
      <w:r>
        <w:t xml:space="preserve"> </w:t>
      </w:r>
      <w:r>
        <w:t xml:space="preserve">→ IS;</w:t>
      </w:r>
      <w:r>
        <w:t xml:space="preserve"> </w:t>
      </w:r>
      <w:r>
        <w:rPr>
          <w:rStyle w:val="VerbatimChar"/>
        </w:rPr>
        <w:t xml:space="preserve">IT_GENERAL_CONTROLS</w:t>
      </w:r>
      <w:r>
        <w:t xml:space="preserve"> </w:t>
      </w:r>
      <w:r>
        <w:t xml:space="preserve">→ IT;</w:t>
      </w:r>
      <w:r>
        <w:t xml:space="preserve"> </w:t>
      </w:r>
      <w:r>
        <w:rPr>
          <w:rStyle w:val="VerbatimChar"/>
        </w:rPr>
        <w:t xml:space="preserve">VAPT_REVIEW</w:t>
      </w:r>
      <w:r>
        <w:t xml:space="preserve"> </w:t>
      </w:r>
      <w:r>
        <w:t xml:space="preserve">→ VAPT;</w:t>
      </w:r>
      <w:r>
        <w:t xml:space="preserve"> </w:t>
      </w:r>
      <w:r>
        <w:rPr>
          <w:rStyle w:val="VerbatimChar"/>
        </w:rPr>
        <w:t xml:space="preserve">STATUTORY_SUPPORT</w:t>
      </w:r>
      <w:r>
        <w:t xml:space="preserve">,</w:t>
      </w:r>
      <w:r>
        <w:t xml:space="preserve"> </w:t>
      </w:r>
      <w:r>
        <w:rPr>
          <w:rStyle w:val="VerbatimChar"/>
        </w:rPr>
        <w:t xml:space="preserve">RULE_11G</w:t>
      </w:r>
      <w:r>
        <w:t xml:space="preserve">,</w:t>
      </w:r>
      <w:r>
        <w:t xml:space="preserve"> </w:t>
      </w:r>
      <w:r>
        <w:rPr>
          <w:rStyle w:val="VerbatimChar"/>
        </w:rPr>
        <w:t xml:space="preserve">IFC_ICFR</w:t>
      </w:r>
      <w:r>
        <w:t xml:space="preserve"> </w:t>
      </w:r>
      <w:r>
        <w:t xml:space="preserve">→ STATUTORY;</w:t>
      </w:r>
      <w:r>
        <w:t xml:space="preserve"> </w:t>
      </w:r>
      <w:r>
        <w:rPr>
          <w:rStyle w:val="VerbatimChar"/>
        </w:rPr>
        <w:t xml:space="preserve">TAX_AUDIT_SUPPORT</w:t>
      </w:r>
      <w:r>
        <w:t xml:space="preserve"> </w:t>
      </w:r>
      <w:r>
        <w:t xml:space="preserve">→ TAX;</w:t>
      </w:r>
      <w:r>
        <w:t xml:space="preserve"> </w:t>
      </w:r>
      <w:r>
        <w:rPr>
          <w:rStyle w:val="VerbatimChar"/>
        </w:rPr>
        <w:t xml:space="preserve">SECRETARIAL</w:t>
      </w:r>
      <w:r>
        <w:t xml:space="preserve">; all others → INTERNAL.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53"/>
        <w:gridCol w:w="2439"/>
        <w:gridCol w:w="1024"/>
        <w:gridCol w:w="2245"/>
        <w:gridCol w:w="2777"/>
      </w:tblGrid>
      <w:tr>
        <w:trPr>
          <w:tblHeader w:val="true"/>
          <w:tblHeader w:val="true"/>
        </w:trPr>
        <w:tc>
          <w:tcPr>
            <w:tcW w:w="1153" w:type="dxa"/>
            <w:shd w:val="clear" w:color="auto" w:fill="1F3A5F"/>
          </w:tcPr>
          <w:p>
            <w:pPr>
              <w:pStyle w:val="Compact"/>
              <w:spacing w:after="40"/>
              <w:jc w:val="left"/>
            </w:pPr>
            <w:r>
              <w:rPr>
                <w:b/>
                <w:color w:val="FFFFFF"/>
                <w:sz w:val="18"/>
              </w:rPr>
              <w:t xml:space="preserve">State</w:t>
            </w:r>
          </w:p>
        </w:tc>
        <w:tc>
          <w:tcPr>
            <w:tcW w:w="2439" w:type="dxa"/>
            <w:shd w:val="clear" w:color="auto" w:fill="1F3A5F"/>
          </w:tcPr>
          <w:p>
            <w:pPr>
              <w:pStyle w:val="Compact"/>
              <w:spacing w:after="40"/>
              <w:jc w:val="left"/>
            </w:pPr>
            <w:r>
              <w:rPr>
                <w:b/>
                <w:color w:val="FFFFFF"/>
                <w:sz w:val="18"/>
              </w:rPr>
              <w:t xml:space="preserve">Entry condition</w:t>
            </w:r>
          </w:p>
        </w:tc>
        <w:tc>
          <w:tcPr>
            <w:tcW w:w="1024" w:type="dxa"/>
            <w:shd w:val="clear" w:color="auto" w:fill="1F3A5F"/>
          </w:tcPr>
          <w:p>
            <w:pPr>
              <w:pStyle w:val="Compact"/>
              <w:spacing w:after="40"/>
              <w:jc w:val="left"/>
            </w:pPr>
            <w:r>
              <w:rPr>
                <w:b/>
                <w:color w:val="FFFFFF"/>
                <w:sz w:val="18"/>
              </w:rPr>
              <w:t xml:space="preserve">Owner</w:t>
            </w:r>
          </w:p>
        </w:tc>
        <w:tc>
          <w:tcPr>
            <w:tcW w:w="2245" w:type="dxa"/>
            <w:shd w:val="clear" w:color="auto" w:fill="1F3A5F"/>
          </w:tcPr>
          <w:p>
            <w:pPr>
              <w:pStyle w:val="Compact"/>
              <w:spacing w:after="40"/>
              <w:jc w:val="left"/>
            </w:pPr>
            <w:r>
              <w:rPr>
                <w:b/>
                <w:color w:val="FFFFFF"/>
                <w:sz w:val="18"/>
              </w:rPr>
              <w:t xml:space="preserve">Timer (default, configurable)</w:t>
            </w:r>
          </w:p>
        </w:tc>
        <w:tc>
          <w:tcPr>
            <w:tcW w:w="2777" w:type="dxa"/>
            <w:shd w:val="clear" w:color="auto" w:fill="1F3A5F"/>
          </w:tcPr>
          <w:p>
            <w:pPr>
              <w:pStyle w:val="Compact"/>
              <w:spacing w:after="40"/>
              <w:jc w:val="left"/>
            </w:pPr>
            <w:r>
              <w:rPr>
                <w:b/>
                <w:color w:val="FFFFFF"/>
                <w:sz w:val="18"/>
              </w:rPr>
              <w:t xml:space="preserve">Exit and failure paths</w:t>
            </w:r>
          </w:p>
        </w:tc>
      </w:tr>
      <w:tr>
        <w:tc>
          <w:tcPr>
            <w:tcW w:w="1153" w:type="dxa"/>
          </w:tcPr>
          <w:p>
            <w:pPr>
              <w:pStyle w:val="Compact"/>
              <w:spacing w:after="40"/>
              <w:jc w:val="left"/>
            </w:pPr>
            <w:r>
              <w:rPr>
                <w:rStyle w:val="VerbatimChar"/>
                <w:sz w:val="18"/>
              </w:rPr>
              <w:t xml:space="preserve">PLANNED</w:t>
            </w:r>
          </w:p>
        </w:tc>
        <w:tc>
          <w:tcPr>
            <w:tcW w:w="2439" w:type="dxa"/>
          </w:tcPr>
          <w:p>
            <w:pPr>
              <w:pStyle w:val="Compact"/>
              <w:spacing w:after="40"/>
              <w:jc w:val="left"/>
            </w:pPr>
            <w:r>
              <w:rPr>
                <w:sz w:val="18"/>
              </w:rPr>
              <w:t xml:space="preserve">Plan line published or ad hoc request approved by HIA</w:t>
            </w:r>
          </w:p>
        </w:tc>
        <w:tc>
          <w:tcPr>
            <w:tcW w:w="1024" w:type="dxa"/>
          </w:tcPr>
          <w:p>
            <w:pPr>
              <w:pStyle w:val="Compact"/>
              <w:spacing w:after="40"/>
              <w:jc w:val="left"/>
            </w:pPr>
            <w:r>
              <w:rPr>
                <w:sz w:val="18"/>
              </w:rPr>
              <w:t xml:space="preserve">HIA</w:t>
            </w:r>
          </w:p>
        </w:tc>
        <w:tc>
          <w:tcPr>
            <w:tcW w:w="2245" w:type="dxa"/>
          </w:tcPr>
          <w:p>
            <w:pPr>
              <w:pStyle w:val="Compact"/>
              <w:spacing w:after="40"/>
              <w:jc w:val="left"/>
            </w:pPr>
            <w:r>
              <w:rPr>
                <w:sz w:val="18"/>
              </w:rPr>
              <w:t xml:space="preserve">Starts in planned quarter</w:t>
            </w:r>
          </w:p>
        </w:tc>
        <w:tc>
          <w:tcPr>
            <w:tcW w:w="2777" w:type="dxa"/>
          </w:tcPr>
          <w:p>
            <w:pPr>
              <w:pStyle w:val="Compact"/>
              <w:spacing w:after="40"/>
              <w:jc w:val="left"/>
            </w:pPr>
            <w:r>
              <w:rPr>
                <w:sz w:val="18"/>
              </w:rPr>
              <w:t xml:space="preserve">→</w:t>
            </w:r>
            <w:r>
              <w:rPr>
                <w:sz w:val="18"/>
              </w:rPr>
              <w:t xml:space="preserve"> </w:t>
            </w:r>
            <w:r>
              <w:rPr>
                <w:rStyle w:val="VerbatimChar"/>
                <w:sz w:val="18"/>
              </w:rPr>
              <w:t xml:space="preserve">SCOPED</w:t>
            </w:r>
            <w:r>
              <w:rPr>
                <w:sz w:val="18"/>
              </w:rPr>
              <w:t xml:space="preserve">; →</w:t>
            </w:r>
            <w:r>
              <w:rPr>
                <w:sz w:val="18"/>
              </w:rPr>
              <w:t xml:space="preserve"> </w:t>
            </w:r>
            <w:r>
              <w:rPr>
                <w:rStyle w:val="VerbatimChar"/>
                <w:sz w:val="18"/>
              </w:rPr>
              <w:t xml:space="preserve">CANCELLED</w:t>
            </w:r>
            <w:r>
              <w:rPr>
                <w:sz w:val="18"/>
              </w:rPr>
              <w:t xml:space="preserve"> </w:t>
            </w:r>
            <w:r>
              <w:rPr>
                <w:sz w:val="18"/>
              </w:rPr>
              <w:t xml:space="preserve">(reason, HIA approval; ACB noting if the unit is past policy maximum)</w:t>
            </w:r>
          </w:p>
        </w:tc>
      </w:tr>
      <w:tr>
        <w:tc>
          <w:tcPr>
            <w:tcW w:w="1153" w:type="dxa"/>
          </w:tcPr>
          <w:p>
            <w:pPr>
              <w:pStyle w:val="Compact"/>
              <w:spacing w:after="40"/>
              <w:jc w:val="left"/>
            </w:pPr>
            <w:r>
              <w:rPr>
                <w:rStyle w:val="VerbatimChar"/>
                <w:sz w:val="18"/>
              </w:rPr>
              <w:t xml:space="preserve">SCOPED</w:t>
            </w:r>
          </w:p>
        </w:tc>
        <w:tc>
          <w:tcPr>
            <w:tcW w:w="2439" w:type="dxa"/>
          </w:tcPr>
          <w:p>
            <w:pPr>
              <w:pStyle w:val="Compact"/>
              <w:spacing w:after="40"/>
              <w:jc w:val="left"/>
            </w:pPr>
            <w:r>
              <w:rPr>
                <w:sz w:val="18"/>
              </w:rPr>
              <w:t xml:space="preserve">Objectives, scope, criteria, team, budget days, methodology version (IAF para 33)</w:t>
            </w:r>
          </w:p>
        </w:tc>
        <w:tc>
          <w:tcPr>
            <w:tcW w:w="1024" w:type="dxa"/>
          </w:tcPr>
          <w:p>
            <w:pPr>
              <w:pStyle w:val="Compact"/>
              <w:spacing w:after="40"/>
              <w:jc w:val="left"/>
            </w:pPr>
            <w:r>
              <w:rPr>
                <w:sz w:val="18"/>
              </w:rPr>
              <w:t xml:space="preserve">Engagement lead</w:t>
            </w:r>
          </w:p>
        </w:tc>
        <w:tc>
          <w:tcPr>
            <w:tcW w:w="2245" w:type="dxa"/>
          </w:tcPr>
          <w:p>
            <w:pPr>
              <w:pStyle w:val="Compact"/>
              <w:spacing w:after="40"/>
              <w:jc w:val="left"/>
            </w:pPr>
            <w:r>
              <w:rPr>
                <w:sz w:val="18"/>
              </w:rPr>
              <w:t xml:space="preserve">10 working days before fieldwork</w:t>
            </w:r>
          </w:p>
        </w:tc>
        <w:tc>
          <w:tcPr>
            <w:tcW w:w="2777" w:type="dxa"/>
          </w:tcPr>
          <w:p>
            <w:pPr>
              <w:pStyle w:val="Compact"/>
              <w:spacing w:after="40"/>
              <w:jc w:val="left"/>
            </w:pPr>
            <w:r>
              <w:rPr>
                <w:sz w:val="18"/>
              </w:rPr>
              <w:t xml:space="preserve">→</w:t>
            </w:r>
            <w:r>
              <w:rPr>
                <w:sz w:val="18"/>
              </w:rPr>
              <w:t xml:space="preserve"> </w:t>
            </w:r>
            <w:r>
              <w:rPr>
                <w:rStyle w:val="VerbatimChar"/>
                <w:sz w:val="18"/>
              </w:rPr>
              <w:t xml:space="preserve">APPROVED</w:t>
            </w:r>
            <w:r>
              <w:rPr>
                <w:sz w:val="18"/>
              </w:rPr>
              <w:t xml:space="preserve">; HIA rejection returns to</w:t>
            </w:r>
            <w:r>
              <w:rPr>
                <w:sz w:val="18"/>
              </w:rPr>
              <w:t xml:space="preserve"> </w:t>
            </w:r>
            <w:r>
              <w:rPr>
                <w:rStyle w:val="VerbatimChar"/>
                <w:sz w:val="18"/>
              </w:rPr>
              <w:t xml:space="preserve">SCOPED</w:t>
            </w:r>
            <w:r>
              <w:rPr>
                <w:sz w:val="18"/>
              </w:rPr>
              <w:t xml:space="preserve"> </w:t>
            </w:r>
            <w:r>
              <w:rPr>
                <w:sz w:val="18"/>
              </w:rPr>
              <w:t xml:space="preserve">with comments</w:t>
            </w:r>
          </w:p>
        </w:tc>
      </w:tr>
      <w:tr>
        <w:tc>
          <w:tcPr>
            <w:tcW w:w="1153" w:type="dxa"/>
          </w:tcPr>
          <w:p>
            <w:pPr>
              <w:pStyle w:val="Compact"/>
              <w:spacing w:after="40"/>
              <w:jc w:val="left"/>
            </w:pPr>
            <w:r>
              <w:rPr>
                <w:rStyle w:val="VerbatimChar"/>
                <w:sz w:val="18"/>
              </w:rPr>
              <w:t xml:space="preserve">APPROVED</w:t>
            </w:r>
          </w:p>
        </w:tc>
        <w:tc>
          <w:tcPr>
            <w:tcW w:w="2439" w:type="dxa"/>
          </w:tcPr>
          <w:p>
            <w:pPr>
              <w:pStyle w:val="Compact"/>
              <w:spacing w:after="40"/>
              <w:jc w:val="left"/>
            </w:pPr>
            <w:r>
              <w:rPr>
                <w:sz w:val="18"/>
              </w:rPr>
              <w:t xml:space="preserve">HIA approval; engagement letter for external audits</w:t>
            </w:r>
          </w:p>
        </w:tc>
        <w:tc>
          <w:tcPr>
            <w:tcW w:w="1024" w:type="dxa"/>
          </w:tcPr>
          <w:p>
            <w:pPr>
              <w:pStyle w:val="Compact"/>
              <w:spacing w:after="40"/>
              <w:jc w:val="left"/>
            </w:pPr>
            <w:r>
              <w:rPr>
                <w:sz w:val="18"/>
              </w:rPr>
              <w:t xml:space="preserve">HIA</w:t>
            </w:r>
          </w:p>
        </w:tc>
        <w:tc>
          <w:tcPr>
            <w:tcW w:w="2245" w:type="dxa"/>
          </w:tcPr>
          <w:p>
            <w:pPr>
              <w:pStyle w:val="Compact"/>
              <w:spacing w:after="40"/>
              <w:jc w:val="left"/>
            </w:pPr>
            <w:r>
              <w:rPr>
                <w:sz w:val="18"/>
              </w:rPr>
              <w:t xml:space="preserve">—</w:t>
            </w:r>
          </w:p>
        </w:tc>
        <w:tc>
          <w:tcPr>
            <w:tcW w:w="2777" w:type="dxa"/>
          </w:tcPr>
          <w:p>
            <w:pPr>
              <w:pStyle w:val="Compact"/>
              <w:spacing w:after="40"/>
              <w:jc w:val="left"/>
            </w:pPr>
            <w:r>
              <w:rPr>
                <w:sz w:val="18"/>
              </w:rPr>
              <w:t xml:space="preserve">→</w:t>
            </w:r>
            <w:r>
              <w:rPr>
                <w:sz w:val="18"/>
              </w:rPr>
              <w:t xml:space="preserve"> </w:t>
            </w:r>
            <w:r>
              <w:rPr>
                <w:rStyle w:val="VerbatimChar"/>
                <w:sz w:val="18"/>
              </w:rPr>
              <w:t xml:space="preserve">FIELDWORK</w:t>
            </w:r>
            <w:r>
              <w:rPr>
                <w:sz w:val="18"/>
              </w:rPr>
              <w:t xml:space="preserve"> </w:t>
            </w:r>
            <w:r>
              <w:rPr>
                <w:sz w:val="18"/>
              </w:rPr>
              <w:t xml:space="preserve">only when every member has an independence declaration</w:t>
            </w:r>
          </w:p>
        </w:tc>
      </w:tr>
      <w:tr>
        <w:tc>
          <w:tcPr>
            <w:tcW w:w="1153" w:type="dxa"/>
          </w:tcPr>
          <w:p>
            <w:pPr>
              <w:pStyle w:val="Compact"/>
              <w:spacing w:after="40"/>
              <w:jc w:val="left"/>
            </w:pPr>
            <w:r>
              <w:rPr>
                <w:rStyle w:val="VerbatimChar"/>
                <w:sz w:val="18"/>
              </w:rPr>
              <w:t xml:space="preserve">FIELDWORK</w:t>
            </w:r>
          </w:p>
        </w:tc>
        <w:tc>
          <w:tcPr>
            <w:tcW w:w="2439" w:type="dxa"/>
          </w:tcPr>
          <w:p>
            <w:pPr>
              <w:pStyle w:val="Compact"/>
              <w:spacing w:after="40"/>
              <w:jc w:val="left"/>
            </w:pPr>
            <w:r>
              <w:rPr>
                <w:sz w:val="18"/>
              </w:rPr>
              <w:t xml:space="preserve">Opening meeting recorded</w:t>
            </w:r>
          </w:p>
        </w:tc>
        <w:tc>
          <w:tcPr>
            <w:tcW w:w="1024" w:type="dxa"/>
          </w:tcPr>
          <w:p>
            <w:pPr>
              <w:pStyle w:val="Compact"/>
              <w:spacing w:after="40"/>
              <w:jc w:val="left"/>
            </w:pPr>
            <w:r>
              <w:rPr>
                <w:sz w:val="18"/>
              </w:rPr>
              <w:t xml:space="preserve">Engagement lead</w:t>
            </w:r>
          </w:p>
        </w:tc>
        <w:tc>
          <w:tcPr>
            <w:tcW w:w="2245" w:type="dxa"/>
          </w:tcPr>
          <w:p>
            <w:pPr>
              <w:pStyle w:val="Compact"/>
              <w:spacing w:after="40"/>
              <w:jc w:val="left"/>
            </w:pPr>
            <w:r>
              <w:rPr>
                <w:sz w:val="18"/>
              </w:rPr>
              <w:t xml:space="preserve">Budget days; alert at 80% and 100%</w:t>
            </w:r>
          </w:p>
        </w:tc>
        <w:tc>
          <w:tcPr>
            <w:tcW w:w="2777" w:type="dxa"/>
          </w:tcPr>
          <w:p>
            <w:pPr>
              <w:pStyle w:val="Compact"/>
              <w:spacing w:after="40"/>
              <w:jc w:val="left"/>
            </w:pPr>
            <w:r>
              <w:rPr>
                <w:sz w:val="18"/>
              </w:rPr>
              <w:t xml:space="preserve">→</w:t>
            </w:r>
            <w:r>
              <w:rPr>
                <w:sz w:val="18"/>
              </w:rPr>
              <w:t xml:space="preserve"> </w:t>
            </w:r>
            <w:r>
              <w:rPr>
                <w:rStyle w:val="VerbatimChar"/>
                <w:sz w:val="18"/>
              </w:rPr>
              <w:t xml:space="preserve">DRAFT_REPORT</w:t>
            </w:r>
            <w:r>
              <w:rPr>
                <w:sz w:val="18"/>
              </w:rPr>
              <w:t xml:space="preserve">; re-scope returns to</w:t>
            </w:r>
            <w:r>
              <w:rPr>
                <w:sz w:val="18"/>
              </w:rPr>
              <w:t xml:space="preserve"> </w:t>
            </w:r>
            <w:r>
              <w:rPr>
                <w:rStyle w:val="VerbatimChar"/>
                <w:sz w:val="18"/>
              </w:rPr>
              <w:t xml:space="preserve">SCOPED</w:t>
            </w:r>
            <w:r>
              <w:rPr>
                <w:sz w:val="18"/>
              </w:rPr>
              <w:t xml:space="preserve"> </w:t>
            </w:r>
            <w:r>
              <w:rPr>
                <w:sz w:val="18"/>
              </w:rPr>
              <w:t xml:space="preserve">with HIA approval and keeps all workpapers; →</w:t>
            </w:r>
            <w:r>
              <w:rPr>
                <w:sz w:val="18"/>
              </w:rPr>
              <w:t xml:space="preserve"> </w:t>
            </w:r>
            <w:r>
              <w:rPr>
                <w:rStyle w:val="VerbatimChar"/>
                <w:sz w:val="18"/>
              </w:rPr>
              <w:t xml:space="preserve">ON_HOLD</w:t>
            </w:r>
          </w:p>
        </w:tc>
      </w:tr>
      <w:tr>
        <w:tc>
          <w:tcPr>
            <w:tcW w:w="1153" w:type="dxa"/>
          </w:tcPr>
          <w:p>
            <w:pPr>
              <w:pStyle w:val="Compact"/>
              <w:spacing w:after="40"/>
              <w:jc w:val="left"/>
            </w:pPr>
            <w:r>
              <w:rPr>
                <w:rStyle w:val="VerbatimChar"/>
                <w:sz w:val="18"/>
              </w:rPr>
              <w:t xml:space="preserve">ON_HOLD</w:t>
            </w:r>
          </w:p>
        </w:tc>
        <w:tc>
          <w:tcPr>
            <w:tcW w:w="2439" w:type="dxa"/>
          </w:tcPr>
          <w:p>
            <w:pPr>
              <w:pStyle w:val="Compact"/>
              <w:spacing w:after="40"/>
              <w:jc w:val="left"/>
            </w:pPr>
            <w:r>
              <w:rPr>
                <w:sz w:val="18"/>
              </w:rPr>
              <w:t xml:space="preserve">Scope limitation, auditee unavailability, data outage or a fraud signal handed to FRM</w:t>
            </w:r>
          </w:p>
        </w:tc>
        <w:tc>
          <w:tcPr>
            <w:tcW w:w="1024" w:type="dxa"/>
          </w:tcPr>
          <w:p>
            <w:pPr>
              <w:pStyle w:val="Compact"/>
              <w:spacing w:after="40"/>
              <w:jc w:val="left"/>
            </w:pPr>
            <w:r>
              <w:rPr>
                <w:sz w:val="18"/>
              </w:rPr>
              <w:t xml:space="preserve">Engagement lead</w:t>
            </w:r>
          </w:p>
        </w:tc>
        <w:tc>
          <w:tcPr>
            <w:tcW w:w="2245" w:type="dxa"/>
          </w:tcPr>
          <w:p>
            <w:pPr>
              <w:pStyle w:val="Compact"/>
              <w:spacing w:after="40"/>
              <w:jc w:val="left"/>
            </w:pPr>
            <w:r>
              <w:rPr>
                <w:sz w:val="18"/>
              </w:rPr>
              <w:t xml:space="preserve">30 days, then HIA escalation</w:t>
            </w:r>
          </w:p>
        </w:tc>
        <w:tc>
          <w:tcPr>
            <w:tcW w:w="2777" w:type="dxa"/>
          </w:tcPr>
          <w:p>
            <w:pPr>
              <w:pStyle w:val="Compact"/>
              <w:spacing w:after="40"/>
              <w:jc w:val="left"/>
            </w:pPr>
            <w:r>
              <w:rPr>
                <w:sz w:val="18"/>
              </w:rPr>
              <w:t xml:space="preserve">Back to the state held before; a scope limitation that persists is reported in the final report and to the ACB</w:t>
            </w:r>
          </w:p>
        </w:tc>
      </w:tr>
      <w:tr>
        <w:tc>
          <w:tcPr>
            <w:tcW w:w="1153" w:type="dxa"/>
          </w:tcPr>
          <w:p>
            <w:pPr>
              <w:pStyle w:val="Compact"/>
              <w:spacing w:after="40"/>
              <w:jc w:val="left"/>
            </w:pPr>
            <w:r>
              <w:rPr>
                <w:rStyle w:val="VerbatimChar"/>
                <w:sz w:val="18"/>
              </w:rPr>
              <w:t xml:space="preserve">DRAFT_REPORT</w:t>
            </w:r>
          </w:p>
        </w:tc>
        <w:tc>
          <w:tcPr>
            <w:tcW w:w="2439" w:type="dxa"/>
          </w:tcPr>
          <w:p>
            <w:pPr>
              <w:pStyle w:val="Compact"/>
              <w:spacing w:after="40"/>
              <w:jc w:val="left"/>
            </w:pPr>
            <w:r>
              <w:rPr>
                <w:sz w:val="18"/>
              </w:rPr>
              <w:t xml:space="preserve">All workpapers reviewed; no open review notes</w:t>
            </w:r>
          </w:p>
        </w:tc>
        <w:tc>
          <w:tcPr>
            <w:tcW w:w="1024" w:type="dxa"/>
          </w:tcPr>
          <w:p>
            <w:pPr>
              <w:pStyle w:val="Compact"/>
              <w:spacing w:after="40"/>
              <w:jc w:val="left"/>
            </w:pPr>
            <w:r>
              <w:rPr>
                <w:sz w:val="18"/>
              </w:rPr>
              <w:t xml:space="preserve">Lead, reviewer</w:t>
            </w:r>
          </w:p>
        </w:tc>
        <w:tc>
          <w:tcPr>
            <w:tcW w:w="2245" w:type="dxa"/>
          </w:tcPr>
          <w:p>
            <w:pPr>
              <w:pStyle w:val="Compact"/>
              <w:spacing w:after="40"/>
              <w:jc w:val="left"/>
            </w:pPr>
            <w:r>
              <w:rPr>
                <w:sz w:val="18"/>
              </w:rPr>
              <w:t xml:space="preserve">10 working days</w:t>
            </w:r>
          </w:p>
        </w:tc>
        <w:tc>
          <w:tcPr>
            <w:tcW w:w="2777" w:type="dxa"/>
          </w:tcPr>
          <w:p>
            <w:pPr>
              <w:pStyle w:val="Compact"/>
              <w:spacing w:after="40"/>
              <w:jc w:val="left"/>
            </w:pPr>
            <w:r>
              <w:rPr>
                <w:sz w:val="18"/>
              </w:rPr>
              <w:t xml:space="preserve">→</w:t>
            </w:r>
            <w:r>
              <w:rPr>
                <w:sz w:val="18"/>
              </w:rPr>
              <w:t xml:space="preserve"> </w:t>
            </w:r>
            <w:r>
              <w:rPr>
                <w:rStyle w:val="VerbatimChar"/>
                <w:sz w:val="18"/>
              </w:rPr>
              <w:t xml:space="preserve">MANAGEMENT_RESPONSE</w:t>
            </w:r>
            <w:r>
              <w:rPr>
                <w:sz w:val="18"/>
              </w:rPr>
              <w:t xml:space="preserve"> </w:t>
            </w:r>
            <w:r>
              <w:rPr>
                <w:sz w:val="18"/>
              </w:rPr>
              <w:t xml:space="preserve">after closing meeting</w:t>
            </w:r>
          </w:p>
        </w:tc>
      </w:tr>
      <w:tr>
        <w:tc>
          <w:tcPr>
            <w:tcW w:w="1153" w:type="dxa"/>
          </w:tcPr>
          <w:p>
            <w:pPr>
              <w:pStyle w:val="Compact"/>
              <w:spacing w:after="40"/>
              <w:jc w:val="left"/>
            </w:pPr>
            <w:r>
              <w:rPr>
                <w:rStyle w:val="VerbatimChar"/>
                <w:sz w:val="18"/>
              </w:rPr>
              <w:t xml:space="preserve">MANAGEMENT_RESPONSE</w:t>
            </w:r>
          </w:p>
        </w:tc>
        <w:tc>
          <w:tcPr>
            <w:tcW w:w="2439" w:type="dxa"/>
          </w:tcPr>
          <w:p>
            <w:pPr>
              <w:pStyle w:val="Compact"/>
              <w:spacing w:after="40"/>
              <w:jc w:val="left"/>
            </w:pPr>
            <w:r>
              <w:rPr>
                <w:sz w:val="18"/>
              </w:rPr>
              <w:t xml:space="preserve">Draft shared with auditee</w:t>
            </w:r>
          </w:p>
        </w:tc>
        <w:tc>
          <w:tcPr>
            <w:tcW w:w="1024" w:type="dxa"/>
          </w:tcPr>
          <w:p>
            <w:pPr>
              <w:pStyle w:val="Compact"/>
              <w:spacing w:after="40"/>
              <w:jc w:val="left"/>
            </w:pPr>
            <w:r>
              <w:rPr>
                <w:sz w:val="18"/>
              </w:rPr>
              <w:t xml:space="preserve">Auditee owner</w:t>
            </w:r>
          </w:p>
        </w:tc>
        <w:tc>
          <w:tcPr>
            <w:tcW w:w="2245" w:type="dxa"/>
          </w:tcPr>
          <w:p>
            <w:pPr>
              <w:pStyle w:val="Compact"/>
              <w:spacing w:after="40"/>
              <w:jc w:val="left"/>
            </w:pPr>
            <w:r>
              <w:rPr>
                <w:sz w:val="18"/>
              </w:rPr>
              <w:t xml:space="preserve">15 working days; reminders T−5, T−1; escalation to the next level at T+1</w:t>
            </w:r>
          </w:p>
        </w:tc>
        <w:tc>
          <w:tcPr>
            <w:tcW w:w="2777" w:type="dxa"/>
          </w:tcPr>
          <w:p>
            <w:pPr>
              <w:pStyle w:val="Compact"/>
              <w:spacing w:after="40"/>
              <w:jc w:val="left"/>
            </w:pPr>
            <w:r>
              <w:rPr>
                <w:sz w:val="18"/>
              </w:rPr>
              <w:t xml:space="preserve">→</w:t>
            </w:r>
            <w:r>
              <w:rPr>
                <w:sz w:val="18"/>
              </w:rPr>
              <w:t xml:space="preserve"> </w:t>
            </w:r>
            <w:r>
              <w:rPr>
                <w:rStyle w:val="VerbatimChar"/>
                <w:sz w:val="18"/>
              </w:rPr>
              <w:t xml:space="preserve">FINAL_REPORT</w:t>
            </w:r>
            <w:r>
              <w:rPr>
                <w:sz w:val="18"/>
              </w:rPr>
              <w:t xml:space="preserve">; a missing response is recorded as</w:t>
            </w:r>
            <w:r>
              <w:rPr>
                <w:sz w:val="18"/>
              </w:rPr>
              <w:t xml:space="preserve"> </w:t>
            </w:r>
            <w:r>
              <w:rPr>
                <w:sz w:val="18"/>
              </w:rPr>
              <w:t xml:space="preserve">“</w:t>
            </w:r>
            <w:r>
              <w:rPr>
                <w:sz w:val="18"/>
              </w:rPr>
              <w:t xml:space="preserve">no response</w:t>
            </w:r>
            <w:r>
              <w:rPr>
                <w:sz w:val="18"/>
              </w:rPr>
              <w:t xml:space="preserve">”</w:t>
            </w:r>
            <w:r>
              <w:rPr>
                <w:sz w:val="18"/>
              </w:rPr>
              <w:t xml:space="preserve"> </w:t>
            </w:r>
            <w:r>
              <w:rPr>
                <w:sz w:val="18"/>
              </w:rPr>
              <w:t xml:space="preserve">and the report proceeds</w:t>
            </w:r>
          </w:p>
        </w:tc>
      </w:tr>
      <w:tr>
        <w:tc>
          <w:tcPr>
            <w:tcW w:w="1153" w:type="dxa"/>
          </w:tcPr>
          <w:p>
            <w:pPr>
              <w:pStyle w:val="Compact"/>
              <w:spacing w:after="40"/>
              <w:jc w:val="left"/>
            </w:pPr>
            <w:r>
              <w:rPr>
                <w:rStyle w:val="VerbatimChar"/>
                <w:sz w:val="18"/>
              </w:rPr>
              <w:t xml:space="preserve">FINAL_REPORT</w:t>
            </w:r>
          </w:p>
        </w:tc>
        <w:tc>
          <w:tcPr>
            <w:tcW w:w="2439" w:type="dxa"/>
          </w:tcPr>
          <w:p>
            <w:pPr>
              <w:pStyle w:val="Compact"/>
              <w:spacing w:after="40"/>
              <w:jc w:val="left"/>
            </w:pPr>
            <w:r>
              <w:rPr>
                <w:sz w:val="18"/>
              </w:rPr>
              <w:t xml:space="preserve">Responses incorporated; rating confirmed</w:t>
            </w:r>
          </w:p>
        </w:tc>
        <w:tc>
          <w:tcPr>
            <w:tcW w:w="1024" w:type="dxa"/>
          </w:tcPr>
          <w:p>
            <w:pPr>
              <w:pStyle w:val="Compact"/>
              <w:spacing w:after="40"/>
              <w:jc w:val="left"/>
            </w:pPr>
            <w:r>
              <w:rPr>
                <w:sz w:val="18"/>
              </w:rPr>
              <w:t xml:space="preserve">HIA</w:t>
            </w:r>
          </w:p>
        </w:tc>
        <w:tc>
          <w:tcPr>
            <w:tcW w:w="2245" w:type="dxa"/>
          </w:tcPr>
          <w:p>
            <w:pPr>
              <w:pStyle w:val="Compact"/>
              <w:spacing w:after="40"/>
              <w:jc w:val="left"/>
            </w:pPr>
            <w:r>
              <w:rPr>
                <w:sz w:val="18"/>
              </w:rPr>
              <w:t xml:space="preserve">5 working days</w:t>
            </w:r>
          </w:p>
        </w:tc>
        <w:tc>
          <w:tcPr>
            <w:tcW w:w="2777" w:type="dxa"/>
          </w:tcPr>
          <w:p>
            <w:pPr>
              <w:pStyle w:val="Compact"/>
              <w:spacing w:after="40"/>
              <w:jc w:val="left"/>
            </w:pPr>
            <w:r>
              <w:rPr>
                <w:sz w:val="18"/>
              </w:rPr>
              <w:t xml:space="preserve">→</w:t>
            </w:r>
            <w:r>
              <w:rPr>
                <w:sz w:val="18"/>
              </w:rPr>
              <w:t xml:space="preserve"> </w:t>
            </w:r>
            <w:r>
              <w:rPr>
                <w:rStyle w:val="VerbatimChar"/>
                <w:sz w:val="18"/>
              </w:rPr>
              <w:t xml:space="preserve">ISSUED</w:t>
            </w:r>
            <w:r>
              <w:rPr>
                <w:sz w:val="18"/>
              </w:rPr>
              <w:t xml:space="preserve"> </w:t>
            </w:r>
            <w:r>
              <w:rPr>
                <w:sz w:val="18"/>
              </w:rPr>
              <w:t xml:space="preserve">on eSign; HIA can return to</w:t>
            </w:r>
            <w:r>
              <w:rPr>
                <w:sz w:val="18"/>
              </w:rPr>
              <w:t xml:space="preserve"> </w:t>
            </w:r>
            <w:r>
              <w:rPr>
                <w:rStyle w:val="VerbatimChar"/>
                <w:sz w:val="18"/>
              </w:rPr>
              <w:t xml:space="preserve">DRAFT_REPORT</w:t>
            </w:r>
          </w:p>
        </w:tc>
      </w:tr>
      <w:tr>
        <w:tc>
          <w:tcPr>
            <w:tcW w:w="1153" w:type="dxa"/>
          </w:tcPr>
          <w:p>
            <w:pPr>
              <w:pStyle w:val="Compact"/>
              <w:spacing w:after="40"/>
              <w:jc w:val="left"/>
            </w:pPr>
            <w:r>
              <w:rPr>
                <w:rStyle w:val="VerbatimChar"/>
                <w:sz w:val="18"/>
              </w:rPr>
              <w:t xml:space="preserve">ISSUED</w:t>
            </w:r>
          </w:p>
        </w:tc>
        <w:tc>
          <w:tcPr>
            <w:tcW w:w="2439" w:type="dxa"/>
          </w:tcPr>
          <w:p>
            <w:pPr>
              <w:pStyle w:val="Compact"/>
              <w:spacing w:after="40"/>
              <w:jc w:val="left"/>
            </w:pPr>
            <w:r>
              <w:rPr>
                <w:sz w:val="18"/>
              </w:rPr>
              <w:t xml:space="preserve">Report hash stored; distribution logged; ATR items created</w:t>
            </w:r>
          </w:p>
        </w:tc>
        <w:tc>
          <w:tcPr>
            <w:tcW w:w="1024" w:type="dxa"/>
          </w:tcPr>
          <w:p>
            <w:pPr>
              <w:pStyle w:val="Compact"/>
              <w:spacing w:after="40"/>
              <w:jc w:val="left"/>
            </w:pPr>
            <w:r>
              <w:rPr>
                <w:sz w:val="18"/>
              </w:rPr>
              <w:t xml:space="preserve">HIA</w:t>
            </w:r>
          </w:p>
        </w:tc>
        <w:tc>
          <w:tcPr>
            <w:tcW w:w="2245" w:type="dxa"/>
          </w:tcPr>
          <w:p>
            <w:pPr>
              <w:pStyle w:val="Compact"/>
              <w:spacing w:after="40"/>
              <w:jc w:val="left"/>
            </w:pPr>
            <w:r>
              <w:rPr>
                <w:sz w:val="18"/>
              </w:rPr>
              <w:t xml:space="preserve">—</w:t>
            </w:r>
          </w:p>
        </w:tc>
        <w:tc>
          <w:tcPr>
            <w:tcW w:w="2777" w:type="dxa"/>
          </w:tcPr>
          <w:p>
            <w:pPr>
              <w:pStyle w:val="Compact"/>
              <w:spacing w:after="40"/>
              <w:jc w:val="left"/>
            </w:pPr>
            <w:r>
              <w:rPr>
                <w:sz w:val="18"/>
              </w:rPr>
              <w:t xml:space="preserve">→</w:t>
            </w:r>
            <w:r>
              <w:rPr>
                <w:sz w:val="18"/>
              </w:rPr>
              <w:t xml:space="preserve"> </w:t>
            </w:r>
            <w:r>
              <w:rPr>
                <w:rStyle w:val="VerbatimChar"/>
                <w:sz w:val="18"/>
              </w:rPr>
              <w:t xml:space="preserve">FOLLOW_UP</w:t>
            </w:r>
          </w:p>
        </w:tc>
      </w:tr>
      <w:tr>
        <w:tc>
          <w:tcPr>
            <w:tcW w:w="1153" w:type="dxa"/>
          </w:tcPr>
          <w:p>
            <w:pPr>
              <w:pStyle w:val="Compact"/>
              <w:spacing w:after="40"/>
              <w:jc w:val="left"/>
            </w:pPr>
            <w:r>
              <w:rPr>
                <w:rStyle w:val="VerbatimChar"/>
                <w:sz w:val="18"/>
              </w:rPr>
              <w:t xml:space="preserve">FOLLOW_UP</w:t>
            </w:r>
          </w:p>
        </w:tc>
        <w:tc>
          <w:tcPr>
            <w:tcW w:w="2439" w:type="dxa"/>
          </w:tcPr>
          <w:p>
            <w:pPr>
              <w:pStyle w:val="Compact"/>
              <w:spacing w:after="40"/>
              <w:jc w:val="left"/>
            </w:pPr>
            <w:r>
              <w:rPr>
                <w:sz w:val="18"/>
              </w:rPr>
              <w:t xml:space="preserve">At least one finding open</w:t>
            </w:r>
          </w:p>
        </w:tc>
        <w:tc>
          <w:tcPr>
            <w:tcW w:w="1024" w:type="dxa"/>
          </w:tcPr>
          <w:p>
            <w:pPr>
              <w:pStyle w:val="Compact"/>
              <w:spacing w:after="40"/>
              <w:jc w:val="left"/>
            </w:pPr>
            <w:r>
              <w:rPr>
                <w:sz w:val="18"/>
              </w:rPr>
              <w:t xml:space="preserve">Finding owners</w:t>
            </w:r>
          </w:p>
        </w:tc>
        <w:tc>
          <w:tcPr>
            <w:tcW w:w="2245" w:type="dxa"/>
          </w:tcPr>
          <w:p>
            <w:pPr>
              <w:pStyle w:val="Compact"/>
              <w:spacing w:after="40"/>
              <w:jc w:val="left"/>
            </w:pPr>
            <w:r>
              <w:rPr>
                <w:sz w:val="18"/>
              </w:rPr>
              <w:t xml:space="preserve">Per finding due dates (AU3.2)</w:t>
            </w:r>
          </w:p>
        </w:tc>
        <w:tc>
          <w:tcPr>
            <w:tcW w:w="2777" w:type="dxa"/>
          </w:tcPr>
          <w:p>
            <w:pPr>
              <w:pStyle w:val="Compact"/>
              <w:spacing w:after="40"/>
              <w:jc w:val="left"/>
            </w:pPr>
            <w:r>
              <w:rPr>
                <w:sz w:val="18"/>
              </w:rPr>
              <w:t xml:space="preserve">→</w:t>
            </w:r>
            <w:r>
              <w:rPr>
                <w:sz w:val="18"/>
              </w:rPr>
              <w:t xml:space="preserve"> </w:t>
            </w:r>
            <w:r>
              <w:rPr>
                <w:rStyle w:val="VerbatimChar"/>
                <w:sz w:val="18"/>
              </w:rPr>
              <w:t xml:space="preserve">CLOSED</w:t>
            </w:r>
            <w:r>
              <w:rPr>
                <w:sz w:val="18"/>
              </w:rPr>
              <w:t xml:space="preserve"> </w:t>
            </w:r>
            <w:r>
              <w:rPr>
                <w:sz w:val="18"/>
              </w:rPr>
              <w:t xml:space="preserve">when every finding is</w:t>
            </w:r>
            <w:r>
              <w:rPr>
                <w:sz w:val="18"/>
              </w:rPr>
              <w:t xml:space="preserve"> </w:t>
            </w:r>
            <w:r>
              <w:rPr>
                <w:rStyle w:val="VerbatimChar"/>
                <w:sz w:val="18"/>
              </w:rPr>
              <w:t xml:space="preserve">CLOSED</w:t>
            </w:r>
            <w:r>
              <w:rPr>
                <w:sz w:val="18"/>
              </w:rPr>
              <w:t xml:space="preserve">,</w:t>
            </w:r>
            <w:r>
              <w:rPr>
                <w:sz w:val="18"/>
              </w:rPr>
              <w:t xml:space="preserve"> </w:t>
            </w:r>
            <w:r>
              <w:rPr>
                <w:rStyle w:val="VerbatimChar"/>
                <w:sz w:val="18"/>
              </w:rPr>
              <w:t xml:space="preserve">RISK_ACCEPTED</w:t>
            </w:r>
            <w:r>
              <w:rPr>
                <w:sz w:val="18"/>
              </w:rPr>
              <w:t xml:space="preserve"> </w:t>
            </w:r>
            <w:r>
              <w:rPr>
                <w:sz w:val="18"/>
              </w:rPr>
              <w:t xml:space="preserve">or</w:t>
            </w:r>
            <w:r>
              <w:rPr>
                <w:sz w:val="18"/>
              </w:rPr>
              <w:t xml:space="preserve"> </w:t>
            </w:r>
            <w:r>
              <w:rPr>
                <w:rStyle w:val="VerbatimChar"/>
                <w:sz w:val="18"/>
              </w:rPr>
              <w:t xml:space="preserve">WITHDRAWN</w:t>
            </w:r>
          </w:p>
        </w:tc>
      </w:tr>
      <w:tr>
        <w:tc>
          <w:tcPr>
            <w:tcW w:w="1153" w:type="dxa"/>
          </w:tcPr>
          <w:p>
            <w:pPr>
              <w:pStyle w:val="Compact"/>
              <w:spacing w:after="40"/>
              <w:jc w:val="left"/>
            </w:pPr>
            <w:r>
              <w:rPr>
                <w:rStyle w:val="VerbatimChar"/>
                <w:sz w:val="18"/>
              </w:rPr>
              <w:t xml:space="preserve">CLOSED</w:t>
            </w:r>
          </w:p>
        </w:tc>
        <w:tc>
          <w:tcPr>
            <w:tcW w:w="2439" w:type="dxa"/>
          </w:tcPr>
          <w:p>
            <w:pPr>
              <w:pStyle w:val="Compact"/>
              <w:spacing w:after="40"/>
              <w:jc w:val="left"/>
            </w:pPr>
            <w:r>
              <w:rPr>
                <w:sz w:val="18"/>
              </w:rPr>
              <w:t xml:space="preserve">File locked (AU2.2)</w:t>
            </w:r>
          </w:p>
        </w:tc>
        <w:tc>
          <w:tcPr>
            <w:tcW w:w="1024" w:type="dxa"/>
          </w:tcPr>
          <w:p>
            <w:pPr>
              <w:pStyle w:val="Compact"/>
              <w:spacing w:after="40"/>
              <w:jc w:val="left"/>
            </w:pPr>
            <w:r>
              <w:rPr>
                <w:sz w:val="18"/>
              </w:rPr>
              <w:t xml:space="preserve">HIA</w:t>
            </w:r>
          </w:p>
        </w:tc>
        <w:tc>
          <w:tcPr>
            <w:tcW w:w="2245" w:type="dxa"/>
          </w:tcPr>
          <w:p>
            <w:pPr>
              <w:pStyle w:val="Compact"/>
              <w:spacing w:after="40"/>
              <w:jc w:val="left"/>
            </w:pPr>
            <w:r>
              <w:rPr>
                <w:sz w:val="18"/>
              </w:rPr>
              <w:t xml:space="preserve">—</w:t>
            </w:r>
          </w:p>
        </w:tc>
        <w:tc>
          <w:tcPr>
            <w:tcW w:w="2777" w:type="dxa"/>
          </w:tcPr>
          <w:p>
            <w:pPr>
              <w:pStyle w:val="Compact"/>
              <w:spacing w:after="40"/>
              <w:jc w:val="left"/>
            </w:pPr>
            <w:r>
              <w:rPr>
                <w:sz w:val="18"/>
              </w:rPr>
              <w:t xml:space="preserve">Reopen only by HIA with reason (creates an addendum, never edits the file)</w:t>
            </w:r>
          </w:p>
        </w:tc>
      </w:tr>
    </w:tbl>
    <w:p>
      <w:pPr>
        <w:numPr>
          <w:ilvl w:val="0"/>
          <w:numId w:val="1349"/>
        </w:numPr>
        <w:pStyle w:val="Compact"/>
      </w:pPr>
      <w:r>
        <w:rPr>
          <w:bCs/>
          <w:b/>
        </w:rPr>
        <w:t xml:space="preserve">Engagement record.</w:t>
      </w:r>
      <w:r>
        <w:t xml:space="preserve"> </w:t>
      </w:r>
      <w:r>
        <w:t xml:space="preserve">Type, entity, units, period under audit, objectives, scope, exclusions, criteria (obligation references from M14), timeline, team with roles (lead, member, reviewer, external expert), independence declarations per member, methodology version, budget days, engagement letter (external audits), related prior findings.</w:t>
      </w:r>
    </w:p>
    <w:p>
      <w:pPr>
        <w:numPr>
          <w:ilvl w:val="0"/>
          <w:numId w:val="1349"/>
        </w:numPr>
        <w:pStyle w:val="Compact"/>
      </w:pPr>
      <w:r>
        <w:rPr>
          <w:bCs/>
          <w:b/>
        </w:rPr>
        <w:t xml:space="preserve">Independence declarations.</w:t>
      </w:r>
      <w:r>
        <w:t xml:space="preserve"> </w:t>
      </w:r>
      <w:r>
        <w:t xml:space="preserve">Every team member declares, per engagement: no operational responsibility for the unit in the last 12 months [REC], no relative in the unit, no incentive tied to the unit’s results (IAF para 22). For external firms, SA paras 18–20 and LODR Reg 24A checks run in AU5 and AU6.</w:t>
      </w:r>
    </w:p>
    <w:bookmarkEnd w:id="346"/>
    <w:bookmarkStart w:id="347" w:name="au2.2-workpapers-icai-sa-230-sia-330"/>
    <w:p>
      <w:pPr>
        <w:pStyle w:val="Heading3"/>
      </w:pPr>
      <w:r>
        <w:t xml:space="preserve">AU2.2 Workpapers (ICAI SA 230; SIA 330)</w:t>
      </w:r>
    </w:p>
    <w:p>
      <w:pPr>
        <w:numPr>
          <w:ilvl w:val="0"/>
          <w:numId w:val="1350"/>
        </w:numPr>
        <w:pStyle w:val="Compact"/>
      </w:pPr>
      <w:r>
        <w:rPr>
          <w:bCs/>
          <w:b/>
        </w:rPr>
        <w:t xml:space="preserve">Workpaper structure.</w:t>
      </w:r>
      <w:r>
        <w:t xml:space="preserve"> </w:t>
      </w:r>
      <w:r>
        <w:t xml:space="preserve">Reference number (index), engagement, area, procedure (from a programme template or ad hoc), objective, criteria, population and sample reference, steps performed, results, exceptions, conclusion, preparer, preparation date, reviewer, review date, review notes and their clearance, evidence links, version.</w:t>
      </w:r>
    </w:p>
    <w:p>
      <w:pPr>
        <w:numPr>
          <w:ilvl w:val="0"/>
          <w:numId w:val="1350"/>
        </w:numPr>
        <w:pStyle w:val="Compact"/>
      </w:pPr>
      <w:r>
        <w:rPr>
          <w:bCs/>
          <w:b/>
        </w:rPr>
        <w:t xml:space="preserve">Review hierarchy.</w:t>
      </w:r>
      <w:r>
        <w:t xml:space="preserve"> </w:t>
      </w:r>
      <w:r>
        <w:t xml:space="preserve">Preparer → reviewer → engagement lead → HIA (for high-risk areas). A workpaper cannot be signed off with open review notes. Sign-off is an eSign event with user, time and content hash.</w:t>
      </w:r>
    </w:p>
    <w:p>
      <w:pPr>
        <w:numPr>
          <w:ilvl w:val="0"/>
          <w:numId w:val="1350"/>
        </w:numPr>
        <w:pStyle w:val="Compact"/>
      </w:pPr>
      <w:r>
        <w:rPr>
          <w:bCs/>
          <w:b/>
        </w:rPr>
        <w:t xml:space="preserve">Locking and assembly.</w:t>
      </w:r>
      <w:r>
        <w:t xml:space="preserve"> </w:t>
      </w:r>
      <w:r>
        <w:t xml:space="preserve">On report issue the engagement file is assembled and locked. Default assembly deadline:</w:t>
      </w:r>
      <w:r>
        <w:t xml:space="preserve"> </w:t>
      </w:r>
      <w:r>
        <w:rPr>
          <w:bCs/>
          <w:b/>
        </w:rPr>
        <w:t xml:space="preserve">60 days from the report date</w:t>
      </w:r>
      <w:r>
        <w:t xml:space="preserve"> </w:t>
      </w:r>
      <w:r>
        <w:t xml:space="preserve">for statutory-audit-style files (SA 230, [ICAI] [VERIFY]) and</w:t>
      </w:r>
      <w:r>
        <w:t xml:space="preserve"> </w:t>
      </w:r>
      <w:r>
        <w:rPr>
          <w:bCs/>
          <w:b/>
        </w:rPr>
        <w:t xml:space="preserve">45 days from signing</w:t>
      </w:r>
      <w:r>
        <w:t xml:space="preserve"> </w:t>
      </w:r>
      <w:r>
        <w:t xml:space="preserve">for secretarial audits (CSAS-2, [ICSI]). After lock, changes are append-only addenda with reason, author and date; the original is never altered (SA 230 treatment of post-assembly changes).</w:t>
      </w:r>
    </w:p>
    <w:p>
      <w:pPr>
        <w:numPr>
          <w:ilvl w:val="0"/>
          <w:numId w:val="1350"/>
        </w:numPr>
        <w:pStyle w:val="Compact"/>
      </w:pPr>
      <w:r>
        <w:rPr>
          <w:bCs/>
          <w:b/>
        </w:rPr>
        <w:t xml:space="preserve">Retention.</w:t>
      </w:r>
      <w:r>
        <w:t xml:space="preserve"> </w:t>
      </w:r>
      <w:r>
        <w:t xml:space="preserve">Default ≥ 8 years from lock for internal and secretarial files (CSAS-2; CA13 s.128(5)); statutory-auditor working papers belong to the firm (SA 230, ≥ 7 years [VERIFY]) — Finbyx keeps only what the firm uploads.</w:t>
      </w:r>
    </w:p>
    <w:p>
      <w:pPr>
        <w:numPr>
          <w:ilvl w:val="0"/>
          <w:numId w:val="1350"/>
        </w:numPr>
        <w:pStyle w:val="Compact"/>
      </w:pPr>
      <w:r>
        <w:rPr>
          <w:bCs/>
          <w:b/>
        </w:rPr>
        <w:t xml:space="preserve">Programme templates.</w:t>
      </w:r>
      <w:r>
        <w:t xml:space="preserve"> </w:t>
      </w:r>
      <w:r>
        <w:t xml:space="preserve">Versioned per audit type; RBIA programmes seeded by area from the ICAI Technical Guide on Risk Based Internal Audit of NBFC (2024) [ICAI, recommendatory] — sourcing, KYC/AML, appraisal and sanction, disbursement, loan book and ECL, collections, ALM and treasury, securitisation and co-lending, outsourcing and DLAs, finance and tax, governance, fraud, information security. Steps map to obligation references so regulatory coverage is measurable.</w:t>
      </w:r>
    </w:p>
    <w:bookmarkEnd w:id="347"/>
    <w:bookmarkStart w:id="348" w:name="au2.3-sampling-icai-sa-530"/>
    <w:p>
      <w:pPr>
        <w:pStyle w:val="Heading3"/>
      </w:pPr>
      <w:r>
        <w:t xml:space="preserve">AU2.3 Sampling (ICAI SA 530)</w:t>
      </w:r>
    </w:p>
    <w:p>
      <w:pPr>
        <w:numPr>
          <w:ilvl w:val="0"/>
          <w:numId w:val="1351"/>
        </w:numPr>
        <w:pStyle w:val="Compact"/>
      </w:pPr>
      <w:r>
        <w:rPr>
          <w:bCs/>
          <w:b/>
        </w:rPr>
        <w:t xml:space="preserve">Population freeze.</w:t>
      </w:r>
      <w:r>
        <w:t xml:space="preserve"> </w:t>
      </w:r>
      <w:r>
        <w:t xml:space="preserve">A population query (saved, versioned, parameterised) runs against a point-in-time snapshot; Finbyx stores the row count, control totals (sum of amounts), the query text and a SHA-256 of the ordered key list (</w:t>
      </w:r>
      <w:r>
        <w:rPr>
          <w:rStyle w:val="VerbatimChar"/>
        </w:rPr>
        <w:t xml:space="preserve">population_hash</w:t>
      </w:r>
      <w:r>
        <w:t xml:space="preserve">).</w:t>
      </w:r>
    </w:p>
    <w:p>
      <w:pPr>
        <w:numPr>
          <w:ilvl w:val="0"/>
          <w:numId w:val="1351"/>
        </w:numPr>
        <w:pStyle w:val="Compact"/>
      </w:pPr>
      <w:r>
        <w:rPr>
          <w:bCs/>
          <w:b/>
        </w:rPr>
        <w:t xml:space="preserve">Methods.</w:t>
      </w:r>
      <w:r>
        <w:t xml:space="preserve"> </w:t>
      </w:r>
      <w:r>
        <w:t xml:space="preserve">Simple random (seeded PRNG), systematic (random start), stratified (by amount, product, branch, DPD bucket), monetary-unit sampling, attribute sampling, top-N and key items, and judgemental (each item with a reason). The method, parameters and seed are stored; re-running with the same snapshot and seed must return the same items.</w:t>
      </w:r>
    </w:p>
    <w:p>
      <w:pPr>
        <w:numPr>
          <w:ilvl w:val="0"/>
          <w:numId w:val="1351"/>
        </w:numPr>
        <w:pStyle w:val="Compact"/>
      </w:pPr>
      <w:r>
        <w:rPr>
          <w:bCs/>
          <w:b/>
        </w:rPr>
        <w:t xml:space="preserve">Size calculators.</w:t>
      </w:r>
      <w:r>
        <w:t xml:space="preserve"> </w:t>
      </w:r>
      <w:r>
        <w:t xml:space="preserve">Attribute sampling from confidence level, tolerable deviation rate and expected deviation rate; MUS from confidence, tolerable misstatement and expected misstatement. SA 530 prescribes no sizes; the tenant methodology version holds the tables [ICAI].</w:t>
      </w:r>
    </w:p>
    <w:p>
      <w:pPr>
        <w:numPr>
          <w:ilvl w:val="0"/>
          <w:numId w:val="1351"/>
        </w:numPr>
        <w:pStyle w:val="Compact"/>
      </w:pPr>
      <w:r>
        <w:rPr>
          <w:bCs/>
          <w:b/>
        </w:rPr>
        <w:t xml:space="preserve">Evaluation.</w:t>
      </w:r>
      <w:r>
        <w:t xml:space="preserve"> </w:t>
      </w:r>
      <w:r>
        <w:t xml:space="preserve">Deviations and misstatements per item; projected misstatement for MUS; upper deviation limit for attribute tests; conclusion recorded by the auditor.</w:t>
      </w:r>
    </w:p>
    <w:p>
      <w:pPr>
        <w:numPr>
          <w:ilvl w:val="0"/>
          <w:numId w:val="1351"/>
        </w:numPr>
        <w:pStyle w:val="Compact"/>
      </w:pPr>
      <w:r>
        <w:rPr>
          <w:bCs/>
          <w:b/>
        </w:rPr>
        <w:t xml:space="preserve">CAATs and full-population analytics.</w:t>
      </w:r>
      <w:r>
        <w:t xml:space="preserve"> </w:t>
      </w:r>
      <w:r>
        <w:t xml:space="preserve">Full-population tests are first-class procedures (CYB para 58; IAF para 7): duplicate disbursements, disbursement before sanction, KFS not issued before execution, interest accrual before disbursement value date (MSD para 7), penal charges vs policy, NPA flag timing vs IRACP day-end rule, related-party loans above materiality without Board approval (CRM 13G–13I), DLG above 5% (CF para 24), users with conflicting roles, changes to interest rates without delegated authority (CYB para 21(3)). Each test is a versioned</w:t>
      </w:r>
      <w:r>
        <w:t xml:space="preserve"> </w:t>
      </w:r>
      <w:r>
        <w:rPr>
          <w:rStyle w:val="VerbatimChar"/>
        </w:rPr>
        <w:t xml:space="preserve">analytic_test</w:t>
      </w:r>
      <w:r>
        <w:t xml:space="preserve"> </w:t>
      </w:r>
      <w:r>
        <w:t xml:space="preserve">with exceptions written as sample items.</w:t>
      </w:r>
    </w:p>
    <w:bookmarkEnd w:id="348"/>
    <w:bookmarkStart w:id="349" w:name="au2.4-evidence-linking-with-hashes"/>
    <w:p>
      <w:pPr>
        <w:pStyle w:val="Heading3"/>
      </w:pPr>
      <w:r>
        <w:t xml:space="preserve">AU2.4 Evidence linking with hashes</w:t>
      </w:r>
    </w:p>
    <w:p>
      <w:pPr>
        <w:numPr>
          <w:ilvl w:val="0"/>
          <w:numId w:val="1352"/>
        </w:numPr>
        <w:pStyle w:val="Compact"/>
      </w:pPr>
      <w:r>
        <w:rPr>
          <w:bCs/>
          <w:b/>
        </w:rPr>
        <w:t xml:space="preserve">System evidence.</w:t>
      </w:r>
      <w:r>
        <w:t xml:space="preserve"> </w:t>
      </w:r>
      <w:r>
        <w:t xml:space="preserve">An evidence link points to a source record by</w:t>
      </w:r>
      <w:r>
        <w:t xml:space="preserve"> </w:t>
      </w:r>
      <w:r>
        <w:rPr>
          <w:rStyle w:val="VerbatimChar"/>
        </w:rPr>
        <w:t xml:space="preserve">(source_type, source_id, source_version or event_seq)</w:t>
      </w:r>
      <w:r>
        <w:t xml:space="preserve"> </w:t>
      </w:r>
      <w:r>
        <w:t xml:space="preserve">and stores a canonical JSON snapshot of the fields used, its SHA-256, the snapshot time and the audit-trail chain position (Part 7C AC7). The auditor sees the live record and the pinned snapshot side by side.</w:t>
      </w:r>
    </w:p>
    <w:p>
      <w:pPr>
        <w:numPr>
          <w:ilvl w:val="0"/>
          <w:numId w:val="1352"/>
        </w:numPr>
        <w:pStyle w:val="Compact"/>
      </w:pPr>
      <w:r>
        <w:rPr>
          <w:bCs/>
          <w:b/>
        </w:rPr>
        <w:t xml:space="preserve">Drift detection.</w:t>
      </w:r>
      <w:r>
        <w:t xml:space="preserve"> </w:t>
      </w:r>
      <w:r>
        <w:t xml:space="preserve">If the source record changes after linking, the link shows</w:t>
      </w:r>
      <w:r>
        <w:t xml:space="preserve"> </w:t>
      </w:r>
      <w:r>
        <w:t xml:space="preserve">“</w:t>
      </w:r>
      <w:r>
        <w:t xml:space="preserve">source changed since evidence</w:t>
      </w:r>
      <w:r>
        <w:t xml:space="preserve">”</w:t>
      </w:r>
      <w:r>
        <w:t xml:space="preserve"> </w:t>
      </w:r>
      <w:r>
        <w:t xml:space="preserve">with a diff; the evidence itself is never updated. A restatement in the ledger or loan book also flags dependent workpapers.</w:t>
      </w:r>
    </w:p>
    <w:p>
      <w:pPr>
        <w:numPr>
          <w:ilvl w:val="0"/>
          <w:numId w:val="1352"/>
        </w:numPr>
        <w:pStyle w:val="Compact"/>
      </w:pPr>
      <w:r>
        <w:rPr>
          <w:bCs/>
          <w:b/>
        </w:rPr>
        <w:t xml:space="preserve">Document evidence.</w:t>
      </w:r>
      <w:r>
        <w:t xml:space="preserve"> </w:t>
      </w:r>
      <w:r>
        <w:t xml:space="preserve">Uploaded files are stored in the DMS (M16) evidence vault: WORM, SHA-256, uploader, time, classification, malware scan, PII tag. Duplicates are de-duplicated by hash but keep separate link records.</w:t>
      </w:r>
    </w:p>
    <w:p>
      <w:pPr>
        <w:numPr>
          <w:ilvl w:val="0"/>
          <w:numId w:val="1352"/>
        </w:numPr>
        <w:pStyle w:val="Compact"/>
      </w:pPr>
      <w:r>
        <w:rPr>
          <w:bCs/>
          <w:b/>
        </w:rPr>
        <w:t xml:space="preserve">Integrity verification.</w:t>
      </w:r>
      <w:r>
        <w:t xml:space="preserve"> </w:t>
      </w:r>
      <w:r>
        <w:t xml:space="preserve">A</w:t>
      </w:r>
      <w:r>
        <w:t xml:space="preserve"> </w:t>
      </w:r>
      <w:r>
        <w:t xml:space="preserve">“</w:t>
      </w:r>
      <w:r>
        <w:t xml:space="preserve">verify file</w:t>
      </w:r>
      <w:r>
        <w:t xml:space="preserve">”</w:t>
      </w:r>
      <w:r>
        <w:t xml:space="preserve"> </w:t>
      </w:r>
      <w:r>
        <w:t xml:space="preserve">action recomputes all hashes in an engagement and checks them against the audit-trail chain; the result is itself an evidence item, exportable for the statutory auditor or supervisor.</w:t>
      </w:r>
    </w:p>
    <w:p>
      <w:pPr>
        <w:numPr>
          <w:ilvl w:val="0"/>
          <w:numId w:val="1352"/>
        </w:numPr>
        <w:pStyle w:val="Compact"/>
      </w:pPr>
      <w:r>
        <w:rPr>
          <w:bCs/>
          <w:b/>
        </w:rPr>
        <w:t xml:space="preserve">PII minimisation.</w:t>
      </w:r>
      <w:r>
        <w:t xml:space="preserve"> </w:t>
      </w:r>
      <w:r>
        <w:t xml:space="preserve">Evidence snapshots store only fields the procedure needs; PAN, Aadhaar, account and phone numbers are masked unless the procedure is identity-related and the reason is logged (DPDP s.8(5) security safeguards; AU7 masking rules apply to external users).</w:t>
      </w:r>
    </w:p>
    <w:p>
      <w:pPr>
        <w:numPr>
          <w:ilvl w:val="0"/>
          <w:numId w:val="1352"/>
        </w:numPr>
        <w:pStyle w:val="Compact"/>
      </w:pPr>
      <w:r>
        <w:rPr>
          <w:bCs/>
          <w:b/>
        </w:rPr>
        <w:t xml:space="preserve">LawDocsComply.</w:t>
      </w:r>
      <w:r>
        <w:t xml:space="preserve"> </w:t>
      </w:r>
      <w:r>
        <w:t xml:space="preserve">Evidence for a control test is published as</w:t>
      </w:r>
      <w:r>
        <w:t xml:space="preserve"> </w:t>
      </w:r>
      <w:r>
        <w:rPr>
          <w:rStyle w:val="VerbatimChar"/>
        </w:rPr>
        <w:t xml:space="preserve">EvidenceSubmitted</w:t>
      </w:r>
      <w:r>
        <w:t xml:space="preserve"> </w:t>
      </w:r>
      <w:r>
        <w:t xml:space="preserve">and</w:t>
      </w:r>
      <w:r>
        <w:t xml:space="preserve"> </w:t>
      </w:r>
      <w:r>
        <w:rPr>
          <w:rStyle w:val="VerbatimChar"/>
        </w:rPr>
        <w:t xml:space="preserve">ControlTestResultPublished</w:t>
      </w:r>
      <w:r>
        <w:t xml:space="preserve"> </w:t>
      </w:r>
      <w:r>
        <w:t xml:space="preserve">with masked sample identifiers and hashes, never raw PII (Integration Specification Part 9).</w:t>
      </w:r>
    </w:p>
    <w:bookmarkEnd w:id="349"/>
    <w:bookmarkStart w:id="350" w:name="au2.5-reports"/>
    <w:p>
      <w:pPr>
        <w:pStyle w:val="Heading3"/>
      </w:pPr>
      <w:r>
        <w:t xml:space="preserve">AU2.5 Reports</w:t>
      </w:r>
    </w:p>
    <w:p>
      <w:pPr>
        <w:numPr>
          <w:ilvl w:val="0"/>
          <w:numId w:val="1353"/>
        </w:numPr>
        <w:pStyle w:val="Compact"/>
      </w:pPr>
      <w:r>
        <w:t xml:space="preserve">Templates per type cover objectives, scope, results, recommendations and action plans (IAF para 35), overall rating, management responses, prior-finding status and scope limitations. Draft and final versions are immutable</w:t>
      </w:r>
      <w:r>
        <w:t xml:space="preserve"> </w:t>
      </w:r>
      <w:r>
        <w:rPr>
          <w:rStyle w:val="VerbatimChar"/>
        </w:rPr>
        <w:t xml:space="preserve">audit_report</w:t>
      </w:r>
      <w:r>
        <w:t xml:space="preserve"> </w:t>
      </w:r>
      <w:r>
        <w:t xml:space="preserve">records with hash; system-audit reports also route to the ITSC (IAF para 34); output PDF/A and DOCX (Part 7J).</w:t>
      </w:r>
    </w:p>
    <w:bookmarkEnd w:id="350"/>
    <w:bookmarkStart w:id="351" w:name="settings-and-options-1"/>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939"/>
        <w:gridCol w:w="2644"/>
        <w:gridCol w:w="1434"/>
        <w:gridCol w:w="2621"/>
      </w:tblGrid>
      <w:tr>
        <w:trPr>
          <w:tblHeader w:val="true"/>
          <w:tblHeader w:val="true"/>
        </w:trPr>
        <w:tc>
          <w:tcPr>
            <w:tcW w:w="2939" w:type="dxa"/>
            <w:shd w:val="clear" w:color="auto" w:fill="1F3A5F"/>
          </w:tcPr>
          <w:p>
            <w:pPr>
              <w:pStyle w:val="Compact"/>
              <w:spacing w:after="40"/>
              <w:jc w:val="left"/>
            </w:pPr>
            <w:r>
              <w:rPr>
                <w:b/>
                <w:color w:val="FFFFFF"/>
                <w:sz w:val="18"/>
              </w:rPr>
              <w:t xml:space="preserve">Setting</w:t>
            </w:r>
          </w:p>
        </w:tc>
        <w:tc>
          <w:tcPr>
            <w:tcW w:w="2644" w:type="dxa"/>
            <w:shd w:val="clear" w:color="auto" w:fill="1F3A5F"/>
          </w:tcPr>
          <w:p>
            <w:pPr>
              <w:pStyle w:val="Compact"/>
              <w:spacing w:after="40"/>
              <w:jc w:val="left"/>
            </w:pPr>
            <w:r>
              <w:rPr>
                <w:b/>
                <w:color w:val="FFFFFF"/>
                <w:sz w:val="18"/>
              </w:rPr>
              <w:t xml:space="preserve">Default</w:t>
            </w:r>
          </w:p>
        </w:tc>
        <w:tc>
          <w:tcPr>
            <w:tcW w:w="1434" w:type="dxa"/>
            <w:shd w:val="clear" w:color="auto" w:fill="1F3A5F"/>
          </w:tcPr>
          <w:p>
            <w:pPr>
              <w:pStyle w:val="Compact"/>
              <w:spacing w:after="40"/>
              <w:jc w:val="left"/>
            </w:pPr>
            <w:r>
              <w:rPr>
                <w:b/>
                <w:color w:val="FFFFFF"/>
                <w:sz w:val="18"/>
              </w:rPr>
              <w:t xml:space="preserve">Level</w:t>
            </w:r>
          </w:p>
        </w:tc>
        <w:tc>
          <w:tcPr>
            <w:tcW w:w="2621" w:type="dxa"/>
            <w:shd w:val="clear" w:color="auto" w:fill="1F3A5F"/>
          </w:tcPr>
          <w:p>
            <w:pPr>
              <w:pStyle w:val="Compact"/>
              <w:spacing w:after="40"/>
              <w:jc w:val="left"/>
            </w:pPr>
            <w:r>
              <w:rPr>
                <w:b/>
                <w:color w:val="FFFFFF"/>
                <w:sz w:val="18"/>
              </w:rPr>
              <w:t xml:space="preserve">Floor or choice</w:t>
            </w:r>
          </w:p>
        </w:tc>
      </w:tr>
      <w:tr>
        <w:tc>
          <w:tcPr>
            <w:tcW w:w="2939" w:type="dxa"/>
          </w:tcPr>
          <w:p>
            <w:pPr>
              <w:pStyle w:val="Compact"/>
              <w:spacing w:after="40"/>
              <w:jc w:val="left"/>
            </w:pPr>
            <w:r>
              <w:rPr>
                <w:sz w:val="18"/>
              </w:rPr>
              <w:t xml:space="preserve">Independence declaration before fieldwork</w:t>
            </w:r>
          </w:p>
        </w:tc>
        <w:tc>
          <w:tcPr>
            <w:tcW w:w="2644" w:type="dxa"/>
          </w:tcPr>
          <w:p>
            <w:pPr>
              <w:pStyle w:val="Compact"/>
              <w:spacing w:after="40"/>
              <w:jc w:val="left"/>
            </w:pPr>
            <w:r>
              <w:rPr>
                <w:sz w:val="18"/>
              </w:rPr>
              <w:t xml:space="preserve">On</w:t>
            </w:r>
          </w:p>
        </w:tc>
        <w:tc>
          <w:tcPr>
            <w:tcW w:w="1434" w:type="dxa"/>
          </w:tcPr>
          <w:p>
            <w:pPr>
              <w:pStyle w:val="Compact"/>
              <w:spacing w:after="40"/>
              <w:jc w:val="left"/>
            </w:pPr>
            <w:r>
              <w:rPr>
                <w:sz w:val="18"/>
              </w:rPr>
              <w:t xml:space="preserve">Tenant</w:t>
            </w:r>
          </w:p>
        </w:tc>
        <w:tc>
          <w:tcPr>
            <w:tcW w:w="2621" w:type="dxa"/>
          </w:tcPr>
          <w:p>
            <w:pPr>
              <w:pStyle w:val="Compact"/>
              <w:spacing w:after="40"/>
              <w:jc w:val="left"/>
            </w:pPr>
            <w:r>
              <w:rPr>
                <w:sz w:val="18"/>
              </w:rPr>
              <w:t xml:space="preserve">Floor (cannot be switched off)</w:t>
            </w:r>
          </w:p>
        </w:tc>
      </w:tr>
      <w:tr>
        <w:tc>
          <w:tcPr>
            <w:tcW w:w="2939" w:type="dxa"/>
          </w:tcPr>
          <w:p>
            <w:pPr>
              <w:pStyle w:val="Compact"/>
              <w:spacing w:after="40"/>
              <w:jc w:val="left"/>
            </w:pPr>
            <w:r>
              <w:rPr>
                <w:sz w:val="18"/>
              </w:rPr>
              <w:t xml:space="preserve">Cooling period for a member who held operational responsibility</w:t>
            </w:r>
          </w:p>
        </w:tc>
        <w:tc>
          <w:tcPr>
            <w:tcW w:w="2644" w:type="dxa"/>
          </w:tcPr>
          <w:p>
            <w:pPr>
              <w:pStyle w:val="Compact"/>
              <w:spacing w:after="40"/>
              <w:jc w:val="left"/>
            </w:pPr>
            <w:r>
              <w:rPr>
                <w:sz w:val="18"/>
              </w:rPr>
              <w:t xml:space="preserve">12 months [REC]</w:t>
            </w:r>
          </w:p>
        </w:tc>
        <w:tc>
          <w:tcPr>
            <w:tcW w:w="1434" w:type="dxa"/>
          </w:tcPr>
          <w:p>
            <w:pPr>
              <w:pStyle w:val="Compact"/>
              <w:spacing w:after="40"/>
              <w:jc w:val="left"/>
            </w:pPr>
            <w:r>
              <w:rPr>
                <w:sz w:val="18"/>
              </w:rPr>
              <w:t xml:space="preserve">Tenant</w:t>
            </w:r>
          </w:p>
        </w:tc>
        <w:tc>
          <w:tcPr>
            <w:tcW w:w="2621" w:type="dxa"/>
          </w:tcPr>
          <w:p>
            <w:pPr>
              <w:pStyle w:val="Compact"/>
              <w:spacing w:after="40"/>
              <w:jc w:val="left"/>
            </w:pPr>
            <w:r>
              <w:rPr>
                <w:sz w:val="18"/>
              </w:rPr>
              <w:t xml:space="preserve">Choice (minimum 6 months)</w:t>
            </w:r>
          </w:p>
        </w:tc>
      </w:tr>
      <w:tr>
        <w:tc>
          <w:tcPr>
            <w:tcW w:w="2939" w:type="dxa"/>
          </w:tcPr>
          <w:p>
            <w:pPr>
              <w:pStyle w:val="Compact"/>
              <w:spacing w:after="40"/>
              <w:jc w:val="left"/>
            </w:pPr>
            <w:r>
              <w:rPr>
                <w:sz w:val="18"/>
              </w:rPr>
              <w:t xml:space="preserve">Review hierarchy</w:t>
            </w:r>
          </w:p>
        </w:tc>
        <w:tc>
          <w:tcPr>
            <w:tcW w:w="2644" w:type="dxa"/>
          </w:tcPr>
          <w:p>
            <w:pPr>
              <w:pStyle w:val="Compact"/>
              <w:spacing w:after="40"/>
              <w:jc w:val="left"/>
            </w:pPr>
            <w:r>
              <w:rPr>
                <w:sz w:val="18"/>
              </w:rPr>
              <w:t xml:space="preserve">Preparer → reviewer → lead; HIA for high-risk areas</w:t>
            </w:r>
          </w:p>
        </w:tc>
        <w:tc>
          <w:tcPr>
            <w:tcW w:w="1434" w:type="dxa"/>
          </w:tcPr>
          <w:p>
            <w:pPr>
              <w:pStyle w:val="Compact"/>
              <w:spacing w:after="40"/>
              <w:jc w:val="left"/>
            </w:pPr>
            <w:r>
              <w:rPr>
                <w:sz w:val="18"/>
              </w:rPr>
              <w:t xml:space="preserve">Engagement type</w:t>
            </w:r>
          </w:p>
        </w:tc>
        <w:tc>
          <w:tcPr>
            <w:tcW w:w="2621" w:type="dxa"/>
          </w:tcPr>
          <w:p>
            <w:pPr>
              <w:pStyle w:val="Compact"/>
              <w:spacing w:after="40"/>
              <w:jc w:val="left"/>
            </w:pPr>
            <w:r>
              <w:rPr>
                <w:sz w:val="18"/>
              </w:rPr>
              <w:t xml:space="preserve">Two-person review is a floor; HIA step is a choice</w:t>
            </w:r>
          </w:p>
        </w:tc>
      </w:tr>
      <w:tr>
        <w:tc>
          <w:tcPr>
            <w:tcW w:w="2939" w:type="dxa"/>
          </w:tcPr>
          <w:p>
            <w:pPr>
              <w:pStyle w:val="Compact"/>
              <w:spacing w:after="40"/>
              <w:jc w:val="left"/>
            </w:pPr>
            <w:r>
              <w:rPr>
                <w:sz w:val="18"/>
              </w:rPr>
              <w:t xml:space="preserve">File assembly deadline</w:t>
            </w:r>
          </w:p>
        </w:tc>
        <w:tc>
          <w:tcPr>
            <w:tcW w:w="2644" w:type="dxa"/>
          </w:tcPr>
          <w:p>
            <w:pPr>
              <w:pStyle w:val="Compact"/>
              <w:spacing w:after="40"/>
              <w:jc w:val="left"/>
            </w:pPr>
            <w:r>
              <w:rPr>
                <w:sz w:val="18"/>
              </w:rPr>
              <w:t xml:space="preserve">60 days (statutory style), 45 days (secretarial)</w:t>
            </w:r>
          </w:p>
        </w:tc>
        <w:tc>
          <w:tcPr>
            <w:tcW w:w="1434" w:type="dxa"/>
          </w:tcPr>
          <w:p>
            <w:pPr>
              <w:pStyle w:val="Compact"/>
              <w:spacing w:after="40"/>
              <w:jc w:val="left"/>
            </w:pPr>
            <w:r>
              <w:rPr>
                <w:sz w:val="18"/>
              </w:rPr>
              <w:t xml:space="preserve">Engagement type</w:t>
            </w:r>
          </w:p>
        </w:tc>
        <w:tc>
          <w:tcPr>
            <w:tcW w:w="2621" w:type="dxa"/>
          </w:tcPr>
          <w:p>
            <w:pPr>
              <w:pStyle w:val="Compact"/>
              <w:spacing w:after="40"/>
              <w:jc w:val="left"/>
            </w:pPr>
            <w:r>
              <w:rPr>
                <w:sz w:val="18"/>
              </w:rPr>
              <w:t xml:space="preserve">Choice within the professional standard</w:t>
            </w:r>
          </w:p>
        </w:tc>
      </w:tr>
      <w:tr>
        <w:tc>
          <w:tcPr>
            <w:tcW w:w="2939" w:type="dxa"/>
          </w:tcPr>
          <w:p>
            <w:pPr>
              <w:pStyle w:val="Compact"/>
              <w:spacing w:after="40"/>
              <w:jc w:val="left"/>
            </w:pPr>
            <w:r>
              <w:rPr>
                <w:sz w:val="18"/>
              </w:rPr>
              <w:t xml:space="preserve">Evidence PII masking</w:t>
            </w:r>
          </w:p>
        </w:tc>
        <w:tc>
          <w:tcPr>
            <w:tcW w:w="2644" w:type="dxa"/>
          </w:tcPr>
          <w:p>
            <w:pPr>
              <w:pStyle w:val="Compact"/>
              <w:spacing w:after="40"/>
              <w:jc w:val="left"/>
            </w:pPr>
            <w:r>
              <w:rPr>
                <w:sz w:val="18"/>
              </w:rPr>
              <w:t xml:space="preserve">Masked; unmask per item with reason</w:t>
            </w:r>
          </w:p>
        </w:tc>
        <w:tc>
          <w:tcPr>
            <w:tcW w:w="1434" w:type="dxa"/>
          </w:tcPr>
          <w:p>
            <w:pPr>
              <w:pStyle w:val="Compact"/>
              <w:spacing w:after="40"/>
              <w:jc w:val="left"/>
            </w:pPr>
            <w:r>
              <w:rPr>
                <w:sz w:val="18"/>
              </w:rPr>
              <w:t xml:space="preserve">Tenant</w:t>
            </w:r>
          </w:p>
        </w:tc>
        <w:tc>
          <w:tcPr>
            <w:tcW w:w="2621" w:type="dxa"/>
          </w:tcPr>
          <w:p>
            <w:pPr>
              <w:pStyle w:val="Compact"/>
              <w:spacing w:after="40"/>
              <w:jc w:val="left"/>
            </w:pPr>
            <w:r>
              <w:rPr>
                <w:sz w:val="18"/>
              </w:rPr>
              <w:t xml:space="preserve">Floor</w:t>
            </w:r>
          </w:p>
        </w:tc>
      </w:tr>
      <w:tr>
        <w:tc>
          <w:tcPr>
            <w:tcW w:w="2939" w:type="dxa"/>
          </w:tcPr>
          <w:p>
            <w:pPr>
              <w:pStyle w:val="Compact"/>
              <w:spacing w:after="40"/>
              <w:jc w:val="left"/>
            </w:pPr>
            <w:r>
              <w:rPr>
                <w:sz w:val="18"/>
              </w:rPr>
              <w:t xml:space="preserve">Sample-size tables and default confidence</w:t>
            </w:r>
          </w:p>
        </w:tc>
        <w:tc>
          <w:tcPr>
            <w:tcW w:w="2644" w:type="dxa"/>
          </w:tcPr>
          <w:p>
            <w:pPr>
              <w:pStyle w:val="Compact"/>
              <w:spacing w:after="40"/>
              <w:jc w:val="left"/>
            </w:pPr>
            <w:r>
              <w:rPr>
                <w:sz w:val="18"/>
              </w:rPr>
              <w:t xml:space="preserve">95% confidence; tolerable deviation 5%</w:t>
            </w:r>
          </w:p>
        </w:tc>
        <w:tc>
          <w:tcPr>
            <w:tcW w:w="1434" w:type="dxa"/>
          </w:tcPr>
          <w:p>
            <w:pPr>
              <w:pStyle w:val="Compact"/>
              <w:spacing w:after="40"/>
              <w:jc w:val="left"/>
            </w:pPr>
            <w:r>
              <w:rPr>
                <w:sz w:val="18"/>
              </w:rPr>
              <w:t xml:space="preserve">Methodology</w:t>
            </w:r>
          </w:p>
        </w:tc>
        <w:tc>
          <w:tcPr>
            <w:tcW w:w="2621" w:type="dxa"/>
          </w:tcPr>
          <w:p>
            <w:pPr>
              <w:pStyle w:val="Compact"/>
              <w:spacing w:after="40"/>
              <w:jc w:val="left"/>
            </w:pPr>
            <w:r>
              <w:rPr>
                <w:sz w:val="18"/>
              </w:rPr>
              <w:t xml:space="preserve">Choice</w:t>
            </w:r>
          </w:p>
        </w:tc>
      </w:tr>
      <w:tr>
        <w:tc>
          <w:tcPr>
            <w:tcW w:w="2939" w:type="dxa"/>
          </w:tcPr>
          <w:p>
            <w:pPr>
              <w:pStyle w:val="Compact"/>
              <w:spacing w:after="40"/>
              <w:jc w:val="left"/>
            </w:pPr>
            <w:r>
              <w:rPr>
                <w:sz w:val="18"/>
              </w:rPr>
              <w:t xml:space="preserve">Engagement timers in the AU2.1 table</w:t>
            </w:r>
          </w:p>
        </w:tc>
        <w:tc>
          <w:tcPr>
            <w:tcW w:w="2644" w:type="dxa"/>
          </w:tcPr>
          <w:p>
            <w:pPr>
              <w:pStyle w:val="Compact"/>
              <w:spacing w:after="40"/>
              <w:jc w:val="left"/>
            </w:pPr>
            <w:r>
              <w:rPr>
                <w:sz w:val="18"/>
              </w:rPr>
              <w:t xml:space="preserve">As shown</w:t>
            </w:r>
          </w:p>
        </w:tc>
        <w:tc>
          <w:tcPr>
            <w:tcW w:w="1434" w:type="dxa"/>
          </w:tcPr>
          <w:p>
            <w:pPr>
              <w:pStyle w:val="Compact"/>
              <w:spacing w:after="40"/>
              <w:jc w:val="left"/>
            </w:pPr>
            <w:r>
              <w:rPr>
                <w:sz w:val="18"/>
              </w:rPr>
              <w:t xml:space="preserve">Tenant</w:t>
            </w:r>
          </w:p>
        </w:tc>
        <w:tc>
          <w:tcPr>
            <w:tcW w:w="2621" w:type="dxa"/>
          </w:tcPr>
          <w:p>
            <w:pPr>
              <w:pStyle w:val="Compact"/>
              <w:spacing w:after="40"/>
              <w:jc w:val="left"/>
            </w:pPr>
            <w:r>
              <w:rPr>
                <w:sz w:val="18"/>
              </w:rPr>
              <w:t xml:space="preserve">Choice</w:t>
            </w:r>
          </w:p>
        </w:tc>
      </w:tr>
    </w:tbl>
    <w:bookmarkEnd w:id="351"/>
    <w:bookmarkStart w:id="352" w:name="menu-and-screens-1"/>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81"/>
        <w:gridCol w:w="3533"/>
        <w:gridCol w:w="3008"/>
        <w:gridCol w:w="1616"/>
      </w:tblGrid>
      <w:tr>
        <w:trPr>
          <w:tblHeader w:val="true"/>
          <w:tblHeader w:val="true"/>
        </w:trPr>
        <w:tc>
          <w:tcPr>
            <w:tcW w:w="1481" w:type="dxa"/>
            <w:shd w:val="clear" w:color="auto" w:fill="1F3A5F"/>
          </w:tcPr>
          <w:p>
            <w:pPr>
              <w:pStyle w:val="Compact"/>
              <w:spacing w:after="40"/>
              <w:jc w:val="left"/>
            </w:pPr>
            <w:r>
              <w:rPr>
                <w:b/>
                <w:color w:val="FFFFFF"/>
                <w:sz w:val="18"/>
              </w:rPr>
              <w:t xml:space="preserve">Path (workspace L)</w:t>
            </w:r>
          </w:p>
        </w:tc>
        <w:tc>
          <w:tcPr>
            <w:tcW w:w="3533" w:type="dxa"/>
            <w:shd w:val="clear" w:color="auto" w:fill="1F3A5F"/>
          </w:tcPr>
          <w:p>
            <w:pPr>
              <w:pStyle w:val="Compact"/>
              <w:spacing w:after="40"/>
              <w:jc w:val="left"/>
            </w:pPr>
            <w:r>
              <w:rPr>
                <w:b/>
                <w:color w:val="FFFFFF"/>
                <w:sz w:val="18"/>
              </w:rPr>
              <w:t xml:space="preserve">Screens</w:t>
            </w:r>
          </w:p>
        </w:tc>
        <w:tc>
          <w:tcPr>
            <w:tcW w:w="3008" w:type="dxa"/>
            <w:shd w:val="clear" w:color="auto" w:fill="1F3A5F"/>
          </w:tcPr>
          <w:p>
            <w:pPr>
              <w:pStyle w:val="Compact"/>
              <w:spacing w:after="40"/>
              <w:jc w:val="left"/>
            </w:pPr>
            <w:r>
              <w:rPr>
                <w:b/>
                <w:color w:val="FFFFFF"/>
                <w:sz w:val="18"/>
              </w:rPr>
              <w:t xml:space="preserve">Key actions and rules</w:t>
            </w:r>
          </w:p>
        </w:tc>
        <w:tc>
          <w:tcPr>
            <w:tcW w:w="1616" w:type="dxa"/>
            <w:shd w:val="clear" w:color="auto" w:fill="1F3A5F"/>
          </w:tcPr>
          <w:p>
            <w:pPr>
              <w:pStyle w:val="Compact"/>
              <w:spacing w:after="40"/>
              <w:jc w:val="left"/>
            </w:pPr>
            <w:r>
              <w:rPr>
                <w:b/>
                <w:color w:val="FFFFFF"/>
                <w:sz w:val="18"/>
              </w:rPr>
              <w:t xml:space="preserve">Visible to</w:t>
            </w:r>
          </w:p>
        </w:tc>
      </w:tr>
      <w:tr>
        <w:tc>
          <w:tcPr>
            <w:tcW w:w="1481" w:type="dxa"/>
          </w:tcPr>
          <w:p>
            <w:pPr>
              <w:pStyle w:val="Compact"/>
              <w:spacing w:after="40"/>
              <w:jc w:val="left"/>
            </w:pPr>
            <w:r>
              <w:rPr>
                <w:rStyle w:val="VerbatimChar"/>
                <w:sz w:val="18"/>
              </w:rPr>
              <w:t xml:space="preserve">Audit › Engagements</w:t>
            </w:r>
          </w:p>
        </w:tc>
        <w:tc>
          <w:tcPr>
            <w:tcW w:w="3533" w:type="dxa"/>
          </w:tcPr>
          <w:p>
            <w:pPr>
              <w:pStyle w:val="Compact"/>
              <w:spacing w:after="40"/>
              <w:jc w:val="left"/>
            </w:pPr>
            <w:r>
              <w:rPr>
                <w:sz w:val="18"/>
              </w:rPr>
              <w:t xml:space="preserve">Board (kanban by state) and list (filters: type, unit, lead, state, overdue); engagement detail with tabs Scope, Team, Programme, Workpapers, Samples, Evidence, Findings, Report, Log</w:t>
            </w:r>
          </w:p>
        </w:tc>
        <w:tc>
          <w:tcPr>
            <w:tcW w:w="3008" w:type="dxa"/>
          </w:tcPr>
          <w:p>
            <w:pPr>
              <w:pStyle w:val="Compact"/>
              <w:spacing w:after="40"/>
              <w:jc w:val="left"/>
            </w:pPr>
            <w:r>
              <w:rPr>
                <w:sz w:val="18"/>
              </w:rPr>
              <w:t xml:space="preserve">Create (wizard: type → unit → scope → team → declarations → submit); put on hold; re-scope; cancel with reason; bulk assign reviewer</w:t>
            </w:r>
          </w:p>
        </w:tc>
        <w:tc>
          <w:tcPr>
            <w:tcW w:w="1616" w:type="dxa"/>
          </w:tcPr>
          <w:p>
            <w:pPr>
              <w:pStyle w:val="Compact"/>
              <w:spacing w:after="40"/>
              <w:jc w:val="left"/>
            </w:pPr>
            <w:r>
              <w:rPr>
                <w:sz w:val="18"/>
              </w:rPr>
              <w:t xml:space="preserve">IA team on the engagement; HIA all</w:t>
            </w:r>
          </w:p>
        </w:tc>
      </w:tr>
      <w:tr>
        <w:tc>
          <w:tcPr>
            <w:tcW w:w="1481" w:type="dxa"/>
          </w:tcPr>
          <w:p>
            <w:pPr>
              <w:pStyle w:val="Compact"/>
              <w:spacing w:after="40"/>
              <w:jc w:val="left"/>
            </w:pPr>
            <w:r>
              <w:rPr>
                <w:rStyle w:val="VerbatimChar"/>
                <w:sz w:val="18"/>
              </w:rPr>
              <w:t xml:space="preserve">Audit › Engagements › Workpapers</w:t>
            </w:r>
          </w:p>
        </w:tc>
        <w:tc>
          <w:tcPr>
            <w:tcW w:w="3533" w:type="dxa"/>
          </w:tcPr>
          <w:p>
            <w:pPr>
              <w:pStyle w:val="Compact"/>
              <w:spacing w:after="40"/>
              <w:jc w:val="left"/>
            </w:pPr>
            <w:r>
              <w:rPr>
                <w:sz w:val="18"/>
              </w:rPr>
              <w:t xml:space="preserve">Index tree; workpaper editor with side-by-side live record and pinned snapshot</w:t>
            </w:r>
          </w:p>
        </w:tc>
        <w:tc>
          <w:tcPr>
            <w:tcW w:w="3008" w:type="dxa"/>
          </w:tcPr>
          <w:p>
            <w:pPr>
              <w:pStyle w:val="Compact"/>
              <w:spacing w:after="40"/>
              <w:jc w:val="left"/>
            </w:pPr>
            <w:r>
              <w:rPr>
                <w:sz w:val="18"/>
              </w:rPr>
              <w:t xml:space="preserve">Add procedure from programme; raise review note; clear note; eSign sign-off (blocked while notes are open, with the reason shown)</w:t>
            </w:r>
          </w:p>
        </w:tc>
        <w:tc>
          <w:tcPr>
            <w:tcW w:w="1616" w:type="dxa"/>
          </w:tcPr>
          <w:p>
            <w:pPr>
              <w:pStyle w:val="Compact"/>
              <w:spacing w:after="40"/>
              <w:jc w:val="left"/>
            </w:pPr>
            <w:r>
              <w:rPr>
                <w:sz w:val="18"/>
              </w:rPr>
              <w:t xml:space="preserve">Preparer, reviewer, lead</w:t>
            </w:r>
          </w:p>
        </w:tc>
      </w:tr>
      <w:tr>
        <w:tc>
          <w:tcPr>
            <w:tcW w:w="1481" w:type="dxa"/>
          </w:tcPr>
          <w:p>
            <w:pPr>
              <w:pStyle w:val="Compact"/>
              <w:spacing w:after="40"/>
              <w:jc w:val="left"/>
            </w:pPr>
            <w:r>
              <w:rPr>
                <w:rStyle w:val="VerbatimChar"/>
                <w:sz w:val="18"/>
              </w:rPr>
              <w:t xml:space="preserve">Audit › Analytics</w:t>
            </w:r>
          </w:p>
        </w:tc>
        <w:tc>
          <w:tcPr>
            <w:tcW w:w="3533" w:type="dxa"/>
          </w:tcPr>
          <w:p>
            <w:pPr>
              <w:pStyle w:val="Compact"/>
              <w:spacing w:after="40"/>
              <w:jc w:val="left"/>
            </w:pPr>
            <w:r>
              <w:rPr>
                <w:sz w:val="18"/>
              </w:rPr>
              <w:t xml:space="preserve">CAAT library; run history; exception queue</w:t>
            </w:r>
          </w:p>
        </w:tc>
        <w:tc>
          <w:tcPr>
            <w:tcW w:w="3008" w:type="dxa"/>
          </w:tcPr>
          <w:p>
            <w:pPr>
              <w:pStyle w:val="Compact"/>
              <w:spacing w:after="40"/>
              <w:jc w:val="left"/>
            </w:pPr>
            <w:r>
              <w:rPr>
                <w:sz w:val="18"/>
              </w:rPr>
              <w:t xml:space="preserve">Run with snapshot; convert exceptions to sample items; schedule continuous runs</w:t>
            </w:r>
          </w:p>
        </w:tc>
        <w:tc>
          <w:tcPr>
            <w:tcW w:w="1616" w:type="dxa"/>
          </w:tcPr>
          <w:p>
            <w:pPr>
              <w:pStyle w:val="Compact"/>
              <w:spacing w:after="40"/>
              <w:jc w:val="left"/>
            </w:pPr>
            <w:r>
              <w:rPr>
                <w:sz w:val="18"/>
              </w:rPr>
              <w:t xml:space="preserve">IA staff, IS auditors</w:t>
            </w:r>
          </w:p>
        </w:tc>
      </w:tr>
      <w:tr>
        <w:tc>
          <w:tcPr>
            <w:tcW w:w="1481" w:type="dxa"/>
          </w:tcPr>
          <w:p>
            <w:pPr>
              <w:pStyle w:val="Compact"/>
              <w:spacing w:after="40"/>
              <w:jc w:val="left"/>
            </w:pPr>
            <w:r>
              <w:rPr>
                <w:rStyle w:val="VerbatimChar"/>
                <w:sz w:val="18"/>
              </w:rPr>
              <w:t xml:space="preserve">Audit › Evidence</w:t>
            </w:r>
          </w:p>
        </w:tc>
        <w:tc>
          <w:tcPr>
            <w:tcW w:w="3533" w:type="dxa"/>
          </w:tcPr>
          <w:p>
            <w:pPr>
              <w:pStyle w:val="Compact"/>
              <w:spacing w:after="40"/>
              <w:jc w:val="left"/>
            </w:pPr>
            <w:r>
              <w:rPr>
                <w:sz w:val="18"/>
              </w:rPr>
              <w:t xml:space="preserve">Evidence vault search;</w:t>
            </w:r>
            <w:r>
              <w:rPr>
                <w:sz w:val="18"/>
              </w:rPr>
              <w:t xml:space="preserve"> </w:t>
            </w:r>
            <w:r>
              <w:rPr>
                <w:sz w:val="18"/>
              </w:rPr>
              <w:t xml:space="preserve">“</w:t>
            </w:r>
            <w:r>
              <w:rPr>
                <w:sz w:val="18"/>
              </w:rPr>
              <w:t xml:space="preserve">verify file</w:t>
            </w:r>
            <w:r>
              <w:rPr>
                <w:sz w:val="18"/>
              </w:rPr>
              <w:t xml:space="preserve">”</w:t>
            </w:r>
            <w:r>
              <w:rPr>
                <w:sz w:val="18"/>
              </w:rPr>
              <w:t xml:space="preserve"> </w:t>
            </w:r>
            <w:r>
              <w:rPr>
                <w:sz w:val="18"/>
              </w:rPr>
              <w:t xml:space="preserve">result</w:t>
            </w:r>
          </w:p>
        </w:tc>
        <w:tc>
          <w:tcPr>
            <w:tcW w:w="3008" w:type="dxa"/>
          </w:tcPr>
          <w:p>
            <w:pPr>
              <w:pStyle w:val="Compact"/>
              <w:spacing w:after="40"/>
              <w:jc w:val="left"/>
            </w:pPr>
            <w:r>
              <w:rPr>
                <w:sz w:val="18"/>
              </w:rPr>
              <w:t xml:space="preserve">Upload (malware scan first); link; verify; export integrity report</w:t>
            </w:r>
          </w:p>
        </w:tc>
        <w:tc>
          <w:tcPr>
            <w:tcW w:w="1616" w:type="dxa"/>
          </w:tcPr>
          <w:p>
            <w:pPr>
              <w:pStyle w:val="Compact"/>
              <w:spacing w:after="40"/>
              <w:jc w:val="left"/>
            </w:pPr>
            <w:r>
              <w:rPr>
                <w:sz w:val="18"/>
              </w:rPr>
              <w:t xml:space="preserve">IA team; external auditors through AU7</w:t>
            </w:r>
          </w:p>
        </w:tc>
      </w:tr>
    </w:tbl>
    <w:p>
      <w:pPr>
        <w:pStyle w:val="BodyText"/>
      </w:pPr>
      <w:r>
        <w:t xml:space="preserve">Keyboard shortcuts on workpaper and sample screens: next item, mark</w:t>
      </w:r>
      <w:r>
        <w:t xml:space="preserve"> </w:t>
      </w:r>
      <w:r>
        <w:t xml:space="preserve">“</w:t>
      </w:r>
      <w:r>
        <w:t xml:space="preserve">no exception</w:t>
      </w:r>
      <w:r>
        <w:t xml:space="preserve">”</w:t>
      </w:r>
      <w:r>
        <w:t xml:space="preserve">, raise finding, add review note.</w:t>
      </w:r>
    </w:p>
    <w:bookmarkEnd w:id="352"/>
    <w:bookmarkStart w:id="353" w:name="acceptance-tests-20"/>
    <w:p>
      <w:pPr>
        <w:pStyle w:val="Heading3"/>
      </w:pPr>
      <w:r>
        <w:t xml:space="preserve">Acceptance tests</w:t>
      </w:r>
    </w:p>
    <w:p>
      <w:pPr>
        <w:numPr>
          <w:ilvl w:val="0"/>
          <w:numId w:val="1354"/>
        </w:numPr>
        <w:pStyle w:val="Compact"/>
      </w:pPr>
      <w:r>
        <w:t xml:space="preserve">Re-running a random sample with the stored snapshot and seed returns identical items; changing the seed changes them; the population hash mismatches if one row is added to the snapshot.</w:t>
      </w:r>
    </w:p>
    <w:p>
      <w:pPr>
        <w:numPr>
          <w:ilvl w:val="0"/>
          <w:numId w:val="1354"/>
        </w:numPr>
        <w:pStyle w:val="Compact"/>
      </w:pPr>
      <w:r>
        <w:t xml:space="preserve">A workpaper with an open review note cannot be signed off; after file lock, an edit attempt creates an addendum and leaves the original hash unchanged.</w:t>
      </w:r>
    </w:p>
    <w:p>
      <w:pPr>
        <w:numPr>
          <w:ilvl w:val="0"/>
          <w:numId w:val="1354"/>
        </w:numPr>
        <w:pStyle w:val="Compact"/>
      </w:pPr>
      <w:r>
        <w:t xml:space="preserve">Editing a loan after it was linked as evidence shows</w:t>
      </w:r>
      <w:r>
        <w:t xml:space="preserve"> </w:t>
      </w:r>
      <w:r>
        <w:t xml:space="preserve">“</w:t>
      </w:r>
      <w:r>
        <w:t xml:space="preserve">source changed since evidence</w:t>
      </w:r>
      <w:r>
        <w:t xml:space="preserve">”</w:t>
      </w:r>
      <w:r>
        <w:t xml:space="preserve"> </w:t>
      </w:r>
      <w:r>
        <w:t xml:space="preserve">and the original snapshot remains retrievable and verifiable.</w:t>
      </w:r>
    </w:p>
    <w:p>
      <w:pPr>
        <w:numPr>
          <w:ilvl w:val="0"/>
          <w:numId w:val="1354"/>
        </w:numPr>
        <w:pStyle w:val="Compact"/>
      </w:pPr>
      <w:r>
        <w:t xml:space="preserve">“</w:t>
      </w:r>
      <w:r>
        <w:t xml:space="preserve">Verify file</w:t>
      </w:r>
      <w:r>
        <w:t xml:space="preserve">”</w:t>
      </w:r>
      <w:r>
        <w:t xml:space="preserve"> </w:t>
      </w:r>
      <w:r>
        <w:t xml:space="preserve">detects a tampered evidence file (one byte changed in storage) and raises a P1 integrity alert.</w:t>
      </w:r>
    </w:p>
    <w:p>
      <w:pPr>
        <w:numPr>
          <w:ilvl w:val="0"/>
          <w:numId w:val="1354"/>
        </w:numPr>
        <w:pStyle w:val="Compact"/>
      </w:pPr>
      <w:r>
        <w:t xml:space="preserve">A full-population CAAT for</w:t>
      </w:r>
      <w:r>
        <w:t xml:space="preserve"> </w:t>
      </w:r>
      <w:r>
        <w:t xml:space="preserve">“</w:t>
      </w:r>
      <w:r>
        <w:t xml:space="preserve">interest accrual starts before disbursement value date</w:t>
      </w:r>
      <w:r>
        <w:t xml:space="preserve">”</w:t>
      </w:r>
      <w:r>
        <w:t xml:space="preserve"> </w:t>
      </w:r>
      <w:r>
        <w:t xml:space="preserve">over a seeded book returns exactly the seeded exceptions.</w:t>
      </w:r>
    </w:p>
    <w:p>
      <w:pPr>
        <w:numPr>
          <w:ilvl w:val="0"/>
          <w:numId w:val="1354"/>
        </w:numPr>
        <w:pStyle w:val="Compact"/>
      </w:pPr>
      <w:r>
        <w:t xml:space="preserve">An engagement cannot move to</w:t>
      </w:r>
      <w:r>
        <w:t xml:space="preserve"> </w:t>
      </w:r>
      <w:r>
        <w:rPr>
          <w:rStyle w:val="VerbatimChar"/>
        </w:rPr>
        <w:t xml:space="preserve">FIELDWORK</w:t>
      </w:r>
      <w:r>
        <w:t xml:space="preserve"> </w:t>
      </w:r>
      <w:r>
        <w:t xml:space="preserve">without independence declarations from every team member.</w:t>
      </w:r>
    </w:p>
    <w:p>
      <w:pPr>
        <w:numPr>
          <w:ilvl w:val="0"/>
          <w:numId w:val="1354"/>
        </w:numPr>
        <w:pStyle w:val="Compact"/>
      </w:pPr>
      <w:r>
        <w:t xml:space="preserve">An engagement</w:t>
      </w:r>
      <w:r>
        <w:t xml:space="preserve"> </w:t>
      </w:r>
      <w:r>
        <w:rPr>
          <w:rStyle w:val="VerbatimChar"/>
        </w:rPr>
        <w:t xml:space="preserve">ON_HOLD</w:t>
      </w:r>
      <w:r>
        <w:t xml:space="preserve"> </w:t>
      </w:r>
      <w:r>
        <w:t xml:space="preserve">for 31 days escalates to the HIA; resuming returns it to the state it held before;</w:t>
      </w:r>
      <w:r>
        <w:t xml:space="preserve"> </w:t>
      </w:r>
      <w:r>
        <w:rPr>
          <w:rStyle w:val="VerbatimChar"/>
        </w:rPr>
        <w:t xml:space="preserve">AuditEngagementOpened</w:t>
      </w:r>
      <w:r>
        <w:t xml:space="preserve"> </w:t>
      </w:r>
      <w:r>
        <w:t xml:space="preserve">for an</w:t>
      </w:r>
      <w:r>
        <w:t xml:space="preserve"> </w:t>
      </w:r>
      <w:r>
        <w:rPr>
          <w:rStyle w:val="VerbatimChar"/>
        </w:rPr>
        <w:t xml:space="preserve">IS_AUDIT</w:t>
      </w:r>
      <w:r>
        <w:t xml:space="preserve"> </w:t>
      </w:r>
      <w:r>
        <w:t xml:space="preserve">engagement carries type IS.</w:t>
      </w:r>
    </w:p>
    <w:p>
      <w:r>
        <w:pict>
          <v:rect style="width:0;height:1.5pt" o:hralign="center" o:hrstd="t" o:hr="t"/>
        </w:pict>
      </w:r>
    </w:p>
    <w:bookmarkEnd w:id="353"/>
    <w:bookmarkEnd w:id="354"/>
    <w:bookmarkStart w:id="363" w:name="Xf89efc3d7046a96206a1f0f3dbabbe09cf47501"/>
    <w:p>
      <w:pPr>
        <w:pStyle w:val="Heading2"/>
      </w:pPr>
      <w:r>
        <w:t xml:space="preserve">AU3. Internal audit, RBIA and concurrent audit</w:t>
      </w:r>
    </w:p>
    <w:bookmarkStart w:id="355" w:name="X5fc246bc19e766f2cc94a7d26c389f4299b63f3"/>
    <w:p>
      <w:pPr>
        <w:pStyle w:val="Heading3"/>
      </w:pPr>
      <w:r>
        <w:t xml:space="preserve">AU3.1 HIA and function controls (extends 8A.32)</w:t>
      </w:r>
    </w:p>
    <w:p>
      <w:pPr>
        <w:numPr>
          <w:ilvl w:val="0"/>
          <w:numId w:val="1355"/>
        </w:numPr>
        <w:pStyle w:val="Compact"/>
      </w:pPr>
      <w:r>
        <w:rPr>
          <w:bCs/>
          <w:b/>
        </w:rPr>
        <w:t xml:space="preserve">No outsourcing (IAF para 39).</w:t>
      </w:r>
      <w:r>
        <w:t xml:space="preserve"> </w:t>
      </w:r>
      <w:r>
        <w:t xml:space="preserve">The report-owner and engagement-lead fields accept only tenant employees with the internal-auditor role. External experts (including former employees) get a time-boxed</w:t>
      </w:r>
      <w:r>
        <w:t xml:space="preserve"> </w:t>
      </w:r>
      <w:r>
        <w:rPr>
          <w:rStyle w:val="VerbatimChar"/>
        </w:rPr>
        <w:t xml:space="preserve">ia_contributor</w:t>
      </w:r>
      <w:r>
        <w:t xml:space="preserve"> </w:t>
      </w:r>
      <w:r>
        <w:t xml:space="preserve">role, can prepare workpapers but cannot sign reports or rate findings; the system requires a Board/ACB reference that expertise is unavailable in-house and a conflict-of-interest declaration. Finbyx and Infrabyx staff can never hold either role for a tenant (OUT para 15; Part 10.6 item 27).</w:t>
      </w:r>
    </w:p>
    <w:p>
      <w:pPr>
        <w:numPr>
          <w:ilvl w:val="0"/>
          <w:numId w:val="1355"/>
        </w:numPr>
        <w:pStyle w:val="Compact"/>
      </w:pPr>
      <w:r>
        <w:rPr>
          <w:bCs/>
          <w:b/>
        </w:rPr>
        <w:t xml:space="preserve">HIA register.</w:t>
      </w:r>
      <w:r>
        <w:t xml:space="preserve"> </w:t>
      </w:r>
      <w:r>
        <w:t xml:space="preserve">Appointment date, reporting line (Board, ACB, MD &amp; CEO or WTD — IAF para 42), tenure start, planned tenure, Board/ACB approval references. Tenure below 3 years at exit raises an informational flag (IAF para 41</w:t>
      </w:r>
      <w:r>
        <w:t xml:space="preserve"> </w:t>
      </w:r>
      <w:r>
        <w:t xml:space="preserve">“</w:t>
      </w:r>
      <w:r>
        <w:t xml:space="preserve">preferably</w:t>
      </w:r>
      <w:r>
        <w:t xml:space="preserve">”</w:t>
      </w:r>
      <w:r>
        <w:t xml:space="preserve">), suppressed where IA is run by career internal auditors (tenant flag).</w:t>
      </w:r>
    </w:p>
    <w:p>
      <w:pPr>
        <w:numPr>
          <w:ilvl w:val="0"/>
          <w:numId w:val="1355"/>
        </w:numPr>
        <w:pStyle w:val="Compact"/>
      </w:pPr>
      <w:r>
        <w:rPr>
          <w:bCs/>
          <w:b/>
        </w:rPr>
        <w:t xml:space="preserve">Independence checks.</w:t>
      </w:r>
      <w:r>
        <w:t xml:space="preserve"> </w:t>
      </w:r>
      <w:r>
        <w:t xml:space="preserve">The HIA user cannot be assigned business targets or a business reporting line (IAF para 43); the role-assignment service blocks it. Internal-audit pay records (if the client HRMS module in Part 7F GV6 is used) cannot reference business-result incentive plans (IAF para 22).</w:t>
      </w:r>
    </w:p>
    <w:p>
      <w:pPr>
        <w:numPr>
          <w:ilvl w:val="0"/>
          <w:numId w:val="1355"/>
        </w:numPr>
        <w:pStyle w:val="Compact"/>
      </w:pPr>
      <w:r>
        <w:rPr>
          <w:bCs/>
          <w:b/>
        </w:rPr>
        <w:t xml:space="preserve">In-camera meetings.</w:t>
      </w:r>
      <w:r>
        <w:t xml:space="preserve"> </w:t>
      </w:r>
      <w:r>
        <w:t xml:space="preserve">Where the MD &amp; CEO or WTD is the reporting authority, the ACB/Board meets the HIA at least quarterly without senior management (IAF para 42). The calendar (Part 7F GV2) schedules them; a quarter-end without a minuted meeting raises an exception to the CS and ACB chair.</w:t>
      </w:r>
    </w:p>
    <w:p>
      <w:pPr>
        <w:numPr>
          <w:ilvl w:val="0"/>
          <w:numId w:val="1355"/>
        </w:numPr>
        <w:pStyle w:val="Compact"/>
      </w:pPr>
      <w:r>
        <w:rPr>
          <w:bCs/>
          <w:b/>
        </w:rPr>
        <w:t xml:space="preserve">Full access.</w:t>
      </w:r>
      <w:r>
        <w:t xml:space="preserve"> </w:t>
      </w:r>
      <w:r>
        <w:t xml:space="preserve">The HIA and IA staff have tenant-wide read-only access to all records (IAF para 40), implemented as an internal audit-mode role with the same logging as AU7 but without time expiry; every access is logged and visible to the ACB chair on request.</w:t>
      </w:r>
    </w:p>
    <w:p>
      <w:pPr>
        <w:numPr>
          <w:ilvl w:val="0"/>
          <w:numId w:val="1355"/>
        </w:numPr>
        <w:pStyle w:val="Compact"/>
      </w:pPr>
      <w:r>
        <w:rPr>
          <w:bCs/>
          <w:b/>
        </w:rPr>
        <w:t xml:space="preserve">QAIP (IAF para 6).</w:t>
      </w:r>
      <w:r>
        <w:t xml:space="preserve"> </w:t>
      </w:r>
      <w:r>
        <w:t xml:space="preserve">Annual self-assessment against a configurable checklist (Board/ACB oversight, independence, risk assessment quality, coverage, documentation, follow-up), optional external assessment, results and improvement actions to the ACB.</w:t>
      </w:r>
    </w:p>
    <w:bookmarkEnd w:id="355"/>
    <w:bookmarkStart w:id="356" w:name="au3.2-findings-lifecycle"/>
    <w:p>
      <w:pPr>
        <w:pStyle w:val="Heading3"/>
      </w:pPr>
      <w:r>
        <w:t xml:space="preserve">AU3.2 Findings lifecycle</w:t>
      </w:r>
    </w:p>
    <w:p>
      <w:pPr>
        <w:numPr>
          <w:ilvl w:val="0"/>
          <w:numId w:val="1356"/>
        </w:numPr>
        <w:pStyle w:val="Compact"/>
      </w:pPr>
      <w:r>
        <w:rPr>
          <w:bCs/>
          <w:b/>
        </w:rPr>
        <w:t xml:space="preserve">Rating.</w:t>
      </w:r>
      <w:r>
        <w:t xml:space="preserve"> </w:t>
      </w:r>
      <w:r>
        <w:t xml:space="preserve">Tenant scale (default High, Medium, Low; optional Critical) with definitions, plus root-cause category (people, process, system, policy, external), regulatory-breach flag with obligation reference, financial impact estimate, repeat flag (same root cause and unit within 24 months [REC]).</w:t>
      </w:r>
    </w:p>
    <w:p>
      <w:pPr>
        <w:numPr>
          <w:ilvl w:val="0"/>
          <w:numId w:val="1356"/>
        </w:numPr>
        <w:pStyle w:val="Compact"/>
      </w:pPr>
      <w:r>
        <w:rPr>
          <w:bCs/>
          <w:b/>
        </w:rPr>
        <w:t xml:space="preserve">States.</w:t>
      </w:r>
      <w:r>
        <w:t xml:space="preserve"> </w:t>
      </w:r>
      <w:r>
        <w:rPr>
          <w:rStyle w:val="VerbatimChar"/>
        </w:rPr>
        <w:t xml:space="preserve">DRAFT → DISCUSSED → ISSUED → RESPONSE_RECEIVED → ACTION_AGREED → IN_REMEDIATION → CLOSURE_SUBMITTED → RETEST → CLOSED</w:t>
      </w:r>
      <w:r>
        <w:t xml:space="preserve">, with branches</w:t>
      </w:r>
      <w:r>
        <w:t xml:space="preserve"> </w:t>
      </w:r>
      <w:r>
        <w:rPr>
          <w:rStyle w:val="VerbatimChar"/>
        </w:rPr>
        <w:t xml:space="preserve">RISK_ACCEPTED</w:t>
      </w:r>
      <w:r>
        <w:t xml:space="preserve">,</w:t>
      </w:r>
      <w:r>
        <w:t xml:space="preserve"> </w:t>
      </w:r>
      <w:r>
        <w:rPr>
          <w:rStyle w:val="VerbatimChar"/>
        </w:rPr>
        <w:t xml:space="preserve">REOPENED</w:t>
      </w:r>
      <w:r>
        <w:t xml:space="preserve"> </w:t>
      </w:r>
      <w:r>
        <w:t xml:space="preserve">and</w:t>
      </w:r>
      <w:r>
        <w:t xml:space="preserve"> </w:t>
      </w:r>
      <w:r>
        <w:rPr>
          <w:rStyle w:val="VerbatimChar"/>
        </w:rPr>
        <w:t xml:space="preserve">WITHDRAWN</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44"/>
        <w:gridCol w:w="2423"/>
        <w:gridCol w:w="1354"/>
        <w:gridCol w:w="2073"/>
        <w:gridCol w:w="2844"/>
      </w:tblGrid>
      <w:tr>
        <w:trPr>
          <w:tblHeader w:val="true"/>
          <w:tblHeader w:val="true"/>
        </w:trPr>
        <w:tc>
          <w:tcPr>
            <w:tcW w:w="944" w:type="dxa"/>
            <w:shd w:val="clear" w:color="auto" w:fill="1F3A5F"/>
          </w:tcPr>
          <w:p>
            <w:pPr>
              <w:pStyle w:val="Compact"/>
              <w:spacing w:after="40"/>
              <w:jc w:val="left"/>
            </w:pPr>
            <w:r>
              <w:rPr>
                <w:b/>
                <w:color w:val="FFFFFF"/>
                <w:sz w:val="18"/>
              </w:rPr>
              <w:t xml:space="preserve">State</w:t>
            </w:r>
          </w:p>
        </w:tc>
        <w:tc>
          <w:tcPr>
            <w:tcW w:w="2423" w:type="dxa"/>
            <w:shd w:val="clear" w:color="auto" w:fill="1F3A5F"/>
          </w:tcPr>
          <w:p>
            <w:pPr>
              <w:pStyle w:val="Compact"/>
              <w:spacing w:after="40"/>
              <w:jc w:val="left"/>
            </w:pPr>
            <w:r>
              <w:rPr>
                <w:b/>
                <w:color w:val="FFFFFF"/>
                <w:sz w:val="18"/>
              </w:rPr>
              <w:t xml:space="preserve">Entry condition</w:t>
            </w:r>
          </w:p>
        </w:tc>
        <w:tc>
          <w:tcPr>
            <w:tcW w:w="1354" w:type="dxa"/>
            <w:shd w:val="clear" w:color="auto" w:fill="1F3A5F"/>
          </w:tcPr>
          <w:p>
            <w:pPr>
              <w:pStyle w:val="Compact"/>
              <w:spacing w:after="40"/>
              <w:jc w:val="left"/>
            </w:pPr>
            <w:r>
              <w:rPr>
                <w:b/>
                <w:color w:val="FFFFFF"/>
                <w:sz w:val="18"/>
              </w:rPr>
              <w:t xml:space="preserve">Owner</w:t>
            </w:r>
          </w:p>
        </w:tc>
        <w:tc>
          <w:tcPr>
            <w:tcW w:w="2073" w:type="dxa"/>
            <w:shd w:val="clear" w:color="auto" w:fill="1F3A5F"/>
          </w:tcPr>
          <w:p>
            <w:pPr>
              <w:pStyle w:val="Compact"/>
              <w:spacing w:after="40"/>
              <w:jc w:val="left"/>
            </w:pPr>
            <w:r>
              <w:rPr>
                <w:b/>
                <w:color w:val="FFFFFF"/>
                <w:sz w:val="18"/>
              </w:rPr>
              <w:t xml:space="preserve">Timer (default)</w:t>
            </w:r>
          </w:p>
        </w:tc>
        <w:tc>
          <w:tcPr>
            <w:tcW w:w="2844" w:type="dxa"/>
            <w:shd w:val="clear" w:color="auto" w:fill="1F3A5F"/>
          </w:tcPr>
          <w:p>
            <w:pPr>
              <w:pStyle w:val="Compact"/>
              <w:spacing w:after="40"/>
              <w:jc w:val="left"/>
            </w:pPr>
            <w:r>
              <w:rPr>
                <w:b/>
                <w:color w:val="FFFFFF"/>
                <w:sz w:val="18"/>
              </w:rPr>
              <w:t xml:space="preserve">Allowed actions and exits</w:t>
            </w:r>
          </w:p>
        </w:tc>
      </w:tr>
      <w:tr>
        <w:tc>
          <w:tcPr>
            <w:tcW w:w="944" w:type="dxa"/>
          </w:tcPr>
          <w:p>
            <w:pPr>
              <w:pStyle w:val="Compact"/>
              <w:spacing w:after="40"/>
              <w:jc w:val="left"/>
            </w:pPr>
            <w:r>
              <w:rPr>
                <w:rStyle w:val="VerbatimChar"/>
                <w:sz w:val="18"/>
              </w:rPr>
              <w:t xml:space="preserve">DRAFT</w:t>
            </w:r>
          </w:p>
        </w:tc>
        <w:tc>
          <w:tcPr>
            <w:tcW w:w="2423" w:type="dxa"/>
          </w:tcPr>
          <w:p>
            <w:pPr>
              <w:pStyle w:val="Compact"/>
              <w:spacing w:after="40"/>
              <w:jc w:val="left"/>
            </w:pPr>
            <w:r>
              <w:rPr>
                <w:sz w:val="18"/>
              </w:rPr>
              <w:t xml:space="preserve">Auditor records condition, criteria (obligation reference), cause, effect, rating, evidence links</w:t>
            </w:r>
          </w:p>
        </w:tc>
        <w:tc>
          <w:tcPr>
            <w:tcW w:w="1354" w:type="dxa"/>
          </w:tcPr>
          <w:p>
            <w:pPr>
              <w:pStyle w:val="Compact"/>
              <w:spacing w:after="40"/>
              <w:jc w:val="left"/>
            </w:pPr>
            <w:r>
              <w:rPr>
                <w:sz w:val="18"/>
              </w:rPr>
              <w:t xml:space="preserve">Preparer</w:t>
            </w:r>
          </w:p>
        </w:tc>
        <w:tc>
          <w:tcPr>
            <w:tcW w:w="2073" w:type="dxa"/>
          </w:tcPr>
          <w:p>
            <w:pPr>
              <w:pStyle w:val="Compact"/>
              <w:spacing w:after="40"/>
              <w:jc w:val="left"/>
            </w:pPr>
            <w:r>
              <w:rPr>
                <w:sz w:val="18"/>
              </w:rPr>
              <w:t xml:space="preserve">—</w:t>
            </w:r>
          </w:p>
        </w:tc>
        <w:tc>
          <w:tcPr>
            <w:tcW w:w="2844" w:type="dxa"/>
          </w:tcPr>
          <w:p>
            <w:pPr>
              <w:pStyle w:val="Compact"/>
              <w:spacing w:after="40"/>
              <w:jc w:val="left"/>
            </w:pPr>
            <w:r>
              <w:rPr>
                <w:sz w:val="18"/>
              </w:rPr>
              <w:t xml:space="preserve">Edit; reviewer approval →</w:t>
            </w:r>
            <w:r>
              <w:rPr>
                <w:sz w:val="18"/>
              </w:rPr>
              <w:t xml:space="preserve"> </w:t>
            </w:r>
            <w:r>
              <w:rPr>
                <w:rStyle w:val="VerbatimChar"/>
                <w:sz w:val="18"/>
              </w:rPr>
              <w:t xml:space="preserve">DISCUSSED</w:t>
            </w:r>
          </w:p>
        </w:tc>
      </w:tr>
      <w:tr>
        <w:tc>
          <w:tcPr>
            <w:tcW w:w="944" w:type="dxa"/>
          </w:tcPr>
          <w:p>
            <w:pPr>
              <w:pStyle w:val="Compact"/>
              <w:spacing w:after="40"/>
              <w:jc w:val="left"/>
            </w:pPr>
            <w:r>
              <w:rPr>
                <w:rStyle w:val="VerbatimChar"/>
                <w:sz w:val="18"/>
              </w:rPr>
              <w:t xml:space="preserve">DISCUSSED</w:t>
            </w:r>
          </w:p>
        </w:tc>
        <w:tc>
          <w:tcPr>
            <w:tcW w:w="2423" w:type="dxa"/>
          </w:tcPr>
          <w:p>
            <w:pPr>
              <w:pStyle w:val="Compact"/>
              <w:spacing w:after="40"/>
              <w:jc w:val="left"/>
            </w:pPr>
            <w:r>
              <w:rPr>
                <w:sz w:val="18"/>
              </w:rPr>
              <w:t xml:space="preserve">Closing meeting held; auditee comments recorded</w:t>
            </w:r>
          </w:p>
        </w:tc>
        <w:tc>
          <w:tcPr>
            <w:tcW w:w="1354" w:type="dxa"/>
          </w:tcPr>
          <w:p>
            <w:pPr>
              <w:pStyle w:val="Compact"/>
              <w:spacing w:after="40"/>
              <w:jc w:val="left"/>
            </w:pPr>
            <w:r>
              <w:rPr>
                <w:sz w:val="18"/>
              </w:rPr>
              <w:t xml:space="preserve">Engagement lead</w:t>
            </w:r>
          </w:p>
        </w:tc>
        <w:tc>
          <w:tcPr>
            <w:tcW w:w="2073" w:type="dxa"/>
          </w:tcPr>
          <w:p>
            <w:pPr>
              <w:pStyle w:val="Compact"/>
              <w:spacing w:after="40"/>
              <w:jc w:val="left"/>
            </w:pPr>
            <w:r>
              <w:rPr>
                <w:sz w:val="18"/>
              </w:rPr>
              <w:t xml:space="preserve">—</w:t>
            </w:r>
          </w:p>
        </w:tc>
        <w:tc>
          <w:tcPr>
            <w:tcW w:w="2844" w:type="dxa"/>
          </w:tcPr>
          <w:p>
            <w:pPr>
              <w:pStyle w:val="Compact"/>
              <w:spacing w:after="40"/>
              <w:jc w:val="left"/>
            </w:pPr>
            <w:r>
              <w:rPr>
                <w:sz w:val="18"/>
              </w:rPr>
              <w:t xml:space="preserve">Re-rate with reason; →</w:t>
            </w:r>
            <w:r>
              <w:rPr>
                <w:sz w:val="18"/>
              </w:rPr>
              <w:t xml:space="preserve"> </w:t>
            </w:r>
            <w:r>
              <w:rPr>
                <w:rStyle w:val="VerbatimChar"/>
                <w:sz w:val="18"/>
              </w:rPr>
              <w:t xml:space="preserve">ISSUED</w:t>
            </w:r>
            <w:r>
              <w:rPr>
                <w:sz w:val="18"/>
              </w:rPr>
              <w:t xml:space="preserve"> </w:t>
            </w:r>
            <w:r>
              <w:rPr>
                <w:sz w:val="18"/>
              </w:rPr>
              <w:t xml:space="preserve">with the report; →</w:t>
            </w:r>
            <w:r>
              <w:rPr>
                <w:sz w:val="18"/>
              </w:rPr>
              <w:t xml:space="preserve"> </w:t>
            </w:r>
            <w:r>
              <w:rPr>
                <w:rStyle w:val="VerbatimChar"/>
                <w:sz w:val="18"/>
              </w:rPr>
              <w:t xml:space="preserve">WITHDRAWN</w:t>
            </w:r>
            <w:r>
              <w:rPr>
                <w:sz w:val="18"/>
              </w:rPr>
              <w:t xml:space="preserve"> </w:t>
            </w:r>
            <w:r>
              <w:rPr>
                <w:sz w:val="18"/>
              </w:rPr>
              <w:t xml:space="preserve">(factual error, reviewer approval)</w:t>
            </w:r>
          </w:p>
        </w:tc>
      </w:tr>
      <w:tr>
        <w:tc>
          <w:tcPr>
            <w:tcW w:w="944" w:type="dxa"/>
          </w:tcPr>
          <w:p>
            <w:pPr>
              <w:pStyle w:val="Compact"/>
              <w:spacing w:after="40"/>
              <w:jc w:val="left"/>
            </w:pPr>
            <w:r>
              <w:rPr>
                <w:rStyle w:val="VerbatimChar"/>
                <w:sz w:val="18"/>
              </w:rPr>
              <w:t xml:space="preserve">ISSUED</w:t>
            </w:r>
          </w:p>
        </w:tc>
        <w:tc>
          <w:tcPr>
            <w:tcW w:w="2423" w:type="dxa"/>
          </w:tcPr>
          <w:p>
            <w:pPr>
              <w:pStyle w:val="Compact"/>
              <w:spacing w:after="40"/>
              <w:jc w:val="left"/>
            </w:pPr>
            <w:r>
              <w:rPr>
                <w:sz w:val="18"/>
              </w:rPr>
              <w:t xml:space="preserve">Report issued;</w:t>
            </w:r>
            <w:r>
              <w:rPr>
                <w:sz w:val="18"/>
              </w:rPr>
              <w:t xml:space="preserve"> </w:t>
            </w:r>
            <w:r>
              <w:rPr>
                <w:rStyle w:val="VerbatimChar"/>
                <w:sz w:val="18"/>
              </w:rPr>
              <w:t xml:space="preserve">AuditFindingRaised</w:t>
            </w:r>
            <w:r>
              <w:rPr>
                <w:sz w:val="18"/>
              </w:rPr>
              <w:t xml:space="preserve"> </w:t>
            </w:r>
            <w:r>
              <w:rPr>
                <w:sz w:val="18"/>
              </w:rPr>
              <w:t xml:space="preserve">emitted</w:t>
            </w:r>
          </w:p>
        </w:tc>
        <w:tc>
          <w:tcPr>
            <w:tcW w:w="1354" w:type="dxa"/>
          </w:tcPr>
          <w:p>
            <w:pPr>
              <w:pStyle w:val="Compact"/>
              <w:spacing w:after="40"/>
              <w:jc w:val="left"/>
            </w:pPr>
            <w:r>
              <w:rPr>
                <w:sz w:val="18"/>
              </w:rPr>
              <w:t xml:space="preserve">Auditee owner</w:t>
            </w:r>
          </w:p>
        </w:tc>
        <w:tc>
          <w:tcPr>
            <w:tcW w:w="2073" w:type="dxa"/>
          </w:tcPr>
          <w:p>
            <w:pPr>
              <w:pStyle w:val="Compact"/>
              <w:spacing w:after="40"/>
              <w:jc w:val="left"/>
            </w:pPr>
            <w:r>
              <w:rPr>
                <w:sz w:val="18"/>
              </w:rPr>
              <w:t xml:space="preserve">Response due in 15 working days</w:t>
            </w:r>
          </w:p>
        </w:tc>
        <w:tc>
          <w:tcPr>
            <w:tcW w:w="2844" w:type="dxa"/>
          </w:tcPr>
          <w:p>
            <w:pPr>
              <w:pStyle w:val="Compact"/>
              <w:spacing w:after="40"/>
              <w:jc w:val="left"/>
            </w:pPr>
            <w:r>
              <w:rPr>
                <w:sz w:val="18"/>
              </w:rPr>
              <w:t xml:space="preserve">→</w:t>
            </w:r>
            <w:r>
              <w:rPr>
                <w:sz w:val="18"/>
              </w:rPr>
              <w:t xml:space="preserve"> </w:t>
            </w:r>
            <w:r>
              <w:rPr>
                <w:rStyle w:val="VerbatimChar"/>
                <w:sz w:val="18"/>
              </w:rPr>
              <w:t xml:space="preserve">RESPONSE_RECEIVED</w:t>
            </w:r>
            <w:r>
              <w:rPr>
                <w:sz w:val="18"/>
              </w:rPr>
              <w:t xml:space="preserve">; overdue escalates to the next level, then to the HIA and CS for the ACB pack</w:t>
            </w:r>
          </w:p>
        </w:tc>
      </w:tr>
      <w:tr>
        <w:tc>
          <w:tcPr>
            <w:tcW w:w="944" w:type="dxa"/>
          </w:tcPr>
          <w:p>
            <w:pPr>
              <w:pStyle w:val="Compact"/>
              <w:spacing w:after="40"/>
              <w:jc w:val="left"/>
            </w:pPr>
            <w:r>
              <w:rPr>
                <w:rStyle w:val="VerbatimChar"/>
                <w:sz w:val="18"/>
              </w:rPr>
              <w:t xml:space="preserve">RESPONSE_RECEIVED</w:t>
            </w:r>
          </w:p>
        </w:tc>
        <w:tc>
          <w:tcPr>
            <w:tcW w:w="2423" w:type="dxa"/>
          </w:tcPr>
          <w:p>
            <w:pPr>
              <w:pStyle w:val="Compact"/>
              <w:spacing w:after="40"/>
              <w:jc w:val="left"/>
            </w:pPr>
            <w:r>
              <w:rPr>
                <w:sz w:val="18"/>
              </w:rPr>
              <w:t xml:space="preserve">Agree, partly agree or disagree with reasons</w:t>
            </w:r>
          </w:p>
        </w:tc>
        <w:tc>
          <w:tcPr>
            <w:tcW w:w="1354" w:type="dxa"/>
          </w:tcPr>
          <w:p>
            <w:pPr>
              <w:pStyle w:val="Compact"/>
              <w:spacing w:after="40"/>
              <w:jc w:val="left"/>
            </w:pPr>
            <w:r>
              <w:rPr>
                <w:sz w:val="18"/>
              </w:rPr>
              <w:t xml:space="preserve">Lead</w:t>
            </w:r>
          </w:p>
        </w:tc>
        <w:tc>
          <w:tcPr>
            <w:tcW w:w="2073" w:type="dxa"/>
          </w:tcPr>
          <w:p>
            <w:pPr>
              <w:pStyle w:val="Compact"/>
              <w:spacing w:after="40"/>
              <w:jc w:val="left"/>
            </w:pPr>
            <w:r>
              <w:rPr>
                <w:sz w:val="18"/>
              </w:rPr>
              <w:t xml:space="preserve">5 working days to accept</w:t>
            </w:r>
          </w:p>
        </w:tc>
        <w:tc>
          <w:tcPr>
            <w:tcW w:w="2844" w:type="dxa"/>
          </w:tcPr>
          <w:p>
            <w:pPr>
              <w:pStyle w:val="Compact"/>
              <w:spacing w:after="40"/>
              <w:jc w:val="left"/>
            </w:pPr>
            <w:r>
              <w:rPr>
                <w:sz w:val="18"/>
              </w:rPr>
              <w:t xml:space="preserve">Disagreement unresolved → HIA decides; the ACB sees both views; →</w:t>
            </w:r>
            <w:r>
              <w:rPr>
                <w:sz w:val="18"/>
              </w:rPr>
              <w:t xml:space="preserve"> </w:t>
            </w:r>
            <w:r>
              <w:rPr>
                <w:rStyle w:val="VerbatimChar"/>
                <w:sz w:val="18"/>
              </w:rPr>
              <w:t xml:space="preserve">ACTION_AGREED</w:t>
            </w:r>
          </w:p>
        </w:tc>
      </w:tr>
      <w:tr>
        <w:tc>
          <w:tcPr>
            <w:tcW w:w="944" w:type="dxa"/>
          </w:tcPr>
          <w:p>
            <w:pPr>
              <w:pStyle w:val="Compact"/>
              <w:spacing w:after="40"/>
              <w:jc w:val="left"/>
            </w:pPr>
            <w:r>
              <w:rPr>
                <w:rStyle w:val="VerbatimChar"/>
                <w:sz w:val="18"/>
              </w:rPr>
              <w:t xml:space="preserve">ACTION_AGREED</w:t>
            </w:r>
          </w:p>
        </w:tc>
        <w:tc>
          <w:tcPr>
            <w:tcW w:w="2423" w:type="dxa"/>
          </w:tcPr>
          <w:p>
            <w:pPr>
              <w:pStyle w:val="Compact"/>
              <w:spacing w:after="40"/>
              <w:jc w:val="left"/>
            </w:pPr>
            <w:r>
              <w:rPr>
                <w:sz w:val="18"/>
              </w:rPr>
              <w:t xml:space="preserve">Action items each with owner, due date, evidence required</w:t>
            </w:r>
          </w:p>
        </w:tc>
        <w:tc>
          <w:tcPr>
            <w:tcW w:w="1354" w:type="dxa"/>
          </w:tcPr>
          <w:p>
            <w:pPr>
              <w:pStyle w:val="Compact"/>
              <w:spacing w:after="40"/>
              <w:jc w:val="left"/>
            </w:pPr>
            <w:r>
              <w:rPr>
                <w:sz w:val="18"/>
              </w:rPr>
              <w:t xml:space="preserve">Owner</w:t>
            </w:r>
          </w:p>
        </w:tc>
        <w:tc>
          <w:tcPr>
            <w:tcW w:w="2073" w:type="dxa"/>
          </w:tcPr>
          <w:p>
            <w:pPr>
              <w:pStyle w:val="Compact"/>
              <w:spacing w:after="40"/>
              <w:jc w:val="left"/>
            </w:pPr>
            <w:r>
              <w:rPr>
                <w:sz w:val="18"/>
              </w:rPr>
              <w:t xml:space="preserve">Due date by rating (AU4.3 defaults: Critical 15, High 30, Medium 90, Low 180 days)</w:t>
            </w:r>
          </w:p>
        </w:tc>
        <w:tc>
          <w:tcPr>
            <w:tcW w:w="2844" w:type="dxa"/>
          </w:tcPr>
          <w:p>
            <w:pPr>
              <w:pStyle w:val="Compact"/>
              <w:spacing w:after="40"/>
              <w:jc w:val="left"/>
            </w:pPr>
            <w:r>
              <w:rPr>
                <w:sz w:val="18"/>
              </w:rPr>
              <w:t xml:space="preserve">→</w:t>
            </w:r>
            <w:r>
              <w:rPr>
                <w:sz w:val="18"/>
              </w:rPr>
              <w:t xml:space="preserve"> </w:t>
            </w:r>
            <w:r>
              <w:rPr>
                <w:rStyle w:val="VerbatimChar"/>
                <w:sz w:val="18"/>
              </w:rPr>
              <w:t xml:space="preserve">IN_REMEDIATION</w:t>
            </w:r>
          </w:p>
        </w:tc>
      </w:tr>
      <w:tr>
        <w:tc>
          <w:tcPr>
            <w:tcW w:w="944" w:type="dxa"/>
          </w:tcPr>
          <w:p>
            <w:pPr>
              <w:pStyle w:val="Compact"/>
              <w:spacing w:after="40"/>
              <w:jc w:val="left"/>
            </w:pPr>
            <w:r>
              <w:rPr>
                <w:rStyle w:val="VerbatimChar"/>
                <w:sz w:val="18"/>
              </w:rPr>
              <w:t xml:space="preserve">IN_REMEDIATION</w:t>
            </w:r>
          </w:p>
        </w:tc>
        <w:tc>
          <w:tcPr>
            <w:tcW w:w="2423" w:type="dxa"/>
          </w:tcPr>
          <w:p>
            <w:pPr>
              <w:pStyle w:val="Compact"/>
              <w:spacing w:after="40"/>
              <w:jc w:val="left"/>
            </w:pPr>
            <w:r>
              <w:rPr>
                <w:sz w:val="18"/>
              </w:rPr>
              <w:t xml:space="preserve">Work started</w:t>
            </w:r>
          </w:p>
        </w:tc>
        <w:tc>
          <w:tcPr>
            <w:tcW w:w="1354" w:type="dxa"/>
          </w:tcPr>
          <w:p>
            <w:pPr>
              <w:pStyle w:val="Compact"/>
              <w:spacing w:after="40"/>
              <w:jc w:val="left"/>
            </w:pPr>
            <w:r>
              <w:rPr>
                <w:sz w:val="18"/>
              </w:rPr>
              <w:t xml:space="preserve">Action owners</w:t>
            </w:r>
          </w:p>
        </w:tc>
        <w:tc>
          <w:tcPr>
            <w:tcW w:w="2073" w:type="dxa"/>
          </w:tcPr>
          <w:p>
            <w:pPr>
              <w:pStyle w:val="Compact"/>
              <w:spacing w:after="40"/>
              <w:jc w:val="left"/>
            </w:pPr>
            <w:r>
              <w:rPr>
                <w:sz w:val="18"/>
              </w:rPr>
              <w:t xml:space="preserve">Reminders T−7, T−1; overdue daily</w:t>
            </w:r>
          </w:p>
        </w:tc>
        <w:tc>
          <w:tcPr>
            <w:tcW w:w="2844" w:type="dxa"/>
          </w:tcPr>
          <w:p>
            <w:pPr>
              <w:pStyle w:val="Compact"/>
              <w:spacing w:after="40"/>
              <w:jc w:val="left"/>
            </w:pPr>
            <w:r>
              <w:rPr>
                <w:sz w:val="18"/>
              </w:rPr>
              <w:t xml:space="preserve">Extension (next-level approver; second extension of a High finding needs ACB noting); →</w:t>
            </w:r>
            <w:r>
              <w:rPr>
                <w:sz w:val="18"/>
              </w:rPr>
              <w:t xml:space="preserve"> </w:t>
            </w:r>
            <w:r>
              <w:rPr>
                <w:rStyle w:val="VerbatimChar"/>
                <w:sz w:val="18"/>
              </w:rPr>
              <w:t xml:space="preserve">CLOSURE_SUBMITTED</w:t>
            </w:r>
            <w:r>
              <w:rPr>
                <w:sz w:val="18"/>
              </w:rPr>
              <w:t xml:space="preserve">; →</w:t>
            </w:r>
            <w:r>
              <w:rPr>
                <w:sz w:val="18"/>
              </w:rPr>
              <w:t xml:space="preserve"> </w:t>
            </w:r>
            <w:r>
              <w:rPr>
                <w:rStyle w:val="VerbatimChar"/>
                <w:sz w:val="18"/>
              </w:rPr>
              <w:t xml:space="preserve">RISK_ACCEPTED</w:t>
            </w:r>
          </w:p>
        </w:tc>
      </w:tr>
      <w:tr>
        <w:tc>
          <w:tcPr>
            <w:tcW w:w="944" w:type="dxa"/>
          </w:tcPr>
          <w:p>
            <w:pPr>
              <w:pStyle w:val="Compact"/>
              <w:spacing w:after="40"/>
              <w:jc w:val="left"/>
            </w:pPr>
            <w:r>
              <w:rPr>
                <w:rStyle w:val="VerbatimChar"/>
                <w:sz w:val="18"/>
              </w:rPr>
              <w:t xml:space="preserve">CLOSURE_SUBMITTED</w:t>
            </w:r>
          </w:p>
        </w:tc>
        <w:tc>
          <w:tcPr>
            <w:tcW w:w="2423" w:type="dxa"/>
          </w:tcPr>
          <w:p>
            <w:pPr>
              <w:pStyle w:val="Compact"/>
              <w:spacing w:after="40"/>
              <w:jc w:val="left"/>
            </w:pPr>
            <w:r>
              <w:rPr>
                <w:sz w:val="18"/>
              </w:rPr>
              <w:t xml:space="preserve">Every action item has closure evidence (hashed evidence items or system evidence links) and an owner attestation</w:t>
            </w:r>
          </w:p>
        </w:tc>
        <w:tc>
          <w:tcPr>
            <w:tcW w:w="1354" w:type="dxa"/>
          </w:tcPr>
          <w:p>
            <w:pPr>
              <w:pStyle w:val="Compact"/>
              <w:spacing w:after="40"/>
              <w:jc w:val="left"/>
            </w:pPr>
            <w:r>
              <w:rPr>
                <w:sz w:val="18"/>
              </w:rPr>
              <w:t xml:space="preserve">Owner</w:t>
            </w:r>
          </w:p>
        </w:tc>
        <w:tc>
          <w:tcPr>
            <w:tcW w:w="2073" w:type="dxa"/>
          </w:tcPr>
          <w:p>
            <w:pPr>
              <w:pStyle w:val="Compact"/>
              <w:spacing w:after="40"/>
              <w:jc w:val="left"/>
            </w:pPr>
            <w:r>
              <w:rPr>
                <w:sz w:val="18"/>
              </w:rPr>
              <w:t xml:space="preserve">Auditor picks up within 10 working days</w:t>
            </w:r>
          </w:p>
        </w:tc>
        <w:tc>
          <w:tcPr>
            <w:tcW w:w="2844" w:type="dxa"/>
          </w:tcPr>
          <w:p>
            <w:pPr>
              <w:pStyle w:val="Compact"/>
              <w:spacing w:after="40"/>
              <w:jc w:val="left"/>
            </w:pPr>
            <w:r>
              <w:rPr>
                <w:sz w:val="18"/>
              </w:rPr>
              <w:t xml:space="preserve">Auditor returns incomplete packs with reasons (stays in remediation clock)</w:t>
            </w:r>
          </w:p>
        </w:tc>
      </w:tr>
      <w:tr>
        <w:tc>
          <w:tcPr>
            <w:tcW w:w="944" w:type="dxa"/>
          </w:tcPr>
          <w:p>
            <w:pPr>
              <w:pStyle w:val="Compact"/>
              <w:spacing w:after="40"/>
              <w:jc w:val="left"/>
            </w:pPr>
            <w:r>
              <w:rPr>
                <w:rStyle w:val="VerbatimChar"/>
                <w:sz w:val="18"/>
              </w:rPr>
              <w:t xml:space="preserve">RETEST</w:t>
            </w:r>
          </w:p>
        </w:tc>
        <w:tc>
          <w:tcPr>
            <w:tcW w:w="2423" w:type="dxa"/>
          </w:tcPr>
          <w:p>
            <w:pPr>
              <w:pStyle w:val="Compact"/>
              <w:spacing w:after="40"/>
              <w:jc w:val="left"/>
            </w:pPr>
            <w:r>
              <w:rPr>
                <w:sz w:val="18"/>
              </w:rPr>
              <w:t xml:space="preserve">Retest assigned to an auditor who did not perform or advise on remediation</w:t>
            </w:r>
          </w:p>
        </w:tc>
        <w:tc>
          <w:tcPr>
            <w:tcW w:w="1354" w:type="dxa"/>
          </w:tcPr>
          <w:p>
            <w:pPr>
              <w:pStyle w:val="Compact"/>
              <w:spacing w:after="40"/>
              <w:jc w:val="left"/>
            </w:pPr>
            <w:r>
              <w:rPr>
                <w:sz w:val="18"/>
              </w:rPr>
              <w:t xml:space="preserve">Retester</w:t>
            </w:r>
          </w:p>
        </w:tc>
        <w:tc>
          <w:tcPr>
            <w:tcW w:w="2073" w:type="dxa"/>
          </w:tcPr>
          <w:p>
            <w:pPr>
              <w:pStyle w:val="Compact"/>
              <w:spacing w:after="40"/>
              <w:jc w:val="left"/>
            </w:pPr>
            <w:r>
              <w:rPr>
                <w:sz w:val="18"/>
              </w:rPr>
              <w:t xml:space="preserve">10 working days</w:t>
            </w:r>
          </w:p>
        </w:tc>
        <w:tc>
          <w:tcPr>
            <w:tcW w:w="2844" w:type="dxa"/>
          </w:tcPr>
          <w:p>
            <w:pPr>
              <w:pStyle w:val="Compact"/>
              <w:spacing w:after="40"/>
              <w:jc w:val="left"/>
            </w:pPr>
            <w:r>
              <w:rPr>
                <w:sz w:val="18"/>
              </w:rPr>
              <w:t xml:space="preserve">Pass →</w:t>
            </w:r>
            <w:r>
              <w:rPr>
                <w:sz w:val="18"/>
              </w:rPr>
              <w:t xml:space="preserve"> </w:t>
            </w:r>
            <w:r>
              <w:rPr>
                <w:rStyle w:val="VerbatimChar"/>
                <w:sz w:val="18"/>
              </w:rPr>
              <w:t xml:space="preserve">CLOSED</w:t>
            </w:r>
            <w:r>
              <w:rPr>
                <w:sz w:val="18"/>
              </w:rPr>
              <w:t xml:space="preserve">; fail or partial →</w:t>
            </w:r>
            <w:r>
              <w:rPr>
                <w:sz w:val="18"/>
              </w:rPr>
              <w:t xml:space="preserve"> </w:t>
            </w:r>
            <w:r>
              <w:rPr>
                <w:rStyle w:val="VerbatimChar"/>
                <w:sz w:val="18"/>
              </w:rPr>
              <w:t xml:space="preserve">REOPENED</w:t>
            </w:r>
            <w:r>
              <w:rPr>
                <w:sz w:val="18"/>
              </w:rPr>
              <w:t xml:space="preserve">; population findings need a fresh sample (AU2.3)</w:t>
            </w:r>
          </w:p>
        </w:tc>
      </w:tr>
      <w:tr>
        <w:tc>
          <w:tcPr>
            <w:tcW w:w="944" w:type="dxa"/>
          </w:tcPr>
          <w:p>
            <w:pPr>
              <w:pStyle w:val="Compact"/>
              <w:spacing w:after="40"/>
              <w:jc w:val="left"/>
            </w:pPr>
            <w:r>
              <w:rPr>
                <w:rStyle w:val="VerbatimChar"/>
                <w:sz w:val="18"/>
              </w:rPr>
              <w:t xml:space="preserve">CLOSED</w:t>
            </w:r>
          </w:p>
        </w:tc>
        <w:tc>
          <w:tcPr>
            <w:tcW w:w="2423" w:type="dxa"/>
          </w:tcPr>
          <w:p>
            <w:pPr>
              <w:pStyle w:val="Compact"/>
              <w:spacing w:after="40"/>
              <w:jc w:val="left"/>
            </w:pPr>
            <w:r>
              <w:rPr>
                <w:sz w:val="18"/>
              </w:rPr>
              <w:t xml:space="preserve">Retest pass recorded with validator role</w:t>
            </w:r>
          </w:p>
        </w:tc>
        <w:tc>
          <w:tcPr>
            <w:tcW w:w="1354" w:type="dxa"/>
          </w:tcPr>
          <w:p>
            <w:pPr>
              <w:pStyle w:val="Compact"/>
              <w:spacing w:after="40"/>
              <w:jc w:val="left"/>
            </w:pPr>
            <w:r>
              <w:rPr>
                <w:sz w:val="18"/>
              </w:rPr>
              <w:t xml:space="preserve">HIA (for High and Critical) or lead</w:t>
            </w:r>
          </w:p>
        </w:tc>
        <w:tc>
          <w:tcPr>
            <w:tcW w:w="2073" w:type="dxa"/>
          </w:tcPr>
          <w:p>
            <w:pPr>
              <w:pStyle w:val="Compact"/>
              <w:spacing w:after="40"/>
              <w:jc w:val="left"/>
            </w:pPr>
            <w:r>
              <w:rPr>
                <w:sz w:val="18"/>
              </w:rPr>
              <w:t xml:space="preserve">—</w:t>
            </w:r>
          </w:p>
        </w:tc>
        <w:tc>
          <w:tcPr>
            <w:tcW w:w="2844" w:type="dxa"/>
          </w:tcPr>
          <w:p>
            <w:pPr>
              <w:pStyle w:val="Compact"/>
              <w:spacing w:after="40"/>
              <w:jc w:val="left"/>
            </w:pPr>
            <w:r>
              <w:rPr>
                <w:rStyle w:val="VerbatimChar"/>
                <w:sz w:val="18"/>
              </w:rPr>
              <w:t xml:space="preserve">AuditFindingClosed</w:t>
            </w:r>
            <w:r>
              <w:rPr>
                <w:sz w:val="18"/>
              </w:rPr>
              <w:t xml:space="preserve"> </w:t>
            </w:r>
            <w:r>
              <w:rPr>
                <w:sz w:val="18"/>
              </w:rPr>
              <w:t xml:space="preserve">with closure evidence hashes, validator role and closed_at; ATR item validated</w:t>
            </w:r>
          </w:p>
        </w:tc>
      </w:tr>
      <w:tr>
        <w:tc>
          <w:tcPr>
            <w:tcW w:w="944" w:type="dxa"/>
          </w:tcPr>
          <w:p>
            <w:pPr>
              <w:pStyle w:val="Compact"/>
              <w:spacing w:after="40"/>
              <w:jc w:val="left"/>
            </w:pPr>
            <w:r>
              <w:rPr>
                <w:rStyle w:val="VerbatimChar"/>
                <w:sz w:val="18"/>
              </w:rPr>
              <w:t xml:space="preserve">REOPENED</w:t>
            </w:r>
          </w:p>
        </w:tc>
        <w:tc>
          <w:tcPr>
            <w:tcW w:w="2423" w:type="dxa"/>
          </w:tcPr>
          <w:p>
            <w:pPr>
              <w:pStyle w:val="Compact"/>
              <w:spacing w:after="40"/>
              <w:jc w:val="left"/>
            </w:pPr>
            <w:r>
              <w:rPr>
                <w:sz w:val="18"/>
              </w:rPr>
              <w:t xml:space="preserve">Retest failed, or the same root cause recurs in the unit within 24 months [REC]</w:t>
            </w:r>
          </w:p>
        </w:tc>
        <w:tc>
          <w:tcPr>
            <w:tcW w:w="1354" w:type="dxa"/>
          </w:tcPr>
          <w:p>
            <w:pPr>
              <w:pStyle w:val="Compact"/>
              <w:spacing w:after="40"/>
              <w:jc w:val="left"/>
            </w:pPr>
            <w:r>
              <w:rPr>
                <w:sz w:val="18"/>
              </w:rPr>
              <w:t xml:space="preserve">Owner</w:t>
            </w:r>
          </w:p>
        </w:tc>
        <w:tc>
          <w:tcPr>
            <w:tcW w:w="2073" w:type="dxa"/>
          </w:tcPr>
          <w:p>
            <w:pPr>
              <w:pStyle w:val="Compact"/>
              <w:spacing w:after="40"/>
              <w:jc w:val="left"/>
            </w:pPr>
            <w:r>
              <w:rPr>
                <w:sz w:val="18"/>
              </w:rPr>
              <w:t xml:space="preserve">New due date ≤ the original rating SLA</w:t>
            </w:r>
          </w:p>
        </w:tc>
        <w:tc>
          <w:tcPr>
            <w:tcW w:w="2844" w:type="dxa"/>
          </w:tcPr>
          <w:p>
            <w:pPr>
              <w:pStyle w:val="Compact"/>
              <w:spacing w:after="40"/>
              <w:jc w:val="left"/>
            </w:pPr>
            <w:r>
              <w:rPr>
                <w:sz w:val="18"/>
              </w:rPr>
              <w:t xml:space="preserve">Repeat counter increments; repeat flag shown in the ACB pack; →</w:t>
            </w:r>
            <w:r>
              <w:rPr>
                <w:sz w:val="18"/>
              </w:rPr>
              <w:t xml:space="preserve"> </w:t>
            </w:r>
            <w:r>
              <w:rPr>
                <w:rStyle w:val="VerbatimChar"/>
                <w:sz w:val="18"/>
              </w:rPr>
              <w:t xml:space="preserve">IN_REMEDIATION</w:t>
            </w:r>
          </w:p>
        </w:tc>
      </w:tr>
      <w:tr>
        <w:tc>
          <w:tcPr>
            <w:tcW w:w="944" w:type="dxa"/>
          </w:tcPr>
          <w:p>
            <w:pPr>
              <w:pStyle w:val="Compact"/>
              <w:spacing w:after="40"/>
              <w:jc w:val="left"/>
            </w:pPr>
            <w:r>
              <w:rPr>
                <w:rStyle w:val="VerbatimChar"/>
                <w:sz w:val="18"/>
              </w:rPr>
              <w:t xml:space="preserve">RISK_ACCEPTED</w:t>
            </w:r>
          </w:p>
        </w:tc>
        <w:tc>
          <w:tcPr>
            <w:tcW w:w="2423" w:type="dxa"/>
          </w:tcPr>
          <w:p>
            <w:pPr>
              <w:pStyle w:val="Compact"/>
              <w:spacing w:after="40"/>
              <w:jc w:val="left"/>
            </w:pPr>
            <w:r>
              <w:rPr>
                <w:sz w:val="18"/>
              </w:rPr>
              <w:t xml:space="preserve">Delegated authority in the risk-acceptance matrix, rationale, compensating controls, expiry (≤ 12 months)</w:t>
            </w:r>
          </w:p>
        </w:tc>
        <w:tc>
          <w:tcPr>
            <w:tcW w:w="1354" w:type="dxa"/>
          </w:tcPr>
          <w:p>
            <w:pPr>
              <w:pStyle w:val="Compact"/>
              <w:spacing w:after="40"/>
              <w:jc w:val="left"/>
            </w:pPr>
            <w:r>
              <w:rPr>
                <w:sz w:val="18"/>
              </w:rPr>
              <w:t xml:space="preserve">Risk acceptor</w:t>
            </w:r>
          </w:p>
        </w:tc>
        <w:tc>
          <w:tcPr>
            <w:tcW w:w="2073" w:type="dxa"/>
          </w:tcPr>
          <w:p>
            <w:pPr>
              <w:pStyle w:val="Compact"/>
              <w:spacing w:after="40"/>
              <w:jc w:val="left"/>
            </w:pPr>
            <w:r>
              <w:rPr>
                <w:sz w:val="18"/>
              </w:rPr>
              <w:t xml:space="preserve">Expiry; reminder 30 days before</w:t>
            </w:r>
          </w:p>
        </w:tc>
        <w:tc>
          <w:tcPr>
            <w:tcW w:w="2844" w:type="dxa"/>
          </w:tcPr>
          <w:p>
            <w:pPr>
              <w:pStyle w:val="Compact"/>
              <w:spacing w:after="40"/>
              <w:jc w:val="left"/>
            </w:pPr>
            <w:r>
              <w:rPr>
                <w:sz w:val="18"/>
              </w:rPr>
              <w:t xml:space="preserve">RMC noting for High and Critical; at expiry it renews (same approvals) or returns to</w:t>
            </w:r>
            <w:r>
              <w:rPr>
                <w:sz w:val="18"/>
              </w:rPr>
              <w:t xml:space="preserve"> </w:t>
            </w:r>
            <w:r>
              <w:rPr>
                <w:rStyle w:val="VerbatimChar"/>
                <w:sz w:val="18"/>
              </w:rPr>
              <w:t xml:space="preserve">IN_REMEDIATION</w:t>
            </w:r>
            <w:r>
              <w:rPr>
                <w:sz w:val="18"/>
              </w:rPr>
              <w:t xml:space="preserve">; never for a regulatory breach without CCO concurrence</w:t>
            </w:r>
          </w:p>
        </w:tc>
      </w:tr>
      <w:tr>
        <w:tc>
          <w:tcPr>
            <w:tcW w:w="944" w:type="dxa"/>
          </w:tcPr>
          <w:p>
            <w:pPr>
              <w:pStyle w:val="Compact"/>
              <w:spacing w:after="40"/>
              <w:jc w:val="left"/>
            </w:pPr>
            <w:r>
              <w:rPr>
                <w:rStyle w:val="VerbatimChar"/>
                <w:sz w:val="18"/>
              </w:rPr>
              <w:t xml:space="preserve">WITHDRAWN</w:t>
            </w:r>
          </w:p>
        </w:tc>
        <w:tc>
          <w:tcPr>
            <w:tcW w:w="2423" w:type="dxa"/>
          </w:tcPr>
          <w:p>
            <w:pPr>
              <w:pStyle w:val="Compact"/>
              <w:spacing w:after="40"/>
              <w:jc w:val="left"/>
            </w:pPr>
            <w:r>
              <w:rPr>
                <w:sz w:val="18"/>
              </w:rPr>
              <w:t xml:space="preserve">Factual error confirmed</w:t>
            </w:r>
          </w:p>
        </w:tc>
        <w:tc>
          <w:tcPr>
            <w:tcW w:w="1354" w:type="dxa"/>
          </w:tcPr>
          <w:p>
            <w:pPr>
              <w:pStyle w:val="Compact"/>
              <w:spacing w:after="40"/>
              <w:jc w:val="left"/>
            </w:pPr>
            <w:r>
              <w:rPr>
                <w:sz w:val="18"/>
              </w:rPr>
              <w:t xml:space="preserve">Reviewer</w:t>
            </w:r>
          </w:p>
        </w:tc>
        <w:tc>
          <w:tcPr>
            <w:tcW w:w="2073" w:type="dxa"/>
          </w:tcPr>
          <w:p>
            <w:pPr>
              <w:pStyle w:val="Compact"/>
              <w:spacing w:after="40"/>
              <w:jc w:val="left"/>
            </w:pPr>
            <w:r>
              <w:rPr>
                <w:sz w:val="18"/>
              </w:rPr>
              <w:t xml:space="preserve">—</w:t>
            </w:r>
          </w:p>
        </w:tc>
        <w:tc>
          <w:tcPr>
            <w:tcW w:w="2844" w:type="dxa"/>
          </w:tcPr>
          <w:p>
            <w:pPr>
              <w:pStyle w:val="Compact"/>
              <w:spacing w:after="40"/>
              <w:jc w:val="left"/>
            </w:pPr>
            <w:r>
              <w:rPr>
                <w:sz w:val="18"/>
              </w:rPr>
              <w:t xml:space="preserve">Terminal; reason kept</w:t>
            </w:r>
          </w:p>
        </w:tc>
      </w:tr>
    </w:tbl>
    <w:p>
      <w:pPr>
        <w:numPr>
          <w:ilvl w:val="0"/>
          <w:numId w:val="1357"/>
        </w:numPr>
        <w:pStyle w:val="Compact"/>
      </w:pPr>
      <w:r>
        <w:rPr>
          <w:bCs/>
          <w:b/>
        </w:rPr>
        <w:t xml:space="preserve">Corrections after issue.</w:t>
      </w:r>
      <w:r>
        <w:t xml:space="preserve"> </w:t>
      </w:r>
      <w:r>
        <w:t xml:space="preserve">A rating, criteria or due-date change after</w:t>
      </w:r>
      <w:r>
        <w:t xml:space="preserve"> </w:t>
      </w:r>
      <w:r>
        <w:rPr>
          <w:rStyle w:val="VerbatimChar"/>
        </w:rPr>
        <w:t xml:space="preserve">ISSUED</w:t>
      </w:r>
      <w:r>
        <w:t xml:space="preserve"> </w:t>
      </w:r>
      <w:r>
        <w:t xml:space="preserve">creates a new finding version (reviewer approval and reason) and re-emits</w:t>
      </w:r>
      <w:r>
        <w:t xml:space="preserve"> </w:t>
      </w:r>
      <w:r>
        <w:rPr>
          <w:rStyle w:val="VerbatimChar"/>
        </w:rPr>
        <w:t xml:space="preserve">AuditFindingRaised</w:t>
      </w:r>
      <w:r>
        <w:t xml:space="preserve"> </w:t>
      </w:r>
      <w:r>
        <w:t xml:space="preserve">with the new version; the earlier version stays visible. A back-dated closure is not allowed: closure date is the retest date.</w:t>
      </w:r>
    </w:p>
    <w:p>
      <w:pPr>
        <w:numPr>
          <w:ilvl w:val="0"/>
          <w:numId w:val="1357"/>
        </w:numPr>
        <w:pStyle w:val="Compact"/>
      </w:pPr>
      <w:r>
        <w:rPr>
          <w:bCs/>
          <w:b/>
        </w:rPr>
        <w:t xml:space="preserve">Management responses.</w:t>
      </w:r>
      <w:r>
        <w:t xml:space="preserve"> </w:t>
      </w:r>
      <w:r>
        <w:t xml:space="preserve">Owner, agreement (agree / partly agree / disagree with reasons), action plan items each with owner, due date and evidence required.</w:t>
      </w:r>
    </w:p>
    <w:p>
      <w:pPr>
        <w:numPr>
          <w:ilvl w:val="0"/>
          <w:numId w:val="1357"/>
        </w:numPr>
        <w:pStyle w:val="Compact"/>
      </w:pPr>
      <w:r>
        <w:rPr>
          <w:bCs/>
          <w:b/>
        </w:rPr>
        <w:t xml:space="preserve">Events and links.</w:t>
      </w:r>
      <w:r>
        <w:t xml:space="preserve"> </w:t>
      </w:r>
      <w:r>
        <w:rPr>
          <w:rStyle w:val="VerbatimChar"/>
        </w:rPr>
        <w:t xml:space="preserve">AuditFindingRaised</w:t>
      </w:r>
      <w:r>
        <w:t xml:space="preserve"> </w:t>
      </w:r>
      <w:r>
        <w:t xml:space="preserve">on</w:t>
      </w:r>
      <w:r>
        <w:t xml:space="preserve"> </w:t>
      </w:r>
      <w:r>
        <w:rPr>
          <w:rStyle w:val="VerbatimChar"/>
        </w:rPr>
        <w:t xml:space="preserve">ISSUED</w:t>
      </w:r>
      <w:r>
        <w:t xml:space="preserve"> </w:t>
      </w:r>
      <w:r>
        <w:t xml:space="preserve">and on each new version (Integration Specification 6.21 payload: finding_id, engagement_id, rating, criteria citation, owner role, due date, masked sample references; idempotency key finding_id and version; no PII). A finding with a regulatory-breach flag also raises</w:t>
      </w:r>
      <w:r>
        <w:t xml:space="preserve"> </w:t>
      </w:r>
      <w:r>
        <w:rPr>
          <w:rStyle w:val="VerbatimChar"/>
        </w:rPr>
        <w:t xml:space="preserve">ComplianceIssueRaised</w:t>
      </w:r>
      <w:r>
        <w:t xml:space="preserve"> </w:t>
      </w:r>
      <w:r>
        <w:t xml:space="preserve">to the compliance function (M14 / LawDocsComply) and, if it indicates suspected fraud, opens an FRM signal (M12) — the auditor cannot classify fraud in Part 7D.</w:t>
      </w:r>
    </w:p>
    <w:p>
      <w:pPr>
        <w:numPr>
          <w:ilvl w:val="0"/>
          <w:numId w:val="1357"/>
        </w:numPr>
        <w:pStyle w:val="Compact"/>
      </w:pPr>
      <w:r>
        <w:rPr>
          <w:bCs/>
          <w:b/>
        </w:rPr>
        <w:t xml:space="preserve">Board and ACB reporting.</w:t>
      </w:r>
      <w:r>
        <w:t xml:space="preserve"> </w:t>
      </w:r>
      <w:r>
        <w:t xml:space="preserve">All pending High and Medium findings and persisting irregularities are reported to the Board/ACB (IAF para 37); closure status of findings within timelines is reported by senior management (IAF para 9); the annual consolidated major-risk view from all audits (IAF para 11) is generated from findings across AU3–AU6 and RBI inspection observations.</w:t>
      </w:r>
    </w:p>
    <w:bookmarkEnd w:id="356"/>
    <w:bookmarkStart w:id="357" w:name="au3.3-action-taken-reports-atr"/>
    <w:p>
      <w:pPr>
        <w:pStyle w:val="Heading3"/>
      </w:pPr>
      <w:r>
        <w:t xml:space="preserve">AU3.3 Action Taken Reports (ATR)</w:t>
      </w:r>
    </w:p>
    <w:p>
      <w:pPr>
        <w:numPr>
          <w:ilvl w:val="0"/>
          <w:numId w:val="1358"/>
        </w:numPr>
        <w:pStyle w:val="Compact"/>
      </w:pPr>
      <w:r>
        <w:rPr>
          <w:bCs/>
          <w:b/>
        </w:rPr>
        <w:t xml:space="preserve">ATR register.</w:t>
      </w:r>
      <w:r>
        <w:t xml:space="preserve"> </w:t>
      </w:r>
      <w:r>
        <w:t xml:space="preserve">One ATR per source: internal audit report, concurrent audit report, IS audit report, statutory auditor’s management letter, secretarial audit observations, RBI inspection report (Risk Mitigation Plan / Monitorable Action Plan items from M14), NHB/NABARD inspection, IFSCA inspection, customer-service audit.</w:t>
      </w:r>
    </w:p>
    <w:p>
      <w:pPr>
        <w:numPr>
          <w:ilvl w:val="0"/>
          <w:numId w:val="1358"/>
        </w:numPr>
        <w:pStyle w:val="Compact"/>
      </w:pPr>
      <w:r>
        <w:rPr>
          <w:bCs/>
          <w:b/>
        </w:rPr>
        <w:t xml:space="preserve">ATR pack.</w:t>
      </w:r>
      <w:r>
        <w:t xml:space="preserve"> </w:t>
      </w:r>
      <w:r>
        <w:t xml:space="preserve">For each item: observation, rating, response, action, owner, due date, status, evidence, auditor validation, ageing bucket (0–30, 31–90, 91–180, &gt; 180 days). Generated for each ACB meeting with comparison to the previous pack; items closed without auditor validation are shown as</w:t>
      </w:r>
      <w:r>
        <w:t xml:space="preserve"> </w:t>
      </w:r>
      <w:r>
        <w:t xml:space="preserve">“</w:t>
      </w:r>
      <w:r>
        <w:t xml:space="preserve">management-closed, unvalidated</w:t>
      </w:r>
      <w:r>
        <w:t xml:space="preserve">”</w:t>
      </w:r>
      <w:r>
        <w:t xml:space="preserve">.</w:t>
      </w:r>
    </w:p>
    <w:p>
      <w:pPr>
        <w:numPr>
          <w:ilvl w:val="0"/>
          <w:numId w:val="1358"/>
        </w:numPr>
        <w:pStyle w:val="Compact"/>
      </w:pPr>
      <w:r>
        <w:rPr>
          <w:bCs/>
          <w:b/>
        </w:rPr>
        <w:t xml:space="preserve">RBI inspection compliance.</w:t>
      </w:r>
      <w:r>
        <w:t xml:space="preserve"> </w:t>
      </w:r>
      <w:r>
        <w:t xml:space="preserve">Compliance submissions to RBI go through DAKSH as a guided filing (Part 7B RR4/RR5); Part 7D tracks the underlying evidence and validation only. No RBI portal credentials are stored or scripted.</w:t>
      </w:r>
    </w:p>
    <w:bookmarkEnd w:id="357"/>
    <w:bookmarkStart w:id="358" w:name="Xfe02b3b935e415bc7cfedbc1c8ebd598ba7e988"/>
    <w:p>
      <w:pPr>
        <w:pStyle w:val="Heading3"/>
      </w:pPr>
      <w:r>
        <w:t xml:space="preserve">AU3.4 Related-party and other mandated periodic reviews</w:t>
      </w:r>
    </w:p>
    <w:p>
      <w:pPr>
        <w:numPr>
          <w:ilvl w:val="0"/>
          <w:numId w:val="1359"/>
        </w:numPr>
        <w:pStyle w:val="Compact"/>
      </w:pPr>
      <w:r>
        <w:rPr>
          <w:bCs/>
          <w:b/>
        </w:rPr>
        <w:t xml:space="preserve">Quarterly related-party review (CRM para 13M):</w:t>
      </w:r>
      <w:r>
        <w:t xml:space="preserve"> </w:t>
      </w:r>
      <w:r>
        <w:t xml:space="preserve">a standing quarterly engagement pre-loaded with the related-party loan population (Part 7E RK5), materiality checks, approval body checks (Board or committee other than ACB — CRM 13I) and recusal evidence (13J); deviations go to the ACB (13N).</w:t>
      </w:r>
    </w:p>
    <w:p>
      <w:pPr>
        <w:numPr>
          <w:ilvl w:val="0"/>
          <w:numId w:val="1359"/>
        </w:numPr>
        <w:pStyle w:val="Compact"/>
      </w:pPr>
      <w:r>
        <w:rPr>
          <w:bCs/>
          <w:b/>
        </w:rPr>
        <w:t xml:space="preserve">Other standing thematic engagements:</w:t>
      </w:r>
      <w:r>
        <w:t xml:space="preserve"> </w:t>
      </w:r>
      <w:r>
        <w:t xml:space="preserve">fraud examinations (timelines feed the FRM case clock, M12), customer-service and grievance, KYC periodic updation, outsourcing and DLA audits (OUT 34(vii)), recovery-agent audits (R11.6).</w:t>
      </w:r>
    </w:p>
    <w:bookmarkEnd w:id="358"/>
    <w:bookmarkStart w:id="359" w:name="au3.5-concurrent-audit"/>
    <w:p>
      <w:pPr>
        <w:pStyle w:val="Heading3"/>
      </w:pPr>
      <w:r>
        <w:t xml:space="preserve">AU3.5 Concurrent audit</w:t>
      </w:r>
    </w:p>
    <w:p>
      <w:pPr>
        <w:numPr>
          <w:ilvl w:val="0"/>
          <w:numId w:val="1360"/>
        </w:numPr>
        <w:pStyle w:val="Compact"/>
      </w:pPr>
      <w:r>
        <w:rPr>
          <w:bCs/>
          <w:b/>
        </w:rPr>
        <w:t xml:space="preserve">Applicability.</w:t>
      </w:r>
      <w:r>
        <w:t xml:space="preserve"> </w:t>
      </w:r>
      <w:r>
        <w:t xml:space="preserve">Mandatory for commercial banks per</w:t>
      </w:r>
      <w:r>
        <w:t xml:space="preserve"> </w:t>
      </w:r>
      <w:r>
        <w:rPr>
          <w:rStyle w:val="VerbatimChar"/>
        </w:rPr>
        <w:t xml:space="preserve">CB-CA</w:t>
      </w:r>
      <w:r>
        <w:t xml:space="preserve"> </w:t>
      </w:r>
      <w:r>
        <w:t xml:space="preserve">[VERIFY: coverage of business turnover, branch selection, appointment, rotation and reporting periodicity]; UCBs, StCBs and DCCBs per RBI/NABARD instructions [VERIFY]. Optional for NBFCs and co-operative societies [REC]. Parameters (coverage %, units, periodicity) are configuration until verified.</w:t>
      </w:r>
    </w:p>
    <w:p>
      <w:pPr>
        <w:numPr>
          <w:ilvl w:val="0"/>
          <w:numId w:val="1360"/>
        </w:numPr>
        <w:pStyle w:val="Compact"/>
      </w:pPr>
      <w:r>
        <w:rPr>
          <w:bCs/>
          <w:b/>
        </w:rPr>
        <w:t xml:space="preserve">Model.</w:t>
      </w:r>
      <w:r>
        <w:t xml:space="preserve"> </w:t>
      </w:r>
      <w:r>
        <w:t xml:space="preserve">Concurrent-audit units (branches, treasury, central processing centres) with a monthly or fortnightly cycle; checklists by area (deposits, advances, treasury, KYC, revenue leakage, cash, clearing) seeded from the ICAI Manual on Concurrent Audit of Banks [ICAI, recommendatory] [VERIFY: edition].</w:t>
      </w:r>
    </w:p>
    <w:p>
      <w:pPr>
        <w:numPr>
          <w:ilvl w:val="0"/>
          <w:numId w:val="1360"/>
        </w:numPr>
        <w:pStyle w:val="Compact"/>
      </w:pPr>
      <w:r>
        <w:rPr>
          <w:bCs/>
          <w:b/>
        </w:rPr>
        <w:t xml:space="preserve">Real-time feed.</w:t>
      </w:r>
      <w:r>
        <w:t xml:space="preserve"> </w:t>
      </w:r>
      <w:r>
        <w:t xml:space="preserve">A transaction queue per unit: high-value disbursements, rate overrides, waivers, reversals, user-limit breaches, manual journal entries, back-dated entries; each item is</w:t>
      </w:r>
      <w:r>
        <w:t xml:space="preserve"> </w:t>
      </w:r>
      <w:r>
        <w:t xml:space="preserve">“</w:t>
      </w:r>
      <w:r>
        <w:t xml:space="preserve">reviewed — no exception</w:t>
      </w:r>
      <w:r>
        <w:t xml:space="preserve">”</w:t>
      </w:r>
      <w:r>
        <w:t xml:space="preserve"> </w:t>
      </w:r>
      <w:r>
        <w:t xml:space="preserve">or raised as a finding. Daily cut-off and monthly report with a summary of irregularities and rectification status.</w:t>
      </w:r>
    </w:p>
    <w:p>
      <w:pPr>
        <w:numPr>
          <w:ilvl w:val="0"/>
          <w:numId w:val="1360"/>
        </w:numPr>
        <w:pStyle w:val="Compact"/>
      </w:pPr>
      <w:r>
        <w:rPr>
          <w:bCs/>
          <w:b/>
        </w:rPr>
        <w:t xml:space="preserve">Conflict rule.</w:t>
      </w:r>
      <w:r>
        <w:t xml:space="preserve"> </w:t>
      </w:r>
      <w:r>
        <w:t xml:space="preserve">A concurrent auditor (or a firm in its network or with common partners) is not considered for appointment as statutory auditor (SA paras 18, 20); AU5 blocks the appointment, and AU3 blocks appointing the statutory auditor as concurrent auditor for one year before and after its tenure (internal assignments, SA para 19) and during it [interpretation: concurrent audit is not a para 19</w:t>
      </w:r>
      <w:r>
        <w:t xml:space="preserve"> </w:t>
      </w:r>
      <w:r>
        <w:t xml:space="preserve">“</w:t>
      </w:r>
      <w:r>
        <w:t xml:space="preserve">no conflict</w:t>
      </w:r>
      <w:r>
        <w:t xml:space="preserve">”</w:t>
      </w:r>
      <w:r>
        <w:t xml:space="preserve"> </w:t>
      </w:r>
      <w:r>
        <w:t xml:space="preserve">service].</w:t>
      </w:r>
    </w:p>
    <w:p>
      <w:pPr>
        <w:numPr>
          <w:ilvl w:val="0"/>
          <w:numId w:val="1360"/>
        </w:numPr>
        <w:pStyle w:val="Compact"/>
      </w:pPr>
      <w:r>
        <w:rPr>
          <w:bCs/>
          <w:b/>
        </w:rPr>
        <w:t xml:space="preserve">Revenue-leakage checks.</w:t>
      </w:r>
      <w:r>
        <w:t xml:space="preserve"> </w:t>
      </w:r>
      <w:r>
        <w:t xml:space="preserve">Interest and fee recomputation versus charge masters; GST on fees vs exempt interest (Part 7C AC4); penal-charge conformity.</w:t>
      </w:r>
    </w:p>
    <w:bookmarkEnd w:id="359"/>
    <w:bookmarkStart w:id="360" w:name="settings-and-options-2"/>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76"/>
        <w:gridCol w:w="2438"/>
        <w:gridCol w:w="1310"/>
        <w:gridCol w:w="3514"/>
      </w:tblGrid>
      <w:tr>
        <w:trPr>
          <w:tblHeader w:val="true"/>
          <w:tblHeader w:val="true"/>
        </w:trPr>
        <w:tc>
          <w:tcPr>
            <w:tcW w:w="2376" w:type="dxa"/>
            <w:shd w:val="clear" w:color="auto" w:fill="1F3A5F"/>
          </w:tcPr>
          <w:p>
            <w:pPr>
              <w:pStyle w:val="Compact"/>
              <w:spacing w:after="40"/>
              <w:jc w:val="left"/>
            </w:pPr>
            <w:r>
              <w:rPr>
                <w:b/>
                <w:color w:val="FFFFFF"/>
                <w:sz w:val="18"/>
              </w:rPr>
              <w:t xml:space="preserve">Setting</w:t>
            </w:r>
          </w:p>
        </w:tc>
        <w:tc>
          <w:tcPr>
            <w:tcW w:w="2438" w:type="dxa"/>
            <w:shd w:val="clear" w:color="auto" w:fill="1F3A5F"/>
          </w:tcPr>
          <w:p>
            <w:pPr>
              <w:pStyle w:val="Compact"/>
              <w:spacing w:after="40"/>
              <w:jc w:val="left"/>
            </w:pPr>
            <w:r>
              <w:rPr>
                <w:b/>
                <w:color w:val="FFFFFF"/>
                <w:sz w:val="18"/>
              </w:rPr>
              <w:t xml:space="preserve">Default</w:t>
            </w:r>
          </w:p>
        </w:tc>
        <w:tc>
          <w:tcPr>
            <w:tcW w:w="1310" w:type="dxa"/>
            <w:shd w:val="clear" w:color="auto" w:fill="1F3A5F"/>
          </w:tcPr>
          <w:p>
            <w:pPr>
              <w:pStyle w:val="Compact"/>
              <w:spacing w:after="40"/>
              <w:jc w:val="left"/>
            </w:pPr>
            <w:r>
              <w:rPr>
                <w:b/>
                <w:color w:val="FFFFFF"/>
                <w:sz w:val="18"/>
              </w:rPr>
              <w:t xml:space="preserve">Level</w:t>
            </w:r>
          </w:p>
        </w:tc>
        <w:tc>
          <w:tcPr>
            <w:tcW w:w="3514" w:type="dxa"/>
            <w:shd w:val="clear" w:color="auto" w:fill="1F3A5F"/>
          </w:tcPr>
          <w:p>
            <w:pPr>
              <w:pStyle w:val="Compact"/>
              <w:spacing w:after="40"/>
              <w:jc w:val="left"/>
            </w:pPr>
            <w:r>
              <w:rPr>
                <w:b/>
                <w:color w:val="FFFFFF"/>
                <w:sz w:val="18"/>
              </w:rPr>
              <w:t xml:space="preserve">Floor or choice</w:t>
            </w:r>
          </w:p>
        </w:tc>
      </w:tr>
      <w:tr>
        <w:tc>
          <w:tcPr>
            <w:tcW w:w="2376" w:type="dxa"/>
          </w:tcPr>
          <w:p>
            <w:pPr>
              <w:pStyle w:val="Compact"/>
              <w:spacing w:after="40"/>
              <w:jc w:val="left"/>
            </w:pPr>
            <w:r>
              <w:rPr>
                <w:sz w:val="18"/>
              </w:rPr>
              <w:t xml:space="preserve">Finding rating scale</w:t>
            </w:r>
          </w:p>
        </w:tc>
        <w:tc>
          <w:tcPr>
            <w:tcW w:w="2438" w:type="dxa"/>
          </w:tcPr>
          <w:p>
            <w:pPr>
              <w:pStyle w:val="Compact"/>
              <w:spacing w:after="40"/>
              <w:jc w:val="left"/>
            </w:pPr>
            <w:r>
              <w:rPr>
                <w:sz w:val="18"/>
              </w:rPr>
              <w:t xml:space="preserve">High, Medium, Low (+ optional Critical)</w:t>
            </w:r>
          </w:p>
        </w:tc>
        <w:tc>
          <w:tcPr>
            <w:tcW w:w="1310" w:type="dxa"/>
          </w:tcPr>
          <w:p>
            <w:pPr>
              <w:pStyle w:val="Compact"/>
              <w:spacing w:after="40"/>
              <w:jc w:val="left"/>
            </w:pPr>
            <w:r>
              <w:rPr>
                <w:sz w:val="18"/>
              </w:rPr>
              <w:t xml:space="preserve">Methodology</w:t>
            </w:r>
          </w:p>
        </w:tc>
        <w:tc>
          <w:tcPr>
            <w:tcW w:w="3514" w:type="dxa"/>
          </w:tcPr>
          <w:p>
            <w:pPr>
              <w:pStyle w:val="Compact"/>
              <w:spacing w:after="40"/>
              <w:jc w:val="left"/>
            </w:pPr>
            <w:r>
              <w:rPr>
                <w:sz w:val="18"/>
              </w:rPr>
              <w:t xml:space="preserve">Choice; High and Medium pending items always go to the ACB (IAF para 37)</w:t>
            </w:r>
          </w:p>
        </w:tc>
      </w:tr>
      <w:tr>
        <w:tc>
          <w:tcPr>
            <w:tcW w:w="2376" w:type="dxa"/>
          </w:tcPr>
          <w:p>
            <w:pPr>
              <w:pStyle w:val="Compact"/>
              <w:spacing w:after="40"/>
              <w:jc w:val="left"/>
            </w:pPr>
            <w:r>
              <w:rPr>
                <w:sz w:val="18"/>
              </w:rPr>
              <w:t xml:space="preserve">Remediation due dates by rating</w:t>
            </w:r>
          </w:p>
        </w:tc>
        <w:tc>
          <w:tcPr>
            <w:tcW w:w="2438" w:type="dxa"/>
          </w:tcPr>
          <w:p>
            <w:pPr>
              <w:pStyle w:val="Compact"/>
              <w:spacing w:after="40"/>
              <w:jc w:val="left"/>
            </w:pPr>
            <w:r>
              <w:rPr>
                <w:sz w:val="18"/>
              </w:rPr>
              <w:t xml:space="preserve">15 / 30 / 90 / 180 days (AU4.3 defaults)</w:t>
            </w:r>
          </w:p>
        </w:tc>
        <w:tc>
          <w:tcPr>
            <w:tcW w:w="1310" w:type="dxa"/>
          </w:tcPr>
          <w:p>
            <w:pPr>
              <w:pStyle w:val="Compact"/>
              <w:spacing w:after="40"/>
              <w:jc w:val="left"/>
            </w:pPr>
            <w:r>
              <w:rPr>
                <w:sz w:val="18"/>
              </w:rPr>
              <w:t xml:space="preserve">Tenant</w:t>
            </w:r>
          </w:p>
        </w:tc>
        <w:tc>
          <w:tcPr>
            <w:tcW w:w="3514" w:type="dxa"/>
          </w:tcPr>
          <w:p>
            <w:pPr>
              <w:pStyle w:val="Compact"/>
              <w:spacing w:after="40"/>
              <w:jc w:val="left"/>
            </w:pPr>
            <w:r>
              <w:rPr>
                <w:sz w:val="18"/>
              </w:rPr>
              <w:t xml:space="preserve">Choice; a tighter regulatory or contractual date wins</w:t>
            </w:r>
          </w:p>
        </w:tc>
      </w:tr>
      <w:tr>
        <w:tc>
          <w:tcPr>
            <w:tcW w:w="2376" w:type="dxa"/>
          </w:tcPr>
          <w:p>
            <w:pPr>
              <w:pStyle w:val="Compact"/>
              <w:spacing w:after="40"/>
              <w:jc w:val="left"/>
            </w:pPr>
            <w:r>
              <w:rPr>
                <w:sz w:val="18"/>
              </w:rPr>
              <w:t xml:space="preserve">Management response window</w:t>
            </w:r>
          </w:p>
        </w:tc>
        <w:tc>
          <w:tcPr>
            <w:tcW w:w="2438" w:type="dxa"/>
          </w:tcPr>
          <w:p>
            <w:pPr>
              <w:pStyle w:val="Compact"/>
              <w:spacing w:after="40"/>
              <w:jc w:val="left"/>
            </w:pPr>
            <w:r>
              <w:rPr>
                <w:sz w:val="18"/>
              </w:rPr>
              <w:t xml:space="preserve">15 working days</w:t>
            </w:r>
          </w:p>
        </w:tc>
        <w:tc>
          <w:tcPr>
            <w:tcW w:w="1310" w:type="dxa"/>
          </w:tcPr>
          <w:p>
            <w:pPr>
              <w:pStyle w:val="Compact"/>
              <w:spacing w:after="40"/>
              <w:jc w:val="left"/>
            </w:pPr>
            <w:r>
              <w:rPr>
                <w:sz w:val="18"/>
              </w:rPr>
              <w:t xml:space="preserve">Tenant</w:t>
            </w:r>
          </w:p>
        </w:tc>
        <w:tc>
          <w:tcPr>
            <w:tcW w:w="3514" w:type="dxa"/>
          </w:tcPr>
          <w:p>
            <w:pPr>
              <w:pStyle w:val="Compact"/>
              <w:spacing w:after="40"/>
              <w:jc w:val="left"/>
            </w:pPr>
            <w:r>
              <w:rPr>
                <w:sz w:val="18"/>
              </w:rPr>
              <w:t xml:space="preserve">Choice</w:t>
            </w:r>
          </w:p>
        </w:tc>
      </w:tr>
      <w:tr>
        <w:tc>
          <w:tcPr>
            <w:tcW w:w="2376" w:type="dxa"/>
          </w:tcPr>
          <w:p>
            <w:pPr>
              <w:pStyle w:val="Compact"/>
              <w:spacing w:after="40"/>
              <w:jc w:val="left"/>
            </w:pPr>
            <w:r>
              <w:rPr>
                <w:sz w:val="18"/>
              </w:rPr>
              <w:t xml:space="preserve">Extensions before ACB noting (High)</w:t>
            </w:r>
          </w:p>
        </w:tc>
        <w:tc>
          <w:tcPr>
            <w:tcW w:w="2438" w:type="dxa"/>
          </w:tcPr>
          <w:p>
            <w:pPr>
              <w:pStyle w:val="Compact"/>
              <w:spacing w:after="40"/>
              <w:jc w:val="left"/>
            </w:pPr>
            <w:r>
              <w:rPr>
                <w:sz w:val="18"/>
              </w:rPr>
              <w:t xml:space="preserve">1</w:t>
            </w:r>
          </w:p>
        </w:tc>
        <w:tc>
          <w:tcPr>
            <w:tcW w:w="1310" w:type="dxa"/>
          </w:tcPr>
          <w:p>
            <w:pPr>
              <w:pStyle w:val="Compact"/>
              <w:spacing w:after="40"/>
              <w:jc w:val="left"/>
            </w:pPr>
            <w:r>
              <w:rPr>
                <w:sz w:val="18"/>
              </w:rPr>
              <w:t xml:space="preserve">Tenant</w:t>
            </w:r>
          </w:p>
        </w:tc>
        <w:tc>
          <w:tcPr>
            <w:tcW w:w="3514" w:type="dxa"/>
          </w:tcPr>
          <w:p>
            <w:pPr>
              <w:pStyle w:val="Compact"/>
              <w:spacing w:after="40"/>
              <w:jc w:val="left"/>
            </w:pPr>
            <w:r>
              <w:rPr>
                <w:sz w:val="18"/>
              </w:rPr>
              <w:t xml:space="preserve">Floor: a second High extension always needs ACB noting</w:t>
            </w:r>
          </w:p>
        </w:tc>
      </w:tr>
      <w:tr>
        <w:tc>
          <w:tcPr>
            <w:tcW w:w="2376" w:type="dxa"/>
          </w:tcPr>
          <w:p>
            <w:pPr>
              <w:pStyle w:val="Compact"/>
              <w:spacing w:after="40"/>
              <w:jc w:val="left"/>
            </w:pPr>
            <w:r>
              <w:rPr>
                <w:sz w:val="18"/>
              </w:rPr>
              <w:t xml:space="preserve">Retester independence</w:t>
            </w:r>
          </w:p>
        </w:tc>
        <w:tc>
          <w:tcPr>
            <w:tcW w:w="2438" w:type="dxa"/>
          </w:tcPr>
          <w:p>
            <w:pPr>
              <w:pStyle w:val="Compact"/>
              <w:spacing w:after="40"/>
              <w:jc w:val="left"/>
            </w:pPr>
            <w:r>
              <w:rPr>
                <w:sz w:val="18"/>
              </w:rPr>
              <w:t xml:space="preserve">Different user from remediator and owner</w:t>
            </w:r>
          </w:p>
        </w:tc>
        <w:tc>
          <w:tcPr>
            <w:tcW w:w="1310" w:type="dxa"/>
          </w:tcPr>
          <w:p>
            <w:pPr>
              <w:pStyle w:val="Compact"/>
              <w:spacing w:after="40"/>
              <w:jc w:val="left"/>
            </w:pPr>
            <w:r>
              <w:rPr>
                <w:sz w:val="18"/>
              </w:rPr>
              <w:t xml:space="preserve">Tenant</w:t>
            </w:r>
          </w:p>
        </w:tc>
        <w:tc>
          <w:tcPr>
            <w:tcW w:w="3514" w:type="dxa"/>
          </w:tcPr>
          <w:p>
            <w:pPr>
              <w:pStyle w:val="Compact"/>
              <w:spacing w:after="40"/>
              <w:jc w:val="left"/>
            </w:pPr>
            <w:r>
              <w:rPr>
                <w:sz w:val="18"/>
              </w:rPr>
              <w:t xml:space="preserve">Floor</w:t>
            </w:r>
          </w:p>
        </w:tc>
      </w:tr>
      <w:tr>
        <w:tc>
          <w:tcPr>
            <w:tcW w:w="2376" w:type="dxa"/>
          </w:tcPr>
          <w:p>
            <w:pPr>
              <w:pStyle w:val="Compact"/>
              <w:spacing w:after="40"/>
              <w:jc w:val="left"/>
            </w:pPr>
            <w:r>
              <w:rPr>
                <w:sz w:val="18"/>
              </w:rPr>
              <w:t xml:space="preserve">Risk-acceptance maximum term</w:t>
            </w:r>
          </w:p>
        </w:tc>
        <w:tc>
          <w:tcPr>
            <w:tcW w:w="2438" w:type="dxa"/>
          </w:tcPr>
          <w:p>
            <w:pPr>
              <w:pStyle w:val="Compact"/>
              <w:spacing w:after="40"/>
              <w:jc w:val="left"/>
            </w:pPr>
            <w:r>
              <w:rPr>
                <w:sz w:val="18"/>
              </w:rPr>
              <w:t xml:space="preserve">12 months</w:t>
            </w:r>
          </w:p>
        </w:tc>
        <w:tc>
          <w:tcPr>
            <w:tcW w:w="1310" w:type="dxa"/>
          </w:tcPr>
          <w:p>
            <w:pPr>
              <w:pStyle w:val="Compact"/>
              <w:spacing w:after="40"/>
              <w:jc w:val="left"/>
            </w:pPr>
            <w:r>
              <w:rPr>
                <w:sz w:val="18"/>
              </w:rPr>
              <w:t xml:space="preserve">Tenant</w:t>
            </w:r>
          </w:p>
        </w:tc>
        <w:tc>
          <w:tcPr>
            <w:tcW w:w="3514" w:type="dxa"/>
          </w:tcPr>
          <w:p>
            <w:pPr>
              <w:pStyle w:val="Compact"/>
              <w:spacing w:after="40"/>
              <w:jc w:val="left"/>
            </w:pPr>
            <w:r>
              <w:rPr>
                <w:sz w:val="18"/>
              </w:rPr>
              <w:t xml:space="preserve">Choice (≤ 12 months [REC]); regulatory-breach findings need CCO concurrence (floor)</w:t>
            </w:r>
          </w:p>
        </w:tc>
      </w:tr>
      <w:tr>
        <w:tc>
          <w:tcPr>
            <w:tcW w:w="2376" w:type="dxa"/>
          </w:tcPr>
          <w:p>
            <w:pPr>
              <w:pStyle w:val="Compact"/>
              <w:spacing w:after="40"/>
              <w:jc w:val="left"/>
            </w:pPr>
            <w:r>
              <w:rPr>
                <w:sz w:val="18"/>
              </w:rPr>
              <w:t xml:space="preserve">Repeat-finding look-back</w:t>
            </w:r>
          </w:p>
        </w:tc>
        <w:tc>
          <w:tcPr>
            <w:tcW w:w="2438" w:type="dxa"/>
          </w:tcPr>
          <w:p>
            <w:pPr>
              <w:pStyle w:val="Compact"/>
              <w:spacing w:after="40"/>
              <w:jc w:val="left"/>
            </w:pPr>
            <w:r>
              <w:rPr>
                <w:sz w:val="18"/>
              </w:rPr>
              <w:t xml:space="preserve">24 months</w:t>
            </w:r>
          </w:p>
        </w:tc>
        <w:tc>
          <w:tcPr>
            <w:tcW w:w="1310" w:type="dxa"/>
          </w:tcPr>
          <w:p>
            <w:pPr>
              <w:pStyle w:val="Compact"/>
              <w:spacing w:after="40"/>
              <w:jc w:val="left"/>
            </w:pPr>
            <w:r>
              <w:rPr>
                <w:sz w:val="18"/>
              </w:rPr>
              <w:t xml:space="preserve">Tenant</w:t>
            </w:r>
          </w:p>
        </w:tc>
        <w:tc>
          <w:tcPr>
            <w:tcW w:w="3514" w:type="dxa"/>
          </w:tcPr>
          <w:p>
            <w:pPr>
              <w:pStyle w:val="Compact"/>
              <w:spacing w:after="40"/>
              <w:jc w:val="left"/>
            </w:pPr>
            <w:r>
              <w:rPr>
                <w:sz w:val="18"/>
              </w:rPr>
              <w:t xml:space="preserve">Choice</w:t>
            </w:r>
          </w:p>
        </w:tc>
      </w:tr>
      <w:tr>
        <w:tc>
          <w:tcPr>
            <w:tcW w:w="2376" w:type="dxa"/>
          </w:tcPr>
          <w:p>
            <w:pPr>
              <w:pStyle w:val="Compact"/>
              <w:spacing w:after="40"/>
              <w:jc w:val="left"/>
            </w:pPr>
            <w:r>
              <w:rPr>
                <w:sz w:val="18"/>
              </w:rPr>
              <w:t xml:space="preserve">ATR ageing buckets</w:t>
            </w:r>
          </w:p>
        </w:tc>
        <w:tc>
          <w:tcPr>
            <w:tcW w:w="2438" w:type="dxa"/>
          </w:tcPr>
          <w:p>
            <w:pPr>
              <w:pStyle w:val="Compact"/>
              <w:spacing w:after="40"/>
              <w:jc w:val="left"/>
            </w:pPr>
            <w:r>
              <w:rPr>
                <w:sz w:val="18"/>
              </w:rPr>
              <w:t xml:space="preserve">0–30, 31–90, 91–180, &gt; 180 days</w:t>
            </w:r>
          </w:p>
        </w:tc>
        <w:tc>
          <w:tcPr>
            <w:tcW w:w="1310" w:type="dxa"/>
          </w:tcPr>
          <w:p>
            <w:pPr>
              <w:pStyle w:val="Compact"/>
              <w:spacing w:after="40"/>
              <w:jc w:val="left"/>
            </w:pPr>
            <w:r>
              <w:rPr>
                <w:sz w:val="18"/>
              </w:rPr>
              <w:t xml:space="preserve">Tenant</w:t>
            </w:r>
          </w:p>
        </w:tc>
        <w:tc>
          <w:tcPr>
            <w:tcW w:w="3514" w:type="dxa"/>
          </w:tcPr>
          <w:p>
            <w:pPr>
              <w:pStyle w:val="Compact"/>
              <w:spacing w:after="40"/>
              <w:jc w:val="left"/>
            </w:pPr>
            <w:r>
              <w:rPr>
                <w:sz w:val="18"/>
              </w:rPr>
              <w:t xml:space="preserve">Choice</w:t>
            </w:r>
          </w:p>
        </w:tc>
      </w:tr>
      <w:tr>
        <w:tc>
          <w:tcPr>
            <w:tcW w:w="2376" w:type="dxa"/>
          </w:tcPr>
          <w:p>
            <w:pPr>
              <w:pStyle w:val="Compact"/>
              <w:spacing w:after="40"/>
              <w:jc w:val="left"/>
            </w:pPr>
            <w:r>
              <w:rPr>
                <w:sz w:val="18"/>
              </w:rPr>
              <w:t xml:space="preserve">Concurrent-audit cycle and queue rules</w:t>
            </w:r>
          </w:p>
        </w:tc>
        <w:tc>
          <w:tcPr>
            <w:tcW w:w="2438" w:type="dxa"/>
          </w:tcPr>
          <w:p>
            <w:pPr>
              <w:pStyle w:val="Compact"/>
              <w:spacing w:after="40"/>
              <w:jc w:val="left"/>
            </w:pPr>
            <w:r>
              <w:rPr>
                <w:sz w:val="18"/>
              </w:rPr>
              <w:t xml:space="preserve">Monthly; rules as AU3.5</w:t>
            </w:r>
          </w:p>
        </w:tc>
        <w:tc>
          <w:tcPr>
            <w:tcW w:w="1310" w:type="dxa"/>
          </w:tcPr>
          <w:p>
            <w:pPr>
              <w:pStyle w:val="Compact"/>
              <w:spacing w:after="40"/>
              <w:jc w:val="left"/>
            </w:pPr>
            <w:r>
              <w:rPr>
                <w:sz w:val="18"/>
              </w:rPr>
              <w:t xml:space="preserve">Unit</w:t>
            </w:r>
          </w:p>
        </w:tc>
        <w:tc>
          <w:tcPr>
            <w:tcW w:w="3514" w:type="dxa"/>
          </w:tcPr>
          <w:p>
            <w:pPr>
              <w:pStyle w:val="Compact"/>
              <w:spacing w:after="40"/>
              <w:jc w:val="left"/>
            </w:pPr>
            <w:r>
              <w:rPr>
                <w:sz w:val="18"/>
              </w:rPr>
              <w:t xml:space="preserve">Choice until</w:t>
            </w:r>
            <w:r>
              <w:rPr>
                <w:sz w:val="18"/>
              </w:rPr>
              <w:t xml:space="preserve"> </w:t>
            </w:r>
            <w:r>
              <w:rPr>
                <w:rStyle w:val="VerbatimChar"/>
                <w:sz w:val="18"/>
              </w:rPr>
              <w:t xml:space="preserve">CB-CA</w:t>
            </w:r>
            <w:r>
              <w:rPr>
                <w:sz w:val="18"/>
              </w:rPr>
              <w:t xml:space="preserve"> </w:t>
            </w:r>
            <w:r>
              <w:rPr>
                <w:sz w:val="18"/>
              </w:rPr>
              <w:t xml:space="preserve">parameters are verified</w:t>
            </w:r>
          </w:p>
        </w:tc>
      </w:tr>
    </w:tbl>
    <w:bookmarkEnd w:id="360"/>
    <w:bookmarkStart w:id="361" w:name="menu-and-screens-2"/>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30"/>
        <w:gridCol w:w="3029"/>
        <w:gridCol w:w="2996"/>
        <w:gridCol w:w="2183"/>
      </w:tblGrid>
      <w:tr>
        <w:trPr>
          <w:tblHeader w:val="true"/>
          <w:tblHeader w:val="true"/>
        </w:trPr>
        <w:tc>
          <w:tcPr>
            <w:tcW w:w="1430" w:type="dxa"/>
            <w:shd w:val="clear" w:color="auto" w:fill="1F3A5F"/>
          </w:tcPr>
          <w:p>
            <w:pPr>
              <w:pStyle w:val="Compact"/>
              <w:spacing w:after="40"/>
              <w:jc w:val="left"/>
            </w:pPr>
            <w:r>
              <w:rPr>
                <w:b/>
                <w:color w:val="FFFFFF"/>
                <w:sz w:val="18"/>
              </w:rPr>
              <w:t xml:space="preserve">Path (workspace L)</w:t>
            </w:r>
          </w:p>
        </w:tc>
        <w:tc>
          <w:tcPr>
            <w:tcW w:w="3029" w:type="dxa"/>
            <w:shd w:val="clear" w:color="auto" w:fill="1F3A5F"/>
          </w:tcPr>
          <w:p>
            <w:pPr>
              <w:pStyle w:val="Compact"/>
              <w:spacing w:after="40"/>
              <w:jc w:val="left"/>
            </w:pPr>
            <w:r>
              <w:rPr>
                <w:b/>
                <w:color w:val="FFFFFF"/>
                <w:sz w:val="18"/>
              </w:rPr>
              <w:t xml:space="preserve">Screens</w:t>
            </w:r>
          </w:p>
        </w:tc>
        <w:tc>
          <w:tcPr>
            <w:tcW w:w="2996" w:type="dxa"/>
            <w:shd w:val="clear" w:color="auto" w:fill="1F3A5F"/>
          </w:tcPr>
          <w:p>
            <w:pPr>
              <w:pStyle w:val="Compact"/>
              <w:spacing w:after="40"/>
              <w:jc w:val="left"/>
            </w:pPr>
            <w:r>
              <w:rPr>
                <w:b/>
                <w:color w:val="FFFFFF"/>
                <w:sz w:val="18"/>
              </w:rPr>
              <w:t xml:space="preserve">Key actions and rules</w:t>
            </w:r>
          </w:p>
        </w:tc>
        <w:tc>
          <w:tcPr>
            <w:tcW w:w="2183" w:type="dxa"/>
            <w:shd w:val="clear" w:color="auto" w:fill="1F3A5F"/>
          </w:tcPr>
          <w:p>
            <w:pPr>
              <w:pStyle w:val="Compact"/>
              <w:spacing w:after="40"/>
              <w:jc w:val="left"/>
            </w:pPr>
            <w:r>
              <w:rPr>
                <w:b/>
                <w:color w:val="FFFFFF"/>
                <w:sz w:val="18"/>
              </w:rPr>
              <w:t xml:space="preserve">Visible to</w:t>
            </w:r>
          </w:p>
        </w:tc>
      </w:tr>
      <w:tr>
        <w:tc>
          <w:tcPr>
            <w:tcW w:w="1430" w:type="dxa"/>
          </w:tcPr>
          <w:p>
            <w:pPr>
              <w:pStyle w:val="Compact"/>
              <w:spacing w:after="40"/>
              <w:jc w:val="left"/>
            </w:pPr>
            <w:r>
              <w:rPr>
                <w:rStyle w:val="VerbatimChar"/>
                <w:sz w:val="18"/>
              </w:rPr>
              <w:t xml:space="preserve">Audit › Findings</w:t>
            </w:r>
          </w:p>
        </w:tc>
        <w:tc>
          <w:tcPr>
            <w:tcW w:w="3029" w:type="dxa"/>
          </w:tcPr>
          <w:p>
            <w:pPr>
              <w:pStyle w:val="Compact"/>
              <w:spacing w:after="40"/>
              <w:jc w:val="left"/>
            </w:pPr>
            <w:r>
              <w:rPr>
                <w:sz w:val="18"/>
              </w:rPr>
              <w:t xml:space="preserve">List (saved views: My open, Overdue, High and Critical, Repeat, Regulatory breach); finding detail with timeline, actions, evidence, retest</w:t>
            </w:r>
          </w:p>
        </w:tc>
        <w:tc>
          <w:tcPr>
            <w:tcW w:w="2996" w:type="dxa"/>
          </w:tcPr>
          <w:p>
            <w:pPr>
              <w:pStyle w:val="Compact"/>
              <w:spacing w:after="40"/>
              <w:jc w:val="left"/>
            </w:pPr>
            <w:r>
              <w:rPr>
                <w:sz w:val="18"/>
              </w:rPr>
              <w:t xml:space="preserve">Raise; issue; record response; agree actions; request extension; submit closure pack; assign retest; accept risk; bulk reminders; export</w:t>
            </w:r>
          </w:p>
        </w:tc>
        <w:tc>
          <w:tcPr>
            <w:tcW w:w="2183" w:type="dxa"/>
          </w:tcPr>
          <w:p>
            <w:pPr>
              <w:pStyle w:val="Compact"/>
              <w:spacing w:after="40"/>
              <w:jc w:val="left"/>
            </w:pPr>
            <w:r>
              <w:rPr>
                <w:sz w:val="18"/>
              </w:rPr>
              <w:t xml:space="preserve">IA; finding owners see their findings and actions only; ACB members read</w:t>
            </w:r>
          </w:p>
        </w:tc>
      </w:tr>
      <w:tr>
        <w:tc>
          <w:tcPr>
            <w:tcW w:w="1430" w:type="dxa"/>
          </w:tcPr>
          <w:p>
            <w:pPr>
              <w:pStyle w:val="Compact"/>
              <w:spacing w:after="40"/>
              <w:jc w:val="left"/>
            </w:pPr>
            <w:r>
              <w:rPr>
                <w:rStyle w:val="VerbatimChar"/>
                <w:sz w:val="18"/>
              </w:rPr>
              <w:t xml:space="preserve">Audit › Findings › Retest queue</w:t>
            </w:r>
          </w:p>
        </w:tc>
        <w:tc>
          <w:tcPr>
            <w:tcW w:w="3029" w:type="dxa"/>
          </w:tcPr>
          <w:p>
            <w:pPr>
              <w:pStyle w:val="Compact"/>
              <w:spacing w:after="40"/>
              <w:jc w:val="left"/>
            </w:pPr>
            <w:r>
              <w:rPr>
                <w:sz w:val="18"/>
              </w:rPr>
              <w:t xml:space="preserve">Packs awaiting retest, with SLA</w:t>
            </w:r>
          </w:p>
        </w:tc>
        <w:tc>
          <w:tcPr>
            <w:tcW w:w="2996" w:type="dxa"/>
          </w:tcPr>
          <w:p>
            <w:pPr>
              <w:pStyle w:val="Compact"/>
              <w:spacing w:after="40"/>
              <w:jc w:val="left"/>
            </w:pPr>
            <w:r>
              <w:rPr>
                <w:sz w:val="18"/>
              </w:rPr>
              <w:t xml:space="preserve">Pick up, request more evidence, pass, fail</w:t>
            </w:r>
          </w:p>
        </w:tc>
        <w:tc>
          <w:tcPr>
            <w:tcW w:w="2183" w:type="dxa"/>
          </w:tcPr>
          <w:p>
            <w:pPr>
              <w:pStyle w:val="Compact"/>
              <w:spacing w:after="40"/>
              <w:jc w:val="left"/>
            </w:pPr>
            <w:r>
              <w:rPr>
                <w:sz w:val="18"/>
              </w:rPr>
              <w:t xml:space="preserve">Retesters (never the remediator)</w:t>
            </w:r>
          </w:p>
        </w:tc>
      </w:tr>
      <w:tr>
        <w:tc>
          <w:tcPr>
            <w:tcW w:w="1430" w:type="dxa"/>
          </w:tcPr>
          <w:p>
            <w:pPr>
              <w:pStyle w:val="Compact"/>
              <w:spacing w:after="40"/>
              <w:jc w:val="left"/>
            </w:pPr>
            <w:r>
              <w:rPr>
                <w:rStyle w:val="VerbatimChar"/>
                <w:sz w:val="18"/>
              </w:rPr>
              <w:t xml:space="preserve">Audit › ATR</w:t>
            </w:r>
          </w:p>
        </w:tc>
        <w:tc>
          <w:tcPr>
            <w:tcW w:w="3029" w:type="dxa"/>
          </w:tcPr>
          <w:p>
            <w:pPr>
              <w:pStyle w:val="Compact"/>
              <w:spacing w:after="40"/>
              <w:jc w:val="left"/>
            </w:pPr>
            <w:r>
              <w:rPr>
                <w:sz w:val="18"/>
              </w:rPr>
              <w:t xml:space="preserve">ATR register by source; ACB pack builder; comparison with previous pack</w:t>
            </w:r>
          </w:p>
        </w:tc>
        <w:tc>
          <w:tcPr>
            <w:tcW w:w="2996" w:type="dxa"/>
          </w:tcPr>
          <w:p>
            <w:pPr>
              <w:pStyle w:val="Compact"/>
              <w:spacing w:after="40"/>
              <w:jc w:val="left"/>
            </w:pPr>
            <w:r>
              <w:rPr>
                <w:sz w:val="18"/>
              </w:rPr>
              <w:t xml:space="preserve">Generate pack; freeze with hash; mark</w:t>
            </w:r>
            <w:r>
              <w:rPr>
                <w:sz w:val="18"/>
              </w:rPr>
              <w:t xml:space="preserve"> </w:t>
            </w:r>
            <w:r>
              <w:rPr>
                <w:sz w:val="18"/>
              </w:rPr>
              <w:t xml:space="preserve">“</w:t>
            </w:r>
            <w:r>
              <w:rPr>
                <w:sz w:val="18"/>
              </w:rPr>
              <w:t xml:space="preserve">management-closed, unvalidated</w:t>
            </w:r>
            <w:r>
              <w:rPr>
                <w:sz w:val="18"/>
              </w:rPr>
              <w:t xml:space="preserve">”</w:t>
            </w:r>
          </w:p>
        </w:tc>
        <w:tc>
          <w:tcPr>
            <w:tcW w:w="2183" w:type="dxa"/>
          </w:tcPr>
          <w:p>
            <w:pPr>
              <w:pStyle w:val="Compact"/>
              <w:spacing w:after="40"/>
              <w:jc w:val="left"/>
            </w:pPr>
            <w:r>
              <w:rPr>
                <w:sz w:val="18"/>
              </w:rPr>
              <w:t xml:space="preserve">HIA, CS; ACB read</w:t>
            </w:r>
          </w:p>
        </w:tc>
      </w:tr>
      <w:tr>
        <w:tc>
          <w:tcPr>
            <w:tcW w:w="1430" w:type="dxa"/>
          </w:tcPr>
          <w:p>
            <w:pPr>
              <w:pStyle w:val="Compact"/>
              <w:spacing w:after="40"/>
              <w:jc w:val="left"/>
            </w:pPr>
            <w:r>
              <w:rPr>
                <w:rStyle w:val="VerbatimChar"/>
                <w:sz w:val="18"/>
              </w:rPr>
              <w:t xml:space="preserve">Audit › HIA and QAIP</w:t>
            </w:r>
          </w:p>
        </w:tc>
        <w:tc>
          <w:tcPr>
            <w:tcW w:w="3029" w:type="dxa"/>
          </w:tcPr>
          <w:p>
            <w:pPr>
              <w:pStyle w:val="Compact"/>
              <w:spacing w:after="40"/>
              <w:jc w:val="left"/>
            </w:pPr>
            <w:r>
              <w:rPr>
                <w:sz w:val="18"/>
              </w:rPr>
              <w:t xml:space="preserve">HIA register; in-camera meeting tracker; QAIP checklist</w:t>
            </w:r>
          </w:p>
        </w:tc>
        <w:tc>
          <w:tcPr>
            <w:tcW w:w="2996" w:type="dxa"/>
          </w:tcPr>
          <w:p>
            <w:pPr>
              <w:pStyle w:val="Compact"/>
              <w:spacing w:after="40"/>
              <w:jc w:val="left"/>
            </w:pPr>
            <w:r>
              <w:rPr>
                <w:sz w:val="18"/>
              </w:rPr>
              <w:t xml:space="preserve">Record meeting with minute reference; run QAIP; actions to ACB</w:t>
            </w:r>
          </w:p>
        </w:tc>
        <w:tc>
          <w:tcPr>
            <w:tcW w:w="2183" w:type="dxa"/>
          </w:tcPr>
          <w:p>
            <w:pPr>
              <w:pStyle w:val="Compact"/>
              <w:spacing w:after="40"/>
              <w:jc w:val="left"/>
            </w:pPr>
            <w:r>
              <w:rPr>
                <w:sz w:val="18"/>
              </w:rPr>
              <w:t xml:space="preserve">HIA, CS, ACB chair</w:t>
            </w:r>
          </w:p>
        </w:tc>
      </w:tr>
      <w:tr>
        <w:tc>
          <w:tcPr>
            <w:tcW w:w="1430" w:type="dxa"/>
          </w:tcPr>
          <w:p>
            <w:pPr>
              <w:pStyle w:val="Compact"/>
              <w:spacing w:after="40"/>
              <w:jc w:val="left"/>
            </w:pPr>
            <w:r>
              <w:rPr>
                <w:rStyle w:val="VerbatimChar"/>
                <w:sz w:val="18"/>
              </w:rPr>
              <w:t xml:space="preserve">Audit › Concurrent</w:t>
            </w:r>
          </w:p>
        </w:tc>
        <w:tc>
          <w:tcPr>
            <w:tcW w:w="3029" w:type="dxa"/>
          </w:tcPr>
          <w:p>
            <w:pPr>
              <w:pStyle w:val="Compact"/>
              <w:spacing w:after="40"/>
              <w:jc w:val="left"/>
            </w:pPr>
            <w:r>
              <w:rPr>
                <w:sz w:val="18"/>
              </w:rPr>
              <w:t xml:space="preserve">Unit queue (daily), monthly report</w:t>
            </w:r>
          </w:p>
        </w:tc>
        <w:tc>
          <w:tcPr>
            <w:tcW w:w="2996" w:type="dxa"/>
          </w:tcPr>
          <w:p>
            <w:pPr>
              <w:pStyle w:val="Compact"/>
              <w:spacing w:after="40"/>
              <w:jc w:val="left"/>
            </w:pPr>
            <w:r>
              <w:rPr>
                <w:sz w:val="18"/>
              </w:rPr>
              <w:t xml:space="preserve">Mark</w:t>
            </w:r>
            <w:r>
              <w:rPr>
                <w:sz w:val="18"/>
              </w:rPr>
              <w:t xml:space="preserve"> </w:t>
            </w:r>
            <w:r>
              <w:rPr>
                <w:sz w:val="18"/>
              </w:rPr>
              <w:t xml:space="preserve">“</w:t>
            </w:r>
            <w:r>
              <w:rPr>
                <w:sz w:val="18"/>
              </w:rPr>
              <w:t xml:space="preserve">reviewed — no exception</w:t>
            </w:r>
            <w:r>
              <w:rPr>
                <w:sz w:val="18"/>
              </w:rPr>
              <w:t xml:space="preserve">”</w:t>
            </w:r>
            <w:r>
              <w:rPr>
                <w:sz w:val="18"/>
              </w:rPr>
              <w:t xml:space="preserve"> </w:t>
            </w:r>
            <w:r>
              <w:rPr>
                <w:sz w:val="18"/>
              </w:rPr>
              <w:t xml:space="preserve">(keyboard shortcut) or raise finding; bulk clear low-value items with sampling note</w:t>
            </w:r>
          </w:p>
        </w:tc>
        <w:tc>
          <w:tcPr>
            <w:tcW w:w="2183" w:type="dxa"/>
          </w:tcPr>
          <w:p>
            <w:pPr>
              <w:pStyle w:val="Compact"/>
              <w:spacing w:after="40"/>
              <w:jc w:val="left"/>
            </w:pPr>
            <w:r>
              <w:rPr>
                <w:sz w:val="18"/>
              </w:rPr>
              <w:t xml:space="preserve">Concurrent auditors</w:t>
            </w:r>
          </w:p>
        </w:tc>
      </w:tr>
    </w:tbl>
    <w:p>
      <w:pPr>
        <w:pStyle w:val="BodyText"/>
      </w:pPr>
      <w:r>
        <w:t xml:space="preserve">Notifications: owners get in-app and e-mail reminders at T−7 and T−1 and daily when overdue; the HIA gets a weekly digest; empty states explain the next step (</w:t>
      </w:r>
      <w:r>
        <w:t xml:space="preserve">“</w:t>
      </w:r>
      <w:r>
        <w:t xml:space="preserve">No open findings — closed findings are under the Closed view</w:t>
      </w:r>
      <w:r>
        <w:t xml:space="preserve">”</w:t>
      </w:r>
      <w:r>
        <w:t xml:space="preserve">).</w:t>
      </w:r>
    </w:p>
    <w:bookmarkEnd w:id="361"/>
    <w:bookmarkStart w:id="362" w:name="acceptance-tests-21"/>
    <w:p>
      <w:pPr>
        <w:pStyle w:val="Heading3"/>
      </w:pPr>
      <w:r>
        <w:t xml:space="preserve">Acceptance tests</w:t>
      </w:r>
    </w:p>
    <w:p>
      <w:pPr>
        <w:numPr>
          <w:ilvl w:val="0"/>
          <w:numId w:val="1361"/>
        </w:numPr>
        <w:pStyle w:val="Compact"/>
      </w:pPr>
      <w:r>
        <w:t xml:space="preserve">Assigning a business target or a business reporting line to the HIA user is rejected with the IAF para 43 citation; an external expert cannot sign a report.</w:t>
      </w:r>
    </w:p>
    <w:p>
      <w:pPr>
        <w:numPr>
          <w:ilvl w:val="0"/>
          <w:numId w:val="1361"/>
        </w:numPr>
        <w:pStyle w:val="Compact"/>
      </w:pPr>
      <w:r>
        <w:t xml:space="preserve">A quarter passes without a minuted ACB–HIA in-camera meeting (where required): exception raised to CS and ACB chair on day 1 of the next quarter.</w:t>
      </w:r>
    </w:p>
    <w:p>
      <w:pPr>
        <w:numPr>
          <w:ilvl w:val="0"/>
          <w:numId w:val="1361"/>
        </w:numPr>
        <w:pStyle w:val="Compact"/>
      </w:pPr>
      <w:r>
        <w:t xml:space="preserve">A High finding with two extensions without ACB noting cannot be extended a third time; the ATR pack shows it as overdue.</w:t>
      </w:r>
    </w:p>
    <w:p>
      <w:pPr>
        <w:numPr>
          <w:ilvl w:val="0"/>
          <w:numId w:val="1361"/>
        </w:numPr>
        <w:pStyle w:val="Compact"/>
      </w:pPr>
      <w:r>
        <w:t xml:space="preserve">Closing a finding without retest evidence by a different user is rejected;</w:t>
      </w:r>
      <w:r>
        <w:t xml:space="preserve"> </w:t>
      </w:r>
      <w:r>
        <w:rPr>
          <w:rStyle w:val="VerbatimChar"/>
        </w:rPr>
        <w:t xml:space="preserve">AuditFindingClosed</w:t>
      </w:r>
      <w:r>
        <w:t xml:space="preserve"> </w:t>
      </w:r>
      <w:r>
        <w:t xml:space="preserve">is not emitted.</w:t>
      </w:r>
    </w:p>
    <w:p>
      <w:pPr>
        <w:numPr>
          <w:ilvl w:val="0"/>
          <w:numId w:val="1361"/>
        </w:numPr>
        <w:pStyle w:val="Compact"/>
      </w:pPr>
      <w:r>
        <w:t xml:space="preserve">A closure pack missing evidence for one action item cannot be submitted; a failed retest moves the finding to</w:t>
      </w:r>
      <w:r>
        <w:t xml:space="preserve"> </w:t>
      </w:r>
      <w:r>
        <w:rPr>
          <w:rStyle w:val="VerbatimChar"/>
        </w:rPr>
        <w:t xml:space="preserve">REOPENED</w:t>
      </w:r>
      <w:r>
        <w:t xml:space="preserve">, increments the repeat counter and sets a new due date no later than the rating SLA.</w:t>
      </w:r>
    </w:p>
    <w:p>
      <w:pPr>
        <w:numPr>
          <w:ilvl w:val="0"/>
          <w:numId w:val="1361"/>
        </w:numPr>
        <w:pStyle w:val="Compact"/>
      </w:pPr>
      <w:r>
        <w:t xml:space="preserve">Changing the rating of an issued finding creates version 2 and re-emits</w:t>
      </w:r>
      <w:r>
        <w:t xml:space="preserve"> </w:t>
      </w:r>
      <w:r>
        <w:rPr>
          <w:rStyle w:val="VerbatimChar"/>
        </w:rPr>
        <w:t xml:space="preserve">AuditFindingRaised</w:t>
      </w:r>
      <w:r>
        <w:t xml:space="preserve"> </w:t>
      </w:r>
      <w:r>
        <w:t xml:space="preserve">with version 2; a risk acceptance reaching expiry without renewal returns the finding to</w:t>
      </w:r>
      <w:r>
        <w:t xml:space="preserve"> </w:t>
      </w:r>
      <w:r>
        <w:rPr>
          <w:rStyle w:val="VerbatimChar"/>
        </w:rPr>
        <w:t xml:space="preserve">IN_REMEDIATION</w:t>
      </w:r>
      <w:r>
        <w:t xml:space="preserve">.</w:t>
      </w:r>
    </w:p>
    <w:p>
      <w:pPr>
        <w:numPr>
          <w:ilvl w:val="0"/>
          <w:numId w:val="1361"/>
        </w:numPr>
        <w:pStyle w:val="Compact"/>
      </w:pPr>
      <w:r>
        <w:t xml:space="preserve">The quarterly related-party engagement is created automatically each quarter with the loan population and flags a seeded loan above ₹5 crore (ML tenant) sanctioned by the ACB.</w:t>
      </w:r>
    </w:p>
    <w:p>
      <w:pPr>
        <w:numPr>
          <w:ilvl w:val="0"/>
          <w:numId w:val="1361"/>
        </w:numPr>
        <w:pStyle w:val="Compact"/>
      </w:pPr>
      <w:r>
        <w:t xml:space="preserve">A concurrent-audit firm proposed as statutory auditor is blocked with the SA para 18 citation.</w:t>
      </w:r>
    </w:p>
    <w:p>
      <w:r>
        <w:pict>
          <v:rect style="width:0;height:1.5pt" o:hralign="center" o:hrstd="t" o:hr="t"/>
        </w:pict>
      </w:r>
    </w:p>
    <w:bookmarkEnd w:id="362"/>
    <w:bookmarkEnd w:id="363"/>
    <w:bookmarkStart w:id="370" w:name="au4.-is-audit-it-audit-and-vapt-tracking"/>
    <w:p>
      <w:pPr>
        <w:pStyle w:val="Heading2"/>
      </w:pPr>
      <w:r>
        <w:t xml:space="preserve">AU4. IS audit, IT audit and VAPT tracking</w:t>
      </w:r>
    </w:p>
    <w:bookmarkStart w:id="364" w:name="X36305e7805f6c262ff350fe9b57fb0089779a69"/>
    <w:p>
      <w:pPr>
        <w:pStyle w:val="Heading3"/>
      </w:pPr>
      <w:r>
        <w:t xml:space="preserve">AU4.1 IS audit (CYB paras 47–58 for BL ≥ ₹500 crore; 149–154 for ML and above)</w:t>
      </w:r>
    </w:p>
    <w:p>
      <w:pPr>
        <w:numPr>
          <w:ilvl w:val="0"/>
          <w:numId w:val="1362"/>
        </w:numPr>
        <w:pStyle w:val="Compact"/>
      </w:pPr>
      <w:r>
        <w:rPr>
          <w:bCs/>
          <w:b/>
        </w:rPr>
        <w:t xml:space="preserve">Framework and policy.</w:t>
      </w:r>
      <w:r>
        <w:t xml:space="preserve"> </w:t>
      </w:r>
      <w:r>
        <w:t xml:space="preserve">BL ≥ ₹500 crore: IS audit forms an integral part of internal audit (CYB para 48) under an ACB-approved framework (para 49), with ACB members able to understand IS audit (para 50) and findings to the Board/ACB (para 51). ML+: ACB oversight (para 149), IS Audit Policy stating mandate, universe, periodicity and reporting (para 150, reviewed annually), ACB review of critical IT/IS issues (para 151), a separate IS audit function or resources with requisite skills (para 152), risk-based planning (para 153) and continuous auditing where possible (para 154).</w:t>
      </w:r>
    </w:p>
    <w:p>
      <w:pPr>
        <w:numPr>
          <w:ilvl w:val="0"/>
          <w:numId w:val="1362"/>
        </w:numPr>
        <w:pStyle w:val="Compact"/>
      </w:pPr>
      <w:r>
        <w:rPr>
          <w:bCs/>
          <w:b/>
        </w:rPr>
        <w:t xml:space="preserve">Scope library.</w:t>
      </w:r>
      <w:r>
        <w:t xml:space="preserve"> </w:t>
      </w:r>
      <w:r>
        <w:t xml:space="preserve">Policy and oversight (para 52), BCP and DR (53), legal and regulatory compliance (54), plus CYB control families: SoD and parameter changes (21(2)–(3)), maker-checker (21(6)), audit trails (109–111), change and patch (41–42, 112), MFA (115–116), cryptography (118), STP (119–120), VA/PT (121–126), DR (127–138), incidents (139–147), data migration (99), vendor obligations (104–106).</w:t>
      </w:r>
    </w:p>
    <w:p>
      <w:pPr>
        <w:numPr>
          <w:ilvl w:val="0"/>
          <w:numId w:val="1362"/>
        </w:numPr>
        <w:pStyle w:val="Compact"/>
      </w:pPr>
      <w:r>
        <w:rPr>
          <w:bCs/>
          <w:b/>
        </w:rPr>
        <w:t xml:space="preserve">Resourcing.</w:t>
      </w:r>
      <w:r>
        <w:t xml:space="preserve"> </w:t>
      </w:r>
      <w:r>
        <w:t xml:space="preserve">Internal team; external IS auditors only where internal skills are lacking (para 55) — the system records the reason and ACB approval. External IS auditors use the AU7 audit-mode workspace.</w:t>
      </w:r>
    </w:p>
    <w:p>
      <w:pPr>
        <w:numPr>
          <w:ilvl w:val="0"/>
          <w:numId w:val="1362"/>
        </w:numPr>
        <w:pStyle w:val="Compact"/>
      </w:pPr>
      <w:r>
        <w:rPr>
          <w:bCs/>
          <w:b/>
        </w:rPr>
        <w:t xml:space="preserve">Timing.</w:t>
      </w:r>
      <w:r>
        <w:t xml:space="preserve"> </w:t>
      </w:r>
      <w:r>
        <w:t xml:space="preserve">Annual at least, and</w:t>
      </w:r>
      <w:r>
        <w:t xml:space="preserve"> </w:t>
      </w:r>
      <w:r>
        <w:rPr>
          <w:bCs/>
          <w:b/>
        </w:rPr>
        <w:t xml:space="preserve">preferably before the statutory audit</w:t>
      </w:r>
      <w:r>
        <w:t xml:space="preserve"> </w:t>
      </w:r>
      <w:r>
        <w:t xml:space="preserve">so reports are available to statutory auditors (para 56). The planner warns if the IS audit report date falls after the statutory audit fieldwork start in AU5.</w:t>
      </w:r>
    </w:p>
    <w:p>
      <w:pPr>
        <w:numPr>
          <w:ilvl w:val="0"/>
          <w:numId w:val="1362"/>
        </w:numPr>
        <w:pStyle w:val="Compact"/>
      </w:pPr>
      <w:r>
        <w:rPr>
          <w:bCs/>
          <w:b/>
        </w:rPr>
        <w:t xml:space="preserve">Compliance.</w:t>
      </w:r>
      <w:r>
        <w:t xml:space="preserve"> </w:t>
      </w:r>
      <w:r>
        <w:t xml:space="preserve">Management responsibility, owners, timelines and authority for accepting compliance are recorded per finding (para 57); findings flow through AU3.2 and AU3.3.</w:t>
      </w:r>
    </w:p>
    <w:p>
      <w:pPr>
        <w:numPr>
          <w:ilvl w:val="0"/>
          <w:numId w:val="1362"/>
        </w:numPr>
        <w:pStyle w:val="Compact"/>
      </w:pPr>
      <w:r>
        <w:rPr>
          <w:bCs/>
          <w:b/>
        </w:rPr>
        <w:t xml:space="preserve">CAATs.</w:t>
      </w:r>
      <w:r>
        <w:t xml:space="preserve"> </w:t>
      </w:r>
      <w:r>
        <w:t xml:space="preserve">Full-population IT tests (para 58): orphan and dormant accounts, privileged-access usage outside change windows, SoD conflicts, configuration drift versus approved baseline, failed-login spikes, audit-trail gaps.</w:t>
      </w:r>
    </w:p>
    <w:p>
      <w:pPr>
        <w:numPr>
          <w:ilvl w:val="0"/>
          <w:numId w:val="1362"/>
        </w:numPr>
        <w:pStyle w:val="Compact"/>
      </w:pPr>
      <w:r>
        <w:rPr>
          <w:bCs/>
          <w:b/>
        </w:rPr>
        <w:t xml:space="preserve">Continuous auditing (para 154).</w:t>
      </w:r>
      <w:r>
        <w:t xml:space="preserve"> </w:t>
      </w:r>
      <w:r>
        <w:t xml:space="preserve">Scheduled analytics run daily or weekly and post exceptions to the IS audit queue; each run is a</w:t>
      </w:r>
      <w:r>
        <w:t xml:space="preserve"> </w:t>
      </w:r>
      <w:r>
        <w:rPr>
          <w:rStyle w:val="VerbatimChar"/>
        </w:rPr>
        <w:t xml:space="preserve">ControlTestResultPublished</w:t>
      </w:r>
      <w:r>
        <w:t xml:space="preserve"> </w:t>
      </w:r>
      <w:r>
        <w:t xml:space="preserve">event.</w:t>
      </w:r>
    </w:p>
    <w:bookmarkEnd w:id="364"/>
    <w:bookmarkStart w:id="365" w:name="X49647527d84304ee4d8ca7b99a320e553d692c8"/>
    <w:p>
      <w:pPr>
        <w:pStyle w:val="Heading3"/>
      </w:pPr>
      <w:r>
        <w:t xml:space="preserve">AU4.2 IT audit (IT general controls for financial reporting)</w:t>
      </w:r>
    </w:p>
    <w:p>
      <w:pPr>
        <w:numPr>
          <w:ilvl w:val="0"/>
          <w:numId w:val="1363"/>
        </w:numPr>
        <w:pStyle w:val="Compact"/>
      </w:pPr>
      <w:r>
        <w:rPr>
          <w:bCs/>
          <w:b/>
        </w:rPr>
        <w:t xml:space="preserve">Purpose.</w:t>
      </w:r>
      <w:r>
        <w:t xml:space="preserve"> </w:t>
      </w:r>
      <w:r>
        <w:t xml:space="preserve">Supports the statutory auditor’s understanding of the IT environment and controls (SA 315), reporting on internal financial controls over financial reporting where applicable (CA13 s.143(3)(i); ICAI Guidance Note on Audit of Internal Financial Controls [VERIFY: edition]), and the audit-trail reporting under Rule 11(g) (Part 7C AC7).</w:t>
      </w:r>
    </w:p>
    <w:p>
      <w:pPr>
        <w:numPr>
          <w:ilvl w:val="0"/>
          <w:numId w:val="1363"/>
        </w:numPr>
        <w:pStyle w:val="Compact"/>
      </w:pPr>
      <w:r>
        <w:rPr>
          <w:bCs/>
          <w:b/>
        </w:rPr>
        <w:t xml:space="preserve">ITGC library.</w:t>
      </w:r>
      <w:r>
        <w:t xml:space="preserve"> </w:t>
      </w:r>
      <w:r>
        <w:t xml:space="preserve">Access to programs and data (user provisioning, periodic access review, privileged access), program change (approval, testing, segregation of developers from production, emergency changes), computer operations (job scheduling, backup and restore, incident handling), program development (SDLC). Each control has design description, owner, frequency, test steps, population query and evidence pattern.</w:t>
      </w:r>
    </w:p>
    <w:p>
      <w:pPr>
        <w:numPr>
          <w:ilvl w:val="0"/>
          <w:numId w:val="1363"/>
        </w:numPr>
        <w:pStyle w:val="Compact"/>
      </w:pPr>
      <w:r>
        <w:rPr>
          <w:bCs/>
          <w:b/>
        </w:rPr>
        <w:t xml:space="preserve">Finbyx-side evidence.</w:t>
      </w:r>
      <w:r>
        <w:t xml:space="preserve"> </w:t>
      </w:r>
      <w:r>
        <w:t xml:space="preserve">Because Finbyx is the tenant’s system of record, Finbyx provides evidence of its own controls: release and change records from Part 7L EO1–EO2, backup and restore tests (EO3), access reviews, SOC 1 Type 2 report for SA 402 service-organisation reliance and SOC 2 report or bridge letter, each only once issued (OUT para 79; Part 7L EO4.2, EO5), and audit-trail configuration snapshots (AC7). The tenant’s auditors retrieve these through the AU7 workspace; Finbyx never asserts compliance on the tenant’s behalf.</w:t>
      </w:r>
    </w:p>
    <w:p>
      <w:pPr>
        <w:numPr>
          <w:ilvl w:val="0"/>
          <w:numId w:val="1363"/>
        </w:numPr>
        <w:pStyle w:val="Compact"/>
      </w:pPr>
      <w:r>
        <w:rPr>
          <w:bCs/>
          <w:b/>
        </w:rPr>
        <w:t xml:space="preserve">Key reports:</w:t>
      </w:r>
      <w:r>
        <w:t xml:space="preserve"> </w:t>
      </w:r>
      <w:r>
        <w:t xml:space="preserve">user roles with SoD conflicts; access-review completion; change log; configuration changes to rates, charges, BRE rules and GL mappings; audit-trail capture-gap report; backup and restore log with India location.</w:t>
      </w:r>
    </w:p>
    <w:bookmarkEnd w:id="365"/>
    <w:bookmarkStart w:id="366" w:name="au4.3-vapt-tracking"/>
    <w:p>
      <w:pPr>
        <w:pStyle w:val="Heading3"/>
      </w:pPr>
      <w:r>
        <w:t xml:space="preserve">AU4.3 VAPT tracking</w:t>
      </w:r>
    </w:p>
    <w:p>
      <w:pPr>
        <w:numPr>
          <w:ilvl w:val="0"/>
          <w:numId w:val="1364"/>
        </w:numPr>
        <w:pStyle w:val="Compact"/>
      </w:pPr>
      <w:r>
        <w:rPr>
          <w:bCs/>
          <w:b/>
        </w:rPr>
        <w:t xml:space="preserve">Cadence (ML and above, critical and DMZ systems).</w:t>
      </w:r>
      <w:r>
        <w:t xml:space="preserve"> </w:t>
      </w:r>
      <w:r>
        <w:t xml:space="preserve">VA at least once every 6 months and PT at least once every 12 months, plus before and after implementation of new systems or major changes (CYB paras 121–122, 124); risk-based for non-critical systems (para 123); performed by trained, independent professionals (para 122).</w:t>
      </w:r>
    </w:p>
    <w:p>
      <w:pPr>
        <w:numPr>
          <w:ilvl w:val="0"/>
          <w:numId w:val="1364"/>
        </w:numPr>
        <w:pStyle w:val="Compact"/>
      </w:pPr>
      <w:r>
        <w:rPr>
          <w:bCs/>
          <w:b/>
        </w:rPr>
        <w:t xml:space="preserve">Tracker.</w:t>
      </w:r>
      <w:r>
        <w:t xml:space="preserve"> </w:t>
      </w:r>
      <w:r>
        <w:rPr>
          <w:rStyle w:val="VerbatimChar"/>
        </w:rPr>
        <w:t xml:space="preserve">vapt_engagement</w:t>
      </w:r>
      <w:r>
        <w:t xml:space="preserve"> </w:t>
      </w:r>
      <w:r>
        <w:t xml:space="preserve">(scope assets from the CYB asset inventory, tester, independence declaration, dates, methodology, report hash) and</w:t>
      </w:r>
      <w:r>
        <w:t xml:space="preserve"> </w:t>
      </w:r>
      <w:r>
        <w:rPr>
          <w:rStyle w:val="VerbatimChar"/>
        </w:rPr>
        <w:t xml:space="preserve">vulnerability_finding</w:t>
      </w:r>
      <w:r>
        <w:t xml:space="preserve"> </w:t>
      </w:r>
      <w:r>
        <w:t xml:space="preserve">(CVE/CWE, CVSS base and environmental score including cloud context — para 126, asset, severity, first seen, due date by severity SLA, fix evidence, retest result, recurrence flag).</w:t>
      </w:r>
    </w:p>
    <w:p>
      <w:pPr>
        <w:numPr>
          <w:ilvl w:val="0"/>
          <w:numId w:val="1364"/>
        </w:numPr>
        <w:pStyle w:val="Compact"/>
      </w:pPr>
      <w:r>
        <w:rPr>
          <w:bCs/>
          <w:b/>
        </w:rPr>
        <w:t xml:space="preserve">SLAs (tenant policy; defaults [REC]).</w:t>
      </w:r>
      <w:r>
        <w:t xml:space="preserve"> </w:t>
      </w:r>
      <w:r>
        <w:t xml:space="preserve">Tenant-side vulnerabilities and audit findings: Critical 15 days, High 30 days, Medium 90 days, Low 180 days. Platform vulnerabilities in Finbyx product code and infrastructure (</w:t>
      </w:r>
      <w:r>
        <w:rPr>
          <w:rStyle w:val="VerbatimChar"/>
        </w:rPr>
        <w:t xml:space="preserve">provider_vapt</w:t>
      </w:r>
      <w:r>
        <w:t xml:space="preserve"> </w:t>
      </w:r>
      <w:r>
        <w:t xml:space="preserve">items) follow Part 7L EO1.6 (critical or actively exploited 72 hours, High 7 days, Medium 30 days, Low 90 days). Where both apply, the stricter date wins. Severity bands from CVSS (environmental where scored): Critical ≥ 9.0 or CISA KEV-listed, High 7.0–8.9, Medium 4.0–6.9, Low &lt; 4.0. A recurring CVE on the same asset after closure is a High-rated audit finding (para 125</w:t>
      </w:r>
      <w:r>
        <w:t xml:space="preserve"> </w:t>
      </w:r>
      <w:r>
        <w:t xml:space="preserve">“</w:t>
      </w:r>
      <w:r>
        <w:t xml:space="preserve">time-bound fixes … to avoid recurrence</w:t>
      </w:r>
      <w:r>
        <w:t xml:space="preserve">”</w:t>
      </w:r>
      <w:r>
        <w:t xml:space="preserve">).</w:t>
      </w:r>
    </w:p>
    <w:p>
      <w:pPr>
        <w:numPr>
          <w:ilvl w:val="0"/>
          <w:numId w:val="1364"/>
        </w:numPr>
        <w:pStyle w:val="Compact"/>
      </w:pPr>
      <w:r>
        <w:rPr>
          <w:bCs/>
          <w:b/>
        </w:rPr>
        <w:t xml:space="preserve">Due-date engine.</w:t>
      </w:r>
      <w:r>
        <w:t xml:space="preserve"> </w:t>
      </w:r>
      <w:r>
        <w:t xml:space="preserve">Next VA = last VA end + 6 months; next PT = last PT end + 12 months; a major change (Part 7L EO2 change record with</w:t>
      </w:r>
      <w:r>
        <w:t xml:space="preserve"> </w:t>
      </w:r>
      <w:r>
        <w:rPr>
          <w:rStyle w:val="VerbatimChar"/>
        </w:rPr>
        <w:t xml:space="preserve">requires_vapt = true</w:t>
      </w:r>
      <w:r>
        <w:t xml:space="preserve">) creates a pre-production VAPT task that blocks the production release until the test or a documented risk acceptance exists.</w:t>
      </w:r>
    </w:p>
    <w:p>
      <w:pPr>
        <w:numPr>
          <w:ilvl w:val="0"/>
          <w:numId w:val="1364"/>
        </w:numPr>
        <w:pStyle w:val="Compact"/>
      </w:pPr>
      <w:r>
        <w:rPr>
          <w:bCs/>
          <w:b/>
        </w:rPr>
        <w:t xml:space="preserve">Finbyx’s own VAPT.</w:t>
      </w:r>
      <w:r>
        <w:t xml:space="preserve"> </w:t>
      </w:r>
      <w:r>
        <w:t xml:space="preserve">Reports and remediation status for the hosted platform are shared with tenants under Part 10.6 item 5 and appear read-only in each tenant’s tracker as</w:t>
      </w:r>
      <w:r>
        <w:t xml:space="preserve"> </w:t>
      </w:r>
      <w:r>
        <w:rPr>
          <w:rStyle w:val="VerbatimChar"/>
        </w:rPr>
        <w:t xml:space="preserve">provider_vapt</w:t>
      </w:r>
      <w:r>
        <w:t xml:space="preserve"> </w:t>
      </w:r>
      <w:r>
        <w:t xml:space="preserve">items. Tenant-commissioned tests of the Finbyx platform follow the Finbyx testing-notice process (Part 7L EO4).</w:t>
      </w:r>
    </w:p>
    <w:p>
      <w:pPr>
        <w:numPr>
          <w:ilvl w:val="0"/>
          <w:numId w:val="1364"/>
        </w:numPr>
        <w:pStyle w:val="Compact"/>
      </w:pPr>
      <w:r>
        <w:rPr>
          <w:bCs/>
          <w:b/>
        </w:rPr>
        <w:t xml:space="preserve">Dashboards:</w:t>
      </w:r>
      <w:r>
        <w:t xml:space="preserve"> </w:t>
      </w:r>
      <w:r>
        <w:t xml:space="preserve">open vulnerabilities by severity and age, SLA breaches, overdue VA/PT → ITSC dashboard (Part 7E RK8) and R56.</w:t>
      </w:r>
    </w:p>
    <w:bookmarkEnd w:id="366"/>
    <w:bookmarkStart w:id="367" w:name="settings-and-options-3"/>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26"/>
        <w:gridCol w:w="2355"/>
        <w:gridCol w:w="1706"/>
        <w:gridCol w:w="3051"/>
      </w:tblGrid>
      <w:tr>
        <w:trPr>
          <w:tblHeader w:val="true"/>
          <w:tblHeader w:val="true"/>
        </w:trPr>
        <w:tc>
          <w:tcPr>
            <w:tcW w:w="2526" w:type="dxa"/>
            <w:shd w:val="clear" w:color="auto" w:fill="1F3A5F"/>
          </w:tcPr>
          <w:p>
            <w:pPr>
              <w:pStyle w:val="Compact"/>
              <w:spacing w:after="40"/>
              <w:jc w:val="left"/>
            </w:pPr>
            <w:r>
              <w:rPr>
                <w:b/>
                <w:color w:val="FFFFFF"/>
                <w:sz w:val="18"/>
              </w:rPr>
              <w:t xml:space="preserve">Setting</w:t>
            </w:r>
          </w:p>
        </w:tc>
        <w:tc>
          <w:tcPr>
            <w:tcW w:w="2355" w:type="dxa"/>
            <w:shd w:val="clear" w:color="auto" w:fill="1F3A5F"/>
          </w:tcPr>
          <w:p>
            <w:pPr>
              <w:pStyle w:val="Compact"/>
              <w:spacing w:after="40"/>
              <w:jc w:val="left"/>
            </w:pPr>
            <w:r>
              <w:rPr>
                <w:b/>
                <w:color w:val="FFFFFF"/>
                <w:sz w:val="18"/>
              </w:rPr>
              <w:t xml:space="preserve">Default</w:t>
            </w:r>
          </w:p>
        </w:tc>
        <w:tc>
          <w:tcPr>
            <w:tcW w:w="1706" w:type="dxa"/>
            <w:shd w:val="clear" w:color="auto" w:fill="1F3A5F"/>
          </w:tcPr>
          <w:p>
            <w:pPr>
              <w:pStyle w:val="Compact"/>
              <w:spacing w:after="40"/>
              <w:jc w:val="left"/>
            </w:pPr>
            <w:r>
              <w:rPr>
                <w:b/>
                <w:color w:val="FFFFFF"/>
                <w:sz w:val="18"/>
              </w:rPr>
              <w:t xml:space="preserve">Level</w:t>
            </w:r>
          </w:p>
        </w:tc>
        <w:tc>
          <w:tcPr>
            <w:tcW w:w="3051" w:type="dxa"/>
            <w:shd w:val="clear" w:color="auto" w:fill="1F3A5F"/>
          </w:tcPr>
          <w:p>
            <w:pPr>
              <w:pStyle w:val="Compact"/>
              <w:spacing w:after="40"/>
              <w:jc w:val="left"/>
            </w:pPr>
            <w:r>
              <w:rPr>
                <w:b/>
                <w:color w:val="FFFFFF"/>
                <w:sz w:val="18"/>
              </w:rPr>
              <w:t xml:space="preserve">Floor or choice</w:t>
            </w:r>
          </w:p>
        </w:tc>
      </w:tr>
      <w:tr>
        <w:tc>
          <w:tcPr>
            <w:tcW w:w="2526" w:type="dxa"/>
          </w:tcPr>
          <w:p>
            <w:pPr>
              <w:pStyle w:val="Compact"/>
              <w:spacing w:after="40"/>
              <w:jc w:val="left"/>
            </w:pPr>
            <w:r>
              <w:rPr>
                <w:sz w:val="18"/>
              </w:rPr>
              <w:t xml:space="preserve">VA and PT cadence for critical and DMZ systems</w:t>
            </w:r>
          </w:p>
        </w:tc>
        <w:tc>
          <w:tcPr>
            <w:tcW w:w="2355" w:type="dxa"/>
          </w:tcPr>
          <w:p>
            <w:pPr>
              <w:pStyle w:val="Compact"/>
              <w:spacing w:after="40"/>
              <w:jc w:val="left"/>
            </w:pPr>
            <w:r>
              <w:rPr>
                <w:sz w:val="18"/>
              </w:rPr>
              <w:t xml:space="preserve">6 and 12 months</w:t>
            </w:r>
          </w:p>
        </w:tc>
        <w:tc>
          <w:tcPr>
            <w:tcW w:w="1706" w:type="dxa"/>
          </w:tcPr>
          <w:p>
            <w:pPr>
              <w:pStyle w:val="Compact"/>
              <w:spacing w:after="40"/>
              <w:jc w:val="left"/>
            </w:pPr>
            <w:r>
              <w:rPr>
                <w:sz w:val="18"/>
              </w:rPr>
              <w:t xml:space="preserve">Tenant (ML and above)</w:t>
            </w:r>
          </w:p>
        </w:tc>
        <w:tc>
          <w:tcPr>
            <w:tcW w:w="3051" w:type="dxa"/>
          </w:tcPr>
          <w:p>
            <w:pPr>
              <w:pStyle w:val="Compact"/>
              <w:spacing w:after="40"/>
              <w:jc w:val="left"/>
            </w:pPr>
            <w:r>
              <w:rPr>
                <w:sz w:val="18"/>
              </w:rPr>
              <w:t xml:space="preserve">Floor (CYB para 121); BL and CIC tenants may set their own (choice)</w:t>
            </w:r>
          </w:p>
        </w:tc>
      </w:tr>
      <w:tr>
        <w:tc>
          <w:tcPr>
            <w:tcW w:w="2526" w:type="dxa"/>
          </w:tcPr>
          <w:p>
            <w:pPr>
              <w:pStyle w:val="Compact"/>
              <w:spacing w:after="40"/>
              <w:jc w:val="left"/>
            </w:pPr>
            <w:r>
              <w:rPr>
                <w:sz w:val="18"/>
              </w:rPr>
              <w:t xml:space="preserve">Non-critical systems cadence</w:t>
            </w:r>
          </w:p>
        </w:tc>
        <w:tc>
          <w:tcPr>
            <w:tcW w:w="2355" w:type="dxa"/>
          </w:tcPr>
          <w:p>
            <w:pPr>
              <w:pStyle w:val="Compact"/>
              <w:spacing w:after="40"/>
              <w:jc w:val="left"/>
            </w:pPr>
            <w:r>
              <w:rPr>
                <w:sz w:val="18"/>
              </w:rPr>
              <w:t xml:space="preserve">Risk-based, 12 months VA [REC]</w:t>
            </w:r>
          </w:p>
        </w:tc>
        <w:tc>
          <w:tcPr>
            <w:tcW w:w="1706" w:type="dxa"/>
          </w:tcPr>
          <w:p>
            <w:pPr>
              <w:pStyle w:val="Compact"/>
              <w:spacing w:after="40"/>
              <w:jc w:val="left"/>
            </w:pPr>
            <w:r>
              <w:rPr>
                <w:sz w:val="18"/>
              </w:rPr>
              <w:t xml:space="preserve">Tenant</w:t>
            </w:r>
          </w:p>
        </w:tc>
        <w:tc>
          <w:tcPr>
            <w:tcW w:w="3051" w:type="dxa"/>
          </w:tcPr>
          <w:p>
            <w:pPr>
              <w:pStyle w:val="Compact"/>
              <w:spacing w:after="40"/>
              <w:jc w:val="left"/>
            </w:pPr>
            <w:r>
              <w:rPr>
                <w:sz w:val="18"/>
              </w:rPr>
              <w:t xml:space="preserve">Choice (CYB para 123)</w:t>
            </w:r>
          </w:p>
        </w:tc>
      </w:tr>
      <w:tr>
        <w:tc>
          <w:tcPr>
            <w:tcW w:w="2526" w:type="dxa"/>
          </w:tcPr>
          <w:p>
            <w:pPr>
              <w:pStyle w:val="Compact"/>
              <w:spacing w:after="40"/>
              <w:jc w:val="left"/>
            </w:pPr>
            <w:r>
              <w:rPr>
                <w:sz w:val="18"/>
              </w:rPr>
              <w:t xml:space="preserve">Vulnerability SLAs</w:t>
            </w:r>
          </w:p>
        </w:tc>
        <w:tc>
          <w:tcPr>
            <w:tcW w:w="2355" w:type="dxa"/>
          </w:tcPr>
          <w:p>
            <w:pPr>
              <w:pStyle w:val="Compact"/>
              <w:spacing w:after="40"/>
              <w:jc w:val="left"/>
            </w:pPr>
            <w:r>
              <w:rPr>
                <w:sz w:val="18"/>
              </w:rPr>
              <w:t xml:space="preserve">AU4.3 defaults; EO1.6 for platform items</w:t>
            </w:r>
          </w:p>
        </w:tc>
        <w:tc>
          <w:tcPr>
            <w:tcW w:w="1706" w:type="dxa"/>
          </w:tcPr>
          <w:p>
            <w:pPr>
              <w:pStyle w:val="Compact"/>
              <w:spacing w:after="40"/>
              <w:jc w:val="left"/>
            </w:pPr>
            <w:r>
              <w:rPr>
                <w:sz w:val="18"/>
              </w:rPr>
              <w:t xml:space="preserve">Tenant</w:t>
            </w:r>
          </w:p>
        </w:tc>
        <w:tc>
          <w:tcPr>
            <w:tcW w:w="3051" w:type="dxa"/>
          </w:tcPr>
          <w:p>
            <w:pPr>
              <w:pStyle w:val="Compact"/>
              <w:spacing w:after="40"/>
              <w:jc w:val="left"/>
            </w:pPr>
            <w:r>
              <w:rPr>
                <w:sz w:val="18"/>
              </w:rPr>
              <w:t xml:space="preserve">Choice; stricter wins</w:t>
            </w:r>
          </w:p>
        </w:tc>
      </w:tr>
      <w:tr>
        <w:tc>
          <w:tcPr>
            <w:tcW w:w="2526" w:type="dxa"/>
          </w:tcPr>
          <w:p>
            <w:pPr>
              <w:pStyle w:val="Compact"/>
              <w:spacing w:after="40"/>
              <w:jc w:val="left"/>
            </w:pPr>
            <w:r>
              <w:rPr>
                <w:rStyle w:val="VerbatimChar"/>
                <w:sz w:val="18"/>
              </w:rPr>
              <w:t xml:space="preserve">requires_vapt</w:t>
            </w:r>
            <w:r>
              <w:rPr>
                <w:sz w:val="18"/>
              </w:rPr>
              <w:t xml:space="preserve"> </w:t>
            </w:r>
            <w:r>
              <w:rPr>
                <w:sz w:val="18"/>
              </w:rPr>
              <w:t xml:space="preserve">release gate</w:t>
            </w:r>
          </w:p>
        </w:tc>
        <w:tc>
          <w:tcPr>
            <w:tcW w:w="2355" w:type="dxa"/>
          </w:tcPr>
          <w:p>
            <w:pPr>
              <w:pStyle w:val="Compact"/>
              <w:spacing w:after="40"/>
              <w:jc w:val="left"/>
            </w:pPr>
            <w:r>
              <w:rPr>
                <w:sz w:val="18"/>
              </w:rPr>
              <w:t xml:space="preserve">On for major changes</w:t>
            </w:r>
          </w:p>
        </w:tc>
        <w:tc>
          <w:tcPr>
            <w:tcW w:w="1706" w:type="dxa"/>
          </w:tcPr>
          <w:p>
            <w:pPr>
              <w:pStyle w:val="Compact"/>
              <w:spacing w:after="40"/>
              <w:jc w:val="left"/>
            </w:pPr>
            <w:r>
              <w:rPr>
                <w:sz w:val="18"/>
              </w:rPr>
              <w:t xml:space="preserve">Tenant</w:t>
            </w:r>
          </w:p>
        </w:tc>
        <w:tc>
          <w:tcPr>
            <w:tcW w:w="3051" w:type="dxa"/>
          </w:tcPr>
          <w:p>
            <w:pPr>
              <w:pStyle w:val="Compact"/>
              <w:spacing w:after="40"/>
              <w:jc w:val="left"/>
            </w:pPr>
            <w:r>
              <w:rPr>
                <w:sz w:val="18"/>
              </w:rPr>
              <w:t xml:space="preserve">Floor for critical systems (CYB paras 121, 124)</w:t>
            </w:r>
          </w:p>
        </w:tc>
      </w:tr>
      <w:tr>
        <w:tc>
          <w:tcPr>
            <w:tcW w:w="2526" w:type="dxa"/>
          </w:tcPr>
          <w:p>
            <w:pPr>
              <w:pStyle w:val="Compact"/>
              <w:spacing w:after="40"/>
              <w:jc w:val="left"/>
            </w:pPr>
            <w:r>
              <w:rPr>
                <w:sz w:val="18"/>
              </w:rPr>
              <w:t xml:space="preserve">IS audit timing warning</w:t>
            </w:r>
          </w:p>
        </w:tc>
        <w:tc>
          <w:tcPr>
            <w:tcW w:w="2355" w:type="dxa"/>
          </w:tcPr>
          <w:p>
            <w:pPr>
              <w:pStyle w:val="Compact"/>
              <w:spacing w:after="40"/>
              <w:jc w:val="left"/>
            </w:pPr>
            <w:r>
              <w:rPr>
                <w:sz w:val="18"/>
              </w:rPr>
              <w:t xml:space="preserve">Report before statutory fieldwork</w:t>
            </w:r>
          </w:p>
        </w:tc>
        <w:tc>
          <w:tcPr>
            <w:tcW w:w="1706" w:type="dxa"/>
          </w:tcPr>
          <w:p>
            <w:pPr>
              <w:pStyle w:val="Compact"/>
              <w:spacing w:after="40"/>
              <w:jc w:val="left"/>
            </w:pPr>
            <w:r>
              <w:rPr>
                <w:sz w:val="18"/>
              </w:rPr>
              <w:t xml:space="preserve">Tenant</w:t>
            </w:r>
          </w:p>
        </w:tc>
        <w:tc>
          <w:tcPr>
            <w:tcW w:w="3051" w:type="dxa"/>
          </w:tcPr>
          <w:p>
            <w:pPr>
              <w:pStyle w:val="Compact"/>
              <w:spacing w:after="40"/>
              <w:jc w:val="left"/>
            </w:pPr>
            <w:r>
              <w:rPr>
                <w:sz w:val="18"/>
              </w:rPr>
              <w:t xml:space="preserve">Warning only (CYB para 56</w:t>
            </w:r>
            <w:r>
              <w:rPr>
                <w:sz w:val="18"/>
              </w:rPr>
              <w:t xml:space="preserve"> </w:t>
            </w:r>
            <w:r>
              <w:rPr>
                <w:sz w:val="18"/>
              </w:rPr>
              <w:t xml:space="preserve">“</w:t>
            </w:r>
            <w:r>
              <w:rPr>
                <w:sz w:val="18"/>
              </w:rPr>
              <w:t xml:space="preserve">preferably</w:t>
            </w:r>
            <w:r>
              <w:rPr>
                <w:sz w:val="18"/>
              </w:rPr>
              <w:t xml:space="preserve">”</w:t>
            </w:r>
            <w:r>
              <w:rPr>
                <w:sz w:val="18"/>
              </w:rPr>
              <w:t xml:space="preserve">)</w:t>
            </w:r>
          </w:p>
        </w:tc>
      </w:tr>
      <w:tr>
        <w:tc>
          <w:tcPr>
            <w:tcW w:w="2526" w:type="dxa"/>
          </w:tcPr>
          <w:p>
            <w:pPr>
              <w:pStyle w:val="Compact"/>
              <w:spacing w:after="40"/>
              <w:jc w:val="left"/>
            </w:pPr>
            <w:r>
              <w:rPr>
                <w:sz w:val="18"/>
              </w:rPr>
              <w:t xml:space="preserve">Continuous-audit job schedule</w:t>
            </w:r>
          </w:p>
        </w:tc>
        <w:tc>
          <w:tcPr>
            <w:tcW w:w="2355" w:type="dxa"/>
          </w:tcPr>
          <w:p>
            <w:pPr>
              <w:pStyle w:val="Compact"/>
              <w:spacing w:after="40"/>
              <w:jc w:val="left"/>
            </w:pPr>
            <w:r>
              <w:rPr>
                <w:sz w:val="18"/>
              </w:rPr>
              <w:t xml:space="preserve">Daily for access and configuration tests</w:t>
            </w:r>
          </w:p>
        </w:tc>
        <w:tc>
          <w:tcPr>
            <w:tcW w:w="1706" w:type="dxa"/>
          </w:tcPr>
          <w:p>
            <w:pPr>
              <w:pStyle w:val="Compact"/>
              <w:spacing w:after="40"/>
              <w:jc w:val="left"/>
            </w:pPr>
            <w:r>
              <w:rPr>
                <w:sz w:val="18"/>
              </w:rPr>
              <w:t xml:space="preserve">Tenant</w:t>
            </w:r>
          </w:p>
        </w:tc>
        <w:tc>
          <w:tcPr>
            <w:tcW w:w="3051" w:type="dxa"/>
          </w:tcPr>
          <w:p>
            <w:pPr>
              <w:pStyle w:val="Compact"/>
              <w:spacing w:after="40"/>
              <w:jc w:val="left"/>
            </w:pPr>
            <w:r>
              <w:rPr>
                <w:sz w:val="18"/>
              </w:rPr>
              <w:t xml:space="preserve">Choice</w:t>
            </w:r>
          </w:p>
        </w:tc>
      </w:tr>
    </w:tbl>
    <w:bookmarkEnd w:id="367"/>
    <w:bookmarkStart w:id="368" w:name="menu-and-screens-3"/>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98"/>
        <w:gridCol w:w="3280"/>
        <w:gridCol w:w="3223"/>
        <w:gridCol w:w="1837"/>
      </w:tblGrid>
      <w:tr>
        <w:trPr>
          <w:tblHeader w:val="true"/>
          <w:tblHeader w:val="true"/>
        </w:trPr>
        <w:tc>
          <w:tcPr>
            <w:tcW w:w="1298" w:type="dxa"/>
            <w:shd w:val="clear" w:color="auto" w:fill="1F3A5F"/>
          </w:tcPr>
          <w:p>
            <w:pPr>
              <w:pStyle w:val="Compact"/>
              <w:spacing w:after="40"/>
              <w:jc w:val="left"/>
            </w:pPr>
            <w:r>
              <w:rPr>
                <w:b/>
                <w:color w:val="FFFFFF"/>
                <w:sz w:val="18"/>
              </w:rPr>
              <w:t xml:space="preserve">Path (workspace L)</w:t>
            </w:r>
          </w:p>
        </w:tc>
        <w:tc>
          <w:tcPr>
            <w:tcW w:w="3280" w:type="dxa"/>
            <w:shd w:val="clear" w:color="auto" w:fill="1F3A5F"/>
          </w:tcPr>
          <w:p>
            <w:pPr>
              <w:pStyle w:val="Compact"/>
              <w:spacing w:after="40"/>
              <w:jc w:val="left"/>
            </w:pPr>
            <w:r>
              <w:rPr>
                <w:b/>
                <w:color w:val="FFFFFF"/>
                <w:sz w:val="18"/>
              </w:rPr>
              <w:t xml:space="preserve">Screens</w:t>
            </w:r>
          </w:p>
        </w:tc>
        <w:tc>
          <w:tcPr>
            <w:tcW w:w="3223" w:type="dxa"/>
            <w:shd w:val="clear" w:color="auto" w:fill="1F3A5F"/>
          </w:tcPr>
          <w:p>
            <w:pPr>
              <w:pStyle w:val="Compact"/>
              <w:spacing w:after="40"/>
              <w:jc w:val="left"/>
            </w:pPr>
            <w:r>
              <w:rPr>
                <w:b/>
                <w:color w:val="FFFFFF"/>
                <w:sz w:val="18"/>
              </w:rPr>
              <w:t xml:space="preserve">Key actions and rules</w:t>
            </w:r>
          </w:p>
        </w:tc>
        <w:tc>
          <w:tcPr>
            <w:tcW w:w="1837" w:type="dxa"/>
            <w:shd w:val="clear" w:color="auto" w:fill="1F3A5F"/>
          </w:tcPr>
          <w:p>
            <w:pPr>
              <w:pStyle w:val="Compact"/>
              <w:spacing w:after="40"/>
              <w:jc w:val="left"/>
            </w:pPr>
            <w:r>
              <w:rPr>
                <w:b/>
                <w:color w:val="FFFFFF"/>
                <w:sz w:val="18"/>
              </w:rPr>
              <w:t xml:space="preserve">Visible to</w:t>
            </w:r>
          </w:p>
        </w:tc>
      </w:tr>
      <w:tr>
        <w:tc>
          <w:tcPr>
            <w:tcW w:w="1298" w:type="dxa"/>
          </w:tcPr>
          <w:p>
            <w:pPr>
              <w:pStyle w:val="Compact"/>
              <w:spacing w:after="40"/>
              <w:jc w:val="left"/>
            </w:pPr>
            <w:r>
              <w:rPr>
                <w:rStyle w:val="VerbatimChar"/>
                <w:sz w:val="18"/>
              </w:rPr>
              <w:t xml:space="preserve">Audit › IS audit</w:t>
            </w:r>
          </w:p>
        </w:tc>
        <w:tc>
          <w:tcPr>
            <w:tcW w:w="3280" w:type="dxa"/>
          </w:tcPr>
          <w:p>
            <w:pPr>
              <w:pStyle w:val="Compact"/>
              <w:spacing w:after="40"/>
              <w:jc w:val="left"/>
            </w:pPr>
            <w:r>
              <w:rPr>
                <w:sz w:val="18"/>
              </w:rPr>
              <w:t xml:space="preserve">Scope library by CYB family; IS audit plan; continuous-audit exceptions</w:t>
            </w:r>
          </w:p>
        </w:tc>
        <w:tc>
          <w:tcPr>
            <w:tcW w:w="3223" w:type="dxa"/>
          </w:tcPr>
          <w:p>
            <w:pPr>
              <w:pStyle w:val="Compact"/>
              <w:spacing w:after="40"/>
              <w:jc w:val="left"/>
            </w:pPr>
            <w:r>
              <w:rPr>
                <w:sz w:val="18"/>
              </w:rPr>
              <w:t xml:space="preserve">Plan from scope library; run CAATs; raise findings</w:t>
            </w:r>
          </w:p>
        </w:tc>
        <w:tc>
          <w:tcPr>
            <w:tcW w:w="1837" w:type="dxa"/>
          </w:tcPr>
          <w:p>
            <w:pPr>
              <w:pStyle w:val="Compact"/>
              <w:spacing w:after="40"/>
              <w:jc w:val="left"/>
            </w:pPr>
            <w:r>
              <w:rPr>
                <w:sz w:val="18"/>
              </w:rPr>
              <w:t xml:space="preserve">IS auditors, HIA, CISO (read)</w:t>
            </w:r>
          </w:p>
        </w:tc>
      </w:tr>
      <w:tr>
        <w:tc>
          <w:tcPr>
            <w:tcW w:w="1298" w:type="dxa"/>
          </w:tcPr>
          <w:p>
            <w:pPr>
              <w:pStyle w:val="Compact"/>
              <w:spacing w:after="40"/>
              <w:jc w:val="left"/>
            </w:pPr>
            <w:r>
              <w:rPr>
                <w:rStyle w:val="VerbatimChar"/>
                <w:sz w:val="18"/>
              </w:rPr>
              <w:t xml:space="preserve">Audit › ITGC</w:t>
            </w:r>
          </w:p>
        </w:tc>
        <w:tc>
          <w:tcPr>
            <w:tcW w:w="3280" w:type="dxa"/>
          </w:tcPr>
          <w:p>
            <w:pPr>
              <w:pStyle w:val="Compact"/>
              <w:spacing w:after="40"/>
              <w:jc w:val="left"/>
            </w:pPr>
            <w:r>
              <w:rPr>
                <w:sz w:val="18"/>
              </w:rPr>
              <w:t xml:space="preserve">Control library; test calendar; provider-evidence shelf</w:t>
            </w:r>
          </w:p>
        </w:tc>
        <w:tc>
          <w:tcPr>
            <w:tcW w:w="3223" w:type="dxa"/>
          </w:tcPr>
          <w:p>
            <w:pPr>
              <w:pStyle w:val="Compact"/>
              <w:spacing w:after="40"/>
              <w:jc w:val="left"/>
            </w:pPr>
            <w:r>
              <w:rPr>
                <w:sz w:val="18"/>
              </w:rPr>
              <w:t xml:space="preserve">Test control; request provider evidence; record result</w:t>
            </w:r>
          </w:p>
        </w:tc>
        <w:tc>
          <w:tcPr>
            <w:tcW w:w="1837" w:type="dxa"/>
          </w:tcPr>
          <w:p>
            <w:pPr>
              <w:pStyle w:val="Compact"/>
              <w:spacing w:after="40"/>
              <w:jc w:val="left"/>
            </w:pPr>
            <w:r>
              <w:rPr>
                <w:sz w:val="18"/>
              </w:rPr>
              <w:t xml:space="preserve">IA, statutory auditors through AU7</w:t>
            </w:r>
          </w:p>
        </w:tc>
      </w:tr>
      <w:tr>
        <w:tc>
          <w:tcPr>
            <w:tcW w:w="1298" w:type="dxa"/>
          </w:tcPr>
          <w:p>
            <w:pPr>
              <w:pStyle w:val="Compact"/>
              <w:spacing w:after="40"/>
              <w:jc w:val="left"/>
            </w:pPr>
            <w:r>
              <w:rPr>
                <w:rStyle w:val="VerbatimChar"/>
                <w:sz w:val="18"/>
              </w:rPr>
              <w:t xml:space="preserve">Audit › VAPT</w:t>
            </w:r>
          </w:p>
        </w:tc>
        <w:tc>
          <w:tcPr>
            <w:tcW w:w="3280" w:type="dxa"/>
          </w:tcPr>
          <w:p>
            <w:pPr>
              <w:pStyle w:val="Compact"/>
              <w:spacing w:after="40"/>
              <w:jc w:val="left"/>
            </w:pPr>
            <w:r>
              <w:rPr>
                <w:sz w:val="18"/>
              </w:rPr>
              <w:t xml:space="preserve">VAPT engagements; vulnerability list (filters: severity, asset, SLA status, recurring, provider); due-date calendar</w:t>
            </w:r>
          </w:p>
        </w:tc>
        <w:tc>
          <w:tcPr>
            <w:tcW w:w="3223" w:type="dxa"/>
          </w:tcPr>
          <w:p>
            <w:pPr>
              <w:pStyle w:val="Compact"/>
              <w:spacing w:after="40"/>
              <w:jc w:val="left"/>
            </w:pPr>
            <w:r>
              <w:rPr>
                <w:sz w:val="18"/>
              </w:rPr>
              <w:t xml:space="preserve">Import scanner or tester report (CSV, SARIF or XML); bulk assign owner; request retest; accept risk with expiry</w:t>
            </w:r>
          </w:p>
        </w:tc>
        <w:tc>
          <w:tcPr>
            <w:tcW w:w="1837" w:type="dxa"/>
          </w:tcPr>
          <w:p>
            <w:pPr>
              <w:pStyle w:val="Compact"/>
              <w:spacing w:after="40"/>
              <w:jc w:val="left"/>
            </w:pPr>
            <w:r>
              <w:rPr>
                <w:sz w:val="18"/>
              </w:rPr>
              <w:t xml:space="preserve">CISO office, IA, ITSC members (read)</w:t>
            </w:r>
          </w:p>
        </w:tc>
      </w:tr>
    </w:tbl>
    <w:bookmarkEnd w:id="368"/>
    <w:bookmarkStart w:id="369" w:name="acceptance-tests-22"/>
    <w:p>
      <w:pPr>
        <w:pStyle w:val="Heading3"/>
      </w:pPr>
      <w:r>
        <w:t xml:space="preserve">Acceptance tests</w:t>
      </w:r>
    </w:p>
    <w:p>
      <w:pPr>
        <w:numPr>
          <w:ilvl w:val="0"/>
          <w:numId w:val="1365"/>
        </w:numPr>
        <w:pStyle w:val="Compact"/>
      </w:pPr>
      <w:r>
        <w:t xml:space="preserve">For an ML tenant, a critical system whose last VA ended 6 months and 1 day ago shows</w:t>
      </w:r>
      <w:r>
        <w:t xml:space="preserve"> </w:t>
      </w:r>
      <w:r>
        <w:t xml:space="preserve">“</w:t>
      </w:r>
      <w:r>
        <w:t xml:space="preserve">VA overdue</w:t>
      </w:r>
      <w:r>
        <w:t xml:space="preserve">”</w:t>
      </w:r>
      <w:r>
        <w:t xml:space="preserve"> </w:t>
      </w:r>
      <w:r>
        <w:t xml:space="preserve">and raises an exception to the CISO and ITSC dashboard.</w:t>
      </w:r>
    </w:p>
    <w:p>
      <w:pPr>
        <w:numPr>
          <w:ilvl w:val="0"/>
          <w:numId w:val="1365"/>
        </w:numPr>
        <w:pStyle w:val="Compact"/>
      </w:pPr>
      <w:r>
        <w:t xml:space="preserve">A production release flagged</w:t>
      </w:r>
      <w:r>
        <w:t xml:space="preserve"> </w:t>
      </w:r>
      <w:r>
        <w:rPr>
          <w:rStyle w:val="VerbatimChar"/>
        </w:rPr>
        <w:t xml:space="preserve">requires_vapt</w:t>
      </w:r>
      <w:r>
        <w:t xml:space="preserve"> </w:t>
      </w:r>
      <w:r>
        <w:t xml:space="preserve">cannot be deployed without a linked post-implementation test or a signed risk acceptance.</w:t>
      </w:r>
    </w:p>
    <w:p>
      <w:pPr>
        <w:numPr>
          <w:ilvl w:val="0"/>
          <w:numId w:val="1365"/>
        </w:numPr>
        <w:pStyle w:val="Compact"/>
      </w:pPr>
      <w:r>
        <w:t xml:space="preserve">A vulnerability closed and later re-detected on the same asset is flagged as recurring and creates a High finding.</w:t>
      </w:r>
    </w:p>
    <w:p>
      <w:pPr>
        <w:numPr>
          <w:ilvl w:val="0"/>
          <w:numId w:val="1365"/>
        </w:numPr>
        <w:pStyle w:val="Compact"/>
      </w:pPr>
      <w:r>
        <w:t xml:space="preserve">A critical</w:t>
      </w:r>
      <w:r>
        <w:t xml:space="preserve"> </w:t>
      </w:r>
      <w:r>
        <w:rPr>
          <w:rStyle w:val="VerbatimChar"/>
        </w:rPr>
        <w:t xml:space="preserve">provider_vapt</w:t>
      </w:r>
      <w:r>
        <w:t xml:space="preserve"> </w:t>
      </w:r>
      <w:r>
        <w:t xml:space="preserve">item shows a 72-hour due time (EO1.6), not 15 days; a tenant policy of 10 days for tenant-side Critical items overrides the 15-day default.</w:t>
      </w:r>
    </w:p>
    <w:p>
      <w:pPr>
        <w:numPr>
          <w:ilvl w:val="0"/>
          <w:numId w:val="1365"/>
        </w:numPr>
        <w:pStyle w:val="Compact"/>
      </w:pPr>
      <w:r>
        <w:t xml:space="preserve">The planner warns when the IS audit report due date is after the statutory audit fieldwork start date.</w:t>
      </w:r>
    </w:p>
    <w:p>
      <w:pPr>
        <w:numPr>
          <w:ilvl w:val="0"/>
          <w:numId w:val="1365"/>
        </w:numPr>
        <w:pStyle w:val="Compact"/>
      </w:pPr>
      <w:r>
        <w:t xml:space="preserve">An external IS auditor can download the user-role listing with SoD conflicts but cannot see unmasked PAN or Aadhaar values.</w:t>
      </w:r>
    </w:p>
    <w:p>
      <w:r>
        <w:pict>
          <v:rect style="width:0;height:1.5pt" o:hralign="center" o:hrstd="t" o:hr="t"/>
        </w:pict>
      </w:r>
    </w:p>
    <w:bookmarkEnd w:id="369"/>
    <w:bookmarkEnd w:id="370"/>
    <w:bookmarkStart w:id="380" w:name="Xccc10125a2fd2bea24ea7a8cf07ef30c0dbd4d4"/>
    <w:p>
      <w:pPr>
        <w:pStyle w:val="Heading2"/>
      </w:pPr>
      <w:r>
        <w:t xml:space="preserve">AU5. Statutory and external audit support</w:t>
      </w:r>
    </w:p>
    <w:bookmarkStart w:id="371" w:name="Xf43307abf8069f2f007a327678a542721a7fb5b"/>
    <w:p>
      <w:pPr>
        <w:pStyle w:val="Heading3"/>
      </w:pPr>
      <w:r>
        <w:t xml:space="preserve">AU5.1 Auditor appointment and eligibility (extends 8A.33)</w:t>
      </w:r>
    </w:p>
    <w:p>
      <w:pPr>
        <w:numPr>
          <w:ilvl w:val="0"/>
          <w:numId w:val="1366"/>
        </w:numPr>
        <w:pStyle w:val="Compact"/>
      </w:pPr>
      <w:r>
        <w:rPr>
          <w:bCs/>
          <w:b/>
        </w:rPr>
        <w:t xml:space="preserve">Applicability resolver.</w:t>
      </w:r>
      <w:r>
        <w:t xml:space="preserve"> </w:t>
      </w:r>
      <w:r>
        <w:t xml:space="preserve">From the entity regulatory profile: SA applies to all NBFCs and HFCs; non-deposit NBFCs with assets &lt; ₹1,000 crore may continue extant procedure (SA para 3) — the resolver shows</w:t>
      </w:r>
      <w:r>
        <w:t xml:space="preserve"> </w:t>
      </w:r>
      <w:r>
        <w:t xml:space="preserve">“</w:t>
      </w:r>
      <w:r>
        <w:t xml:space="preserve">SA Directions optional</w:t>
      </w:r>
      <w:r>
        <w:t xml:space="preserve">”</w:t>
      </w:r>
      <w:r>
        <w:t xml:space="preserve"> </w:t>
      </w:r>
      <w:r>
        <w:t xml:space="preserve">and still runs eligibility checks as a recommendation.</w:t>
      </w:r>
    </w:p>
    <w:p>
      <w:pPr>
        <w:numPr>
          <w:ilvl w:val="0"/>
          <w:numId w:val="1366"/>
        </w:numPr>
        <w:pStyle w:val="Compact"/>
      </w:pPr>
      <w:r>
        <w:rPr>
          <w:bCs/>
          <w:b/>
        </w:rPr>
        <w:t xml:space="preserve">Number of auditors.</w:t>
      </w:r>
      <w:r>
        <w:t xml:space="preserve"> </w:t>
      </w:r>
      <w:r>
        <w:t xml:space="preserve">Joint audit by at least two firms when assets at the end of the previous year are</w:t>
      </w:r>
      <w:r>
        <w:t xml:space="preserve"> </w:t>
      </w:r>
      <w:r>
        <w:rPr>
          <w:bCs/>
          <w:b/>
        </w:rPr>
        <w:t xml:space="preserve">≥ ₹15,000 crore</w:t>
      </w:r>
      <w:r>
        <w:t xml:space="preserve"> </w:t>
      </w:r>
      <w:r>
        <w:t xml:space="preserve">(SA para 11), with no common partners and no shared network (Companies (Audit and Auditors) Rules 2014 Rule 6(3) as referenced in SA para 11); maximum firms by asset band (SA para 12). Work allocation between joint auditors is recorded before audit start.</w:t>
      </w:r>
    </w:p>
    <w:p>
      <w:pPr>
        <w:numPr>
          <w:ilvl w:val="0"/>
          <w:numId w:val="1366"/>
        </w:numPr>
        <w:pStyle w:val="Compact"/>
      </w:pPr>
      <w:r>
        <w:rPr>
          <w:bCs/>
          <w:b/>
        </w:rPr>
        <w:t xml:space="preserve">Eligibility engine.</w:t>
      </w:r>
      <w:r>
        <w:t xml:space="preserve"> </w:t>
      </w:r>
      <w:r>
        <w:t xml:space="preserve">Form B (Annex II) data captured from the firm and checked against SA para 14 bands (FTPs, FCAs, CISA/ISA, experience, professional staff) and para 15 conditions (s.141 qualification, not debarred, no partner who is a director of an RBI-regulated group entity, with a disclosure to the ACB and Board where the directorship is in a non-RBI-regulated group entity; CAAT/GAS capability preferred above ₹1,000 crore). Partner exclusivity and the 10-year association of two partners above ₹1,000 crore (para 14, Note 1) are captured per partner. Continued eligibility is re-attested before each annual audit; a firm that loses eligibility must report it and regain it before the annual audit starts (para 16). The ACB (or Board) records its independence assessment, including any audit of an entity with Large Exposure to the NBFC (paras 7, 18).</w:t>
      </w:r>
    </w:p>
    <w:p>
      <w:pPr>
        <w:numPr>
          <w:ilvl w:val="0"/>
          <w:numId w:val="1366"/>
        </w:numPr>
        <w:pStyle w:val="Compact"/>
      </w:pPr>
      <w:r>
        <w:rPr>
          <w:bCs/>
          <w:b/>
        </w:rPr>
        <w:t xml:space="preserve">Independence and tenure.</w:t>
      </w:r>
      <w:r>
        <w:t xml:space="preserve"> </w:t>
      </w:r>
      <w:r>
        <w:t xml:space="preserve">Concurrent auditor ineligible (para 18); non-audit work 1-year gap either side (para 19) against the non-audit-service log; network and common-partner extension (para 20); continuous 3-year term (para 23); 6-year cooling-off (para 24); firm-wide cap of 8 NBFCs (para 25) recorded from the firm’s declaration; removal before 3 years → SSM/RO intimation within 1 month (para 23). Group-wide checks (a partner’s directorship in any group RE; non-audit work across group REs) run against the Operations Hub group entity register when the tenant is an Infrabyx-group or multi-entity customer.</w:t>
      </w:r>
    </w:p>
    <w:p>
      <w:pPr>
        <w:numPr>
          <w:ilvl w:val="0"/>
          <w:numId w:val="1366"/>
        </w:numPr>
        <w:pStyle w:val="Compact"/>
      </w:pPr>
      <w:r>
        <w:rPr>
          <w:bCs/>
          <w:b/>
        </w:rPr>
        <w:t xml:space="preserve">Procedure.</w:t>
      </w:r>
      <w:r>
        <w:t xml:space="preserve"> </w:t>
      </w:r>
      <w:r>
        <w:t xml:space="preserve">At least two firms shortlisted per vacancy (para 30(2)); Form A (Annex I) generated for DoS CO (Mumbai Region) or the RO within one month of appointment (para 30(1)) and tracked as a supervisory return in Part 7B (SR para 21 item 20); annual performance review, with serious lapses reported to DoS within two months of audit completion (para 8); appointment policy published on the website (para 10) — the CMS link is recorded.</w:t>
      </w:r>
    </w:p>
    <w:bookmarkEnd w:id="371"/>
    <w:bookmarkStart w:id="372" w:name="au5.2-pbc-prepared-by-client-lists"/>
    <w:p>
      <w:pPr>
        <w:pStyle w:val="Heading3"/>
      </w:pPr>
      <w:r>
        <w:t xml:space="preserve">AU5.2 PBC (prepared-by-client) lists</w:t>
      </w:r>
    </w:p>
    <w:p>
      <w:pPr>
        <w:numPr>
          <w:ilvl w:val="0"/>
          <w:numId w:val="1367"/>
        </w:numPr>
        <w:pStyle w:val="Compact"/>
      </w:pPr>
      <w:r>
        <w:rPr>
          <w:bCs/>
          <w:b/>
        </w:rPr>
        <w:t xml:space="preserve">Templates by profile.</w:t>
      </w:r>
      <w:r>
        <w:t xml:space="preserve"> </w:t>
      </w:r>
      <w:r>
        <w:t xml:space="preserve">NBFC (Ind AS Div III or AS Div I), HFC, bank (Forms A/B), co-operative, CIC, ARC, IFSC entity. Each PBC item has: description, owner, source (auto-generated report or upload), due date, status (</w:t>
      </w:r>
      <w:r>
        <w:rPr>
          <w:rStyle w:val="VerbatimChar"/>
        </w:rPr>
        <w:t xml:space="preserve">REQUESTED → IN_PREPARATION → PROVIDED → AUDITOR_QUERY → ACCEPTED</w:t>
      </w:r>
      <w:r>
        <w:t xml:space="preserve">), auditor comments and hash of the provided file.</w:t>
      </w:r>
    </w:p>
    <w:p>
      <w:pPr>
        <w:numPr>
          <w:ilvl w:val="0"/>
          <w:numId w:val="1367"/>
        </w:numPr>
        <w:pStyle w:val="Compact"/>
      </w:pPr>
      <w:r>
        <w:rPr>
          <w:bCs/>
          <w:b/>
        </w:rPr>
        <w:t xml:space="preserve">Auto-generated items.</w:t>
      </w:r>
      <w:r>
        <w:t xml:space="preserve"> </w:t>
      </w:r>
      <w:r>
        <w:t xml:space="preserve">Trial balance and GL mapping to Schedule III / FS Annex I (Part 7C AC3); loan-book listing with classification, stage, ECL and IRACP provision; IRACP vs Ind AS table (FS para 21(15)); NPA movement; restructured and &gt; 90 DPD-not-impaired lists with ACB references (FS Annex 1); Impairment Reserve computation; CRAR computation with RWA walk (Part 7E RK3); ALM statements; related-party register and transactions; borrowings and covenant compliance; investment register and valuation; fixed-asset register; GST and TDS reconciliations (AC4–AC5); bank and suspense reconciliations; fraud register; litigation and contingent liabilities (R9.6); CERSAI and CKYC filing status; audit-trail configuration and capture-gap report (AC7); user-access and change reports (AU4.2); board and committee minutes index (Part 7F GV2).</w:t>
      </w:r>
    </w:p>
    <w:p>
      <w:pPr>
        <w:numPr>
          <w:ilvl w:val="0"/>
          <w:numId w:val="1367"/>
        </w:numPr>
        <w:pStyle w:val="Compact"/>
      </w:pPr>
      <w:r>
        <w:rPr>
          <w:bCs/>
          <w:b/>
        </w:rPr>
        <w:t xml:space="preserve">Query log.</w:t>
      </w:r>
      <w:r>
        <w:t xml:space="preserve"> </w:t>
      </w:r>
      <w:r>
        <w:t xml:space="preserve">Auditor queries against PBC items or workpaper areas, with response owner, due date and resolution; ageing shown to the CFO.</w:t>
      </w:r>
    </w:p>
    <w:bookmarkEnd w:id="372"/>
    <w:bookmarkStart w:id="373" w:name="Xb346745faf088994541152e5a4ebed5abd02119"/>
    <w:p>
      <w:pPr>
        <w:pStyle w:val="Heading3"/>
      </w:pPr>
      <w:r>
        <w:t xml:space="preserve">AU5.3 Auditor’s Report Directions checklists (extends 8A.15)</w:t>
      </w:r>
    </w:p>
    <w:p>
      <w:pPr>
        <w:numPr>
          <w:ilvl w:val="0"/>
          <w:numId w:val="1368"/>
        </w:numPr>
        <w:pStyle w:val="Compact"/>
      </w:pPr>
      <w:r>
        <w:rPr>
          <w:bCs/>
          <w:b/>
        </w:rPr>
        <w:t xml:space="preserve">Checklist runs by profile.</w:t>
      </w:r>
      <w:r>
        <w:t xml:space="preserve"> </w:t>
      </w:r>
      <w:r>
        <w:t xml:space="preserve">Para 6 (all NBFCs: CoR and Principal Business Criteria with bank FDs excluded from financial assets, continued entitlement at 31 March, NOF), para 7 items (1)–(12) for deposit-taking NBFCs, para 8 items for non-deposit NBFCs (Board resolution on non-acceptance of deposits, no deposits accepted, IRACP/investment/AS compliance, CRAR correct and DNBS03 filed on time for ML and above — para 8(4), correct MFI classification — para 8(5)), para 9 for exempted companies holding RBI advice.</w:t>
      </w:r>
    </w:p>
    <w:p>
      <w:pPr>
        <w:numPr>
          <w:ilvl w:val="0"/>
          <w:numId w:val="1368"/>
        </w:numPr>
        <w:pStyle w:val="Compact"/>
      </w:pPr>
      <w:r>
        <w:rPr>
          <w:bCs/>
          <w:b/>
        </w:rPr>
        <w:t xml:space="preserve">Evidence per item.</w:t>
      </w:r>
      <w:r>
        <w:t xml:space="preserve"> </w:t>
      </w:r>
      <w:r>
        <w:t xml:space="preserve">Each checklist line links the computation that answers it: PBC test (Principal Business Criteria) from the SBR module, NOF from Part 7E RK3, deposit register, DNBS03 filing evidence from Part 7B, MFI qualifying-asset test (R47), IRACP reconciliation. The auditor marks each line favourable, unfavourable or qualified with reasons (AUD para 10).</w:t>
      </w:r>
    </w:p>
    <w:p>
      <w:pPr>
        <w:numPr>
          <w:ilvl w:val="0"/>
          <w:numId w:val="1368"/>
        </w:numPr>
        <w:pStyle w:val="Compact"/>
      </w:pPr>
      <w:r>
        <w:rPr>
          <w:bCs/>
          <w:b/>
        </w:rPr>
        <w:t xml:space="preserve">DNBS10 timer.</w:t>
      </w:r>
      <w:r>
        <w:t xml:space="preserve"> </w:t>
      </w:r>
      <w:r>
        <w:t xml:space="preserve">Due within</w:t>
      </w:r>
      <w:r>
        <w:t xml:space="preserve"> </w:t>
      </w:r>
      <w:r>
        <w:rPr>
          <w:bCs/>
          <w:b/>
        </w:rPr>
        <w:t xml:space="preserve">5 working days of the date of signing of the audit report</w:t>
      </w:r>
      <w:r>
        <w:t xml:space="preserve">, and not later than</w:t>
      </w:r>
      <w:r>
        <w:t xml:space="preserve"> </w:t>
      </w:r>
      <w:r>
        <w:rPr>
          <w:bCs/>
          <w:b/>
        </w:rPr>
        <w:t xml:space="preserve">31 December</w:t>
      </w:r>
      <w:r>
        <w:t xml:space="preserve"> </w:t>
      </w:r>
      <w:r>
        <w:t xml:space="preserve">(AUD para 6; SR para 21 item 7, para 23). The working-day calendar uses the tenant holiday calendar; reminders at T−3, T−1 and on the due date to the auditor contact and CFO. The auditor compiles and files DNBS10 on CIMS with credentials the NBFC creates;</w:t>
      </w:r>
      <w:r>
        <w:t xml:space="preserve"> </w:t>
      </w:r>
      <w:r>
        <w:rPr>
          <w:bCs/>
          <w:b/>
        </w:rPr>
        <w:t xml:space="preserve">Finbyx neither stores nor scripts CIMS credentials or OTPs</w:t>
      </w:r>
      <w:r>
        <w:t xml:space="preserve">; the acknowledgement is uploaded as evidence (Part 7B RR5).</w:t>
      </w:r>
    </w:p>
    <w:p>
      <w:pPr>
        <w:numPr>
          <w:ilvl w:val="0"/>
          <w:numId w:val="1368"/>
        </w:numPr>
        <w:pStyle w:val="Compact"/>
      </w:pPr>
      <w:r>
        <w:rPr>
          <w:bCs/>
          <w:b/>
        </w:rPr>
        <w:t xml:space="preserve">Exception reports (AUD paras 11–12).</w:t>
      </w:r>
      <w:r>
        <w:t xml:space="preserve"> </w:t>
      </w:r>
      <w:r>
        <w:t xml:space="preserve">Register of exception reports sent by the auditor to the SSM/RO for adverse para 6 items or any non-compliance with RBI Act Chapter IIIB or Directions; Finbyx records receipt of the copy, links the underlying finding and opens a compliance issue. The register reports contraventions only; no editorialising fields.</w:t>
      </w:r>
    </w:p>
    <w:bookmarkEnd w:id="373"/>
    <w:bookmarkStart w:id="374" w:name="au5.4-caro-2020-data"/>
    <w:p>
      <w:pPr>
        <w:pStyle w:val="Heading3"/>
      </w:pPr>
      <w:r>
        <w:t xml:space="preserve">AU5.4 CARO 2020 data</w:t>
      </w:r>
    </w:p>
    <w:p>
      <w:pPr>
        <w:numPr>
          <w:ilvl w:val="0"/>
          <w:numId w:val="1369"/>
        </w:numPr>
        <w:pStyle w:val="Compact"/>
      </w:pPr>
      <w:r>
        <w:rPr>
          <w:bCs/>
          <w:b/>
        </w:rPr>
        <w:t xml:space="preserve">Clause data packs</w:t>
      </w:r>
      <w:r>
        <w:t xml:space="preserve"> </w:t>
      </w:r>
      <w:r>
        <w:t xml:space="preserve">are assembled in Part 7C AC3.4 (applicability, clauses 3(ii)(b) to 3(xxi), lineage); Part 7D adds clauses 3(i) PPE and title deeds and 3(vii) statutory dues from the fixed-asset register and tax module, runs the auditor’s clause checklist, links each clause to its pack and records the auditor’s remark (</w:t>
      </w:r>
      <w:r>
        <w:rPr>
          <w:rStyle w:val="VerbatimChar"/>
        </w:rPr>
        <w:t xml:space="preserve">caro_clause_response</w:t>
      </w:r>
      <w:r>
        <w:t xml:space="preserve">).</w:t>
      </w:r>
    </w:p>
    <w:p>
      <w:pPr>
        <w:numPr>
          <w:ilvl w:val="0"/>
          <w:numId w:val="1369"/>
        </w:numPr>
        <w:pStyle w:val="Compact"/>
      </w:pPr>
      <w:r>
        <w:rPr>
          <w:bCs/>
          <w:b/>
        </w:rPr>
        <w:t xml:space="preserve">Principal Business Criteria evidence.</w:t>
      </w:r>
      <w:r>
        <w:t xml:space="preserve"> </w:t>
      </w:r>
      <w:r>
        <w:t xml:space="preserve">Financial assets more than 50% of total assets (net of intangible assets) and income from financial assets more than 50% of gross income (RBI press release 1998-99/1269 of 8 Apr 1999, as referenced in AUD para 6(1)); fixed deposits with banks are not reckoned as financial assets (MISC para 21, referenced in AUD para 6(1)). Computed per quarter and at 31 March with lineage; the same computation feeds AU5.3 (para 6(1)–(2)).</w:t>
      </w:r>
    </w:p>
    <w:bookmarkEnd w:id="374"/>
    <w:bookmarkStart w:id="375" w:name="Xc7585561f3d1035201c37be3db9067d4537cd60"/>
    <w:p>
      <w:pPr>
        <w:pStyle w:val="Heading3"/>
      </w:pPr>
      <w:r>
        <w:t xml:space="preserve">AU5.5 Bank, co-operative and other statutory audits</w:t>
      </w:r>
    </w:p>
    <w:p>
      <w:pPr>
        <w:numPr>
          <w:ilvl w:val="0"/>
          <w:numId w:val="1370"/>
        </w:numPr>
        <w:pStyle w:val="Compact"/>
      </w:pPr>
      <w:r>
        <w:rPr>
          <w:bCs/>
          <w:b/>
        </w:rPr>
        <w:t xml:space="preserve">Banks:</w:t>
      </w:r>
      <w:r>
        <w:t xml:space="preserve"> </w:t>
      </w:r>
      <w:r>
        <w:t xml:space="preserve">LFAR question banks from the ICAI Guidance Note on Audit of Banks (2026 Edition) [ICAI] [VERIFY: chapters]; branch coverage per RBI SCA/SBA instructions [VERIFY].</w:t>
      </w:r>
      <w:r>
        <w:t xml:space="preserve"> </w:t>
      </w:r>
      <w:r>
        <w:rPr>
          <w:bCs/>
          <w:b/>
        </w:rPr>
        <w:t xml:space="preserve">Co-operatives:</w:t>
      </w:r>
      <w:r>
        <w:t xml:space="preserve"> </w:t>
      </w:r>
      <w:r>
        <w:t xml:space="preserve">panel audits under the State Act or MSCS Act, audit class where used [VERIFY: per state], rectification reports tracked as ATRs (</w:t>
      </w:r>
      <w:r>
        <w:rPr>
          <w:rStyle w:val="VerbatimChar"/>
        </w:rPr>
        <w:t xml:space="preserve">MSCS</w:t>
      </w:r>
      <w:r>
        <w:t xml:space="preserve">,</w:t>
      </w:r>
      <w:r>
        <w:t xml:space="preserve"> </w:t>
      </w:r>
      <w:r>
        <w:rPr>
          <w:rStyle w:val="VerbatimChar"/>
        </w:rPr>
        <w:t xml:space="preserve">SCS</w:t>
      </w:r>
      <w:r>
        <w:t xml:space="preserve">).</w:t>
      </w:r>
      <w:r>
        <w:t xml:space="preserve"> </w:t>
      </w:r>
      <w:r>
        <w:rPr>
          <w:bCs/>
          <w:b/>
        </w:rPr>
        <w:t xml:space="preserve">ARCs, IFSC entities, AIF companies:</w:t>
      </w:r>
      <w:r>
        <w:t xml:space="preserve"> </w:t>
      </w:r>
      <w:r>
        <w:t xml:space="preserve">placeholders until Part 7G and 7H rules are verified.</w:t>
      </w:r>
    </w:p>
    <w:bookmarkEnd w:id="375"/>
    <w:bookmarkStart w:id="376" w:name="au5.6-branch-coverage-rule"/>
    <w:p>
      <w:pPr>
        <w:pStyle w:val="Heading3"/>
      </w:pPr>
      <w:r>
        <w:t xml:space="preserve">AU5.6 Branch-coverage rule</w:t>
      </w:r>
    </w:p>
    <w:p>
      <w:pPr>
        <w:numPr>
          <w:ilvl w:val="0"/>
          <w:numId w:val="1371"/>
        </w:numPr>
        <w:pStyle w:val="Compact"/>
      </w:pPr>
      <w:r>
        <w:rPr>
          <w:bCs/>
          <w:b/>
        </w:rPr>
        <w:t xml:space="preserve">Rule (SA para 13; not CICs).</w:t>
      </w:r>
      <w:r>
        <w:t xml:space="preserve"> </w:t>
      </w:r>
      <w:r>
        <w:t xml:space="preserve">Statutory auditors visit at least the</w:t>
      </w:r>
      <w:r>
        <w:t xml:space="preserve"> </w:t>
      </w:r>
      <w:r>
        <w:rPr>
          <w:bCs/>
          <w:b/>
        </w:rPr>
        <w:t xml:space="preserve">top 20 branches</w:t>
      </w:r>
      <w:r>
        <w:t xml:space="preserve">, or the</w:t>
      </w:r>
      <w:r>
        <w:t xml:space="preserve"> </w:t>
      </w:r>
      <w:r>
        <w:rPr>
          <w:bCs/>
          <w:b/>
        </w:rPr>
        <w:t xml:space="preserve">top 20% where the NBFC has fewer than 100 branches</w:t>
      </w:r>
      <w:r>
        <w:t xml:space="preserve">, ranked by outstanding advances, covering</w:t>
      </w:r>
      <w:r>
        <w:t xml:space="preserve"> </w:t>
      </w:r>
      <w:r>
        <w:rPr>
          <w:bCs/>
          <w:b/>
        </w:rPr>
        <w:t xml:space="preserve">≥ 15% of total gross advances</w:t>
      </w:r>
      <w:r>
        <w:t xml:space="preserve">; s.143(8) also applies to all branches.</w:t>
      </w:r>
    </w:p>
    <w:p>
      <w:pPr>
        <w:numPr>
          <w:ilvl w:val="0"/>
          <w:numId w:val="1371"/>
        </w:numPr>
        <w:pStyle w:val="Compact"/>
      </w:pPr>
      <w:r>
        <w:rPr>
          <w:bCs/>
          <w:b/>
        </w:rPr>
        <w:t xml:space="preserve">Calculator.</w:t>
      </w:r>
      <w:r>
        <w:t xml:space="preserve"> </w:t>
      </w:r>
      <w:r>
        <w:t xml:space="preserve">Ranks branches by gross advances as on the balance-sheet date; selects the minimum set; if 15% coverage is not reached by the count rule, extends the list until it is; outputs the list with cumulative coverage % and a signed selection record. Branches visited are recorded per auditor; the final report shows achieved coverage.</w:t>
      </w:r>
    </w:p>
    <w:bookmarkEnd w:id="376"/>
    <w:bookmarkStart w:id="377" w:name="settings-and-options-4"/>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010"/>
        <w:gridCol w:w="2594"/>
        <w:gridCol w:w="1223"/>
        <w:gridCol w:w="2811"/>
      </w:tblGrid>
      <w:tr>
        <w:trPr>
          <w:tblHeader w:val="true"/>
          <w:tblHeader w:val="true"/>
        </w:trPr>
        <w:tc>
          <w:tcPr>
            <w:tcW w:w="3010" w:type="dxa"/>
            <w:shd w:val="clear" w:color="auto" w:fill="1F3A5F"/>
          </w:tcPr>
          <w:p>
            <w:pPr>
              <w:pStyle w:val="Compact"/>
              <w:spacing w:after="40"/>
              <w:jc w:val="left"/>
            </w:pPr>
            <w:r>
              <w:rPr>
                <w:b/>
                <w:color w:val="FFFFFF"/>
                <w:sz w:val="18"/>
              </w:rPr>
              <w:t xml:space="preserve">Setting</w:t>
            </w:r>
          </w:p>
        </w:tc>
        <w:tc>
          <w:tcPr>
            <w:tcW w:w="2594" w:type="dxa"/>
            <w:shd w:val="clear" w:color="auto" w:fill="1F3A5F"/>
          </w:tcPr>
          <w:p>
            <w:pPr>
              <w:pStyle w:val="Compact"/>
              <w:spacing w:after="40"/>
              <w:jc w:val="left"/>
            </w:pPr>
            <w:r>
              <w:rPr>
                <w:b/>
                <w:color w:val="FFFFFF"/>
                <w:sz w:val="18"/>
              </w:rPr>
              <w:t xml:space="preserve">Default</w:t>
            </w:r>
          </w:p>
        </w:tc>
        <w:tc>
          <w:tcPr>
            <w:tcW w:w="1223" w:type="dxa"/>
            <w:shd w:val="clear" w:color="auto" w:fill="1F3A5F"/>
          </w:tcPr>
          <w:p>
            <w:pPr>
              <w:pStyle w:val="Compact"/>
              <w:spacing w:after="40"/>
              <w:jc w:val="left"/>
            </w:pPr>
            <w:r>
              <w:rPr>
                <w:b/>
                <w:color w:val="FFFFFF"/>
                <w:sz w:val="18"/>
              </w:rPr>
              <w:t xml:space="preserve">Level</w:t>
            </w:r>
          </w:p>
        </w:tc>
        <w:tc>
          <w:tcPr>
            <w:tcW w:w="2811" w:type="dxa"/>
            <w:shd w:val="clear" w:color="auto" w:fill="1F3A5F"/>
          </w:tcPr>
          <w:p>
            <w:pPr>
              <w:pStyle w:val="Compact"/>
              <w:spacing w:after="40"/>
              <w:jc w:val="left"/>
            </w:pPr>
            <w:r>
              <w:rPr>
                <w:b/>
                <w:color w:val="FFFFFF"/>
                <w:sz w:val="18"/>
              </w:rPr>
              <w:t xml:space="preserve">Floor or choice</w:t>
            </w:r>
          </w:p>
        </w:tc>
      </w:tr>
      <w:tr>
        <w:tc>
          <w:tcPr>
            <w:tcW w:w="3010" w:type="dxa"/>
          </w:tcPr>
          <w:p>
            <w:pPr>
              <w:pStyle w:val="Compact"/>
              <w:spacing w:after="40"/>
              <w:jc w:val="left"/>
            </w:pPr>
            <w:r>
              <w:rPr>
                <w:sz w:val="18"/>
              </w:rPr>
              <w:t xml:space="preserve">SA Directions mode for non-deposit NBFCs below ₹1,000 crore</w:t>
            </w:r>
          </w:p>
        </w:tc>
        <w:tc>
          <w:tcPr>
            <w:tcW w:w="2594" w:type="dxa"/>
          </w:tcPr>
          <w:p>
            <w:pPr>
              <w:pStyle w:val="Compact"/>
              <w:spacing w:after="40"/>
              <w:jc w:val="left"/>
            </w:pPr>
            <w:r>
              <w:rPr>
                <w:sz w:val="18"/>
              </w:rPr>
              <w:t xml:space="preserve">“</w:t>
            </w:r>
            <w:r>
              <w:rPr>
                <w:sz w:val="18"/>
              </w:rPr>
              <w:t xml:space="preserve">Optional</w:t>
            </w:r>
            <w:r>
              <w:rPr>
                <w:sz w:val="18"/>
              </w:rPr>
              <w:t xml:space="preserve">”</w:t>
            </w:r>
            <w:r>
              <w:rPr>
                <w:sz w:val="18"/>
              </w:rPr>
              <w:t xml:space="preserve"> </w:t>
            </w:r>
            <w:r>
              <w:rPr>
                <w:sz w:val="18"/>
              </w:rPr>
              <w:t xml:space="preserve">with eligibility checks as recommendation</w:t>
            </w:r>
          </w:p>
        </w:tc>
        <w:tc>
          <w:tcPr>
            <w:tcW w:w="1223" w:type="dxa"/>
          </w:tcPr>
          <w:p>
            <w:pPr>
              <w:pStyle w:val="Compact"/>
              <w:spacing w:after="40"/>
              <w:jc w:val="left"/>
            </w:pPr>
            <w:r>
              <w:rPr>
                <w:sz w:val="18"/>
              </w:rPr>
              <w:t xml:space="preserve">Tenant</w:t>
            </w:r>
          </w:p>
        </w:tc>
        <w:tc>
          <w:tcPr>
            <w:tcW w:w="2811" w:type="dxa"/>
          </w:tcPr>
          <w:p>
            <w:pPr>
              <w:pStyle w:val="Compact"/>
              <w:spacing w:after="40"/>
              <w:jc w:val="left"/>
            </w:pPr>
            <w:r>
              <w:rPr>
                <w:sz w:val="18"/>
              </w:rPr>
              <w:t xml:space="preserve">Choice (SA para 3)</w:t>
            </w:r>
          </w:p>
        </w:tc>
      </w:tr>
      <w:tr>
        <w:tc>
          <w:tcPr>
            <w:tcW w:w="3010" w:type="dxa"/>
          </w:tcPr>
          <w:p>
            <w:pPr>
              <w:pStyle w:val="Compact"/>
              <w:spacing w:after="40"/>
              <w:jc w:val="left"/>
            </w:pPr>
            <w:r>
              <w:rPr>
                <w:sz w:val="18"/>
              </w:rPr>
              <w:t xml:space="preserve">Joint-audit threshold, firm maxima, tenure, cooling-off, firm-wide cap</w:t>
            </w:r>
          </w:p>
        </w:tc>
        <w:tc>
          <w:tcPr>
            <w:tcW w:w="2594" w:type="dxa"/>
          </w:tcPr>
          <w:p>
            <w:pPr>
              <w:pStyle w:val="Compact"/>
              <w:spacing w:after="40"/>
              <w:jc w:val="left"/>
            </w:pPr>
            <w:r>
              <w:rPr>
                <w:sz w:val="18"/>
              </w:rPr>
              <w:t xml:space="preserve">SA paras 11, 12, 23–25</w:t>
            </w:r>
          </w:p>
        </w:tc>
        <w:tc>
          <w:tcPr>
            <w:tcW w:w="1223" w:type="dxa"/>
          </w:tcPr>
          <w:p>
            <w:pPr>
              <w:pStyle w:val="Compact"/>
              <w:spacing w:after="40"/>
              <w:jc w:val="left"/>
            </w:pPr>
            <w:r>
              <w:rPr>
                <w:sz w:val="18"/>
              </w:rPr>
              <w:t xml:space="preserve">Rule pack</w:t>
            </w:r>
          </w:p>
        </w:tc>
        <w:tc>
          <w:tcPr>
            <w:tcW w:w="2811" w:type="dxa"/>
          </w:tcPr>
          <w:p>
            <w:pPr>
              <w:pStyle w:val="Compact"/>
              <w:spacing w:after="40"/>
              <w:jc w:val="left"/>
            </w:pPr>
            <w:r>
              <w:rPr>
                <w:sz w:val="18"/>
              </w:rPr>
              <w:t xml:space="preserve">Floor (locked)</w:t>
            </w:r>
          </w:p>
        </w:tc>
      </w:tr>
      <w:tr>
        <w:tc>
          <w:tcPr>
            <w:tcW w:w="3010" w:type="dxa"/>
          </w:tcPr>
          <w:p>
            <w:pPr>
              <w:pStyle w:val="Compact"/>
              <w:spacing w:after="40"/>
              <w:jc w:val="left"/>
            </w:pPr>
            <w:r>
              <w:rPr>
                <w:sz w:val="18"/>
              </w:rPr>
              <w:t xml:space="preserve">Shortlist per vacancy</w:t>
            </w:r>
          </w:p>
        </w:tc>
        <w:tc>
          <w:tcPr>
            <w:tcW w:w="2594" w:type="dxa"/>
          </w:tcPr>
          <w:p>
            <w:pPr>
              <w:pStyle w:val="Compact"/>
              <w:spacing w:after="40"/>
              <w:jc w:val="left"/>
            </w:pPr>
            <w:r>
              <w:rPr>
                <w:sz w:val="18"/>
              </w:rPr>
              <w:t xml:space="preserve">2 firms</w:t>
            </w:r>
          </w:p>
        </w:tc>
        <w:tc>
          <w:tcPr>
            <w:tcW w:w="1223" w:type="dxa"/>
          </w:tcPr>
          <w:p>
            <w:pPr>
              <w:pStyle w:val="Compact"/>
              <w:spacing w:after="40"/>
              <w:jc w:val="left"/>
            </w:pPr>
            <w:r>
              <w:rPr>
                <w:sz w:val="18"/>
              </w:rPr>
              <w:t xml:space="preserve">Tenant</w:t>
            </w:r>
          </w:p>
        </w:tc>
        <w:tc>
          <w:tcPr>
            <w:tcW w:w="2811" w:type="dxa"/>
          </w:tcPr>
          <w:p>
            <w:pPr>
              <w:pStyle w:val="Compact"/>
              <w:spacing w:after="40"/>
              <w:jc w:val="left"/>
            </w:pPr>
            <w:r>
              <w:rPr>
                <w:sz w:val="18"/>
              </w:rPr>
              <w:t xml:space="preserve">Floor: at least 2 (SA para 30(2))</w:t>
            </w:r>
          </w:p>
        </w:tc>
      </w:tr>
      <w:tr>
        <w:tc>
          <w:tcPr>
            <w:tcW w:w="3010" w:type="dxa"/>
          </w:tcPr>
          <w:p>
            <w:pPr>
              <w:pStyle w:val="Compact"/>
              <w:spacing w:after="40"/>
              <w:jc w:val="left"/>
            </w:pPr>
            <w:r>
              <w:rPr>
                <w:sz w:val="18"/>
              </w:rPr>
              <w:t xml:space="preserve">PBC template by profile</w:t>
            </w:r>
          </w:p>
        </w:tc>
        <w:tc>
          <w:tcPr>
            <w:tcW w:w="2594" w:type="dxa"/>
          </w:tcPr>
          <w:p>
            <w:pPr>
              <w:pStyle w:val="Compact"/>
              <w:spacing w:after="40"/>
              <w:jc w:val="left"/>
            </w:pPr>
            <w:r>
              <w:rPr>
                <w:sz w:val="18"/>
              </w:rPr>
              <w:t xml:space="preserve">Auto-selected from the entity profile</w:t>
            </w:r>
          </w:p>
        </w:tc>
        <w:tc>
          <w:tcPr>
            <w:tcW w:w="1223" w:type="dxa"/>
          </w:tcPr>
          <w:p>
            <w:pPr>
              <w:pStyle w:val="Compact"/>
              <w:spacing w:after="40"/>
              <w:jc w:val="left"/>
            </w:pPr>
            <w:r>
              <w:rPr>
                <w:sz w:val="18"/>
              </w:rPr>
              <w:t xml:space="preserve">Engagement</w:t>
            </w:r>
          </w:p>
        </w:tc>
        <w:tc>
          <w:tcPr>
            <w:tcW w:w="2811" w:type="dxa"/>
          </w:tcPr>
          <w:p>
            <w:pPr>
              <w:pStyle w:val="Compact"/>
              <w:spacing w:after="40"/>
              <w:jc w:val="left"/>
            </w:pPr>
            <w:r>
              <w:rPr>
                <w:sz w:val="18"/>
              </w:rPr>
              <w:t xml:space="preserve">Choice; items can be added, mandatory items cannot be removed</w:t>
            </w:r>
          </w:p>
        </w:tc>
      </w:tr>
      <w:tr>
        <w:tc>
          <w:tcPr>
            <w:tcW w:w="3010" w:type="dxa"/>
          </w:tcPr>
          <w:p>
            <w:pPr>
              <w:pStyle w:val="Compact"/>
              <w:spacing w:after="40"/>
              <w:jc w:val="left"/>
            </w:pPr>
            <w:r>
              <w:rPr>
                <w:sz w:val="18"/>
              </w:rPr>
              <w:t xml:space="preserve">DNBS10 reminders</w:t>
            </w:r>
          </w:p>
        </w:tc>
        <w:tc>
          <w:tcPr>
            <w:tcW w:w="2594" w:type="dxa"/>
          </w:tcPr>
          <w:p>
            <w:pPr>
              <w:pStyle w:val="Compact"/>
              <w:spacing w:after="40"/>
              <w:jc w:val="left"/>
            </w:pPr>
            <w:r>
              <w:rPr>
                <w:sz w:val="18"/>
              </w:rPr>
              <w:t xml:space="preserve">T−3, T−1, T</w:t>
            </w:r>
          </w:p>
        </w:tc>
        <w:tc>
          <w:tcPr>
            <w:tcW w:w="1223" w:type="dxa"/>
          </w:tcPr>
          <w:p>
            <w:pPr>
              <w:pStyle w:val="Compact"/>
              <w:spacing w:after="40"/>
              <w:jc w:val="left"/>
            </w:pPr>
            <w:r>
              <w:rPr>
                <w:sz w:val="18"/>
              </w:rPr>
              <w:t xml:space="preserve">Tenant</w:t>
            </w:r>
          </w:p>
        </w:tc>
        <w:tc>
          <w:tcPr>
            <w:tcW w:w="2811" w:type="dxa"/>
          </w:tcPr>
          <w:p>
            <w:pPr>
              <w:pStyle w:val="Compact"/>
              <w:spacing w:after="40"/>
              <w:jc w:val="left"/>
            </w:pPr>
            <w:r>
              <w:rPr>
                <w:sz w:val="18"/>
              </w:rPr>
              <w:t xml:space="preserve">Choice; due-date rule locked</w:t>
            </w:r>
          </w:p>
        </w:tc>
      </w:tr>
      <w:tr>
        <w:tc>
          <w:tcPr>
            <w:tcW w:w="3010" w:type="dxa"/>
          </w:tcPr>
          <w:p>
            <w:pPr>
              <w:pStyle w:val="Compact"/>
              <w:spacing w:after="40"/>
              <w:jc w:val="left"/>
            </w:pPr>
            <w:r>
              <w:rPr>
                <w:sz w:val="18"/>
              </w:rPr>
              <w:t xml:space="preserve">Branch-coverage rule</w:t>
            </w:r>
          </w:p>
        </w:tc>
        <w:tc>
          <w:tcPr>
            <w:tcW w:w="2594" w:type="dxa"/>
          </w:tcPr>
          <w:p>
            <w:pPr>
              <w:pStyle w:val="Compact"/>
              <w:spacing w:after="40"/>
              <w:jc w:val="left"/>
            </w:pPr>
            <w:r>
              <w:rPr>
                <w:sz w:val="18"/>
              </w:rPr>
              <w:t xml:space="preserve">Top 20 or top 20%; ≥ 15% of gross advances</w:t>
            </w:r>
          </w:p>
        </w:tc>
        <w:tc>
          <w:tcPr>
            <w:tcW w:w="1223" w:type="dxa"/>
          </w:tcPr>
          <w:p>
            <w:pPr>
              <w:pStyle w:val="Compact"/>
              <w:spacing w:after="40"/>
              <w:jc w:val="left"/>
            </w:pPr>
            <w:r>
              <w:rPr>
                <w:sz w:val="18"/>
              </w:rPr>
              <w:t xml:space="preserve">Rule pack</w:t>
            </w:r>
          </w:p>
        </w:tc>
        <w:tc>
          <w:tcPr>
            <w:tcW w:w="2811" w:type="dxa"/>
          </w:tcPr>
          <w:p>
            <w:pPr>
              <w:pStyle w:val="Compact"/>
              <w:spacing w:after="40"/>
              <w:jc w:val="left"/>
            </w:pPr>
            <w:r>
              <w:rPr>
                <w:sz w:val="18"/>
              </w:rPr>
              <w:t xml:space="preserve">Floor; a tenant may set a higher coverage</w:t>
            </w:r>
          </w:p>
        </w:tc>
      </w:tr>
    </w:tbl>
    <w:bookmarkEnd w:id="377"/>
    <w:bookmarkStart w:id="378" w:name="menu-and-screens-4"/>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83"/>
        <w:gridCol w:w="2935"/>
        <w:gridCol w:w="2935"/>
        <w:gridCol w:w="1885"/>
      </w:tblGrid>
      <w:tr>
        <w:trPr>
          <w:tblHeader w:val="true"/>
          <w:tblHeader w:val="true"/>
        </w:trPr>
        <w:tc>
          <w:tcPr>
            <w:tcW w:w="1883" w:type="dxa"/>
            <w:shd w:val="clear" w:color="auto" w:fill="1F3A5F"/>
          </w:tcPr>
          <w:p>
            <w:pPr>
              <w:pStyle w:val="Compact"/>
              <w:spacing w:after="40"/>
              <w:jc w:val="left"/>
            </w:pPr>
            <w:r>
              <w:rPr>
                <w:b/>
                <w:color w:val="FFFFFF"/>
                <w:sz w:val="18"/>
              </w:rPr>
              <w:t xml:space="preserve">Path (workspace L)</w:t>
            </w:r>
          </w:p>
        </w:tc>
        <w:tc>
          <w:tcPr>
            <w:tcW w:w="2935" w:type="dxa"/>
            <w:shd w:val="clear" w:color="auto" w:fill="1F3A5F"/>
          </w:tcPr>
          <w:p>
            <w:pPr>
              <w:pStyle w:val="Compact"/>
              <w:spacing w:after="40"/>
              <w:jc w:val="left"/>
            </w:pPr>
            <w:r>
              <w:rPr>
                <w:b/>
                <w:color w:val="FFFFFF"/>
                <w:sz w:val="18"/>
              </w:rPr>
              <w:t xml:space="preserve">Screens</w:t>
            </w:r>
          </w:p>
        </w:tc>
        <w:tc>
          <w:tcPr>
            <w:tcW w:w="2935" w:type="dxa"/>
            <w:shd w:val="clear" w:color="auto" w:fill="1F3A5F"/>
          </w:tcPr>
          <w:p>
            <w:pPr>
              <w:pStyle w:val="Compact"/>
              <w:spacing w:after="40"/>
              <w:jc w:val="left"/>
            </w:pPr>
            <w:r>
              <w:rPr>
                <w:b/>
                <w:color w:val="FFFFFF"/>
                <w:sz w:val="18"/>
              </w:rPr>
              <w:t xml:space="preserve">Key actions and rules</w:t>
            </w:r>
          </w:p>
        </w:tc>
        <w:tc>
          <w:tcPr>
            <w:tcW w:w="1885" w:type="dxa"/>
            <w:shd w:val="clear" w:color="auto" w:fill="1F3A5F"/>
          </w:tcPr>
          <w:p>
            <w:pPr>
              <w:pStyle w:val="Compact"/>
              <w:spacing w:after="40"/>
              <w:jc w:val="left"/>
            </w:pPr>
            <w:r>
              <w:rPr>
                <w:b/>
                <w:color w:val="FFFFFF"/>
                <w:sz w:val="18"/>
              </w:rPr>
              <w:t xml:space="preserve">Visible to</w:t>
            </w:r>
          </w:p>
        </w:tc>
      </w:tr>
      <w:tr>
        <w:tc>
          <w:tcPr>
            <w:tcW w:w="1883" w:type="dxa"/>
          </w:tcPr>
          <w:p>
            <w:pPr>
              <w:pStyle w:val="Compact"/>
              <w:spacing w:after="40"/>
              <w:jc w:val="left"/>
            </w:pPr>
            <w:r>
              <w:rPr>
                <w:rStyle w:val="VerbatimChar"/>
                <w:sz w:val="18"/>
              </w:rPr>
              <w:t xml:space="preserve">Audit › Statutory › Auditors</w:t>
            </w:r>
          </w:p>
        </w:tc>
        <w:tc>
          <w:tcPr>
            <w:tcW w:w="2935" w:type="dxa"/>
          </w:tcPr>
          <w:p>
            <w:pPr>
              <w:pStyle w:val="Compact"/>
              <w:spacing w:after="40"/>
              <w:jc w:val="left"/>
            </w:pPr>
            <w:r>
              <w:rPr>
                <w:sz w:val="18"/>
              </w:rPr>
              <w:t xml:space="preserve">Firm register; eligibility check (Form B data); tenure tracker; non-audit service log</w:t>
            </w:r>
          </w:p>
        </w:tc>
        <w:tc>
          <w:tcPr>
            <w:tcW w:w="2935" w:type="dxa"/>
          </w:tcPr>
          <w:p>
            <w:pPr>
              <w:pStyle w:val="Compact"/>
              <w:spacing w:after="40"/>
              <w:jc w:val="left"/>
            </w:pPr>
            <w:r>
              <w:rPr>
                <w:sz w:val="18"/>
              </w:rPr>
              <w:t xml:space="preserve">Shortlist; run eligibility; generate Form A; record ACB independence assessment</w:t>
            </w:r>
          </w:p>
        </w:tc>
        <w:tc>
          <w:tcPr>
            <w:tcW w:w="1885" w:type="dxa"/>
          </w:tcPr>
          <w:p>
            <w:pPr>
              <w:pStyle w:val="Compact"/>
              <w:spacing w:after="40"/>
              <w:jc w:val="left"/>
            </w:pPr>
            <w:r>
              <w:rPr>
                <w:sz w:val="18"/>
              </w:rPr>
              <w:t xml:space="preserve">CFO office, CS, ACB (approve)</w:t>
            </w:r>
          </w:p>
        </w:tc>
      </w:tr>
      <w:tr>
        <w:tc>
          <w:tcPr>
            <w:tcW w:w="1883" w:type="dxa"/>
          </w:tcPr>
          <w:p>
            <w:pPr>
              <w:pStyle w:val="Compact"/>
              <w:spacing w:after="40"/>
              <w:jc w:val="left"/>
            </w:pPr>
            <w:r>
              <w:rPr>
                <w:rStyle w:val="VerbatimChar"/>
                <w:sz w:val="18"/>
              </w:rPr>
              <w:t xml:space="preserve">Audit › Statutory › PBC</w:t>
            </w:r>
          </w:p>
        </w:tc>
        <w:tc>
          <w:tcPr>
            <w:tcW w:w="2935" w:type="dxa"/>
          </w:tcPr>
          <w:p>
            <w:pPr>
              <w:pStyle w:val="Compact"/>
              <w:spacing w:after="40"/>
              <w:jc w:val="left"/>
            </w:pPr>
            <w:r>
              <w:rPr>
                <w:sz w:val="18"/>
              </w:rPr>
              <w:t xml:space="preserve">PBC list per engagement (filters: owner, status, overdue); query log</w:t>
            </w:r>
          </w:p>
        </w:tc>
        <w:tc>
          <w:tcPr>
            <w:tcW w:w="2935" w:type="dxa"/>
          </w:tcPr>
          <w:p>
            <w:pPr>
              <w:pStyle w:val="Compact"/>
              <w:spacing w:after="40"/>
              <w:jc w:val="left"/>
            </w:pPr>
            <w:r>
              <w:rPr>
                <w:sz w:val="18"/>
              </w:rPr>
              <w:t xml:space="preserve">Auto-generate items; upload; respond to query; bulk assign owners; export PBC tracker</w:t>
            </w:r>
          </w:p>
        </w:tc>
        <w:tc>
          <w:tcPr>
            <w:tcW w:w="1885" w:type="dxa"/>
          </w:tcPr>
          <w:p>
            <w:pPr>
              <w:pStyle w:val="Compact"/>
              <w:spacing w:after="40"/>
              <w:jc w:val="left"/>
            </w:pPr>
            <w:r>
              <w:rPr>
                <w:sz w:val="18"/>
              </w:rPr>
              <w:t xml:space="preserve">CFO office; auditors through AU7</w:t>
            </w:r>
          </w:p>
        </w:tc>
      </w:tr>
      <w:tr>
        <w:tc>
          <w:tcPr>
            <w:tcW w:w="1883" w:type="dxa"/>
          </w:tcPr>
          <w:p>
            <w:pPr>
              <w:pStyle w:val="Compact"/>
              <w:spacing w:after="40"/>
              <w:jc w:val="left"/>
            </w:pPr>
            <w:r>
              <w:rPr>
                <w:rStyle w:val="VerbatimChar"/>
                <w:sz w:val="18"/>
              </w:rPr>
              <w:t xml:space="preserve">Audit › Statutory › Checklists</w:t>
            </w:r>
          </w:p>
        </w:tc>
        <w:tc>
          <w:tcPr>
            <w:tcW w:w="2935" w:type="dxa"/>
          </w:tcPr>
          <w:p>
            <w:pPr>
              <w:pStyle w:val="Compact"/>
              <w:spacing w:after="40"/>
              <w:jc w:val="left"/>
            </w:pPr>
            <w:r>
              <w:rPr>
                <w:sz w:val="18"/>
              </w:rPr>
              <w:t xml:space="preserve">AUD para 6–9 runs; DNBS10 timer; exception-report register; CARO clause checklist</w:t>
            </w:r>
          </w:p>
        </w:tc>
        <w:tc>
          <w:tcPr>
            <w:tcW w:w="2935" w:type="dxa"/>
          </w:tcPr>
          <w:p>
            <w:pPr>
              <w:pStyle w:val="Compact"/>
              <w:spacing w:after="40"/>
              <w:jc w:val="left"/>
            </w:pPr>
            <w:r>
              <w:rPr>
                <w:sz w:val="18"/>
              </w:rPr>
              <w:t xml:space="preserve">Link computation; record auditor result; upload DNBS10 acknowledgement</w:t>
            </w:r>
          </w:p>
        </w:tc>
        <w:tc>
          <w:tcPr>
            <w:tcW w:w="1885" w:type="dxa"/>
          </w:tcPr>
          <w:p>
            <w:pPr>
              <w:pStyle w:val="Compact"/>
              <w:spacing w:after="40"/>
              <w:jc w:val="left"/>
            </w:pPr>
            <w:r>
              <w:rPr>
                <w:sz w:val="18"/>
              </w:rPr>
              <w:t xml:space="preserve">Auditors (record results), CFO, CCO</w:t>
            </w:r>
          </w:p>
        </w:tc>
      </w:tr>
      <w:tr>
        <w:tc>
          <w:tcPr>
            <w:tcW w:w="1883" w:type="dxa"/>
          </w:tcPr>
          <w:p>
            <w:pPr>
              <w:pStyle w:val="Compact"/>
              <w:spacing w:after="40"/>
              <w:jc w:val="left"/>
            </w:pPr>
            <w:r>
              <w:rPr>
                <w:rStyle w:val="VerbatimChar"/>
                <w:sz w:val="18"/>
              </w:rPr>
              <w:t xml:space="preserve">Audit › Statutory › Branch coverage</w:t>
            </w:r>
          </w:p>
        </w:tc>
        <w:tc>
          <w:tcPr>
            <w:tcW w:w="2935" w:type="dxa"/>
          </w:tcPr>
          <w:p>
            <w:pPr>
              <w:pStyle w:val="Compact"/>
              <w:spacing w:after="40"/>
              <w:jc w:val="left"/>
            </w:pPr>
            <w:r>
              <w:rPr>
                <w:sz w:val="18"/>
              </w:rPr>
              <w:t xml:space="preserve">Calculator and selection record</w:t>
            </w:r>
          </w:p>
        </w:tc>
        <w:tc>
          <w:tcPr>
            <w:tcW w:w="2935" w:type="dxa"/>
          </w:tcPr>
          <w:p>
            <w:pPr>
              <w:pStyle w:val="Compact"/>
              <w:spacing w:after="40"/>
              <w:jc w:val="left"/>
            </w:pPr>
            <w:r>
              <w:rPr>
                <w:sz w:val="18"/>
              </w:rPr>
              <w:t xml:space="preserve">Run; sign selection; record visits</w:t>
            </w:r>
          </w:p>
        </w:tc>
        <w:tc>
          <w:tcPr>
            <w:tcW w:w="1885" w:type="dxa"/>
          </w:tcPr>
          <w:p>
            <w:pPr>
              <w:pStyle w:val="Compact"/>
              <w:spacing w:after="40"/>
              <w:jc w:val="left"/>
            </w:pPr>
            <w:r>
              <w:rPr>
                <w:sz w:val="18"/>
              </w:rPr>
              <w:t xml:space="preserve">CFO office, auditors</w:t>
            </w:r>
          </w:p>
        </w:tc>
      </w:tr>
    </w:tbl>
    <w:bookmarkEnd w:id="378"/>
    <w:bookmarkStart w:id="379" w:name="acceptance-tests-23"/>
    <w:p>
      <w:pPr>
        <w:pStyle w:val="Heading3"/>
      </w:pPr>
      <w:r>
        <w:t xml:space="preserve">Acceptance tests</w:t>
      </w:r>
    </w:p>
    <w:p>
      <w:pPr>
        <w:numPr>
          <w:ilvl w:val="0"/>
          <w:numId w:val="1372"/>
        </w:numPr>
        <w:pStyle w:val="Compact"/>
      </w:pPr>
      <w:r>
        <w:t xml:space="preserve">A tenant with ₹15,200 crore of assets at the previous year-end cannot finalise the auditor plan with one firm; two firms sharing a partner are rejected.</w:t>
      </w:r>
    </w:p>
    <w:p>
      <w:pPr>
        <w:numPr>
          <w:ilvl w:val="0"/>
          <w:numId w:val="1372"/>
        </w:numPr>
        <w:pStyle w:val="Compact"/>
      </w:pPr>
      <w:r>
        <w:t xml:space="preserve">A firm whose partner is a director of a group RE fails eligibility with the SA para 15 citation; a firm that did non-audit work 8 months before the proposed start is flagged under para 19.</w:t>
      </w:r>
    </w:p>
    <w:p>
      <w:pPr>
        <w:numPr>
          <w:ilvl w:val="0"/>
          <w:numId w:val="1372"/>
        </w:numPr>
        <w:pStyle w:val="Compact"/>
      </w:pPr>
      <w:r>
        <w:t xml:space="preserve">DNBS10 due date is computed as 5 working days after the signing date using the tenant calendar, and capped at 31 December; reminders fire at T−3, T−1 and T.</w:t>
      </w:r>
    </w:p>
    <w:p>
      <w:pPr>
        <w:numPr>
          <w:ilvl w:val="0"/>
          <w:numId w:val="1372"/>
        </w:numPr>
        <w:pStyle w:val="Compact"/>
      </w:pPr>
      <w:r>
        <w:t xml:space="preserve">For a branch book of 60 branches where the top 12 (20%) cover 11% of advances, the calculator extends selection until coverage ≥ 15% and records the reason.</w:t>
      </w:r>
    </w:p>
    <w:p>
      <w:pPr>
        <w:numPr>
          <w:ilvl w:val="0"/>
          <w:numId w:val="1372"/>
        </w:numPr>
        <w:pStyle w:val="Compact"/>
      </w:pPr>
      <w:r>
        <w:t xml:space="preserve">The para 8 checklist for an ML non-deposit NBFC includes the CRAR/DNBS03 line and links the RK3 computation and the DNBS03 filing acknowledgement.</w:t>
      </w:r>
    </w:p>
    <w:p>
      <w:pPr>
        <w:numPr>
          <w:ilvl w:val="0"/>
          <w:numId w:val="1372"/>
        </w:numPr>
        <w:pStyle w:val="Compact"/>
      </w:pPr>
      <w:r>
        <w:t xml:space="preserve">Searching the code base finds no stored CIMS credentials or OTP-handling code.</w:t>
      </w:r>
    </w:p>
    <w:p>
      <w:r>
        <w:pict>
          <v:rect style="width:0;height:1.5pt" o:hralign="center" o:hrstd="t" o:hr="t"/>
        </w:pict>
      </w:r>
    </w:p>
    <w:bookmarkEnd w:id="379"/>
    <w:bookmarkEnd w:id="380"/>
    <w:bookmarkStart w:id="387" w:name="Xdd79b9cf8206e7a8ed30990c6ce19fd9e9ac32e"/>
    <w:p>
      <w:pPr>
        <w:pStyle w:val="Heading2"/>
      </w:pPr>
      <w:r>
        <w:t xml:space="preserve">AU6. Secretarial audit and secretarial standards compliance</w:t>
      </w:r>
    </w:p>
    <w:bookmarkStart w:id="381" w:name="au6.1-applicability"/>
    <w:p>
      <w:pPr>
        <w:pStyle w:val="Heading3"/>
      </w:pPr>
      <w:r>
        <w:t xml:space="preserve">AU6.1 Applicability</w:t>
      </w:r>
    </w:p>
    <w:p>
      <w:pPr>
        <w:numPr>
          <w:ilvl w:val="0"/>
          <w:numId w:val="1373"/>
        </w:numPr>
        <w:pStyle w:val="Compact"/>
      </w:pPr>
      <w:r>
        <w:rPr>
          <w:bCs/>
          <w:b/>
        </w:rPr>
        <w:t xml:space="preserve">Section 204 secretarial audit (CA13 s.204; Rule 9, Companies (Appointment and Remuneration of Managerial Personnel) Rules 2014).</w:t>
      </w:r>
      <w:r>
        <w:t xml:space="preserve"> </w:t>
      </w:r>
      <w:r>
        <w:t xml:space="preserve">Listed companies; public companies with paid-up share capital ≥ ₹50 crore, turnover ≥ ₹250 crore, or outstanding loans or borrowings from banks or public financial institutions ≥ ₹100 crore [VERIFY: thresholds and any 2025–26 amendment]. Report in</w:t>
      </w:r>
      <w:r>
        <w:t xml:space="preserve"> </w:t>
      </w:r>
      <w:r>
        <w:rPr>
          <w:bCs/>
          <w:b/>
        </w:rPr>
        <w:t xml:space="preserve">Form MR-3</w:t>
      </w:r>
      <w:r>
        <w:t xml:space="preserve"> </w:t>
      </w:r>
      <w:r>
        <w:t xml:space="preserve">annexed to the Board’s report [VERIFY: format changes].</w:t>
      </w:r>
    </w:p>
    <w:p>
      <w:pPr>
        <w:numPr>
          <w:ilvl w:val="0"/>
          <w:numId w:val="1373"/>
        </w:numPr>
        <w:pStyle w:val="Compact"/>
      </w:pPr>
      <w:r>
        <w:rPr>
          <w:bCs/>
          <w:b/>
        </w:rPr>
        <w:t xml:space="preserve">Listed entities (LODR Reg 24A, as substituted 12 Dec 2024).</w:t>
      </w:r>
      <w:r>
        <w:t xml:space="preserve"> </w:t>
      </w:r>
      <w:r>
        <w:t xml:space="preserve">Secretarial audit of the listed entity and its material unlisted Indian subsidiaries by a</w:t>
      </w:r>
      <w:r>
        <w:t xml:space="preserve"> </w:t>
      </w:r>
      <w:r>
        <w:rPr>
          <w:bCs/>
          <w:b/>
        </w:rPr>
        <w:t xml:space="preserve">peer-reviewed</w:t>
      </w:r>
      <w:r>
        <w:t xml:space="preserve"> </w:t>
      </w:r>
      <w:r>
        <w:t xml:space="preserve">Practising Company Secretary; appointment at the AGM on Board recommendation; individual: one term of 5 years; firm: up to two terms of 5 years; 5-year cooling-off (extends to firms with common partners); casual vacancy filled by the Board within 3 months; tenure before 31 Mar 2025 ignored.</w:t>
      </w:r>
      <w:r>
        <w:t xml:space="preserve"> </w:t>
      </w:r>
      <w:r>
        <w:rPr>
          <w:bCs/>
          <w:b/>
        </w:rPr>
        <w:t xml:space="preserve">Secretarial Compliance Report within 60 days of the end of the financial year</w:t>
      </w:r>
      <w:r>
        <w:t xml:space="preserve">, signed only by the secretarial auditor or a qualifying peer-reviewed CS from 1 Apr 2025.</w:t>
      </w:r>
    </w:p>
    <w:p>
      <w:pPr>
        <w:numPr>
          <w:ilvl w:val="0"/>
          <w:numId w:val="1373"/>
        </w:numPr>
        <w:pStyle w:val="Compact"/>
      </w:pPr>
      <w:r>
        <w:rPr>
          <w:bCs/>
          <w:b/>
        </w:rPr>
        <w:t xml:space="preserve">Non-listed, below-threshold companies.</w:t>
      </w:r>
      <w:r>
        <w:t xml:space="preserve"> </w:t>
      </w:r>
      <w:r>
        <w:t xml:space="preserve">Optional internal secretarial review using the same templates [REC].</w:t>
      </w:r>
    </w:p>
    <w:bookmarkEnd w:id="381"/>
    <w:bookmarkStart w:id="382" w:name="Xa92954ec49f15a3be9401a547ef5f62e6b7a89a"/>
    <w:p>
      <w:pPr>
        <w:pStyle w:val="Heading3"/>
      </w:pPr>
      <w:r>
        <w:t xml:space="preserve">AU6.2 Secretarial auditor eligibility, tenure and prohibited services</w:t>
      </w:r>
    </w:p>
    <w:p>
      <w:pPr>
        <w:numPr>
          <w:ilvl w:val="0"/>
          <w:numId w:val="1374"/>
        </w:numPr>
        <w:pStyle w:val="Compact"/>
      </w:pPr>
      <w:r>
        <w:rPr>
          <w:bCs/>
          <w:b/>
        </w:rPr>
        <w:t xml:space="preserve">CSAS-1 (Engagement).</w:t>
      </w:r>
      <w:r>
        <w:t xml:space="preserve"> </w:t>
      </w:r>
      <w:r>
        <w:t xml:space="preserve">Eligibility check, engagement letter, written communication to the previous auditor and a 7-day wait before acceptance, and the cap of 10 secretarial audits a year (+5 if peer-reviewed) [ICSI] [VERIFY: in the Revised Edition 2026, approved 28 Aug 2026, effective date not stated].</w:t>
      </w:r>
    </w:p>
    <w:p>
      <w:pPr>
        <w:numPr>
          <w:ilvl w:val="0"/>
          <w:numId w:val="1374"/>
        </w:numPr>
        <w:pStyle w:val="Compact"/>
      </w:pPr>
      <w:r>
        <w:rPr>
          <w:bCs/>
          <w:b/>
        </w:rPr>
        <w:t xml:space="preserve">Reg 24A prohibited services.</w:t>
      </w:r>
      <w:r>
        <w:t xml:space="preserve"> </w:t>
      </w:r>
      <w:r>
        <w:t xml:space="preserve">The secretarial auditor (and network) may not provide internal audit, design of compliance/IS/policy systems, investment advice, investment banking, outsourced compliance or record-keeping, or management services to the listed entity, its holding company or subsidiaries. Finbyx runs a conflict check against the tenant’s service-provider register.</w:t>
      </w:r>
      <w:r>
        <w:t xml:space="preserve"> </w:t>
      </w:r>
      <w:r>
        <w:rPr>
          <w:bCs/>
          <w:b/>
        </w:rPr>
        <w:t xml:space="preserve">Group rule [REC]:</w:t>
      </w:r>
      <w:r>
        <w:t xml:space="preserve"> </w:t>
      </w:r>
      <w:r>
        <w:t xml:space="preserve">where LawDocsComply or any Infrabyx entity implements compliance systems for a listed tenant, an Infrabyx-linked PCS may not be its secretarial auditor; the check reads the Operations Hub group register.</w:t>
      </w:r>
    </w:p>
    <w:p>
      <w:pPr>
        <w:numPr>
          <w:ilvl w:val="0"/>
          <w:numId w:val="1374"/>
        </w:numPr>
        <w:pStyle w:val="Compact"/>
      </w:pPr>
      <w:r>
        <w:rPr>
          <w:bCs/>
          <w:b/>
        </w:rPr>
        <w:t xml:space="preserve">Tenure tracker.</w:t>
      </w:r>
      <w:r>
        <w:t xml:space="preserve"> </w:t>
      </w:r>
      <w:r>
        <w:t xml:space="preserve">Term number, start, end, cooling-off end; alerts 6 months before term end and for casual-vacancy timelines.</w:t>
      </w:r>
    </w:p>
    <w:bookmarkEnd w:id="382"/>
    <w:bookmarkStart w:id="383" w:name="au6.3-secretarial-audit-engagement"/>
    <w:p>
      <w:pPr>
        <w:pStyle w:val="Heading3"/>
      </w:pPr>
      <w:r>
        <w:t xml:space="preserve">AU6.3 Secretarial audit engagement</w:t>
      </w:r>
    </w:p>
    <w:p>
      <w:pPr>
        <w:numPr>
          <w:ilvl w:val="0"/>
          <w:numId w:val="1375"/>
        </w:numPr>
        <w:pStyle w:val="Compact"/>
      </w:pPr>
      <w:r>
        <w:rPr>
          <w:bCs/>
          <w:b/>
        </w:rPr>
        <w:t xml:space="preserve">Plan and checklists (CSAS-2).</w:t>
      </w:r>
      <w:r>
        <w:t xml:space="preserve"> </w:t>
      </w:r>
      <w:r>
        <w:t xml:space="preserve">Checklists by law: CA13 and rules; SEBI regulations (LODR, PIT, SAST, ICDR, debt listing) where applicable; FEMA where applicable; RBI Act Chapter IIIB and NBFC Directions as laws specifically applicable (from the M14 register); SS-1 and SS-2. Data comes from Part 7F (GV1 directors and KMPs, GV2 meetings, GV3 registers and MCA filings, GV4 listed compliance) through workpapers and evidence links; nothing is re-keyed.</w:t>
      </w:r>
    </w:p>
    <w:p>
      <w:pPr>
        <w:numPr>
          <w:ilvl w:val="0"/>
          <w:numId w:val="1375"/>
        </w:numPr>
        <w:pStyle w:val="Compact"/>
      </w:pPr>
      <w:r>
        <w:rPr>
          <w:bCs/>
          <w:b/>
        </w:rPr>
        <w:t xml:space="preserve">SS-1 and SS-2 compliance checks (automated, per meeting).</w:t>
      </w:r>
      <w:r>
        <w:t xml:space="preserve"> </w:t>
      </w:r>
      <w:r>
        <w:t xml:space="preserve">Notice period and mode; notes on agenda; quorum including interested-director exclusions; attendance and electronic-mode declarations (revised SS-1 effective 1 Apr 2024: annual declaration for electronic attendance); minutes circulation within 15 days, signing within 30 days and entry in the minute book; general-meeting notice period, place (revised SS-2), e-voting and scrutiniser timelines [ICSI] [VERIFY: each clock against SS-1/SS-2 text]. Each check is a</w:t>
      </w:r>
      <w:r>
        <w:t xml:space="preserve"> </w:t>
      </w:r>
      <w:r>
        <w:rPr>
          <w:rStyle w:val="VerbatimChar"/>
        </w:rPr>
        <w:t xml:space="preserve">ss_compliance_check</w:t>
      </w:r>
      <w:r>
        <w:t xml:space="preserve"> </w:t>
      </w:r>
      <w:r>
        <w:t xml:space="preserve">with result and evidence link.</w:t>
      </w:r>
    </w:p>
    <w:p>
      <w:pPr>
        <w:numPr>
          <w:ilvl w:val="0"/>
          <w:numId w:val="1375"/>
        </w:numPr>
        <w:pStyle w:val="Compact"/>
      </w:pPr>
      <w:r>
        <w:rPr>
          <w:bCs/>
          <w:b/>
        </w:rPr>
        <w:t xml:space="preserve">Opinion (CSAS-3).</w:t>
      </w:r>
      <w:r>
        <w:t xml:space="preserve"> </w:t>
      </w:r>
      <w:r>
        <w:t xml:space="preserve">Modified or unmodified; observations with qualification text; MR-3 or Secretarial Compliance Report rendered from the engagement; file collated within 45 days of signing and retained 8 years (CSAS-2).</w:t>
      </w:r>
    </w:p>
    <w:p>
      <w:pPr>
        <w:numPr>
          <w:ilvl w:val="0"/>
          <w:numId w:val="1375"/>
        </w:numPr>
        <w:pStyle w:val="Compact"/>
      </w:pPr>
      <w:r>
        <w:rPr>
          <w:bCs/>
          <w:b/>
        </w:rPr>
        <w:t xml:space="preserve">Annual Secretarial Compliance Report (listed).</w:t>
      </w:r>
      <w:r>
        <w:t xml:space="preserve"> </w:t>
      </w:r>
      <w:r>
        <w:t xml:space="preserve">Reg 24A(2) timeline; observations and action-taken table carried from the prior year.</w:t>
      </w:r>
    </w:p>
    <w:bookmarkEnd w:id="383"/>
    <w:bookmarkStart w:id="384" w:name="settings-and-options-5"/>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12"/>
        <w:gridCol w:w="3133"/>
        <w:gridCol w:w="1301"/>
        <w:gridCol w:w="2392"/>
      </w:tblGrid>
      <w:tr>
        <w:trPr>
          <w:tblHeader w:val="true"/>
          <w:tblHeader w:val="true"/>
        </w:trPr>
        <w:tc>
          <w:tcPr>
            <w:tcW w:w="2812" w:type="dxa"/>
            <w:shd w:val="clear" w:color="auto" w:fill="1F3A5F"/>
          </w:tcPr>
          <w:p>
            <w:pPr>
              <w:pStyle w:val="Compact"/>
              <w:spacing w:after="40"/>
              <w:jc w:val="left"/>
            </w:pPr>
            <w:r>
              <w:rPr>
                <w:b/>
                <w:color w:val="FFFFFF"/>
                <w:sz w:val="18"/>
              </w:rPr>
              <w:t xml:space="preserve">Setting</w:t>
            </w:r>
          </w:p>
        </w:tc>
        <w:tc>
          <w:tcPr>
            <w:tcW w:w="3133" w:type="dxa"/>
            <w:shd w:val="clear" w:color="auto" w:fill="1F3A5F"/>
          </w:tcPr>
          <w:p>
            <w:pPr>
              <w:pStyle w:val="Compact"/>
              <w:spacing w:after="40"/>
              <w:jc w:val="left"/>
            </w:pPr>
            <w:r>
              <w:rPr>
                <w:b/>
                <w:color w:val="FFFFFF"/>
                <w:sz w:val="18"/>
              </w:rPr>
              <w:t xml:space="preserve">Default</w:t>
            </w:r>
          </w:p>
        </w:tc>
        <w:tc>
          <w:tcPr>
            <w:tcW w:w="1301" w:type="dxa"/>
            <w:shd w:val="clear" w:color="auto" w:fill="1F3A5F"/>
          </w:tcPr>
          <w:p>
            <w:pPr>
              <w:pStyle w:val="Compact"/>
              <w:spacing w:after="40"/>
              <w:jc w:val="left"/>
            </w:pPr>
            <w:r>
              <w:rPr>
                <w:b/>
                <w:color w:val="FFFFFF"/>
                <w:sz w:val="18"/>
              </w:rPr>
              <w:t xml:space="preserve">Level</w:t>
            </w:r>
          </w:p>
        </w:tc>
        <w:tc>
          <w:tcPr>
            <w:tcW w:w="2392" w:type="dxa"/>
            <w:shd w:val="clear" w:color="auto" w:fill="1F3A5F"/>
          </w:tcPr>
          <w:p>
            <w:pPr>
              <w:pStyle w:val="Compact"/>
              <w:spacing w:after="40"/>
              <w:jc w:val="left"/>
            </w:pPr>
            <w:r>
              <w:rPr>
                <w:b/>
                <w:color w:val="FFFFFF"/>
                <w:sz w:val="18"/>
              </w:rPr>
              <w:t xml:space="preserve">Floor or choice</w:t>
            </w:r>
          </w:p>
        </w:tc>
      </w:tr>
      <w:tr>
        <w:tc>
          <w:tcPr>
            <w:tcW w:w="2812" w:type="dxa"/>
          </w:tcPr>
          <w:p>
            <w:pPr>
              <w:pStyle w:val="Compact"/>
              <w:spacing w:after="40"/>
              <w:jc w:val="left"/>
            </w:pPr>
            <w:r>
              <w:rPr>
                <w:sz w:val="18"/>
              </w:rPr>
              <w:t xml:space="preserve">s.204 applicability</w:t>
            </w:r>
          </w:p>
        </w:tc>
        <w:tc>
          <w:tcPr>
            <w:tcW w:w="3133" w:type="dxa"/>
          </w:tcPr>
          <w:p>
            <w:pPr>
              <w:pStyle w:val="Compact"/>
              <w:spacing w:after="40"/>
              <w:jc w:val="left"/>
            </w:pPr>
            <w:r>
              <w:rPr>
                <w:sz w:val="18"/>
              </w:rPr>
              <w:t xml:space="preserve">Resolved from paid-up capital, turnover, borrowings and listing</w:t>
            </w:r>
          </w:p>
        </w:tc>
        <w:tc>
          <w:tcPr>
            <w:tcW w:w="1301" w:type="dxa"/>
          </w:tcPr>
          <w:p>
            <w:pPr>
              <w:pStyle w:val="Compact"/>
              <w:spacing w:after="40"/>
              <w:jc w:val="left"/>
            </w:pPr>
            <w:r>
              <w:rPr>
                <w:sz w:val="18"/>
              </w:rPr>
              <w:t xml:space="preserve">Entity</w:t>
            </w:r>
          </w:p>
        </w:tc>
        <w:tc>
          <w:tcPr>
            <w:tcW w:w="2392" w:type="dxa"/>
          </w:tcPr>
          <w:p>
            <w:pPr>
              <w:pStyle w:val="Compact"/>
              <w:spacing w:after="40"/>
              <w:jc w:val="left"/>
            </w:pPr>
            <w:r>
              <w:rPr>
                <w:sz w:val="18"/>
              </w:rPr>
              <w:t xml:space="preserve">Floor (locked thresholds once verified)</w:t>
            </w:r>
          </w:p>
        </w:tc>
      </w:tr>
      <w:tr>
        <w:tc>
          <w:tcPr>
            <w:tcW w:w="2812" w:type="dxa"/>
          </w:tcPr>
          <w:p>
            <w:pPr>
              <w:pStyle w:val="Compact"/>
              <w:spacing w:after="40"/>
              <w:jc w:val="left"/>
            </w:pPr>
            <w:r>
              <w:rPr>
                <w:sz w:val="18"/>
              </w:rPr>
              <w:t xml:space="preserve">Internal secretarial review for out-of-scope companies</w:t>
            </w:r>
          </w:p>
        </w:tc>
        <w:tc>
          <w:tcPr>
            <w:tcW w:w="3133" w:type="dxa"/>
          </w:tcPr>
          <w:p>
            <w:pPr>
              <w:pStyle w:val="Compact"/>
              <w:spacing w:after="40"/>
              <w:jc w:val="left"/>
            </w:pPr>
            <w:r>
              <w:rPr>
                <w:sz w:val="18"/>
              </w:rPr>
              <w:t xml:space="preserve">Off</w:t>
            </w:r>
          </w:p>
        </w:tc>
        <w:tc>
          <w:tcPr>
            <w:tcW w:w="1301" w:type="dxa"/>
          </w:tcPr>
          <w:p>
            <w:pPr>
              <w:pStyle w:val="Compact"/>
              <w:spacing w:after="40"/>
              <w:jc w:val="left"/>
            </w:pPr>
            <w:r>
              <w:rPr>
                <w:sz w:val="18"/>
              </w:rPr>
              <w:t xml:space="preserve">Tenant</w:t>
            </w:r>
          </w:p>
        </w:tc>
        <w:tc>
          <w:tcPr>
            <w:tcW w:w="2392" w:type="dxa"/>
          </w:tcPr>
          <w:p>
            <w:pPr>
              <w:pStyle w:val="Compact"/>
              <w:spacing w:after="40"/>
              <w:jc w:val="left"/>
            </w:pPr>
            <w:r>
              <w:rPr>
                <w:sz w:val="18"/>
              </w:rPr>
              <w:t xml:space="preserve">Choice</w:t>
            </w:r>
          </w:p>
        </w:tc>
      </w:tr>
      <w:tr>
        <w:tc>
          <w:tcPr>
            <w:tcW w:w="2812" w:type="dxa"/>
          </w:tcPr>
          <w:p>
            <w:pPr>
              <w:pStyle w:val="Compact"/>
              <w:spacing w:after="40"/>
              <w:jc w:val="left"/>
            </w:pPr>
            <w:r>
              <w:rPr>
                <w:sz w:val="18"/>
              </w:rPr>
              <w:t xml:space="preserve">SS-1 and SS-2 clock pack</w:t>
            </w:r>
          </w:p>
        </w:tc>
        <w:tc>
          <w:tcPr>
            <w:tcW w:w="3133" w:type="dxa"/>
          </w:tcPr>
          <w:p>
            <w:pPr>
              <w:pStyle w:val="Compact"/>
              <w:spacing w:after="40"/>
              <w:jc w:val="left"/>
            </w:pPr>
            <w:r>
              <w:rPr>
                <w:sz w:val="18"/>
              </w:rPr>
              <w:t xml:space="preserve">Revised SS-1 and SS-2 (1 Apr 2024)</w:t>
            </w:r>
          </w:p>
        </w:tc>
        <w:tc>
          <w:tcPr>
            <w:tcW w:w="1301" w:type="dxa"/>
          </w:tcPr>
          <w:p>
            <w:pPr>
              <w:pStyle w:val="Compact"/>
              <w:spacing w:after="40"/>
              <w:jc w:val="left"/>
            </w:pPr>
            <w:r>
              <w:rPr>
                <w:sz w:val="18"/>
              </w:rPr>
              <w:t xml:space="preserve">Rule pack</w:t>
            </w:r>
          </w:p>
        </w:tc>
        <w:tc>
          <w:tcPr>
            <w:tcW w:w="2392" w:type="dxa"/>
          </w:tcPr>
          <w:p>
            <w:pPr>
              <w:pStyle w:val="Compact"/>
              <w:spacing w:after="40"/>
              <w:jc w:val="left"/>
            </w:pPr>
            <w:r>
              <w:rPr>
                <w:sz w:val="18"/>
              </w:rPr>
              <w:t xml:space="preserve">Floor</w:t>
            </w:r>
          </w:p>
        </w:tc>
      </w:tr>
      <w:tr>
        <w:tc>
          <w:tcPr>
            <w:tcW w:w="2812" w:type="dxa"/>
          </w:tcPr>
          <w:p>
            <w:pPr>
              <w:pStyle w:val="Compact"/>
              <w:spacing w:after="40"/>
              <w:jc w:val="left"/>
            </w:pPr>
            <w:r>
              <w:rPr>
                <w:sz w:val="18"/>
              </w:rPr>
              <w:t xml:space="preserve">Tenure alerts</w:t>
            </w:r>
          </w:p>
        </w:tc>
        <w:tc>
          <w:tcPr>
            <w:tcW w:w="3133" w:type="dxa"/>
          </w:tcPr>
          <w:p>
            <w:pPr>
              <w:pStyle w:val="Compact"/>
              <w:spacing w:after="40"/>
              <w:jc w:val="left"/>
            </w:pPr>
            <w:r>
              <w:rPr>
                <w:sz w:val="18"/>
              </w:rPr>
              <w:t xml:space="preserve">6 months before term end</w:t>
            </w:r>
          </w:p>
        </w:tc>
        <w:tc>
          <w:tcPr>
            <w:tcW w:w="1301" w:type="dxa"/>
          </w:tcPr>
          <w:p>
            <w:pPr>
              <w:pStyle w:val="Compact"/>
              <w:spacing w:after="40"/>
              <w:jc w:val="left"/>
            </w:pPr>
            <w:r>
              <w:rPr>
                <w:sz w:val="18"/>
              </w:rPr>
              <w:t xml:space="preserve">Tenant</w:t>
            </w:r>
          </w:p>
        </w:tc>
        <w:tc>
          <w:tcPr>
            <w:tcW w:w="2392" w:type="dxa"/>
          </w:tcPr>
          <w:p>
            <w:pPr>
              <w:pStyle w:val="Compact"/>
              <w:spacing w:after="40"/>
              <w:jc w:val="left"/>
            </w:pPr>
            <w:r>
              <w:rPr>
                <w:sz w:val="18"/>
              </w:rPr>
              <w:t xml:space="preserve">Choice</w:t>
            </w:r>
          </w:p>
        </w:tc>
      </w:tr>
      <w:tr>
        <w:tc>
          <w:tcPr>
            <w:tcW w:w="2812" w:type="dxa"/>
          </w:tcPr>
          <w:p>
            <w:pPr>
              <w:pStyle w:val="Compact"/>
              <w:spacing w:after="40"/>
              <w:jc w:val="left"/>
            </w:pPr>
            <w:r>
              <w:rPr>
                <w:sz w:val="18"/>
              </w:rPr>
              <w:t xml:space="preserve">Prohibited-services check source</w:t>
            </w:r>
          </w:p>
        </w:tc>
        <w:tc>
          <w:tcPr>
            <w:tcW w:w="3133" w:type="dxa"/>
          </w:tcPr>
          <w:p>
            <w:pPr>
              <w:pStyle w:val="Compact"/>
              <w:spacing w:after="40"/>
              <w:jc w:val="left"/>
            </w:pPr>
            <w:r>
              <w:rPr>
                <w:sz w:val="18"/>
              </w:rPr>
              <w:t xml:space="preserve">Tenant service-provider register plus Operations Hub group register</w:t>
            </w:r>
          </w:p>
        </w:tc>
        <w:tc>
          <w:tcPr>
            <w:tcW w:w="1301" w:type="dxa"/>
          </w:tcPr>
          <w:p>
            <w:pPr>
              <w:pStyle w:val="Compact"/>
              <w:spacing w:after="40"/>
              <w:jc w:val="left"/>
            </w:pPr>
            <w:r>
              <w:rPr>
                <w:sz w:val="18"/>
              </w:rPr>
              <w:t xml:space="preserve">Tenant</w:t>
            </w:r>
          </w:p>
        </w:tc>
        <w:tc>
          <w:tcPr>
            <w:tcW w:w="2392" w:type="dxa"/>
          </w:tcPr>
          <w:p>
            <w:pPr>
              <w:pStyle w:val="Compact"/>
              <w:spacing w:after="40"/>
              <w:jc w:val="left"/>
            </w:pPr>
            <w:r>
              <w:rPr>
                <w:sz w:val="18"/>
              </w:rPr>
              <w:t xml:space="preserve">Floor for listed tenants</w:t>
            </w:r>
          </w:p>
        </w:tc>
      </w:tr>
    </w:tbl>
    <w:bookmarkEnd w:id="384"/>
    <w:bookmarkStart w:id="385" w:name="menu-and-screens-5"/>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47"/>
        <w:gridCol w:w="2848"/>
        <w:gridCol w:w="2721"/>
        <w:gridCol w:w="2122"/>
      </w:tblGrid>
      <w:tr>
        <w:trPr>
          <w:tblHeader w:val="true"/>
          <w:tblHeader w:val="true"/>
        </w:trPr>
        <w:tc>
          <w:tcPr>
            <w:tcW w:w="1947" w:type="dxa"/>
            <w:shd w:val="clear" w:color="auto" w:fill="1F3A5F"/>
          </w:tcPr>
          <w:p>
            <w:pPr>
              <w:pStyle w:val="Compact"/>
              <w:spacing w:after="40"/>
              <w:jc w:val="left"/>
            </w:pPr>
            <w:r>
              <w:rPr>
                <w:b/>
                <w:color w:val="FFFFFF"/>
                <w:sz w:val="18"/>
              </w:rPr>
              <w:t xml:space="preserve">Path (workspace L, shared with workspace S)</w:t>
            </w:r>
          </w:p>
        </w:tc>
        <w:tc>
          <w:tcPr>
            <w:tcW w:w="2848" w:type="dxa"/>
            <w:shd w:val="clear" w:color="auto" w:fill="1F3A5F"/>
          </w:tcPr>
          <w:p>
            <w:pPr>
              <w:pStyle w:val="Compact"/>
              <w:spacing w:after="40"/>
              <w:jc w:val="left"/>
            </w:pPr>
            <w:r>
              <w:rPr>
                <w:b/>
                <w:color w:val="FFFFFF"/>
                <w:sz w:val="18"/>
              </w:rPr>
              <w:t xml:space="preserve">Screens</w:t>
            </w:r>
          </w:p>
        </w:tc>
        <w:tc>
          <w:tcPr>
            <w:tcW w:w="2721" w:type="dxa"/>
            <w:shd w:val="clear" w:color="auto" w:fill="1F3A5F"/>
          </w:tcPr>
          <w:p>
            <w:pPr>
              <w:pStyle w:val="Compact"/>
              <w:spacing w:after="40"/>
              <w:jc w:val="left"/>
            </w:pPr>
            <w:r>
              <w:rPr>
                <w:b/>
                <w:color w:val="FFFFFF"/>
                <w:sz w:val="18"/>
              </w:rPr>
              <w:t xml:space="preserve">Key actions and rules</w:t>
            </w:r>
          </w:p>
        </w:tc>
        <w:tc>
          <w:tcPr>
            <w:tcW w:w="2122" w:type="dxa"/>
            <w:shd w:val="clear" w:color="auto" w:fill="1F3A5F"/>
          </w:tcPr>
          <w:p>
            <w:pPr>
              <w:pStyle w:val="Compact"/>
              <w:spacing w:after="40"/>
              <w:jc w:val="left"/>
            </w:pPr>
            <w:r>
              <w:rPr>
                <w:b/>
                <w:color w:val="FFFFFF"/>
                <w:sz w:val="18"/>
              </w:rPr>
              <w:t xml:space="preserve">Visible to</w:t>
            </w:r>
          </w:p>
        </w:tc>
      </w:tr>
      <w:tr>
        <w:tc>
          <w:tcPr>
            <w:tcW w:w="1947" w:type="dxa"/>
          </w:tcPr>
          <w:p>
            <w:pPr>
              <w:pStyle w:val="Compact"/>
              <w:spacing w:after="40"/>
              <w:jc w:val="left"/>
            </w:pPr>
            <w:r>
              <w:rPr>
                <w:rStyle w:val="VerbatimChar"/>
                <w:sz w:val="18"/>
              </w:rPr>
              <w:t xml:space="preserve">Audit › Secretarial › Engagements</w:t>
            </w:r>
          </w:p>
        </w:tc>
        <w:tc>
          <w:tcPr>
            <w:tcW w:w="2848" w:type="dxa"/>
          </w:tcPr>
          <w:p>
            <w:pPr>
              <w:pStyle w:val="Compact"/>
              <w:spacing w:after="40"/>
              <w:jc w:val="left"/>
            </w:pPr>
            <w:r>
              <w:rPr>
                <w:sz w:val="18"/>
              </w:rPr>
              <w:t xml:space="preserve">Engagement list by FY and type (MR-3, Reg 24A report, internal); checklist runs</w:t>
            </w:r>
          </w:p>
        </w:tc>
        <w:tc>
          <w:tcPr>
            <w:tcW w:w="2721" w:type="dxa"/>
          </w:tcPr>
          <w:p>
            <w:pPr>
              <w:pStyle w:val="Compact"/>
              <w:spacing w:after="40"/>
              <w:jc w:val="left"/>
            </w:pPr>
            <w:r>
              <w:rPr>
                <w:sz w:val="18"/>
              </w:rPr>
              <w:t xml:space="preserve">Create; run SS checks; link evidence; record opinion</w:t>
            </w:r>
          </w:p>
        </w:tc>
        <w:tc>
          <w:tcPr>
            <w:tcW w:w="2122" w:type="dxa"/>
          </w:tcPr>
          <w:p>
            <w:pPr>
              <w:pStyle w:val="Compact"/>
              <w:spacing w:after="40"/>
              <w:jc w:val="left"/>
            </w:pPr>
            <w:r>
              <w:rPr>
                <w:sz w:val="18"/>
              </w:rPr>
              <w:t xml:space="preserve">Secretarial auditor (through AU7 when external), CS</w:t>
            </w:r>
          </w:p>
        </w:tc>
      </w:tr>
      <w:tr>
        <w:tc>
          <w:tcPr>
            <w:tcW w:w="1947" w:type="dxa"/>
          </w:tcPr>
          <w:p>
            <w:pPr>
              <w:pStyle w:val="Compact"/>
              <w:spacing w:after="40"/>
              <w:jc w:val="left"/>
            </w:pPr>
            <w:r>
              <w:rPr>
                <w:rStyle w:val="VerbatimChar"/>
                <w:sz w:val="18"/>
              </w:rPr>
              <w:t xml:space="preserve">Audit › Secretarial › Auditors</w:t>
            </w:r>
          </w:p>
        </w:tc>
        <w:tc>
          <w:tcPr>
            <w:tcW w:w="2848" w:type="dxa"/>
          </w:tcPr>
          <w:p>
            <w:pPr>
              <w:pStyle w:val="Compact"/>
              <w:spacing w:after="40"/>
              <w:jc w:val="left"/>
            </w:pPr>
            <w:r>
              <w:rPr>
                <w:sz w:val="18"/>
              </w:rPr>
              <w:t xml:space="preserve">Auditor register; peer-review certificate; tenure and cooling-off; prohibited-services check</w:t>
            </w:r>
          </w:p>
        </w:tc>
        <w:tc>
          <w:tcPr>
            <w:tcW w:w="2721" w:type="dxa"/>
          </w:tcPr>
          <w:p>
            <w:pPr>
              <w:pStyle w:val="Compact"/>
              <w:spacing w:after="40"/>
              <w:jc w:val="left"/>
            </w:pPr>
            <w:r>
              <w:rPr>
                <w:sz w:val="18"/>
              </w:rPr>
              <w:t xml:space="preserve">Propose appointment (blocked with the citation if ineligible); record casual vacancy</w:t>
            </w:r>
          </w:p>
        </w:tc>
        <w:tc>
          <w:tcPr>
            <w:tcW w:w="2122" w:type="dxa"/>
          </w:tcPr>
          <w:p>
            <w:pPr>
              <w:pStyle w:val="Compact"/>
              <w:spacing w:after="40"/>
              <w:jc w:val="left"/>
            </w:pPr>
            <w:r>
              <w:rPr>
                <w:sz w:val="18"/>
              </w:rPr>
              <w:t xml:space="preserve">CS, Board (read)</w:t>
            </w:r>
          </w:p>
        </w:tc>
      </w:tr>
      <w:tr>
        <w:tc>
          <w:tcPr>
            <w:tcW w:w="1947" w:type="dxa"/>
          </w:tcPr>
          <w:p>
            <w:pPr>
              <w:pStyle w:val="Compact"/>
              <w:spacing w:after="40"/>
              <w:jc w:val="left"/>
            </w:pPr>
            <w:r>
              <w:rPr>
                <w:rStyle w:val="VerbatimChar"/>
                <w:sz w:val="18"/>
              </w:rPr>
              <w:t xml:space="preserve">Audit › Secretarial › SS checks</w:t>
            </w:r>
          </w:p>
        </w:tc>
        <w:tc>
          <w:tcPr>
            <w:tcW w:w="2848" w:type="dxa"/>
          </w:tcPr>
          <w:p>
            <w:pPr>
              <w:pStyle w:val="Compact"/>
              <w:spacing w:after="40"/>
              <w:jc w:val="left"/>
            </w:pPr>
            <w:r>
              <w:rPr>
                <w:sz w:val="18"/>
              </w:rPr>
              <w:t xml:space="preserve">Per-meeting results (filters: meeting type, failed checks)</w:t>
            </w:r>
          </w:p>
        </w:tc>
        <w:tc>
          <w:tcPr>
            <w:tcW w:w="2721" w:type="dxa"/>
          </w:tcPr>
          <w:p>
            <w:pPr>
              <w:pStyle w:val="Compact"/>
              <w:spacing w:after="40"/>
              <w:jc w:val="left"/>
            </w:pPr>
            <w:r>
              <w:rPr>
                <w:sz w:val="18"/>
              </w:rPr>
              <w:t xml:space="preserve">Re-run after a correction; export exceptions</w:t>
            </w:r>
          </w:p>
        </w:tc>
        <w:tc>
          <w:tcPr>
            <w:tcW w:w="2122" w:type="dxa"/>
          </w:tcPr>
          <w:p>
            <w:pPr>
              <w:pStyle w:val="Compact"/>
              <w:spacing w:after="40"/>
              <w:jc w:val="left"/>
            </w:pPr>
            <w:r>
              <w:rPr>
                <w:sz w:val="18"/>
              </w:rPr>
              <w:t xml:space="preserve">CS, secretarial auditor</w:t>
            </w:r>
          </w:p>
        </w:tc>
      </w:tr>
    </w:tbl>
    <w:bookmarkEnd w:id="385"/>
    <w:bookmarkStart w:id="386" w:name="acceptance-tests-24"/>
    <w:p>
      <w:pPr>
        <w:pStyle w:val="Heading3"/>
      </w:pPr>
      <w:r>
        <w:t xml:space="preserve">Acceptance tests</w:t>
      </w:r>
    </w:p>
    <w:p>
      <w:pPr>
        <w:numPr>
          <w:ilvl w:val="0"/>
          <w:numId w:val="1376"/>
        </w:numPr>
        <w:pStyle w:val="Compact"/>
      </w:pPr>
      <w:r>
        <w:t xml:space="preserve">A public unlisted company with paid-up capital of ₹55 crore is flagged for s.204 audit; MR-3 cannot be finalised without a signed opinion.</w:t>
      </w:r>
    </w:p>
    <w:p>
      <w:pPr>
        <w:numPr>
          <w:ilvl w:val="0"/>
          <w:numId w:val="1376"/>
        </w:numPr>
        <w:pStyle w:val="Compact"/>
      </w:pPr>
      <w:r>
        <w:t xml:space="preserve">A PCS who is not peer-reviewed cannot be appointed for a listed tenant; a firm entering a third 5-year term is rejected.</w:t>
      </w:r>
    </w:p>
    <w:p>
      <w:pPr>
        <w:numPr>
          <w:ilvl w:val="0"/>
          <w:numId w:val="1376"/>
        </w:numPr>
        <w:pStyle w:val="Compact"/>
      </w:pPr>
      <w:r>
        <w:t xml:space="preserve">A listed tenant whose compliance system is implemented by LawDocsComply cannot appoint an Infrabyx-linked PCS as secretarial auditor; the block cites LODR Reg 24A.</w:t>
      </w:r>
    </w:p>
    <w:p>
      <w:pPr>
        <w:numPr>
          <w:ilvl w:val="0"/>
          <w:numId w:val="1376"/>
        </w:numPr>
        <w:pStyle w:val="Compact"/>
      </w:pPr>
      <w:r>
        <w:t xml:space="preserve">A Board meeting whose minutes were signed on day 34 is flagged in the SS-1 check with the evidence link.</w:t>
      </w:r>
    </w:p>
    <w:p>
      <w:pPr>
        <w:numPr>
          <w:ilvl w:val="0"/>
          <w:numId w:val="1376"/>
        </w:numPr>
        <w:pStyle w:val="Compact"/>
      </w:pPr>
      <w:r>
        <w:t xml:space="preserve">The Secretarial Compliance Report due date for FY 2026-27 is computed as 60 days after 31 Mar 2027.</w:t>
      </w:r>
    </w:p>
    <w:p>
      <w:r>
        <w:pict>
          <v:rect style="width:0;height:1.5pt" o:hralign="center" o:hrstd="t" o:hr="t"/>
        </w:pict>
      </w:r>
    </w:p>
    <w:bookmarkEnd w:id="386"/>
    <w:bookmarkEnd w:id="387"/>
    <w:bookmarkStart w:id="396" w:name="X1f357d2e2dff811986a660402cc3dff3a1c8291"/>
    <w:p>
      <w:pPr>
        <w:pStyle w:val="Heading2"/>
      </w:pPr>
      <w:r>
        <w:t xml:space="preserve">AU7. Auditor and supervisor read-only workspaces</w:t>
      </w:r>
    </w:p>
    <w:bookmarkStart w:id="388" w:name="au7.1-legal-basis-and-scope-gap"/>
    <w:p>
      <w:pPr>
        <w:pStyle w:val="Heading3"/>
      </w:pPr>
      <w:r>
        <w:t xml:space="preserve">AU7.1 Legal basis and scope gap</w:t>
      </w:r>
    </w:p>
    <w:p>
      <w:pPr>
        <w:numPr>
          <w:ilvl w:val="0"/>
          <w:numId w:val="1377"/>
        </w:numPr>
        <w:pStyle w:val="Compact"/>
      </w:pPr>
      <w:r>
        <w:rPr>
          <w:bCs/>
          <w:b/>
        </w:rPr>
        <w:t xml:space="preserve">RBI.</w:t>
      </w:r>
      <w:r>
        <w:t xml:space="preserve"> </w:t>
      </w:r>
      <w:r>
        <w:t xml:space="preserve">RBI may inspect an NBFC at any time and directors and officers must produce books and information (RBI Act s.45N [LAW] [VERIFY: text on India Code]); RBI may inspect and audit any group company of an NBFC (s.45NAA, inserted 2019 [LAW] [VERIFY]). Outsourcing contracts must give RBI access to the NBFC’s records held by the service provider within a reasonable time (OUT para 34(viii)) and the right to inspect the service provider (34(ix)); IT outsourcing contracts must give RBI the right to inspect the provider and its sub-contractors and to access the NBFC’s IT infrastructure, applications and data (74(xii)). The NBFC’s own auditors have audit rights over the provider (34(vii); 74(ii)).</w:t>
      </w:r>
    </w:p>
    <w:p>
      <w:pPr>
        <w:numPr>
          <w:ilvl w:val="0"/>
          <w:numId w:val="1377"/>
        </w:numPr>
        <w:pStyle w:val="Compact"/>
      </w:pPr>
      <w:r>
        <w:rPr>
          <w:bCs/>
          <w:b/>
        </w:rPr>
        <w:t xml:space="preserve">CYB scope gap.</w:t>
      </w:r>
      <w:r>
        <w:t xml:space="preserve"> </w:t>
      </w:r>
      <w:r>
        <w:t xml:space="preserve">Read-only MIS access for RBI supervisors (CYB para 46) and audit-mode access for auditors and inspecting or regulatory authorities (para 57) sit in Chapter IV, which applies</w:t>
      </w:r>
      <w:r>
        <w:t xml:space="preserve"> </w:t>
      </w:r>
      <w:r>
        <w:rPr>
          <w:bCs/>
          <w:b/>
        </w:rPr>
        <w:t xml:space="preserve">only</w:t>
      </w:r>
      <w:r>
        <w:t xml:space="preserve"> </w:t>
      </w:r>
      <w:r>
        <w:t xml:space="preserve">to BL NBFCs with assets ≥ ₹500 crore (CYB para 3(3)); Chapter V (ML and above) has no equivalent text, while SBR para 32 says lower-layer requirements flow upward unless stated otherwise.</w:t>
      </w:r>
      <w:r>
        <w:t xml:space="preserve"> </w:t>
      </w:r>
      <w:r>
        <w:rPr>
          <w:bCs/>
          <w:b/>
        </w:rPr>
        <w:t xml:space="preserve">Decision:</w:t>
      </w:r>
      <w:r>
        <w:t xml:space="preserve"> </w:t>
      </w:r>
      <w:r>
        <w:t xml:space="preserve">build the capability for every tenant; treat it as</w:t>
      </w:r>
      <w:r>
        <w:t xml:space="preserve"> </w:t>
      </w:r>
      <w:r>
        <w:rPr>
          <w:bCs/>
          <w:b/>
        </w:rPr>
        <w:t xml:space="preserve">mandatory for BL ≥ ₹500 crore</w:t>
      </w:r>
      <w:r>
        <w:t xml:space="preserve">, a</w:t>
      </w:r>
      <w:r>
        <w:t xml:space="preserve"> </w:t>
      </w:r>
      <w:r>
        <w:rPr>
          <w:bCs/>
          <w:b/>
        </w:rPr>
        <w:t xml:space="preserve">supervisory expectation for ML/UL</w:t>
      </w:r>
      <w:r>
        <w:t xml:space="preserve"> </w:t>
      </w:r>
      <w:r>
        <w:t xml:space="preserve">[interpretation], and available on request for everyone else; log the open question for RBI DoS CSITE clarification (Appendix B decision).</w:t>
      </w:r>
    </w:p>
    <w:p>
      <w:pPr>
        <w:numPr>
          <w:ilvl w:val="0"/>
          <w:numId w:val="1377"/>
        </w:numPr>
        <w:pStyle w:val="Compact"/>
      </w:pPr>
      <w:r>
        <w:rPr>
          <w:bCs/>
          <w:b/>
        </w:rPr>
        <w:t xml:space="preserve">Other authorities.</w:t>
      </w:r>
      <w:r>
        <w:t xml:space="preserve"> </w:t>
      </w:r>
      <w:r>
        <w:t xml:space="preserve">Banks: BR Act s.35 (UCBs through s.56) [LAW]; HFCs: NHB Act inspection powers [VERIFY: section]; StCB/DCCB: NABARD; co-operative societies: Registrar under the State Act or MSCS Act (</w:t>
      </w:r>
      <w:r>
        <w:rPr>
          <w:rStyle w:val="VerbatimChar"/>
        </w:rPr>
        <w:t xml:space="preserve">SCS</w:t>
      </w:r>
      <w:r>
        <w:t xml:space="preserve">,</w:t>
      </w:r>
      <w:r>
        <w:t xml:space="preserve"> </w:t>
      </w:r>
      <w:r>
        <w:rPr>
          <w:rStyle w:val="VerbatimChar"/>
        </w:rPr>
        <w:t xml:space="preserve">MSCS</w:t>
      </w:r>
      <w:r>
        <w:t xml:space="preserve">); IFSC entities: IFSCA; ARCs: SARFAESI s.12B [VERIFY].</w:t>
      </w:r>
    </w:p>
    <w:p>
      <w:pPr>
        <w:numPr>
          <w:ilvl w:val="0"/>
          <w:numId w:val="1377"/>
        </w:numPr>
        <w:pStyle w:val="Compact"/>
      </w:pPr>
      <w:r>
        <w:rPr>
          <w:bCs/>
          <w:b/>
        </w:rPr>
        <w:t xml:space="preserve">Auditors.</w:t>
      </w:r>
      <w:r>
        <w:t xml:space="preserve"> </w:t>
      </w:r>
      <w:r>
        <w:t xml:space="preserve">Statutory auditor’s right of access to books and vouchers (CA13 s.143(1) [VERIFY]); internal audit (IAF para 40); IS auditors (CYB para 57); secretarial auditor (CA13 s.204(2) duty to give assistance [VERIFY]); concurrent auditor (engagement letter).</w:t>
      </w:r>
    </w:p>
    <w:p>
      <w:pPr>
        <w:numPr>
          <w:ilvl w:val="0"/>
          <w:numId w:val="1377"/>
        </w:numPr>
        <w:pStyle w:val="Compact"/>
      </w:pPr>
      <w:r>
        <w:rPr>
          <w:bCs/>
          <w:b/>
        </w:rPr>
        <w:t xml:space="preserve">DPDP.</w:t>
      </w:r>
      <w:r>
        <w:t xml:space="preserve"> </w:t>
      </w:r>
      <w:r>
        <w:t xml:space="preserve">Processing for a function under law or for a legal obligation to disclose to the State is a legitimate use (DPDP s.7(c)–(d) [VERIFY: gazette text]); purpose limitation and security safeguards (s.8(5)) still apply, so exports must not be reused for other purposes.</w:t>
      </w:r>
    </w:p>
    <w:p>
      <w:pPr>
        <w:numPr>
          <w:ilvl w:val="0"/>
          <w:numId w:val="1377"/>
        </w:numPr>
        <w:pStyle w:val="Compact"/>
      </w:pPr>
      <w:r>
        <w:rPr>
          <w:bCs/>
          <w:b/>
        </w:rPr>
        <w:t xml:space="preserve">Who authorises.</w:t>
      </w:r>
      <w:r>
        <w:t xml:space="preserve"> </w:t>
      </w:r>
      <w:r>
        <w:t xml:space="preserve">The</w:t>
      </w:r>
      <w:r>
        <w:t xml:space="preserve"> </w:t>
      </w:r>
      <w:r>
        <w:rPr>
          <w:bCs/>
          <w:b/>
        </w:rPr>
        <w:t xml:space="preserve">tenant (RE) authorises</w:t>
      </w:r>
      <w:r>
        <w:t xml:space="preserve"> </w:t>
      </w:r>
      <w:r>
        <w:t xml:space="preserve">every grant. Finbyx provisions only on the RE’s approval. A direct RBI request to Finbyx as the RE’s service provider (OUT paras 34(ix), 74(xii)) is honoured after verifying the officers’ authority; Finbyx notifies the tenant within 1 hour unless legally barred, records counsel’s reference for any bar, and the RE’s approval records awareness without narrowing RBI’s scope (Integration Specification 4.7) [VERIFY: counsel opinion; Appendix B].</w:t>
      </w:r>
    </w:p>
    <w:bookmarkEnd w:id="388"/>
    <w:bookmarkStart w:id="389" w:name="au7.2-access-lifecycle"/>
    <w:p>
      <w:pPr>
        <w:pStyle w:val="Heading3"/>
      </w:pPr>
      <w:r>
        <w:t xml:space="preserve">AU7.2 Access lifecycle</w:t>
      </w:r>
    </w:p>
    <w:p>
      <w:pPr>
        <w:numPr>
          <w:ilvl w:val="0"/>
          <w:numId w:val="1378"/>
        </w:numPr>
        <w:pStyle w:val="Compact"/>
      </w:pPr>
      <w:r>
        <w:rPr>
          <w:bCs/>
          <w:b/>
        </w:rPr>
        <w:t xml:space="preserve">States</w:t>
      </w:r>
      <w:r>
        <w:t xml:space="preserve"> </w:t>
      </w:r>
      <w:r>
        <w:t xml:space="preserve">(Integration Specification 4.7).</w:t>
      </w:r>
      <w:r>
        <w:t xml:space="preserve"> </w:t>
      </w:r>
      <w:r>
        <w:rPr>
          <w:rStyle w:val="VerbatimChar"/>
        </w:rPr>
        <w:t xml:space="preserve">REQUESTED → BASIS_RECORDED → SCOPE_DEFINED → RE_APPROVED → PROVIDER_APPROVED → PROVISIONED → ACTIVE ⇄ EXTENDED → EXPIRED or REVOKED → ARCHIVED</w:t>
      </w:r>
      <w:r>
        <w:t xml:space="preserve">;</w:t>
      </w:r>
      <w:r>
        <w:t xml:space="preserve"> </w:t>
      </w:r>
      <w:r>
        <w:rPr>
          <w:rStyle w:val="VerbatimChar"/>
        </w:rPr>
        <w:t xml:space="preserve">REJECTED</w:t>
      </w:r>
      <w:r>
        <w:t xml:space="preserve"> </w:t>
      </w:r>
      <w:r>
        <w:t xml:space="preserve">(reason) from any state before</w:t>
      </w:r>
      <w:r>
        <w:t xml:space="preserve"> </w:t>
      </w:r>
      <w:r>
        <w:rPr>
          <w:rStyle w:val="VerbatimChar"/>
        </w:rPr>
        <w:t xml:space="preserve">RE_APPROVED</w:t>
      </w:r>
      <w:r>
        <w:t xml:space="preserve">.</w:t>
      </w:r>
    </w:p>
    <w:p>
      <w:pPr>
        <w:numPr>
          <w:ilvl w:val="1"/>
          <w:numId w:val="1379"/>
        </w:numPr>
        <w:pStyle w:val="Compact"/>
      </w:pPr>
      <w:r>
        <w:rPr>
          <w:rStyle w:val="VerbatimChar"/>
        </w:rPr>
        <w:t xml:space="preserve">REQUESTED</w:t>
      </w:r>
      <w:r>
        <w:t xml:space="preserve">:</w:t>
      </w:r>
      <w:r>
        <w:t xml:space="preserve"> </w:t>
      </w:r>
      <w:r>
        <w:rPr>
          <w:rStyle w:val="VerbatimChar"/>
        </w:rPr>
        <w:t xml:space="preserve">grantee_type</w:t>
      </w:r>
      <w:r>
        <w:t xml:space="preserve"> </w:t>
      </w:r>
      <w:r>
        <w:t xml:space="preserve">from the Integration Specification 4.7 code table (RBI_SUPERVISOR, RBI_INSPECTION_TEAM, NHB, NABARD, IFSCA, REGISTRAR_INSPECTOR, RE_STATUTORY_AUDITOR, RE_INTERNAL_AUDITOR, RE_CONCURRENT_AUDITOR, RE_IS_AUDITOR, RE_SECRETARIAL_AUDITOR, RE_TAX_AUDITOR, POOLED_AUDIT_FIRM, COOP_AUDITOR, CO_LENDER_OR_INVESTOR_AUDITOR, PROVIDER_ASSURANCE), organisation, request document (RBI letter, DAKSH reference, engagement letter). Owner: CCO office; a request idle for 5 working days is escalated.</w:t>
      </w:r>
    </w:p>
    <w:p>
      <w:pPr>
        <w:numPr>
          <w:ilvl w:val="1"/>
          <w:numId w:val="1379"/>
        </w:numPr>
        <w:pStyle w:val="Compact"/>
      </w:pPr>
      <w:r>
        <w:rPr>
          <w:rStyle w:val="VerbatimChar"/>
        </w:rPr>
        <w:t xml:space="preserve">BASIS_RECORDED</w:t>
      </w:r>
      <w:r>
        <w:t xml:space="preserve">:</w:t>
      </w:r>
      <w:r>
        <w:t xml:space="preserve"> </w:t>
      </w:r>
      <w:r>
        <w:rPr>
          <w:rStyle w:val="VerbatimChar"/>
        </w:rPr>
        <w:t xml:space="preserve">basis_code</w:t>
      </w:r>
      <w:r>
        <w:t xml:space="preserve"> </w:t>
      </w:r>
      <w:r>
        <w:t xml:space="preserve">(RBI_S45N, RBI_S45NAA, OUT_34_VII, OUT_34_VIII, OUT_34_IX, OUT_74_II, OUT_74_XII, OUT_81, OUT_77_POOLED, CYB_46, CYB_57, CA13_S143_1, CA13_S204, IAF_40, BR_S35, NHB_ACT, NABARD, IFSCA, STATE_COOP_ACT, MSCS, CONTRACT), inspection or engagement identifier. No basis, no progress.</w:t>
      </w:r>
    </w:p>
    <w:p>
      <w:pPr>
        <w:numPr>
          <w:ilvl w:val="1"/>
          <w:numId w:val="1379"/>
        </w:numPr>
        <w:pStyle w:val="Compact"/>
      </w:pPr>
      <w:r>
        <w:rPr>
          <w:rStyle w:val="VerbatimChar"/>
        </w:rPr>
        <w:t xml:space="preserve">SCOPE_DEFINED</w:t>
      </w:r>
      <w:r>
        <w:t xml:space="preserve">: legal entities, periods, modules and datasets, record filters (for example branches under inspection),</w:t>
      </w:r>
      <w:r>
        <w:t xml:space="preserve"> </w:t>
      </w:r>
      <w:r>
        <w:rPr>
          <w:rStyle w:val="VerbatimChar"/>
        </w:rPr>
        <w:t xml:space="preserve">pii_level</w:t>
      </w:r>
      <w:r>
        <w:t xml:space="preserve"> </w:t>
      </w:r>
      <w:r>
        <w:t xml:space="preserve">(MASKED default, UNMASK_ON_REQUEST, FULL),</w:t>
      </w:r>
      <w:r>
        <w:t xml:space="preserve"> </w:t>
      </w:r>
      <w:r>
        <w:rPr>
          <w:rStyle w:val="VerbatimChar"/>
        </w:rPr>
        <w:t xml:space="preserve">export_level</w:t>
      </w:r>
      <w:r>
        <w:t xml:space="preserve"> </w:t>
      </w:r>
      <w:r>
        <w:t xml:space="preserve">(NONE, AGGREGATE, CAPPED_RECORDS, FULL),</w:t>
      </w:r>
      <w:r>
        <w:t xml:space="preserve"> </w:t>
      </w:r>
      <w:r>
        <w:rPr>
          <w:rStyle w:val="VerbatimChar"/>
        </w:rPr>
        <w:t xml:space="preserve">query_level</w:t>
      </w:r>
      <w:r>
        <w:t xml:space="preserve"> </w:t>
      </w:r>
      <w:r>
        <w:t xml:space="preserve">(DASHBOARDS, REPORT_CATALOGUE, ADHOC_READONLY), valid_from and valid_to. Default validity: the inspection or engagement window;</w:t>
      </w:r>
      <w:r>
        <w:t xml:space="preserve"> </w:t>
      </w:r>
      <w:r>
        <w:rPr>
          <w:bCs/>
          <w:b/>
        </w:rPr>
        <w:t xml:space="preserve">hard maximum 90 days per grant</w:t>
      </w:r>
      <w:r>
        <w:t xml:space="preserve"> </w:t>
      </w:r>
      <w:r>
        <w:t xml:space="preserve">(Appendix B), renewable only by fresh approval.</w:t>
      </w:r>
    </w:p>
    <w:p>
      <w:pPr>
        <w:numPr>
          <w:ilvl w:val="1"/>
          <w:numId w:val="1379"/>
        </w:numPr>
        <w:pStyle w:val="Compact"/>
      </w:pPr>
      <w:r>
        <w:rPr>
          <w:rStyle w:val="VerbatimChar"/>
        </w:rPr>
        <w:t xml:space="preserve">RE_APPROVED</w:t>
      </w:r>
      <w:r>
        <w:t xml:space="preserve">: maker (CCO or nominee; CFO for statutory auditors) and checker (CISO or an MD &amp; CEO delegate); FULL PII or FULL export needs a second RE approval; self-approval blocked. Tenant option: both CISO and MD &amp; CEO delegate as checkers for supervisor grants.</w:t>
      </w:r>
    </w:p>
    <w:p>
      <w:pPr>
        <w:numPr>
          <w:ilvl w:val="1"/>
          <w:numId w:val="1379"/>
        </w:numPr>
        <w:pStyle w:val="Compact"/>
      </w:pPr>
      <w:r>
        <w:rPr>
          <w:rStyle w:val="VerbatimChar"/>
        </w:rPr>
        <w:t xml:space="preserve">PROVIDER_APPROVED</w:t>
      </w:r>
      <w:r>
        <w:t xml:space="preserve">: automated Finbyx check that the scope maps to existing datasets and roles; the provider may not refuse a valid RE-approved or RBI request, only confirm provisioning against scope; failure returns the grant to</w:t>
      </w:r>
      <w:r>
        <w:t xml:space="preserve"> </w:t>
      </w:r>
      <w:r>
        <w:rPr>
          <w:rStyle w:val="VerbatimChar"/>
        </w:rPr>
        <w:t xml:space="preserve">SCOPE_DEFINED</w:t>
      </w:r>
      <w:r>
        <w:t xml:space="preserve"> </w:t>
      </w:r>
      <w:r>
        <w:t xml:space="preserve">with the reason.</w:t>
      </w:r>
    </w:p>
    <w:p>
      <w:pPr>
        <w:numPr>
          <w:ilvl w:val="1"/>
          <w:numId w:val="1379"/>
        </w:numPr>
        <w:pStyle w:val="Compact"/>
      </w:pPr>
      <w:r>
        <w:rPr>
          <w:rStyle w:val="VerbatimChar"/>
        </w:rPr>
        <w:t xml:space="preserve">PROVISIONED</w:t>
      </w:r>
      <w:r>
        <w:t xml:space="preserve">: named individual accounts only (no shared or generic logins, no break-glass reuse); identity verified through the requesting organisation’s e-mail domain (</w:t>
      </w:r>
      <w:r>
        <w:rPr>
          <w:rStyle w:val="VerbatimChar"/>
        </w:rPr>
        <w:t xml:space="preserve">rbi.org.in</w:t>
      </w:r>
      <w:r>
        <w:t xml:space="preserve"> </w:t>
      </w:r>
      <w:r>
        <w:t xml:space="preserve">for RBI officials, the firm’s domain for auditors) plus the tenant’s confirmation; MFA mandatory; optional IP allow-list; device-session binding; confidentiality banner citing the basis (RBI Act s.45NB [VERIFY]). Target: ≤ 1 working day; RBI requests the same day [REC].</w:t>
      </w:r>
    </w:p>
    <w:p>
      <w:pPr>
        <w:numPr>
          <w:ilvl w:val="1"/>
          <w:numId w:val="1379"/>
        </w:numPr>
        <w:pStyle w:val="Compact"/>
      </w:pPr>
      <w:r>
        <w:rPr>
          <w:rStyle w:val="VerbatimChar"/>
        </w:rPr>
        <w:t xml:space="preserve">ACTIVE ⇄ EXTENDED</w:t>
      </w:r>
      <w:r>
        <w:t xml:space="preserve">: usage logged; an extension is a fresh RE approval with a new valid_to no more than 90 days after the extension approval; a scope change is a new grant.</w:t>
      </w:r>
    </w:p>
    <w:p>
      <w:pPr>
        <w:numPr>
          <w:ilvl w:val="1"/>
          <w:numId w:val="1379"/>
        </w:numPr>
        <w:pStyle w:val="Compact"/>
      </w:pPr>
      <w:r>
        <w:rPr>
          <w:rStyle w:val="VerbatimChar"/>
        </w:rPr>
        <w:t xml:space="preserve">EXPIRED</w:t>
      </w:r>
      <w:r>
        <w:t xml:space="preserve"> </w:t>
      </w:r>
      <w:r>
        <w:t xml:space="preserve">or</w:t>
      </w:r>
      <w:r>
        <w:t xml:space="preserve"> </w:t>
      </w:r>
      <w:r>
        <w:rPr>
          <w:rStyle w:val="VerbatimChar"/>
        </w:rPr>
        <w:t xml:space="preserve">REVOKED</w:t>
      </w:r>
      <w:r>
        <w:t xml:space="preserve">: sessions terminated within 60 seconds; tokens invalidated;</w:t>
      </w:r>
      <w:r>
        <w:t xml:space="preserve"> </w:t>
      </w:r>
      <w:r>
        <w:rPr>
          <w:rStyle w:val="VerbatimChar"/>
        </w:rPr>
        <w:t xml:space="preserve">ExternalAccessRevoked</w:t>
      </w:r>
      <w:r>
        <w:t xml:space="preserve"> </w:t>
      </w:r>
      <w:r>
        <w:t xml:space="preserve">emitted within 15 minutes. Revocation reasons: EXPIRY, RE_REVOCATION, SECURITY_EVENT.</w:t>
      </w:r>
    </w:p>
    <w:p>
      <w:pPr>
        <w:numPr>
          <w:ilvl w:val="1"/>
          <w:numId w:val="1379"/>
        </w:numPr>
        <w:pStyle w:val="Compact"/>
      </w:pPr>
      <w:r>
        <w:rPr>
          <w:rStyle w:val="VerbatimChar"/>
        </w:rPr>
        <w:t xml:space="preserve">ARCHIVED</w:t>
      </w:r>
      <w:r>
        <w:t xml:space="preserve">: grant, scope, logs and exports retained for the inspection cycle plus 8 years [REC; no RBI period found — align with CA13 s.128(5) 8 years and PMLA 5 years].</w:t>
      </w:r>
    </w:p>
    <w:p>
      <w:pPr>
        <w:numPr>
          <w:ilvl w:val="0"/>
          <w:numId w:val="1378"/>
        </w:numPr>
        <w:pStyle w:val="Compact"/>
      </w:pPr>
      <w:r>
        <w:rPr>
          <w:bCs/>
          <w:b/>
        </w:rPr>
        <w:t xml:space="preserve">Events</w:t>
      </w:r>
      <w:r>
        <w:t xml:space="preserve"> </w:t>
      </w:r>
      <w:r>
        <w:t xml:space="preserve">(Integration Specification 6.21).</w:t>
      </w:r>
      <w:r>
        <w:t xml:space="preserve"> </w:t>
      </w:r>
      <w:r>
        <w:rPr>
          <w:rStyle w:val="VerbatimChar"/>
        </w:rPr>
        <w:t xml:space="preserve">ExternalAccessGranted</w:t>
      </w:r>
      <w:r>
        <w:t xml:space="preserve"> </w:t>
      </w:r>
      <w:r>
        <w:t xml:space="preserve">on</w:t>
      </w:r>
      <w:r>
        <w:t xml:space="preserve"> </w:t>
      </w:r>
      <w:r>
        <w:rPr>
          <w:rStyle w:val="VerbatimChar"/>
        </w:rPr>
        <w:t xml:space="preserve">PROVISIONED</w:t>
      </w:r>
      <w:r>
        <w:t xml:space="preserve"> </w:t>
      </w:r>
      <w:r>
        <w:t xml:space="preserve">(grant_id, grantee type, basis code, scope summary, PII, export and query levels, valid_to, pseudonymous user references; no other personal data of the individual),</w:t>
      </w:r>
      <w:r>
        <w:t xml:space="preserve"> </w:t>
      </w:r>
      <w:r>
        <w:rPr>
          <w:rStyle w:val="VerbatimChar"/>
        </w:rPr>
        <w:t xml:space="preserve">ExternalAccessUsed</w:t>
      </w:r>
      <w:r>
        <w:t xml:space="preserve"> </w:t>
      </w:r>
      <w:r>
        <w:t xml:space="preserve">(daily per grant by 09:00 IST next day: views, queries, rows viewed, exports with count, bytes and hashes, unmask events, alerts),</w:t>
      </w:r>
      <w:r>
        <w:t xml:space="preserve"> </w:t>
      </w:r>
      <w:r>
        <w:rPr>
          <w:rStyle w:val="VerbatimChar"/>
        </w:rPr>
        <w:t xml:space="preserve">ExternalAccessRevoked</w:t>
      </w:r>
      <w:r>
        <w:t xml:space="preserve"> </w:t>
      </w:r>
      <w:r>
        <w:t xml:space="preserve">(reason, sessions_terminated_at). Consumers: the RE’s register and GRC destination (LawDocsComply where used), the tenant’s SIEM (Part 10.6 item 20), and the Operations Hub consolidated regulatory-access log (counts only; no tenant data). Grants for the same RE in Udofin, LawDocsComply or another Finbyx tenant are federated through</w:t>
      </w:r>
      <w:r>
        <w:t xml:space="preserve"> </w:t>
      </w:r>
      <w:r>
        <w:rPr>
          <w:rStyle w:val="VerbatimChar"/>
        </w:rPr>
        <w:t xml:space="preserve">POST /v1/external-access/grants</w:t>
      </w:r>
      <w:r>
        <w:t xml:space="preserve"> </w:t>
      </w:r>
      <w:r>
        <w:t xml:space="preserve">and revoked everywhere through</w:t>
      </w:r>
      <w:r>
        <w:t xml:space="preserve"> </w:t>
      </w:r>
      <w:r>
        <w:rPr>
          <w:rStyle w:val="VerbatimChar"/>
        </w:rPr>
        <w:t xml:space="preserve">DELETE /v1/external-access/grants/{id}</w:t>
      </w:r>
      <w:r>
        <w:t xml:space="preserve">.</w:t>
      </w:r>
    </w:p>
    <w:bookmarkEnd w:id="389"/>
    <w:bookmarkStart w:id="390" w:name="au7.3-technical-controls"/>
    <w:p>
      <w:pPr>
        <w:pStyle w:val="Heading3"/>
      </w:pPr>
      <w:r>
        <w:t xml:space="preserve">AU7.3 Technical controls</w:t>
      </w:r>
    </w:p>
    <w:p>
      <w:pPr>
        <w:numPr>
          <w:ilvl w:val="0"/>
          <w:numId w:val="1380"/>
        </w:numPr>
        <w:pStyle w:val="Compact"/>
      </w:pPr>
      <w:r>
        <w:rPr>
          <w:bCs/>
          <w:b/>
        </w:rPr>
        <w:t xml:space="preserve">Data plane.</w:t>
      </w:r>
      <w:r>
        <w:t xml:space="preserve"> </w:t>
      </w:r>
      <w:r>
        <w:t xml:space="preserve">A read-only replica or a point-in-time snapshot per grant (tenant choice; default snapshot as of the inspection reference date plus live read-only replica for current MIS); database roles with SELECT only; API scope</w:t>
      </w:r>
      <w:r>
        <w:t xml:space="preserve"> </w:t>
      </w:r>
      <w:r>
        <w:rPr>
          <w:rStyle w:val="VerbatimChar"/>
        </w:rPr>
        <w:t xml:space="preserve">external.workspace:read</w:t>
      </w:r>
      <w:r>
        <w:t xml:space="preserve"> </w:t>
      </w:r>
      <w:r>
        <w:t xml:space="preserve">only; no write path exists in the workspace application (enforced at the database role, the API gateway and the UI).</w:t>
      </w:r>
    </w:p>
    <w:p>
      <w:pPr>
        <w:numPr>
          <w:ilvl w:val="0"/>
          <w:numId w:val="1380"/>
        </w:numPr>
        <w:pStyle w:val="Compact"/>
      </w:pPr>
      <w:r>
        <w:rPr>
          <w:bCs/>
          <w:b/>
        </w:rPr>
        <w:t xml:space="preserve">Row-level and field-level security.</w:t>
      </w:r>
      <w:r>
        <w:t xml:space="preserve"> </w:t>
      </w:r>
      <w:r>
        <w:t xml:space="preserve">Row filters from the scope (entity, branch, period); masking of PAN, Aadhaar (never stored unmasked in Finbyx in any case — KYC rules), account numbers, phone and email by default.</w:t>
      </w:r>
      <w:r>
        <w:t xml:space="preserve"> </w:t>
      </w:r>
      <w:r>
        <w:rPr>
          <w:bCs/>
          <w:b/>
        </w:rPr>
        <w:t xml:space="preserve">Unmasking</w:t>
      </w:r>
      <w:r>
        <w:t xml:space="preserve"> </w:t>
      </w:r>
      <w:r>
        <w:t xml:space="preserve">is per record, needs a typed reason, is logged and, for record-level PII, requires the scope to allow it.</w:t>
      </w:r>
    </w:p>
    <w:p>
      <w:pPr>
        <w:numPr>
          <w:ilvl w:val="0"/>
          <w:numId w:val="1380"/>
        </w:numPr>
        <w:pStyle w:val="Compact"/>
      </w:pPr>
      <w:r>
        <w:rPr>
          <w:bCs/>
          <w:b/>
        </w:rPr>
        <w:t xml:space="preserve">Viewable:</w:t>
      </w:r>
      <w:r>
        <w:t xml:space="preserve"> </w:t>
      </w:r>
      <w:r>
        <w:t xml:space="preserve">governed metrics with lineage (Part 7E RK6), the M17 report catalogue, returns with cell lineage (Part 7B RR2), the audit-trail viewer (Part 7C AC7), masked loan and customer 360, and documents, policies, minutes and audit files in scope.</w:t>
      </w:r>
    </w:p>
    <w:p>
      <w:pPr>
        <w:numPr>
          <w:ilvl w:val="0"/>
          <w:numId w:val="1380"/>
        </w:numPr>
        <w:pStyle w:val="Compact"/>
      </w:pPr>
      <w:r>
        <w:rPr>
          <w:bCs/>
          <w:b/>
        </w:rPr>
        <w:t xml:space="preserve">Ad hoc query (optional per scope).</w:t>
      </w:r>
      <w:r>
        <w:t xml:space="preserve"> </w:t>
      </w:r>
      <w:r>
        <w:t xml:space="preserve">A read-only SQL or query-builder sandbox over a curated, masked schema; row limits and timeouts; every query text, row count and fields returned logged.</w:t>
      </w:r>
    </w:p>
    <w:p>
      <w:pPr>
        <w:numPr>
          <w:ilvl w:val="0"/>
          <w:numId w:val="1380"/>
        </w:numPr>
        <w:pStyle w:val="Compact"/>
      </w:pPr>
      <w:r>
        <w:rPr>
          <w:bCs/>
          <w:b/>
        </w:rPr>
        <w:t xml:space="preserve">Exports.</w:t>
      </w:r>
      <w:r>
        <w:t xml:space="preserve"> </w:t>
      </w:r>
      <w:r>
        <w:t xml:space="preserve">Allowed only if the scope permits; each export is watermarked (grantee name, organisation, grant id, timestamp,</w:t>
      </w:r>
      <w:r>
        <w:t xml:space="preserve"> </w:t>
      </w:r>
      <w:r>
        <w:t xml:space="preserve">“</w:t>
      </w:r>
      <w:r>
        <w:t xml:space="preserve">Confidential — supplied under [basis]</w:t>
      </w:r>
      <w:r>
        <w:t xml:space="preserve">”</w:t>
      </w:r>
      <w:r>
        <w:t xml:space="preserve">), hashed, capped (default 50,000 rows per export, configurable), logged with the file hash and delivered through the workspace download only (no email). Bulk PII export needs explicit scope and a second RE approval.</w:t>
      </w:r>
    </w:p>
    <w:p>
      <w:pPr>
        <w:numPr>
          <w:ilvl w:val="0"/>
          <w:numId w:val="1380"/>
        </w:numPr>
        <w:pStyle w:val="Compact"/>
      </w:pPr>
      <w:r>
        <w:rPr>
          <w:bCs/>
          <w:b/>
        </w:rPr>
        <w:t xml:space="preserve">Session and anomaly controls.</w:t>
      </w:r>
      <w:r>
        <w:t xml:space="preserve"> </w:t>
      </w:r>
      <w:r>
        <w:t xml:space="preserve">Idle timeout 15 minutes, absolute session 8 hours; alerts to the CCO and CISO on unusual volumes (for example &gt; 10× the grant’s daily median rows), access outside the scope window, or repeated unmask attempts.</w:t>
      </w:r>
    </w:p>
    <w:p>
      <w:pPr>
        <w:numPr>
          <w:ilvl w:val="0"/>
          <w:numId w:val="1380"/>
        </w:numPr>
        <w:pStyle w:val="Compact"/>
      </w:pPr>
      <w:r>
        <w:rPr>
          <w:bCs/>
          <w:b/>
        </w:rPr>
        <w:t xml:space="preserve">Daily activity report</w:t>
      </w:r>
      <w:r>
        <w:t xml:space="preserve"> </w:t>
      </w:r>
      <w:r>
        <w:t xml:space="preserve">to the CCO and the grant approvers: logins, views, queries, exports, unmasking, alerts.</w:t>
      </w:r>
    </w:p>
    <w:bookmarkEnd w:id="390"/>
    <w:bookmarkStart w:id="391" w:name="au7.4-supervisor-specific-features"/>
    <w:p>
      <w:pPr>
        <w:pStyle w:val="Heading3"/>
      </w:pPr>
      <w:r>
        <w:t xml:space="preserve">AU7.4 Supervisor-specific features</w:t>
      </w:r>
    </w:p>
    <w:p>
      <w:pPr>
        <w:numPr>
          <w:ilvl w:val="0"/>
          <w:numId w:val="1381"/>
        </w:numPr>
        <w:pStyle w:val="Compact"/>
      </w:pPr>
      <w:r>
        <w:rPr>
          <w:bCs/>
          <w:b/>
        </w:rPr>
        <w:t xml:space="preserve">Inspection room.</w:t>
      </w:r>
      <w:r>
        <w:t xml:space="preserve"> </w:t>
      </w:r>
      <w:r>
        <w:t xml:space="preserve">Pre-loaded for an RBI inspection: reference-date snapshot, returns filed with acknowledgements and cell lineage (Part 7B), compliance register and RMP/MAP, policies, minutes index, fraud and complaint registers, large exposures, related-party register, CRAR and LCR with lineage.</w:t>
      </w:r>
    </w:p>
    <w:p>
      <w:pPr>
        <w:numPr>
          <w:ilvl w:val="0"/>
          <w:numId w:val="1381"/>
        </w:numPr>
        <w:pStyle w:val="Compact"/>
      </w:pPr>
      <w:r>
        <w:rPr>
          <w:bCs/>
          <w:b/>
        </w:rPr>
        <w:t xml:space="preserve">Data requests.</w:t>
      </w:r>
      <w:r>
        <w:t xml:space="preserve"> </w:t>
      </w:r>
      <w:r>
        <w:t xml:space="preserve">Supervisor information requests (DAKSH or letter) are logged; responses prepared in Finbyx are reviewed by the CCO and submitted by the tenant through the official channel; the workspace only records the response pack and its hash (Part 7B RR5).</w:t>
      </w:r>
    </w:p>
    <w:p>
      <w:pPr>
        <w:numPr>
          <w:ilvl w:val="0"/>
          <w:numId w:val="1381"/>
        </w:numPr>
        <w:pStyle w:val="Compact"/>
      </w:pPr>
      <w:r>
        <w:rPr>
          <w:bCs/>
          <w:b/>
        </w:rPr>
        <w:t xml:space="preserve">No supervisor data pull is assumed.</w:t>
      </w:r>
      <w:r>
        <w:t xml:space="preserve"> </w:t>
      </w:r>
      <w:r>
        <w:t xml:space="preserve">No RBI API for pulling NBFC data has been published [VERIFY: RBI SupTech developments]; CIMS remains the returns channel (SR para 4(1)).</w:t>
      </w:r>
    </w:p>
    <w:bookmarkEnd w:id="391"/>
    <w:bookmarkStart w:id="392" w:name="Xc325ef457fb787d4fd5acce7191494140944e89"/>
    <w:p>
      <w:pPr>
        <w:pStyle w:val="Heading3"/>
      </w:pPr>
      <w:r>
        <w:t xml:space="preserve">AU7.5 Auditor features, Udofin and the Operations Hub</w:t>
      </w:r>
    </w:p>
    <w:p>
      <w:pPr>
        <w:numPr>
          <w:ilvl w:val="0"/>
          <w:numId w:val="1382"/>
        </w:numPr>
        <w:pStyle w:val="Compact"/>
      </w:pPr>
      <w:r>
        <w:rPr>
          <w:bCs/>
          <w:b/>
        </w:rPr>
        <w:t xml:space="preserve">Auditors:</w:t>
      </w:r>
      <w:r>
        <w:t xml:space="preserve"> </w:t>
      </w:r>
      <w:r>
        <w:t xml:space="preserve">engagement-scoped access linked to the AU2 engagement, PBC portal (AU5.2), query log, internal-audit reports where the tenant shares them (SA 610), upload area for requests and management letters. Auditors auditing Finbyx itself (OUT 34(vii), 74(ii)) get a separate provider-assurance room (SOC reports, VAPT summaries, BCP/DR evidence, sub-processor list; Part 10.6 items 9, 14, 16).</w:t>
      </w:r>
    </w:p>
    <w:p>
      <w:pPr>
        <w:numPr>
          <w:ilvl w:val="0"/>
          <w:numId w:val="1382"/>
        </w:numPr>
        <w:pStyle w:val="Compact"/>
      </w:pPr>
      <w:r>
        <w:rPr>
          <w:bCs/>
          <w:b/>
        </w:rPr>
        <w:t xml:space="preserve">Udofin:</w:t>
      </w:r>
      <w:r>
        <w:t xml:space="preserve"> </w:t>
      </w:r>
      <w:r>
        <w:t xml:space="preserve">no s.45N power reaches a non-group LSP; access flows through the RE’s contract (OUT 34(ix), 74(xii)) via Udofin’s RE-delegated read-only mode (Udofin Part 7H RA2); the grant record lives in the RE’s AU7 register.</w:t>
      </w:r>
    </w:p>
    <w:p>
      <w:pPr>
        <w:numPr>
          <w:ilvl w:val="0"/>
          <w:numId w:val="1382"/>
        </w:numPr>
        <w:pStyle w:val="Compact"/>
      </w:pPr>
      <w:r>
        <w:rPr>
          <w:bCs/>
          <w:b/>
        </w:rPr>
        <w:t xml:space="preserve">Operations Hub:</w:t>
      </w:r>
      <w:r>
        <w:t xml:space="preserve"> </w:t>
      </w:r>
      <w:r>
        <w:t xml:space="preserve">count-level consolidated access log only; never tenant data.</w:t>
      </w:r>
    </w:p>
    <w:bookmarkEnd w:id="392"/>
    <w:bookmarkStart w:id="393" w:name="settings-and-options-6"/>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29"/>
        <w:gridCol w:w="3221"/>
        <w:gridCol w:w="1300"/>
        <w:gridCol w:w="2888"/>
      </w:tblGrid>
      <w:tr>
        <w:trPr>
          <w:tblHeader w:val="true"/>
          <w:tblHeader w:val="true"/>
        </w:trPr>
        <w:tc>
          <w:tcPr>
            <w:tcW w:w="2229" w:type="dxa"/>
            <w:shd w:val="clear" w:color="auto" w:fill="1F3A5F"/>
          </w:tcPr>
          <w:p>
            <w:pPr>
              <w:pStyle w:val="Compact"/>
              <w:spacing w:after="40"/>
              <w:jc w:val="left"/>
            </w:pPr>
            <w:r>
              <w:rPr>
                <w:b/>
                <w:color w:val="FFFFFF"/>
                <w:sz w:val="18"/>
              </w:rPr>
              <w:t xml:space="preserve">Setting</w:t>
            </w:r>
          </w:p>
        </w:tc>
        <w:tc>
          <w:tcPr>
            <w:tcW w:w="3221" w:type="dxa"/>
            <w:shd w:val="clear" w:color="auto" w:fill="1F3A5F"/>
          </w:tcPr>
          <w:p>
            <w:pPr>
              <w:pStyle w:val="Compact"/>
              <w:spacing w:after="40"/>
              <w:jc w:val="left"/>
            </w:pPr>
            <w:r>
              <w:rPr>
                <w:b/>
                <w:color w:val="FFFFFF"/>
                <w:sz w:val="18"/>
              </w:rPr>
              <w:t xml:space="preserve">Default</w:t>
            </w:r>
          </w:p>
        </w:tc>
        <w:tc>
          <w:tcPr>
            <w:tcW w:w="1300" w:type="dxa"/>
            <w:shd w:val="clear" w:color="auto" w:fill="1F3A5F"/>
          </w:tcPr>
          <w:p>
            <w:pPr>
              <w:pStyle w:val="Compact"/>
              <w:spacing w:after="40"/>
              <w:jc w:val="left"/>
            </w:pPr>
            <w:r>
              <w:rPr>
                <w:b/>
                <w:color w:val="FFFFFF"/>
                <w:sz w:val="18"/>
              </w:rPr>
              <w:t xml:space="preserve">Level</w:t>
            </w:r>
          </w:p>
        </w:tc>
        <w:tc>
          <w:tcPr>
            <w:tcW w:w="2888" w:type="dxa"/>
            <w:shd w:val="clear" w:color="auto" w:fill="1F3A5F"/>
          </w:tcPr>
          <w:p>
            <w:pPr>
              <w:pStyle w:val="Compact"/>
              <w:spacing w:after="40"/>
              <w:jc w:val="left"/>
            </w:pPr>
            <w:r>
              <w:rPr>
                <w:b/>
                <w:color w:val="FFFFFF"/>
                <w:sz w:val="18"/>
              </w:rPr>
              <w:t xml:space="preserve">Floor or choice</w:t>
            </w:r>
          </w:p>
        </w:tc>
      </w:tr>
      <w:tr>
        <w:tc>
          <w:tcPr>
            <w:tcW w:w="2229" w:type="dxa"/>
          </w:tcPr>
          <w:p>
            <w:pPr>
              <w:pStyle w:val="Compact"/>
              <w:spacing w:after="40"/>
              <w:jc w:val="left"/>
            </w:pPr>
            <w:r>
              <w:rPr>
                <w:sz w:val="18"/>
              </w:rPr>
              <w:t xml:space="preserve">Grant validity</w:t>
            </w:r>
          </w:p>
        </w:tc>
        <w:tc>
          <w:tcPr>
            <w:tcW w:w="3221" w:type="dxa"/>
          </w:tcPr>
          <w:p>
            <w:pPr>
              <w:pStyle w:val="Compact"/>
              <w:spacing w:after="40"/>
              <w:jc w:val="left"/>
            </w:pPr>
            <w:r>
              <w:rPr>
                <w:sz w:val="18"/>
              </w:rPr>
              <w:t xml:space="preserve">Inspection or engagement window</w:t>
            </w:r>
          </w:p>
        </w:tc>
        <w:tc>
          <w:tcPr>
            <w:tcW w:w="1300" w:type="dxa"/>
          </w:tcPr>
          <w:p>
            <w:pPr>
              <w:pStyle w:val="Compact"/>
              <w:spacing w:after="40"/>
              <w:jc w:val="left"/>
            </w:pPr>
            <w:r>
              <w:rPr>
                <w:sz w:val="18"/>
              </w:rPr>
              <w:t xml:space="preserve">Grant</w:t>
            </w:r>
          </w:p>
        </w:tc>
        <w:tc>
          <w:tcPr>
            <w:tcW w:w="2888" w:type="dxa"/>
          </w:tcPr>
          <w:p>
            <w:pPr>
              <w:pStyle w:val="Compact"/>
              <w:spacing w:after="40"/>
              <w:jc w:val="left"/>
            </w:pPr>
            <w:r>
              <w:rPr>
                <w:sz w:val="18"/>
              </w:rPr>
              <w:t xml:space="preserve">Hard maximum 90 days (floor); extension by fresh approval</w:t>
            </w:r>
          </w:p>
        </w:tc>
      </w:tr>
      <w:tr>
        <w:tc>
          <w:tcPr>
            <w:tcW w:w="2229" w:type="dxa"/>
          </w:tcPr>
          <w:p>
            <w:pPr>
              <w:pStyle w:val="Compact"/>
              <w:spacing w:after="40"/>
              <w:jc w:val="left"/>
            </w:pPr>
            <w:r>
              <w:rPr>
                <w:sz w:val="18"/>
              </w:rPr>
              <w:t xml:space="preserve">PII level</w:t>
            </w:r>
          </w:p>
        </w:tc>
        <w:tc>
          <w:tcPr>
            <w:tcW w:w="3221" w:type="dxa"/>
          </w:tcPr>
          <w:p>
            <w:pPr>
              <w:pStyle w:val="Compact"/>
              <w:spacing w:after="40"/>
              <w:jc w:val="left"/>
            </w:pPr>
            <w:r>
              <w:rPr>
                <w:sz w:val="18"/>
              </w:rPr>
              <w:t xml:space="preserve">MASKED</w:t>
            </w:r>
          </w:p>
        </w:tc>
        <w:tc>
          <w:tcPr>
            <w:tcW w:w="1300" w:type="dxa"/>
          </w:tcPr>
          <w:p>
            <w:pPr>
              <w:pStyle w:val="Compact"/>
              <w:spacing w:after="40"/>
              <w:jc w:val="left"/>
            </w:pPr>
            <w:r>
              <w:rPr>
                <w:sz w:val="18"/>
              </w:rPr>
              <w:t xml:space="preserve">Grant</w:t>
            </w:r>
          </w:p>
        </w:tc>
        <w:tc>
          <w:tcPr>
            <w:tcW w:w="2888" w:type="dxa"/>
          </w:tcPr>
          <w:p>
            <w:pPr>
              <w:pStyle w:val="Compact"/>
              <w:spacing w:after="40"/>
              <w:jc w:val="left"/>
            </w:pPr>
            <w:r>
              <w:rPr>
                <w:sz w:val="18"/>
              </w:rPr>
              <w:t xml:space="preserve">Floor default; FULL needs a second RE approval</w:t>
            </w:r>
          </w:p>
        </w:tc>
      </w:tr>
      <w:tr>
        <w:tc>
          <w:tcPr>
            <w:tcW w:w="2229" w:type="dxa"/>
          </w:tcPr>
          <w:p>
            <w:pPr>
              <w:pStyle w:val="Compact"/>
              <w:spacing w:after="40"/>
              <w:jc w:val="left"/>
            </w:pPr>
            <w:r>
              <w:rPr>
                <w:sz w:val="18"/>
              </w:rPr>
              <w:t xml:space="preserve">Export level and row cap</w:t>
            </w:r>
          </w:p>
        </w:tc>
        <w:tc>
          <w:tcPr>
            <w:tcW w:w="3221" w:type="dxa"/>
          </w:tcPr>
          <w:p>
            <w:pPr>
              <w:pStyle w:val="Compact"/>
              <w:spacing w:after="40"/>
              <w:jc w:val="left"/>
            </w:pPr>
            <w:r>
              <w:rPr>
                <w:sz w:val="18"/>
              </w:rPr>
              <w:t xml:space="preserve">NONE for supervisors until set; CAPPED_RECORDS 50,000 rows for auditors</w:t>
            </w:r>
          </w:p>
        </w:tc>
        <w:tc>
          <w:tcPr>
            <w:tcW w:w="1300" w:type="dxa"/>
          </w:tcPr>
          <w:p>
            <w:pPr>
              <w:pStyle w:val="Compact"/>
              <w:spacing w:after="40"/>
              <w:jc w:val="left"/>
            </w:pPr>
            <w:r>
              <w:rPr>
                <w:sz w:val="18"/>
              </w:rPr>
              <w:t xml:space="preserve">Grant</w:t>
            </w:r>
          </w:p>
        </w:tc>
        <w:tc>
          <w:tcPr>
            <w:tcW w:w="2888" w:type="dxa"/>
          </w:tcPr>
          <w:p>
            <w:pPr>
              <w:pStyle w:val="Compact"/>
              <w:spacing w:after="40"/>
              <w:jc w:val="left"/>
            </w:pPr>
            <w:r>
              <w:rPr>
                <w:sz w:val="18"/>
              </w:rPr>
              <w:t xml:space="preserve">Choice within the cap; FULL needs a second RE approval</w:t>
            </w:r>
          </w:p>
        </w:tc>
      </w:tr>
      <w:tr>
        <w:tc>
          <w:tcPr>
            <w:tcW w:w="2229" w:type="dxa"/>
          </w:tcPr>
          <w:p>
            <w:pPr>
              <w:pStyle w:val="Compact"/>
              <w:spacing w:after="40"/>
              <w:jc w:val="left"/>
            </w:pPr>
            <w:r>
              <w:rPr>
                <w:sz w:val="18"/>
              </w:rPr>
              <w:t xml:space="preserve">Dual checker for supervisor grants</w:t>
            </w:r>
          </w:p>
        </w:tc>
        <w:tc>
          <w:tcPr>
            <w:tcW w:w="3221" w:type="dxa"/>
          </w:tcPr>
          <w:p>
            <w:pPr>
              <w:pStyle w:val="Compact"/>
              <w:spacing w:after="40"/>
              <w:jc w:val="left"/>
            </w:pPr>
            <w:r>
              <w:rPr>
                <w:sz w:val="18"/>
              </w:rPr>
              <w:t xml:space="preserve">Off (one checker)</w:t>
            </w:r>
          </w:p>
        </w:tc>
        <w:tc>
          <w:tcPr>
            <w:tcW w:w="1300" w:type="dxa"/>
          </w:tcPr>
          <w:p>
            <w:pPr>
              <w:pStyle w:val="Compact"/>
              <w:spacing w:after="40"/>
              <w:jc w:val="left"/>
            </w:pPr>
            <w:r>
              <w:rPr>
                <w:sz w:val="18"/>
              </w:rPr>
              <w:t xml:space="preserve">Tenant</w:t>
            </w:r>
          </w:p>
        </w:tc>
        <w:tc>
          <w:tcPr>
            <w:tcW w:w="2888" w:type="dxa"/>
          </w:tcPr>
          <w:p>
            <w:pPr>
              <w:pStyle w:val="Compact"/>
              <w:spacing w:after="40"/>
              <w:jc w:val="left"/>
            </w:pPr>
            <w:r>
              <w:rPr>
                <w:sz w:val="18"/>
              </w:rPr>
              <w:t xml:space="preserve">Choice; maker ≠ checker is a floor</w:t>
            </w:r>
          </w:p>
        </w:tc>
      </w:tr>
      <w:tr>
        <w:tc>
          <w:tcPr>
            <w:tcW w:w="2229" w:type="dxa"/>
          </w:tcPr>
          <w:p>
            <w:pPr>
              <w:pStyle w:val="Compact"/>
              <w:spacing w:after="40"/>
              <w:jc w:val="left"/>
            </w:pPr>
            <w:r>
              <w:rPr>
                <w:sz w:val="18"/>
              </w:rPr>
              <w:t xml:space="preserve">Session limits</w:t>
            </w:r>
          </w:p>
        </w:tc>
        <w:tc>
          <w:tcPr>
            <w:tcW w:w="3221" w:type="dxa"/>
          </w:tcPr>
          <w:p>
            <w:pPr>
              <w:pStyle w:val="Compact"/>
              <w:spacing w:after="40"/>
              <w:jc w:val="left"/>
            </w:pPr>
            <w:r>
              <w:rPr>
                <w:sz w:val="18"/>
              </w:rPr>
              <w:t xml:space="preserve">15 minutes idle, 8 hours absolute</w:t>
            </w:r>
          </w:p>
        </w:tc>
        <w:tc>
          <w:tcPr>
            <w:tcW w:w="1300" w:type="dxa"/>
          </w:tcPr>
          <w:p>
            <w:pPr>
              <w:pStyle w:val="Compact"/>
              <w:spacing w:after="40"/>
              <w:jc w:val="left"/>
            </w:pPr>
            <w:r>
              <w:rPr>
                <w:sz w:val="18"/>
              </w:rPr>
              <w:t xml:space="preserve">Tenant</w:t>
            </w:r>
          </w:p>
        </w:tc>
        <w:tc>
          <w:tcPr>
            <w:tcW w:w="2888" w:type="dxa"/>
          </w:tcPr>
          <w:p>
            <w:pPr>
              <w:pStyle w:val="Compact"/>
              <w:spacing w:after="40"/>
              <w:jc w:val="left"/>
            </w:pPr>
            <w:r>
              <w:rPr>
                <w:sz w:val="18"/>
              </w:rPr>
              <w:t xml:space="preserve">Floor maximums; tenant may shorten</w:t>
            </w:r>
          </w:p>
        </w:tc>
      </w:tr>
      <w:tr>
        <w:tc>
          <w:tcPr>
            <w:tcW w:w="2229" w:type="dxa"/>
          </w:tcPr>
          <w:p>
            <w:pPr>
              <w:pStyle w:val="Compact"/>
              <w:spacing w:after="40"/>
              <w:jc w:val="left"/>
            </w:pPr>
            <w:r>
              <w:rPr>
                <w:sz w:val="18"/>
              </w:rPr>
              <w:t xml:space="preserve">Anomaly threshold</w:t>
            </w:r>
          </w:p>
        </w:tc>
        <w:tc>
          <w:tcPr>
            <w:tcW w:w="3221" w:type="dxa"/>
          </w:tcPr>
          <w:p>
            <w:pPr>
              <w:pStyle w:val="Compact"/>
              <w:spacing w:after="40"/>
              <w:jc w:val="left"/>
            </w:pPr>
            <w:r>
              <w:rPr>
                <w:sz w:val="18"/>
              </w:rPr>
              <w:t xml:space="preserve">10 × the grant’s daily median rows</w:t>
            </w:r>
          </w:p>
        </w:tc>
        <w:tc>
          <w:tcPr>
            <w:tcW w:w="1300" w:type="dxa"/>
          </w:tcPr>
          <w:p>
            <w:pPr>
              <w:pStyle w:val="Compact"/>
              <w:spacing w:after="40"/>
              <w:jc w:val="left"/>
            </w:pPr>
            <w:r>
              <w:rPr>
                <w:sz w:val="18"/>
              </w:rPr>
              <w:t xml:space="preserve">Tenant</w:t>
            </w:r>
          </w:p>
        </w:tc>
        <w:tc>
          <w:tcPr>
            <w:tcW w:w="2888" w:type="dxa"/>
          </w:tcPr>
          <w:p>
            <w:pPr>
              <w:pStyle w:val="Compact"/>
              <w:spacing w:after="40"/>
              <w:jc w:val="left"/>
            </w:pPr>
            <w:r>
              <w:rPr>
                <w:sz w:val="18"/>
              </w:rPr>
              <w:t xml:space="preserve">Choice</w:t>
            </w:r>
          </w:p>
        </w:tc>
      </w:tr>
      <w:tr>
        <w:tc>
          <w:tcPr>
            <w:tcW w:w="2229" w:type="dxa"/>
          </w:tcPr>
          <w:p>
            <w:pPr>
              <w:pStyle w:val="Compact"/>
              <w:spacing w:after="40"/>
              <w:jc w:val="left"/>
            </w:pPr>
            <w:r>
              <w:rPr>
                <w:sz w:val="18"/>
              </w:rPr>
              <w:t xml:space="preserve">IP allow-list</w:t>
            </w:r>
          </w:p>
        </w:tc>
        <w:tc>
          <w:tcPr>
            <w:tcW w:w="3221" w:type="dxa"/>
          </w:tcPr>
          <w:p>
            <w:pPr>
              <w:pStyle w:val="Compact"/>
              <w:spacing w:after="40"/>
              <w:jc w:val="left"/>
            </w:pPr>
            <w:r>
              <w:rPr>
                <w:sz w:val="18"/>
              </w:rPr>
              <w:t xml:space="preserve">Off</w:t>
            </w:r>
          </w:p>
        </w:tc>
        <w:tc>
          <w:tcPr>
            <w:tcW w:w="1300" w:type="dxa"/>
          </w:tcPr>
          <w:p>
            <w:pPr>
              <w:pStyle w:val="Compact"/>
              <w:spacing w:after="40"/>
              <w:jc w:val="left"/>
            </w:pPr>
            <w:r>
              <w:rPr>
                <w:sz w:val="18"/>
              </w:rPr>
              <w:t xml:space="preserve">Grant</w:t>
            </w:r>
          </w:p>
        </w:tc>
        <w:tc>
          <w:tcPr>
            <w:tcW w:w="2888" w:type="dxa"/>
          </w:tcPr>
          <w:p>
            <w:pPr>
              <w:pStyle w:val="Compact"/>
              <w:spacing w:after="40"/>
              <w:jc w:val="left"/>
            </w:pPr>
            <w:r>
              <w:rPr>
                <w:sz w:val="18"/>
              </w:rPr>
              <w:t xml:space="preserve">Choice</w:t>
            </w:r>
          </w:p>
        </w:tc>
      </w:tr>
      <w:tr>
        <w:tc>
          <w:tcPr>
            <w:tcW w:w="2229" w:type="dxa"/>
          </w:tcPr>
          <w:p>
            <w:pPr>
              <w:pStyle w:val="Compact"/>
              <w:spacing w:after="40"/>
              <w:jc w:val="left"/>
            </w:pPr>
            <w:r>
              <w:rPr>
                <w:sz w:val="18"/>
              </w:rPr>
              <w:t xml:space="preserve">Data plane</w:t>
            </w:r>
          </w:p>
        </w:tc>
        <w:tc>
          <w:tcPr>
            <w:tcW w:w="3221" w:type="dxa"/>
          </w:tcPr>
          <w:p>
            <w:pPr>
              <w:pStyle w:val="Compact"/>
              <w:spacing w:after="40"/>
              <w:jc w:val="left"/>
            </w:pPr>
            <w:r>
              <w:rPr>
                <w:sz w:val="18"/>
              </w:rPr>
              <w:t xml:space="preserve">Snapshot at the reference date plus read-only replica for current MIS</w:t>
            </w:r>
          </w:p>
        </w:tc>
        <w:tc>
          <w:tcPr>
            <w:tcW w:w="1300" w:type="dxa"/>
          </w:tcPr>
          <w:p>
            <w:pPr>
              <w:pStyle w:val="Compact"/>
              <w:spacing w:after="40"/>
              <w:jc w:val="left"/>
            </w:pPr>
            <w:r>
              <w:rPr>
                <w:sz w:val="18"/>
              </w:rPr>
              <w:t xml:space="preserve">Grant</w:t>
            </w:r>
          </w:p>
        </w:tc>
        <w:tc>
          <w:tcPr>
            <w:tcW w:w="2888" w:type="dxa"/>
          </w:tcPr>
          <w:p>
            <w:pPr>
              <w:pStyle w:val="Compact"/>
              <w:spacing w:after="40"/>
              <w:jc w:val="left"/>
            </w:pPr>
            <w:r>
              <w:rPr>
                <w:sz w:val="18"/>
              </w:rPr>
              <w:t xml:space="preserve">Choice</w:t>
            </w:r>
          </w:p>
        </w:tc>
      </w:tr>
    </w:tbl>
    <w:bookmarkEnd w:id="393"/>
    <w:bookmarkStart w:id="394" w:name="menu-and-screens-6"/>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77"/>
        <w:gridCol w:w="2824"/>
        <w:gridCol w:w="3024"/>
        <w:gridCol w:w="2113"/>
      </w:tblGrid>
      <w:tr>
        <w:trPr>
          <w:tblHeader w:val="true"/>
          <w:tblHeader w:val="true"/>
        </w:trPr>
        <w:tc>
          <w:tcPr>
            <w:tcW w:w="1677" w:type="dxa"/>
            <w:shd w:val="clear" w:color="auto" w:fill="1F3A5F"/>
          </w:tcPr>
          <w:p>
            <w:pPr>
              <w:pStyle w:val="Compact"/>
              <w:spacing w:after="40"/>
              <w:jc w:val="left"/>
            </w:pPr>
            <w:r>
              <w:rPr>
                <w:b/>
                <w:color w:val="FFFFFF"/>
                <w:sz w:val="18"/>
              </w:rPr>
              <w:t xml:space="preserve">Path</w:t>
            </w:r>
          </w:p>
        </w:tc>
        <w:tc>
          <w:tcPr>
            <w:tcW w:w="2824" w:type="dxa"/>
            <w:shd w:val="clear" w:color="auto" w:fill="1F3A5F"/>
          </w:tcPr>
          <w:p>
            <w:pPr>
              <w:pStyle w:val="Compact"/>
              <w:spacing w:after="40"/>
              <w:jc w:val="left"/>
            </w:pPr>
            <w:r>
              <w:rPr>
                <w:b/>
                <w:color w:val="FFFFFF"/>
                <w:sz w:val="18"/>
              </w:rPr>
              <w:t xml:space="preserve">Screens</w:t>
            </w:r>
          </w:p>
        </w:tc>
        <w:tc>
          <w:tcPr>
            <w:tcW w:w="3024" w:type="dxa"/>
            <w:shd w:val="clear" w:color="auto" w:fill="1F3A5F"/>
          </w:tcPr>
          <w:p>
            <w:pPr>
              <w:pStyle w:val="Compact"/>
              <w:spacing w:after="40"/>
              <w:jc w:val="left"/>
            </w:pPr>
            <w:r>
              <w:rPr>
                <w:b/>
                <w:color w:val="FFFFFF"/>
                <w:sz w:val="18"/>
              </w:rPr>
              <w:t xml:space="preserve">Key actions and rules</w:t>
            </w:r>
          </w:p>
        </w:tc>
        <w:tc>
          <w:tcPr>
            <w:tcW w:w="2113" w:type="dxa"/>
            <w:shd w:val="clear" w:color="auto" w:fill="1F3A5F"/>
          </w:tcPr>
          <w:p>
            <w:pPr>
              <w:pStyle w:val="Compact"/>
              <w:spacing w:after="40"/>
              <w:jc w:val="left"/>
            </w:pPr>
            <w:r>
              <w:rPr>
                <w:b/>
                <w:color w:val="FFFFFF"/>
                <w:sz w:val="18"/>
              </w:rPr>
              <w:t xml:space="preserve">Visible to</w:t>
            </w:r>
          </w:p>
        </w:tc>
      </w:tr>
      <w:tr>
        <w:tc>
          <w:tcPr>
            <w:tcW w:w="1677" w:type="dxa"/>
          </w:tcPr>
          <w:p>
            <w:pPr>
              <w:pStyle w:val="Compact"/>
              <w:spacing w:after="40"/>
              <w:jc w:val="left"/>
            </w:pPr>
            <w:r>
              <w:rPr>
                <w:rStyle w:val="VerbatimChar"/>
                <w:sz w:val="18"/>
              </w:rPr>
              <w:t xml:space="preserve">Audit › External access › Requests</w:t>
            </w:r>
            <w:r>
              <w:rPr>
                <w:sz w:val="18"/>
              </w:rPr>
              <w:t xml:space="preserve"> </w:t>
            </w:r>
            <w:r>
              <w:rPr>
                <w:sz w:val="18"/>
              </w:rPr>
              <w:t xml:space="preserve">(workspace L)</w:t>
            </w:r>
          </w:p>
        </w:tc>
        <w:tc>
          <w:tcPr>
            <w:tcW w:w="2824" w:type="dxa"/>
          </w:tcPr>
          <w:p>
            <w:pPr>
              <w:pStyle w:val="Compact"/>
              <w:spacing w:after="40"/>
              <w:jc w:val="left"/>
            </w:pPr>
            <w:r>
              <w:rPr>
                <w:sz w:val="18"/>
              </w:rPr>
              <w:t xml:space="preserve">Request intake wizard (grantee type → basis → scope → validity → approvers); approval queue</w:t>
            </w:r>
          </w:p>
        </w:tc>
        <w:tc>
          <w:tcPr>
            <w:tcW w:w="3024" w:type="dxa"/>
          </w:tcPr>
          <w:p>
            <w:pPr>
              <w:pStyle w:val="Compact"/>
              <w:spacing w:after="40"/>
              <w:jc w:val="left"/>
            </w:pPr>
            <w:r>
              <w:rPr>
                <w:sz w:val="18"/>
              </w:rPr>
              <w:t xml:space="preserve">Record basis; define scope from templates (RBI inspection, statutory audit, IS audit); approve or reject with reason; inline errors explain the blocked step</w:t>
            </w:r>
          </w:p>
        </w:tc>
        <w:tc>
          <w:tcPr>
            <w:tcW w:w="2113" w:type="dxa"/>
          </w:tcPr>
          <w:p>
            <w:pPr>
              <w:pStyle w:val="Compact"/>
              <w:spacing w:after="40"/>
              <w:jc w:val="left"/>
            </w:pPr>
            <w:r>
              <w:rPr>
                <w:sz w:val="18"/>
              </w:rPr>
              <w:t xml:space="preserve">CCO office (maker), CISO and delegates (checker), CFO for statutory auditors</w:t>
            </w:r>
          </w:p>
        </w:tc>
      </w:tr>
      <w:tr>
        <w:tc>
          <w:tcPr>
            <w:tcW w:w="1677" w:type="dxa"/>
          </w:tcPr>
          <w:p>
            <w:pPr>
              <w:pStyle w:val="Compact"/>
              <w:spacing w:after="40"/>
              <w:jc w:val="left"/>
            </w:pPr>
            <w:r>
              <w:rPr>
                <w:rStyle w:val="VerbatimChar"/>
                <w:sz w:val="18"/>
              </w:rPr>
              <w:t xml:space="preserve">Audit › External access › Grants</w:t>
            </w:r>
          </w:p>
        </w:tc>
        <w:tc>
          <w:tcPr>
            <w:tcW w:w="2824" w:type="dxa"/>
          </w:tcPr>
          <w:p>
            <w:pPr>
              <w:pStyle w:val="Compact"/>
              <w:spacing w:after="40"/>
              <w:jc w:val="left"/>
            </w:pPr>
            <w:r>
              <w:rPr>
                <w:sz w:val="18"/>
              </w:rPr>
              <w:t xml:space="preserve">Active, expiring (7 days), expired and revoked grants; grant detail with users, sessions, exports and alerts</w:t>
            </w:r>
          </w:p>
        </w:tc>
        <w:tc>
          <w:tcPr>
            <w:tcW w:w="3024" w:type="dxa"/>
          </w:tcPr>
          <w:p>
            <w:pPr>
              <w:pStyle w:val="Compact"/>
              <w:spacing w:after="40"/>
              <w:jc w:val="left"/>
            </w:pPr>
            <w:r>
              <w:rPr>
                <w:sz w:val="18"/>
              </w:rPr>
              <w:t xml:space="preserve">Extend (fresh approval); revoke now; add a named user; download the daily activity report</w:t>
            </w:r>
          </w:p>
        </w:tc>
        <w:tc>
          <w:tcPr>
            <w:tcW w:w="2113" w:type="dxa"/>
          </w:tcPr>
          <w:p>
            <w:pPr>
              <w:pStyle w:val="Compact"/>
              <w:spacing w:after="40"/>
              <w:jc w:val="left"/>
            </w:pPr>
            <w:r>
              <w:rPr>
                <w:sz w:val="18"/>
              </w:rPr>
              <w:t xml:space="preserve">CCO, CISO, grant approvers</w:t>
            </w:r>
          </w:p>
        </w:tc>
      </w:tr>
      <w:tr>
        <w:tc>
          <w:tcPr>
            <w:tcW w:w="1677" w:type="dxa"/>
          </w:tcPr>
          <w:p>
            <w:pPr>
              <w:pStyle w:val="Compact"/>
              <w:spacing w:after="40"/>
              <w:jc w:val="left"/>
            </w:pPr>
            <w:r>
              <w:rPr>
                <w:sz w:val="18"/>
              </w:rPr>
              <w:t xml:space="preserve">Workspace V or W landing page</w:t>
            </w:r>
          </w:p>
        </w:tc>
        <w:tc>
          <w:tcPr>
            <w:tcW w:w="2824" w:type="dxa"/>
          </w:tcPr>
          <w:p>
            <w:pPr>
              <w:pStyle w:val="Compact"/>
              <w:spacing w:after="40"/>
              <w:jc w:val="left"/>
            </w:pPr>
            <w:r>
              <w:rPr>
                <w:sz w:val="18"/>
              </w:rPr>
              <w:t xml:space="preserve">Inspection room or engagement room; report catalogue; returns with lineage; audit-trail viewer; query sandbox (if scoped); export centre</w:t>
            </w:r>
          </w:p>
        </w:tc>
        <w:tc>
          <w:tcPr>
            <w:tcW w:w="3024" w:type="dxa"/>
          </w:tcPr>
          <w:p>
            <w:pPr>
              <w:pStyle w:val="Compact"/>
              <w:spacing w:after="40"/>
              <w:jc w:val="left"/>
            </w:pPr>
            <w:r>
              <w:rPr>
                <w:sz w:val="18"/>
              </w:rPr>
              <w:t xml:space="preserve">Request unmask with reason; export within scope (watermarked); raise information request</w:t>
            </w:r>
          </w:p>
        </w:tc>
        <w:tc>
          <w:tcPr>
            <w:tcW w:w="2113" w:type="dxa"/>
          </w:tcPr>
          <w:p>
            <w:pPr>
              <w:pStyle w:val="Compact"/>
              <w:spacing w:after="40"/>
              <w:jc w:val="left"/>
            </w:pPr>
            <w:r>
              <w:rPr>
                <w:sz w:val="18"/>
              </w:rPr>
              <w:t xml:space="preserve">Named external users only</w:t>
            </w:r>
          </w:p>
        </w:tc>
      </w:tr>
      <w:tr>
        <w:tc>
          <w:tcPr>
            <w:tcW w:w="1677" w:type="dxa"/>
          </w:tcPr>
          <w:p>
            <w:pPr>
              <w:pStyle w:val="Compact"/>
              <w:spacing w:after="40"/>
              <w:jc w:val="left"/>
            </w:pPr>
            <w:r>
              <w:rPr>
                <w:rStyle w:val="VerbatimChar"/>
                <w:sz w:val="18"/>
              </w:rPr>
              <w:t xml:space="preserve">Audit › External access › Provider room</w:t>
            </w:r>
          </w:p>
        </w:tc>
        <w:tc>
          <w:tcPr>
            <w:tcW w:w="2824" w:type="dxa"/>
          </w:tcPr>
          <w:p>
            <w:pPr>
              <w:pStyle w:val="Compact"/>
              <w:spacing w:after="40"/>
              <w:jc w:val="left"/>
            </w:pPr>
            <w:r>
              <w:rPr>
                <w:sz w:val="18"/>
              </w:rPr>
              <w:t xml:space="preserve">SOC reports, VAPT summaries, BCP/DR evidence, sub-processor list</w:t>
            </w:r>
          </w:p>
        </w:tc>
        <w:tc>
          <w:tcPr>
            <w:tcW w:w="3024" w:type="dxa"/>
          </w:tcPr>
          <w:p>
            <w:pPr>
              <w:pStyle w:val="Compact"/>
              <w:spacing w:after="40"/>
              <w:jc w:val="left"/>
            </w:pPr>
            <w:r>
              <w:rPr>
                <w:sz w:val="18"/>
              </w:rPr>
              <w:t xml:space="preserve">Publish for an auditor auditing Finbyx</w:t>
            </w:r>
          </w:p>
        </w:tc>
        <w:tc>
          <w:tcPr>
            <w:tcW w:w="2113" w:type="dxa"/>
          </w:tcPr>
          <w:p>
            <w:pPr>
              <w:pStyle w:val="Compact"/>
              <w:spacing w:after="40"/>
              <w:jc w:val="left"/>
            </w:pPr>
            <w:r>
              <w:rPr>
                <w:sz w:val="18"/>
              </w:rPr>
              <w:t xml:space="preserve">Tenant CISO, provider-assurance grantees</w:t>
            </w:r>
          </w:p>
        </w:tc>
      </w:tr>
    </w:tbl>
    <w:p>
      <w:pPr>
        <w:pStyle w:val="BodyText"/>
      </w:pPr>
      <w:r>
        <w:t xml:space="preserve">Accessibility: workspaces V and W meet WCAG 2.2 AA; the confidentiality banner is announced to screen readers; every table is exportable only where the grant allows.</w:t>
      </w:r>
    </w:p>
    <w:bookmarkEnd w:id="394"/>
    <w:bookmarkStart w:id="395" w:name="acceptance-tests-25"/>
    <w:p>
      <w:pPr>
        <w:pStyle w:val="Heading3"/>
      </w:pPr>
      <w:r>
        <w:t xml:space="preserve">Acceptance tests</w:t>
      </w:r>
    </w:p>
    <w:p>
      <w:pPr>
        <w:numPr>
          <w:ilvl w:val="0"/>
          <w:numId w:val="1383"/>
        </w:numPr>
        <w:pStyle w:val="Compact"/>
      </w:pPr>
      <w:r>
        <w:t xml:space="preserve">A grant without a recorded legal basis cannot leave</w:t>
      </w:r>
      <w:r>
        <w:t xml:space="preserve"> </w:t>
      </w:r>
      <w:r>
        <w:rPr>
          <w:rStyle w:val="VerbatimChar"/>
        </w:rPr>
        <w:t xml:space="preserve">BASIS_RECORDED</w:t>
      </w:r>
      <w:r>
        <w:t xml:space="preserve">; a grant approved by the same user who made it is rejected.</w:t>
      </w:r>
    </w:p>
    <w:p>
      <w:pPr>
        <w:numPr>
          <w:ilvl w:val="0"/>
          <w:numId w:val="1383"/>
        </w:numPr>
        <w:pStyle w:val="Compact"/>
      </w:pPr>
      <w:r>
        <w:t xml:space="preserve">A grant with valid_to more than 90 days after approval is rejected; an extension approved on day 80 can set valid_to at most 90 days after the extension approval.</w:t>
      </w:r>
    </w:p>
    <w:p>
      <w:pPr>
        <w:numPr>
          <w:ilvl w:val="0"/>
          <w:numId w:val="1383"/>
        </w:numPr>
        <w:pStyle w:val="Compact"/>
      </w:pPr>
      <w:r>
        <w:t xml:space="preserve">A direct RBI request recorded against Finbyx notifies the tenant’s CCO within 1 hour unless a legal bar with counsel’s reference is recorded.</w:t>
      </w:r>
    </w:p>
    <w:p>
      <w:pPr>
        <w:numPr>
          <w:ilvl w:val="0"/>
          <w:numId w:val="1383"/>
        </w:numPr>
        <w:pStyle w:val="Compact"/>
      </w:pPr>
      <w:r>
        <w:t xml:space="preserve">An RBI user whose email domain is not</w:t>
      </w:r>
      <w:r>
        <w:t xml:space="preserve"> </w:t>
      </w:r>
      <w:r>
        <w:rPr>
          <w:rStyle w:val="VerbatimChar"/>
        </w:rPr>
        <w:t xml:space="preserve">rbi.org.in</w:t>
      </w:r>
      <w:r>
        <w:t xml:space="preserve"> </w:t>
      </w:r>
      <w:r>
        <w:t xml:space="preserve">cannot be provisioned for an RBI-type grant without a documented tenant override approved by two checkers.</w:t>
      </w:r>
    </w:p>
    <w:p>
      <w:pPr>
        <w:numPr>
          <w:ilvl w:val="0"/>
          <w:numId w:val="1383"/>
        </w:numPr>
        <w:pStyle w:val="Compact"/>
      </w:pPr>
      <w:r>
        <w:t xml:space="preserve">Attempting INSERT, UPDATE or DELETE through the workspace database role fails; no API route with a write verb is reachable with a workspace token.</w:t>
      </w:r>
    </w:p>
    <w:p>
      <w:pPr>
        <w:numPr>
          <w:ilvl w:val="0"/>
          <w:numId w:val="1383"/>
        </w:numPr>
        <w:pStyle w:val="Compact"/>
      </w:pPr>
      <w:r>
        <w:t xml:space="preserve">Expiry at 23:59 IST terminates active sessions within 60 seconds and emits</w:t>
      </w:r>
      <w:r>
        <w:t xml:space="preserve"> </w:t>
      </w:r>
      <w:r>
        <w:rPr>
          <w:rStyle w:val="VerbatimChar"/>
        </w:rPr>
        <w:t xml:space="preserve">ExternalAccessRevoked</w:t>
      </w:r>
      <w:r>
        <w:t xml:space="preserve">.</w:t>
      </w:r>
    </w:p>
    <w:p>
      <w:pPr>
        <w:numPr>
          <w:ilvl w:val="0"/>
          <w:numId w:val="1383"/>
        </w:numPr>
        <w:pStyle w:val="Compact"/>
      </w:pPr>
      <w:r>
        <w:t xml:space="preserve">An exported file carries the watermark text and its SHA-256 matches the export log; an export above the row cap is refused.</w:t>
      </w:r>
    </w:p>
    <w:p>
      <w:pPr>
        <w:numPr>
          <w:ilvl w:val="0"/>
          <w:numId w:val="1383"/>
        </w:numPr>
        <w:pStyle w:val="Compact"/>
      </w:pPr>
      <w:r>
        <w:t xml:space="preserve">Unmasking a PAN requires a reason, appears in the daily activity report and in</w:t>
      </w:r>
      <w:r>
        <w:t xml:space="preserve"> </w:t>
      </w:r>
      <w:r>
        <w:rPr>
          <w:rStyle w:val="VerbatimChar"/>
        </w:rPr>
        <w:t xml:space="preserve">ExternalAccessUsed</w:t>
      </w:r>
      <w:r>
        <w:t xml:space="preserve"> </w:t>
      </w:r>
      <w:r>
        <w:t xml:space="preserve">counts; the payload carries no PAN.</w:t>
      </w:r>
    </w:p>
    <w:p>
      <w:pPr>
        <w:numPr>
          <w:ilvl w:val="0"/>
          <w:numId w:val="1383"/>
        </w:numPr>
        <w:pStyle w:val="Compact"/>
      </w:pPr>
      <w:r>
        <w:t xml:space="preserve">For a BL tenant with ₹520 crore assets, the compliance register shows CYB paras 46 and 57 as mandatory and linked to the AU7 capability; for an ML tenant they show as</w:t>
      </w:r>
      <w:r>
        <w:t xml:space="preserve"> </w:t>
      </w:r>
      <w:r>
        <w:t xml:space="preserve">“</w:t>
      </w:r>
      <w:r>
        <w:t xml:space="preserve">supervisory expectation (interpretation)</w:t>
      </w:r>
      <w:r>
        <w:t xml:space="preserve">”</w:t>
      </w:r>
      <w:r>
        <w:t xml:space="preserve">.</w:t>
      </w:r>
    </w:p>
    <w:p>
      <w:pPr>
        <w:numPr>
          <w:ilvl w:val="0"/>
          <w:numId w:val="1383"/>
        </w:numPr>
        <w:pStyle w:val="Compact"/>
      </w:pPr>
      <w:r>
        <w:t xml:space="preserve">A UL tenant’s daily activity report lists every view, query and export by every external user for the previous day.</w:t>
      </w:r>
    </w:p>
    <w:p>
      <w:r>
        <w:pict>
          <v:rect style="width:0;height:1.5pt" o:hralign="center" o:hrstd="t" o:hr="t"/>
        </w:pict>
      </w:r>
    </w:p>
    <w:bookmarkEnd w:id="395"/>
    <w:bookmarkEnd w:id="396"/>
    <w:bookmarkEnd w:id="397"/>
    <w:bookmarkStart w:id="466" w:name="X5982f9164261ab6a8e0ee2cf307ad7a38430ccc"/>
    <w:p>
      <w:pPr>
        <w:pStyle w:val="Heading1"/>
      </w:pPr>
      <w:r>
        <w:t xml:space="preserve">PART 7E — RISK MANAGEMENT, CAPITAL ADEQUACY, ICAAP AND LEADERSHIP DASHBOARDS</w:t>
      </w:r>
    </w:p>
    <w:p>
      <w:pPr>
        <w:pStyle w:val="FirstParagraph"/>
      </w:pPr>
      <w:r>
        <w:rPr>
          <w:bCs/>
          <w:b/>
        </w:rPr>
        <w:t xml:space="preserve">Purpose.</w:t>
      </w:r>
      <w:r>
        <w:t xml:space="preserve"> </w:t>
      </w:r>
      <w:r>
        <w:t xml:space="preserve">Part 7E turns Finbyx’s ledger, loan book, treasury and event data into the tenant’s risk-management function: governance of the CRO, RMC and risk appetite; the risk register, KRIs, loss events and RCSA, with a governed feed to LawDocsComply; capital adequacy for every entity type; liquidity, ALM and interest-rate risk; concentration and related-party limits; a versioned ratio library; ICAAP, stress testing and PCA monitoring; and certified dashboards for KMPs, committees and the Board. Finbyx</w:t>
      </w:r>
      <w:r>
        <w:t xml:space="preserve"> </w:t>
      </w:r>
      <w:r>
        <w:rPr>
          <w:bCs/>
          <w:b/>
        </w:rPr>
        <w:t xml:space="preserve">computes and evidences</w:t>
      </w:r>
      <w:r>
        <w:t xml:space="preserve">; the tenant’s risk function, committees and Board</w:t>
      </w:r>
      <w:r>
        <w:t xml:space="preserve"> </w:t>
      </w:r>
      <w:r>
        <w:rPr>
          <w:bCs/>
          <w:b/>
        </w:rPr>
        <w:t xml:space="preserve">decide</w:t>
      </w:r>
      <w:r>
        <w:t xml:space="preserve">. A ratio is never shown as</w:t>
      </w:r>
      <w:r>
        <w:t xml:space="preserve"> </w:t>
      </w:r>
      <w:r>
        <w:t xml:space="preserve">“</w:t>
      </w:r>
      <w:r>
        <w:t xml:space="preserve">compliant</w:t>
      </w:r>
      <w:r>
        <w:t xml:space="preserve">”</w:t>
      </w:r>
      <w:r>
        <w:t xml:space="preserve"> </w:t>
      </w:r>
      <w:r>
        <w:t xml:space="preserve">without applicability, completeness and data-quality checks and an accountable sign-off.</w:t>
      </w:r>
    </w:p>
    <w:p>
      <w:pPr>
        <w:pStyle w:val="BodyText"/>
      </w:pPr>
      <w:r>
        <w:rPr>
          <w:bCs/>
          <w:b/>
        </w:rPr>
        <w:t xml:space="preserve">What this Part extends (do not re-specify).</w:t>
      </w:r>
      <w:r>
        <w:t xml:space="preserve"> </w:t>
      </w:r>
      <w:r>
        <w:t xml:space="preserve">M12 (credit-risk analytics, exposure engine, ALM engine and daily LCR, RWA engine, ICAAP data mart, ORM, FRM, model risk), M14 (compliance modes and LawDocsComply bridge), M17 (reports and dashboards), Part 8A.3 (CRM), 8A.4 (CON), 8A.7 (ALM), 8A.24 (CAP: owned fund, CET1, Tier 1/2, deductions, risk-weight and CCF tables, securitisation, CDS), 8A.28 (GOV), 8A.30 (ORM), 8A.31 (MFI), 8A.35 (MSD PCA) and Part 7C AC2 (prudential overlay, Impairment Reserve). M12 now carries a pointer to this Part; M17 points to RK8.</w:t>
      </w:r>
    </w:p>
    <w:p>
      <w:pPr>
        <w:pStyle w:val="BodyText"/>
      </w:pPr>
      <w:r>
        <w:rPr>
          <w:bCs/>
          <w:b/>
        </w:rPr>
        <w:t xml:space="preserve">Applicability.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30"/>
        <w:gridCol w:w="586"/>
        <w:gridCol w:w="553"/>
        <w:gridCol w:w="989"/>
        <w:gridCol w:w="553"/>
        <w:gridCol w:w="1079"/>
        <w:gridCol w:w="962"/>
        <w:gridCol w:w="690"/>
        <w:gridCol w:w="780"/>
        <w:gridCol w:w="553"/>
        <w:gridCol w:w="845"/>
        <w:gridCol w:w="553"/>
        <w:gridCol w:w="865"/>
      </w:tblGrid>
      <w:tr>
        <w:trPr>
          <w:tblHeader w:val="true"/>
          <w:tblHeader w:val="true"/>
        </w:trPr>
        <w:tc>
          <w:tcPr>
            <w:tcW w:w="630" w:type="dxa"/>
            <w:shd w:val="clear" w:color="auto" w:fill="1F3A5F"/>
          </w:tcPr>
          <w:p>
            <w:pPr>
              <w:pStyle w:val="Compact"/>
              <w:spacing w:after="40"/>
              <w:jc w:val="left"/>
            </w:pPr>
            <w:r>
              <w:rPr>
                <w:b/>
                <w:color w:val="FFFFFF"/>
                <w:sz w:val="18"/>
              </w:rPr>
              <w:t xml:space="preserve">Requirement</w:t>
            </w:r>
          </w:p>
        </w:tc>
        <w:tc>
          <w:tcPr>
            <w:tcW w:w="586" w:type="dxa"/>
            <w:shd w:val="clear" w:color="auto" w:fill="1F3A5F"/>
          </w:tcPr>
          <w:p>
            <w:pPr>
              <w:pStyle w:val="Compact"/>
              <w:spacing w:after="40"/>
              <w:jc w:val="left"/>
            </w:pPr>
            <w:r>
              <w:rPr>
                <w:b/>
                <w:color w:val="FFFFFF"/>
                <w:sz w:val="18"/>
              </w:rPr>
              <w:t xml:space="preserve">Bank</w:t>
            </w:r>
          </w:p>
        </w:tc>
        <w:tc>
          <w:tcPr>
            <w:tcW w:w="553" w:type="dxa"/>
            <w:shd w:val="clear" w:color="auto" w:fill="1F3A5F"/>
          </w:tcPr>
          <w:p>
            <w:pPr>
              <w:pStyle w:val="Compact"/>
              <w:spacing w:after="40"/>
              <w:jc w:val="left"/>
            </w:pPr>
            <w:r>
              <w:rPr>
                <w:b/>
                <w:color w:val="FFFFFF"/>
                <w:sz w:val="18"/>
              </w:rPr>
              <w:t xml:space="preserve">SFB</w:t>
            </w:r>
          </w:p>
        </w:tc>
        <w:tc>
          <w:tcPr>
            <w:tcW w:w="989" w:type="dxa"/>
            <w:shd w:val="clear" w:color="auto" w:fill="1F3A5F"/>
          </w:tcPr>
          <w:p>
            <w:pPr>
              <w:pStyle w:val="Compact"/>
              <w:spacing w:after="40"/>
              <w:jc w:val="left"/>
            </w:pPr>
            <w:r>
              <w:rPr>
                <w:b/>
                <w:color w:val="FFFFFF"/>
                <w:sz w:val="18"/>
              </w:rPr>
              <w:t xml:space="preserve">UCB</w:t>
            </w:r>
          </w:p>
        </w:tc>
        <w:tc>
          <w:tcPr>
            <w:tcW w:w="553" w:type="dxa"/>
            <w:shd w:val="clear" w:color="auto" w:fill="1F3A5F"/>
          </w:tcPr>
          <w:p>
            <w:pPr>
              <w:pStyle w:val="Compact"/>
              <w:spacing w:after="40"/>
              <w:jc w:val="left"/>
            </w:pPr>
            <w:r>
              <w:rPr>
                <w:b/>
                <w:color w:val="FFFFFF"/>
                <w:sz w:val="18"/>
              </w:rPr>
              <w:t xml:space="preserve">StCB/DCCB</w:t>
            </w:r>
          </w:p>
        </w:tc>
        <w:tc>
          <w:tcPr>
            <w:tcW w:w="1079" w:type="dxa"/>
            <w:shd w:val="clear" w:color="auto" w:fill="1F3A5F"/>
          </w:tcPr>
          <w:p>
            <w:pPr>
              <w:pStyle w:val="Compact"/>
              <w:spacing w:after="40"/>
              <w:jc w:val="left"/>
            </w:pPr>
            <w:r>
              <w:rPr>
                <w:b/>
                <w:color w:val="FFFFFF"/>
                <w:sz w:val="18"/>
              </w:rPr>
              <w:t xml:space="preserve">NBFC-BL</w:t>
            </w:r>
          </w:p>
        </w:tc>
        <w:tc>
          <w:tcPr>
            <w:tcW w:w="962" w:type="dxa"/>
            <w:shd w:val="clear" w:color="auto" w:fill="1F3A5F"/>
          </w:tcPr>
          <w:p>
            <w:pPr>
              <w:pStyle w:val="Compact"/>
              <w:spacing w:after="40"/>
              <w:jc w:val="left"/>
            </w:pPr>
            <w:r>
              <w:rPr>
                <w:b/>
                <w:color w:val="FFFFFF"/>
                <w:sz w:val="18"/>
              </w:rPr>
              <w:t xml:space="preserve">NBFC-ML</w:t>
            </w:r>
          </w:p>
        </w:tc>
        <w:tc>
          <w:tcPr>
            <w:tcW w:w="690" w:type="dxa"/>
            <w:shd w:val="clear" w:color="auto" w:fill="1F3A5F"/>
          </w:tcPr>
          <w:p>
            <w:pPr>
              <w:pStyle w:val="Compact"/>
              <w:spacing w:after="40"/>
              <w:jc w:val="left"/>
            </w:pPr>
            <w:r>
              <w:rPr>
                <w:b/>
                <w:color w:val="FFFFFF"/>
                <w:sz w:val="18"/>
              </w:rPr>
              <w:t xml:space="preserve">NBFC-UL</w:t>
            </w:r>
          </w:p>
        </w:tc>
        <w:tc>
          <w:tcPr>
            <w:tcW w:w="780" w:type="dxa"/>
            <w:shd w:val="clear" w:color="auto" w:fill="1F3A5F"/>
          </w:tcPr>
          <w:p>
            <w:pPr>
              <w:pStyle w:val="Compact"/>
              <w:spacing w:after="40"/>
              <w:jc w:val="left"/>
            </w:pPr>
            <w:r>
              <w:rPr>
                <w:b/>
                <w:color w:val="FFFFFF"/>
                <w:sz w:val="18"/>
              </w:rPr>
              <w:t xml:space="preserve">HFC</w:t>
            </w:r>
          </w:p>
        </w:tc>
        <w:tc>
          <w:tcPr>
            <w:tcW w:w="553" w:type="dxa"/>
            <w:shd w:val="clear" w:color="auto" w:fill="1F3A5F"/>
          </w:tcPr>
          <w:p>
            <w:pPr>
              <w:pStyle w:val="Compact"/>
              <w:spacing w:after="40"/>
              <w:jc w:val="left"/>
            </w:pPr>
            <w:r>
              <w:rPr>
                <w:b/>
                <w:color w:val="FFFFFF"/>
                <w:sz w:val="18"/>
              </w:rPr>
              <w:t xml:space="preserve">NBFC-MFI</w:t>
            </w:r>
          </w:p>
        </w:tc>
        <w:tc>
          <w:tcPr>
            <w:tcW w:w="845" w:type="dxa"/>
            <w:shd w:val="clear" w:color="auto" w:fill="1F3A5F"/>
          </w:tcPr>
          <w:p>
            <w:pPr>
              <w:pStyle w:val="Compact"/>
              <w:spacing w:after="40"/>
              <w:jc w:val="left"/>
            </w:pPr>
            <w:r>
              <w:rPr>
                <w:b/>
                <w:color w:val="FFFFFF"/>
                <w:sz w:val="18"/>
              </w:rPr>
              <w:t xml:space="preserve">CIC</w:t>
            </w:r>
          </w:p>
        </w:tc>
        <w:tc>
          <w:tcPr>
            <w:tcW w:w="553" w:type="dxa"/>
            <w:shd w:val="clear" w:color="auto" w:fill="1F3A5F"/>
          </w:tcPr>
          <w:p>
            <w:pPr>
              <w:pStyle w:val="Compact"/>
              <w:spacing w:after="40"/>
              <w:jc w:val="left"/>
            </w:pPr>
            <w:r>
              <w:rPr>
                <w:b/>
                <w:color w:val="FFFFFF"/>
                <w:sz w:val="18"/>
              </w:rPr>
              <w:t xml:space="preserve">ARC</w:t>
            </w:r>
          </w:p>
        </w:tc>
        <w:tc>
          <w:tcPr>
            <w:tcW w:w="865" w:type="dxa"/>
            <w:shd w:val="clear" w:color="auto" w:fill="1F3A5F"/>
          </w:tcPr>
          <w:p>
            <w:pPr>
              <w:pStyle w:val="Compact"/>
              <w:spacing w:after="40"/>
              <w:jc w:val="left"/>
            </w:pPr>
            <w:r>
              <w:rPr>
                <w:b/>
                <w:color w:val="FFFFFF"/>
                <w:sz w:val="18"/>
              </w:rPr>
              <w:t xml:space="preserve">Credit co-op society</w:t>
            </w:r>
          </w:p>
        </w:tc>
      </w:tr>
      <w:tr>
        <w:tc>
          <w:tcPr>
            <w:tcW w:w="630" w:type="dxa"/>
          </w:tcPr>
          <w:p>
            <w:pPr>
              <w:pStyle w:val="Compact"/>
              <w:spacing w:after="40"/>
              <w:jc w:val="left"/>
            </w:pPr>
            <w:r>
              <w:rPr>
                <w:sz w:val="18"/>
              </w:rPr>
              <w:t xml:space="preserve">RMC</w:t>
            </w:r>
          </w:p>
        </w:tc>
        <w:tc>
          <w:tcPr>
            <w:tcW w:w="586" w:type="dxa"/>
          </w:tcPr>
          <w:p>
            <w:pPr>
              <w:pStyle w:val="Compact"/>
              <w:spacing w:after="40"/>
              <w:jc w:val="left"/>
            </w:pPr>
            <w:r>
              <w:rPr>
                <w:sz w:val="18"/>
              </w:rPr>
              <w:t xml:space="preserve">Y</w:t>
            </w:r>
          </w:p>
        </w:tc>
        <w:tc>
          <w:tcPr>
            <w:tcW w:w="553" w:type="dxa"/>
          </w:tcPr>
          <w:p>
            <w:pPr>
              <w:pStyle w:val="Compact"/>
              <w:spacing w:after="40"/>
              <w:jc w:val="left"/>
            </w:pPr>
            <w:r>
              <w:rPr>
                <w:sz w:val="18"/>
              </w:rPr>
              <w:t xml:space="preserve">Y</w:t>
            </w:r>
          </w:p>
        </w:tc>
        <w:tc>
          <w:tcPr>
            <w:tcW w:w="989" w:type="dxa"/>
          </w:tcPr>
          <w:p>
            <w:pPr>
              <w:pStyle w:val="Compact"/>
              <w:spacing w:after="40"/>
              <w:jc w:val="left"/>
            </w:pPr>
            <w:r>
              <w:rPr>
                <w:sz w:val="18"/>
              </w:rPr>
              <w:t xml:space="preserve">Y [VERIFY]</w:t>
            </w:r>
          </w:p>
        </w:tc>
        <w:tc>
          <w:tcPr>
            <w:tcW w:w="553" w:type="dxa"/>
          </w:tcPr>
          <w:p>
            <w:pPr>
              <w:pStyle w:val="Compact"/>
              <w:spacing w:after="40"/>
              <w:jc w:val="left"/>
            </w:pPr>
            <w:r>
              <w:rPr>
                <w:sz w:val="18"/>
              </w:rPr>
              <w:t xml:space="preserve">Partial</w:t>
            </w:r>
          </w:p>
        </w:tc>
        <w:tc>
          <w:tcPr>
            <w:tcW w:w="1079" w:type="dxa"/>
          </w:tcPr>
          <w:p>
            <w:pPr>
              <w:pStyle w:val="Compact"/>
              <w:spacing w:after="40"/>
              <w:jc w:val="left"/>
            </w:pPr>
            <w:r>
              <w:rPr>
                <w:sz w:val="18"/>
              </w:rPr>
              <w:t xml:space="preserve">Y (GOV 9)</w:t>
            </w:r>
          </w:p>
        </w:tc>
        <w:tc>
          <w:tcPr>
            <w:tcW w:w="962" w:type="dxa"/>
          </w:tcPr>
          <w:p>
            <w:pPr>
              <w:pStyle w:val="Compact"/>
              <w:spacing w:after="40"/>
              <w:jc w:val="left"/>
            </w:pPr>
            <w:r>
              <w:rPr>
                <w:sz w:val="18"/>
              </w:rPr>
              <w:t xml:space="preserve">Y</w:t>
            </w:r>
          </w:p>
        </w:tc>
        <w:tc>
          <w:tcPr>
            <w:tcW w:w="690" w:type="dxa"/>
          </w:tcPr>
          <w:p>
            <w:pPr>
              <w:pStyle w:val="Compact"/>
              <w:spacing w:after="40"/>
              <w:jc w:val="left"/>
            </w:pPr>
            <w:r>
              <w:rPr>
                <w:sz w:val="18"/>
              </w:rPr>
              <w:t xml:space="preserve">Y</w:t>
            </w:r>
          </w:p>
        </w:tc>
        <w:tc>
          <w:tcPr>
            <w:tcW w:w="780" w:type="dxa"/>
          </w:tcPr>
          <w:p>
            <w:pPr>
              <w:pStyle w:val="Compact"/>
              <w:spacing w:after="40"/>
              <w:jc w:val="left"/>
            </w:pPr>
            <w:r>
              <w:rPr>
                <w:sz w:val="18"/>
              </w:rPr>
              <w:t xml:space="preserve">Y</w:t>
            </w:r>
          </w:p>
        </w:tc>
        <w:tc>
          <w:tcPr>
            <w:tcW w:w="553" w:type="dxa"/>
          </w:tcPr>
          <w:p>
            <w:pPr>
              <w:pStyle w:val="Compact"/>
              <w:spacing w:after="40"/>
              <w:jc w:val="left"/>
            </w:pPr>
            <w:r>
              <w:rPr>
                <w:sz w:val="18"/>
              </w:rPr>
              <w:t xml:space="preserve">Y</w:t>
            </w:r>
          </w:p>
        </w:tc>
        <w:tc>
          <w:tcPr>
            <w:tcW w:w="845" w:type="dxa"/>
          </w:tcPr>
          <w:p>
            <w:pPr>
              <w:pStyle w:val="Compact"/>
              <w:spacing w:after="40"/>
              <w:jc w:val="left"/>
            </w:pPr>
            <w:r>
              <w:rPr>
                <w:sz w:val="18"/>
              </w:rPr>
              <w:t xml:space="preserve">Y</w:t>
            </w:r>
          </w:p>
        </w:tc>
        <w:tc>
          <w:tcPr>
            <w:tcW w:w="553" w:type="dxa"/>
          </w:tcPr>
          <w:p>
            <w:pPr>
              <w:pStyle w:val="Compact"/>
              <w:spacing w:after="40"/>
              <w:jc w:val="left"/>
            </w:pPr>
            <w:r>
              <w:rPr>
                <w:sz w:val="18"/>
              </w:rPr>
              <w:t xml:space="preserve">[VERIFY]</w:t>
            </w:r>
          </w:p>
        </w:tc>
        <w:tc>
          <w:tcPr>
            <w:tcW w:w="865" w:type="dxa"/>
          </w:tcPr>
          <w:p>
            <w:pPr>
              <w:pStyle w:val="Compact"/>
              <w:spacing w:after="40"/>
              <w:jc w:val="left"/>
            </w:pPr>
            <w:r>
              <w:rPr>
                <w:sz w:val="18"/>
              </w:rPr>
              <w:t xml:space="preserve">By-law</w:t>
            </w:r>
          </w:p>
        </w:tc>
      </w:tr>
      <w:tr>
        <w:tc>
          <w:tcPr>
            <w:tcW w:w="630" w:type="dxa"/>
          </w:tcPr>
          <w:p>
            <w:pPr>
              <w:pStyle w:val="Compact"/>
              <w:spacing w:after="40"/>
              <w:jc w:val="left"/>
            </w:pPr>
            <w:r>
              <w:rPr>
                <w:sz w:val="18"/>
              </w:rPr>
              <w:t xml:space="preserve">CRO</w:t>
            </w:r>
          </w:p>
        </w:tc>
        <w:tc>
          <w:tcPr>
            <w:tcW w:w="586" w:type="dxa"/>
          </w:tcPr>
          <w:p>
            <w:pPr>
              <w:pStyle w:val="Compact"/>
              <w:spacing w:after="40"/>
              <w:jc w:val="left"/>
            </w:pPr>
            <w:r>
              <w:rPr>
                <w:sz w:val="18"/>
              </w:rPr>
              <w:t xml:space="preserve">Y</w:t>
            </w:r>
          </w:p>
        </w:tc>
        <w:tc>
          <w:tcPr>
            <w:tcW w:w="553" w:type="dxa"/>
          </w:tcPr>
          <w:p>
            <w:pPr>
              <w:pStyle w:val="Compact"/>
              <w:spacing w:after="40"/>
              <w:jc w:val="left"/>
            </w:pPr>
            <w:r>
              <w:rPr>
                <w:sz w:val="18"/>
              </w:rPr>
              <w:t xml:space="preserve">Y</w:t>
            </w:r>
          </w:p>
        </w:tc>
        <w:tc>
          <w:tcPr>
            <w:tcW w:w="989" w:type="dxa"/>
          </w:tcPr>
          <w:p>
            <w:pPr>
              <w:pStyle w:val="Compact"/>
              <w:spacing w:after="40"/>
              <w:jc w:val="left"/>
            </w:pPr>
            <w:r>
              <w:rPr>
                <w:sz w:val="18"/>
              </w:rPr>
              <w:t xml:space="preserve">Partial</w:t>
            </w:r>
          </w:p>
        </w:tc>
        <w:tc>
          <w:tcPr>
            <w:tcW w:w="553" w:type="dxa"/>
          </w:tcPr>
          <w:p>
            <w:pPr>
              <w:pStyle w:val="Compact"/>
              <w:spacing w:after="40"/>
              <w:jc w:val="left"/>
            </w:pPr>
            <w:r>
              <w:rPr>
                <w:sz w:val="18"/>
              </w:rPr>
              <w:t xml:space="preserve">N</w:t>
            </w:r>
          </w:p>
        </w:tc>
        <w:tc>
          <w:tcPr>
            <w:tcW w:w="1079" w:type="dxa"/>
          </w:tcPr>
          <w:p>
            <w:pPr>
              <w:pStyle w:val="Compact"/>
              <w:spacing w:after="40"/>
              <w:jc w:val="left"/>
            </w:pPr>
            <w:r>
              <w:rPr>
                <w:sz w:val="18"/>
              </w:rPr>
              <w:t xml:space="preserve">N</w:t>
            </w:r>
          </w:p>
        </w:tc>
        <w:tc>
          <w:tcPr>
            <w:tcW w:w="962" w:type="dxa"/>
          </w:tcPr>
          <w:p>
            <w:pPr>
              <w:pStyle w:val="Compact"/>
              <w:spacing w:after="40"/>
              <w:jc w:val="left"/>
            </w:pPr>
            <w:r>
              <w:rPr>
                <w:sz w:val="18"/>
              </w:rPr>
              <w:t xml:space="preserve">Y if assets &gt; ₹5,000 crore (GOV 19)</w:t>
            </w:r>
          </w:p>
        </w:tc>
        <w:tc>
          <w:tcPr>
            <w:tcW w:w="690" w:type="dxa"/>
          </w:tcPr>
          <w:p>
            <w:pPr>
              <w:pStyle w:val="Compact"/>
              <w:spacing w:after="40"/>
              <w:jc w:val="left"/>
            </w:pPr>
            <w:r>
              <w:rPr>
                <w:sz w:val="18"/>
              </w:rPr>
              <w:t xml:space="preserve">same</w:t>
            </w:r>
          </w:p>
        </w:tc>
        <w:tc>
          <w:tcPr>
            <w:tcW w:w="780" w:type="dxa"/>
          </w:tcPr>
          <w:p>
            <w:pPr>
              <w:pStyle w:val="Compact"/>
              <w:spacing w:after="40"/>
              <w:jc w:val="left"/>
            </w:pPr>
            <w:r>
              <w:rPr>
                <w:sz w:val="18"/>
              </w:rPr>
              <w:t xml:space="preserve">same</w:t>
            </w:r>
          </w:p>
        </w:tc>
        <w:tc>
          <w:tcPr>
            <w:tcW w:w="553" w:type="dxa"/>
          </w:tcPr>
          <w:p>
            <w:pPr>
              <w:pStyle w:val="Compact"/>
              <w:spacing w:after="40"/>
              <w:jc w:val="left"/>
            </w:pPr>
            <w:r>
              <w:rPr>
                <w:sz w:val="18"/>
              </w:rPr>
              <w:t xml:space="preserve">by layer</w:t>
            </w:r>
          </w:p>
        </w:tc>
        <w:tc>
          <w:tcPr>
            <w:tcW w:w="845" w:type="dxa"/>
          </w:tcPr>
          <w:p>
            <w:pPr>
              <w:pStyle w:val="Compact"/>
              <w:spacing w:after="40"/>
              <w:jc w:val="left"/>
            </w:pPr>
            <w:r>
              <w:rPr>
                <w:sz w:val="18"/>
              </w:rPr>
              <w:t xml:space="preserve">same</w:t>
            </w:r>
          </w:p>
        </w:tc>
        <w:tc>
          <w:tcPr>
            <w:tcW w:w="553" w:type="dxa"/>
          </w:tcPr>
          <w:p>
            <w:pPr>
              <w:pStyle w:val="Compact"/>
              <w:spacing w:after="40"/>
              <w:jc w:val="left"/>
            </w:pPr>
            <w:r>
              <w:rPr>
                <w:sz w:val="18"/>
              </w:rPr>
              <w:t xml:space="preserve">[VERIFY]</w:t>
            </w:r>
          </w:p>
        </w:tc>
        <w:tc>
          <w:tcPr>
            <w:tcW w:w="865" w:type="dxa"/>
          </w:tcPr>
          <w:p>
            <w:pPr>
              <w:pStyle w:val="Compact"/>
              <w:spacing w:after="40"/>
              <w:jc w:val="left"/>
            </w:pPr>
            <w:r>
              <w:rPr>
                <w:sz w:val="18"/>
              </w:rPr>
              <w:t xml:space="preserve">N</w:t>
            </w:r>
          </w:p>
        </w:tc>
      </w:tr>
      <w:tr>
        <w:tc>
          <w:tcPr>
            <w:tcW w:w="630" w:type="dxa"/>
          </w:tcPr>
          <w:p>
            <w:pPr>
              <w:pStyle w:val="Compact"/>
              <w:spacing w:after="40"/>
              <w:jc w:val="left"/>
            </w:pPr>
            <w:r>
              <w:rPr>
                <w:sz w:val="18"/>
              </w:rPr>
              <w:t xml:space="preserve">Capital minimum</w:t>
            </w:r>
          </w:p>
        </w:tc>
        <w:tc>
          <w:tcPr>
            <w:tcW w:w="586" w:type="dxa"/>
          </w:tcPr>
          <w:p>
            <w:pPr>
              <w:pStyle w:val="Compact"/>
              <w:spacing w:after="40"/>
              <w:jc w:val="left"/>
            </w:pPr>
            <w:r>
              <w:rPr>
                <w:sz w:val="18"/>
              </w:rPr>
              <w:t xml:space="preserve">9% + 2.5% CCB</w:t>
            </w:r>
          </w:p>
        </w:tc>
        <w:tc>
          <w:tcPr>
            <w:tcW w:w="553" w:type="dxa"/>
          </w:tcPr>
          <w:p>
            <w:pPr>
              <w:pStyle w:val="Compact"/>
              <w:spacing w:after="40"/>
              <w:jc w:val="left"/>
            </w:pPr>
            <w:r>
              <w:rPr>
                <w:sz w:val="18"/>
              </w:rPr>
              <w:t xml:space="preserve">[VERIFY]</w:t>
            </w:r>
          </w:p>
        </w:tc>
        <w:tc>
          <w:tcPr>
            <w:tcW w:w="989" w:type="dxa"/>
          </w:tcPr>
          <w:p>
            <w:pPr>
              <w:pStyle w:val="Compact"/>
              <w:spacing w:after="40"/>
              <w:jc w:val="left"/>
            </w:pPr>
            <w:r>
              <w:rPr>
                <w:sz w:val="18"/>
              </w:rPr>
              <w:t xml:space="preserve">9% (UCB Tier 1) / 12% (UCB Tiers 2–4)</w:t>
            </w:r>
          </w:p>
        </w:tc>
        <w:tc>
          <w:tcPr>
            <w:tcW w:w="553" w:type="dxa"/>
          </w:tcPr>
          <w:p>
            <w:pPr>
              <w:pStyle w:val="Compact"/>
              <w:spacing w:after="40"/>
              <w:jc w:val="left"/>
            </w:pPr>
            <w:r>
              <w:rPr>
                <w:sz w:val="18"/>
              </w:rPr>
              <w:t xml:space="preserve">[VERIFY]</w:t>
            </w:r>
          </w:p>
        </w:tc>
        <w:tc>
          <w:tcPr>
            <w:tcW w:w="1079" w:type="dxa"/>
          </w:tcPr>
          <w:p>
            <w:pPr>
              <w:pStyle w:val="Compact"/>
              <w:spacing w:after="40"/>
              <w:jc w:val="left"/>
            </w:pPr>
            <w:r>
              <w:rPr>
                <w:sz w:val="18"/>
              </w:rPr>
              <w:t xml:space="preserve">Leverage ≤ 7; gold-primary T1 12% / CRAR 15%</w:t>
            </w:r>
          </w:p>
        </w:tc>
        <w:tc>
          <w:tcPr>
            <w:tcW w:w="962" w:type="dxa"/>
          </w:tcPr>
          <w:p>
            <w:pPr>
              <w:pStyle w:val="Compact"/>
              <w:spacing w:after="40"/>
              <w:jc w:val="left"/>
            </w:pPr>
            <w:r>
              <w:rPr>
                <w:sz w:val="18"/>
              </w:rPr>
              <w:t xml:space="preserve">CRAR 15%, T1 10%</w:t>
            </w:r>
          </w:p>
        </w:tc>
        <w:tc>
          <w:tcPr>
            <w:tcW w:w="690" w:type="dxa"/>
          </w:tcPr>
          <w:p>
            <w:pPr>
              <w:pStyle w:val="Compact"/>
              <w:spacing w:after="40"/>
              <w:jc w:val="left"/>
            </w:pPr>
            <w:r>
              <w:rPr>
                <w:sz w:val="18"/>
              </w:rPr>
              <w:t xml:space="preserve">+ CET1 9%</w:t>
            </w:r>
          </w:p>
        </w:tc>
        <w:tc>
          <w:tcPr>
            <w:tcW w:w="780" w:type="dxa"/>
          </w:tcPr>
          <w:p>
            <w:pPr>
              <w:pStyle w:val="Compact"/>
              <w:spacing w:after="40"/>
              <w:jc w:val="left"/>
            </w:pPr>
            <w:r>
              <w:rPr>
                <w:sz w:val="18"/>
              </w:rPr>
              <w:t xml:space="preserve">CRAR 15%, T1 10%</w:t>
            </w:r>
          </w:p>
        </w:tc>
        <w:tc>
          <w:tcPr>
            <w:tcW w:w="553" w:type="dxa"/>
          </w:tcPr>
          <w:p>
            <w:pPr>
              <w:pStyle w:val="Compact"/>
              <w:spacing w:after="40"/>
              <w:jc w:val="left"/>
            </w:pPr>
            <w:r>
              <w:rPr>
                <w:sz w:val="18"/>
              </w:rPr>
              <w:t xml:space="preserve">CRAR 15%</w:t>
            </w:r>
          </w:p>
        </w:tc>
        <w:tc>
          <w:tcPr>
            <w:tcW w:w="845" w:type="dxa"/>
          </w:tcPr>
          <w:p>
            <w:pPr>
              <w:pStyle w:val="Compact"/>
              <w:spacing w:after="40"/>
              <w:jc w:val="left"/>
            </w:pPr>
            <w:r>
              <w:rPr>
                <w:sz w:val="18"/>
              </w:rPr>
              <w:t xml:space="preserve">ANW/RWA 30% (</w:t>
            </w:r>
            <w:r>
              <w:rPr>
                <w:rStyle w:val="VerbatimChar"/>
                <w:sz w:val="18"/>
              </w:rPr>
              <w:t xml:space="preserve">CICD</w:t>
            </w:r>
            <w:r>
              <w:rPr>
                <w:sz w:val="18"/>
              </w:rPr>
              <w:t xml:space="preserve">) [VERIFY]</w:t>
            </w:r>
          </w:p>
        </w:tc>
        <w:tc>
          <w:tcPr>
            <w:tcW w:w="553" w:type="dxa"/>
          </w:tcPr>
          <w:p>
            <w:pPr>
              <w:pStyle w:val="Compact"/>
              <w:spacing w:after="40"/>
              <w:jc w:val="left"/>
            </w:pPr>
            <w:r>
              <w:rPr>
                <w:sz w:val="18"/>
              </w:rPr>
              <w:t xml:space="preserve">[VERIFY]</w:t>
            </w:r>
          </w:p>
        </w:tc>
        <w:tc>
          <w:tcPr>
            <w:tcW w:w="865" w:type="dxa"/>
          </w:tcPr>
          <w:p>
            <w:pPr>
              <w:pStyle w:val="Compact"/>
              <w:spacing w:after="40"/>
              <w:jc w:val="left"/>
            </w:pPr>
            <w:r>
              <w:rPr>
                <w:sz w:val="18"/>
              </w:rPr>
              <w:t xml:space="preserve">None (management indicators)</w:t>
            </w:r>
          </w:p>
        </w:tc>
      </w:tr>
      <w:tr>
        <w:tc>
          <w:tcPr>
            <w:tcW w:w="630" w:type="dxa"/>
          </w:tcPr>
          <w:p>
            <w:pPr>
              <w:pStyle w:val="Compact"/>
              <w:spacing w:after="40"/>
              <w:jc w:val="left"/>
            </w:pPr>
            <w:r>
              <w:rPr>
                <w:sz w:val="18"/>
              </w:rPr>
              <w:t xml:space="preserve">ICAAP</w:t>
            </w:r>
          </w:p>
        </w:tc>
        <w:tc>
          <w:tcPr>
            <w:tcW w:w="586" w:type="dxa"/>
          </w:tcPr>
          <w:p>
            <w:pPr>
              <w:pStyle w:val="Compact"/>
              <w:spacing w:after="40"/>
              <w:jc w:val="left"/>
            </w:pPr>
            <w:r>
              <w:rPr>
                <w:sz w:val="18"/>
              </w:rPr>
              <w:t xml:space="preserve">Y (Pillar 2)</w:t>
            </w:r>
          </w:p>
        </w:tc>
        <w:tc>
          <w:tcPr>
            <w:tcW w:w="553" w:type="dxa"/>
          </w:tcPr>
          <w:p>
            <w:pPr>
              <w:pStyle w:val="Compact"/>
              <w:spacing w:after="40"/>
              <w:jc w:val="left"/>
            </w:pPr>
            <w:r>
              <w:rPr>
                <w:sz w:val="18"/>
              </w:rPr>
              <w:t xml:space="preserve">Y</w:t>
            </w:r>
          </w:p>
        </w:tc>
        <w:tc>
          <w:tcPr>
            <w:tcW w:w="989" w:type="dxa"/>
          </w:tcPr>
          <w:p>
            <w:pPr>
              <w:pStyle w:val="Compact"/>
              <w:spacing w:after="40"/>
              <w:jc w:val="left"/>
            </w:pPr>
            <w:r>
              <w:rPr>
                <w:sz w:val="18"/>
              </w:rPr>
              <w:t xml:space="preserve">[VERIFY]</w:t>
            </w:r>
          </w:p>
        </w:tc>
        <w:tc>
          <w:tcPr>
            <w:tcW w:w="553" w:type="dxa"/>
          </w:tcPr>
          <w:p>
            <w:pPr>
              <w:pStyle w:val="Compact"/>
              <w:spacing w:after="40"/>
              <w:jc w:val="left"/>
            </w:pPr>
            <w:r>
              <w:rPr>
                <w:sz w:val="18"/>
              </w:rPr>
              <w:t xml:space="preserve">N</w:t>
            </w:r>
          </w:p>
        </w:tc>
        <w:tc>
          <w:tcPr>
            <w:tcW w:w="1079" w:type="dxa"/>
          </w:tcPr>
          <w:p>
            <w:pPr>
              <w:pStyle w:val="Compact"/>
              <w:spacing w:after="40"/>
              <w:jc w:val="left"/>
            </w:pPr>
            <w:r>
              <w:rPr>
                <w:sz w:val="18"/>
              </w:rPr>
              <w:t xml:space="preserve">N (optional)</w:t>
            </w:r>
          </w:p>
        </w:tc>
        <w:tc>
          <w:tcPr>
            <w:tcW w:w="962" w:type="dxa"/>
          </w:tcPr>
          <w:p>
            <w:pPr>
              <w:pStyle w:val="Compact"/>
              <w:spacing w:after="40"/>
              <w:jc w:val="left"/>
            </w:pPr>
            <w:r>
              <w:rPr>
                <w:sz w:val="18"/>
              </w:rPr>
              <w:t xml:space="preserve">Y (CAP 54)</w:t>
            </w:r>
          </w:p>
        </w:tc>
        <w:tc>
          <w:tcPr>
            <w:tcW w:w="690" w:type="dxa"/>
          </w:tcPr>
          <w:p>
            <w:pPr>
              <w:pStyle w:val="Compact"/>
              <w:spacing w:after="40"/>
              <w:jc w:val="left"/>
            </w:pPr>
            <w:r>
              <w:rPr>
                <w:sz w:val="18"/>
              </w:rPr>
              <w:t xml:space="preserve">Y</w:t>
            </w:r>
          </w:p>
        </w:tc>
        <w:tc>
          <w:tcPr>
            <w:tcW w:w="780" w:type="dxa"/>
          </w:tcPr>
          <w:p>
            <w:pPr>
              <w:pStyle w:val="Compact"/>
              <w:spacing w:after="40"/>
              <w:jc w:val="left"/>
            </w:pPr>
            <w:r>
              <w:rPr>
                <w:sz w:val="18"/>
              </w:rPr>
              <w:t xml:space="preserve">Y</w:t>
            </w:r>
          </w:p>
        </w:tc>
        <w:tc>
          <w:tcPr>
            <w:tcW w:w="553" w:type="dxa"/>
          </w:tcPr>
          <w:p>
            <w:pPr>
              <w:pStyle w:val="Compact"/>
              <w:spacing w:after="40"/>
              <w:jc w:val="left"/>
            </w:pPr>
            <w:r>
              <w:rPr>
                <w:sz w:val="18"/>
              </w:rPr>
              <w:t xml:space="preserve">by layer</w:t>
            </w:r>
          </w:p>
        </w:tc>
        <w:tc>
          <w:tcPr>
            <w:tcW w:w="845" w:type="dxa"/>
          </w:tcPr>
          <w:p>
            <w:pPr>
              <w:pStyle w:val="Compact"/>
              <w:spacing w:after="40"/>
              <w:jc w:val="left"/>
            </w:pPr>
            <w:r>
              <w:rPr>
                <w:sz w:val="18"/>
              </w:rPr>
              <w:t xml:space="preserve">Y</w:t>
            </w:r>
          </w:p>
        </w:tc>
        <w:tc>
          <w:tcPr>
            <w:tcW w:w="553" w:type="dxa"/>
          </w:tcPr>
          <w:p>
            <w:pPr>
              <w:pStyle w:val="Compact"/>
              <w:spacing w:after="40"/>
              <w:jc w:val="left"/>
            </w:pPr>
            <w:r>
              <w:rPr>
                <w:sz w:val="18"/>
              </w:rPr>
              <w:t xml:space="preserve">N</w:t>
            </w:r>
          </w:p>
        </w:tc>
        <w:tc>
          <w:tcPr>
            <w:tcW w:w="865" w:type="dxa"/>
          </w:tcPr>
          <w:p>
            <w:pPr>
              <w:pStyle w:val="Compact"/>
              <w:spacing w:after="40"/>
              <w:jc w:val="left"/>
            </w:pPr>
            <w:r>
              <w:rPr>
                <w:sz w:val="18"/>
              </w:rPr>
              <w:t xml:space="preserve">N</w:t>
            </w:r>
          </w:p>
        </w:tc>
      </w:tr>
      <w:tr>
        <w:tc>
          <w:tcPr>
            <w:tcW w:w="630" w:type="dxa"/>
          </w:tcPr>
          <w:p>
            <w:pPr>
              <w:pStyle w:val="Compact"/>
              <w:spacing w:after="40"/>
              <w:jc w:val="left"/>
            </w:pPr>
            <w:r>
              <w:rPr>
                <w:sz w:val="18"/>
              </w:rPr>
              <w:t xml:space="preserve">SLS 10/10/20</w:t>
            </w:r>
          </w:p>
        </w:tc>
        <w:tc>
          <w:tcPr>
            <w:tcW w:w="586" w:type="dxa"/>
          </w:tcPr>
          <w:p>
            <w:pPr>
              <w:pStyle w:val="Compact"/>
              <w:spacing w:after="40"/>
              <w:jc w:val="left"/>
            </w:pPr>
            <w:r>
              <w:rPr>
                <w:sz w:val="18"/>
              </w:rPr>
              <w:t xml:space="preserve">Own ALM</w:t>
            </w:r>
          </w:p>
        </w:tc>
        <w:tc>
          <w:tcPr>
            <w:tcW w:w="553" w:type="dxa"/>
          </w:tcPr>
          <w:p>
            <w:pPr>
              <w:pStyle w:val="Compact"/>
              <w:spacing w:after="40"/>
              <w:jc w:val="left"/>
            </w:pPr>
            <w:r>
              <w:rPr>
                <w:sz w:val="18"/>
              </w:rPr>
              <w:t xml:space="preserve">Own</w:t>
            </w:r>
          </w:p>
        </w:tc>
        <w:tc>
          <w:tcPr>
            <w:tcW w:w="989" w:type="dxa"/>
          </w:tcPr>
          <w:p>
            <w:pPr>
              <w:pStyle w:val="Compact"/>
              <w:spacing w:after="40"/>
              <w:jc w:val="left"/>
            </w:pPr>
            <w:r>
              <w:rPr>
                <w:sz w:val="18"/>
              </w:rPr>
              <w:t xml:space="preserve">Own</w:t>
            </w:r>
          </w:p>
        </w:tc>
        <w:tc>
          <w:tcPr>
            <w:tcW w:w="553" w:type="dxa"/>
          </w:tcPr>
          <w:p>
            <w:pPr>
              <w:pStyle w:val="Compact"/>
              <w:spacing w:after="40"/>
              <w:jc w:val="left"/>
            </w:pPr>
            <w:r>
              <w:rPr>
                <w:sz w:val="18"/>
              </w:rPr>
              <w:t xml:space="preserve">Own</w:t>
            </w:r>
          </w:p>
        </w:tc>
        <w:tc>
          <w:tcPr>
            <w:tcW w:w="1079" w:type="dxa"/>
          </w:tcPr>
          <w:p>
            <w:pPr>
              <w:pStyle w:val="Compact"/>
              <w:spacing w:after="40"/>
              <w:jc w:val="left"/>
            </w:pPr>
            <w:r>
              <w:rPr>
                <w:sz w:val="18"/>
              </w:rPr>
              <w:t xml:space="preserve">if assets ≥ ₹100 crore</w:t>
            </w:r>
          </w:p>
        </w:tc>
        <w:tc>
          <w:tcPr>
            <w:tcW w:w="962" w:type="dxa"/>
          </w:tcPr>
          <w:p>
            <w:pPr>
              <w:pStyle w:val="Compact"/>
              <w:spacing w:after="40"/>
              <w:jc w:val="left"/>
            </w:pPr>
            <w:r>
              <w:rPr>
                <w:sz w:val="18"/>
              </w:rPr>
              <w:t xml:space="preserve">Y</w:t>
            </w:r>
          </w:p>
        </w:tc>
        <w:tc>
          <w:tcPr>
            <w:tcW w:w="690" w:type="dxa"/>
          </w:tcPr>
          <w:p>
            <w:pPr>
              <w:pStyle w:val="Compact"/>
              <w:spacing w:after="40"/>
              <w:jc w:val="left"/>
            </w:pPr>
            <w:r>
              <w:rPr>
                <w:sz w:val="18"/>
              </w:rPr>
              <w:t xml:space="preserve">Y</w:t>
            </w:r>
          </w:p>
        </w:tc>
        <w:tc>
          <w:tcPr>
            <w:tcW w:w="780" w:type="dxa"/>
          </w:tcPr>
          <w:p>
            <w:pPr>
              <w:pStyle w:val="Compact"/>
              <w:spacing w:after="40"/>
              <w:jc w:val="left"/>
            </w:pPr>
            <w:r>
              <w:rPr>
                <w:sz w:val="18"/>
              </w:rPr>
              <w:t xml:space="preserve">Y</w:t>
            </w:r>
          </w:p>
        </w:tc>
        <w:tc>
          <w:tcPr>
            <w:tcW w:w="553" w:type="dxa"/>
          </w:tcPr>
          <w:p>
            <w:pPr>
              <w:pStyle w:val="Compact"/>
              <w:spacing w:after="40"/>
              <w:jc w:val="left"/>
            </w:pPr>
            <w:r>
              <w:rPr>
                <w:sz w:val="18"/>
              </w:rPr>
              <w:t xml:space="preserve">Y</w:t>
            </w:r>
          </w:p>
        </w:tc>
        <w:tc>
          <w:tcPr>
            <w:tcW w:w="845" w:type="dxa"/>
          </w:tcPr>
          <w:p>
            <w:pPr>
              <w:pStyle w:val="Compact"/>
              <w:spacing w:after="40"/>
              <w:jc w:val="left"/>
            </w:pPr>
            <w:r>
              <w:rPr>
                <w:sz w:val="18"/>
              </w:rPr>
              <w:t xml:space="preserve">Y</w:t>
            </w:r>
          </w:p>
        </w:tc>
        <w:tc>
          <w:tcPr>
            <w:tcW w:w="553" w:type="dxa"/>
          </w:tcPr>
          <w:p>
            <w:pPr>
              <w:pStyle w:val="Compact"/>
              <w:spacing w:after="40"/>
              <w:jc w:val="left"/>
            </w:pPr>
            <w:r>
              <w:rPr>
                <w:sz w:val="18"/>
              </w:rPr>
              <w:t xml:space="preserve">—</w:t>
            </w:r>
          </w:p>
        </w:tc>
        <w:tc>
          <w:tcPr>
            <w:tcW w:w="865" w:type="dxa"/>
          </w:tcPr>
          <w:p>
            <w:pPr>
              <w:pStyle w:val="Compact"/>
              <w:spacing w:after="40"/>
              <w:jc w:val="left"/>
            </w:pPr>
            <w:r>
              <w:rPr>
                <w:sz w:val="18"/>
              </w:rPr>
              <w:t xml:space="preserve">N</w:t>
            </w:r>
          </w:p>
        </w:tc>
      </w:tr>
      <w:tr>
        <w:tc>
          <w:tcPr>
            <w:tcW w:w="630" w:type="dxa"/>
          </w:tcPr>
          <w:p>
            <w:pPr>
              <w:pStyle w:val="Compact"/>
              <w:spacing w:after="40"/>
              <w:jc w:val="left"/>
            </w:pPr>
            <w:r>
              <w:rPr>
                <w:sz w:val="18"/>
              </w:rPr>
              <w:t xml:space="preserve">LCR</w:t>
            </w:r>
          </w:p>
        </w:tc>
        <w:tc>
          <w:tcPr>
            <w:tcW w:w="586" w:type="dxa"/>
          </w:tcPr>
          <w:p>
            <w:pPr>
              <w:pStyle w:val="Compact"/>
              <w:spacing w:after="40"/>
              <w:jc w:val="left"/>
            </w:pPr>
            <w:r>
              <w:rPr>
                <w:sz w:val="18"/>
              </w:rPr>
              <w:t xml:space="preserve">Y</w:t>
            </w:r>
          </w:p>
        </w:tc>
        <w:tc>
          <w:tcPr>
            <w:tcW w:w="553" w:type="dxa"/>
          </w:tcPr>
          <w:p>
            <w:pPr>
              <w:pStyle w:val="Compact"/>
              <w:spacing w:after="40"/>
              <w:jc w:val="left"/>
            </w:pPr>
            <w:r>
              <w:rPr>
                <w:sz w:val="18"/>
              </w:rPr>
              <w:t xml:space="preserve">Y</w:t>
            </w:r>
          </w:p>
        </w:tc>
        <w:tc>
          <w:tcPr>
            <w:tcW w:w="989" w:type="dxa"/>
          </w:tcPr>
          <w:p>
            <w:pPr>
              <w:pStyle w:val="Compact"/>
              <w:spacing w:after="40"/>
              <w:jc w:val="left"/>
            </w:pPr>
            <w:r>
              <w:rPr>
                <w:sz w:val="18"/>
              </w:rPr>
              <w:t xml:space="preserve">[VERIFY]</w:t>
            </w:r>
          </w:p>
        </w:tc>
        <w:tc>
          <w:tcPr>
            <w:tcW w:w="553" w:type="dxa"/>
          </w:tcPr>
          <w:p>
            <w:pPr>
              <w:pStyle w:val="Compact"/>
              <w:spacing w:after="40"/>
              <w:jc w:val="left"/>
            </w:pPr>
            <w:r>
              <w:rPr>
                <w:sz w:val="18"/>
              </w:rPr>
              <w:t xml:space="preserve">N</w:t>
            </w:r>
          </w:p>
        </w:tc>
        <w:tc>
          <w:tcPr>
            <w:tcW w:w="1079" w:type="dxa"/>
          </w:tcPr>
          <w:p>
            <w:pPr>
              <w:pStyle w:val="Compact"/>
              <w:spacing w:after="40"/>
              <w:jc w:val="left"/>
            </w:pPr>
            <w:r>
              <w:rPr>
                <w:sz w:val="18"/>
              </w:rPr>
              <w:t xml:space="preserve">NBFC-D</w:t>
            </w:r>
          </w:p>
        </w:tc>
        <w:tc>
          <w:tcPr>
            <w:tcW w:w="962" w:type="dxa"/>
          </w:tcPr>
          <w:p>
            <w:pPr>
              <w:pStyle w:val="Compact"/>
              <w:spacing w:after="40"/>
              <w:jc w:val="left"/>
            </w:pPr>
            <w:r>
              <w:rPr>
                <w:sz w:val="18"/>
              </w:rPr>
              <w:t xml:space="preserve">NBFC-D or ≥ ₹5,000 crore</w:t>
            </w:r>
          </w:p>
        </w:tc>
        <w:tc>
          <w:tcPr>
            <w:tcW w:w="690" w:type="dxa"/>
          </w:tcPr>
          <w:p>
            <w:pPr>
              <w:pStyle w:val="Compact"/>
              <w:spacing w:after="40"/>
              <w:jc w:val="left"/>
            </w:pPr>
            <w:r>
              <w:rPr>
                <w:sz w:val="18"/>
              </w:rPr>
              <w:t xml:space="preserve">same</w:t>
            </w:r>
          </w:p>
        </w:tc>
        <w:tc>
          <w:tcPr>
            <w:tcW w:w="780" w:type="dxa"/>
          </w:tcPr>
          <w:p>
            <w:pPr>
              <w:pStyle w:val="Compact"/>
              <w:spacing w:after="40"/>
              <w:jc w:val="left"/>
            </w:pPr>
            <w:r>
              <w:rPr>
                <w:sz w:val="18"/>
              </w:rPr>
              <w:t xml:space="preserve">HFC-D or ≥ ₹5,000 crore</w:t>
            </w:r>
          </w:p>
        </w:tc>
        <w:tc>
          <w:tcPr>
            <w:tcW w:w="553" w:type="dxa"/>
          </w:tcPr>
          <w:p>
            <w:pPr>
              <w:pStyle w:val="Compact"/>
              <w:spacing w:after="40"/>
              <w:jc w:val="left"/>
            </w:pPr>
            <w:r>
              <w:rPr>
                <w:sz w:val="18"/>
              </w:rPr>
              <w:t xml:space="preserve">by size</w:t>
            </w:r>
          </w:p>
        </w:tc>
        <w:tc>
          <w:tcPr>
            <w:tcW w:w="845" w:type="dxa"/>
          </w:tcPr>
          <w:p>
            <w:pPr>
              <w:pStyle w:val="Compact"/>
              <w:spacing w:after="40"/>
              <w:jc w:val="left"/>
            </w:pPr>
            <w:r>
              <w:rPr>
                <w:sz w:val="18"/>
              </w:rPr>
              <w:t xml:space="preserve">N</w:t>
            </w:r>
          </w:p>
        </w:tc>
        <w:tc>
          <w:tcPr>
            <w:tcW w:w="553" w:type="dxa"/>
          </w:tcPr>
          <w:p>
            <w:pPr>
              <w:pStyle w:val="Compact"/>
              <w:spacing w:after="40"/>
              <w:jc w:val="left"/>
            </w:pPr>
            <w:r>
              <w:rPr>
                <w:sz w:val="18"/>
              </w:rPr>
              <w:t xml:space="preserve">N</w:t>
            </w:r>
          </w:p>
        </w:tc>
        <w:tc>
          <w:tcPr>
            <w:tcW w:w="865" w:type="dxa"/>
          </w:tcPr>
          <w:p>
            <w:pPr>
              <w:pStyle w:val="Compact"/>
              <w:spacing w:after="40"/>
              <w:jc w:val="left"/>
            </w:pPr>
            <w:r>
              <w:rPr>
                <w:sz w:val="18"/>
              </w:rPr>
              <w:t xml:space="preserve">N</w:t>
            </w:r>
          </w:p>
        </w:tc>
      </w:tr>
      <w:tr>
        <w:tc>
          <w:tcPr>
            <w:tcW w:w="630" w:type="dxa"/>
          </w:tcPr>
          <w:p>
            <w:pPr>
              <w:pStyle w:val="Compact"/>
              <w:spacing w:after="40"/>
              <w:jc w:val="left"/>
            </w:pPr>
            <w:r>
              <w:rPr>
                <w:sz w:val="18"/>
              </w:rPr>
              <w:t xml:space="preserve">Concentration</w:t>
            </w:r>
          </w:p>
        </w:tc>
        <w:tc>
          <w:tcPr>
            <w:tcW w:w="586" w:type="dxa"/>
          </w:tcPr>
          <w:p>
            <w:pPr>
              <w:pStyle w:val="Compact"/>
              <w:spacing w:after="40"/>
              <w:jc w:val="left"/>
            </w:pPr>
            <w:r>
              <w:rPr>
                <w:sz w:val="18"/>
              </w:rPr>
              <w:t xml:space="preserve">LEF</w:t>
            </w:r>
          </w:p>
        </w:tc>
        <w:tc>
          <w:tcPr>
            <w:tcW w:w="553" w:type="dxa"/>
          </w:tcPr>
          <w:p>
            <w:pPr>
              <w:pStyle w:val="Compact"/>
              <w:spacing w:after="40"/>
              <w:jc w:val="left"/>
            </w:pPr>
            <w:r>
              <w:rPr>
                <w:sz w:val="18"/>
              </w:rPr>
              <w:t xml:space="preserve">LEF</w:t>
            </w:r>
          </w:p>
        </w:tc>
        <w:tc>
          <w:tcPr>
            <w:tcW w:w="989" w:type="dxa"/>
          </w:tcPr>
          <w:p>
            <w:pPr>
              <w:pStyle w:val="Compact"/>
              <w:spacing w:after="40"/>
              <w:jc w:val="left"/>
            </w:pPr>
            <w:r>
              <w:rPr>
                <w:sz w:val="18"/>
              </w:rPr>
              <w:t xml:space="preserve">Own norms</w:t>
            </w:r>
          </w:p>
        </w:tc>
        <w:tc>
          <w:tcPr>
            <w:tcW w:w="553" w:type="dxa"/>
          </w:tcPr>
          <w:p>
            <w:pPr>
              <w:pStyle w:val="Compact"/>
              <w:spacing w:after="40"/>
              <w:jc w:val="left"/>
            </w:pPr>
            <w:r>
              <w:rPr>
                <w:sz w:val="18"/>
              </w:rPr>
              <w:t xml:space="preserve">NABARD</w:t>
            </w:r>
          </w:p>
        </w:tc>
        <w:tc>
          <w:tcPr>
            <w:tcW w:w="1079" w:type="dxa"/>
          </w:tcPr>
          <w:p>
            <w:pPr>
              <w:pStyle w:val="Compact"/>
              <w:spacing w:after="40"/>
              <w:jc w:val="left"/>
            </w:pPr>
            <w:r>
              <w:rPr>
                <w:sz w:val="18"/>
              </w:rPr>
              <w:t xml:space="preserve">Board policy</w:t>
            </w:r>
          </w:p>
        </w:tc>
        <w:tc>
          <w:tcPr>
            <w:tcW w:w="962" w:type="dxa"/>
          </w:tcPr>
          <w:p>
            <w:pPr>
              <w:pStyle w:val="Compact"/>
              <w:spacing w:after="40"/>
              <w:jc w:val="left"/>
            </w:pPr>
            <w:r>
              <w:rPr>
                <w:sz w:val="18"/>
              </w:rPr>
              <w:t xml:space="preserve">25% / 40%</w:t>
            </w:r>
          </w:p>
        </w:tc>
        <w:tc>
          <w:tcPr>
            <w:tcW w:w="690" w:type="dxa"/>
          </w:tcPr>
          <w:p>
            <w:pPr>
              <w:pStyle w:val="Compact"/>
              <w:spacing w:after="40"/>
              <w:jc w:val="left"/>
            </w:pPr>
            <w:r>
              <w:rPr>
                <w:sz w:val="18"/>
              </w:rPr>
              <w:t xml:space="preserve">LEF 20% (+5) / 25%</w:t>
            </w:r>
          </w:p>
        </w:tc>
        <w:tc>
          <w:tcPr>
            <w:tcW w:w="780" w:type="dxa"/>
          </w:tcPr>
          <w:p>
            <w:pPr>
              <w:pStyle w:val="Compact"/>
              <w:spacing w:after="40"/>
              <w:jc w:val="left"/>
            </w:pPr>
            <w:r>
              <w:rPr>
                <w:sz w:val="18"/>
              </w:rPr>
              <w:t xml:space="preserve">Y</w:t>
            </w:r>
          </w:p>
        </w:tc>
        <w:tc>
          <w:tcPr>
            <w:tcW w:w="553" w:type="dxa"/>
          </w:tcPr>
          <w:p>
            <w:pPr>
              <w:pStyle w:val="Compact"/>
              <w:spacing w:after="40"/>
              <w:jc w:val="left"/>
            </w:pPr>
            <w:r>
              <w:rPr>
                <w:sz w:val="18"/>
              </w:rPr>
              <w:t xml:space="preserve">Y</w:t>
            </w:r>
          </w:p>
        </w:tc>
        <w:tc>
          <w:tcPr>
            <w:tcW w:w="845" w:type="dxa"/>
          </w:tcPr>
          <w:p>
            <w:pPr>
              <w:pStyle w:val="Compact"/>
              <w:spacing w:after="40"/>
              <w:jc w:val="left"/>
            </w:pPr>
            <w:r>
              <w:rPr>
                <w:sz w:val="18"/>
              </w:rPr>
              <w:t xml:space="preserve">Own</w:t>
            </w:r>
          </w:p>
        </w:tc>
        <w:tc>
          <w:tcPr>
            <w:tcW w:w="553" w:type="dxa"/>
          </w:tcPr>
          <w:p>
            <w:pPr>
              <w:pStyle w:val="Compact"/>
              <w:spacing w:after="40"/>
              <w:jc w:val="left"/>
            </w:pPr>
            <w:r>
              <w:rPr>
                <w:sz w:val="18"/>
              </w:rPr>
              <w:t xml:space="preserve">Own</w:t>
            </w:r>
          </w:p>
        </w:tc>
        <w:tc>
          <w:tcPr>
            <w:tcW w:w="865" w:type="dxa"/>
          </w:tcPr>
          <w:p>
            <w:pPr>
              <w:pStyle w:val="Compact"/>
              <w:spacing w:after="40"/>
              <w:jc w:val="left"/>
            </w:pPr>
            <w:r>
              <w:rPr>
                <w:sz w:val="18"/>
              </w:rPr>
              <w:t xml:space="preserve">By-law</w:t>
            </w:r>
          </w:p>
        </w:tc>
      </w:tr>
      <w:tr>
        <w:tc>
          <w:tcPr>
            <w:tcW w:w="630" w:type="dxa"/>
          </w:tcPr>
          <w:p>
            <w:pPr>
              <w:pStyle w:val="Compact"/>
              <w:spacing w:after="40"/>
              <w:jc w:val="left"/>
            </w:pPr>
            <w:r>
              <w:rPr>
                <w:sz w:val="18"/>
              </w:rPr>
              <w:t xml:space="preserve">PCA</w:t>
            </w:r>
          </w:p>
        </w:tc>
        <w:tc>
          <w:tcPr>
            <w:tcW w:w="586" w:type="dxa"/>
          </w:tcPr>
          <w:p>
            <w:pPr>
              <w:pStyle w:val="Compact"/>
              <w:spacing w:after="40"/>
              <w:jc w:val="left"/>
            </w:pPr>
            <w:r>
              <w:rPr>
                <w:sz w:val="18"/>
              </w:rPr>
              <w:t xml:space="preserve">Bank PCA</w:t>
            </w:r>
          </w:p>
        </w:tc>
        <w:tc>
          <w:tcPr>
            <w:tcW w:w="553" w:type="dxa"/>
          </w:tcPr>
          <w:p>
            <w:pPr>
              <w:pStyle w:val="Compact"/>
              <w:spacing w:after="40"/>
              <w:jc w:val="left"/>
            </w:pPr>
            <w:r>
              <w:rPr>
                <w:sz w:val="18"/>
              </w:rPr>
              <w:t xml:space="preserve">Bank PCA</w:t>
            </w:r>
          </w:p>
        </w:tc>
        <w:tc>
          <w:tcPr>
            <w:tcW w:w="989" w:type="dxa"/>
          </w:tcPr>
          <w:p>
            <w:pPr>
              <w:pStyle w:val="Compact"/>
              <w:spacing w:after="40"/>
              <w:jc w:val="left"/>
            </w:pPr>
            <w:r>
              <w:rPr>
                <w:sz w:val="18"/>
              </w:rPr>
              <w:t xml:space="preserve">SAF [VERIFY]</w:t>
            </w:r>
          </w:p>
        </w:tc>
        <w:tc>
          <w:tcPr>
            <w:tcW w:w="553" w:type="dxa"/>
          </w:tcPr>
          <w:p>
            <w:pPr>
              <w:pStyle w:val="Compact"/>
              <w:spacing w:after="40"/>
              <w:jc w:val="left"/>
            </w:pPr>
            <w:r>
              <w:rPr>
                <w:sz w:val="18"/>
              </w:rPr>
              <w:t xml:space="preserve">—</w:t>
            </w:r>
          </w:p>
        </w:tc>
        <w:tc>
          <w:tcPr>
            <w:tcW w:w="1079" w:type="dxa"/>
          </w:tcPr>
          <w:p>
            <w:pPr>
              <w:pStyle w:val="Compact"/>
              <w:spacing w:after="40"/>
              <w:jc w:val="left"/>
            </w:pPr>
            <w:r>
              <w:rPr>
                <w:sz w:val="18"/>
              </w:rPr>
              <w:t xml:space="preserve">N</w:t>
            </w:r>
          </w:p>
        </w:tc>
        <w:tc>
          <w:tcPr>
            <w:tcW w:w="962" w:type="dxa"/>
          </w:tcPr>
          <w:p>
            <w:pPr>
              <w:pStyle w:val="Compact"/>
              <w:spacing w:after="40"/>
              <w:jc w:val="left"/>
            </w:pPr>
            <w:r>
              <w:rPr>
                <w:sz w:val="18"/>
              </w:rPr>
              <w:t xml:space="preserve">Y</w:t>
            </w:r>
          </w:p>
        </w:tc>
        <w:tc>
          <w:tcPr>
            <w:tcW w:w="690" w:type="dxa"/>
          </w:tcPr>
          <w:p>
            <w:pPr>
              <w:pStyle w:val="Compact"/>
              <w:spacing w:after="40"/>
              <w:jc w:val="left"/>
            </w:pPr>
            <w:r>
              <w:rPr>
                <w:sz w:val="18"/>
              </w:rPr>
              <w:t xml:space="preserve">Y</w:t>
            </w:r>
          </w:p>
        </w:tc>
        <w:tc>
          <w:tcPr>
            <w:tcW w:w="780" w:type="dxa"/>
          </w:tcPr>
          <w:p>
            <w:pPr>
              <w:pStyle w:val="Compact"/>
              <w:spacing w:after="40"/>
              <w:jc w:val="left"/>
            </w:pPr>
            <w:r>
              <w:rPr>
                <w:sz w:val="18"/>
              </w:rPr>
              <w:t xml:space="preserve">N (excluded, MSD 3)</w:t>
            </w:r>
          </w:p>
        </w:tc>
        <w:tc>
          <w:tcPr>
            <w:tcW w:w="553" w:type="dxa"/>
          </w:tcPr>
          <w:p>
            <w:pPr>
              <w:pStyle w:val="Compact"/>
              <w:spacing w:after="40"/>
              <w:jc w:val="left"/>
            </w:pPr>
            <w:r>
              <w:rPr>
                <w:sz w:val="18"/>
              </w:rPr>
              <w:t xml:space="preserve">Y</w:t>
            </w:r>
          </w:p>
        </w:tc>
        <w:tc>
          <w:tcPr>
            <w:tcW w:w="845" w:type="dxa"/>
          </w:tcPr>
          <w:p>
            <w:pPr>
              <w:pStyle w:val="Compact"/>
              <w:spacing w:after="40"/>
              <w:jc w:val="left"/>
            </w:pPr>
            <w:r>
              <w:rPr>
                <w:sz w:val="18"/>
              </w:rPr>
              <w:t xml:space="preserve">Y</w:t>
            </w:r>
          </w:p>
        </w:tc>
        <w:tc>
          <w:tcPr>
            <w:tcW w:w="553" w:type="dxa"/>
          </w:tcPr>
          <w:p>
            <w:pPr>
              <w:pStyle w:val="Compact"/>
              <w:spacing w:after="40"/>
              <w:jc w:val="left"/>
            </w:pPr>
            <w:r>
              <w:rPr>
                <w:sz w:val="18"/>
              </w:rPr>
              <w:t xml:space="preserve">—</w:t>
            </w:r>
          </w:p>
        </w:tc>
        <w:tc>
          <w:tcPr>
            <w:tcW w:w="865" w:type="dxa"/>
          </w:tcPr>
          <w:p>
            <w:pPr>
              <w:pStyle w:val="Compact"/>
              <w:spacing w:after="40"/>
              <w:jc w:val="left"/>
            </w:pPr>
            <w:r>
              <w:rPr>
                <w:sz w:val="18"/>
              </w:rPr>
              <w:t xml:space="preserve">N</w:t>
            </w:r>
          </w:p>
        </w:tc>
      </w:tr>
    </w:tbl>
    <w:p>
      <w:pPr>
        <w:pStyle w:val="BodyText"/>
      </w:pPr>
      <w:r>
        <w:rPr>
          <w:bCs/>
          <w:b/>
        </w:rPr>
        <w:t xml:space="preserve">REQ-ID / Direction codes used.</w:t>
      </w:r>
      <w:r>
        <w:t xml:space="preserve"> </w:t>
      </w:r>
      <w:r>
        <w:t xml:space="preserve">GOV, CAP, CON, CRM, ALM, IRACP, FS, MFI, MSD, SR, ORM, FRM, CYB, OUT, SBR, CMP; from Part 8A.37:</w:t>
      </w:r>
      <w:r>
        <w:t xml:space="preserve"> </w:t>
      </w:r>
      <w:r>
        <w:rPr>
          <w:rStyle w:val="VerbatimChar"/>
        </w:rPr>
        <w:t xml:space="preserve">HFC</w:t>
      </w:r>
      <w:r>
        <w:t xml:space="preserve"> </w:t>
      </w:r>
      <w:r>
        <w:t xml:space="preserve">(Housing Finance Companies Directions 2025, RBI/DoR/2025-26/365),</w:t>
      </w:r>
      <w:r>
        <w:t xml:space="preserve"> </w:t>
      </w:r>
      <w:r>
        <w:rPr>
          <w:rStyle w:val="VerbatimChar"/>
        </w:rPr>
        <w:t xml:space="preserve">CICD</w:t>
      </w:r>
      <w:r>
        <w:t xml:space="preserve"> </w:t>
      </w:r>
      <w:r>
        <w:t xml:space="preserve">(Core Investment Companies Directions 2025),</w:t>
      </w:r>
      <w:r>
        <w:t xml:space="preserve"> </w:t>
      </w:r>
      <w:r>
        <w:rPr>
          <w:rStyle w:val="VerbatimChar"/>
        </w:rPr>
        <w:t xml:space="preserve">CB-CAP</w:t>
      </w:r>
      <w:r>
        <w:t xml:space="preserve"> </w:t>
      </w:r>
      <w:r>
        <w:t xml:space="preserve">(Commercial Banks Capital Adequacy Directions 2025),</w:t>
      </w:r>
      <w:r>
        <w:t xml:space="preserve"> </w:t>
      </w:r>
      <w:r>
        <w:rPr>
          <w:rStyle w:val="VerbatimChar"/>
        </w:rPr>
        <w:t xml:space="preserve">CB-CRSA</w:t>
      </w:r>
      <w:r>
        <w:t xml:space="preserve"> </w:t>
      </w:r>
      <w:r>
        <w:t xml:space="preserve">(Commercial Banks – Capital Charge for Credit Risk – Standardised Approach Directions 2026),</w:t>
      </w:r>
      <w:r>
        <w:t xml:space="preserve"> </w:t>
      </w:r>
      <w:r>
        <w:rPr>
          <w:rStyle w:val="VerbatimChar"/>
        </w:rPr>
        <w:t xml:space="preserve">CB-ECL</w:t>
      </w:r>
      <w:r>
        <w:t xml:space="preserve"> </w:t>
      </w:r>
      <w:r>
        <w:t xml:space="preserve">(Commercial Banks – Asset Classification, Provisioning and Income Recognition Directions 2026, RBI/DOR/2026-27/398),</w:t>
      </w:r>
      <w:r>
        <w:t xml:space="preserve"> </w:t>
      </w:r>
      <w:r>
        <w:rPr>
          <w:rStyle w:val="VerbatimChar"/>
        </w:rPr>
        <w:t xml:space="preserve">UCB</w:t>
      </w:r>
      <w:r>
        <w:t xml:space="preserve">,</w:t>
      </w:r>
      <w:r>
        <w:t xml:space="preserve"> </w:t>
      </w:r>
      <w:r>
        <w:rPr>
          <w:rStyle w:val="VerbatimChar"/>
        </w:rPr>
        <w:t xml:space="preserve">MSCS</w:t>
      </w:r>
      <w:r>
        <w:t xml:space="preserve">,</w:t>
      </w:r>
      <w:r>
        <w:t xml:space="preserve"> </w:t>
      </w:r>
      <w:r>
        <w:rPr>
          <w:rStyle w:val="VerbatimChar"/>
        </w:rPr>
        <w:t xml:space="preserve">SCS</w:t>
      </w:r>
      <w:r>
        <w:t xml:space="preserve">,</w:t>
      </w:r>
      <w:r>
        <w:t xml:space="preserve"> </w:t>
      </w:r>
      <w:r>
        <w:rPr>
          <w:rStyle w:val="VerbatimChar"/>
        </w:rPr>
        <w:t xml:space="preserve">LODR</w:t>
      </w:r>
      <w:r>
        <w:t xml:space="preserve">,</w:t>
      </w:r>
      <w:r>
        <w:t xml:space="preserve"> </w:t>
      </w:r>
      <w:r>
        <w:rPr>
          <w:rStyle w:val="VerbatimChar"/>
        </w:rPr>
        <w:t xml:space="preserve">DPDP</w:t>
      </w:r>
      <w:r>
        <w:t xml:space="preserve">. Labels: [LAW], [REG], [REC], [interpretation: …],</w:t>
      </w:r>
      <w:r>
        <w:t xml:space="preserve"> </w:t>
      </w:r>
      <w:r>
        <w:rPr>
          <w:rStyle w:val="VerbatimChar"/>
        </w:rPr>
        <w:t xml:space="preserve">[VERIFY: …]</w:t>
      </w:r>
      <w:r>
        <w:t xml:space="preserve">.</w:t>
      </w:r>
    </w:p>
    <w:p>
      <w:pPr>
        <w:pStyle w:val="BodyText"/>
      </w:pPr>
      <w:r>
        <w:rPr>
          <w:bCs/>
          <w:b/>
        </w:rPr>
        <w:t xml:space="preserve">Data owned.</w:t>
      </w:r>
      <w:r>
        <w:t xml:space="preserve"> </w:t>
      </w:r>
      <w:r>
        <w:t xml:space="preserve">Risk-function register, risk appetite statement and limits (or their mirror when LawDocsComply is the system of record), capital runs, liquidity runs, exposure and limit checks, metric definitions and values, ICAAP cycles, stress scenarios and results, PCA projections, dashboards and Board packs. Source data stays in M6, M10, M11, M12 and Part 7C. Events (Integration Specification v1.1,</w:t>
      </w:r>
      <w:r>
        <w:t xml:space="preserve"> </w:t>
      </w:r>
      <w:r>
        <w:rPr>
          <w:rStyle w:val="VerbatimChar"/>
        </w:rPr>
        <w:t xml:space="preserve">risk</w:t>
      </w:r>
      <w:r>
        <w:t xml:space="preserve"> </w:t>
      </w:r>
      <w:r>
        <w:t xml:space="preserve">domain):</w:t>
      </w:r>
      <w:r>
        <w:t xml:space="preserve"> </w:t>
      </w:r>
      <w:r>
        <w:rPr>
          <w:rStyle w:val="VerbatimChar"/>
        </w:rPr>
        <w:t xml:space="preserve">KriBreached</w:t>
      </w:r>
      <w:r>
        <w:t xml:space="preserve">,</w:t>
      </w:r>
      <w:r>
        <w:t xml:space="preserve"> </w:t>
      </w:r>
      <w:r>
        <w:rPr>
          <w:rStyle w:val="VerbatimChar"/>
        </w:rPr>
        <w:t xml:space="preserve">LossEventRecorded</w:t>
      </w:r>
      <w:r>
        <w:t xml:space="preserve">,</w:t>
      </w:r>
      <w:r>
        <w:t xml:space="preserve"> </w:t>
      </w:r>
      <w:r>
        <w:rPr>
          <w:rStyle w:val="VerbatimChar"/>
        </w:rPr>
        <w:t xml:space="preserve">CapitalRatioComputed</w:t>
      </w:r>
      <w:r>
        <w:t xml:space="preserve">,</w:t>
      </w:r>
      <w:r>
        <w:t xml:space="preserve"> </w:t>
      </w:r>
      <w:r>
        <w:rPr>
          <w:rStyle w:val="VerbatimChar"/>
        </w:rPr>
        <w:t xml:space="preserve">LimitBreached</w:t>
      </w:r>
      <w:r>
        <w:t xml:space="preserve">,</w:t>
      </w:r>
      <w:r>
        <w:t xml:space="preserve"> </w:t>
      </w:r>
      <w:r>
        <w:rPr>
          <w:rStyle w:val="VerbatimChar"/>
        </w:rPr>
        <w:t xml:space="preserve">StressTestCompleted</w:t>
      </w:r>
      <w:r>
        <w:t xml:space="preserve">,</w:t>
      </w:r>
      <w:r>
        <w:t xml:space="preserve"> </w:t>
      </w:r>
      <w:r>
        <w:rPr>
          <w:rStyle w:val="VerbatimChar"/>
        </w:rPr>
        <w:t xml:space="preserve">RiskSnapshotPublished</w:t>
      </w:r>
      <w:r>
        <w:t xml:space="preserve">; existing</w:t>
      </w:r>
      <w:r>
        <w:t xml:space="preserve"> </w:t>
      </w:r>
      <w:r>
        <w:rPr>
          <w:rStyle w:val="VerbatimChar"/>
        </w:rPr>
        <w:t xml:space="preserve">RiskSignalRaised</w:t>
      </w:r>
      <w:r>
        <w:t xml:space="preserve">,</w:t>
      </w:r>
      <w:r>
        <w:t xml:space="preserve"> </w:t>
      </w:r>
      <w:r>
        <w:rPr>
          <w:rStyle w:val="VerbatimChar"/>
        </w:rPr>
        <w:t xml:space="preserve">SecurityIncidentNotified</w:t>
      </w:r>
      <w:r>
        <w:t xml:space="preserve">,</w:t>
      </w:r>
      <w:r>
        <w:t xml:space="preserve"> </w:t>
      </w:r>
      <w:r>
        <w:rPr>
          <w:rStyle w:val="VerbatimChar"/>
        </w:rPr>
        <w:t xml:space="preserve">ControlTestResultPublished</w:t>
      </w:r>
      <w:r>
        <w:t xml:space="preserve">,</w:t>
      </w:r>
      <w:r>
        <w:t xml:space="preserve"> </w:t>
      </w:r>
      <w:r>
        <w:rPr>
          <w:rStyle w:val="VerbatimChar"/>
        </w:rPr>
        <w:t xml:space="preserve">ComplianceIssueRaised</w:t>
      </w:r>
      <w:r>
        <w:t xml:space="preserve">,</w:t>
      </w:r>
      <w:r>
        <w:t xml:space="preserve"> </w:t>
      </w:r>
      <w:r>
        <w:rPr>
          <w:rStyle w:val="VerbatimChar"/>
        </w:rPr>
        <w:t xml:space="preserve">EvidenceSubmitted</w:t>
      </w:r>
      <w:r>
        <w:t xml:space="preserve"> </w:t>
      </w:r>
      <w:r>
        <w:t xml:space="preserve">are reused.</w:t>
      </w:r>
    </w:p>
    <w:p>
      <w:pPr>
        <w:pStyle w:val="BodyText"/>
      </w:pPr>
      <w:r>
        <w:rPr>
          <w:bCs/>
          <w:b/>
        </w:rPr>
        <w:t xml:space="preserve">Correct the common assumptions (build rules).</w:t>
      </w:r>
      <w:r>
        <w:t xml:space="preserve"> </w:t>
      </w:r>
      <w:r>
        <w:t xml:space="preserve">NBFCs have</w:t>
      </w:r>
      <w:r>
        <w:t xml:space="preserve"> </w:t>
      </w:r>
      <w:r>
        <w:rPr>
          <w:bCs/>
          <w:b/>
        </w:rPr>
        <w:t xml:space="preserve">no Pillar 1 operational- or market-risk charge</w:t>
      </w:r>
      <w:r>
        <w:t xml:space="preserve"> </w:t>
      </w:r>
      <w:r>
        <w:t xml:space="preserve">and Pillar 2 capital</w:t>
      </w:r>
      <w:r>
        <w:t xml:space="preserve"> </w:t>
      </w:r>
      <w:r>
        <w:t xml:space="preserve">“</w:t>
      </w:r>
      <w:r>
        <w:t xml:space="preserve">will not be insisted upon</w:t>
      </w:r>
      <w:r>
        <w:t xml:space="preserve">”</w:t>
      </w:r>
      <w:r>
        <w:t xml:space="preserve"> </w:t>
      </w:r>
      <w:r>
        <w:t xml:space="preserve">(CAP Ch III, para 54); any internal estimate is labelled</w:t>
      </w:r>
      <w:r>
        <w:t xml:space="preserve"> </w:t>
      </w:r>
      <w:r>
        <w:t xml:space="preserve">“</w:t>
      </w:r>
      <w:r>
        <w:t xml:space="preserve">ICAAP internal</w:t>
      </w:r>
      <w:r>
        <w:t xml:space="preserve">”</w:t>
      </w:r>
      <w:r>
        <w:t xml:space="preserve">. ML and UL NBFCs have</w:t>
      </w:r>
      <w:r>
        <w:t xml:space="preserve"> </w:t>
      </w:r>
      <w:r>
        <w:rPr>
          <w:bCs/>
          <w:b/>
        </w:rPr>
        <w:t xml:space="preserve">no leverage ratio</w:t>
      </w:r>
      <w:r>
        <w:t xml:space="preserve">; leverage ≤ 7 applies to BL only (CAP 17). The CRO is mandatory only</w:t>
      </w:r>
      <w:r>
        <w:t xml:space="preserve"> </w:t>
      </w:r>
      <w:r>
        <w:rPr>
          <w:bCs/>
          <w:b/>
        </w:rPr>
        <w:t xml:space="preserve">above ₹5,000 crore</w:t>
      </w:r>
      <w:r>
        <w:t xml:space="preserve"> </w:t>
      </w:r>
      <w:r>
        <w:t xml:space="preserve">(GOV 19). LCR applies to NBFC-ND from</w:t>
      </w:r>
      <w:r>
        <w:t xml:space="preserve"> </w:t>
      </w:r>
      <w:r>
        <w:rPr>
          <w:bCs/>
          <w:b/>
        </w:rPr>
        <w:t xml:space="preserve">₹5,000 crore</w:t>
      </w:r>
      <w:r>
        <w:t xml:space="preserve"> </w:t>
      </w:r>
      <w:r>
        <w:t xml:space="preserve">(ALM Ch III). The MFI qualifying-asset floor is</w:t>
      </w:r>
      <w:r>
        <w:t xml:space="preserve"> </w:t>
      </w:r>
      <w:r>
        <w:rPr>
          <w:bCs/>
          <w:b/>
        </w:rPr>
        <w:t xml:space="preserve">60%</w:t>
      </w:r>
      <w:r>
        <w:t xml:space="preserve"> </w:t>
      </w:r>
      <w:r>
        <w:t xml:space="preserve">(MFI 12–13). There is no NBFC Pillar 3; FS notes and ALM disclosures are the substitute.</w:t>
      </w:r>
    </w:p>
    <w:p>
      <w:r>
        <w:pict>
          <v:rect style="width:0;height:1.5pt" o:hralign="center" o:hrstd="t" o:hr="t"/>
        </w:pict>
      </w:r>
    </w:p>
    <w:bookmarkStart w:id="406" w:name="X9ba978259c39a34ad37a26728c220be5d3f031b"/>
    <w:p>
      <w:pPr>
        <w:pStyle w:val="Heading2"/>
      </w:pPr>
      <w:r>
        <w:t xml:space="preserve">RK1. Risk management function and governance</w:t>
      </w:r>
    </w:p>
    <w:bookmarkStart w:id="398" w:name="rk1.1-risk-governance-profile"/>
    <w:p>
      <w:pPr>
        <w:pStyle w:val="Heading3"/>
      </w:pPr>
      <w:r>
        <w:t xml:space="preserve">RK1.1 Risk-governance profile</w:t>
      </w:r>
    </w:p>
    <w:p>
      <w:pPr>
        <w:numPr>
          <w:ilvl w:val="0"/>
          <w:numId w:val="1384"/>
        </w:numPr>
        <w:pStyle w:val="Compact"/>
      </w:pPr>
      <w:r>
        <w:rPr>
          <w:bCs/>
          <w:b/>
        </w:rPr>
        <w:t xml:space="preserve">Resolver keys.</w:t>
      </w:r>
      <w:r>
        <w:t xml:space="preserve"> </w:t>
      </w:r>
      <w:r>
        <w:t xml:space="preserve">Entity type, layer (</w:t>
      </w:r>
      <w:r>
        <w:rPr>
          <w:rStyle w:val="VerbatimChar"/>
        </w:rPr>
        <w:t xml:space="preserve">layer_effective</w:t>
      </w:r>
      <w:r>
        <w:t xml:space="preserve"> </w:t>
      </w:r>
      <w:r>
        <w:t xml:space="preserve">kept separate from</w:t>
      </w:r>
      <w:r>
        <w:t xml:space="preserve"> </w:t>
      </w:r>
      <w:r>
        <w:rPr>
          <w:rStyle w:val="VerbatimChar"/>
        </w:rPr>
        <w:t xml:space="preserve">layer_computed</w:t>
      </w:r>
      <w:r>
        <w:t xml:space="preserve">, because a layer persists until the next audited balance sheet and RBI dispensation — SBR 23), last-audited assets, deposit-taking, public funds, listed, government-owned. Rules carry citation and effective dates:</w:t>
      </w:r>
    </w:p>
    <w:p>
      <w:pPr>
        <w:numPr>
          <w:ilvl w:val="1"/>
          <w:numId w:val="1385"/>
        </w:numPr>
        <w:pStyle w:val="Compact"/>
      </w:pPr>
      <w:r>
        <w:rPr>
          <w:rStyle w:val="VerbatimChar"/>
        </w:rPr>
        <w:t xml:space="preserve">RMC = all NBFC layers</w:t>
      </w:r>
      <w:r>
        <w:t xml:space="preserve"> </w:t>
      </w:r>
      <w:r>
        <w:t xml:space="preserve">(GOV 9; Ch III applies to all layers);</w:t>
      </w:r>
    </w:p>
    <w:p>
      <w:pPr>
        <w:numPr>
          <w:ilvl w:val="1"/>
          <w:numId w:val="1385"/>
        </w:numPr>
        <w:pStyle w:val="Compact"/>
      </w:pPr>
      <w:r>
        <w:rPr>
          <w:rStyle w:val="VerbatimChar"/>
        </w:rPr>
        <w:t xml:space="preserve">CRO = layer in {ML, UL, TL} and assets &gt; ₹5,000 crore</w:t>
      </w:r>
      <w:r>
        <w:t xml:space="preserve"> </w:t>
      </w:r>
      <w:r>
        <w:t xml:space="preserve">(GOV 19; HFCs via GOV 3(2); CICs via GOV 3(3));</w:t>
      </w:r>
    </w:p>
    <w:p>
      <w:pPr>
        <w:numPr>
          <w:ilvl w:val="1"/>
          <w:numId w:val="1385"/>
        </w:numPr>
        <w:pStyle w:val="Compact"/>
      </w:pPr>
      <w:r>
        <w:rPr>
          <w:rStyle w:val="VerbatimChar"/>
        </w:rPr>
        <w:t xml:space="preserve">CCO = layer in {ML, UL}</w:t>
      </w:r>
      <w:r>
        <w:t xml:space="preserve"> </w:t>
      </w:r>
      <w:r>
        <w:t xml:space="preserve">(GOV 25; CMP 3);</w:t>
      </w:r>
    </w:p>
    <w:p>
      <w:pPr>
        <w:numPr>
          <w:ilvl w:val="1"/>
          <w:numId w:val="1385"/>
        </w:numPr>
        <w:pStyle w:val="Compact"/>
      </w:pPr>
      <w:r>
        <w:rPr>
          <w:rStyle w:val="VerbatimChar"/>
        </w:rPr>
        <w:t xml:space="preserve">HIA_RBIA = NBFC-D or assets ≥ ₹5,000 crore</w:t>
      </w:r>
      <w:r>
        <w:t xml:space="preserve"> </w:t>
      </w:r>
      <w:r>
        <w:t xml:space="preserve">(IAF 3) — Part 7D;</w:t>
      </w:r>
    </w:p>
    <w:p>
      <w:pPr>
        <w:numPr>
          <w:ilvl w:val="1"/>
          <w:numId w:val="1385"/>
        </w:numPr>
        <w:pStyle w:val="Compact"/>
      </w:pPr>
      <w:r>
        <w:rPr>
          <w:rStyle w:val="VerbatimChar"/>
        </w:rPr>
        <w:t xml:space="preserve">ALCO = ALM Ch II applies</w:t>
      </w:r>
      <w:r>
        <w:t xml:space="preserve"> </w:t>
      </w:r>
      <w:r>
        <w:t xml:space="preserve">(ALM 17);</w:t>
      </w:r>
    </w:p>
    <w:p>
      <w:pPr>
        <w:numPr>
          <w:ilvl w:val="1"/>
          <w:numId w:val="1385"/>
        </w:numPr>
        <w:pStyle w:val="Compact"/>
      </w:pPr>
      <w:r>
        <w:rPr>
          <w:rStyle w:val="VerbatimChar"/>
        </w:rPr>
        <w:t xml:space="preserve">ITSC = BL ≥ ₹500 crore (6-monthly, CYB 15) or ML+ excluding CICs (quarterly, CYB 71–72)</w:t>
      </w:r>
      <w:r>
        <w:t xml:space="preserve">;</w:t>
      </w:r>
    </w:p>
    <w:p>
      <w:pPr>
        <w:numPr>
          <w:ilvl w:val="1"/>
          <w:numId w:val="1385"/>
        </w:numPr>
        <w:pStyle w:val="Compact"/>
      </w:pPr>
      <w:r>
        <w:t xml:space="preserve">listed companies: LODR Reg 21 RMC (top 1,000 listed entities by market capitalisation and high-value debt-listed entities) [VERIFY: scope and maximum gap between meetings].</w:t>
      </w:r>
    </w:p>
    <w:p>
      <w:pPr>
        <w:numPr>
          <w:ilvl w:val="0"/>
          <w:numId w:val="1384"/>
        </w:numPr>
        <w:pStyle w:val="Compact"/>
      </w:pPr>
      <w:r>
        <w:rPr>
          <w:bCs/>
          <w:b/>
        </w:rPr>
        <w:t xml:space="preserve">Threshold proximity.</w:t>
      </w:r>
      <w:r>
        <w:t xml:space="preserve"> </w:t>
      </w:r>
      <w:r>
        <w:t xml:space="preserve">R51 (RK6) raises a</w:t>
      </w:r>
      <w:r>
        <w:t xml:space="preserve"> </w:t>
      </w:r>
      <w:r>
        <w:t xml:space="preserve">“</w:t>
      </w:r>
      <w:r>
        <w:t xml:space="preserve">governance readiness</w:t>
      </w:r>
      <w:r>
        <w:t xml:space="preserve">”</w:t>
      </w:r>
      <w:r>
        <w:t xml:space="preserve"> </w:t>
      </w:r>
      <w:r>
        <w:t xml:space="preserve">task two quarters before a threshold is projected to be crossed (for example, appoint a CRO before ₹5,000 crore).</w:t>
      </w:r>
    </w:p>
    <w:bookmarkEnd w:id="398"/>
    <w:bookmarkStart w:id="399" w:name="Xab9af5cb69d04e6b6266246703dcef2696bc5ee"/>
    <w:p>
      <w:pPr>
        <w:pStyle w:val="Heading3"/>
      </w:pPr>
      <w:r>
        <w:t xml:space="preserve">RK1.2 CRO independence and tenure (extends 8A.28)</w:t>
      </w:r>
    </w:p>
    <w:p>
      <w:pPr>
        <w:numPr>
          <w:ilvl w:val="0"/>
          <w:numId w:val="1386"/>
        </w:numPr>
        <w:pStyle w:val="Compact"/>
      </w:pPr>
      <w:r>
        <w:rPr>
          <w:bCs/>
          <w:b/>
        </w:rPr>
        <w:t xml:space="preserve">Role guard-rails.</w:t>
      </w:r>
      <w:r>
        <w:t xml:space="preserve"> </w:t>
      </w:r>
      <w:r>
        <w:t xml:space="preserve">The CRO user cannot hold a business role, business targets or a second control role (GOV 21(3)–(4)); the SoD matrix blocks the assignment at role-grant time.</w:t>
      </w:r>
    </w:p>
    <w:p>
      <w:pPr>
        <w:numPr>
          <w:ilvl w:val="0"/>
          <w:numId w:val="1386"/>
        </w:numPr>
        <w:pStyle w:val="Compact"/>
      </w:pPr>
      <w:r>
        <w:rPr>
          <w:bCs/>
          <w:b/>
        </w:rPr>
        <w:t xml:space="preserve">In-camera meetings.</w:t>
      </w:r>
      <w:r>
        <w:t xml:space="preserve"> </w:t>
      </w:r>
      <w:r>
        <w:t xml:space="preserve">Where the CRO reports to the MD &amp; CEO (not the RMCB), the RMC or Board meets the CRO without the MD &amp; CEO</w:t>
      </w:r>
      <w:r>
        <w:t xml:space="preserve"> </w:t>
      </w:r>
      <w:r>
        <w:rPr>
          <w:bCs/>
          <w:b/>
        </w:rPr>
        <w:t xml:space="preserve">at least quarterly</w:t>
      </w:r>
      <w:r>
        <w:t xml:space="preserve"> </w:t>
      </w:r>
      <w:r>
        <w:t xml:space="preserve">(GOV 21(1)–(2)); the calendar (Part 7F GV2) schedules it and a missed quarter raises an exception to the CS and RMC chair.</w:t>
      </w:r>
    </w:p>
    <w:p>
      <w:pPr>
        <w:numPr>
          <w:ilvl w:val="0"/>
          <w:numId w:val="1386"/>
        </w:numPr>
        <w:pStyle w:val="Compact"/>
      </w:pPr>
      <w:r>
        <w:rPr>
          <w:bCs/>
          <w:b/>
        </w:rPr>
        <w:t xml:space="preserve">Tenure register.</w:t>
      </w:r>
      <w:r>
        <w:t xml:space="preserve"> </w:t>
      </w:r>
      <w:r>
        <w:t xml:space="preserve">Fixed Board-set tenure with resolution reference (</w:t>
      </w:r>
      <w:r>
        <w:rPr>
          <w:rStyle w:val="VerbatimChar"/>
        </w:rPr>
        <w:t xml:space="preserve">cro_appointment</w:t>
      </w:r>
      <w:r>
        <w:t xml:space="preserve">). Premature transfer or removal requires a Board approval reference and generates a draft of the DoS Regional Office intimation (NHB for HFCs); for listed tenants,</w:t>
      </w:r>
      <w:r>
        <w:t xml:space="preserve"> </w:t>
      </w:r>
      <w:r>
        <w:rPr>
          <w:bCs/>
          <w:b/>
        </w:rPr>
        <w:t xml:space="preserve">any</w:t>
      </w:r>
      <w:r>
        <w:t xml:space="preserve"> </w:t>
      </w:r>
      <w:r>
        <w:t xml:space="preserve">change in CRO incumbency (including at tenure end) generates the stock-exchange disclosure draft (GOV 22; LODR); the CS files.</w:t>
      </w:r>
    </w:p>
    <w:p>
      <w:pPr>
        <w:numPr>
          <w:ilvl w:val="0"/>
          <w:numId w:val="1386"/>
        </w:numPr>
        <w:pStyle w:val="Compact"/>
      </w:pPr>
      <w:r>
        <w:rPr>
          <w:bCs/>
          <w:b/>
        </w:rPr>
        <w:t xml:space="preserve">Product vetting.</w:t>
      </w:r>
      <w:r>
        <w:t xml:space="preserve"> </w:t>
      </w:r>
      <w:r>
        <w:t xml:space="preserve">No product version goes live without a CRO vetting record for inherent and control risks (GOV 23) and CCO approval (CMP 9(7)); the record captures risks, mitigants, limits, new KRIs and RAS impact.</w:t>
      </w:r>
    </w:p>
    <w:p>
      <w:pPr>
        <w:numPr>
          <w:ilvl w:val="0"/>
          <w:numId w:val="1386"/>
        </w:numPr>
        <w:pStyle w:val="Compact"/>
      </w:pPr>
      <w:r>
        <w:rPr>
          <w:bCs/>
          <w:b/>
        </w:rPr>
        <w:t xml:space="preserve">Credit committees.</w:t>
      </w:r>
      <w:r>
        <w:t xml:space="preserve"> </w:t>
      </w:r>
      <w:r>
        <w:t xml:space="preserve">The CRO’s role in credit proposals defaults to advisor (no vote, outside quorum) (GOV 23); where the tenant’s committee approach makes the CRO a decision maker, the CRO votes and every member’s vote is recorded with an acknowledgement of individual and several liability (GOV 24). Where a CRO exists, the CRO reviews liquidity-risk identification and mitigation (ALM 16).</w:t>
      </w:r>
    </w:p>
    <w:bookmarkEnd w:id="399"/>
    <w:bookmarkStart w:id="400" w:name="Xfb64b155893eade60f784775f4fed3e12f40a75"/>
    <w:p>
      <w:pPr>
        <w:pStyle w:val="Heading3"/>
      </w:pPr>
      <w:r>
        <w:t xml:space="preserve">RK1.3 RMC, risk committees and the three lines</w:t>
      </w:r>
    </w:p>
    <w:p>
      <w:pPr>
        <w:numPr>
          <w:ilvl w:val="0"/>
          <w:numId w:val="1387"/>
        </w:numPr>
        <w:pStyle w:val="Compact"/>
      </w:pPr>
      <w:r>
        <w:rPr>
          <w:bCs/>
          <w:b/>
        </w:rPr>
        <w:t xml:space="preserve">RMC.</w:t>
      </w:r>
      <w:r>
        <w:t xml:space="preserve"> </w:t>
      </w:r>
      <w:r>
        <w:t xml:space="preserve">Composition, terms of reference, calendar and minutes (Part 7F GV2); standing agenda from the RK8 RMC pack: overall risks including liquidity (GOV 9), EWS effectiveness (FRM 14), CISO quarterly cyber review (CYB 82(7)), outsourcing reviews, RAS utilisation, ICAAP, stress results, model validation.</w:t>
      </w:r>
    </w:p>
    <w:p>
      <w:pPr>
        <w:numPr>
          <w:ilvl w:val="0"/>
          <w:numId w:val="1387"/>
        </w:numPr>
        <w:pStyle w:val="Compact"/>
      </w:pPr>
      <w:r>
        <w:rPr>
          <w:bCs/>
          <w:b/>
        </w:rPr>
        <w:t xml:space="preserve">Board reviews (ML/UL).</w:t>
      </w:r>
      <w:r>
        <w:t xml:space="preserve"> </w:t>
      </w:r>
      <w:r>
        <w:t xml:space="preserve">Progress of the risk-management system, risk policy and strategy, and governance conformity at Board-set intervals (GOV 15); Finbyx schedules them and generates the pack.</w:t>
      </w:r>
    </w:p>
    <w:p>
      <w:pPr>
        <w:numPr>
          <w:ilvl w:val="0"/>
          <w:numId w:val="1387"/>
        </w:numPr>
        <w:pStyle w:val="Compact"/>
      </w:pPr>
      <w:r>
        <w:rPr>
          <w:bCs/>
          <w:b/>
        </w:rPr>
        <w:t xml:space="preserve">Three lines.</w:t>
      </w:r>
      <w:r>
        <w:t xml:space="preserve"> </w:t>
      </w:r>
      <w:r>
        <w:t xml:space="preserve">Each risk, control and KRI has a first-line owner, second-line oversight and third-line assurance (Part 7D). Control-function pay alignment (GOV 31, 35(4)) is a policy-registry item.</w:t>
      </w:r>
    </w:p>
    <w:bookmarkEnd w:id="400"/>
    <w:bookmarkStart w:id="401" w:name="rk1.4-risk-appetite-statement-ras"/>
    <w:p>
      <w:pPr>
        <w:pStyle w:val="Heading3"/>
      </w:pPr>
      <w:r>
        <w:t xml:space="preserve">RK1.4 Risk appetite statement (RAS)</w:t>
      </w:r>
    </w:p>
    <w:p>
      <w:pPr>
        <w:numPr>
          <w:ilvl w:val="0"/>
          <w:numId w:val="1388"/>
        </w:numPr>
        <w:pStyle w:val="Compact"/>
      </w:pPr>
      <w:r>
        <w:rPr>
          <w:bCs/>
          <w:b/>
        </w:rPr>
        <w:t xml:space="preserve">Structure.</w:t>
      </w:r>
      <w:r>
        <w:t xml:space="preserve"> </w:t>
      </w:r>
      <w:r>
        <w:rPr>
          <w:rStyle w:val="VerbatimChar"/>
        </w:rPr>
        <w:t xml:space="preserve">risk_appetite_statement</w:t>
      </w:r>
      <w:r>
        <w:t xml:space="preserve"> </w:t>
      </w:r>
      <w:r>
        <w:t xml:space="preserve">(version, Board approval reference, effective dates) →</w:t>
      </w:r>
      <w:r>
        <w:t xml:space="preserve"> </w:t>
      </w:r>
      <w:r>
        <w:rPr>
          <w:rStyle w:val="VerbatimChar"/>
        </w:rPr>
        <w:t xml:space="preserve">ras_metric</w:t>
      </w:r>
      <w:r>
        <w:t xml:space="preserve"> </w:t>
      </w:r>
      <w:r>
        <w:t xml:space="preserve">(RK6 metric id, category, direction) with three levels:</w:t>
      </w:r>
      <w:r>
        <w:t xml:space="preserve"> </w:t>
      </w:r>
      <w:r>
        <w:rPr>
          <w:bCs/>
          <w:b/>
        </w:rPr>
        <w:t xml:space="preserve">appetite</w:t>
      </w:r>
      <w:r>
        <w:t xml:space="preserve"> </w:t>
      </w:r>
      <w:r>
        <w:t xml:space="preserve">(target zone),</w:t>
      </w:r>
      <w:r>
        <w:t xml:space="preserve"> </w:t>
      </w:r>
      <w:r>
        <w:rPr>
          <w:bCs/>
          <w:b/>
        </w:rPr>
        <w:t xml:space="preserve">tolerance</w:t>
      </w:r>
      <w:r>
        <w:t xml:space="preserve"> </w:t>
      </w:r>
      <w:r>
        <w:t xml:space="preserve">(amber) and</w:t>
      </w:r>
      <w:r>
        <w:t xml:space="preserve"> </w:t>
      </w:r>
      <w:r>
        <w:rPr>
          <w:bCs/>
          <w:b/>
        </w:rPr>
        <w:t xml:space="preserve">limit</w:t>
      </w:r>
      <w:r>
        <w:t xml:space="preserve"> </w:t>
      </w:r>
      <w:r>
        <w:t xml:space="preserve">(red; never looser than the regulatory limit). Qualitative statements (for example</w:t>
      </w:r>
      <w:r>
        <w:t xml:space="preserve"> </w:t>
      </w:r>
      <w:r>
        <w:t xml:space="preserve">“</w:t>
      </w:r>
      <w:r>
        <w:t xml:space="preserve">zero tolerance for mis-selling</w:t>
      </w:r>
      <w:r>
        <w:t xml:space="preserve">”</w:t>
      </w:r>
      <w:r>
        <w:t xml:space="preserve">) link to KRIs and control tests.</w:t>
      </w:r>
    </w:p>
    <w:p>
      <w:pPr>
        <w:numPr>
          <w:ilvl w:val="0"/>
          <w:numId w:val="1388"/>
        </w:numPr>
        <w:pStyle w:val="Compact"/>
      </w:pPr>
      <w:r>
        <w:rPr>
          <w:bCs/>
          <w:b/>
        </w:rPr>
        <w:t xml:space="preserve">Cascade.</w:t>
      </w:r>
      <w:r>
        <w:t xml:space="preserve"> </w:t>
      </w:r>
      <w:r>
        <w:t xml:space="preserve">Limits cascade by product, branch, sector, state, channel (LSP, DSA), counterparty group and funding source; children sum within the parent and are approved by the delegated authority.</w:t>
      </w:r>
    </w:p>
    <w:p>
      <w:pPr>
        <w:numPr>
          <w:ilvl w:val="0"/>
          <w:numId w:val="1388"/>
        </w:numPr>
        <w:pStyle w:val="Compact"/>
      </w:pPr>
      <w:r>
        <w:rPr>
          <w:bCs/>
          <w:b/>
        </w:rPr>
        <w:t xml:space="preserve">Monitoring.</w:t>
      </w:r>
      <w:r>
        <w:t xml:space="preserve"> </w:t>
      </w:r>
      <w:r>
        <w:t xml:space="preserve">Each run compares values with the three levels. Amber (tolerance) raises an internal alert to the metric owner and CRO with no outbound event; red (limit) emits</w:t>
      </w:r>
      <w:r>
        <w:t xml:space="preserve"> </w:t>
      </w:r>
      <w:r>
        <w:rPr>
          <w:rStyle w:val="VerbatimChar"/>
        </w:rPr>
        <w:t xml:space="preserve">KriBreached</w:t>
      </w:r>
      <w:r>
        <w:t xml:space="preserve"> </w:t>
      </w:r>
      <w:r>
        <w:t xml:space="preserve">(KRI-type RAS metric) or</w:t>
      </w:r>
      <w:r>
        <w:t xml:space="preserve"> </w:t>
      </w:r>
      <w:r>
        <w:rPr>
          <w:rStyle w:val="VerbatimChar"/>
        </w:rPr>
        <w:t xml:space="preserve">LimitBreached</w:t>
      </w:r>
      <w:r>
        <w:t xml:space="preserve"> </w:t>
      </w:r>
      <w:r>
        <w:t xml:space="preserve">(</w:t>
      </w:r>
      <w:r>
        <w:rPr>
          <w:rStyle w:val="VerbatimChar"/>
        </w:rPr>
        <w:t xml:space="preserve">limit_type</w:t>
      </w:r>
      <w:r>
        <w:t xml:space="preserve"> </w:t>
      </w:r>
      <w:r>
        <w:t xml:space="preserve">BOARD or INTERNAL) and opens the RK2.3 breach workflow with an escalation matrix (owner → CRO → RMC chair → Board) and a dated remediation plan. Regulatory-limit breaches use</w:t>
      </w:r>
      <w:r>
        <w:t xml:space="preserve"> </w:t>
      </w:r>
      <w:r>
        <w:rPr>
          <w:rStyle w:val="VerbatimChar"/>
        </w:rPr>
        <w:t xml:space="preserve">limit_type</w:t>
      </w:r>
      <w:r>
        <w:t xml:space="preserve"> </w:t>
      </w:r>
      <w:r>
        <w:t xml:space="preserve">REGULATORY (or the specific type, for example LE) with the obligation reference (for example CON 45–46).</w:t>
      </w:r>
    </w:p>
    <w:p>
      <w:pPr>
        <w:numPr>
          <w:ilvl w:val="0"/>
          <w:numId w:val="1388"/>
        </w:numPr>
        <w:pStyle w:val="Compact"/>
      </w:pPr>
      <w:r>
        <w:rPr>
          <w:bCs/>
          <w:b/>
        </w:rPr>
        <w:t xml:space="preserve">Use test.</w:t>
      </w:r>
      <w:r>
        <w:t xml:space="preserve"> </w:t>
      </w:r>
      <w:r>
        <w:t xml:space="preserve">Pricing, product approval, sanction what-if and capital planning read the RAS (RK3.5, RK7).</w:t>
      </w:r>
    </w:p>
    <w:bookmarkEnd w:id="401"/>
    <w:bookmarkStart w:id="402" w:name="rk1.5-banks-and-co-operatives"/>
    <w:p>
      <w:pPr>
        <w:pStyle w:val="Heading3"/>
      </w:pPr>
      <w:r>
        <w:t xml:space="preserve">RK1.5 Banks and co-operatives</w:t>
      </w:r>
    </w:p>
    <w:p>
      <w:pPr>
        <w:numPr>
          <w:ilvl w:val="0"/>
          <w:numId w:val="1389"/>
        </w:numPr>
        <w:pStyle w:val="Compact"/>
      </w:pPr>
      <w:r>
        <w:t xml:space="preserve">Banks, UCBs, StCBs and DCCBs: CRO, RMC and risk policy per their RBI or NABARD instructions [VERIFY: current references]; same RK8 packs. Credit co-operative societies: by-law-driven governance (</w:t>
      </w:r>
      <w:r>
        <w:rPr>
          <w:rStyle w:val="VerbatimChar"/>
        </w:rPr>
        <w:t xml:space="preserve">SCS</w:t>
      </w:r>
      <w:r>
        <w:t xml:space="preserve">,</w:t>
      </w:r>
      <w:r>
        <w:t xml:space="preserve"> </w:t>
      </w:r>
      <w:r>
        <w:rPr>
          <w:rStyle w:val="VerbatimChar"/>
        </w:rPr>
        <w:t xml:space="preserve">MSCS</w:t>
      </w:r>
      <w:r>
        <w:t xml:space="preserve">); the same register and dashboards are labelled</w:t>
      </w:r>
      <w:r>
        <w:t xml:space="preserve"> </w:t>
      </w:r>
      <w:r>
        <w:t xml:space="preserve">“</w:t>
      </w:r>
      <w:r>
        <w:t xml:space="preserve">management practice, not an RBI requirement</w:t>
      </w:r>
      <w:r>
        <w:t xml:space="preserve">”</w:t>
      </w:r>
      <w:r>
        <w:t xml:space="preserve">.</w:t>
      </w:r>
    </w:p>
    <w:bookmarkEnd w:id="402"/>
    <w:bookmarkStart w:id="403" w:name="settings-and-options-7"/>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36"/>
        <w:gridCol w:w="2743"/>
        <w:gridCol w:w="1184"/>
        <w:gridCol w:w="3175"/>
      </w:tblGrid>
      <w:tr>
        <w:trPr>
          <w:tblHeader w:val="true"/>
          <w:tblHeader w:val="true"/>
        </w:trPr>
        <w:tc>
          <w:tcPr>
            <w:tcW w:w="2536" w:type="dxa"/>
            <w:shd w:val="clear" w:color="auto" w:fill="1F3A5F"/>
          </w:tcPr>
          <w:p>
            <w:pPr>
              <w:pStyle w:val="Compact"/>
              <w:spacing w:after="40"/>
              <w:jc w:val="left"/>
            </w:pPr>
            <w:r>
              <w:rPr>
                <w:b/>
                <w:color w:val="FFFFFF"/>
                <w:sz w:val="18"/>
              </w:rPr>
              <w:t xml:space="preserve">Setting</w:t>
            </w:r>
          </w:p>
        </w:tc>
        <w:tc>
          <w:tcPr>
            <w:tcW w:w="2743" w:type="dxa"/>
            <w:shd w:val="clear" w:color="auto" w:fill="1F3A5F"/>
          </w:tcPr>
          <w:p>
            <w:pPr>
              <w:pStyle w:val="Compact"/>
              <w:spacing w:after="40"/>
              <w:jc w:val="left"/>
            </w:pPr>
            <w:r>
              <w:rPr>
                <w:b/>
                <w:color w:val="FFFFFF"/>
                <w:sz w:val="18"/>
              </w:rPr>
              <w:t xml:space="preserve">Default</w:t>
            </w:r>
          </w:p>
        </w:tc>
        <w:tc>
          <w:tcPr>
            <w:tcW w:w="1184" w:type="dxa"/>
            <w:shd w:val="clear" w:color="auto" w:fill="1F3A5F"/>
          </w:tcPr>
          <w:p>
            <w:pPr>
              <w:pStyle w:val="Compact"/>
              <w:spacing w:after="40"/>
              <w:jc w:val="left"/>
            </w:pPr>
            <w:r>
              <w:rPr>
                <w:b/>
                <w:color w:val="FFFFFF"/>
                <w:sz w:val="18"/>
              </w:rPr>
              <w:t xml:space="preserve">Level</w:t>
            </w:r>
          </w:p>
        </w:tc>
        <w:tc>
          <w:tcPr>
            <w:tcW w:w="3175" w:type="dxa"/>
            <w:shd w:val="clear" w:color="auto" w:fill="1F3A5F"/>
          </w:tcPr>
          <w:p>
            <w:pPr>
              <w:pStyle w:val="Compact"/>
              <w:spacing w:after="40"/>
              <w:jc w:val="left"/>
            </w:pPr>
            <w:r>
              <w:rPr>
                <w:b/>
                <w:color w:val="FFFFFF"/>
                <w:sz w:val="18"/>
              </w:rPr>
              <w:t xml:space="preserve">Floor or choice</w:t>
            </w:r>
          </w:p>
        </w:tc>
      </w:tr>
      <w:tr>
        <w:tc>
          <w:tcPr>
            <w:tcW w:w="2536" w:type="dxa"/>
          </w:tcPr>
          <w:p>
            <w:pPr>
              <w:pStyle w:val="Compact"/>
              <w:spacing w:after="40"/>
              <w:jc w:val="left"/>
            </w:pPr>
            <w:r>
              <w:rPr>
                <w:sz w:val="18"/>
              </w:rPr>
              <w:t xml:space="preserve">Governance resolver rules (RMC, CRO, CCO, ALCO, ITSC)</w:t>
            </w:r>
          </w:p>
        </w:tc>
        <w:tc>
          <w:tcPr>
            <w:tcW w:w="2743" w:type="dxa"/>
          </w:tcPr>
          <w:p>
            <w:pPr>
              <w:pStyle w:val="Compact"/>
              <w:spacing w:after="40"/>
              <w:jc w:val="left"/>
            </w:pPr>
            <w:r>
              <w:rPr>
                <w:sz w:val="18"/>
              </w:rPr>
              <w:t xml:space="preserve">RK1.1 rules</w:t>
            </w:r>
          </w:p>
        </w:tc>
        <w:tc>
          <w:tcPr>
            <w:tcW w:w="1184" w:type="dxa"/>
          </w:tcPr>
          <w:p>
            <w:pPr>
              <w:pStyle w:val="Compact"/>
              <w:spacing w:after="40"/>
              <w:jc w:val="left"/>
            </w:pPr>
            <w:r>
              <w:rPr>
                <w:sz w:val="18"/>
              </w:rPr>
              <w:t xml:space="preserve">Rule pack</w:t>
            </w:r>
          </w:p>
        </w:tc>
        <w:tc>
          <w:tcPr>
            <w:tcW w:w="3175" w:type="dxa"/>
          </w:tcPr>
          <w:p>
            <w:pPr>
              <w:pStyle w:val="Compact"/>
              <w:spacing w:after="40"/>
              <w:jc w:val="left"/>
            </w:pPr>
            <w:r>
              <w:rPr>
                <w:sz w:val="18"/>
              </w:rPr>
              <w:t xml:space="preserve">Floor; a tenant may adopt a role voluntarily (for example a CRO below ₹5,000 crore)</w:t>
            </w:r>
          </w:p>
        </w:tc>
      </w:tr>
      <w:tr>
        <w:tc>
          <w:tcPr>
            <w:tcW w:w="2536" w:type="dxa"/>
          </w:tcPr>
          <w:p>
            <w:pPr>
              <w:pStyle w:val="Compact"/>
              <w:spacing w:after="40"/>
              <w:jc w:val="left"/>
            </w:pPr>
            <w:r>
              <w:rPr>
                <w:sz w:val="18"/>
              </w:rPr>
              <w:t xml:space="preserve">CRO reporting line</w:t>
            </w:r>
          </w:p>
        </w:tc>
        <w:tc>
          <w:tcPr>
            <w:tcW w:w="2743" w:type="dxa"/>
          </w:tcPr>
          <w:p>
            <w:pPr>
              <w:pStyle w:val="Compact"/>
              <w:spacing w:after="40"/>
              <w:jc w:val="left"/>
            </w:pPr>
            <w:r>
              <w:rPr>
                <w:sz w:val="18"/>
              </w:rPr>
              <w:t xml:space="preserve">MD &amp; CEO (triggers quarterly in-camera meeting) or RMCB</w:t>
            </w:r>
          </w:p>
        </w:tc>
        <w:tc>
          <w:tcPr>
            <w:tcW w:w="1184" w:type="dxa"/>
          </w:tcPr>
          <w:p>
            <w:pPr>
              <w:pStyle w:val="Compact"/>
              <w:spacing w:after="40"/>
              <w:jc w:val="left"/>
            </w:pPr>
            <w:r>
              <w:rPr>
                <w:sz w:val="18"/>
              </w:rPr>
              <w:t xml:space="preserve">Tenant</w:t>
            </w:r>
          </w:p>
        </w:tc>
        <w:tc>
          <w:tcPr>
            <w:tcW w:w="3175" w:type="dxa"/>
          </w:tcPr>
          <w:p>
            <w:pPr>
              <w:pStyle w:val="Compact"/>
              <w:spacing w:after="40"/>
              <w:jc w:val="left"/>
            </w:pPr>
            <w:r>
              <w:rPr>
                <w:sz w:val="18"/>
              </w:rPr>
              <w:t xml:space="preserve">Choice; the meeting is a floor when reporting to the MD &amp; CEO</w:t>
            </w:r>
          </w:p>
        </w:tc>
      </w:tr>
      <w:tr>
        <w:tc>
          <w:tcPr>
            <w:tcW w:w="2536" w:type="dxa"/>
          </w:tcPr>
          <w:p>
            <w:pPr>
              <w:pStyle w:val="Compact"/>
              <w:spacing w:after="40"/>
              <w:jc w:val="left"/>
            </w:pPr>
            <w:r>
              <w:rPr>
                <w:sz w:val="18"/>
              </w:rPr>
              <w:t xml:space="preserve">CRO credit-committee mode</w:t>
            </w:r>
          </w:p>
        </w:tc>
        <w:tc>
          <w:tcPr>
            <w:tcW w:w="2743" w:type="dxa"/>
          </w:tcPr>
          <w:p>
            <w:pPr>
              <w:pStyle w:val="Compact"/>
              <w:spacing w:after="40"/>
              <w:jc w:val="left"/>
            </w:pPr>
            <w:r>
              <w:rPr>
                <w:sz w:val="18"/>
              </w:rPr>
              <w:t xml:space="preserve">Advisor</w:t>
            </w:r>
          </w:p>
        </w:tc>
        <w:tc>
          <w:tcPr>
            <w:tcW w:w="1184" w:type="dxa"/>
          </w:tcPr>
          <w:p>
            <w:pPr>
              <w:pStyle w:val="Compact"/>
              <w:spacing w:after="40"/>
              <w:jc w:val="left"/>
            </w:pPr>
            <w:r>
              <w:rPr>
                <w:sz w:val="18"/>
              </w:rPr>
              <w:t xml:space="preserve">Committee</w:t>
            </w:r>
          </w:p>
        </w:tc>
        <w:tc>
          <w:tcPr>
            <w:tcW w:w="3175" w:type="dxa"/>
          </w:tcPr>
          <w:p>
            <w:pPr>
              <w:pStyle w:val="Compact"/>
              <w:spacing w:after="40"/>
              <w:jc w:val="left"/>
            </w:pPr>
            <w:r>
              <w:rPr>
                <w:sz w:val="18"/>
              </w:rPr>
              <w:t xml:space="preserve">Choice (GOV 23–24)</w:t>
            </w:r>
          </w:p>
        </w:tc>
      </w:tr>
      <w:tr>
        <w:tc>
          <w:tcPr>
            <w:tcW w:w="2536" w:type="dxa"/>
          </w:tcPr>
          <w:p>
            <w:pPr>
              <w:pStyle w:val="Compact"/>
              <w:spacing w:after="40"/>
              <w:jc w:val="left"/>
            </w:pPr>
            <w:r>
              <w:rPr>
                <w:sz w:val="18"/>
              </w:rPr>
              <w:t xml:space="preserve">RAS levels per metric</w:t>
            </w:r>
          </w:p>
        </w:tc>
        <w:tc>
          <w:tcPr>
            <w:tcW w:w="2743" w:type="dxa"/>
          </w:tcPr>
          <w:p>
            <w:pPr>
              <w:pStyle w:val="Compact"/>
              <w:spacing w:after="40"/>
              <w:jc w:val="left"/>
            </w:pPr>
            <w:r>
              <w:rPr>
                <w:sz w:val="18"/>
              </w:rPr>
              <w:t xml:space="preserve">Appetite, tolerance, limit</w:t>
            </w:r>
          </w:p>
        </w:tc>
        <w:tc>
          <w:tcPr>
            <w:tcW w:w="1184" w:type="dxa"/>
          </w:tcPr>
          <w:p>
            <w:pPr>
              <w:pStyle w:val="Compact"/>
              <w:spacing w:after="40"/>
              <w:jc w:val="left"/>
            </w:pPr>
            <w:r>
              <w:rPr>
                <w:sz w:val="18"/>
              </w:rPr>
              <w:t xml:space="preserve">RAS version</w:t>
            </w:r>
          </w:p>
        </w:tc>
        <w:tc>
          <w:tcPr>
            <w:tcW w:w="3175" w:type="dxa"/>
          </w:tcPr>
          <w:p>
            <w:pPr>
              <w:pStyle w:val="Compact"/>
              <w:spacing w:after="40"/>
              <w:jc w:val="left"/>
            </w:pPr>
            <w:r>
              <w:rPr>
                <w:sz w:val="18"/>
              </w:rPr>
              <w:t xml:space="preserve">Limit never looser than the regulatory limit (floor)</w:t>
            </w:r>
          </w:p>
        </w:tc>
      </w:tr>
      <w:tr>
        <w:tc>
          <w:tcPr>
            <w:tcW w:w="2536" w:type="dxa"/>
          </w:tcPr>
          <w:p>
            <w:pPr>
              <w:pStyle w:val="Compact"/>
              <w:spacing w:after="40"/>
              <w:jc w:val="left"/>
            </w:pPr>
            <w:r>
              <w:rPr>
                <w:sz w:val="18"/>
              </w:rPr>
              <w:t xml:space="preserve">RAS cascade dimensions</w:t>
            </w:r>
          </w:p>
        </w:tc>
        <w:tc>
          <w:tcPr>
            <w:tcW w:w="2743" w:type="dxa"/>
          </w:tcPr>
          <w:p>
            <w:pPr>
              <w:pStyle w:val="Compact"/>
              <w:spacing w:after="40"/>
              <w:jc w:val="left"/>
            </w:pPr>
            <w:r>
              <w:rPr>
                <w:sz w:val="18"/>
              </w:rPr>
              <w:t xml:space="preserve">Product, branch, sector, state, channel, group, funding source</w:t>
            </w:r>
          </w:p>
        </w:tc>
        <w:tc>
          <w:tcPr>
            <w:tcW w:w="1184" w:type="dxa"/>
          </w:tcPr>
          <w:p>
            <w:pPr>
              <w:pStyle w:val="Compact"/>
              <w:spacing w:after="40"/>
              <w:jc w:val="left"/>
            </w:pPr>
            <w:r>
              <w:rPr>
                <w:sz w:val="18"/>
              </w:rPr>
              <w:t xml:space="preserve">Tenant</w:t>
            </w:r>
          </w:p>
        </w:tc>
        <w:tc>
          <w:tcPr>
            <w:tcW w:w="3175" w:type="dxa"/>
          </w:tcPr>
          <w:p>
            <w:pPr>
              <w:pStyle w:val="Compact"/>
              <w:spacing w:after="40"/>
              <w:jc w:val="left"/>
            </w:pPr>
            <w:r>
              <w:rPr>
                <w:sz w:val="18"/>
              </w:rPr>
              <w:t xml:space="preserve">Choice</w:t>
            </w:r>
          </w:p>
        </w:tc>
      </w:tr>
      <w:tr>
        <w:tc>
          <w:tcPr>
            <w:tcW w:w="2536" w:type="dxa"/>
          </w:tcPr>
          <w:p>
            <w:pPr>
              <w:pStyle w:val="Compact"/>
              <w:spacing w:after="40"/>
              <w:jc w:val="left"/>
            </w:pPr>
            <w:r>
              <w:rPr>
                <w:sz w:val="18"/>
              </w:rPr>
              <w:t xml:space="preserve">Threshold-proximity horizon</w:t>
            </w:r>
          </w:p>
        </w:tc>
        <w:tc>
          <w:tcPr>
            <w:tcW w:w="2743" w:type="dxa"/>
          </w:tcPr>
          <w:p>
            <w:pPr>
              <w:pStyle w:val="Compact"/>
              <w:spacing w:after="40"/>
              <w:jc w:val="left"/>
            </w:pPr>
            <w:r>
              <w:rPr>
                <w:sz w:val="18"/>
              </w:rPr>
              <w:t xml:space="preserve">Two quarters</w:t>
            </w:r>
          </w:p>
        </w:tc>
        <w:tc>
          <w:tcPr>
            <w:tcW w:w="1184" w:type="dxa"/>
          </w:tcPr>
          <w:p>
            <w:pPr>
              <w:pStyle w:val="Compact"/>
              <w:spacing w:after="40"/>
              <w:jc w:val="left"/>
            </w:pPr>
            <w:r>
              <w:rPr>
                <w:sz w:val="18"/>
              </w:rPr>
              <w:t xml:space="preserve">Tenant</w:t>
            </w:r>
          </w:p>
        </w:tc>
        <w:tc>
          <w:tcPr>
            <w:tcW w:w="3175" w:type="dxa"/>
          </w:tcPr>
          <w:p>
            <w:pPr>
              <w:pStyle w:val="Compact"/>
              <w:spacing w:after="40"/>
              <w:jc w:val="left"/>
            </w:pPr>
            <w:r>
              <w:rPr>
                <w:sz w:val="18"/>
              </w:rPr>
              <w:t xml:space="preserve">Choice</w:t>
            </w:r>
          </w:p>
        </w:tc>
      </w:tr>
    </w:tbl>
    <w:bookmarkEnd w:id="403"/>
    <w:bookmarkStart w:id="404" w:name="menu-and-screens-7"/>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80"/>
        <w:gridCol w:w="2970"/>
        <w:gridCol w:w="3110"/>
        <w:gridCol w:w="2378"/>
      </w:tblGrid>
      <w:tr>
        <w:trPr>
          <w:tblHeader w:val="true"/>
          <w:tblHeader w:val="true"/>
        </w:trPr>
        <w:tc>
          <w:tcPr>
            <w:tcW w:w="1180" w:type="dxa"/>
            <w:shd w:val="clear" w:color="auto" w:fill="1F3A5F"/>
          </w:tcPr>
          <w:p>
            <w:pPr>
              <w:pStyle w:val="Compact"/>
              <w:spacing w:after="40"/>
              <w:jc w:val="left"/>
            </w:pPr>
            <w:r>
              <w:rPr>
                <w:b/>
                <w:color w:val="FFFFFF"/>
                <w:sz w:val="18"/>
              </w:rPr>
              <w:t xml:space="preserve">Path (workspace J)</w:t>
            </w:r>
          </w:p>
        </w:tc>
        <w:tc>
          <w:tcPr>
            <w:tcW w:w="2970" w:type="dxa"/>
            <w:shd w:val="clear" w:color="auto" w:fill="1F3A5F"/>
          </w:tcPr>
          <w:p>
            <w:pPr>
              <w:pStyle w:val="Compact"/>
              <w:spacing w:after="40"/>
              <w:jc w:val="left"/>
            </w:pPr>
            <w:r>
              <w:rPr>
                <w:b/>
                <w:color w:val="FFFFFF"/>
                <w:sz w:val="18"/>
              </w:rPr>
              <w:t xml:space="preserve">Screens</w:t>
            </w:r>
          </w:p>
        </w:tc>
        <w:tc>
          <w:tcPr>
            <w:tcW w:w="3110" w:type="dxa"/>
            <w:shd w:val="clear" w:color="auto" w:fill="1F3A5F"/>
          </w:tcPr>
          <w:p>
            <w:pPr>
              <w:pStyle w:val="Compact"/>
              <w:spacing w:after="40"/>
              <w:jc w:val="left"/>
            </w:pPr>
            <w:r>
              <w:rPr>
                <w:b/>
                <w:color w:val="FFFFFF"/>
                <w:sz w:val="18"/>
              </w:rPr>
              <w:t xml:space="preserve">Key actions and rules</w:t>
            </w:r>
          </w:p>
        </w:tc>
        <w:tc>
          <w:tcPr>
            <w:tcW w:w="2378" w:type="dxa"/>
            <w:shd w:val="clear" w:color="auto" w:fill="1F3A5F"/>
          </w:tcPr>
          <w:p>
            <w:pPr>
              <w:pStyle w:val="Compact"/>
              <w:spacing w:after="40"/>
              <w:jc w:val="left"/>
            </w:pPr>
            <w:r>
              <w:rPr>
                <w:b/>
                <w:color w:val="FFFFFF"/>
                <w:sz w:val="18"/>
              </w:rPr>
              <w:t xml:space="preserve">Visible to</w:t>
            </w:r>
          </w:p>
        </w:tc>
      </w:tr>
      <w:tr>
        <w:tc>
          <w:tcPr>
            <w:tcW w:w="1180" w:type="dxa"/>
          </w:tcPr>
          <w:p>
            <w:pPr>
              <w:pStyle w:val="Compact"/>
              <w:spacing w:after="40"/>
              <w:jc w:val="left"/>
            </w:pPr>
            <w:r>
              <w:rPr>
                <w:rStyle w:val="VerbatimChar"/>
                <w:sz w:val="18"/>
              </w:rPr>
              <w:t xml:space="preserve">Risk › Governance</w:t>
            </w:r>
          </w:p>
        </w:tc>
        <w:tc>
          <w:tcPr>
            <w:tcW w:w="2970" w:type="dxa"/>
          </w:tcPr>
          <w:p>
            <w:pPr>
              <w:pStyle w:val="Compact"/>
              <w:spacing w:after="40"/>
              <w:jc w:val="left"/>
            </w:pPr>
            <w:r>
              <w:rPr>
                <w:sz w:val="18"/>
              </w:rPr>
              <w:t xml:space="preserve">Resolver result per entity (roles required, why, citation); CRO register; in-camera tracker; product-vetting queue</w:t>
            </w:r>
          </w:p>
        </w:tc>
        <w:tc>
          <w:tcPr>
            <w:tcW w:w="3110" w:type="dxa"/>
          </w:tcPr>
          <w:p>
            <w:pPr>
              <w:pStyle w:val="Compact"/>
              <w:spacing w:after="40"/>
              <w:jc w:val="left"/>
            </w:pPr>
            <w:r>
              <w:rPr>
                <w:sz w:val="18"/>
              </w:rPr>
              <w:t xml:space="preserve">Record appointment, tenure and removal (Board reference required); vet a product version (risks, mitigants, KRIs, RAS impact)</w:t>
            </w:r>
          </w:p>
        </w:tc>
        <w:tc>
          <w:tcPr>
            <w:tcW w:w="2378" w:type="dxa"/>
          </w:tcPr>
          <w:p>
            <w:pPr>
              <w:pStyle w:val="Compact"/>
              <w:spacing w:after="40"/>
              <w:jc w:val="left"/>
            </w:pPr>
            <w:r>
              <w:rPr>
                <w:sz w:val="18"/>
              </w:rPr>
              <w:t xml:space="preserve">CRO office, CS, CCO; Board members read</w:t>
            </w:r>
          </w:p>
        </w:tc>
      </w:tr>
      <w:tr>
        <w:tc>
          <w:tcPr>
            <w:tcW w:w="1180" w:type="dxa"/>
          </w:tcPr>
          <w:p>
            <w:pPr>
              <w:pStyle w:val="Compact"/>
              <w:spacing w:after="40"/>
              <w:jc w:val="left"/>
            </w:pPr>
            <w:r>
              <w:rPr>
                <w:rStyle w:val="VerbatimChar"/>
                <w:sz w:val="18"/>
              </w:rPr>
              <w:t xml:space="preserve">Risk › Appetite</w:t>
            </w:r>
          </w:p>
        </w:tc>
        <w:tc>
          <w:tcPr>
            <w:tcW w:w="2970" w:type="dxa"/>
          </w:tcPr>
          <w:p>
            <w:pPr>
              <w:pStyle w:val="Compact"/>
              <w:spacing w:after="40"/>
              <w:jc w:val="left"/>
            </w:pPr>
            <w:r>
              <w:rPr>
                <w:sz w:val="18"/>
              </w:rPr>
              <w:t xml:space="preserve">RAS versions; metric levels; cascade tree with utilisation bars</w:t>
            </w:r>
          </w:p>
        </w:tc>
        <w:tc>
          <w:tcPr>
            <w:tcW w:w="3110" w:type="dxa"/>
          </w:tcPr>
          <w:p>
            <w:pPr>
              <w:pStyle w:val="Compact"/>
              <w:spacing w:after="40"/>
              <w:jc w:val="left"/>
            </w:pPr>
            <w:r>
              <w:rPr>
                <w:sz w:val="18"/>
              </w:rPr>
              <w:t xml:space="preserve">Draft RAS version, compare versions, submit to RMC and Board, approve with minute reference, set effective date</w:t>
            </w:r>
          </w:p>
        </w:tc>
        <w:tc>
          <w:tcPr>
            <w:tcW w:w="2378" w:type="dxa"/>
          </w:tcPr>
          <w:p>
            <w:pPr>
              <w:pStyle w:val="Compact"/>
              <w:spacing w:after="40"/>
              <w:jc w:val="left"/>
            </w:pPr>
            <w:r>
              <w:rPr>
                <w:sz w:val="18"/>
              </w:rPr>
              <w:t xml:space="preserve">CRO (edit), RMC and Board (approve), business heads (their cascade, read)</w:t>
            </w:r>
          </w:p>
        </w:tc>
      </w:tr>
    </w:tbl>
    <w:bookmarkEnd w:id="404"/>
    <w:bookmarkStart w:id="405" w:name="acceptance-tests-26"/>
    <w:p>
      <w:pPr>
        <w:pStyle w:val="Heading3"/>
      </w:pPr>
      <w:r>
        <w:t xml:space="preserve">Acceptance tests</w:t>
      </w:r>
    </w:p>
    <w:p>
      <w:pPr>
        <w:numPr>
          <w:ilvl w:val="0"/>
          <w:numId w:val="1390"/>
        </w:numPr>
        <w:pStyle w:val="Compact"/>
      </w:pPr>
      <w:r>
        <w:t xml:space="preserve">An ML tenant with last-audited assets of ₹5,050 crore shows</w:t>
      </w:r>
      <w:r>
        <w:t xml:space="preserve"> </w:t>
      </w:r>
      <w:r>
        <w:t xml:space="preserve">“</w:t>
      </w:r>
      <w:r>
        <w:t xml:space="preserve">CRO mandatory</w:t>
      </w:r>
      <w:r>
        <w:t xml:space="preserve">”</w:t>
      </w:r>
      <w:r>
        <w:t xml:space="preserve">; assigning the CRO user a branch-business role or business targets is rejected with the GOV 21(3) citation, and a second control role with the GOV 21(4) citation.</w:t>
      </w:r>
    </w:p>
    <w:p>
      <w:pPr>
        <w:numPr>
          <w:ilvl w:val="0"/>
          <w:numId w:val="1390"/>
        </w:numPr>
        <w:pStyle w:val="Compact"/>
      </w:pPr>
      <w:r>
        <w:t xml:space="preserve">Removing the CRO before tenure end without a Board resolution reference is blocked; with one, the DoS RO intimation draft is generated; for a listed tenant, any change of CRO, including at tenure end, generates the exchange-disclosure draft.</w:t>
      </w:r>
    </w:p>
    <w:p>
      <w:pPr>
        <w:numPr>
          <w:ilvl w:val="0"/>
          <w:numId w:val="1390"/>
        </w:numPr>
        <w:pStyle w:val="Compact"/>
      </w:pPr>
      <w:r>
        <w:t xml:space="preserve">Activating a product version without a CRO vetting record (CRO-mandatory tenant) is rejected.</w:t>
      </w:r>
    </w:p>
    <w:p>
      <w:pPr>
        <w:numPr>
          <w:ilvl w:val="0"/>
          <w:numId w:val="1390"/>
        </w:numPr>
        <w:pStyle w:val="Compact"/>
      </w:pPr>
      <w:r>
        <w:t xml:space="preserve">A RAS child limit that would make the sum of children exceed the parent cannot be approved.</w:t>
      </w:r>
    </w:p>
    <w:p>
      <w:pPr>
        <w:numPr>
          <w:ilvl w:val="0"/>
          <w:numId w:val="1390"/>
        </w:numPr>
        <w:pStyle w:val="Compact"/>
      </w:pPr>
      <w:r>
        <w:t xml:space="preserve">A quarter passes without a minuted RMC–CRO meeting without the MD &amp; CEO (where the CRO reports to the MD &amp; CEO): exception raised.</w:t>
      </w:r>
    </w:p>
    <w:p>
      <w:r>
        <w:pict>
          <v:rect style="width:0;height:1.5pt" o:hralign="center" o:hrstd="t" o:hr="t"/>
        </w:pict>
      </w:r>
    </w:p>
    <w:bookmarkEnd w:id="405"/>
    <w:bookmarkEnd w:id="406"/>
    <w:bookmarkStart w:id="414" w:name="X24849bb50318504dbb62a38bb19c14f8d3ef3ee"/>
    <w:p>
      <w:pPr>
        <w:pStyle w:val="Heading2"/>
      </w:pPr>
      <w:r>
        <w:t xml:space="preserve">RK2. Risk register, KRIs, loss events, RCSA and the LawDocsComply risk feed</w:t>
      </w:r>
    </w:p>
    <w:bookmarkStart w:id="407" w:name="X84f41fa687a1310ec625612666041daf6f6a2e7"/>
    <w:p>
      <w:pPr>
        <w:pStyle w:val="Heading3"/>
      </w:pPr>
      <w:r>
        <w:t xml:space="preserve">RK2.1 System-of-record split by compliance mode (M14)</w:t>
      </w:r>
    </w:p>
    <w:p>
      <w:pPr>
        <w:pStyle w:val="FirstParagraph"/>
      </w:pPr>
      <w:r>
        <w:t xml:space="preserve">Mode codes follow Integration Specification 9.1: EMBEDDED (M14 mode (a)), LDC_EXTERNAL and LDC_GROUP (M14 modes (b) and (c)), THIRD_PARTY_GRC and EXPORT_ONLY.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922"/>
        <w:gridCol w:w="1265"/>
        <w:gridCol w:w="2310"/>
        <w:gridCol w:w="1898"/>
        <w:gridCol w:w="1243"/>
      </w:tblGrid>
      <w:tr>
        <w:trPr>
          <w:tblHeader w:val="true"/>
          <w:tblHeader w:val="true"/>
        </w:trPr>
        <w:tc>
          <w:tcPr>
            <w:tcW w:w="2922" w:type="dxa"/>
            <w:shd w:val="clear" w:color="auto" w:fill="1F3A5F"/>
          </w:tcPr>
          <w:p>
            <w:pPr>
              <w:pStyle w:val="Compact"/>
              <w:spacing w:after="40"/>
              <w:jc w:val="left"/>
            </w:pPr>
            <w:r>
              <w:rPr>
                <w:b/>
                <w:color w:val="FFFFFF"/>
                <w:sz w:val="18"/>
              </w:rPr>
              <w:t xml:space="preserve">Object</w:t>
            </w:r>
          </w:p>
        </w:tc>
        <w:tc>
          <w:tcPr>
            <w:tcW w:w="1265" w:type="dxa"/>
            <w:shd w:val="clear" w:color="auto" w:fill="1F3A5F"/>
          </w:tcPr>
          <w:p>
            <w:pPr>
              <w:pStyle w:val="Compact"/>
              <w:spacing w:after="40"/>
              <w:jc w:val="left"/>
            </w:pPr>
            <w:r>
              <w:rPr>
                <w:b/>
                <w:color w:val="FFFFFF"/>
                <w:sz w:val="18"/>
              </w:rPr>
              <w:t xml:space="preserve">EMBEDDED</w:t>
            </w:r>
          </w:p>
        </w:tc>
        <w:tc>
          <w:tcPr>
            <w:tcW w:w="2310" w:type="dxa"/>
            <w:shd w:val="clear" w:color="auto" w:fill="1F3A5F"/>
          </w:tcPr>
          <w:p>
            <w:pPr>
              <w:pStyle w:val="Compact"/>
              <w:spacing w:after="40"/>
              <w:jc w:val="left"/>
            </w:pPr>
            <w:r>
              <w:rPr>
                <w:b/>
                <w:color w:val="FFFFFF"/>
                <w:sz w:val="18"/>
              </w:rPr>
              <w:t xml:space="preserve">LDC_EXTERNAL or LDC_GROUP</w:t>
            </w:r>
          </w:p>
        </w:tc>
        <w:tc>
          <w:tcPr>
            <w:tcW w:w="1898" w:type="dxa"/>
            <w:shd w:val="clear" w:color="auto" w:fill="1F3A5F"/>
          </w:tcPr>
          <w:p>
            <w:pPr>
              <w:pStyle w:val="Compact"/>
              <w:spacing w:after="40"/>
              <w:jc w:val="left"/>
            </w:pPr>
            <w:r>
              <w:rPr>
                <w:b/>
                <w:color w:val="FFFFFF"/>
                <w:sz w:val="18"/>
              </w:rPr>
              <w:t xml:space="preserve">THIRD_PARTY_GRC</w:t>
            </w:r>
          </w:p>
        </w:tc>
        <w:tc>
          <w:tcPr>
            <w:tcW w:w="1243" w:type="dxa"/>
            <w:shd w:val="clear" w:color="auto" w:fill="1F3A5F"/>
          </w:tcPr>
          <w:p>
            <w:pPr>
              <w:pStyle w:val="Compact"/>
              <w:spacing w:after="40"/>
              <w:jc w:val="left"/>
            </w:pPr>
            <w:r>
              <w:rPr>
                <w:b/>
                <w:color w:val="FFFFFF"/>
                <w:sz w:val="18"/>
              </w:rPr>
              <w:t xml:space="preserve">EXPORT_ONLY</w:t>
            </w:r>
          </w:p>
        </w:tc>
      </w:tr>
      <w:tr>
        <w:tc>
          <w:tcPr>
            <w:tcW w:w="2922" w:type="dxa"/>
          </w:tcPr>
          <w:p>
            <w:pPr>
              <w:pStyle w:val="Compact"/>
              <w:spacing w:after="40"/>
              <w:jc w:val="left"/>
            </w:pPr>
            <w:r>
              <w:rPr>
                <w:sz w:val="18"/>
              </w:rPr>
              <w:t xml:space="preserve">Regulatory ratios, capital, liquidity, exposures, stress results</w:t>
            </w:r>
          </w:p>
        </w:tc>
        <w:tc>
          <w:tcPr>
            <w:tcW w:w="1265" w:type="dxa"/>
          </w:tcPr>
          <w:p>
            <w:pPr>
              <w:pStyle w:val="Compact"/>
              <w:spacing w:after="40"/>
              <w:jc w:val="left"/>
            </w:pPr>
            <w:r>
              <w:rPr>
                <w:sz w:val="18"/>
              </w:rPr>
              <w:t xml:space="preserve">Finbyx</w:t>
            </w:r>
          </w:p>
        </w:tc>
        <w:tc>
          <w:tcPr>
            <w:tcW w:w="2310" w:type="dxa"/>
          </w:tcPr>
          <w:p>
            <w:pPr>
              <w:pStyle w:val="Compact"/>
              <w:spacing w:after="40"/>
              <w:jc w:val="left"/>
            </w:pPr>
            <w:r>
              <w:rPr>
                <w:sz w:val="18"/>
              </w:rPr>
              <w:t xml:space="preserve">Finbyx</w:t>
            </w:r>
          </w:p>
        </w:tc>
        <w:tc>
          <w:tcPr>
            <w:tcW w:w="1898" w:type="dxa"/>
          </w:tcPr>
          <w:p>
            <w:pPr>
              <w:pStyle w:val="Compact"/>
              <w:spacing w:after="40"/>
              <w:jc w:val="left"/>
            </w:pPr>
            <w:r>
              <w:rPr>
                <w:sz w:val="18"/>
              </w:rPr>
              <w:t xml:space="preserve">Finbyx</w:t>
            </w:r>
          </w:p>
        </w:tc>
        <w:tc>
          <w:tcPr>
            <w:tcW w:w="1243" w:type="dxa"/>
          </w:tcPr>
          <w:p>
            <w:pPr>
              <w:pStyle w:val="Compact"/>
              <w:spacing w:after="40"/>
              <w:jc w:val="left"/>
            </w:pPr>
            <w:r>
              <w:rPr>
                <w:sz w:val="18"/>
              </w:rPr>
              <w:t xml:space="preserve">Finbyx</w:t>
            </w:r>
          </w:p>
        </w:tc>
      </w:tr>
      <w:tr>
        <w:tc>
          <w:tcPr>
            <w:tcW w:w="2922" w:type="dxa"/>
          </w:tcPr>
          <w:p>
            <w:pPr>
              <w:pStyle w:val="Compact"/>
              <w:spacing w:after="40"/>
              <w:jc w:val="left"/>
            </w:pPr>
            <w:r>
              <w:rPr>
                <w:sz w:val="18"/>
              </w:rPr>
              <w:t xml:space="preserve">Risk register, RCSA, KRI library, risk appetite</w:t>
            </w:r>
          </w:p>
        </w:tc>
        <w:tc>
          <w:tcPr>
            <w:tcW w:w="1265" w:type="dxa"/>
          </w:tcPr>
          <w:p>
            <w:pPr>
              <w:pStyle w:val="Compact"/>
              <w:spacing w:after="40"/>
              <w:jc w:val="left"/>
            </w:pPr>
            <w:r>
              <w:rPr>
                <w:sz w:val="18"/>
              </w:rPr>
              <w:t xml:space="preserve">Finbyx</w:t>
            </w:r>
          </w:p>
        </w:tc>
        <w:tc>
          <w:tcPr>
            <w:tcW w:w="2310" w:type="dxa"/>
          </w:tcPr>
          <w:p>
            <w:pPr>
              <w:pStyle w:val="Compact"/>
              <w:spacing w:after="40"/>
              <w:jc w:val="left"/>
            </w:pPr>
            <w:r>
              <w:rPr>
                <w:sz w:val="18"/>
              </w:rPr>
              <w:t xml:space="preserve">LawDocsComply (Finbyx mirrors read-only)</w:t>
            </w:r>
          </w:p>
        </w:tc>
        <w:tc>
          <w:tcPr>
            <w:tcW w:w="1898" w:type="dxa"/>
          </w:tcPr>
          <w:p>
            <w:pPr>
              <w:pStyle w:val="Compact"/>
              <w:spacing w:after="40"/>
              <w:jc w:val="left"/>
            </w:pPr>
            <w:r>
              <w:rPr>
                <w:sz w:val="18"/>
              </w:rPr>
              <w:t xml:space="preserve">Third-party tool (mirrored)</w:t>
            </w:r>
          </w:p>
        </w:tc>
        <w:tc>
          <w:tcPr>
            <w:tcW w:w="1243" w:type="dxa"/>
          </w:tcPr>
          <w:p>
            <w:pPr>
              <w:pStyle w:val="Compact"/>
              <w:spacing w:after="40"/>
              <w:jc w:val="left"/>
            </w:pPr>
            <w:r>
              <w:rPr>
                <w:sz w:val="18"/>
              </w:rPr>
              <w:t xml:space="preserve">Finbyx</w:t>
            </w:r>
          </w:p>
        </w:tc>
      </w:tr>
      <w:tr>
        <w:tc>
          <w:tcPr>
            <w:tcW w:w="2922" w:type="dxa"/>
          </w:tcPr>
          <w:p>
            <w:pPr>
              <w:pStyle w:val="Compact"/>
              <w:spacing w:after="40"/>
              <w:jc w:val="left"/>
            </w:pPr>
            <w:r>
              <w:rPr>
                <w:sz w:val="18"/>
              </w:rPr>
              <w:t xml:space="preserve">Loss-event database</w:t>
            </w:r>
          </w:p>
        </w:tc>
        <w:tc>
          <w:tcPr>
            <w:tcW w:w="1265" w:type="dxa"/>
          </w:tcPr>
          <w:p>
            <w:pPr>
              <w:pStyle w:val="Compact"/>
              <w:spacing w:after="40"/>
              <w:jc w:val="left"/>
            </w:pPr>
            <w:r>
              <w:rPr>
                <w:sz w:val="18"/>
              </w:rPr>
              <w:t xml:space="preserve">Finbyx</w:t>
            </w:r>
          </w:p>
        </w:tc>
        <w:tc>
          <w:tcPr>
            <w:tcW w:w="2310" w:type="dxa"/>
          </w:tcPr>
          <w:p>
            <w:pPr>
              <w:pStyle w:val="Compact"/>
              <w:spacing w:after="40"/>
              <w:jc w:val="left"/>
            </w:pPr>
            <w:r>
              <w:rPr>
                <w:sz w:val="18"/>
              </w:rPr>
              <w:t xml:space="preserve">Finbyx records; LawDocsComply analyses</w:t>
            </w:r>
          </w:p>
        </w:tc>
        <w:tc>
          <w:tcPr>
            <w:tcW w:w="1898" w:type="dxa"/>
          </w:tcPr>
          <w:p>
            <w:pPr>
              <w:pStyle w:val="Compact"/>
              <w:spacing w:after="40"/>
              <w:jc w:val="left"/>
            </w:pPr>
            <w:r>
              <w:rPr>
                <w:sz w:val="18"/>
              </w:rPr>
              <w:t xml:space="preserve">Finbyx</w:t>
            </w:r>
          </w:p>
        </w:tc>
        <w:tc>
          <w:tcPr>
            <w:tcW w:w="1243" w:type="dxa"/>
          </w:tcPr>
          <w:p>
            <w:pPr>
              <w:pStyle w:val="Compact"/>
              <w:spacing w:after="40"/>
              <w:jc w:val="left"/>
            </w:pPr>
            <w:r>
              <w:rPr>
                <w:sz w:val="18"/>
              </w:rPr>
              <w:t xml:space="preserve">Finbyx</w:t>
            </w:r>
          </w:p>
        </w:tc>
      </w:tr>
      <w:tr>
        <w:tc>
          <w:tcPr>
            <w:tcW w:w="2922" w:type="dxa"/>
          </w:tcPr>
          <w:p>
            <w:pPr>
              <w:pStyle w:val="Compact"/>
              <w:spacing w:after="40"/>
              <w:jc w:val="left"/>
            </w:pPr>
            <w:r>
              <w:rPr>
                <w:sz w:val="18"/>
              </w:rPr>
              <w:t xml:space="preserve">Issues and attestations</w:t>
            </w:r>
          </w:p>
        </w:tc>
        <w:tc>
          <w:tcPr>
            <w:tcW w:w="1265" w:type="dxa"/>
          </w:tcPr>
          <w:p>
            <w:pPr>
              <w:pStyle w:val="Compact"/>
              <w:spacing w:after="40"/>
              <w:jc w:val="left"/>
            </w:pPr>
            <w:r>
              <w:rPr>
                <w:sz w:val="18"/>
              </w:rPr>
              <w:t xml:space="preserve">Finbyx (M14)</w:t>
            </w:r>
          </w:p>
        </w:tc>
        <w:tc>
          <w:tcPr>
            <w:tcW w:w="2310" w:type="dxa"/>
          </w:tcPr>
          <w:p>
            <w:pPr>
              <w:pStyle w:val="Compact"/>
              <w:spacing w:after="40"/>
              <w:jc w:val="left"/>
            </w:pPr>
            <w:r>
              <w:rPr>
                <w:sz w:val="18"/>
              </w:rPr>
              <w:t xml:space="preserve">LawDocsComply</w:t>
            </w:r>
          </w:p>
        </w:tc>
        <w:tc>
          <w:tcPr>
            <w:tcW w:w="1898" w:type="dxa"/>
          </w:tcPr>
          <w:p>
            <w:pPr>
              <w:pStyle w:val="Compact"/>
              <w:spacing w:after="40"/>
              <w:jc w:val="left"/>
            </w:pPr>
            <w:r>
              <w:rPr>
                <w:sz w:val="18"/>
              </w:rPr>
              <w:t xml:space="preserve">Third-party tool</w:t>
            </w:r>
          </w:p>
        </w:tc>
        <w:tc>
          <w:tcPr>
            <w:tcW w:w="1243" w:type="dxa"/>
          </w:tcPr>
          <w:p>
            <w:pPr>
              <w:pStyle w:val="Compact"/>
              <w:spacing w:after="40"/>
              <w:jc w:val="left"/>
            </w:pPr>
            <w:r>
              <w:rPr>
                <w:sz w:val="18"/>
              </w:rPr>
              <w:t xml:space="preserve">Finbyx</w:t>
            </w:r>
          </w:p>
        </w:tc>
      </w:tr>
    </w:tbl>
    <w:bookmarkEnd w:id="407"/>
    <w:bookmarkStart w:id="408" w:name="X426cad0703566ca6e10765cd5933a26f7c8a9d3"/>
    <w:p>
      <w:pPr>
        <w:pStyle w:val="Heading3"/>
      </w:pPr>
      <w:r>
        <w:t xml:space="preserve">RK2.2 Register, taxonomy and RCSA (extends M12 ORM and 8A.30)</w:t>
      </w:r>
    </w:p>
    <w:p>
      <w:pPr>
        <w:numPr>
          <w:ilvl w:val="0"/>
          <w:numId w:val="1391"/>
        </w:numPr>
        <w:pStyle w:val="Compact"/>
      </w:pPr>
      <w:r>
        <w:rPr>
          <w:bCs/>
          <w:b/>
        </w:rPr>
        <w:t xml:space="preserve">Taxonomy.</w:t>
      </w:r>
      <w:r>
        <w:t xml:space="preserve"> </w:t>
      </w:r>
      <w:r>
        <w:t xml:space="preserve">Level 1: credit, concentration, market and investment, IRRBB, liquidity and funding, operational (the seven Basel event types), cyber and technology, outsourcing and third party (LSP, co-lender, vendors), model, conduct, compliance and legal, strategic, reputational, group contagion, climate (internal ICAAP risk only). Levels 2–3 are tenant-configurable.</w:t>
      </w:r>
    </w:p>
    <w:p>
      <w:pPr>
        <w:numPr>
          <w:ilvl w:val="0"/>
          <w:numId w:val="1391"/>
        </w:numPr>
        <w:pStyle w:val="Compact"/>
      </w:pPr>
      <w:r>
        <w:rPr>
          <w:bCs/>
          <w:b/>
        </w:rPr>
        <w:t xml:space="preserve">Register entry.</w:t>
      </w:r>
      <w:r>
        <w:t xml:space="preserve"> </w:t>
      </w:r>
      <w:r>
        <w:t xml:space="preserve">Risk statement, cause, event, consequence, owner, linked processes and products, inherent likelihood and impact, controls with design and operating effectiveness, residual rating, trend, KRIs, linked audit findings (Part 7D), loss events, actions.</w:t>
      </w:r>
    </w:p>
    <w:p>
      <w:pPr>
        <w:numPr>
          <w:ilvl w:val="0"/>
          <w:numId w:val="1391"/>
        </w:numPr>
        <w:pStyle w:val="Compact"/>
      </w:pPr>
      <w:r>
        <w:rPr>
          <w:bCs/>
          <w:b/>
        </w:rPr>
        <w:t xml:space="preserve">RCSA campaigns.</w:t>
      </w:r>
      <w:r>
        <w:t xml:space="preserve"> </w:t>
      </w:r>
      <w:r>
        <w:t xml:space="preserve">Campaign (scope, units, questionnaire version, due date) → unit responses (inherent rating, control self-rating with evidence, residual) → second-line challenge (accept, challenge with comment) → final ratings → actions. Control self-ratings of</w:t>
      </w:r>
      <w:r>
        <w:t xml:space="preserve"> </w:t>
      </w:r>
      <w:r>
        <w:t xml:space="preserve">“</w:t>
      </w:r>
      <w:r>
        <w:t xml:space="preserve">effective</w:t>
      </w:r>
      <w:r>
        <w:t xml:space="preserve">”</w:t>
      </w:r>
      <w:r>
        <w:t xml:space="preserve"> </w:t>
      </w:r>
      <w:r>
        <w:t xml:space="preserve">require a linked control test or evidence item. Campaign completion feeds the internal-audit risk assessment (Part 7D AU1.2).</w:t>
      </w:r>
    </w:p>
    <w:p>
      <w:pPr>
        <w:numPr>
          <w:ilvl w:val="0"/>
          <w:numId w:val="1391"/>
        </w:numPr>
        <w:pStyle w:val="Compact"/>
      </w:pPr>
      <w:r>
        <w:rPr>
          <w:bCs/>
          <w:b/>
        </w:rPr>
        <w:t xml:space="preserve">Scenario analysis.</w:t>
      </w:r>
      <w:r>
        <w:t xml:space="preserve"> </w:t>
      </w:r>
      <w:r>
        <w:t xml:space="preserve">Per critical operation, severe-but-plausible scenarios test impact tolerances (ORM 32, 42(6); time, data loss and service level, ORM 33); results feed the ICAAP operational-risk section (RK7).</w:t>
      </w:r>
    </w:p>
    <w:bookmarkEnd w:id="408"/>
    <w:bookmarkStart w:id="409" w:name="rk2.3-kris-and-loss-events"/>
    <w:p>
      <w:pPr>
        <w:pStyle w:val="Heading3"/>
      </w:pPr>
      <w:r>
        <w:t xml:space="preserve">RK2.3 KRIs and loss events</w:t>
      </w:r>
    </w:p>
    <w:p>
      <w:pPr>
        <w:numPr>
          <w:ilvl w:val="0"/>
          <w:numId w:val="1392"/>
        </w:numPr>
        <w:pStyle w:val="Compact"/>
      </w:pPr>
      <w:r>
        <w:rPr>
          <w:bCs/>
          <w:b/>
        </w:rPr>
        <w:t xml:space="preserve">KRI definition.</w:t>
      </w:r>
      <w:r>
        <w:t xml:space="preserve"> </w:t>
      </w:r>
      <w:r>
        <w:t xml:space="preserve">Metric id (RK6), unit, frequency, thresholds (green, amber, red), owner, escalation path, linked risks. KRIs use only governed metrics; ad hoc KRIs are created as new metric versions.</w:t>
      </w:r>
    </w:p>
    <w:p>
      <w:pPr>
        <w:numPr>
          <w:ilvl w:val="0"/>
          <w:numId w:val="1392"/>
        </w:numPr>
        <w:pStyle w:val="Compact"/>
      </w:pPr>
      <w:r>
        <w:rPr>
          <w:bCs/>
          <w:b/>
        </w:rPr>
        <w:t xml:space="preserve">KRI run.</w:t>
      </w:r>
      <w:r>
        <w:t xml:space="preserve"> </w:t>
      </w:r>
      <w:r>
        <w:t xml:space="preserve">Each observation stores value, threshold version and RAG; the first red observation opens a breach episode and emits</w:t>
      </w:r>
      <w:r>
        <w:t xml:space="preserve"> </w:t>
      </w:r>
      <w:r>
        <w:rPr>
          <w:rStyle w:val="VerbatimChar"/>
        </w:rPr>
        <w:t xml:space="preserve">KriBreached</w:t>
      </w:r>
      <w:r>
        <w:t xml:space="preserve"> </w:t>
      </w:r>
      <w:r>
        <w:t xml:space="preserve">(</w:t>
      </w:r>
      <w:r>
        <w:rPr>
          <w:rStyle w:val="VerbatimChar"/>
        </w:rPr>
        <w:t xml:space="preserve">status</w:t>
      </w:r>
      <w:r>
        <w:t xml:space="preserve"> </w:t>
      </w:r>
      <w:r>
        <w:t xml:space="preserve">OPEN); a cure is an update of the same episode with</w:t>
      </w:r>
      <w:r>
        <w:t xml:space="preserve"> </w:t>
      </w:r>
      <w:r>
        <w:rPr>
          <w:rStyle w:val="VerbatimChar"/>
        </w:rPr>
        <w:t xml:space="preserve">status</w:t>
      </w:r>
      <w:r>
        <w:t xml:space="preserve"> </w:t>
      </w:r>
      <w:r>
        <w:t xml:space="preserve">CURED and a higher</w:t>
      </w:r>
      <w:r>
        <w:t xml:space="preserve"> </w:t>
      </w:r>
      <w:r>
        <w:rPr>
          <w:rStyle w:val="VerbatimChar"/>
        </w:rPr>
        <w:t xml:space="preserve">update_seq</w:t>
      </w:r>
      <w:r>
        <w:t xml:space="preserve"> </w:t>
      </w:r>
      <w:r>
        <w:t xml:space="preserve">(Integration Specification 6.22).</w:t>
      </w:r>
    </w:p>
    <w:p>
      <w:pPr>
        <w:numPr>
          <w:ilvl w:val="0"/>
          <w:numId w:val="1392"/>
        </w:numPr>
        <w:pStyle w:val="Compact"/>
      </w:pPr>
      <w:r>
        <w:rPr>
          <w:bCs/>
          <w:b/>
        </w:rPr>
        <w:t xml:space="preserve">KRI breach workflow.</w:t>
      </w:r>
      <w:r>
        <w:t xml:space="preserve"> </w:t>
      </w:r>
      <w:r>
        <w:t xml:space="preserve">One episode per KRI breach; the same KRI cannot have two open episodes.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95"/>
        <w:gridCol w:w="1054"/>
        <w:gridCol w:w="1380"/>
        <w:gridCol w:w="2818"/>
        <w:gridCol w:w="3191"/>
      </w:tblGrid>
      <w:tr>
        <w:trPr>
          <w:tblHeader w:val="true"/>
          <w:tblHeader w:val="true"/>
        </w:trPr>
        <w:tc>
          <w:tcPr>
            <w:tcW w:w="1195" w:type="dxa"/>
            <w:shd w:val="clear" w:color="auto" w:fill="1F3A5F"/>
          </w:tcPr>
          <w:p>
            <w:pPr>
              <w:pStyle w:val="Compact"/>
              <w:spacing w:after="40"/>
              <w:jc w:val="left"/>
            </w:pPr>
            <w:r>
              <w:rPr>
                <w:b/>
                <w:color w:val="FFFFFF"/>
                <w:sz w:val="18"/>
              </w:rPr>
              <w:t xml:space="preserve">Step</w:t>
            </w:r>
          </w:p>
        </w:tc>
        <w:tc>
          <w:tcPr>
            <w:tcW w:w="1054" w:type="dxa"/>
            <w:shd w:val="clear" w:color="auto" w:fill="1F3A5F"/>
          </w:tcPr>
          <w:p>
            <w:pPr>
              <w:pStyle w:val="Compact"/>
              <w:spacing w:after="40"/>
              <w:jc w:val="left"/>
            </w:pPr>
            <w:r>
              <w:rPr>
                <w:b/>
                <w:color w:val="FFFFFF"/>
                <w:sz w:val="18"/>
              </w:rPr>
              <w:t xml:space="preserve">State</w:t>
            </w:r>
          </w:p>
        </w:tc>
        <w:tc>
          <w:tcPr>
            <w:tcW w:w="1380" w:type="dxa"/>
            <w:shd w:val="clear" w:color="auto" w:fill="1F3A5F"/>
          </w:tcPr>
          <w:p>
            <w:pPr>
              <w:pStyle w:val="Compact"/>
              <w:spacing w:after="40"/>
              <w:jc w:val="left"/>
            </w:pPr>
            <w:r>
              <w:rPr>
                <w:b/>
                <w:color w:val="FFFFFF"/>
                <w:sz w:val="18"/>
              </w:rPr>
              <w:t xml:space="preserve">Owner</w:t>
            </w:r>
          </w:p>
        </w:tc>
        <w:tc>
          <w:tcPr>
            <w:tcW w:w="2818" w:type="dxa"/>
            <w:shd w:val="clear" w:color="auto" w:fill="1F3A5F"/>
          </w:tcPr>
          <w:p>
            <w:pPr>
              <w:pStyle w:val="Compact"/>
              <w:spacing w:after="40"/>
              <w:jc w:val="left"/>
            </w:pPr>
            <w:r>
              <w:rPr>
                <w:b/>
                <w:color w:val="FFFFFF"/>
                <w:sz w:val="18"/>
              </w:rPr>
              <w:t xml:space="preserve">Timer (default)</w:t>
            </w:r>
          </w:p>
        </w:tc>
        <w:tc>
          <w:tcPr>
            <w:tcW w:w="3191" w:type="dxa"/>
            <w:shd w:val="clear" w:color="auto" w:fill="1F3A5F"/>
          </w:tcPr>
          <w:p>
            <w:pPr>
              <w:pStyle w:val="Compact"/>
              <w:spacing w:after="40"/>
              <w:jc w:val="left"/>
            </w:pPr>
            <w:r>
              <w:rPr>
                <w:b/>
                <w:color w:val="FFFFFF"/>
                <w:sz w:val="18"/>
              </w:rPr>
              <w:t xml:space="preserve">Rules and failure paths</w:t>
            </w:r>
          </w:p>
        </w:tc>
      </w:tr>
      <w:tr>
        <w:tc>
          <w:tcPr>
            <w:tcW w:w="1195" w:type="dxa"/>
          </w:tcPr>
          <w:p>
            <w:pPr>
              <w:pStyle w:val="Compact"/>
              <w:spacing w:after="40"/>
              <w:jc w:val="left"/>
            </w:pPr>
            <w:r>
              <w:rPr>
                <w:sz w:val="18"/>
              </w:rPr>
              <w:t xml:space="preserve">1. Breach detected</w:t>
            </w:r>
          </w:p>
        </w:tc>
        <w:tc>
          <w:tcPr>
            <w:tcW w:w="1054" w:type="dxa"/>
          </w:tcPr>
          <w:p>
            <w:pPr>
              <w:pStyle w:val="Compact"/>
              <w:spacing w:after="40"/>
              <w:jc w:val="left"/>
            </w:pPr>
            <w:r>
              <w:rPr>
                <w:rStyle w:val="VerbatimChar"/>
                <w:sz w:val="18"/>
              </w:rPr>
              <w:t xml:space="preserve">OPEN</w:t>
            </w:r>
          </w:p>
        </w:tc>
        <w:tc>
          <w:tcPr>
            <w:tcW w:w="1380" w:type="dxa"/>
          </w:tcPr>
          <w:p>
            <w:pPr>
              <w:pStyle w:val="Compact"/>
              <w:spacing w:after="40"/>
              <w:jc w:val="left"/>
            </w:pPr>
            <w:r>
              <w:rPr>
                <w:sz w:val="18"/>
              </w:rPr>
              <w:t xml:space="preserve">System</w:t>
            </w:r>
          </w:p>
        </w:tc>
        <w:tc>
          <w:tcPr>
            <w:tcW w:w="2818" w:type="dxa"/>
          </w:tcPr>
          <w:p>
            <w:pPr>
              <w:pStyle w:val="Compact"/>
              <w:spacing w:after="40"/>
              <w:jc w:val="left"/>
            </w:pPr>
            <w:r>
              <w:rPr>
                <w:sz w:val="18"/>
              </w:rPr>
              <w:t xml:space="preserve">On the run</w:t>
            </w:r>
          </w:p>
        </w:tc>
        <w:tc>
          <w:tcPr>
            <w:tcW w:w="3191" w:type="dxa"/>
          </w:tcPr>
          <w:p>
            <w:pPr>
              <w:pStyle w:val="Compact"/>
              <w:spacing w:after="40"/>
              <w:jc w:val="left"/>
            </w:pPr>
            <w:r>
              <w:rPr>
                <w:rStyle w:val="VerbatimChar"/>
                <w:sz w:val="18"/>
              </w:rPr>
              <w:t xml:space="preserve">KriBreached</w:t>
            </w:r>
            <w:r>
              <w:rPr>
                <w:sz w:val="18"/>
              </w:rPr>
              <w:t xml:space="preserve"> </w:t>
            </w:r>
            <w:r>
              <w:rPr>
                <w:sz w:val="18"/>
              </w:rPr>
              <w:t xml:space="preserve">emitted; amber observations before it are attached as history</w:t>
            </w:r>
          </w:p>
        </w:tc>
      </w:tr>
      <w:tr>
        <w:tc>
          <w:tcPr>
            <w:tcW w:w="1195" w:type="dxa"/>
          </w:tcPr>
          <w:p>
            <w:pPr>
              <w:pStyle w:val="Compact"/>
              <w:spacing w:after="40"/>
              <w:jc w:val="left"/>
            </w:pPr>
            <w:r>
              <w:rPr>
                <w:sz w:val="18"/>
              </w:rPr>
              <w:t xml:space="preserve">2. Alert</w:t>
            </w:r>
          </w:p>
        </w:tc>
        <w:tc>
          <w:tcPr>
            <w:tcW w:w="1054" w:type="dxa"/>
          </w:tcPr>
          <w:p>
            <w:pPr>
              <w:pStyle w:val="Compact"/>
              <w:spacing w:after="40"/>
              <w:jc w:val="left"/>
            </w:pPr>
            <w:r>
              <w:rPr>
                <w:rStyle w:val="VerbatimChar"/>
                <w:sz w:val="18"/>
              </w:rPr>
              <w:t xml:space="preserve">NOTIFIED</w:t>
            </w:r>
          </w:p>
        </w:tc>
        <w:tc>
          <w:tcPr>
            <w:tcW w:w="1380" w:type="dxa"/>
          </w:tcPr>
          <w:p>
            <w:pPr>
              <w:pStyle w:val="Compact"/>
              <w:spacing w:after="40"/>
              <w:jc w:val="left"/>
            </w:pPr>
            <w:r>
              <w:rPr>
                <w:sz w:val="18"/>
              </w:rPr>
              <w:t xml:space="preserve">System</w:t>
            </w:r>
          </w:p>
        </w:tc>
        <w:tc>
          <w:tcPr>
            <w:tcW w:w="2818" w:type="dxa"/>
          </w:tcPr>
          <w:p>
            <w:pPr>
              <w:pStyle w:val="Compact"/>
              <w:spacing w:after="40"/>
              <w:jc w:val="left"/>
            </w:pPr>
            <w:r>
              <w:rPr>
                <w:sz w:val="18"/>
              </w:rPr>
              <w:t xml:space="preserve">Immediately</w:t>
            </w:r>
          </w:p>
        </w:tc>
        <w:tc>
          <w:tcPr>
            <w:tcW w:w="3191" w:type="dxa"/>
          </w:tcPr>
          <w:p>
            <w:pPr>
              <w:pStyle w:val="Compact"/>
              <w:spacing w:after="40"/>
              <w:jc w:val="left"/>
            </w:pPr>
            <w:r>
              <w:rPr>
                <w:sz w:val="18"/>
              </w:rPr>
              <w:t xml:space="preserve">KRI owner, CRO; RMC chair also for regulatory-linked KRIs; in-app, e-mail, Teams or Google Chat (Part 7F GV7)</w:t>
            </w:r>
          </w:p>
        </w:tc>
      </w:tr>
      <w:tr>
        <w:tc>
          <w:tcPr>
            <w:tcW w:w="1195" w:type="dxa"/>
          </w:tcPr>
          <w:p>
            <w:pPr>
              <w:pStyle w:val="Compact"/>
              <w:spacing w:after="40"/>
              <w:jc w:val="left"/>
            </w:pPr>
            <w:r>
              <w:rPr>
                <w:sz w:val="18"/>
              </w:rPr>
              <w:t xml:space="preserve">3. Owner action</w:t>
            </w:r>
          </w:p>
        </w:tc>
        <w:tc>
          <w:tcPr>
            <w:tcW w:w="1054" w:type="dxa"/>
          </w:tcPr>
          <w:p>
            <w:pPr>
              <w:pStyle w:val="Compact"/>
              <w:spacing w:after="40"/>
              <w:jc w:val="left"/>
            </w:pPr>
            <w:r>
              <w:rPr>
                <w:rStyle w:val="VerbatimChar"/>
                <w:sz w:val="18"/>
              </w:rPr>
              <w:t xml:space="preserve">ACTION_PLANNED</w:t>
            </w:r>
          </w:p>
        </w:tc>
        <w:tc>
          <w:tcPr>
            <w:tcW w:w="1380" w:type="dxa"/>
          </w:tcPr>
          <w:p>
            <w:pPr>
              <w:pStyle w:val="Compact"/>
              <w:spacing w:after="40"/>
              <w:jc w:val="left"/>
            </w:pPr>
            <w:r>
              <w:rPr>
                <w:sz w:val="18"/>
              </w:rPr>
              <w:t xml:space="preserve">KRI owner</w:t>
            </w:r>
          </w:p>
        </w:tc>
        <w:tc>
          <w:tcPr>
            <w:tcW w:w="2818" w:type="dxa"/>
          </w:tcPr>
          <w:p>
            <w:pPr>
              <w:pStyle w:val="Compact"/>
              <w:spacing w:after="40"/>
              <w:jc w:val="left"/>
            </w:pPr>
            <w:r>
              <w:rPr>
                <w:sz w:val="18"/>
              </w:rPr>
              <w:t xml:space="preserve">Plan within 5 working days</w:t>
            </w:r>
          </w:p>
        </w:tc>
        <w:tc>
          <w:tcPr>
            <w:tcW w:w="3191" w:type="dxa"/>
          </w:tcPr>
          <w:p>
            <w:pPr>
              <w:pStyle w:val="Compact"/>
              <w:spacing w:after="40"/>
              <w:jc w:val="left"/>
            </w:pPr>
            <w:r>
              <w:rPr>
                <w:sz w:val="18"/>
              </w:rPr>
              <w:t xml:space="preserve">Root cause, actions with owners and dates, expected cure date; no plan by the deadline escalates one level</w:t>
            </w:r>
          </w:p>
        </w:tc>
      </w:tr>
      <w:tr>
        <w:tc>
          <w:tcPr>
            <w:tcW w:w="1195" w:type="dxa"/>
          </w:tcPr>
          <w:p>
            <w:pPr>
              <w:pStyle w:val="Compact"/>
              <w:spacing w:after="40"/>
              <w:jc w:val="left"/>
            </w:pPr>
            <w:r>
              <w:rPr>
                <w:sz w:val="18"/>
              </w:rPr>
              <w:t xml:space="preserve">4. CRO review</w:t>
            </w:r>
          </w:p>
        </w:tc>
        <w:tc>
          <w:tcPr>
            <w:tcW w:w="1054" w:type="dxa"/>
          </w:tcPr>
          <w:p>
            <w:pPr>
              <w:pStyle w:val="Compact"/>
              <w:spacing w:after="40"/>
              <w:jc w:val="left"/>
            </w:pPr>
            <w:r>
              <w:rPr>
                <w:rStyle w:val="VerbatimChar"/>
                <w:sz w:val="18"/>
              </w:rPr>
              <w:t xml:space="preserve">CRO_REVIEWED</w:t>
            </w:r>
          </w:p>
        </w:tc>
        <w:tc>
          <w:tcPr>
            <w:tcW w:w="1380" w:type="dxa"/>
          </w:tcPr>
          <w:p>
            <w:pPr>
              <w:pStyle w:val="Compact"/>
              <w:spacing w:after="40"/>
              <w:jc w:val="left"/>
            </w:pPr>
            <w:r>
              <w:rPr>
                <w:sz w:val="18"/>
              </w:rPr>
              <w:t xml:space="preserve">CRO</w:t>
            </w:r>
          </w:p>
        </w:tc>
        <w:tc>
          <w:tcPr>
            <w:tcW w:w="2818" w:type="dxa"/>
          </w:tcPr>
          <w:p>
            <w:pPr>
              <w:pStyle w:val="Compact"/>
              <w:spacing w:after="40"/>
              <w:jc w:val="left"/>
            </w:pPr>
            <w:r>
              <w:rPr>
                <w:sz w:val="18"/>
              </w:rPr>
              <w:t xml:space="preserve">5 working days after the plan</w:t>
            </w:r>
          </w:p>
        </w:tc>
        <w:tc>
          <w:tcPr>
            <w:tcW w:w="3191" w:type="dxa"/>
          </w:tcPr>
          <w:p>
            <w:pPr>
              <w:pStyle w:val="Compact"/>
              <w:spacing w:after="40"/>
              <w:jc w:val="left"/>
            </w:pPr>
            <w:r>
              <w:rPr>
                <w:sz w:val="18"/>
              </w:rPr>
              <w:t xml:space="preserve">Accept, send back with comments, or escalate to the RMC; the CRO may convert the episode into a RAS limit breach (</w:t>
            </w:r>
            <w:r>
              <w:rPr>
                <w:rStyle w:val="VerbatimChar"/>
                <w:sz w:val="18"/>
              </w:rPr>
              <w:t xml:space="preserve">LimitBreached</w:t>
            </w:r>
            <w:r>
              <w:rPr>
                <w:sz w:val="18"/>
              </w:rPr>
              <w:t xml:space="preserve">)</w:t>
            </w:r>
          </w:p>
        </w:tc>
      </w:tr>
      <w:tr>
        <w:tc>
          <w:tcPr>
            <w:tcW w:w="1195" w:type="dxa"/>
          </w:tcPr>
          <w:p>
            <w:pPr>
              <w:pStyle w:val="Compact"/>
              <w:spacing w:after="40"/>
              <w:jc w:val="left"/>
            </w:pPr>
            <w:r>
              <w:rPr>
                <w:sz w:val="18"/>
              </w:rPr>
              <w:t xml:space="preserve">5. Monitoring</w:t>
            </w:r>
          </w:p>
        </w:tc>
        <w:tc>
          <w:tcPr>
            <w:tcW w:w="1054" w:type="dxa"/>
          </w:tcPr>
          <w:p>
            <w:pPr>
              <w:pStyle w:val="Compact"/>
              <w:spacing w:after="40"/>
              <w:jc w:val="left"/>
            </w:pPr>
            <w:r>
              <w:rPr>
                <w:rStyle w:val="VerbatimChar"/>
                <w:sz w:val="18"/>
              </w:rPr>
              <w:t xml:space="preserve">IN_REMEDIATION</w:t>
            </w:r>
          </w:p>
        </w:tc>
        <w:tc>
          <w:tcPr>
            <w:tcW w:w="1380" w:type="dxa"/>
          </w:tcPr>
          <w:p>
            <w:pPr>
              <w:pStyle w:val="Compact"/>
              <w:spacing w:after="40"/>
              <w:jc w:val="left"/>
            </w:pPr>
            <w:r>
              <w:rPr>
                <w:sz w:val="18"/>
              </w:rPr>
              <w:t xml:space="preserve">Owner</w:t>
            </w:r>
          </w:p>
        </w:tc>
        <w:tc>
          <w:tcPr>
            <w:tcW w:w="2818" w:type="dxa"/>
          </w:tcPr>
          <w:p>
            <w:pPr>
              <w:pStyle w:val="Compact"/>
              <w:spacing w:after="40"/>
              <w:jc w:val="left"/>
            </w:pPr>
            <w:r>
              <w:rPr>
                <w:sz w:val="18"/>
              </w:rPr>
              <w:t xml:space="preserve">Each KRI run</w:t>
            </w:r>
          </w:p>
        </w:tc>
        <w:tc>
          <w:tcPr>
            <w:tcW w:w="3191" w:type="dxa"/>
          </w:tcPr>
          <w:p>
            <w:pPr>
              <w:pStyle w:val="Compact"/>
              <w:spacing w:after="40"/>
              <w:jc w:val="left"/>
            </w:pPr>
            <w:r>
              <w:rPr>
                <w:sz w:val="18"/>
              </w:rPr>
              <w:t xml:space="preserve">Missed expected cure date escalates (owner → CRO → RMC chair → Board)</w:t>
            </w:r>
          </w:p>
        </w:tc>
      </w:tr>
      <w:tr>
        <w:tc>
          <w:tcPr>
            <w:tcW w:w="1195" w:type="dxa"/>
          </w:tcPr>
          <w:p>
            <w:pPr>
              <w:pStyle w:val="Compact"/>
              <w:spacing w:after="40"/>
              <w:jc w:val="left"/>
            </w:pPr>
            <w:r>
              <w:rPr>
                <w:sz w:val="18"/>
              </w:rPr>
              <w:t xml:space="preserve">6. Cure</w:t>
            </w:r>
          </w:p>
        </w:tc>
        <w:tc>
          <w:tcPr>
            <w:tcW w:w="1054" w:type="dxa"/>
          </w:tcPr>
          <w:p>
            <w:pPr>
              <w:pStyle w:val="Compact"/>
              <w:spacing w:after="40"/>
              <w:jc w:val="left"/>
            </w:pPr>
            <w:r>
              <w:rPr>
                <w:rStyle w:val="VerbatimChar"/>
                <w:sz w:val="18"/>
              </w:rPr>
              <w:t xml:space="preserve">CURED</w:t>
            </w:r>
          </w:p>
        </w:tc>
        <w:tc>
          <w:tcPr>
            <w:tcW w:w="1380" w:type="dxa"/>
          </w:tcPr>
          <w:p>
            <w:pPr>
              <w:pStyle w:val="Compact"/>
              <w:spacing w:after="40"/>
              <w:jc w:val="left"/>
            </w:pPr>
            <w:r>
              <w:rPr>
                <w:sz w:val="18"/>
              </w:rPr>
              <w:t xml:space="preserve">System, confirmed by CRO</w:t>
            </w:r>
          </w:p>
        </w:tc>
        <w:tc>
          <w:tcPr>
            <w:tcW w:w="2818" w:type="dxa"/>
          </w:tcPr>
          <w:p>
            <w:pPr>
              <w:pStyle w:val="Compact"/>
              <w:spacing w:after="40"/>
              <w:jc w:val="left"/>
            </w:pPr>
            <w:r>
              <w:rPr>
                <w:sz w:val="18"/>
              </w:rPr>
              <w:t xml:space="preserve">After the configured number of consecutive green or amber observations (default 1; 3 for daily KRIs)</w:t>
            </w:r>
          </w:p>
        </w:tc>
        <w:tc>
          <w:tcPr>
            <w:tcW w:w="3191" w:type="dxa"/>
          </w:tcPr>
          <w:p>
            <w:pPr>
              <w:pStyle w:val="Compact"/>
              <w:spacing w:after="40"/>
              <w:jc w:val="left"/>
            </w:pPr>
            <w:r>
              <w:rPr>
                <w:rStyle w:val="VerbatimChar"/>
                <w:sz w:val="18"/>
              </w:rPr>
              <w:t xml:space="preserve">KriBreached</w:t>
            </w:r>
            <w:r>
              <w:rPr>
                <w:sz w:val="18"/>
              </w:rPr>
              <w:t xml:space="preserve"> </w:t>
            </w:r>
            <w:r>
              <w:rPr>
                <w:sz w:val="18"/>
              </w:rPr>
              <w:t xml:space="preserve">update with</w:t>
            </w:r>
            <w:r>
              <w:rPr>
                <w:sz w:val="18"/>
              </w:rPr>
              <w:t xml:space="preserve"> </w:t>
            </w:r>
            <w:r>
              <w:rPr>
                <w:rStyle w:val="VerbatimChar"/>
                <w:sz w:val="18"/>
              </w:rPr>
              <w:t xml:space="preserve">status</w:t>
            </w:r>
            <w:r>
              <w:rPr>
                <w:sz w:val="18"/>
              </w:rPr>
              <w:t xml:space="preserve"> </w:t>
            </w:r>
            <w:r>
              <w:rPr>
                <w:sz w:val="18"/>
              </w:rPr>
              <w:t xml:space="preserve">CURED; episode closed with peak value and duration</w:t>
            </w:r>
          </w:p>
        </w:tc>
      </w:tr>
      <w:tr>
        <w:tc>
          <w:tcPr>
            <w:tcW w:w="1195" w:type="dxa"/>
          </w:tcPr>
          <w:p>
            <w:pPr>
              <w:pStyle w:val="Compact"/>
              <w:spacing w:after="40"/>
              <w:jc w:val="left"/>
            </w:pPr>
            <w:r>
              <w:rPr>
                <w:sz w:val="18"/>
              </w:rPr>
              <w:t xml:space="preserve">Exception</w:t>
            </w:r>
          </w:p>
        </w:tc>
        <w:tc>
          <w:tcPr>
            <w:tcW w:w="1054" w:type="dxa"/>
          </w:tcPr>
          <w:p>
            <w:pPr>
              <w:pStyle w:val="Compact"/>
              <w:spacing w:after="40"/>
              <w:jc w:val="left"/>
            </w:pPr>
            <w:r>
              <w:rPr>
                <w:rStyle w:val="VerbatimChar"/>
                <w:sz w:val="18"/>
              </w:rPr>
              <w:t xml:space="preserve">ACCEPTED</w:t>
            </w:r>
          </w:p>
        </w:tc>
        <w:tc>
          <w:tcPr>
            <w:tcW w:w="1380" w:type="dxa"/>
          </w:tcPr>
          <w:p>
            <w:pPr>
              <w:pStyle w:val="Compact"/>
              <w:spacing w:after="40"/>
              <w:jc w:val="left"/>
            </w:pPr>
            <w:r>
              <w:rPr>
                <w:sz w:val="18"/>
              </w:rPr>
              <w:t xml:space="preserve">RMC</w:t>
            </w:r>
          </w:p>
        </w:tc>
        <w:tc>
          <w:tcPr>
            <w:tcW w:w="2818" w:type="dxa"/>
          </w:tcPr>
          <w:p>
            <w:pPr>
              <w:pStyle w:val="Compact"/>
              <w:spacing w:after="40"/>
              <w:jc w:val="left"/>
            </w:pPr>
            <w:r>
              <w:rPr>
                <w:sz w:val="18"/>
              </w:rPr>
              <w:t xml:space="preserve">Expiry ≤ 6 months</w:t>
            </w:r>
          </w:p>
        </w:tc>
        <w:tc>
          <w:tcPr>
            <w:tcW w:w="3191" w:type="dxa"/>
          </w:tcPr>
          <w:p>
            <w:pPr>
              <w:pStyle w:val="Compact"/>
              <w:spacing w:after="40"/>
              <w:jc w:val="left"/>
            </w:pPr>
            <w:r>
              <w:rPr>
                <w:sz w:val="18"/>
              </w:rPr>
              <w:t xml:space="preserve">Temporary tolerance with rationale; the KRI stays red on dashboards with an</w:t>
            </w:r>
            <w:r>
              <w:rPr>
                <w:sz w:val="18"/>
              </w:rPr>
              <w:t xml:space="preserve"> </w:t>
            </w:r>
            <w:r>
              <w:rPr>
                <w:sz w:val="18"/>
              </w:rPr>
              <w:t xml:space="preserve">“</w:t>
            </w:r>
            <w:r>
              <w:rPr>
                <w:sz w:val="18"/>
              </w:rPr>
              <w:t xml:space="preserve">accepted</w:t>
            </w:r>
            <w:r>
              <w:rPr>
                <w:sz w:val="18"/>
              </w:rPr>
              <w:t xml:space="preserve">”</w:t>
            </w:r>
            <w:r>
              <w:rPr>
                <w:sz w:val="18"/>
              </w:rPr>
              <w:t xml:space="preserve"> </w:t>
            </w:r>
            <w:r>
              <w:rPr>
                <w:sz w:val="18"/>
              </w:rPr>
              <w:t xml:space="preserve">badge; expiry reopens the workflow</w:t>
            </w:r>
          </w:p>
        </w:tc>
      </w:tr>
    </w:tbl>
    <w:p>
      <w:pPr>
        <w:numPr>
          <w:ilvl w:val="0"/>
          <w:numId w:val="1393"/>
        </w:numPr>
        <w:pStyle w:val="Compact"/>
      </w:pPr>
      <w:r>
        <w:rPr>
          <w:bCs/>
          <w:b/>
        </w:rPr>
        <w:t xml:space="preserve">Data corrections.</w:t>
      </w:r>
      <w:r>
        <w:t xml:space="preserve"> </w:t>
      </w:r>
      <w:r>
        <w:t xml:space="preserve">A restated source value reruns the KRI; if the breach disappears, the episode is closed internally as</w:t>
      </w:r>
      <w:r>
        <w:t xml:space="preserve"> </w:t>
      </w:r>
      <w:r>
        <w:rPr>
          <w:rStyle w:val="VerbatimChar"/>
        </w:rPr>
        <w:t xml:space="preserve">INVALIDATED</w:t>
      </w:r>
      <w:r>
        <w:t xml:space="preserve"> </w:t>
      </w:r>
      <w:r>
        <w:t xml:space="preserve">with the restatement reference and a</w:t>
      </w:r>
      <w:r>
        <w:t xml:space="preserve"> </w:t>
      </w:r>
      <w:r>
        <w:rPr>
          <w:rStyle w:val="VerbatimChar"/>
        </w:rPr>
        <w:t xml:space="preserve">KriBreached</w:t>
      </w:r>
      <w:r>
        <w:t xml:space="preserve"> </w:t>
      </w:r>
      <w:r>
        <w:t xml:space="preserve">update with</w:t>
      </w:r>
      <w:r>
        <w:t xml:space="preserve"> </w:t>
      </w:r>
      <w:r>
        <w:rPr>
          <w:rStyle w:val="VerbatimChar"/>
        </w:rPr>
        <w:t xml:space="preserve">status</w:t>
      </w:r>
      <w:r>
        <w:t xml:space="preserve"> </w:t>
      </w:r>
      <w:r>
        <w:t xml:space="preserve">CURED is emitted; the episode is never deleted.</w:t>
      </w:r>
    </w:p>
    <w:p>
      <w:pPr>
        <w:numPr>
          <w:ilvl w:val="0"/>
          <w:numId w:val="1393"/>
        </w:numPr>
        <w:pStyle w:val="Compact"/>
      </w:pPr>
      <w:r>
        <w:rPr>
          <w:bCs/>
          <w:b/>
        </w:rPr>
        <w:t xml:space="preserve">Loss events.</w:t>
      </w:r>
      <w:r>
        <w:t xml:space="preserve"> </w:t>
      </w:r>
      <w:r>
        <w:t xml:space="preserve">Taxonomy;</w:t>
      </w:r>
      <w:r>
        <w:t xml:space="preserve"> </w:t>
      </w:r>
      <w:r>
        <w:rPr>
          <w:bCs/>
          <w:b/>
        </w:rPr>
        <w:t xml:space="preserve">occurrence, discovery and accounting dates</w:t>
      </w:r>
      <w:r>
        <w:t xml:space="preserve"> </w:t>
      </w:r>
      <w:r>
        <w:t xml:space="preserve">(ORM 42(2)); gross loss, recoveries (insurance, other), net loss; near miss and gain events flagged; root cause; controls failed; linked incident, fraud case (FRM), complaint or audit finding; boundary flags (credit-risk-related operational loss, legal). Accounting date links to the journal (M10). Capture SLA: within 5 working days of discovery [REC]. Emits</w:t>
      </w:r>
      <w:r>
        <w:t xml:space="preserve"> </w:t>
      </w:r>
      <w:r>
        <w:rPr>
          <w:rStyle w:val="VerbatimChar"/>
        </w:rPr>
        <w:t xml:space="preserve">LossEventRecorded</w:t>
      </w:r>
      <w:r>
        <w:t xml:space="preserve">.</w:t>
      </w:r>
    </w:p>
    <w:p>
      <w:pPr>
        <w:numPr>
          <w:ilvl w:val="0"/>
          <w:numId w:val="1393"/>
        </w:numPr>
        <w:pStyle w:val="Compact"/>
      </w:pPr>
      <w:r>
        <w:rPr>
          <w:bCs/>
          <w:b/>
        </w:rPr>
        <w:t xml:space="preserve">Validation.</w:t>
      </w:r>
      <w:r>
        <w:t xml:space="preserve"> </w:t>
      </w:r>
      <w:r>
        <w:t xml:space="preserve">Loss data passes reconciliation to GL write-off and expense accounts quarterly; unreconciled items are listed (ORM 43(1)</w:t>
      </w:r>
      <w:r>
        <w:t xml:space="preserve"> </w:t>
      </w:r>
      <w:r>
        <w:t xml:space="preserve">“</w:t>
      </w:r>
      <w:r>
        <w:t xml:space="preserve">robust verification and validation</w:t>
      </w:r>
      <w:r>
        <w:t xml:space="preserve">”</w:t>
      </w:r>
      <w:r>
        <w:t xml:space="preserve">). Later recoveries and re-estimates are versions of the same event (</w:t>
      </w:r>
      <w:r>
        <w:rPr>
          <w:rStyle w:val="VerbatimChar"/>
        </w:rPr>
        <w:t xml:space="preserve">LossEventRecorded</w:t>
      </w:r>
      <w:r>
        <w:t xml:space="preserve"> </w:t>
      </w:r>
      <w:r>
        <w:t xml:space="preserve">with a higher version), never new events.</w:t>
      </w:r>
    </w:p>
    <w:bookmarkEnd w:id="409"/>
    <w:bookmarkStart w:id="410" w:name="rk2.4-lawdocscomply-risk-feed"/>
    <w:p>
      <w:pPr>
        <w:pStyle w:val="Heading3"/>
      </w:pPr>
      <w:r>
        <w:t xml:space="preserve">RK2.4 LawDocsComply risk feed</w:t>
      </w:r>
    </w:p>
    <w:p>
      <w:pPr>
        <w:numPr>
          <w:ilvl w:val="0"/>
          <w:numId w:val="1394"/>
        </w:numPr>
        <w:pStyle w:val="Compact"/>
      </w:pPr>
      <w:r>
        <w:rPr>
          <w:bCs/>
          <w:b/>
        </w:rPr>
        <w:t xml:space="preserve">Principle.</w:t>
      </w:r>
      <w:r>
        <w:t xml:space="preserve"> </w:t>
      </w:r>
      <w:r>
        <w:t xml:space="preserve">Finbyx computes facts and metrics; LawDocsComply (LDC) runs register, RCSA and appetite logic when the tenant’s mode is LDC_EXTERNAL or LDC_GROUP. Only aggregates and pseudonymised references leave Finbyx.</w:t>
      </w:r>
      <w:r>
        <w:t xml:space="preserve"> </w:t>
      </w:r>
      <w:r>
        <w:rPr>
          <w:bCs/>
          <w:b/>
        </w:rPr>
        <w:t xml:space="preserve">Raw PII never leaves.</w:t>
      </w:r>
    </w:p>
    <w:p>
      <w:pPr>
        <w:numPr>
          <w:ilvl w:val="0"/>
          <w:numId w:val="1394"/>
        </w:numPr>
        <w:pStyle w:val="Compact"/>
      </w:pPr>
      <w:r>
        <w:rPr>
          <w:bCs/>
          <w:b/>
        </w:rPr>
        <w:t xml:space="preserve">Envelope.</w:t>
      </w:r>
      <w:r>
        <w:t xml:space="preserve"> </w:t>
      </w:r>
      <w:r>
        <w:t xml:space="preserve">CloudEvents 1.0.2 per Integration Specification 3.2 and 6.22:</w:t>
      </w:r>
      <w:r>
        <w:t xml:space="preserve"> </w:t>
      </w:r>
      <w:r>
        <w:rPr>
          <w:rStyle w:val="VerbatimChar"/>
        </w:rPr>
        <w:t xml:space="preserve">source = urn:infrabyx:finbyx:[tenantid]</w:t>
      </w:r>
      <w:r>
        <w:t xml:space="preserve"> </w:t>
      </w:r>
      <w:r>
        <w:t xml:space="preserve">(the legal entity travels as</w:t>
      </w:r>
      <w:r>
        <w:t xml:space="preserve"> </w:t>
      </w:r>
      <w:r>
        <w:rPr>
          <w:rStyle w:val="VerbatimChar"/>
        </w:rPr>
        <w:t xml:space="preserve">data.legal_entity_id</w:t>
      </w:r>
      <w:r>
        <w:t xml:space="preserve">),</w:t>
      </w:r>
      <w:r>
        <w:t xml:space="preserve"> </w:t>
      </w:r>
      <w:r>
        <w:rPr>
          <w:rStyle w:val="VerbatimChar"/>
        </w:rPr>
        <w:t xml:space="preserve">type = in.infrabyx.risk.[EventName].v[major]</w:t>
      </w:r>
      <w:r>
        <w:t xml:space="preserve">,</w:t>
      </w:r>
      <w:r>
        <w:t xml:space="preserve"> </w:t>
      </w:r>
      <w:r>
        <w:rPr>
          <w:rStyle w:val="VerbatimChar"/>
        </w:rPr>
        <w:t xml:space="preserve">subject</w:t>
      </w:r>
      <w:r>
        <w:t xml:space="preserve"> </w:t>
      </w:r>
      <w:r>
        <w:t xml:space="preserve">(aggregate id: metric, limit, KRI, run or event id),</w:t>
      </w:r>
      <w:r>
        <w:t xml:space="preserve"> </w:t>
      </w:r>
      <w:r>
        <w:rPr>
          <w:rStyle w:val="VerbatimChar"/>
        </w:rPr>
        <w:t xml:space="preserve">dataschema</w:t>
      </w:r>
      <w:r>
        <w:t xml:space="preserve"> </w:t>
      </w:r>
      <w:r>
        <w:t xml:space="preserve">with semver,</w:t>
      </w:r>
      <w:r>
        <w:t xml:space="preserve"> </w:t>
      </w:r>
      <w:r>
        <w:rPr>
          <w:rStyle w:val="VerbatimChar"/>
        </w:rPr>
        <w:t xml:space="preserve">tenantid</w:t>
      </w:r>
      <w:r>
        <w:t xml:space="preserve">,</w:t>
      </w:r>
      <w:r>
        <w:t xml:space="preserve"> </w:t>
      </w:r>
      <w:r>
        <w:rPr>
          <w:rStyle w:val="VerbatimChar"/>
        </w:rPr>
        <w:t xml:space="preserve">reid</w:t>
      </w:r>
      <w:r>
        <w:t xml:space="preserve">; extension attributes in lower-case alphanumeric names:</w:t>
      </w:r>
      <w:r>
        <w:t xml:space="preserve"> </w:t>
      </w:r>
      <w:r>
        <w:rPr>
          <w:rStyle w:val="VerbatimChar"/>
        </w:rPr>
        <w:t xml:space="preserve">asof</w:t>
      </w:r>
      <w:r>
        <w:t xml:space="preserve">,</w:t>
      </w:r>
      <w:r>
        <w:t xml:space="preserve"> </w:t>
      </w:r>
      <w:r>
        <w:rPr>
          <w:rStyle w:val="VerbatimChar"/>
        </w:rPr>
        <w:t xml:space="preserve">metricversion</w:t>
      </w:r>
      <w:r>
        <w:t xml:space="preserve">,</w:t>
      </w:r>
      <w:r>
        <w:t xml:space="preserve"> </w:t>
      </w:r>
      <w:r>
        <w:rPr>
          <w:rStyle w:val="VerbatimChar"/>
        </w:rPr>
        <w:t xml:space="preserve">citation</w:t>
      </w:r>
      <w:r>
        <w:t xml:space="preserve">,</w:t>
      </w:r>
      <w:r>
        <w:t xml:space="preserve"> </w:t>
      </w:r>
      <w:r>
        <w:rPr>
          <w:rStyle w:val="VerbatimChar"/>
        </w:rPr>
        <w:t xml:space="preserve">contenthash</w:t>
      </w:r>
      <w:r>
        <w:t xml:space="preserve"> </w:t>
      </w:r>
      <w:r>
        <w:t xml:space="preserve">(SHA-256 of</w:t>
      </w:r>
      <w:r>
        <w:t xml:space="preserve"> </w:t>
      </w:r>
      <w:r>
        <w:rPr>
          <w:rStyle w:val="VerbatimChar"/>
        </w:rPr>
        <w:t xml:space="preserve">data</w:t>
      </w:r>
      <w:r>
        <w:t xml:space="preserve">) and</w:t>
      </w:r>
      <w:r>
        <w:t xml:space="preserve"> </w:t>
      </w:r>
      <w:r>
        <w:rPr>
          <w:rStyle w:val="VerbatimChar"/>
        </w:rPr>
        <w:t xml:space="preserve">prevhash</w:t>
      </w:r>
      <w:r>
        <w:t xml:space="preserve"> </w:t>
      </w:r>
      <w:r>
        <w:t xml:space="preserve">(per producer and tenant hash chain); idempotency keys as in the 6.22 table (for example</w:t>
      </w:r>
      <w:r>
        <w:t xml:space="preserve"> </w:t>
      </w:r>
      <w:r>
        <w:rPr>
          <w:rStyle w:val="VerbatimChar"/>
        </w:rPr>
        <w:t xml:space="preserve">LimitBreached</w:t>
      </w:r>
      <w:r>
        <w:t xml:space="preserve">: limit_id, episode_id, update_seq); at-least-once delivery through the outbox; replay by</w:t>
      </w:r>
      <w:r>
        <w:t xml:space="preserve"> </w:t>
      </w:r>
      <w:r>
        <w:rPr>
          <w:rStyle w:val="VerbatimChar"/>
        </w:rPr>
        <w:t xml:space="preserve">asof</w:t>
      </w:r>
      <w:r>
        <w:t xml:space="preserve"> </w:t>
      </w:r>
      <w:r>
        <w:t xml:space="preserve">range.</w:t>
      </w:r>
    </w:p>
    <w:p>
      <w:pPr>
        <w:numPr>
          <w:ilvl w:val="0"/>
          <w:numId w:val="1394"/>
        </w:numPr>
        <w:pStyle w:val="Compact"/>
      </w:pPr>
      <w:r>
        <w:rPr>
          <w:bCs/>
          <w:b/>
        </w:rPr>
        <w:t xml:space="preserve">Canonical event mapping.</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08"/>
        <w:gridCol w:w="3740"/>
        <w:gridCol w:w="3890"/>
      </w:tblGrid>
      <w:tr>
        <w:trPr>
          <w:tblHeader w:val="true"/>
          <w:tblHeader w:val="true"/>
        </w:trPr>
        <w:tc>
          <w:tcPr>
            <w:tcW w:w="2008" w:type="dxa"/>
            <w:shd w:val="clear" w:color="auto" w:fill="1F3A5F"/>
          </w:tcPr>
          <w:p>
            <w:pPr>
              <w:pStyle w:val="Compact"/>
              <w:spacing w:after="40"/>
              <w:jc w:val="left"/>
            </w:pPr>
            <w:r>
              <w:rPr>
                <w:b/>
                <w:color w:val="FFFFFF"/>
                <w:sz w:val="18"/>
              </w:rPr>
              <w:t xml:space="preserve">Canonical event</w:t>
            </w:r>
          </w:p>
        </w:tc>
        <w:tc>
          <w:tcPr>
            <w:tcW w:w="3740" w:type="dxa"/>
            <w:shd w:val="clear" w:color="auto" w:fill="1F3A5F"/>
          </w:tcPr>
          <w:p>
            <w:pPr>
              <w:pStyle w:val="Compact"/>
              <w:spacing w:after="40"/>
              <w:jc w:val="left"/>
            </w:pPr>
            <w:r>
              <w:rPr>
                <w:b/>
                <w:color w:val="FFFFFF"/>
                <w:sz w:val="18"/>
              </w:rPr>
              <w:t xml:space="preserve">Trigger in Finbyx</w:t>
            </w:r>
          </w:p>
        </w:tc>
        <w:tc>
          <w:tcPr>
            <w:tcW w:w="3890" w:type="dxa"/>
            <w:shd w:val="clear" w:color="auto" w:fill="1F3A5F"/>
          </w:tcPr>
          <w:p>
            <w:pPr>
              <w:pStyle w:val="Compact"/>
              <w:spacing w:after="40"/>
              <w:jc w:val="left"/>
            </w:pPr>
            <w:r>
              <w:rPr>
                <w:b/>
                <w:color w:val="FFFFFF"/>
                <w:sz w:val="18"/>
              </w:rPr>
              <w:t xml:space="preserve">Key payload (no raw PII)</w:t>
            </w:r>
          </w:p>
        </w:tc>
      </w:tr>
      <w:tr>
        <w:tc>
          <w:tcPr>
            <w:tcW w:w="2008" w:type="dxa"/>
          </w:tcPr>
          <w:p>
            <w:pPr>
              <w:pStyle w:val="Compact"/>
              <w:spacing w:after="40"/>
              <w:jc w:val="left"/>
            </w:pPr>
            <w:r>
              <w:rPr>
                <w:rStyle w:val="VerbatimChar"/>
                <w:sz w:val="18"/>
              </w:rPr>
              <w:t xml:space="preserve">RiskSnapshotPublished</w:t>
            </w:r>
          </w:p>
        </w:tc>
        <w:tc>
          <w:tcPr>
            <w:tcW w:w="3740" w:type="dxa"/>
          </w:tcPr>
          <w:p>
            <w:pPr>
              <w:pStyle w:val="Compact"/>
              <w:spacing w:after="40"/>
              <w:jc w:val="left"/>
            </w:pPr>
            <w:r>
              <w:rPr>
                <w:sz w:val="18"/>
              </w:rPr>
              <w:t xml:space="preserve">Daily and month-end metric run certified or computed</w:t>
            </w:r>
          </w:p>
        </w:tc>
        <w:tc>
          <w:tcPr>
            <w:tcW w:w="3890" w:type="dxa"/>
          </w:tcPr>
          <w:p>
            <w:pPr>
              <w:pStyle w:val="Compact"/>
              <w:spacing w:after="40"/>
              <w:jc w:val="left"/>
            </w:pPr>
            <w:r>
              <w:rPr>
                <w:sz w:val="18"/>
              </w:rPr>
              <w:t xml:space="preserve">Metric ids, versions, values, thresholds, RAG, grain, lineage reference, certification state</w:t>
            </w:r>
          </w:p>
        </w:tc>
      </w:tr>
      <w:tr>
        <w:tc>
          <w:tcPr>
            <w:tcW w:w="2008" w:type="dxa"/>
          </w:tcPr>
          <w:p>
            <w:pPr>
              <w:pStyle w:val="Compact"/>
              <w:spacing w:after="40"/>
              <w:jc w:val="left"/>
            </w:pPr>
            <w:r>
              <w:rPr>
                <w:rStyle w:val="VerbatimChar"/>
                <w:sz w:val="18"/>
              </w:rPr>
              <w:t xml:space="preserve">CapitalRatioComputed</w:t>
            </w:r>
          </w:p>
        </w:tc>
        <w:tc>
          <w:tcPr>
            <w:tcW w:w="3740" w:type="dxa"/>
          </w:tcPr>
          <w:p>
            <w:pPr>
              <w:pStyle w:val="Compact"/>
              <w:spacing w:after="40"/>
              <w:jc w:val="left"/>
            </w:pPr>
            <w:r>
              <w:rPr>
                <w:sz w:val="18"/>
              </w:rPr>
              <w:t xml:space="preserve">Shadow, monthly or quarterly capital run</w:t>
            </w:r>
          </w:p>
        </w:tc>
        <w:tc>
          <w:tcPr>
            <w:tcW w:w="3890" w:type="dxa"/>
          </w:tcPr>
          <w:p>
            <w:pPr>
              <w:pStyle w:val="Compact"/>
              <w:spacing w:after="40"/>
              <w:jc w:val="left"/>
            </w:pPr>
            <w:r>
              <w:rPr>
                <w:sz w:val="18"/>
              </w:rPr>
              <w:t xml:space="preserve">Legal entity, run type, as-of, owned fund, CET1, Tier 1, Tier 2, RWA by class, CRAR, leverage (BL only), headroom, PCA proximity (bps), rule-pack version</w:t>
            </w:r>
          </w:p>
        </w:tc>
      </w:tr>
      <w:tr>
        <w:tc>
          <w:tcPr>
            <w:tcW w:w="2008" w:type="dxa"/>
          </w:tcPr>
          <w:p>
            <w:pPr>
              <w:pStyle w:val="Compact"/>
              <w:spacing w:after="40"/>
              <w:jc w:val="left"/>
            </w:pPr>
            <w:r>
              <w:rPr>
                <w:rStyle w:val="VerbatimChar"/>
                <w:sz w:val="18"/>
              </w:rPr>
              <w:t xml:space="preserve">LimitBreached</w:t>
            </w:r>
          </w:p>
        </w:tc>
        <w:tc>
          <w:tcPr>
            <w:tcW w:w="3740" w:type="dxa"/>
          </w:tcPr>
          <w:p>
            <w:pPr>
              <w:pStyle w:val="Compact"/>
              <w:spacing w:after="40"/>
              <w:jc w:val="left"/>
            </w:pPr>
            <w:r>
              <w:rPr>
                <w:sz w:val="18"/>
              </w:rPr>
              <w:t xml:space="preserve">Regulatory, Board or internal limit breached or projected; PCA threshold crossed (or projected, with</w:t>
            </w:r>
            <w:r>
              <w:rPr>
                <w:sz w:val="18"/>
              </w:rPr>
              <w:t xml:space="preserve"> </w:t>
            </w:r>
            <w:r>
              <w:rPr>
                <w:rStyle w:val="VerbatimChar"/>
                <w:sz w:val="18"/>
              </w:rPr>
              <w:t xml:space="preserve">projected = true</w:t>
            </w:r>
            <w:r>
              <w:rPr>
                <w:sz w:val="18"/>
              </w:rPr>
              <w:t xml:space="preserve">); LE, SSE or capital-market breach; SLS tolerance; LCR below 100%; HQLA used in stress; DLG cap; cure as an update with</w:t>
            </w:r>
            <w:r>
              <w:rPr>
                <w:sz w:val="18"/>
              </w:rPr>
              <w:t xml:space="preserve"> </w:t>
            </w:r>
            <w:r>
              <w:rPr>
                <w:rStyle w:val="VerbatimChar"/>
                <w:sz w:val="18"/>
              </w:rPr>
              <w:t xml:space="preserve">status</w:t>
            </w:r>
            <w:r>
              <w:rPr>
                <w:sz w:val="18"/>
              </w:rPr>
              <w:t xml:space="preserve"> </w:t>
            </w:r>
            <w:r>
              <w:rPr>
                <w:sz w:val="18"/>
              </w:rPr>
              <w:t xml:space="preserve">CURED and a higher</w:t>
            </w:r>
            <w:r>
              <w:rPr>
                <w:sz w:val="18"/>
              </w:rPr>
              <w:t xml:space="preserve"> </w:t>
            </w:r>
            <w:r>
              <w:rPr>
                <w:rStyle w:val="VerbatimChar"/>
                <w:sz w:val="18"/>
              </w:rPr>
              <w:t xml:space="preserve">update_seq</w:t>
            </w:r>
          </w:p>
        </w:tc>
        <w:tc>
          <w:tcPr>
            <w:tcW w:w="3890" w:type="dxa"/>
          </w:tcPr>
          <w:p>
            <w:pPr>
              <w:pStyle w:val="Compact"/>
              <w:spacing w:after="40"/>
              <w:jc w:val="left"/>
            </w:pPr>
            <w:r>
              <w:rPr>
                <w:sz w:val="18"/>
              </w:rPr>
              <w:t xml:space="preserve">Limit id,</w:t>
            </w:r>
            <w:r>
              <w:rPr>
                <w:sz w:val="18"/>
              </w:rPr>
              <w:t xml:space="preserve"> </w:t>
            </w:r>
            <w:r>
              <w:rPr>
                <w:rStyle w:val="VerbatimChar"/>
                <w:sz w:val="18"/>
              </w:rPr>
              <w:t xml:space="preserve">limit_type</w:t>
            </w:r>
            <w:r>
              <w:rPr>
                <w:sz w:val="18"/>
              </w:rPr>
              <w:t xml:space="preserve"> </w:t>
            </w:r>
            <w:r>
              <w:rPr>
                <w:sz w:val="18"/>
              </w:rPr>
              <w:t xml:space="preserve">(REGULATORY, BOARD, INTERNAL, LE, SSE, CME, SLS_TOLERANCE, LCR, HQLA_STRESS, DLG_CAP, SR_SELF_INVESTMENT, INVESTMENT, PCA_RT1, PCA_RT2, PCA_RT3),</w:t>
            </w:r>
            <w:r>
              <w:rPr>
                <w:sz w:val="18"/>
              </w:rPr>
              <w:t xml:space="preserve"> </w:t>
            </w:r>
            <w:r>
              <w:rPr>
                <w:rStyle w:val="VerbatimChar"/>
                <w:sz w:val="18"/>
              </w:rPr>
              <w:t xml:space="preserve">status</w:t>
            </w:r>
            <w:r>
              <w:rPr>
                <w:sz w:val="18"/>
              </w:rPr>
              <w:t xml:space="preserve">, value, limit, first breach time, projected flag, citation, pseudonymised counterparty or group reference where applicable</w:t>
            </w:r>
          </w:p>
        </w:tc>
      </w:tr>
      <w:tr>
        <w:tc>
          <w:tcPr>
            <w:tcW w:w="2008" w:type="dxa"/>
          </w:tcPr>
          <w:p>
            <w:pPr>
              <w:pStyle w:val="Compact"/>
              <w:spacing w:after="40"/>
              <w:jc w:val="left"/>
            </w:pPr>
            <w:r>
              <w:rPr>
                <w:rStyle w:val="VerbatimChar"/>
                <w:sz w:val="18"/>
              </w:rPr>
              <w:t xml:space="preserve">KriBreached</w:t>
            </w:r>
          </w:p>
        </w:tc>
        <w:tc>
          <w:tcPr>
            <w:tcW w:w="3740" w:type="dxa"/>
          </w:tcPr>
          <w:p>
            <w:pPr>
              <w:pStyle w:val="Compact"/>
              <w:spacing w:after="40"/>
              <w:jc w:val="left"/>
            </w:pPr>
            <w:r>
              <w:rPr>
                <w:sz w:val="18"/>
              </w:rPr>
              <w:t xml:space="preserve">KRI observation red (including PCA proximity within 150 bps of RT1); cure updates the episode</w:t>
            </w:r>
          </w:p>
        </w:tc>
        <w:tc>
          <w:tcPr>
            <w:tcW w:w="3890" w:type="dxa"/>
          </w:tcPr>
          <w:p>
            <w:pPr>
              <w:pStyle w:val="Compact"/>
              <w:spacing w:after="40"/>
              <w:jc w:val="left"/>
            </w:pPr>
            <w:r>
              <w:rPr>
                <w:sz w:val="18"/>
              </w:rPr>
              <w:t xml:space="preserve">KRI id, metric id and version, value, threshold version, RAG, episode id,</w:t>
            </w:r>
            <w:r>
              <w:rPr>
                <w:sz w:val="18"/>
              </w:rPr>
              <w:t xml:space="preserve"> </w:t>
            </w:r>
            <w:r>
              <w:rPr>
                <w:rStyle w:val="VerbatimChar"/>
                <w:sz w:val="18"/>
              </w:rPr>
              <w:t xml:space="preserve">status</w:t>
            </w:r>
            <w:r>
              <w:rPr>
                <w:sz w:val="18"/>
              </w:rPr>
              <w:t xml:space="preserve"> </w:t>
            </w:r>
            <w:r>
              <w:rPr>
                <w:sz w:val="18"/>
              </w:rPr>
              <w:t xml:space="preserve">(OPEN or CURED)</w:t>
            </w:r>
          </w:p>
        </w:tc>
      </w:tr>
      <w:tr>
        <w:tc>
          <w:tcPr>
            <w:tcW w:w="2008" w:type="dxa"/>
          </w:tcPr>
          <w:p>
            <w:pPr>
              <w:pStyle w:val="Compact"/>
              <w:spacing w:after="40"/>
              <w:jc w:val="left"/>
            </w:pPr>
            <w:r>
              <w:rPr>
                <w:rStyle w:val="VerbatimChar"/>
                <w:sz w:val="18"/>
              </w:rPr>
              <w:t xml:space="preserve">LossEventRecorded</w:t>
            </w:r>
          </w:p>
        </w:tc>
        <w:tc>
          <w:tcPr>
            <w:tcW w:w="3740" w:type="dxa"/>
          </w:tcPr>
          <w:p>
            <w:pPr>
              <w:pStyle w:val="Compact"/>
              <w:spacing w:after="40"/>
              <w:jc w:val="left"/>
            </w:pPr>
            <w:r>
              <w:rPr>
                <w:sz w:val="18"/>
              </w:rPr>
              <w:t xml:space="preserve">Loss, near-miss or gain event approved; later versions for recoveries</w:t>
            </w:r>
          </w:p>
        </w:tc>
        <w:tc>
          <w:tcPr>
            <w:tcW w:w="3890" w:type="dxa"/>
          </w:tcPr>
          <w:p>
            <w:pPr>
              <w:pStyle w:val="Compact"/>
              <w:spacing w:after="40"/>
              <w:jc w:val="left"/>
            </w:pPr>
            <w:r>
              <w:rPr>
                <w:sz w:val="18"/>
              </w:rPr>
              <w:t xml:space="preserve">Taxonomy, three dates, gross, recoveries, net (banded for individual borrowers), root cause, controls failed</w:t>
            </w:r>
          </w:p>
        </w:tc>
      </w:tr>
      <w:tr>
        <w:tc>
          <w:tcPr>
            <w:tcW w:w="2008" w:type="dxa"/>
          </w:tcPr>
          <w:p>
            <w:pPr>
              <w:pStyle w:val="Compact"/>
              <w:spacing w:after="40"/>
              <w:jc w:val="left"/>
            </w:pPr>
            <w:r>
              <w:rPr>
                <w:rStyle w:val="VerbatimChar"/>
                <w:sz w:val="18"/>
              </w:rPr>
              <w:t xml:space="preserve">StressTestCompleted</w:t>
            </w:r>
          </w:p>
        </w:tc>
        <w:tc>
          <w:tcPr>
            <w:tcW w:w="3740" w:type="dxa"/>
          </w:tcPr>
          <w:p>
            <w:pPr>
              <w:pStyle w:val="Compact"/>
              <w:spacing w:after="40"/>
              <w:jc w:val="left"/>
            </w:pPr>
            <w:r>
              <w:rPr>
                <w:sz w:val="18"/>
              </w:rPr>
              <w:t xml:space="preserve">Stress or reverse-stress run approved</w:t>
            </w:r>
          </w:p>
        </w:tc>
        <w:tc>
          <w:tcPr>
            <w:tcW w:w="3890" w:type="dxa"/>
          </w:tcPr>
          <w:p>
            <w:pPr>
              <w:pStyle w:val="Compact"/>
              <w:spacing w:after="40"/>
              <w:jc w:val="left"/>
            </w:pPr>
            <w:r>
              <w:rPr>
                <w:sz w:val="18"/>
              </w:rPr>
              <w:t xml:space="preserve">Scenario id and version, snapshot hash, model versions, summary results</w:t>
            </w:r>
          </w:p>
        </w:tc>
      </w:tr>
      <w:tr>
        <w:tc>
          <w:tcPr>
            <w:tcW w:w="2008" w:type="dxa"/>
          </w:tcPr>
          <w:p>
            <w:pPr>
              <w:pStyle w:val="Compact"/>
              <w:spacing w:after="40"/>
              <w:jc w:val="left"/>
            </w:pPr>
            <w:r>
              <w:rPr>
                <w:rStyle w:val="VerbatimChar"/>
                <w:sz w:val="18"/>
              </w:rPr>
              <w:t xml:space="preserve">RiskSignalRaised</w:t>
            </w:r>
            <w:r>
              <w:rPr>
                <w:sz w:val="18"/>
              </w:rPr>
              <w:t xml:space="preserve"> </w:t>
            </w:r>
            <w:r>
              <w:rPr>
                <w:sz w:val="18"/>
              </w:rPr>
              <w:t xml:space="preserve">(existing)</w:t>
            </w:r>
          </w:p>
        </w:tc>
        <w:tc>
          <w:tcPr>
            <w:tcW w:w="3740" w:type="dxa"/>
          </w:tcPr>
          <w:p>
            <w:pPr>
              <w:pStyle w:val="Compact"/>
              <w:spacing w:after="40"/>
              <w:jc w:val="left"/>
            </w:pPr>
            <w:r>
              <w:rPr>
                <w:sz w:val="18"/>
              </w:rPr>
              <w:t xml:space="preserve">EWS or fraud signal</w:t>
            </w:r>
          </w:p>
        </w:tc>
        <w:tc>
          <w:tcPr>
            <w:tcW w:w="3890" w:type="dxa"/>
          </w:tcPr>
          <w:p>
            <w:pPr>
              <w:pStyle w:val="Compact"/>
              <w:spacing w:after="40"/>
              <w:jc w:val="left"/>
            </w:pPr>
            <w:r>
              <w:rPr>
                <w:sz w:val="18"/>
              </w:rPr>
              <w:t xml:space="preserve">Type, score, evidence reference (FRM)</w:t>
            </w:r>
          </w:p>
        </w:tc>
      </w:tr>
      <w:tr>
        <w:tc>
          <w:tcPr>
            <w:tcW w:w="2008" w:type="dxa"/>
          </w:tcPr>
          <w:p>
            <w:pPr>
              <w:pStyle w:val="Compact"/>
              <w:spacing w:after="40"/>
              <w:jc w:val="left"/>
            </w:pPr>
            <w:r>
              <w:rPr>
                <w:rStyle w:val="VerbatimChar"/>
                <w:sz w:val="18"/>
              </w:rPr>
              <w:t xml:space="preserve">SecurityIncidentNotified</w:t>
            </w:r>
            <w:r>
              <w:rPr>
                <w:sz w:val="18"/>
              </w:rPr>
              <w:t xml:space="preserve"> </w:t>
            </w:r>
            <w:r>
              <w:rPr>
                <w:sz w:val="18"/>
              </w:rPr>
              <w:t xml:space="preserve">(existing)</w:t>
            </w:r>
          </w:p>
        </w:tc>
        <w:tc>
          <w:tcPr>
            <w:tcW w:w="3740" w:type="dxa"/>
          </w:tcPr>
          <w:p>
            <w:pPr>
              <w:pStyle w:val="Compact"/>
              <w:spacing w:after="40"/>
              <w:jc w:val="left"/>
            </w:pPr>
            <w:r>
              <w:rPr>
                <w:sz w:val="18"/>
              </w:rPr>
              <w:t xml:space="preserve">Cyber incident</w:t>
            </w:r>
          </w:p>
        </w:tc>
        <w:tc>
          <w:tcPr>
            <w:tcW w:w="3890" w:type="dxa"/>
          </w:tcPr>
          <w:p>
            <w:pPr>
              <w:pStyle w:val="Compact"/>
              <w:spacing w:after="40"/>
              <w:jc w:val="left"/>
            </w:pPr>
            <w:r>
              <w:rPr>
                <w:sz w:val="18"/>
              </w:rPr>
              <w:t xml:space="preserve">Detected time, class, status, DAKSH filing time</w:t>
            </w:r>
          </w:p>
        </w:tc>
      </w:tr>
      <w:tr>
        <w:tc>
          <w:tcPr>
            <w:tcW w:w="2008" w:type="dxa"/>
          </w:tcPr>
          <w:p>
            <w:pPr>
              <w:pStyle w:val="Compact"/>
              <w:spacing w:after="40"/>
              <w:jc w:val="left"/>
            </w:pPr>
            <w:r>
              <w:rPr>
                <w:rStyle w:val="VerbatimChar"/>
                <w:sz w:val="18"/>
              </w:rPr>
              <w:t xml:space="preserve">ControlTestResultPublished</w:t>
            </w:r>
            <w:r>
              <w:rPr>
                <w:sz w:val="18"/>
              </w:rPr>
              <w:t xml:space="preserve">,</w:t>
            </w:r>
            <w:r>
              <w:rPr>
                <w:sz w:val="18"/>
              </w:rPr>
              <w:t xml:space="preserve"> </w:t>
            </w:r>
            <w:r>
              <w:rPr>
                <w:rStyle w:val="VerbatimChar"/>
                <w:sz w:val="18"/>
              </w:rPr>
              <w:t xml:space="preserve">EvidenceSubmitted</w:t>
            </w:r>
            <w:r>
              <w:rPr>
                <w:sz w:val="18"/>
              </w:rPr>
              <w:t xml:space="preserve">,</w:t>
            </w:r>
            <w:r>
              <w:rPr>
                <w:sz w:val="18"/>
              </w:rPr>
              <w:t xml:space="preserve"> </w:t>
            </w:r>
            <w:r>
              <w:rPr>
                <w:rStyle w:val="VerbatimChar"/>
                <w:sz w:val="18"/>
              </w:rPr>
              <w:t xml:space="preserve">ComplianceIssueRaised</w:t>
            </w:r>
            <w:r>
              <w:rPr>
                <w:sz w:val="18"/>
              </w:rPr>
              <w:t xml:space="preserve"> </w:t>
            </w:r>
            <w:r>
              <w:rPr>
                <w:sz w:val="18"/>
              </w:rPr>
              <w:t xml:space="preserve">(existing)</w:t>
            </w:r>
          </w:p>
        </w:tc>
        <w:tc>
          <w:tcPr>
            <w:tcW w:w="3740" w:type="dxa"/>
          </w:tcPr>
          <w:p>
            <w:pPr>
              <w:pStyle w:val="Compact"/>
              <w:spacing w:after="40"/>
              <w:jc w:val="left"/>
            </w:pPr>
            <w:r>
              <w:rPr>
                <w:sz w:val="18"/>
              </w:rPr>
              <w:t xml:space="preserve">Control tests; ICAAP approval artefacts; ECL overlay and model-change approvals; Board-pack certification; breaches needing compliance action</w:t>
            </w:r>
          </w:p>
        </w:tc>
        <w:tc>
          <w:tcPr>
            <w:tcW w:w="3890" w:type="dxa"/>
          </w:tcPr>
          <w:p>
            <w:pPr>
              <w:pStyle w:val="Compact"/>
              <w:spacing w:after="40"/>
              <w:jc w:val="left"/>
            </w:pPr>
            <w:r>
              <w:rPr>
                <w:sz w:val="18"/>
              </w:rPr>
              <w:t xml:space="preserve">Per Integration Specification Part 9</w:t>
            </w:r>
          </w:p>
        </w:tc>
      </w:tr>
    </w:tbl>
    <w:p>
      <w:pPr>
        <w:numPr>
          <w:ilvl w:val="0"/>
          <w:numId w:val="1395"/>
        </w:numPr>
        <w:pStyle w:val="Compact"/>
      </w:pPr>
      <w:r>
        <w:rPr>
          <w:bCs/>
          <w:b/>
        </w:rPr>
        <w:t xml:space="preserve">Pseudonymisation.</w:t>
      </w:r>
      <w:r>
        <w:t xml:space="preserve"> </w:t>
      </w:r>
      <w:r>
        <w:t xml:space="preserve">Counterparty and group references are</w:t>
      </w:r>
      <w:r>
        <w:t xml:space="preserve"> </w:t>
      </w:r>
      <w:r>
        <w:rPr>
          <w:rStyle w:val="VerbatimChar"/>
        </w:rPr>
        <w:t xml:space="preserve">ps_[epoch]_[base64url(HMAC-SHA256(tenant_feed_key, internal_id))]</w:t>
      </w:r>
      <w:r>
        <w:t xml:space="preserve">; the key is held in the tenant’s KMS (BYOK where chosen) and rotates annually with a new epoch; LDC cannot reverse it; the tenant resolves it inside Finbyx. Individual-borrower amounts are banded; corporate exposure amounts are sent only for LE and concentration events.</w:t>
      </w:r>
    </w:p>
    <w:p>
      <w:pPr>
        <w:numPr>
          <w:ilvl w:val="0"/>
          <w:numId w:val="1395"/>
        </w:numPr>
        <w:pStyle w:val="Compact"/>
      </w:pPr>
      <w:r>
        <w:rPr>
          <w:bCs/>
          <w:b/>
        </w:rPr>
        <w:t xml:space="preserve">Inbound.</w:t>
      </w:r>
      <w:r>
        <w:t xml:space="preserve"> </w:t>
      </w:r>
      <w:r>
        <w:t xml:space="preserve">Finbyx pulls</w:t>
      </w:r>
      <w:r>
        <w:t xml:space="preserve"> </w:t>
      </w:r>
      <w:r>
        <w:rPr>
          <w:rStyle w:val="VerbatimChar"/>
        </w:rPr>
        <w:t xml:space="preserve">KRI</w:t>
      </w:r>
      <w:r>
        <w:t xml:space="preserve"> </w:t>
      </w:r>
      <w:r>
        <w:t xml:space="preserve">(definition and approved thresholds, mapped to a metric id) and</w:t>
      </w:r>
      <w:r>
        <w:t xml:space="preserve"> </w:t>
      </w:r>
      <w:r>
        <w:rPr>
          <w:rStyle w:val="VerbatimChar"/>
        </w:rPr>
        <w:t xml:space="preserve">Obligation</w:t>
      </w:r>
      <w:r>
        <w:t xml:space="preserve"> </w:t>
      </w:r>
      <w:r>
        <w:t xml:space="preserve">resources from LDC (</w:t>
      </w:r>
      <w:r>
        <w:rPr>
          <w:rStyle w:val="VerbatimChar"/>
        </w:rPr>
        <w:t xml:space="preserve">GET /v1/grc/kris?updated_since=[ts]</w:t>
      </w:r>
      <w:r>
        <w:t xml:space="preserve">,</w:t>
      </w:r>
      <w:r>
        <w:t xml:space="preserve"> </w:t>
      </w:r>
      <w:r>
        <w:rPr>
          <w:rStyle w:val="VerbatimChar"/>
        </w:rPr>
        <w:t xml:space="preserve">GET /v1/grc/obligations?updated_since=[ts]</w:t>
      </w:r>
      <w:r>
        <w:t xml:space="preserve">, daily and on event) and consumes</w:t>
      </w:r>
      <w:r>
        <w:t xml:space="preserve"> </w:t>
      </w:r>
      <w:r>
        <w:rPr>
          <w:rStyle w:val="VerbatimChar"/>
        </w:rPr>
        <w:t xml:space="preserve">ObligationPublished</w:t>
      </w:r>
      <w:r>
        <w:t xml:space="preserve">; RAS thresholds approved in LDC become a new threshold version in Finbyx with the LDC approval reference. Finbyx never accepts formula logic from LDC: a KRI whose metric does not exist in RK6 is rejected with a</w:t>
      </w:r>
      <w:r>
        <w:t xml:space="preserve"> </w:t>
      </w:r>
      <w:r>
        <w:t xml:space="preserve">“</w:t>
      </w:r>
      <w:r>
        <w:t xml:space="preserve">metric required</w:t>
      </w:r>
      <w:r>
        <w:t xml:space="preserve">”</w:t>
      </w:r>
      <w:r>
        <w:t xml:space="preserve"> </w:t>
      </w:r>
      <w:r>
        <w:t xml:space="preserve">task.</w:t>
      </w:r>
    </w:p>
    <w:p>
      <w:pPr>
        <w:numPr>
          <w:ilvl w:val="0"/>
          <w:numId w:val="1395"/>
        </w:numPr>
        <w:pStyle w:val="Compact"/>
      </w:pPr>
      <w:r>
        <w:rPr>
          <w:bCs/>
          <w:b/>
        </w:rPr>
        <w:t xml:space="preserve">Reconciliation.</w:t>
      </w:r>
      <w:r>
        <w:t xml:space="preserve"> </w:t>
      </w:r>
      <w:r>
        <w:t xml:space="preserve">Daily: count and hash of events sent vs acknowledged; monthly: metric values in LDC vs Finbyx for a sample. Breaks raise</w:t>
      </w:r>
      <w:r>
        <w:t xml:space="preserve"> </w:t>
      </w:r>
      <w:r>
        <w:rPr>
          <w:rStyle w:val="VerbatimChar"/>
        </w:rPr>
        <w:t xml:space="preserve">ReconciliationBreakRaised</w:t>
      </w:r>
      <w:r>
        <w:t xml:space="preserve"> </w:t>
      </w:r>
      <w:r>
        <w:t xml:space="preserve">and an integration incident; LDC outages queue events in the outbox and the backlog is replayed in order with the chain intact.</w:t>
      </w:r>
    </w:p>
    <w:p>
      <w:pPr>
        <w:numPr>
          <w:ilvl w:val="0"/>
          <w:numId w:val="1395"/>
        </w:numPr>
        <w:pStyle w:val="Compact"/>
      </w:pPr>
      <w:r>
        <w:rPr>
          <w:bCs/>
          <w:b/>
        </w:rPr>
        <w:t xml:space="preserve">Mode switch.</w:t>
      </w:r>
      <w:r>
        <w:t xml:space="preserve"> </w:t>
      </w:r>
      <w:r>
        <w:t xml:space="preserve">Moving between modes never loses data: the outgoing system exports register, KRIs, open issues and the evidence index with hash-chain heads, the incoming system imports before the effective date, and Finbyx dual-publishes for one compliance period (Integration Specification 9.1).</w:t>
      </w:r>
    </w:p>
    <w:p>
      <w:pPr>
        <w:numPr>
          <w:ilvl w:val="0"/>
          <w:numId w:val="1395"/>
        </w:numPr>
        <w:pStyle w:val="Compact"/>
      </w:pPr>
      <w:r>
        <w:rPr>
          <w:bCs/>
          <w:b/>
        </w:rPr>
        <w:t xml:space="preserve">Udofin.</w:t>
      </w:r>
      <w:r>
        <w:t xml:space="preserve"> </w:t>
      </w:r>
      <w:r>
        <w:t xml:space="preserve">Udofin runs its own LSP risk function and feed (Udofin Part 7H RA1); it never computes or shows RE prudential ratios. Finbyx consumes Udofin</w:t>
      </w:r>
      <w:r>
        <w:t xml:space="preserve"> </w:t>
      </w:r>
      <w:r>
        <w:rPr>
          <w:rStyle w:val="VerbatimChar"/>
        </w:rPr>
        <w:t xml:space="preserve">RiskSignalRaised</w:t>
      </w:r>
      <w:r>
        <w:t xml:space="preserve"> </w:t>
      </w:r>
      <w:r>
        <w:t xml:space="preserve">and</w:t>
      </w:r>
      <w:r>
        <w:t xml:space="preserve"> </w:t>
      </w:r>
      <w:r>
        <w:rPr>
          <w:rStyle w:val="VerbatimChar"/>
        </w:rPr>
        <w:t xml:space="preserve">SecurityIncidentNotified</w:t>
      </w:r>
      <w:r>
        <w:t xml:space="preserve"> </w:t>
      </w:r>
      <w:r>
        <w:t xml:space="preserve">events only.</w:t>
      </w:r>
    </w:p>
    <w:bookmarkEnd w:id="410"/>
    <w:bookmarkStart w:id="411" w:name="settings-and-options-8"/>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67"/>
        <w:gridCol w:w="2623"/>
        <w:gridCol w:w="2025"/>
        <w:gridCol w:w="2523"/>
      </w:tblGrid>
      <w:tr>
        <w:trPr>
          <w:tblHeader w:val="true"/>
          <w:tblHeader w:val="true"/>
        </w:trPr>
        <w:tc>
          <w:tcPr>
            <w:tcW w:w="2467" w:type="dxa"/>
            <w:shd w:val="clear" w:color="auto" w:fill="1F3A5F"/>
          </w:tcPr>
          <w:p>
            <w:pPr>
              <w:pStyle w:val="Compact"/>
              <w:spacing w:after="40"/>
              <w:jc w:val="left"/>
            </w:pPr>
            <w:r>
              <w:rPr>
                <w:b/>
                <w:color w:val="FFFFFF"/>
                <w:sz w:val="18"/>
              </w:rPr>
              <w:t xml:space="preserve">Setting</w:t>
            </w:r>
          </w:p>
        </w:tc>
        <w:tc>
          <w:tcPr>
            <w:tcW w:w="2623" w:type="dxa"/>
            <w:shd w:val="clear" w:color="auto" w:fill="1F3A5F"/>
          </w:tcPr>
          <w:p>
            <w:pPr>
              <w:pStyle w:val="Compact"/>
              <w:spacing w:after="40"/>
              <w:jc w:val="left"/>
            </w:pPr>
            <w:r>
              <w:rPr>
                <w:b/>
                <w:color w:val="FFFFFF"/>
                <w:sz w:val="18"/>
              </w:rPr>
              <w:t xml:space="preserve">Default</w:t>
            </w:r>
          </w:p>
        </w:tc>
        <w:tc>
          <w:tcPr>
            <w:tcW w:w="2025" w:type="dxa"/>
            <w:shd w:val="clear" w:color="auto" w:fill="1F3A5F"/>
          </w:tcPr>
          <w:p>
            <w:pPr>
              <w:pStyle w:val="Compact"/>
              <w:spacing w:after="40"/>
              <w:jc w:val="left"/>
            </w:pPr>
            <w:r>
              <w:rPr>
                <w:b/>
                <w:color w:val="FFFFFF"/>
                <w:sz w:val="18"/>
              </w:rPr>
              <w:t xml:space="preserve">Level</w:t>
            </w:r>
          </w:p>
        </w:tc>
        <w:tc>
          <w:tcPr>
            <w:tcW w:w="2523" w:type="dxa"/>
            <w:shd w:val="clear" w:color="auto" w:fill="1F3A5F"/>
          </w:tcPr>
          <w:p>
            <w:pPr>
              <w:pStyle w:val="Compact"/>
              <w:spacing w:after="40"/>
              <w:jc w:val="left"/>
            </w:pPr>
            <w:r>
              <w:rPr>
                <w:b/>
                <w:color w:val="FFFFFF"/>
                <w:sz w:val="18"/>
              </w:rPr>
              <w:t xml:space="preserve">Floor or choice</w:t>
            </w:r>
          </w:p>
        </w:tc>
      </w:tr>
      <w:tr>
        <w:tc>
          <w:tcPr>
            <w:tcW w:w="2467" w:type="dxa"/>
          </w:tcPr>
          <w:p>
            <w:pPr>
              <w:pStyle w:val="Compact"/>
              <w:spacing w:after="40"/>
              <w:jc w:val="left"/>
            </w:pPr>
            <w:r>
              <w:rPr>
                <w:sz w:val="18"/>
              </w:rPr>
              <w:t xml:space="preserve">Compliance mode</w:t>
            </w:r>
          </w:p>
        </w:tc>
        <w:tc>
          <w:tcPr>
            <w:tcW w:w="2623" w:type="dxa"/>
          </w:tcPr>
          <w:p>
            <w:pPr>
              <w:pStyle w:val="Compact"/>
              <w:spacing w:after="40"/>
              <w:jc w:val="left"/>
            </w:pPr>
            <w:r>
              <w:rPr>
                <w:sz w:val="18"/>
              </w:rPr>
              <w:t xml:space="preserve">EMBEDDED</w:t>
            </w:r>
          </w:p>
        </w:tc>
        <w:tc>
          <w:tcPr>
            <w:tcW w:w="2025" w:type="dxa"/>
          </w:tcPr>
          <w:p>
            <w:pPr>
              <w:pStyle w:val="Compact"/>
              <w:spacing w:after="40"/>
              <w:jc w:val="left"/>
            </w:pPr>
            <w:r>
              <w:rPr>
                <w:sz w:val="18"/>
              </w:rPr>
              <w:t xml:space="preserve">Tenant or group (maker-checker)</w:t>
            </w:r>
          </w:p>
        </w:tc>
        <w:tc>
          <w:tcPr>
            <w:tcW w:w="2523" w:type="dxa"/>
          </w:tcPr>
          <w:p>
            <w:pPr>
              <w:pStyle w:val="Compact"/>
              <w:spacing w:after="40"/>
              <w:jc w:val="left"/>
            </w:pPr>
            <w:r>
              <w:rPr>
                <w:sz w:val="18"/>
              </w:rPr>
              <w:t xml:space="preserve">Choice; switching follows the 9.1 migration rule</w:t>
            </w:r>
          </w:p>
        </w:tc>
      </w:tr>
      <w:tr>
        <w:tc>
          <w:tcPr>
            <w:tcW w:w="2467" w:type="dxa"/>
          </w:tcPr>
          <w:p>
            <w:pPr>
              <w:pStyle w:val="Compact"/>
              <w:spacing w:after="40"/>
              <w:jc w:val="left"/>
            </w:pPr>
            <w:r>
              <w:rPr>
                <w:sz w:val="18"/>
              </w:rPr>
              <w:t xml:space="preserve">Risk taxonomy levels 2–3</w:t>
            </w:r>
          </w:p>
        </w:tc>
        <w:tc>
          <w:tcPr>
            <w:tcW w:w="2623" w:type="dxa"/>
          </w:tcPr>
          <w:p>
            <w:pPr>
              <w:pStyle w:val="Compact"/>
              <w:spacing w:after="40"/>
              <w:jc w:val="left"/>
            </w:pPr>
            <w:r>
              <w:rPr>
                <w:sz w:val="18"/>
              </w:rPr>
              <w:t xml:space="preserve">Seed taxonomy</w:t>
            </w:r>
          </w:p>
        </w:tc>
        <w:tc>
          <w:tcPr>
            <w:tcW w:w="2025" w:type="dxa"/>
          </w:tcPr>
          <w:p>
            <w:pPr>
              <w:pStyle w:val="Compact"/>
              <w:spacing w:after="40"/>
              <w:jc w:val="left"/>
            </w:pPr>
            <w:r>
              <w:rPr>
                <w:sz w:val="18"/>
              </w:rPr>
              <w:t xml:space="preserve">Tenant</w:t>
            </w:r>
          </w:p>
        </w:tc>
        <w:tc>
          <w:tcPr>
            <w:tcW w:w="2523" w:type="dxa"/>
          </w:tcPr>
          <w:p>
            <w:pPr>
              <w:pStyle w:val="Compact"/>
              <w:spacing w:after="40"/>
              <w:jc w:val="left"/>
            </w:pPr>
            <w:r>
              <w:rPr>
                <w:sz w:val="18"/>
              </w:rPr>
              <w:t xml:space="preserve">Choice; level 1 locked</w:t>
            </w:r>
          </w:p>
        </w:tc>
      </w:tr>
      <w:tr>
        <w:tc>
          <w:tcPr>
            <w:tcW w:w="2467" w:type="dxa"/>
          </w:tcPr>
          <w:p>
            <w:pPr>
              <w:pStyle w:val="Compact"/>
              <w:spacing w:after="40"/>
              <w:jc w:val="left"/>
            </w:pPr>
            <w:r>
              <w:rPr>
                <w:sz w:val="18"/>
              </w:rPr>
              <w:t xml:space="preserve">Rating scales (likelihood, impact)</w:t>
            </w:r>
          </w:p>
        </w:tc>
        <w:tc>
          <w:tcPr>
            <w:tcW w:w="2623" w:type="dxa"/>
          </w:tcPr>
          <w:p>
            <w:pPr>
              <w:pStyle w:val="Compact"/>
              <w:spacing w:after="40"/>
              <w:jc w:val="left"/>
            </w:pPr>
            <w:r>
              <w:rPr>
                <w:sz w:val="18"/>
              </w:rPr>
              <w:t xml:space="preserve">5 × 5</w:t>
            </w:r>
          </w:p>
        </w:tc>
        <w:tc>
          <w:tcPr>
            <w:tcW w:w="2025" w:type="dxa"/>
          </w:tcPr>
          <w:p>
            <w:pPr>
              <w:pStyle w:val="Compact"/>
              <w:spacing w:after="40"/>
              <w:jc w:val="left"/>
            </w:pPr>
            <w:r>
              <w:rPr>
                <w:sz w:val="18"/>
              </w:rPr>
              <w:t xml:space="preserve">Tenant</w:t>
            </w:r>
          </w:p>
        </w:tc>
        <w:tc>
          <w:tcPr>
            <w:tcW w:w="2523" w:type="dxa"/>
          </w:tcPr>
          <w:p>
            <w:pPr>
              <w:pStyle w:val="Compact"/>
              <w:spacing w:after="40"/>
              <w:jc w:val="left"/>
            </w:pPr>
            <w:r>
              <w:rPr>
                <w:sz w:val="18"/>
              </w:rPr>
              <w:t xml:space="preserve">Choice</w:t>
            </w:r>
          </w:p>
        </w:tc>
      </w:tr>
      <w:tr>
        <w:tc>
          <w:tcPr>
            <w:tcW w:w="2467" w:type="dxa"/>
          </w:tcPr>
          <w:p>
            <w:pPr>
              <w:pStyle w:val="Compact"/>
              <w:spacing w:after="40"/>
              <w:jc w:val="left"/>
            </w:pPr>
            <w:r>
              <w:rPr>
                <w:sz w:val="18"/>
              </w:rPr>
              <w:t xml:space="preserve">RCSA cadence</w:t>
            </w:r>
          </w:p>
        </w:tc>
        <w:tc>
          <w:tcPr>
            <w:tcW w:w="2623" w:type="dxa"/>
          </w:tcPr>
          <w:p>
            <w:pPr>
              <w:pStyle w:val="Compact"/>
              <w:spacing w:after="40"/>
              <w:jc w:val="left"/>
            </w:pPr>
            <w:r>
              <w:rPr>
                <w:sz w:val="18"/>
              </w:rPr>
              <w:t xml:space="preserve">Annual; semi-annual for high residual risks</w:t>
            </w:r>
          </w:p>
        </w:tc>
        <w:tc>
          <w:tcPr>
            <w:tcW w:w="2025" w:type="dxa"/>
          </w:tcPr>
          <w:p>
            <w:pPr>
              <w:pStyle w:val="Compact"/>
              <w:spacing w:after="40"/>
              <w:jc w:val="left"/>
            </w:pPr>
            <w:r>
              <w:rPr>
                <w:sz w:val="18"/>
              </w:rPr>
              <w:t xml:space="preserve">Tenant</w:t>
            </w:r>
          </w:p>
        </w:tc>
        <w:tc>
          <w:tcPr>
            <w:tcW w:w="2523" w:type="dxa"/>
          </w:tcPr>
          <w:p>
            <w:pPr>
              <w:pStyle w:val="Compact"/>
              <w:spacing w:after="40"/>
              <w:jc w:val="left"/>
            </w:pPr>
            <w:r>
              <w:rPr>
                <w:sz w:val="18"/>
              </w:rPr>
              <w:t xml:space="preserve">Choice</w:t>
            </w:r>
          </w:p>
        </w:tc>
      </w:tr>
      <w:tr>
        <w:tc>
          <w:tcPr>
            <w:tcW w:w="2467" w:type="dxa"/>
          </w:tcPr>
          <w:p>
            <w:pPr>
              <w:pStyle w:val="Compact"/>
              <w:spacing w:after="40"/>
              <w:jc w:val="left"/>
            </w:pPr>
            <w:r>
              <w:rPr>
                <w:sz w:val="18"/>
              </w:rPr>
              <w:t xml:space="preserve">KRI cure rule</w:t>
            </w:r>
          </w:p>
        </w:tc>
        <w:tc>
          <w:tcPr>
            <w:tcW w:w="2623" w:type="dxa"/>
          </w:tcPr>
          <w:p>
            <w:pPr>
              <w:pStyle w:val="Compact"/>
              <w:spacing w:after="40"/>
              <w:jc w:val="left"/>
            </w:pPr>
            <w:r>
              <w:rPr>
                <w:sz w:val="18"/>
              </w:rPr>
              <w:t xml:space="preserve">1 consecutive non-red observation (3 for daily KRIs)</w:t>
            </w:r>
          </w:p>
        </w:tc>
        <w:tc>
          <w:tcPr>
            <w:tcW w:w="2025" w:type="dxa"/>
          </w:tcPr>
          <w:p>
            <w:pPr>
              <w:pStyle w:val="Compact"/>
              <w:spacing w:after="40"/>
              <w:jc w:val="left"/>
            </w:pPr>
            <w:r>
              <w:rPr>
                <w:sz w:val="18"/>
              </w:rPr>
              <w:t xml:space="preserve">KRI</w:t>
            </w:r>
          </w:p>
        </w:tc>
        <w:tc>
          <w:tcPr>
            <w:tcW w:w="2523" w:type="dxa"/>
          </w:tcPr>
          <w:p>
            <w:pPr>
              <w:pStyle w:val="Compact"/>
              <w:spacing w:after="40"/>
              <w:jc w:val="left"/>
            </w:pPr>
            <w:r>
              <w:rPr>
                <w:sz w:val="18"/>
              </w:rPr>
              <w:t xml:space="preserve">Choice</w:t>
            </w:r>
          </w:p>
        </w:tc>
      </w:tr>
      <w:tr>
        <w:tc>
          <w:tcPr>
            <w:tcW w:w="2467" w:type="dxa"/>
          </w:tcPr>
          <w:p>
            <w:pPr>
              <w:pStyle w:val="Compact"/>
              <w:spacing w:after="40"/>
              <w:jc w:val="left"/>
            </w:pPr>
            <w:r>
              <w:rPr>
                <w:sz w:val="18"/>
              </w:rPr>
              <w:t xml:space="preserve">KRI action-plan and CRO-review SLAs</w:t>
            </w:r>
          </w:p>
        </w:tc>
        <w:tc>
          <w:tcPr>
            <w:tcW w:w="2623" w:type="dxa"/>
          </w:tcPr>
          <w:p>
            <w:pPr>
              <w:pStyle w:val="Compact"/>
              <w:spacing w:after="40"/>
              <w:jc w:val="left"/>
            </w:pPr>
            <w:r>
              <w:rPr>
                <w:sz w:val="18"/>
              </w:rPr>
              <w:t xml:space="preserve">5 and 5 working days</w:t>
            </w:r>
          </w:p>
        </w:tc>
        <w:tc>
          <w:tcPr>
            <w:tcW w:w="2025" w:type="dxa"/>
          </w:tcPr>
          <w:p>
            <w:pPr>
              <w:pStyle w:val="Compact"/>
              <w:spacing w:after="40"/>
              <w:jc w:val="left"/>
            </w:pPr>
            <w:r>
              <w:rPr>
                <w:sz w:val="18"/>
              </w:rPr>
              <w:t xml:space="preserve">Tenant</w:t>
            </w:r>
          </w:p>
        </w:tc>
        <w:tc>
          <w:tcPr>
            <w:tcW w:w="2523" w:type="dxa"/>
          </w:tcPr>
          <w:p>
            <w:pPr>
              <w:pStyle w:val="Compact"/>
              <w:spacing w:after="40"/>
              <w:jc w:val="left"/>
            </w:pPr>
            <w:r>
              <w:rPr>
                <w:sz w:val="18"/>
              </w:rPr>
              <w:t xml:space="preserve">Choice</w:t>
            </w:r>
          </w:p>
        </w:tc>
      </w:tr>
      <w:tr>
        <w:tc>
          <w:tcPr>
            <w:tcW w:w="2467" w:type="dxa"/>
          </w:tcPr>
          <w:p>
            <w:pPr>
              <w:pStyle w:val="Compact"/>
              <w:spacing w:after="40"/>
              <w:jc w:val="left"/>
            </w:pPr>
            <w:r>
              <w:rPr>
                <w:sz w:val="18"/>
              </w:rPr>
              <w:t xml:space="preserve">Loss-event capture SLA and reporting threshold</w:t>
            </w:r>
          </w:p>
        </w:tc>
        <w:tc>
          <w:tcPr>
            <w:tcW w:w="2623" w:type="dxa"/>
          </w:tcPr>
          <w:p>
            <w:pPr>
              <w:pStyle w:val="Compact"/>
              <w:spacing w:after="40"/>
              <w:jc w:val="left"/>
            </w:pPr>
            <w:r>
              <w:rPr>
                <w:sz w:val="18"/>
              </w:rPr>
              <w:t xml:space="preserve">5 working days; all events, near misses included</w:t>
            </w:r>
          </w:p>
        </w:tc>
        <w:tc>
          <w:tcPr>
            <w:tcW w:w="2025" w:type="dxa"/>
          </w:tcPr>
          <w:p>
            <w:pPr>
              <w:pStyle w:val="Compact"/>
              <w:spacing w:after="40"/>
              <w:jc w:val="left"/>
            </w:pPr>
            <w:r>
              <w:rPr>
                <w:sz w:val="18"/>
              </w:rPr>
              <w:t xml:space="preserve">Tenant</w:t>
            </w:r>
          </w:p>
        </w:tc>
        <w:tc>
          <w:tcPr>
            <w:tcW w:w="2523" w:type="dxa"/>
          </w:tcPr>
          <w:p>
            <w:pPr>
              <w:pStyle w:val="Compact"/>
              <w:spacing w:after="40"/>
              <w:jc w:val="left"/>
            </w:pPr>
            <w:r>
              <w:rPr>
                <w:sz w:val="18"/>
              </w:rPr>
              <w:t xml:space="preserve">Choice</w:t>
            </w:r>
          </w:p>
        </w:tc>
      </w:tr>
      <w:tr>
        <w:tc>
          <w:tcPr>
            <w:tcW w:w="2467" w:type="dxa"/>
          </w:tcPr>
          <w:p>
            <w:pPr>
              <w:pStyle w:val="Compact"/>
              <w:spacing w:after="40"/>
              <w:jc w:val="left"/>
            </w:pPr>
            <w:r>
              <w:rPr>
                <w:sz w:val="18"/>
              </w:rPr>
              <w:t xml:space="preserve">Feed pseudonym key rotation</w:t>
            </w:r>
          </w:p>
        </w:tc>
        <w:tc>
          <w:tcPr>
            <w:tcW w:w="2623" w:type="dxa"/>
          </w:tcPr>
          <w:p>
            <w:pPr>
              <w:pStyle w:val="Compact"/>
              <w:spacing w:after="40"/>
              <w:jc w:val="left"/>
            </w:pPr>
            <w:r>
              <w:rPr>
                <w:sz w:val="18"/>
              </w:rPr>
              <w:t xml:space="preserve">Annual</w:t>
            </w:r>
          </w:p>
        </w:tc>
        <w:tc>
          <w:tcPr>
            <w:tcW w:w="2025" w:type="dxa"/>
          </w:tcPr>
          <w:p>
            <w:pPr>
              <w:pStyle w:val="Compact"/>
              <w:spacing w:after="40"/>
              <w:jc w:val="left"/>
            </w:pPr>
            <w:r>
              <w:rPr>
                <w:sz w:val="18"/>
              </w:rPr>
              <w:t xml:space="preserve">Tenant</w:t>
            </w:r>
          </w:p>
        </w:tc>
        <w:tc>
          <w:tcPr>
            <w:tcW w:w="2523" w:type="dxa"/>
          </w:tcPr>
          <w:p>
            <w:pPr>
              <w:pStyle w:val="Compact"/>
              <w:spacing w:after="40"/>
              <w:jc w:val="left"/>
            </w:pPr>
            <w:r>
              <w:rPr>
                <w:sz w:val="18"/>
              </w:rPr>
              <w:t xml:space="preserve">Floor: at least annual</w:t>
            </w:r>
          </w:p>
        </w:tc>
      </w:tr>
      <w:tr>
        <w:tc>
          <w:tcPr>
            <w:tcW w:w="2467" w:type="dxa"/>
          </w:tcPr>
          <w:p>
            <w:pPr>
              <w:pStyle w:val="Compact"/>
              <w:spacing w:after="40"/>
              <w:jc w:val="left"/>
            </w:pPr>
            <w:r>
              <w:rPr>
                <w:sz w:val="18"/>
              </w:rPr>
              <w:t xml:space="preserve">Individual-borrower amount bands</w:t>
            </w:r>
          </w:p>
        </w:tc>
        <w:tc>
          <w:tcPr>
            <w:tcW w:w="2623" w:type="dxa"/>
          </w:tcPr>
          <w:p>
            <w:pPr>
              <w:pStyle w:val="Compact"/>
              <w:spacing w:after="40"/>
              <w:jc w:val="left"/>
            </w:pPr>
            <w:r>
              <w:rPr>
                <w:sz w:val="18"/>
              </w:rPr>
              <w:t xml:space="preserve">₹0–1 lakh, 1–10 lakh, 10 lakh–1 crore, above 1 crore</w:t>
            </w:r>
          </w:p>
        </w:tc>
        <w:tc>
          <w:tcPr>
            <w:tcW w:w="2025" w:type="dxa"/>
          </w:tcPr>
          <w:p>
            <w:pPr>
              <w:pStyle w:val="Compact"/>
              <w:spacing w:after="40"/>
              <w:jc w:val="left"/>
            </w:pPr>
            <w:r>
              <w:rPr>
                <w:sz w:val="18"/>
              </w:rPr>
              <w:t xml:space="preserve">Tenant</w:t>
            </w:r>
          </w:p>
        </w:tc>
        <w:tc>
          <w:tcPr>
            <w:tcW w:w="2523" w:type="dxa"/>
          </w:tcPr>
          <w:p>
            <w:pPr>
              <w:pStyle w:val="Compact"/>
              <w:spacing w:after="40"/>
              <w:jc w:val="left"/>
            </w:pPr>
            <w:r>
              <w:rPr>
                <w:sz w:val="18"/>
              </w:rPr>
              <w:t xml:space="preserve">Banding is a floor; band edges are a choice</w:t>
            </w:r>
          </w:p>
        </w:tc>
      </w:tr>
    </w:tbl>
    <w:bookmarkEnd w:id="411"/>
    <w:bookmarkStart w:id="412" w:name="menu-and-screens-8"/>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14"/>
        <w:gridCol w:w="3134"/>
        <w:gridCol w:w="3186"/>
        <w:gridCol w:w="2104"/>
      </w:tblGrid>
      <w:tr>
        <w:trPr>
          <w:tblHeader w:val="true"/>
          <w:tblHeader w:val="true"/>
        </w:trPr>
        <w:tc>
          <w:tcPr>
            <w:tcW w:w="1214" w:type="dxa"/>
            <w:shd w:val="clear" w:color="auto" w:fill="1F3A5F"/>
          </w:tcPr>
          <w:p>
            <w:pPr>
              <w:pStyle w:val="Compact"/>
              <w:spacing w:after="40"/>
              <w:jc w:val="left"/>
            </w:pPr>
            <w:r>
              <w:rPr>
                <w:b/>
                <w:color w:val="FFFFFF"/>
                <w:sz w:val="18"/>
              </w:rPr>
              <w:t xml:space="preserve">Path (workspace J)</w:t>
            </w:r>
          </w:p>
        </w:tc>
        <w:tc>
          <w:tcPr>
            <w:tcW w:w="3134" w:type="dxa"/>
            <w:shd w:val="clear" w:color="auto" w:fill="1F3A5F"/>
          </w:tcPr>
          <w:p>
            <w:pPr>
              <w:pStyle w:val="Compact"/>
              <w:spacing w:after="40"/>
              <w:jc w:val="left"/>
            </w:pPr>
            <w:r>
              <w:rPr>
                <w:b/>
                <w:color w:val="FFFFFF"/>
                <w:sz w:val="18"/>
              </w:rPr>
              <w:t xml:space="preserve">Screens</w:t>
            </w:r>
          </w:p>
        </w:tc>
        <w:tc>
          <w:tcPr>
            <w:tcW w:w="3186" w:type="dxa"/>
            <w:shd w:val="clear" w:color="auto" w:fill="1F3A5F"/>
          </w:tcPr>
          <w:p>
            <w:pPr>
              <w:pStyle w:val="Compact"/>
              <w:spacing w:after="40"/>
              <w:jc w:val="left"/>
            </w:pPr>
            <w:r>
              <w:rPr>
                <w:b/>
                <w:color w:val="FFFFFF"/>
                <w:sz w:val="18"/>
              </w:rPr>
              <w:t xml:space="preserve">Key actions and rules</w:t>
            </w:r>
          </w:p>
        </w:tc>
        <w:tc>
          <w:tcPr>
            <w:tcW w:w="2104" w:type="dxa"/>
            <w:shd w:val="clear" w:color="auto" w:fill="1F3A5F"/>
          </w:tcPr>
          <w:p>
            <w:pPr>
              <w:pStyle w:val="Compact"/>
              <w:spacing w:after="40"/>
              <w:jc w:val="left"/>
            </w:pPr>
            <w:r>
              <w:rPr>
                <w:b/>
                <w:color w:val="FFFFFF"/>
                <w:sz w:val="18"/>
              </w:rPr>
              <w:t xml:space="preserve">Visible to</w:t>
            </w:r>
          </w:p>
        </w:tc>
      </w:tr>
      <w:tr>
        <w:tc>
          <w:tcPr>
            <w:tcW w:w="1214" w:type="dxa"/>
          </w:tcPr>
          <w:p>
            <w:pPr>
              <w:pStyle w:val="Compact"/>
              <w:spacing w:after="40"/>
              <w:jc w:val="left"/>
            </w:pPr>
            <w:r>
              <w:rPr>
                <w:rStyle w:val="VerbatimChar"/>
                <w:sz w:val="18"/>
              </w:rPr>
              <w:t xml:space="preserve">Risk › Register</w:t>
            </w:r>
          </w:p>
        </w:tc>
        <w:tc>
          <w:tcPr>
            <w:tcW w:w="3134" w:type="dxa"/>
          </w:tcPr>
          <w:p>
            <w:pPr>
              <w:pStyle w:val="Compact"/>
              <w:spacing w:after="40"/>
              <w:jc w:val="left"/>
            </w:pPr>
            <w:r>
              <w:rPr>
                <w:sz w:val="18"/>
              </w:rPr>
              <w:t xml:space="preserve">Risk list (filters: taxonomy, owner, residual rating, trend); risk detail with controls, KRIs, losses, findings, actions</w:t>
            </w:r>
          </w:p>
        </w:tc>
        <w:tc>
          <w:tcPr>
            <w:tcW w:w="3186" w:type="dxa"/>
          </w:tcPr>
          <w:p>
            <w:pPr>
              <w:pStyle w:val="Compact"/>
              <w:spacing w:after="40"/>
              <w:jc w:val="left"/>
            </w:pPr>
            <w:r>
              <w:rPr>
                <w:sz w:val="18"/>
              </w:rPr>
              <w:t xml:space="preserve">Add or edit (blocked in LDC modes with</w:t>
            </w:r>
            <w:r>
              <w:rPr>
                <w:sz w:val="18"/>
              </w:rPr>
              <w:t xml:space="preserve"> </w:t>
            </w:r>
            <w:r>
              <w:rPr>
                <w:sz w:val="18"/>
              </w:rPr>
              <w:t xml:space="preserve">“</w:t>
            </w:r>
            <w:r>
              <w:rPr>
                <w:sz w:val="18"/>
              </w:rPr>
              <w:t xml:space="preserve">system of record: LawDocsComply</w:t>
            </w:r>
            <w:r>
              <w:rPr>
                <w:sz w:val="18"/>
              </w:rPr>
              <w:t xml:space="preserve">”</w:t>
            </w:r>
            <w:r>
              <w:rPr>
                <w:sz w:val="18"/>
              </w:rPr>
              <w:t xml:space="preserve">); link control test; export</w:t>
            </w:r>
          </w:p>
        </w:tc>
        <w:tc>
          <w:tcPr>
            <w:tcW w:w="2104" w:type="dxa"/>
          </w:tcPr>
          <w:p>
            <w:pPr>
              <w:pStyle w:val="Compact"/>
              <w:spacing w:after="40"/>
              <w:jc w:val="left"/>
            </w:pPr>
            <w:r>
              <w:rPr>
                <w:sz w:val="18"/>
              </w:rPr>
              <w:t xml:space="preserve">CRO office (edit), risk owners (their risks)</w:t>
            </w:r>
          </w:p>
        </w:tc>
      </w:tr>
      <w:tr>
        <w:tc>
          <w:tcPr>
            <w:tcW w:w="1214" w:type="dxa"/>
          </w:tcPr>
          <w:p>
            <w:pPr>
              <w:pStyle w:val="Compact"/>
              <w:spacing w:after="40"/>
              <w:jc w:val="left"/>
            </w:pPr>
            <w:r>
              <w:rPr>
                <w:rStyle w:val="VerbatimChar"/>
                <w:sz w:val="18"/>
              </w:rPr>
              <w:t xml:space="preserve">Risk › RCSA</w:t>
            </w:r>
          </w:p>
        </w:tc>
        <w:tc>
          <w:tcPr>
            <w:tcW w:w="3134" w:type="dxa"/>
          </w:tcPr>
          <w:p>
            <w:pPr>
              <w:pStyle w:val="Compact"/>
              <w:spacing w:after="40"/>
              <w:jc w:val="left"/>
            </w:pPr>
            <w:r>
              <w:rPr>
                <w:sz w:val="18"/>
              </w:rPr>
              <w:t xml:space="preserve">Campaigns; unit questionnaire; challenge queue</w:t>
            </w:r>
          </w:p>
        </w:tc>
        <w:tc>
          <w:tcPr>
            <w:tcW w:w="3186" w:type="dxa"/>
          </w:tcPr>
          <w:p>
            <w:pPr>
              <w:pStyle w:val="Compact"/>
              <w:spacing w:after="40"/>
              <w:jc w:val="left"/>
            </w:pPr>
            <w:r>
              <w:rPr>
                <w:sz w:val="18"/>
              </w:rPr>
              <w:t xml:space="preserve">Launch campaign; respond; challenge; finalise ratings</w:t>
            </w:r>
          </w:p>
        </w:tc>
        <w:tc>
          <w:tcPr>
            <w:tcW w:w="2104" w:type="dxa"/>
          </w:tcPr>
          <w:p>
            <w:pPr>
              <w:pStyle w:val="Compact"/>
              <w:spacing w:after="40"/>
              <w:jc w:val="left"/>
            </w:pPr>
            <w:r>
              <w:rPr>
                <w:sz w:val="18"/>
              </w:rPr>
              <w:t xml:space="preserve">CRO office, unit heads</w:t>
            </w:r>
          </w:p>
        </w:tc>
      </w:tr>
      <w:tr>
        <w:tc>
          <w:tcPr>
            <w:tcW w:w="1214" w:type="dxa"/>
          </w:tcPr>
          <w:p>
            <w:pPr>
              <w:pStyle w:val="Compact"/>
              <w:spacing w:after="40"/>
              <w:jc w:val="left"/>
            </w:pPr>
            <w:r>
              <w:rPr>
                <w:rStyle w:val="VerbatimChar"/>
                <w:sz w:val="18"/>
              </w:rPr>
              <w:t xml:space="preserve">Risk › KRIs</w:t>
            </w:r>
          </w:p>
        </w:tc>
        <w:tc>
          <w:tcPr>
            <w:tcW w:w="3134" w:type="dxa"/>
          </w:tcPr>
          <w:p>
            <w:pPr>
              <w:pStyle w:val="Compact"/>
              <w:spacing w:after="40"/>
              <w:jc w:val="left"/>
            </w:pPr>
            <w:r>
              <w:rPr>
                <w:sz w:val="18"/>
              </w:rPr>
              <w:t xml:space="preserve">KRI library; KRI heatmap; breach episodes (saved views: Open, Awaiting plan, Awaiting CRO review, Accepted)</w:t>
            </w:r>
          </w:p>
        </w:tc>
        <w:tc>
          <w:tcPr>
            <w:tcW w:w="3186" w:type="dxa"/>
          </w:tcPr>
          <w:p>
            <w:pPr>
              <w:pStyle w:val="Compact"/>
              <w:spacing w:after="40"/>
              <w:jc w:val="left"/>
            </w:pPr>
            <w:r>
              <w:rPr>
                <w:sz w:val="18"/>
              </w:rPr>
              <w:t xml:space="preserve">Define KRI on a governed metric; set thresholds (new version); submit plan; CRO accept or send back; bulk acknowledge alerts</w:t>
            </w:r>
          </w:p>
        </w:tc>
        <w:tc>
          <w:tcPr>
            <w:tcW w:w="2104" w:type="dxa"/>
          </w:tcPr>
          <w:p>
            <w:pPr>
              <w:pStyle w:val="Compact"/>
              <w:spacing w:after="40"/>
              <w:jc w:val="left"/>
            </w:pPr>
            <w:r>
              <w:rPr>
                <w:sz w:val="18"/>
              </w:rPr>
              <w:t xml:space="preserve">KRI owners, CRO, RMC members (read)</w:t>
            </w:r>
          </w:p>
        </w:tc>
      </w:tr>
      <w:tr>
        <w:tc>
          <w:tcPr>
            <w:tcW w:w="1214" w:type="dxa"/>
          </w:tcPr>
          <w:p>
            <w:pPr>
              <w:pStyle w:val="Compact"/>
              <w:spacing w:after="40"/>
              <w:jc w:val="left"/>
            </w:pPr>
            <w:r>
              <w:rPr>
                <w:rStyle w:val="VerbatimChar"/>
                <w:sz w:val="18"/>
              </w:rPr>
              <w:t xml:space="preserve">Risk › Loss events</w:t>
            </w:r>
          </w:p>
        </w:tc>
        <w:tc>
          <w:tcPr>
            <w:tcW w:w="3134" w:type="dxa"/>
          </w:tcPr>
          <w:p>
            <w:pPr>
              <w:pStyle w:val="Compact"/>
              <w:spacing w:after="40"/>
              <w:jc w:val="left"/>
            </w:pPr>
            <w:r>
              <w:rPr>
                <w:sz w:val="18"/>
              </w:rPr>
              <w:t xml:space="preserve">Event list; capture wizard (three dates mandatory with inline validation); GL reconciliation</w:t>
            </w:r>
          </w:p>
        </w:tc>
        <w:tc>
          <w:tcPr>
            <w:tcW w:w="3186" w:type="dxa"/>
          </w:tcPr>
          <w:p>
            <w:pPr>
              <w:pStyle w:val="Compact"/>
              <w:spacing w:after="40"/>
              <w:jc w:val="left"/>
            </w:pPr>
            <w:r>
              <w:rPr>
                <w:sz w:val="18"/>
              </w:rPr>
              <w:t xml:space="preserve">Record, approve, add recovery version, reconcile</w:t>
            </w:r>
          </w:p>
        </w:tc>
        <w:tc>
          <w:tcPr>
            <w:tcW w:w="2104" w:type="dxa"/>
          </w:tcPr>
          <w:p>
            <w:pPr>
              <w:pStyle w:val="Compact"/>
              <w:spacing w:after="40"/>
              <w:jc w:val="left"/>
            </w:pPr>
            <w:r>
              <w:rPr>
                <w:sz w:val="18"/>
              </w:rPr>
              <w:t xml:space="preserve">Any staff can report (minimal form); ORM team approves</w:t>
            </w:r>
          </w:p>
        </w:tc>
      </w:tr>
      <w:tr>
        <w:tc>
          <w:tcPr>
            <w:tcW w:w="1214" w:type="dxa"/>
          </w:tcPr>
          <w:p>
            <w:pPr>
              <w:pStyle w:val="Compact"/>
              <w:spacing w:after="40"/>
              <w:jc w:val="left"/>
            </w:pPr>
            <w:r>
              <w:rPr>
                <w:rStyle w:val="VerbatimChar"/>
                <w:sz w:val="18"/>
              </w:rPr>
              <w:t xml:space="preserve">Risk › Feed</w:t>
            </w:r>
          </w:p>
        </w:tc>
        <w:tc>
          <w:tcPr>
            <w:tcW w:w="3134" w:type="dxa"/>
          </w:tcPr>
          <w:p>
            <w:pPr>
              <w:pStyle w:val="Compact"/>
              <w:spacing w:after="40"/>
              <w:jc w:val="left"/>
            </w:pPr>
            <w:r>
              <w:rPr>
                <w:sz w:val="18"/>
              </w:rPr>
              <w:t xml:space="preserve">Feed health (sent, acknowledged, breaks, backlog); pseudonym epochs; inbound definitions</w:t>
            </w:r>
          </w:p>
        </w:tc>
        <w:tc>
          <w:tcPr>
            <w:tcW w:w="3186" w:type="dxa"/>
          </w:tcPr>
          <w:p>
            <w:pPr>
              <w:pStyle w:val="Compact"/>
              <w:spacing w:after="40"/>
              <w:jc w:val="left"/>
            </w:pPr>
            <w:r>
              <w:rPr>
                <w:sz w:val="18"/>
              </w:rPr>
              <w:t xml:space="preserve">Replay range; resolve break; review rejected inbound KRI</w:t>
            </w:r>
          </w:p>
        </w:tc>
        <w:tc>
          <w:tcPr>
            <w:tcW w:w="2104" w:type="dxa"/>
          </w:tcPr>
          <w:p>
            <w:pPr>
              <w:pStyle w:val="Compact"/>
              <w:spacing w:after="40"/>
              <w:jc w:val="left"/>
            </w:pPr>
            <w:r>
              <w:rPr>
                <w:sz w:val="18"/>
              </w:rPr>
              <w:t xml:space="preserve">CRO office, integration admin</w:t>
            </w:r>
          </w:p>
        </w:tc>
      </w:tr>
    </w:tbl>
    <w:bookmarkEnd w:id="412"/>
    <w:bookmarkStart w:id="413" w:name="acceptance-tests-27"/>
    <w:p>
      <w:pPr>
        <w:pStyle w:val="Heading3"/>
      </w:pPr>
      <w:r>
        <w:t xml:space="preserve">Acceptance tests</w:t>
      </w:r>
    </w:p>
    <w:p>
      <w:pPr>
        <w:numPr>
          <w:ilvl w:val="0"/>
          <w:numId w:val="1396"/>
        </w:numPr>
        <w:pStyle w:val="Compact"/>
      </w:pPr>
      <w:r>
        <w:t xml:space="preserve">In LDC_EXTERNAL mode, editing a risk-register entry in Finbyx is blocked with</w:t>
      </w:r>
      <w:r>
        <w:t xml:space="preserve"> </w:t>
      </w:r>
      <w:r>
        <w:t xml:space="preserve">“</w:t>
      </w:r>
      <w:r>
        <w:t xml:space="preserve">system of record: LawDocsComply</w:t>
      </w:r>
      <w:r>
        <w:t xml:space="preserve">”</w:t>
      </w:r>
      <w:r>
        <w:t xml:space="preserve">; ratios still compute in Finbyx.</w:t>
      </w:r>
    </w:p>
    <w:p>
      <w:pPr>
        <w:numPr>
          <w:ilvl w:val="0"/>
          <w:numId w:val="1396"/>
        </w:numPr>
        <w:pStyle w:val="Compact"/>
      </w:pPr>
      <w:r>
        <w:t xml:space="preserve">Every event in the feed has</w:t>
      </w:r>
      <w:r>
        <w:t xml:space="preserve"> </w:t>
      </w:r>
      <w:r>
        <w:rPr>
          <w:rStyle w:val="VerbatimChar"/>
        </w:rPr>
        <w:t xml:space="preserve">source</w:t>
      </w:r>
      <w:r>
        <w:t xml:space="preserve"> </w:t>
      </w:r>
      <w:r>
        <w:rPr>
          <w:rStyle w:val="VerbatimChar"/>
        </w:rPr>
        <w:t xml:space="preserve">urn:infrabyx:finbyx:[tenantid]</w:t>
      </w:r>
      <w:r>
        <w:t xml:space="preserve">, the legal entity in</w:t>
      </w:r>
      <w:r>
        <w:t xml:space="preserve"> </w:t>
      </w:r>
      <w:r>
        <w:rPr>
          <w:rStyle w:val="VerbatimChar"/>
        </w:rPr>
        <w:t xml:space="preserve">data.legal_entity_id</w:t>
      </w:r>
      <w:r>
        <w:t xml:space="preserve">, and extension names</w:t>
      </w:r>
      <w:r>
        <w:t xml:space="preserve"> </w:t>
      </w:r>
      <w:r>
        <w:rPr>
          <w:rStyle w:val="VerbatimChar"/>
        </w:rPr>
        <w:t xml:space="preserve">asof</w:t>
      </w:r>
      <w:r>
        <w:t xml:space="preserve">,</w:t>
      </w:r>
      <w:r>
        <w:t xml:space="preserve"> </w:t>
      </w:r>
      <w:r>
        <w:rPr>
          <w:rStyle w:val="VerbatimChar"/>
        </w:rPr>
        <w:t xml:space="preserve">metricversion</w:t>
      </w:r>
      <w:r>
        <w:t xml:space="preserve">,</w:t>
      </w:r>
      <w:r>
        <w:t xml:space="preserve"> </w:t>
      </w:r>
      <w:r>
        <w:rPr>
          <w:rStyle w:val="VerbatimChar"/>
        </w:rPr>
        <w:t xml:space="preserve">citation</w:t>
      </w:r>
      <w:r>
        <w:t xml:space="preserve">,</w:t>
      </w:r>
      <w:r>
        <w:t xml:space="preserve"> </w:t>
      </w:r>
      <w:r>
        <w:rPr>
          <w:rStyle w:val="VerbatimChar"/>
        </w:rPr>
        <w:t xml:space="preserve">contenthash</w:t>
      </w:r>
      <w:r>
        <w:t xml:space="preserve"> </w:t>
      </w:r>
      <w:r>
        <w:t xml:space="preserve">and</w:t>
      </w:r>
      <w:r>
        <w:t xml:space="preserve"> </w:t>
      </w:r>
      <w:r>
        <w:rPr>
          <w:rStyle w:val="VerbatimChar"/>
        </w:rPr>
        <w:t xml:space="preserve">prevhash</w:t>
      </w:r>
      <w:r>
        <w:t xml:space="preserve"> </w:t>
      </w:r>
      <w:r>
        <w:t xml:space="preserve">(no underscores); an event with an underscore in an extension name fails the schema test.</w:t>
      </w:r>
    </w:p>
    <w:p>
      <w:pPr>
        <w:numPr>
          <w:ilvl w:val="0"/>
          <w:numId w:val="1396"/>
        </w:numPr>
        <w:pStyle w:val="Compact"/>
      </w:pPr>
      <w:r>
        <w:t xml:space="preserve">A KRI breach with no action plan after 5 working days escalates to the CRO; a cure after one green observation emits a</w:t>
      </w:r>
      <w:r>
        <w:t xml:space="preserve"> </w:t>
      </w:r>
      <w:r>
        <w:rPr>
          <w:rStyle w:val="VerbatimChar"/>
        </w:rPr>
        <w:t xml:space="preserve">KriBreached</w:t>
      </w:r>
      <w:r>
        <w:t xml:space="preserve"> </w:t>
      </w:r>
      <w:r>
        <w:t xml:space="preserve">update with</w:t>
      </w:r>
      <w:r>
        <w:t xml:space="preserve"> </w:t>
      </w:r>
      <w:r>
        <w:rPr>
          <w:rStyle w:val="VerbatimChar"/>
        </w:rPr>
        <w:t xml:space="preserve">status</w:t>
      </w:r>
      <w:r>
        <w:t xml:space="preserve"> </w:t>
      </w:r>
      <w:r>
        <w:t xml:space="preserve">CURED and a higher</w:t>
      </w:r>
      <w:r>
        <w:t xml:space="preserve"> </w:t>
      </w:r>
      <w:r>
        <w:rPr>
          <w:rStyle w:val="VerbatimChar"/>
        </w:rPr>
        <w:t xml:space="preserve">update_seq</w:t>
      </w:r>
      <w:r>
        <w:t xml:space="preserve"> </w:t>
      </w:r>
      <w:r>
        <w:t xml:space="preserve">for the same episode.</w:t>
      </w:r>
    </w:p>
    <w:p>
      <w:pPr>
        <w:numPr>
          <w:ilvl w:val="0"/>
          <w:numId w:val="1396"/>
        </w:numPr>
        <w:pStyle w:val="Compact"/>
      </w:pPr>
      <w:r>
        <w:t xml:space="preserve">A loss event without all three dates cannot be approved; an approved event emits</w:t>
      </w:r>
      <w:r>
        <w:t xml:space="preserve"> </w:t>
      </w:r>
      <w:r>
        <w:rPr>
          <w:rStyle w:val="VerbatimChar"/>
        </w:rPr>
        <w:t xml:space="preserve">LossEventRecorded</w:t>
      </w:r>
      <w:r>
        <w:t xml:space="preserve"> </w:t>
      </w:r>
      <w:r>
        <w:t xml:space="preserve">whose payload contains no customer identifiers.</w:t>
      </w:r>
    </w:p>
    <w:p>
      <w:pPr>
        <w:numPr>
          <w:ilvl w:val="0"/>
          <w:numId w:val="1396"/>
        </w:numPr>
        <w:pStyle w:val="Compact"/>
      </w:pPr>
      <w:r>
        <w:t xml:space="preserve">A seeded LE breach emits</w:t>
      </w:r>
      <w:r>
        <w:t xml:space="preserve"> </w:t>
      </w:r>
      <w:r>
        <w:rPr>
          <w:rStyle w:val="VerbatimChar"/>
        </w:rPr>
        <w:t xml:space="preserve">LimitBreached</w:t>
      </w:r>
      <w:r>
        <w:t xml:space="preserve"> </w:t>
      </w:r>
      <w:r>
        <w:t xml:space="preserve">with an HMAC counterparty reference; LDC cannot resolve it; Finbyx resolves it for the CRO.</w:t>
      </w:r>
    </w:p>
    <w:p>
      <w:pPr>
        <w:numPr>
          <w:ilvl w:val="0"/>
          <w:numId w:val="1396"/>
        </w:numPr>
        <w:pStyle w:val="Compact"/>
      </w:pPr>
      <w:r>
        <w:t xml:space="preserve">Replaying the feed for a month reproduces identical</w:t>
      </w:r>
      <w:r>
        <w:t xml:space="preserve"> </w:t>
      </w:r>
      <w:r>
        <w:rPr>
          <w:rStyle w:val="VerbatimChar"/>
        </w:rPr>
        <w:t xml:space="preserve">contenthash</w:t>
      </w:r>
      <w:r>
        <w:t xml:space="preserve"> </w:t>
      </w:r>
      <w:r>
        <w:t xml:space="preserve">values and an unbroken</w:t>
      </w:r>
      <w:r>
        <w:t xml:space="preserve"> </w:t>
      </w:r>
      <w:r>
        <w:rPr>
          <w:rStyle w:val="VerbatimChar"/>
        </w:rPr>
        <w:t xml:space="preserve">prevhash</w:t>
      </w:r>
      <w:r>
        <w:t xml:space="preserve"> </w:t>
      </w:r>
      <w:r>
        <w:t xml:space="preserve">chain.</w:t>
      </w:r>
    </w:p>
    <w:p>
      <w:pPr>
        <w:numPr>
          <w:ilvl w:val="0"/>
          <w:numId w:val="1396"/>
        </w:numPr>
        <w:pStyle w:val="Compact"/>
      </w:pPr>
      <w:r>
        <w:t xml:space="preserve">An inbound KRI definition referencing an unknown metric is rejected and creates a task.</w:t>
      </w:r>
    </w:p>
    <w:p>
      <w:r>
        <w:pict>
          <v:rect style="width:0;height:1.5pt" o:hralign="center" o:hrstd="t" o:hr="t"/>
        </w:pict>
      </w:r>
    </w:p>
    <w:bookmarkEnd w:id="413"/>
    <w:bookmarkEnd w:id="414"/>
    <w:bookmarkStart w:id="424" w:name="rk3.-capital-adequacy-engine"/>
    <w:p>
      <w:pPr>
        <w:pStyle w:val="Heading2"/>
      </w:pPr>
      <w:r>
        <w:t xml:space="preserve">RK3. Capital adequacy engine</w:t>
      </w:r>
    </w:p>
    <w:bookmarkStart w:id="415" w:name="rk3.1-capital-profile-and-minimums"/>
    <w:p>
      <w:pPr>
        <w:pStyle w:val="Heading3"/>
      </w:pPr>
      <w:r>
        <w:t xml:space="preserve">RK3.1 Capital profile and minimums</w:t>
      </w:r>
    </w:p>
    <w:p>
      <w:pPr>
        <w:pStyle w:val="FirstParagraph"/>
      </w:pPr>
      <w:r>
        <w:t xml:space="preserve">The engine reads the capital profile from the entity regulatory profile and applies effective-dated minimum rules (extends M12 and 8A.24).</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682"/>
        <w:gridCol w:w="4396"/>
        <w:gridCol w:w="2560"/>
      </w:tblGrid>
      <w:tr>
        <w:trPr>
          <w:tblHeader w:val="true"/>
          <w:tblHeader w:val="true"/>
        </w:trPr>
        <w:tc>
          <w:tcPr>
            <w:tcW w:w="2682" w:type="dxa"/>
            <w:shd w:val="clear" w:color="auto" w:fill="1F3A5F"/>
          </w:tcPr>
          <w:p>
            <w:pPr>
              <w:pStyle w:val="Compact"/>
              <w:spacing w:after="40"/>
              <w:jc w:val="left"/>
            </w:pPr>
            <w:r>
              <w:rPr>
                <w:b/>
                <w:color w:val="FFFFFF"/>
                <w:sz w:val="18"/>
              </w:rPr>
              <w:t xml:space="preserve">Profile</w:t>
            </w:r>
          </w:p>
        </w:tc>
        <w:tc>
          <w:tcPr>
            <w:tcW w:w="4396" w:type="dxa"/>
            <w:shd w:val="clear" w:color="auto" w:fill="1F3A5F"/>
          </w:tcPr>
          <w:p>
            <w:pPr>
              <w:pStyle w:val="Compact"/>
              <w:spacing w:after="40"/>
              <w:jc w:val="left"/>
            </w:pPr>
            <w:r>
              <w:rPr>
                <w:b/>
                <w:color w:val="FFFFFF"/>
                <w:sz w:val="18"/>
              </w:rPr>
              <w:t xml:space="preserve">Minimums</w:t>
            </w:r>
          </w:p>
        </w:tc>
        <w:tc>
          <w:tcPr>
            <w:tcW w:w="2560" w:type="dxa"/>
            <w:shd w:val="clear" w:color="auto" w:fill="1F3A5F"/>
          </w:tcPr>
          <w:p>
            <w:pPr>
              <w:pStyle w:val="Compact"/>
              <w:spacing w:after="40"/>
              <w:jc w:val="left"/>
            </w:pPr>
            <w:r>
              <w:rPr>
                <w:b/>
                <w:color w:val="FFFFFF"/>
                <w:sz w:val="18"/>
              </w:rPr>
              <w:t xml:space="preserve">Source</w:t>
            </w:r>
          </w:p>
        </w:tc>
      </w:tr>
      <w:tr>
        <w:tc>
          <w:tcPr>
            <w:tcW w:w="2682" w:type="dxa"/>
          </w:tcPr>
          <w:p>
            <w:pPr>
              <w:pStyle w:val="Compact"/>
              <w:spacing w:after="40"/>
              <w:jc w:val="left"/>
            </w:pPr>
            <w:r>
              <w:rPr>
                <w:sz w:val="18"/>
              </w:rPr>
              <w:t xml:space="preserve">NBFC ML and above (non-gold-primary)</w:t>
            </w:r>
          </w:p>
        </w:tc>
        <w:tc>
          <w:tcPr>
            <w:tcW w:w="4396" w:type="dxa"/>
          </w:tcPr>
          <w:p>
            <w:pPr>
              <w:pStyle w:val="Compact"/>
              <w:spacing w:after="40"/>
              <w:jc w:val="left"/>
            </w:pPr>
            <w:r>
              <w:rPr>
                <w:sz w:val="18"/>
              </w:rPr>
              <w:t xml:space="preserve">CRAR ≥ 15%; Tier 1 ≥ 10%; Tier 2 ≤ 100% of Tier 1</w:t>
            </w:r>
          </w:p>
        </w:tc>
        <w:tc>
          <w:tcPr>
            <w:tcW w:w="2560" w:type="dxa"/>
          </w:tcPr>
          <w:p>
            <w:pPr>
              <w:pStyle w:val="Compact"/>
              <w:spacing w:after="40"/>
              <w:jc w:val="left"/>
            </w:pPr>
            <w:r>
              <w:rPr>
                <w:sz w:val="18"/>
              </w:rPr>
              <w:t xml:space="preserve">CAP 6(2)–(3)</w:t>
            </w:r>
          </w:p>
        </w:tc>
      </w:tr>
      <w:tr>
        <w:tc>
          <w:tcPr>
            <w:tcW w:w="2682" w:type="dxa"/>
          </w:tcPr>
          <w:p>
            <w:pPr>
              <w:pStyle w:val="Compact"/>
              <w:spacing w:after="40"/>
              <w:jc w:val="left"/>
            </w:pPr>
            <w:r>
              <w:rPr>
                <w:sz w:val="18"/>
              </w:rPr>
              <w:t xml:space="preserve">NBFC-UL</w:t>
            </w:r>
          </w:p>
        </w:tc>
        <w:tc>
          <w:tcPr>
            <w:tcW w:w="4396" w:type="dxa"/>
          </w:tcPr>
          <w:p>
            <w:pPr>
              <w:pStyle w:val="Compact"/>
              <w:spacing w:after="40"/>
              <w:jc w:val="left"/>
            </w:pPr>
            <w:r>
              <w:rPr>
                <w:sz w:val="18"/>
              </w:rPr>
              <w:t xml:space="preserve">Additionally CET1 ≥ 9%</w:t>
            </w:r>
          </w:p>
        </w:tc>
        <w:tc>
          <w:tcPr>
            <w:tcW w:w="2560" w:type="dxa"/>
          </w:tcPr>
          <w:p>
            <w:pPr>
              <w:pStyle w:val="Compact"/>
              <w:spacing w:after="40"/>
              <w:jc w:val="left"/>
            </w:pPr>
            <w:r>
              <w:rPr>
                <w:sz w:val="18"/>
              </w:rPr>
              <w:t xml:space="preserve">CAP 6(4)</w:t>
            </w:r>
          </w:p>
        </w:tc>
      </w:tr>
      <w:tr>
        <w:tc>
          <w:tcPr>
            <w:tcW w:w="2682" w:type="dxa"/>
          </w:tcPr>
          <w:p>
            <w:pPr>
              <w:pStyle w:val="Compact"/>
              <w:spacing w:after="40"/>
              <w:jc w:val="left"/>
            </w:pPr>
            <w:r>
              <w:rPr>
                <w:sz w:val="18"/>
              </w:rPr>
              <w:t xml:space="preserve">NBFC-TL</w:t>
            </w:r>
          </w:p>
        </w:tc>
        <w:tc>
          <w:tcPr>
            <w:tcW w:w="4396" w:type="dxa"/>
          </w:tcPr>
          <w:p>
            <w:pPr>
              <w:pStyle w:val="Compact"/>
              <w:spacing w:after="40"/>
              <w:jc w:val="left"/>
            </w:pPr>
            <w:r>
              <w:rPr>
                <w:sz w:val="18"/>
              </w:rPr>
              <w:t xml:space="preserve">Higher charge as communicated</w:t>
            </w:r>
          </w:p>
        </w:tc>
        <w:tc>
          <w:tcPr>
            <w:tcW w:w="2560" w:type="dxa"/>
          </w:tcPr>
          <w:p>
            <w:pPr>
              <w:pStyle w:val="Compact"/>
              <w:spacing w:after="40"/>
              <w:jc w:val="left"/>
            </w:pPr>
            <w:r>
              <w:rPr>
                <w:sz w:val="18"/>
              </w:rPr>
              <w:t xml:space="preserve">CAP 6(5)</w:t>
            </w:r>
          </w:p>
        </w:tc>
      </w:tr>
      <w:tr>
        <w:tc>
          <w:tcPr>
            <w:tcW w:w="2682" w:type="dxa"/>
          </w:tcPr>
          <w:p>
            <w:pPr>
              <w:pStyle w:val="Compact"/>
              <w:spacing w:after="40"/>
              <w:jc w:val="left"/>
            </w:pPr>
            <w:r>
              <w:rPr>
                <w:sz w:val="18"/>
              </w:rPr>
              <w:t xml:space="preserve">Gold-primary NBFC (gold loans ≥ 50% of financial assets), any layer</w:t>
            </w:r>
          </w:p>
        </w:tc>
        <w:tc>
          <w:tcPr>
            <w:tcW w:w="4396" w:type="dxa"/>
          </w:tcPr>
          <w:p>
            <w:pPr>
              <w:pStyle w:val="Compact"/>
              <w:spacing w:after="40"/>
              <w:jc w:val="left"/>
            </w:pPr>
            <w:r>
              <w:rPr>
                <w:sz w:val="18"/>
              </w:rPr>
              <w:t xml:space="preserve">Tier 1 ≥ 12%; CRAR ≥ 15%; Tier 2 ≤ 100% of Tier 1</w:t>
            </w:r>
          </w:p>
        </w:tc>
        <w:tc>
          <w:tcPr>
            <w:tcW w:w="2560" w:type="dxa"/>
          </w:tcPr>
          <w:p>
            <w:pPr>
              <w:pStyle w:val="Compact"/>
              <w:spacing w:after="40"/>
              <w:jc w:val="left"/>
            </w:pPr>
            <w:r>
              <w:rPr>
                <w:sz w:val="18"/>
              </w:rPr>
              <w:t xml:space="preserve">CAP 4(8), 6(1)</w:t>
            </w:r>
          </w:p>
        </w:tc>
      </w:tr>
      <w:tr>
        <w:tc>
          <w:tcPr>
            <w:tcW w:w="2682" w:type="dxa"/>
          </w:tcPr>
          <w:p>
            <w:pPr>
              <w:pStyle w:val="Compact"/>
              <w:spacing w:after="40"/>
              <w:jc w:val="left"/>
            </w:pPr>
            <w:r>
              <w:rPr>
                <w:sz w:val="18"/>
              </w:rPr>
              <w:t xml:space="preserve">NBFC-BL (not gold-primary)</w:t>
            </w:r>
          </w:p>
        </w:tc>
        <w:tc>
          <w:tcPr>
            <w:tcW w:w="4396" w:type="dxa"/>
          </w:tcPr>
          <w:p>
            <w:pPr>
              <w:pStyle w:val="Compact"/>
              <w:spacing w:after="40"/>
              <w:jc w:val="left"/>
            </w:pPr>
            <w:r>
              <w:rPr>
                <w:sz w:val="18"/>
              </w:rPr>
              <w:t xml:space="preserve">Leverage (outside liabilities ÷ owned fund) ≤ 7; no CRAR</w:t>
            </w:r>
          </w:p>
        </w:tc>
        <w:tc>
          <w:tcPr>
            <w:tcW w:w="2560" w:type="dxa"/>
          </w:tcPr>
          <w:p>
            <w:pPr>
              <w:pStyle w:val="Compact"/>
              <w:spacing w:after="40"/>
              <w:jc w:val="left"/>
            </w:pPr>
            <w:r>
              <w:rPr>
                <w:sz w:val="18"/>
              </w:rPr>
              <w:t xml:space="preserve">CAP 4(7), 17</w:t>
            </w:r>
          </w:p>
        </w:tc>
      </w:tr>
      <w:tr>
        <w:tc>
          <w:tcPr>
            <w:tcW w:w="2682" w:type="dxa"/>
          </w:tcPr>
          <w:p>
            <w:pPr>
              <w:pStyle w:val="Compact"/>
              <w:spacing w:after="40"/>
              <w:jc w:val="left"/>
            </w:pPr>
            <w:r>
              <w:rPr>
                <w:sz w:val="18"/>
              </w:rPr>
              <w:t xml:space="preserve">NBFC-MFI</w:t>
            </w:r>
          </w:p>
        </w:tc>
        <w:tc>
          <w:tcPr>
            <w:tcW w:w="4396" w:type="dxa"/>
          </w:tcPr>
          <w:p>
            <w:pPr>
              <w:pStyle w:val="Compact"/>
              <w:spacing w:after="40"/>
              <w:jc w:val="left"/>
            </w:pPr>
            <w:r>
              <w:rPr>
                <w:sz w:val="18"/>
              </w:rPr>
              <w:t xml:space="preserve">CRAR ≥ 15% in every layer; Tier 2 ≤ Tier 1 (CAP 6(1), 6(2) and 17 do not apply to MFIs, CAP 3(1) proviso)</w:t>
            </w:r>
          </w:p>
        </w:tc>
        <w:tc>
          <w:tcPr>
            <w:tcW w:w="2560" w:type="dxa"/>
          </w:tcPr>
          <w:p>
            <w:pPr>
              <w:pStyle w:val="Compact"/>
              <w:spacing w:after="40"/>
              <w:jc w:val="left"/>
            </w:pPr>
            <w:r>
              <w:rPr>
                <w:sz w:val="18"/>
              </w:rPr>
              <w:t xml:space="preserve">MFI 16–17</w:t>
            </w:r>
          </w:p>
        </w:tc>
      </w:tr>
      <w:tr>
        <w:tc>
          <w:tcPr>
            <w:tcW w:w="2682" w:type="dxa"/>
          </w:tcPr>
          <w:p>
            <w:pPr>
              <w:pStyle w:val="Compact"/>
              <w:spacing w:after="40"/>
              <w:jc w:val="left"/>
            </w:pPr>
            <w:r>
              <w:rPr>
                <w:sz w:val="18"/>
              </w:rPr>
              <w:t xml:space="preserve">HFC</w:t>
            </w:r>
          </w:p>
        </w:tc>
        <w:tc>
          <w:tcPr>
            <w:tcW w:w="4396" w:type="dxa"/>
          </w:tcPr>
          <w:p>
            <w:pPr>
              <w:pStyle w:val="Compact"/>
              <w:spacing w:after="40"/>
              <w:jc w:val="left"/>
            </w:pPr>
            <w:r>
              <w:rPr>
                <w:sz w:val="18"/>
              </w:rPr>
              <w:t xml:space="preserve">CRAR ≥ 15%; Tier 1 ≥ 10%; Tier 2 ≤ Tier 1; CAP applies only in part (CAP 3(2))</w:t>
            </w:r>
          </w:p>
        </w:tc>
        <w:tc>
          <w:tcPr>
            <w:tcW w:w="2560" w:type="dxa"/>
          </w:tcPr>
          <w:p>
            <w:pPr>
              <w:pStyle w:val="Compact"/>
              <w:spacing w:after="40"/>
              <w:jc w:val="left"/>
            </w:pPr>
            <w:r>
              <w:rPr>
                <w:sz w:val="18"/>
              </w:rPr>
              <w:t xml:space="preserve">HFC para 20 [VERIFY: against PDF]</w:t>
            </w:r>
          </w:p>
        </w:tc>
      </w:tr>
      <w:tr>
        <w:tc>
          <w:tcPr>
            <w:tcW w:w="2682" w:type="dxa"/>
          </w:tcPr>
          <w:p>
            <w:pPr>
              <w:pStyle w:val="Compact"/>
              <w:spacing w:after="40"/>
              <w:jc w:val="left"/>
            </w:pPr>
            <w:r>
              <w:rPr>
                <w:sz w:val="18"/>
              </w:rPr>
              <w:t xml:space="preserve">CIC</w:t>
            </w:r>
          </w:p>
        </w:tc>
        <w:tc>
          <w:tcPr>
            <w:tcW w:w="4396" w:type="dxa"/>
          </w:tcPr>
          <w:p>
            <w:pPr>
              <w:pStyle w:val="Compact"/>
              <w:spacing w:after="40"/>
              <w:jc w:val="left"/>
            </w:pPr>
            <w:r>
              <w:rPr>
                <w:sz w:val="18"/>
              </w:rPr>
              <w:t xml:space="preserve">ANW/RWA ≥ 30%; outside liabilities ≤ 2.5 × ANW [VERIFY:</w:t>
            </w:r>
            <w:r>
              <w:rPr>
                <w:sz w:val="18"/>
              </w:rPr>
              <w:t xml:space="preserve"> </w:t>
            </w:r>
            <w:r>
              <w:rPr>
                <w:rStyle w:val="VerbatimChar"/>
                <w:sz w:val="18"/>
              </w:rPr>
              <w:t xml:space="preserve">CICD</w:t>
            </w:r>
            <w:r>
              <w:rPr>
                <w:sz w:val="18"/>
              </w:rPr>
              <w:t xml:space="preserve">]; only CAP 15, 16 and 54 apply (CAP 3(4)); PCA thresholds in RK7.5</w:t>
            </w:r>
          </w:p>
        </w:tc>
        <w:tc>
          <w:tcPr>
            <w:tcW w:w="2560" w:type="dxa"/>
          </w:tcPr>
          <w:p>
            <w:pPr>
              <w:pStyle w:val="Compact"/>
              <w:spacing w:after="40"/>
              <w:jc w:val="left"/>
            </w:pPr>
            <w:r>
              <w:rPr>
                <w:rStyle w:val="VerbatimChar"/>
                <w:sz w:val="18"/>
              </w:rPr>
              <w:t xml:space="preserve">CICD</w:t>
            </w:r>
            <w:r>
              <w:rPr>
                <w:sz w:val="18"/>
              </w:rPr>
              <w:t xml:space="preserve">; MSD 16–17</w:t>
            </w:r>
          </w:p>
        </w:tc>
      </w:tr>
      <w:tr>
        <w:tc>
          <w:tcPr>
            <w:tcW w:w="2682" w:type="dxa"/>
          </w:tcPr>
          <w:p>
            <w:pPr>
              <w:pStyle w:val="Compact"/>
              <w:spacing w:after="40"/>
              <w:jc w:val="left"/>
            </w:pPr>
            <w:r>
              <w:rPr>
                <w:sz w:val="18"/>
              </w:rPr>
              <w:t xml:space="preserve">Commercial bank</w:t>
            </w:r>
          </w:p>
        </w:tc>
        <w:tc>
          <w:tcPr>
            <w:tcW w:w="4396" w:type="dxa"/>
          </w:tcPr>
          <w:p>
            <w:pPr>
              <w:pStyle w:val="Compact"/>
              <w:spacing w:after="40"/>
              <w:jc w:val="left"/>
            </w:pPr>
            <w:r>
              <w:rPr>
                <w:sz w:val="18"/>
              </w:rPr>
              <w:t xml:space="preserve">CET1 5.5%; Tier 1 7%; total 9%; plus CCB 2.5% (11.5% total); D-SIB surcharge; CCyB currently 0%; leverage ratio ≥ 4% (D-SIB) / 3.5% (others)</w:t>
            </w:r>
          </w:p>
        </w:tc>
        <w:tc>
          <w:tcPr>
            <w:tcW w:w="2560" w:type="dxa"/>
          </w:tcPr>
          <w:p>
            <w:pPr>
              <w:pStyle w:val="Compact"/>
              <w:spacing w:after="40"/>
              <w:jc w:val="left"/>
            </w:pPr>
            <w:r>
              <w:rPr>
                <w:sz w:val="18"/>
              </w:rPr>
              <w:t xml:space="preserve">CB-CAP [VERIFY: paras]</w:t>
            </w:r>
          </w:p>
        </w:tc>
      </w:tr>
      <w:tr>
        <w:tc>
          <w:tcPr>
            <w:tcW w:w="2682" w:type="dxa"/>
          </w:tcPr>
          <w:p>
            <w:pPr>
              <w:pStyle w:val="Compact"/>
              <w:spacing w:after="40"/>
              <w:jc w:val="left"/>
            </w:pPr>
            <w:r>
              <w:rPr>
                <w:sz w:val="18"/>
              </w:rPr>
              <w:t xml:space="preserve">SFB</w:t>
            </w:r>
          </w:p>
        </w:tc>
        <w:tc>
          <w:tcPr>
            <w:tcW w:w="4396" w:type="dxa"/>
          </w:tcPr>
          <w:p>
            <w:pPr>
              <w:pStyle w:val="Compact"/>
              <w:spacing w:after="40"/>
              <w:jc w:val="left"/>
            </w:pPr>
            <w:r>
              <w:rPr>
                <w:sz w:val="18"/>
              </w:rPr>
              <w:t xml:space="preserve">[VERIFY: CRAR 15%, CET1 6%, Tier 1 7.5%]</w:t>
            </w:r>
          </w:p>
        </w:tc>
        <w:tc>
          <w:tcPr>
            <w:tcW w:w="2560" w:type="dxa"/>
          </w:tcPr>
          <w:p>
            <w:pPr>
              <w:pStyle w:val="Compact"/>
              <w:spacing w:after="40"/>
              <w:jc w:val="left"/>
            </w:pPr>
            <w:r>
              <w:rPr>
                <w:sz w:val="18"/>
              </w:rPr>
              <w:t xml:space="preserve">SFB guidelines</w:t>
            </w:r>
          </w:p>
        </w:tc>
      </w:tr>
      <w:tr>
        <w:tc>
          <w:tcPr>
            <w:tcW w:w="2682" w:type="dxa"/>
          </w:tcPr>
          <w:p>
            <w:pPr>
              <w:pStyle w:val="Compact"/>
              <w:spacing w:after="40"/>
              <w:jc w:val="left"/>
            </w:pPr>
            <w:r>
              <w:rPr>
                <w:sz w:val="18"/>
              </w:rPr>
              <w:t xml:space="preserve">UCB</w:t>
            </w:r>
          </w:p>
        </w:tc>
        <w:tc>
          <w:tcPr>
            <w:tcW w:w="4396" w:type="dxa"/>
          </w:tcPr>
          <w:p>
            <w:pPr>
              <w:pStyle w:val="Compact"/>
              <w:spacing w:after="40"/>
              <w:jc w:val="left"/>
            </w:pPr>
            <w:r>
              <w:rPr>
                <w:sz w:val="18"/>
              </w:rPr>
              <w:t xml:space="preserve">Tier 1 UCB 9%; Tiers 2–4 12% (glide path completed FY 2025-26); net worth ₹2 crore (single-district Tier 1) or ₹5 crore [VERIFY]</w:t>
            </w:r>
          </w:p>
        </w:tc>
        <w:tc>
          <w:tcPr>
            <w:tcW w:w="2560" w:type="dxa"/>
          </w:tcPr>
          <w:p>
            <w:pPr>
              <w:pStyle w:val="Compact"/>
              <w:spacing w:after="40"/>
              <w:jc w:val="left"/>
            </w:pPr>
            <w:r>
              <w:rPr>
                <w:sz w:val="18"/>
              </w:rPr>
              <w:t xml:space="preserve">UCB [VERIFY: 1 Dec 2022 circular and consolidated directions]</w:t>
            </w:r>
          </w:p>
        </w:tc>
      </w:tr>
      <w:tr>
        <w:tc>
          <w:tcPr>
            <w:tcW w:w="2682" w:type="dxa"/>
          </w:tcPr>
          <w:p>
            <w:pPr>
              <w:pStyle w:val="Compact"/>
              <w:spacing w:after="40"/>
              <w:jc w:val="left"/>
            </w:pPr>
            <w:r>
              <w:rPr>
                <w:sz w:val="18"/>
              </w:rPr>
              <w:t xml:space="preserve">Credit co-operative society</w:t>
            </w:r>
          </w:p>
        </w:tc>
        <w:tc>
          <w:tcPr>
            <w:tcW w:w="4396" w:type="dxa"/>
          </w:tcPr>
          <w:p>
            <w:pPr>
              <w:pStyle w:val="Compact"/>
              <w:spacing w:after="40"/>
              <w:jc w:val="left"/>
            </w:pPr>
            <w:r>
              <w:rPr>
                <w:sz w:val="18"/>
              </w:rPr>
              <w:t xml:space="preserve">No RBI capital norm; State Act or MSCS Act reserve fund (MSCS s.63: at least one-fourth of net profit [VERIFY: clause]); s.63A contribution (lower of ₹1 crore and 1% of net profit)</w:t>
            </w:r>
          </w:p>
        </w:tc>
        <w:tc>
          <w:tcPr>
            <w:tcW w:w="2560" w:type="dxa"/>
          </w:tcPr>
          <w:p>
            <w:pPr>
              <w:pStyle w:val="Compact"/>
              <w:spacing w:after="40"/>
              <w:jc w:val="left"/>
            </w:pPr>
            <w:r>
              <w:rPr>
                <w:rStyle w:val="VerbatimChar"/>
                <w:sz w:val="18"/>
              </w:rPr>
              <w:t xml:space="preserve">MSCS</w:t>
            </w:r>
            <w:r>
              <w:rPr>
                <w:sz w:val="18"/>
              </w:rPr>
              <w:t xml:space="preserve">,</w:t>
            </w:r>
            <w:r>
              <w:rPr>
                <w:sz w:val="18"/>
              </w:rPr>
              <w:t xml:space="preserve"> </w:t>
            </w:r>
            <w:r>
              <w:rPr>
                <w:rStyle w:val="VerbatimChar"/>
                <w:sz w:val="18"/>
              </w:rPr>
              <w:t xml:space="preserve">SCS</w:t>
            </w:r>
            <w:r>
              <w:rPr>
                <w:sz w:val="18"/>
              </w:rPr>
              <w:t xml:space="preserve"> </w:t>
            </w:r>
            <w:r>
              <w:rPr>
                <w:sz w:val="18"/>
              </w:rPr>
              <w:t xml:space="preserve">— shown as management indicators</w:t>
            </w:r>
          </w:p>
        </w:tc>
      </w:tr>
    </w:tbl>
    <w:bookmarkEnd w:id="415"/>
    <w:bookmarkStart w:id="416" w:name="Xa51b335266422cf2f2a2fed8dc296cebe54823a"/>
    <w:p>
      <w:pPr>
        <w:pStyle w:val="Heading3"/>
      </w:pPr>
      <w:r>
        <w:t xml:space="preserve">RK3.2 Risk-weight rules to encode (deltas over 8A.24)</w:t>
      </w:r>
    </w:p>
    <w:p>
      <w:pPr>
        <w:numPr>
          <w:ilvl w:val="0"/>
          <w:numId w:val="1397"/>
        </w:numPr>
        <w:pStyle w:val="Compact"/>
      </w:pPr>
      <w:r>
        <w:rPr>
          <w:bCs/>
          <w:b/>
        </w:rPr>
        <w:t xml:space="preserve">Consumer credit 125%.</w:t>
      </w:r>
      <w:r>
        <w:t xml:space="preserve"> </w:t>
      </w:r>
      <w:r>
        <w:t xml:space="preserve">Retail consumer credit (excluding housing, education, vehicle, gold-jewellery and microfinance/SHG loans) and credit-card receivables (CAP 18(1) Sr (3)(e)(i)–(ii)). Classification is fixed at sanction from a product attribute</w:t>
      </w:r>
      <w:r>
        <w:t xml:space="preserve"> </w:t>
      </w:r>
      <w:r>
        <w:rPr>
          <w:rStyle w:val="VerbatimChar"/>
        </w:rPr>
        <w:t xml:space="preserve">consumer_credit_125 = true/false</w:t>
      </w:r>
      <w:r>
        <w:t xml:space="preserve"> </w:t>
      </w:r>
      <w:r>
        <w:t xml:space="preserve">with a reason; LAP or LAS to individuals follow the tenant’s documented policy [VERIFY].</w:t>
      </w:r>
    </w:p>
    <w:p>
      <w:pPr>
        <w:numPr>
          <w:ilvl w:val="0"/>
          <w:numId w:val="1397"/>
        </w:numPr>
        <w:pStyle w:val="Compact"/>
      </w:pPr>
      <w:r>
        <w:rPr>
          <w:bCs/>
          <w:b/>
        </w:rPr>
        <w:t xml:space="preserve">Microfinance out of 125%.</w:t>
      </w:r>
      <w:r>
        <w:t xml:space="preserve"> </w:t>
      </w:r>
      <w:r>
        <w:t xml:space="preserve">Microfinance loans were removed from the 125% class by RBI’s notification of 25 Feb 2025; the rule pack is effective-dated so historical runs before that date reproduce the old treatment.</w:t>
      </w:r>
    </w:p>
    <w:p>
      <w:pPr>
        <w:numPr>
          <w:ilvl w:val="0"/>
          <w:numId w:val="1397"/>
        </w:numPr>
        <w:pStyle w:val="Compact"/>
      </w:pPr>
      <w:r>
        <w:rPr>
          <w:bCs/>
          <w:b/>
        </w:rPr>
        <w:t xml:space="preserve">High-quality infrastructure</w:t>
      </w:r>
      <w:r>
        <w:t xml:space="preserve"> </w:t>
      </w:r>
      <w:r>
        <w:t xml:space="preserve">(as defined in CON 4(4) proviso). 75% once ≥ 2% of sanctioned project debt is repaid; 50% once ≥ 5% is repaid (from 1 Apr 2026, CAP Amendment Directions of 1 Jan 2026); additional or takeover debt is clubbed with the sanctioned project debt for the threshold; a project that stops qualifying reverts to the standard weight; grandfathered lower weights end at the earlier of next review/renewal and</w:t>
      </w:r>
      <w:r>
        <w:t xml:space="preserve"> </w:t>
      </w:r>
      <w:r>
        <w:rPr>
          <w:bCs/>
          <w:b/>
        </w:rPr>
        <w:t xml:space="preserve">31 Mar 2027</w:t>
      </w:r>
      <w:r>
        <w:t xml:space="preserve"> </w:t>
      </w:r>
      <w:r>
        <w:t xml:space="preserve">— the engine stores the grandfathering end date per exposure and reclassifies automatically.</w:t>
      </w:r>
    </w:p>
    <w:p>
      <w:pPr>
        <w:numPr>
          <w:ilvl w:val="0"/>
          <w:numId w:val="1397"/>
        </w:numPr>
        <w:pStyle w:val="Compact"/>
      </w:pPr>
      <w:r>
        <w:rPr>
          <w:bCs/>
          <w:b/>
        </w:rPr>
        <w:t xml:space="preserve">HFC housing weights by size and LTV (HFC para 22 [VERIFY]).</w:t>
      </w:r>
      <w:r>
        <w:t xml:space="preserve"> </w:t>
      </w:r>
      <w:r>
        <w:t xml:space="preserve">Up to ₹30 lakh: LTV ≤ 80% → 35%, LTV &gt; 80% to 90% → 50%; above ₹30 lakh to ₹75 lakh: LTV ≤ 80% → 35%; above ₹75 lakh: LTV ≤ 75% → 50%; restructured: +25 percentage points; other housing → 100%; undisbursed housing loans CCF 50% (para 24). LTV caps 90% / 80% / 75% are enforced at sanction (para 58).</w:t>
      </w:r>
    </w:p>
    <w:p>
      <w:pPr>
        <w:numPr>
          <w:ilvl w:val="0"/>
          <w:numId w:val="1397"/>
        </w:numPr>
        <w:pStyle w:val="Compact"/>
      </w:pPr>
      <w:r>
        <w:rPr>
          <w:bCs/>
          <w:b/>
        </w:rPr>
        <w:t xml:space="preserve">Credit guarantee schemes.</w:t>
      </w:r>
      <w:r>
        <w:t xml:space="preserve"> </w:t>
      </w:r>
      <w:r>
        <w:t xml:space="preserve">CGTMSE, CRGFTLIH and NCGTC cover at 0% up to the maximum permissible claim; first-loss portions of portfolio guarantees deducted from capital (CAP 18(2)(iv)).</w:t>
      </w:r>
    </w:p>
    <w:p>
      <w:pPr>
        <w:numPr>
          <w:ilvl w:val="0"/>
          <w:numId w:val="1397"/>
        </w:numPr>
        <w:pStyle w:val="Compact"/>
      </w:pPr>
      <w:r>
        <w:rPr>
          <w:bCs/>
          <w:b/>
        </w:rPr>
        <w:t xml:space="preserve">Ind AS filters.</w:t>
      </w:r>
      <w:r>
        <w:t xml:space="preserve"> </w:t>
      </w:r>
      <w:r>
        <w:t xml:space="preserve">Stage 1 (12-month) ECL to Tier 2 as general provisions within the 1.25% of RWA cap; lifetime ECL not in capital and reduced from RWAs; Impairment Reserve not capital (CAP 13(iii), 16(6), 16(8); FS Annex 2) — sourced from Part 7C AC2.</w:t>
      </w:r>
    </w:p>
    <w:p>
      <w:pPr>
        <w:numPr>
          <w:ilvl w:val="0"/>
          <w:numId w:val="1397"/>
        </w:numPr>
        <w:pStyle w:val="Compact"/>
      </w:pPr>
      <w:r>
        <w:rPr>
          <w:bCs/>
          <w:b/>
        </w:rPr>
        <w:t xml:space="preserve">No operational- or market-risk RWA for NBFCs.</w:t>
      </w:r>
      <w:r>
        <w:t xml:space="preserve"> </w:t>
      </w:r>
      <w:r>
        <w:t xml:space="preserve">The engine has no such component for NBFC profiles; the ICAAP module (RK7) computes labelled internal estimates.</w:t>
      </w:r>
    </w:p>
    <w:bookmarkEnd w:id="416"/>
    <w:bookmarkStart w:id="417" w:name="rk3.3-run-types-outputs-and-lineage"/>
    <w:p>
      <w:pPr>
        <w:pStyle w:val="Heading3"/>
      </w:pPr>
      <w:r>
        <w:t xml:space="preserve">RK3.3 Run types, outputs and lineage</w:t>
      </w:r>
    </w:p>
    <w:p>
      <w:pPr>
        <w:numPr>
          <w:ilvl w:val="0"/>
          <w:numId w:val="1398"/>
        </w:numPr>
        <w:pStyle w:val="Compact"/>
      </w:pPr>
      <w:r>
        <w:rPr>
          <w:bCs/>
          <w:b/>
        </w:rPr>
        <w:t xml:space="preserve">Runs.</w:t>
      </w:r>
      <w:r>
        <w:t xml:space="preserve"> </w:t>
      </w:r>
      <w:r>
        <w:t xml:space="preserve">Daily shadow CRAR (management only, unaudited), monthly management CRAR, quarterly regulatory CRAR for DNBS03 (Part 7B), annual audited CRAR for the FS notes (FS 21(11); C.2), and ad hoc what-if.</w:t>
      </w:r>
    </w:p>
    <w:p>
      <w:pPr>
        <w:numPr>
          <w:ilvl w:val="0"/>
          <w:numId w:val="1398"/>
        </w:numPr>
        <w:pStyle w:val="Compact"/>
      </w:pPr>
      <w:r>
        <w:rPr>
          <w:bCs/>
          <w:b/>
        </w:rPr>
        <w:t xml:space="preserve">Outputs.</w:t>
      </w:r>
      <w:r>
        <w:t xml:space="preserve"> </w:t>
      </w:r>
      <w:r>
        <w:t xml:space="preserve">Owned fund and NOF; CET1, Tier 1, Tier 2 with each deduction; RWA by on-balance-sheet class, off-balance-sheet CCF class, securitisation and CDS; ratios; headroom versus</w:t>
      </w:r>
      <w:r>
        <w:t xml:space="preserve"> </w:t>
      </w:r>
      <w:r>
        <w:rPr>
          <w:rStyle w:val="VerbatimChar"/>
        </w:rPr>
        <w:t xml:space="preserve">max(regulatory minimum, Board minimum)</w:t>
      </w:r>
      <w:r>
        <w:t xml:space="preserve">; RWA walk (opening, new business, run-off, migration, rule change, closing); top 20 RWA contributors;</w:t>
      </w:r>
      <w:r>
        <w:t xml:space="preserve"> </w:t>
      </w:r>
      <w:r>
        <w:rPr>
          <w:rStyle w:val="VerbatimChar"/>
        </w:rPr>
        <w:t xml:space="preserve">CapitalRatioComputed</w:t>
      </w:r>
      <w:r>
        <w:t xml:space="preserve"> </w:t>
      </w:r>
      <w:r>
        <w:t xml:space="preserve">event.</w:t>
      </w:r>
    </w:p>
    <w:p>
      <w:pPr>
        <w:numPr>
          <w:ilvl w:val="0"/>
          <w:numId w:val="1398"/>
        </w:numPr>
        <w:pStyle w:val="Compact"/>
      </w:pPr>
      <w:r>
        <w:rPr>
          <w:bCs/>
          <w:b/>
        </w:rPr>
        <w:t xml:space="preserve">Lineage.</w:t>
      </w:r>
      <w:r>
        <w:t xml:space="preserve"> </w:t>
      </w:r>
      <w:r>
        <w:t xml:space="preserve">Every RWA line references the loan or GL item,</w:t>
      </w:r>
      <w:r>
        <w:t xml:space="preserve"> </w:t>
      </w:r>
      <w:r>
        <w:rPr>
          <w:rStyle w:val="VerbatimChar"/>
        </w:rPr>
        <w:t xml:space="preserve">rw_class</w:t>
      </w:r>
      <w:r>
        <w:t xml:space="preserve">,</w:t>
      </w:r>
      <w:r>
        <w:t xml:space="preserve"> </w:t>
      </w:r>
      <w:r>
        <w:rPr>
          <w:rStyle w:val="VerbatimChar"/>
        </w:rPr>
        <w:t xml:space="preserve">rw_rule_version</w:t>
      </w:r>
      <w:r>
        <w:t xml:space="preserve"> </w:t>
      </w:r>
      <w:r>
        <w:t xml:space="preserve">and</w:t>
      </w:r>
      <w:r>
        <w:t xml:space="preserve"> </w:t>
      </w:r>
      <w:r>
        <w:rPr>
          <w:rStyle w:val="VerbatimChar"/>
        </w:rPr>
        <w:t xml:space="preserve">rw_reason</w:t>
      </w:r>
      <w:r>
        <w:t xml:space="preserve">; every capital component references GL accounts and capital-component tags. A ratio drill-down reaches the record in three clicks.</w:t>
      </w:r>
    </w:p>
    <w:p>
      <w:pPr>
        <w:numPr>
          <w:ilvl w:val="0"/>
          <w:numId w:val="1398"/>
        </w:numPr>
        <w:pStyle w:val="Compact"/>
      </w:pPr>
      <w:r>
        <w:rPr>
          <w:bCs/>
          <w:b/>
        </w:rPr>
        <w:t xml:space="preserve">Quality gates.</w:t>
      </w:r>
      <w:r>
        <w:t xml:space="preserve"> </w:t>
      </w:r>
      <w:r>
        <w:t xml:space="preserve">A regulatory run cannot be certified if unclassified exposures exceed 0.1% of EAD, the trial balance is not locked, or the ECL run for the period is not approved.</w:t>
      </w:r>
    </w:p>
    <w:p>
      <w:pPr>
        <w:numPr>
          <w:ilvl w:val="0"/>
          <w:numId w:val="1398"/>
        </w:numPr>
        <w:pStyle w:val="Compact"/>
      </w:pPr>
      <w:r>
        <w:rPr>
          <w:bCs/>
          <w:b/>
        </w:rPr>
        <w:t xml:space="preserve">Run states and corrections.</w:t>
      </w:r>
      <w:r>
        <w:t xml:space="preserve"> </w:t>
      </w:r>
      <w:r>
        <w:rPr>
          <w:rStyle w:val="VerbatimChar"/>
        </w:rPr>
        <w:t xml:space="preserve">DRAFT → COMPUTED → VALIDATED → CERTIFIED (CFO eSign; CRO concurrence for regulatory runs) → FILED</w:t>
      </w:r>
      <w:r>
        <w:t xml:space="preserve"> </w:t>
      </w:r>
      <w:r>
        <w:t xml:space="preserve">(quarterly runs feeding DNBS03). A back-dated correction never edits a certified run: it creates a new</w:t>
      </w:r>
      <w:r>
        <w:t xml:space="preserve"> </w:t>
      </w:r>
      <w:r>
        <w:rPr>
          <w:rStyle w:val="VerbatimChar"/>
        </w:rPr>
        <w:t xml:space="preserve">run_no</w:t>
      </w:r>
      <w:r>
        <w:t xml:space="preserve"> </w:t>
      </w:r>
      <w:r>
        <w:t xml:space="preserve">with reason and diff; if the run was filed, Part 7B RR5.3 opens a revision task;</w:t>
      </w:r>
      <w:r>
        <w:t xml:space="preserve"> </w:t>
      </w:r>
      <w:r>
        <w:rPr>
          <w:rStyle w:val="VerbatimChar"/>
        </w:rPr>
        <w:t xml:space="preserve">CapitalRatioComputed</w:t>
      </w:r>
      <w:r>
        <w:t xml:space="preserve"> </w:t>
      </w:r>
      <w:r>
        <w:t xml:space="preserve">is re-emitted with the new</w:t>
      </w:r>
      <w:r>
        <w:t xml:space="preserve"> </w:t>
      </w:r>
      <w:r>
        <w:rPr>
          <w:rStyle w:val="VerbatimChar"/>
        </w:rPr>
        <w:t xml:space="preserve">run_no</w:t>
      </w:r>
      <w:r>
        <w:t xml:space="preserve">. A failed run (missing feed, engine error) stays</w:t>
      </w:r>
      <w:r>
        <w:t xml:space="preserve"> </w:t>
      </w:r>
      <w:r>
        <w:rPr>
          <w:rStyle w:val="VerbatimChar"/>
        </w:rPr>
        <w:t xml:space="preserve">DRAFT</w:t>
      </w:r>
      <w:r>
        <w:t xml:space="preserve"> </w:t>
      </w:r>
      <w:r>
        <w:t xml:space="preserve">with the failure reason and does not overwrite the previous certified value on dashboards.</w:t>
      </w:r>
    </w:p>
    <w:bookmarkEnd w:id="417"/>
    <w:bookmarkStart w:id="418" w:name="rk3.4-alerts"/>
    <w:p>
      <w:pPr>
        <w:pStyle w:val="Heading3"/>
      </w:pPr>
      <w:r>
        <w:t xml:space="preserve">RK3.4 Alerts</w:t>
      </w:r>
    </w:p>
    <w:p>
      <w:pPr>
        <w:numPr>
          <w:ilvl w:val="0"/>
          <w:numId w:val="1399"/>
        </w:numPr>
        <w:pStyle w:val="Compact"/>
      </w:pPr>
      <w:r>
        <w:rPr>
          <w:bCs/>
          <w:b/>
        </w:rPr>
        <w:t xml:space="preserve">Headroom bands.</w:t>
      </w:r>
      <w:r>
        <w:t xml:space="preserve"> </w:t>
      </w:r>
      <w:r>
        <w:t xml:space="preserve">Green above the Board buffer; amber at or below the Board buffer; red within 100 bps of the regulatory minimum [REC default] (</w:t>
      </w:r>
      <w:r>
        <w:rPr>
          <w:rStyle w:val="VerbatimChar"/>
        </w:rPr>
        <w:t xml:space="preserve">KriBreached</w:t>
      </w:r>
      <w:r>
        <w:t xml:space="preserve"> </w:t>
      </w:r>
      <w:r>
        <w:t xml:space="preserve">on the headroom KRI); breach below the regulatory minimum (</w:t>
      </w:r>
      <w:r>
        <w:rPr>
          <w:rStyle w:val="VerbatimChar"/>
        </w:rPr>
        <w:t xml:space="preserve">LimitBreached</w:t>
      </w:r>
      <w:r>
        <w:t xml:space="preserve">,</w:t>
      </w:r>
      <w:r>
        <w:t xml:space="preserve"> </w:t>
      </w:r>
      <w:r>
        <w:rPr>
          <w:rStyle w:val="VerbatimChar"/>
        </w:rPr>
        <w:t xml:space="preserve">limit_type</w:t>
      </w:r>
      <w:r>
        <w:t xml:space="preserve"> </w:t>
      </w:r>
      <w:r>
        <w:t xml:space="preserve">REGULATORY) notifying CRO, CFO and MD &amp; CEO.</w:t>
      </w:r>
    </w:p>
    <w:p>
      <w:pPr>
        <w:numPr>
          <w:ilvl w:val="0"/>
          <w:numId w:val="1399"/>
        </w:numPr>
        <w:pStyle w:val="Compact"/>
      </w:pPr>
      <w:r>
        <w:rPr>
          <w:bCs/>
          <w:b/>
        </w:rPr>
        <w:t xml:space="preserve">PCA forecast flag</w:t>
      </w:r>
      <w:r>
        <w:t xml:space="preserve"> </w:t>
      </w:r>
      <w:r>
        <w:t xml:space="preserve">when projected year-end CRAR, Tier 1 or NNPA would cross RT1 (RK7.5).</w:t>
      </w:r>
    </w:p>
    <w:p>
      <w:pPr>
        <w:numPr>
          <w:ilvl w:val="0"/>
          <w:numId w:val="1399"/>
        </w:numPr>
        <w:pStyle w:val="Compact"/>
      </w:pPr>
      <w:r>
        <w:rPr>
          <w:bCs/>
          <w:b/>
        </w:rPr>
        <w:t xml:space="preserve">BL leverage.</w:t>
      </w:r>
      <w:r>
        <w:t xml:space="preserve"> </w:t>
      </w:r>
      <w:r>
        <w:t xml:space="preserve">Alert at 6.5 [REC default]; breach at 7.</w:t>
      </w:r>
    </w:p>
    <w:p>
      <w:pPr>
        <w:numPr>
          <w:ilvl w:val="0"/>
          <w:numId w:val="1399"/>
        </w:numPr>
        <w:pStyle w:val="Compact"/>
      </w:pPr>
      <w:r>
        <w:rPr>
          <w:bCs/>
          <w:b/>
        </w:rPr>
        <w:t xml:space="preserve">Gold-primary detector.</w:t>
      </w:r>
      <w:r>
        <w:t xml:space="preserve"> </w:t>
      </w:r>
      <w:r>
        <w:t xml:space="preserve">Quarterly test of gold loans ÷ financial assets (R50); crossing 50% switches the profile to Tier 1 12% with a CFO/CRO confirmation task.</w:t>
      </w:r>
    </w:p>
    <w:bookmarkEnd w:id="418"/>
    <w:bookmarkStart w:id="419" w:name="rk3.5-pre-sanction-capital-what-if"/>
    <w:p>
      <w:pPr>
        <w:pStyle w:val="Heading3"/>
      </w:pPr>
      <w:r>
        <w:t xml:space="preserve">RK3.5 Pre-sanction capital what-if</w:t>
      </w:r>
    </w:p>
    <w:p>
      <w:pPr>
        <w:numPr>
          <w:ilvl w:val="0"/>
          <w:numId w:val="1400"/>
        </w:numPr>
        <w:pStyle w:val="Compact"/>
      </w:pPr>
      <w:r>
        <w:t xml:space="preserve">For sanctions above a tenant threshold, the credit workflow (M4) calls the engine with the proposed exposure (amount, product, collateral, guarantee cover) and returns incremental RWA, CRAR impact in bps, concentration impact (RK5) and RAS utilisation; the result is pinned to the sanction record.</w:t>
      </w:r>
    </w:p>
    <w:bookmarkEnd w:id="419"/>
    <w:bookmarkStart w:id="420" w:name="X9eeef9d187ad9de2d2bf64eb38d70e2bbbf5676"/>
    <w:p>
      <w:pPr>
        <w:pStyle w:val="Heading3"/>
      </w:pPr>
      <w:r>
        <w:t xml:space="preserve">RK3.6 Banks: Basel III and the 1 April 2027 changes</w:t>
      </w:r>
    </w:p>
    <w:p>
      <w:pPr>
        <w:numPr>
          <w:ilvl w:val="0"/>
          <w:numId w:val="1401"/>
        </w:numPr>
        <w:pStyle w:val="Compact"/>
      </w:pPr>
      <w:r>
        <w:rPr>
          <w:bCs/>
          <w:b/>
        </w:rPr>
        <w:t xml:space="preserve">Current.</w:t>
      </w:r>
      <w:r>
        <w:t xml:space="preserve"> </w:t>
      </w:r>
      <w:r>
        <w:t xml:space="preserve">Credit RWA under the standardised approach, market risk and operational risk per the current bank capital directions; capital buffers (CCB, D-SIB, CCyB) as configuration; leverage ratio computed quarter-end and maintained at all times, with LR1/LR2-style disclosure templates (CB-CAP [VERIFY]).</w:t>
      </w:r>
    </w:p>
    <w:p>
      <w:pPr>
        <w:numPr>
          <w:ilvl w:val="0"/>
          <w:numId w:val="1401"/>
        </w:numPr>
        <w:pStyle w:val="Compact"/>
      </w:pPr>
      <w:r>
        <w:rPr>
          <w:bCs/>
          <w:b/>
        </w:rPr>
        <w:t xml:space="preserve">From 1 Apr 2027 (effective-dated rule packs).</w:t>
      </w:r>
      <w:r>
        <w:t xml:space="preserve"> </w:t>
      </w:r>
      <w:r>
        <w:rPr>
          <w:rStyle w:val="VerbatimChar"/>
        </w:rPr>
        <w:t xml:space="preserve">CB-CRSA</w:t>
      </w:r>
      <w:r>
        <w:t xml:space="preserve"> </w:t>
      </w:r>
      <w:r>
        <w:t xml:space="preserve">revised standardised approach for credit risk (scope: commercial banks excluding SFB, PB, LAB); revised market-risk and CVA directions; operational-risk standardised approach (Business Indicator Component × Internal Loss Multiplier, marginal coefficients 12% / 15% / 18% at BI thresholds of ₹8,000 crore and ₹2,40,000 crore) [VERIFY: effective date]; bank ECL framework (CB-ECL, effective 1 Apr 2027) with Stage 1/2 ECL as general provisions for Tier 2 and the optional CET1 transition add-back factors 4/5, 3/5, 2/5, 1/5 for FY 2027-28 to FY 2030-31 (sourced from Part 7C AC2).</w:t>
      </w:r>
    </w:p>
    <w:p>
      <w:pPr>
        <w:numPr>
          <w:ilvl w:val="0"/>
          <w:numId w:val="1401"/>
        </w:numPr>
        <w:pStyle w:val="Compact"/>
      </w:pPr>
      <w:r>
        <w:rPr>
          <w:bCs/>
          <w:b/>
        </w:rPr>
        <w:t xml:space="preserve">Parallel run</w:t>
      </w:r>
      <w:r>
        <w:t xml:space="preserve"> </w:t>
      </w:r>
      <w:r>
        <w:t xml:space="preserve">of current and 2027 packs from 1 Oct 2026 with reconciliation [REC]; only the effective pack produces regulatory output.</w:t>
      </w:r>
      <w:r>
        <w:t xml:space="preserve"> </w:t>
      </w:r>
      <w:r>
        <w:rPr>
          <w:bCs/>
          <w:b/>
        </w:rPr>
        <w:t xml:space="preserve">Pillar 3</w:t>
      </w:r>
      <w:r>
        <w:t xml:space="preserve"> </w:t>
      </w:r>
      <w:r>
        <w:t xml:space="preserve">templates (capital composition, RWA, leverage, LCR) come from certified metrics; NBFCs instead get FS 21(11), C.2 and ALM Annex I disclosures.</w:t>
      </w:r>
    </w:p>
    <w:p>
      <w:pPr>
        <w:numPr>
          <w:ilvl w:val="0"/>
          <w:numId w:val="1401"/>
        </w:numPr>
        <w:pStyle w:val="Compact"/>
      </w:pPr>
      <w:r>
        <w:rPr>
          <w:bCs/>
          <w:b/>
        </w:rPr>
        <w:t xml:space="preserve">UCB.</w:t>
      </w:r>
      <w:r>
        <w:t xml:space="preserve"> </w:t>
      </w:r>
      <w:r>
        <w:t xml:space="preserve">Tiered CRAR, net-worth floors and PSL (R43) per UCB rule pack [VERIFY].</w:t>
      </w:r>
    </w:p>
    <w:bookmarkEnd w:id="420"/>
    <w:bookmarkStart w:id="421" w:name="settings-and-options-9"/>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56"/>
        <w:gridCol w:w="2420"/>
        <w:gridCol w:w="1380"/>
        <w:gridCol w:w="3282"/>
      </w:tblGrid>
      <w:tr>
        <w:trPr>
          <w:tblHeader w:val="true"/>
          <w:tblHeader w:val="true"/>
        </w:trPr>
        <w:tc>
          <w:tcPr>
            <w:tcW w:w="2556" w:type="dxa"/>
            <w:shd w:val="clear" w:color="auto" w:fill="1F3A5F"/>
          </w:tcPr>
          <w:p>
            <w:pPr>
              <w:pStyle w:val="Compact"/>
              <w:spacing w:after="40"/>
              <w:jc w:val="left"/>
            </w:pPr>
            <w:r>
              <w:rPr>
                <w:b/>
                <w:color w:val="FFFFFF"/>
                <w:sz w:val="18"/>
              </w:rPr>
              <w:t xml:space="preserve">Setting</w:t>
            </w:r>
          </w:p>
        </w:tc>
        <w:tc>
          <w:tcPr>
            <w:tcW w:w="2420" w:type="dxa"/>
            <w:shd w:val="clear" w:color="auto" w:fill="1F3A5F"/>
          </w:tcPr>
          <w:p>
            <w:pPr>
              <w:pStyle w:val="Compact"/>
              <w:spacing w:after="40"/>
              <w:jc w:val="left"/>
            </w:pPr>
            <w:r>
              <w:rPr>
                <w:b/>
                <w:color w:val="FFFFFF"/>
                <w:sz w:val="18"/>
              </w:rPr>
              <w:t xml:space="preserve">Default</w:t>
            </w:r>
          </w:p>
        </w:tc>
        <w:tc>
          <w:tcPr>
            <w:tcW w:w="1380" w:type="dxa"/>
            <w:shd w:val="clear" w:color="auto" w:fill="1F3A5F"/>
          </w:tcPr>
          <w:p>
            <w:pPr>
              <w:pStyle w:val="Compact"/>
              <w:spacing w:after="40"/>
              <w:jc w:val="left"/>
            </w:pPr>
            <w:r>
              <w:rPr>
                <w:b/>
                <w:color w:val="FFFFFF"/>
                <w:sz w:val="18"/>
              </w:rPr>
              <w:t xml:space="preserve">Level</w:t>
            </w:r>
          </w:p>
        </w:tc>
        <w:tc>
          <w:tcPr>
            <w:tcW w:w="3282" w:type="dxa"/>
            <w:shd w:val="clear" w:color="auto" w:fill="1F3A5F"/>
          </w:tcPr>
          <w:p>
            <w:pPr>
              <w:pStyle w:val="Compact"/>
              <w:spacing w:after="40"/>
              <w:jc w:val="left"/>
            </w:pPr>
            <w:r>
              <w:rPr>
                <w:b/>
                <w:color w:val="FFFFFF"/>
                <w:sz w:val="18"/>
              </w:rPr>
              <w:t xml:space="preserve">Floor or choice</w:t>
            </w:r>
          </w:p>
        </w:tc>
      </w:tr>
      <w:tr>
        <w:tc>
          <w:tcPr>
            <w:tcW w:w="2556" w:type="dxa"/>
          </w:tcPr>
          <w:p>
            <w:pPr>
              <w:pStyle w:val="Compact"/>
              <w:spacing w:after="40"/>
              <w:jc w:val="left"/>
            </w:pPr>
            <w:r>
              <w:rPr>
                <w:sz w:val="18"/>
              </w:rPr>
              <w:t xml:space="preserve">Capital profile</w:t>
            </w:r>
          </w:p>
        </w:tc>
        <w:tc>
          <w:tcPr>
            <w:tcW w:w="2420" w:type="dxa"/>
          </w:tcPr>
          <w:p>
            <w:pPr>
              <w:pStyle w:val="Compact"/>
              <w:spacing w:after="40"/>
              <w:jc w:val="left"/>
            </w:pPr>
            <w:r>
              <w:rPr>
                <w:sz w:val="18"/>
              </w:rPr>
              <w:t xml:space="preserve">Resolved from the entity regulatory profile</w:t>
            </w:r>
          </w:p>
        </w:tc>
        <w:tc>
          <w:tcPr>
            <w:tcW w:w="1380" w:type="dxa"/>
          </w:tcPr>
          <w:p>
            <w:pPr>
              <w:pStyle w:val="Compact"/>
              <w:spacing w:after="40"/>
              <w:jc w:val="left"/>
            </w:pPr>
            <w:r>
              <w:rPr>
                <w:sz w:val="18"/>
              </w:rPr>
              <w:t xml:space="preserve">Entity</w:t>
            </w:r>
          </w:p>
        </w:tc>
        <w:tc>
          <w:tcPr>
            <w:tcW w:w="3282" w:type="dxa"/>
          </w:tcPr>
          <w:p>
            <w:pPr>
              <w:pStyle w:val="Compact"/>
              <w:spacing w:after="40"/>
              <w:jc w:val="left"/>
            </w:pPr>
            <w:r>
              <w:rPr>
                <w:sz w:val="18"/>
              </w:rPr>
              <w:t xml:space="preserve">Floor; override only by CCO and CFO with reason</w:t>
            </w:r>
          </w:p>
        </w:tc>
      </w:tr>
      <w:tr>
        <w:tc>
          <w:tcPr>
            <w:tcW w:w="2556" w:type="dxa"/>
          </w:tcPr>
          <w:p>
            <w:pPr>
              <w:pStyle w:val="Compact"/>
              <w:spacing w:after="40"/>
              <w:jc w:val="left"/>
            </w:pPr>
            <w:r>
              <w:rPr>
                <w:sz w:val="18"/>
              </w:rPr>
              <w:t xml:space="preserve">Board minimum buffer over the regulatory minimum</w:t>
            </w:r>
          </w:p>
        </w:tc>
        <w:tc>
          <w:tcPr>
            <w:tcW w:w="2420" w:type="dxa"/>
          </w:tcPr>
          <w:p>
            <w:pPr>
              <w:pStyle w:val="Compact"/>
              <w:spacing w:after="40"/>
              <w:jc w:val="left"/>
            </w:pPr>
            <w:r>
              <w:rPr>
                <w:sz w:val="18"/>
              </w:rPr>
              <w:t xml:space="preserve">200 bps CRAR, 100 bps Tier 1 [REC]</w:t>
            </w:r>
          </w:p>
        </w:tc>
        <w:tc>
          <w:tcPr>
            <w:tcW w:w="1380" w:type="dxa"/>
          </w:tcPr>
          <w:p>
            <w:pPr>
              <w:pStyle w:val="Compact"/>
              <w:spacing w:after="40"/>
              <w:jc w:val="left"/>
            </w:pPr>
            <w:r>
              <w:rPr>
                <w:sz w:val="18"/>
              </w:rPr>
              <w:t xml:space="preserve">Tenant</w:t>
            </w:r>
          </w:p>
        </w:tc>
        <w:tc>
          <w:tcPr>
            <w:tcW w:w="3282" w:type="dxa"/>
          </w:tcPr>
          <w:p>
            <w:pPr>
              <w:pStyle w:val="Compact"/>
              <w:spacing w:after="40"/>
              <w:jc w:val="left"/>
            </w:pPr>
            <w:r>
              <w:rPr>
                <w:sz w:val="18"/>
              </w:rPr>
              <w:t xml:space="preserve">Choice; never below the regulatory minimum</w:t>
            </w:r>
          </w:p>
        </w:tc>
      </w:tr>
      <w:tr>
        <w:tc>
          <w:tcPr>
            <w:tcW w:w="2556" w:type="dxa"/>
          </w:tcPr>
          <w:p>
            <w:pPr>
              <w:pStyle w:val="Compact"/>
              <w:spacing w:after="40"/>
              <w:jc w:val="left"/>
            </w:pPr>
            <w:r>
              <w:rPr>
                <w:sz w:val="18"/>
              </w:rPr>
              <w:t xml:space="preserve">Red band width above the regulatory minimum</w:t>
            </w:r>
          </w:p>
        </w:tc>
        <w:tc>
          <w:tcPr>
            <w:tcW w:w="2420" w:type="dxa"/>
          </w:tcPr>
          <w:p>
            <w:pPr>
              <w:pStyle w:val="Compact"/>
              <w:spacing w:after="40"/>
              <w:jc w:val="left"/>
            </w:pPr>
            <w:r>
              <w:rPr>
                <w:sz w:val="18"/>
              </w:rPr>
              <w:t xml:space="preserve">100 bps</w:t>
            </w:r>
          </w:p>
        </w:tc>
        <w:tc>
          <w:tcPr>
            <w:tcW w:w="1380" w:type="dxa"/>
          </w:tcPr>
          <w:p>
            <w:pPr>
              <w:pStyle w:val="Compact"/>
              <w:spacing w:after="40"/>
              <w:jc w:val="left"/>
            </w:pPr>
            <w:r>
              <w:rPr>
                <w:sz w:val="18"/>
              </w:rPr>
              <w:t xml:space="preserve">Tenant</w:t>
            </w:r>
          </w:p>
        </w:tc>
        <w:tc>
          <w:tcPr>
            <w:tcW w:w="3282" w:type="dxa"/>
          </w:tcPr>
          <w:p>
            <w:pPr>
              <w:pStyle w:val="Compact"/>
              <w:spacing w:after="40"/>
              <w:jc w:val="left"/>
            </w:pPr>
            <w:r>
              <w:rPr>
                <w:sz w:val="18"/>
              </w:rPr>
              <w:t xml:space="preserve">Choice</w:t>
            </w:r>
          </w:p>
        </w:tc>
      </w:tr>
      <w:tr>
        <w:tc>
          <w:tcPr>
            <w:tcW w:w="2556" w:type="dxa"/>
          </w:tcPr>
          <w:p>
            <w:pPr>
              <w:pStyle w:val="Compact"/>
              <w:spacing w:after="40"/>
              <w:jc w:val="left"/>
            </w:pPr>
            <w:r>
              <w:rPr>
                <w:sz w:val="18"/>
              </w:rPr>
              <w:t xml:space="preserve">BL leverage alert</w:t>
            </w:r>
          </w:p>
        </w:tc>
        <w:tc>
          <w:tcPr>
            <w:tcW w:w="2420" w:type="dxa"/>
          </w:tcPr>
          <w:p>
            <w:pPr>
              <w:pStyle w:val="Compact"/>
              <w:spacing w:after="40"/>
              <w:jc w:val="left"/>
            </w:pPr>
            <w:r>
              <w:rPr>
                <w:sz w:val="18"/>
              </w:rPr>
              <w:t xml:space="preserve">6.5</w:t>
            </w:r>
          </w:p>
        </w:tc>
        <w:tc>
          <w:tcPr>
            <w:tcW w:w="1380" w:type="dxa"/>
          </w:tcPr>
          <w:p>
            <w:pPr>
              <w:pStyle w:val="Compact"/>
              <w:spacing w:after="40"/>
              <w:jc w:val="left"/>
            </w:pPr>
            <w:r>
              <w:rPr>
                <w:sz w:val="18"/>
              </w:rPr>
              <w:t xml:space="preserve">Tenant</w:t>
            </w:r>
          </w:p>
        </w:tc>
        <w:tc>
          <w:tcPr>
            <w:tcW w:w="3282" w:type="dxa"/>
          </w:tcPr>
          <w:p>
            <w:pPr>
              <w:pStyle w:val="Compact"/>
              <w:spacing w:after="40"/>
              <w:jc w:val="left"/>
            </w:pPr>
            <w:r>
              <w:rPr>
                <w:sz w:val="18"/>
              </w:rPr>
              <w:t xml:space="preserve">Choice below the cap of 7</w:t>
            </w:r>
          </w:p>
        </w:tc>
      </w:tr>
      <w:tr>
        <w:tc>
          <w:tcPr>
            <w:tcW w:w="2556" w:type="dxa"/>
          </w:tcPr>
          <w:p>
            <w:pPr>
              <w:pStyle w:val="Compact"/>
              <w:spacing w:after="40"/>
              <w:jc w:val="left"/>
            </w:pPr>
            <w:r>
              <w:rPr>
                <w:sz w:val="18"/>
              </w:rPr>
              <w:t xml:space="preserve">Shadow CRAR frequency</w:t>
            </w:r>
          </w:p>
        </w:tc>
        <w:tc>
          <w:tcPr>
            <w:tcW w:w="2420" w:type="dxa"/>
          </w:tcPr>
          <w:p>
            <w:pPr>
              <w:pStyle w:val="Compact"/>
              <w:spacing w:after="40"/>
              <w:jc w:val="left"/>
            </w:pPr>
            <w:r>
              <w:rPr>
                <w:sz w:val="18"/>
              </w:rPr>
              <w:t xml:space="preserve">Daily</w:t>
            </w:r>
          </w:p>
        </w:tc>
        <w:tc>
          <w:tcPr>
            <w:tcW w:w="1380" w:type="dxa"/>
          </w:tcPr>
          <w:p>
            <w:pPr>
              <w:pStyle w:val="Compact"/>
              <w:spacing w:after="40"/>
              <w:jc w:val="left"/>
            </w:pPr>
            <w:r>
              <w:rPr>
                <w:sz w:val="18"/>
              </w:rPr>
              <w:t xml:space="preserve">Tenant</w:t>
            </w:r>
          </w:p>
        </w:tc>
        <w:tc>
          <w:tcPr>
            <w:tcW w:w="3282" w:type="dxa"/>
          </w:tcPr>
          <w:p>
            <w:pPr>
              <w:pStyle w:val="Compact"/>
              <w:spacing w:after="40"/>
              <w:jc w:val="left"/>
            </w:pPr>
            <w:r>
              <w:rPr>
                <w:sz w:val="18"/>
              </w:rPr>
              <w:t xml:space="preserve">Choice (daily or weekly)</w:t>
            </w:r>
          </w:p>
        </w:tc>
      </w:tr>
      <w:tr>
        <w:tc>
          <w:tcPr>
            <w:tcW w:w="2556" w:type="dxa"/>
          </w:tcPr>
          <w:p>
            <w:pPr>
              <w:pStyle w:val="Compact"/>
              <w:spacing w:after="40"/>
              <w:jc w:val="left"/>
            </w:pPr>
            <w:r>
              <w:rPr>
                <w:sz w:val="18"/>
              </w:rPr>
              <w:t xml:space="preserve">Pre-sanction what-if threshold</w:t>
            </w:r>
          </w:p>
        </w:tc>
        <w:tc>
          <w:tcPr>
            <w:tcW w:w="2420" w:type="dxa"/>
          </w:tcPr>
          <w:p>
            <w:pPr>
              <w:pStyle w:val="Compact"/>
              <w:spacing w:after="40"/>
              <w:jc w:val="left"/>
            </w:pPr>
            <w:r>
              <w:rPr>
                <w:sz w:val="18"/>
              </w:rPr>
              <w:t xml:space="preserve">Exposures ≥ 1% of Tier 1 [REC]</w:t>
            </w:r>
          </w:p>
        </w:tc>
        <w:tc>
          <w:tcPr>
            <w:tcW w:w="1380" w:type="dxa"/>
          </w:tcPr>
          <w:p>
            <w:pPr>
              <w:pStyle w:val="Compact"/>
              <w:spacing w:after="40"/>
              <w:jc w:val="left"/>
            </w:pPr>
            <w:r>
              <w:rPr>
                <w:sz w:val="18"/>
              </w:rPr>
              <w:t xml:space="preserve">Product</w:t>
            </w:r>
          </w:p>
        </w:tc>
        <w:tc>
          <w:tcPr>
            <w:tcW w:w="3282" w:type="dxa"/>
          </w:tcPr>
          <w:p>
            <w:pPr>
              <w:pStyle w:val="Compact"/>
              <w:spacing w:after="40"/>
              <w:jc w:val="left"/>
            </w:pPr>
            <w:r>
              <w:rPr>
                <w:sz w:val="18"/>
              </w:rPr>
              <w:t xml:space="preserve">Choice</w:t>
            </w:r>
          </w:p>
        </w:tc>
      </w:tr>
      <w:tr>
        <w:tc>
          <w:tcPr>
            <w:tcW w:w="2556" w:type="dxa"/>
          </w:tcPr>
          <w:p>
            <w:pPr>
              <w:pStyle w:val="Compact"/>
              <w:spacing w:after="40"/>
              <w:jc w:val="left"/>
            </w:pPr>
            <w:r>
              <w:rPr>
                <w:sz w:val="18"/>
              </w:rPr>
              <w:t xml:space="preserve">Consumer-credit 125% flag</w:t>
            </w:r>
          </w:p>
        </w:tc>
        <w:tc>
          <w:tcPr>
            <w:tcW w:w="2420" w:type="dxa"/>
          </w:tcPr>
          <w:p>
            <w:pPr>
              <w:pStyle w:val="Compact"/>
              <w:spacing w:after="40"/>
              <w:jc w:val="left"/>
            </w:pPr>
            <w:r>
              <w:rPr>
                <w:sz w:val="18"/>
              </w:rPr>
              <w:t xml:space="preserve">Set at product level, fixed at sanction</w:t>
            </w:r>
          </w:p>
        </w:tc>
        <w:tc>
          <w:tcPr>
            <w:tcW w:w="1380" w:type="dxa"/>
          </w:tcPr>
          <w:p>
            <w:pPr>
              <w:pStyle w:val="Compact"/>
              <w:spacing w:after="40"/>
              <w:jc w:val="left"/>
            </w:pPr>
            <w:r>
              <w:rPr>
                <w:sz w:val="18"/>
              </w:rPr>
              <w:t xml:space="preserve">Product</w:t>
            </w:r>
          </w:p>
        </w:tc>
        <w:tc>
          <w:tcPr>
            <w:tcW w:w="3282" w:type="dxa"/>
          </w:tcPr>
          <w:p>
            <w:pPr>
              <w:pStyle w:val="Compact"/>
              <w:spacing w:after="40"/>
              <w:jc w:val="left"/>
            </w:pPr>
            <w:r>
              <w:rPr>
                <w:sz w:val="18"/>
              </w:rPr>
              <w:t xml:space="preserve">Floor: cannot be changed on a live loan without a CRO-approved reclassification</w:t>
            </w:r>
          </w:p>
        </w:tc>
      </w:tr>
      <w:tr>
        <w:tc>
          <w:tcPr>
            <w:tcW w:w="2556" w:type="dxa"/>
          </w:tcPr>
          <w:p>
            <w:pPr>
              <w:pStyle w:val="Compact"/>
              <w:spacing w:after="40"/>
              <w:jc w:val="left"/>
            </w:pPr>
            <w:r>
              <w:rPr>
                <w:sz w:val="18"/>
              </w:rPr>
              <w:t xml:space="preserve">Bank parallel run of 2027 packs</w:t>
            </w:r>
          </w:p>
        </w:tc>
        <w:tc>
          <w:tcPr>
            <w:tcW w:w="2420" w:type="dxa"/>
          </w:tcPr>
          <w:p>
            <w:pPr>
              <w:pStyle w:val="Compact"/>
              <w:spacing w:after="40"/>
              <w:jc w:val="left"/>
            </w:pPr>
            <w:r>
              <w:rPr>
                <w:sz w:val="18"/>
              </w:rPr>
              <w:t xml:space="preserve">On from 1 Oct 2026</w:t>
            </w:r>
          </w:p>
        </w:tc>
        <w:tc>
          <w:tcPr>
            <w:tcW w:w="1380" w:type="dxa"/>
          </w:tcPr>
          <w:p>
            <w:pPr>
              <w:pStyle w:val="Compact"/>
              <w:spacing w:after="40"/>
              <w:jc w:val="left"/>
            </w:pPr>
            <w:r>
              <w:rPr>
                <w:sz w:val="18"/>
              </w:rPr>
              <w:t xml:space="preserve">Tenant (banks)</w:t>
            </w:r>
          </w:p>
        </w:tc>
        <w:tc>
          <w:tcPr>
            <w:tcW w:w="3282" w:type="dxa"/>
          </w:tcPr>
          <w:p>
            <w:pPr>
              <w:pStyle w:val="Compact"/>
              <w:spacing w:after="40"/>
              <w:jc w:val="left"/>
            </w:pPr>
            <w:r>
              <w:rPr>
                <w:sz w:val="18"/>
              </w:rPr>
              <w:t xml:space="preserve">Choice [REC]</w:t>
            </w:r>
          </w:p>
        </w:tc>
      </w:tr>
    </w:tbl>
    <w:bookmarkEnd w:id="421"/>
    <w:bookmarkStart w:id="422" w:name="menu-and-screens-9"/>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63"/>
        <w:gridCol w:w="3438"/>
        <w:gridCol w:w="2954"/>
        <w:gridCol w:w="1783"/>
      </w:tblGrid>
      <w:tr>
        <w:trPr>
          <w:tblHeader w:val="true"/>
          <w:tblHeader w:val="true"/>
        </w:trPr>
        <w:tc>
          <w:tcPr>
            <w:tcW w:w="1463" w:type="dxa"/>
            <w:shd w:val="clear" w:color="auto" w:fill="1F3A5F"/>
          </w:tcPr>
          <w:p>
            <w:pPr>
              <w:pStyle w:val="Compact"/>
              <w:spacing w:after="40"/>
              <w:jc w:val="left"/>
            </w:pPr>
            <w:r>
              <w:rPr>
                <w:b/>
                <w:color w:val="FFFFFF"/>
                <w:sz w:val="18"/>
              </w:rPr>
              <w:t xml:space="preserve">Path (workspace J)</w:t>
            </w:r>
          </w:p>
        </w:tc>
        <w:tc>
          <w:tcPr>
            <w:tcW w:w="3438" w:type="dxa"/>
            <w:shd w:val="clear" w:color="auto" w:fill="1F3A5F"/>
          </w:tcPr>
          <w:p>
            <w:pPr>
              <w:pStyle w:val="Compact"/>
              <w:spacing w:after="40"/>
              <w:jc w:val="left"/>
            </w:pPr>
            <w:r>
              <w:rPr>
                <w:b/>
                <w:color w:val="FFFFFF"/>
                <w:sz w:val="18"/>
              </w:rPr>
              <w:t xml:space="preserve">Screens</w:t>
            </w:r>
          </w:p>
        </w:tc>
        <w:tc>
          <w:tcPr>
            <w:tcW w:w="2954" w:type="dxa"/>
            <w:shd w:val="clear" w:color="auto" w:fill="1F3A5F"/>
          </w:tcPr>
          <w:p>
            <w:pPr>
              <w:pStyle w:val="Compact"/>
              <w:spacing w:after="40"/>
              <w:jc w:val="left"/>
            </w:pPr>
            <w:r>
              <w:rPr>
                <w:b/>
                <w:color w:val="FFFFFF"/>
                <w:sz w:val="18"/>
              </w:rPr>
              <w:t xml:space="preserve">Key actions and rules</w:t>
            </w:r>
          </w:p>
        </w:tc>
        <w:tc>
          <w:tcPr>
            <w:tcW w:w="1783" w:type="dxa"/>
            <w:shd w:val="clear" w:color="auto" w:fill="1F3A5F"/>
          </w:tcPr>
          <w:p>
            <w:pPr>
              <w:pStyle w:val="Compact"/>
              <w:spacing w:after="40"/>
              <w:jc w:val="left"/>
            </w:pPr>
            <w:r>
              <w:rPr>
                <w:b/>
                <w:color w:val="FFFFFF"/>
                <w:sz w:val="18"/>
              </w:rPr>
              <w:t xml:space="preserve">Visible to</w:t>
            </w:r>
          </w:p>
        </w:tc>
      </w:tr>
      <w:tr>
        <w:tc>
          <w:tcPr>
            <w:tcW w:w="1463" w:type="dxa"/>
          </w:tcPr>
          <w:p>
            <w:pPr>
              <w:pStyle w:val="Compact"/>
              <w:spacing w:after="40"/>
              <w:jc w:val="left"/>
            </w:pPr>
            <w:r>
              <w:rPr>
                <w:rStyle w:val="VerbatimChar"/>
                <w:sz w:val="18"/>
              </w:rPr>
              <w:t xml:space="preserve">Risk › Capital › Runs</w:t>
            </w:r>
          </w:p>
        </w:tc>
        <w:tc>
          <w:tcPr>
            <w:tcW w:w="3438" w:type="dxa"/>
          </w:tcPr>
          <w:p>
            <w:pPr>
              <w:pStyle w:val="Compact"/>
              <w:spacing w:after="40"/>
              <w:jc w:val="left"/>
            </w:pPr>
            <w:r>
              <w:rPr>
                <w:sz w:val="18"/>
              </w:rPr>
              <w:t xml:space="preserve">Run list (type, as-of, state, CRAR, headroom band); run detail with capital build-up, RWA by class, RWA walk, top-20 contributors, quality-gate panel</w:t>
            </w:r>
          </w:p>
        </w:tc>
        <w:tc>
          <w:tcPr>
            <w:tcW w:w="2954" w:type="dxa"/>
          </w:tcPr>
          <w:p>
            <w:pPr>
              <w:pStyle w:val="Compact"/>
              <w:spacing w:after="40"/>
              <w:jc w:val="left"/>
            </w:pPr>
            <w:r>
              <w:rPr>
                <w:sz w:val="18"/>
              </w:rPr>
              <w:t xml:space="preserve">Compute; validate; certify (blocked with the failed gate shown); create correction run; export DNBS03 elements</w:t>
            </w:r>
          </w:p>
        </w:tc>
        <w:tc>
          <w:tcPr>
            <w:tcW w:w="1783" w:type="dxa"/>
          </w:tcPr>
          <w:p>
            <w:pPr>
              <w:pStyle w:val="Compact"/>
              <w:spacing w:after="40"/>
              <w:jc w:val="left"/>
            </w:pPr>
            <w:r>
              <w:rPr>
                <w:sz w:val="18"/>
              </w:rPr>
              <w:t xml:space="preserve">CFO office, CRO; Board and auditors read</w:t>
            </w:r>
          </w:p>
        </w:tc>
      </w:tr>
      <w:tr>
        <w:tc>
          <w:tcPr>
            <w:tcW w:w="1463" w:type="dxa"/>
          </w:tcPr>
          <w:p>
            <w:pPr>
              <w:pStyle w:val="Compact"/>
              <w:spacing w:after="40"/>
              <w:jc w:val="left"/>
            </w:pPr>
            <w:r>
              <w:rPr>
                <w:rStyle w:val="VerbatimChar"/>
                <w:sz w:val="18"/>
              </w:rPr>
              <w:t xml:space="preserve">Risk › Capital › Drill-down</w:t>
            </w:r>
          </w:p>
        </w:tc>
        <w:tc>
          <w:tcPr>
            <w:tcW w:w="3438" w:type="dxa"/>
          </w:tcPr>
          <w:p>
            <w:pPr>
              <w:pStyle w:val="Compact"/>
              <w:spacing w:after="40"/>
              <w:jc w:val="left"/>
            </w:pPr>
            <w:r>
              <w:rPr>
                <w:sz w:val="18"/>
              </w:rPr>
              <w:t xml:space="preserve">Ratio → class → rule → exposure (three clicks)</w:t>
            </w:r>
          </w:p>
        </w:tc>
        <w:tc>
          <w:tcPr>
            <w:tcW w:w="2954" w:type="dxa"/>
          </w:tcPr>
          <w:p>
            <w:pPr>
              <w:pStyle w:val="Compact"/>
              <w:spacing w:after="40"/>
              <w:jc w:val="left"/>
            </w:pPr>
            <w:r>
              <w:rPr>
                <w:sz w:val="18"/>
              </w:rPr>
              <w:t xml:space="preserve">Open lineage; flag misclassification (opens a task to credit operations)</w:t>
            </w:r>
          </w:p>
        </w:tc>
        <w:tc>
          <w:tcPr>
            <w:tcW w:w="1783" w:type="dxa"/>
          </w:tcPr>
          <w:p>
            <w:pPr>
              <w:pStyle w:val="Compact"/>
              <w:spacing w:after="40"/>
              <w:jc w:val="left"/>
            </w:pPr>
            <w:r>
              <w:rPr>
                <w:sz w:val="18"/>
              </w:rPr>
              <w:t xml:space="preserve">CFO office, CRO, internal audit</w:t>
            </w:r>
          </w:p>
        </w:tc>
      </w:tr>
      <w:tr>
        <w:tc>
          <w:tcPr>
            <w:tcW w:w="1463" w:type="dxa"/>
          </w:tcPr>
          <w:p>
            <w:pPr>
              <w:pStyle w:val="Compact"/>
              <w:spacing w:after="40"/>
              <w:jc w:val="left"/>
            </w:pPr>
            <w:r>
              <w:rPr>
                <w:rStyle w:val="VerbatimChar"/>
                <w:sz w:val="18"/>
              </w:rPr>
              <w:t xml:space="preserve">Risk › Capital › What-if</w:t>
            </w:r>
          </w:p>
        </w:tc>
        <w:tc>
          <w:tcPr>
            <w:tcW w:w="3438" w:type="dxa"/>
          </w:tcPr>
          <w:p>
            <w:pPr>
              <w:pStyle w:val="Compact"/>
              <w:spacing w:after="40"/>
              <w:jc w:val="left"/>
            </w:pPr>
            <w:r>
              <w:rPr>
                <w:sz w:val="18"/>
              </w:rPr>
              <w:t xml:space="preserve">Sanction what-if; capital plan scenarios</w:t>
            </w:r>
          </w:p>
        </w:tc>
        <w:tc>
          <w:tcPr>
            <w:tcW w:w="2954" w:type="dxa"/>
          </w:tcPr>
          <w:p>
            <w:pPr>
              <w:pStyle w:val="Compact"/>
              <w:spacing w:after="40"/>
              <w:jc w:val="left"/>
            </w:pPr>
            <w:r>
              <w:rPr>
                <w:sz w:val="18"/>
              </w:rPr>
              <w:t xml:space="preserve">Run; pin result to sanction</w:t>
            </w:r>
          </w:p>
        </w:tc>
        <w:tc>
          <w:tcPr>
            <w:tcW w:w="1783" w:type="dxa"/>
          </w:tcPr>
          <w:p>
            <w:pPr>
              <w:pStyle w:val="Compact"/>
              <w:spacing w:after="40"/>
              <w:jc w:val="left"/>
            </w:pPr>
            <w:r>
              <w:rPr>
                <w:sz w:val="18"/>
              </w:rPr>
              <w:t xml:space="preserve">Credit (pre-sanction), CFO, CRO</w:t>
            </w:r>
          </w:p>
        </w:tc>
      </w:tr>
      <w:tr>
        <w:tc>
          <w:tcPr>
            <w:tcW w:w="1463" w:type="dxa"/>
          </w:tcPr>
          <w:p>
            <w:pPr>
              <w:pStyle w:val="Compact"/>
              <w:spacing w:after="40"/>
              <w:jc w:val="left"/>
            </w:pPr>
            <w:r>
              <w:rPr>
                <w:rStyle w:val="VerbatimChar"/>
                <w:sz w:val="18"/>
              </w:rPr>
              <w:t xml:space="preserve">Risk › Capital › Rule packs</w:t>
            </w:r>
          </w:p>
        </w:tc>
        <w:tc>
          <w:tcPr>
            <w:tcW w:w="3438" w:type="dxa"/>
          </w:tcPr>
          <w:p>
            <w:pPr>
              <w:pStyle w:val="Compact"/>
              <w:spacing w:after="40"/>
              <w:jc w:val="left"/>
            </w:pPr>
            <w:r>
              <w:rPr>
                <w:sz w:val="18"/>
              </w:rPr>
              <w:t xml:space="preserve">Pack versions by profile; effective dates; parallel-run reconciliation</w:t>
            </w:r>
          </w:p>
        </w:tc>
        <w:tc>
          <w:tcPr>
            <w:tcW w:w="2954" w:type="dxa"/>
          </w:tcPr>
          <w:p>
            <w:pPr>
              <w:pStyle w:val="Compact"/>
              <w:spacing w:after="40"/>
              <w:jc w:val="left"/>
            </w:pPr>
            <w:r>
              <w:rPr>
                <w:sz w:val="18"/>
              </w:rPr>
              <w:t xml:space="preserve">View rules; approve tenant-level Board minimums</w:t>
            </w:r>
          </w:p>
        </w:tc>
        <w:tc>
          <w:tcPr>
            <w:tcW w:w="1783" w:type="dxa"/>
          </w:tcPr>
          <w:p>
            <w:pPr>
              <w:pStyle w:val="Compact"/>
              <w:spacing w:after="40"/>
              <w:jc w:val="left"/>
            </w:pPr>
            <w:r>
              <w:rPr>
                <w:sz w:val="18"/>
              </w:rPr>
              <w:t xml:space="preserve">CRO, CFO</w:t>
            </w:r>
          </w:p>
        </w:tc>
      </w:tr>
    </w:tbl>
    <w:bookmarkEnd w:id="422"/>
    <w:bookmarkStart w:id="423" w:name="acceptance-tests-28"/>
    <w:p>
      <w:pPr>
        <w:pStyle w:val="Heading3"/>
      </w:pPr>
      <w:r>
        <w:t xml:space="preserve">Acceptance tests</w:t>
      </w:r>
    </w:p>
    <w:p>
      <w:pPr>
        <w:numPr>
          <w:ilvl w:val="0"/>
          <w:numId w:val="1402"/>
        </w:numPr>
        <w:pStyle w:val="Compact"/>
      </w:pPr>
      <w:r>
        <w:t xml:space="preserve">A personal-loan product flagged consumer credit attracts 125%; a microfinance JLG loan sanctioned after 25 Feb 2025 attracts 100%; a run dated before 25 Feb 2025 reproduces the historical treatment.</w:t>
      </w:r>
    </w:p>
    <w:p>
      <w:pPr>
        <w:numPr>
          <w:ilvl w:val="0"/>
          <w:numId w:val="1402"/>
        </w:numPr>
        <w:pStyle w:val="Compact"/>
      </w:pPr>
      <w:r>
        <w:t xml:space="preserve">An infrastructure loan with 2.4% of sanctioned project debt repaid moves to 75% on the next run; a grandfathered exposure reverts to its standard class on 1 Apr 2027 if not reviewed earlier.</w:t>
      </w:r>
    </w:p>
    <w:p>
      <w:pPr>
        <w:numPr>
          <w:ilvl w:val="0"/>
          <w:numId w:val="1402"/>
        </w:numPr>
        <w:pStyle w:val="Compact"/>
      </w:pPr>
      <w:r>
        <w:t xml:space="preserve">An HFC loan of ₹28 lakh at LTV 85% attracts 50%; at LTV 92% it is blocked at sanction.</w:t>
      </w:r>
    </w:p>
    <w:p>
      <w:pPr>
        <w:numPr>
          <w:ilvl w:val="0"/>
          <w:numId w:val="1402"/>
        </w:numPr>
        <w:pStyle w:val="Compact"/>
      </w:pPr>
      <w:r>
        <w:t xml:space="preserve">A BL tenant shows leverage and no CRAR; an ML tenant shows no leverage ratio; neither shows an operational-risk RWA line.</w:t>
      </w:r>
    </w:p>
    <w:p>
      <w:pPr>
        <w:numPr>
          <w:ilvl w:val="0"/>
          <w:numId w:val="1402"/>
        </w:numPr>
        <w:pStyle w:val="Compact"/>
      </w:pPr>
      <w:r>
        <w:t xml:space="preserve">The para 48 securitisation illustration and a seeded RWA portfolio reproduce expected totals to the rupee.</w:t>
      </w:r>
    </w:p>
    <w:p>
      <w:pPr>
        <w:numPr>
          <w:ilvl w:val="0"/>
          <w:numId w:val="1402"/>
        </w:numPr>
        <w:pStyle w:val="Compact"/>
      </w:pPr>
      <w:r>
        <w:t xml:space="preserve">A bank tenant’s run dated 1 Apr 2027 uses the CB-CRSA pack; a run dated 31 Mar 2027 uses the earlier pack.</w:t>
      </w:r>
    </w:p>
    <w:p>
      <w:pPr>
        <w:numPr>
          <w:ilvl w:val="0"/>
          <w:numId w:val="1402"/>
        </w:numPr>
        <w:pStyle w:val="Compact"/>
      </w:pPr>
      <w:r>
        <w:t xml:space="preserve">Correcting a certified and filed quarterly run creates run 2 with a diff, keeps run 1 unchanged, opens a DNBS03 revision task and re-emits</w:t>
      </w:r>
      <w:r>
        <w:t xml:space="preserve"> </w:t>
      </w:r>
      <w:r>
        <w:rPr>
          <w:rStyle w:val="VerbatimChar"/>
        </w:rPr>
        <w:t xml:space="preserve">CapitalRatioComputed</w:t>
      </w:r>
      <w:r>
        <w:t xml:space="preserve"> </w:t>
      </w:r>
      <w:r>
        <w:t xml:space="preserve">with</w:t>
      </w:r>
      <w:r>
        <w:t xml:space="preserve"> </w:t>
      </w:r>
      <w:r>
        <w:rPr>
          <w:rStyle w:val="VerbatimChar"/>
        </w:rPr>
        <w:t xml:space="preserve">run_no</w:t>
      </w:r>
      <w:r>
        <w:t xml:space="preserve"> </w:t>
      </w:r>
      <w:r>
        <w:t xml:space="preserve">2.</w:t>
      </w:r>
    </w:p>
    <w:p>
      <w:r>
        <w:pict>
          <v:rect style="width:0;height:1.5pt" o:hralign="center" o:hrstd="t" o:hr="t"/>
        </w:pict>
      </w:r>
    </w:p>
    <w:bookmarkEnd w:id="423"/>
    <w:bookmarkEnd w:id="424"/>
    <w:bookmarkStart w:id="435" w:name="X5bdfc91a873007a88588fe04db20f9af12f20ed"/>
    <w:p>
      <w:pPr>
        <w:pStyle w:val="Heading2"/>
      </w:pPr>
      <w:r>
        <w:t xml:space="preserve">RK4. Liquidity, ALM and interest-rate risk</w:t>
      </w:r>
    </w:p>
    <w:bookmarkStart w:id="425" w:name="Xc040ef660786edfbe24bd5761d05bf29426bc88"/>
    <w:p>
      <w:pPr>
        <w:pStyle w:val="Heading3"/>
      </w:pPr>
      <w:r>
        <w:t xml:space="preserve">RK4.1 Applicability and returns (extends M12 and 8A.7)</w:t>
      </w:r>
    </w:p>
    <w:p>
      <w:pPr>
        <w:numPr>
          <w:ilvl w:val="0"/>
          <w:numId w:val="1403"/>
        </w:numPr>
        <w:pStyle w:val="Compact"/>
      </w:pPr>
      <w:r>
        <w:t xml:space="preserve">ALM Ch II applies only where assets ≥ ₹100 crore; LCR (Ch III) applies to</w:t>
      </w:r>
      <w:r>
        <w:t xml:space="preserve"> </w:t>
      </w:r>
      <w:r>
        <w:rPr>
          <w:bCs/>
          <w:b/>
        </w:rPr>
        <w:t xml:space="preserve">all NBFC-D and NBFC-ND with assets ≥ ₹5,000 crore</w:t>
      </w:r>
      <w:r>
        <w:t xml:space="preserve">, never CICs; excluded from ALM: MGC, P2P, AA, SPD, NOFHC and BL without public funds (ALM 3–5).</w:t>
      </w:r>
    </w:p>
    <w:p>
      <w:pPr>
        <w:numPr>
          <w:ilvl w:val="0"/>
          <w:numId w:val="1403"/>
        </w:numPr>
        <w:pStyle w:val="Compact"/>
      </w:pPr>
      <w:r>
        <w:t xml:space="preserve">Returns DNBS04A (quarterly, within 21 days) and DNBS04B (monthly, within 15 days) are generated in Part 7B from the runs below for UL, ML (except SPDs) and BL with assets ≥ ₹100 crore (solo or group), excluding the categories listed in SR para 21 item 4 (ALM 57; SR 21–22).</w:t>
      </w:r>
    </w:p>
    <w:bookmarkEnd w:id="425"/>
    <w:bookmarkStart w:id="426" w:name="rk4.2-structural-liquidity-sls"/>
    <w:p>
      <w:pPr>
        <w:pStyle w:val="Heading3"/>
      </w:pPr>
      <w:r>
        <w:t xml:space="preserve">RK4.2 Structural liquidity (SLS)</w:t>
      </w:r>
    </w:p>
    <w:p>
      <w:pPr>
        <w:numPr>
          <w:ilvl w:val="0"/>
          <w:numId w:val="1404"/>
        </w:numPr>
        <w:pStyle w:val="Compact"/>
      </w:pPr>
      <w:r>
        <w:t xml:space="preserve">Per bucket (ALM 32): inflows, outflows, gap, cumulative gap and</w:t>
      </w:r>
      <w:r>
        <w:t xml:space="preserve"> </w:t>
      </w:r>
      <w:r>
        <w:rPr>
          <w:rStyle w:val="VerbatimChar"/>
        </w:rPr>
        <w:t xml:space="preserve">cum_mismatch% = −min(0, cum_gap) ÷ cum_outflow</w:t>
      </w:r>
      <w:r>
        <w:t xml:space="preserve">, tested against</w:t>
      </w:r>
      <w:r>
        <w:t xml:space="preserve"> </w:t>
      </w:r>
      <w:r>
        <w:rPr>
          <w:bCs/>
          <w:b/>
        </w:rPr>
        <w:t xml:space="preserve">10% (1–7 days), 10% (8–14 days), 20% (15–30/31 days)</w:t>
      </w:r>
      <w:r>
        <w:t xml:space="preserve"> </w:t>
      </w:r>
      <w:r>
        <w:t xml:space="preserve">and Board limits up to 1 year (ALM 39–40); computed solo and</w:t>
      </w:r>
      <w:r>
        <w:t xml:space="preserve"> </w:t>
      </w:r>
      <w:r>
        <w:rPr>
          <w:bCs/>
          <w:b/>
        </w:rPr>
        <w:t xml:space="preserve">consolidated</w:t>
      </w:r>
      <w:r>
        <w:t xml:space="preserve"> </w:t>
      </w:r>
      <w:r>
        <w:t xml:space="preserve">(same limits).</w:t>
      </w:r>
    </w:p>
    <w:p>
      <w:pPr>
        <w:numPr>
          <w:ilvl w:val="0"/>
          <w:numId w:val="1404"/>
        </w:numPr>
        <w:pStyle w:val="Compact"/>
      </w:pPr>
      <w:r>
        <w:t xml:space="preserve">Slotting through the versioned engine (M12; Annex II/III); every slotted amount keeps its rule version.</w:t>
      </w:r>
    </w:p>
    <w:p>
      <w:pPr>
        <w:numPr>
          <w:ilvl w:val="0"/>
          <w:numId w:val="1404"/>
        </w:numPr>
        <w:pStyle w:val="Compact"/>
      </w:pPr>
      <w:r>
        <w:t xml:space="preserve">Early warning at 80% of each limit [REC]; a breach emits</w:t>
      </w:r>
      <w:r>
        <w:t xml:space="preserve"> </w:t>
      </w:r>
      <w:r>
        <w:rPr>
          <w:rStyle w:val="VerbatimChar"/>
        </w:rPr>
        <w:t xml:space="preserve">LimitBreached</w:t>
      </w:r>
      <w:r>
        <w:t xml:space="preserve"> </w:t>
      </w:r>
      <w:r>
        <w:t xml:space="preserve">and starts the CFP escalation.</w:t>
      </w:r>
    </w:p>
    <w:bookmarkEnd w:id="426"/>
    <w:bookmarkStart w:id="427" w:name="rk4.3-lcr"/>
    <w:p>
      <w:pPr>
        <w:pStyle w:val="Heading3"/>
      </w:pPr>
      <w:r>
        <w:t xml:space="preserve">RK4.3 LCR</w:t>
      </w:r>
    </w:p>
    <w:p>
      <w:pPr>
        <w:numPr>
          <w:ilvl w:val="0"/>
          <w:numId w:val="1405"/>
        </w:numPr>
        <w:pStyle w:val="Compact"/>
      </w:pPr>
      <w:r>
        <w:t xml:space="preserve">Daily LCR = HQLA ÷ net 30-day outflows ≥</w:t>
      </w:r>
      <w:r>
        <w:t xml:space="preserve"> </w:t>
      </w:r>
      <w:r>
        <w:rPr>
          <w:bCs/>
          <w:b/>
        </w:rPr>
        <w:t xml:space="preserve">100%</w:t>
      </w:r>
      <w:r>
        <w:t xml:space="preserve"> </w:t>
      </w:r>
      <w:r>
        <w:t xml:space="preserve">on an ongoing basis (ALM 61–62). Haircuts 0% / 15% / 50% (ALM 68–70); NBFC-D statutory liquid assets count up to 80% of the required holding (71); stressed outflows = outflows × 115%, stressed inflows = inflows × 75%, net outflows = stressed outflows − min(stressed inflows, 75% of stressed outflows) (76); no double counting of HQLA inflows (77); 30-day grace for downgraded assets (74).</w:t>
      </w:r>
    </w:p>
    <w:p>
      <w:pPr>
        <w:numPr>
          <w:ilvl w:val="0"/>
          <w:numId w:val="1405"/>
        </w:numPr>
        <w:pStyle w:val="Compact"/>
      </w:pPr>
      <w:r>
        <w:rPr>
          <w:bCs/>
          <w:b/>
        </w:rPr>
        <w:t xml:space="preserve">HQLA operational register.</w:t>
      </w:r>
      <w:r>
        <w:t xml:space="preserve"> </w:t>
      </w:r>
      <w:r>
        <w:t xml:space="preserve">Each HQLA holding records unencumbered status, legal availability, monetisation test date and custodian (ALM 72–73).</w:t>
      </w:r>
    </w:p>
    <w:p>
      <w:pPr>
        <w:numPr>
          <w:ilvl w:val="0"/>
          <w:numId w:val="1405"/>
        </w:numPr>
        <w:pStyle w:val="Compact"/>
      </w:pPr>
      <w:r>
        <w:rPr>
          <w:bCs/>
          <w:b/>
        </w:rPr>
        <w:t xml:space="preserve">Stress use.</w:t>
      </w:r>
      <w:r>
        <w:t xml:space="preserve"> </w:t>
      </w:r>
      <w:r>
        <w:t xml:space="preserve">When HQLA is used and LCR falls below 100%,</w:t>
      </w:r>
      <w:r>
        <w:t xml:space="preserve"> </w:t>
      </w:r>
      <w:r>
        <w:rPr>
          <w:rStyle w:val="VerbatimChar"/>
        </w:rPr>
        <w:t xml:space="preserve">LimitBreached</w:t>
      </w:r>
      <w:r>
        <w:t xml:space="preserve"> </w:t>
      </w:r>
      <w:r>
        <w:t xml:space="preserve">fires and a DoS intimation draft is created for immediate submission by the tenant (ALM 62).</w:t>
      </w:r>
    </w:p>
    <w:p>
      <w:pPr>
        <w:numPr>
          <w:ilvl w:val="0"/>
          <w:numId w:val="1405"/>
        </w:numPr>
        <w:pStyle w:val="Compact"/>
      </w:pPr>
      <w:r>
        <w:rPr>
          <w:bCs/>
          <w:b/>
        </w:rPr>
        <w:t xml:space="preserve">Forecast.</w:t>
      </w:r>
      <w:r>
        <w:t xml:space="preserve"> </w:t>
      </w:r>
      <w:r>
        <w:t xml:space="preserve">30-day forward LCR projection from contractual flows and the funding plan; projected breach raises an amber alert.</w:t>
      </w:r>
    </w:p>
    <w:bookmarkEnd w:id="427"/>
    <w:bookmarkStart w:id="428" w:name="rk4.4-interest-rate-sensitivity-irs"/>
    <w:p>
      <w:pPr>
        <w:pStyle w:val="Heading3"/>
      </w:pPr>
      <w:r>
        <w:t xml:space="preserve">RK4.4 Interest-rate sensitivity (IRS)</w:t>
      </w:r>
    </w:p>
    <w:p>
      <w:pPr>
        <w:numPr>
          <w:ilvl w:val="0"/>
          <w:numId w:val="1406"/>
        </w:numPr>
        <w:pStyle w:val="Compact"/>
      </w:pPr>
      <w:r>
        <w:t xml:space="preserve">Repricing gap per bucket plus</w:t>
      </w:r>
      <w:r>
        <w:t xml:space="preserve"> </w:t>
      </w:r>
      <w:r>
        <w:t xml:space="preserve">“</w:t>
      </w:r>
      <w:r>
        <w:t xml:space="preserve">non-sensitive</w:t>
      </w:r>
      <w:r>
        <w:t xml:space="preserve">”</w:t>
      </w:r>
      <w:r>
        <w:t xml:space="preserve"> </w:t>
      </w:r>
      <w:r>
        <w:t xml:space="preserve">(ALM 49):</w:t>
      </w:r>
      <w:r>
        <w:t xml:space="preserve"> </w:t>
      </w:r>
      <w:r>
        <w:rPr>
          <w:rStyle w:val="VerbatimChar"/>
        </w:rPr>
        <w:t xml:space="preserve">gap = RSA − RSL</w:t>
      </w:r>
      <w:r>
        <w:t xml:space="preserve">.</w:t>
      </w:r>
    </w:p>
    <w:p>
      <w:pPr>
        <w:numPr>
          <w:ilvl w:val="0"/>
          <w:numId w:val="1406"/>
        </w:numPr>
        <w:pStyle w:val="Compact"/>
      </w:pPr>
      <w:r>
        <w:t xml:space="preserve">Earnings at risk in terms of NIM (ALM 52):</w:t>
      </w:r>
      <w:r>
        <w:t xml:space="preserve"> </w:t>
      </w:r>
      <w:r>
        <w:rPr>
          <w:rStyle w:val="VerbatimChar"/>
        </w:rPr>
        <w:t xml:space="preserve">EaR = Σ gap_i × Δr × t_i</w:t>
      </w:r>
      <w:r>
        <w:t xml:space="preserve"> </w:t>
      </w:r>
      <w:r>
        <w:t xml:space="preserve">over buckets up to 1 year,</w:t>
      </w:r>
      <w:r>
        <w:t xml:space="preserve"> </w:t>
      </w:r>
      <w:r>
        <w:rPr>
          <w:rStyle w:val="VerbatimChar"/>
        </w:rPr>
        <w:t xml:space="preserve">t_i</w:t>
      </w:r>
      <w:r>
        <w:t xml:space="preserve"> </w:t>
      </w:r>
      <w:r>
        <w:t xml:space="preserve">the time from bucket midpoint to one year [REC formula], for ±100 and ±200 bps.</w:t>
      </w:r>
    </w:p>
    <w:p>
      <w:pPr>
        <w:numPr>
          <w:ilvl w:val="0"/>
          <w:numId w:val="1406"/>
        </w:numPr>
        <w:pStyle w:val="Compact"/>
      </w:pPr>
      <w:r>
        <w:t xml:space="preserve">Duration gap:</w:t>
      </w:r>
      <w:r>
        <w:t xml:space="preserve"> </w:t>
      </w:r>
      <w:r>
        <w:rPr>
          <w:rStyle w:val="VerbatimChar"/>
        </w:rPr>
        <w:t xml:space="preserve">DGAP = D_A − (L ÷ A) × D_L</w:t>
      </w:r>
      <w:r>
        <w:t xml:space="preserve">; economic value sensitivity</w:t>
      </w:r>
      <w:r>
        <w:t xml:space="preserve"> </w:t>
      </w:r>
      <w:r>
        <w:rPr>
          <w:rStyle w:val="VerbatimChar"/>
        </w:rPr>
        <w:t xml:space="preserve">ΔEVE ≈ −DGAP × A × Δr ÷ (1 + r)</w:t>
      </w:r>
      <w:r>
        <w:t xml:space="preserve"> </w:t>
      </w:r>
      <w:r>
        <w:t xml:space="preserve">(ALM 45–46, internal measure).</w:t>
      </w:r>
    </w:p>
    <w:p>
      <w:pPr>
        <w:numPr>
          <w:ilvl w:val="0"/>
          <w:numId w:val="1406"/>
        </w:numPr>
        <w:pStyle w:val="Compact"/>
      </w:pPr>
      <w:r>
        <w:t xml:space="preserve">Gap limits as a percentage of total assets, earning assets or equity per Board approval (ALM 52).</w:t>
      </w:r>
    </w:p>
    <w:bookmarkEnd w:id="428"/>
    <w:bookmarkStart w:id="429" w:name="X23dd3b11953be0934aa9845b8bee5dbfcb3a38b"/>
    <w:p>
      <w:pPr>
        <w:pStyle w:val="Heading3"/>
      </w:pPr>
      <w:r>
        <w:t xml:space="preserve">RK4.5 Stock ratios, funding concentration and disclosures</w:t>
      </w:r>
    </w:p>
    <w:p>
      <w:pPr>
        <w:numPr>
          <w:ilvl w:val="0"/>
          <w:numId w:val="1407"/>
        </w:numPr>
        <w:pStyle w:val="Compact"/>
      </w:pPr>
      <w:r>
        <w:t xml:space="preserve">Six stock ratios (ALM 43) with Board limits; public disclosure set (ALM 15, Annex I: funding concentration by significant counterparty, top 20 deposits, top 10 borrowings, by instrument, stock ratios) generated quarterly with lineage; LCR quarterly disclosure (FS C.2(32); ALM 78).</w:t>
      </w:r>
    </w:p>
    <w:p>
      <w:pPr>
        <w:numPr>
          <w:ilvl w:val="0"/>
          <w:numId w:val="1407"/>
        </w:numPr>
        <w:pStyle w:val="Compact"/>
      </w:pPr>
      <w:r>
        <w:rPr>
          <w:bCs/>
          <w:b/>
        </w:rPr>
        <w:t xml:space="preserve">Maturity wall and funding plan.</w:t>
      </w:r>
      <w:r>
        <w:t xml:space="preserve"> </w:t>
      </w:r>
      <w:r>
        <w:t xml:space="preserve">Monthly liability maturities by lender and instrument for 24 months; planned raises; covenant headroom (R33–R41 covenant variants).</w:t>
      </w:r>
    </w:p>
    <w:bookmarkEnd w:id="429"/>
    <w:bookmarkStart w:id="430" w:name="Xab3ca14623e71464ef791985487ce5cd2e6ce43"/>
    <w:p>
      <w:pPr>
        <w:pStyle w:val="Heading3"/>
      </w:pPr>
      <w:r>
        <w:t xml:space="preserve">RK4.6 Contingency funding plan and liquidity stress</w:t>
      </w:r>
    </w:p>
    <w:p>
      <w:pPr>
        <w:numPr>
          <w:ilvl w:val="0"/>
          <w:numId w:val="1408"/>
        </w:numPr>
        <w:pStyle w:val="Compact"/>
      </w:pPr>
      <w:r>
        <w:rPr>
          <w:bCs/>
          <w:b/>
        </w:rPr>
        <w:t xml:space="preserve">CFP (ALM 29).</w:t>
      </w:r>
      <w:r>
        <w:t xml:space="preserve"> </w:t>
      </w:r>
      <w:r>
        <w:t xml:space="preserve">Sources (undrawn lines, securitisation or DA pipeline, HQLA monetisation, parent support), amounts, lead times, owners and triggers mapped to KRIs (default: LCR &lt; 110%, 1–7-day mismatch &gt; 7%, single-lender concentration &gt; 25% of borrowings, rating outlook negative) [REC defaults]. Annual CFP drill with evidence.</w:t>
      </w:r>
    </w:p>
    <w:p>
      <w:pPr>
        <w:numPr>
          <w:ilvl w:val="0"/>
          <w:numId w:val="1408"/>
        </w:numPr>
        <w:pStyle w:val="Compact"/>
      </w:pPr>
      <w:r>
        <w:rPr>
          <w:bCs/>
          <w:b/>
        </w:rPr>
        <w:t xml:space="preserve">Stress tests (ALM 28).</w:t>
      </w:r>
      <w:r>
        <w:t xml:space="preserve"> </w:t>
      </w:r>
      <w:r>
        <w:t xml:space="preserve">NBFC-specific and market-wide, short-term and protracted, individually and combined; run-off of undrawn commitments; loss of top lender; rating downgrade; delayed collections. Run through the RK7 stress engine with survival-horizon output (days until cumulative net outflow exceeds liquid resources).</w:t>
      </w:r>
    </w:p>
    <w:p>
      <w:pPr>
        <w:numPr>
          <w:ilvl w:val="0"/>
          <w:numId w:val="1408"/>
        </w:numPr>
        <w:pStyle w:val="Compact"/>
      </w:pPr>
      <w:r>
        <w:rPr>
          <w:bCs/>
          <w:b/>
        </w:rPr>
        <w:t xml:space="preserve">Behavioural assumptions</w:t>
      </w:r>
      <w:r>
        <w:t xml:space="preserve"> </w:t>
      </w:r>
      <w:r>
        <w:t xml:space="preserve">approved by ALCO/Board with a copy to the DoS Regional Office (ALM 54); back-tested annually.</w:t>
      </w:r>
    </w:p>
    <w:p>
      <w:pPr>
        <w:numPr>
          <w:ilvl w:val="0"/>
          <w:numId w:val="1408"/>
        </w:numPr>
        <w:pStyle w:val="Compact"/>
      </w:pPr>
      <w:r>
        <w:rPr>
          <w:bCs/>
          <w:b/>
        </w:rPr>
        <w:t xml:space="preserve">CFP activation.</w:t>
      </w:r>
      <w:r>
        <w:t xml:space="preserve"> </w:t>
      </w:r>
      <w:r>
        <w:rPr>
          <w:rStyle w:val="VerbatimChar"/>
        </w:rPr>
        <w:t xml:space="preserve">MONITORING → TRIGGERED</w:t>
      </w:r>
      <w:r>
        <w:t xml:space="preserve"> </w:t>
      </w:r>
      <w:r>
        <w:t xml:space="preserve">(a CFP trigger KRI turns red)</w:t>
      </w:r>
      <w:r>
        <w:t xml:space="preserve"> </w:t>
      </w:r>
      <w:r>
        <w:rPr>
          <w:rStyle w:val="VerbatimChar"/>
        </w:rPr>
        <w:t xml:space="preserve">→ ACTIVATED</w:t>
      </w:r>
      <w:r>
        <w:t xml:space="preserve"> </w:t>
      </w:r>
      <w:r>
        <w:t xml:space="preserve">(ALCO chair or CFO decision within 1 working day, recorded with the actions chosen)</w:t>
      </w:r>
      <w:r>
        <w:t xml:space="preserve"> </w:t>
      </w:r>
      <w:r>
        <w:rPr>
          <w:rStyle w:val="VerbatimChar"/>
        </w:rPr>
        <w:t xml:space="preserve">→ STAND_DOWN</w:t>
      </w:r>
      <w:r>
        <w:t xml:space="preserve"> </w:t>
      </w:r>
      <w:r>
        <w:t xml:space="preserve">(two consecutive green runs and ALCO approval); a decision not to activate is recorded with reasons and reviewed by the RMC. When HQLA is used and LCR falls below 100%, the DoS intimation task is mandatory (ALM 62).</w:t>
      </w:r>
    </w:p>
    <w:bookmarkEnd w:id="430"/>
    <w:bookmarkStart w:id="431" w:name="rk4.7-banks-and-co-operatives"/>
    <w:p>
      <w:pPr>
        <w:pStyle w:val="Heading3"/>
      </w:pPr>
      <w:r>
        <w:t xml:space="preserve">RK4.7 Banks and co-operatives</w:t>
      </w:r>
    </w:p>
    <w:p>
      <w:pPr>
        <w:numPr>
          <w:ilvl w:val="0"/>
          <w:numId w:val="1409"/>
        </w:numPr>
        <w:pStyle w:val="Compact"/>
      </w:pPr>
      <w:r>
        <w:rPr>
          <w:bCs/>
          <w:b/>
        </w:rPr>
        <w:t xml:space="preserve">Banks:</w:t>
      </w:r>
      <w:r>
        <w:t xml:space="preserve"> </w:t>
      </w:r>
      <w:r>
        <w:t xml:space="preserve">LCR changes effective 1 Apr 2026 (extra 2.5% run-off on internet- and mobile-banking-enabled retail and small-business deposits; G-sec haircuts aligned to LAF/MSF; certain non-financial wholesale run-off cut from 100% to 40%; RBI press release 21 Apr 2025); NSFR ≥ 100% and IRRBB per bank directions [VERIFY].</w:t>
      </w:r>
      <w:r>
        <w:t xml:space="preserve"> </w:t>
      </w:r>
      <w:r>
        <w:rPr>
          <w:bCs/>
          <w:b/>
        </w:rPr>
        <w:t xml:space="preserve">UCBs, StCB/DCCBs:</w:t>
      </w:r>
      <w:r>
        <w:t xml:space="preserve"> </w:t>
      </w:r>
      <w:r>
        <w:t xml:space="preserve">per their directions [VERIFY].</w:t>
      </w:r>
      <w:r>
        <w:t xml:space="preserve"> </w:t>
      </w:r>
      <w:r>
        <w:rPr>
          <w:bCs/>
          <w:b/>
        </w:rPr>
        <w:t xml:space="preserve">Credit co-operative societies:</w:t>
      </w:r>
      <w:r>
        <w:t xml:space="preserve"> </w:t>
      </w:r>
      <w:r>
        <w:t xml:space="preserve">State Act, rules or by-law liquidity norms [VERIFY: per state]; SLS and stock ratios shown as management indicators.</w:t>
      </w:r>
    </w:p>
    <w:bookmarkEnd w:id="431"/>
    <w:bookmarkStart w:id="432" w:name="settings-and-options-10"/>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76"/>
        <w:gridCol w:w="2194"/>
        <w:gridCol w:w="1362"/>
        <w:gridCol w:w="3306"/>
      </w:tblGrid>
      <w:tr>
        <w:trPr>
          <w:tblHeader w:val="true"/>
          <w:tblHeader w:val="true"/>
        </w:trPr>
        <w:tc>
          <w:tcPr>
            <w:tcW w:w="2776" w:type="dxa"/>
            <w:shd w:val="clear" w:color="auto" w:fill="1F3A5F"/>
          </w:tcPr>
          <w:p>
            <w:pPr>
              <w:pStyle w:val="Compact"/>
              <w:spacing w:after="40"/>
              <w:jc w:val="left"/>
            </w:pPr>
            <w:r>
              <w:rPr>
                <w:b/>
                <w:color w:val="FFFFFF"/>
                <w:sz w:val="18"/>
              </w:rPr>
              <w:t xml:space="preserve">Setting</w:t>
            </w:r>
          </w:p>
        </w:tc>
        <w:tc>
          <w:tcPr>
            <w:tcW w:w="2194" w:type="dxa"/>
            <w:shd w:val="clear" w:color="auto" w:fill="1F3A5F"/>
          </w:tcPr>
          <w:p>
            <w:pPr>
              <w:pStyle w:val="Compact"/>
              <w:spacing w:after="40"/>
              <w:jc w:val="left"/>
            </w:pPr>
            <w:r>
              <w:rPr>
                <w:b/>
                <w:color w:val="FFFFFF"/>
                <w:sz w:val="18"/>
              </w:rPr>
              <w:t xml:space="preserve">Default</w:t>
            </w:r>
          </w:p>
        </w:tc>
        <w:tc>
          <w:tcPr>
            <w:tcW w:w="1362" w:type="dxa"/>
            <w:shd w:val="clear" w:color="auto" w:fill="1F3A5F"/>
          </w:tcPr>
          <w:p>
            <w:pPr>
              <w:pStyle w:val="Compact"/>
              <w:spacing w:after="40"/>
              <w:jc w:val="left"/>
            </w:pPr>
            <w:r>
              <w:rPr>
                <w:b/>
                <w:color w:val="FFFFFF"/>
                <w:sz w:val="18"/>
              </w:rPr>
              <w:t xml:space="preserve">Level</w:t>
            </w:r>
          </w:p>
        </w:tc>
        <w:tc>
          <w:tcPr>
            <w:tcW w:w="3306" w:type="dxa"/>
            <w:shd w:val="clear" w:color="auto" w:fill="1F3A5F"/>
          </w:tcPr>
          <w:p>
            <w:pPr>
              <w:pStyle w:val="Compact"/>
              <w:spacing w:after="40"/>
              <w:jc w:val="left"/>
            </w:pPr>
            <w:r>
              <w:rPr>
                <w:b/>
                <w:color w:val="FFFFFF"/>
                <w:sz w:val="18"/>
              </w:rPr>
              <w:t xml:space="preserve">Floor or choice</w:t>
            </w:r>
          </w:p>
        </w:tc>
      </w:tr>
      <w:tr>
        <w:tc>
          <w:tcPr>
            <w:tcW w:w="2776" w:type="dxa"/>
          </w:tcPr>
          <w:p>
            <w:pPr>
              <w:pStyle w:val="Compact"/>
              <w:spacing w:after="40"/>
              <w:jc w:val="left"/>
            </w:pPr>
            <w:r>
              <w:rPr>
                <w:sz w:val="18"/>
              </w:rPr>
              <w:t xml:space="preserve">SLS tolerance limits 1–7, 8–14 and 15–30/31 days</w:t>
            </w:r>
          </w:p>
        </w:tc>
        <w:tc>
          <w:tcPr>
            <w:tcW w:w="2194" w:type="dxa"/>
          </w:tcPr>
          <w:p>
            <w:pPr>
              <w:pStyle w:val="Compact"/>
              <w:spacing w:after="40"/>
              <w:jc w:val="left"/>
            </w:pPr>
            <w:r>
              <w:rPr>
                <w:sz w:val="18"/>
              </w:rPr>
              <w:t xml:space="preserve">10% / 10% / 20%</w:t>
            </w:r>
          </w:p>
        </w:tc>
        <w:tc>
          <w:tcPr>
            <w:tcW w:w="1362" w:type="dxa"/>
          </w:tcPr>
          <w:p>
            <w:pPr>
              <w:pStyle w:val="Compact"/>
              <w:spacing w:after="40"/>
              <w:jc w:val="left"/>
            </w:pPr>
            <w:r>
              <w:rPr>
                <w:sz w:val="18"/>
              </w:rPr>
              <w:t xml:space="preserve">Rule pack</w:t>
            </w:r>
          </w:p>
        </w:tc>
        <w:tc>
          <w:tcPr>
            <w:tcW w:w="3306" w:type="dxa"/>
          </w:tcPr>
          <w:p>
            <w:pPr>
              <w:pStyle w:val="Compact"/>
              <w:spacing w:after="40"/>
              <w:jc w:val="left"/>
            </w:pPr>
            <w:r>
              <w:rPr>
                <w:sz w:val="18"/>
              </w:rPr>
              <w:t xml:space="preserve">Floor (ALM 39); Board limits for later buckets are a choice (ALM 40)</w:t>
            </w:r>
          </w:p>
        </w:tc>
      </w:tr>
      <w:tr>
        <w:tc>
          <w:tcPr>
            <w:tcW w:w="2776" w:type="dxa"/>
          </w:tcPr>
          <w:p>
            <w:pPr>
              <w:pStyle w:val="Compact"/>
              <w:spacing w:after="40"/>
              <w:jc w:val="left"/>
            </w:pPr>
            <w:r>
              <w:rPr>
                <w:sz w:val="18"/>
              </w:rPr>
              <w:t xml:space="preserve">Early-warning level</w:t>
            </w:r>
          </w:p>
        </w:tc>
        <w:tc>
          <w:tcPr>
            <w:tcW w:w="2194" w:type="dxa"/>
          </w:tcPr>
          <w:p>
            <w:pPr>
              <w:pStyle w:val="Compact"/>
              <w:spacing w:after="40"/>
              <w:jc w:val="left"/>
            </w:pPr>
            <w:r>
              <w:rPr>
                <w:sz w:val="18"/>
              </w:rPr>
              <w:t xml:space="preserve">80% of each limit</w:t>
            </w:r>
          </w:p>
        </w:tc>
        <w:tc>
          <w:tcPr>
            <w:tcW w:w="1362" w:type="dxa"/>
          </w:tcPr>
          <w:p>
            <w:pPr>
              <w:pStyle w:val="Compact"/>
              <w:spacing w:after="40"/>
              <w:jc w:val="left"/>
            </w:pPr>
            <w:r>
              <w:rPr>
                <w:sz w:val="18"/>
              </w:rPr>
              <w:t xml:space="preserve">Tenant</w:t>
            </w:r>
          </w:p>
        </w:tc>
        <w:tc>
          <w:tcPr>
            <w:tcW w:w="3306" w:type="dxa"/>
          </w:tcPr>
          <w:p>
            <w:pPr>
              <w:pStyle w:val="Compact"/>
              <w:spacing w:after="40"/>
              <w:jc w:val="left"/>
            </w:pPr>
            <w:r>
              <w:rPr>
                <w:sz w:val="18"/>
              </w:rPr>
              <w:t xml:space="preserve">Choice</w:t>
            </w:r>
          </w:p>
        </w:tc>
      </w:tr>
      <w:tr>
        <w:tc>
          <w:tcPr>
            <w:tcW w:w="2776" w:type="dxa"/>
          </w:tcPr>
          <w:p>
            <w:pPr>
              <w:pStyle w:val="Compact"/>
              <w:spacing w:after="40"/>
              <w:jc w:val="left"/>
            </w:pPr>
            <w:r>
              <w:rPr>
                <w:sz w:val="18"/>
              </w:rPr>
              <w:t xml:space="preserve">LCR internal floor</w:t>
            </w:r>
          </w:p>
        </w:tc>
        <w:tc>
          <w:tcPr>
            <w:tcW w:w="2194" w:type="dxa"/>
          </w:tcPr>
          <w:p>
            <w:pPr>
              <w:pStyle w:val="Compact"/>
              <w:spacing w:after="40"/>
              <w:jc w:val="left"/>
            </w:pPr>
            <w:r>
              <w:rPr>
                <w:sz w:val="18"/>
              </w:rPr>
              <w:t xml:space="preserve">110% (amber)</w:t>
            </w:r>
          </w:p>
        </w:tc>
        <w:tc>
          <w:tcPr>
            <w:tcW w:w="1362" w:type="dxa"/>
          </w:tcPr>
          <w:p>
            <w:pPr>
              <w:pStyle w:val="Compact"/>
              <w:spacing w:after="40"/>
              <w:jc w:val="left"/>
            </w:pPr>
            <w:r>
              <w:rPr>
                <w:sz w:val="18"/>
              </w:rPr>
              <w:t xml:space="preserve">Tenant</w:t>
            </w:r>
          </w:p>
        </w:tc>
        <w:tc>
          <w:tcPr>
            <w:tcW w:w="3306" w:type="dxa"/>
          </w:tcPr>
          <w:p>
            <w:pPr>
              <w:pStyle w:val="Compact"/>
              <w:spacing w:after="40"/>
              <w:jc w:val="left"/>
            </w:pPr>
            <w:r>
              <w:rPr>
                <w:sz w:val="18"/>
              </w:rPr>
              <w:t xml:space="preserve">Choice above 100%</w:t>
            </w:r>
          </w:p>
        </w:tc>
      </w:tr>
      <w:tr>
        <w:tc>
          <w:tcPr>
            <w:tcW w:w="2776" w:type="dxa"/>
          </w:tcPr>
          <w:p>
            <w:pPr>
              <w:pStyle w:val="Compact"/>
              <w:spacing w:after="40"/>
              <w:jc w:val="left"/>
            </w:pPr>
            <w:r>
              <w:rPr>
                <w:sz w:val="18"/>
              </w:rPr>
              <w:t xml:space="preserve">Stock-ratio and gap limits</w:t>
            </w:r>
          </w:p>
        </w:tc>
        <w:tc>
          <w:tcPr>
            <w:tcW w:w="2194" w:type="dxa"/>
          </w:tcPr>
          <w:p>
            <w:pPr>
              <w:pStyle w:val="Compact"/>
              <w:spacing w:after="40"/>
              <w:jc w:val="left"/>
            </w:pPr>
            <w:r>
              <w:rPr>
                <w:sz w:val="18"/>
              </w:rPr>
              <w:t xml:space="preserve">None until the Board sets them</w:t>
            </w:r>
          </w:p>
        </w:tc>
        <w:tc>
          <w:tcPr>
            <w:tcW w:w="1362" w:type="dxa"/>
          </w:tcPr>
          <w:p>
            <w:pPr>
              <w:pStyle w:val="Compact"/>
              <w:spacing w:after="40"/>
              <w:jc w:val="left"/>
            </w:pPr>
            <w:r>
              <w:rPr>
                <w:sz w:val="18"/>
              </w:rPr>
              <w:t xml:space="preserve">Tenant</w:t>
            </w:r>
          </w:p>
        </w:tc>
        <w:tc>
          <w:tcPr>
            <w:tcW w:w="3306" w:type="dxa"/>
          </w:tcPr>
          <w:p>
            <w:pPr>
              <w:pStyle w:val="Compact"/>
              <w:spacing w:after="40"/>
              <w:jc w:val="left"/>
            </w:pPr>
            <w:r>
              <w:rPr>
                <w:sz w:val="18"/>
              </w:rPr>
              <w:t xml:space="preserve">Board must set them (ALM 43, 52); values are a choice</w:t>
            </w:r>
          </w:p>
        </w:tc>
      </w:tr>
      <w:tr>
        <w:tc>
          <w:tcPr>
            <w:tcW w:w="2776" w:type="dxa"/>
          </w:tcPr>
          <w:p>
            <w:pPr>
              <w:pStyle w:val="Compact"/>
              <w:spacing w:after="40"/>
              <w:jc w:val="left"/>
            </w:pPr>
            <w:r>
              <w:rPr>
                <w:sz w:val="18"/>
              </w:rPr>
              <w:t xml:space="preserve">Behavioural assumptions</w:t>
            </w:r>
          </w:p>
        </w:tc>
        <w:tc>
          <w:tcPr>
            <w:tcW w:w="2194" w:type="dxa"/>
          </w:tcPr>
          <w:p>
            <w:pPr>
              <w:pStyle w:val="Compact"/>
              <w:spacing w:after="40"/>
              <w:jc w:val="left"/>
            </w:pPr>
            <w:r>
              <w:rPr>
                <w:sz w:val="18"/>
              </w:rPr>
              <w:t xml:space="preserve">Contractual slotting</w:t>
            </w:r>
          </w:p>
        </w:tc>
        <w:tc>
          <w:tcPr>
            <w:tcW w:w="1362" w:type="dxa"/>
          </w:tcPr>
          <w:p>
            <w:pPr>
              <w:pStyle w:val="Compact"/>
              <w:spacing w:after="40"/>
              <w:jc w:val="left"/>
            </w:pPr>
            <w:r>
              <w:rPr>
                <w:sz w:val="18"/>
              </w:rPr>
              <w:t xml:space="preserve">Tenant</w:t>
            </w:r>
          </w:p>
        </w:tc>
        <w:tc>
          <w:tcPr>
            <w:tcW w:w="3306" w:type="dxa"/>
          </w:tcPr>
          <w:p>
            <w:pPr>
              <w:pStyle w:val="Compact"/>
              <w:spacing w:after="40"/>
              <w:jc w:val="left"/>
            </w:pPr>
            <w:r>
              <w:rPr>
                <w:sz w:val="18"/>
              </w:rPr>
              <w:t xml:space="preserve">ALCO/Board approval and RO copy needed before regulatory use (floor)</w:t>
            </w:r>
          </w:p>
        </w:tc>
      </w:tr>
      <w:tr>
        <w:tc>
          <w:tcPr>
            <w:tcW w:w="2776" w:type="dxa"/>
          </w:tcPr>
          <w:p>
            <w:pPr>
              <w:pStyle w:val="Compact"/>
              <w:spacing w:after="40"/>
              <w:jc w:val="left"/>
            </w:pPr>
            <w:r>
              <w:rPr>
                <w:sz w:val="18"/>
              </w:rPr>
              <w:t xml:space="preserve">CFP triggers</w:t>
            </w:r>
          </w:p>
        </w:tc>
        <w:tc>
          <w:tcPr>
            <w:tcW w:w="2194" w:type="dxa"/>
          </w:tcPr>
          <w:p>
            <w:pPr>
              <w:pStyle w:val="Compact"/>
              <w:spacing w:after="40"/>
              <w:jc w:val="left"/>
            </w:pPr>
            <w:r>
              <w:rPr>
                <w:sz w:val="18"/>
              </w:rPr>
              <w:t xml:space="preserve">RK4.6 defaults</w:t>
            </w:r>
          </w:p>
        </w:tc>
        <w:tc>
          <w:tcPr>
            <w:tcW w:w="1362" w:type="dxa"/>
          </w:tcPr>
          <w:p>
            <w:pPr>
              <w:pStyle w:val="Compact"/>
              <w:spacing w:after="40"/>
              <w:jc w:val="left"/>
            </w:pPr>
            <w:r>
              <w:rPr>
                <w:sz w:val="18"/>
              </w:rPr>
              <w:t xml:space="preserve">Tenant</w:t>
            </w:r>
          </w:p>
        </w:tc>
        <w:tc>
          <w:tcPr>
            <w:tcW w:w="3306" w:type="dxa"/>
          </w:tcPr>
          <w:p>
            <w:pPr>
              <w:pStyle w:val="Compact"/>
              <w:spacing w:after="40"/>
              <w:jc w:val="left"/>
            </w:pPr>
            <w:r>
              <w:rPr>
                <w:sz w:val="18"/>
              </w:rPr>
              <w:t xml:space="preserve">Choice</w:t>
            </w:r>
          </w:p>
        </w:tc>
      </w:tr>
      <w:tr>
        <w:tc>
          <w:tcPr>
            <w:tcW w:w="2776" w:type="dxa"/>
          </w:tcPr>
          <w:p>
            <w:pPr>
              <w:pStyle w:val="Compact"/>
              <w:spacing w:after="40"/>
              <w:jc w:val="left"/>
            </w:pPr>
            <w:r>
              <w:rPr>
                <w:sz w:val="18"/>
              </w:rPr>
              <w:t xml:space="preserve">Voluntary ALM below ₹100 crore</w:t>
            </w:r>
          </w:p>
        </w:tc>
        <w:tc>
          <w:tcPr>
            <w:tcW w:w="2194" w:type="dxa"/>
          </w:tcPr>
          <w:p>
            <w:pPr>
              <w:pStyle w:val="Compact"/>
              <w:spacing w:after="40"/>
              <w:jc w:val="left"/>
            </w:pPr>
            <w:r>
              <w:rPr>
                <w:sz w:val="18"/>
              </w:rPr>
              <w:t xml:space="preserve">Off</w:t>
            </w:r>
          </w:p>
        </w:tc>
        <w:tc>
          <w:tcPr>
            <w:tcW w:w="1362" w:type="dxa"/>
          </w:tcPr>
          <w:p>
            <w:pPr>
              <w:pStyle w:val="Compact"/>
              <w:spacing w:after="40"/>
              <w:jc w:val="left"/>
            </w:pPr>
            <w:r>
              <w:rPr>
                <w:sz w:val="18"/>
              </w:rPr>
              <w:t xml:space="preserve">Tenant</w:t>
            </w:r>
          </w:p>
        </w:tc>
        <w:tc>
          <w:tcPr>
            <w:tcW w:w="3306" w:type="dxa"/>
          </w:tcPr>
          <w:p>
            <w:pPr>
              <w:pStyle w:val="Compact"/>
              <w:spacing w:after="40"/>
              <w:jc w:val="left"/>
            </w:pPr>
            <w:r>
              <w:rPr>
                <w:sz w:val="18"/>
              </w:rPr>
              <w:t xml:space="preserve">Choice</w:t>
            </w:r>
          </w:p>
        </w:tc>
      </w:tr>
    </w:tbl>
    <w:bookmarkEnd w:id="432"/>
    <w:bookmarkStart w:id="433" w:name="menu-and-screens-10"/>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43"/>
        <w:gridCol w:w="3086"/>
        <w:gridCol w:w="2952"/>
        <w:gridCol w:w="1857"/>
      </w:tblGrid>
      <w:tr>
        <w:trPr>
          <w:tblHeader w:val="true"/>
          <w:tblHeader w:val="true"/>
        </w:trPr>
        <w:tc>
          <w:tcPr>
            <w:tcW w:w="1743" w:type="dxa"/>
            <w:shd w:val="clear" w:color="auto" w:fill="1F3A5F"/>
          </w:tcPr>
          <w:p>
            <w:pPr>
              <w:pStyle w:val="Compact"/>
              <w:spacing w:after="40"/>
              <w:jc w:val="left"/>
            </w:pPr>
            <w:r>
              <w:rPr>
                <w:b/>
                <w:color w:val="FFFFFF"/>
                <w:sz w:val="18"/>
              </w:rPr>
              <w:t xml:space="preserve">Path (workspace J)</w:t>
            </w:r>
          </w:p>
        </w:tc>
        <w:tc>
          <w:tcPr>
            <w:tcW w:w="3086" w:type="dxa"/>
            <w:shd w:val="clear" w:color="auto" w:fill="1F3A5F"/>
          </w:tcPr>
          <w:p>
            <w:pPr>
              <w:pStyle w:val="Compact"/>
              <w:spacing w:after="40"/>
              <w:jc w:val="left"/>
            </w:pPr>
            <w:r>
              <w:rPr>
                <w:b/>
                <w:color w:val="FFFFFF"/>
                <w:sz w:val="18"/>
              </w:rPr>
              <w:t xml:space="preserve">Screens</w:t>
            </w:r>
          </w:p>
        </w:tc>
        <w:tc>
          <w:tcPr>
            <w:tcW w:w="2952" w:type="dxa"/>
            <w:shd w:val="clear" w:color="auto" w:fill="1F3A5F"/>
          </w:tcPr>
          <w:p>
            <w:pPr>
              <w:pStyle w:val="Compact"/>
              <w:spacing w:after="40"/>
              <w:jc w:val="left"/>
            </w:pPr>
            <w:r>
              <w:rPr>
                <w:b/>
                <w:color w:val="FFFFFF"/>
                <w:sz w:val="18"/>
              </w:rPr>
              <w:t xml:space="preserve">Key actions and rules</w:t>
            </w:r>
          </w:p>
        </w:tc>
        <w:tc>
          <w:tcPr>
            <w:tcW w:w="1857" w:type="dxa"/>
            <w:shd w:val="clear" w:color="auto" w:fill="1F3A5F"/>
          </w:tcPr>
          <w:p>
            <w:pPr>
              <w:pStyle w:val="Compact"/>
              <w:spacing w:after="40"/>
              <w:jc w:val="left"/>
            </w:pPr>
            <w:r>
              <w:rPr>
                <w:b/>
                <w:color w:val="FFFFFF"/>
                <w:sz w:val="18"/>
              </w:rPr>
              <w:t xml:space="preserve">Visible to</w:t>
            </w:r>
          </w:p>
        </w:tc>
      </w:tr>
      <w:tr>
        <w:tc>
          <w:tcPr>
            <w:tcW w:w="1743" w:type="dxa"/>
          </w:tcPr>
          <w:p>
            <w:pPr>
              <w:pStyle w:val="Compact"/>
              <w:spacing w:after="40"/>
              <w:jc w:val="left"/>
            </w:pPr>
            <w:r>
              <w:rPr>
                <w:rStyle w:val="VerbatimChar"/>
                <w:sz w:val="18"/>
              </w:rPr>
              <w:t xml:space="preserve">Risk › Liquidity › SLS and IRS</w:t>
            </w:r>
          </w:p>
        </w:tc>
        <w:tc>
          <w:tcPr>
            <w:tcW w:w="3086" w:type="dxa"/>
          </w:tcPr>
          <w:p>
            <w:pPr>
              <w:pStyle w:val="Compact"/>
              <w:spacing w:after="40"/>
              <w:jc w:val="left"/>
            </w:pPr>
            <w:r>
              <w:rPr>
                <w:sz w:val="18"/>
              </w:rPr>
              <w:t xml:space="preserve">Bucket grid (solo and consolidated), cumulative mismatch chart, IRS gap and EaR, DGAP and ΔEVE</w:t>
            </w:r>
          </w:p>
        </w:tc>
        <w:tc>
          <w:tcPr>
            <w:tcW w:w="2952" w:type="dxa"/>
          </w:tcPr>
          <w:p>
            <w:pPr>
              <w:pStyle w:val="Compact"/>
              <w:spacing w:after="40"/>
              <w:jc w:val="left"/>
            </w:pPr>
            <w:r>
              <w:rPr>
                <w:sz w:val="18"/>
              </w:rPr>
              <w:t xml:space="preserve">Run; certify; drill to slotting rule and contract; export DNBS04A and DNBS04B elements</w:t>
            </w:r>
          </w:p>
        </w:tc>
        <w:tc>
          <w:tcPr>
            <w:tcW w:w="1857" w:type="dxa"/>
          </w:tcPr>
          <w:p>
            <w:pPr>
              <w:pStyle w:val="Compact"/>
              <w:spacing w:after="40"/>
              <w:jc w:val="left"/>
            </w:pPr>
            <w:r>
              <w:rPr>
                <w:sz w:val="18"/>
              </w:rPr>
              <w:t xml:space="preserve">Treasury, CFO, CRO, ALCO members</w:t>
            </w:r>
          </w:p>
        </w:tc>
      </w:tr>
      <w:tr>
        <w:tc>
          <w:tcPr>
            <w:tcW w:w="1743" w:type="dxa"/>
          </w:tcPr>
          <w:p>
            <w:pPr>
              <w:pStyle w:val="Compact"/>
              <w:spacing w:after="40"/>
              <w:jc w:val="left"/>
            </w:pPr>
            <w:r>
              <w:rPr>
                <w:rStyle w:val="VerbatimChar"/>
                <w:sz w:val="18"/>
              </w:rPr>
              <w:t xml:space="preserve">Risk › Liquidity › LCR</w:t>
            </w:r>
          </w:p>
        </w:tc>
        <w:tc>
          <w:tcPr>
            <w:tcW w:w="3086" w:type="dxa"/>
          </w:tcPr>
          <w:p>
            <w:pPr>
              <w:pStyle w:val="Compact"/>
              <w:spacing w:after="40"/>
              <w:jc w:val="left"/>
            </w:pPr>
            <w:r>
              <w:rPr>
                <w:sz w:val="18"/>
              </w:rPr>
              <w:t xml:space="preserve">Daily LCR trend; HQLA register; outflow and inflow categories; 30-day forecast</w:t>
            </w:r>
          </w:p>
        </w:tc>
        <w:tc>
          <w:tcPr>
            <w:tcW w:w="2952" w:type="dxa"/>
          </w:tcPr>
          <w:p>
            <w:pPr>
              <w:pStyle w:val="Compact"/>
              <w:spacing w:after="40"/>
              <w:jc w:val="left"/>
            </w:pPr>
            <w:r>
              <w:rPr>
                <w:sz w:val="18"/>
              </w:rPr>
              <w:t xml:space="preserve">Record monetisation test; mark encumbrance; raise DoS intimation task</w:t>
            </w:r>
          </w:p>
        </w:tc>
        <w:tc>
          <w:tcPr>
            <w:tcW w:w="1857" w:type="dxa"/>
          </w:tcPr>
          <w:p>
            <w:pPr>
              <w:pStyle w:val="Compact"/>
              <w:spacing w:after="40"/>
              <w:jc w:val="left"/>
            </w:pPr>
            <w:r>
              <w:rPr>
                <w:sz w:val="18"/>
              </w:rPr>
              <w:t xml:space="preserve">Treasury, CFO, CRO</w:t>
            </w:r>
          </w:p>
        </w:tc>
      </w:tr>
      <w:tr>
        <w:tc>
          <w:tcPr>
            <w:tcW w:w="1743" w:type="dxa"/>
          </w:tcPr>
          <w:p>
            <w:pPr>
              <w:pStyle w:val="Compact"/>
              <w:spacing w:after="40"/>
              <w:jc w:val="left"/>
            </w:pPr>
            <w:r>
              <w:rPr>
                <w:rStyle w:val="VerbatimChar"/>
                <w:sz w:val="18"/>
              </w:rPr>
              <w:t xml:space="preserve">Risk › Liquidity › Funding</w:t>
            </w:r>
          </w:p>
        </w:tc>
        <w:tc>
          <w:tcPr>
            <w:tcW w:w="3086" w:type="dxa"/>
          </w:tcPr>
          <w:p>
            <w:pPr>
              <w:pStyle w:val="Compact"/>
              <w:spacing w:after="40"/>
              <w:jc w:val="left"/>
            </w:pPr>
            <w:r>
              <w:rPr>
                <w:sz w:val="18"/>
              </w:rPr>
              <w:t xml:space="preserve">Maturity wall; funding plan; covenant headroom; concentration</w:t>
            </w:r>
          </w:p>
        </w:tc>
        <w:tc>
          <w:tcPr>
            <w:tcW w:w="2952" w:type="dxa"/>
          </w:tcPr>
          <w:p>
            <w:pPr>
              <w:pStyle w:val="Compact"/>
              <w:spacing w:after="40"/>
              <w:jc w:val="left"/>
            </w:pPr>
            <w:r>
              <w:rPr>
                <w:sz w:val="18"/>
              </w:rPr>
              <w:t xml:space="preserve">Add planned raise; link covenant; alert setup</w:t>
            </w:r>
          </w:p>
        </w:tc>
        <w:tc>
          <w:tcPr>
            <w:tcW w:w="1857" w:type="dxa"/>
          </w:tcPr>
          <w:p>
            <w:pPr>
              <w:pStyle w:val="Compact"/>
              <w:spacing w:after="40"/>
              <w:jc w:val="left"/>
            </w:pPr>
            <w:r>
              <w:rPr>
                <w:sz w:val="18"/>
              </w:rPr>
              <w:t xml:space="preserve">Treasury, CFO</w:t>
            </w:r>
          </w:p>
        </w:tc>
      </w:tr>
      <w:tr>
        <w:tc>
          <w:tcPr>
            <w:tcW w:w="1743" w:type="dxa"/>
          </w:tcPr>
          <w:p>
            <w:pPr>
              <w:pStyle w:val="Compact"/>
              <w:spacing w:after="40"/>
              <w:jc w:val="left"/>
            </w:pPr>
            <w:r>
              <w:rPr>
                <w:rStyle w:val="VerbatimChar"/>
                <w:sz w:val="18"/>
              </w:rPr>
              <w:t xml:space="preserve">Risk › Liquidity › CFP</w:t>
            </w:r>
          </w:p>
        </w:tc>
        <w:tc>
          <w:tcPr>
            <w:tcW w:w="3086" w:type="dxa"/>
          </w:tcPr>
          <w:p>
            <w:pPr>
              <w:pStyle w:val="Compact"/>
              <w:spacing w:after="40"/>
              <w:jc w:val="left"/>
            </w:pPr>
            <w:r>
              <w:rPr>
                <w:sz w:val="18"/>
              </w:rPr>
              <w:t xml:space="preserve">CFP sources; triggers; activation log; drills</w:t>
            </w:r>
          </w:p>
        </w:tc>
        <w:tc>
          <w:tcPr>
            <w:tcW w:w="2952" w:type="dxa"/>
          </w:tcPr>
          <w:p>
            <w:pPr>
              <w:pStyle w:val="Compact"/>
              <w:spacing w:after="40"/>
              <w:jc w:val="left"/>
            </w:pPr>
            <w:r>
              <w:rPr>
                <w:sz w:val="18"/>
              </w:rPr>
              <w:t xml:space="preserve">Activate, stand down, record drill</w:t>
            </w:r>
          </w:p>
        </w:tc>
        <w:tc>
          <w:tcPr>
            <w:tcW w:w="1857" w:type="dxa"/>
          </w:tcPr>
          <w:p>
            <w:pPr>
              <w:pStyle w:val="Compact"/>
              <w:spacing w:after="40"/>
              <w:jc w:val="left"/>
            </w:pPr>
            <w:r>
              <w:rPr>
                <w:sz w:val="18"/>
              </w:rPr>
              <w:t xml:space="preserve">ALCO chair, CFO, CRO</w:t>
            </w:r>
          </w:p>
        </w:tc>
      </w:tr>
      <w:tr>
        <w:tc>
          <w:tcPr>
            <w:tcW w:w="1743" w:type="dxa"/>
          </w:tcPr>
          <w:p>
            <w:pPr>
              <w:pStyle w:val="Compact"/>
              <w:spacing w:after="40"/>
              <w:jc w:val="left"/>
            </w:pPr>
            <w:r>
              <w:rPr>
                <w:rStyle w:val="VerbatimChar"/>
                <w:sz w:val="18"/>
              </w:rPr>
              <w:t xml:space="preserve">Risk › Liquidity › Assumptions</w:t>
            </w:r>
          </w:p>
        </w:tc>
        <w:tc>
          <w:tcPr>
            <w:tcW w:w="3086" w:type="dxa"/>
          </w:tcPr>
          <w:p>
            <w:pPr>
              <w:pStyle w:val="Compact"/>
              <w:spacing w:after="40"/>
              <w:jc w:val="left"/>
            </w:pPr>
            <w:r>
              <w:rPr>
                <w:sz w:val="18"/>
              </w:rPr>
              <w:t xml:space="preserve">Behavioural assumption versions and back-tests</w:t>
            </w:r>
          </w:p>
        </w:tc>
        <w:tc>
          <w:tcPr>
            <w:tcW w:w="2952" w:type="dxa"/>
          </w:tcPr>
          <w:p>
            <w:pPr>
              <w:pStyle w:val="Compact"/>
              <w:spacing w:after="40"/>
              <w:jc w:val="left"/>
            </w:pPr>
            <w:r>
              <w:rPr>
                <w:sz w:val="18"/>
              </w:rPr>
              <w:t xml:space="preserve">Propose, approve (ALCO), send RO copy</w:t>
            </w:r>
          </w:p>
        </w:tc>
        <w:tc>
          <w:tcPr>
            <w:tcW w:w="1857" w:type="dxa"/>
          </w:tcPr>
          <w:p>
            <w:pPr>
              <w:pStyle w:val="Compact"/>
              <w:spacing w:after="40"/>
              <w:jc w:val="left"/>
            </w:pPr>
            <w:r>
              <w:rPr>
                <w:sz w:val="18"/>
              </w:rPr>
              <w:t xml:space="preserve">Treasury (propose), ALCO (approve)</w:t>
            </w:r>
          </w:p>
        </w:tc>
      </w:tr>
    </w:tbl>
    <w:bookmarkEnd w:id="433"/>
    <w:bookmarkStart w:id="434" w:name="acceptance-tests-29"/>
    <w:p>
      <w:pPr>
        <w:pStyle w:val="Heading3"/>
      </w:pPr>
      <w:r>
        <w:t xml:space="preserve">Acceptance tests</w:t>
      </w:r>
    </w:p>
    <w:p>
      <w:pPr>
        <w:numPr>
          <w:ilvl w:val="0"/>
          <w:numId w:val="1410"/>
        </w:numPr>
        <w:pStyle w:val="Compact"/>
      </w:pPr>
      <w:r>
        <w:t xml:space="preserve">A UL tenant with a cumulative 1–7-day mismatch of 10.4% of outflows shows red, emits</w:t>
      </w:r>
      <w:r>
        <w:t xml:space="preserve"> </w:t>
      </w:r>
      <w:r>
        <w:rPr>
          <w:rStyle w:val="VerbatimChar"/>
        </w:rPr>
        <w:t xml:space="preserve">LimitBreached</w:t>
      </w:r>
      <w:r>
        <w:t xml:space="preserve"> </w:t>
      </w:r>
      <w:r>
        <w:t xml:space="preserve">and opens the CFP escalation; at 8.2% it shows amber.</w:t>
      </w:r>
    </w:p>
    <w:p>
      <w:pPr>
        <w:numPr>
          <w:ilvl w:val="0"/>
          <w:numId w:val="1410"/>
        </w:numPr>
        <w:pStyle w:val="Compact"/>
      </w:pPr>
      <w:r>
        <w:t xml:space="preserve">The LCR engine applies the stress factors and the 75% inflow cap: with contractual outflows of 100 and contractual inflows of 120, stressed outflows = 115, stressed inflows = 90, capped at 86.25, so net outflows = 28.75; with contractual inflows of 80, stressed inflows = 60 (below the cap), so net outflows = 55.</w:t>
      </w:r>
    </w:p>
    <w:p>
      <w:pPr>
        <w:numPr>
          <w:ilvl w:val="0"/>
          <w:numId w:val="1410"/>
        </w:numPr>
        <w:pStyle w:val="Compact"/>
      </w:pPr>
      <w:r>
        <w:t xml:space="preserve">A CIC tenant has no LCR screen; a BL non-deposit tenant with ₹90 crore assets has no ALM Ch II requirement but can run SLS voluntarily.</w:t>
      </w:r>
    </w:p>
    <w:p>
      <w:pPr>
        <w:numPr>
          <w:ilvl w:val="0"/>
          <w:numId w:val="1410"/>
        </w:numPr>
        <w:pStyle w:val="Compact"/>
      </w:pPr>
      <w:r>
        <w:t xml:space="preserve">EaR for a +200 bps shock on a seeded gap profile equals the hand-computed value.</w:t>
      </w:r>
    </w:p>
    <w:p>
      <w:pPr>
        <w:numPr>
          <w:ilvl w:val="0"/>
          <w:numId w:val="1410"/>
        </w:numPr>
        <w:pStyle w:val="Compact"/>
      </w:pPr>
      <w:r>
        <w:t xml:space="preserve">A behavioural-assumption change without ALCO approval cannot be used in a regulatory run.</w:t>
      </w:r>
    </w:p>
    <w:p>
      <w:r>
        <w:pict>
          <v:rect style="width:0;height:1.5pt" o:hralign="center" o:hrstd="t" o:hr="t"/>
        </w:pict>
      </w:r>
    </w:p>
    <w:bookmarkEnd w:id="434"/>
    <w:bookmarkEnd w:id="435"/>
    <w:bookmarkStart w:id="443" w:name="X28d0ec5b56d626c5dbcab5774bbad266c55b4f2"/>
    <w:p>
      <w:pPr>
        <w:pStyle w:val="Heading2"/>
      </w:pPr>
      <w:r>
        <w:t xml:space="preserve">RK5. Concentration, large exposures and related-party limits</w:t>
      </w:r>
    </w:p>
    <w:bookmarkStart w:id="436" w:name="X2e073d1f2833ee2e4eb70a7c9220f638b28f2fb"/>
    <w:p>
      <w:pPr>
        <w:pStyle w:val="Heading3"/>
      </w:pPr>
      <w:r>
        <w:t xml:space="preserve">RK5.1 Limits by profile (extends M12 and 8A.4)</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44"/>
        <w:gridCol w:w="2772"/>
        <w:gridCol w:w="1932"/>
        <w:gridCol w:w="2121"/>
        <w:gridCol w:w="1369"/>
      </w:tblGrid>
      <w:tr>
        <w:trPr>
          <w:tblHeader w:val="true"/>
          <w:tblHeader w:val="true"/>
        </w:trPr>
        <w:tc>
          <w:tcPr>
            <w:tcW w:w="1444" w:type="dxa"/>
            <w:shd w:val="clear" w:color="auto" w:fill="1F3A5F"/>
          </w:tcPr>
          <w:p>
            <w:pPr>
              <w:pStyle w:val="Compact"/>
              <w:spacing w:after="40"/>
              <w:jc w:val="left"/>
            </w:pPr>
            <w:r>
              <w:rPr>
                <w:b/>
                <w:color w:val="FFFFFF"/>
                <w:sz w:val="18"/>
              </w:rPr>
              <w:t xml:space="preserve">Profile</w:t>
            </w:r>
          </w:p>
        </w:tc>
        <w:tc>
          <w:tcPr>
            <w:tcW w:w="2772" w:type="dxa"/>
            <w:shd w:val="clear" w:color="auto" w:fill="1F3A5F"/>
          </w:tcPr>
          <w:p>
            <w:pPr>
              <w:pStyle w:val="Compact"/>
              <w:spacing w:after="40"/>
              <w:jc w:val="left"/>
            </w:pPr>
            <w:r>
              <w:rPr>
                <w:b/>
                <w:color w:val="FFFFFF"/>
                <w:sz w:val="18"/>
              </w:rPr>
              <w:t xml:space="preserve">Single counterparty</w:t>
            </w:r>
          </w:p>
        </w:tc>
        <w:tc>
          <w:tcPr>
            <w:tcW w:w="1932" w:type="dxa"/>
            <w:shd w:val="clear" w:color="auto" w:fill="1F3A5F"/>
          </w:tcPr>
          <w:p>
            <w:pPr>
              <w:pStyle w:val="Compact"/>
              <w:spacing w:after="40"/>
              <w:jc w:val="left"/>
            </w:pPr>
            <w:r>
              <w:rPr>
                <w:b/>
                <w:color w:val="FFFFFF"/>
                <w:sz w:val="18"/>
              </w:rPr>
              <w:t xml:space="preserve">Group</w:t>
            </w:r>
          </w:p>
        </w:tc>
        <w:tc>
          <w:tcPr>
            <w:tcW w:w="2121" w:type="dxa"/>
            <w:shd w:val="clear" w:color="auto" w:fill="1F3A5F"/>
          </w:tcPr>
          <w:p>
            <w:pPr>
              <w:pStyle w:val="Compact"/>
              <w:spacing w:after="40"/>
              <w:jc w:val="left"/>
            </w:pPr>
            <w:r>
              <w:rPr>
                <w:b/>
                <w:color w:val="FFFFFF"/>
                <w:sz w:val="18"/>
              </w:rPr>
              <w:t xml:space="preserve">Base</w:t>
            </w:r>
          </w:p>
        </w:tc>
        <w:tc>
          <w:tcPr>
            <w:tcW w:w="1369" w:type="dxa"/>
            <w:shd w:val="clear" w:color="auto" w:fill="1F3A5F"/>
          </w:tcPr>
          <w:p>
            <w:pPr>
              <w:pStyle w:val="Compact"/>
              <w:spacing w:after="40"/>
              <w:jc w:val="left"/>
            </w:pPr>
            <w:r>
              <w:rPr>
                <w:b/>
                <w:color w:val="FFFFFF"/>
                <w:sz w:val="18"/>
              </w:rPr>
              <w:t xml:space="preserve">Source</w:t>
            </w:r>
          </w:p>
        </w:tc>
      </w:tr>
      <w:tr>
        <w:tc>
          <w:tcPr>
            <w:tcW w:w="1444" w:type="dxa"/>
          </w:tcPr>
          <w:p>
            <w:pPr>
              <w:pStyle w:val="Compact"/>
              <w:spacing w:after="40"/>
              <w:jc w:val="left"/>
            </w:pPr>
            <w:r>
              <w:rPr>
                <w:sz w:val="18"/>
              </w:rPr>
              <w:t xml:space="preserve">NBFC-ML (non-UL)</w:t>
            </w:r>
          </w:p>
        </w:tc>
        <w:tc>
          <w:tcPr>
            <w:tcW w:w="2772" w:type="dxa"/>
          </w:tcPr>
          <w:p>
            <w:pPr>
              <w:pStyle w:val="Compact"/>
              <w:spacing w:after="40"/>
              <w:jc w:val="left"/>
            </w:pPr>
            <w:r>
              <w:rPr>
                <w:sz w:val="18"/>
              </w:rPr>
              <w:t xml:space="preserve">25% (+5% for infrastructure)</w:t>
            </w:r>
          </w:p>
        </w:tc>
        <w:tc>
          <w:tcPr>
            <w:tcW w:w="1932" w:type="dxa"/>
          </w:tcPr>
          <w:p>
            <w:pPr>
              <w:pStyle w:val="Compact"/>
              <w:spacing w:after="40"/>
              <w:jc w:val="left"/>
            </w:pPr>
            <w:r>
              <w:rPr>
                <w:sz w:val="18"/>
              </w:rPr>
              <w:t xml:space="preserve">40% (+10% for infrastructure)</w:t>
            </w:r>
          </w:p>
        </w:tc>
        <w:tc>
          <w:tcPr>
            <w:tcW w:w="2121" w:type="dxa"/>
          </w:tcPr>
          <w:p>
            <w:pPr>
              <w:pStyle w:val="Compact"/>
              <w:spacing w:after="40"/>
              <w:jc w:val="left"/>
            </w:pPr>
            <w:r>
              <w:rPr>
                <w:sz w:val="18"/>
              </w:rPr>
              <w:t xml:space="preserve">Tier 1 (latest audited or limited-review)</w:t>
            </w:r>
          </w:p>
        </w:tc>
        <w:tc>
          <w:tcPr>
            <w:tcW w:w="1369" w:type="dxa"/>
          </w:tcPr>
          <w:p>
            <w:pPr>
              <w:pStyle w:val="Compact"/>
              <w:spacing w:after="40"/>
              <w:jc w:val="left"/>
            </w:pPr>
            <w:r>
              <w:rPr>
                <w:sz w:val="18"/>
              </w:rPr>
              <w:t xml:space="preserve">CON 13, 14(3)–(4)</w:t>
            </w:r>
          </w:p>
        </w:tc>
      </w:tr>
      <w:tr>
        <w:tc>
          <w:tcPr>
            <w:tcW w:w="1444" w:type="dxa"/>
          </w:tcPr>
          <w:p>
            <w:pPr>
              <w:pStyle w:val="Compact"/>
              <w:spacing w:after="40"/>
              <w:jc w:val="left"/>
            </w:pPr>
            <w:r>
              <w:rPr>
                <w:sz w:val="18"/>
              </w:rPr>
              <w:t xml:space="preserve">NBFC-IFC (ML)</w:t>
            </w:r>
          </w:p>
        </w:tc>
        <w:tc>
          <w:tcPr>
            <w:tcW w:w="2772" w:type="dxa"/>
          </w:tcPr>
          <w:p>
            <w:pPr>
              <w:pStyle w:val="Compact"/>
              <w:spacing w:after="40"/>
              <w:jc w:val="left"/>
            </w:pPr>
            <w:r>
              <w:rPr>
                <w:sz w:val="18"/>
              </w:rPr>
              <w:t xml:space="preserve">30%</w:t>
            </w:r>
          </w:p>
        </w:tc>
        <w:tc>
          <w:tcPr>
            <w:tcW w:w="1932" w:type="dxa"/>
          </w:tcPr>
          <w:p>
            <w:pPr>
              <w:pStyle w:val="Compact"/>
              <w:spacing w:after="40"/>
              <w:jc w:val="left"/>
            </w:pPr>
            <w:r>
              <w:rPr>
                <w:sz w:val="18"/>
              </w:rPr>
              <w:t xml:space="preserve">50%</w:t>
            </w:r>
          </w:p>
        </w:tc>
        <w:tc>
          <w:tcPr>
            <w:tcW w:w="2121" w:type="dxa"/>
          </w:tcPr>
          <w:p>
            <w:pPr>
              <w:pStyle w:val="Compact"/>
              <w:spacing w:after="40"/>
              <w:jc w:val="left"/>
            </w:pPr>
            <w:r>
              <w:rPr>
                <w:sz w:val="18"/>
              </w:rPr>
              <w:t xml:space="preserve">Tier 1</w:t>
            </w:r>
          </w:p>
        </w:tc>
        <w:tc>
          <w:tcPr>
            <w:tcW w:w="1369" w:type="dxa"/>
          </w:tcPr>
          <w:p>
            <w:pPr>
              <w:pStyle w:val="Compact"/>
              <w:spacing w:after="40"/>
              <w:jc w:val="left"/>
            </w:pPr>
            <w:r>
              <w:rPr>
                <w:sz w:val="18"/>
              </w:rPr>
              <w:t xml:space="preserve">CON 14</w:t>
            </w:r>
          </w:p>
        </w:tc>
      </w:tr>
      <w:tr>
        <w:tc>
          <w:tcPr>
            <w:tcW w:w="1444" w:type="dxa"/>
          </w:tcPr>
          <w:p>
            <w:pPr>
              <w:pStyle w:val="Compact"/>
              <w:spacing w:after="40"/>
              <w:jc w:val="left"/>
            </w:pPr>
            <w:r>
              <w:rPr>
                <w:sz w:val="18"/>
              </w:rPr>
              <w:t xml:space="preserve">NBFC-UL (LEF)</w:t>
            </w:r>
          </w:p>
        </w:tc>
        <w:tc>
          <w:tcPr>
            <w:tcW w:w="2772" w:type="dxa"/>
          </w:tcPr>
          <w:p>
            <w:pPr>
              <w:pStyle w:val="Compact"/>
              <w:spacing w:after="40"/>
              <w:jc w:val="left"/>
            </w:pPr>
            <w:r>
              <w:rPr>
                <w:sz w:val="18"/>
              </w:rPr>
              <w:t xml:space="preserve">20%; +5% with Board policy and written reasons; hard cap 25% (IFC 30%)</w:t>
            </w:r>
          </w:p>
        </w:tc>
        <w:tc>
          <w:tcPr>
            <w:tcW w:w="1932" w:type="dxa"/>
          </w:tcPr>
          <w:p>
            <w:pPr>
              <w:pStyle w:val="Compact"/>
              <w:spacing w:after="40"/>
              <w:jc w:val="left"/>
            </w:pPr>
            <w:r>
              <w:rPr>
                <w:sz w:val="18"/>
              </w:rPr>
              <w:t xml:space="preserve">25% (+10% infrastructure); IFC 35%</w:t>
            </w:r>
          </w:p>
        </w:tc>
        <w:tc>
          <w:tcPr>
            <w:tcW w:w="2121" w:type="dxa"/>
          </w:tcPr>
          <w:p>
            <w:pPr>
              <w:pStyle w:val="Compact"/>
              <w:spacing w:after="40"/>
              <w:jc w:val="left"/>
            </w:pPr>
            <w:r>
              <w:rPr>
                <w:sz w:val="18"/>
              </w:rPr>
              <w:t xml:space="preserve">Eligible capital base (Tier 1)</w:t>
            </w:r>
          </w:p>
        </w:tc>
        <w:tc>
          <w:tcPr>
            <w:tcW w:w="1369" w:type="dxa"/>
          </w:tcPr>
          <w:p>
            <w:pPr>
              <w:pStyle w:val="Compact"/>
              <w:spacing w:after="40"/>
              <w:jc w:val="left"/>
            </w:pPr>
            <w:r>
              <w:rPr>
                <w:sz w:val="18"/>
              </w:rPr>
              <w:t xml:space="preserve">CON 33–35, 39</w:t>
            </w:r>
          </w:p>
        </w:tc>
      </w:tr>
      <w:tr>
        <w:tc>
          <w:tcPr>
            <w:tcW w:w="1444" w:type="dxa"/>
          </w:tcPr>
          <w:p>
            <w:pPr>
              <w:pStyle w:val="Compact"/>
              <w:spacing w:after="40"/>
              <w:jc w:val="left"/>
            </w:pPr>
            <w:r>
              <w:rPr>
                <w:sz w:val="18"/>
              </w:rPr>
              <w:t xml:space="preserve">NBFC-BL</w:t>
            </w:r>
          </w:p>
        </w:tc>
        <w:tc>
          <w:tcPr>
            <w:tcW w:w="2772" w:type="dxa"/>
          </w:tcPr>
          <w:p>
            <w:pPr>
              <w:pStyle w:val="Compact"/>
              <w:spacing w:after="40"/>
              <w:jc w:val="left"/>
            </w:pPr>
            <w:r>
              <w:rPr>
                <w:sz w:val="18"/>
              </w:rPr>
              <w:t xml:space="preserve">Board-approved policy limits (computed by the ML method)</w:t>
            </w:r>
          </w:p>
        </w:tc>
        <w:tc>
          <w:tcPr>
            <w:tcW w:w="1932" w:type="dxa"/>
          </w:tcPr>
          <w:p>
            <w:pPr>
              <w:pStyle w:val="Compact"/>
              <w:spacing w:after="40"/>
              <w:jc w:val="left"/>
            </w:pPr>
            <w:r>
              <w:rPr>
                <w:sz w:val="18"/>
              </w:rPr>
              <w:t xml:space="preserve">Board-approved</w:t>
            </w:r>
          </w:p>
        </w:tc>
        <w:tc>
          <w:tcPr>
            <w:tcW w:w="2121" w:type="dxa"/>
          </w:tcPr>
          <w:p>
            <w:pPr>
              <w:pStyle w:val="Compact"/>
              <w:spacing w:after="40"/>
              <w:jc w:val="left"/>
            </w:pPr>
            <w:r>
              <w:rPr>
                <w:sz w:val="18"/>
              </w:rPr>
              <w:t xml:space="preserve">Tier 1</w:t>
            </w:r>
          </w:p>
        </w:tc>
        <w:tc>
          <w:tcPr>
            <w:tcW w:w="1369" w:type="dxa"/>
          </w:tcPr>
          <w:p>
            <w:pPr>
              <w:pStyle w:val="Compact"/>
              <w:spacing w:after="40"/>
              <w:jc w:val="left"/>
            </w:pPr>
            <w:r>
              <w:rPr>
                <w:sz w:val="18"/>
              </w:rPr>
              <w:t xml:space="preserve">CON 6, 8</w:t>
            </w:r>
          </w:p>
        </w:tc>
      </w:tr>
      <w:tr>
        <w:tc>
          <w:tcPr>
            <w:tcW w:w="1444" w:type="dxa"/>
          </w:tcPr>
          <w:p>
            <w:pPr>
              <w:pStyle w:val="Compact"/>
              <w:spacing w:after="40"/>
              <w:jc w:val="left"/>
            </w:pPr>
            <w:r>
              <w:rPr>
                <w:sz w:val="18"/>
              </w:rPr>
              <w:t xml:space="preserve">Banks</w:t>
            </w:r>
          </w:p>
        </w:tc>
        <w:tc>
          <w:tcPr>
            <w:tcW w:w="2772" w:type="dxa"/>
          </w:tcPr>
          <w:p>
            <w:pPr>
              <w:pStyle w:val="Compact"/>
              <w:spacing w:after="40"/>
              <w:jc w:val="left"/>
            </w:pPr>
            <w:r>
              <w:rPr>
                <w:sz w:val="18"/>
              </w:rPr>
              <w:t xml:space="preserve">LEF per bank directions [VERIFY]</w:t>
            </w:r>
          </w:p>
        </w:tc>
        <w:tc>
          <w:tcPr>
            <w:tcW w:w="1932" w:type="dxa"/>
          </w:tcPr>
          <w:p>
            <w:pPr>
              <w:pStyle w:val="Compact"/>
              <w:spacing w:after="40"/>
              <w:jc w:val="left"/>
            </w:pPr>
            <w:r>
              <w:rPr>
                <w:sz w:val="18"/>
              </w:rPr>
              <w:t xml:space="preserve">same</w:t>
            </w:r>
          </w:p>
        </w:tc>
        <w:tc>
          <w:tcPr>
            <w:tcW w:w="2121" w:type="dxa"/>
          </w:tcPr>
          <w:p>
            <w:pPr>
              <w:pStyle w:val="Compact"/>
              <w:spacing w:after="40"/>
              <w:jc w:val="left"/>
            </w:pPr>
            <w:r>
              <w:rPr>
                <w:sz w:val="18"/>
              </w:rPr>
              <w:t xml:space="preserve">Tier 1</w:t>
            </w:r>
          </w:p>
        </w:tc>
        <w:tc>
          <w:tcPr>
            <w:tcW w:w="1369" w:type="dxa"/>
          </w:tcPr>
          <w:p>
            <w:pPr>
              <w:pStyle w:val="Compact"/>
              <w:spacing w:after="40"/>
              <w:jc w:val="left"/>
            </w:pPr>
            <w:r>
              <w:rPr>
                <w:sz w:val="18"/>
              </w:rPr>
              <w:t xml:space="preserve">Bank LEF</w:t>
            </w:r>
          </w:p>
        </w:tc>
      </w:tr>
      <w:tr>
        <w:tc>
          <w:tcPr>
            <w:tcW w:w="1444" w:type="dxa"/>
          </w:tcPr>
          <w:p>
            <w:pPr>
              <w:pStyle w:val="Compact"/>
              <w:spacing w:after="40"/>
              <w:jc w:val="left"/>
            </w:pPr>
            <w:r>
              <w:rPr>
                <w:sz w:val="18"/>
              </w:rPr>
              <w:t xml:space="preserve">UCB / co-op society</w:t>
            </w:r>
          </w:p>
        </w:tc>
        <w:tc>
          <w:tcPr>
            <w:tcW w:w="2772" w:type="dxa"/>
          </w:tcPr>
          <w:p>
            <w:pPr>
              <w:pStyle w:val="Compact"/>
              <w:spacing w:after="40"/>
              <w:jc w:val="left"/>
            </w:pPr>
            <w:r>
              <w:rPr>
                <w:sz w:val="18"/>
              </w:rPr>
              <w:t xml:space="preserve">UCB exposure norms [VERIFY]; by-law limits for societies</w:t>
            </w:r>
          </w:p>
        </w:tc>
        <w:tc>
          <w:tcPr>
            <w:tcW w:w="1932" w:type="dxa"/>
          </w:tcPr>
          <w:p>
            <w:pPr>
              <w:pStyle w:val="Compact"/>
              <w:spacing w:after="40"/>
              <w:jc w:val="left"/>
            </w:pPr>
            <w:r>
              <w:rPr>
                <w:sz w:val="18"/>
              </w:rPr>
              <w:t xml:space="preserve">—</w:t>
            </w:r>
          </w:p>
        </w:tc>
        <w:tc>
          <w:tcPr>
            <w:tcW w:w="2121" w:type="dxa"/>
          </w:tcPr>
          <w:p>
            <w:pPr>
              <w:pStyle w:val="Compact"/>
              <w:spacing w:after="40"/>
              <w:jc w:val="left"/>
            </w:pPr>
            <w:r>
              <w:rPr>
                <w:sz w:val="18"/>
              </w:rPr>
              <w:t xml:space="preserve">Per rules</w:t>
            </w:r>
          </w:p>
        </w:tc>
        <w:tc>
          <w:tcPr>
            <w:tcW w:w="1369" w:type="dxa"/>
          </w:tcPr>
          <w:p>
            <w:pPr>
              <w:pStyle w:val="Compact"/>
              <w:spacing w:after="40"/>
              <w:jc w:val="left"/>
            </w:pPr>
            <w:r>
              <w:rPr>
                <w:sz w:val="18"/>
              </w:rPr>
              <w:t xml:space="preserve">UCB;</w:t>
            </w:r>
            <w:r>
              <w:rPr>
                <w:sz w:val="18"/>
              </w:rPr>
              <w:t xml:space="preserve"> </w:t>
            </w:r>
            <w:r>
              <w:rPr>
                <w:rStyle w:val="VerbatimChar"/>
                <w:sz w:val="18"/>
              </w:rPr>
              <w:t xml:space="preserve">SCS</w:t>
            </w:r>
            <w:r>
              <w:rPr>
                <w:sz w:val="18"/>
              </w:rPr>
              <w:t xml:space="preserve">,</w:t>
            </w:r>
            <w:r>
              <w:rPr>
                <w:sz w:val="18"/>
              </w:rPr>
              <w:t xml:space="preserve"> </w:t>
            </w:r>
            <w:r>
              <w:rPr>
                <w:rStyle w:val="VerbatimChar"/>
                <w:sz w:val="18"/>
              </w:rPr>
              <w:t xml:space="preserve">MSCS</w:t>
            </w:r>
          </w:p>
        </w:tc>
      </w:tr>
    </w:tbl>
    <w:p>
      <w:pPr>
        <w:numPr>
          <w:ilvl w:val="0"/>
          <w:numId w:val="1411"/>
        </w:numPr>
        <w:pStyle w:val="Compact"/>
      </w:pPr>
      <w:r>
        <w:rPr>
          <w:bCs/>
          <w:b/>
        </w:rPr>
        <w:t xml:space="preserve">Large exposure (UL).</w:t>
      </w:r>
      <w:r>
        <w:t xml:space="preserve"> </w:t>
      </w:r>
      <w:r>
        <w:t xml:space="preserve">≥ 10% of the eligible capital base (CON 4(5)); tagged</w:t>
      </w:r>
      <w:r>
        <w:t xml:space="preserve"> </w:t>
      </w:r>
      <w:r>
        <w:t xml:space="preserve">“</w:t>
      </w:r>
      <w:r>
        <w:t xml:space="preserve">LE reportable</w:t>
      </w:r>
      <w:r>
        <w:t xml:space="preserve">”</w:t>
      </w:r>
      <w:r>
        <w:t xml:space="preserve"> </w:t>
      </w:r>
      <w:r>
        <w:t xml:space="preserve">for the quarterly return (CON 48; SR 21 item 12; Part 7B RR8).</w:t>
      </w:r>
    </w:p>
    <w:p>
      <w:pPr>
        <w:numPr>
          <w:ilvl w:val="0"/>
          <w:numId w:val="1411"/>
        </w:numPr>
        <w:pStyle w:val="Compact"/>
      </w:pPr>
      <w:r>
        <w:rPr>
          <w:bCs/>
          <w:b/>
        </w:rPr>
        <w:t xml:space="preserve">Breach.</w:t>
      </w:r>
      <w:r>
        <w:t xml:space="preserve"> </w:t>
      </w:r>
      <w:r>
        <w:t xml:space="preserve">UL: an LE breach is reported to RBI (DoS CO) immediately and</w:t>
      </w:r>
      <w:r>
        <w:t xml:space="preserve"> </w:t>
      </w:r>
      <w:r>
        <w:rPr>
          <w:bCs/>
          <w:b/>
        </w:rPr>
        <w:t xml:space="preserve">no further exposure is taken until it is brought within the limit</w:t>
      </w:r>
      <w:r>
        <w:t xml:space="preserve"> </w:t>
      </w:r>
      <w:r>
        <w:t xml:space="preserve">(CON 45–46). ML and BL: the same hard stop is applied to a CON 13–14 or Board-limit breach [REC]. The sanction and disbursement workflows hard-stop new exposure to the counterparty and its group (renewals and enhancements included; contractual drawdowns of already-committed lines need a CRO-approved exception recorded against the breach [interpretation: the committed line is already in the exposure measure through its CCF]);</w:t>
      </w:r>
      <w:r>
        <w:t xml:space="preserve"> </w:t>
      </w:r>
      <w:r>
        <w:rPr>
          <w:rStyle w:val="VerbatimChar"/>
        </w:rPr>
        <w:t xml:space="preserve">LimitBreached</w:t>
      </w:r>
      <w:r>
        <w:t xml:space="preserve"> </w:t>
      </w:r>
      <w:r>
        <w:t xml:space="preserve">fires with</w:t>
      </w:r>
      <w:r>
        <w:t xml:space="preserve"> </w:t>
      </w:r>
      <w:r>
        <w:rPr>
          <w:rStyle w:val="VerbatimChar"/>
        </w:rPr>
        <w:t xml:space="preserve">limit_type</w:t>
      </w:r>
      <w:r>
        <w:t xml:space="preserve"> </w:t>
      </w:r>
      <w:r>
        <w:t xml:space="preserve">LE, REGULATORY or BOARD.</w:t>
      </w:r>
    </w:p>
    <w:p>
      <w:pPr>
        <w:numPr>
          <w:ilvl w:val="0"/>
          <w:numId w:val="1411"/>
        </w:numPr>
        <w:pStyle w:val="Compact"/>
      </w:pPr>
      <w:r>
        <w:rPr>
          <w:bCs/>
          <w:b/>
        </w:rPr>
        <w:t xml:space="preserve">Breach lifecycle.</w:t>
      </w:r>
      <w:r>
        <w:t xml:space="preserve"> </w:t>
      </w:r>
      <w:r>
        <w:rPr>
          <w:rStyle w:val="VerbatimChar"/>
        </w:rPr>
        <w:t xml:space="preserve">OPEN</w:t>
      </w:r>
      <w:r>
        <w:t xml:space="preserve"> </w:t>
      </w:r>
      <w:r>
        <w:t xml:space="preserve">(detected; DoS CO intimation draft for UL within the same day) →</w:t>
      </w:r>
      <w:r>
        <w:t xml:space="preserve"> </w:t>
      </w:r>
      <w:r>
        <w:rPr>
          <w:rStyle w:val="VerbatimChar"/>
        </w:rPr>
        <w:t xml:space="preserve">REMEDIATION_PLAN</w:t>
      </w:r>
      <w:r>
        <w:t xml:space="preserve"> </w:t>
      </w:r>
      <w:r>
        <w:t xml:space="preserve">(CRO-approved plan: sell-down, guarantees, repayment schedule) →</w:t>
      </w:r>
      <w:r>
        <w:t xml:space="preserve"> </w:t>
      </w:r>
      <w:r>
        <w:rPr>
          <w:rStyle w:val="VerbatimChar"/>
        </w:rPr>
        <w:t xml:space="preserve">CURED</w:t>
      </w:r>
      <w:r>
        <w:t xml:space="preserve"> </w:t>
      </w:r>
      <w:r>
        <w:t xml:space="preserve">(exposure within the limit on two consecutive daily runs;</w:t>
      </w:r>
      <w:r>
        <w:t xml:space="preserve"> </w:t>
      </w:r>
      <w:r>
        <w:rPr>
          <w:rStyle w:val="VerbatimChar"/>
        </w:rPr>
        <w:t xml:space="preserve">LimitBreached</w:t>
      </w:r>
      <w:r>
        <w:t xml:space="preserve"> </w:t>
      </w:r>
      <w:r>
        <w:t xml:space="preserve">update with</w:t>
      </w:r>
      <w:r>
        <w:t xml:space="preserve"> </w:t>
      </w:r>
      <w:r>
        <w:rPr>
          <w:rStyle w:val="VerbatimChar"/>
        </w:rPr>
        <w:t xml:space="preserve">status</w:t>
      </w:r>
      <w:r>
        <w:t xml:space="preserve"> </w:t>
      </w:r>
      <w:r>
        <w:t xml:space="preserve">CURED) → hard stop lifted automatically; a breach caused only by a fall in Tier 1 (passive breach) is flagged as such but follows the same stop.</w:t>
      </w:r>
    </w:p>
    <w:p>
      <w:pPr>
        <w:numPr>
          <w:ilvl w:val="0"/>
          <w:numId w:val="1411"/>
        </w:numPr>
        <w:pStyle w:val="Compact"/>
      </w:pPr>
      <w:r>
        <w:rPr>
          <w:bCs/>
          <w:b/>
        </w:rPr>
        <w:t xml:space="preserve">Sensitive sectors.</w:t>
      </w:r>
      <w:r>
        <w:t xml:space="preserve"> </w:t>
      </w:r>
      <w:r>
        <w:t xml:space="preserve">Board limits for capital market and CRE, land-acquisition sub-limit;</w:t>
      </w:r>
      <w:r>
        <w:t xml:space="preserve"> </w:t>
      </w:r>
      <w:r>
        <w:rPr>
          <w:bCs/>
          <w:b/>
        </w:rPr>
        <w:t xml:space="preserve">IPO funding ≤ ₹1 crore per borrower</w:t>
      </w:r>
      <w:r>
        <w:t xml:space="preserve"> </w:t>
      </w:r>
      <w:r>
        <w:t xml:space="preserve">(CON 11, 12, 24); unsecured consumer-credit sub-limits monitored by the RMC (CON 9).</w:t>
      </w:r>
    </w:p>
    <w:bookmarkEnd w:id="436"/>
    <w:bookmarkStart w:id="437" w:name="rk5.2-exposure-and-group-workbench"/>
    <w:p>
      <w:pPr>
        <w:pStyle w:val="Heading3"/>
      </w:pPr>
      <w:r>
        <w:t xml:space="preserve">RK5.2 Exposure and group workbench</w:t>
      </w:r>
    </w:p>
    <w:p>
      <w:pPr>
        <w:numPr>
          <w:ilvl w:val="0"/>
          <w:numId w:val="1412"/>
        </w:numPr>
        <w:pStyle w:val="Compact"/>
      </w:pPr>
      <w:r>
        <w:rPr>
          <w:bCs/>
          <w:b/>
        </w:rPr>
        <w:t xml:space="preserve">Exposure.</w:t>
      </w:r>
      <w:r>
        <w:t xml:space="preserve"> </w:t>
      </w:r>
      <w:r>
        <w:t xml:space="preserve">On-balance-sheet outstanding (netting only where provisions are held) + off-balance-sheet × CCF − eligible CRM (cash margin, Central/State Government guarantees with substitution, CGTMSE/CRGFTLIH/NCGTC cover) (CON 20, 41).</w:t>
      </w:r>
    </w:p>
    <w:p>
      <w:pPr>
        <w:numPr>
          <w:ilvl w:val="0"/>
          <w:numId w:val="1412"/>
        </w:numPr>
        <w:pStyle w:val="Compact"/>
      </w:pPr>
      <w:r>
        <w:rPr>
          <w:bCs/>
          <w:b/>
        </w:rPr>
        <w:t xml:space="preserve">Groups.</w:t>
      </w:r>
      <w:r>
        <w:t xml:space="preserve"> </w:t>
      </w:r>
      <w:r>
        <w:t xml:space="preserve">Built from control links (control as defined in CON 4(1); automatic above 50% of voting rights), common control and economic-interdependence links (CON 4(3)(ii) criteria (a)–(g); assessment mandatory where exposure to a counterparty exceeds 5% of the eligible capital base, 4(3)(ii)(h)) under the Board’s group policy (CON 36). Every link shows its evidence (MCA data, declarations, bank statements); merging or splitting a group requires a reason and approval and is retained for supervisory scrutiny.</w:t>
      </w:r>
    </w:p>
    <w:p>
      <w:pPr>
        <w:numPr>
          <w:ilvl w:val="0"/>
          <w:numId w:val="1412"/>
        </w:numPr>
        <w:pStyle w:val="Compact"/>
      </w:pPr>
      <w:r>
        <w:rPr>
          <w:bCs/>
          <w:b/>
        </w:rPr>
        <w:t xml:space="preserve">Pre-sanction check.</w:t>
      </w:r>
      <w:r>
        <w:t xml:space="preserve"> </w:t>
      </w:r>
      <w:r>
        <w:t xml:space="preserve">ML: block or apply the infrastructure add-on with evidence; UL: route to Board approval when moving from 20% to 25%, with written reasons; SSE and IPO checks; LEI gate (no new, renewed or enhanced exposure for non-individuals with aggregate exposure ≥ ₹5 crore without a valid LEI — CRM 19–20).</w:t>
      </w:r>
    </w:p>
    <w:bookmarkEnd w:id="437"/>
    <w:bookmarkStart w:id="438" w:name="rk5.3-related-party-lending-crm-13a13q"/>
    <w:p>
      <w:pPr>
        <w:pStyle w:val="Heading3"/>
      </w:pPr>
      <w:r>
        <w:t xml:space="preserve">RK5.3 Related-party lending (CRM 13A–13Q)</w:t>
      </w:r>
    </w:p>
    <w:p>
      <w:pPr>
        <w:numPr>
          <w:ilvl w:val="0"/>
          <w:numId w:val="1413"/>
        </w:numPr>
        <w:pStyle w:val="Compact"/>
      </w:pPr>
      <w:r>
        <w:rPr>
          <w:bCs/>
          <w:b/>
        </w:rPr>
        <w:t xml:space="preserve">Register.</w:t>
      </w:r>
      <w:r>
        <w:t xml:space="preserve"> </w:t>
      </w:r>
      <w:r>
        <w:t xml:space="preserve">Related persons and parties, relatives (CA13 s.2(77)), specified employees, major shareholders (≥ 10% or ₹5 crore of paid-up capital), fed by director declarations (GOV Annex II) and KMP records (Part 7F GV1).</w:t>
      </w:r>
    </w:p>
    <w:p>
      <w:pPr>
        <w:numPr>
          <w:ilvl w:val="0"/>
          <w:numId w:val="1413"/>
        </w:numPr>
        <w:pStyle w:val="Compact"/>
      </w:pPr>
      <w:r>
        <w:rPr>
          <w:bCs/>
          <w:b/>
        </w:rPr>
        <w:t xml:space="preserve">Limits.</w:t>
      </w:r>
      <w:r>
        <w:t xml:space="preserve"> </w:t>
      </w:r>
      <w:r>
        <w:t xml:space="preserve">Aggregate, single and group sub-limits (CRM 13F).</w:t>
      </w:r>
    </w:p>
    <w:p>
      <w:pPr>
        <w:numPr>
          <w:ilvl w:val="0"/>
          <w:numId w:val="1413"/>
        </w:numPr>
        <w:pStyle w:val="Compact"/>
      </w:pPr>
      <w:r>
        <w:rPr>
          <w:bCs/>
          <w:b/>
        </w:rPr>
        <w:t xml:space="preserve">Materiality per transaction</w:t>
      </w:r>
      <w:r>
        <w:t xml:space="preserve"> </w:t>
      </w:r>
      <w:r>
        <w:t xml:space="preserve">set in the credit policy, never above the ceiling for the layer in the last audited balance sheet:</w:t>
      </w:r>
      <w:r>
        <w:t xml:space="preserve"> </w:t>
      </w:r>
      <w:r>
        <w:rPr>
          <w:bCs/>
          <w:b/>
        </w:rPr>
        <w:t xml:space="preserve">UL/TL ₹10 crore, ML ₹5 crore, BL ₹1 crore</w:t>
      </w:r>
      <w:r>
        <w:t xml:space="preserve"> </w:t>
      </w:r>
      <w:r>
        <w:t xml:space="preserve">(CRM 13G); the policy may set lower thresholds by loan category (13H); personal loans to directors and KMP are included. Above it, sanction by the Board or a Board committee</w:t>
      </w:r>
      <w:r>
        <w:t xml:space="preserve"> </w:t>
      </w:r>
      <w:r>
        <w:rPr>
          <w:bCs/>
          <w:b/>
        </w:rPr>
        <w:t xml:space="preserve">other than the Audit Committee</w:t>
      </w:r>
      <w:r>
        <w:t xml:space="preserve"> </w:t>
      </w:r>
      <w:r>
        <w:t xml:space="preserve">(13I); the workflow routes accordingly and blocks ACB-only approval.</w:t>
      </w:r>
    </w:p>
    <w:p>
      <w:pPr>
        <w:numPr>
          <w:ilvl w:val="0"/>
          <w:numId w:val="1413"/>
        </w:numPr>
        <w:pStyle w:val="Compact"/>
      </w:pPr>
      <w:r>
        <w:rPr>
          <w:bCs/>
          <w:b/>
        </w:rPr>
        <w:t xml:space="preserve">Recusal.</w:t>
      </w:r>
      <w:r>
        <w:t xml:space="preserve"> </w:t>
      </w:r>
      <w:r>
        <w:t xml:space="preserve">Interested directors, KMP and specified employees are excluded from the decision, including OTS, write-off, waiver, enforcement and resolution plans (13J); recusal is captured per decision.</w:t>
      </w:r>
    </w:p>
    <w:p>
      <w:pPr>
        <w:numPr>
          <w:ilvl w:val="0"/>
          <w:numId w:val="1413"/>
        </w:numPr>
        <w:pStyle w:val="Compact"/>
      </w:pPr>
      <w:r>
        <w:rPr>
          <w:bCs/>
          <w:b/>
        </w:rPr>
        <w:t xml:space="preserve">Reporting.</w:t>
      </w:r>
      <w:r>
        <w:t xml:space="preserve"> </w:t>
      </w:r>
      <w:r>
        <w:t xml:space="preserve">Annual Board report on loans to specified employees (13L); quarterly internal-audit review (13M — Part 7D AU3.4); deviations to the ACB (13N); reciprocal arrangements flagged (13O).</w:t>
      </w:r>
    </w:p>
    <w:bookmarkEnd w:id="438"/>
    <w:bookmarkStart w:id="439" w:name="rk5.4-concentration-analytics"/>
    <w:p>
      <w:pPr>
        <w:pStyle w:val="Heading3"/>
      </w:pPr>
      <w:r>
        <w:t xml:space="preserve">RK5.4 Concentration analytics</w:t>
      </w:r>
    </w:p>
    <w:p>
      <w:pPr>
        <w:numPr>
          <w:ilvl w:val="0"/>
          <w:numId w:val="1414"/>
        </w:numPr>
        <w:pStyle w:val="Compact"/>
      </w:pPr>
      <w:r>
        <w:t xml:space="preserve">Top-20 advances and exposures (FS 21(27)); sector, state, product and channel HHI (R30); LSP and co-lender concentration; funding concentration (RK4.5); intra-group exposure (FS 21(8)).</w:t>
      </w:r>
    </w:p>
    <w:bookmarkEnd w:id="439"/>
    <w:bookmarkStart w:id="440" w:name="settings-and-options-11"/>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340"/>
        <w:gridCol w:w="2538"/>
        <w:gridCol w:w="1153"/>
        <w:gridCol w:w="2607"/>
      </w:tblGrid>
      <w:tr>
        <w:trPr>
          <w:tblHeader w:val="true"/>
          <w:tblHeader w:val="true"/>
        </w:trPr>
        <w:tc>
          <w:tcPr>
            <w:tcW w:w="3340" w:type="dxa"/>
            <w:shd w:val="clear" w:color="auto" w:fill="1F3A5F"/>
          </w:tcPr>
          <w:p>
            <w:pPr>
              <w:pStyle w:val="Compact"/>
              <w:spacing w:after="40"/>
              <w:jc w:val="left"/>
            </w:pPr>
            <w:r>
              <w:rPr>
                <w:b/>
                <w:color w:val="FFFFFF"/>
                <w:sz w:val="18"/>
              </w:rPr>
              <w:t xml:space="preserve">Setting</w:t>
            </w:r>
          </w:p>
        </w:tc>
        <w:tc>
          <w:tcPr>
            <w:tcW w:w="2538" w:type="dxa"/>
            <w:shd w:val="clear" w:color="auto" w:fill="1F3A5F"/>
          </w:tcPr>
          <w:p>
            <w:pPr>
              <w:pStyle w:val="Compact"/>
              <w:spacing w:after="40"/>
              <w:jc w:val="left"/>
            </w:pPr>
            <w:r>
              <w:rPr>
                <w:b/>
                <w:color w:val="FFFFFF"/>
                <w:sz w:val="18"/>
              </w:rPr>
              <w:t xml:space="preserve">Default</w:t>
            </w:r>
          </w:p>
        </w:tc>
        <w:tc>
          <w:tcPr>
            <w:tcW w:w="1153" w:type="dxa"/>
            <w:shd w:val="clear" w:color="auto" w:fill="1F3A5F"/>
          </w:tcPr>
          <w:p>
            <w:pPr>
              <w:pStyle w:val="Compact"/>
              <w:spacing w:after="40"/>
              <w:jc w:val="left"/>
            </w:pPr>
            <w:r>
              <w:rPr>
                <w:b/>
                <w:color w:val="FFFFFF"/>
                <w:sz w:val="18"/>
              </w:rPr>
              <w:t xml:space="preserve">Level</w:t>
            </w:r>
          </w:p>
        </w:tc>
        <w:tc>
          <w:tcPr>
            <w:tcW w:w="2607" w:type="dxa"/>
            <w:shd w:val="clear" w:color="auto" w:fill="1F3A5F"/>
          </w:tcPr>
          <w:p>
            <w:pPr>
              <w:pStyle w:val="Compact"/>
              <w:spacing w:after="40"/>
              <w:jc w:val="left"/>
            </w:pPr>
            <w:r>
              <w:rPr>
                <w:b/>
                <w:color w:val="FFFFFF"/>
                <w:sz w:val="18"/>
              </w:rPr>
              <w:t xml:space="preserve">Floor or choice</w:t>
            </w:r>
          </w:p>
        </w:tc>
      </w:tr>
      <w:tr>
        <w:tc>
          <w:tcPr>
            <w:tcW w:w="3340" w:type="dxa"/>
          </w:tcPr>
          <w:p>
            <w:pPr>
              <w:pStyle w:val="Compact"/>
              <w:spacing w:after="40"/>
              <w:jc w:val="left"/>
            </w:pPr>
            <w:r>
              <w:rPr>
                <w:sz w:val="18"/>
              </w:rPr>
              <w:t xml:space="preserve">Regulatory single and group limits</w:t>
            </w:r>
          </w:p>
        </w:tc>
        <w:tc>
          <w:tcPr>
            <w:tcW w:w="2538" w:type="dxa"/>
          </w:tcPr>
          <w:p>
            <w:pPr>
              <w:pStyle w:val="Compact"/>
              <w:spacing w:after="40"/>
              <w:jc w:val="left"/>
            </w:pPr>
            <w:r>
              <w:rPr>
                <w:sz w:val="18"/>
              </w:rPr>
              <w:t xml:space="preserve">CON 13–14, 33–35 by profile</w:t>
            </w:r>
          </w:p>
        </w:tc>
        <w:tc>
          <w:tcPr>
            <w:tcW w:w="1153" w:type="dxa"/>
          </w:tcPr>
          <w:p>
            <w:pPr>
              <w:pStyle w:val="Compact"/>
              <w:spacing w:after="40"/>
              <w:jc w:val="left"/>
            </w:pPr>
            <w:r>
              <w:rPr>
                <w:sz w:val="18"/>
              </w:rPr>
              <w:t xml:space="preserve">Rule pack</w:t>
            </w:r>
          </w:p>
        </w:tc>
        <w:tc>
          <w:tcPr>
            <w:tcW w:w="2607" w:type="dxa"/>
          </w:tcPr>
          <w:p>
            <w:pPr>
              <w:pStyle w:val="Compact"/>
              <w:spacing w:after="40"/>
              <w:jc w:val="left"/>
            </w:pPr>
            <w:r>
              <w:rPr>
                <w:sz w:val="18"/>
              </w:rPr>
              <w:t xml:space="preserve">Floor (locked)</w:t>
            </w:r>
          </w:p>
        </w:tc>
      </w:tr>
      <w:tr>
        <w:tc>
          <w:tcPr>
            <w:tcW w:w="3340" w:type="dxa"/>
          </w:tcPr>
          <w:p>
            <w:pPr>
              <w:pStyle w:val="Compact"/>
              <w:spacing w:after="40"/>
              <w:jc w:val="left"/>
            </w:pPr>
            <w:r>
              <w:rPr>
                <w:sz w:val="18"/>
              </w:rPr>
              <w:t xml:space="preserve">Board internal limits (single, group, SSE, CRE land sub-limit, sector, unsecured consumer credit)</w:t>
            </w:r>
          </w:p>
        </w:tc>
        <w:tc>
          <w:tcPr>
            <w:tcW w:w="2538" w:type="dxa"/>
          </w:tcPr>
          <w:p>
            <w:pPr>
              <w:pStyle w:val="Compact"/>
              <w:spacing w:after="40"/>
              <w:jc w:val="left"/>
            </w:pPr>
            <w:r>
              <w:rPr>
                <w:sz w:val="18"/>
              </w:rPr>
              <w:t xml:space="preserve">None until set; RMC monitoring of consumer-credit limits</w:t>
            </w:r>
          </w:p>
        </w:tc>
        <w:tc>
          <w:tcPr>
            <w:tcW w:w="1153" w:type="dxa"/>
          </w:tcPr>
          <w:p>
            <w:pPr>
              <w:pStyle w:val="Compact"/>
              <w:spacing w:after="40"/>
              <w:jc w:val="left"/>
            </w:pPr>
            <w:r>
              <w:rPr>
                <w:sz w:val="18"/>
              </w:rPr>
              <w:t xml:space="preserve">Tenant</w:t>
            </w:r>
          </w:p>
        </w:tc>
        <w:tc>
          <w:tcPr>
            <w:tcW w:w="2607" w:type="dxa"/>
          </w:tcPr>
          <w:p>
            <w:pPr>
              <w:pStyle w:val="Compact"/>
              <w:spacing w:after="40"/>
              <w:jc w:val="left"/>
            </w:pPr>
            <w:r>
              <w:rPr>
                <w:sz w:val="18"/>
              </w:rPr>
              <w:t xml:space="preserve">Board must set them (CON 6, 9, 12, 24); values are a choice</w:t>
            </w:r>
          </w:p>
        </w:tc>
      </w:tr>
      <w:tr>
        <w:tc>
          <w:tcPr>
            <w:tcW w:w="3340" w:type="dxa"/>
          </w:tcPr>
          <w:p>
            <w:pPr>
              <w:pStyle w:val="Compact"/>
              <w:spacing w:after="40"/>
              <w:jc w:val="left"/>
            </w:pPr>
            <w:r>
              <w:rPr>
                <w:sz w:val="18"/>
              </w:rPr>
              <w:t xml:space="preserve">Early warning</w:t>
            </w:r>
          </w:p>
        </w:tc>
        <w:tc>
          <w:tcPr>
            <w:tcW w:w="2538" w:type="dxa"/>
          </w:tcPr>
          <w:p>
            <w:pPr>
              <w:pStyle w:val="Compact"/>
              <w:spacing w:after="40"/>
              <w:jc w:val="left"/>
            </w:pPr>
            <w:r>
              <w:rPr>
                <w:sz w:val="18"/>
              </w:rPr>
              <w:t xml:space="preserve">90% of the binding limit</w:t>
            </w:r>
          </w:p>
        </w:tc>
        <w:tc>
          <w:tcPr>
            <w:tcW w:w="1153" w:type="dxa"/>
          </w:tcPr>
          <w:p>
            <w:pPr>
              <w:pStyle w:val="Compact"/>
              <w:spacing w:after="40"/>
              <w:jc w:val="left"/>
            </w:pPr>
            <w:r>
              <w:rPr>
                <w:sz w:val="18"/>
              </w:rPr>
              <w:t xml:space="preserve">Tenant</w:t>
            </w:r>
          </w:p>
        </w:tc>
        <w:tc>
          <w:tcPr>
            <w:tcW w:w="2607" w:type="dxa"/>
          </w:tcPr>
          <w:p>
            <w:pPr>
              <w:pStyle w:val="Compact"/>
              <w:spacing w:after="40"/>
              <w:jc w:val="left"/>
            </w:pPr>
            <w:r>
              <w:rPr>
                <w:sz w:val="18"/>
              </w:rPr>
              <w:t xml:space="preserve">Choice</w:t>
            </w:r>
          </w:p>
        </w:tc>
      </w:tr>
      <w:tr>
        <w:tc>
          <w:tcPr>
            <w:tcW w:w="3340" w:type="dxa"/>
          </w:tcPr>
          <w:p>
            <w:pPr>
              <w:pStyle w:val="Compact"/>
              <w:spacing w:after="40"/>
              <w:jc w:val="left"/>
            </w:pPr>
            <w:r>
              <w:rPr>
                <w:sz w:val="18"/>
              </w:rPr>
              <w:t xml:space="preserve">UL 20%–25% exception route</w:t>
            </w:r>
          </w:p>
        </w:tc>
        <w:tc>
          <w:tcPr>
            <w:tcW w:w="2538" w:type="dxa"/>
          </w:tcPr>
          <w:p>
            <w:pPr>
              <w:pStyle w:val="Compact"/>
              <w:spacing w:after="40"/>
              <w:jc w:val="left"/>
            </w:pPr>
            <w:r>
              <w:rPr>
                <w:sz w:val="18"/>
              </w:rPr>
              <w:t xml:space="preserve">Board approval with written reasons</w:t>
            </w:r>
          </w:p>
        </w:tc>
        <w:tc>
          <w:tcPr>
            <w:tcW w:w="1153" w:type="dxa"/>
          </w:tcPr>
          <w:p>
            <w:pPr>
              <w:pStyle w:val="Compact"/>
              <w:spacing w:after="40"/>
              <w:jc w:val="left"/>
            </w:pPr>
            <w:r>
              <w:rPr>
                <w:sz w:val="18"/>
              </w:rPr>
              <w:t xml:space="preserve">Tenant</w:t>
            </w:r>
          </w:p>
        </w:tc>
        <w:tc>
          <w:tcPr>
            <w:tcW w:w="2607" w:type="dxa"/>
          </w:tcPr>
          <w:p>
            <w:pPr>
              <w:pStyle w:val="Compact"/>
              <w:spacing w:after="40"/>
              <w:jc w:val="left"/>
            </w:pPr>
            <w:r>
              <w:rPr>
                <w:sz w:val="18"/>
              </w:rPr>
              <w:t xml:space="preserve">Floor (CON 34)</w:t>
            </w:r>
          </w:p>
        </w:tc>
      </w:tr>
      <w:tr>
        <w:tc>
          <w:tcPr>
            <w:tcW w:w="3340" w:type="dxa"/>
          </w:tcPr>
          <w:p>
            <w:pPr>
              <w:pStyle w:val="Compact"/>
              <w:spacing w:after="40"/>
              <w:jc w:val="left"/>
            </w:pPr>
            <w:r>
              <w:rPr>
                <w:sz w:val="18"/>
              </w:rPr>
              <w:t xml:space="preserve">Related-party materiality thresholds</w:t>
            </w:r>
          </w:p>
        </w:tc>
        <w:tc>
          <w:tcPr>
            <w:tcW w:w="2538" w:type="dxa"/>
          </w:tcPr>
          <w:p>
            <w:pPr>
              <w:pStyle w:val="Compact"/>
              <w:spacing w:after="40"/>
              <w:jc w:val="left"/>
            </w:pPr>
            <w:r>
              <w:rPr>
                <w:sz w:val="18"/>
              </w:rPr>
              <w:t xml:space="preserve">Layer ceiling</w:t>
            </w:r>
          </w:p>
        </w:tc>
        <w:tc>
          <w:tcPr>
            <w:tcW w:w="1153" w:type="dxa"/>
          </w:tcPr>
          <w:p>
            <w:pPr>
              <w:pStyle w:val="Compact"/>
              <w:spacing w:after="40"/>
              <w:jc w:val="left"/>
            </w:pPr>
            <w:r>
              <w:rPr>
                <w:sz w:val="18"/>
              </w:rPr>
              <w:t xml:space="preserve">Tenant</w:t>
            </w:r>
          </w:p>
        </w:tc>
        <w:tc>
          <w:tcPr>
            <w:tcW w:w="2607" w:type="dxa"/>
          </w:tcPr>
          <w:p>
            <w:pPr>
              <w:pStyle w:val="Compact"/>
              <w:spacing w:after="40"/>
              <w:jc w:val="left"/>
            </w:pPr>
            <w:r>
              <w:rPr>
                <w:sz w:val="18"/>
              </w:rPr>
              <w:t xml:space="preserve">Choice at or below the ceiling (CRM 13G–13H)</w:t>
            </w:r>
          </w:p>
        </w:tc>
      </w:tr>
      <w:tr>
        <w:tc>
          <w:tcPr>
            <w:tcW w:w="3340" w:type="dxa"/>
          </w:tcPr>
          <w:p>
            <w:pPr>
              <w:pStyle w:val="Compact"/>
              <w:spacing w:after="40"/>
              <w:jc w:val="left"/>
            </w:pPr>
            <w:r>
              <w:rPr>
                <w:sz w:val="18"/>
              </w:rPr>
              <w:t xml:space="preserve">Related-party approval body above materiality</w:t>
            </w:r>
          </w:p>
        </w:tc>
        <w:tc>
          <w:tcPr>
            <w:tcW w:w="2538" w:type="dxa"/>
          </w:tcPr>
          <w:p>
            <w:pPr>
              <w:pStyle w:val="Compact"/>
              <w:spacing w:after="40"/>
              <w:jc w:val="left"/>
            </w:pPr>
            <w:r>
              <w:rPr>
                <w:sz w:val="18"/>
              </w:rPr>
              <w:t xml:space="preserve">Board</w:t>
            </w:r>
          </w:p>
        </w:tc>
        <w:tc>
          <w:tcPr>
            <w:tcW w:w="1153" w:type="dxa"/>
          </w:tcPr>
          <w:p>
            <w:pPr>
              <w:pStyle w:val="Compact"/>
              <w:spacing w:after="40"/>
              <w:jc w:val="left"/>
            </w:pPr>
            <w:r>
              <w:rPr>
                <w:sz w:val="18"/>
              </w:rPr>
              <w:t xml:space="preserve">Tenant</w:t>
            </w:r>
          </w:p>
        </w:tc>
        <w:tc>
          <w:tcPr>
            <w:tcW w:w="2607" w:type="dxa"/>
          </w:tcPr>
          <w:p>
            <w:pPr>
              <w:pStyle w:val="Compact"/>
              <w:spacing w:after="40"/>
              <w:jc w:val="left"/>
            </w:pPr>
            <w:r>
              <w:rPr>
                <w:sz w:val="18"/>
              </w:rPr>
              <w:t xml:space="preserve">Choice of a Board committee other than the ACB (CRM 13I)</w:t>
            </w:r>
          </w:p>
        </w:tc>
      </w:tr>
      <w:tr>
        <w:tc>
          <w:tcPr>
            <w:tcW w:w="3340" w:type="dxa"/>
          </w:tcPr>
          <w:p>
            <w:pPr>
              <w:pStyle w:val="Compact"/>
              <w:spacing w:after="40"/>
              <w:jc w:val="left"/>
            </w:pPr>
            <w:r>
              <w:rPr>
                <w:sz w:val="18"/>
              </w:rPr>
              <w:t xml:space="preserve">LEI gate threshold</w:t>
            </w:r>
          </w:p>
        </w:tc>
        <w:tc>
          <w:tcPr>
            <w:tcW w:w="2538" w:type="dxa"/>
          </w:tcPr>
          <w:p>
            <w:pPr>
              <w:pStyle w:val="Compact"/>
              <w:spacing w:after="40"/>
              <w:jc w:val="left"/>
            </w:pPr>
            <w:r>
              <w:rPr>
                <w:sz w:val="18"/>
              </w:rPr>
              <w:t xml:space="preserve">₹5 crore aggregate exposure</w:t>
            </w:r>
          </w:p>
        </w:tc>
        <w:tc>
          <w:tcPr>
            <w:tcW w:w="1153" w:type="dxa"/>
          </w:tcPr>
          <w:p>
            <w:pPr>
              <w:pStyle w:val="Compact"/>
              <w:spacing w:after="40"/>
              <w:jc w:val="left"/>
            </w:pPr>
            <w:r>
              <w:rPr>
                <w:sz w:val="18"/>
              </w:rPr>
              <w:t xml:space="preserve">Rule pack</w:t>
            </w:r>
          </w:p>
        </w:tc>
        <w:tc>
          <w:tcPr>
            <w:tcW w:w="2607" w:type="dxa"/>
          </w:tcPr>
          <w:p>
            <w:pPr>
              <w:pStyle w:val="Compact"/>
              <w:spacing w:after="40"/>
              <w:jc w:val="left"/>
            </w:pPr>
            <w:r>
              <w:rPr>
                <w:sz w:val="18"/>
              </w:rPr>
              <w:t xml:space="preserve">Floor (CRM 19–20)</w:t>
            </w:r>
          </w:p>
        </w:tc>
      </w:tr>
    </w:tbl>
    <w:bookmarkEnd w:id="440"/>
    <w:bookmarkStart w:id="441" w:name="menu-and-screens-11"/>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46"/>
        <w:gridCol w:w="3378"/>
        <w:gridCol w:w="2823"/>
        <w:gridCol w:w="1691"/>
      </w:tblGrid>
      <w:tr>
        <w:trPr>
          <w:tblHeader w:val="true"/>
          <w:tblHeader w:val="true"/>
        </w:trPr>
        <w:tc>
          <w:tcPr>
            <w:tcW w:w="1746" w:type="dxa"/>
            <w:shd w:val="clear" w:color="auto" w:fill="1F3A5F"/>
          </w:tcPr>
          <w:p>
            <w:pPr>
              <w:pStyle w:val="Compact"/>
              <w:spacing w:after="40"/>
              <w:jc w:val="left"/>
            </w:pPr>
            <w:r>
              <w:rPr>
                <w:b/>
                <w:color w:val="FFFFFF"/>
                <w:sz w:val="18"/>
              </w:rPr>
              <w:t xml:space="preserve">Path (workspace J)</w:t>
            </w:r>
          </w:p>
        </w:tc>
        <w:tc>
          <w:tcPr>
            <w:tcW w:w="3378" w:type="dxa"/>
            <w:shd w:val="clear" w:color="auto" w:fill="1F3A5F"/>
          </w:tcPr>
          <w:p>
            <w:pPr>
              <w:pStyle w:val="Compact"/>
              <w:spacing w:after="40"/>
              <w:jc w:val="left"/>
            </w:pPr>
            <w:r>
              <w:rPr>
                <w:b/>
                <w:color w:val="FFFFFF"/>
                <w:sz w:val="18"/>
              </w:rPr>
              <w:t xml:space="preserve">Screens</w:t>
            </w:r>
          </w:p>
        </w:tc>
        <w:tc>
          <w:tcPr>
            <w:tcW w:w="2823" w:type="dxa"/>
            <w:shd w:val="clear" w:color="auto" w:fill="1F3A5F"/>
          </w:tcPr>
          <w:p>
            <w:pPr>
              <w:pStyle w:val="Compact"/>
              <w:spacing w:after="40"/>
              <w:jc w:val="left"/>
            </w:pPr>
            <w:r>
              <w:rPr>
                <w:b/>
                <w:color w:val="FFFFFF"/>
                <w:sz w:val="18"/>
              </w:rPr>
              <w:t xml:space="preserve">Key actions and rules</w:t>
            </w:r>
          </w:p>
        </w:tc>
        <w:tc>
          <w:tcPr>
            <w:tcW w:w="1691" w:type="dxa"/>
            <w:shd w:val="clear" w:color="auto" w:fill="1F3A5F"/>
          </w:tcPr>
          <w:p>
            <w:pPr>
              <w:pStyle w:val="Compact"/>
              <w:spacing w:after="40"/>
              <w:jc w:val="left"/>
            </w:pPr>
            <w:r>
              <w:rPr>
                <w:b/>
                <w:color w:val="FFFFFF"/>
                <w:sz w:val="18"/>
              </w:rPr>
              <w:t xml:space="preserve">Visible to</w:t>
            </w:r>
          </w:p>
        </w:tc>
      </w:tr>
      <w:tr>
        <w:tc>
          <w:tcPr>
            <w:tcW w:w="1746" w:type="dxa"/>
          </w:tcPr>
          <w:p>
            <w:pPr>
              <w:pStyle w:val="Compact"/>
              <w:spacing w:after="40"/>
              <w:jc w:val="left"/>
            </w:pPr>
            <w:r>
              <w:rPr>
                <w:rStyle w:val="VerbatimChar"/>
                <w:sz w:val="18"/>
              </w:rPr>
              <w:t xml:space="preserve">Risk › Limits</w:t>
            </w:r>
          </w:p>
        </w:tc>
        <w:tc>
          <w:tcPr>
            <w:tcW w:w="3378" w:type="dxa"/>
          </w:tcPr>
          <w:p>
            <w:pPr>
              <w:pStyle w:val="Compact"/>
              <w:spacing w:after="40"/>
              <w:jc w:val="left"/>
            </w:pPr>
            <w:r>
              <w:rPr>
                <w:sz w:val="18"/>
              </w:rPr>
              <w:t xml:space="preserve">Limit monitor (filters: limit type, utilisation band, breached); counterparty and group utilisation; breach episodes</w:t>
            </w:r>
          </w:p>
        </w:tc>
        <w:tc>
          <w:tcPr>
            <w:tcW w:w="2823" w:type="dxa"/>
          </w:tcPr>
          <w:p>
            <w:pPr>
              <w:pStyle w:val="Compact"/>
              <w:spacing w:after="40"/>
              <w:jc w:val="left"/>
            </w:pPr>
            <w:r>
              <w:rPr>
                <w:sz w:val="18"/>
              </w:rPr>
              <w:t xml:space="preserve">Set Board limits (maker-checker); open breach plan; mark cured (system-confirmed)</w:t>
            </w:r>
          </w:p>
        </w:tc>
        <w:tc>
          <w:tcPr>
            <w:tcW w:w="1691" w:type="dxa"/>
          </w:tcPr>
          <w:p>
            <w:pPr>
              <w:pStyle w:val="Compact"/>
              <w:spacing w:after="40"/>
              <w:jc w:val="left"/>
            </w:pPr>
            <w:r>
              <w:rPr>
                <w:sz w:val="18"/>
              </w:rPr>
              <w:t xml:space="preserve">CRO office, credit heads</w:t>
            </w:r>
          </w:p>
        </w:tc>
      </w:tr>
      <w:tr>
        <w:tc>
          <w:tcPr>
            <w:tcW w:w="1746" w:type="dxa"/>
          </w:tcPr>
          <w:p>
            <w:pPr>
              <w:pStyle w:val="Compact"/>
              <w:spacing w:after="40"/>
              <w:jc w:val="left"/>
            </w:pPr>
            <w:r>
              <w:rPr>
                <w:rStyle w:val="VerbatimChar"/>
                <w:sz w:val="18"/>
              </w:rPr>
              <w:t xml:space="preserve">Risk › Limits › Groups</w:t>
            </w:r>
          </w:p>
        </w:tc>
        <w:tc>
          <w:tcPr>
            <w:tcW w:w="3378" w:type="dxa"/>
          </w:tcPr>
          <w:p>
            <w:pPr>
              <w:pStyle w:val="Compact"/>
              <w:spacing w:after="40"/>
              <w:jc w:val="left"/>
            </w:pPr>
            <w:r>
              <w:rPr>
                <w:sz w:val="18"/>
              </w:rPr>
              <w:t xml:space="preserve">Group workbench with link graph and evidence</w:t>
            </w:r>
          </w:p>
        </w:tc>
        <w:tc>
          <w:tcPr>
            <w:tcW w:w="2823" w:type="dxa"/>
          </w:tcPr>
          <w:p>
            <w:pPr>
              <w:pStyle w:val="Compact"/>
              <w:spacing w:after="40"/>
              <w:jc w:val="left"/>
            </w:pPr>
            <w:r>
              <w:rPr>
                <w:sz w:val="18"/>
              </w:rPr>
              <w:t xml:space="preserve">Propose link, merge, split (reason and approval); attach evidence</w:t>
            </w:r>
          </w:p>
        </w:tc>
        <w:tc>
          <w:tcPr>
            <w:tcW w:w="1691" w:type="dxa"/>
          </w:tcPr>
          <w:p>
            <w:pPr>
              <w:pStyle w:val="Compact"/>
              <w:spacing w:after="40"/>
              <w:jc w:val="left"/>
            </w:pPr>
            <w:r>
              <w:rPr>
                <w:sz w:val="18"/>
              </w:rPr>
              <w:t xml:space="preserve">CRO office, credit</w:t>
            </w:r>
          </w:p>
        </w:tc>
      </w:tr>
      <w:tr>
        <w:tc>
          <w:tcPr>
            <w:tcW w:w="1746" w:type="dxa"/>
          </w:tcPr>
          <w:p>
            <w:pPr>
              <w:pStyle w:val="Compact"/>
              <w:spacing w:after="40"/>
              <w:jc w:val="left"/>
            </w:pPr>
            <w:r>
              <w:rPr>
                <w:rStyle w:val="VerbatimChar"/>
                <w:sz w:val="18"/>
              </w:rPr>
              <w:t xml:space="preserve">Risk › Limits › Related parties</w:t>
            </w:r>
          </w:p>
        </w:tc>
        <w:tc>
          <w:tcPr>
            <w:tcW w:w="3378" w:type="dxa"/>
          </w:tcPr>
          <w:p>
            <w:pPr>
              <w:pStyle w:val="Compact"/>
              <w:spacing w:after="40"/>
              <w:jc w:val="left"/>
            </w:pPr>
            <w:r>
              <w:rPr>
                <w:sz w:val="18"/>
              </w:rPr>
              <w:t xml:space="preserve">Register; sanction log with approving body and recusals; quarterly review link (Part 7D AU3.4)</w:t>
            </w:r>
          </w:p>
        </w:tc>
        <w:tc>
          <w:tcPr>
            <w:tcW w:w="2823" w:type="dxa"/>
          </w:tcPr>
          <w:p>
            <w:pPr>
              <w:pStyle w:val="Compact"/>
              <w:spacing w:after="40"/>
              <w:jc w:val="left"/>
            </w:pPr>
            <w:r>
              <w:rPr>
                <w:sz w:val="18"/>
              </w:rPr>
              <w:t xml:space="preserve">Update register from declarations; record recusal</w:t>
            </w:r>
          </w:p>
        </w:tc>
        <w:tc>
          <w:tcPr>
            <w:tcW w:w="1691" w:type="dxa"/>
          </w:tcPr>
          <w:p>
            <w:pPr>
              <w:pStyle w:val="Compact"/>
              <w:spacing w:after="40"/>
              <w:jc w:val="left"/>
            </w:pPr>
            <w:r>
              <w:rPr>
                <w:sz w:val="18"/>
              </w:rPr>
              <w:t xml:space="preserve">CS, CRO, Chief Credit Officer</w:t>
            </w:r>
          </w:p>
        </w:tc>
      </w:tr>
      <w:tr>
        <w:tc>
          <w:tcPr>
            <w:tcW w:w="1746" w:type="dxa"/>
          </w:tcPr>
          <w:p>
            <w:pPr>
              <w:pStyle w:val="Compact"/>
              <w:spacing w:after="40"/>
              <w:jc w:val="left"/>
            </w:pPr>
            <w:r>
              <w:rPr>
                <w:rStyle w:val="VerbatimChar"/>
                <w:sz w:val="18"/>
              </w:rPr>
              <w:t xml:space="preserve">Risk › Limits › LE return</w:t>
            </w:r>
          </w:p>
        </w:tc>
        <w:tc>
          <w:tcPr>
            <w:tcW w:w="3378" w:type="dxa"/>
          </w:tcPr>
          <w:p>
            <w:pPr>
              <w:pStyle w:val="Compact"/>
              <w:spacing w:after="40"/>
              <w:jc w:val="left"/>
            </w:pPr>
            <w:r>
              <w:rPr>
                <w:sz w:val="18"/>
              </w:rPr>
              <w:t xml:space="preserve">Large exposures and return preview</w:t>
            </w:r>
          </w:p>
        </w:tc>
        <w:tc>
          <w:tcPr>
            <w:tcW w:w="2823" w:type="dxa"/>
          </w:tcPr>
          <w:p>
            <w:pPr>
              <w:pStyle w:val="Compact"/>
              <w:spacing w:after="40"/>
              <w:jc w:val="left"/>
            </w:pPr>
            <w:r>
              <w:rPr>
                <w:sz w:val="18"/>
              </w:rPr>
              <w:t xml:space="preserve">Validate; send to Part 7B</w:t>
            </w:r>
          </w:p>
        </w:tc>
        <w:tc>
          <w:tcPr>
            <w:tcW w:w="1691" w:type="dxa"/>
          </w:tcPr>
          <w:p>
            <w:pPr>
              <w:pStyle w:val="Compact"/>
              <w:spacing w:after="40"/>
              <w:jc w:val="left"/>
            </w:pPr>
            <w:r>
              <w:rPr>
                <w:sz w:val="18"/>
              </w:rPr>
              <w:t xml:space="preserve">CRO, CCO</w:t>
            </w:r>
          </w:p>
        </w:tc>
      </w:tr>
    </w:tbl>
    <w:bookmarkEnd w:id="441"/>
    <w:bookmarkStart w:id="442" w:name="acceptance-tests-30"/>
    <w:p>
      <w:pPr>
        <w:pStyle w:val="Heading3"/>
      </w:pPr>
      <w:r>
        <w:t xml:space="preserve">Acceptance tests</w:t>
      </w:r>
    </w:p>
    <w:p>
      <w:pPr>
        <w:numPr>
          <w:ilvl w:val="0"/>
          <w:numId w:val="1415"/>
        </w:numPr>
        <w:pStyle w:val="Compact"/>
      </w:pPr>
      <w:r>
        <w:t xml:space="preserve">An ML tenant sanction that takes a group to 41% of Tier 1 without infrastructure evidence is blocked; with infrastructure evidence it is allowed to 50%.</w:t>
      </w:r>
    </w:p>
    <w:p>
      <w:pPr>
        <w:numPr>
          <w:ilvl w:val="0"/>
          <w:numId w:val="1415"/>
        </w:numPr>
        <w:pStyle w:val="Compact"/>
      </w:pPr>
      <w:r>
        <w:t xml:space="preserve">A UL counterparty at 21% requires a Board-approval record with reasons; at 25.1% the sanction is blocked regardless.</w:t>
      </w:r>
    </w:p>
    <w:p>
      <w:pPr>
        <w:numPr>
          <w:ilvl w:val="0"/>
          <w:numId w:val="1415"/>
        </w:numPr>
        <w:pStyle w:val="Compact"/>
      </w:pPr>
      <w:r>
        <w:t xml:space="preserve">After a seeded LE breach, a disbursement to a group company is hard-stopped and the DoS CO intimation draft is created; after two daily runs within the limit the stop lifts and a</w:t>
      </w:r>
      <w:r>
        <w:t xml:space="preserve"> </w:t>
      </w:r>
      <w:r>
        <w:rPr>
          <w:rStyle w:val="VerbatimChar"/>
        </w:rPr>
        <w:t xml:space="preserve">LimitBreached</w:t>
      </w:r>
      <w:r>
        <w:t xml:space="preserve"> </w:t>
      </w:r>
      <w:r>
        <w:t xml:space="preserve">update with</w:t>
      </w:r>
      <w:r>
        <w:t xml:space="preserve"> </w:t>
      </w:r>
      <w:r>
        <w:rPr>
          <w:rStyle w:val="VerbatimChar"/>
        </w:rPr>
        <w:t xml:space="preserve">status</w:t>
      </w:r>
      <w:r>
        <w:t xml:space="preserve"> </w:t>
      </w:r>
      <w:r>
        <w:t xml:space="preserve">CURED is emitted.</w:t>
      </w:r>
    </w:p>
    <w:p>
      <w:pPr>
        <w:numPr>
          <w:ilvl w:val="0"/>
          <w:numId w:val="1415"/>
        </w:numPr>
        <w:pStyle w:val="Compact"/>
      </w:pPr>
      <w:r>
        <w:t xml:space="preserve">A ₹6 crore related-party loan at an ML tenant cannot be approved by the Audit Committee; an interested director’s vote is not counted.</w:t>
      </w:r>
    </w:p>
    <w:p>
      <w:pPr>
        <w:numPr>
          <w:ilvl w:val="0"/>
          <w:numId w:val="1415"/>
        </w:numPr>
        <w:pStyle w:val="Compact"/>
      </w:pPr>
      <w:r>
        <w:t xml:space="preserve">A non-individual with ₹5.2 crore aggregate exposure and an expired LEI cannot receive a renewal.</w:t>
      </w:r>
    </w:p>
    <w:p>
      <w:r>
        <w:pict>
          <v:rect style="width:0;height:1.5pt" o:hralign="center" o:hrstd="t" o:hr="t"/>
        </w:pict>
      </w:r>
    </w:p>
    <w:bookmarkEnd w:id="442"/>
    <w:bookmarkEnd w:id="443"/>
    <w:bookmarkStart w:id="449" w:name="Xc1ae2285952a1b998e0f122275eeb0c8ac84567"/>
    <w:p>
      <w:pPr>
        <w:pStyle w:val="Heading2"/>
      </w:pPr>
      <w:r>
        <w:t xml:space="preserve">RK6. Ratio library and governed metric layer</w:t>
      </w:r>
    </w:p>
    <w:bookmarkStart w:id="444" w:name="rk6.1-metric-governance"/>
    <w:p>
      <w:pPr>
        <w:pStyle w:val="Heading3"/>
      </w:pPr>
      <w:r>
        <w:t xml:space="preserve">RK6.1 Metric governance</w:t>
      </w:r>
    </w:p>
    <w:p>
      <w:pPr>
        <w:numPr>
          <w:ilvl w:val="0"/>
          <w:numId w:val="1416"/>
        </w:numPr>
        <w:pStyle w:val="Compact"/>
      </w:pPr>
      <w:r>
        <w:rPr>
          <w:bCs/>
          <w:b/>
        </w:rPr>
        <w:t xml:space="preserve">Metric record.</w:t>
      </w:r>
      <w:r>
        <w:t xml:space="preserve"> </w:t>
      </w:r>
      <w:r>
        <w:rPr>
          <w:rStyle w:val="VerbatimChar"/>
        </w:rPr>
        <w:t xml:space="preserve">metric_definition</w:t>
      </w:r>
      <w:r>
        <w:t xml:space="preserve"> </w:t>
      </w:r>
      <w:r>
        <w:t xml:space="preserve">(id, name, category, owner role, citation) →</w:t>
      </w:r>
      <w:r>
        <w:t xml:space="preserve"> </w:t>
      </w:r>
      <w:r>
        <w:rPr>
          <w:rStyle w:val="VerbatimChar"/>
        </w:rPr>
        <w:t xml:space="preserve">metric_version</w:t>
      </w:r>
      <w:r>
        <w:t xml:space="preserve"> </w:t>
      </w:r>
      <w:r>
        <w:t xml:space="preserve">(formula as an abstract syntax tree plus plain-English text, numerator and denominator source fields, grain, filters, applicability rule, thresholds by profile typed regulatory / Board / management, effective dates, test fixtures, status</w:t>
      </w:r>
      <w:r>
        <w:t xml:space="preserve"> </w:t>
      </w:r>
      <w:r>
        <w:rPr>
          <w:rStyle w:val="VerbatimChar"/>
        </w:rPr>
        <w:t xml:space="preserve">DRAFT → VALIDATED → APPROVED → RETIRED</w:t>
      </w:r>
      <w:r>
        <w:t xml:space="preserve">).</w:t>
      </w:r>
    </w:p>
    <w:p>
      <w:pPr>
        <w:numPr>
          <w:ilvl w:val="0"/>
          <w:numId w:val="1416"/>
        </w:numPr>
        <w:pStyle w:val="Compact"/>
      </w:pPr>
      <w:r>
        <w:rPr>
          <w:bCs/>
          <w:b/>
        </w:rPr>
        <w:t xml:space="preserve">Change rule.</w:t>
      </w:r>
      <w:r>
        <w:t xml:space="preserve"> </w:t>
      </w:r>
      <w:r>
        <w:t xml:space="preserve">A changed formula is a new version; history keeps the version used; recomputation under a new version is a separate restatement series and never overwrites a certified value.</w:t>
      </w:r>
    </w:p>
    <w:p>
      <w:pPr>
        <w:numPr>
          <w:ilvl w:val="0"/>
          <w:numId w:val="1416"/>
        </w:numPr>
        <w:pStyle w:val="Compact"/>
      </w:pPr>
      <w:r>
        <w:rPr>
          <w:bCs/>
          <w:b/>
        </w:rPr>
        <w:t xml:space="preserve">Metric change control</w:t>
      </w:r>
      <w:r>
        <w:t xml:space="preserve"> </w:t>
      </w:r>
      <w:r>
        <w:t xml:space="preserve">(applies to every metric used on a dashboard, KRI, RAS metric, return element or Board pack):</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98"/>
        <w:gridCol w:w="3217"/>
        <w:gridCol w:w="4323"/>
      </w:tblGrid>
      <w:tr>
        <w:trPr>
          <w:tblHeader w:val="true"/>
          <w:tblHeader w:val="true"/>
        </w:trPr>
        <w:tc>
          <w:tcPr>
            <w:tcW w:w="2098" w:type="dxa"/>
            <w:shd w:val="clear" w:color="auto" w:fill="1F3A5F"/>
          </w:tcPr>
          <w:p>
            <w:pPr>
              <w:pStyle w:val="Compact"/>
              <w:spacing w:after="40"/>
              <w:jc w:val="left"/>
            </w:pPr>
            <w:r>
              <w:rPr>
                <w:b/>
                <w:color w:val="FFFFFF"/>
                <w:sz w:val="18"/>
              </w:rPr>
              <w:t xml:space="preserve">Step</w:t>
            </w:r>
          </w:p>
        </w:tc>
        <w:tc>
          <w:tcPr>
            <w:tcW w:w="3217" w:type="dxa"/>
            <w:shd w:val="clear" w:color="auto" w:fill="1F3A5F"/>
          </w:tcPr>
          <w:p>
            <w:pPr>
              <w:pStyle w:val="Compact"/>
              <w:spacing w:after="40"/>
              <w:jc w:val="left"/>
            </w:pPr>
            <w:r>
              <w:rPr>
                <w:b/>
                <w:color w:val="FFFFFF"/>
                <w:sz w:val="18"/>
              </w:rPr>
              <w:t xml:space="preserve">Owner</w:t>
            </w:r>
          </w:p>
        </w:tc>
        <w:tc>
          <w:tcPr>
            <w:tcW w:w="4323" w:type="dxa"/>
            <w:shd w:val="clear" w:color="auto" w:fill="1F3A5F"/>
          </w:tcPr>
          <w:p>
            <w:pPr>
              <w:pStyle w:val="Compact"/>
              <w:spacing w:after="40"/>
              <w:jc w:val="left"/>
            </w:pPr>
            <w:r>
              <w:rPr>
                <w:b/>
                <w:color w:val="FFFFFF"/>
                <w:sz w:val="18"/>
              </w:rPr>
              <w:t xml:space="preserve">Rule</w:t>
            </w:r>
          </w:p>
        </w:tc>
      </w:tr>
      <w:tr>
        <w:tc>
          <w:tcPr>
            <w:tcW w:w="2098" w:type="dxa"/>
          </w:tcPr>
          <w:p>
            <w:pPr>
              <w:pStyle w:val="Compact"/>
              <w:spacing w:after="40"/>
              <w:jc w:val="left"/>
            </w:pPr>
            <w:r>
              <w:rPr>
                <w:sz w:val="18"/>
              </w:rPr>
              <w:t xml:space="preserve">1. Change request</w:t>
            </w:r>
          </w:p>
        </w:tc>
        <w:tc>
          <w:tcPr>
            <w:tcW w:w="3217" w:type="dxa"/>
          </w:tcPr>
          <w:p>
            <w:pPr>
              <w:pStyle w:val="Compact"/>
              <w:spacing w:after="40"/>
              <w:jc w:val="left"/>
            </w:pPr>
            <w:r>
              <w:rPr>
                <w:sz w:val="18"/>
              </w:rPr>
              <w:t xml:space="preserve">Metric owner or data steward</w:t>
            </w:r>
          </w:p>
        </w:tc>
        <w:tc>
          <w:tcPr>
            <w:tcW w:w="4323" w:type="dxa"/>
          </w:tcPr>
          <w:p>
            <w:pPr>
              <w:pStyle w:val="Compact"/>
              <w:spacing w:after="40"/>
              <w:jc w:val="left"/>
            </w:pPr>
            <w:r>
              <w:rPr>
                <w:sz w:val="18"/>
              </w:rPr>
              <w:t xml:space="preserve">Reason, proposed formula, sources, applicability, effective date</w:t>
            </w:r>
          </w:p>
        </w:tc>
      </w:tr>
      <w:tr>
        <w:tc>
          <w:tcPr>
            <w:tcW w:w="2098" w:type="dxa"/>
          </w:tcPr>
          <w:p>
            <w:pPr>
              <w:pStyle w:val="Compact"/>
              <w:spacing w:after="40"/>
              <w:jc w:val="left"/>
            </w:pPr>
            <w:r>
              <w:rPr>
                <w:sz w:val="18"/>
              </w:rPr>
              <w:t xml:space="preserve">2. Impact analysis (system-generated)</w:t>
            </w:r>
          </w:p>
        </w:tc>
        <w:tc>
          <w:tcPr>
            <w:tcW w:w="3217" w:type="dxa"/>
          </w:tcPr>
          <w:p>
            <w:pPr>
              <w:pStyle w:val="Compact"/>
              <w:spacing w:after="40"/>
              <w:jc w:val="left"/>
            </w:pPr>
            <w:r>
              <w:rPr>
                <w:sz w:val="18"/>
              </w:rPr>
              <w:t xml:space="preserve">System</w:t>
            </w:r>
          </w:p>
        </w:tc>
        <w:tc>
          <w:tcPr>
            <w:tcW w:w="4323" w:type="dxa"/>
          </w:tcPr>
          <w:p>
            <w:pPr>
              <w:pStyle w:val="Compact"/>
              <w:spacing w:after="40"/>
              <w:jc w:val="left"/>
            </w:pPr>
            <w:r>
              <w:rPr>
                <w:sz w:val="18"/>
              </w:rPr>
              <w:t xml:space="preserve">Lists every tile, dashboard, KRI, RAS metric, return cell, ICAAP table and frozen pack that uses the metric, with value differences on the last 3 period-ends</w:t>
            </w:r>
          </w:p>
        </w:tc>
      </w:tr>
      <w:tr>
        <w:tc>
          <w:tcPr>
            <w:tcW w:w="2098" w:type="dxa"/>
          </w:tcPr>
          <w:p>
            <w:pPr>
              <w:pStyle w:val="Compact"/>
              <w:spacing w:after="40"/>
              <w:jc w:val="left"/>
            </w:pPr>
            <w:r>
              <w:rPr>
                <w:sz w:val="18"/>
              </w:rPr>
              <w:t xml:space="preserve">3. Validation</w:t>
            </w:r>
          </w:p>
        </w:tc>
        <w:tc>
          <w:tcPr>
            <w:tcW w:w="3217" w:type="dxa"/>
          </w:tcPr>
          <w:p>
            <w:pPr>
              <w:pStyle w:val="Compact"/>
              <w:spacing w:after="40"/>
              <w:jc w:val="left"/>
            </w:pPr>
            <w:r>
              <w:rPr>
                <w:sz w:val="18"/>
              </w:rPr>
              <w:t xml:space="preserve">Data steward (not the requester)</w:t>
            </w:r>
          </w:p>
        </w:tc>
        <w:tc>
          <w:tcPr>
            <w:tcW w:w="4323" w:type="dxa"/>
          </w:tcPr>
          <w:p>
            <w:pPr>
              <w:pStyle w:val="Compact"/>
              <w:spacing w:after="40"/>
              <w:jc w:val="left"/>
            </w:pPr>
            <w:r>
              <w:rPr>
                <w:sz w:val="18"/>
              </w:rPr>
              <w:t xml:space="preserve">Test fixtures pass; parallel run of old and new versions for at least one period-end [REC]</w:t>
            </w:r>
          </w:p>
        </w:tc>
      </w:tr>
      <w:tr>
        <w:tc>
          <w:tcPr>
            <w:tcW w:w="2098" w:type="dxa"/>
          </w:tcPr>
          <w:p>
            <w:pPr>
              <w:pStyle w:val="Compact"/>
              <w:spacing w:after="40"/>
              <w:jc w:val="left"/>
            </w:pPr>
            <w:r>
              <w:rPr>
                <w:sz w:val="18"/>
              </w:rPr>
              <w:t xml:space="preserve">4. Approval</w:t>
            </w:r>
          </w:p>
        </w:tc>
        <w:tc>
          <w:tcPr>
            <w:tcW w:w="3217" w:type="dxa"/>
          </w:tcPr>
          <w:p>
            <w:pPr>
              <w:pStyle w:val="Compact"/>
              <w:spacing w:after="40"/>
              <w:jc w:val="left"/>
            </w:pPr>
            <w:r>
              <w:rPr>
                <w:sz w:val="18"/>
              </w:rPr>
              <w:t xml:space="preserve">Owner role; CRO and CFO jointly for regulatory metrics; CCO if a return element changes</w:t>
            </w:r>
          </w:p>
        </w:tc>
        <w:tc>
          <w:tcPr>
            <w:tcW w:w="4323" w:type="dxa"/>
          </w:tcPr>
          <w:p>
            <w:pPr>
              <w:pStyle w:val="Compact"/>
              <w:spacing w:after="40"/>
              <w:jc w:val="left"/>
            </w:pPr>
            <w:r>
              <w:rPr>
                <w:sz w:val="18"/>
              </w:rPr>
              <w:t xml:space="preserve">Regulatory formulas and thresholds come only from rule packs and cannot be edited by the tenant</w:t>
            </w:r>
          </w:p>
        </w:tc>
      </w:tr>
      <w:tr>
        <w:tc>
          <w:tcPr>
            <w:tcW w:w="2098" w:type="dxa"/>
          </w:tcPr>
          <w:p>
            <w:pPr>
              <w:pStyle w:val="Compact"/>
              <w:spacing w:after="40"/>
              <w:jc w:val="left"/>
            </w:pPr>
            <w:r>
              <w:rPr>
                <w:sz w:val="18"/>
              </w:rPr>
              <w:t xml:space="preserve">5. Release</w:t>
            </w:r>
          </w:p>
        </w:tc>
        <w:tc>
          <w:tcPr>
            <w:tcW w:w="3217" w:type="dxa"/>
          </w:tcPr>
          <w:p>
            <w:pPr>
              <w:pStyle w:val="Compact"/>
              <w:spacing w:after="40"/>
              <w:jc w:val="left"/>
            </w:pPr>
            <w:r>
              <w:rPr>
                <w:sz w:val="18"/>
              </w:rPr>
              <w:t xml:space="preserve">System</w:t>
            </w:r>
          </w:p>
        </w:tc>
        <w:tc>
          <w:tcPr>
            <w:tcW w:w="4323" w:type="dxa"/>
          </w:tcPr>
          <w:p>
            <w:pPr>
              <w:pStyle w:val="Compact"/>
              <w:spacing w:after="40"/>
              <w:jc w:val="left"/>
            </w:pPr>
            <w:r>
              <w:rPr>
                <w:sz w:val="18"/>
              </w:rPr>
              <w:t xml:space="preserve">Effective-dated switch; dashboards show a</w:t>
            </w:r>
            <w:r>
              <w:rPr>
                <w:sz w:val="18"/>
              </w:rPr>
              <w:t xml:space="preserve"> </w:t>
            </w:r>
            <w:r>
              <w:rPr>
                <w:sz w:val="18"/>
              </w:rPr>
              <w:t xml:space="preserve">“</w:t>
            </w:r>
            <w:r>
              <w:rPr>
                <w:sz w:val="18"/>
              </w:rPr>
              <w:t xml:space="preserve">definition changed on [date]</w:t>
            </w:r>
            <w:r>
              <w:rPr>
                <w:sz w:val="18"/>
              </w:rPr>
              <w:t xml:space="preserve">”</w:t>
            </w:r>
            <w:r>
              <w:rPr>
                <w:sz w:val="18"/>
              </w:rPr>
              <w:t xml:space="preserve"> </w:t>
            </w:r>
            <w:r>
              <w:rPr>
                <w:sz w:val="18"/>
              </w:rPr>
              <w:t xml:space="preserve">badge for two periods; subscribers are notified; frozen packs keep the old version</w:t>
            </w:r>
          </w:p>
        </w:tc>
      </w:tr>
      <w:tr>
        <w:tc>
          <w:tcPr>
            <w:tcW w:w="2098" w:type="dxa"/>
          </w:tcPr>
          <w:p>
            <w:pPr>
              <w:pStyle w:val="Compact"/>
              <w:spacing w:after="40"/>
              <w:jc w:val="left"/>
            </w:pPr>
            <w:r>
              <w:rPr>
                <w:sz w:val="18"/>
              </w:rPr>
              <w:t xml:space="preserve">Rollback</w:t>
            </w:r>
          </w:p>
        </w:tc>
        <w:tc>
          <w:tcPr>
            <w:tcW w:w="3217" w:type="dxa"/>
          </w:tcPr>
          <w:p>
            <w:pPr>
              <w:pStyle w:val="Compact"/>
              <w:spacing w:after="40"/>
              <w:jc w:val="left"/>
            </w:pPr>
            <w:r>
              <w:rPr>
                <w:sz w:val="18"/>
              </w:rPr>
              <w:t xml:space="preserve">Owner</w:t>
            </w:r>
          </w:p>
        </w:tc>
        <w:tc>
          <w:tcPr>
            <w:tcW w:w="4323" w:type="dxa"/>
          </w:tcPr>
          <w:p>
            <w:pPr>
              <w:pStyle w:val="Compact"/>
              <w:spacing w:after="40"/>
              <w:jc w:val="left"/>
            </w:pPr>
            <w:r>
              <w:rPr>
                <w:sz w:val="18"/>
              </w:rPr>
              <w:t xml:space="preserve">A new version restoring the earlier formula, with reason; never an in-place edit</w:t>
            </w:r>
          </w:p>
        </w:tc>
      </w:tr>
    </w:tbl>
    <w:p>
      <w:pPr>
        <w:numPr>
          <w:ilvl w:val="0"/>
          <w:numId w:val="1417"/>
        </w:numPr>
        <w:pStyle w:val="Compact"/>
      </w:pPr>
      <w:r>
        <w:rPr>
          <w:bCs/>
          <w:b/>
        </w:rPr>
        <w:t xml:space="preserve">Lineage.</w:t>
      </w:r>
      <w:r>
        <w:t xml:space="preserve"> </w:t>
      </w:r>
      <w:r>
        <w:t xml:space="preserve">Source field → transform → metric version → value → tile, emitted as OpenLineage events and visible to auditors and supervisors (Part 7D AU7).</w:t>
      </w:r>
    </w:p>
    <w:p>
      <w:pPr>
        <w:numPr>
          <w:ilvl w:val="0"/>
          <w:numId w:val="1417"/>
        </w:numPr>
        <w:pStyle w:val="Compact"/>
      </w:pPr>
      <w:r>
        <w:rPr>
          <w:bCs/>
          <w:b/>
        </w:rPr>
        <w:t xml:space="preserve">Quality gates before a value is shown as</w:t>
      </w:r>
      <w:r>
        <w:rPr>
          <w:bCs/>
          <w:b/>
        </w:rPr>
        <w:t xml:space="preserve"> </w:t>
      </w:r>
      <w:r>
        <w:rPr>
          <w:bCs/>
          <w:b/>
        </w:rPr>
        <w:t xml:space="preserve">“</w:t>
      </w:r>
      <w:r>
        <w:rPr>
          <w:bCs/>
          <w:b/>
        </w:rPr>
        <w:t xml:space="preserve">compliant</w:t>
      </w:r>
      <w:r>
        <w:rPr>
          <w:bCs/>
          <w:b/>
        </w:rPr>
        <w:t xml:space="preserve">”</w:t>
      </w:r>
      <w:r>
        <w:rPr>
          <w:bCs/>
          <w:b/>
        </w:rPr>
        <w:t xml:space="preserve">.</w:t>
      </w:r>
      <w:r>
        <w:t xml:space="preserve"> </w:t>
      </w:r>
      <w:r>
        <w:t xml:space="preserve">Applicability resolved for the entity; completeness (source period closed, required feeds received); data-quality rules passed; certification by the owner role (RK8.3). Otherwise the tile shows</w:t>
      </w:r>
      <w:r>
        <w:t xml:space="preserve"> </w:t>
      </w:r>
      <w:r>
        <w:t xml:space="preserve">“</w:t>
      </w:r>
      <w:r>
        <w:t xml:space="preserve">indicative</w:t>
      </w:r>
      <w:r>
        <w:t xml:space="preserve">”</w:t>
      </w:r>
      <w:r>
        <w:t xml:space="preserve">.</w:t>
      </w:r>
    </w:p>
    <w:p>
      <w:pPr>
        <w:numPr>
          <w:ilvl w:val="0"/>
          <w:numId w:val="1417"/>
        </w:numPr>
        <w:pStyle w:val="Compact"/>
      </w:pPr>
      <w:r>
        <w:rPr>
          <w:bCs/>
          <w:b/>
        </w:rPr>
        <w:t xml:space="preserve">Sources.</w:t>
      </w:r>
      <w:r>
        <w:t xml:space="preserve"> </w:t>
      </w:r>
      <w:r>
        <w:t xml:space="preserve">GL (M10), LB (loan book, M6), ALM (RK4), CAP (RK3), ECL (Part 7C AC2), COL (collections, M8), REF (limits and registers), OPS (incidents, fraud, complaints, cyber).</w:t>
      </w:r>
      <w:r>
        <w:t xml:space="preserve"> </w:t>
      </w:r>
      <w:r>
        <w:t xml:space="preserve">“</w:t>
      </w:r>
      <w:r>
        <w:t xml:space="preserve">Avg</w:t>
      </w:r>
      <w:r>
        <w:t xml:space="preserve">”</w:t>
      </w:r>
      <w:r>
        <w:t xml:space="preserve"> </w:t>
      </w:r>
      <w:r>
        <w:t xml:space="preserve">means average of opening and closing (or daily average where configured).</w:t>
      </w:r>
    </w:p>
    <w:bookmarkEnd w:id="444"/>
    <w:bookmarkStart w:id="445" w:name="Xcb9a323db165fc821101782abcd21e8b3cc0281"/>
    <w:p>
      <w:pPr>
        <w:pStyle w:val="Heading3"/>
      </w:pPr>
      <w:r>
        <w:t xml:space="preserve">RK6.2 Ratio library (seed set; thresholds are regulatory unless marked Board or market)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98"/>
        <w:gridCol w:w="1283"/>
        <w:gridCol w:w="2964"/>
        <w:gridCol w:w="712"/>
        <w:gridCol w:w="1993"/>
        <w:gridCol w:w="769"/>
        <w:gridCol w:w="1219"/>
      </w:tblGrid>
      <w:tr>
        <w:trPr>
          <w:tblHeader w:val="true"/>
          <w:tblHeader w:val="true"/>
        </w:trPr>
        <w:tc>
          <w:tcPr>
            <w:tcW w:w="698" w:type="dxa"/>
            <w:shd w:val="clear" w:color="auto" w:fill="1F3A5F"/>
          </w:tcPr>
          <w:p>
            <w:pPr>
              <w:pStyle w:val="Compact"/>
              <w:spacing w:after="40"/>
              <w:jc w:val="left"/>
            </w:pPr>
            <w:r>
              <w:rPr>
                <w:b/>
                <w:color w:val="FFFFFF"/>
                <w:sz w:val="18"/>
              </w:rPr>
              <w:t xml:space="preserve">#</w:t>
            </w:r>
          </w:p>
        </w:tc>
        <w:tc>
          <w:tcPr>
            <w:tcW w:w="1283" w:type="dxa"/>
            <w:shd w:val="clear" w:color="auto" w:fill="1F3A5F"/>
          </w:tcPr>
          <w:p>
            <w:pPr>
              <w:pStyle w:val="Compact"/>
              <w:spacing w:after="40"/>
              <w:jc w:val="left"/>
            </w:pPr>
            <w:r>
              <w:rPr>
                <w:b/>
                <w:color w:val="FFFFFF"/>
                <w:sz w:val="18"/>
              </w:rPr>
              <w:t xml:space="preserve">Metric</w:t>
            </w:r>
          </w:p>
        </w:tc>
        <w:tc>
          <w:tcPr>
            <w:tcW w:w="2964" w:type="dxa"/>
            <w:shd w:val="clear" w:color="auto" w:fill="1F3A5F"/>
          </w:tcPr>
          <w:p>
            <w:pPr>
              <w:pStyle w:val="Compact"/>
              <w:spacing w:after="40"/>
              <w:jc w:val="left"/>
            </w:pPr>
            <w:r>
              <w:rPr>
                <w:b/>
                <w:color w:val="FFFFFF"/>
                <w:sz w:val="18"/>
              </w:rPr>
              <w:t xml:space="preserve">Formula</w:t>
            </w:r>
          </w:p>
        </w:tc>
        <w:tc>
          <w:tcPr>
            <w:tcW w:w="712" w:type="dxa"/>
            <w:shd w:val="clear" w:color="auto" w:fill="1F3A5F"/>
          </w:tcPr>
          <w:p>
            <w:pPr>
              <w:pStyle w:val="Compact"/>
              <w:spacing w:after="40"/>
              <w:jc w:val="left"/>
            </w:pPr>
            <w:r>
              <w:rPr>
                <w:b/>
                <w:color w:val="FFFFFF"/>
                <w:sz w:val="18"/>
              </w:rPr>
              <w:t xml:space="preserve">Source</w:t>
            </w:r>
          </w:p>
        </w:tc>
        <w:tc>
          <w:tcPr>
            <w:tcW w:w="1993" w:type="dxa"/>
            <w:shd w:val="clear" w:color="auto" w:fill="1F3A5F"/>
          </w:tcPr>
          <w:p>
            <w:pPr>
              <w:pStyle w:val="Compact"/>
              <w:spacing w:after="40"/>
              <w:jc w:val="left"/>
            </w:pPr>
            <w:r>
              <w:rPr>
                <w:b/>
                <w:color w:val="FFFFFF"/>
                <w:sz w:val="18"/>
              </w:rPr>
              <w:t xml:space="preserve">Threshold by entity</w:t>
            </w:r>
          </w:p>
        </w:tc>
        <w:tc>
          <w:tcPr>
            <w:tcW w:w="769" w:type="dxa"/>
            <w:shd w:val="clear" w:color="auto" w:fill="1F3A5F"/>
          </w:tcPr>
          <w:p>
            <w:pPr>
              <w:pStyle w:val="Compact"/>
              <w:spacing w:after="40"/>
              <w:jc w:val="left"/>
            </w:pPr>
            <w:r>
              <w:rPr>
                <w:b/>
                <w:color w:val="FFFFFF"/>
                <w:sz w:val="18"/>
              </w:rPr>
              <w:t xml:space="preserve">Freq</w:t>
            </w:r>
          </w:p>
        </w:tc>
        <w:tc>
          <w:tcPr>
            <w:tcW w:w="1219" w:type="dxa"/>
            <w:shd w:val="clear" w:color="auto" w:fill="1F3A5F"/>
          </w:tcPr>
          <w:p>
            <w:pPr>
              <w:pStyle w:val="Compact"/>
              <w:spacing w:after="40"/>
              <w:jc w:val="left"/>
            </w:pPr>
            <w:r>
              <w:rPr>
                <w:b/>
                <w:color w:val="FFFFFF"/>
                <w:sz w:val="18"/>
              </w:rPr>
              <w:t xml:space="preserve">Citation</w:t>
            </w:r>
          </w:p>
        </w:tc>
      </w:tr>
      <w:tr>
        <w:tc>
          <w:tcPr>
            <w:tcW w:w="698" w:type="dxa"/>
          </w:tcPr>
          <w:p>
            <w:pPr>
              <w:pStyle w:val="Compact"/>
              <w:spacing w:after="40"/>
              <w:jc w:val="left"/>
            </w:pPr>
            <w:r>
              <w:rPr>
                <w:sz w:val="18"/>
              </w:rPr>
              <w:t xml:space="preserve">R1</w:t>
            </w:r>
          </w:p>
        </w:tc>
        <w:tc>
          <w:tcPr>
            <w:tcW w:w="1283" w:type="dxa"/>
          </w:tcPr>
          <w:p>
            <w:pPr>
              <w:pStyle w:val="Compact"/>
              <w:spacing w:after="40"/>
              <w:jc w:val="left"/>
            </w:pPr>
            <w:r>
              <w:rPr>
                <w:sz w:val="18"/>
              </w:rPr>
              <w:t xml:space="preserve">CRAR</w:t>
            </w:r>
          </w:p>
        </w:tc>
        <w:tc>
          <w:tcPr>
            <w:tcW w:w="2964" w:type="dxa"/>
          </w:tcPr>
          <w:p>
            <w:pPr>
              <w:pStyle w:val="Compact"/>
              <w:spacing w:after="40"/>
              <w:jc w:val="left"/>
            </w:pPr>
            <w:r>
              <w:rPr>
                <w:sz w:val="18"/>
              </w:rPr>
              <w:t xml:space="preserve">(Tier 1 + Tier 2) ÷ RWA</w:t>
            </w:r>
          </w:p>
        </w:tc>
        <w:tc>
          <w:tcPr>
            <w:tcW w:w="712" w:type="dxa"/>
          </w:tcPr>
          <w:p>
            <w:pPr>
              <w:pStyle w:val="Compact"/>
              <w:spacing w:after="40"/>
              <w:jc w:val="left"/>
            </w:pPr>
            <w:r>
              <w:rPr>
                <w:sz w:val="18"/>
              </w:rPr>
              <w:t xml:space="preserve">CAP</w:t>
            </w:r>
          </w:p>
        </w:tc>
        <w:tc>
          <w:tcPr>
            <w:tcW w:w="1993" w:type="dxa"/>
          </w:tcPr>
          <w:p>
            <w:pPr>
              <w:pStyle w:val="Compact"/>
              <w:spacing w:after="40"/>
              <w:jc w:val="left"/>
            </w:pPr>
            <w:r>
              <w:rPr>
                <w:sz w:val="18"/>
              </w:rPr>
              <w:t xml:space="preserve">NBFC ML+, MFI, HFC, gold-primary BL ≥ 15%; bank 9% + 2.5% CCB; UCB 9% or 12%</w:t>
            </w:r>
          </w:p>
        </w:tc>
        <w:tc>
          <w:tcPr>
            <w:tcW w:w="769" w:type="dxa"/>
          </w:tcPr>
          <w:p>
            <w:pPr>
              <w:pStyle w:val="Compact"/>
              <w:spacing w:after="40"/>
              <w:jc w:val="left"/>
            </w:pPr>
            <w:r>
              <w:rPr>
                <w:sz w:val="18"/>
              </w:rPr>
              <w:t xml:space="preserve">M, Q</w:t>
            </w:r>
          </w:p>
        </w:tc>
        <w:tc>
          <w:tcPr>
            <w:tcW w:w="1219" w:type="dxa"/>
          </w:tcPr>
          <w:p>
            <w:pPr>
              <w:pStyle w:val="Compact"/>
              <w:spacing w:after="40"/>
              <w:jc w:val="left"/>
            </w:pPr>
            <w:r>
              <w:rPr>
                <w:sz w:val="18"/>
              </w:rPr>
              <w:t xml:space="preserve">CAP 6; MFI 16; MSD 16–17</w:t>
            </w:r>
          </w:p>
        </w:tc>
      </w:tr>
      <w:tr>
        <w:tc>
          <w:tcPr>
            <w:tcW w:w="698" w:type="dxa"/>
          </w:tcPr>
          <w:p>
            <w:pPr>
              <w:pStyle w:val="Compact"/>
              <w:spacing w:after="40"/>
              <w:jc w:val="left"/>
            </w:pPr>
            <w:r>
              <w:rPr>
                <w:sz w:val="18"/>
              </w:rPr>
              <w:t xml:space="preserve">R2</w:t>
            </w:r>
          </w:p>
        </w:tc>
        <w:tc>
          <w:tcPr>
            <w:tcW w:w="1283" w:type="dxa"/>
          </w:tcPr>
          <w:p>
            <w:pPr>
              <w:pStyle w:val="Compact"/>
              <w:spacing w:after="40"/>
              <w:jc w:val="left"/>
            </w:pPr>
            <w:r>
              <w:rPr>
                <w:sz w:val="18"/>
              </w:rPr>
              <w:t xml:space="preserve">Tier 1 ratio</w:t>
            </w:r>
          </w:p>
        </w:tc>
        <w:tc>
          <w:tcPr>
            <w:tcW w:w="2964" w:type="dxa"/>
          </w:tcPr>
          <w:p>
            <w:pPr>
              <w:pStyle w:val="Compact"/>
              <w:spacing w:after="40"/>
              <w:jc w:val="left"/>
            </w:pPr>
            <w:r>
              <w:rPr>
                <w:sz w:val="18"/>
              </w:rPr>
              <w:t xml:space="preserve">Tier 1 ÷ RWA</w:t>
            </w:r>
          </w:p>
        </w:tc>
        <w:tc>
          <w:tcPr>
            <w:tcW w:w="712" w:type="dxa"/>
          </w:tcPr>
          <w:p>
            <w:pPr>
              <w:pStyle w:val="Compact"/>
              <w:spacing w:after="40"/>
              <w:jc w:val="left"/>
            </w:pPr>
            <w:r>
              <w:rPr>
                <w:sz w:val="18"/>
              </w:rPr>
              <w:t xml:space="preserve">CAP</w:t>
            </w:r>
          </w:p>
        </w:tc>
        <w:tc>
          <w:tcPr>
            <w:tcW w:w="1993" w:type="dxa"/>
          </w:tcPr>
          <w:p>
            <w:pPr>
              <w:pStyle w:val="Compact"/>
              <w:spacing w:after="40"/>
              <w:jc w:val="left"/>
            </w:pPr>
            <w:r>
              <w:rPr>
                <w:sz w:val="18"/>
              </w:rPr>
              <w:t xml:space="preserve">ML+ ≥ 10%; gold-primary ≥ 12%; HFC ≥ 10%; bank ≥ 7%</w:t>
            </w:r>
          </w:p>
        </w:tc>
        <w:tc>
          <w:tcPr>
            <w:tcW w:w="769" w:type="dxa"/>
          </w:tcPr>
          <w:p>
            <w:pPr>
              <w:pStyle w:val="Compact"/>
              <w:spacing w:after="40"/>
              <w:jc w:val="left"/>
            </w:pPr>
            <w:r>
              <w:rPr>
                <w:sz w:val="18"/>
              </w:rPr>
              <w:t xml:space="preserve">M, Q</w:t>
            </w:r>
          </w:p>
        </w:tc>
        <w:tc>
          <w:tcPr>
            <w:tcW w:w="1219" w:type="dxa"/>
          </w:tcPr>
          <w:p>
            <w:pPr>
              <w:pStyle w:val="Compact"/>
              <w:spacing w:after="40"/>
              <w:jc w:val="left"/>
            </w:pPr>
            <w:r>
              <w:rPr>
                <w:sz w:val="18"/>
              </w:rPr>
              <w:t xml:space="preserve">CAP 6</w:t>
            </w:r>
          </w:p>
        </w:tc>
      </w:tr>
      <w:tr>
        <w:tc>
          <w:tcPr>
            <w:tcW w:w="698" w:type="dxa"/>
          </w:tcPr>
          <w:p>
            <w:pPr>
              <w:pStyle w:val="Compact"/>
              <w:spacing w:after="40"/>
              <w:jc w:val="left"/>
            </w:pPr>
            <w:r>
              <w:rPr>
                <w:sz w:val="18"/>
              </w:rPr>
              <w:t xml:space="preserve">R3</w:t>
            </w:r>
          </w:p>
        </w:tc>
        <w:tc>
          <w:tcPr>
            <w:tcW w:w="1283" w:type="dxa"/>
          </w:tcPr>
          <w:p>
            <w:pPr>
              <w:pStyle w:val="Compact"/>
              <w:spacing w:after="40"/>
              <w:jc w:val="left"/>
            </w:pPr>
            <w:r>
              <w:rPr>
                <w:sz w:val="18"/>
              </w:rPr>
              <w:t xml:space="preserve">CET1 ratio</w:t>
            </w:r>
          </w:p>
        </w:tc>
        <w:tc>
          <w:tcPr>
            <w:tcW w:w="2964" w:type="dxa"/>
          </w:tcPr>
          <w:p>
            <w:pPr>
              <w:pStyle w:val="Compact"/>
              <w:spacing w:after="40"/>
              <w:jc w:val="left"/>
            </w:pPr>
            <w:r>
              <w:rPr>
                <w:sz w:val="18"/>
              </w:rPr>
              <w:t xml:space="preserve">CET1 ÷ RWA</w:t>
            </w:r>
          </w:p>
        </w:tc>
        <w:tc>
          <w:tcPr>
            <w:tcW w:w="712" w:type="dxa"/>
          </w:tcPr>
          <w:p>
            <w:pPr>
              <w:pStyle w:val="Compact"/>
              <w:spacing w:after="40"/>
              <w:jc w:val="left"/>
            </w:pPr>
            <w:r>
              <w:rPr>
                <w:sz w:val="18"/>
              </w:rPr>
              <w:t xml:space="preserve">CAP</w:t>
            </w:r>
          </w:p>
        </w:tc>
        <w:tc>
          <w:tcPr>
            <w:tcW w:w="1993" w:type="dxa"/>
          </w:tcPr>
          <w:p>
            <w:pPr>
              <w:pStyle w:val="Compact"/>
              <w:spacing w:after="40"/>
              <w:jc w:val="left"/>
            </w:pPr>
            <w:r>
              <w:rPr>
                <w:sz w:val="18"/>
              </w:rPr>
              <w:t xml:space="preserve">UL ≥ 9%; bank ≥ 5.5% + CCB</w:t>
            </w:r>
          </w:p>
        </w:tc>
        <w:tc>
          <w:tcPr>
            <w:tcW w:w="769" w:type="dxa"/>
          </w:tcPr>
          <w:p>
            <w:pPr>
              <w:pStyle w:val="Compact"/>
              <w:spacing w:after="40"/>
              <w:jc w:val="left"/>
            </w:pPr>
            <w:r>
              <w:rPr>
                <w:sz w:val="18"/>
              </w:rPr>
              <w:t xml:space="preserve">M, Q</w:t>
            </w:r>
          </w:p>
        </w:tc>
        <w:tc>
          <w:tcPr>
            <w:tcW w:w="1219" w:type="dxa"/>
          </w:tcPr>
          <w:p>
            <w:pPr>
              <w:pStyle w:val="Compact"/>
              <w:spacing w:after="40"/>
              <w:jc w:val="left"/>
            </w:pPr>
            <w:r>
              <w:rPr>
                <w:sz w:val="18"/>
              </w:rPr>
              <w:t xml:space="preserve">CAP 6(4)</w:t>
            </w:r>
          </w:p>
        </w:tc>
      </w:tr>
      <w:tr>
        <w:tc>
          <w:tcPr>
            <w:tcW w:w="698" w:type="dxa"/>
          </w:tcPr>
          <w:p>
            <w:pPr>
              <w:pStyle w:val="Compact"/>
              <w:spacing w:after="40"/>
              <w:jc w:val="left"/>
            </w:pPr>
            <w:r>
              <w:rPr>
                <w:sz w:val="18"/>
              </w:rPr>
              <w:t xml:space="preserve">R4</w:t>
            </w:r>
          </w:p>
        </w:tc>
        <w:tc>
          <w:tcPr>
            <w:tcW w:w="1283" w:type="dxa"/>
          </w:tcPr>
          <w:p>
            <w:pPr>
              <w:pStyle w:val="Compact"/>
              <w:spacing w:after="40"/>
              <w:jc w:val="left"/>
            </w:pPr>
            <w:r>
              <w:rPr>
                <w:sz w:val="18"/>
              </w:rPr>
              <w:t xml:space="preserve">Tier 2 to Tier 1</w:t>
            </w:r>
          </w:p>
        </w:tc>
        <w:tc>
          <w:tcPr>
            <w:tcW w:w="2964" w:type="dxa"/>
          </w:tcPr>
          <w:p>
            <w:pPr>
              <w:pStyle w:val="Compact"/>
              <w:spacing w:after="40"/>
              <w:jc w:val="left"/>
            </w:pPr>
            <w:r>
              <w:rPr>
                <w:sz w:val="18"/>
              </w:rPr>
              <w:t xml:space="preserve">Tier 2 ÷ Tier 1</w:t>
            </w:r>
          </w:p>
        </w:tc>
        <w:tc>
          <w:tcPr>
            <w:tcW w:w="712" w:type="dxa"/>
          </w:tcPr>
          <w:p>
            <w:pPr>
              <w:pStyle w:val="Compact"/>
              <w:spacing w:after="40"/>
              <w:jc w:val="left"/>
            </w:pPr>
            <w:r>
              <w:rPr>
                <w:sz w:val="18"/>
              </w:rPr>
              <w:t xml:space="preserve">CAP</w:t>
            </w:r>
          </w:p>
        </w:tc>
        <w:tc>
          <w:tcPr>
            <w:tcW w:w="1993" w:type="dxa"/>
          </w:tcPr>
          <w:p>
            <w:pPr>
              <w:pStyle w:val="Compact"/>
              <w:spacing w:after="40"/>
              <w:jc w:val="left"/>
            </w:pPr>
            <w:r>
              <w:rPr>
                <w:sz w:val="18"/>
              </w:rPr>
              <w:t xml:space="preserve">≤ 100% (ML+, gold-primary, MFI, HFC)</w:t>
            </w:r>
          </w:p>
        </w:tc>
        <w:tc>
          <w:tcPr>
            <w:tcW w:w="769" w:type="dxa"/>
          </w:tcPr>
          <w:p>
            <w:pPr>
              <w:pStyle w:val="Compact"/>
              <w:spacing w:after="40"/>
              <w:jc w:val="left"/>
            </w:pPr>
            <w:r>
              <w:rPr>
                <w:sz w:val="18"/>
              </w:rPr>
              <w:t xml:space="preserve">Q</w:t>
            </w:r>
          </w:p>
        </w:tc>
        <w:tc>
          <w:tcPr>
            <w:tcW w:w="1219" w:type="dxa"/>
          </w:tcPr>
          <w:p>
            <w:pPr>
              <w:pStyle w:val="Compact"/>
              <w:spacing w:after="40"/>
              <w:jc w:val="left"/>
            </w:pPr>
            <w:r>
              <w:rPr>
                <w:sz w:val="18"/>
              </w:rPr>
              <w:t xml:space="preserve">CAP 6(1), 6(3); MFI 16–17</w:t>
            </w:r>
          </w:p>
        </w:tc>
      </w:tr>
      <w:tr>
        <w:tc>
          <w:tcPr>
            <w:tcW w:w="698" w:type="dxa"/>
          </w:tcPr>
          <w:p>
            <w:pPr>
              <w:pStyle w:val="Compact"/>
              <w:spacing w:after="40"/>
              <w:jc w:val="left"/>
            </w:pPr>
            <w:r>
              <w:rPr>
                <w:sz w:val="18"/>
              </w:rPr>
              <w:t xml:space="preserve">R5</w:t>
            </w:r>
          </w:p>
        </w:tc>
        <w:tc>
          <w:tcPr>
            <w:tcW w:w="1283" w:type="dxa"/>
          </w:tcPr>
          <w:p>
            <w:pPr>
              <w:pStyle w:val="Compact"/>
              <w:spacing w:after="40"/>
              <w:jc w:val="left"/>
            </w:pPr>
            <w:r>
              <w:rPr>
                <w:sz w:val="18"/>
              </w:rPr>
              <w:t xml:space="preserve">BL leverage</w:t>
            </w:r>
          </w:p>
        </w:tc>
        <w:tc>
          <w:tcPr>
            <w:tcW w:w="2964" w:type="dxa"/>
          </w:tcPr>
          <w:p>
            <w:pPr>
              <w:pStyle w:val="Compact"/>
              <w:spacing w:after="40"/>
              <w:jc w:val="left"/>
            </w:pPr>
            <w:r>
              <w:rPr>
                <w:sz w:val="18"/>
              </w:rPr>
              <w:t xml:space="preserve">Outside liabilities ÷ owned fund</w:t>
            </w:r>
          </w:p>
        </w:tc>
        <w:tc>
          <w:tcPr>
            <w:tcW w:w="712" w:type="dxa"/>
          </w:tcPr>
          <w:p>
            <w:pPr>
              <w:pStyle w:val="Compact"/>
              <w:spacing w:after="40"/>
              <w:jc w:val="left"/>
            </w:pPr>
            <w:r>
              <w:rPr>
                <w:sz w:val="18"/>
              </w:rPr>
              <w:t xml:space="preserve">GL</w:t>
            </w:r>
          </w:p>
        </w:tc>
        <w:tc>
          <w:tcPr>
            <w:tcW w:w="1993" w:type="dxa"/>
          </w:tcPr>
          <w:p>
            <w:pPr>
              <w:pStyle w:val="Compact"/>
              <w:spacing w:after="40"/>
              <w:jc w:val="left"/>
            </w:pPr>
            <w:r>
              <w:rPr>
                <w:sz w:val="18"/>
              </w:rPr>
              <w:t xml:space="preserve">BL ≤ 7</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CAP 4(7), 17</w:t>
            </w:r>
          </w:p>
        </w:tc>
      </w:tr>
      <w:tr>
        <w:tc>
          <w:tcPr>
            <w:tcW w:w="698" w:type="dxa"/>
          </w:tcPr>
          <w:p>
            <w:pPr>
              <w:pStyle w:val="Compact"/>
              <w:spacing w:after="40"/>
              <w:jc w:val="left"/>
            </w:pPr>
            <w:r>
              <w:rPr>
                <w:sz w:val="18"/>
              </w:rPr>
              <w:t xml:space="preserve">R6</w:t>
            </w:r>
          </w:p>
        </w:tc>
        <w:tc>
          <w:tcPr>
            <w:tcW w:w="1283" w:type="dxa"/>
          </w:tcPr>
          <w:p>
            <w:pPr>
              <w:pStyle w:val="Compact"/>
              <w:spacing w:after="40"/>
              <w:jc w:val="left"/>
            </w:pPr>
            <w:r>
              <w:rPr>
                <w:sz w:val="18"/>
              </w:rPr>
              <w:t xml:space="preserve">Bank leverage ratio</w:t>
            </w:r>
          </w:p>
        </w:tc>
        <w:tc>
          <w:tcPr>
            <w:tcW w:w="2964" w:type="dxa"/>
          </w:tcPr>
          <w:p>
            <w:pPr>
              <w:pStyle w:val="Compact"/>
              <w:spacing w:after="40"/>
              <w:jc w:val="left"/>
            </w:pPr>
            <w:r>
              <w:rPr>
                <w:sz w:val="18"/>
              </w:rPr>
              <w:t xml:space="preserve">Tier 1 ÷ exposure measure</w:t>
            </w:r>
          </w:p>
        </w:tc>
        <w:tc>
          <w:tcPr>
            <w:tcW w:w="712" w:type="dxa"/>
          </w:tcPr>
          <w:p>
            <w:pPr>
              <w:pStyle w:val="Compact"/>
              <w:spacing w:after="40"/>
              <w:jc w:val="left"/>
            </w:pPr>
            <w:r>
              <w:rPr>
                <w:sz w:val="18"/>
              </w:rPr>
              <w:t xml:space="preserve">CAP</w:t>
            </w:r>
          </w:p>
        </w:tc>
        <w:tc>
          <w:tcPr>
            <w:tcW w:w="1993" w:type="dxa"/>
          </w:tcPr>
          <w:p>
            <w:pPr>
              <w:pStyle w:val="Compact"/>
              <w:spacing w:after="40"/>
              <w:jc w:val="left"/>
            </w:pPr>
            <w:r>
              <w:rPr>
                <w:sz w:val="18"/>
              </w:rPr>
              <w:t xml:space="preserve">≥ 4% D-SIB; ≥ 3.5% others</w:t>
            </w:r>
          </w:p>
        </w:tc>
        <w:tc>
          <w:tcPr>
            <w:tcW w:w="769" w:type="dxa"/>
          </w:tcPr>
          <w:p>
            <w:pPr>
              <w:pStyle w:val="Compact"/>
              <w:spacing w:after="40"/>
              <w:jc w:val="left"/>
            </w:pPr>
            <w:r>
              <w:rPr>
                <w:sz w:val="18"/>
              </w:rPr>
              <w:t xml:space="preserve">Q</w:t>
            </w:r>
          </w:p>
        </w:tc>
        <w:tc>
          <w:tcPr>
            <w:tcW w:w="1219" w:type="dxa"/>
          </w:tcPr>
          <w:p>
            <w:pPr>
              <w:pStyle w:val="Compact"/>
              <w:spacing w:after="40"/>
              <w:jc w:val="left"/>
            </w:pPr>
            <w:r>
              <w:rPr>
                <w:sz w:val="18"/>
              </w:rPr>
              <w:t xml:space="preserve">CB-CAP [VERIFY]</w:t>
            </w:r>
          </w:p>
        </w:tc>
      </w:tr>
      <w:tr>
        <w:tc>
          <w:tcPr>
            <w:tcW w:w="698" w:type="dxa"/>
          </w:tcPr>
          <w:p>
            <w:pPr>
              <w:pStyle w:val="Compact"/>
              <w:spacing w:after="40"/>
              <w:jc w:val="left"/>
            </w:pPr>
            <w:r>
              <w:rPr>
                <w:sz w:val="18"/>
              </w:rPr>
              <w:t xml:space="preserve">R7</w:t>
            </w:r>
          </w:p>
        </w:tc>
        <w:tc>
          <w:tcPr>
            <w:tcW w:w="1283" w:type="dxa"/>
          </w:tcPr>
          <w:p>
            <w:pPr>
              <w:pStyle w:val="Compact"/>
              <w:spacing w:after="40"/>
              <w:jc w:val="left"/>
            </w:pPr>
            <w:r>
              <w:rPr>
                <w:sz w:val="18"/>
              </w:rPr>
              <w:t xml:space="preserve">CIC ANW/RWA and leverage</w:t>
            </w:r>
          </w:p>
        </w:tc>
        <w:tc>
          <w:tcPr>
            <w:tcW w:w="2964" w:type="dxa"/>
          </w:tcPr>
          <w:p>
            <w:pPr>
              <w:pStyle w:val="Compact"/>
              <w:spacing w:after="40"/>
              <w:jc w:val="left"/>
            </w:pPr>
            <w:r>
              <w:rPr>
                <w:sz w:val="18"/>
              </w:rPr>
              <w:t xml:space="preserve">ANW ÷ RWA; outside liabilities ÷ ANW</w:t>
            </w:r>
          </w:p>
        </w:tc>
        <w:tc>
          <w:tcPr>
            <w:tcW w:w="712" w:type="dxa"/>
          </w:tcPr>
          <w:p>
            <w:pPr>
              <w:pStyle w:val="Compact"/>
              <w:spacing w:after="40"/>
              <w:jc w:val="left"/>
            </w:pPr>
            <w:r>
              <w:rPr>
                <w:sz w:val="18"/>
              </w:rPr>
              <w:t xml:space="preserve">GL, CAP</w:t>
            </w:r>
          </w:p>
        </w:tc>
        <w:tc>
          <w:tcPr>
            <w:tcW w:w="1993" w:type="dxa"/>
          </w:tcPr>
          <w:p>
            <w:pPr>
              <w:pStyle w:val="Compact"/>
              <w:spacing w:after="40"/>
              <w:jc w:val="left"/>
            </w:pPr>
            <w:r>
              <w:rPr>
                <w:sz w:val="18"/>
              </w:rPr>
              <w:t xml:space="preserve">ANW/RWA ≥ 30%; leverage ≤ 2.5x [VERIFY:</w:t>
            </w:r>
            <w:r>
              <w:rPr>
                <w:sz w:val="18"/>
              </w:rPr>
              <w:t xml:space="preserve"> </w:t>
            </w:r>
            <w:r>
              <w:rPr>
                <w:rStyle w:val="VerbatimChar"/>
                <w:sz w:val="18"/>
              </w:rPr>
              <w:t xml:space="preserve">CICD</w:t>
            </w:r>
            <w:r>
              <w:rPr>
                <w:sz w:val="18"/>
              </w:rPr>
              <w:t xml:space="preserve">]; PCA RT1 at ANW/RWA below 30% or leverage ≥ 2.5x</w:t>
            </w:r>
          </w:p>
        </w:tc>
        <w:tc>
          <w:tcPr>
            <w:tcW w:w="769" w:type="dxa"/>
          </w:tcPr>
          <w:p>
            <w:pPr>
              <w:pStyle w:val="Compact"/>
              <w:spacing w:after="40"/>
              <w:jc w:val="left"/>
            </w:pPr>
            <w:r>
              <w:rPr>
                <w:sz w:val="18"/>
              </w:rPr>
              <w:t xml:space="preserve">Q</w:t>
            </w:r>
          </w:p>
        </w:tc>
        <w:tc>
          <w:tcPr>
            <w:tcW w:w="1219" w:type="dxa"/>
          </w:tcPr>
          <w:p>
            <w:pPr>
              <w:pStyle w:val="Compact"/>
              <w:spacing w:after="40"/>
              <w:jc w:val="left"/>
            </w:pPr>
            <w:r>
              <w:rPr>
                <w:rStyle w:val="VerbatimChar"/>
                <w:sz w:val="18"/>
              </w:rPr>
              <w:t xml:space="preserve">CICD</w:t>
            </w:r>
            <w:r>
              <w:rPr>
                <w:sz w:val="18"/>
              </w:rPr>
              <w:t xml:space="preserve">; MSD 16–17</w:t>
            </w:r>
          </w:p>
        </w:tc>
      </w:tr>
      <w:tr>
        <w:tc>
          <w:tcPr>
            <w:tcW w:w="698" w:type="dxa"/>
          </w:tcPr>
          <w:p>
            <w:pPr>
              <w:pStyle w:val="Compact"/>
              <w:spacing w:after="40"/>
              <w:jc w:val="left"/>
            </w:pPr>
            <w:r>
              <w:rPr>
                <w:sz w:val="18"/>
              </w:rPr>
              <w:t xml:space="preserve">R8</w:t>
            </w:r>
          </w:p>
        </w:tc>
        <w:tc>
          <w:tcPr>
            <w:tcW w:w="1283" w:type="dxa"/>
          </w:tcPr>
          <w:p>
            <w:pPr>
              <w:pStyle w:val="Compact"/>
              <w:spacing w:after="40"/>
              <w:jc w:val="left"/>
            </w:pPr>
            <w:r>
              <w:rPr>
                <w:sz w:val="18"/>
              </w:rPr>
              <w:t xml:space="preserve">LCR</w:t>
            </w:r>
          </w:p>
        </w:tc>
        <w:tc>
          <w:tcPr>
            <w:tcW w:w="2964" w:type="dxa"/>
          </w:tcPr>
          <w:p>
            <w:pPr>
              <w:pStyle w:val="Compact"/>
              <w:spacing w:after="40"/>
              <w:jc w:val="left"/>
            </w:pPr>
            <w:r>
              <w:rPr>
                <w:sz w:val="18"/>
              </w:rPr>
              <w:t xml:space="preserve">HQLA ÷ net 30-day outflows</w:t>
            </w:r>
          </w:p>
        </w:tc>
        <w:tc>
          <w:tcPr>
            <w:tcW w:w="712" w:type="dxa"/>
          </w:tcPr>
          <w:p>
            <w:pPr>
              <w:pStyle w:val="Compact"/>
              <w:spacing w:after="40"/>
              <w:jc w:val="left"/>
            </w:pPr>
            <w:r>
              <w:rPr>
                <w:sz w:val="18"/>
              </w:rPr>
              <w:t xml:space="preserve">ALM</w:t>
            </w:r>
          </w:p>
        </w:tc>
        <w:tc>
          <w:tcPr>
            <w:tcW w:w="1993" w:type="dxa"/>
          </w:tcPr>
          <w:p>
            <w:pPr>
              <w:pStyle w:val="Compact"/>
              <w:spacing w:after="40"/>
              <w:jc w:val="left"/>
            </w:pPr>
            <w:r>
              <w:rPr>
                <w:sz w:val="18"/>
              </w:rPr>
              <w:t xml:space="preserve">≥ 100% where applicable</w:t>
            </w:r>
          </w:p>
        </w:tc>
        <w:tc>
          <w:tcPr>
            <w:tcW w:w="769" w:type="dxa"/>
          </w:tcPr>
          <w:p>
            <w:pPr>
              <w:pStyle w:val="Compact"/>
              <w:spacing w:after="40"/>
              <w:jc w:val="left"/>
            </w:pPr>
            <w:r>
              <w:rPr>
                <w:sz w:val="18"/>
              </w:rPr>
              <w:t xml:space="preserve">D; disclosed Q</w:t>
            </w:r>
          </w:p>
        </w:tc>
        <w:tc>
          <w:tcPr>
            <w:tcW w:w="1219" w:type="dxa"/>
          </w:tcPr>
          <w:p>
            <w:pPr>
              <w:pStyle w:val="Compact"/>
              <w:spacing w:after="40"/>
              <w:jc w:val="left"/>
            </w:pPr>
            <w:r>
              <w:rPr>
                <w:sz w:val="18"/>
              </w:rPr>
              <w:t xml:space="preserve">ALM 61–62</w:t>
            </w:r>
          </w:p>
        </w:tc>
      </w:tr>
      <w:tr>
        <w:tc>
          <w:tcPr>
            <w:tcW w:w="698" w:type="dxa"/>
          </w:tcPr>
          <w:p>
            <w:pPr>
              <w:pStyle w:val="Compact"/>
              <w:spacing w:after="40"/>
              <w:jc w:val="left"/>
            </w:pPr>
            <w:r>
              <w:rPr>
                <w:sz w:val="18"/>
              </w:rPr>
              <w:t xml:space="preserve">R9</w:t>
            </w:r>
          </w:p>
        </w:tc>
        <w:tc>
          <w:tcPr>
            <w:tcW w:w="1283" w:type="dxa"/>
          </w:tcPr>
          <w:p>
            <w:pPr>
              <w:pStyle w:val="Compact"/>
              <w:spacing w:after="40"/>
              <w:jc w:val="left"/>
            </w:pPr>
            <w:r>
              <w:rPr>
                <w:sz w:val="18"/>
              </w:rPr>
              <w:t xml:space="preserve">NSFR (banks)</w:t>
            </w:r>
          </w:p>
        </w:tc>
        <w:tc>
          <w:tcPr>
            <w:tcW w:w="2964" w:type="dxa"/>
          </w:tcPr>
          <w:p>
            <w:pPr>
              <w:pStyle w:val="Compact"/>
              <w:spacing w:after="40"/>
              <w:jc w:val="left"/>
            </w:pPr>
            <w:r>
              <w:rPr>
                <w:sz w:val="18"/>
              </w:rPr>
              <w:t xml:space="preserve">Available stable funding ÷ required stable funding</w:t>
            </w:r>
          </w:p>
        </w:tc>
        <w:tc>
          <w:tcPr>
            <w:tcW w:w="712" w:type="dxa"/>
          </w:tcPr>
          <w:p>
            <w:pPr>
              <w:pStyle w:val="Compact"/>
              <w:spacing w:after="40"/>
              <w:jc w:val="left"/>
            </w:pPr>
            <w:r>
              <w:rPr>
                <w:sz w:val="18"/>
              </w:rPr>
              <w:t xml:space="preserve">ALM</w:t>
            </w:r>
          </w:p>
        </w:tc>
        <w:tc>
          <w:tcPr>
            <w:tcW w:w="1993" w:type="dxa"/>
          </w:tcPr>
          <w:p>
            <w:pPr>
              <w:pStyle w:val="Compact"/>
              <w:spacing w:after="40"/>
              <w:jc w:val="left"/>
            </w:pPr>
            <w:r>
              <w:rPr>
                <w:sz w:val="18"/>
              </w:rPr>
              <w:t xml:space="preserve">≥ 100%</w:t>
            </w:r>
          </w:p>
        </w:tc>
        <w:tc>
          <w:tcPr>
            <w:tcW w:w="769" w:type="dxa"/>
          </w:tcPr>
          <w:p>
            <w:pPr>
              <w:pStyle w:val="Compact"/>
              <w:spacing w:after="40"/>
              <w:jc w:val="left"/>
            </w:pPr>
            <w:r>
              <w:rPr>
                <w:sz w:val="18"/>
              </w:rPr>
              <w:t xml:space="preserve">Q</w:t>
            </w:r>
          </w:p>
        </w:tc>
        <w:tc>
          <w:tcPr>
            <w:tcW w:w="1219" w:type="dxa"/>
          </w:tcPr>
          <w:p>
            <w:pPr>
              <w:pStyle w:val="Compact"/>
              <w:spacing w:after="40"/>
              <w:jc w:val="left"/>
            </w:pPr>
            <w:r>
              <w:rPr>
                <w:sz w:val="18"/>
              </w:rPr>
              <w:t xml:space="preserve">[VERIFY]</w:t>
            </w:r>
          </w:p>
        </w:tc>
      </w:tr>
      <w:tr>
        <w:tc>
          <w:tcPr>
            <w:tcW w:w="698" w:type="dxa"/>
          </w:tcPr>
          <w:p>
            <w:pPr>
              <w:pStyle w:val="Compact"/>
              <w:spacing w:after="40"/>
              <w:jc w:val="left"/>
            </w:pPr>
            <w:r>
              <w:rPr>
                <w:sz w:val="18"/>
              </w:rPr>
              <w:t xml:space="preserve">R10</w:t>
            </w:r>
          </w:p>
        </w:tc>
        <w:tc>
          <w:tcPr>
            <w:tcW w:w="1283" w:type="dxa"/>
          </w:tcPr>
          <w:p>
            <w:pPr>
              <w:pStyle w:val="Compact"/>
              <w:spacing w:after="40"/>
              <w:jc w:val="left"/>
            </w:pPr>
            <w:r>
              <w:rPr>
                <w:sz w:val="18"/>
              </w:rPr>
              <w:t xml:space="preserve">SLS mismatch %</w:t>
            </w:r>
          </w:p>
        </w:tc>
        <w:tc>
          <w:tcPr>
            <w:tcW w:w="2964" w:type="dxa"/>
          </w:tcPr>
          <w:p>
            <w:pPr>
              <w:pStyle w:val="Compact"/>
              <w:spacing w:after="40"/>
              <w:jc w:val="left"/>
            </w:pPr>
            <w:r>
              <w:rPr>
                <w:sz w:val="18"/>
              </w:rPr>
              <w:t xml:space="preserve">−min(0, cumulative gap) ÷ cumulative outflow</w:t>
            </w:r>
          </w:p>
        </w:tc>
        <w:tc>
          <w:tcPr>
            <w:tcW w:w="712" w:type="dxa"/>
          </w:tcPr>
          <w:p>
            <w:pPr>
              <w:pStyle w:val="Compact"/>
              <w:spacing w:after="40"/>
              <w:jc w:val="left"/>
            </w:pPr>
            <w:r>
              <w:rPr>
                <w:sz w:val="18"/>
              </w:rPr>
              <w:t xml:space="preserve">ALM</w:t>
            </w:r>
          </w:p>
        </w:tc>
        <w:tc>
          <w:tcPr>
            <w:tcW w:w="1993" w:type="dxa"/>
          </w:tcPr>
          <w:p>
            <w:pPr>
              <w:pStyle w:val="Compact"/>
              <w:spacing w:after="40"/>
              <w:jc w:val="left"/>
            </w:pPr>
            <w:r>
              <w:rPr>
                <w:sz w:val="18"/>
              </w:rPr>
              <w:t xml:space="preserve">10% / 10% / 20%; Board limits to 1 year</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ALM 39–40</w:t>
            </w:r>
          </w:p>
        </w:tc>
      </w:tr>
      <w:tr>
        <w:tc>
          <w:tcPr>
            <w:tcW w:w="698" w:type="dxa"/>
          </w:tcPr>
          <w:p>
            <w:pPr>
              <w:pStyle w:val="Compact"/>
              <w:spacing w:after="40"/>
              <w:jc w:val="left"/>
            </w:pPr>
            <w:r>
              <w:rPr>
                <w:sz w:val="18"/>
              </w:rPr>
              <w:t xml:space="preserve">R11</w:t>
            </w:r>
          </w:p>
        </w:tc>
        <w:tc>
          <w:tcPr>
            <w:tcW w:w="1283" w:type="dxa"/>
          </w:tcPr>
          <w:p>
            <w:pPr>
              <w:pStyle w:val="Compact"/>
              <w:spacing w:after="40"/>
              <w:jc w:val="left"/>
            </w:pPr>
            <w:r>
              <w:rPr>
                <w:sz w:val="18"/>
              </w:rPr>
              <w:t xml:space="preserve">Stock ratios</w:t>
            </w:r>
          </w:p>
        </w:tc>
        <w:tc>
          <w:tcPr>
            <w:tcW w:w="2964" w:type="dxa"/>
          </w:tcPr>
          <w:p>
            <w:pPr>
              <w:pStyle w:val="Compact"/>
              <w:spacing w:after="40"/>
              <w:jc w:val="left"/>
            </w:pPr>
            <w:r>
              <w:rPr>
                <w:sz w:val="18"/>
              </w:rPr>
              <w:t xml:space="preserve">Six ratios in ALM 43 and Annex I(v)</w:t>
            </w:r>
          </w:p>
        </w:tc>
        <w:tc>
          <w:tcPr>
            <w:tcW w:w="712" w:type="dxa"/>
          </w:tcPr>
          <w:p>
            <w:pPr>
              <w:pStyle w:val="Compact"/>
              <w:spacing w:after="40"/>
              <w:jc w:val="left"/>
            </w:pPr>
            <w:r>
              <w:rPr>
                <w:sz w:val="18"/>
              </w:rPr>
              <w:t xml:space="preserve">GL, ALM</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M; disclosed Q</w:t>
            </w:r>
          </w:p>
        </w:tc>
        <w:tc>
          <w:tcPr>
            <w:tcW w:w="1219" w:type="dxa"/>
          </w:tcPr>
          <w:p>
            <w:pPr>
              <w:pStyle w:val="Compact"/>
              <w:spacing w:after="40"/>
              <w:jc w:val="left"/>
            </w:pPr>
            <w:r>
              <w:rPr>
                <w:sz w:val="18"/>
              </w:rPr>
              <w:t xml:space="preserve">ALM 43</w:t>
            </w:r>
          </w:p>
        </w:tc>
      </w:tr>
      <w:tr>
        <w:tc>
          <w:tcPr>
            <w:tcW w:w="698" w:type="dxa"/>
          </w:tcPr>
          <w:p>
            <w:pPr>
              <w:pStyle w:val="Compact"/>
              <w:spacing w:after="40"/>
              <w:jc w:val="left"/>
            </w:pPr>
            <w:r>
              <w:rPr>
                <w:sz w:val="18"/>
              </w:rPr>
              <w:t xml:space="preserve">R12</w:t>
            </w:r>
          </w:p>
        </w:tc>
        <w:tc>
          <w:tcPr>
            <w:tcW w:w="1283" w:type="dxa"/>
          </w:tcPr>
          <w:p>
            <w:pPr>
              <w:pStyle w:val="Compact"/>
              <w:spacing w:after="40"/>
              <w:jc w:val="left"/>
            </w:pPr>
            <w:r>
              <w:rPr>
                <w:sz w:val="18"/>
              </w:rPr>
              <w:t xml:space="preserve">Funding concentration</w:t>
            </w:r>
          </w:p>
        </w:tc>
        <w:tc>
          <w:tcPr>
            <w:tcW w:w="2964" w:type="dxa"/>
          </w:tcPr>
          <w:p>
            <w:pPr>
              <w:pStyle w:val="Compact"/>
              <w:spacing w:after="40"/>
              <w:jc w:val="left"/>
            </w:pPr>
            <w:r>
              <w:rPr>
                <w:sz w:val="18"/>
              </w:rPr>
              <w:t xml:space="preserve">Significant counterparties ÷ total liabilities; top 10 borrowings; top 20 deposits</w:t>
            </w:r>
          </w:p>
        </w:tc>
        <w:tc>
          <w:tcPr>
            <w:tcW w:w="712" w:type="dxa"/>
          </w:tcPr>
          <w:p>
            <w:pPr>
              <w:pStyle w:val="Compact"/>
              <w:spacing w:after="40"/>
              <w:jc w:val="left"/>
            </w:pPr>
            <w:r>
              <w:rPr>
                <w:sz w:val="18"/>
              </w:rPr>
              <w:t xml:space="preserve">GL</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Q</w:t>
            </w:r>
          </w:p>
        </w:tc>
        <w:tc>
          <w:tcPr>
            <w:tcW w:w="1219" w:type="dxa"/>
          </w:tcPr>
          <w:p>
            <w:pPr>
              <w:pStyle w:val="Compact"/>
              <w:spacing w:after="40"/>
              <w:jc w:val="left"/>
            </w:pPr>
            <w:r>
              <w:rPr>
                <w:sz w:val="18"/>
              </w:rPr>
              <w:t xml:space="preserve">ALM 15, Annex I</w:t>
            </w:r>
          </w:p>
        </w:tc>
      </w:tr>
      <w:tr>
        <w:tc>
          <w:tcPr>
            <w:tcW w:w="698" w:type="dxa"/>
          </w:tcPr>
          <w:p>
            <w:pPr>
              <w:pStyle w:val="Compact"/>
              <w:spacing w:after="40"/>
              <w:jc w:val="left"/>
            </w:pPr>
            <w:r>
              <w:rPr>
                <w:sz w:val="18"/>
              </w:rPr>
              <w:t xml:space="preserve">R13</w:t>
            </w:r>
          </w:p>
        </w:tc>
        <w:tc>
          <w:tcPr>
            <w:tcW w:w="1283" w:type="dxa"/>
          </w:tcPr>
          <w:p>
            <w:pPr>
              <w:pStyle w:val="Compact"/>
              <w:spacing w:after="40"/>
              <w:jc w:val="left"/>
            </w:pPr>
            <w:r>
              <w:rPr>
                <w:sz w:val="18"/>
              </w:rPr>
              <w:t xml:space="preserve">IRS gap, EaR, DGAP, ΔEVE</w:t>
            </w:r>
          </w:p>
        </w:tc>
        <w:tc>
          <w:tcPr>
            <w:tcW w:w="2964" w:type="dxa"/>
          </w:tcPr>
          <w:p>
            <w:pPr>
              <w:pStyle w:val="Compact"/>
              <w:spacing w:after="40"/>
              <w:jc w:val="left"/>
            </w:pPr>
            <w:r>
              <w:rPr>
                <w:sz w:val="18"/>
              </w:rPr>
              <w:t xml:space="preserve">See RK4.4</w:t>
            </w:r>
          </w:p>
        </w:tc>
        <w:tc>
          <w:tcPr>
            <w:tcW w:w="712" w:type="dxa"/>
          </w:tcPr>
          <w:p>
            <w:pPr>
              <w:pStyle w:val="Compact"/>
              <w:spacing w:after="40"/>
              <w:jc w:val="left"/>
            </w:pPr>
            <w:r>
              <w:rPr>
                <w:sz w:val="18"/>
              </w:rPr>
              <w:t xml:space="preserve">ALM</w:t>
            </w:r>
          </w:p>
        </w:tc>
        <w:tc>
          <w:tcPr>
            <w:tcW w:w="1993" w:type="dxa"/>
          </w:tcPr>
          <w:p>
            <w:pPr>
              <w:pStyle w:val="Compact"/>
              <w:spacing w:after="40"/>
              <w:jc w:val="left"/>
            </w:pPr>
            <w:r>
              <w:rPr>
                <w:sz w:val="18"/>
              </w:rPr>
              <w:t xml:space="preserve">Board (vs total assets, earning assets or equity)</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ALM 45–52</w:t>
            </w:r>
          </w:p>
        </w:tc>
      </w:tr>
      <w:tr>
        <w:tc>
          <w:tcPr>
            <w:tcW w:w="698" w:type="dxa"/>
          </w:tcPr>
          <w:p>
            <w:pPr>
              <w:pStyle w:val="Compact"/>
              <w:spacing w:after="40"/>
              <w:jc w:val="left"/>
            </w:pPr>
            <w:r>
              <w:rPr>
                <w:sz w:val="18"/>
              </w:rPr>
              <w:t xml:space="preserve">R14</w:t>
            </w:r>
          </w:p>
        </w:tc>
        <w:tc>
          <w:tcPr>
            <w:tcW w:w="1283" w:type="dxa"/>
          </w:tcPr>
          <w:p>
            <w:pPr>
              <w:pStyle w:val="Compact"/>
              <w:spacing w:after="40"/>
              <w:jc w:val="left"/>
            </w:pPr>
            <w:r>
              <w:rPr>
                <w:sz w:val="18"/>
              </w:rPr>
              <w:t xml:space="preserve">GNPA %</w:t>
            </w:r>
          </w:p>
        </w:tc>
        <w:tc>
          <w:tcPr>
            <w:tcW w:w="2964" w:type="dxa"/>
          </w:tcPr>
          <w:p>
            <w:pPr>
              <w:pStyle w:val="Compact"/>
              <w:spacing w:after="40"/>
              <w:jc w:val="left"/>
            </w:pPr>
            <w:r>
              <w:rPr>
                <w:sz w:val="18"/>
              </w:rPr>
              <w:t xml:space="preserve">Gross NPA ÷ gross advances</w:t>
            </w:r>
          </w:p>
        </w:tc>
        <w:tc>
          <w:tcPr>
            <w:tcW w:w="712" w:type="dxa"/>
          </w:tcPr>
          <w:p>
            <w:pPr>
              <w:pStyle w:val="Compact"/>
              <w:spacing w:after="40"/>
              <w:jc w:val="left"/>
            </w:pPr>
            <w:r>
              <w:rPr>
                <w:sz w:val="18"/>
              </w:rPr>
              <w:t xml:space="preserve">LB</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FS 21(28)</w:t>
            </w:r>
          </w:p>
        </w:tc>
      </w:tr>
      <w:tr>
        <w:tc>
          <w:tcPr>
            <w:tcW w:w="698" w:type="dxa"/>
          </w:tcPr>
          <w:p>
            <w:pPr>
              <w:pStyle w:val="Compact"/>
              <w:spacing w:after="40"/>
              <w:jc w:val="left"/>
            </w:pPr>
            <w:r>
              <w:rPr>
                <w:sz w:val="18"/>
              </w:rPr>
              <w:t xml:space="preserve">R15</w:t>
            </w:r>
          </w:p>
        </w:tc>
        <w:tc>
          <w:tcPr>
            <w:tcW w:w="1283" w:type="dxa"/>
          </w:tcPr>
          <w:p>
            <w:pPr>
              <w:pStyle w:val="Compact"/>
              <w:spacing w:after="40"/>
              <w:jc w:val="left"/>
            </w:pPr>
            <w:r>
              <w:rPr>
                <w:sz w:val="18"/>
              </w:rPr>
              <w:t xml:space="preserve">NNPA %</w:t>
            </w:r>
          </w:p>
        </w:tc>
        <w:tc>
          <w:tcPr>
            <w:tcW w:w="2964" w:type="dxa"/>
          </w:tcPr>
          <w:p>
            <w:pPr>
              <w:pStyle w:val="Compact"/>
              <w:spacing w:after="40"/>
              <w:jc w:val="left"/>
            </w:pPr>
            <w:r>
              <w:rPr>
                <w:sz w:val="18"/>
              </w:rPr>
              <w:t xml:space="preserve">(GNPA − NPA provisions) ÷ (gross advances − NPA provisions), including NPIs for PCA</w:t>
            </w:r>
          </w:p>
        </w:tc>
        <w:tc>
          <w:tcPr>
            <w:tcW w:w="712" w:type="dxa"/>
          </w:tcPr>
          <w:p>
            <w:pPr>
              <w:pStyle w:val="Compact"/>
              <w:spacing w:after="40"/>
              <w:jc w:val="left"/>
            </w:pPr>
            <w:r>
              <w:rPr>
                <w:sz w:val="18"/>
              </w:rPr>
              <w:t xml:space="preserve">LB, ECL</w:t>
            </w:r>
          </w:p>
        </w:tc>
        <w:tc>
          <w:tcPr>
            <w:tcW w:w="1993" w:type="dxa"/>
          </w:tcPr>
          <w:p>
            <w:pPr>
              <w:pStyle w:val="Compact"/>
              <w:spacing w:after="40"/>
              <w:jc w:val="left"/>
            </w:pPr>
            <w:r>
              <w:rPr>
                <w:sz w:val="18"/>
              </w:rPr>
              <w:t xml:space="preserve">PCA RT1 above 6%, RT2 above 9%, RT3 above 12%</w:t>
            </w:r>
          </w:p>
        </w:tc>
        <w:tc>
          <w:tcPr>
            <w:tcW w:w="769" w:type="dxa"/>
          </w:tcPr>
          <w:p>
            <w:pPr>
              <w:pStyle w:val="Compact"/>
              <w:spacing w:after="40"/>
              <w:jc w:val="left"/>
            </w:pPr>
            <w:r>
              <w:rPr>
                <w:sz w:val="18"/>
              </w:rPr>
              <w:t xml:space="preserve">M, Q</w:t>
            </w:r>
          </w:p>
        </w:tc>
        <w:tc>
          <w:tcPr>
            <w:tcW w:w="1219" w:type="dxa"/>
          </w:tcPr>
          <w:p>
            <w:pPr>
              <w:pStyle w:val="Compact"/>
              <w:spacing w:after="40"/>
              <w:jc w:val="left"/>
            </w:pPr>
            <w:r>
              <w:rPr>
                <w:sz w:val="18"/>
              </w:rPr>
              <w:t xml:space="preserve">MSD 16–17</w:t>
            </w:r>
          </w:p>
        </w:tc>
      </w:tr>
      <w:tr>
        <w:tc>
          <w:tcPr>
            <w:tcW w:w="698" w:type="dxa"/>
          </w:tcPr>
          <w:p>
            <w:pPr>
              <w:pStyle w:val="Compact"/>
              <w:spacing w:after="40"/>
              <w:jc w:val="left"/>
            </w:pPr>
            <w:r>
              <w:rPr>
                <w:sz w:val="18"/>
              </w:rPr>
              <w:t xml:space="preserve">R16</w:t>
            </w:r>
          </w:p>
        </w:tc>
        <w:tc>
          <w:tcPr>
            <w:tcW w:w="1283" w:type="dxa"/>
          </w:tcPr>
          <w:p>
            <w:pPr>
              <w:pStyle w:val="Compact"/>
              <w:spacing w:after="40"/>
              <w:jc w:val="left"/>
            </w:pPr>
            <w:r>
              <w:rPr>
                <w:sz w:val="18"/>
              </w:rPr>
              <w:t xml:space="preserve">Provision coverage</w:t>
            </w:r>
          </w:p>
        </w:tc>
        <w:tc>
          <w:tcPr>
            <w:tcW w:w="2964" w:type="dxa"/>
          </w:tcPr>
          <w:p>
            <w:pPr>
              <w:pStyle w:val="Compact"/>
              <w:spacing w:after="40"/>
              <w:jc w:val="left"/>
            </w:pPr>
            <w:r>
              <w:rPr>
                <w:sz w:val="18"/>
              </w:rPr>
              <w:t xml:space="preserve">NPA provisions ÷ GNPA (variant including technical write-offs)</w:t>
            </w:r>
          </w:p>
        </w:tc>
        <w:tc>
          <w:tcPr>
            <w:tcW w:w="712" w:type="dxa"/>
          </w:tcPr>
          <w:p>
            <w:pPr>
              <w:pStyle w:val="Compact"/>
              <w:spacing w:after="40"/>
              <w:jc w:val="left"/>
            </w:pPr>
            <w:r>
              <w:rPr>
                <w:sz w:val="18"/>
              </w:rPr>
              <w:t xml:space="preserve">LB, ECL</w:t>
            </w:r>
          </w:p>
        </w:tc>
        <w:tc>
          <w:tcPr>
            <w:tcW w:w="1993" w:type="dxa"/>
          </w:tcPr>
          <w:p>
            <w:pPr>
              <w:pStyle w:val="Compact"/>
              <w:spacing w:after="40"/>
              <w:jc w:val="left"/>
            </w:pPr>
            <w:r>
              <w:rPr>
                <w:sz w:val="18"/>
              </w:rPr>
              <w:t xml:space="preserve">Board (no RBI floor for NBFCs)</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Market</w:t>
            </w:r>
          </w:p>
        </w:tc>
      </w:tr>
      <w:tr>
        <w:tc>
          <w:tcPr>
            <w:tcW w:w="698" w:type="dxa"/>
          </w:tcPr>
          <w:p>
            <w:pPr>
              <w:pStyle w:val="Compact"/>
              <w:spacing w:after="40"/>
              <w:jc w:val="left"/>
            </w:pPr>
            <w:r>
              <w:rPr>
                <w:sz w:val="18"/>
              </w:rPr>
              <w:t xml:space="preserve">R17</w:t>
            </w:r>
          </w:p>
        </w:tc>
        <w:tc>
          <w:tcPr>
            <w:tcW w:w="1283" w:type="dxa"/>
          </w:tcPr>
          <w:p>
            <w:pPr>
              <w:pStyle w:val="Compact"/>
              <w:spacing w:after="40"/>
              <w:jc w:val="left"/>
            </w:pPr>
            <w:r>
              <w:rPr>
                <w:sz w:val="18"/>
              </w:rPr>
              <w:t xml:space="preserve">SMA ratios</w:t>
            </w:r>
          </w:p>
        </w:tc>
        <w:tc>
          <w:tcPr>
            <w:tcW w:w="2964" w:type="dxa"/>
          </w:tcPr>
          <w:p>
            <w:pPr>
              <w:pStyle w:val="Compact"/>
              <w:spacing w:after="40"/>
              <w:jc w:val="left"/>
            </w:pPr>
            <w:r>
              <w:rPr>
                <w:sz w:val="18"/>
              </w:rPr>
              <w:t xml:space="preserve">SMA-1 (31–60 DPD) and SMA-2 (61–90 DPD) ÷ standard advances; SMA-0 up to 30 DPD [VERIFY]</w:t>
            </w:r>
          </w:p>
        </w:tc>
        <w:tc>
          <w:tcPr>
            <w:tcW w:w="712" w:type="dxa"/>
          </w:tcPr>
          <w:p>
            <w:pPr>
              <w:pStyle w:val="Compact"/>
              <w:spacing w:after="40"/>
              <w:jc w:val="left"/>
            </w:pPr>
            <w:r>
              <w:rPr>
                <w:sz w:val="18"/>
              </w:rPr>
              <w:t xml:space="preserve">LB</w:t>
            </w:r>
          </w:p>
        </w:tc>
        <w:tc>
          <w:tcPr>
            <w:tcW w:w="1993" w:type="dxa"/>
          </w:tcPr>
          <w:p>
            <w:pPr>
              <w:pStyle w:val="Compact"/>
              <w:spacing w:after="40"/>
              <w:jc w:val="left"/>
            </w:pPr>
            <w:r>
              <w:rPr>
                <w:sz w:val="18"/>
              </w:rPr>
              <w:t xml:space="preserve">Board EWS</w:t>
            </w:r>
          </w:p>
        </w:tc>
        <w:tc>
          <w:tcPr>
            <w:tcW w:w="769" w:type="dxa"/>
          </w:tcPr>
          <w:p>
            <w:pPr>
              <w:pStyle w:val="Compact"/>
              <w:spacing w:after="40"/>
              <w:jc w:val="left"/>
            </w:pPr>
            <w:r>
              <w:rPr>
                <w:sz w:val="18"/>
              </w:rPr>
              <w:t xml:space="preserve">D</w:t>
            </w:r>
          </w:p>
        </w:tc>
        <w:tc>
          <w:tcPr>
            <w:tcW w:w="1219" w:type="dxa"/>
          </w:tcPr>
          <w:p>
            <w:pPr>
              <w:pStyle w:val="Compact"/>
              <w:spacing w:after="40"/>
              <w:jc w:val="left"/>
            </w:pPr>
            <w:r>
              <w:rPr>
                <w:sz w:val="18"/>
              </w:rPr>
              <w:t xml:space="preserve">IRACP 18–19</w:t>
            </w:r>
          </w:p>
        </w:tc>
      </w:tr>
      <w:tr>
        <w:tc>
          <w:tcPr>
            <w:tcW w:w="698" w:type="dxa"/>
          </w:tcPr>
          <w:p>
            <w:pPr>
              <w:pStyle w:val="Compact"/>
              <w:spacing w:after="40"/>
              <w:jc w:val="left"/>
            </w:pPr>
            <w:r>
              <w:rPr>
                <w:sz w:val="18"/>
              </w:rPr>
              <w:t xml:space="preserve">R18</w:t>
            </w:r>
          </w:p>
        </w:tc>
        <w:tc>
          <w:tcPr>
            <w:tcW w:w="1283" w:type="dxa"/>
          </w:tcPr>
          <w:p>
            <w:pPr>
              <w:pStyle w:val="Compact"/>
              <w:spacing w:after="40"/>
              <w:jc w:val="left"/>
            </w:pPr>
            <w:r>
              <w:rPr>
                <w:sz w:val="18"/>
              </w:rPr>
              <w:t xml:space="preserve">Slippage ratio</w:t>
            </w:r>
          </w:p>
        </w:tc>
        <w:tc>
          <w:tcPr>
            <w:tcW w:w="2964" w:type="dxa"/>
          </w:tcPr>
          <w:p>
            <w:pPr>
              <w:pStyle w:val="Compact"/>
              <w:spacing w:after="40"/>
              <w:jc w:val="left"/>
            </w:pPr>
            <w:r>
              <w:rPr>
                <w:sz w:val="18"/>
              </w:rPr>
              <w:t xml:space="preserve">Fresh NPAs ÷ opening standard advances, annualised</w:t>
            </w:r>
          </w:p>
        </w:tc>
        <w:tc>
          <w:tcPr>
            <w:tcW w:w="712" w:type="dxa"/>
          </w:tcPr>
          <w:p>
            <w:pPr>
              <w:pStyle w:val="Compact"/>
              <w:spacing w:after="40"/>
              <w:jc w:val="left"/>
            </w:pPr>
            <w:r>
              <w:rPr>
                <w:sz w:val="18"/>
              </w:rPr>
              <w:t xml:space="preserve">LB</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Market</w:t>
            </w:r>
          </w:p>
        </w:tc>
      </w:tr>
      <w:tr>
        <w:tc>
          <w:tcPr>
            <w:tcW w:w="698" w:type="dxa"/>
          </w:tcPr>
          <w:p>
            <w:pPr>
              <w:pStyle w:val="Compact"/>
              <w:spacing w:after="40"/>
              <w:jc w:val="left"/>
            </w:pPr>
            <w:r>
              <w:rPr>
                <w:sz w:val="18"/>
              </w:rPr>
              <w:t xml:space="preserve">R19</w:t>
            </w:r>
          </w:p>
        </w:tc>
        <w:tc>
          <w:tcPr>
            <w:tcW w:w="1283" w:type="dxa"/>
          </w:tcPr>
          <w:p>
            <w:pPr>
              <w:pStyle w:val="Compact"/>
              <w:spacing w:after="40"/>
              <w:jc w:val="left"/>
            </w:pPr>
            <w:r>
              <w:rPr>
                <w:sz w:val="18"/>
              </w:rPr>
              <w:t xml:space="preserve">Credit cost</w:t>
            </w:r>
          </w:p>
        </w:tc>
        <w:tc>
          <w:tcPr>
            <w:tcW w:w="2964" w:type="dxa"/>
          </w:tcPr>
          <w:p>
            <w:pPr>
              <w:pStyle w:val="Compact"/>
              <w:spacing w:after="40"/>
              <w:jc w:val="left"/>
            </w:pPr>
            <w:r>
              <w:rPr>
                <w:sz w:val="18"/>
              </w:rPr>
              <w:t xml:space="preserve">Impairment charge ÷ average gross loans, annualised</w:t>
            </w:r>
          </w:p>
        </w:tc>
        <w:tc>
          <w:tcPr>
            <w:tcW w:w="712" w:type="dxa"/>
          </w:tcPr>
          <w:p>
            <w:pPr>
              <w:pStyle w:val="Compact"/>
              <w:spacing w:after="40"/>
              <w:jc w:val="left"/>
            </w:pPr>
            <w:r>
              <w:rPr>
                <w:sz w:val="18"/>
              </w:rPr>
              <w:t xml:space="preserve">GL, LB</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Market</w:t>
            </w:r>
          </w:p>
        </w:tc>
      </w:tr>
      <w:tr>
        <w:tc>
          <w:tcPr>
            <w:tcW w:w="698" w:type="dxa"/>
          </w:tcPr>
          <w:p>
            <w:pPr>
              <w:pStyle w:val="Compact"/>
              <w:spacing w:after="40"/>
              <w:jc w:val="left"/>
            </w:pPr>
            <w:r>
              <w:rPr>
                <w:sz w:val="18"/>
              </w:rPr>
              <w:t xml:space="preserve">R20</w:t>
            </w:r>
          </w:p>
        </w:tc>
        <w:tc>
          <w:tcPr>
            <w:tcW w:w="1283" w:type="dxa"/>
          </w:tcPr>
          <w:p>
            <w:pPr>
              <w:pStyle w:val="Compact"/>
              <w:spacing w:after="40"/>
              <w:jc w:val="left"/>
            </w:pPr>
            <w:r>
              <w:rPr>
                <w:sz w:val="18"/>
              </w:rPr>
              <w:t xml:space="preserve">Write-off ratio</w:t>
            </w:r>
          </w:p>
        </w:tc>
        <w:tc>
          <w:tcPr>
            <w:tcW w:w="2964" w:type="dxa"/>
          </w:tcPr>
          <w:p>
            <w:pPr>
              <w:pStyle w:val="Compact"/>
              <w:spacing w:after="40"/>
              <w:jc w:val="left"/>
            </w:pPr>
            <w:r>
              <w:rPr>
                <w:sz w:val="18"/>
              </w:rPr>
              <w:t xml:space="preserve">Write-offs ÷ average gross loans</w:t>
            </w:r>
          </w:p>
        </w:tc>
        <w:tc>
          <w:tcPr>
            <w:tcW w:w="712" w:type="dxa"/>
          </w:tcPr>
          <w:p>
            <w:pPr>
              <w:pStyle w:val="Compact"/>
              <w:spacing w:after="40"/>
              <w:jc w:val="left"/>
            </w:pPr>
            <w:r>
              <w:rPr>
                <w:sz w:val="18"/>
              </w:rPr>
              <w:t xml:space="preserve">GL</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Q</w:t>
            </w:r>
          </w:p>
        </w:tc>
        <w:tc>
          <w:tcPr>
            <w:tcW w:w="1219" w:type="dxa"/>
          </w:tcPr>
          <w:p>
            <w:pPr>
              <w:pStyle w:val="Compact"/>
              <w:spacing w:after="40"/>
              <w:jc w:val="left"/>
            </w:pPr>
            <w:r>
              <w:rPr>
                <w:sz w:val="18"/>
              </w:rPr>
              <w:t xml:space="preserve">Market</w:t>
            </w:r>
          </w:p>
        </w:tc>
      </w:tr>
      <w:tr>
        <w:tc>
          <w:tcPr>
            <w:tcW w:w="698" w:type="dxa"/>
          </w:tcPr>
          <w:p>
            <w:pPr>
              <w:pStyle w:val="Compact"/>
              <w:spacing w:after="40"/>
              <w:jc w:val="left"/>
            </w:pPr>
            <w:r>
              <w:rPr>
                <w:sz w:val="18"/>
              </w:rPr>
              <w:t xml:space="preserve">R21</w:t>
            </w:r>
          </w:p>
        </w:tc>
        <w:tc>
          <w:tcPr>
            <w:tcW w:w="1283" w:type="dxa"/>
          </w:tcPr>
          <w:p>
            <w:pPr>
              <w:pStyle w:val="Compact"/>
              <w:spacing w:after="40"/>
              <w:jc w:val="left"/>
            </w:pPr>
            <w:r>
              <w:rPr>
                <w:sz w:val="18"/>
              </w:rPr>
              <w:t xml:space="preserve">Restructured %</w:t>
            </w:r>
          </w:p>
        </w:tc>
        <w:tc>
          <w:tcPr>
            <w:tcW w:w="2964" w:type="dxa"/>
          </w:tcPr>
          <w:p>
            <w:pPr>
              <w:pStyle w:val="Compact"/>
              <w:spacing w:after="40"/>
              <w:jc w:val="left"/>
            </w:pPr>
            <w:r>
              <w:rPr>
                <w:sz w:val="18"/>
              </w:rPr>
              <w:t xml:space="preserve">Restructured balances ÷ gross advances</w:t>
            </w:r>
          </w:p>
        </w:tc>
        <w:tc>
          <w:tcPr>
            <w:tcW w:w="712" w:type="dxa"/>
          </w:tcPr>
          <w:p>
            <w:pPr>
              <w:pStyle w:val="Compact"/>
              <w:spacing w:after="40"/>
              <w:jc w:val="left"/>
            </w:pPr>
            <w:r>
              <w:rPr>
                <w:sz w:val="18"/>
              </w:rPr>
              <w:t xml:space="preserve">LB</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FS 21(7)</w:t>
            </w:r>
          </w:p>
        </w:tc>
      </w:tr>
      <w:tr>
        <w:tc>
          <w:tcPr>
            <w:tcW w:w="698" w:type="dxa"/>
          </w:tcPr>
          <w:p>
            <w:pPr>
              <w:pStyle w:val="Compact"/>
              <w:spacing w:after="40"/>
              <w:jc w:val="left"/>
            </w:pPr>
            <w:r>
              <w:rPr>
                <w:sz w:val="18"/>
              </w:rPr>
              <w:t xml:space="preserve">R22</w:t>
            </w:r>
          </w:p>
        </w:tc>
        <w:tc>
          <w:tcPr>
            <w:tcW w:w="1283" w:type="dxa"/>
          </w:tcPr>
          <w:p>
            <w:pPr>
              <w:pStyle w:val="Compact"/>
              <w:spacing w:after="40"/>
              <w:jc w:val="left"/>
            </w:pPr>
            <w:r>
              <w:rPr>
                <w:sz w:val="18"/>
              </w:rPr>
              <w:t xml:space="preserve">Collection efficiency</w:t>
            </w:r>
          </w:p>
        </w:tc>
        <w:tc>
          <w:tcPr>
            <w:tcW w:w="2964" w:type="dxa"/>
          </w:tcPr>
          <w:p>
            <w:pPr>
              <w:pStyle w:val="Compact"/>
              <w:spacing w:after="40"/>
              <w:jc w:val="left"/>
            </w:pPr>
            <w:r>
              <w:rPr>
                <w:sz w:val="18"/>
              </w:rPr>
              <w:t xml:space="preserve">Current collections ÷ current demand;</w:t>
            </w:r>
            <w:r>
              <w:rPr>
                <w:sz w:val="18"/>
              </w:rPr>
              <w:t xml:space="preserve"> </w:t>
            </w:r>
            <w:r>
              <w:rPr>
                <w:sz w:val="18"/>
              </w:rPr>
              <w:t xml:space="preserve">“</w:t>
            </w:r>
            <w:r>
              <w:rPr>
                <w:sz w:val="18"/>
              </w:rPr>
              <w:t xml:space="preserve">overall</w:t>
            </w:r>
            <w:r>
              <w:rPr>
                <w:sz w:val="18"/>
              </w:rPr>
              <w:t xml:space="preserve">”</w:t>
            </w:r>
            <w:r>
              <w:rPr>
                <w:sz w:val="18"/>
              </w:rPr>
              <w:t xml:space="preserve"> </w:t>
            </w:r>
            <w:r>
              <w:rPr>
                <w:sz w:val="18"/>
              </w:rPr>
              <w:t xml:space="preserve">(including arrears and prepayments) reported separately, never blended</w:t>
            </w:r>
          </w:p>
        </w:tc>
        <w:tc>
          <w:tcPr>
            <w:tcW w:w="712" w:type="dxa"/>
          </w:tcPr>
          <w:p>
            <w:pPr>
              <w:pStyle w:val="Compact"/>
              <w:spacing w:after="40"/>
              <w:jc w:val="left"/>
            </w:pPr>
            <w:r>
              <w:rPr>
                <w:sz w:val="18"/>
              </w:rPr>
              <w:t xml:space="preserve">COL</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D, M</w:t>
            </w:r>
          </w:p>
        </w:tc>
        <w:tc>
          <w:tcPr>
            <w:tcW w:w="1219" w:type="dxa"/>
          </w:tcPr>
          <w:p>
            <w:pPr>
              <w:pStyle w:val="Compact"/>
              <w:spacing w:after="40"/>
              <w:jc w:val="left"/>
            </w:pPr>
            <w:r>
              <w:rPr>
                <w:sz w:val="18"/>
              </w:rPr>
              <w:t xml:space="preserve">Market</w:t>
            </w:r>
          </w:p>
        </w:tc>
      </w:tr>
      <w:tr>
        <w:tc>
          <w:tcPr>
            <w:tcW w:w="698" w:type="dxa"/>
          </w:tcPr>
          <w:p>
            <w:pPr>
              <w:pStyle w:val="Compact"/>
              <w:spacing w:after="40"/>
              <w:jc w:val="left"/>
            </w:pPr>
            <w:r>
              <w:rPr>
                <w:sz w:val="18"/>
              </w:rPr>
              <w:t xml:space="preserve">R23</w:t>
            </w:r>
          </w:p>
        </w:tc>
        <w:tc>
          <w:tcPr>
            <w:tcW w:w="1283" w:type="dxa"/>
          </w:tcPr>
          <w:p>
            <w:pPr>
              <w:pStyle w:val="Compact"/>
              <w:spacing w:after="40"/>
              <w:jc w:val="left"/>
            </w:pPr>
            <w:r>
              <w:rPr>
                <w:sz w:val="18"/>
              </w:rPr>
              <w:t xml:space="preserve">Roll rates and vintage loss</w:t>
            </w:r>
          </w:p>
        </w:tc>
        <w:tc>
          <w:tcPr>
            <w:tcW w:w="2964" w:type="dxa"/>
          </w:tcPr>
          <w:p>
            <w:pPr>
              <w:pStyle w:val="Compact"/>
              <w:spacing w:after="40"/>
              <w:jc w:val="left"/>
            </w:pPr>
            <w:r>
              <w:rPr>
                <w:sz w:val="18"/>
              </w:rPr>
              <w:t xml:space="preserve">Bucket transition matrix; cumulative loss by disbursal cohort</w:t>
            </w:r>
          </w:p>
        </w:tc>
        <w:tc>
          <w:tcPr>
            <w:tcW w:w="712" w:type="dxa"/>
          </w:tcPr>
          <w:p>
            <w:pPr>
              <w:pStyle w:val="Compact"/>
              <w:spacing w:after="40"/>
              <w:jc w:val="left"/>
            </w:pPr>
            <w:r>
              <w:rPr>
                <w:sz w:val="18"/>
              </w:rPr>
              <w:t xml:space="preserve">LB</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Market</w:t>
            </w:r>
          </w:p>
        </w:tc>
      </w:tr>
      <w:tr>
        <w:tc>
          <w:tcPr>
            <w:tcW w:w="698" w:type="dxa"/>
          </w:tcPr>
          <w:p>
            <w:pPr>
              <w:pStyle w:val="Compact"/>
              <w:spacing w:after="40"/>
              <w:jc w:val="left"/>
            </w:pPr>
            <w:r>
              <w:rPr>
                <w:sz w:val="18"/>
              </w:rPr>
              <w:t xml:space="preserve">R24</w:t>
            </w:r>
          </w:p>
        </w:tc>
        <w:tc>
          <w:tcPr>
            <w:tcW w:w="1283" w:type="dxa"/>
          </w:tcPr>
          <w:p>
            <w:pPr>
              <w:pStyle w:val="Compact"/>
              <w:spacing w:after="40"/>
              <w:jc w:val="left"/>
            </w:pPr>
            <w:r>
              <w:rPr>
                <w:sz w:val="18"/>
              </w:rPr>
              <w:t xml:space="preserve">ECL coverage by stage</w:t>
            </w:r>
          </w:p>
        </w:tc>
        <w:tc>
          <w:tcPr>
            <w:tcW w:w="2964" w:type="dxa"/>
          </w:tcPr>
          <w:p>
            <w:pPr>
              <w:pStyle w:val="Compact"/>
              <w:spacing w:after="40"/>
              <w:jc w:val="left"/>
            </w:pPr>
            <w:r>
              <w:rPr>
                <w:sz w:val="18"/>
              </w:rPr>
              <w:t xml:space="preserve">ECL of stage ÷ gross carrying amount of stage</w:t>
            </w:r>
          </w:p>
        </w:tc>
        <w:tc>
          <w:tcPr>
            <w:tcW w:w="712" w:type="dxa"/>
          </w:tcPr>
          <w:p>
            <w:pPr>
              <w:pStyle w:val="Compact"/>
              <w:spacing w:after="40"/>
              <w:jc w:val="left"/>
            </w:pPr>
            <w:r>
              <w:rPr>
                <w:sz w:val="18"/>
              </w:rPr>
              <w:t xml:space="preserve">ECL</w:t>
            </w:r>
          </w:p>
        </w:tc>
        <w:tc>
          <w:tcPr>
            <w:tcW w:w="1993" w:type="dxa"/>
          </w:tcPr>
          <w:p>
            <w:pPr>
              <w:pStyle w:val="Compact"/>
              <w:spacing w:after="40"/>
              <w:jc w:val="left"/>
            </w:pPr>
            <w:r>
              <w:rPr>
                <w:sz w:val="18"/>
              </w:rPr>
              <w:t xml:space="preserve">SICR not beyond 60 DPD</w:t>
            </w:r>
          </w:p>
        </w:tc>
        <w:tc>
          <w:tcPr>
            <w:tcW w:w="769" w:type="dxa"/>
          </w:tcPr>
          <w:p>
            <w:pPr>
              <w:pStyle w:val="Compact"/>
              <w:spacing w:after="40"/>
              <w:jc w:val="left"/>
            </w:pPr>
            <w:r>
              <w:rPr>
                <w:sz w:val="18"/>
              </w:rPr>
              <w:t xml:space="preserve">M, Q</w:t>
            </w:r>
          </w:p>
        </w:tc>
        <w:tc>
          <w:tcPr>
            <w:tcW w:w="1219" w:type="dxa"/>
          </w:tcPr>
          <w:p>
            <w:pPr>
              <w:pStyle w:val="Compact"/>
              <w:spacing w:after="40"/>
              <w:jc w:val="left"/>
            </w:pPr>
            <w:r>
              <w:rPr>
                <w:sz w:val="18"/>
              </w:rPr>
              <w:t xml:space="preserve">FS Annex 1(v)</w:t>
            </w:r>
          </w:p>
        </w:tc>
      </w:tr>
      <w:tr>
        <w:tc>
          <w:tcPr>
            <w:tcW w:w="698" w:type="dxa"/>
          </w:tcPr>
          <w:p>
            <w:pPr>
              <w:pStyle w:val="Compact"/>
              <w:spacing w:after="40"/>
              <w:jc w:val="left"/>
            </w:pPr>
            <w:r>
              <w:rPr>
                <w:sz w:val="18"/>
              </w:rPr>
              <w:t xml:space="preserve">R25</w:t>
            </w:r>
          </w:p>
        </w:tc>
        <w:tc>
          <w:tcPr>
            <w:tcW w:w="1283" w:type="dxa"/>
          </w:tcPr>
          <w:p>
            <w:pPr>
              <w:pStyle w:val="Compact"/>
              <w:spacing w:after="40"/>
              <w:jc w:val="left"/>
            </w:pPr>
            <w:r>
              <w:rPr>
                <w:sz w:val="18"/>
              </w:rPr>
              <w:t xml:space="preserve">Impairment Reserve requirement</w:t>
            </w:r>
          </w:p>
        </w:tc>
        <w:tc>
          <w:tcPr>
            <w:tcW w:w="2964" w:type="dxa"/>
          </w:tcPr>
          <w:p>
            <w:pPr>
              <w:pStyle w:val="Compact"/>
              <w:spacing w:after="40"/>
              <w:jc w:val="left"/>
            </w:pPr>
            <w:r>
              <w:rPr>
                <w:sz w:val="18"/>
              </w:rPr>
              <w:t xml:space="preserve">max(0, IRACP provision − ECL)</w:t>
            </w:r>
          </w:p>
        </w:tc>
        <w:tc>
          <w:tcPr>
            <w:tcW w:w="712" w:type="dxa"/>
          </w:tcPr>
          <w:p>
            <w:pPr>
              <w:pStyle w:val="Compact"/>
              <w:spacing w:after="40"/>
              <w:jc w:val="left"/>
            </w:pPr>
            <w:r>
              <w:rPr>
                <w:sz w:val="18"/>
              </w:rPr>
              <w:t xml:space="preserve">ECL, LB</w:t>
            </w:r>
          </w:p>
        </w:tc>
        <w:tc>
          <w:tcPr>
            <w:tcW w:w="1993" w:type="dxa"/>
          </w:tcPr>
          <w:p>
            <w:pPr>
              <w:pStyle w:val="Compact"/>
              <w:spacing w:after="40"/>
              <w:jc w:val="left"/>
            </w:pPr>
            <w:r>
              <w:rPr>
                <w:sz w:val="18"/>
              </w:rPr>
              <w:t xml:space="preserve">Appropriation required</w:t>
            </w:r>
          </w:p>
        </w:tc>
        <w:tc>
          <w:tcPr>
            <w:tcW w:w="769" w:type="dxa"/>
          </w:tcPr>
          <w:p>
            <w:pPr>
              <w:pStyle w:val="Compact"/>
              <w:spacing w:after="40"/>
              <w:jc w:val="left"/>
            </w:pPr>
            <w:r>
              <w:rPr>
                <w:sz w:val="18"/>
              </w:rPr>
              <w:t xml:space="preserve">Q, Y</w:t>
            </w:r>
          </w:p>
        </w:tc>
        <w:tc>
          <w:tcPr>
            <w:tcW w:w="1219" w:type="dxa"/>
          </w:tcPr>
          <w:p>
            <w:pPr>
              <w:pStyle w:val="Compact"/>
              <w:spacing w:after="40"/>
              <w:jc w:val="left"/>
            </w:pPr>
            <w:r>
              <w:rPr>
                <w:sz w:val="18"/>
              </w:rPr>
              <w:t xml:space="preserve">FS Annex 2; IRACP 34–36</w:t>
            </w:r>
          </w:p>
        </w:tc>
      </w:tr>
      <w:tr>
        <w:tc>
          <w:tcPr>
            <w:tcW w:w="698" w:type="dxa"/>
          </w:tcPr>
          <w:p>
            <w:pPr>
              <w:pStyle w:val="Compact"/>
              <w:spacing w:after="40"/>
              <w:jc w:val="left"/>
            </w:pPr>
            <w:r>
              <w:rPr>
                <w:sz w:val="18"/>
              </w:rPr>
              <w:t xml:space="preserve">R26</w:t>
            </w:r>
          </w:p>
        </w:tc>
        <w:tc>
          <w:tcPr>
            <w:tcW w:w="1283" w:type="dxa"/>
          </w:tcPr>
          <w:p>
            <w:pPr>
              <w:pStyle w:val="Compact"/>
              <w:spacing w:after="40"/>
              <w:jc w:val="left"/>
            </w:pPr>
            <w:r>
              <w:rPr>
                <w:sz w:val="18"/>
              </w:rPr>
              <w:t xml:space="preserve">Single-counterparty exposure</w:t>
            </w:r>
          </w:p>
        </w:tc>
        <w:tc>
          <w:tcPr>
            <w:tcW w:w="2964" w:type="dxa"/>
          </w:tcPr>
          <w:p>
            <w:pPr>
              <w:pStyle w:val="Compact"/>
              <w:spacing w:after="40"/>
              <w:jc w:val="left"/>
            </w:pPr>
            <w:r>
              <w:rPr>
                <w:sz w:val="18"/>
              </w:rPr>
              <w:t xml:space="preserve">Exposure ÷ Tier 1 (ML) or eligible capital base (UL)</w:t>
            </w:r>
          </w:p>
        </w:tc>
        <w:tc>
          <w:tcPr>
            <w:tcW w:w="712" w:type="dxa"/>
          </w:tcPr>
          <w:p>
            <w:pPr>
              <w:pStyle w:val="Compact"/>
              <w:spacing w:after="40"/>
              <w:jc w:val="left"/>
            </w:pPr>
            <w:r>
              <w:rPr>
                <w:sz w:val="18"/>
              </w:rPr>
              <w:t xml:space="preserve">LB, CAP</w:t>
            </w:r>
          </w:p>
        </w:tc>
        <w:tc>
          <w:tcPr>
            <w:tcW w:w="1993" w:type="dxa"/>
          </w:tcPr>
          <w:p>
            <w:pPr>
              <w:pStyle w:val="Compact"/>
              <w:spacing w:after="40"/>
              <w:jc w:val="left"/>
            </w:pPr>
            <w:r>
              <w:rPr>
                <w:sz w:val="18"/>
              </w:rPr>
              <w:t xml:space="preserve">ML 25% (+5% infra); IFC 30%; UL 20% (+5% Board), cap 25% (IFC 30%)</w:t>
            </w:r>
          </w:p>
        </w:tc>
        <w:tc>
          <w:tcPr>
            <w:tcW w:w="769" w:type="dxa"/>
          </w:tcPr>
          <w:p>
            <w:pPr>
              <w:pStyle w:val="Compact"/>
              <w:spacing w:after="40"/>
              <w:jc w:val="left"/>
            </w:pPr>
            <w:r>
              <w:rPr>
                <w:sz w:val="18"/>
              </w:rPr>
              <w:t xml:space="preserve">D, M</w:t>
            </w:r>
          </w:p>
        </w:tc>
        <w:tc>
          <w:tcPr>
            <w:tcW w:w="1219" w:type="dxa"/>
          </w:tcPr>
          <w:p>
            <w:pPr>
              <w:pStyle w:val="Compact"/>
              <w:spacing w:after="40"/>
              <w:jc w:val="left"/>
            </w:pPr>
            <w:r>
              <w:rPr>
                <w:sz w:val="18"/>
              </w:rPr>
              <w:t xml:space="preserve">CON 13–14, 33–34, 39</w:t>
            </w:r>
          </w:p>
        </w:tc>
      </w:tr>
      <w:tr>
        <w:tc>
          <w:tcPr>
            <w:tcW w:w="698" w:type="dxa"/>
          </w:tcPr>
          <w:p>
            <w:pPr>
              <w:pStyle w:val="Compact"/>
              <w:spacing w:after="40"/>
              <w:jc w:val="left"/>
            </w:pPr>
            <w:r>
              <w:rPr>
                <w:sz w:val="18"/>
              </w:rPr>
              <w:t xml:space="preserve">R27</w:t>
            </w:r>
          </w:p>
        </w:tc>
        <w:tc>
          <w:tcPr>
            <w:tcW w:w="1283" w:type="dxa"/>
          </w:tcPr>
          <w:p>
            <w:pPr>
              <w:pStyle w:val="Compact"/>
              <w:spacing w:after="40"/>
              <w:jc w:val="left"/>
            </w:pPr>
            <w:r>
              <w:rPr>
                <w:sz w:val="18"/>
              </w:rPr>
              <w:t xml:space="preserve">Group exposure</w:t>
            </w:r>
          </w:p>
        </w:tc>
        <w:tc>
          <w:tcPr>
            <w:tcW w:w="2964" w:type="dxa"/>
          </w:tcPr>
          <w:p>
            <w:pPr>
              <w:pStyle w:val="Compact"/>
              <w:spacing w:after="40"/>
              <w:jc w:val="left"/>
            </w:pPr>
            <w:r>
              <w:rPr>
                <w:sz w:val="18"/>
              </w:rPr>
              <w:t xml:space="preserve">Group exposure ÷ Tier 1</w:t>
            </w:r>
          </w:p>
        </w:tc>
        <w:tc>
          <w:tcPr>
            <w:tcW w:w="712" w:type="dxa"/>
          </w:tcPr>
          <w:p>
            <w:pPr>
              <w:pStyle w:val="Compact"/>
              <w:spacing w:after="40"/>
              <w:jc w:val="left"/>
            </w:pPr>
            <w:r>
              <w:rPr>
                <w:sz w:val="18"/>
              </w:rPr>
              <w:t xml:space="preserve">LB, REF</w:t>
            </w:r>
          </w:p>
        </w:tc>
        <w:tc>
          <w:tcPr>
            <w:tcW w:w="1993" w:type="dxa"/>
          </w:tcPr>
          <w:p>
            <w:pPr>
              <w:pStyle w:val="Compact"/>
              <w:spacing w:after="40"/>
              <w:jc w:val="left"/>
            </w:pPr>
            <w:r>
              <w:rPr>
                <w:sz w:val="18"/>
              </w:rPr>
              <w:t xml:space="preserve">ML 40% (+10% infra); IFC 50%; UL 25% (+10% infra); IFC UL 35%</w:t>
            </w:r>
          </w:p>
        </w:tc>
        <w:tc>
          <w:tcPr>
            <w:tcW w:w="769" w:type="dxa"/>
          </w:tcPr>
          <w:p>
            <w:pPr>
              <w:pStyle w:val="Compact"/>
              <w:spacing w:after="40"/>
              <w:jc w:val="left"/>
            </w:pPr>
            <w:r>
              <w:rPr>
                <w:sz w:val="18"/>
              </w:rPr>
              <w:t xml:space="preserve">D, M</w:t>
            </w:r>
          </w:p>
        </w:tc>
        <w:tc>
          <w:tcPr>
            <w:tcW w:w="1219" w:type="dxa"/>
          </w:tcPr>
          <w:p>
            <w:pPr>
              <w:pStyle w:val="Compact"/>
              <w:spacing w:after="40"/>
              <w:jc w:val="left"/>
            </w:pPr>
            <w:r>
              <w:rPr>
                <w:sz w:val="18"/>
              </w:rPr>
              <w:t xml:space="preserve">CON 13–14, 35</w:t>
            </w:r>
          </w:p>
        </w:tc>
      </w:tr>
      <w:tr>
        <w:tc>
          <w:tcPr>
            <w:tcW w:w="698" w:type="dxa"/>
          </w:tcPr>
          <w:p>
            <w:pPr>
              <w:pStyle w:val="Compact"/>
              <w:spacing w:after="40"/>
              <w:jc w:val="left"/>
            </w:pPr>
            <w:r>
              <w:rPr>
                <w:sz w:val="18"/>
              </w:rPr>
              <w:t xml:space="preserve">R28</w:t>
            </w:r>
          </w:p>
        </w:tc>
        <w:tc>
          <w:tcPr>
            <w:tcW w:w="1283" w:type="dxa"/>
          </w:tcPr>
          <w:p>
            <w:pPr>
              <w:pStyle w:val="Compact"/>
              <w:spacing w:after="40"/>
              <w:jc w:val="left"/>
            </w:pPr>
            <w:r>
              <w:rPr>
                <w:sz w:val="18"/>
              </w:rPr>
              <w:t xml:space="preserve">Top-20 concentration</w:t>
            </w:r>
          </w:p>
        </w:tc>
        <w:tc>
          <w:tcPr>
            <w:tcW w:w="2964" w:type="dxa"/>
          </w:tcPr>
          <w:p>
            <w:pPr>
              <w:pStyle w:val="Compact"/>
              <w:spacing w:after="40"/>
              <w:jc w:val="left"/>
            </w:pPr>
            <w:r>
              <w:rPr>
                <w:sz w:val="18"/>
              </w:rPr>
              <w:t xml:space="preserve">Top 20 advances ÷ total advances; same for exposures</w:t>
            </w:r>
          </w:p>
        </w:tc>
        <w:tc>
          <w:tcPr>
            <w:tcW w:w="712" w:type="dxa"/>
          </w:tcPr>
          <w:p>
            <w:pPr>
              <w:pStyle w:val="Compact"/>
              <w:spacing w:after="40"/>
              <w:jc w:val="left"/>
            </w:pPr>
            <w:r>
              <w:rPr>
                <w:sz w:val="18"/>
              </w:rPr>
              <w:t xml:space="preserve">LB</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Q</w:t>
            </w:r>
          </w:p>
        </w:tc>
        <w:tc>
          <w:tcPr>
            <w:tcW w:w="1219" w:type="dxa"/>
          </w:tcPr>
          <w:p>
            <w:pPr>
              <w:pStyle w:val="Compact"/>
              <w:spacing w:after="40"/>
              <w:jc w:val="left"/>
            </w:pPr>
            <w:r>
              <w:rPr>
                <w:sz w:val="18"/>
              </w:rPr>
              <w:t xml:space="preserve">FS 21(27)</w:t>
            </w:r>
          </w:p>
        </w:tc>
      </w:tr>
      <w:tr>
        <w:tc>
          <w:tcPr>
            <w:tcW w:w="698" w:type="dxa"/>
          </w:tcPr>
          <w:p>
            <w:pPr>
              <w:pStyle w:val="Compact"/>
              <w:spacing w:after="40"/>
              <w:jc w:val="left"/>
            </w:pPr>
            <w:r>
              <w:rPr>
                <w:sz w:val="18"/>
              </w:rPr>
              <w:t xml:space="preserve">R29</w:t>
            </w:r>
          </w:p>
        </w:tc>
        <w:tc>
          <w:tcPr>
            <w:tcW w:w="1283" w:type="dxa"/>
          </w:tcPr>
          <w:p>
            <w:pPr>
              <w:pStyle w:val="Compact"/>
              <w:spacing w:after="40"/>
              <w:jc w:val="left"/>
            </w:pPr>
            <w:r>
              <w:rPr>
                <w:sz w:val="18"/>
              </w:rPr>
              <w:t xml:space="preserve">Sensitive-sector exposure</w:t>
            </w:r>
          </w:p>
        </w:tc>
        <w:tc>
          <w:tcPr>
            <w:tcW w:w="2964" w:type="dxa"/>
          </w:tcPr>
          <w:p>
            <w:pPr>
              <w:pStyle w:val="Compact"/>
              <w:spacing w:after="40"/>
              <w:jc w:val="left"/>
            </w:pPr>
            <w:r>
              <w:rPr>
                <w:sz w:val="18"/>
              </w:rPr>
              <w:t xml:space="preserve">Capital-market exposure ÷ Tier 1; CRE ÷ Tier 1; land sub-limit</w:t>
            </w:r>
          </w:p>
        </w:tc>
        <w:tc>
          <w:tcPr>
            <w:tcW w:w="712" w:type="dxa"/>
          </w:tcPr>
          <w:p>
            <w:pPr>
              <w:pStyle w:val="Compact"/>
              <w:spacing w:after="40"/>
              <w:jc w:val="left"/>
            </w:pPr>
            <w:r>
              <w:rPr>
                <w:sz w:val="18"/>
              </w:rPr>
              <w:t xml:space="preserve">LB</w:t>
            </w:r>
          </w:p>
        </w:tc>
        <w:tc>
          <w:tcPr>
            <w:tcW w:w="1993" w:type="dxa"/>
          </w:tcPr>
          <w:p>
            <w:pPr>
              <w:pStyle w:val="Compact"/>
              <w:spacing w:after="40"/>
              <w:jc w:val="left"/>
            </w:pPr>
            <w:r>
              <w:rPr>
                <w:sz w:val="18"/>
              </w:rPr>
              <w:t xml:space="preserve">Board; IPO ≤ ₹1 crore per borrower</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CON 11–12, 24</w:t>
            </w:r>
          </w:p>
        </w:tc>
      </w:tr>
      <w:tr>
        <w:tc>
          <w:tcPr>
            <w:tcW w:w="698" w:type="dxa"/>
          </w:tcPr>
          <w:p>
            <w:pPr>
              <w:pStyle w:val="Compact"/>
              <w:spacing w:after="40"/>
              <w:jc w:val="left"/>
            </w:pPr>
            <w:r>
              <w:rPr>
                <w:sz w:val="18"/>
              </w:rPr>
              <w:t xml:space="preserve">R30</w:t>
            </w:r>
          </w:p>
        </w:tc>
        <w:tc>
          <w:tcPr>
            <w:tcW w:w="1283" w:type="dxa"/>
          </w:tcPr>
          <w:p>
            <w:pPr>
              <w:pStyle w:val="Compact"/>
              <w:spacing w:after="40"/>
              <w:jc w:val="left"/>
            </w:pPr>
            <w:r>
              <w:rPr>
                <w:sz w:val="18"/>
              </w:rPr>
              <w:t xml:space="preserve">Sector and state HHI</w:t>
            </w:r>
          </w:p>
        </w:tc>
        <w:tc>
          <w:tcPr>
            <w:tcW w:w="2964" w:type="dxa"/>
          </w:tcPr>
          <w:p>
            <w:pPr>
              <w:pStyle w:val="Compact"/>
              <w:spacing w:after="40"/>
              <w:jc w:val="left"/>
            </w:pPr>
            <w:r>
              <w:rPr>
                <w:sz w:val="18"/>
              </w:rPr>
              <w:t xml:space="preserve">Σ (share)²</w:t>
            </w:r>
          </w:p>
        </w:tc>
        <w:tc>
          <w:tcPr>
            <w:tcW w:w="712" w:type="dxa"/>
          </w:tcPr>
          <w:p>
            <w:pPr>
              <w:pStyle w:val="Compact"/>
              <w:spacing w:after="40"/>
              <w:jc w:val="left"/>
            </w:pPr>
            <w:r>
              <w:rPr>
                <w:sz w:val="18"/>
              </w:rPr>
              <w:t xml:space="preserve">LB</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Market</w:t>
            </w:r>
          </w:p>
        </w:tc>
      </w:tr>
      <w:tr>
        <w:tc>
          <w:tcPr>
            <w:tcW w:w="698" w:type="dxa"/>
          </w:tcPr>
          <w:p>
            <w:pPr>
              <w:pStyle w:val="Compact"/>
              <w:spacing w:after="40"/>
              <w:jc w:val="left"/>
            </w:pPr>
            <w:r>
              <w:rPr>
                <w:sz w:val="18"/>
              </w:rPr>
              <w:t xml:space="preserve">R31</w:t>
            </w:r>
          </w:p>
        </w:tc>
        <w:tc>
          <w:tcPr>
            <w:tcW w:w="1283" w:type="dxa"/>
          </w:tcPr>
          <w:p>
            <w:pPr>
              <w:pStyle w:val="Compact"/>
              <w:spacing w:after="40"/>
              <w:jc w:val="left"/>
            </w:pPr>
            <w:r>
              <w:rPr>
                <w:sz w:val="18"/>
              </w:rPr>
              <w:t xml:space="preserve">Related-party lending</w:t>
            </w:r>
          </w:p>
        </w:tc>
        <w:tc>
          <w:tcPr>
            <w:tcW w:w="2964" w:type="dxa"/>
          </w:tcPr>
          <w:p>
            <w:pPr>
              <w:pStyle w:val="Compact"/>
              <w:spacing w:after="40"/>
              <w:jc w:val="left"/>
            </w:pPr>
            <w:r>
              <w:rPr>
                <w:sz w:val="18"/>
              </w:rPr>
              <w:t xml:space="preserve">Related-party loans ÷ Tier 1; count above materiality</w:t>
            </w:r>
          </w:p>
        </w:tc>
        <w:tc>
          <w:tcPr>
            <w:tcW w:w="712" w:type="dxa"/>
          </w:tcPr>
          <w:p>
            <w:pPr>
              <w:pStyle w:val="Compact"/>
              <w:spacing w:after="40"/>
              <w:jc w:val="left"/>
            </w:pPr>
            <w:r>
              <w:rPr>
                <w:sz w:val="18"/>
              </w:rPr>
              <w:t xml:space="preserve">LB, REF</w:t>
            </w:r>
          </w:p>
        </w:tc>
        <w:tc>
          <w:tcPr>
            <w:tcW w:w="1993" w:type="dxa"/>
          </w:tcPr>
          <w:p>
            <w:pPr>
              <w:pStyle w:val="Compact"/>
              <w:spacing w:after="40"/>
              <w:jc w:val="left"/>
            </w:pPr>
            <w:r>
              <w:rPr>
                <w:sz w:val="18"/>
              </w:rPr>
              <w:t xml:space="preserve">Board limits; ₹10 / ₹5 / ₹1 crore per transaction (UL-TL / ML / BL)</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CRM 13F–13G</w:t>
            </w:r>
          </w:p>
        </w:tc>
      </w:tr>
      <w:tr>
        <w:tc>
          <w:tcPr>
            <w:tcW w:w="698" w:type="dxa"/>
          </w:tcPr>
          <w:p>
            <w:pPr>
              <w:pStyle w:val="Compact"/>
              <w:spacing w:after="40"/>
              <w:jc w:val="left"/>
            </w:pPr>
            <w:r>
              <w:rPr>
                <w:sz w:val="18"/>
              </w:rPr>
              <w:t xml:space="preserve">R32</w:t>
            </w:r>
          </w:p>
        </w:tc>
        <w:tc>
          <w:tcPr>
            <w:tcW w:w="1283" w:type="dxa"/>
          </w:tcPr>
          <w:p>
            <w:pPr>
              <w:pStyle w:val="Compact"/>
              <w:spacing w:after="40"/>
              <w:jc w:val="left"/>
            </w:pPr>
            <w:r>
              <w:rPr>
                <w:sz w:val="18"/>
              </w:rPr>
              <w:t xml:space="preserve">Intra-group exposure</w:t>
            </w:r>
          </w:p>
        </w:tc>
        <w:tc>
          <w:tcPr>
            <w:tcW w:w="2964" w:type="dxa"/>
          </w:tcPr>
          <w:p>
            <w:pPr>
              <w:pStyle w:val="Compact"/>
              <w:spacing w:after="40"/>
              <w:jc w:val="left"/>
            </w:pPr>
            <w:r>
              <w:rPr>
                <w:sz w:val="18"/>
              </w:rPr>
              <w:t xml:space="preserve">Intra-group exposure ÷ total exposure</w:t>
            </w:r>
          </w:p>
        </w:tc>
        <w:tc>
          <w:tcPr>
            <w:tcW w:w="712" w:type="dxa"/>
          </w:tcPr>
          <w:p>
            <w:pPr>
              <w:pStyle w:val="Compact"/>
              <w:spacing w:after="40"/>
              <w:jc w:val="left"/>
            </w:pPr>
            <w:r>
              <w:rPr>
                <w:sz w:val="18"/>
              </w:rPr>
              <w:t xml:space="preserve">LB</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Q</w:t>
            </w:r>
          </w:p>
        </w:tc>
        <w:tc>
          <w:tcPr>
            <w:tcW w:w="1219" w:type="dxa"/>
          </w:tcPr>
          <w:p>
            <w:pPr>
              <w:pStyle w:val="Compact"/>
              <w:spacing w:after="40"/>
              <w:jc w:val="left"/>
            </w:pPr>
            <w:r>
              <w:rPr>
                <w:sz w:val="18"/>
              </w:rPr>
              <w:t xml:space="preserve">FS 21(8)</w:t>
            </w:r>
          </w:p>
        </w:tc>
      </w:tr>
      <w:tr>
        <w:tc>
          <w:tcPr>
            <w:tcW w:w="698" w:type="dxa"/>
          </w:tcPr>
          <w:p>
            <w:pPr>
              <w:pStyle w:val="Compact"/>
              <w:spacing w:after="40"/>
              <w:jc w:val="left"/>
            </w:pPr>
            <w:r>
              <w:rPr>
                <w:sz w:val="18"/>
              </w:rPr>
              <w:t xml:space="preserve">R33</w:t>
            </w:r>
          </w:p>
        </w:tc>
        <w:tc>
          <w:tcPr>
            <w:tcW w:w="1283" w:type="dxa"/>
          </w:tcPr>
          <w:p>
            <w:pPr>
              <w:pStyle w:val="Compact"/>
              <w:spacing w:after="40"/>
              <w:jc w:val="left"/>
            </w:pPr>
            <w:r>
              <w:rPr>
                <w:sz w:val="18"/>
              </w:rPr>
              <w:t xml:space="preserve">Net interest margin</w:t>
            </w:r>
          </w:p>
        </w:tc>
        <w:tc>
          <w:tcPr>
            <w:tcW w:w="2964" w:type="dxa"/>
          </w:tcPr>
          <w:p>
            <w:pPr>
              <w:pStyle w:val="Compact"/>
              <w:spacing w:after="40"/>
              <w:jc w:val="left"/>
            </w:pPr>
            <w:r>
              <w:rPr>
                <w:sz w:val="18"/>
              </w:rPr>
              <w:t xml:space="preserve">Net interest income ÷ average interest-earning assets</w:t>
            </w:r>
          </w:p>
        </w:tc>
        <w:tc>
          <w:tcPr>
            <w:tcW w:w="712" w:type="dxa"/>
          </w:tcPr>
          <w:p>
            <w:pPr>
              <w:pStyle w:val="Compact"/>
              <w:spacing w:after="40"/>
              <w:jc w:val="left"/>
            </w:pPr>
            <w:r>
              <w:rPr>
                <w:sz w:val="18"/>
              </w:rPr>
              <w:t xml:space="preserve">GL</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M, Q</w:t>
            </w:r>
          </w:p>
        </w:tc>
        <w:tc>
          <w:tcPr>
            <w:tcW w:w="1219" w:type="dxa"/>
          </w:tcPr>
          <w:p>
            <w:pPr>
              <w:pStyle w:val="Compact"/>
              <w:spacing w:after="40"/>
              <w:jc w:val="left"/>
            </w:pPr>
            <w:r>
              <w:rPr>
                <w:sz w:val="18"/>
              </w:rPr>
              <w:t xml:space="preserve">Market</w:t>
            </w:r>
          </w:p>
        </w:tc>
      </w:tr>
      <w:tr>
        <w:tc>
          <w:tcPr>
            <w:tcW w:w="698" w:type="dxa"/>
          </w:tcPr>
          <w:p>
            <w:pPr>
              <w:pStyle w:val="Compact"/>
              <w:spacing w:after="40"/>
              <w:jc w:val="left"/>
            </w:pPr>
            <w:r>
              <w:rPr>
                <w:sz w:val="18"/>
              </w:rPr>
              <w:t xml:space="preserve">R34</w:t>
            </w:r>
          </w:p>
        </w:tc>
        <w:tc>
          <w:tcPr>
            <w:tcW w:w="1283" w:type="dxa"/>
          </w:tcPr>
          <w:p>
            <w:pPr>
              <w:pStyle w:val="Compact"/>
              <w:spacing w:after="40"/>
              <w:jc w:val="left"/>
            </w:pPr>
            <w:r>
              <w:rPr>
                <w:sz w:val="18"/>
              </w:rPr>
              <w:t xml:space="preserve">Portfolio yield</w:t>
            </w:r>
          </w:p>
        </w:tc>
        <w:tc>
          <w:tcPr>
            <w:tcW w:w="2964" w:type="dxa"/>
          </w:tcPr>
          <w:p>
            <w:pPr>
              <w:pStyle w:val="Compact"/>
              <w:spacing w:after="40"/>
              <w:jc w:val="left"/>
            </w:pPr>
            <w:r>
              <w:rPr>
                <w:sz w:val="18"/>
              </w:rPr>
              <w:t xml:space="preserve">Loan interest income ÷ average gross loans</w:t>
            </w:r>
          </w:p>
        </w:tc>
        <w:tc>
          <w:tcPr>
            <w:tcW w:w="712" w:type="dxa"/>
          </w:tcPr>
          <w:p>
            <w:pPr>
              <w:pStyle w:val="Compact"/>
              <w:spacing w:after="40"/>
              <w:jc w:val="left"/>
            </w:pPr>
            <w:r>
              <w:rPr>
                <w:sz w:val="18"/>
              </w:rPr>
              <w:t xml:space="preserve">GL, LB</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Market</w:t>
            </w:r>
          </w:p>
        </w:tc>
      </w:tr>
      <w:tr>
        <w:tc>
          <w:tcPr>
            <w:tcW w:w="698" w:type="dxa"/>
          </w:tcPr>
          <w:p>
            <w:pPr>
              <w:pStyle w:val="Compact"/>
              <w:spacing w:after="40"/>
              <w:jc w:val="left"/>
            </w:pPr>
            <w:r>
              <w:rPr>
                <w:sz w:val="18"/>
              </w:rPr>
              <w:t xml:space="preserve">R35</w:t>
            </w:r>
          </w:p>
        </w:tc>
        <w:tc>
          <w:tcPr>
            <w:tcW w:w="1283" w:type="dxa"/>
          </w:tcPr>
          <w:p>
            <w:pPr>
              <w:pStyle w:val="Compact"/>
              <w:spacing w:after="40"/>
              <w:jc w:val="left"/>
            </w:pPr>
            <w:r>
              <w:rPr>
                <w:sz w:val="18"/>
              </w:rPr>
              <w:t xml:space="preserve">Cost of funds</w:t>
            </w:r>
          </w:p>
        </w:tc>
        <w:tc>
          <w:tcPr>
            <w:tcW w:w="2964" w:type="dxa"/>
          </w:tcPr>
          <w:p>
            <w:pPr>
              <w:pStyle w:val="Compact"/>
              <w:spacing w:after="40"/>
              <w:jc w:val="left"/>
            </w:pPr>
            <w:r>
              <w:rPr>
                <w:sz w:val="18"/>
              </w:rPr>
              <w:t xml:space="preserve">Interest expense ÷ average interest-bearing liabilities</w:t>
            </w:r>
          </w:p>
        </w:tc>
        <w:tc>
          <w:tcPr>
            <w:tcW w:w="712" w:type="dxa"/>
          </w:tcPr>
          <w:p>
            <w:pPr>
              <w:pStyle w:val="Compact"/>
              <w:spacing w:after="40"/>
              <w:jc w:val="left"/>
            </w:pPr>
            <w:r>
              <w:rPr>
                <w:sz w:val="18"/>
              </w:rPr>
              <w:t xml:space="preserve">GL</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Market</w:t>
            </w:r>
          </w:p>
        </w:tc>
      </w:tr>
      <w:tr>
        <w:tc>
          <w:tcPr>
            <w:tcW w:w="698" w:type="dxa"/>
          </w:tcPr>
          <w:p>
            <w:pPr>
              <w:pStyle w:val="Compact"/>
              <w:spacing w:after="40"/>
              <w:jc w:val="left"/>
            </w:pPr>
            <w:r>
              <w:rPr>
                <w:sz w:val="18"/>
              </w:rPr>
              <w:t xml:space="preserve">R36</w:t>
            </w:r>
          </w:p>
        </w:tc>
        <w:tc>
          <w:tcPr>
            <w:tcW w:w="1283" w:type="dxa"/>
          </w:tcPr>
          <w:p>
            <w:pPr>
              <w:pStyle w:val="Compact"/>
              <w:spacing w:after="40"/>
              <w:jc w:val="left"/>
            </w:pPr>
            <w:r>
              <w:rPr>
                <w:sz w:val="18"/>
              </w:rPr>
              <w:t xml:space="preserve">Spread</w:t>
            </w:r>
          </w:p>
        </w:tc>
        <w:tc>
          <w:tcPr>
            <w:tcW w:w="2964" w:type="dxa"/>
          </w:tcPr>
          <w:p>
            <w:pPr>
              <w:pStyle w:val="Compact"/>
              <w:spacing w:after="40"/>
              <w:jc w:val="left"/>
            </w:pPr>
            <w:r>
              <w:rPr>
                <w:sz w:val="18"/>
              </w:rPr>
              <w:t xml:space="preserve">Yield − cost of funds</w:t>
            </w:r>
          </w:p>
        </w:tc>
        <w:tc>
          <w:tcPr>
            <w:tcW w:w="712" w:type="dxa"/>
          </w:tcPr>
          <w:p>
            <w:pPr>
              <w:pStyle w:val="Compact"/>
              <w:spacing w:after="40"/>
              <w:jc w:val="left"/>
            </w:pPr>
            <w:r>
              <w:rPr>
                <w:sz w:val="18"/>
              </w:rPr>
              <w:t xml:space="preserve">GL</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Market</w:t>
            </w:r>
          </w:p>
        </w:tc>
      </w:tr>
      <w:tr>
        <w:tc>
          <w:tcPr>
            <w:tcW w:w="698" w:type="dxa"/>
          </w:tcPr>
          <w:p>
            <w:pPr>
              <w:pStyle w:val="Compact"/>
              <w:spacing w:after="40"/>
              <w:jc w:val="left"/>
            </w:pPr>
            <w:r>
              <w:rPr>
                <w:sz w:val="18"/>
              </w:rPr>
              <w:t xml:space="preserve">R37</w:t>
            </w:r>
          </w:p>
        </w:tc>
        <w:tc>
          <w:tcPr>
            <w:tcW w:w="1283" w:type="dxa"/>
          </w:tcPr>
          <w:p>
            <w:pPr>
              <w:pStyle w:val="Compact"/>
              <w:spacing w:after="40"/>
              <w:jc w:val="left"/>
            </w:pPr>
            <w:r>
              <w:rPr>
                <w:sz w:val="18"/>
              </w:rPr>
              <w:t xml:space="preserve">Return on assets</w:t>
            </w:r>
          </w:p>
        </w:tc>
        <w:tc>
          <w:tcPr>
            <w:tcW w:w="2964" w:type="dxa"/>
          </w:tcPr>
          <w:p>
            <w:pPr>
              <w:pStyle w:val="Compact"/>
              <w:spacing w:after="40"/>
              <w:jc w:val="left"/>
            </w:pPr>
            <w:r>
              <w:rPr>
                <w:sz w:val="18"/>
              </w:rPr>
              <w:t xml:space="preserve">PAT ÷ average total assets</w:t>
            </w:r>
          </w:p>
        </w:tc>
        <w:tc>
          <w:tcPr>
            <w:tcW w:w="712" w:type="dxa"/>
          </w:tcPr>
          <w:p>
            <w:pPr>
              <w:pStyle w:val="Compact"/>
              <w:spacing w:after="40"/>
              <w:jc w:val="left"/>
            </w:pPr>
            <w:r>
              <w:rPr>
                <w:sz w:val="18"/>
              </w:rPr>
              <w:t xml:space="preserve">GL</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Q</w:t>
            </w:r>
          </w:p>
        </w:tc>
        <w:tc>
          <w:tcPr>
            <w:tcW w:w="1219" w:type="dxa"/>
          </w:tcPr>
          <w:p>
            <w:pPr>
              <w:pStyle w:val="Compact"/>
              <w:spacing w:after="40"/>
              <w:jc w:val="left"/>
            </w:pPr>
            <w:r>
              <w:rPr>
                <w:sz w:val="18"/>
              </w:rPr>
              <w:t xml:space="preserve">Market</w:t>
            </w:r>
          </w:p>
        </w:tc>
      </w:tr>
      <w:tr>
        <w:tc>
          <w:tcPr>
            <w:tcW w:w="698" w:type="dxa"/>
          </w:tcPr>
          <w:p>
            <w:pPr>
              <w:pStyle w:val="Compact"/>
              <w:spacing w:after="40"/>
              <w:jc w:val="left"/>
            </w:pPr>
            <w:r>
              <w:rPr>
                <w:sz w:val="18"/>
              </w:rPr>
              <w:t xml:space="preserve">R38</w:t>
            </w:r>
          </w:p>
        </w:tc>
        <w:tc>
          <w:tcPr>
            <w:tcW w:w="1283" w:type="dxa"/>
          </w:tcPr>
          <w:p>
            <w:pPr>
              <w:pStyle w:val="Compact"/>
              <w:spacing w:after="40"/>
              <w:jc w:val="left"/>
            </w:pPr>
            <w:r>
              <w:rPr>
                <w:sz w:val="18"/>
              </w:rPr>
              <w:t xml:space="preserve">Return on equity</w:t>
            </w:r>
          </w:p>
        </w:tc>
        <w:tc>
          <w:tcPr>
            <w:tcW w:w="2964" w:type="dxa"/>
          </w:tcPr>
          <w:p>
            <w:pPr>
              <w:pStyle w:val="Compact"/>
              <w:spacing w:after="40"/>
              <w:jc w:val="left"/>
            </w:pPr>
            <w:r>
              <w:rPr>
                <w:sz w:val="18"/>
              </w:rPr>
              <w:t xml:space="preserve">PAT ÷ average net worth</w:t>
            </w:r>
          </w:p>
        </w:tc>
        <w:tc>
          <w:tcPr>
            <w:tcW w:w="712" w:type="dxa"/>
          </w:tcPr>
          <w:p>
            <w:pPr>
              <w:pStyle w:val="Compact"/>
              <w:spacing w:after="40"/>
              <w:jc w:val="left"/>
            </w:pPr>
            <w:r>
              <w:rPr>
                <w:sz w:val="18"/>
              </w:rPr>
              <w:t xml:space="preserve">GL</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Q</w:t>
            </w:r>
          </w:p>
        </w:tc>
        <w:tc>
          <w:tcPr>
            <w:tcW w:w="1219" w:type="dxa"/>
          </w:tcPr>
          <w:p>
            <w:pPr>
              <w:pStyle w:val="Compact"/>
              <w:spacing w:after="40"/>
              <w:jc w:val="left"/>
            </w:pPr>
            <w:r>
              <w:rPr>
                <w:sz w:val="18"/>
              </w:rPr>
              <w:t xml:space="preserve">Market</w:t>
            </w:r>
          </w:p>
        </w:tc>
      </w:tr>
      <w:tr>
        <w:tc>
          <w:tcPr>
            <w:tcW w:w="698" w:type="dxa"/>
          </w:tcPr>
          <w:p>
            <w:pPr>
              <w:pStyle w:val="Compact"/>
              <w:spacing w:after="40"/>
              <w:jc w:val="left"/>
            </w:pPr>
            <w:r>
              <w:rPr>
                <w:sz w:val="18"/>
              </w:rPr>
              <w:t xml:space="preserve">R39</w:t>
            </w:r>
          </w:p>
        </w:tc>
        <w:tc>
          <w:tcPr>
            <w:tcW w:w="1283" w:type="dxa"/>
          </w:tcPr>
          <w:p>
            <w:pPr>
              <w:pStyle w:val="Compact"/>
              <w:spacing w:after="40"/>
              <w:jc w:val="left"/>
            </w:pPr>
            <w:r>
              <w:rPr>
                <w:sz w:val="18"/>
              </w:rPr>
              <w:t xml:space="preserve">Cost-to-income</w:t>
            </w:r>
          </w:p>
        </w:tc>
        <w:tc>
          <w:tcPr>
            <w:tcW w:w="2964" w:type="dxa"/>
          </w:tcPr>
          <w:p>
            <w:pPr>
              <w:pStyle w:val="Compact"/>
              <w:spacing w:after="40"/>
              <w:jc w:val="left"/>
            </w:pPr>
            <w:r>
              <w:rPr>
                <w:sz w:val="18"/>
              </w:rPr>
              <w:t xml:space="preserve">Operating expenses ÷ (NII + other operating income)</w:t>
            </w:r>
          </w:p>
        </w:tc>
        <w:tc>
          <w:tcPr>
            <w:tcW w:w="712" w:type="dxa"/>
          </w:tcPr>
          <w:p>
            <w:pPr>
              <w:pStyle w:val="Compact"/>
              <w:spacing w:after="40"/>
              <w:jc w:val="left"/>
            </w:pPr>
            <w:r>
              <w:rPr>
                <w:sz w:val="18"/>
              </w:rPr>
              <w:t xml:space="preserve">GL</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Market</w:t>
            </w:r>
          </w:p>
        </w:tc>
      </w:tr>
      <w:tr>
        <w:tc>
          <w:tcPr>
            <w:tcW w:w="698" w:type="dxa"/>
          </w:tcPr>
          <w:p>
            <w:pPr>
              <w:pStyle w:val="Compact"/>
              <w:spacing w:after="40"/>
              <w:jc w:val="left"/>
            </w:pPr>
            <w:r>
              <w:rPr>
                <w:sz w:val="18"/>
              </w:rPr>
              <w:t xml:space="preserve">R40</w:t>
            </w:r>
          </w:p>
        </w:tc>
        <w:tc>
          <w:tcPr>
            <w:tcW w:w="1283" w:type="dxa"/>
          </w:tcPr>
          <w:p>
            <w:pPr>
              <w:pStyle w:val="Compact"/>
              <w:spacing w:after="40"/>
              <w:jc w:val="left"/>
            </w:pPr>
            <w:r>
              <w:rPr>
                <w:sz w:val="18"/>
              </w:rPr>
              <w:t xml:space="preserve">Opex to AUM</w:t>
            </w:r>
          </w:p>
        </w:tc>
        <w:tc>
          <w:tcPr>
            <w:tcW w:w="2964" w:type="dxa"/>
          </w:tcPr>
          <w:p>
            <w:pPr>
              <w:pStyle w:val="Compact"/>
              <w:spacing w:after="40"/>
              <w:jc w:val="left"/>
            </w:pPr>
            <w:r>
              <w:rPr>
                <w:sz w:val="18"/>
              </w:rPr>
              <w:t xml:space="preserve">Operating expenses ÷ average AUM (on-book and off-book)</w:t>
            </w:r>
          </w:p>
        </w:tc>
        <w:tc>
          <w:tcPr>
            <w:tcW w:w="712" w:type="dxa"/>
          </w:tcPr>
          <w:p>
            <w:pPr>
              <w:pStyle w:val="Compact"/>
              <w:spacing w:after="40"/>
              <w:jc w:val="left"/>
            </w:pPr>
            <w:r>
              <w:rPr>
                <w:sz w:val="18"/>
              </w:rPr>
              <w:t xml:space="preserve">GL, LB</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Market</w:t>
            </w:r>
          </w:p>
        </w:tc>
      </w:tr>
      <w:tr>
        <w:tc>
          <w:tcPr>
            <w:tcW w:w="698" w:type="dxa"/>
          </w:tcPr>
          <w:p>
            <w:pPr>
              <w:pStyle w:val="Compact"/>
              <w:spacing w:after="40"/>
              <w:jc w:val="left"/>
            </w:pPr>
            <w:r>
              <w:rPr>
                <w:sz w:val="18"/>
              </w:rPr>
              <w:t xml:space="preserve">R41</w:t>
            </w:r>
          </w:p>
        </w:tc>
        <w:tc>
          <w:tcPr>
            <w:tcW w:w="1283" w:type="dxa"/>
          </w:tcPr>
          <w:p>
            <w:pPr>
              <w:pStyle w:val="Compact"/>
              <w:spacing w:after="40"/>
              <w:jc w:val="left"/>
            </w:pPr>
            <w:r>
              <w:rPr>
                <w:sz w:val="18"/>
              </w:rPr>
              <w:t xml:space="preserve">Debt-equity and leverage multiple</w:t>
            </w:r>
          </w:p>
        </w:tc>
        <w:tc>
          <w:tcPr>
            <w:tcW w:w="2964" w:type="dxa"/>
          </w:tcPr>
          <w:p>
            <w:pPr>
              <w:pStyle w:val="Compact"/>
              <w:spacing w:after="40"/>
              <w:jc w:val="left"/>
            </w:pPr>
            <w:r>
              <w:rPr>
                <w:sz w:val="18"/>
              </w:rPr>
              <w:t xml:space="preserve">Borrowings ÷ net worth; total assets ÷ net worth</w:t>
            </w:r>
          </w:p>
        </w:tc>
        <w:tc>
          <w:tcPr>
            <w:tcW w:w="712" w:type="dxa"/>
          </w:tcPr>
          <w:p>
            <w:pPr>
              <w:pStyle w:val="Compact"/>
              <w:spacing w:after="40"/>
              <w:jc w:val="left"/>
            </w:pPr>
            <w:r>
              <w:rPr>
                <w:sz w:val="18"/>
              </w:rPr>
              <w:t xml:space="preserve">GL</w:t>
            </w:r>
          </w:p>
        </w:tc>
        <w:tc>
          <w:tcPr>
            <w:tcW w:w="1993" w:type="dxa"/>
          </w:tcPr>
          <w:p>
            <w:pPr>
              <w:pStyle w:val="Compact"/>
              <w:spacing w:after="40"/>
              <w:jc w:val="left"/>
            </w:pPr>
            <w:r>
              <w:rPr>
                <w:sz w:val="18"/>
              </w:rPr>
              <w:t xml:space="preserve">Board; lender covenants (breaches disclosed)</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FS 21(17)</w:t>
            </w:r>
          </w:p>
        </w:tc>
      </w:tr>
      <w:tr>
        <w:tc>
          <w:tcPr>
            <w:tcW w:w="698" w:type="dxa"/>
          </w:tcPr>
          <w:p>
            <w:pPr>
              <w:pStyle w:val="Compact"/>
              <w:spacing w:after="40"/>
              <w:jc w:val="left"/>
            </w:pPr>
            <w:r>
              <w:rPr>
                <w:sz w:val="18"/>
              </w:rPr>
              <w:t xml:space="preserve">R42</w:t>
            </w:r>
          </w:p>
        </w:tc>
        <w:tc>
          <w:tcPr>
            <w:tcW w:w="1283" w:type="dxa"/>
          </w:tcPr>
          <w:p>
            <w:pPr>
              <w:pStyle w:val="Compact"/>
              <w:spacing w:after="40"/>
              <w:jc w:val="left"/>
            </w:pPr>
            <w:r>
              <w:rPr>
                <w:sz w:val="18"/>
              </w:rPr>
              <w:t xml:space="preserve">Credit-deposit ratio (bank, UCB)</w:t>
            </w:r>
          </w:p>
        </w:tc>
        <w:tc>
          <w:tcPr>
            <w:tcW w:w="2964" w:type="dxa"/>
          </w:tcPr>
          <w:p>
            <w:pPr>
              <w:pStyle w:val="Compact"/>
              <w:spacing w:after="40"/>
              <w:jc w:val="left"/>
            </w:pPr>
            <w:r>
              <w:rPr>
                <w:sz w:val="18"/>
              </w:rPr>
              <w:t xml:space="preserve">Advances ÷ deposits</w:t>
            </w:r>
          </w:p>
        </w:tc>
        <w:tc>
          <w:tcPr>
            <w:tcW w:w="712" w:type="dxa"/>
          </w:tcPr>
          <w:p>
            <w:pPr>
              <w:pStyle w:val="Compact"/>
              <w:spacing w:after="40"/>
              <w:jc w:val="left"/>
            </w:pPr>
            <w:r>
              <w:rPr>
                <w:sz w:val="18"/>
              </w:rPr>
              <w:t xml:space="preserve">GL</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Market</w:t>
            </w:r>
          </w:p>
        </w:tc>
      </w:tr>
      <w:tr>
        <w:tc>
          <w:tcPr>
            <w:tcW w:w="698" w:type="dxa"/>
          </w:tcPr>
          <w:p>
            <w:pPr>
              <w:pStyle w:val="Compact"/>
              <w:spacing w:after="40"/>
              <w:jc w:val="left"/>
            </w:pPr>
            <w:r>
              <w:rPr>
                <w:sz w:val="18"/>
              </w:rPr>
              <w:t xml:space="preserve">R43</w:t>
            </w:r>
          </w:p>
        </w:tc>
        <w:tc>
          <w:tcPr>
            <w:tcW w:w="1283" w:type="dxa"/>
          </w:tcPr>
          <w:p>
            <w:pPr>
              <w:pStyle w:val="Compact"/>
              <w:spacing w:after="40"/>
              <w:jc w:val="left"/>
            </w:pPr>
            <w:r>
              <w:rPr>
                <w:sz w:val="18"/>
              </w:rPr>
              <w:t xml:space="preserve">Priority-sector achievement (bank, UCB)</w:t>
            </w:r>
          </w:p>
        </w:tc>
        <w:tc>
          <w:tcPr>
            <w:tcW w:w="2964" w:type="dxa"/>
          </w:tcPr>
          <w:p>
            <w:pPr>
              <w:pStyle w:val="Compact"/>
              <w:spacing w:after="40"/>
              <w:jc w:val="left"/>
            </w:pPr>
            <w:r>
              <w:rPr>
                <w:sz w:val="18"/>
              </w:rPr>
              <w:t xml:space="preserve">PSL ÷ ANBC or CEOBE</w:t>
            </w:r>
          </w:p>
        </w:tc>
        <w:tc>
          <w:tcPr>
            <w:tcW w:w="712" w:type="dxa"/>
          </w:tcPr>
          <w:p>
            <w:pPr>
              <w:pStyle w:val="Compact"/>
              <w:spacing w:after="40"/>
              <w:jc w:val="left"/>
            </w:pPr>
            <w:r>
              <w:rPr>
                <w:sz w:val="18"/>
              </w:rPr>
              <w:t xml:space="preserve">LB</w:t>
            </w:r>
          </w:p>
        </w:tc>
        <w:tc>
          <w:tcPr>
            <w:tcW w:w="1993" w:type="dxa"/>
          </w:tcPr>
          <w:p>
            <w:pPr>
              <w:pStyle w:val="Compact"/>
              <w:spacing w:after="40"/>
              <w:jc w:val="left"/>
            </w:pPr>
            <w:r>
              <w:rPr>
                <w:sz w:val="18"/>
              </w:rPr>
              <w:t xml:space="preserve">SCB 40%; SFB 75%; UCB 60% [VERIFY]</w:t>
            </w:r>
          </w:p>
        </w:tc>
        <w:tc>
          <w:tcPr>
            <w:tcW w:w="769" w:type="dxa"/>
          </w:tcPr>
          <w:p>
            <w:pPr>
              <w:pStyle w:val="Compact"/>
              <w:spacing w:after="40"/>
              <w:jc w:val="left"/>
            </w:pPr>
            <w:r>
              <w:rPr>
                <w:sz w:val="18"/>
              </w:rPr>
              <w:t xml:space="preserve">Q</w:t>
            </w:r>
          </w:p>
        </w:tc>
        <w:tc>
          <w:tcPr>
            <w:tcW w:w="1219" w:type="dxa"/>
          </w:tcPr>
          <w:p>
            <w:pPr>
              <w:pStyle w:val="Compact"/>
              <w:spacing w:after="40"/>
              <w:jc w:val="left"/>
            </w:pPr>
            <w:r>
              <w:rPr>
                <w:sz w:val="18"/>
              </w:rPr>
              <w:t xml:space="preserve">PSL Directions</w:t>
            </w:r>
          </w:p>
        </w:tc>
      </w:tr>
      <w:tr>
        <w:tc>
          <w:tcPr>
            <w:tcW w:w="698" w:type="dxa"/>
          </w:tcPr>
          <w:p>
            <w:pPr>
              <w:pStyle w:val="Compact"/>
              <w:spacing w:after="40"/>
              <w:jc w:val="left"/>
            </w:pPr>
            <w:r>
              <w:rPr>
                <w:sz w:val="18"/>
              </w:rPr>
              <w:t xml:space="preserve">R44</w:t>
            </w:r>
          </w:p>
        </w:tc>
        <w:tc>
          <w:tcPr>
            <w:tcW w:w="1283" w:type="dxa"/>
          </w:tcPr>
          <w:p>
            <w:pPr>
              <w:pStyle w:val="Compact"/>
              <w:spacing w:after="40"/>
              <w:jc w:val="left"/>
            </w:pPr>
            <w:r>
              <w:rPr>
                <w:sz w:val="18"/>
              </w:rPr>
              <w:t xml:space="preserve">Gold-loan LTV</w:t>
            </w:r>
          </w:p>
        </w:tc>
        <w:tc>
          <w:tcPr>
            <w:tcW w:w="2964" w:type="dxa"/>
          </w:tcPr>
          <w:p>
            <w:pPr>
              <w:pStyle w:val="Compact"/>
              <w:spacing w:after="40"/>
              <w:jc w:val="left"/>
            </w:pPr>
            <w:r>
              <w:rPr>
                <w:sz w:val="18"/>
              </w:rPr>
              <w:t xml:space="preserve">Outstanding (bullet: total repayable) ÷ collateral value</w:t>
            </w:r>
          </w:p>
        </w:tc>
        <w:tc>
          <w:tcPr>
            <w:tcW w:w="712" w:type="dxa"/>
          </w:tcPr>
          <w:p>
            <w:pPr>
              <w:pStyle w:val="Compact"/>
              <w:spacing w:after="40"/>
              <w:jc w:val="left"/>
            </w:pPr>
            <w:r>
              <w:rPr>
                <w:sz w:val="18"/>
              </w:rPr>
              <w:t xml:space="preserve">LB</w:t>
            </w:r>
          </w:p>
        </w:tc>
        <w:tc>
          <w:tcPr>
            <w:tcW w:w="1993" w:type="dxa"/>
          </w:tcPr>
          <w:p>
            <w:pPr>
              <w:pStyle w:val="Compact"/>
              <w:spacing w:after="40"/>
              <w:jc w:val="left"/>
            </w:pPr>
            <w:r>
              <w:rPr>
                <w:sz w:val="18"/>
              </w:rPr>
              <w:t xml:space="preserve">Consumption loans: up to ₹2.5 lakh 85%; ₹2.5–5 lakh 80%; above ₹5 lakh 75%; ongoing</w:t>
            </w:r>
          </w:p>
        </w:tc>
        <w:tc>
          <w:tcPr>
            <w:tcW w:w="769" w:type="dxa"/>
          </w:tcPr>
          <w:p>
            <w:pPr>
              <w:pStyle w:val="Compact"/>
              <w:spacing w:after="40"/>
              <w:jc w:val="left"/>
            </w:pPr>
            <w:r>
              <w:rPr>
                <w:sz w:val="18"/>
              </w:rPr>
              <w:t xml:space="preserve">D</w:t>
            </w:r>
          </w:p>
        </w:tc>
        <w:tc>
          <w:tcPr>
            <w:tcW w:w="1219" w:type="dxa"/>
          </w:tcPr>
          <w:p>
            <w:pPr>
              <w:pStyle w:val="Compact"/>
              <w:spacing w:after="40"/>
              <w:jc w:val="left"/>
            </w:pPr>
            <w:r>
              <w:rPr>
                <w:sz w:val="18"/>
              </w:rPr>
              <w:t xml:space="preserve">CF 43–44</w:t>
            </w:r>
          </w:p>
        </w:tc>
      </w:tr>
      <w:tr>
        <w:tc>
          <w:tcPr>
            <w:tcW w:w="698" w:type="dxa"/>
          </w:tcPr>
          <w:p>
            <w:pPr>
              <w:pStyle w:val="Compact"/>
              <w:spacing w:after="40"/>
              <w:jc w:val="left"/>
            </w:pPr>
            <w:r>
              <w:rPr>
                <w:sz w:val="18"/>
              </w:rPr>
              <w:t xml:space="preserve">R45</w:t>
            </w:r>
          </w:p>
        </w:tc>
        <w:tc>
          <w:tcPr>
            <w:tcW w:w="1283" w:type="dxa"/>
          </w:tcPr>
          <w:p>
            <w:pPr>
              <w:pStyle w:val="Compact"/>
              <w:spacing w:after="40"/>
              <w:jc w:val="left"/>
            </w:pPr>
            <w:r>
              <w:rPr>
                <w:sz w:val="18"/>
              </w:rPr>
              <w:t xml:space="preserve">Share LTV</w:t>
            </w:r>
          </w:p>
        </w:tc>
        <w:tc>
          <w:tcPr>
            <w:tcW w:w="2964" w:type="dxa"/>
          </w:tcPr>
          <w:p>
            <w:pPr>
              <w:pStyle w:val="Compact"/>
              <w:spacing w:after="40"/>
              <w:jc w:val="left"/>
            </w:pPr>
            <w:r>
              <w:rPr>
                <w:sz w:val="18"/>
              </w:rPr>
              <w:t xml:space="preserve">Loan ÷ value of shares</w:t>
            </w:r>
          </w:p>
        </w:tc>
        <w:tc>
          <w:tcPr>
            <w:tcW w:w="712" w:type="dxa"/>
          </w:tcPr>
          <w:p>
            <w:pPr>
              <w:pStyle w:val="Compact"/>
              <w:spacing w:after="40"/>
              <w:jc w:val="left"/>
            </w:pPr>
            <w:r>
              <w:rPr>
                <w:sz w:val="18"/>
              </w:rPr>
              <w:t xml:space="preserve">LB</w:t>
            </w:r>
          </w:p>
        </w:tc>
        <w:tc>
          <w:tcPr>
            <w:tcW w:w="1993" w:type="dxa"/>
          </w:tcPr>
          <w:p>
            <w:pPr>
              <w:pStyle w:val="Compact"/>
              <w:spacing w:after="40"/>
              <w:jc w:val="left"/>
            </w:pPr>
            <w:r>
              <w:rPr>
                <w:sz w:val="18"/>
              </w:rPr>
              <w:t xml:space="preserve">≤ 50% at all times</w:t>
            </w:r>
          </w:p>
        </w:tc>
        <w:tc>
          <w:tcPr>
            <w:tcW w:w="769" w:type="dxa"/>
          </w:tcPr>
          <w:p>
            <w:pPr>
              <w:pStyle w:val="Compact"/>
              <w:spacing w:after="40"/>
              <w:jc w:val="left"/>
            </w:pPr>
            <w:r>
              <w:rPr>
                <w:sz w:val="18"/>
              </w:rPr>
              <w:t xml:space="preserve">D</w:t>
            </w:r>
          </w:p>
        </w:tc>
        <w:tc>
          <w:tcPr>
            <w:tcW w:w="1219" w:type="dxa"/>
          </w:tcPr>
          <w:p>
            <w:pPr>
              <w:pStyle w:val="Compact"/>
              <w:spacing w:after="40"/>
              <w:jc w:val="left"/>
            </w:pPr>
            <w:r>
              <w:rPr>
                <w:sz w:val="18"/>
              </w:rPr>
              <w:t xml:space="preserve">CF (shares) [VERIFY: para]</w:t>
            </w:r>
          </w:p>
        </w:tc>
      </w:tr>
      <w:tr>
        <w:tc>
          <w:tcPr>
            <w:tcW w:w="698" w:type="dxa"/>
          </w:tcPr>
          <w:p>
            <w:pPr>
              <w:pStyle w:val="Compact"/>
              <w:spacing w:after="40"/>
              <w:jc w:val="left"/>
            </w:pPr>
            <w:r>
              <w:rPr>
                <w:sz w:val="18"/>
              </w:rPr>
              <w:t xml:space="preserve">R46</w:t>
            </w:r>
          </w:p>
        </w:tc>
        <w:tc>
          <w:tcPr>
            <w:tcW w:w="1283" w:type="dxa"/>
          </w:tcPr>
          <w:p>
            <w:pPr>
              <w:pStyle w:val="Compact"/>
              <w:spacing w:after="40"/>
              <w:jc w:val="left"/>
            </w:pPr>
            <w:r>
              <w:rPr>
                <w:sz w:val="18"/>
              </w:rPr>
              <w:t xml:space="preserve">HFC LTV</w:t>
            </w:r>
          </w:p>
        </w:tc>
        <w:tc>
          <w:tcPr>
            <w:tcW w:w="2964" w:type="dxa"/>
          </w:tcPr>
          <w:p>
            <w:pPr>
              <w:pStyle w:val="Compact"/>
              <w:spacing w:after="40"/>
              <w:jc w:val="left"/>
            </w:pPr>
            <w:r>
              <w:rPr>
                <w:sz w:val="18"/>
              </w:rPr>
              <w:t xml:space="preserve">Loan ÷ property value</w:t>
            </w:r>
          </w:p>
        </w:tc>
        <w:tc>
          <w:tcPr>
            <w:tcW w:w="712" w:type="dxa"/>
          </w:tcPr>
          <w:p>
            <w:pPr>
              <w:pStyle w:val="Compact"/>
              <w:spacing w:after="40"/>
              <w:jc w:val="left"/>
            </w:pPr>
            <w:r>
              <w:rPr>
                <w:sz w:val="18"/>
              </w:rPr>
              <w:t xml:space="preserve">LB</w:t>
            </w:r>
          </w:p>
        </w:tc>
        <w:tc>
          <w:tcPr>
            <w:tcW w:w="1993" w:type="dxa"/>
          </w:tcPr>
          <w:p>
            <w:pPr>
              <w:pStyle w:val="Compact"/>
              <w:spacing w:after="40"/>
              <w:jc w:val="left"/>
            </w:pPr>
            <w:r>
              <w:rPr>
                <w:sz w:val="18"/>
              </w:rPr>
              <w:t xml:space="preserve">90% / 80% / 75% by loan size</w:t>
            </w:r>
          </w:p>
        </w:tc>
        <w:tc>
          <w:tcPr>
            <w:tcW w:w="769" w:type="dxa"/>
          </w:tcPr>
          <w:p>
            <w:pPr>
              <w:pStyle w:val="Compact"/>
              <w:spacing w:after="40"/>
              <w:jc w:val="left"/>
            </w:pPr>
            <w:r>
              <w:rPr>
                <w:sz w:val="18"/>
              </w:rPr>
              <w:t xml:space="preserve">At sanction</w:t>
            </w:r>
          </w:p>
        </w:tc>
        <w:tc>
          <w:tcPr>
            <w:tcW w:w="1219" w:type="dxa"/>
          </w:tcPr>
          <w:p>
            <w:pPr>
              <w:pStyle w:val="Compact"/>
              <w:spacing w:after="40"/>
              <w:jc w:val="left"/>
            </w:pPr>
            <w:r>
              <w:rPr>
                <w:sz w:val="18"/>
              </w:rPr>
              <w:t xml:space="preserve">HFC 58 [VERIFY]</w:t>
            </w:r>
          </w:p>
        </w:tc>
      </w:tr>
      <w:tr>
        <w:tc>
          <w:tcPr>
            <w:tcW w:w="698" w:type="dxa"/>
          </w:tcPr>
          <w:p>
            <w:pPr>
              <w:pStyle w:val="Compact"/>
              <w:spacing w:after="40"/>
              <w:jc w:val="left"/>
            </w:pPr>
            <w:r>
              <w:rPr>
                <w:sz w:val="18"/>
              </w:rPr>
              <w:t xml:space="preserve">R47</w:t>
            </w:r>
          </w:p>
        </w:tc>
        <w:tc>
          <w:tcPr>
            <w:tcW w:w="1283" w:type="dxa"/>
          </w:tcPr>
          <w:p>
            <w:pPr>
              <w:pStyle w:val="Compact"/>
              <w:spacing w:after="40"/>
              <w:jc w:val="left"/>
            </w:pPr>
            <w:r>
              <w:rPr>
                <w:sz w:val="18"/>
              </w:rPr>
              <w:t xml:space="preserve">MFI qualifying assets</w:t>
            </w:r>
          </w:p>
        </w:tc>
        <w:tc>
          <w:tcPr>
            <w:tcW w:w="2964" w:type="dxa"/>
          </w:tcPr>
          <w:p>
            <w:pPr>
              <w:pStyle w:val="Compact"/>
              <w:spacing w:after="40"/>
              <w:jc w:val="left"/>
            </w:pPr>
            <w:r>
              <w:rPr>
                <w:sz w:val="18"/>
              </w:rPr>
              <w:t xml:space="preserve">Microfinance loans ÷ (total assets − intangibles), excluding channelising book</w:t>
            </w:r>
          </w:p>
        </w:tc>
        <w:tc>
          <w:tcPr>
            <w:tcW w:w="712" w:type="dxa"/>
          </w:tcPr>
          <w:p>
            <w:pPr>
              <w:pStyle w:val="Compact"/>
              <w:spacing w:after="40"/>
              <w:jc w:val="left"/>
            </w:pPr>
            <w:r>
              <w:rPr>
                <w:sz w:val="18"/>
              </w:rPr>
              <w:t xml:space="preserve">LB, GL</w:t>
            </w:r>
          </w:p>
        </w:tc>
        <w:tc>
          <w:tcPr>
            <w:tcW w:w="1993" w:type="dxa"/>
          </w:tcPr>
          <w:p>
            <w:pPr>
              <w:pStyle w:val="Compact"/>
              <w:spacing w:after="40"/>
              <w:jc w:val="left"/>
            </w:pPr>
            <w:r>
              <w:rPr>
                <w:sz w:val="18"/>
              </w:rPr>
              <w:t xml:space="preserve">≥ 60%</w:t>
            </w:r>
          </w:p>
        </w:tc>
        <w:tc>
          <w:tcPr>
            <w:tcW w:w="769" w:type="dxa"/>
          </w:tcPr>
          <w:p>
            <w:pPr>
              <w:pStyle w:val="Compact"/>
              <w:spacing w:after="40"/>
              <w:jc w:val="left"/>
            </w:pPr>
            <w:r>
              <w:rPr>
                <w:sz w:val="18"/>
              </w:rPr>
              <w:t xml:space="preserve">M, Q</w:t>
            </w:r>
          </w:p>
        </w:tc>
        <w:tc>
          <w:tcPr>
            <w:tcW w:w="1219" w:type="dxa"/>
          </w:tcPr>
          <w:p>
            <w:pPr>
              <w:pStyle w:val="Compact"/>
              <w:spacing w:after="40"/>
              <w:jc w:val="left"/>
            </w:pPr>
            <w:r>
              <w:rPr>
                <w:sz w:val="18"/>
              </w:rPr>
              <w:t xml:space="preserve">MFI 12–13</w:t>
            </w:r>
          </w:p>
        </w:tc>
      </w:tr>
      <w:tr>
        <w:tc>
          <w:tcPr>
            <w:tcW w:w="698" w:type="dxa"/>
          </w:tcPr>
          <w:p>
            <w:pPr>
              <w:pStyle w:val="Compact"/>
              <w:spacing w:after="40"/>
              <w:jc w:val="left"/>
            </w:pPr>
            <w:r>
              <w:rPr>
                <w:sz w:val="18"/>
              </w:rPr>
              <w:t xml:space="preserve">R48</w:t>
            </w:r>
          </w:p>
        </w:tc>
        <w:tc>
          <w:tcPr>
            <w:tcW w:w="1283" w:type="dxa"/>
          </w:tcPr>
          <w:p>
            <w:pPr>
              <w:pStyle w:val="Compact"/>
              <w:spacing w:after="40"/>
              <w:jc w:val="left"/>
            </w:pPr>
            <w:r>
              <w:rPr>
                <w:sz w:val="18"/>
              </w:rPr>
              <w:t xml:space="preserve">Non-MFI microfinance share</w:t>
            </w:r>
          </w:p>
        </w:tc>
        <w:tc>
          <w:tcPr>
            <w:tcW w:w="2964" w:type="dxa"/>
          </w:tcPr>
          <w:p>
            <w:pPr>
              <w:pStyle w:val="Compact"/>
              <w:spacing w:after="40"/>
              <w:jc w:val="left"/>
            </w:pPr>
            <w:r>
              <w:rPr>
                <w:sz w:val="18"/>
              </w:rPr>
              <w:t xml:space="preserve">Microfinance loans ÷ total assets</w:t>
            </w:r>
          </w:p>
        </w:tc>
        <w:tc>
          <w:tcPr>
            <w:tcW w:w="712" w:type="dxa"/>
          </w:tcPr>
          <w:p>
            <w:pPr>
              <w:pStyle w:val="Compact"/>
              <w:spacing w:after="40"/>
              <w:jc w:val="left"/>
            </w:pPr>
            <w:r>
              <w:rPr>
                <w:sz w:val="18"/>
              </w:rPr>
              <w:t xml:space="preserve">LB, GL</w:t>
            </w:r>
          </w:p>
        </w:tc>
        <w:tc>
          <w:tcPr>
            <w:tcW w:w="1993" w:type="dxa"/>
          </w:tcPr>
          <w:p>
            <w:pPr>
              <w:pStyle w:val="Compact"/>
              <w:spacing w:after="40"/>
              <w:jc w:val="left"/>
            </w:pPr>
            <w:r>
              <w:rPr>
                <w:sz w:val="18"/>
              </w:rPr>
              <w:t xml:space="preserve">≤ 25%</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MFI 49</w:t>
            </w:r>
          </w:p>
        </w:tc>
      </w:tr>
      <w:tr>
        <w:tc>
          <w:tcPr>
            <w:tcW w:w="698" w:type="dxa"/>
          </w:tcPr>
          <w:p>
            <w:pPr>
              <w:pStyle w:val="Compact"/>
              <w:spacing w:after="40"/>
              <w:jc w:val="left"/>
            </w:pPr>
            <w:r>
              <w:rPr>
                <w:sz w:val="18"/>
              </w:rPr>
              <w:t xml:space="preserve">R49</w:t>
            </w:r>
          </w:p>
        </w:tc>
        <w:tc>
          <w:tcPr>
            <w:tcW w:w="1283" w:type="dxa"/>
          </w:tcPr>
          <w:p>
            <w:pPr>
              <w:pStyle w:val="Compact"/>
              <w:spacing w:after="40"/>
              <w:jc w:val="left"/>
            </w:pPr>
            <w:r>
              <w:rPr>
                <w:sz w:val="18"/>
              </w:rPr>
              <w:t xml:space="preserve">DLG cover</w:t>
            </w:r>
          </w:p>
        </w:tc>
        <w:tc>
          <w:tcPr>
            <w:tcW w:w="2964" w:type="dxa"/>
          </w:tcPr>
          <w:p>
            <w:pPr>
              <w:pStyle w:val="Compact"/>
              <w:spacing w:after="40"/>
              <w:jc w:val="left"/>
            </w:pPr>
            <w:r>
              <w:rPr>
                <w:sz w:val="18"/>
              </w:rPr>
              <w:t xml:space="preserve">DLG ÷ amount disbursed in the portfolio</w:t>
            </w:r>
          </w:p>
        </w:tc>
        <w:tc>
          <w:tcPr>
            <w:tcW w:w="712" w:type="dxa"/>
          </w:tcPr>
          <w:p>
            <w:pPr>
              <w:pStyle w:val="Compact"/>
              <w:spacing w:after="40"/>
              <w:jc w:val="left"/>
            </w:pPr>
            <w:r>
              <w:rPr>
                <w:sz w:val="18"/>
              </w:rPr>
              <w:t xml:space="preserve">DLG register</w:t>
            </w:r>
          </w:p>
        </w:tc>
        <w:tc>
          <w:tcPr>
            <w:tcW w:w="1993" w:type="dxa"/>
          </w:tcPr>
          <w:p>
            <w:pPr>
              <w:pStyle w:val="Compact"/>
              <w:spacing w:after="40"/>
              <w:jc w:val="left"/>
            </w:pPr>
            <w:r>
              <w:rPr>
                <w:sz w:val="18"/>
              </w:rPr>
              <w:t xml:space="preserve">≤ 5%</w:t>
            </w:r>
          </w:p>
        </w:tc>
        <w:tc>
          <w:tcPr>
            <w:tcW w:w="769" w:type="dxa"/>
          </w:tcPr>
          <w:p>
            <w:pPr>
              <w:pStyle w:val="Compact"/>
              <w:spacing w:after="40"/>
              <w:jc w:val="left"/>
            </w:pPr>
            <w:r>
              <w:rPr>
                <w:sz w:val="18"/>
              </w:rPr>
              <w:t xml:space="preserve">D</w:t>
            </w:r>
          </w:p>
        </w:tc>
        <w:tc>
          <w:tcPr>
            <w:tcW w:w="1219" w:type="dxa"/>
          </w:tcPr>
          <w:p>
            <w:pPr>
              <w:pStyle w:val="Compact"/>
              <w:spacing w:after="40"/>
              <w:jc w:val="left"/>
            </w:pPr>
            <w:r>
              <w:rPr>
                <w:sz w:val="18"/>
              </w:rPr>
              <w:t xml:space="preserve">CF 24</w:t>
            </w:r>
          </w:p>
        </w:tc>
      </w:tr>
      <w:tr>
        <w:tc>
          <w:tcPr>
            <w:tcW w:w="698" w:type="dxa"/>
          </w:tcPr>
          <w:p>
            <w:pPr>
              <w:pStyle w:val="Compact"/>
              <w:spacing w:after="40"/>
              <w:jc w:val="left"/>
            </w:pPr>
            <w:r>
              <w:rPr>
                <w:sz w:val="18"/>
              </w:rPr>
              <w:t xml:space="preserve">R50</w:t>
            </w:r>
          </w:p>
        </w:tc>
        <w:tc>
          <w:tcPr>
            <w:tcW w:w="1283" w:type="dxa"/>
          </w:tcPr>
          <w:p>
            <w:pPr>
              <w:pStyle w:val="Compact"/>
              <w:spacing w:after="40"/>
              <w:jc w:val="left"/>
            </w:pPr>
            <w:r>
              <w:rPr>
                <w:sz w:val="18"/>
              </w:rPr>
              <w:t xml:space="preserve">Gold-primary test</w:t>
            </w:r>
          </w:p>
        </w:tc>
        <w:tc>
          <w:tcPr>
            <w:tcW w:w="2964" w:type="dxa"/>
          </w:tcPr>
          <w:p>
            <w:pPr>
              <w:pStyle w:val="Compact"/>
              <w:spacing w:after="40"/>
              <w:jc w:val="left"/>
            </w:pPr>
            <w:r>
              <w:rPr>
                <w:sz w:val="18"/>
              </w:rPr>
              <w:t xml:space="preserve">Gold loans ÷ financial assets</w:t>
            </w:r>
          </w:p>
        </w:tc>
        <w:tc>
          <w:tcPr>
            <w:tcW w:w="712" w:type="dxa"/>
          </w:tcPr>
          <w:p>
            <w:pPr>
              <w:pStyle w:val="Compact"/>
              <w:spacing w:after="40"/>
              <w:jc w:val="left"/>
            </w:pPr>
            <w:r>
              <w:rPr>
                <w:sz w:val="18"/>
              </w:rPr>
              <w:t xml:space="preserve">LB</w:t>
            </w:r>
          </w:p>
        </w:tc>
        <w:tc>
          <w:tcPr>
            <w:tcW w:w="1993" w:type="dxa"/>
          </w:tcPr>
          <w:p>
            <w:pPr>
              <w:pStyle w:val="Compact"/>
              <w:spacing w:after="40"/>
              <w:jc w:val="left"/>
            </w:pPr>
            <w:r>
              <w:rPr>
                <w:sz w:val="18"/>
              </w:rPr>
              <w:t xml:space="preserve">≥ 50% switches to Tier 1 12%</w:t>
            </w:r>
          </w:p>
        </w:tc>
        <w:tc>
          <w:tcPr>
            <w:tcW w:w="769" w:type="dxa"/>
          </w:tcPr>
          <w:p>
            <w:pPr>
              <w:pStyle w:val="Compact"/>
              <w:spacing w:after="40"/>
              <w:jc w:val="left"/>
            </w:pPr>
            <w:r>
              <w:rPr>
                <w:sz w:val="18"/>
              </w:rPr>
              <w:t xml:space="preserve">Q</w:t>
            </w:r>
          </w:p>
        </w:tc>
        <w:tc>
          <w:tcPr>
            <w:tcW w:w="1219" w:type="dxa"/>
          </w:tcPr>
          <w:p>
            <w:pPr>
              <w:pStyle w:val="Compact"/>
              <w:spacing w:after="40"/>
              <w:jc w:val="left"/>
            </w:pPr>
            <w:r>
              <w:rPr>
                <w:sz w:val="18"/>
              </w:rPr>
              <w:t xml:space="preserve">CAP 4(8)</w:t>
            </w:r>
          </w:p>
        </w:tc>
      </w:tr>
      <w:tr>
        <w:tc>
          <w:tcPr>
            <w:tcW w:w="698" w:type="dxa"/>
          </w:tcPr>
          <w:p>
            <w:pPr>
              <w:pStyle w:val="Compact"/>
              <w:spacing w:after="40"/>
              <w:jc w:val="left"/>
            </w:pPr>
            <w:r>
              <w:rPr>
                <w:sz w:val="18"/>
              </w:rPr>
              <w:t xml:space="preserve">R51</w:t>
            </w:r>
          </w:p>
        </w:tc>
        <w:tc>
          <w:tcPr>
            <w:tcW w:w="1283" w:type="dxa"/>
          </w:tcPr>
          <w:p>
            <w:pPr>
              <w:pStyle w:val="Compact"/>
              <w:spacing w:after="40"/>
              <w:jc w:val="left"/>
            </w:pPr>
            <w:r>
              <w:rPr>
                <w:sz w:val="18"/>
              </w:rPr>
              <w:t xml:space="preserve">Threshold proximity</w:t>
            </w:r>
          </w:p>
        </w:tc>
        <w:tc>
          <w:tcPr>
            <w:tcW w:w="2964" w:type="dxa"/>
          </w:tcPr>
          <w:p>
            <w:pPr>
              <w:pStyle w:val="Compact"/>
              <w:spacing w:after="40"/>
              <w:jc w:val="left"/>
            </w:pPr>
            <w:r>
              <w:rPr>
                <w:sz w:val="18"/>
              </w:rPr>
              <w:t xml:space="preserve">Assets vs ₹100 / 500 / 1,000 / 5,000 / 15,000 crore</w:t>
            </w:r>
          </w:p>
        </w:tc>
        <w:tc>
          <w:tcPr>
            <w:tcW w:w="712" w:type="dxa"/>
          </w:tcPr>
          <w:p>
            <w:pPr>
              <w:pStyle w:val="Compact"/>
              <w:spacing w:after="40"/>
              <w:jc w:val="left"/>
            </w:pPr>
            <w:r>
              <w:rPr>
                <w:sz w:val="18"/>
              </w:rPr>
              <w:t xml:space="preserve">GL</w:t>
            </w:r>
          </w:p>
        </w:tc>
        <w:tc>
          <w:tcPr>
            <w:tcW w:w="1993" w:type="dxa"/>
          </w:tcPr>
          <w:p>
            <w:pPr>
              <w:pStyle w:val="Compact"/>
              <w:spacing w:after="40"/>
              <w:jc w:val="left"/>
            </w:pPr>
            <w:r>
              <w:rPr>
                <w:sz w:val="18"/>
              </w:rPr>
              <w:t xml:space="preserve">Applicability triggers</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SBR 22; GOV 19; IAF 3; ALM 3; SA 11</w:t>
            </w:r>
          </w:p>
        </w:tc>
      </w:tr>
      <w:tr>
        <w:tc>
          <w:tcPr>
            <w:tcW w:w="698" w:type="dxa"/>
          </w:tcPr>
          <w:p>
            <w:pPr>
              <w:pStyle w:val="Compact"/>
              <w:spacing w:after="40"/>
              <w:jc w:val="left"/>
            </w:pPr>
            <w:r>
              <w:rPr>
                <w:sz w:val="18"/>
              </w:rPr>
              <w:t xml:space="preserve">R52</w:t>
            </w:r>
          </w:p>
        </w:tc>
        <w:tc>
          <w:tcPr>
            <w:tcW w:w="1283" w:type="dxa"/>
          </w:tcPr>
          <w:p>
            <w:pPr>
              <w:pStyle w:val="Compact"/>
              <w:spacing w:after="40"/>
              <w:jc w:val="left"/>
            </w:pPr>
            <w:r>
              <w:rPr>
                <w:sz w:val="18"/>
              </w:rPr>
              <w:t xml:space="preserve">PCA proximity</w:t>
            </w:r>
          </w:p>
        </w:tc>
        <w:tc>
          <w:tcPr>
            <w:tcW w:w="2964" w:type="dxa"/>
          </w:tcPr>
          <w:p>
            <w:pPr>
              <w:pStyle w:val="Compact"/>
              <w:spacing w:after="40"/>
              <w:jc w:val="left"/>
            </w:pPr>
            <w:r>
              <w:rPr>
                <w:sz w:val="18"/>
              </w:rPr>
              <w:t xml:space="preserve">min(CRAR − CRAR minimum, Tier 1 − Tier 1 minimum, 6% − NNPA) in bps, using the entity’s applicable minimums (CICs: ANW/RWA − 30% and 6% − NNPA in bps, and 2.5x − leverage as a multiple, each shown separately)</w:t>
            </w:r>
          </w:p>
        </w:tc>
        <w:tc>
          <w:tcPr>
            <w:tcW w:w="712" w:type="dxa"/>
          </w:tcPr>
          <w:p>
            <w:pPr>
              <w:pStyle w:val="Compact"/>
              <w:spacing w:after="40"/>
              <w:jc w:val="left"/>
            </w:pPr>
            <w:r>
              <w:rPr>
                <w:sz w:val="18"/>
              </w:rPr>
              <w:t xml:space="preserve">CAP, LB</w:t>
            </w:r>
          </w:p>
        </w:tc>
        <w:tc>
          <w:tcPr>
            <w:tcW w:w="1993" w:type="dxa"/>
          </w:tcPr>
          <w:p>
            <w:pPr>
              <w:pStyle w:val="Compact"/>
              <w:spacing w:after="40"/>
              <w:jc w:val="left"/>
            </w:pPr>
            <w:r>
              <w:rPr>
                <w:sz w:val="18"/>
              </w:rPr>
              <w:t xml:space="preserve">Red within 150 bps of RT1 [REC]</w:t>
            </w:r>
          </w:p>
        </w:tc>
        <w:tc>
          <w:tcPr>
            <w:tcW w:w="769" w:type="dxa"/>
          </w:tcPr>
          <w:p>
            <w:pPr>
              <w:pStyle w:val="Compact"/>
              <w:spacing w:after="40"/>
              <w:jc w:val="left"/>
            </w:pPr>
            <w:r>
              <w:rPr>
                <w:sz w:val="18"/>
              </w:rPr>
              <w:t xml:space="preserve">M, Q</w:t>
            </w:r>
          </w:p>
        </w:tc>
        <w:tc>
          <w:tcPr>
            <w:tcW w:w="1219" w:type="dxa"/>
          </w:tcPr>
          <w:p>
            <w:pPr>
              <w:pStyle w:val="Compact"/>
              <w:spacing w:after="40"/>
              <w:jc w:val="left"/>
            </w:pPr>
            <w:r>
              <w:rPr>
                <w:sz w:val="18"/>
              </w:rPr>
              <w:t xml:space="preserve">MSD 16–17</w:t>
            </w:r>
          </w:p>
        </w:tc>
      </w:tr>
      <w:tr>
        <w:tc>
          <w:tcPr>
            <w:tcW w:w="698" w:type="dxa"/>
          </w:tcPr>
          <w:p>
            <w:pPr>
              <w:pStyle w:val="Compact"/>
              <w:spacing w:after="40"/>
              <w:jc w:val="left"/>
            </w:pPr>
            <w:r>
              <w:rPr>
                <w:sz w:val="18"/>
              </w:rPr>
              <w:t xml:space="preserve">R53</w:t>
            </w:r>
          </w:p>
        </w:tc>
        <w:tc>
          <w:tcPr>
            <w:tcW w:w="1283" w:type="dxa"/>
          </w:tcPr>
          <w:p>
            <w:pPr>
              <w:pStyle w:val="Compact"/>
              <w:spacing w:after="40"/>
              <w:jc w:val="left"/>
            </w:pPr>
            <w:r>
              <w:rPr>
                <w:sz w:val="18"/>
              </w:rPr>
              <w:t xml:space="preserve">Operational loss ratio</w:t>
            </w:r>
          </w:p>
        </w:tc>
        <w:tc>
          <w:tcPr>
            <w:tcW w:w="2964" w:type="dxa"/>
          </w:tcPr>
          <w:p>
            <w:pPr>
              <w:pStyle w:val="Compact"/>
              <w:spacing w:after="40"/>
              <w:jc w:val="left"/>
            </w:pPr>
            <w:r>
              <w:rPr>
                <w:sz w:val="18"/>
              </w:rPr>
              <w:t xml:space="preserve">Net operational losses (12 months) ÷ gross income</w:t>
            </w:r>
          </w:p>
        </w:tc>
        <w:tc>
          <w:tcPr>
            <w:tcW w:w="712" w:type="dxa"/>
          </w:tcPr>
          <w:p>
            <w:pPr>
              <w:pStyle w:val="Compact"/>
              <w:spacing w:after="40"/>
              <w:jc w:val="left"/>
            </w:pPr>
            <w:r>
              <w:rPr>
                <w:sz w:val="18"/>
              </w:rPr>
              <w:t xml:space="preserve">OPS</w:t>
            </w:r>
          </w:p>
        </w:tc>
        <w:tc>
          <w:tcPr>
            <w:tcW w:w="1993" w:type="dxa"/>
          </w:tcPr>
          <w:p>
            <w:pPr>
              <w:pStyle w:val="Compact"/>
              <w:spacing w:after="40"/>
              <w:jc w:val="left"/>
            </w:pPr>
            <w:r>
              <w:rPr>
                <w:sz w:val="18"/>
              </w:rPr>
              <w:t xml:space="preserve">RAS</w:t>
            </w:r>
          </w:p>
        </w:tc>
        <w:tc>
          <w:tcPr>
            <w:tcW w:w="769" w:type="dxa"/>
          </w:tcPr>
          <w:p>
            <w:pPr>
              <w:pStyle w:val="Compact"/>
              <w:spacing w:after="40"/>
              <w:jc w:val="left"/>
            </w:pPr>
            <w:r>
              <w:rPr>
                <w:sz w:val="18"/>
              </w:rPr>
              <w:t xml:space="preserve">Q</w:t>
            </w:r>
          </w:p>
        </w:tc>
        <w:tc>
          <w:tcPr>
            <w:tcW w:w="1219" w:type="dxa"/>
          </w:tcPr>
          <w:p>
            <w:pPr>
              <w:pStyle w:val="Compact"/>
              <w:spacing w:after="40"/>
              <w:jc w:val="left"/>
            </w:pPr>
            <w:r>
              <w:rPr>
                <w:sz w:val="18"/>
              </w:rPr>
              <w:t xml:space="preserve">ORM 42</w:t>
            </w:r>
          </w:p>
        </w:tc>
      </w:tr>
      <w:tr>
        <w:tc>
          <w:tcPr>
            <w:tcW w:w="698" w:type="dxa"/>
          </w:tcPr>
          <w:p>
            <w:pPr>
              <w:pStyle w:val="Compact"/>
              <w:spacing w:after="40"/>
              <w:jc w:val="left"/>
            </w:pPr>
            <w:r>
              <w:rPr>
                <w:sz w:val="18"/>
              </w:rPr>
              <w:t xml:space="preserve">R54</w:t>
            </w:r>
          </w:p>
        </w:tc>
        <w:tc>
          <w:tcPr>
            <w:tcW w:w="1283" w:type="dxa"/>
          </w:tcPr>
          <w:p>
            <w:pPr>
              <w:pStyle w:val="Compact"/>
              <w:spacing w:after="40"/>
              <w:jc w:val="left"/>
            </w:pPr>
            <w:r>
              <w:rPr>
                <w:sz w:val="18"/>
              </w:rPr>
              <w:t xml:space="preserve">Impact-tolerance breaches</w:t>
            </w:r>
          </w:p>
        </w:tc>
        <w:tc>
          <w:tcPr>
            <w:tcW w:w="2964" w:type="dxa"/>
          </w:tcPr>
          <w:p>
            <w:pPr>
              <w:pStyle w:val="Compact"/>
              <w:spacing w:after="40"/>
              <w:jc w:val="left"/>
            </w:pPr>
            <w:r>
              <w:rPr>
                <w:sz w:val="18"/>
              </w:rPr>
              <w:t xml:space="preserve">Count of critical operations over time, data-loss or service tolerance</w:t>
            </w:r>
          </w:p>
        </w:tc>
        <w:tc>
          <w:tcPr>
            <w:tcW w:w="712" w:type="dxa"/>
          </w:tcPr>
          <w:p>
            <w:pPr>
              <w:pStyle w:val="Compact"/>
              <w:spacing w:after="40"/>
              <w:jc w:val="left"/>
            </w:pPr>
            <w:r>
              <w:rPr>
                <w:sz w:val="18"/>
              </w:rPr>
              <w:t xml:space="preserve">OPS</w:t>
            </w:r>
          </w:p>
        </w:tc>
        <w:tc>
          <w:tcPr>
            <w:tcW w:w="1993" w:type="dxa"/>
          </w:tcPr>
          <w:p>
            <w:pPr>
              <w:pStyle w:val="Compact"/>
              <w:spacing w:after="40"/>
              <w:jc w:val="left"/>
            </w:pPr>
            <w:r>
              <w:rPr>
                <w:sz w:val="18"/>
              </w:rPr>
              <w:t xml:space="preserve">Zero</w:t>
            </w:r>
          </w:p>
        </w:tc>
        <w:tc>
          <w:tcPr>
            <w:tcW w:w="769" w:type="dxa"/>
          </w:tcPr>
          <w:p>
            <w:pPr>
              <w:pStyle w:val="Compact"/>
              <w:spacing w:after="40"/>
              <w:jc w:val="left"/>
            </w:pPr>
            <w:r>
              <w:rPr>
                <w:sz w:val="18"/>
              </w:rPr>
              <w:t xml:space="preserve">Event</w:t>
            </w:r>
          </w:p>
        </w:tc>
        <w:tc>
          <w:tcPr>
            <w:tcW w:w="1219" w:type="dxa"/>
          </w:tcPr>
          <w:p>
            <w:pPr>
              <w:pStyle w:val="Compact"/>
              <w:spacing w:after="40"/>
              <w:jc w:val="left"/>
            </w:pPr>
            <w:r>
              <w:rPr>
                <w:sz w:val="18"/>
              </w:rPr>
              <w:t xml:space="preserve">ORM 32–33</w:t>
            </w:r>
          </w:p>
        </w:tc>
      </w:tr>
      <w:tr>
        <w:tc>
          <w:tcPr>
            <w:tcW w:w="698" w:type="dxa"/>
          </w:tcPr>
          <w:p>
            <w:pPr>
              <w:pStyle w:val="Compact"/>
              <w:spacing w:after="40"/>
              <w:jc w:val="left"/>
            </w:pPr>
            <w:r>
              <w:rPr>
                <w:sz w:val="18"/>
              </w:rPr>
              <w:t xml:space="preserve">R55</w:t>
            </w:r>
          </w:p>
        </w:tc>
        <w:tc>
          <w:tcPr>
            <w:tcW w:w="1283" w:type="dxa"/>
          </w:tcPr>
          <w:p>
            <w:pPr>
              <w:pStyle w:val="Compact"/>
              <w:spacing w:after="40"/>
              <w:jc w:val="left"/>
            </w:pPr>
            <w:r>
              <w:rPr>
                <w:sz w:val="18"/>
              </w:rPr>
              <w:t xml:space="preserve">Fraud KRIs</w:t>
            </w:r>
          </w:p>
        </w:tc>
        <w:tc>
          <w:tcPr>
            <w:tcW w:w="2964" w:type="dxa"/>
          </w:tcPr>
          <w:p>
            <w:pPr>
              <w:pStyle w:val="Compact"/>
              <w:spacing w:after="40"/>
              <w:jc w:val="left"/>
            </w:pPr>
            <w:r>
              <w:rPr>
                <w:sz w:val="18"/>
              </w:rPr>
              <w:t xml:space="preserve">Count and value; detection-to-classification days; % FMR within 14 days</w:t>
            </w:r>
          </w:p>
        </w:tc>
        <w:tc>
          <w:tcPr>
            <w:tcW w:w="712" w:type="dxa"/>
          </w:tcPr>
          <w:p>
            <w:pPr>
              <w:pStyle w:val="Compact"/>
              <w:spacing w:after="40"/>
              <w:jc w:val="left"/>
            </w:pPr>
            <w:r>
              <w:rPr>
                <w:sz w:val="18"/>
              </w:rPr>
              <w:t xml:space="preserve">OPS</w:t>
            </w:r>
          </w:p>
        </w:tc>
        <w:tc>
          <w:tcPr>
            <w:tcW w:w="1993" w:type="dxa"/>
          </w:tcPr>
          <w:p>
            <w:pPr>
              <w:pStyle w:val="Compact"/>
              <w:spacing w:after="40"/>
              <w:jc w:val="left"/>
            </w:pPr>
            <w:r>
              <w:rPr>
                <w:sz w:val="18"/>
              </w:rPr>
              <w:t xml:space="preserve">100% within 14 days</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FRM 43</w:t>
            </w:r>
          </w:p>
        </w:tc>
      </w:tr>
      <w:tr>
        <w:tc>
          <w:tcPr>
            <w:tcW w:w="698" w:type="dxa"/>
          </w:tcPr>
          <w:p>
            <w:pPr>
              <w:pStyle w:val="Compact"/>
              <w:spacing w:after="40"/>
              <w:jc w:val="left"/>
            </w:pPr>
            <w:r>
              <w:rPr>
                <w:sz w:val="18"/>
              </w:rPr>
              <w:t xml:space="preserve">R56</w:t>
            </w:r>
          </w:p>
        </w:tc>
        <w:tc>
          <w:tcPr>
            <w:tcW w:w="1283" w:type="dxa"/>
          </w:tcPr>
          <w:p>
            <w:pPr>
              <w:pStyle w:val="Compact"/>
              <w:spacing w:after="40"/>
              <w:jc w:val="left"/>
            </w:pPr>
            <w:r>
              <w:rPr>
                <w:sz w:val="18"/>
              </w:rPr>
              <w:t xml:space="preserve">Cyber KRIs</w:t>
            </w:r>
          </w:p>
        </w:tc>
        <w:tc>
          <w:tcPr>
            <w:tcW w:w="2964" w:type="dxa"/>
          </w:tcPr>
          <w:p>
            <w:pPr>
              <w:pStyle w:val="Compact"/>
              <w:spacing w:after="40"/>
              <w:jc w:val="left"/>
            </w:pPr>
            <w:r>
              <w:rPr>
                <w:sz w:val="18"/>
              </w:rPr>
              <w:t xml:space="preserve">Incidents; % reported on DAKSH within 6 hours; critical vulnerabilities open; patch SLA</w:t>
            </w:r>
          </w:p>
        </w:tc>
        <w:tc>
          <w:tcPr>
            <w:tcW w:w="712" w:type="dxa"/>
          </w:tcPr>
          <w:p>
            <w:pPr>
              <w:pStyle w:val="Compact"/>
              <w:spacing w:after="40"/>
              <w:jc w:val="left"/>
            </w:pPr>
            <w:r>
              <w:rPr>
                <w:sz w:val="18"/>
              </w:rPr>
              <w:t xml:space="preserve">OPS</w:t>
            </w:r>
          </w:p>
        </w:tc>
        <w:tc>
          <w:tcPr>
            <w:tcW w:w="1993" w:type="dxa"/>
          </w:tcPr>
          <w:p>
            <w:pPr>
              <w:pStyle w:val="Compact"/>
              <w:spacing w:after="40"/>
              <w:jc w:val="left"/>
            </w:pPr>
            <w:r>
              <w:rPr>
                <w:sz w:val="18"/>
              </w:rPr>
              <w:t xml:space="preserve">100% within 6 hours</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CYB 28, 141</w:t>
            </w:r>
          </w:p>
        </w:tc>
      </w:tr>
      <w:tr>
        <w:tc>
          <w:tcPr>
            <w:tcW w:w="698" w:type="dxa"/>
          </w:tcPr>
          <w:p>
            <w:pPr>
              <w:pStyle w:val="Compact"/>
              <w:spacing w:after="40"/>
              <w:jc w:val="left"/>
            </w:pPr>
            <w:r>
              <w:rPr>
                <w:sz w:val="18"/>
              </w:rPr>
              <w:t xml:space="preserve">R57</w:t>
            </w:r>
          </w:p>
        </w:tc>
        <w:tc>
          <w:tcPr>
            <w:tcW w:w="1283" w:type="dxa"/>
          </w:tcPr>
          <w:p>
            <w:pPr>
              <w:pStyle w:val="Compact"/>
              <w:spacing w:after="40"/>
              <w:jc w:val="left"/>
            </w:pPr>
            <w:r>
              <w:rPr>
                <w:sz w:val="18"/>
              </w:rPr>
              <w:t xml:space="preserve">Complaint rate</w:t>
            </w:r>
          </w:p>
        </w:tc>
        <w:tc>
          <w:tcPr>
            <w:tcW w:w="2964" w:type="dxa"/>
          </w:tcPr>
          <w:p>
            <w:pPr>
              <w:pStyle w:val="Compact"/>
              <w:spacing w:after="40"/>
              <w:jc w:val="left"/>
            </w:pPr>
            <w:r>
              <w:rPr>
                <w:sz w:val="18"/>
              </w:rPr>
              <w:t xml:space="preserve">Complaints per 10,000 accounts; % resolved within TAT</w:t>
            </w:r>
          </w:p>
        </w:tc>
        <w:tc>
          <w:tcPr>
            <w:tcW w:w="712" w:type="dxa"/>
          </w:tcPr>
          <w:p>
            <w:pPr>
              <w:pStyle w:val="Compact"/>
              <w:spacing w:after="40"/>
              <w:jc w:val="left"/>
            </w:pPr>
            <w:r>
              <w:rPr>
                <w:sz w:val="18"/>
              </w:rPr>
              <w:t xml:space="preserve">OPS</w:t>
            </w:r>
          </w:p>
        </w:tc>
        <w:tc>
          <w:tcPr>
            <w:tcW w:w="1993" w:type="dxa"/>
          </w:tcPr>
          <w:p>
            <w:pPr>
              <w:pStyle w:val="Compact"/>
              <w:spacing w:after="40"/>
              <w:jc w:val="left"/>
            </w:pPr>
            <w:r>
              <w:rPr>
                <w:sz w:val="18"/>
              </w:rPr>
              <w:t xml:space="preserve">Board</w:t>
            </w:r>
          </w:p>
        </w:tc>
        <w:tc>
          <w:tcPr>
            <w:tcW w:w="769" w:type="dxa"/>
          </w:tcPr>
          <w:p>
            <w:pPr>
              <w:pStyle w:val="Compact"/>
              <w:spacing w:after="40"/>
              <w:jc w:val="left"/>
            </w:pPr>
            <w:r>
              <w:rPr>
                <w:sz w:val="18"/>
              </w:rPr>
              <w:t xml:space="preserve">M</w:t>
            </w:r>
          </w:p>
        </w:tc>
        <w:tc>
          <w:tcPr>
            <w:tcW w:w="1219" w:type="dxa"/>
          </w:tcPr>
          <w:p>
            <w:pPr>
              <w:pStyle w:val="Compact"/>
              <w:spacing w:after="40"/>
              <w:jc w:val="left"/>
            </w:pPr>
            <w:r>
              <w:rPr>
                <w:sz w:val="18"/>
              </w:rPr>
              <w:t xml:space="preserve">RBC [VERIFY: para]</w:t>
            </w:r>
          </w:p>
        </w:tc>
      </w:tr>
    </w:tbl>
    <w:p>
      <w:pPr>
        <w:numPr>
          <w:ilvl w:val="0"/>
          <w:numId w:val="1418"/>
        </w:numPr>
        <w:pStyle w:val="Compact"/>
      </w:pPr>
      <w:r>
        <w:rPr>
          <w:bCs/>
          <w:b/>
        </w:rPr>
        <w:t xml:space="preserve">Co-operative society indicators</w:t>
      </w:r>
      <w:r>
        <w:t xml:space="preserve"> </w:t>
      </w:r>
      <w:r>
        <w:t xml:space="preserve">(management, not legal limits): own funds ÷ total assets, reserve-fund compliance, overdue-to-demand, NPA % per state audit norms [VERIFY], liquidity ratio per by-laws.</w:t>
      </w:r>
    </w:p>
    <w:p>
      <w:pPr>
        <w:numPr>
          <w:ilvl w:val="0"/>
          <w:numId w:val="1418"/>
        </w:numPr>
        <w:pStyle w:val="Compact"/>
      </w:pPr>
      <w:r>
        <w:rPr>
          <w:bCs/>
          <w:b/>
        </w:rPr>
        <w:t xml:space="preserve">Tenant metrics.</w:t>
      </w:r>
      <w:r>
        <w:t xml:space="preserve"> </w:t>
      </w:r>
      <w:r>
        <w:t xml:space="preserve">Tenants may add metrics; they enter at</w:t>
      </w:r>
      <w:r>
        <w:t xml:space="preserve"> </w:t>
      </w:r>
      <w:r>
        <w:rPr>
          <w:rStyle w:val="VerbatimChar"/>
        </w:rPr>
        <w:t xml:space="preserve">DRAFT</w:t>
      </w:r>
      <w:r>
        <w:t xml:space="preserve"> </w:t>
      </w:r>
      <w:r>
        <w:t xml:space="preserve">and need validation by the data steward and approval by the owner role before they can be certified.</w:t>
      </w:r>
    </w:p>
    <w:bookmarkEnd w:id="445"/>
    <w:bookmarkStart w:id="446" w:name="settings-and-options-12"/>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37"/>
        <w:gridCol w:w="2835"/>
        <w:gridCol w:w="1254"/>
        <w:gridCol w:w="2812"/>
      </w:tblGrid>
      <w:tr>
        <w:trPr>
          <w:tblHeader w:val="true"/>
          <w:tblHeader w:val="true"/>
        </w:trPr>
        <w:tc>
          <w:tcPr>
            <w:tcW w:w="2737" w:type="dxa"/>
            <w:shd w:val="clear" w:color="auto" w:fill="1F3A5F"/>
          </w:tcPr>
          <w:p>
            <w:pPr>
              <w:pStyle w:val="Compact"/>
              <w:spacing w:after="40"/>
              <w:jc w:val="left"/>
            </w:pPr>
            <w:r>
              <w:rPr>
                <w:b/>
                <w:color w:val="FFFFFF"/>
                <w:sz w:val="18"/>
              </w:rPr>
              <w:t xml:space="preserve">Setting</w:t>
            </w:r>
          </w:p>
        </w:tc>
        <w:tc>
          <w:tcPr>
            <w:tcW w:w="2835" w:type="dxa"/>
            <w:shd w:val="clear" w:color="auto" w:fill="1F3A5F"/>
          </w:tcPr>
          <w:p>
            <w:pPr>
              <w:pStyle w:val="Compact"/>
              <w:spacing w:after="40"/>
              <w:jc w:val="left"/>
            </w:pPr>
            <w:r>
              <w:rPr>
                <w:b/>
                <w:color w:val="FFFFFF"/>
                <w:sz w:val="18"/>
              </w:rPr>
              <w:t xml:space="preserve">Default</w:t>
            </w:r>
          </w:p>
        </w:tc>
        <w:tc>
          <w:tcPr>
            <w:tcW w:w="1254" w:type="dxa"/>
            <w:shd w:val="clear" w:color="auto" w:fill="1F3A5F"/>
          </w:tcPr>
          <w:p>
            <w:pPr>
              <w:pStyle w:val="Compact"/>
              <w:spacing w:after="40"/>
              <w:jc w:val="left"/>
            </w:pPr>
            <w:r>
              <w:rPr>
                <w:b/>
                <w:color w:val="FFFFFF"/>
                <w:sz w:val="18"/>
              </w:rPr>
              <w:t xml:space="preserve">Level</w:t>
            </w:r>
          </w:p>
        </w:tc>
        <w:tc>
          <w:tcPr>
            <w:tcW w:w="2812" w:type="dxa"/>
            <w:shd w:val="clear" w:color="auto" w:fill="1F3A5F"/>
          </w:tcPr>
          <w:p>
            <w:pPr>
              <w:pStyle w:val="Compact"/>
              <w:spacing w:after="40"/>
              <w:jc w:val="left"/>
            </w:pPr>
            <w:r>
              <w:rPr>
                <w:b/>
                <w:color w:val="FFFFFF"/>
                <w:sz w:val="18"/>
              </w:rPr>
              <w:t xml:space="preserve">Floor or choice</w:t>
            </w:r>
          </w:p>
        </w:tc>
      </w:tr>
      <w:tr>
        <w:tc>
          <w:tcPr>
            <w:tcW w:w="2737" w:type="dxa"/>
          </w:tcPr>
          <w:p>
            <w:pPr>
              <w:pStyle w:val="Compact"/>
              <w:spacing w:after="40"/>
              <w:jc w:val="left"/>
            </w:pPr>
            <w:r>
              <w:rPr>
                <w:sz w:val="18"/>
              </w:rPr>
              <w:t xml:space="preserve">Regulatory formulas and thresholds (typed</w:t>
            </w:r>
            <w:r>
              <w:rPr>
                <w:sz w:val="18"/>
              </w:rPr>
              <w:t xml:space="preserve"> </w:t>
            </w:r>
            <w:r>
              <w:rPr>
                <w:sz w:val="18"/>
              </w:rPr>
              <w:t xml:space="preserve">“</w:t>
            </w:r>
            <w:r>
              <w:rPr>
                <w:sz w:val="18"/>
              </w:rPr>
              <w:t xml:space="preserve">regulatory</w:t>
            </w:r>
            <w:r>
              <w:rPr>
                <w:sz w:val="18"/>
              </w:rPr>
              <w:t xml:space="preserve">”</w:t>
            </w:r>
            <w:r>
              <w:rPr>
                <w:sz w:val="18"/>
              </w:rPr>
              <w:t xml:space="preserve">)</w:t>
            </w:r>
          </w:p>
        </w:tc>
        <w:tc>
          <w:tcPr>
            <w:tcW w:w="2835" w:type="dxa"/>
          </w:tcPr>
          <w:p>
            <w:pPr>
              <w:pStyle w:val="Compact"/>
              <w:spacing w:after="40"/>
              <w:jc w:val="left"/>
            </w:pPr>
            <w:r>
              <w:rPr>
                <w:sz w:val="18"/>
              </w:rPr>
              <w:t xml:space="preserve">Rule pack</w:t>
            </w:r>
          </w:p>
        </w:tc>
        <w:tc>
          <w:tcPr>
            <w:tcW w:w="1254" w:type="dxa"/>
          </w:tcPr>
          <w:p>
            <w:pPr>
              <w:pStyle w:val="Compact"/>
              <w:spacing w:after="40"/>
              <w:jc w:val="left"/>
            </w:pPr>
            <w:r>
              <w:rPr>
                <w:sz w:val="18"/>
              </w:rPr>
              <w:t xml:space="preserve">Platform</w:t>
            </w:r>
          </w:p>
        </w:tc>
        <w:tc>
          <w:tcPr>
            <w:tcW w:w="2812" w:type="dxa"/>
          </w:tcPr>
          <w:p>
            <w:pPr>
              <w:pStyle w:val="Compact"/>
              <w:spacing w:after="40"/>
              <w:jc w:val="left"/>
            </w:pPr>
            <w:r>
              <w:rPr>
                <w:sz w:val="18"/>
              </w:rPr>
              <w:t xml:space="preserve">Floor (not editable by the tenant)</w:t>
            </w:r>
          </w:p>
        </w:tc>
      </w:tr>
      <w:tr>
        <w:tc>
          <w:tcPr>
            <w:tcW w:w="2737" w:type="dxa"/>
          </w:tcPr>
          <w:p>
            <w:pPr>
              <w:pStyle w:val="Compact"/>
              <w:spacing w:after="40"/>
              <w:jc w:val="left"/>
            </w:pPr>
            <w:r>
              <w:rPr>
                <w:sz w:val="18"/>
              </w:rPr>
              <w:t xml:space="preserve">Board and management thresholds</w:t>
            </w:r>
          </w:p>
        </w:tc>
        <w:tc>
          <w:tcPr>
            <w:tcW w:w="2835" w:type="dxa"/>
          </w:tcPr>
          <w:p>
            <w:pPr>
              <w:pStyle w:val="Compact"/>
              <w:spacing w:after="40"/>
              <w:jc w:val="left"/>
            </w:pPr>
            <w:r>
              <w:rPr>
                <w:sz w:val="18"/>
              </w:rPr>
              <w:t xml:space="preserve">Blank until set</w:t>
            </w:r>
          </w:p>
        </w:tc>
        <w:tc>
          <w:tcPr>
            <w:tcW w:w="1254" w:type="dxa"/>
          </w:tcPr>
          <w:p>
            <w:pPr>
              <w:pStyle w:val="Compact"/>
              <w:spacing w:after="40"/>
              <w:jc w:val="left"/>
            </w:pPr>
            <w:r>
              <w:rPr>
                <w:sz w:val="18"/>
              </w:rPr>
              <w:t xml:space="preserve">Tenant</w:t>
            </w:r>
          </w:p>
        </w:tc>
        <w:tc>
          <w:tcPr>
            <w:tcW w:w="2812" w:type="dxa"/>
          </w:tcPr>
          <w:p>
            <w:pPr>
              <w:pStyle w:val="Compact"/>
              <w:spacing w:after="40"/>
              <w:jc w:val="left"/>
            </w:pPr>
            <w:r>
              <w:rPr>
                <w:sz w:val="18"/>
              </w:rPr>
              <w:t xml:space="preserve">Choice; RAS levels must not be looser than regulatory ones</w:t>
            </w:r>
          </w:p>
        </w:tc>
      </w:tr>
      <w:tr>
        <w:tc>
          <w:tcPr>
            <w:tcW w:w="2737" w:type="dxa"/>
          </w:tcPr>
          <w:p>
            <w:pPr>
              <w:pStyle w:val="Compact"/>
              <w:spacing w:after="40"/>
              <w:jc w:val="left"/>
            </w:pPr>
            <w:r>
              <w:rPr>
                <w:sz w:val="18"/>
              </w:rPr>
              <w:t xml:space="preserve">“</w:t>
            </w:r>
            <w:r>
              <w:rPr>
                <w:sz w:val="18"/>
              </w:rPr>
              <w:t xml:space="preserve">Avg</w:t>
            </w:r>
            <w:r>
              <w:rPr>
                <w:sz w:val="18"/>
              </w:rPr>
              <w:t xml:space="preserve">”</w:t>
            </w:r>
            <w:r>
              <w:rPr>
                <w:sz w:val="18"/>
              </w:rPr>
              <w:t xml:space="preserve"> </w:t>
            </w:r>
            <w:r>
              <w:rPr>
                <w:sz w:val="18"/>
              </w:rPr>
              <w:t xml:space="preserve">convention</w:t>
            </w:r>
          </w:p>
        </w:tc>
        <w:tc>
          <w:tcPr>
            <w:tcW w:w="2835" w:type="dxa"/>
          </w:tcPr>
          <w:p>
            <w:pPr>
              <w:pStyle w:val="Compact"/>
              <w:spacing w:after="40"/>
              <w:jc w:val="left"/>
            </w:pPr>
            <w:r>
              <w:rPr>
                <w:sz w:val="18"/>
              </w:rPr>
              <w:t xml:space="preserve">Opening and closing average</w:t>
            </w:r>
          </w:p>
        </w:tc>
        <w:tc>
          <w:tcPr>
            <w:tcW w:w="1254" w:type="dxa"/>
          </w:tcPr>
          <w:p>
            <w:pPr>
              <w:pStyle w:val="Compact"/>
              <w:spacing w:after="40"/>
              <w:jc w:val="left"/>
            </w:pPr>
            <w:r>
              <w:rPr>
                <w:sz w:val="18"/>
              </w:rPr>
              <w:t xml:space="preserve">Metric</w:t>
            </w:r>
          </w:p>
        </w:tc>
        <w:tc>
          <w:tcPr>
            <w:tcW w:w="2812" w:type="dxa"/>
          </w:tcPr>
          <w:p>
            <w:pPr>
              <w:pStyle w:val="Compact"/>
              <w:spacing w:after="40"/>
              <w:jc w:val="left"/>
            </w:pPr>
            <w:r>
              <w:rPr>
                <w:sz w:val="18"/>
              </w:rPr>
              <w:t xml:space="preserve">Choice (daily average where configured)</w:t>
            </w:r>
          </w:p>
        </w:tc>
      </w:tr>
      <w:tr>
        <w:tc>
          <w:tcPr>
            <w:tcW w:w="2737" w:type="dxa"/>
          </w:tcPr>
          <w:p>
            <w:pPr>
              <w:pStyle w:val="Compact"/>
              <w:spacing w:after="40"/>
              <w:jc w:val="left"/>
            </w:pPr>
            <w:r>
              <w:rPr>
                <w:sz w:val="18"/>
              </w:rPr>
              <w:t xml:space="preserve">Parallel-run length on change</w:t>
            </w:r>
          </w:p>
        </w:tc>
        <w:tc>
          <w:tcPr>
            <w:tcW w:w="2835" w:type="dxa"/>
          </w:tcPr>
          <w:p>
            <w:pPr>
              <w:pStyle w:val="Compact"/>
              <w:spacing w:after="40"/>
              <w:jc w:val="left"/>
            </w:pPr>
            <w:r>
              <w:rPr>
                <w:sz w:val="18"/>
              </w:rPr>
              <w:t xml:space="preserve">One period-end</w:t>
            </w:r>
          </w:p>
        </w:tc>
        <w:tc>
          <w:tcPr>
            <w:tcW w:w="1254" w:type="dxa"/>
          </w:tcPr>
          <w:p>
            <w:pPr>
              <w:pStyle w:val="Compact"/>
              <w:spacing w:after="40"/>
              <w:jc w:val="left"/>
            </w:pPr>
            <w:r>
              <w:rPr>
                <w:sz w:val="18"/>
              </w:rPr>
              <w:t xml:space="preserve">Tenant</w:t>
            </w:r>
          </w:p>
        </w:tc>
        <w:tc>
          <w:tcPr>
            <w:tcW w:w="2812" w:type="dxa"/>
          </w:tcPr>
          <w:p>
            <w:pPr>
              <w:pStyle w:val="Compact"/>
              <w:spacing w:after="40"/>
              <w:jc w:val="left"/>
            </w:pPr>
            <w:r>
              <w:rPr>
                <w:sz w:val="18"/>
              </w:rPr>
              <w:t xml:space="preserve">Choice; at least one for regulatory metrics</w:t>
            </w:r>
          </w:p>
        </w:tc>
      </w:tr>
      <w:tr>
        <w:tc>
          <w:tcPr>
            <w:tcW w:w="2737" w:type="dxa"/>
          </w:tcPr>
          <w:p>
            <w:pPr>
              <w:pStyle w:val="Compact"/>
              <w:spacing w:after="40"/>
              <w:jc w:val="left"/>
            </w:pPr>
            <w:r>
              <w:rPr>
                <w:sz w:val="18"/>
              </w:rPr>
              <w:t xml:space="preserve">Data-quality gate severity</w:t>
            </w:r>
          </w:p>
        </w:tc>
        <w:tc>
          <w:tcPr>
            <w:tcW w:w="2835" w:type="dxa"/>
          </w:tcPr>
          <w:p>
            <w:pPr>
              <w:pStyle w:val="Compact"/>
              <w:spacing w:after="40"/>
              <w:jc w:val="left"/>
            </w:pPr>
            <w:r>
              <w:rPr>
                <w:sz w:val="18"/>
              </w:rPr>
              <w:t xml:space="preserve">Blocking for regulatory metrics; warning for market metrics</w:t>
            </w:r>
          </w:p>
        </w:tc>
        <w:tc>
          <w:tcPr>
            <w:tcW w:w="1254" w:type="dxa"/>
          </w:tcPr>
          <w:p>
            <w:pPr>
              <w:pStyle w:val="Compact"/>
              <w:spacing w:after="40"/>
              <w:jc w:val="left"/>
            </w:pPr>
            <w:r>
              <w:rPr>
                <w:sz w:val="18"/>
              </w:rPr>
              <w:t xml:space="preserve">Metric</w:t>
            </w:r>
          </w:p>
        </w:tc>
        <w:tc>
          <w:tcPr>
            <w:tcW w:w="2812" w:type="dxa"/>
          </w:tcPr>
          <w:p>
            <w:pPr>
              <w:pStyle w:val="Compact"/>
              <w:spacing w:after="40"/>
              <w:jc w:val="left"/>
            </w:pPr>
            <w:r>
              <w:rPr>
                <w:sz w:val="18"/>
              </w:rPr>
              <w:t xml:space="preserve">Floor for regulatory metrics</w:t>
            </w:r>
          </w:p>
        </w:tc>
      </w:tr>
    </w:tbl>
    <w:bookmarkEnd w:id="446"/>
    <w:bookmarkStart w:id="447" w:name="menu-and-screens-12"/>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37"/>
        <w:gridCol w:w="3662"/>
        <w:gridCol w:w="2439"/>
        <w:gridCol w:w="1900"/>
      </w:tblGrid>
      <w:tr>
        <w:trPr>
          <w:tblHeader w:val="true"/>
          <w:tblHeader w:val="true"/>
        </w:trPr>
        <w:tc>
          <w:tcPr>
            <w:tcW w:w="1637" w:type="dxa"/>
            <w:shd w:val="clear" w:color="auto" w:fill="1F3A5F"/>
          </w:tcPr>
          <w:p>
            <w:pPr>
              <w:pStyle w:val="Compact"/>
              <w:spacing w:after="40"/>
              <w:jc w:val="left"/>
            </w:pPr>
            <w:r>
              <w:rPr>
                <w:b/>
                <w:color w:val="FFFFFF"/>
                <w:sz w:val="18"/>
              </w:rPr>
              <w:t xml:space="preserve">Path (workspace J)</w:t>
            </w:r>
          </w:p>
        </w:tc>
        <w:tc>
          <w:tcPr>
            <w:tcW w:w="3662" w:type="dxa"/>
            <w:shd w:val="clear" w:color="auto" w:fill="1F3A5F"/>
          </w:tcPr>
          <w:p>
            <w:pPr>
              <w:pStyle w:val="Compact"/>
              <w:spacing w:after="40"/>
              <w:jc w:val="left"/>
            </w:pPr>
            <w:r>
              <w:rPr>
                <w:b/>
                <w:color w:val="FFFFFF"/>
                <w:sz w:val="18"/>
              </w:rPr>
              <w:t xml:space="preserve">Screens</w:t>
            </w:r>
          </w:p>
        </w:tc>
        <w:tc>
          <w:tcPr>
            <w:tcW w:w="2439" w:type="dxa"/>
            <w:shd w:val="clear" w:color="auto" w:fill="1F3A5F"/>
          </w:tcPr>
          <w:p>
            <w:pPr>
              <w:pStyle w:val="Compact"/>
              <w:spacing w:after="40"/>
              <w:jc w:val="left"/>
            </w:pPr>
            <w:r>
              <w:rPr>
                <w:b/>
                <w:color w:val="FFFFFF"/>
                <w:sz w:val="18"/>
              </w:rPr>
              <w:t xml:space="preserve">Key actions and rules</w:t>
            </w:r>
          </w:p>
        </w:tc>
        <w:tc>
          <w:tcPr>
            <w:tcW w:w="1900" w:type="dxa"/>
            <w:shd w:val="clear" w:color="auto" w:fill="1F3A5F"/>
          </w:tcPr>
          <w:p>
            <w:pPr>
              <w:pStyle w:val="Compact"/>
              <w:spacing w:after="40"/>
              <w:jc w:val="left"/>
            </w:pPr>
            <w:r>
              <w:rPr>
                <w:b/>
                <w:color w:val="FFFFFF"/>
                <w:sz w:val="18"/>
              </w:rPr>
              <w:t xml:space="preserve">Visible to</w:t>
            </w:r>
          </w:p>
        </w:tc>
      </w:tr>
      <w:tr>
        <w:tc>
          <w:tcPr>
            <w:tcW w:w="1637" w:type="dxa"/>
          </w:tcPr>
          <w:p>
            <w:pPr>
              <w:pStyle w:val="Compact"/>
              <w:spacing w:after="40"/>
              <w:jc w:val="left"/>
            </w:pPr>
            <w:r>
              <w:rPr>
                <w:rStyle w:val="VerbatimChar"/>
                <w:sz w:val="18"/>
              </w:rPr>
              <w:t xml:space="preserve">Risk › Metrics</w:t>
            </w:r>
          </w:p>
        </w:tc>
        <w:tc>
          <w:tcPr>
            <w:tcW w:w="3662" w:type="dxa"/>
          </w:tcPr>
          <w:p>
            <w:pPr>
              <w:pStyle w:val="Compact"/>
              <w:spacing w:after="40"/>
              <w:jc w:val="left"/>
            </w:pPr>
            <w:r>
              <w:rPr>
                <w:sz w:val="18"/>
              </w:rPr>
              <w:t xml:space="preserve">Library (filters: category, owner, status, regulatory or market); metric detail with formula (plain text and tree), versions, fixtures, lineage graph, consumers</w:t>
            </w:r>
          </w:p>
        </w:tc>
        <w:tc>
          <w:tcPr>
            <w:tcW w:w="2439" w:type="dxa"/>
          </w:tcPr>
          <w:p>
            <w:pPr>
              <w:pStyle w:val="Compact"/>
              <w:spacing w:after="40"/>
              <w:jc w:val="left"/>
            </w:pPr>
            <w:r>
              <w:rPr>
                <w:sz w:val="18"/>
              </w:rPr>
              <w:t xml:space="preserve">Propose change; run impact analysis; validate; approve; retire</w:t>
            </w:r>
          </w:p>
        </w:tc>
        <w:tc>
          <w:tcPr>
            <w:tcW w:w="1900" w:type="dxa"/>
          </w:tcPr>
          <w:p>
            <w:pPr>
              <w:pStyle w:val="Compact"/>
              <w:spacing w:after="40"/>
              <w:jc w:val="left"/>
            </w:pPr>
            <w:r>
              <w:rPr>
                <w:sz w:val="18"/>
              </w:rPr>
              <w:t xml:space="preserve">Data stewards, metric owners; auditors read</w:t>
            </w:r>
          </w:p>
        </w:tc>
      </w:tr>
      <w:tr>
        <w:tc>
          <w:tcPr>
            <w:tcW w:w="1637" w:type="dxa"/>
          </w:tcPr>
          <w:p>
            <w:pPr>
              <w:pStyle w:val="Compact"/>
              <w:spacing w:after="40"/>
              <w:jc w:val="left"/>
            </w:pPr>
            <w:r>
              <w:rPr>
                <w:rStyle w:val="VerbatimChar"/>
                <w:sz w:val="18"/>
              </w:rPr>
              <w:t xml:space="preserve">Risk › Metrics › Change requests</w:t>
            </w:r>
          </w:p>
        </w:tc>
        <w:tc>
          <w:tcPr>
            <w:tcW w:w="3662" w:type="dxa"/>
          </w:tcPr>
          <w:p>
            <w:pPr>
              <w:pStyle w:val="Compact"/>
              <w:spacing w:after="40"/>
              <w:jc w:val="left"/>
            </w:pPr>
            <w:r>
              <w:rPr>
                <w:sz w:val="18"/>
              </w:rPr>
              <w:t xml:space="preserve">Queue with impact summary and parallel-run comparison</w:t>
            </w:r>
          </w:p>
        </w:tc>
        <w:tc>
          <w:tcPr>
            <w:tcW w:w="2439" w:type="dxa"/>
          </w:tcPr>
          <w:p>
            <w:pPr>
              <w:pStyle w:val="Compact"/>
              <w:spacing w:after="40"/>
              <w:jc w:val="left"/>
            </w:pPr>
            <w:r>
              <w:rPr>
                <w:sz w:val="18"/>
              </w:rPr>
              <w:t xml:space="preserve">Approve, reject, schedule effective date</w:t>
            </w:r>
          </w:p>
        </w:tc>
        <w:tc>
          <w:tcPr>
            <w:tcW w:w="1900" w:type="dxa"/>
          </w:tcPr>
          <w:p>
            <w:pPr>
              <w:pStyle w:val="Compact"/>
              <w:spacing w:after="40"/>
              <w:jc w:val="left"/>
            </w:pPr>
            <w:r>
              <w:rPr>
                <w:sz w:val="18"/>
              </w:rPr>
              <w:t xml:space="preserve">Owner roles, CRO, CFO, CCO</w:t>
            </w:r>
          </w:p>
        </w:tc>
      </w:tr>
      <w:tr>
        <w:tc>
          <w:tcPr>
            <w:tcW w:w="1637" w:type="dxa"/>
          </w:tcPr>
          <w:p>
            <w:pPr>
              <w:pStyle w:val="Compact"/>
              <w:spacing w:after="40"/>
              <w:jc w:val="left"/>
            </w:pPr>
            <w:r>
              <w:rPr>
                <w:rStyle w:val="VerbatimChar"/>
                <w:sz w:val="18"/>
              </w:rPr>
              <w:t xml:space="preserve">Risk › Metrics › Quality</w:t>
            </w:r>
          </w:p>
        </w:tc>
        <w:tc>
          <w:tcPr>
            <w:tcW w:w="3662" w:type="dxa"/>
          </w:tcPr>
          <w:p>
            <w:pPr>
              <w:pStyle w:val="Compact"/>
              <w:spacing w:after="40"/>
              <w:jc w:val="left"/>
            </w:pPr>
            <w:r>
              <w:rPr>
                <w:sz w:val="18"/>
              </w:rPr>
              <w:t xml:space="preserve">Completeness and data-quality results per run</w:t>
            </w:r>
          </w:p>
        </w:tc>
        <w:tc>
          <w:tcPr>
            <w:tcW w:w="2439" w:type="dxa"/>
          </w:tcPr>
          <w:p>
            <w:pPr>
              <w:pStyle w:val="Compact"/>
              <w:spacing w:after="40"/>
              <w:jc w:val="left"/>
            </w:pPr>
            <w:r>
              <w:rPr>
                <w:sz w:val="18"/>
              </w:rPr>
              <w:t xml:space="preserve">Re-run after a fix; waive a warning with reason (never a blocking rule)</w:t>
            </w:r>
          </w:p>
        </w:tc>
        <w:tc>
          <w:tcPr>
            <w:tcW w:w="1900" w:type="dxa"/>
          </w:tcPr>
          <w:p>
            <w:pPr>
              <w:pStyle w:val="Compact"/>
              <w:spacing w:after="40"/>
              <w:jc w:val="left"/>
            </w:pPr>
            <w:r>
              <w:rPr>
                <w:sz w:val="18"/>
              </w:rPr>
              <w:t xml:space="preserve">Data stewards</w:t>
            </w:r>
          </w:p>
        </w:tc>
      </w:tr>
    </w:tbl>
    <w:bookmarkEnd w:id="447"/>
    <w:bookmarkStart w:id="448" w:name="acceptance-tests-31"/>
    <w:p>
      <w:pPr>
        <w:pStyle w:val="Heading3"/>
      </w:pPr>
      <w:r>
        <w:t xml:space="preserve">Acceptance tests</w:t>
      </w:r>
    </w:p>
    <w:p>
      <w:pPr>
        <w:numPr>
          <w:ilvl w:val="0"/>
          <w:numId w:val="1419"/>
        </w:numPr>
        <w:pStyle w:val="Compact"/>
      </w:pPr>
      <w:r>
        <w:t xml:space="preserve">Changing the R22 formula creates version 2; certified month-end values remain under version 1; a restatement series under version 2 is shown separately.</w:t>
      </w:r>
    </w:p>
    <w:p>
      <w:pPr>
        <w:numPr>
          <w:ilvl w:val="0"/>
          <w:numId w:val="1419"/>
        </w:numPr>
        <w:pStyle w:val="Compact"/>
      </w:pPr>
      <w:r>
        <w:t xml:space="preserve">A metric with an unresolved applicability rule shows</w:t>
      </w:r>
      <w:r>
        <w:t xml:space="preserve"> </w:t>
      </w:r>
      <w:r>
        <w:t xml:space="preserve">“</w:t>
      </w:r>
      <w:r>
        <w:t xml:space="preserve">not applicable</w:t>
      </w:r>
      <w:r>
        <w:t xml:space="preserve">”</w:t>
      </w:r>
      <w:r>
        <w:t xml:space="preserve"> </w:t>
      </w:r>
      <w:r>
        <w:t xml:space="preserve">or</w:t>
      </w:r>
      <w:r>
        <w:t xml:space="preserve"> </w:t>
      </w:r>
      <w:r>
        <w:t xml:space="preserve">“</w:t>
      </w:r>
      <w:r>
        <w:t xml:space="preserve">indicative</w:t>
      </w:r>
      <w:r>
        <w:t xml:space="preserve">”</w:t>
      </w:r>
      <w:r>
        <w:t xml:space="preserve">, never</w:t>
      </w:r>
      <w:r>
        <w:t xml:space="preserve"> </w:t>
      </w:r>
      <w:r>
        <w:t xml:space="preserve">“</w:t>
      </w:r>
      <w:r>
        <w:t xml:space="preserve">compliant</w:t>
      </w:r>
      <w:r>
        <w:t xml:space="preserve">”</w:t>
      </w:r>
      <w:r>
        <w:t xml:space="preserve">.</w:t>
      </w:r>
    </w:p>
    <w:p>
      <w:pPr>
        <w:numPr>
          <w:ilvl w:val="0"/>
          <w:numId w:val="1419"/>
        </w:numPr>
        <w:pStyle w:val="Compact"/>
      </w:pPr>
      <w:r>
        <w:t xml:space="preserve">Golden fixtures for R1, R8, R10, R15, R26, R47 and R52 reproduce hand-computed values on the seeded data set; R52 for a gold-primary NBFC uses its 12% Tier 1 minimum.</w:t>
      </w:r>
    </w:p>
    <w:p>
      <w:pPr>
        <w:numPr>
          <w:ilvl w:val="0"/>
          <w:numId w:val="1419"/>
        </w:numPr>
        <w:pStyle w:val="Compact"/>
      </w:pPr>
      <w:r>
        <w:t xml:space="preserve">A change request for R15 lists every dependent tile, KRI, RAS metric, return cell and frozen pack; it cannot be approved by the requester or before the parallel run completes; an attempt to edit a regulatory threshold is rejected.</w:t>
      </w:r>
    </w:p>
    <w:p>
      <w:pPr>
        <w:numPr>
          <w:ilvl w:val="0"/>
          <w:numId w:val="1419"/>
        </w:numPr>
        <w:pStyle w:val="Compact"/>
      </w:pPr>
      <w:r>
        <w:t xml:space="preserve">Lineage for R15 at a month-end resolves to the classification history and provision journals for every NPA account.</w:t>
      </w:r>
    </w:p>
    <w:p>
      <w:r>
        <w:pict>
          <v:rect style="width:0;height:1.5pt" o:hralign="center" o:hrstd="t" o:hr="t"/>
        </w:pict>
      </w:r>
    </w:p>
    <w:bookmarkEnd w:id="448"/>
    <w:bookmarkEnd w:id="449"/>
    <w:bookmarkStart w:id="458" w:name="Xc22c7e91bf04b9f5cf41f1e43f379ca752cc783"/>
    <w:p>
      <w:pPr>
        <w:pStyle w:val="Heading2"/>
      </w:pPr>
      <w:r>
        <w:t xml:space="preserve">RK7. ICAAP, stress testing and PCA monitoring</w:t>
      </w:r>
    </w:p>
    <w:bookmarkStart w:id="450" w:name="rk7.1-icaap-scope"/>
    <w:p>
      <w:pPr>
        <w:pStyle w:val="Heading3"/>
      </w:pPr>
      <w:r>
        <w:t xml:space="preserve">RK7.1 ICAAP scope</w:t>
      </w:r>
    </w:p>
    <w:p>
      <w:pPr>
        <w:numPr>
          <w:ilvl w:val="0"/>
          <w:numId w:val="1420"/>
        </w:numPr>
        <w:pStyle w:val="Compact"/>
      </w:pPr>
      <w:r>
        <w:t xml:space="preserve">Mandatory as a Board-approved, proportionate internal assessment for</w:t>
      </w:r>
      <w:r>
        <w:t xml:space="preserve"> </w:t>
      </w:r>
      <w:r>
        <w:rPr>
          <w:bCs/>
          <w:b/>
        </w:rPr>
        <w:t xml:space="preserve">NBFCs in ML and above, including HFCs, MGCs, CICs and SPDs</w:t>
      </w:r>
      <w:r>
        <w:t xml:space="preserve"> </w:t>
      </w:r>
      <w:r>
        <w:t xml:space="preserve">(CAP Ch V heading; CAP 3(2)–(5)</w:t>
      </w:r>
      <w:r>
        <w:t xml:space="preserve"> </w:t>
      </w:r>
      <w:r>
        <w:t xml:space="preserve">“</w:t>
      </w:r>
      <w:r>
        <w:t xml:space="preserve">as per layer-wise applicability</w:t>
      </w:r>
      <w:r>
        <w:t xml:space="preserve">”</w:t>
      </w:r>
      <w:r>
        <w:t xml:space="preserve">),</w:t>
      </w:r>
      <w:r>
        <w:t xml:space="preserve"> </w:t>
      </w:r>
      <w:r>
        <w:t xml:space="preserve">“</w:t>
      </w:r>
      <w:r>
        <w:t xml:space="preserve">on similar lines as ICAAP prescribed for commercial banks under Pillar 2</w:t>
      </w:r>
      <w:r>
        <w:t xml:space="preserve">”</w:t>
      </w:r>
      <w:r>
        <w:t xml:space="preserve"> </w:t>
      </w:r>
      <w:r>
        <w:t xml:space="preserve">covering credit, market, operational and residual risks; Pillar 2 capital is not insisted upon (CAP 3, 54). RBI prescribes no NBFC template, frequency or submission; an</w:t>
      </w:r>
      <w:r>
        <w:t xml:space="preserve"> </w:t>
      </w:r>
      <w:r>
        <w:rPr>
          <w:bCs/>
          <w:b/>
        </w:rPr>
        <w:t xml:space="preserve">annual</w:t>
      </w:r>
      <w:r>
        <w:t xml:space="preserve"> </w:t>
      </w:r>
      <w:r>
        <w:t xml:space="preserve">Board-approved cycle is the default [REC]. Banks run ICAAP under Pillar 2 per bank directions.</w:t>
      </w:r>
    </w:p>
    <w:bookmarkEnd w:id="450"/>
    <w:bookmarkStart w:id="451" w:name="X0ee5ddd7e9962ba02b27a36768db7d8e2a975b8"/>
    <w:p>
      <w:pPr>
        <w:pStyle w:val="Heading3"/>
      </w:pPr>
      <w:r>
        <w:t xml:space="preserve">RK7.2 ICAAP document structure (nine parts) [REC]</w:t>
      </w:r>
    </w:p>
    <w:p>
      <w:pPr>
        <w:numPr>
          <w:ilvl w:val="0"/>
          <w:numId w:val="1421"/>
        </w:numPr>
        <w:pStyle w:val="Compact"/>
      </w:pPr>
      <w:r>
        <w:rPr>
          <w:bCs/>
          <w:b/>
        </w:rPr>
        <w:t xml:space="preserve">Executive summary and Board attestation.</w:t>
      </w:r>
    </w:p>
    <w:p>
      <w:pPr>
        <w:numPr>
          <w:ilvl w:val="0"/>
          <w:numId w:val="1421"/>
        </w:numPr>
        <w:pStyle w:val="Compact"/>
      </w:pPr>
      <w:r>
        <w:rPr>
          <w:bCs/>
          <w:b/>
        </w:rPr>
        <w:t xml:space="preserve">Business model and 3-year plan</w:t>
      </w:r>
      <w:r>
        <w:t xml:space="preserve"> </w:t>
      </w:r>
      <w:r>
        <w:t xml:space="preserve">(from the budget module and funding plan).</w:t>
      </w:r>
    </w:p>
    <w:p>
      <w:pPr>
        <w:numPr>
          <w:ilvl w:val="0"/>
          <w:numId w:val="1421"/>
        </w:numPr>
        <w:pStyle w:val="Compact"/>
      </w:pPr>
      <w:r>
        <w:rPr>
          <w:bCs/>
          <w:b/>
        </w:rPr>
        <w:t xml:space="preserve">Governance:</w:t>
      </w:r>
      <w:r>
        <w:t xml:space="preserve"> </w:t>
      </w:r>
      <w:r>
        <w:t xml:space="preserve">RMC, CRO, three lines, RAS and limits (RK1).</w:t>
      </w:r>
    </w:p>
    <w:p>
      <w:pPr>
        <w:numPr>
          <w:ilvl w:val="0"/>
          <w:numId w:val="1421"/>
        </w:numPr>
        <w:pStyle w:val="Compact"/>
      </w:pPr>
      <w:r>
        <w:rPr>
          <w:bCs/>
          <w:b/>
        </w:rPr>
        <w:t xml:space="preserve">Material-risk inventory</w:t>
      </w:r>
      <w:r>
        <w:t xml:space="preserve"> </w:t>
      </w:r>
      <w:r>
        <w:t xml:space="preserve">with materiality scoring: credit and residual; concentration; market (including investment MTM); IRRBB (TGA and DGA); liquidity and funding; operational (fraud, conduct, legal, model); cyber, IT and outsourcing (LSP, co-lending); strategic and business; reputational and compliance; securitisation and DLG; group contagion; climate (internal choice; CLM covers green deposits only).</w:t>
      </w:r>
    </w:p>
    <w:p>
      <w:pPr>
        <w:numPr>
          <w:ilvl w:val="0"/>
          <w:numId w:val="1421"/>
        </w:numPr>
        <w:pStyle w:val="Compact"/>
      </w:pPr>
      <w:r>
        <w:rPr>
          <w:bCs/>
          <w:b/>
        </w:rPr>
        <w:t xml:space="preserve">Capital per risk:</w:t>
      </w:r>
      <w:r>
        <w:t xml:space="preserve"> </w:t>
      </w:r>
      <w:r>
        <w:t xml:space="preserve">credit = Pillar 1 RWA plus a concentration add-on (HHI-based granularity adjustment); operational = internal proxy (15% of 3-year average positive gross income, or 12% of a Business Indicator analogue), labelled</w:t>
      </w:r>
      <w:r>
        <w:t xml:space="preserve"> </w:t>
      </w:r>
      <w:r>
        <w:t xml:space="preserve">“</w:t>
      </w:r>
      <w:r>
        <w:t xml:space="preserve">ICAAP internal</w:t>
      </w:r>
      <w:r>
        <w:t xml:space="preserve">”</w:t>
      </w:r>
      <w:r>
        <w:t xml:space="preserve">; IRRBB = ΔEVE at ±200 bps; liquidity = buffer, not capital; strategic and reputational = scenario-based.</w:t>
      </w:r>
    </w:p>
    <w:p>
      <w:pPr>
        <w:numPr>
          <w:ilvl w:val="0"/>
          <w:numId w:val="1421"/>
        </w:numPr>
        <w:pStyle w:val="Compact"/>
      </w:pPr>
      <w:r>
        <w:rPr>
          <w:bCs/>
          <w:b/>
        </w:rPr>
        <w:t xml:space="preserve">Stress testing:</w:t>
      </w:r>
      <w:r>
        <w:t xml:space="preserve"> </w:t>
      </w:r>
      <w:r>
        <w:t xml:space="preserve">sensitivity, macro scenarios and liquidity stress, plus reverse stress (RK7.4).</w:t>
      </w:r>
    </w:p>
    <w:p>
      <w:pPr>
        <w:numPr>
          <w:ilvl w:val="0"/>
          <w:numId w:val="1421"/>
        </w:numPr>
        <w:pStyle w:val="Compact"/>
      </w:pPr>
      <w:r>
        <w:rPr>
          <w:bCs/>
          <w:b/>
        </w:rPr>
        <w:t xml:space="preserve">Capital plan:</w:t>
      </w:r>
      <w:r>
        <w:t xml:space="preserve"> </w:t>
      </w:r>
      <w:r>
        <w:t xml:space="preserve">projected ratios per scenario; management actions (raise capital, slow growth, sell down or securitise, cut dividends); internal capital target = regulatory minimum + stress-derived buffer.</w:t>
      </w:r>
    </w:p>
    <w:p>
      <w:pPr>
        <w:numPr>
          <w:ilvl w:val="0"/>
          <w:numId w:val="1421"/>
        </w:numPr>
        <w:pStyle w:val="Compact"/>
      </w:pPr>
      <w:r>
        <w:rPr>
          <w:bCs/>
          <w:b/>
        </w:rPr>
        <w:t xml:space="preserve">Validation, internal-audit review and use test</w:t>
      </w:r>
      <w:r>
        <w:t xml:space="preserve"> </w:t>
      </w:r>
      <w:r>
        <w:t xml:space="preserve">(limits, pricing, compensation alignment — GOV 31(2)).</w:t>
      </w:r>
    </w:p>
    <w:p>
      <w:pPr>
        <w:numPr>
          <w:ilvl w:val="0"/>
          <w:numId w:val="1421"/>
        </w:numPr>
        <w:pStyle w:val="Compact"/>
      </w:pPr>
      <w:r>
        <w:rPr>
          <w:bCs/>
          <w:b/>
        </w:rPr>
        <w:t xml:space="preserve">Appendices:</w:t>
      </w:r>
      <w:r>
        <w:t xml:space="preserve"> </w:t>
      </w:r>
      <w:r>
        <w:t xml:space="preserve">data lineage, model inventory (M12), assumptions register.</w:t>
      </w:r>
    </w:p>
    <w:bookmarkEnd w:id="451"/>
    <w:bookmarkStart w:id="452" w:name="rk7.3-icaap-workflow"/>
    <w:p>
      <w:pPr>
        <w:pStyle w:val="Heading3"/>
      </w:pPr>
      <w:r>
        <w:t xml:space="preserve">RK7.3 ICAAP workflow</w:t>
      </w:r>
    </w:p>
    <w:p>
      <w:pPr>
        <w:numPr>
          <w:ilvl w:val="0"/>
          <w:numId w:val="1422"/>
        </w:numPr>
        <w:pStyle w:val="Compact"/>
      </w:pPr>
      <w:r>
        <w:rPr>
          <w:bCs/>
          <w:b/>
        </w:rPr>
        <w:t xml:space="preserve">States.</w:t>
      </w:r>
      <w:r>
        <w:t xml:space="preserve"> </w:t>
      </w:r>
      <w:r>
        <w:rPr>
          <w:rStyle w:val="VerbatimChar"/>
        </w:rPr>
        <w:t xml:space="preserve">DRAFT → DATA_FROZEN (as-of date, snapshot hash) → ASSESSED → STRESS_RUN → CRO_REVIEW → RMC_RECOMMENDED → BOARD_APPROVED → SHARED_WITH_SUPERVISOR (on request, through AU7) → ARCHIVED</w:t>
      </w:r>
      <w:r>
        <w:t xml:space="preserve">.</w:t>
      </w:r>
    </w:p>
    <w:p>
      <w:pPr>
        <w:numPr>
          <w:ilvl w:val="0"/>
          <w:numId w:val="1422"/>
        </w:numPr>
        <w:pStyle w:val="Compact"/>
      </w:pPr>
      <w:r>
        <w:rPr>
          <w:bCs/>
          <w:b/>
        </w:rPr>
        <w:t xml:space="preserve">Return paths.</w:t>
      </w:r>
      <w:r>
        <w:t xml:space="preserve"> </w:t>
      </w:r>
      <w:r>
        <w:t xml:space="preserve">CRO, RMC or Board can return the cycle to</w:t>
      </w:r>
      <w:r>
        <w:t xml:space="preserve"> </w:t>
      </w:r>
      <w:r>
        <w:rPr>
          <w:rStyle w:val="VerbatimChar"/>
        </w:rPr>
        <w:t xml:space="preserve">ASSESSED</w:t>
      </w:r>
      <w:r>
        <w:t xml:space="preserve"> </w:t>
      </w:r>
      <w:r>
        <w:t xml:space="preserve">(or</w:t>
      </w:r>
      <w:r>
        <w:t xml:space="preserve"> </w:t>
      </w:r>
      <w:r>
        <w:rPr>
          <w:rStyle w:val="VerbatimChar"/>
        </w:rPr>
        <w:t xml:space="preserve">STRESS_RUN</w:t>
      </w:r>
      <w:r>
        <w:t xml:space="preserve">) with comments; a return after</w:t>
      </w:r>
      <w:r>
        <w:t xml:space="preserve"> </w:t>
      </w:r>
      <w:r>
        <w:rPr>
          <w:rStyle w:val="VerbatimChar"/>
        </w:rPr>
        <w:t xml:space="preserve">DATA_FROZEN</w:t>
      </w:r>
      <w:r>
        <w:t xml:space="preserve"> </w:t>
      </w:r>
      <w:r>
        <w:t xml:space="preserve">keeps the snapshot unless the CRO approves a re-freeze (new hash, reason recorded). Each state has an owner (risk function to</w:t>
      </w:r>
      <w:r>
        <w:t xml:space="preserve"> </w:t>
      </w:r>
      <w:r>
        <w:rPr>
          <w:rStyle w:val="VerbatimChar"/>
        </w:rPr>
        <w:t xml:space="preserve">STRESS_RUN</w:t>
      </w:r>
      <w:r>
        <w:t xml:space="preserve">, CRO, RMC chair, CS for Board approval) and a due date derived from the Board meeting calendar (Part 7F GV2).</w:t>
      </w:r>
    </w:p>
    <w:p>
      <w:pPr>
        <w:numPr>
          <w:ilvl w:val="0"/>
          <w:numId w:val="1422"/>
        </w:numPr>
        <w:pStyle w:val="Compact"/>
      </w:pPr>
      <w:r>
        <w:rPr>
          <w:bCs/>
          <w:b/>
        </w:rPr>
        <w:t xml:space="preserve">Off-cycle triggers.</w:t>
      </w:r>
      <w:r>
        <w:t xml:space="preserve"> </w:t>
      </w:r>
      <w:r>
        <w:t xml:space="preserve">Capital headroom below the Board buffer; a new business line; M&amp;A; an ML→UL move; PCA RT1 projection; material change in RAS.</w:t>
      </w:r>
    </w:p>
    <w:p>
      <w:pPr>
        <w:numPr>
          <w:ilvl w:val="0"/>
          <w:numId w:val="1422"/>
        </w:numPr>
        <w:pStyle w:val="Compact"/>
      </w:pPr>
      <w:r>
        <w:rPr>
          <w:bCs/>
          <w:b/>
        </w:rPr>
        <w:t xml:space="preserve">Data.</w:t>
      </w:r>
      <w:r>
        <w:t xml:space="preserve"> </w:t>
      </w:r>
      <w:r>
        <w:t xml:space="preserve">Loan-level exposure, risk, collateral and group attributes, bucketed and repricing cash flows, funding by counterparty, loss events, 3 years of income and vintage curves — all from the frozen snapshot.</w:t>
      </w:r>
    </w:p>
    <w:p>
      <w:pPr>
        <w:numPr>
          <w:ilvl w:val="0"/>
          <w:numId w:val="1422"/>
        </w:numPr>
        <w:pStyle w:val="Compact"/>
      </w:pPr>
      <w:r>
        <w:rPr>
          <w:bCs/>
          <w:b/>
        </w:rPr>
        <w:t xml:space="preserve">Document generation.</w:t>
      </w:r>
      <w:r>
        <w:t xml:space="preserve"> </w:t>
      </w:r>
      <w:r>
        <w:t xml:space="preserve">Each section is a template with live tables bound to the frozen snapshot and narrative fields for the risk function; DOCX and PDF/A outputs (Part 7J); Board approval captured with minute reference;</w:t>
      </w:r>
      <w:r>
        <w:t xml:space="preserve"> </w:t>
      </w:r>
      <w:r>
        <w:rPr>
          <w:rStyle w:val="VerbatimChar"/>
        </w:rPr>
        <w:t xml:space="preserve">EvidenceSubmitted</w:t>
      </w:r>
      <w:r>
        <w:t xml:space="preserve"> </w:t>
      </w:r>
      <w:r>
        <w:t xml:space="preserve">to LawDocsComply.</w:t>
      </w:r>
    </w:p>
    <w:bookmarkEnd w:id="452"/>
    <w:bookmarkStart w:id="453" w:name="rk7.4-stress-engine"/>
    <w:p>
      <w:pPr>
        <w:pStyle w:val="Heading3"/>
      </w:pPr>
      <w:r>
        <w:t xml:space="preserve">RK7.4 Stress engine</w:t>
      </w:r>
    </w:p>
    <w:p>
      <w:pPr>
        <w:numPr>
          <w:ilvl w:val="0"/>
          <w:numId w:val="1423"/>
        </w:numPr>
        <w:pStyle w:val="Compact"/>
      </w:pPr>
      <w:r>
        <w:rPr>
          <w:bCs/>
          <w:b/>
        </w:rPr>
        <w:t xml:space="preserve">Scenario object.</w:t>
      </w:r>
      <w:r>
        <w:t xml:space="preserve"> </w:t>
      </w:r>
      <w:r>
        <w:rPr>
          <w:rStyle w:val="VerbatimChar"/>
        </w:rPr>
        <w:t xml:space="preserve">{id, type: sensitivity | macro | liquidity | reverse, horizon, shocks: [{factor, segment, magnitude, path}], version, approval}</w:t>
      </w:r>
      <w:r>
        <w:t xml:space="preserve">.</w:t>
      </w:r>
    </w:p>
    <w:p>
      <w:pPr>
        <w:numPr>
          <w:ilvl w:val="0"/>
          <w:numId w:val="1423"/>
        </w:numPr>
        <w:pStyle w:val="Compact"/>
      </w:pPr>
      <w:r>
        <w:rPr>
          <w:bCs/>
          <w:b/>
        </w:rPr>
        <w:t xml:space="preserve">Factors.</w:t>
      </w:r>
      <w:r>
        <w:t xml:space="preserve"> </w:t>
      </w:r>
      <w:r>
        <w:t xml:space="preserve">PD and migration, GNPA, LGD, collateral indices (gold −10% / −20%; property −20% / −30%), interest rates (+100 / +200 bps), run-off of borrowings and undrawn commitments, rating downgrade, DLG-provider default, co-lender exit, top-lender loss, operational loss (ORM 42(6)).</w:t>
      </w:r>
    </w:p>
    <w:p>
      <w:pPr>
        <w:numPr>
          <w:ilvl w:val="0"/>
          <w:numId w:val="1423"/>
        </w:numPr>
        <w:pStyle w:val="Compact"/>
      </w:pPr>
      <w:r>
        <w:rPr>
          <w:bCs/>
          <w:b/>
        </w:rPr>
        <w:t xml:space="preserve">Outputs.</w:t>
      </w:r>
      <w:r>
        <w:t xml:space="preserve"> </w:t>
      </w:r>
      <w:r>
        <w:t xml:space="preserve">P&amp;L, ECL, CRAR, Tier 1, CET1, LCR, SLS and PCA proximity per period of the horizon; each run stores scenario version, snapshot hash and model versions; emits</w:t>
      </w:r>
      <w:r>
        <w:t xml:space="preserve"> </w:t>
      </w:r>
      <w:r>
        <w:rPr>
          <w:rStyle w:val="VerbatimChar"/>
        </w:rPr>
        <w:t xml:space="preserve">StressTestCompleted</w:t>
      </w:r>
      <w:r>
        <w:t xml:space="preserve"> </w:t>
      </w:r>
      <w:r>
        <w:t xml:space="preserve">on approval.</w:t>
      </w:r>
    </w:p>
    <w:p>
      <w:pPr>
        <w:numPr>
          <w:ilvl w:val="0"/>
          <w:numId w:val="1423"/>
        </w:numPr>
        <w:pStyle w:val="Compact"/>
      </w:pPr>
      <w:r>
        <w:rPr>
          <w:bCs/>
          <w:b/>
        </w:rPr>
        <w:t xml:space="preserve">Reverse stress.</w:t>
      </w:r>
      <w:r>
        <w:t xml:space="preserve"> </w:t>
      </w:r>
      <w:r>
        <w:t xml:space="preserve">Bisection on a shock multiplier until the target metric equals the threshold (CRAR at the regulatory minimum, PCA RT1, or the 30-day cumulative gap turning negative), with a narrative of the plausibility of the resulting shock.</w:t>
      </w:r>
    </w:p>
    <w:p>
      <w:pPr>
        <w:numPr>
          <w:ilvl w:val="0"/>
          <w:numId w:val="1423"/>
        </w:numPr>
        <w:pStyle w:val="Compact"/>
      </w:pPr>
      <w:r>
        <w:rPr>
          <w:bCs/>
          <w:b/>
        </w:rPr>
        <w:t xml:space="preserve">Rules.</w:t>
      </w:r>
      <w:r>
        <w:t xml:space="preserve"> </w:t>
      </w:r>
      <w:r>
        <w:t xml:space="preserve">Results must be reproducible bit-for-bit from the stored inputs; results are labelled</w:t>
      </w:r>
      <w:r>
        <w:t xml:space="preserve"> </w:t>
      </w:r>
      <w:r>
        <w:t xml:space="preserve">“</w:t>
      </w:r>
      <w:r>
        <w:t xml:space="preserve">stress outcome, not a forecast</w:t>
      </w:r>
      <w:r>
        <w:t xml:space="preserve">”</w:t>
      </w:r>
      <w:r>
        <w:t xml:space="preserve">; Board-approved scenarios cannot be edited (new version required).</w:t>
      </w:r>
    </w:p>
    <w:bookmarkEnd w:id="453"/>
    <w:bookmarkStart w:id="454" w:name="rk7.5-pca-monitoring-msd-ch-v"/>
    <w:p>
      <w:pPr>
        <w:pStyle w:val="Heading3"/>
      </w:pPr>
      <w:r>
        <w:t xml:space="preserve">RK7.5 PCA monitoring (MSD Ch V)</w:t>
      </w:r>
    </w:p>
    <w:p>
      <w:pPr>
        <w:numPr>
          <w:ilvl w:val="0"/>
          <w:numId w:val="1424"/>
        </w:numPr>
        <w:pStyle w:val="Compact"/>
      </w:pPr>
      <w:r>
        <w:rPr>
          <w:bCs/>
          <w:b/>
        </w:rPr>
        <w:t xml:space="preserve">Scope.</w:t>
      </w:r>
      <w:r>
        <w:t xml:space="preserve"> </w:t>
      </w:r>
      <w:r>
        <w:t xml:space="preserve">NBFC-D and NBFC-ND in ML, UL and TL (ICC, CIC, IDF, IFC, MFI, Factors); excludes NBFCs not accepting or not intending to accept public funds, Primary Dealers and HFCs (MSD 3).</w:t>
      </w:r>
    </w:p>
    <w:p>
      <w:pPr>
        <w:numPr>
          <w:ilvl w:val="0"/>
          <w:numId w:val="1424"/>
        </w:numPr>
        <w:pStyle w:val="Compact"/>
      </w:pPr>
      <w:r>
        <w:rPr>
          <w:bCs/>
          <w:b/>
        </w:rPr>
        <w:t xml:space="preserve">Thresholds (MSD 16–17).</w:t>
      </w:r>
      <w:r>
        <w:t xml:space="preserve"> </w:t>
      </w:r>
      <w:r>
        <w:t xml:space="preserve">Capital thresholds are defined as distances below the regulatory minimum (CRAR: up to 300 bps, 300–600 bps, more than 600 bps; Tier 1: up to 200 bps, 200–400 bps, more than 400 bps; CIC ANW/RWA: up to 600 bps, 600–1,200 bps, more than 1,200 bps); the rule pack stores the offsets and the</w:t>
      </w:r>
      <w:r>
        <w:t xml:space="preserve"> </w:t>
      </w:r>
      <w:r>
        <w:t xml:space="preserve">“</w:t>
      </w:r>
      <w:r>
        <w:t xml:space="preserve">currently</w:t>
      </w:r>
      <w:r>
        <w:t xml:space="preserve">”</w:t>
      </w:r>
      <w:r>
        <w:t xml:space="preserve"> </w:t>
      </w:r>
      <w:r>
        <w:t xml:space="preserve">values below as defaults. For an entity whose own minimum differs (for example a gold-primary NBFC with Tier 1 at 12%), the offsets apply to its minimum [interpretation; RBI may confirm].</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52"/>
        <w:gridCol w:w="2428"/>
        <w:gridCol w:w="2428"/>
        <w:gridCol w:w="2230"/>
      </w:tblGrid>
      <w:tr>
        <w:trPr>
          <w:tblHeader w:val="true"/>
          <w:tblHeader w:val="true"/>
        </w:trPr>
        <w:tc>
          <w:tcPr>
            <w:tcW w:w="2552" w:type="dxa"/>
            <w:shd w:val="clear" w:color="auto" w:fill="1F3A5F"/>
          </w:tcPr>
          <w:p>
            <w:pPr>
              <w:pStyle w:val="Compact"/>
              <w:spacing w:after="40"/>
              <w:jc w:val="left"/>
            </w:pPr>
            <w:r>
              <w:rPr>
                <w:b/>
                <w:color w:val="FFFFFF"/>
                <w:sz w:val="18"/>
              </w:rPr>
              <w:t xml:space="preserve">Indicator</w:t>
            </w:r>
          </w:p>
        </w:tc>
        <w:tc>
          <w:tcPr>
            <w:tcW w:w="2428" w:type="dxa"/>
            <w:shd w:val="clear" w:color="auto" w:fill="1F3A5F"/>
          </w:tcPr>
          <w:p>
            <w:pPr>
              <w:pStyle w:val="Compact"/>
              <w:spacing w:after="40"/>
              <w:jc w:val="left"/>
            </w:pPr>
            <w:r>
              <w:rPr>
                <w:b/>
                <w:color w:val="FFFFFF"/>
                <w:sz w:val="18"/>
              </w:rPr>
              <w:t xml:space="preserve">Risk Threshold 1</w:t>
            </w:r>
          </w:p>
        </w:tc>
        <w:tc>
          <w:tcPr>
            <w:tcW w:w="2428" w:type="dxa"/>
            <w:shd w:val="clear" w:color="auto" w:fill="1F3A5F"/>
          </w:tcPr>
          <w:p>
            <w:pPr>
              <w:pStyle w:val="Compact"/>
              <w:spacing w:after="40"/>
              <w:jc w:val="left"/>
            </w:pPr>
            <w:r>
              <w:rPr>
                <w:b/>
                <w:color w:val="FFFFFF"/>
                <w:sz w:val="18"/>
              </w:rPr>
              <w:t xml:space="preserve">Risk Threshold 2</w:t>
            </w:r>
          </w:p>
        </w:tc>
        <w:tc>
          <w:tcPr>
            <w:tcW w:w="2230" w:type="dxa"/>
            <w:shd w:val="clear" w:color="auto" w:fill="1F3A5F"/>
          </w:tcPr>
          <w:p>
            <w:pPr>
              <w:pStyle w:val="Compact"/>
              <w:spacing w:after="40"/>
              <w:jc w:val="left"/>
            </w:pPr>
            <w:r>
              <w:rPr>
                <w:b/>
                <w:color w:val="FFFFFF"/>
                <w:sz w:val="18"/>
              </w:rPr>
              <w:t xml:space="preserve">Risk Threshold 3</w:t>
            </w:r>
          </w:p>
        </w:tc>
      </w:tr>
      <w:tr>
        <w:tc>
          <w:tcPr>
            <w:tcW w:w="2552" w:type="dxa"/>
          </w:tcPr>
          <w:p>
            <w:pPr>
              <w:pStyle w:val="Compact"/>
              <w:spacing w:after="40"/>
              <w:jc w:val="left"/>
            </w:pPr>
            <w:r>
              <w:rPr>
                <w:sz w:val="18"/>
              </w:rPr>
              <w:t xml:space="preserve">CRAR</w:t>
            </w:r>
          </w:p>
        </w:tc>
        <w:tc>
          <w:tcPr>
            <w:tcW w:w="2428" w:type="dxa"/>
          </w:tcPr>
          <w:p>
            <w:pPr>
              <w:pStyle w:val="Compact"/>
              <w:spacing w:after="40"/>
              <w:jc w:val="left"/>
            </w:pPr>
            <w:r>
              <w:rPr>
                <w:sz w:val="18"/>
              </w:rPr>
              <w:t xml:space="preserve">below 15% and ≥ 12%</w:t>
            </w:r>
          </w:p>
        </w:tc>
        <w:tc>
          <w:tcPr>
            <w:tcW w:w="2428" w:type="dxa"/>
          </w:tcPr>
          <w:p>
            <w:pPr>
              <w:pStyle w:val="Compact"/>
              <w:spacing w:after="40"/>
              <w:jc w:val="left"/>
            </w:pPr>
            <w:r>
              <w:rPr>
                <w:sz w:val="18"/>
              </w:rPr>
              <w:t xml:space="preserve">below 12% and ≥ 9%</w:t>
            </w:r>
          </w:p>
        </w:tc>
        <w:tc>
          <w:tcPr>
            <w:tcW w:w="2230" w:type="dxa"/>
          </w:tcPr>
          <w:p>
            <w:pPr>
              <w:pStyle w:val="Compact"/>
              <w:spacing w:after="40"/>
              <w:jc w:val="left"/>
            </w:pPr>
            <w:r>
              <w:rPr>
                <w:sz w:val="18"/>
              </w:rPr>
              <w:t xml:space="preserve">below 9%</w:t>
            </w:r>
          </w:p>
        </w:tc>
      </w:tr>
      <w:tr>
        <w:tc>
          <w:tcPr>
            <w:tcW w:w="2552" w:type="dxa"/>
          </w:tcPr>
          <w:p>
            <w:pPr>
              <w:pStyle w:val="Compact"/>
              <w:spacing w:after="40"/>
              <w:jc w:val="left"/>
            </w:pPr>
            <w:r>
              <w:rPr>
                <w:sz w:val="18"/>
              </w:rPr>
              <w:t xml:space="preserve">Tier 1</w:t>
            </w:r>
          </w:p>
        </w:tc>
        <w:tc>
          <w:tcPr>
            <w:tcW w:w="2428" w:type="dxa"/>
          </w:tcPr>
          <w:p>
            <w:pPr>
              <w:pStyle w:val="Compact"/>
              <w:spacing w:after="40"/>
              <w:jc w:val="left"/>
            </w:pPr>
            <w:r>
              <w:rPr>
                <w:sz w:val="18"/>
              </w:rPr>
              <w:t xml:space="preserve">below 10% and ≥ 8%</w:t>
            </w:r>
          </w:p>
        </w:tc>
        <w:tc>
          <w:tcPr>
            <w:tcW w:w="2428" w:type="dxa"/>
          </w:tcPr>
          <w:p>
            <w:pPr>
              <w:pStyle w:val="Compact"/>
              <w:spacing w:after="40"/>
              <w:jc w:val="left"/>
            </w:pPr>
            <w:r>
              <w:rPr>
                <w:sz w:val="18"/>
              </w:rPr>
              <w:t xml:space="preserve">below 8% and ≥ 6%</w:t>
            </w:r>
          </w:p>
        </w:tc>
        <w:tc>
          <w:tcPr>
            <w:tcW w:w="2230" w:type="dxa"/>
          </w:tcPr>
          <w:p>
            <w:pPr>
              <w:pStyle w:val="Compact"/>
              <w:spacing w:after="40"/>
              <w:jc w:val="left"/>
            </w:pPr>
            <w:r>
              <w:rPr>
                <w:sz w:val="18"/>
              </w:rPr>
              <w:t xml:space="preserve">below 6%</w:t>
            </w:r>
          </w:p>
        </w:tc>
      </w:tr>
      <w:tr>
        <w:tc>
          <w:tcPr>
            <w:tcW w:w="2552" w:type="dxa"/>
          </w:tcPr>
          <w:p>
            <w:pPr>
              <w:pStyle w:val="Compact"/>
              <w:spacing w:after="40"/>
              <w:jc w:val="left"/>
            </w:pPr>
            <w:r>
              <w:rPr>
                <w:sz w:val="18"/>
              </w:rPr>
              <w:t xml:space="preserve">NNPA (including NPIs)</w:t>
            </w:r>
          </w:p>
        </w:tc>
        <w:tc>
          <w:tcPr>
            <w:tcW w:w="2428" w:type="dxa"/>
          </w:tcPr>
          <w:p>
            <w:pPr>
              <w:pStyle w:val="Compact"/>
              <w:spacing w:after="40"/>
              <w:jc w:val="left"/>
            </w:pPr>
            <w:r>
              <w:rPr>
                <w:sz w:val="18"/>
              </w:rPr>
              <w:t xml:space="preserve">above 6% and ≤ 9%</w:t>
            </w:r>
          </w:p>
        </w:tc>
        <w:tc>
          <w:tcPr>
            <w:tcW w:w="2428" w:type="dxa"/>
          </w:tcPr>
          <w:p>
            <w:pPr>
              <w:pStyle w:val="Compact"/>
              <w:spacing w:after="40"/>
              <w:jc w:val="left"/>
            </w:pPr>
            <w:r>
              <w:rPr>
                <w:sz w:val="18"/>
              </w:rPr>
              <w:t xml:space="preserve">above 9% and ≤ 12%</w:t>
            </w:r>
          </w:p>
        </w:tc>
        <w:tc>
          <w:tcPr>
            <w:tcW w:w="2230" w:type="dxa"/>
          </w:tcPr>
          <w:p>
            <w:pPr>
              <w:pStyle w:val="Compact"/>
              <w:spacing w:after="40"/>
              <w:jc w:val="left"/>
            </w:pPr>
            <w:r>
              <w:rPr>
                <w:sz w:val="18"/>
              </w:rPr>
              <w:t xml:space="preserve">above 12%</w:t>
            </w:r>
          </w:p>
        </w:tc>
      </w:tr>
      <w:tr>
        <w:tc>
          <w:tcPr>
            <w:tcW w:w="2552" w:type="dxa"/>
          </w:tcPr>
          <w:p>
            <w:pPr>
              <w:pStyle w:val="Compact"/>
              <w:spacing w:after="40"/>
              <w:jc w:val="left"/>
            </w:pPr>
            <w:r>
              <w:rPr>
                <w:sz w:val="18"/>
              </w:rPr>
              <w:t xml:space="preserve">CIC ANW/RWA</w:t>
            </w:r>
          </w:p>
        </w:tc>
        <w:tc>
          <w:tcPr>
            <w:tcW w:w="2428" w:type="dxa"/>
          </w:tcPr>
          <w:p>
            <w:pPr>
              <w:pStyle w:val="Compact"/>
              <w:spacing w:after="40"/>
              <w:jc w:val="left"/>
            </w:pPr>
            <w:r>
              <w:rPr>
                <w:sz w:val="18"/>
              </w:rPr>
              <w:t xml:space="preserve">below 30% and ≥ 24%</w:t>
            </w:r>
          </w:p>
        </w:tc>
        <w:tc>
          <w:tcPr>
            <w:tcW w:w="2428" w:type="dxa"/>
          </w:tcPr>
          <w:p>
            <w:pPr>
              <w:pStyle w:val="Compact"/>
              <w:spacing w:after="40"/>
              <w:jc w:val="left"/>
            </w:pPr>
            <w:r>
              <w:rPr>
                <w:sz w:val="18"/>
              </w:rPr>
              <w:t xml:space="preserve">below 24% and ≥ 18%</w:t>
            </w:r>
          </w:p>
        </w:tc>
        <w:tc>
          <w:tcPr>
            <w:tcW w:w="2230" w:type="dxa"/>
          </w:tcPr>
          <w:p>
            <w:pPr>
              <w:pStyle w:val="Compact"/>
              <w:spacing w:after="40"/>
              <w:jc w:val="left"/>
            </w:pPr>
            <w:r>
              <w:rPr>
                <w:sz w:val="18"/>
              </w:rPr>
              <w:t xml:space="preserve">below 18%</w:t>
            </w:r>
          </w:p>
        </w:tc>
      </w:tr>
      <w:tr>
        <w:tc>
          <w:tcPr>
            <w:tcW w:w="2552" w:type="dxa"/>
          </w:tcPr>
          <w:p>
            <w:pPr>
              <w:pStyle w:val="Compact"/>
              <w:spacing w:after="40"/>
              <w:jc w:val="left"/>
            </w:pPr>
            <w:r>
              <w:rPr>
                <w:sz w:val="18"/>
              </w:rPr>
              <w:t xml:space="preserve">CIC leverage</w:t>
            </w:r>
          </w:p>
        </w:tc>
        <w:tc>
          <w:tcPr>
            <w:tcW w:w="2428" w:type="dxa"/>
          </w:tcPr>
          <w:p>
            <w:pPr>
              <w:pStyle w:val="Compact"/>
              <w:spacing w:after="40"/>
              <w:jc w:val="left"/>
            </w:pPr>
            <w:r>
              <w:rPr>
                <w:sz w:val="18"/>
              </w:rPr>
              <w:t xml:space="preserve">≥ 2.5x and below 3x</w:t>
            </w:r>
          </w:p>
        </w:tc>
        <w:tc>
          <w:tcPr>
            <w:tcW w:w="2428" w:type="dxa"/>
          </w:tcPr>
          <w:p>
            <w:pPr>
              <w:pStyle w:val="Compact"/>
              <w:spacing w:after="40"/>
              <w:jc w:val="left"/>
            </w:pPr>
            <w:r>
              <w:rPr>
                <w:sz w:val="18"/>
              </w:rPr>
              <w:t xml:space="preserve">≥ 3x and below 3.5x</w:t>
            </w:r>
          </w:p>
        </w:tc>
        <w:tc>
          <w:tcPr>
            <w:tcW w:w="2230" w:type="dxa"/>
          </w:tcPr>
          <w:p>
            <w:pPr>
              <w:pStyle w:val="Compact"/>
              <w:spacing w:after="40"/>
              <w:jc w:val="left"/>
            </w:pPr>
            <w:r>
              <w:rPr>
                <w:sz w:val="18"/>
              </w:rPr>
              <w:t xml:space="preserve">≥ 3.5x</w:t>
            </w:r>
          </w:p>
        </w:tc>
      </w:tr>
    </w:tbl>
    <w:p>
      <w:pPr>
        <w:numPr>
          <w:ilvl w:val="0"/>
          <w:numId w:val="1425"/>
        </w:numPr>
        <w:pStyle w:val="Compact"/>
      </w:pPr>
      <w:r>
        <w:rPr>
          <w:bCs/>
          <w:b/>
        </w:rPr>
        <w:t xml:space="preserve">Alerts.</w:t>
      </w:r>
      <w:r>
        <w:t xml:space="preserve"> </w:t>
      </w:r>
      <w:r>
        <w:t xml:space="preserve">Proximity (R52) within 150 bps of RT1 [REC default; Appendix B] is a</w:t>
      </w:r>
      <w:r>
        <w:t xml:space="preserve"> </w:t>
      </w:r>
      <w:r>
        <w:rPr>
          <w:rStyle w:val="VerbatimChar"/>
        </w:rPr>
        <w:t xml:space="preserve">KriBreached</w:t>
      </w:r>
      <w:r>
        <w:t xml:space="preserve"> </w:t>
      </w:r>
      <w:r>
        <w:t xml:space="preserve">on the PCA-proximity KRI, not a breach; a projected year-end crossing (base plan or adverse scenario) emits</w:t>
      </w:r>
      <w:r>
        <w:t xml:space="preserve"> </w:t>
      </w:r>
      <w:r>
        <w:rPr>
          <w:rStyle w:val="VerbatimChar"/>
        </w:rPr>
        <w:t xml:space="preserve">LimitBreached</w:t>
      </w:r>
      <w:r>
        <w:t xml:space="preserve"> </w:t>
      </w:r>
      <w:r>
        <w:t xml:space="preserve">with</w:t>
      </w:r>
      <w:r>
        <w:t xml:space="preserve"> </w:t>
      </w:r>
      <w:r>
        <w:rPr>
          <w:rStyle w:val="VerbatimChar"/>
        </w:rPr>
        <w:t xml:space="preserve">limit_type = PCA_RTn</w:t>
      </w:r>
      <w:r>
        <w:t xml:space="preserve"> </w:t>
      </w:r>
      <w:r>
        <w:t xml:space="preserve">and</w:t>
      </w:r>
      <w:r>
        <w:t xml:space="preserve"> </w:t>
      </w:r>
      <w:r>
        <w:rPr>
          <w:rStyle w:val="VerbatimChar"/>
        </w:rPr>
        <w:t xml:space="preserve">projected = true</w:t>
      </w:r>
      <w:r>
        <w:t xml:space="preserve">; an actual crossing on audited annual results or any quarter emits</w:t>
      </w:r>
      <w:r>
        <w:t xml:space="preserve"> </w:t>
      </w:r>
      <w:r>
        <w:rPr>
          <w:rStyle w:val="VerbatimChar"/>
        </w:rPr>
        <w:t xml:space="preserve">LimitBreached</w:t>
      </w:r>
      <w:r>
        <w:t xml:space="preserve"> </w:t>
      </w:r>
      <w:r>
        <w:t xml:space="preserve">with</w:t>
      </w:r>
      <w:r>
        <w:t xml:space="preserve"> </w:t>
      </w:r>
      <w:r>
        <w:rPr>
          <w:rStyle w:val="VerbatimChar"/>
        </w:rPr>
        <w:t xml:space="preserve">limit_type = PCA_RTn</w:t>
      </w:r>
      <w:r>
        <w:t xml:space="preserve"> </w:t>
      </w:r>
      <w:r>
        <w:t xml:space="preserve">and notifies MD &amp; CEO, CRO, CFO, CS and the Board chair. RBI placement and restrictions stay in the internal restriction register and are not published on the feed (Integration Specification 6.22).</w:t>
      </w:r>
    </w:p>
    <w:p>
      <w:pPr>
        <w:numPr>
          <w:ilvl w:val="0"/>
          <w:numId w:val="1425"/>
        </w:numPr>
        <w:pStyle w:val="Compact"/>
      </w:pPr>
      <w:r>
        <w:rPr>
          <w:bCs/>
          <w:b/>
        </w:rPr>
        <w:t xml:space="preserve">Restrictions.</w:t>
      </w:r>
      <w:r>
        <w:t xml:space="preserve"> </w:t>
      </w:r>
      <w:r>
        <w:t xml:space="preserve">On RBI placement (recorded by the CS with the RBI letter, threshold and effective date),</w:t>
      </w:r>
      <w:r>
        <w:t xml:space="preserve"> </w:t>
      </w:r>
      <w:r>
        <w:rPr>
          <w:rStyle w:val="VerbatimChar"/>
        </w:rPr>
        <w:t xml:space="preserve">pca_status</w:t>
      </w:r>
      <w:r>
        <w:t xml:space="preserve"> </w:t>
      </w:r>
      <w:r>
        <w:t xml:space="preserve">restrictions apply (MSD 19): RT1 restriction on dividend distribution and remittance of profits, the promoter or shareholder equity-infusion and leverage-reduction plan as a tracked action, and for CICs a restriction on guarantees or other contingent liabilities for group companies; RT2 adds the branch-expansion restriction (M1 branch creation blocked); RT3 adds capex restriction except technology upgrades within Board-approved limits (capex approvals checked against that limit) and restriction or reduction of variable operating costs (tracked against a baseline). Discretionary actions chosen by RBI from the MSD 20 menu are recorded as restriction-register items with owner, due date and evidence. RBI may publish a press release on placement and withdrawal (MSD 21); the CS records it.</w:t>
      </w:r>
    </w:p>
    <w:p>
      <w:pPr>
        <w:numPr>
          <w:ilvl w:val="0"/>
          <w:numId w:val="1425"/>
        </w:numPr>
        <w:pStyle w:val="Compact"/>
      </w:pPr>
      <w:r>
        <w:rPr>
          <w:bCs/>
          <w:b/>
        </w:rPr>
        <w:t xml:space="preserve">PCA states.</w:t>
      </w:r>
      <w:r>
        <w:t xml:space="preserve"> </w:t>
      </w:r>
      <w:r>
        <w:rPr>
          <w:rStyle w:val="VerbatimChar"/>
        </w:rPr>
        <w:t xml:space="preserve">NOT_UNDER_PCA → PROXIMITY</w:t>
      </w:r>
      <w:r>
        <w:t xml:space="preserve"> </w:t>
      </w:r>
      <w:r>
        <w:t xml:space="preserve">(R52 red)</w:t>
      </w:r>
      <w:r>
        <w:t xml:space="preserve"> </w:t>
      </w:r>
      <w:r>
        <w:rPr>
          <w:rStyle w:val="VerbatimChar"/>
        </w:rPr>
        <w:t xml:space="preserve">→ PROJECTED</w:t>
      </w:r>
      <w:r>
        <w:t xml:space="preserve"> </w:t>
      </w:r>
      <w:r>
        <w:t xml:space="preserve">(forecast crossing)</w:t>
      </w:r>
      <w:r>
        <w:t xml:space="preserve"> </w:t>
      </w:r>
      <w:r>
        <w:rPr>
          <w:rStyle w:val="VerbatimChar"/>
        </w:rPr>
        <w:t xml:space="preserve">→ THRESHOLD_CROSSED</w:t>
      </w:r>
      <w:r>
        <w:t xml:space="preserve"> </w:t>
      </w:r>
      <w:r>
        <w:t xml:space="preserve">(internal,</w:t>
      </w:r>
      <w:r>
        <w:t xml:space="preserve"> </w:t>
      </w:r>
      <w:r>
        <w:rPr>
          <w:rStyle w:val="VerbatimChar"/>
        </w:rPr>
        <w:t xml:space="preserve">LimitBreached</w:t>
      </w:r>
      <w:r>
        <w:t xml:space="preserve"> </w:t>
      </w:r>
      <w:r>
        <w:t xml:space="preserve">PCA_RTn)</w:t>
      </w:r>
      <w:r>
        <w:t xml:space="preserve"> </w:t>
      </w:r>
      <w:r>
        <w:rPr>
          <w:rStyle w:val="VerbatimChar"/>
        </w:rPr>
        <w:t xml:space="preserve">→ UNDER_PCA_RTn</w:t>
      </w:r>
      <w:r>
        <w:t xml:space="preserve"> </w:t>
      </w:r>
      <w:r>
        <w:t xml:space="preserve">(only on RBI’s letter; migration between thresholds also only on RBI’s letter)</w:t>
      </w:r>
      <w:r>
        <w:t xml:space="preserve"> </w:t>
      </w:r>
      <w:r>
        <w:rPr>
          <w:rStyle w:val="VerbatimChar"/>
        </w:rPr>
        <w:t xml:space="preserve">→ EXIT_ELIGIBLE</w:t>
      </w:r>
      <w:r>
        <w:t xml:space="preserve"> </w:t>
      </w:r>
      <w:r>
        <w:t xml:space="preserve">(tracker satisfied)</w:t>
      </w:r>
      <w:r>
        <w:t xml:space="preserve"> </w:t>
      </w:r>
      <w:r>
        <w:rPr>
          <w:rStyle w:val="VerbatimChar"/>
        </w:rPr>
        <w:t xml:space="preserve">→ NOT_UNDER_PCA</w:t>
      </w:r>
      <w:r>
        <w:t xml:space="preserve"> </w:t>
      </w:r>
      <w:r>
        <w:t xml:space="preserve">(only on RBI’s withdrawal letter). The system never sets</w:t>
      </w:r>
      <w:r>
        <w:t xml:space="preserve"> </w:t>
      </w:r>
      <w:r>
        <w:rPr>
          <w:rStyle w:val="VerbatimChar"/>
        </w:rPr>
        <w:t xml:space="preserve">UNDER_PCA</w:t>
      </w:r>
      <w:r>
        <w:t xml:space="preserve"> </w:t>
      </w:r>
      <w:r>
        <w:t xml:space="preserve">or lifts restrictions on its own.</w:t>
      </w:r>
    </w:p>
    <w:p>
      <w:pPr>
        <w:numPr>
          <w:ilvl w:val="0"/>
          <w:numId w:val="1425"/>
        </w:numPr>
        <w:pStyle w:val="Compact"/>
      </w:pPr>
      <w:r>
        <w:rPr>
          <w:bCs/>
          <w:b/>
        </w:rPr>
        <w:t xml:space="preserve">Exit tracker.</w:t>
      </w:r>
      <w:r>
        <w:t xml:space="preserve"> </w:t>
      </w:r>
      <w:r>
        <w:t xml:space="preserve">Four continuous quarterly financial statements without breach, one of them the annual audited statement, plus supervisory comfort including sustainability of profitability (MSD 18).</w:t>
      </w:r>
    </w:p>
    <w:p>
      <w:pPr>
        <w:numPr>
          <w:ilvl w:val="0"/>
          <w:numId w:val="1425"/>
        </w:numPr>
        <w:pStyle w:val="Compact"/>
      </w:pPr>
      <w:r>
        <w:rPr>
          <w:bCs/>
          <w:b/>
        </w:rPr>
        <w:t xml:space="preserve">Banks and UCBs.</w:t>
      </w:r>
      <w:r>
        <w:t xml:space="preserve"> </w:t>
      </w:r>
      <w:r>
        <w:t xml:space="preserve">Bank PCA and the UCB Supervisory Action Framework as configurable rule packs [VERIFY: thresholds].</w:t>
      </w:r>
    </w:p>
    <w:bookmarkEnd w:id="454"/>
    <w:bookmarkStart w:id="455" w:name="settings-and-options-13"/>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46"/>
        <w:gridCol w:w="2600"/>
        <w:gridCol w:w="1348"/>
        <w:gridCol w:w="3344"/>
      </w:tblGrid>
      <w:tr>
        <w:trPr>
          <w:tblHeader w:val="true"/>
          <w:tblHeader w:val="true"/>
        </w:trPr>
        <w:tc>
          <w:tcPr>
            <w:tcW w:w="2346" w:type="dxa"/>
            <w:shd w:val="clear" w:color="auto" w:fill="1F3A5F"/>
          </w:tcPr>
          <w:p>
            <w:pPr>
              <w:pStyle w:val="Compact"/>
              <w:spacing w:after="40"/>
              <w:jc w:val="left"/>
            </w:pPr>
            <w:r>
              <w:rPr>
                <w:b/>
                <w:color w:val="FFFFFF"/>
                <w:sz w:val="18"/>
              </w:rPr>
              <w:t xml:space="preserve">Setting</w:t>
            </w:r>
          </w:p>
        </w:tc>
        <w:tc>
          <w:tcPr>
            <w:tcW w:w="2600" w:type="dxa"/>
            <w:shd w:val="clear" w:color="auto" w:fill="1F3A5F"/>
          </w:tcPr>
          <w:p>
            <w:pPr>
              <w:pStyle w:val="Compact"/>
              <w:spacing w:after="40"/>
              <w:jc w:val="left"/>
            </w:pPr>
            <w:r>
              <w:rPr>
                <w:b/>
                <w:color w:val="FFFFFF"/>
                <w:sz w:val="18"/>
              </w:rPr>
              <w:t xml:space="preserve">Default</w:t>
            </w:r>
          </w:p>
        </w:tc>
        <w:tc>
          <w:tcPr>
            <w:tcW w:w="1348" w:type="dxa"/>
            <w:shd w:val="clear" w:color="auto" w:fill="1F3A5F"/>
          </w:tcPr>
          <w:p>
            <w:pPr>
              <w:pStyle w:val="Compact"/>
              <w:spacing w:after="40"/>
              <w:jc w:val="left"/>
            </w:pPr>
            <w:r>
              <w:rPr>
                <w:b/>
                <w:color w:val="FFFFFF"/>
                <w:sz w:val="18"/>
              </w:rPr>
              <w:t xml:space="preserve">Level</w:t>
            </w:r>
          </w:p>
        </w:tc>
        <w:tc>
          <w:tcPr>
            <w:tcW w:w="3344" w:type="dxa"/>
            <w:shd w:val="clear" w:color="auto" w:fill="1F3A5F"/>
          </w:tcPr>
          <w:p>
            <w:pPr>
              <w:pStyle w:val="Compact"/>
              <w:spacing w:after="40"/>
              <w:jc w:val="left"/>
            </w:pPr>
            <w:r>
              <w:rPr>
                <w:b/>
                <w:color w:val="FFFFFF"/>
                <w:sz w:val="18"/>
              </w:rPr>
              <w:t xml:space="preserve">Floor or choice</w:t>
            </w:r>
          </w:p>
        </w:tc>
      </w:tr>
      <w:tr>
        <w:tc>
          <w:tcPr>
            <w:tcW w:w="2346" w:type="dxa"/>
          </w:tcPr>
          <w:p>
            <w:pPr>
              <w:pStyle w:val="Compact"/>
              <w:spacing w:after="40"/>
              <w:jc w:val="left"/>
            </w:pPr>
            <w:r>
              <w:rPr>
                <w:sz w:val="18"/>
              </w:rPr>
              <w:t xml:space="preserve">ICAAP cycle</w:t>
            </w:r>
          </w:p>
        </w:tc>
        <w:tc>
          <w:tcPr>
            <w:tcW w:w="2600" w:type="dxa"/>
          </w:tcPr>
          <w:p>
            <w:pPr>
              <w:pStyle w:val="Compact"/>
              <w:spacing w:after="40"/>
              <w:jc w:val="left"/>
            </w:pPr>
            <w:r>
              <w:rPr>
                <w:sz w:val="18"/>
              </w:rPr>
              <w:t xml:space="preserve">Annual, as-of 31 March</w:t>
            </w:r>
          </w:p>
        </w:tc>
        <w:tc>
          <w:tcPr>
            <w:tcW w:w="1348" w:type="dxa"/>
          </w:tcPr>
          <w:p>
            <w:pPr>
              <w:pStyle w:val="Compact"/>
              <w:spacing w:after="40"/>
              <w:jc w:val="left"/>
            </w:pPr>
            <w:r>
              <w:rPr>
                <w:sz w:val="18"/>
              </w:rPr>
              <w:t xml:space="preserve">Tenant</w:t>
            </w:r>
          </w:p>
        </w:tc>
        <w:tc>
          <w:tcPr>
            <w:tcW w:w="3344" w:type="dxa"/>
          </w:tcPr>
          <w:p>
            <w:pPr>
              <w:pStyle w:val="Compact"/>
              <w:spacing w:after="40"/>
              <w:jc w:val="left"/>
            </w:pPr>
            <w:r>
              <w:rPr>
                <w:sz w:val="18"/>
              </w:rPr>
              <w:t xml:space="preserve">Board-approved ICAAP is a floor for ML and above; frequency is a choice</w:t>
            </w:r>
          </w:p>
        </w:tc>
      </w:tr>
      <w:tr>
        <w:tc>
          <w:tcPr>
            <w:tcW w:w="2346" w:type="dxa"/>
          </w:tcPr>
          <w:p>
            <w:pPr>
              <w:pStyle w:val="Compact"/>
              <w:spacing w:after="40"/>
              <w:jc w:val="left"/>
            </w:pPr>
            <w:r>
              <w:rPr>
                <w:sz w:val="18"/>
              </w:rPr>
              <w:t xml:space="preserve">Material-risk inventory and scoring</w:t>
            </w:r>
          </w:p>
        </w:tc>
        <w:tc>
          <w:tcPr>
            <w:tcW w:w="2600" w:type="dxa"/>
          </w:tcPr>
          <w:p>
            <w:pPr>
              <w:pStyle w:val="Compact"/>
              <w:spacing w:after="40"/>
              <w:jc w:val="left"/>
            </w:pPr>
            <w:r>
              <w:rPr>
                <w:sz w:val="18"/>
              </w:rPr>
              <w:t xml:space="preserve">RK7.2 list</w:t>
            </w:r>
          </w:p>
        </w:tc>
        <w:tc>
          <w:tcPr>
            <w:tcW w:w="1348" w:type="dxa"/>
          </w:tcPr>
          <w:p>
            <w:pPr>
              <w:pStyle w:val="Compact"/>
              <w:spacing w:after="40"/>
              <w:jc w:val="left"/>
            </w:pPr>
            <w:r>
              <w:rPr>
                <w:sz w:val="18"/>
              </w:rPr>
              <w:t xml:space="preserve">Tenant</w:t>
            </w:r>
          </w:p>
        </w:tc>
        <w:tc>
          <w:tcPr>
            <w:tcW w:w="3344" w:type="dxa"/>
          </w:tcPr>
          <w:p>
            <w:pPr>
              <w:pStyle w:val="Compact"/>
              <w:spacing w:after="40"/>
              <w:jc w:val="left"/>
            </w:pPr>
            <w:r>
              <w:rPr>
                <w:sz w:val="18"/>
              </w:rPr>
              <w:t xml:space="preserve">Credit, market, operational and residual risks are a floor (CAP 54)</w:t>
            </w:r>
          </w:p>
        </w:tc>
      </w:tr>
      <w:tr>
        <w:tc>
          <w:tcPr>
            <w:tcW w:w="2346" w:type="dxa"/>
          </w:tcPr>
          <w:p>
            <w:pPr>
              <w:pStyle w:val="Compact"/>
              <w:spacing w:after="40"/>
              <w:jc w:val="left"/>
            </w:pPr>
            <w:r>
              <w:rPr>
                <w:sz w:val="18"/>
              </w:rPr>
              <w:t xml:space="preserve">Operational-risk proxy</w:t>
            </w:r>
          </w:p>
        </w:tc>
        <w:tc>
          <w:tcPr>
            <w:tcW w:w="2600" w:type="dxa"/>
          </w:tcPr>
          <w:p>
            <w:pPr>
              <w:pStyle w:val="Compact"/>
              <w:spacing w:after="40"/>
              <w:jc w:val="left"/>
            </w:pPr>
            <w:r>
              <w:rPr>
                <w:sz w:val="18"/>
              </w:rPr>
              <w:t xml:space="preserve">15% of 3-year average positive gross income</w:t>
            </w:r>
          </w:p>
        </w:tc>
        <w:tc>
          <w:tcPr>
            <w:tcW w:w="1348" w:type="dxa"/>
          </w:tcPr>
          <w:p>
            <w:pPr>
              <w:pStyle w:val="Compact"/>
              <w:spacing w:after="40"/>
              <w:jc w:val="left"/>
            </w:pPr>
            <w:r>
              <w:rPr>
                <w:sz w:val="18"/>
              </w:rPr>
              <w:t xml:space="preserve">Tenant</w:t>
            </w:r>
          </w:p>
        </w:tc>
        <w:tc>
          <w:tcPr>
            <w:tcW w:w="3344" w:type="dxa"/>
          </w:tcPr>
          <w:p>
            <w:pPr>
              <w:pStyle w:val="Compact"/>
              <w:spacing w:after="40"/>
              <w:jc w:val="left"/>
            </w:pPr>
            <w:r>
              <w:rPr>
                <w:sz w:val="18"/>
              </w:rPr>
              <w:t xml:space="preserve">Choice; always labelled</w:t>
            </w:r>
            <w:r>
              <w:rPr>
                <w:sz w:val="18"/>
              </w:rPr>
              <w:t xml:space="preserve"> </w:t>
            </w:r>
            <w:r>
              <w:rPr>
                <w:sz w:val="18"/>
              </w:rPr>
              <w:t xml:space="preserve">“</w:t>
            </w:r>
            <w:r>
              <w:rPr>
                <w:sz w:val="18"/>
              </w:rPr>
              <w:t xml:space="preserve">ICAAP internal</w:t>
            </w:r>
            <w:r>
              <w:rPr>
                <w:sz w:val="18"/>
              </w:rPr>
              <w:t xml:space="preserve">”</w:t>
            </w:r>
          </w:p>
        </w:tc>
      </w:tr>
      <w:tr>
        <w:tc>
          <w:tcPr>
            <w:tcW w:w="2346" w:type="dxa"/>
          </w:tcPr>
          <w:p>
            <w:pPr>
              <w:pStyle w:val="Compact"/>
              <w:spacing w:after="40"/>
              <w:jc w:val="left"/>
            </w:pPr>
            <w:r>
              <w:rPr>
                <w:sz w:val="18"/>
              </w:rPr>
              <w:t xml:space="preserve">Stress scenario library</w:t>
            </w:r>
          </w:p>
        </w:tc>
        <w:tc>
          <w:tcPr>
            <w:tcW w:w="2600" w:type="dxa"/>
          </w:tcPr>
          <w:p>
            <w:pPr>
              <w:pStyle w:val="Compact"/>
              <w:spacing w:after="40"/>
              <w:jc w:val="left"/>
            </w:pPr>
            <w:r>
              <w:rPr>
                <w:sz w:val="18"/>
              </w:rPr>
              <w:t xml:space="preserve">Sensitivity, macro, liquidity, reverse</w:t>
            </w:r>
          </w:p>
        </w:tc>
        <w:tc>
          <w:tcPr>
            <w:tcW w:w="1348" w:type="dxa"/>
          </w:tcPr>
          <w:p>
            <w:pPr>
              <w:pStyle w:val="Compact"/>
              <w:spacing w:after="40"/>
              <w:jc w:val="left"/>
            </w:pPr>
            <w:r>
              <w:rPr>
                <w:sz w:val="18"/>
              </w:rPr>
              <w:t xml:space="preserve">Tenant</w:t>
            </w:r>
          </w:p>
        </w:tc>
        <w:tc>
          <w:tcPr>
            <w:tcW w:w="3344" w:type="dxa"/>
          </w:tcPr>
          <w:p>
            <w:pPr>
              <w:pStyle w:val="Compact"/>
              <w:spacing w:after="40"/>
              <w:jc w:val="left"/>
            </w:pPr>
            <w:r>
              <w:rPr>
                <w:sz w:val="18"/>
              </w:rPr>
              <w:t xml:space="preserve">Choice; Board-approved scenarios are immutable</w:t>
            </w:r>
          </w:p>
        </w:tc>
      </w:tr>
      <w:tr>
        <w:tc>
          <w:tcPr>
            <w:tcW w:w="2346" w:type="dxa"/>
          </w:tcPr>
          <w:p>
            <w:pPr>
              <w:pStyle w:val="Compact"/>
              <w:spacing w:after="40"/>
              <w:jc w:val="left"/>
            </w:pPr>
            <w:r>
              <w:rPr>
                <w:sz w:val="18"/>
              </w:rPr>
              <w:t xml:space="preserve">PCA proximity band</w:t>
            </w:r>
          </w:p>
        </w:tc>
        <w:tc>
          <w:tcPr>
            <w:tcW w:w="2600" w:type="dxa"/>
          </w:tcPr>
          <w:p>
            <w:pPr>
              <w:pStyle w:val="Compact"/>
              <w:spacing w:after="40"/>
              <w:jc w:val="left"/>
            </w:pPr>
            <w:r>
              <w:rPr>
                <w:sz w:val="18"/>
              </w:rPr>
              <w:t xml:space="preserve">150 bps of RT1</w:t>
            </w:r>
          </w:p>
        </w:tc>
        <w:tc>
          <w:tcPr>
            <w:tcW w:w="1348" w:type="dxa"/>
          </w:tcPr>
          <w:p>
            <w:pPr>
              <w:pStyle w:val="Compact"/>
              <w:spacing w:after="40"/>
              <w:jc w:val="left"/>
            </w:pPr>
            <w:r>
              <w:rPr>
                <w:sz w:val="18"/>
              </w:rPr>
              <w:t xml:space="preserve">Tenant</w:t>
            </w:r>
          </w:p>
        </w:tc>
        <w:tc>
          <w:tcPr>
            <w:tcW w:w="3344" w:type="dxa"/>
          </w:tcPr>
          <w:p>
            <w:pPr>
              <w:pStyle w:val="Compact"/>
              <w:spacing w:after="40"/>
              <w:jc w:val="left"/>
            </w:pPr>
            <w:r>
              <w:rPr>
                <w:sz w:val="18"/>
              </w:rPr>
              <w:t xml:space="preserve">Choice [REC]; thresholds locked</w:t>
            </w:r>
          </w:p>
        </w:tc>
      </w:tr>
      <w:tr>
        <w:tc>
          <w:tcPr>
            <w:tcW w:w="2346" w:type="dxa"/>
          </w:tcPr>
          <w:p>
            <w:pPr>
              <w:pStyle w:val="Compact"/>
              <w:spacing w:after="40"/>
              <w:jc w:val="left"/>
            </w:pPr>
            <w:r>
              <w:rPr>
                <w:sz w:val="18"/>
              </w:rPr>
              <w:t xml:space="preserve">PCA forecast horizon</w:t>
            </w:r>
          </w:p>
        </w:tc>
        <w:tc>
          <w:tcPr>
            <w:tcW w:w="2600" w:type="dxa"/>
          </w:tcPr>
          <w:p>
            <w:pPr>
              <w:pStyle w:val="Compact"/>
              <w:spacing w:after="40"/>
              <w:jc w:val="left"/>
            </w:pPr>
            <w:r>
              <w:rPr>
                <w:sz w:val="18"/>
              </w:rPr>
              <w:t xml:space="preserve">Next financial year-end</w:t>
            </w:r>
          </w:p>
        </w:tc>
        <w:tc>
          <w:tcPr>
            <w:tcW w:w="1348" w:type="dxa"/>
          </w:tcPr>
          <w:p>
            <w:pPr>
              <w:pStyle w:val="Compact"/>
              <w:spacing w:after="40"/>
              <w:jc w:val="left"/>
            </w:pPr>
            <w:r>
              <w:rPr>
                <w:sz w:val="18"/>
              </w:rPr>
              <w:t xml:space="preserve">Tenant</w:t>
            </w:r>
          </w:p>
        </w:tc>
        <w:tc>
          <w:tcPr>
            <w:tcW w:w="3344" w:type="dxa"/>
          </w:tcPr>
          <w:p>
            <w:pPr>
              <w:pStyle w:val="Compact"/>
              <w:spacing w:after="40"/>
              <w:jc w:val="left"/>
            </w:pPr>
            <w:r>
              <w:rPr>
                <w:sz w:val="18"/>
              </w:rPr>
              <w:t xml:space="preserve">Choice</w:t>
            </w:r>
          </w:p>
        </w:tc>
      </w:tr>
    </w:tbl>
    <w:bookmarkEnd w:id="455"/>
    <w:bookmarkStart w:id="456" w:name="menu-and-screens-13"/>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08"/>
        <w:gridCol w:w="3162"/>
        <w:gridCol w:w="2783"/>
        <w:gridCol w:w="2385"/>
      </w:tblGrid>
      <w:tr>
        <w:trPr>
          <w:tblHeader w:val="true"/>
          <w:tblHeader w:val="true"/>
        </w:trPr>
        <w:tc>
          <w:tcPr>
            <w:tcW w:w="1308" w:type="dxa"/>
            <w:shd w:val="clear" w:color="auto" w:fill="1F3A5F"/>
          </w:tcPr>
          <w:p>
            <w:pPr>
              <w:pStyle w:val="Compact"/>
              <w:spacing w:after="40"/>
              <w:jc w:val="left"/>
            </w:pPr>
            <w:r>
              <w:rPr>
                <w:b/>
                <w:color w:val="FFFFFF"/>
                <w:sz w:val="18"/>
              </w:rPr>
              <w:t xml:space="preserve">Path (workspace J)</w:t>
            </w:r>
          </w:p>
        </w:tc>
        <w:tc>
          <w:tcPr>
            <w:tcW w:w="3162" w:type="dxa"/>
            <w:shd w:val="clear" w:color="auto" w:fill="1F3A5F"/>
          </w:tcPr>
          <w:p>
            <w:pPr>
              <w:pStyle w:val="Compact"/>
              <w:spacing w:after="40"/>
              <w:jc w:val="left"/>
            </w:pPr>
            <w:r>
              <w:rPr>
                <w:b/>
                <w:color w:val="FFFFFF"/>
                <w:sz w:val="18"/>
              </w:rPr>
              <w:t xml:space="preserve">Screens</w:t>
            </w:r>
          </w:p>
        </w:tc>
        <w:tc>
          <w:tcPr>
            <w:tcW w:w="2783" w:type="dxa"/>
            <w:shd w:val="clear" w:color="auto" w:fill="1F3A5F"/>
          </w:tcPr>
          <w:p>
            <w:pPr>
              <w:pStyle w:val="Compact"/>
              <w:spacing w:after="40"/>
              <w:jc w:val="left"/>
            </w:pPr>
            <w:r>
              <w:rPr>
                <w:b/>
                <w:color w:val="FFFFFF"/>
                <w:sz w:val="18"/>
              </w:rPr>
              <w:t xml:space="preserve">Key actions and rules</w:t>
            </w:r>
          </w:p>
        </w:tc>
        <w:tc>
          <w:tcPr>
            <w:tcW w:w="2385" w:type="dxa"/>
            <w:shd w:val="clear" w:color="auto" w:fill="1F3A5F"/>
          </w:tcPr>
          <w:p>
            <w:pPr>
              <w:pStyle w:val="Compact"/>
              <w:spacing w:after="40"/>
              <w:jc w:val="left"/>
            </w:pPr>
            <w:r>
              <w:rPr>
                <w:b/>
                <w:color w:val="FFFFFF"/>
                <w:sz w:val="18"/>
              </w:rPr>
              <w:t xml:space="preserve">Visible to</w:t>
            </w:r>
          </w:p>
        </w:tc>
      </w:tr>
      <w:tr>
        <w:tc>
          <w:tcPr>
            <w:tcW w:w="1308" w:type="dxa"/>
          </w:tcPr>
          <w:p>
            <w:pPr>
              <w:pStyle w:val="Compact"/>
              <w:spacing w:after="40"/>
              <w:jc w:val="left"/>
            </w:pPr>
            <w:r>
              <w:rPr>
                <w:rStyle w:val="VerbatimChar"/>
                <w:sz w:val="18"/>
              </w:rPr>
              <w:t xml:space="preserve">Risk › ICAAP</w:t>
            </w:r>
          </w:p>
        </w:tc>
        <w:tc>
          <w:tcPr>
            <w:tcW w:w="3162" w:type="dxa"/>
          </w:tcPr>
          <w:p>
            <w:pPr>
              <w:pStyle w:val="Compact"/>
              <w:spacing w:after="40"/>
              <w:jc w:val="left"/>
            </w:pPr>
            <w:r>
              <w:rPr>
                <w:sz w:val="18"/>
              </w:rPr>
              <w:t xml:space="preserve">Cycle list; cycle workspace with the nine sections, live tables, narratives, review comments; approval timeline</w:t>
            </w:r>
          </w:p>
        </w:tc>
        <w:tc>
          <w:tcPr>
            <w:tcW w:w="2783" w:type="dxa"/>
          </w:tcPr>
          <w:p>
            <w:pPr>
              <w:pStyle w:val="Compact"/>
              <w:spacing w:after="40"/>
              <w:jc w:val="left"/>
            </w:pPr>
            <w:r>
              <w:rPr>
                <w:sz w:val="18"/>
              </w:rPr>
              <w:t xml:space="preserve">Freeze data; assign section owners; submit to CRO, RMC, Board; generate DOCX and PDF/A</w:t>
            </w:r>
          </w:p>
        </w:tc>
        <w:tc>
          <w:tcPr>
            <w:tcW w:w="2385" w:type="dxa"/>
          </w:tcPr>
          <w:p>
            <w:pPr>
              <w:pStyle w:val="Compact"/>
              <w:spacing w:after="40"/>
              <w:jc w:val="left"/>
            </w:pPr>
            <w:r>
              <w:rPr>
                <w:sz w:val="18"/>
              </w:rPr>
              <w:t xml:space="preserve">Risk function, CRO, RMC, Board (approve), internal audit (read)</w:t>
            </w:r>
          </w:p>
        </w:tc>
      </w:tr>
      <w:tr>
        <w:tc>
          <w:tcPr>
            <w:tcW w:w="1308" w:type="dxa"/>
          </w:tcPr>
          <w:p>
            <w:pPr>
              <w:pStyle w:val="Compact"/>
              <w:spacing w:after="40"/>
              <w:jc w:val="left"/>
            </w:pPr>
            <w:r>
              <w:rPr>
                <w:rStyle w:val="VerbatimChar"/>
                <w:sz w:val="18"/>
              </w:rPr>
              <w:t xml:space="preserve">Risk › Stress tests</w:t>
            </w:r>
          </w:p>
        </w:tc>
        <w:tc>
          <w:tcPr>
            <w:tcW w:w="3162" w:type="dxa"/>
          </w:tcPr>
          <w:p>
            <w:pPr>
              <w:pStyle w:val="Compact"/>
              <w:spacing w:after="40"/>
              <w:jc w:val="left"/>
            </w:pPr>
            <w:r>
              <w:rPr>
                <w:sz w:val="18"/>
              </w:rPr>
              <w:t xml:space="preserve">Scenario library; run builder; results by period; reverse-stress result</w:t>
            </w:r>
          </w:p>
        </w:tc>
        <w:tc>
          <w:tcPr>
            <w:tcW w:w="2783" w:type="dxa"/>
          </w:tcPr>
          <w:p>
            <w:pPr>
              <w:pStyle w:val="Compact"/>
              <w:spacing w:after="40"/>
              <w:jc w:val="left"/>
            </w:pPr>
            <w:r>
              <w:rPr>
                <w:sz w:val="18"/>
              </w:rPr>
              <w:t xml:space="preserve">Create scenario version; run; compare runs; approve</w:t>
            </w:r>
          </w:p>
        </w:tc>
        <w:tc>
          <w:tcPr>
            <w:tcW w:w="2385" w:type="dxa"/>
          </w:tcPr>
          <w:p>
            <w:pPr>
              <w:pStyle w:val="Compact"/>
              <w:spacing w:after="40"/>
              <w:jc w:val="left"/>
            </w:pPr>
            <w:r>
              <w:rPr>
                <w:sz w:val="18"/>
              </w:rPr>
              <w:t xml:space="preserve">CRO office, ALCO, RMC</w:t>
            </w:r>
          </w:p>
        </w:tc>
      </w:tr>
      <w:tr>
        <w:tc>
          <w:tcPr>
            <w:tcW w:w="1308" w:type="dxa"/>
          </w:tcPr>
          <w:p>
            <w:pPr>
              <w:pStyle w:val="Compact"/>
              <w:spacing w:after="40"/>
              <w:jc w:val="left"/>
            </w:pPr>
            <w:r>
              <w:rPr>
                <w:rStyle w:val="VerbatimChar"/>
                <w:sz w:val="18"/>
              </w:rPr>
              <w:t xml:space="preserve">Risk › PCA</w:t>
            </w:r>
          </w:p>
        </w:tc>
        <w:tc>
          <w:tcPr>
            <w:tcW w:w="3162" w:type="dxa"/>
          </w:tcPr>
          <w:p>
            <w:pPr>
              <w:pStyle w:val="Compact"/>
              <w:spacing w:after="40"/>
              <w:jc w:val="left"/>
            </w:pPr>
            <w:r>
              <w:rPr>
                <w:sz w:val="18"/>
              </w:rPr>
              <w:t xml:space="preserve">Indicator panel (current, projected, thresholds); state; restriction register; exit tracker</w:t>
            </w:r>
          </w:p>
        </w:tc>
        <w:tc>
          <w:tcPr>
            <w:tcW w:w="2783" w:type="dxa"/>
          </w:tcPr>
          <w:p>
            <w:pPr>
              <w:pStyle w:val="Compact"/>
              <w:spacing w:after="40"/>
              <w:jc w:val="left"/>
            </w:pPr>
            <w:r>
              <w:rPr>
                <w:sz w:val="18"/>
              </w:rPr>
              <w:t xml:space="preserve">Record RBI letter, restrictions and withdrawal; assign restriction owners</w:t>
            </w:r>
          </w:p>
        </w:tc>
        <w:tc>
          <w:tcPr>
            <w:tcW w:w="2385" w:type="dxa"/>
          </w:tcPr>
          <w:p>
            <w:pPr>
              <w:pStyle w:val="Compact"/>
              <w:spacing w:after="40"/>
              <w:jc w:val="left"/>
            </w:pPr>
            <w:r>
              <w:rPr>
                <w:sz w:val="18"/>
              </w:rPr>
              <w:t xml:space="preserve">CS, CRO, CFO, MD &amp; CEO, Board</w:t>
            </w:r>
          </w:p>
        </w:tc>
      </w:tr>
    </w:tbl>
    <w:bookmarkEnd w:id="456"/>
    <w:bookmarkStart w:id="457" w:name="acceptance-tests-32"/>
    <w:p>
      <w:pPr>
        <w:pStyle w:val="Heading3"/>
      </w:pPr>
      <w:r>
        <w:t xml:space="preserve">Acceptance tests</w:t>
      </w:r>
    </w:p>
    <w:p>
      <w:pPr>
        <w:numPr>
          <w:ilvl w:val="0"/>
          <w:numId w:val="1426"/>
        </w:numPr>
        <w:pStyle w:val="Compact"/>
      </w:pPr>
      <w:r>
        <w:t xml:space="preserve">An ICAAP cannot move to</w:t>
      </w:r>
      <w:r>
        <w:t xml:space="preserve"> </w:t>
      </w:r>
      <w:r>
        <w:rPr>
          <w:rStyle w:val="VerbatimChar"/>
        </w:rPr>
        <w:t xml:space="preserve">CRO_REVIEW</w:t>
      </w:r>
      <w:r>
        <w:t xml:space="preserve"> </w:t>
      </w:r>
      <w:r>
        <w:t xml:space="preserve">without a frozen snapshot hash; editing source data after freeze does not change the ICAAP tables.</w:t>
      </w:r>
    </w:p>
    <w:p>
      <w:pPr>
        <w:numPr>
          <w:ilvl w:val="0"/>
          <w:numId w:val="1426"/>
        </w:numPr>
        <w:pStyle w:val="Compact"/>
      </w:pPr>
      <w:r>
        <w:t xml:space="preserve">Re-running an approved stress scenario on the stored snapshot reproduces identical outputs; editing an approved scenario creates a new version.</w:t>
      </w:r>
    </w:p>
    <w:p>
      <w:pPr>
        <w:numPr>
          <w:ilvl w:val="0"/>
          <w:numId w:val="1426"/>
        </w:numPr>
        <w:pStyle w:val="Compact"/>
      </w:pPr>
      <w:r>
        <w:t xml:space="preserve">Reverse stress on a seeded book converges to a GNPA shock within ±1 bp of the CRAR = 15% boundary.</w:t>
      </w:r>
    </w:p>
    <w:p>
      <w:pPr>
        <w:numPr>
          <w:ilvl w:val="0"/>
          <w:numId w:val="1426"/>
        </w:numPr>
        <w:pStyle w:val="Compact"/>
      </w:pPr>
      <w:r>
        <w:t xml:space="preserve">A tenant with projected year-end NNPA of 6.3% receives a PCA forecast alert; an HFC tenant has no PCA screen.</w:t>
      </w:r>
    </w:p>
    <w:p>
      <w:pPr>
        <w:numPr>
          <w:ilvl w:val="0"/>
          <w:numId w:val="1426"/>
        </w:numPr>
        <w:pStyle w:val="Compact"/>
      </w:pPr>
      <w:r>
        <w:t xml:space="preserve">With</w:t>
      </w:r>
      <w:r>
        <w:t xml:space="preserve"> </w:t>
      </w:r>
      <w:r>
        <w:rPr>
          <w:rStyle w:val="VerbatimChar"/>
        </w:rPr>
        <w:t xml:space="preserve">pca_status = RT2</w:t>
      </w:r>
      <w:r>
        <w:t xml:space="preserve">, creating a new branch is blocked and a dividend proposal is rejected with MSD 19 citations.</w:t>
      </w:r>
    </w:p>
    <w:p>
      <w:pPr>
        <w:numPr>
          <w:ilvl w:val="0"/>
          <w:numId w:val="1426"/>
        </w:numPr>
        <w:pStyle w:val="Compact"/>
      </w:pPr>
      <w:r>
        <w:t xml:space="preserve">A computed crossing of RT1 sets the internal state</w:t>
      </w:r>
      <w:r>
        <w:t xml:space="preserve"> </w:t>
      </w:r>
      <w:r>
        <w:rPr>
          <w:rStyle w:val="VerbatimChar"/>
        </w:rPr>
        <w:t xml:space="preserve">THRESHOLD_CROSSED</w:t>
      </w:r>
      <w:r>
        <w:t xml:space="preserve"> </w:t>
      </w:r>
      <w:r>
        <w:t xml:space="preserve">and emits</w:t>
      </w:r>
      <w:r>
        <w:t xml:space="preserve"> </w:t>
      </w:r>
      <w:r>
        <w:rPr>
          <w:rStyle w:val="VerbatimChar"/>
        </w:rPr>
        <w:t xml:space="preserve">LimitBreached</w:t>
      </w:r>
      <w:r>
        <w:t xml:space="preserve"> </w:t>
      </w:r>
      <w:r>
        <w:t xml:space="preserve">PCA_RT1 but does not apply restrictions; restrictions start only when the CS records RBI’s letter, and end only on RBI’s withdrawal letter.</w:t>
      </w:r>
    </w:p>
    <w:p>
      <w:pPr>
        <w:numPr>
          <w:ilvl w:val="0"/>
          <w:numId w:val="1426"/>
        </w:numPr>
        <w:pStyle w:val="Compact"/>
      </w:pPr>
      <w:r>
        <w:t xml:space="preserve">CRAR of 12.0% is RT1 and 11.99% is RT2; NNPA of 6.0% is outside PCA and 6.01% is RT1; CIC leverage of 2.5x is RT1.</w:t>
      </w:r>
    </w:p>
    <w:p>
      <w:pPr>
        <w:numPr>
          <w:ilvl w:val="0"/>
          <w:numId w:val="1426"/>
        </w:numPr>
        <w:pStyle w:val="Compact"/>
      </w:pPr>
      <w:r>
        <w:t xml:space="preserve">Operational-risk capital appears in the ICAAP only under the label</w:t>
      </w:r>
      <w:r>
        <w:t xml:space="preserve"> </w:t>
      </w:r>
      <w:r>
        <w:t xml:space="preserve">“</w:t>
      </w:r>
      <w:r>
        <w:t xml:space="preserve">ICAAP internal</w:t>
      </w:r>
      <w:r>
        <w:t xml:space="preserve">”</w:t>
      </w:r>
      <w:r>
        <w:t xml:space="preserve"> </w:t>
      </w:r>
      <w:r>
        <w:t xml:space="preserve">and never in CRAR.</w:t>
      </w:r>
    </w:p>
    <w:p>
      <w:r>
        <w:pict>
          <v:rect style="width:0;height:1.5pt" o:hralign="center" o:hrstd="t" o:hr="t"/>
        </w:pict>
      </w:r>
    </w:p>
    <w:bookmarkEnd w:id="457"/>
    <w:bookmarkEnd w:id="458"/>
    <w:bookmarkStart w:id="465" w:name="rk8.-kmp-committee-and-board-dashboards"/>
    <w:p>
      <w:pPr>
        <w:pStyle w:val="Heading2"/>
      </w:pPr>
      <w:r>
        <w:t xml:space="preserve">RK8. KMP, committee and Board dashboards</w:t>
      </w:r>
    </w:p>
    <w:bookmarkStart w:id="459" w:name="Xaf2724c045b7004e3c3bebf711bde2944090cb2"/>
    <w:p>
      <w:pPr>
        <w:pStyle w:val="Heading3"/>
      </w:pPr>
      <w:r>
        <w:t xml:space="preserve">RK8.1 Role dashboards (12 standard roles; MD and CEO can be split into two personas)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81"/>
        <w:gridCol w:w="3244"/>
        <w:gridCol w:w="1242"/>
        <w:gridCol w:w="2051"/>
        <w:gridCol w:w="2020"/>
      </w:tblGrid>
      <w:tr>
        <w:trPr>
          <w:tblHeader w:val="true"/>
          <w:tblHeader w:val="true"/>
        </w:trPr>
        <w:tc>
          <w:tcPr>
            <w:tcW w:w="1081" w:type="dxa"/>
            <w:shd w:val="clear" w:color="auto" w:fill="1F3A5F"/>
          </w:tcPr>
          <w:p>
            <w:pPr>
              <w:pStyle w:val="Compact"/>
              <w:spacing w:after="40"/>
              <w:jc w:val="left"/>
            </w:pPr>
            <w:r>
              <w:rPr>
                <w:b/>
                <w:color w:val="FFFFFF"/>
                <w:sz w:val="18"/>
              </w:rPr>
              <w:t xml:space="preserve">Role</w:t>
            </w:r>
          </w:p>
        </w:tc>
        <w:tc>
          <w:tcPr>
            <w:tcW w:w="3244" w:type="dxa"/>
            <w:shd w:val="clear" w:color="auto" w:fill="1F3A5F"/>
          </w:tcPr>
          <w:p>
            <w:pPr>
              <w:pStyle w:val="Compact"/>
              <w:spacing w:after="40"/>
              <w:jc w:val="left"/>
            </w:pPr>
            <w:r>
              <w:rPr>
                <w:b/>
                <w:color w:val="FFFFFF"/>
                <w:sz w:val="18"/>
              </w:rPr>
              <w:t xml:space="preserve">KPIs and KRIs</w:t>
            </w:r>
          </w:p>
        </w:tc>
        <w:tc>
          <w:tcPr>
            <w:tcW w:w="1242" w:type="dxa"/>
            <w:shd w:val="clear" w:color="auto" w:fill="1F3A5F"/>
          </w:tcPr>
          <w:p>
            <w:pPr>
              <w:pStyle w:val="Compact"/>
              <w:spacing w:after="40"/>
              <w:jc w:val="left"/>
            </w:pPr>
            <w:r>
              <w:rPr>
                <w:b/>
                <w:color w:val="FFFFFF"/>
                <w:sz w:val="18"/>
              </w:rPr>
              <w:t xml:space="preserve">Drill-downs</w:t>
            </w:r>
          </w:p>
        </w:tc>
        <w:tc>
          <w:tcPr>
            <w:tcW w:w="2051" w:type="dxa"/>
            <w:shd w:val="clear" w:color="auto" w:fill="1F3A5F"/>
          </w:tcPr>
          <w:p>
            <w:pPr>
              <w:pStyle w:val="Compact"/>
              <w:spacing w:after="40"/>
              <w:jc w:val="left"/>
            </w:pPr>
            <w:r>
              <w:rPr>
                <w:b/>
                <w:color w:val="FFFFFF"/>
                <w:sz w:val="18"/>
              </w:rPr>
              <w:t xml:space="preserve">Alerts</w:t>
            </w:r>
          </w:p>
        </w:tc>
        <w:tc>
          <w:tcPr>
            <w:tcW w:w="2020" w:type="dxa"/>
            <w:shd w:val="clear" w:color="auto" w:fill="1F3A5F"/>
          </w:tcPr>
          <w:p>
            <w:pPr>
              <w:pStyle w:val="Compact"/>
              <w:spacing w:after="40"/>
              <w:jc w:val="left"/>
            </w:pPr>
            <w:r>
              <w:rPr>
                <w:b/>
                <w:color w:val="FFFFFF"/>
                <w:sz w:val="18"/>
              </w:rPr>
              <w:t xml:space="preserve">Sign-off</w:t>
            </w:r>
          </w:p>
        </w:tc>
      </w:tr>
      <w:tr>
        <w:tc>
          <w:tcPr>
            <w:tcW w:w="1081" w:type="dxa"/>
          </w:tcPr>
          <w:p>
            <w:pPr>
              <w:pStyle w:val="Compact"/>
              <w:spacing w:after="40"/>
              <w:jc w:val="left"/>
            </w:pPr>
            <w:r>
              <w:rPr>
                <w:sz w:val="18"/>
              </w:rPr>
              <w:t xml:space="preserve">MD and CEO</w:t>
            </w:r>
          </w:p>
        </w:tc>
        <w:tc>
          <w:tcPr>
            <w:tcW w:w="3244" w:type="dxa"/>
          </w:tcPr>
          <w:p>
            <w:pPr>
              <w:pStyle w:val="Compact"/>
              <w:spacing w:after="40"/>
              <w:jc w:val="left"/>
            </w:pPr>
            <w:r>
              <w:rPr>
                <w:sz w:val="18"/>
              </w:rPr>
              <w:t xml:space="preserve">AUM and disbursement vs plan; NIM; ROA/ROE; CRAR headroom; GNPA/NNPA; LCR; PCA proximity; RAS scorecard; complaints</w:t>
            </w:r>
          </w:p>
        </w:tc>
        <w:tc>
          <w:tcPr>
            <w:tcW w:w="1242" w:type="dxa"/>
          </w:tcPr>
          <w:p>
            <w:pPr>
              <w:pStyle w:val="Compact"/>
              <w:spacing w:after="40"/>
              <w:jc w:val="left"/>
            </w:pPr>
            <w:r>
              <w:rPr>
                <w:sz w:val="18"/>
              </w:rPr>
              <w:t xml:space="preserve">Branch, officer, product, vintage</w:t>
            </w:r>
          </w:p>
        </w:tc>
        <w:tc>
          <w:tcPr>
            <w:tcW w:w="2051" w:type="dxa"/>
          </w:tcPr>
          <w:p>
            <w:pPr>
              <w:pStyle w:val="Compact"/>
              <w:spacing w:after="40"/>
              <w:jc w:val="left"/>
            </w:pPr>
            <w:r>
              <w:rPr>
                <w:sz w:val="18"/>
              </w:rPr>
              <w:t xml:space="preserve">Any red RAS metric; PCA forecast; LE breach; cyber incident</w:t>
            </w:r>
          </w:p>
        </w:tc>
        <w:tc>
          <w:tcPr>
            <w:tcW w:w="2020" w:type="dxa"/>
          </w:tcPr>
          <w:p>
            <w:pPr>
              <w:pStyle w:val="Compact"/>
              <w:spacing w:after="40"/>
              <w:jc w:val="left"/>
            </w:pPr>
            <w:r>
              <w:rPr>
                <w:sz w:val="18"/>
              </w:rPr>
              <w:t xml:space="preserve">Board-pack cover; quarterly fit-and-proper statement certificate (GOV 14)</w:t>
            </w:r>
          </w:p>
        </w:tc>
      </w:tr>
      <w:tr>
        <w:tc>
          <w:tcPr>
            <w:tcW w:w="1081" w:type="dxa"/>
          </w:tcPr>
          <w:p>
            <w:pPr>
              <w:pStyle w:val="Compact"/>
              <w:spacing w:after="40"/>
              <w:jc w:val="left"/>
            </w:pPr>
            <w:r>
              <w:rPr>
                <w:sz w:val="18"/>
              </w:rPr>
              <w:t xml:space="preserve">CFO</w:t>
            </w:r>
          </w:p>
        </w:tc>
        <w:tc>
          <w:tcPr>
            <w:tcW w:w="3244" w:type="dxa"/>
          </w:tcPr>
          <w:p>
            <w:pPr>
              <w:pStyle w:val="Compact"/>
              <w:spacing w:after="40"/>
              <w:jc w:val="left"/>
            </w:pPr>
            <w:r>
              <w:rPr>
                <w:sz w:val="18"/>
              </w:rPr>
              <w:t xml:space="preserve">CRAR, Tier 1, CET1 and RWA walk; SLS and IRS; LCR; cost of funds; maturity wall; covenants; ECL vs IRACP and Impairment Reserve; profitability</w:t>
            </w:r>
          </w:p>
        </w:tc>
        <w:tc>
          <w:tcPr>
            <w:tcW w:w="1242" w:type="dxa"/>
          </w:tcPr>
          <w:p>
            <w:pPr>
              <w:pStyle w:val="Compact"/>
              <w:spacing w:after="40"/>
              <w:jc w:val="left"/>
            </w:pPr>
            <w:r>
              <w:rPr>
                <w:sz w:val="18"/>
              </w:rPr>
              <w:t xml:space="preserve">RWA by class; lineage to GL</w:t>
            </w:r>
          </w:p>
        </w:tc>
        <w:tc>
          <w:tcPr>
            <w:tcW w:w="2051" w:type="dxa"/>
          </w:tcPr>
          <w:p>
            <w:pPr>
              <w:pStyle w:val="Compact"/>
              <w:spacing w:after="40"/>
              <w:jc w:val="left"/>
            </w:pPr>
            <w:r>
              <w:rPr>
                <w:sz w:val="18"/>
              </w:rPr>
              <w:t xml:space="preserve">Covenant headroom; LCR below 110%; SLS above 80% of limit</w:t>
            </w:r>
          </w:p>
        </w:tc>
        <w:tc>
          <w:tcPr>
            <w:tcW w:w="2020" w:type="dxa"/>
          </w:tcPr>
          <w:p>
            <w:pPr>
              <w:pStyle w:val="Compact"/>
              <w:spacing w:after="40"/>
              <w:jc w:val="left"/>
            </w:pPr>
            <w:r>
              <w:rPr>
                <w:sz w:val="18"/>
              </w:rPr>
              <w:t xml:space="preserve">DNBS03 and ALM returns; ICAAP capital plan</w:t>
            </w:r>
          </w:p>
        </w:tc>
      </w:tr>
      <w:tr>
        <w:tc>
          <w:tcPr>
            <w:tcW w:w="1081" w:type="dxa"/>
          </w:tcPr>
          <w:p>
            <w:pPr>
              <w:pStyle w:val="Compact"/>
              <w:spacing w:after="40"/>
              <w:jc w:val="left"/>
            </w:pPr>
            <w:r>
              <w:rPr>
                <w:sz w:val="18"/>
              </w:rPr>
              <w:t xml:space="preserve">CRO</w:t>
            </w:r>
          </w:p>
        </w:tc>
        <w:tc>
          <w:tcPr>
            <w:tcW w:w="3244" w:type="dxa"/>
          </w:tcPr>
          <w:p>
            <w:pPr>
              <w:pStyle w:val="Compact"/>
              <w:spacing w:after="40"/>
              <w:jc w:val="left"/>
            </w:pPr>
            <w:r>
              <w:rPr>
                <w:sz w:val="18"/>
              </w:rPr>
              <w:t xml:space="preserve">RAS utilisation; credit heatmap; concentration and SSE; EWS alert ageing; stress results; model inventory; operational losses; RCSA coverage; KRIs; impact tolerances; third-party risk</w:t>
            </w:r>
          </w:p>
        </w:tc>
        <w:tc>
          <w:tcPr>
            <w:tcW w:w="1242" w:type="dxa"/>
          </w:tcPr>
          <w:p>
            <w:pPr>
              <w:pStyle w:val="Compact"/>
              <w:spacing w:after="40"/>
              <w:jc w:val="left"/>
            </w:pPr>
            <w:r>
              <w:rPr>
                <w:sz w:val="18"/>
              </w:rPr>
              <w:t xml:space="preserve">Group links; scenario detail</w:t>
            </w:r>
          </w:p>
        </w:tc>
        <w:tc>
          <w:tcPr>
            <w:tcW w:w="2051" w:type="dxa"/>
          </w:tcPr>
          <w:p>
            <w:pPr>
              <w:pStyle w:val="Compact"/>
              <w:spacing w:after="40"/>
              <w:jc w:val="left"/>
            </w:pPr>
            <w:r>
              <w:rPr>
                <w:sz w:val="18"/>
              </w:rPr>
              <w:t xml:space="preserve">Limit breach; EWS ageing; model validation overdue; tolerance breach</w:t>
            </w:r>
          </w:p>
        </w:tc>
        <w:tc>
          <w:tcPr>
            <w:tcW w:w="2020" w:type="dxa"/>
          </w:tcPr>
          <w:p>
            <w:pPr>
              <w:pStyle w:val="Compact"/>
              <w:spacing w:after="40"/>
              <w:jc w:val="left"/>
            </w:pPr>
            <w:r>
              <w:rPr>
                <w:sz w:val="18"/>
              </w:rPr>
              <w:t xml:space="preserve">Product vetting; ICAAP; stress results; RMC pack</w:t>
            </w:r>
          </w:p>
        </w:tc>
      </w:tr>
      <w:tr>
        <w:tc>
          <w:tcPr>
            <w:tcW w:w="1081" w:type="dxa"/>
          </w:tcPr>
          <w:p>
            <w:pPr>
              <w:pStyle w:val="Compact"/>
              <w:spacing w:after="40"/>
              <w:jc w:val="left"/>
            </w:pPr>
            <w:r>
              <w:rPr>
                <w:sz w:val="18"/>
              </w:rPr>
              <w:t xml:space="preserve">CCO</w:t>
            </w:r>
          </w:p>
        </w:tc>
        <w:tc>
          <w:tcPr>
            <w:tcW w:w="3244" w:type="dxa"/>
          </w:tcPr>
          <w:p>
            <w:pPr>
              <w:pStyle w:val="Compact"/>
              <w:spacing w:after="40"/>
              <w:jc w:val="left"/>
            </w:pPr>
            <w:r>
              <w:rPr>
                <w:sz w:val="18"/>
              </w:rPr>
              <w:t xml:space="preserve">Obligation register; returns calendar; compliance tests; RMP/MAP; product approvals; inspection observations; penalties</w:t>
            </w:r>
          </w:p>
        </w:tc>
        <w:tc>
          <w:tcPr>
            <w:tcW w:w="1242" w:type="dxa"/>
          </w:tcPr>
          <w:p>
            <w:pPr>
              <w:pStyle w:val="Compact"/>
              <w:spacing w:after="40"/>
              <w:jc w:val="left"/>
            </w:pPr>
            <w:r>
              <w:rPr>
                <w:sz w:val="18"/>
              </w:rPr>
              <w:t xml:space="preserve">Obligation to evidence</w:t>
            </w:r>
          </w:p>
        </w:tc>
        <w:tc>
          <w:tcPr>
            <w:tcW w:w="2051" w:type="dxa"/>
          </w:tcPr>
          <w:p>
            <w:pPr>
              <w:pStyle w:val="Compact"/>
              <w:spacing w:after="40"/>
              <w:jc w:val="left"/>
            </w:pPr>
            <w:r>
              <w:rPr>
                <w:sz w:val="18"/>
              </w:rPr>
              <w:t xml:space="preserve">Return due within 3 days and not ready; overdue inspection compliance; pending DAKSH items</w:t>
            </w:r>
          </w:p>
        </w:tc>
        <w:tc>
          <w:tcPr>
            <w:tcW w:w="2020" w:type="dxa"/>
          </w:tcPr>
          <w:p>
            <w:pPr>
              <w:pStyle w:val="Compact"/>
              <w:spacing w:after="40"/>
              <w:jc w:val="left"/>
            </w:pPr>
            <w:r>
              <w:rPr>
                <w:sz w:val="18"/>
              </w:rPr>
              <w:t xml:space="preserve">Annual compliance risk assessment (CMP 7)</w:t>
            </w:r>
          </w:p>
        </w:tc>
      </w:tr>
      <w:tr>
        <w:tc>
          <w:tcPr>
            <w:tcW w:w="1081" w:type="dxa"/>
          </w:tcPr>
          <w:p>
            <w:pPr>
              <w:pStyle w:val="Compact"/>
              <w:spacing w:after="40"/>
              <w:jc w:val="left"/>
            </w:pPr>
            <w:r>
              <w:rPr>
                <w:sz w:val="18"/>
              </w:rPr>
              <w:t xml:space="preserve">Chief Credit Officer</w:t>
            </w:r>
          </w:p>
        </w:tc>
        <w:tc>
          <w:tcPr>
            <w:tcW w:w="3244" w:type="dxa"/>
          </w:tcPr>
          <w:p>
            <w:pPr>
              <w:pStyle w:val="Compact"/>
              <w:spacing w:after="40"/>
              <w:jc w:val="left"/>
            </w:pPr>
            <w:r>
              <w:rPr>
                <w:sz w:val="18"/>
              </w:rPr>
              <w:t xml:space="preserve">TAT; deviation rate; early delinquency by cohort; sector caps; related-party sanctions</w:t>
            </w:r>
          </w:p>
        </w:tc>
        <w:tc>
          <w:tcPr>
            <w:tcW w:w="1242" w:type="dxa"/>
          </w:tcPr>
          <w:p>
            <w:pPr>
              <w:pStyle w:val="Compact"/>
              <w:spacing w:after="40"/>
              <w:jc w:val="left"/>
            </w:pPr>
            <w:r>
              <w:rPr>
                <w:sz w:val="18"/>
              </w:rPr>
              <w:t xml:space="preserve">Deviation to approver</w:t>
            </w:r>
          </w:p>
        </w:tc>
        <w:tc>
          <w:tcPr>
            <w:tcW w:w="2051" w:type="dxa"/>
          </w:tcPr>
          <w:p>
            <w:pPr>
              <w:pStyle w:val="Compact"/>
              <w:spacing w:after="40"/>
              <w:jc w:val="left"/>
            </w:pPr>
            <w:r>
              <w:rPr>
                <w:sz w:val="18"/>
              </w:rPr>
              <w:t xml:space="preserve">Deviation-rate spike; related-party loan above materiality without Board approval</w:t>
            </w:r>
          </w:p>
        </w:tc>
        <w:tc>
          <w:tcPr>
            <w:tcW w:w="2020" w:type="dxa"/>
          </w:tcPr>
          <w:p>
            <w:pPr>
              <w:pStyle w:val="Compact"/>
              <w:spacing w:after="40"/>
              <w:jc w:val="left"/>
            </w:pPr>
            <w:r>
              <w:rPr>
                <w:sz w:val="18"/>
              </w:rPr>
              <w:t xml:space="preserve">Deviation log; committee minutes</w:t>
            </w:r>
          </w:p>
        </w:tc>
      </w:tr>
      <w:tr>
        <w:tc>
          <w:tcPr>
            <w:tcW w:w="1081" w:type="dxa"/>
          </w:tcPr>
          <w:p>
            <w:pPr>
              <w:pStyle w:val="Compact"/>
              <w:spacing w:after="40"/>
              <w:jc w:val="left"/>
            </w:pPr>
            <w:r>
              <w:rPr>
                <w:sz w:val="18"/>
              </w:rPr>
              <w:t xml:space="preserve">Head of Internal Audit</w:t>
            </w:r>
          </w:p>
        </w:tc>
        <w:tc>
          <w:tcPr>
            <w:tcW w:w="3244" w:type="dxa"/>
          </w:tcPr>
          <w:p>
            <w:pPr>
              <w:pStyle w:val="Compact"/>
              <w:spacing w:after="40"/>
              <w:jc w:val="left"/>
            </w:pPr>
            <w:r>
              <w:rPr>
                <w:sz w:val="18"/>
              </w:rPr>
              <w:t xml:space="preserve">Plan progress; High/Medium findings and ageing; repeat findings; RBIA heatmap; quarterly related-party review; CAAT exceptions</w:t>
            </w:r>
          </w:p>
        </w:tc>
        <w:tc>
          <w:tcPr>
            <w:tcW w:w="1242" w:type="dxa"/>
          </w:tcPr>
          <w:p>
            <w:pPr>
              <w:pStyle w:val="Compact"/>
              <w:spacing w:after="40"/>
              <w:jc w:val="left"/>
            </w:pPr>
            <w:r>
              <w:rPr>
                <w:sz w:val="18"/>
              </w:rPr>
              <w:t xml:space="preserve">Finding to response</w:t>
            </w:r>
          </w:p>
        </w:tc>
        <w:tc>
          <w:tcPr>
            <w:tcW w:w="2051" w:type="dxa"/>
          </w:tcPr>
          <w:p>
            <w:pPr>
              <w:pStyle w:val="Compact"/>
              <w:spacing w:after="40"/>
              <w:jc w:val="left"/>
            </w:pPr>
            <w:r>
              <w:rPr>
                <w:sz w:val="18"/>
              </w:rPr>
              <w:t xml:space="preserve">High finding open more than 90 days</w:t>
            </w:r>
          </w:p>
        </w:tc>
        <w:tc>
          <w:tcPr>
            <w:tcW w:w="2020" w:type="dxa"/>
          </w:tcPr>
          <w:p>
            <w:pPr>
              <w:pStyle w:val="Compact"/>
              <w:spacing w:after="40"/>
              <w:jc w:val="left"/>
            </w:pPr>
            <w:r>
              <w:rPr>
                <w:sz w:val="18"/>
              </w:rPr>
              <w:t xml:space="preserve">Reports; quarterly ACB in-camera note</w:t>
            </w:r>
          </w:p>
        </w:tc>
      </w:tr>
      <w:tr>
        <w:tc>
          <w:tcPr>
            <w:tcW w:w="1081" w:type="dxa"/>
          </w:tcPr>
          <w:p>
            <w:pPr>
              <w:pStyle w:val="Compact"/>
              <w:spacing w:after="40"/>
              <w:jc w:val="left"/>
            </w:pPr>
            <w:r>
              <w:rPr>
                <w:sz w:val="18"/>
              </w:rPr>
              <w:t xml:space="preserve">Company Secretary</w:t>
            </w:r>
          </w:p>
        </w:tc>
        <w:tc>
          <w:tcPr>
            <w:tcW w:w="3244" w:type="dxa"/>
          </w:tcPr>
          <w:p>
            <w:pPr>
              <w:pStyle w:val="Compact"/>
              <w:spacing w:after="40"/>
              <w:jc w:val="left"/>
            </w:pPr>
            <w:r>
              <w:rPr>
                <w:sz w:val="18"/>
              </w:rPr>
              <w:t xml:space="preserve">Board and committee calendar and composition (GOV 15–18; CYB 71); in-camera compliance; 31 March fit-and-proper declarations; KMP and independent-director limits (GOV 26–27); CRO and CCO change intimations; listed disclosures</w:t>
            </w:r>
          </w:p>
        </w:tc>
        <w:tc>
          <w:tcPr>
            <w:tcW w:w="1242" w:type="dxa"/>
          </w:tcPr>
          <w:p>
            <w:pPr>
              <w:pStyle w:val="Compact"/>
              <w:spacing w:after="40"/>
              <w:jc w:val="left"/>
            </w:pPr>
            <w:r>
              <w:rPr>
                <w:sz w:val="18"/>
              </w:rPr>
              <w:t xml:space="preserve">Meeting to action</w:t>
            </w:r>
          </w:p>
        </w:tc>
        <w:tc>
          <w:tcPr>
            <w:tcW w:w="2051" w:type="dxa"/>
          </w:tcPr>
          <w:p>
            <w:pPr>
              <w:pStyle w:val="Compact"/>
              <w:spacing w:after="40"/>
              <w:jc w:val="left"/>
            </w:pPr>
            <w:r>
              <w:rPr>
                <w:sz w:val="18"/>
              </w:rPr>
              <w:t xml:space="preserve">Missing declarations; quarterly statement due within 15 days of quarter-end (GOV 14)</w:t>
            </w:r>
          </w:p>
        </w:tc>
        <w:tc>
          <w:tcPr>
            <w:tcW w:w="2020" w:type="dxa"/>
          </w:tcPr>
          <w:p>
            <w:pPr>
              <w:pStyle w:val="Compact"/>
              <w:spacing w:after="40"/>
              <w:jc w:val="left"/>
            </w:pPr>
            <w:r>
              <w:rPr>
                <w:sz w:val="18"/>
              </w:rPr>
              <w:t xml:space="preserve">Minutes, ATRs, DoS/NHB intimations</w:t>
            </w:r>
          </w:p>
        </w:tc>
      </w:tr>
      <w:tr>
        <w:tc>
          <w:tcPr>
            <w:tcW w:w="1081" w:type="dxa"/>
          </w:tcPr>
          <w:p>
            <w:pPr>
              <w:pStyle w:val="Compact"/>
              <w:spacing w:after="40"/>
              <w:jc w:val="left"/>
            </w:pPr>
            <w:r>
              <w:rPr>
                <w:sz w:val="18"/>
              </w:rPr>
              <w:t xml:space="preserve">Board</w:t>
            </w:r>
          </w:p>
        </w:tc>
        <w:tc>
          <w:tcPr>
            <w:tcW w:w="3244" w:type="dxa"/>
          </w:tcPr>
          <w:p>
            <w:pPr>
              <w:pStyle w:val="Compact"/>
              <w:spacing w:after="40"/>
              <w:jc w:val="left"/>
            </w:pPr>
            <w:r>
              <w:rPr>
                <w:sz w:val="18"/>
              </w:rPr>
              <w:t xml:space="preserve">One-page RAS RAG; capital; liquidity; asset quality; concentration; top 10 risks; compliance; frauds; cyber; ICAAP; PCA</w:t>
            </w:r>
          </w:p>
        </w:tc>
        <w:tc>
          <w:tcPr>
            <w:tcW w:w="1242" w:type="dxa"/>
          </w:tcPr>
          <w:p>
            <w:pPr>
              <w:pStyle w:val="Compact"/>
              <w:spacing w:after="40"/>
              <w:jc w:val="left"/>
            </w:pPr>
            <w:r>
              <w:rPr>
                <w:sz w:val="18"/>
              </w:rPr>
              <w:t xml:space="preserve">Committee packs</w:t>
            </w:r>
          </w:p>
        </w:tc>
        <w:tc>
          <w:tcPr>
            <w:tcW w:w="2051" w:type="dxa"/>
          </w:tcPr>
          <w:p>
            <w:pPr>
              <w:pStyle w:val="Compact"/>
              <w:spacing w:after="40"/>
              <w:jc w:val="left"/>
            </w:pPr>
            <w:r>
              <w:rPr>
                <w:sz w:val="18"/>
              </w:rPr>
              <w:t xml:space="preserve">—</w:t>
            </w:r>
          </w:p>
        </w:tc>
        <w:tc>
          <w:tcPr>
            <w:tcW w:w="2020" w:type="dxa"/>
          </w:tcPr>
          <w:p>
            <w:pPr>
              <w:pStyle w:val="Compact"/>
              <w:spacing w:after="40"/>
              <w:jc w:val="left"/>
            </w:pPr>
            <w:r>
              <w:rPr>
                <w:sz w:val="18"/>
              </w:rPr>
              <w:t xml:space="preserve">RAS, ICAAP, policies, critical operations and tolerances (ORM 31–32), ECL model changes</w:t>
            </w:r>
          </w:p>
        </w:tc>
      </w:tr>
      <w:tr>
        <w:tc>
          <w:tcPr>
            <w:tcW w:w="1081" w:type="dxa"/>
          </w:tcPr>
          <w:p>
            <w:pPr>
              <w:pStyle w:val="Compact"/>
              <w:spacing w:after="40"/>
              <w:jc w:val="left"/>
            </w:pPr>
            <w:r>
              <w:rPr>
                <w:sz w:val="18"/>
              </w:rPr>
              <w:t xml:space="preserve">Audit Committee</w:t>
            </w:r>
          </w:p>
        </w:tc>
        <w:tc>
          <w:tcPr>
            <w:tcW w:w="3244" w:type="dxa"/>
          </w:tcPr>
          <w:p>
            <w:pPr>
              <w:pStyle w:val="Compact"/>
              <w:spacing w:after="40"/>
              <w:jc w:val="left"/>
            </w:pPr>
            <w:r>
              <w:rPr>
                <w:sz w:val="18"/>
              </w:rPr>
              <w:t xml:space="preserve">ECL overlays and model changes; accounts above 90 DPD not impaired; SICR rebuttals; divergence; IS audit; internal-audit findings; related-party deviations</w:t>
            </w:r>
          </w:p>
        </w:tc>
        <w:tc>
          <w:tcPr>
            <w:tcW w:w="1242" w:type="dxa"/>
          </w:tcPr>
          <w:p>
            <w:pPr>
              <w:pStyle w:val="Compact"/>
              <w:spacing w:after="40"/>
              <w:jc w:val="left"/>
            </w:pPr>
            <w:r>
              <w:rPr>
                <w:sz w:val="18"/>
              </w:rPr>
              <w:t xml:space="preserve">Finding and overlay detail</w:t>
            </w:r>
          </w:p>
        </w:tc>
        <w:tc>
          <w:tcPr>
            <w:tcW w:w="2051" w:type="dxa"/>
          </w:tcPr>
          <w:p>
            <w:pPr>
              <w:pStyle w:val="Compact"/>
              <w:spacing w:after="40"/>
              <w:jc w:val="left"/>
            </w:pPr>
            <w:r>
              <w:rPr>
                <w:sz w:val="18"/>
              </w:rPr>
              <w:t xml:space="preserve">—</w:t>
            </w:r>
          </w:p>
        </w:tc>
        <w:tc>
          <w:tcPr>
            <w:tcW w:w="2020" w:type="dxa"/>
          </w:tcPr>
          <w:p>
            <w:pPr>
              <w:pStyle w:val="Compact"/>
              <w:spacing w:after="40"/>
              <w:jc w:val="left"/>
            </w:pPr>
            <w:r>
              <w:rPr>
                <w:sz w:val="18"/>
              </w:rPr>
              <w:t xml:space="preserve">Overlays; IS audit policy (CYB 150)</w:t>
            </w:r>
          </w:p>
        </w:tc>
      </w:tr>
      <w:tr>
        <w:tc>
          <w:tcPr>
            <w:tcW w:w="1081" w:type="dxa"/>
          </w:tcPr>
          <w:p>
            <w:pPr>
              <w:pStyle w:val="Compact"/>
              <w:spacing w:after="40"/>
              <w:jc w:val="left"/>
            </w:pPr>
            <w:r>
              <w:rPr>
                <w:sz w:val="18"/>
              </w:rPr>
              <w:t xml:space="preserve">Risk Management Committee</w:t>
            </w:r>
          </w:p>
        </w:tc>
        <w:tc>
          <w:tcPr>
            <w:tcW w:w="3244" w:type="dxa"/>
          </w:tcPr>
          <w:p>
            <w:pPr>
              <w:pStyle w:val="Compact"/>
              <w:spacing w:after="40"/>
              <w:jc w:val="left"/>
            </w:pPr>
            <w:r>
              <w:rPr>
                <w:sz w:val="18"/>
              </w:rPr>
              <w:t xml:space="preserve">All CRO items plus liquidity; EWS effectiveness (FRM 14); CISO review (CYB 82(7)); outsourcing review</w:t>
            </w:r>
          </w:p>
        </w:tc>
        <w:tc>
          <w:tcPr>
            <w:tcW w:w="1242" w:type="dxa"/>
          </w:tcPr>
          <w:p>
            <w:pPr>
              <w:pStyle w:val="Compact"/>
              <w:spacing w:after="40"/>
              <w:jc w:val="left"/>
            </w:pPr>
            <w:r>
              <w:rPr>
                <w:sz w:val="18"/>
              </w:rPr>
              <w:t xml:space="preserve">Risk to KRI to loss</w:t>
            </w:r>
          </w:p>
        </w:tc>
        <w:tc>
          <w:tcPr>
            <w:tcW w:w="2051" w:type="dxa"/>
          </w:tcPr>
          <w:p>
            <w:pPr>
              <w:pStyle w:val="Compact"/>
              <w:spacing w:after="40"/>
              <w:jc w:val="left"/>
            </w:pPr>
            <w:r>
              <w:rPr>
                <w:sz w:val="18"/>
              </w:rPr>
              <w:t xml:space="preserve">—</w:t>
            </w:r>
          </w:p>
        </w:tc>
        <w:tc>
          <w:tcPr>
            <w:tcW w:w="2020" w:type="dxa"/>
          </w:tcPr>
          <w:p>
            <w:pPr>
              <w:pStyle w:val="Compact"/>
              <w:spacing w:after="40"/>
              <w:jc w:val="left"/>
            </w:pPr>
            <w:r>
              <w:rPr>
                <w:sz w:val="18"/>
              </w:rPr>
              <w:t xml:space="preserve">Recommends RAS and ICAAP</w:t>
            </w:r>
          </w:p>
        </w:tc>
      </w:tr>
      <w:tr>
        <w:tc>
          <w:tcPr>
            <w:tcW w:w="1081" w:type="dxa"/>
          </w:tcPr>
          <w:p>
            <w:pPr>
              <w:pStyle w:val="Compact"/>
              <w:spacing w:after="40"/>
              <w:jc w:val="left"/>
            </w:pPr>
            <w:r>
              <w:rPr>
                <w:sz w:val="18"/>
              </w:rPr>
              <w:t xml:space="preserve">ALCO</w:t>
            </w:r>
          </w:p>
        </w:tc>
        <w:tc>
          <w:tcPr>
            <w:tcW w:w="3244" w:type="dxa"/>
          </w:tcPr>
          <w:p>
            <w:pPr>
              <w:pStyle w:val="Compact"/>
              <w:spacing w:after="40"/>
              <w:jc w:val="left"/>
            </w:pPr>
            <w:r>
              <w:rPr>
                <w:sz w:val="18"/>
              </w:rPr>
              <w:t xml:space="preserve">SLS, IRS, LCR, stock ratios, FTP, funding plan, CFP triggers</w:t>
            </w:r>
          </w:p>
        </w:tc>
        <w:tc>
          <w:tcPr>
            <w:tcW w:w="1242" w:type="dxa"/>
          </w:tcPr>
          <w:p>
            <w:pPr>
              <w:pStyle w:val="Compact"/>
              <w:spacing w:after="40"/>
              <w:jc w:val="left"/>
            </w:pPr>
            <w:r>
              <w:rPr>
                <w:sz w:val="18"/>
              </w:rPr>
              <w:t xml:space="preserve">Bucket and counterparty</w:t>
            </w:r>
          </w:p>
        </w:tc>
        <w:tc>
          <w:tcPr>
            <w:tcW w:w="2051" w:type="dxa"/>
          </w:tcPr>
          <w:p>
            <w:pPr>
              <w:pStyle w:val="Compact"/>
              <w:spacing w:after="40"/>
              <w:jc w:val="left"/>
            </w:pPr>
            <w:r>
              <w:rPr>
                <w:sz w:val="18"/>
              </w:rPr>
              <w:t xml:space="preserve">Tolerance breach</w:t>
            </w:r>
          </w:p>
        </w:tc>
        <w:tc>
          <w:tcPr>
            <w:tcW w:w="2020" w:type="dxa"/>
          </w:tcPr>
          <w:p>
            <w:pPr>
              <w:pStyle w:val="Compact"/>
              <w:spacing w:after="40"/>
              <w:jc w:val="left"/>
            </w:pPr>
            <w:r>
              <w:rPr>
                <w:sz w:val="18"/>
              </w:rPr>
              <w:t xml:space="preserve">Behavioural assumptions (ALM 54); gap limits (ALM 11)</w:t>
            </w:r>
          </w:p>
        </w:tc>
      </w:tr>
      <w:tr>
        <w:tc>
          <w:tcPr>
            <w:tcW w:w="1081" w:type="dxa"/>
          </w:tcPr>
          <w:p>
            <w:pPr>
              <w:pStyle w:val="Compact"/>
              <w:spacing w:after="40"/>
              <w:jc w:val="left"/>
            </w:pPr>
            <w:r>
              <w:rPr>
                <w:sz w:val="18"/>
              </w:rPr>
              <w:t xml:space="preserve">IT Strategy Committee</w:t>
            </w:r>
          </w:p>
        </w:tc>
        <w:tc>
          <w:tcPr>
            <w:tcW w:w="3244" w:type="dxa"/>
          </w:tcPr>
          <w:p>
            <w:pPr>
              <w:pStyle w:val="Compact"/>
              <w:spacing w:after="40"/>
              <w:jc w:val="left"/>
            </w:pPr>
            <w:r>
              <w:rPr>
                <w:sz w:val="18"/>
              </w:rPr>
              <w:t xml:space="preserve">IT strategy; incidents (6-hour reporting); VA/PT status; DR drills; vendor risk; CISO report; CFSS progress (MSD 6)</w:t>
            </w:r>
          </w:p>
        </w:tc>
        <w:tc>
          <w:tcPr>
            <w:tcW w:w="1242" w:type="dxa"/>
          </w:tcPr>
          <w:p>
            <w:pPr>
              <w:pStyle w:val="Compact"/>
              <w:spacing w:after="40"/>
              <w:jc w:val="left"/>
            </w:pPr>
            <w:r>
              <w:rPr>
                <w:sz w:val="18"/>
              </w:rPr>
              <w:t xml:space="preserve">Incident and vulnerability</w:t>
            </w:r>
          </w:p>
        </w:tc>
        <w:tc>
          <w:tcPr>
            <w:tcW w:w="2051" w:type="dxa"/>
          </w:tcPr>
          <w:p>
            <w:pPr>
              <w:pStyle w:val="Compact"/>
              <w:spacing w:after="40"/>
              <w:jc w:val="left"/>
            </w:pPr>
            <w:r>
              <w:rPr>
                <w:sz w:val="18"/>
              </w:rPr>
              <w:t xml:space="preserve">Critical-vulnerability ageing; DR failure</w:t>
            </w:r>
          </w:p>
        </w:tc>
        <w:tc>
          <w:tcPr>
            <w:tcW w:w="2020" w:type="dxa"/>
          </w:tcPr>
          <w:p>
            <w:pPr>
              <w:pStyle w:val="Compact"/>
              <w:spacing w:after="40"/>
              <w:jc w:val="left"/>
            </w:pPr>
            <w:r>
              <w:rPr>
                <w:sz w:val="18"/>
              </w:rPr>
              <w:t xml:space="preserve">Minutes to Board</w:t>
            </w:r>
          </w:p>
        </w:tc>
      </w:tr>
    </w:tbl>
    <w:bookmarkEnd w:id="459"/>
    <w:bookmarkStart w:id="460" w:name="rk8.2-semantic-layer-and-customisation"/>
    <w:p>
      <w:pPr>
        <w:pStyle w:val="Heading3"/>
      </w:pPr>
      <w:r>
        <w:t xml:space="preserve">RK8.2 Semantic layer and customisation</w:t>
      </w:r>
    </w:p>
    <w:p>
      <w:pPr>
        <w:numPr>
          <w:ilvl w:val="0"/>
          <w:numId w:val="1427"/>
        </w:numPr>
        <w:pStyle w:val="Compact"/>
      </w:pPr>
      <w:r>
        <w:t xml:space="preserve">Tiles are built only from governed metrics (RK6) through the semantic layer; each tile shows metric version, as-of date, certification state and certifier.</w:t>
      </w:r>
    </w:p>
    <w:p>
      <w:pPr>
        <w:numPr>
          <w:ilvl w:val="0"/>
          <w:numId w:val="1427"/>
        </w:numPr>
        <w:pStyle w:val="Compact"/>
      </w:pPr>
      <w:r>
        <w:rPr>
          <w:bCs/>
          <w:b/>
        </w:rPr>
        <w:t xml:space="preserve">Per-KMP customisation.</w:t>
      </w:r>
      <w:r>
        <w:t xml:space="preserve"> </w:t>
      </w:r>
      <w:r>
        <w:t xml:space="preserve">Users can add, remove and arrange tiles, set personal alert thresholds</w:t>
      </w:r>
      <w:r>
        <w:t xml:space="preserve"> </w:t>
      </w:r>
      <w:r>
        <w:rPr>
          <w:bCs/>
          <w:b/>
        </w:rPr>
        <w:t xml:space="preserve">tighter</w:t>
      </w:r>
      <w:r>
        <w:t xml:space="preserve"> </w:t>
      </w:r>
      <w:r>
        <w:t xml:space="preserve">than the RAS (never looser), save filters (entity, branch, product) and subscribe to alerts (in-app, email, Teams or Google Chat through Part 7F GV7). Customisations are stored per user and versioned.</w:t>
      </w:r>
    </w:p>
    <w:p>
      <w:pPr>
        <w:numPr>
          <w:ilvl w:val="0"/>
          <w:numId w:val="1427"/>
        </w:numPr>
        <w:pStyle w:val="Compact"/>
      </w:pPr>
      <w:r>
        <w:rPr>
          <w:bCs/>
          <w:b/>
        </w:rPr>
        <w:t xml:space="preserve">Uncertified sandbox.</w:t>
      </w:r>
      <w:r>
        <w:t xml:space="preserve"> </w:t>
      </w:r>
      <w:r>
        <w:t xml:space="preserve">Ad hoc analysis (M17 copilot, SQL) is confined to a sandbox; sandbox outputs carry an</w:t>
      </w:r>
      <w:r>
        <w:t xml:space="preserve"> </w:t>
      </w:r>
      <w:r>
        <w:t xml:space="preserve">“</w:t>
      </w:r>
      <w:r>
        <w:t xml:space="preserve">uncertified</w:t>
      </w:r>
      <w:r>
        <w:t xml:space="preserve">”</w:t>
      </w:r>
      <w:r>
        <w:t xml:space="preserve"> </w:t>
      </w:r>
      <w:r>
        <w:t xml:space="preserve">watermark and cannot be added to a Board pack.</w:t>
      </w:r>
    </w:p>
    <w:p>
      <w:pPr>
        <w:numPr>
          <w:ilvl w:val="0"/>
          <w:numId w:val="1427"/>
        </w:numPr>
        <w:pStyle w:val="Compact"/>
      </w:pPr>
      <w:r>
        <w:rPr>
          <w:bCs/>
          <w:b/>
        </w:rPr>
        <w:t xml:space="preserve">Access.</w:t>
      </w:r>
      <w:r>
        <w:t xml:space="preserve"> </w:t>
      </w:r>
      <w:r>
        <w:t xml:space="preserve">Row-level security by role and entity; directors see packs of the Board and of committees they sit on; supervisors and auditors use AU7.</w:t>
      </w:r>
    </w:p>
    <w:p>
      <w:pPr>
        <w:numPr>
          <w:ilvl w:val="0"/>
          <w:numId w:val="1427"/>
        </w:numPr>
        <w:pStyle w:val="Compact"/>
      </w:pPr>
      <w:r>
        <w:rPr>
          <w:bCs/>
          <w:b/>
        </w:rPr>
        <w:t xml:space="preserve">Group view.</w:t>
      </w:r>
      <w:r>
        <w:t xml:space="preserve"> </w:t>
      </w:r>
      <w:r>
        <w:t xml:space="preserve">Consolidated metrics are separate metric versions with consolidation rules and entity drill-down.</w:t>
      </w:r>
    </w:p>
    <w:bookmarkEnd w:id="460"/>
    <w:bookmarkStart w:id="461" w:name="rk8.3-sign-off-and-board-pack-workflow"/>
    <w:p>
      <w:pPr>
        <w:pStyle w:val="Heading3"/>
      </w:pPr>
      <w:r>
        <w:t xml:space="preserve">RK8.3 Sign-off and Board-pack workflow</w:t>
      </w:r>
    </w:p>
    <w:p>
      <w:pPr>
        <w:numPr>
          <w:ilvl w:val="0"/>
          <w:numId w:val="1428"/>
        </w:numPr>
        <w:pStyle w:val="Compact"/>
      </w:pPr>
      <w:r>
        <w:rPr>
          <w:bCs/>
          <w:b/>
        </w:rPr>
        <w:t xml:space="preserve">Per metric value.</w:t>
      </w:r>
      <w:r>
        <w:t xml:space="preserve"> </w:t>
      </w:r>
      <w:r>
        <w:rPr>
          <w:rStyle w:val="VerbatimChar"/>
        </w:rPr>
        <w:t xml:space="preserve">COMPUTED → VALIDATED (data steward) → REVIEWED (checker) → CERTIFIED (owner eSign) → PUBLISHED</w:t>
      </w:r>
      <w:r>
        <w:t xml:space="preserve">. A source restatement automatically revokes certification and notifies the owner and the CS; the value returns to</w:t>
      </w:r>
      <w:r>
        <w:t xml:space="preserve"> </w:t>
      </w:r>
      <w:r>
        <w:rPr>
          <w:rStyle w:val="VerbatimChar"/>
        </w:rPr>
        <w:t xml:space="preserve">COMPUTED</w:t>
      </w:r>
      <w:r>
        <w:t xml:space="preserve">.</w:t>
      </w:r>
    </w:p>
    <w:p>
      <w:pPr>
        <w:numPr>
          <w:ilvl w:val="0"/>
          <w:numId w:val="1428"/>
        </w:numPr>
        <w:pStyle w:val="Compact"/>
      </w:pPr>
      <w:r>
        <w:rPr>
          <w:bCs/>
          <w:b/>
        </w:rPr>
        <w:t xml:space="preserve">Board-pack builder.</w:t>
      </w:r>
      <w:r>
        <w:t xml:space="preserve"> </w:t>
      </w:r>
      <w:r>
        <w:t xml:space="preserve">Pack template per committee; sections bound to certified metrics, narratives from owners, ATRs (Part 7D), compliance status (M14), ICAAP and stress summaries; pack freeze computes a hash over all values, versions and narratives; distribution through the board portal or workplace integration (Part 7F GV2, GV7); every tile in a frozen pack shows certifier, as-of date and metric version.</w:t>
      </w:r>
    </w:p>
    <w:p>
      <w:pPr>
        <w:numPr>
          <w:ilvl w:val="0"/>
          <w:numId w:val="1428"/>
        </w:numPr>
        <w:pStyle w:val="Compact"/>
      </w:pPr>
      <w:r>
        <w:rPr>
          <w:bCs/>
          <w:b/>
        </w:rPr>
        <w:t xml:space="preserve">Never auto-certify.</w:t>
      </w:r>
      <w:r>
        <w:t xml:space="preserve"> </w:t>
      </w:r>
      <w:r>
        <w:t xml:space="preserve">No metric is certified by the system; certification requires a named user in the owner role; a pack cannot be frozen with uncertified regulatory metrics unless each is labelled</w:t>
      </w:r>
      <w:r>
        <w:t xml:space="preserve"> </w:t>
      </w:r>
      <w:r>
        <w:t xml:space="preserve">“</w:t>
      </w:r>
      <w:r>
        <w:t xml:space="preserve">indicative</w:t>
      </w:r>
      <w:r>
        <w:t xml:space="preserve">”</w:t>
      </w:r>
      <w:r>
        <w:t xml:space="preserve"> </w:t>
      </w:r>
      <w:r>
        <w:t xml:space="preserve">with a reason.</w:t>
      </w:r>
    </w:p>
    <w:p>
      <w:pPr>
        <w:numPr>
          <w:ilvl w:val="0"/>
          <w:numId w:val="1428"/>
        </w:numPr>
        <w:pStyle w:val="Compact"/>
      </w:pPr>
      <w:r>
        <w:rPr>
          <w:bCs/>
          <w:b/>
        </w:rPr>
        <w:t xml:space="preserve">Events.</w:t>
      </w:r>
      <w:r>
        <w:t xml:space="preserve"> </w:t>
      </w:r>
      <w:r>
        <w:t xml:space="preserve">Pack freeze and certification are</w:t>
      </w:r>
      <w:r>
        <w:t xml:space="preserve"> </w:t>
      </w:r>
      <w:r>
        <w:rPr>
          <w:rStyle w:val="VerbatimChar"/>
        </w:rPr>
        <w:t xml:space="preserve">EvidenceSubmitted</w:t>
      </w:r>
      <w:r>
        <w:t xml:space="preserve"> </w:t>
      </w:r>
      <w:r>
        <w:t xml:space="preserve">to LawDocsComply; daily</w:t>
      </w:r>
      <w:r>
        <w:t xml:space="preserve"> </w:t>
      </w:r>
      <w:r>
        <w:rPr>
          <w:rStyle w:val="VerbatimChar"/>
        </w:rPr>
        <w:t xml:space="preserve">RiskSnapshotPublished</w:t>
      </w:r>
      <w:r>
        <w:t xml:space="preserve"> </w:t>
      </w:r>
      <w:r>
        <w:t xml:space="preserve">carries certification states.</w:t>
      </w:r>
    </w:p>
    <w:p>
      <w:pPr>
        <w:numPr>
          <w:ilvl w:val="0"/>
          <w:numId w:val="1428"/>
        </w:numPr>
        <w:pStyle w:val="Compact"/>
      </w:pPr>
      <w:r>
        <w:rPr>
          <w:bCs/>
          <w:b/>
        </w:rPr>
        <w:t xml:space="preserve">Pack states.</w:t>
      </w:r>
      <w:r>
        <w:t xml:space="preserve"> </w:t>
      </w:r>
      <w:r>
        <w:rPr>
          <w:rStyle w:val="VerbatimChar"/>
        </w:rPr>
        <w:t xml:space="preserve">DRAFT → IN_REVIEW</w:t>
      </w:r>
      <w:r>
        <w:t xml:space="preserve"> </w:t>
      </w:r>
      <w:r>
        <w:t xml:space="preserve">(section owners submit narratives; CS checks completeness)</w:t>
      </w:r>
      <w:r>
        <w:t xml:space="preserve"> </w:t>
      </w:r>
      <w:r>
        <w:rPr>
          <w:rStyle w:val="VerbatimChar"/>
        </w:rPr>
        <w:t xml:space="preserve">→ FROZEN</w:t>
      </w:r>
      <w:r>
        <w:t xml:space="preserve"> </w:t>
      </w:r>
      <w:r>
        <w:t xml:space="preserve">(hash)</w:t>
      </w:r>
      <w:r>
        <w:t xml:space="preserve"> </w:t>
      </w:r>
      <w:r>
        <w:rPr>
          <w:rStyle w:val="VerbatimChar"/>
        </w:rPr>
        <w:t xml:space="preserve">→ DISTRIBUTED</w:t>
      </w:r>
      <w:r>
        <w:t xml:space="preserve"> </w:t>
      </w:r>
      <w:r>
        <w:t xml:space="preserve">(board portal, with read receipts)</w:t>
      </w:r>
      <w:r>
        <w:t xml:space="preserve"> </w:t>
      </w:r>
      <w:r>
        <w:rPr>
          <w:rStyle w:val="VerbatimChar"/>
        </w:rPr>
        <w:t xml:space="preserve">→ SUPERSEDED</w:t>
      </w:r>
      <w:r>
        <w:t xml:space="preserve"> </w:t>
      </w:r>
      <w:r>
        <w:t xml:space="preserve">(restatement or re-issue; the original stays readable with its hash). A late change after freeze is an addendum pack, never an edit. Default timers: freeze 7 days before the meeting, distribution at least 7 days before for Board meetings (SS-1 notice clock in Part 7F GV2) [REC].</w:t>
      </w:r>
    </w:p>
    <w:p>
      <w:pPr>
        <w:numPr>
          <w:ilvl w:val="0"/>
          <w:numId w:val="1428"/>
        </w:numPr>
        <w:pStyle w:val="Compact"/>
      </w:pPr>
      <w:r>
        <w:rPr>
          <w:bCs/>
          <w:b/>
        </w:rPr>
        <w:t xml:space="preserve">Dashboard template change control.</w:t>
      </w:r>
      <w:r>
        <w:t xml:space="preserve"> </w:t>
      </w:r>
      <w:r>
        <w:t xml:space="preserve">Standard role templates are versioned by the platform; tenant changes to a standard template (adding or removing tiles for a role) go through maker-checker by the role owner and the CRO or CFO; a metric definition change follows RK6.1 change control and never happens on a dashboard.</w:t>
      </w:r>
    </w:p>
    <w:bookmarkEnd w:id="461"/>
    <w:bookmarkStart w:id="462" w:name="settings-and-options-14"/>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56"/>
        <w:gridCol w:w="2630"/>
        <w:gridCol w:w="1145"/>
        <w:gridCol w:w="3707"/>
      </w:tblGrid>
      <w:tr>
        <w:trPr>
          <w:tblHeader w:val="true"/>
          <w:tblHeader w:val="true"/>
        </w:trPr>
        <w:tc>
          <w:tcPr>
            <w:tcW w:w="2156" w:type="dxa"/>
            <w:shd w:val="clear" w:color="auto" w:fill="1F3A5F"/>
          </w:tcPr>
          <w:p>
            <w:pPr>
              <w:pStyle w:val="Compact"/>
              <w:spacing w:after="40"/>
              <w:jc w:val="left"/>
            </w:pPr>
            <w:r>
              <w:rPr>
                <w:b/>
                <w:color w:val="FFFFFF"/>
                <w:sz w:val="18"/>
              </w:rPr>
              <w:t xml:space="preserve">Setting</w:t>
            </w:r>
          </w:p>
        </w:tc>
        <w:tc>
          <w:tcPr>
            <w:tcW w:w="2630" w:type="dxa"/>
            <w:shd w:val="clear" w:color="auto" w:fill="1F3A5F"/>
          </w:tcPr>
          <w:p>
            <w:pPr>
              <w:pStyle w:val="Compact"/>
              <w:spacing w:after="40"/>
              <w:jc w:val="left"/>
            </w:pPr>
            <w:r>
              <w:rPr>
                <w:b/>
                <w:color w:val="FFFFFF"/>
                <w:sz w:val="18"/>
              </w:rPr>
              <w:t xml:space="preserve">Default</w:t>
            </w:r>
          </w:p>
        </w:tc>
        <w:tc>
          <w:tcPr>
            <w:tcW w:w="1145" w:type="dxa"/>
            <w:shd w:val="clear" w:color="auto" w:fill="1F3A5F"/>
          </w:tcPr>
          <w:p>
            <w:pPr>
              <w:pStyle w:val="Compact"/>
              <w:spacing w:after="40"/>
              <w:jc w:val="left"/>
            </w:pPr>
            <w:r>
              <w:rPr>
                <w:b/>
                <w:color w:val="FFFFFF"/>
                <w:sz w:val="18"/>
              </w:rPr>
              <w:t xml:space="preserve">Level</w:t>
            </w:r>
          </w:p>
        </w:tc>
        <w:tc>
          <w:tcPr>
            <w:tcW w:w="3707" w:type="dxa"/>
            <w:shd w:val="clear" w:color="auto" w:fill="1F3A5F"/>
          </w:tcPr>
          <w:p>
            <w:pPr>
              <w:pStyle w:val="Compact"/>
              <w:spacing w:after="40"/>
              <w:jc w:val="left"/>
            </w:pPr>
            <w:r>
              <w:rPr>
                <w:b/>
                <w:color w:val="FFFFFF"/>
                <w:sz w:val="18"/>
              </w:rPr>
              <w:t xml:space="preserve">Floor or choice</w:t>
            </w:r>
          </w:p>
        </w:tc>
      </w:tr>
      <w:tr>
        <w:tc>
          <w:tcPr>
            <w:tcW w:w="2156" w:type="dxa"/>
          </w:tcPr>
          <w:p>
            <w:pPr>
              <w:pStyle w:val="Compact"/>
              <w:spacing w:after="40"/>
              <w:jc w:val="left"/>
            </w:pPr>
            <w:r>
              <w:rPr>
                <w:sz w:val="18"/>
              </w:rPr>
              <w:t xml:space="preserve">Role templates</w:t>
            </w:r>
          </w:p>
        </w:tc>
        <w:tc>
          <w:tcPr>
            <w:tcW w:w="2630" w:type="dxa"/>
          </w:tcPr>
          <w:p>
            <w:pPr>
              <w:pStyle w:val="Compact"/>
              <w:spacing w:after="40"/>
              <w:jc w:val="left"/>
            </w:pPr>
            <w:r>
              <w:rPr>
                <w:sz w:val="18"/>
              </w:rPr>
              <w:t xml:space="preserve">12 standard templates (RK8.1)</w:t>
            </w:r>
          </w:p>
        </w:tc>
        <w:tc>
          <w:tcPr>
            <w:tcW w:w="1145" w:type="dxa"/>
          </w:tcPr>
          <w:p>
            <w:pPr>
              <w:pStyle w:val="Compact"/>
              <w:spacing w:after="40"/>
              <w:jc w:val="left"/>
            </w:pPr>
            <w:r>
              <w:rPr>
                <w:sz w:val="18"/>
              </w:rPr>
              <w:t xml:space="preserve">Tenant</w:t>
            </w:r>
          </w:p>
        </w:tc>
        <w:tc>
          <w:tcPr>
            <w:tcW w:w="3707" w:type="dxa"/>
          </w:tcPr>
          <w:p>
            <w:pPr>
              <w:pStyle w:val="Compact"/>
              <w:spacing w:after="40"/>
              <w:jc w:val="left"/>
            </w:pPr>
            <w:r>
              <w:rPr>
                <w:sz w:val="18"/>
              </w:rPr>
              <w:t xml:space="preserve">Choice to extend; certified tiles cannot be removed from Board and committee packs without the committee chair’s approval</w:t>
            </w:r>
          </w:p>
        </w:tc>
      </w:tr>
      <w:tr>
        <w:tc>
          <w:tcPr>
            <w:tcW w:w="2156" w:type="dxa"/>
          </w:tcPr>
          <w:p>
            <w:pPr>
              <w:pStyle w:val="Compact"/>
              <w:spacing w:after="40"/>
              <w:jc w:val="left"/>
            </w:pPr>
            <w:r>
              <w:rPr>
                <w:sz w:val="18"/>
              </w:rPr>
              <w:t xml:space="preserve">Personal alert thresholds</w:t>
            </w:r>
          </w:p>
        </w:tc>
        <w:tc>
          <w:tcPr>
            <w:tcW w:w="2630" w:type="dxa"/>
          </w:tcPr>
          <w:p>
            <w:pPr>
              <w:pStyle w:val="Compact"/>
              <w:spacing w:after="40"/>
              <w:jc w:val="left"/>
            </w:pPr>
            <w:r>
              <w:rPr>
                <w:sz w:val="18"/>
              </w:rPr>
              <w:t xml:space="preserve">Off</w:t>
            </w:r>
          </w:p>
        </w:tc>
        <w:tc>
          <w:tcPr>
            <w:tcW w:w="1145" w:type="dxa"/>
          </w:tcPr>
          <w:p>
            <w:pPr>
              <w:pStyle w:val="Compact"/>
              <w:spacing w:after="40"/>
              <w:jc w:val="left"/>
            </w:pPr>
            <w:r>
              <w:rPr>
                <w:sz w:val="18"/>
              </w:rPr>
              <w:t xml:space="preserve">User</w:t>
            </w:r>
          </w:p>
        </w:tc>
        <w:tc>
          <w:tcPr>
            <w:tcW w:w="3707" w:type="dxa"/>
          </w:tcPr>
          <w:p>
            <w:pPr>
              <w:pStyle w:val="Compact"/>
              <w:spacing w:after="40"/>
              <w:jc w:val="left"/>
            </w:pPr>
            <w:r>
              <w:rPr>
                <w:sz w:val="18"/>
              </w:rPr>
              <w:t xml:space="preserve">Only tighter than the RAS (floor)</w:t>
            </w:r>
          </w:p>
        </w:tc>
      </w:tr>
      <w:tr>
        <w:tc>
          <w:tcPr>
            <w:tcW w:w="2156" w:type="dxa"/>
          </w:tcPr>
          <w:p>
            <w:pPr>
              <w:pStyle w:val="Compact"/>
              <w:spacing w:after="40"/>
              <w:jc w:val="left"/>
            </w:pPr>
            <w:r>
              <w:rPr>
                <w:sz w:val="18"/>
              </w:rPr>
              <w:t xml:space="preserve">Alert channels</w:t>
            </w:r>
          </w:p>
        </w:tc>
        <w:tc>
          <w:tcPr>
            <w:tcW w:w="2630" w:type="dxa"/>
          </w:tcPr>
          <w:p>
            <w:pPr>
              <w:pStyle w:val="Compact"/>
              <w:spacing w:after="40"/>
              <w:jc w:val="left"/>
            </w:pPr>
            <w:r>
              <w:rPr>
                <w:sz w:val="18"/>
              </w:rPr>
              <w:t xml:space="preserve">In-app and e-mail; Teams or Google Chat optional</w:t>
            </w:r>
          </w:p>
        </w:tc>
        <w:tc>
          <w:tcPr>
            <w:tcW w:w="1145" w:type="dxa"/>
          </w:tcPr>
          <w:p>
            <w:pPr>
              <w:pStyle w:val="Compact"/>
              <w:spacing w:after="40"/>
              <w:jc w:val="left"/>
            </w:pPr>
            <w:r>
              <w:rPr>
                <w:sz w:val="18"/>
              </w:rPr>
              <w:t xml:space="preserve">User</w:t>
            </w:r>
          </w:p>
        </w:tc>
        <w:tc>
          <w:tcPr>
            <w:tcW w:w="3707" w:type="dxa"/>
          </w:tcPr>
          <w:p>
            <w:pPr>
              <w:pStyle w:val="Compact"/>
              <w:spacing w:after="40"/>
              <w:jc w:val="left"/>
            </w:pPr>
            <w:r>
              <w:rPr>
                <w:sz w:val="18"/>
              </w:rPr>
              <w:t xml:space="preserve">Choice; regulatory breaches always in-app and e-mail (floor)</w:t>
            </w:r>
          </w:p>
        </w:tc>
      </w:tr>
      <w:tr>
        <w:tc>
          <w:tcPr>
            <w:tcW w:w="2156" w:type="dxa"/>
          </w:tcPr>
          <w:p>
            <w:pPr>
              <w:pStyle w:val="Compact"/>
              <w:spacing w:after="40"/>
              <w:jc w:val="left"/>
            </w:pPr>
            <w:r>
              <w:rPr>
                <w:sz w:val="18"/>
              </w:rPr>
              <w:t xml:space="preserve">Quiet hours for non-breach alerts</w:t>
            </w:r>
          </w:p>
        </w:tc>
        <w:tc>
          <w:tcPr>
            <w:tcW w:w="2630" w:type="dxa"/>
          </w:tcPr>
          <w:p>
            <w:pPr>
              <w:pStyle w:val="Compact"/>
              <w:spacing w:after="40"/>
              <w:jc w:val="left"/>
            </w:pPr>
            <w:r>
              <w:rPr>
                <w:sz w:val="18"/>
              </w:rPr>
              <w:t xml:space="preserve">21:00–08:00</w:t>
            </w:r>
          </w:p>
        </w:tc>
        <w:tc>
          <w:tcPr>
            <w:tcW w:w="1145" w:type="dxa"/>
          </w:tcPr>
          <w:p>
            <w:pPr>
              <w:pStyle w:val="Compact"/>
              <w:spacing w:after="40"/>
              <w:jc w:val="left"/>
            </w:pPr>
            <w:r>
              <w:rPr>
                <w:sz w:val="18"/>
              </w:rPr>
              <w:t xml:space="preserve">User</w:t>
            </w:r>
          </w:p>
        </w:tc>
        <w:tc>
          <w:tcPr>
            <w:tcW w:w="3707" w:type="dxa"/>
          </w:tcPr>
          <w:p>
            <w:pPr>
              <w:pStyle w:val="Compact"/>
              <w:spacing w:after="40"/>
              <w:jc w:val="left"/>
            </w:pPr>
            <w:r>
              <w:rPr>
                <w:sz w:val="18"/>
              </w:rPr>
              <w:t xml:space="preserve">Choice; breaches ignore quiet hours</w:t>
            </w:r>
          </w:p>
        </w:tc>
      </w:tr>
      <w:tr>
        <w:tc>
          <w:tcPr>
            <w:tcW w:w="2156" w:type="dxa"/>
          </w:tcPr>
          <w:p>
            <w:pPr>
              <w:pStyle w:val="Compact"/>
              <w:spacing w:after="40"/>
              <w:jc w:val="left"/>
            </w:pPr>
            <w:r>
              <w:rPr>
                <w:sz w:val="18"/>
              </w:rPr>
              <w:t xml:space="preserve">Certification required for pack inclusion</w:t>
            </w:r>
          </w:p>
        </w:tc>
        <w:tc>
          <w:tcPr>
            <w:tcW w:w="2630" w:type="dxa"/>
          </w:tcPr>
          <w:p>
            <w:pPr>
              <w:pStyle w:val="Compact"/>
              <w:spacing w:after="40"/>
              <w:jc w:val="left"/>
            </w:pPr>
            <w:r>
              <w:rPr>
                <w:sz w:val="18"/>
              </w:rPr>
              <w:t xml:space="preserve">On for regulatory metrics</w:t>
            </w:r>
          </w:p>
        </w:tc>
        <w:tc>
          <w:tcPr>
            <w:tcW w:w="1145" w:type="dxa"/>
          </w:tcPr>
          <w:p>
            <w:pPr>
              <w:pStyle w:val="Compact"/>
              <w:spacing w:after="40"/>
              <w:jc w:val="left"/>
            </w:pPr>
            <w:r>
              <w:rPr>
                <w:sz w:val="18"/>
              </w:rPr>
              <w:t xml:space="preserve">Tenant</w:t>
            </w:r>
          </w:p>
        </w:tc>
        <w:tc>
          <w:tcPr>
            <w:tcW w:w="3707" w:type="dxa"/>
          </w:tcPr>
          <w:p>
            <w:pPr>
              <w:pStyle w:val="Compact"/>
              <w:spacing w:after="40"/>
              <w:jc w:val="left"/>
            </w:pPr>
            <w:r>
              <w:rPr>
                <w:sz w:val="18"/>
              </w:rPr>
              <w:t xml:space="preserve">Floor;</w:t>
            </w:r>
            <w:r>
              <w:rPr>
                <w:sz w:val="18"/>
              </w:rPr>
              <w:t xml:space="preserve"> </w:t>
            </w:r>
            <w:r>
              <w:rPr>
                <w:sz w:val="18"/>
              </w:rPr>
              <w:t xml:space="preserve">“</w:t>
            </w:r>
            <w:r>
              <w:rPr>
                <w:sz w:val="18"/>
              </w:rPr>
              <w:t xml:space="preserve">indicative with reason</w:t>
            </w:r>
            <w:r>
              <w:rPr>
                <w:sz w:val="18"/>
              </w:rPr>
              <w:t xml:space="preserve">”</w:t>
            </w:r>
            <w:r>
              <w:rPr>
                <w:sz w:val="18"/>
              </w:rPr>
              <w:t xml:space="preserve"> </w:t>
            </w:r>
            <w:r>
              <w:rPr>
                <w:sz w:val="18"/>
              </w:rPr>
              <w:t xml:space="preserve">is the only exception</w:t>
            </w:r>
          </w:p>
        </w:tc>
      </w:tr>
      <w:tr>
        <w:tc>
          <w:tcPr>
            <w:tcW w:w="2156" w:type="dxa"/>
          </w:tcPr>
          <w:p>
            <w:pPr>
              <w:pStyle w:val="Compact"/>
              <w:spacing w:after="40"/>
              <w:jc w:val="left"/>
            </w:pPr>
            <w:r>
              <w:rPr>
                <w:sz w:val="18"/>
              </w:rPr>
              <w:t xml:space="preserve">Export of dashboards</w:t>
            </w:r>
          </w:p>
        </w:tc>
        <w:tc>
          <w:tcPr>
            <w:tcW w:w="2630" w:type="dxa"/>
          </w:tcPr>
          <w:p>
            <w:pPr>
              <w:pStyle w:val="Compact"/>
              <w:spacing w:after="40"/>
              <w:jc w:val="left"/>
            </w:pPr>
            <w:r>
              <w:rPr>
                <w:sz w:val="18"/>
              </w:rPr>
              <w:t xml:space="preserve">PDF and XLSX with watermark (user, time, certification state)</w:t>
            </w:r>
          </w:p>
        </w:tc>
        <w:tc>
          <w:tcPr>
            <w:tcW w:w="1145" w:type="dxa"/>
          </w:tcPr>
          <w:p>
            <w:pPr>
              <w:pStyle w:val="Compact"/>
              <w:spacing w:after="40"/>
              <w:jc w:val="left"/>
            </w:pPr>
            <w:r>
              <w:rPr>
                <w:sz w:val="18"/>
              </w:rPr>
              <w:t xml:space="preserve">Tenant</w:t>
            </w:r>
          </w:p>
        </w:tc>
        <w:tc>
          <w:tcPr>
            <w:tcW w:w="3707" w:type="dxa"/>
          </w:tcPr>
          <w:p>
            <w:pPr>
              <w:pStyle w:val="Compact"/>
              <w:spacing w:after="40"/>
              <w:jc w:val="left"/>
            </w:pPr>
            <w:r>
              <w:rPr>
                <w:sz w:val="18"/>
              </w:rPr>
              <w:t xml:space="preserve">Choice to disable</w:t>
            </w:r>
          </w:p>
        </w:tc>
      </w:tr>
      <w:tr>
        <w:tc>
          <w:tcPr>
            <w:tcW w:w="2156" w:type="dxa"/>
          </w:tcPr>
          <w:p>
            <w:pPr>
              <w:pStyle w:val="Compact"/>
              <w:spacing w:after="40"/>
              <w:jc w:val="left"/>
            </w:pPr>
            <w:r>
              <w:rPr>
                <w:sz w:val="18"/>
              </w:rPr>
              <w:t xml:space="preserve">Default entity and period</w:t>
            </w:r>
          </w:p>
        </w:tc>
        <w:tc>
          <w:tcPr>
            <w:tcW w:w="2630" w:type="dxa"/>
          </w:tcPr>
          <w:p>
            <w:pPr>
              <w:pStyle w:val="Compact"/>
              <w:spacing w:after="40"/>
              <w:jc w:val="left"/>
            </w:pPr>
            <w:r>
              <w:rPr>
                <w:sz w:val="18"/>
              </w:rPr>
              <w:t xml:space="preserve">User’s home entity; last closed month</w:t>
            </w:r>
          </w:p>
        </w:tc>
        <w:tc>
          <w:tcPr>
            <w:tcW w:w="1145" w:type="dxa"/>
          </w:tcPr>
          <w:p>
            <w:pPr>
              <w:pStyle w:val="Compact"/>
              <w:spacing w:after="40"/>
              <w:jc w:val="left"/>
            </w:pPr>
            <w:r>
              <w:rPr>
                <w:sz w:val="18"/>
              </w:rPr>
              <w:t xml:space="preserve">User</w:t>
            </w:r>
          </w:p>
        </w:tc>
        <w:tc>
          <w:tcPr>
            <w:tcW w:w="3707" w:type="dxa"/>
          </w:tcPr>
          <w:p>
            <w:pPr>
              <w:pStyle w:val="Compact"/>
              <w:spacing w:after="40"/>
              <w:jc w:val="left"/>
            </w:pPr>
            <w:r>
              <w:rPr>
                <w:sz w:val="18"/>
              </w:rPr>
              <w:t xml:space="preserve">Choice</w:t>
            </w:r>
          </w:p>
        </w:tc>
      </w:tr>
    </w:tbl>
    <w:bookmarkEnd w:id="462"/>
    <w:bookmarkStart w:id="463" w:name="menu-and-screens-14"/>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26"/>
        <w:gridCol w:w="2943"/>
        <w:gridCol w:w="3469"/>
        <w:gridCol w:w="2000"/>
      </w:tblGrid>
      <w:tr>
        <w:trPr>
          <w:tblHeader w:val="true"/>
          <w:tblHeader w:val="true"/>
        </w:trPr>
        <w:tc>
          <w:tcPr>
            <w:tcW w:w="1226" w:type="dxa"/>
            <w:shd w:val="clear" w:color="auto" w:fill="1F3A5F"/>
          </w:tcPr>
          <w:p>
            <w:pPr>
              <w:pStyle w:val="Compact"/>
              <w:spacing w:after="40"/>
              <w:jc w:val="left"/>
            </w:pPr>
            <w:r>
              <w:rPr>
                <w:b/>
                <w:color w:val="FFFFFF"/>
                <w:sz w:val="18"/>
              </w:rPr>
              <w:t xml:space="preserve">Path (workspace M; also in J)</w:t>
            </w:r>
          </w:p>
        </w:tc>
        <w:tc>
          <w:tcPr>
            <w:tcW w:w="2943" w:type="dxa"/>
            <w:shd w:val="clear" w:color="auto" w:fill="1F3A5F"/>
          </w:tcPr>
          <w:p>
            <w:pPr>
              <w:pStyle w:val="Compact"/>
              <w:spacing w:after="40"/>
              <w:jc w:val="left"/>
            </w:pPr>
            <w:r>
              <w:rPr>
                <w:b/>
                <w:color w:val="FFFFFF"/>
                <w:sz w:val="18"/>
              </w:rPr>
              <w:t xml:space="preserve">Screens</w:t>
            </w:r>
          </w:p>
        </w:tc>
        <w:tc>
          <w:tcPr>
            <w:tcW w:w="3469" w:type="dxa"/>
            <w:shd w:val="clear" w:color="auto" w:fill="1F3A5F"/>
          </w:tcPr>
          <w:p>
            <w:pPr>
              <w:pStyle w:val="Compact"/>
              <w:spacing w:after="40"/>
              <w:jc w:val="left"/>
            </w:pPr>
            <w:r>
              <w:rPr>
                <w:b/>
                <w:color w:val="FFFFFF"/>
                <w:sz w:val="18"/>
              </w:rPr>
              <w:t xml:space="preserve">Key actions and rules</w:t>
            </w:r>
          </w:p>
        </w:tc>
        <w:tc>
          <w:tcPr>
            <w:tcW w:w="2000" w:type="dxa"/>
            <w:shd w:val="clear" w:color="auto" w:fill="1F3A5F"/>
          </w:tcPr>
          <w:p>
            <w:pPr>
              <w:pStyle w:val="Compact"/>
              <w:spacing w:after="40"/>
              <w:jc w:val="left"/>
            </w:pPr>
            <w:r>
              <w:rPr>
                <w:b/>
                <w:color w:val="FFFFFF"/>
                <w:sz w:val="18"/>
              </w:rPr>
              <w:t xml:space="preserve">Visible to</w:t>
            </w:r>
          </w:p>
        </w:tc>
      </w:tr>
      <w:tr>
        <w:tc>
          <w:tcPr>
            <w:tcW w:w="1226" w:type="dxa"/>
          </w:tcPr>
          <w:p>
            <w:pPr>
              <w:pStyle w:val="Compact"/>
              <w:spacing w:after="40"/>
              <w:jc w:val="left"/>
            </w:pPr>
            <w:r>
              <w:rPr>
                <w:rStyle w:val="VerbatimChar"/>
                <w:sz w:val="18"/>
              </w:rPr>
              <w:t xml:space="preserve">Dashboards › My dashboard</w:t>
            </w:r>
          </w:p>
        </w:tc>
        <w:tc>
          <w:tcPr>
            <w:tcW w:w="2943" w:type="dxa"/>
          </w:tcPr>
          <w:p>
            <w:pPr>
              <w:pStyle w:val="Compact"/>
              <w:spacing w:after="40"/>
              <w:jc w:val="left"/>
            </w:pPr>
            <w:r>
              <w:rPr>
                <w:sz w:val="18"/>
              </w:rPr>
              <w:t xml:space="preserve">Role template landing page (MD and CEO, CFO, CRO, CCO, Chief Credit Officer, HIA, CS) with tiles showing value, RAG, metric version, as-of date and certification badge</w:t>
            </w:r>
          </w:p>
        </w:tc>
        <w:tc>
          <w:tcPr>
            <w:tcW w:w="3469" w:type="dxa"/>
          </w:tcPr>
          <w:p>
            <w:pPr>
              <w:pStyle w:val="Compact"/>
              <w:spacing w:after="40"/>
              <w:jc w:val="left"/>
            </w:pPr>
            <w:r>
              <w:rPr>
                <w:sz w:val="18"/>
              </w:rPr>
              <w:t xml:space="preserve">Customise (add, remove, arrange tiles); save views (entity, branch, product, period); set personal thresholds; subscribe; drill down (tile → segment → record in at most three clicks, row-level security applied); open lineage; export</w:t>
            </w:r>
          </w:p>
        </w:tc>
        <w:tc>
          <w:tcPr>
            <w:tcW w:w="2000" w:type="dxa"/>
          </w:tcPr>
          <w:p>
            <w:pPr>
              <w:pStyle w:val="Compact"/>
              <w:spacing w:after="40"/>
              <w:jc w:val="left"/>
            </w:pPr>
            <w:r>
              <w:rPr>
                <w:sz w:val="18"/>
              </w:rPr>
              <w:t xml:space="preserve">The role holder; delegates with</w:t>
            </w:r>
            <w:r>
              <w:rPr>
                <w:sz w:val="18"/>
              </w:rPr>
              <w:t xml:space="preserve"> </w:t>
            </w:r>
            <w:r>
              <w:rPr>
                <w:sz w:val="18"/>
              </w:rPr>
              <w:t xml:space="preserve">“</w:t>
            </w:r>
            <w:r>
              <w:rPr>
                <w:sz w:val="18"/>
              </w:rPr>
              <w:t xml:space="preserve">view as</w:t>
            </w:r>
            <w:r>
              <w:rPr>
                <w:sz w:val="18"/>
              </w:rPr>
              <w:t xml:space="preserve">”</w:t>
            </w:r>
            <w:r>
              <w:rPr>
                <w:sz w:val="18"/>
              </w:rPr>
              <w:t xml:space="preserve"> </w:t>
            </w:r>
            <w:r>
              <w:rPr>
                <w:sz w:val="18"/>
              </w:rPr>
              <w:t xml:space="preserve">granted by the role holder (logged)</w:t>
            </w:r>
          </w:p>
        </w:tc>
      </w:tr>
      <w:tr>
        <w:tc>
          <w:tcPr>
            <w:tcW w:w="1226" w:type="dxa"/>
          </w:tcPr>
          <w:p>
            <w:pPr>
              <w:pStyle w:val="Compact"/>
              <w:spacing w:after="40"/>
              <w:jc w:val="left"/>
            </w:pPr>
            <w:r>
              <w:rPr>
                <w:rStyle w:val="VerbatimChar"/>
                <w:sz w:val="18"/>
              </w:rPr>
              <w:t xml:space="preserve">Dashboards › Committees</w:t>
            </w:r>
          </w:p>
        </w:tc>
        <w:tc>
          <w:tcPr>
            <w:tcW w:w="2943" w:type="dxa"/>
          </w:tcPr>
          <w:p>
            <w:pPr>
              <w:pStyle w:val="Compact"/>
              <w:spacing w:after="40"/>
              <w:jc w:val="left"/>
            </w:pPr>
            <w:r>
              <w:rPr>
                <w:sz w:val="18"/>
              </w:rPr>
              <w:t xml:space="preserve">RMC, Audit Committee, ALCO, ITSC, Board packs and live views</w:t>
            </w:r>
          </w:p>
        </w:tc>
        <w:tc>
          <w:tcPr>
            <w:tcW w:w="3469" w:type="dxa"/>
          </w:tcPr>
          <w:p>
            <w:pPr>
              <w:pStyle w:val="Compact"/>
              <w:spacing w:after="40"/>
              <w:jc w:val="left"/>
            </w:pPr>
            <w:r>
              <w:rPr>
                <w:sz w:val="18"/>
              </w:rPr>
              <w:t xml:space="preserve">Open pack; comment by section; acknowledge read; download watermarked PDF</w:t>
            </w:r>
          </w:p>
        </w:tc>
        <w:tc>
          <w:tcPr>
            <w:tcW w:w="2000" w:type="dxa"/>
          </w:tcPr>
          <w:p>
            <w:pPr>
              <w:pStyle w:val="Compact"/>
              <w:spacing w:after="40"/>
              <w:jc w:val="left"/>
            </w:pPr>
            <w:r>
              <w:rPr>
                <w:sz w:val="18"/>
              </w:rPr>
              <w:t xml:space="preserve">Committee members only (directors see only their committees)</w:t>
            </w:r>
          </w:p>
        </w:tc>
      </w:tr>
      <w:tr>
        <w:tc>
          <w:tcPr>
            <w:tcW w:w="1226" w:type="dxa"/>
          </w:tcPr>
          <w:p>
            <w:pPr>
              <w:pStyle w:val="Compact"/>
              <w:spacing w:after="40"/>
              <w:jc w:val="left"/>
            </w:pPr>
            <w:r>
              <w:rPr>
                <w:rStyle w:val="VerbatimChar"/>
                <w:sz w:val="18"/>
              </w:rPr>
              <w:t xml:space="preserve">Dashboards › Sign-off</w:t>
            </w:r>
          </w:p>
        </w:tc>
        <w:tc>
          <w:tcPr>
            <w:tcW w:w="2943" w:type="dxa"/>
          </w:tcPr>
          <w:p>
            <w:pPr>
              <w:pStyle w:val="Compact"/>
              <w:spacing w:after="40"/>
              <w:jc w:val="left"/>
            </w:pPr>
            <w:r>
              <w:rPr>
                <w:sz w:val="18"/>
              </w:rPr>
              <w:t xml:space="preserve">Certification queue (values awaiting validation, review, certification); pack builder; freeze and distribution log</w:t>
            </w:r>
          </w:p>
        </w:tc>
        <w:tc>
          <w:tcPr>
            <w:tcW w:w="3469" w:type="dxa"/>
          </w:tcPr>
          <w:p>
            <w:pPr>
              <w:pStyle w:val="Compact"/>
              <w:spacing w:after="40"/>
              <w:jc w:val="left"/>
            </w:pPr>
            <w:r>
              <w:rPr>
                <w:sz w:val="18"/>
              </w:rPr>
              <w:t xml:space="preserve">Validate; review; certify by eSign; mark</w:t>
            </w:r>
            <w:r>
              <w:rPr>
                <w:sz w:val="18"/>
              </w:rPr>
              <w:t xml:space="preserve"> </w:t>
            </w:r>
            <w:r>
              <w:rPr>
                <w:sz w:val="18"/>
              </w:rPr>
              <w:t xml:space="preserve">“</w:t>
            </w:r>
            <w:r>
              <w:rPr>
                <w:sz w:val="18"/>
              </w:rPr>
              <w:t xml:space="preserve">indicative</w:t>
            </w:r>
            <w:r>
              <w:rPr>
                <w:sz w:val="18"/>
              </w:rPr>
              <w:t xml:space="preserve">”</w:t>
            </w:r>
            <w:r>
              <w:rPr>
                <w:sz w:val="18"/>
              </w:rPr>
              <w:t xml:space="preserve"> </w:t>
            </w:r>
            <w:r>
              <w:rPr>
                <w:sz w:val="18"/>
              </w:rPr>
              <w:t xml:space="preserve">with reason; freeze; distribute; supersede</w:t>
            </w:r>
          </w:p>
        </w:tc>
        <w:tc>
          <w:tcPr>
            <w:tcW w:w="2000" w:type="dxa"/>
          </w:tcPr>
          <w:p>
            <w:pPr>
              <w:pStyle w:val="Compact"/>
              <w:spacing w:after="40"/>
              <w:jc w:val="left"/>
            </w:pPr>
            <w:r>
              <w:rPr>
                <w:sz w:val="18"/>
              </w:rPr>
              <w:t xml:space="preserve">Data stewards, checkers, metric owners, CS</w:t>
            </w:r>
          </w:p>
        </w:tc>
      </w:tr>
      <w:tr>
        <w:tc>
          <w:tcPr>
            <w:tcW w:w="1226" w:type="dxa"/>
          </w:tcPr>
          <w:p>
            <w:pPr>
              <w:pStyle w:val="Compact"/>
              <w:spacing w:after="40"/>
              <w:jc w:val="left"/>
            </w:pPr>
            <w:r>
              <w:rPr>
                <w:rStyle w:val="VerbatimChar"/>
                <w:sz w:val="18"/>
              </w:rPr>
              <w:t xml:space="preserve">Dashboards › Alerts</w:t>
            </w:r>
          </w:p>
        </w:tc>
        <w:tc>
          <w:tcPr>
            <w:tcW w:w="2943" w:type="dxa"/>
          </w:tcPr>
          <w:p>
            <w:pPr>
              <w:pStyle w:val="Compact"/>
              <w:spacing w:after="40"/>
              <w:jc w:val="left"/>
            </w:pPr>
            <w:r>
              <w:rPr>
                <w:sz w:val="18"/>
              </w:rPr>
              <w:t xml:space="preserve">Alert inbox (filters: severity, metric, status); subscriptions</w:t>
            </w:r>
          </w:p>
        </w:tc>
        <w:tc>
          <w:tcPr>
            <w:tcW w:w="3469" w:type="dxa"/>
          </w:tcPr>
          <w:p>
            <w:pPr>
              <w:pStyle w:val="Compact"/>
              <w:spacing w:after="40"/>
              <w:jc w:val="left"/>
            </w:pPr>
            <w:r>
              <w:rPr>
                <w:sz w:val="18"/>
              </w:rPr>
              <w:t xml:space="preserve">Acknowledge; snooze non-breach alerts (maximum 24 hours); open the KRI or limit episode</w:t>
            </w:r>
          </w:p>
        </w:tc>
        <w:tc>
          <w:tcPr>
            <w:tcW w:w="2000" w:type="dxa"/>
          </w:tcPr>
          <w:p>
            <w:pPr>
              <w:pStyle w:val="Compact"/>
              <w:spacing w:after="40"/>
              <w:jc w:val="left"/>
            </w:pPr>
            <w:r>
              <w:rPr>
                <w:sz w:val="18"/>
              </w:rPr>
              <w:t xml:space="preserve">All dashboard users</w:t>
            </w:r>
          </w:p>
        </w:tc>
      </w:tr>
      <w:tr>
        <w:tc>
          <w:tcPr>
            <w:tcW w:w="1226" w:type="dxa"/>
          </w:tcPr>
          <w:p>
            <w:pPr>
              <w:pStyle w:val="Compact"/>
              <w:spacing w:after="40"/>
              <w:jc w:val="left"/>
            </w:pPr>
            <w:r>
              <w:rPr>
                <w:rStyle w:val="VerbatimChar"/>
                <w:sz w:val="18"/>
              </w:rPr>
              <w:t xml:space="preserve">Dashboards › Sandbox</w:t>
            </w:r>
          </w:p>
        </w:tc>
        <w:tc>
          <w:tcPr>
            <w:tcW w:w="2943" w:type="dxa"/>
          </w:tcPr>
          <w:p>
            <w:pPr>
              <w:pStyle w:val="Compact"/>
              <w:spacing w:after="40"/>
              <w:jc w:val="left"/>
            </w:pPr>
            <w:r>
              <w:rPr>
                <w:sz w:val="18"/>
              </w:rPr>
              <w:t xml:space="preserve">Ad hoc analysis with</w:t>
            </w:r>
            <w:r>
              <w:rPr>
                <w:sz w:val="18"/>
              </w:rPr>
              <w:t xml:space="preserve"> </w:t>
            </w:r>
            <w:r>
              <w:rPr>
                <w:sz w:val="18"/>
              </w:rPr>
              <w:t xml:space="preserve">“</w:t>
            </w:r>
            <w:r>
              <w:rPr>
                <w:sz w:val="18"/>
              </w:rPr>
              <w:t xml:space="preserve">uncertified</w:t>
            </w:r>
            <w:r>
              <w:rPr>
                <w:sz w:val="18"/>
              </w:rPr>
              <w:t xml:space="preserve">”</w:t>
            </w:r>
            <w:r>
              <w:rPr>
                <w:sz w:val="18"/>
              </w:rPr>
              <w:t xml:space="preserve"> </w:t>
            </w:r>
            <w:r>
              <w:rPr>
                <w:sz w:val="18"/>
              </w:rPr>
              <w:t xml:space="preserve">watermark</w:t>
            </w:r>
          </w:p>
        </w:tc>
        <w:tc>
          <w:tcPr>
            <w:tcW w:w="3469" w:type="dxa"/>
          </w:tcPr>
          <w:p>
            <w:pPr>
              <w:pStyle w:val="Compact"/>
              <w:spacing w:after="40"/>
              <w:jc w:val="left"/>
            </w:pPr>
            <w:r>
              <w:rPr>
                <w:sz w:val="18"/>
              </w:rPr>
              <w:t xml:space="preserve">Query; save; share within the tenant (never into a pack)</w:t>
            </w:r>
          </w:p>
        </w:tc>
        <w:tc>
          <w:tcPr>
            <w:tcW w:w="2000" w:type="dxa"/>
          </w:tcPr>
          <w:p>
            <w:pPr>
              <w:pStyle w:val="Compact"/>
              <w:spacing w:after="40"/>
              <w:jc w:val="left"/>
            </w:pPr>
            <w:r>
              <w:rPr>
                <w:sz w:val="18"/>
              </w:rPr>
              <w:t xml:space="preserve">Analysts, CRO and CFO offices</w:t>
            </w:r>
          </w:p>
        </w:tc>
      </w:tr>
    </w:tbl>
    <w:p>
      <w:pPr>
        <w:pStyle w:val="BodyText"/>
      </w:pPr>
      <w:r>
        <w:t xml:space="preserve">Accessibility and usability: WCAG 2.2 AA (colour is never the only RAG signal; each tile has a text status), keyboard navigation across tiles, a</w:t>
      </w:r>
      <w:r>
        <w:t xml:space="preserve"> </w:t>
      </w:r>
      <w:r>
        <w:t xml:space="preserve">“</w:t>
      </w:r>
      <w:r>
        <w:t xml:space="preserve">why this colour</w:t>
      </w:r>
      <w:r>
        <w:t xml:space="preserve">”</w:t>
      </w:r>
      <w:r>
        <w:t xml:space="preserve"> </w:t>
      </w:r>
      <w:r>
        <w:t xml:space="preserve">explainer showing threshold version and value, and empty states that say which feed is missing.</w:t>
      </w:r>
    </w:p>
    <w:bookmarkEnd w:id="463"/>
    <w:bookmarkStart w:id="464" w:name="acceptance-tests-33"/>
    <w:p>
      <w:pPr>
        <w:pStyle w:val="Heading3"/>
      </w:pPr>
      <w:r>
        <w:t xml:space="preserve">Acceptance tests</w:t>
      </w:r>
    </w:p>
    <w:p>
      <w:pPr>
        <w:numPr>
          <w:ilvl w:val="0"/>
          <w:numId w:val="1429"/>
        </w:numPr>
        <w:pStyle w:val="Compact"/>
      </w:pPr>
      <w:r>
        <w:t xml:space="preserve">Each of the 12 role templates renders on the seeded tenant with only governed metrics; adding a sandbox query to a Board pack is rejected.</w:t>
      </w:r>
    </w:p>
    <w:p>
      <w:pPr>
        <w:numPr>
          <w:ilvl w:val="0"/>
          <w:numId w:val="1429"/>
        </w:numPr>
        <w:pStyle w:val="Compact"/>
      </w:pPr>
      <w:r>
        <w:t xml:space="preserve">A CRO personal alert threshold looser than the RAS tolerance is rejected; a tighter one fires first.</w:t>
      </w:r>
    </w:p>
    <w:p>
      <w:pPr>
        <w:numPr>
          <w:ilvl w:val="0"/>
          <w:numId w:val="1429"/>
        </w:numPr>
        <w:pStyle w:val="Compact"/>
      </w:pPr>
      <w:r>
        <w:t xml:space="preserve">Restating a GL entry for a closed month revokes the certification of dependent metrics, notifies the owner and the CS, and the frozen Board pack shows</w:t>
      </w:r>
      <w:r>
        <w:t xml:space="preserve"> </w:t>
      </w:r>
      <w:r>
        <w:t xml:space="preserve">“</w:t>
      </w:r>
      <w:r>
        <w:t xml:space="preserve">superseded by restatement</w:t>
      </w:r>
      <w:r>
        <w:t xml:space="preserve">”</w:t>
      </w:r>
      <w:r>
        <w:t xml:space="preserve"> </w:t>
      </w:r>
      <w:r>
        <w:t xml:space="preserve">while keeping its original hash.</w:t>
      </w:r>
    </w:p>
    <w:p>
      <w:pPr>
        <w:numPr>
          <w:ilvl w:val="0"/>
          <w:numId w:val="1429"/>
        </w:numPr>
        <w:pStyle w:val="Compact"/>
      </w:pPr>
      <w:r>
        <w:t xml:space="preserve">An independent director who is not on the ALCO cannot open the ALCO pack.</w:t>
      </w:r>
    </w:p>
    <w:p>
      <w:pPr>
        <w:numPr>
          <w:ilvl w:val="0"/>
          <w:numId w:val="1429"/>
        </w:numPr>
        <w:pStyle w:val="Compact"/>
      </w:pPr>
      <w:r>
        <w:t xml:space="preserve">A frozen pack verifies (hash recomputed equals stored) and every tile shows certifier, as-of date and metric version.</w:t>
      </w:r>
    </w:p>
    <w:p>
      <w:pPr>
        <w:numPr>
          <w:ilvl w:val="0"/>
          <w:numId w:val="1429"/>
        </w:numPr>
        <w:pStyle w:val="Compact"/>
      </w:pPr>
      <w:r>
        <w:t xml:space="preserve">A drill-down from the CRAR tile reaches the exposure line in three clicks and hides records outside the user’s row-level scope; a delegate</w:t>
      </w:r>
      <w:r>
        <w:t xml:space="preserve"> </w:t>
      </w:r>
      <w:r>
        <w:t xml:space="preserve">“</w:t>
      </w:r>
      <w:r>
        <w:t xml:space="preserve">view as</w:t>
      </w:r>
      <w:r>
        <w:t xml:space="preserve">”</w:t>
      </w:r>
      <w:r>
        <w:t xml:space="preserve"> </w:t>
      </w:r>
      <w:r>
        <w:t xml:space="preserve">session is logged with both user identities.</w:t>
      </w:r>
    </w:p>
    <w:p>
      <w:pPr>
        <w:numPr>
          <w:ilvl w:val="0"/>
          <w:numId w:val="1429"/>
        </w:numPr>
        <w:pStyle w:val="Compact"/>
      </w:pPr>
      <w:r>
        <w:t xml:space="preserve">Removing a certified tile from the Board pack template without the chair’s approval is rejected; a change after freeze creates an addendum pack and leaves the frozen hash unchanged.</w:t>
      </w:r>
    </w:p>
    <w:p>
      <w:r>
        <w:pict>
          <v:rect style="width:0;height:1.5pt" o:hralign="center" o:hrstd="t" o:hr="t"/>
        </w:pict>
      </w:r>
    </w:p>
    <w:bookmarkEnd w:id="464"/>
    <w:bookmarkEnd w:id="465"/>
    <w:bookmarkEnd w:id="466"/>
    <w:bookmarkStart w:id="525" w:name="X06062b6e8e82f3912844880c36b68ffc62765be"/>
    <w:p>
      <w:pPr>
        <w:pStyle w:val="Heading1"/>
      </w:pPr>
      <w:r>
        <w:t xml:space="preserve">PART 7F — CORPORATE GOVERNANCE, LISTED-COMPANY COMPLIANCE, CLIENT HRMS AND WORKPLACE INTEGRATION</w:t>
      </w:r>
    </w:p>
    <w:p>
      <w:pPr>
        <w:pStyle w:val="FirstParagraph"/>
      </w:pPr>
      <w:r>
        <w:rPr>
          <w:bCs/>
          <w:b/>
        </w:rPr>
        <w:t xml:space="preserve">Purpose.</w:t>
      </w:r>
      <w:r>
        <w:t xml:space="preserve"> </w:t>
      </w:r>
      <w:r>
        <w:t xml:space="preserve">One governed place for each lender tenant to run its board governance (directors, KMPs, committees, meetings, registers, MCA filings), its listed-company obligations, its departments, delegation of authority and tasks, an optional HRMS and payroll for its own staff, and its link to Microsoft 365, Google Workspace or its own data centre. Software prepares, validates, timestamps and evidences; the Board, committees, Company Secretary (CS) and authorised officers decide, sign and file. Finbyx never stores MCA, exchange, EPFO, ESIC, TRACES or labour-portal credentials, DSC tokens or OTPs (same rule as Part 7B).</w:t>
      </w:r>
    </w:p>
    <w:p>
      <w:pPr>
        <w:pStyle w:val="BodyText"/>
      </w:pPr>
      <w:r>
        <w:rPr>
          <w:bCs/>
          <w:b/>
        </w:rPr>
        <w:t xml:space="preserve">Applicability.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66"/>
        <w:gridCol w:w="6002"/>
        <w:gridCol w:w="2570"/>
      </w:tblGrid>
      <w:tr>
        <w:trPr>
          <w:tblHeader w:val="true"/>
          <w:tblHeader w:val="true"/>
        </w:trPr>
        <w:tc>
          <w:tcPr>
            <w:tcW w:w="1066" w:type="dxa"/>
            <w:shd w:val="clear" w:color="auto" w:fill="1F3A5F"/>
          </w:tcPr>
          <w:p>
            <w:pPr>
              <w:pStyle w:val="Compact"/>
              <w:spacing w:after="40"/>
              <w:jc w:val="left"/>
            </w:pPr>
            <w:r>
              <w:rPr>
                <w:b/>
                <w:color w:val="FFFFFF"/>
                <w:sz w:val="18"/>
              </w:rPr>
              <w:t xml:space="preserve">Section</w:t>
            </w:r>
          </w:p>
        </w:tc>
        <w:tc>
          <w:tcPr>
            <w:tcW w:w="6002" w:type="dxa"/>
            <w:shd w:val="clear" w:color="auto" w:fill="1F3A5F"/>
          </w:tcPr>
          <w:p>
            <w:pPr>
              <w:pStyle w:val="Compact"/>
              <w:spacing w:after="40"/>
              <w:jc w:val="left"/>
            </w:pPr>
            <w:r>
              <w:rPr>
                <w:b/>
                <w:color w:val="FFFFFF"/>
                <w:sz w:val="18"/>
              </w:rPr>
              <w:t xml:space="preserve">Entity types and layers</w:t>
            </w:r>
          </w:p>
        </w:tc>
        <w:tc>
          <w:tcPr>
            <w:tcW w:w="2570" w:type="dxa"/>
            <w:shd w:val="clear" w:color="auto" w:fill="1F3A5F"/>
          </w:tcPr>
          <w:p>
            <w:pPr>
              <w:pStyle w:val="Compact"/>
              <w:spacing w:after="40"/>
              <w:jc w:val="left"/>
            </w:pPr>
            <w:r>
              <w:rPr>
                <w:b/>
                <w:color w:val="FFFFFF"/>
                <w:sz w:val="18"/>
              </w:rPr>
              <w:t xml:space="preserve">Basis</w:t>
            </w:r>
          </w:p>
        </w:tc>
      </w:tr>
      <w:tr>
        <w:tc>
          <w:tcPr>
            <w:tcW w:w="1066" w:type="dxa"/>
          </w:tcPr>
          <w:p>
            <w:pPr>
              <w:pStyle w:val="Compact"/>
              <w:spacing w:after="40"/>
              <w:jc w:val="left"/>
            </w:pPr>
            <w:r>
              <w:rPr>
                <w:sz w:val="18"/>
              </w:rPr>
              <w:t xml:space="preserve">GV1–GV3</w:t>
            </w:r>
          </w:p>
        </w:tc>
        <w:tc>
          <w:tcPr>
            <w:tcW w:w="6002" w:type="dxa"/>
          </w:tcPr>
          <w:p>
            <w:pPr>
              <w:pStyle w:val="Compact"/>
              <w:spacing w:after="40"/>
              <w:jc w:val="left"/>
            </w:pPr>
            <w:r>
              <w:rPr>
                <w:sz w:val="18"/>
              </w:rPr>
              <w:t xml:space="preserve">Every company tenant: NBFCs of all layers (incl. CIC, MFI, HFC), ARCs, IFSC companies (company-law parts). Banks use the same engine with Banking Regulation Act overlays [VERIFY: bank governance Directions not supplied]. Co-operative tenants switch to the co-operative profile in Part 7G (general body, managing committee, MSCS or State Act registers; MCA forms off)</w:t>
            </w:r>
          </w:p>
        </w:tc>
        <w:tc>
          <w:tcPr>
            <w:tcW w:w="2570" w:type="dxa"/>
          </w:tcPr>
          <w:p>
            <w:pPr>
              <w:pStyle w:val="Compact"/>
              <w:spacing w:after="40"/>
              <w:jc w:val="left"/>
            </w:pPr>
            <w:r>
              <w:rPr>
                <w:sz w:val="18"/>
              </w:rPr>
              <w:t xml:space="preserve">CA13; ICSI SS-1, SS-2; GOV (8A.28) by layer (GOV para 3); MSCS; SCS</w:t>
            </w:r>
          </w:p>
        </w:tc>
      </w:tr>
      <w:tr>
        <w:tc>
          <w:tcPr>
            <w:tcW w:w="1066" w:type="dxa"/>
          </w:tcPr>
          <w:p>
            <w:pPr>
              <w:pStyle w:val="Compact"/>
              <w:spacing w:after="40"/>
              <w:jc w:val="left"/>
            </w:pPr>
            <w:r>
              <w:rPr>
                <w:sz w:val="18"/>
              </w:rPr>
              <w:t xml:space="preserve">GV4</w:t>
            </w:r>
          </w:p>
        </w:tc>
        <w:tc>
          <w:tcPr>
            <w:tcW w:w="6002" w:type="dxa"/>
          </w:tcPr>
          <w:p>
            <w:pPr>
              <w:pStyle w:val="Compact"/>
              <w:spacing w:after="40"/>
              <w:jc w:val="left"/>
            </w:pPr>
            <w:r>
              <w:rPr>
                <w:sz w:val="18"/>
              </w:rPr>
              <w:t xml:space="preserve">Equity-listed (main board or SME), debt-listed, HVDLE, or preparing an issue</w:t>
            </w:r>
          </w:p>
        </w:tc>
        <w:tc>
          <w:tcPr>
            <w:tcW w:w="2570" w:type="dxa"/>
          </w:tcPr>
          <w:p>
            <w:pPr>
              <w:pStyle w:val="Compact"/>
              <w:spacing w:after="40"/>
              <w:jc w:val="left"/>
            </w:pPr>
            <w:r>
              <w:rPr>
                <w:sz w:val="18"/>
              </w:rPr>
              <w:t xml:space="preserve">LODR; PIT; ICDR; SAST</w:t>
            </w:r>
          </w:p>
        </w:tc>
      </w:tr>
      <w:tr>
        <w:tc>
          <w:tcPr>
            <w:tcW w:w="1066" w:type="dxa"/>
          </w:tcPr>
          <w:p>
            <w:pPr>
              <w:pStyle w:val="Compact"/>
              <w:spacing w:after="40"/>
              <w:jc w:val="left"/>
            </w:pPr>
            <w:r>
              <w:rPr>
                <w:sz w:val="18"/>
              </w:rPr>
              <w:t xml:space="preserve">GV5</w:t>
            </w:r>
          </w:p>
        </w:tc>
        <w:tc>
          <w:tcPr>
            <w:tcW w:w="6002" w:type="dxa"/>
          </w:tcPr>
          <w:p>
            <w:pPr>
              <w:pStyle w:val="Compact"/>
              <w:spacing w:after="40"/>
              <w:jc w:val="left"/>
            </w:pPr>
            <w:r>
              <w:rPr>
                <w:sz w:val="18"/>
              </w:rPr>
              <w:t xml:space="preserve">Every tenant</w:t>
            </w:r>
          </w:p>
        </w:tc>
        <w:tc>
          <w:tcPr>
            <w:tcW w:w="2570" w:type="dxa"/>
          </w:tcPr>
          <w:p>
            <w:pPr>
              <w:pStyle w:val="Compact"/>
              <w:spacing w:after="40"/>
              <w:jc w:val="left"/>
            </w:pPr>
            <w:r>
              <w:rPr>
                <w:sz w:val="18"/>
              </w:rPr>
              <w:t xml:space="preserve">CA13 ss.179–180; CYB paras 8(3), 21(2)–(6)</w:t>
            </w:r>
          </w:p>
        </w:tc>
      </w:tr>
      <w:tr>
        <w:tc>
          <w:tcPr>
            <w:tcW w:w="1066" w:type="dxa"/>
          </w:tcPr>
          <w:p>
            <w:pPr>
              <w:pStyle w:val="Compact"/>
              <w:spacing w:after="40"/>
              <w:jc w:val="left"/>
            </w:pPr>
            <w:r>
              <w:rPr>
                <w:sz w:val="18"/>
              </w:rPr>
              <w:t xml:space="preserve">GV6</w:t>
            </w:r>
          </w:p>
        </w:tc>
        <w:tc>
          <w:tcPr>
            <w:tcW w:w="6002" w:type="dxa"/>
          </w:tcPr>
          <w:p>
            <w:pPr>
              <w:pStyle w:val="Compact"/>
              <w:spacing w:after="40"/>
              <w:jc w:val="left"/>
            </w:pPr>
            <w:r>
              <w:rPr>
                <w:sz w:val="18"/>
              </w:rPr>
              <w:t xml:space="preserve">Optional SKU</w:t>
            </w:r>
            <w:r>
              <w:rPr>
                <w:sz w:val="18"/>
              </w:rPr>
              <w:t xml:space="preserve"> </w:t>
            </w:r>
            <w:r>
              <w:rPr>
                <w:rStyle w:val="VerbatimChar"/>
                <w:sz w:val="18"/>
              </w:rPr>
              <w:t xml:space="preserve">Workforce</w:t>
            </w:r>
            <w:r>
              <w:rPr>
                <w:sz w:val="18"/>
              </w:rPr>
              <w:t xml:space="preserve">; tenant as employer, Infrabyx as processor</w:t>
            </w:r>
          </w:p>
        </w:tc>
        <w:tc>
          <w:tcPr>
            <w:tcW w:w="2570" w:type="dxa"/>
          </w:tcPr>
          <w:p>
            <w:pPr>
              <w:pStyle w:val="Compact"/>
              <w:spacing w:after="40"/>
              <w:jc w:val="left"/>
            </w:pPr>
            <w:r>
              <w:rPr>
                <w:sz w:val="18"/>
              </w:rPr>
              <w:t xml:space="preserve">LC; ITA25; POSH Act; DPDP</w:t>
            </w:r>
          </w:p>
        </w:tc>
      </w:tr>
      <w:tr>
        <w:tc>
          <w:tcPr>
            <w:tcW w:w="1066" w:type="dxa"/>
          </w:tcPr>
          <w:p>
            <w:pPr>
              <w:pStyle w:val="Compact"/>
              <w:spacing w:after="40"/>
              <w:jc w:val="left"/>
            </w:pPr>
            <w:r>
              <w:rPr>
                <w:sz w:val="18"/>
              </w:rPr>
              <w:t xml:space="preserve">GV7</w:t>
            </w:r>
          </w:p>
        </w:tc>
        <w:tc>
          <w:tcPr>
            <w:tcW w:w="6002" w:type="dxa"/>
          </w:tcPr>
          <w:p>
            <w:pPr>
              <w:pStyle w:val="Compact"/>
              <w:spacing w:after="40"/>
              <w:jc w:val="left"/>
            </w:pPr>
            <w:r>
              <w:rPr>
                <w:sz w:val="18"/>
              </w:rPr>
              <w:t xml:space="preserve">Tenants connecting a workplace suite or own data centre</w:t>
            </w:r>
          </w:p>
        </w:tc>
        <w:tc>
          <w:tcPr>
            <w:tcW w:w="2570" w:type="dxa"/>
          </w:tcPr>
          <w:p>
            <w:pPr>
              <w:pStyle w:val="Compact"/>
              <w:spacing w:after="40"/>
              <w:jc w:val="left"/>
            </w:pPr>
            <w:r>
              <w:rPr>
                <w:sz w:val="18"/>
              </w:rPr>
              <w:t xml:space="preserve">CF para 14(4); OUT paras 74(vi), 97; CYB para 116</w:t>
            </w:r>
          </w:p>
        </w:tc>
      </w:tr>
    </w:tbl>
    <w:p>
      <w:pPr>
        <w:pStyle w:val="BodyText"/>
      </w:pPr>
      <w:r>
        <w:rPr>
          <w:bCs/>
          <w:b/>
        </w:rPr>
        <w:t xml:space="preserve">Requirement codes.</w:t>
      </w:r>
      <w:r>
        <w:t xml:space="preserve"> </w:t>
      </w:r>
      <w:r>
        <w:t xml:space="preserve">RBI: GOV, CYB, OUT, CF, IAF, FRM, CRM, WD, RBC, KYC. Non-RBI (Part 8A.37):</w:t>
      </w:r>
      <w:r>
        <w:t xml:space="preserve"> </w:t>
      </w:r>
      <w:r>
        <w:rPr>
          <w:rStyle w:val="VerbatimChar"/>
        </w:rPr>
        <w:t xml:space="preserve">CA13</w:t>
      </w:r>
      <w:r>
        <w:t xml:space="preserve">,</w:t>
      </w:r>
      <w:r>
        <w:t xml:space="preserve"> </w:t>
      </w:r>
      <w:r>
        <w:rPr>
          <w:rStyle w:val="VerbatimChar"/>
        </w:rPr>
        <w:t xml:space="preserve">ICSI</w:t>
      </w:r>
      <w:r>
        <w:t xml:space="preserve">,</w:t>
      </w:r>
      <w:r>
        <w:t xml:space="preserve"> </w:t>
      </w:r>
      <w:r>
        <w:rPr>
          <w:rStyle w:val="VerbatimChar"/>
        </w:rPr>
        <w:t xml:space="preserve">LODR</w:t>
      </w:r>
      <w:r>
        <w:t xml:space="preserve">,</w:t>
      </w:r>
      <w:r>
        <w:t xml:space="preserve"> </w:t>
      </w:r>
      <w:r>
        <w:rPr>
          <w:rStyle w:val="VerbatimChar"/>
        </w:rPr>
        <w:t xml:space="preserve">PIT</w:t>
      </w:r>
      <w:r>
        <w:t xml:space="preserve">,</w:t>
      </w:r>
      <w:r>
        <w:t xml:space="preserve"> </w:t>
      </w:r>
      <w:r>
        <w:rPr>
          <w:rStyle w:val="VerbatimChar"/>
        </w:rPr>
        <w:t xml:space="preserve">ICDR</w:t>
      </w:r>
      <w:r>
        <w:t xml:space="preserve">,</w:t>
      </w:r>
      <w:r>
        <w:t xml:space="preserve"> </w:t>
      </w:r>
      <w:r>
        <w:rPr>
          <w:rStyle w:val="VerbatimChar"/>
        </w:rPr>
        <w:t xml:space="preserve">LC</w:t>
      </w:r>
      <w:r>
        <w:t xml:space="preserve">,</w:t>
      </w:r>
      <w:r>
        <w:t xml:space="preserve"> </w:t>
      </w:r>
      <w:r>
        <w:rPr>
          <w:rStyle w:val="VerbatimChar"/>
        </w:rPr>
        <w:t xml:space="preserve">ITA25</w:t>
      </w:r>
      <w:r>
        <w:t xml:space="preserve">,</w:t>
      </w:r>
      <w:r>
        <w:t xml:space="preserve"> </w:t>
      </w:r>
      <w:r>
        <w:rPr>
          <w:rStyle w:val="VerbatimChar"/>
        </w:rPr>
        <w:t xml:space="preserve">DPDP</w:t>
      </w:r>
      <w:r>
        <w:t xml:space="preserve">,</w:t>
      </w:r>
      <w:r>
        <w:t xml:space="preserve"> </w:t>
      </w:r>
      <w:r>
        <w:rPr>
          <w:rStyle w:val="VerbatimChar"/>
        </w:rPr>
        <w:t xml:space="preserve">MSCS</w:t>
      </w:r>
      <w:r>
        <w:t xml:space="preserve">,</w:t>
      </w:r>
      <w:r>
        <w:t xml:space="preserve"> </w:t>
      </w:r>
      <w:r>
        <w:rPr>
          <w:rStyle w:val="VerbatimChar"/>
        </w:rPr>
        <w:t xml:space="preserve">SCS</w:t>
      </w:r>
      <w:r>
        <w:t xml:space="preserve">. REQ-ID examples:</w:t>
      </w:r>
      <w:r>
        <w:t xml:space="preserve"> </w:t>
      </w:r>
      <w:r>
        <w:rPr>
          <w:rStyle w:val="VerbatimChar"/>
        </w:rPr>
        <w:t xml:space="preserve">REQ-CA13-173(1)</w:t>
      </w:r>
      <w:r>
        <w:t xml:space="preserve">,</w:t>
      </w:r>
      <w:r>
        <w:t xml:space="preserve"> </w:t>
      </w:r>
      <w:r>
        <w:rPr>
          <w:rStyle w:val="VerbatimChar"/>
        </w:rPr>
        <w:t xml:space="preserve">REQ-ICSI-SS1-7</w:t>
      </w:r>
      <w:r>
        <w:t xml:space="preserve">,</w:t>
      </w:r>
      <w:r>
        <w:t xml:space="preserve"> </w:t>
      </w:r>
      <w:r>
        <w:rPr>
          <w:rStyle w:val="VerbatimChar"/>
        </w:rPr>
        <w:t xml:space="preserve">REQ-LODR-23(2)</w:t>
      </w:r>
      <w:r>
        <w:t xml:space="preserve">,</w:t>
      </w:r>
      <w:r>
        <w:t xml:space="preserve"> </w:t>
      </w:r>
      <w:r>
        <w:rPr>
          <w:rStyle w:val="VerbatimChar"/>
        </w:rPr>
        <w:t xml:space="preserve">REQ-PIT-3(5)</w:t>
      </w:r>
      <w:r>
        <w:t xml:space="preserve">,</w:t>
      </w:r>
      <w:r>
        <w:t xml:space="preserve"> </w:t>
      </w:r>
      <w:r>
        <w:rPr>
          <w:rStyle w:val="VerbatimChar"/>
        </w:rPr>
        <w:t xml:space="preserve">REQ-LC-CoW-17(2)</w:t>
      </w:r>
      <w:r>
        <w:t xml:space="preserve">,</w:t>
      </w:r>
      <w:r>
        <w:t xml:space="preserve"> </w:t>
      </w:r>
      <w:r>
        <w:rPr>
          <w:rStyle w:val="VerbatimChar"/>
        </w:rPr>
        <w:t xml:space="preserve">REQ-GOV-14</w:t>
      </w:r>
      <w:r>
        <w:t xml:space="preserve">.</w:t>
      </w:r>
    </w:p>
    <w:p>
      <w:pPr>
        <w:pStyle w:val="BodyText"/>
      </w:pPr>
      <w:r>
        <w:rPr>
          <w:bCs/>
          <w:b/>
        </w:rPr>
        <w:t xml:space="preserve">Data owned.</w:t>
      </w:r>
      <w:r>
        <w:t xml:space="preserve"> </w:t>
      </w:r>
      <w:r>
        <w:t xml:space="preserve">The tenant is data fiduciary for every governance record, register, minute, UPSI log, employee and payroll record; Infrabyx is processor (Part 7A.0.9 pattern). None of this data flows to the Operations Hub, Equator or another group company. Only the canonical governance events named below leave the tenant, and only to its own compliance destination (embedded M14 or LawDocsComply, Integration Spec Part 9).</w:t>
      </w:r>
    </w:p>
    <w:p>
      <w:pPr>
        <w:pStyle w:val="BodyText"/>
      </w:pPr>
      <w:r>
        <w:rPr>
          <w:bCs/>
          <w:b/>
        </w:rPr>
        <w:t xml:space="preserve">Extends, does not rebuild.</w:t>
      </w:r>
      <w:r>
        <w:t xml:space="preserve"> </w:t>
      </w:r>
      <w:r>
        <w:t xml:space="preserve">GV1 implements the GOV build list of Part 8A.28 (director master, Annex I–III e-forms, NRC log, 31 March campaign, deed tracker, quarterly statement, CRO controls). Reused: M19 (users, ABAC, maker-checker, delegation, break-glass), M16 (documents), M18 (notices), M21 (connectors). Elsewhere: secretarial audit AU6 and auditor workspace AU7 (Part 7D); KMP and Board dashboards RK8; PRAVAAH filing RR4; books backup and Rule 3(6) statement AC7. Infrabyx’s own staff HRMS and workplace tenant: Operations Hub OH10, OH12.</w:t>
      </w:r>
    </w:p>
    <w:p>
      <w:r>
        <w:pict>
          <v:rect style="width:0;height:1.5pt" o:hralign="center" o:hrstd="t" o:hr="t"/>
        </w:pict>
      </w:r>
    </w:p>
    <w:bookmarkStart w:id="474" w:name="Xd2fb7aac2654c4823e156619a0e6721a384df37"/>
    <w:p>
      <w:pPr>
        <w:pStyle w:val="Heading2"/>
      </w:pPr>
      <w:r>
        <w:t xml:space="preserve">GV1. Entity, directors, KMPs and committees</w:t>
      </w:r>
    </w:p>
    <w:bookmarkStart w:id="467" w:name="gv1.1-governance-profile"/>
    <w:p>
      <w:pPr>
        <w:pStyle w:val="Heading3"/>
      </w:pPr>
      <w:r>
        <w:t xml:space="preserve">GV1.1 Governance profile</w:t>
      </w:r>
    </w:p>
    <w:p>
      <w:pPr>
        <w:pStyle w:val="FirstParagraph"/>
      </w:pPr>
      <w:r>
        <w:t xml:space="preserve">Extend</w:t>
      </w:r>
      <w:r>
        <w:t xml:space="preserve"> </w:t>
      </w:r>
      <w:r>
        <w:rPr>
          <w:rStyle w:val="VerbatimChar"/>
        </w:rPr>
        <w:t xml:space="preserve">entity_regulatory_profile</w:t>
      </w:r>
      <w:r>
        <w:t xml:space="preserve"> </w:t>
      </w:r>
      <w:r>
        <w:t xml:space="preserve">(M1; 8A.25) with</w:t>
      </w:r>
      <w:r>
        <w:t xml:space="preserve"> </w:t>
      </w:r>
      <w:r>
        <w:rPr>
          <w:rStyle w:val="VerbatimChar"/>
        </w:rPr>
        <w:t xml:space="preserve">governance_profile</w:t>
      </w:r>
      <w:r>
        <w:t xml:space="preserve">: company class (private, public, OPC, small, Section 8, government, banking, co-operative), listing status (unlisted, equity main board, equity SME, debt-listed, HVDLE), last-audited paid-up capital, turnover, borrowings, members and security-holder counts (each with source and as-of date), market-cap rank (exchange list at 31 March), outstanding listed debt (from M10), RBI layer and asset size (from 8A.25).</w:t>
      </w:r>
    </w:p>
    <w:p>
      <w:pPr>
        <w:pStyle w:val="BodyText"/>
      </w:pPr>
      <w:r>
        <w:t xml:space="preserve">Company-law thresholds sit in a versioned</w:t>
      </w:r>
      <w:r>
        <w:t xml:space="preserve"> </w:t>
      </w:r>
      <w:r>
        <w:rPr>
          <w:rStyle w:val="VerbatimChar"/>
        </w:rPr>
        <w:t xml:space="preserve">ca13_threshold_pack</w:t>
      </w:r>
      <w:r>
        <w:t xml:space="preserve"> </w:t>
      </w:r>
      <w:r>
        <w:t xml:space="preserve">[LAW; VERIFY each against current Rules before coding as hard rules]:</w:t>
      </w:r>
    </w:p>
    <w:p>
      <w:pPr>
        <w:numPr>
          <w:ilvl w:val="0"/>
          <w:numId w:val="1430"/>
        </w:numPr>
        <w:pStyle w:val="Compact"/>
      </w:pPr>
      <w:r>
        <w:t xml:space="preserve">independent directors: one-third for listed (s.149(4)); at least 2 for public companies with paid-up ≥ ₹10 crore, turnover ≥ ₹100 crore or loans, debentures and deposits above ₹50 crore (Appointment Rules r.4); woman director for listed and public companies with paid-up ≥ ₹100 crore or turnover ≥ ₹300 crore (r.3);</w:t>
      </w:r>
    </w:p>
    <w:p>
      <w:pPr>
        <w:numPr>
          <w:ilvl w:val="0"/>
          <w:numId w:val="1430"/>
        </w:numPr>
        <w:pStyle w:val="Compact"/>
      </w:pPr>
      <w:r>
        <w:t xml:space="preserve">Audit Committee and NRC for listed and r.4-class companies (ss.177, 178; Meetings of Board Rules r.6); SRC above 1,000 security holders (s.178(5)); CSR Committee at net worth ≥ ₹500 crore, turnover ≥ ₹1,000 crore or net profit ≥ ₹5 crore, unless the obligation is ≤ ₹50 lakh (s.135(1), (9));</w:t>
      </w:r>
    </w:p>
    <w:p>
      <w:pPr>
        <w:numPr>
          <w:ilvl w:val="0"/>
          <w:numId w:val="1430"/>
        </w:numPr>
        <w:pStyle w:val="Compact"/>
      </w:pPr>
      <w:r>
        <w:t xml:space="preserve">whole-time KMP for listed and public companies with paid-up ≥ ₹10 crore (s.203; Managerial Personnel Rules r.8, 8A); secretarial audit per s.204 and r.9 (engagement in AU6);</w:t>
      </w:r>
    </w:p>
    <w:p>
      <w:pPr>
        <w:numPr>
          <w:ilvl w:val="0"/>
          <w:numId w:val="1430"/>
        </w:numPr>
        <w:pStyle w:val="Compact"/>
      </w:pPr>
      <w:r>
        <w:t xml:space="preserve">vigil mechanism for listed companies, companies accepting public deposits and companies with bank or PFI borrowings above ₹50 crore (s.177(9); Meetings of Board Rules r.7). GOV para 38 separately requires a whistle-blower mechanism for directors and employees of every NBFC-ML and NBFC-UL; BL tenants get it as a default-on policy [REC].</w:t>
      </w:r>
    </w:p>
    <w:p>
      <w:pPr>
        <w:pStyle w:val="FirstParagraph"/>
      </w:pPr>
      <w:r>
        <w:rPr>
          <w:bCs/>
          <w:b/>
        </w:rPr>
        <w:t xml:space="preserve">GOV applicability</w:t>
      </w:r>
      <w:r>
        <w:t xml:space="preserve"> </w:t>
      </w:r>
      <w:r>
        <w:t xml:space="preserve">is resolved from the institution profile (GOV para 3): BL → Chapter III (paras 8–11); ML → Chapters II–IV; UL → Chapters II–V; CICs → paras 7–15, 18–39 and 41–43 (no para 17 Audit Committee rule); NBFC-AA and NBFC-P2P → paras 12–13 even at BL; compensation paras 29–37 never apply to government-owned NBFCs. A GOV rule outside the tenant’s chapters is shown as best practice and never blocks.</w:t>
      </w:r>
    </w:p>
    <w:bookmarkEnd w:id="467"/>
    <w:bookmarkStart w:id="468" w:name="gv1.2-director-master-and-lifecycle"/>
    <w:p>
      <w:pPr>
        <w:pStyle w:val="Heading3"/>
      </w:pPr>
      <w:r>
        <w:t xml:space="preserve">GV1.2 Director master and lifecycle</w:t>
      </w:r>
    </w:p>
    <w:p>
      <w:pPr>
        <w:numPr>
          <w:ilvl w:val="0"/>
          <w:numId w:val="1431"/>
        </w:numPr>
        <w:pStyle w:val="Compact"/>
      </w:pPr>
      <w:r>
        <w:rPr>
          <w:bCs/>
          <w:b/>
        </w:rPr>
        <w:t xml:space="preserve">Fields added to the GOV director master:</w:t>
      </w:r>
      <w:r>
        <w:t xml:space="preserve"> </w:t>
      </w:r>
      <w:r>
        <w:t xml:space="preserve">DIN (ss.153–154), category (executive, non-executive, independent, nominee and nominating institution), residency for the s.149(3) resident-director test, term dates, retirement by rotation (s.152(6)), ID databank registration (s.149(7)),</w:t>
      </w:r>
      <w:r>
        <w:t xml:space="preserve"> </w:t>
      </w:r>
      <w:r>
        <w:rPr>
          <w:rStyle w:val="VerbatimChar"/>
        </w:rPr>
        <w:t xml:space="preserve">din_status</w:t>
      </w:r>
      <w:r>
        <w:t xml:space="preserve"> </w:t>
      </w:r>
      <w:r>
        <w:t xml:space="preserve">(active, deactivated, disqualified, surrendered) with evidence and as-of date.</w:t>
      </w:r>
    </w:p>
    <w:p>
      <w:pPr>
        <w:numPr>
          <w:ilvl w:val="0"/>
          <w:numId w:val="1431"/>
        </w:numPr>
        <w:pStyle w:val="Compact"/>
      </w:pPr>
      <w:r>
        <w:rPr>
          <w:bCs/>
          <w:b/>
        </w:rPr>
        <w:t xml:space="preserve">DIR-3 KYC</w:t>
      </w:r>
      <w:r>
        <w:t xml:space="preserve"> </w:t>
      </w:r>
      <w:r>
        <w:t xml:space="preserve">by 30 September for every DIN held on 31 March (Appointment Rules r.12A) [VERIFY: whether a 2025 amendment moved KYC to a three-yearly cycle; keep the cycle in the rule pack]. Finbyx cannot query MCA: the CS uploads the MCA master-data extract. A deactivated DIN is excluded from quorum (GV2) and opens a P1 task.</w:t>
      </w:r>
    </w:p>
    <w:p>
      <w:pPr>
        <w:numPr>
          <w:ilvl w:val="0"/>
          <w:numId w:val="1431"/>
        </w:numPr>
        <w:pStyle w:val="Compact"/>
      </w:pPr>
      <w:r>
        <w:rPr>
          <w:bCs/>
          <w:b/>
        </w:rPr>
        <w:t xml:space="preserve">Appointment states:</w:t>
      </w:r>
      <w:r>
        <w:t xml:space="preserve"> </w:t>
      </w:r>
      <w:r>
        <w:rPr>
          <w:rStyle w:val="VerbatimChar"/>
        </w:rPr>
        <w:t xml:space="preserve">PROPOSED → NRC_SCRUTINY → RBI_GATE → BOARD_APPROVED → CONSENT_AND_DECLARATIONS → MEMBERS_APPROVAL (if required) → EFFECTIVE → FILED</w:t>
      </w:r>
      <w:r>
        <w:t xml:space="preserve">.</w:t>
      </w:r>
    </w:p>
    <w:p>
      <w:pPr>
        <w:numPr>
          <w:ilvl w:val="1"/>
          <w:numId w:val="1432"/>
        </w:numPr>
        <w:pStyle w:val="Compact"/>
      </w:pPr>
      <w:r>
        <w:t xml:space="preserve">NRC_SCRUTINY: Annex II and recorded NRC decision (GOV para 13(1)–(2); ML and UL, and AA and P2P at any layer; BL by policy [REC]); bureau and wilful-defaulter checks.</w:t>
      </w:r>
    </w:p>
    <w:p>
      <w:pPr>
        <w:numPr>
          <w:ilvl w:val="1"/>
          <w:numId w:val="1432"/>
        </w:numPr>
        <w:pStyle w:val="Compact"/>
      </w:pPr>
      <w:r>
        <w:t xml:space="preserve">RBI_GATE: the change-of-management calculator (GOV para 10); above 30% of non-independent directors, EFFECTIVE is blocked until the PRAVAAH approval is attached (filing in RR4). Change-in-control approvals under the Acquisition of Shareholding or Control Directions are tracked here [VERIFY: Directions not supplied].</w:t>
      </w:r>
    </w:p>
    <w:p>
      <w:pPr>
        <w:numPr>
          <w:ilvl w:val="1"/>
          <w:numId w:val="1432"/>
        </w:numPr>
        <w:pStyle w:val="Compact"/>
      </w:pPr>
      <w:r>
        <w:t xml:space="preserve">CONSENT_AND_DECLARATIONS: DIR-2 (s.152(5)), DIR-8 (s.164), MBP-1 (s.184(1)), Deed of Covenants (GOV para 13(4)), independence declaration.</w:t>
      </w:r>
    </w:p>
    <w:p>
      <w:pPr>
        <w:numPr>
          <w:ilvl w:val="1"/>
          <w:numId w:val="1432"/>
        </w:numPr>
        <w:pStyle w:val="Compact"/>
      </w:pPr>
      <w:r>
        <w:t xml:space="preserve">Limits before EFFECTIVE: ≤ 20 directorships and ≤ 10 public (s.165); an independent director sits on at most 3 NBFC-ML or NBFC-UL boards at a time, BL boards not counted (GOV para 27), with a conflict check for simultaneous NBFC boards (para 28); LODR Reg 17A when GV4 is active.</w:t>
      </w:r>
    </w:p>
    <w:p>
      <w:pPr>
        <w:numPr>
          <w:ilvl w:val="1"/>
          <w:numId w:val="1432"/>
        </w:numPr>
        <w:pStyle w:val="Compact"/>
      </w:pPr>
      <w:r>
        <w:t xml:space="preserve">FILED: DIR-12 within 30 days (s.170(2)) with SRN.</w:t>
      </w:r>
    </w:p>
    <w:p>
      <w:pPr>
        <w:numPr>
          <w:ilvl w:val="1"/>
          <w:numId w:val="1432"/>
        </w:numPr>
        <w:pStyle w:val="Compact"/>
      </w:pPr>
      <w:r>
        <w:rPr>
          <w:bCs/>
          <w:b/>
        </w:rPr>
        <w:t xml:space="preserve">Exits and failures:</w:t>
      </w:r>
      <w:r>
        <w:t xml:space="preserve"> </w:t>
      </w:r>
      <w:r>
        <w:rPr>
          <w:rStyle w:val="VerbatimChar"/>
        </w:rPr>
        <w:t xml:space="preserve">NRC_REJECTED</w:t>
      </w:r>
      <w:r>
        <w:t xml:space="preserve">,</w:t>
      </w:r>
      <w:r>
        <w:t xml:space="preserve"> </w:t>
      </w:r>
      <w:r>
        <w:rPr>
          <w:rStyle w:val="VerbatimChar"/>
        </w:rPr>
        <w:t xml:space="preserve">RBI_REFUSED</w:t>
      </w:r>
      <w:r>
        <w:t xml:space="preserve"> </w:t>
      </w:r>
      <w:r>
        <w:t xml:space="preserve">and</w:t>
      </w:r>
      <w:r>
        <w:t xml:space="preserve"> </w:t>
      </w:r>
      <w:r>
        <w:rPr>
          <w:rStyle w:val="VerbatimChar"/>
        </w:rPr>
        <w:t xml:space="preserve">WITHDRAWN</w:t>
      </w:r>
      <w:r>
        <w:t xml:space="preserve"> </w:t>
      </w:r>
      <w:r>
        <w:t xml:space="preserve">are terminal with reason and evidence; a consent or declaration still missing 15 days after BOARD_APPROVED [REC] opens a CS task; a failed members’ resolution moves the appointment to</w:t>
      </w:r>
      <w:r>
        <w:t xml:space="preserve"> </w:t>
      </w:r>
      <w:r>
        <w:rPr>
          <w:rStyle w:val="VerbatimChar"/>
        </w:rPr>
        <w:t xml:space="preserve">WITHDRAWN</w:t>
      </w:r>
      <w:r>
        <w:t xml:space="preserve"> </w:t>
      </w:r>
      <w:r>
        <w:t xml:space="preserve">and ends any additional-director office per the Articles; a DIR-12 returned by MCA loops through GV3.2</w:t>
      </w:r>
      <w:r>
        <w:t xml:space="preserve"> </w:t>
      </w:r>
      <w:r>
        <w:rPr>
          <w:rStyle w:val="VerbatimChar"/>
        </w:rPr>
        <w:t xml:space="preserve">RESUBMISSION_REQUIRED</w:t>
      </w:r>
      <w:r>
        <w:t xml:space="preserve"> </w:t>
      </w:r>
      <w:r>
        <w:t xml:space="preserve">without reopening the appointment.</w:t>
      </w:r>
    </w:p>
    <w:p>
      <w:pPr>
        <w:numPr>
          <w:ilvl w:val="0"/>
          <w:numId w:val="1431"/>
        </w:numPr>
        <w:pStyle w:val="Compact"/>
      </w:pPr>
      <w:r>
        <w:rPr>
          <w:bCs/>
          <w:b/>
        </w:rPr>
        <w:t xml:space="preserve">Continuing duties:</w:t>
      </w:r>
      <w:r>
        <w:t xml:space="preserve"> </w:t>
      </w:r>
      <w:r>
        <w:t xml:space="preserve">MBP-1 at the first Board meeting of each FY and on change; 31 March fit-and-proper declaration (GOV para 13(3)); annual independence declaration; s.164(2) disqualification monitoring from uploaded MCA lists; Annex II items feed the CRM 13K related-party register and the GV4 RPT register.</w:t>
      </w:r>
    </w:p>
    <w:p>
      <w:pPr>
        <w:numPr>
          <w:ilvl w:val="0"/>
          <w:numId w:val="1431"/>
        </w:numPr>
        <w:pStyle w:val="Compact"/>
      </w:pPr>
      <w:r>
        <w:rPr>
          <w:bCs/>
          <w:b/>
        </w:rPr>
        <w:t xml:space="preserve">Cessation</w:t>
      </w:r>
      <w:r>
        <w:t xml:space="preserve"> </w:t>
      </w:r>
      <w:r>
        <w:t xml:space="preserve">(resignation s.168, removal s.169, vacation s.167, death, term end) re-runs committee composition and the independent-director vacancy timer (3 months where required; LODR Reg 25(6) for listed [VERIFY]).</w:t>
      </w:r>
    </w:p>
    <w:bookmarkEnd w:id="468"/>
    <w:bookmarkStart w:id="469" w:name="gv1.3-kmp-and-senior-management"/>
    <w:p>
      <w:pPr>
        <w:pStyle w:val="Heading3"/>
      </w:pPr>
      <w:r>
        <w:t xml:space="preserve">GV1.3 KMP and senior management</w:t>
      </w:r>
    </w:p>
    <w:p>
      <w:pPr>
        <w:numPr>
          <w:ilvl w:val="0"/>
          <w:numId w:val="1433"/>
        </w:numPr>
        <w:pStyle w:val="Compact"/>
      </w:pPr>
      <w:r>
        <w:rPr>
          <w:bCs/>
          <w:b/>
        </w:rPr>
        <w:t xml:space="preserve">KMP master:</w:t>
      </w:r>
      <w:r>
        <w:t xml:space="preserve"> </w:t>
      </w:r>
      <w:r>
        <w:t xml:space="preserve">MD, CEO, WTD, CS, CFO, CRO, CCO, CTO/CIO, CISO, HIA, PMLA Principal Officer and Designated Director, GRO, Internal Ombudsman, Nodal Officer; appointing resolution, dates, reporting line, qualifications evidence; other-office check (no office in another ML/UL NBFC except a subsidiary directorship; GOV para 26).</w:t>
      </w:r>
    </w:p>
    <w:p>
      <w:pPr>
        <w:numPr>
          <w:ilvl w:val="0"/>
          <w:numId w:val="1433"/>
        </w:numPr>
        <w:pStyle w:val="Compact"/>
      </w:pPr>
      <w:r>
        <w:rPr>
          <w:bCs/>
          <w:b/>
        </w:rPr>
        <w:t xml:space="preserve">Reporting-line guards (rejected, not warned):</w:t>
      </w:r>
      <w:r>
        <w:t xml:space="preserve"> </w:t>
      </w:r>
      <w:r>
        <w:t xml:space="preserve">CRO reports to MD&amp;CEO or RMCB, holds no business role or targets, no dual hatting (GOV para 21); CISO has no direct reporting line to the head of IT and no business targets (CYB para 81); HIA is an employee for IAF in-scope NBFCs (IAF para 39); the Principal Officer is never the Designated Director (KYC para 14(3)).</w:t>
      </w:r>
    </w:p>
    <w:p>
      <w:pPr>
        <w:numPr>
          <w:ilvl w:val="0"/>
          <w:numId w:val="1433"/>
        </w:numPr>
        <w:pStyle w:val="Compact"/>
      </w:pPr>
      <w:r>
        <w:rPr>
          <w:bCs/>
          <w:b/>
        </w:rPr>
        <w:t xml:space="preserve">Vacancy timers:</w:t>
      </w:r>
      <w:r>
        <w:t xml:space="preserve"> </w:t>
      </w:r>
      <w:r>
        <w:t xml:space="preserve">whole-time KMP within 6 months (s.203(4)); CRO quarterly closed-session tracker (GOV para 21(2)).</w:t>
      </w:r>
    </w:p>
    <w:p>
      <w:pPr>
        <w:numPr>
          <w:ilvl w:val="0"/>
          <w:numId w:val="1433"/>
        </w:numPr>
        <w:pStyle w:val="Compact"/>
      </w:pPr>
      <w:r>
        <w:rPr>
          <w:rStyle w:val="VerbatimChar"/>
          <w:bCs/>
          <w:b/>
        </w:rPr>
        <w:t xml:space="preserve">KmpChanged</w:t>
      </w:r>
      <w:r>
        <w:t xml:space="preserve"> </w:t>
      </w:r>
      <w:r>
        <w:t xml:space="preserve">(canonical) on any director or KMP appointment, cessation or redesignation: role, DIN, effective date, evidence hash, obligations started (GV1.5). Consumers: the tenant’s compliance destination and RK8. No PAN or date of birth in the payload.</w:t>
      </w:r>
    </w:p>
    <w:bookmarkEnd w:id="469"/>
    <w:bookmarkStart w:id="470" w:name="gv1.4-committees"/>
    <w:p>
      <w:pPr>
        <w:pStyle w:val="Heading3"/>
      </w:pPr>
      <w:r>
        <w:t xml:space="preserve">GV1.4 Committees</w:t>
      </w:r>
    </w:p>
    <w:p>
      <w:pPr>
        <w:pStyle w:val="FirstParagraph"/>
      </w:pPr>
      <w:r>
        <w:t xml:space="preserve">Committee master (type, basis, charter version in M16, members with role chair, member, invitee or non-voting adviser) plus composition rule packs validated after every change; a breach opens a task with the cure window.</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01"/>
        <w:gridCol w:w="3278"/>
        <w:gridCol w:w="2399"/>
        <w:gridCol w:w="1860"/>
      </w:tblGrid>
      <w:tr>
        <w:trPr>
          <w:tblHeader w:val="true"/>
          <w:tblHeader w:val="true"/>
        </w:trPr>
        <w:tc>
          <w:tcPr>
            <w:tcW w:w="2101" w:type="dxa"/>
            <w:shd w:val="clear" w:color="auto" w:fill="1F3A5F"/>
          </w:tcPr>
          <w:p>
            <w:pPr>
              <w:pStyle w:val="Compact"/>
              <w:spacing w:after="40"/>
              <w:jc w:val="left"/>
            </w:pPr>
            <w:r>
              <w:rPr>
                <w:b/>
                <w:color w:val="FFFFFF"/>
                <w:sz w:val="18"/>
              </w:rPr>
              <w:t xml:space="preserve">Committee</w:t>
            </w:r>
          </w:p>
        </w:tc>
        <w:tc>
          <w:tcPr>
            <w:tcW w:w="3278" w:type="dxa"/>
            <w:shd w:val="clear" w:color="auto" w:fill="1F3A5F"/>
          </w:tcPr>
          <w:p>
            <w:pPr>
              <w:pStyle w:val="Compact"/>
              <w:spacing w:after="40"/>
              <w:jc w:val="left"/>
            </w:pPr>
            <w:r>
              <w:rPr>
                <w:b/>
                <w:color w:val="FFFFFF"/>
                <w:sz w:val="18"/>
              </w:rPr>
              <w:t xml:space="preserve">Composition (defaults; stricter listed values override)</w:t>
            </w:r>
          </w:p>
        </w:tc>
        <w:tc>
          <w:tcPr>
            <w:tcW w:w="2399" w:type="dxa"/>
            <w:shd w:val="clear" w:color="auto" w:fill="1F3A5F"/>
          </w:tcPr>
          <w:p>
            <w:pPr>
              <w:pStyle w:val="Compact"/>
              <w:spacing w:after="40"/>
              <w:jc w:val="left"/>
            </w:pPr>
            <w:r>
              <w:rPr>
                <w:b/>
                <w:color w:val="FFFFFF"/>
                <w:sz w:val="18"/>
              </w:rPr>
              <w:t xml:space="preserve">Meetings</w:t>
            </w:r>
          </w:p>
        </w:tc>
        <w:tc>
          <w:tcPr>
            <w:tcW w:w="1860" w:type="dxa"/>
            <w:shd w:val="clear" w:color="auto" w:fill="1F3A5F"/>
          </w:tcPr>
          <w:p>
            <w:pPr>
              <w:pStyle w:val="Compact"/>
              <w:spacing w:after="40"/>
              <w:jc w:val="left"/>
            </w:pPr>
            <w:r>
              <w:rPr>
                <w:b/>
                <w:color w:val="FFFFFF"/>
                <w:sz w:val="18"/>
              </w:rPr>
              <w:t xml:space="preserve">Basis</w:t>
            </w:r>
          </w:p>
        </w:tc>
      </w:tr>
      <w:tr>
        <w:tc>
          <w:tcPr>
            <w:tcW w:w="2101" w:type="dxa"/>
          </w:tcPr>
          <w:p>
            <w:pPr>
              <w:pStyle w:val="Compact"/>
              <w:spacing w:after="40"/>
              <w:jc w:val="left"/>
            </w:pPr>
            <w:r>
              <w:rPr>
                <w:sz w:val="18"/>
              </w:rPr>
              <w:t xml:space="preserve">Audit Committee (ACB)</w:t>
            </w:r>
          </w:p>
        </w:tc>
        <w:tc>
          <w:tcPr>
            <w:tcW w:w="3278" w:type="dxa"/>
          </w:tcPr>
          <w:p>
            <w:pPr>
              <w:pStyle w:val="Compact"/>
              <w:spacing w:after="40"/>
              <w:jc w:val="left"/>
            </w:pPr>
            <w:r>
              <w:rPr>
                <w:sz w:val="18"/>
              </w:rPr>
              <w:t xml:space="preserve">≥ 3 Board members; company law: independent majority; listed: two-thirds independent, independent chair [VERIFY]</w:t>
            </w:r>
          </w:p>
        </w:tc>
        <w:tc>
          <w:tcPr>
            <w:tcW w:w="2399" w:type="dxa"/>
          </w:tcPr>
          <w:p>
            <w:pPr>
              <w:pStyle w:val="Compact"/>
              <w:spacing w:after="40"/>
              <w:jc w:val="left"/>
            </w:pPr>
            <w:r>
              <w:rPr>
                <w:sz w:val="18"/>
              </w:rPr>
              <w:t xml:space="preserve">Listed ≥ 4 a year, gap ≤ 120 days; quarterly ACB–HIA meeting</w:t>
            </w:r>
          </w:p>
        </w:tc>
        <w:tc>
          <w:tcPr>
            <w:tcW w:w="1860" w:type="dxa"/>
          </w:tcPr>
          <w:p>
            <w:pPr>
              <w:pStyle w:val="Compact"/>
              <w:spacing w:after="40"/>
              <w:jc w:val="left"/>
            </w:pPr>
            <w:r>
              <w:rPr>
                <w:sz w:val="18"/>
              </w:rPr>
              <w:t xml:space="preserve">GOV para 17; s.177; LODR Reg 18; IAF</w:t>
            </w:r>
          </w:p>
        </w:tc>
      </w:tr>
      <w:tr>
        <w:tc>
          <w:tcPr>
            <w:tcW w:w="2101" w:type="dxa"/>
          </w:tcPr>
          <w:p>
            <w:pPr>
              <w:pStyle w:val="Compact"/>
              <w:spacing w:after="40"/>
              <w:jc w:val="left"/>
            </w:pPr>
            <w:r>
              <w:rPr>
                <w:sz w:val="18"/>
              </w:rPr>
              <w:t xml:space="preserve">NRC (Nomination Committee if government-owned)</w:t>
            </w:r>
          </w:p>
        </w:tc>
        <w:tc>
          <w:tcPr>
            <w:tcW w:w="3278" w:type="dxa"/>
          </w:tcPr>
          <w:p>
            <w:pPr>
              <w:pStyle w:val="Compact"/>
              <w:spacing w:after="40"/>
              <w:jc w:val="left"/>
            </w:pPr>
            <w:r>
              <w:rPr>
                <w:sz w:val="18"/>
              </w:rPr>
              <w:t xml:space="preserve">≥ 3 non-executive, at least half independent; listed two-thirds [VERIFY]</w:t>
            </w:r>
          </w:p>
        </w:tc>
        <w:tc>
          <w:tcPr>
            <w:tcW w:w="2399" w:type="dxa"/>
          </w:tcPr>
          <w:p>
            <w:pPr>
              <w:pStyle w:val="Compact"/>
              <w:spacing w:after="40"/>
              <w:jc w:val="left"/>
            </w:pPr>
            <w:r>
              <w:rPr>
                <w:sz w:val="18"/>
              </w:rPr>
              <w:t xml:space="preserve">Listed ≥ 1 a year</w:t>
            </w:r>
          </w:p>
        </w:tc>
        <w:tc>
          <w:tcPr>
            <w:tcW w:w="1860" w:type="dxa"/>
          </w:tcPr>
          <w:p>
            <w:pPr>
              <w:pStyle w:val="Compact"/>
              <w:spacing w:after="40"/>
              <w:jc w:val="left"/>
            </w:pPr>
            <w:r>
              <w:rPr>
                <w:sz w:val="18"/>
              </w:rPr>
              <w:t xml:space="preserve">GOV para 18; s.178; LODR Reg 19</w:t>
            </w:r>
          </w:p>
        </w:tc>
      </w:tr>
      <w:tr>
        <w:tc>
          <w:tcPr>
            <w:tcW w:w="2101" w:type="dxa"/>
          </w:tcPr>
          <w:p>
            <w:pPr>
              <w:pStyle w:val="Compact"/>
              <w:spacing w:after="40"/>
              <w:jc w:val="left"/>
            </w:pPr>
            <w:r>
              <w:rPr>
                <w:sz w:val="18"/>
              </w:rPr>
              <w:t xml:space="preserve">Risk Management Committee</w:t>
            </w:r>
          </w:p>
        </w:tc>
        <w:tc>
          <w:tcPr>
            <w:tcW w:w="3278" w:type="dxa"/>
          </w:tcPr>
          <w:p>
            <w:pPr>
              <w:pStyle w:val="Compact"/>
              <w:spacing w:after="40"/>
              <w:jc w:val="left"/>
            </w:pPr>
            <w:r>
              <w:rPr>
                <w:sz w:val="18"/>
              </w:rPr>
              <w:t xml:space="preserve">Board or executive level; listed top 1,000: ≥ 3, majority directors, ≥ 1 independent [VERIFY]</w:t>
            </w:r>
          </w:p>
        </w:tc>
        <w:tc>
          <w:tcPr>
            <w:tcW w:w="2399" w:type="dxa"/>
          </w:tcPr>
          <w:p>
            <w:pPr>
              <w:pStyle w:val="Compact"/>
              <w:spacing w:after="40"/>
              <w:jc w:val="left"/>
            </w:pPr>
            <w:r>
              <w:rPr>
                <w:sz w:val="18"/>
              </w:rPr>
              <w:t xml:space="preserve">Listed ≥ 2 a year, gap ≤ 210 days [VERIFY]</w:t>
            </w:r>
          </w:p>
        </w:tc>
        <w:tc>
          <w:tcPr>
            <w:tcW w:w="1860" w:type="dxa"/>
          </w:tcPr>
          <w:p>
            <w:pPr>
              <w:pStyle w:val="Compact"/>
              <w:spacing w:after="40"/>
              <w:jc w:val="left"/>
            </w:pPr>
            <w:r>
              <w:rPr>
                <w:sz w:val="18"/>
              </w:rPr>
              <w:t xml:space="preserve">GOV para 9; LODR Reg 21</w:t>
            </w:r>
          </w:p>
        </w:tc>
      </w:tr>
      <w:tr>
        <w:tc>
          <w:tcPr>
            <w:tcW w:w="2101" w:type="dxa"/>
          </w:tcPr>
          <w:p>
            <w:pPr>
              <w:pStyle w:val="Compact"/>
              <w:spacing w:after="40"/>
              <w:jc w:val="left"/>
            </w:pPr>
            <w:r>
              <w:rPr>
                <w:sz w:val="18"/>
              </w:rPr>
              <w:t xml:space="preserve">IT Strategy Committee</w:t>
            </w:r>
          </w:p>
        </w:tc>
        <w:tc>
          <w:tcPr>
            <w:tcW w:w="3278" w:type="dxa"/>
          </w:tcPr>
          <w:p>
            <w:pPr>
              <w:pStyle w:val="Compact"/>
              <w:spacing w:after="40"/>
              <w:jc w:val="left"/>
            </w:pPr>
            <w:r>
              <w:rPr>
                <w:sz w:val="18"/>
              </w:rPr>
              <w:t xml:space="preserve">Ch IV: independent chair, CIO/CTO; Ch V: ≥ 3 directors, independent chair with ≥ 7 years’ IT experience</w:t>
            </w:r>
          </w:p>
        </w:tc>
        <w:tc>
          <w:tcPr>
            <w:tcW w:w="2399" w:type="dxa"/>
          </w:tcPr>
          <w:p>
            <w:pPr>
              <w:pStyle w:val="Compact"/>
              <w:spacing w:after="40"/>
              <w:jc w:val="left"/>
            </w:pPr>
            <w:r>
              <w:rPr>
                <w:sz w:val="18"/>
              </w:rPr>
              <w:t xml:space="preserve">Ch IV gap ≤ 6 months; Ch V quarterly</w:t>
            </w:r>
          </w:p>
        </w:tc>
        <w:tc>
          <w:tcPr>
            <w:tcW w:w="1860" w:type="dxa"/>
          </w:tcPr>
          <w:p>
            <w:pPr>
              <w:pStyle w:val="Compact"/>
              <w:spacing w:after="40"/>
              <w:jc w:val="left"/>
            </w:pPr>
            <w:r>
              <w:rPr>
                <w:sz w:val="18"/>
              </w:rPr>
              <w:t xml:space="preserve">CYB paras 15, 71–72</w:t>
            </w:r>
          </w:p>
        </w:tc>
      </w:tr>
      <w:tr>
        <w:tc>
          <w:tcPr>
            <w:tcW w:w="2101" w:type="dxa"/>
          </w:tcPr>
          <w:p>
            <w:pPr>
              <w:pStyle w:val="Compact"/>
              <w:spacing w:after="40"/>
              <w:jc w:val="left"/>
            </w:pPr>
            <w:r>
              <w:rPr>
                <w:sz w:val="18"/>
              </w:rPr>
              <w:t xml:space="preserve">IT Steering Committee</w:t>
            </w:r>
          </w:p>
        </w:tc>
        <w:tc>
          <w:tcPr>
            <w:tcW w:w="3278" w:type="dxa"/>
          </w:tcPr>
          <w:p>
            <w:pPr>
              <w:pStyle w:val="Compact"/>
              <w:spacing w:after="40"/>
              <w:jc w:val="left"/>
            </w:pPr>
            <w:r>
              <w:rPr>
                <w:sz w:val="18"/>
              </w:rPr>
              <w:t xml:space="preserve">Executive</w:t>
            </w:r>
          </w:p>
        </w:tc>
        <w:tc>
          <w:tcPr>
            <w:tcW w:w="2399" w:type="dxa"/>
          </w:tcPr>
          <w:p>
            <w:pPr>
              <w:pStyle w:val="Compact"/>
              <w:spacing w:after="40"/>
              <w:jc w:val="left"/>
            </w:pPr>
            <w:r>
              <w:rPr>
                <w:sz w:val="18"/>
              </w:rPr>
              <w:t xml:space="preserve">Quarterly (Ch V)</w:t>
            </w:r>
          </w:p>
        </w:tc>
        <w:tc>
          <w:tcPr>
            <w:tcW w:w="1860" w:type="dxa"/>
          </w:tcPr>
          <w:p>
            <w:pPr>
              <w:pStyle w:val="Compact"/>
              <w:spacing w:after="40"/>
              <w:jc w:val="left"/>
            </w:pPr>
            <w:r>
              <w:rPr>
                <w:sz w:val="18"/>
              </w:rPr>
              <w:t xml:space="preserve">CYB para 75</w:t>
            </w:r>
          </w:p>
        </w:tc>
      </w:tr>
      <w:tr>
        <w:tc>
          <w:tcPr>
            <w:tcW w:w="2101" w:type="dxa"/>
          </w:tcPr>
          <w:p>
            <w:pPr>
              <w:pStyle w:val="Compact"/>
              <w:spacing w:after="40"/>
              <w:jc w:val="left"/>
            </w:pPr>
            <w:r>
              <w:rPr>
                <w:sz w:val="18"/>
              </w:rPr>
              <w:t xml:space="preserve">Stakeholders Relationship</w:t>
            </w:r>
          </w:p>
        </w:tc>
        <w:tc>
          <w:tcPr>
            <w:tcW w:w="3278" w:type="dxa"/>
          </w:tcPr>
          <w:p>
            <w:pPr>
              <w:pStyle w:val="Compact"/>
              <w:spacing w:after="40"/>
              <w:jc w:val="left"/>
            </w:pPr>
            <w:r>
              <w:rPr>
                <w:sz w:val="18"/>
              </w:rPr>
              <w:t xml:space="preserve">Non-executive chair; listed ≥ 3 with ≥ 1 independent [VERIFY]</w:t>
            </w:r>
          </w:p>
        </w:tc>
        <w:tc>
          <w:tcPr>
            <w:tcW w:w="2399" w:type="dxa"/>
          </w:tcPr>
          <w:p>
            <w:pPr>
              <w:pStyle w:val="Compact"/>
              <w:spacing w:after="40"/>
              <w:jc w:val="left"/>
            </w:pPr>
            <w:r>
              <w:rPr>
                <w:sz w:val="18"/>
              </w:rPr>
              <w:t xml:space="preserve">Listed ≥ 1 a year</w:t>
            </w:r>
          </w:p>
        </w:tc>
        <w:tc>
          <w:tcPr>
            <w:tcW w:w="1860" w:type="dxa"/>
          </w:tcPr>
          <w:p>
            <w:pPr>
              <w:pStyle w:val="Compact"/>
              <w:spacing w:after="40"/>
              <w:jc w:val="left"/>
            </w:pPr>
            <w:r>
              <w:rPr>
                <w:sz w:val="18"/>
              </w:rPr>
              <w:t xml:space="preserve">s.178(5); LODR Reg 20</w:t>
            </w:r>
          </w:p>
        </w:tc>
      </w:tr>
      <w:tr>
        <w:tc>
          <w:tcPr>
            <w:tcW w:w="2101" w:type="dxa"/>
          </w:tcPr>
          <w:p>
            <w:pPr>
              <w:pStyle w:val="Compact"/>
              <w:spacing w:after="40"/>
              <w:jc w:val="left"/>
            </w:pPr>
            <w:r>
              <w:rPr>
                <w:sz w:val="18"/>
              </w:rPr>
              <w:t xml:space="preserve">CSR</w:t>
            </w:r>
          </w:p>
        </w:tc>
        <w:tc>
          <w:tcPr>
            <w:tcW w:w="3278" w:type="dxa"/>
          </w:tcPr>
          <w:p>
            <w:pPr>
              <w:pStyle w:val="Compact"/>
              <w:spacing w:after="40"/>
              <w:jc w:val="left"/>
            </w:pPr>
            <w:r>
              <w:rPr>
                <w:sz w:val="18"/>
              </w:rPr>
              <w:t xml:space="preserve">≥ 3 directors incl. ≥ 1 independent where IDs are required</w:t>
            </w:r>
          </w:p>
        </w:tc>
        <w:tc>
          <w:tcPr>
            <w:tcW w:w="2399" w:type="dxa"/>
          </w:tcPr>
          <w:p>
            <w:pPr>
              <w:pStyle w:val="Compact"/>
              <w:spacing w:after="40"/>
              <w:jc w:val="left"/>
            </w:pPr>
            <w:r>
              <w:rPr>
                <w:sz w:val="18"/>
              </w:rPr>
              <w:t xml:space="preserve">Per charter</w:t>
            </w:r>
          </w:p>
        </w:tc>
        <w:tc>
          <w:tcPr>
            <w:tcW w:w="1860" w:type="dxa"/>
          </w:tcPr>
          <w:p>
            <w:pPr>
              <w:pStyle w:val="Compact"/>
              <w:spacing w:after="40"/>
              <w:jc w:val="left"/>
            </w:pPr>
            <w:r>
              <w:rPr>
                <w:sz w:val="18"/>
              </w:rPr>
              <w:t xml:space="preserve">s.135</w:t>
            </w:r>
          </w:p>
        </w:tc>
      </w:tr>
      <w:tr>
        <w:tc>
          <w:tcPr>
            <w:tcW w:w="2101" w:type="dxa"/>
          </w:tcPr>
          <w:p>
            <w:pPr>
              <w:pStyle w:val="Compact"/>
              <w:spacing w:after="40"/>
              <w:jc w:val="left"/>
            </w:pPr>
            <w:r>
              <w:rPr>
                <w:sz w:val="18"/>
              </w:rPr>
              <w:t xml:space="preserve">Fraud monitoring; WD identification and review</w:t>
            </w:r>
          </w:p>
        </w:tc>
        <w:tc>
          <w:tcPr>
            <w:tcW w:w="3278" w:type="dxa"/>
          </w:tcPr>
          <w:p>
            <w:pPr>
              <w:pStyle w:val="Compact"/>
              <w:spacing w:after="40"/>
              <w:jc w:val="left"/>
            </w:pPr>
            <w:r>
              <w:rPr>
                <w:sz w:val="18"/>
              </w:rPr>
              <w:t xml:space="preserve">Per FRM and WD Directions</w:t>
            </w:r>
          </w:p>
        </w:tc>
        <w:tc>
          <w:tcPr>
            <w:tcW w:w="2399" w:type="dxa"/>
          </w:tcPr>
          <w:p>
            <w:pPr>
              <w:pStyle w:val="Compact"/>
              <w:spacing w:after="40"/>
              <w:jc w:val="left"/>
            </w:pPr>
            <w:r>
              <w:rPr>
                <w:sz w:val="18"/>
              </w:rPr>
              <w:t xml:space="preserve">Per Directions</w:t>
            </w:r>
          </w:p>
        </w:tc>
        <w:tc>
          <w:tcPr>
            <w:tcW w:w="1860" w:type="dxa"/>
          </w:tcPr>
          <w:p>
            <w:pPr>
              <w:pStyle w:val="Compact"/>
              <w:spacing w:after="40"/>
              <w:jc w:val="left"/>
            </w:pPr>
            <w:r>
              <w:rPr>
                <w:sz w:val="18"/>
              </w:rPr>
              <w:t xml:space="preserve">FRM; WD</w:t>
            </w:r>
          </w:p>
        </w:tc>
      </w:tr>
      <w:tr>
        <w:tc>
          <w:tcPr>
            <w:tcW w:w="2101" w:type="dxa"/>
          </w:tcPr>
          <w:p>
            <w:pPr>
              <w:pStyle w:val="Compact"/>
              <w:spacing w:after="40"/>
              <w:jc w:val="left"/>
            </w:pPr>
            <w:r>
              <w:rPr>
                <w:sz w:val="18"/>
              </w:rPr>
              <w:t xml:space="preserve">ALCO, credit and sanction committees</w:t>
            </w:r>
          </w:p>
        </w:tc>
        <w:tc>
          <w:tcPr>
            <w:tcW w:w="3278" w:type="dxa"/>
          </w:tcPr>
          <w:p>
            <w:pPr>
              <w:pStyle w:val="Compact"/>
              <w:spacing w:after="40"/>
              <w:jc w:val="left"/>
            </w:pPr>
            <w:r>
              <w:rPr>
                <w:sz w:val="18"/>
              </w:rPr>
              <w:t xml:space="preserve">Executive; CRO adviser (no vote) or voter (vote recorded, joint liability flag)</w:t>
            </w:r>
          </w:p>
        </w:tc>
        <w:tc>
          <w:tcPr>
            <w:tcW w:w="2399" w:type="dxa"/>
          </w:tcPr>
          <w:p>
            <w:pPr>
              <w:pStyle w:val="Compact"/>
              <w:spacing w:after="40"/>
              <w:jc w:val="left"/>
            </w:pPr>
            <w:r>
              <w:rPr>
                <w:sz w:val="18"/>
              </w:rPr>
              <w:t xml:space="preserve">Per policy</w:t>
            </w:r>
          </w:p>
        </w:tc>
        <w:tc>
          <w:tcPr>
            <w:tcW w:w="1860" w:type="dxa"/>
          </w:tcPr>
          <w:p>
            <w:pPr>
              <w:pStyle w:val="Compact"/>
              <w:spacing w:after="40"/>
              <w:jc w:val="left"/>
            </w:pPr>
            <w:r>
              <w:rPr>
                <w:sz w:val="18"/>
              </w:rPr>
              <w:t xml:space="preserve">ALM; GOV para 24</w:t>
            </w:r>
          </w:p>
        </w:tc>
      </w:tr>
    </w:tbl>
    <w:p>
      <w:pPr>
        <w:pStyle w:val="BodyText"/>
      </w:pPr>
      <w:r>
        <w:t xml:space="preserve">Mandatory agenda items are seeded per committee (for example ACB annual IS-audit review, CYB paras 51, 56 and GOV para 17(2); RPT prior approval, s.177(4)(iv) and LODR Reg 23(2); RMC risk appetite and ICAAP; NRC annual fit-and-proper review). A missed item at the last meeting in its window raises an M14 exception. Listed directors are limited to 10 Audit or Stakeholders committee memberships and 5 chairs (LODR Reg 26(1)) [VERIFY].</w:t>
      </w:r>
    </w:p>
    <w:bookmarkEnd w:id="470"/>
    <w:bookmarkStart w:id="471" w:name="gv1.5-change-reporting-matrix"/>
    <w:p>
      <w:pPr>
        <w:pStyle w:val="Heading3"/>
      </w:pPr>
      <w:r>
        <w:t xml:space="preserve">GV1.5 Change reporting matrix</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14"/>
        <w:gridCol w:w="2793"/>
        <w:gridCol w:w="3280"/>
        <w:gridCol w:w="1651"/>
      </w:tblGrid>
      <w:tr>
        <w:trPr>
          <w:tblHeader w:val="true"/>
          <w:tblHeader w:val="true"/>
        </w:trPr>
        <w:tc>
          <w:tcPr>
            <w:tcW w:w="1914" w:type="dxa"/>
            <w:shd w:val="clear" w:color="auto" w:fill="1F3A5F"/>
          </w:tcPr>
          <w:p>
            <w:pPr>
              <w:pStyle w:val="Compact"/>
              <w:spacing w:after="40"/>
              <w:jc w:val="left"/>
            </w:pPr>
            <w:r>
              <w:rPr>
                <w:b/>
                <w:color w:val="FFFFFF"/>
                <w:sz w:val="18"/>
              </w:rPr>
              <w:t xml:space="preserve">Trigger</w:t>
            </w:r>
          </w:p>
        </w:tc>
        <w:tc>
          <w:tcPr>
            <w:tcW w:w="2793" w:type="dxa"/>
            <w:shd w:val="clear" w:color="auto" w:fill="1F3A5F"/>
          </w:tcPr>
          <w:p>
            <w:pPr>
              <w:pStyle w:val="Compact"/>
              <w:spacing w:after="40"/>
              <w:jc w:val="left"/>
            </w:pPr>
            <w:r>
              <w:rPr>
                <w:b/>
                <w:color w:val="FFFFFF"/>
                <w:sz w:val="18"/>
              </w:rPr>
              <w:t xml:space="preserve">Obligation</w:t>
            </w:r>
          </w:p>
        </w:tc>
        <w:tc>
          <w:tcPr>
            <w:tcW w:w="3280" w:type="dxa"/>
            <w:shd w:val="clear" w:color="auto" w:fill="1F3A5F"/>
          </w:tcPr>
          <w:p>
            <w:pPr>
              <w:pStyle w:val="Compact"/>
              <w:spacing w:after="40"/>
              <w:jc w:val="left"/>
            </w:pPr>
            <w:r>
              <w:rPr>
                <w:b/>
                <w:color w:val="FFFFFF"/>
                <w:sz w:val="18"/>
              </w:rPr>
              <w:t xml:space="preserve">Timer</w:t>
            </w:r>
          </w:p>
        </w:tc>
        <w:tc>
          <w:tcPr>
            <w:tcW w:w="1651" w:type="dxa"/>
            <w:shd w:val="clear" w:color="auto" w:fill="1F3A5F"/>
          </w:tcPr>
          <w:p>
            <w:pPr>
              <w:pStyle w:val="Compact"/>
              <w:spacing w:after="40"/>
              <w:jc w:val="left"/>
            </w:pPr>
            <w:r>
              <w:rPr>
                <w:b/>
                <w:color w:val="FFFFFF"/>
                <w:sz w:val="18"/>
              </w:rPr>
              <w:t xml:space="preserve">Basis</w:t>
            </w:r>
          </w:p>
        </w:tc>
      </w:tr>
      <w:tr>
        <w:tc>
          <w:tcPr>
            <w:tcW w:w="1914" w:type="dxa"/>
          </w:tcPr>
          <w:p>
            <w:pPr>
              <w:pStyle w:val="Compact"/>
              <w:spacing w:after="40"/>
              <w:jc w:val="left"/>
            </w:pPr>
            <w:r>
              <w:rPr>
                <w:sz w:val="18"/>
              </w:rPr>
              <w:t xml:space="preserve">Director or KMP appointment or cessation</w:t>
            </w:r>
          </w:p>
        </w:tc>
        <w:tc>
          <w:tcPr>
            <w:tcW w:w="2793" w:type="dxa"/>
          </w:tcPr>
          <w:p>
            <w:pPr>
              <w:pStyle w:val="Compact"/>
              <w:spacing w:after="40"/>
              <w:jc w:val="left"/>
            </w:pPr>
            <w:r>
              <w:rPr>
                <w:sz w:val="18"/>
              </w:rPr>
              <w:t xml:space="preserve">DIR-12</w:t>
            </w:r>
          </w:p>
        </w:tc>
        <w:tc>
          <w:tcPr>
            <w:tcW w:w="3280" w:type="dxa"/>
          </w:tcPr>
          <w:p>
            <w:pPr>
              <w:pStyle w:val="Compact"/>
              <w:spacing w:after="40"/>
              <w:jc w:val="left"/>
            </w:pPr>
            <w:r>
              <w:rPr>
                <w:sz w:val="18"/>
              </w:rPr>
              <w:t xml:space="preserve">30 days</w:t>
            </w:r>
          </w:p>
        </w:tc>
        <w:tc>
          <w:tcPr>
            <w:tcW w:w="1651" w:type="dxa"/>
          </w:tcPr>
          <w:p>
            <w:pPr>
              <w:pStyle w:val="Compact"/>
              <w:spacing w:after="40"/>
              <w:jc w:val="left"/>
            </w:pPr>
            <w:r>
              <w:rPr>
                <w:sz w:val="18"/>
              </w:rPr>
              <w:t xml:space="preserve">CA13 ss.168, 170, 203</w:t>
            </w:r>
          </w:p>
        </w:tc>
      </w:tr>
      <w:tr>
        <w:tc>
          <w:tcPr>
            <w:tcW w:w="1914" w:type="dxa"/>
          </w:tcPr>
          <w:p>
            <w:pPr>
              <w:pStyle w:val="Compact"/>
              <w:spacing w:after="40"/>
              <w:jc w:val="left"/>
            </w:pPr>
            <w:r>
              <w:rPr>
                <w:sz w:val="18"/>
              </w:rPr>
              <w:t xml:space="preserve">Any change in directors or management</w:t>
            </w:r>
          </w:p>
        </w:tc>
        <w:tc>
          <w:tcPr>
            <w:tcW w:w="2793" w:type="dxa"/>
          </w:tcPr>
          <w:p>
            <w:pPr>
              <w:pStyle w:val="Compact"/>
              <w:spacing w:after="40"/>
              <w:jc w:val="left"/>
            </w:pPr>
            <w:r>
              <w:rPr>
                <w:sz w:val="18"/>
              </w:rPr>
              <w:t xml:space="preserve">Intimation to DoS RO (NHB for HFCs)</w:t>
            </w:r>
          </w:p>
        </w:tc>
        <w:tc>
          <w:tcPr>
            <w:tcW w:w="3280" w:type="dxa"/>
          </w:tcPr>
          <w:p>
            <w:pPr>
              <w:pStyle w:val="Compact"/>
              <w:spacing w:after="40"/>
              <w:jc w:val="left"/>
            </w:pPr>
            <w:r>
              <w:rPr>
                <w:sz w:val="18"/>
              </w:rPr>
              <w:t xml:space="preserve">None in text; default 7 days [REC]</w:t>
            </w:r>
          </w:p>
        </w:tc>
        <w:tc>
          <w:tcPr>
            <w:tcW w:w="1651" w:type="dxa"/>
          </w:tcPr>
          <w:p>
            <w:pPr>
              <w:pStyle w:val="Compact"/>
              <w:spacing w:after="40"/>
              <w:jc w:val="left"/>
            </w:pPr>
            <w:r>
              <w:rPr>
                <w:sz w:val="18"/>
              </w:rPr>
              <w:t xml:space="preserve">GOV para 10 Explanation</w:t>
            </w:r>
          </w:p>
        </w:tc>
      </w:tr>
      <w:tr>
        <w:tc>
          <w:tcPr>
            <w:tcW w:w="1914" w:type="dxa"/>
          </w:tcPr>
          <w:p>
            <w:pPr>
              <w:pStyle w:val="Compact"/>
              <w:spacing w:after="40"/>
              <w:jc w:val="left"/>
            </w:pPr>
            <w:r>
              <w:rPr>
                <w:sz w:val="18"/>
              </w:rPr>
              <w:t xml:space="preserve">Change above 30% of non-independent directors</w:t>
            </w:r>
          </w:p>
        </w:tc>
        <w:tc>
          <w:tcPr>
            <w:tcW w:w="2793" w:type="dxa"/>
          </w:tcPr>
          <w:p>
            <w:pPr>
              <w:pStyle w:val="Compact"/>
              <w:spacing w:after="40"/>
              <w:jc w:val="left"/>
            </w:pPr>
            <w:r>
              <w:rPr>
                <w:sz w:val="18"/>
              </w:rPr>
              <w:t xml:space="preserve">Prior approval via PRAVAAH</w:t>
            </w:r>
          </w:p>
        </w:tc>
        <w:tc>
          <w:tcPr>
            <w:tcW w:w="3280" w:type="dxa"/>
          </w:tcPr>
          <w:p>
            <w:pPr>
              <w:pStyle w:val="Compact"/>
              <w:spacing w:after="40"/>
              <w:jc w:val="left"/>
            </w:pPr>
            <w:r>
              <w:rPr>
                <w:sz w:val="18"/>
              </w:rPr>
              <w:t xml:space="preserve">Before effect</w:t>
            </w:r>
          </w:p>
        </w:tc>
        <w:tc>
          <w:tcPr>
            <w:tcW w:w="1651" w:type="dxa"/>
          </w:tcPr>
          <w:p>
            <w:pPr>
              <w:pStyle w:val="Compact"/>
              <w:spacing w:after="40"/>
              <w:jc w:val="left"/>
            </w:pPr>
            <w:r>
              <w:rPr>
                <w:sz w:val="18"/>
              </w:rPr>
              <w:t xml:space="preserve">GOV paras 10–11</w:t>
            </w:r>
          </w:p>
        </w:tc>
      </w:tr>
      <w:tr>
        <w:tc>
          <w:tcPr>
            <w:tcW w:w="1914" w:type="dxa"/>
          </w:tcPr>
          <w:p>
            <w:pPr>
              <w:pStyle w:val="Compact"/>
              <w:spacing w:after="40"/>
              <w:jc w:val="left"/>
            </w:pPr>
            <w:r>
              <w:rPr>
                <w:sz w:val="18"/>
              </w:rPr>
              <w:t xml:space="preserve">Quarter end (ML and UL)</w:t>
            </w:r>
          </w:p>
        </w:tc>
        <w:tc>
          <w:tcPr>
            <w:tcW w:w="2793" w:type="dxa"/>
          </w:tcPr>
          <w:p>
            <w:pPr>
              <w:pStyle w:val="Compact"/>
              <w:spacing w:after="40"/>
              <w:jc w:val="left"/>
            </w:pPr>
            <w:r>
              <w:rPr>
                <w:sz w:val="18"/>
              </w:rPr>
              <w:t xml:space="preserve">Change-of-directors statement with MD/CEO fit-and-proper certificate to the DoS RO (NHB for HFCs); March statement auditor-certified</w:t>
            </w:r>
          </w:p>
        </w:tc>
        <w:tc>
          <w:tcPr>
            <w:tcW w:w="3280" w:type="dxa"/>
          </w:tcPr>
          <w:p>
            <w:pPr>
              <w:pStyle w:val="Compact"/>
              <w:spacing w:after="40"/>
              <w:jc w:val="left"/>
            </w:pPr>
            <w:r>
              <w:rPr>
                <w:sz w:val="18"/>
              </w:rPr>
              <w:t xml:space="preserve">15 days after quarter end</w:t>
            </w:r>
          </w:p>
        </w:tc>
        <w:tc>
          <w:tcPr>
            <w:tcW w:w="1651" w:type="dxa"/>
          </w:tcPr>
          <w:p>
            <w:pPr>
              <w:pStyle w:val="Compact"/>
              <w:spacing w:after="40"/>
              <w:jc w:val="left"/>
            </w:pPr>
            <w:r>
              <w:rPr>
                <w:sz w:val="18"/>
              </w:rPr>
              <w:t xml:space="preserve">GOV para 14</w:t>
            </w:r>
          </w:p>
        </w:tc>
      </w:tr>
      <w:tr>
        <w:tc>
          <w:tcPr>
            <w:tcW w:w="1914" w:type="dxa"/>
          </w:tcPr>
          <w:p>
            <w:pPr>
              <w:pStyle w:val="Compact"/>
              <w:spacing w:after="40"/>
              <w:jc w:val="left"/>
            </w:pPr>
            <w:r>
              <w:rPr>
                <w:sz w:val="18"/>
              </w:rPr>
              <w:t xml:space="preserve">CRO premature removal or transfer</w:t>
            </w:r>
          </w:p>
        </w:tc>
        <w:tc>
          <w:tcPr>
            <w:tcW w:w="2793" w:type="dxa"/>
          </w:tcPr>
          <w:p>
            <w:pPr>
              <w:pStyle w:val="Compact"/>
              <w:spacing w:after="40"/>
              <w:jc w:val="left"/>
            </w:pPr>
            <w:r>
              <w:rPr>
                <w:sz w:val="18"/>
              </w:rPr>
              <w:t xml:space="preserve">Report to DoS RO; exchanges if listed</w:t>
            </w:r>
          </w:p>
        </w:tc>
        <w:tc>
          <w:tcPr>
            <w:tcW w:w="3280" w:type="dxa"/>
          </w:tcPr>
          <w:p>
            <w:pPr>
              <w:pStyle w:val="Compact"/>
              <w:spacing w:after="40"/>
              <w:jc w:val="left"/>
            </w:pPr>
            <w:r>
              <w:rPr>
                <w:sz w:val="18"/>
              </w:rPr>
              <w:t xml:space="preserve">Default 7 days [REC]</w:t>
            </w:r>
          </w:p>
        </w:tc>
        <w:tc>
          <w:tcPr>
            <w:tcW w:w="1651" w:type="dxa"/>
          </w:tcPr>
          <w:p>
            <w:pPr>
              <w:pStyle w:val="Compact"/>
              <w:spacing w:after="40"/>
              <w:jc w:val="left"/>
            </w:pPr>
            <w:r>
              <w:rPr>
                <w:sz w:val="18"/>
              </w:rPr>
              <w:t xml:space="preserve">GOV para 22</w:t>
            </w:r>
          </w:p>
        </w:tc>
      </w:tr>
      <w:tr>
        <w:tc>
          <w:tcPr>
            <w:tcW w:w="1914" w:type="dxa"/>
          </w:tcPr>
          <w:p>
            <w:pPr>
              <w:pStyle w:val="Compact"/>
              <w:spacing w:after="40"/>
              <w:jc w:val="left"/>
            </w:pPr>
            <w:r>
              <w:rPr>
                <w:sz w:val="18"/>
              </w:rPr>
              <w:t xml:space="preserve">UL independent director premature exit</w:t>
            </w:r>
          </w:p>
        </w:tc>
        <w:tc>
          <w:tcPr>
            <w:tcW w:w="2793" w:type="dxa"/>
          </w:tcPr>
          <w:p>
            <w:pPr>
              <w:pStyle w:val="Compact"/>
              <w:spacing w:after="40"/>
              <w:jc w:val="left"/>
            </w:pPr>
            <w:r>
              <w:rPr>
                <w:sz w:val="18"/>
              </w:rPr>
              <w:t xml:space="preserve">Report to supervisors</w:t>
            </w:r>
          </w:p>
        </w:tc>
        <w:tc>
          <w:tcPr>
            <w:tcW w:w="3280" w:type="dxa"/>
          </w:tcPr>
          <w:p>
            <w:pPr>
              <w:pStyle w:val="Compact"/>
              <w:spacing w:after="40"/>
              <w:jc w:val="left"/>
            </w:pPr>
            <w:r>
              <w:rPr>
                <w:sz w:val="18"/>
              </w:rPr>
              <w:t xml:space="preserve">Default 7 days [REC]</w:t>
            </w:r>
          </w:p>
        </w:tc>
        <w:tc>
          <w:tcPr>
            <w:tcW w:w="1651" w:type="dxa"/>
          </w:tcPr>
          <w:p>
            <w:pPr>
              <w:pStyle w:val="Compact"/>
              <w:spacing w:after="40"/>
              <w:jc w:val="left"/>
            </w:pPr>
            <w:r>
              <w:rPr>
                <w:sz w:val="18"/>
              </w:rPr>
              <w:t xml:space="preserve">GOV para 42</w:t>
            </w:r>
          </w:p>
        </w:tc>
      </w:tr>
      <w:tr>
        <w:tc>
          <w:tcPr>
            <w:tcW w:w="1914" w:type="dxa"/>
          </w:tcPr>
          <w:p>
            <w:pPr>
              <w:pStyle w:val="Compact"/>
              <w:spacing w:after="40"/>
              <w:jc w:val="left"/>
            </w:pPr>
            <w:r>
              <w:rPr>
                <w:sz w:val="18"/>
              </w:rPr>
              <w:t xml:space="preserve">Listed: director, KMP, senior-management, CS or auditor change</w:t>
            </w:r>
          </w:p>
        </w:tc>
        <w:tc>
          <w:tcPr>
            <w:tcW w:w="2793" w:type="dxa"/>
          </w:tcPr>
          <w:p>
            <w:pPr>
              <w:pStyle w:val="Compact"/>
              <w:spacing w:after="40"/>
              <w:jc w:val="left"/>
            </w:pPr>
            <w:r>
              <w:rPr>
                <w:sz w:val="18"/>
              </w:rPr>
              <w:t xml:space="preserve">Exchange disclosure</w:t>
            </w:r>
          </w:p>
        </w:tc>
        <w:tc>
          <w:tcPr>
            <w:tcW w:w="3280" w:type="dxa"/>
          </w:tcPr>
          <w:p>
            <w:pPr>
              <w:pStyle w:val="Compact"/>
              <w:spacing w:after="40"/>
              <w:jc w:val="left"/>
            </w:pPr>
            <w:r>
              <w:rPr>
                <w:sz w:val="18"/>
              </w:rPr>
              <w:t xml:space="preserve">30 minutes after the Board decision; otherwise 12 hours if internal, 24 hours if external (for example a resignation received); resignation letter with reasons within 7 days [VERIFY]</w:t>
            </w:r>
          </w:p>
        </w:tc>
        <w:tc>
          <w:tcPr>
            <w:tcW w:w="1651" w:type="dxa"/>
          </w:tcPr>
          <w:p>
            <w:pPr>
              <w:pStyle w:val="Compact"/>
              <w:spacing w:after="40"/>
              <w:jc w:val="left"/>
            </w:pPr>
            <w:r>
              <w:rPr>
                <w:sz w:val="18"/>
              </w:rPr>
              <w:t xml:space="preserve">LODR Reg 30(6); Sch III Part A paras 7, 7B, 7C</w:t>
            </w:r>
          </w:p>
        </w:tc>
      </w:tr>
      <w:tr>
        <w:tc>
          <w:tcPr>
            <w:tcW w:w="1914" w:type="dxa"/>
          </w:tcPr>
          <w:p>
            <w:pPr>
              <w:pStyle w:val="Compact"/>
              <w:spacing w:after="40"/>
              <w:jc w:val="left"/>
            </w:pPr>
            <w:r>
              <w:rPr>
                <w:sz w:val="18"/>
              </w:rPr>
              <w:t xml:space="preserve">Principal Officer or Designated Director change</w:t>
            </w:r>
          </w:p>
        </w:tc>
        <w:tc>
          <w:tcPr>
            <w:tcW w:w="2793" w:type="dxa"/>
          </w:tcPr>
          <w:p>
            <w:pPr>
              <w:pStyle w:val="Compact"/>
              <w:spacing w:after="40"/>
              <w:jc w:val="left"/>
            </w:pPr>
            <w:r>
              <w:rPr>
                <w:sz w:val="18"/>
              </w:rPr>
              <w:t xml:space="preserve">Name, designation, address and contact details to FIU-IND and RBI</w:t>
            </w:r>
          </w:p>
        </w:tc>
        <w:tc>
          <w:tcPr>
            <w:tcW w:w="3280" w:type="dxa"/>
          </w:tcPr>
          <w:p>
            <w:pPr>
              <w:pStyle w:val="Compact"/>
              <w:spacing w:after="40"/>
              <w:jc w:val="left"/>
            </w:pPr>
            <w:r>
              <w:rPr>
                <w:sz w:val="18"/>
              </w:rPr>
              <w:t xml:space="preserve">None in text; default 7 days [REC]</w:t>
            </w:r>
          </w:p>
        </w:tc>
        <w:tc>
          <w:tcPr>
            <w:tcW w:w="1651" w:type="dxa"/>
          </w:tcPr>
          <w:p>
            <w:pPr>
              <w:pStyle w:val="Compact"/>
              <w:spacing w:after="40"/>
              <w:jc w:val="left"/>
            </w:pPr>
            <w:r>
              <w:rPr>
                <w:sz w:val="18"/>
              </w:rPr>
              <w:t xml:space="preserve">KYC paras 14(2), 15(2)</w:t>
            </w:r>
          </w:p>
        </w:tc>
      </w:tr>
    </w:tbl>
    <w:bookmarkEnd w:id="471"/>
    <w:bookmarkStart w:id="472" w:name="gv1.6-controls"/>
    <w:p>
      <w:pPr>
        <w:pStyle w:val="Heading3"/>
      </w:pPr>
      <w:r>
        <w:t xml:space="preserve">GV1.6 Controls</w:t>
      </w:r>
    </w:p>
    <w:p>
      <w:pPr>
        <w:pStyle w:val="FirstParagraph"/>
      </w:pPr>
      <w:r>
        <w:t xml:space="preserve">CS maker and CS-checker or Compliance Officer checker for governance masters; directors self-serve declarations in a director portal (MFA; no loan data); every declaration eSigned or DSC-signed and hashed into M16 (PDF/A with hash in XMP). Interested-director recusal computed from MBP-1 and Annex II is enforced in GV2 voting, sanction committees (CRM 13J) and settlement approval (R1.7).</w:t>
      </w:r>
    </w:p>
    <w:bookmarkEnd w:id="472"/>
    <w:bookmarkStart w:id="473" w:name="acceptance-tests-34"/>
    <w:p>
      <w:pPr>
        <w:pStyle w:val="Heading3"/>
      </w:pPr>
      <w:r>
        <w:t xml:space="preserve">Acceptance tests</w:t>
      </w:r>
    </w:p>
    <w:p>
      <w:pPr>
        <w:numPr>
          <w:ilvl w:val="0"/>
          <w:numId w:val="1434"/>
        </w:numPr>
        <w:pStyle w:val="Compact"/>
      </w:pPr>
      <w:r>
        <w:t xml:space="preserve">An appointment that changes 4 of 10 non-independent directors stays in RBI_GATE until a PRAVAAH approval is attached; EFFECTIVE then starts the DIR-12 timer.</w:t>
      </w:r>
    </w:p>
    <w:p>
      <w:pPr>
        <w:numPr>
          <w:ilvl w:val="0"/>
          <w:numId w:val="1434"/>
        </w:numPr>
        <w:pStyle w:val="Compact"/>
      </w:pPr>
      <w:r>
        <w:t xml:space="preserve">A director with</w:t>
      </w:r>
      <w:r>
        <w:t xml:space="preserve"> </w:t>
      </w:r>
      <w:r>
        <w:rPr>
          <w:rStyle w:val="VerbatimChar"/>
        </w:rPr>
        <w:t xml:space="preserve">din_status</w:t>
      </w:r>
      <w:r>
        <w:t xml:space="preserve"> </w:t>
      </w:r>
      <w:r>
        <w:t xml:space="preserve">deactivated is excluded from quorum; recording his vote fails with</w:t>
      </w:r>
      <w:r>
        <w:t xml:space="preserve"> </w:t>
      </w:r>
      <w:r>
        <w:rPr>
          <w:rStyle w:val="VerbatimChar"/>
        </w:rPr>
        <w:t xml:space="preserve">din_inactive</w:t>
      </w:r>
      <w:r>
        <w:t xml:space="preserve">.</w:t>
      </w:r>
    </w:p>
    <w:p>
      <w:pPr>
        <w:numPr>
          <w:ilvl w:val="0"/>
          <w:numId w:val="1434"/>
        </w:numPr>
        <w:pStyle w:val="Compact"/>
      </w:pPr>
      <w:r>
        <w:t xml:space="preserve">An independent director already on three NBFC-ML or NBFC-UL boards cannot be appointed to a fourth; a seat on an NBFC-BL board is allowed.</w:t>
      </w:r>
    </w:p>
    <w:p>
      <w:pPr>
        <w:numPr>
          <w:ilvl w:val="0"/>
          <w:numId w:val="1434"/>
        </w:numPr>
        <w:pStyle w:val="Compact"/>
      </w:pPr>
      <w:r>
        <w:t xml:space="preserve">For an NBFC-BL tenant the GOV para 13 Annex II check shows as best practice and does not block; for an NBFC-P2P tenant at BL it blocks.</w:t>
      </w:r>
    </w:p>
    <w:p>
      <w:pPr>
        <w:numPr>
          <w:ilvl w:val="0"/>
          <w:numId w:val="1434"/>
        </w:numPr>
        <w:pStyle w:val="Compact"/>
      </w:pPr>
      <w:r>
        <w:t xml:space="preserve">A CRO user also holding a business-target role is rejected (</w:t>
      </w:r>
      <w:r>
        <w:rPr>
          <w:rStyle w:val="VerbatimChar"/>
        </w:rPr>
        <w:t xml:space="preserve">sod_cro_business</w:t>
      </w:r>
      <w:r>
        <w:t xml:space="preserve">).</w:t>
      </w:r>
    </w:p>
    <w:p>
      <w:pPr>
        <w:numPr>
          <w:ilvl w:val="0"/>
          <w:numId w:val="1434"/>
        </w:numPr>
        <w:pStyle w:val="Compact"/>
      </w:pPr>
      <w:r>
        <w:t xml:space="preserve">An independent director’s resignation that leaves the ACB with 2 members raises a composition breach and an M14 exception.</w:t>
      </w:r>
    </w:p>
    <w:p>
      <w:pPr>
        <w:numPr>
          <w:ilvl w:val="0"/>
          <w:numId w:val="1434"/>
        </w:numPr>
        <w:pStyle w:val="Compact"/>
      </w:pPr>
      <w:r>
        <w:t xml:space="preserve">The GOV para 14 statement is generated on the first day after quarter end; the March statement cannot be marked ready without the auditor certificate.</w:t>
      </w:r>
    </w:p>
    <w:p>
      <w:pPr>
        <w:numPr>
          <w:ilvl w:val="0"/>
          <w:numId w:val="1434"/>
        </w:numPr>
        <w:pStyle w:val="Compact"/>
      </w:pPr>
      <w:r>
        <w:t xml:space="preserve">A schema test fails if PAN or date of birth is added to</w:t>
      </w:r>
      <w:r>
        <w:t xml:space="preserve"> </w:t>
      </w:r>
      <w:r>
        <w:rPr>
          <w:rStyle w:val="VerbatimChar"/>
        </w:rPr>
        <w:t xml:space="preserve">KmpChanged</w:t>
      </w:r>
      <w:r>
        <w:t xml:space="preserve">.</w:t>
      </w:r>
    </w:p>
    <w:p>
      <w:r>
        <w:pict>
          <v:rect style="width:0;height:1.5pt" o:hralign="center" o:hrstd="t" o:hr="t"/>
        </w:pict>
      </w:r>
    </w:p>
    <w:bookmarkEnd w:id="473"/>
    <w:bookmarkEnd w:id="474"/>
    <w:bookmarkStart w:id="480" w:name="X5c2aed8e9a7732000d99d7ca7ad1c7541524cb1"/>
    <w:p>
      <w:pPr>
        <w:pStyle w:val="Heading2"/>
      </w:pPr>
      <w:r>
        <w:t xml:space="preserve">GV2. Board, committee and general meetings (SS-1, SS-2)</w:t>
      </w:r>
    </w:p>
    <w:bookmarkStart w:id="475" w:name="gv2.1-meeting-model-and-rule-packs"/>
    <w:p>
      <w:pPr>
        <w:pStyle w:val="Heading3"/>
      </w:pPr>
      <w:r>
        <w:t xml:space="preserve">GV2.1 Meeting model and rule packs</w:t>
      </w:r>
    </w:p>
    <w:p>
      <w:pPr>
        <w:numPr>
          <w:ilvl w:val="0"/>
          <w:numId w:val="1435"/>
        </w:numPr>
        <w:pStyle w:val="Compact"/>
      </w:pPr>
      <w:r>
        <w:rPr>
          <w:bCs/>
          <w:b/>
        </w:rPr>
        <w:t xml:space="preserve">Types:</w:t>
      </w:r>
      <w:r>
        <w:t xml:space="preserve"> </w:t>
      </w:r>
      <w:r>
        <w:t xml:space="preserve">Board, committee, independent directors’ meeting (Schedule IV para VII, at least once a year), CRO closed session (GOV para 21(2)), AGM, EGM, postal ballot, class meetings.</w:t>
      </w:r>
    </w:p>
    <w:p>
      <w:pPr>
        <w:numPr>
          <w:ilvl w:val="0"/>
          <w:numId w:val="1435"/>
        </w:numPr>
        <w:pStyle w:val="Compact"/>
      </w:pPr>
      <w:r>
        <w:rPr>
          <w:bCs/>
          <w:b/>
        </w:rPr>
        <w:t xml:space="preserve">States:</w:t>
      </w:r>
      <w:r>
        <w:t xml:space="preserve"> </w:t>
      </w:r>
      <w:r>
        <w:rPr>
          <w:rStyle w:val="VerbatimChar"/>
        </w:rPr>
        <w:t xml:space="preserve">DRAFT → SCHEDULED → NOTICE_SENT → AGENDA_CIRCULATED → IN_SESSION → (ADJOURNED) → CONCLUDED → DRAFT_MINUTES_CIRCULATED → COMMENTS_CLOSED → MINUTES_SIGNED → ENTERED → ARCHIVED</w:t>
      </w:r>
      <w:r>
        <w:t xml:space="preserve">. Circular resolutions:</w:t>
      </w:r>
      <w:r>
        <w:t xml:space="preserve"> </w:t>
      </w:r>
      <w:r>
        <w:rPr>
          <w:rStyle w:val="VerbatimChar"/>
        </w:rPr>
        <w:t xml:space="preserve">DRAFT → CIRCULATED → APPROVED or FAILED or CONVERTED_TO_MEETING → NOTED_AT_NEXT_MEETING</w:t>
      </w:r>
      <w:r>
        <w:t xml:space="preserve">.</w:t>
      </w:r>
    </w:p>
    <w:p>
      <w:pPr>
        <w:numPr>
          <w:ilvl w:val="0"/>
          <w:numId w:val="1435"/>
        </w:numPr>
        <w:pStyle w:val="Compact"/>
      </w:pPr>
      <w:r>
        <w:rPr>
          <w:bCs/>
          <w:b/>
        </w:rPr>
        <w:t xml:space="preserve">Exceptions:</w:t>
      </w:r>
      <w:r>
        <w:t xml:space="preserve"> </w:t>
      </w:r>
      <w:r>
        <w:t xml:space="preserve">postponement or cancellation is allowed only before IN_SESSION, with reason, and a postponed meeting recomputes notice from the new date; quorum lost in session moves the unfinished items to ADJOURNED with the s.174(4) date pre-filled, and the adjourned meeting carries only those items; draft minutes on which directors disagree after COMMENTS_CLOSED go to the chair, whose decision is final (SS-1) and recorded; a signed-minutes error is corrected only by a noted item at a later meeting.</w:t>
      </w:r>
    </w:p>
    <w:p>
      <w:pPr>
        <w:numPr>
          <w:ilvl w:val="0"/>
          <w:numId w:val="1435"/>
        </w:numPr>
        <w:pStyle w:val="Compact"/>
      </w:pPr>
      <w:r>
        <w:rPr>
          <w:bCs/>
          <w:b/>
        </w:rPr>
        <w:t xml:space="preserve">Rule packs</w:t>
      </w:r>
      <w:r>
        <w:t xml:space="preserve"> </w:t>
      </w:r>
      <w:r>
        <w:t xml:space="preserve">(ICSI SS-1 and SS-2 revised, effective 1 Apr 2024, approved by MCA under s.118(10)) [ICSI]:</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39"/>
        <w:gridCol w:w="5447"/>
        <w:gridCol w:w="2352"/>
      </w:tblGrid>
      <w:tr>
        <w:trPr>
          <w:tblHeader w:val="true"/>
          <w:tblHeader w:val="true"/>
        </w:trPr>
        <w:tc>
          <w:tcPr>
            <w:tcW w:w="1839" w:type="dxa"/>
            <w:shd w:val="clear" w:color="auto" w:fill="1F3A5F"/>
          </w:tcPr>
          <w:p>
            <w:pPr>
              <w:pStyle w:val="Compact"/>
              <w:spacing w:after="40"/>
              <w:jc w:val="left"/>
            </w:pPr>
            <w:r>
              <w:rPr>
                <w:b/>
                <w:color w:val="FFFFFF"/>
                <w:sz w:val="18"/>
              </w:rPr>
              <w:t xml:space="preserve">Rule</w:t>
            </w:r>
          </w:p>
        </w:tc>
        <w:tc>
          <w:tcPr>
            <w:tcW w:w="5447" w:type="dxa"/>
            <w:shd w:val="clear" w:color="auto" w:fill="1F3A5F"/>
          </w:tcPr>
          <w:p>
            <w:pPr>
              <w:pStyle w:val="Compact"/>
              <w:spacing w:after="40"/>
              <w:jc w:val="left"/>
            </w:pPr>
            <w:r>
              <w:rPr>
                <w:b/>
                <w:color w:val="FFFFFF"/>
                <w:sz w:val="18"/>
              </w:rPr>
              <w:t xml:space="preserve">Default</w:t>
            </w:r>
          </w:p>
        </w:tc>
        <w:tc>
          <w:tcPr>
            <w:tcW w:w="2352" w:type="dxa"/>
            <w:shd w:val="clear" w:color="auto" w:fill="1F3A5F"/>
          </w:tcPr>
          <w:p>
            <w:pPr>
              <w:pStyle w:val="Compact"/>
              <w:spacing w:after="40"/>
              <w:jc w:val="left"/>
            </w:pPr>
            <w:r>
              <w:rPr>
                <w:b/>
                <w:color w:val="FFFFFF"/>
                <w:sz w:val="18"/>
              </w:rPr>
              <w:t xml:space="preserve">Basis</w:t>
            </w:r>
          </w:p>
        </w:tc>
      </w:tr>
      <w:tr>
        <w:tc>
          <w:tcPr>
            <w:tcW w:w="1839" w:type="dxa"/>
          </w:tcPr>
          <w:p>
            <w:pPr>
              <w:pStyle w:val="Compact"/>
              <w:spacing w:after="40"/>
              <w:jc w:val="left"/>
            </w:pPr>
            <w:r>
              <w:rPr>
                <w:sz w:val="18"/>
              </w:rPr>
              <w:t xml:space="preserve">Board frequency</w:t>
            </w:r>
          </w:p>
        </w:tc>
        <w:tc>
          <w:tcPr>
            <w:tcW w:w="5447" w:type="dxa"/>
          </w:tcPr>
          <w:p>
            <w:pPr>
              <w:pStyle w:val="Compact"/>
              <w:spacing w:after="40"/>
              <w:jc w:val="left"/>
            </w:pPr>
            <w:r>
              <w:rPr>
                <w:sz w:val="18"/>
              </w:rPr>
              <w:t xml:space="preserve">≥ 4 a year, gap ≤ 120 days; small company and OPC one per half-year, gap ≥ 90 days</w:t>
            </w:r>
          </w:p>
        </w:tc>
        <w:tc>
          <w:tcPr>
            <w:tcW w:w="2352" w:type="dxa"/>
          </w:tcPr>
          <w:p>
            <w:pPr>
              <w:pStyle w:val="Compact"/>
              <w:spacing w:after="40"/>
              <w:jc w:val="left"/>
            </w:pPr>
            <w:r>
              <w:rPr>
                <w:sz w:val="18"/>
              </w:rPr>
              <w:t xml:space="preserve">s.173(1), (5)</w:t>
            </w:r>
          </w:p>
        </w:tc>
      </w:tr>
      <w:tr>
        <w:tc>
          <w:tcPr>
            <w:tcW w:w="1839" w:type="dxa"/>
          </w:tcPr>
          <w:p>
            <w:pPr>
              <w:pStyle w:val="Compact"/>
              <w:spacing w:after="40"/>
              <w:jc w:val="left"/>
            </w:pPr>
            <w:r>
              <w:rPr>
                <w:sz w:val="18"/>
              </w:rPr>
              <w:t xml:space="preserve">Board notice</w:t>
            </w:r>
          </w:p>
        </w:tc>
        <w:tc>
          <w:tcPr>
            <w:tcW w:w="5447" w:type="dxa"/>
          </w:tcPr>
          <w:p>
            <w:pPr>
              <w:pStyle w:val="Compact"/>
              <w:spacing w:after="40"/>
              <w:jc w:val="left"/>
            </w:pPr>
            <w:r>
              <w:rPr>
                <w:sz w:val="18"/>
              </w:rPr>
              <w:t xml:space="preserve">≥ 7 days, plus 2 days when sent by speed or registered post; shorter for urgent business only with ≥ 1 independent director present, otherwise final only on ratification by one</w:t>
            </w:r>
          </w:p>
        </w:tc>
        <w:tc>
          <w:tcPr>
            <w:tcW w:w="2352" w:type="dxa"/>
          </w:tcPr>
          <w:p>
            <w:pPr>
              <w:pStyle w:val="Compact"/>
              <w:spacing w:after="40"/>
              <w:jc w:val="left"/>
            </w:pPr>
            <w:r>
              <w:rPr>
                <w:sz w:val="18"/>
              </w:rPr>
              <w:t xml:space="preserve">s.173(3); SS-1</w:t>
            </w:r>
          </w:p>
        </w:tc>
      </w:tr>
      <w:tr>
        <w:tc>
          <w:tcPr>
            <w:tcW w:w="1839" w:type="dxa"/>
          </w:tcPr>
          <w:p>
            <w:pPr>
              <w:pStyle w:val="Compact"/>
              <w:spacing w:after="40"/>
              <w:jc w:val="left"/>
            </w:pPr>
            <w:r>
              <w:rPr>
                <w:sz w:val="18"/>
              </w:rPr>
              <w:t xml:space="preserve">Agenda and notes</w:t>
            </w:r>
          </w:p>
        </w:tc>
        <w:tc>
          <w:tcPr>
            <w:tcW w:w="5447" w:type="dxa"/>
          </w:tcPr>
          <w:p>
            <w:pPr>
              <w:pStyle w:val="Compact"/>
              <w:spacing w:after="40"/>
              <w:jc w:val="left"/>
            </w:pPr>
            <w:r>
              <w:rPr>
                <w:sz w:val="18"/>
              </w:rPr>
              <w:t xml:space="preserve">≥ 7 days before; notes containing UPSI may go at shorter notice only with the consent of a majority of directors including ≥ 1 independent director</w:t>
            </w:r>
          </w:p>
        </w:tc>
        <w:tc>
          <w:tcPr>
            <w:tcW w:w="2352" w:type="dxa"/>
          </w:tcPr>
          <w:p>
            <w:pPr>
              <w:pStyle w:val="Compact"/>
              <w:spacing w:after="40"/>
              <w:jc w:val="left"/>
            </w:pPr>
            <w:r>
              <w:rPr>
                <w:sz w:val="18"/>
              </w:rPr>
              <w:t xml:space="preserve">SS-1 [VERIFY para]</w:t>
            </w:r>
          </w:p>
        </w:tc>
      </w:tr>
      <w:tr>
        <w:tc>
          <w:tcPr>
            <w:tcW w:w="1839" w:type="dxa"/>
          </w:tcPr>
          <w:p>
            <w:pPr>
              <w:pStyle w:val="Compact"/>
              <w:spacing w:after="40"/>
              <w:jc w:val="left"/>
            </w:pPr>
            <w:r>
              <w:rPr>
                <w:sz w:val="18"/>
              </w:rPr>
              <w:t xml:space="preserve">Quorum</w:t>
            </w:r>
          </w:p>
        </w:tc>
        <w:tc>
          <w:tcPr>
            <w:tcW w:w="5447" w:type="dxa"/>
          </w:tcPr>
          <w:p>
            <w:pPr>
              <w:pStyle w:val="Compact"/>
              <w:spacing w:after="40"/>
              <w:jc w:val="left"/>
            </w:pPr>
            <w:r>
              <w:rPr>
                <w:sz w:val="18"/>
              </w:rPr>
              <w:t xml:space="preserve">One-third or 2, whichever is higher; VC attendees count; interested directors excluded per item; if interested directors are two-thirds or more, ≥ 2 disinterested directors present suffice</w:t>
            </w:r>
          </w:p>
        </w:tc>
        <w:tc>
          <w:tcPr>
            <w:tcW w:w="2352" w:type="dxa"/>
          </w:tcPr>
          <w:p>
            <w:pPr>
              <w:pStyle w:val="Compact"/>
              <w:spacing w:after="40"/>
              <w:jc w:val="left"/>
            </w:pPr>
            <w:r>
              <w:rPr>
                <w:sz w:val="18"/>
              </w:rPr>
              <w:t xml:space="preserve">s.174(1), (3); s.184(2)</w:t>
            </w:r>
          </w:p>
        </w:tc>
      </w:tr>
      <w:tr>
        <w:tc>
          <w:tcPr>
            <w:tcW w:w="1839" w:type="dxa"/>
          </w:tcPr>
          <w:p>
            <w:pPr>
              <w:pStyle w:val="Compact"/>
              <w:spacing w:after="40"/>
              <w:jc w:val="left"/>
            </w:pPr>
            <w:r>
              <w:rPr>
                <w:sz w:val="18"/>
              </w:rPr>
              <w:t xml:space="preserve">Adjournment for want of quorum</w:t>
            </w:r>
          </w:p>
        </w:tc>
        <w:tc>
          <w:tcPr>
            <w:tcW w:w="5447" w:type="dxa"/>
          </w:tcPr>
          <w:p>
            <w:pPr>
              <w:pStyle w:val="Compact"/>
              <w:spacing w:after="40"/>
              <w:jc w:val="left"/>
            </w:pPr>
            <w:r>
              <w:rPr>
                <w:sz w:val="18"/>
              </w:rPr>
              <w:t xml:space="preserve">Board: same day, time and place next week (next day that is not a national holiday) unless the Articles say otherwise; general meeting: no quorum within 30 minutes → same day next week or a date the Board fixes, with ≥ 3 days’ notice of any change</w:t>
            </w:r>
          </w:p>
        </w:tc>
        <w:tc>
          <w:tcPr>
            <w:tcW w:w="2352" w:type="dxa"/>
          </w:tcPr>
          <w:p>
            <w:pPr>
              <w:pStyle w:val="Compact"/>
              <w:spacing w:after="40"/>
              <w:jc w:val="left"/>
            </w:pPr>
            <w:r>
              <w:rPr>
                <w:sz w:val="18"/>
              </w:rPr>
              <w:t xml:space="preserve">s.174(4); s.103(2)–(3)</w:t>
            </w:r>
          </w:p>
        </w:tc>
      </w:tr>
      <w:tr>
        <w:tc>
          <w:tcPr>
            <w:tcW w:w="1839" w:type="dxa"/>
          </w:tcPr>
          <w:p>
            <w:pPr>
              <w:pStyle w:val="Compact"/>
              <w:spacing w:after="40"/>
              <w:jc w:val="left"/>
            </w:pPr>
            <w:r>
              <w:rPr>
                <w:sz w:val="18"/>
              </w:rPr>
              <w:t xml:space="preserve">Video conference</w:t>
            </w:r>
          </w:p>
        </w:tc>
        <w:tc>
          <w:tcPr>
            <w:tcW w:w="5447" w:type="dxa"/>
          </w:tcPr>
          <w:p>
            <w:pPr>
              <w:pStyle w:val="Compact"/>
              <w:spacing w:after="40"/>
              <w:jc w:val="left"/>
            </w:pPr>
            <w:r>
              <w:rPr>
                <w:sz w:val="18"/>
              </w:rPr>
              <w:t xml:space="preserve">All matters; roll call with name, location and no-one-else confirmation; recording preserved where made [VERIFY current r.3 text]; annual electronic-attendance declaration valid for the calendar year</w:t>
            </w:r>
          </w:p>
        </w:tc>
        <w:tc>
          <w:tcPr>
            <w:tcW w:w="2352" w:type="dxa"/>
          </w:tcPr>
          <w:p>
            <w:pPr>
              <w:pStyle w:val="Compact"/>
              <w:spacing w:after="40"/>
              <w:jc w:val="left"/>
            </w:pPr>
            <w:r>
              <w:rPr>
                <w:sz w:val="18"/>
              </w:rPr>
              <w:t xml:space="preserve">Meetings of Board Rules r.3; SS-1 (2024)</w:t>
            </w:r>
          </w:p>
        </w:tc>
      </w:tr>
      <w:tr>
        <w:tc>
          <w:tcPr>
            <w:tcW w:w="1839" w:type="dxa"/>
          </w:tcPr>
          <w:p>
            <w:pPr>
              <w:pStyle w:val="Compact"/>
              <w:spacing w:after="40"/>
              <w:jc w:val="left"/>
            </w:pPr>
            <w:r>
              <w:rPr>
                <w:sz w:val="18"/>
              </w:rPr>
              <w:t xml:space="preserve">Circular resolution</w:t>
            </w:r>
          </w:p>
        </w:tc>
        <w:tc>
          <w:tcPr>
            <w:tcW w:w="5447" w:type="dxa"/>
          </w:tcPr>
          <w:p>
            <w:pPr>
              <w:pStyle w:val="Compact"/>
              <w:spacing w:after="40"/>
              <w:jc w:val="left"/>
            </w:pPr>
            <w:r>
              <w:rPr>
                <w:sz w:val="18"/>
              </w:rPr>
              <w:t xml:space="preserve">Majority of directors entitled to vote; one-third may demand a meeting; noted at next meeting</w:t>
            </w:r>
          </w:p>
        </w:tc>
        <w:tc>
          <w:tcPr>
            <w:tcW w:w="2352" w:type="dxa"/>
          </w:tcPr>
          <w:p>
            <w:pPr>
              <w:pStyle w:val="Compact"/>
              <w:spacing w:after="40"/>
              <w:jc w:val="left"/>
            </w:pPr>
            <w:r>
              <w:rPr>
                <w:sz w:val="18"/>
              </w:rPr>
              <w:t xml:space="preserve">s.175</w:t>
            </w:r>
          </w:p>
        </w:tc>
      </w:tr>
      <w:tr>
        <w:tc>
          <w:tcPr>
            <w:tcW w:w="1839" w:type="dxa"/>
          </w:tcPr>
          <w:p>
            <w:pPr>
              <w:pStyle w:val="Compact"/>
              <w:spacing w:after="40"/>
              <w:jc w:val="left"/>
            </w:pPr>
            <w:r>
              <w:rPr>
                <w:sz w:val="18"/>
              </w:rPr>
              <w:t xml:space="preserve">Minutes</w:t>
            </w:r>
          </w:p>
        </w:tc>
        <w:tc>
          <w:tcPr>
            <w:tcW w:w="5447" w:type="dxa"/>
          </w:tcPr>
          <w:p>
            <w:pPr>
              <w:pStyle w:val="Compact"/>
              <w:spacing w:after="40"/>
              <w:jc w:val="left"/>
            </w:pPr>
            <w:r>
              <w:rPr>
                <w:sz w:val="18"/>
              </w:rPr>
              <w:t xml:space="preserve">Draft within 15 days; comments within 7 days; signed and entered within 30 days; kept permanently; attendance register 8 FY</w:t>
            </w:r>
          </w:p>
        </w:tc>
        <w:tc>
          <w:tcPr>
            <w:tcW w:w="2352" w:type="dxa"/>
          </w:tcPr>
          <w:p>
            <w:pPr>
              <w:pStyle w:val="Compact"/>
              <w:spacing w:after="40"/>
              <w:jc w:val="left"/>
            </w:pPr>
            <w:r>
              <w:rPr>
                <w:sz w:val="18"/>
              </w:rPr>
              <w:t xml:space="preserve">s.118; SS-1</w:t>
            </w:r>
          </w:p>
        </w:tc>
      </w:tr>
      <w:tr>
        <w:tc>
          <w:tcPr>
            <w:tcW w:w="1839" w:type="dxa"/>
          </w:tcPr>
          <w:p>
            <w:pPr>
              <w:pStyle w:val="Compact"/>
              <w:spacing w:after="40"/>
              <w:jc w:val="left"/>
            </w:pPr>
            <w:r>
              <w:rPr>
                <w:sz w:val="18"/>
              </w:rPr>
              <w:t xml:space="preserve">AGM</w:t>
            </w:r>
          </w:p>
        </w:tc>
        <w:tc>
          <w:tcPr>
            <w:tcW w:w="5447" w:type="dxa"/>
          </w:tcPr>
          <w:p>
            <w:pPr>
              <w:pStyle w:val="Compact"/>
              <w:spacing w:after="40"/>
              <w:jc w:val="left"/>
            </w:pPr>
            <w:r>
              <w:rPr>
                <w:sz w:val="18"/>
              </w:rPr>
              <w:t xml:space="preserve">Within 6 months of FY end (first within 9), gap ≤ 15 months</w:t>
            </w:r>
          </w:p>
        </w:tc>
        <w:tc>
          <w:tcPr>
            <w:tcW w:w="2352" w:type="dxa"/>
          </w:tcPr>
          <w:p>
            <w:pPr>
              <w:pStyle w:val="Compact"/>
              <w:spacing w:after="40"/>
              <w:jc w:val="left"/>
            </w:pPr>
            <w:r>
              <w:rPr>
                <w:sz w:val="18"/>
              </w:rPr>
              <w:t xml:space="preserve">s.96</w:t>
            </w:r>
          </w:p>
        </w:tc>
      </w:tr>
      <w:tr>
        <w:tc>
          <w:tcPr>
            <w:tcW w:w="1839" w:type="dxa"/>
          </w:tcPr>
          <w:p>
            <w:pPr>
              <w:pStyle w:val="Compact"/>
              <w:spacing w:after="40"/>
              <w:jc w:val="left"/>
            </w:pPr>
            <w:r>
              <w:rPr>
                <w:sz w:val="18"/>
              </w:rPr>
              <w:t xml:space="preserve">GM notice and quorum</w:t>
            </w:r>
          </w:p>
        </w:tc>
        <w:tc>
          <w:tcPr>
            <w:tcW w:w="5447" w:type="dxa"/>
          </w:tcPr>
          <w:p>
            <w:pPr>
              <w:pStyle w:val="Compact"/>
              <w:spacing w:after="40"/>
              <w:jc w:val="left"/>
            </w:pPr>
            <w:r>
              <w:rPr>
                <w:sz w:val="18"/>
              </w:rPr>
              <w:t xml:space="preserve">21 clear days (plus 2 days for posted notices, SS-2 [VERIFY]); shorter notice: AGM with consent of ≥ 95% of members entitled to vote, other GMs of a majority in number holding ≥ 95% of the paid-up voting capital; public quorum 5, 15 or 30 by membership; private 2</w:t>
            </w:r>
          </w:p>
        </w:tc>
        <w:tc>
          <w:tcPr>
            <w:tcW w:w="2352" w:type="dxa"/>
          </w:tcPr>
          <w:p>
            <w:pPr>
              <w:pStyle w:val="Compact"/>
              <w:spacing w:after="40"/>
              <w:jc w:val="left"/>
            </w:pPr>
            <w:r>
              <w:rPr>
                <w:sz w:val="18"/>
              </w:rPr>
              <w:t xml:space="preserve">ss.101–103</w:t>
            </w:r>
          </w:p>
        </w:tc>
      </w:tr>
      <w:tr>
        <w:tc>
          <w:tcPr>
            <w:tcW w:w="1839" w:type="dxa"/>
          </w:tcPr>
          <w:p>
            <w:pPr>
              <w:pStyle w:val="Compact"/>
              <w:spacing w:after="40"/>
              <w:jc w:val="left"/>
            </w:pPr>
            <w:r>
              <w:rPr>
                <w:sz w:val="18"/>
              </w:rPr>
              <w:t xml:space="preserve">E-voting</w:t>
            </w:r>
          </w:p>
        </w:tc>
        <w:tc>
          <w:tcPr>
            <w:tcW w:w="5447" w:type="dxa"/>
          </w:tcPr>
          <w:p>
            <w:pPr>
              <w:pStyle w:val="Compact"/>
              <w:spacing w:after="40"/>
              <w:jc w:val="left"/>
            </w:pPr>
            <w:r>
              <w:rPr>
                <w:sz w:val="18"/>
              </w:rPr>
              <w:t xml:space="preserve">Listed and ≥ 1,000 members; window ≥ 3 days closing 17:00 the day before; cut-off ≤ 7 days before; through an authorised agency</w:t>
            </w:r>
          </w:p>
        </w:tc>
        <w:tc>
          <w:tcPr>
            <w:tcW w:w="2352" w:type="dxa"/>
          </w:tcPr>
          <w:p>
            <w:pPr>
              <w:pStyle w:val="Compact"/>
              <w:spacing w:after="40"/>
              <w:jc w:val="left"/>
            </w:pPr>
            <w:r>
              <w:rPr>
                <w:sz w:val="18"/>
              </w:rPr>
              <w:t xml:space="preserve">Management and Administration Rules r.20 [VERIFY]</w:t>
            </w:r>
          </w:p>
        </w:tc>
      </w:tr>
      <w:tr>
        <w:tc>
          <w:tcPr>
            <w:tcW w:w="1839" w:type="dxa"/>
          </w:tcPr>
          <w:p>
            <w:pPr>
              <w:pStyle w:val="Compact"/>
              <w:spacing w:after="40"/>
              <w:jc w:val="left"/>
            </w:pPr>
            <w:r>
              <w:rPr>
                <w:sz w:val="18"/>
              </w:rPr>
              <w:t xml:space="preserve">Results</w:t>
            </w:r>
          </w:p>
        </w:tc>
        <w:tc>
          <w:tcPr>
            <w:tcW w:w="5447" w:type="dxa"/>
          </w:tcPr>
          <w:p>
            <w:pPr>
              <w:pStyle w:val="Compact"/>
              <w:spacing w:after="40"/>
              <w:jc w:val="left"/>
            </w:pPr>
            <w:r>
              <w:rPr>
                <w:sz w:val="18"/>
              </w:rPr>
              <w:t xml:space="preserve">Scrutiniser report and listed results within 2 working days</w:t>
            </w:r>
          </w:p>
        </w:tc>
        <w:tc>
          <w:tcPr>
            <w:tcW w:w="2352" w:type="dxa"/>
          </w:tcPr>
          <w:p>
            <w:pPr>
              <w:pStyle w:val="Compact"/>
              <w:spacing w:after="40"/>
              <w:jc w:val="left"/>
            </w:pPr>
            <w:r>
              <w:rPr>
                <w:sz w:val="18"/>
              </w:rPr>
              <w:t xml:space="preserve">r.20; LODR Reg 44(3)</w:t>
            </w:r>
          </w:p>
        </w:tc>
      </w:tr>
      <w:tr>
        <w:tc>
          <w:tcPr>
            <w:tcW w:w="1839" w:type="dxa"/>
          </w:tcPr>
          <w:p>
            <w:pPr>
              <w:pStyle w:val="Compact"/>
              <w:spacing w:after="40"/>
              <w:jc w:val="left"/>
            </w:pPr>
            <w:r>
              <w:rPr>
                <w:sz w:val="18"/>
              </w:rPr>
              <w:t xml:space="preserve">VC or OAVM general meetings</w:t>
            </w:r>
          </w:p>
        </w:tc>
        <w:tc>
          <w:tcPr>
            <w:tcW w:w="5447" w:type="dxa"/>
          </w:tcPr>
          <w:p>
            <w:pPr>
              <w:pStyle w:val="Compact"/>
              <w:spacing w:after="40"/>
              <w:jc w:val="left"/>
            </w:pPr>
            <w:r>
              <w:rPr>
                <w:sz w:val="18"/>
              </w:rPr>
              <w:t xml:space="preserve">Under MCA General Circulars</w:t>
            </w:r>
          </w:p>
        </w:tc>
        <w:tc>
          <w:tcPr>
            <w:tcW w:w="2352" w:type="dxa"/>
          </w:tcPr>
          <w:p>
            <w:pPr>
              <w:pStyle w:val="Compact"/>
              <w:spacing w:after="40"/>
              <w:jc w:val="left"/>
            </w:pPr>
            <w:r>
              <w:rPr>
                <w:sz w:val="18"/>
              </w:rPr>
              <w:t xml:space="preserve">[VERIFY: position after 30 Sep 2025]</w:t>
            </w:r>
          </w:p>
        </w:tc>
      </w:tr>
    </w:tbl>
    <w:bookmarkEnd w:id="475"/>
    <w:bookmarkStart w:id="476" w:name="gv2.2-agenda-and-board-pack"/>
    <w:p>
      <w:pPr>
        <w:pStyle w:val="Heading3"/>
      </w:pPr>
      <w:r>
        <w:t xml:space="preserve">GV2.2 Agenda and board pack</w:t>
      </w:r>
    </w:p>
    <w:p>
      <w:pPr>
        <w:numPr>
          <w:ilvl w:val="0"/>
          <w:numId w:val="1436"/>
        </w:numPr>
        <w:pStyle w:val="Compact"/>
      </w:pPr>
      <w:r>
        <w:t xml:space="preserve">Items from mandatory items (GV1.4), DoA rules that require a resolution (GV5), regulatory triggers (RBI approvals, policy reviews due, ICAAP approval RK7, audit findings) and manual entries.</w:t>
      </w:r>
    </w:p>
    <w:p>
      <w:pPr>
        <w:numPr>
          <w:ilvl w:val="0"/>
          <w:numId w:val="1436"/>
        </w:numPr>
        <w:pStyle w:val="Compact"/>
      </w:pPr>
      <w:r>
        <w:t xml:space="preserve">Each item declares counterparties; the engine pre-marks interested directors (s.184(2)) and routes RPT items to GV4.3 (listed) or s.188 (unlisted).</w:t>
      </w:r>
    </w:p>
    <w:p>
      <w:pPr>
        <w:numPr>
          <w:ilvl w:val="0"/>
          <w:numId w:val="1436"/>
        </w:numPr>
        <w:pStyle w:val="Compact"/>
      </w:pPr>
      <w:r>
        <w:t xml:space="preserve">UPSI-flagged items (listed tenants) create SDD entries for every recipient at circulation (GV4.4).</w:t>
      </w:r>
    </w:p>
    <w:p>
      <w:pPr>
        <w:numPr>
          <w:ilvl w:val="0"/>
          <w:numId w:val="1436"/>
        </w:numPr>
        <w:pStyle w:val="Compact"/>
      </w:pPr>
      <w:r>
        <w:t xml:space="preserve">Board pack: the meeting engine assembles agenda papers with the frozen RK8 metric pack for that committee (RK8 owns metric content and certification; GV2 owns notice, circulation and minutes) into a bookmarked PDF/A, watermarked per recipient, served in the director portal (no email attachments by default); the pack hash is stored with the meeting.</w:t>
      </w:r>
    </w:p>
    <w:bookmarkEnd w:id="476"/>
    <w:bookmarkStart w:id="477" w:name="gv2.3-in-session-minutes-and-resolutions"/>
    <w:p>
      <w:pPr>
        <w:pStyle w:val="Heading3"/>
      </w:pPr>
      <w:r>
        <w:t xml:space="preserve">GV2.3 In session, minutes and resolutions</w:t>
      </w:r>
    </w:p>
    <w:p>
      <w:pPr>
        <w:numPr>
          <w:ilvl w:val="0"/>
          <w:numId w:val="1437"/>
        </w:numPr>
        <w:pStyle w:val="Compact"/>
      </w:pPr>
      <w:r>
        <w:rPr>
          <w:bCs/>
          <w:b/>
        </w:rPr>
        <w:t xml:space="preserve">Live quorum monitor</w:t>
      </w:r>
      <w:r>
        <w:t xml:space="preserve"> </w:t>
      </w:r>
      <w:r>
        <w:t xml:space="preserve">per item from attendance, recusals and DIN status; no item is resolved without quorum. Votes per director per item (for, against, abstain, recused); dissent recorded. VC links come from GV7 calendars; Finbyx records roll call and join/leave times but is not a VC provider.</w:t>
      </w:r>
    </w:p>
    <w:p>
      <w:pPr>
        <w:numPr>
          <w:ilvl w:val="0"/>
          <w:numId w:val="1437"/>
        </w:numPr>
        <w:pStyle w:val="Compact"/>
      </w:pPr>
      <w:r>
        <w:rPr>
          <w:bCs/>
          <w:b/>
        </w:rPr>
        <w:t xml:space="preserve">Minutes:</w:t>
      </w:r>
      <w:r>
        <w:t xml:space="preserve"> </w:t>
      </w:r>
      <w:r>
        <w:t xml:space="preserve">SS-1/SS-2 templates; AI may draft from agenda, notes and votes under M20 rules (human review, disclosure); 15-day and 7-day timers; chair signs with DSC or Aadhaar eSign; locked at ENTERED (corrections only as a noted item at a later meeting). Certified true copies signed by the CS with an issue register.</w:t>
      </w:r>
    </w:p>
    <w:p>
      <w:pPr>
        <w:numPr>
          <w:ilvl w:val="0"/>
          <w:numId w:val="1437"/>
        </w:numPr>
        <w:pStyle w:val="Compact"/>
      </w:pPr>
      <w:r>
        <w:rPr>
          <w:rStyle w:val="VerbatimChar"/>
          <w:bCs/>
          <w:b/>
        </w:rPr>
        <w:t xml:space="preserve">BoardMeetingScheduled</w:t>
      </w:r>
      <w:r>
        <w:t xml:space="preserve"> </w:t>
      </w:r>
      <w:r>
        <w:t xml:space="preserve">(canonical) on SCHEDULED: type, date, mode, mandatory items covered.</w:t>
      </w:r>
      <w:r>
        <w:t xml:space="preserve"> </w:t>
      </w:r>
      <w:r>
        <w:rPr>
          <w:rStyle w:val="VerbatimChar"/>
          <w:bCs/>
          <w:b/>
        </w:rPr>
        <w:t xml:space="preserve">ResolutionPassed</w:t>
      </w:r>
      <w:r>
        <w:t xml:space="preserve"> </w:t>
      </w:r>
      <w:r>
        <w:t xml:space="preserve">(canonical) per resolution: meeting and resolution type, subject code, effective date, filings started, evidence hash. Consumers: compliance destination; GV5 activates DoA rules referencing the resolution; GV3 starts MGT-14 where applicable.</w:t>
      </w:r>
    </w:p>
    <w:p>
      <w:pPr>
        <w:numPr>
          <w:ilvl w:val="0"/>
          <w:numId w:val="1437"/>
        </w:numPr>
        <w:pStyle w:val="Compact"/>
      </w:pPr>
      <w:r>
        <w:t xml:space="preserve">Action items become GV5 tasks; an action-taken report is generated for the next meeting.</w:t>
      </w:r>
    </w:p>
    <w:bookmarkEnd w:id="477"/>
    <w:bookmarkStart w:id="478" w:name="gv2.4-general-meetings"/>
    <w:p>
      <w:pPr>
        <w:pStyle w:val="Heading3"/>
      </w:pPr>
      <w:r>
        <w:t xml:space="preserve">GV2.4 General meetings</w:t>
      </w:r>
    </w:p>
    <w:p>
      <w:pPr>
        <w:pStyle w:val="FirstParagraph"/>
      </w:pPr>
      <w:r>
        <w:t xml:space="preserve">Members’ snapshot at cut-off (GV3 register or RTA/depository import); proxies (48 hours, s.105); attendance; poll; e-voting data file to the authorised agency and results import (Finbyx does not run statutory e-voting itself [REC]); scrutiniser workflow; postal ballot with dispatch evidence and a reply window of 30 days from dispatch (s.110; r.22) [VERIFY].</w:t>
      </w:r>
    </w:p>
    <w:bookmarkEnd w:id="478"/>
    <w:bookmarkStart w:id="479" w:name="acceptance-tests-35"/>
    <w:p>
      <w:pPr>
        <w:pStyle w:val="Heading3"/>
      </w:pPr>
      <w:r>
        <w:t xml:space="preserve">Acceptance tests</w:t>
      </w:r>
    </w:p>
    <w:p>
      <w:pPr>
        <w:numPr>
          <w:ilvl w:val="0"/>
          <w:numId w:val="1438"/>
        </w:numPr>
        <w:pStyle w:val="Compact"/>
      </w:pPr>
      <w:r>
        <w:t xml:space="preserve">A Board meeting with 6 days’ notice is blocked unless marked urgent; an urgent meeting without an independent director shows every resolution</w:t>
      </w:r>
      <w:r>
        <w:t xml:space="preserve"> </w:t>
      </w:r>
      <w:r>
        <w:t xml:space="preserve">“</w:t>
      </w:r>
      <w:r>
        <w:t xml:space="preserve">pending ratification</w:t>
      </w:r>
      <w:r>
        <w:t xml:space="preserve">”</w:t>
      </w:r>
      <w:r>
        <w:t xml:space="preserve">.</w:t>
      </w:r>
    </w:p>
    <w:p>
      <w:pPr>
        <w:numPr>
          <w:ilvl w:val="0"/>
          <w:numId w:val="1438"/>
        </w:numPr>
        <w:pStyle w:val="Compact"/>
      </w:pPr>
      <w:r>
        <w:t xml:space="preserve">With 9 directors, 2 on VC and 1 recused on item 3, quorum holds for items 1–2 and is recomputed for item 3.</w:t>
      </w:r>
    </w:p>
    <w:p>
      <w:pPr>
        <w:numPr>
          <w:ilvl w:val="0"/>
          <w:numId w:val="1438"/>
        </w:numPr>
        <w:pStyle w:val="Compact"/>
      </w:pPr>
      <w:r>
        <w:t xml:space="preserve">Draft minutes circulated on day 16 record a breach; signed minutes cannot be edited.</w:t>
      </w:r>
    </w:p>
    <w:p>
      <w:pPr>
        <w:numPr>
          <w:ilvl w:val="0"/>
          <w:numId w:val="1438"/>
        </w:numPr>
        <w:pStyle w:val="Compact"/>
      </w:pPr>
      <w:r>
        <w:t xml:space="preserve">A circular resolution where one-third of directors demand a meeting cannot become APPROVED.</w:t>
      </w:r>
    </w:p>
    <w:p>
      <w:pPr>
        <w:numPr>
          <w:ilvl w:val="0"/>
          <w:numId w:val="1438"/>
        </w:numPr>
        <w:pStyle w:val="Compact"/>
      </w:pPr>
      <w:r>
        <w:t xml:space="preserve">An AGM notice of 20 clear days is rejected unless the 95% short-notice consent is complete.</w:t>
      </w:r>
    </w:p>
    <w:p>
      <w:pPr>
        <w:numPr>
          <w:ilvl w:val="0"/>
          <w:numId w:val="1438"/>
        </w:numPr>
        <w:pStyle w:val="Compact"/>
      </w:pPr>
      <w:r>
        <w:t xml:space="preserve">A Board meeting that loses quorum after item 4 shows items 5–8 as ADJOURNED to the same weekday next week; the adjourned meeting’s agenda contains only items 5–8.</w:t>
      </w:r>
    </w:p>
    <w:p>
      <w:pPr>
        <w:numPr>
          <w:ilvl w:val="0"/>
          <w:numId w:val="1438"/>
        </w:numPr>
        <w:pStyle w:val="Compact"/>
      </w:pPr>
      <w:r>
        <w:rPr>
          <w:rStyle w:val="VerbatimChar"/>
        </w:rPr>
        <w:t xml:space="preserve">ResolutionPassed</w:t>
      </w:r>
      <w:r>
        <w:t xml:space="preserve"> </w:t>
      </w:r>
      <w:r>
        <w:t xml:space="preserve">for a s.180 special resolution activates the borrowing limit in GV5 and the MGT-14 timer in GV3.</w:t>
      </w:r>
    </w:p>
    <w:p>
      <w:r>
        <w:pict>
          <v:rect style="width:0;height:1.5pt" o:hralign="center" o:hrstd="t" o:hr="t"/>
        </w:pict>
      </w:r>
    </w:p>
    <w:bookmarkEnd w:id="479"/>
    <w:bookmarkEnd w:id="480"/>
    <w:bookmarkStart w:id="487" w:name="X893f2b4466a13c9737fbb69a93dc1d614c7b0c2"/>
    <w:p>
      <w:pPr>
        <w:pStyle w:val="Heading2"/>
      </w:pPr>
      <w:r>
        <w:t xml:space="preserve">GV3. Statutory registers, MCA filings and compliance calendar</w:t>
      </w:r>
    </w:p>
    <w:bookmarkStart w:id="481" w:name="gv3.1-registers-generated-never-typed"/>
    <w:p>
      <w:pPr>
        <w:pStyle w:val="Heading3"/>
      </w:pPr>
      <w:r>
        <w:t xml:space="preserve">GV3.1 Registers (generated, never typed)</w:t>
      </w:r>
    </w:p>
    <w:p>
      <w:pPr>
        <w:pStyle w:val="FirstParagraph"/>
      </w:pPr>
      <w:r>
        <w:t xml:space="preserve">Each entry carries its source event and hash; exports in the prescribed layout (PDF/A, XLSX); electronic maintenance per Management and Administration Rules [VERIFY r.27–28].</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19"/>
        <w:gridCol w:w="4643"/>
        <w:gridCol w:w="2776"/>
      </w:tblGrid>
      <w:tr>
        <w:trPr>
          <w:tblHeader w:val="true"/>
          <w:tblHeader w:val="true"/>
        </w:trPr>
        <w:tc>
          <w:tcPr>
            <w:tcW w:w="2219" w:type="dxa"/>
            <w:shd w:val="clear" w:color="auto" w:fill="1F3A5F"/>
          </w:tcPr>
          <w:p>
            <w:pPr>
              <w:pStyle w:val="Compact"/>
              <w:spacing w:after="40"/>
              <w:jc w:val="left"/>
            </w:pPr>
            <w:r>
              <w:rPr>
                <w:b/>
                <w:color w:val="FFFFFF"/>
                <w:sz w:val="18"/>
              </w:rPr>
              <w:t xml:space="preserve">Register</w:t>
            </w:r>
          </w:p>
        </w:tc>
        <w:tc>
          <w:tcPr>
            <w:tcW w:w="4643" w:type="dxa"/>
            <w:shd w:val="clear" w:color="auto" w:fill="1F3A5F"/>
          </w:tcPr>
          <w:p>
            <w:pPr>
              <w:pStyle w:val="Compact"/>
              <w:spacing w:after="40"/>
              <w:jc w:val="left"/>
            </w:pPr>
            <w:r>
              <w:rPr>
                <w:b/>
                <w:color w:val="FFFFFF"/>
                <w:sz w:val="18"/>
              </w:rPr>
              <w:t xml:space="preserve">Form and basis</w:t>
            </w:r>
          </w:p>
        </w:tc>
        <w:tc>
          <w:tcPr>
            <w:tcW w:w="2776" w:type="dxa"/>
            <w:shd w:val="clear" w:color="auto" w:fill="1F3A5F"/>
          </w:tcPr>
          <w:p>
            <w:pPr>
              <w:pStyle w:val="Compact"/>
              <w:spacing w:after="40"/>
              <w:jc w:val="left"/>
            </w:pPr>
            <w:r>
              <w:rPr>
                <w:b/>
                <w:color w:val="FFFFFF"/>
                <w:sz w:val="18"/>
              </w:rPr>
              <w:t xml:space="preserve">Source</w:t>
            </w:r>
          </w:p>
        </w:tc>
      </w:tr>
      <w:tr>
        <w:tc>
          <w:tcPr>
            <w:tcW w:w="2219" w:type="dxa"/>
          </w:tcPr>
          <w:p>
            <w:pPr>
              <w:pStyle w:val="Compact"/>
              <w:spacing w:after="40"/>
              <w:jc w:val="left"/>
            </w:pPr>
            <w:r>
              <w:rPr>
                <w:sz w:val="18"/>
              </w:rPr>
              <w:t xml:space="preserve">Members; debenture and other security holders</w:t>
            </w:r>
          </w:p>
        </w:tc>
        <w:tc>
          <w:tcPr>
            <w:tcW w:w="4643" w:type="dxa"/>
          </w:tcPr>
          <w:p>
            <w:pPr>
              <w:pStyle w:val="Compact"/>
              <w:spacing w:after="40"/>
              <w:jc w:val="left"/>
            </w:pPr>
            <w:r>
              <w:rPr>
                <w:sz w:val="18"/>
              </w:rPr>
              <w:t xml:space="preserve">MGT-1, MGT-2 (s.88)</w:t>
            </w:r>
          </w:p>
        </w:tc>
        <w:tc>
          <w:tcPr>
            <w:tcW w:w="2776" w:type="dxa"/>
          </w:tcPr>
          <w:p>
            <w:pPr>
              <w:pStyle w:val="Compact"/>
              <w:spacing w:after="40"/>
              <w:jc w:val="left"/>
            </w:pPr>
            <w:r>
              <w:rPr>
                <w:sz w:val="18"/>
              </w:rPr>
              <w:t xml:space="preserve">Share-capital ledger, benpos import; NCD master (</w:t>
            </w:r>
            <w:r>
              <w:rPr>
                <w:rStyle w:val="VerbatimChar"/>
                <w:sz w:val="18"/>
              </w:rPr>
              <w:t xml:space="preserve">ncd_issue</w:t>
            </w:r>
            <w:r>
              <w:rPr>
                <w:sz w:val="18"/>
              </w:rPr>
              <w:t xml:space="preserve">,</w:t>
            </w:r>
            <w:r>
              <w:rPr>
                <w:sz w:val="18"/>
              </w:rPr>
              <w:t xml:space="preserve"> </w:t>
            </w:r>
            <w:r>
              <w:rPr>
                <w:rStyle w:val="VerbatimChar"/>
                <w:sz w:val="18"/>
              </w:rPr>
              <w:t xml:space="preserve">ncd_subscriber</w:t>
            </w:r>
            <w:r>
              <w:rPr>
                <w:sz w:val="18"/>
              </w:rPr>
              <w:t xml:space="preserve">)</w:t>
            </w:r>
          </w:p>
        </w:tc>
      </w:tr>
      <w:tr>
        <w:tc>
          <w:tcPr>
            <w:tcW w:w="2219" w:type="dxa"/>
          </w:tcPr>
          <w:p>
            <w:pPr>
              <w:pStyle w:val="Compact"/>
              <w:spacing w:after="40"/>
              <w:jc w:val="left"/>
            </w:pPr>
            <w:r>
              <w:rPr>
                <w:sz w:val="18"/>
              </w:rPr>
              <w:t xml:space="preserve">Directors and KMP with shareholding</w:t>
            </w:r>
          </w:p>
        </w:tc>
        <w:tc>
          <w:tcPr>
            <w:tcW w:w="4643" w:type="dxa"/>
          </w:tcPr>
          <w:p>
            <w:pPr>
              <w:pStyle w:val="Compact"/>
              <w:spacing w:after="40"/>
              <w:jc w:val="left"/>
            </w:pPr>
            <w:r>
              <w:rPr>
                <w:sz w:val="18"/>
              </w:rPr>
              <w:t xml:space="preserve">s.170</w:t>
            </w:r>
          </w:p>
        </w:tc>
        <w:tc>
          <w:tcPr>
            <w:tcW w:w="2776" w:type="dxa"/>
          </w:tcPr>
          <w:p>
            <w:pPr>
              <w:pStyle w:val="Compact"/>
              <w:spacing w:after="40"/>
              <w:jc w:val="left"/>
            </w:pPr>
            <w:r>
              <w:rPr>
                <w:sz w:val="18"/>
              </w:rPr>
              <w:t xml:space="preserve">GV1</w:t>
            </w:r>
          </w:p>
        </w:tc>
      </w:tr>
      <w:tr>
        <w:tc>
          <w:tcPr>
            <w:tcW w:w="2219" w:type="dxa"/>
          </w:tcPr>
          <w:p>
            <w:pPr>
              <w:pStyle w:val="Compact"/>
              <w:spacing w:after="40"/>
              <w:jc w:val="left"/>
            </w:pPr>
            <w:r>
              <w:rPr>
                <w:sz w:val="18"/>
              </w:rPr>
              <w:t xml:space="preserve">Contracts with interested directors</w:t>
            </w:r>
          </w:p>
        </w:tc>
        <w:tc>
          <w:tcPr>
            <w:tcW w:w="4643" w:type="dxa"/>
          </w:tcPr>
          <w:p>
            <w:pPr>
              <w:pStyle w:val="Compact"/>
              <w:spacing w:after="40"/>
              <w:jc w:val="left"/>
            </w:pPr>
            <w:r>
              <w:rPr>
                <w:sz w:val="18"/>
              </w:rPr>
              <w:t xml:space="preserve">MBP-4 (s.189)</w:t>
            </w:r>
          </w:p>
        </w:tc>
        <w:tc>
          <w:tcPr>
            <w:tcW w:w="2776" w:type="dxa"/>
          </w:tcPr>
          <w:p>
            <w:pPr>
              <w:pStyle w:val="Compact"/>
              <w:spacing w:after="40"/>
              <w:jc w:val="left"/>
            </w:pPr>
            <w:r>
              <w:rPr>
                <w:sz w:val="18"/>
              </w:rPr>
              <w:t xml:space="preserve">GV1, GV4.3</w:t>
            </w:r>
          </w:p>
        </w:tc>
      </w:tr>
      <w:tr>
        <w:tc>
          <w:tcPr>
            <w:tcW w:w="2219" w:type="dxa"/>
          </w:tcPr>
          <w:p>
            <w:pPr>
              <w:pStyle w:val="Compact"/>
              <w:spacing w:after="40"/>
              <w:jc w:val="left"/>
            </w:pPr>
            <w:r>
              <w:rPr>
                <w:sz w:val="18"/>
              </w:rPr>
              <w:t xml:space="preserve">Loans, guarantees, security, investments</w:t>
            </w:r>
          </w:p>
        </w:tc>
        <w:tc>
          <w:tcPr>
            <w:tcW w:w="4643" w:type="dxa"/>
          </w:tcPr>
          <w:p>
            <w:pPr>
              <w:pStyle w:val="Compact"/>
              <w:spacing w:after="40"/>
              <w:jc w:val="left"/>
            </w:pPr>
            <w:r>
              <w:rPr>
                <w:sz w:val="18"/>
              </w:rPr>
              <w:t xml:space="preserve">MBP-2 (s.186(9)); NBFC ordinary-course lending and guarantees, and investments by NBFCs whose principal business is acquiring securities, are exempt (s.186(11); Meetings of Board Rules r.11(2)) [VERIFY wording]</w:t>
            </w:r>
          </w:p>
        </w:tc>
        <w:tc>
          <w:tcPr>
            <w:tcW w:w="2776" w:type="dxa"/>
          </w:tcPr>
          <w:p>
            <w:pPr>
              <w:pStyle w:val="Compact"/>
              <w:spacing w:after="40"/>
              <w:jc w:val="left"/>
            </w:pPr>
            <w:r>
              <w:rPr>
                <w:sz w:val="18"/>
              </w:rPr>
              <w:t xml:space="preserve">Non-exempt items only</w:t>
            </w:r>
          </w:p>
        </w:tc>
      </w:tr>
      <w:tr>
        <w:tc>
          <w:tcPr>
            <w:tcW w:w="2219" w:type="dxa"/>
          </w:tcPr>
          <w:p>
            <w:pPr>
              <w:pStyle w:val="Compact"/>
              <w:spacing w:after="40"/>
              <w:jc w:val="left"/>
            </w:pPr>
            <w:r>
              <w:rPr>
                <w:sz w:val="18"/>
              </w:rPr>
              <w:t xml:space="preserve">Investments not in company’s name</w:t>
            </w:r>
          </w:p>
        </w:tc>
        <w:tc>
          <w:tcPr>
            <w:tcW w:w="4643" w:type="dxa"/>
          </w:tcPr>
          <w:p>
            <w:pPr>
              <w:pStyle w:val="Compact"/>
              <w:spacing w:after="40"/>
              <w:jc w:val="left"/>
            </w:pPr>
            <w:r>
              <w:rPr>
                <w:sz w:val="18"/>
              </w:rPr>
              <w:t xml:space="preserve">MBP-3 (s.187)</w:t>
            </w:r>
          </w:p>
        </w:tc>
        <w:tc>
          <w:tcPr>
            <w:tcW w:w="2776" w:type="dxa"/>
          </w:tcPr>
          <w:p>
            <w:pPr>
              <w:pStyle w:val="Compact"/>
              <w:spacing w:after="40"/>
              <w:jc w:val="left"/>
            </w:pPr>
            <w:r>
              <w:rPr>
                <w:sz w:val="18"/>
              </w:rPr>
              <w:t xml:space="preserve">Part 7H</w:t>
            </w:r>
          </w:p>
        </w:tc>
      </w:tr>
      <w:tr>
        <w:tc>
          <w:tcPr>
            <w:tcW w:w="2219" w:type="dxa"/>
          </w:tcPr>
          <w:p>
            <w:pPr>
              <w:pStyle w:val="Compact"/>
              <w:spacing w:after="40"/>
              <w:jc w:val="left"/>
            </w:pPr>
            <w:r>
              <w:rPr>
                <w:sz w:val="18"/>
              </w:rPr>
              <w:t xml:space="preserve">Charges created by the company</w:t>
            </w:r>
          </w:p>
        </w:tc>
        <w:tc>
          <w:tcPr>
            <w:tcW w:w="4643" w:type="dxa"/>
          </w:tcPr>
          <w:p>
            <w:pPr>
              <w:pStyle w:val="Compact"/>
              <w:spacing w:after="40"/>
              <w:jc w:val="left"/>
            </w:pPr>
            <w:r>
              <w:rPr>
                <w:sz w:val="18"/>
              </w:rPr>
              <w:t xml:space="preserve">CHG-7 (s.85)</w:t>
            </w:r>
          </w:p>
        </w:tc>
        <w:tc>
          <w:tcPr>
            <w:tcW w:w="2776" w:type="dxa"/>
          </w:tcPr>
          <w:p>
            <w:pPr>
              <w:pStyle w:val="Compact"/>
              <w:spacing w:after="40"/>
              <w:jc w:val="left"/>
            </w:pPr>
            <w:r>
              <w:rPr>
                <w:sz w:val="18"/>
              </w:rPr>
              <w:t xml:space="preserve">M10 borrowings, M5 charge evidence</w:t>
            </w:r>
          </w:p>
        </w:tc>
      </w:tr>
      <w:tr>
        <w:tc>
          <w:tcPr>
            <w:tcW w:w="2219" w:type="dxa"/>
          </w:tcPr>
          <w:p>
            <w:pPr>
              <w:pStyle w:val="Compact"/>
              <w:spacing w:after="40"/>
              <w:jc w:val="left"/>
            </w:pPr>
            <w:r>
              <w:rPr>
                <w:sz w:val="18"/>
              </w:rPr>
              <w:t xml:space="preserve">Significant beneficial owners</w:t>
            </w:r>
          </w:p>
        </w:tc>
        <w:tc>
          <w:tcPr>
            <w:tcW w:w="4643" w:type="dxa"/>
          </w:tcPr>
          <w:p>
            <w:pPr>
              <w:pStyle w:val="Compact"/>
              <w:spacing w:after="40"/>
              <w:jc w:val="left"/>
            </w:pPr>
            <w:r>
              <w:rPr>
                <w:sz w:val="18"/>
              </w:rPr>
              <w:t xml:space="preserve">BEN-3 (s.90)</w:t>
            </w:r>
          </w:p>
        </w:tc>
        <w:tc>
          <w:tcPr>
            <w:tcW w:w="2776" w:type="dxa"/>
          </w:tcPr>
          <w:p>
            <w:pPr>
              <w:pStyle w:val="Compact"/>
              <w:spacing w:after="40"/>
              <w:jc w:val="left"/>
            </w:pPr>
            <w:r>
              <w:rPr>
                <w:sz w:val="18"/>
              </w:rPr>
              <w:t xml:space="preserve">BEN-1 declarations</w:t>
            </w:r>
          </w:p>
        </w:tc>
      </w:tr>
      <w:tr>
        <w:tc>
          <w:tcPr>
            <w:tcW w:w="2219" w:type="dxa"/>
          </w:tcPr>
          <w:p>
            <w:pPr>
              <w:pStyle w:val="Compact"/>
              <w:spacing w:after="40"/>
              <w:jc w:val="left"/>
            </w:pPr>
            <w:r>
              <w:rPr>
                <w:sz w:val="18"/>
              </w:rPr>
              <w:t xml:space="preserve">Share certificates, ESOP, sweat equity, buy-back</w:t>
            </w:r>
          </w:p>
        </w:tc>
        <w:tc>
          <w:tcPr>
            <w:tcW w:w="4643" w:type="dxa"/>
          </w:tcPr>
          <w:p>
            <w:pPr>
              <w:pStyle w:val="Compact"/>
              <w:spacing w:after="40"/>
              <w:jc w:val="left"/>
            </w:pPr>
            <w:r>
              <w:rPr>
                <w:sz w:val="18"/>
              </w:rPr>
              <w:t xml:space="preserve">SH-2, SH-6, SH-3, SH-10</w:t>
            </w:r>
          </w:p>
        </w:tc>
        <w:tc>
          <w:tcPr>
            <w:tcW w:w="2776" w:type="dxa"/>
          </w:tcPr>
          <w:p>
            <w:pPr>
              <w:pStyle w:val="Compact"/>
              <w:spacing w:after="40"/>
              <w:jc w:val="left"/>
            </w:pPr>
            <w:r>
              <w:rPr>
                <w:sz w:val="18"/>
              </w:rPr>
              <w:t xml:space="preserve">Share-capital ledger</w:t>
            </w:r>
          </w:p>
        </w:tc>
      </w:tr>
      <w:tr>
        <w:tc>
          <w:tcPr>
            <w:tcW w:w="2219" w:type="dxa"/>
          </w:tcPr>
          <w:p>
            <w:pPr>
              <w:pStyle w:val="Compact"/>
              <w:spacing w:after="40"/>
              <w:jc w:val="left"/>
            </w:pPr>
            <w:r>
              <w:rPr>
                <w:sz w:val="18"/>
              </w:rPr>
              <w:t xml:space="preserve">Minutes books</w:t>
            </w:r>
          </w:p>
        </w:tc>
        <w:tc>
          <w:tcPr>
            <w:tcW w:w="4643" w:type="dxa"/>
          </w:tcPr>
          <w:p>
            <w:pPr>
              <w:pStyle w:val="Compact"/>
              <w:spacing w:after="40"/>
              <w:jc w:val="left"/>
            </w:pPr>
            <w:r>
              <w:rPr>
                <w:sz w:val="18"/>
              </w:rPr>
              <w:t xml:space="preserve">s.118</w:t>
            </w:r>
          </w:p>
        </w:tc>
        <w:tc>
          <w:tcPr>
            <w:tcW w:w="2776" w:type="dxa"/>
          </w:tcPr>
          <w:p>
            <w:pPr>
              <w:pStyle w:val="Compact"/>
              <w:spacing w:after="40"/>
              <w:jc w:val="left"/>
            </w:pPr>
            <w:r>
              <w:rPr>
                <w:sz w:val="18"/>
              </w:rPr>
              <w:t xml:space="preserve">GV2</w:t>
            </w:r>
          </w:p>
        </w:tc>
      </w:tr>
      <w:tr>
        <w:tc>
          <w:tcPr>
            <w:tcW w:w="2219" w:type="dxa"/>
          </w:tcPr>
          <w:p>
            <w:pPr>
              <w:pStyle w:val="Compact"/>
              <w:spacing w:after="40"/>
              <w:jc w:val="left"/>
            </w:pPr>
            <w:r>
              <w:rPr>
                <w:sz w:val="18"/>
              </w:rPr>
              <w:t xml:space="preserve">Deposits</w:t>
            </w:r>
          </w:p>
        </w:tc>
        <w:tc>
          <w:tcPr>
            <w:tcW w:w="4643" w:type="dxa"/>
          </w:tcPr>
          <w:p>
            <w:pPr>
              <w:pStyle w:val="Compact"/>
              <w:spacing w:after="40"/>
              <w:jc w:val="left"/>
            </w:pPr>
            <w:r>
              <w:rPr>
                <w:sz w:val="18"/>
              </w:rPr>
              <w:t xml:space="preserve">Not for RBI-registered NBFCs or NHB-registered HFCs (Acceptance of Deposits Rules r.1(3))</w:t>
            </w:r>
          </w:p>
        </w:tc>
        <w:tc>
          <w:tcPr>
            <w:tcW w:w="2776" w:type="dxa"/>
          </w:tcPr>
          <w:p>
            <w:pPr>
              <w:pStyle w:val="Compact"/>
              <w:spacing w:after="40"/>
              <w:jc w:val="left"/>
            </w:pPr>
            <w:r>
              <w:rPr>
                <w:sz w:val="18"/>
              </w:rPr>
              <w:t xml:space="preserve">—</w:t>
            </w:r>
          </w:p>
        </w:tc>
      </w:tr>
    </w:tbl>
    <w:bookmarkEnd w:id="481"/>
    <w:bookmarkStart w:id="482" w:name="gv3.2-mca-form-engine"/>
    <w:p>
      <w:pPr>
        <w:pStyle w:val="Heading3"/>
      </w:pPr>
      <w:r>
        <w:t xml:space="preserve">GV3.2 MCA form engine</w:t>
      </w:r>
    </w:p>
    <w:p>
      <w:pPr>
        <w:pStyle w:val="FirstParagraph"/>
      </w:pPr>
      <w:r>
        <w:t xml:space="preserve">Catalogue</w:t>
      </w:r>
      <w:r>
        <w:t xml:space="preserve"> </w:t>
      </w:r>
      <w:r>
        <w:rPr>
          <w:rStyle w:val="VerbatimChar"/>
        </w:rPr>
        <w:t xml:space="preserve">mca_form</w:t>
      </w:r>
      <w:r>
        <w:t xml:space="preserve"> </w:t>
      </w:r>
      <w:r>
        <w:t xml:space="preserve">(trigger, due rule, attachments, certifier, fee reference, applicability). Starting set [LAW; VERIFY on MCA V3]: AOC-4, AOC-4 CFS or AOC-4 NBFC (Ind AS) within 30 days of AGM (s.137; payload from AC3; no XBRL for NBFCs); MGT-7/7A within 60 days of AGM (s.92); ADT-1 within 15 days (s.139); ADT-3 within 30 days (s.140(2)); MGT-14 within 30 days (s.117) [VERIFY: scope of the s.117(3)(g) proviso for NBFC ordinary-course lending resolutions]; DIR-12 30 days; DIR-3 KYC; CHG-1, CHG-4, CHG-9 within 30 days (s.77 additional-fee extension [VERIFY]); PAS-3 within 30 days of allotment (s.39(4)) or 15 days for a private placement (s.42(8)) [VERIFY]; SH-7 30 days (s.64); INC-22 [VERIFY]; MSME-1 by 30 April and 31 October; BEN-2 30 days; CSR-2; MR-3 annexed to the Board’s report (AU6); PAS-6 half-yearly for unlisted public companies [VERIFY].</w:t>
      </w:r>
    </w:p>
    <w:p>
      <w:pPr>
        <w:numPr>
          <w:ilvl w:val="0"/>
          <w:numId w:val="1439"/>
        </w:numPr>
        <w:pStyle w:val="Compact"/>
      </w:pPr>
      <w:r>
        <w:rPr>
          <w:bCs/>
          <w:b/>
        </w:rPr>
        <w:t xml:space="preserve">Guided filing:</w:t>
      </w:r>
      <w:r>
        <w:t xml:space="preserve"> </w:t>
      </w:r>
      <w:r>
        <w:t xml:space="preserve">data validated (DIN active, linked SRNs), attachments from M16, certifier assigned, checklist, evidence slot for SRN, challan and approval. The authorised person files on MCA V3 with his own DSC.</w:t>
      </w:r>
    </w:p>
    <w:p>
      <w:pPr>
        <w:numPr>
          <w:ilvl w:val="0"/>
          <w:numId w:val="1439"/>
        </w:numPr>
        <w:pStyle w:val="Compact"/>
      </w:pPr>
      <w:r>
        <w:rPr>
          <w:bCs/>
          <w:b/>
        </w:rPr>
        <w:t xml:space="preserve">States:</w:t>
      </w:r>
      <w:r>
        <w:t xml:space="preserve"> </w:t>
      </w:r>
      <w:r>
        <w:rPr>
          <w:rStyle w:val="VerbatimChar"/>
        </w:rPr>
        <w:t xml:space="preserve">DUE → DATA_READY → CERTIFIED → FILED (SRN) → APPROVED or RESUBMISSION_REQUIRED → CLOSED</w:t>
      </w:r>
      <w:r>
        <w:t xml:space="preserve">; late filing computes the additional-fee band and records the reason. RESUBMISSION_REQUIRED carries the MCA remark and the resubmission deadline from the rule pack, returns to DATA_READY and keeps the original SRN chain; a form marked</w:t>
      </w:r>
      <w:r>
        <w:t xml:space="preserve"> </w:t>
      </w:r>
      <w:r>
        <w:t xml:space="preserve">“</w:t>
      </w:r>
      <w:r>
        <w:t xml:space="preserve">rejected</w:t>
      </w:r>
      <w:r>
        <w:t xml:space="preserve">”</w:t>
      </w:r>
      <w:r>
        <w:t xml:space="preserve"> </w:t>
      </w:r>
      <w:r>
        <w:t xml:space="preserve">opens a fresh instance linked to the first. A filed form is never edited; corrections are new filings.</w:t>
      </w:r>
    </w:p>
    <w:bookmarkEnd w:id="482"/>
    <w:bookmarkStart w:id="483" w:name="gv3.3-integrated-compliance-calendar"/>
    <w:p>
      <w:pPr>
        <w:pStyle w:val="Heading3"/>
      </w:pPr>
      <w:r>
        <w:t xml:space="preserve">GV3.3 Integrated compliance calendar</w:t>
      </w:r>
    </w:p>
    <w:p>
      <w:pPr>
        <w:pStyle w:val="FirstParagraph"/>
      </w:pPr>
      <w:r>
        <w:t xml:space="preserve">One calendar per legal entity: MCA forms, GV1.5 items, RR1 returns (by reference), GV4 clocks, GV6 labour and payroll clocks, policy reviews, committee windows and Part 7D milestones. Each instance: owner, checker, due date, basis, consequence note, evidence requirement, escalation at T-15, T-7, T-1 and overdue to the CS and CCO. A quarterly</w:t>
      </w:r>
      <w:r>
        <w:t xml:space="preserve"> </w:t>
      </w:r>
      <w:r>
        <w:rPr>
          <w:bCs/>
          <w:b/>
        </w:rPr>
        <w:t xml:space="preserve">Board compliance certificate</w:t>
      </w:r>
      <w:r>
        <w:t xml:space="preserve"> </w:t>
      </w:r>
      <w:r>
        <w:t xml:space="preserve">lists every statutory compliance with exceptions, signed by the CS [REC]. Due dates shift only by the regulator’s own rule, not the branch holiday calendar [REC].</w:t>
      </w:r>
    </w:p>
    <w:bookmarkEnd w:id="483"/>
    <w:bookmarkStart w:id="484" w:name="acceptance-tests-36"/>
    <w:p>
      <w:pPr>
        <w:pStyle w:val="Heading3"/>
      </w:pPr>
      <w:r>
        <w:t xml:space="preserve">Acceptance tests</w:t>
      </w:r>
    </w:p>
    <w:p>
      <w:pPr>
        <w:numPr>
          <w:ilvl w:val="0"/>
          <w:numId w:val="1440"/>
        </w:numPr>
        <w:pStyle w:val="Compact"/>
      </w:pPr>
      <w:r>
        <w:t xml:space="preserve">A charge on the tenant’s receivables for a bank loan creates a CHG-1 instance due in 30 days; the CHG-7 entry appears only after the SRN is recorded.</w:t>
      </w:r>
    </w:p>
    <w:p>
      <w:pPr>
        <w:numPr>
          <w:ilvl w:val="0"/>
          <w:numId w:val="1440"/>
        </w:numPr>
        <w:pStyle w:val="Compact"/>
      </w:pPr>
      <w:r>
        <w:t xml:space="preserve">An NBFC’s ordinary-course disbursement creates no MBP-2 entry; an inter-corporate deposit outside its lending business does.</w:t>
      </w:r>
    </w:p>
    <w:p>
      <w:pPr>
        <w:numPr>
          <w:ilvl w:val="0"/>
          <w:numId w:val="1440"/>
        </w:numPr>
        <w:pStyle w:val="Compact"/>
      </w:pPr>
      <w:r>
        <w:t xml:space="preserve">Changing the AGM date recomputes the MGT-7 and AOC-4 dates; an Ind AS NBFC gets AOC-4 NBFC (Ind AS) and no XBRL instance.</w:t>
      </w:r>
    </w:p>
    <w:p>
      <w:pPr>
        <w:numPr>
          <w:ilvl w:val="0"/>
          <w:numId w:val="1440"/>
        </w:numPr>
        <w:pStyle w:val="Compact"/>
      </w:pPr>
      <w:r>
        <w:t xml:space="preserve">Evidence without an SRN cannot move an instance to FILED.</w:t>
      </w:r>
    </w:p>
    <w:p>
      <w:pPr>
        <w:numPr>
          <w:ilvl w:val="0"/>
          <w:numId w:val="1440"/>
        </w:numPr>
        <w:pStyle w:val="Compact"/>
      </w:pPr>
      <w:r>
        <w:t xml:space="preserve">The members’ register at a cut-off reconciles to the benpos import or lists the breaks.</w:t>
      </w:r>
    </w:p>
    <w:bookmarkEnd w:id="484"/>
    <w:bookmarkStart w:id="485" w:name="settings-and-options-gv1gv3"/>
    <w:p>
      <w:pPr>
        <w:pStyle w:val="Heading3"/>
      </w:pPr>
      <w:r>
        <w:t xml:space="preserve">Settings and options (GV1–GV3)</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55"/>
        <w:gridCol w:w="1745"/>
        <w:gridCol w:w="2679"/>
        <w:gridCol w:w="2859"/>
      </w:tblGrid>
      <w:tr>
        <w:trPr>
          <w:tblHeader w:val="true"/>
          <w:tblHeader w:val="true"/>
        </w:trPr>
        <w:tc>
          <w:tcPr>
            <w:tcW w:w="2355" w:type="dxa"/>
            <w:shd w:val="clear" w:color="auto" w:fill="1F3A5F"/>
          </w:tcPr>
          <w:p>
            <w:pPr>
              <w:pStyle w:val="Compact"/>
              <w:spacing w:after="40"/>
              <w:jc w:val="left"/>
            </w:pPr>
            <w:r>
              <w:rPr>
                <w:b/>
                <w:color w:val="FFFFFF"/>
                <w:sz w:val="18"/>
              </w:rPr>
              <w:t xml:space="preserve">Setting</w:t>
            </w:r>
          </w:p>
        </w:tc>
        <w:tc>
          <w:tcPr>
            <w:tcW w:w="1745" w:type="dxa"/>
            <w:shd w:val="clear" w:color="auto" w:fill="1F3A5F"/>
          </w:tcPr>
          <w:p>
            <w:pPr>
              <w:pStyle w:val="Compact"/>
              <w:spacing w:after="40"/>
              <w:jc w:val="left"/>
            </w:pPr>
            <w:r>
              <w:rPr>
                <w:b/>
                <w:color w:val="FFFFFF"/>
                <w:sz w:val="18"/>
              </w:rPr>
              <w:t xml:space="preserve">Level</w:t>
            </w:r>
          </w:p>
        </w:tc>
        <w:tc>
          <w:tcPr>
            <w:tcW w:w="2679" w:type="dxa"/>
            <w:shd w:val="clear" w:color="auto" w:fill="1F3A5F"/>
          </w:tcPr>
          <w:p>
            <w:pPr>
              <w:pStyle w:val="Compact"/>
              <w:spacing w:after="40"/>
              <w:jc w:val="left"/>
            </w:pPr>
            <w:r>
              <w:rPr>
                <w:b/>
                <w:color w:val="FFFFFF"/>
                <w:sz w:val="18"/>
              </w:rPr>
              <w:t xml:space="preserve">Default</w:t>
            </w:r>
          </w:p>
        </w:tc>
        <w:tc>
          <w:tcPr>
            <w:tcW w:w="2859" w:type="dxa"/>
            <w:shd w:val="clear" w:color="auto" w:fill="1F3A5F"/>
          </w:tcPr>
          <w:p>
            <w:pPr>
              <w:pStyle w:val="Compact"/>
              <w:spacing w:after="40"/>
              <w:jc w:val="left"/>
            </w:pPr>
            <w:r>
              <w:rPr>
                <w:b/>
                <w:color w:val="FFFFFF"/>
                <w:sz w:val="18"/>
              </w:rPr>
              <w:t xml:space="preserve">Nature</w:t>
            </w:r>
          </w:p>
        </w:tc>
      </w:tr>
      <w:tr>
        <w:tc>
          <w:tcPr>
            <w:tcW w:w="2355" w:type="dxa"/>
          </w:tcPr>
          <w:p>
            <w:pPr>
              <w:pStyle w:val="Compact"/>
              <w:spacing w:after="40"/>
              <w:jc w:val="left"/>
            </w:pPr>
            <w:r>
              <w:rPr>
                <w:sz w:val="18"/>
              </w:rPr>
              <w:t xml:space="preserve">Governance profile and GOV chapter set</w:t>
            </w:r>
          </w:p>
        </w:tc>
        <w:tc>
          <w:tcPr>
            <w:tcW w:w="1745" w:type="dxa"/>
          </w:tcPr>
          <w:p>
            <w:pPr>
              <w:pStyle w:val="Compact"/>
              <w:spacing w:after="40"/>
              <w:jc w:val="left"/>
            </w:pPr>
            <w:r>
              <w:rPr>
                <w:sz w:val="18"/>
              </w:rPr>
              <w:t xml:space="preserve">Legal entity</w:t>
            </w:r>
          </w:p>
        </w:tc>
        <w:tc>
          <w:tcPr>
            <w:tcW w:w="2679" w:type="dxa"/>
          </w:tcPr>
          <w:p>
            <w:pPr>
              <w:pStyle w:val="Compact"/>
              <w:spacing w:after="40"/>
              <w:jc w:val="left"/>
            </w:pPr>
            <w:r>
              <w:rPr>
                <w:sz w:val="18"/>
              </w:rPr>
              <w:t xml:space="preserve">Derived from 8A.25 and the institution profile; CS confirms</w:t>
            </w:r>
          </w:p>
        </w:tc>
        <w:tc>
          <w:tcPr>
            <w:tcW w:w="2859" w:type="dxa"/>
          </w:tcPr>
          <w:p>
            <w:pPr>
              <w:pStyle w:val="Compact"/>
              <w:spacing w:after="40"/>
              <w:jc w:val="left"/>
            </w:pPr>
            <w:r>
              <w:rPr>
                <w:sz w:val="18"/>
              </w:rPr>
              <w:t xml:space="preserve">Regulatory floor</w:t>
            </w:r>
          </w:p>
        </w:tc>
      </w:tr>
      <w:tr>
        <w:tc>
          <w:tcPr>
            <w:tcW w:w="2355" w:type="dxa"/>
          </w:tcPr>
          <w:p>
            <w:pPr>
              <w:pStyle w:val="Compact"/>
              <w:spacing w:after="40"/>
              <w:jc w:val="left"/>
            </w:pPr>
            <w:r>
              <w:rPr>
                <w:sz w:val="18"/>
              </w:rPr>
              <w:t xml:space="preserve">Company-law threshold, SS-1/SS-2 and MCA form packs</w:t>
            </w:r>
          </w:p>
        </w:tc>
        <w:tc>
          <w:tcPr>
            <w:tcW w:w="1745" w:type="dxa"/>
          </w:tcPr>
          <w:p>
            <w:pPr>
              <w:pStyle w:val="Compact"/>
              <w:spacing w:after="40"/>
              <w:jc w:val="left"/>
            </w:pPr>
            <w:r>
              <w:rPr>
                <w:sz w:val="18"/>
              </w:rPr>
              <w:t xml:space="preserve">Platform</w:t>
            </w:r>
          </w:p>
        </w:tc>
        <w:tc>
          <w:tcPr>
            <w:tcW w:w="2679" w:type="dxa"/>
          </w:tcPr>
          <w:p>
            <w:pPr>
              <w:pStyle w:val="Compact"/>
              <w:spacing w:after="40"/>
              <w:jc w:val="left"/>
            </w:pPr>
            <w:r>
              <w:rPr>
                <w:sz w:val="18"/>
              </w:rPr>
              <w:t xml:space="preserve">Latest verified version, effective-dated</w:t>
            </w:r>
          </w:p>
        </w:tc>
        <w:tc>
          <w:tcPr>
            <w:tcW w:w="2859" w:type="dxa"/>
          </w:tcPr>
          <w:p>
            <w:pPr>
              <w:pStyle w:val="Compact"/>
              <w:spacing w:after="40"/>
              <w:jc w:val="left"/>
            </w:pPr>
            <w:r>
              <w:rPr>
                <w:sz w:val="18"/>
              </w:rPr>
              <w:t xml:space="preserve">Regulatory floor</w:t>
            </w:r>
          </w:p>
        </w:tc>
      </w:tr>
      <w:tr>
        <w:tc>
          <w:tcPr>
            <w:tcW w:w="2355" w:type="dxa"/>
          </w:tcPr>
          <w:p>
            <w:pPr>
              <w:pStyle w:val="Compact"/>
              <w:spacing w:after="40"/>
              <w:jc w:val="left"/>
            </w:pPr>
            <w:r>
              <w:rPr>
                <w:sz w:val="18"/>
              </w:rPr>
              <w:t xml:space="preserve">Minute timers (draft 15, comments 7, entry 30 days)</w:t>
            </w:r>
          </w:p>
        </w:tc>
        <w:tc>
          <w:tcPr>
            <w:tcW w:w="1745" w:type="dxa"/>
          </w:tcPr>
          <w:p>
            <w:pPr>
              <w:pStyle w:val="Compact"/>
              <w:spacing w:after="40"/>
              <w:jc w:val="left"/>
            </w:pPr>
            <w:r>
              <w:rPr>
                <w:sz w:val="18"/>
              </w:rPr>
              <w:t xml:space="preserve">Tenant</w:t>
            </w:r>
          </w:p>
        </w:tc>
        <w:tc>
          <w:tcPr>
            <w:tcW w:w="2679" w:type="dxa"/>
          </w:tcPr>
          <w:p>
            <w:pPr>
              <w:pStyle w:val="Compact"/>
              <w:spacing w:after="40"/>
              <w:jc w:val="left"/>
            </w:pPr>
            <w:r>
              <w:rPr>
                <w:sz w:val="18"/>
              </w:rPr>
              <w:t xml:space="preserve">Statutory values</w:t>
            </w:r>
          </w:p>
        </w:tc>
        <w:tc>
          <w:tcPr>
            <w:tcW w:w="2859" w:type="dxa"/>
          </w:tcPr>
          <w:p>
            <w:pPr>
              <w:pStyle w:val="Compact"/>
              <w:spacing w:after="40"/>
              <w:jc w:val="left"/>
            </w:pPr>
            <w:r>
              <w:rPr>
                <w:sz w:val="18"/>
              </w:rPr>
              <w:t xml:space="preserve">Floor: may be shortened, never lengthened</w:t>
            </w:r>
          </w:p>
        </w:tc>
      </w:tr>
      <w:tr>
        <w:tc>
          <w:tcPr>
            <w:tcW w:w="2355" w:type="dxa"/>
          </w:tcPr>
          <w:p>
            <w:pPr>
              <w:pStyle w:val="Compact"/>
              <w:spacing w:after="40"/>
              <w:jc w:val="left"/>
            </w:pPr>
            <w:r>
              <w:rPr>
                <w:sz w:val="18"/>
              </w:rPr>
              <w:t xml:space="preserve">Board-pack delivery</w:t>
            </w:r>
          </w:p>
        </w:tc>
        <w:tc>
          <w:tcPr>
            <w:tcW w:w="1745" w:type="dxa"/>
          </w:tcPr>
          <w:p>
            <w:pPr>
              <w:pStyle w:val="Compact"/>
              <w:spacing w:after="40"/>
              <w:jc w:val="left"/>
            </w:pPr>
            <w:r>
              <w:rPr>
                <w:sz w:val="18"/>
              </w:rPr>
              <w:t xml:space="preserve">Tenant</w:t>
            </w:r>
          </w:p>
        </w:tc>
        <w:tc>
          <w:tcPr>
            <w:tcW w:w="2679" w:type="dxa"/>
          </w:tcPr>
          <w:p>
            <w:pPr>
              <w:pStyle w:val="Compact"/>
              <w:spacing w:after="40"/>
              <w:jc w:val="left"/>
            </w:pPr>
            <w:r>
              <w:rPr>
                <w:sz w:val="18"/>
              </w:rPr>
              <w:t xml:space="preserve">Director portal, view-only, watermarked</w:t>
            </w:r>
          </w:p>
        </w:tc>
        <w:tc>
          <w:tcPr>
            <w:tcW w:w="2859" w:type="dxa"/>
          </w:tcPr>
          <w:p>
            <w:pPr>
              <w:pStyle w:val="Compact"/>
              <w:spacing w:after="40"/>
              <w:jc w:val="left"/>
            </w:pPr>
            <w:r>
              <w:rPr>
                <w:sz w:val="18"/>
              </w:rPr>
              <w:t xml:space="preserve">Commercial choice: allow download per pack; email attachment off by default</w:t>
            </w:r>
          </w:p>
        </w:tc>
      </w:tr>
      <w:tr>
        <w:tc>
          <w:tcPr>
            <w:tcW w:w="2355" w:type="dxa"/>
          </w:tcPr>
          <w:p>
            <w:pPr>
              <w:pStyle w:val="Compact"/>
              <w:spacing w:after="40"/>
              <w:jc w:val="left"/>
            </w:pPr>
            <w:r>
              <w:rPr>
                <w:sz w:val="18"/>
              </w:rPr>
              <w:t xml:space="preserve">AI drafting of minutes</w:t>
            </w:r>
          </w:p>
        </w:tc>
        <w:tc>
          <w:tcPr>
            <w:tcW w:w="1745" w:type="dxa"/>
          </w:tcPr>
          <w:p>
            <w:pPr>
              <w:pStyle w:val="Compact"/>
              <w:spacing w:after="40"/>
              <w:jc w:val="left"/>
            </w:pPr>
            <w:r>
              <w:rPr>
                <w:sz w:val="18"/>
              </w:rPr>
              <w:t xml:space="preserve">Tenant</w:t>
            </w:r>
          </w:p>
        </w:tc>
        <w:tc>
          <w:tcPr>
            <w:tcW w:w="2679" w:type="dxa"/>
          </w:tcPr>
          <w:p>
            <w:pPr>
              <w:pStyle w:val="Compact"/>
              <w:spacing w:after="40"/>
              <w:jc w:val="left"/>
            </w:pPr>
            <w:r>
              <w:rPr>
                <w:sz w:val="18"/>
              </w:rPr>
              <w:t xml:space="preserve">Off</w:t>
            </w:r>
          </w:p>
        </w:tc>
        <w:tc>
          <w:tcPr>
            <w:tcW w:w="2859" w:type="dxa"/>
          </w:tcPr>
          <w:p>
            <w:pPr>
              <w:pStyle w:val="Compact"/>
              <w:spacing w:after="40"/>
              <w:jc w:val="left"/>
            </w:pPr>
            <w:r>
              <w:rPr>
                <w:sz w:val="18"/>
              </w:rPr>
              <w:t xml:space="preserve">Commercial choice; needs M20 approval and human review</w:t>
            </w:r>
          </w:p>
        </w:tc>
      </w:tr>
      <w:tr>
        <w:tc>
          <w:tcPr>
            <w:tcW w:w="2355" w:type="dxa"/>
          </w:tcPr>
          <w:p>
            <w:pPr>
              <w:pStyle w:val="Compact"/>
              <w:spacing w:after="40"/>
              <w:jc w:val="left"/>
            </w:pPr>
            <w:r>
              <w:rPr>
                <w:sz w:val="18"/>
              </w:rPr>
              <w:t xml:space="preserve">Reminder offsets for calendar items</w:t>
            </w:r>
          </w:p>
        </w:tc>
        <w:tc>
          <w:tcPr>
            <w:tcW w:w="1745" w:type="dxa"/>
          </w:tcPr>
          <w:p>
            <w:pPr>
              <w:pStyle w:val="Compact"/>
              <w:spacing w:after="40"/>
              <w:jc w:val="left"/>
            </w:pPr>
            <w:r>
              <w:rPr>
                <w:sz w:val="18"/>
              </w:rPr>
              <w:t xml:space="preserve">Tenant, per obligation</w:t>
            </w:r>
          </w:p>
        </w:tc>
        <w:tc>
          <w:tcPr>
            <w:tcW w:w="2679" w:type="dxa"/>
          </w:tcPr>
          <w:p>
            <w:pPr>
              <w:pStyle w:val="Compact"/>
              <w:spacing w:after="40"/>
              <w:jc w:val="left"/>
            </w:pPr>
            <w:r>
              <w:rPr>
                <w:sz w:val="18"/>
              </w:rPr>
              <w:t xml:space="preserve">T-15, T-7, T-1, overdue</w:t>
            </w:r>
          </w:p>
        </w:tc>
        <w:tc>
          <w:tcPr>
            <w:tcW w:w="2859" w:type="dxa"/>
          </w:tcPr>
          <w:p>
            <w:pPr>
              <w:pStyle w:val="Compact"/>
              <w:spacing w:after="40"/>
              <w:jc w:val="left"/>
            </w:pPr>
            <w:r>
              <w:rPr>
                <w:sz w:val="18"/>
              </w:rPr>
              <w:t xml:space="preserve">Tenant may add earlier reminders, not remove the overdue escalation</w:t>
            </w:r>
          </w:p>
        </w:tc>
      </w:tr>
      <w:tr>
        <w:tc>
          <w:tcPr>
            <w:tcW w:w="2355" w:type="dxa"/>
          </w:tcPr>
          <w:p>
            <w:pPr>
              <w:pStyle w:val="Compact"/>
              <w:spacing w:after="40"/>
              <w:jc w:val="left"/>
            </w:pPr>
            <w:r>
              <w:rPr>
                <w:sz w:val="18"/>
              </w:rPr>
              <w:t xml:space="preserve">GOV para 10 and para 22 intimation default</w:t>
            </w:r>
          </w:p>
        </w:tc>
        <w:tc>
          <w:tcPr>
            <w:tcW w:w="1745" w:type="dxa"/>
          </w:tcPr>
          <w:p>
            <w:pPr>
              <w:pStyle w:val="Compact"/>
              <w:spacing w:after="40"/>
              <w:jc w:val="left"/>
            </w:pPr>
            <w:r>
              <w:rPr>
                <w:sz w:val="18"/>
              </w:rPr>
              <w:t xml:space="preserve">Tenant</w:t>
            </w:r>
          </w:p>
        </w:tc>
        <w:tc>
          <w:tcPr>
            <w:tcW w:w="2679" w:type="dxa"/>
          </w:tcPr>
          <w:p>
            <w:pPr>
              <w:pStyle w:val="Compact"/>
              <w:spacing w:after="40"/>
              <w:jc w:val="left"/>
            </w:pPr>
            <w:r>
              <w:rPr>
                <w:sz w:val="18"/>
              </w:rPr>
              <w:t xml:space="preserve">7 days [REC]</w:t>
            </w:r>
          </w:p>
        </w:tc>
        <w:tc>
          <w:tcPr>
            <w:tcW w:w="2859" w:type="dxa"/>
          </w:tcPr>
          <w:p>
            <w:pPr>
              <w:pStyle w:val="Compact"/>
              <w:spacing w:after="40"/>
              <w:jc w:val="left"/>
            </w:pPr>
            <w:r>
              <w:rPr>
                <w:sz w:val="18"/>
              </w:rPr>
              <w:t xml:space="preserve">Tenant may shorten</w:t>
            </w:r>
          </w:p>
        </w:tc>
      </w:tr>
      <w:tr>
        <w:tc>
          <w:tcPr>
            <w:tcW w:w="2355" w:type="dxa"/>
          </w:tcPr>
          <w:p>
            <w:pPr>
              <w:pStyle w:val="Compact"/>
              <w:spacing w:after="40"/>
              <w:jc w:val="left"/>
            </w:pPr>
            <w:r>
              <w:rPr>
                <w:sz w:val="18"/>
              </w:rPr>
              <w:t xml:space="preserve">Signing methods</w:t>
            </w:r>
          </w:p>
        </w:tc>
        <w:tc>
          <w:tcPr>
            <w:tcW w:w="1745" w:type="dxa"/>
          </w:tcPr>
          <w:p>
            <w:pPr>
              <w:pStyle w:val="Compact"/>
              <w:spacing w:after="40"/>
              <w:jc w:val="left"/>
            </w:pPr>
            <w:r>
              <w:rPr>
                <w:sz w:val="18"/>
              </w:rPr>
              <w:t xml:space="preserve">Tenant</w:t>
            </w:r>
          </w:p>
        </w:tc>
        <w:tc>
          <w:tcPr>
            <w:tcW w:w="2679" w:type="dxa"/>
          </w:tcPr>
          <w:p>
            <w:pPr>
              <w:pStyle w:val="Compact"/>
              <w:spacing w:after="40"/>
              <w:jc w:val="left"/>
            </w:pPr>
            <w:r>
              <w:rPr>
                <w:sz w:val="18"/>
              </w:rPr>
              <w:t xml:space="preserve">DSC for filings; DSC or Aadhaar eSign for minutes and declarations</w:t>
            </w:r>
          </w:p>
        </w:tc>
        <w:tc>
          <w:tcPr>
            <w:tcW w:w="2859" w:type="dxa"/>
          </w:tcPr>
          <w:p>
            <w:pPr>
              <w:pStyle w:val="Compact"/>
              <w:spacing w:after="40"/>
              <w:jc w:val="left"/>
            </w:pPr>
            <w:r>
              <w:rPr>
                <w:sz w:val="18"/>
              </w:rPr>
              <w:t xml:space="preserve">Commercial choice within law</w:t>
            </w:r>
          </w:p>
        </w:tc>
      </w:tr>
      <w:tr>
        <w:tc>
          <w:tcPr>
            <w:tcW w:w="2355" w:type="dxa"/>
          </w:tcPr>
          <w:p>
            <w:pPr>
              <w:pStyle w:val="Compact"/>
              <w:spacing w:after="40"/>
              <w:jc w:val="left"/>
            </w:pPr>
            <w:r>
              <w:rPr>
                <w:sz w:val="18"/>
              </w:rPr>
              <w:t xml:space="preserve">Mandatory agenda items</w:t>
            </w:r>
          </w:p>
        </w:tc>
        <w:tc>
          <w:tcPr>
            <w:tcW w:w="1745" w:type="dxa"/>
          </w:tcPr>
          <w:p>
            <w:pPr>
              <w:pStyle w:val="Compact"/>
              <w:spacing w:after="40"/>
              <w:jc w:val="left"/>
            </w:pPr>
            <w:r>
              <w:rPr>
                <w:sz w:val="18"/>
              </w:rPr>
              <w:t xml:space="preserve">Platform seeded; tenant adds</w:t>
            </w:r>
          </w:p>
        </w:tc>
        <w:tc>
          <w:tcPr>
            <w:tcW w:w="2679" w:type="dxa"/>
          </w:tcPr>
          <w:p>
            <w:pPr>
              <w:pStyle w:val="Compact"/>
              <w:spacing w:after="40"/>
              <w:jc w:val="left"/>
            </w:pPr>
            <w:r>
              <w:rPr>
                <w:sz w:val="18"/>
              </w:rPr>
              <w:t xml:space="preserve">GV1.4 set</w:t>
            </w:r>
          </w:p>
        </w:tc>
        <w:tc>
          <w:tcPr>
            <w:tcW w:w="2859" w:type="dxa"/>
          </w:tcPr>
          <w:p>
            <w:pPr>
              <w:pStyle w:val="Compact"/>
              <w:spacing w:after="40"/>
              <w:jc w:val="left"/>
            </w:pPr>
            <w:r>
              <w:rPr>
                <w:sz w:val="18"/>
              </w:rPr>
              <w:t xml:space="preserve">Floor for seeded items</w:t>
            </w:r>
          </w:p>
        </w:tc>
      </w:tr>
      <w:tr>
        <w:tc>
          <w:tcPr>
            <w:tcW w:w="2355" w:type="dxa"/>
          </w:tcPr>
          <w:p>
            <w:pPr>
              <w:pStyle w:val="Compact"/>
              <w:spacing w:after="40"/>
              <w:jc w:val="left"/>
            </w:pPr>
            <w:r>
              <w:rPr>
                <w:sz w:val="18"/>
              </w:rPr>
              <w:t xml:space="preserve">Board compliance certificate</w:t>
            </w:r>
          </w:p>
        </w:tc>
        <w:tc>
          <w:tcPr>
            <w:tcW w:w="1745" w:type="dxa"/>
          </w:tcPr>
          <w:p>
            <w:pPr>
              <w:pStyle w:val="Compact"/>
              <w:spacing w:after="40"/>
              <w:jc w:val="left"/>
            </w:pPr>
            <w:r>
              <w:rPr>
                <w:sz w:val="18"/>
              </w:rPr>
              <w:t xml:space="preserve">Tenant</w:t>
            </w:r>
          </w:p>
        </w:tc>
        <w:tc>
          <w:tcPr>
            <w:tcW w:w="2679" w:type="dxa"/>
          </w:tcPr>
          <w:p>
            <w:pPr>
              <w:pStyle w:val="Compact"/>
              <w:spacing w:after="40"/>
              <w:jc w:val="left"/>
            </w:pPr>
            <w:r>
              <w:rPr>
                <w:sz w:val="18"/>
              </w:rPr>
              <w:t xml:space="preserve">Quarterly</w:t>
            </w:r>
          </w:p>
        </w:tc>
        <w:tc>
          <w:tcPr>
            <w:tcW w:w="2859" w:type="dxa"/>
          </w:tcPr>
          <w:p>
            <w:pPr>
              <w:pStyle w:val="Compact"/>
              <w:spacing w:after="40"/>
              <w:jc w:val="left"/>
            </w:pPr>
            <w:r>
              <w:rPr>
                <w:sz w:val="18"/>
              </w:rPr>
              <w:t xml:space="preserve">Tenant may add monthly</w:t>
            </w:r>
          </w:p>
        </w:tc>
      </w:tr>
      <w:tr>
        <w:tc>
          <w:tcPr>
            <w:tcW w:w="2355" w:type="dxa"/>
          </w:tcPr>
          <w:p>
            <w:pPr>
              <w:pStyle w:val="Compact"/>
              <w:spacing w:after="40"/>
              <w:jc w:val="left"/>
            </w:pPr>
            <w:r>
              <w:rPr>
                <w:sz w:val="18"/>
              </w:rPr>
              <w:t xml:space="preserve">Minutes language</w:t>
            </w:r>
          </w:p>
        </w:tc>
        <w:tc>
          <w:tcPr>
            <w:tcW w:w="1745" w:type="dxa"/>
          </w:tcPr>
          <w:p>
            <w:pPr>
              <w:pStyle w:val="Compact"/>
              <w:spacing w:after="40"/>
              <w:jc w:val="left"/>
            </w:pPr>
            <w:r>
              <w:rPr>
                <w:sz w:val="18"/>
              </w:rPr>
              <w:t xml:space="preserve">Tenant</w:t>
            </w:r>
          </w:p>
        </w:tc>
        <w:tc>
          <w:tcPr>
            <w:tcW w:w="2679" w:type="dxa"/>
          </w:tcPr>
          <w:p>
            <w:pPr>
              <w:pStyle w:val="Compact"/>
              <w:spacing w:after="40"/>
              <w:jc w:val="left"/>
            </w:pPr>
            <w:r>
              <w:rPr>
                <w:sz w:val="18"/>
              </w:rPr>
              <w:t xml:space="preserve">English; Hindi optional</w:t>
            </w:r>
          </w:p>
        </w:tc>
        <w:tc>
          <w:tcPr>
            <w:tcW w:w="2859" w:type="dxa"/>
          </w:tcPr>
          <w:p>
            <w:pPr>
              <w:pStyle w:val="Compact"/>
              <w:spacing w:after="40"/>
              <w:jc w:val="left"/>
            </w:pPr>
            <w:r>
              <w:rPr>
                <w:sz w:val="18"/>
              </w:rPr>
              <w:t xml:space="preserve">Commercial choice</w:t>
            </w:r>
          </w:p>
        </w:tc>
      </w:tr>
    </w:tbl>
    <w:bookmarkEnd w:id="485"/>
    <w:bookmarkStart w:id="486" w:name="Xaac9c642e0eaf65d2e180580d669a10ad50e1d1"/>
    <w:p>
      <w:pPr>
        <w:pStyle w:val="Heading3"/>
      </w:pPr>
      <w:r>
        <w:t xml:space="preserve">Menu and screens (workspace S, menu</w:t>
      </w:r>
      <w:r>
        <w:t xml:space="preserve"> </w:t>
      </w:r>
      <w:r>
        <w:rPr>
          <w:rStyle w:val="VerbatimChar"/>
        </w:rPr>
        <w:t xml:space="preserve">Governance</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04"/>
        <w:gridCol w:w="5880"/>
        <w:gridCol w:w="2054"/>
      </w:tblGrid>
      <w:tr>
        <w:trPr>
          <w:tblHeader w:val="true"/>
          <w:tblHeader w:val="true"/>
        </w:trPr>
        <w:tc>
          <w:tcPr>
            <w:tcW w:w="1704" w:type="dxa"/>
            <w:shd w:val="clear" w:color="auto" w:fill="1F3A5F"/>
          </w:tcPr>
          <w:p>
            <w:pPr>
              <w:pStyle w:val="Compact"/>
              <w:spacing w:after="40"/>
              <w:jc w:val="left"/>
            </w:pPr>
            <w:r>
              <w:rPr>
                <w:b/>
                <w:color w:val="FFFFFF"/>
                <w:sz w:val="18"/>
              </w:rPr>
              <w:t xml:space="preserve">Path</w:t>
            </w:r>
          </w:p>
        </w:tc>
        <w:tc>
          <w:tcPr>
            <w:tcW w:w="5880" w:type="dxa"/>
            <w:shd w:val="clear" w:color="auto" w:fill="1F3A5F"/>
          </w:tcPr>
          <w:p>
            <w:pPr>
              <w:pStyle w:val="Compact"/>
              <w:spacing w:after="40"/>
              <w:jc w:val="left"/>
            </w:pPr>
            <w:r>
              <w:rPr>
                <w:b/>
                <w:color w:val="FFFFFF"/>
                <w:sz w:val="18"/>
              </w:rPr>
              <w:t xml:space="preserve">Main screens and key actions</w:t>
            </w:r>
          </w:p>
        </w:tc>
        <w:tc>
          <w:tcPr>
            <w:tcW w:w="2054" w:type="dxa"/>
            <w:shd w:val="clear" w:color="auto" w:fill="1F3A5F"/>
          </w:tcPr>
          <w:p>
            <w:pPr>
              <w:pStyle w:val="Compact"/>
              <w:spacing w:after="40"/>
              <w:jc w:val="left"/>
            </w:pPr>
            <w:r>
              <w:rPr>
                <w:b/>
                <w:color w:val="FFFFFF"/>
                <w:sz w:val="18"/>
              </w:rPr>
              <w:t xml:space="preserve">Roles</w:t>
            </w:r>
          </w:p>
        </w:tc>
      </w:tr>
      <w:tr>
        <w:tc>
          <w:tcPr>
            <w:tcW w:w="1704" w:type="dxa"/>
          </w:tcPr>
          <w:p>
            <w:pPr>
              <w:pStyle w:val="Compact"/>
              <w:spacing w:after="40"/>
              <w:jc w:val="left"/>
            </w:pPr>
            <w:r>
              <w:rPr>
                <w:rStyle w:val="VerbatimChar"/>
                <w:sz w:val="18"/>
              </w:rPr>
              <w:t xml:space="preserve">Governance › Dashboard</w:t>
            </w:r>
          </w:p>
        </w:tc>
        <w:tc>
          <w:tcPr>
            <w:tcW w:w="5880" w:type="dxa"/>
          </w:tcPr>
          <w:p>
            <w:pPr>
              <w:pStyle w:val="Compact"/>
              <w:spacing w:after="40"/>
              <w:jc w:val="left"/>
            </w:pPr>
            <w:r>
              <w:rPr>
                <w:sz w:val="18"/>
              </w:rPr>
              <w:t xml:space="preserve">Calendar heat-map, overdue filings, composition breaches, next meetings, directors’ declarations due; click-through to the item</w:t>
            </w:r>
          </w:p>
        </w:tc>
        <w:tc>
          <w:tcPr>
            <w:tcW w:w="2054" w:type="dxa"/>
          </w:tcPr>
          <w:p>
            <w:pPr>
              <w:pStyle w:val="Compact"/>
              <w:spacing w:after="40"/>
              <w:jc w:val="left"/>
            </w:pPr>
            <w:r>
              <w:rPr>
                <w:sz w:val="18"/>
              </w:rPr>
              <w:t xml:space="preserve">CS, Compliance Officer, MD/CEO (read)</w:t>
            </w:r>
          </w:p>
        </w:tc>
      </w:tr>
      <w:tr>
        <w:tc>
          <w:tcPr>
            <w:tcW w:w="1704" w:type="dxa"/>
          </w:tcPr>
          <w:p>
            <w:pPr>
              <w:pStyle w:val="Compact"/>
              <w:spacing w:after="40"/>
              <w:jc w:val="left"/>
            </w:pPr>
            <w:r>
              <w:rPr>
                <w:rStyle w:val="VerbatimChar"/>
                <w:sz w:val="18"/>
              </w:rPr>
              <w:t xml:space="preserve">Governance › Board › Directors</w:t>
            </w:r>
          </w:p>
        </w:tc>
        <w:tc>
          <w:tcPr>
            <w:tcW w:w="5880" w:type="dxa"/>
          </w:tcPr>
          <w:p>
            <w:pPr>
              <w:pStyle w:val="Compact"/>
              <w:spacing w:after="40"/>
              <w:jc w:val="left"/>
            </w:pPr>
            <w:r>
              <w:rPr>
                <w:sz w:val="18"/>
              </w:rPr>
              <w:t xml:space="preserve">List (filters: category, DIN status, independence, committee, term end); director 360 (declarations, other directorships, checks, KYC due);</w:t>
            </w:r>
            <w:r>
              <w:rPr>
                <w:sz w:val="18"/>
              </w:rPr>
              <w:t xml:space="preserve"> </w:t>
            </w:r>
            <w:r>
              <w:rPr>
                <w:bCs/>
                <w:b/>
                <w:sz w:val="18"/>
              </w:rPr>
              <w:t xml:space="preserve">Appoint</w:t>
            </w:r>
            <w:r>
              <w:rPr>
                <w:sz w:val="18"/>
              </w:rPr>
              <w:t xml:space="preserve"> </w:t>
            </w:r>
            <w:r>
              <w:rPr>
                <w:sz w:val="18"/>
              </w:rPr>
              <w:t xml:space="preserve">wizard walking the GV1.2 states with blocking reasons and citations;</w:t>
            </w:r>
            <w:r>
              <w:rPr>
                <w:sz w:val="18"/>
              </w:rPr>
              <w:t xml:space="preserve"> </w:t>
            </w:r>
            <w:r>
              <w:rPr>
                <w:bCs/>
                <w:b/>
                <w:sz w:val="18"/>
              </w:rPr>
              <w:t xml:space="preserve">Cessation</w:t>
            </w:r>
            <w:r>
              <w:rPr>
                <w:sz w:val="18"/>
              </w:rPr>
              <w:t xml:space="preserve"> </w:t>
            </w:r>
            <w:r>
              <w:rPr>
                <w:sz w:val="18"/>
              </w:rPr>
              <w:t xml:space="preserve">wizard re-running composition; bulk</w:t>
            </w:r>
            <w:r>
              <w:rPr>
                <w:sz w:val="18"/>
              </w:rPr>
              <w:t xml:space="preserve"> </w:t>
            </w:r>
            <w:r>
              <w:rPr>
                <w:sz w:val="18"/>
              </w:rPr>
              <w:t xml:space="preserve">“</w:t>
            </w:r>
            <w:r>
              <w:rPr>
                <w:sz w:val="18"/>
              </w:rPr>
              <w:t xml:space="preserve">send annual declarations</w:t>
            </w:r>
            <w:r>
              <w:rPr>
                <w:sz w:val="18"/>
              </w:rPr>
              <w:t xml:space="preserve">”</w:t>
            </w:r>
          </w:p>
        </w:tc>
        <w:tc>
          <w:tcPr>
            <w:tcW w:w="2054" w:type="dxa"/>
          </w:tcPr>
          <w:p>
            <w:pPr>
              <w:pStyle w:val="Compact"/>
              <w:spacing w:after="40"/>
              <w:jc w:val="left"/>
            </w:pPr>
            <w:r>
              <w:rPr>
                <w:sz w:val="18"/>
              </w:rPr>
              <w:t xml:space="preserve">CS maker; Compliance Officer checker</w:t>
            </w:r>
          </w:p>
        </w:tc>
      </w:tr>
      <w:tr>
        <w:tc>
          <w:tcPr>
            <w:tcW w:w="1704" w:type="dxa"/>
          </w:tcPr>
          <w:p>
            <w:pPr>
              <w:pStyle w:val="Compact"/>
              <w:spacing w:after="40"/>
              <w:jc w:val="left"/>
            </w:pPr>
            <w:r>
              <w:rPr>
                <w:rStyle w:val="VerbatimChar"/>
                <w:sz w:val="18"/>
              </w:rPr>
              <w:t xml:space="preserve">Governance › Board › KMP</w:t>
            </w:r>
          </w:p>
        </w:tc>
        <w:tc>
          <w:tcPr>
            <w:tcW w:w="5880" w:type="dxa"/>
          </w:tcPr>
          <w:p>
            <w:pPr>
              <w:pStyle w:val="Compact"/>
              <w:spacing w:after="40"/>
              <w:jc w:val="left"/>
            </w:pPr>
            <w:r>
              <w:rPr>
                <w:sz w:val="18"/>
              </w:rPr>
              <w:t xml:space="preserve">KMP list with reporting-line check results and vacancy timers; redesignation wizard emitting</w:t>
            </w:r>
            <w:r>
              <w:rPr>
                <w:sz w:val="18"/>
              </w:rPr>
              <w:t xml:space="preserve"> </w:t>
            </w:r>
            <w:r>
              <w:rPr>
                <w:rStyle w:val="VerbatimChar"/>
                <w:sz w:val="18"/>
              </w:rPr>
              <w:t xml:space="preserve">KmpChanged</w:t>
            </w:r>
          </w:p>
        </w:tc>
        <w:tc>
          <w:tcPr>
            <w:tcW w:w="2054" w:type="dxa"/>
          </w:tcPr>
          <w:p>
            <w:pPr>
              <w:pStyle w:val="Compact"/>
              <w:spacing w:after="40"/>
              <w:jc w:val="left"/>
            </w:pPr>
            <w:r>
              <w:rPr>
                <w:sz w:val="18"/>
              </w:rPr>
              <w:t xml:space="preserve">CS, HR head (read)</w:t>
            </w:r>
          </w:p>
        </w:tc>
      </w:tr>
      <w:tr>
        <w:tc>
          <w:tcPr>
            <w:tcW w:w="1704" w:type="dxa"/>
          </w:tcPr>
          <w:p>
            <w:pPr>
              <w:pStyle w:val="Compact"/>
              <w:spacing w:after="40"/>
              <w:jc w:val="left"/>
            </w:pPr>
            <w:r>
              <w:rPr>
                <w:rStyle w:val="VerbatimChar"/>
                <w:sz w:val="18"/>
              </w:rPr>
              <w:t xml:space="preserve">Governance › Committees</w:t>
            </w:r>
          </w:p>
        </w:tc>
        <w:tc>
          <w:tcPr>
            <w:tcW w:w="5880" w:type="dxa"/>
          </w:tcPr>
          <w:p>
            <w:pPr>
              <w:pStyle w:val="Compact"/>
              <w:spacing w:after="40"/>
              <w:jc w:val="left"/>
            </w:pPr>
            <w:r>
              <w:rPr>
                <w:sz w:val="18"/>
              </w:rPr>
              <w:t xml:space="preserve">Committee list; live composition checker shown before save; charter versions; mandatory-item tracker per window</w:t>
            </w:r>
          </w:p>
        </w:tc>
        <w:tc>
          <w:tcPr>
            <w:tcW w:w="2054" w:type="dxa"/>
          </w:tcPr>
          <w:p>
            <w:pPr>
              <w:pStyle w:val="Compact"/>
              <w:spacing w:after="40"/>
              <w:jc w:val="left"/>
            </w:pPr>
            <w:r>
              <w:rPr>
                <w:sz w:val="18"/>
              </w:rPr>
              <w:t xml:space="preserve">CS</w:t>
            </w:r>
          </w:p>
        </w:tc>
      </w:tr>
      <w:tr>
        <w:tc>
          <w:tcPr>
            <w:tcW w:w="1704" w:type="dxa"/>
          </w:tcPr>
          <w:p>
            <w:pPr>
              <w:pStyle w:val="Compact"/>
              <w:spacing w:after="40"/>
              <w:jc w:val="left"/>
            </w:pPr>
            <w:r>
              <w:rPr>
                <w:rStyle w:val="VerbatimChar"/>
                <w:sz w:val="18"/>
              </w:rPr>
              <w:t xml:space="preserve">Governance › Meetings</w:t>
            </w:r>
          </w:p>
        </w:tc>
        <w:tc>
          <w:tcPr>
            <w:tcW w:w="5880" w:type="dxa"/>
          </w:tcPr>
          <w:p>
            <w:pPr>
              <w:pStyle w:val="Compact"/>
              <w:spacing w:after="40"/>
              <w:jc w:val="left"/>
            </w:pPr>
            <w:r>
              <w:rPr>
                <w:sz w:val="18"/>
              </w:rPr>
              <w:t xml:space="preserve">Calendar and list (filters: type, committee, state); meeting workspace tabs Notice, Agenda, Board pack, Attendance and quorum, Voting, Minutes, Action items; actions Schedule, Send notice, Circulate pack, Start session, Record votes, Adjourn, Circulate draft, Sign, Enter; in-session keyboard shortcuts (next item, record vote, mark recusal); circular-resolution wizard</w:t>
            </w:r>
          </w:p>
        </w:tc>
        <w:tc>
          <w:tcPr>
            <w:tcW w:w="2054" w:type="dxa"/>
          </w:tcPr>
          <w:p>
            <w:pPr>
              <w:pStyle w:val="Compact"/>
              <w:spacing w:after="40"/>
              <w:jc w:val="left"/>
            </w:pPr>
            <w:r>
              <w:rPr>
                <w:sz w:val="18"/>
              </w:rPr>
              <w:t xml:space="preserve">CS; chair signs; directors through the portal</w:t>
            </w:r>
          </w:p>
        </w:tc>
      </w:tr>
      <w:tr>
        <w:tc>
          <w:tcPr>
            <w:tcW w:w="1704" w:type="dxa"/>
          </w:tcPr>
          <w:p>
            <w:pPr>
              <w:pStyle w:val="Compact"/>
              <w:spacing w:after="40"/>
              <w:jc w:val="left"/>
            </w:pPr>
            <w:r>
              <w:rPr>
                <w:rStyle w:val="VerbatimChar"/>
                <w:sz w:val="18"/>
              </w:rPr>
              <w:t xml:space="preserve">Governance › Resolutions</w:t>
            </w:r>
          </w:p>
        </w:tc>
        <w:tc>
          <w:tcPr>
            <w:tcW w:w="5880" w:type="dxa"/>
          </w:tcPr>
          <w:p>
            <w:pPr>
              <w:pStyle w:val="Compact"/>
              <w:spacing w:after="40"/>
              <w:jc w:val="left"/>
            </w:pPr>
            <w:r>
              <w:rPr>
                <w:sz w:val="18"/>
              </w:rPr>
              <w:t xml:space="preserve">Register with filing status and certified-true-copy issue log</w:t>
            </w:r>
          </w:p>
        </w:tc>
        <w:tc>
          <w:tcPr>
            <w:tcW w:w="2054" w:type="dxa"/>
          </w:tcPr>
          <w:p>
            <w:pPr>
              <w:pStyle w:val="Compact"/>
              <w:spacing w:after="40"/>
              <w:jc w:val="left"/>
            </w:pPr>
            <w:r>
              <w:rPr>
                <w:sz w:val="18"/>
              </w:rPr>
              <w:t xml:space="preserve">CS</w:t>
            </w:r>
          </w:p>
        </w:tc>
      </w:tr>
      <w:tr>
        <w:tc>
          <w:tcPr>
            <w:tcW w:w="1704" w:type="dxa"/>
          </w:tcPr>
          <w:p>
            <w:pPr>
              <w:pStyle w:val="Compact"/>
              <w:spacing w:after="40"/>
              <w:jc w:val="left"/>
            </w:pPr>
            <w:r>
              <w:rPr>
                <w:rStyle w:val="VerbatimChar"/>
                <w:sz w:val="18"/>
              </w:rPr>
              <w:t xml:space="preserve">Governance › Registers</w:t>
            </w:r>
          </w:p>
        </w:tc>
        <w:tc>
          <w:tcPr>
            <w:tcW w:w="5880" w:type="dxa"/>
          </w:tcPr>
          <w:p>
            <w:pPr>
              <w:pStyle w:val="Compact"/>
              <w:spacing w:after="40"/>
              <w:jc w:val="left"/>
            </w:pPr>
            <w:r>
              <w:rPr>
                <w:sz w:val="18"/>
              </w:rPr>
              <w:t xml:space="preserve">Register picker (MGT-1 to SH-10, BEN-3, CHG-7); as-of view; export PDF/A and XLSX; break report against the benpos import</w:t>
            </w:r>
          </w:p>
        </w:tc>
        <w:tc>
          <w:tcPr>
            <w:tcW w:w="2054" w:type="dxa"/>
          </w:tcPr>
          <w:p>
            <w:pPr>
              <w:pStyle w:val="Compact"/>
              <w:spacing w:after="40"/>
              <w:jc w:val="left"/>
            </w:pPr>
            <w:r>
              <w:rPr>
                <w:sz w:val="18"/>
              </w:rPr>
              <w:t xml:space="preserve">CS; auditors read-only (AU7)</w:t>
            </w:r>
          </w:p>
        </w:tc>
      </w:tr>
      <w:tr>
        <w:tc>
          <w:tcPr>
            <w:tcW w:w="1704" w:type="dxa"/>
          </w:tcPr>
          <w:p>
            <w:pPr>
              <w:pStyle w:val="Compact"/>
              <w:spacing w:after="40"/>
              <w:jc w:val="left"/>
            </w:pPr>
            <w:r>
              <w:rPr>
                <w:rStyle w:val="VerbatimChar"/>
                <w:sz w:val="18"/>
              </w:rPr>
              <w:t xml:space="preserve">Governance › MCA filings</w:t>
            </w:r>
          </w:p>
        </w:tc>
        <w:tc>
          <w:tcPr>
            <w:tcW w:w="5880" w:type="dxa"/>
          </w:tcPr>
          <w:p>
            <w:pPr>
              <w:pStyle w:val="Compact"/>
              <w:spacing w:after="40"/>
              <w:jc w:val="left"/>
            </w:pPr>
            <w:r>
              <w:rPr>
                <w:sz w:val="18"/>
              </w:rPr>
              <w:t xml:space="preserve">Queue by state (DUE to CLOSED); form detail with checklist, attachments, certifier and SRN capture; bulk assign certifier; late-fee estimate</w:t>
            </w:r>
          </w:p>
        </w:tc>
        <w:tc>
          <w:tcPr>
            <w:tcW w:w="2054" w:type="dxa"/>
          </w:tcPr>
          <w:p>
            <w:pPr>
              <w:pStyle w:val="Compact"/>
              <w:spacing w:after="40"/>
              <w:jc w:val="left"/>
            </w:pPr>
            <w:r>
              <w:rPr>
                <w:sz w:val="18"/>
              </w:rPr>
              <w:t xml:space="preserve">CS maker; Compliance Officer checker</w:t>
            </w:r>
          </w:p>
        </w:tc>
      </w:tr>
      <w:tr>
        <w:tc>
          <w:tcPr>
            <w:tcW w:w="1704" w:type="dxa"/>
          </w:tcPr>
          <w:p>
            <w:pPr>
              <w:pStyle w:val="Compact"/>
              <w:spacing w:after="40"/>
              <w:jc w:val="left"/>
            </w:pPr>
            <w:r>
              <w:rPr>
                <w:rStyle w:val="VerbatimChar"/>
                <w:sz w:val="18"/>
              </w:rPr>
              <w:t xml:space="preserve">Governance › Calendar</w:t>
            </w:r>
          </w:p>
        </w:tc>
        <w:tc>
          <w:tcPr>
            <w:tcW w:w="5880" w:type="dxa"/>
          </w:tcPr>
          <w:p>
            <w:pPr>
              <w:pStyle w:val="Compact"/>
              <w:spacing w:after="40"/>
              <w:jc w:val="left"/>
            </w:pPr>
            <w:r>
              <w:rPr>
                <w:sz w:val="18"/>
              </w:rPr>
              <w:t xml:space="preserve">Integrated calendar with saved views per user and an iCal feed carrying titles only (never UPSI)</w:t>
            </w:r>
          </w:p>
        </w:tc>
        <w:tc>
          <w:tcPr>
            <w:tcW w:w="2054" w:type="dxa"/>
          </w:tcPr>
          <w:p>
            <w:pPr>
              <w:pStyle w:val="Compact"/>
              <w:spacing w:after="40"/>
              <w:jc w:val="left"/>
            </w:pPr>
            <w:r>
              <w:rPr>
                <w:sz w:val="18"/>
              </w:rPr>
              <w:t xml:space="preserve">CS, CCO, owners</w:t>
            </w:r>
          </w:p>
        </w:tc>
      </w:tr>
      <w:tr>
        <w:tc>
          <w:tcPr>
            <w:tcW w:w="1704" w:type="dxa"/>
          </w:tcPr>
          <w:p>
            <w:pPr>
              <w:pStyle w:val="Compact"/>
              <w:spacing w:after="40"/>
              <w:jc w:val="left"/>
            </w:pPr>
            <w:r>
              <w:rPr>
                <w:sz w:val="18"/>
              </w:rPr>
              <w:t xml:space="preserve">Director portal (external, MFA)</w:t>
            </w:r>
          </w:p>
        </w:tc>
        <w:tc>
          <w:tcPr>
            <w:tcW w:w="5880" w:type="dxa"/>
          </w:tcPr>
          <w:p>
            <w:pPr>
              <w:pStyle w:val="Compact"/>
              <w:spacing w:after="40"/>
              <w:jc w:val="left"/>
            </w:pPr>
            <w:r>
              <w:rPr>
                <w:sz w:val="18"/>
              </w:rPr>
              <w:t xml:space="preserve">My meetings, board packs, declarations to sign, circular-resolution votes; no loan data</w:t>
            </w:r>
          </w:p>
        </w:tc>
        <w:tc>
          <w:tcPr>
            <w:tcW w:w="2054" w:type="dxa"/>
          </w:tcPr>
          <w:p>
            <w:pPr>
              <w:pStyle w:val="Compact"/>
              <w:spacing w:after="40"/>
              <w:jc w:val="left"/>
            </w:pPr>
            <w:r>
              <w:rPr>
                <w:sz w:val="18"/>
              </w:rPr>
              <w:t xml:space="preserve">Directors</w:t>
            </w:r>
          </w:p>
        </w:tc>
      </w:tr>
    </w:tbl>
    <w:p>
      <w:pPr>
        <w:pStyle w:val="BodyText"/>
      </w:pPr>
      <w:r>
        <w:t xml:space="preserve">Empty states guide the user to the missing prerequisite (for example</w:t>
      </w:r>
      <w:r>
        <w:t xml:space="preserve"> </w:t>
      </w:r>
      <w:r>
        <w:t xml:space="preserve">“</w:t>
      </w:r>
      <w:r>
        <w:t xml:space="preserve">Complete the governance profile first</w:t>
      </w:r>
      <w:r>
        <w:t xml:space="preserve">”</w:t>
      </w:r>
      <w:r>
        <w:t xml:space="preserve">); a blocked action shows the rule, its citation and who can resolve it. Every list exports to XLSX within the user’s scope.</w:t>
      </w:r>
    </w:p>
    <w:p>
      <w:r>
        <w:pict>
          <v:rect style="width:0;height:1.5pt" o:hralign="center" o:hrstd="t" o:hr="t"/>
        </w:pict>
      </w:r>
    </w:p>
    <w:bookmarkEnd w:id="486"/>
    <w:bookmarkEnd w:id="487"/>
    <w:bookmarkStart w:id="497" w:name="X81db6db038fce09633f034c2c1e91208e95ab11"/>
    <w:p>
      <w:pPr>
        <w:pStyle w:val="Heading2"/>
      </w:pPr>
      <w:r>
        <w:t xml:space="preserve">GV4. Listed-company compliance (LODR, PIT, ICDR)</w:t>
      </w:r>
    </w:p>
    <w:p>
      <w:pPr>
        <w:pStyle w:val="FirstParagraph"/>
      </w:pPr>
      <w:r>
        <w:t xml:space="preserve">The</w:t>
      </w:r>
      <w:r>
        <w:t xml:space="preserve"> </w:t>
      </w:r>
      <w:r>
        <w:rPr>
          <w:rStyle w:val="VerbatimChar"/>
        </w:rPr>
        <w:t xml:space="preserve">Listed Entity</w:t>
      </w:r>
      <w:r>
        <w:t xml:space="preserve"> </w:t>
      </w:r>
      <w:r>
        <w:t xml:space="preserve">pack activates from</w:t>
      </w:r>
      <w:r>
        <w:t xml:space="preserve"> </w:t>
      </w:r>
      <w:r>
        <w:rPr>
          <w:rStyle w:val="VerbatimChar"/>
        </w:rPr>
        <w:t xml:space="preserve">listing_status</w:t>
      </w:r>
      <w:r>
        <w:t xml:space="preserve">. Every clock runs from the event timestamp, not from user entry. Values are rule-pack defaults [VERIFY each on sebi.gov.in before go-live].</w:t>
      </w:r>
    </w:p>
    <w:bookmarkStart w:id="488" w:name="gv4.1-applicability"/>
    <w:p>
      <w:pPr>
        <w:pStyle w:val="Heading3"/>
      </w:pPr>
      <w:r>
        <w:t xml:space="preserve">GV4.1 Applicability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27"/>
        <w:gridCol w:w="7811"/>
      </w:tblGrid>
      <w:tr>
        <w:trPr>
          <w:tblHeader w:val="true"/>
          <w:tblHeader w:val="true"/>
        </w:trPr>
        <w:tc>
          <w:tcPr>
            <w:tcW w:w="1827" w:type="dxa"/>
            <w:shd w:val="clear" w:color="auto" w:fill="1F3A5F"/>
          </w:tcPr>
          <w:p>
            <w:pPr>
              <w:pStyle w:val="Compact"/>
              <w:spacing w:after="40"/>
              <w:jc w:val="left"/>
            </w:pPr>
            <w:r>
              <w:rPr>
                <w:b/>
                <w:color w:val="FFFFFF"/>
                <w:sz w:val="18"/>
              </w:rPr>
              <w:t xml:space="preserve">Status</w:t>
            </w:r>
          </w:p>
        </w:tc>
        <w:tc>
          <w:tcPr>
            <w:tcW w:w="7811" w:type="dxa"/>
            <w:shd w:val="clear" w:color="auto" w:fill="1F3A5F"/>
          </w:tcPr>
          <w:p>
            <w:pPr>
              <w:pStyle w:val="Compact"/>
              <w:spacing w:after="40"/>
              <w:jc w:val="left"/>
            </w:pPr>
            <w:r>
              <w:rPr>
                <w:b/>
                <w:color w:val="FFFFFF"/>
                <w:sz w:val="18"/>
              </w:rPr>
              <w:t xml:space="preserve">Packs</w:t>
            </w:r>
          </w:p>
        </w:tc>
      </w:tr>
      <w:tr>
        <w:tc>
          <w:tcPr>
            <w:tcW w:w="1827" w:type="dxa"/>
          </w:tcPr>
          <w:p>
            <w:pPr>
              <w:pStyle w:val="Compact"/>
              <w:spacing w:after="40"/>
              <w:jc w:val="left"/>
            </w:pPr>
            <w:r>
              <w:rPr>
                <w:sz w:val="18"/>
              </w:rPr>
              <w:t xml:space="preserve">Equity, main board</w:t>
            </w:r>
          </w:p>
        </w:tc>
        <w:tc>
          <w:tcPr>
            <w:tcW w:w="7811" w:type="dxa"/>
          </w:tcPr>
          <w:p>
            <w:pPr>
              <w:pStyle w:val="Compact"/>
              <w:spacing w:after="40"/>
              <w:jc w:val="left"/>
            </w:pPr>
            <w:r>
              <w:rPr>
                <w:sz w:val="18"/>
              </w:rPr>
              <w:t xml:space="preserve">LODR Reg 15–48 incl. Reg 17–27; PIT; SAST disclosures received; BRSR and RMC for top 1,000</w:t>
            </w:r>
          </w:p>
        </w:tc>
      </w:tr>
      <w:tr>
        <w:tc>
          <w:tcPr>
            <w:tcW w:w="1827" w:type="dxa"/>
          </w:tcPr>
          <w:p>
            <w:pPr>
              <w:pStyle w:val="Compact"/>
              <w:spacing w:after="40"/>
              <w:jc w:val="left"/>
            </w:pPr>
            <w:r>
              <w:rPr>
                <w:sz w:val="18"/>
              </w:rPr>
              <w:t xml:space="preserve">Equity, SME</w:t>
            </w:r>
          </w:p>
        </w:tc>
        <w:tc>
          <w:tcPr>
            <w:tcW w:w="7811" w:type="dxa"/>
          </w:tcPr>
          <w:p>
            <w:pPr>
              <w:pStyle w:val="Compact"/>
              <w:spacing w:after="40"/>
              <w:jc w:val="left"/>
            </w:pPr>
            <w:r>
              <w:rPr>
                <w:sz w:val="18"/>
              </w:rPr>
              <w:t xml:space="preserve">Governance exemptions per Reg 15(2) [VERIFY], but Reg 23 RPT rules apply after the 2025 SME reforms</w:t>
            </w:r>
          </w:p>
        </w:tc>
      </w:tr>
      <w:tr>
        <w:tc>
          <w:tcPr>
            <w:tcW w:w="1827" w:type="dxa"/>
          </w:tcPr>
          <w:p>
            <w:pPr>
              <w:pStyle w:val="Compact"/>
              <w:spacing w:after="40"/>
              <w:jc w:val="left"/>
            </w:pPr>
            <w:r>
              <w:rPr>
                <w:sz w:val="18"/>
              </w:rPr>
              <w:t xml:space="preserve">Debt-listed</w:t>
            </w:r>
          </w:p>
        </w:tc>
        <w:tc>
          <w:tcPr>
            <w:tcW w:w="7811" w:type="dxa"/>
          </w:tcPr>
          <w:p>
            <w:pPr>
              <w:pStyle w:val="Compact"/>
              <w:spacing w:after="40"/>
              <w:jc w:val="left"/>
            </w:pPr>
            <w:r>
              <w:rPr>
                <w:sz w:val="18"/>
              </w:rPr>
              <w:t xml:space="preserve">LODR Chapter V (Reg 50–62); PIT for debt UPSI; SEBI NCS Regulations 2021 [VERIFY]</w:t>
            </w:r>
          </w:p>
        </w:tc>
      </w:tr>
      <w:tr>
        <w:tc>
          <w:tcPr>
            <w:tcW w:w="1827" w:type="dxa"/>
          </w:tcPr>
          <w:p>
            <w:pPr>
              <w:pStyle w:val="Compact"/>
              <w:spacing w:after="40"/>
              <w:jc w:val="left"/>
            </w:pPr>
            <w:r>
              <w:rPr>
                <w:sz w:val="18"/>
              </w:rPr>
              <w:t xml:space="preserve">HVDLE</w:t>
            </w:r>
          </w:p>
        </w:tc>
        <w:tc>
          <w:tcPr>
            <w:tcW w:w="7811" w:type="dxa"/>
          </w:tcPr>
          <w:p>
            <w:pPr>
              <w:pStyle w:val="Compact"/>
              <w:spacing w:after="40"/>
              <w:jc w:val="left"/>
            </w:pPr>
            <w:r>
              <w:rPr>
                <w:sz w:val="18"/>
              </w:rPr>
              <w:t xml:space="preserve">Outstanding listed non-convertible debt ≥</w:t>
            </w:r>
            <w:r>
              <w:rPr>
                <w:sz w:val="18"/>
              </w:rPr>
              <w:t xml:space="preserve"> </w:t>
            </w:r>
            <w:r>
              <w:rPr>
                <w:bCs/>
                <w:b/>
                <w:sz w:val="18"/>
              </w:rPr>
              <w:t xml:space="preserve">₹5,000 crore</w:t>
            </w:r>
            <w:r>
              <w:rPr>
                <w:sz w:val="18"/>
              </w:rPr>
              <w:t xml:space="preserve"> </w:t>
            </w:r>
            <w:r>
              <w:rPr>
                <w:sz w:val="18"/>
              </w:rPr>
              <w:t xml:space="preserve">from</w:t>
            </w:r>
            <w:r>
              <w:rPr>
                <w:sz w:val="18"/>
              </w:rPr>
              <w:t xml:space="preserve"> </w:t>
            </w:r>
            <w:r>
              <w:rPr>
                <w:bCs/>
                <w:b/>
                <w:sz w:val="18"/>
              </w:rPr>
              <w:t xml:space="preserve">22 Jan 2026</w:t>
            </w:r>
            <w:r>
              <w:rPr>
                <w:sz w:val="18"/>
              </w:rPr>
              <w:t xml:space="preserve"> </w:t>
            </w:r>
            <w:r>
              <w:rPr>
                <w:sz w:val="18"/>
              </w:rPr>
              <w:t xml:space="preserve">(raised from ₹1,000 crore): Chapter V-A governance (Reg 62A onward; 62D board, 62K RPT, 62L subsidiaries, 62M secretarial audit, 62P committees, 62Q governance report) [VERIFY]; entities exiting because of the new threshold are not held to the 3-year sunset</w:t>
            </w:r>
          </w:p>
        </w:tc>
      </w:tr>
      <w:tr>
        <w:tc>
          <w:tcPr>
            <w:tcW w:w="1827" w:type="dxa"/>
          </w:tcPr>
          <w:p>
            <w:pPr>
              <w:pStyle w:val="Compact"/>
              <w:spacing w:after="40"/>
              <w:jc w:val="left"/>
            </w:pPr>
            <w:r>
              <w:rPr>
                <w:sz w:val="18"/>
              </w:rPr>
              <w:t xml:space="preserve">Preparing an issue</w:t>
            </w:r>
          </w:p>
        </w:tc>
        <w:tc>
          <w:tcPr>
            <w:tcW w:w="7811" w:type="dxa"/>
          </w:tcPr>
          <w:p>
            <w:pPr>
              <w:pStyle w:val="Compact"/>
              <w:spacing w:after="40"/>
              <w:jc w:val="left"/>
            </w:pPr>
            <w:r>
              <w:rPr>
                <w:sz w:val="18"/>
              </w:rPr>
              <w:t xml:space="preserve">ICDR data room (GV4.6)</w:t>
            </w:r>
          </w:p>
        </w:tc>
      </w:tr>
    </w:tbl>
    <w:p>
      <w:pPr>
        <w:pStyle w:val="BodyText"/>
      </w:pPr>
      <w:r>
        <w:t xml:space="preserve">The HVDLE detector reads outstanding listed debt from M10 daily and opens an onboarding task set on crossing.</w:t>
      </w:r>
    </w:p>
    <w:bookmarkEnd w:id="488"/>
    <w:bookmarkStart w:id="489" w:name="gv4.2-governance-reg-1721-24-24a-27"/>
    <w:p>
      <w:pPr>
        <w:pStyle w:val="Heading3"/>
      </w:pPr>
      <w:r>
        <w:t xml:space="preserve">GV4.2 Governance (Reg 17–21, 24, 24A, 27)</w:t>
      </w:r>
    </w:p>
    <w:p>
      <w:pPr>
        <w:numPr>
          <w:ilvl w:val="0"/>
          <w:numId w:val="1441"/>
        </w:numPr>
        <w:pStyle w:val="Compact"/>
      </w:pPr>
      <w:r>
        <w:rPr>
          <w:bCs/>
          <w:b/>
        </w:rPr>
        <w:t xml:space="preserve">Reg 17</w:t>
      </w:r>
      <w:r>
        <w:t xml:space="preserve"> </w:t>
      </w:r>
      <w:r>
        <w:t xml:space="preserve">[VERIFY]: ≥ 6 directors (top 2,000); woman independent director (top 1,000); half independent if the chair is executive or promoter-related, else one-third; ≥ 4 meetings, gap ≤ 120 days; quorum one-third or 3 incl. 1 independent; CEO/CFO certificate (Reg 17(8)).</w:t>
      </w:r>
    </w:p>
    <w:p>
      <w:pPr>
        <w:numPr>
          <w:ilvl w:val="0"/>
          <w:numId w:val="1441"/>
        </w:numPr>
        <w:pStyle w:val="Compact"/>
      </w:pPr>
      <w:r>
        <w:rPr>
          <w:bCs/>
          <w:b/>
        </w:rPr>
        <w:t xml:space="preserve">Reg 18–21</w:t>
      </w:r>
      <w:r>
        <w:t xml:space="preserve"> </w:t>
      </w:r>
      <w:r>
        <w:t xml:space="preserve">committees: values in the GV1.4 pack; stricter listed values override.</w:t>
      </w:r>
    </w:p>
    <w:p>
      <w:pPr>
        <w:numPr>
          <w:ilvl w:val="0"/>
          <w:numId w:val="1441"/>
        </w:numPr>
        <w:pStyle w:val="Compact"/>
      </w:pPr>
      <w:r>
        <w:rPr>
          <w:bCs/>
          <w:b/>
        </w:rPr>
        <w:t xml:space="preserve">Reg 24</w:t>
      </w:r>
      <w:r>
        <w:t xml:space="preserve"> </w:t>
      </w:r>
      <w:r>
        <w:t xml:space="preserve">material subsidiaries (income or net worth above 10% of consolidated, from AC3) and their governance [VERIFY thresholds].</w:t>
      </w:r>
    </w:p>
    <w:p>
      <w:pPr>
        <w:numPr>
          <w:ilvl w:val="0"/>
          <w:numId w:val="1441"/>
        </w:numPr>
        <w:pStyle w:val="Compact"/>
      </w:pPr>
      <w:r>
        <w:rPr>
          <w:bCs/>
          <w:b/>
        </w:rPr>
        <w:t xml:space="preserve">Reg 24A</w:t>
      </w:r>
      <w:r>
        <w:t xml:space="preserve"> </w:t>
      </w:r>
      <w:r>
        <w:t xml:space="preserve">secretarial audit: in AU6.</w:t>
      </w:r>
      <w:r>
        <w:t xml:space="preserve"> </w:t>
      </w:r>
      <w:r>
        <w:rPr>
          <w:bCs/>
          <w:b/>
        </w:rPr>
        <w:t xml:space="preserve">Conflict guard-rail:</w:t>
      </w:r>
      <w:r>
        <w:t xml:space="preserve"> </w:t>
      </w:r>
      <w:r>
        <w:t xml:space="preserve">if any Infrabyx or LawDocs group professional is proposed as the tenant’s secretarial auditor, flag the Reg 24A prohibited-services conflict, because the group supplies the tenant’s compliance system.</w:t>
      </w:r>
    </w:p>
    <w:p>
      <w:pPr>
        <w:numPr>
          <w:ilvl w:val="0"/>
          <w:numId w:val="1441"/>
        </w:numPr>
        <w:pStyle w:val="Compact"/>
      </w:pPr>
      <w:r>
        <w:rPr>
          <w:bCs/>
          <w:b/>
        </w:rPr>
        <w:t xml:space="preserve">Reg 27(2)</w:t>
      </w:r>
      <w:r>
        <w:t xml:space="preserve"> </w:t>
      </w:r>
      <w:r>
        <w:t xml:space="preserve">integrated governance filing within 30 days of quarter end [VERIFY], assembled from GV1–GV3.</w:t>
      </w:r>
    </w:p>
    <w:bookmarkEnd w:id="489"/>
    <w:bookmarkStart w:id="490" w:name="Xbb364b0572de2c5720ab4492562e041e0b3978f"/>
    <w:p>
      <w:pPr>
        <w:pStyle w:val="Heading3"/>
      </w:pPr>
      <w:r>
        <w:t xml:space="preserve">GV4.3 Related-party transactions (Reg 23; CA13 s.188)</w:t>
      </w:r>
    </w:p>
    <w:p>
      <w:pPr>
        <w:numPr>
          <w:ilvl w:val="0"/>
          <w:numId w:val="1442"/>
        </w:numPr>
        <w:pStyle w:val="Compact"/>
      </w:pPr>
      <w:r>
        <w:t xml:space="preserve">Related-party master extends</w:t>
      </w:r>
      <w:r>
        <w:t xml:space="preserve"> </w:t>
      </w:r>
      <w:r>
        <w:rPr>
          <w:rStyle w:val="VerbatimChar"/>
        </w:rPr>
        <w:t xml:space="preserve">related_party</w:t>
      </w:r>
      <w:r>
        <w:t xml:space="preserve"> </w:t>
      </w:r>
      <w:r>
        <w:t xml:space="preserve">and the CRM 13K register with LODR (Reg 2(1)(zb), (zc)), CA13 s.2(76) and Ind AS 24 flags, each stored separately.</w:t>
      </w:r>
    </w:p>
    <w:p>
      <w:pPr>
        <w:numPr>
          <w:ilvl w:val="0"/>
          <w:numId w:val="1442"/>
        </w:numPr>
        <w:pStyle w:val="Compact"/>
      </w:pPr>
      <w:r>
        <w:rPr>
          <w:bCs/>
          <w:b/>
        </w:rPr>
        <w:t xml:space="preserve">States:</w:t>
      </w:r>
      <w:r>
        <w:t xml:space="preserve"> </w:t>
      </w:r>
      <w:r>
        <w:rPr>
          <w:rStyle w:val="VerbatimChar"/>
        </w:rPr>
        <w:t xml:space="preserve">PROPOSED → AC_PRIOR_APPROVAL → BOARD (s.188 if not ordinary-course and arm's length) → SHAREHOLDERS (if material) → APPROVED → EXECUTING → CLOSED</w:t>
      </w:r>
      <w:r>
        <w:t xml:space="preserve">. Omnibus approvals tracked by limit and validity (to the next AGM if approved at an AGM; one year otherwise).</w:t>
      </w:r>
    </w:p>
    <w:p>
      <w:pPr>
        <w:numPr>
          <w:ilvl w:val="0"/>
          <w:numId w:val="1442"/>
        </w:numPr>
        <w:pStyle w:val="Compact"/>
      </w:pPr>
      <w:r>
        <w:rPr>
          <w:bCs/>
          <w:b/>
        </w:rPr>
        <w:t xml:space="preserve">Materiality from 18 Nov 2025</w:t>
      </w:r>
      <w:r>
        <w:t xml:space="preserve"> </w:t>
      </w:r>
      <w:r>
        <w:t xml:space="preserve">(Schedule XII slabs on last audited annual consolidated turnover):</w:t>
      </w:r>
    </w:p>
    <w:p>
      <w:pPr>
        <w:pStyle w:val="SourceCode"/>
      </w:pPr>
      <w:r>
        <w:rPr>
          <w:rStyle w:val="VerbatimChar"/>
        </w:rPr>
        <w:t xml:space="preserve">if turnover &lt;= 20000 cr:   threshold = 10% × turnover</w:t>
      </w:r>
      <w:r>
        <w:br/>
      </w:r>
      <w:r>
        <w:rPr>
          <w:rStyle w:val="VerbatimChar"/>
        </w:rPr>
        <w:t xml:space="preserve">elif turnover &lt;= 40000 cr: threshold = 2000 cr + 5% × (turnover − 20000 cr)</w:t>
      </w:r>
      <w:r>
        <w:br/>
      </w:r>
      <w:r>
        <w:rPr>
          <w:rStyle w:val="VerbatimChar"/>
        </w:rPr>
        <w:t xml:space="preserve">else:                      threshold = min(3000 cr + 2.5% × (turnover − 40000 cr), 5000 cr)</w:t>
      </w:r>
      <w:r>
        <w:br/>
      </w:r>
      <w:r>
        <w:rPr>
          <w:rStyle w:val="VerbatimChar"/>
        </w:rPr>
        <w:t xml:space="preserve">material = FY aggregate with the party, incl. this transaction, &gt; threshold</w:t>
      </w:r>
    </w:p>
    <w:p>
      <w:pPr>
        <w:numPr>
          <w:ilvl w:val="0"/>
          <w:numId w:val="1443"/>
        </w:numPr>
        <w:pStyle w:val="Compact"/>
      </w:pPr>
      <w:r>
        <w:rPr>
          <w:bCs/>
          <w:b/>
        </w:rPr>
        <w:t xml:space="preserve">Subsidiary RPTs</w:t>
      </w:r>
      <w:r>
        <w:t xml:space="preserve"> </w:t>
      </w:r>
      <w:r>
        <w:t xml:space="preserve">above ₹1 crore (listed entity not a party) need prior audit-committee approval above the lower of 10% of the subsidiary’s standalone turnover (or paid-up plus premium if no audited year) and the listed entity’s threshold.</w:t>
      </w:r>
    </w:p>
    <w:p>
      <w:pPr>
        <w:numPr>
          <w:ilvl w:val="0"/>
          <w:numId w:val="1443"/>
        </w:numPr>
        <w:pStyle w:val="Compact"/>
      </w:pPr>
      <w:r>
        <w:rPr>
          <w:bCs/>
          <w:b/>
        </w:rPr>
        <w:t xml:space="preserve">Lending RPTs:</w:t>
      </w:r>
      <w:r>
        <w:t xml:space="preserve"> </w:t>
      </w:r>
      <w:r>
        <w:t xml:space="preserve">a loan to a related party is also a CRM para 13 credit decision and an FS para 21(9A) disclosure; the RPT record links to the M4 application and never bypasses the credit DoA.</w:t>
      </w:r>
    </w:p>
    <w:p>
      <w:pPr>
        <w:numPr>
          <w:ilvl w:val="0"/>
          <w:numId w:val="1443"/>
        </w:numPr>
        <w:pStyle w:val="Compact"/>
      </w:pPr>
      <w:r>
        <w:t xml:space="preserve">Disclosures: half-yearly with results (Reg 23(9)); AOC-2 in the Board’s report.</w:t>
      </w:r>
    </w:p>
    <w:bookmarkEnd w:id="490"/>
    <w:bookmarkStart w:id="491" w:name="Xb4f0d8f4179d9388f3826ccf98c8a581332573a"/>
    <w:p>
      <w:pPr>
        <w:pStyle w:val="Heading3"/>
      </w:pPr>
      <w:r>
        <w:t xml:space="preserve">GV4.4 PIT: structured digital database and trading controls</w:t>
      </w:r>
    </w:p>
    <w:p>
      <w:pPr>
        <w:numPr>
          <w:ilvl w:val="0"/>
          <w:numId w:val="1444"/>
        </w:numPr>
        <w:pStyle w:val="Compact"/>
      </w:pPr>
      <w:r>
        <w:rPr>
          <w:bCs/>
          <w:b/>
        </w:rPr>
        <w:t xml:space="preserve">SDD (PIT Reg 3(5)–(6)):</w:t>
      </w:r>
      <w:r>
        <w:t xml:space="preserve"> </w:t>
      </w:r>
      <w:r>
        <w:t xml:space="preserve">append-only, hash-chained entries: UPSI id, nature, internal or external origin,</w:t>
      </w:r>
      <w:r>
        <w:t xml:space="preserve"> </w:t>
      </w:r>
      <w:r>
        <w:rPr>
          <w:rStyle w:val="VerbatimChar"/>
        </w:rPr>
        <w:t xml:space="preserve">occurred_or_received_at</w:t>
      </w:r>
      <w:r>
        <w:t xml:space="preserve">,</w:t>
      </w:r>
      <w:r>
        <w:t xml:space="preserve"> </w:t>
      </w:r>
      <w:r>
        <w:rPr>
          <w:rStyle w:val="VerbatimChar"/>
        </w:rPr>
        <w:t xml:space="preserve">entered_at</w:t>
      </w:r>
      <w:r>
        <w:t xml:space="preserve">, discloser, recipient, PAN or other identifier, legitimate purpose (Reg 3(2A)), confidentiality notice sent (Reg 3(4)), closure when public. Maintained in-house, time-stamped, retained at least 8 years [VERIFY].</w:t>
      </w:r>
    </w:p>
    <w:p>
      <w:pPr>
        <w:numPr>
          <w:ilvl w:val="0"/>
          <w:numId w:val="1444"/>
        </w:numPr>
        <w:pStyle w:val="Compact"/>
      </w:pPr>
      <w:r>
        <w:rPr>
          <w:bCs/>
          <w:b/>
        </w:rPr>
        <w:t xml:space="preserve">External UPSI</w:t>
      </w:r>
      <w:r>
        <w:t xml:space="preserve"> </w:t>
      </w:r>
      <w:r>
        <w:t xml:space="preserve">(PIT Amendment 2025, effective 9 Jun 2025): entry may be made within 2 days of receipt; lateness computed from the two timestamps; no trading-window closure is needed for such UPSI. The UPSI taxonomy includes the 2025 additions (rating changes other than ESG, fund-raising plans, out-of-ordinary-course orders or contracts, auditor resignations).</w:t>
      </w:r>
    </w:p>
    <w:p>
      <w:pPr>
        <w:numPr>
          <w:ilvl w:val="0"/>
          <w:numId w:val="1444"/>
        </w:numPr>
        <w:pStyle w:val="Compact"/>
      </w:pPr>
      <w:r>
        <w:rPr>
          <w:bCs/>
          <w:b/>
        </w:rPr>
        <w:t xml:space="preserve">Automatic entries:</w:t>
      </w:r>
      <w:r>
        <w:t xml:space="preserve"> </w:t>
      </w:r>
      <w:r>
        <w:t xml:space="preserve">board-pack circulation, access to draft results in AC3 during the closed period, data-room access (GV4.6), sharing with debenture trustees or rating agencies.</w:t>
      </w:r>
    </w:p>
    <w:p>
      <w:pPr>
        <w:numPr>
          <w:ilvl w:val="0"/>
          <w:numId w:val="1444"/>
        </w:numPr>
        <w:pStyle w:val="Compact"/>
      </w:pPr>
      <w:r>
        <w:rPr>
          <w:bCs/>
          <w:b/>
        </w:rPr>
        <w:t xml:space="preserve">Lender-side UPSI [REC]:</w:t>
      </w:r>
      <w:r>
        <w:t xml:space="preserve"> </w:t>
      </w:r>
      <w:r>
        <w:t xml:space="preserve">when a borrower’s PAN or CIN maps to a listed issuer, covenant packs, restructuring and stressed-asset documents are marked</w:t>
      </w:r>
      <w:r>
        <w:t xml:space="preserve"> </w:t>
      </w:r>
      <w:r>
        <w:rPr>
          <w:rStyle w:val="VerbatimChar"/>
        </w:rPr>
        <w:t xml:space="preserve">upsi_counterparty</w:t>
      </w:r>
      <w:r>
        <w:t xml:space="preserve">, viewers join that issuer’s insider list and the issuer goes on the Part 7H restricted list until closure, whether or not the tenant is listed.</w:t>
      </w:r>
    </w:p>
    <w:p>
      <w:pPr>
        <w:numPr>
          <w:ilvl w:val="0"/>
          <w:numId w:val="1444"/>
        </w:numPr>
        <w:pStyle w:val="Compact"/>
      </w:pPr>
      <w:r>
        <w:rPr>
          <w:bCs/>
          <w:b/>
        </w:rPr>
        <w:t xml:space="preserve">Designated persons:</w:t>
      </w:r>
      <w:r>
        <w:t xml:space="preserve"> </w:t>
      </w:r>
      <w:r>
        <w:t xml:space="preserve">DP master with immediate relatives and material financial relationships [VERIFY Schedule B fields]; trading window closed from quarter end to 48 hours after results [VERIFY]; pre-clearance above the code threshold; 6-month contra-trade check; Reg 7(2) continual disclosure above ₹10 lakh a quarter and onward disclosure within 2 trading days [VERIFY]. Holdings come from declarations or RTA/depository uploads; no demat credentials.</w:t>
      </w:r>
    </w:p>
    <w:bookmarkEnd w:id="491"/>
    <w:bookmarkStart w:id="492" w:name="gv4.5-disclosure-clocks"/>
    <w:p>
      <w:pPr>
        <w:pStyle w:val="Heading3"/>
      </w:pPr>
      <w:r>
        <w:t xml:space="preserve">GV4.5 Disclosure clocks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421"/>
        <w:gridCol w:w="4597"/>
        <w:gridCol w:w="1620"/>
      </w:tblGrid>
      <w:tr>
        <w:trPr>
          <w:tblHeader w:val="true"/>
          <w:tblHeader w:val="true"/>
        </w:trPr>
        <w:tc>
          <w:tcPr>
            <w:tcW w:w="3421" w:type="dxa"/>
            <w:shd w:val="clear" w:color="auto" w:fill="1F3A5F"/>
          </w:tcPr>
          <w:p>
            <w:pPr>
              <w:pStyle w:val="Compact"/>
              <w:spacing w:after="40"/>
              <w:jc w:val="left"/>
            </w:pPr>
            <w:r>
              <w:rPr>
                <w:b/>
                <w:color w:val="FFFFFF"/>
                <w:sz w:val="18"/>
              </w:rPr>
              <w:t xml:space="preserve">Obligation</w:t>
            </w:r>
          </w:p>
        </w:tc>
        <w:tc>
          <w:tcPr>
            <w:tcW w:w="4597" w:type="dxa"/>
            <w:shd w:val="clear" w:color="auto" w:fill="1F3A5F"/>
          </w:tcPr>
          <w:p>
            <w:pPr>
              <w:pStyle w:val="Compact"/>
              <w:spacing w:after="40"/>
              <w:jc w:val="left"/>
            </w:pPr>
            <w:r>
              <w:rPr>
                <w:b/>
                <w:color w:val="FFFFFF"/>
                <w:sz w:val="18"/>
              </w:rPr>
              <w:t xml:space="preserve">Default clock</w:t>
            </w:r>
          </w:p>
        </w:tc>
        <w:tc>
          <w:tcPr>
            <w:tcW w:w="1620" w:type="dxa"/>
            <w:shd w:val="clear" w:color="auto" w:fill="1F3A5F"/>
          </w:tcPr>
          <w:p>
            <w:pPr>
              <w:pStyle w:val="Compact"/>
              <w:spacing w:after="40"/>
              <w:jc w:val="left"/>
            </w:pPr>
            <w:r>
              <w:rPr>
                <w:b/>
                <w:color w:val="FFFFFF"/>
                <w:sz w:val="18"/>
              </w:rPr>
              <w:t xml:space="preserve">Data source</w:t>
            </w:r>
          </w:p>
        </w:tc>
      </w:tr>
      <w:tr>
        <w:tc>
          <w:tcPr>
            <w:tcW w:w="3421" w:type="dxa"/>
          </w:tcPr>
          <w:p>
            <w:pPr>
              <w:pStyle w:val="Compact"/>
              <w:spacing w:after="40"/>
              <w:jc w:val="left"/>
            </w:pPr>
            <w:r>
              <w:rPr>
                <w:sz w:val="18"/>
              </w:rPr>
              <w:t xml:space="preserve">Prior intimation of Board meeting (results, fund-raising, dividend)</w:t>
            </w:r>
          </w:p>
        </w:tc>
        <w:tc>
          <w:tcPr>
            <w:tcW w:w="4597" w:type="dxa"/>
          </w:tcPr>
          <w:p>
            <w:pPr>
              <w:pStyle w:val="Compact"/>
              <w:spacing w:after="40"/>
              <w:jc w:val="left"/>
            </w:pPr>
            <w:r>
              <w:rPr>
                <w:sz w:val="18"/>
              </w:rPr>
              <w:t xml:space="preserve">≥ 2 working days excl. intimation and meeting dates (Reg 29) [VERIFY]</w:t>
            </w:r>
          </w:p>
        </w:tc>
        <w:tc>
          <w:tcPr>
            <w:tcW w:w="1620" w:type="dxa"/>
          </w:tcPr>
          <w:p>
            <w:pPr>
              <w:pStyle w:val="Compact"/>
              <w:spacing w:after="40"/>
              <w:jc w:val="left"/>
            </w:pPr>
            <w:r>
              <w:rPr>
                <w:sz w:val="18"/>
              </w:rPr>
              <w:t xml:space="preserve">GV2</w:t>
            </w:r>
          </w:p>
        </w:tc>
      </w:tr>
      <w:tr>
        <w:tc>
          <w:tcPr>
            <w:tcW w:w="3421" w:type="dxa"/>
          </w:tcPr>
          <w:p>
            <w:pPr>
              <w:pStyle w:val="Compact"/>
              <w:spacing w:after="40"/>
              <w:jc w:val="left"/>
            </w:pPr>
            <w:r>
              <w:rPr>
                <w:sz w:val="18"/>
              </w:rPr>
              <w:t xml:space="preserve">Board meeting outcome</w:t>
            </w:r>
          </w:p>
        </w:tc>
        <w:tc>
          <w:tcPr>
            <w:tcW w:w="4597" w:type="dxa"/>
          </w:tcPr>
          <w:p>
            <w:pPr>
              <w:pStyle w:val="Compact"/>
              <w:spacing w:after="40"/>
              <w:jc w:val="left"/>
            </w:pPr>
            <w:r>
              <w:rPr>
                <w:sz w:val="18"/>
              </w:rPr>
              <w:t xml:space="preserve">30 minutes after close (Reg 30(6))</w:t>
            </w:r>
          </w:p>
        </w:tc>
        <w:tc>
          <w:tcPr>
            <w:tcW w:w="1620" w:type="dxa"/>
          </w:tcPr>
          <w:p>
            <w:pPr>
              <w:pStyle w:val="Compact"/>
              <w:spacing w:after="40"/>
              <w:jc w:val="left"/>
            </w:pPr>
            <w:r>
              <w:rPr>
                <w:sz w:val="18"/>
              </w:rPr>
              <w:t xml:space="preserve">GV2 resolutions</w:t>
            </w:r>
          </w:p>
        </w:tc>
      </w:tr>
      <w:tr>
        <w:tc>
          <w:tcPr>
            <w:tcW w:w="3421" w:type="dxa"/>
          </w:tcPr>
          <w:p>
            <w:pPr>
              <w:pStyle w:val="Compact"/>
              <w:spacing w:after="40"/>
              <w:jc w:val="left"/>
            </w:pPr>
            <w:r>
              <w:rPr>
                <w:sz w:val="18"/>
              </w:rPr>
              <w:t xml:space="preserve">Material event</w:t>
            </w:r>
          </w:p>
        </w:tc>
        <w:tc>
          <w:tcPr>
            <w:tcW w:w="4597" w:type="dxa"/>
          </w:tcPr>
          <w:p>
            <w:pPr>
              <w:pStyle w:val="Compact"/>
              <w:spacing w:after="40"/>
              <w:jc w:val="left"/>
            </w:pPr>
            <w:r>
              <w:rPr>
                <w:sz w:val="18"/>
              </w:rPr>
              <w:t xml:space="preserve">12 hours if internal, 24 hours if external</w:t>
            </w:r>
          </w:p>
        </w:tc>
        <w:tc>
          <w:tcPr>
            <w:tcW w:w="1620" w:type="dxa"/>
          </w:tcPr>
          <w:p>
            <w:pPr>
              <w:pStyle w:val="Compact"/>
              <w:spacing w:after="40"/>
              <w:jc w:val="left"/>
            </w:pPr>
            <w:r>
              <w:rPr>
                <w:sz w:val="18"/>
              </w:rPr>
              <w:t xml:space="preserve">Event register</w:t>
            </w:r>
          </w:p>
        </w:tc>
      </w:tr>
      <w:tr>
        <w:tc>
          <w:tcPr>
            <w:tcW w:w="3421" w:type="dxa"/>
          </w:tcPr>
          <w:p>
            <w:pPr>
              <w:pStyle w:val="Compact"/>
              <w:spacing w:after="40"/>
              <w:jc w:val="left"/>
            </w:pPr>
            <w:r>
              <w:rPr>
                <w:sz w:val="18"/>
              </w:rPr>
              <w:t xml:space="preserve">Shareholding pattern</w:t>
            </w:r>
          </w:p>
        </w:tc>
        <w:tc>
          <w:tcPr>
            <w:tcW w:w="4597" w:type="dxa"/>
          </w:tcPr>
          <w:p>
            <w:pPr>
              <w:pStyle w:val="Compact"/>
              <w:spacing w:after="40"/>
              <w:jc w:val="left"/>
            </w:pPr>
            <w:r>
              <w:rPr>
                <w:sz w:val="18"/>
              </w:rPr>
              <w:t xml:space="preserve">21 days after quarter (Reg 31)</w:t>
            </w:r>
          </w:p>
        </w:tc>
        <w:tc>
          <w:tcPr>
            <w:tcW w:w="1620" w:type="dxa"/>
          </w:tcPr>
          <w:p>
            <w:pPr>
              <w:pStyle w:val="Compact"/>
              <w:spacing w:after="40"/>
              <w:jc w:val="left"/>
            </w:pPr>
            <w:r>
              <w:rPr>
                <w:sz w:val="18"/>
              </w:rPr>
              <w:t xml:space="preserve">RTA import</w:t>
            </w:r>
          </w:p>
        </w:tc>
      </w:tr>
      <w:tr>
        <w:tc>
          <w:tcPr>
            <w:tcW w:w="3421" w:type="dxa"/>
          </w:tcPr>
          <w:p>
            <w:pPr>
              <w:pStyle w:val="Compact"/>
              <w:spacing w:after="40"/>
              <w:jc w:val="left"/>
            </w:pPr>
            <w:r>
              <w:rPr>
                <w:sz w:val="18"/>
              </w:rPr>
              <w:t xml:space="preserve">Results, equity and debt</w:t>
            </w:r>
          </w:p>
        </w:tc>
        <w:tc>
          <w:tcPr>
            <w:tcW w:w="4597" w:type="dxa"/>
          </w:tcPr>
          <w:p>
            <w:pPr>
              <w:pStyle w:val="Compact"/>
              <w:spacing w:after="40"/>
              <w:jc w:val="left"/>
            </w:pPr>
            <w:r>
              <w:rPr>
                <w:sz w:val="18"/>
              </w:rPr>
              <w:t xml:space="preserve">45 days quarterly, 60 days annual (Reg 33, 52); Reg 52(4) ratios incl. CRAR, GNPA, NNPA, PCR, liquidity</w:t>
            </w:r>
          </w:p>
        </w:tc>
        <w:tc>
          <w:tcPr>
            <w:tcW w:w="1620" w:type="dxa"/>
          </w:tcPr>
          <w:p>
            <w:pPr>
              <w:pStyle w:val="Compact"/>
              <w:spacing w:after="40"/>
              <w:jc w:val="left"/>
            </w:pPr>
            <w:r>
              <w:rPr>
                <w:sz w:val="18"/>
              </w:rPr>
              <w:t xml:space="preserve">AC3; RK6</w:t>
            </w:r>
          </w:p>
        </w:tc>
      </w:tr>
      <w:tr>
        <w:tc>
          <w:tcPr>
            <w:tcW w:w="3421" w:type="dxa"/>
          </w:tcPr>
          <w:p>
            <w:pPr>
              <w:pStyle w:val="Compact"/>
              <w:spacing w:after="40"/>
              <w:jc w:val="left"/>
            </w:pPr>
            <w:r>
              <w:rPr>
                <w:sz w:val="18"/>
              </w:rPr>
              <w:t xml:space="preserve">Security cover certificate</w:t>
            </w:r>
          </w:p>
        </w:tc>
        <w:tc>
          <w:tcPr>
            <w:tcW w:w="4597" w:type="dxa"/>
          </w:tcPr>
          <w:p>
            <w:pPr>
              <w:pStyle w:val="Compact"/>
              <w:spacing w:after="40"/>
              <w:jc w:val="left"/>
            </w:pPr>
            <w:r>
              <w:rPr>
                <w:sz w:val="18"/>
              </w:rPr>
              <w:t xml:space="preserve">Quarterly (Reg 54) [VERIFY timeline]</w:t>
            </w:r>
          </w:p>
        </w:tc>
        <w:tc>
          <w:tcPr>
            <w:tcW w:w="1620" w:type="dxa"/>
          </w:tcPr>
          <w:p>
            <w:pPr>
              <w:pStyle w:val="Compact"/>
              <w:spacing w:after="40"/>
              <w:jc w:val="left"/>
            </w:pPr>
            <w:r>
              <w:rPr>
                <w:sz w:val="18"/>
              </w:rPr>
              <w:t xml:space="preserve">M10, M5</w:t>
            </w:r>
          </w:p>
        </w:tc>
      </w:tr>
      <w:tr>
        <w:tc>
          <w:tcPr>
            <w:tcW w:w="3421" w:type="dxa"/>
          </w:tcPr>
          <w:p>
            <w:pPr>
              <w:pStyle w:val="Compact"/>
              <w:spacing w:after="40"/>
              <w:jc w:val="left"/>
            </w:pPr>
            <w:r>
              <w:rPr>
                <w:sz w:val="18"/>
              </w:rPr>
              <w:t xml:space="preserve">Listed-debt payment intimation</w:t>
            </w:r>
          </w:p>
        </w:tc>
        <w:tc>
          <w:tcPr>
            <w:tcW w:w="4597" w:type="dxa"/>
          </w:tcPr>
          <w:p>
            <w:pPr>
              <w:pStyle w:val="Compact"/>
              <w:spacing w:after="40"/>
              <w:jc w:val="left"/>
            </w:pPr>
            <w:r>
              <w:rPr>
                <w:sz w:val="18"/>
              </w:rPr>
              <w:t xml:space="preserve">1 working day (Reg 57)</w:t>
            </w:r>
          </w:p>
        </w:tc>
        <w:tc>
          <w:tcPr>
            <w:tcW w:w="1620" w:type="dxa"/>
          </w:tcPr>
          <w:p>
            <w:pPr>
              <w:pStyle w:val="Compact"/>
              <w:spacing w:after="40"/>
              <w:jc w:val="left"/>
            </w:pPr>
            <w:r>
              <w:rPr>
                <w:sz w:val="18"/>
              </w:rPr>
              <w:t xml:space="preserve">M10 schedule</w:t>
            </w:r>
          </w:p>
        </w:tc>
      </w:tr>
      <w:tr>
        <w:tc>
          <w:tcPr>
            <w:tcW w:w="3421" w:type="dxa"/>
          </w:tcPr>
          <w:p>
            <w:pPr>
              <w:pStyle w:val="Compact"/>
              <w:spacing w:after="40"/>
              <w:jc w:val="left"/>
            </w:pPr>
            <w:r>
              <w:rPr>
                <w:sz w:val="18"/>
              </w:rPr>
              <w:t xml:space="preserve">Annual report; BRSR</w:t>
            </w:r>
          </w:p>
        </w:tc>
        <w:tc>
          <w:tcPr>
            <w:tcW w:w="4597" w:type="dxa"/>
          </w:tcPr>
          <w:p>
            <w:pPr>
              <w:pStyle w:val="Compact"/>
              <w:spacing w:after="40"/>
              <w:jc w:val="left"/>
            </w:pPr>
            <w:r>
              <w:rPr>
                <w:sz w:val="18"/>
              </w:rPr>
              <w:t xml:space="preserve">On dispatch (Reg 34(1)); BRSR top 1,000 (Reg 34(2)(f)); BRSR Core assurance or assessment phase-in top 150 to 1,000 by FY</w:t>
            </w:r>
          </w:p>
        </w:tc>
        <w:tc>
          <w:tcPr>
            <w:tcW w:w="1620" w:type="dxa"/>
          </w:tcPr>
          <w:p>
            <w:pPr>
              <w:pStyle w:val="Compact"/>
              <w:spacing w:after="40"/>
              <w:jc w:val="left"/>
            </w:pPr>
            <w:r>
              <w:rPr>
                <w:sz w:val="18"/>
              </w:rPr>
              <w:t xml:space="preserve">AC3; ESG inputs</w:t>
            </w:r>
          </w:p>
        </w:tc>
      </w:tr>
      <w:tr>
        <w:tc>
          <w:tcPr>
            <w:tcW w:w="3421" w:type="dxa"/>
          </w:tcPr>
          <w:p>
            <w:pPr>
              <w:pStyle w:val="Compact"/>
              <w:spacing w:after="40"/>
              <w:jc w:val="left"/>
            </w:pPr>
            <w:r>
              <w:rPr>
                <w:sz w:val="18"/>
              </w:rPr>
              <w:t xml:space="preserve">Secretarial compliance report</w:t>
            </w:r>
          </w:p>
        </w:tc>
        <w:tc>
          <w:tcPr>
            <w:tcW w:w="4597" w:type="dxa"/>
          </w:tcPr>
          <w:p>
            <w:pPr>
              <w:pStyle w:val="Compact"/>
              <w:spacing w:after="40"/>
              <w:jc w:val="left"/>
            </w:pPr>
            <w:r>
              <w:rPr>
                <w:sz w:val="18"/>
              </w:rPr>
              <w:t xml:space="preserve">60 days after FY end (Reg 24A(2))</w:t>
            </w:r>
          </w:p>
        </w:tc>
        <w:tc>
          <w:tcPr>
            <w:tcW w:w="1620" w:type="dxa"/>
          </w:tcPr>
          <w:p>
            <w:pPr>
              <w:pStyle w:val="Compact"/>
              <w:spacing w:after="40"/>
              <w:jc w:val="left"/>
            </w:pPr>
            <w:r>
              <w:rPr>
                <w:sz w:val="18"/>
              </w:rPr>
              <w:t xml:space="preserve">AU6</w:t>
            </w:r>
          </w:p>
        </w:tc>
      </w:tr>
      <w:tr>
        <w:tc>
          <w:tcPr>
            <w:tcW w:w="3421" w:type="dxa"/>
          </w:tcPr>
          <w:p>
            <w:pPr>
              <w:pStyle w:val="Compact"/>
              <w:spacing w:after="40"/>
              <w:jc w:val="left"/>
            </w:pPr>
            <w:r>
              <w:rPr>
                <w:sz w:val="18"/>
              </w:rPr>
              <w:t xml:space="preserve">Loan or debt default disclosure</w:t>
            </w:r>
          </w:p>
        </w:tc>
        <w:tc>
          <w:tcPr>
            <w:tcW w:w="4597" w:type="dxa"/>
          </w:tcPr>
          <w:p>
            <w:pPr>
              <w:pStyle w:val="Compact"/>
              <w:spacing w:after="40"/>
              <w:jc w:val="left"/>
            </w:pPr>
            <w:r>
              <w:rPr>
                <w:sz w:val="18"/>
              </w:rPr>
              <w:t xml:space="preserve">Per SEBI circular [VERIFY]</w:t>
            </w:r>
          </w:p>
        </w:tc>
        <w:tc>
          <w:tcPr>
            <w:tcW w:w="1620" w:type="dxa"/>
          </w:tcPr>
          <w:p>
            <w:pPr>
              <w:pStyle w:val="Compact"/>
              <w:spacing w:after="40"/>
              <w:jc w:val="left"/>
            </w:pPr>
            <w:r>
              <w:rPr>
                <w:sz w:val="18"/>
              </w:rPr>
              <w:t xml:space="preserve">M10</w:t>
            </w:r>
          </w:p>
        </w:tc>
      </w:tr>
    </w:tbl>
    <w:p>
      <w:pPr>
        <w:pStyle w:val="BodyText"/>
      </w:pPr>
      <w:r>
        <w:t xml:space="preserve">The</w:t>
      </w:r>
      <w:r>
        <w:t xml:space="preserve"> </w:t>
      </w:r>
      <w:r>
        <w:rPr>
          <w:bCs/>
          <w:b/>
        </w:rPr>
        <w:t xml:space="preserve">event register</w:t>
      </w:r>
      <w:r>
        <w:t xml:space="preserve"> </w:t>
      </w:r>
      <w:r>
        <w:t xml:space="preserve">records</w:t>
      </w:r>
      <w:r>
        <w:t xml:space="preserve"> </w:t>
      </w:r>
      <w:r>
        <w:rPr>
          <w:rStyle w:val="VerbatimChar"/>
        </w:rPr>
        <w:t xml:space="preserve">event_time</w:t>
      </w:r>
      <w:r>
        <w:t xml:space="preserve">, the Reg 30(4) quantitative test, the authorised KMP’s judgement (Reg 30(5)), decision, disclosure time and exchange acknowledgement; a late disclosure records and states the delay reason. Finbyx prepares the XBRL or PDF and checklist for NSE NEAPS or BSE Listing Centre; the authorised official uploads. Exchange data is used only within licence terms.</w:t>
      </w:r>
    </w:p>
    <w:bookmarkEnd w:id="492"/>
    <w:bookmarkStart w:id="493" w:name="gv4.6-icdr-and-issue-readiness"/>
    <w:p>
      <w:pPr>
        <w:pStyle w:val="Heading3"/>
      </w:pPr>
      <w:r>
        <w:t xml:space="preserve">GV4.6 ICDR and issue readiness</w:t>
      </w:r>
    </w:p>
    <w:p>
      <w:pPr>
        <w:pStyle w:val="FirstParagraph"/>
      </w:pPr>
      <w:r>
        <w:t xml:space="preserve">Read-only, watermarked, SDD-linked issuer data room (constitution, approvals, financials and TB mapping, RBI registration and return acknowledgements, related parties, material contracts, R9 litigation, regulatory actions, KMP details) for merchant bankers, auditors and counsel through the AU7 external-access pattern (</w:t>
      </w:r>
      <w:r>
        <w:rPr>
          <w:rStyle w:val="VerbatimChar"/>
        </w:rPr>
        <w:t xml:space="preserve">ExternalAccessGranted</w:t>
      </w:r>
      <w:r>
        <w:t xml:space="preserve">; default the engagement window, hard maximum 90 days per grant, renewal a fresh approval). Issue checklists for preferential issues, QIPs, rights and public NCD issues with pricing and lock-in parameters [VERIFY all ICDR values]. QIB status is an attested flag with legal sign-off, never derived from the RBI layer. SAST Reg 29 and 31 disclosures received are logged with receipt time.</w:t>
      </w:r>
    </w:p>
    <w:bookmarkEnd w:id="493"/>
    <w:bookmarkStart w:id="494" w:name="acceptance-tests-37"/>
    <w:p>
      <w:pPr>
        <w:pStyle w:val="Heading3"/>
      </w:pPr>
      <w:r>
        <w:t xml:space="preserve">Acceptance tests</w:t>
      </w:r>
    </w:p>
    <w:p>
      <w:pPr>
        <w:numPr>
          <w:ilvl w:val="0"/>
          <w:numId w:val="1445"/>
        </w:numPr>
        <w:pStyle w:val="Compact"/>
      </w:pPr>
      <w:r>
        <w:t xml:space="preserve">Outstanding listed debt crossing ₹5,000 crore on 3 Feb 2026 flags HVDLE and opens Chapter V-A tasks; ₹2,000 crore does not.</w:t>
      </w:r>
    </w:p>
    <w:p>
      <w:pPr>
        <w:numPr>
          <w:ilvl w:val="0"/>
          <w:numId w:val="1445"/>
        </w:numPr>
        <w:pStyle w:val="Compact"/>
      </w:pPr>
      <w:r>
        <w:t xml:space="preserve">Consolidated turnover ₹30,000 crore gives an RPT threshold of ₹2,500 crore; ₹1,00,000 crore caps at ₹5,000 crore.</w:t>
      </w:r>
    </w:p>
    <w:p>
      <w:pPr>
        <w:numPr>
          <w:ilvl w:val="0"/>
          <w:numId w:val="1445"/>
        </w:numPr>
        <w:pStyle w:val="Compact"/>
      </w:pPr>
      <w:r>
        <w:t xml:space="preserve">A related-party loan cannot reach sanction without the audit-committee approval and the CRM para 13 recusal check.</w:t>
      </w:r>
    </w:p>
    <w:p>
      <w:pPr>
        <w:numPr>
          <w:ilvl w:val="0"/>
          <w:numId w:val="1445"/>
        </w:numPr>
        <w:pStyle w:val="Compact"/>
      </w:pPr>
      <w:r>
        <w:t xml:space="preserve">External UPSI entered 3 days after receipt is flagged late; neither late nor timely entry closes the trading window.</w:t>
      </w:r>
    </w:p>
    <w:p>
      <w:pPr>
        <w:numPr>
          <w:ilvl w:val="0"/>
          <w:numId w:val="1445"/>
        </w:numPr>
        <w:pStyle w:val="Compact"/>
      </w:pPr>
      <w:r>
        <w:t xml:space="preserve">A pre-clearance request in a closed window is rejected; a DP trade 5 months after an opposite trade fails the contra-trade check.</w:t>
      </w:r>
    </w:p>
    <w:p>
      <w:pPr>
        <w:numPr>
          <w:ilvl w:val="0"/>
          <w:numId w:val="1445"/>
        </w:numPr>
        <w:pStyle w:val="Compact"/>
      </w:pPr>
      <w:r>
        <w:t xml:space="preserve">A dividend decision at a meeting closing 16:10 creates a disclosure task due 16:40; disclosure at 16:55 records a delay reason.</w:t>
      </w:r>
    </w:p>
    <w:p>
      <w:pPr>
        <w:numPr>
          <w:ilvl w:val="0"/>
          <w:numId w:val="1445"/>
        </w:numPr>
        <w:pStyle w:val="Compact"/>
      </w:pPr>
      <w:r>
        <w:t xml:space="preserve">Opening a listed borrower’s restructuring proposal adds the viewer to the insider list and puts the issuer on the 7H restricted list.</w:t>
      </w:r>
    </w:p>
    <w:bookmarkEnd w:id="494"/>
    <w:bookmarkStart w:id="495" w:name="settings-and-options-gv4"/>
    <w:p>
      <w:pPr>
        <w:pStyle w:val="Heading3"/>
      </w:pPr>
      <w:r>
        <w:t xml:space="preserve">Settings and options (GV4)</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45"/>
        <w:gridCol w:w="1688"/>
        <w:gridCol w:w="2414"/>
        <w:gridCol w:w="2991"/>
      </w:tblGrid>
      <w:tr>
        <w:trPr>
          <w:tblHeader w:val="true"/>
          <w:tblHeader w:val="true"/>
        </w:trPr>
        <w:tc>
          <w:tcPr>
            <w:tcW w:w="2545" w:type="dxa"/>
            <w:shd w:val="clear" w:color="auto" w:fill="1F3A5F"/>
          </w:tcPr>
          <w:p>
            <w:pPr>
              <w:pStyle w:val="Compact"/>
              <w:spacing w:after="40"/>
              <w:jc w:val="left"/>
            </w:pPr>
            <w:r>
              <w:rPr>
                <w:b/>
                <w:color w:val="FFFFFF"/>
                <w:sz w:val="18"/>
              </w:rPr>
              <w:t xml:space="preserve">Setting</w:t>
            </w:r>
          </w:p>
        </w:tc>
        <w:tc>
          <w:tcPr>
            <w:tcW w:w="1688" w:type="dxa"/>
            <w:shd w:val="clear" w:color="auto" w:fill="1F3A5F"/>
          </w:tcPr>
          <w:p>
            <w:pPr>
              <w:pStyle w:val="Compact"/>
              <w:spacing w:after="40"/>
              <w:jc w:val="left"/>
            </w:pPr>
            <w:r>
              <w:rPr>
                <w:b/>
                <w:color w:val="FFFFFF"/>
                <w:sz w:val="18"/>
              </w:rPr>
              <w:t xml:space="preserve">Level</w:t>
            </w:r>
          </w:p>
        </w:tc>
        <w:tc>
          <w:tcPr>
            <w:tcW w:w="2414" w:type="dxa"/>
            <w:shd w:val="clear" w:color="auto" w:fill="1F3A5F"/>
          </w:tcPr>
          <w:p>
            <w:pPr>
              <w:pStyle w:val="Compact"/>
              <w:spacing w:after="40"/>
              <w:jc w:val="left"/>
            </w:pPr>
            <w:r>
              <w:rPr>
                <w:b/>
                <w:color w:val="FFFFFF"/>
                <w:sz w:val="18"/>
              </w:rPr>
              <w:t xml:space="preserve">Default</w:t>
            </w:r>
          </w:p>
        </w:tc>
        <w:tc>
          <w:tcPr>
            <w:tcW w:w="2991" w:type="dxa"/>
            <w:shd w:val="clear" w:color="auto" w:fill="1F3A5F"/>
          </w:tcPr>
          <w:p>
            <w:pPr>
              <w:pStyle w:val="Compact"/>
              <w:spacing w:after="40"/>
              <w:jc w:val="left"/>
            </w:pPr>
            <w:r>
              <w:rPr>
                <w:b/>
                <w:color w:val="FFFFFF"/>
                <w:sz w:val="18"/>
              </w:rPr>
              <w:t xml:space="preserve">Nature</w:t>
            </w:r>
          </w:p>
        </w:tc>
      </w:tr>
      <w:tr>
        <w:tc>
          <w:tcPr>
            <w:tcW w:w="2545" w:type="dxa"/>
          </w:tcPr>
          <w:p>
            <w:pPr>
              <w:pStyle w:val="Compact"/>
              <w:spacing w:after="40"/>
              <w:jc w:val="left"/>
            </w:pPr>
            <w:r>
              <w:rPr>
                <w:sz w:val="18"/>
              </w:rPr>
              <w:t xml:space="preserve">Listing status, segment and HVDLE flag</w:t>
            </w:r>
          </w:p>
        </w:tc>
        <w:tc>
          <w:tcPr>
            <w:tcW w:w="1688" w:type="dxa"/>
          </w:tcPr>
          <w:p>
            <w:pPr>
              <w:pStyle w:val="Compact"/>
              <w:spacing w:after="40"/>
              <w:jc w:val="left"/>
            </w:pPr>
            <w:r>
              <w:rPr>
                <w:sz w:val="18"/>
              </w:rPr>
              <w:t xml:space="preserve">Legal entity</w:t>
            </w:r>
          </w:p>
        </w:tc>
        <w:tc>
          <w:tcPr>
            <w:tcW w:w="2414" w:type="dxa"/>
          </w:tcPr>
          <w:p>
            <w:pPr>
              <w:pStyle w:val="Compact"/>
              <w:spacing w:after="40"/>
              <w:jc w:val="left"/>
            </w:pPr>
            <w:r>
              <w:rPr>
                <w:sz w:val="18"/>
              </w:rPr>
              <w:t xml:space="preserve">Derived (GV1.1, HVDLE detector); CS confirms</w:t>
            </w:r>
          </w:p>
        </w:tc>
        <w:tc>
          <w:tcPr>
            <w:tcW w:w="2991" w:type="dxa"/>
          </w:tcPr>
          <w:p>
            <w:pPr>
              <w:pStyle w:val="Compact"/>
              <w:spacing w:after="40"/>
              <w:jc w:val="left"/>
            </w:pPr>
            <w:r>
              <w:rPr>
                <w:sz w:val="18"/>
              </w:rPr>
              <w:t xml:space="preserve">Regulatory floor</w:t>
            </w:r>
          </w:p>
        </w:tc>
      </w:tr>
      <w:tr>
        <w:tc>
          <w:tcPr>
            <w:tcW w:w="2545" w:type="dxa"/>
          </w:tcPr>
          <w:p>
            <w:pPr>
              <w:pStyle w:val="Compact"/>
              <w:spacing w:after="40"/>
              <w:jc w:val="left"/>
            </w:pPr>
            <w:r>
              <w:rPr>
                <w:sz w:val="18"/>
              </w:rPr>
              <w:t xml:space="preserve">LODR, PIT and ICDR clock pack</w:t>
            </w:r>
          </w:p>
        </w:tc>
        <w:tc>
          <w:tcPr>
            <w:tcW w:w="1688" w:type="dxa"/>
          </w:tcPr>
          <w:p>
            <w:pPr>
              <w:pStyle w:val="Compact"/>
              <w:spacing w:after="40"/>
              <w:jc w:val="left"/>
            </w:pPr>
            <w:r>
              <w:rPr>
                <w:sz w:val="18"/>
              </w:rPr>
              <w:t xml:space="preserve">Platform</w:t>
            </w:r>
          </w:p>
        </w:tc>
        <w:tc>
          <w:tcPr>
            <w:tcW w:w="2414" w:type="dxa"/>
          </w:tcPr>
          <w:p>
            <w:pPr>
              <w:pStyle w:val="Compact"/>
              <w:spacing w:after="40"/>
              <w:jc w:val="left"/>
            </w:pPr>
            <w:r>
              <w:rPr>
                <w:sz w:val="18"/>
              </w:rPr>
              <w:t xml:space="preserve">Latest verified version</w:t>
            </w:r>
          </w:p>
        </w:tc>
        <w:tc>
          <w:tcPr>
            <w:tcW w:w="2991" w:type="dxa"/>
          </w:tcPr>
          <w:p>
            <w:pPr>
              <w:pStyle w:val="Compact"/>
              <w:spacing w:after="40"/>
              <w:jc w:val="left"/>
            </w:pPr>
            <w:r>
              <w:rPr>
                <w:sz w:val="18"/>
              </w:rPr>
              <w:t xml:space="preserve">Regulatory floor</w:t>
            </w:r>
          </w:p>
        </w:tc>
      </w:tr>
      <w:tr>
        <w:tc>
          <w:tcPr>
            <w:tcW w:w="2545" w:type="dxa"/>
          </w:tcPr>
          <w:p>
            <w:pPr>
              <w:pStyle w:val="Compact"/>
              <w:spacing w:after="40"/>
              <w:jc w:val="left"/>
            </w:pPr>
            <w:r>
              <w:rPr>
                <w:sz w:val="18"/>
              </w:rPr>
              <w:t xml:space="preserve">Trading window</w:t>
            </w:r>
          </w:p>
        </w:tc>
        <w:tc>
          <w:tcPr>
            <w:tcW w:w="1688" w:type="dxa"/>
          </w:tcPr>
          <w:p>
            <w:pPr>
              <w:pStyle w:val="Compact"/>
              <w:spacing w:after="40"/>
              <w:jc w:val="left"/>
            </w:pPr>
            <w:r>
              <w:rPr>
                <w:sz w:val="18"/>
              </w:rPr>
              <w:t xml:space="preserve">Tenant code</w:t>
            </w:r>
          </w:p>
        </w:tc>
        <w:tc>
          <w:tcPr>
            <w:tcW w:w="2414" w:type="dxa"/>
          </w:tcPr>
          <w:p>
            <w:pPr>
              <w:pStyle w:val="Compact"/>
              <w:spacing w:after="40"/>
              <w:jc w:val="left"/>
            </w:pPr>
            <w:r>
              <w:rPr>
                <w:sz w:val="18"/>
              </w:rPr>
              <w:t xml:space="preserve">Quarter end to 48 hours after results</w:t>
            </w:r>
          </w:p>
        </w:tc>
        <w:tc>
          <w:tcPr>
            <w:tcW w:w="2991" w:type="dxa"/>
          </w:tcPr>
          <w:p>
            <w:pPr>
              <w:pStyle w:val="Compact"/>
              <w:spacing w:after="40"/>
              <w:jc w:val="left"/>
            </w:pPr>
            <w:r>
              <w:rPr>
                <w:sz w:val="18"/>
              </w:rPr>
              <w:t xml:space="preserve">Floor; the tenant may add closures</w:t>
            </w:r>
          </w:p>
        </w:tc>
      </w:tr>
      <w:tr>
        <w:tc>
          <w:tcPr>
            <w:tcW w:w="2545" w:type="dxa"/>
          </w:tcPr>
          <w:p>
            <w:pPr>
              <w:pStyle w:val="Compact"/>
              <w:spacing w:after="40"/>
              <w:jc w:val="left"/>
            </w:pPr>
            <w:r>
              <w:rPr>
                <w:sz w:val="18"/>
              </w:rPr>
              <w:t xml:space="preserve">Pre-clearance threshold and contra-trade period</w:t>
            </w:r>
          </w:p>
        </w:tc>
        <w:tc>
          <w:tcPr>
            <w:tcW w:w="1688" w:type="dxa"/>
          </w:tcPr>
          <w:p>
            <w:pPr>
              <w:pStyle w:val="Compact"/>
              <w:spacing w:after="40"/>
              <w:jc w:val="left"/>
            </w:pPr>
            <w:r>
              <w:rPr>
                <w:sz w:val="18"/>
              </w:rPr>
              <w:t xml:space="preserve">Tenant code of conduct</w:t>
            </w:r>
          </w:p>
        </w:tc>
        <w:tc>
          <w:tcPr>
            <w:tcW w:w="2414" w:type="dxa"/>
          </w:tcPr>
          <w:p>
            <w:pPr>
              <w:pStyle w:val="Compact"/>
              <w:spacing w:after="40"/>
              <w:jc w:val="left"/>
            </w:pPr>
            <w:r>
              <w:rPr>
                <w:sz w:val="18"/>
              </w:rPr>
              <w:t xml:space="preserve">Code value; contra-trade 6 months</w:t>
            </w:r>
          </w:p>
        </w:tc>
        <w:tc>
          <w:tcPr>
            <w:tcW w:w="2991" w:type="dxa"/>
          </w:tcPr>
          <w:p>
            <w:pPr>
              <w:pStyle w:val="Compact"/>
              <w:spacing w:after="40"/>
              <w:jc w:val="left"/>
            </w:pPr>
            <w:r>
              <w:rPr>
                <w:sz w:val="18"/>
              </w:rPr>
              <w:t xml:space="preserve">Contra-trade period is a floor</w:t>
            </w:r>
          </w:p>
        </w:tc>
      </w:tr>
      <w:tr>
        <w:tc>
          <w:tcPr>
            <w:tcW w:w="2545" w:type="dxa"/>
          </w:tcPr>
          <w:p>
            <w:pPr>
              <w:pStyle w:val="Compact"/>
              <w:spacing w:after="40"/>
              <w:jc w:val="left"/>
            </w:pPr>
            <w:r>
              <w:rPr>
                <w:sz w:val="18"/>
              </w:rPr>
              <w:t xml:space="preserve">Lender-side UPSI marking for listed counterparties</w:t>
            </w:r>
          </w:p>
        </w:tc>
        <w:tc>
          <w:tcPr>
            <w:tcW w:w="1688" w:type="dxa"/>
          </w:tcPr>
          <w:p>
            <w:pPr>
              <w:pStyle w:val="Compact"/>
              <w:spacing w:after="40"/>
              <w:jc w:val="left"/>
            </w:pPr>
            <w:r>
              <w:rPr>
                <w:sz w:val="18"/>
              </w:rPr>
              <w:t xml:space="preserve">Tenant</w:t>
            </w:r>
          </w:p>
        </w:tc>
        <w:tc>
          <w:tcPr>
            <w:tcW w:w="2414" w:type="dxa"/>
          </w:tcPr>
          <w:p>
            <w:pPr>
              <w:pStyle w:val="Compact"/>
              <w:spacing w:after="40"/>
              <w:jc w:val="left"/>
            </w:pPr>
            <w:r>
              <w:rPr>
                <w:sz w:val="18"/>
              </w:rPr>
              <w:t xml:space="preserve">On</w:t>
            </w:r>
          </w:p>
        </w:tc>
        <w:tc>
          <w:tcPr>
            <w:tcW w:w="2991" w:type="dxa"/>
          </w:tcPr>
          <w:p>
            <w:pPr>
              <w:pStyle w:val="Compact"/>
              <w:spacing w:after="40"/>
              <w:jc w:val="left"/>
            </w:pPr>
            <w:r>
              <w:rPr>
                <w:sz w:val="18"/>
              </w:rPr>
              <w:t xml:space="preserve">May not be switched off while any listed-issuer exposure exists [REC]</w:t>
            </w:r>
          </w:p>
        </w:tc>
      </w:tr>
      <w:tr>
        <w:tc>
          <w:tcPr>
            <w:tcW w:w="2545" w:type="dxa"/>
          </w:tcPr>
          <w:p>
            <w:pPr>
              <w:pStyle w:val="Compact"/>
              <w:spacing w:after="40"/>
              <w:jc w:val="left"/>
            </w:pPr>
            <w:r>
              <w:rPr>
                <w:sz w:val="18"/>
              </w:rPr>
              <w:t xml:space="preserve">SDD retention</w:t>
            </w:r>
          </w:p>
        </w:tc>
        <w:tc>
          <w:tcPr>
            <w:tcW w:w="1688" w:type="dxa"/>
          </w:tcPr>
          <w:p>
            <w:pPr>
              <w:pStyle w:val="Compact"/>
              <w:spacing w:after="40"/>
              <w:jc w:val="left"/>
            </w:pPr>
            <w:r>
              <w:rPr>
                <w:sz w:val="18"/>
              </w:rPr>
              <w:t xml:space="preserve">Platform</w:t>
            </w:r>
          </w:p>
        </w:tc>
        <w:tc>
          <w:tcPr>
            <w:tcW w:w="2414" w:type="dxa"/>
          </w:tcPr>
          <w:p>
            <w:pPr>
              <w:pStyle w:val="Compact"/>
              <w:spacing w:after="40"/>
              <w:jc w:val="left"/>
            </w:pPr>
            <w:r>
              <w:rPr>
                <w:sz w:val="18"/>
              </w:rPr>
              <w:t xml:space="preserve">≥ 8 years</w:t>
            </w:r>
          </w:p>
        </w:tc>
        <w:tc>
          <w:tcPr>
            <w:tcW w:w="2991" w:type="dxa"/>
          </w:tcPr>
          <w:p>
            <w:pPr>
              <w:pStyle w:val="Compact"/>
              <w:spacing w:after="40"/>
              <w:jc w:val="left"/>
            </w:pPr>
            <w:r>
              <w:rPr>
                <w:sz w:val="18"/>
              </w:rPr>
              <w:t xml:space="preserve">Regulatory floor</w:t>
            </w:r>
          </w:p>
        </w:tc>
      </w:tr>
      <w:tr>
        <w:tc>
          <w:tcPr>
            <w:tcW w:w="2545" w:type="dxa"/>
          </w:tcPr>
          <w:p>
            <w:pPr>
              <w:pStyle w:val="Compact"/>
              <w:spacing w:after="40"/>
              <w:jc w:val="left"/>
            </w:pPr>
            <w:r>
              <w:rPr>
                <w:sz w:val="18"/>
              </w:rPr>
              <w:t xml:space="preserve">Exchange filing preparation format</w:t>
            </w:r>
          </w:p>
        </w:tc>
        <w:tc>
          <w:tcPr>
            <w:tcW w:w="1688" w:type="dxa"/>
          </w:tcPr>
          <w:p>
            <w:pPr>
              <w:pStyle w:val="Compact"/>
              <w:spacing w:after="40"/>
              <w:jc w:val="left"/>
            </w:pPr>
            <w:r>
              <w:rPr>
                <w:sz w:val="18"/>
              </w:rPr>
              <w:t xml:space="preserve">Tenant</w:t>
            </w:r>
          </w:p>
        </w:tc>
        <w:tc>
          <w:tcPr>
            <w:tcW w:w="2414" w:type="dxa"/>
          </w:tcPr>
          <w:p>
            <w:pPr>
              <w:pStyle w:val="Compact"/>
              <w:spacing w:after="40"/>
              <w:jc w:val="left"/>
            </w:pPr>
            <w:r>
              <w:rPr>
                <w:sz w:val="18"/>
              </w:rPr>
              <w:t xml:space="preserve">XBRL where the exchange requires it, else PDF</w:t>
            </w:r>
          </w:p>
        </w:tc>
        <w:tc>
          <w:tcPr>
            <w:tcW w:w="2991" w:type="dxa"/>
          </w:tcPr>
          <w:p>
            <w:pPr>
              <w:pStyle w:val="Compact"/>
              <w:spacing w:after="40"/>
              <w:jc w:val="left"/>
            </w:pPr>
            <w:r>
              <w:rPr>
                <w:sz w:val="18"/>
              </w:rPr>
              <w:t xml:space="preserve">Commercial choice</w:t>
            </w:r>
          </w:p>
        </w:tc>
      </w:tr>
    </w:tbl>
    <w:bookmarkEnd w:id="495"/>
    <w:bookmarkStart w:id="496" w:name="X393743fa21da1068d6e148782a59adfc18afbdf"/>
    <w:p>
      <w:pPr>
        <w:pStyle w:val="Heading3"/>
      </w:pPr>
      <w:r>
        <w:t xml:space="preserve">Menu and screens (workspace S, menu</w:t>
      </w:r>
      <w:r>
        <w:t xml:space="preserve"> </w:t>
      </w:r>
      <w:r>
        <w:rPr>
          <w:rStyle w:val="VerbatimChar"/>
        </w:rPr>
        <w:t xml:space="preserve">Governance › Listed entity</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96"/>
        <w:gridCol w:w="5038"/>
        <w:gridCol w:w="2604"/>
      </w:tblGrid>
      <w:tr>
        <w:trPr>
          <w:tblHeader w:val="true"/>
          <w:tblHeader w:val="true"/>
        </w:trPr>
        <w:tc>
          <w:tcPr>
            <w:tcW w:w="1996" w:type="dxa"/>
            <w:shd w:val="clear" w:color="auto" w:fill="1F3A5F"/>
          </w:tcPr>
          <w:p>
            <w:pPr>
              <w:pStyle w:val="Compact"/>
              <w:spacing w:after="40"/>
              <w:jc w:val="left"/>
            </w:pPr>
            <w:r>
              <w:rPr>
                <w:b/>
                <w:color w:val="FFFFFF"/>
                <w:sz w:val="18"/>
              </w:rPr>
              <w:t xml:space="preserve">Path</w:t>
            </w:r>
          </w:p>
        </w:tc>
        <w:tc>
          <w:tcPr>
            <w:tcW w:w="5038" w:type="dxa"/>
            <w:shd w:val="clear" w:color="auto" w:fill="1F3A5F"/>
          </w:tcPr>
          <w:p>
            <w:pPr>
              <w:pStyle w:val="Compact"/>
              <w:spacing w:after="40"/>
              <w:jc w:val="left"/>
            </w:pPr>
            <w:r>
              <w:rPr>
                <w:b/>
                <w:color w:val="FFFFFF"/>
                <w:sz w:val="18"/>
              </w:rPr>
              <w:t xml:space="preserve">Main screens and key actions</w:t>
            </w:r>
          </w:p>
        </w:tc>
        <w:tc>
          <w:tcPr>
            <w:tcW w:w="2604" w:type="dxa"/>
            <w:shd w:val="clear" w:color="auto" w:fill="1F3A5F"/>
          </w:tcPr>
          <w:p>
            <w:pPr>
              <w:pStyle w:val="Compact"/>
              <w:spacing w:after="40"/>
              <w:jc w:val="left"/>
            </w:pPr>
            <w:r>
              <w:rPr>
                <w:b/>
                <w:color w:val="FFFFFF"/>
                <w:sz w:val="18"/>
              </w:rPr>
              <w:t xml:space="preserve">Roles</w:t>
            </w:r>
          </w:p>
        </w:tc>
      </w:tr>
      <w:tr>
        <w:tc>
          <w:tcPr>
            <w:tcW w:w="1996" w:type="dxa"/>
          </w:tcPr>
          <w:p>
            <w:pPr>
              <w:pStyle w:val="Compact"/>
              <w:spacing w:after="40"/>
              <w:jc w:val="left"/>
            </w:pPr>
            <w:r>
              <w:rPr>
                <w:rStyle w:val="VerbatimChar"/>
                <w:sz w:val="18"/>
              </w:rPr>
              <w:t xml:space="preserve">… › Disclosures</w:t>
            </w:r>
          </w:p>
        </w:tc>
        <w:tc>
          <w:tcPr>
            <w:tcW w:w="5038" w:type="dxa"/>
          </w:tcPr>
          <w:p>
            <w:pPr>
              <w:pStyle w:val="Compact"/>
              <w:spacing w:after="40"/>
              <w:jc w:val="left"/>
            </w:pPr>
            <w:r>
              <w:rPr>
                <w:sz w:val="18"/>
              </w:rPr>
              <w:t xml:space="preserve">Event register with a live countdown per Reg 30 clock; event form (time, quantitative test, KMP judgement, decision); filing pack builder;</w:t>
            </w:r>
            <w:r>
              <w:rPr>
                <w:sz w:val="18"/>
              </w:rPr>
              <w:t xml:space="preserve"> </w:t>
            </w:r>
            <w:r>
              <w:rPr>
                <w:sz w:val="18"/>
              </w:rPr>
              <w:t xml:space="preserve">“</w:t>
            </w:r>
            <w:r>
              <w:rPr>
                <w:sz w:val="18"/>
              </w:rPr>
              <w:t xml:space="preserve">record delay reason</w:t>
            </w:r>
            <w:r>
              <w:rPr>
                <w:sz w:val="18"/>
              </w:rPr>
              <w:t xml:space="preserve">”</w:t>
            </w:r>
            <w:r>
              <w:rPr>
                <w:sz w:val="18"/>
              </w:rPr>
              <w:t xml:space="preserve"> </w:t>
            </w:r>
            <w:r>
              <w:rPr>
                <w:sz w:val="18"/>
              </w:rPr>
              <w:t xml:space="preserve">forced after the clock expires</w:t>
            </w:r>
          </w:p>
        </w:tc>
        <w:tc>
          <w:tcPr>
            <w:tcW w:w="2604" w:type="dxa"/>
          </w:tcPr>
          <w:p>
            <w:pPr>
              <w:pStyle w:val="Compact"/>
              <w:spacing w:after="40"/>
              <w:jc w:val="left"/>
            </w:pPr>
            <w:r>
              <w:rPr>
                <w:sz w:val="18"/>
              </w:rPr>
              <w:t xml:space="preserve">Authorised KMP, CS</w:t>
            </w:r>
          </w:p>
        </w:tc>
      </w:tr>
      <w:tr>
        <w:tc>
          <w:tcPr>
            <w:tcW w:w="1996" w:type="dxa"/>
          </w:tcPr>
          <w:p>
            <w:pPr>
              <w:pStyle w:val="Compact"/>
              <w:spacing w:after="40"/>
              <w:jc w:val="left"/>
            </w:pPr>
            <w:r>
              <w:rPr>
                <w:rStyle w:val="VerbatimChar"/>
                <w:sz w:val="18"/>
              </w:rPr>
              <w:t xml:space="preserve">… › Related-party transactions</w:t>
            </w:r>
          </w:p>
        </w:tc>
        <w:tc>
          <w:tcPr>
            <w:tcW w:w="5038" w:type="dxa"/>
          </w:tcPr>
          <w:p>
            <w:pPr>
              <w:pStyle w:val="Compact"/>
              <w:spacing w:after="40"/>
              <w:jc w:val="left"/>
            </w:pPr>
            <w:r>
              <w:rPr>
                <w:sz w:val="18"/>
              </w:rPr>
              <w:t xml:space="preserve">RPT list by state; proposal wizard computing Schedule XII materiality; omnibus approval tracker with utilisation; half-yearly disclosure export</w:t>
            </w:r>
          </w:p>
        </w:tc>
        <w:tc>
          <w:tcPr>
            <w:tcW w:w="2604" w:type="dxa"/>
          </w:tcPr>
          <w:p>
            <w:pPr>
              <w:pStyle w:val="Compact"/>
              <w:spacing w:after="40"/>
              <w:jc w:val="left"/>
            </w:pPr>
            <w:r>
              <w:rPr>
                <w:sz w:val="18"/>
              </w:rPr>
              <w:t xml:space="preserve">CS, CFO, ACB members (read)</w:t>
            </w:r>
          </w:p>
        </w:tc>
      </w:tr>
      <w:tr>
        <w:tc>
          <w:tcPr>
            <w:tcW w:w="1996" w:type="dxa"/>
          </w:tcPr>
          <w:p>
            <w:pPr>
              <w:pStyle w:val="Compact"/>
              <w:spacing w:after="40"/>
              <w:jc w:val="left"/>
            </w:pPr>
            <w:r>
              <w:rPr>
                <w:rStyle w:val="VerbatimChar"/>
                <w:sz w:val="18"/>
              </w:rPr>
              <w:t xml:space="preserve">… › Insider trading</w:t>
            </w:r>
          </w:p>
        </w:tc>
        <w:tc>
          <w:tcPr>
            <w:tcW w:w="5038" w:type="dxa"/>
          </w:tcPr>
          <w:p>
            <w:pPr>
              <w:pStyle w:val="Compact"/>
              <w:spacing w:after="40"/>
              <w:jc w:val="left"/>
            </w:pPr>
            <w:r>
              <w:rPr>
                <w:sz w:val="18"/>
              </w:rPr>
              <w:t xml:space="preserve">SDD (append-only; search, no edit), designated persons and relatives, trading-window calendar, pre-clearance queue, Reg 7 disclosures, restricted list (shared with 7H)</w:t>
            </w:r>
          </w:p>
        </w:tc>
        <w:tc>
          <w:tcPr>
            <w:tcW w:w="2604" w:type="dxa"/>
          </w:tcPr>
          <w:p>
            <w:pPr>
              <w:pStyle w:val="Compact"/>
              <w:spacing w:after="40"/>
              <w:jc w:val="left"/>
            </w:pPr>
            <w:r>
              <w:rPr>
                <w:sz w:val="18"/>
              </w:rPr>
              <w:t xml:space="preserve">Compliance Officer; DPs see only their own requests</w:t>
            </w:r>
          </w:p>
        </w:tc>
      </w:tr>
      <w:tr>
        <w:tc>
          <w:tcPr>
            <w:tcW w:w="1996" w:type="dxa"/>
          </w:tcPr>
          <w:p>
            <w:pPr>
              <w:pStyle w:val="Compact"/>
              <w:spacing w:after="40"/>
              <w:jc w:val="left"/>
            </w:pPr>
            <w:r>
              <w:rPr>
                <w:rStyle w:val="VerbatimChar"/>
                <w:sz w:val="18"/>
              </w:rPr>
              <w:t xml:space="preserve">… › Results and filings</w:t>
            </w:r>
          </w:p>
        </w:tc>
        <w:tc>
          <w:tcPr>
            <w:tcW w:w="5038" w:type="dxa"/>
          </w:tcPr>
          <w:p>
            <w:pPr>
              <w:pStyle w:val="Compact"/>
              <w:spacing w:after="40"/>
              <w:jc w:val="left"/>
            </w:pPr>
            <w:r>
              <w:rPr>
                <w:sz w:val="18"/>
              </w:rPr>
              <w:t xml:space="preserve">Results calendar (Reg 29, 33, 52), filing checklist, acknowledgement capture</w:t>
            </w:r>
          </w:p>
        </w:tc>
        <w:tc>
          <w:tcPr>
            <w:tcW w:w="2604" w:type="dxa"/>
          </w:tcPr>
          <w:p>
            <w:pPr>
              <w:pStyle w:val="Compact"/>
              <w:spacing w:after="40"/>
              <w:jc w:val="left"/>
            </w:pPr>
            <w:r>
              <w:rPr>
                <w:sz w:val="18"/>
              </w:rPr>
              <w:t xml:space="preserve">CS, CFO</w:t>
            </w:r>
          </w:p>
        </w:tc>
      </w:tr>
      <w:tr>
        <w:tc>
          <w:tcPr>
            <w:tcW w:w="1996" w:type="dxa"/>
          </w:tcPr>
          <w:p>
            <w:pPr>
              <w:pStyle w:val="Compact"/>
              <w:spacing w:after="40"/>
              <w:jc w:val="left"/>
            </w:pPr>
            <w:r>
              <w:rPr>
                <w:rStyle w:val="VerbatimChar"/>
                <w:sz w:val="18"/>
              </w:rPr>
              <w:t xml:space="preserve">… › Data room</w:t>
            </w:r>
          </w:p>
        </w:tc>
        <w:tc>
          <w:tcPr>
            <w:tcW w:w="5038" w:type="dxa"/>
          </w:tcPr>
          <w:p>
            <w:pPr>
              <w:pStyle w:val="Compact"/>
              <w:spacing w:after="40"/>
              <w:jc w:val="left"/>
            </w:pPr>
            <w:r>
              <w:rPr>
                <w:sz w:val="18"/>
              </w:rPr>
              <w:t xml:space="preserve">Issue data rooms with external grants, watermark settings and access log</w:t>
            </w:r>
          </w:p>
        </w:tc>
        <w:tc>
          <w:tcPr>
            <w:tcW w:w="2604" w:type="dxa"/>
          </w:tcPr>
          <w:p>
            <w:pPr>
              <w:pStyle w:val="Compact"/>
              <w:spacing w:after="40"/>
              <w:jc w:val="left"/>
            </w:pPr>
            <w:r>
              <w:rPr>
                <w:sz w:val="18"/>
              </w:rPr>
              <w:t xml:space="preserve">CS; external users through AU7</w:t>
            </w:r>
          </w:p>
        </w:tc>
      </w:tr>
    </w:tbl>
    <w:p>
      <w:r>
        <w:pict>
          <v:rect style="width:0;height:1.5pt" o:hralign="center" o:hrstd="t" o:hr="t"/>
        </w:pict>
      </w:r>
    </w:p>
    <w:bookmarkEnd w:id="496"/>
    <w:bookmarkEnd w:id="497"/>
    <w:bookmarkStart w:id="504" w:name="Xa9f5e8eeea6ce0cbd082c36227dc3b146951b92"/>
    <w:p>
      <w:pPr>
        <w:pStyle w:val="Heading2"/>
      </w:pPr>
      <w:r>
        <w:t xml:space="preserve">GV5. Departments, delegation of authority and task management</w:t>
      </w:r>
    </w:p>
    <w:bookmarkStart w:id="498" w:name="gv5.1-departments-and-positions"/>
    <w:p>
      <w:pPr>
        <w:pStyle w:val="Heading3"/>
      </w:pPr>
      <w:r>
        <w:t xml:space="preserve">GV5.1 Departments and positions</w:t>
      </w:r>
    </w:p>
    <w:p>
      <w:pPr>
        <w:numPr>
          <w:ilvl w:val="0"/>
          <w:numId w:val="1446"/>
        </w:numPr>
        <w:pStyle w:val="Compact"/>
      </w:pPr>
      <w:r>
        <w:rPr>
          <w:bCs/>
          <w:b/>
        </w:rPr>
        <w:t xml:space="preserve">Department master (customisable, maker-checker):</w:t>
      </w:r>
      <w:r>
        <w:t xml:space="preserve"> </w:t>
      </w:r>
      <w:r>
        <w:t xml:space="preserve">code, name, parent, legal entity, cost centre (M1), head, function type (business, control, support), control-function flag (risk, compliance, internal audit; drives GOV para 35(4) pay mix and SoD). Templates seeded per entity type; retired departments keep history and cannot hold active users or tasks.</w:t>
      </w:r>
    </w:p>
    <w:p>
      <w:pPr>
        <w:numPr>
          <w:ilvl w:val="0"/>
          <w:numId w:val="1446"/>
        </w:numPr>
        <w:pStyle w:val="Compact"/>
      </w:pPr>
      <w:r>
        <w:rPr>
          <w:bCs/>
          <w:b/>
        </w:rPr>
        <w:t xml:space="preserve">Positions</w:t>
      </w:r>
      <w:r>
        <w:t xml:space="preserve"> </w:t>
      </w:r>
      <w:r>
        <w:t xml:space="preserve">belong to departments and carry the M19 roles; people hold positions, so a transfer moves permissions in one transaction and opens an access review (</w:t>
      </w:r>
      <w:r>
        <w:rPr>
          <w:rStyle w:val="VerbatimChar"/>
        </w:rPr>
        <w:t xml:space="preserve">AccessReviewCompleted</w:t>
      </w:r>
      <w:r>
        <w:t xml:space="preserve"> </w:t>
      </w:r>
      <w:r>
        <w:t xml:space="preserve">with</w:t>
      </w:r>
      <w:r>
        <w:t xml:space="preserve"> </w:t>
      </w:r>
      <w:r>
        <w:rPr>
          <w:rStyle w:val="VerbatimChar"/>
        </w:rPr>
        <w:t xml:space="preserve">review_scope = TENANT</w:t>
      </w:r>
      <w:r>
        <w:t xml:space="preserve"> </w:t>
      </w:r>
      <w:r>
        <w:t xml:space="preserve">on attestation, routed only to the tenant’s compliance destination). Org chart generated with KMP and committee overlays.</w:t>
      </w:r>
    </w:p>
    <w:bookmarkEnd w:id="498"/>
    <w:bookmarkStart w:id="499" w:name="gv5.2-delegation-of-authority-service"/>
    <w:p>
      <w:pPr>
        <w:pStyle w:val="Heading3"/>
      </w:pPr>
      <w:r>
        <w:t xml:space="preserve">GV5.2 Delegation of authority service</w:t>
      </w:r>
    </w:p>
    <w:p>
      <w:pPr>
        <w:pStyle w:val="FirstParagraph"/>
      </w:pPr>
      <w:r>
        <w:t xml:space="preserve">One DoA service, called by M4 sanction, R1.7 recovery, R8 settlement, M10 payment release and GV6 payroll release.</w:t>
      </w:r>
    </w:p>
    <w:p>
      <w:pPr>
        <w:numPr>
          <w:ilvl w:val="0"/>
          <w:numId w:val="1447"/>
        </w:numPr>
        <w:pStyle w:val="Compact"/>
      </w:pPr>
      <w:r>
        <w:rPr>
          <w:rStyle w:val="VerbatimChar"/>
        </w:rPr>
        <w:t xml:space="preserve">doa_rule(legal_entity, domain, action, product, amount_from, amount_to, approver_positions[], approvals_required, sequence, exclusions (interested, sanctioner, self), enabling_resolution_id, valid_from, valid_to)</w:t>
      </w:r>
      <w:r>
        <w:t xml:space="preserve">.</w:t>
      </w:r>
    </w:p>
    <w:p>
      <w:pPr>
        <w:numPr>
          <w:ilvl w:val="0"/>
          <w:numId w:val="1447"/>
        </w:numPr>
        <w:pStyle w:val="Compact"/>
      </w:pPr>
      <w:r>
        <w:t xml:space="preserve">Rules above management level point to the enabling resolution (s.179(3) powers to borrow, invest and lend can be delegated by Board resolution); an expired, revoked or exhausted resolution stops routing and escalates.</w:t>
      </w:r>
    </w:p>
    <w:p>
      <w:pPr>
        <w:numPr>
          <w:ilvl w:val="0"/>
          <w:numId w:val="1447"/>
        </w:numPr>
        <w:pStyle w:val="Compact"/>
      </w:pPr>
      <w:r>
        <w:t xml:space="preserve">Statutory caps checked before routing: s.180(1)(c) borrowing limit (special resolution) in M10; s.186 for non-exempt items; CON and CRM limits in their modules.</w:t>
      </w:r>
    </w:p>
    <w:p>
      <w:pPr>
        <w:numPr>
          <w:ilvl w:val="0"/>
          <w:numId w:val="1447"/>
        </w:numPr>
        <w:pStyle w:val="Compact"/>
      </w:pPr>
      <w:r>
        <w:t xml:space="preserve">Within his band a user decides; above it the request routes upward; every decision stores reason code, rule version and inputs (Part 10.2 principle 25). Substitutes (M19) inherit only the delegator’s band; self-approval is impossible.</w:t>
      </w:r>
    </w:p>
    <w:p>
      <w:pPr>
        <w:numPr>
          <w:ilvl w:val="0"/>
          <w:numId w:val="1447"/>
        </w:numPr>
        <w:pStyle w:val="Compact"/>
      </w:pPr>
      <w:r>
        <w:t xml:space="preserve">Maker-checker by at least two individuals for every sensitive action (CYB paras 8(3), 21(6)); delegated authority for key-parameter changes such as rates (CYB para 21(3)).</w:t>
      </w:r>
    </w:p>
    <w:p>
      <w:pPr>
        <w:numPr>
          <w:ilvl w:val="0"/>
          <w:numId w:val="1447"/>
        </w:numPr>
        <w:pStyle w:val="Compact"/>
      </w:pPr>
      <w:r>
        <w:rPr>
          <w:bCs/>
          <w:b/>
        </w:rPr>
        <w:t xml:space="preserve">Rule changes:</w:t>
      </w:r>
      <w:r>
        <w:t xml:space="preserve"> </w:t>
      </w:r>
      <w:r>
        <w:t xml:space="preserve">a DoA rule is drafted, simulated (</w:t>
      </w:r>
      <w:r>
        <w:t xml:space="preserve">“</w:t>
      </w:r>
      <w:r>
        <w:t xml:space="preserve">who approves a ₹2.4 crore LAP in branch X?</w:t>
      </w:r>
      <w:r>
        <w:t xml:space="preserve">”</w:t>
      </w:r>
      <w:r>
        <w:t xml:space="preserve"> </w:t>
      </w:r>
      <w:r>
        <w:t xml:space="preserve">against the last 90 days of real requests, showing every request that would route differently), approved by maker-checker with the enabling resolution attached, and activated from a future</w:t>
      </w:r>
      <w:r>
        <w:t xml:space="preserve"> </w:t>
      </w:r>
      <w:r>
        <w:rPr>
          <w:rStyle w:val="VerbatimChar"/>
        </w:rPr>
        <w:t xml:space="preserve">valid_from</w:t>
      </w:r>
      <w:r>
        <w:t xml:space="preserve">; requests already in flight keep the rule version they started under.</w:t>
      </w:r>
    </w:p>
    <w:bookmarkEnd w:id="499"/>
    <w:bookmarkStart w:id="500" w:name="gv5.3-tasks"/>
    <w:p>
      <w:pPr>
        <w:pStyle w:val="Heading3"/>
      </w:pPr>
      <w:r>
        <w:t xml:space="preserve">GV5.3 Tasks</w:t>
      </w:r>
    </w:p>
    <w:p>
      <w:pPr>
        <w:numPr>
          <w:ilvl w:val="0"/>
          <w:numId w:val="1448"/>
        </w:numPr>
        <w:pStyle w:val="Compact"/>
      </w:pPr>
      <w:r>
        <w:rPr>
          <w:bCs/>
          <w:b/>
        </w:rPr>
        <w:t xml:space="preserve">Sources:</w:t>
      </w:r>
      <w:r>
        <w:t xml:space="preserve"> </w:t>
      </w:r>
      <w:r>
        <w:t xml:space="preserve">GV2 action items, GV3 calendar, M14 obligations and control tests, Part 7D findings, RK2 KRI breaches, policy reviews, GV6 checklists, manual.</w:t>
      </w:r>
    </w:p>
    <w:p>
      <w:pPr>
        <w:numPr>
          <w:ilvl w:val="0"/>
          <w:numId w:val="1448"/>
        </w:numPr>
        <w:pStyle w:val="Compact"/>
      </w:pPr>
      <w:r>
        <w:rPr>
          <w:bCs/>
          <w:b/>
        </w:rPr>
        <w:t xml:space="preserve">Model:</w:t>
      </w:r>
      <w:r>
        <w:t xml:space="preserve"> </w:t>
      </w:r>
      <w:r>
        <w:t xml:space="preserve">source link, entity, department, assignee (position or person), checker, priority, due date and calendar rule, SLA, evidence requirement, dependencies, confidentiality (normal, restricted HR, restricted legal, UPSI);</w:t>
      </w:r>
      <w:r>
        <w:t xml:space="preserve"> </w:t>
      </w:r>
      <w:r>
        <w:rPr>
          <w:rStyle w:val="VerbatimChar"/>
        </w:rPr>
        <w:t xml:space="preserve">OPEN → IN_PROGRESS → SUBMITTED → CHECKED (accepted or returned) → CLOSED</w:t>
      </w:r>
      <w:r>
        <w:t xml:space="preserve"> </w:t>
      </w:r>
      <w:r>
        <w:t xml:space="preserve">or</w:t>
      </w:r>
      <w:r>
        <w:t xml:space="preserve"> </w:t>
      </w:r>
      <w:r>
        <w:rPr>
          <w:rStyle w:val="VerbatimChar"/>
        </w:rPr>
        <w:t xml:space="preserve">CANCELLED (reason, approver)</w:t>
      </w:r>
      <w:r>
        <w:t xml:space="preserve">;</w:t>
      </w:r>
      <w:r>
        <w:t xml:space="preserve"> </w:t>
      </w:r>
      <w:r>
        <w:rPr>
          <w:rStyle w:val="VerbatimChar"/>
        </w:rPr>
        <w:t xml:space="preserve">BLOCKED</w:t>
      </w:r>
      <w:r>
        <w:t xml:space="preserve"> </w:t>
      </w:r>
      <w:r>
        <w:t xml:space="preserve">(open dependency; SLA paused only for non-statutory tasks, a statutory due date never pauses);</w:t>
      </w:r>
      <w:r>
        <w:t xml:space="preserve"> </w:t>
      </w:r>
      <w:r>
        <w:rPr>
          <w:rStyle w:val="VerbatimChar"/>
        </w:rPr>
        <w:t xml:space="preserve">REOPENED</w:t>
      </w:r>
      <w:r>
        <w:t xml:space="preserve"> </w:t>
      </w:r>
      <w:r>
        <w:t xml:space="preserve">from CLOSED within 90 days when a checker, auditor or later evidence shows the closure was wrong. Reassignment records reason and approver; leave substitutes come from M19.</w:t>
      </w:r>
    </w:p>
    <w:p>
      <w:pPr>
        <w:numPr>
          <w:ilvl w:val="0"/>
          <w:numId w:val="1448"/>
        </w:numPr>
        <w:pStyle w:val="Compact"/>
      </w:pPr>
      <w:r>
        <w:t xml:space="preserve">Regulatory, audit, Board and control tasks close only when a checker other than the assignee accepts the evidence. Escalation at SLA breach to the department head, then the CS or CCO; overdue regulatory tasks appear in the Board compliance certificate.</w:t>
      </w:r>
    </w:p>
    <w:p>
      <w:pPr>
        <w:numPr>
          <w:ilvl w:val="0"/>
          <w:numId w:val="1448"/>
        </w:numPr>
        <w:pStyle w:val="Compact"/>
      </w:pPr>
      <w:r>
        <w:t xml:space="preserve">Assignment only within the tenant; cross-group work belongs to the Operations Hub grant model.</w:t>
      </w:r>
    </w:p>
    <w:p>
      <w:pPr>
        <w:numPr>
          <w:ilvl w:val="0"/>
          <w:numId w:val="1448"/>
        </w:numPr>
        <w:pStyle w:val="Compact"/>
      </w:pPr>
      <w:r>
        <w:rPr>
          <w:rStyle w:val="VerbatimChar"/>
          <w:bCs/>
          <w:b/>
        </w:rPr>
        <w:t xml:space="preserve">TaskAssigned</w:t>
      </w:r>
      <w:r>
        <w:t xml:space="preserve"> </w:t>
      </w:r>
      <w:r>
        <w:t xml:space="preserve">(canonical) for tasks sourced from regulatory obligations, audit findings or resolutions, to the compliance destination: source reference, due date, owner position, evidence requirement.</w:t>
      </w:r>
    </w:p>
    <w:p>
      <w:pPr>
        <w:numPr>
          <w:ilvl w:val="0"/>
          <w:numId w:val="1448"/>
        </w:numPr>
        <w:pStyle w:val="Compact"/>
      </w:pPr>
      <w:r>
        <w:t xml:space="preserve">Notices to Teams or Google Chat via GV7 carry a deep link only.</w:t>
      </w:r>
    </w:p>
    <w:bookmarkEnd w:id="500"/>
    <w:bookmarkStart w:id="501" w:name="acceptance-tests-38"/>
    <w:p>
      <w:pPr>
        <w:pStyle w:val="Heading3"/>
      </w:pPr>
      <w:r>
        <w:t xml:space="preserve">Acceptance tests</w:t>
      </w:r>
    </w:p>
    <w:p>
      <w:pPr>
        <w:numPr>
          <w:ilvl w:val="0"/>
          <w:numId w:val="1449"/>
        </w:numPr>
        <w:pStyle w:val="Compact"/>
      </w:pPr>
      <w:r>
        <w:t xml:space="preserve">A ₹2.4 crore loan routes past the ₹2 crore branch band to the credit committee; revoking the committee’s enabling resolution escalates to the Board.</w:t>
      </w:r>
    </w:p>
    <w:p>
      <w:pPr>
        <w:numPr>
          <w:ilvl w:val="0"/>
          <w:numId w:val="1449"/>
        </w:numPr>
        <w:pStyle w:val="Compact"/>
      </w:pPr>
      <w:r>
        <w:t xml:space="preserve">A substitute cannot approve above the delegator’s band or an application he sourced.</w:t>
      </w:r>
    </w:p>
    <w:p>
      <w:pPr>
        <w:numPr>
          <w:ilvl w:val="0"/>
          <w:numId w:val="1449"/>
        </w:numPr>
        <w:pStyle w:val="Compact"/>
      </w:pPr>
      <w:r>
        <w:t xml:space="preserve">A drawdown breaching the s.180(1)(c) limit without a special resolution is blocked.</w:t>
      </w:r>
    </w:p>
    <w:p>
      <w:pPr>
        <w:numPr>
          <w:ilvl w:val="0"/>
          <w:numId w:val="1449"/>
        </w:numPr>
        <w:pStyle w:val="Compact"/>
      </w:pPr>
      <w:r>
        <w:t xml:space="preserve">Retiring a department with active users is rejected; a position transfer removes old permissions atomically and opens an access review.</w:t>
      </w:r>
    </w:p>
    <w:p>
      <w:pPr>
        <w:numPr>
          <w:ilvl w:val="0"/>
          <w:numId w:val="1449"/>
        </w:numPr>
        <w:pStyle w:val="Compact"/>
      </w:pPr>
      <w:r>
        <w:t xml:space="preserve">An inspection-observation task cannot be closed by its assignee alone.</w:t>
      </w:r>
    </w:p>
    <w:p>
      <w:pPr>
        <w:numPr>
          <w:ilvl w:val="0"/>
          <w:numId w:val="1449"/>
        </w:numPr>
        <w:pStyle w:val="Compact"/>
      </w:pPr>
      <w:r>
        <w:t xml:space="preserve">A DoA rule change with a future</w:t>
      </w:r>
      <w:r>
        <w:t xml:space="preserve"> </w:t>
      </w:r>
      <w:r>
        <w:rPr>
          <w:rStyle w:val="VerbatimChar"/>
        </w:rPr>
        <w:t xml:space="preserve">valid_from</w:t>
      </w:r>
      <w:r>
        <w:t xml:space="preserve"> </w:t>
      </w:r>
      <w:r>
        <w:t xml:space="preserve">leaves in-flight requests on the old version; the simulation lists every historical request whose approver would change.</w:t>
      </w:r>
    </w:p>
    <w:p>
      <w:pPr>
        <w:numPr>
          <w:ilvl w:val="0"/>
          <w:numId w:val="1449"/>
        </w:numPr>
        <w:pStyle w:val="Compact"/>
      </w:pPr>
      <w:r>
        <w:t xml:space="preserve">A</w:t>
      </w:r>
      <w:r>
        <w:t xml:space="preserve"> </w:t>
      </w:r>
      <w:r>
        <w:rPr>
          <w:rStyle w:val="VerbatimChar"/>
        </w:rPr>
        <w:t xml:space="preserve">BLOCKED</w:t>
      </w:r>
      <w:r>
        <w:t xml:space="preserve"> </w:t>
      </w:r>
      <w:r>
        <w:t xml:space="preserve">statutory task keeps its due date and escalates on time.</w:t>
      </w:r>
    </w:p>
    <w:bookmarkEnd w:id="501"/>
    <w:bookmarkStart w:id="502" w:name="settings-and-options-gv5"/>
    <w:p>
      <w:pPr>
        <w:pStyle w:val="Heading3"/>
      </w:pPr>
      <w:r>
        <w:t xml:space="preserve">Settings and options (GV5)</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38"/>
        <w:gridCol w:w="2370"/>
        <w:gridCol w:w="2386"/>
        <w:gridCol w:w="2644"/>
      </w:tblGrid>
      <w:tr>
        <w:trPr>
          <w:tblHeader w:val="true"/>
          <w:tblHeader w:val="true"/>
        </w:trPr>
        <w:tc>
          <w:tcPr>
            <w:tcW w:w="2238" w:type="dxa"/>
            <w:shd w:val="clear" w:color="auto" w:fill="1F3A5F"/>
          </w:tcPr>
          <w:p>
            <w:pPr>
              <w:pStyle w:val="Compact"/>
              <w:spacing w:after="40"/>
              <w:jc w:val="left"/>
            </w:pPr>
            <w:r>
              <w:rPr>
                <w:b/>
                <w:color w:val="FFFFFF"/>
                <w:sz w:val="18"/>
              </w:rPr>
              <w:t xml:space="preserve">Setting</w:t>
            </w:r>
          </w:p>
        </w:tc>
        <w:tc>
          <w:tcPr>
            <w:tcW w:w="2370" w:type="dxa"/>
            <w:shd w:val="clear" w:color="auto" w:fill="1F3A5F"/>
          </w:tcPr>
          <w:p>
            <w:pPr>
              <w:pStyle w:val="Compact"/>
              <w:spacing w:after="40"/>
              <w:jc w:val="left"/>
            </w:pPr>
            <w:r>
              <w:rPr>
                <w:b/>
                <w:color w:val="FFFFFF"/>
                <w:sz w:val="18"/>
              </w:rPr>
              <w:t xml:space="preserve">Level</w:t>
            </w:r>
          </w:p>
        </w:tc>
        <w:tc>
          <w:tcPr>
            <w:tcW w:w="2386" w:type="dxa"/>
            <w:shd w:val="clear" w:color="auto" w:fill="1F3A5F"/>
          </w:tcPr>
          <w:p>
            <w:pPr>
              <w:pStyle w:val="Compact"/>
              <w:spacing w:after="40"/>
              <w:jc w:val="left"/>
            </w:pPr>
            <w:r>
              <w:rPr>
                <w:b/>
                <w:color w:val="FFFFFF"/>
                <w:sz w:val="18"/>
              </w:rPr>
              <w:t xml:space="preserve">Default</w:t>
            </w:r>
          </w:p>
        </w:tc>
        <w:tc>
          <w:tcPr>
            <w:tcW w:w="2644" w:type="dxa"/>
            <w:shd w:val="clear" w:color="auto" w:fill="1F3A5F"/>
          </w:tcPr>
          <w:p>
            <w:pPr>
              <w:pStyle w:val="Compact"/>
              <w:spacing w:after="40"/>
              <w:jc w:val="left"/>
            </w:pPr>
            <w:r>
              <w:rPr>
                <w:b/>
                <w:color w:val="FFFFFF"/>
                <w:sz w:val="18"/>
              </w:rPr>
              <w:t xml:space="preserve">Nature</w:t>
            </w:r>
          </w:p>
        </w:tc>
      </w:tr>
      <w:tr>
        <w:tc>
          <w:tcPr>
            <w:tcW w:w="2238" w:type="dxa"/>
          </w:tcPr>
          <w:p>
            <w:pPr>
              <w:pStyle w:val="Compact"/>
              <w:spacing w:after="40"/>
              <w:jc w:val="left"/>
            </w:pPr>
            <w:r>
              <w:rPr>
                <w:sz w:val="18"/>
              </w:rPr>
              <w:t xml:space="preserve">Department templates</w:t>
            </w:r>
          </w:p>
        </w:tc>
        <w:tc>
          <w:tcPr>
            <w:tcW w:w="2370" w:type="dxa"/>
          </w:tcPr>
          <w:p>
            <w:pPr>
              <w:pStyle w:val="Compact"/>
              <w:spacing w:after="40"/>
              <w:jc w:val="left"/>
            </w:pPr>
            <w:r>
              <w:rPr>
                <w:sz w:val="18"/>
              </w:rPr>
              <w:t xml:space="preserve">Tenant</w:t>
            </w:r>
          </w:p>
        </w:tc>
        <w:tc>
          <w:tcPr>
            <w:tcW w:w="2386" w:type="dxa"/>
          </w:tcPr>
          <w:p>
            <w:pPr>
              <w:pStyle w:val="Compact"/>
              <w:spacing w:after="40"/>
              <w:jc w:val="left"/>
            </w:pPr>
            <w:r>
              <w:rPr>
                <w:sz w:val="18"/>
              </w:rPr>
              <w:t xml:space="preserve">Seeded per entity type</w:t>
            </w:r>
          </w:p>
        </w:tc>
        <w:tc>
          <w:tcPr>
            <w:tcW w:w="2644" w:type="dxa"/>
          </w:tcPr>
          <w:p>
            <w:pPr>
              <w:pStyle w:val="Compact"/>
              <w:spacing w:after="40"/>
              <w:jc w:val="left"/>
            </w:pPr>
            <w:r>
              <w:rPr>
                <w:sz w:val="18"/>
              </w:rPr>
              <w:t xml:space="preserve">Commercial choice</w:t>
            </w:r>
          </w:p>
        </w:tc>
      </w:tr>
      <w:tr>
        <w:tc>
          <w:tcPr>
            <w:tcW w:w="2238" w:type="dxa"/>
          </w:tcPr>
          <w:p>
            <w:pPr>
              <w:pStyle w:val="Compact"/>
              <w:spacing w:after="40"/>
              <w:jc w:val="left"/>
            </w:pPr>
            <w:r>
              <w:rPr>
                <w:sz w:val="18"/>
              </w:rPr>
              <w:t xml:space="preserve">DoA matrix</w:t>
            </w:r>
          </w:p>
        </w:tc>
        <w:tc>
          <w:tcPr>
            <w:tcW w:w="2370" w:type="dxa"/>
          </w:tcPr>
          <w:p>
            <w:pPr>
              <w:pStyle w:val="Compact"/>
              <w:spacing w:after="40"/>
              <w:jc w:val="left"/>
            </w:pPr>
            <w:r>
              <w:rPr>
                <w:sz w:val="18"/>
              </w:rPr>
              <w:t xml:space="preserve">Legal entity, domain, product</w:t>
            </w:r>
          </w:p>
        </w:tc>
        <w:tc>
          <w:tcPr>
            <w:tcW w:w="2386" w:type="dxa"/>
          </w:tcPr>
          <w:p>
            <w:pPr>
              <w:pStyle w:val="Compact"/>
              <w:spacing w:after="40"/>
              <w:jc w:val="left"/>
            </w:pPr>
            <w:r>
              <w:rPr>
                <w:sz w:val="18"/>
              </w:rPr>
              <w:t xml:space="preserve">Seeded bands per Board resolution; empty for amounts above management level</w:t>
            </w:r>
          </w:p>
        </w:tc>
        <w:tc>
          <w:tcPr>
            <w:tcW w:w="2644" w:type="dxa"/>
          </w:tcPr>
          <w:p>
            <w:pPr>
              <w:pStyle w:val="Compact"/>
              <w:spacing w:after="40"/>
              <w:jc w:val="left"/>
            </w:pPr>
            <w:r>
              <w:rPr>
                <w:sz w:val="18"/>
              </w:rPr>
              <w:t xml:space="preserve">Regulated configuration (maker-checker; enabling resolution required above management level)</w:t>
            </w:r>
          </w:p>
        </w:tc>
      </w:tr>
      <w:tr>
        <w:tc>
          <w:tcPr>
            <w:tcW w:w="2238" w:type="dxa"/>
          </w:tcPr>
          <w:p>
            <w:pPr>
              <w:pStyle w:val="Compact"/>
              <w:spacing w:after="40"/>
              <w:jc w:val="left"/>
            </w:pPr>
            <w:r>
              <w:rPr>
                <w:sz w:val="18"/>
              </w:rPr>
              <w:t xml:space="preserve">Self-approval, sanctioner exclusion, interested-director exclusion</w:t>
            </w:r>
          </w:p>
        </w:tc>
        <w:tc>
          <w:tcPr>
            <w:tcW w:w="2370" w:type="dxa"/>
          </w:tcPr>
          <w:p>
            <w:pPr>
              <w:pStyle w:val="Compact"/>
              <w:spacing w:after="40"/>
              <w:jc w:val="left"/>
            </w:pPr>
            <w:r>
              <w:rPr>
                <w:sz w:val="18"/>
              </w:rPr>
              <w:t xml:space="preserve">Platform</w:t>
            </w:r>
          </w:p>
        </w:tc>
        <w:tc>
          <w:tcPr>
            <w:tcW w:w="2386" w:type="dxa"/>
          </w:tcPr>
          <w:p>
            <w:pPr>
              <w:pStyle w:val="Compact"/>
              <w:spacing w:after="40"/>
              <w:jc w:val="left"/>
            </w:pPr>
            <w:r>
              <w:rPr>
                <w:sz w:val="18"/>
              </w:rPr>
              <w:t xml:space="preserve">On</w:t>
            </w:r>
          </w:p>
        </w:tc>
        <w:tc>
          <w:tcPr>
            <w:tcW w:w="2644" w:type="dxa"/>
          </w:tcPr>
          <w:p>
            <w:pPr>
              <w:pStyle w:val="Compact"/>
              <w:spacing w:after="40"/>
              <w:jc w:val="left"/>
            </w:pPr>
            <w:r>
              <w:rPr>
                <w:sz w:val="18"/>
              </w:rPr>
              <w:t xml:space="preserve">Regulatory floor, no override</w:t>
            </w:r>
          </w:p>
        </w:tc>
      </w:tr>
      <w:tr>
        <w:tc>
          <w:tcPr>
            <w:tcW w:w="2238" w:type="dxa"/>
          </w:tcPr>
          <w:p>
            <w:pPr>
              <w:pStyle w:val="Compact"/>
              <w:spacing w:after="40"/>
              <w:jc w:val="left"/>
            </w:pPr>
            <w:r>
              <w:rPr>
                <w:sz w:val="18"/>
              </w:rPr>
              <w:t xml:space="preserve">Task SLA and escalation ladder</w:t>
            </w:r>
          </w:p>
        </w:tc>
        <w:tc>
          <w:tcPr>
            <w:tcW w:w="2370" w:type="dxa"/>
          </w:tcPr>
          <w:p>
            <w:pPr>
              <w:pStyle w:val="Compact"/>
              <w:spacing w:after="40"/>
              <w:jc w:val="left"/>
            </w:pPr>
            <w:r>
              <w:rPr>
                <w:sz w:val="18"/>
              </w:rPr>
              <w:t xml:space="preserve">Tenant, per source</w:t>
            </w:r>
          </w:p>
        </w:tc>
        <w:tc>
          <w:tcPr>
            <w:tcW w:w="2386" w:type="dxa"/>
          </w:tcPr>
          <w:p>
            <w:pPr>
              <w:pStyle w:val="Compact"/>
              <w:spacing w:after="40"/>
              <w:jc w:val="left"/>
            </w:pPr>
            <w:r>
              <w:rPr>
                <w:sz w:val="18"/>
              </w:rPr>
              <w:t xml:space="preserve">Department head, then CS or CCO</w:t>
            </w:r>
          </w:p>
        </w:tc>
        <w:tc>
          <w:tcPr>
            <w:tcW w:w="2644" w:type="dxa"/>
          </w:tcPr>
          <w:p>
            <w:pPr>
              <w:pStyle w:val="Compact"/>
              <w:spacing w:after="40"/>
              <w:jc w:val="left"/>
            </w:pPr>
            <w:r>
              <w:rPr>
                <w:sz w:val="18"/>
              </w:rPr>
              <w:t xml:space="preserve">Commercial choice; statutory dates cannot be extended</w:t>
            </w:r>
          </w:p>
        </w:tc>
      </w:tr>
      <w:tr>
        <w:tc>
          <w:tcPr>
            <w:tcW w:w="2238" w:type="dxa"/>
          </w:tcPr>
          <w:p>
            <w:pPr>
              <w:pStyle w:val="Compact"/>
              <w:spacing w:after="40"/>
              <w:jc w:val="left"/>
            </w:pPr>
            <w:r>
              <w:rPr>
                <w:sz w:val="18"/>
              </w:rPr>
              <w:t xml:space="preserve">Checker required to close</w:t>
            </w:r>
          </w:p>
        </w:tc>
        <w:tc>
          <w:tcPr>
            <w:tcW w:w="2370" w:type="dxa"/>
          </w:tcPr>
          <w:p>
            <w:pPr>
              <w:pStyle w:val="Compact"/>
              <w:spacing w:after="40"/>
              <w:jc w:val="left"/>
            </w:pPr>
            <w:r>
              <w:rPr>
                <w:sz w:val="18"/>
              </w:rPr>
              <w:t xml:space="preserve">Platform for regulatory, audit, Board and control tasks; tenant for others</w:t>
            </w:r>
          </w:p>
        </w:tc>
        <w:tc>
          <w:tcPr>
            <w:tcW w:w="2386" w:type="dxa"/>
          </w:tcPr>
          <w:p>
            <w:pPr>
              <w:pStyle w:val="Compact"/>
              <w:spacing w:after="40"/>
              <w:jc w:val="left"/>
            </w:pPr>
            <w:r>
              <w:rPr>
                <w:sz w:val="18"/>
              </w:rPr>
              <w:t xml:space="preserve">On</w:t>
            </w:r>
          </w:p>
        </w:tc>
        <w:tc>
          <w:tcPr>
            <w:tcW w:w="2644" w:type="dxa"/>
          </w:tcPr>
          <w:p>
            <w:pPr>
              <w:pStyle w:val="Compact"/>
              <w:spacing w:after="40"/>
              <w:jc w:val="left"/>
            </w:pPr>
            <w:r>
              <w:rPr>
                <w:sz w:val="18"/>
              </w:rPr>
              <w:t xml:space="preserve">Floor for the listed sources</w:t>
            </w:r>
          </w:p>
        </w:tc>
      </w:tr>
      <w:tr>
        <w:tc>
          <w:tcPr>
            <w:tcW w:w="2238" w:type="dxa"/>
          </w:tcPr>
          <w:p>
            <w:pPr>
              <w:pStyle w:val="Compact"/>
              <w:spacing w:after="40"/>
              <w:jc w:val="left"/>
            </w:pPr>
            <w:r>
              <w:rPr>
                <w:sz w:val="18"/>
              </w:rPr>
              <w:t xml:space="preserve">Notifications</w:t>
            </w:r>
          </w:p>
        </w:tc>
        <w:tc>
          <w:tcPr>
            <w:tcW w:w="2370" w:type="dxa"/>
          </w:tcPr>
          <w:p>
            <w:pPr>
              <w:pStyle w:val="Compact"/>
              <w:spacing w:after="40"/>
              <w:jc w:val="left"/>
            </w:pPr>
            <w:r>
              <w:rPr>
                <w:sz w:val="18"/>
              </w:rPr>
              <w:t xml:space="preserve">User</w:t>
            </w:r>
          </w:p>
        </w:tc>
        <w:tc>
          <w:tcPr>
            <w:tcW w:w="2386" w:type="dxa"/>
          </w:tcPr>
          <w:p>
            <w:pPr>
              <w:pStyle w:val="Compact"/>
              <w:spacing w:after="40"/>
              <w:jc w:val="left"/>
            </w:pPr>
            <w:r>
              <w:rPr>
                <w:sz w:val="18"/>
              </w:rPr>
              <w:t xml:space="preserve">In-app plus email digest; Teams or Google Chat via GV7 with deep link only</w:t>
            </w:r>
          </w:p>
        </w:tc>
        <w:tc>
          <w:tcPr>
            <w:tcW w:w="2644" w:type="dxa"/>
          </w:tcPr>
          <w:p>
            <w:pPr>
              <w:pStyle w:val="Compact"/>
              <w:spacing w:after="40"/>
              <w:jc w:val="left"/>
            </w:pPr>
            <w:r>
              <w:rPr>
                <w:sz w:val="18"/>
              </w:rPr>
              <w:t xml:space="preserve">User choice</w:t>
            </w:r>
          </w:p>
        </w:tc>
      </w:tr>
    </w:tbl>
    <w:bookmarkEnd w:id="502"/>
    <w:bookmarkStart w:id="503" w:name="Xf0cf7f259720b404a9fd500697caf5a624e9cd1"/>
    <w:p>
      <w:pPr>
        <w:pStyle w:val="Heading3"/>
      </w:pPr>
      <w:r>
        <w:t xml:space="preserve">Menu and screens (workspace S, menus</w:t>
      </w:r>
      <w:r>
        <w:t xml:space="preserve"> </w:t>
      </w:r>
      <w:r>
        <w:rPr>
          <w:rStyle w:val="VerbatimChar"/>
        </w:rPr>
        <w:t xml:space="preserve">Organisation</w:t>
      </w:r>
      <w:r>
        <w:t xml:space="preserve"> </w:t>
      </w:r>
      <w:r>
        <w:t xml:space="preserve">and</w:t>
      </w:r>
      <w:r>
        <w:t xml:space="preserve"> </w:t>
      </w:r>
      <w:r>
        <w:rPr>
          <w:rStyle w:val="VerbatimChar"/>
        </w:rPr>
        <w:t xml:space="preserve">Tasks</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16"/>
        <w:gridCol w:w="4637"/>
        <w:gridCol w:w="2285"/>
      </w:tblGrid>
      <w:tr>
        <w:trPr>
          <w:tblHeader w:val="true"/>
          <w:tblHeader w:val="true"/>
        </w:trPr>
        <w:tc>
          <w:tcPr>
            <w:tcW w:w="2716" w:type="dxa"/>
            <w:shd w:val="clear" w:color="auto" w:fill="1F3A5F"/>
          </w:tcPr>
          <w:p>
            <w:pPr>
              <w:pStyle w:val="Compact"/>
              <w:spacing w:after="40"/>
              <w:jc w:val="left"/>
            </w:pPr>
            <w:r>
              <w:rPr>
                <w:b/>
                <w:color w:val="FFFFFF"/>
                <w:sz w:val="18"/>
              </w:rPr>
              <w:t xml:space="preserve">Path</w:t>
            </w:r>
          </w:p>
        </w:tc>
        <w:tc>
          <w:tcPr>
            <w:tcW w:w="4637" w:type="dxa"/>
            <w:shd w:val="clear" w:color="auto" w:fill="1F3A5F"/>
          </w:tcPr>
          <w:p>
            <w:pPr>
              <w:pStyle w:val="Compact"/>
              <w:spacing w:after="40"/>
              <w:jc w:val="left"/>
            </w:pPr>
            <w:r>
              <w:rPr>
                <w:b/>
                <w:color w:val="FFFFFF"/>
                <w:sz w:val="18"/>
              </w:rPr>
              <w:t xml:space="preserve">Main screens and key actions</w:t>
            </w:r>
          </w:p>
        </w:tc>
        <w:tc>
          <w:tcPr>
            <w:tcW w:w="2285" w:type="dxa"/>
            <w:shd w:val="clear" w:color="auto" w:fill="1F3A5F"/>
          </w:tcPr>
          <w:p>
            <w:pPr>
              <w:pStyle w:val="Compact"/>
              <w:spacing w:after="40"/>
              <w:jc w:val="left"/>
            </w:pPr>
            <w:r>
              <w:rPr>
                <w:b/>
                <w:color w:val="FFFFFF"/>
                <w:sz w:val="18"/>
              </w:rPr>
              <w:t xml:space="preserve">Roles</w:t>
            </w:r>
          </w:p>
        </w:tc>
      </w:tr>
      <w:tr>
        <w:tc>
          <w:tcPr>
            <w:tcW w:w="2716" w:type="dxa"/>
          </w:tcPr>
          <w:p>
            <w:pPr>
              <w:pStyle w:val="Compact"/>
              <w:spacing w:after="40"/>
              <w:jc w:val="left"/>
            </w:pPr>
            <w:r>
              <w:rPr>
                <w:rStyle w:val="VerbatimChar"/>
                <w:sz w:val="18"/>
              </w:rPr>
              <w:t xml:space="preserve">Settings › Organisation › Departments</w:t>
            </w:r>
          </w:p>
        </w:tc>
        <w:tc>
          <w:tcPr>
            <w:tcW w:w="4637" w:type="dxa"/>
          </w:tcPr>
          <w:p>
            <w:pPr>
              <w:pStyle w:val="Compact"/>
              <w:spacing w:after="40"/>
              <w:jc w:val="left"/>
            </w:pPr>
            <w:r>
              <w:rPr>
                <w:sz w:val="18"/>
              </w:rPr>
              <w:t xml:space="preserve">Tree and list; create or retire (blocked while users or tasks are active)</w:t>
            </w:r>
          </w:p>
        </w:tc>
        <w:tc>
          <w:tcPr>
            <w:tcW w:w="2285" w:type="dxa"/>
          </w:tcPr>
          <w:p>
            <w:pPr>
              <w:pStyle w:val="Compact"/>
              <w:spacing w:after="40"/>
              <w:jc w:val="left"/>
            </w:pPr>
            <w:r>
              <w:rPr>
                <w:sz w:val="18"/>
              </w:rPr>
              <w:t xml:space="preserve">Tenant admin maker, CS or HR head checker</w:t>
            </w:r>
          </w:p>
        </w:tc>
      </w:tr>
      <w:tr>
        <w:tc>
          <w:tcPr>
            <w:tcW w:w="2716" w:type="dxa"/>
          </w:tcPr>
          <w:p>
            <w:pPr>
              <w:pStyle w:val="Compact"/>
              <w:spacing w:after="40"/>
              <w:jc w:val="left"/>
            </w:pPr>
            <w:r>
              <w:rPr>
                <w:rStyle w:val="VerbatimChar"/>
                <w:sz w:val="18"/>
              </w:rPr>
              <w:t xml:space="preserve">Settings › Organisation › Positions</w:t>
            </w:r>
          </w:p>
        </w:tc>
        <w:tc>
          <w:tcPr>
            <w:tcW w:w="4637" w:type="dxa"/>
          </w:tcPr>
          <w:p>
            <w:pPr>
              <w:pStyle w:val="Compact"/>
              <w:spacing w:after="40"/>
              <w:jc w:val="left"/>
            </w:pPr>
            <w:r>
              <w:rPr>
                <w:sz w:val="18"/>
              </w:rPr>
              <w:t xml:space="preserve">Position list with role sets and holders; transfer wizard (atomic permission move and access review)</w:t>
            </w:r>
          </w:p>
        </w:tc>
        <w:tc>
          <w:tcPr>
            <w:tcW w:w="2285" w:type="dxa"/>
          </w:tcPr>
          <w:p>
            <w:pPr>
              <w:pStyle w:val="Compact"/>
              <w:spacing w:after="40"/>
              <w:jc w:val="left"/>
            </w:pPr>
            <w:r>
              <w:rPr>
                <w:sz w:val="18"/>
              </w:rPr>
              <w:t xml:space="preserve">HR, tenant admin</w:t>
            </w:r>
          </w:p>
        </w:tc>
      </w:tr>
      <w:tr>
        <w:tc>
          <w:tcPr>
            <w:tcW w:w="2716" w:type="dxa"/>
          </w:tcPr>
          <w:p>
            <w:pPr>
              <w:pStyle w:val="Compact"/>
              <w:spacing w:after="40"/>
              <w:jc w:val="left"/>
            </w:pPr>
            <w:r>
              <w:rPr>
                <w:rStyle w:val="VerbatimChar"/>
                <w:sz w:val="18"/>
              </w:rPr>
              <w:t xml:space="preserve">Settings › Organisation › Org chart</w:t>
            </w:r>
          </w:p>
        </w:tc>
        <w:tc>
          <w:tcPr>
            <w:tcW w:w="4637" w:type="dxa"/>
          </w:tcPr>
          <w:p>
            <w:pPr>
              <w:pStyle w:val="Compact"/>
              <w:spacing w:after="40"/>
              <w:jc w:val="left"/>
            </w:pPr>
            <w:r>
              <w:rPr>
                <w:sz w:val="18"/>
              </w:rPr>
              <w:t xml:space="preserve">Generated chart with KMP and committee overlays; export PDF</w:t>
            </w:r>
          </w:p>
        </w:tc>
        <w:tc>
          <w:tcPr>
            <w:tcW w:w="2285" w:type="dxa"/>
          </w:tcPr>
          <w:p>
            <w:pPr>
              <w:pStyle w:val="Compact"/>
              <w:spacing w:after="40"/>
              <w:jc w:val="left"/>
            </w:pPr>
            <w:r>
              <w:rPr>
                <w:sz w:val="18"/>
              </w:rPr>
              <w:t xml:space="preserve">All staff (names and positions only)</w:t>
            </w:r>
          </w:p>
        </w:tc>
      </w:tr>
      <w:tr>
        <w:tc>
          <w:tcPr>
            <w:tcW w:w="2716" w:type="dxa"/>
          </w:tcPr>
          <w:p>
            <w:pPr>
              <w:pStyle w:val="Compact"/>
              <w:spacing w:after="40"/>
              <w:jc w:val="left"/>
            </w:pPr>
            <w:r>
              <w:rPr>
                <w:rStyle w:val="VerbatimChar"/>
                <w:sz w:val="18"/>
              </w:rPr>
              <w:t xml:space="preserve">Governance › Delegation</w:t>
            </w:r>
          </w:p>
        </w:tc>
        <w:tc>
          <w:tcPr>
            <w:tcW w:w="4637" w:type="dxa"/>
          </w:tcPr>
          <w:p>
            <w:pPr>
              <w:pStyle w:val="Compact"/>
              <w:spacing w:after="40"/>
              <w:jc w:val="left"/>
            </w:pPr>
            <w:r>
              <w:rPr>
                <w:sz w:val="18"/>
              </w:rPr>
              <w:t xml:space="preserve">DoA matrix editor, simulation, version history, enabling resolutions; statutory limits (s.180, s.186) with utilisation</w:t>
            </w:r>
          </w:p>
        </w:tc>
        <w:tc>
          <w:tcPr>
            <w:tcW w:w="2285" w:type="dxa"/>
          </w:tcPr>
          <w:p>
            <w:pPr>
              <w:pStyle w:val="Compact"/>
              <w:spacing w:after="40"/>
              <w:jc w:val="left"/>
            </w:pPr>
            <w:r>
              <w:rPr>
                <w:sz w:val="18"/>
              </w:rPr>
              <w:t xml:space="preserve">CS, CFO, tenant admin</w:t>
            </w:r>
          </w:p>
        </w:tc>
      </w:tr>
      <w:tr>
        <w:tc>
          <w:tcPr>
            <w:tcW w:w="2716" w:type="dxa"/>
          </w:tcPr>
          <w:p>
            <w:pPr>
              <w:pStyle w:val="Compact"/>
              <w:spacing w:after="40"/>
              <w:jc w:val="left"/>
            </w:pPr>
            <w:r>
              <w:rPr>
                <w:sz w:val="18"/>
              </w:rPr>
              <w:t xml:space="preserve">Top-bar</w:t>
            </w:r>
            <w:r>
              <w:rPr>
                <w:sz w:val="18"/>
              </w:rPr>
              <w:t xml:space="preserve"> </w:t>
            </w:r>
            <w:r>
              <w:rPr>
                <w:rStyle w:val="VerbatimChar"/>
                <w:sz w:val="18"/>
              </w:rPr>
              <w:t xml:space="preserve">Inbox</w:t>
            </w:r>
            <w:r>
              <w:rPr>
                <w:sz w:val="18"/>
              </w:rPr>
              <w:t xml:space="preserve"> </w:t>
            </w:r>
            <w:r>
              <w:rPr>
                <w:sz w:val="18"/>
              </w:rPr>
              <w:t xml:space="preserve">tabs: My tasks, Team, Approvals, Escalations</w:t>
            </w:r>
          </w:p>
        </w:tc>
        <w:tc>
          <w:tcPr>
            <w:tcW w:w="4637" w:type="dxa"/>
          </w:tcPr>
          <w:p>
            <w:pPr>
              <w:pStyle w:val="Compact"/>
              <w:spacing w:after="40"/>
              <w:jc w:val="left"/>
            </w:pPr>
            <w:r>
              <w:rPr>
                <w:sz w:val="18"/>
              </w:rPr>
              <w:t xml:space="preserve">Saved views, filters (source, due, priority, confidentiality), bulk reassign and bulk comment, evidence upload, keyboard shortcuts (next, accept, return); overdue banner</w:t>
            </w:r>
          </w:p>
        </w:tc>
        <w:tc>
          <w:tcPr>
            <w:tcW w:w="2285" w:type="dxa"/>
          </w:tcPr>
          <w:p>
            <w:pPr>
              <w:pStyle w:val="Compact"/>
              <w:spacing w:after="40"/>
              <w:jc w:val="left"/>
            </w:pPr>
            <w:r>
              <w:rPr>
                <w:sz w:val="18"/>
              </w:rPr>
              <w:t xml:space="preserve">All staff within scope</w:t>
            </w:r>
          </w:p>
        </w:tc>
      </w:tr>
    </w:tbl>
    <w:p>
      <w:r>
        <w:pict>
          <v:rect style="width:0;height:1.5pt" o:hralign="center" o:hrstd="t" o:hr="t"/>
        </w:pict>
      </w:r>
    </w:p>
    <w:bookmarkEnd w:id="503"/>
    <w:bookmarkEnd w:id="504"/>
    <w:bookmarkStart w:id="515" w:name="X7b3a0e5cc62a4f7da3a535e2afac343a93d9966"/>
    <w:p>
      <w:pPr>
        <w:pStyle w:val="Heading2"/>
      </w:pPr>
      <w:r>
        <w:t xml:space="preserve">GV6. Client HRMS and payroll (optional module)</w:t>
      </w:r>
    </w:p>
    <w:p>
      <w:pPr>
        <w:pStyle w:val="FirstParagraph"/>
      </w:pPr>
      <w:r>
        <w:t xml:space="preserve">Optional SKU</w:t>
      </w:r>
      <w:r>
        <w:t xml:space="preserve"> </w:t>
      </w:r>
      <w:r>
        <w:rPr>
          <w:rStyle w:val="VerbatimChar"/>
        </w:rPr>
        <w:t xml:space="preserve">Workforce</w:t>
      </w:r>
      <w:r>
        <w:t xml:space="preserve"> </w:t>
      </w:r>
      <w:r>
        <w:t xml:space="preserve">(module registry, CM1). The tenant is employer and fiduciary; Infrabyx is processor. Employment processing is a legitimate use (DPDP s.7(i)) [VERIFY wording], still bound by purpose limitation, safeguards and erasure. HR data is RESTRICTED: invisible to loan-side roles, excluded from AI training, Operations Hub dashboards and general exports (DP1). All rates and thresholds live in versioned, effective-dated rule packs.</w:t>
      </w:r>
    </w:p>
    <w:p>
      <w:pPr>
        <w:pStyle w:val="BodyText"/>
      </w:pPr>
      <w:r>
        <w:t xml:space="preserve">The Labour Code rule packs (wage definition, leave, overtime, gratuity, State PT and LWF tables, form layouts, prohibited-monitoring list) are one signed, versioned artefact shared with the Operations Hub (OH10):</w:t>
      </w:r>
      <w:r>
        <w:t xml:space="preserve"> </w:t>
      </w:r>
      <w:r>
        <w:rPr>
          <w:rStyle w:val="VerbatimChar"/>
        </w:rPr>
        <w:t xml:space="preserve">infrabyx-labour-rulepack</w:t>
      </w:r>
      <w:r>
        <w:t xml:space="preserve">, published under</w:t>
      </w:r>
      <w:r>
        <w:t xml:space="preserve"> </w:t>
      </w:r>
      <w:r>
        <w:rPr>
          <w:rStyle w:val="VerbatimChar"/>
        </w:rPr>
        <w:t xml:space="preserve">infrabyx-contracts/rulepacks/labour-codes/[semver]/</w:t>
      </w:r>
      <w:r>
        <w:t xml:space="preserve">, pinned in</w:t>
      </w:r>
      <w:r>
        <w:t xml:space="preserve"> </w:t>
      </w:r>
      <w:r>
        <w:rPr>
          <w:rStyle w:val="VerbatimChar"/>
        </w:rPr>
        <w:t xml:space="preserve">contracts.lock</w:t>
      </w:r>
      <w:r>
        <w:t xml:space="preserve"> </w:t>
      </w:r>
      <w:r>
        <w:t xml:space="preserve">and signature-checked at load; a rule still marked</w:t>
      </w:r>
      <w:r>
        <w:t xml:space="preserve"> </w:t>
      </w:r>
      <w:r>
        <w:rPr>
          <w:rStyle w:val="VerbatimChar"/>
        </w:rPr>
        <w:t xml:space="preserve">[VERIFY]</w:t>
      </w:r>
      <w:r>
        <w:t xml:space="preserve"> </w:t>
      </w:r>
      <w:r>
        <w:t xml:space="preserve">cannot drive a statutory output; salary TDS uses the companion pack</w:t>
      </w:r>
      <w:r>
        <w:t xml:space="preserve"> </w:t>
      </w:r>
      <w:r>
        <w:rPr>
          <w:rStyle w:val="VerbatimChar"/>
        </w:rPr>
        <w:t xml:space="preserve">ita25-salary-tds</w:t>
      </w:r>
      <w:r>
        <w:t xml:space="preserve"> </w:t>
      </w:r>
      <w:r>
        <w:t xml:space="preserve">(Integration Spec Part 12.3). Both repositories run the pack’s golden fixtures in CI and must produce identical results.</w:t>
      </w:r>
    </w:p>
    <w:bookmarkStart w:id="505" w:name="gv6.1-legal-status-and-applicability"/>
    <w:p>
      <w:pPr>
        <w:pStyle w:val="Heading3"/>
      </w:pPr>
      <w:r>
        <w:t xml:space="preserve">GV6.1 Legal status and applicability</w:t>
      </w:r>
    </w:p>
    <w:p>
      <w:pPr>
        <w:numPr>
          <w:ilvl w:val="0"/>
          <w:numId w:val="1450"/>
        </w:numPr>
        <w:pStyle w:val="Compact"/>
      </w:pPr>
      <w:r>
        <w:t xml:space="preserve">The four Labour Codes are in force from</w:t>
      </w:r>
      <w:r>
        <w:t xml:space="preserve"> </w:t>
      </w:r>
      <w:r>
        <w:rPr>
          <w:bCs/>
          <w:b/>
        </w:rPr>
        <w:t xml:space="preserve">21 Nov 2025</w:t>
      </w:r>
      <w:r>
        <w:t xml:space="preserve">; final</w:t>
      </w:r>
      <w:r>
        <w:t xml:space="preserve"> </w:t>
      </w:r>
      <w:r>
        <w:rPr>
          <w:bCs/>
          <w:b/>
        </w:rPr>
        <w:t xml:space="preserve">Central Rules notified 8 May 2026</w:t>
      </w:r>
      <w:r>
        <w:t xml:space="preserve"> </w:t>
      </w:r>
      <w:r>
        <w:t xml:space="preserve">(G.S.R. 342(E)–345(E); Wages (Central) Rules G.S.R. 343(E), corrigendum G.S.R. 629(E) of 15 Jul 2026) [LAW].</w:t>
      </w:r>
    </w:p>
    <w:p>
      <w:pPr>
        <w:numPr>
          <w:ilvl w:val="0"/>
          <w:numId w:val="1450"/>
        </w:numPr>
        <w:pStyle w:val="Compact"/>
      </w:pPr>
      <w:r>
        <w:t xml:space="preserve">Most States had not notified final rules by May 2026; old State rules continue so far as consistent (MoLE FAQ 1). A</w:t>
      </w:r>
      <w:r>
        <w:t xml:space="preserve"> </w:t>
      </w:r>
      <w:r>
        <w:rPr>
          <w:rStyle w:val="VerbatimChar"/>
        </w:rPr>
        <w:t xml:space="preserve">state_rule_status</w:t>
      </w:r>
      <w:r>
        <w:t xml:space="preserve"> </w:t>
      </w:r>
      <w:r>
        <w:t xml:space="preserve">table per State and Code holds status, notification and effective date [VERIFY: Delhi, UP, Rajasthan, Karnataka, Maharashtra, Gujarat at go-live].</w:t>
      </w:r>
    </w:p>
    <w:p>
      <w:pPr>
        <w:numPr>
          <w:ilvl w:val="0"/>
          <w:numId w:val="1450"/>
        </w:numPr>
        <w:pStyle w:val="Compact"/>
      </w:pPr>
      <w:r>
        <w:rPr>
          <w:bCs/>
          <w:b/>
        </w:rPr>
        <w:t xml:space="preserve">Appropriate Government</w:t>
      </w:r>
      <w:r>
        <w:t xml:space="preserve"> </w:t>
      </w:r>
      <w:r>
        <w:t xml:space="preserve">per establishment (Central for banking companies and central-sphere establishments; State for most NBFCs [VERIFY]) selects Rules and wage floors.</w:t>
      </w:r>
    </w:p>
    <w:p>
      <w:pPr>
        <w:numPr>
          <w:ilvl w:val="0"/>
          <w:numId w:val="1450"/>
        </w:numPr>
        <w:pStyle w:val="Compact"/>
      </w:pPr>
      <w:r>
        <w:rPr>
          <w:bCs/>
          <w:b/>
        </w:rPr>
        <w:t xml:space="preserve">Establishment profile:</w:t>
      </w:r>
      <w:r>
        <w:t xml:space="preserve"> </w:t>
      </w:r>
      <w:r>
        <w:t xml:space="preserve">headcount by worker type (employee, worker, fixed-term, contract, gig);</w:t>
      </w:r>
      <w:r>
        <w:t xml:space="preserve"> </w:t>
      </w:r>
      <w:r>
        <w:t xml:space="preserve">“</w:t>
      </w:r>
      <w:r>
        <w:t xml:space="preserve">worker</w:t>
      </w:r>
      <w:r>
        <w:t xml:space="preserve">”</w:t>
      </w:r>
      <w:r>
        <w:t xml:space="preserve"> </w:t>
      </w:r>
      <w:r>
        <w:t xml:space="preserve">excludes supervisors above ₹18,000 a month (MoLE FAQ 14); S&amp;E Act registration and State thresholds (UP 20+; Maharashtra and Gujarat 20+; Rajasthan up to 10 exempt; Karnataka OSHWC exclusion); EPF 20+, ESI 10+ in notified areas, gratuity 10+, POSH IC 10+ per office, Model Standing Orders 300+.</w:t>
      </w:r>
    </w:p>
    <w:bookmarkEnd w:id="505"/>
    <w:bookmarkStart w:id="506" w:name="gv6.2-lifecycle"/>
    <w:p>
      <w:pPr>
        <w:pStyle w:val="Heading3"/>
      </w:pPr>
      <w:r>
        <w:t xml:space="preserve">GV6.2 Lifecycle</w:t>
      </w:r>
    </w:p>
    <w:p>
      <w:pPr>
        <w:pStyle w:val="FirstParagraph"/>
      </w:pPr>
      <w:r>
        <w:rPr>
          <w:rStyle w:val="VerbatimChar"/>
        </w:rPr>
        <w:t xml:space="preserve">REQUISITION (DoA) → OFFER → OFFER_ACCEPTED → PREBOARDING → IDENTITY_PROVISIONED → JOINED → PROBATION → CONFIRMED → (TRANSFER or ROLE_CHANGE)* → EXIT_INITIATED → LAST_WORKING_DAY → FNF_WAGES_PAID → FNF_OTHER_PAID → ARCHIVED</w:t>
      </w:r>
      <w:r>
        <w:t xml:space="preserve">.</w:t>
      </w:r>
    </w:p>
    <w:p>
      <w:pPr>
        <w:numPr>
          <w:ilvl w:val="0"/>
          <w:numId w:val="1451"/>
        </w:numPr>
        <w:pStyle w:val="Compact"/>
      </w:pPr>
      <w:r>
        <w:rPr>
          <w:bCs/>
          <w:b/>
        </w:rPr>
        <w:t xml:space="preserve">Appointment letter</w:t>
      </w:r>
      <w:r>
        <w:t xml:space="preserve"> </w:t>
      </w:r>
      <w:r>
        <w:t xml:space="preserve">mandatory, existing staff within 3 months of the OSHWC Rules: identity, dates, designation, UAN or ESI number, wage components tagged by CoW class, social security, probation, notice, place of work, WFH clause.</w:t>
      </w:r>
    </w:p>
    <w:p>
      <w:pPr>
        <w:numPr>
          <w:ilvl w:val="0"/>
          <w:numId w:val="1451"/>
        </w:numPr>
        <w:pStyle w:val="Compact"/>
      </w:pPr>
      <w:r>
        <w:rPr>
          <w:bCs/>
          <w:b/>
        </w:rPr>
        <w:t xml:space="preserve">Checks:</w:t>
      </w:r>
      <w:r>
        <w:t xml:space="preserve"> </w:t>
      </w:r>
      <w:r>
        <w:t xml:space="preserve">background verification for sensitive and privileged positions (CYB para 21(4)); fit-and-proper for KMP (GV1); conflicts; code of conduct. Mandatory leave for sensitive positions (ORM</w:t>
      </w:r>
      <w:r>
        <w:t xml:space="preserve"> </w:t>
      </w:r>
      <w:r>
        <w:rPr>
          <w:rStyle w:val="VerbatimChar"/>
        </w:rPr>
        <w:t xml:space="preserve">sensitive_position_leave</w:t>
      </w:r>
      <w:r>
        <w:t xml:space="preserve">).</w:t>
      </w:r>
    </w:p>
    <w:p>
      <w:pPr>
        <w:numPr>
          <w:ilvl w:val="0"/>
          <w:numId w:val="1451"/>
        </w:numPr>
        <w:pStyle w:val="Compact"/>
      </w:pPr>
      <w:r>
        <w:rPr>
          <w:bCs/>
          <w:b/>
        </w:rPr>
        <w:t xml:space="preserve">Provisioning</w:t>
      </w:r>
      <w:r>
        <w:t xml:space="preserve"> </w:t>
      </w:r>
      <w:r>
        <w:t xml:space="preserve">(HR maker, IT checker): Finbyx user and position (GV5), mailbox and licence via GV7 if connected;</w:t>
      </w:r>
      <w:r>
        <w:t xml:space="preserve"> </w:t>
      </w:r>
      <w:r>
        <w:rPr>
          <w:rStyle w:val="VerbatimChar"/>
        </w:rPr>
        <w:t xml:space="preserve">EmployeeOnboarded</w:t>
      </w:r>
      <w:r>
        <w:t xml:space="preserve"> </w:t>
      </w:r>
      <w:r>
        <w:t xml:space="preserve">and</w:t>
      </w:r>
      <w:r>
        <w:t xml:space="preserve"> </w:t>
      </w:r>
      <w:r>
        <w:rPr>
          <w:rStyle w:val="VerbatimChar"/>
        </w:rPr>
        <w:t xml:space="preserve">MailboxProvisioned</w:t>
      </w:r>
      <w:r>
        <w:t xml:space="preserve"> </w:t>
      </w:r>
      <w:r>
        <w:t xml:space="preserve">stay inside the tenant boundary. MFA before first access.</w:t>
      </w:r>
    </w:p>
    <w:p>
      <w:pPr>
        <w:numPr>
          <w:ilvl w:val="0"/>
          <w:numId w:val="1451"/>
        </w:numPr>
        <w:pStyle w:val="Compact"/>
      </w:pPr>
      <w:r>
        <w:rPr>
          <w:bCs/>
          <w:b/>
        </w:rPr>
        <w:t xml:space="preserve">Exit:</w:t>
      </w:r>
      <w:r>
        <w:t xml:space="preserve"> </w:t>
      </w:r>
      <w:r>
        <w:t xml:space="preserve">access off at last working day 18:00 (immediately on dismissal), sessions revoked, mailbox retained per policy, documents to the manager;</w:t>
      </w:r>
      <w:r>
        <w:t xml:space="preserve"> </w:t>
      </w:r>
      <w:r>
        <w:rPr>
          <w:rStyle w:val="VerbatimChar"/>
        </w:rPr>
        <w:t xml:space="preserve">EmployeeOffboarded</w:t>
      </w:r>
      <w:r>
        <w:t xml:space="preserve"> </w:t>
      </w:r>
      <w:r>
        <w:t xml:space="preserve">(tenant-internal). Timers from EXIT_INITIATED:</w:t>
      </w:r>
      <w:r>
        <w:t xml:space="preserve"> </w:t>
      </w:r>
      <w:r>
        <w:rPr>
          <w:bCs/>
          <w:b/>
        </w:rPr>
        <w:t xml:space="preserve">final wages incl. leave encashment within 2 working days</w:t>
      </w:r>
      <w:r>
        <w:t xml:space="preserve"> </w:t>
      </w:r>
      <w:r>
        <w:t xml:space="preserve">of the last working day (CoW s.17(2)) on the State calendar; gratuity within 30 days; service certificate within 10 days where MSO apply.</w:t>
      </w:r>
    </w:p>
    <w:p>
      <w:pPr>
        <w:numPr>
          <w:ilvl w:val="0"/>
          <w:numId w:val="1451"/>
        </w:numPr>
        <w:pStyle w:val="Compact"/>
      </w:pPr>
      <w:r>
        <w:rPr>
          <w:bCs/>
          <w:b/>
        </w:rPr>
        <w:t xml:space="preserve">Hard rule:</w:t>
      </w:r>
      <w:r>
        <w:t xml:space="preserve"> </w:t>
      </w:r>
      <w:r>
        <w:t xml:space="preserve">final wages never wait for clearance; notice-pay, joining-bonus and training-bond recoveries are not s.18 permitted deductions; any excess becomes a separate receivable.</w:t>
      </w:r>
    </w:p>
    <w:p>
      <w:pPr>
        <w:numPr>
          <w:ilvl w:val="0"/>
          <w:numId w:val="1451"/>
        </w:numPr>
        <w:pStyle w:val="Compact"/>
      </w:pPr>
      <w:r>
        <w:rPr>
          <w:bCs/>
          <w:b/>
        </w:rPr>
        <w:t xml:space="preserve">Exceptions:</w:t>
      </w:r>
      <w:r>
        <w:t xml:space="preserve"> </w:t>
      </w:r>
      <w:r>
        <w:t xml:space="preserve">an offer withdrawn after OFFER_ACCEPTED or a no-show on the joining date ends at</w:t>
      </w:r>
      <w:r>
        <w:t xml:space="preserve"> </w:t>
      </w:r>
      <w:r>
        <w:rPr>
          <w:rStyle w:val="VerbatimChar"/>
        </w:rPr>
        <w:t xml:space="preserve">ARCHIVED</w:t>
      </w:r>
      <w:r>
        <w:t xml:space="preserve"> </w:t>
      </w:r>
      <w:r>
        <w:t xml:space="preserve">with reason and de-provisions any pre-created identity; a resignation withdrawn before LAST_WORKING_DAY returns to the prior state with manager and HR approval; a back-dated exit (absconding) sets the final-wage timer from the recorded last working day and flags the breach for HR head review, never a silent recalculation.</w:t>
      </w:r>
    </w:p>
    <w:bookmarkEnd w:id="506"/>
    <w:bookmarkStart w:id="507" w:name="gv6.3-time-attendance-and-lawful-wfh"/>
    <w:p>
      <w:pPr>
        <w:pStyle w:val="Heading3"/>
      </w:pPr>
      <w:r>
        <w:t xml:space="preserve">GV6.3 Time, attendance and lawful WFH</w:t>
      </w:r>
    </w:p>
    <w:p>
      <w:pPr>
        <w:numPr>
          <w:ilvl w:val="0"/>
          <w:numId w:val="1452"/>
        </w:numPr>
        <w:pStyle w:val="Compact"/>
      </w:pPr>
      <w:r>
        <w:rPr>
          <w:bCs/>
          <w:b/>
        </w:rPr>
        <w:t xml:space="preserve">Allowed:</w:t>
      </w:r>
      <w:r>
        <w:t xml:space="preserve"> </w:t>
      </w:r>
      <w:r>
        <w:t xml:space="preserve">SSO sign-in and sign-out, self-entered timesheets, device-compliance status, security logs (180 days in India, CERT-In).</w:t>
      </w:r>
    </w:p>
    <w:p>
      <w:pPr>
        <w:numPr>
          <w:ilvl w:val="0"/>
          <w:numId w:val="1452"/>
        </w:numPr>
        <w:pStyle w:val="Compact"/>
      </w:pPr>
      <w:r>
        <w:rPr>
          <w:bCs/>
          <w:b/>
        </w:rPr>
        <w:t xml:space="preserve">Prohibited (no tenant override):</w:t>
      </w:r>
      <w:r>
        <w:t xml:space="preserve"> </w:t>
      </w:r>
      <w:r>
        <w:t xml:space="preserve">keystroke or mouse scores, screenshots, webcam capture, off-duty location tracking, covert monitoring, AI productivity scores used for discipline or pay.</w:t>
      </w:r>
    </w:p>
    <w:p>
      <w:pPr>
        <w:numPr>
          <w:ilvl w:val="0"/>
          <w:numId w:val="1452"/>
        </w:numPr>
        <w:pStyle w:val="Compact"/>
      </w:pPr>
      <w:r>
        <w:rPr>
          <w:bCs/>
          <w:b/>
        </w:rPr>
        <w:t xml:space="preserve">Transparency:</w:t>
      </w:r>
      <w:r>
        <w:t xml:space="preserve"> </w:t>
      </w:r>
      <w:r>
        <w:t xml:space="preserve">monitoring notice (purposes, data, retention); employees see and correct their records with audit trail; outcomes, not activity, are assessed [REC; DPDP;</w:t>
      </w:r>
      <w:r>
        <w:t xml:space="preserve"> </w:t>
      </w:r>
      <w:r>
        <w:rPr>
          <w:iCs/>
          <w:i/>
        </w:rPr>
        <w:t xml:space="preserve">Puttaswamy</w:t>
      </w:r>
      <w:r>
        <w:t xml:space="preserve"> </w:t>
      </w:r>
      <w:r>
        <w:t xml:space="preserve">proportionality].</w:t>
      </w:r>
    </w:p>
    <w:p>
      <w:pPr>
        <w:numPr>
          <w:ilvl w:val="0"/>
          <w:numId w:val="1452"/>
        </w:numPr>
        <w:pStyle w:val="Compact"/>
      </w:pPr>
      <w:r>
        <w:rPr>
          <w:bCs/>
          <w:b/>
        </w:rPr>
        <w:t xml:space="preserve">WFH</w:t>
      </w:r>
      <w:r>
        <w:t xml:space="preserve"> </w:t>
      </w:r>
      <w:r>
        <w:t xml:space="preserve">per appointment terms; for 300+ worker establishments the services MSO lets the employer permit WFH for periods it decides (IRC s.29 MSO, 8 May 2026).</w:t>
      </w:r>
    </w:p>
    <w:p>
      <w:pPr>
        <w:numPr>
          <w:ilvl w:val="0"/>
          <w:numId w:val="1452"/>
        </w:numPr>
        <w:pStyle w:val="Compact"/>
      </w:pPr>
      <w:r>
        <w:rPr>
          <w:bCs/>
          <w:b/>
        </w:rPr>
        <w:t xml:space="preserve">Hours:</w:t>
      </w:r>
      <w:r>
        <w:t xml:space="preserve"> </w:t>
      </w:r>
      <w:r>
        <w:t xml:space="preserve">8 a day, 48 a week, ≤ 6 days (Wages (Central) Rules r.5); ≤ 10 consecutive days without rest (r.6);</w:t>
      </w:r>
      <w:r>
        <w:t xml:space="preserve"> </w:t>
      </w:r>
      <w:r>
        <w:rPr>
          <w:bCs/>
          <w:b/>
        </w:rPr>
        <w:t xml:space="preserve">overtime only with recorded consent, at 2×, capped at 144 hours a quarter</w:t>
      </w:r>
      <w:r>
        <w:t xml:space="preserve"> </w:t>
      </w:r>
      <w:r>
        <w:t xml:space="preserve">(OSHWC Central Rules), stricter State limits applied (for example UP 11 hours a day incl. overtime). Women’s work before 06:00 or after 19:00 only with consent and safeguards. Attendance registers kept 5 years (r.51).</w:t>
      </w:r>
    </w:p>
    <w:p>
      <w:pPr>
        <w:numPr>
          <w:ilvl w:val="0"/>
          <w:numId w:val="1452"/>
        </w:numPr>
        <w:pStyle w:val="Compact"/>
      </w:pPr>
      <w:r>
        <w:rPr>
          <w:bCs/>
          <w:b/>
        </w:rPr>
        <w:t xml:space="preserve">Regularisation:</w:t>
      </w:r>
      <w:r>
        <w:t xml:space="preserve"> </w:t>
      </w:r>
      <w:r>
        <w:t xml:space="preserve">a missed sign-in is corrected by an employee request (reason, evidence) approved by the manager; corrections after the payroll cut-off flow to the next run as arrears; every correction keeps the original record and the approver.</w:t>
      </w:r>
    </w:p>
    <w:bookmarkEnd w:id="507"/>
    <w:bookmarkStart w:id="508" w:name="gv6.4-leave"/>
    <w:p>
      <w:pPr>
        <w:pStyle w:val="Heading3"/>
      </w:pPr>
      <w:r>
        <w:t xml:space="preserve">GV6.4 Leave</w:t>
      </w:r>
    </w:p>
    <w:p>
      <w:pPr>
        <w:pStyle w:val="FirstParagraph"/>
      </w:pPr>
      <w:r>
        <w:t xml:space="preserve">Statutory default (OSHWC s.32): eligibility after 180 days’ work in a calendar year; 1 day per 20 days worked; carry forward up to 30 days (employer-refused leave without cap); year-end encashment on request and of any excess above 30; on exit paid with final wages (2 months on superannuation or death). Tenant policies add casual, sick, maternity (CoSS) [VERIFY entitlements], paternity and special leave, never below the floor; approvals through GV5; refusals recorded with reason. Requests run</w:t>
      </w:r>
      <w:r>
        <w:t xml:space="preserve"> </w:t>
      </w:r>
      <w:r>
        <w:rPr>
          <w:rStyle w:val="VerbatimChar"/>
        </w:rPr>
        <w:t xml:space="preserve">DRAFT → SUBMITTED → APPROVED or REJECTED → TAKEN → (CANCELLED or CURTAILED)</w:t>
      </w:r>
      <w:r>
        <w:t xml:space="preserve">; a cancellation after the period re-credits the balance only with manager approval; a balance can never go negative unless the policy allows advance leave, and leave without pay flows to payroll automatically.</w:t>
      </w:r>
    </w:p>
    <w:bookmarkEnd w:id="508"/>
    <w:bookmarkStart w:id="509" w:name="gv6.5-payroll-engine"/>
    <w:p>
      <w:pPr>
        <w:pStyle w:val="Heading3"/>
      </w:pPr>
      <w:r>
        <w:t xml:space="preserve">GV6.5 Payroll engine</w:t>
      </w:r>
    </w:p>
    <w:p>
      <w:pPr>
        <w:pStyle w:val="SourceCode"/>
      </w:pPr>
      <w:r>
        <w:rPr>
          <w:rStyle w:val="VerbatimChar"/>
        </w:rPr>
        <w:t xml:space="preserve">total_rem = Σ remuneration excl. employer PF/pension, gratuity, retrenchment compensation</w:t>
      </w:r>
      <w:r>
        <w:br/>
      </w:r>
      <w:r>
        <w:rPr>
          <w:rStyle w:val="VerbatimChar"/>
        </w:rPr>
        <w:t xml:space="preserve">excl_50   = Σ components tagged as CoW s.2(y) exclusions</w:t>
      </w:r>
      <w:r>
        <w:br/>
      </w:r>
      <w:r>
        <w:rPr>
          <w:rStyle w:val="VerbatimChar"/>
        </w:rPr>
        <w:t xml:space="preserve">cow_wages = basic + DA + retaining + max(0, excl_50 − 0.5 × total_rem)            // CoW s.2(y); MoLE FAQ 2–7</w:t>
      </w:r>
      <w:r>
        <w:br/>
      </w:r>
      <w:r>
        <w:rPr>
          <w:rStyle w:val="VerbatimChar"/>
        </w:rPr>
        <w:t xml:space="preserve">pf_wage   = min(cow_wages, 15000) unless higher voluntary wage                    // re-notified 29 May 2026</w:t>
      </w:r>
      <w:r>
        <w:br/>
      </w:r>
      <w:r>
        <w:rPr>
          <w:rStyle w:val="VerbatimChar"/>
        </w:rPr>
        <w:t xml:space="preserve">pf_ee = 12% × pf_wage; eps = 8.33% × min(pf_wage, 15000); epf_er = 12% × pf_wage − eps   // [VERIFY under CoSS]</w:t>
      </w:r>
      <w:r>
        <w:br/>
      </w:r>
      <w:r>
        <w:rPr>
          <w:rStyle w:val="VerbatimChar"/>
        </w:rPr>
        <w:t xml:space="preserve">esi_ee = 0.75%, esi_er = 3.25% if covered; ee share 0 if avg daily wage ≤ ₹176     // [VERIFY ceiling]</w:t>
      </w:r>
      <w:r>
        <w:br/>
      </w:r>
      <w:r>
        <w:rPr>
          <w:rStyle w:val="VerbatimChar"/>
        </w:rPr>
        <w:t xml:space="preserve">ot_pay  = ot_hours × (monthly_rate / 26 / 8) × 2; block if quarter OT &gt; 144 h or no consent</w:t>
      </w:r>
      <w:r>
        <w:br/>
      </w:r>
      <w:r>
        <w:rPr>
          <w:rStyle w:val="VerbatimChar"/>
        </w:rPr>
        <w:t xml:space="preserve">pt, lwf = state_table(state, period, gross)                                         // versioned; none hard-coded</w:t>
      </w:r>
      <w:r>
        <w:br/>
      </w:r>
      <w:r>
        <w:rPr>
          <w:rStyle w:val="VerbatimChar"/>
        </w:rPr>
        <w:t xml:space="preserve">tds     = ITA25 s.392 projection by regime</w:t>
      </w:r>
      <w:r>
        <w:br/>
      </w:r>
      <w:r>
        <w:rPr>
          <w:rStyle w:val="VerbatimChar"/>
        </w:rPr>
        <w:t xml:space="preserve">deductions ≤ 50% × cow_wages; excess → carry-forward schedule                       // CoW s.18(3); r.13</w:t>
      </w:r>
    </w:p>
    <w:p>
      <w:pPr>
        <w:numPr>
          <w:ilvl w:val="0"/>
          <w:numId w:val="1453"/>
        </w:numPr>
        <w:pStyle w:val="Compact"/>
      </w:pPr>
      <w:r>
        <w:rPr>
          <w:bCs/>
          <w:b/>
        </w:rPr>
        <w:t xml:space="preserve">Run states:</w:t>
      </w:r>
      <w:r>
        <w:t xml:space="preserve"> </w:t>
      </w:r>
      <w:r>
        <w:rPr>
          <w:rStyle w:val="VerbatimChar"/>
        </w:rPr>
        <w:t xml:space="preserve">DRAFT → INPUTS_LOCKED (cut-off) → COMPUTED → VARIANCE_REVIEWED → APPROVED → BANK_FILE_RELEASED → PAID → STATUTORY_FILES_READY → CLOSED</w:t>
      </w:r>
      <w:r>
        <w:t xml:space="preserve">. A bank credit that bounces opens a re-issue line (never a new run); a back-dated salary revision is paid as arrears in the next run with the tax recomputed; an error after PAID is corrected only by an off-cycle run or recovery schedule within s.18, never by editing a closed run; an exit inside a cycle triggers an off-cycle final-wage run so the 2-working-day timer is met.</w:t>
      </w:r>
    </w:p>
    <w:p>
      <w:pPr>
        <w:numPr>
          <w:ilvl w:val="0"/>
          <w:numId w:val="1453"/>
        </w:numPr>
        <w:pStyle w:val="Compact"/>
      </w:pPr>
      <w:r>
        <w:rPr>
          <w:bCs/>
          <w:b/>
        </w:rPr>
        <w:t xml:space="preserve">Validations:</w:t>
      </w:r>
      <w:r>
        <w:t xml:space="preserve"> </w:t>
      </w:r>
      <w:r>
        <w:t xml:space="preserve">block pay below the applicable minimum (or floor) wage; automatic 50% add-back with warning; flag per-head change above ±10% and new or changed bank accounts.</w:t>
      </w:r>
    </w:p>
    <w:p>
      <w:pPr>
        <w:numPr>
          <w:ilvl w:val="0"/>
          <w:numId w:val="1453"/>
        </w:numPr>
        <w:pStyle w:val="Compact"/>
      </w:pPr>
      <w:r>
        <w:rPr>
          <w:bCs/>
          <w:b/>
        </w:rPr>
        <w:t xml:space="preserve">KMP and control-function variable pay (ML/UL, not government-owned):</w:t>
      </w:r>
      <w:r>
        <w:t xml:space="preserve"> </w:t>
      </w:r>
      <w:r>
        <w:t xml:space="preserve">deferral, malus and clawback ledger, no guaranteed bonus except joining, higher fixed share for control functions (GOV paras 29–37), NRC-approved policy version stored per award.</w:t>
      </w:r>
    </w:p>
    <w:p>
      <w:pPr>
        <w:numPr>
          <w:ilvl w:val="0"/>
          <w:numId w:val="1453"/>
        </w:numPr>
        <w:pStyle w:val="Compact"/>
      </w:pPr>
      <w:r>
        <w:rPr>
          <w:bCs/>
          <w:b/>
        </w:rPr>
        <w:t xml:space="preserve">Outputs:</w:t>
      </w:r>
      <w:r>
        <w:t xml:space="preserve"> </w:t>
      </w:r>
      <w:r>
        <w:t xml:space="preserve">Form V wage slip on or before pay day (r.52); Forms I, IV and IX registers, electronic, 5 years (r.51); EPF ECR and ESI files (ESI within 15 days of month end) and State PT and LWF returns for upload by the authorised person.</w:t>
      </w:r>
    </w:p>
    <w:p>
      <w:pPr>
        <w:numPr>
          <w:ilvl w:val="0"/>
          <w:numId w:val="1453"/>
        </w:numPr>
        <w:pStyle w:val="Compact"/>
      </w:pPr>
      <w:r>
        <w:rPr>
          <w:bCs/>
          <w:b/>
        </w:rPr>
        <w:t xml:space="preserve">Income tax:</w:t>
      </w:r>
      <w:r>
        <w:t xml:space="preserve"> </w:t>
      </w:r>
      <w:r>
        <w:t xml:space="preserve">TDS on salary under ITA25 s.392, on the default regime (s.202 [VERIFY]) unless the employee opts out; quarterly statement in Form 138;</w:t>
      </w:r>
      <w:r>
        <w:t xml:space="preserve"> </w:t>
      </w:r>
      <w:r>
        <w:rPr>
          <w:bCs/>
          <w:b/>
        </w:rPr>
        <w:t xml:space="preserve">Form 130</w:t>
      </w:r>
      <w:r>
        <w:t xml:space="preserve"> </w:t>
      </w:r>
      <w:r>
        <w:t xml:space="preserve">(Parts A–C) by 15 June after the tax year, after TRACES processing; Form 16 for FY 2025-26; declarations with proofs [VERIFY: 12BB successor]; tax tables shared with AC5.</w:t>
      </w:r>
    </w:p>
    <w:p>
      <w:pPr>
        <w:numPr>
          <w:ilvl w:val="0"/>
          <w:numId w:val="1453"/>
        </w:numPr>
        <w:pStyle w:val="Compact"/>
      </w:pPr>
      <w:r>
        <w:rPr>
          <w:bCs/>
          <w:b/>
        </w:rPr>
        <w:t xml:space="preserve">Gratuity:</w:t>
      </w:r>
      <w:r>
        <w:t xml:space="preserve"> </w:t>
      </w:r>
      <w:r>
        <w:rPr>
          <w:rStyle w:val="VerbatimChar"/>
        </w:rPr>
        <w:t xml:space="preserve">round(15/26 × last monthly cow_wages × completed years)</w:t>
      </w:r>
      <w:r>
        <w:t xml:space="preserve">, part year above 6 months counts, ceiling ₹20 lakh; after 5 years, on death or disablement, fixed-term after 1 year pro rata; actuarial accrual (AS 15 or Ind AS 19) to M10.</w:t>
      </w:r>
    </w:p>
    <w:p>
      <w:pPr>
        <w:numPr>
          <w:ilvl w:val="0"/>
          <w:numId w:val="1453"/>
        </w:numPr>
        <w:pStyle w:val="Compact"/>
      </w:pPr>
      <w:r>
        <w:rPr>
          <w:bCs/>
          <w:b/>
        </w:rPr>
        <w:t xml:space="preserve">Bonus</w:t>
      </w:r>
      <w:r>
        <w:t xml:space="preserve"> </w:t>
      </w:r>
      <w:r>
        <w:t xml:space="preserve">under the Code on Wages [VERIFY percentages and eligibility ceiling].</w:t>
      </w:r>
    </w:p>
    <w:p>
      <w:pPr>
        <w:numPr>
          <w:ilvl w:val="0"/>
          <w:numId w:val="1453"/>
        </w:numPr>
        <w:pStyle w:val="Compact"/>
      </w:pPr>
      <w:r>
        <w:rPr>
          <w:bCs/>
          <w:b/>
        </w:rPr>
        <w:t xml:space="preserve">Maker-checker:</w:t>
      </w:r>
      <w:r>
        <w:t xml:space="preserve"> </w:t>
      </w:r>
      <w:r>
        <w:t xml:space="preserve">payroll prepares; finance releases the bank file through M7 payout rails; no one approves a run containing his own pay line. Payroll journals post via M10; payroll is a books-of-account sub-system, so the audit trail is always on (Rule 3(1) proviso; AC7). Staff loans use Product 19 (</w:t>
      </w:r>
      <w:r>
        <w:rPr>
          <w:rStyle w:val="VerbatimChar"/>
        </w:rPr>
        <w:t xml:space="preserve">STAFF</w:t>
      </w:r>
      <w:r>
        <w:t xml:space="preserve">), deducted only within the s.18 limits.</w:t>
      </w:r>
    </w:p>
    <w:bookmarkEnd w:id="509"/>
    <w:bookmarkStart w:id="510" w:name="X27990ed8d2fc907385dc683f89bd429c68303e6"/>
    <w:p>
      <w:pPr>
        <w:pStyle w:val="Heading3"/>
      </w:pPr>
      <w:r>
        <w:t xml:space="preserve">GV6.6 POSH, conduct and payroll-fraud analytics</w:t>
      </w:r>
    </w:p>
    <w:p>
      <w:pPr>
        <w:numPr>
          <w:ilvl w:val="0"/>
          <w:numId w:val="1454"/>
        </w:numPr>
        <w:pStyle w:val="Compact"/>
      </w:pPr>
      <w:r>
        <w:rPr>
          <w:bCs/>
          <w:b/>
        </w:rPr>
        <w:t xml:space="preserve">POSH:</w:t>
      </w:r>
      <w:r>
        <w:t xml:space="preserve"> </w:t>
      </w:r>
      <w:r>
        <w:t xml:space="preserve">Internal Committee per office with 10+ employees (s.4) with composition validation [VERIFY]; restricted case register; annual report (s.21); Board’s report statement (Accounts Rules r.8(5)(x)). Whistle-blower cases stay in the GOV register (</w:t>
      </w:r>
      <w:r>
        <w:rPr>
          <w:rStyle w:val="VerbatimChar"/>
        </w:rPr>
        <w:t xml:space="preserve">whistleblower_case</w:t>
      </w:r>
      <w:r>
        <w:t xml:space="preserve">) routed to the ACB chair.</w:t>
      </w:r>
    </w:p>
    <w:p>
      <w:pPr>
        <w:numPr>
          <w:ilvl w:val="0"/>
          <w:numId w:val="1454"/>
        </w:numPr>
        <w:pStyle w:val="Compact"/>
      </w:pPr>
      <w:r>
        <w:rPr>
          <w:bCs/>
          <w:b/>
        </w:rPr>
        <w:t xml:space="preserve">Training records</w:t>
      </w:r>
      <w:r>
        <w:t xml:space="preserve"> </w:t>
      </w:r>
      <w:r>
        <w:t xml:space="preserve">(CYB paras 35–36; RBC paras 98–99; KYC/AML) feed control evidence.</w:t>
      </w:r>
    </w:p>
    <w:p>
      <w:pPr>
        <w:numPr>
          <w:ilvl w:val="0"/>
          <w:numId w:val="1454"/>
        </w:numPr>
        <w:pStyle w:val="Compact"/>
      </w:pPr>
      <w:r>
        <w:rPr>
          <w:bCs/>
          <w:b/>
        </w:rPr>
        <w:t xml:space="preserve">Monthly ghost-employee tests</w:t>
      </w:r>
      <w:r>
        <w:t xml:space="preserve"> </w:t>
      </w:r>
      <w:r>
        <w:t xml:space="preserve">(HR head and internal audit only): shared bank accounts; pay with no sign-in for 30 days; duplicate PAN; no appointment letter or manager; pay after exit; missing UAN; salary account matching a vendor or borrower account (hashed match). Findings go to a human; no automatic action.</w:t>
      </w:r>
    </w:p>
    <w:bookmarkEnd w:id="510"/>
    <w:bookmarkStart w:id="511" w:name="gv6.7-appraisal-and-rewards"/>
    <w:p>
      <w:pPr>
        <w:pStyle w:val="Heading3"/>
      </w:pPr>
      <w:r>
        <w:t xml:space="preserve">GV6.7 Appraisal and rewards</w:t>
      </w:r>
    </w:p>
    <w:p>
      <w:pPr>
        <w:numPr>
          <w:ilvl w:val="0"/>
          <w:numId w:val="1455"/>
        </w:numPr>
        <w:pStyle w:val="Compact"/>
      </w:pPr>
      <w:r>
        <w:rPr>
          <w:bCs/>
          <w:b/>
        </w:rPr>
        <w:t xml:space="preserve">Cycle:</w:t>
      </w:r>
      <w:r>
        <w:t xml:space="preserve"> </w:t>
      </w:r>
      <w:r>
        <w:rPr>
          <w:rStyle w:val="VerbatimChar"/>
        </w:rPr>
        <w:t xml:space="preserve">GOALS_SET → MID_YEAR_CHECK_IN → SELF_REVIEW → MANAGER_REVIEW → CALIBRATION → HR_APPROVED → COMMUNICATED → (APPEAL → DECIDED)</w:t>
      </w:r>
      <w:r>
        <w:t xml:space="preserve">; dates and rating scale per tenant policy; goals and ratings are outcome-based (GV6.3), never derived from activity monitoring.</w:t>
      </w:r>
    </w:p>
    <w:p>
      <w:pPr>
        <w:numPr>
          <w:ilvl w:val="0"/>
          <w:numId w:val="1455"/>
        </w:numPr>
        <w:pStyle w:val="Compact"/>
      </w:pPr>
      <w:r>
        <w:rPr>
          <w:bCs/>
          <w:b/>
        </w:rPr>
        <w:t xml:space="preserve">Controls:</w:t>
      </w:r>
      <w:r>
        <w:t xml:space="preserve"> </w:t>
      </w:r>
      <w:r>
        <w:t xml:space="preserve">a manager cannot rate a direct relative or himself; calibration changes carry reasons; AI may summarise evidence but never proposes or sets a rating (M20); control-function staff are rated on control objectives, not business targets (GOV paras 21(3), 35(4); CYB para 81).</w:t>
      </w:r>
    </w:p>
    <w:p>
      <w:pPr>
        <w:numPr>
          <w:ilvl w:val="0"/>
          <w:numId w:val="1455"/>
        </w:numPr>
        <w:pStyle w:val="Compact"/>
      </w:pPr>
      <w:r>
        <w:rPr>
          <w:bCs/>
          <w:b/>
        </w:rPr>
        <w:t xml:space="preserve">Rewards:</w:t>
      </w:r>
      <w:r>
        <w:t xml:space="preserve"> </w:t>
      </w:r>
      <w:r>
        <w:t xml:space="preserve">increments and variable pay flow to GV6.5 as effective-dated salary-structure changes after approval through GV5; KMP and senior-management awards follow the NRC-approved policy, deferral and malus or clawback (GOV paras 29–37 where applicable).</w:t>
      </w:r>
    </w:p>
    <w:bookmarkEnd w:id="511"/>
    <w:bookmarkStart w:id="512" w:name="settings-and-options-gv6"/>
    <w:p>
      <w:pPr>
        <w:pStyle w:val="Heading3"/>
      </w:pPr>
      <w:r>
        <w:t xml:space="preserve">Settings and options (GV6)</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13"/>
        <w:gridCol w:w="1336"/>
        <w:gridCol w:w="2965"/>
        <w:gridCol w:w="2824"/>
      </w:tblGrid>
      <w:tr>
        <w:trPr>
          <w:tblHeader w:val="true"/>
          <w:tblHeader w:val="true"/>
        </w:trPr>
        <w:tc>
          <w:tcPr>
            <w:tcW w:w="2513" w:type="dxa"/>
            <w:shd w:val="clear" w:color="auto" w:fill="1F3A5F"/>
          </w:tcPr>
          <w:p>
            <w:pPr>
              <w:pStyle w:val="Compact"/>
              <w:spacing w:after="40"/>
              <w:jc w:val="left"/>
            </w:pPr>
            <w:r>
              <w:rPr>
                <w:b/>
                <w:color w:val="FFFFFF"/>
                <w:sz w:val="18"/>
              </w:rPr>
              <w:t xml:space="preserve">Setting</w:t>
            </w:r>
          </w:p>
        </w:tc>
        <w:tc>
          <w:tcPr>
            <w:tcW w:w="1336" w:type="dxa"/>
            <w:shd w:val="clear" w:color="auto" w:fill="1F3A5F"/>
          </w:tcPr>
          <w:p>
            <w:pPr>
              <w:pStyle w:val="Compact"/>
              <w:spacing w:after="40"/>
              <w:jc w:val="left"/>
            </w:pPr>
            <w:r>
              <w:rPr>
                <w:b/>
                <w:color w:val="FFFFFF"/>
                <w:sz w:val="18"/>
              </w:rPr>
              <w:t xml:space="preserve">Level</w:t>
            </w:r>
          </w:p>
        </w:tc>
        <w:tc>
          <w:tcPr>
            <w:tcW w:w="2965" w:type="dxa"/>
            <w:shd w:val="clear" w:color="auto" w:fill="1F3A5F"/>
          </w:tcPr>
          <w:p>
            <w:pPr>
              <w:pStyle w:val="Compact"/>
              <w:spacing w:after="40"/>
              <w:jc w:val="left"/>
            </w:pPr>
            <w:r>
              <w:rPr>
                <w:b/>
                <w:color w:val="FFFFFF"/>
                <w:sz w:val="18"/>
              </w:rPr>
              <w:t xml:space="preserve">Default</w:t>
            </w:r>
          </w:p>
        </w:tc>
        <w:tc>
          <w:tcPr>
            <w:tcW w:w="2824" w:type="dxa"/>
            <w:shd w:val="clear" w:color="auto" w:fill="1F3A5F"/>
          </w:tcPr>
          <w:p>
            <w:pPr>
              <w:pStyle w:val="Compact"/>
              <w:spacing w:after="40"/>
              <w:jc w:val="left"/>
            </w:pPr>
            <w:r>
              <w:rPr>
                <w:b/>
                <w:color w:val="FFFFFF"/>
                <w:sz w:val="18"/>
              </w:rPr>
              <w:t xml:space="preserve">Nature</w:t>
            </w:r>
          </w:p>
        </w:tc>
      </w:tr>
      <w:tr>
        <w:tc>
          <w:tcPr>
            <w:tcW w:w="2513" w:type="dxa"/>
          </w:tcPr>
          <w:p>
            <w:pPr>
              <w:pStyle w:val="Compact"/>
              <w:spacing w:after="40"/>
              <w:jc w:val="left"/>
            </w:pPr>
            <w:r>
              <w:rPr>
                <w:sz w:val="18"/>
              </w:rPr>
              <w:t xml:space="preserve">Labour Code rule-pack version and State tables</w:t>
            </w:r>
          </w:p>
        </w:tc>
        <w:tc>
          <w:tcPr>
            <w:tcW w:w="1336" w:type="dxa"/>
          </w:tcPr>
          <w:p>
            <w:pPr>
              <w:pStyle w:val="Compact"/>
              <w:spacing w:after="40"/>
              <w:jc w:val="left"/>
            </w:pPr>
            <w:r>
              <w:rPr>
                <w:sz w:val="18"/>
              </w:rPr>
              <w:t xml:space="preserve">Platform</w:t>
            </w:r>
          </w:p>
        </w:tc>
        <w:tc>
          <w:tcPr>
            <w:tcW w:w="2965" w:type="dxa"/>
          </w:tcPr>
          <w:p>
            <w:pPr>
              <w:pStyle w:val="Compact"/>
              <w:spacing w:after="40"/>
              <w:jc w:val="left"/>
            </w:pPr>
            <w:r>
              <w:rPr>
                <w:sz w:val="18"/>
              </w:rPr>
              <w:t xml:space="preserve">Latest signed pack; State per establishment</w:t>
            </w:r>
          </w:p>
        </w:tc>
        <w:tc>
          <w:tcPr>
            <w:tcW w:w="2824" w:type="dxa"/>
          </w:tcPr>
          <w:p>
            <w:pPr>
              <w:pStyle w:val="Compact"/>
              <w:spacing w:after="40"/>
              <w:jc w:val="left"/>
            </w:pPr>
            <w:r>
              <w:rPr>
                <w:sz w:val="18"/>
              </w:rPr>
              <w:t xml:space="preserve">Regulatory floor</w:t>
            </w:r>
          </w:p>
        </w:tc>
      </w:tr>
      <w:tr>
        <w:tc>
          <w:tcPr>
            <w:tcW w:w="2513" w:type="dxa"/>
          </w:tcPr>
          <w:p>
            <w:pPr>
              <w:pStyle w:val="Compact"/>
              <w:spacing w:after="40"/>
              <w:jc w:val="left"/>
            </w:pPr>
            <w:r>
              <w:rPr>
                <w:sz w:val="18"/>
              </w:rPr>
              <w:t xml:space="preserve">Pay cycle, pay day and input cut-off</w:t>
            </w:r>
          </w:p>
        </w:tc>
        <w:tc>
          <w:tcPr>
            <w:tcW w:w="1336" w:type="dxa"/>
          </w:tcPr>
          <w:p>
            <w:pPr>
              <w:pStyle w:val="Compact"/>
              <w:spacing w:after="40"/>
              <w:jc w:val="left"/>
            </w:pPr>
            <w:r>
              <w:rPr>
                <w:sz w:val="18"/>
              </w:rPr>
              <w:t xml:space="preserve">Establishment</w:t>
            </w:r>
          </w:p>
        </w:tc>
        <w:tc>
          <w:tcPr>
            <w:tcW w:w="2965" w:type="dxa"/>
          </w:tcPr>
          <w:p>
            <w:pPr>
              <w:pStyle w:val="Compact"/>
              <w:spacing w:after="40"/>
              <w:jc w:val="left"/>
            </w:pPr>
            <w:r>
              <w:rPr>
                <w:sz w:val="18"/>
              </w:rPr>
              <w:t xml:space="preserve">Monthly; last working day; cut-off 5 working days before pay day</w:t>
            </w:r>
          </w:p>
        </w:tc>
        <w:tc>
          <w:tcPr>
            <w:tcW w:w="2824" w:type="dxa"/>
          </w:tcPr>
          <w:p>
            <w:pPr>
              <w:pStyle w:val="Compact"/>
              <w:spacing w:after="40"/>
              <w:jc w:val="left"/>
            </w:pPr>
            <w:r>
              <w:rPr>
                <w:sz w:val="18"/>
              </w:rPr>
              <w:t xml:space="preserve">Commercial choice within the wage-period rules</w:t>
            </w:r>
          </w:p>
        </w:tc>
      </w:tr>
      <w:tr>
        <w:tc>
          <w:tcPr>
            <w:tcW w:w="2513" w:type="dxa"/>
          </w:tcPr>
          <w:p>
            <w:pPr>
              <w:pStyle w:val="Compact"/>
              <w:spacing w:after="40"/>
              <w:jc w:val="left"/>
            </w:pPr>
            <w:r>
              <w:rPr>
                <w:sz w:val="18"/>
              </w:rPr>
              <w:t xml:space="preserve">Work week and holiday calendar</w:t>
            </w:r>
          </w:p>
        </w:tc>
        <w:tc>
          <w:tcPr>
            <w:tcW w:w="1336" w:type="dxa"/>
          </w:tcPr>
          <w:p>
            <w:pPr>
              <w:pStyle w:val="Compact"/>
              <w:spacing w:after="40"/>
              <w:jc w:val="left"/>
            </w:pPr>
            <w:r>
              <w:rPr>
                <w:sz w:val="18"/>
              </w:rPr>
              <w:t xml:space="preserve">Establishment</w:t>
            </w:r>
          </w:p>
        </w:tc>
        <w:tc>
          <w:tcPr>
            <w:tcW w:w="2965" w:type="dxa"/>
          </w:tcPr>
          <w:p>
            <w:pPr>
              <w:pStyle w:val="Compact"/>
              <w:spacing w:after="40"/>
              <w:jc w:val="left"/>
            </w:pPr>
            <w:r>
              <w:rPr>
                <w:sz w:val="18"/>
              </w:rPr>
              <w:t xml:space="preserve">Monday–Friday; State holiday list</w:t>
            </w:r>
          </w:p>
        </w:tc>
        <w:tc>
          <w:tcPr>
            <w:tcW w:w="2824" w:type="dxa"/>
          </w:tcPr>
          <w:p>
            <w:pPr>
              <w:pStyle w:val="Compact"/>
              <w:spacing w:after="40"/>
              <w:jc w:val="left"/>
            </w:pPr>
            <w:r>
              <w:rPr>
                <w:sz w:val="18"/>
              </w:rPr>
              <w:t xml:space="preserve">Drives every</w:t>
            </w:r>
            <w:r>
              <w:rPr>
                <w:sz w:val="18"/>
              </w:rPr>
              <w:t xml:space="preserve"> </w:t>
            </w:r>
            <w:r>
              <w:rPr>
                <w:sz w:val="18"/>
              </w:rPr>
              <w:t xml:space="preserve">“</w:t>
            </w:r>
            <w:r>
              <w:rPr>
                <w:sz w:val="18"/>
              </w:rPr>
              <w:t xml:space="preserve">working day</w:t>
            </w:r>
            <w:r>
              <w:rPr>
                <w:sz w:val="18"/>
              </w:rPr>
              <w:t xml:space="preserve">”</w:t>
            </w:r>
            <w:r>
              <w:rPr>
                <w:sz w:val="18"/>
              </w:rPr>
              <w:t xml:space="preserve"> </w:t>
            </w:r>
            <w:r>
              <w:rPr>
                <w:sz w:val="18"/>
              </w:rPr>
              <w:t xml:space="preserve">timer</w:t>
            </w:r>
          </w:p>
        </w:tc>
      </w:tr>
      <w:tr>
        <w:tc>
          <w:tcPr>
            <w:tcW w:w="2513" w:type="dxa"/>
          </w:tcPr>
          <w:p>
            <w:pPr>
              <w:pStyle w:val="Compact"/>
              <w:spacing w:after="40"/>
              <w:jc w:val="left"/>
            </w:pPr>
            <w:r>
              <w:rPr>
                <w:sz w:val="18"/>
              </w:rPr>
              <w:t xml:space="preserve">Leave policy</w:t>
            </w:r>
          </w:p>
        </w:tc>
        <w:tc>
          <w:tcPr>
            <w:tcW w:w="1336" w:type="dxa"/>
          </w:tcPr>
          <w:p>
            <w:pPr>
              <w:pStyle w:val="Compact"/>
              <w:spacing w:after="40"/>
              <w:jc w:val="left"/>
            </w:pPr>
            <w:r>
              <w:rPr>
                <w:sz w:val="18"/>
              </w:rPr>
              <w:t xml:space="preserve">Tenant</w:t>
            </w:r>
          </w:p>
        </w:tc>
        <w:tc>
          <w:tcPr>
            <w:tcW w:w="2965" w:type="dxa"/>
          </w:tcPr>
          <w:p>
            <w:pPr>
              <w:pStyle w:val="Compact"/>
              <w:spacing w:after="40"/>
              <w:jc w:val="left"/>
            </w:pPr>
            <w:r>
              <w:rPr>
                <w:sz w:val="18"/>
              </w:rPr>
              <w:t xml:space="preserve">OSHWC s.32 floor plus tenant types</w:t>
            </w:r>
          </w:p>
        </w:tc>
        <w:tc>
          <w:tcPr>
            <w:tcW w:w="2824" w:type="dxa"/>
          </w:tcPr>
          <w:p>
            <w:pPr>
              <w:pStyle w:val="Compact"/>
              <w:spacing w:after="40"/>
              <w:jc w:val="left"/>
            </w:pPr>
            <w:r>
              <w:rPr>
                <w:sz w:val="18"/>
              </w:rPr>
              <w:t xml:space="preserve">Floor; more generous allowed</w:t>
            </w:r>
          </w:p>
        </w:tc>
      </w:tr>
      <w:tr>
        <w:tc>
          <w:tcPr>
            <w:tcW w:w="2513" w:type="dxa"/>
          </w:tcPr>
          <w:p>
            <w:pPr>
              <w:pStyle w:val="Compact"/>
              <w:spacing w:after="40"/>
              <w:jc w:val="left"/>
            </w:pPr>
            <w:r>
              <w:rPr>
                <w:sz w:val="18"/>
              </w:rPr>
              <w:t xml:space="preserve">Attendance source</w:t>
            </w:r>
          </w:p>
        </w:tc>
        <w:tc>
          <w:tcPr>
            <w:tcW w:w="1336" w:type="dxa"/>
          </w:tcPr>
          <w:p>
            <w:pPr>
              <w:pStyle w:val="Compact"/>
              <w:spacing w:after="40"/>
              <w:jc w:val="left"/>
            </w:pPr>
            <w:r>
              <w:rPr>
                <w:sz w:val="18"/>
              </w:rPr>
              <w:t xml:space="preserve">Establishment</w:t>
            </w:r>
          </w:p>
        </w:tc>
        <w:tc>
          <w:tcPr>
            <w:tcW w:w="2965" w:type="dxa"/>
          </w:tcPr>
          <w:p>
            <w:pPr>
              <w:pStyle w:val="Compact"/>
              <w:spacing w:after="40"/>
              <w:jc w:val="left"/>
            </w:pPr>
            <w:r>
              <w:rPr>
                <w:sz w:val="18"/>
              </w:rPr>
              <w:t xml:space="preserve">SSO sign-in plus self-timesheet</w:t>
            </w:r>
          </w:p>
        </w:tc>
        <w:tc>
          <w:tcPr>
            <w:tcW w:w="2824" w:type="dxa"/>
          </w:tcPr>
          <w:p>
            <w:pPr>
              <w:pStyle w:val="Compact"/>
              <w:spacing w:after="40"/>
              <w:jc w:val="left"/>
            </w:pPr>
            <w:r>
              <w:rPr>
                <w:sz w:val="18"/>
              </w:rPr>
              <w:t xml:space="preserve">Prohibited monitoring list has no setting</w:t>
            </w:r>
          </w:p>
        </w:tc>
      </w:tr>
      <w:tr>
        <w:tc>
          <w:tcPr>
            <w:tcW w:w="2513" w:type="dxa"/>
          </w:tcPr>
          <w:p>
            <w:pPr>
              <w:pStyle w:val="Compact"/>
              <w:spacing w:after="40"/>
              <w:jc w:val="left"/>
            </w:pPr>
            <w:r>
              <w:rPr>
                <w:sz w:val="18"/>
              </w:rPr>
              <w:t xml:space="preserve">Overtime</w:t>
            </w:r>
          </w:p>
        </w:tc>
        <w:tc>
          <w:tcPr>
            <w:tcW w:w="1336" w:type="dxa"/>
          </w:tcPr>
          <w:p>
            <w:pPr>
              <w:pStyle w:val="Compact"/>
              <w:spacing w:after="40"/>
              <w:jc w:val="left"/>
            </w:pPr>
            <w:r>
              <w:rPr>
                <w:sz w:val="18"/>
              </w:rPr>
              <w:t xml:space="preserve">Establishment</w:t>
            </w:r>
          </w:p>
        </w:tc>
        <w:tc>
          <w:tcPr>
            <w:tcW w:w="2965" w:type="dxa"/>
          </w:tcPr>
          <w:p>
            <w:pPr>
              <w:pStyle w:val="Compact"/>
              <w:spacing w:after="40"/>
              <w:jc w:val="left"/>
            </w:pPr>
            <w:r>
              <w:rPr>
                <w:sz w:val="18"/>
              </w:rPr>
              <w:t xml:space="preserve">Off; on only with recorded consent</w:t>
            </w:r>
          </w:p>
        </w:tc>
        <w:tc>
          <w:tcPr>
            <w:tcW w:w="2824" w:type="dxa"/>
          </w:tcPr>
          <w:p>
            <w:pPr>
              <w:pStyle w:val="Compact"/>
              <w:spacing w:after="40"/>
              <w:jc w:val="left"/>
            </w:pPr>
            <w:r>
              <w:rPr>
                <w:sz w:val="18"/>
              </w:rPr>
              <w:t xml:space="preserve">Floor: 2× rate, 144 hours a quarter, stricter State limits</w:t>
            </w:r>
          </w:p>
        </w:tc>
      </w:tr>
      <w:tr>
        <w:tc>
          <w:tcPr>
            <w:tcW w:w="2513" w:type="dxa"/>
          </w:tcPr>
          <w:p>
            <w:pPr>
              <w:pStyle w:val="Compact"/>
              <w:spacing w:after="40"/>
              <w:jc w:val="left"/>
            </w:pPr>
            <w:r>
              <w:rPr>
                <w:sz w:val="18"/>
              </w:rPr>
              <w:t xml:space="preserve">WFH</w:t>
            </w:r>
          </w:p>
        </w:tc>
        <w:tc>
          <w:tcPr>
            <w:tcW w:w="1336" w:type="dxa"/>
          </w:tcPr>
          <w:p>
            <w:pPr>
              <w:pStyle w:val="Compact"/>
              <w:spacing w:after="40"/>
              <w:jc w:val="left"/>
            </w:pPr>
            <w:r>
              <w:rPr>
                <w:sz w:val="18"/>
              </w:rPr>
              <w:t xml:space="preserve">Tenant</w:t>
            </w:r>
          </w:p>
        </w:tc>
        <w:tc>
          <w:tcPr>
            <w:tcW w:w="2965" w:type="dxa"/>
          </w:tcPr>
          <w:p>
            <w:pPr>
              <w:pStyle w:val="Compact"/>
              <w:spacing w:after="40"/>
              <w:jc w:val="left"/>
            </w:pPr>
            <w:r>
              <w:rPr>
                <w:sz w:val="18"/>
              </w:rPr>
              <w:t xml:space="preserve">Per appointment terms</w:t>
            </w:r>
          </w:p>
        </w:tc>
        <w:tc>
          <w:tcPr>
            <w:tcW w:w="2824" w:type="dxa"/>
          </w:tcPr>
          <w:p>
            <w:pPr>
              <w:pStyle w:val="Compact"/>
              <w:spacing w:after="40"/>
              <w:jc w:val="left"/>
            </w:pPr>
            <w:r>
              <w:rPr>
                <w:sz w:val="18"/>
              </w:rPr>
              <w:t xml:space="preserve">Commercial choice</w:t>
            </w:r>
          </w:p>
        </w:tc>
      </w:tr>
      <w:tr>
        <w:tc>
          <w:tcPr>
            <w:tcW w:w="2513" w:type="dxa"/>
          </w:tcPr>
          <w:p>
            <w:pPr>
              <w:pStyle w:val="Compact"/>
              <w:spacing w:after="40"/>
              <w:jc w:val="left"/>
            </w:pPr>
            <w:r>
              <w:rPr>
                <w:sz w:val="18"/>
              </w:rPr>
              <w:t xml:space="preserve">Tax regime</w:t>
            </w:r>
          </w:p>
        </w:tc>
        <w:tc>
          <w:tcPr>
            <w:tcW w:w="1336" w:type="dxa"/>
          </w:tcPr>
          <w:p>
            <w:pPr>
              <w:pStyle w:val="Compact"/>
              <w:spacing w:after="40"/>
              <w:jc w:val="left"/>
            </w:pPr>
            <w:r>
              <w:rPr>
                <w:sz w:val="18"/>
              </w:rPr>
              <w:t xml:space="preserve">Employee</w:t>
            </w:r>
          </w:p>
        </w:tc>
        <w:tc>
          <w:tcPr>
            <w:tcW w:w="2965" w:type="dxa"/>
          </w:tcPr>
          <w:p>
            <w:pPr>
              <w:pStyle w:val="Compact"/>
              <w:spacing w:after="40"/>
              <w:jc w:val="left"/>
            </w:pPr>
            <w:r>
              <w:rPr>
                <w:sz w:val="18"/>
              </w:rPr>
              <w:t xml:space="preserve">Default regime unless the employee opts out</w:t>
            </w:r>
          </w:p>
        </w:tc>
        <w:tc>
          <w:tcPr>
            <w:tcW w:w="2824" w:type="dxa"/>
          </w:tcPr>
          <w:p>
            <w:pPr>
              <w:pStyle w:val="Compact"/>
              <w:spacing w:after="40"/>
              <w:jc w:val="left"/>
            </w:pPr>
            <w:r>
              <w:rPr>
                <w:sz w:val="18"/>
              </w:rPr>
              <w:t xml:space="preserve">Statutory</w:t>
            </w:r>
          </w:p>
        </w:tc>
      </w:tr>
      <w:tr>
        <w:tc>
          <w:tcPr>
            <w:tcW w:w="2513" w:type="dxa"/>
          </w:tcPr>
          <w:p>
            <w:pPr>
              <w:pStyle w:val="Compact"/>
              <w:spacing w:after="40"/>
              <w:jc w:val="left"/>
            </w:pPr>
            <w:r>
              <w:rPr>
                <w:sz w:val="18"/>
              </w:rPr>
              <w:t xml:space="preserve">Payslip language and delivery</w:t>
            </w:r>
          </w:p>
        </w:tc>
        <w:tc>
          <w:tcPr>
            <w:tcW w:w="1336" w:type="dxa"/>
          </w:tcPr>
          <w:p>
            <w:pPr>
              <w:pStyle w:val="Compact"/>
              <w:spacing w:after="40"/>
              <w:jc w:val="left"/>
            </w:pPr>
            <w:r>
              <w:rPr>
                <w:sz w:val="18"/>
              </w:rPr>
              <w:t xml:space="preserve">Tenant</w:t>
            </w:r>
          </w:p>
        </w:tc>
        <w:tc>
          <w:tcPr>
            <w:tcW w:w="2965" w:type="dxa"/>
          </w:tcPr>
          <w:p>
            <w:pPr>
              <w:pStyle w:val="Compact"/>
              <w:spacing w:after="40"/>
              <w:jc w:val="left"/>
            </w:pPr>
            <w:r>
              <w:rPr>
                <w:sz w:val="18"/>
              </w:rPr>
              <w:t xml:space="preserve">English, self-service portal</w:t>
            </w:r>
          </w:p>
        </w:tc>
        <w:tc>
          <w:tcPr>
            <w:tcW w:w="2824" w:type="dxa"/>
          </w:tcPr>
          <w:p>
            <w:pPr>
              <w:pStyle w:val="Compact"/>
              <w:spacing w:after="40"/>
              <w:jc w:val="left"/>
            </w:pPr>
            <w:r>
              <w:rPr>
                <w:sz w:val="18"/>
              </w:rPr>
              <w:t xml:space="preserve">Commercial choice</w:t>
            </w:r>
          </w:p>
        </w:tc>
      </w:tr>
      <w:tr>
        <w:tc>
          <w:tcPr>
            <w:tcW w:w="2513" w:type="dxa"/>
          </w:tcPr>
          <w:p>
            <w:pPr>
              <w:pStyle w:val="Compact"/>
              <w:spacing w:after="40"/>
              <w:jc w:val="left"/>
            </w:pPr>
            <w:r>
              <w:rPr>
                <w:sz w:val="18"/>
              </w:rPr>
              <w:t xml:space="preserve">Appraisal cycle and rating scale</w:t>
            </w:r>
          </w:p>
        </w:tc>
        <w:tc>
          <w:tcPr>
            <w:tcW w:w="1336" w:type="dxa"/>
          </w:tcPr>
          <w:p>
            <w:pPr>
              <w:pStyle w:val="Compact"/>
              <w:spacing w:after="40"/>
              <w:jc w:val="left"/>
            </w:pPr>
            <w:r>
              <w:rPr>
                <w:sz w:val="18"/>
              </w:rPr>
              <w:t xml:space="preserve">Tenant</w:t>
            </w:r>
          </w:p>
        </w:tc>
        <w:tc>
          <w:tcPr>
            <w:tcW w:w="2965" w:type="dxa"/>
          </w:tcPr>
          <w:p>
            <w:pPr>
              <w:pStyle w:val="Compact"/>
              <w:spacing w:after="40"/>
              <w:jc w:val="left"/>
            </w:pPr>
            <w:r>
              <w:rPr>
                <w:sz w:val="18"/>
              </w:rPr>
              <w:t xml:space="preserve">Annual, five-point</w:t>
            </w:r>
          </w:p>
        </w:tc>
        <w:tc>
          <w:tcPr>
            <w:tcW w:w="2824" w:type="dxa"/>
          </w:tcPr>
          <w:p>
            <w:pPr>
              <w:pStyle w:val="Compact"/>
              <w:spacing w:after="40"/>
              <w:jc w:val="left"/>
            </w:pPr>
            <w:r>
              <w:rPr>
                <w:sz w:val="18"/>
              </w:rPr>
              <w:t xml:space="preserve">Commercial choice</w:t>
            </w:r>
          </w:p>
        </w:tc>
      </w:tr>
    </w:tbl>
    <w:bookmarkEnd w:id="512"/>
    <w:bookmarkStart w:id="513" w:name="menu-and-screens-workspace-t-menu-hr"/>
    <w:p>
      <w:pPr>
        <w:pStyle w:val="Heading3"/>
      </w:pPr>
      <w:r>
        <w:t xml:space="preserve">Menu and screens (workspace T, menu</w:t>
      </w:r>
      <w:r>
        <w:t xml:space="preserve"> </w:t>
      </w:r>
      <w:r>
        <w:rPr>
          <w:rStyle w:val="VerbatimChar"/>
        </w:rPr>
        <w:t xml:space="preserve">HR</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32"/>
        <w:gridCol w:w="5348"/>
        <w:gridCol w:w="2758"/>
      </w:tblGrid>
      <w:tr>
        <w:trPr>
          <w:tblHeader w:val="true"/>
          <w:tblHeader w:val="true"/>
        </w:trPr>
        <w:tc>
          <w:tcPr>
            <w:tcW w:w="1532" w:type="dxa"/>
            <w:shd w:val="clear" w:color="auto" w:fill="1F3A5F"/>
          </w:tcPr>
          <w:p>
            <w:pPr>
              <w:pStyle w:val="Compact"/>
              <w:spacing w:after="40"/>
              <w:jc w:val="left"/>
            </w:pPr>
            <w:r>
              <w:rPr>
                <w:b/>
                <w:color w:val="FFFFFF"/>
                <w:sz w:val="18"/>
              </w:rPr>
              <w:t xml:space="preserve">Path</w:t>
            </w:r>
          </w:p>
        </w:tc>
        <w:tc>
          <w:tcPr>
            <w:tcW w:w="5348" w:type="dxa"/>
            <w:shd w:val="clear" w:color="auto" w:fill="1F3A5F"/>
          </w:tcPr>
          <w:p>
            <w:pPr>
              <w:pStyle w:val="Compact"/>
              <w:spacing w:after="40"/>
              <w:jc w:val="left"/>
            </w:pPr>
            <w:r>
              <w:rPr>
                <w:b/>
                <w:color w:val="FFFFFF"/>
                <w:sz w:val="18"/>
              </w:rPr>
              <w:t xml:space="preserve">Main screens and key actions</w:t>
            </w:r>
          </w:p>
        </w:tc>
        <w:tc>
          <w:tcPr>
            <w:tcW w:w="2758" w:type="dxa"/>
            <w:shd w:val="clear" w:color="auto" w:fill="1F3A5F"/>
          </w:tcPr>
          <w:p>
            <w:pPr>
              <w:pStyle w:val="Compact"/>
              <w:spacing w:after="40"/>
              <w:jc w:val="left"/>
            </w:pPr>
            <w:r>
              <w:rPr>
                <w:b/>
                <w:color w:val="FFFFFF"/>
                <w:sz w:val="18"/>
              </w:rPr>
              <w:t xml:space="preserve">Roles</w:t>
            </w:r>
          </w:p>
        </w:tc>
      </w:tr>
      <w:tr>
        <w:tc>
          <w:tcPr>
            <w:tcW w:w="1532" w:type="dxa"/>
          </w:tcPr>
          <w:p>
            <w:pPr>
              <w:pStyle w:val="Compact"/>
              <w:spacing w:after="40"/>
              <w:jc w:val="left"/>
            </w:pPr>
            <w:r>
              <w:rPr>
                <w:rStyle w:val="VerbatimChar"/>
                <w:sz w:val="18"/>
              </w:rPr>
              <w:t xml:space="preserve">HR › People</w:t>
            </w:r>
          </w:p>
        </w:tc>
        <w:tc>
          <w:tcPr>
            <w:tcW w:w="5348" w:type="dxa"/>
          </w:tcPr>
          <w:p>
            <w:pPr>
              <w:pStyle w:val="Compact"/>
              <w:spacing w:after="40"/>
              <w:jc w:val="left"/>
            </w:pPr>
            <w:r>
              <w:rPr>
                <w:sz w:val="18"/>
              </w:rPr>
              <w:t xml:space="preserve">Employee list (filters: establishment, worker type, status, department); employee 360; Hire wizard (requisition to JOINED); Transfer; Exit wizard showing the final-wage and gratuity deadlines</w:t>
            </w:r>
          </w:p>
        </w:tc>
        <w:tc>
          <w:tcPr>
            <w:tcW w:w="2758" w:type="dxa"/>
          </w:tcPr>
          <w:p>
            <w:pPr>
              <w:pStyle w:val="Compact"/>
              <w:spacing w:after="40"/>
              <w:jc w:val="left"/>
            </w:pPr>
            <w:r>
              <w:rPr>
                <w:sz w:val="18"/>
              </w:rPr>
              <w:t xml:space="preserve">HR maker, HR head checker; managers see their team only</w:t>
            </w:r>
          </w:p>
        </w:tc>
      </w:tr>
      <w:tr>
        <w:tc>
          <w:tcPr>
            <w:tcW w:w="1532" w:type="dxa"/>
          </w:tcPr>
          <w:p>
            <w:pPr>
              <w:pStyle w:val="Compact"/>
              <w:spacing w:after="40"/>
              <w:jc w:val="left"/>
            </w:pPr>
            <w:r>
              <w:rPr>
                <w:rStyle w:val="VerbatimChar"/>
                <w:sz w:val="18"/>
              </w:rPr>
              <w:t xml:space="preserve">HR › Leave</w:t>
            </w:r>
          </w:p>
        </w:tc>
        <w:tc>
          <w:tcPr>
            <w:tcW w:w="5348" w:type="dxa"/>
          </w:tcPr>
          <w:p>
            <w:pPr>
              <w:pStyle w:val="Compact"/>
              <w:spacing w:after="40"/>
              <w:jc w:val="left"/>
            </w:pPr>
            <w:r>
              <w:rPr>
                <w:sz w:val="18"/>
              </w:rPr>
              <w:t xml:space="preserve">Requests queue, team calendar, balances, policy editor; bulk approve for managers</w:t>
            </w:r>
          </w:p>
        </w:tc>
        <w:tc>
          <w:tcPr>
            <w:tcW w:w="2758" w:type="dxa"/>
          </w:tcPr>
          <w:p>
            <w:pPr>
              <w:pStyle w:val="Compact"/>
              <w:spacing w:after="40"/>
              <w:jc w:val="left"/>
            </w:pPr>
            <w:r>
              <w:rPr>
                <w:sz w:val="18"/>
              </w:rPr>
              <w:t xml:space="preserve">Employees, managers, HR</w:t>
            </w:r>
          </w:p>
        </w:tc>
      </w:tr>
      <w:tr>
        <w:tc>
          <w:tcPr>
            <w:tcW w:w="1532" w:type="dxa"/>
          </w:tcPr>
          <w:p>
            <w:pPr>
              <w:pStyle w:val="Compact"/>
              <w:spacing w:after="40"/>
              <w:jc w:val="left"/>
            </w:pPr>
            <w:r>
              <w:rPr>
                <w:rStyle w:val="VerbatimChar"/>
                <w:sz w:val="18"/>
              </w:rPr>
              <w:t xml:space="preserve">HR › Attendance</w:t>
            </w:r>
          </w:p>
        </w:tc>
        <w:tc>
          <w:tcPr>
            <w:tcW w:w="5348" w:type="dxa"/>
          </w:tcPr>
          <w:p>
            <w:pPr>
              <w:pStyle w:val="Compact"/>
              <w:spacing w:after="40"/>
              <w:jc w:val="left"/>
            </w:pPr>
            <w:r>
              <w:rPr>
                <w:sz w:val="18"/>
              </w:rPr>
              <w:t xml:space="preserve">Daily view, regularisation queue, overtime consent and quarter-to-date hours with the 144-hour meter</w:t>
            </w:r>
          </w:p>
        </w:tc>
        <w:tc>
          <w:tcPr>
            <w:tcW w:w="2758" w:type="dxa"/>
          </w:tcPr>
          <w:p>
            <w:pPr>
              <w:pStyle w:val="Compact"/>
              <w:spacing w:after="40"/>
              <w:jc w:val="left"/>
            </w:pPr>
            <w:r>
              <w:rPr>
                <w:sz w:val="18"/>
              </w:rPr>
              <w:t xml:space="preserve">Employees, managers, HR</w:t>
            </w:r>
          </w:p>
        </w:tc>
      </w:tr>
      <w:tr>
        <w:tc>
          <w:tcPr>
            <w:tcW w:w="1532" w:type="dxa"/>
          </w:tcPr>
          <w:p>
            <w:pPr>
              <w:pStyle w:val="Compact"/>
              <w:spacing w:after="40"/>
              <w:jc w:val="left"/>
            </w:pPr>
            <w:r>
              <w:rPr>
                <w:rStyle w:val="VerbatimChar"/>
                <w:sz w:val="18"/>
              </w:rPr>
              <w:t xml:space="preserve">HR › Payroll</w:t>
            </w:r>
          </w:p>
        </w:tc>
        <w:tc>
          <w:tcPr>
            <w:tcW w:w="5348" w:type="dxa"/>
          </w:tcPr>
          <w:p>
            <w:pPr>
              <w:pStyle w:val="Compact"/>
              <w:spacing w:after="40"/>
              <w:jc w:val="left"/>
            </w:pPr>
            <w:r>
              <w:rPr>
                <w:sz w:val="18"/>
              </w:rPr>
              <w:t xml:space="preserve">Run board by state; input upload with validation report; variance review; approval (finance, never on own pay line); bank file release through M7; statutory files (ECR, ESI, PT, LWF, Form 138 data); payslips</w:t>
            </w:r>
          </w:p>
        </w:tc>
        <w:tc>
          <w:tcPr>
            <w:tcW w:w="2758" w:type="dxa"/>
          </w:tcPr>
          <w:p>
            <w:pPr>
              <w:pStyle w:val="Compact"/>
              <w:spacing w:after="40"/>
              <w:jc w:val="left"/>
            </w:pPr>
            <w:r>
              <w:rPr>
                <w:sz w:val="18"/>
              </w:rPr>
              <w:t xml:space="preserve">Payroll maker, finance checker</w:t>
            </w:r>
          </w:p>
        </w:tc>
      </w:tr>
      <w:tr>
        <w:tc>
          <w:tcPr>
            <w:tcW w:w="1532" w:type="dxa"/>
          </w:tcPr>
          <w:p>
            <w:pPr>
              <w:pStyle w:val="Compact"/>
              <w:spacing w:after="40"/>
              <w:jc w:val="left"/>
            </w:pPr>
            <w:r>
              <w:rPr>
                <w:rStyle w:val="VerbatimChar"/>
                <w:sz w:val="18"/>
              </w:rPr>
              <w:t xml:space="preserve">HR › Appraisal</w:t>
            </w:r>
          </w:p>
        </w:tc>
        <w:tc>
          <w:tcPr>
            <w:tcW w:w="5348" w:type="dxa"/>
          </w:tcPr>
          <w:p>
            <w:pPr>
              <w:pStyle w:val="Compact"/>
              <w:spacing w:after="40"/>
              <w:jc w:val="left"/>
            </w:pPr>
            <w:r>
              <w:rPr>
                <w:sz w:val="18"/>
              </w:rPr>
              <w:t xml:space="preserve">Cycle setup, goals, reviews, calibration grid, letters</w:t>
            </w:r>
          </w:p>
        </w:tc>
        <w:tc>
          <w:tcPr>
            <w:tcW w:w="2758" w:type="dxa"/>
          </w:tcPr>
          <w:p>
            <w:pPr>
              <w:pStyle w:val="Compact"/>
              <w:spacing w:after="40"/>
              <w:jc w:val="left"/>
            </w:pPr>
            <w:r>
              <w:rPr>
                <w:sz w:val="18"/>
              </w:rPr>
              <w:t xml:space="preserve">Employees, managers, HR, NRC (KMP)</w:t>
            </w:r>
          </w:p>
        </w:tc>
      </w:tr>
      <w:tr>
        <w:tc>
          <w:tcPr>
            <w:tcW w:w="1532" w:type="dxa"/>
          </w:tcPr>
          <w:p>
            <w:pPr>
              <w:pStyle w:val="Compact"/>
              <w:spacing w:after="40"/>
              <w:jc w:val="left"/>
            </w:pPr>
            <w:r>
              <w:rPr>
                <w:rStyle w:val="VerbatimChar"/>
                <w:sz w:val="18"/>
              </w:rPr>
              <w:t xml:space="preserve">HR › Compliance</w:t>
            </w:r>
          </w:p>
        </w:tc>
        <w:tc>
          <w:tcPr>
            <w:tcW w:w="5348" w:type="dxa"/>
          </w:tcPr>
          <w:p>
            <w:pPr>
              <w:pStyle w:val="Compact"/>
              <w:spacing w:after="40"/>
              <w:jc w:val="left"/>
            </w:pPr>
            <w:r>
              <w:rPr>
                <w:sz w:val="18"/>
              </w:rPr>
              <w:t xml:space="preserve">Registers (Forms I, IV, IX), returns tracker, appointment-letter coverage, POSH (restricted), ghost-employee test results</w:t>
            </w:r>
          </w:p>
        </w:tc>
        <w:tc>
          <w:tcPr>
            <w:tcW w:w="2758" w:type="dxa"/>
          </w:tcPr>
          <w:p>
            <w:pPr>
              <w:pStyle w:val="Compact"/>
              <w:spacing w:after="40"/>
              <w:jc w:val="left"/>
            </w:pPr>
            <w:r>
              <w:rPr>
                <w:sz w:val="18"/>
              </w:rPr>
              <w:t xml:space="preserve">HR head, internal audit (read)</w:t>
            </w:r>
          </w:p>
        </w:tc>
      </w:tr>
      <w:tr>
        <w:tc>
          <w:tcPr>
            <w:tcW w:w="1532" w:type="dxa"/>
          </w:tcPr>
          <w:p>
            <w:pPr>
              <w:pStyle w:val="Compact"/>
              <w:spacing w:after="40"/>
              <w:jc w:val="left"/>
            </w:pPr>
            <w:r>
              <w:rPr>
                <w:rStyle w:val="VerbatimChar"/>
                <w:sz w:val="18"/>
              </w:rPr>
              <w:t xml:space="preserve">HR › Self-service</w:t>
            </w:r>
          </w:p>
        </w:tc>
        <w:tc>
          <w:tcPr>
            <w:tcW w:w="5348" w:type="dxa"/>
          </w:tcPr>
          <w:p>
            <w:pPr>
              <w:pStyle w:val="Compact"/>
              <w:spacing w:after="40"/>
              <w:jc w:val="left"/>
            </w:pPr>
            <w:r>
              <w:rPr>
                <w:sz w:val="18"/>
              </w:rPr>
              <w:t xml:space="preserve">Payslips, Form 130, leave, attendance, declarations with proofs, monitoring notice, data correction requests</w:t>
            </w:r>
          </w:p>
        </w:tc>
        <w:tc>
          <w:tcPr>
            <w:tcW w:w="2758" w:type="dxa"/>
          </w:tcPr>
          <w:p>
            <w:pPr>
              <w:pStyle w:val="Compact"/>
              <w:spacing w:after="40"/>
              <w:jc w:val="left"/>
            </w:pPr>
            <w:r>
              <w:rPr>
                <w:sz w:val="18"/>
              </w:rPr>
              <w:t xml:space="preserve">Employees</w:t>
            </w:r>
          </w:p>
        </w:tc>
      </w:tr>
    </w:tbl>
    <w:bookmarkEnd w:id="513"/>
    <w:bookmarkStart w:id="514" w:name="acceptance-tests-39"/>
    <w:p>
      <w:pPr>
        <w:pStyle w:val="Heading3"/>
      </w:pPr>
      <w:r>
        <w:t xml:space="preserve">Acceptance tests</w:t>
      </w:r>
    </w:p>
    <w:p>
      <w:pPr>
        <w:numPr>
          <w:ilvl w:val="0"/>
          <w:numId w:val="1456"/>
        </w:numPr>
        <w:pStyle w:val="Compact"/>
      </w:pPr>
      <w:r>
        <w:t xml:space="preserve">Total remuneration ₹76,000 with ₹40,000 allowances and ₹20,000 basic plus DA gives wages of ₹22,000.</w:t>
      </w:r>
    </w:p>
    <w:p>
      <w:pPr>
        <w:numPr>
          <w:ilvl w:val="0"/>
          <w:numId w:val="1456"/>
        </w:numPr>
        <w:pStyle w:val="Compact"/>
      </w:pPr>
      <w:r>
        <w:t xml:space="preserve">For a Monday–Friday establishment, last working day Friday 4 Dec 2026 sets the final-wage deadline to Tuesday 8 Dec 2026; seeding a State holiday on Monday 7 Dec 2026 moves it to Wednesday 9 Dec 2026; the run is not held for clearance.</w:t>
      </w:r>
    </w:p>
    <w:p>
      <w:pPr>
        <w:numPr>
          <w:ilvl w:val="0"/>
          <w:numId w:val="1456"/>
        </w:numPr>
        <w:pStyle w:val="Compact"/>
      </w:pPr>
      <w:r>
        <w:t xml:space="preserve">Deducting unserved notice pay from final wages fails with</w:t>
      </w:r>
      <w:r>
        <w:t xml:space="preserve"> </w:t>
      </w:r>
      <w:r>
        <w:rPr>
          <w:rStyle w:val="VerbatimChar"/>
        </w:rPr>
        <w:t xml:space="preserve">not_permitted_deduction_s18</w:t>
      </w:r>
      <w:r>
        <w:t xml:space="preserve">.</w:t>
      </w:r>
    </w:p>
    <w:p>
      <w:pPr>
        <w:numPr>
          <w:ilvl w:val="0"/>
          <w:numId w:val="1456"/>
        </w:numPr>
        <w:pStyle w:val="Compact"/>
      </w:pPr>
      <w:r>
        <w:t xml:space="preserve">A roster reaching 145 overtime hours in a quarter is blocked; 140 hours without recorded consent is blocked.</w:t>
      </w:r>
    </w:p>
    <w:p>
      <w:pPr>
        <w:numPr>
          <w:ilvl w:val="0"/>
          <w:numId w:val="1456"/>
        </w:numPr>
        <w:pStyle w:val="Compact"/>
      </w:pPr>
      <w:r>
        <w:t xml:space="preserve">No API or setting exists to enable screenshots; a crafted request returns</w:t>
      </w:r>
      <w:r>
        <w:t xml:space="preserve"> </w:t>
      </w:r>
      <w:r>
        <w:rPr>
          <w:rStyle w:val="VerbatimChar"/>
        </w:rPr>
        <w:t xml:space="preserve">prohibited_monitoring</w:t>
      </w:r>
      <w:r>
        <w:t xml:space="preserve">.</w:t>
      </w:r>
    </w:p>
    <w:p>
      <w:pPr>
        <w:numPr>
          <w:ilvl w:val="0"/>
          <w:numId w:val="1456"/>
        </w:numPr>
        <w:pStyle w:val="Compact"/>
      </w:pPr>
      <w:r>
        <w:t xml:space="preserve">200 days worked accrue 10 days; 34 carried days at year end encash 4 automatically.</w:t>
      </w:r>
    </w:p>
    <w:p>
      <w:pPr>
        <w:numPr>
          <w:ilvl w:val="0"/>
          <w:numId w:val="1456"/>
        </w:numPr>
        <w:pStyle w:val="Compact"/>
      </w:pPr>
      <w:r>
        <w:t xml:space="preserve">A preparer cannot approve a run containing his own pay line; a loan-officer role cannot open HR records and an HR role cannot open loan records.</w:t>
      </w:r>
    </w:p>
    <w:p>
      <w:pPr>
        <w:numPr>
          <w:ilvl w:val="0"/>
          <w:numId w:val="1456"/>
        </w:numPr>
        <w:pStyle w:val="Compact"/>
      </w:pPr>
      <w:r>
        <w:t xml:space="preserve">A bounced salary credit creates a re-issue line on the same run; a closed run cannot be edited and a correction appears only as an off-cycle run.</w:t>
      </w:r>
    </w:p>
    <w:p>
      <w:pPr>
        <w:numPr>
          <w:ilvl w:val="0"/>
          <w:numId w:val="1456"/>
        </w:numPr>
        <w:pStyle w:val="Compact"/>
      </w:pPr>
      <w:r>
        <w:t xml:space="preserve">An appraisal rating cannot be saved by an AI action, and a manager cannot rate his own appraisal.</w:t>
      </w:r>
    </w:p>
    <w:p>
      <w:pPr>
        <w:numPr>
          <w:ilvl w:val="0"/>
          <w:numId w:val="1456"/>
        </w:numPr>
        <w:pStyle w:val="Compact"/>
      </w:pPr>
      <w:r>
        <w:t xml:space="preserve">Finbyx and the Operations Hub produce identical outputs for every golden fixture of the pinned</w:t>
      </w:r>
      <w:r>
        <w:t xml:space="preserve"> </w:t>
      </w:r>
      <w:r>
        <w:rPr>
          <w:rStyle w:val="VerbatimChar"/>
        </w:rPr>
        <w:t xml:space="preserve">infrabyx-labour-rulepack</w:t>
      </w:r>
      <w:r>
        <w:t xml:space="preserve"> </w:t>
      </w:r>
      <w:r>
        <w:t xml:space="preserve">version.</w:t>
      </w:r>
    </w:p>
    <w:p>
      <w:r>
        <w:pict>
          <v:rect style="width:0;height:1.5pt" o:hralign="center" o:hrstd="t" o:hr="t"/>
        </w:pict>
      </w:r>
    </w:p>
    <w:bookmarkEnd w:id="514"/>
    <w:bookmarkEnd w:id="515"/>
    <w:bookmarkStart w:id="524" w:name="Xaadc26fe4bb658b64ef2974df4c3e1fae7b5865"/>
    <w:p>
      <w:pPr>
        <w:pStyle w:val="Heading2"/>
      </w:pPr>
      <w:r>
        <w:t xml:space="preserve">GV7. Workplace suite integration (Microsoft 365, Google Workspace, client data centre)</w:t>
      </w:r>
    </w:p>
    <w:p>
      <w:pPr>
        <w:pStyle w:val="FirstParagraph"/>
      </w:pPr>
      <w:r>
        <w:rPr>
          <w:bCs/>
          <w:b/>
        </w:rPr>
        <w:t xml:space="preserve">Owner decision recorded.</w:t>
      </w:r>
      <w:r>
        <w:t xml:space="preserve"> </w:t>
      </w:r>
      <w:r>
        <w:t xml:space="preserve">“</w:t>
      </w:r>
      <w:r>
        <w:t xml:space="preserve">Business Starter</w:t>
      </w:r>
      <w:r>
        <w:t xml:space="preserve">”</w:t>
      </w:r>
      <w:r>
        <w:t xml:space="preserve"> </w:t>
      </w:r>
      <w:r>
        <w:t xml:space="preserve">is a Google Workspace edition; Microsoft’s SMB plans are Business Basic, Standard and Premium. Finbyx supports Microsoft 365 (Business and Enterprise plans) and Google Workspace (all editions) through one</w:t>
      </w:r>
      <w:r>
        <w:t xml:space="preserve"> </w:t>
      </w:r>
      <w:r>
        <w:rPr>
          <w:rStyle w:val="VerbatimChar"/>
        </w:rPr>
        <w:t xml:space="preserve">WorkplaceProvider</w:t>
      </w:r>
      <w:r>
        <w:t xml:space="preserve"> </w:t>
      </w:r>
      <w:r>
        <w:t xml:space="preserve">interface, plus a client data-centre agent. Infrabyx’s own tenant is configured in the Operations Hub (OH12).</w:t>
      </w:r>
    </w:p>
    <w:bookmarkStart w:id="516" w:name="gv7.1-residency-guard-rails"/>
    <w:p>
      <w:pPr>
        <w:pStyle w:val="Heading3"/>
      </w:pPr>
      <w:r>
        <w:t xml:space="preserve">GV7.1 Residency guard-rails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84"/>
        <w:gridCol w:w="3333"/>
        <w:gridCol w:w="1894"/>
        <w:gridCol w:w="1377"/>
        <w:gridCol w:w="1250"/>
      </w:tblGrid>
      <w:tr>
        <w:trPr>
          <w:tblHeader w:val="true"/>
          <w:tblHeader w:val="true"/>
        </w:trPr>
        <w:tc>
          <w:tcPr>
            <w:tcW w:w="1784" w:type="dxa"/>
            <w:shd w:val="clear" w:color="auto" w:fill="1F3A5F"/>
          </w:tcPr>
          <w:p>
            <w:pPr>
              <w:pStyle w:val="Compact"/>
              <w:spacing w:after="40"/>
              <w:jc w:val="left"/>
            </w:pPr>
            <w:r>
              <w:rPr>
                <w:b/>
                <w:color w:val="FFFFFF"/>
                <w:sz w:val="18"/>
              </w:rPr>
              <w:t xml:space="preserve">Target</w:t>
            </w:r>
          </w:p>
        </w:tc>
        <w:tc>
          <w:tcPr>
            <w:tcW w:w="3333" w:type="dxa"/>
            <w:shd w:val="clear" w:color="auto" w:fill="1F3A5F"/>
          </w:tcPr>
          <w:p>
            <w:pPr>
              <w:pStyle w:val="Compact"/>
              <w:spacing w:after="40"/>
              <w:jc w:val="left"/>
            </w:pPr>
            <w:r>
              <w:rPr>
                <w:b/>
                <w:color w:val="FFFFFF"/>
                <w:sz w:val="18"/>
              </w:rPr>
              <w:t xml:space="preserve">Residency</w:t>
            </w:r>
          </w:p>
        </w:tc>
        <w:tc>
          <w:tcPr>
            <w:tcW w:w="1894" w:type="dxa"/>
            <w:shd w:val="clear" w:color="auto" w:fill="1F3A5F"/>
          </w:tcPr>
          <w:p>
            <w:pPr>
              <w:pStyle w:val="Compact"/>
              <w:spacing w:after="40"/>
              <w:jc w:val="left"/>
            </w:pPr>
            <w:r>
              <w:rPr>
                <w:b/>
                <w:color w:val="FFFFFF"/>
                <w:sz w:val="18"/>
              </w:rPr>
              <w:t xml:space="preserve">Borrower and loan data</w:t>
            </w:r>
          </w:p>
        </w:tc>
        <w:tc>
          <w:tcPr>
            <w:tcW w:w="1377" w:type="dxa"/>
            <w:shd w:val="clear" w:color="auto" w:fill="1F3A5F"/>
          </w:tcPr>
          <w:p>
            <w:pPr>
              <w:pStyle w:val="Compact"/>
              <w:spacing w:after="40"/>
              <w:jc w:val="left"/>
            </w:pPr>
            <w:r>
              <w:rPr>
                <w:b/>
                <w:color w:val="FFFFFF"/>
                <w:sz w:val="18"/>
              </w:rPr>
              <w:t xml:space="preserve">HR and legal restricted data</w:t>
            </w:r>
          </w:p>
        </w:tc>
        <w:tc>
          <w:tcPr>
            <w:tcW w:w="1250" w:type="dxa"/>
            <w:shd w:val="clear" w:color="auto" w:fill="1F3A5F"/>
          </w:tcPr>
          <w:p>
            <w:pPr>
              <w:pStyle w:val="Compact"/>
              <w:spacing w:after="40"/>
              <w:jc w:val="left"/>
            </w:pPr>
            <w:r>
              <w:rPr>
                <w:b/>
                <w:color w:val="FFFFFF"/>
                <w:sz w:val="18"/>
              </w:rPr>
              <w:t xml:space="preserve">Other data</w:t>
            </w:r>
          </w:p>
        </w:tc>
      </w:tr>
      <w:tr>
        <w:tc>
          <w:tcPr>
            <w:tcW w:w="1784" w:type="dxa"/>
          </w:tcPr>
          <w:p>
            <w:pPr>
              <w:pStyle w:val="Compact"/>
              <w:spacing w:after="40"/>
              <w:jc w:val="left"/>
            </w:pPr>
            <w:r>
              <w:rPr>
                <w:sz w:val="18"/>
              </w:rPr>
              <w:t xml:space="preserve">Microsoft 365, Default Geography India (or ADR)</w:t>
            </w:r>
          </w:p>
        </w:tc>
        <w:tc>
          <w:tcPr>
            <w:tcW w:w="3333" w:type="dxa"/>
          </w:tcPr>
          <w:p>
            <w:pPr>
              <w:pStyle w:val="Compact"/>
              <w:spacing w:after="40"/>
              <w:jc w:val="left"/>
            </w:pPr>
            <w:r>
              <w:rPr>
                <w:sz w:val="18"/>
              </w:rPr>
              <w:t xml:space="preserve">Exchange, SharePoint, OneDrive, Teams chats at rest in India; ADR (India a Local Region) on Business Basic, Standard and Premium, covering all eligible seats [VEND]</w:t>
            </w:r>
          </w:p>
        </w:tc>
        <w:tc>
          <w:tcPr>
            <w:tcW w:w="1894" w:type="dxa"/>
          </w:tcPr>
          <w:p>
            <w:pPr>
              <w:pStyle w:val="Compact"/>
              <w:spacing w:after="40"/>
              <w:jc w:val="left"/>
            </w:pPr>
            <w:r>
              <w:rPr>
                <w:sz w:val="18"/>
              </w:rPr>
              <w:t xml:space="preserve">Allowed after attestation with evidence</w:t>
            </w:r>
          </w:p>
        </w:tc>
        <w:tc>
          <w:tcPr>
            <w:tcW w:w="1377" w:type="dxa"/>
          </w:tcPr>
          <w:p>
            <w:pPr>
              <w:pStyle w:val="Compact"/>
              <w:spacing w:after="40"/>
              <w:jc w:val="left"/>
            </w:pPr>
            <w:r>
              <w:rPr>
                <w:sz w:val="18"/>
              </w:rPr>
              <w:t xml:space="preserve">Allowed with DPO approval</w:t>
            </w:r>
          </w:p>
        </w:tc>
        <w:tc>
          <w:tcPr>
            <w:tcW w:w="1250" w:type="dxa"/>
          </w:tcPr>
          <w:p>
            <w:pPr>
              <w:pStyle w:val="Compact"/>
              <w:spacing w:after="40"/>
              <w:jc w:val="left"/>
            </w:pPr>
            <w:r>
              <w:rPr>
                <w:sz w:val="18"/>
              </w:rPr>
              <w:t xml:space="preserve">Allowed</w:t>
            </w:r>
          </w:p>
        </w:tc>
      </w:tr>
      <w:tr>
        <w:tc>
          <w:tcPr>
            <w:tcW w:w="1784" w:type="dxa"/>
          </w:tcPr>
          <w:p>
            <w:pPr>
              <w:pStyle w:val="Compact"/>
              <w:spacing w:after="40"/>
              <w:jc w:val="left"/>
            </w:pPr>
            <w:r>
              <w:rPr>
                <w:sz w:val="18"/>
              </w:rPr>
              <w:t xml:space="preserve">Microsoft 365, other geography</w:t>
            </w:r>
          </w:p>
        </w:tc>
        <w:tc>
          <w:tcPr>
            <w:tcW w:w="3333" w:type="dxa"/>
          </w:tcPr>
          <w:p>
            <w:pPr>
              <w:pStyle w:val="Compact"/>
              <w:spacing w:after="40"/>
              <w:jc w:val="left"/>
            </w:pPr>
            <w:r>
              <w:rPr>
                <w:sz w:val="18"/>
              </w:rPr>
              <w:t xml:space="preserve">Outside India</w:t>
            </w:r>
          </w:p>
        </w:tc>
        <w:tc>
          <w:tcPr>
            <w:tcW w:w="1894" w:type="dxa"/>
          </w:tcPr>
          <w:p>
            <w:pPr>
              <w:pStyle w:val="Compact"/>
              <w:spacing w:after="40"/>
              <w:jc w:val="left"/>
            </w:pPr>
            <w:r>
              <w:rPr>
                <w:sz w:val="18"/>
              </w:rPr>
              <w:t xml:space="preserve">Blocked</w:t>
            </w:r>
          </w:p>
        </w:tc>
        <w:tc>
          <w:tcPr>
            <w:tcW w:w="1377" w:type="dxa"/>
          </w:tcPr>
          <w:p>
            <w:pPr>
              <w:pStyle w:val="Compact"/>
              <w:spacing w:after="40"/>
              <w:jc w:val="left"/>
            </w:pPr>
            <w:r>
              <w:rPr>
                <w:sz w:val="18"/>
              </w:rPr>
              <w:t xml:space="preserve">Blocked, no override</w:t>
            </w:r>
          </w:p>
        </w:tc>
        <w:tc>
          <w:tcPr>
            <w:tcW w:w="1250" w:type="dxa"/>
          </w:tcPr>
          <w:p>
            <w:pPr>
              <w:pStyle w:val="Compact"/>
              <w:spacing w:after="40"/>
              <w:jc w:val="left"/>
            </w:pPr>
            <w:r>
              <w:rPr>
                <w:sz w:val="18"/>
              </w:rPr>
              <w:t xml:space="preserve">Non-regulated data only</w:t>
            </w:r>
          </w:p>
        </w:tc>
      </w:tr>
      <w:tr>
        <w:tc>
          <w:tcPr>
            <w:tcW w:w="1784" w:type="dxa"/>
          </w:tcPr>
          <w:p>
            <w:pPr>
              <w:pStyle w:val="Compact"/>
              <w:spacing w:after="40"/>
              <w:jc w:val="left"/>
            </w:pPr>
            <w:r>
              <w:rPr>
                <w:sz w:val="18"/>
              </w:rPr>
              <w:t xml:space="preserve">Google Workspace</w:t>
            </w:r>
          </w:p>
        </w:tc>
        <w:tc>
          <w:tcPr>
            <w:tcW w:w="3333" w:type="dxa"/>
          </w:tcPr>
          <w:p>
            <w:pPr>
              <w:pStyle w:val="Compact"/>
              <w:spacing w:after="40"/>
              <w:jc w:val="left"/>
            </w:pPr>
            <w:r>
              <w:rPr>
                <w:sz w:val="18"/>
              </w:rPr>
              <w:t xml:space="preserve">Data regions only US or Europe [VEND]</w:t>
            </w:r>
          </w:p>
        </w:tc>
        <w:tc>
          <w:tcPr>
            <w:tcW w:w="1894" w:type="dxa"/>
          </w:tcPr>
          <w:p>
            <w:pPr>
              <w:pStyle w:val="Compact"/>
              <w:spacing w:after="40"/>
              <w:jc w:val="left"/>
            </w:pPr>
            <w:r>
              <w:rPr>
                <w:bCs/>
                <w:b/>
                <w:sz w:val="18"/>
              </w:rPr>
              <w:t xml:space="preserve">Blocked, no override</w:t>
            </w:r>
            <w:r>
              <w:rPr>
                <w:sz w:val="18"/>
              </w:rPr>
              <w:t xml:space="preserve"> </w:t>
            </w:r>
            <w:r>
              <w:rPr>
                <w:sz w:val="18"/>
              </w:rPr>
              <w:t xml:space="preserve">(CF para 14(4); OUT para 74(vi))</w:t>
            </w:r>
          </w:p>
        </w:tc>
        <w:tc>
          <w:tcPr>
            <w:tcW w:w="1377" w:type="dxa"/>
          </w:tcPr>
          <w:p>
            <w:pPr>
              <w:pStyle w:val="Compact"/>
              <w:spacing w:after="40"/>
              <w:jc w:val="left"/>
            </w:pPr>
            <w:r>
              <w:rPr>
                <w:bCs/>
                <w:b/>
                <w:sz w:val="18"/>
              </w:rPr>
              <w:t xml:space="preserve">Blocked, no override</w:t>
            </w:r>
          </w:p>
        </w:tc>
        <w:tc>
          <w:tcPr>
            <w:tcW w:w="1250" w:type="dxa"/>
          </w:tcPr>
          <w:p>
            <w:pPr>
              <w:pStyle w:val="Compact"/>
              <w:spacing w:after="40"/>
              <w:jc w:val="left"/>
            </w:pPr>
            <w:r>
              <w:rPr>
                <w:bCs/>
                <w:b/>
                <w:sz w:val="18"/>
              </w:rPr>
              <w:t xml:space="preserve">Non-regulated data only</w:t>
            </w:r>
          </w:p>
        </w:tc>
      </w:tr>
      <w:tr>
        <w:tc>
          <w:tcPr>
            <w:tcW w:w="1784" w:type="dxa"/>
          </w:tcPr>
          <w:p>
            <w:pPr>
              <w:pStyle w:val="Compact"/>
              <w:spacing w:after="40"/>
              <w:jc w:val="left"/>
            </w:pPr>
            <w:r>
              <w:rPr>
                <w:sz w:val="18"/>
              </w:rPr>
              <w:t xml:space="preserve">Client data centre (agent)</w:t>
            </w:r>
          </w:p>
        </w:tc>
        <w:tc>
          <w:tcPr>
            <w:tcW w:w="3333" w:type="dxa"/>
          </w:tcPr>
          <w:p>
            <w:pPr>
              <w:pStyle w:val="Compact"/>
              <w:spacing w:after="40"/>
              <w:jc w:val="left"/>
            </w:pPr>
            <w:r>
              <w:rPr>
                <w:sz w:val="18"/>
              </w:rPr>
              <w:t xml:space="preserve">Tenant-controlled</w:t>
            </w:r>
          </w:p>
        </w:tc>
        <w:tc>
          <w:tcPr>
            <w:tcW w:w="1894" w:type="dxa"/>
          </w:tcPr>
          <w:p>
            <w:pPr>
              <w:pStyle w:val="Compact"/>
              <w:spacing w:after="40"/>
              <w:jc w:val="left"/>
            </w:pPr>
            <w:r>
              <w:rPr>
                <w:sz w:val="18"/>
              </w:rPr>
              <w:t xml:space="preserve">Allowed if attested in India</w:t>
            </w:r>
          </w:p>
        </w:tc>
        <w:tc>
          <w:tcPr>
            <w:tcW w:w="1377" w:type="dxa"/>
          </w:tcPr>
          <w:p>
            <w:pPr>
              <w:pStyle w:val="Compact"/>
              <w:spacing w:after="40"/>
              <w:jc w:val="left"/>
            </w:pPr>
            <w:r>
              <w:rPr>
                <w:sz w:val="18"/>
              </w:rPr>
              <w:t xml:space="preserve">Allowed if attested in India</w:t>
            </w:r>
          </w:p>
        </w:tc>
        <w:tc>
          <w:tcPr>
            <w:tcW w:w="1250" w:type="dxa"/>
          </w:tcPr>
          <w:p>
            <w:pPr>
              <w:pStyle w:val="Compact"/>
              <w:spacing w:after="40"/>
              <w:jc w:val="left"/>
            </w:pPr>
            <w:r>
              <w:rPr>
                <w:sz w:val="18"/>
              </w:rPr>
              <w:t xml:space="preserve">Allowed</w:t>
            </w:r>
          </w:p>
        </w:tc>
      </w:tr>
    </w:tbl>
    <w:p>
      <w:pPr>
        <w:pStyle w:val="BodyText"/>
      </w:pPr>
      <w:r>
        <w:t xml:space="preserve">“</w:t>
      </w:r>
      <w:r>
        <w:t xml:space="preserve">Non-regulated data</w:t>
      </w:r>
      <w:r>
        <w:t xml:space="preserve">”</w:t>
      </w:r>
      <w:r>
        <w:t xml:space="preserve"> </w:t>
      </w:r>
      <w:r>
        <w:t xml:space="preserve">means</w:t>
      </w:r>
      <w:r>
        <w:t xml:space="preserve"> </w:t>
      </w:r>
      <w:r>
        <w:rPr>
          <w:rStyle w:val="VerbatimChar"/>
        </w:rPr>
        <w:t xml:space="preserve">PUBLIC</w:t>
      </w:r>
      <w:r>
        <w:t xml:space="preserve"> </w:t>
      </w:r>
      <w:r>
        <w:t xml:space="preserve">or</w:t>
      </w:r>
      <w:r>
        <w:t xml:space="preserve"> </w:t>
      </w:r>
      <w:r>
        <w:rPr>
          <w:rStyle w:val="VerbatimChar"/>
        </w:rPr>
        <w:t xml:space="preserve">INTERNAL</w:t>
      </w:r>
      <w:r>
        <w:t xml:space="preserve"> </w:t>
      </w:r>
      <w:r>
        <w:t xml:space="preserve">material and</w:t>
      </w:r>
      <w:r>
        <w:t xml:space="preserve"> </w:t>
      </w:r>
      <w:r>
        <w:rPr>
          <w:rStyle w:val="VerbatimChar"/>
        </w:rPr>
        <w:t xml:space="preserve">CONFIDENTIAL</w:t>
      </w:r>
      <w:r>
        <w:t xml:space="preserve"> </w:t>
      </w:r>
      <w:r>
        <w:t xml:space="preserve">documents with no personal data, books of account, returns, loan or HR data (for example approved policies and product brochures; Integration Spec Part 12.2). Enforced per data class (Integration Spec Part 13.2) on every write, with no tenant or DPO override for regulated classes outside India; books of account are never held only outside India (Accounts Rules r.3(1), 3(5); AC7). [VERIFY: a Graph property proving Default Geography; until confirmed, an admin-centre export signed by the tenant’s IT head, re-attested annually.]</w:t>
      </w:r>
    </w:p>
    <w:bookmarkEnd w:id="516"/>
    <w:bookmarkStart w:id="517" w:name="gv7.2-identity-into-finbyx"/>
    <w:p>
      <w:pPr>
        <w:pStyle w:val="Heading3"/>
      </w:pPr>
      <w:r>
        <w:t xml:space="preserve">GV7.2 Identity into Finbyx</w:t>
      </w:r>
    </w:p>
    <w:p>
      <w:pPr>
        <w:numPr>
          <w:ilvl w:val="0"/>
          <w:numId w:val="1457"/>
        </w:numPr>
        <w:pStyle w:val="Compact"/>
      </w:pPr>
      <w:r>
        <w:rPr>
          <w:bCs/>
          <w:b/>
        </w:rPr>
        <w:t xml:space="preserve">SSO</w:t>
      </w:r>
      <w:r>
        <w:t xml:space="preserve"> </w:t>
      </w:r>
      <w:r>
        <w:t xml:space="preserve">through the M19 OIDC abstraction: Entra ID (multi-tenant app, admin consent, OIDC or SAML), Google (OIDC or SAML), on-premises AD through AD FS or LDAP federation. MFA stays mandatory (CYB para 115; OUT para 97(viii)); the IdP’s MFA claim is accepted only with a conditional-access attestation, else Finbyx adds its own factor.</w:t>
      </w:r>
    </w:p>
    <w:p>
      <w:pPr>
        <w:numPr>
          <w:ilvl w:val="0"/>
          <w:numId w:val="1457"/>
        </w:numPr>
        <w:pStyle w:val="Compact"/>
      </w:pPr>
      <w:r>
        <w:rPr>
          <w:bCs/>
          <w:b/>
        </w:rPr>
        <w:t xml:space="preserve">SCIM 2.0 endpoint</w:t>
      </w:r>
      <w:r>
        <w:t xml:space="preserve"> </w:t>
      </w:r>
      <w:r>
        <w:t xml:space="preserve">for Entra ID or Google provisioning; SCIM groups map to positions (GV5), never directly to privileged roles, which still need maker-checker. IdP deactivation disables the Finbyx user and revokes sessions and tokens within 15 minutes [REC].</w:t>
      </w:r>
    </w:p>
    <w:bookmarkEnd w:id="517"/>
    <w:bookmarkStart w:id="518" w:name="X58f33112152603274d246ec8db36b521d3100bb"/>
    <w:p>
      <w:pPr>
        <w:pStyle w:val="Heading3"/>
      </w:pPr>
      <w:r>
        <w:t xml:space="preserve">GV7.3 Mailboxes and licences (optional outbound)</w:t>
      </w:r>
    </w:p>
    <w:p>
      <w:pPr>
        <w:numPr>
          <w:ilvl w:val="0"/>
          <w:numId w:val="1458"/>
        </w:numPr>
        <w:pStyle w:val="Compact"/>
      </w:pPr>
      <w:r>
        <w:rPr>
          <w:bCs/>
          <w:b/>
        </w:rPr>
        <w:t xml:space="preserve">Microsoft Graph:</w:t>
      </w:r>
      <w:r>
        <w:t xml:space="preserve"> </w:t>
      </w:r>
      <w:r>
        <w:rPr>
          <w:rStyle w:val="VerbatimChar"/>
        </w:rPr>
        <w:t xml:space="preserve">POST /users</w:t>
      </w:r>
      <w:r>
        <w:t xml:space="preserve"> </w:t>
      </w:r>
      <w:r>
        <w:t xml:space="preserve">(disabled until the day before joining,</w:t>
      </w:r>
      <w:r>
        <w:t xml:space="preserve"> </w:t>
      </w:r>
      <w:r>
        <w:rPr>
          <w:rStyle w:val="VerbatimChar"/>
        </w:rPr>
        <w:t xml:space="preserve">usageLocation = IN</w:t>
      </w:r>
      <w:r>
        <w:t xml:space="preserve">), then</w:t>
      </w:r>
      <w:r>
        <w:t xml:space="preserve"> </w:t>
      </w:r>
      <w:r>
        <w:rPr>
          <w:rStyle w:val="VerbatimChar"/>
        </w:rPr>
        <w:t xml:space="preserve">POST /users/{id}/assignLicense</w:t>
      </w:r>
      <w:r>
        <w:t xml:space="preserve"> </w:t>
      </w:r>
      <w:r>
        <w:t xml:space="preserve">with</w:t>
      </w:r>
      <w:r>
        <w:t xml:space="preserve"> </w:t>
      </w:r>
      <w:r>
        <w:rPr>
          <w:rStyle w:val="VerbatimChar"/>
        </w:rPr>
        <w:t xml:space="preserve">addLicenses[{skuId, disabledPlans}]</w:t>
      </w:r>
      <w:r>
        <w:t xml:space="preserve"> </w:t>
      </w:r>
      <w:r>
        <w:t xml:space="preserve">[VERIFY usageLocation prerequisite]; groups and Teams; least-privilege application permissions (</w:t>
      </w:r>
      <w:r>
        <w:rPr>
          <w:rStyle w:val="VerbatimChar"/>
        </w:rPr>
        <w:t xml:space="preserve">User.ReadWrite.All</w:t>
      </w:r>
      <w:r>
        <w:t xml:space="preserve"> </w:t>
      </w:r>
      <w:r>
        <w:t xml:space="preserve">scoped by administrative unit where available,</w:t>
      </w:r>
      <w:r>
        <w:t xml:space="preserve"> </w:t>
      </w:r>
      <w:r>
        <w:rPr>
          <w:rStyle w:val="VerbatimChar"/>
        </w:rPr>
        <w:t xml:space="preserve">LicenseAssignment.ReadWrite.All</w:t>
      </w:r>
      <w:r>
        <w:t xml:space="preserve">,</w:t>
      </w:r>
      <w:r>
        <w:t xml:space="preserve"> </w:t>
      </w:r>
      <w:r>
        <w:rPr>
          <w:rStyle w:val="VerbatimChar"/>
        </w:rPr>
        <w:t xml:space="preserve">Group.ReadWrite.All</w:t>
      </w:r>
      <w:r>
        <w:t xml:space="preserve">); exit:</w:t>
      </w:r>
      <w:r>
        <w:t xml:space="preserve"> </w:t>
      </w:r>
      <w:r>
        <w:rPr>
          <w:rStyle w:val="VerbatimChar"/>
        </w:rPr>
        <w:t xml:space="preserve">revokeSignInSessions</w:t>
      </w:r>
      <w:r>
        <w:t xml:space="preserve">, block sign-in, shared mailbox or forward, licence removed after the retention hold.</w:t>
      </w:r>
    </w:p>
    <w:p>
      <w:pPr>
        <w:numPr>
          <w:ilvl w:val="0"/>
          <w:numId w:val="1458"/>
        </w:numPr>
        <w:pStyle w:val="Compact"/>
      </w:pPr>
      <w:r>
        <w:rPr>
          <w:bCs/>
          <w:b/>
        </w:rPr>
        <w:t xml:space="preserve">Google Admin SDK:</w:t>
      </w:r>
      <w:r>
        <w:t xml:space="preserve"> </w:t>
      </w:r>
      <w:r>
        <w:rPr>
          <w:rStyle w:val="VerbatimChar"/>
        </w:rPr>
        <w:t xml:space="preserve">users.insert</w:t>
      </w:r>
      <w:r>
        <w:t xml:space="preserve"> </w:t>
      </w:r>
      <w:r>
        <w:t xml:space="preserve">into the configured OU, groups; exit: suspend, Data Transfer API for Drive ownership, delete per policy. Domain-wide delegation only with the minimal scopes approved by the Super Admin (changes take up to 24 hours). For a tenant whose own mail system is Google Workspace, Finbyx sends only the directory attributes an email account needs (name, work email, department, position title); no HR record field (PAN, salary, leave, bank, health, address) is ever written to any Google service.</w:t>
      </w:r>
    </w:p>
    <w:p>
      <w:pPr>
        <w:numPr>
          <w:ilvl w:val="0"/>
          <w:numId w:val="1458"/>
        </w:numPr>
        <w:pStyle w:val="Compact"/>
      </w:pPr>
      <w:r>
        <w:rPr>
          <w:bCs/>
          <w:b/>
        </w:rPr>
        <w:t xml:space="preserve">Address rules:</w:t>
      </w:r>
      <w:r>
        <w:t xml:space="preserve"> </w:t>
      </w:r>
      <w:r>
        <w:rPr>
          <w:rStyle w:val="VerbatimChar"/>
        </w:rPr>
        <w:t xml:space="preserve">first.last@[domain]</w:t>
      </w:r>
      <w:r>
        <w:t xml:space="preserve">, then middle initial, then a digit; reserved names blocked; 90-day quarantine after exit; never reissued to another person. Steps idempotent on</w:t>
      </w:r>
      <w:r>
        <w:t xml:space="preserve"> </w:t>
      </w:r>
      <w:r>
        <w:rPr>
          <w:rStyle w:val="VerbatimChar"/>
        </w:rPr>
        <w:t xml:space="preserve">(employee_id, provider, action)</w:t>
      </w:r>
      <w:r>
        <w:t xml:space="preserve">;</w:t>
      </w:r>
      <w:r>
        <w:t xml:space="preserve"> </w:t>
      </w:r>
      <w:r>
        <w:rPr>
          <w:rStyle w:val="VerbatimChar"/>
        </w:rPr>
        <w:t xml:space="preserve">MailboxProvisioned</w:t>
      </w:r>
      <w:r>
        <w:t xml:space="preserve"> </w:t>
      </w:r>
      <w:r>
        <w:t xml:space="preserve">stays tenant-internal.</w:t>
      </w:r>
    </w:p>
    <w:bookmarkEnd w:id="518"/>
    <w:bookmarkStart w:id="519" w:name="X78ae03115473139116030eac13c9d4e127dfd04"/>
    <w:p>
      <w:pPr>
        <w:pStyle w:val="Heading3"/>
      </w:pPr>
      <w:r>
        <w:t xml:space="preserve">GV7.4 Documents, calendars and notifications</w:t>
      </w:r>
    </w:p>
    <w:p>
      <w:pPr>
        <w:numPr>
          <w:ilvl w:val="0"/>
          <w:numId w:val="1459"/>
        </w:numPr>
        <w:pStyle w:val="Compact"/>
      </w:pPr>
      <w:r>
        <w:rPr>
          <w:bCs/>
          <w:b/>
        </w:rPr>
        <w:t xml:space="preserve">SharePoint and OneDrive:</w:t>
      </w:r>
      <w:r>
        <w:t xml:space="preserve"> </w:t>
      </w:r>
      <w:r>
        <w:rPr>
          <w:rStyle w:val="VerbatimChar"/>
        </w:rPr>
        <w:t xml:space="preserve">Sites.Selected</w:t>
      </w:r>
      <w:r>
        <w:t xml:space="preserve"> </w:t>
      </w:r>
      <w:r>
        <w:t xml:space="preserve">per site granted by the tenant admin; dedicated libraries (board packs, signed minutes, policies, exports); upload sessions for large files; delta queries with stored</w:t>
      </w:r>
      <w:r>
        <w:t xml:space="preserve"> </w:t>
      </w:r>
      <w:r>
        <w:rPr>
          <w:rStyle w:val="VerbatimChar"/>
        </w:rPr>
        <w:t xml:space="preserve">deltaLink</w:t>
      </w:r>
      <w:r>
        <w:t xml:space="preserve"> </w:t>
      </w:r>
      <w:r>
        <w:t xml:space="preserve">plus change notifications for two-way sync of the policy library only.</w:t>
      </w:r>
      <w:r>
        <w:t xml:space="preserve"> </w:t>
      </w:r>
      <w:r>
        <w:rPr>
          <w:bCs/>
          <w:b/>
        </w:rPr>
        <w:t xml:space="preserve">Google Drive:</w:t>
      </w:r>
      <w:r>
        <w:t xml:space="preserve"> </w:t>
      </w:r>
      <w:r>
        <w:t xml:space="preserve">tenant-owned shared drive, narrowest scope, non-regulated libraries only (approved policies and brochures); board packs, minutes, registers, HR and loan documents and exports are never offered for Google Drive sync. M16 stays the system of record; copies carry the M16 hash; an edited copy re-enters only as a new version through maker-checker. Exports and backups: Part 7J.</w:t>
      </w:r>
    </w:p>
    <w:p>
      <w:pPr>
        <w:numPr>
          <w:ilvl w:val="0"/>
          <w:numId w:val="1459"/>
        </w:numPr>
        <w:pStyle w:val="Compact"/>
      </w:pPr>
      <w:r>
        <w:rPr>
          <w:bCs/>
          <w:b/>
        </w:rPr>
        <w:t xml:space="preserve">Calendars:</w:t>
      </w:r>
      <w:r>
        <w:t xml:space="preserve"> </w:t>
      </w:r>
      <w:r>
        <w:t xml:space="preserve">GV2 schedules create Graph or Google Calendar events with Teams or Meet links; the event carries meeting type, time and a Finbyx deep link only (no agenda, papers or UPSI); Finbyx attendance remains the legal record.</w:t>
      </w:r>
    </w:p>
    <w:p>
      <w:pPr>
        <w:numPr>
          <w:ilvl w:val="0"/>
          <w:numId w:val="1459"/>
        </w:numPr>
        <w:pStyle w:val="Compact"/>
      </w:pPr>
      <w:r>
        <w:rPr>
          <w:bCs/>
          <w:b/>
        </w:rPr>
        <w:t xml:space="preserve">Notifications:</w:t>
      </w:r>
      <w:r>
        <w:t xml:space="preserve"> </w:t>
      </w:r>
      <w:r>
        <w:t xml:space="preserve">Teams app bot proactive messages and Google Chat app messages; Office 365 connectors (incoming webhooks) are not used because Microsoft is retiring them in favour of Workflows [VERIFY timeline]. Payloads carry category, count and a sign-in deep link only: never borrower names, PAN, account numbers, amounts or UPSI.</w:t>
      </w:r>
    </w:p>
    <w:p>
      <w:pPr>
        <w:numPr>
          <w:ilvl w:val="0"/>
          <w:numId w:val="1459"/>
        </w:numPr>
        <w:pStyle w:val="Compact"/>
      </w:pPr>
      <w:r>
        <w:rPr>
          <w:bCs/>
          <w:b/>
        </w:rPr>
        <w:t xml:space="preserve">Subscriptions:</w:t>
      </w:r>
      <w:r>
        <w:t xml:space="preserve"> </w:t>
      </w:r>
      <w:r>
        <w:t xml:space="preserve">renewed at 80% of lifetime (users about 23 days, drive about 24 days, mail about 5.5 days, Teams about 2.4 days);</w:t>
      </w:r>
      <w:r>
        <w:t xml:space="preserve"> </w:t>
      </w:r>
      <w:r>
        <w:rPr>
          <w:rStyle w:val="VerbatimChar"/>
        </w:rPr>
        <w:t xml:space="preserve">reauthorizationRequired</w:t>
      </w:r>
      <w:r>
        <w:t xml:space="preserve"> </w:t>
      </w:r>
      <w:r>
        <w:t xml:space="preserve">or</w:t>
      </w:r>
      <w:r>
        <w:t xml:space="preserve"> </w:t>
      </w:r>
      <w:r>
        <w:rPr>
          <w:rStyle w:val="VerbatimChar"/>
        </w:rPr>
        <w:t xml:space="preserve">missed</w:t>
      </w:r>
      <w:r>
        <w:t xml:space="preserve"> </w:t>
      </w:r>
      <w:r>
        <w:t xml:space="preserve">triggers delta resync;</w:t>
      </w:r>
      <w:r>
        <w:t xml:space="preserve"> </w:t>
      </w:r>
      <w:r>
        <w:rPr>
          <w:rStyle w:val="VerbatimChar"/>
        </w:rPr>
        <w:t xml:space="preserve">clientState</w:t>
      </w:r>
      <w:r>
        <w:t xml:space="preserve"> </w:t>
      </w:r>
      <w:r>
        <w:t xml:space="preserve">checked; validation token echoed within Microsoft’s limit [VERIFY].</w:t>
      </w:r>
    </w:p>
    <w:bookmarkEnd w:id="519"/>
    <w:bookmarkStart w:id="520" w:name="X23d03a7015b3cf002d90b7be60657723f8c6910"/>
    <w:p>
      <w:pPr>
        <w:pStyle w:val="Heading3"/>
      </w:pPr>
      <w:r>
        <w:t xml:space="preserve">GV7.5 Client data-centre agent and migration</w:t>
      </w:r>
    </w:p>
    <w:p>
      <w:pPr>
        <w:numPr>
          <w:ilvl w:val="0"/>
          <w:numId w:val="1460"/>
        </w:numPr>
        <w:pStyle w:val="Compact"/>
      </w:pPr>
      <w:r>
        <w:rPr>
          <w:bCs/>
          <w:b/>
        </w:rPr>
        <w:t xml:space="preserve">Agent:</w:t>
      </w:r>
      <w:r>
        <w:t xml:space="preserve"> </w:t>
      </w:r>
      <w:r>
        <w:t xml:space="preserve">the Finbyx Connector Agent of Part 7C AC6.1 (one agent, one</w:t>
      </w:r>
      <w:r>
        <w:t xml:space="preserve"> </w:t>
      </w:r>
      <w:r>
        <w:rPr>
          <w:rStyle w:val="VerbatimChar"/>
        </w:rPr>
        <w:t xml:space="preserve">connector_agent</w:t>
      </w:r>
      <w:r>
        <w:t xml:space="preserve"> </w:t>
      </w:r>
      <w:r>
        <w:t xml:space="preserve">record), extended with storage and directory-sync capabilities; signed container or Windows service in the tenant’s data centre; outbound-only mTLS (no inbound ports); pulls tenant-scoped jobs (exports, backups, renditions, directory sync) and writes to the tenant’s file share, NAS, S3-compatible store or SFTP; heartbeats; certificate rotated every 90 days [REC]; updates only to signed versions after tenant approval; every job hashed and logged on both sides. Read-only AD or LDAP sync where there is no cloud IdP. Finbyx does not attach arbitrary disks in its cloud; the agent is the supported route.</w:t>
      </w:r>
    </w:p>
    <w:p>
      <w:pPr>
        <w:numPr>
          <w:ilvl w:val="0"/>
          <w:numId w:val="1460"/>
        </w:numPr>
        <w:pStyle w:val="Compact"/>
      </w:pPr>
      <w:r>
        <w:rPr>
          <w:bCs/>
          <w:b/>
        </w:rPr>
        <w:t xml:space="preserve">Migration:</w:t>
      </w:r>
      <w:r>
        <w:t xml:space="preserve"> </w:t>
      </w:r>
      <w:r>
        <w:t xml:space="preserve">bulk import of policies, board records and historical minutes from SharePoint, OneDrive, Drive or file shares (dry run, hash, classification, reject file). Mailbox and drive moves between suites use the vendors’ tools (Microsoft Migration Manager, Exchange migration batches, Google Workspace Migrate or Data Migration Service) as an Operations Hub professional-services engagement (OH4) [VERIFY edition limits]; Finbyx re-points its connector and re-validates residency.</w:t>
      </w:r>
    </w:p>
    <w:bookmarkEnd w:id="520"/>
    <w:bookmarkStart w:id="521" w:name="settings-and-options-gv7"/>
    <w:p>
      <w:pPr>
        <w:pStyle w:val="Heading3"/>
      </w:pPr>
      <w:r>
        <w:t xml:space="preserve">Settings and options (GV7)</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94"/>
        <w:gridCol w:w="1211"/>
        <w:gridCol w:w="3126"/>
        <w:gridCol w:w="2807"/>
      </w:tblGrid>
      <w:tr>
        <w:trPr>
          <w:tblHeader w:val="true"/>
          <w:tblHeader w:val="true"/>
        </w:trPr>
        <w:tc>
          <w:tcPr>
            <w:tcW w:w="2494" w:type="dxa"/>
            <w:shd w:val="clear" w:color="auto" w:fill="1F3A5F"/>
          </w:tcPr>
          <w:p>
            <w:pPr>
              <w:pStyle w:val="Compact"/>
              <w:spacing w:after="40"/>
              <w:jc w:val="left"/>
            </w:pPr>
            <w:r>
              <w:rPr>
                <w:b/>
                <w:color w:val="FFFFFF"/>
                <w:sz w:val="18"/>
              </w:rPr>
              <w:t xml:space="preserve">Setting</w:t>
            </w:r>
          </w:p>
        </w:tc>
        <w:tc>
          <w:tcPr>
            <w:tcW w:w="1211" w:type="dxa"/>
            <w:shd w:val="clear" w:color="auto" w:fill="1F3A5F"/>
          </w:tcPr>
          <w:p>
            <w:pPr>
              <w:pStyle w:val="Compact"/>
              <w:spacing w:after="40"/>
              <w:jc w:val="left"/>
            </w:pPr>
            <w:r>
              <w:rPr>
                <w:b/>
                <w:color w:val="FFFFFF"/>
                <w:sz w:val="18"/>
              </w:rPr>
              <w:t xml:space="preserve">Level</w:t>
            </w:r>
          </w:p>
        </w:tc>
        <w:tc>
          <w:tcPr>
            <w:tcW w:w="3126" w:type="dxa"/>
            <w:shd w:val="clear" w:color="auto" w:fill="1F3A5F"/>
          </w:tcPr>
          <w:p>
            <w:pPr>
              <w:pStyle w:val="Compact"/>
              <w:spacing w:after="40"/>
              <w:jc w:val="left"/>
            </w:pPr>
            <w:r>
              <w:rPr>
                <w:b/>
                <w:color w:val="FFFFFF"/>
                <w:sz w:val="18"/>
              </w:rPr>
              <w:t xml:space="preserve">Default</w:t>
            </w:r>
          </w:p>
        </w:tc>
        <w:tc>
          <w:tcPr>
            <w:tcW w:w="2807" w:type="dxa"/>
            <w:shd w:val="clear" w:color="auto" w:fill="1F3A5F"/>
          </w:tcPr>
          <w:p>
            <w:pPr>
              <w:pStyle w:val="Compact"/>
              <w:spacing w:after="40"/>
              <w:jc w:val="left"/>
            </w:pPr>
            <w:r>
              <w:rPr>
                <w:b/>
                <w:color w:val="FFFFFF"/>
                <w:sz w:val="18"/>
              </w:rPr>
              <w:t xml:space="preserve">Nature</w:t>
            </w:r>
          </w:p>
        </w:tc>
      </w:tr>
      <w:tr>
        <w:tc>
          <w:tcPr>
            <w:tcW w:w="2494" w:type="dxa"/>
          </w:tcPr>
          <w:p>
            <w:pPr>
              <w:pStyle w:val="Compact"/>
              <w:spacing w:after="40"/>
              <w:jc w:val="left"/>
            </w:pPr>
            <w:r>
              <w:rPr>
                <w:sz w:val="18"/>
              </w:rPr>
              <w:t xml:space="preserve">Provider per legal entity</w:t>
            </w:r>
          </w:p>
        </w:tc>
        <w:tc>
          <w:tcPr>
            <w:tcW w:w="1211" w:type="dxa"/>
          </w:tcPr>
          <w:p>
            <w:pPr>
              <w:pStyle w:val="Compact"/>
              <w:spacing w:after="40"/>
              <w:jc w:val="left"/>
            </w:pPr>
            <w:r>
              <w:rPr>
                <w:sz w:val="18"/>
              </w:rPr>
              <w:t xml:space="preserve">Tenant</w:t>
            </w:r>
          </w:p>
        </w:tc>
        <w:tc>
          <w:tcPr>
            <w:tcW w:w="3126" w:type="dxa"/>
          </w:tcPr>
          <w:p>
            <w:pPr>
              <w:pStyle w:val="Compact"/>
              <w:spacing w:after="40"/>
              <w:jc w:val="left"/>
            </w:pPr>
            <w:r>
              <w:rPr>
                <w:sz w:val="18"/>
              </w:rPr>
              <w:t xml:space="preserve">None (no outbound connection)</w:t>
            </w:r>
          </w:p>
        </w:tc>
        <w:tc>
          <w:tcPr>
            <w:tcW w:w="2807" w:type="dxa"/>
          </w:tcPr>
          <w:p>
            <w:pPr>
              <w:pStyle w:val="Compact"/>
              <w:spacing w:after="40"/>
              <w:jc w:val="left"/>
            </w:pPr>
            <w:r>
              <w:rPr>
                <w:sz w:val="18"/>
              </w:rPr>
              <w:t xml:space="preserve">Commercial choice; the office-suite decision is recorded first</w:t>
            </w:r>
          </w:p>
        </w:tc>
      </w:tr>
      <w:tr>
        <w:tc>
          <w:tcPr>
            <w:tcW w:w="2494" w:type="dxa"/>
          </w:tcPr>
          <w:p>
            <w:pPr>
              <w:pStyle w:val="Compact"/>
              <w:spacing w:after="40"/>
              <w:jc w:val="left"/>
            </w:pPr>
            <w:r>
              <w:rPr>
                <w:sz w:val="18"/>
              </w:rPr>
              <w:t xml:space="preserve">Residency attestation</w:t>
            </w:r>
          </w:p>
        </w:tc>
        <w:tc>
          <w:tcPr>
            <w:tcW w:w="1211" w:type="dxa"/>
          </w:tcPr>
          <w:p>
            <w:pPr>
              <w:pStyle w:val="Compact"/>
              <w:spacing w:after="40"/>
              <w:jc w:val="left"/>
            </w:pPr>
            <w:r>
              <w:rPr>
                <w:sz w:val="18"/>
              </w:rPr>
              <w:t xml:space="preserve">Connection</w:t>
            </w:r>
          </w:p>
        </w:tc>
        <w:tc>
          <w:tcPr>
            <w:tcW w:w="3126" w:type="dxa"/>
          </w:tcPr>
          <w:p>
            <w:pPr>
              <w:pStyle w:val="Compact"/>
              <w:spacing w:after="40"/>
              <w:jc w:val="left"/>
            </w:pPr>
            <w:r>
              <w:rPr>
                <w:sz w:val="18"/>
              </w:rPr>
              <w:t xml:space="preserve">Required before any regulated class; re-attested yearly</w:t>
            </w:r>
          </w:p>
        </w:tc>
        <w:tc>
          <w:tcPr>
            <w:tcW w:w="2807" w:type="dxa"/>
          </w:tcPr>
          <w:p>
            <w:pPr>
              <w:pStyle w:val="Compact"/>
              <w:spacing w:after="40"/>
              <w:jc w:val="left"/>
            </w:pPr>
            <w:r>
              <w:rPr>
                <w:sz w:val="18"/>
              </w:rPr>
              <w:t xml:space="preserve">Regulatory floor</w:t>
            </w:r>
          </w:p>
        </w:tc>
      </w:tr>
      <w:tr>
        <w:tc>
          <w:tcPr>
            <w:tcW w:w="2494" w:type="dxa"/>
          </w:tcPr>
          <w:p>
            <w:pPr>
              <w:pStyle w:val="Compact"/>
              <w:spacing w:after="40"/>
              <w:jc w:val="left"/>
            </w:pPr>
            <w:r>
              <w:rPr>
                <w:sz w:val="18"/>
              </w:rPr>
              <w:t xml:space="preserve">Data classes allowed per target</w:t>
            </w:r>
          </w:p>
        </w:tc>
        <w:tc>
          <w:tcPr>
            <w:tcW w:w="1211" w:type="dxa"/>
          </w:tcPr>
          <w:p>
            <w:pPr>
              <w:pStyle w:val="Compact"/>
              <w:spacing w:after="40"/>
              <w:jc w:val="left"/>
            </w:pPr>
            <w:r>
              <w:rPr>
                <w:sz w:val="18"/>
              </w:rPr>
              <w:t xml:space="preserve">Connection</w:t>
            </w:r>
          </w:p>
        </w:tc>
        <w:tc>
          <w:tcPr>
            <w:tcW w:w="3126" w:type="dxa"/>
          </w:tcPr>
          <w:p>
            <w:pPr>
              <w:pStyle w:val="Compact"/>
              <w:spacing w:after="40"/>
              <w:jc w:val="left"/>
            </w:pPr>
            <w:r>
              <w:rPr>
                <w:sz w:val="18"/>
              </w:rPr>
              <w:t xml:space="preserve">Derived from GV7.1; tenant may narrow</w:t>
            </w:r>
          </w:p>
        </w:tc>
        <w:tc>
          <w:tcPr>
            <w:tcW w:w="2807" w:type="dxa"/>
          </w:tcPr>
          <w:p>
            <w:pPr>
              <w:pStyle w:val="Compact"/>
              <w:spacing w:after="40"/>
              <w:jc w:val="left"/>
            </w:pPr>
            <w:r>
              <w:rPr>
                <w:sz w:val="18"/>
              </w:rPr>
              <w:t xml:space="preserve">Floor: cannot widen beyond GV7.1</w:t>
            </w:r>
          </w:p>
        </w:tc>
      </w:tr>
      <w:tr>
        <w:tc>
          <w:tcPr>
            <w:tcW w:w="2494" w:type="dxa"/>
          </w:tcPr>
          <w:p>
            <w:pPr>
              <w:pStyle w:val="Compact"/>
              <w:spacing w:after="40"/>
              <w:jc w:val="left"/>
            </w:pPr>
            <w:r>
              <w:rPr>
                <w:sz w:val="18"/>
              </w:rPr>
              <w:t xml:space="preserve">SSO and MFA claim trust</w:t>
            </w:r>
          </w:p>
        </w:tc>
        <w:tc>
          <w:tcPr>
            <w:tcW w:w="1211" w:type="dxa"/>
          </w:tcPr>
          <w:p>
            <w:pPr>
              <w:pStyle w:val="Compact"/>
              <w:spacing w:after="40"/>
              <w:jc w:val="left"/>
            </w:pPr>
            <w:r>
              <w:rPr>
                <w:sz w:val="18"/>
              </w:rPr>
              <w:t xml:space="preserve">Tenant</w:t>
            </w:r>
          </w:p>
        </w:tc>
        <w:tc>
          <w:tcPr>
            <w:tcW w:w="3126" w:type="dxa"/>
          </w:tcPr>
          <w:p>
            <w:pPr>
              <w:pStyle w:val="Compact"/>
              <w:spacing w:after="40"/>
              <w:jc w:val="left"/>
            </w:pPr>
            <w:r>
              <w:rPr>
                <w:sz w:val="18"/>
              </w:rPr>
              <w:t xml:space="preserve">Finbyx adds its own factor unless a conditional-access attestation is on file</w:t>
            </w:r>
          </w:p>
        </w:tc>
        <w:tc>
          <w:tcPr>
            <w:tcW w:w="2807" w:type="dxa"/>
          </w:tcPr>
          <w:p>
            <w:pPr>
              <w:pStyle w:val="Compact"/>
              <w:spacing w:after="40"/>
              <w:jc w:val="left"/>
            </w:pPr>
            <w:r>
              <w:rPr>
                <w:sz w:val="18"/>
              </w:rPr>
              <w:t xml:space="preserve">Floor: MFA always required</w:t>
            </w:r>
          </w:p>
        </w:tc>
      </w:tr>
      <w:tr>
        <w:tc>
          <w:tcPr>
            <w:tcW w:w="2494" w:type="dxa"/>
          </w:tcPr>
          <w:p>
            <w:pPr>
              <w:pStyle w:val="Compact"/>
              <w:spacing w:after="40"/>
              <w:jc w:val="left"/>
            </w:pPr>
            <w:r>
              <w:rPr>
                <w:sz w:val="18"/>
              </w:rPr>
              <w:t xml:space="preserve">SCIM group-to-position map</w:t>
            </w:r>
          </w:p>
        </w:tc>
        <w:tc>
          <w:tcPr>
            <w:tcW w:w="1211" w:type="dxa"/>
          </w:tcPr>
          <w:p>
            <w:pPr>
              <w:pStyle w:val="Compact"/>
              <w:spacing w:after="40"/>
              <w:jc w:val="left"/>
            </w:pPr>
            <w:r>
              <w:rPr>
                <w:sz w:val="18"/>
              </w:rPr>
              <w:t xml:space="preserve">Tenant</w:t>
            </w:r>
          </w:p>
        </w:tc>
        <w:tc>
          <w:tcPr>
            <w:tcW w:w="3126" w:type="dxa"/>
          </w:tcPr>
          <w:p>
            <w:pPr>
              <w:pStyle w:val="Compact"/>
              <w:spacing w:after="40"/>
              <w:jc w:val="left"/>
            </w:pPr>
            <w:r>
              <w:rPr>
                <w:sz w:val="18"/>
              </w:rPr>
              <w:t xml:space="preserve">Empty; privileged roles never mapped directly</w:t>
            </w:r>
          </w:p>
        </w:tc>
        <w:tc>
          <w:tcPr>
            <w:tcW w:w="2807" w:type="dxa"/>
          </w:tcPr>
          <w:p>
            <w:pPr>
              <w:pStyle w:val="Compact"/>
              <w:spacing w:after="40"/>
              <w:jc w:val="left"/>
            </w:pPr>
            <w:r>
              <w:rPr>
                <w:sz w:val="18"/>
              </w:rPr>
              <w:t xml:space="preserve">Regulated configuration (maker-checker)</w:t>
            </w:r>
          </w:p>
        </w:tc>
      </w:tr>
      <w:tr>
        <w:tc>
          <w:tcPr>
            <w:tcW w:w="2494" w:type="dxa"/>
          </w:tcPr>
          <w:p>
            <w:pPr>
              <w:pStyle w:val="Compact"/>
              <w:spacing w:after="40"/>
              <w:jc w:val="left"/>
            </w:pPr>
            <w:r>
              <w:rPr>
                <w:sz w:val="18"/>
              </w:rPr>
              <w:t xml:space="preserve">Deprovisioning latency</w:t>
            </w:r>
          </w:p>
        </w:tc>
        <w:tc>
          <w:tcPr>
            <w:tcW w:w="1211" w:type="dxa"/>
          </w:tcPr>
          <w:p>
            <w:pPr>
              <w:pStyle w:val="Compact"/>
              <w:spacing w:after="40"/>
              <w:jc w:val="left"/>
            </w:pPr>
            <w:r>
              <w:rPr>
                <w:sz w:val="18"/>
              </w:rPr>
              <w:t xml:space="preserve">Platform</w:t>
            </w:r>
          </w:p>
        </w:tc>
        <w:tc>
          <w:tcPr>
            <w:tcW w:w="3126" w:type="dxa"/>
          </w:tcPr>
          <w:p>
            <w:pPr>
              <w:pStyle w:val="Compact"/>
              <w:spacing w:after="40"/>
              <w:jc w:val="left"/>
            </w:pPr>
            <w:r>
              <w:rPr>
                <w:sz w:val="18"/>
              </w:rPr>
              <w:t xml:space="preserve">≤ 15 minutes after IdP deactivation</w:t>
            </w:r>
          </w:p>
        </w:tc>
        <w:tc>
          <w:tcPr>
            <w:tcW w:w="2807" w:type="dxa"/>
          </w:tcPr>
          <w:p>
            <w:pPr>
              <w:pStyle w:val="Compact"/>
              <w:spacing w:after="40"/>
              <w:jc w:val="left"/>
            </w:pPr>
            <w:r>
              <w:rPr>
                <w:sz w:val="18"/>
              </w:rPr>
              <w:t xml:space="preserve">Floor</w:t>
            </w:r>
          </w:p>
        </w:tc>
      </w:tr>
      <w:tr>
        <w:tc>
          <w:tcPr>
            <w:tcW w:w="2494" w:type="dxa"/>
          </w:tcPr>
          <w:p>
            <w:pPr>
              <w:pStyle w:val="Compact"/>
              <w:spacing w:after="40"/>
              <w:jc w:val="left"/>
            </w:pPr>
            <w:r>
              <w:rPr>
                <w:sz w:val="18"/>
              </w:rPr>
              <w:t xml:space="preserve">Mailbox provisioning, address pattern, quarantine</w:t>
            </w:r>
          </w:p>
        </w:tc>
        <w:tc>
          <w:tcPr>
            <w:tcW w:w="1211" w:type="dxa"/>
          </w:tcPr>
          <w:p>
            <w:pPr>
              <w:pStyle w:val="Compact"/>
              <w:spacing w:after="40"/>
              <w:jc w:val="left"/>
            </w:pPr>
            <w:r>
              <w:rPr>
                <w:sz w:val="18"/>
              </w:rPr>
              <w:t xml:space="preserve">Tenant</w:t>
            </w:r>
          </w:p>
        </w:tc>
        <w:tc>
          <w:tcPr>
            <w:tcW w:w="3126" w:type="dxa"/>
          </w:tcPr>
          <w:p>
            <w:pPr>
              <w:pStyle w:val="Compact"/>
              <w:spacing w:after="40"/>
              <w:jc w:val="left"/>
            </w:pPr>
            <w:r>
              <w:rPr>
                <w:sz w:val="18"/>
              </w:rPr>
              <w:t xml:space="preserve">Off;</w:t>
            </w:r>
            <w:r>
              <w:rPr>
                <w:sz w:val="18"/>
              </w:rPr>
              <w:t xml:space="preserve"> </w:t>
            </w:r>
            <w:r>
              <w:rPr>
                <w:rStyle w:val="VerbatimChar"/>
                <w:sz w:val="18"/>
              </w:rPr>
              <w:t xml:space="preserve">first.last</w:t>
            </w:r>
            <w:r>
              <w:rPr>
                <w:sz w:val="18"/>
              </w:rPr>
              <w:t xml:space="preserve">; 90-day quarantine, never reissued</w:t>
            </w:r>
          </w:p>
        </w:tc>
        <w:tc>
          <w:tcPr>
            <w:tcW w:w="2807" w:type="dxa"/>
          </w:tcPr>
          <w:p>
            <w:pPr>
              <w:pStyle w:val="Compact"/>
              <w:spacing w:after="40"/>
              <w:jc w:val="left"/>
            </w:pPr>
            <w:r>
              <w:rPr>
                <w:sz w:val="18"/>
              </w:rPr>
              <w:t xml:space="preserve">Commercial choice except the no-reissue rule</w:t>
            </w:r>
          </w:p>
        </w:tc>
      </w:tr>
      <w:tr>
        <w:tc>
          <w:tcPr>
            <w:tcW w:w="2494" w:type="dxa"/>
          </w:tcPr>
          <w:p>
            <w:pPr>
              <w:pStyle w:val="Compact"/>
              <w:spacing w:after="40"/>
              <w:jc w:val="left"/>
            </w:pPr>
            <w:r>
              <w:rPr>
                <w:sz w:val="18"/>
              </w:rPr>
              <w:t xml:space="preserve">Notification channel</w:t>
            </w:r>
          </w:p>
        </w:tc>
        <w:tc>
          <w:tcPr>
            <w:tcW w:w="1211" w:type="dxa"/>
          </w:tcPr>
          <w:p>
            <w:pPr>
              <w:pStyle w:val="Compact"/>
              <w:spacing w:after="40"/>
              <w:jc w:val="left"/>
            </w:pPr>
            <w:r>
              <w:rPr>
                <w:sz w:val="18"/>
              </w:rPr>
              <w:t xml:space="preserve">Tenant</w:t>
            </w:r>
          </w:p>
        </w:tc>
        <w:tc>
          <w:tcPr>
            <w:tcW w:w="3126" w:type="dxa"/>
          </w:tcPr>
          <w:p>
            <w:pPr>
              <w:pStyle w:val="Compact"/>
              <w:spacing w:after="40"/>
              <w:jc w:val="left"/>
            </w:pPr>
            <w:r>
              <w:rPr>
                <w:sz w:val="18"/>
              </w:rPr>
              <w:t xml:space="preserve">In-app and email; Teams or Google Chat optional</w:t>
            </w:r>
          </w:p>
        </w:tc>
        <w:tc>
          <w:tcPr>
            <w:tcW w:w="2807" w:type="dxa"/>
          </w:tcPr>
          <w:p>
            <w:pPr>
              <w:pStyle w:val="Compact"/>
              <w:spacing w:after="40"/>
              <w:jc w:val="left"/>
            </w:pPr>
            <w:r>
              <w:rPr>
                <w:sz w:val="18"/>
              </w:rPr>
              <w:t xml:space="preserve">Payload rule (category, count, deep link) cannot be changed</w:t>
            </w:r>
          </w:p>
        </w:tc>
      </w:tr>
      <w:tr>
        <w:tc>
          <w:tcPr>
            <w:tcW w:w="2494" w:type="dxa"/>
          </w:tcPr>
          <w:p>
            <w:pPr>
              <w:pStyle w:val="Compact"/>
              <w:spacing w:after="40"/>
              <w:jc w:val="left"/>
            </w:pPr>
            <w:r>
              <w:rPr>
                <w:sz w:val="18"/>
              </w:rPr>
              <w:t xml:space="preserve">Agent update policy</w:t>
            </w:r>
          </w:p>
        </w:tc>
        <w:tc>
          <w:tcPr>
            <w:tcW w:w="1211" w:type="dxa"/>
          </w:tcPr>
          <w:p>
            <w:pPr>
              <w:pStyle w:val="Compact"/>
              <w:spacing w:after="40"/>
              <w:jc w:val="left"/>
            </w:pPr>
            <w:r>
              <w:rPr>
                <w:sz w:val="18"/>
              </w:rPr>
              <w:t xml:space="preserve">Tenant</w:t>
            </w:r>
          </w:p>
        </w:tc>
        <w:tc>
          <w:tcPr>
            <w:tcW w:w="3126" w:type="dxa"/>
          </w:tcPr>
          <w:p>
            <w:pPr>
              <w:pStyle w:val="Compact"/>
              <w:spacing w:after="40"/>
              <w:jc w:val="left"/>
            </w:pPr>
            <w:r>
              <w:rPr>
                <w:sz w:val="18"/>
              </w:rPr>
              <w:t xml:space="preserve">Signed versions after tenant approval; certificate rotation 90 days</w:t>
            </w:r>
          </w:p>
        </w:tc>
        <w:tc>
          <w:tcPr>
            <w:tcW w:w="2807" w:type="dxa"/>
          </w:tcPr>
          <w:p>
            <w:pPr>
              <w:pStyle w:val="Compact"/>
              <w:spacing w:after="40"/>
              <w:jc w:val="left"/>
            </w:pPr>
            <w:r>
              <w:rPr>
                <w:sz w:val="18"/>
              </w:rPr>
              <w:t xml:space="preserve">Floor for signing</w:t>
            </w:r>
          </w:p>
        </w:tc>
      </w:tr>
    </w:tbl>
    <w:bookmarkEnd w:id="521"/>
    <w:bookmarkStart w:id="522" w:name="X2737d998b6079d24ff15ebc37518c698cb08daf"/>
    <w:p>
      <w:pPr>
        <w:pStyle w:val="Heading3"/>
      </w:pPr>
      <w:r>
        <w:t xml:space="preserve">Menu and screens (workspace N, menu</w:t>
      </w:r>
      <w:r>
        <w:t xml:space="preserve"> </w:t>
      </w:r>
      <w:r>
        <w:rPr>
          <w:rStyle w:val="VerbatimChar"/>
        </w:rPr>
        <w:t xml:space="preserve">Settings › Workplace</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56"/>
        <w:gridCol w:w="4912"/>
        <w:gridCol w:w="2270"/>
      </w:tblGrid>
      <w:tr>
        <w:trPr>
          <w:tblHeader w:val="true"/>
          <w:tblHeader w:val="true"/>
        </w:trPr>
        <w:tc>
          <w:tcPr>
            <w:tcW w:w="2456" w:type="dxa"/>
            <w:shd w:val="clear" w:color="auto" w:fill="1F3A5F"/>
          </w:tcPr>
          <w:p>
            <w:pPr>
              <w:pStyle w:val="Compact"/>
              <w:spacing w:after="40"/>
              <w:jc w:val="left"/>
            </w:pPr>
            <w:r>
              <w:rPr>
                <w:b/>
                <w:color w:val="FFFFFF"/>
                <w:sz w:val="18"/>
              </w:rPr>
              <w:t xml:space="preserve">Path</w:t>
            </w:r>
          </w:p>
        </w:tc>
        <w:tc>
          <w:tcPr>
            <w:tcW w:w="4912" w:type="dxa"/>
            <w:shd w:val="clear" w:color="auto" w:fill="1F3A5F"/>
          </w:tcPr>
          <w:p>
            <w:pPr>
              <w:pStyle w:val="Compact"/>
              <w:spacing w:after="40"/>
              <w:jc w:val="left"/>
            </w:pPr>
            <w:r>
              <w:rPr>
                <w:b/>
                <w:color w:val="FFFFFF"/>
                <w:sz w:val="18"/>
              </w:rPr>
              <w:t xml:space="preserve">Main screens and key actions</w:t>
            </w:r>
          </w:p>
        </w:tc>
        <w:tc>
          <w:tcPr>
            <w:tcW w:w="2270" w:type="dxa"/>
            <w:shd w:val="clear" w:color="auto" w:fill="1F3A5F"/>
          </w:tcPr>
          <w:p>
            <w:pPr>
              <w:pStyle w:val="Compact"/>
              <w:spacing w:after="40"/>
              <w:jc w:val="left"/>
            </w:pPr>
            <w:r>
              <w:rPr>
                <w:b/>
                <w:color w:val="FFFFFF"/>
                <w:sz w:val="18"/>
              </w:rPr>
              <w:t xml:space="preserve">Roles</w:t>
            </w:r>
          </w:p>
        </w:tc>
      </w:tr>
      <w:tr>
        <w:tc>
          <w:tcPr>
            <w:tcW w:w="2456" w:type="dxa"/>
          </w:tcPr>
          <w:p>
            <w:pPr>
              <w:pStyle w:val="Compact"/>
              <w:spacing w:after="40"/>
              <w:jc w:val="left"/>
            </w:pPr>
            <w:r>
              <w:rPr>
                <w:rStyle w:val="VerbatimChar"/>
                <w:sz w:val="18"/>
              </w:rPr>
              <w:t xml:space="preserve">Settings › Workplace › Connections</w:t>
            </w:r>
          </w:p>
        </w:tc>
        <w:tc>
          <w:tcPr>
            <w:tcW w:w="4912" w:type="dxa"/>
          </w:tcPr>
          <w:p>
            <w:pPr>
              <w:pStyle w:val="Compact"/>
              <w:spacing w:after="40"/>
              <w:jc w:val="left"/>
            </w:pPr>
            <w:r>
              <w:rPr>
                <w:sz w:val="18"/>
              </w:rPr>
              <w:t xml:space="preserve">Connect wizard (provider, admin consent, scopes shown in plain language, residency evidence upload, test); status and last sync; disconnect (stops jobs, keeps logs)</w:t>
            </w:r>
          </w:p>
        </w:tc>
        <w:tc>
          <w:tcPr>
            <w:tcW w:w="2270" w:type="dxa"/>
          </w:tcPr>
          <w:p>
            <w:pPr>
              <w:pStyle w:val="Compact"/>
              <w:spacing w:after="40"/>
              <w:jc w:val="left"/>
            </w:pPr>
            <w:r>
              <w:rPr>
                <w:sz w:val="18"/>
              </w:rPr>
              <w:t xml:space="preserve">Tenant admin maker, IT head checker</w:t>
            </w:r>
          </w:p>
        </w:tc>
      </w:tr>
      <w:tr>
        <w:tc>
          <w:tcPr>
            <w:tcW w:w="2456" w:type="dxa"/>
          </w:tcPr>
          <w:p>
            <w:pPr>
              <w:pStyle w:val="Compact"/>
              <w:spacing w:after="40"/>
              <w:jc w:val="left"/>
            </w:pPr>
            <w:r>
              <w:rPr>
                <w:rStyle w:val="VerbatimChar"/>
                <w:sz w:val="18"/>
              </w:rPr>
              <w:t xml:space="preserve">Settings › Workplace › Identity</w:t>
            </w:r>
          </w:p>
        </w:tc>
        <w:tc>
          <w:tcPr>
            <w:tcW w:w="4912" w:type="dxa"/>
          </w:tcPr>
          <w:p>
            <w:pPr>
              <w:pStyle w:val="Compact"/>
              <w:spacing w:after="40"/>
              <w:jc w:val="left"/>
            </w:pPr>
            <w:r>
              <w:rPr>
                <w:sz w:val="18"/>
              </w:rPr>
              <w:t xml:space="preserve">SSO configuration test, SCIM endpoint and token rotation, group-to-position mapping with pending maker-checker items</w:t>
            </w:r>
          </w:p>
        </w:tc>
        <w:tc>
          <w:tcPr>
            <w:tcW w:w="2270" w:type="dxa"/>
          </w:tcPr>
          <w:p>
            <w:pPr>
              <w:pStyle w:val="Compact"/>
              <w:spacing w:after="40"/>
              <w:jc w:val="left"/>
            </w:pPr>
            <w:r>
              <w:rPr>
                <w:sz w:val="18"/>
              </w:rPr>
              <w:t xml:space="preserve">Tenant admin, security officer</w:t>
            </w:r>
          </w:p>
        </w:tc>
      </w:tr>
      <w:tr>
        <w:tc>
          <w:tcPr>
            <w:tcW w:w="2456" w:type="dxa"/>
          </w:tcPr>
          <w:p>
            <w:pPr>
              <w:pStyle w:val="Compact"/>
              <w:spacing w:after="40"/>
              <w:jc w:val="left"/>
            </w:pPr>
            <w:r>
              <w:rPr>
                <w:rStyle w:val="VerbatimChar"/>
                <w:sz w:val="18"/>
              </w:rPr>
              <w:t xml:space="preserve">Settings › Workplace › Mailboxes</w:t>
            </w:r>
          </w:p>
        </w:tc>
        <w:tc>
          <w:tcPr>
            <w:tcW w:w="4912" w:type="dxa"/>
          </w:tcPr>
          <w:p>
            <w:pPr>
              <w:pStyle w:val="Compact"/>
              <w:spacing w:after="40"/>
              <w:jc w:val="left"/>
            </w:pPr>
            <w:r>
              <w:rPr>
                <w:sz w:val="18"/>
              </w:rPr>
              <w:t xml:space="preserve">Address rules, reserved names, provisioning job log with retry</w:t>
            </w:r>
          </w:p>
        </w:tc>
        <w:tc>
          <w:tcPr>
            <w:tcW w:w="2270" w:type="dxa"/>
          </w:tcPr>
          <w:p>
            <w:pPr>
              <w:pStyle w:val="Compact"/>
              <w:spacing w:after="40"/>
              <w:jc w:val="left"/>
            </w:pPr>
            <w:r>
              <w:rPr>
                <w:sz w:val="18"/>
              </w:rPr>
              <w:t xml:space="preserve">IT</w:t>
            </w:r>
          </w:p>
        </w:tc>
      </w:tr>
      <w:tr>
        <w:tc>
          <w:tcPr>
            <w:tcW w:w="2456" w:type="dxa"/>
          </w:tcPr>
          <w:p>
            <w:pPr>
              <w:pStyle w:val="Compact"/>
              <w:spacing w:after="40"/>
              <w:jc w:val="left"/>
            </w:pPr>
            <w:r>
              <w:rPr>
                <w:rStyle w:val="VerbatimChar"/>
                <w:sz w:val="18"/>
              </w:rPr>
              <w:t xml:space="preserve">Settings › Workplace › Libraries and sync</w:t>
            </w:r>
          </w:p>
        </w:tc>
        <w:tc>
          <w:tcPr>
            <w:tcW w:w="4912" w:type="dxa"/>
          </w:tcPr>
          <w:p>
            <w:pPr>
              <w:pStyle w:val="Compact"/>
              <w:spacing w:after="40"/>
              <w:jc w:val="left"/>
            </w:pPr>
            <w:r>
              <w:rPr>
                <w:sz w:val="18"/>
              </w:rPr>
              <w:t xml:space="preserve">Library mapping, allowed data classes (blocked classes greyed out with the reason), delta status, subscription health</w:t>
            </w:r>
          </w:p>
        </w:tc>
        <w:tc>
          <w:tcPr>
            <w:tcW w:w="2270" w:type="dxa"/>
          </w:tcPr>
          <w:p>
            <w:pPr>
              <w:pStyle w:val="Compact"/>
              <w:spacing w:after="40"/>
              <w:jc w:val="left"/>
            </w:pPr>
            <w:r>
              <w:rPr>
                <w:sz w:val="18"/>
              </w:rPr>
              <w:t xml:space="preserve">IT, CS (policy library)</w:t>
            </w:r>
          </w:p>
        </w:tc>
      </w:tr>
      <w:tr>
        <w:tc>
          <w:tcPr>
            <w:tcW w:w="2456" w:type="dxa"/>
          </w:tcPr>
          <w:p>
            <w:pPr>
              <w:pStyle w:val="Compact"/>
              <w:spacing w:after="40"/>
              <w:jc w:val="left"/>
            </w:pPr>
            <w:r>
              <w:rPr>
                <w:rStyle w:val="VerbatimChar"/>
                <w:sz w:val="18"/>
              </w:rPr>
              <w:t xml:space="preserve">Settings › Workplace › Agent</w:t>
            </w:r>
          </w:p>
        </w:tc>
        <w:tc>
          <w:tcPr>
            <w:tcW w:w="4912" w:type="dxa"/>
          </w:tcPr>
          <w:p>
            <w:pPr>
              <w:pStyle w:val="Compact"/>
              <w:spacing w:after="40"/>
              <w:jc w:val="left"/>
            </w:pPr>
            <w:r>
              <w:rPr>
                <w:sz w:val="18"/>
              </w:rPr>
              <w:t xml:space="preserve">Agent registration, certificate expiry, job queue, update approvals</w:t>
            </w:r>
          </w:p>
        </w:tc>
        <w:tc>
          <w:tcPr>
            <w:tcW w:w="2270" w:type="dxa"/>
          </w:tcPr>
          <w:p>
            <w:pPr>
              <w:pStyle w:val="Compact"/>
              <w:spacing w:after="40"/>
              <w:jc w:val="left"/>
            </w:pPr>
            <w:r>
              <w:rPr>
                <w:sz w:val="18"/>
              </w:rPr>
              <w:t xml:space="preserve">IT</w:t>
            </w:r>
          </w:p>
        </w:tc>
      </w:tr>
    </w:tbl>
    <w:bookmarkEnd w:id="522"/>
    <w:bookmarkStart w:id="523" w:name="acceptance-tests-40"/>
    <w:p>
      <w:pPr>
        <w:pStyle w:val="Heading3"/>
      </w:pPr>
      <w:r>
        <w:t xml:space="preserve">Acceptance tests</w:t>
      </w:r>
    </w:p>
    <w:p>
      <w:pPr>
        <w:numPr>
          <w:ilvl w:val="0"/>
          <w:numId w:val="1461"/>
        </w:numPr>
        <w:pStyle w:val="Compact"/>
      </w:pPr>
      <w:r>
        <w:t xml:space="preserve">A Google Drive target receiving the</w:t>
      </w:r>
      <w:r>
        <w:t xml:space="preserve"> </w:t>
      </w:r>
      <w:r>
        <w:t xml:space="preserve">“</w:t>
      </w:r>
      <w:r>
        <w:t xml:space="preserve">Loans</w:t>
      </w:r>
      <w:r>
        <w:t xml:space="preserve">”</w:t>
      </w:r>
      <w:r>
        <w:t xml:space="preserve"> </w:t>
      </w:r>
      <w:r>
        <w:t xml:space="preserve">dataset fails with</w:t>
      </w:r>
      <w:r>
        <w:t xml:space="preserve"> </w:t>
      </w:r>
      <w:r>
        <w:rPr>
          <w:rStyle w:val="VerbatimChar"/>
        </w:rPr>
        <w:t xml:space="preserve">residency_blocked_borrower_data</w:t>
      </w:r>
      <w:r>
        <w:t xml:space="preserve">;</w:t>
      </w:r>
      <w:r>
        <w:t xml:space="preserve"> </w:t>
      </w:r>
      <w:r>
        <w:t xml:space="preserve">“</w:t>
      </w:r>
      <w:r>
        <w:t xml:space="preserve">Policies</w:t>
      </w:r>
      <w:r>
        <w:t xml:space="preserve">”</w:t>
      </w:r>
      <w:r>
        <w:t xml:space="preserve"> </w:t>
      </w:r>
      <w:r>
        <w:t xml:space="preserve">succeeds; signed Board minutes and HR documents are not offered for Google Drive sync.</w:t>
      </w:r>
    </w:p>
    <w:p>
      <w:pPr>
        <w:numPr>
          <w:ilvl w:val="0"/>
          <w:numId w:val="1461"/>
        </w:numPr>
        <w:pStyle w:val="Compact"/>
      </w:pPr>
      <w:r>
        <w:t xml:space="preserve">A Microsoft 365 target in another geography refuses HR documents with no override path.</w:t>
      </w:r>
    </w:p>
    <w:p>
      <w:pPr>
        <w:numPr>
          <w:ilvl w:val="0"/>
          <w:numId w:val="1461"/>
        </w:numPr>
        <w:pStyle w:val="Compact"/>
      </w:pPr>
      <w:r>
        <w:t xml:space="preserve">A Microsoft 365 target without residency attestation accepts only non-regulated classes (no personal data, books of account, returns, loan or HR data); after attestation, loan document renditions sync with the M16 hash.</w:t>
      </w:r>
    </w:p>
    <w:p>
      <w:pPr>
        <w:numPr>
          <w:ilvl w:val="0"/>
          <w:numId w:val="1461"/>
        </w:numPr>
        <w:pStyle w:val="Compact"/>
      </w:pPr>
      <w:r>
        <w:t xml:space="preserve">An exit blocks the Entra account, revokes sessions and converts the mailbox, keeping the licence until the hold is confirmed; steps retry idempotently after a simulated 429.</w:t>
      </w:r>
    </w:p>
    <w:p>
      <w:pPr>
        <w:numPr>
          <w:ilvl w:val="0"/>
          <w:numId w:val="1461"/>
        </w:numPr>
        <w:pStyle w:val="Compact"/>
      </w:pPr>
      <w:r>
        <w:t xml:space="preserve">A SCIM group change mapped to a privileged role creates a pending maker-checker request.</w:t>
      </w:r>
    </w:p>
    <w:p>
      <w:pPr>
        <w:numPr>
          <w:ilvl w:val="0"/>
          <w:numId w:val="1461"/>
        </w:numPr>
        <w:pStyle w:val="Compact"/>
      </w:pPr>
      <w:r>
        <w:t xml:space="preserve">CI scans notification payloads for PAN, account-number and amount patterns; any match fails the build.</w:t>
      </w:r>
    </w:p>
    <w:p>
      <w:pPr>
        <w:numPr>
          <w:ilvl w:val="0"/>
          <w:numId w:val="1461"/>
        </w:numPr>
        <w:pStyle w:val="Compact"/>
      </w:pPr>
      <w:r>
        <w:t xml:space="preserve">A simulated</w:t>
      </w:r>
      <w:r>
        <w:t xml:space="preserve"> </w:t>
      </w:r>
      <w:r>
        <w:rPr>
          <w:rStyle w:val="VerbatimChar"/>
        </w:rPr>
        <w:t xml:space="preserve">missed</w:t>
      </w:r>
      <w:r>
        <w:t xml:space="preserve"> </w:t>
      </w:r>
      <w:r>
        <w:t xml:space="preserve">lifecycle event triggers a delta resync with no duplicate document versions.</w:t>
      </w:r>
    </w:p>
    <w:p>
      <w:pPr>
        <w:numPr>
          <w:ilvl w:val="0"/>
          <w:numId w:val="1461"/>
        </w:numPr>
        <w:pStyle w:val="Compact"/>
      </w:pPr>
      <w:r>
        <w:t xml:space="preserve">An agent with an expired certificate cannot fetch jobs; an unsigned build is refused at registration.</w:t>
      </w:r>
    </w:p>
    <w:p>
      <w:r>
        <w:pict>
          <v:rect style="width:0;height:1.5pt" o:hralign="center" o:hrstd="t" o:hr="t"/>
        </w:pict>
      </w:r>
    </w:p>
    <w:bookmarkEnd w:id="523"/>
    <w:bookmarkEnd w:id="524"/>
    <w:bookmarkEnd w:id="525"/>
    <w:bookmarkStart w:id="597" w:name="X2c58d1d36734a3e7cd7988058caa100e102642f"/>
    <w:p>
      <w:pPr>
        <w:pStyle w:val="Heading1"/>
      </w:pPr>
      <w:r>
        <w:t xml:space="preserve">PART 7G — INSTITUTION PROFILES: CO-OPERATIVES, MICROFINANCE, ARCs AND IFSC ENTITIES</w:t>
      </w:r>
    </w:p>
    <w:p>
      <w:pPr>
        <w:pStyle w:val="FirstParagraph"/>
      </w:pPr>
      <w:r>
        <w:rPr>
          <w:bCs/>
          <w:b/>
        </w:rPr>
        <w:t xml:space="preserve">Purpose.</w:t>
      </w:r>
      <w:r>
        <w:t xml:space="preserve"> </w:t>
      </w:r>
      <w:r>
        <w:t xml:space="preserve">v1.4 was built around the NBFC. v1.5 sells the same engine to institutions whose law, vocabulary, capital rules, returns and permitted products differ: credit co-operative societies (not RBI regulated entities), urban and rural co-operative banks, group-model microfinance lenders, asset reconstruction companies (ARCs) and IFSCA finance companies. The</w:t>
      </w:r>
      <w:r>
        <w:t xml:space="preserve"> </w:t>
      </w:r>
      <w:r>
        <w:rPr>
          <w:bCs/>
          <w:b/>
        </w:rPr>
        <w:t xml:space="preserve">institution profile</w:t>
      </w:r>
      <w:r>
        <w:t xml:space="preserve"> </w:t>
      </w:r>
      <w:r>
        <w:t xml:space="preserve">is the single switch that loads the right law: rule packs, returns, accounting framework, capital engine, products, guard-rails and interface vocabulary. Nothing downstream may hard-code NBFC assumptions.</w:t>
      </w:r>
    </w:p>
    <w:p>
      <w:pPr>
        <w:pStyle w:val="BodyText"/>
      </w:pPr>
      <w:r>
        <w:rPr>
          <w:bCs/>
          <w:b/>
        </w:rPr>
        <w:t xml:space="preserve">Applicability.</w:t>
      </w:r>
      <w:r>
        <w:t xml:space="preserve"> </w:t>
      </w:r>
      <w:r>
        <w:t xml:space="preserve">NBFCs of every layer (Part 8A.25); State and multi-State credit co-operative societies; UCBs, StCBs and DCCBs; microfinance overlays; ARCs; IFSCA FCs and FUs. Core Investment Companies (written NBFC-CIC; bare</w:t>
      </w:r>
      <w:r>
        <w:t xml:space="preserve"> </w:t>
      </w:r>
      <w:r>
        <w:t xml:space="preserve">“</w:t>
      </w:r>
      <w:r>
        <w:t xml:space="preserve">CIC</w:t>
      </w:r>
      <w:r>
        <w:t xml:space="preserve">”</w:t>
      </w:r>
      <w:r>
        <w:t xml:space="preserve"> </w:t>
      </w:r>
      <w:r>
        <w:t xml:space="preserve">in this Part means a credit information company), AIFs and PMS are profiled here and specified in Part 7H.</w:t>
      </w:r>
    </w:p>
    <w:p>
      <w:pPr>
        <w:pStyle w:val="BodyText"/>
      </w:pPr>
      <w:r>
        <w:rPr>
          <w:bCs/>
          <w:b/>
        </w:rPr>
        <w:t xml:space="preserve">Requirement codes.</w:t>
      </w:r>
      <w:r>
        <w:t xml:space="preserve"> </w:t>
      </w:r>
      <w:r>
        <w:t xml:space="preserve">Existing: CF, CIR, CON, INV, CAP, SBR, MFI, TDCR, SEC, IRACP, RBC, KYC, RSA, FS, MSD, SR. New (Part 8A.37):</w:t>
      </w:r>
      <w:r>
        <w:t xml:space="preserve"> </w:t>
      </w:r>
      <w:r>
        <w:rPr>
          <w:rStyle w:val="VerbatimChar"/>
        </w:rPr>
        <w:t xml:space="preserve">MSCS</w:t>
      </w:r>
      <w:r>
        <w:t xml:space="preserve"> </w:t>
      </w:r>
      <w:r>
        <w:t xml:space="preserve">(MSCS Act 2002 as amended 2023, MSCS Rules 2023, CRCS orders, model bye-laws),</w:t>
      </w:r>
      <w:r>
        <w:t xml:space="preserve"> </w:t>
      </w:r>
      <w:r>
        <w:rPr>
          <w:rStyle w:val="VerbatimChar"/>
        </w:rPr>
        <w:t xml:space="preserve">SCS</w:t>
      </w:r>
      <w:r>
        <w:t xml:space="preserve"> </w:t>
      </w:r>
      <w:r>
        <w:t xml:space="preserve">(State co-operative Acts and Rules; Maharashtra as</w:t>
      </w:r>
      <w:r>
        <w:t xml:space="preserve"> </w:t>
      </w:r>
      <w:r>
        <w:rPr>
          <w:rStyle w:val="VerbatimChar"/>
        </w:rPr>
        <w:t xml:space="preserve">SCS-MH</w:t>
      </w:r>
      <w:r>
        <w:t xml:space="preserve">),</w:t>
      </w:r>
      <w:r>
        <w:t xml:space="preserve"> </w:t>
      </w:r>
      <w:r>
        <w:rPr>
          <w:rStyle w:val="VerbatimChar"/>
        </w:rPr>
        <w:t xml:space="preserve">ARC</w:t>
      </w:r>
      <w:r>
        <w:t xml:space="preserve"> </w:t>
      </w:r>
      <w:r>
        <w:t xml:space="preserve">(RBI (Asset Reconstruction Companies) Directions 2025 and SARFAESI provisions for ARCs),</w:t>
      </w:r>
      <w:r>
        <w:t xml:space="preserve"> </w:t>
      </w:r>
      <w:r>
        <w:rPr>
          <w:rStyle w:val="VerbatimChar"/>
        </w:rPr>
        <w:t xml:space="preserve">IFSCA-FC</w:t>
      </w:r>
      <w:r>
        <w:t xml:space="preserve">,</w:t>
      </w:r>
      <w:r>
        <w:t xml:space="preserve"> </w:t>
      </w:r>
      <w:r>
        <w:rPr>
          <w:rStyle w:val="VerbatimChar"/>
        </w:rPr>
        <w:t xml:space="preserve">CICRA</w:t>
      </w:r>
      <w:r>
        <w:t xml:space="preserve">,</w:t>
      </w:r>
      <w:r>
        <w:t xml:space="preserve"> </w:t>
      </w:r>
      <w:r>
        <w:rPr>
          <w:rStyle w:val="VerbatimChar"/>
        </w:rPr>
        <w:t xml:space="preserve">DPDP</w:t>
      </w:r>
      <w:r>
        <w:t xml:space="preserve">,</w:t>
      </w:r>
      <w:r>
        <w:t xml:space="preserve"> </w:t>
      </w:r>
      <w:r>
        <w:rPr>
          <w:rStyle w:val="VerbatimChar"/>
        </w:rPr>
        <w:t xml:space="preserve">IND-AS</w:t>
      </w:r>
      <w:r>
        <w:t xml:space="preserve">. Also in Part 8A.37:</w:t>
      </w:r>
      <w:r>
        <w:t xml:space="preserve"> </w:t>
      </w:r>
      <w:r>
        <w:rPr>
          <w:rStyle w:val="VerbatimChar"/>
        </w:rPr>
        <w:t xml:space="preserve">SARFAESI</w:t>
      </w:r>
      <w:r>
        <w:t xml:space="preserve">,</w:t>
      </w:r>
      <w:r>
        <w:t xml:space="preserve"> </w:t>
      </w:r>
      <w:r>
        <w:rPr>
          <w:rStyle w:val="VerbatimChar"/>
        </w:rPr>
        <w:t xml:space="preserve">BUDS</w:t>
      </w:r>
      <w:r>
        <w:t xml:space="preserve">,</w:t>
      </w:r>
      <w:r>
        <w:t xml:space="preserve"> </w:t>
      </w:r>
      <w:r>
        <w:rPr>
          <w:rStyle w:val="VerbatimChar"/>
        </w:rPr>
        <w:t xml:space="preserve">UCB</w:t>
      </w:r>
      <w:r>
        <w:t xml:space="preserve"> </w:t>
      </w:r>
      <w:r>
        <w:t xml:space="preserve">(RBI UCB Directions 2025 set),</w:t>
      </w:r>
      <w:r>
        <w:t xml:space="preserve"> </w:t>
      </w:r>
      <w:r>
        <w:rPr>
          <w:rStyle w:val="VerbatimChar"/>
        </w:rPr>
        <w:t xml:space="preserve">NABARD</w:t>
      </w:r>
      <w:r>
        <w:t xml:space="preserve">,</w:t>
      </w:r>
      <w:r>
        <w:t xml:space="preserve"> </w:t>
      </w:r>
      <w:r>
        <w:rPr>
          <w:rStyle w:val="VerbatimChar"/>
        </w:rPr>
        <w:t xml:space="preserve">SRO-MFIN</w:t>
      </w:r>
      <w:r>
        <w:t xml:space="preserve">,</w:t>
      </w:r>
      <w:r>
        <w:t xml:space="preserve"> </w:t>
      </w:r>
      <w:r>
        <w:rPr>
          <w:rStyle w:val="VerbatimChar"/>
        </w:rPr>
        <w:t xml:space="preserve">KA15</w:t>
      </w:r>
      <w:r>
        <w:t xml:space="preserve"> </w:t>
      </w:r>
      <w:r>
        <w:t xml:space="preserve">(Karnataka Act 15 of 2025),</w:t>
      </w:r>
      <w:r>
        <w:t xml:space="preserve"> </w:t>
      </w:r>
      <w:r>
        <w:rPr>
          <w:rStyle w:val="VerbatimChar"/>
        </w:rPr>
        <w:t xml:space="preserve">TN40</w:t>
      </w:r>
      <w:r>
        <w:t xml:space="preserve"> </w:t>
      </w:r>
      <w:r>
        <w:t xml:space="preserve">(Tamil Nadu Act 40 of 2025),</w:t>
      </w:r>
      <w:r>
        <w:t xml:space="preserve"> </w:t>
      </w:r>
      <w:r>
        <w:rPr>
          <w:rStyle w:val="VerbatimChar"/>
        </w:rPr>
        <w:t xml:space="preserve">FEMA</w:t>
      </w:r>
      <w:r>
        <w:t xml:space="preserve">.</w:t>
      </w:r>
    </w:p>
    <w:p>
      <w:pPr>
        <w:pStyle w:val="BodyText"/>
      </w:pPr>
      <w:r>
        <w:rPr>
          <w:bCs/>
          <w:b/>
        </w:rPr>
        <w:t xml:space="preserve">Data owned.</w:t>
      </w:r>
      <w:r>
        <w:t xml:space="preserve"> </w:t>
      </w:r>
      <w:r>
        <w:t xml:space="preserve">Profile and rule-pack bindings; member register, share ledger, deposit-ledger snapshots, surety register, appropriation runs, AGM and election records, Registrar audit paras (co-operatives); group, centre, meeting, cash-in-transit and SHG records (microfinance); trust ledgers, SR register, NAV history, settlement approvals (ARCs); USD ledgers and activity whitelist (IFSC). Returns are produced by Part 7B, books by Part 7C, ratios and capital by Part 7E.</w:t>
      </w:r>
    </w:p>
    <w:p>
      <w:pPr>
        <w:pStyle w:val="BodyText"/>
      </w:pPr>
      <w:r>
        <w:rPr>
          <w:bCs/>
          <w:b/>
        </w:rPr>
        <w:t xml:space="preserve">Extends, does not repeat:</w:t>
      </w:r>
      <w:r>
        <w:t xml:space="preserve"> </w:t>
      </w:r>
      <w:r>
        <w:t xml:space="preserve">Part 3.1, Product 11 and Part 8A.31 (microfinance), Part 8A.25 (entity profile), M11 and R13 (transfers, co-lending), R1.4 (mechanism selection). Labels:</w:t>
      </w:r>
      <w:r>
        <w:t xml:space="preserve"> </w:t>
      </w:r>
      <w:r>
        <w:rPr>
          <w:rStyle w:val="VerbatimChar"/>
        </w:rPr>
        <w:t xml:space="preserve">[LAW]</w:t>
      </w:r>
      <w:r>
        <w:t xml:space="preserve">,</w:t>
      </w:r>
      <w:r>
        <w:t xml:space="preserve"> </w:t>
      </w:r>
      <w:r>
        <w:rPr>
          <w:rStyle w:val="VerbatimChar"/>
        </w:rPr>
        <w:t xml:space="preserve">[REG]</w:t>
      </w:r>
      <w:r>
        <w:t xml:space="preserve">,</w:t>
      </w:r>
      <w:r>
        <w:t xml:space="preserve"> </w:t>
      </w:r>
      <w:r>
        <w:rPr>
          <w:rStyle w:val="VerbatimChar"/>
        </w:rPr>
        <w:t xml:space="preserve">[SRO]</w:t>
      </w:r>
      <w:r>
        <w:t xml:space="preserve">,</w:t>
      </w:r>
      <w:r>
        <w:t xml:space="preserve"> </w:t>
      </w:r>
      <w:r>
        <w:rPr>
          <w:rStyle w:val="VerbatimChar"/>
        </w:rPr>
        <w:t xml:space="preserve">[PRAC]</w:t>
      </w:r>
      <w:r>
        <w:t xml:space="preserve">,</w:t>
      </w:r>
      <w:r>
        <w:t xml:space="preserve"> </w:t>
      </w:r>
      <w:r>
        <w:rPr>
          <w:rStyle w:val="VerbatimChar"/>
        </w:rPr>
        <w:t xml:space="preserve">[REC]</w:t>
      </w:r>
      <w:r>
        <w:t xml:space="preserve">,</w:t>
      </w:r>
      <w:r>
        <w:t xml:space="preserve"> </w:t>
      </w:r>
      <w:r>
        <w:rPr>
          <w:rStyle w:val="VerbatimChar"/>
        </w:rPr>
        <w:t xml:space="preserve">[VERIFY: …]</w:t>
      </w:r>
      <w:r>
        <w:t xml:space="preserve">.</w:t>
      </w:r>
    </w:p>
    <w:p>
      <w:r>
        <w:pict>
          <v:rect style="width:0;height:1.5pt" o:hralign="center" o:hrstd="t" o:hr="t"/>
        </w:pict>
      </w:r>
    </w:p>
    <w:bookmarkStart w:id="536" w:name="ip1.-institution-profile-engine"/>
    <w:p>
      <w:pPr>
        <w:pStyle w:val="Heading2"/>
      </w:pPr>
      <w:r>
        <w:t xml:space="preserve">IP1. Institution profile engine</w:t>
      </w:r>
    </w:p>
    <w:bookmarkStart w:id="526" w:name="ip1.1-type-catalogue-seed"/>
    <w:p>
      <w:pPr>
        <w:pStyle w:val="Heading3"/>
      </w:pPr>
      <w:r>
        <w:t xml:space="preserve">IP1.1 Type catalogue (seed)</w:t>
      </w:r>
    </w:p>
    <w:p>
      <w:pPr>
        <w:pStyle w:val="FirstParagraph"/>
      </w:pPr>
      <w:r>
        <w:t xml:space="preserve">One profile per legal entity. An institution type is a versioned manifest, not code; Part 8A.25’s</w:t>
      </w:r>
      <w:r>
        <w:t xml:space="preserve"> </w:t>
      </w:r>
      <w:r>
        <w:rPr>
          <w:rStyle w:val="VerbatimChar"/>
        </w:rPr>
        <w:t xml:space="preserve">entity_regulatory_profile</w:t>
      </w:r>
      <w:r>
        <w:t xml:space="preserve"> </w:t>
      </w:r>
      <w:r>
        <w:t xml:space="preserve">becomes the NBFC sub-profile.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84"/>
        <w:gridCol w:w="2791"/>
        <w:gridCol w:w="1430"/>
        <w:gridCol w:w="1596"/>
        <w:gridCol w:w="1491"/>
        <w:gridCol w:w="646"/>
      </w:tblGrid>
      <w:tr>
        <w:trPr>
          <w:tblHeader w:val="true"/>
          <w:tblHeader w:val="true"/>
        </w:trPr>
        <w:tc>
          <w:tcPr>
            <w:tcW w:w="1684" w:type="dxa"/>
            <w:shd w:val="clear" w:color="auto" w:fill="1F3A5F"/>
          </w:tcPr>
          <w:p>
            <w:pPr>
              <w:pStyle w:val="Compact"/>
              <w:spacing w:after="40"/>
              <w:jc w:val="left"/>
            </w:pPr>
            <w:r>
              <w:rPr>
                <w:b/>
                <w:color w:val="FFFFFF"/>
                <w:sz w:val="18"/>
              </w:rPr>
              <w:t xml:space="preserve">Type code</w:t>
            </w:r>
          </w:p>
        </w:tc>
        <w:tc>
          <w:tcPr>
            <w:tcW w:w="2791" w:type="dxa"/>
            <w:shd w:val="clear" w:color="auto" w:fill="1F3A5F"/>
          </w:tcPr>
          <w:p>
            <w:pPr>
              <w:pStyle w:val="Compact"/>
              <w:spacing w:after="40"/>
              <w:jc w:val="left"/>
            </w:pPr>
            <w:r>
              <w:rPr>
                <w:b/>
                <w:color w:val="FFFFFF"/>
                <w:sz w:val="18"/>
              </w:rPr>
              <w:t xml:space="preserve">Legal basis</w:t>
            </w:r>
          </w:p>
        </w:tc>
        <w:tc>
          <w:tcPr>
            <w:tcW w:w="1430" w:type="dxa"/>
            <w:shd w:val="clear" w:color="auto" w:fill="1F3A5F"/>
          </w:tcPr>
          <w:p>
            <w:pPr>
              <w:pStyle w:val="Compact"/>
              <w:spacing w:after="40"/>
              <w:jc w:val="left"/>
            </w:pPr>
            <w:r>
              <w:rPr>
                <w:b/>
                <w:color w:val="FFFFFF"/>
                <w:sz w:val="18"/>
              </w:rPr>
              <w:t xml:space="preserve">Accounting (7C AC1)</w:t>
            </w:r>
          </w:p>
        </w:tc>
        <w:tc>
          <w:tcPr>
            <w:tcW w:w="1596" w:type="dxa"/>
            <w:shd w:val="clear" w:color="auto" w:fill="1F3A5F"/>
          </w:tcPr>
          <w:p>
            <w:pPr>
              <w:pStyle w:val="Compact"/>
              <w:spacing w:after="40"/>
              <w:jc w:val="left"/>
            </w:pPr>
            <w:r>
              <w:rPr>
                <w:b/>
                <w:color w:val="FFFFFF"/>
                <w:sz w:val="18"/>
              </w:rPr>
              <w:t xml:space="preserve">Capital (7E RK3)</w:t>
            </w:r>
          </w:p>
        </w:tc>
        <w:tc>
          <w:tcPr>
            <w:tcW w:w="1491" w:type="dxa"/>
            <w:shd w:val="clear" w:color="auto" w:fill="1F3A5F"/>
          </w:tcPr>
          <w:p>
            <w:pPr>
              <w:pStyle w:val="Compact"/>
              <w:spacing w:after="40"/>
              <w:jc w:val="left"/>
            </w:pPr>
            <w:r>
              <w:rPr>
                <w:b/>
                <w:color w:val="FFFFFF"/>
                <w:sz w:val="18"/>
              </w:rPr>
              <w:t xml:space="preserve">Returns (7B RR1)</w:t>
            </w:r>
          </w:p>
        </w:tc>
        <w:tc>
          <w:tcPr>
            <w:tcW w:w="646" w:type="dxa"/>
            <w:shd w:val="clear" w:color="auto" w:fill="1F3A5F"/>
          </w:tcPr>
          <w:p>
            <w:pPr>
              <w:pStyle w:val="Compact"/>
              <w:spacing w:after="40"/>
              <w:jc w:val="left"/>
            </w:pPr>
            <w:r>
              <w:rPr>
                <w:b/>
                <w:color w:val="FFFFFF"/>
                <w:sz w:val="18"/>
              </w:rPr>
              <w:t xml:space="preserve">Vocabulary</w:t>
            </w:r>
          </w:p>
        </w:tc>
      </w:tr>
      <w:tr>
        <w:tc>
          <w:tcPr>
            <w:tcW w:w="1684" w:type="dxa"/>
          </w:tcPr>
          <w:p>
            <w:pPr>
              <w:pStyle w:val="Compact"/>
              <w:spacing w:after="40"/>
              <w:jc w:val="left"/>
            </w:pPr>
            <w:r>
              <w:rPr>
                <w:rStyle w:val="VerbatimChar"/>
                <w:sz w:val="18"/>
              </w:rPr>
              <w:t xml:space="preserve">NBFC_*</w:t>
            </w:r>
            <w:r>
              <w:rPr>
                <w:sz w:val="18"/>
              </w:rPr>
              <w:t xml:space="preserve"> </w:t>
            </w:r>
            <w:r>
              <w:rPr>
                <w:sz w:val="18"/>
              </w:rPr>
              <w:t xml:space="preserve">(</w:t>
            </w:r>
            <w:r>
              <w:rPr>
                <w:rStyle w:val="VerbatimChar"/>
                <w:sz w:val="18"/>
              </w:rPr>
              <w:t xml:space="preserve">ICC</w:t>
            </w:r>
            <w:r>
              <w:rPr>
                <w:sz w:val="18"/>
              </w:rPr>
              <w:t xml:space="preserve">,</w:t>
            </w:r>
            <w:r>
              <w:rPr>
                <w:sz w:val="18"/>
              </w:rPr>
              <w:t xml:space="preserve"> </w:t>
            </w:r>
            <w:r>
              <w:rPr>
                <w:rStyle w:val="VerbatimChar"/>
                <w:sz w:val="18"/>
              </w:rPr>
              <w:t xml:space="preserve">MFI</w:t>
            </w:r>
            <w:r>
              <w:rPr>
                <w:sz w:val="18"/>
              </w:rPr>
              <w:t xml:space="preserve">,</w:t>
            </w:r>
            <w:r>
              <w:rPr>
                <w:sz w:val="18"/>
              </w:rPr>
              <w:t xml:space="preserve"> </w:t>
            </w:r>
            <w:r>
              <w:rPr>
                <w:rStyle w:val="VerbatimChar"/>
                <w:sz w:val="18"/>
              </w:rPr>
              <w:t xml:space="preserve">HFC</w:t>
            </w:r>
            <w:r>
              <w:rPr>
                <w:sz w:val="18"/>
              </w:rPr>
              <w:t xml:space="preserve">,</w:t>
            </w:r>
            <w:r>
              <w:rPr>
                <w:sz w:val="18"/>
              </w:rPr>
              <w:t xml:space="preserve"> </w:t>
            </w:r>
            <w:r>
              <w:rPr>
                <w:rStyle w:val="VerbatimChar"/>
                <w:sz w:val="18"/>
              </w:rPr>
              <w:t xml:space="preserve">CIC</w:t>
            </w:r>
            <w:r>
              <w:rPr>
                <w:sz w:val="18"/>
              </w:rPr>
              <w:t xml:space="preserve"> </w:t>
            </w:r>
            <w:r>
              <w:rPr>
                <w:sz w:val="18"/>
              </w:rPr>
              <w:t xml:space="preserve">= Core Investment Company,</w:t>
            </w:r>
            <w:r>
              <w:rPr>
                <w:sz w:val="18"/>
              </w:rPr>
              <w:t xml:space="preserve"> </w:t>
            </w:r>
            <w:r>
              <w:rPr>
                <w:rStyle w:val="VerbatimChar"/>
                <w:sz w:val="18"/>
              </w:rPr>
              <w:t xml:space="preserve">FACTOR</w:t>
            </w:r>
            <w:r>
              <w:rPr>
                <w:sz w:val="18"/>
              </w:rPr>
              <w:t xml:space="preserve">,</w:t>
            </w:r>
            <w:r>
              <w:rPr>
                <w:sz w:val="18"/>
              </w:rPr>
              <w:t xml:space="preserve"> </w:t>
            </w:r>
            <w:r>
              <w:rPr>
                <w:rStyle w:val="VerbatimChar"/>
                <w:sz w:val="18"/>
              </w:rPr>
              <w:t xml:space="preserve">IFC</w:t>
            </w:r>
            <w:r>
              <w:rPr>
                <w:sz w:val="18"/>
              </w:rPr>
              <w:t xml:space="preserve">,</w:t>
            </w:r>
            <w:r>
              <w:rPr>
                <w:sz w:val="18"/>
              </w:rPr>
              <w:t xml:space="preserve"> </w:t>
            </w:r>
            <w:r>
              <w:rPr>
                <w:rStyle w:val="VerbatimChar"/>
                <w:sz w:val="18"/>
              </w:rPr>
              <w:t xml:space="preserve">IDF</w:t>
            </w:r>
            <w:r>
              <w:rPr>
                <w:sz w:val="18"/>
              </w:rPr>
              <w:t xml:space="preserve">,</w:t>
            </w:r>
            <w:r>
              <w:rPr>
                <w:sz w:val="18"/>
              </w:rPr>
              <w:t xml:space="preserve"> </w:t>
            </w:r>
            <w:r>
              <w:rPr>
                <w:rStyle w:val="VerbatimChar"/>
                <w:sz w:val="18"/>
              </w:rPr>
              <w:t xml:space="preserve">TYPE_I</w:t>
            </w:r>
            <w:r>
              <w:rPr>
                <w:sz w:val="18"/>
              </w:rPr>
              <w:t xml:space="preserve">)</w:t>
            </w:r>
          </w:p>
        </w:tc>
        <w:tc>
          <w:tcPr>
            <w:tcW w:w="2791" w:type="dxa"/>
          </w:tcPr>
          <w:p>
            <w:pPr>
              <w:pStyle w:val="Compact"/>
              <w:spacing w:after="40"/>
              <w:jc w:val="left"/>
            </w:pPr>
            <w:r>
              <w:rPr>
                <w:sz w:val="18"/>
              </w:rPr>
              <w:t xml:space="preserve">RBI Act Ch IIIB; SBR</w:t>
            </w:r>
          </w:p>
        </w:tc>
        <w:tc>
          <w:tcPr>
            <w:tcW w:w="1430" w:type="dxa"/>
          </w:tcPr>
          <w:p>
            <w:pPr>
              <w:pStyle w:val="Compact"/>
              <w:spacing w:after="40"/>
              <w:jc w:val="left"/>
            </w:pPr>
            <w:r>
              <w:rPr>
                <w:sz w:val="18"/>
              </w:rPr>
              <w:t xml:space="preserve">Ind AS (Rule 4) or AS</w:t>
            </w:r>
          </w:p>
        </w:tc>
        <w:tc>
          <w:tcPr>
            <w:tcW w:w="1596" w:type="dxa"/>
          </w:tcPr>
          <w:p>
            <w:pPr>
              <w:pStyle w:val="Compact"/>
              <w:spacing w:after="40"/>
              <w:jc w:val="left"/>
            </w:pPr>
            <w:r>
              <w:rPr>
                <w:sz w:val="18"/>
              </w:rPr>
              <w:t xml:space="preserve">CAP by layer; HFC Directions for HFCs; NBFC-CIC on ANW (CICD; 7H IV5.6)</w:t>
            </w:r>
          </w:p>
        </w:tc>
        <w:tc>
          <w:tcPr>
            <w:tcW w:w="1491" w:type="dxa"/>
          </w:tcPr>
          <w:p>
            <w:pPr>
              <w:pStyle w:val="Compact"/>
              <w:spacing w:after="40"/>
              <w:jc w:val="left"/>
            </w:pPr>
            <w:r>
              <w:rPr>
                <w:sz w:val="18"/>
              </w:rPr>
              <w:t xml:space="preserve">NBFC SR (8A.34; HFCs file NHB returns), FIU-IND, CKYCR, CERSAI</w:t>
            </w:r>
          </w:p>
        </w:tc>
        <w:tc>
          <w:tcPr>
            <w:tcW w:w="646" w:type="dxa"/>
          </w:tcPr>
          <w:p>
            <w:pPr>
              <w:pStyle w:val="Compact"/>
              <w:spacing w:after="40"/>
              <w:jc w:val="left"/>
            </w:pPr>
            <w:r>
              <w:rPr>
                <w:rStyle w:val="VerbatimChar"/>
                <w:sz w:val="18"/>
              </w:rPr>
              <w:t xml:space="preserve">NBFC</w:t>
            </w:r>
          </w:p>
        </w:tc>
      </w:tr>
      <w:tr>
        <w:tc>
          <w:tcPr>
            <w:tcW w:w="1684" w:type="dxa"/>
          </w:tcPr>
          <w:p>
            <w:pPr>
              <w:pStyle w:val="Compact"/>
              <w:spacing w:after="40"/>
              <w:jc w:val="left"/>
            </w:pPr>
            <w:r>
              <w:rPr>
                <w:rStyle w:val="VerbatimChar"/>
                <w:sz w:val="18"/>
              </w:rPr>
              <w:t xml:space="preserve">CREDIT_COOP_STATE</w:t>
            </w:r>
          </w:p>
        </w:tc>
        <w:tc>
          <w:tcPr>
            <w:tcW w:w="2791" w:type="dxa"/>
          </w:tcPr>
          <w:p>
            <w:pPr>
              <w:pStyle w:val="Compact"/>
              <w:spacing w:after="40"/>
              <w:jc w:val="left"/>
            </w:pPr>
            <w:r>
              <w:rPr>
                <w:sz w:val="18"/>
              </w:rPr>
              <w:t xml:space="preserve">State Act (pack per State)</w:t>
            </w:r>
          </w:p>
        </w:tc>
        <w:tc>
          <w:tcPr>
            <w:tcW w:w="1430" w:type="dxa"/>
          </w:tcPr>
          <w:p>
            <w:pPr>
              <w:pStyle w:val="Compact"/>
              <w:spacing w:after="40"/>
              <w:jc w:val="left"/>
            </w:pPr>
            <w:r>
              <w:rPr>
                <w:sz w:val="18"/>
              </w:rPr>
              <w:t xml:space="preserve">State format plus ICAI AS</w:t>
            </w:r>
          </w:p>
        </w:tc>
        <w:tc>
          <w:tcPr>
            <w:tcW w:w="1596" w:type="dxa"/>
          </w:tcPr>
          <w:p>
            <w:pPr>
              <w:pStyle w:val="Compact"/>
              <w:spacing w:after="40"/>
              <w:jc w:val="left"/>
            </w:pPr>
            <w:r>
              <w:rPr>
                <w:sz w:val="18"/>
              </w:rPr>
              <w:t xml:space="preserve">Registrar norms</w:t>
            </w:r>
          </w:p>
        </w:tc>
        <w:tc>
          <w:tcPr>
            <w:tcW w:w="1491" w:type="dxa"/>
          </w:tcPr>
          <w:p>
            <w:pPr>
              <w:pStyle w:val="Compact"/>
              <w:spacing w:after="40"/>
              <w:jc w:val="left"/>
            </w:pPr>
            <w:r>
              <w:rPr>
                <w:sz w:val="18"/>
              </w:rPr>
              <w:t xml:space="preserve">Registrar annual return and audit; State Regulatory Board</w:t>
            </w:r>
          </w:p>
        </w:tc>
        <w:tc>
          <w:tcPr>
            <w:tcW w:w="646" w:type="dxa"/>
          </w:tcPr>
          <w:p>
            <w:pPr>
              <w:pStyle w:val="Compact"/>
              <w:spacing w:after="40"/>
              <w:jc w:val="left"/>
            </w:pPr>
            <w:r>
              <w:rPr>
                <w:rStyle w:val="VerbatimChar"/>
                <w:sz w:val="18"/>
              </w:rPr>
              <w:t xml:space="preserve">COOP</w:t>
            </w:r>
          </w:p>
        </w:tc>
      </w:tr>
      <w:tr>
        <w:tc>
          <w:tcPr>
            <w:tcW w:w="1684" w:type="dxa"/>
          </w:tcPr>
          <w:p>
            <w:pPr>
              <w:pStyle w:val="Compact"/>
              <w:spacing w:after="40"/>
              <w:jc w:val="left"/>
            </w:pPr>
            <w:r>
              <w:rPr>
                <w:rStyle w:val="VerbatimChar"/>
                <w:sz w:val="18"/>
              </w:rPr>
              <w:t xml:space="preserve">CREDIT_COOP_MSCS</w:t>
            </w:r>
          </w:p>
        </w:tc>
        <w:tc>
          <w:tcPr>
            <w:tcW w:w="2791" w:type="dxa"/>
          </w:tcPr>
          <w:p>
            <w:pPr>
              <w:pStyle w:val="Compact"/>
              <w:spacing w:after="40"/>
              <w:jc w:val="left"/>
            </w:pPr>
            <w:r>
              <w:rPr>
                <w:sz w:val="18"/>
              </w:rPr>
              <w:t xml:space="preserve">MSCS Act</w:t>
            </w:r>
          </w:p>
        </w:tc>
        <w:tc>
          <w:tcPr>
            <w:tcW w:w="1430" w:type="dxa"/>
          </w:tcPr>
          <w:p>
            <w:pPr>
              <w:pStyle w:val="Compact"/>
              <w:spacing w:after="40"/>
              <w:jc w:val="left"/>
            </w:pPr>
            <w:r>
              <w:rPr>
                <w:sz w:val="18"/>
              </w:rPr>
              <w:t xml:space="preserve">MSCS Rules format plus ICAI AS</w:t>
            </w:r>
          </w:p>
        </w:tc>
        <w:tc>
          <w:tcPr>
            <w:tcW w:w="1596" w:type="dxa"/>
          </w:tcPr>
          <w:p>
            <w:pPr>
              <w:pStyle w:val="Compact"/>
              <w:spacing w:after="40"/>
              <w:jc w:val="left"/>
            </w:pPr>
            <w:r>
              <w:rPr>
                <w:sz w:val="18"/>
              </w:rPr>
              <w:t xml:space="preserve">CRCS order of 22 Jan 2024</w:t>
            </w:r>
          </w:p>
        </w:tc>
        <w:tc>
          <w:tcPr>
            <w:tcW w:w="1491" w:type="dxa"/>
          </w:tcPr>
          <w:p>
            <w:pPr>
              <w:pStyle w:val="Compact"/>
              <w:spacing w:after="40"/>
              <w:jc w:val="left"/>
            </w:pPr>
            <w:r>
              <w:rPr>
                <w:sz w:val="18"/>
              </w:rPr>
              <w:t xml:space="preserve">CRCS quarterly; annual return; audit</w:t>
            </w:r>
          </w:p>
        </w:tc>
        <w:tc>
          <w:tcPr>
            <w:tcW w:w="646" w:type="dxa"/>
          </w:tcPr>
          <w:p>
            <w:pPr>
              <w:pStyle w:val="Compact"/>
              <w:spacing w:after="40"/>
              <w:jc w:val="left"/>
            </w:pPr>
            <w:r>
              <w:rPr>
                <w:rStyle w:val="VerbatimChar"/>
                <w:sz w:val="18"/>
              </w:rPr>
              <w:t xml:space="preserve">COOP</w:t>
            </w:r>
          </w:p>
        </w:tc>
      </w:tr>
      <w:tr>
        <w:tc>
          <w:tcPr>
            <w:tcW w:w="1684" w:type="dxa"/>
          </w:tcPr>
          <w:p>
            <w:pPr>
              <w:pStyle w:val="Compact"/>
              <w:spacing w:after="40"/>
              <w:jc w:val="left"/>
            </w:pPr>
            <w:r>
              <w:rPr>
                <w:rStyle w:val="VerbatimChar"/>
                <w:sz w:val="18"/>
              </w:rPr>
              <w:t xml:space="preserve">MULTIPURPOSE_COOP_CREDIT</w:t>
            </w:r>
            <w:r>
              <w:rPr>
                <w:sz w:val="18"/>
              </w:rPr>
              <w:t xml:space="preserve">,</w:t>
            </w:r>
            <w:r>
              <w:rPr>
                <w:sz w:val="18"/>
              </w:rPr>
              <w:t xml:space="preserve"> </w:t>
            </w:r>
            <w:r>
              <w:rPr>
                <w:rStyle w:val="VerbatimChar"/>
                <w:sz w:val="18"/>
              </w:rPr>
              <w:t xml:space="preserve">SALARY_EARNERS_COOP</w:t>
            </w:r>
            <w:r>
              <w:rPr>
                <w:sz w:val="18"/>
              </w:rPr>
              <w:t xml:space="preserve">,</w:t>
            </w:r>
            <w:r>
              <w:rPr>
                <w:sz w:val="18"/>
              </w:rPr>
              <w:t xml:space="preserve"> </w:t>
            </w:r>
            <w:r>
              <w:rPr>
                <w:rStyle w:val="VerbatimChar"/>
                <w:sz w:val="18"/>
              </w:rPr>
              <w:t xml:space="preserve">SOUHARDA_KA</w:t>
            </w:r>
          </w:p>
        </w:tc>
        <w:tc>
          <w:tcPr>
            <w:tcW w:w="2791" w:type="dxa"/>
          </w:tcPr>
          <w:p>
            <w:pPr>
              <w:pStyle w:val="Compact"/>
              <w:spacing w:after="40"/>
              <w:jc w:val="left"/>
            </w:pPr>
            <w:r>
              <w:rPr>
                <w:sz w:val="18"/>
              </w:rPr>
              <w:t xml:space="preserve">MSCS or State Act; Karnataka Souharda Sahakari Act 1997</w:t>
            </w:r>
          </w:p>
        </w:tc>
        <w:tc>
          <w:tcPr>
            <w:tcW w:w="1430" w:type="dxa"/>
          </w:tcPr>
          <w:p>
            <w:pPr>
              <w:pStyle w:val="Compact"/>
              <w:spacing w:after="40"/>
              <w:jc w:val="left"/>
            </w:pPr>
            <w:r>
              <w:rPr>
                <w:sz w:val="18"/>
              </w:rPr>
              <w:t xml:space="preserve">as above</w:t>
            </w:r>
          </w:p>
        </w:tc>
        <w:tc>
          <w:tcPr>
            <w:tcW w:w="1596" w:type="dxa"/>
          </w:tcPr>
          <w:p>
            <w:pPr>
              <w:pStyle w:val="Compact"/>
              <w:spacing w:after="40"/>
              <w:jc w:val="left"/>
            </w:pPr>
            <w:r>
              <w:rPr>
                <w:sz w:val="18"/>
              </w:rPr>
              <w:t xml:space="preserve">as above</w:t>
            </w:r>
          </w:p>
        </w:tc>
        <w:tc>
          <w:tcPr>
            <w:tcW w:w="1491" w:type="dxa"/>
          </w:tcPr>
          <w:p>
            <w:pPr>
              <w:pStyle w:val="Compact"/>
              <w:spacing w:after="40"/>
              <w:jc w:val="left"/>
            </w:pPr>
            <w:r>
              <w:rPr>
                <w:sz w:val="18"/>
              </w:rPr>
              <w:t xml:space="preserve">as above [VERIFY Souharda]</w:t>
            </w:r>
          </w:p>
        </w:tc>
        <w:tc>
          <w:tcPr>
            <w:tcW w:w="646" w:type="dxa"/>
          </w:tcPr>
          <w:p>
            <w:pPr>
              <w:pStyle w:val="Compact"/>
              <w:spacing w:after="40"/>
              <w:jc w:val="left"/>
            </w:pPr>
            <w:r>
              <w:rPr>
                <w:rStyle w:val="VerbatimChar"/>
                <w:sz w:val="18"/>
              </w:rPr>
              <w:t xml:space="preserve">COOP</w:t>
            </w:r>
          </w:p>
        </w:tc>
      </w:tr>
      <w:tr>
        <w:tc>
          <w:tcPr>
            <w:tcW w:w="1684" w:type="dxa"/>
          </w:tcPr>
          <w:p>
            <w:pPr>
              <w:pStyle w:val="Compact"/>
              <w:spacing w:after="40"/>
              <w:jc w:val="left"/>
            </w:pPr>
            <w:r>
              <w:rPr>
                <w:rStyle w:val="VerbatimChar"/>
                <w:sz w:val="18"/>
              </w:rPr>
              <w:t xml:space="preserve">UCB_T1</w:t>
            </w:r>
            <w:r>
              <w:rPr>
                <w:sz w:val="18"/>
              </w:rPr>
              <w:t xml:space="preserve"> </w:t>
            </w:r>
            <w:r>
              <w:rPr>
                <w:sz w:val="18"/>
              </w:rPr>
              <w:t xml:space="preserve">to</w:t>
            </w:r>
            <w:r>
              <w:rPr>
                <w:sz w:val="18"/>
              </w:rPr>
              <w:t xml:space="preserve"> </w:t>
            </w:r>
            <w:r>
              <w:rPr>
                <w:rStyle w:val="VerbatimChar"/>
                <w:sz w:val="18"/>
              </w:rPr>
              <w:t xml:space="preserve">UCB_T4</w:t>
            </w:r>
          </w:p>
        </w:tc>
        <w:tc>
          <w:tcPr>
            <w:tcW w:w="2791" w:type="dxa"/>
          </w:tcPr>
          <w:p>
            <w:pPr>
              <w:pStyle w:val="Compact"/>
              <w:spacing w:after="40"/>
              <w:jc w:val="left"/>
            </w:pPr>
            <w:r>
              <w:rPr>
                <w:sz w:val="18"/>
              </w:rPr>
              <w:t xml:space="preserve">BR Act s.56 (AACS); State Act or MSCS</w:t>
            </w:r>
          </w:p>
        </w:tc>
        <w:tc>
          <w:tcPr>
            <w:tcW w:w="1430" w:type="dxa"/>
          </w:tcPr>
          <w:p>
            <w:pPr>
              <w:pStyle w:val="Compact"/>
              <w:spacing w:after="40"/>
              <w:jc w:val="left"/>
            </w:pPr>
            <w:r>
              <w:rPr>
                <w:sz w:val="18"/>
              </w:rPr>
              <w:t xml:space="preserve">AS plus BR Act Third Schedule</w:t>
            </w:r>
          </w:p>
        </w:tc>
        <w:tc>
          <w:tcPr>
            <w:tcW w:w="1596" w:type="dxa"/>
          </w:tcPr>
          <w:p>
            <w:pPr>
              <w:pStyle w:val="Compact"/>
              <w:spacing w:after="40"/>
              <w:jc w:val="left"/>
            </w:pPr>
            <w:r>
              <w:rPr>
                <w:sz w:val="18"/>
              </w:rPr>
              <w:t xml:space="preserve">UCB CRAR 9% or 12%</w:t>
            </w:r>
          </w:p>
        </w:tc>
        <w:tc>
          <w:tcPr>
            <w:tcW w:w="1491" w:type="dxa"/>
          </w:tcPr>
          <w:p>
            <w:pPr>
              <w:pStyle w:val="Compact"/>
              <w:spacing w:after="40"/>
              <w:jc w:val="left"/>
            </w:pPr>
            <w:r>
              <w:rPr>
                <w:sz w:val="18"/>
              </w:rPr>
              <w:t xml:space="preserve">UCB returns on CIMS; CRILC; CIC</w:t>
            </w:r>
          </w:p>
        </w:tc>
        <w:tc>
          <w:tcPr>
            <w:tcW w:w="646" w:type="dxa"/>
          </w:tcPr>
          <w:p>
            <w:pPr>
              <w:pStyle w:val="Compact"/>
              <w:spacing w:after="40"/>
              <w:jc w:val="left"/>
            </w:pPr>
            <w:r>
              <w:rPr>
                <w:rStyle w:val="VerbatimChar"/>
                <w:sz w:val="18"/>
              </w:rPr>
              <w:t xml:space="preserve">COOPBANK</w:t>
            </w:r>
          </w:p>
        </w:tc>
      </w:tr>
      <w:tr>
        <w:tc>
          <w:tcPr>
            <w:tcW w:w="1684" w:type="dxa"/>
          </w:tcPr>
          <w:p>
            <w:pPr>
              <w:pStyle w:val="Compact"/>
              <w:spacing w:after="40"/>
              <w:jc w:val="left"/>
            </w:pPr>
            <w:r>
              <w:rPr>
                <w:rStyle w:val="VerbatimChar"/>
                <w:sz w:val="18"/>
              </w:rPr>
              <w:t xml:space="preserve">STCB</w:t>
            </w:r>
            <w:r>
              <w:rPr>
                <w:sz w:val="18"/>
              </w:rPr>
              <w:t xml:space="preserve">,</w:t>
            </w:r>
            <w:r>
              <w:rPr>
                <w:sz w:val="18"/>
              </w:rPr>
              <w:t xml:space="preserve"> </w:t>
            </w:r>
            <w:r>
              <w:rPr>
                <w:rStyle w:val="VerbatimChar"/>
                <w:sz w:val="18"/>
              </w:rPr>
              <w:t xml:space="preserve">DCCB</w:t>
            </w:r>
          </w:p>
        </w:tc>
        <w:tc>
          <w:tcPr>
            <w:tcW w:w="2791" w:type="dxa"/>
          </w:tcPr>
          <w:p>
            <w:pPr>
              <w:pStyle w:val="Compact"/>
              <w:spacing w:after="40"/>
              <w:jc w:val="left"/>
            </w:pPr>
            <w:r>
              <w:rPr>
                <w:sz w:val="18"/>
              </w:rPr>
              <w:t xml:space="preserve">BR Act (AACS); NABARD s.35(6)</w:t>
            </w:r>
          </w:p>
        </w:tc>
        <w:tc>
          <w:tcPr>
            <w:tcW w:w="1430" w:type="dxa"/>
          </w:tcPr>
          <w:p>
            <w:pPr>
              <w:pStyle w:val="Compact"/>
              <w:spacing w:after="40"/>
              <w:jc w:val="left"/>
            </w:pPr>
            <w:r>
              <w:rPr>
                <w:sz w:val="18"/>
              </w:rPr>
              <w:t xml:space="preserve">AS plus NABARD formats</w:t>
            </w:r>
          </w:p>
        </w:tc>
        <w:tc>
          <w:tcPr>
            <w:tcW w:w="1596" w:type="dxa"/>
          </w:tcPr>
          <w:p>
            <w:pPr>
              <w:pStyle w:val="Compact"/>
              <w:spacing w:after="40"/>
              <w:jc w:val="left"/>
            </w:pPr>
            <w:r>
              <w:rPr>
                <w:sz w:val="18"/>
              </w:rPr>
              <w:t xml:space="preserve">RBI and NABARD norms</w:t>
            </w:r>
          </w:p>
        </w:tc>
        <w:tc>
          <w:tcPr>
            <w:tcW w:w="1491" w:type="dxa"/>
          </w:tcPr>
          <w:p>
            <w:pPr>
              <w:pStyle w:val="Compact"/>
              <w:spacing w:after="40"/>
              <w:jc w:val="left"/>
            </w:pPr>
            <w:r>
              <w:rPr>
                <w:sz w:val="18"/>
              </w:rPr>
              <w:t xml:space="preserve">NABARD ENSURE; CIMS statutory forms; CIC</w:t>
            </w:r>
          </w:p>
        </w:tc>
        <w:tc>
          <w:tcPr>
            <w:tcW w:w="646" w:type="dxa"/>
          </w:tcPr>
          <w:p>
            <w:pPr>
              <w:pStyle w:val="Compact"/>
              <w:spacing w:after="40"/>
              <w:jc w:val="left"/>
            </w:pPr>
            <w:r>
              <w:rPr>
                <w:rStyle w:val="VerbatimChar"/>
                <w:sz w:val="18"/>
              </w:rPr>
              <w:t xml:space="preserve">COOPBANK</w:t>
            </w:r>
          </w:p>
        </w:tc>
      </w:tr>
      <w:tr>
        <w:tc>
          <w:tcPr>
            <w:tcW w:w="1684" w:type="dxa"/>
          </w:tcPr>
          <w:p>
            <w:pPr>
              <w:pStyle w:val="Compact"/>
              <w:spacing w:after="40"/>
              <w:jc w:val="left"/>
            </w:pPr>
            <w:r>
              <w:rPr>
                <w:rStyle w:val="VerbatimChar"/>
                <w:sz w:val="18"/>
              </w:rPr>
              <w:t xml:space="preserve">ARC</w:t>
            </w:r>
          </w:p>
        </w:tc>
        <w:tc>
          <w:tcPr>
            <w:tcW w:w="2791" w:type="dxa"/>
          </w:tcPr>
          <w:p>
            <w:pPr>
              <w:pStyle w:val="Compact"/>
              <w:spacing w:after="40"/>
              <w:jc w:val="left"/>
            </w:pPr>
            <w:r>
              <w:rPr>
                <w:sz w:val="18"/>
              </w:rPr>
              <w:t xml:space="preserve">SARFAESI s.3; ARC Directions 2025</w:t>
            </w:r>
          </w:p>
        </w:tc>
        <w:tc>
          <w:tcPr>
            <w:tcW w:w="1430" w:type="dxa"/>
          </w:tcPr>
          <w:p>
            <w:pPr>
              <w:pStyle w:val="Compact"/>
              <w:spacing w:after="40"/>
              <w:jc w:val="left"/>
            </w:pPr>
            <w:r>
              <w:rPr>
                <w:sz w:val="18"/>
              </w:rPr>
              <w:t xml:space="preserve">Ind AS if Rule 4 applies, else AS plus RBI norms [VERIFY]</w:t>
            </w:r>
          </w:p>
        </w:tc>
        <w:tc>
          <w:tcPr>
            <w:tcW w:w="1596" w:type="dxa"/>
          </w:tcPr>
          <w:p>
            <w:pPr>
              <w:pStyle w:val="Compact"/>
              <w:spacing w:after="40"/>
              <w:jc w:val="left"/>
            </w:pPr>
            <w:r>
              <w:rPr>
                <w:sz w:val="18"/>
              </w:rPr>
              <w:t xml:space="preserve">CRAR 15%</w:t>
            </w:r>
          </w:p>
        </w:tc>
        <w:tc>
          <w:tcPr>
            <w:tcW w:w="1491" w:type="dxa"/>
          </w:tcPr>
          <w:p>
            <w:pPr>
              <w:pStyle w:val="Compact"/>
              <w:spacing w:after="40"/>
              <w:jc w:val="left"/>
            </w:pPr>
            <w:r>
              <w:rPr>
                <w:sz w:val="18"/>
              </w:rPr>
              <w:t xml:space="preserve">DNBS07, DNBS10, DNBS13</w:t>
            </w:r>
          </w:p>
        </w:tc>
        <w:tc>
          <w:tcPr>
            <w:tcW w:w="646" w:type="dxa"/>
          </w:tcPr>
          <w:p>
            <w:pPr>
              <w:pStyle w:val="Compact"/>
              <w:spacing w:after="40"/>
              <w:jc w:val="left"/>
            </w:pPr>
            <w:r>
              <w:rPr>
                <w:rStyle w:val="VerbatimChar"/>
                <w:sz w:val="18"/>
              </w:rPr>
              <w:t xml:space="preserve">ARC</w:t>
            </w:r>
          </w:p>
        </w:tc>
      </w:tr>
      <w:tr>
        <w:tc>
          <w:tcPr>
            <w:tcW w:w="1684" w:type="dxa"/>
          </w:tcPr>
          <w:p>
            <w:pPr>
              <w:pStyle w:val="Compact"/>
              <w:spacing w:after="40"/>
              <w:jc w:val="left"/>
            </w:pPr>
            <w:r>
              <w:rPr>
                <w:rStyle w:val="VerbatimChar"/>
                <w:sz w:val="18"/>
              </w:rPr>
              <w:t xml:space="preserve">IFSC_FC</w:t>
            </w:r>
            <w:r>
              <w:rPr>
                <w:sz w:val="18"/>
              </w:rPr>
              <w:t xml:space="preserve">,</w:t>
            </w:r>
            <w:r>
              <w:rPr>
                <w:sz w:val="18"/>
              </w:rPr>
              <w:t xml:space="preserve"> </w:t>
            </w:r>
            <w:r>
              <w:rPr>
                <w:rStyle w:val="VerbatimChar"/>
                <w:sz w:val="18"/>
              </w:rPr>
              <w:t xml:space="preserve">IFSC_FU</w:t>
            </w:r>
            <w:r>
              <w:rPr>
                <w:sz w:val="18"/>
              </w:rPr>
              <w:t xml:space="preserve">,</w:t>
            </w:r>
            <w:r>
              <w:rPr>
                <w:sz w:val="18"/>
              </w:rPr>
              <w:t xml:space="preserve"> </w:t>
            </w:r>
            <w:r>
              <w:rPr>
                <w:rStyle w:val="VerbatimChar"/>
                <w:sz w:val="18"/>
              </w:rPr>
              <w:t xml:space="preserve">IFSC_GRCTC</w:t>
            </w:r>
          </w:p>
        </w:tc>
        <w:tc>
          <w:tcPr>
            <w:tcW w:w="2791" w:type="dxa"/>
          </w:tcPr>
          <w:p>
            <w:pPr>
              <w:pStyle w:val="Compact"/>
              <w:spacing w:after="40"/>
              <w:jc w:val="left"/>
            </w:pPr>
            <w:r>
              <w:rPr>
                <w:sz w:val="18"/>
              </w:rPr>
              <w:t xml:space="preserve">IFSCA Act 2019; IFSCA-FC Regulations</w:t>
            </w:r>
          </w:p>
        </w:tc>
        <w:tc>
          <w:tcPr>
            <w:tcW w:w="1430" w:type="dxa"/>
          </w:tcPr>
          <w:p>
            <w:pPr>
              <w:pStyle w:val="Compact"/>
              <w:spacing w:after="40"/>
              <w:jc w:val="left"/>
            </w:pPr>
            <w:r>
              <w:rPr>
                <w:sz w:val="18"/>
              </w:rPr>
              <w:t xml:space="preserve">per IP6.5</w:t>
            </w:r>
          </w:p>
        </w:tc>
        <w:tc>
          <w:tcPr>
            <w:tcW w:w="1596" w:type="dxa"/>
          </w:tcPr>
          <w:p>
            <w:pPr>
              <w:pStyle w:val="Compact"/>
              <w:spacing w:after="40"/>
              <w:jc w:val="left"/>
            </w:pPr>
            <w:r>
              <w:rPr>
                <w:sz w:val="18"/>
              </w:rPr>
              <w:t xml:space="preserve">IFSCA 8%</w:t>
            </w:r>
          </w:p>
        </w:tc>
        <w:tc>
          <w:tcPr>
            <w:tcW w:w="1491" w:type="dxa"/>
          </w:tcPr>
          <w:p>
            <w:pPr>
              <w:pStyle w:val="Compact"/>
              <w:spacing w:after="40"/>
              <w:jc w:val="left"/>
            </w:pPr>
            <w:r>
              <w:rPr>
                <w:sz w:val="18"/>
              </w:rPr>
              <w:t xml:space="preserve">IFSCA returns in USD [VERIFY]</w:t>
            </w:r>
          </w:p>
        </w:tc>
        <w:tc>
          <w:tcPr>
            <w:tcW w:w="646" w:type="dxa"/>
          </w:tcPr>
          <w:p>
            <w:pPr>
              <w:pStyle w:val="Compact"/>
              <w:spacing w:after="40"/>
              <w:jc w:val="left"/>
            </w:pPr>
            <w:r>
              <w:rPr>
                <w:rStyle w:val="VerbatimChar"/>
                <w:sz w:val="18"/>
              </w:rPr>
              <w:t xml:space="preserve">IFSC</w:t>
            </w:r>
          </w:p>
        </w:tc>
      </w:tr>
      <w:tr>
        <w:tc>
          <w:tcPr>
            <w:tcW w:w="1684" w:type="dxa"/>
          </w:tcPr>
          <w:p>
            <w:pPr>
              <w:pStyle w:val="Compact"/>
              <w:spacing w:after="40"/>
              <w:jc w:val="left"/>
            </w:pPr>
            <w:r>
              <w:rPr>
                <w:rStyle w:val="VerbatimChar"/>
                <w:sz w:val="18"/>
              </w:rPr>
              <w:t xml:space="preserve">AIF</w:t>
            </w:r>
            <w:r>
              <w:rPr>
                <w:sz w:val="18"/>
              </w:rPr>
              <w:t xml:space="preserve">,</w:t>
            </w:r>
            <w:r>
              <w:rPr>
                <w:sz w:val="18"/>
              </w:rPr>
              <w:t xml:space="preserve"> </w:t>
            </w:r>
            <w:r>
              <w:rPr>
                <w:rStyle w:val="VerbatimChar"/>
                <w:sz w:val="18"/>
              </w:rPr>
              <w:t xml:space="preserve">PMS</w:t>
            </w:r>
            <w:r>
              <w:rPr>
                <w:sz w:val="18"/>
              </w:rPr>
              <w:t xml:space="preserve">,</w:t>
            </w:r>
            <w:r>
              <w:rPr>
                <w:sz w:val="18"/>
              </w:rPr>
              <w:t xml:space="preserve"> </w:t>
            </w:r>
            <w:r>
              <w:rPr>
                <w:rStyle w:val="VerbatimChar"/>
                <w:sz w:val="18"/>
              </w:rPr>
              <w:t xml:space="preserve">IFSC_FUND</w:t>
            </w:r>
          </w:p>
        </w:tc>
        <w:tc>
          <w:tcPr>
            <w:tcW w:w="2791" w:type="dxa"/>
          </w:tcPr>
          <w:p>
            <w:pPr>
              <w:pStyle w:val="Compact"/>
              <w:spacing w:after="40"/>
              <w:jc w:val="left"/>
            </w:pPr>
            <w:r>
              <w:rPr>
                <w:sz w:val="18"/>
              </w:rPr>
              <w:t xml:space="preserve">SEBI AIF Regulations 2012; SEBI PM Regulations 2020; IFSCA FM Regulations 2025</w:t>
            </w:r>
          </w:p>
        </w:tc>
        <w:tc>
          <w:tcPr>
            <w:tcW w:w="1430" w:type="dxa"/>
          </w:tcPr>
          <w:p>
            <w:pPr>
              <w:pStyle w:val="Compact"/>
              <w:spacing w:after="40"/>
              <w:jc w:val="left"/>
            </w:pPr>
            <w:r>
              <w:rPr>
                <w:sz w:val="18"/>
              </w:rPr>
              <w:t xml:space="preserve">7H IV6</w:t>
            </w:r>
          </w:p>
        </w:tc>
        <w:tc>
          <w:tcPr>
            <w:tcW w:w="1596" w:type="dxa"/>
          </w:tcPr>
          <w:p>
            <w:pPr>
              <w:pStyle w:val="Compact"/>
              <w:spacing w:after="40"/>
              <w:jc w:val="left"/>
            </w:pPr>
            <w:r>
              <w:rPr>
                <w:sz w:val="18"/>
              </w:rPr>
              <w:t xml:space="preserve">none (SEBI limits)</w:t>
            </w:r>
          </w:p>
        </w:tc>
        <w:tc>
          <w:tcPr>
            <w:tcW w:w="1491" w:type="dxa"/>
          </w:tcPr>
          <w:p>
            <w:pPr>
              <w:pStyle w:val="Compact"/>
              <w:spacing w:after="40"/>
              <w:jc w:val="left"/>
            </w:pPr>
            <w:r>
              <w:rPr>
                <w:sz w:val="18"/>
              </w:rPr>
              <w:t xml:space="preserve">SEBI SI Portal</w:t>
            </w:r>
          </w:p>
        </w:tc>
        <w:tc>
          <w:tcPr>
            <w:tcW w:w="646" w:type="dxa"/>
          </w:tcPr>
          <w:p>
            <w:pPr>
              <w:pStyle w:val="Compact"/>
              <w:spacing w:after="40"/>
              <w:jc w:val="left"/>
            </w:pPr>
            <w:r>
              <w:rPr>
                <w:rStyle w:val="VerbatimChar"/>
                <w:sz w:val="18"/>
              </w:rPr>
              <w:t xml:space="preserve">FUND</w:t>
            </w:r>
          </w:p>
        </w:tc>
      </w:tr>
      <w:tr>
        <w:tc>
          <w:tcPr>
            <w:tcW w:w="1684" w:type="dxa"/>
          </w:tcPr>
          <w:p>
            <w:pPr>
              <w:pStyle w:val="Compact"/>
              <w:spacing w:after="40"/>
              <w:jc w:val="left"/>
            </w:pPr>
            <w:r>
              <w:rPr>
                <w:rStyle w:val="VerbatimChar"/>
                <w:sz w:val="18"/>
              </w:rPr>
              <w:t xml:space="preserve">NBFC_EXEMPT_S8</w:t>
            </w:r>
          </w:p>
        </w:tc>
        <w:tc>
          <w:tcPr>
            <w:tcW w:w="2791" w:type="dxa"/>
          </w:tcPr>
          <w:p>
            <w:pPr>
              <w:pStyle w:val="Compact"/>
              <w:spacing w:after="40"/>
              <w:jc w:val="left"/>
            </w:pPr>
            <w:r>
              <w:rPr>
                <w:sz w:val="18"/>
              </w:rPr>
              <w:t xml:space="preserve">Section 8 company giving only microfinance loans within the 50% household cap, no public deposits, assets &lt; ₹100 crore; exempt from ss.45-IA, 45-IB and 45-IC (SBR para 51; MFI paras 14–15 once assets reach ₹100 crore)</w:t>
            </w:r>
          </w:p>
        </w:tc>
        <w:tc>
          <w:tcPr>
            <w:tcW w:w="1430" w:type="dxa"/>
          </w:tcPr>
          <w:p>
            <w:pPr>
              <w:pStyle w:val="Compact"/>
              <w:spacing w:after="40"/>
              <w:jc w:val="left"/>
            </w:pPr>
            <w:r>
              <w:rPr>
                <w:sz w:val="18"/>
              </w:rPr>
              <w:t xml:space="preserve">AS or Ind AS</w:t>
            </w:r>
          </w:p>
        </w:tc>
        <w:tc>
          <w:tcPr>
            <w:tcW w:w="1596" w:type="dxa"/>
          </w:tcPr>
          <w:p>
            <w:pPr>
              <w:pStyle w:val="Compact"/>
              <w:spacing w:after="40"/>
              <w:jc w:val="left"/>
            </w:pPr>
            <w:r>
              <w:rPr>
                <w:sz w:val="18"/>
              </w:rPr>
              <w:t xml:space="preserve">none</w:t>
            </w:r>
          </w:p>
        </w:tc>
        <w:tc>
          <w:tcPr>
            <w:tcW w:w="1491" w:type="dxa"/>
          </w:tcPr>
          <w:p>
            <w:pPr>
              <w:pStyle w:val="Compact"/>
              <w:spacing w:after="40"/>
              <w:jc w:val="left"/>
            </w:pPr>
            <w:r>
              <w:rPr>
                <w:sz w:val="18"/>
              </w:rPr>
              <w:t xml:space="preserve">none</w:t>
            </w:r>
          </w:p>
        </w:tc>
        <w:tc>
          <w:tcPr>
            <w:tcW w:w="646" w:type="dxa"/>
          </w:tcPr>
          <w:p>
            <w:pPr>
              <w:pStyle w:val="Compact"/>
              <w:spacing w:after="40"/>
              <w:jc w:val="left"/>
            </w:pPr>
            <w:r>
              <w:rPr>
                <w:rStyle w:val="VerbatimChar"/>
                <w:sz w:val="18"/>
              </w:rPr>
              <w:t xml:space="preserve">NBFC</w:t>
            </w:r>
          </w:p>
        </w:tc>
      </w:tr>
      <w:tr>
        <w:tc>
          <w:tcPr>
            <w:tcW w:w="1684" w:type="dxa"/>
          </w:tcPr>
          <w:p>
            <w:pPr>
              <w:pStyle w:val="Compact"/>
              <w:spacing w:after="40"/>
              <w:jc w:val="left"/>
            </w:pPr>
            <w:r>
              <w:rPr>
                <w:rStyle w:val="VerbatimChar"/>
                <w:sz w:val="18"/>
              </w:rPr>
              <w:t xml:space="preserve">PACS</w:t>
            </w:r>
          </w:p>
        </w:tc>
        <w:tc>
          <w:tcPr>
            <w:tcW w:w="2791" w:type="dxa"/>
          </w:tcPr>
          <w:p>
            <w:pPr>
              <w:pStyle w:val="Compact"/>
              <w:spacing w:after="40"/>
              <w:jc w:val="left"/>
            </w:pPr>
            <w:r>
              <w:rPr>
                <w:sz w:val="18"/>
              </w:rPr>
              <w:t xml:space="preserve">State Act</w:t>
            </w:r>
          </w:p>
        </w:tc>
        <w:tc>
          <w:tcPr>
            <w:tcW w:w="1430" w:type="dxa"/>
          </w:tcPr>
          <w:p>
            <w:pPr>
              <w:pStyle w:val="Compact"/>
              <w:spacing w:after="40"/>
              <w:jc w:val="left"/>
            </w:pPr>
            <w:r>
              <w:rPr>
                <w:sz w:val="18"/>
              </w:rPr>
              <w:t xml:space="preserve">adapter only (national PACS ERP)</w:t>
            </w:r>
          </w:p>
        </w:tc>
        <w:tc>
          <w:tcPr>
            <w:tcW w:w="1596" w:type="dxa"/>
          </w:tcPr>
          <w:p>
            <w:pPr>
              <w:pStyle w:val="Compact"/>
              <w:spacing w:after="40"/>
              <w:jc w:val="left"/>
            </w:pPr>
            <w:r>
              <w:rPr>
                <w:sz w:val="18"/>
              </w:rPr>
              <w:t xml:space="preserve">—</w:t>
            </w:r>
          </w:p>
        </w:tc>
        <w:tc>
          <w:tcPr>
            <w:tcW w:w="1491" w:type="dxa"/>
          </w:tcPr>
          <w:p>
            <w:pPr>
              <w:pStyle w:val="Compact"/>
              <w:spacing w:after="40"/>
              <w:jc w:val="left"/>
            </w:pPr>
            <w:r>
              <w:rPr>
                <w:sz w:val="18"/>
              </w:rPr>
              <w:t xml:space="preserve">—</w:t>
            </w:r>
          </w:p>
        </w:tc>
        <w:tc>
          <w:tcPr>
            <w:tcW w:w="646" w:type="dxa"/>
          </w:tcPr>
          <w:p>
            <w:pPr>
              <w:pStyle w:val="Compact"/>
              <w:spacing w:after="40"/>
              <w:jc w:val="left"/>
            </w:pPr>
            <w:r>
              <w:rPr>
                <w:sz w:val="18"/>
              </w:rPr>
              <w:t xml:space="preserve">—</w:t>
            </w:r>
          </w:p>
        </w:tc>
      </w:tr>
    </w:tbl>
    <w:bookmarkEnd w:id="526"/>
    <w:bookmarkStart w:id="527" w:name="ip1.2-profile-record"/>
    <w:p>
      <w:pPr>
        <w:pStyle w:val="Heading3"/>
      </w:pPr>
      <w:r>
        <w:t xml:space="preserve">IP1.2 Profile record</w:t>
      </w:r>
    </w:p>
    <w:p>
      <w:pPr>
        <w:pStyle w:val="FirstParagraph"/>
      </w:pPr>
      <w:r>
        <w:t xml:space="preserve">Extends</w:t>
      </w:r>
      <w:r>
        <w:t xml:space="preserve"> </w:t>
      </w:r>
      <w:r>
        <w:rPr>
          <w:rStyle w:val="VerbatimChar"/>
        </w:rPr>
        <w:t xml:space="preserve">entity_regulatory_profile</w:t>
      </w:r>
      <w:r>
        <w:t xml:space="preserve"> </w:t>
      </w:r>
      <w:r>
        <w:t xml:space="preserve">with: type and sub-type; governing Act and State; registrar or regulator; registration number and date; area of operation; deposits and assets (monthly, last audited); MSCS size class, UCB tier, NBFC layer, ARC NOF band, IFSC activity class; flags (RBI regulated entity, deposit-taking, public funds, customer interface, listed, Ind AS, SRO member, CIC member under CICRA, QB attestation, Maharashtra Regulatory Board coverage, audit class by year, PCA status, FEMA resident-dealing basis). Computed bindings: rule-pack versions, return packs, accounting framework, capital engine, entitlements, guard-rails, calendar seeds, vocabulary and language packs.</w:t>
      </w:r>
    </w:p>
    <w:bookmarkEnd w:id="527"/>
    <w:bookmarkStart w:id="528" w:name="ip1.3-rule-pack-resolution"/>
    <w:p>
      <w:pPr>
        <w:pStyle w:val="Heading3"/>
      </w:pPr>
      <w:r>
        <w:t xml:space="preserve">IP1.3 Rule-pack resolution</w:t>
      </w:r>
    </w:p>
    <w:p>
      <w:pPr>
        <w:pStyle w:val="FirstParagraph"/>
      </w:pPr>
      <w:r>
        <w:t xml:space="preserve">Rule packs are versioned, effective-dated documents (</w:t>
      </w:r>
      <w:r>
        <w:rPr>
          <w:rStyle w:val="VerbatimChar"/>
        </w:rPr>
        <w:t xml:space="preserve">effective_from</w:t>
      </w:r>
      <w:r>
        <w:t xml:space="preserve">,</w:t>
      </w:r>
      <w:r>
        <w:t xml:space="preserve"> </w:t>
      </w:r>
      <w:r>
        <w:rPr>
          <w:rStyle w:val="VerbatimChar"/>
        </w:rPr>
        <w:t xml:space="preserve">effective_to</w:t>
      </w:r>
      <w:r>
        <w:t xml:space="preserve">,</w:t>
      </w:r>
      <w:r>
        <w:t xml:space="preserve"> </w:t>
      </w:r>
      <w:r>
        <w:rPr>
          <w:rStyle w:val="VerbatimChar"/>
        </w:rPr>
        <w:t xml:space="preserve">source_url</w:t>
      </w:r>
      <w:r>
        <w:t xml:space="preserve">,</w:t>
      </w:r>
      <w:r>
        <w:t xml:space="preserve"> </w:t>
      </w:r>
      <w:r>
        <w:rPr>
          <w:rStyle w:val="VerbatimChar"/>
        </w:rPr>
        <w:t xml:space="preserve">status</w:t>
      </w:r>
      <w:r>
        <w:t xml:space="preserve"> </w:t>
      </w:r>
      <w:r>
        <w:t xml:space="preserve">in force / enacted-not-notified / draft / stub,</w:t>
      </w:r>
      <w:r>
        <w:t xml:space="preserve"> </w:t>
      </w:r>
      <w:r>
        <w:rPr>
          <w:rStyle w:val="VerbatimChar"/>
        </w:rPr>
        <w:t xml:space="preserve">counsel_signoff</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86"/>
        <w:gridCol w:w="4450"/>
        <w:gridCol w:w="3202"/>
      </w:tblGrid>
      <w:tr>
        <w:trPr>
          <w:tblHeader w:val="true"/>
          <w:tblHeader w:val="true"/>
        </w:trPr>
        <w:tc>
          <w:tcPr>
            <w:tcW w:w="1986" w:type="dxa"/>
            <w:shd w:val="clear" w:color="auto" w:fill="1F3A5F"/>
          </w:tcPr>
          <w:p>
            <w:pPr>
              <w:pStyle w:val="Compact"/>
              <w:spacing w:after="40"/>
              <w:jc w:val="left"/>
            </w:pPr>
            <w:r>
              <w:rPr>
                <w:b/>
                <w:color w:val="FFFFFF"/>
                <w:sz w:val="18"/>
              </w:rPr>
              <w:t xml:space="preserve">Layer</w:t>
            </w:r>
          </w:p>
        </w:tc>
        <w:tc>
          <w:tcPr>
            <w:tcW w:w="4450" w:type="dxa"/>
            <w:shd w:val="clear" w:color="auto" w:fill="1F3A5F"/>
          </w:tcPr>
          <w:p>
            <w:pPr>
              <w:pStyle w:val="Compact"/>
              <w:spacing w:after="40"/>
              <w:jc w:val="left"/>
            </w:pPr>
            <w:r>
              <w:rPr>
                <w:b/>
                <w:color w:val="FFFFFF"/>
                <w:sz w:val="18"/>
              </w:rPr>
              <w:t xml:space="preserve">Source</w:t>
            </w:r>
          </w:p>
        </w:tc>
        <w:tc>
          <w:tcPr>
            <w:tcW w:w="3202" w:type="dxa"/>
            <w:shd w:val="clear" w:color="auto" w:fill="1F3A5F"/>
          </w:tcPr>
          <w:p>
            <w:pPr>
              <w:pStyle w:val="Compact"/>
              <w:spacing w:after="40"/>
              <w:jc w:val="left"/>
            </w:pPr>
            <w:r>
              <w:rPr>
                <w:b/>
                <w:color w:val="FFFFFF"/>
                <w:sz w:val="18"/>
              </w:rPr>
              <w:t xml:space="preserve">Tenant change</w:t>
            </w:r>
          </w:p>
        </w:tc>
      </w:tr>
      <w:tr>
        <w:tc>
          <w:tcPr>
            <w:tcW w:w="1986" w:type="dxa"/>
          </w:tcPr>
          <w:p>
            <w:pPr>
              <w:pStyle w:val="Compact"/>
              <w:spacing w:after="40"/>
              <w:jc w:val="left"/>
            </w:pPr>
            <w:r>
              <w:rPr>
                <w:sz w:val="18"/>
              </w:rPr>
              <w:t xml:space="preserve">L0</w:t>
            </w:r>
          </w:p>
        </w:tc>
        <w:tc>
          <w:tcPr>
            <w:tcW w:w="4450" w:type="dxa"/>
          </w:tcPr>
          <w:p>
            <w:pPr>
              <w:pStyle w:val="Compact"/>
              <w:spacing w:after="40"/>
              <w:jc w:val="left"/>
            </w:pPr>
            <w:r>
              <w:rPr>
                <w:sz w:val="18"/>
              </w:rPr>
              <w:t xml:space="preserve">Statute and rules</w:t>
            </w:r>
          </w:p>
        </w:tc>
        <w:tc>
          <w:tcPr>
            <w:tcW w:w="3202" w:type="dxa"/>
          </w:tcPr>
          <w:p>
            <w:pPr>
              <w:pStyle w:val="Compact"/>
              <w:spacing w:after="40"/>
              <w:jc w:val="left"/>
            </w:pPr>
            <w:r>
              <w:rPr>
                <w:sz w:val="18"/>
              </w:rPr>
              <w:t xml:space="preserve">No</w:t>
            </w:r>
          </w:p>
        </w:tc>
      </w:tr>
      <w:tr>
        <w:tc>
          <w:tcPr>
            <w:tcW w:w="1986" w:type="dxa"/>
          </w:tcPr>
          <w:p>
            <w:pPr>
              <w:pStyle w:val="Compact"/>
              <w:spacing w:after="40"/>
              <w:jc w:val="left"/>
            </w:pPr>
            <w:r>
              <w:rPr>
                <w:sz w:val="18"/>
              </w:rPr>
              <w:t xml:space="preserve">L1</w:t>
            </w:r>
          </w:p>
        </w:tc>
        <w:tc>
          <w:tcPr>
            <w:tcW w:w="4450" w:type="dxa"/>
          </w:tcPr>
          <w:p>
            <w:pPr>
              <w:pStyle w:val="Compact"/>
              <w:spacing w:after="40"/>
              <w:jc w:val="left"/>
            </w:pPr>
            <w:r>
              <w:rPr>
                <w:sz w:val="18"/>
              </w:rPr>
              <w:t xml:space="preserve">Regulator directions and orders (RBI, NABARD, CRCS, IFSCA)</w:t>
            </w:r>
          </w:p>
        </w:tc>
        <w:tc>
          <w:tcPr>
            <w:tcW w:w="3202" w:type="dxa"/>
          </w:tcPr>
          <w:p>
            <w:pPr>
              <w:pStyle w:val="Compact"/>
              <w:spacing w:after="40"/>
              <w:jc w:val="left"/>
            </w:pPr>
            <w:r>
              <w:rPr>
                <w:sz w:val="18"/>
              </w:rPr>
              <w:t xml:space="preserve">No</w:t>
            </w:r>
          </w:p>
        </w:tc>
      </w:tr>
      <w:tr>
        <w:tc>
          <w:tcPr>
            <w:tcW w:w="1986" w:type="dxa"/>
          </w:tcPr>
          <w:p>
            <w:pPr>
              <w:pStyle w:val="Compact"/>
              <w:spacing w:after="40"/>
              <w:jc w:val="left"/>
            </w:pPr>
            <w:r>
              <w:rPr>
                <w:sz w:val="18"/>
              </w:rPr>
              <w:t xml:space="preserve">L2</w:t>
            </w:r>
          </w:p>
        </w:tc>
        <w:tc>
          <w:tcPr>
            <w:tcW w:w="4450" w:type="dxa"/>
          </w:tcPr>
          <w:p>
            <w:pPr>
              <w:pStyle w:val="Compact"/>
              <w:spacing w:after="40"/>
              <w:jc w:val="left"/>
            </w:pPr>
            <w:r>
              <w:rPr>
                <w:sz w:val="18"/>
              </w:rPr>
              <w:t xml:space="preserve">SRO code (held or adopted)</w:t>
            </w:r>
          </w:p>
        </w:tc>
        <w:tc>
          <w:tcPr>
            <w:tcW w:w="3202" w:type="dxa"/>
          </w:tcPr>
          <w:p>
            <w:pPr>
              <w:pStyle w:val="Compact"/>
              <w:spacing w:after="40"/>
              <w:jc w:val="left"/>
            </w:pPr>
            <w:r>
              <w:rPr>
                <w:sz w:val="18"/>
              </w:rPr>
              <w:t xml:space="preserve">Tighten only</w:t>
            </w:r>
          </w:p>
        </w:tc>
      </w:tr>
      <w:tr>
        <w:tc>
          <w:tcPr>
            <w:tcW w:w="1986" w:type="dxa"/>
          </w:tcPr>
          <w:p>
            <w:pPr>
              <w:pStyle w:val="Compact"/>
              <w:spacing w:after="40"/>
              <w:jc w:val="left"/>
            </w:pPr>
            <w:r>
              <w:rPr>
                <w:sz w:val="18"/>
              </w:rPr>
              <w:t xml:space="preserve">L3</w:t>
            </w:r>
          </w:p>
        </w:tc>
        <w:tc>
          <w:tcPr>
            <w:tcW w:w="4450" w:type="dxa"/>
          </w:tcPr>
          <w:p>
            <w:pPr>
              <w:pStyle w:val="Compact"/>
              <w:spacing w:after="40"/>
              <w:jc w:val="left"/>
            </w:pPr>
            <w:r>
              <w:rPr>
                <w:sz w:val="18"/>
              </w:rPr>
              <w:t xml:space="preserve">Bye-laws (co-operatives) or Board policy</w:t>
            </w:r>
          </w:p>
        </w:tc>
        <w:tc>
          <w:tcPr>
            <w:tcW w:w="3202" w:type="dxa"/>
          </w:tcPr>
          <w:p>
            <w:pPr>
              <w:pStyle w:val="Compact"/>
              <w:spacing w:after="40"/>
              <w:jc w:val="left"/>
            </w:pPr>
            <w:r>
              <w:rPr>
                <w:sz w:val="18"/>
              </w:rPr>
              <w:t xml:space="preserve">Versioned upload with approval</w:t>
            </w:r>
          </w:p>
        </w:tc>
      </w:tr>
      <w:tr>
        <w:tc>
          <w:tcPr>
            <w:tcW w:w="1986" w:type="dxa"/>
          </w:tcPr>
          <w:p>
            <w:pPr>
              <w:pStyle w:val="Compact"/>
              <w:spacing w:after="40"/>
              <w:jc w:val="left"/>
            </w:pPr>
            <w:r>
              <w:rPr>
                <w:sz w:val="18"/>
              </w:rPr>
              <w:t xml:space="preserve">L4</w:t>
            </w:r>
          </w:p>
        </w:tc>
        <w:tc>
          <w:tcPr>
            <w:tcW w:w="4450" w:type="dxa"/>
          </w:tcPr>
          <w:p>
            <w:pPr>
              <w:pStyle w:val="Compact"/>
              <w:spacing w:after="40"/>
              <w:jc w:val="left"/>
            </w:pPr>
            <w:r>
              <w:rPr>
                <w:sz w:val="18"/>
              </w:rPr>
              <w:t xml:space="preserve">Tenant configuration</w:t>
            </w:r>
          </w:p>
        </w:tc>
        <w:tc>
          <w:tcPr>
            <w:tcW w:w="3202" w:type="dxa"/>
          </w:tcPr>
          <w:p>
            <w:pPr>
              <w:pStyle w:val="Compact"/>
              <w:spacing w:after="40"/>
              <w:jc w:val="left"/>
            </w:pPr>
            <w:r>
              <w:rPr>
                <w:sz w:val="18"/>
              </w:rPr>
              <w:t xml:space="preserve">Tighten only</w:t>
            </w:r>
          </w:p>
        </w:tc>
      </w:tr>
    </w:tbl>
    <w:p>
      <w:pPr>
        <w:numPr>
          <w:ilvl w:val="0"/>
          <w:numId w:val="1462"/>
        </w:numPr>
        <w:pStyle w:val="Compact"/>
      </w:pPr>
      <w:r>
        <w:t xml:space="preserve">The strictest applicable limit wins; a lower layer that loosens a higher one is rejected with</w:t>
      </w:r>
      <w:r>
        <w:t xml:space="preserve"> </w:t>
      </w:r>
      <w:r>
        <w:rPr>
          <w:rStyle w:val="VerbatimChar"/>
        </w:rPr>
        <w:t xml:space="preserve">RULE_LOOSENING_BLOCKED</w:t>
      </w:r>
      <w:r>
        <w:t xml:space="preserve">.</w:t>
      </w:r>
    </w:p>
    <w:p>
      <w:pPr>
        <w:numPr>
          <w:ilvl w:val="0"/>
          <w:numId w:val="1462"/>
        </w:numPr>
        <w:pStyle w:val="Compact"/>
      </w:pPr>
      <w:r>
        <w:t xml:space="preserve">A</w:t>
      </w:r>
      <w:r>
        <w:t xml:space="preserve"> </w:t>
      </w:r>
      <w:r>
        <w:rPr>
          <w:rStyle w:val="VerbatimChar"/>
        </w:rPr>
        <w:t xml:space="preserve">stub</w:t>
      </w:r>
      <w:r>
        <w:t xml:space="preserve"> </w:t>
      </w:r>
      <w:r>
        <w:t xml:space="preserve">pack cannot drive a live decision; a profile whose products touch a stub cannot be activated until it is completed and counsel-signed.</w:t>
      </w:r>
    </w:p>
    <w:p>
      <w:pPr>
        <w:numPr>
          <w:ilvl w:val="0"/>
          <w:numId w:val="1462"/>
        </w:numPr>
        <w:pStyle w:val="Compact"/>
      </w:pPr>
      <w:r>
        <w:t xml:space="preserve">Every decision stores the pack versions used.</w:t>
      </w:r>
    </w:p>
    <w:p>
      <w:pPr>
        <w:numPr>
          <w:ilvl w:val="0"/>
          <w:numId w:val="1462"/>
        </w:numPr>
        <w:pStyle w:val="Compact"/>
      </w:pPr>
      <w:r>
        <w:rPr>
          <w:bCs/>
          <w:b/>
        </w:rPr>
        <w:t xml:space="preserve">Pack lifecycle:</w:t>
      </w:r>
      <w:r>
        <w:t xml:space="preserve"> </w:t>
      </w:r>
      <w:r>
        <w:rPr>
          <w:rStyle w:val="VerbatimChar"/>
        </w:rPr>
        <w:t xml:space="preserve">DRAFT → COUNSEL_REVIEW → SIGNED → SCHEDULED → IN_FORCE → SUPERSEDED</w:t>
      </w:r>
      <w:r>
        <w:t xml:space="preserve">; maker (Infrabyx regulatory content team for L0–L2, tenant CCO for L3–L4) ≠ checker;</w:t>
      </w:r>
      <w:r>
        <w:t xml:space="preserve"> </w:t>
      </w:r>
      <w:r>
        <w:rPr>
          <w:rStyle w:val="VerbatimChar"/>
        </w:rPr>
        <w:t xml:space="preserve">SIGNED</w:t>
      </w:r>
      <w:r>
        <w:t xml:space="preserve"> </w:t>
      </w:r>
      <w:r>
        <w:t xml:space="preserve">needs</w:t>
      </w:r>
      <w:r>
        <w:t xml:space="preserve"> </w:t>
      </w:r>
      <w:r>
        <w:rPr>
          <w:rStyle w:val="VerbatimChar"/>
        </w:rPr>
        <w:t xml:space="preserve">counsel_signoff</w:t>
      </w:r>
      <w:r>
        <w:t xml:space="preserve"> </w:t>
      </w:r>
      <w:r>
        <w:t xml:space="preserve">for L0–L2; cut-over runs at 00:00 IST on</w:t>
      </w:r>
      <w:r>
        <w:t xml:space="preserve"> </w:t>
      </w:r>
      <w:r>
        <w:rPr>
          <w:rStyle w:val="VerbatimChar"/>
        </w:rPr>
        <w:t xml:space="preserve">effective_from</w:t>
      </w:r>
      <w:r>
        <w:t xml:space="preserve"> </w:t>
      </w:r>
      <w:r>
        <w:t xml:space="preserve">as a dated release with regression fixtures.</w:t>
      </w:r>
    </w:p>
    <w:p>
      <w:pPr>
        <w:numPr>
          <w:ilvl w:val="0"/>
          <w:numId w:val="1462"/>
        </w:numPr>
        <w:pStyle w:val="Compact"/>
      </w:pPr>
      <w:r>
        <w:rPr>
          <w:bCs/>
          <w:b/>
        </w:rPr>
        <w:t xml:space="preserve">Back-dated correction:</w:t>
      </w:r>
      <w:r>
        <w:t xml:space="preserve"> </w:t>
      </w:r>
      <w:r>
        <w:t xml:space="preserve">a corrected pack with an earlier</w:t>
      </w:r>
      <w:r>
        <w:t xml:space="preserve"> </w:t>
      </w:r>
      <w:r>
        <w:rPr>
          <w:rStyle w:val="VerbatimChar"/>
        </w:rPr>
        <w:t xml:space="preserve">effective_from</w:t>
      </w:r>
      <w:r>
        <w:t xml:space="preserve"> </w:t>
      </w:r>
      <w:r>
        <w:t xml:space="preserve">never rewrites past decisions. It produces an impact report (decisions taken in the window that would now fail), opens a remediation task per affected case for the CCO, and blocks only new decisions on the old version.</w:t>
      </w:r>
    </w:p>
    <w:bookmarkEnd w:id="528"/>
    <w:bookmarkStart w:id="529" w:name="ip1.4-products-and-modules-allowed"/>
    <w:p>
      <w:pPr>
        <w:pStyle w:val="Heading3"/>
      </w:pPr>
      <w:r>
        <w:t xml:space="preserve">IP1.4 Products and modules allowed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50"/>
        <w:gridCol w:w="1601"/>
        <w:gridCol w:w="1173"/>
        <w:gridCol w:w="1199"/>
        <w:gridCol w:w="1199"/>
        <w:gridCol w:w="850"/>
        <w:gridCol w:w="1061"/>
        <w:gridCol w:w="1305"/>
      </w:tblGrid>
      <w:tr>
        <w:trPr>
          <w:tblHeader w:val="true"/>
          <w:tblHeader w:val="true"/>
        </w:trPr>
        <w:tc>
          <w:tcPr>
            <w:tcW w:w="1250" w:type="dxa"/>
            <w:shd w:val="clear" w:color="auto" w:fill="1F3A5F"/>
          </w:tcPr>
          <w:p>
            <w:pPr>
              <w:pStyle w:val="Compact"/>
              <w:spacing w:after="40"/>
              <w:jc w:val="left"/>
            </w:pPr>
            <w:r>
              <w:rPr>
                <w:b/>
                <w:color w:val="FFFFFF"/>
                <w:sz w:val="18"/>
              </w:rPr>
              <w:t xml:space="preserve">Capability</w:t>
            </w:r>
          </w:p>
        </w:tc>
        <w:tc>
          <w:tcPr>
            <w:tcW w:w="1601" w:type="dxa"/>
            <w:shd w:val="clear" w:color="auto" w:fill="1F3A5F"/>
          </w:tcPr>
          <w:p>
            <w:pPr>
              <w:pStyle w:val="Compact"/>
              <w:spacing w:after="40"/>
              <w:jc w:val="left"/>
            </w:pPr>
            <w:r>
              <w:rPr>
                <w:b/>
                <w:color w:val="FFFFFF"/>
                <w:sz w:val="18"/>
              </w:rPr>
              <w:t xml:space="preserve">NBFC</w:t>
            </w:r>
          </w:p>
        </w:tc>
        <w:tc>
          <w:tcPr>
            <w:tcW w:w="1173" w:type="dxa"/>
            <w:shd w:val="clear" w:color="auto" w:fill="1F3A5F"/>
          </w:tcPr>
          <w:p>
            <w:pPr>
              <w:pStyle w:val="Compact"/>
              <w:spacing w:after="40"/>
              <w:jc w:val="left"/>
            </w:pPr>
            <w:r>
              <w:rPr>
                <w:b/>
                <w:color w:val="FFFFFF"/>
                <w:sz w:val="18"/>
              </w:rPr>
              <w:t xml:space="preserve">Credit co-op</w:t>
            </w:r>
          </w:p>
        </w:tc>
        <w:tc>
          <w:tcPr>
            <w:tcW w:w="1199" w:type="dxa"/>
            <w:shd w:val="clear" w:color="auto" w:fill="1F3A5F"/>
          </w:tcPr>
          <w:p>
            <w:pPr>
              <w:pStyle w:val="Compact"/>
              <w:spacing w:after="40"/>
              <w:jc w:val="left"/>
            </w:pPr>
            <w:r>
              <w:rPr>
                <w:b/>
                <w:color w:val="FFFFFF"/>
                <w:sz w:val="18"/>
              </w:rPr>
              <w:t xml:space="preserve">UCB</w:t>
            </w:r>
          </w:p>
        </w:tc>
        <w:tc>
          <w:tcPr>
            <w:tcW w:w="1199" w:type="dxa"/>
            <w:shd w:val="clear" w:color="auto" w:fill="1F3A5F"/>
          </w:tcPr>
          <w:p>
            <w:pPr>
              <w:pStyle w:val="Compact"/>
              <w:spacing w:after="40"/>
              <w:jc w:val="left"/>
            </w:pPr>
            <w:r>
              <w:rPr>
                <w:b/>
                <w:color w:val="FFFFFF"/>
                <w:sz w:val="18"/>
              </w:rPr>
              <w:t xml:space="preserve">StCB/DCCB</w:t>
            </w:r>
          </w:p>
        </w:tc>
        <w:tc>
          <w:tcPr>
            <w:tcW w:w="850" w:type="dxa"/>
            <w:shd w:val="clear" w:color="auto" w:fill="1F3A5F"/>
          </w:tcPr>
          <w:p>
            <w:pPr>
              <w:pStyle w:val="Compact"/>
              <w:spacing w:after="40"/>
              <w:jc w:val="left"/>
            </w:pPr>
            <w:r>
              <w:rPr>
                <w:b/>
                <w:color w:val="FFFFFF"/>
                <w:sz w:val="18"/>
              </w:rPr>
              <w:t xml:space="preserve">NBFC-MFI</w:t>
            </w:r>
          </w:p>
        </w:tc>
        <w:tc>
          <w:tcPr>
            <w:tcW w:w="1061" w:type="dxa"/>
            <w:shd w:val="clear" w:color="auto" w:fill="1F3A5F"/>
          </w:tcPr>
          <w:p>
            <w:pPr>
              <w:pStyle w:val="Compact"/>
              <w:spacing w:after="40"/>
              <w:jc w:val="left"/>
            </w:pPr>
            <w:r>
              <w:rPr>
                <w:b/>
                <w:color w:val="FFFFFF"/>
                <w:sz w:val="18"/>
              </w:rPr>
              <w:t xml:space="preserve">ARC</w:t>
            </w:r>
          </w:p>
        </w:tc>
        <w:tc>
          <w:tcPr>
            <w:tcW w:w="1305" w:type="dxa"/>
            <w:shd w:val="clear" w:color="auto" w:fill="1F3A5F"/>
          </w:tcPr>
          <w:p>
            <w:pPr>
              <w:pStyle w:val="Compact"/>
              <w:spacing w:after="40"/>
              <w:jc w:val="left"/>
            </w:pPr>
            <w:r>
              <w:rPr>
                <w:b/>
                <w:color w:val="FFFFFF"/>
                <w:sz w:val="18"/>
              </w:rPr>
              <w:t xml:space="preserve">IFSC FC/FU</w:t>
            </w:r>
          </w:p>
        </w:tc>
      </w:tr>
      <w:tr>
        <w:tc>
          <w:tcPr>
            <w:tcW w:w="1250" w:type="dxa"/>
          </w:tcPr>
          <w:p>
            <w:pPr>
              <w:pStyle w:val="Compact"/>
              <w:spacing w:after="40"/>
              <w:jc w:val="left"/>
            </w:pPr>
            <w:r>
              <w:rPr>
                <w:sz w:val="18"/>
              </w:rPr>
              <w:t xml:space="preserve">Retail and MSME lending</w:t>
            </w:r>
          </w:p>
        </w:tc>
        <w:tc>
          <w:tcPr>
            <w:tcW w:w="1601" w:type="dxa"/>
          </w:tcPr>
          <w:p>
            <w:pPr>
              <w:pStyle w:val="Compact"/>
              <w:spacing w:after="40"/>
              <w:jc w:val="left"/>
            </w:pPr>
            <w:r>
              <w:rPr>
                <w:sz w:val="18"/>
              </w:rPr>
              <w:t xml:space="preserve">Y</w:t>
            </w:r>
          </w:p>
        </w:tc>
        <w:tc>
          <w:tcPr>
            <w:tcW w:w="1173" w:type="dxa"/>
          </w:tcPr>
          <w:p>
            <w:pPr>
              <w:pStyle w:val="Compact"/>
              <w:spacing w:after="40"/>
              <w:jc w:val="left"/>
            </w:pPr>
            <w:r>
              <w:rPr>
                <w:sz w:val="18"/>
              </w:rPr>
              <w:t xml:space="preserve">Y, members only</w:t>
            </w:r>
          </w:p>
        </w:tc>
        <w:tc>
          <w:tcPr>
            <w:tcW w:w="1199" w:type="dxa"/>
          </w:tcPr>
          <w:p>
            <w:pPr>
              <w:pStyle w:val="Compact"/>
              <w:spacing w:after="40"/>
              <w:jc w:val="left"/>
            </w:pPr>
            <w:r>
              <w:rPr>
                <w:sz w:val="18"/>
              </w:rPr>
              <w:t xml:space="preserve">Y</w:t>
            </w:r>
          </w:p>
        </w:tc>
        <w:tc>
          <w:tcPr>
            <w:tcW w:w="1199" w:type="dxa"/>
          </w:tcPr>
          <w:p>
            <w:pPr>
              <w:pStyle w:val="Compact"/>
              <w:spacing w:after="40"/>
              <w:jc w:val="left"/>
            </w:pPr>
            <w:r>
              <w:rPr>
                <w:sz w:val="18"/>
              </w:rPr>
              <w:t xml:space="preserve">Y</w:t>
            </w:r>
          </w:p>
        </w:tc>
        <w:tc>
          <w:tcPr>
            <w:tcW w:w="850" w:type="dxa"/>
          </w:tcPr>
          <w:p>
            <w:pPr>
              <w:pStyle w:val="Compact"/>
              <w:spacing w:after="40"/>
              <w:jc w:val="left"/>
            </w:pPr>
            <w:r>
              <w:rPr>
                <w:sz w:val="18"/>
              </w:rPr>
              <w:t xml:space="preserve">Y</w:t>
            </w:r>
          </w:p>
        </w:tc>
        <w:tc>
          <w:tcPr>
            <w:tcW w:w="1061" w:type="dxa"/>
          </w:tcPr>
          <w:p>
            <w:pPr>
              <w:pStyle w:val="Compact"/>
              <w:spacing w:after="40"/>
              <w:jc w:val="left"/>
            </w:pPr>
            <w:r>
              <w:rPr>
                <w:sz w:val="18"/>
              </w:rPr>
              <w:t xml:space="preserve">N</w:t>
            </w:r>
          </w:p>
        </w:tc>
        <w:tc>
          <w:tcPr>
            <w:tcW w:w="1305" w:type="dxa"/>
          </w:tcPr>
          <w:p>
            <w:pPr>
              <w:pStyle w:val="Compact"/>
              <w:spacing w:after="40"/>
              <w:jc w:val="left"/>
            </w:pPr>
            <w:r>
              <w:rPr>
                <w:sz w:val="18"/>
              </w:rPr>
              <w:t xml:space="preserve">Y (USD; FEMA for residents)</w:t>
            </w:r>
          </w:p>
        </w:tc>
      </w:tr>
      <w:tr>
        <w:tc>
          <w:tcPr>
            <w:tcW w:w="1250" w:type="dxa"/>
          </w:tcPr>
          <w:p>
            <w:pPr>
              <w:pStyle w:val="Compact"/>
              <w:spacing w:after="40"/>
              <w:jc w:val="left"/>
            </w:pPr>
            <w:r>
              <w:rPr>
                <w:sz w:val="18"/>
              </w:rPr>
              <w:t xml:space="preserve">Microfinance JLG/SHG</w:t>
            </w:r>
          </w:p>
        </w:tc>
        <w:tc>
          <w:tcPr>
            <w:tcW w:w="1601" w:type="dxa"/>
          </w:tcPr>
          <w:p>
            <w:pPr>
              <w:pStyle w:val="Compact"/>
              <w:spacing w:after="40"/>
              <w:jc w:val="left"/>
            </w:pPr>
            <w:r>
              <w:rPr>
                <w:sz w:val="18"/>
              </w:rPr>
              <w:t xml:space="preserve">Y (≤ 25% of assets if not MFI)</w:t>
            </w:r>
          </w:p>
        </w:tc>
        <w:tc>
          <w:tcPr>
            <w:tcW w:w="1173" w:type="dxa"/>
          </w:tcPr>
          <w:p>
            <w:pPr>
              <w:pStyle w:val="Compact"/>
              <w:spacing w:after="40"/>
              <w:jc w:val="left"/>
            </w:pPr>
            <w:r>
              <w:rPr>
                <w:sz w:val="18"/>
              </w:rPr>
              <w:t xml:space="preserve">Y [REC conduct]</w:t>
            </w:r>
          </w:p>
        </w:tc>
        <w:tc>
          <w:tcPr>
            <w:tcW w:w="1199" w:type="dxa"/>
          </w:tcPr>
          <w:p>
            <w:pPr>
              <w:pStyle w:val="Compact"/>
              <w:spacing w:after="40"/>
              <w:jc w:val="left"/>
            </w:pPr>
            <w:r>
              <w:rPr>
                <w:sz w:val="18"/>
              </w:rPr>
              <w:t xml:space="preserve">Y</w:t>
            </w:r>
          </w:p>
        </w:tc>
        <w:tc>
          <w:tcPr>
            <w:tcW w:w="1199" w:type="dxa"/>
          </w:tcPr>
          <w:p>
            <w:pPr>
              <w:pStyle w:val="Compact"/>
              <w:spacing w:after="40"/>
              <w:jc w:val="left"/>
            </w:pPr>
            <w:r>
              <w:rPr>
                <w:sz w:val="18"/>
              </w:rPr>
              <w:t xml:space="preserve">Y</w:t>
            </w:r>
          </w:p>
        </w:tc>
        <w:tc>
          <w:tcPr>
            <w:tcW w:w="850" w:type="dxa"/>
          </w:tcPr>
          <w:p>
            <w:pPr>
              <w:pStyle w:val="Compact"/>
              <w:spacing w:after="40"/>
              <w:jc w:val="left"/>
            </w:pPr>
            <w:r>
              <w:rPr>
                <w:sz w:val="18"/>
              </w:rPr>
              <w:t xml:space="preserve">Y</w:t>
            </w:r>
          </w:p>
        </w:tc>
        <w:tc>
          <w:tcPr>
            <w:tcW w:w="1061" w:type="dxa"/>
          </w:tcPr>
          <w:p>
            <w:pPr>
              <w:pStyle w:val="Compact"/>
              <w:spacing w:after="40"/>
              <w:jc w:val="left"/>
            </w:pPr>
            <w:r>
              <w:rPr>
                <w:sz w:val="18"/>
              </w:rPr>
              <w:t xml:space="preserve">N</w:t>
            </w:r>
          </w:p>
        </w:tc>
        <w:tc>
          <w:tcPr>
            <w:tcW w:w="1305" w:type="dxa"/>
          </w:tcPr>
          <w:p>
            <w:pPr>
              <w:pStyle w:val="Compact"/>
              <w:spacing w:after="40"/>
              <w:jc w:val="left"/>
            </w:pPr>
            <w:r>
              <w:rPr>
                <w:sz w:val="18"/>
              </w:rPr>
              <w:t xml:space="preserve">N</w:t>
            </w:r>
          </w:p>
        </w:tc>
      </w:tr>
      <w:tr>
        <w:tc>
          <w:tcPr>
            <w:tcW w:w="1250" w:type="dxa"/>
          </w:tcPr>
          <w:p>
            <w:pPr>
              <w:pStyle w:val="Compact"/>
              <w:spacing w:after="40"/>
              <w:jc w:val="left"/>
            </w:pPr>
            <w:r>
              <w:rPr>
                <w:sz w:val="18"/>
              </w:rPr>
              <w:t xml:space="preserve">Member deposits (adapter)</w:t>
            </w:r>
          </w:p>
        </w:tc>
        <w:tc>
          <w:tcPr>
            <w:tcW w:w="1601" w:type="dxa"/>
          </w:tcPr>
          <w:p>
            <w:pPr>
              <w:pStyle w:val="Compact"/>
              <w:spacing w:after="40"/>
              <w:jc w:val="left"/>
            </w:pPr>
            <w:r>
              <w:rPr>
                <w:sz w:val="18"/>
              </w:rPr>
              <w:t xml:space="preserve">N</w:t>
            </w:r>
          </w:p>
        </w:tc>
        <w:tc>
          <w:tcPr>
            <w:tcW w:w="1173" w:type="dxa"/>
          </w:tcPr>
          <w:p>
            <w:pPr>
              <w:pStyle w:val="Compact"/>
              <w:spacing w:after="40"/>
              <w:jc w:val="left"/>
            </w:pPr>
            <w:r>
              <w:rPr>
                <w:sz w:val="18"/>
              </w:rPr>
              <w:t xml:space="preserve">Y, voting members only</w:t>
            </w:r>
          </w:p>
        </w:tc>
        <w:tc>
          <w:tcPr>
            <w:tcW w:w="1199" w:type="dxa"/>
          </w:tcPr>
          <w:p>
            <w:pPr>
              <w:pStyle w:val="Compact"/>
              <w:spacing w:after="40"/>
              <w:jc w:val="left"/>
            </w:pPr>
            <w:r>
              <w:rPr>
                <w:sz w:val="18"/>
              </w:rPr>
              <w:t xml:space="preserve">Y (CBS adapter)</w:t>
            </w:r>
          </w:p>
        </w:tc>
        <w:tc>
          <w:tcPr>
            <w:tcW w:w="1199" w:type="dxa"/>
          </w:tcPr>
          <w:p>
            <w:pPr>
              <w:pStyle w:val="Compact"/>
              <w:spacing w:after="40"/>
              <w:jc w:val="left"/>
            </w:pPr>
            <w:r>
              <w:rPr>
                <w:sz w:val="18"/>
              </w:rPr>
              <w:t xml:space="preserve">Y (CBS adapter)</w:t>
            </w:r>
          </w:p>
        </w:tc>
        <w:tc>
          <w:tcPr>
            <w:tcW w:w="850" w:type="dxa"/>
          </w:tcPr>
          <w:p>
            <w:pPr>
              <w:pStyle w:val="Compact"/>
              <w:spacing w:after="40"/>
              <w:jc w:val="left"/>
            </w:pPr>
            <w:r>
              <w:rPr>
                <w:sz w:val="18"/>
              </w:rPr>
              <w:t xml:space="preserve">N</w:t>
            </w:r>
          </w:p>
        </w:tc>
        <w:tc>
          <w:tcPr>
            <w:tcW w:w="1061" w:type="dxa"/>
          </w:tcPr>
          <w:p>
            <w:pPr>
              <w:pStyle w:val="Compact"/>
              <w:spacing w:after="40"/>
              <w:jc w:val="left"/>
            </w:pPr>
            <w:r>
              <w:rPr>
                <w:sz w:val="18"/>
              </w:rPr>
              <w:t xml:space="preserve">N</w:t>
            </w:r>
          </w:p>
        </w:tc>
        <w:tc>
          <w:tcPr>
            <w:tcW w:w="1305" w:type="dxa"/>
          </w:tcPr>
          <w:p>
            <w:pPr>
              <w:pStyle w:val="Compact"/>
              <w:spacing w:after="40"/>
              <w:jc w:val="left"/>
            </w:pPr>
            <w:r>
              <w:rPr>
                <w:sz w:val="18"/>
              </w:rPr>
              <w:t xml:space="preserve">N</w:t>
            </w:r>
          </w:p>
        </w:tc>
      </w:tr>
      <w:tr>
        <w:tc>
          <w:tcPr>
            <w:tcW w:w="1250" w:type="dxa"/>
          </w:tcPr>
          <w:p>
            <w:pPr>
              <w:pStyle w:val="Compact"/>
              <w:spacing w:after="40"/>
              <w:jc w:val="left"/>
            </w:pPr>
            <w:r>
              <w:rPr>
                <w:sz w:val="18"/>
              </w:rPr>
              <w:t xml:space="preserve">Co-lending (TDCR Part B)</w:t>
            </w:r>
          </w:p>
        </w:tc>
        <w:tc>
          <w:tcPr>
            <w:tcW w:w="1601" w:type="dxa"/>
          </w:tcPr>
          <w:p>
            <w:pPr>
              <w:pStyle w:val="Compact"/>
              <w:spacing w:after="40"/>
              <w:jc w:val="left"/>
            </w:pPr>
            <w:r>
              <w:rPr>
                <w:sz w:val="18"/>
              </w:rPr>
              <w:t xml:space="preserve">Y</w:t>
            </w:r>
          </w:p>
        </w:tc>
        <w:tc>
          <w:tcPr>
            <w:tcW w:w="1173" w:type="dxa"/>
          </w:tcPr>
          <w:p>
            <w:pPr>
              <w:pStyle w:val="Compact"/>
              <w:spacing w:after="40"/>
              <w:jc w:val="left"/>
            </w:pPr>
            <w:r>
              <w:rPr>
                <w:bCs/>
                <w:b/>
                <w:sz w:val="18"/>
              </w:rPr>
              <w:t xml:space="preserve">N</w:t>
            </w:r>
          </w:p>
        </w:tc>
        <w:tc>
          <w:tcPr>
            <w:tcW w:w="1199" w:type="dxa"/>
          </w:tcPr>
          <w:p>
            <w:pPr>
              <w:pStyle w:val="Compact"/>
              <w:spacing w:after="40"/>
              <w:jc w:val="left"/>
            </w:pPr>
            <w:r>
              <w:rPr>
                <w:bCs/>
                <w:b/>
                <w:sz w:val="18"/>
              </w:rPr>
              <w:t xml:space="preserve">N</w:t>
            </w:r>
          </w:p>
        </w:tc>
        <w:tc>
          <w:tcPr>
            <w:tcW w:w="1199" w:type="dxa"/>
          </w:tcPr>
          <w:p>
            <w:pPr>
              <w:pStyle w:val="Compact"/>
              <w:spacing w:after="40"/>
              <w:jc w:val="left"/>
            </w:pPr>
            <w:r>
              <w:rPr>
                <w:bCs/>
                <w:b/>
                <w:sz w:val="18"/>
              </w:rPr>
              <w:t xml:space="preserve">N</w:t>
            </w:r>
          </w:p>
        </w:tc>
        <w:tc>
          <w:tcPr>
            <w:tcW w:w="850" w:type="dxa"/>
          </w:tcPr>
          <w:p>
            <w:pPr>
              <w:pStyle w:val="Compact"/>
              <w:spacing w:after="40"/>
              <w:jc w:val="left"/>
            </w:pPr>
            <w:r>
              <w:rPr>
                <w:sz w:val="18"/>
              </w:rPr>
              <w:t xml:space="preserve">Y</w:t>
            </w:r>
          </w:p>
        </w:tc>
        <w:tc>
          <w:tcPr>
            <w:tcW w:w="1061" w:type="dxa"/>
          </w:tcPr>
          <w:p>
            <w:pPr>
              <w:pStyle w:val="Compact"/>
              <w:spacing w:after="40"/>
              <w:jc w:val="left"/>
            </w:pPr>
            <w:r>
              <w:rPr>
                <w:sz w:val="18"/>
              </w:rPr>
              <w:t xml:space="preserve">N</w:t>
            </w:r>
          </w:p>
        </w:tc>
        <w:tc>
          <w:tcPr>
            <w:tcW w:w="1305" w:type="dxa"/>
          </w:tcPr>
          <w:p>
            <w:pPr>
              <w:pStyle w:val="Compact"/>
              <w:spacing w:after="40"/>
              <w:jc w:val="left"/>
            </w:pPr>
            <w:r>
              <w:rPr>
                <w:sz w:val="18"/>
              </w:rPr>
              <w:t xml:space="preserve">N</w:t>
            </w:r>
          </w:p>
        </w:tc>
      </w:tr>
      <w:tr>
        <w:tc>
          <w:tcPr>
            <w:tcW w:w="1250" w:type="dxa"/>
          </w:tcPr>
          <w:p>
            <w:pPr>
              <w:pStyle w:val="Compact"/>
              <w:spacing w:after="40"/>
              <w:jc w:val="left"/>
            </w:pPr>
            <w:r>
              <w:rPr>
                <w:sz w:val="18"/>
              </w:rPr>
              <w:t xml:space="preserve">Standard-loan DA</w:t>
            </w:r>
          </w:p>
        </w:tc>
        <w:tc>
          <w:tcPr>
            <w:tcW w:w="1601" w:type="dxa"/>
          </w:tcPr>
          <w:p>
            <w:pPr>
              <w:pStyle w:val="Compact"/>
              <w:spacing w:after="40"/>
              <w:jc w:val="left"/>
            </w:pPr>
            <w:r>
              <w:rPr>
                <w:sz w:val="18"/>
              </w:rPr>
              <w:t xml:space="preserve">Y</w:t>
            </w:r>
          </w:p>
        </w:tc>
        <w:tc>
          <w:tcPr>
            <w:tcW w:w="1173" w:type="dxa"/>
          </w:tcPr>
          <w:p>
            <w:pPr>
              <w:pStyle w:val="Compact"/>
              <w:spacing w:after="40"/>
              <w:jc w:val="left"/>
            </w:pPr>
            <w:r>
              <w:rPr>
                <w:bCs/>
                <w:b/>
                <w:sz w:val="18"/>
              </w:rPr>
              <w:t xml:space="preserve">N</w:t>
            </w:r>
          </w:p>
        </w:tc>
        <w:tc>
          <w:tcPr>
            <w:tcW w:w="1199" w:type="dxa"/>
          </w:tcPr>
          <w:p>
            <w:pPr>
              <w:pStyle w:val="Compact"/>
              <w:spacing w:after="40"/>
              <w:jc w:val="left"/>
            </w:pPr>
            <w:r>
              <w:rPr>
                <w:bCs/>
                <w:b/>
                <w:sz w:val="18"/>
              </w:rPr>
              <w:t xml:space="preserve">N</w:t>
            </w:r>
          </w:p>
        </w:tc>
        <w:tc>
          <w:tcPr>
            <w:tcW w:w="1199" w:type="dxa"/>
          </w:tcPr>
          <w:p>
            <w:pPr>
              <w:pStyle w:val="Compact"/>
              <w:spacing w:after="40"/>
              <w:jc w:val="left"/>
            </w:pPr>
            <w:r>
              <w:rPr>
                <w:bCs/>
                <w:b/>
                <w:sz w:val="18"/>
              </w:rPr>
              <w:t xml:space="preserve">N</w:t>
            </w:r>
          </w:p>
        </w:tc>
        <w:tc>
          <w:tcPr>
            <w:tcW w:w="850" w:type="dxa"/>
          </w:tcPr>
          <w:p>
            <w:pPr>
              <w:pStyle w:val="Compact"/>
              <w:spacing w:after="40"/>
              <w:jc w:val="left"/>
            </w:pPr>
            <w:r>
              <w:rPr>
                <w:sz w:val="18"/>
              </w:rPr>
              <w:t xml:space="preserve">Y</w:t>
            </w:r>
          </w:p>
        </w:tc>
        <w:tc>
          <w:tcPr>
            <w:tcW w:w="1061" w:type="dxa"/>
          </w:tcPr>
          <w:p>
            <w:pPr>
              <w:pStyle w:val="Compact"/>
              <w:spacing w:after="40"/>
              <w:jc w:val="left"/>
            </w:pPr>
            <w:r>
              <w:rPr>
                <w:sz w:val="18"/>
              </w:rPr>
              <w:t xml:space="preserve">N</w:t>
            </w:r>
          </w:p>
        </w:tc>
        <w:tc>
          <w:tcPr>
            <w:tcW w:w="1305" w:type="dxa"/>
          </w:tcPr>
          <w:p>
            <w:pPr>
              <w:pStyle w:val="Compact"/>
              <w:spacing w:after="40"/>
              <w:jc w:val="left"/>
            </w:pPr>
            <w:r>
              <w:rPr>
                <w:sz w:val="18"/>
              </w:rPr>
              <w:t xml:space="preserve">P [VERIFY]</w:t>
            </w:r>
          </w:p>
        </w:tc>
      </w:tr>
      <w:tr>
        <w:tc>
          <w:tcPr>
            <w:tcW w:w="1250" w:type="dxa"/>
          </w:tcPr>
          <w:p>
            <w:pPr>
              <w:pStyle w:val="Compact"/>
              <w:spacing w:after="40"/>
              <w:jc w:val="left"/>
            </w:pPr>
            <w:r>
              <w:rPr>
                <w:sz w:val="18"/>
              </w:rPr>
              <w:t xml:space="preserve">Sell stressed loans</w:t>
            </w:r>
          </w:p>
        </w:tc>
        <w:tc>
          <w:tcPr>
            <w:tcW w:w="1601" w:type="dxa"/>
          </w:tcPr>
          <w:p>
            <w:pPr>
              <w:pStyle w:val="Compact"/>
              <w:spacing w:after="40"/>
              <w:jc w:val="left"/>
            </w:pPr>
            <w:r>
              <w:rPr>
                <w:sz w:val="18"/>
              </w:rPr>
              <w:t xml:space="preserve">Y</w:t>
            </w:r>
          </w:p>
        </w:tc>
        <w:tc>
          <w:tcPr>
            <w:tcW w:w="1173" w:type="dxa"/>
          </w:tcPr>
          <w:p>
            <w:pPr>
              <w:pStyle w:val="Compact"/>
              <w:spacing w:after="40"/>
              <w:jc w:val="left"/>
            </w:pPr>
            <w:r>
              <w:rPr>
                <w:bCs/>
                <w:b/>
                <w:sz w:val="18"/>
              </w:rPr>
              <w:t xml:space="preserve">N</w:t>
            </w:r>
          </w:p>
        </w:tc>
        <w:tc>
          <w:tcPr>
            <w:tcW w:w="1199" w:type="dxa"/>
          </w:tcPr>
          <w:p>
            <w:pPr>
              <w:pStyle w:val="Compact"/>
              <w:spacing w:after="40"/>
              <w:jc w:val="left"/>
            </w:pPr>
            <w:r>
              <w:rPr>
                <w:sz w:val="18"/>
              </w:rPr>
              <w:t xml:space="preserve">Y (transferor only)</w:t>
            </w:r>
          </w:p>
        </w:tc>
        <w:tc>
          <w:tcPr>
            <w:tcW w:w="1199" w:type="dxa"/>
          </w:tcPr>
          <w:p>
            <w:pPr>
              <w:pStyle w:val="Compact"/>
              <w:spacing w:after="40"/>
              <w:jc w:val="left"/>
            </w:pPr>
            <w:r>
              <w:rPr>
                <w:sz w:val="18"/>
              </w:rPr>
              <w:t xml:space="preserve">Y (transferor only)</w:t>
            </w:r>
          </w:p>
        </w:tc>
        <w:tc>
          <w:tcPr>
            <w:tcW w:w="850" w:type="dxa"/>
          </w:tcPr>
          <w:p>
            <w:pPr>
              <w:pStyle w:val="Compact"/>
              <w:spacing w:after="40"/>
              <w:jc w:val="left"/>
            </w:pPr>
            <w:r>
              <w:rPr>
                <w:sz w:val="18"/>
              </w:rPr>
              <w:t xml:space="preserve">Y</w:t>
            </w:r>
          </w:p>
        </w:tc>
        <w:tc>
          <w:tcPr>
            <w:tcW w:w="1061" w:type="dxa"/>
          </w:tcPr>
          <w:p>
            <w:pPr>
              <w:pStyle w:val="Compact"/>
              <w:spacing w:after="40"/>
              <w:jc w:val="left"/>
            </w:pPr>
            <w:r>
              <w:rPr>
                <w:sz w:val="18"/>
              </w:rPr>
              <w:t xml:space="preserve">Y (to ARCs)</w:t>
            </w:r>
          </w:p>
        </w:tc>
        <w:tc>
          <w:tcPr>
            <w:tcW w:w="1305" w:type="dxa"/>
          </w:tcPr>
          <w:p>
            <w:pPr>
              <w:pStyle w:val="Compact"/>
              <w:spacing w:after="40"/>
              <w:jc w:val="left"/>
            </w:pPr>
            <w:r>
              <w:rPr>
                <w:sz w:val="18"/>
              </w:rPr>
              <w:t xml:space="preserve">P [VERIFY]</w:t>
            </w:r>
          </w:p>
        </w:tc>
      </w:tr>
      <w:tr>
        <w:tc>
          <w:tcPr>
            <w:tcW w:w="1250" w:type="dxa"/>
          </w:tcPr>
          <w:p>
            <w:pPr>
              <w:pStyle w:val="Compact"/>
              <w:spacing w:after="40"/>
              <w:jc w:val="left"/>
            </w:pPr>
            <w:r>
              <w:rPr>
                <w:sz w:val="18"/>
              </w:rPr>
              <w:t xml:space="preserve">Buy stressed loans</w:t>
            </w:r>
          </w:p>
        </w:tc>
        <w:tc>
          <w:tcPr>
            <w:tcW w:w="1601" w:type="dxa"/>
          </w:tcPr>
          <w:p>
            <w:pPr>
              <w:pStyle w:val="Compact"/>
              <w:spacing w:after="40"/>
              <w:jc w:val="left"/>
            </w:pPr>
            <w:r>
              <w:rPr>
                <w:sz w:val="18"/>
              </w:rPr>
              <w:t xml:space="preserve">Y (6-month hold)</w:t>
            </w:r>
          </w:p>
        </w:tc>
        <w:tc>
          <w:tcPr>
            <w:tcW w:w="1173" w:type="dxa"/>
          </w:tcPr>
          <w:p>
            <w:pPr>
              <w:pStyle w:val="Compact"/>
              <w:spacing w:after="40"/>
              <w:jc w:val="left"/>
            </w:pPr>
            <w:r>
              <w:rPr>
                <w:bCs/>
                <w:b/>
                <w:sz w:val="18"/>
              </w:rPr>
              <w:t xml:space="preserve">N</w:t>
            </w:r>
          </w:p>
        </w:tc>
        <w:tc>
          <w:tcPr>
            <w:tcW w:w="1199" w:type="dxa"/>
          </w:tcPr>
          <w:p>
            <w:pPr>
              <w:pStyle w:val="Compact"/>
              <w:spacing w:after="40"/>
              <w:jc w:val="left"/>
            </w:pPr>
            <w:r>
              <w:rPr>
                <w:bCs/>
                <w:b/>
                <w:sz w:val="18"/>
              </w:rPr>
              <w:t xml:space="preserve">N</w:t>
            </w:r>
          </w:p>
        </w:tc>
        <w:tc>
          <w:tcPr>
            <w:tcW w:w="1199" w:type="dxa"/>
          </w:tcPr>
          <w:p>
            <w:pPr>
              <w:pStyle w:val="Compact"/>
              <w:spacing w:after="40"/>
              <w:jc w:val="left"/>
            </w:pPr>
            <w:r>
              <w:rPr>
                <w:bCs/>
                <w:b/>
                <w:sz w:val="18"/>
              </w:rPr>
              <w:t xml:space="preserve">N</w:t>
            </w:r>
          </w:p>
        </w:tc>
        <w:tc>
          <w:tcPr>
            <w:tcW w:w="850" w:type="dxa"/>
          </w:tcPr>
          <w:p>
            <w:pPr>
              <w:pStyle w:val="Compact"/>
              <w:spacing w:after="40"/>
              <w:jc w:val="left"/>
            </w:pPr>
            <w:r>
              <w:rPr>
                <w:sz w:val="18"/>
              </w:rPr>
              <w:t xml:space="preserve">Y</w:t>
            </w:r>
          </w:p>
        </w:tc>
        <w:tc>
          <w:tcPr>
            <w:tcW w:w="1061" w:type="dxa"/>
          </w:tcPr>
          <w:p>
            <w:pPr>
              <w:pStyle w:val="Compact"/>
              <w:spacing w:after="40"/>
              <w:jc w:val="left"/>
            </w:pPr>
            <w:r>
              <w:rPr>
                <w:sz w:val="18"/>
              </w:rPr>
              <w:t xml:space="preserve">Y</w:t>
            </w:r>
          </w:p>
        </w:tc>
        <w:tc>
          <w:tcPr>
            <w:tcW w:w="1305" w:type="dxa"/>
          </w:tcPr>
          <w:p>
            <w:pPr>
              <w:pStyle w:val="Compact"/>
              <w:spacing w:after="40"/>
              <w:jc w:val="left"/>
            </w:pPr>
            <w:r>
              <w:rPr>
                <w:sz w:val="18"/>
              </w:rPr>
              <w:t xml:space="preserve">P [VERIFY]</w:t>
            </w:r>
          </w:p>
        </w:tc>
      </w:tr>
      <w:tr>
        <w:tc>
          <w:tcPr>
            <w:tcW w:w="1250" w:type="dxa"/>
          </w:tcPr>
          <w:p>
            <w:pPr>
              <w:pStyle w:val="Compact"/>
              <w:spacing w:after="40"/>
              <w:jc w:val="left"/>
            </w:pPr>
            <w:r>
              <w:rPr>
                <w:sz w:val="18"/>
              </w:rPr>
              <w:t xml:space="preserve">Securitisation originator</w:t>
            </w:r>
          </w:p>
        </w:tc>
        <w:tc>
          <w:tcPr>
            <w:tcW w:w="1601" w:type="dxa"/>
          </w:tcPr>
          <w:p>
            <w:pPr>
              <w:pStyle w:val="Compact"/>
              <w:spacing w:after="40"/>
              <w:jc w:val="left"/>
            </w:pPr>
            <w:r>
              <w:rPr>
                <w:sz w:val="18"/>
              </w:rPr>
              <w:t xml:space="preserve">Y (not NBFC-CIC or no-public-funds NBFCs)</w:t>
            </w:r>
          </w:p>
        </w:tc>
        <w:tc>
          <w:tcPr>
            <w:tcW w:w="1173" w:type="dxa"/>
          </w:tcPr>
          <w:p>
            <w:pPr>
              <w:pStyle w:val="Compact"/>
              <w:spacing w:after="40"/>
              <w:jc w:val="left"/>
            </w:pPr>
            <w:r>
              <w:rPr>
                <w:sz w:val="18"/>
              </w:rPr>
              <w:t xml:space="preserve">N</w:t>
            </w:r>
          </w:p>
        </w:tc>
        <w:tc>
          <w:tcPr>
            <w:tcW w:w="1199" w:type="dxa"/>
          </w:tcPr>
          <w:p>
            <w:pPr>
              <w:pStyle w:val="Compact"/>
              <w:spacing w:after="40"/>
              <w:jc w:val="left"/>
            </w:pPr>
            <w:r>
              <w:rPr>
                <w:sz w:val="18"/>
              </w:rPr>
              <w:t xml:space="preserve">own Directions [VERIFY]</w:t>
            </w:r>
          </w:p>
        </w:tc>
        <w:tc>
          <w:tcPr>
            <w:tcW w:w="1199" w:type="dxa"/>
          </w:tcPr>
          <w:p>
            <w:pPr>
              <w:pStyle w:val="Compact"/>
              <w:spacing w:after="40"/>
              <w:jc w:val="left"/>
            </w:pPr>
            <w:r>
              <w:rPr>
                <w:sz w:val="18"/>
              </w:rPr>
              <w:t xml:space="preserve">own Directions [VERIFY]</w:t>
            </w:r>
          </w:p>
        </w:tc>
        <w:tc>
          <w:tcPr>
            <w:tcW w:w="850" w:type="dxa"/>
          </w:tcPr>
          <w:p>
            <w:pPr>
              <w:pStyle w:val="Compact"/>
              <w:spacing w:after="40"/>
              <w:jc w:val="left"/>
            </w:pPr>
            <w:r>
              <w:rPr>
                <w:sz w:val="18"/>
              </w:rPr>
              <w:t xml:space="preserve">Y</w:t>
            </w:r>
          </w:p>
        </w:tc>
        <w:tc>
          <w:tcPr>
            <w:tcW w:w="1061" w:type="dxa"/>
          </w:tcPr>
          <w:p>
            <w:pPr>
              <w:pStyle w:val="Compact"/>
              <w:spacing w:after="40"/>
              <w:jc w:val="left"/>
            </w:pPr>
            <w:r>
              <w:rPr>
                <w:sz w:val="18"/>
              </w:rPr>
              <w:t xml:space="preserve">N</w:t>
            </w:r>
          </w:p>
        </w:tc>
        <w:tc>
          <w:tcPr>
            <w:tcW w:w="1305" w:type="dxa"/>
          </w:tcPr>
          <w:p>
            <w:pPr>
              <w:pStyle w:val="Compact"/>
              <w:spacing w:after="40"/>
              <w:jc w:val="left"/>
            </w:pPr>
            <w:r>
              <w:rPr>
                <w:sz w:val="18"/>
              </w:rPr>
              <w:t xml:space="preserve">Y (core activity)</w:t>
            </w:r>
          </w:p>
        </w:tc>
      </w:tr>
      <w:tr>
        <w:tc>
          <w:tcPr>
            <w:tcW w:w="1250" w:type="dxa"/>
          </w:tcPr>
          <w:p>
            <w:pPr>
              <w:pStyle w:val="Compact"/>
              <w:spacing w:after="40"/>
              <w:jc w:val="left"/>
            </w:pPr>
            <w:r>
              <w:rPr>
                <w:sz w:val="18"/>
              </w:rPr>
              <w:t xml:space="preserve">SR investment</w:t>
            </w:r>
          </w:p>
        </w:tc>
        <w:tc>
          <w:tcPr>
            <w:tcW w:w="1601" w:type="dxa"/>
          </w:tcPr>
          <w:p>
            <w:pPr>
              <w:pStyle w:val="Compact"/>
              <w:spacing w:after="40"/>
              <w:jc w:val="left"/>
            </w:pPr>
            <w:r>
              <w:rPr>
                <w:sz w:val="18"/>
              </w:rPr>
              <w:t xml:space="preserve">Y (QB)</w:t>
            </w:r>
          </w:p>
        </w:tc>
        <w:tc>
          <w:tcPr>
            <w:tcW w:w="1173" w:type="dxa"/>
          </w:tcPr>
          <w:p>
            <w:pPr>
              <w:pStyle w:val="Compact"/>
              <w:spacing w:after="40"/>
              <w:jc w:val="left"/>
            </w:pPr>
            <w:r>
              <w:rPr>
                <w:sz w:val="18"/>
              </w:rPr>
              <w:t xml:space="preserve">N</w:t>
            </w:r>
          </w:p>
        </w:tc>
        <w:tc>
          <w:tcPr>
            <w:tcW w:w="1199" w:type="dxa"/>
          </w:tcPr>
          <w:p>
            <w:pPr>
              <w:pStyle w:val="Compact"/>
              <w:spacing w:after="40"/>
              <w:jc w:val="left"/>
            </w:pPr>
            <w:r>
              <w:rPr>
                <w:sz w:val="18"/>
              </w:rPr>
              <w:t xml:space="preserve">[VERIFY QB]</w:t>
            </w:r>
          </w:p>
        </w:tc>
        <w:tc>
          <w:tcPr>
            <w:tcW w:w="1199" w:type="dxa"/>
          </w:tcPr>
          <w:p>
            <w:pPr>
              <w:pStyle w:val="Compact"/>
              <w:spacing w:after="40"/>
              <w:jc w:val="left"/>
            </w:pPr>
            <w:r>
              <w:rPr>
                <w:sz w:val="18"/>
              </w:rPr>
              <w:t xml:space="preserve">[VERIFY QB]</w:t>
            </w:r>
          </w:p>
        </w:tc>
        <w:tc>
          <w:tcPr>
            <w:tcW w:w="850" w:type="dxa"/>
          </w:tcPr>
          <w:p>
            <w:pPr>
              <w:pStyle w:val="Compact"/>
              <w:spacing w:after="40"/>
              <w:jc w:val="left"/>
            </w:pPr>
            <w:r>
              <w:rPr>
                <w:sz w:val="18"/>
              </w:rPr>
              <w:t xml:space="preserve">Y</w:t>
            </w:r>
          </w:p>
        </w:tc>
        <w:tc>
          <w:tcPr>
            <w:tcW w:w="1061" w:type="dxa"/>
          </w:tcPr>
          <w:p>
            <w:pPr>
              <w:pStyle w:val="Compact"/>
              <w:spacing w:after="40"/>
              <w:jc w:val="left"/>
            </w:pPr>
            <w:r>
              <w:rPr>
                <w:sz w:val="18"/>
              </w:rPr>
              <w:t xml:space="preserve">Y (mandatory)</w:t>
            </w:r>
          </w:p>
        </w:tc>
        <w:tc>
          <w:tcPr>
            <w:tcW w:w="1305" w:type="dxa"/>
          </w:tcPr>
          <w:p>
            <w:pPr>
              <w:pStyle w:val="Compact"/>
              <w:spacing w:after="40"/>
              <w:jc w:val="left"/>
            </w:pPr>
            <w:r>
              <w:rPr>
                <w:sz w:val="18"/>
              </w:rPr>
              <w:t xml:space="preserve">[VERIFY]</w:t>
            </w:r>
          </w:p>
        </w:tc>
      </w:tr>
      <w:tr>
        <w:tc>
          <w:tcPr>
            <w:tcW w:w="1250" w:type="dxa"/>
          </w:tcPr>
          <w:p>
            <w:pPr>
              <w:pStyle w:val="Compact"/>
              <w:spacing w:after="40"/>
              <w:jc w:val="left"/>
            </w:pPr>
            <w:r>
              <w:rPr>
                <w:sz w:val="18"/>
              </w:rPr>
              <w:t xml:space="preserve">ARC trust and SR issue</w:t>
            </w:r>
          </w:p>
        </w:tc>
        <w:tc>
          <w:tcPr>
            <w:tcW w:w="1601" w:type="dxa"/>
          </w:tcPr>
          <w:p>
            <w:pPr>
              <w:pStyle w:val="Compact"/>
              <w:spacing w:after="40"/>
              <w:jc w:val="left"/>
            </w:pPr>
            <w:r>
              <w:rPr>
                <w:bCs/>
                <w:b/>
                <w:sz w:val="18"/>
              </w:rPr>
              <w:t xml:space="preserve">N</w:t>
            </w:r>
          </w:p>
        </w:tc>
        <w:tc>
          <w:tcPr>
            <w:tcW w:w="1173" w:type="dxa"/>
          </w:tcPr>
          <w:p>
            <w:pPr>
              <w:pStyle w:val="Compact"/>
              <w:spacing w:after="40"/>
              <w:jc w:val="left"/>
            </w:pPr>
            <w:r>
              <w:rPr>
                <w:sz w:val="18"/>
              </w:rPr>
              <w:t xml:space="preserve">N</w:t>
            </w:r>
          </w:p>
        </w:tc>
        <w:tc>
          <w:tcPr>
            <w:tcW w:w="1199" w:type="dxa"/>
          </w:tcPr>
          <w:p>
            <w:pPr>
              <w:pStyle w:val="Compact"/>
              <w:spacing w:after="40"/>
              <w:jc w:val="left"/>
            </w:pPr>
            <w:r>
              <w:rPr>
                <w:sz w:val="18"/>
              </w:rPr>
              <w:t xml:space="preserve">N</w:t>
            </w:r>
          </w:p>
        </w:tc>
        <w:tc>
          <w:tcPr>
            <w:tcW w:w="1199" w:type="dxa"/>
          </w:tcPr>
          <w:p>
            <w:pPr>
              <w:pStyle w:val="Compact"/>
              <w:spacing w:after="40"/>
              <w:jc w:val="left"/>
            </w:pPr>
            <w:r>
              <w:rPr>
                <w:sz w:val="18"/>
              </w:rPr>
              <w:t xml:space="preserve">N</w:t>
            </w:r>
          </w:p>
        </w:tc>
        <w:tc>
          <w:tcPr>
            <w:tcW w:w="850" w:type="dxa"/>
          </w:tcPr>
          <w:p>
            <w:pPr>
              <w:pStyle w:val="Compact"/>
              <w:spacing w:after="40"/>
              <w:jc w:val="left"/>
            </w:pPr>
            <w:r>
              <w:rPr>
                <w:bCs/>
                <w:b/>
                <w:sz w:val="18"/>
              </w:rPr>
              <w:t xml:space="preserve">N</w:t>
            </w:r>
          </w:p>
        </w:tc>
        <w:tc>
          <w:tcPr>
            <w:tcW w:w="1061" w:type="dxa"/>
          </w:tcPr>
          <w:p>
            <w:pPr>
              <w:pStyle w:val="Compact"/>
              <w:spacing w:after="40"/>
              <w:jc w:val="left"/>
            </w:pPr>
            <w:r>
              <w:rPr>
                <w:sz w:val="18"/>
              </w:rPr>
              <w:t xml:space="preserve">Y</w:t>
            </w:r>
          </w:p>
        </w:tc>
        <w:tc>
          <w:tcPr>
            <w:tcW w:w="1305" w:type="dxa"/>
          </w:tcPr>
          <w:p>
            <w:pPr>
              <w:pStyle w:val="Compact"/>
              <w:spacing w:after="40"/>
              <w:jc w:val="left"/>
            </w:pPr>
            <w:r>
              <w:rPr>
                <w:sz w:val="18"/>
              </w:rPr>
              <w:t xml:space="preserve">N</w:t>
            </w:r>
          </w:p>
        </w:tc>
      </w:tr>
      <w:tr>
        <w:tc>
          <w:tcPr>
            <w:tcW w:w="1250" w:type="dxa"/>
          </w:tcPr>
          <w:p>
            <w:pPr>
              <w:pStyle w:val="Compact"/>
              <w:spacing w:after="40"/>
              <w:jc w:val="left"/>
            </w:pPr>
            <w:r>
              <w:rPr>
                <w:sz w:val="18"/>
              </w:rPr>
              <w:t xml:space="preserve">Investment module (7H)</w:t>
            </w:r>
          </w:p>
        </w:tc>
        <w:tc>
          <w:tcPr>
            <w:tcW w:w="1601" w:type="dxa"/>
          </w:tcPr>
          <w:p>
            <w:pPr>
              <w:pStyle w:val="Compact"/>
              <w:spacing w:after="40"/>
              <w:jc w:val="left"/>
            </w:pPr>
            <w:r>
              <w:rPr>
                <w:sz w:val="18"/>
              </w:rPr>
              <w:t xml:space="preserve">Y</w:t>
            </w:r>
          </w:p>
        </w:tc>
        <w:tc>
          <w:tcPr>
            <w:tcW w:w="1173" w:type="dxa"/>
          </w:tcPr>
          <w:p>
            <w:pPr>
              <w:pStyle w:val="Compact"/>
              <w:spacing w:after="40"/>
              <w:jc w:val="left"/>
            </w:pPr>
            <w:r>
              <w:rPr>
                <w:sz w:val="18"/>
              </w:rPr>
              <w:t xml:space="preserve">per Act [VERIFY]</w:t>
            </w:r>
          </w:p>
        </w:tc>
        <w:tc>
          <w:tcPr>
            <w:tcW w:w="1199" w:type="dxa"/>
          </w:tcPr>
          <w:p>
            <w:pPr>
              <w:pStyle w:val="Compact"/>
              <w:spacing w:after="40"/>
              <w:jc w:val="left"/>
            </w:pPr>
            <w:r>
              <w:rPr>
                <w:sz w:val="18"/>
              </w:rPr>
              <w:t xml:space="preserve">monitoring only</w:t>
            </w:r>
          </w:p>
        </w:tc>
        <w:tc>
          <w:tcPr>
            <w:tcW w:w="1199" w:type="dxa"/>
          </w:tcPr>
          <w:p>
            <w:pPr>
              <w:pStyle w:val="Compact"/>
              <w:spacing w:after="40"/>
              <w:jc w:val="left"/>
            </w:pPr>
            <w:r>
              <w:rPr>
                <w:sz w:val="18"/>
              </w:rPr>
              <w:t xml:space="preserve">monitoring only</w:t>
            </w:r>
          </w:p>
        </w:tc>
        <w:tc>
          <w:tcPr>
            <w:tcW w:w="850" w:type="dxa"/>
          </w:tcPr>
          <w:p>
            <w:pPr>
              <w:pStyle w:val="Compact"/>
              <w:spacing w:after="40"/>
              <w:jc w:val="left"/>
            </w:pPr>
            <w:r>
              <w:rPr>
                <w:sz w:val="18"/>
              </w:rPr>
              <w:t xml:space="preserve">Y</w:t>
            </w:r>
          </w:p>
        </w:tc>
        <w:tc>
          <w:tcPr>
            <w:tcW w:w="1061" w:type="dxa"/>
          </w:tcPr>
          <w:p>
            <w:pPr>
              <w:pStyle w:val="Compact"/>
              <w:spacing w:after="40"/>
              <w:jc w:val="left"/>
            </w:pPr>
            <w:r>
              <w:rPr>
                <w:sz w:val="18"/>
              </w:rPr>
              <w:t xml:space="preserve">surplus funds only</w:t>
            </w:r>
          </w:p>
        </w:tc>
        <w:tc>
          <w:tcPr>
            <w:tcW w:w="1305" w:type="dxa"/>
          </w:tcPr>
          <w:p>
            <w:pPr>
              <w:pStyle w:val="Compact"/>
              <w:spacing w:after="40"/>
              <w:jc w:val="left"/>
            </w:pPr>
            <w:r>
              <w:rPr>
                <w:sz w:val="18"/>
              </w:rPr>
              <w:t xml:space="preserve">Y (USD)</w:t>
            </w:r>
          </w:p>
        </w:tc>
      </w:tr>
    </w:tbl>
    <w:p>
      <w:pPr>
        <w:pStyle w:val="BodyText"/>
      </w:pPr>
      <w:r>
        <w:t xml:space="preserve">Bold</w:t>
      </w:r>
      <w:r>
        <w:t xml:space="preserve"> </w:t>
      </w:r>
      <w:r>
        <w:rPr>
          <w:bCs/>
          <w:b/>
        </w:rPr>
        <w:t xml:space="preserve">N</w:t>
      </w:r>
      <w:r>
        <w:t xml:space="preserve"> </w:t>
      </w:r>
      <w:r>
        <w:t xml:space="preserve">cells are guard-rails (IP1.6), not configuration.</w:t>
      </w:r>
    </w:p>
    <w:bookmarkEnd w:id="529"/>
    <w:bookmarkStart w:id="530" w:name="ip1.5-vocabulary-packs"/>
    <w:p>
      <w:pPr>
        <w:pStyle w:val="Heading3"/>
      </w:pPr>
      <w:r>
        <w:t xml:space="preserve">IP1.5 Vocabulary packs</w:t>
      </w:r>
    </w:p>
    <w:p>
      <w:pPr>
        <w:pStyle w:val="FirstParagraph"/>
      </w:pPr>
      <w:r>
        <w:t xml:space="preserve">Labels only; statutory documents, returns and CIC files keep statutory field names.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73"/>
        <w:gridCol w:w="1143"/>
        <w:gridCol w:w="1839"/>
        <w:gridCol w:w="1440"/>
        <w:gridCol w:w="1663"/>
        <w:gridCol w:w="1176"/>
        <w:gridCol w:w="1304"/>
      </w:tblGrid>
      <w:tr>
        <w:trPr>
          <w:tblHeader w:val="true"/>
          <w:tblHeader w:val="true"/>
        </w:trPr>
        <w:tc>
          <w:tcPr>
            <w:tcW w:w="1073" w:type="dxa"/>
            <w:shd w:val="clear" w:color="auto" w:fill="1F3A5F"/>
          </w:tcPr>
          <w:p>
            <w:pPr>
              <w:pStyle w:val="Compact"/>
              <w:spacing w:after="40"/>
              <w:jc w:val="left"/>
            </w:pPr>
            <w:r>
              <w:rPr>
                <w:b/>
                <w:color w:val="FFFFFF"/>
                <w:sz w:val="18"/>
              </w:rPr>
              <w:t xml:space="preserve">Concept</w:t>
            </w:r>
          </w:p>
        </w:tc>
        <w:tc>
          <w:tcPr>
            <w:tcW w:w="1143" w:type="dxa"/>
            <w:shd w:val="clear" w:color="auto" w:fill="1F3A5F"/>
          </w:tcPr>
          <w:p>
            <w:pPr>
              <w:pStyle w:val="Compact"/>
              <w:spacing w:after="40"/>
              <w:jc w:val="left"/>
            </w:pPr>
            <w:r>
              <w:rPr>
                <w:rStyle w:val="VerbatimChar"/>
                <w:b/>
                <w:color w:val="FFFFFF"/>
                <w:sz w:val="18"/>
              </w:rPr>
              <w:t xml:space="preserve">NBFC</w:t>
            </w:r>
          </w:p>
        </w:tc>
        <w:tc>
          <w:tcPr>
            <w:tcW w:w="1839" w:type="dxa"/>
            <w:shd w:val="clear" w:color="auto" w:fill="1F3A5F"/>
          </w:tcPr>
          <w:p>
            <w:pPr>
              <w:pStyle w:val="Compact"/>
              <w:spacing w:after="40"/>
              <w:jc w:val="left"/>
            </w:pPr>
            <w:r>
              <w:rPr>
                <w:rStyle w:val="VerbatimChar"/>
                <w:b/>
                <w:color w:val="FFFFFF"/>
                <w:sz w:val="18"/>
              </w:rPr>
              <w:t xml:space="preserve">COOP</w:t>
            </w:r>
          </w:p>
        </w:tc>
        <w:tc>
          <w:tcPr>
            <w:tcW w:w="1440" w:type="dxa"/>
            <w:shd w:val="clear" w:color="auto" w:fill="1F3A5F"/>
          </w:tcPr>
          <w:p>
            <w:pPr>
              <w:pStyle w:val="Compact"/>
              <w:spacing w:after="40"/>
              <w:jc w:val="left"/>
            </w:pPr>
            <w:r>
              <w:rPr>
                <w:rStyle w:val="VerbatimChar"/>
                <w:b/>
                <w:color w:val="FFFFFF"/>
                <w:sz w:val="18"/>
              </w:rPr>
              <w:t xml:space="preserve">COOPBANK</w:t>
            </w:r>
          </w:p>
        </w:tc>
        <w:tc>
          <w:tcPr>
            <w:tcW w:w="1663" w:type="dxa"/>
            <w:shd w:val="clear" w:color="auto" w:fill="1F3A5F"/>
          </w:tcPr>
          <w:p>
            <w:pPr>
              <w:pStyle w:val="Compact"/>
              <w:spacing w:after="40"/>
              <w:jc w:val="left"/>
            </w:pPr>
            <w:r>
              <w:rPr>
                <w:b/>
                <w:color w:val="FFFFFF"/>
                <w:sz w:val="18"/>
              </w:rPr>
              <w:t xml:space="preserve">MFI overlay</w:t>
            </w:r>
          </w:p>
        </w:tc>
        <w:tc>
          <w:tcPr>
            <w:tcW w:w="1176" w:type="dxa"/>
            <w:shd w:val="clear" w:color="auto" w:fill="1F3A5F"/>
          </w:tcPr>
          <w:p>
            <w:pPr>
              <w:pStyle w:val="Compact"/>
              <w:spacing w:after="40"/>
              <w:jc w:val="left"/>
            </w:pPr>
            <w:r>
              <w:rPr>
                <w:rStyle w:val="VerbatimChar"/>
                <w:b/>
                <w:color w:val="FFFFFF"/>
                <w:sz w:val="18"/>
              </w:rPr>
              <w:t xml:space="preserve">ARC</w:t>
            </w:r>
          </w:p>
        </w:tc>
        <w:tc>
          <w:tcPr>
            <w:tcW w:w="1304" w:type="dxa"/>
            <w:shd w:val="clear" w:color="auto" w:fill="1F3A5F"/>
          </w:tcPr>
          <w:p>
            <w:pPr>
              <w:pStyle w:val="Compact"/>
              <w:spacing w:after="40"/>
              <w:jc w:val="left"/>
            </w:pPr>
            <w:r>
              <w:rPr>
                <w:rStyle w:val="VerbatimChar"/>
                <w:b/>
                <w:color w:val="FFFFFF"/>
                <w:sz w:val="18"/>
              </w:rPr>
              <w:t xml:space="preserve">IFSC</w:t>
            </w:r>
          </w:p>
        </w:tc>
      </w:tr>
      <w:tr>
        <w:tc>
          <w:tcPr>
            <w:tcW w:w="1073" w:type="dxa"/>
          </w:tcPr>
          <w:p>
            <w:pPr>
              <w:pStyle w:val="Compact"/>
              <w:spacing w:after="40"/>
              <w:jc w:val="left"/>
            </w:pPr>
            <w:r>
              <w:rPr>
                <w:sz w:val="18"/>
              </w:rPr>
              <w:t xml:space="preserve">party</w:t>
            </w:r>
          </w:p>
        </w:tc>
        <w:tc>
          <w:tcPr>
            <w:tcW w:w="1143" w:type="dxa"/>
          </w:tcPr>
          <w:p>
            <w:pPr>
              <w:pStyle w:val="Compact"/>
              <w:spacing w:after="40"/>
              <w:jc w:val="left"/>
            </w:pPr>
            <w:r>
              <w:rPr>
                <w:sz w:val="18"/>
              </w:rPr>
              <w:t xml:space="preserve">Customer</w:t>
            </w:r>
          </w:p>
        </w:tc>
        <w:tc>
          <w:tcPr>
            <w:tcW w:w="1839" w:type="dxa"/>
          </w:tcPr>
          <w:p>
            <w:pPr>
              <w:pStyle w:val="Compact"/>
              <w:spacing w:after="40"/>
              <w:jc w:val="left"/>
            </w:pPr>
            <w:r>
              <w:rPr>
                <w:sz w:val="18"/>
              </w:rPr>
              <w:t xml:space="preserve">Member</w:t>
            </w:r>
          </w:p>
        </w:tc>
        <w:tc>
          <w:tcPr>
            <w:tcW w:w="1440" w:type="dxa"/>
          </w:tcPr>
          <w:p>
            <w:pPr>
              <w:pStyle w:val="Compact"/>
              <w:spacing w:after="40"/>
              <w:jc w:val="left"/>
            </w:pPr>
            <w:r>
              <w:rPr>
                <w:sz w:val="18"/>
              </w:rPr>
              <w:t xml:space="preserve">Customer or member</w:t>
            </w:r>
          </w:p>
        </w:tc>
        <w:tc>
          <w:tcPr>
            <w:tcW w:w="1663" w:type="dxa"/>
          </w:tcPr>
          <w:p>
            <w:pPr>
              <w:pStyle w:val="Compact"/>
              <w:spacing w:after="40"/>
              <w:jc w:val="left"/>
            </w:pPr>
            <w:r>
              <w:rPr>
                <w:sz w:val="18"/>
              </w:rPr>
              <w:t xml:space="preserve">Member; group; centre</w:t>
            </w:r>
          </w:p>
        </w:tc>
        <w:tc>
          <w:tcPr>
            <w:tcW w:w="1176" w:type="dxa"/>
          </w:tcPr>
          <w:p>
            <w:pPr>
              <w:pStyle w:val="Compact"/>
              <w:spacing w:after="40"/>
              <w:jc w:val="left"/>
            </w:pPr>
            <w:r>
              <w:rPr>
                <w:sz w:val="18"/>
              </w:rPr>
              <w:t xml:space="preserve">Obligor; SR holder</w:t>
            </w:r>
          </w:p>
        </w:tc>
        <w:tc>
          <w:tcPr>
            <w:tcW w:w="1304" w:type="dxa"/>
          </w:tcPr>
          <w:p>
            <w:pPr>
              <w:pStyle w:val="Compact"/>
              <w:spacing w:after="40"/>
              <w:jc w:val="left"/>
            </w:pPr>
            <w:r>
              <w:rPr>
                <w:sz w:val="18"/>
              </w:rPr>
              <w:t xml:space="preserve">Client</w:t>
            </w:r>
          </w:p>
        </w:tc>
      </w:tr>
      <w:tr>
        <w:tc>
          <w:tcPr>
            <w:tcW w:w="1073" w:type="dxa"/>
          </w:tcPr>
          <w:p>
            <w:pPr>
              <w:pStyle w:val="Compact"/>
              <w:spacing w:after="40"/>
              <w:jc w:val="left"/>
            </w:pPr>
            <w:r>
              <w:rPr>
                <w:sz w:val="18"/>
              </w:rPr>
              <w:t xml:space="preserve">owners’ meeting</w:t>
            </w:r>
          </w:p>
        </w:tc>
        <w:tc>
          <w:tcPr>
            <w:tcW w:w="1143" w:type="dxa"/>
          </w:tcPr>
          <w:p>
            <w:pPr>
              <w:pStyle w:val="Compact"/>
              <w:spacing w:after="40"/>
              <w:jc w:val="left"/>
            </w:pPr>
            <w:r>
              <w:rPr>
                <w:sz w:val="18"/>
              </w:rPr>
              <w:t xml:space="preserve">General meeting</w:t>
            </w:r>
          </w:p>
        </w:tc>
        <w:tc>
          <w:tcPr>
            <w:tcW w:w="1839" w:type="dxa"/>
          </w:tcPr>
          <w:p>
            <w:pPr>
              <w:pStyle w:val="Compact"/>
              <w:spacing w:after="40"/>
              <w:jc w:val="left"/>
            </w:pPr>
            <w:r>
              <w:rPr>
                <w:sz w:val="18"/>
              </w:rPr>
              <w:t xml:space="preserve">General Body (AGM, SGM)</w:t>
            </w:r>
          </w:p>
        </w:tc>
        <w:tc>
          <w:tcPr>
            <w:tcW w:w="1440" w:type="dxa"/>
          </w:tcPr>
          <w:p>
            <w:pPr>
              <w:pStyle w:val="Compact"/>
              <w:spacing w:after="40"/>
              <w:jc w:val="left"/>
            </w:pPr>
            <w:r>
              <w:rPr>
                <w:sz w:val="18"/>
              </w:rPr>
              <w:t xml:space="preserve">General Body</w:t>
            </w:r>
          </w:p>
        </w:tc>
        <w:tc>
          <w:tcPr>
            <w:tcW w:w="1663" w:type="dxa"/>
          </w:tcPr>
          <w:p>
            <w:pPr>
              <w:pStyle w:val="Compact"/>
              <w:spacing w:after="40"/>
              <w:jc w:val="left"/>
            </w:pPr>
            <w:r>
              <w:rPr>
                <w:sz w:val="18"/>
              </w:rPr>
              <w:t xml:space="preserve">—</w:t>
            </w:r>
          </w:p>
        </w:tc>
        <w:tc>
          <w:tcPr>
            <w:tcW w:w="1176" w:type="dxa"/>
          </w:tcPr>
          <w:p>
            <w:pPr>
              <w:pStyle w:val="Compact"/>
              <w:spacing w:after="40"/>
              <w:jc w:val="left"/>
            </w:pPr>
            <w:r>
              <w:rPr>
                <w:sz w:val="18"/>
              </w:rPr>
              <w:t xml:space="preserve">General meeting</w:t>
            </w:r>
          </w:p>
        </w:tc>
        <w:tc>
          <w:tcPr>
            <w:tcW w:w="1304" w:type="dxa"/>
          </w:tcPr>
          <w:p>
            <w:pPr>
              <w:pStyle w:val="Compact"/>
              <w:spacing w:after="40"/>
              <w:jc w:val="left"/>
            </w:pPr>
            <w:r>
              <w:rPr>
                <w:sz w:val="18"/>
              </w:rPr>
              <w:t xml:space="preserve">—</w:t>
            </w:r>
          </w:p>
        </w:tc>
      </w:tr>
      <w:tr>
        <w:tc>
          <w:tcPr>
            <w:tcW w:w="1073" w:type="dxa"/>
          </w:tcPr>
          <w:p>
            <w:pPr>
              <w:pStyle w:val="Compact"/>
              <w:spacing w:after="40"/>
              <w:jc w:val="left"/>
            </w:pPr>
            <w:r>
              <w:rPr>
                <w:sz w:val="18"/>
              </w:rPr>
              <w:t xml:space="preserve">constitution</w:t>
            </w:r>
          </w:p>
        </w:tc>
        <w:tc>
          <w:tcPr>
            <w:tcW w:w="1143" w:type="dxa"/>
          </w:tcPr>
          <w:p>
            <w:pPr>
              <w:pStyle w:val="Compact"/>
              <w:spacing w:after="40"/>
              <w:jc w:val="left"/>
            </w:pPr>
            <w:r>
              <w:rPr>
                <w:sz w:val="18"/>
              </w:rPr>
              <w:t xml:space="preserve">Board policy</w:t>
            </w:r>
          </w:p>
        </w:tc>
        <w:tc>
          <w:tcPr>
            <w:tcW w:w="1839" w:type="dxa"/>
          </w:tcPr>
          <w:p>
            <w:pPr>
              <w:pStyle w:val="Compact"/>
              <w:spacing w:after="40"/>
              <w:jc w:val="left"/>
            </w:pPr>
            <w:r>
              <w:rPr>
                <w:sz w:val="18"/>
              </w:rPr>
              <w:t xml:space="preserve">Bye-laws</w:t>
            </w:r>
          </w:p>
        </w:tc>
        <w:tc>
          <w:tcPr>
            <w:tcW w:w="1440" w:type="dxa"/>
          </w:tcPr>
          <w:p>
            <w:pPr>
              <w:pStyle w:val="Compact"/>
              <w:spacing w:after="40"/>
              <w:jc w:val="left"/>
            </w:pPr>
            <w:r>
              <w:rPr>
                <w:sz w:val="18"/>
              </w:rPr>
              <w:t xml:space="preserve">Bye-laws and RBI Directions</w:t>
            </w:r>
          </w:p>
        </w:tc>
        <w:tc>
          <w:tcPr>
            <w:tcW w:w="1663" w:type="dxa"/>
          </w:tcPr>
          <w:p>
            <w:pPr>
              <w:pStyle w:val="Compact"/>
              <w:spacing w:after="40"/>
              <w:jc w:val="left"/>
            </w:pPr>
            <w:r>
              <w:rPr>
                <w:sz w:val="18"/>
              </w:rPr>
              <w:t xml:space="preserve">Board policy and SRO code</w:t>
            </w:r>
          </w:p>
        </w:tc>
        <w:tc>
          <w:tcPr>
            <w:tcW w:w="1176" w:type="dxa"/>
          </w:tcPr>
          <w:p>
            <w:pPr>
              <w:pStyle w:val="Compact"/>
              <w:spacing w:after="40"/>
              <w:jc w:val="left"/>
            </w:pPr>
            <w:r>
              <w:rPr>
                <w:sz w:val="18"/>
              </w:rPr>
              <w:t xml:space="preserve">Board policy</w:t>
            </w:r>
          </w:p>
        </w:tc>
        <w:tc>
          <w:tcPr>
            <w:tcW w:w="1304" w:type="dxa"/>
          </w:tcPr>
          <w:p>
            <w:pPr>
              <w:pStyle w:val="Compact"/>
              <w:spacing w:after="40"/>
              <w:jc w:val="left"/>
            </w:pPr>
            <w:r>
              <w:rPr>
                <w:sz w:val="18"/>
              </w:rPr>
              <w:t xml:space="preserve">Regulations and policy</w:t>
            </w:r>
          </w:p>
        </w:tc>
      </w:tr>
      <w:tr>
        <w:tc>
          <w:tcPr>
            <w:tcW w:w="1073" w:type="dxa"/>
          </w:tcPr>
          <w:p>
            <w:pPr>
              <w:pStyle w:val="Compact"/>
              <w:spacing w:after="40"/>
              <w:jc w:val="left"/>
            </w:pPr>
            <w:r>
              <w:rPr>
                <w:sz w:val="18"/>
              </w:rPr>
              <w:t xml:space="preserve">supervisor</w:t>
            </w:r>
          </w:p>
        </w:tc>
        <w:tc>
          <w:tcPr>
            <w:tcW w:w="1143" w:type="dxa"/>
          </w:tcPr>
          <w:p>
            <w:pPr>
              <w:pStyle w:val="Compact"/>
              <w:spacing w:after="40"/>
              <w:jc w:val="left"/>
            </w:pPr>
            <w:r>
              <w:rPr>
                <w:sz w:val="18"/>
              </w:rPr>
              <w:t xml:space="preserve">RBI</w:t>
            </w:r>
          </w:p>
        </w:tc>
        <w:tc>
          <w:tcPr>
            <w:tcW w:w="1839" w:type="dxa"/>
          </w:tcPr>
          <w:p>
            <w:pPr>
              <w:pStyle w:val="Compact"/>
              <w:spacing w:after="40"/>
              <w:jc w:val="left"/>
            </w:pPr>
            <w:r>
              <w:rPr>
                <w:sz w:val="18"/>
              </w:rPr>
              <w:t xml:space="preserve">Registrar or Central Registrar</w:t>
            </w:r>
          </w:p>
        </w:tc>
        <w:tc>
          <w:tcPr>
            <w:tcW w:w="1440" w:type="dxa"/>
          </w:tcPr>
          <w:p>
            <w:pPr>
              <w:pStyle w:val="Compact"/>
              <w:spacing w:after="40"/>
              <w:jc w:val="left"/>
            </w:pPr>
            <w:r>
              <w:rPr>
                <w:sz w:val="18"/>
              </w:rPr>
              <w:t xml:space="preserve">RBI (and NABARD)</w:t>
            </w:r>
          </w:p>
        </w:tc>
        <w:tc>
          <w:tcPr>
            <w:tcW w:w="1663" w:type="dxa"/>
          </w:tcPr>
          <w:p>
            <w:pPr>
              <w:pStyle w:val="Compact"/>
              <w:spacing w:after="40"/>
              <w:jc w:val="left"/>
            </w:pPr>
            <w:r>
              <w:rPr>
                <w:sz w:val="18"/>
              </w:rPr>
              <w:t xml:space="preserve">RBI and SRO</w:t>
            </w:r>
          </w:p>
        </w:tc>
        <w:tc>
          <w:tcPr>
            <w:tcW w:w="1176" w:type="dxa"/>
          </w:tcPr>
          <w:p>
            <w:pPr>
              <w:pStyle w:val="Compact"/>
              <w:spacing w:after="40"/>
              <w:jc w:val="left"/>
            </w:pPr>
            <w:r>
              <w:rPr>
                <w:sz w:val="18"/>
              </w:rPr>
              <w:t xml:space="preserve">RBI</w:t>
            </w:r>
          </w:p>
        </w:tc>
        <w:tc>
          <w:tcPr>
            <w:tcW w:w="1304" w:type="dxa"/>
          </w:tcPr>
          <w:p>
            <w:pPr>
              <w:pStyle w:val="Compact"/>
              <w:spacing w:after="40"/>
              <w:jc w:val="left"/>
            </w:pPr>
            <w:r>
              <w:rPr>
                <w:sz w:val="18"/>
              </w:rPr>
              <w:t xml:space="preserve">IFSCA</w:t>
            </w:r>
          </w:p>
        </w:tc>
      </w:tr>
      <w:tr>
        <w:tc>
          <w:tcPr>
            <w:tcW w:w="1073" w:type="dxa"/>
          </w:tcPr>
          <w:p>
            <w:pPr>
              <w:pStyle w:val="Compact"/>
              <w:spacing w:after="40"/>
              <w:jc w:val="left"/>
            </w:pPr>
            <w:r>
              <w:rPr>
                <w:sz w:val="18"/>
              </w:rPr>
              <w:t xml:space="preserve">disclosure</w:t>
            </w:r>
          </w:p>
        </w:tc>
        <w:tc>
          <w:tcPr>
            <w:tcW w:w="1143" w:type="dxa"/>
          </w:tcPr>
          <w:p>
            <w:pPr>
              <w:pStyle w:val="Compact"/>
              <w:spacing w:after="40"/>
              <w:jc w:val="left"/>
            </w:pPr>
            <w:r>
              <w:rPr>
                <w:sz w:val="18"/>
              </w:rPr>
              <w:t xml:space="preserve">KFS</w:t>
            </w:r>
          </w:p>
        </w:tc>
        <w:tc>
          <w:tcPr>
            <w:tcW w:w="1839" w:type="dxa"/>
          </w:tcPr>
          <w:p>
            <w:pPr>
              <w:pStyle w:val="Compact"/>
              <w:spacing w:after="40"/>
              <w:jc w:val="left"/>
            </w:pPr>
            <w:r>
              <w:rPr>
                <w:sz w:val="18"/>
              </w:rPr>
              <w:t xml:space="preserve">Loan disclosure sheet (KFS-equivalent) [REC]</w:t>
            </w:r>
          </w:p>
        </w:tc>
        <w:tc>
          <w:tcPr>
            <w:tcW w:w="1440" w:type="dxa"/>
          </w:tcPr>
          <w:p>
            <w:pPr>
              <w:pStyle w:val="Compact"/>
              <w:spacing w:after="40"/>
              <w:jc w:val="left"/>
            </w:pPr>
            <w:r>
              <w:rPr>
                <w:sz w:val="18"/>
              </w:rPr>
              <w:t xml:space="preserve">KFS</w:t>
            </w:r>
          </w:p>
        </w:tc>
        <w:tc>
          <w:tcPr>
            <w:tcW w:w="1663" w:type="dxa"/>
          </w:tcPr>
          <w:p>
            <w:pPr>
              <w:pStyle w:val="Compact"/>
              <w:spacing w:after="40"/>
              <w:jc w:val="left"/>
            </w:pPr>
            <w:r>
              <w:rPr>
                <w:sz w:val="18"/>
              </w:rPr>
              <w:t xml:space="preserve">KFS and loan card</w:t>
            </w:r>
          </w:p>
        </w:tc>
        <w:tc>
          <w:tcPr>
            <w:tcW w:w="1176" w:type="dxa"/>
          </w:tcPr>
          <w:p>
            <w:pPr>
              <w:pStyle w:val="Compact"/>
              <w:spacing w:after="40"/>
              <w:jc w:val="left"/>
            </w:pPr>
            <w:r>
              <w:rPr>
                <w:sz w:val="18"/>
              </w:rPr>
              <w:t xml:space="preserve">Term sheet</w:t>
            </w:r>
          </w:p>
        </w:tc>
        <w:tc>
          <w:tcPr>
            <w:tcW w:w="1304" w:type="dxa"/>
          </w:tcPr>
          <w:p>
            <w:pPr>
              <w:pStyle w:val="Compact"/>
              <w:spacing w:after="40"/>
              <w:jc w:val="left"/>
            </w:pPr>
            <w:r>
              <w:rPr>
                <w:sz w:val="18"/>
              </w:rPr>
              <w:t xml:space="preserve">Term sheet</w:t>
            </w:r>
          </w:p>
        </w:tc>
      </w:tr>
      <w:tr>
        <w:tc>
          <w:tcPr>
            <w:tcW w:w="1073" w:type="dxa"/>
          </w:tcPr>
          <w:p>
            <w:pPr>
              <w:pStyle w:val="Compact"/>
              <w:spacing w:after="40"/>
              <w:jc w:val="left"/>
            </w:pPr>
            <w:r>
              <w:rPr>
                <w:sz w:val="18"/>
              </w:rPr>
              <w:t xml:space="preserve">escalation</w:t>
            </w:r>
          </w:p>
        </w:tc>
        <w:tc>
          <w:tcPr>
            <w:tcW w:w="1143" w:type="dxa"/>
          </w:tcPr>
          <w:p>
            <w:pPr>
              <w:pStyle w:val="Compact"/>
              <w:spacing w:after="40"/>
              <w:jc w:val="left"/>
            </w:pPr>
            <w:r>
              <w:rPr>
                <w:sz w:val="18"/>
              </w:rPr>
              <w:t xml:space="preserve">IO, RBI Ombudsman</w:t>
            </w:r>
          </w:p>
        </w:tc>
        <w:tc>
          <w:tcPr>
            <w:tcW w:w="1839" w:type="dxa"/>
          </w:tcPr>
          <w:p>
            <w:pPr>
              <w:pStyle w:val="Compact"/>
              <w:spacing w:after="40"/>
              <w:jc w:val="left"/>
            </w:pPr>
            <w:r>
              <w:rPr>
                <w:sz w:val="18"/>
              </w:rPr>
              <w:t xml:space="preserve">Registrar; Co-operative Ombudsman (MSCS)</w:t>
            </w:r>
          </w:p>
        </w:tc>
        <w:tc>
          <w:tcPr>
            <w:tcW w:w="1440" w:type="dxa"/>
          </w:tcPr>
          <w:p>
            <w:pPr>
              <w:pStyle w:val="Compact"/>
              <w:spacing w:after="40"/>
              <w:jc w:val="left"/>
            </w:pPr>
            <w:r>
              <w:rPr>
                <w:sz w:val="18"/>
              </w:rPr>
              <w:t xml:space="preserve">RBI Ombudsman</w:t>
            </w:r>
          </w:p>
        </w:tc>
        <w:tc>
          <w:tcPr>
            <w:tcW w:w="1663" w:type="dxa"/>
          </w:tcPr>
          <w:p>
            <w:pPr>
              <w:pStyle w:val="Compact"/>
              <w:spacing w:after="40"/>
              <w:jc w:val="left"/>
            </w:pPr>
            <w:r>
              <w:rPr>
                <w:sz w:val="18"/>
              </w:rPr>
              <w:t xml:space="preserve">RE nodal officer, SRO, RBI Ombudsman</w:t>
            </w:r>
          </w:p>
        </w:tc>
        <w:tc>
          <w:tcPr>
            <w:tcW w:w="1176" w:type="dxa"/>
          </w:tcPr>
          <w:p>
            <w:pPr>
              <w:pStyle w:val="Compact"/>
              <w:spacing w:after="40"/>
              <w:jc w:val="left"/>
            </w:pPr>
            <w:r>
              <w:rPr>
                <w:sz w:val="18"/>
              </w:rPr>
              <w:t xml:space="preserve">RBI</w:t>
            </w:r>
          </w:p>
        </w:tc>
        <w:tc>
          <w:tcPr>
            <w:tcW w:w="1304" w:type="dxa"/>
          </w:tcPr>
          <w:p>
            <w:pPr>
              <w:pStyle w:val="Compact"/>
              <w:spacing w:after="40"/>
              <w:jc w:val="left"/>
            </w:pPr>
            <w:r>
              <w:rPr>
                <w:sz w:val="18"/>
              </w:rPr>
              <w:t xml:space="preserve">IFSCA</w:t>
            </w:r>
          </w:p>
        </w:tc>
      </w:tr>
    </w:tbl>
    <w:bookmarkEnd w:id="530"/>
    <w:bookmarkStart w:id="531" w:name="ip1.6-guard-rail-registry"/>
    <w:p>
      <w:pPr>
        <w:pStyle w:val="Heading3"/>
      </w:pPr>
      <w:r>
        <w:t xml:space="preserve">IP1.6 Guard-rail registry</w:t>
      </w:r>
    </w:p>
    <w:p>
      <w:pPr>
        <w:pStyle w:val="FirstParagraph"/>
      </w:pPr>
      <w:r>
        <w:t xml:space="preserve">Fixed error codes; no tenant role can disable them.</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69"/>
        <w:gridCol w:w="4532"/>
        <w:gridCol w:w="1715"/>
        <w:gridCol w:w="2522"/>
      </w:tblGrid>
      <w:tr>
        <w:trPr>
          <w:tblHeader w:val="true"/>
          <w:tblHeader w:val="true"/>
        </w:trPr>
        <w:tc>
          <w:tcPr>
            <w:tcW w:w="869" w:type="dxa"/>
            <w:shd w:val="clear" w:color="auto" w:fill="1F3A5F"/>
          </w:tcPr>
          <w:p>
            <w:pPr>
              <w:pStyle w:val="Compact"/>
              <w:spacing w:after="40"/>
              <w:jc w:val="left"/>
            </w:pPr>
            <w:r>
              <w:rPr>
                <w:b/>
                <w:color w:val="FFFFFF"/>
                <w:sz w:val="18"/>
              </w:rPr>
              <w:t xml:space="preserve">ID</w:t>
            </w:r>
          </w:p>
        </w:tc>
        <w:tc>
          <w:tcPr>
            <w:tcW w:w="4532" w:type="dxa"/>
            <w:shd w:val="clear" w:color="auto" w:fill="1F3A5F"/>
          </w:tcPr>
          <w:p>
            <w:pPr>
              <w:pStyle w:val="Compact"/>
              <w:spacing w:after="40"/>
              <w:jc w:val="left"/>
            </w:pPr>
            <w:r>
              <w:rPr>
                <w:b/>
                <w:color w:val="FFFFFF"/>
                <w:sz w:val="18"/>
              </w:rPr>
              <w:t xml:space="preserve">Rule</w:t>
            </w:r>
          </w:p>
        </w:tc>
        <w:tc>
          <w:tcPr>
            <w:tcW w:w="1715" w:type="dxa"/>
            <w:shd w:val="clear" w:color="auto" w:fill="1F3A5F"/>
          </w:tcPr>
          <w:p>
            <w:pPr>
              <w:pStyle w:val="Compact"/>
              <w:spacing w:after="40"/>
              <w:jc w:val="left"/>
            </w:pPr>
            <w:r>
              <w:rPr>
                <w:b/>
                <w:color w:val="FFFFFF"/>
                <w:sz w:val="18"/>
              </w:rPr>
              <w:t xml:space="preserve">Evaluated at</w:t>
            </w:r>
          </w:p>
        </w:tc>
        <w:tc>
          <w:tcPr>
            <w:tcW w:w="2522" w:type="dxa"/>
            <w:shd w:val="clear" w:color="auto" w:fill="1F3A5F"/>
          </w:tcPr>
          <w:p>
            <w:pPr>
              <w:pStyle w:val="Compact"/>
              <w:spacing w:after="40"/>
              <w:jc w:val="left"/>
            </w:pPr>
            <w:r>
              <w:rPr>
                <w:b/>
                <w:color w:val="FFFFFF"/>
                <w:sz w:val="18"/>
              </w:rPr>
              <w:t xml:space="preserve">Basis</w:t>
            </w:r>
          </w:p>
        </w:tc>
      </w:tr>
      <w:tr>
        <w:tc>
          <w:tcPr>
            <w:tcW w:w="869" w:type="dxa"/>
          </w:tcPr>
          <w:p>
            <w:pPr>
              <w:pStyle w:val="Compact"/>
              <w:spacing w:after="40"/>
              <w:jc w:val="left"/>
            </w:pPr>
            <w:r>
              <w:rPr>
                <w:sz w:val="18"/>
              </w:rPr>
              <w:t xml:space="preserve">GR-7G-01</w:t>
            </w:r>
          </w:p>
        </w:tc>
        <w:tc>
          <w:tcPr>
            <w:tcW w:w="4532" w:type="dxa"/>
          </w:tcPr>
          <w:p>
            <w:pPr>
              <w:pStyle w:val="Compact"/>
              <w:spacing w:after="40"/>
              <w:jc w:val="left"/>
            </w:pPr>
            <w:r>
              <w:rPr>
                <w:sz w:val="18"/>
              </w:rPr>
              <w:t xml:space="preserve">No deposit from anyone other than an active voting member</w:t>
            </w:r>
          </w:p>
        </w:tc>
        <w:tc>
          <w:tcPr>
            <w:tcW w:w="1715" w:type="dxa"/>
          </w:tcPr>
          <w:p>
            <w:pPr>
              <w:pStyle w:val="Compact"/>
              <w:spacing w:after="40"/>
              <w:jc w:val="left"/>
            </w:pPr>
            <w:r>
              <w:rPr>
                <w:sz w:val="18"/>
              </w:rPr>
              <w:t xml:space="preserve">Deposit adapter; v1.6 module; Udofin</w:t>
            </w:r>
          </w:p>
        </w:tc>
        <w:tc>
          <w:tcPr>
            <w:tcW w:w="2522" w:type="dxa"/>
          </w:tcPr>
          <w:p>
            <w:pPr>
              <w:pStyle w:val="Compact"/>
              <w:spacing w:after="40"/>
              <w:jc w:val="left"/>
            </w:pPr>
            <w:r>
              <w:rPr>
                <w:sz w:val="18"/>
              </w:rPr>
              <w:t xml:space="preserve">MSCS s.67 Explanation; SCS-MH s.144-5A; BUDS First Schedule item 8; RBI press release 22 Nov 2021</w:t>
            </w:r>
          </w:p>
        </w:tc>
      </w:tr>
      <w:tr>
        <w:tc>
          <w:tcPr>
            <w:tcW w:w="869" w:type="dxa"/>
          </w:tcPr>
          <w:p>
            <w:pPr>
              <w:pStyle w:val="Compact"/>
              <w:spacing w:after="40"/>
              <w:jc w:val="left"/>
            </w:pPr>
            <w:r>
              <w:rPr>
                <w:sz w:val="18"/>
              </w:rPr>
              <w:t xml:space="preserve">GR-7G-02</w:t>
            </w:r>
          </w:p>
        </w:tc>
        <w:tc>
          <w:tcPr>
            <w:tcW w:w="4532" w:type="dxa"/>
          </w:tcPr>
          <w:p>
            <w:pPr>
              <w:pStyle w:val="Compact"/>
              <w:spacing w:after="40"/>
              <w:jc w:val="left"/>
            </w:pPr>
            <w:r>
              <w:rPr>
                <w:sz w:val="18"/>
              </w:rPr>
              <w:t xml:space="preserve">No</w:t>
            </w:r>
            <w:r>
              <w:rPr>
                <w:sz w:val="18"/>
              </w:rPr>
              <w:t xml:space="preserve"> </w:t>
            </w:r>
            <w:r>
              <w:rPr>
                <w:sz w:val="18"/>
              </w:rPr>
              <w:t xml:space="preserve">“</w:t>
            </w:r>
            <w:r>
              <w:rPr>
                <w:sz w:val="18"/>
              </w:rPr>
              <w:t xml:space="preserve">bank</w:t>
            </w:r>
            <w:r>
              <w:rPr>
                <w:sz w:val="18"/>
              </w:rPr>
              <w:t xml:space="preserve">”</w:t>
            </w:r>
            <w:r>
              <w:rPr>
                <w:sz w:val="18"/>
              </w:rPr>
              <w:t xml:space="preserve">,</w:t>
            </w:r>
            <w:r>
              <w:rPr>
                <w:sz w:val="18"/>
              </w:rPr>
              <w:t xml:space="preserve"> </w:t>
            </w:r>
            <w:r>
              <w:rPr>
                <w:sz w:val="18"/>
              </w:rPr>
              <w:t xml:space="preserve">“</w:t>
            </w:r>
            <w:r>
              <w:rPr>
                <w:sz w:val="18"/>
              </w:rPr>
              <w:t xml:space="preserve">banker</w:t>
            </w:r>
            <w:r>
              <w:rPr>
                <w:sz w:val="18"/>
              </w:rPr>
              <w:t xml:space="preserve">”</w:t>
            </w:r>
            <w:r>
              <w:rPr>
                <w:sz w:val="18"/>
              </w:rPr>
              <w:t xml:space="preserve"> </w:t>
            </w:r>
            <w:r>
              <w:rPr>
                <w:sz w:val="18"/>
              </w:rPr>
              <w:t xml:space="preserve">or</w:t>
            </w:r>
            <w:r>
              <w:rPr>
                <w:sz w:val="18"/>
              </w:rPr>
              <w:t xml:space="preserve"> </w:t>
            </w:r>
            <w:r>
              <w:rPr>
                <w:sz w:val="18"/>
              </w:rPr>
              <w:t xml:space="preserve">“</w:t>
            </w:r>
            <w:r>
              <w:rPr>
                <w:sz w:val="18"/>
              </w:rPr>
              <w:t xml:space="preserve">banking</w:t>
            </w:r>
            <w:r>
              <w:rPr>
                <w:sz w:val="18"/>
              </w:rPr>
              <w:t xml:space="preserve">”</w:t>
            </w:r>
            <w:r>
              <w:rPr>
                <w:sz w:val="18"/>
              </w:rPr>
              <w:t xml:space="preserve"> </w:t>
            </w:r>
            <w:r>
              <w:rPr>
                <w:sz w:val="18"/>
              </w:rPr>
              <w:t xml:space="preserve">in a non-bank co-operative’s name or materials</w:t>
            </w:r>
          </w:p>
        </w:tc>
        <w:tc>
          <w:tcPr>
            <w:tcW w:w="1715" w:type="dxa"/>
          </w:tcPr>
          <w:p>
            <w:pPr>
              <w:pStyle w:val="Compact"/>
              <w:spacing w:after="40"/>
              <w:jc w:val="left"/>
            </w:pPr>
            <w:r>
              <w:rPr>
                <w:sz w:val="18"/>
              </w:rPr>
              <w:t xml:space="preserve">Profile activation; template lint</w:t>
            </w:r>
          </w:p>
        </w:tc>
        <w:tc>
          <w:tcPr>
            <w:tcW w:w="2522" w:type="dxa"/>
          </w:tcPr>
          <w:p>
            <w:pPr>
              <w:pStyle w:val="Compact"/>
              <w:spacing w:after="40"/>
              <w:jc w:val="left"/>
            </w:pPr>
            <w:r>
              <w:rPr>
                <w:sz w:val="18"/>
              </w:rPr>
              <w:t xml:space="preserve">BR Act s.7 (AACS)</w:t>
            </w:r>
          </w:p>
        </w:tc>
      </w:tr>
      <w:tr>
        <w:tc>
          <w:tcPr>
            <w:tcW w:w="869" w:type="dxa"/>
          </w:tcPr>
          <w:p>
            <w:pPr>
              <w:pStyle w:val="Compact"/>
              <w:spacing w:after="40"/>
              <w:jc w:val="left"/>
            </w:pPr>
            <w:r>
              <w:rPr>
                <w:sz w:val="18"/>
              </w:rPr>
              <w:t xml:space="preserve">GR-7G-03</w:t>
            </w:r>
          </w:p>
        </w:tc>
        <w:tc>
          <w:tcPr>
            <w:tcW w:w="4532" w:type="dxa"/>
          </w:tcPr>
          <w:p>
            <w:pPr>
              <w:pStyle w:val="Compact"/>
              <w:spacing w:after="40"/>
              <w:jc w:val="left"/>
            </w:pPr>
            <w:r>
              <w:rPr>
                <w:sz w:val="18"/>
              </w:rPr>
              <w:t xml:space="preserve">No co-lending with a co-operative bank or credit society</w:t>
            </w:r>
          </w:p>
        </w:tc>
        <w:tc>
          <w:tcPr>
            <w:tcW w:w="1715" w:type="dxa"/>
          </w:tcPr>
          <w:p>
            <w:pPr>
              <w:pStyle w:val="Compact"/>
              <w:spacing w:after="40"/>
              <w:jc w:val="left"/>
            </w:pPr>
            <w:r>
              <w:rPr>
                <w:sz w:val="18"/>
              </w:rPr>
              <w:t xml:space="preserve">Co-lending partner master (7H IV7)</w:t>
            </w:r>
          </w:p>
        </w:tc>
        <w:tc>
          <w:tcPr>
            <w:tcW w:w="2522" w:type="dxa"/>
          </w:tcPr>
          <w:p>
            <w:pPr>
              <w:pStyle w:val="Compact"/>
              <w:spacing w:after="40"/>
              <w:jc w:val="left"/>
            </w:pPr>
            <w:r>
              <w:rPr>
                <w:sz w:val="18"/>
              </w:rPr>
              <w:t xml:space="preserve">TDCR para 97</w:t>
            </w:r>
          </w:p>
        </w:tc>
      </w:tr>
      <w:tr>
        <w:tc>
          <w:tcPr>
            <w:tcW w:w="869" w:type="dxa"/>
          </w:tcPr>
          <w:p>
            <w:pPr>
              <w:pStyle w:val="Compact"/>
              <w:spacing w:after="40"/>
              <w:jc w:val="left"/>
            </w:pPr>
            <w:r>
              <w:rPr>
                <w:sz w:val="18"/>
              </w:rPr>
              <w:t xml:space="preserve">GR-7G-04</w:t>
            </w:r>
          </w:p>
        </w:tc>
        <w:tc>
          <w:tcPr>
            <w:tcW w:w="4532" w:type="dxa"/>
          </w:tcPr>
          <w:p>
            <w:pPr>
              <w:pStyle w:val="Compact"/>
              <w:spacing w:after="40"/>
              <w:jc w:val="left"/>
            </w:pPr>
            <w:r>
              <w:rPr>
                <w:sz w:val="18"/>
              </w:rPr>
              <w:t xml:space="preserve">No standard-loan transfer to or from co-operative banks, RRBs, LABs or credit societies; co-operative banks transfer stressed loans only; credit societies neither buy nor sell</w:t>
            </w:r>
          </w:p>
        </w:tc>
        <w:tc>
          <w:tcPr>
            <w:tcW w:w="1715" w:type="dxa"/>
          </w:tcPr>
          <w:p>
            <w:pPr>
              <w:pStyle w:val="Compact"/>
              <w:spacing w:after="40"/>
              <w:jc w:val="left"/>
            </w:pPr>
            <w:r>
              <w:rPr>
                <w:sz w:val="18"/>
              </w:rPr>
              <w:t xml:space="preserve">Transfer workflow</w:t>
            </w:r>
          </w:p>
        </w:tc>
        <w:tc>
          <w:tcPr>
            <w:tcW w:w="2522" w:type="dxa"/>
          </w:tcPr>
          <w:p>
            <w:pPr>
              <w:pStyle w:val="Compact"/>
              <w:spacing w:after="40"/>
              <w:jc w:val="left"/>
            </w:pPr>
            <w:r>
              <w:rPr>
                <w:sz w:val="18"/>
              </w:rPr>
              <w:t xml:space="preserve">TDCR paras 7, 12(4) proviso, 12(8), 58</w:t>
            </w:r>
          </w:p>
        </w:tc>
      </w:tr>
      <w:tr>
        <w:tc>
          <w:tcPr>
            <w:tcW w:w="869" w:type="dxa"/>
          </w:tcPr>
          <w:p>
            <w:pPr>
              <w:pStyle w:val="Compact"/>
              <w:spacing w:after="40"/>
              <w:jc w:val="left"/>
            </w:pPr>
            <w:r>
              <w:rPr>
                <w:sz w:val="18"/>
              </w:rPr>
              <w:t xml:space="preserve">GR-7G-05</w:t>
            </w:r>
          </w:p>
        </w:tc>
        <w:tc>
          <w:tcPr>
            <w:tcW w:w="4532" w:type="dxa"/>
          </w:tcPr>
          <w:p>
            <w:pPr>
              <w:pStyle w:val="Compact"/>
              <w:spacing w:after="40"/>
              <w:jc w:val="left"/>
            </w:pPr>
            <w:r>
              <w:rPr>
                <w:sz w:val="18"/>
              </w:rPr>
              <w:t xml:space="preserve">No private arbitration of a dispute within a statutory co-operative forum</w:t>
            </w:r>
          </w:p>
        </w:tc>
        <w:tc>
          <w:tcPr>
            <w:tcW w:w="1715" w:type="dxa"/>
          </w:tcPr>
          <w:p>
            <w:pPr>
              <w:pStyle w:val="Compact"/>
              <w:spacing w:after="40"/>
              <w:jc w:val="left"/>
            </w:pPr>
            <w:r>
              <w:rPr>
                <w:sz w:val="18"/>
              </w:rPr>
              <w:t xml:space="preserve">Equator referral (R8.2)</w:t>
            </w:r>
          </w:p>
        </w:tc>
        <w:tc>
          <w:tcPr>
            <w:tcW w:w="2522" w:type="dxa"/>
          </w:tcPr>
          <w:p>
            <w:pPr>
              <w:pStyle w:val="Compact"/>
              <w:spacing w:after="40"/>
              <w:jc w:val="left"/>
            </w:pPr>
            <w:r>
              <w:rPr>
                <w:sz w:val="18"/>
              </w:rPr>
              <w:t xml:space="preserve">SCS-MH s.91(3); MSCS s.84 [VERIFY]</w:t>
            </w:r>
          </w:p>
        </w:tc>
      </w:tr>
      <w:tr>
        <w:tc>
          <w:tcPr>
            <w:tcW w:w="869" w:type="dxa"/>
          </w:tcPr>
          <w:p>
            <w:pPr>
              <w:pStyle w:val="Compact"/>
              <w:spacing w:after="40"/>
              <w:jc w:val="left"/>
            </w:pPr>
            <w:r>
              <w:rPr>
                <w:sz w:val="18"/>
              </w:rPr>
              <w:t xml:space="preserve">GR-7G-06</w:t>
            </w:r>
          </w:p>
        </w:tc>
        <w:tc>
          <w:tcPr>
            <w:tcW w:w="4532" w:type="dxa"/>
          </w:tcPr>
          <w:p>
            <w:pPr>
              <w:pStyle w:val="Compact"/>
              <w:spacing w:after="40"/>
              <w:jc w:val="left"/>
            </w:pPr>
            <w:r>
              <w:rPr>
                <w:sz w:val="18"/>
              </w:rPr>
              <w:t xml:space="preserve">Joint liability is voluntary; never debit one member for another</w:t>
            </w:r>
          </w:p>
        </w:tc>
        <w:tc>
          <w:tcPr>
            <w:tcW w:w="1715" w:type="dxa"/>
          </w:tcPr>
          <w:p>
            <w:pPr>
              <w:pStyle w:val="Compact"/>
              <w:spacing w:after="40"/>
              <w:jc w:val="left"/>
            </w:pPr>
            <w:r>
              <w:rPr>
                <w:sz w:val="18"/>
              </w:rPr>
              <w:t xml:space="preserve">Microfinance posting</w:t>
            </w:r>
          </w:p>
        </w:tc>
        <w:tc>
          <w:tcPr>
            <w:tcW w:w="2522" w:type="dxa"/>
          </w:tcPr>
          <w:p>
            <w:pPr>
              <w:pStyle w:val="Compact"/>
              <w:spacing w:after="40"/>
              <w:jc w:val="left"/>
            </w:pPr>
            <w:r>
              <w:rPr>
                <w:sz w:val="18"/>
              </w:rPr>
              <w:t xml:space="preserve">Individual loan contracts; RBC para 91(3)–(4); TN40 s.20 [REC]</w:t>
            </w:r>
          </w:p>
        </w:tc>
      </w:tr>
      <w:tr>
        <w:tc>
          <w:tcPr>
            <w:tcW w:w="869" w:type="dxa"/>
          </w:tcPr>
          <w:p>
            <w:pPr>
              <w:pStyle w:val="Compact"/>
              <w:spacing w:after="40"/>
              <w:jc w:val="left"/>
            </w:pPr>
            <w:r>
              <w:rPr>
                <w:sz w:val="18"/>
              </w:rPr>
              <w:t xml:space="preserve">GR-7G-07</w:t>
            </w:r>
          </w:p>
        </w:tc>
        <w:tc>
          <w:tcPr>
            <w:tcW w:w="4532" w:type="dxa"/>
          </w:tcPr>
          <w:p>
            <w:pPr>
              <w:pStyle w:val="Compact"/>
              <w:spacing w:after="40"/>
              <w:jc w:val="left"/>
            </w:pPr>
            <w:r>
              <w:rPr>
                <w:sz w:val="18"/>
              </w:rPr>
              <w:t xml:space="preserve">Microfinance: no collateral, household cap 50%, no new loan above it</w:t>
            </w:r>
          </w:p>
        </w:tc>
        <w:tc>
          <w:tcPr>
            <w:tcW w:w="1715" w:type="dxa"/>
          </w:tcPr>
          <w:p>
            <w:pPr>
              <w:pStyle w:val="Compact"/>
              <w:spacing w:after="40"/>
              <w:jc w:val="left"/>
            </w:pPr>
            <w:r>
              <w:rPr>
                <w:sz w:val="18"/>
              </w:rPr>
              <w:t xml:space="preserve">Sanction</w:t>
            </w:r>
          </w:p>
        </w:tc>
        <w:tc>
          <w:tcPr>
            <w:tcW w:w="2522" w:type="dxa"/>
          </w:tcPr>
          <w:p>
            <w:pPr>
              <w:pStyle w:val="Compact"/>
              <w:spacing w:after="40"/>
              <w:jc w:val="left"/>
            </w:pPr>
            <w:r>
              <w:rPr>
                <w:sz w:val="18"/>
              </w:rPr>
              <w:t xml:space="preserve">CF paras 51, 55–57</w:t>
            </w:r>
          </w:p>
        </w:tc>
      </w:tr>
      <w:tr>
        <w:tc>
          <w:tcPr>
            <w:tcW w:w="869" w:type="dxa"/>
          </w:tcPr>
          <w:p>
            <w:pPr>
              <w:pStyle w:val="Compact"/>
              <w:spacing w:after="40"/>
              <w:jc w:val="left"/>
            </w:pPr>
            <w:r>
              <w:rPr>
                <w:sz w:val="18"/>
              </w:rPr>
              <w:t xml:space="preserve">GR-7G-08</w:t>
            </w:r>
          </w:p>
        </w:tc>
        <w:tc>
          <w:tcPr>
            <w:tcW w:w="4532" w:type="dxa"/>
          </w:tcPr>
          <w:p>
            <w:pPr>
              <w:pStyle w:val="Compact"/>
              <w:spacing w:after="40"/>
              <w:jc w:val="left"/>
            </w:pPr>
            <w:r>
              <w:rPr>
                <w:sz w:val="18"/>
              </w:rPr>
              <w:t xml:space="preserve">Trust formation, SR issue and s.9 measures only for</w:t>
            </w:r>
            <w:r>
              <w:rPr>
                <w:sz w:val="18"/>
              </w:rPr>
              <w:t xml:space="preserve"> </w:t>
            </w:r>
            <w:r>
              <w:rPr>
                <w:rStyle w:val="VerbatimChar"/>
                <w:sz w:val="18"/>
              </w:rPr>
              <w:t xml:space="preserve">ARC</w:t>
            </w:r>
          </w:p>
        </w:tc>
        <w:tc>
          <w:tcPr>
            <w:tcW w:w="1715" w:type="dxa"/>
          </w:tcPr>
          <w:p>
            <w:pPr>
              <w:pStyle w:val="Compact"/>
              <w:spacing w:after="40"/>
              <w:jc w:val="left"/>
            </w:pPr>
            <w:r>
              <w:rPr>
                <w:sz w:val="18"/>
              </w:rPr>
              <w:t xml:space="preserve">Entitlement</w:t>
            </w:r>
          </w:p>
        </w:tc>
        <w:tc>
          <w:tcPr>
            <w:tcW w:w="2522" w:type="dxa"/>
          </w:tcPr>
          <w:p>
            <w:pPr>
              <w:pStyle w:val="Compact"/>
              <w:spacing w:after="40"/>
              <w:jc w:val="left"/>
            </w:pPr>
            <w:r>
              <w:rPr>
                <w:sz w:val="18"/>
              </w:rPr>
              <w:t xml:space="preserve">SARFAESI ss.3, 7, 9</w:t>
            </w:r>
          </w:p>
        </w:tc>
      </w:tr>
      <w:tr>
        <w:tc>
          <w:tcPr>
            <w:tcW w:w="869" w:type="dxa"/>
          </w:tcPr>
          <w:p>
            <w:pPr>
              <w:pStyle w:val="Compact"/>
              <w:spacing w:after="40"/>
              <w:jc w:val="left"/>
            </w:pPr>
            <w:r>
              <w:rPr>
                <w:sz w:val="18"/>
              </w:rPr>
              <w:t xml:space="preserve">GR-7G-09</w:t>
            </w:r>
          </w:p>
        </w:tc>
        <w:tc>
          <w:tcPr>
            <w:tcW w:w="4532" w:type="dxa"/>
          </w:tcPr>
          <w:p>
            <w:pPr>
              <w:pStyle w:val="Compact"/>
              <w:spacing w:after="40"/>
              <w:jc w:val="left"/>
            </w:pPr>
            <w:r>
              <w:rPr>
                <w:sz w:val="18"/>
              </w:rPr>
              <w:t xml:space="preserve">Acquired stressed loans held ≥ 6 months; none bought that were transferred as stressed in the previous 6 months</w:t>
            </w:r>
          </w:p>
        </w:tc>
        <w:tc>
          <w:tcPr>
            <w:tcW w:w="1715" w:type="dxa"/>
          </w:tcPr>
          <w:p>
            <w:pPr>
              <w:pStyle w:val="Compact"/>
              <w:spacing w:after="40"/>
              <w:jc w:val="left"/>
            </w:pPr>
            <w:r>
              <w:rPr>
                <w:sz w:val="18"/>
              </w:rPr>
              <w:t xml:space="preserve">Transfer workflow</w:t>
            </w:r>
          </w:p>
        </w:tc>
        <w:tc>
          <w:tcPr>
            <w:tcW w:w="2522" w:type="dxa"/>
          </w:tcPr>
          <w:p>
            <w:pPr>
              <w:pStyle w:val="Compact"/>
              <w:spacing w:after="40"/>
              <w:jc w:val="left"/>
            </w:pPr>
            <w:r>
              <w:rPr>
                <w:sz w:val="18"/>
              </w:rPr>
              <w:t xml:space="preserve">TDCR para 74</w:t>
            </w:r>
          </w:p>
        </w:tc>
      </w:tr>
      <w:tr>
        <w:tc>
          <w:tcPr>
            <w:tcW w:w="869" w:type="dxa"/>
          </w:tcPr>
          <w:p>
            <w:pPr>
              <w:pStyle w:val="Compact"/>
              <w:spacing w:after="40"/>
              <w:jc w:val="left"/>
            </w:pPr>
            <w:r>
              <w:rPr>
                <w:sz w:val="18"/>
              </w:rPr>
              <w:t xml:space="preserve">GR-7G-10</w:t>
            </w:r>
          </w:p>
        </w:tc>
        <w:tc>
          <w:tcPr>
            <w:tcW w:w="4532" w:type="dxa"/>
          </w:tcPr>
          <w:p>
            <w:pPr>
              <w:pStyle w:val="Compact"/>
              <w:spacing w:after="40"/>
              <w:jc w:val="left"/>
            </w:pPr>
            <w:r>
              <w:rPr>
                <w:sz w:val="18"/>
              </w:rPr>
              <w:t xml:space="preserve">An NBFC never re-acquires from an ARC a loan it transferred</w:t>
            </w:r>
          </w:p>
        </w:tc>
        <w:tc>
          <w:tcPr>
            <w:tcW w:w="1715" w:type="dxa"/>
          </w:tcPr>
          <w:p>
            <w:pPr>
              <w:pStyle w:val="Compact"/>
              <w:spacing w:after="40"/>
              <w:jc w:val="left"/>
            </w:pPr>
            <w:r>
              <w:rPr>
                <w:sz w:val="18"/>
              </w:rPr>
              <w:t xml:space="preserve">Take-over workflow</w:t>
            </w:r>
          </w:p>
        </w:tc>
        <w:tc>
          <w:tcPr>
            <w:tcW w:w="2522" w:type="dxa"/>
          </w:tcPr>
          <w:p>
            <w:pPr>
              <w:pStyle w:val="Compact"/>
              <w:spacing w:after="40"/>
              <w:jc w:val="left"/>
            </w:pPr>
            <w:r>
              <w:rPr>
                <w:sz w:val="18"/>
              </w:rPr>
              <w:t xml:space="preserve">TDCR para 87</w:t>
            </w:r>
          </w:p>
        </w:tc>
      </w:tr>
      <w:tr>
        <w:tc>
          <w:tcPr>
            <w:tcW w:w="869" w:type="dxa"/>
          </w:tcPr>
          <w:p>
            <w:pPr>
              <w:pStyle w:val="Compact"/>
              <w:spacing w:after="40"/>
              <w:jc w:val="left"/>
            </w:pPr>
            <w:r>
              <w:rPr>
                <w:sz w:val="18"/>
              </w:rPr>
              <w:t xml:space="preserve">GR-7G-11</w:t>
            </w:r>
          </w:p>
        </w:tc>
        <w:tc>
          <w:tcPr>
            <w:tcW w:w="4532" w:type="dxa"/>
          </w:tcPr>
          <w:p>
            <w:pPr>
              <w:pStyle w:val="Compact"/>
              <w:spacing w:after="40"/>
              <w:jc w:val="left"/>
            </w:pPr>
            <w:r>
              <w:rPr>
                <w:sz w:val="18"/>
              </w:rPr>
              <w:t xml:space="preserve">ARC settlement &gt; ₹1 crore, or any fraud or wilful-default case, needs IAC review then Board or committee</w:t>
            </w:r>
          </w:p>
        </w:tc>
        <w:tc>
          <w:tcPr>
            <w:tcW w:w="1715" w:type="dxa"/>
          </w:tcPr>
          <w:p>
            <w:pPr>
              <w:pStyle w:val="Compact"/>
              <w:spacing w:after="40"/>
              <w:jc w:val="left"/>
            </w:pPr>
            <w:r>
              <w:rPr>
                <w:sz w:val="18"/>
              </w:rPr>
              <w:t xml:space="preserve">ARC settlement</w:t>
            </w:r>
          </w:p>
        </w:tc>
        <w:tc>
          <w:tcPr>
            <w:tcW w:w="2522" w:type="dxa"/>
          </w:tcPr>
          <w:p>
            <w:pPr>
              <w:pStyle w:val="Compact"/>
              <w:spacing w:after="40"/>
              <w:jc w:val="left"/>
            </w:pPr>
            <w:r>
              <w:rPr>
                <w:sz w:val="18"/>
              </w:rPr>
              <w:t xml:space="preserve">ARC paras 64, 66 [VERIFY]</w:t>
            </w:r>
          </w:p>
        </w:tc>
      </w:tr>
      <w:tr>
        <w:tc>
          <w:tcPr>
            <w:tcW w:w="869" w:type="dxa"/>
          </w:tcPr>
          <w:p>
            <w:pPr>
              <w:pStyle w:val="Compact"/>
              <w:spacing w:after="40"/>
              <w:jc w:val="left"/>
            </w:pPr>
            <w:r>
              <w:rPr>
                <w:sz w:val="18"/>
              </w:rPr>
              <w:t xml:space="preserve">GR-7G-12</w:t>
            </w:r>
          </w:p>
        </w:tc>
        <w:tc>
          <w:tcPr>
            <w:tcW w:w="4532" w:type="dxa"/>
          </w:tcPr>
          <w:p>
            <w:pPr>
              <w:pStyle w:val="Compact"/>
              <w:spacing w:after="40"/>
              <w:jc w:val="left"/>
            </w:pPr>
            <w:r>
              <w:rPr>
                <w:sz w:val="18"/>
              </w:rPr>
              <w:t xml:space="preserve">IFSC books USD-only, never in an onshore ledger; no public deposits; no speculation</w:t>
            </w:r>
          </w:p>
        </w:tc>
        <w:tc>
          <w:tcPr>
            <w:tcW w:w="1715" w:type="dxa"/>
          </w:tcPr>
          <w:p>
            <w:pPr>
              <w:pStyle w:val="Compact"/>
              <w:spacing w:after="40"/>
              <w:jc w:val="left"/>
            </w:pPr>
            <w:r>
              <w:rPr>
                <w:sz w:val="18"/>
              </w:rPr>
              <w:t xml:space="preserve">IFSC tenant</w:t>
            </w:r>
          </w:p>
        </w:tc>
        <w:tc>
          <w:tcPr>
            <w:tcW w:w="2522" w:type="dxa"/>
          </w:tcPr>
          <w:p>
            <w:pPr>
              <w:pStyle w:val="Compact"/>
              <w:spacing w:after="40"/>
              <w:jc w:val="left"/>
            </w:pPr>
            <w:r>
              <w:rPr>
                <w:sz w:val="18"/>
              </w:rPr>
              <w:t xml:space="preserve">IFSCA-FC regs 2(1)(e)–(f), 5(6), 6</w:t>
            </w:r>
          </w:p>
        </w:tc>
      </w:tr>
      <w:tr>
        <w:tc>
          <w:tcPr>
            <w:tcW w:w="869" w:type="dxa"/>
          </w:tcPr>
          <w:p>
            <w:pPr>
              <w:pStyle w:val="Compact"/>
              <w:spacing w:after="40"/>
              <w:jc w:val="left"/>
            </w:pPr>
            <w:r>
              <w:rPr>
                <w:sz w:val="18"/>
              </w:rPr>
              <w:t xml:space="preserve">GR-7G-13</w:t>
            </w:r>
          </w:p>
        </w:tc>
        <w:tc>
          <w:tcPr>
            <w:tcW w:w="4532" w:type="dxa"/>
          </w:tcPr>
          <w:p>
            <w:pPr>
              <w:pStyle w:val="Compact"/>
              <w:spacing w:after="40"/>
              <w:jc w:val="left"/>
            </w:pPr>
            <w:r>
              <w:rPr>
                <w:sz w:val="18"/>
              </w:rPr>
              <w:t xml:space="preserve">A credit society cannot be a DLG provider to an NBFC</w:t>
            </w:r>
          </w:p>
        </w:tc>
        <w:tc>
          <w:tcPr>
            <w:tcW w:w="1715" w:type="dxa"/>
          </w:tcPr>
          <w:p>
            <w:pPr>
              <w:pStyle w:val="Compact"/>
              <w:spacing w:after="40"/>
              <w:jc w:val="left"/>
            </w:pPr>
            <w:r>
              <w:rPr>
                <w:sz w:val="18"/>
              </w:rPr>
              <w:t xml:space="preserve">DLG master</w:t>
            </w:r>
          </w:p>
        </w:tc>
        <w:tc>
          <w:tcPr>
            <w:tcW w:w="2522" w:type="dxa"/>
          </w:tcPr>
          <w:p>
            <w:pPr>
              <w:pStyle w:val="Compact"/>
              <w:spacing w:after="40"/>
              <w:jc w:val="left"/>
            </w:pPr>
            <w:r>
              <w:rPr>
                <w:sz w:val="18"/>
              </w:rPr>
              <w:t xml:space="preserve">CF para 19 (provider must be an LSP that is a company)</w:t>
            </w:r>
          </w:p>
        </w:tc>
      </w:tr>
      <w:tr>
        <w:tc>
          <w:tcPr>
            <w:tcW w:w="869" w:type="dxa"/>
          </w:tcPr>
          <w:p>
            <w:pPr>
              <w:pStyle w:val="Compact"/>
              <w:spacing w:after="40"/>
              <w:jc w:val="left"/>
            </w:pPr>
            <w:r>
              <w:rPr>
                <w:sz w:val="18"/>
              </w:rPr>
              <w:t xml:space="preserve">GR-7G-14</w:t>
            </w:r>
          </w:p>
        </w:tc>
        <w:tc>
          <w:tcPr>
            <w:tcW w:w="4532" w:type="dxa"/>
          </w:tcPr>
          <w:p>
            <w:pPr>
              <w:pStyle w:val="Compact"/>
              <w:spacing w:after="40"/>
              <w:jc w:val="left"/>
            </w:pPr>
            <w:r>
              <w:rPr>
                <w:sz w:val="18"/>
              </w:rPr>
              <w:t xml:space="preserve">On loans sourced through an LSP’s digital lending app (Udofin or other), regular instalments are not collected in cash at centre meetings unless the RE’s legal opinion is recorded for that product; LSP staff collect cash only as the RE’s appointed recovery agent on overdue loans, reflected in full on the same day</w:t>
            </w:r>
          </w:p>
        </w:tc>
        <w:tc>
          <w:tcPr>
            <w:tcW w:w="1715" w:type="dxa"/>
          </w:tcPr>
          <w:p>
            <w:pPr>
              <w:pStyle w:val="Compact"/>
              <w:spacing w:after="40"/>
              <w:jc w:val="left"/>
            </w:pPr>
            <w:r>
              <w:rPr>
                <w:sz w:val="18"/>
              </w:rPr>
              <w:t xml:space="preserve">Collection sheet; field receipt; agent master</w:t>
            </w:r>
          </w:p>
        </w:tc>
        <w:tc>
          <w:tcPr>
            <w:tcW w:w="2522" w:type="dxa"/>
          </w:tcPr>
          <w:p>
            <w:pPr>
              <w:pStyle w:val="Compact"/>
              <w:spacing w:after="40"/>
              <w:jc w:val="left"/>
            </w:pPr>
            <w:r>
              <w:rPr>
                <w:sz w:val="18"/>
              </w:rPr>
              <w:t xml:space="preserve">CF paras 10(2), 10(5)</w:t>
            </w:r>
          </w:p>
        </w:tc>
      </w:tr>
    </w:tbl>
    <w:bookmarkEnd w:id="531"/>
    <w:bookmarkStart w:id="532" w:name="ip1.7-profile-changes"/>
    <w:p>
      <w:pPr>
        <w:pStyle w:val="Heading3"/>
      </w:pPr>
      <w:r>
        <w:t xml:space="preserve">IP1.7 Profile changes</w:t>
      </w:r>
    </w:p>
    <w:p>
      <w:pPr>
        <w:pStyle w:val="FirstParagraph"/>
      </w:pPr>
      <w:r>
        <w:t xml:space="preserve">Triggers: MSCS size class (₹10, ₹100, ₹500 crore deposits), UCB tier, NBFC layer, NBFC-ICC to NBFC-MFI (only on a recorded RBI registration change), Type I deregistration (7H IV5.6), ARC NOF band, IFSC activity class. Workflow</w:t>
      </w:r>
      <w:r>
        <w:t xml:space="preserve"> </w:t>
      </w:r>
      <w:r>
        <w:rPr>
          <w:rStyle w:val="VerbatimChar"/>
        </w:rPr>
        <w:t xml:space="preserve">DETECTED → IMPACT_ASSESSED → APPROVED (CCO and Board or Managing Committee) → SCHEDULED → ACTIVE</w:t>
      </w:r>
      <w:r>
        <w:t xml:space="preserve">, with</w:t>
      </w:r>
      <w:r>
        <w:t xml:space="preserve"> </w:t>
      </w:r>
      <w:r>
        <w:rPr>
          <w:rStyle w:val="VerbatimChar"/>
        </w:rPr>
        <w:t xml:space="preserve">REJECTED</w:t>
      </w:r>
      <w:r>
        <w:t xml:space="preserve"> </w:t>
      </w:r>
      <w:r>
        <w:t xml:space="preserve">(reason recorded; re-detected at the next monthly run) and</w:t>
      </w:r>
      <w:r>
        <w:t xml:space="preserve"> </w:t>
      </w:r>
      <w:r>
        <w:rPr>
          <w:rStyle w:val="VerbatimChar"/>
        </w:rPr>
        <w:t xml:space="preserve">ROLLED_BACK</w:t>
      </w:r>
      <w:r>
        <w:t xml:space="preserve"> </w:t>
      </w:r>
      <w:r>
        <w:t xml:space="preserve">(only before the first return or decision on the new version, by the same approvers). Detection runs on each monthly snapshot and on audited figures; the impact assessment lists changed packs, returns, limits, products and guard-rails and is due within 15 days of detection [REC], escalating to the CCO after that. Glide paths honoured (UCB 3 years on moving up; CRCS CRAR to 2028-29). Historic returns stay bound to the profile version of their period.</w:t>
      </w:r>
    </w:p>
    <w:bookmarkEnd w:id="532"/>
    <w:bookmarkStart w:id="533" w:name="settings-and-options-15"/>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249"/>
        <w:gridCol w:w="1429"/>
        <w:gridCol w:w="2222"/>
        <w:gridCol w:w="2738"/>
      </w:tblGrid>
      <w:tr>
        <w:trPr>
          <w:tblHeader w:val="true"/>
          <w:tblHeader w:val="true"/>
        </w:trPr>
        <w:tc>
          <w:tcPr>
            <w:tcW w:w="3249" w:type="dxa"/>
            <w:shd w:val="clear" w:color="auto" w:fill="1F3A5F"/>
          </w:tcPr>
          <w:p>
            <w:pPr>
              <w:pStyle w:val="Compact"/>
              <w:spacing w:after="40"/>
              <w:jc w:val="left"/>
            </w:pPr>
            <w:r>
              <w:rPr>
                <w:b/>
                <w:color w:val="FFFFFF"/>
                <w:sz w:val="18"/>
              </w:rPr>
              <w:t xml:space="preserve">Setting</w:t>
            </w:r>
          </w:p>
        </w:tc>
        <w:tc>
          <w:tcPr>
            <w:tcW w:w="1429" w:type="dxa"/>
            <w:shd w:val="clear" w:color="auto" w:fill="1F3A5F"/>
          </w:tcPr>
          <w:p>
            <w:pPr>
              <w:pStyle w:val="Compact"/>
              <w:spacing w:after="40"/>
              <w:jc w:val="left"/>
            </w:pPr>
            <w:r>
              <w:rPr>
                <w:b/>
                <w:color w:val="FFFFFF"/>
                <w:sz w:val="18"/>
              </w:rPr>
              <w:t xml:space="preserve">Level</w:t>
            </w:r>
          </w:p>
        </w:tc>
        <w:tc>
          <w:tcPr>
            <w:tcW w:w="2222" w:type="dxa"/>
            <w:shd w:val="clear" w:color="auto" w:fill="1F3A5F"/>
          </w:tcPr>
          <w:p>
            <w:pPr>
              <w:pStyle w:val="Compact"/>
              <w:spacing w:after="40"/>
              <w:jc w:val="left"/>
            </w:pPr>
            <w:r>
              <w:rPr>
                <w:b/>
                <w:color w:val="FFFFFF"/>
                <w:sz w:val="18"/>
              </w:rPr>
              <w:t xml:space="preserve">Default</w:t>
            </w:r>
          </w:p>
        </w:tc>
        <w:tc>
          <w:tcPr>
            <w:tcW w:w="2738" w:type="dxa"/>
            <w:shd w:val="clear" w:color="auto" w:fill="1F3A5F"/>
          </w:tcPr>
          <w:p>
            <w:pPr>
              <w:pStyle w:val="Compact"/>
              <w:spacing w:after="40"/>
              <w:jc w:val="left"/>
            </w:pPr>
            <w:r>
              <w:rPr>
                <w:b/>
                <w:color w:val="FFFFFF"/>
                <w:sz w:val="18"/>
              </w:rPr>
              <w:t xml:space="preserve">Nature</w:t>
            </w:r>
          </w:p>
        </w:tc>
      </w:tr>
      <w:tr>
        <w:tc>
          <w:tcPr>
            <w:tcW w:w="3249" w:type="dxa"/>
          </w:tcPr>
          <w:p>
            <w:pPr>
              <w:pStyle w:val="Compact"/>
              <w:spacing w:after="40"/>
              <w:jc w:val="left"/>
            </w:pPr>
            <w:r>
              <w:rPr>
                <w:sz w:val="18"/>
              </w:rPr>
              <w:t xml:space="preserve">Institution type and sub-type</w:t>
            </w:r>
          </w:p>
        </w:tc>
        <w:tc>
          <w:tcPr>
            <w:tcW w:w="1429" w:type="dxa"/>
          </w:tcPr>
          <w:p>
            <w:pPr>
              <w:pStyle w:val="Compact"/>
              <w:spacing w:after="40"/>
              <w:jc w:val="left"/>
            </w:pPr>
            <w:r>
              <w:rPr>
                <w:sz w:val="18"/>
              </w:rPr>
              <w:t xml:space="preserve">Legal entity</w:t>
            </w:r>
          </w:p>
        </w:tc>
        <w:tc>
          <w:tcPr>
            <w:tcW w:w="2222" w:type="dxa"/>
          </w:tcPr>
          <w:p>
            <w:pPr>
              <w:pStyle w:val="Compact"/>
              <w:spacing w:after="40"/>
              <w:jc w:val="left"/>
            </w:pPr>
            <w:r>
              <w:rPr>
                <w:sz w:val="18"/>
              </w:rPr>
              <w:t xml:space="preserve">none (activation wizard)</w:t>
            </w:r>
          </w:p>
        </w:tc>
        <w:tc>
          <w:tcPr>
            <w:tcW w:w="2738" w:type="dxa"/>
          </w:tcPr>
          <w:p>
            <w:pPr>
              <w:pStyle w:val="Compact"/>
              <w:spacing w:after="40"/>
              <w:jc w:val="left"/>
            </w:pPr>
            <w:r>
              <w:rPr>
                <w:sz w:val="18"/>
              </w:rPr>
              <w:t xml:space="preserve">Fact; change only by IP1.7</w:t>
            </w:r>
          </w:p>
        </w:tc>
      </w:tr>
      <w:tr>
        <w:tc>
          <w:tcPr>
            <w:tcW w:w="3249" w:type="dxa"/>
          </w:tcPr>
          <w:p>
            <w:pPr>
              <w:pStyle w:val="Compact"/>
              <w:spacing w:after="40"/>
              <w:jc w:val="left"/>
            </w:pPr>
            <w:r>
              <w:rPr>
                <w:sz w:val="18"/>
              </w:rPr>
              <w:t xml:space="preserve">Rule-pack versions bound</w:t>
            </w:r>
          </w:p>
        </w:tc>
        <w:tc>
          <w:tcPr>
            <w:tcW w:w="1429" w:type="dxa"/>
          </w:tcPr>
          <w:p>
            <w:pPr>
              <w:pStyle w:val="Compact"/>
              <w:spacing w:after="40"/>
              <w:jc w:val="left"/>
            </w:pPr>
            <w:r>
              <w:rPr>
                <w:sz w:val="18"/>
              </w:rPr>
              <w:t xml:space="preserve">Profile</w:t>
            </w:r>
          </w:p>
        </w:tc>
        <w:tc>
          <w:tcPr>
            <w:tcW w:w="2222" w:type="dxa"/>
          </w:tcPr>
          <w:p>
            <w:pPr>
              <w:pStyle w:val="Compact"/>
              <w:spacing w:after="40"/>
              <w:jc w:val="left"/>
            </w:pPr>
            <w:r>
              <w:rPr>
                <w:sz w:val="18"/>
              </w:rPr>
              <w:t xml:space="preserve">latest</w:t>
            </w:r>
            <w:r>
              <w:rPr>
                <w:sz w:val="18"/>
              </w:rPr>
              <w:t xml:space="preserve"> </w:t>
            </w:r>
            <w:r>
              <w:rPr>
                <w:rStyle w:val="VerbatimChar"/>
                <w:sz w:val="18"/>
              </w:rPr>
              <w:t xml:space="preserve">IN_FORCE</w:t>
            </w:r>
          </w:p>
        </w:tc>
        <w:tc>
          <w:tcPr>
            <w:tcW w:w="2738" w:type="dxa"/>
          </w:tcPr>
          <w:p>
            <w:pPr>
              <w:pStyle w:val="Compact"/>
              <w:spacing w:after="40"/>
              <w:jc w:val="left"/>
            </w:pPr>
            <w:r>
              <w:rPr>
                <w:sz w:val="18"/>
              </w:rPr>
              <w:t xml:space="preserve">Regulatory floor; L2–L4 may only tighten</w:t>
            </w:r>
          </w:p>
        </w:tc>
      </w:tr>
      <w:tr>
        <w:tc>
          <w:tcPr>
            <w:tcW w:w="3249" w:type="dxa"/>
          </w:tcPr>
          <w:p>
            <w:pPr>
              <w:pStyle w:val="Compact"/>
              <w:spacing w:after="40"/>
              <w:jc w:val="left"/>
            </w:pPr>
            <w:r>
              <w:rPr>
                <w:sz w:val="18"/>
              </w:rPr>
              <w:t xml:space="preserve">Vocabulary pack and languages</w:t>
            </w:r>
          </w:p>
        </w:tc>
        <w:tc>
          <w:tcPr>
            <w:tcW w:w="1429" w:type="dxa"/>
          </w:tcPr>
          <w:p>
            <w:pPr>
              <w:pStyle w:val="Compact"/>
              <w:spacing w:after="40"/>
              <w:jc w:val="left"/>
            </w:pPr>
            <w:r>
              <w:rPr>
                <w:sz w:val="18"/>
              </w:rPr>
              <w:t xml:space="preserve">Tenant</w:t>
            </w:r>
          </w:p>
        </w:tc>
        <w:tc>
          <w:tcPr>
            <w:tcW w:w="2222" w:type="dxa"/>
          </w:tcPr>
          <w:p>
            <w:pPr>
              <w:pStyle w:val="Compact"/>
              <w:spacing w:after="40"/>
              <w:jc w:val="left"/>
            </w:pPr>
            <w:r>
              <w:rPr>
                <w:sz w:val="18"/>
              </w:rPr>
              <w:t xml:space="preserve">from type; English plus Hindi</w:t>
            </w:r>
          </w:p>
        </w:tc>
        <w:tc>
          <w:tcPr>
            <w:tcW w:w="2738" w:type="dxa"/>
          </w:tcPr>
          <w:p>
            <w:pPr>
              <w:pStyle w:val="Compact"/>
              <w:spacing w:after="40"/>
              <w:jc w:val="left"/>
            </w:pPr>
            <w:r>
              <w:rPr>
                <w:sz w:val="18"/>
              </w:rPr>
              <w:t xml:space="preserve">Commercial</w:t>
            </w:r>
          </w:p>
        </w:tc>
      </w:tr>
      <w:tr>
        <w:tc>
          <w:tcPr>
            <w:tcW w:w="3249" w:type="dxa"/>
          </w:tcPr>
          <w:p>
            <w:pPr>
              <w:pStyle w:val="Compact"/>
              <w:spacing w:after="40"/>
              <w:jc w:val="left"/>
            </w:pPr>
            <w:r>
              <w:rPr>
                <w:sz w:val="18"/>
              </w:rPr>
              <w:t xml:space="preserve">Bye-law or Board-policy upload (L3)</w:t>
            </w:r>
          </w:p>
        </w:tc>
        <w:tc>
          <w:tcPr>
            <w:tcW w:w="1429" w:type="dxa"/>
          </w:tcPr>
          <w:p>
            <w:pPr>
              <w:pStyle w:val="Compact"/>
              <w:spacing w:after="40"/>
              <w:jc w:val="left"/>
            </w:pPr>
            <w:r>
              <w:rPr>
                <w:sz w:val="18"/>
              </w:rPr>
              <w:t xml:space="preserve">Profile</w:t>
            </w:r>
          </w:p>
        </w:tc>
        <w:tc>
          <w:tcPr>
            <w:tcW w:w="2222" w:type="dxa"/>
          </w:tcPr>
          <w:p>
            <w:pPr>
              <w:pStyle w:val="Compact"/>
              <w:spacing w:after="40"/>
              <w:jc w:val="left"/>
            </w:pPr>
            <w:r>
              <w:rPr>
                <w:sz w:val="18"/>
              </w:rPr>
              <w:t xml:space="preserve">none</w:t>
            </w:r>
          </w:p>
        </w:tc>
        <w:tc>
          <w:tcPr>
            <w:tcW w:w="2738" w:type="dxa"/>
          </w:tcPr>
          <w:p>
            <w:pPr>
              <w:pStyle w:val="Compact"/>
              <w:spacing w:after="40"/>
              <w:jc w:val="left"/>
            </w:pPr>
            <w:r>
              <w:rPr>
                <w:sz w:val="18"/>
              </w:rPr>
              <w:t xml:space="preserve">Versioned; maker-checker; loosening rejected</w:t>
            </w:r>
          </w:p>
        </w:tc>
      </w:tr>
      <w:tr>
        <w:tc>
          <w:tcPr>
            <w:tcW w:w="3249" w:type="dxa"/>
          </w:tcPr>
          <w:p>
            <w:pPr>
              <w:pStyle w:val="Compact"/>
              <w:spacing w:after="40"/>
              <w:jc w:val="left"/>
            </w:pPr>
            <w:r>
              <w:rPr>
                <w:sz w:val="18"/>
              </w:rPr>
              <w:t xml:space="preserve">Tenant tightening values (L4), for example a 45% household cap</w:t>
            </w:r>
          </w:p>
        </w:tc>
        <w:tc>
          <w:tcPr>
            <w:tcW w:w="1429" w:type="dxa"/>
          </w:tcPr>
          <w:p>
            <w:pPr>
              <w:pStyle w:val="Compact"/>
              <w:spacing w:after="40"/>
              <w:jc w:val="left"/>
            </w:pPr>
            <w:r>
              <w:rPr>
                <w:sz w:val="18"/>
              </w:rPr>
              <w:t xml:space="preserve">Product</w:t>
            </w:r>
          </w:p>
        </w:tc>
        <w:tc>
          <w:tcPr>
            <w:tcW w:w="2222" w:type="dxa"/>
          </w:tcPr>
          <w:p>
            <w:pPr>
              <w:pStyle w:val="Compact"/>
              <w:spacing w:after="40"/>
              <w:jc w:val="left"/>
            </w:pPr>
            <w:r>
              <w:rPr>
                <w:sz w:val="18"/>
              </w:rPr>
              <w:t xml:space="preserve">pack value</w:t>
            </w:r>
          </w:p>
        </w:tc>
        <w:tc>
          <w:tcPr>
            <w:tcW w:w="2738" w:type="dxa"/>
          </w:tcPr>
          <w:p>
            <w:pPr>
              <w:pStyle w:val="Compact"/>
              <w:spacing w:after="40"/>
              <w:jc w:val="left"/>
            </w:pPr>
            <w:r>
              <w:rPr>
                <w:sz w:val="18"/>
              </w:rPr>
              <w:t xml:space="preserve">Commercial within the floor</w:t>
            </w:r>
          </w:p>
        </w:tc>
      </w:tr>
      <w:tr>
        <w:tc>
          <w:tcPr>
            <w:tcW w:w="3249" w:type="dxa"/>
          </w:tcPr>
          <w:p>
            <w:pPr>
              <w:pStyle w:val="Compact"/>
              <w:spacing w:after="40"/>
              <w:jc w:val="left"/>
            </w:pPr>
            <w:r>
              <w:rPr>
                <w:sz w:val="18"/>
              </w:rPr>
              <w:t xml:space="preserve">Capability toggles in IP1.4</w:t>
            </w:r>
          </w:p>
        </w:tc>
        <w:tc>
          <w:tcPr>
            <w:tcW w:w="1429" w:type="dxa"/>
          </w:tcPr>
          <w:p>
            <w:pPr>
              <w:pStyle w:val="Compact"/>
              <w:spacing w:after="40"/>
              <w:jc w:val="left"/>
            </w:pPr>
            <w:r>
              <w:rPr>
                <w:sz w:val="18"/>
              </w:rPr>
              <w:t xml:space="preserve">Profile</w:t>
            </w:r>
          </w:p>
        </w:tc>
        <w:tc>
          <w:tcPr>
            <w:tcW w:w="2222" w:type="dxa"/>
          </w:tcPr>
          <w:p>
            <w:pPr>
              <w:pStyle w:val="Compact"/>
              <w:spacing w:after="40"/>
              <w:jc w:val="left"/>
            </w:pPr>
            <w:r>
              <w:rPr>
                <w:sz w:val="18"/>
              </w:rPr>
              <w:t xml:space="preserve">off unless</w:t>
            </w:r>
            <w:r>
              <w:rPr>
                <w:sz w:val="18"/>
              </w:rPr>
              <w:t xml:space="preserve"> </w:t>
            </w:r>
            <w:r>
              <w:rPr>
                <w:rStyle w:val="VerbatimChar"/>
                <w:sz w:val="18"/>
              </w:rPr>
              <w:t xml:space="preserve">Y</w:t>
            </w:r>
          </w:p>
        </w:tc>
        <w:tc>
          <w:tcPr>
            <w:tcW w:w="2738" w:type="dxa"/>
          </w:tcPr>
          <w:p>
            <w:pPr>
              <w:pStyle w:val="Compact"/>
              <w:spacing w:after="40"/>
              <w:jc w:val="left"/>
            </w:pPr>
            <w:r>
              <w:rPr>
                <w:rStyle w:val="VerbatimChar"/>
                <w:sz w:val="18"/>
              </w:rPr>
              <w:t xml:space="preserve">Y</w:t>
            </w:r>
            <w:r>
              <w:rPr>
                <w:sz w:val="18"/>
              </w:rPr>
              <w:t xml:space="preserve"> </w:t>
            </w:r>
            <w:r>
              <w:rPr>
                <w:sz w:val="18"/>
              </w:rPr>
              <w:t xml:space="preserve">cells commercial;</w:t>
            </w:r>
            <w:r>
              <w:rPr>
                <w:sz w:val="18"/>
              </w:rPr>
              <w:t xml:space="preserve"> </w:t>
            </w:r>
            <w:r>
              <w:rPr>
                <w:bCs/>
                <w:b/>
                <w:sz w:val="18"/>
              </w:rPr>
              <w:t xml:space="preserve">N</w:t>
            </w:r>
            <w:r>
              <w:rPr>
                <w:sz w:val="18"/>
              </w:rPr>
              <w:t xml:space="preserve"> </w:t>
            </w:r>
            <w:r>
              <w:rPr>
                <w:sz w:val="18"/>
              </w:rPr>
              <w:t xml:space="preserve">cells fixed</w:t>
            </w:r>
          </w:p>
        </w:tc>
      </w:tr>
      <w:tr>
        <w:tc>
          <w:tcPr>
            <w:tcW w:w="3249" w:type="dxa"/>
          </w:tcPr>
          <w:p>
            <w:pPr>
              <w:pStyle w:val="Compact"/>
              <w:spacing w:after="40"/>
              <w:jc w:val="left"/>
            </w:pPr>
            <w:r>
              <w:rPr>
                <w:sz w:val="18"/>
              </w:rPr>
              <w:t xml:space="preserve">Profile-change detector thresholds</w:t>
            </w:r>
          </w:p>
        </w:tc>
        <w:tc>
          <w:tcPr>
            <w:tcW w:w="1429" w:type="dxa"/>
          </w:tcPr>
          <w:p>
            <w:pPr>
              <w:pStyle w:val="Compact"/>
              <w:spacing w:after="40"/>
              <w:jc w:val="left"/>
            </w:pPr>
            <w:r>
              <w:rPr>
                <w:sz w:val="18"/>
              </w:rPr>
              <w:t xml:space="preserve">Profile</w:t>
            </w:r>
          </w:p>
        </w:tc>
        <w:tc>
          <w:tcPr>
            <w:tcW w:w="2222" w:type="dxa"/>
          </w:tcPr>
          <w:p>
            <w:pPr>
              <w:pStyle w:val="Compact"/>
              <w:spacing w:after="40"/>
              <w:jc w:val="left"/>
            </w:pPr>
            <w:r>
              <w:rPr>
                <w:sz w:val="18"/>
              </w:rPr>
              <w:t xml:space="preserve">statutory bands</w:t>
            </w:r>
          </w:p>
        </w:tc>
        <w:tc>
          <w:tcPr>
            <w:tcW w:w="2738" w:type="dxa"/>
          </w:tcPr>
          <w:p>
            <w:pPr>
              <w:pStyle w:val="Compact"/>
              <w:spacing w:after="40"/>
              <w:jc w:val="left"/>
            </w:pPr>
            <w:r>
              <w:rPr>
                <w:sz w:val="18"/>
              </w:rPr>
              <w:t xml:space="preserve">Regulatory floor</w:t>
            </w:r>
          </w:p>
        </w:tc>
      </w:tr>
    </w:tbl>
    <w:bookmarkEnd w:id="533"/>
    <w:bookmarkStart w:id="534" w:name="menu-and-screens-15"/>
    <w:p>
      <w:pPr>
        <w:pStyle w:val="Heading3"/>
      </w:pPr>
      <w:r>
        <w:t xml:space="preserve">Menu and screens</w:t>
      </w:r>
    </w:p>
    <w:p>
      <w:pPr>
        <w:numPr>
          <w:ilvl w:val="0"/>
          <w:numId w:val="1463"/>
        </w:numPr>
        <w:pStyle w:val="Compact"/>
      </w:pPr>
      <w:r>
        <w:rPr>
          <w:bCs/>
          <w:b/>
        </w:rPr>
        <w:t xml:space="preserve">Settings › Organisation › Institution profile</w:t>
      </w:r>
      <w:r>
        <w:t xml:space="preserve"> </w:t>
      </w:r>
      <w:r>
        <w:t xml:space="preserve">(workspace N; CCO and tenant admin): profile summary (type, packs, flags, entitlements, open guard-rail exceptions);</w:t>
      </w:r>
      <w:r>
        <w:t xml:space="preserve"> </w:t>
      </w:r>
      <w:r>
        <w:rPr>
          <w:bCs/>
          <w:b/>
        </w:rPr>
        <w:t xml:space="preserve">Activate profile</w:t>
      </w:r>
      <w:r>
        <w:t xml:space="preserve"> </w:t>
      </w:r>
      <w:r>
        <w:t xml:space="preserve">wizard (type → legal facts → evidence upload → pack binding with counsel status → capability preview → approval); empty state</w:t>
      </w:r>
      <w:r>
        <w:t xml:space="preserve"> </w:t>
      </w:r>
      <w:r>
        <w:t xml:space="preserve">“</w:t>
      </w:r>
      <w:r>
        <w:t xml:space="preserve">No profile: products and returns are locked</w:t>
      </w:r>
      <w:r>
        <w:t xml:space="preserve">”</w:t>
      </w:r>
      <w:r>
        <w:t xml:space="preserve">.</w:t>
      </w:r>
    </w:p>
    <w:p>
      <w:pPr>
        <w:numPr>
          <w:ilvl w:val="0"/>
          <w:numId w:val="1463"/>
        </w:numPr>
        <w:pStyle w:val="Compact"/>
      </w:pPr>
      <w:r>
        <w:rPr>
          <w:bCs/>
          <w:b/>
        </w:rPr>
        <w:t xml:space="preserve">Settings › Rule packs:</w:t>
      </w:r>
      <w:r>
        <w:t xml:space="preserve"> </w:t>
      </w:r>
      <w:r>
        <w:t xml:space="preserve">list with layer, version, status and effective dates (filters: layer, status, expiring in 90 days); detail with clause map and source link;</w:t>
      </w:r>
      <w:r>
        <w:t xml:space="preserve"> </w:t>
      </w:r>
      <w:r>
        <w:rPr>
          <w:bCs/>
          <w:b/>
        </w:rPr>
        <w:t xml:space="preserve">Compare versions</w:t>
      </w:r>
      <w:r>
        <w:t xml:space="preserve">;</w:t>
      </w:r>
      <w:r>
        <w:t xml:space="preserve"> </w:t>
      </w:r>
      <w:r>
        <w:rPr>
          <w:bCs/>
          <w:b/>
        </w:rPr>
        <w:t xml:space="preserve">Upload bye-law (L3)</w:t>
      </w:r>
      <w:r>
        <w:t xml:space="preserve">; approval queue for L3–L4 changes; error state shows</w:t>
      </w:r>
      <w:r>
        <w:t xml:space="preserve"> </w:t>
      </w:r>
      <w:r>
        <w:rPr>
          <w:rStyle w:val="VerbatimChar"/>
        </w:rPr>
        <w:t xml:space="preserve">RULE_LOOSENING_BLOCKED</w:t>
      </w:r>
      <w:r>
        <w:t xml:space="preserve"> </w:t>
      </w:r>
      <w:r>
        <w:t xml:space="preserve">with the governing layer and value.</w:t>
      </w:r>
    </w:p>
    <w:p>
      <w:pPr>
        <w:numPr>
          <w:ilvl w:val="0"/>
          <w:numId w:val="1463"/>
        </w:numPr>
        <w:pStyle w:val="Compact"/>
      </w:pPr>
      <w:r>
        <w:rPr>
          <w:bCs/>
          <w:b/>
        </w:rPr>
        <w:t xml:space="preserve">Compliance › Guard-rails:</w:t>
      </w:r>
      <w:r>
        <w:t xml:space="preserve"> </w:t>
      </w:r>
      <w:r>
        <w:t xml:space="preserve">registry (read-only for every role), evaluation log (filters: guard-rail, outcome, date, user), export CSV; profile-change queue with impact report and glide-path chart.</w:t>
      </w:r>
    </w:p>
    <w:bookmarkEnd w:id="534"/>
    <w:bookmarkStart w:id="535" w:name="acceptance-tests-41"/>
    <w:p>
      <w:pPr>
        <w:pStyle w:val="Heading3"/>
      </w:pPr>
      <w:r>
        <w:t xml:space="preserve">Acceptance tests</w:t>
      </w:r>
    </w:p>
    <w:p>
      <w:pPr>
        <w:numPr>
          <w:ilvl w:val="0"/>
          <w:numId w:val="1464"/>
        </w:numPr>
        <w:pStyle w:val="Compact"/>
      </w:pPr>
      <w:r>
        <w:rPr>
          <w:rStyle w:val="VerbatimChar"/>
        </w:rPr>
        <w:t xml:space="preserve">CREDIT_COOP_MSCS</w:t>
      </w:r>
      <w:r>
        <w:t xml:space="preserve"> </w:t>
      </w:r>
      <w:r>
        <w:t xml:space="preserve">tenant creating a co-lending partner, DA pool or SR investment → each blocked with its guard-rail code.</w:t>
      </w:r>
    </w:p>
    <w:p>
      <w:pPr>
        <w:numPr>
          <w:ilvl w:val="0"/>
          <w:numId w:val="1464"/>
        </w:numPr>
        <w:pStyle w:val="Compact"/>
      </w:pPr>
      <w:r>
        <w:t xml:space="preserve">Board policy sets the microfinance household cap at 55% →</w:t>
      </w:r>
      <w:r>
        <w:t xml:space="preserve"> </w:t>
      </w:r>
      <w:r>
        <w:rPr>
          <w:rStyle w:val="VerbatimChar"/>
        </w:rPr>
        <w:t xml:space="preserve">RULE_LOOSENING_BLOCKED</w:t>
      </w:r>
      <w:r>
        <w:t xml:space="preserve">; 45% → accepted.</w:t>
      </w:r>
    </w:p>
    <w:p>
      <w:pPr>
        <w:numPr>
          <w:ilvl w:val="0"/>
          <w:numId w:val="1464"/>
        </w:numPr>
        <w:pStyle w:val="Compact"/>
      </w:pPr>
      <w:r>
        <w:t xml:space="preserve">Activating a Rajasthan</w:t>
      </w:r>
      <w:r>
        <w:t xml:space="preserve"> </w:t>
      </w:r>
      <w:r>
        <w:rPr>
          <w:rStyle w:val="VerbatimChar"/>
        </w:rPr>
        <w:t xml:space="preserve">CREDIT_COOP_STATE</w:t>
      </w:r>
      <w:r>
        <w:t xml:space="preserve"> </w:t>
      </w:r>
      <w:r>
        <w:t xml:space="preserve">profile on a stub pack → refused until counsel-signed.</w:t>
      </w:r>
    </w:p>
    <w:p>
      <w:pPr>
        <w:numPr>
          <w:ilvl w:val="0"/>
          <w:numId w:val="1464"/>
        </w:numPr>
        <w:pStyle w:val="Compact"/>
      </w:pPr>
      <w:r>
        <w:rPr>
          <w:rStyle w:val="VerbatimChar"/>
        </w:rPr>
        <w:t xml:space="preserve">COOP</w:t>
      </w:r>
      <w:r>
        <w:t xml:space="preserve"> </w:t>
      </w:r>
      <w:r>
        <w:t xml:space="preserve">vocabulary relabels</w:t>
      </w:r>
      <w:r>
        <w:t xml:space="preserve"> </w:t>
      </w:r>
      <w:r>
        <w:t xml:space="preserve">“</w:t>
      </w:r>
      <w:r>
        <w:t xml:space="preserve">Customer</w:t>
      </w:r>
      <w:r>
        <w:t xml:space="preserve">”</w:t>
      </w:r>
      <w:r>
        <w:t xml:space="preserve"> </w:t>
      </w:r>
      <w:r>
        <w:t xml:space="preserve">as</w:t>
      </w:r>
      <w:r>
        <w:t xml:space="preserve"> </w:t>
      </w:r>
      <w:r>
        <w:t xml:space="preserve">“</w:t>
      </w:r>
      <w:r>
        <w:t xml:space="preserve">Member</w:t>
      </w:r>
      <w:r>
        <w:t xml:space="preserve">”</w:t>
      </w:r>
      <w:r>
        <w:t xml:space="preserve"> </w:t>
      </w:r>
      <w:r>
        <w:t xml:space="preserve">in the UI; CIC export field names unchanged.</w:t>
      </w:r>
    </w:p>
    <w:p>
      <w:pPr>
        <w:numPr>
          <w:ilvl w:val="0"/>
          <w:numId w:val="1464"/>
        </w:numPr>
        <w:pStyle w:val="Compact"/>
      </w:pPr>
      <w:r>
        <w:t xml:space="preserve">MSCS deposits cross ₹100 crore → Small to Medium; CRAR target 9% to 12% from the approved effective date, glide path shown.</w:t>
      </w:r>
    </w:p>
    <w:p>
      <w:pPr>
        <w:numPr>
          <w:ilvl w:val="0"/>
          <w:numId w:val="1464"/>
        </w:numPr>
        <w:pStyle w:val="Compact"/>
      </w:pPr>
      <w:r>
        <w:t xml:space="preserve">A society named</w:t>
      </w:r>
      <w:r>
        <w:t xml:space="preserve"> </w:t>
      </w:r>
      <w:r>
        <w:t xml:space="preserve">“</w:t>
      </w:r>
      <w:r>
        <w:t xml:space="preserve">Sahakari Bank Credit Society</w:t>
      </w:r>
      <w:r>
        <w:t xml:space="preserve">”</w:t>
      </w:r>
      <w:r>
        <w:t xml:space="preserve"> </w:t>
      </w:r>
      <w:r>
        <w:t xml:space="preserve">→ activation fails (GR-7G-02).</w:t>
      </w:r>
    </w:p>
    <w:p>
      <w:pPr>
        <w:numPr>
          <w:ilvl w:val="0"/>
          <w:numId w:val="1464"/>
        </w:numPr>
        <w:pStyle w:val="Compact"/>
      </w:pPr>
      <w:r>
        <w:t xml:space="preserve">A corrected pack back-dated by 2 months → past decisions unchanged; impact report lists the failing ones and a remediation task opens for each.</w:t>
      </w:r>
    </w:p>
    <w:p>
      <w:r>
        <w:pict>
          <v:rect style="width:0;height:1.5pt" o:hralign="center" o:hrstd="t" o:hr="t"/>
        </w:pict>
      </w:r>
    </w:p>
    <w:bookmarkEnd w:id="535"/>
    <w:bookmarkEnd w:id="536"/>
    <w:bookmarkStart w:id="554" w:name="ip2.-credit-co-operative-societies"/>
    <w:p>
      <w:pPr>
        <w:pStyle w:val="Heading2"/>
      </w:pPr>
      <w:r>
        <w:t xml:space="preserve">IP2. Credit co-operative societies</w:t>
      </w:r>
    </w:p>
    <w:bookmarkStart w:id="537" w:name="ip2.1-legal-position"/>
    <w:p>
      <w:pPr>
        <w:pStyle w:val="Heading3"/>
      </w:pPr>
      <w:r>
        <w:t xml:space="preserve">IP2.1 Legal position</w:t>
      </w:r>
    </w:p>
    <w:p>
      <w:pPr>
        <w:numPr>
          <w:ilvl w:val="0"/>
          <w:numId w:val="1465"/>
        </w:numPr>
        <w:pStyle w:val="Compact"/>
      </w:pPr>
      <w:r>
        <w:t xml:space="preserve">A State or multi-State credit co-operative society is</w:t>
      </w:r>
      <w:r>
        <w:t xml:space="preserve"> </w:t>
      </w:r>
      <w:r>
        <w:rPr>
          <w:bCs/>
          <w:b/>
        </w:rPr>
        <w:t xml:space="preserve">not</w:t>
      </w:r>
      <w:r>
        <w:t xml:space="preserve"> </w:t>
      </w:r>
      <w:r>
        <w:t xml:space="preserve">an RBI regulated entity; RBI Directions on digital lending, co-lending, IRACP, capital and returns do not bind it [REC, from TDCR para 97 and RBI press release of 22 Nov 2021].</w:t>
      </w:r>
    </w:p>
    <w:p>
      <w:pPr>
        <w:numPr>
          <w:ilvl w:val="0"/>
          <w:numId w:val="1465"/>
        </w:numPr>
        <w:pStyle w:val="Compact"/>
      </w:pPr>
      <w:r>
        <w:t xml:space="preserve">It is still bound by its Act, Rules and bye-laws; the DPDP Act 2023 (data fiduciary); consumer protection law; TRAI rules; BUDS (MSCS deposits from voting members are a regulated scheme, First Schedule item 8; State society schemes item 4(i)); State coercion laws (TN40).</w:t>
      </w:r>
    </w:p>
    <w:p>
      <w:pPr>
        <w:numPr>
          <w:ilvl w:val="0"/>
          <w:numId w:val="1465"/>
        </w:numPr>
        <w:pStyle w:val="Compact"/>
      </w:pPr>
      <w:r>
        <w:t xml:space="preserve">Non-bank co-operatives may not use</w:t>
      </w:r>
      <w:r>
        <w:t xml:space="preserve"> </w:t>
      </w:r>
      <w:r>
        <w:t xml:space="preserve">“</w:t>
      </w:r>
      <w:r>
        <w:t xml:space="preserve">bank</w:t>
      </w:r>
      <w:r>
        <w:t xml:space="preserve">”</w:t>
      </w:r>
      <w:r>
        <w:t xml:space="preserve">,</w:t>
      </w:r>
      <w:r>
        <w:t xml:space="preserve"> </w:t>
      </w:r>
      <w:r>
        <w:t xml:space="preserve">“</w:t>
      </w:r>
      <w:r>
        <w:t xml:space="preserve">banker</w:t>
      </w:r>
      <w:r>
        <w:t xml:space="preserve">”</w:t>
      </w:r>
      <w:r>
        <w:t xml:space="preserve"> </w:t>
      </w:r>
      <w:r>
        <w:t xml:space="preserve">or</w:t>
      </w:r>
      <w:r>
        <w:t xml:space="preserve"> </w:t>
      </w:r>
      <w:r>
        <w:t xml:space="preserve">“</w:t>
      </w:r>
      <w:r>
        <w:t xml:space="preserve">banking</w:t>
      </w:r>
      <w:r>
        <w:t xml:space="preserve">”</w:t>
      </w:r>
      <w:r>
        <w:t xml:space="preserve"> </w:t>
      </w:r>
      <w:r>
        <w:t xml:space="preserve">(since 29 Sep 2020); deposits from non-members, nominal or associate members are unlicensed banking without DICGC cover (RBI press release 22 Nov 2021).</w:t>
      </w:r>
    </w:p>
    <w:p>
      <w:pPr>
        <w:numPr>
          <w:ilvl w:val="0"/>
          <w:numId w:val="1465"/>
        </w:numPr>
        <w:pStyle w:val="Compact"/>
      </w:pPr>
      <w:r>
        <w:t xml:space="preserve">Money-lending Acts exclude co-operative loans (Maharashtra Money-Lending (Regulation) Act 2014 s.2(13)(e); KA15 s.1(3)) [VERIFY other States].</w:t>
      </w:r>
    </w:p>
    <w:p>
      <w:pPr>
        <w:numPr>
          <w:ilvl w:val="0"/>
          <w:numId w:val="1465"/>
        </w:numPr>
        <w:pStyle w:val="Compact"/>
      </w:pPr>
      <w:r>
        <w:rPr>
          <w:bCs/>
          <w:b/>
        </w:rPr>
        <w:t xml:space="preserve">Default conduct [REC]:</w:t>
      </w:r>
      <w:r>
        <w:t xml:space="preserve"> </w:t>
      </w:r>
      <w:r>
        <w:t xml:space="preserve">RE-equivalent disclosure, collection, grievance and data practices.</w:t>
      </w:r>
    </w:p>
    <w:bookmarkEnd w:id="537"/>
    <w:bookmarkStart w:id="538" w:name="ip2.2-rule-packs"/>
    <w:p>
      <w:pPr>
        <w:pStyle w:val="Heading3"/>
      </w:pPr>
      <w:r>
        <w:t xml:space="preserve">IP2.2 Rule packs</w:t>
      </w:r>
    </w:p>
    <w:p>
      <w:pPr>
        <w:numPr>
          <w:ilvl w:val="0"/>
          <w:numId w:val="1466"/>
        </w:numPr>
        <w:pStyle w:val="Compact"/>
      </w:pPr>
      <w:r>
        <w:rPr>
          <w:bCs/>
          <w:b/>
        </w:rPr>
        <w:t xml:space="preserve">Shipped complete:</w:t>
      </w:r>
      <w:r>
        <w:t xml:space="preserve"> </w:t>
      </w:r>
      <w:r>
        <w:t xml:space="preserve">MSCS (Act, Rules 2023, CRCS orders of 22 Jan 2024 and July 2025, model thrift and credit bye-laws) and Maharashtra (MCS Act 1960 incl. Ch XI-1A, MCS Rules 1961, Regulatory Board regulations [VERIFY texts]).</w:t>
      </w:r>
    </w:p>
    <w:p>
      <w:pPr>
        <w:numPr>
          <w:ilvl w:val="0"/>
          <w:numId w:val="1466"/>
        </w:numPr>
        <w:pStyle w:val="Compact"/>
      </w:pPr>
      <w:r>
        <w:rPr>
          <w:bCs/>
          <w:b/>
        </w:rPr>
        <w:t xml:space="preserve">Stubs, completed at onboarding with counsel:</w:t>
      </w:r>
      <w:r>
        <w:t xml:space="preserve"> </w:t>
      </w:r>
      <w:r>
        <w:t xml:space="preserve">Gujarat, Rajasthan, Karnataka (KCS Act 1959, Souharda Act 1997), Kerala, Tamil Nadu, Madhya Pradesh, Uttar Pradesh. Each covers member classes, deposit eligibility, share linkage, loan caps, NPA and provisioning, liquidity, appropriation, dividend cap, audit and return calendar, audit classes, dispute forum, recovery route and coercion overlay.</w:t>
      </w:r>
    </w:p>
    <w:bookmarkEnd w:id="538"/>
    <w:bookmarkStart w:id="539" w:name="ip2.3-membership-register"/>
    <w:p>
      <w:pPr>
        <w:pStyle w:val="Heading3"/>
      </w:pPr>
      <w:r>
        <w:t xml:space="preserve">IP2.3 Membership register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47"/>
        <w:gridCol w:w="1179"/>
        <w:gridCol w:w="1179"/>
        <w:gridCol w:w="1179"/>
        <w:gridCol w:w="1179"/>
        <w:gridCol w:w="1201"/>
        <w:gridCol w:w="1474"/>
      </w:tblGrid>
      <w:tr>
        <w:trPr>
          <w:tblHeader w:val="true"/>
          <w:tblHeader w:val="true"/>
        </w:trPr>
        <w:tc>
          <w:tcPr>
            <w:tcW w:w="2247" w:type="dxa"/>
            <w:shd w:val="clear" w:color="auto" w:fill="1F3A5F"/>
          </w:tcPr>
          <w:p>
            <w:pPr>
              <w:pStyle w:val="Compact"/>
              <w:spacing w:after="40"/>
              <w:jc w:val="left"/>
            </w:pPr>
            <w:r>
              <w:rPr>
                <w:b/>
                <w:color w:val="FFFFFF"/>
                <w:sz w:val="18"/>
              </w:rPr>
              <w:t xml:space="preserve">Class</w:t>
            </w:r>
          </w:p>
        </w:tc>
        <w:tc>
          <w:tcPr>
            <w:tcW w:w="1179" w:type="dxa"/>
            <w:shd w:val="clear" w:color="auto" w:fill="1F3A5F"/>
          </w:tcPr>
          <w:p>
            <w:pPr>
              <w:pStyle w:val="Compact"/>
              <w:spacing w:after="40"/>
              <w:jc w:val="left"/>
            </w:pPr>
            <w:r>
              <w:rPr>
                <w:b/>
                <w:color w:val="FFFFFF"/>
                <w:sz w:val="18"/>
              </w:rPr>
              <w:t xml:space="preserve">Vote</w:t>
            </w:r>
          </w:p>
        </w:tc>
        <w:tc>
          <w:tcPr>
            <w:tcW w:w="1179" w:type="dxa"/>
            <w:shd w:val="clear" w:color="auto" w:fill="1F3A5F"/>
          </w:tcPr>
          <w:p>
            <w:pPr>
              <w:pStyle w:val="Compact"/>
              <w:spacing w:after="40"/>
              <w:jc w:val="left"/>
            </w:pPr>
            <w:r>
              <w:rPr>
                <w:b/>
                <w:color w:val="FFFFFF"/>
                <w:sz w:val="18"/>
              </w:rPr>
              <w:t xml:space="preserve">Deposit</w:t>
            </w:r>
          </w:p>
        </w:tc>
        <w:tc>
          <w:tcPr>
            <w:tcW w:w="1179" w:type="dxa"/>
            <w:shd w:val="clear" w:color="auto" w:fill="1F3A5F"/>
          </w:tcPr>
          <w:p>
            <w:pPr>
              <w:pStyle w:val="Compact"/>
              <w:spacing w:after="40"/>
              <w:jc w:val="left"/>
            </w:pPr>
            <w:r>
              <w:rPr>
                <w:b/>
                <w:color w:val="FFFFFF"/>
                <w:sz w:val="18"/>
              </w:rPr>
              <w:t xml:space="preserve">Borrow</w:t>
            </w:r>
          </w:p>
        </w:tc>
        <w:tc>
          <w:tcPr>
            <w:tcW w:w="1179" w:type="dxa"/>
            <w:shd w:val="clear" w:color="auto" w:fill="1F3A5F"/>
          </w:tcPr>
          <w:p>
            <w:pPr>
              <w:pStyle w:val="Compact"/>
              <w:spacing w:after="40"/>
              <w:jc w:val="left"/>
            </w:pPr>
            <w:r>
              <w:rPr>
                <w:b/>
                <w:color w:val="FFFFFF"/>
                <w:sz w:val="18"/>
              </w:rPr>
              <w:t xml:space="preserve">Surety</w:t>
            </w:r>
          </w:p>
        </w:tc>
        <w:tc>
          <w:tcPr>
            <w:tcW w:w="1201" w:type="dxa"/>
            <w:shd w:val="clear" w:color="auto" w:fill="1F3A5F"/>
          </w:tcPr>
          <w:p>
            <w:pPr>
              <w:pStyle w:val="Compact"/>
              <w:spacing w:after="40"/>
              <w:jc w:val="left"/>
            </w:pPr>
            <w:r>
              <w:rPr>
                <w:b/>
                <w:color w:val="FFFFFF"/>
                <w:sz w:val="18"/>
              </w:rPr>
              <w:t xml:space="preserve">General Body</w:t>
            </w:r>
          </w:p>
        </w:tc>
        <w:tc>
          <w:tcPr>
            <w:tcW w:w="1474" w:type="dxa"/>
            <w:shd w:val="clear" w:color="auto" w:fill="1F3A5F"/>
          </w:tcPr>
          <w:p>
            <w:pPr>
              <w:pStyle w:val="Compact"/>
              <w:spacing w:after="40"/>
              <w:jc w:val="left"/>
            </w:pPr>
            <w:r>
              <w:rPr>
                <w:b/>
                <w:color w:val="FFFFFF"/>
                <w:sz w:val="18"/>
              </w:rPr>
              <w:t xml:space="preserve">Dividend</w:t>
            </w:r>
          </w:p>
        </w:tc>
      </w:tr>
      <w:tr>
        <w:tc>
          <w:tcPr>
            <w:tcW w:w="2247" w:type="dxa"/>
          </w:tcPr>
          <w:p>
            <w:pPr>
              <w:pStyle w:val="Compact"/>
              <w:spacing w:after="40"/>
              <w:jc w:val="left"/>
            </w:pPr>
            <w:r>
              <w:rPr>
                <w:rStyle w:val="VerbatimChar"/>
                <w:sz w:val="18"/>
              </w:rPr>
              <w:t xml:space="preserve">ORDINARY_VOTING</w:t>
            </w:r>
          </w:p>
        </w:tc>
        <w:tc>
          <w:tcPr>
            <w:tcW w:w="1179" w:type="dxa"/>
          </w:tcPr>
          <w:p>
            <w:pPr>
              <w:pStyle w:val="Compact"/>
              <w:spacing w:after="40"/>
              <w:jc w:val="left"/>
            </w:pPr>
            <w:r>
              <w:rPr>
                <w:sz w:val="18"/>
              </w:rPr>
              <w:t xml:space="preserve">Y</w:t>
            </w:r>
          </w:p>
        </w:tc>
        <w:tc>
          <w:tcPr>
            <w:tcW w:w="1179" w:type="dxa"/>
          </w:tcPr>
          <w:p>
            <w:pPr>
              <w:pStyle w:val="Compact"/>
              <w:spacing w:after="40"/>
              <w:jc w:val="left"/>
            </w:pPr>
            <w:r>
              <w:rPr>
                <w:bCs/>
                <w:b/>
                <w:sz w:val="18"/>
              </w:rPr>
              <w:t xml:space="preserve">Y</w:t>
            </w:r>
          </w:p>
        </w:tc>
        <w:tc>
          <w:tcPr>
            <w:tcW w:w="1179" w:type="dxa"/>
          </w:tcPr>
          <w:p>
            <w:pPr>
              <w:pStyle w:val="Compact"/>
              <w:spacing w:after="40"/>
              <w:jc w:val="left"/>
            </w:pPr>
            <w:r>
              <w:rPr>
                <w:sz w:val="18"/>
              </w:rPr>
              <w:t xml:space="preserve">Y</w:t>
            </w:r>
          </w:p>
        </w:tc>
        <w:tc>
          <w:tcPr>
            <w:tcW w:w="1179" w:type="dxa"/>
          </w:tcPr>
          <w:p>
            <w:pPr>
              <w:pStyle w:val="Compact"/>
              <w:spacing w:after="40"/>
              <w:jc w:val="left"/>
            </w:pPr>
            <w:r>
              <w:rPr>
                <w:sz w:val="18"/>
              </w:rPr>
              <w:t xml:space="preserve">Y</w:t>
            </w:r>
          </w:p>
        </w:tc>
        <w:tc>
          <w:tcPr>
            <w:tcW w:w="1201" w:type="dxa"/>
          </w:tcPr>
          <w:p>
            <w:pPr>
              <w:pStyle w:val="Compact"/>
              <w:spacing w:after="40"/>
              <w:jc w:val="left"/>
            </w:pPr>
            <w:r>
              <w:rPr>
                <w:sz w:val="18"/>
              </w:rPr>
              <w:t xml:space="preserve">Y</w:t>
            </w:r>
          </w:p>
        </w:tc>
        <w:tc>
          <w:tcPr>
            <w:tcW w:w="1474" w:type="dxa"/>
          </w:tcPr>
          <w:p>
            <w:pPr>
              <w:pStyle w:val="Compact"/>
              <w:spacing w:after="40"/>
              <w:jc w:val="left"/>
            </w:pPr>
            <w:r>
              <w:rPr>
                <w:sz w:val="18"/>
              </w:rPr>
              <w:t xml:space="preserve">Y</w:t>
            </w:r>
          </w:p>
        </w:tc>
      </w:tr>
      <w:tr>
        <w:tc>
          <w:tcPr>
            <w:tcW w:w="2247" w:type="dxa"/>
          </w:tcPr>
          <w:p>
            <w:pPr>
              <w:pStyle w:val="Compact"/>
              <w:spacing w:after="40"/>
              <w:jc w:val="left"/>
            </w:pPr>
            <w:r>
              <w:rPr>
                <w:rStyle w:val="VerbatimChar"/>
                <w:sz w:val="18"/>
              </w:rPr>
              <w:t xml:space="preserve">NOMINAL</w:t>
            </w:r>
          </w:p>
        </w:tc>
        <w:tc>
          <w:tcPr>
            <w:tcW w:w="1179" w:type="dxa"/>
          </w:tcPr>
          <w:p>
            <w:pPr>
              <w:pStyle w:val="Compact"/>
              <w:spacing w:after="40"/>
              <w:jc w:val="left"/>
            </w:pPr>
            <w:r>
              <w:rPr>
                <w:sz w:val="18"/>
              </w:rPr>
              <w:t xml:space="preserve">N</w:t>
            </w:r>
          </w:p>
        </w:tc>
        <w:tc>
          <w:tcPr>
            <w:tcW w:w="1179" w:type="dxa"/>
          </w:tcPr>
          <w:p>
            <w:pPr>
              <w:pStyle w:val="Compact"/>
              <w:spacing w:after="40"/>
              <w:jc w:val="left"/>
            </w:pPr>
            <w:r>
              <w:rPr>
                <w:bCs/>
                <w:b/>
                <w:sz w:val="18"/>
              </w:rPr>
              <w:t xml:space="preserve">N (hard)</w:t>
            </w:r>
          </w:p>
        </w:tc>
        <w:tc>
          <w:tcPr>
            <w:tcW w:w="1179" w:type="dxa"/>
          </w:tcPr>
          <w:p>
            <w:pPr>
              <w:pStyle w:val="Compact"/>
              <w:spacing w:after="40"/>
              <w:jc w:val="left"/>
            </w:pPr>
            <w:r>
              <w:rPr>
                <w:sz w:val="18"/>
              </w:rPr>
              <w:t xml:space="preserve">bye-law</w:t>
            </w:r>
          </w:p>
        </w:tc>
        <w:tc>
          <w:tcPr>
            <w:tcW w:w="1179" w:type="dxa"/>
          </w:tcPr>
          <w:p>
            <w:pPr>
              <w:pStyle w:val="Compact"/>
              <w:spacing w:after="40"/>
              <w:jc w:val="left"/>
            </w:pPr>
            <w:r>
              <w:rPr>
                <w:sz w:val="18"/>
              </w:rPr>
              <w:t xml:space="preserve">N</w:t>
            </w:r>
          </w:p>
        </w:tc>
        <w:tc>
          <w:tcPr>
            <w:tcW w:w="1201" w:type="dxa"/>
          </w:tcPr>
          <w:p>
            <w:pPr>
              <w:pStyle w:val="Compact"/>
              <w:spacing w:after="40"/>
              <w:jc w:val="left"/>
            </w:pPr>
            <w:r>
              <w:rPr>
                <w:sz w:val="18"/>
              </w:rPr>
              <w:t xml:space="preserve">N</w:t>
            </w:r>
          </w:p>
        </w:tc>
        <w:tc>
          <w:tcPr>
            <w:tcW w:w="1474" w:type="dxa"/>
          </w:tcPr>
          <w:p>
            <w:pPr>
              <w:pStyle w:val="Compact"/>
              <w:spacing w:after="40"/>
              <w:jc w:val="left"/>
            </w:pPr>
            <w:r>
              <w:rPr>
                <w:sz w:val="18"/>
              </w:rPr>
              <w:t xml:space="preserve">N (SCS-MH s.24(2))</w:t>
            </w:r>
          </w:p>
        </w:tc>
      </w:tr>
      <w:tr>
        <w:tc>
          <w:tcPr>
            <w:tcW w:w="2247" w:type="dxa"/>
          </w:tcPr>
          <w:p>
            <w:pPr>
              <w:pStyle w:val="Compact"/>
              <w:spacing w:after="40"/>
              <w:jc w:val="left"/>
            </w:pPr>
            <w:r>
              <w:rPr>
                <w:rStyle w:val="VerbatimChar"/>
                <w:sz w:val="18"/>
              </w:rPr>
              <w:t xml:space="preserve">ASSOCIATE</w:t>
            </w:r>
          </w:p>
        </w:tc>
        <w:tc>
          <w:tcPr>
            <w:tcW w:w="1179" w:type="dxa"/>
          </w:tcPr>
          <w:p>
            <w:pPr>
              <w:pStyle w:val="Compact"/>
              <w:spacing w:after="40"/>
              <w:jc w:val="left"/>
            </w:pPr>
            <w:r>
              <w:rPr>
                <w:sz w:val="18"/>
              </w:rPr>
              <w:t xml:space="preserve">N</w:t>
            </w:r>
          </w:p>
        </w:tc>
        <w:tc>
          <w:tcPr>
            <w:tcW w:w="1179" w:type="dxa"/>
          </w:tcPr>
          <w:p>
            <w:pPr>
              <w:pStyle w:val="Compact"/>
              <w:spacing w:after="40"/>
              <w:jc w:val="left"/>
            </w:pPr>
            <w:r>
              <w:rPr>
                <w:bCs/>
                <w:b/>
                <w:sz w:val="18"/>
              </w:rPr>
              <w:t xml:space="preserve">N (hard)</w:t>
            </w:r>
          </w:p>
        </w:tc>
        <w:tc>
          <w:tcPr>
            <w:tcW w:w="1179" w:type="dxa"/>
          </w:tcPr>
          <w:p>
            <w:pPr>
              <w:pStyle w:val="Compact"/>
              <w:spacing w:after="40"/>
              <w:jc w:val="left"/>
            </w:pPr>
            <w:r>
              <w:rPr>
                <w:sz w:val="18"/>
              </w:rPr>
              <w:t xml:space="preserve">bye-law</w:t>
            </w:r>
          </w:p>
        </w:tc>
        <w:tc>
          <w:tcPr>
            <w:tcW w:w="1179" w:type="dxa"/>
          </w:tcPr>
          <w:p>
            <w:pPr>
              <w:pStyle w:val="Compact"/>
              <w:spacing w:after="40"/>
              <w:jc w:val="left"/>
            </w:pPr>
            <w:r>
              <w:rPr>
                <w:sz w:val="18"/>
              </w:rPr>
              <w:t xml:space="preserve">N</w:t>
            </w:r>
          </w:p>
        </w:tc>
        <w:tc>
          <w:tcPr>
            <w:tcW w:w="1201" w:type="dxa"/>
          </w:tcPr>
          <w:p>
            <w:pPr>
              <w:pStyle w:val="Compact"/>
              <w:spacing w:after="40"/>
              <w:jc w:val="left"/>
            </w:pPr>
            <w:r>
              <w:rPr>
                <w:sz w:val="18"/>
              </w:rPr>
              <w:t xml:space="preserve">N</w:t>
            </w:r>
          </w:p>
        </w:tc>
        <w:tc>
          <w:tcPr>
            <w:tcW w:w="1474" w:type="dxa"/>
          </w:tcPr>
          <w:p>
            <w:pPr>
              <w:pStyle w:val="Compact"/>
              <w:spacing w:after="40"/>
              <w:jc w:val="left"/>
            </w:pPr>
            <w:r>
              <w:rPr>
                <w:sz w:val="18"/>
              </w:rPr>
              <w:t xml:space="preserve">per Act</w:t>
            </w:r>
          </w:p>
        </w:tc>
      </w:tr>
      <w:tr>
        <w:tc>
          <w:tcPr>
            <w:tcW w:w="2247" w:type="dxa"/>
          </w:tcPr>
          <w:p>
            <w:pPr>
              <w:pStyle w:val="Compact"/>
              <w:spacing w:after="40"/>
              <w:jc w:val="left"/>
            </w:pPr>
            <w:r>
              <w:rPr>
                <w:rStyle w:val="VerbatimChar"/>
                <w:sz w:val="18"/>
              </w:rPr>
              <w:t xml:space="preserve">NON_VOTING_SHAREHOLDER</w:t>
            </w:r>
            <w:r>
              <w:rPr>
                <w:sz w:val="18"/>
              </w:rPr>
              <w:t xml:space="preserve"> </w:t>
            </w:r>
            <w:r>
              <w:rPr>
                <w:sz w:val="18"/>
              </w:rPr>
              <w:t xml:space="preserve">(MSCS s.26 proviso)</w:t>
            </w:r>
          </w:p>
        </w:tc>
        <w:tc>
          <w:tcPr>
            <w:tcW w:w="1179" w:type="dxa"/>
          </w:tcPr>
          <w:p>
            <w:pPr>
              <w:pStyle w:val="Compact"/>
              <w:spacing w:after="40"/>
              <w:jc w:val="left"/>
            </w:pPr>
            <w:r>
              <w:rPr>
                <w:sz w:val="18"/>
              </w:rPr>
              <w:t xml:space="preserve">N</w:t>
            </w:r>
          </w:p>
        </w:tc>
        <w:tc>
          <w:tcPr>
            <w:tcW w:w="1179" w:type="dxa"/>
          </w:tcPr>
          <w:p>
            <w:pPr>
              <w:pStyle w:val="Compact"/>
              <w:spacing w:after="40"/>
              <w:jc w:val="left"/>
            </w:pPr>
            <w:r>
              <w:rPr>
                <w:bCs/>
                <w:b/>
                <w:sz w:val="18"/>
              </w:rPr>
              <w:t xml:space="preserve">N (hard)</w:t>
            </w:r>
          </w:p>
        </w:tc>
        <w:tc>
          <w:tcPr>
            <w:tcW w:w="1179" w:type="dxa"/>
          </w:tcPr>
          <w:p>
            <w:pPr>
              <w:pStyle w:val="Compact"/>
              <w:spacing w:after="40"/>
              <w:jc w:val="left"/>
            </w:pPr>
            <w:r>
              <w:rPr>
                <w:sz w:val="18"/>
              </w:rPr>
              <w:t xml:space="preserve">bye-law</w:t>
            </w:r>
          </w:p>
        </w:tc>
        <w:tc>
          <w:tcPr>
            <w:tcW w:w="1179" w:type="dxa"/>
          </w:tcPr>
          <w:p>
            <w:pPr>
              <w:pStyle w:val="Compact"/>
              <w:spacing w:after="40"/>
              <w:jc w:val="left"/>
            </w:pPr>
            <w:r>
              <w:rPr>
                <w:sz w:val="18"/>
              </w:rPr>
              <w:t xml:space="preserve">N</w:t>
            </w:r>
          </w:p>
        </w:tc>
        <w:tc>
          <w:tcPr>
            <w:tcW w:w="1201" w:type="dxa"/>
          </w:tcPr>
          <w:p>
            <w:pPr>
              <w:pStyle w:val="Compact"/>
              <w:spacing w:after="40"/>
              <w:jc w:val="left"/>
            </w:pPr>
            <w:r>
              <w:rPr>
                <w:sz w:val="18"/>
              </w:rPr>
              <w:t xml:space="preserve">N</w:t>
            </w:r>
          </w:p>
        </w:tc>
        <w:tc>
          <w:tcPr>
            <w:tcW w:w="1474" w:type="dxa"/>
          </w:tcPr>
          <w:p>
            <w:pPr>
              <w:pStyle w:val="Compact"/>
              <w:spacing w:after="40"/>
              <w:jc w:val="left"/>
            </w:pPr>
            <w:r>
              <w:rPr>
                <w:sz w:val="18"/>
              </w:rPr>
              <w:t xml:space="preserve">bye-law</w:t>
            </w:r>
          </w:p>
        </w:tc>
      </w:tr>
      <w:tr>
        <w:tc>
          <w:tcPr>
            <w:tcW w:w="2247" w:type="dxa"/>
          </w:tcPr>
          <w:p>
            <w:pPr>
              <w:pStyle w:val="Compact"/>
              <w:spacing w:after="40"/>
              <w:jc w:val="left"/>
            </w:pPr>
            <w:r>
              <w:rPr>
                <w:rStyle w:val="VerbatimChar"/>
                <w:sz w:val="18"/>
              </w:rPr>
              <w:t xml:space="preserve">INSTITUTIONAL</w:t>
            </w:r>
          </w:p>
        </w:tc>
        <w:tc>
          <w:tcPr>
            <w:tcW w:w="1179" w:type="dxa"/>
          </w:tcPr>
          <w:p>
            <w:pPr>
              <w:pStyle w:val="Compact"/>
              <w:spacing w:after="40"/>
              <w:jc w:val="left"/>
            </w:pPr>
            <w:r>
              <w:rPr>
                <w:sz w:val="18"/>
              </w:rPr>
              <w:t xml:space="preserve">bye-law</w:t>
            </w:r>
          </w:p>
        </w:tc>
        <w:tc>
          <w:tcPr>
            <w:tcW w:w="1179" w:type="dxa"/>
          </w:tcPr>
          <w:p>
            <w:pPr>
              <w:pStyle w:val="Compact"/>
              <w:spacing w:after="40"/>
              <w:jc w:val="left"/>
            </w:pPr>
            <w:r>
              <w:rPr>
                <w:sz w:val="18"/>
              </w:rPr>
              <w:t xml:space="preserve">[VERIFY]</w:t>
            </w:r>
          </w:p>
        </w:tc>
        <w:tc>
          <w:tcPr>
            <w:tcW w:w="1179" w:type="dxa"/>
          </w:tcPr>
          <w:p>
            <w:pPr>
              <w:pStyle w:val="Compact"/>
              <w:spacing w:after="40"/>
              <w:jc w:val="left"/>
            </w:pPr>
            <w:r>
              <w:rPr>
                <w:sz w:val="18"/>
              </w:rPr>
              <w:t xml:space="preserve">bye-law</w:t>
            </w:r>
          </w:p>
        </w:tc>
        <w:tc>
          <w:tcPr>
            <w:tcW w:w="1179" w:type="dxa"/>
          </w:tcPr>
          <w:p>
            <w:pPr>
              <w:pStyle w:val="Compact"/>
              <w:spacing w:after="40"/>
              <w:jc w:val="left"/>
            </w:pPr>
            <w:r>
              <w:rPr>
                <w:sz w:val="18"/>
              </w:rPr>
              <w:t xml:space="preserve">N</w:t>
            </w:r>
          </w:p>
        </w:tc>
        <w:tc>
          <w:tcPr>
            <w:tcW w:w="1201" w:type="dxa"/>
          </w:tcPr>
          <w:p>
            <w:pPr>
              <w:pStyle w:val="Compact"/>
              <w:spacing w:after="40"/>
              <w:jc w:val="left"/>
            </w:pPr>
            <w:r>
              <w:rPr>
                <w:sz w:val="18"/>
              </w:rPr>
              <w:t xml:space="preserve">bye-law</w:t>
            </w:r>
          </w:p>
        </w:tc>
        <w:tc>
          <w:tcPr>
            <w:tcW w:w="1474" w:type="dxa"/>
          </w:tcPr>
          <w:p>
            <w:pPr>
              <w:pStyle w:val="Compact"/>
              <w:spacing w:after="40"/>
              <w:jc w:val="left"/>
            </w:pPr>
            <w:r>
              <w:rPr>
                <w:sz w:val="18"/>
              </w:rPr>
              <w:t xml:space="preserve">Y</w:t>
            </w:r>
          </w:p>
        </w:tc>
      </w:tr>
    </w:tbl>
    <w:p>
      <w:pPr>
        <w:numPr>
          <w:ilvl w:val="0"/>
          <w:numId w:val="1467"/>
        </w:numPr>
        <w:pStyle w:val="Compact"/>
      </w:pPr>
      <w:r>
        <w:t xml:space="preserve">Maharashtra</w:t>
      </w:r>
      <w:r>
        <w:t xml:space="preserve"> </w:t>
      </w:r>
      <w:r>
        <w:t xml:space="preserve">“</w:t>
      </w:r>
      <w:r>
        <w:t xml:space="preserve">associate member</w:t>
      </w:r>
      <w:r>
        <w:t xml:space="preserve">”</w:t>
      </w:r>
      <w:r>
        <w:t xml:space="preserve"> </w:t>
      </w:r>
      <w:r>
        <w:t xml:space="preserve">means a joint holder not first-named; the State pack maps it.</w:t>
      </w:r>
    </w:p>
    <w:p>
      <w:pPr>
        <w:numPr>
          <w:ilvl w:val="0"/>
          <w:numId w:val="1467"/>
        </w:numPr>
        <w:pStyle w:val="Compact"/>
      </w:pPr>
      <w:r>
        <w:rPr>
          <w:bCs/>
          <w:b/>
        </w:rPr>
        <w:t xml:space="preserve">States:</w:t>
      </w:r>
      <w:r>
        <w:t xml:space="preserve"> </w:t>
      </w:r>
      <w:r>
        <w:rPr>
          <w:rStyle w:val="VerbatimChar"/>
        </w:rPr>
        <w:t xml:space="preserve">APPLIED → SCRUTINY → APPROVED | REJECTED | DEEMED_REFUSED → ACTIVE ⇄ DEFAULTER → RESIGNED | EXPELLED | DECEASED → LIABILITY_TAIL → CLOSED</w:t>
      </w:r>
      <w:r>
        <w:t xml:space="preserve">.</w:t>
      </w:r>
    </w:p>
    <w:p>
      <w:pPr>
        <w:numPr>
          <w:ilvl w:val="0"/>
          <w:numId w:val="1467"/>
        </w:numPr>
        <w:pStyle w:val="Compact"/>
      </w:pPr>
      <w:r>
        <w:rPr>
          <w:bCs/>
          <w:b/>
        </w:rPr>
        <w:t xml:space="preserve">Timers:</w:t>
      </w:r>
      <w:r>
        <w:t xml:space="preserve"> </w:t>
      </w:r>
      <w:r>
        <w:t xml:space="preserve">MSCS decision within 4 months, communicated within 15 days, else</w:t>
      </w:r>
      <w:r>
        <w:t xml:space="preserve"> </w:t>
      </w:r>
      <w:r>
        <w:rPr>
          <w:rStyle w:val="VerbatimChar"/>
        </w:rPr>
        <w:t xml:space="preserve">DEEMED_REFUSED</w:t>
      </w:r>
      <w:r>
        <w:t xml:space="preserve"> </w:t>
      </w:r>
      <w:r>
        <w:t xml:space="preserve">(MSCS s.25(4)); ex-member liability 2 years (bye-law); expulsion bar 3 years (2023 amendment).</w:t>
      </w:r>
    </w:p>
    <w:p>
      <w:pPr>
        <w:numPr>
          <w:ilvl w:val="0"/>
          <w:numId w:val="1467"/>
        </w:numPr>
        <w:pStyle w:val="Compact"/>
      </w:pPr>
      <w:r>
        <w:rPr>
          <w:bCs/>
          <w:b/>
        </w:rPr>
        <w:t xml:space="preserve">Capture:</w:t>
      </w:r>
      <w:r>
        <w:t xml:space="preserve"> </w:t>
      </w:r>
      <w:r>
        <w:t xml:space="preserve">KYC (Aadhaar offline only, never stored; Voter ID; PAN), residence or employment in the area of operation, nominee, admission fee, share money, board resolution, Maharashtra Form I and J-1 lists (MCS Rules 32–33), one-credit-society borrowing declaration (MCS Rule 45).</w:t>
      </w:r>
    </w:p>
    <w:p>
      <w:pPr>
        <w:numPr>
          <w:ilvl w:val="0"/>
          <w:numId w:val="1467"/>
        </w:numPr>
        <w:pStyle w:val="Compact"/>
      </w:pPr>
      <w:r>
        <w:rPr>
          <w:bCs/>
          <w:b/>
        </w:rPr>
        <w:t xml:space="preserve">Holding cap:</w:t>
      </w:r>
      <w:r>
        <w:t xml:space="preserve"> </w:t>
      </w:r>
      <w:r>
        <w:t xml:space="preserve">one-fifth of share capital (model bye-laws).</w:t>
      </w:r>
      <w:r>
        <w:t xml:space="preserve"> </w:t>
      </w:r>
      <w:r>
        <w:rPr>
          <w:bCs/>
          <w:b/>
        </w:rPr>
        <w:t xml:space="preserve">Death:</w:t>
      </w:r>
      <w:r>
        <w:t xml:space="preserve"> </w:t>
      </w:r>
      <w:r>
        <w:t xml:space="preserve">freeze, nominee claim, lien and set-off against shares, dividend and deposits (bye-law cl.22), surety substitution task.</w:t>
      </w:r>
    </w:p>
    <w:p>
      <w:pPr>
        <w:numPr>
          <w:ilvl w:val="0"/>
          <w:numId w:val="1467"/>
        </w:numPr>
        <w:pStyle w:val="Compact"/>
      </w:pPr>
      <w:r>
        <w:rPr>
          <w:bCs/>
          <w:b/>
        </w:rPr>
        <w:t xml:space="preserve">Channels:</w:t>
      </w:r>
      <w:r>
        <w:t xml:space="preserve"> </w:t>
      </w:r>
      <w:r>
        <w:t xml:space="preserve">branch entry, or an application from Udofin through</w:t>
      </w:r>
      <w:r>
        <w:t xml:space="preserve"> </w:t>
      </w:r>
      <w:r>
        <w:rPr>
          <w:rStyle w:val="VerbatimChar"/>
        </w:rPr>
        <w:t xml:space="preserve">POST /v1/societies/{id}/membership-applications</w:t>
      </w:r>
      <w:r>
        <w:t xml:space="preserve"> </w:t>
      </w:r>
      <w:r>
        <w:t xml:space="preserve">(Integration Spec 6.24), which Finbyx serves for a society tenant and records as</w:t>
      </w:r>
      <w:r>
        <w:t xml:space="preserve"> </w:t>
      </w:r>
      <w:r>
        <w:rPr>
          <w:rStyle w:val="VerbatimChar"/>
        </w:rPr>
        <w:t xml:space="preserve">APPLIED</w:t>
      </w:r>
      <w:r>
        <w:t xml:space="preserve"> </w:t>
      </w:r>
      <w:r>
        <w:t xml:space="preserve">with</w:t>
      </w:r>
      <w:r>
        <w:t xml:space="preserve"> </w:t>
      </w:r>
      <w:r>
        <w:rPr>
          <w:rStyle w:val="VerbatimChar"/>
        </w:rPr>
        <w:t xml:space="preserve">source = UDOFIN</w:t>
      </w:r>
      <w:r>
        <w:t xml:space="preserve"> </w:t>
      </w:r>
      <w:r>
        <w:t xml:space="preserve">(idempotency key; acknowledgement within 5 minutes; the statutory timer starts on receipt).</w:t>
      </w:r>
      <w:r>
        <w:t xml:space="preserve"> </w:t>
      </w:r>
      <w:r>
        <w:rPr>
          <w:rStyle w:val="VerbatimChar"/>
        </w:rPr>
        <w:t xml:space="preserve">SCRUTINY</w:t>
      </w:r>
      <w:r>
        <w:t xml:space="preserve"> </w:t>
      </w:r>
      <w:r>
        <w:t xml:space="preserve">exits only by a committee or board decision with resolution reference; the applicant is told the outcome in writing with reasons for a refusal.</w:t>
      </w:r>
    </w:p>
    <w:p>
      <w:pPr>
        <w:numPr>
          <w:ilvl w:val="0"/>
          <w:numId w:val="1467"/>
        </w:numPr>
        <w:pStyle w:val="Compact"/>
      </w:pPr>
      <w:r>
        <w:rPr>
          <w:bCs/>
          <w:b/>
        </w:rPr>
        <w:t xml:space="preserve">Membership verification:</w:t>
      </w:r>
      <w:r>
        <w:t xml:space="preserve"> </w:t>
      </w:r>
      <w:r>
        <w:t xml:space="preserve">Finbyx serves</w:t>
      </w:r>
      <w:r>
        <w:t xml:space="preserve"> </w:t>
      </w:r>
      <w:r>
        <w:rPr>
          <w:rStyle w:val="VerbatimChar"/>
        </w:rPr>
        <w:t xml:space="preserve">GET /v1/societies/{id}/members/{ref}</w:t>
      </w:r>
      <w:r>
        <w:t xml:space="preserve"> </w:t>
      </w:r>
      <w:r>
        <w:t xml:space="preserve">(class, status, borrowing eligibility, share-holding sufficiency; consent reference required; never deposit data).</w:t>
      </w:r>
    </w:p>
    <w:p>
      <w:pPr>
        <w:numPr>
          <w:ilvl w:val="0"/>
          <w:numId w:val="1467"/>
        </w:numPr>
        <w:pStyle w:val="Compact"/>
      </w:pPr>
      <w:r>
        <w:rPr>
          <w:bCs/>
          <w:b/>
        </w:rPr>
        <w:t xml:space="preserve">Events (producer rule, Integration Spec 6.24):</w:t>
      </w:r>
      <w:r>
        <w:t xml:space="preserve"> </w:t>
      </w:r>
      <w:r>
        <w:t xml:space="preserve">the society’s system of record produces</w:t>
      </w:r>
      <w:r>
        <w:t xml:space="preserve"> </w:t>
      </w:r>
      <w:r>
        <w:rPr>
          <w:rStyle w:val="VerbatimChar"/>
        </w:rPr>
        <w:t xml:space="preserve">MemberAdmitted</w:t>
      </w:r>
      <w:r>
        <w:t xml:space="preserve"> </w:t>
      </w:r>
      <w:r>
        <w:t xml:space="preserve">(on</w:t>
      </w:r>
      <w:r>
        <w:t xml:space="preserve"> </w:t>
      </w:r>
      <w:r>
        <w:rPr>
          <w:rStyle w:val="VerbatimChar"/>
        </w:rPr>
        <w:t xml:space="preserve">ACTIVE</w:t>
      </w:r>
      <w:r>
        <w:t xml:space="preserve">) and</w:t>
      </w:r>
      <w:r>
        <w:t xml:space="preserve"> </w:t>
      </w:r>
      <w:r>
        <w:rPr>
          <w:rStyle w:val="VerbatimChar"/>
        </w:rPr>
        <w:t xml:space="preserve">ShareCapitalPosted</w:t>
      </w:r>
      <w:r>
        <w:t xml:space="preserve">; when that system is Finbyx, Finbyx produces them, otherwise the society’s certified LOS does and Finbyx produces nothing. Udofin consumes them for member-only journeys (Udofin UP4, MG1); status changes after admission reach Udofin only through the verification API. Applications from Udofin carry</w:t>
      </w:r>
      <w:r>
        <w:t xml:space="preserve"> </w:t>
      </w:r>
      <w:r>
        <w:rPr>
          <w:rStyle w:val="VerbatimChar"/>
        </w:rPr>
        <w:t xml:space="preserve">lender_type = NON_RE_SOCIETY</w:t>
      </w:r>
      <w:r>
        <w:t xml:space="preserve"> </w:t>
      </w:r>
      <w:r>
        <w:t xml:space="preserve">on</w:t>
      </w:r>
      <w:r>
        <w:t xml:space="preserve"> </w:t>
      </w:r>
      <w:r>
        <w:rPr>
          <w:rStyle w:val="VerbatimChar"/>
        </w:rPr>
        <w:t xml:space="preserve">ApplicationSubmitted</w:t>
      </w:r>
      <w:r>
        <w:t xml:space="preserve"> </w:t>
      </w:r>
      <w:r>
        <w:t xml:space="preserve">and route to the</w:t>
      </w:r>
      <w:r>
        <w:t xml:space="preserve"> </w:t>
      </w:r>
      <w:r>
        <w:rPr>
          <w:rStyle w:val="VerbatimChar"/>
        </w:rPr>
        <w:t xml:space="preserve">COOP</w:t>
      </w:r>
      <w:r>
        <w:t xml:space="preserve"> </w:t>
      </w:r>
      <w:r>
        <w:t xml:space="preserve">overlay (IP2.6).</w:t>
      </w:r>
    </w:p>
    <w:bookmarkEnd w:id="539"/>
    <w:bookmarkStart w:id="540" w:name="ip2.4-share-ledger"/>
    <w:p>
      <w:pPr>
        <w:pStyle w:val="Heading3"/>
      </w:pPr>
      <w:r>
        <w:t xml:space="preserve">IP2.4 Share ledger</w:t>
      </w:r>
    </w:p>
    <w:p>
      <w:pPr>
        <w:numPr>
          <w:ilvl w:val="0"/>
          <w:numId w:val="1468"/>
        </w:numPr>
        <w:pStyle w:val="Compact"/>
      </w:pPr>
      <w:r>
        <w:t xml:space="preserve">Events: allotment, instalment, transfer (after 1 year, board approval), redemption at face value, forfeiture, non-voting issue, lien.</w:t>
      </w:r>
    </w:p>
    <w:p>
      <w:pPr>
        <w:numPr>
          <w:ilvl w:val="0"/>
          <w:numId w:val="1468"/>
        </w:numPr>
        <w:pStyle w:val="Compact"/>
      </w:pPr>
      <w:r>
        <w:t xml:space="preserve">Validations: holding ≤ 20% of capital; no loan on the security of own shares (MSCS s.66(1)); no finance to buy shares; no redemption while borrower or surety in default.</w:t>
      </w:r>
    </w:p>
    <w:p>
      <w:pPr>
        <w:numPr>
          <w:ilvl w:val="0"/>
          <w:numId w:val="1468"/>
        </w:numPr>
        <w:pStyle w:val="Compact"/>
      </w:pPr>
      <w:r>
        <w:t xml:space="preserve">Linkage top-up:</w:t>
      </w:r>
      <w:r>
        <w:t xml:space="preserve"> </w:t>
      </w:r>
      <w:r>
        <w:rPr>
          <w:rStyle w:val="VerbatimChar"/>
        </w:rPr>
        <w:t xml:space="preserve">shares_required = ceil(loan × link_pct ÷ face_value)</w:t>
      </w:r>
      <w:r>
        <w:t xml:space="preserve">;</w:t>
      </w:r>
      <w:r>
        <w:t xml:space="preserve"> </w:t>
      </w:r>
      <w:r>
        <w:rPr>
          <w:rStyle w:val="VerbatimChar"/>
        </w:rPr>
        <w:t xml:space="preserve">top_up = max(0, shares_required − shares_held)</w:t>
      </w:r>
      <w:r>
        <w:t xml:space="preserve">; collected before disbursal or deducted only with displayed consent [REC].</w:t>
      </w:r>
    </w:p>
    <w:p>
      <w:pPr>
        <w:numPr>
          <w:ilvl w:val="0"/>
          <w:numId w:val="1468"/>
        </w:numPr>
        <w:pStyle w:val="Compact"/>
      </w:pPr>
      <w:r>
        <w:t xml:space="preserve">Dividend on year-end holdings (bye-law cl.48(a)); unclaimed dividend forfeited to reserve after 3 years.</w:t>
      </w:r>
    </w:p>
    <w:p>
      <w:pPr>
        <w:numPr>
          <w:ilvl w:val="0"/>
          <w:numId w:val="1468"/>
        </w:numPr>
        <w:pStyle w:val="Compact"/>
      </w:pPr>
      <w:r>
        <w:t xml:space="preserve">Event:</w:t>
      </w:r>
      <w:r>
        <w:t xml:space="preserve"> </w:t>
      </w:r>
      <w:r>
        <w:rPr>
          <w:rStyle w:val="VerbatimChar"/>
        </w:rPr>
        <w:t xml:space="preserve">ShareCapitalPosted</w:t>
      </w:r>
      <w:r>
        <w:t xml:space="preserve">.</w:t>
      </w:r>
    </w:p>
    <w:bookmarkEnd w:id="540"/>
    <w:bookmarkStart w:id="541" w:name="X97b9b1dc59a3057ee5060e91d5c9a3631fad68f"/>
    <w:p>
      <w:pPr>
        <w:pStyle w:val="Heading3"/>
      </w:pPr>
      <w:r>
        <w:t xml:space="preserve">IP2.5 Deposits: Deposit Ledger Adapter (v1.5); deposit module deferred to v1.6</w:t>
      </w:r>
    </w:p>
    <w:p>
      <w:pPr>
        <w:numPr>
          <w:ilvl w:val="0"/>
          <w:numId w:val="1469"/>
        </w:numPr>
        <w:pStyle w:val="Compact"/>
      </w:pPr>
      <w:r>
        <w:rPr>
          <w:bCs/>
          <w:b/>
        </w:rPr>
        <w:t xml:space="preserve">v1.5 Deposit Ledger Adapter (mandatory where the society holds deposits):</w:t>
      </w:r>
    </w:p>
    <w:p>
      <w:pPr>
        <w:numPr>
          <w:ilvl w:val="1"/>
          <w:numId w:val="1470"/>
        </w:numPr>
        <w:pStyle w:val="Compact"/>
      </w:pPr>
      <w:r>
        <w:t xml:space="preserve">daily SFTP CSV or API import from the society’s core: depositor and member IDs, product (savings, current, FD, RD, cumulative; bye-law cl.43), balance, rate, maturity, lien, as-of date, file hash;</w:t>
      </w:r>
    </w:p>
    <w:p>
      <w:pPr>
        <w:numPr>
          <w:ilvl w:val="1"/>
          <w:numId w:val="1470"/>
        </w:numPr>
        <w:pStyle w:val="Compact"/>
      </w:pPr>
      <w:r>
        <w:t xml:space="preserve">every deposit matched to the register; a non-member or non-voting depositor raises a GR-7G-01 exception, Board alert and remediation task. Finbyx cannot stop the core accepting it, so it blocks every Finbyx use of that deposit (lien, FD loan, set-off) until the exception is closed with evidence;</w:t>
      </w:r>
    </w:p>
    <w:p>
      <w:pPr>
        <w:numPr>
          <w:ilvl w:val="1"/>
          <w:numId w:val="1470"/>
        </w:numPr>
        <w:pStyle w:val="Compact"/>
      </w:pPr>
      <w:r>
        <w:t xml:space="preserve">leverage:</w:t>
      </w:r>
      <w:r>
        <w:t xml:space="preserve"> </w:t>
      </w:r>
      <w:r>
        <w:rPr>
          <w:rStyle w:val="VerbatimChar"/>
        </w:rPr>
        <w:t xml:space="preserve">(deposits + borrowings) ≤ multiple × (paid-up capital + reserves − accumulated losses)</w:t>
      </w:r>
      <w:r>
        <w:t xml:space="preserve">; multiple 10 for MSCS (CRCS order) and per State pack otherwise (MSCS s.67);</w:t>
      </w:r>
    </w:p>
    <w:p>
      <w:pPr>
        <w:numPr>
          <w:ilvl w:val="1"/>
          <w:numId w:val="1470"/>
        </w:numPr>
        <w:pStyle w:val="Compact"/>
      </w:pPr>
      <w:r>
        <w:t xml:space="preserve">loan against FD ≤ 90% (MCS Rule 45A);</w:t>
      </w:r>
    </w:p>
    <w:p>
      <w:pPr>
        <w:numPr>
          <w:ilvl w:val="1"/>
          <w:numId w:val="1470"/>
        </w:numPr>
        <w:pStyle w:val="Compact"/>
      </w:pPr>
      <w:r>
        <w:t xml:space="preserve">“</w:t>
      </w:r>
      <w:r>
        <w:t xml:space="preserve">Deposits with this society are not insured by DICGC</w:t>
      </w:r>
      <w:r>
        <w:t xml:space="preserve">”</w:t>
      </w:r>
      <w:r>
        <w:t xml:space="preserve"> </w:t>
      </w:r>
      <w:r>
        <w:t xml:space="preserve">on every member statement Finbyx produces [REC];</w:t>
      </w:r>
    </w:p>
    <w:p>
      <w:pPr>
        <w:numPr>
          <w:ilvl w:val="1"/>
          <w:numId w:val="1470"/>
        </w:numPr>
        <w:pStyle w:val="Compact"/>
      </w:pPr>
      <w:r>
        <w:t xml:space="preserve">import states</w:t>
      </w:r>
      <w:r>
        <w:t xml:space="preserve"> </w:t>
      </w:r>
      <w:r>
        <w:rPr>
          <w:rStyle w:val="VerbatimChar"/>
        </w:rPr>
        <w:t xml:space="preserve">RECEIVED → VALIDATED → MATCHED → PUBLISHED</w:t>
      </w:r>
      <w:r>
        <w:t xml:space="preserve">, or</w:t>
      </w:r>
      <w:r>
        <w:t xml:space="preserve"> </w:t>
      </w:r>
      <w:r>
        <w:rPr>
          <w:rStyle w:val="VerbatimChar"/>
        </w:rPr>
        <w:t xml:space="preserve">REJECTED</w:t>
      </w:r>
      <w:r>
        <w:t xml:space="preserve"> </w:t>
      </w:r>
      <w:r>
        <w:t xml:space="preserve">(hash, schema or control-total failure; the previous snapshot stays, marked stale). No file by the cut-off (default 07:00 IST [REC]) →</w:t>
      </w:r>
      <w:r>
        <w:t xml:space="preserve"> </w:t>
      </w:r>
      <w:r>
        <w:rPr>
          <w:rStyle w:val="VerbatimChar"/>
        </w:rPr>
        <w:t xml:space="preserve">STALE</w:t>
      </w:r>
      <w:r>
        <w:t xml:space="preserve"> </w:t>
      </w:r>
      <w:r>
        <w:t xml:space="preserve">alert to the society’s operations owner; after 2 business days, lien, FD-loan and set-off use is blocked until a fresh snapshot arrives. A corrected file for a past date replaces that snapshot as a new version and re-runs the leverage and GR-7G-01 checks for it.</w:t>
      </w:r>
    </w:p>
    <w:p>
      <w:pPr>
        <w:numPr>
          <w:ilvl w:val="0"/>
          <w:numId w:val="1469"/>
        </w:numPr>
        <w:pStyle w:val="Compact"/>
      </w:pPr>
      <w:r>
        <w:rPr>
          <w:bCs/>
          <w:b/>
        </w:rPr>
        <w:t xml:space="preserve">v1.6 deposit module (optional licensed add-on):</w:t>
      </w:r>
      <w:r>
        <w:t xml:space="preserve"> </w:t>
      </w:r>
      <w:r>
        <w:t xml:space="preserve">savings, FD, RD and cumulative accounts for societies and UCBs with GR-7G-01 enforced at source; gated on State legal review, an Income-tax Act 2025 TDS engine for deposit interest (7C AC5) [VERIFY sections], dormancy and unclaimed rules, and auditor sign-off on accruals.</w:t>
      </w:r>
    </w:p>
    <w:p>
      <w:pPr>
        <w:numPr>
          <w:ilvl w:val="0"/>
          <w:numId w:val="1469"/>
        </w:numPr>
        <w:pStyle w:val="Compact"/>
      </w:pPr>
      <w:r>
        <w:rPr>
          <w:bCs/>
          <w:b/>
        </w:rPr>
        <w:t xml:space="preserve">Udofin never lists, solicits, markets or collects deposits</w:t>
      </w:r>
      <w:r>
        <w:t xml:space="preserve">; read-only balances only if the society opts in (off by default).</w:t>
      </w:r>
    </w:p>
    <w:bookmarkEnd w:id="541"/>
    <w:bookmarkStart w:id="542" w:name="X8ed01f6a5f6c6048bd49511120615f1fb4d20d8"/>
    <w:p>
      <w:pPr>
        <w:pStyle w:val="Heading3"/>
      </w:pPr>
      <w:r>
        <w:t xml:space="preserve">IP2.6 Loan origination (</w:t>
      </w:r>
      <w:r>
        <w:rPr>
          <w:rStyle w:val="VerbatimChar"/>
        </w:rPr>
        <w:t xml:space="preserve">COOP</w:t>
      </w:r>
      <w:r>
        <w:t xml:space="preserve"> </w:t>
      </w:r>
      <w:r>
        <w:t xml:space="preserve">overlay on Part 6 templates)</w:t>
      </w:r>
    </w:p>
    <w:p>
      <w:pPr>
        <w:numPr>
          <w:ilvl w:val="0"/>
          <w:numId w:val="1471"/>
        </w:numPr>
        <w:pStyle w:val="Compact"/>
      </w:pPr>
      <w:r>
        <w:rPr>
          <w:bCs/>
          <w:b/>
        </w:rPr>
        <w:t xml:space="preserve">Member gate:</w:t>
      </w:r>
      <w:r>
        <w:t xml:space="preserve"> </w:t>
      </w:r>
      <w:r>
        <w:rPr>
          <w:rStyle w:val="VerbatimChar"/>
        </w:rPr>
        <w:t xml:space="preserve">ACTIVE</w:t>
      </w:r>
      <w:r>
        <w:t xml:space="preserve">, class can borrow, not</w:t>
      </w:r>
      <w:r>
        <w:t xml:space="preserve"> </w:t>
      </w:r>
      <w:r>
        <w:rPr>
          <w:rStyle w:val="VerbatimChar"/>
        </w:rPr>
        <w:t xml:space="preserve">DEFAULTER</w:t>
      </w:r>
      <w:r>
        <w:t xml:space="preserve">, KYC complete, MCS Rule 45 declaration (Maharashtra).</w:t>
      </w:r>
    </w:p>
    <w:p>
      <w:pPr>
        <w:numPr>
          <w:ilvl w:val="0"/>
          <w:numId w:val="1471"/>
        </w:numPr>
        <w:pStyle w:val="Compact"/>
      </w:pPr>
      <w:r>
        <w:rPr>
          <w:bCs/>
          <w:b/>
        </w:rPr>
        <w:t xml:space="preserve">Ceiling</w:t>
      </w:r>
      <w:r>
        <w:t xml:space="preserve"> </w:t>
      </w:r>
      <w:r>
        <w:rPr>
          <w:rStyle w:val="VerbatimChar"/>
        </w:rPr>
        <w:t xml:space="preserve">= min(bye-law product cap, share multiple × shares_held, 90% of pledged FD, single 15% / group 25% of Tier I + II capital)</w:t>
      </w:r>
      <w:r>
        <w:t xml:space="preserve">; unsecured book ≤ 15% of loans after the loan (SHG, employee and microfinance co-operatives exempt); housing only by Medium (≤ ₹1 crore) and Large (≤ ₹1.2 crore) MSCS; no land or builder loans (CRCS order 22 Jan 2024).</w:t>
      </w:r>
    </w:p>
    <w:p>
      <w:pPr>
        <w:numPr>
          <w:ilvl w:val="0"/>
          <w:numId w:val="1471"/>
        </w:numPr>
        <w:pStyle w:val="Compact"/>
      </w:pPr>
      <w:r>
        <w:rPr>
          <w:bCs/>
          <w:b/>
        </w:rPr>
        <w:t xml:space="preserve">Sureties:</w:t>
      </w:r>
      <w:r>
        <w:t xml:space="preserve"> </w:t>
      </w:r>
      <w:r>
        <w:t xml:space="preserve">active non-defaulting members only (a non-member’s security is barred, MSCS s.66(1)); live-guarantee cap per surety (default 2 [PRAC]); consent artefact; surety liability ledger.</w:t>
      </w:r>
    </w:p>
    <w:p>
      <w:pPr>
        <w:numPr>
          <w:ilvl w:val="0"/>
          <w:numId w:val="1471"/>
        </w:numPr>
        <w:pStyle w:val="Compact"/>
      </w:pPr>
      <w:r>
        <w:rPr>
          <w:bCs/>
          <w:b/>
        </w:rPr>
        <w:t xml:space="preserve">Directors and relatives:</w:t>
      </w:r>
      <w:r>
        <w:t xml:space="preserve"> </w:t>
      </w:r>
      <w:r>
        <w:t xml:space="preserve">recusal; aggregate ≤ 10% of member loans (bye-law cl.58(b)); reported to the AGM (MSCS s.39(3)).</w:t>
      </w:r>
    </w:p>
    <w:p>
      <w:pPr>
        <w:numPr>
          <w:ilvl w:val="0"/>
          <w:numId w:val="1471"/>
        </w:numPr>
        <w:pStyle w:val="Compact"/>
      </w:pPr>
      <w:r>
        <w:rPr>
          <w:bCs/>
          <w:b/>
        </w:rPr>
        <w:t xml:space="preserve">Affordability:</w:t>
      </w:r>
      <w:r>
        <w:t xml:space="preserve"> </w:t>
      </w:r>
      <w:r>
        <w:t xml:space="preserve">FOIR per policy; the 50% household cap for collateral-free loans to households ≤ ₹3 lakh [REC].</w:t>
      </w:r>
    </w:p>
    <w:p>
      <w:pPr>
        <w:numPr>
          <w:ilvl w:val="0"/>
          <w:numId w:val="1471"/>
        </w:numPr>
        <w:pStyle w:val="Compact"/>
      </w:pPr>
      <w:r>
        <w:rPr>
          <w:bCs/>
          <w:b/>
        </w:rPr>
        <w:t xml:space="preserve">Sanction</w:t>
      </w:r>
      <w:r>
        <w:t xml:space="preserve"> </w:t>
      </w:r>
      <w:r>
        <w:t xml:space="preserve">by committee or board with minutes reference and related-party check.</w:t>
      </w:r>
    </w:p>
    <w:p>
      <w:pPr>
        <w:numPr>
          <w:ilvl w:val="0"/>
          <w:numId w:val="1471"/>
        </w:numPr>
        <w:pStyle w:val="Compact"/>
      </w:pPr>
      <w:r>
        <w:rPr>
          <w:bCs/>
          <w:b/>
        </w:rPr>
        <w:t xml:space="preserve">Disclosure sheet:</w:t>
      </w:r>
      <w:r>
        <w:t xml:space="preserve"> </w:t>
      </w:r>
      <w:r>
        <w:t xml:space="preserve">APR, charges, schedule, recovery forum, grievance route [REC].</w:t>
      </w:r>
    </w:p>
    <w:p>
      <w:pPr>
        <w:numPr>
          <w:ilvl w:val="0"/>
          <w:numId w:val="1471"/>
        </w:numPr>
        <w:pStyle w:val="Compact"/>
      </w:pPr>
      <w:r>
        <w:rPr>
          <w:bCs/>
          <w:b/>
        </w:rPr>
        <w:t xml:space="preserve">Documents:</w:t>
      </w:r>
      <w:r>
        <w:t xml:space="preserve"> </w:t>
      </w:r>
      <w:r>
        <w:t xml:space="preserve">agreement (eSign or wet ink), surety bonds, land charge (MCS s.48) and salary-deduction authority (MCS s.49) where applicable [VERIFY].</w:t>
      </w:r>
    </w:p>
    <w:p>
      <w:pPr>
        <w:numPr>
          <w:ilvl w:val="0"/>
          <w:numId w:val="1471"/>
        </w:numPr>
        <w:pStyle w:val="Compact"/>
      </w:pPr>
      <w:r>
        <w:rPr>
          <w:bCs/>
          <w:b/>
        </w:rPr>
        <w:t xml:space="preserve">Disbursal</w:t>
      </w:r>
      <w:r>
        <w:t xml:space="preserve"> </w:t>
      </w:r>
      <w:r>
        <w:t xml:space="preserve">to the member’s own bank account; no cash disbursal by default.</w:t>
      </w:r>
      <w:r>
        <w:t xml:space="preserve"> </w:t>
      </w:r>
      <w:r>
        <w:rPr>
          <w:bCs/>
          <w:b/>
        </w:rPr>
        <w:t xml:space="preserve">Recall</w:t>
      </w:r>
      <w:r>
        <w:t xml:space="preserve"> </w:t>
      </w:r>
      <w:r>
        <w:t xml:space="preserve">on 1 week’s notice where permitted (MCS Rule 46).</w:t>
      </w:r>
    </w:p>
    <w:bookmarkEnd w:id="542"/>
    <w:bookmarkStart w:id="543" w:name="ip2.7-prudential-monitoring"/>
    <w:p>
      <w:pPr>
        <w:pStyle w:val="Heading3"/>
      </w:pPr>
      <w:r>
        <w:t xml:space="preserve">IP2.7 Prudential monitoring</w:t>
      </w:r>
    </w:p>
    <w:p>
      <w:pPr>
        <w:pStyle w:val="FirstParagraph"/>
      </w:pPr>
      <w:r>
        <w:rPr>
          <w:bCs/>
          <w:b/>
        </w:rPr>
        <w:t xml:space="preserve">MSCS — CRCS order L-11012/01/2023-Reg of 22 Jan 2024 [REG] [VERIFY: order text; secondary sources]: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81"/>
        <w:gridCol w:w="2856"/>
        <w:gridCol w:w="1617"/>
        <w:gridCol w:w="1664"/>
        <w:gridCol w:w="1620"/>
      </w:tblGrid>
      <w:tr>
        <w:trPr>
          <w:tblHeader w:val="true"/>
          <w:tblHeader w:val="true"/>
        </w:trPr>
        <w:tc>
          <w:tcPr>
            <w:tcW w:w="1881" w:type="dxa"/>
            <w:shd w:val="clear" w:color="auto" w:fill="1F3A5F"/>
          </w:tcPr>
          <w:p>
            <w:pPr>
              <w:pStyle w:val="Compact"/>
              <w:spacing w:after="40"/>
              <w:jc w:val="left"/>
            </w:pPr>
            <w:r>
              <w:rPr>
                <w:b/>
                <w:color w:val="FFFFFF"/>
                <w:sz w:val="18"/>
              </w:rPr>
              <w:t xml:space="preserve">Parameter</w:t>
            </w:r>
          </w:p>
        </w:tc>
        <w:tc>
          <w:tcPr>
            <w:tcW w:w="2856" w:type="dxa"/>
            <w:shd w:val="clear" w:color="auto" w:fill="1F3A5F"/>
          </w:tcPr>
          <w:p>
            <w:pPr>
              <w:pStyle w:val="Compact"/>
              <w:spacing w:after="40"/>
              <w:jc w:val="left"/>
            </w:pPr>
            <w:r>
              <w:rPr>
                <w:b/>
                <w:color w:val="FFFFFF"/>
                <w:sz w:val="18"/>
              </w:rPr>
              <w:t xml:space="preserve">Micro (≤ ₹10 cr deposits)</w:t>
            </w:r>
          </w:p>
        </w:tc>
        <w:tc>
          <w:tcPr>
            <w:tcW w:w="1617" w:type="dxa"/>
            <w:shd w:val="clear" w:color="auto" w:fill="1F3A5F"/>
          </w:tcPr>
          <w:p>
            <w:pPr>
              <w:pStyle w:val="Compact"/>
              <w:spacing w:after="40"/>
              <w:jc w:val="left"/>
            </w:pPr>
            <w:r>
              <w:rPr>
                <w:b/>
                <w:color w:val="FFFFFF"/>
                <w:sz w:val="18"/>
              </w:rPr>
              <w:t xml:space="preserve">Small (≤ ₹100 cr)</w:t>
            </w:r>
          </w:p>
        </w:tc>
        <w:tc>
          <w:tcPr>
            <w:tcW w:w="1664" w:type="dxa"/>
            <w:shd w:val="clear" w:color="auto" w:fill="1F3A5F"/>
          </w:tcPr>
          <w:p>
            <w:pPr>
              <w:pStyle w:val="Compact"/>
              <w:spacing w:after="40"/>
              <w:jc w:val="left"/>
            </w:pPr>
            <w:r>
              <w:rPr>
                <w:b/>
                <w:color w:val="FFFFFF"/>
                <w:sz w:val="18"/>
              </w:rPr>
              <w:t xml:space="preserve">Medium (≤ ₹500 cr)</w:t>
            </w:r>
          </w:p>
        </w:tc>
        <w:tc>
          <w:tcPr>
            <w:tcW w:w="1620" w:type="dxa"/>
            <w:shd w:val="clear" w:color="auto" w:fill="1F3A5F"/>
          </w:tcPr>
          <w:p>
            <w:pPr>
              <w:pStyle w:val="Compact"/>
              <w:spacing w:after="40"/>
              <w:jc w:val="left"/>
            </w:pPr>
            <w:r>
              <w:rPr>
                <w:b/>
                <w:color w:val="FFFFFF"/>
                <w:sz w:val="18"/>
              </w:rPr>
              <w:t xml:space="preserve">Large (&gt; ₹500 cr)</w:t>
            </w:r>
          </w:p>
        </w:tc>
      </w:tr>
      <w:tr>
        <w:tc>
          <w:tcPr>
            <w:tcW w:w="1881" w:type="dxa"/>
          </w:tcPr>
          <w:p>
            <w:pPr>
              <w:pStyle w:val="Compact"/>
              <w:spacing w:after="40"/>
              <w:jc w:val="left"/>
            </w:pPr>
            <w:r>
              <w:rPr>
                <w:sz w:val="18"/>
              </w:rPr>
              <w:t xml:space="preserve">CRAR (glide to 2028-29)</w:t>
            </w:r>
          </w:p>
        </w:tc>
        <w:tc>
          <w:tcPr>
            <w:tcW w:w="2856" w:type="dxa"/>
          </w:tcPr>
          <w:p>
            <w:pPr>
              <w:pStyle w:val="Compact"/>
              <w:spacing w:after="40"/>
              <w:jc w:val="left"/>
            </w:pPr>
            <w:r>
              <w:rPr>
                <w:sz w:val="18"/>
              </w:rPr>
              <w:t xml:space="preserve">9%</w:t>
            </w:r>
          </w:p>
        </w:tc>
        <w:tc>
          <w:tcPr>
            <w:tcW w:w="1617" w:type="dxa"/>
          </w:tcPr>
          <w:p>
            <w:pPr>
              <w:pStyle w:val="Compact"/>
              <w:spacing w:after="40"/>
              <w:jc w:val="left"/>
            </w:pPr>
            <w:r>
              <w:rPr>
                <w:sz w:val="18"/>
              </w:rPr>
              <w:t xml:space="preserve">9%</w:t>
            </w:r>
          </w:p>
        </w:tc>
        <w:tc>
          <w:tcPr>
            <w:tcW w:w="1664" w:type="dxa"/>
          </w:tcPr>
          <w:p>
            <w:pPr>
              <w:pStyle w:val="Compact"/>
              <w:spacing w:after="40"/>
              <w:jc w:val="left"/>
            </w:pPr>
            <w:r>
              <w:rPr>
                <w:sz w:val="18"/>
              </w:rPr>
              <w:t xml:space="preserve">12%</w:t>
            </w:r>
          </w:p>
        </w:tc>
        <w:tc>
          <w:tcPr>
            <w:tcW w:w="1620" w:type="dxa"/>
          </w:tcPr>
          <w:p>
            <w:pPr>
              <w:pStyle w:val="Compact"/>
              <w:spacing w:after="40"/>
              <w:jc w:val="left"/>
            </w:pPr>
            <w:r>
              <w:rPr>
                <w:sz w:val="18"/>
              </w:rPr>
              <w:t xml:space="preserve">12%</w:t>
            </w:r>
          </w:p>
        </w:tc>
      </w:tr>
      <w:tr>
        <w:tc>
          <w:tcPr>
            <w:tcW w:w="1881" w:type="dxa"/>
          </w:tcPr>
          <w:p>
            <w:pPr>
              <w:pStyle w:val="Compact"/>
              <w:spacing w:after="40"/>
              <w:jc w:val="left"/>
            </w:pPr>
            <w:r>
              <w:rPr>
                <w:sz w:val="18"/>
              </w:rPr>
              <w:t xml:space="preserve">Cash</w:t>
            </w:r>
          </w:p>
        </w:tc>
        <w:tc>
          <w:tcPr>
            <w:tcW w:w="2856" w:type="dxa"/>
          </w:tcPr>
          <w:p>
            <w:pPr>
              <w:pStyle w:val="Compact"/>
              <w:spacing w:after="40"/>
              <w:jc w:val="left"/>
            </w:pPr>
            <w:r>
              <w:rPr>
                <w:sz w:val="18"/>
              </w:rPr>
              <w:t xml:space="preserve">≥ 2% of deposits</w:t>
            </w:r>
          </w:p>
        </w:tc>
        <w:tc>
          <w:tcPr>
            <w:tcW w:w="1617" w:type="dxa"/>
          </w:tcPr>
          <w:p>
            <w:pPr>
              <w:pStyle w:val="Compact"/>
              <w:spacing w:after="40"/>
              <w:jc w:val="left"/>
            </w:pPr>
            <w:r>
              <w:rPr>
                <w:sz w:val="18"/>
              </w:rPr>
              <w:t xml:space="preserve">same</w:t>
            </w:r>
          </w:p>
        </w:tc>
        <w:tc>
          <w:tcPr>
            <w:tcW w:w="1664" w:type="dxa"/>
          </w:tcPr>
          <w:p>
            <w:pPr>
              <w:pStyle w:val="Compact"/>
              <w:spacing w:after="40"/>
              <w:jc w:val="left"/>
            </w:pPr>
            <w:r>
              <w:rPr>
                <w:sz w:val="18"/>
              </w:rPr>
              <w:t xml:space="preserve">same</w:t>
            </w:r>
          </w:p>
        </w:tc>
        <w:tc>
          <w:tcPr>
            <w:tcW w:w="1620" w:type="dxa"/>
          </w:tcPr>
          <w:p>
            <w:pPr>
              <w:pStyle w:val="Compact"/>
              <w:spacing w:after="40"/>
              <w:jc w:val="left"/>
            </w:pPr>
            <w:r>
              <w:rPr>
                <w:sz w:val="18"/>
              </w:rPr>
              <w:t xml:space="preserve">same</w:t>
            </w:r>
          </w:p>
        </w:tc>
      </w:tr>
      <w:tr>
        <w:tc>
          <w:tcPr>
            <w:tcW w:w="1881" w:type="dxa"/>
          </w:tcPr>
          <w:p>
            <w:pPr>
              <w:pStyle w:val="Compact"/>
              <w:spacing w:after="40"/>
              <w:jc w:val="left"/>
            </w:pPr>
            <w:r>
              <w:rPr>
                <w:sz w:val="18"/>
              </w:rPr>
              <w:t xml:space="preserve">Liquid investments</w:t>
            </w:r>
          </w:p>
        </w:tc>
        <w:tc>
          <w:tcPr>
            <w:tcW w:w="2856" w:type="dxa"/>
          </w:tcPr>
          <w:p>
            <w:pPr>
              <w:pStyle w:val="Compact"/>
              <w:spacing w:after="40"/>
              <w:jc w:val="left"/>
            </w:pPr>
            <w:r>
              <w:rPr>
                <w:sz w:val="18"/>
              </w:rPr>
              <w:t xml:space="preserve">rising to 18% of deposits</w:t>
            </w:r>
          </w:p>
        </w:tc>
        <w:tc>
          <w:tcPr>
            <w:tcW w:w="1617" w:type="dxa"/>
          </w:tcPr>
          <w:p>
            <w:pPr>
              <w:pStyle w:val="Compact"/>
              <w:spacing w:after="40"/>
              <w:jc w:val="left"/>
            </w:pPr>
            <w:r>
              <w:rPr>
                <w:sz w:val="18"/>
              </w:rPr>
              <w:t xml:space="preserve">same</w:t>
            </w:r>
          </w:p>
        </w:tc>
        <w:tc>
          <w:tcPr>
            <w:tcW w:w="1664" w:type="dxa"/>
          </w:tcPr>
          <w:p>
            <w:pPr>
              <w:pStyle w:val="Compact"/>
              <w:spacing w:after="40"/>
              <w:jc w:val="left"/>
            </w:pPr>
            <w:r>
              <w:rPr>
                <w:sz w:val="18"/>
              </w:rPr>
              <w:t xml:space="preserve">same</w:t>
            </w:r>
          </w:p>
        </w:tc>
        <w:tc>
          <w:tcPr>
            <w:tcW w:w="1620" w:type="dxa"/>
          </w:tcPr>
          <w:p>
            <w:pPr>
              <w:pStyle w:val="Compact"/>
              <w:spacing w:after="40"/>
              <w:jc w:val="left"/>
            </w:pPr>
            <w:r>
              <w:rPr>
                <w:sz w:val="18"/>
              </w:rPr>
              <w:t xml:space="preserve">same</w:t>
            </w:r>
          </w:p>
        </w:tc>
      </w:tr>
      <w:tr>
        <w:tc>
          <w:tcPr>
            <w:tcW w:w="1881" w:type="dxa"/>
          </w:tcPr>
          <w:p>
            <w:pPr>
              <w:pStyle w:val="Compact"/>
              <w:spacing w:after="40"/>
              <w:jc w:val="left"/>
            </w:pPr>
            <w:r>
              <w:rPr>
                <w:sz w:val="18"/>
              </w:rPr>
              <w:t xml:space="preserve">Leverage</w:t>
            </w:r>
          </w:p>
        </w:tc>
        <w:tc>
          <w:tcPr>
            <w:tcW w:w="2856" w:type="dxa"/>
          </w:tcPr>
          <w:p>
            <w:pPr>
              <w:pStyle w:val="Compact"/>
              <w:spacing w:after="40"/>
              <w:jc w:val="left"/>
            </w:pPr>
            <w:r>
              <w:rPr>
                <w:sz w:val="18"/>
              </w:rPr>
              <w:t xml:space="preserve">deposits + loans ≤ 10 × (capital + reserves − losses)</w:t>
            </w:r>
          </w:p>
        </w:tc>
        <w:tc>
          <w:tcPr>
            <w:tcW w:w="1617" w:type="dxa"/>
          </w:tcPr>
          <w:p>
            <w:pPr>
              <w:pStyle w:val="Compact"/>
              <w:spacing w:after="40"/>
              <w:jc w:val="left"/>
            </w:pPr>
            <w:r>
              <w:rPr>
                <w:sz w:val="18"/>
              </w:rPr>
              <w:t xml:space="preserve">same</w:t>
            </w:r>
          </w:p>
        </w:tc>
        <w:tc>
          <w:tcPr>
            <w:tcW w:w="1664" w:type="dxa"/>
          </w:tcPr>
          <w:p>
            <w:pPr>
              <w:pStyle w:val="Compact"/>
              <w:spacing w:after="40"/>
              <w:jc w:val="left"/>
            </w:pPr>
            <w:r>
              <w:rPr>
                <w:sz w:val="18"/>
              </w:rPr>
              <w:t xml:space="preserve">same</w:t>
            </w:r>
          </w:p>
        </w:tc>
        <w:tc>
          <w:tcPr>
            <w:tcW w:w="1620" w:type="dxa"/>
          </w:tcPr>
          <w:p>
            <w:pPr>
              <w:pStyle w:val="Compact"/>
              <w:spacing w:after="40"/>
              <w:jc w:val="left"/>
            </w:pPr>
            <w:r>
              <w:rPr>
                <w:sz w:val="18"/>
              </w:rPr>
              <w:t xml:space="preserve">same</w:t>
            </w:r>
          </w:p>
        </w:tc>
      </w:tr>
      <w:tr>
        <w:tc>
          <w:tcPr>
            <w:tcW w:w="1881" w:type="dxa"/>
          </w:tcPr>
          <w:p>
            <w:pPr>
              <w:pStyle w:val="Compact"/>
              <w:spacing w:after="40"/>
              <w:jc w:val="left"/>
            </w:pPr>
            <w:r>
              <w:rPr>
                <w:sz w:val="18"/>
              </w:rPr>
              <w:t xml:space="preserve">Exposure</w:t>
            </w:r>
          </w:p>
        </w:tc>
        <w:tc>
          <w:tcPr>
            <w:tcW w:w="2856" w:type="dxa"/>
          </w:tcPr>
          <w:p>
            <w:pPr>
              <w:pStyle w:val="Compact"/>
              <w:spacing w:after="40"/>
              <w:jc w:val="left"/>
            </w:pPr>
            <w:r>
              <w:rPr>
                <w:sz w:val="18"/>
              </w:rPr>
              <w:t xml:space="preserve">single 15%, group 25% of Tier I + II</w:t>
            </w:r>
          </w:p>
        </w:tc>
        <w:tc>
          <w:tcPr>
            <w:tcW w:w="1617" w:type="dxa"/>
          </w:tcPr>
          <w:p>
            <w:pPr>
              <w:pStyle w:val="Compact"/>
              <w:spacing w:after="40"/>
              <w:jc w:val="left"/>
            </w:pPr>
            <w:r>
              <w:rPr>
                <w:sz w:val="18"/>
              </w:rPr>
              <w:t xml:space="preserve">same</w:t>
            </w:r>
          </w:p>
        </w:tc>
        <w:tc>
          <w:tcPr>
            <w:tcW w:w="1664" w:type="dxa"/>
          </w:tcPr>
          <w:p>
            <w:pPr>
              <w:pStyle w:val="Compact"/>
              <w:spacing w:after="40"/>
              <w:jc w:val="left"/>
            </w:pPr>
            <w:r>
              <w:rPr>
                <w:sz w:val="18"/>
              </w:rPr>
              <w:t xml:space="preserve">same</w:t>
            </w:r>
          </w:p>
        </w:tc>
        <w:tc>
          <w:tcPr>
            <w:tcW w:w="1620" w:type="dxa"/>
          </w:tcPr>
          <w:p>
            <w:pPr>
              <w:pStyle w:val="Compact"/>
              <w:spacing w:after="40"/>
              <w:jc w:val="left"/>
            </w:pPr>
            <w:r>
              <w:rPr>
                <w:sz w:val="18"/>
              </w:rPr>
              <w:t xml:space="preserve">same</w:t>
            </w:r>
          </w:p>
        </w:tc>
      </w:tr>
      <w:tr>
        <w:tc>
          <w:tcPr>
            <w:tcW w:w="1881" w:type="dxa"/>
          </w:tcPr>
          <w:p>
            <w:pPr>
              <w:pStyle w:val="Compact"/>
              <w:spacing w:after="40"/>
              <w:jc w:val="left"/>
            </w:pPr>
            <w:r>
              <w:rPr>
                <w:sz w:val="18"/>
              </w:rPr>
              <w:t xml:space="preserve">Unsecured loans</w:t>
            </w:r>
          </w:p>
        </w:tc>
        <w:tc>
          <w:tcPr>
            <w:tcW w:w="2856" w:type="dxa"/>
          </w:tcPr>
          <w:p>
            <w:pPr>
              <w:pStyle w:val="Compact"/>
              <w:spacing w:after="40"/>
              <w:jc w:val="left"/>
            </w:pPr>
            <w:r>
              <w:rPr>
                <w:sz w:val="18"/>
              </w:rPr>
              <w:t xml:space="preserve">≤ 15% of loans</w:t>
            </w:r>
          </w:p>
        </w:tc>
        <w:tc>
          <w:tcPr>
            <w:tcW w:w="1617" w:type="dxa"/>
          </w:tcPr>
          <w:p>
            <w:pPr>
              <w:pStyle w:val="Compact"/>
              <w:spacing w:after="40"/>
              <w:jc w:val="left"/>
            </w:pPr>
            <w:r>
              <w:rPr>
                <w:sz w:val="18"/>
              </w:rPr>
              <w:t xml:space="preserve">same</w:t>
            </w:r>
          </w:p>
        </w:tc>
        <w:tc>
          <w:tcPr>
            <w:tcW w:w="1664" w:type="dxa"/>
          </w:tcPr>
          <w:p>
            <w:pPr>
              <w:pStyle w:val="Compact"/>
              <w:spacing w:after="40"/>
              <w:jc w:val="left"/>
            </w:pPr>
            <w:r>
              <w:rPr>
                <w:sz w:val="18"/>
              </w:rPr>
              <w:t xml:space="preserve">same</w:t>
            </w:r>
          </w:p>
        </w:tc>
        <w:tc>
          <w:tcPr>
            <w:tcW w:w="1620" w:type="dxa"/>
          </w:tcPr>
          <w:p>
            <w:pPr>
              <w:pStyle w:val="Compact"/>
              <w:spacing w:after="40"/>
              <w:jc w:val="left"/>
            </w:pPr>
            <w:r>
              <w:rPr>
                <w:sz w:val="18"/>
              </w:rPr>
              <w:t xml:space="preserve">same</w:t>
            </w:r>
          </w:p>
        </w:tc>
      </w:tr>
      <w:tr>
        <w:tc>
          <w:tcPr>
            <w:tcW w:w="1881" w:type="dxa"/>
          </w:tcPr>
          <w:p>
            <w:pPr>
              <w:pStyle w:val="Compact"/>
              <w:spacing w:after="40"/>
              <w:jc w:val="left"/>
            </w:pPr>
            <w:r>
              <w:rPr>
                <w:sz w:val="18"/>
              </w:rPr>
              <w:t xml:space="preserve">Housing</w:t>
            </w:r>
          </w:p>
        </w:tc>
        <w:tc>
          <w:tcPr>
            <w:tcW w:w="2856" w:type="dxa"/>
          </w:tcPr>
          <w:p>
            <w:pPr>
              <w:pStyle w:val="Compact"/>
              <w:spacing w:after="40"/>
              <w:jc w:val="left"/>
            </w:pPr>
            <w:r>
              <w:rPr>
                <w:sz w:val="18"/>
              </w:rPr>
              <w:t xml:space="preserve">none</w:t>
            </w:r>
          </w:p>
        </w:tc>
        <w:tc>
          <w:tcPr>
            <w:tcW w:w="1617" w:type="dxa"/>
          </w:tcPr>
          <w:p>
            <w:pPr>
              <w:pStyle w:val="Compact"/>
              <w:spacing w:after="40"/>
              <w:jc w:val="left"/>
            </w:pPr>
            <w:r>
              <w:rPr>
                <w:sz w:val="18"/>
              </w:rPr>
              <w:t xml:space="preserve">none</w:t>
            </w:r>
          </w:p>
        </w:tc>
        <w:tc>
          <w:tcPr>
            <w:tcW w:w="1664" w:type="dxa"/>
          </w:tcPr>
          <w:p>
            <w:pPr>
              <w:pStyle w:val="Compact"/>
              <w:spacing w:after="40"/>
              <w:jc w:val="left"/>
            </w:pPr>
            <w:r>
              <w:rPr>
                <w:sz w:val="18"/>
              </w:rPr>
              <w:t xml:space="preserve">≤ ₹1 crore</w:t>
            </w:r>
          </w:p>
        </w:tc>
        <w:tc>
          <w:tcPr>
            <w:tcW w:w="1620" w:type="dxa"/>
          </w:tcPr>
          <w:p>
            <w:pPr>
              <w:pStyle w:val="Compact"/>
              <w:spacing w:after="40"/>
              <w:jc w:val="left"/>
            </w:pPr>
            <w:r>
              <w:rPr>
                <w:sz w:val="18"/>
              </w:rPr>
              <w:t xml:space="preserve">≤ ₹1.2 crore</w:t>
            </w:r>
          </w:p>
        </w:tc>
      </w:tr>
      <w:tr>
        <w:tc>
          <w:tcPr>
            <w:tcW w:w="1881" w:type="dxa"/>
          </w:tcPr>
          <w:p>
            <w:pPr>
              <w:pStyle w:val="Compact"/>
              <w:spacing w:after="40"/>
              <w:jc w:val="left"/>
            </w:pPr>
            <w:r>
              <w:rPr>
                <w:sz w:val="18"/>
              </w:rPr>
              <w:t xml:space="preserve">Return</w:t>
            </w:r>
          </w:p>
        </w:tc>
        <w:tc>
          <w:tcPr>
            <w:tcW w:w="2856" w:type="dxa"/>
          </w:tcPr>
          <w:p>
            <w:pPr>
              <w:pStyle w:val="Compact"/>
              <w:spacing w:after="40"/>
              <w:jc w:val="left"/>
            </w:pPr>
            <w:r>
              <w:rPr>
                <w:sz w:val="18"/>
              </w:rPr>
              <w:t xml:space="preserve">quarterly, CRCS portal</w:t>
            </w:r>
          </w:p>
        </w:tc>
        <w:tc>
          <w:tcPr>
            <w:tcW w:w="1617" w:type="dxa"/>
          </w:tcPr>
          <w:p>
            <w:pPr>
              <w:pStyle w:val="Compact"/>
              <w:spacing w:after="40"/>
              <w:jc w:val="left"/>
            </w:pPr>
            <w:r>
              <w:rPr>
                <w:sz w:val="18"/>
              </w:rPr>
              <w:t xml:space="preserve">same</w:t>
            </w:r>
          </w:p>
        </w:tc>
        <w:tc>
          <w:tcPr>
            <w:tcW w:w="1664" w:type="dxa"/>
          </w:tcPr>
          <w:p>
            <w:pPr>
              <w:pStyle w:val="Compact"/>
              <w:spacing w:after="40"/>
              <w:jc w:val="left"/>
            </w:pPr>
            <w:r>
              <w:rPr>
                <w:sz w:val="18"/>
              </w:rPr>
              <w:t xml:space="preserve">same</w:t>
            </w:r>
          </w:p>
        </w:tc>
        <w:tc>
          <w:tcPr>
            <w:tcW w:w="1620" w:type="dxa"/>
          </w:tcPr>
          <w:p>
            <w:pPr>
              <w:pStyle w:val="Compact"/>
              <w:spacing w:after="40"/>
              <w:jc w:val="left"/>
            </w:pPr>
            <w:r>
              <w:rPr>
                <w:sz w:val="18"/>
              </w:rPr>
              <w:t xml:space="preserve">same</w:t>
            </w:r>
          </w:p>
        </w:tc>
      </w:tr>
    </w:tbl>
    <w:p>
      <w:pPr>
        <w:pStyle w:val="BodyText"/>
      </w:pPr>
      <w:r>
        <w:rPr>
          <w:bCs/>
          <w:b/>
        </w:rPr>
        <w:t xml:space="preserve">MSCS branch expansion (CRCS order, July 2025) [VERIFY text]:</w:t>
      </w:r>
      <w:r>
        <w:t xml:space="preserve"> </w:t>
      </w:r>
      <w:r>
        <w:t xml:space="preserve">prior approval; ≤ 10% of branches a year (maximum 10); State Registrar certificate of no deposits from non-voting members; CRAR met,</w:t>
      </w:r>
      <w:r>
        <w:t xml:space="preserve"> </w:t>
      </w:r>
      <w:r>
        <w:rPr>
          <w:bCs/>
          <w:b/>
        </w:rPr>
        <w:t xml:space="preserve">GNPA &lt; 7%, NNPA &lt; 3%</w:t>
      </w:r>
      <w:r>
        <w:t xml:space="preserve">, profit in each of 3 years, liquidity buffers, KYC and grievance mechanism. Finbyx builds the eligibility pack with lineage; any failed test blocks it.</w:t>
      </w:r>
    </w:p>
    <w:p>
      <w:pPr>
        <w:pStyle w:val="BodyText"/>
      </w:pPr>
      <w:r>
        <w:rPr>
          <w:bCs/>
          <w:b/>
        </w:rPr>
        <w:t xml:space="preserve">Maharashtra Ch XI-1A [LAW]:</w:t>
      </w:r>
      <w:r>
        <w:t xml:space="preserve"> </w:t>
      </w:r>
      <w:r>
        <w:t xml:space="preserve">no deposits from non-members (s.144-5A); administrative-expense cap (s.144-8A) and cash reserve (s.144-9A) [VERIFY %];</w:t>
      </w:r>
      <w:r>
        <w:t xml:space="preserve"> </w:t>
      </w:r>
      <w:r>
        <w:rPr>
          <w:bCs/>
          <w:b/>
        </w:rPr>
        <w:t xml:space="preserve">SLR ≥ 25% of deposits</w:t>
      </w:r>
      <w:r>
        <w:t xml:space="preserve">, up to 5% in MSC Bank bonds (s.144-10A; circular of 22 May 2025) [VERIFY hook]; loan restrictions (s.144-11A); Regulatory Board regulations as an L1 pack (ss.144-13A–24A); Stabilisation and Liquidity Support Fund (ss.144-25A–30A) [VERIFY rate].</w:t>
      </w:r>
    </w:p>
    <w:p>
      <w:pPr>
        <w:pStyle w:val="BodyText"/>
      </w:pPr>
      <w:r>
        <w:t xml:space="preserve">These are legal limits under the society’s own Act, not RBI ratios; Part 7E RK6 shows them with source</w:t>
      </w:r>
      <w:r>
        <w:t xml:space="preserve"> </w:t>
      </w:r>
      <w:r>
        <w:rPr>
          <w:rStyle w:val="VerbatimChar"/>
        </w:rPr>
        <w:t xml:space="preserve">MSCS</w:t>
      </w:r>
      <w:r>
        <w:t xml:space="preserve"> </w:t>
      </w:r>
      <w:r>
        <w:t xml:space="preserve">or</w:t>
      </w:r>
      <w:r>
        <w:t xml:space="preserve"> </w:t>
      </w:r>
      <w:r>
        <w:rPr>
          <w:rStyle w:val="VerbatimChar"/>
        </w:rPr>
        <w:t xml:space="preserve">SCS</w:t>
      </w:r>
      <w:r>
        <w:t xml:space="preserve">.</w:t>
      </w:r>
    </w:p>
    <w:bookmarkEnd w:id="543"/>
    <w:bookmarkStart w:id="544" w:name="ip2.8-npa-and-write-off"/>
    <w:p>
      <w:pPr>
        <w:pStyle w:val="Heading3"/>
      </w:pPr>
      <w:r>
        <w:t xml:space="preserve">IP2.8 NPA and write-off</w:t>
      </w:r>
    </w:p>
    <w:p>
      <w:pPr>
        <w:pStyle w:val="FirstParagraph"/>
      </w:pPr>
      <w:r>
        <w:t xml:space="preserve">NPA threshold (default 90 days [VERIFY State circulars]), buckets, provisions and BDDR from the pack. Maharashtra write-off: board →</w:t>
      </w:r>
      <w:r>
        <w:t xml:space="preserve"> </w:t>
      </w:r>
      <w:r>
        <w:rPr>
          <w:bCs/>
          <w:b/>
        </w:rPr>
        <w:t xml:space="preserve">prior General Body approval</w:t>
      </w:r>
      <w:r>
        <w:t xml:space="preserve"> </w:t>
      </w:r>
      <w:r>
        <w:t xml:space="preserve">→ Registrar or financing central bank where indebted → BDDR or, for A and B class societies, the Bad Debt Fund (MCS Rule 49); technical write-off keeps recovery live (R12). Net profit is after provisions (Rule 49A); appropriation (IP2.9) runs only after provisioning is locked.</w:t>
      </w:r>
    </w:p>
    <w:bookmarkEnd w:id="544"/>
    <w:bookmarkStart w:id="545" w:name="Xcae909a616fce00d8d4719e124525640a9521bb"/>
    <w:p>
      <w:pPr>
        <w:pStyle w:val="Heading3"/>
      </w:pPr>
      <w:r>
        <w:t xml:space="preserve">IP2.9 Year-end: appropriation, dividend, AGM, elections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82"/>
        <w:gridCol w:w="4436"/>
        <w:gridCol w:w="3020"/>
      </w:tblGrid>
      <w:tr>
        <w:trPr>
          <w:tblHeader w:val="true"/>
          <w:tblHeader w:val="true"/>
        </w:trPr>
        <w:tc>
          <w:tcPr>
            <w:tcW w:w="2182" w:type="dxa"/>
            <w:shd w:val="clear" w:color="auto" w:fill="1F3A5F"/>
          </w:tcPr>
          <w:p>
            <w:pPr>
              <w:pStyle w:val="Compact"/>
              <w:spacing w:after="40"/>
              <w:jc w:val="left"/>
            </w:pPr>
            <w:r>
              <w:rPr>
                <w:b/>
                <w:color w:val="FFFFFF"/>
                <w:sz w:val="18"/>
              </w:rPr>
              <w:t xml:space="preserve">Item</w:t>
            </w:r>
          </w:p>
        </w:tc>
        <w:tc>
          <w:tcPr>
            <w:tcW w:w="4436" w:type="dxa"/>
            <w:shd w:val="clear" w:color="auto" w:fill="1F3A5F"/>
          </w:tcPr>
          <w:p>
            <w:pPr>
              <w:pStyle w:val="Compact"/>
              <w:spacing w:after="40"/>
              <w:jc w:val="left"/>
            </w:pPr>
            <w:r>
              <w:rPr>
                <w:b/>
                <w:color w:val="FFFFFF"/>
                <w:sz w:val="18"/>
              </w:rPr>
              <w:t xml:space="preserve">MSCS (s.63, s.63A)</w:t>
            </w:r>
          </w:p>
        </w:tc>
        <w:tc>
          <w:tcPr>
            <w:tcW w:w="3020" w:type="dxa"/>
            <w:shd w:val="clear" w:color="auto" w:fill="1F3A5F"/>
          </w:tcPr>
          <w:p>
            <w:pPr>
              <w:pStyle w:val="Compact"/>
              <w:spacing w:after="40"/>
              <w:jc w:val="left"/>
            </w:pPr>
            <w:r>
              <w:rPr>
                <w:b/>
                <w:color w:val="FFFFFF"/>
                <w:sz w:val="18"/>
              </w:rPr>
              <w:t xml:space="preserve">Maharashtra (MCS ss.66–68; Rule 52)</w:t>
            </w:r>
          </w:p>
        </w:tc>
      </w:tr>
      <w:tr>
        <w:tc>
          <w:tcPr>
            <w:tcW w:w="2182" w:type="dxa"/>
          </w:tcPr>
          <w:p>
            <w:pPr>
              <w:pStyle w:val="Compact"/>
              <w:spacing w:after="40"/>
              <w:jc w:val="left"/>
            </w:pPr>
            <w:r>
              <w:rPr>
                <w:sz w:val="18"/>
              </w:rPr>
              <w:t xml:space="preserve">Reserve fund</w:t>
            </w:r>
          </w:p>
        </w:tc>
        <w:tc>
          <w:tcPr>
            <w:tcW w:w="4436" w:type="dxa"/>
          </w:tcPr>
          <w:p>
            <w:pPr>
              <w:pStyle w:val="Compact"/>
              <w:spacing w:after="40"/>
              <w:jc w:val="left"/>
            </w:pPr>
            <w:r>
              <w:rPr>
                <w:sz w:val="18"/>
              </w:rPr>
              <w:t xml:space="preserve">≥ 25% of net profit</w:t>
            </w:r>
          </w:p>
        </w:tc>
        <w:tc>
          <w:tcPr>
            <w:tcW w:w="3020" w:type="dxa"/>
          </w:tcPr>
          <w:p>
            <w:pPr>
              <w:pStyle w:val="Compact"/>
              <w:spacing w:after="40"/>
              <w:jc w:val="left"/>
            </w:pPr>
            <w:r>
              <w:rPr>
                <w:sz w:val="18"/>
              </w:rPr>
              <w:t xml:space="preserve">≥ 25%; Registrar may permit ≥ 10% (s.66(2))</w:t>
            </w:r>
          </w:p>
        </w:tc>
      </w:tr>
      <w:tr>
        <w:tc>
          <w:tcPr>
            <w:tcW w:w="2182" w:type="dxa"/>
          </w:tcPr>
          <w:p>
            <w:pPr>
              <w:pStyle w:val="Compact"/>
              <w:spacing w:after="40"/>
              <w:jc w:val="left"/>
            </w:pPr>
            <w:r>
              <w:rPr>
                <w:sz w:val="18"/>
              </w:rPr>
              <w:t xml:space="preserve">Education fund</w:t>
            </w:r>
          </w:p>
        </w:tc>
        <w:tc>
          <w:tcPr>
            <w:tcW w:w="4436" w:type="dxa"/>
          </w:tcPr>
          <w:p>
            <w:pPr>
              <w:pStyle w:val="Compact"/>
              <w:spacing w:after="40"/>
              <w:jc w:val="left"/>
            </w:pPr>
            <w:r>
              <w:rPr>
                <w:sz w:val="18"/>
              </w:rPr>
              <w:t xml:space="preserve">1% to the Co-operative Education Fund</w:t>
            </w:r>
          </w:p>
        </w:tc>
        <w:tc>
          <w:tcPr>
            <w:tcW w:w="3020" w:type="dxa"/>
          </w:tcPr>
          <w:p>
            <w:pPr>
              <w:pStyle w:val="Compact"/>
              <w:spacing w:after="40"/>
              <w:jc w:val="left"/>
            </w:pPr>
            <w:r>
              <w:rPr>
                <w:sz w:val="18"/>
              </w:rPr>
              <w:t xml:space="preserve">to the State federation (s.68) [VERIFY rate]</w:t>
            </w:r>
          </w:p>
        </w:tc>
      </w:tr>
      <w:tr>
        <w:tc>
          <w:tcPr>
            <w:tcW w:w="2182" w:type="dxa"/>
          </w:tcPr>
          <w:p>
            <w:pPr>
              <w:pStyle w:val="Compact"/>
              <w:spacing w:after="40"/>
              <w:jc w:val="left"/>
            </w:pPr>
            <w:r>
              <w:rPr>
                <w:sz w:val="18"/>
              </w:rPr>
              <w:t xml:space="preserve">Unforeseen-loss reserve</w:t>
            </w:r>
          </w:p>
        </w:tc>
        <w:tc>
          <w:tcPr>
            <w:tcW w:w="4436" w:type="dxa"/>
          </w:tcPr>
          <w:p>
            <w:pPr>
              <w:pStyle w:val="Compact"/>
              <w:spacing w:after="40"/>
              <w:jc w:val="left"/>
            </w:pPr>
            <w:r>
              <w:rPr>
                <w:sz w:val="18"/>
              </w:rPr>
              <w:t xml:space="preserve">≥ 10%</w:t>
            </w:r>
          </w:p>
        </w:tc>
        <w:tc>
          <w:tcPr>
            <w:tcW w:w="3020" w:type="dxa"/>
          </w:tcPr>
          <w:p>
            <w:pPr>
              <w:pStyle w:val="Compact"/>
              <w:spacing w:after="40"/>
              <w:jc w:val="left"/>
            </w:pPr>
            <w:r>
              <w:rPr>
                <w:sz w:val="18"/>
              </w:rPr>
              <w:t xml:space="preserve">bye-law</w:t>
            </w:r>
          </w:p>
        </w:tc>
      </w:tr>
      <w:tr>
        <w:tc>
          <w:tcPr>
            <w:tcW w:w="2182" w:type="dxa"/>
          </w:tcPr>
          <w:p>
            <w:pPr>
              <w:pStyle w:val="Compact"/>
              <w:spacing w:after="40"/>
              <w:jc w:val="left"/>
            </w:pPr>
            <w:r>
              <w:rPr>
                <w:sz w:val="18"/>
              </w:rPr>
              <w:t xml:space="preserve">CRRD Fund</w:t>
            </w:r>
          </w:p>
        </w:tc>
        <w:tc>
          <w:tcPr>
            <w:tcW w:w="4436" w:type="dxa"/>
          </w:tcPr>
          <w:p>
            <w:pPr>
              <w:pStyle w:val="Compact"/>
              <w:spacing w:after="40"/>
              <w:jc w:val="left"/>
            </w:pPr>
            <w:r>
              <w:rPr>
                <w:sz w:val="18"/>
              </w:rPr>
              <w:t xml:space="preserve">lesser of ₹1 crore and 1% of net profit, if profitable in each of the preceding 3 years (s.63A)</w:t>
            </w:r>
          </w:p>
        </w:tc>
        <w:tc>
          <w:tcPr>
            <w:tcW w:w="3020" w:type="dxa"/>
          </w:tcPr>
          <w:p>
            <w:pPr>
              <w:pStyle w:val="Compact"/>
              <w:spacing w:after="40"/>
              <w:jc w:val="left"/>
            </w:pPr>
            <w:r>
              <w:rPr>
                <w:sz w:val="18"/>
              </w:rPr>
              <w:t xml:space="preserve">—</w:t>
            </w:r>
          </w:p>
        </w:tc>
      </w:tr>
      <w:tr>
        <w:tc>
          <w:tcPr>
            <w:tcW w:w="2182" w:type="dxa"/>
          </w:tcPr>
          <w:p>
            <w:pPr>
              <w:pStyle w:val="Compact"/>
              <w:spacing w:after="40"/>
              <w:jc w:val="left"/>
            </w:pPr>
            <w:r>
              <w:rPr>
                <w:sz w:val="18"/>
              </w:rPr>
              <w:t xml:space="preserve">Dividend</w:t>
            </w:r>
          </w:p>
        </w:tc>
        <w:tc>
          <w:tcPr>
            <w:tcW w:w="4436" w:type="dxa"/>
          </w:tcPr>
          <w:p>
            <w:pPr>
              <w:pStyle w:val="Compact"/>
              <w:spacing w:after="40"/>
              <w:jc w:val="left"/>
            </w:pPr>
            <w:r>
              <w:rPr>
                <w:sz w:val="18"/>
              </w:rPr>
              <w:t xml:space="preserve">≤ prescribed limit [VERIFY rate]</w:t>
            </w:r>
          </w:p>
        </w:tc>
        <w:tc>
          <w:tcPr>
            <w:tcW w:w="3020" w:type="dxa"/>
          </w:tcPr>
          <w:p>
            <w:pPr>
              <w:pStyle w:val="Compact"/>
              <w:spacing w:after="40"/>
              <w:jc w:val="left"/>
            </w:pPr>
            <w:r>
              <w:rPr>
                <w:sz w:val="18"/>
              </w:rPr>
              <w:t xml:space="preserve">≤ 15% without Registrar sanction (s.67)</w:t>
            </w:r>
          </w:p>
        </w:tc>
      </w:tr>
      <w:tr>
        <w:tc>
          <w:tcPr>
            <w:tcW w:w="2182" w:type="dxa"/>
          </w:tcPr>
          <w:p>
            <w:pPr>
              <w:pStyle w:val="Compact"/>
              <w:spacing w:after="40"/>
              <w:jc w:val="left"/>
            </w:pPr>
            <w:r>
              <w:rPr>
                <w:sz w:val="18"/>
              </w:rPr>
              <w:t xml:space="preserve">Dividend equalisation</w:t>
            </w:r>
          </w:p>
        </w:tc>
        <w:tc>
          <w:tcPr>
            <w:tcW w:w="4436" w:type="dxa"/>
          </w:tcPr>
          <w:p>
            <w:pPr>
              <w:pStyle w:val="Compact"/>
              <w:spacing w:after="40"/>
              <w:jc w:val="left"/>
            </w:pPr>
            <w:r>
              <w:rPr>
                <w:sz w:val="18"/>
              </w:rPr>
              <w:t xml:space="preserve">bye-law</w:t>
            </w:r>
          </w:p>
        </w:tc>
        <w:tc>
          <w:tcPr>
            <w:tcW w:w="3020" w:type="dxa"/>
          </w:tcPr>
          <w:p>
            <w:pPr>
              <w:pStyle w:val="Compact"/>
              <w:spacing w:after="40"/>
              <w:jc w:val="left"/>
            </w:pPr>
            <w:r>
              <w:rPr>
                <w:sz w:val="18"/>
              </w:rPr>
              <w:t xml:space="preserve">Rule 52</w:t>
            </w:r>
          </w:p>
        </w:tc>
      </w:tr>
      <w:tr>
        <w:tc>
          <w:tcPr>
            <w:tcW w:w="2182" w:type="dxa"/>
          </w:tcPr>
          <w:p>
            <w:pPr>
              <w:pStyle w:val="Compact"/>
              <w:spacing w:after="40"/>
              <w:jc w:val="left"/>
            </w:pPr>
            <w:r>
              <w:rPr>
                <w:sz w:val="18"/>
              </w:rPr>
              <w:t xml:space="preserve">Donations</w:t>
            </w:r>
          </w:p>
        </w:tc>
        <w:tc>
          <w:tcPr>
            <w:tcW w:w="4436" w:type="dxa"/>
          </w:tcPr>
          <w:p>
            <w:pPr>
              <w:pStyle w:val="Compact"/>
              <w:spacing w:after="40"/>
              <w:jc w:val="left"/>
            </w:pPr>
            <w:r>
              <w:rPr>
                <w:sz w:val="18"/>
              </w:rPr>
              <w:t xml:space="preserve">≤ 5%</w:t>
            </w:r>
          </w:p>
        </w:tc>
        <w:tc>
          <w:tcPr>
            <w:tcW w:w="3020" w:type="dxa"/>
          </w:tcPr>
          <w:p>
            <w:pPr>
              <w:pStyle w:val="Compact"/>
              <w:spacing w:after="40"/>
              <w:jc w:val="left"/>
            </w:pPr>
            <w:r>
              <w:rPr>
                <w:sz w:val="18"/>
              </w:rPr>
              <w:t xml:space="preserve">[VERIFY]</w:t>
            </w:r>
          </w:p>
        </w:tc>
      </w:tr>
    </w:tbl>
    <w:p>
      <w:pPr>
        <w:numPr>
          <w:ilvl w:val="0"/>
          <w:numId w:val="1472"/>
        </w:numPr>
        <w:pStyle w:val="Compact"/>
      </w:pPr>
      <w:r>
        <w:t xml:space="preserve">Validations: minimums met; Σ = distributable profit; dividend ≤ cap; nominal members excluded (SCS-MH s.24(2)); [VERIFY] CRRD order. Dividend run: register, TDS (7C AC5) [VERIFY], credit to bank or savings account, 3-year forfeiture.</w:t>
      </w:r>
    </w:p>
    <w:p>
      <w:pPr>
        <w:numPr>
          <w:ilvl w:val="0"/>
          <w:numId w:val="1472"/>
        </w:numPr>
        <w:pStyle w:val="Compact"/>
      </w:pPr>
      <w:r>
        <w:rPr>
          <w:bCs/>
          <w:b/>
        </w:rPr>
        <w:t xml:space="preserve">AGM (MSCS within 6 months of 31 March, s.39):</w:t>
      </w:r>
      <w:r>
        <w:t xml:space="preserve"> </w:t>
      </w:r>
      <w:r>
        <w:t xml:space="preserve">14 days’ notice (7 for special); quorum one-fifth; accounts, audit and rectification reports; annual report with non-unanimous decisions and director loans; budget; auditor from panel; bye-law amendments (two-thirds, 15 days’ notice); write-offs (Maharashtra); minutes within 30 days. If the board defaults, the Central Registrar may convene within 90 days; Finbyx escalates at month 5.</w:t>
      </w:r>
    </w:p>
    <w:p>
      <w:pPr>
        <w:numPr>
          <w:ilvl w:val="0"/>
          <w:numId w:val="1472"/>
        </w:numPr>
        <w:pStyle w:val="Compact"/>
      </w:pPr>
      <w:r>
        <w:rPr>
          <w:bCs/>
          <w:b/>
        </w:rPr>
        <w:t xml:space="preserve">Elections:</w:t>
      </w:r>
      <w:r>
        <w:t xml:space="preserve"> </w:t>
      </w:r>
      <w:r>
        <w:t xml:space="preserve">term tracker; notice to the Co-operative Election Authority 6 months before term end (MSCS s.45J(8)).</w:t>
      </w:r>
    </w:p>
    <w:p>
      <w:pPr>
        <w:numPr>
          <w:ilvl w:val="0"/>
          <w:numId w:val="1472"/>
        </w:numPr>
        <w:pStyle w:val="Compact"/>
      </w:pPr>
      <w:r>
        <w:rPr>
          <w:bCs/>
          <w:b/>
        </w:rPr>
        <w:t xml:space="preserve">Governance (7F GV1–GV2 reused):</w:t>
      </w:r>
      <w:r>
        <w:t xml:space="preserve"> </w:t>
      </w:r>
      <w:r>
        <w:t xml:space="preserve">Audit and Ethics Committee, recusal, non-unanimous register, Information Officer log [VERIFY SLA], Co-operative Ombudsman tracker (decision 3 months, appeal to the Central Registrar 1 month, MSCS s.85A [VERIFY]).</w:t>
      </w:r>
    </w:p>
    <w:bookmarkEnd w:id="545"/>
    <w:bookmarkStart w:id="546" w:name="ip2.10-audit-and-registrar-returns"/>
    <w:p>
      <w:pPr>
        <w:pStyle w:val="Heading3"/>
      </w:pPr>
      <w:r>
        <w:t xml:space="preserve">IP2.10 Audit and Registrar returns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96"/>
        <w:gridCol w:w="3743"/>
        <w:gridCol w:w="4299"/>
      </w:tblGrid>
      <w:tr>
        <w:trPr>
          <w:tblHeader w:val="true"/>
          <w:tblHeader w:val="true"/>
        </w:trPr>
        <w:tc>
          <w:tcPr>
            <w:tcW w:w="1596" w:type="dxa"/>
            <w:shd w:val="clear" w:color="auto" w:fill="1F3A5F"/>
          </w:tcPr>
          <w:p>
            <w:pPr>
              <w:pStyle w:val="Compact"/>
              <w:spacing w:after="40"/>
              <w:jc w:val="left"/>
            </w:pPr>
            <w:r>
              <w:rPr>
                <w:b/>
                <w:color w:val="FFFFFF"/>
                <w:sz w:val="18"/>
              </w:rPr>
              <w:t xml:space="preserve">Item</w:t>
            </w:r>
          </w:p>
        </w:tc>
        <w:tc>
          <w:tcPr>
            <w:tcW w:w="3743" w:type="dxa"/>
            <w:shd w:val="clear" w:color="auto" w:fill="1F3A5F"/>
          </w:tcPr>
          <w:p>
            <w:pPr>
              <w:pStyle w:val="Compact"/>
              <w:spacing w:after="40"/>
              <w:jc w:val="left"/>
            </w:pPr>
            <w:r>
              <w:rPr>
                <w:b/>
                <w:color w:val="FFFFFF"/>
                <w:sz w:val="18"/>
              </w:rPr>
              <w:t xml:space="preserve">MSCS</w:t>
            </w:r>
          </w:p>
        </w:tc>
        <w:tc>
          <w:tcPr>
            <w:tcW w:w="4299" w:type="dxa"/>
            <w:shd w:val="clear" w:color="auto" w:fill="1F3A5F"/>
          </w:tcPr>
          <w:p>
            <w:pPr>
              <w:pStyle w:val="Compact"/>
              <w:spacing w:after="40"/>
              <w:jc w:val="left"/>
            </w:pPr>
            <w:r>
              <w:rPr>
                <w:b/>
                <w:color w:val="FFFFFF"/>
                <w:sz w:val="18"/>
              </w:rPr>
              <w:t xml:space="preserve">Maharashtra</w:t>
            </w:r>
          </w:p>
        </w:tc>
      </w:tr>
      <w:tr>
        <w:tc>
          <w:tcPr>
            <w:tcW w:w="1596" w:type="dxa"/>
          </w:tcPr>
          <w:p>
            <w:pPr>
              <w:pStyle w:val="Compact"/>
              <w:spacing w:after="40"/>
              <w:jc w:val="left"/>
            </w:pPr>
            <w:r>
              <w:rPr>
                <w:sz w:val="18"/>
              </w:rPr>
              <w:t xml:space="preserve">Auditor</w:t>
            </w:r>
          </w:p>
        </w:tc>
        <w:tc>
          <w:tcPr>
            <w:tcW w:w="3743" w:type="dxa"/>
          </w:tcPr>
          <w:p>
            <w:pPr>
              <w:pStyle w:val="Compact"/>
              <w:spacing w:after="40"/>
              <w:jc w:val="left"/>
            </w:pPr>
            <w:r>
              <w:rPr>
                <w:sz w:val="18"/>
              </w:rPr>
              <w:t xml:space="preserve">Central Registrar panel; special panel where deposits or turnover &gt; ₹500 crore (s.70(2))</w:t>
            </w:r>
          </w:p>
        </w:tc>
        <w:tc>
          <w:tcPr>
            <w:tcW w:w="4299" w:type="dxa"/>
          </w:tcPr>
          <w:p>
            <w:pPr>
              <w:pStyle w:val="Compact"/>
              <w:spacing w:after="40"/>
              <w:jc w:val="left"/>
            </w:pPr>
            <w:r>
              <w:rPr>
                <w:sz w:val="18"/>
              </w:rPr>
              <w:t xml:space="preserve">State panel; appointed by AGM, filed within 30 days; ≤ 3 consecutive years; consent within 1 month of AGM (s.79(1B))</w:t>
            </w:r>
          </w:p>
        </w:tc>
      </w:tr>
      <w:tr>
        <w:tc>
          <w:tcPr>
            <w:tcW w:w="1596" w:type="dxa"/>
          </w:tcPr>
          <w:p>
            <w:pPr>
              <w:pStyle w:val="Compact"/>
              <w:spacing w:after="40"/>
              <w:jc w:val="left"/>
            </w:pPr>
            <w:r>
              <w:rPr>
                <w:sz w:val="18"/>
              </w:rPr>
              <w:t xml:space="preserve">Timing</w:t>
            </w:r>
          </w:p>
        </w:tc>
        <w:tc>
          <w:tcPr>
            <w:tcW w:w="3743" w:type="dxa"/>
          </w:tcPr>
          <w:p>
            <w:pPr>
              <w:pStyle w:val="Compact"/>
              <w:spacing w:after="40"/>
              <w:jc w:val="left"/>
            </w:pPr>
            <w:r>
              <w:rPr>
                <w:sz w:val="18"/>
              </w:rPr>
              <w:t xml:space="preserve">report within 6 months (s.70(3A))</w:t>
            </w:r>
          </w:p>
        </w:tc>
        <w:tc>
          <w:tcPr>
            <w:tcW w:w="4299" w:type="dxa"/>
          </w:tcPr>
          <w:p>
            <w:pPr>
              <w:pStyle w:val="Compact"/>
              <w:spacing w:after="40"/>
              <w:jc w:val="left"/>
            </w:pPr>
            <w:r>
              <w:rPr>
                <w:sz w:val="18"/>
              </w:rPr>
              <w:t xml:space="preserve">within 4 months of year-end (s.75(1), s.81, Rule 69)</w:t>
            </w:r>
          </w:p>
        </w:tc>
      </w:tr>
      <w:tr>
        <w:tc>
          <w:tcPr>
            <w:tcW w:w="1596" w:type="dxa"/>
          </w:tcPr>
          <w:p>
            <w:pPr>
              <w:pStyle w:val="Compact"/>
              <w:spacing w:after="40"/>
              <w:jc w:val="left"/>
            </w:pPr>
            <w:r>
              <w:rPr>
                <w:sz w:val="18"/>
              </w:rPr>
              <w:t xml:space="preserve">Concurrent audit</w:t>
            </w:r>
          </w:p>
        </w:tc>
        <w:tc>
          <w:tcPr>
            <w:tcW w:w="3743" w:type="dxa"/>
          </w:tcPr>
          <w:p>
            <w:pPr>
              <w:pStyle w:val="Compact"/>
              <w:spacing w:after="40"/>
              <w:jc w:val="left"/>
            </w:pPr>
            <w:r>
              <w:rPr>
                <w:sz w:val="18"/>
              </w:rPr>
              <w:t xml:space="preserve">turnover or deposits &gt; ₹500 crore (s.70A)</w:t>
            </w:r>
          </w:p>
        </w:tc>
        <w:tc>
          <w:tcPr>
            <w:tcW w:w="4299" w:type="dxa"/>
          </w:tcPr>
          <w:p>
            <w:pPr>
              <w:pStyle w:val="Compact"/>
              <w:spacing w:after="40"/>
              <w:jc w:val="left"/>
            </w:pPr>
            <w:r>
              <w:rPr>
                <w:sz w:val="18"/>
              </w:rPr>
              <w:t xml:space="preserve">[VERIFY]</w:t>
            </w:r>
          </w:p>
        </w:tc>
      </w:tr>
      <w:tr>
        <w:tc>
          <w:tcPr>
            <w:tcW w:w="1596" w:type="dxa"/>
          </w:tcPr>
          <w:p>
            <w:pPr>
              <w:pStyle w:val="Compact"/>
              <w:spacing w:after="40"/>
              <w:jc w:val="left"/>
            </w:pPr>
            <w:r>
              <w:rPr>
                <w:sz w:val="18"/>
              </w:rPr>
              <w:t xml:space="preserve">Rectification</w:t>
            </w:r>
          </w:p>
        </w:tc>
        <w:tc>
          <w:tcPr>
            <w:tcW w:w="3743" w:type="dxa"/>
          </w:tcPr>
          <w:p>
            <w:pPr>
              <w:pStyle w:val="Compact"/>
              <w:spacing w:after="40"/>
              <w:jc w:val="left"/>
            </w:pPr>
            <w:r>
              <w:rPr>
                <w:sz w:val="18"/>
              </w:rPr>
              <w:t xml:space="preserve">para tracker</w:t>
            </w:r>
          </w:p>
        </w:tc>
        <w:tc>
          <w:tcPr>
            <w:tcW w:w="4299" w:type="dxa"/>
          </w:tcPr>
          <w:p>
            <w:pPr>
              <w:pStyle w:val="Compact"/>
              <w:spacing w:after="40"/>
              <w:jc w:val="left"/>
            </w:pPr>
            <w:r>
              <w:rPr>
                <w:bCs/>
                <w:b/>
                <w:sz w:val="18"/>
              </w:rPr>
              <w:t xml:space="preserve">Form O within 3 months</w:t>
            </w:r>
            <w:r>
              <w:rPr>
                <w:sz w:val="18"/>
              </w:rPr>
              <w:t xml:space="preserve">; Registrar review 6 months (s.82; Circular 254/2015)</w:t>
            </w:r>
          </w:p>
        </w:tc>
      </w:tr>
      <w:tr>
        <w:tc>
          <w:tcPr>
            <w:tcW w:w="1596" w:type="dxa"/>
          </w:tcPr>
          <w:p>
            <w:pPr>
              <w:pStyle w:val="Compact"/>
              <w:spacing w:after="40"/>
              <w:jc w:val="left"/>
            </w:pPr>
            <w:r>
              <w:rPr>
                <w:sz w:val="18"/>
              </w:rPr>
              <w:t xml:space="preserve">Audit class</w:t>
            </w:r>
          </w:p>
        </w:tc>
        <w:tc>
          <w:tcPr>
            <w:tcW w:w="3743" w:type="dxa"/>
          </w:tcPr>
          <w:p>
            <w:pPr>
              <w:pStyle w:val="Compact"/>
              <w:spacing w:after="40"/>
              <w:jc w:val="left"/>
            </w:pPr>
            <w:r>
              <w:rPr>
                <w:sz w:val="18"/>
              </w:rPr>
              <w:t xml:space="preserve">—</w:t>
            </w:r>
          </w:p>
        </w:tc>
        <w:tc>
          <w:tcPr>
            <w:tcW w:w="4299" w:type="dxa"/>
          </w:tcPr>
          <w:p>
            <w:pPr>
              <w:pStyle w:val="Compact"/>
              <w:spacing w:after="40"/>
              <w:jc w:val="left"/>
            </w:pPr>
            <w:r>
              <w:rPr>
                <w:sz w:val="18"/>
              </w:rPr>
              <w:t xml:space="preserve">Form N-2, 7 parameters (Rule 69(3)); bands [VERIFY: A ≥ 70, B 50–69, C 35–49, D &lt; 35]</w:t>
            </w:r>
          </w:p>
        </w:tc>
      </w:tr>
      <w:tr>
        <w:tc>
          <w:tcPr>
            <w:tcW w:w="1596" w:type="dxa"/>
          </w:tcPr>
          <w:p>
            <w:pPr>
              <w:pStyle w:val="Compact"/>
              <w:spacing w:after="40"/>
              <w:jc w:val="left"/>
            </w:pPr>
            <w:r>
              <w:rPr>
                <w:sz w:val="18"/>
              </w:rPr>
              <w:t xml:space="preserve">Annual return</w:t>
            </w:r>
          </w:p>
        </w:tc>
        <w:tc>
          <w:tcPr>
            <w:tcW w:w="3743" w:type="dxa"/>
          </w:tcPr>
          <w:p>
            <w:pPr>
              <w:pStyle w:val="Compact"/>
              <w:spacing w:after="40"/>
              <w:jc w:val="left"/>
            </w:pPr>
            <w:r>
              <w:rPr>
                <w:sz w:val="18"/>
              </w:rPr>
              <w:t xml:space="preserve">within 6 months (s.120; bye-law cl.51) [VERIFY]</w:t>
            </w:r>
          </w:p>
        </w:tc>
        <w:tc>
          <w:tcPr>
            <w:tcW w:w="4299" w:type="dxa"/>
          </w:tcPr>
          <w:p>
            <w:pPr>
              <w:pStyle w:val="Compact"/>
              <w:spacing w:after="40"/>
              <w:jc w:val="left"/>
            </w:pPr>
            <w:r>
              <w:rPr>
                <w:sz w:val="18"/>
              </w:rPr>
              <w:t xml:space="preserve">within 6 months (s.79(1A))</w:t>
            </w:r>
          </w:p>
        </w:tc>
      </w:tr>
      <w:tr>
        <w:tc>
          <w:tcPr>
            <w:tcW w:w="1596" w:type="dxa"/>
          </w:tcPr>
          <w:p>
            <w:pPr>
              <w:pStyle w:val="Compact"/>
              <w:spacing w:after="40"/>
              <w:jc w:val="left"/>
            </w:pPr>
            <w:r>
              <w:rPr>
                <w:sz w:val="18"/>
              </w:rPr>
              <w:t xml:space="preserve">Lateness</w:t>
            </w:r>
          </w:p>
        </w:tc>
        <w:tc>
          <w:tcPr>
            <w:tcW w:w="3743" w:type="dxa"/>
          </w:tcPr>
          <w:p>
            <w:pPr>
              <w:pStyle w:val="Compact"/>
              <w:spacing w:after="40"/>
              <w:jc w:val="left"/>
            </w:pPr>
            <w:r>
              <w:rPr>
                <w:sz w:val="18"/>
              </w:rPr>
              <w:t xml:space="preserve">directors disqualified 5 years (s.43(2)(e)–(f))</w:t>
            </w:r>
          </w:p>
        </w:tc>
        <w:tc>
          <w:tcPr>
            <w:tcW w:w="4299" w:type="dxa"/>
          </w:tcPr>
          <w:p>
            <w:pPr>
              <w:pStyle w:val="Compact"/>
              <w:spacing w:after="40"/>
              <w:jc w:val="left"/>
            </w:pPr>
            <w:r>
              <w:rPr>
                <w:sz w:val="18"/>
              </w:rPr>
              <w:t xml:space="preserve">Registrar action</w:t>
            </w:r>
          </w:p>
        </w:tc>
      </w:tr>
    </w:tbl>
    <w:p>
      <w:pPr>
        <w:pStyle w:val="BodyText"/>
      </w:pPr>
      <w:r>
        <w:t xml:space="preserve">Returns sit in 7B RR1 (regulator</w:t>
      </w:r>
      <w:r>
        <w:t xml:space="preserve"> </w:t>
      </w:r>
      <w:r>
        <w:rPr>
          <w:rStyle w:val="VerbatimChar"/>
        </w:rPr>
        <w:t xml:space="preserve">RCS-[State]</w:t>
      </w:r>
      <w:r>
        <w:t xml:space="preserve"> </w:t>
      </w:r>
      <w:r>
        <w:t xml:space="preserve">or</w:t>
      </w:r>
      <w:r>
        <w:t xml:space="preserve"> </w:t>
      </w:r>
      <w:r>
        <w:rPr>
          <w:rStyle w:val="VerbatimChar"/>
        </w:rPr>
        <w:t xml:space="preserve">CRCS</w:t>
      </w:r>
      <w:r>
        <w:t xml:space="preserve">), validated in RR3, filed by an authorised human via RR4. Audit uses 7D AU2, AU5, AU7; audit-class history drives class-dependent rules; a dashboard shows days to the s.43(2) trigger per director.</w:t>
      </w:r>
    </w:p>
    <w:bookmarkEnd w:id="546"/>
    <w:bookmarkStart w:id="547" w:name="ip2.11-disputes-and-statutory-recovery"/>
    <w:p>
      <w:pPr>
        <w:pStyle w:val="Heading3"/>
      </w:pPr>
      <w:r>
        <w:t xml:space="preserve">IP2.11 Disputes and statutory recovery</w:t>
      </w:r>
    </w:p>
    <w:p>
      <w:pPr>
        <w:pStyle w:val="FirstParagraph"/>
      </w:pPr>
      <w:r>
        <w:rPr>
          <w:bCs/>
          <w:b/>
        </w:rPr>
        <w:t xml:space="preserve">R1.4 for co-operative profiles:</w:t>
      </w:r>
      <w:r>
        <w:t xml:space="preserve"> </w:t>
      </w:r>
      <w:r>
        <w:t xml:space="preserve">SARFAESI and DRT hidden; civil suit hidden where the statutory forum is exclusive (SCS-MH s.91(3)); s.138 NI Act available; IBC s.7 only for corporate debtors after counsel confirms standing [VERIFY].</w:t>
      </w:r>
    </w:p>
    <w:p>
      <w:pPr>
        <w:numPr>
          <w:ilvl w:val="0"/>
          <w:numId w:val="1473"/>
        </w:numPr>
        <w:pStyle w:val="Compact"/>
      </w:pPr>
      <w:r>
        <w:rPr>
          <w:bCs/>
          <w:b/>
        </w:rPr>
        <w:t xml:space="preserve">Maharashtra s.91 Co-operative Court:</w:t>
      </w:r>
      <w:r>
        <w:t xml:space="preserve"> </w:t>
      </w:r>
      <w:r>
        <w:t xml:space="preserve">disputes on constitution, management or business; limitation 6 years (s.92); appeal within 2 months (s.96); execution as decree or land revenue within 12 years (s.98).</w:t>
      </w:r>
    </w:p>
    <w:p>
      <w:pPr>
        <w:numPr>
          <w:ilvl w:val="0"/>
          <w:numId w:val="1473"/>
        </w:numPr>
        <w:pStyle w:val="Compact"/>
      </w:pPr>
      <w:r>
        <w:rPr>
          <w:bCs/>
          <w:b/>
        </w:rPr>
        <w:t xml:space="preserve">Maharashtra s.101 certificate</w:t>
      </w:r>
      <w:r>
        <w:t xml:space="preserve"> </w:t>
      </w:r>
      <w:r>
        <w:t xml:space="preserve">(notified classes) [VERIFY notification for credit societies]:</w:t>
      </w:r>
      <w:r>
        <w:t xml:space="preserve"> </w:t>
      </w:r>
      <w:r>
        <w:rPr>
          <w:rStyle w:val="VerbatimChar"/>
        </w:rPr>
        <w:t xml:space="preserve">NOTICES_SERVED → BOARD_RESOLUTION → PACK_BUILT (statement, sanction, agreement, surety bonds) → APPLIED (ARCS/DDR) → HEARING → CERTIFICATE_ISSUED → EXECUTION (s.156; Rule 107) [VERIFY Rules 86, 107] → CLOSED</w:t>
      </w:r>
      <w:r>
        <w:t xml:space="preserve">. Recoverable as arrears of land revenue; post-certificate transfers void (s.99), so an encumbrance flag is set on attached property.</w:t>
      </w:r>
    </w:p>
    <w:p>
      <w:pPr>
        <w:numPr>
          <w:ilvl w:val="0"/>
          <w:numId w:val="1473"/>
        </w:numPr>
        <w:pStyle w:val="Compact"/>
      </w:pPr>
      <w:r>
        <w:rPr>
          <w:bCs/>
          <w:b/>
        </w:rPr>
        <w:t xml:space="preserve">MSCS:</w:t>
      </w:r>
      <w:r>
        <w:t xml:space="preserve"> </w:t>
      </w:r>
      <w:r>
        <w:t xml:space="preserve">arbitration by an arbitrator appointed by the Central Registrar (s.84; bye-law cl.53) → award → recovery [VERIFY ss.84, 94].</w:t>
      </w:r>
    </w:p>
    <w:p>
      <w:pPr>
        <w:numPr>
          <w:ilvl w:val="0"/>
          <w:numId w:val="1473"/>
        </w:numPr>
        <w:pStyle w:val="Compact"/>
      </w:pPr>
      <w:r>
        <w:rPr>
          <w:bCs/>
          <w:b/>
        </w:rPr>
        <w:t xml:space="preserve">Equator (GR-7G-05):</w:t>
      </w:r>
      <w:r>
        <w:t xml:space="preserve"> </w:t>
      </w:r>
      <w:r>
        <w:t xml:space="preserve">private arbitration under the 1996 Act blocked for s.91 or s.84 disputes; voluntary conciliation or mediation allowed; settlements filed before the statutory forum where proceedings are pending.</w:t>
      </w:r>
    </w:p>
    <w:bookmarkEnd w:id="547"/>
    <w:bookmarkStart w:id="548" w:name="ip2.12-conduct-overlays"/>
    <w:p>
      <w:pPr>
        <w:pStyle w:val="Heading3"/>
      </w:pPr>
      <w:r>
        <w:t xml:space="preserve">IP2.12 Conduct overlays</w:t>
      </w:r>
    </w:p>
    <w:p>
      <w:pPr>
        <w:numPr>
          <w:ilvl w:val="0"/>
          <w:numId w:val="1474"/>
        </w:numPr>
        <w:pStyle w:val="Compact"/>
      </w:pPr>
      <w:r>
        <w:rPr>
          <w:bCs/>
          <w:b/>
        </w:rPr>
        <w:t xml:space="preserve">TN40</w:t>
      </w:r>
      <w:r>
        <w:t xml:space="preserve"> </w:t>
      </w:r>
      <w:r>
        <w:t xml:space="preserve">(assent 9 Jun 2025): co-operative societies exempt from registration but bound by s.20 coercion provisions (s.2 proviso); up to 3 or 5 years and/or ₹5 lakh (s.21); deemed abetment under BNS s.108 (s.22) [VERIFY commencement].</w:t>
      </w:r>
    </w:p>
    <w:p>
      <w:pPr>
        <w:numPr>
          <w:ilvl w:val="0"/>
          <w:numId w:val="1474"/>
        </w:numPr>
        <w:pStyle w:val="Compact"/>
      </w:pPr>
      <w:r>
        <w:rPr>
          <w:bCs/>
          <w:b/>
        </w:rPr>
        <w:t xml:space="preserve">KA15</w:t>
      </w:r>
      <w:r>
        <w:t xml:space="preserve"> </w:t>
      </w:r>
      <w:r>
        <w:t xml:space="preserve">(in force 12 Feb 2025): KCS and Souharda societies and co-operative banks exempt (s.1(3)); MSCS in Karnataka [VERIFY].</w:t>
      </w:r>
    </w:p>
    <w:p>
      <w:pPr>
        <w:numPr>
          <w:ilvl w:val="0"/>
          <w:numId w:val="1474"/>
        </w:numPr>
        <w:pStyle w:val="Compact"/>
      </w:pPr>
      <w:r>
        <w:rPr>
          <w:bCs/>
          <w:b/>
        </w:rPr>
        <w:t xml:space="preserve">Contact windows (tenant may narrow):</w:t>
      </w:r>
      <w:r>
        <w:t xml:space="preserve"> </w:t>
      </w:r>
      <w:r>
        <w:t xml:space="preserve">09:00–18:00 for collateral-free loans to households ≤ ₹3 lakh; 08:00–19:00 otherwise [REC]; enforced by R15.1. Each field event carries the coercion checklist and geo-time stamp; a coercion complaint suspends the agent.</w:t>
      </w:r>
    </w:p>
    <w:p>
      <w:pPr>
        <w:numPr>
          <w:ilvl w:val="0"/>
          <w:numId w:val="1474"/>
        </w:numPr>
        <w:pStyle w:val="Compact"/>
      </w:pPr>
      <w:r>
        <w:rPr>
          <w:bCs/>
          <w:b/>
        </w:rPr>
        <w:t xml:space="preserve">Grievance:</w:t>
      </w:r>
      <w:r>
        <w:t xml:space="preserve"> </w:t>
      </w:r>
      <w:r>
        <w:t xml:space="preserve">society officer → Registrar or Co-operative Ombudsman (MSCS s.85A) → consumer commission; the RBI Ombudsman is never shown.</w:t>
      </w:r>
    </w:p>
    <w:p>
      <w:pPr>
        <w:numPr>
          <w:ilvl w:val="0"/>
          <w:numId w:val="1474"/>
        </w:numPr>
        <w:pStyle w:val="Compact"/>
      </w:pPr>
      <w:r>
        <w:rPr>
          <w:bCs/>
          <w:b/>
        </w:rPr>
        <w:t xml:space="preserve">Bureau:</w:t>
      </w:r>
      <w:r>
        <w:t xml:space="preserve"> </w:t>
      </w:r>
      <w:r>
        <w:t xml:space="preserve">CIC submission only if the society is a CIC member under CICRA [VERIFY]; otherwise checks rely on declarations. Never borrow another lender’s bureau access.</w:t>
      </w:r>
    </w:p>
    <w:bookmarkEnd w:id="548"/>
    <w:bookmarkStart w:id="549" w:name="Xdcd98177843d9b0a81305f50f430b5714c0e79c"/>
    <w:p>
      <w:pPr>
        <w:pStyle w:val="Heading3"/>
      </w:pPr>
      <w:r>
        <w:t xml:space="preserve">IP2.13 No co-lending or loan sale; lawful alternatives</w:t>
      </w:r>
    </w:p>
    <w:p>
      <w:pPr>
        <w:pStyle w:val="FirstParagraph"/>
      </w:pPr>
      <w:r>
        <w:t xml:space="preserve">A credit society is not a</w:t>
      </w:r>
      <w:r>
        <w:t xml:space="preserve"> </w:t>
      </w:r>
      <w:r>
        <w:t xml:space="preserve">“</w:t>
      </w:r>
      <w:r>
        <w:t xml:space="preserve">lender</w:t>
      </w:r>
      <w:r>
        <w:t xml:space="preserve">”</w:t>
      </w:r>
      <w:r>
        <w:t xml:space="preserve"> </w:t>
      </w:r>
      <w:r>
        <w:t xml:space="preserve">(TDCR para 12(4)) or co-lending partner (para 97); NBFCs acquire only from listed lenders (para 7); co-operative banks are lenders only as stressed-loan transferors. Blocked (GR-7G-03, -04, -13): co-lending, blended pricing or shared escrow with a society or co-operative bank; DA or participation either way (except a co-operative bank’s stressed-loan sale to a permitted transferee or ARC); split-loan routing; society DLG to an NBFC.</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239"/>
        <w:gridCol w:w="3576"/>
        <w:gridCol w:w="2823"/>
      </w:tblGrid>
      <w:tr>
        <w:trPr>
          <w:tblHeader w:val="true"/>
          <w:tblHeader w:val="true"/>
        </w:trPr>
        <w:tc>
          <w:tcPr>
            <w:tcW w:w="3239" w:type="dxa"/>
            <w:shd w:val="clear" w:color="auto" w:fill="1F3A5F"/>
          </w:tcPr>
          <w:p>
            <w:pPr>
              <w:pStyle w:val="Compact"/>
              <w:spacing w:after="40"/>
              <w:jc w:val="left"/>
            </w:pPr>
            <w:r>
              <w:rPr>
                <w:b/>
                <w:color w:val="FFFFFF"/>
                <w:sz w:val="18"/>
              </w:rPr>
              <w:t xml:space="preserve">Alternative [REC; counsel to confirm]</w:t>
            </w:r>
          </w:p>
        </w:tc>
        <w:tc>
          <w:tcPr>
            <w:tcW w:w="3576" w:type="dxa"/>
            <w:shd w:val="clear" w:color="auto" w:fill="1F3A5F"/>
          </w:tcPr>
          <w:p>
            <w:pPr>
              <w:pStyle w:val="Compact"/>
              <w:spacing w:after="40"/>
              <w:jc w:val="left"/>
            </w:pPr>
            <w:r>
              <w:rPr>
                <w:b/>
                <w:color w:val="FFFFFF"/>
                <w:sz w:val="18"/>
              </w:rPr>
              <w:t xml:space="preserve">Conditions</w:t>
            </w:r>
          </w:p>
        </w:tc>
        <w:tc>
          <w:tcPr>
            <w:tcW w:w="2823" w:type="dxa"/>
            <w:shd w:val="clear" w:color="auto" w:fill="1F3A5F"/>
          </w:tcPr>
          <w:p>
            <w:pPr>
              <w:pStyle w:val="Compact"/>
              <w:spacing w:after="40"/>
              <w:jc w:val="left"/>
            </w:pPr>
            <w:r>
              <w:rPr>
                <w:b/>
                <w:color w:val="FFFFFF"/>
                <w:sz w:val="18"/>
              </w:rPr>
              <w:t xml:space="preserve">Finbyx support</w:t>
            </w:r>
          </w:p>
        </w:tc>
      </w:tr>
      <w:tr>
        <w:tc>
          <w:tcPr>
            <w:tcW w:w="3239" w:type="dxa"/>
          </w:tcPr>
          <w:p>
            <w:pPr>
              <w:pStyle w:val="Compact"/>
              <w:spacing w:after="40"/>
              <w:jc w:val="left"/>
            </w:pPr>
            <w:r>
              <w:rPr>
                <w:sz w:val="18"/>
              </w:rPr>
              <w:t xml:space="preserve">Wholesale term loan from an NBFC or bank to the society for on-lending</w:t>
            </w:r>
          </w:p>
        </w:tc>
        <w:tc>
          <w:tcPr>
            <w:tcW w:w="3576" w:type="dxa"/>
          </w:tcPr>
          <w:p>
            <w:pPr>
              <w:pStyle w:val="Compact"/>
              <w:spacing w:after="40"/>
              <w:jc w:val="left"/>
            </w:pPr>
            <w:r>
              <w:rPr>
                <w:sz w:val="18"/>
              </w:rPr>
              <w:t xml:space="preserve">Within the society’s borrowing limit (MSCS s.67; State pack) and bye-laws; lender’s own CRM and CON limits</w:t>
            </w:r>
          </w:p>
        </w:tc>
        <w:tc>
          <w:tcPr>
            <w:tcW w:w="2823" w:type="dxa"/>
          </w:tcPr>
          <w:p>
            <w:pPr>
              <w:pStyle w:val="Compact"/>
              <w:spacing w:after="40"/>
              <w:jc w:val="left"/>
            </w:pPr>
            <w:r>
              <w:rPr>
                <w:sz w:val="18"/>
              </w:rPr>
              <w:t xml:space="preserve">NBFC: Product 18</w:t>
            </w:r>
            <w:r>
              <w:rPr>
                <w:sz w:val="18"/>
              </w:rPr>
              <w:t xml:space="preserve"> </w:t>
            </w:r>
            <w:r>
              <w:rPr>
                <w:rStyle w:val="VerbatimChar"/>
                <w:sz w:val="18"/>
              </w:rPr>
              <w:t xml:space="preserve">CORP</w:t>
            </w:r>
            <w:r>
              <w:rPr>
                <w:sz w:val="18"/>
              </w:rPr>
              <w:t xml:space="preserve">; society: borrowings sub-ledger (M10 item 8)</w:t>
            </w:r>
          </w:p>
        </w:tc>
      </w:tr>
      <w:tr>
        <w:tc>
          <w:tcPr>
            <w:tcW w:w="3239" w:type="dxa"/>
          </w:tcPr>
          <w:p>
            <w:pPr>
              <w:pStyle w:val="Compact"/>
              <w:spacing w:after="40"/>
              <w:jc w:val="left"/>
            </w:pPr>
            <w:r>
              <w:rPr>
                <w:sz w:val="18"/>
              </w:rPr>
              <w:t xml:space="preserve">Society as sourcing agent of an NBFC (NBFC sole lender, under its outsourcing controls)</w:t>
            </w:r>
          </w:p>
        </w:tc>
        <w:tc>
          <w:tcPr>
            <w:tcW w:w="3576" w:type="dxa"/>
          </w:tcPr>
          <w:p>
            <w:pPr>
              <w:pStyle w:val="Compact"/>
              <w:spacing w:after="40"/>
              <w:jc w:val="left"/>
            </w:pPr>
            <w:r>
              <w:rPr>
                <w:sz w:val="18"/>
              </w:rPr>
              <w:t xml:space="preserve">Bye-laws permit; lender disclosed; no deposit cross-sell; conflict policy</w:t>
            </w:r>
          </w:p>
        </w:tc>
        <w:tc>
          <w:tcPr>
            <w:tcW w:w="2823" w:type="dxa"/>
          </w:tcPr>
          <w:p>
            <w:pPr>
              <w:pStyle w:val="Compact"/>
              <w:spacing w:after="40"/>
              <w:jc w:val="left"/>
            </w:pPr>
            <w:r>
              <w:rPr>
                <w:sz w:val="18"/>
              </w:rPr>
              <w:t xml:space="preserve">NBFC: M2 partner; society: referral log</w:t>
            </w:r>
          </w:p>
        </w:tc>
      </w:tr>
      <w:tr>
        <w:tc>
          <w:tcPr>
            <w:tcW w:w="3239" w:type="dxa"/>
          </w:tcPr>
          <w:p>
            <w:pPr>
              <w:pStyle w:val="Compact"/>
              <w:spacing w:after="40"/>
              <w:jc w:val="left"/>
            </w:pPr>
            <w:r>
              <w:rPr>
                <w:sz w:val="18"/>
              </w:rPr>
              <w:t xml:space="preserve">Business correspondent of a bank</w:t>
            </w:r>
          </w:p>
        </w:tc>
        <w:tc>
          <w:tcPr>
            <w:tcW w:w="3576" w:type="dxa"/>
          </w:tcPr>
          <w:p>
            <w:pPr>
              <w:pStyle w:val="Compact"/>
              <w:spacing w:after="40"/>
              <w:jc w:val="left"/>
            </w:pPr>
            <w:r>
              <w:rPr>
                <w:sz w:val="18"/>
              </w:rPr>
              <w:t xml:space="preserve">Bank BC rules [VERIFY eligibility]</w:t>
            </w:r>
          </w:p>
        </w:tc>
        <w:tc>
          <w:tcPr>
            <w:tcW w:w="2823" w:type="dxa"/>
          </w:tcPr>
          <w:p>
            <w:pPr>
              <w:pStyle w:val="Compact"/>
              <w:spacing w:after="40"/>
              <w:jc w:val="left"/>
            </w:pPr>
            <w:r>
              <w:rPr>
                <w:sz w:val="18"/>
              </w:rPr>
              <w:t xml:space="preserve">Record only</w:t>
            </w:r>
          </w:p>
        </w:tc>
      </w:tr>
      <w:tr>
        <w:tc>
          <w:tcPr>
            <w:tcW w:w="3239" w:type="dxa"/>
          </w:tcPr>
          <w:p>
            <w:pPr>
              <w:pStyle w:val="Compact"/>
              <w:spacing w:after="40"/>
              <w:jc w:val="left"/>
            </w:pPr>
            <w:r>
              <w:rPr>
                <w:sz w:val="18"/>
              </w:rPr>
              <w:t xml:space="preserve">Independent parallel loans</w:t>
            </w:r>
          </w:p>
        </w:tc>
        <w:tc>
          <w:tcPr>
            <w:tcW w:w="3576" w:type="dxa"/>
          </w:tcPr>
          <w:p>
            <w:pPr>
              <w:pStyle w:val="Compact"/>
              <w:spacing w:after="40"/>
              <w:jc w:val="left"/>
            </w:pPr>
            <w:r>
              <w:rPr>
                <w:sz w:val="18"/>
              </w:rPr>
              <w:t xml:space="preserve">Separate appraisal with aggregated affordability; no joint pricing, escrow or documents</w:t>
            </w:r>
          </w:p>
        </w:tc>
        <w:tc>
          <w:tcPr>
            <w:tcW w:w="2823" w:type="dxa"/>
          </w:tcPr>
          <w:p>
            <w:pPr>
              <w:pStyle w:val="Compact"/>
              <w:spacing w:after="40"/>
              <w:jc w:val="left"/>
            </w:pPr>
            <w:r>
              <w:rPr>
                <w:sz w:val="18"/>
              </w:rPr>
              <w:t xml:space="preserve">Bureau and household views</w:t>
            </w:r>
          </w:p>
        </w:tc>
      </w:tr>
      <w:tr>
        <w:tc>
          <w:tcPr>
            <w:tcW w:w="3239" w:type="dxa"/>
          </w:tcPr>
          <w:p>
            <w:pPr>
              <w:pStyle w:val="Compact"/>
              <w:spacing w:after="40"/>
              <w:jc w:val="left"/>
            </w:pPr>
            <w:r>
              <w:rPr>
                <w:sz w:val="18"/>
              </w:rPr>
              <w:t xml:space="preserve">Udofin member-only track for the society’s own loans</w:t>
            </w:r>
          </w:p>
        </w:tc>
        <w:tc>
          <w:tcPr>
            <w:tcW w:w="3576" w:type="dxa"/>
          </w:tcPr>
          <w:p>
            <w:pPr>
              <w:pStyle w:val="Compact"/>
              <w:spacing w:after="40"/>
              <w:jc w:val="left"/>
            </w:pPr>
            <w:r>
              <w:rPr>
                <w:sz w:val="18"/>
              </w:rPr>
              <w:t xml:space="preserve">Udofin UP4; no deposit marketing; no borrower fees</w:t>
            </w:r>
          </w:p>
        </w:tc>
        <w:tc>
          <w:tcPr>
            <w:tcW w:w="2823" w:type="dxa"/>
          </w:tcPr>
          <w:p>
            <w:pPr>
              <w:pStyle w:val="Compact"/>
              <w:spacing w:after="40"/>
              <w:jc w:val="left"/>
            </w:pPr>
            <w:r>
              <w:rPr>
                <w:rStyle w:val="VerbatimChar"/>
                <w:sz w:val="18"/>
              </w:rPr>
              <w:t xml:space="preserve">MemberAdmitted</w:t>
            </w:r>
            <w:r>
              <w:rPr>
                <w:sz w:val="18"/>
              </w:rPr>
              <w:t xml:space="preserve">,</w:t>
            </w:r>
            <w:r>
              <w:rPr>
                <w:sz w:val="18"/>
              </w:rPr>
              <w:t xml:space="preserve"> </w:t>
            </w:r>
            <w:r>
              <w:rPr>
                <w:rStyle w:val="VerbatimChar"/>
                <w:sz w:val="18"/>
              </w:rPr>
              <w:t xml:space="preserve">ShareCapitalPosted</w:t>
            </w:r>
          </w:p>
        </w:tc>
      </w:tr>
    </w:tbl>
    <w:bookmarkEnd w:id="549"/>
    <w:bookmarkStart w:id="550" w:name="ip2.14-fraud-and-scam-controls"/>
    <w:p>
      <w:pPr>
        <w:pStyle w:val="Heading3"/>
      </w:pPr>
      <w:r>
        <w:t xml:space="preserve">IP2.14 Fraud and scam controls</w:t>
      </w:r>
    </w:p>
    <w:p>
      <w:pPr>
        <w:pStyle w:val="FirstParagraph"/>
      </w:pPr>
      <w:r>
        <w:t xml:space="preserve">Patterns: agent-raised non-member deposits, fictitious and related-party loans, evergreening [VERIFY reported cases]. Controls: related-party graph (members, directors, relatives, sureties, agents) with block or escalation at sanction; daily leverage and exposure checks; branch new-borrower velocity and loans to members admitted within 30 days [REC]; agent-commission anomalies; deposit exceptions (IP2.5); concurrent-audit read-only access; CRCS returns reconciled to the ledger.</w:t>
      </w:r>
    </w:p>
    <w:bookmarkEnd w:id="550"/>
    <w:bookmarkStart w:id="551" w:name="settings-and-options-16"/>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57"/>
        <w:gridCol w:w="1373"/>
        <w:gridCol w:w="2356"/>
        <w:gridCol w:w="3052"/>
      </w:tblGrid>
      <w:tr>
        <w:trPr>
          <w:tblHeader w:val="true"/>
          <w:tblHeader w:val="true"/>
        </w:trPr>
        <w:tc>
          <w:tcPr>
            <w:tcW w:w="2857" w:type="dxa"/>
            <w:shd w:val="clear" w:color="auto" w:fill="1F3A5F"/>
          </w:tcPr>
          <w:p>
            <w:pPr>
              <w:pStyle w:val="Compact"/>
              <w:spacing w:after="40"/>
              <w:jc w:val="left"/>
            </w:pPr>
            <w:r>
              <w:rPr>
                <w:b/>
                <w:color w:val="FFFFFF"/>
                <w:sz w:val="18"/>
              </w:rPr>
              <w:t xml:space="preserve">Setting</w:t>
            </w:r>
          </w:p>
        </w:tc>
        <w:tc>
          <w:tcPr>
            <w:tcW w:w="1373" w:type="dxa"/>
            <w:shd w:val="clear" w:color="auto" w:fill="1F3A5F"/>
          </w:tcPr>
          <w:p>
            <w:pPr>
              <w:pStyle w:val="Compact"/>
              <w:spacing w:after="40"/>
              <w:jc w:val="left"/>
            </w:pPr>
            <w:r>
              <w:rPr>
                <w:b/>
                <w:color w:val="FFFFFF"/>
                <w:sz w:val="18"/>
              </w:rPr>
              <w:t xml:space="preserve">Level</w:t>
            </w:r>
          </w:p>
        </w:tc>
        <w:tc>
          <w:tcPr>
            <w:tcW w:w="2356" w:type="dxa"/>
            <w:shd w:val="clear" w:color="auto" w:fill="1F3A5F"/>
          </w:tcPr>
          <w:p>
            <w:pPr>
              <w:pStyle w:val="Compact"/>
              <w:spacing w:after="40"/>
              <w:jc w:val="left"/>
            </w:pPr>
            <w:r>
              <w:rPr>
                <w:b/>
                <w:color w:val="FFFFFF"/>
                <w:sz w:val="18"/>
              </w:rPr>
              <w:t xml:space="preserve">Default</w:t>
            </w:r>
          </w:p>
        </w:tc>
        <w:tc>
          <w:tcPr>
            <w:tcW w:w="3052" w:type="dxa"/>
            <w:shd w:val="clear" w:color="auto" w:fill="1F3A5F"/>
          </w:tcPr>
          <w:p>
            <w:pPr>
              <w:pStyle w:val="Compact"/>
              <w:spacing w:after="40"/>
              <w:jc w:val="left"/>
            </w:pPr>
            <w:r>
              <w:rPr>
                <w:b/>
                <w:color w:val="FFFFFF"/>
                <w:sz w:val="18"/>
              </w:rPr>
              <w:t xml:space="preserve">Nature</w:t>
            </w:r>
          </w:p>
        </w:tc>
      </w:tr>
      <w:tr>
        <w:tc>
          <w:tcPr>
            <w:tcW w:w="2857" w:type="dxa"/>
          </w:tcPr>
          <w:p>
            <w:pPr>
              <w:pStyle w:val="Compact"/>
              <w:spacing w:after="40"/>
              <w:jc w:val="left"/>
            </w:pPr>
            <w:r>
              <w:rPr>
                <w:sz w:val="18"/>
              </w:rPr>
              <w:t xml:space="preserve">Member classes and rights</w:t>
            </w:r>
          </w:p>
        </w:tc>
        <w:tc>
          <w:tcPr>
            <w:tcW w:w="1373" w:type="dxa"/>
          </w:tcPr>
          <w:p>
            <w:pPr>
              <w:pStyle w:val="Compact"/>
              <w:spacing w:after="40"/>
              <w:jc w:val="left"/>
            </w:pPr>
            <w:r>
              <w:rPr>
                <w:sz w:val="18"/>
              </w:rPr>
              <w:t xml:space="preserve">Profile</w:t>
            </w:r>
          </w:p>
        </w:tc>
        <w:tc>
          <w:tcPr>
            <w:tcW w:w="2356" w:type="dxa"/>
          </w:tcPr>
          <w:p>
            <w:pPr>
              <w:pStyle w:val="Compact"/>
              <w:spacing w:after="40"/>
              <w:jc w:val="left"/>
            </w:pPr>
            <w:r>
              <w:rPr>
                <w:sz w:val="18"/>
              </w:rPr>
              <w:t xml:space="preserve">State or MSCS pack</w:t>
            </w:r>
          </w:p>
        </w:tc>
        <w:tc>
          <w:tcPr>
            <w:tcW w:w="3052" w:type="dxa"/>
          </w:tcPr>
          <w:p>
            <w:pPr>
              <w:pStyle w:val="Compact"/>
              <w:spacing w:after="40"/>
              <w:jc w:val="left"/>
            </w:pPr>
            <w:r>
              <w:rPr>
                <w:sz w:val="18"/>
              </w:rPr>
              <w:t xml:space="preserve">Regulatory floor (deposit right only for</w:t>
            </w:r>
            <w:r>
              <w:rPr>
                <w:sz w:val="18"/>
              </w:rPr>
              <w:t xml:space="preserve"> </w:t>
            </w:r>
            <w:r>
              <w:rPr>
                <w:rStyle w:val="VerbatimChar"/>
                <w:sz w:val="18"/>
              </w:rPr>
              <w:t xml:space="preserve">ORDINARY_VOTING</w:t>
            </w:r>
            <w:r>
              <w:rPr>
                <w:sz w:val="18"/>
              </w:rPr>
              <w:t xml:space="preserve">)</w:t>
            </w:r>
          </w:p>
        </w:tc>
      </w:tr>
      <w:tr>
        <w:tc>
          <w:tcPr>
            <w:tcW w:w="2857" w:type="dxa"/>
          </w:tcPr>
          <w:p>
            <w:pPr>
              <w:pStyle w:val="Compact"/>
              <w:spacing w:after="40"/>
              <w:jc w:val="left"/>
            </w:pPr>
            <w:r>
              <w:rPr>
                <w:sz w:val="18"/>
              </w:rPr>
              <w:t xml:space="preserve">Admission fee, share face value, holding cap</w:t>
            </w:r>
          </w:p>
        </w:tc>
        <w:tc>
          <w:tcPr>
            <w:tcW w:w="1373" w:type="dxa"/>
          </w:tcPr>
          <w:p>
            <w:pPr>
              <w:pStyle w:val="Compact"/>
              <w:spacing w:after="40"/>
              <w:jc w:val="left"/>
            </w:pPr>
            <w:r>
              <w:rPr>
                <w:sz w:val="18"/>
              </w:rPr>
              <w:t xml:space="preserve">Society</w:t>
            </w:r>
          </w:p>
        </w:tc>
        <w:tc>
          <w:tcPr>
            <w:tcW w:w="2356" w:type="dxa"/>
          </w:tcPr>
          <w:p>
            <w:pPr>
              <w:pStyle w:val="Compact"/>
              <w:spacing w:after="40"/>
              <w:jc w:val="left"/>
            </w:pPr>
            <w:r>
              <w:rPr>
                <w:sz w:val="18"/>
              </w:rPr>
              <w:t xml:space="preserve">bye-law values</w:t>
            </w:r>
          </w:p>
        </w:tc>
        <w:tc>
          <w:tcPr>
            <w:tcW w:w="3052" w:type="dxa"/>
          </w:tcPr>
          <w:p>
            <w:pPr>
              <w:pStyle w:val="Compact"/>
              <w:spacing w:after="40"/>
              <w:jc w:val="left"/>
            </w:pPr>
            <w:r>
              <w:rPr>
                <w:sz w:val="18"/>
              </w:rPr>
              <w:t xml:space="preserve">Bye-law (L3); cap ≤ one-fifth</w:t>
            </w:r>
          </w:p>
        </w:tc>
      </w:tr>
      <w:tr>
        <w:tc>
          <w:tcPr>
            <w:tcW w:w="2857" w:type="dxa"/>
          </w:tcPr>
          <w:p>
            <w:pPr>
              <w:pStyle w:val="Compact"/>
              <w:spacing w:after="40"/>
              <w:jc w:val="left"/>
            </w:pPr>
            <w:r>
              <w:rPr>
                <w:sz w:val="18"/>
              </w:rPr>
              <w:t xml:space="preserve">Share linkage mode (</w:t>
            </w:r>
            <w:r>
              <w:rPr>
                <w:rStyle w:val="VerbatimChar"/>
                <w:sz w:val="18"/>
              </w:rPr>
              <w:t xml:space="preserve">MULTIPLE</w:t>
            </w:r>
            <w:r>
              <w:rPr>
                <w:sz w:val="18"/>
              </w:rPr>
              <w:t xml:space="preserve"> </w:t>
            </w:r>
            <w:r>
              <w:rPr>
                <w:sz w:val="18"/>
              </w:rPr>
              <w:t xml:space="preserve">or</w:t>
            </w:r>
            <w:r>
              <w:rPr>
                <w:sz w:val="18"/>
              </w:rPr>
              <w:t xml:space="preserve"> </w:t>
            </w:r>
            <w:r>
              <w:rPr>
                <w:rStyle w:val="VerbatimChar"/>
                <w:sz w:val="18"/>
              </w:rPr>
              <w:t xml:space="preserve">LINKAGE</w:t>
            </w:r>
            <w:r>
              <w:rPr>
                <w:sz w:val="18"/>
              </w:rPr>
              <w:t xml:space="preserve">) and value</w:t>
            </w:r>
          </w:p>
        </w:tc>
        <w:tc>
          <w:tcPr>
            <w:tcW w:w="1373" w:type="dxa"/>
          </w:tcPr>
          <w:p>
            <w:pPr>
              <w:pStyle w:val="Compact"/>
              <w:spacing w:after="40"/>
              <w:jc w:val="left"/>
            </w:pPr>
            <w:r>
              <w:rPr>
                <w:sz w:val="18"/>
              </w:rPr>
              <w:t xml:space="preserve">Product</w:t>
            </w:r>
          </w:p>
        </w:tc>
        <w:tc>
          <w:tcPr>
            <w:tcW w:w="2356" w:type="dxa"/>
          </w:tcPr>
          <w:p>
            <w:pPr>
              <w:pStyle w:val="Compact"/>
              <w:spacing w:after="40"/>
              <w:jc w:val="left"/>
            </w:pPr>
            <w:r>
              <w:rPr>
                <w:sz w:val="18"/>
              </w:rPr>
              <w:t xml:space="preserve">bye-law value</w:t>
            </w:r>
          </w:p>
        </w:tc>
        <w:tc>
          <w:tcPr>
            <w:tcW w:w="3052" w:type="dxa"/>
          </w:tcPr>
          <w:p>
            <w:pPr>
              <w:pStyle w:val="Compact"/>
              <w:spacing w:after="40"/>
              <w:jc w:val="left"/>
            </w:pPr>
            <w:r>
              <w:rPr>
                <w:sz w:val="18"/>
              </w:rPr>
              <w:t xml:space="preserve">Bye-law</w:t>
            </w:r>
          </w:p>
        </w:tc>
      </w:tr>
      <w:tr>
        <w:tc>
          <w:tcPr>
            <w:tcW w:w="2857" w:type="dxa"/>
          </w:tcPr>
          <w:p>
            <w:pPr>
              <w:pStyle w:val="Compact"/>
              <w:spacing w:after="40"/>
              <w:jc w:val="left"/>
            </w:pPr>
            <w:r>
              <w:rPr>
                <w:sz w:val="18"/>
              </w:rPr>
              <w:t xml:space="preserve">Top-up collection</w:t>
            </w:r>
          </w:p>
        </w:tc>
        <w:tc>
          <w:tcPr>
            <w:tcW w:w="1373" w:type="dxa"/>
          </w:tcPr>
          <w:p>
            <w:pPr>
              <w:pStyle w:val="Compact"/>
              <w:spacing w:after="40"/>
              <w:jc w:val="left"/>
            </w:pPr>
            <w:r>
              <w:rPr>
                <w:sz w:val="18"/>
              </w:rPr>
              <w:t xml:space="preserve">Product</w:t>
            </w:r>
          </w:p>
        </w:tc>
        <w:tc>
          <w:tcPr>
            <w:tcW w:w="2356" w:type="dxa"/>
          </w:tcPr>
          <w:p>
            <w:pPr>
              <w:pStyle w:val="Compact"/>
              <w:spacing w:after="40"/>
              <w:jc w:val="left"/>
            </w:pPr>
            <w:r>
              <w:rPr>
                <w:sz w:val="18"/>
              </w:rPr>
              <w:t xml:space="preserve">before disbursal</w:t>
            </w:r>
          </w:p>
        </w:tc>
        <w:tc>
          <w:tcPr>
            <w:tcW w:w="3052" w:type="dxa"/>
          </w:tcPr>
          <w:p>
            <w:pPr>
              <w:pStyle w:val="Compact"/>
              <w:spacing w:after="40"/>
              <w:jc w:val="left"/>
            </w:pPr>
            <w:r>
              <w:rPr>
                <w:sz w:val="18"/>
              </w:rPr>
              <w:t xml:space="preserve">Deduction from disbursal only with displayed consent</w:t>
            </w:r>
          </w:p>
        </w:tc>
      </w:tr>
      <w:tr>
        <w:tc>
          <w:tcPr>
            <w:tcW w:w="2857" w:type="dxa"/>
          </w:tcPr>
          <w:p>
            <w:pPr>
              <w:pStyle w:val="Compact"/>
              <w:spacing w:after="40"/>
              <w:jc w:val="left"/>
            </w:pPr>
            <w:r>
              <w:rPr>
                <w:sz w:val="18"/>
              </w:rPr>
              <w:t xml:space="preserve">Live guarantees per surety</w:t>
            </w:r>
          </w:p>
        </w:tc>
        <w:tc>
          <w:tcPr>
            <w:tcW w:w="1373" w:type="dxa"/>
          </w:tcPr>
          <w:p>
            <w:pPr>
              <w:pStyle w:val="Compact"/>
              <w:spacing w:after="40"/>
              <w:jc w:val="left"/>
            </w:pPr>
            <w:r>
              <w:rPr>
                <w:sz w:val="18"/>
              </w:rPr>
              <w:t xml:space="preserve">Society</w:t>
            </w:r>
          </w:p>
        </w:tc>
        <w:tc>
          <w:tcPr>
            <w:tcW w:w="2356" w:type="dxa"/>
          </w:tcPr>
          <w:p>
            <w:pPr>
              <w:pStyle w:val="Compact"/>
              <w:spacing w:after="40"/>
              <w:jc w:val="left"/>
            </w:pPr>
            <w:r>
              <w:rPr>
                <w:sz w:val="18"/>
              </w:rPr>
              <w:t xml:space="preserve">2 [PRAC]</w:t>
            </w:r>
          </w:p>
        </w:tc>
        <w:tc>
          <w:tcPr>
            <w:tcW w:w="3052" w:type="dxa"/>
          </w:tcPr>
          <w:p>
            <w:pPr>
              <w:pStyle w:val="Compact"/>
              <w:spacing w:after="40"/>
              <w:jc w:val="left"/>
            </w:pPr>
            <w:r>
              <w:rPr>
                <w:sz w:val="18"/>
              </w:rPr>
              <w:t xml:space="preserve">Commercial (tighten only)</w:t>
            </w:r>
          </w:p>
        </w:tc>
      </w:tr>
      <w:tr>
        <w:tc>
          <w:tcPr>
            <w:tcW w:w="2857" w:type="dxa"/>
          </w:tcPr>
          <w:p>
            <w:pPr>
              <w:pStyle w:val="Compact"/>
              <w:spacing w:after="40"/>
              <w:jc w:val="left"/>
            </w:pPr>
            <w:r>
              <w:rPr>
                <w:sz w:val="18"/>
              </w:rPr>
              <w:t xml:space="preserve">Deposit Ledger Adapter feed, cut-off, stale block</w:t>
            </w:r>
          </w:p>
        </w:tc>
        <w:tc>
          <w:tcPr>
            <w:tcW w:w="1373" w:type="dxa"/>
          </w:tcPr>
          <w:p>
            <w:pPr>
              <w:pStyle w:val="Compact"/>
              <w:spacing w:after="40"/>
              <w:jc w:val="left"/>
            </w:pPr>
            <w:r>
              <w:rPr>
                <w:sz w:val="18"/>
              </w:rPr>
              <w:t xml:space="preserve">Society</w:t>
            </w:r>
          </w:p>
        </w:tc>
        <w:tc>
          <w:tcPr>
            <w:tcW w:w="2356" w:type="dxa"/>
          </w:tcPr>
          <w:p>
            <w:pPr>
              <w:pStyle w:val="Compact"/>
              <w:spacing w:after="40"/>
              <w:jc w:val="left"/>
            </w:pPr>
            <w:r>
              <w:rPr>
                <w:sz w:val="18"/>
              </w:rPr>
              <w:t xml:space="preserve">SFTP daily, 07:00, 2 business days</w:t>
            </w:r>
          </w:p>
        </w:tc>
        <w:tc>
          <w:tcPr>
            <w:tcW w:w="3052" w:type="dxa"/>
          </w:tcPr>
          <w:p>
            <w:pPr>
              <w:pStyle w:val="Compact"/>
              <w:spacing w:after="40"/>
              <w:jc w:val="left"/>
            </w:pPr>
            <w:r>
              <w:rPr>
                <w:sz w:val="18"/>
              </w:rPr>
              <w:t xml:space="preserve">Adapter mandatory where deposits are held</w:t>
            </w:r>
          </w:p>
        </w:tc>
      </w:tr>
      <w:tr>
        <w:tc>
          <w:tcPr>
            <w:tcW w:w="2857" w:type="dxa"/>
          </w:tcPr>
          <w:p>
            <w:pPr>
              <w:pStyle w:val="Compact"/>
              <w:spacing w:after="40"/>
              <w:jc w:val="left"/>
            </w:pPr>
            <w:r>
              <w:rPr>
                <w:sz w:val="18"/>
              </w:rPr>
              <w:t xml:space="preserve">Read-only deposit balances to Udofin</w:t>
            </w:r>
          </w:p>
        </w:tc>
        <w:tc>
          <w:tcPr>
            <w:tcW w:w="1373" w:type="dxa"/>
          </w:tcPr>
          <w:p>
            <w:pPr>
              <w:pStyle w:val="Compact"/>
              <w:spacing w:after="40"/>
              <w:jc w:val="left"/>
            </w:pPr>
            <w:r>
              <w:rPr>
                <w:sz w:val="18"/>
              </w:rPr>
              <w:t xml:space="preserve">Society</w:t>
            </w:r>
          </w:p>
        </w:tc>
        <w:tc>
          <w:tcPr>
            <w:tcW w:w="2356" w:type="dxa"/>
          </w:tcPr>
          <w:p>
            <w:pPr>
              <w:pStyle w:val="Compact"/>
              <w:spacing w:after="40"/>
              <w:jc w:val="left"/>
            </w:pPr>
            <w:r>
              <w:rPr>
                <w:sz w:val="18"/>
              </w:rPr>
              <w:t xml:space="preserve">off</w:t>
            </w:r>
          </w:p>
        </w:tc>
        <w:tc>
          <w:tcPr>
            <w:tcW w:w="3052" w:type="dxa"/>
          </w:tcPr>
          <w:p>
            <w:pPr>
              <w:pStyle w:val="Compact"/>
              <w:spacing w:after="40"/>
              <w:jc w:val="left"/>
            </w:pPr>
            <w:r>
              <w:rPr>
                <w:sz w:val="18"/>
              </w:rPr>
              <w:t xml:space="preserve">Commercial; member consent</w:t>
            </w:r>
          </w:p>
        </w:tc>
      </w:tr>
      <w:tr>
        <w:tc>
          <w:tcPr>
            <w:tcW w:w="2857" w:type="dxa"/>
          </w:tcPr>
          <w:p>
            <w:pPr>
              <w:pStyle w:val="Compact"/>
              <w:spacing w:after="40"/>
              <w:jc w:val="left"/>
            </w:pPr>
            <w:r>
              <w:rPr>
                <w:sz w:val="18"/>
              </w:rPr>
              <w:t xml:space="preserve">Dividend rate proposal and TDS</w:t>
            </w:r>
          </w:p>
        </w:tc>
        <w:tc>
          <w:tcPr>
            <w:tcW w:w="1373" w:type="dxa"/>
          </w:tcPr>
          <w:p>
            <w:pPr>
              <w:pStyle w:val="Compact"/>
              <w:spacing w:after="40"/>
              <w:jc w:val="left"/>
            </w:pPr>
            <w:r>
              <w:rPr>
                <w:sz w:val="18"/>
              </w:rPr>
              <w:t xml:space="preserve">Year</w:t>
            </w:r>
          </w:p>
        </w:tc>
        <w:tc>
          <w:tcPr>
            <w:tcW w:w="2356" w:type="dxa"/>
          </w:tcPr>
          <w:p>
            <w:pPr>
              <w:pStyle w:val="Compact"/>
              <w:spacing w:after="40"/>
              <w:jc w:val="left"/>
            </w:pPr>
            <w:r>
              <w:rPr>
                <w:sz w:val="18"/>
              </w:rPr>
              <w:t xml:space="preserve">none</w:t>
            </w:r>
          </w:p>
        </w:tc>
        <w:tc>
          <w:tcPr>
            <w:tcW w:w="3052" w:type="dxa"/>
          </w:tcPr>
          <w:p>
            <w:pPr>
              <w:pStyle w:val="Compact"/>
              <w:spacing w:after="40"/>
              <w:jc w:val="left"/>
            </w:pPr>
            <w:r>
              <w:rPr>
                <w:sz w:val="18"/>
              </w:rPr>
              <w:t xml:space="preserve">Within the cap; General Body approval</w:t>
            </w:r>
          </w:p>
        </w:tc>
      </w:tr>
      <w:tr>
        <w:tc>
          <w:tcPr>
            <w:tcW w:w="2857" w:type="dxa"/>
          </w:tcPr>
          <w:p>
            <w:pPr>
              <w:pStyle w:val="Compact"/>
              <w:spacing w:after="40"/>
              <w:jc w:val="left"/>
            </w:pPr>
            <w:r>
              <w:rPr>
                <w:sz w:val="18"/>
              </w:rPr>
              <w:t xml:space="preserve">AGM escalation lead time</w:t>
            </w:r>
          </w:p>
        </w:tc>
        <w:tc>
          <w:tcPr>
            <w:tcW w:w="1373" w:type="dxa"/>
          </w:tcPr>
          <w:p>
            <w:pPr>
              <w:pStyle w:val="Compact"/>
              <w:spacing w:after="40"/>
              <w:jc w:val="left"/>
            </w:pPr>
            <w:r>
              <w:rPr>
                <w:sz w:val="18"/>
              </w:rPr>
              <w:t xml:space="preserve">Society</w:t>
            </w:r>
          </w:p>
        </w:tc>
        <w:tc>
          <w:tcPr>
            <w:tcW w:w="2356" w:type="dxa"/>
          </w:tcPr>
          <w:p>
            <w:pPr>
              <w:pStyle w:val="Compact"/>
              <w:spacing w:after="40"/>
              <w:jc w:val="left"/>
            </w:pPr>
            <w:r>
              <w:rPr>
                <w:sz w:val="18"/>
              </w:rPr>
              <w:t xml:space="preserve">month 5 after year-end</w:t>
            </w:r>
          </w:p>
        </w:tc>
        <w:tc>
          <w:tcPr>
            <w:tcW w:w="3052" w:type="dxa"/>
          </w:tcPr>
          <w:p>
            <w:pPr>
              <w:pStyle w:val="Compact"/>
              <w:spacing w:after="40"/>
              <w:jc w:val="left"/>
            </w:pPr>
            <w:r>
              <w:rPr>
                <w:sz w:val="18"/>
              </w:rPr>
              <w:t xml:space="preserve">Regulatory (MSCS s.39)</w:t>
            </w:r>
          </w:p>
        </w:tc>
      </w:tr>
      <w:tr>
        <w:tc>
          <w:tcPr>
            <w:tcW w:w="2857" w:type="dxa"/>
          </w:tcPr>
          <w:p>
            <w:pPr>
              <w:pStyle w:val="Compact"/>
              <w:spacing w:after="40"/>
              <w:jc w:val="left"/>
            </w:pPr>
            <w:r>
              <w:rPr>
                <w:sz w:val="18"/>
              </w:rPr>
              <w:t xml:space="preserve">Contact window for member loans</w:t>
            </w:r>
          </w:p>
        </w:tc>
        <w:tc>
          <w:tcPr>
            <w:tcW w:w="1373" w:type="dxa"/>
          </w:tcPr>
          <w:p>
            <w:pPr>
              <w:pStyle w:val="Compact"/>
              <w:spacing w:after="40"/>
              <w:jc w:val="left"/>
            </w:pPr>
            <w:r>
              <w:rPr>
                <w:sz w:val="18"/>
              </w:rPr>
              <w:t xml:space="preserve">Product</w:t>
            </w:r>
          </w:p>
        </w:tc>
        <w:tc>
          <w:tcPr>
            <w:tcW w:w="2356" w:type="dxa"/>
          </w:tcPr>
          <w:p>
            <w:pPr>
              <w:pStyle w:val="Compact"/>
              <w:spacing w:after="40"/>
              <w:jc w:val="left"/>
            </w:pPr>
            <w:r>
              <w:rPr>
                <w:sz w:val="18"/>
              </w:rPr>
              <w:t xml:space="preserve">IP2.12 windows</w:t>
            </w:r>
          </w:p>
        </w:tc>
        <w:tc>
          <w:tcPr>
            <w:tcW w:w="3052" w:type="dxa"/>
          </w:tcPr>
          <w:p>
            <w:pPr>
              <w:pStyle w:val="Compact"/>
              <w:spacing w:after="40"/>
              <w:jc w:val="left"/>
            </w:pPr>
            <w:r>
              <w:rPr>
                <w:sz w:val="18"/>
              </w:rPr>
              <w:t xml:space="preserve">Tighten only</w:t>
            </w:r>
          </w:p>
        </w:tc>
      </w:tr>
    </w:tbl>
    <w:bookmarkEnd w:id="551"/>
    <w:bookmarkStart w:id="552" w:name="menu-and-screens-16"/>
    <w:p>
      <w:pPr>
        <w:pStyle w:val="Heading3"/>
      </w:pPr>
      <w:r>
        <w:t xml:space="preserve">Menu and screens</w:t>
      </w:r>
    </w:p>
    <w:p>
      <w:pPr>
        <w:pStyle w:val="FirstParagraph"/>
      </w:pPr>
      <w:r>
        <w:t xml:space="preserve">All under</w:t>
      </w:r>
      <w:r>
        <w:t xml:space="preserve"> </w:t>
      </w:r>
      <w:r>
        <w:rPr>
          <w:bCs/>
          <w:b/>
        </w:rPr>
        <w:t xml:space="preserve">Members</w:t>
      </w:r>
      <w:r>
        <w:t xml:space="preserve"> </w:t>
      </w:r>
      <w:r>
        <w:t xml:space="preserve">(workspace A for branch staff, S for the society secretary and board, K for compliance; read-only for auditors in V):</w:t>
      </w:r>
    </w:p>
    <w:p>
      <w:pPr>
        <w:numPr>
          <w:ilvl w:val="0"/>
          <w:numId w:val="1475"/>
        </w:numPr>
        <w:pStyle w:val="Compact"/>
      </w:pPr>
      <w:r>
        <w:rPr>
          <w:bCs/>
          <w:b/>
        </w:rPr>
        <w:t xml:space="preserve">Members › Register:</w:t>
      </w:r>
      <w:r>
        <w:t xml:space="preserve"> </w:t>
      </w:r>
      <w:r>
        <w:t xml:space="preserve">list (filters: class, status, branch, area, defaulter, admitted in last 30 days), member 360 (shares, loans, sureties given, nominee, timers),</w:t>
      </w:r>
      <w:r>
        <w:t xml:space="preserve"> </w:t>
      </w:r>
      <w:r>
        <w:rPr>
          <w:bCs/>
          <w:b/>
        </w:rPr>
        <w:t xml:space="preserve">Admit member</w:t>
      </w:r>
      <w:r>
        <w:t xml:space="preserve"> </w:t>
      </w:r>
      <w:r>
        <w:t xml:space="preserve">wizard (KYC → area evidence → class → nominee → fees and shares → declarations → committee queue), applications queue with deemed-refusal countdown, bulk export of Form I and J-1 lists; actions</w:t>
      </w:r>
      <w:r>
        <w:t xml:space="preserve"> </w:t>
      </w:r>
      <w:r>
        <w:rPr>
          <w:bCs/>
          <w:b/>
        </w:rPr>
        <w:t xml:space="preserve">Mark defaulter</w:t>
      </w:r>
      <w:r>
        <w:t xml:space="preserve">,</w:t>
      </w:r>
      <w:r>
        <w:t xml:space="preserve"> </w:t>
      </w:r>
      <w:r>
        <w:rPr>
          <w:bCs/>
          <w:b/>
        </w:rPr>
        <w:t xml:space="preserve">Resign</w:t>
      </w:r>
      <w:r>
        <w:t xml:space="preserve">,</w:t>
      </w:r>
      <w:r>
        <w:t xml:space="preserve"> </w:t>
      </w:r>
      <w:r>
        <w:rPr>
          <w:bCs/>
          <w:b/>
        </w:rPr>
        <w:t xml:space="preserve">Expel</w:t>
      </w:r>
      <w:r>
        <w:t xml:space="preserve"> </w:t>
      </w:r>
      <w:r>
        <w:t xml:space="preserve">(bar date shown),</w:t>
      </w:r>
      <w:r>
        <w:t xml:space="preserve"> </w:t>
      </w:r>
      <w:r>
        <w:rPr>
          <w:bCs/>
          <w:b/>
        </w:rPr>
        <w:t xml:space="preserve">Record death</w:t>
      </w:r>
      <w:r>
        <w:t xml:space="preserve">.</w:t>
      </w:r>
    </w:p>
    <w:p>
      <w:pPr>
        <w:numPr>
          <w:ilvl w:val="0"/>
          <w:numId w:val="1475"/>
        </w:numPr>
        <w:pStyle w:val="Compact"/>
      </w:pPr>
      <w:r>
        <w:rPr>
          <w:bCs/>
          <w:b/>
        </w:rPr>
        <w:t xml:space="preserve">Members › Shares:</w:t>
      </w:r>
      <w:r>
        <w:t xml:space="preserve"> </w:t>
      </w:r>
      <w:r>
        <w:t xml:space="preserve">share accounts, transaction entry (allotment, transfer, redemption, forfeiture) with board-approval reference, top-up calculator, lien view; redemption button disabled with an explain-why message while the member or a surety is in default.</w:t>
      </w:r>
    </w:p>
    <w:p>
      <w:pPr>
        <w:numPr>
          <w:ilvl w:val="0"/>
          <w:numId w:val="1475"/>
        </w:numPr>
        <w:pStyle w:val="Compact"/>
      </w:pPr>
      <w:r>
        <w:rPr>
          <w:bCs/>
          <w:b/>
        </w:rPr>
        <w:t xml:space="preserve">Members › Deposits adapter:</w:t>
      </w:r>
      <w:r>
        <w:t xml:space="preserve"> </w:t>
      </w:r>
      <w:r>
        <w:t xml:space="preserve">import runs (status, hash, row counts), exceptions queue (GR-7G-01) with owner and evidence upload, leverage test history, stale-feed banner; no create or edit of deposit accounts in v1.5.</w:t>
      </w:r>
    </w:p>
    <w:p>
      <w:pPr>
        <w:numPr>
          <w:ilvl w:val="0"/>
          <w:numId w:val="1475"/>
        </w:numPr>
        <w:pStyle w:val="Compact"/>
      </w:pPr>
      <w:r>
        <w:rPr>
          <w:bCs/>
          <w:b/>
        </w:rPr>
        <w:t xml:space="preserve">Members › Dividends:</w:t>
      </w:r>
      <w:r>
        <w:t xml:space="preserve"> </w:t>
      </w:r>
      <w:r>
        <w:t xml:space="preserve">appropriation run (net profit → statutory funds → dividend) with minimum checks inline, dividend run, unclaimed and forfeiture tracker.</w:t>
      </w:r>
    </w:p>
    <w:p>
      <w:pPr>
        <w:numPr>
          <w:ilvl w:val="0"/>
          <w:numId w:val="1475"/>
        </w:numPr>
        <w:pStyle w:val="Compact"/>
      </w:pPr>
      <w:r>
        <w:rPr>
          <w:bCs/>
          <w:b/>
        </w:rPr>
        <w:t xml:space="preserve">Members › AGM:</w:t>
      </w:r>
      <w:r>
        <w:t xml:space="preserve"> </w:t>
      </w:r>
      <w:r>
        <w:t xml:space="preserve">AGM and election calendar, notice and agenda pack builder, quorum tracker, minutes due, non-unanimous register, director loan report, Election Authority notice countdown.</w:t>
      </w:r>
    </w:p>
    <w:p>
      <w:pPr>
        <w:numPr>
          <w:ilvl w:val="0"/>
          <w:numId w:val="1475"/>
        </w:numPr>
        <w:pStyle w:val="Compact"/>
      </w:pPr>
      <w:r>
        <w:rPr>
          <w:bCs/>
          <w:b/>
        </w:rPr>
        <w:t xml:space="preserve">Members › Audit and returns:</w:t>
      </w:r>
      <w:r>
        <w:t xml:space="preserve"> </w:t>
      </w:r>
      <w:r>
        <w:t xml:space="preserve">auditor appointment, audit paras with Form O due dates, audit-class history, Registrar returns (links to 7B RR1), director disqualification countdown (s.43(2)).</w:t>
      </w:r>
    </w:p>
    <w:p>
      <w:pPr>
        <w:numPr>
          <w:ilvl w:val="0"/>
          <w:numId w:val="1475"/>
        </w:numPr>
        <w:pStyle w:val="Compact"/>
      </w:pPr>
      <w:r>
        <w:t xml:space="preserve">Keyboard shortcuts on list screens (</w:t>
      </w:r>
      <w:r>
        <w:rPr>
          <w:rStyle w:val="VerbatimChar"/>
        </w:rPr>
        <w:t xml:space="preserve">/</w:t>
      </w:r>
      <w:r>
        <w:t xml:space="preserve"> </w:t>
      </w:r>
      <w:r>
        <w:t xml:space="preserve">search,</w:t>
      </w:r>
      <w:r>
        <w:t xml:space="preserve"> </w:t>
      </w:r>
      <w:r>
        <w:rPr>
          <w:rStyle w:val="VerbatimChar"/>
        </w:rPr>
        <w:t xml:space="preserve">n</w:t>
      </w:r>
      <w:r>
        <w:t xml:space="preserve"> </w:t>
      </w:r>
      <w:r>
        <w:t xml:space="preserve">new,</w:t>
      </w:r>
      <w:r>
        <w:t xml:space="preserve"> </w:t>
      </w:r>
      <w:r>
        <w:rPr>
          <w:rStyle w:val="VerbatimChar"/>
        </w:rPr>
        <w:t xml:space="preserve">a</w:t>
      </w:r>
      <w:r>
        <w:t xml:space="preserve"> </w:t>
      </w:r>
      <w:r>
        <w:t xml:space="preserve">approve where permitted); every screen meets WCAG 2.2 AA; vernacular labels from the vocabulary pack.</w:t>
      </w:r>
    </w:p>
    <w:bookmarkEnd w:id="552"/>
    <w:bookmarkStart w:id="553" w:name="acceptance-tests-42"/>
    <w:p>
      <w:pPr>
        <w:pStyle w:val="Heading3"/>
      </w:pPr>
      <w:r>
        <w:t xml:space="preserve">Acceptance tests</w:t>
      </w:r>
    </w:p>
    <w:p>
      <w:pPr>
        <w:numPr>
          <w:ilvl w:val="0"/>
          <w:numId w:val="1476"/>
        </w:numPr>
        <w:pStyle w:val="Compact"/>
      </w:pPr>
      <w:r>
        <w:t xml:space="preserve">Adapter import shows an FD held by a</w:t>
      </w:r>
      <w:r>
        <w:t xml:space="preserve"> </w:t>
      </w:r>
      <w:r>
        <w:rPr>
          <w:rStyle w:val="VerbatimChar"/>
        </w:rPr>
        <w:t xml:space="preserve">NOMINAL</w:t>
      </w:r>
      <w:r>
        <w:t xml:space="preserve"> </w:t>
      </w:r>
      <w:r>
        <w:t xml:space="preserve">member → GR-7G-01 exception and Board alert; the FD cannot back a lien or loan until closed with evidence.</w:t>
      </w:r>
    </w:p>
    <w:p>
      <w:pPr>
        <w:numPr>
          <w:ilvl w:val="0"/>
          <w:numId w:val="1476"/>
        </w:numPr>
        <w:pStyle w:val="Compact"/>
      </w:pPr>
      <w:r>
        <w:t xml:space="preserve">50 shares of ₹100, bye-law multiple 10× → ceiling ₹50,000; ₹70,000 blocked. Under 10% linkage a ₹70,000 loan needs 70 shares: top-up 20.</w:t>
      </w:r>
    </w:p>
    <w:p>
      <w:pPr>
        <w:numPr>
          <w:ilvl w:val="0"/>
          <w:numId w:val="1476"/>
        </w:numPr>
        <w:pStyle w:val="Compact"/>
      </w:pPr>
      <w:r>
        <w:t xml:space="preserve">Non-member surety on an MSCS loan → rejected (s.66(1)).</w:t>
      </w:r>
    </w:p>
    <w:p>
      <w:pPr>
        <w:numPr>
          <w:ilvl w:val="0"/>
          <w:numId w:val="1476"/>
        </w:numPr>
        <w:pStyle w:val="Compact"/>
      </w:pPr>
      <w:r>
        <w:t xml:space="preserve">Director and relative loans at 9.8%; a ₹5 lakh director loan taking it to 10.3% → blocked.</w:t>
      </w:r>
    </w:p>
    <w:p>
      <w:pPr>
        <w:numPr>
          <w:ilvl w:val="0"/>
          <w:numId w:val="1476"/>
        </w:numPr>
        <w:pStyle w:val="Compact"/>
      </w:pPr>
      <w:r>
        <w:t xml:space="preserve">Large MSCS housing loan of ₹1.3 crore → blocked; ₹1.1 crore → allowed; Small MSCS any housing loan → blocked.</w:t>
      </w:r>
    </w:p>
    <w:p>
      <w:pPr>
        <w:numPr>
          <w:ilvl w:val="0"/>
          <w:numId w:val="1476"/>
        </w:numPr>
        <w:pStyle w:val="Compact"/>
      </w:pPr>
      <w:r>
        <w:t xml:space="preserve">MSCS net profit ₹2 crore, profitable 3 years → reserve ≥ ₹50 lakh, education ₹2 lakh, unforeseen ≥ ₹20 lakh, CRRD ₹2 lakh; 20% to reserve fails.</w:t>
      </w:r>
    </w:p>
    <w:p>
      <w:pPr>
        <w:numPr>
          <w:ilvl w:val="0"/>
          <w:numId w:val="1476"/>
        </w:numPr>
        <w:pStyle w:val="Compact"/>
      </w:pPr>
      <w:r>
        <w:t xml:space="preserve">Maharashtra 16% dividend without sanction → blocked. Audit report 15 Jul 2026 → Form O due 15 Oct 2026, overdue on 16 Oct.</w:t>
      </w:r>
    </w:p>
    <w:p>
      <w:pPr>
        <w:numPr>
          <w:ilvl w:val="0"/>
          <w:numId w:val="1476"/>
        </w:numPr>
        <w:pStyle w:val="Compact"/>
      </w:pPr>
      <w:r>
        <w:t xml:space="preserve">Branch pack with GNPA 7.4% → fails on GNPA with lineage.</w:t>
      </w:r>
    </w:p>
    <w:p>
      <w:pPr>
        <w:numPr>
          <w:ilvl w:val="0"/>
          <w:numId w:val="1476"/>
        </w:numPr>
        <w:pStyle w:val="Compact"/>
      </w:pPr>
      <w:r>
        <w:t xml:space="preserve">Member dispute referred to Equator arbitration → blocked; conciliation → allowed.</w:t>
      </w:r>
    </w:p>
    <w:p>
      <w:pPr>
        <w:numPr>
          <w:ilvl w:val="0"/>
          <w:numId w:val="1476"/>
        </w:numPr>
        <w:pStyle w:val="Compact"/>
      </w:pPr>
      <w:r>
        <w:t xml:space="preserve">NBFC co-lending with a credit society → blocked; lawful-alternatives panel shown.</w:t>
      </w:r>
    </w:p>
    <w:p>
      <w:pPr>
        <w:numPr>
          <w:ilvl w:val="0"/>
          <w:numId w:val="1476"/>
        </w:numPr>
        <w:pStyle w:val="Compact"/>
      </w:pPr>
      <w:r>
        <w:t xml:space="preserve">The same membership application posted twice from Udofin with one idempotency key → one</w:t>
      </w:r>
      <w:r>
        <w:t xml:space="preserve"> </w:t>
      </w:r>
      <w:r>
        <w:rPr>
          <w:rStyle w:val="VerbatimChar"/>
        </w:rPr>
        <w:t xml:space="preserve">APPLIED</w:t>
      </w:r>
      <w:r>
        <w:t xml:space="preserve"> </w:t>
      </w:r>
      <w:r>
        <w:t xml:space="preserve">record;</w:t>
      </w:r>
      <w:r>
        <w:t xml:space="preserve"> </w:t>
      </w:r>
      <w:r>
        <w:rPr>
          <w:rStyle w:val="VerbatimChar"/>
        </w:rPr>
        <w:t xml:space="preserve">MemberAdmitted</w:t>
      </w:r>
      <w:r>
        <w:t xml:space="preserve"> </w:t>
      </w:r>
      <w:r>
        <w:t xml:space="preserve">is emitted once on</w:t>
      </w:r>
      <w:r>
        <w:t xml:space="preserve"> </w:t>
      </w:r>
      <w:r>
        <w:rPr>
          <w:rStyle w:val="VerbatimChar"/>
        </w:rPr>
        <w:t xml:space="preserve">ACTIVE</w:t>
      </w:r>
      <w:r>
        <w:t xml:space="preserve"> </w:t>
      </w:r>
      <w:r>
        <w:t xml:space="preserve">and never by Finbyx for a society whose system of record is another LOS.</w:t>
      </w:r>
    </w:p>
    <w:p>
      <w:pPr>
        <w:numPr>
          <w:ilvl w:val="0"/>
          <w:numId w:val="1476"/>
        </w:numPr>
        <w:pStyle w:val="Compact"/>
      </w:pPr>
      <w:r>
        <w:t xml:space="preserve">No adapter file for 3 business days → FD-backed loan sanction blocked with the stale-feed message; a fresh file clears it.</w:t>
      </w:r>
    </w:p>
    <w:p>
      <w:r>
        <w:pict>
          <v:rect style="width:0;height:1.5pt" o:hralign="center" o:hrstd="t" o:hr="t"/>
        </w:pict>
      </w:r>
    </w:p>
    <w:bookmarkEnd w:id="553"/>
    <w:bookmarkEnd w:id="554"/>
    <w:bookmarkStart w:id="563" w:name="Xb7b7adac8f1323651c43fe2572af1a7e2235261"/>
    <w:p>
      <w:pPr>
        <w:pStyle w:val="Heading2"/>
      </w:pPr>
      <w:r>
        <w:t xml:space="preserve">IP3. Co-operative banks (UCBs, StCBs and DCCBs)</w:t>
      </w:r>
    </w:p>
    <w:bookmarkStart w:id="555" w:name="ip3.1-legal-position-and-scope"/>
    <w:p>
      <w:pPr>
        <w:pStyle w:val="Heading3"/>
      </w:pPr>
      <w:r>
        <w:t xml:space="preserve">IP3.1 Legal position and scope</w:t>
      </w:r>
    </w:p>
    <w:p>
      <w:pPr>
        <w:numPr>
          <w:ilvl w:val="0"/>
          <w:numId w:val="1477"/>
        </w:numPr>
        <w:pStyle w:val="Compact"/>
      </w:pPr>
      <w:r>
        <w:t xml:space="preserve">RBI regulated entities under the BR Act as applicable to co-operative societies (AACS, s.56); registration matters under the State or MSCS Act; NABARD supervises StCBs and DCCBs (BR Act s.35(6)) [REG].</w:t>
      </w:r>
    </w:p>
    <w:p>
      <w:pPr>
        <w:numPr>
          <w:ilvl w:val="0"/>
          <w:numId w:val="1477"/>
        </w:numPr>
        <w:pStyle w:val="Compact"/>
      </w:pPr>
      <w:r>
        <w:t xml:space="preserve">RBI consolidated UCB rules on 28 Nov 2025 into</w:t>
      </w:r>
      <w:r>
        <w:t xml:space="preserve"> </w:t>
      </w:r>
      <w:r>
        <w:t xml:space="preserve">“</w:t>
      </w:r>
      <w:r>
        <w:t xml:space="preserve">RBI (Urban Co-operative Banks – …) Directions, 2025</w:t>
      </w:r>
      <w:r>
        <w:t xml:space="preserve">”</w:t>
      </w:r>
      <w:r>
        <w:t xml:space="preserve"> </w:t>
      </w:r>
      <w:r>
        <w:t xml:space="preserve">(Credit Facilities, RBC, KYC, Resolution of Stressed Assets RBI/DOR/2025-26/287, IRACP, Capital Adequacy, Financial Statements, Credit Information Reporting, Concentration, Investment Portfolio, CRR and SLR, Outsourcing, Governance, ALM, Branch Authorisation); rural co-operative banks have a parallel set [VERIFY list, numbers and paragraphs before loading packs].</w:t>
      </w:r>
    </w:p>
    <w:p>
      <w:pPr>
        <w:numPr>
          <w:ilvl w:val="0"/>
          <w:numId w:val="1477"/>
        </w:numPr>
        <w:pStyle w:val="Compact"/>
      </w:pPr>
      <w:r>
        <w:rPr>
          <w:bCs/>
          <w:b/>
        </w:rPr>
        <w:t xml:space="preserve">Scope:</w:t>
      </w:r>
      <w:r>
        <w:t xml:space="preserve"> </w:t>
      </w:r>
      <w:r>
        <w:t xml:space="preserve">LOS, LMS, collections and recovery, loan-side accounting, loan-book returns, risk dashboards. The core banking system remains the system of record for deposits, CRR/SLR and the GL unless the bank licenses Finbyx accounting; integration via the Deposit Ledger Adapter (IP2.5) and a GL interface. Bank ECL directions (SCBs only, from 1 Apr 2027) and Basel III bank calculations are not applied.</w:t>
      </w:r>
    </w:p>
    <w:bookmarkEnd w:id="555"/>
    <w:bookmarkStart w:id="556" w:name="ip3.2-ucb-tiers-and-capital"/>
    <w:p>
      <w:pPr>
        <w:pStyle w:val="Heading3"/>
      </w:pPr>
      <w:r>
        <w:t xml:space="preserve">IP3.2 UCB tiers and capital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85"/>
        <w:gridCol w:w="3026"/>
        <w:gridCol w:w="2693"/>
        <w:gridCol w:w="2434"/>
      </w:tblGrid>
      <w:tr>
        <w:trPr>
          <w:tblHeader w:val="true"/>
          <w:tblHeader w:val="true"/>
        </w:trPr>
        <w:tc>
          <w:tcPr>
            <w:tcW w:w="1485" w:type="dxa"/>
            <w:shd w:val="clear" w:color="auto" w:fill="1F3A5F"/>
          </w:tcPr>
          <w:p>
            <w:pPr>
              <w:pStyle w:val="Compact"/>
              <w:spacing w:after="40"/>
              <w:jc w:val="left"/>
            </w:pPr>
            <w:r>
              <w:rPr>
                <w:b/>
                <w:color w:val="FFFFFF"/>
                <w:sz w:val="18"/>
              </w:rPr>
              <w:t xml:space="preserve">Tier</w:t>
            </w:r>
          </w:p>
        </w:tc>
        <w:tc>
          <w:tcPr>
            <w:tcW w:w="3026" w:type="dxa"/>
            <w:shd w:val="clear" w:color="auto" w:fill="1F3A5F"/>
          </w:tcPr>
          <w:p>
            <w:pPr>
              <w:pStyle w:val="Compact"/>
              <w:spacing w:after="40"/>
              <w:jc w:val="left"/>
            </w:pPr>
            <w:r>
              <w:rPr>
                <w:b/>
                <w:color w:val="FFFFFF"/>
                <w:sz w:val="18"/>
              </w:rPr>
              <w:t xml:space="preserve">Deposits</w:t>
            </w:r>
          </w:p>
        </w:tc>
        <w:tc>
          <w:tcPr>
            <w:tcW w:w="2693" w:type="dxa"/>
            <w:shd w:val="clear" w:color="auto" w:fill="1F3A5F"/>
          </w:tcPr>
          <w:p>
            <w:pPr>
              <w:pStyle w:val="Compact"/>
              <w:spacing w:after="40"/>
              <w:jc w:val="left"/>
            </w:pPr>
            <w:r>
              <w:rPr>
                <w:b/>
                <w:color w:val="FFFFFF"/>
                <w:sz w:val="18"/>
              </w:rPr>
              <w:t xml:space="preserve">Net worth</w:t>
            </w:r>
          </w:p>
        </w:tc>
        <w:tc>
          <w:tcPr>
            <w:tcW w:w="2434" w:type="dxa"/>
            <w:shd w:val="clear" w:color="auto" w:fill="1F3A5F"/>
          </w:tcPr>
          <w:p>
            <w:pPr>
              <w:pStyle w:val="Compact"/>
              <w:spacing w:after="40"/>
              <w:jc w:val="left"/>
            </w:pPr>
            <w:r>
              <w:rPr>
                <w:b/>
                <w:color w:val="FFFFFF"/>
                <w:sz w:val="18"/>
              </w:rPr>
              <w:t xml:space="preserve">CRAR</w:t>
            </w:r>
          </w:p>
        </w:tc>
      </w:tr>
      <w:tr>
        <w:tc>
          <w:tcPr>
            <w:tcW w:w="1485" w:type="dxa"/>
          </w:tcPr>
          <w:p>
            <w:pPr>
              <w:pStyle w:val="Compact"/>
              <w:spacing w:after="40"/>
              <w:jc w:val="left"/>
            </w:pPr>
            <w:r>
              <w:rPr>
                <w:sz w:val="18"/>
              </w:rPr>
              <w:t xml:space="preserve">Tier 1</w:t>
            </w:r>
          </w:p>
        </w:tc>
        <w:tc>
          <w:tcPr>
            <w:tcW w:w="3026" w:type="dxa"/>
          </w:tcPr>
          <w:p>
            <w:pPr>
              <w:pStyle w:val="Compact"/>
              <w:spacing w:after="40"/>
              <w:jc w:val="left"/>
            </w:pPr>
            <w:r>
              <w:rPr>
                <w:sz w:val="18"/>
              </w:rPr>
              <w:t xml:space="preserve">unit and salary-earner UCBs; others ≤ ₹100 crore</w:t>
            </w:r>
          </w:p>
        </w:tc>
        <w:tc>
          <w:tcPr>
            <w:tcW w:w="2693" w:type="dxa"/>
          </w:tcPr>
          <w:p>
            <w:pPr>
              <w:pStyle w:val="Compact"/>
              <w:spacing w:after="40"/>
              <w:jc w:val="left"/>
            </w:pPr>
            <w:r>
              <w:rPr>
                <w:sz w:val="18"/>
              </w:rPr>
              <w:t xml:space="preserve">₹2 crore (single district) or ₹5 crore</w:t>
            </w:r>
          </w:p>
        </w:tc>
        <w:tc>
          <w:tcPr>
            <w:tcW w:w="2434" w:type="dxa"/>
          </w:tcPr>
          <w:p>
            <w:pPr>
              <w:pStyle w:val="Compact"/>
              <w:spacing w:after="40"/>
              <w:jc w:val="left"/>
            </w:pPr>
            <w:r>
              <w:rPr>
                <w:sz w:val="18"/>
              </w:rPr>
              <w:t xml:space="preserve">9%</w:t>
            </w:r>
          </w:p>
        </w:tc>
      </w:tr>
      <w:tr>
        <w:tc>
          <w:tcPr>
            <w:tcW w:w="1485" w:type="dxa"/>
          </w:tcPr>
          <w:p>
            <w:pPr>
              <w:pStyle w:val="Compact"/>
              <w:spacing w:after="40"/>
              <w:jc w:val="left"/>
            </w:pPr>
            <w:r>
              <w:rPr>
                <w:sz w:val="18"/>
              </w:rPr>
              <w:t xml:space="preserve">Tier 2</w:t>
            </w:r>
          </w:p>
        </w:tc>
        <w:tc>
          <w:tcPr>
            <w:tcW w:w="3026" w:type="dxa"/>
          </w:tcPr>
          <w:p>
            <w:pPr>
              <w:pStyle w:val="Compact"/>
              <w:spacing w:after="40"/>
              <w:jc w:val="left"/>
            </w:pPr>
            <w:r>
              <w:rPr>
                <w:sz w:val="18"/>
              </w:rPr>
              <w:t xml:space="preserve">₹100–1,000 crore</w:t>
            </w:r>
          </w:p>
        </w:tc>
        <w:tc>
          <w:tcPr>
            <w:tcW w:w="2693" w:type="dxa"/>
          </w:tcPr>
          <w:p>
            <w:pPr>
              <w:pStyle w:val="Compact"/>
              <w:spacing w:after="40"/>
              <w:jc w:val="left"/>
            </w:pPr>
            <w:r>
              <w:rPr>
                <w:sz w:val="18"/>
              </w:rPr>
              <w:t xml:space="preserve">₹5 crore</w:t>
            </w:r>
          </w:p>
        </w:tc>
        <w:tc>
          <w:tcPr>
            <w:tcW w:w="2434" w:type="dxa"/>
          </w:tcPr>
          <w:p>
            <w:pPr>
              <w:pStyle w:val="Compact"/>
              <w:spacing w:after="40"/>
              <w:jc w:val="left"/>
            </w:pPr>
            <w:r>
              <w:rPr>
                <w:sz w:val="18"/>
              </w:rPr>
              <w:t xml:space="preserve">12% (in force from 31 Mar 2026)</w:t>
            </w:r>
          </w:p>
        </w:tc>
      </w:tr>
      <w:tr>
        <w:tc>
          <w:tcPr>
            <w:tcW w:w="1485" w:type="dxa"/>
          </w:tcPr>
          <w:p>
            <w:pPr>
              <w:pStyle w:val="Compact"/>
              <w:spacing w:after="40"/>
              <w:jc w:val="left"/>
            </w:pPr>
            <w:r>
              <w:rPr>
                <w:sz w:val="18"/>
              </w:rPr>
              <w:t xml:space="preserve">Tier 3</w:t>
            </w:r>
          </w:p>
        </w:tc>
        <w:tc>
          <w:tcPr>
            <w:tcW w:w="3026" w:type="dxa"/>
          </w:tcPr>
          <w:p>
            <w:pPr>
              <w:pStyle w:val="Compact"/>
              <w:spacing w:after="40"/>
              <w:jc w:val="left"/>
            </w:pPr>
            <w:r>
              <w:rPr>
                <w:sz w:val="18"/>
              </w:rPr>
              <w:t xml:space="preserve">₹1,000–10,000 crore</w:t>
            </w:r>
          </w:p>
        </w:tc>
        <w:tc>
          <w:tcPr>
            <w:tcW w:w="2693" w:type="dxa"/>
          </w:tcPr>
          <w:p>
            <w:pPr>
              <w:pStyle w:val="Compact"/>
              <w:spacing w:after="40"/>
              <w:jc w:val="left"/>
            </w:pPr>
            <w:r>
              <w:rPr>
                <w:sz w:val="18"/>
              </w:rPr>
              <w:t xml:space="preserve">₹5 crore</w:t>
            </w:r>
          </w:p>
        </w:tc>
        <w:tc>
          <w:tcPr>
            <w:tcW w:w="2434" w:type="dxa"/>
          </w:tcPr>
          <w:p>
            <w:pPr>
              <w:pStyle w:val="Compact"/>
              <w:spacing w:after="40"/>
              <w:jc w:val="left"/>
            </w:pPr>
            <w:r>
              <w:rPr>
                <w:sz w:val="18"/>
              </w:rPr>
              <w:t xml:space="preserve">12%</w:t>
            </w:r>
          </w:p>
        </w:tc>
      </w:tr>
      <w:tr>
        <w:tc>
          <w:tcPr>
            <w:tcW w:w="1485" w:type="dxa"/>
          </w:tcPr>
          <w:p>
            <w:pPr>
              <w:pStyle w:val="Compact"/>
              <w:spacing w:after="40"/>
              <w:jc w:val="left"/>
            </w:pPr>
            <w:r>
              <w:rPr>
                <w:sz w:val="18"/>
              </w:rPr>
              <w:t xml:space="preserve">Tier 4</w:t>
            </w:r>
          </w:p>
        </w:tc>
        <w:tc>
          <w:tcPr>
            <w:tcW w:w="3026" w:type="dxa"/>
          </w:tcPr>
          <w:p>
            <w:pPr>
              <w:pStyle w:val="Compact"/>
              <w:spacing w:after="40"/>
              <w:jc w:val="left"/>
            </w:pPr>
            <w:r>
              <w:rPr>
                <w:sz w:val="18"/>
              </w:rPr>
              <w:t xml:space="preserve">&gt; ₹10,000 crore</w:t>
            </w:r>
          </w:p>
        </w:tc>
        <w:tc>
          <w:tcPr>
            <w:tcW w:w="2693" w:type="dxa"/>
          </w:tcPr>
          <w:p>
            <w:pPr>
              <w:pStyle w:val="Compact"/>
              <w:spacing w:after="40"/>
              <w:jc w:val="left"/>
            </w:pPr>
            <w:r>
              <w:rPr>
                <w:sz w:val="18"/>
              </w:rPr>
              <w:t xml:space="preserve">₹5 crore</w:t>
            </w:r>
          </w:p>
        </w:tc>
        <w:tc>
          <w:tcPr>
            <w:tcW w:w="2434" w:type="dxa"/>
          </w:tcPr>
          <w:p>
            <w:pPr>
              <w:pStyle w:val="Compact"/>
              <w:spacing w:after="40"/>
              <w:jc w:val="left"/>
            </w:pPr>
            <w:r>
              <w:rPr>
                <w:sz w:val="18"/>
              </w:rPr>
              <w:t xml:space="preserve">12%</w:t>
            </w:r>
          </w:p>
        </w:tc>
      </w:tr>
    </w:tbl>
    <w:p>
      <w:pPr>
        <w:pStyle w:val="BodyText"/>
      </w:pPr>
      <w:r>
        <w:t xml:space="preserve">3-year glide on moving up; scheduling eligibility for Tiers 3–4 with CRAR ≥ minimum + 3 points (RBI press release 19 Jul 2022) [VERIFY: 1 Dec 2022 circular and Nov 2025 Capital Adequacy Direction].</w:t>
      </w:r>
    </w:p>
    <w:bookmarkEnd w:id="556"/>
    <w:bookmarkStart w:id="557" w:name="ip3.3-lending-rules-ucb-pack"/>
    <w:p>
      <w:pPr>
        <w:pStyle w:val="Heading3"/>
      </w:pPr>
      <w:r>
        <w:t xml:space="preserve">IP3.3 Lending rules (UCB pack)</w:t>
      </w:r>
    </w:p>
    <w:p>
      <w:pPr>
        <w:numPr>
          <w:ilvl w:val="0"/>
          <w:numId w:val="1478"/>
        </w:numPr>
        <w:pStyle w:val="Compact"/>
      </w:pPr>
      <w:r>
        <w:rPr>
          <w:bCs/>
          <w:b/>
        </w:rPr>
        <w:t xml:space="preserve">PSL</w:t>
      </w:r>
      <w:r>
        <w:t xml:space="preserve"> </w:t>
      </w:r>
      <w:r>
        <w:t xml:space="preserve">60% of ANBC or CEOBSE from 1 Apr 2025 (was 75%); women-beneficiary cap removed [VERIFY sub-targets].</w:t>
      </w:r>
    </w:p>
    <w:p>
      <w:pPr>
        <w:numPr>
          <w:ilvl w:val="0"/>
          <w:numId w:val="1478"/>
        </w:numPr>
        <w:pStyle w:val="Compact"/>
      </w:pPr>
      <w:r>
        <w:rPr>
          <w:bCs/>
          <w:b/>
        </w:rPr>
        <w:t xml:space="preserve">Small-value loans:</w:t>
      </w:r>
      <w:r>
        <w:t xml:space="preserve"> </w:t>
      </w:r>
      <w:r>
        <w:t xml:space="preserve">per-loan ceiling raised from ₹1 crore to ₹3 crore [VERIFY definition and target].</w:t>
      </w:r>
    </w:p>
    <w:p>
      <w:pPr>
        <w:numPr>
          <w:ilvl w:val="0"/>
          <w:numId w:val="1478"/>
        </w:numPr>
        <w:pStyle w:val="Compact"/>
      </w:pPr>
      <w:r>
        <w:rPr>
          <w:bCs/>
          <w:b/>
        </w:rPr>
        <w:t xml:space="preserve">Housing:</w:t>
      </w:r>
      <w:r>
        <w:t xml:space="preserve"> </w:t>
      </w:r>
      <w:r>
        <w:t xml:space="preserve">member housing up to 25% of loans; individual up to ₹3 crore [VERIFY tier caps]. RCBs: ₹75 lakh; real estate ≤ 5% [VERIFY].</w:t>
      </w:r>
    </w:p>
    <w:p>
      <w:pPr>
        <w:numPr>
          <w:ilvl w:val="0"/>
          <w:numId w:val="1478"/>
        </w:numPr>
        <w:pStyle w:val="Compact"/>
      </w:pPr>
      <w:r>
        <w:rPr>
          <w:bCs/>
          <w:b/>
        </w:rPr>
        <w:t xml:space="preserve">Gold:</w:t>
      </w:r>
      <w:r>
        <w:t xml:space="preserve"> </w:t>
      </w:r>
      <w:r>
        <w:t xml:space="preserve">the ₹2 lakh bullet ceiling (₹4 lakh for PSL-compliant UCBs, RBI/2023-24/66) removed; 2025 gold and silver directions apply (bullet ≤ 12 months; LTV 85/80/75% at ≤ ₹2.5 lakh / ≤ ₹5 lakh / above; adoption by 1 Apr 2026). Product 8 engine reused.</w:t>
      </w:r>
    </w:p>
    <w:p>
      <w:pPr>
        <w:numPr>
          <w:ilvl w:val="0"/>
          <w:numId w:val="1478"/>
        </w:numPr>
        <w:pStyle w:val="Compact"/>
      </w:pPr>
      <w:r>
        <w:rPr>
          <w:bCs/>
          <w:b/>
        </w:rPr>
        <w:t xml:space="preserve">Director loans:</w:t>
      </w:r>
      <w:r>
        <w:t xml:space="preserve"> </w:t>
      </w:r>
      <w:r>
        <w:t xml:space="preserve">UCB pack [VERIFY]; RCBs permitted with conditions from 7 Jan 2026 [VERIFY].</w:t>
      </w:r>
    </w:p>
    <w:p>
      <w:pPr>
        <w:numPr>
          <w:ilvl w:val="0"/>
          <w:numId w:val="1478"/>
        </w:numPr>
        <w:pStyle w:val="Compact"/>
      </w:pPr>
      <w:r>
        <w:rPr>
          <w:bCs/>
          <w:b/>
        </w:rPr>
        <w:t xml:space="preserve">Pack data:</w:t>
      </w:r>
      <w:r>
        <w:t xml:space="preserve"> </w:t>
      </w:r>
      <w:r>
        <w:t xml:space="preserve">automatic branches; OTS and technical write-off; SR investment glide to FY 2027-28; CGTMSE MLI where GNPA ≤ 7%; director tenure ≤ 10 years; ECBA classification replacing FSWM (4 Dec 2025) [VERIFY].</w:t>
      </w:r>
    </w:p>
    <w:bookmarkEnd w:id="557"/>
    <w:bookmarkStart w:id="558" w:name="X0a4fbb8710b603f1cfd3faaa711091622ad5dda"/>
    <w:p>
      <w:pPr>
        <w:pStyle w:val="Heading3"/>
      </w:pPr>
      <w:r>
        <w:t xml:space="preserve">IP3.4 Transfers, co-lending and investments</w:t>
      </w:r>
    </w:p>
    <w:p>
      <w:pPr>
        <w:pStyle w:val="FirstParagraph"/>
      </w:pPr>
      <w:r>
        <w:t xml:space="preserve">Stressed-loan sales only, as transferor (GR-7G-04); no co-lending with NBFCs (GR-7G-03); AIF investments under the RBI (Investment in AIF) Directions 2025 (7H IV4); investment and CRR/SLR positions monitored against UCB Directions [VERIFY]; no dealing-room functions.</w:t>
      </w:r>
    </w:p>
    <w:bookmarkEnd w:id="558"/>
    <w:bookmarkStart w:id="559" w:name="ip3.5-returns-and-supervision"/>
    <w:p>
      <w:pPr>
        <w:pStyle w:val="Heading3"/>
      </w:pPr>
      <w:r>
        <w:t xml:space="preserve">IP3.5 Returns and supervision</w:t>
      </w:r>
    </w:p>
    <w:p>
      <w:pPr>
        <w:numPr>
          <w:ilvl w:val="0"/>
          <w:numId w:val="1479"/>
        </w:numPr>
        <w:pStyle w:val="Compact"/>
      </w:pPr>
      <w:r>
        <w:rPr>
          <w:bCs/>
          <w:b/>
        </w:rPr>
        <w:t xml:space="preserve">UCB CIMS returns:</w:t>
      </w:r>
      <w:r>
        <w:t xml:space="preserve"> </w:t>
      </w:r>
      <w:r>
        <w:t xml:space="preserve">the UCB seed rows of 7B RR1.5 (Form I, Form B, RAL, ROE, RCL, RCP, RBP, Form IX, Form II, PSA, Form VIII, Dir-I, Dir-IV, Planning-3) under the UCB Supervisory Returns Directions 2026 [VERIFY]; each row stays</w:t>
      </w:r>
      <w:r>
        <w:t xml:space="preserve"> </w:t>
      </w:r>
      <w:r>
        <w:rPr>
          <w:rStyle w:val="VerbatimChar"/>
        </w:rPr>
        <w:t xml:space="preserve">ACTIVE_UNVERIFIED</w:t>
      </w:r>
      <w:r>
        <w:t xml:space="preserve"> </w:t>
      </w:r>
      <w:r>
        <w:t xml:space="preserve">until confirmed.</w:t>
      </w:r>
    </w:p>
    <w:p>
      <w:pPr>
        <w:numPr>
          <w:ilvl w:val="0"/>
          <w:numId w:val="1479"/>
        </w:numPr>
        <w:pStyle w:val="Compact"/>
      </w:pPr>
      <w:r>
        <w:rPr>
          <w:bCs/>
          <w:b/>
        </w:rPr>
        <w:t xml:space="preserve">CRILC:</w:t>
      </w:r>
      <w:r>
        <w:t xml:space="preserve"> </w:t>
      </w:r>
      <w:r>
        <w:t xml:space="preserve">UCBs with assets ≥ ₹500 crore, exposures ≥ ₹5 crore (RBI/DOR/2025-26/287 para 12) [VERIFY].</w:t>
      </w:r>
      <w:r>
        <w:t xml:space="preserve"> </w:t>
      </w:r>
      <w:r>
        <w:rPr>
          <w:bCs/>
          <w:b/>
        </w:rPr>
        <w:t xml:space="preserve">Credit information companies:</w:t>
      </w:r>
      <w:r>
        <w:t xml:space="preserve"> </w:t>
      </w:r>
      <w:r>
        <w:t xml:space="preserve">all four, all formats, 1 Jul 2026 cadence (7B RR6).</w:t>
      </w:r>
    </w:p>
    <w:p>
      <w:pPr>
        <w:numPr>
          <w:ilvl w:val="0"/>
          <w:numId w:val="1479"/>
        </w:numPr>
        <w:pStyle w:val="Compact"/>
      </w:pPr>
      <w:r>
        <w:rPr>
          <w:bCs/>
          <w:b/>
        </w:rPr>
        <w:t xml:space="preserve">StCBs and DCCBs:</w:t>
      </w:r>
      <w:r>
        <w:t xml:space="preserve"> </w:t>
      </w:r>
      <w:r>
        <w:t xml:space="preserve">NABARD ENSURE (OSC-10 quarterly; CS-01 and CS-02 within 15 days; CSIR-01 cyber incident within 6 hours); CAMELSC rating (A, B+, B, C, D) tracked; statutory forms on CIMS. No RBI Supervisory Returns Direction for them in the 31 Jul 2026 set.</w:t>
      </w:r>
    </w:p>
    <w:p>
      <w:pPr>
        <w:numPr>
          <w:ilvl w:val="0"/>
          <w:numId w:val="1479"/>
        </w:numPr>
        <w:pStyle w:val="Compact"/>
      </w:pPr>
      <w:r>
        <w:rPr>
          <w:bCs/>
          <w:b/>
        </w:rPr>
        <w:t xml:space="preserve">Ombudsman:</w:t>
      </w:r>
      <w:r>
        <w:t xml:space="preserve"> </w:t>
      </w:r>
      <w:r>
        <w:t xml:space="preserve">Reserve Bank – Integrated Ombudsman Scheme 2026 (</w:t>
      </w:r>
      <w:r>
        <w:rPr>
          <w:rStyle w:val="VerbatimChar"/>
        </w:rPr>
        <w:t xml:space="preserve">RBIOS26</w:t>
      </w:r>
      <w:r>
        <w:t xml:space="preserve">, from 1 Jul 2026) coverage per its thresholds [VERIFY]; RCBs covered since 7 Oct 2025 [VERIFY].</w:t>
      </w:r>
    </w:p>
    <w:p>
      <w:pPr>
        <w:numPr>
          <w:ilvl w:val="0"/>
          <w:numId w:val="1479"/>
        </w:numPr>
        <w:pStyle w:val="Compact"/>
      </w:pPr>
      <w:r>
        <w:rPr>
          <w:bCs/>
          <w:b/>
        </w:rPr>
        <w:t xml:space="preserve">KYC:</w:t>
      </w:r>
      <w:r>
        <w:t xml:space="preserve"> </w:t>
      </w:r>
      <w:r>
        <w:t xml:space="preserve">StCB as AUA/KUA and DCCB as sub-AUA (UIDAI, 1 Aug 2025) enable Aadhaar e-KYC modes for those profiles only [VERIFY].</w:t>
      </w:r>
    </w:p>
    <w:p>
      <w:pPr>
        <w:numPr>
          <w:ilvl w:val="0"/>
          <w:numId w:val="1479"/>
        </w:numPr>
        <w:pStyle w:val="Compact"/>
      </w:pPr>
      <w:r>
        <w:rPr>
          <w:bCs/>
          <w:b/>
        </w:rPr>
        <w:t xml:space="preserve">Accounting and audit:</w:t>
      </w:r>
      <w:r>
        <w:t xml:space="preserve"> </w:t>
      </w:r>
      <w:r>
        <w:t xml:space="preserve">AS plus Third Schedule via s.56 and NABARD formats (7C AC1); RBI statutory audit plus State or MSCS audit; concurrent audit [VERIFY] (7D AU5).</w:t>
      </w:r>
    </w:p>
    <w:bookmarkEnd w:id="559"/>
    <w:bookmarkStart w:id="560" w:name="settings-and-options-17"/>
    <w:p>
      <w:pPr>
        <w:pStyle w:val="Heading3"/>
      </w:pPr>
      <w:r>
        <w:t xml:space="preserve">Settings and options</w:t>
      </w:r>
    </w:p>
    <w:p>
      <w:pPr>
        <w:pStyle w:val="FirstParagraph"/>
      </w:pPr>
      <w:r>
        <w:t xml:space="preserve">Tier and glide-path end (computed; override only through IP1.7); CBS adapter feeds (deposits, GL; daily); Finbyx accounting licensed (default off: CBS stays the GL); PSL sub-target tracking (on); gold pack version (2025 directions); member register (on only where the bank maintains members in Finbyx; then IP2 Members screens apply without the deposit-adapter exception rules, which the CBS owns). Bank ECL and Basel III bank engines are not selectable (IP3.1).</w:t>
      </w:r>
    </w:p>
    <w:bookmarkEnd w:id="560"/>
    <w:bookmarkStart w:id="561" w:name="menu-and-screens-17"/>
    <w:p>
      <w:pPr>
        <w:pStyle w:val="Heading3"/>
      </w:pPr>
      <w:r>
        <w:t xml:space="preserve">Menu and screens</w:t>
      </w:r>
    </w:p>
    <w:p>
      <w:pPr>
        <w:pStyle w:val="FirstParagraph"/>
      </w:pPr>
      <w:r>
        <w:t xml:space="preserve">Standard workspaces (A–M) with the</w:t>
      </w:r>
      <w:r>
        <w:t xml:space="preserve"> </w:t>
      </w:r>
      <w:r>
        <w:rPr>
          <w:rStyle w:val="VerbatimChar"/>
        </w:rPr>
        <w:t xml:space="preserve">COOPBANK</w:t>
      </w:r>
      <w:r>
        <w:t xml:space="preserve"> </w:t>
      </w:r>
      <w:r>
        <w:t xml:space="preserve">vocabulary;</w:t>
      </w:r>
      <w:r>
        <w:t xml:space="preserve"> </w:t>
      </w:r>
      <w:r>
        <w:rPr>
          <w:bCs/>
          <w:b/>
        </w:rPr>
        <w:t xml:space="preserve">Risk › Co-operative bank</w:t>
      </w:r>
      <w:r>
        <w:t xml:space="preserve"> </w:t>
      </w:r>
      <w:r>
        <w:t xml:space="preserve">(workspace J): tier and CRAR with glide path, PSL dashboard, CRILC population, CAMELSC history;</w:t>
      </w:r>
      <w:r>
        <w:t xml:space="preserve"> </w:t>
      </w:r>
      <w:r>
        <w:rPr>
          <w:bCs/>
          <w:b/>
        </w:rPr>
        <w:t xml:space="preserve">Compliance › Returns</w:t>
      </w:r>
      <w:r>
        <w:t xml:space="preserve"> </w:t>
      </w:r>
      <w:r>
        <w:t xml:space="preserve">shows UCB CIMS or NABARD ENSURE rows only;</w:t>
      </w:r>
      <w:r>
        <w:t xml:space="preserve"> </w:t>
      </w:r>
      <w:r>
        <w:rPr>
          <w:bCs/>
          <w:b/>
        </w:rPr>
        <w:t xml:space="preserve">Finance › Connectors › CBS interface</w:t>
      </w:r>
      <w:r>
        <w:t xml:space="preserve"> </w:t>
      </w:r>
      <w:r>
        <w:t xml:space="preserve">(workspace I): batch list, reconciliation breaks, re-run with reason.</w:t>
      </w:r>
    </w:p>
    <w:bookmarkEnd w:id="561"/>
    <w:bookmarkStart w:id="562" w:name="acceptance-tests-43"/>
    <w:p>
      <w:pPr>
        <w:pStyle w:val="Heading3"/>
      </w:pPr>
      <w:r>
        <w:t xml:space="preserve">Acceptance tests</w:t>
      </w:r>
    </w:p>
    <w:p>
      <w:pPr>
        <w:numPr>
          <w:ilvl w:val="0"/>
          <w:numId w:val="1480"/>
        </w:numPr>
        <w:pStyle w:val="Compact"/>
      </w:pPr>
      <w:r>
        <w:t xml:space="preserve">Tier 2 UCB at 11.6% CRAR on 31 Mar 2026 → breach; on 31 Mar 2025 → within glide path.</w:t>
      </w:r>
    </w:p>
    <w:p>
      <w:pPr>
        <w:numPr>
          <w:ilvl w:val="0"/>
          <w:numId w:val="1480"/>
        </w:numPr>
        <w:pStyle w:val="Compact"/>
      </w:pPr>
      <w:r>
        <w:t xml:space="preserve">UCB buys a standard pool from an NBFC → blocked; sells an NPA to an ARC → allowed via R13.4.</w:t>
      </w:r>
    </w:p>
    <w:p>
      <w:pPr>
        <w:numPr>
          <w:ilvl w:val="0"/>
          <w:numId w:val="1480"/>
        </w:numPr>
        <w:pStyle w:val="Compact"/>
      </w:pPr>
      <w:r>
        <w:t xml:space="preserve">UCB assets ₹480 crore → no CRILC; ₹520 crore → CRILC instances for exposures ≥ ₹5 crore.</w:t>
      </w:r>
    </w:p>
    <w:p>
      <w:pPr>
        <w:numPr>
          <w:ilvl w:val="0"/>
          <w:numId w:val="1480"/>
        </w:numPr>
        <w:pStyle w:val="Compact"/>
      </w:pPr>
      <w:r>
        <w:t xml:space="preserve">DCCB cyber incident at 10:00 → CSIR-01 due 16:00, escalation at 14:00.</w:t>
      </w:r>
    </w:p>
    <w:p>
      <w:pPr>
        <w:numPr>
          <w:ilvl w:val="0"/>
          <w:numId w:val="1480"/>
        </w:numPr>
        <w:pStyle w:val="Compact"/>
      </w:pPr>
      <w:r>
        <w:t xml:space="preserve">UCB gold bullet of ₹3 lakh for 14 months → blocked; LTV at the ₹5 lakh slab.</w:t>
      </w:r>
    </w:p>
    <w:p>
      <w:pPr>
        <w:numPr>
          <w:ilvl w:val="0"/>
          <w:numId w:val="1480"/>
        </w:numPr>
        <w:pStyle w:val="Compact"/>
      </w:pPr>
      <w:r>
        <w:t xml:space="preserve">Bank ECL floors applied to a UCB → refused.</w:t>
      </w:r>
    </w:p>
    <w:p>
      <w:r>
        <w:pict>
          <v:rect style="width:0;height:1.5pt" o:hralign="center" o:hrstd="t" o:hr="t"/>
        </w:pict>
      </w:r>
    </w:p>
    <w:bookmarkEnd w:id="562"/>
    <w:bookmarkEnd w:id="563"/>
    <w:bookmarkStart w:id="576" w:name="ip4.-microfinance-jlg-and-shg-lifecycle"/>
    <w:p>
      <w:pPr>
        <w:pStyle w:val="Heading2"/>
      </w:pPr>
      <w:r>
        <w:t xml:space="preserve">IP4. Microfinance: JLG and SHG lifecycle</w:t>
      </w:r>
    </w:p>
    <w:bookmarkStart w:id="564" w:name="ip4.1-scope"/>
    <w:p>
      <w:pPr>
        <w:pStyle w:val="Heading3"/>
      </w:pPr>
      <w:r>
        <w:t xml:space="preserve">IP4.1 Scope</w:t>
      </w:r>
    </w:p>
    <w:p>
      <w:pPr>
        <w:pStyle w:val="FirstParagraph"/>
      </w:pPr>
      <w:r>
        <w:t xml:space="preserve">Product 11, Part 8A.1 (CF Ch V) and Part 8A.31 already define the microfinance loan, household cap, pricing, loan card, 60% qualifying-asset test, provision floor and 25% non-MFI cap. This section adds the group operating model. It applies to NBFC-MFIs, other NBFCs with a microfinance book (≤ 25% of assets, MFI para 49), co-operative banks under their own Directions [VERIFY] and co-operatives adopting the model [REC].</w:t>
      </w:r>
    </w:p>
    <w:bookmarkEnd w:id="564"/>
    <w:bookmarkStart w:id="565" w:name="ip4.2-household-affordability-engine"/>
    <w:p>
      <w:pPr>
        <w:pStyle w:val="Heading3"/>
      </w:pPr>
      <w:r>
        <w:t xml:space="preserve">IP4.2 Household affordability engine</w:t>
      </w:r>
    </w:p>
    <w:p>
      <w:pPr>
        <w:numPr>
          <w:ilvl w:val="0"/>
          <w:numId w:val="1481"/>
        </w:numPr>
        <w:pStyle w:val="Compact"/>
      </w:pPr>
      <w:r>
        <w:t xml:space="preserve">Household = spouses and unmarried children (CF para 51); roster with relationships, earners and identifiers. Income ≤ ₹3,00,000 a year; above that the loan is routed to a non-microfinance product.</w:t>
      </w:r>
    </w:p>
    <w:p>
      <w:pPr>
        <w:numPr>
          <w:ilvl w:val="0"/>
          <w:numId w:val="1481"/>
        </w:numPr>
        <w:pStyle w:val="Compact"/>
      </w:pPr>
      <w:r>
        <w:t xml:space="preserve">Income assessment per Board policy over ≥ 1 year with corroboration (para 52); income reported to CICs with divergence reasons (para 54).</w:t>
      </w:r>
    </w:p>
    <w:p>
      <w:pPr>
        <w:numPr>
          <w:ilvl w:val="0"/>
          <w:numId w:val="1481"/>
        </w:numPr>
        <w:pStyle w:val="Compact"/>
      </w:pPr>
      <w:r>
        <w:rPr>
          <w:rStyle w:val="VerbatimChar"/>
        </w:rPr>
        <w:t xml:space="preserve">monthly_obligations = Σ monthly_equivalent(all household loans, secured and unsecured) + new_EMI</w:t>
      </w:r>
      <w:r>
        <w:t xml:space="preserve">; bullet loans</w:t>
      </w:r>
      <w:r>
        <w:t xml:space="preserve"> </w:t>
      </w:r>
      <w:r>
        <w:rPr>
          <w:rStyle w:val="VerbatimChar"/>
        </w:rPr>
        <w:t xml:space="preserve">(principal + interest) ÷ months to maturity</w:t>
      </w:r>
      <w:r>
        <w:t xml:space="preserve"> </w:t>
      </w:r>
      <w:r>
        <w:t xml:space="preserve">[REC]; missing-EMI tradelines estimated by stored Board method.</w:t>
      </w:r>
    </w:p>
    <w:p>
      <w:pPr>
        <w:numPr>
          <w:ilvl w:val="0"/>
          <w:numId w:val="1481"/>
        </w:numPr>
        <w:pStyle w:val="Compact"/>
      </w:pPr>
      <w:r>
        <w:t xml:space="preserve">Pass if</w:t>
      </w:r>
      <w:r>
        <w:t xml:space="preserve"> </w:t>
      </w:r>
      <w:r>
        <w:rPr>
          <w:rStyle w:val="VerbatimChar"/>
        </w:rPr>
        <w:t xml:space="preserve">monthly_obligations ÷ (annual_income ÷ 12) ≤ min(50%, Board cap)</w:t>
      </w:r>
      <w:r>
        <w:t xml:space="preserve">, excluding income from the financed activity (para 55); households above the cap get no new loan (para 57). Inputs, bureau report IDs and rule version are stored.</w:t>
      </w:r>
    </w:p>
    <w:bookmarkEnd w:id="565"/>
    <w:bookmarkStart w:id="566" w:name="ip4.3-mfin-guardrails-2.0-pack"/>
    <w:p>
      <w:pPr>
        <w:pStyle w:val="Heading3"/>
      </w:pPr>
      <w:r>
        <w:t xml:space="preserve">IP4.3 MFIN Guardrails 2.0 pack</w:t>
      </w:r>
    </w:p>
    <w:p>
      <w:pPr>
        <w:pStyle w:val="FirstParagraph"/>
      </w:pPr>
      <w:r>
        <w:t xml:space="preserve">MFIN Directive #14 of 25 Nov 2024, current in Aug 2026 [SRO]; mandatory for MFIN members (NBFC-MFIs must belong to an SRO, MFI para 46), adoptable by others.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18"/>
        <w:gridCol w:w="5000"/>
        <w:gridCol w:w="2320"/>
      </w:tblGrid>
      <w:tr>
        <w:trPr>
          <w:tblHeader w:val="true"/>
          <w:tblHeader w:val="true"/>
        </w:trPr>
        <w:tc>
          <w:tcPr>
            <w:tcW w:w="2318" w:type="dxa"/>
            <w:shd w:val="clear" w:color="auto" w:fill="1F3A5F"/>
          </w:tcPr>
          <w:p>
            <w:pPr>
              <w:pStyle w:val="Compact"/>
              <w:spacing w:after="40"/>
              <w:jc w:val="left"/>
            </w:pPr>
            <w:r>
              <w:rPr>
                <w:b/>
                <w:color w:val="FFFFFF"/>
                <w:sz w:val="18"/>
              </w:rPr>
              <w:t xml:space="preserve">Guardrail</w:t>
            </w:r>
          </w:p>
        </w:tc>
        <w:tc>
          <w:tcPr>
            <w:tcW w:w="5000" w:type="dxa"/>
            <w:shd w:val="clear" w:color="auto" w:fill="1F3A5F"/>
          </w:tcPr>
          <w:p>
            <w:pPr>
              <w:pStyle w:val="Compact"/>
              <w:spacing w:after="40"/>
              <w:jc w:val="left"/>
            </w:pPr>
            <w:r>
              <w:rPr>
                <w:b/>
                <w:color w:val="FFFFFF"/>
                <w:sz w:val="18"/>
              </w:rPr>
              <w:t xml:space="preserve">Rule</w:t>
            </w:r>
          </w:p>
        </w:tc>
        <w:tc>
          <w:tcPr>
            <w:tcW w:w="2320" w:type="dxa"/>
            <w:shd w:val="clear" w:color="auto" w:fill="1F3A5F"/>
          </w:tcPr>
          <w:p>
            <w:pPr>
              <w:pStyle w:val="Compact"/>
              <w:spacing w:after="40"/>
              <w:jc w:val="left"/>
            </w:pPr>
            <w:r>
              <w:rPr>
                <w:b/>
                <w:color w:val="FFFFFF"/>
                <w:sz w:val="18"/>
              </w:rPr>
              <w:t xml:space="preserve">Gate</w:t>
            </w:r>
          </w:p>
        </w:tc>
      </w:tr>
      <w:tr>
        <w:tc>
          <w:tcPr>
            <w:tcW w:w="2318" w:type="dxa"/>
          </w:tcPr>
          <w:p>
            <w:pPr>
              <w:pStyle w:val="Compact"/>
              <w:spacing w:after="40"/>
              <w:jc w:val="left"/>
            </w:pPr>
            <w:r>
              <w:rPr>
                <w:sz w:val="18"/>
              </w:rPr>
              <w:t xml:space="preserve">Lenders</w:t>
            </w:r>
          </w:p>
        </w:tc>
        <w:tc>
          <w:tcPr>
            <w:tcW w:w="5000" w:type="dxa"/>
          </w:tcPr>
          <w:p>
            <w:pPr>
              <w:pStyle w:val="Compact"/>
              <w:spacing w:after="40"/>
              <w:jc w:val="left"/>
            </w:pPr>
            <w:r>
              <w:rPr>
                <w:sz w:val="18"/>
              </w:rPr>
              <w:t xml:space="preserve">≤ 3 microfinance lenders incl. this one (from 1 Apr 2025)</w:t>
            </w:r>
          </w:p>
        </w:tc>
        <w:tc>
          <w:tcPr>
            <w:tcW w:w="2320" w:type="dxa"/>
          </w:tcPr>
          <w:p>
            <w:pPr>
              <w:pStyle w:val="Compact"/>
              <w:spacing w:after="40"/>
              <w:jc w:val="left"/>
            </w:pPr>
            <w:r>
              <w:rPr>
                <w:sz w:val="18"/>
              </w:rPr>
              <w:t xml:space="preserve">Sanction</w:t>
            </w:r>
          </w:p>
        </w:tc>
      </w:tr>
      <w:tr>
        <w:tc>
          <w:tcPr>
            <w:tcW w:w="2318" w:type="dxa"/>
          </w:tcPr>
          <w:p>
            <w:pPr>
              <w:pStyle w:val="Compact"/>
              <w:spacing w:after="40"/>
              <w:jc w:val="left"/>
            </w:pPr>
            <w:r>
              <w:rPr>
                <w:sz w:val="18"/>
              </w:rPr>
              <w:t xml:space="preserve">Indebtedness</w:t>
            </w:r>
          </w:p>
        </w:tc>
        <w:tc>
          <w:tcPr>
            <w:tcW w:w="5000" w:type="dxa"/>
          </w:tcPr>
          <w:p>
            <w:pPr>
              <w:pStyle w:val="Compact"/>
              <w:spacing w:after="40"/>
              <w:jc w:val="left"/>
            </w:pPr>
            <w:r>
              <w:rPr>
                <w:sz w:val="18"/>
              </w:rPr>
              <w:t xml:space="preserve">≤ ₹2 lakh incl. unsecured retail, excl. secured retail, incl. proposed loan (from 1 Jan 2025)</w:t>
            </w:r>
          </w:p>
        </w:tc>
        <w:tc>
          <w:tcPr>
            <w:tcW w:w="2320" w:type="dxa"/>
          </w:tcPr>
          <w:p>
            <w:pPr>
              <w:pStyle w:val="Compact"/>
              <w:spacing w:after="40"/>
              <w:jc w:val="left"/>
            </w:pPr>
            <w:r>
              <w:rPr>
                <w:sz w:val="18"/>
              </w:rPr>
              <w:t xml:space="preserve">Sanction</w:t>
            </w:r>
          </w:p>
        </w:tc>
      </w:tr>
      <w:tr>
        <w:tc>
          <w:tcPr>
            <w:tcW w:w="2318" w:type="dxa"/>
          </w:tcPr>
          <w:p>
            <w:pPr>
              <w:pStyle w:val="Compact"/>
              <w:spacing w:after="40"/>
              <w:jc w:val="left"/>
            </w:pPr>
            <w:r>
              <w:rPr>
                <w:sz w:val="18"/>
              </w:rPr>
              <w:t xml:space="preserve">Delinquency</w:t>
            </w:r>
          </w:p>
        </w:tc>
        <w:tc>
          <w:tcPr>
            <w:tcW w:w="5000" w:type="dxa"/>
          </w:tcPr>
          <w:p>
            <w:pPr>
              <w:pStyle w:val="Compact"/>
              <w:spacing w:after="40"/>
              <w:jc w:val="left"/>
            </w:pPr>
            <w:r>
              <w:rPr>
                <w:sz w:val="18"/>
              </w:rPr>
              <w:t xml:space="preserve">no new loan if any loan with &gt; ₹3,000 outstanding is &gt; 60 DPD</w:t>
            </w:r>
          </w:p>
        </w:tc>
        <w:tc>
          <w:tcPr>
            <w:tcW w:w="2320" w:type="dxa"/>
          </w:tcPr>
          <w:p>
            <w:pPr>
              <w:pStyle w:val="Compact"/>
              <w:spacing w:after="40"/>
              <w:jc w:val="left"/>
            </w:pPr>
            <w:r>
              <w:rPr>
                <w:sz w:val="18"/>
              </w:rPr>
              <w:t xml:space="preserve">Sanction</w:t>
            </w:r>
          </w:p>
        </w:tc>
      </w:tr>
      <w:tr>
        <w:tc>
          <w:tcPr>
            <w:tcW w:w="2318" w:type="dxa"/>
          </w:tcPr>
          <w:p>
            <w:pPr>
              <w:pStyle w:val="Compact"/>
              <w:spacing w:after="40"/>
              <w:jc w:val="left"/>
            </w:pPr>
            <w:r>
              <w:rPr>
                <w:sz w:val="18"/>
              </w:rPr>
              <w:t xml:space="preserve">Fees</w:t>
            </w:r>
          </w:p>
        </w:tc>
        <w:tc>
          <w:tcPr>
            <w:tcW w:w="5000" w:type="dxa"/>
          </w:tcPr>
          <w:p>
            <w:pPr>
              <w:pStyle w:val="Compact"/>
              <w:spacing w:after="40"/>
              <w:jc w:val="left"/>
            </w:pPr>
            <w:r>
              <w:rPr>
                <w:sz w:val="18"/>
              </w:rPr>
              <w:t xml:space="preserve">processing fee ≤ 1.5% plus GST; only it and credit-life premium deducted at disbursal</w:t>
            </w:r>
          </w:p>
        </w:tc>
        <w:tc>
          <w:tcPr>
            <w:tcW w:w="2320" w:type="dxa"/>
          </w:tcPr>
          <w:p>
            <w:pPr>
              <w:pStyle w:val="Compact"/>
              <w:spacing w:after="40"/>
              <w:jc w:val="left"/>
            </w:pPr>
            <w:r>
              <w:rPr>
                <w:sz w:val="18"/>
              </w:rPr>
              <w:t xml:space="preserve">Product; disbursal</w:t>
            </w:r>
          </w:p>
        </w:tc>
      </w:tr>
      <w:tr>
        <w:tc>
          <w:tcPr>
            <w:tcW w:w="2318" w:type="dxa"/>
          </w:tcPr>
          <w:p>
            <w:pPr>
              <w:pStyle w:val="Compact"/>
              <w:spacing w:after="40"/>
              <w:jc w:val="left"/>
            </w:pPr>
            <w:r>
              <w:rPr>
                <w:sz w:val="18"/>
              </w:rPr>
              <w:t xml:space="preserve">Third-party products</w:t>
            </w:r>
          </w:p>
        </w:tc>
        <w:tc>
          <w:tcPr>
            <w:tcW w:w="5000" w:type="dxa"/>
          </w:tcPr>
          <w:p>
            <w:pPr>
              <w:pStyle w:val="Compact"/>
              <w:spacing w:after="40"/>
              <w:jc w:val="left"/>
            </w:pPr>
            <w:r>
              <w:rPr>
                <w:sz w:val="18"/>
              </w:rPr>
              <w:t xml:space="preserve">consent and ≥ 1 month after disbursal</w:t>
            </w:r>
          </w:p>
        </w:tc>
        <w:tc>
          <w:tcPr>
            <w:tcW w:w="2320" w:type="dxa"/>
          </w:tcPr>
          <w:p>
            <w:pPr>
              <w:pStyle w:val="Compact"/>
              <w:spacing w:after="40"/>
              <w:jc w:val="left"/>
            </w:pPr>
            <w:r>
              <w:rPr>
                <w:sz w:val="18"/>
              </w:rPr>
              <w:t xml:space="preserve">Cross-sell</w:t>
            </w:r>
          </w:p>
        </w:tc>
      </w:tr>
      <w:tr>
        <w:tc>
          <w:tcPr>
            <w:tcW w:w="2318" w:type="dxa"/>
          </w:tcPr>
          <w:p>
            <w:pPr>
              <w:pStyle w:val="Compact"/>
              <w:spacing w:after="40"/>
              <w:jc w:val="left"/>
            </w:pPr>
            <w:r>
              <w:rPr>
                <w:sz w:val="18"/>
              </w:rPr>
              <w:t xml:space="preserve">Identity</w:t>
            </w:r>
          </w:p>
        </w:tc>
        <w:tc>
          <w:tcPr>
            <w:tcW w:w="5000" w:type="dxa"/>
          </w:tcPr>
          <w:p>
            <w:pPr>
              <w:pStyle w:val="Compact"/>
              <w:spacing w:after="40"/>
              <w:jc w:val="left"/>
            </w:pPr>
            <w:r>
              <w:rPr>
                <w:sz w:val="18"/>
              </w:rPr>
              <w:t xml:space="preserve">Voter ID e-validation, reject</w:t>
            </w:r>
            <w:r>
              <w:rPr>
                <w:sz w:val="18"/>
              </w:rPr>
              <w:t xml:space="preserve"> </w:t>
            </w:r>
            <w:r>
              <w:rPr>
                <w:sz w:val="18"/>
              </w:rPr>
              <w:t xml:space="preserve">“</w:t>
            </w:r>
            <w:r>
              <w:rPr>
                <w:sz w:val="18"/>
              </w:rPr>
              <w:t xml:space="preserve">no hit</w:t>
            </w:r>
            <w:r>
              <w:rPr>
                <w:sz w:val="18"/>
              </w:rPr>
              <w:t xml:space="preserve">”</w:t>
            </w:r>
            <w:r>
              <w:rPr>
                <w:sz w:val="18"/>
              </w:rPr>
              <w:t xml:space="preserve">; PAN seeding where held</w:t>
            </w:r>
          </w:p>
        </w:tc>
        <w:tc>
          <w:tcPr>
            <w:tcW w:w="2320" w:type="dxa"/>
          </w:tcPr>
          <w:p>
            <w:pPr>
              <w:pStyle w:val="Compact"/>
              <w:spacing w:after="40"/>
              <w:jc w:val="left"/>
            </w:pPr>
            <w:r>
              <w:rPr>
                <w:sz w:val="18"/>
              </w:rPr>
              <w:t xml:space="preserve">KYC</w:t>
            </w:r>
          </w:p>
        </w:tc>
      </w:tr>
      <w:tr>
        <w:tc>
          <w:tcPr>
            <w:tcW w:w="2318" w:type="dxa"/>
          </w:tcPr>
          <w:p>
            <w:pPr>
              <w:pStyle w:val="Compact"/>
              <w:spacing w:after="40"/>
              <w:jc w:val="left"/>
            </w:pPr>
            <w:r>
              <w:rPr>
                <w:sz w:val="18"/>
              </w:rPr>
              <w:t xml:space="preserve">Bureau</w:t>
            </w:r>
          </w:p>
        </w:tc>
        <w:tc>
          <w:tcPr>
            <w:tcW w:w="5000" w:type="dxa"/>
          </w:tcPr>
          <w:p>
            <w:pPr>
              <w:pStyle w:val="Compact"/>
              <w:spacing w:after="40"/>
              <w:jc w:val="left"/>
            </w:pPr>
            <w:r>
              <w:rPr>
                <w:sz w:val="18"/>
              </w:rPr>
              <w:t xml:space="preserve">report ≤ 15 days old; daily submission; disputes within 7 days</w:t>
            </w:r>
          </w:p>
        </w:tc>
        <w:tc>
          <w:tcPr>
            <w:tcW w:w="2320" w:type="dxa"/>
          </w:tcPr>
          <w:p>
            <w:pPr>
              <w:pStyle w:val="Compact"/>
              <w:spacing w:after="40"/>
              <w:jc w:val="left"/>
            </w:pPr>
            <w:r>
              <w:rPr>
                <w:sz w:val="18"/>
              </w:rPr>
              <w:t xml:space="preserve">Sanction; 7B RR6–RR7</w:t>
            </w:r>
          </w:p>
        </w:tc>
      </w:tr>
      <w:tr>
        <w:tc>
          <w:tcPr>
            <w:tcW w:w="2318" w:type="dxa"/>
          </w:tcPr>
          <w:p>
            <w:pPr>
              <w:pStyle w:val="Compact"/>
              <w:spacing w:after="40"/>
              <w:jc w:val="left"/>
            </w:pPr>
            <w:r>
              <w:rPr>
                <w:sz w:val="18"/>
              </w:rPr>
              <w:t xml:space="preserve">Death</w:t>
            </w:r>
          </w:p>
        </w:tc>
        <w:tc>
          <w:tcPr>
            <w:tcW w:w="5000" w:type="dxa"/>
          </w:tcPr>
          <w:p>
            <w:pPr>
              <w:pStyle w:val="Compact"/>
              <w:spacing w:after="40"/>
              <w:jc w:val="left"/>
            </w:pPr>
            <w:r>
              <w:rPr>
                <w:sz w:val="18"/>
              </w:rPr>
              <w:t xml:space="preserve">stop collection; refund excess (Directive #6)</w:t>
            </w:r>
          </w:p>
        </w:tc>
        <w:tc>
          <w:tcPr>
            <w:tcW w:w="2320" w:type="dxa"/>
          </w:tcPr>
          <w:p>
            <w:pPr>
              <w:pStyle w:val="Compact"/>
              <w:spacing w:after="40"/>
              <w:jc w:val="left"/>
            </w:pPr>
            <w:r>
              <w:rPr>
                <w:sz w:val="18"/>
              </w:rPr>
              <w:t xml:space="preserve">IP4.8</w:t>
            </w:r>
          </w:p>
        </w:tc>
      </w:tr>
      <w:tr>
        <w:tc>
          <w:tcPr>
            <w:tcW w:w="2318" w:type="dxa"/>
          </w:tcPr>
          <w:p>
            <w:pPr>
              <w:pStyle w:val="Compact"/>
              <w:spacing w:after="40"/>
              <w:jc w:val="left"/>
            </w:pPr>
            <w:r>
              <w:rPr>
                <w:sz w:val="18"/>
              </w:rPr>
              <w:t xml:space="preserve">Staff</w:t>
            </w:r>
          </w:p>
        </w:tc>
        <w:tc>
          <w:tcPr>
            <w:tcW w:w="5000" w:type="dxa"/>
          </w:tcPr>
          <w:p>
            <w:pPr>
              <w:pStyle w:val="Compact"/>
              <w:spacing w:after="40"/>
              <w:jc w:val="left"/>
            </w:pPr>
            <w:r>
              <w:rPr>
                <w:sz w:val="18"/>
              </w:rPr>
              <w:t xml:space="preserve">employee bureau updated by the 10th; employee originals returned in 7 days</w:t>
            </w:r>
          </w:p>
        </w:tc>
        <w:tc>
          <w:tcPr>
            <w:tcW w:w="2320" w:type="dxa"/>
          </w:tcPr>
          <w:p>
            <w:pPr>
              <w:pStyle w:val="Compact"/>
              <w:spacing w:after="40"/>
              <w:jc w:val="left"/>
            </w:pPr>
            <w:r>
              <w:rPr>
                <w:sz w:val="18"/>
              </w:rPr>
              <w:t xml:space="preserve">7F GV6</w:t>
            </w:r>
          </w:p>
        </w:tc>
      </w:tr>
      <w:tr>
        <w:tc>
          <w:tcPr>
            <w:tcW w:w="2318" w:type="dxa"/>
          </w:tcPr>
          <w:p>
            <w:pPr>
              <w:pStyle w:val="Compact"/>
              <w:spacing w:after="40"/>
              <w:jc w:val="left"/>
            </w:pPr>
            <w:r>
              <w:rPr>
                <w:sz w:val="18"/>
              </w:rPr>
              <w:t xml:space="preserve">Loan card</w:t>
            </w:r>
          </w:p>
        </w:tc>
        <w:tc>
          <w:tcPr>
            <w:tcW w:w="5000" w:type="dxa"/>
          </w:tcPr>
          <w:p>
            <w:pPr>
              <w:pStyle w:val="Compact"/>
              <w:spacing w:after="40"/>
              <w:jc w:val="left"/>
            </w:pPr>
            <w:r>
              <w:rPr>
                <w:sz w:val="18"/>
              </w:rPr>
              <w:t xml:space="preserve">MFIN grievance details shown</w:t>
            </w:r>
          </w:p>
        </w:tc>
        <w:tc>
          <w:tcPr>
            <w:tcW w:w="2320" w:type="dxa"/>
          </w:tcPr>
          <w:p>
            <w:pPr>
              <w:pStyle w:val="Compact"/>
              <w:spacing w:after="40"/>
              <w:jc w:val="left"/>
            </w:pPr>
            <w:r>
              <w:rPr>
                <w:sz w:val="18"/>
              </w:rPr>
              <w:t xml:space="preserve">Template</w:t>
            </w:r>
          </w:p>
        </w:tc>
      </w:tr>
    </w:tbl>
    <w:bookmarkEnd w:id="566"/>
    <w:bookmarkStart w:id="567" w:name="ip4.4-jlg-lifecycle"/>
    <w:p>
      <w:pPr>
        <w:pStyle w:val="Heading3"/>
      </w:pPr>
      <w:r>
        <w:t xml:space="preserve">IP4.4 JLG lifecycle</w:t>
      </w:r>
    </w:p>
    <w:p>
      <w:pPr>
        <w:pStyle w:val="FirstParagraph"/>
      </w:pPr>
      <w:r>
        <w:t xml:space="preserve">Group rules: 4–10 members [VERIFY NABARD; 5 typical PRAC]; one member per household; no close relatives; self-selected [REC].</w:t>
      </w:r>
    </w:p>
    <w:p>
      <w:pPr>
        <w:pStyle w:val="BodyText"/>
      </w:pPr>
      <w:r>
        <w:rPr>
          <w:bCs/>
          <w:b/>
        </w:rPr>
        <w:t xml:space="preserve">Member:</w:t>
      </w:r>
      <w:r>
        <w:t xml:space="preserve"> </w:t>
      </w:r>
      <w:r>
        <w:rPr>
          <w:rStyle w:val="VerbatimChar"/>
        </w:rPr>
        <w:t xml:space="preserve">PROSPECT → KYC_DONE → HOUSEHOLD_ASSESSED → BUREAU_PASS | BUREAU_FAIL → CGT_ATTENDED → GRT_PASS | GRT_FAIL → SANCTIONED → DISBURSED → ACTIVE ⇄ OVERDUE → CLOSED | WRITTEN_OFF</w:t>
      </w:r>
      <w:r>
        <w:t xml:space="preserve">; any active state</w:t>
      </w:r>
      <w:r>
        <w:t xml:space="preserve"> </w:t>
      </w:r>
      <w:r>
        <w:rPr>
          <w:rStyle w:val="VerbatimChar"/>
        </w:rPr>
        <w:t xml:space="preserve">→ DECEASED_CLAIM</w:t>
      </w:r>
      <w:r>
        <w:t xml:space="preserve">.</w:t>
      </w:r>
      <w:r>
        <w:t xml:space="preserve"> </w:t>
      </w:r>
      <w:r>
        <w:rPr>
          <w:bCs/>
          <w:b/>
        </w:rPr>
        <w:t xml:space="preserve">Group:</w:t>
      </w:r>
      <w:r>
        <w:t xml:space="preserve"> </w:t>
      </w:r>
      <w:r>
        <w:rPr>
          <w:rStyle w:val="VerbatimChar"/>
        </w:rPr>
        <w:t xml:space="preserve">FORMING → CGT_IN_PROGRESS → CGT_DONE → GRT_PASSED | GRT_FAILED → ACTIVE → DORMANT → DISSOLVED</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52"/>
        <w:gridCol w:w="4448"/>
        <w:gridCol w:w="2938"/>
      </w:tblGrid>
      <w:tr>
        <w:trPr>
          <w:tblHeader w:val="true"/>
          <w:tblHeader w:val="true"/>
        </w:trPr>
        <w:tc>
          <w:tcPr>
            <w:tcW w:w="2252" w:type="dxa"/>
            <w:shd w:val="clear" w:color="auto" w:fill="1F3A5F"/>
          </w:tcPr>
          <w:p>
            <w:pPr>
              <w:pStyle w:val="Compact"/>
              <w:spacing w:after="40"/>
              <w:jc w:val="left"/>
            </w:pPr>
            <w:r>
              <w:rPr>
                <w:b/>
                <w:color w:val="FFFFFF"/>
                <w:sz w:val="18"/>
              </w:rPr>
              <w:t xml:space="preserve">Step</w:t>
            </w:r>
          </w:p>
        </w:tc>
        <w:tc>
          <w:tcPr>
            <w:tcW w:w="4448" w:type="dxa"/>
            <w:shd w:val="clear" w:color="auto" w:fill="1F3A5F"/>
          </w:tcPr>
          <w:p>
            <w:pPr>
              <w:pStyle w:val="Compact"/>
              <w:spacing w:after="40"/>
              <w:jc w:val="left"/>
            </w:pPr>
            <w:r>
              <w:rPr>
                <w:b/>
                <w:color w:val="FFFFFF"/>
                <w:sz w:val="18"/>
              </w:rPr>
              <w:t xml:space="preserve">Rule</w:t>
            </w:r>
          </w:p>
        </w:tc>
        <w:tc>
          <w:tcPr>
            <w:tcW w:w="2938" w:type="dxa"/>
            <w:shd w:val="clear" w:color="auto" w:fill="1F3A5F"/>
          </w:tcPr>
          <w:p>
            <w:pPr>
              <w:pStyle w:val="Compact"/>
              <w:spacing w:after="40"/>
              <w:jc w:val="left"/>
            </w:pPr>
            <w:r>
              <w:rPr>
                <w:b/>
                <w:color w:val="FFFFFF"/>
                <w:sz w:val="18"/>
              </w:rPr>
              <w:t xml:space="preserve">Captured</w:t>
            </w:r>
          </w:p>
        </w:tc>
      </w:tr>
      <w:tr>
        <w:tc>
          <w:tcPr>
            <w:tcW w:w="2252" w:type="dxa"/>
          </w:tcPr>
          <w:p>
            <w:pPr>
              <w:pStyle w:val="Compact"/>
              <w:spacing w:after="40"/>
              <w:jc w:val="left"/>
            </w:pPr>
            <w:r>
              <w:rPr>
                <w:sz w:val="18"/>
              </w:rPr>
              <w:t xml:space="preserve">Village survey</w:t>
            </w:r>
          </w:p>
        </w:tc>
        <w:tc>
          <w:tcPr>
            <w:tcW w:w="4448" w:type="dxa"/>
          </w:tcPr>
          <w:p>
            <w:pPr>
              <w:pStyle w:val="Compact"/>
              <w:spacing w:after="40"/>
              <w:jc w:val="left"/>
            </w:pPr>
            <w:r>
              <w:rPr>
                <w:sz w:val="18"/>
              </w:rPr>
              <w:t xml:space="preserve">lender density, risk, State overlays</w:t>
            </w:r>
          </w:p>
        </w:tc>
        <w:tc>
          <w:tcPr>
            <w:tcW w:w="2938" w:type="dxa"/>
          </w:tcPr>
          <w:p>
            <w:pPr>
              <w:pStyle w:val="Compact"/>
              <w:spacing w:after="40"/>
              <w:jc w:val="left"/>
            </w:pPr>
            <w:r>
              <w:rPr>
                <w:sz w:val="18"/>
              </w:rPr>
              <w:t xml:space="preserve">survey, approval</w:t>
            </w:r>
          </w:p>
        </w:tc>
      </w:tr>
      <w:tr>
        <w:tc>
          <w:tcPr>
            <w:tcW w:w="2252" w:type="dxa"/>
          </w:tcPr>
          <w:p>
            <w:pPr>
              <w:pStyle w:val="Compact"/>
              <w:spacing w:after="40"/>
              <w:jc w:val="left"/>
            </w:pPr>
            <w:r>
              <w:rPr>
                <w:sz w:val="18"/>
              </w:rPr>
              <w:t xml:space="preserve">KYC</w:t>
            </w:r>
          </w:p>
        </w:tc>
        <w:tc>
          <w:tcPr>
            <w:tcW w:w="4448" w:type="dxa"/>
          </w:tcPr>
          <w:p>
            <w:pPr>
              <w:pStyle w:val="Compact"/>
              <w:spacing w:after="40"/>
              <w:jc w:val="left"/>
            </w:pPr>
            <w:r>
              <w:rPr>
                <w:sz w:val="18"/>
              </w:rPr>
              <w:t xml:space="preserve">Aadhaar offline (never stored); Voter ID e-validation</w:t>
            </w:r>
          </w:p>
        </w:tc>
        <w:tc>
          <w:tcPr>
            <w:tcW w:w="2938" w:type="dxa"/>
          </w:tcPr>
          <w:p>
            <w:pPr>
              <w:pStyle w:val="Compact"/>
              <w:spacing w:after="40"/>
              <w:jc w:val="left"/>
            </w:pPr>
            <w:r>
              <w:rPr>
                <w:sz w:val="18"/>
              </w:rPr>
              <w:t xml:space="preserve">evidence</w:t>
            </w:r>
          </w:p>
        </w:tc>
      </w:tr>
      <w:tr>
        <w:tc>
          <w:tcPr>
            <w:tcW w:w="2252" w:type="dxa"/>
          </w:tcPr>
          <w:p>
            <w:pPr>
              <w:pStyle w:val="Compact"/>
              <w:spacing w:after="40"/>
              <w:jc w:val="left"/>
            </w:pPr>
            <w:r>
              <w:rPr>
                <w:sz w:val="18"/>
              </w:rPr>
              <w:t xml:space="preserve">Household and bureau</w:t>
            </w:r>
          </w:p>
        </w:tc>
        <w:tc>
          <w:tcPr>
            <w:tcW w:w="4448" w:type="dxa"/>
          </w:tcPr>
          <w:p>
            <w:pPr>
              <w:pStyle w:val="Compact"/>
              <w:spacing w:after="40"/>
              <w:jc w:val="left"/>
            </w:pPr>
            <w:r>
              <w:rPr>
                <w:sz w:val="18"/>
              </w:rPr>
              <w:t xml:space="preserve">IP4.2, IP4.3</w:t>
            </w:r>
          </w:p>
        </w:tc>
        <w:tc>
          <w:tcPr>
            <w:tcW w:w="2938" w:type="dxa"/>
          </w:tcPr>
          <w:p>
            <w:pPr>
              <w:pStyle w:val="Compact"/>
              <w:spacing w:after="40"/>
              <w:jc w:val="left"/>
            </w:pPr>
            <w:r>
              <w:rPr>
                <w:sz w:val="18"/>
              </w:rPr>
              <w:t xml:space="preserve">roster, income, report IDs</w:t>
            </w:r>
          </w:p>
        </w:tc>
      </w:tr>
      <w:tr>
        <w:tc>
          <w:tcPr>
            <w:tcW w:w="2252" w:type="dxa"/>
          </w:tcPr>
          <w:p>
            <w:pPr>
              <w:pStyle w:val="Compact"/>
              <w:spacing w:after="40"/>
              <w:jc w:val="left"/>
            </w:pPr>
            <w:r>
              <w:rPr>
                <w:sz w:val="18"/>
              </w:rPr>
              <w:t xml:space="preserve">CGT</w:t>
            </w:r>
          </w:p>
        </w:tc>
        <w:tc>
          <w:tcPr>
            <w:tcW w:w="4448" w:type="dxa"/>
          </w:tcPr>
          <w:p>
            <w:pPr>
              <w:pStyle w:val="Compact"/>
              <w:spacing w:after="40"/>
              <w:jc w:val="left"/>
            </w:pPr>
            <w:r>
              <w:rPr>
                <w:sz w:val="18"/>
              </w:rPr>
              <w:t xml:space="preserve">3–5 days [PRAC]; free (RBC para 88); every member every day</w:t>
            </w:r>
          </w:p>
        </w:tc>
        <w:tc>
          <w:tcPr>
            <w:tcW w:w="2938" w:type="dxa"/>
          </w:tcPr>
          <w:p>
            <w:pPr>
              <w:pStyle w:val="Compact"/>
              <w:spacing w:after="40"/>
              <w:jc w:val="left"/>
            </w:pPr>
            <w:r>
              <w:rPr>
                <w:sz w:val="18"/>
              </w:rPr>
              <w:t xml:space="preserve">attendance, geo-photo, trainer</w:t>
            </w:r>
          </w:p>
        </w:tc>
      </w:tr>
      <w:tr>
        <w:tc>
          <w:tcPr>
            <w:tcW w:w="2252" w:type="dxa"/>
          </w:tcPr>
          <w:p>
            <w:pPr>
              <w:pStyle w:val="Compact"/>
              <w:spacing w:after="40"/>
              <w:jc w:val="left"/>
            </w:pPr>
            <w:r>
              <w:rPr>
                <w:sz w:val="18"/>
              </w:rPr>
              <w:t xml:space="preserve">GRT</w:t>
            </w:r>
          </w:p>
        </w:tc>
        <w:tc>
          <w:tcPr>
            <w:tcW w:w="4448" w:type="dxa"/>
          </w:tcPr>
          <w:p>
            <w:pPr>
              <w:pStyle w:val="Compact"/>
              <w:spacing w:after="40"/>
              <w:jc w:val="left"/>
            </w:pPr>
            <w:r>
              <w:rPr>
                <w:sz w:val="18"/>
              </w:rPr>
              <w:t xml:space="preserve">supervisor other than the CGT trainer; knowledge, house visit, coercion screen</w:t>
            </w:r>
          </w:p>
        </w:tc>
        <w:tc>
          <w:tcPr>
            <w:tcW w:w="2938" w:type="dxa"/>
          </w:tcPr>
          <w:p>
            <w:pPr>
              <w:pStyle w:val="Compact"/>
              <w:spacing w:after="40"/>
              <w:jc w:val="left"/>
            </w:pPr>
            <w:r>
              <w:rPr>
                <w:sz w:val="18"/>
              </w:rPr>
              <w:t xml:space="preserve">score, visit evidence</w:t>
            </w:r>
          </w:p>
        </w:tc>
      </w:tr>
      <w:tr>
        <w:tc>
          <w:tcPr>
            <w:tcW w:w="2252" w:type="dxa"/>
          </w:tcPr>
          <w:p>
            <w:pPr>
              <w:pStyle w:val="Compact"/>
              <w:spacing w:after="40"/>
              <w:jc w:val="left"/>
            </w:pPr>
            <w:r>
              <w:rPr>
                <w:sz w:val="18"/>
              </w:rPr>
              <w:t xml:space="preserve">Centre</w:t>
            </w:r>
          </w:p>
        </w:tc>
        <w:tc>
          <w:tcPr>
            <w:tcW w:w="4448" w:type="dxa"/>
          </w:tcPr>
          <w:p>
            <w:pPr>
              <w:pStyle w:val="Compact"/>
              <w:spacing w:after="40"/>
              <w:jc w:val="left"/>
            </w:pPr>
            <w:r>
              <w:rPr>
                <w:sz w:val="18"/>
              </w:rPr>
              <w:t xml:space="preserve">2–6 groups [PRAC]; fixed day, time and place =</w:t>
            </w:r>
            <w:r>
              <w:rPr>
                <w:sz w:val="18"/>
              </w:rPr>
              <w:t xml:space="preserve"> </w:t>
            </w:r>
            <w:r>
              <w:rPr>
                <w:bCs/>
                <w:b/>
                <w:sz w:val="18"/>
              </w:rPr>
              <w:t xml:space="preserve">designated place</w:t>
            </w:r>
            <w:r>
              <w:rPr>
                <w:sz w:val="18"/>
              </w:rPr>
              <w:t xml:space="preserve"> </w:t>
            </w:r>
            <w:r>
              <w:rPr>
                <w:sz w:val="18"/>
              </w:rPr>
              <w:t xml:space="preserve">(RBC para 90)</w:t>
            </w:r>
          </w:p>
        </w:tc>
        <w:tc>
          <w:tcPr>
            <w:tcW w:w="2938" w:type="dxa"/>
          </w:tcPr>
          <w:p>
            <w:pPr>
              <w:pStyle w:val="Compact"/>
              <w:spacing w:after="40"/>
              <w:jc w:val="left"/>
            </w:pPr>
            <w:r>
              <w:rPr>
                <w:sz w:val="18"/>
              </w:rPr>
              <w:t xml:space="preserve">centre master</w:t>
            </w:r>
          </w:p>
        </w:tc>
      </w:tr>
      <w:tr>
        <w:tc>
          <w:tcPr>
            <w:tcW w:w="2252" w:type="dxa"/>
          </w:tcPr>
          <w:p>
            <w:pPr>
              <w:pStyle w:val="Compact"/>
              <w:spacing w:after="40"/>
              <w:jc w:val="left"/>
            </w:pPr>
            <w:r>
              <w:rPr>
                <w:sz w:val="18"/>
              </w:rPr>
              <w:t xml:space="preserve">Sanction</w:t>
            </w:r>
          </w:p>
        </w:tc>
        <w:tc>
          <w:tcPr>
            <w:tcW w:w="4448" w:type="dxa"/>
          </w:tcPr>
          <w:p>
            <w:pPr>
              <w:pStyle w:val="Compact"/>
              <w:spacing w:after="40"/>
              <w:jc w:val="left"/>
            </w:pPr>
            <w:r>
              <w:rPr>
                <w:sz w:val="18"/>
              </w:rPr>
              <w:t xml:space="preserve">per member; vernacular KFS and loan card (RBC paras 78–80)</w:t>
            </w:r>
          </w:p>
        </w:tc>
        <w:tc>
          <w:tcPr>
            <w:tcW w:w="2938" w:type="dxa"/>
          </w:tcPr>
          <w:p>
            <w:pPr>
              <w:pStyle w:val="Compact"/>
              <w:spacing w:after="40"/>
              <w:jc w:val="left"/>
            </w:pPr>
            <w:r>
              <w:rPr>
                <w:sz w:val="18"/>
              </w:rPr>
              <w:t xml:space="preserve">sanction, card</w:t>
            </w:r>
          </w:p>
        </w:tc>
      </w:tr>
      <w:tr>
        <w:tc>
          <w:tcPr>
            <w:tcW w:w="2252" w:type="dxa"/>
          </w:tcPr>
          <w:p>
            <w:pPr>
              <w:pStyle w:val="Compact"/>
              <w:spacing w:after="40"/>
              <w:jc w:val="left"/>
            </w:pPr>
            <w:r>
              <w:rPr>
                <w:sz w:val="18"/>
              </w:rPr>
              <w:t xml:space="preserve">Disbursal</w:t>
            </w:r>
          </w:p>
        </w:tc>
        <w:tc>
          <w:tcPr>
            <w:tcW w:w="4448" w:type="dxa"/>
          </w:tcPr>
          <w:p>
            <w:pPr>
              <w:pStyle w:val="Compact"/>
              <w:spacing w:after="40"/>
              <w:jc w:val="left"/>
            </w:pPr>
            <w:r>
              <w:rPr>
                <w:sz w:val="18"/>
              </w:rPr>
              <w:t xml:space="preserve">cashless to each member’s own account; CIC updated</w:t>
            </w:r>
          </w:p>
        </w:tc>
        <w:tc>
          <w:tcPr>
            <w:tcW w:w="2938" w:type="dxa"/>
          </w:tcPr>
          <w:p>
            <w:pPr>
              <w:pStyle w:val="Compact"/>
              <w:spacing w:after="40"/>
              <w:jc w:val="left"/>
            </w:pPr>
            <w:r>
              <w:rPr>
                <w:sz w:val="18"/>
              </w:rPr>
              <w:t xml:space="preserve">UTR</w:t>
            </w:r>
          </w:p>
        </w:tc>
      </w:tr>
      <w:tr>
        <w:tc>
          <w:tcPr>
            <w:tcW w:w="2252" w:type="dxa"/>
          </w:tcPr>
          <w:p>
            <w:pPr>
              <w:pStyle w:val="Compact"/>
              <w:spacing w:after="40"/>
              <w:jc w:val="left"/>
            </w:pPr>
            <w:r>
              <w:rPr>
                <w:sz w:val="18"/>
              </w:rPr>
              <w:t xml:space="preserve">Utilisation check</w:t>
            </w:r>
          </w:p>
        </w:tc>
        <w:tc>
          <w:tcPr>
            <w:tcW w:w="4448" w:type="dxa"/>
          </w:tcPr>
          <w:p>
            <w:pPr>
              <w:pStyle w:val="Compact"/>
              <w:spacing w:after="40"/>
              <w:jc w:val="left"/>
            </w:pPr>
            <w:r>
              <w:rPr>
                <w:sz w:val="18"/>
              </w:rPr>
              <w:t xml:space="preserve">30–45 days [PRAC]</w:t>
            </w:r>
          </w:p>
        </w:tc>
        <w:tc>
          <w:tcPr>
            <w:tcW w:w="2938" w:type="dxa"/>
          </w:tcPr>
          <w:p>
            <w:pPr>
              <w:pStyle w:val="Compact"/>
              <w:spacing w:after="40"/>
              <w:jc w:val="left"/>
            </w:pPr>
            <w:r>
              <w:rPr>
                <w:sz w:val="18"/>
              </w:rPr>
              <w:t xml:space="preserve">visit</w:t>
            </w:r>
          </w:p>
        </w:tc>
      </w:tr>
      <w:tr>
        <w:tc>
          <w:tcPr>
            <w:tcW w:w="2252" w:type="dxa"/>
          </w:tcPr>
          <w:p>
            <w:pPr>
              <w:pStyle w:val="Compact"/>
              <w:spacing w:after="40"/>
              <w:jc w:val="left"/>
            </w:pPr>
            <w:r>
              <w:rPr>
                <w:sz w:val="18"/>
              </w:rPr>
              <w:t xml:space="preserve">Meetings</w:t>
            </w:r>
          </w:p>
        </w:tc>
        <w:tc>
          <w:tcPr>
            <w:tcW w:w="4448" w:type="dxa"/>
          </w:tcPr>
          <w:p>
            <w:pPr>
              <w:pStyle w:val="Compact"/>
              <w:spacing w:after="40"/>
              <w:jc w:val="left"/>
            </w:pPr>
            <w:r>
              <w:rPr>
                <w:sz w:val="18"/>
              </w:rPr>
              <w:t xml:space="preserve">weekly, fortnightly or monthly by member choice (CF para 59)</w:t>
            </w:r>
          </w:p>
        </w:tc>
        <w:tc>
          <w:tcPr>
            <w:tcW w:w="2938" w:type="dxa"/>
          </w:tcPr>
          <w:p>
            <w:pPr>
              <w:pStyle w:val="Compact"/>
              <w:spacing w:after="40"/>
              <w:jc w:val="left"/>
            </w:pPr>
            <w:r>
              <w:rPr>
                <w:sz w:val="18"/>
              </w:rPr>
              <w:t xml:space="preserve">attendance, receipts, card entries</w:t>
            </w:r>
          </w:p>
        </w:tc>
      </w:tr>
      <w:tr>
        <w:tc>
          <w:tcPr>
            <w:tcW w:w="2252" w:type="dxa"/>
          </w:tcPr>
          <w:p>
            <w:pPr>
              <w:pStyle w:val="Compact"/>
              <w:spacing w:after="40"/>
              <w:jc w:val="left"/>
            </w:pPr>
            <w:r>
              <w:rPr>
                <w:sz w:val="18"/>
              </w:rPr>
              <w:t xml:space="preserve">Closure</w:t>
            </w:r>
          </w:p>
        </w:tc>
        <w:tc>
          <w:tcPr>
            <w:tcW w:w="4448" w:type="dxa"/>
          </w:tcPr>
          <w:p>
            <w:pPr>
              <w:pStyle w:val="Compact"/>
              <w:spacing w:after="40"/>
              <w:jc w:val="left"/>
            </w:pPr>
            <w:r>
              <w:rPr>
                <w:sz w:val="18"/>
              </w:rPr>
              <w:t xml:space="preserve">discharge on card; repeat cycle needs fresh assessment and bureau</w:t>
            </w:r>
          </w:p>
        </w:tc>
        <w:tc>
          <w:tcPr>
            <w:tcW w:w="2938" w:type="dxa"/>
          </w:tcPr>
          <w:p>
            <w:pPr>
              <w:pStyle w:val="Compact"/>
              <w:spacing w:after="40"/>
              <w:jc w:val="left"/>
            </w:pPr>
            <w:r>
              <w:rPr>
                <w:sz w:val="18"/>
              </w:rPr>
              <w:t xml:space="preserve">closure</w:t>
            </w:r>
          </w:p>
        </w:tc>
      </w:tr>
    </w:tbl>
    <w:p>
      <w:pPr>
        <w:pStyle w:val="BodyText"/>
      </w:pPr>
      <w:r>
        <w:rPr>
          <w:bCs/>
          <w:b/>
        </w:rPr>
        <w:t xml:space="preserve">Events (producer rule, Integration Spec 6.24):</w:t>
      </w:r>
      <w:r>
        <w:t xml:space="preserve"> </w:t>
      </w:r>
      <w:r>
        <w:t xml:space="preserve">the lender’s system of record (Finbyx here, or the RE’s other LMS) produces</w:t>
      </w:r>
      <w:r>
        <w:t xml:space="preserve"> </w:t>
      </w:r>
      <w:r>
        <w:rPr>
          <w:rStyle w:val="VerbatimChar"/>
        </w:rPr>
        <w:t xml:space="preserve">GroupFormed</w:t>
      </w:r>
      <w:r>
        <w:t xml:space="preserve"> </w:t>
      </w:r>
      <w:r>
        <w:t xml:space="preserve">(group</w:t>
      </w:r>
      <w:r>
        <w:t xml:space="preserve"> </w:t>
      </w:r>
      <w:r>
        <w:rPr>
          <w:rStyle w:val="VerbatimChar"/>
        </w:rPr>
        <w:t xml:space="preserve">ACTIVE</w:t>
      </w:r>
      <w:r>
        <w:t xml:space="preserve"> </w:t>
      </w:r>
      <w:r>
        <w:t xml:space="preserve">after GRT) and</w:t>
      </w:r>
      <w:r>
        <w:t xml:space="preserve"> </w:t>
      </w:r>
      <w:r>
        <w:rPr>
          <w:rStyle w:val="VerbatimChar"/>
        </w:rPr>
        <w:t xml:space="preserve">GroupCollectionPosted</w:t>
      </w:r>
      <w:r>
        <w:t xml:space="preserve"> </w:t>
      </w:r>
      <w:r>
        <w:t xml:space="preserve">(meeting postings, with shortfall and cash-variance flags); Udofin consumes them.</w:t>
      </w:r>
      <w:r>
        <w:t xml:space="preserve"> </w:t>
      </w:r>
      <w:r>
        <w:rPr>
          <w:rStyle w:val="VerbatimChar"/>
        </w:rPr>
        <w:t xml:space="preserve">CentreMeetingHeld</w:t>
      </w:r>
      <w:r>
        <w:t xml:space="preserve"> </w:t>
      </w:r>
      <w:r>
        <w:t xml:space="preserve">is produced by whichever system closes the meeting: Finbyx when it is closed in the M22 field app, Udofin when it is closed in Udofin’s assisted tools (Finbyx then consumes it, reconciles and posts). A meeting is never closed in both; the second close attempt is rejected with the closing system’s reference.</w:t>
      </w:r>
    </w:p>
    <w:p>
      <w:pPr>
        <w:pStyle w:val="BodyText"/>
      </w:pPr>
      <w:r>
        <w:rPr>
          <w:bCs/>
          <w:b/>
        </w:rPr>
        <w:t xml:space="preserve">Joint liability is voluntary (GR-7G-06).</w:t>
      </w:r>
      <w:r>
        <w:t xml:space="preserve"> </w:t>
      </w:r>
      <w:r>
        <w:t xml:space="preserve">Each loan is an individual contract; Finbyx never applies one member’s payment, savings or disbursal to another’s loan. A member may help a co-member only by a separate, explicit, revocable instruction posted as a third-party payment [REC]. No public defaulter lists, centre announcements or pressure on co-members or relatives (RBC para 91). Group</w:t>
      </w:r>
      <w:r>
        <w:t xml:space="preserve"> </w:t>
      </w:r>
      <w:r>
        <w:t xml:space="preserve">“</w:t>
      </w:r>
      <w:r>
        <w:t xml:space="preserve">liability</w:t>
      </w:r>
      <w:r>
        <w:t xml:space="preserve">”</w:t>
      </w:r>
      <w:r>
        <w:t xml:space="preserve"> </w:t>
      </w:r>
      <w:r>
        <w:t xml:space="preserve">fields are analytics only.</w:t>
      </w:r>
    </w:p>
    <w:bookmarkEnd w:id="567"/>
    <w:bookmarkStart w:id="568" w:name="Xbd0581f2d7d03c43070987be02a38537fb847de"/>
    <w:p>
      <w:pPr>
        <w:pStyle w:val="Heading3"/>
      </w:pPr>
      <w:r>
        <w:t xml:space="preserve">IP4.5 Centre meeting, cash and cash-in-transit reconciliation</w:t>
      </w:r>
    </w:p>
    <w:p>
      <w:pPr>
        <w:pStyle w:val="FirstParagraph"/>
      </w:pPr>
      <w:r>
        <w:rPr>
          <w:bCs/>
          <w:b/>
        </w:rPr>
        <w:t xml:space="preserve">Meeting states</w:t>
      </w:r>
      <w:r>
        <w:t xml:space="preserve"> </w:t>
      </w:r>
      <w:r>
        <w:t xml:space="preserve">(one record per centre per scheduled date; owner: centre officer, then branch manager):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55"/>
        <w:gridCol w:w="3141"/>
        <w:gridCol w:w="2792"/>
        <w:gridCol w:w="2750"/>
      </w:tblGrid>
      <w:tr>
        <w:trPr>
          <w:tblHeader w:val="true"/>
          <w:tblHeader w:val="true"/>
        </w:trPr>
        <w:tc>
          <w:tcPr>
            <w:tcW w:w="955" w:type="dxa"/>
            <w:shd w:val="clear" w:color="auto" w:fill="1F3A5F"/>
          </w:tcPr>
          <w:p>
            <w:pPr>
              <w:pStyle w:val="Compact"/>
              <w:spacing w:after="40"/>
              <w:jc w:val="left"/>
            </w:pPr>
            <w:r>
              <w:rPr>
                <w:b/>
                <w:color w:val="FFFFFF"/>
                <w:sz w:val="18"/>
              </w:rPr>
              <w:t xml:space="preserve">State</w:t>
            </w:r>
          </w:p>
        </w:tc>
        <w:tc>
          <w:tcPr>
            <w:tcW w:w="3141" w:type="dxa"/>
            <w:shd w:val="clear" w:color="auto" w:fill="1F3A5F"/>
          </w:tcPr>
          <w:p>
            <w:pPr>
              <w:pStyle w:val="Compact"/>
              <w:spacing w:after="40"/>
              <w:jc w:val="left"/>
            </w:pPr>
            <w:r>
              <w:rPr>
                <w:b/>
                <w:color w:val="FFFFFF"/>
                <w:sz w:val="18"/>
              </w:rPr>
              <w:t xml:space="preserve">Entry</w:t>
            </w:r>
          </w:p>
        </w:tc>
        <w:tc>
          <w:tcPr>
            <w:tcW w:w="2792" w:type="dxa"/>
            <w:shd w:val="clear" w:color="auto" w:fill="1F3A5F"/>
          </w:tcPr>
          <w:p>
            <w:pPr>
              <w:pStyle w:val="Compact"/>
              <w:spacing w:after="40"/>
              <w:jc w:val="left"/>
            </w:pPr>
            <w:r>
              <w:rPr>
                <w:b/>
                <w:color w:val="FFFFFF"/>
                <w:sz w:val="18"/>
              </w:rPr>
              <w:t xml:space="preserve">Allowed actions</w:t>
            </w:r>
          </w:p>
        </w:tc>
        <w:tc>
          <w:tcPr>
            <w:tcW w:w="2750" w:type="dxa"/>
            <w:shd w:val="clear" w:color="auto" w:fill="1F3A5F"/>
          </w:tcPr>
          <w:p>
            <w:pPr>
              <w:pStyle w:val="Compact"/>
              <w:spacing w:after="40"/>
              <w:jc w:val="left"/>
            </w:pPr>
            <w:r>
              <w:rPr>
                <w:b/>
                <w:color w:val="FFFFFF"/>
                <w:sz w:val="18"/>
              </w:rPr>
              <w:t xml:space="preserve">Exit and timer</w:t>
            </w:r>
          </w:p>
        </w:tc>
      </w:tr>
      <w:tr>
        <w:tc>
          <w:tcPr>
            <w:tcW w:w="955" w:type="dxa"/>
          </w:tcPr>
          <w:p>
            <w:pPr>
              <w:pStyle w:val="Compact"/>
              <w:spacing w:after="40"/>
              <w:jc w:val="left"/>
            </w:pPr>
            <w:r>
              <w:rPr>
                <w:rStyle w:val="VerbatimChar"/>
                <w:sz w:val="18"/>
              </w:rPr>
              <w:t xml:space="preserve">SCHEDULED</w:t>
            </w:r>
          </w:p>
        </w:tc>
        <w:tc>
          <w:tcPr>
            <w:tcW w:w="3141" w:type="dxa"/>
          </w:tcPr>
          <w:p>
            <w:pPr>
              <w:pStyle w:val="Compact"/>
              <w:spacing w:after="40"/>
              <w:jc w:val="left"/>
            </w:pPr>
            <w:r>
              <w:rPr>
                <w:sz w:val="18"/>
              </w:rPr>
              <w:t xml:space="preserve">Created from the centre calendar 7 days ahead; collection sheet frozen at 00:00 on the meeting day (expected instalment and arrears per member)</w:t>
            </w:r>
          </w:p>
        </w:tc>
        <w:tc>
          <w:tcPr>
            <w:tcW w:w="2792" w:type="dxa"/>
          </w:tcPr>
          <w:p>
            <w:pPr>
              <w:pStyle w:val="Compact"/>
              <w:spacing w:after="40"/>
              <w:jc w:val="left"/>
            </w:pPr>
            <w:r>
              <w:rPr>
                <w:sz w:val="18"/>
              </w:rPr>
              <w:t xml:space="preserve">Reassign officer; reschedule with members’ recorded agreement</w:t>
            </w:r>
          </w:p>
        </w:tc>
        <w:tc>
          <w:tcPr>
            <w:tcW w:w="2750" w:type="dxa"/>
          </w:tcPr>
          <w:p>
            <w:pPr>
              <w:pStyle w:val="Compact"/>
              <w:spacing w:after="40"/>
              <w:jc w:val="left"/>
            </w:pPr>
            <w:r>
              <w:rPr>
                <w:rStyle w:val="VerbatimChar"/>
                <w:sz w:val="18"/>
              </w:rPr>
              <w:t xml:space="preserve">OPENED</w:t>
            </w:r>
            <w:r>
              <w:rPr>
                <w:sz w:val="18"/>
              </w:rPr>
              <w:t xml:space="preserve"> </w:t>
            </w:r>
            <w:r>
              <w:rPr>
                <w:sz w:val="18"/>
              </w:rPr>
              <w:t xml:space="preserve">on check-in;</w:t>
            </w:r>
            <w:r>
              <w:rPr>
                <w:sz w:val="18"/>
              </w:rPr>
              <w:t xml:space="preserve"> </w:t>
            </w:r>
            <w:r>
              <w:rPr>
                <w:rStyle w:val="VerbatimChar"/>
                <w:sz w:val="18"/>
              </w:rPr>
              <w:t xml:space="preserve">NOT_HELD</w:t>
            </w:r>
            <w:r>
              <w:rPr>
                <w:sz w:val="18"/>
              </w:rPr>
              <w:t xml:space="preserve"> </w:t>
            </w:r>
            <w:r>
              <w:rPr>
                <w:sz w:val="18"/>
              </w:rPr>
              <w:t xml:space="preserve">if no check-in by the scheduled time + 2 hours</w:t>
            </w:r>
          </w:p>
        </w:tc>
      </w:tr>
      <w:tr>
        <w:tc>
          <w:tcPr>
            <w:tcW w:w="955" w:type="dxa"/>
          </w:tcPr>
          <w:p>
            <w:pPr>
              <w:pStyle w:val="Compact"/>
              <w:spacing w:after="40"/>
              <w:jc w:val="left"/>
            </w:pPr>
            <w:r>
              <w:rPr>
                <w:rStyle w:val="VerbatimChar"/>
                <w:sz w:val="18"/>
              </w:rPr>
              <w:t xml:space="preserve">OPENED</w:t>
            </w:r>
          </w:p>
        </w:tc>
        <w:tc>
          <w:tcPr>
            <w:tcW w:w="3141" w:type="dxa"/>
          </w:tcPr>
          <w:p>
            <w:pPr>
              <w:pStyle w:val="Compact"/>
              <w:spacing w:after="40"/>
              <w:jc w:val="left"/>
            </w:pPr>
            <w:r>
              <w:rPr>
                <w:sz w:val="18"/>
              </w:rPr>
              <w:t xml:space="preserve">Officer checks in on a bound device within the designated-place geo-fence (default 200 m [REC]); outside it needs a reason and photo</w:t>
            </w:r>
          </w:p>
        </w:tc>
        <w:tc>
          <w:tcPr>
            <w:tcW w:w="2792" w:type="dxa"/>
          </w:tcPr>
          <w:p>
            <w:pPr>
              <w:pStyle w:val="Compact"/>
              <w:spacing w:after="40"/>
              <w:jc w:val="left"/>
            </w:pPr>
            <w:r>
              <w:rPr>
                <w:sz w:val="18"/>
              </w:rPr>
              <w:t xml:space="preserve">Attendance, receipts, loan-card entries, issues; works offline</w:t>
            </w:r>
          </w:p>
        </w:tc>
        <w:tc>
          <w:tcPr>
            <w:tcW w:w="2750" w:type="dxa"/>
          </w:tcPr>
          <w:p>
            <w:pPr>
              <w:pStyle w:val="Compact"/>
              <w:spacing w:after="40"/>
              <w:jc w:val="left"/>
            </w:pPr>
            <w:r>
              <w:rPr>
                <w:rStyle w:val="VerbatimChar"/>
                <w:sz w:val="18"/>
              </w:rPr>
              <w:t xml:space="preserve">CLOSED_IN_FIELD</w:t>
            </w:r>
            <w:r>
              <w:rPr>
                <w:sz w:val="18"/>
              </w:rPr>
              <w:t xml:space="preserve"> </w:t>
            </w:r>
            <w:r>
              <w:rPr>
                <w:sz w:val="18"/>
              </w:rPr>
              <w:t xml:space="preserve">when the officer closes the sheet</w:t>
            </w:r>
          </w:p>
        </w:tc>
      </w:tr>
      <w:tr>
        <w:tc>
          <w:tcPr>
            <w:tcW w:w="955" w:type="dxa"/>
          </w:tcPr>
          <w:p>
            <w:pPr>
              <w:pStyle w:val="Compact"/>
              <w:spacing w:after="40"/>
              <w:jc w:val="left"/>
            </w:pPr>
            <w:r>
              <w:rPr>
                <w:rStyle w:val="VerbatimChar"/>
                <w:sz w:val="18"/>
              </w:rPr>
              <w:t xml:space="preserve">CLOSED_IN_FIELD</w:t>
            </w:r>
          </w:p>
        </w:tc>
        <w:tc>
          <w:tcPr>
            <w:tcW w:w="3141" w:type="dxa"/>
          </w:tcPr>
          <w:p>
            <w:pPr>
              <w:pStyle w:val="Compact"/>
              <w:spacing w:after="40"/>
              <w:jc w:val="left"/>
            </w:pPr>
            <w:r>
              <w:rPr>
                <w:sz w:val="18"/>
              </w:rPr>
              <w:t xml:space="preserve">Sheet totals locked; leader-signed sheet photographed</w:t>
            </w:r>
          </w:p>
        </w:tc>
        <w:tc>
          <w:tcPr>
            <w:tcW w:w="2792" w:type="dxa"/>
          </w:tcPr>
          <w:p>
            <w:pPr>
              <w:pStyle w:val="Compact"/>
              <w:spacing w:after="40"/>
              <w:jc w:val="left"/>
            </w:pPr>
            <w:r>
              <w:rPr>
                <w:sz w:val="18"/>
              </w:rPr>
              <w:t xml:space="preserve">None in the field; receipt cancellation only by a supervisor before handover, with reason</w:t>
            </w:r>
          </w:p>
        </w:tc>
        <w:tc>
          <w:tcPr>
            <w:tcW w:w="2750" w:type="dxa"/>
          </w:tcPr>
          <w:p>
            <w:pPr>
              <w:pStyle w:val="Compact"/>
              <w:spacing w:after="40"/>
              <w:jc w:val="left"/>
            </w:pPr>
            <w:r>
              <w:rPr>
                <w:rStyle w:val="VerbatimChar"/>
                <w:sz w:val="18"/>
              </w:rPr>
              <w:t xml:space="preserve">SYNCED</w:t>
            </w:r>
            <w:r>
              <w:rPr>
                <w:sz w:val="18"/>
              </w:rPr>
              <w:t xml:space="preserve"> </w:t>
            </w:r>
            <w:r>
              <w:rPr>
                <w:sz w:val="18"/>
              </w:rPr>
              <w:t xml:space="preserve">when every device batch is accepted; unsynced at 20:00 IST → escalation to the branch manager; at 24 hours → incident</w:t>
            </w:r>
          </w:p>
        </w:tc>
      </w:tr>
      <w:tr>
        <w:tc>
          <w:tcPr>
            <w:tcW w:w="955" w:type="dxa"/>
          </w:tcPr>
          <w:p>
            <w:pPr>
              <w:pStyle w:val="Compact"/>
              <w:spacing w:after="40"/>
              <w:jc w:val="left"/>
            </w:pPr>
            <w:r>
              <w:rPr>
                <w:rStyle w:val="VerbatimChar"/>
                <w:sz w:val="18"/>
              </w:rPr>
              <w:t xml:space="preserve">SYNCED</w:t>
            </w:r>
          </w:p>
        </w:tc>
        <w:tc>
          <w:tcPr>
            <w:tcW w:w="3141" w:type="dxa"/>
          </w:tcPr>
          <w:p>
            <w:pPr>
              <w:pStyle w:val="Compact"/>
              <w:spacing w:after="40"/>
              <w:jc w:val="left"/>
            </w:pPr>
            <w:r>
              <w:rPr>
                <w:sz w:val="18"/>
              </w:rPr>
              <w:t xml:space="preserve">Batches verified (device signature, hash chain, serial continuity, clock drift ≤ 5 minutes), or a</w:t>
            </w:r>
            <w:r>
              <w:rPr>
                <w:sz w:val="18"/>
              </w:rPr>
              <w:t xml:space="preserve"> </w:t>
            </w:r>
            <w:r>
              <w:rPr>
                <w:rStyle w:val="VerbatimChar"/>
                <w:sz w:val="18"/>
              </w:rPr>
              <w:t xml:space="preserve">CentreMeetingHeld</w:t>
            </w:r>
            <w:r>
              <w:rPr>
                <w:sz w:val="18"/>
              </w:rPr>
              <w:t xml:space="preserve"> </w:t>
            </w:r>
            <w:r>
              <w:rPr>
                <w:sz w:val="18"/>
              </w:rPr>
              <w:t xml:space="preserve">received from Udofin (</w:t>
            </w:r>
            <w:r>
              <w:rPr>
                <w:rStyle w:val="VerbatimChar"/>
                <w:sz w:val="18"/>
              </w:rPr>
              <w:t xml:space="preserve">closing_system = UDOFIN</w:t>
            </w:r>
            <w:r>
              <w:rPr>
                <w:sz w:val="18"/>
              </w:rPr>
              <w:t xml:space="preserve">)</w:t>
            </w:r>
          </w:p>
        </w:tc>
        <w:tc>
          <w:tcPr>
            <w:tcW w:w="2792" w:type="dxa"/>
          </w:tcPr>
          <w:p>
            <w:pPr>
              <w:pStyle w:val="Compact"/>
              <w:spacing w:after="40"/>
              <w:jc w:val="left"/>
            </w:pPr>
            <w:r>
              <w:rPr>
                <w:sz w:val="18"/>
              </w:rPr>
              <w:t xml:space="preserve">Conflict review: field wins for attendance and receipts, server wins for loan master data, every conflict logged</w:t>
            </w:r>
          </w:p>
        </w:tc>
        <w:tc>
          <w:tcPr>
            <w:tcW w:w="2750" w:type="dxa"/>
          </w:tcPr>
          <w:p>
            <w:pPr>
              <w:pStyle w:val="Compact"/>
              <w:spacing w:after="40"/>
              <w:jc w:val="left"/>
            </w:pPr>
            <w:r>
              <w:rPr>
                <w:rStyle w:val="VerbatimChar"/>
                <w:sz w:val="18"/>
              </w:rPr>
              <w:t xml:space="preserve">RECONCILED</w:t>
            </w:r>
            <w:r>
              <w:rPr>
                <w:sz w:val="18"/>
              </w:rPr>
              <w:t xml:space="preserve"> </w:t>
            </w:r>
            <w:r>
              <w:rPr>
                <w:sz w:val="18"/>
              </w:rPr>
              <w:t xml:space="preserve">when shortfall and variance are computed and assigned</w:t>
            </w:r>
          </w:p>
        </w:tc>
      </w:tr>
      <w:tr>
        <w:tc>
          <w:tcPr>
            <w:tcW w:w="955" w:type="dxa"/>
          </w:tcPr>
          <w:p>
            <w:pPr>
              <w:pStyle w:val="Compact"/>
              <w:spacing w:after="40"/>
              <w:jc w:val="left"/>
            </w:pPr>
            <w:r>
              <w:rPr>
                <w:rStyle w:val="VerbatimChar"/>
                <w:sz w:val="18"/>
              </w:rPr>
              <w:t xml:space="preserve">RECONCILED</w:t>
            </w:r>
          </w:p>
        </w:tc>
        <w:tc>
          <w:tcPr>
            <w:tcW w:w="3141" w:type="dxa"/>
          </w:tcPr>
          <w:p>
            <w:pPr>
              <w:pStyle w:val="Compact"/>
              <w:spacing w:after="40"/>
              <w:jc w:val="left"/>
            </w:pPr>
            <w:r>
              <w:rPr>
                <w:rStyle w:val="VerbatimChar"/>
                <w:sz w:val="18"/>
              </w:rPr>
              <w:t xml:space="preserve">collection_shortfall</w:t>
            </w:r>
            <w:r>
              <w:rPr>
                <w:sz w:val="18"/>
              </w:rPr>
              <w:t xml:space="preserve"> </w:t>
            </w:r>
            <w:r>
              <w:rPr>
                <w:sz w:val="18"/>
              </w:rPr>
              <w:t xml:space="preserve">and</w:t>
            </w:r>
            <w:r>
              <w:rPr>
                <w:sz w:val="18"/>
              </w:rPr>
              <w:t xml:space="preserve"> </w:t>
            </w:r>
            <w:r>
              <w:rPr>
                <w:rStyle w:val="VerbatimChar"/>
                <w:sz w:val="18"/>
              </w:rPr>
              <w:t xml:space="preserve">cash_variance</w:t>
            </w:r>
            <w:r>
              <w:rPr>
                <w:sz w:val="18"/>
              </w:rPr>
              <w:t xml:space="preserve"> </w:t>
            </w:r>
            <w:r>
              <w:rPr>
                <w:sz w:val="18"/>
              </w:rPr>
              <w:t xml:space="preserve">computed</w:t>
            </w:r>
          </w:p>
        </w:tc>
        <w:tc>
          <w:tcPr>
            <w:tcW w:w="2792" w:type="dxa"/>
          </w:tcPr>
          <w:p>
            <w:pPr>
              <w:pStyle w:val="Compact"/>
              <w:spacing w:after="40"/>
              <w:jc w:val="left"/>
            </w:pPr>
            <w:r>
              <w:rPr>
                <w:sz w:val="18"/>
              </w:rPr>
              <w:t xml:space="preserve">Handover, bank deposit, variance review</w:t>
            </w:r>
          </w:p>
        </w:tc>
        <w:tc>
          <w:tcPr>
            <w:tcW w:w="2750" w:type="dxa"/>
          </w:tcPr>
          <w:p>
            <w:pPr>
              <w:pStyle w:val="Compact"/>
              <w:spacing w:after="40"/>
              <w:jc w:val="left"/>
            </w:pPr>
            <w:r>
              <w:rPr>
                <w:rStyle w:val="VerbatimChar"/>
                <w:sz w:val="18"/>
              </w:rPr>
              <w:t xml:space="preserve">POSTED</w:t>
            </w:r>
            <w:r>
              <w:rPr>
                <w:sz w:val="18"/>
              </w:rPr>
              <w:t xml:space="preserve"> </w:t>
            </w:r>
            <w:r>
              <w:rPr>
                <w:sz w:val="18"/>
              </w:rPr>
              <w:t xml:space="preserve">after postings;</w:t>
            </w:r>
            <w:r>
              <w:rPr>
                <w:sz w:val="18"/>
              </w:rPr>
              <w:t xml:space="preserve"> </w:t>
            </w:r>
            <w:r>
              <w:rPr>
                <w:rStyle w:val="VerbatimChar"/>
                <w:sz w:val="18"/>
              </w:rPr>
              <w:t xml:space="preserve">VARIANCE_OPEN</w:t>
            </w:r>
            <w:r>
              <w:rPr>
                <w:sz w:val="18"/>
              </w:rPr>
              <w:t xml:space="preserve"> </w:t>
            </w:r>
            <w:r>
              <w:rPr>
                <w:sz w:val="18"/>
              </w:rPr>
              <w:t xml:space="preserve">if cash variance ≠ 0</w:t>
            </w:r>
          </w:p>
        </w:tc>
      </w:tr>
      <w:tr>
        <w:tc>
          <w:tcPr>
            <w:tcW w:w="955" w:type="dxa"/>
          </w:tcPr>
          <w:p>
            <w:pPr>
              <w:pStyle w:val="Compact"/>
              <w:spacing w:after="40"/>
              <w:jc w:val="left"/>
            </w:pPr>
            <w:r>
              <w:rPr>
                <w:rStyle w:val="VerbatimChar"/>
                <w:sz w:val="18"/>
              </w:rPr>
              <w:t xml:space="preserve">VARIANCE_OPEN</w:t>
            </w:r>
          </w:p>
        </w:tc>
        <w:tc>
          <w:tcPr>
            <w:tcW w:w="3141" w:type="dxa"/>
          </w:tcPr>
          <w:p>
            <w:pPr>
              <w:pStyle w:val="Compact"/>
              <w:spacing w:after="40"/>
              <w:jc w:val="left"/>
            </w:pPr>
            <w:r>
              <w:rPr>
                <w:sz w:val="18"/>
              </w:rPr>
              <w:t xml:space="preserve">Non-zero cash variance</w:t>
            </w:r>
          </w:p>
        </w:tc>
        <w:tc>
          <w:tcPr>
            <w:tcW w:w="2792" w:type="dxa"/>
          </w:tcPr>
          <w:p>
            <w:pPr>
              <w:pStyle w:val="Compact"/>
              <w:spacing w:after="40"/>
              <w:jc w:val="left"/>
            </w:pPr>
            <w:r>
              <w:rPr>
                <w:sz w:val="18"/>
              </w:rPr>
              <w:t xml:space="preserve">Independent reviewer investigates; recovery from the officer only through HR process, never from members</w:t>
            </w:r>
          </w:p>
        </w:tc>
        <w:tc>
          <w:tcPr>
            <w:tcW w:w="2750" w:type="dxa"/>
          </w:tcPr>
          <w:p>
            <w:pPr>
              <w:pStyle w:val="Compact"/>
              <w:spacing w:after="40"/>
              <w:jc w:val="left"/>
            </w:pPr>
            <w:r>
              <w:rPr>
                <w:rStyle w:val="VerbatimChar"/>
                <w:sz w:val="18"/>
              </w:rPr>
              <w:t xml:space="preserve">POSTED</w:t>
            </w:r>
            <w:r>
              <w:rPr>
                <w:sz w:val="18"/>
              </w:rPr>
              <w:t xml:space="preserve"> </w:t>
            </w:r>
            <w:r>
              <w:rPr>
                <w:sz w:val="18"/>
              </w:rPr>
              <w:t xml:space="preserve">with closure evidence</w:t>
            </w:r>
          </w:p>
        </w:tc>
      </w:tr>
      <w:tr>
        <w:tc>
          <w:tcPr>
            <w:tcW w:w="955" w:type="dxa"/>
          </w:tcPr>
          <w:p>
            <w:pPr>
              <w:pStyle w:val="Compact"/>
              <w:spacing w:after="40"/>
              <w:jc w:val="left"/>
            </w:pPr>
            <w:r>
              <w:rPr>
                <w:rStyle w:val="VerbatimChar"/>
                <w:sz w:val="18"/>
              </w:rPr>
              <w:t xml:space="preserve">POSTED</w:t>
            </w:r>
          </w:p>
        </w:tc>
        <w:tc>
          <w:tcPr>
            <w:tcW w:w="3141" w:type="dxa"/>
          </w:tcPr>
          <w:p>
            <w:pPr>
              <w:pStyle w:val="Compact"/>
              <w:spacing w:after="40"/>
              <w:jc w:val="left"/>
            </w:pPr>
            <w:r>
              <w:rPr>
                <w:sz w:val="18"/>
              </w:rPr>
              <w:t xml:space="preserve">Loan postings done (same day [REC, mirroring CF para 10(5)]);</w:t>
            </w:r>
            <w:r>
              <w:rPr>
                <w:sz w:val="18"/>
              </w:rPr>
              <w:t xml:space="preserve"> </w:t>
            </w:r>
            <w:r>
              <w:rPr>
                <w:rStyle w:val="VerbatimChar"/>
                <w:sz w:val="18"/>
              </w:rPr>
              <w:t xml:space="preserve">GroupCollectionPosted</w:t>
            </w:r>
            <w:r>
              <w:rPr>
                <w:sz w:val="18"/>
              </w:rPr>
              <w:t xml:space="preserve"> </w:t>
            </w:r>
            <w:r>
              <w:rPr>
                <w:sz w:val="18"/>
              </w:rPr>
              <w:t xml:space="preserve">and, if closed in Finbyx,</w:t>
            </w:r>
            <w:r>
              <w:rPr>
                <w:sz w:val="18"/>
              </w:rPr>
              <w:t xml:space="preserve"> </w:t>
            </w:r>
            <w:r>
              <w:rPr>
                <w:rStyle w:val="VerbatimChar"/>
                <w:sz w:val="18"/>
              </w:rPr>
              <w:t xml:space="preserve">CentreMeetingHeld</w:t>
            </w:r>
            <w:r>
              <w:rPr>
                <w:sz w:val="18"/>
              </w:rPr>
              <w:t xml:space="preserve"> </w:t>
            </w:r>
            <w:r>
              <w:rPr>
                <w:sz w:val="18"/>
              </w:rPr>
              <w:t xml:space="preserve">emitted</w:t>
            </w:r>
          </w:p>
        </w:tc>
        <w:tc>
          <w:tcPr>
            <w:tcW w:w="2792" w:type="dxa"/>
          </w:tcPr>
          <w:p>
            <w:pPr>
              <w:pStyle w:val="Compact"/>
              <w:spacing w:after="40"/>
              <w:jc w:val="left"/>
            </w:pPr>
            <w:r>
              <w:rPr>
                <w:sz w:val="18"/>
              </w:rPr>
              <w:t xml:space="preserve">Reversal only by journal with reason and checker</w:t>
            </w:r>
          </w:p>
        </w:tc>
        <w:tc>
          <w:tcPr>
            <w:tcW w:w="2750" w:type="dxa"/>
          </w:tcPr>
          <w:p>
            <w:pPr>
              <w:pStyle w:val="Compact"/>
              <w:spacing w:after="40"/>
              <w:jc w:val="left"/>
            </w:pPr>
            <w:r>
              <w:rPr>
                <w:rStyle w:val="VerbatimChar"/>
                <w:sz w:val="18"/>
              </w:rPr>
              <w:t xml:space="preserve">CLOSED</w:t>
            </w:r>
          </w:p>
        </w:tc>
      </w:tr>
      <w:tr>
        <w:tc>
          <w:tcPr>
            <w:tcW w:w="955" w:type="dxa"/>
          </w:tcPr>
          <w:p>
            <w:pPr>
              <w:pStyle w:val="Compact"/>
              <w:spacing w:after="40"/>
              <w:jc w:val="left"/>
            </w:pPr>
            <w:r>
              <w:rPr>
                <w:rStyle w:val="VerbatimChar"/>
                <w:sz w:val="18"/>
              </w:rPr>
              <w:t xml:space="preserve">NOT_HELD</w:t>
            </w:r>
          </w:p>
        </w:tc>
        <w:tc>
          <w:tcPr>
            <w:tcW w:w="3141" w:type="dxa"/>
          </w:tcPr>
          <w:p>
            <w:pPr>
              <w:pStyle w:val="Compact"/>
              <w:spacing w:after="40"/>
              <w:jc w:val="left"/>
            </w:pPr>
            <w:r>
              <w:rPr>
                <w:sz w:val="18"/>
              </w:rPr>
              <w:t xml:space="preserve">No meeting</w:t>
            </w:r>
          </w:p>
        </w:tc>
        <w:tc>
          <w:tcPr>
            <w:tcW w:w="2792" w:type="dxa"/>
          </w:tcPr>
          <w:p>
            <w:pPr>
              <w:pStyle w:val="Compact"/>
              <w:spacing w:after="40"/>
              <w:jc w:val="left"/>
            </w:pPr>
            <w:r>
              <w:rPr>
                <w:sz w:val="18"/>
              </w:rPr>
              <w:t xml:space="preserve">Reason (weather, holiday, members absent, officer absent); reschedule; a</w:t>
            </w:r>
            <w:r>
              <w:rPr>
                <w:sz w:val="18"/>
              </w:rPr>
              <w:t xml:space="preserve"> </w:t>
            </w:r>
            <w:r>
              <w:rPr>
                <w:rStyle w:val="VerbatimChar"/>
                <w:sz w:val="18"/>
              </w:rPr>
              <w:t xml:space="preserve">NOT_HELD</w:t>
            </w:r>
            <w:r>
              <w:rPr>
                <w:sz w:val="18"/>
              </w:rPr>
              <w:t xml:space="preserve"> </w:t>
            </w:r>
            <w:r>
              <w:rPr>
                <w:sz w:val="18"/>
              </w:rPr>
              <w:t xml:space="preserve">date never counts as a member’s non-appearance</w:t>
            </w:r>
          </w:p>
        </w:tc>
        <w:tc>
          <w:tcPr>
            <w:tcW w:w="2750" w:type="dxa"/>
          </w:tcPr>
          <w:p>
            <w:pPr>
              <w:pStyle w:val="Compact"/>
              <w:spacing w:after="40"/>
              <w:jc w:val="left"/>
            </w:pPr>
            <w:r>
              <w:rPr>
                <w:rStyle w:val="VerbatimChar"/>
                <w:sz w:val="18"/>
              </w:rPr>
              <w:t xml:space="preserve">SCHEDULED</w:t>
            </w:r>
            <w:r>
              <w:rPr>
                <w:sz w:val="18"/>
              </w:rPr>
              <w:t xml:space="preserve"> </w:t>
            </w:r>
            <w:r>
              <w:rPr>
                <w:sz w:val="18"/>
              </w:rPr>
              <w:t xml:space="preserve">(new date)</w:t>
            </w:r>
          </w:p>
        </w:tc>
      </w:tr>
    </w:tbl>
    <w:p>
      <w:pPr>
        <w:pStyle w:val="BodyText"/>
      </w:pPr>
      <w:r>
        <w:rPr>
          <w:bCs/>
          <w:b/>
        </w:rPr>
        <w:t xml:space="preserve">Postings and controls:</w:t>
      </w:r>
    </w:p>
    <w:p>
      <w:pPr>
        <w:numPr>
          <w:ilvl w:val="0"/>
          <w:numId w:val="1482"/>
        </w:numPr>
        <w:pStyle w:val="Compact"/>
      </w:pPr>
      <w:r>
        <w:t xml:space="preserve">Field receipts (M22): device-signed, hash-chained serial, payer, amount, mode (UPI, cash), time, geo-tag, photo of the leader-signed sheet; instant DLT receipt to the member; offline store encrypted, scoped to the day’s centres and purged after sync.</w:t>
      </w:r>
    </w:p>
    <w:p>
      <w:pPr>
        <w:numPr>
          <w:ilvl w:val="0"/>
          <w:numId w:val="1482"/>
        </w:numPr>
        <w:pStyle w:val="Compact"/>
      </w:pPr>
      <w:r>
        <w:t xml:space="preserve">On sync: Dr Cash-in-transit (officer) / Cr Loan; duplicates rejected by</w:t>
      </w:r>
      <w:r>
        <w:t xml:space="preserve"> </w:t>
      </w:r>
      <w:r>
        <w:rPr>
          <w:rStyle w:val="VerbatimChar"/>
        </w:rPr>
        <w:t xml:space="preserve">(device_id, serial)</w:t>
      </w:r>
      <w:r>
        <w:t xml:space="preserve">.</w:t>
      </w:r>
    </w:p>
    <w:p>
      <w:pPr>
        <w:numPr>
          <w:ilvl w:val="0"/>
          <w:numId w:val="1482"/>
        </w:numPr>
        <w:pStyle w:val="Compact"/>
      </w:pPr>
      <w:r>
        <w:t xml:space="preserve">Handover with dual sign-off: Dr Branch cash / Cr Cash-in-transit.</w:t>
      </w:r>
      <w:r>
        <w:t xml:space="preserve"> </w:t>
      </w:r>
      <w:r>
        <w:rPr>
          <w:rStyle w:val="VerbatimChar"/>
        </w:rPr>
        <w:t xml:space="preserve">collection_shortfall = expected − receipted</w:t>
      </w:r>
      <w:r>
        <w:t xml:space="preserve"> </w:t>
      </w:r>
      <w:r>
        <w:t xml:space="preserve">(overdue on named members) is kept apart from</w:t>
      </w:r>
      <w:r>
        <w:t xml:space="preserve"> </w:t>
      </w:r>
      <w:r>
        <w:rPr>
          <w:rStyle w:val="VerbatimChar"/>
        </w:rPr>
        <w:t xml:space="preserve">cash_variance = receipted − handed_over</w:t>
      </w:r>
      <w:r>
        <w:t xml:space="preserve">; any non-zero cash variance is an exception closable only by an independent reviewer.</w:t>
      </w:r>
    </w:p>
    <w:p>
      <w:pPr>
        <w:numPr>
          <w:ilvl w:val="0"/>
          <w:numId w:val="1482"/>
        </w:numPr>
        <w:pStyle w:val="Compact"/>
      </w:pPr>
      <w:r>
        <w:t xml:space="preserve">Bank deposit: Dr Bank / Cr Branch cash, matched to the statement (M7); undeposited branch cash beyond the next business day raises an alert.</w:t>
      </w:r>
    </w:p>
    <w:p>
      <w:pPr>
        <w:numPr>
          <w:ilvl w:val="0"/>
          <w:numId w:val="1482"/>
        </w:numPr>
        <w:pStyle w:val="Compact"/>
      </w:pPr>
      <w:r>
        <w:rPr>
          <w:bCs/>
          <w:b/>
        </w:rPr>
        <w:t xml:space="preserve">UPI by default:</w:t>
      </w:r>
      <w:r>
        <w:t xml:space="preserve"> </w:t>
      </w:r>
      <w:r>
        <w:t xml:space="preserve">dynamic QR per member per instalment on the lender’s merchant account; reference = loan ID + instalment; webhook auto-post; unmatched to suspense, cleared in 2 working days [REC]. Money never passes through Udofin.</w:t>
      </w:r>
    </w:p>
    <w:p>
      <w:pPr>
        <w:numPr>
          <w:ilvl w:val="0"/>
          <w:numId w:val="1482"/>
        </w:numPr>
        <w:pStyle w:val="Compact"/>
      </w:pPr>
      <w:r>
        <w:rPr>
          <w:bCs/>
          <w:b/>
        </w:rPr>
        <w:t xml:space="preserve">Loans sourced through Udofin or another LSP’s DLA (GR-7G-14):</w:t>
      </w:r>
      <w:r>
        <w:t xml:space="preserve"> </w:t>
      </w:r>
      <w:r>
        <w:t xml:space="preserve">UPI QR is the only collection mode for regular instalments unless the RE has recorded a legal opinion allowing its own staff to collect cash at centre meetings for that product (CF paras 10(2), 10(5)); the cash option is hidden on the collection sheet until then. Udofin staff appear as collectors only as the RE’s appointed recovery agent on overdue loans (Udofin UR4).</w:t>
      </w:r>
    </w:p>
    <w:p>
      <w:pPr>
        <w:numPr>
          <w:ilvl w:val="0"/>
          <w:numId w:val="1482"/>
        </w:numPr>
        <w:pStyle w:val="Compact"/>
      </w:pPr>
      <w:r>
        <w:t xml:space="preserve">Controls: officer cash limits, route rotation, surprise counts, centre-officer rotation at least yearly [REC], no cash disbursal by default, Income-tax Act 2025 cash limits [VERIFY].</w:t>
      </w:r>
    </w:p>
    <w:bookmarkEnd w:id="568"/>
    <w:bookmarkStart w:id="569" w:name="ip4.6-shg-lifecycle"/>
    <w:p>
      <w:pPr>
        <w:pStyle w:val="Heading3"/>
      </w:pPr>
      <w:r>
        <w:t xml:space="preserve">IP4.6 SHG lifecycle</w:t>
      </w:r>
    </w:p>
    <w:p>
      <w:pPr>
        <w:numPr>
          <w:ilvl w:val="0"/>
          <w:numId w:val="1483"/>
        </w:numPr>
        <w:pStyle w:val="Compact"/>
      </w:pPr>
      <w:r>
        <w:t xml:space="preserve">SHG master: 10–20 members [VERIFY DAY-NRLM]; bank account; office bearers; meeting, savings and internal-lending registers; promoting institution.</w:t>
      </w:r>
    </w:p>
    <w:p>
      <w:pPr>
        <w:numPr>
          <w:ilvl w:val="0"/>
          <w:numId w:val="1483"/>
        </w:numPr>
        <w:pStyle w:val="Compact"/>
      </w:pPr>
      <w:r>
        <w:t xml:space="preserve">States:</w:t>
      </w:r>
      <w:r>
        <w:t xml:space="preserve"> </w:t>
      </w:r>
      <w:r>
        <w:rPr>
          <w:rStyle w:val="VerbatimChar"/>
        </w:rPr>
        <w:t xml:space="preserve">FORMED → SAVING → GRADED → LINKAGE_APPROVED → LINKED → ACTIVE → CLOSED</w:t>
      </w:r>
      <w:r>
        <w:t xml:space="preserve">; minimum saving period per pack [VERIFY].</w:t>
      </w:r>
    </w:p>
    <w:p>
      <w:pPr>
        <w:numPr>
          <w:ilvl w:val="0"/>
          <w:numId w:val="1483"/>
        </w:numPr>
        <w:pStyle w:val="Compact"/>
      </w:pPr>
      <w:r>
        <w:t xml:space="preserve">Grading on Panchasutra parameters (meetings, savings, internal lending, repayment, books) [VERIFY format]; minimum grade for linkage; loan sized by corpus multiple or micro-credit plan [VERIFY]; member-wise attribution at sanction and disbursal.</w:t>
      </w:r>
    </w:p>
    <w:p>
      <w:pPr>
        <w:numPr>
          <w:ilvl w:val="0"/>
          <w:numId w:val="1483"/>
        </w:numPr>
        <w:pStyle w:val="Compact"/>
      </w:pPr>
      <w:r>
        <w:t xml:space="preserve">Attributed amounts are tested under the household cap [REC; VERIFY RBI treatment of SHG loans under CF para 51]. Optional SHG book-keeping service with exportable registers.</w:t>
      </w:r>
    </w:p>
    <w:bookmarkEnd w:id="569"/>
    <w:bookmarkStart w:id="570" w:name="ip4.7-bureau-rules"/>
    <w:p>
      <w:pPr>
        <w:pStyle w:val="Heading3"/>
      </w:pPr>
      <w:r>
        <w:t xml:space="preserve">IP4.7 Bureau rules</w:t>
      </w:r>
    </w:p>
    <w:p>
      <w:pPr>
        <w:pStyle w:val="FirstParagraph"/>
      </w:pPr>
      <w:r>
        <w:t xml:space="preserve">Microfinance accounts go only to the MFI file (UCRF MFI v3.3.1), never also to consumer (7B RR6); group → consumer → account; separate SHG and JLG-plus-individual files; account types JLG-Individual, JLG-Group, Individual, SHG-Individual, SHG-Group (CIR Annex I Form 3); SHG member data per CIR para 13: Table 1 where the amount attributed to a member exceeds ₹30,000, Table 2 up to ₹30,000, both reported as Table 3 inside Form 3, collected for members of SHGs whose loans exceed ₹1,00,000 (para 13(3)(ii)). The 1 Jul 2026 regulatory cadence (9th, 16th, 23rd, month-end) is the floor; MFIN daily submission is the overlay.</w:t>
      </w:r>
    </w:p>
    <w:bookmarkEnd w:id="570"/>
    <w:bookmarkStart w:id="571" w:name="Xa44d23013c671d6e7698fd193c07d9036085f9f"/>
    <w:p>
      <w:pPr>
        <w:pStyle w:val="Heading3"/>
      </w:pPr>
      <w:r>
        <w:t xml:space="preserve">IP4.8 Conduct, State overlays, death claims</w:t>
      </w:r>
    </w:p>
    <w:p>
      <w:pPr>
        <w:numPr>
          <w:ilvl w:val="0"/>
          <w:numId w:val="1484"/>
        </w:numPr>
        <w:pStyle w:val="Compact"/>
      </w:pPr>
      <w:r>
        <w:rPr>
          <w:bCs/>
          <w:b/>
        </w:rPr>
        <w:t xml:space="preserve">Conduct (Product 11; RBC paras 76–94 until 31 Dec 2026):</w:t>
      </w:r>
      <w:r>
        <w:t xml:space="preserve"> </w:t>
      </w:r>
      <w:r>
        <w:t xml:space="preserve">designated place; home or workplace only after 2 successive non-appearances (para 90), counted from meeting records (</w:t>
      </w:r>
      <w:r>
        <w:rPr>
          <w:rStyle w:val="VerbatimChar"/>
        </w:rPr>
        <w:t xml:space="preserve">NOT_HELD</w:t>
      </w:r>
      <w:r>
        <w:t xml:space="preserve"> </w:t>
      </w:r>
      <w:r>
        <w:t xml:space="preserve">dates excluded); calls 09:00–18:00 (para 91(2)); no prepayment charge, delay charge only on the overdue amount (para 81); police-verified agents (para 94).</w:t>
      </w:r>
      <w:r>
        <w:t xml:space="preserve"> </w:t>
      </w:r>
      <w:r>
        <w:rPr>
          <w:bCs/>
          <w:b/>
        </w:rPr>
        <w:t xml:space="preserve">From 1 Jan 2027</w:t>
      </w:r>
      <w:r>
        <w:t xml:space="preserve"> </w:t>
      </w:r>
      <w:r>
        <w:t xml:space="preserve">the contact engine (R15.1) switches to the RBC Third Amendment pack (RBI/2026-27/230: paras 89–100 deleted; para 100Y(5) and (7) for visits and centre collection; para 100Y(4) window) [VERIFY: whether a separate microfinance window survives]; a tenant may keep 09:00–18:00 as an L4 tightening (default on [REC]).</w:t>
      </w:r>
    </w:p>
    <w:p>
      <w:pPr>
        <w:numPr>
          <w:ilvl w:val="0"/>
          <w:numId w:val="1484"/>
        </w:numPr>
        <w:pStyle w:val="Compact"/>
      </w:pPr>
      <w:r>
        <w:rPr>
          <w:bCs/>
          <w:b/>
        </w:rPr>
        <w:t xml:space="preserve">State overlays:</w:t>
      </w:r>
      <w:r>
        <w:t xml:space="preserve"> </w:t>
      </w:r>
      <w:r>
        <w:t xml:space="preserve">KA15 (NBFCs exempt from registration), TN40 s.20 (binds NBFCs and co-operatives), Andhra Pradesh 2011 and Assam 2020 Acts [VERIFY]; State checklist on every field event; coercion complaint suspends the agent.</w:t>
      </w:r>
    </w:p>
    <w:p>
      <w:pPr>
        <w:numPr>
          <w:ilvl w:val="0"/>
          <w:numId w:val="1484"/>
        </w:numPr>
        <w:pStyle w:val="Compact"/>
      </w:pPr>
      <w:r>
        <w:rPr>
          <w:bCs/>
          <w:b/>
        </w:rPr>
        <w:t xml:space="preserve">Death:</w:t>
      </w:r>
      <w:r>
        <w:t xml:space="preserve"> </w:t>
      </w:r>
      <w:r>
        <w:rPr>
          <w:rStyle w:val="VerbatimChar"/>
        </w:rPr>
        <w:t xml:space="preserve">DEATH_INTIMATED → DEMAND_STOPPED (same business day) → DOCUMENTS_COLLECTED → CLAIM_LODGED → SETTLED | REPUDIATED → APPLIED_TO_LOAN → EXCESS_REFUNDED → CLOSED</w:t>
      </w:r>
      <w:r>
        <w:t xml:space="preserve">. Claim lodged within 15 days [REC]; excess to the nominee within 7 working days of receipt [REC]; repudiation goes to management review (waiver or write-off); no demand on co-members; credit-life, PMJJBY or PMSBY terms per policy [VERIFY].</w:t>
      </w:r>
    </w:p>
    <w:bookmarkEnd w:id="571"/>
    <w:bookmarkStart w:id="572" w:name="ip4.9-portfolio-monitors"/>
    <w:p>
      <w:pPr>
        <w:pStyle w:val="Heading3"/>
      </w:pPr>
      <w:r>
        <w:t xml:space="preserve">IP4.9 Portfolio monitors</w:t>
      </w:r>
    </w:p>
    <w:p>
      <w:pPr>
        <w:pStyle w:val="FirstParagraph"/>
      </w:pPr>
      <w:r>
        <w:t xml:space="preserve">Reuses ratios R47 (qualifying assets ≥ 60%, 4-quarter counter, channelising book excluded) and R48 (non-MFI ≤ 25%, pre-sanction gate) from Part 7E RK6. Adds State and district limits (MFI para 10), centre PAR and attendance heat-maps, officer cash variance, pricing-ceiling compliance (CF paras 60–61; RBC para 82) and guardrail breach counts.</w:t>
      </w:r>
    </w:p>
    <w:bookmarkEnd w:id="572"/>
    <w:bookmarkStart w:id="573" w:name="settings-and-options-18"/>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01"/>
        <w:gridCol w:w="1207"/>
        <w:gridCol w:w="3013"/>
        <w:gridCol w:w="3117"/>
      </w:tblGrid>
      <w:tr>
        <w:trPr>
          <w:tblHeader w:val="true"/>
          <w:tblHeader w:val="true"/>
        </w:trPr>
        <w:tc>
          <w:tcPr>
            <w:tcW w:w="2301" w:type="dxa"/>
            <w:shd w:val="clear" w:color="auto" w:fill="1F3A5F"/>
          </w:tcPr>
          <w:p>
            <w:pPr>
              <w:pStyle w:val="Compact"/>
              <w:spacing w:after="40"/>
              <w:jc w:val="left"/>
            </w:pPr>
            <w:r>
              <w:rPr>
                <w:b/>
                <w:color w:val="FFFFFF"/>
                <w:sz w:val="18"/>
              </w:rPr>
              <w:t xml:space="preserve">Setting</w:t>
            </w:r>
          </w:p>
        </w:tc>
        <w:tc>
          <w:tcPr>
            <w:tcW w:w="1207" w:type="dxa"/>
            <w:shd w:val="clear" w:color="auto" w:fill="1F3A5F"/>
          </w:tcPr>
          <w:p>
            <w:pPr>
              <w:pStyle w:val="Compact"/>
              <w:spacing w:after="40"/>
              <w:jc w:val="left"/>
            </w:pPr>
            <w:r>
              <w:rPr>
                <w:b/>
                <w:color w:val="FFFFFF"/>
                <w:sz w:val="18"/>
              </w:rPr>
              <w:t xml:space="preserve">Level</w:t>
            </w:r>
          </w:p>
        </w:tc>
        <w:tc>
          <w:tcPr>
            <w:tcW w:w="3013" w:type="dxa"/>
            <w:shd w:val="clear" w:color="auto" w:fill="1F3A5F"/>
          </w:tcPr>
          <w:p>
            <w:pPr>
              <w:pStyle w:val="Compact"/>
              <w:spacing w:after="40"/>
              <w:jc w:val="left"/>
            </w:pPr>
            <w:r>
              <w:rPr>
                <w:b/>
                <w:color w:val="FFFFFF"/>
                <w:sz w:val="18"/>
              </w:rPr>
              <w:t xml:space="preserve">Default</w:t>
            </w:r>
          </w:p>
        </w:tc>
        <w:tc>
          <w:tcPr>
            <w:tcW w:w="3117" w:type="dxa"/>
            <w:shd w:val="clear" w:color="auto" w:fill="1F3A5F"/>
          </w:tcPr>
          <w:p>
            <w:pPr>
              <w:pStyle w:val="Compact"/>
              <w:spacing w:after="40"/>
              <w:jc w:val="left"/>
            </w:pPr>
            <w:r>
              <w:rPr>
                <w:b/>
                <w:color w:val="FFFFFF"/>
                <w:sz w:val="18"/>
              </w:rPr>
              <w:t xml:space="preserve">Nature</w:t>
            </w:r>
          </w:p>
        </w:tc>
      </w:tr>
      <w:tr>
        <w:tc>
          <w:tcPr>
            <w:tcW w:w="2301" w:type="dxa"/>
          </w:tcPr>
          <w:p>
            <w:pPr>
              <w:pStyle w:val="Compact"/>
              <w:spacing w:after="40"/>
              <w:jc w:val="left"/>
            </w:pPr>
            <w:r>
              <w:rPr>
                <w:sz w:val="18"/>
              </w:rPr>
              <w:t xml:space="preserve">Household cap</w:t>
            </w:r>
          </w:p>
        </w:tc>
        <w:tc>
          <w:tcPr>
            <w:tcW w:w="1207" w:type="dxa"/>
          </w:tcPr>
          <w:p>
            <w:pPr>
              <w:pStyle w:val="Compact"/>
              <w:spacing w:after="40"/>
              <w:jc w:val="left"/>
            </w:pPr>
            <w:r>
              <w:rPr>
                <w:sz w:val="18"/>
              </w:rPr>
              <w:t xml:space="preserve">Product</w:t>
            </w:r>
          </w:p>
        </w:tc>
        <w:tc>
          <w:tcPr>
            <w:tcW w:w="3013" w:type="dxa"/>
          </w:tcPr>
          <w:p>
            <w:pPr>
              <w:pStyle w:val="Compact"/>
              <w:spacing w:after="40"/>
              <w:jc w:val="left"/>
            </w:pPr>
            <w:r>
              <w:rPr>
                <w:sz w:val="18"/>
              </w:rPr>
              <w:t xml:space="preserve">50%</w:t>
            </w:r>
          </w:p>
        </w:tc>
        <w:tc>
          <w:tcPr>
            <w:tcW w:w="3117" w:type="dxa"/>
          </w:tcPr>
          <w:p>
            <w:pPr>
              <w:pStyle w:val="Compact"/>
              <w:spacing w:after="40"/>
              <w:jc w:val="left"/>
            </w:pPr>
            <w:r>
              <w:rPr>
                <w:sz w:val="18"/>
              </w:rPr>
              <w:t xml:space="preserve">Regulatory ceiling (CF para 55); Board may only lower</w:t>
            </w:r>
          </w:p>
        </w:tc>
      </w:tr>
      <w:tr>
        <w:tc>
          <w:tcPr>
            <w:tcW w:w="2301" w:type="dxa"/>
          </w:tcPr>
          <w:p>
            <w:pPr>
              <w:pStyle w:val="Compact"/>
              <w:spacing w:after="40"/>
              <w:jc w:val="left"/>
            </w:pPr>
            <w:r>
              <w:rPr>
                <w:sz w:val="18"/>
              </w:rPr>
              <w:t xml:space="preserve">MFIN Guardrails 2.0 pack</w:t>
            </w:r>
          </w:p>
        </w:tc>
        <w:tc>
          <w:tcPr>
            <w:tcW w:w="1207" w:type="dxa"/>
          </w:tcPr>
          <w:p>
            <w:pPr>
              <w:pStyle w:val="Compact"/>
              <w:spacing w:after="40"/>
              <w:jc w:val="left"/>
            </w:pPr>
            <w:r>
              <w:rPr>
                <w:sz w:val="18"/>
              </w:rPr>
              <w:t xml:space="preserve">Tenant</w:t>
            </w:r>
          </w:p>
        </w:tc>
        <w:tc>
          <w:tcPr>
            <w:tcW w:w="3013" w:type="dxa"/>
          </w:tcPr>
          <w:p>
            <w:pPr>
              <w:pStyle w:val="Compact"/>
              <w:spacing w:after="40"/>
              <w:jc w:val="left"/>
            </w:pPr>
            <w:r>
              <w:rPr>
                <w:sz w:val="18"/>
              </w:rPr>
              <w:t xml:space="preserve">on for MFIN members</w:t>
            </w:r>
          </w:p>
        </w:tc>
        <w:tc>
          <w:tcPr>
            <w:tcW w:w="3117" w:type="dxa"/>
          </w:tcPr>
          <w:p>
            <w:pPr>
              <w:pStyle w:val="Compact"/>
              <w:spacing w:after="40"/>
              <w:jc w:val="left"/>
            </w:pPr>
            <w:r>
              <w:rPr>
                <w:sz w:val="18"/>
              </w:rPr>
              <w:t xml:space="preserve">SRO code (L2); others may adopt</w:t>
            </w:r>
          </w:p>
        </w:tc>
      </w:tr>
      <w:tr>
        <w:tc>
          <w:tcPr>
            <w:tcW w:w="2301" w:type="dxa"/>
          </w:tcPr>
          <w:p>
            <w:pPr>
              <w:pStyle w:val="Compact"/>
              <w:spacing w:after="40"/>
              <w:jc w:val="left"/>
            </w:pPr>
            <w:r>
              <w:rPr>
                <w:sz w:val="18"/>
              </w:rPr>
              <w:t xml:space="preserve">Group size, centre size</w:t>
            </w:r>
          </w:p>
        </w:tc>
        <w:tc>
          <w:tcPr>
            <w:tcW w:w="1207" w:type="dxa"/>
          </w:tcPr>
          <w:p>
            <w:pPr>
              <w:pStyle w:val="Compact"/>
              <w:spacing w:after="40"/>
              <w:jc w:val="left"/>
            </w:pPr>
            <w:r>
              <w:rPr>
                <w:sz w:val="18"/>
              </w:rPr>
              <w:t xml:space="preserve">Product</w:t>
            </w:r>
          </w:p>
        </w:tc>
        <w:tc>
          <w:tcPr>
            <w:tcW w:w="3013" w:type="dxa"/>
          </w:tcPr>
          <w:p>
            <w:pPr>
              <w:pStyle w:val="Compact"/>
              <w:spacing w:after="40"/>
              <w:jc w:val="left"/>
            </w:pPr>
            <w:r>
              <w:rPr>
                <w:sz w:val="18"/>
              </w:rPr>
              <w:t xml:space="preserve">4–10 members; 2–6 groups</w:t>
            </w:r>
          </w:p>
        </w:tc>
        <w:tc>
          <w:tcPr>
            <w:tcW w:w="3117" w:type="dxa"/>
          </w:tcPr>
          <w:p>
            <w:pPr>
              <w:pStyle w:val="Compact"/>
              <w:spacing w:after="40"/>
              <w:jc w:val="left"/>
            </w:pPr>
            <w:r>
              <w:rPr>
                <w:sz w:val="18"/>
              </w:rPr>
              <w:t xml:space="preserve">Commercial within pack limits</w:t>
            </w:r>
          </w:p>
        </w:tc>
      </w:tr>
      <w:tr>
        <w:tc>
          <w:tcPr>
            <w:tcW w:w="2301" w:type="dxa"/>
          </w:tcPr>
          <w:p>
            <w:pPr>
              <w:pStyle w:val="Compact"/>
              <w:spacing w:after="40"/>
              <w:jc w:val="left"/>
            </w:pPr>
            <w:r>
              <w:rPr>
                <w:sz w:val="18"/>
              </w:rPr>
              <w:t xml:space="preserve">CGT days, GRT supervisor rule</w:t>
            </w:r>
          </w:p>
        </w:tc>
        <w:tc>
          <w:tcPr>
            <w:tcW w:w="1207" w:type="dxa"/>
          </w:tcPr>
          <w:p>
            <w:pPr>
              <w:pStyle w:val="Compact"/>
              <w:spacing w:after="40"/>
              <w:jc w:val="left"/>
            </w:pPr>
            <w:r>
              <w:rPr>
                <w:sz w:val="18"/>
              </w:rPr>
              <w:t xml:space="preserve">Product</w:t>
            </w:r>
          </w:p>
        </w:tc>
        <w:tc>
          <w:tcPr>
            <w:tcW w:w="3013" w:type="dxa"/>
          </w:tcPr>
          <w:p>
            <w:pPr>
              <w:pStyle w:val="Compact"/>
              <w:spacing w:after="40"/>
              <w:jc w:val="left"/>
            </w:pPr>
            <w:r>
              <w:rPr>
                <w:sz w:val="18"/>
              </w:rPr>
              <w:t xml:space="preserve">3 days; GRT by a different supervisor</w:t>
            </w:r>
          </w:p>
        </w:tc>
        <w:tc>
          <w:tcPr>
            <w:tcW w:w="3117" w:type="dxa"/>
          </w:tcPr>
          <w:p>
            <w:pPr>
              <w:pStyle w:val="Compact"/>
              <w:spacing w:after="40"/>
              <w:jc w:val="left"/>
            </w:pPr>
            <w:r>
              <w:rPr>
                <w:sz w:val="18"/>
              </w:rPr>
              <w:t xml:space="preserve">GRT rule fixed</w:t>
            </w:r>
          </w:p>
        </w:tc>
      </w:tr>
      <w:tr>
        <w:tc>
          <w:tcPr>
            <w:tcW w:w="2301" w:type="dxa"/>
          </w:tcPr>
          <w:p>
            <w:pPr>
              <w:pStyle w:val="Compact"/>
              <w:spacing w:after="40"/>
              <w:jc w:val="left"/>
            </w:pPr>
            <w:r>
              <w:rPr>
                <w:sz w:val="18"/>
              </w:rPr>
              <w:t xml:space="preserve">Meeting frequency</w:t>
            </w:r>
          </w:p>
        </w:tc>
        <w:tc>
          <w:tcPr>
            <w:tcW w:w="1207" w:type="dxa"/>
          </w:tcPr>
          <w:p>
            <w:pPr>
              <w:pStyle w:val="Compact"/>
              <w:spacing w:after="40"/>
              <w:jc w:val="left"/>
            </w:pPr>
            <w:r>
              <w:rPr>
                <w:sz w:val="18"/>
              </w:rPr>
              <w:t xml:space="preserve">Centre</w:t>
            </w:r>
          </w:p>
        </w:tc>
        <w:tc>
          <w:tcPr>
            <w:tcW w:w="3013" w:type="dxa"/>
          </w:tcPr>
          <w:p>
            <w:pPr>
              <w:pStyle w:val="Compact"/>
              <w:spacing w:after="40"/>
              <w:jc w:val="left"/>
            </w:pPr>
            <w:r>
              <w:rPr>
                <w:sz w:val="18"/>
              </w:rPr>
              <w:t xml:space="preserve">members’ choice (weekly, fortnightly, monthly)</w:t>
            </w:r>
          </w:p>
        </w:tc>
        <w:tc>
          <w:tcPr>
            <w:tcW w:w="3117" w:type="dxa"/>
          </w:tcPr>
          <w:p>
            <w:pPr>
              <w:pStyle w:val="Compact"/>
              <w:spacing w:after="40"/>
              <w:jc w:val="left"/>
            </w:pPr>
            <w:r>
              <w:rPr>
                <w:sz w:val="18"/>
              </w:rPr>
              <w:t xml:space="preserve">CF para 59</w:t>
            </w:r>
          </w:p>
        </w:tc>
      </w:tr>
      <w:tr>
        <w:tc>
          <w:tcPr>
            <w:tcW w:w="2301" w:type="dxa"/>
          </w:tcPr>
          <w:p>
            <w:pPr>
              <w:pStyle w:val="Compact"/>
              <w:spacing w:after="40"/>
              <w:jc w:val="left"/>
            </w:pPr>
            <w:r>
              <w:rPr>
                <w:sz w:val="18"/>
              </w:rPr>
              <w:t xml:space="preserve">Designated-place geo-fence</w:t>
            </w:r>
          </w:p>
        </w:tc>
        <w:tc>
          <w:tcPr>
            <w:tcW w:w="1207" w:type="dxa"/>
          </w:tcPr>
          <w:p>
            <w:pPr>
              <w:pStyle w:val="Compact"/>
              <w:spacing w:after="40"/>
              <w:jc w:val="left"/>
            </w:pPr>
            <w:r>
              <w:rPr>
                <w:sz w:val="18"/>
              </w:rPr>
              <w:t xml:space="preserve">Centre</w:t>
            </w:r>
          </w:p>
        </w:tc>
        <w:tc>
          <w:tcPr>
            <w:tcW w:w="3013" w:type="dxa"/>
          </w:tcPr>
          <w:p>
            <w:pPr>
              <w:pStyle w:val="Compact"/>
              <w:spacing w:after="40"/>
              <w:jc w:val="left"/>
            </w:pPr>
            <w:r>
              <w:rPr>
                <w:sz w:val="18"/>
              </w:rPr>
              <w:t xml:space="preserve">200 m</w:t>
            </w:r>
          </w:p>
        </w:tc>
        <w:tc>
          <w:tcPr>
            <w:tcW w:w="3117" w:type="dxa"/>
          </w:tcPr>
          <w:p>
            <w:pPr>
              <w:pStyle w:val="Compact"/>
              <w:spacing w:after="40"/>
              <w:jc w:val="left"/>
            </w:pPr>
            <w:r>
              <w:rPr>
                <w:sz w:val="18"/>
              </w:rPr>
              <w:t xml:space="preserve">Commercial</w:t>
            </w:r>
          </w:p>
        </w:tc>
      </w:tr>
      <w:tr>
        <w:tc>
          <w:tcPr>
            <w:tcW w:w="2301" w:type="dxa"/>
          </w:tcPr>
          <w:p>
            <w:pPr>
              <w:pStyle w:val="Compact"/>
              <w:spacing w:after="40"/>
              <w:jc w:val="left"/>
            </w:pPr>
            <w:r>
              <w:rPr>
                <w:sz w:val="18"/>
              </w:rPr>
              <w:t xml:space="preserve">Collection modes</w:t>
            </w:r>
          </w:p>
        </w:tc>
        <w:tc>
          <w:tcPr>
            <w:tcW w:w="1207" w:type="dxa"/>
          </w:tcPr>
          <w:p>
            <w:pPr>
              <w:pStyle w:val="Compact"/>
              <w:spacing w:after="40"/>
              <w:jc w:val="left"/>
            </w:pPr>
            <w:r>
              <w:rPr>
                <w:sz w:val="18"/>
              </w:rPr>
              <w:t xml:space="preserve">Product</w:t>
            </w:r>
          </w:p>
        </w:tc>
        <w:tc>
          <w:tcPr>
            <w:tcW w:w="3013" w:type="dxa"/>
          </w:tcPr>
          <w:p>
            <w:pPr>
              <w:pStyle w:val="Compact"/>
              <w:spacing w:after="40"/>
              <w:jc w:val="left"/>
            </w:pPr>
            <w:r>
              <w:rPr>
                <w:sz w:val="18"/>
              </w:rPr>
              <w:t xml:space="preserve">UPI QR per member first; cash allowed on loans the lender sourced itself</w:t>
            </w:r>
          </w:p>
        </w:tc>
        <w:tc>
          <w:tcPr>
            <w:tcW w:w="3117" w:type="dxa"/>
          </w:tcPr>
          <w:p>
            <w:pPr>
              <w:pStyle w:val="Compact"/>
              <w:spacing w:after="40"/>
              <w:jc w:val="left"/>
            </w:pPr>
            <w:r>
              <w:rPr>
                <w:sz w:val="18"/>
              </w:rPr>
              <w:t xml:space="preserve">Cash off and locked for LSP-sourced loans without the RE’s opinion (GR-7G-14)</w:t>
            </w:r>
          </w:p>
        </w:tc>
      </w:tr>
      <w:tr>
        <w:tc>
          <w:tcPr>
            <w:tcW w:w="2301" w:type="dxa"/>
          </w:tcPr>
          <w:p>
            <w:pPr>
              <w:pStyle w:val="Compact"/>
              <w:spacing w:after="40"/>
              <w:jc w:val="left"/>
            </w:pPr>
            <w:r>
              <w:rPr>
                <w:sz w:val="18"/>
              </w:rPr>
              <w:t xml:space="preserve">Officer cash limit, sync deadline</w:t>
            </w:r>
          </w:p>
        </w:tc>
        <w:tc>
          <w:tcPr>
            <w:tcW w:w="1207" w:type="dxa"/>
          </w:tcPr>
          <w:p>
            <w:pPr>
              <w:pStyle w:val="Compact"/>
              <w:spacing w:after="40"/>
              <w:jc w:val="left"/>
            </w:pPr>
            <w:r>
              <w:rPr>
                <w:sz w:val="18"/>
              </w:rPr>
              <w:t xml:space="preserve">Branch</w:t>
            </w:r>
          </w:p>
        </w:tc>
        <w:tc>
          <w:tcPr>
            <w:tcW w:w="3013" w:type="dxa"/>
          </w:tcPr>
          <w:p>
            <w:pPr>
              <w:pStyle w:val="Compact"/>
              <w:spacing w:after="40"/>
              <w:jc w:val="left"/>
            </w:pPr>
            <w:r>
              <w:rPr>
                <w:sz w:val="18"/>
              </w:rPr>
              <w:t xml:space="preserve">₹50,000; 20:00 IST</w:t>
            </w:r>
          </w:p>
        </w:tc>
        <w:tc>
          <w:tcPr>
            <w:tcW w:w="3117" w:type="dxa"/>
          </w:tcPr>
          <w:p>
            <w:pPr>
              <w:pStyle w:val="Compact"/>
              <w:spacing w:after="40"/>
              <w:jc w:val="left"/>
            </w:pPr>
            <w:r>
              <w:rPr>
                <w:sz w:val="18"/>
              </w:rPr>
              <w:t xml:space="preserve">Commercial [REC]</w:t>
            </w:r>
          </w:p>
        </w:tc>
      </w:tr>
      <w:tr>
        <w:tc>
          <w:tcPr>
            <w:tcW w:w="2301" w:type="dxa"/>
          </w:tcPr>
          <w:p>
            <w:pPr>
              <w:pStyle w:val="Compact"/>
              <w:spacing w:after="40"/>
              <w:jc w:val="left"/>
            </w:pPr>
            <w:r>
              <w:rPr>
                <w:sz w:val="18"/>
              </w:rPr>
              <w:t xml:space="preserve">Contact window</w:t>
            </w:r>
          </w:p>
        </w:tc>
        <w:tc>
          <w:tcPr>
            <w:tcW w:w="1207" w:type="dxa"/>
          </w:tcPr>
          <w:p>
            <w:pPr>
              <w:pStyle w:val="Compact"/>
              <w:spacing w:after="40"/>
              <w:jc w:val="left"/>
            </w:pPr>
            <w:r>
              <w:rPr>
                <w:sz w:val="18"/>
              </w:rPr>
              <w:t xml:space="preserve">Product</w:t>
            </w:r>
          </w:p>
        </w:tc>
        <w:tc>
          <w:tcPr>
            <w:tcW w:w="3013" w:type="dxa"/>
          </w:tcPr>
          <w:p>
            <w:pPr>
              <w:pStyle w:val="Compact"/>
              <w:spacing w:after="40"/>
              <w:jc w:val="left"/>
            </w:pPr>
            <w:r>
              <w:rPr>
                <w:sz w:val="18"/>
              </w:rPr>
              <w:t xml:space="preserve">09:00–18:00</w:t>
            </w:r>
          </w:p>
        </w:tc>
        <w:tc>
          <w:tcPr>
            <w:tcW w:w="3117" w:type="dxa"/>
          </w:tcPr>
          <w:p>
            <w:pPr>
              <w:pStyle w:val="Compact"/>
              <w:spacing w:after="40"/>
              <w:jc w:val="left"/>
            </w:pPr>
            <w:r>
              <w:rPr>
                <w:sz w:val="18"/>
              </w:rPr>
              <w:t xml:space="preserve">Regulatory until 31 Dec 2026; then the Third Amendment pack, tighten only</w:t>
            </w:r>
          </w:p>
        </w:tc>
      </w:tr>
      <w:tr>
        <w:tc>
          <w:tcPr>
            <w:tcW w:w="2301" w:type="dxa"/>
          </w:tcPr>
          <w:p>
            <w:pPr>
              <w:pStyle w:val="Compact"/>
              <w:spacing w:after="40"/>
              <w:jc w:val="left"/>
            </w:pPr>
            <w:r>
              <w:rPr>
                <w:sz w:val="18"/>
              </w:rPr>
              <w:t xml:space="preserve">Death-claim lodging and refund SLAs</w:t>
            </w:r>
          </w:p>
        </w:tc>
        <w:tc>
          <w:tcPr>
            <w:tcW w:w="1207" w:type="dxa"/>
          </w:tcPr>
          <w:p>
            <w:pPr>
              <w:pStyle w:val="Compact"/>
              <w:spacing w:after="40"/>
              <w:jc w:val="left"/>
            </w:pPr>
            <w:r>
              <w:rPr>
                <w:sz w:val="18"/>
              </w:rPr>
              <w:t xml:space="preserve">Tenant</w:t>
            </w:r>
          </w:p>
        </w:tc>
        <w:tc>
          <w:tcPr>
            <w:tcW w:w="3013" w:type="dxa"/>
          </w:tcPr>
          <w:p>
            <w:pPr>
              <w:pStyle w:val="Compact"/>
              <w:spacing w:after="40"/>
              <w:jc w:val="left"/>
            </w:pPr>
            <w:r>
              <w:rPr>
                <w:sz w:val="18"/>
              </w:rPr>
              <w:t xml:space="preserve">15 days; 7 working days</w:t>
            </w:r>
          </w:p>
        </w:tc>
        <w:tc>
          <w:tcPr>
            <w:tcW w:w="3117" w:type="dxa"/>
          </w:tcPr>
          <w:p>
            <w:pPr>
              <w:pStyle w:val="Compact"/>
              <w:spacing w:after="40"/>
              <w:jc w:val="left"/>
            </w:pPr>
            <w:r>
              <w:rPr>
                <w:sz w:val="18"/>
              </w:rPr>
              <w:t xml:space="preserve">Commercial [REC]; MFIN Directive #6 floor</w:t>
            </w:r>
          </w:p>
        </w:tc>
      </w:tr>
      <w:tr>
        <w:tc>
          <w:tcPr>
            <w:tcW w:w="2301" w:type="dxa"/>
          </w:tcPr>
          <w:p>
            <w:pPr>
              <w:pStyle w:val="Compact"/>
              <w:spacing w:after="40"/>
              <w:jc w:val="left"/>
            </w:pPr>
            <w:r>
              <w:rPr>
                <w:sz w:val="18"/>
              </w:rPr>
              <w:t xml:space="preserve">Vernacular languages for KFS and loan card</w:t>
            </w:r>
          </w:p>
        </w:tc>
        <w:tc>
          <w:tcPr>
            <w:tcW w:w="1207" w:type="dxa"/>
          </w:tcPr>
          <w:p>
            <w:pPr>
              <w:pStyle w:val="Compact"/>
              <w:spacing w:after="40"/>
              <w:jc w:val="left"/>
            </w:pPr>
            <w:r>
              <w:rPr>
                <w:sz w:val="18"/>
              </w:rPr>
              <w:t xml:space="preserve">Tenant</w:t>
            </w:r>
          </w:p>
        </w:tc>
        <w:tc>
          <w:tcPr>
            <w:tcW w:w="3013" w:type="dxa"/>
          </w:tcPr>
          <w:p>
            <w:pPr>
              <w:pStyle w:val="Compact"/>
              <w:spacing w:after="40"/>
              <w:jc w:val="left"/>
            </w:pPr>
            <w:r>
              <w:rPr>
                <w:sz w:val="18"/>
              </w:rPr>
              <w:t xml:space="preserve">State languages of operation</w:t>
            </w:r>
          </w:p>
        </w:tc>
        <w:tc>
          <w:tcPr>
            <w:tcW w:w="3117" w:type="dxa"/>
          </w:tcPr>
          <w:p>
            <w:pPr>
              <w:pStyle w:val="Compact"/>
              <w:spacing w:after="40"/>
              <w:jc w:val="left"/>
            </w:pPr>
            <w:r>
              <w:rPr>
                <w:sz w:val="18"/>
              </w:rPr>
              <w:t xml:space="preserve">Regulatory (RBC paras 77, 79)</w:t>
            </w:r>
          </w:p>
        </w:tc>
      </w:tr>
    </w:tbl>
    <w:bookmarkEnd w:id="573"/>
    <w:bookmarkStart w:id="574" w:name="menu-and-screens-18"/>
    <w:p>
      <w:pPr>
        <w:pStyle w:val="Heading3"/>
      </w:pPr>
      <w:r>
        <w:t xml:space="preserve">Menu and screens</w:t>
      </w:r>
    </w:p>
    <w:p>
      <w:pPr>
        <w:pStyle w:val="FirstParagraph"/>
      </w:pPr>
      <w:r>
        <w:t xml:space="preserve">All under</w:t>
      </w:r>
      <w:r>
        <w:t xml:space="preserve"> </w:t>
      </w:r>
      <w:r>
        <w:rPr>
          <w:bCs/>
          <w:b/>
        </w:rPr>
        <w:t xml:space="preserve">Microfinance</w:t>
      </w:r>
      <w:r>
        <w:t xml:space="preserve"> </w:t>
      </w:r>
      <w:r>
        <w:t xml:space="preserve">(workspace A for branch staff, G for collections, P for the field app, J for monitors):</w:t>
      </w:r>
    </w:p>
    <w:p>
      <w:pPr>
        <w:numPr>
          <w:ilvl w:val="0"/>
          <w:numId w:val="1485"/>
        </w:numPr>
        <w:pStyle w:val="Compact"/>
      </w:pPr>
      <w:r>
        <w:rPr>
          <w:bCs/>
          <w:b/>
        </w:rPr>
        <w:t xml:space="preserve">Microfinance › Centres:</w:t>
      </w:r>
      <w:r>
        <w:t xml:space="preserve"> </w:t>
      </w:r>
      <w:r>
        <w:t xml:space="preserve">centre list (filters: branch, officer, day, PAR bucket, attendance below 75%), centre detail (designated place on a map, calendar, groups),</w:t>
      </w:r>
      <w:r>
        <w:t xml:space="preserve"> </w:t>
      </w:r>
      <w:r>
        <w:rPr>
          <w:bCs/>
          <w:b/>
        </w:rPr>
        <w:t xml:space="preserve">New centre</w:t>
      </w:r>
      <w:r>
        <w:t xml:space="preserve"> </w:t>
      </w:r>
      <w:r>
        <w:t xml:space="preserve">wizard (village survey → place and time agreed with members → officer), bulk reassign officer.</w:t>
      </w:r>
    </w:p>
    <w:p>
      <w:pPr>
        <w:numPr>
          <w:ilvl w:val="0"/>
          <w:numId w:val="1485"/>
        </w:numPr>
        <w:pStyle w:val="Compact"/>
      </w:pPr>
      <w:r>
        <w:rPr>
          <w:bCs/>
          <w:b/>
        </w:rPr>
        <w:t xml:space="preserve">Microfinance › Groups:</w:t>
      </w:r>
      <w:r>
        <w:t xml:space="preserve"> </w:t>
      </w:r>
      <w:r>
        <w:t xml:space="preserve">group pipeline board (</w:t>
      </w:r>
      <w:r>
        <w:rPr>
          <w:rStyle w:val="VerbatimChar"/>
        </w:rPr>
        <w:t xml:space="preserve">FORMING</w:t>
      </w:r>
      <w:r>
        <w:t xml:space="preserve"> </w:t>
      </w:r>
      <w:r>
        <w:t xml:space="preserve">to</w:t>
      </w:r>
      <w:r>
        <w:t xml:space="preserve"> </w:t>
      </w:r>
      <w:r>
        <w:rPr>
          <w:rStyle w:val="VerbatimChar"/>
        </w:rPr>
        <w:t xml:space="preserve">ACTIVE</w:t>
      </w:r>
      <w:r>
        <w:t xml:space="preserve">), member roster with household test and MFIN results, CGT and GRT scheduler (GRT supervisor picker excludes the CGT trainer),</w:t>
      </w:r>
      <w:r>
        <w:t xml:space="preserve"> </w:t>
      </w:r>
      <w:r>
        <w:rPr>
          <w:bCs/>
          <w:b/>
        </w:rPr>
        <w:t xml:space="preserve">Recognise group</w:t>
      </w:r>
      <w:r>
        <w:t xml:space="preserve"> </w:t>
      </w:r>
      <w:r>
        <w:t xml:space="preserve">action (emits</w:t>
      </w:r>
      <w:r>
        <w:t xml:space="preserve"> </w:t>
      </w:r>
      <w:r>
        <w:rPr>
          <w:rStyle w:val="VerbatimChar"/>
        </w:rPr>
        <w:t xml:space="preserve">GroupFormed</w:t>
      </w:r>
      <w:r>
        <w:t xml:space="preserve">), SHG register tab.</w:t>
      </w:r>
    </w:p>
    <w:p>
      <w:pPr>
        <w:numPr>
          <w:ilvl w:val="0"/>
          <w:numId w:val="1485"/>
        </w:numPr>
        <w:pStyle w:val="Compact"/>
      </w:pPr>
      <w:r>
        <w:rPr>
          <w:bCs/>
          <w:b/>
        </w:rPr>
        <w:t xml:space="preserve">Microfinance › Meetings:</w:t>
      </w:r>
      <w:r>
        <w:t xml:space="preserve"> </w:t>
      </w:r>
      <w:r>
        <w:t xml:space="preserve">today’s meetings by officer with state chips, meeting detail (collection sheet, attendance, receipts, issues, photos), not-held log, non-appearance counter per member; field app screen works offline with a sync status badge.</w:t>
      </w:r>
    </w:p>
    <w:p>
      <w:pPr>
        <w:numPr>
          <w:ilvl w:val="0"/>
          <w:numId w:val="1485"/>
        </w:numPr>
        <w:pStyle w:val="Compact"/>
      </w:pPr>
      <w:r>
        <w:rPr>
          <w:bCs/>
          <w:b/>
        </w:rPr>
        <w:t xml:space="preserve">Microfinance › Collections:</w:t>
      </w:r>
      <w:r>
        <w:t xml:space="preserve"> </w:t>
      </w:r>
      <w:r>
        <w:t xml:space="preserve">posted collections, UPI suspense queue, third-party payment consents, shortfall by member, death-claim tracker.</w:t>
      </w:r>
    </w:p>
    <w:p>
      <w:pPr>
        <w:numPr>
          <w:ilvl w:val="0"/>
          <w:numId w:val="1485"/>
        </w:numPr>
        <w:pStyle w:val="Compact"/>
      </w:pPr>
      <w:r>
        <w:rPr>
          <w:bCs/>
          <w:b/>
        </w:rPr>
        <w:t xml:space="preserve">Microfinance › Cash-in-transit:</w:t>
      </w:r>
      <w:r>
        <w:t xml:space="preserve"> </w:t>
      </w:r>
      <w:r>
        <w:t xml:space="preserve">officer balances, handover queue (dual sign-off), variance exceptions with independent-reviewer assignment, undeposited cash ageing; export to the branch cash book.</w:t>
      </w:r>
    </w:p>
    <w:p>
      <w:pPr>
        <w:numPr>
          <w:ilvl w:val="0"/>
          <w:numId w:val="1485"/>
        </w:numPr>
        <w:pStyle w:val="Compact"/>
      </w:pPr>
      <w:r>
        <w:t xml:space="preserve">Empty states explain the next step (</w:t>
      </w:r>
      <w:r>
        <w:t xml:space="preserve">“</w:t>
      </w:r>
      <w:r>
        <w:t xml:space="preserve">No centre yet: run a village survey</w:t>
      </w:r>
      <w:r>
        <w:t xml:space="preserve">”</w:t>
      </w:r>
      <w:r>
        <w:t xml:space="preserve">); errors name the rule (for example</w:t>
      </w:r>
      <w:r>
        <w:t xml:space="preserve"> </w:t>
      </w:r>
      <w:r>
        <w:t xml:space="preserve">“</w:t>
      </w:r>
      <w:r>
        <w:t xml:space="preserve">Household cap 50% exceeded: 52.5%</w:t>
      </w:r>
      <w:r>
        <w:t xml:space="preserve">”</w:t>
      </w:r>
      <w:r>
        <w:t xml:space="preserve">); read-aloud and large-type modes in the field app; WCAG 2.2 AA.</w:t>
      </w:r>
    </w:p>
    <w:bookmarkEnd w:id="574"/>
    <w:bookmarkStart w:id="575" w:name="acceptance-tests-44"/>
    <w:p>
      <w:pPr>
        <w:pStyle w:val="Heading3"/>
      </w:pPr>
      <w:r>
        <w:t xml:space="preserve">Acceptance tests</w:t>
      </w:r>
    </w:p>
    <w:p>
      <w:pPr>
        <w:numPr>
          <w:ilvl w:val="0"/>
          <w:numId w:val="1486"/>
        </w:numPr>
        <w:pStyle w:val="Compact"/>
      </w:pPr>
      <w:r>
        <w:t xml:space="preserve">Income ₹2,40,000 a year, EMIs ₹7,000, new EMI ₹3,500 → 52.5% → blocked; new EMI ₹2,900 → 49.5% → allowed.</w:t>
      </w:r>
    </w:p>
    <w:p>
      <w:pPr>
        <w:numPr>
          <w:ilvl w:val="0"/>
          <w:numId w:val="1486"/>
        </w:numPr>
        <w:pStyle w:val="Compact"/>
      </w:pPr>
      <w:r>
        <w:t xml:space="preserve">Three existing microfinance lenders → blocked. A ₹3,500 loan at 61 DPD → blocked; ₹2,800 outstanding → allowed.</w:t>
      </w:r>
    </w:p>
    <w:p>
      <w:pPr>
        <w:numPr>
          <w:ilvl w:val="0"/>
          <w:numId w:val="1486"/>
        </w:numPr>
        <w:pStyle w:val="Compact"/>
      </w:pPr>
      <w:r>
        <w:t xml:space="preserve">GRT by the CGT trainer → rejected.</w:t>
      </w:r>
    </w:p>
    <w:p>
      <w:pPr>
        <w:numPr>
          <w:ilvl w:val="0"/>
          <w:numId w:val="1486"/>
        </w:numPr>
        <w:pStyle w:val="Compact"/>
      </w:pPr>
      <w:r>
        <w:t xml:space="preserve">Member A pays ₹1,000 toward B’s instalment without consent → refused; with consent → third-party payment on B’s loan.</w:t>
      </w:r>
    </w:p>
    <w:p>
      <w:pPr>
        <w:numPr>
          <w:ilvl w:val="0"/>
          <w:numId w:val="1486"/>
        </w:numPr>
        <w:pStyle w:val="Compact"/>
      </w:pPr>
      <w:r>
        <w:t xml:space="preserve">Expected ₹40,000, receipted ₹39,500, handed over ₹39,000 → ₹500 cash exception; ₹500 shortfall tracked as overdue on named members.</w:t>
      </w:r>
    </w:p>
    <w:p>
      <w:pPr>
        <w:numPr>
          <w:ilvl w:val="0"/>
          <w:numId w:val="1486"/>
        </w:numPr>
        <w:pStyle w:val="Compact"/>
      </w:pPr>
      <w:r>
        <w:t xml:space="preserve">Home visit after one missed meeting → blocked; after two → allowed within the window.</w:t>
      </w:r>
    </w:p>
    <w:p>
      <w:pPr>
        <w:numPr>
          <w:ilvl w:val="0"/>
          <w:numId w:val="1486"/>
        </w:numPr>
        <w:pStyle w:val="Compact"/>
      </w:pPr>
      <w:r>
        <w:t xml:space="preserve">Death at 11:00 → demands suppressed that day; excess ₹4,200 → refund due in 7 working days.</w:t>
      </w:r>
    </w:p>
    <w:p>
      <w:pPr>
        <w:numPr>
          <w:ilvl w:val="0"/>
          <w:numId w:val="1486"/>
        </w:numPr>
        <w:pStyle w:val="Compact"/>
      </w:pPr>
      <w:r>
        <w:t xml:space="preserve">Microfinance account in a consumer bureau file → validation failure.</w:t>
      </w:r>
    </w:p>
    <w:p>
      <w:pPr>
        <w:numPr>
          <w:ilvl w:val="0"/>
          <w:numId w:val="1486"/>
        </w:numPr>
        <w:pStyle w:val="Compact"/>
      </w:pPr>
      <w:r>
        <w:t xml:space="preserve">Meeting captured offline and synced at 19:10 →</w:t>
      </w:r>
      <w:r>
        <w:t xml:space="preserve"> </w:t>
      </w:r>
      <w:r>
        <w:rPr>
          <w:rStyle w:val="VerbatimChar"/>
        </w:rPr>
        <w:t xml:space="preserve">SYNCED</w:t>
      </w:r>
      <w:r>
        <w:t xml:space="preserve">, receipts posted the same day; a second device batch replaying serial 0042 → rejected as duplicate; a device clock 9 minutes off → batch held for review.</w:t>
      </w:r>
    </w:p>
    <w:p>
      <w:pPr>
        <w:numPr>
          <w:ilvl w:val="0"/>
          <w:numId w:val="1486"/>
        </w:numPr>
        <w:pStyle w:val="Compact"/>
      </w:pPr>
      <w:r>
        <w:t xml:space="preserve">Meeting not synced by 20:00 IST → branch-manager escalation; at 24 hours → incident.</w:t>
      </w:r>
    </w:p>
    <w:p>
      <w:pPr>
        <w:numPr>
          <w:ilvl w:val="0"/>
          <w:numId w:val="1486"/>
        </w:numPr>
        <w:pStyle w:val="Compact"/>
      </w:pPr>
      <w:r>
        <w:t xml:space="preserve">Regular instalment on a Udofin-sourced loan with no RE legal opinion recorded → cash option absent; UPI QR shown; an API attempt to post a cash receipt →</w:t>
      </w:r>
      <w:r>
        <w:t xml:space="preserve"> </w:t>
      </w:r>
      <w:r>
        <w:rPr>
          <w:rStyle w:val="VerbatimChar"/>
        </w:rPr>
        <w:t xml:space="preserve">GR-7G-14</w:t>
      </w:r>
      <w:r>
        <w:t xml:space="preserve">.</w:t>
      </w:r>
    </w:p>
    <w:p>
      <w:pPr>
        <w:numPr>
          <w:ilvl w:val="0"/>
          <w:numId w:val="1486"/>
        </w:numPr>
        <w:pStyle w:val="Compact"/>
      </w:pPr>
      <w:r>
        <w:t xml:space="preserve">A meeting closed in Udofin’s tools → Finbyx consumes</w:t>
      </w:r>
      <w:r>
        <w:t xml:space="preserve"> </w:t>
      </w:r>
      <w:r>
        <w:rPr>
          <w:rStyle w:val="VerbatimChar"/>
        </w:rPr>
        <w:t xml:space="preserve">CentreMeetingHeld</w:t>
      </w:r>
      <w:r>
        <w:t xml:space="preserve">, posts and emits only</w:t>
      </w:r>
      <w:r>
        <w:t xml:space="preserve"> </w:t>
      </w:r>
      <w:r>
        <w:rPr>
          <w:rStyle w:val="VerbatimChar"/>
        </w:rPr>
        <w:t xml:space="preserve">GroupCollectionPosted</w:t>
      </w:r>
      <w:r>
        <w:t xml:space="preserve">; a later close attempt in M22 → rejected.</w:t>
      </w:r>
    </w:p>
    <w:p>
      <w:pPr>
        <w:numPr>
          <w:ilvl w:val="0"/>
          <w:numId w:val="1486"/>
        </w:numPr>
        <w:pStyle w:val="Compact"/>
      </w:pPr>
      <w:r>
        <w:t xml:space="preserve">Microfinance recovery call at 18:15 on 15 Dec 2026 → refused.</w:t>
      </w:r>
    </w:p>
    <w:p>
      <w:r>
        <w:pict>
          <v:rect style="width:0;height:1.5pt" o:hralign="center" o:hrstd="t" o:hr="t"/>
        </w:pict>
      </w:r>
    </w:p>
    <w:bookmarkEnd w:id="575"/>
    <w:bookmarkEnd w:id="576"/>
    <w:bookmarkStart w:id="587" w:name="X93b849c3a67e035bad1dc051fc91b25b3c5cc4c"/>
    <w:p>
      <w:pPr>
        <w:pStyle w:val="Heading2"/>
      </w:pPr>
      <w:r>
        <w:t xml:space="preserve">IP5. Asset reconstruction companies and stressed-asset acquisition</w:t>
      </w:r>
    </w:p>
    <w:bookmarkStart w:id="577" w:name="ip5.1-two-sides"/>
    <w:p>
      <w:pPr>
        <w:pStyle w:val="Heading3"/>
      </w:pPr>
      <w:r>
        <w:t xml:space="preserve">IP5.1 Two sides</w:t>
      </w:r>
    </w:p>
    <w:p>
      <w:pPr>
        <w:numPr>
          <w:ilvl w:val="0"/>
          <w:numId w:val="1487"/>
        </w:numPr>
        <w:pStyle w:val="Compact"/>
      </w:pPr>
      <w:r>
        <w:rPr>
          <w:bCs/>
          <w:b/>
        </w:rPr>
        <w:t xml:space="preserve">ARC tenant</w:t>
      </w:r>
      <w:r>
        <w:t xml:space="preserve"> </w:t>
      </w:r>
      <w:r>
        <w:t xml:space="preserve">under SARFAESI and the RBI (Asset Reconstruction Companies) Directions 2025 (DoR.FIN.REC.No.293/26.03.001/2025-26, 28 Nov 2025, updated 10 Mar 2026). Paragraph numbers below are taken from the RBI web text (Master Direction index id 12930), not the signed PDF [VERIFY every ARC paragraph number before coding].</w:t>
      </w:r>
    </w:p>
    <w:p>
      <w:pPr>
        <w:numPr>
          <w:ilvl w:val="0"/>
          <w:numId w:val="1487"/>
        </w:numPr>
        <w:pStyle w:val="Compact"/>
      </w:pPr>
      <w:r>
        <w:rPr>
          <w:bCs/>
          <w:b/>
        </w:rPr>
        <w:t xml:space="preserve">NBFC in the stressed-asset domain</w:t>
      </w:r>
      <w:r>
        <w:t xml:space="preserve"> </w:t>
      </w:r>
      <w:r>
        <w:t xml:space="preserve">without being an ARC (IP5.8). The NBFC selling side is in R13.4.</w:t>
      </w:r>
    </w:p>
    <w:p>
      <w:pPr>
        <w:pStyle w:val="FirstParagraph"/>
      </w:pPr>
      <w:r>
        <w:t xml:space="preserve">SARFAESI [LAW]: asset reconstruction s.2(1)(b); ARC s.2(1)(ba); qualified buyer s.2(1)(u); securitisation s.2(1)(z); security receipt s.2(1)(zg) [VERIFY lettering]; registration s.3; acquisition s.5; SRs through trusts s.7; measures s.9; other functions s.10.</w:t>
      </w:r>
    </w:p>
    <w:bookmarkEnd w:id="577"/>
    <w:bookmarkStart w:id="578" w:name="ip5.2-capital-and-business-limits"/>
    <w:p>
      <w:pPr>
        <w:pStyle w:val="Heading3"/>
      </w:pPr>
      <w:r>
        <w:t xml:space="preserve">IP5.2 Capital and business limits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15"/>
        <w:gridCol w:w="4597"/>
        <w:gridCol w:w="2226"/>
      </w:tblGrid>
      <w:tr>
        <w:trPr>
          <w:tblHeader w:val="true"/>
          <w:tblHeader w:val="true"/>
        </w:trPr>
        <w:tc>
          <w:tcPr>
            <w:tcW w:w="2815" w:type="dxa"/>
            <w:shd w:val="clear" w:color="auto" w:fill="1F3A5F"/>
          </w:tcPr>
          <w:p>
            <w:pPr>
              <w:pStyle w:val="Compact"/>
              <w:spacing w:after="40"/>
              <w:jc w:val="left"/>
            </w:pPr>
            <w:r>
              <w:rPr>
                <w:b/>
                <w:color w:val="FFFFFF"/>
                <w:sz w:val="18"/>
              </w:rPr>
              <w:t xml:space="preserve">Rule</w:t>
            </w:r>
          </w:p>
        </w:tc>
        <w:tc>
          <w:tcPr>
            <w:tcW w:w="4597" w:type="dxa"/>
            <w:shd w:val="clear" w:color="auto" w:fill="1F3A5F"/>
          </w:tcPr>
          <w:p>
            <w:pPr>
              <w:pStyle w:val="Compact"/>
              <w:spacing w:after="40"/>
              <w:jc w:val="left"/>
            </w:pPr>
            <w:r>
              <w:rPr>
                <w:b/>
                <w:color w:val="FFFFFF"/>
                <w:sz w:val="18"/>
              </w:rPr>
              <w:t xml:space="preserve">Value</w:t>
            </w:r>
          </w:p>
        </w:tc>
        <w:tc>
          <w:tcPr>
            <w:tcW w:w="2226" w:type="dxa"/>
            <w:shd w:val="clear" w:color="auto" w:fill="1F3A5F"/>
          </w:tcPr>
          <w:p>
            <w:pPr>
              <w:pStyle w:val="Compact"/>
              <w:spacing w:after="40"/>
              <w:jc w:val="left"/>
            </w:pPr>
            <w:r>
              <w:rPr>
                <w:b/>
                <w:color w:val="FFFFFF"/>
                <w:sz w:val="18"/>
              </w:rPr>
              <w:t xml:space="preserve">Basis</w:t>
            </w:r>
          </w:p>
        </w:tc>
      </w:tr>
      <w:tr>
        <w:tc>
          <w:tcPr>
            <w:tcW w:w="2815" w:type="dxa"/>
          </w:tcPr>
          <w:p>
            <w:pPr>
              <w:pStyle w:val="Compact"/>
              <w:spacing w:after="40"/>
              <w:jc w:val="left"/>
            </w:pPr>
            <w:r>
              <w:rPr>
                <w:sz w:val="18"/>
              </w:rPr>
              <w:t xml:space="preserve">NOF</w:t>
            </w:r>
          </w:p>
        </w:tc>
        <w:tc>
          <w:tcPr>
            <w:tcW w:w="4597" w:type="dxa"/>
          </w:tcPr>
          <w:p>
            <w:pPr>
              <w:pStyle w:val="Compact"/>
              <w:spacing w:after="40"/>
              <w:jc w:val="left"/>
            </w:pPr>
            <w:r>
              <w:rPr>
                <w:sz w:val="18"/>
              </w:rPr>
              <w:t xml:space="preserve">≥ ₹300 crore; existing ARCs by 31 Mar 2026, else no new business</w:t>
            </w:r>
          </w:p>
        </w:tc>
        <w:tc>
          <w:tcPr>
            <w:tcW w:w="2226" w:type="dxa"/>
          </w:tcPr>
          <w:p>
            <w:pPr>
              <w:pStyle w:val="Compact"/>
              <w:spacing w:after="40"/>
              <w:jc w:val="left"/>
            </w:pPr>
            <w:r>
              <w:rPr>
                <w:sz w:val="18"/>
              </w:rPr>
              <w:t xml:space="preserve">ARC paras 14–16</w:t>
            </w:r>
          </w:p>
        </w:tc>
      </w:tr>
      <w:tr>
        <w:tc>
          <w:tcPr>
            <w:tcW w:w="2815" w:type="dxa"/>
          </w:tcPr>
          <w:p>
            <w:pPr>
              <w:pStyle w:val="Compact"/>
              <w:spacing w:after="40"/>
              <w:jc w:val="left"/>
            </w:pPr>
            <w:r>
              <w:rPr>
                <w:sz w:val="18"/>
              </w:rPr>
              <w:t xml:space="preserve">IBC resolution applicant</w:t>
            </w:r>
          </w:p>
        </w:tc>
        <w:tc>
          <w:tcPr>
            <w:tcW w:w="4597" w:type="dxa"/>
          </w:tcPr>
          <w:p>
            <w:pPr>
              <w:pStyle w:val="Compact"/>
              <w:spacing w:after="40"/>
              <w:jc w:val="left"/>
            </w:pPr>
            <w:r>
              <w:rPr>
                <w:sz w:val="18"/>
              </w:rPr>
              <w:t xml:space="preserve">NOF ≥ ₹1,000 crore</w:t>
            </w:r>
          </w:p>
        </w:tc>
        <w:tc>
          <w:tcPr>
            <w:tcW w:w="2226" w:type="dxa"/>
          </w:tcPr>
          <w:p>
            <w:pPr>
              <w:pStyle w:val="Compact"/>
              <w:spacing w:after="40"/>
              <w:jc w:val="left"/>
            </w:pPr>
            <w:r>
              <w:rPr>
                <w:sz w:val="18"/>
              </w:rPr>
              <w:t xml:space="preserve">para 18</w:t>
            </w:r>
          </w:p>
        </w:tc>
      </w:tr>
      <w:tr>
        <w:tc>
          <w:tcPr>
            <w:tcW w:w="2815" w:type="dxa"/>
          </w:tcPr>
          <w:p>
            <w:pPr>
              <w:pStyle w:val="Compact"/>
              <w:spacing w:after="40"/>
              <w:jc w:val="left"/>
            </w:pPr>
            <w:r>
              <w:rPr>
                <w:sz w:val="18"/>
              </w:rPr>
              <w:t xml:space="preserve">CRAR</w:t>
            </w:r>
          </w:p>
        </w:tc>
        <w:tc>
          <w:tcPr>
            <w:tcW w:w="4597" w:type="dxa"/>
          </w:tcPr>
          <w:p>
            <w:pPr>
              <w:pStyle w:val="Compact"/>
              <w:spacing w:after="40"/>
              <w:jc w:val="left"/>
            </w:pPr>
            <w:r>
              <w:rPr>
                <w:sz w:val="18"/>
              </w:rPr>
              <w:t xml:space="preserve">≥ 15%</w:t>
            </w:r>
          </w:p>
        </w:tc>
        <w:tc>
          <w:tcPr>
            <w:tcW w:w="2226" w:type="dxa"/>
          </w:tcPr>
          <w:p>
            <w:pPr>
              <w:pStyle w:val="Compact"/>
              <w:spacing w:after="40"/>
              <w:jc w:val="left"/>
            </w:pPr>
            <w:r>
              <w:rPr>
                <w:sz w:val="18"/>
              </w:rPr>
              <w:t xml:space="preserve">para 93</w:t>
            </w:r>
          </w:p>
        </w:tc>
      </w:tr>
      <w:tr>
        <w:tc>
          <w:tcPr>
            <w:tcW w:w="2815" w:type="dxa"/>
          </w:tcPr>
          <w:p>
            <w:pPr>
              <w:pStyle w:val="Compact"/>
              <w:spacing w:after="40"/>
              <w:jc w:val="left"/>
            </w:pPr>
            <w:r>
              <w:rPr>
                <w:sz w:val="18"/>
              </w:rPr>
              <w:t xml:space="preserve">Business</w:t>
            </w:r>
          </w:p>
        </w:tc>
        <w:tc>
          <w:tcPr>
            <w:tcW w:w="4597" w:type="dxa"/>
          </w:tcPr>
          <w:p>
            <w:pPr>
              <w:pStyle w:val="Compact"/>
              <w:spacing w:after="40"/>
              <w:jc w:val="left"/>
            </w:pPr>
            <w:r>
              <w:rPr>
                <w:sz w:val="18"/>
              </w:rPr>
              <w:t xml:space="preserve">securitisation, asset reconstruction, s.10 functions</w:t>
            </w:r>
          </w:p>
        </w:tc>
        <w:tc>
          <w:tcPr>
            <w:tcW w:w="2226" w:type="dxa"/>
          </w:tcPr>
          <w:p>
            <w:pPr>
              <w:pStyle w:val="Compact"/>
              <w:spacing w:after="40"/>
              <w:jc w:val="left"/>
            </w:pPr>
            <w:r>
              <w:rPr>
                <w:sz w:val="18"/>
              </w:rPr>
              <w:t xml:space="preserve">para 17</w:t>
            </w:r>
          </w:p>
        </w:tc>
      </w:tr>
      <w:tr>
        <w:tc>
          <w:tcPr>
            <w:tcW w:w="2815" w:type="dxa"/>
          </w:tcPr>
          <w:p>
            <w:pPr>
              <w:pStyle w:val="Compact"/>
              <w:spacing w:after="40"/>
              <w:jc w:val="left"/>
            </w:pPr>
            <w:r>
              <w:rPr>
                <w:sz w:val="18"/>
              </w:rPr>
              <w:t xml:space="preserve">Deposits</w:t>
            </w:r>
          </w:p>
        </w:tc>
        <w:tc>
          <w:tcPr>
            <w:tcW w:w="4597" w:type="dxa"/>
          </w:tcPr>
          <w:p>
            <w:pPr>
              <w:pStyle w:val="Compact"/>
              <w:spacing w:after="40"/>
              <w:jc w:val="left"/>
            </w:pPr>
            <w:r>
              <w:rPr>
                <w:sz w:val="18"/>
              </w:rPr>
              <w:t xml:space="preserve">prohibited</w:t>
            </w:r>
          </w:p>
        </w:tc>
        <w:tc>
          <w:tcPr>
            <w:tcW w:w="2226" w:type="dxa"/>
          </w:tcPr>
          <w:p>
            <w:pPr>
              <w:pStyle w:val="Compact"/>
              <w:spacing w:after="40"/>
              <w:jc w:val="left"/>
            </w:pPr>
            <w:r>
              <w:rPr>
                <w:sz w:val="18"/>
              </w:rPr>
              <w:t xml:space="preserve">para 23</w:t>
            </w:r>
          </w:p>
        </w:tc>
      </w:tr>
      <w:tr>
        <w:tc>
          <w:tcPr>
            <w:tcW w:w="2815" w:type="dxa"/>
          </w:tcPr>
          <w:p>
            <w:pPr>
              <w:pStyle w:val="Compact"/>
              <w:spacing w:after="40"/>
              <w:jc w:val="left"/>
            </w:pPr>
            <w:r>
              <w:rPr>
                <w:sz w:val="18"/>
              </w:rPr>
              <w:t xml:space="preserve">Surplus funds</w:t>
            </w:r>
          </w:p>
        </w:tc>
        <w:tc>
          <w:tcPr>
            <w:tcW w:w="4597" w:type="dxa"/>
          </w:tcPr>
          <w:p>
            <w:pPr>
              <w:pStyle w:val="Compact"/>
              <w:spacing w:after="40"/>
              <w:jc w:val="left"/>
            </w:pPr>
            <w:r>
              <w:rPr>
                <w:sz w:val="18"/>
              </w:rPr>
              <w:t xml:space="preserve">≤ 10% of NOF, short-term instruments</w:t>
            </w:r>
          </w:p>
        </w:tc>
        <w:tc>
          <w:tcPr>
            <w:tcW w:w="2226" w:type="dxa"/>
          </w:tcPr>
          <w:p>
            <w:pPr>
              <w:pStyle w:val="Compact"/>
              <w:spacing w:after="40"/>
              <w:jc w:val="left"/>
            </w:pPr>
            <w:r>
              <w:rPr>
                <w:sz w:val="18"/>
              </w:rPr>
              <w:t xml:space="preserve">para 21</w:t>
            </w:r>
          </w:p>
        </w:tc>
      </w:tr>
      <w:tr>
        <w:tc>
          <w:tcPr>
            <w:tcW w:w="2815" w:type="dxa"/>
          </w:tcPr>
          <w:p>
            <w:pPr>
              <w:pStyle w:val="Compact"/>
              <w:spacing w:after="40"/>
              <w:jc w:val="left"/>
            </w:pPr>
            <w:r>
              <w:rPr>
                <w:sz w:val="18"/>
              </w:rPr>
              <w:t xml:space="preserve">Own-use property</w:t>
            </w:r>
          </w:p>
        </w:tc>
        <w:tc>
          <w:tcPr>
            <w:tcW w:w="4597" w:type="dxa"/>
          </w:tcPr>
          <w:p>
            <w:pPr>
              <w:pStyle w:val="Compact"/>
              <w:spacing w:after="40"/>
              <w:jc w:val="left"/>
            </w:pPr>
            <w:r>
              <w:rPr>
                <w:sz w:val="18"/>
              </w:rPr>
              <w:t xml:space="preserve">≤ 10% of owned funds; acquired property sold within 5 years</w:t>
            </w:r>
          </w:p>
        </w:tc>
        <w:tc>
          <w:tcPr>
            <w:tcW w:w="2226" w:type="dxa"/>
          </w:tcPr>
          <w:p>
            <w:pPr>
              <w:pStyle w:val="Compact"/>
              <w:spacing w:after="40"/>
              <w:jc w:val="left"/>
            </w:pPr>
            <w:r>
              <w:rPr>
                <w:sz w:val="18"/>
              </w:rPr>
              <w:t xml:space="preserve">para 22</w:t>
            </w:r>
          </w:p>
        </w:tc>
      </w:tr>
      <w:tr>
        <w:tc>
          <w:tcPr>
            <w:tcW w:w="2815" w:type="dxa"/>
          </w:tcPr>
          <w:p>
            <w:pPr>
              <w:pStyle w:val="Compact"/>
              <w:spacing w:after="40"/>
              <w:jc w:val="left"/>
            </w:pPr>
            <w:r>
              <w:rPr>
                <w:sz w:val="18"/>
              </w:rPr>
              <w:t xml:space="preserve">FATF jurisdictions</w:t>
            </w:r>
          </w:p>
        </w:tc>
        <w:tc>
          <w:tcPr>
            <w:tcW w:w="4597" w:type="dxa"/>
          </w:tcPr>
          <w:p>
            <w:pPr>
              <w:pStyle w:val="Compact"/>
              <w:spacing w:after="40"/>
              <w:jc w:val="left"/>
            </w:pPr>
            <w:r>
              <w:rPr>
                <w:sz w:val="18"/>
              </w:rPr>
              <w:t xml:space="preserve">new investors &lt; 20% of voting power</w:t>
            </w:r>
          </w:p>
        </w:tc>
        <w:tc>
          <w:tcPr>
            <w:tcW w:w="2226" w:type="dxa"/>
          </w:tcPr>
          <w:p>
            <w:pPr>
              <w:pStyle w:val="Compact"/>
              <w:spacing w:after="40"/>
              <w:jc w:val="left"/>
            </w:pPr>
            <w:r>
              <w:rPr>
                <w:sz w:val="18"/>
              </w:rPr>
              <w:t xml:space="preserve">para 126</w:t>
            </w:r>
          </w:p>
        </w:tc>
      </w:tr>
    </w:tbl>
    <w:bookmarkEnd w:id="578"/>
    <w:bookmarkStart w:id="579" w:name="ip5.3-acquisition-trusts-and-sr-register"/>
    <w:p>
      <w:pPr>
        <w:pStyle w:val="Heading3"/>
      </w:pPr>
      <w:r>
        <w:t xml:space="preserve">IP5.3 Acquisition, trusts and SR register</w:t>
      </w:r>
    </w:p>
    <w:p>
      <w:pPr>
        <w:pStyle w:val="FirstParagraph"/>
      </w:pPr>
      <w:r>
        <w:rPr>
          <w:rStyle w:val="VerbatimChar"/>
        </w:rPr>
        <w:t xml:space="preserve">PIPELINE → DUE_DILIGENCE (≥ 2 weeks) → BID_APPROVED → AUCTION | BILATERAL → ACQUIRED → TRUST_FORMED → SR_ISSUED → PLANNING → RESOLUTION_PLAN_APPROVED → REALISATION → REDEEMED | WRITTEN_OFF → TRUST_CLOSED</w:t>
      </w:r>
    </w:p>
    <w:p>
      <w:pPr>
        <w:numPr>
          <w:ilvl w:val="0"/>
          <w:numId w:val="1488"/>
        </w:numPr>
        <w:pStyle w:val="Compact"/>
      </w:pPr>
      <w:r>
        <w:t xml:space="preserve">Side exits:</w:t>
      </w:r>
      <w:r>
        <w:t xml:space="preserve"> </w:t>
      </w:r>
      <w:r>
        <w:rPr>
          <w:rStyle w:val="VerbatimChar"/>
        </w:rPr>
        <w:t xml:space="preserve">DROPPED</w:t>
      </w:r>
      <w:r>
        <w:t xml:space="preserve"> </w:t>
      </w:r>
      <w:r>
        <w:t xml:space="preserve">from</w:t>
      </w:r>
      <w:r>
        <w:t xml:space="preserve"> </w:t>
      </w:r>
      <w:r>
        <w:rPr>
          <w:rStyle w:val="VerbatimChar"/>
        </w:rPr>
        <w:t xml:space="preserve">PIPELINE</w:t>
      </w:r>
      <w:r>
        <w:t xml:space="preserve"> </w:t>
      </w:r>
      <w:r>
        <w:t xml:space="preserve">or</w:t>
      </w:r>
      <w:r>
        <w:t xml:space="preserve"> </w:t>
      </w:r>
      <w:r>
        <w:rPr>
          <w:rStyle w:val="VerbatimChar"/>
        </w:rPr>
        <w:t xml:space="preserve">DUE_DILIGENCE</w:t>
      </w:r>
      <w:r>
        <w:t xml:space="preserve"> </w:t>
      </w:r>
      <w:r>
        <w:t xml:space="preserve">(reason recorded);</w:t>
      </w:r>
      <w:r>
        <w:t xml:space="preserve"> </w:t>
      </w:r>
      <w:r>
        <w:rPr>
          <w:rStyle w:val="VerbatimChar"/>
        </w:rPr>
        <w:t xml:space="preserve">LOST</w:t>
      </w:r>
      <w:r>
        <w:t xml:space="preserve"> </w:t>
      </w:r>
      <w:r>
        <w:t xml:space="preserve">from</w:t>
      </w:r>
      <w:r>
        <w:t xml:space="preserve"> </w:t>
      </w:r>
      <w:r>
        <w:rPr>
          <w:rStyle w:val="VerbatimChar"/>
        </w:rPr>
        <w:t xml:space="preserve">AUCTION</w:t>
      </w:r>
      <w:r>
        <w:t xml:space="preserve">;</w:t>
      </w:r>
      <w:r>
        <w:t xml:space="preserve"> </w:t>
      </w:r>
      <w:r>
        <w:rPr>
          <w:rStyle w:val="VerbatimChar"/>
        </w:rPr>
        <w:t xml:space="preserve">ACQUIRED</w:t>
      </w:r>
      <w:r>
        <w:t xml:space="preserve"> </w:t>
      </w:r>
      <w:r>
        <w:t xml:space="preserve">only on the settlement UTR and executed assignment deed; a failed settlement returns to</w:t>
      </w:r>
      <w:r>
        <w:t xml:space="preserve"> </w:t>
      </w:r>
      <w:r>
        <w:rPr>
          <w:rStyle w:val="VerbatimChar"/>
        </w:rPr>
        <w:t xml:space="preserve">BID_APPROVED</w:t>
      </w:r>
      <w:r>
        <w:t xml:space="preserve"> </w:t>
      </w:r>
      <w:r>
        <w:t xml:space="preserve">with the counterparty notified. Owners: acquisition team to</w:t>
      </w:r>
      <w:r>
        <w:t xml:space="preserve"> </w:t>
      </w:r>
      <w:r>
        <w:rPr>
          <w:rStyle w:val="VerbatimChar"/>
        </w:rPr>
        <w:t xml:space="preserve">BID_APPROVED</w:t>
      </w:r>
      <w:r>
        <w:t xml:space="preserve"> </w:t>
      </w:r>
      <w:r>
        <w:t xml:space="preserve">(approval per Board policy), finance for settlement, resolution team from</w:t>
      </w:r>
      <w:r>
        <w:t xml:space="preserve"> </w:t>
      </w:r>
      <w:r>
        <w:rPr>
          <w:rStyle w:val="VerbatimChar"/>
        </w:rPr>
        <w:t xml:space="preserve">PLANNING</w:t>
      </w:r>
      <w:r>
        <w:t xml:space="preserve">.</w:t>
      </w:r>
    </w:p>
    <w:p>
      <w:pPr>
        <w:numPr>
          <w:ilvl w:val="0"/>
          <w:numId w:val="1488"/>
        </w:numPr>
        <w:pStyle w:val="Compact"/>
      </w:pPr>
      <w:r>
        <w:t xml:space="preserve">Board acquisition policy within 90 days of CoR (para 24); DD ≥ 2 weeks (para 27); SMA and non-fund exposures allowed (para 30); ARC-to-ARC sales in cash within 8 years of first acquisition (para 33).</w:t>
      </w:r>
    </w:p>
    <w:p>
      <w:pPr>
        <w:numPr>
          <w:ilvl w:val="0"/>
          <w:numId w:val="1488"/>
        </w:numPr>
        <w:pStyle w:val="Compact"/>
      </w:pPr>
      <w:r>
        <w:rPr>
          <w:bCs/>
          <w:b/>
        </w:rPr>
        <w:t xml:space="preserve">Auction only</w:t>
      </w:r>
      <w:r>
        <w:t xml:space="preserve"> </w:t>
      </w:r>
      <w:r>
        <w:t xml:space="preserve">where the seller is the sponsor, its lenders or subscribers, or its group (para 34): counterparty links make</w:t>
      </w:r>
      <w:r>
        <w:t xml:space="preserve"> </w:t>
      </w:r>
      <w:r>
        <w:rPr>
          <w:rStyle w:val="VerbatimChar"/>
        </w:rPr>
        <w:t xml:space="preserve">BILATERAL</w:t>
      </w:r>
      <w:r>
        <w:t xml:space="preserve"> </w:t>
      </w:r>
      <w:r>
        <w:t xml:space="preserve">unavailable.</w:t>
      </w:r>
    </w:p>
    <w:p>
      <w:pPr>
        <w:numPr>
          <w:ilvl w:val="0"/>
          <w:numId w:val="1488"/>
        </w:numPr>
        <w:pStyle w:val="Compact"/>
      </w:pPr>
      <w:r>
        <w:rPr>
          <w:rStyle w:val="VerbatimChar"/>
        </w:rPr>
        <w:t xml:space="preserve">ACQUIRED</w:t>
      </w:r>
      <w:r>
        <w:t xml:space="preserve"> </w:t>
      </w:r>
      <w:r>
        <w:t xml:space="preserve">emits</w:t>
      </w:r>
      <w:r>
        <w:t xml:space="preserve"> </w:t>
      </w:r>
      <w:r>
        <w:rPr>
          <w:rStyle w:val="VerbatimChar"/>
        </w:rPr>
        <w:t xml:space="preserve">AssetAcquired</w:t>
      </w:r>
      <w:r>
        <w:t xml:space="preserve">; assets move to the trust at acquisition price (para 78).</w:t>
      </w:r>
    </w:p>
    <w:p>
      <w:pPr>
        <w:numPr>
          <w:ilvl w:val="0"/>
          <w:numId w:val="1488"/>
        </w:numPr>
        <w:pStyle w:val="Compact"/>
      </w:pPr>
      <w:r>
        <w:rPr>
          <w:bCs/>
          <w:b/>
        </w:rPr>
        <w:t xml:space="preserve">One trust per scheme</w:t>
      </w:r>
      <w:r>
        <w:t xml:space="preserve">, ARC as trustee (para 76), own bank account and ledger (assets, recoveries, recoverable expenses, fees, distributions by SR class per the offer-document waterfall); never mixed with the ARC’s funds.</w:t>
      </w:r>
    </w:p>
    <w:p>
      <w:pPr>
        <w:numPr>
          <w:ilvl w:val="0"/>
          <w:numId w:val="1488"/>
        </w:numPr>
        <w:pStyle w:val="Compact"/>
      </w:pPr>
      <w:r>
        <w:rPr>
          <w:bCs/>
          <w:b/>
        </w:rPr>
        <w:t xml:space="preserve">SR register:</w:t>
      </w:r>
      <w:r>
        <w:t xml:space="preserve"> </w:t>
      </w:r>
      <w:r>
        <w:t xml:space="preserve">ISIN, scheme, class, face value, units, QB holder (para 79), transfers among QBs only, NAV, rating and redemption history;</w:t>
      </w:r>
      <w:r>
        <w:t xml:space="preserve"> </w:t>
      </w:r>
      <w:r>
        <w:rPr>
          <w:rStyle w:val="VerbatimChar"/>
        </w:rPr>
        <w:t xml:space="preserve">SecurityReceiptIssued</w:t>
      </w:r>
      <w:r>
        <w:t xml:space="preserve"> </w:t>
      </w:r>
      <w:r>
        <w:t xml:space="preserve">on issue; read-only SR holders’ portal.</w:t>
      </w:r>
    </w:p>
    <w:p>
      <w:pPr>
        <w:numPr>
          <w:ilvl w:val="0"/>
          <w:numId w:val="1488"/>
        </w:numPr>
        <w:pStyle w:val="Compact"/>
      </w:pPr>
      <w:r>
        <w:rPr>
          <w:bCs/>
          <w:b/>
        </w:rPr>
        <w:t xml:space="preserve">Self-investment (para 81):</w:t>
      </w:r>
      <w:r>
        <w:t xml:space="preserve"> </w:t>
      </w:r>
      <w:r>
        <w:t xml:space="preserve">per class and scheme, ARC holding ≥</w:t>
      </w:r>
      <w:r>
        <w:t xml:space="preserve"> </w:t>
      </w:r>
      <w:r>
        <w:rPr>
          <w:rStyle w:val="VerbatimChar"/>
        </w:rPr>
        <w:t xml:space="preserve">max(15% × transferors' SR holding, 2.5% × total SRs)</w:t>
      </w:r>
      <w:r>
        <w:t xml:space="preserve"> </w:t>
      </w:r>
      <w:r>
        <w:t xml:space="preserve">until redemption; breach raises</w:t>
      </w:r>
      <w:r>
        <w:t xml:space="preserve"> </w:t>
      </w:r>
      <w:r>
        <w:rPr>
          <w:rStyle w:val="VerbatimChar"/>
        </w:rPr>
        <w:t xml:space="preserve">LimitBreached</w:t>
      </w:r>
      <w:r>
        <w:t xml:space="preserve">.</w:t>
      </w:r>
    </w:p>
    <w:bookmarkEnd w:id="579"/>
    <w:bookmarkStart w:id="580" w:name="ip5.4-clocks-nav-and-fees"/>
    <w:p>
      <w:pPr>
        <w:pStyle w:val="Heading3"/>
      </w:pPr>
      <w:r>
        <w:t xml:space="preserve">IP5.4 Clocks, NAV and fees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921"/>
        <w:gridCol w:w="4760"/>
        <w:gridCol w:w="1957"/>
      </w:tblGrid>
      <w:tr>
        <w:trPr>
          <w:tblHeader w:val="true"/>
          <w:tblHeader w:val="true"/>
        </w:trPr>
        <w:tc>
          <w:tcPr>
            <w:tcW w:w="2921" w:type="dxa"/>
            <w:shd w:val="clear" w:color="auto" w:fill="1F3A5F"/>
          </w:tcPr>
          <w:p>
            <w:pPr>
              <w:pStyle w:val="Compact"/>
              <w:spacing w:after="40"/>
              <w:jc w:val="left"/>
            </w:pPr>
            <w:r>
              <w:rPr>
                <w:b/>
                <w:color w:val="FFFFFF"/>
                <w:sz w:val="18"/>
              </w:rPr>
              <w:t xml:space="preserve">Item</w:t>
            </w:r>
          </w:p>
        </w:tc>
        <w:tc>
          <w:tcPr>
            <w:tcW w:w="4760" w:type="dxa"/>
            <w:shd w:val="clear" w:color="auto" w:fill="1F3A5F"/>
          </w:tcPr>
          <w:p>
            <w:pPr>
              <w:pStyle w:val="Compact"/>
              <w:spacing w:after="40"/>
              <w:jc w:val="left"/>
            </w:pPr>
            <w:r>
              <w:rPr>
                <w:b/>
                <w:color w:val="FFFFFF"/>
                <w:sz w:val="18"/>
              </w:rPr>
              <w:t xml:space="preserve">Rule</w:t>
            </w:r>
          </w:p>
        </w:tc>
        <w:tc>
          <w:tcPr>
            <w:tcW w:w="1957" w:type="dxa"/>
            <w:shd w:val="clear" w:color="auto" w:fill="1F3A5F"/>
          </w:tcPr>
          <w:p>
            <w:pPr>
              <w:pStyle w:val="Compact"/>
              <w:spacing w:after="40"/>
              <w:jc w:val="left"/>
            </w:pPr>
            <w:r>
              <w:rPr>
                <w:b/>
                <w:color w:val="FFFFFF"/>
                <w:sz w:val="18"/>
              </w:rPr>
              <w:t xml:space="preserve">Basis</w:t>
            </w:r>
          </w:p>
        </w:tc>
      </w:tr>
      <w:tr>
        <w:tc>
          <w:tcPr>
            <w:tcW w:w="2921" w:type="dxa"/>
          </w:tcPr>
          <w:p>
            <w:pPr>
              <w:pStyle w:val="Compact"/>
              <w:spacing w:after="40"/>
              <w:jc w:val="left"/>
            </w:pPr>
            <w:r>
              <w:rPr>
                <w:sz w:val="18"/>
              </w:rPr>
              <w:t xml:space="preserve">Planning period</w:t>
            </w:r>
          </w:p>
        </w:tc>
        <w:tc>
          <w:tcPr>
            <w:tcW w:w="4760" w:type="dxa"/>
          </w:tcPr>
          <w:p>
            <w:pPr>
              <w:pStyle w:val="Compact"/>
              <w:spacing w:after="40"/>
              <w:jc w:val="left"/>
            </w:pPr>
            <w:r>
              <w:rPr>
                <w:sz w:val="18"/>
              </w:rPr>
              <w:t xml:space="preserve">≤ 6 months from acquisition</w:t>
            </w:r>
          </w:p>
        </w:tc>
        <w:tc>
          <w:tcPr>
            <w:tcW w:w="1957" w:type="dxa"/>
          </w:tcPr>
          <w:p>
            <w:pPr>
              <w:pStyle w:val="Compact"/>
              <w:spacing w:after="40"/>
              <w:jc w:val="left"/>
            </w:pPr>
            <w:r>
              <w:rPr>
                <w:sz w:val="18"/>
              </w:rPr>
              <w:t xml:space="preserve">para 12</w:t>
            </w:r>
          </w:p>
        </w:tc>
      </w:tr>
      <w:tr>
        <w:tc>
          <w:tcPr>
            <w:tcW w:w="2921" w:type="dxa"/>
          </w:tcPr>
          <w:p>
            <w:pPr>
              <w:pStyle w:val="Compact"/>
              <w:spacing w:after="40"/>
              <w:jc w:val="left"/>
            </w:pPr>
            <w:r>
              <w:rPr>
                <w:sz w:val="18"/>
              </w:rPr>
              <w:t xml:space="preserve">Realisation</w:t>
            </w:r>
          </w:p>
        </w:tc>
        <w:tc>
          <w:tcPr>
            <w:tcW w:w="4760" w:type="dxa"/>
          </w:tcPr>
          <w:p>
            <w:pPr>
              <w:pStyle w:val="Compact"/>
              <w:spacing w:after="40"/>
              <w:jc w:val="left"/>
            </w:pPr>
            <w:r>
              <w:rPr>
                <w:sz w:val="18"/>
              </w:rPr>
              <w:t xml:space="preserve">5 years; Board may extend to 8</w:t>
            </w:r>
          </w:p>
        </w:tc>
        <w:tc>
          <w:tcPr>
            <w:tcW w:w="1957" w:type="dxa"/>
          </w:tcPr>
          <w:p>
            <w:pPr>
              <w:pStyle w:val="Compact"/>
              <w:spacing w:after="40"/>
              <w:jc w:val="left"/>
            </w:pPr>
            <w:r>
              <w:rPr>
                <w:sz w:val="18"/>
              </w:rPr>
              <w:t xml:space="preserve">paras 35–36</w:t>
            </w:r>
          </w:p>
        </w:tc>
      </w:tr>
      <w:tr>
        <w:tc>
          <w:tcPr>
            <w:tcW w:w="2921" w:type="dxa"/>
          </w:tcPr>
          <w:p>
            <w:pPr>
              <w:pStyle w:val="Compact"/>
              <w:spacing w:after="40"/>
              <w:jc w:val="left"/>
            </w:pPr>
            <w:r>
              <w:rPr>
                <w:sz w:val="18"/>
              </w:rPr>
              <w:t xml:space="preserve">Rating</w:t>
            </w:r>
          </w:p>
        </w:tc>
        <w:tc>
          <w:tcPr>
            <w:tcW w:w="4760" w:type="dxa"/>
          </w:tcPr>
          <w:p>
            <w:pPr>
              <w:pStyle w:val="Compact"/>
              <w:spacing w:after="40"/>
              <w:jc w:val="left"/>
            </w:pPr>
            <w:r>
              <w:rPr>
                <w:sz w:val="18"/>
              </w:rPr>
              <w:t xml:space="preserve">within 6 months of acquisition</w:t>
            </w:r>
          </w:p>
        </w:tc>
        <w:tc>
          <w:tcPr>
            <w:tcW w:w="1957" w:type="dxa"/>
          </w:tcPr>
          <w:p>
            <w:pPr>
              <w:pStyle w:val="Compact"/>
              <w:spacing w:after="40"/>
              <w:jc w:val="left"/>
            </w:pPr>
            <w:r>
              <w:rPr>
                <w:sz w:val="18"/>
              </w:rPr>
              <w:t xml:space="preserve">paras 82–84</w:t>
            </w:r>
          </w:p>
        </w:tc>
      </w:tr>
      <w:tr>
        <w:tc>
          <w:tcPr>
            <w:tcW w:w="2921" w:type="dxa"/>
          </w:tcPr>
          <w:p>
            <w:pPr>
              <w:pStyle w:val="Compact"/>
              <w:spacing w:after="40"/>
              <w:jc w:val="left"/>
            </w:pPr>
            <w:r>
              <w:rPr>
                <w:sz w:val="18"/>
              </w:rPr>
              <w:t xml:space="preserve">NAV</w:t>
            </w:r>
          </w:p>
        </w:tc>
        <w:tc>
          <w:tcPr>
            <w:tcW w:w="4760" w:type="dxa"/>
          </w:tcPr>
          <w:p>
            <w:pPr>
              <w:pStyle w:val="Compact"/>
              <w:spacing w:after="40"/>
              <w:jc w:val="left"/>
            </w:pPr>
            <w:r>
              <w:rPr>
                <w:sz w:val="18"/>
              </w:rPr>
              <w:t xml:space="preserve">as on 30 June and 31 December, within the CRA recovery range</w:t>
            </w:r>
          </w:p>
        </w:tc>
        <w:tc>
          <w:tcPr>
            <w:tcW w:w="1957" w:type="dxa"/>
          </w:tcPr>
          <w:p>
            <w:pPr>
              <w:pStyle w:val="Compact"/>
              <w:spacing w:after="40"/>
              <w:jc w:val="left"/>
            </w:pPr>
            <w:r>
              <w:rPr>
                <w:sz w:val="18"/>
              </w:rPr>
              <w:t xml:space="preserve">para 90</w:t>
            </w:r>
          </w:p>
        </w:tc>
      </w:tr>
      <w:tr>
        <w:tc>
          <w:tcPr>
            <w:tcW w:w="2921" w:type="dxa"/>
          </w:tcPr>
          <w:p>
            <w:pPr>
              <w:pStyle w:val="Compact"/>
              <w:spacing w:after="40"/>
              <w:jc w:val="left"/>
            </w:pPr>
            <w:r>
              <w:rPr>
                <w:sz w:val="18"/>
              </w:rPr>
              <w:t xml:space="preserve">Management fee</w:t>
            </w:r>
          </w:p>
        </w:tc>
        <w:tc>
          <w:tcPr>
            <w:tcW w:w="4760" w:type="dxa"/>
          </w:tcPr>
          <w:p>
            <w:pPr>
              <w:pStyle w:val="Compact"/>
              <w:spacing w:after="40"/>
              <w:jc w:val="left"/>
            </w:pPr>
            <w:r>
              <w:rPr>
                <w:sz w:val="18"/>
              </w:rPr>
              <w:t xml:space="preserve">on NAV at the lower end of the range, capped at acquisition value</w:t>
            </w:r>
          </w:p>
        </w:tc>
        <w:tc>
          <w:tcPr>
            <w:tcW w:w="1957" w:type="dxa"/>
          </w:tcPr>
          <w:p>
            <w:pPr>
              <w:pStyle w:val="Compact"/>
              <w:spacing w:after="40"/>
              <w:jc w:val="left"/>
            </w:pPr>
            <w:r>
              <w:rPr>
                <w:sz w:val="18"/>
              </w:rPr>
              <w:t xml:space="preserve">para 142</w:t>
            </w:r>
          </w:p>
        </w:tc>
      </w:tr>
      <w:tr>
        <w:tc>
          <w:tcPr>
            <w:tcW w:w="2921" w:type="dxa"/>
          </w:tcPr>
          <w:p>
            <w:pPr>
              <w:pStyle w:val="Compact"/>
              <w:spacing w:after="40"/>
              <w:jc w:val="left"/>
            </w:pPr>
            <w:r>
              <w:rPr>
                <w:sz w:val="18"/>
              </w:rPr>
              <w:t xml:space="preserve">Fee reversal</w:t>
            </w:r>
          </w:p>
        </w:tc>
        <w:tc>
          <w:tcPr>
            <w:tcW w:w="4760" w:type="dxa"/>
          </w:tcPr>
          <w:p>
            <w:pPr>
              <w:pStyle w:val="Compact"/>
              <w:spacing w:after="40"/>
              <w:jc w:val="left"/>
            </w:pPr>
            <w:r>
              <w:rPr>
                <w:sz w:val="18"/>
              </w:rPr>
              <w:t xml:space="preserve">unrealised fees reversed 180 days after the planning period; ageing disclosed</w:t>
            </w:r>
          </w:p>
        </w:tc>
        <w:tc>
          <w:tcPr>
            <w:tcW w:w="1957" w:type="dxa"/>
          </w:tcPr>
          <w:p>
            <w:pPr>
              <w:pStyle w:val="Compact"/>
              <w:spacing w:after="40"/>
              <w:jc w:val="left"/>
            </w:pPr>
            <w:r>
              <w:rPr>
                <w:sz w:val="18"/>
              </w:rPr>
              <w:t xml:space="preserve">paras 143–144</w:t>
            </w:r>
          </w:p>
        </w:tc>
      </w:tr>
      <w:tr>
        <w:tc>
          <w:tcPr>
            <w:tcW w:w="2921" w:type="dxa"/>
          </w:tcPr>
          <w:p>
            <w:pPr>
              <w:pStyle w:val="Compact"/>
              <w:spacing w:after="40"/>
              <w:jc w:val="left"/>
            </w:pPr>
            <w:r>
              <w:rPr>
                <w:sz w:val="18"/>
              </w:rPr>
              <w:t xml:space="preserve">Restructuring support finance</w:t>
            </w:r>
          </w:p>
        </w:tc>
        <w:tc>
          <w:tcPr>
            <w:tcW w:w="4760" w:type="dxa"/>
          </w:tcPr>
          <w:p>
            <w:pPr>
              <w:pStyle w:val="Compact"/>
              <w:spacing w:after="40"/>
              <w:jc w:val="left"/>
            </w:pPr>
            <w:r>
              <w:rPr>
                <w:sz w:val="18"/>
              </w:rPr>
              <w:t xml:space="preserve">only if acquired assets &gt; ₹500 crore; ≤ 25% of scheme funds</w:t>
            </w:r>
          </w:p>
        </w:tc>
        <w:tc>
          <w:tcPr>
            <w:tcW w:w="1957" w:type="dxa"/>
          </w:tcPr>
          <w:p>
            <w:pPr>
              <w:pStyle w:val="Compact"/>
              <w:spacing w:after="40"/>
              <w:jc w:val="left"/>
            </w:pPr>
            <w:r>
              <w:rPr>
                <w:sz w:val="18"/>
              </w:rPr>
              <w:t xml:space="preserve">para 91</w:t>
            </w:r>
          </w:p>
        </w:tc>
      </w:tr>
    </w:tbl>
    <w:p>
      <w:pPr>
        <w:pStyle w:val="BodyText"/>
      </w:pPr>
      <w:r>
        <w:t xml:space="preserve">NAV publication emits</w:t>
      </w:r>
      <w:r>
        <w:t xml:space="preserve"> </w:t>
      </w:r>
      <w:r>
        <w:rPr>
          <w:rStyle w:val="VerbatimChar"/>
        </w:rPr>
        <w:t xml:space="preserve">SrNavPublished</w:t>
      </w:r>
      <w:r>
        <w:t xml:space="preserve"> </w:t>
      </w:r>
      <w:r>
        <w:t xml:space="preserve">(consumed by 7H IV4 investors and R13 transferors); a nightly job reverses qualifying fee accruals.</w:t>
      </w:r>
    </w:p>
    <w:bookmarkEnd w:id="580"/>
    <w:bookmarkStart w:id="581" w:name="X3a5bc0eff6b6be92eb04905ac02ef0c479a6821"/>
    <w:p>
      <w:pPr>
        <w:pStyle w:val="Heading3"/>
      </w:pPr>
      <w:r>
        <w:t xml:space="preserve">IP5.5 Resolution measures and settlements</w:t>
      </w:r>
    </w:p>
    <w:p>
      <w:pPr>
        <w:numPr>
          <w:ilvl w:val="0"/>
          <w:numId w:val="1489"/>
        </w:numPr>
        <w:pStyle w:val="Compact"/>
      </w:pPr>
      <w:r>
        <w:t xml:space="preserve">Management change: debt ≥ 25% of the borrower’s assets, 60% of SR holders and IAC review (paras 45, 47). Enforcement: 60% of secured creditors (para 58; R13.5 engine). Debt-to-equity ≤ 26% (paras 70–71). s.9(1)(b) sale or lease of business unavailable until notified (para 51) [VERIFY].</w:t>
      </w:r>
    </w:p>
    <w:p>
      <w:pPr>
        <w:numPr>
          <w:ilvl w:val="0"/>
          <w:numId w:val="1489"/>
        </w:numPr>
        <w:pStyle w:val="Compact"/>
      </w:pPr>
      <w:r>
        <w:t xml:space="preserve">Settlement (paras 60–67): Board policy, last resort,</w:t>
      </w:r>
      <w:r>
        <w:t xml:space="preserve"> </w:t>
      </w:r>
      <w:r>
        <w:rPr>
          <w:rStyle w:val="VerbatimChar"/>
        </w:rPr>
        <w:t xml:space="preserve">NPV of offer ≥ realisable value</w:t>
      </w:r>
      <w:r>
        <w:t xml:space="preserve"> </w:t>
      </w:r>
      <w:r>
        <w:t xml:space="preserve">stored, instalments need a business plan.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179"/>
        <w:gridCol w:w="4671"/>
        <w:gridCol w:w="1788"/>
      </w:tblGrid>
      <w:tr>
        <w:trPr>
          <w:tblHeader w:val="true"/>
          <w:tblHeader w:val="true"/>
        </w:trPr>
        <w:tc>
          <w:tcPr>
            <w:tcW w:w="3179" w:type="dxa"/>
            <w:shd w:val="clear" w:color="auto" w:fill="1F3A5F"/>
          </w:tcPr>
          <w:p>
            <w:pPr>
              <w:pStyle w:val="Compact"/>
              <w:spacing w:after="40"/>
              <w:jc w:val="left"/>
            </w:pPr>
            <w:r>
              <w:rPr>
                <w:b/>
                <w:color w:val="FFFFFF"/>
                <w:sz w:val="18"/>
              </w:rPr>
              <w:t xml:space="preserve">Settlement</w:t>
            </w:r>
          </w:p>
        </w:tc>
        <w:tc>
          <w:tcPr>
            <w:tcW w:w="4671" w:type="dxa"/>
            <w:shd w:val="clear" w:color="auto" w:fill="1F3A5F"/>
          </w:tcPr>
          <w:p>
            <w:pPr>
              <w:pStyle w:val="Compact"/>
              <w:spacing w:after="40"/>
              <w:jc w:val="left"/>
            </w:pPr>
            <w:r>
              <w:rPr>
                <w:b/>
                <w:color w:val="FFFFFF"/>
                <w:sz w:val="18"/>
              </w:rPr>
              <w:t xml:space="preserve">Route</w:t>
            </w:r>
          </w:p>
        </w:tc>
        <w:tc>
          <w:tcPr>
            <w:tcW w:w="1788" w:type="dxa"/>
            <w:shd w:val="clear" w:color="auto" w:fill="1F3A5F"/>
          </w:tcPr>
          <w:p>
            <w:pPr>
              <w:pStyle w:val="Compact"/>
              <w:spacing w:after="40"/>
              <w:jc w:val="left"/>
            </w:pPr>
            <w:r>
              <w:rPr>
                <w:b/>
                <w:color w:val="FFFFFF"/>
                <w:sz w:val="18"/>
              </w:rPr>
              <w:t xml:space="preserve">Basis</w:t>
            </w:r>
          </w:p>
        </w:tc>
      </w:tr>
      <w:tr>
        <w:tc>
          <w:tcPr>
            <w:tcW w:w="3179" w:type="dxa"/>
          </w:tcPr>
          <w:p>
            <w:pPr>
              <w:pStyle w:val="Compact"/>
              <w:spacing w:after="40"/>
              <w:jc w:val="left"/>
            </w:pPr>
            <w:r>
              <w:rPr>
                <w:sz w:val="18"/>
              </w:rPr>
              <w:t xml:space="preserve">≤ ₹1 crore, no fraud or wilful default</w:t>
            </w:r>
          </w:p>
        </w:tc>
        <w:tc>
          <w:tcPr>
            <w:tcW w:w="4671" w:type="dxa"/>
          </w:tcPr>
          <w:p>
            <w:pPr>
              <w:pStyle w:val="Compact"/>
              <w:spacing w:after="40"/>
              <w:jc w:val="left"/>
            </w:pPr>
            <w:r>
              <w:rPr>
                <w:sz w:val="18"/>
              </w:rPr>
              <w:t xml:space="preserve">authority other than acquisition officials; quarterly Board report</w:t>
            </w:r>
          </w:p>
        </w:tc>
        <w:tc>
          <w:tcPr>
            <w:tcW w:w="1788" w:type="dxa"/>
          </w:tcPr>
          <w:p>
            <w:pPr>
              <w:pStyle w:val="Compact"/>
              <w:spacing w:after="40"/>
              <w:jc w:val="left"/>
            </w:pPr>
            <w:r>
              <w:rPr>
                <w:sz w:val="18"/>
              </w:rPr>
              <w:t xml:space="preserve">para 65</w:t>
            </w:r>
          </w:p>
        </w:tc>
      </w:tr>
      <w:tr>
        <w:tc>
          <w:tcPr>
            <w:tcW w:w="3179" w:type="dxa"/>
          </w:tcPr>
          <w:p>
            <w:pPr>
              <w:pStyle w:val="Compact"/>
              <w:spacing w:after="40"/>
              <w:jc w:val="left"/>
            </w:pPr>
            <w:r>
              <w:rPr>
                <w:sz w:val="18"/>
              </w:rPr>
              <w:t xml:space="preserve">&gt; ₹1 crore</w:t>
            </w:r>
          </w:p>
        </w:tc>
        <w:tc>
          <w:tcPr>
            <w:tcW w:w="4671" w:type="dxa"/>
          </w:tcPr>
          <w:p>
            <w:pPr>
              <w:pStyle w:val="Compact"/>
              <w:spacing w:after="40"/>
              <w:jc w:val="left"/>
            </w:pPr>
            <w:r>
              <w:rPr>
                <w:sz w:val="18"/>
              </w:rPr>
              <w:t xml:space="preserve">IAC review → Board with ≥ 2 independent directors, or committee; rationale minuted</w:t>
            </w:r>
          </w:p>
        </w:tc>
        <w:tc>
          <w:tcPr>
            <w:tcW w:w="1788" w:type="dxa"/>
          </w:tcPr>
          <w:p>
            <w:pPr>
              <w:pStyle w:val="Compact"/>
              <w:spacing w:after="40"/>
              <w:jc w:val="left"/>
            </w:pPr>
            <w:r>
              <w:rPr>
                <w:sz w:val="18"/>
              </w:rPr>
              <w:t xml:space="preserve">paras 64, 66</w:t>
            </w:r>
          </w:p>
        </w:tc>
      </w:tr>
      <w:tr>
        <w:tc>
          <w:tcPr>
            <w:tcW w:w="3179" w:type="dxa"/>
          </w:tcPr>
          <w:p>
            <w:pPr>
              <w:pStyle w:val="Compact"/>
              <w:spacing w:after="40"/>
              <w:jc w:val="left"/>
            </w:pPr>
            <w:r>
              <w:rPr>
                <w:sz w:val="18"/>
              </w:rPr>
              <w:t xml:space="preserve">Fraud or wilful defaulter, any amount</w:t>
            </w:r>
          </w:p>
        </w:tc>
        <w:tc>
          <w:tcPr>
            <w:tcW w:w="4671" w:type="dxa"/>
          </w:tcPr>
          <w:p>
            <w:pPr>
              <w:pStyle w:val="Compact"/>
              <w:spacing w:after="40"/>
              <w:jc w:val="left"/>
            </w:pPr>
            <w:r>
              <w:rPr>
                <w:sz w:val="18"/>
              </w:rPr>
              <w:t xml:space="preserve">IAC review → Board or committee</w:t>
            </w:r>
          </w:p>
        </w:tc>
        <w:tc>
          <w:tcPr>
            <w:tcW w:w="1788" w:type="dxa"/>
          </w:tcPr>
          <w:p>
            <w:pPr>
              <w:pStyle w:val="Compact"/>
              <w:spacing w:after="40"/>
              <w:jc w:val="left"/>
            </w:pPr>
            <w:r>
              <w:rPr>
                <w:sz w:val="18"/>
              </w:rPr>
              <w:t xml:space="preserve">paras 64, 66</w:t>
            </w:r>
          </w:p>
        </w:tc>
      </w:tr>
      <w:tr>
        <w:tc>
          <w:tcPr>
            <w:tcW w:w="3179" w:type="dxa"/>
          </w:tcPr>
          <w:p>
            <w:pPr>
              <w:pStyle w:val="Compact"/>
              <w:spacing w:after="40"/>
              <w:jc w:val="left"/>
            </w:pPr>
            <w:r>
              <w:rPr>
                <w:sz w:val="18"/>
              </w:rPr>
              <w:t xml:space="preserve">Litigation pending</w:t>
            </w:r>
          </w:p>
        </w:tc>
        <w:tc>
          <w:tcPr>
            <w:tcW w:w="4671" w:type="dxa"/>
          </w:tcPr>
          <w:p>
            <w:pPr>
              <w:pStyle w:val="Compact"/>
              <w:spacing w:after="40"/>
              <w:jc w:val="left"/>
            </w:pPr>
            <w:r>
              <w:rPr>
                <w:sz w:val="18"/>
              </w:rPr>
              <w:t xml:space="preserve">consent terms filed</w:t>
            </w:r>
          </w:p>
        </w:tc>
        <w:tc>
          <w:tcPr>
            <w:tcW w:w="1788" w:type="dxa"/>
          </w:tcPr>
          <w:p>
            <w:pPr>
              <w:pStyle w:val="Compact"/>
              <w:spacing w:after="40"/>
              <w:jc w:val="left"/>
            </w:pPr>
            <w:r>
              <w:rPr>
                <w:sz w:val="18"/>
              </w:rPr>
              <w:t xml:space="preserve">para 67(2)</w:t>
            </w:r>
          </w:p>
        </w:tc>
      </w:tr>
    </w:tbl>
    <w:p>
      <w:pPr>
        <w:pStyle w:val="BodyText"/>
      </w:pPr>
      <w:r>
        <w:t xml:space="preserve">Negotiation or conciliation may run through Equator (R8.6); approval stays with the ARC.</w:t>
      </w:r>
    </w:p>
    <w:bookmarkEnd w:id="581"/>
    <w:bookmarkStart w:id="582" w:name="ip5.6-disclosures-returns-and-accounting"/>
    <w:p>
      <w:pPr>
        <w:pStyle w:val="Heading3"/>
      </w:pPr>
      <w:r>
        <w:t xml:space="preserve">IP5.6 Disclosures, returns and accounting</w:t>
      </w:r>
    </w:p>
    <w:p>
      <w:pPr>
        <w:numPr>
          <w:ilvl w:val="0"/>
          <w:numId w:val="1490"/>
        </w:numPr>
        <w:pStyle w:val="Compact"/>
      </w:pPr>
      <w:r>
        <w:t xml:space="preserve">Returns (7B): DNBS07 Important Financial Parameters (quarterly), DNBS10 auditor certificate (annual), DNBS13 overseas investment (quarterly, NIL), and the ARC Supervisory Returns Directions 2026 set [VERIFY]; audited balance sheet to the regional office within 1 month of the AGM (para 152).</w:t>
      </w:r>
    </w:p>
    <w:p>
      <w:pPr>
        <w:numPr>
          <w:ilvl w:val="0"/>
          <w:numId w:val="1490"/>
        </w:numPr>
        <w:pStyle w:val="Compact"/>
      </w:pPr>
      <w:r>
        <w:t xml:space="preserve">Public: monthly possession list (para 154); seller, realisation, redemption and &gt; 20%-discount schedules (para 150); Ind AS versus IRACP (para 137). CERSAI and IU filings (paras 158–162); CIC reporting [VERIFY ARC CIR text].</w:t>
      </w:r>
    </w:p>
    <w:p>
      <w:pPr>
        <w:numPr>
          <w:ilvl w:val="0"/>
          <w:numId w:val="1490"/>
        </w:numPr>
        <w:pStyle w:val="Compact"/>
      </w:pPr>
      <w:r>
        <w:t xml:space="preserve">Accounting (7C AC1): Ind AS where Rule 4 applies, else AS plus RBI ARC norms (RBI guidance of 13 Mar 2020) [VERIFY limb]; trust books separate. ARC tenants receive R13.6 data rooms from transferors; R1.4 runs with the ARC’s own SARFAESI eligibility and the 60% consent rule.</w:t>
      </w:r>
    </w:p>
    <w:bookmarkEnd w:id="582"/>
    <w:bookmarkStart w:id="583" w:name="ip5.7-what-an-nbfc-may-and-may-not-do"/>
    <w:p>
      <w:pPr>
        <w:pStyle w:val="Heading3"/>
      </w:pPr>
      <w:r>
        <w:t xml:space="preserve">IP5.7 What an NBFC may and may not do</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58"/>
        <w:gridCol w:w="2902"/>
        <w:gridCol w:w="3238"/>
        <w:gridCol w:w="1340"/>
      </w:tblGrid>
      <w:tr>
        <w:trPr>
          <w:tblHeader w:val="true"/>
          <w:tblHeader w:val="true"/>
        </w:trPr>
        <w:tc>
          <w:tcPr>
            <w:tcW w:w="2158" w:type="dxa"/>
            <w:shd w:val="clear" w:color="auto" w:fill="1F3A5F"/>
          </w:tcPr>
          <w:p>
            <w:pPr>
              <w:pStyle w:val="Compact"/>
              <w:spacing w:after="40"/>
              <w:jc w:val="left"/>
            </w:pPr>
            <w:r>
              <w:rPr>
                <w:b/>
                <w:color w:val="FFFFFF"/>
                <w:sz w:val="18"/>
              </w:rPr>
              <w:t xml:space="preserve">Activity</w:t>
            </w:r>
          </w:p>
        </w:tc>
        <w:tc>
          <w:tcPr>
            <w:tcW w:w="2902" w:type="dxa"/>
            <w:shd w:val="clear" w:color="auto" w:fill="1F3A5F"/>
          </w:tcPr>
          <w:p>
            <w:pPr>
              <w:pStyle w:val="Compact"/>
              <w:spacing w:after="40"/>
              <w:jc w:val="left"/>
            </w:pPr>
            <w:r>
              <w:rPr>
                <w:b/>
                <w:color w:val="FFFFFF"/>
                <w:sz w:val="18"/>
              </w:rPr>
              <w:t xml:space="preserve">Permitted</w:t>
            </w:r>
          </w:p>
        </w:tc>
        <w:tc>
          <w:tcPr>
            <w:tcW w:w="3238" w:type="dxa"/>
            <w:shd w:val="clear" w:color="auto" w:fill="1F3A5F"/>
          </w:tcPr>
          <w:p>
            <w:pPr>
              <w:pStyle w:val="Compact"/>
              <w:spacing w:after="40"/>
              <w:jc w:val="left"/>
            </w:pPr>
            <w:r>
              <w:rPr>
                <w:b/>
                <w:color w:val="FFFFFF"/>
                <w:sz w:val="18"/>
              </w:rPr>
              <w:t xml:space="preserve">Conditions</w:t>
            </w:r>
          </w:p>
        </w:tc>
        <w:tc>
          <w:tcPr>
            <w:tcW w:w="1340" w:type="dxa"/>
            <w:shd w:val="clear" w:color="auto" w:fill="1F3A5F"/>
          </w:tcPr>
          <w:p>
            <w:pPr>
              <w:pStyle w:val="Compact"/>
              <w:spacing w:after="40"/>
              <w:jc w:val="left"/>
            </w:pPr>
            <w:r>
              <w:rPr>
                <w:b/>
                <w:color w:val="FFFFFF"/>
                <w:sz w:val="18"/>
              </w:rPr>
              <w:t xml:space="preserve">Basis</w:t>
            </w:r>
          </w:p>
        </w:tc>
      </w:tr>
      <w:tr>
        <w:tc>
          <w:tcPr>
            <w:tcW w:w="2158" w:type="dxa"/>
          </w:tcPr>
          <w:p>
            <w:pPr>
              <w:pStyle w:val="Compact"/>
              <w:spacing w:after="40"/>
              <w:jc w:val="left"/>
            </w:pPr>
            <w:r>
              <w:rPr>
                <w:sz w:val="18"/>
              </w:rPr>
              <w:t xml:space="preserve">Sell stressed loans to permitted transferees or ARCs</w:t>
            </w:r>
          </w:p>
        </w:tc>
        <w:tc>
          <w:tcPr>
            <w:tcW w:w="2902" w:type="dxa"/>
          </w:tcPr>
          <w:p>
            <w:pPr>
              <w:pStyle w:val="Compact"/>
              <w:spacing w:after="40"/>
              <w:jc w:val="left"/>
            </w:pPr>
            <w:r>
              <w:rPr>
                <w:sz w:val="18"/>
              </w:rPr>
              <w:t xml:space="preserve">Yes</w:t>
            </w:r>
          </w:p>
        </w:tc>
        <w:tc>
          <w:tcPr>
            <w:tcW w:w="3238" w:type="dxa"/>
          </w:tcPr>
          <w:p>
            <w:pPr>
              <w:pStyle w:val="Compact"/>
              <w:spacing w:after="40"/>
              <w:jc w:val="left"/>
            </w:pPr>
            <w:r>
              <w:rPr>
                <w:sz w:val="18"/>
              </w:rPr>
              <w:t xml:space="preserve">R13.4</w:t>
            </w:r>
          </w:p>
        </w:tc>
        <w:tc>
          <w:tcPr>
            <w:tcW w:w="1340" w:type="dxa"/>
          </w:tcPr>
          <w:p>
            <w:pPr>
              <w:pStyle w:val="Compact"/>
              <w:spacing w:after="40"/>
              <w:jc w:val="left"/>
            </w:pPr>
            <w:r>
              <w:rPr>
                <w:sz w:val="18"/>
              </w:rPr>
              <w:t xml:space="preserve">TDCR para 58</w:t>
            </w:r>
          </w:p>
        </w:tc>
      </w:tr>
      <w:tr>
        <w:tc>
          <w:tcPr>
            <w:tcW w:w="2158" w:type="dxa"/>
          </w:tcPr>
          <w:p>
            <w:pPr>
              <w:pStyle w:val="Compact"/>
              <w:spacing w:after="40"/>
              <w:jc w:val="left"/>
            </w:pPr>
            <w:r>
              <w:rPr>
                <w:sz w:val="18"/>
              </w:rPr>
              <w:t xml:space="preserve">Buy stressed loans as permitted transferee</w:t>
            </w:r>
          </w:p>
        </w:tc>
        <w:tc>
          <w:tcPr>
            <w:tcW w:w="2902" w:type="dxa"/>
          </w:tcPr>
          <w:p>
            <w:pPr>
              <w:pStyle w:val="Compact"/>
              <w:spacing w:after="40"/>
              <w:jc w:val="left"/>
            </w:pPr>
            <w:r>
              <w:rPr>
                <w:sz w:val="18"/>
              </w:rPr>
              <w:t xml:space="preserve">Yes</w:t>
            </w:r>
          </w:p>
        </w:tc>
        <w:tc>
          <w:tcPr>
            <w:tcW w:w="3238" w:type="dxa"/>
          </w:tcPr>
          <w:p>
            <w:pPr>
              <w:pStyle w:val="Compact"/>
              <w:spacing w:after="40"/>
              <w:jc w:val="left"/>
            </w:pPr>
            <w:r>
              <w:rPr>
                <w:sz w:val="18"/>
              </w:rPr>
              <w:t xml:space="preserve">hold ≥ 6 months; none transferred as stressed in prior 6 months; recoveries first reduce cost; 100% RW while standard</w:t>
            </w:r>
          </w:p>
        </w:tc>
        <w:tc>
          <w:tcPr>
            <w:tcW w:w="1340" w:type="dxa"/>
          </w:tcPr>
          <w:p>
            <w:pPr>
              <w:pStyle w:val="Compact"/>
              <w:spacing w:after="40"/>
              <w:jc w:val="left"/>
            </w:pPr>
            <w:r>
              <w:rPr>
                <w:sz w:val="18"/>
              </w:rPr>
              <w:t xml:space="preserve">TDCR paras 74, 76–77</w:t>
            </w:r>
          </w:p>
        </w:tc>
      </w:tr>
      <w:tr>
        <w:tc>
          <w:tcPr>
            <w:tcW w:w="2158" w:type="dxa"/>
          </w:tcPr>
          <w:p>
            <w:pPr>
              <w:pStyle w:val="Compact"/>
              <w:spacing w:after="40"/>
              <w:jc w:val="left"/>
            </w:pPr>
            <w:r>
              <w:rPr>
                <w:sz w:val="18"/>
              </w:rPr>
              <w:t xml:space="preserve">Invest in SRs as QB</w:t>
            </w:r>
          </w:p>
        </w:tc>
        <w:tc>
          <w:tcPr>
            <w:tcW w:w="2902" w:type="dxa"/>
          </w:tcPr>
          <w:p>
            <w:pPr>
              <w:pStyle w:val="Compact"/>
              <w:spacing w:after="40"/>
              <w:jc w:val="left"/>
            </w:pPr>
            <w:r>
              <w:rPr>
                <w:sz w:val="18"/>
              </w:rPr>
              <w:t xml:space="preserve">Yes, since the SARFAESI gazette notification of 28 Feb 2025 (all RBI-regulated NBFCs and HFCs)</w:t>
            </w:r>
          </w:p>
        </w:tc>
        <w:tc>
          <w:tcPr>
            <w:tcW w:w="3238" w:type="dxa"/>
          </w:tcPr>
          <w:p>
            <w:pPr>
              <w:pStyle w:val="Compact"/>
              <w:spacing w:after="40"/>
              <w:jc w:val="left"/>
            </w:pPr>
            <w:r>
              <w:rPr>
                <w:sz w:val="18"/>
              </w:rPr>
              <w:t xml:space="preserve">defaulting promoters and related parties must not regain assets through SRs; valuation per TDCR paras 82–86 (7H IV4)</w:t>
            </w:r>
          </w:p>
        </w:tc>
        <w:tc>
          <w:tcPr>
            <w:tcW w:w="1340" w:type="dxa"/>
          </w:tcPr>
          <w:p>
            <w:pPr>
              <w:pStyle w:val="Compact"/>
              <w:spacing w:after="40"/>
              <w:jc w:val="left"/>
            </w:pPr>
            <w:r>
              <w:rPr>
                <w:sz w:val="18"/>
              </w:rPr>
              <w:t xml:space="preserve">SARFAESI s.2(1)(u)</w:t>
            </w:r>
          </w:p>
        </w:tc>
      </w:tr>
      <w:tr>
        <w:tc>
          <w:tcPr>
            <w:tcW w:w="2158" w:type="dxa"/>
          </w:tcPr>
          <w:p>
            <w:pPr>
              <w:pStyle w:val="Compact"/>
              <w:spacing w:after="40"/>
              <w:jc w:val="left"/>
            </w:pPr>
            <w:r>
              <w:rPr>
                <w:sz w:val="18"/>
              </w:rPr>
              <w:t xml:space="preserve">Take over standard accounts from ARCs</w:t>
            </w:r>
          </w:p>
        </w:tc>
        <w:tc>
          <w:tcPr>
            <w:tcW w:w="2902" w:type="dxa"/>
          </w:tcPr>
          <w:p>
            <w:pPr>
              <w:pStyle w:val="Compact"/>
              <w:spacing w:after="40"/>
              <w:jc w:val="left"/>
            </w:pPr>
            <w:r>
              <w:rPr>
                <w:sz w:val="18"/>
              </w:rPr>
              <w:t xml:space="preserve">Yes</w:t>
            </w:r>
          </w:p>
        </w:tc>
        <w:tc>
          <w:tcPr>
            <w:tcW w:w="3238" w:type="dxa"/>
          </w:tcPr>
          <w:p>
            <w:pPr>
              <w:pStyle w:val="Compact"/>
              <w:spacing w:after="40"/>
              <w:jc w:val="left"/>
            </w:pPr>
            <w:r>
              <w:rPr>
                <w:sz w:val="18"/>
              </w:rPr>
              <w:t xml:space="preserve">after satisfactory monitoring period; Board policy; never its own earlier transfers</w:t>
            </w:r>
          </w:p>
        </w:tc>
        <w:tc>
          <w:tcPr>
            <w:tcW w:w="1340" w:type="dxa"/>
          </w:tcPr>
          <w:p>
            <w:pPr>
              <w:pStyle w:val="Compact"/>
              <w:spacing w:after="40"/>
              <w:jc w:val="left"/>
            </w:pPr>
            <w:r>
              <w:rPr>
                <w:sz w:val="18"/>
              </w:rPr>
              <w:t xml:space="preserve">TDCR para 87</w:t>
            </w:r>
          </w:p>
        </w:tc>
      </w:tr>
      <w:tr>
        <w:tc>
          <w:tcPr>
            <w:tcW w:w="2158" w:type="dxa"/>
          </w:tcPr>
          <w:p>
            <w:pPr>
              <w:pStyle w:val="Compact"/>
              <w:spacing w:after="40"/>
              <w:jc w:val="left"/>
            </w:pPr>
            <w:r>
              <w:rPr>
                <w:sz w:val="18"/>
              </w:rPr>
              <w:t xml:space="preserve">ARC as fee-based recovery agent</w:t>
            </w:r>
          </w:p>
        </w:tc>
        <w:tc>
          <w:tcPr>
            <w:tcW w:w="2902" w:type="dxa"/>
          </w:tcPr>
          <w:p>
            <w:pPr>
              <w:pStyle w:val="Compact"/>
              <w:spacing w:after="40"/>
              <w:jc w:val="left"/>
            </w:pPr>
            <w:r>
              <w:rPr>
                <w:sz w:val="18"/>
              </w:rPr>
              <w:t xml:space="preserve">Yes</w:t>
            </w:r>
          </w:p>
        </w:tc>
        <w:tc>
          <w:tcPr>
            <w:tcW w:w="3238" w:type="dxa"/>
          </w:tcPr>
          <w:p>
            <w:pPr>
              <w:pStyle w:val="Compact"/>
              <w:spacing w:after="40"/>
              <w:jc w:val="left"/>
            </w:pPr>
            <w:r>
              <w:rPr>
                <w:sz w:val="18"/>
              </w:rPr>
              <w:t xml:space="preserve">loan stays on books; provisioning continues</w:t>
            </w:r>
          </w:p>
        </w:tc>
        <w:tc>
          <w:tcPr>
            <w:tcW w:w="1340" w:type="dxa"/>
          </w:tcPr>
          <w:p>
            <w:pPr>
              <w:pStyle w:val="Compact"/>
              <w:spacing w:after="40"/>
              <w:jc w:val="left"/>
            </w:pPr>
            <w:r>
              <w:rPr>
                <w:sz w:val="18"/>
              </w:rPr>
              <w:t xml:space="preserve">TDCR para 88</w:t>
            </w:r>
          </w:p>
        </w:tc>
      </w:tr>
      <w:tr>
        <w:tc>
          <w:tcPr>
            <w:tcW w:w="2158" w:type="dxa"/>
          </w:tcPr>
          <w:p>
            <w:pPr>
              <w:pStyle w:val="Compact"/>
              <w:spacing w:after="40"/>
              <w:jc w:val="left"/>
            </w:pPr>
            <w:r>
              <w:rPr>
                <w:sz w:val="18"/>
              </w:rPr>
              <w:t xml:space="preserve">s.7 trust, SR issue, s.9 measures,</w:t>
            </w:r>
            <w:r>
              <w:rPr>
                <w:sz w:val="18"/>
              </w:rPr>
              <w:t xml:space="preserve"> </w:t>
            </w:r>
            <w:r>
              <w:rPr>
                <w:sz w:val="18"/>
              </w:rPr>
              <w:t xml:space="preserve">“</w:t>
            </w:r>
            <w:r>
              <w:rPr>
                <w:sz w:val="18"/>
              </w:rPr>
              <w:t xml:space="preserve">ARC</w:t>
            </w:r>
            <w:r>
              <w:rPr>
                <w:sz w:val="18"/>
              </w:rPr>
              <w:t xml:space="preserve">”</w:t>
            </w:r>
            <w:r>
              <w:rPr>
                <w:sz w:val="18"/>
              </w:rPr>
              <w:t xml:space="preserve"> </w:t>
            </w:r>
            <w:r>
              <w:rPr>
                <w:sz w:val="18"/>
              </w:rPr>
              <w:t xml:space="preserve">description</w:t>
            </w:r>
          </w:p>
        </w:tc>
        <w:tc>
          <w:tcPr>
            <w:tcW w:w="2902" w:type="dxa"/>
          </w:tcPr>
          <w:p>
            <w:pPr>
              <w:pStyle w:val="Compact"/>
              <w:spacing w:after="40"/>
              <w:jc w:val="left"/>
            </w:pPr>
            <w:r>
              <w:rPr>
                <w:bCs/>
                <w:b/>
                <w:sz w:val="18"/>
              </w:rPr>
              <w:t xml:space="preserve">No</w:t>
            </w:r>
          </w:p>
        </w:tc>
        <w:tc>
          <w:tcPr>
            <w:tcW w:w="3238" w:type="dxa"/>
          </w:tcPr>
          <w:p>
            <w:pPr>
              <w:pStyle w:val="Compact"/>
              <w:spacing w:after="40"/>
              <w:jc w:val="left"/>
            </w:pPr>
            <w:r>
              <w:rPr>
                <w:sz w:val="18"/>
              </w:rPr>
              <w:t xml:space="preserve">needs s.3 registration</w:t>
            </w:r>
          </w:p>
        </w:tc>
        <w:tc>
          <w:tcPr>
            <w:tcW w:w="1340" w:type="dxa"/>
          </w:tcPr>
          <w:p>
            <w:pPr>
              <w:pStyle w:val="Compact"/>
              <w:spacing w:after="40"/>
              <w:jc w:val="left"/>
            </w:pPr>
            <w:r>
              <w:rPr>
                <w:sz w:val="18"/>
              </w:rPr>
              <w:t xml:space="preserve">SARFAESI ss.3, 7, 9</w:t>
            </w:r>
          </w:p>
        </w:tc>
      </w:tr>
    </w:tbl>
    <w:p>
      <w:pPr>
        <w:pStyle w:val="BodyText"/>
      </w:pPr>
      <w:r>
        <w:t xml:space="preserve">GR-7G-08 to GR-7G-10 enforce these. Purchases reuse</w:t>
      </w:r>
      <w:r>
        <w:t xml:space="preserve"> </w:t>
      </w:r>
      <w:r>
        <w:rPr>
          <w:rStyle w:val="VerbatimChar"/>
        </w:rPr>
        <w:t xml:space="preserve">loan_transfer</w:t>
      </w:r>
      <w:r>
        <w:t xml:space="preserve"> </w:t>
      </w:r>
      <w:r>
        <w:t xml:space="preserve">(v1.3) with</w:t>
      </w:r>
      <w:r>
        <w:t xml:space="preserve"> </w:t>
      </w:r>
      <w:r>
        <w:rPr>
          <w:rStyle w:val="VerbatimChar"/>
        </w:rPr>
        <w:t xml:space="preserve">role = transferee</w:t>
      </w:r>
      <w:r>
        <w:t xml:space="preserve"> </w:t>
      </w:r>
      <w:r>
        <w:t xml:space="preserve">and a 6-month lock. Each NBFC records its QB basis and, per SR purchase, a declaration that it is not related to the defaulting promoter.</w:t>
      </w:r>
    </w:p>
    <w:bookmarkEnd w:id="583"/>
    <w:bookmarkStart w:id="584" w:name="settings-and-options-19"/>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143"/>
        <w:gridCol w:w="1496"/>
        <w:gridCol w:w="2111"/>
        <w:gridCol w:w="2888"/>
      </w:tblGrid>
      <w:tr>
        <w:trPr>
          <w:tblHeader w:val="true"/>
          <w:tblHeader w:val="true"/>
        </w:trPr>
        <w:tc>
          <w:tcPr>
            <w:tcW w:w="3143" w:type="dxa"/>
            <w:shd w:val="clear" w:color="auto" w:fill="1F3A5F"/>
          </w:tcPr>
          <w:p>
            <w:pPr>
              <w:pStyle w:val="Compact"/>
              <w:spacing w:after="40"/>
              <w:jc w:val="left"/>
            </w:pPr>
            <w:r>
              <w:rPr>
                <w:b/>
                <w:color w:val="FFFFFF"/>
                <w:sz w:val="18"/>
              </w:rPr>
              <w:t xml:space="preserve">Setting</w:t>
            </w:r>
          </w:p>
        </w:tc>
        <w:tc>
          <w:tcPr>
            <w:tcW w:w="1496" w:type="dxa"/>
            <w:shd w:val="clear" w:color="auto" w:fill="1F3A5F"/>
          </w:tcPr>
          <w:p>
            <w:pPr>
              <w:pStyle w:val="Compact"/>
              <w:spacing w:after="40"/>
              <w:jc w:val="left"/>
            </w:pPr>
            <w:r>
              <w:rPr>
                <w:b/>
                <w:color w:val="FFFFFF"/>
                <w:sz w:val="18"/>
              </w:rPr>
              <w:t xml:space="preserve">Level</w:t>
            </w:r>
          </w:p>
        </w:tc>
        <w:tc>
          <w:tcPr>
            <w:tcW w:w="2111" w:type="dxa"/>
            <w:shd w:val="clear" w:color="auto" w:fill="1F3A5F"/>
          </w:tcPr>
          <w:p>
            <w:pPr>
              <w:pStyle w:val="Compact"/>
              <w:spacing w:after="40"/>
              <w:jc w:val="left"/>
            </w:pPr>
            <w:r>
              <w:rPr>
                <w:b/>
                <w:color w:val="FFFFFF"/>
                <w:sz w:val="18"/>
              </w:rPr>
              <w:t xml:space="preserve">Default</w:t>
            </w:r>
          </w:p>
        </w:tc>
        <w:tc>
          <w:tcPr>
            <w:tcW w:w="2888" w:type="dxa"/>
            <w:shd w:val="clear" w:color="auto" w:fill="1F3A5F"/>
          </w:tcPr>
          <w:p>
            <w:pPr>
              <w:pStyle w:val="Compact"/>
              <w:spacing w:after="40"/>
              <w:jc w:val="left"/>
            </w:pPr>
            <w:r>
              <w:rPr>
                <w:b/>
                <w:color w:val="FFFFFF"/>
                <w:sz w:val="18"/>
              </w:rPr>
              <w:t xml:space="preserve">Nature</w:t>
            </w:r>
          </w:p>
        </w:tc>
      </w:tr>
      <w:tr>
        <w:tc>
          <w:tcPr>
            <w:tcW w:w="3143" w:type="dxa"/>
          </w:tcPr>
          <w:p>
            <w:pPr>
              <w:pStyle w:val="Compact"/>
              <w:spacing w:after="40"/>
              <w:jc w:val="left"/>
            </w:pPr>
            <w:r>
              <w:rPr>
                <w:sz w:val="18"/>
              </w:rPr>
              <w:t xml:space="preserve">NOF, CRAR, surplus-fund and own-use property limits</w:t>
            </w:r>
          </w:p>
        </w:tc>
        <w:tc>
          <w:tcPr>
            <w:tcW w:w="1496" w:type="dxa"/>
          </w:tcPr>
          <w:p>
            <w:pPr>
              <w:pStyle w:val="Compact"/>
              <w:spacing w:after="40"/>
              <w:jc w:val="left"/>
            </w:pPr>
            <w:r>
              <w:rPr>
                <w:sz w:val="18"/>
              </w:rPr>
              <w:t xml:space="preserve">ARC tenant</w:t>
            </w:r>
          </w:p>
        </w:tc>
        <w:tc>
          <w:tcPr>
            <w:tcW w:w="2111" w:type="dxa"/>
          </w:tcPr>
          <w:p>
            <w:pPr>
              <w:pStyle w:val="Compact"/>
              <w:spacing w:after="40"/>
              <w:jc w:val="left"/>
            </w:pPr>
            <w:r>
              <w:rPr>
                <w:sz w:val="18"/>
              </w:rPr>
              <w:t xml:space="preserve">Directions values</w:t>
            </w:r>
          </w:p>
        </w:tc>
        <w:tc>
          <w:tcPr>
            <w:tcW w:w="2888" w:type="dxa"/>
          </w:tcPr>
          <w:p>
            <w:pPr>
              <w:pStyle w:val="Compact"/>
              <w:spacing w:after="40"/>
              <w:jc w:val="left"/>
            </w:pPr>
            <w:r>
              <w:rPr>
                <w:sz w:val="18"/>
              </w:rPr>
              <w:t xml:space="preserve">Regulatory floor</w:t>
            </w:r>
          </w:p>
        </w:tc>
      </w:tr>
      <w:tr>
        <w:tc>
          <w:tcPr>
            <w:tcW w:w="3143" w:type="dxa"/>
          </w:tcPr>
          <w:p>
            <w:pPr>
              <w:pStyle w:val="Compact"/>
              <w:spacing w:after="40"/>
              <w:jc w:val="left"/>
            </w:pPr>
            <w:r>
              <w:rPr>
                <w:sz w:val="18"/>
              </w:rPr>
              <w:t xml:space="preserve">Due-diligence minimum</w:t>
            </w:r>
          </w:p>
        </w:tc>
        <w:tc>
          <w:tcPr>
            <w:tcW w:w="1496" w:type="dxa"/>
          </w:tcPr>
          <w:p>
            <w:pPr>
              <w:pStyle w:val="Compact"/>
              <w:spacing w:after="40"/>
              <w:jc w:val="left"/>
            </w:pPr>
            <w:r>
              <w:rPr>
                <w:sz w:val="18"/>
              </w:rPr>
              <w:t xml:space="preserve">ARC tenant</w:t>
            </w:r>
          </w:p>
        </w:tc>
        <w:tc>
          <w:tcPr>
            <w:tcW w:w="2111" w:type="dxa"/>
          </w:tcPr>
          <w:p>
            <w:pPr>
              <w:pStyle w:val="Compact"/>
              <w:spacing w:after="40"/>
              <w:jc w:val="left"/>
            </w:pPr>
            <w:r>
              <w:rPr>
                <w:sz w:val="18"/>
              </w:rPr>
              <w:t xml:space="preserve">2 weeks</w:t>
            </w:r>
          </w:p>
        </w:tc>
        <w:tc>
          <w:tcPr>
            <w:tcW w:w="2888" w:type="dxa"/>
          </w:tcPr>
          <w:p>
            <w:pPr>
              <w:pStyle w:val="Compact"/>
              <w:spacing w:after="40"/>
              <w:jc w:val="left"/>
            </w:pPr>
            <w:r>
              <w:rPr>
                <w:sz w:val="18"/>
              </w:rPr>
              <w:t xml:space="preserve">Regulatory floor; Board may lengthen</w:t>
            </w:r>
          </w:p>
        </w:tc>
      </w:tr>
      <w:tr>
        <w:tc>
          <w:tcPr>
            <w:tcW w:w="3143" w:type="dxa"/>
          </w:tcPr>
          <w:p>
            <w:pPr>
              <w:pStyle w:val="Compact"/>
              <w:spacing w:after="40"/>
              <w:jc w:val="left"/>
            </w:pPr>
            <w:r>
              <w:rPr>
                <w:sz w:val="18"/>
              </w:rPr>
              <w:t xml:space="preserve">Settlement routing threshold</w:t>
            </w:r>
          </w:p>
        </w:tc>
        <w:tc>
          <w:tcPr>
            <w:tcW w:w="1496" w:type="dxa"/>
          </w:tcPr>
          <w:p>
            <w:pPr>
              <w:pStyle w:val="Compact"/>
              <w:spacing w:after="40"/>
              <w:jc w:val="left"/>
            </w:pPr>
            <w:r>
              <w:rPr>
                <w:sz w:val="18"/>
              </w:rPr>
              <w:t xml:space="preserve">ARC tenant</w:t>
            </w:r>
          </w:p>
        </w:tc>
        <w:tc>
          <w:tcPr>
            <w:tcW w:w="2111" w:type="dxa"/>
          </w:tcPr>
          <w:p>
            <w:pPr>
              <w:pStyle w:val="Compact"/>
              <w:spacing w:after="40"/>
              <w:jc w:val="left"/>
            </w:pPr>
            <w:r>
              <w:rPr>
                <w:sz w:val="18"/>
              </w:rPr>
              <w:t xml:space="preserve">₹1 crore</w:t>
            </w:r>
          </w:p>
        </w:tc>
        <w:tc>
          <w:tcPr>
            <w:tcW w:w="2888" w:type="dxa"/>
          </w:tcPr>
          <w:p>
            <w:pPr>
              <w:pStyle w:val="Compact"/>
              <w:spacing w:after="40"/>
              <w:jc w:val="left"/>
            </w:pPr>
            <w:r>
              <w:rPr>
                <w:sz w:val="18"/>
              </w:rPr>
              <w:t xml:space="preserve">Regulatory; Board may lower</w:t>
            </w:r>
          </w:p>
        </w:tc>
      </w:tr>
      <w:tr>
        <w:tc>
          <w:tcPr>
            <w:tcW w:w="3143" w:type="dxa"/>
          </w:tcPr>
          <w:p>
            <w:pPr>
              <w:pStyle w:val="Compact"/>
              <w:spacing w:after="40"/>
              <w:jc w:val="left"/>
            </w:pPr>
            <w:r>
              <w:rPr>
                <w:sz w:val="18"/>
              </w:rPr>
              <w:t xml:space="preserve">Realisation extension</w:t>
            </w:r>
          </w:p>
        </w:tc>
        <w:tc>
          <w:tcPr>
            <w:tcW w:w="1496" w:type="dxa"/>
          </w:tcPr>
          <w:p>
            <w:pPr>
              <w:pStyle w:val="Compact"/>
              <w:spacing w:after="40"/>
              <w:jc w:val="left"/>
            </w:pPr>
            <w:r>
              <w:rPr>
                <w:sz w:val="18"/>
              </w:rPr>
              <w:t xml:space="preserve">Scheme</w:t>
            </w:r>
          </w:p>
        </w:tc>
        <w:tc>
          <w:tcPr>
            <w:tcW w:w="2111" w:type="dxa"/>
          </w:tcPr>
          <w:p>
            <w:pPr>
              <w:pStyle w:val="Compact"/>
              <w:spacing w:after="40"/>
              <w:jc w:val="left"/>
            </w:pPr>
            <w:r>
              <w:rPr>
                <w:sz w:val="18"/>
              </w:rPr>
              <w:t xml:space="preserve">none</w:t>
            </w:r>
          </w:p>
        </w:tc>
        <w:tc>
          <w:tcPr>
            <w:tcW w:w="2888" w:type="dxa"/>
          </w:tcPr>
          <w:p>
            <w:pPr>
              <w:pStyle w:val="Compact"/>
              <w:spacing w:after="40"/>
              <w:jc w:val="left"/>
            </w:pPr>
            <w:r>
              <w:rPr>
                <w:sz w:val="18"/>
              </w:rPr>
              <w:t xml:space="preserve">Board resolution required (8 years maximum)</w:t>
            </w:r>
          </w:p>
        </w:tc>
      </w:tr>
      <w:tr>
        <w:tc>
          <w:tcPr>
            <w:tcW w:w="3143" w:type="dxa"/>
          </w:tcPr>
          <w:p>
            <w:pPr>
              <w:pStyle w:val="Compact"/>
              <w:spacing w:after="40"/>
              <w:jc w:val="left"/>
            </w:pPr>
            <w:r>
              <w:rPr>
                <w:sz w:val="18"/>
              </w:rPr>
              <w:t xml:space="preserve">Waterfall template per SR class</w:t>
            </w:r>
          </w:p>
        </w:tc>
        <w:tc>
          <w:tcPr>
            <w:tcW w:w="1496" w:type="dxa"/>
          </w:tcPr>
          <w:p>
            <w:pPr>
              <w:pStyle w:val="Compact"/>
              <w:spacing w:after="40"/>
              <w:jc w:val="left"/>
            </w:pPr>
            <w:r>
              <w:rPr>
                <w:sz w:val="18"/>
              </w:rPr>
              <w:t xml:space="preserve">Scheme</w:t>
            </w:r>
          </w:p>
        </w:tc>
        <w:tc>
          <w:tcPr>
            <w:tcW w:w="2111" w:type="dxa"/>
          </w:tcPr>
          <w:p>
            <w:pPr>
              <w:pStyle w:val="Compact"/>
              <w:spacing w:after="40"/>
              <w:jc w:val="left"/>
            </w:pPr>
            <w:r>
              <w:rPr>
                <w:sz w:val="18"/>
              </w:rPr>
              <w:t xml:space="preserve">from the offer document</w:t>
            </w:r>
          </w:p>
        </w:tc>
        <w:tc>
          <w:tcPr>
            <w:tcW w:w="2888" w:type="dxa"/>
          </w:tcPr>
          <w:p>
            <w:pPr>
              <w:pStyle w:val="Compact"/>
              <w:spacing w:after="40"/>
              <w:jc w:val="left"/>
            </w:pPr>
            <w:r>
              <w:rPr>
                <w:sz w:val="18"/>
              </w:rPr>
              <w:t xml:space="preserve">Versioned with the trust deed</w:t>
            </w:r>
          </w:p>
        </w:tc>
      </w:tr>
      <w:tr>
        <w:tc>
          <w:tcPr>
            <w:tcW w:w="3143" w:type="dxa"/>
          </w:tcPr>
          <w:p>
            <w:pPr>
              <w:pStyle w:val="Compact"/>
              <w:spacing w:after="40"/>
              <w:jc w:val="left"/>
            </w:pPr>
            <w:r>
              <w:rPr>
                <w:sz w:val="18"/>
              </w:rPr>
              <w:t xml:space="preserve">SR holders’ portal</w:t>
            </w:r>
          </w:p>
        </w:tc>
        <w:tc>
          <w:tcPr>
            <w:tcW w:w="1496" w:type="dxa"/>
          </w:tcPr>
          <w:p>
            <w:pPr>
              <w:pStyle w:val="Compact"/>
              <w:spacing w:after="40"/>
              <w:jc w:val="left"/>
            </w:pPr>
            <w:r>
              <w:rPr>
                <w:sz w:val="18"/>
              </w:rPr>
              <w:t xml:space="preserve">ARC tenant</w:t>
            </w:r>
          </w:p>
        </w:tc>
        <w:tc>
          <w:tcPr>
            <w:tcW w:w="2111" w:type="dxa"/>
          </w:tcPr>
          <w:p>
            <w:pPr>
              <w:pStyle w:val="Compact"/>
              <w:spacing w:after="40"/>
              <w:jc w:val="left"/>
            </w:pPr>
            <w:r>
              <w:rPr>
                <w:sz w:val="18"/>
              </w:rPr>
              <w:t xml:space="preserve">on, read-only</w:t>
            </w:r>
          </w:p>
        </w:tc>
        <w:tc>
          <w:tcPr>
            <w:tcW w:w="2888" w:type="dxa"/>
          </w:tcPr>
          <w:p>
            <w:pPr>
              <w:pStyle w:val="Compact"/>
              <w:spacing w:after="40"/>
              <w:jc w:val="left"/>
            </w:pPr>
            <w:r>
              <w:rPr>
                <w:sz w:val="18"/>
              </w:rPr>
              <w:t xml:space="preserve">Commercial</w:t>
            </w:r>
          </w:p>
        </w:tc>
      </w:tr>
      <w:tr>
        <w:tc>
          <w:tcPr>
            <w:tcW w:w="3143" w:type="dxa"/>
          </w:tcPr>
          <w:p>
            <w:pPr>
              <w:pStyle w:val="Compact"/>
              <w:spacing w:after="40"/>
              <w:jc w:val="left"/>
            </w:pPr>
            <w:r>
              <w:rPr>
                <w:sz w:val="18"/>
              </w:rPr>
              <w:t xml:space="preserve">NBFC side: stressed-loan purchase lock</w:t>
            </w:r>
          </w:p>
        </w:tc>
        <w:tc>
          <w:tcPr>
            <w:tcW w:w="1496" w:type="dxa"/>
          </w:tcPr>
          <w:p>
            <w:pPr>
              <w:pStyle w:val="Compact"/>
              <w:spacing w:after="40"/>
              <w:jc w:val="left"/>
            </w:pPr>
            <w:r>
              <w:rPr>
                <w:sz w:val="18"/>
              </w:rPr>
              <w:t xml:space="preserve">NBFC tenant</w:t>
            </w:r>
          </w:p>
        </w:tc>
        <w:tc>
          <w:tcPr>
            <w:tcW w:w="2111" w:type="dxa"/>
          </w:tcPr>
          <w:p>
            <w:pPr>
              <w:pStyle w:val="Compact"/>
              <w:spacing w:after="40"/>
              <w:jc w:val="left"/>
            </w:pPr>
            <w:r>
              <w:rPr>
                <w:sz w:val="18"/>
              </w:rPr>
              <w:t xml:space="preserve">6 months</w:t>
            </w:r>
          </w:p>
        </w:tc>
        <w:tc>
          <w:tcPr>
            <w:tcW w:w="2888" w:type="dxa"/>
          </w:tcPr>
          <w:p>
            <w:pPr>
              <w:pStyle w:val="Compact"/>
              <w:spacing w:after="40"/>
              <w:jc w:val="left"/>
            </w:pPr>
            <w:r>
              <w:rPr>
                <w:sz w:val="18"/>
              </w:rPr>
              <w:t xml:space="preserve">Regulatory floor (TDCR para 74)</w:t>
            </w:r>
          </w:p>
        </w:tc>
      </w:tr>
    </w:tbl>
    <w:bookmarkEnd w:id="584"/>
    <w:bookmarkStart w:id="585" w:name="menu-and-screens-19"/>
    <w:p>
      <w:pPr>
        <w:pStyle w:val="Heading3"/>
      </w:pPr>
      <w:r>
        <w:t xml:space="preserve">Menu and screens</w:t>
      </w:r>
    </w:p>
    <w:p>
      <w:pPr>
        <w:pStyle w:val="FirstParagraph"/>
      </w:pPr>
      <w:r>
        <w:t xml:space="preserve">All under</w:t>
      </w:r>
      <w:r>
        <w:t xml:space="preserve"> </w:t>
      </w:r>
      <w:r>
        <w:rPr>
          <w:bCs/>
          <w:b/>
        </w:rPr>
        <w:t xml:space="preserve">ARC</w:t>
      </w:r>
      <w:r>
        <w:t xml:space="preserve"> </w:t>
      </w:r>
      <w:r>
        <w:t xml:space="preserve">(workspace H for the resolution team, I for trust accounting, M for the Board; NBFC tenants see only</w:t>
      </w:r>
      <w:r>
        <w:t xml:space="preserve"> </w:t>
      </w:r>
      <w:r>
        <w:rPr>
          <w:bCs/>
          <w:b/>
        </w:rPr>
        <w:t xml:space="preserve">Recovery › Stressed-loan sales and purchases</w:t>
      </w:r>
      <w:r>
        <w:t xml:space="preserve">):</w:t>
      </w:r>
    </w:p>
    <w:p>
      <w:pPr>
        <w:numPr>
          <w:ilvl w:val="0"/>
          <w:numId w:val="1491"/>
        </w:numPr>
        <w:pStyle w:val="Compact"/>
      </w:pPr>
      <w:r>
        <w:rPr>
          <w:bCs/>
          <w:b/>
        </w:rPr>
        <w:t xml:space="preserve">ARC › Acquisitions:</w:t>
      </w:r>
      <w:r>
        <w:t xml:space="preserve"> </w:t>
      </w:r>
      <w:r>
        <w:t xml:space="preserve">pipeline board by state, deal detail (seller, sponsor-link check, DD checklist and clock, bid approvals),</w:t>
      </w:r>
      <w:r>
        <w:t xml:space="preserve"> </w:t>
      </w:r>
      <w:r>
        <w:rPr>
          <w:bCs/>
          <w:b/>
        </w:rPr>
        <w:t xml:space="preserve">Record auction result</w:t>
      </w:r>
      <w:r>
        <w:t xml:space="preserve">,</w:t>
      </w:r>
      <w:r>
        <w:t xml:space="preserve"> </w:t>
      </w:r>
      <w:r>
        <w:rPr>
          <w:bCs/>
          <w:b/>
        </w:rPr>
        <w:t xml:space="preserve">Record settlement</w:t>
      </w:r>
      <w:r>
        <w:t xml:space="preserve"> </w:t>
      </w:r>
      <w:r>
        <w:t xml:space="preserve">(UTR), counterparty-link warning that hides the bilateral route.</w:t>
      </w:r>
    </w:p>
    <w:p>
      <w:pPr>
        <w:numPr>
          <w:ilvl w:val="0"/>
          <w:numId w:val="1491"/>
        </w:numPr>
        <w:pStyle w:val="Compact"/>
      </w:pPr>
      <w:r>
        <w:rPr>
          <w:bCs/>
          <w:b/>
        </w:rPr>
        <w:t xml:space="preserve">ARC › Trusts:</w:t>
      </w:r>
      <w:r>
        <w:t xml:space="preserve"> </w:t>
      </w:r>
      <w:r>
        <w:t xml:space="preserve">trust list, trust ledger (assets, recoveries, expenses, fees, distributions), bank reconciliation, waterfall run with preview and approval, fee accrual and 180-day reversal ageing.</w:t>
      </w:r>
    </w:p>
    <w:p>
      <w:pPr>
        <w:numPr>
          <w:ilvl w:val="0"/>
          <w:numId w:val="1491"/>
        </w:numPr>
        <w:pStyle w:val="Compact"/>
      </w:pPr>
      <w:r>
        <w:rPr>
          <w:bCs/>
          <w:b/>
        </w:rPr>
        <w:t xml:space="preserve">ARC › SRs:</w:t>
      </w:r>
      <w:r>
        <w:t xml:space="preserve"> </w:t>
      </w:r>
      <w:r>
        <w:t xml:space="preserve">SR register by ISIN and class, QB holder check on transfer, self-investment monitor, rating and NAV calendar (30 June, 31 December),</w:t>
      </w:r>
      <w:r>
        <w:t xml:space="preserve"> </w:t>
      </w:r>
      <w:r>
        <w:rPr>
          <w:bCs/>
          <w:b/>
        </w:rPr>
        <w:t xml:space="preserve">Publish NAV</w:t>
      </w:r>
      <w:r>
        <w:t xml:space="preserve"> </w:t>
      </w:r>
      <w:r>
        <w:t xml:space="preserve">(emits</w:t>
      </w:r>
      <w:r>
        <w:t xml:space="preserve"> </w:t>
      </w:r>
      <w:r>
        <w:rPr>
          <w:rStyle w:val="VerbatimChar"/>
        </w:rPr>
        <w:t xml:space="preserve">SrNavPublished</w:t>
      </w:r>
      <w:r>
        <w:t xml:space="preserve"> </w:t>
      </w:r>
      <w:r>
        <w:t xml:space="preserve">after checker approval).</w:t>
      </w:r>
    </w:p>
    <w:p>
      <w:pPr>
        <w:numPr>
          <w:ilvl w:val="0"/>
          <w:numId w:val="1491"/>
        </w:numPr>
        <w:pStyle w:val="Compact"/>
      </w:pPr>
      <w:r>
        <w:rPr>
          <w:bCs/>
          <w:b/>
        </w:rPr>
        <w:t xml:space="preserve">ARC › Resolution:</w:t>
      </w:r>
      <w:r>
        <w:t xml:space="preserve"> </w:t>
      </w:r>
      <w:r>
        <w:t xml:space="preserve">plan workspace (management change, enforcement, restructuring support, settlement) with consent tallies (SR holders 60%, secured creditors 60%), IAC review queue, settlement approval route by amount and fraud flag, realisation clock with extension request.</w:t>
      </w:r>
    </w:p>
    <w:p>
      <w:pPr>
        <w:numPr>
          <w:ilvl w:val="0"/>
          <w:numId w:val="1491"/>
        </w:numPr>
        <w:pStyle w:val="Compact"/>
      </w:pPr>
      <w:r>
        <w:rPr>
          <w:bCs/>
          <w:b/>
        </w:rPr>
        <w:t xml:space="preserve">ARC › Disclosures:</w:t>
      </w:r>
      <w:r>
        <w:t xml:space="preserve"> </w:t>
      </w:r>
      <w:r>
        <w:t xml:space="preserve">monthly possession list, para 150 schedules, returns links (7B RR1.5).</w:t>
      </w:r>
    </w:p>
    <w:bookmarkEnd w:id="585"/>
    <w:bookmarkStart w:id="586" w:name="acceptance-tests-45"/>
    <w:p>
      <w:pPr>
        <w:pStyle w:val="Heading3"/>
      </w:pPr>
      <w:r>
        <w:t xml:space="preserve">Acceptance tests</w:t>
      </w:r>
    </w:p>
    <w:p>
      <w:pPr>
        <w:numPr>
          <w:ilvl w:val="0"/>
          <w:numId w:val="1492"/>
        </w:numPr>
        <w:pStyle w:val="Compact"/>
      </w:pPr>
      <w:r>
        <w:t xml:space="preserve">ARC NOF ₹280 crore on 1 Apr 2026 → acquisitions blocked; CRAR 14.2% → breach.</w:t>
      </w:r>
    </w:p>
    <w:p>
      <w:pPr>
        <w:numPr>
          <w:ilvl w:val="0"/>
          <w:numId w:val="1492"/>
        </w:numPr>
        <w:pStyle w:val="Compact"/>
      </w:pPr>
      <w:r>
        <w:t xml:space="preserve">Bilateral purchase from a bank that subscribed to the ARC’s equity → blocked; by auction → allowed.</w:t>
      </w:r>
    </w:p>
    <w:p>
      <w:pPr>
        <w:numPr>
          <w:ilvl w:val="0"/>
          <w:numId w:val="1492"/>
        </w:numPr>
        <w:pStyle w:val="Compact"/>
      </w:pPr>
      <w:r>
        <w:t xml:space="preserve">Transferors hold 70% of ₹100 crore SRs → ARC must hold max(10.5, 2.5) = ₹10.5 crore; ₹9 crore → breach.</w:t>
      </w:r>
    </w:p>
    <w:p>
      <w:pPr>
        <w:numPr>
          <w:ilvl w:val="0"/>
          <w:numId w:val="1492"/>
        </w:numPr>
        <w:pStyle w:val="Compact"/>
      </w:pPr>
      <w:r>
        <w:t xml:space="preserve">Acquired 1 Jan 2026 → planning ends 30 Jun 2026; realisation 31 Dec 2030; extension to 31 Dec 2033 only with a Board resolution.</w:t>
      </w:r>
    </w:p>
    <w:p>
      <w:pPr>
        <w:numPr>
          <w:ilvl w:val="0"/>
          <w:numId w:val="1492"/>
        </w:numPr>
        <w:pStyle w:val="Compact"/>
      </w:pPr>
      <w:r>
        <w:t xml:space="preserve">For the same acquisition, a fee accrued during planning and still unrealised on 28 Dec 2026 (180 days after 30 Jun 2026 is 27 Dec 2026) → reversed and shown in ageing.</w:t>
      </w:r>
    </w:p>
    <w:p>
      <w:pPr>
        <w:numPr>
          <w:ilvl w:val="0"/>
          <w:numId w:val="1492"/>
        </w:numPr>
        <w:pStyle w:val="Compact"/>
      </w:pPr>
      <w:r>
        <w:t xml:space="preserve">Auction lost →</w:t>
      </w:r>
      <w:r>
        <w:t xml:space="preserve"> </w:t>
      </w:r>
      <w:r>
        <w:rPr>
          <w:rStyle w:val="VerbatimChar"/>
        </w:rPr>
        <w:t xml:space="preserve">LOST</w:t>
      </w:r>
      <w:r>
        <w:t xml:space="preserve">; no trust or SR records can be created for it.</w:t>
      </w:r>
    </w:p>
    <w:p>
      <w:pPr>
        <w:numPr>
          <w:ilvl w:val="0"/>
          <w:numId w:val="1492"/>
        </w:numPr>
        <w:pStyle w:val="Compact"/>
      </w:pPr>
      <w:r>
        <w:t xml:space="preserve">₹1.4 crore settlement by one executive → blocked; routed IAC → Board with two independent directors.</w:t>
      </w:r>
    </w:p>
    <w:p>
      <w:pPr>
        <w:numPr>
          <w:ilvl w:val="0"/>
          <w:numId w:val="1492"/>
        </w:numPr>
        <w:pStyle w:val="Compact"/>
      </w:pPr>
      <w:r>
        <w:t xml:space="preserve">NBFC creating a trust or issuing SRs → blocked. NBFC resale of a purchased stressed loan after 4 months to an NBFC → blocked; to an ARC → allowed (para 74 proviso). NBFC take-over of its own 2024 transfer → blocked.</w:t>
      </w:r>
    </w:p>
    <w:p>
      <w:r>
        <w:pict>
          <v:rect style="width:0;height:1.5pt" o:hralign="center" o:hrstd="t" o:hr="t"/>
        </w:pict>
      </w:r>
    </w:p>
    <w:bookmarkEnd w:id="586"/>
    <w:bookmarkEnd w:id="587"/>
    <w:bookmarkStart w:id="596" w:name="Xd662a094c2a944b439d7917a404f5ebb64f9c87"/>
    <w:p>
      <w:pPr>
        <w:pStyle w:val="Heading2"/>
      </w:pPr>
      <w:r>
        <w:t xml:space="preserve">IP6. IFSCA Finance Companies and Finance Units</w:t>
      </w:r>
    </w:p>
    <w:bookmarkStart w:id="588" w:name="ip6.1-legal-basis"/>
    <w:p>
      <w:pPr>
        <w:pStyle w:val="Heading3"/>
      </w:pPr>
      <w:r>
        <w:t xml:space="preserve">IP6.1 Legal basis</w:t>
      </w:r>
    </w:p>
    <w:p>
      <w:pPr>
        <w:numPr>
          <w:ilvl w:val="0"/>
          <w:numId w:val="1493"/>
        </w:numPr>
        <w:pStyle w:val="Compact"/>
      </w:pPr>
      <w:r>
        <w:t xml:space="preserve">IFSCA (Finance Company) Regulations 2021 as amended; Amendment Regulations notified 5 May 2026 (F.No. IFSCA/GN/2026/009); consolidated</w:t>
      </w:r>
      <w:r>
        <w:t xml:space="preserve"> </w:t>
      </w:r>
      <w:r>
        <w:rPr>
          <w:bCs/>
          <w:b/>
        </w:rPr>
        <w:t xml:space="preserve">IFSCA (Finance Company) Regulations, 2026</w:t>
      </w:r>
      <w:r>
        <w:t xml:space="preserve"> </w:t>
      </w:r>
      <w:r>
        <w:t xml:space="preserve">text (amended to 7 May 2026) issued 9 Jul 2026 [REG]. Regulation numbers below follow the 2021 text as amended to 1 Jul 2022 [VERIFY against the 2026 consolidated text].</w:t>
      </w:r>
    </w:p>
    <w:p>
      <w:pPr>
        <w:numPr>
          <w:ilvl w:val="0"/>
          <w:numId w:val="1493"/>
        </w:numPr>
        <w:pStyle w:val="Compact"/>
      </w:pPr>
      <w:r>
        <w:t xml:space="preserve">GRCTC framework of 4 Apr 2025; IFSCA (Fund Management) Regulations 2025 (7H IV6); IFSCA AML/CFT/KYC Guidelines 2022 as amended [VERIFY current version].</w:t>
      </w:r>
    </w:p>
    <w:p>
      <w:pPr>
        <w:numPr>
          <w:ilvl w:val="0"/>
          <w:numId w:val="1493"/>
        </w:numPr>
        <w:pStyle w:val="Compact"/>
      </w:pPr>
      <w:r>
        <w:t xml:space="preserve">A Finance Company is incorporated in the IFSC; a Finance Unit is a branch of a home-regulated entity (home NOC may be needed). Neither may take public deposits or act as a Banking Unit (reg 2(1)(e)–(f)).</w:t>
      </w:r>
    </w:p>
    <w:bookmarkEnd w:id="588"/>
    <w:bookmarkStart w:id="589" w:name="ip6.2-separate-usd-tenant"/>
    <w:p>
      <w:pPr>
        <w:pStyle w:val="Heading3"/>
      </w:pPr>
      <w:r>
        <w:t xml:space="preserve">IP6.2 Separate USD tenant</w:t>
      </w:r>
    </w:p>
    <w:p>
      <w:pPr>
        <w:numPr>
          <w:ilvl w:val="0"/>
          <w:numId w:val="1494"/>
        </w:numPr>
        <w:pStyle w:val="Compact"/>
      </w:pPr>
      <w:r>
        <w:t xml:space="preserve">Always a</w:t>
      </w:r>
      <w:r>
        <w:t xml:space="preserve"> </w:t>
      </w:r>
      <w:r>
        <w:rPr>
          <w:bCs/>
          <w:b/>
        </w:rPr>
        <w:t xml:space="preserve">separate tenant</w:t>
      </w:r>
      <w:r>
        <w:t xml:space="preserve">, never a legal entity inside an onshore tenant (GR-7G-12); group MIS consolidates read-only projections only.</w:t>
      </w:r>
    </w:p>
    <w:p>
      <w:pPr>
        <w:numPr>
          <w:ilvl w:val="0"/>
          <w:numId w:val="1494"/>
        </w:numPr>
        <w:pStyle w:val="Compact"/>
      </w:pPr>
      <w:r>
        <w:t xml:space="preserve">USD functional and reporting currency; freely convertible currencies; INR account only for administrative and statutory expenses, allow-listed chart (reg 6). An FU keeps books separate from its parent. Daily revaluation at the configured reference rate.</w:t>
      </w:r>
    </w:p>
    <w:p>
      <w:pPr>
        <w:numPr>
          <w:ilvl w:val="0"/>
          <w:numId w:val="1494"/>
        </w:numPr>
        <w:pStyle w:val="Compact"/>
      </w:pPr>
      <w:r>
        <w:t xml:space="preserve">Hosting: India-region cloud, optional GIFT City data centre, pending IFSCA data-localisation confirmation [VERIFY].</w:t>
      </w:r>
    </w:p>
    <w:bookmarkEnd w:id="589"/>
    <w:bookmarkStart w:id="590" w:name="ip6.3-activity-whitelist"/>
    <w:p>
      <w:pPr>
        <w:pStyle w:val="Heading3"/>
      </w:pPr>
      <w:r>
        <w:t xml:space="preserve">IP6.3 Activity whitelist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60"/>
        <w:gridCol w:w="4684"/>
        <w:gridCol w:w="3194"/>
      </w:tblGrid>
      <w:tr>
        <w:trPr>
          <w:tblHeader w:val="true"/>
          <w:tblHeader w:val="true"/>
        </w:trPr>
        <w:tc>
          <w:tcPr>
            <w:tcW w:w="1760" w:type="dxa"/>
            <w:shd w:val="clear" w:color="auto" w:fill="1F3A5F"/>
          </w:tcPr>
          <w:p>
            <w:pPr>
              <w:pStyle w:val="Compact"/>
              <w:spacing w:after="40"/>
              <w:jc w:val="left"/>
            </w:pPr>
            <w:r>
              <w:rPr>
                <w:b/>
                <w:color w:val="FFFFFF"/>
                <w:sz w:val="18"/>
              </w:rPr>
              <w:t xml:space="preserve">Class</w:t>
            </w:r>
          </w:p>
        </w:tc>
        <w:tc>
          <w:tcPr>
            <w:tcW w:w="4684" w:type="dxa"/>
            <w:shd w:val="clear" w:color="auto" w:fill="1F3A5F"/>
          </w:tcPr>
          <w:p>
            <w:pPr>
              <w:pStyle w:val="Compact"/>
              <w:spacing w:after="40"/>
              <w:jc w:val="left"/>
            </w:pPr>
            <w:r>
              <w:rPr>
                <w:b/>
                <w:color w:val="FFFFFF"/>
                <w:sz w:val="18"/>
              </w:rPr>
              <w:t xml:space="preserve">Activities</w:t>
            </w:r>
          </w:p>
        </w:tc>
        <w:tc>
          <w:tcPr>
            <w:tcW w:w="3194" w:type="dxa"/>
            <w:shd w:val="clear" w:color="auto" w:fill="1F3A5F"/>
          </w:tcPr>
          <w:p>
            <w:pPr>
              <w:pStyle w:val="Compact"/>
              <w:spacing w:after="40"/>
              <w:jc w:val="left"/>
            </w:pPr>
            <w:r>
              <w:rPr>
                <w:b/>
                <w:color w:val="FFFFFF"/>
                <w:sz w:val="18"/>
              </w:rPr>
              <w:t xml:space="preserve">Finbyx support</w:t>
            </w:r>
          </w:p>
        </w:tc>
      </w:tr>
      <w:tr>
        <w:tc>
          <w:tcPr>
            <w:tcW w:w="1760" w:type="dxa"/>
          </w:tcPr>
          <w:p>
            <w:pPr>
              <w:pStyle w:val="Compact"/>
              <w:spacing w:after="40"/>
              <w:jc w:val="left"/>
            </w:pPr>
            <w:r>
              <w:rPr>
                <w:sz w:val="18"/>
              </w:rPr>
              <w:t xml:space="preserve">Core (reg 5(1)(ii))</w:t>
            </w:r>
          </w:p>
        </w:tc>
        <w:tc>
          <w:tcPr>
            <w:tcW w:w="4684" w:type="dxa"/>
          </w:tcPr>
          <w:p>
            <w:pPr>
              <w:pStyle w:val="Compact"/>
              <w:spacing w:after="40"/>
              <w:jc w:val="left"/>
            </w:pPr>
            <w:r>
              <w:rPr>
                <w:sz w:val="18"/>
              </w:rPr>
              <w:t xml:space="preserve">lending (loans, commitments, guarantees, CE, securitisation, financial lease, loan-portfolio trading); factoring and forfaiting; permitted investments; derivatives; GRCTC</w:t>
            </w:r>
          </w:p>
        </w:tc>
        <w:tc>
          <w:tcPr>
            <w:tcW w:w="3194" w:type="dxa"/>
          </w:tcPr>
          <w:p>
            <w:pPr>
              <w:pStyle w:val="Compact"/>
              <w:spacing w:after="40"/>
              <w:jc w:val="left"/>
            </w:pPr>
            <w:r>
              <w:rPr>
                <w:sz w:val="18"/>
              </w:rPr>
              <w:t xml:space="preserve">USD lending; securitisation (7H IV7); investments (7H)</w:t>
            </w:r>
          </w:p>
        </w:tc>
      </w:tr>
      <w:tr>
        <w:tc>
          <w:tcPr>
            <w:tcW w:w="1760" w:type="dxa"/>
          </w:tcPr>
          <w:p>
            <w:pPr>
              <w:pStyle w:val="Compact"/>
              <w:spacing w:after="40"/>
              <w:jc w:val="left"/>
            </w:pPr>
            <w:r>
              <w:rPr>
                <w:sz w:val="18"/>
              </w:rPr>
              <w:t xml:space="preserve">Non-core (reg 5(1)(iii))</w:t>
            </w:r>
          </w:p>
        </w:tc>
        <w:tc>
          <w:tcPr>
            <w:tcW w:w="4684" w:type="dxa"/>
          </w:tcPr>
          <w:p>
            <w:pPr>
              <w:pStyle w:val="Compact"/>
              <w:spacing w:after="40"/>
              <w:jc w:val="left"/>
            </w:pPr>
            <w:r>
              <w:rPr>
                <w:sz w:val="18"/>
              </w:rPr>
              <w:t xml:space="preserve">merchant banking, arranger, RTA, trusteeship, advisory, PMS, operating lease, ITFS, distribution, exchange membership; separate departments with firewalls (reg 5(3))</w:t>
            </w:r>
          </w:p>
        </w:tc>
        <w:tc>
          <w:tcPr>
            <w:tcW w:w="3194" w:type="dxa"/>
          </w:tcPr>
          <w:p>
            <w:pPr>
              <w:pStyle w:val="Compact"/>
              <w:spacing w:after="40"/>
              <w:jc w:val="left"/>
            </w:pPr>
            <w:r>
              <w:rPr>
                <w:sz w:val="18"/>
              </w:rPr>
              <w:t xml:space="preserve">department segregation and access walls; operating lease deferred to v1.6 [REC]</w:t>
            </w:r>
          </w:p>
        </w:tc>
      </w:tr>
      <w:tr>
        <w:tc>
          <w:tcPr>
            <w:tcW w:w="1760" w:type="dxa"/>
          </w:tcPr>
          <w:p>
            <w:pPr>
              <w:pStyle w:val="Compact"/>
              <w:spacing w:after="40"/>
              <w:jc w:val="left"/>
            </w:pPr>
            <w:r>
              <w:rPr>
                <w:sz w:val="18"/>
              </w:rPr>
              <w:t xml:space="preserve">SPV structures</w:t>
            </w:r>
          </w:p>
        </w:tc>
        <w:tc>
          <w:tcPr>
            <w:tcW w:w="4684" w:type="dxa"/>
          </w:tcPr>
          <w:p>
            <w:pPr>
              <w:pStyle w:val="Compact"/>
              <w:spacing w:after="40"/>
              <w:jc w:val="left"/>
            </w:pPr>
            <w:r>
              <w:rPr>
                <w:sz w:val="18"/>
              </w:rPr>
              <w:t xml:space="preserve">leasing and financing through SPVs (since 5 May 2026)</w:t>
            </w:r>
          </w:p>
        </w:tc>
        <w:tc>
          <w:tcPr>
            <w:tcW w:w="3194" w:type="dxa"/>
          </w:tcPr>
          <w:p>
            <w:pPr>
              <w:pStyle w:val="Compact"/>
              <w:spacing w:after="40"/>
              <w:jc w:val="left"/>
            </w:pPr>
            <w:r>
              <w:rPr>
                <w:sz w:val="18"/>
              </w:rPr>
              <w:t xml:space="preserve">SPVs as legal entities of the IFSC tenant with intra-group exposure tracking</w:t>
            </w:r>
          </w:p>
        </w:tc>
      </w:tr>
      <w:tr>
        <w:tc>
          <w:tcPr>
            <w:tcW w:w="1760" w:type="dxa"/>
          </w:tcPr>
          <w:p>
            <w:pPr>
              <w:pStyle w:val="Compact"/>
              <w:spacing w:after="40"/>
              <w:jc w:val="left"/>
            </w:pPr>
            <w:r>
              <w:rPr>
                <w:sz w:val="18"/>
              </w:rPr>
              <w:t xml:space="preserve">GRCTC</w:t>
            </w:r>
          </w:p>
        </w:tc>
        <w:tc>
          <w:tcPr>
            <w:tcW w:w="4684" w:type="dxa"/>
          </w:tcPr>
          <w:p>
            <w:pPr>
              <w:pStyle w:val="Compact"/>
              <w:spacing w:after="40"/>
              <w:jc w:val="left"/>
            </w:pPr>
            <w:r>
              <w:rPr>
                <w:sz w:val="18"/>
              </w:rPr>
              <w:t xml:space="preserve">treasury services to group entities</w:t>
            </w:r>
          </w:p>
        </w:tc>
        <w:tc>
          <w:tcPr>
            <w:tcW w:w="3194" w:type="dxa"/>
          </w:tcPr>
          <w:p>
            <w:pPr>
              <w:pStyle w:val="Compact"/>
              <w:spacing w:after="40"/>
              <w:jc w:val="left"/>
            </w:pPr>
            <w:r>
              <w:rPr>
                <w:sz w:val="18"/>
              </w:rPr>
              <w:t xml:space="preserve">treasury and intra-group ledger</w:t>
            </w:r>
          </w:p>
        </w:tc>
      </w:tr>
    </w:tbl>
    <w:p>
      <w:pPr>
        <w:pStyle w:val="BodyText"/>
      </w:pPr>
      <w:r>
        <w:t xml:space="preserve">Hard blocks: public deposits; speculative transactions (reg 5(6)); derivatives without a</w:t>
      </w:r>
      <w:r>
        <w:t xml:space="preserve"> </w:t>
      </w:r>
      <w:r>
        <w:rPr>
          <w:rStyle w:val="VerbatimChar"/>
        </w:rPr>
        <w:t xml:space="preserve">hedge_link</w:t>
      </w:r>
      <w:r>
        <w:t xml:space="preserve"> </w:t>
      </w:r>
      <w:r>
        <w:t xml:space="preserve">where non-core activities are undertaken (reg 5(5)).</w:t>
      </w:r>
      <w:r>
        <w:t xml:space="preserve"> </w:t>
      </w:r>
      <w:r>
        <w:rPr>
          <w:bCs/>
          <w:b/>
        </w:rPr>
        <w:t xml:space="preserve">Residents</w:t>
      </w:r>
      <w:r>
        <w:t xml:space="preserve"> </w:t>
      </w:r>
      <w:r>
        <w:t xml:space="preserve">only as FEMA permits (reg 5(4), (7)): each resident counterparty carries a FEMA basis (ECB, LRS, ODI or other) and legal sign-off before sanction [VERIFY]. Udofin blocks resident retail onboarding for an IFSC lender unless the RE confirms the FEMA basis.</w:t>
      </w:r>
    </w:p>
    <w:bookmarkEnd w:id="590"/>
    <w:bookmarkStart w:id="591" w:name="ip6.4-capital-liquidity-and-exposure"/>
    <w:p>
      <w:pPr>
        <w:pStyle w:val="Heading3"/>
      </w:pPr>
      <w:r>
        <w:t xml:space="preserve">IP6.4 Capital, liquidity and exposure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603"/>
        <w:gridCol w:w="4480"/>
        <w:gridCol w:w="2555"/>
      </w:tblGrid>
      <w:tr>
        <w:trPr>
          <w:tblHeader w:val="true"/>
          <w:tblHeader w:val="true"/>
        </w:trPr>
        <w:tc>
          <w:tcPr>
            <w:tcW w:w="2603" w:type="dxa"/>
            <w:shd w:val="clear" w:color="auto" w:fill="1F3A5F"/>
          </w:tcPr>
          <w:p>
            <w:pPr>
              <w:pStyle w:val="Compact"/>
              <w:spacing w:after="40"/>
              <w:jc w:val="left"/>
            </w:pPr>
            <w:r>
              <w:rPr>
                <w:b/>
                <w:color w:val="FFFFFF"/>
                <w:sz w:val="18"/>
              </w:rPr>
              <w:t xml:space="preserve">Rule</w:t>
            </w:r>
          </w:p>
        </w:tc>
        <w:tc>
          <w:tcPr>
            <w:tcW w:w="4480" w:type="dxa"/>
            <w:shd w:val="clear" w:color="auto" w:fill="1F3A5F"/>
          </w:tcPr>
          <w:p>
            <w:pPr>
              <w:pStyle w:val="Compact"/>
              <w:spacing w:after="40"/>
              <w:jc w:val="left"/>
            </w:pPr>
            <w:r>
              <w:rPr>
                <w:b/>
                <w:color w:val="FFFFFF"/>
                <w:sz w:val="18"/>
              </w:rPr>
              <w:t xml:space="preserve">Value</w:t>
            </w:r>
          </w:p>
        </w:tc>
        <w:tc>
          <w:tcPr>
            <w:tcW w:w="2555" w:type="dxa"/>
            <w:shd w:val="clear" w:color="auto" w:fill="1F3A5F"/>
          </w:tcPr>
          <w:p>
            <w:pPr>
              <w:pStyle w:val="Compact"/>
              <w:spacing w:after="40"/>
              <w:jc w:val="left"/>
            </w:pPr>
            <w:r>
              <w:rPr>
                <w:b/>
                <w:color w:val="FFFFFF"/>
                <w:sz w:val="18"/>
              </w:rPr>
              <w:t xml:space="preserve">Basis</w:t>
            </w:r>
          </w:p>
        </w:tc>
      </w:tr>
      <w:tr>
        <w:tc>
          <w:tcPr>
            <w:tcW w:w="2603" w:type="dxa"/>
          </w:tcPr>
          <w:p>
            <w:pPr>
              <w:pStyle w:val="Compact"/>
              <w:spacing w:after="40"/>
              <w:jc w:val="left"/>
            </w:pPr>
            <w:r>
              <w:rPr>
                <w:sz w:val="18"/>
              </w:rPr>
              <w:t xml:space="preserve">Owned fund — core</w:t>
            </w:r>
          </w:p>
        </w:tc>
        <w:tc>
          <w:tcPr>
            <w:tcW w:w="4480" w:type="dxa"/>
          </w:tcPr>
          <w:p>
            <w:pPr>
              <w:pStyle w:val="Compact"/>
              <w:spacing w:after="40"/>
              <w:jc w:val="left"/>
            </w:pPr>
            <w:r>
              <w:rPr>
                <w:sz w:val="18"/>
              </w:rPr>
              <w:t xml:space="preserve">higher of USD 3 million and IFSCA-specified capital</w:t>
            </w:r>
          </w:p>
        </w:tc>
        <w:tc>
          <w:tcPr>
            <w:tcW w:w="2555" w:type="dxa"/>
          </w:tcPr>
          <w:p>
            <w:pPr>
              <w:pStyle w:val="Compact"/>
              <w:spacing w:after="40"/>
              <w:jc w:val="left"/>
            </w:pPr>
            <w:r>
              <w:rPr>
                <w:sz w:val="18"/>
              </w:rPr>
              <w:t xml:space="preserve">IFSCA-FC</w:t>
            </w:r>
          </w:p>
        </w:tc>
      </w:tr>
      <w:tr>
        <w:tc>
          <w:tcPr>
            <w:tcW w:w="2603" w:type="dxa"/>
          </w:tcPr>
          <w:p>
            <w:pPr>
              <w:pStyle w:val="Compact"/>
              <w:spacing w:after="40"/>
              <w:jc w:val="left"/>
            </w:pPr>
            <w:r>
              <w:rPr>
                <w:sz w:val="18"/>
              </w:rPr>
              <w:t xml:space="preserve">Owned fund — non-core only</w:t>
            </w:r>
          </w:p>
        </w:tc>
        <w:tc>
          <w:tcPr>
            <w:tcW w:w="4480" w:type="dxa"/>
          </w:tcPr>
          <w:p>
            <w:pPr>
              <w:pStyle w:val="Compact"/>
              <w:spacing w:after="40"/>
              <w:jc w:val="left"/>
            </w:pPr>
            <w:r>
              <w:rPr>
                <w:sz w:val="18"/>
              </w:rPr>
              <w:t xml:space="preserve">USD 0.2 million</w:t>
            </w:r>
          </w:p>
        </w:tc>
        <w:tc>
          <w:tcPr>
            <w:tcW w:w="2555" w:type="dxa"/>
          </w:tcPr>
          <w:p>
            <w:pPr>
              <w:pStyle w:val="Compact"/>
              <w:spacing w:after="40"/>
              <w:jc w:val="left"/>
            </w:pPr>
            <w:r>
              <w:rPr>
                <w:sz w:val="18"/>
              </w:rPr>
              <w:t xml:space="preserve">IFSCA-FC</w:t>
            </w:r>
          </w:p>
        </w:tc>
      </w:tr>
      <w:tr>
        <w:tc>
          <w:tcPr>
            <w:tcW w:w="2603" w:type="dxa"/>
          </w:tcPr>
          <w:p>
            <w:pPr>
              <w:pStyle w:val="Compact"/>
              <w:spacing w:after="40"/>
              <w:jc w:val="left"/>
            </w:pPr>
            <w:r>
              <w:rPr>
                <w:sz w:val="18"/>
              </w:rPr>
              <w:t xml:space="preserve">Owned fund — GRCTC</w:t>
            </w:r>
          </w:p>
        </w:tc>
        <w:tc>
          <w:tcPr>
            <w:tcW w:w="4480" w:type="dxa"/>
          </w:tcPr>
          <w:p>
            <w:pPr>
              <w:pStyle w:val="Compact"/>
              <w:spacing w:after="40"/>
              <w:jc w:val="left"/>
            </w:pPr>
            <w:r>
              <w:rPr>
                <w:sz w:val="18"/>
              </w:rPr>
              <w:t xml:space="preserve">USD 0.2 million (FU may meet at parent level)</w:t>
            </w:r>
          </w:p>
        </w:tc>
        <w:tc>
          <w:tcPr>
            <w:tcW w:w="2555" w:type="dxa"/>
          </w:tcPr>
          <w:p>
            <w:pPr>
              <w:pStyle w:val="Compact"/>
              <w:spacing w:after="40"/>
              <w:jc w:val="left"/>
            </w:pPr>
            <w:r>
              <w:rPr>
                <w:sz w:val="18"/>
              </w:rPr>
              <w:t xml:space="preserve">GRCTC framework, Apr 2025</w:t>
            </w:r>
          </w:p>
        </w:tc>
      </w:tr>
      <w:tr>
        <w:tc>
          <w:tcPr>
            <w:tcW w:w="2603" w:type="dxa"/>
          </w:tcPr>
          <w:p>
            <w:pPr>
              <w:pStyle w:val="Compact"/>
              <w:spacing w:after="40"/>
              <w:jc w:val="left"/>
            </w:pPr>
            <w:r>
              <w:rPr>
                <w:sz w:val="18"/>
              </w:rPr>
              <w:t xml:space="preserve">Capital ratio</w:t>
            </w:r>
          </w:p>
        </w:tc>
        <w:tc>
          <w:tcPr>
            <w:tcW w:w="4480" w:type="dxa"/>
          </w:tcPr>
          <w:p>
            <w:pPr>
              <w:pStyle w:val="Compact"/>
              <w:spacing w:after="40"/>
              <w:jc w:val="left"/>
            </w:pPr>
            <w:r>
              <w:rPr>
                <w:sz w:val="18"/>
              </w:rPr>
              <w:t xml:space="preserve">≥ 8%</w:t>
            </w:r>
          </w:p>
        </w:tc>
        <w:tc>
          <w:tcPr>
            <w:tcW w:w="2555" w:type="dxa"/>
          </w:tcPr>
          <w:p>
            <w:pPr>
              <w:pStyle w:val="Compact"/>
              <w:spacing w:after="40"/>
              <w:jc w:val="left"/>
            </w:pPr>
            <w:r>
              <w:rPr>
                <w:sz w:val="18"/>
              </w:rPr>
              <w:t xml:space="preserve">reg 4</w:t>
            </w:r>
          </w:p>
        </w:tc>
      </w:tr>
      <w:tr>
        <w:tc>
          <w:tcPr>
            <w:tcW w:w="2603" w:type="dxa"/>
          </w:tcPr>
          <w:p>
            <w:pPr>
              <w:pStyle w:val="Compact"/>
              <w:spacing w:after="40"/>
              <w:jc w:val="left"/>
            </w:pPr>
            <w:r>
              <w:rPr>
                <w:sz w:val="18"/>
              </w:rPr>
              <w:t xml:space="preserve">Liquidity</w:t>
            </w:r>
          </w:p>
        </w:tc>
        <w:tc>
          <w:tcPr>
            <w:tcW w:w="4480" w:type="dxa"/>
          </w:tcPr>
          <w:p>
            <w:pPr>
              <w:pStyle w:val="Compact"/>
              <w:spacing w:after="40"/>
              <w:jc w:val="left"/>
            </w:pPr>
            <w:r>
              <w:rPr>
                <w:sz w:val="18"/>
              </w:rPr>
              <w:t xml:space="preserve">standalone LCR; FU may rely on parent with approval</w:t>
            </w:r>
          </w:p>
        </w:tc>
        <w:tc>
          <w:tcPr>
            <w:tcW w:w="2555" w:type="dxa"/>
          </w:tcPr>
          <w:p>
            <w:pPr>
              <w:pStyle w:val="Compact"/>
              <w:spacing w:after="40"/>
              <w:jc w:val="left"/>
            </w:pPr>
            <w:r>
              <w:rPr>
                <w:sz w:val="18"/>
              </w:rPr>
              <w:t xml:space="preserve">reg 4</w:t>
            </w:r>
          </w:p>
        </w:tc>
      </w:tr>
      <w:tr>
        <w:tc>
          <w:tcPr>
            <w:tcW w:w="2603" w:type="dxa"/>
          </w:tcPr>
          <w:p>
            <w:pPr>
              <w:pStyle w:val="Compact"/>
              <w:spacing w:after="40"/>
              <w:jc w:val="left"/>
            </w:pPr>
            <w:r>
              <w:rPr>
                <w:sz w:val="18"/>
              </w:rPr>
              <w:t xml:space="preserve">Exposure</w:t>
            </w:r>
          </w:p>
        </w:tc>
        <w:tc>
          <w:tcPr>
            <w:tcW w:w="4480" w:type="dxa"/>
          </w:tcPr>
          <w:p>
            <w:pPr>
              <w:pStyle w:val="Compact"/>
              <w:spacing w:after="40"/>
              <w:jc w:val="left"/>
            </w:pPr>
            <w:r>
              <w:rPr>
                <w:sz w:val="18"/>
              </w:rPr>
              <w:t xml:space="preserve">single counterparty or group ≤ 25% of eligible capital without IFSCA approval</w:t>
            </w:r>
          </w:p>
        </w:tc>
        <w:tc>
          <w:tcPr>
            <w:tcW w:w="2555" w:type="dxa"/>
          </w:tcPr>
          <w:p>
            <w:pPr>
              <w:pStyle w:val="Compact"/>
              <w:spacing w:after="40"/>
              <w:jc w:val="left"/>
            </w:pPr>
            <w:r>
              <w:rPr>
                <w:sz w:val="18"/>
              </w:rPr>
              <w:t xml:space="preserve">reg 4</w:t>
            </w:r>
          </w:p>
        </w:tc>
      </w:tr>
      <w:tr>
        <w:tc>
          <w:tcPr>
            <w:tcW w:w="2603" w:type="dxa"/>
          </w:tcPr>
          <w:p>
            <w:pPr>
              <w:pStyle w:val="Compact"/>
              <w:spacing w:after="40"/>
              <w:jc w:val="left"/>
            </w:pPr>
            <w:r>
              <w:rPr>
                <w:sz w:val="18"/>
              </w:rPr>
              <w:t xml:space="preserve">Non-core-only units</w:t>
            </w:r>
          </w:p>
        </w:tc>
        <w:tc>
          <w:tcPr>
            <w:tcW w:w="4480" w:type="dxa"/>
          </w:tcPr>
          <w:p>
            <w:pPr>
              <w:pStyle w:val="Compact"/>
              <w:spacing w:after="40"/>
              <w:jc w:val="left"/>
            </w:pPr>
            <w:r>
              <w:rPr>
                <w:sz w:val="18"/>
              </w:rPr>
              <w:t xml:space="preserve">exempt from prudential norms</w:t>
            </w:r>
          </w:p>
        </w:tc>
        <w:tc>
          <w:tcPr>
            <w:tcW w:w="2555" w:type="dxa"/>
          </w:tcPr>
          <w:p>
            <w:pPr>
              <w:pStyle w:val="Compact"/>
              <w:spacing w:after="40"/>
              <w:jc w:val="left"/>
            </w:pPr>
            <w:r>
              <w:rPr>
                <w:sz w:val="18"/>
              </w:rPr>
              <w:t xml:space="preserve">reg 4</w:t>
            </w:r>
          </w:p>
        </w:tc>
      </w:tr>
    </w:tbl>
    <w:p>
      <w:pPr>
        <w:pStyle w:val="BodyText"/>
      </w:pPr>
      <w:r>
        <w:t xml:space="preserve">The 7E RK3 engine runs an</w:t>
      </w:r>
      <w:r>
        <w:t xml:space="preserve"> </w:t>
      </w:r>
      <w:r>
        <w:rPr>
          <w:rStyle w:val="VerbatimChar"/>
        </w:rPr>
        <w:t xml:space="preserve">IFSCA</w:t>
      </w:r>
      <w:r>
        <w:t xml:space="preserve"> </w:t>
      </w:r>
      <w:r>
        <w:t xml:space="preserve">pack in USD;</w:t>
      </w:r>
      <w:r>
        <w:t xml:space="preserve"> </w:t>
      </w:r>
      <w:r>
        <w:rPr>
          <w:rStyle w:val="VerbatimChar"/>
        </w:rPr>
        <w:t xml:space="preserve">CapitalRatioComputed</w:t>
      </w:r>
      <w:r>
        <w:t xml:space="preserve"> </w:t>
      </w:r>
      <w:r>
        <w:t xml:space="preserve">carries currency.</w:t>
      </w:r>
    </w:p>
    <w:bookmarkEnd w:id="591"/>
    <w:bookmarkStart w:id="592" w:name="ip6.5-accounting-reporting-and-aml"/>
    <w:p>
      <w:pPr>
        <w:pStyle w:val="Heading3"/>
      </w:pPr>
      <w:r>
        <w:t xml:space="preserve">IP6.5 Accounting, reporting and AML</w:t>
      </w:r>
    </w:p>
    <w:p>
      <w:pPr>
        <w:numPr>
          <w:ilvl w:val="0"/>
          <w:numId w:val="1495"/>
        </w:numPr>
        <w:pStyle w:val="Compact"/>
      </w:pPr>
      <w:r>
        <w:rPr>
          <w:bCs/>
          <w:b/>
        </w:rPr>
        <w:t xml:space="preserve">Framework unsettled:</w:t>
      </w:r>
      <w:r>
        <w:t xml:space="preserve"> </w:t>
      </w:r>
      <w:r>
        <w:t xml:space="preserve">IFSC Banking Units use IFRS (IFSCA circular of 30 Jul 2021); the 2022 working group recommended USD books without changing standards; the Finance Company governance circular of 9 Aug 2021 (para 10.3) adds disclosures (owned-fund components, off-balance-sheet exposures, top 5 NPAs) but names no framework [VERIFY]. 7C AC1 supports IFRS and Ind AS ledgers in USD; the profile cannot activate until the framework is recorded with the statutory auditor’s confirmation. An FU follows its parent’s framework for consolidation.</w:t>
      </w:r>
    </w:p>
    <w:p>
      <w:pPr>
        <w:numPr>
          <w:ilvl w:val="0"/>
          <w:numId w:val="1495"/>
        </w:numPr>
        <w:pStyle w:val="Compact"/>
      </w:pPr>
      <w:r>
        <w:t xml:space="preserve">Asset classification per IFSCA norms [VERIFY]; IRACP not applied by default.</w:t>
      </w:r>
    </w:p>
    <w:p>
      <w:pPr>
        <w:numPr>
          <w:ilvl w:val="0"/>
          <w:numId w:val="1495"/>
        </w:numPr>
        <w:pStyle w:val="Compact"/>
      </w:pPr>
      <w:r>
        <w:t xml:space="preserve">Returns to IFSCA in USD as IFSCA specifies (reg 9) [VERIFY: return list, frequency, portal]; 7B RR1 regulator</w:t>
      </w:r>
      <w:r>
        <w:t xml:space="preserve"> </w:t>
      </w:r>
      <w:r>
        <w:rPr>
          <w:rStyle w:val="VerbatimChar"/>
        </w:rPr>
        <w:t xml:space="preserve">IFSCA</w:t>
      </w:r>
      <w:r>
        <w:t xml:space="preserve">, filed by an authorised human. FIU-IND as a PMLA reporting entity [VERIFY]; FEMA/ECB reporting to RBI where lending into India [VERIFY].</w:t>
      </w:r>
    </w:p>
    <w:p>
      <w:pPr>
        <w:numPr>
          <w:ilvl w:val="0"/>
          <w:numId w:val="1495"/>
        </w:numPr>
        <w:pStyle w:val="Compact"/>
      </w:pPr>
      <w:r>
        <w:t xml:space="preserve">IFSCA AML/CFT/KYC rule set as the KYC pack [VERIFY]; sanctions screening per Part 8A.21.</w:t>
      </w:r>
    </w:p>
    <w:bookmarkEnd w:id="592"/>
    <w:bookmarkStart w:id="593" w:name="settings-and-options-20"/>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53"/>
        <w:gridCol w:w="1351"/>
        <w:gridCol w:w="2481"/>
        <w:gridCol w:w="3053"/>
      </w:tblGrid>
      <w:tr>
        <w:trPr>
          <w:tblHeader w:val="true"/>
          <w:tblHeader w:val="true"/>
        </w:trPr>
        <w:tc>
          <w:tcPr>
            <w:tcW w:w="2753" w:type="dxa"/>
            <w:shd w:val="clear" w:color="auto" w:fill="1F3A5F"/>
          </w:tcPr>
          <w:p>
            <w:pPr>
              <w:pStyle w:val="Compact"/>
              <w:spacing w:after="40"/>
              <w:jc w:val="left"/>
            </w:pPr>
            <w:r>
              <w:rPr>
                <w:b/>
                <w:color w:val="FFFFFF"/>
                <w:sz w:val="18"/>
              </w:rPr>
              <w:t xml:space="preserve">Setting</w:t>
            </w:r>
          </w:p>
        </w:tc>
        <w:tc>
          <w:tcPr>
            <w:tcW w:w="1351" w:type="dxa"/>
            <w:shd w:val="clear" w:color="auto" w:fill="1F3A5F"/>
          </w:tcPr>
          <w:p>
            <w:pPr>
              <w:pStyle w:val="Compact"/>
              <w:spacing w:after="40"/>
              <w:jc w:val="left"/>
            </w:pPr>
            <w:r>
              <w:rPr>
                <w:b/>
                <w:color w:val="FFFFFF"/>
                <w:sz w:val="18"/>
              </w:rPr>
              <w:t xml:space="preserve">Level</w:t>
            </w:r>
          </w:p>
        </w:tc>
        <w:tc>
          <w:tcPr>
            <w:tcW w:w="2481" w:type="dxa"/>
            <w:shd w:val="clear" w:color="auto" w:fill="1F3A5F"/>
          </w:tcPr>
          <w:p>
            <w:pPr>
              <w:pStyle w:val="Compact"/>
              <w:spacing w:after="40"/>
              <w:jc w:val="left"/>
            </w:pPr>
            <w:r>
              <w:rPr>
                <w:b/>
                <w:color w:val="FFFFFF"/>
                <w:sz w:val="18"/>
              </w:rPr>
              <w:t xml:space="preserve">Default</w:t>
            </w:r>
          </w:p>
        </w:tc>
        <w:tc>
          <w:tcPr>
            <w:tcW w:w="3053" w:type="dxa"/>
            <w:shd w:val="clear" w:color="auto" w:fill="1F3A5F"/>
          </w:tcPr>
          <w:p>
            <w:pPr>
              <w:pStyle w:val="Compact"/>
              <w:spacing w:after="40"/>
              <w:jc w:val="left"/>
            </w:pPr>
            <w:r>
              <w:rPr>
                <w:b/>
                <w:color w:val="FFFFFF"/>
                <w:sz w:val="18"/>
              </w:rPr>
              <w:t xml:space="preserve">Nature</w:t>
            </w:r>
          </w:p>
        </w:tc>
      </w:tr>
      <w:tr>
        <w:tc>
          <w:tcPr>
            <w:tcW w:w="2753" w:type="dxa"/>
          </w:tcPr>
          <w:p>
            <w:pPr>
              <w:pStyle w:val="Compact"/>
              <w:spacing w:after="40"/>
              <w:jc w:val="left"/>
            </w:pPr>
            <w:r>
              <w:rPr>
                <w:sz w:val="18"/>
              </w:rPr>
              <w:t xml:space="preserve">Entity form (FC, FU, GRCTC) and activity classes</w:t>
            </w:r>
          </w:p>
        </w:tc>
        <w:tc>
          <w:tcPr>
            <w:tcW w:w="1351" w:type="dxa"/>
          </w:tcPr>
          <w:p>
            <w:pPr>
              <w:pStyle w:val="Compact"/>
              <w:spacing w:after="40"/>
              <w:jc w:val="left"/>
            </w:pPr>
            <w:r>
              <w:rPr>
                <w:sz w:val="18"/>
              </w:rPr>
              <w:t xml:space="preserve">IFSC tenant</w:t>
            </w:r>
          </w:p>
        </w:tc>
        <w:tc>
          <w:tcPr>
            <w:tcW w:w="2481" w:type="dxa"/>
          </w:tcPr>
          <w:p>
            <w:pPr>
              <w:pStyle w:val="Compact"/>
              <w:spacing w:after="40"/>
              <w:jc w:val="left"/>
            </w:pPr>
            <w:r>
              <w:rPr>
                <w:sz w:val="18"/>
              </w:rPr>
              <w:t xml:space="preserve">none (wizard)</w:t>
            </w:r>
          </w:p>
        </w:tc>
        <w:tc>
          <w:tcPr>
            <w:tcW w:w="3053" w:type="dxa"/>
          </w:tcPr>
          <w:p>
            <w:pPr>
              <w:pStyle w:val="Compact"/>
              <w:spacing w:after="40"/>
              <w:jc w:val="left"/>
            </w:pPr>
            <w:r>
              <w:rPr>
                <w:sz w:val="18"/>
              </w:rPr>
              <w:t xml:space="preserve">Fact; change through IP1.7</w:t>
            </w:r>
          </w:p>
        </w:tc>
      </w:tr>
      <w:tr>
        <w:tc>
          <w:tcPr>
            <w:tcW w:w="2753" w:type="dxa"/>
          </w:tcPr>
          <w:p>
            <w:pPr>
              <w:pStyle w:val="Compact"/>
              <w:spacing w:after="40"/>
              <w:jc w:val="left"/>
            </w:pPr>
            <w:r>
              <w:rPr>
                <w:sz w:val="18"/>
              </w:rPr>
              <w:t xml:space="preserve">Functional and reporting currency</w:t>
            </w:r>
          </w:p>
        </w:tc>
        <w:tc>
          <w:tcPr>
            <w:tcW w:w="1351" w:type="dxa"/>
          </w:tcPr>
          <w:p>
            <w:pPr>
              <w:pStyle w:val="Compact"/>
              <w:spacing w:after="40"/>
              <w:jc w:val="left"/>
            </w:pPr>
            <w:r>
              <w:rPr>
                <w:sz w:val="18"/>
              </w:rPr>
              <w:t xml:space="preserve">IFSC tenant</w:t>
            </w:r>
          </w:p>
        </w:tc>
        <w:tc>
          <w:tcPr>
            <w:tcW w:w="2481" w:type="dxa"/>
          </w:tcPr>
          <w:p>
            <w:pPr>
              <w:pStyle w:val="Compact"/>
              <w:spacing w:after="40"/>
              <w:jc w:val="left"/>
            </w:pPr>
            <w:r>
              <w:rPr>
                <w:sz w:val="18"/>
              </w:rPr>
              <w:t xml:space="preserve">USD</w:t>
            </w:r>
          </w:p>
        </w:tc>
        <w:tc>
          <w:tcPr>
            <w:tcW w:w="3053" w:type="dxa"/>
          </w:tcPr>
          <w:p>
            <w:pPr>
              <w:pStyle w:val="Compact"/>
              <w:spacing w:after="40"/>
              <w:jc w:val="left"/>
            </w:pPr>
            <w:r>
              <w:rPr>
                <w:sz w:val="18"/>
              </w:rPr>
              <w:t xml:space="preserve">Regulatory (locked)</w:t>
            </w:r>
          </w:p>
        </w:tc>
      </w:tr>
      <w:tr>
        <w:tc>
          <w:tcPr>
            <w:tcW w:w="2753" w:type="dxa"/>
          </w:tcPr>
          <w:p>
            <w:pPr>
              <w:pStyle w:val="Compact"/>
              <w:spacing w:after="40"/>
              <w:jc w:val="left"/>
            </w:pPr>
            <w:r>
              <w:rPr>
                <w:sz w:val="18"/>
              </w:rPr>
              <w:t xml:space="preserve">Reference FX rate source and revaluation time</w:t>
            </w:r>
          </w:p>
        </w:tc>
        <w:tc>
          <w:tcPr>
            <w:tcW w:w="1351" w:type="dxa"/>
          </w:tcPr>
          <w:p>
            <w:pPr>
              <w:pStyle w:val="Compact"/>
              <w:spacing w:after="40"/>
              <w:jc w:val="left"/>
            </w:pPr>
            <w:r>
              <w:rPr>
                <w:sz w:val="18"/>
              </w:rPr>
              <w:t xml:space="preserve">IFSC tenant</w:t>
            </w:r>
          </w:p>
        </w:tc>
        <w:tc>
          <w:tcPr>
            <w:tcW w:w="2481" w:type="dxa"/>
          </w:tcPr>
          <w:p>
            <w:pPr>
              <w:pStyle w:val="Compact"/>
              <w:spacing w:after="40"/>
              <w:jc w:val="left"/>
            </w:pPr>
            <w:r>
              <w:rPr>
                <w:sz w:val="18"/>
              </w:rPr>
              <w:t xml:space="preserve">configured source, 17:00 IST daily</w:t>
            </w:r>
          </w:p>
        </w:tc>
        <w:tc>
          <w:tcPr>
            <w:tcW w:w="3053" w:type="dxa"/>
          </w:tcPr>
          <w:p>
            <w:pPr>
              <w:pStyle w:val="Compact"/>
              <w:spacing w:after="40"/>
              <w:jc w:val="left"/>
            </w:pPr>
            <w:r>
              <w:rPr>
                <w:sz w:val="18"/>
              </w:rPr>
              <w:t xml:space="preserve">Commercial; source licence recorded</w:t>
            </w:r>
          </w:p>
        </w:tc>
      </w:tr>
      <w:tr>
        <w:tc>
          <w:tcPr>
            <w:tcW w:w="2753" w:type="dxa"/>
          </w:tcPr>
          <w:p>
            <w:pPr>
              <w:pStyle w:val="Compact"/>
              <w:spacing w:after="40"/>
              <w:jc w:val="left"/>
            </w:pPr>
            <w:r>
              <w:rPr>
                <w:sz w:val="18"/>
              </w:rPr>
              <w:t xml:space="preserve">INR administrative account chart</w:t>
            </w:r>
          </w:p>
        </w:tc>
        <w:tc>
          <w:tcPr>
            <w:tcW w:w="1351" w:type="dxa"/>
          </w:tcPr>
          <w:p>
            <w:pPr>
              <w:pStyle w:val="Compact"/>
              <w:spacing w:after="40"/>
              <w:jc w:val="left"/>
            </w:pPr>
            <w:r>
              <w:rPr>
                <w:sz w:val="18"/>
              </w:rPr>
              <w:t xml:space="preserve">IFSC tenant</w:t>
            </w:r>
          </w:p>
        </w:tc>
        <w:tc>
          <w:tcPr>
            <w:tcW w:w="2481" w:type="dxa"/>
          </w:tcPr>
          <w:p>
            <w:pPr>
              <w:pStyle w:val="Compact"/>
              <w:spacing w:after="40"/>
              <w:jc w:val="left"/>
            </w:pPr>
            <w:r>
              <w:rPr>
                <w:sz w:val="18"/>
              </w:rPr>
              <w:t xml:space="preserve">statutory and administrative heads only</w:t>
            </w:r>
          </w:p>
        </w:tc>
        <w:tc>
          <w:tcPr>
            <w:tcW w:w="3053" w:type="dxa"/>
          </w:tcPr>
          <w:p>
            <w:pPr>
              <w:pStyle w:val="Compact"/>
              <w:spacing w:after="40"/>
              <w:jc w:val="left"/>
            </w:pPr>
            <w:r>
              <w:rPr>
                <w:sz w:val="18"/>
              </w:rPr>
              <w:t xml:space="preserve">Regulatory allow-list</w:t>
            </w:r>
          </w:p>
        </w:tc>
      </w:tr>
      <w:tr>
        <w:tc>
          <w:tcPr>
            <w:tcW w:w="2753" w:type="dxa"/>
          </w:tcPr>
          <w:p>
            <w:pPr>
              <w:pStyle w:val="Compact"/>
              <w:spacing w:after="40"/>
              <w:jc w:val="left"/>
            </w:pPr>
            <w:r>
              <w:rPr>
                <w:sz w:val="18"/>
              </w:rPr>
              <w:t xml:space="preserve">Accounting framework</w:t>
            </w:r>
          </w:p>
        </w:tc>
        <w:tc>
          <w:tcPr>
            <w:tcW w:w="1351" w:type="dxa"/>
          </w:tcPr>
          <w:p>
            <w:pPr>
              <w:pStyle w:val="Compact"/>
              <w:spacing w:after="40"/>
              <w:jc w:val="left"/>
            </w:pPr>
            <w:r>
              <w:rPr>
                <w:sz w:val="18"/>
              </w:rPr>
              <w:t xml:space="preserve">IFSC tenant</w:t>
            </w:r>
          </w:p>
        </w:tc>
        <w:tc>
          <w:tcPr>
            <w:tcW w:w="2481" w:type="dxa"/>
          </w:tcPr>
          <w:p>
            <w:pPr>
              <w:pStyle w:val="Compact"/>
              <w:spacing w:after="40"/>
              <w:jc w:val="left"/>
            </w:pPr>
            <w:r>
              <w:rPr>
                <w:sz w:val="18"/>
              </w:rPr>
              <w:t xml:space="preserve">none until auditor confirmation</w:t>
            </w:r>
          </w:p>
        </w:tc>
        <w:tc>
          <w:tcPr>
            <w:tcW w:w="3053" w:type="dxa"/>
          </w:tcPr>
          <w:p>
            <w:pPr>
              <w:pStyle w:val="Compact"/>
              <w:spacing w:after="40"/>
              <w:jc w:val="left"/>
            </w:pPr>
            <w:r>
              <w:rPr>
                <w:sz w:val="18"/>
              </w:rPr>
              <w:t xml:space="preserve">Activation gate</w:t>
            </w:r>
          </w:p>
        </w:tc>
      </w:tr>
      <w:tr>
        <w:tc>
          <w:tcPr>
            <w:tcW w:w="2753" w:type="dxa"/>
          </w:tcPr>
          <w:p>
            <w:pPr>
              <w:pStyle w:val="Compact"/>
              <w:spacing w:after="40"/>
              <w:jc w:val="left"/>
            </w:pPr>
            <w:r>
              <w:rPr>
                <w:sz w:val="18"/>
              </w:rPr>
              <w:t xml:space="preserve">Hosting location</w:t>
            </w:r>
          </w:p>
        </w:tc>
        <w:tc>
          <w:tcPr>
            <w:tcW w:w="1351" w:type="dxa"/>
          </w:tcPr>
          <w:p>
            <w:pPr>
              <w:pStyle w:val="Compact"/>
              <w:spacing w:after="40"/>
              <w:jc w:val="left"/>
            </w:pPr>
            <w:r>
              <w:rPr>
                <w:sz w:val="18"/>
              </w:rPr>
              <w:t xml:space="preserve">IFSC tenant</w:t>
            </w:r>
          </w:p>
        </w:tc>
        <w:tc>
          <w:tcPr>
            <w:tcW w:w="2481" w:type="dxa"/>
          </w:tcPr>
          <w:p>
            <w:pPr>
              <w:pStyle w:val="Compact"/>
              <w:spacing w:after="40"/>
              <w:jc w:val="left"/>
            </w:pPr>
            <w:r>
              <w:rPr>
                <w:sz w:val="18"/>
              </w:rPr>
              <w:t xml:space="preserve">India region</w:t>
            </w:r>
          </w:p>
        </w:tc>
        <w:tc>
          <w:tcPr>
            <w:tcW w:w="3053" w:type="dxa"/>
          </w:tcPr>
          <w:p>
            <w:pPr>
              <w:pStyle w:val="Compact"/>
              <w:spacing w:after="40"/>
              <w:jc w:val="left"/>
            </w:pPr>
            <w:r>
              <w:rPr>
                <w:sz w:val="18"/>
              </w:rPr>
              <w:t xml:space="preserve">Commercial pending IFSCA position</w:t>
            </w:r>
          </w:p>
        </w:tc>
      </w:tr>
      <w:tr>
        <w:tc>
          <w:tcPr>
            <w:tcW w:w="2753" w:type="dxa"/>
          </w:tcPr>
          <w:p>
            <w:pPr>
              <w:pStyle w:val="Compact"/>
              <w:spacing w:after="40"/>
              <w:jc w:val="left"/>
            </w:pPr>
            <w:r>
              <w:rPr>
                <w:sz w:val="18"/>
              </w:rPr>
              <w:t xml:space="preserve">Resident onboarding</w:t>
            </w:r>
          </w:p>
        </w:tc>
        <w:tc>
          <w:tcPr>
            <w:tcW w:w="1351" w:type="dxa"/>
          </w:tcPr>
          <w:p>
            <w:pPr>
              <w:pStyle w:val="Compact"/>
              <w:spacing w:after="40"/>
              <w:jc w:val="left"/>
            </w:pPr>
            <w:r>
              <w:rPr>
                <w:sz w:val="18"/>
              </w:rPr>
              <w:t xml:space="preserve">Product</w:t>
            </w:r>
          </w:p>
        </w:tc>
        <w:tc>
          <w:tcPr>
            <w:tcW w:w="2481" w:type="dxa"/>
          </w:tcPr>
          <w:p>
            <w:pPr>
              <w:pStyle w:val="Compact"/>
              <w:spacing w:after="40"/>
              <w:jc w:val="left"/>
            </w:pPr>
            <w:r>
              <w:rPr>
                <w:sz w:val="18"/>
              </w:rPr>
              <w:t xml:space="preserve">off</w:t>
            </w:r>
          </w:p>
        </w:tc>
        <w:tc>
          <w:tcPr>
            <w:tcW w:w="3053" w:type="dxa"/>
          </w:tcPr>
          <w:p>
            <w:pPr>
              <w:pStyle w:val="Compact"/>
              <w:spacing w:after="40"/>
              <w:jc w:val="left"/>
            </w:pPr>
            <w:r>
              <w:rPr>
                <w:sz w:val="18"/>
              </w:rPr>
              <w:t xml:space="preserve">On only with FEMA basis and legal sign-off per counterparty</w:t>
            </w:r>
          </w:p>
        </w:tc>
      </w:tr>
    </w:tbl>
    <w:bookmarkEnd w:id="593"/>
    <w:bookmarkStart w:id="594" w:name="menu-and-screens-20"/>
    <w:p>
      <w:pPr>
        <w:pStyle w:val="Heading3"/>
      </w:pPr>
      <w:r>
        <w:t xml:space="preserve">Menu and screens</w:t>
      </w:r>
    </w:p>
    <w:p>
      <w:pPr>
        <w:pStyle w:val="FirstParagraph"/>
      </w:pPr>
      <w:r>
        <w:t xml:space="preserve">All under</w:t>
      </w:r>
      <w:r>
        <w:t xml:space="preserve"> </w:t>
      </w:r>
      <w:r>
        <w:rPr>
          <w:bCs/>
          <w:b/>
        </w:rPr>
        <w:t xml:space="preserve">IFSC</w:t>
      </w:r>
      <w:r>
        <w:t xml:space="preserve"> </w:t>
      </w:r>
      <w:r>
        <w:t xml:space="preserve">(workspace I for finance, K for compliance; group MIS sees read-only projections):</w:t>
      </w:r>
    </w:p>
    <w:p>
      <w:pPr>
        <w:numPr>
          <w:ilvl w:val="0"/>
          <w:numId w:val="1496"/>
        </w:numPr>
        <w:pStyle w:val="Compact"/>
      </w:pPr>
      <w:r>
        <w:rPr>
          <w:bCs/>
          <w:b/>
        </w:rPr>
        <w:t xml:space="preserve">IFSC › Entity:</w:t>
      </w:r>
      <w:r>
        <w:t xml:space="preserve"> </w:t>
      </w:r>
      <w:r>
        <w:t xml:space="preserve">activation wizard (form → activities → owned fund evidence → framework and auditor confirmation → departments and firewalls), activity whitelist, department access walls, FEMA-basis register for resident counterparties, IFSCA approvals register.</w:t>
      </w:r>
    </w:p>
    <w:p>
      <w:pPr>
        <w:numPr>
          <w:ilvl w:val="0"/>
          <w:numId w:val="1496"/>
        </w:numPr>
        <w:pStyle w:val="Compact"/>
      </w:pPr>
      <w:r>
        <w:rPr>
          <w:bCs/>
          <w:b/>
        </w:rPr>
        <w:t xml:space="preserve">IFSC › USD ledger:</w:t>
      </w:r>
      <w:r>
        <w:t xml:space="preserve"> </w:t>
      </w:r>
      <w:r>
        <w:t xml:space="preserve">USD trial balance, INR administrative account (allow-listed postings only), daily revaluation runs with rate evidence, capital ratio and exposure dashboard (8%, 25%), IFSCA return checklist with acknowledgement upload.</w:t>
      </w:r>
    </w:p>
    <w:bookmarkEnd w:id="594"/>
    <w:bookmarkStart w:id="595" w:name="acceptance-tests-46"/>
    <w:p>
      <w:pPr>
        <w:pStyle w:val="Heading3"/>
      </w:pPr>
      <w:r>
        <w:t xml:space="preserve">Acceptance tests</w:t>
      </w:r>
    </w:p>
    <w:p>
      <w:pPr>
        <w:numPr>
          <w:ilvl w:val="0"/>
          <w:numId w:val="1497"/>
        </w:numPr>
        <w:pStyle w:val="Compact"/>
      </w:pPr>
      <w:r>
        <w:t xml:space="preserve">IFSC FC created inside an onshore NBFC tenant → refused; separate USD tenant → created.</w:t>
      </w:r>
    </w:p>
    <w:p>
      <w:pPr>
        <w:numPr>
          <w:ilvl w:val="0"/>
          <w:numId w:val="1497"/>
        </w:numPr>
        <w:pStyle w:val="Compact"/>
      </w:pPr>
      <w:r>
        <w:t xml:space="preserve">Loan disbursal from the INR administrative account → blocked.</w:t>
      </w:r>
    </w:p>
    <w:p>
      <w:pPr>
        <w:numPr>
          <w:ilvl w:val="0"/>
          <w:numId w:val="1497"/>
        </w:numPr>
        <w:pStyle w:val="Compact"/>
      </w:pPr>
      <w:r>
        <w:t xml:space="preserve">Single-group exposure USD 2.7 million against eligible capital USD 10 million →</w:t>
      </w:r>
      <w:r>
        <w:t xml:space="preserve"> </w:t>
      </w:r>
      <w:r>
        <w:rPr>
          <w:rStyle w:val="VerbatimChar"/>
        </w:rPr>
        <w:t xml:space="preserve">LimitBreached</w:t>
      </w:r>
      <w:r>
        <w:t xml:space="preserve">; sanction blocked without an IFSCA approval reference.</w:t>
      </w:r>
    </w:p>
    <w:p>
      <w:pPr>
        <w:numPr>
          <w:ilvl w:val="0"/>
          <w:numId w:val="1497"/>
        </w:numPr>
        <w:pStyle w:val="Compact"/>
      </w:pPr>
      <w:r>
        <w:t xml:space="preserve">Derivative without</w:t>
      </w:r>
      <w:r>
        <w:t xml:space="preserve"> </w:t>
      </w:r>
      <w:r>
        <w:rPr>
          <w:rStyle w:val="VerbatimChar"/>
        </w:rPr>
        <w:t xml:space="preserve">hedge_link</w:t>
      </w:r>
      <w:r>
        <w:t xml:space="preserve"> </w:t>
      </w:r>
      <w:r>
        <w:t xml:space="preserve">in a unit with non-core activities → blocked.</w:t>
      </w:r>
    </w:p>
    <w:p>
      <w:pPr>
        <w:numPr>
          <w:ilvl w:val="0"/>
          <w:numId w:val="1497"/>
        </w:numPr>
        <w:pStyle w:val="Compact"/>
      </w:pPr>
      <w:r>
        <w:t xml:space="preserve">Resident borrower without FEMA basis and sign-off → blocked.</w:t>
      </w:r>
    </w:p>
    <w:p>
      <w:pPr>
        <w:numPr>
          <w:ilvl w:val="0"/>
          <w:numId w:val="1497"/>
        </w:numPr>
        <w:pStyle w:val="Compact"/>
      </w:pPr>
      <w:r>
        <w:t xml:space="preserve">Activation without a recorded framework and auditor confirmation → refused; owned fund USD 2.6 million for a core FC → breach alert.</w:t>
      </w:r>
    </w:p>
    <w:p>
      <w:r>
        <w:pict>
          <v:rect style="width:0;height:1.5pt" o:hralign="center" o:hrstd="t" o:hr="t"/>
        </w:pict>
      </w:r>
    </w:p>
    <w:bookmarkEnd w:id="595"/>
    <w:bookmarkEnd w:id="596"/>
    <w:bookmarkEnd w:id="597"/>
    <w:bookmarkStart w:id="658" w:name="X75f9ad0726326759feadccdcb6cf5666387b343"/>
    <w:p>
      <w:pPr>
        <w:pStyle w:val="Heading1"/>
      </w:pPr>
      <w:r>
        <w:t xml:space="preserve">PART 7H — INVESTMENTS, TREASURY AND CAPITAL-MARKETS MODULE</w:t>
      </w:r>
    </w:p>
    <w:p>
      <w:pPr>
        <w:pStyle w:val="FirstParagraph"/>
      </w:pPr>
      <w:r>
        <w:rPr>
          <w:bCs/>
          <w:b/>
        </w:rPr>
        <w:t xml:space="preserve">Purpose.</w:t>
      </w:r>
      <w:r>
        <w:t xml:space="preserve"> </w:t>
      </w:r>
      <w:r>
        <w:t xml:space="preserve">v1.4 gives the lender an investment register (M10 item 7A; Part 8A.5). v1.5 turns it into a book of record for investment companies, Core Investment Companies (NBFC-CIC), treasuries of lenders, AIFs and IFSC entities: instrument and issuer masters, licensed market data, order capture with human approval, settlement and demat reconciliation, corporate actions, IPO participation, AIF, REIT, InvIT and SR holdings, Ind AS 109 and AS 13 accounting, regulatory limits, and securitisation servicing for lenders that sell pools to SPVs.</w:t>
      </w:r>
      <w:r>
        <w:t xml:space="preserve"> </w:t>
      </w:r>
      <w:r>
        <w:rPr>
          <w:bCs/>
          <w:b/>
        </w:rPr>
        <w:t xml:space="preserve">Finbyx records, checks, values, accounts and reports. It never executes trades and never gives investment advice.</w:t>
      </w:r>
    </w:p>
    <w:p>
      <w:pPr>
        <w:pStyle w:val="BodyText"/>
      </w:pPr>
      <w:r>
        <w:rPr>
          <w:bCs/>
          <w:b/>
        </w:rPr>
        <w:t xml:space="preserve">Applicability.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330"/>
        <w:gridCol w:w="3571"/>
        <w:gridCol w:w="2737"/>
      </w:tblGrid>
      <w:tr>
        <w:trPr>
          <w:tblHeader w:val="true"/>
          <w:tblHeader w:val="true"/>
        </w:trPr>
        <w:tc>
          <w:tcPr>
            <w:tcW w:w="3330" w:type="dxa"/>
            <w:shd w:val="clear" w:color="auto" w:fill="1F3A5F"/>
          </w:tcPr>
          <w:p>
            <w:pPr>
              <w:pStyle w:val="Compact"/>
              <w:spacing w:after="40"/>
              <w:jc w:val="left"/>
            </w:pPr>
            <w:r>
              <w:rPr>
                <w:b/>
                <w:color w:val="FFFFFF"/>
                <w:sz w:val="18"/>
              </w:rPr>
              <w:t xml:space="preserve">Entity</w:t>
            </w:r>
          </w:p>
        </w:tc>
        <w:tc>
          <w:tcPr>
            <w:tcW w:w="3571" w:type="dxa"/>
            <w:shd w:val="clear" w:color="auto" w:fill="1F3A5F"/>
          </w:tcPr>
          <w:p>
            <w:pPr>
              <w:pStyle w:val="Compact"/>
              <w:spacing w:after="40"/>
              <w:jc w:val="left"/>
            </w:pPr>
            <w:r>
              <w:rPr>
                <w:b/>
                <w:color w:val="FFFFFF"/>
                <w:sz w:val="18"/>
              </w:rPr>
              <w:t xml:space="preserve">Rule set</w:t>
            </w:r>
          </w:p>
        </w:tc>
        <w:tc>
          <w:tcPr>
            <w:tcW w:w="2737" w:type="dxa"/>
            <w:shd w:val="clear" w:color="auto" w:fill="1F3A5F"/>
          </w:tcPr>
          <w:p>
            <w:pPr>
              <w:pStyle w:val="Compact"/>
              <w:spacing w:after="40"/>
              <w:jc w:val="left"/>
            </w:pPr>
            <w:r>
              <w:rPr>
                <w:b/>
                <w:color w:val="FFFFFF"/>
                <w:sz w:val="18"/>
              </w:rPr>
              <w:t xml:space="preserve">Notes</w:t>
            </w:r>
          </w:p>
        </w:tc>
      </w:tr>
      <w:tr>
        <w:tc>
          <w:tcPr>
            <w:tcW w:w="3330" w:type="dxa"/>
          </w:tcPr>
          <w:p>
            <w:pPr>
              <w:pStyle w:val="Compact"/>
              <w:spacing w:after="40"/>
              <w:jc w:val="left"/>
            </w:pPr>
            <w:r>
              <w:rPr>
                <w:sz w:val="18"/>
              </w:rPr>
              <w:t xml:space="preserve">NBFC-D, ICC, Factor, MFI, IFC, IDF, HFC, NBFC-CIC</w:t>
            </w:r>
          </w:p>
        </w:tc>
        <w:tc>
          <w:tcPr>
            <w:tcW w:w="3571" w:type="dxa"/>
          </w:tcPr>
          <w:p>
            <w:pPr>
              <w:pStyle w:val="Compact"/>
              <w:spacing w:after="40"/>
              <w:jc w:val="left"/>
            </w:pPr>
            <w:r>
              <w:rPr>
                <w:sz w:val="18"/>
              </w:rPr>
              <w:t xml:space="preserve">INV (Ch II for BL; Ch II and III for ML/UL)</w:t>
            </w:r>
          </w:p>
        </w:tc>
        <w:tc>
          <w:tcPr>
            <w:tcW w:w="2737" w:type="dxa"/>
          </w:tcPr>
          <w:p>
            <w:pPr>
              <w:pStyle w:val="Compact"/>
              <w:spacing w:after="40"/>
              <w:jc w:val="left"/>
            </w:pPr>
            <w:r>
              <w:rPr>
                <w:sz w:val="18"/>
              </w:rPr>
              <w:t xml:space="preserve">INV para 3</w:t>
            </w:r>
          </w:p>
        </w:tc>
      </w:tr>
      <w:tr>
        <w:tc>
          <w:tcPr>
            <w:tcW w:w="3330" w:type="dxa"/>
          </w:tcPr>
          <w:p>
            <w:pPr>
              <w:pStyle w:val="Compact"/>
              <w:spacing w:after="40"/>
              <w:jc w:val="left"/>
            </w:pPr>
            <w:r>
              <w:rPr>
                <w:sz w:val="18"/>
              </w:rPr>
              <w:t xml:space="preserve">MGC, P2P, AA, SPD, NOFHC, Type I, BL with customer interface but no public funds</w:t>
            </w:r>
          </w:p>
        </w:tc>
        <w:tc>
          <w:tcPr>
            <w:tcW w:w="3571" w:type="dxa"/>
          </w:tcPr>
          <w:p>
            <w:pPr>
              <w:pStyle w:val="Compact"/>
              <w:spacing w:after="40"/>
              <w:jc w:val="left"/>
            </w:pPr>
            <w:r>
              <w:rPr>
                <w:sz w:val="18"/>
              </w:rPr>
              <w:t xml:space="preserve">INV not applicable; for the two no-public-funds categories paras 11–13 and 28–29 still apply</w:t>
            </w:r>
          </w:p>
        </w:tc>
        <w:tc>
          <w:tcPr>
            <w:tcW w:w="2737" w:type="dxa"/>
          </w:tcPr>
          <w:p>
            <w:pPr>
              <w:pStyle w:val="Compact"/>
              <w:spacing w:after="40"/>
              <w:jc w:val="left"/>
            </w:pPr>
            <w:r>
              <w:rPr>
                <w:sz w:val="18"/>
              </w:rPr>
              <w:t xml:space="preserve">INV para 3</w:t>
            </w:r>
          </w:p>
        </w:tc>
      </w:tr>
      <w:tr>
        <w:tc>
          <w:tcPr>
            <w:tcW w:w="3330" w:type="dxa"/>
          </w:tcPr>
          <w:p>
            <w:pPr>
              <w:pStyle w:val="Compact"/>
              <w:spacing w:after="40"/>
              <w:jc w:val="left"/>
            </w:pPr>
            <w:r>
              <w:rPr>
                <w:sz w:val="18"/>
              </w:rPr>
              <w:t xml:space="preserve">NBFC-CIC</w:t>
            </w:r>
          </w:p>
        </w:tc>
        <w:tc>
          <w:tcPr>
            <w:tcW w:w="3571" w:type="dxa"/>
          </w:tcPr>
          <w:p>
            <w:pPr>
              <w:pStyle w:val="Compact"/>
              <w:spacing w:after="40"/>
              <w:jc w:val="left"/>
            </w:pPr>
            <w:r>
              <w:rPr>
                <w:sz w:val="18"/>
              </w:rPr>
              <w:t xml:space="preserve">INV plus CICD (IV5.6)</w:t>
            </w:r>
          </w:p>
        </w:tc>
        <w:tc>
          <w:tcPr>
            <w:tcW w:w="2737" w:type="dxa"/>
          </w:tcPr>
          <w:p>
            <w:pPr>
              <w:pStyle w:val="Compact"/>
              <w:spacing w:after="40"/>
              <w:jc w:val="left"/>
            </w:pPr>
            <w:r>
              <w:rPr>
                <w:sz w:val="18"/>
              </w:rPr>
              <w:t xml:space="preserve">always ML or UL (SBR para 15(2)); outside TDCR and SEC</w:t>
            </w:r>
          </w:p>
        </w:tc>
      </w:tr>
      <w:tr>
        <w:tc>
          <w:tcPr>
            <w:tcW w:w="3330" w:type="dxa"/>
          </w:tcPr>
          <w:p>
            <w:pPr>
              <w:pStyle w:val="Compact"/>
              <w:spacing w:after="40"/>
              <w:jc w:val="left"/>
            </w:pPr>
            <w:r>
              <w:rPr>
                <w:sz w:val="18"/>
              </w:rPr>
              <w:t xml:space="preserve">Banks, UCBs, StCBs, DCCBs</w:t>
            </w:r>
          </w:p>
        </w:tc>
        <w:tc>
          <w:tcPr>
            <w:tcW w:w="3571" w:type="dxa"/>
          </w:tcPr>
          <w:p>
            <w:pPr>
              <w:pStyle w:val="Compact"/>
              <w:spacing w:after="40"/>
              <w:jc w:val="left"/>
            </w:pPr>
            <w:r>
              <w:rPr>
                <w:sz w:val="18"/>
              </w:rPr>
              <w:t xml:space="preserve">own investment norms [VERIFY]; RBI AIF Directions 2025 apply</w:t>
            </w:r>
          </w:p>
        </w:tc>
        <w:tc>
          <w:tcPr>
            <w:tcW w:w="2737" w:type="dxa"/>
          </w:tcPr>
          <w:p>
            <w:pPr>
              <w:pStyle w:val="Compact"/>
              <w:spacing w:after="40"/>
              <w:jc w:val="left"/>
            </w:pPr>
            <w:r>
              <w:rPr>
                <w:sz w:val="18"/>
              </w:rPr>
              <w:t xml:space="preserve">monitoring pack only (Part 7G IP3)</w:t>
            </w:r>
          </w:p>
        </w:tc>
      </w:tr>
      <w:tr>
        <w:tc>
          <w:tcPr>
            <w:tcW w:w="3330" w:type="dxa"/>
          </w:tcPr>
          <w:p>
            <w:pPr>
              <w:pStyle w:val="Compact"/>
              <w:spacing w:after="40"/>
              <w:jc w:val="left"/>
            </w:pPr>
            <w:r>
              <w:rPr>
                <w:sz w:val="18"/>
              </w:rPr>
              <w:t xml:space="preserve">ARC</w:t>
            </w:r>
          </w:p>
        </w:tc>
        <w:tc>
          <w:tcPr>
            <w:tcW w:w="3571" w:type="dxa"/>
          </w:tcPr>
          <w:p>
            <w:pPr>
              <w:pStyle w:val="Compact"/>
              <w:spacing w:after="40"/>
              <w:jc w:val="left"/>
            </w:pPr>
            <w:r>
              <w:rPr>
                <w:sz w:val="18"/>
              </w:rPr>
              <w:t xml:space="preserve">surplus funds ≤ 10% of NOF (ARC para 21)</w:t>
            </w:r>
          </w:p>
        </w:tc>
        <w:tc>
          <w:tcPr>
            <w:tcW w:w="2737" w:type="dxa"/>
          </w:tcPr>
          <w:p>
            <w:pPr>
              <w:pStyle w:val="Compact"/>
              <w:spacing w:after="40"/>
              <w:jc w:val="left"/>
            </w:pPr>
            <w:r>
              <w:rPr>
                <w:sz w:val="18"/>
              </w:rPr>
              <w:t xml:space="preserve">Part 7G IP5</w:t>
            </w:r>
          </w:p>
        </w:tc>
      </w:tr>
      <w:tr>
        <w:tc>
          <w:tcPr>
            <w:tcW w:w="3330" w:type="dxa"/>
          </w:tcPr>
          <w:p>
            <w:pPr>
              <w:pStyle w:val="Compact"/>
              <w:spacing w:after="40"/>
              <w:jc w:val="left"/>
            </w:pPr>
            <w:r>
              <w:rPr>
                <w:sz w:val="18"/>
              </w:rPr>
              <w:t xml:space="preserve">AIF, PMS, IFSC fund (as customers)</w:t>
            </w:r>
          </w:p>
        </w:tc>
        <w:tc>
          <w:tcPr>
            <w:tcW w:w="3571" w:type="dxa"/>
          </w:tcPr>
          <w:p>
            <w:pPr>
              <w:pStyle w:val="Compact"/>
              <w:spacing w:after="40"/>
              <w:jc w:val="left"/>
            </w:pPr>
            <w:r>
              <w:rPr>
                <w:sz w:val="18"/>
              </w:rPr>
              <w:t xml:space="preserve">SEBI AIF Regulations 2012, SEBI PM Regulations 2020, IFSCA FM Regulations 2025</w:t>
            </w:r>
          </w:p>
        </w:tc>
        <w:tc>
          <w:tcPr>
            <w:tcW w:w="2737" w:type="dxa"/>
          </w:tcPr>
          <w:p>
            <w:pPr>
              <w:pStyle w:val="Compact"/>
              <w:spacing w:after="40"/>
              <w:jc w:val="left"/>
            </w:pPr>
            <w:r>
              <w:rPr>
                <w:sz w:val="18"/>
              </w:rPr>
              <w:t xml:space="preserve">IV6</w:t>
            </w:r>
          </w:p>
        </w:tc>
      </w:tr>
      <w:tr>
        <w:tc>
          <w:tcPr>
            <w:tcW w:w="3330" w:type="dxa"/>
          </w:tcPr>
          <w:p>
            <w:pPr>
              <w:pStyle w:val="Compact"/>
              <w:spacing w:after="40"/>
              <w:jc w:val="left"/>
            </w:pPr>
            <w:r>
              <w:rPr>
                <w:sz w:val="18"/>
              </w:rPr>
              <w:t xml:space="preserve">IFSC FC/FU</w:t>
            </w:r>
          </w:p>
        </w:tc>
        <w:tc>
          <w:tcPr>
            <w:tcW w:w="3571" w:type="dxa"/>
          </w:tcPr>
          <w:p>
            <w:pPr>
              <w:pStyle w:val="Compact"/>
              <w:spacing w:after="40"/>
              <w:jc w:val="left"/>
            </w:pPr>
            <w:r>
              <w:rPr>
                <w:sz w:val="18"/>
              </w:rPr>
              <w:t xml:space="preserve">IFSCA-FC; USD</w:t>
            </w:r>
          </w:p>
        </w:tc>
        <w:tc>
          <w:tcPr>
            <w:tcW w:w="2737" w:type="dxa"/>
          </w:tcPr>
          <w:p>
            <w:pPr>
              <w:pStyle w:val="Compact"/>
              <w:spacing w:after="40"/>
              <w:jc w:val="left"/>
            </w:pPr>
            <w:r>
              <w:rPr>
                <w:sz w:val="18"/>
              </w:rPr>
              <w:t xml:space="preserve">Part 7G IP6</w:t>
            </w:r>
          </w:p>
        </w:tc>
      </w:tr>
    </w:tbl>
    <w:p>
      <w:pPr>
        <w:pStyle w:val="BodyText"/>
      </w:pPr>
      <w:r>
        <w:rPr>
          <w:bCs/>
          <w:b/>
        </w:rPr>
        <w:t xml:space="preserve">Requirement codes.</w:t>
      </w:r>
      <w:r>
        <w:t xml:space="preserve"> </w:t>
      </w:r>
      <w:r>
        <w:t xml:space="preserve">Existing: INV, CON, CF, FS, SBR, CAP, TDCR, SEC, MSD, IRACP. New (Part 8A.37):</w:t>
      </w:r>
      <w:r>
        <w:t xml:space="preserve"> </w:t>
      </w:r>
      <w:r>
        <w:rPr>
          <w:rStyle w:val="VerbatimChar"/>
        </w:rPr>
        <w:t xml:space="preserve">AIF</w:t>
      </w:r>
      <w:r>
        <w:t xml:space="preserve"> </w:t>
      </w:r>
      <w:r>
        <w:t xml:space="preserve">(SEBI AIF Regulations and circulars),</w:t>
      </w:r>
      <w:r>
        <w:t xml:space="preserve"> </w:t>
      </w:r>
      <w:r>
        <w:rPr>
          <w:rStyle w:val="VerbatimChar"/>
        </w:rPr>
        <w:t xml:space="preserve">ICDR</w:t>
      </w:r>
      <w:r>
        <w:t xml:space="preserve">,</w:t>
      </w:r>
      <w:r>
        <w:t xml:space="preserve"> </w:t>
      </w:r>
      <w:r>
        <w:rPr>
          <w:rStyle w:val="VerbatimChar"/>
        </w:rPr>
        <w:t xml:space="preserve">LODR</w:t>
      </w:r>
      <w:r>
        <w:t xml:space="preserve">,</w:t>
      </w:r>
      <w:r>
        <w:t xml:space="preserve"> </w:t>
      </w:r>
      <w:r>
        <w:rPr>
          <w:rStyle w:val="VerbatimChar"/>
        </w:rPr>
        <w:t xml:space="preserve">PIT</w:t>
      </w:r>
      <w:r>
        <w:t xml:space="preserve">,</w:t>
      </w:r>
      <w:r>
        <w:t xml:space="preserve"> </w:t>
      </w:r>
      <w:r>
        <w:rPr>
          <w:rStyle w:val="VerbatimChar"/>
        </w:rPr>
        <w:t xml:space="preserve">IND-AS</w:t>
      </w:r>
      <w:r>
        <w:t xml:space="preserve">,</w:t>
      </w:r>
      <w:r>
        <w:t xml:space="preserve"> </w:t>
      </w:r>
      <w:r>
        <w:rPr>
          <w:rStyle w:val="VerbatimChar"/>
        </w:rPr>
        <w:t xml:space="preserve">ICAI</w:t>
      </w:r>
      <w:r>
        <w:t xml:space="preserve">,</w:t>
      </w:r>
      <w:r>
        <w:t xml:space="preserve"> </w:t>
      </w:r>
      <w:r>
        <w:rPr>
          <w:rStyle w:val="VerbatimChar"/>
        </w:rPr>
        <w:t xml:space="preserve">IFSCA-FC</w:t>
      </w:r>
      <w:r>
        <w:t xml:space="preserve">,</w:t>
      </w:r>
      <w:r>
        <w:t xml:space="preserve"> </w:t>
      </w:r>
      <w:r>
        <w:rPr>
          <w:rStyle w:val="VerbatimChar"/>
        </w:rPr>
        <w:t xml:space="preserve">ARC</w:t>
      </w:r>
      <w:r>
        <w:t xml:space="preserve">. Also in Part 8A.37:</w:t>
      </w:r>
      <w:r>
        <w:t xml:space="preserve"> </w:t>
      </w:r>
      <w:r>
        <w:rPr>
          <w:rStyle w:val="VerbatimChar"/>
        </w:rPr>
        <w:t xml:space="preserve">RBI-AIF</w:t>
      </w:r>
      <w:r>
        <w:t xml:space="preserve"> </w:t>
      </w:r>
      <w:r>
        <w:t xml:space="preserve">(RBI (Investment in AIF) Directions 2025, consolidated into the Undertaking of Financial Services Directions 2025),</w:t>
      </w:r>
      <w:r>
        <w:t xml:space="preserve"> </w:t>
      </w:r>
      <w:r>
        <w:rPr>
          <w:rStyle w:val="VerbatimChar"/>
        </w:rPr>
        <w:t xml:space="preserve">CICD</w:t>
      </w:r>
      <w:r>
        <w:t xml:space="preserve"> </w:t>
      </w:r>
      <w:r>
        <w:t xml:space="preserve">(RBI (Core Investment Companies) Directions 2025). In this Part a Core Investment Company is written NBFC-CIC; bare</w:t>
      </w:r>
      <w:r>
        <w:t xml:space="preserve"> </w:t>
      </w:r>
      <w:r>
        <w:t xml:space="preserve">“</w:t>
      </w:r>
      <w:r>
        <w:t xml:space="preserve">CIC</w:t>
      </w:r>
      <w:r>
        <w:t xml:space="preserve">”</w:t>
      </w:r>
      <w:r>
        <w:t xml:space="preserve"> </w:t>
      </w:r>
      <w:r>
        <w:t xml:space="preserve">means a credit information company,</w:t>
      </w:r>
      <w:r>
        <w:t xml:space="preserve"> </w:t>
      </w:r>
      <w:r>
        <w:rPr>
          <w:rStyle w:val="VerbatimChar"/>
        </w:rPr>
        <w:t xml:space="preserve">SEBI-MF</w:t>
      </w:r>
      <w:r>
        <w:t xml:space="preserve"> </w:t>
      </w:r>
      <w:r>
        <w:t xml:space="preserve">(market-cap categorisation),</w:t>
      </w:r>
      <w:r>
        <w:t xml:space="preserve"> </w:t>
      </w:r>
      <w:r>
        <w:rPr>
          <w:rStyle w:val="VerbatimChar"/>
        </w:rPr>
        <w:t xml:space="preserve">SEBI-PM</w:t>
      </w:r>
      <w:r>
        <w:t xml:space="preserve">,</w:t>
      </w:r>
      <w:r>
        <w:t xml:space="preserve"> </w:t>
      </w:r>
      <w:r>
        <w:rPr>
          <w:rStyle w:val="VerbatimChar"/>
        </w:rPr>
        <w:t xml:space="preserve">SEBI-IA</w:t>
      </w:r>
      <w:r>
        <w:t xml:space="preserve">,</w:t>
      </w:r>
      <w:r>
        <w:t xml:space="preserve"> </w:t>
      </w:r>
      <w:r>
        <w:rPr>
          <w:rStyle w:val="VerbatimChar"/>
        </w:rPr>
        <w:t xml:space="preserve">IFSCA-FM</w:t>
      </w:r>
      <w:r>
        <w:t xml:space="preserve">,</w:t>
      </w:r>
      <w:r>
        <w:t xml:space="preserve"> </w:t>
      </w:r>
      <w:r>
        <w:rPr>
          <w:rStyle w:val="VerbatimChar"/>
        </w:rPr>
        <w:t xml:space="preserve">SARFAESI</w:t>
      </w:r>
      <w:r>
        <w:t xml:space="preserve">.</w:t>
      </w:r>
    </w:p>
    <w:p>
      <w:pPr>
        <w:pStyle w:val="BodyText"/>
      </w:pPr>
      <w:r>
        <w:rPr>
          <w:bCs/>
          <w:b/>
        </w:rPr>
        <w:t xml:space="preserve">Data owned.</w:t>
      </w:r>
      <w:r>
        <w:t xml:space="preserve"> </w:t>
      </w:r>
      <w:r>
        <w:t xml:space="preserve">Instrument, issuer and corporate-action masters; market-data licence register; price snapshots; order tickets, pre-trade and restricted-list check results, broker-release records, contract notes, broker-error exceptions, settlements, positions and tax lots; demat reconciliations; IPO applications and lock-ins; AIF commitments, drawdowns, capital accounts and look-through files; REIT/InvIT distributions; SR holdings and valuations; valuation runs; limit results; securitisation servicing ledgers, waterfalls and investor reports. Accounting postings go through the M10 ledger engine; capital and limit results feed Part 7E.</w:t>
      </w:r>
    </w:p>
    <w:p>
      <w:pPr>
        <w:pStyle w:val="BodyText"/>
      </w:pPr>
      <w:r>
        <w:rPr>
          <w:bCs/>
          <w:b/>
        </w:rPr>
        <w:t xml:space="preserve">Extends:</w:t>
      </w:r>
      <w:r>
        <w:t xml:space="preserve"> </w:t>
      </w:r>
      <w:r>
        <w:t xml:space="preserve">M10 item 7A, Part 8A.5 (INV), Part 6.4 (LAS security master and price snapshots are shared, never duplicated), M11, R13, Part 8A.22 (TDCR) and 8A.23 (SEC).</w:t>
      </w:r>
    </w:p>
    <w:bookmarkStart w:id="598" w:name="module-guard-rails"/>
    <w:p>
      <w:pPr>
        <w:pStyle w:val="Heading3"/>
      </w:pPr>
      <w:r>
        <w:t xml:space="preserve">Module guard-rails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06"/>
        <w:gridCol w:w="5379"/>
        <w:gridCol w:w="2953"/>
      </w:tblGrid>
      <w:tr>
        <w:trPr>
          <w:tblHeader w:val="true"/>
          <w:tblHeader w:val="true"/>
        </w:trPr>
        <w:tc>
          <w:tcPr>
            <w:tcW w:w="1306" w:type="dxa"/>
            <w:shd w:val="clear" w:color="auto" w:fill="1F3A5F"/>
          </w:tcPr>
          <w:p>
            <w:pPr>
              <w:pStyle w:val="Compact"/>
              <w:spacing w:after="40"/>
              <w:jc w:val="left"/>
            </w:pPr>
            <w:r>
              <w:rPr>
                <w:b/>
                <w:color w:val="FFFFFF"/>
                <w:sz w:val="18"/>
              </w:rPr>
              <w:t xml:space="preserve">ID</w:t>
            </w:r>
          </w:p>
        </w:tc>
        <w:tc>
          <w:tcPr>
            <w:tcW w:w="5379" w:type="dxa"/>
            <w:shd w:val="clear" w:color="auto" w:fill="1F3A5F"/>
          </w:tcPr>
          <w:p>
            <w:pPr>
              <w:pStyle w:val="Compact"/>
              <w:spacing w:after="40"/>
              <w:jc w:val="left"/>
            </w:pPr>
            <w:r>
              <w:rPr>
                <w:b/>
                <w:color w:val="FFFFFF"/>
                <w:sz w:val="18"/>
              </w:rPr>
              <w:t xml:space="preserve">Rule</w:t>
            </w:r>
          </w:p>
        </w:tc>
        <w:tc>
          <w:tcPr>
            <w:tcW w:w="2953" w:type="dxa"/>
            <w:shd w:val="clear" w:color="auto" w:fill="1F3A5F"/>
          </w:tcPr>
          <w:p>
            <w:pPr>
              <w:pStyle w:val="Compact"/>
              <w:spacing w:after="40"/>
              <w:jc w:val="left"/>
            </w:pPr>
            <w:r>
              <w:rPr>
                <w:b/>
                <w:color w:val="FFFFFF"/>
                <w:sz w:val="18"/>
              </w:rPr>
              <w:t xml:space="preserve">Basis</w:t>
            </w:r>
          </w:p>
        </w:tc>
      </w:tr>
      <w:tr>
        <w:tc>
          <w:tcPr>
            <w:tcW w:w="1306" w:type="dxa"/>
          </w:tcPr>
          <w:p>
            <w:pPr>
              <w:pStyle w:val="Compact"/>
              <w:spacing w:after="40"/>
              <w:jc w:val="left"/>
            </w:pPr>
            <w:r>
              <w:rPr>
                <w:sz w:val="18"/>
              </w:rPr>
              <w:t xml:space="preserve">GR-7H-01</w:t>
            </w:r>
          </w:p>
        </w:tc>
        <w:tc>
          <w:tcPr>
            <w:tcW w:w="5379" w:type="dxa"/>
          </w:tcPr>
          <w:p>
            <w:pPr>
              <w:pStyle w:val="Compact"/>
              <w:spacing w:after="40"/>
              <w:jc w:val="left"/>
            </w:pPr>
            <w:r>
              <w:rPr>
                <w:sz w:val="18"/>
              </w:rPr>
              <w:t xml:space="preserve">No trade execution, order routing or exchange connectivity; orders are captured, checked and approved in Finbyx and executed by the tenant through its broker outside Finbyx</w:t>
            </w:r>
          </w:p>
        </w:tc>
        <w:tc>
          <w:tcPr>
            <w:tcW w:w="2953" w:type="dxa"/>
          </w:tcPr>
          <w:p>
            <w:pPr>
              <w:pStyle w:val="Compact"/>
              <w:spacing w:after="40"/>
              <w:jc w:val="left"/>
            </w:pPr>
            <w:r>
              <w:rPr>
                <w:sz w:val="18"/>
              </w:rPr>
              <w:t xml:space="preserve">Scope decision [REC]; SEBI broker registration is not held</w:t>
            </w:r>
          </w:p>
        </w:tc>
      </w:tr>
      <w:tr>
        <w:tc>
          <w:tcPr>
            <w:tcW w:w="1306" w:type="dxa"/>
          </w:tcPr>
          <w:p>
            <w:pPr>
              <w:pStyle w:val="Compact"/>
              <w:spacing w:after="40"/>
              <w:jc w:val="left"/>
            </w:pPr>
            <w:r>
              <w:rPr>
                <w:sz w:val="18"/>
              </w:rPr>
              <w:t xml:space="preserve">GR-7H-02</w:t>
            </w:r>
          </w:p>
        </w:tc>
        <w:tc>
          <w:tcPr>
            <w:tcW w:w="5379" w:type="dxa"/>
          </w:tcPr>
          <w:p>
            <w:pPr>
              <w:pStyle w:val="Compact"/>
              <w:spacing w:after="40"/>
              <w:jc w:val="left"/>
            </w:pPr>
            <w:r>
              <w:rPr>
                <w:sz w:val="18"/>
              </w:rPr>
              <w:t xml:space="preserve">No investment advice, recommendation, rating of securities as</w:t>
            </w:r>
            <w:r>
              <w:rPr>
                <w:sz w:val="18"/>
              </w:rPr>
              <w:t xml:space="preserve"> </w:t>
            </w:r>
            <w:r>
              <w:rPr>
                <w:sz w:val="18"/>
              </w:rPr>
              <w:t xml:space="preserve">“</w:t>
            </w:r>
            <w:r>
              <w:rPr>
                <w:sz w:val="18"/>
              </w:rPr>
              <w:t xml:space="preserve">buy</w:t>
            </w:r>
            <w:r>
              <w:rPr>
                <w:sz w:val="18"/>
              </w:rPr>
              <w:t xml:space="preserve">”</w:t>
            </w:r>
            <w:r>
              <w:rPr>
                <w:sz w:val="18"/>
              </w:rPr>
              <w:t xml:space="preserve"> </w:t>
            </w:r>
            <w:r>
              <w:rPr>
                <w:sz w:val="18"/>
              </w:rPr>
              <w:t xml:space="preserve">or</w:t>
            </w:r>
            <w:r>
              <w:rPr>
                <w:sz w:val="18"/>
              </w:rPr>
              <w:t xml:space="preserve"> </w:t>
            </w:r>
            <w:r>
              <w:rPr>
                <w:sz w:val="18"/>
              </w:rPr>
              <w:t xml:space="preserve">“</w:t>
            </w:r>
            <w:r>
              <w:rPr>
                <w:sz w:val="18"/>
              </w:rPr>
              <w:t xml:space="preserve">sell</w:t>
            </w:r>
            <w:r>
              <w:rPr>
                <w:sz w:val="18"/>
              </w:rPr>
              <w:t xml:space="preserve">”</w:t>
            </w:r>
            <w:r>
              <w:rPr>
                <w:sz w:val="18"/>
              </w:rPr>
              <w:t xml:space="preserve">, or model portfolio</w:t>
            </w:r>
          </w:p>
        </w:tc>
        <w:tc>
          <w:tcPr>
            <w:tcW w:w="2953" w:type="dxa"/>
          </w:tcPr>
          <w:p>
            <w:pPr>
              <w:pStyle w:val="Compact"/>
              <w:spacing w:after="40"/>
              <w:jc w:val="left"/>
            </w:pPr>
            <w:r>
              <w:rPr>
                <w:sz w:val="18"/>
              </w:rPr>
              <w:t xml:space="preserve">SEBI-IA (SEBI (Investment Advisers) Regulations 2013) [REC]</w:t>
            </w:r>
          </w:p>
        </w:tc>
      </w:tr>
      <w:tr>
        <w:tc>
          <w:tcPr>
            <w:tcW w:w="1306" w:type="dxa"/>
          </w:tcPr>
          <w:p>
            <w:pPr>
              <w:pStyle w:val="Compact"/>
              <w:spacing w:after="40"/>
              <w:jc w:val="left"/>
            </w:pPr>
            <w:r>
              <w:rPr>
                <w:sz w:val="18"/>
              </w:rPr>
              <w:t xml:space="preserve">GR-7H-03</w:t>
            </w:r>
          </w:p>
        </w:tc>
        <w:tc>
          <w:tcPr>
            <w:tcW w:w="5379" w:type="dxa"/>
          </w:tcPr>
          <w:p>
            <w:pPr>
              <w:pStyle w:val="Compact"/>
              <w:spacing w:after="40"/>
              <w:jc w:val="left"/>
            </w:pPr>
            <w:r>
              <w:rPr>
                <w:sz w:val="18"/>
              </w:rPr>
              <w:t xml:space="preserve">Market data used only within the tenant’s licence; no redistribution</w:t>
            </w:r>
          </w:p>
        </w:tc>
        <w:tc>
          <w:tcPr>
            <w:tcW w:w="2953" w:type="dxa"/>
          </w:tcPr>
          <w:p>
            <w:pPr>
              <w:pStyle w:val="Compact"/>
              <w:spacing w:after="40"/>
              <w:jc w:val="left"/>
            </w:pPr>
            <w:r>
              <w:rPr>
                <w:sz w:val="18"/>
              </w:rPr>
              <w:t xml:space="preserve">Exchange, AMFI and CRA terms [VERIFY current terms]</w:t>
            </w:r>
          </w:p>
        </w:tc>
      </w:tr>
      <w:tr>
        <w:tc>
          <w:tcPr>
            <w:tcW w:w="1306" w:type="dxa"/>
          </w:tcPr>
          <w:p>
            <w:pPr>
              <w:pStyle w:val="Compact"/>
              <w:spacing w:after="40"/>
              <w:jc w:val="left"/>
            </w:pPr>
            <w:r>
              <w:rPr>
                <w:sz w:val="18"/>
              </w:rPr>
              <w:t xml:space="preserve">GR-7H-04</w:t>
            </w:r>
          </w:p>
        </w:tc>
        <w:tc>
          <w:tcPr>
            <w:tcW w:w="5379" w:type="dxa"/>
          </w:tcPr>
          <w:p>
            <w:pPr>
              <w:pStyle w:val="Compact"/>
              <w:spacing w:after="40"/>
              <w:jc w:val="left"/>
            </w:pPr>
            <w:r>
              <w:rPr>
                <w:sz w:val="18"/>
              </w:rPr>
              <w:t xml:space="preserve">AIF commitment &gt; 10% of a scheme’s corpus blocked</w:t>
            </w:r>
          </w:p>
        </w:tc>
        <w:tc>
          <w:tcPr>
            <w:tcW w:w="2953" w:type="dxa"/>
          </w:tcPr>
          <w:p>
            <w:pPr>
              <w:pStyle w:val="Compact"/>
              <w:spacing w:after="40"/>
              <w:jc w:val="left"/>
            </w:pPr>
            <w:r>
              <w:rPr>
                <w:sz w:val="18"/>
              </w:rPr>
              <w:t xml:space="preserve">RBI-AIF para 6(a)</w:t>
            </w:r>
          </w:p>
        </w:tc>
      </w:tr>
      <w:tr>
        <w:tc>
          <w:tcPr>
            <w:tcW w:w="1306" w:type="dxa"/>
          </w:tcPr>
          <w:p>
            <w:pPr>
              <w:pStyle w:val="Compact"/>
              <w:spacing w:after="40"/>
              <w:jc w:val="left"/>
            </w:pPr>
            <w:r>
              <w:rPr>
                <w:sz w:val="18"/>
              </w:rPr>
              <w:t xml:space="preserve">GR-7H-05</w:t>
            </w:r>
          </w:p>
        </w:tc>
        <w:tc>
          <w:tcPr>
            <w:tcW w:w="5379" w:type="dxa"/>
          </w:tcPr>
          <w:p>
            <w:pPr>
              <w:pStyle w:val="Compact"/>
              <w:spacing w:after="40"/>
              <w:jc w:val="left"/>
            </w:pPr>
            <w:r>
              <w:rPr>
                <w:sz w:val="18"/>
              </w:rPr>
              <w:t xml:space="preserve">Derivatives only as INV permits; equity F&amp;O and arbitrage OFF by default</w:t>
            </w:r>
          </w:p>
        </w:tc>
        <w:tc>
          <w:tcPr>
            <w:tcW w:w="2953" w:type="dxa"/>
          </w:tcPr>
          <w:p>
            <w:pPr>
              <w:pStyle w:val="Compact"/>
              <w:spacing w:after="40"/>
              <w:jc w:val="left"/>
            </w:pPr>
            <w:r>
              <w:rPr>
                <w:sz w:val="18"/>
              </w:rPr>
              <w:t xml:space="preserve">INV paras 28–34</w:t>
            </w:r>
          </w:p>
        </w:tc>
      </w:tr>
      <w:tr>
        <w:tc>
          <w:tcPr>
            <w:tcW w:w="1306" w:type="dxa"/>
          </w:tcPr>
          <w:p>
            <w:pPr>
              <w:pStyle w:val="Compact"/>
              <w:spacing w:after="40"/>
              <w:jc w:val="left"/>
            </w:pPr>
            <w:r>
              <w:rPr>
                <w:sz w:val="18"/>
              </w:rPr>
              <w:t xml:space="preserve">GR-7H-06</w:t>
            </w:r>
          </w:p>
        </w:tc>
        <w:tc>
          <w:tcPr>
            <w:tcW w:w="5379" w:type="dxa"/>
          </w:tcPr>
          <w:p>
            <w:pPr>
              <w:pStyle w:val="Compact"/>
              <w:spacing w:after="40"/>
              <w:jc w:val="left"/>
            </w:pPr>
            <w:r>
              <w:rPr>
                <w:sz w:val="18"/>
              </w:rPr>
              <w:t xml:space="preserve">NBFC-CIC: no trading in group investments except block sale; no commodity derivatives</w:t>
            </w:r>
          </w:p>
        </w:tc>
        <w:tc>
          <w:tcPr>
            <w:tcW w:w="2953" w:type="dxa"/>
          </w:tcPr>
          <w:p>
            <w:pPr>
              <w:pStyle w:val="Compact"/>
              <w:spacing w:after="40"/>
              <w:jc w:val="left"/>
            </w:pPr>
            <w:r>
              <w:rPr>
                <w:sz w:val="18"/>
              </w:rPr>
              <w:t xml:space="preserve">CICD para 3</w:t>
            </w:r>
          </w:p>
        </w:tc>
      </w:tr>
      <w:tr>
        <w:tc>
          <w:tcPr>
            <w:tcW w:w="1306" w:type="dxa"/>
          </w:tcPr>
          <w:p>
            <w:pPr>
              <w:pStyle w:val="Compact"/>
              <w:spacing w:after="40"/>
              <w:jc w:val="left"/>
            </w:pPr>
            <w:r>
              <w:rPr>
                <w:sz w:val="18"/>
              </w:rPr>
              <w:t xml:space="preserve">GR-7H-07</w:t>
            </w:r>
          </w:p>
        </w:tc>
        <w:tc>
          <w:tcPr>
            <w:tcW w:w="5379" w:type="dxa"/>
          </w:tcPr>
          <w:p>
            <w:pPr>
              <w:pStyle w:val="Compact"/>
              <w:spacing w:after="40"/>
              <w:jc w:val="left"/>
            </w:pPr>
            <w:r>
              <w:rPr>
                <w:sz w:val="18"/>
              </w:rPr>
              <w:t xml:space="preserve">Securitisation and DA collections held in trust, never own income or lending funds; remit only what is collected</w:t>
            </w:r>
          </w:p>
        </w:tc>
        <w:tc>
          <w:tcPr>
            <w:tcW w:w="2953" w:type="dxa"/>
          </w:tcPr>
          <w:p>
            <w:pPr>
              <w:pStyle w:val="Compact"/>
              <w:spacing w:after="40"/>
              <w:jc w:val="left"/>
            </w:pPr>
            <w:r>
              <w:rPr>
                <w:sz w:val="18"/>
              </w:rPr>
              <w:t xml:space="preserve">SEC para 95; TDCR para 30</w:t>
            </w:r>
          </w:p>
        </w:tc>
      </w:tr>
      <w:tr>
        <w:tc>
          <w:tcPr>
            <w:tcW w:w="1306" w:type="dxa"/>
          </w:tcPr>
          <w:p>
            <w:pPr>
              <w:pStyle w:val="Compact"/>
              <w:spacing w:after="40"/>
              <w:jc w:val="left"/>
            </w:pPr>
            <w:r>
              <w:rPr>
                <w:sz w:val="18"/>
              </w:rPr>
              <w:t xml:space="preserve">GR-7H-08</w:t>
            </w:r>
          </w:p>
        </w:tc>
        <w:tc>
          <w:tcPr>
            <w:tcW w:w="5379" w:type="dxa"/>
          </w:tcPr>
          <w:p>
            <w:pPr>
              <w:pStyle w:val="Compact"/>
              <w:spacing w:after="40"/>
              <w:jc w:val="left"/>
            </w:pPr>
            <w:r>
              <w:rPr>
                <w:sz w:val="18"/>
              </w:rPr>
              <w:t xml:space="preserve">Only the upfront sale consideration may be re-lent; pool replenishment only within a documented replenishment period</w:t>
            </w:r>
          </w:p>
        </w:tc>
        <w:tc>
          <w:tcPr>
            <w:tcW w:w="2953" w:type="dxa"/>
          </w:tcPr>
          <w:p>
            <w:pPr>
              <w:pStyle w:val="Compact"/>
              <w:spacing w:after="40"/>
              <w:jc w:val="left"/>
            </w:pPr>
            <w:r>
              <w:rPr>
                <w:sz w:val="18"/>
              </w:rPr>
              <w:t xml:space="preserve">SEC paras 14(2), 21; CAP para 27(9)</w:t>
            </w:r>
          </w:p>
        </w:tc>
      </w:tr>
      <w:tr>
        <w:tc>
          <w:tcPr>
            <w:tcW w:w="1306" w:type="dxa"/>
          </w:tcPr>
          <w:p>
            <w:pPr>
              <w:pStyle w:val="Compact"/>
              <w:spacing w:after="40"/>
              <w:jc w:val="left"/>
            </w:pPr>
            <w:r>
              <w:rPr>
                <w:sz w:val="18"/>
              </w:rPr>
              <w:t xml:space="preserve">GR-7H-09</w:t>
            </w:r>
          </w:p>
        </w:tc>
        <w:tc>
          <w:tcPr>
            <w:tcW w:w="5379" w:type="dxa"/>
          </w:tcPr>
          <w:p>
            <w:pPr>
              <w:pStyle w:val="Compact"/>
              <w:spacing w:after="40"/>
              <w:jc w:val="left"/>
            </w:pPr>
            <w:r>
              <w:rPr>
                <w:sz w:val="18"/>
              </w:rPr>
              <w:t xml:space="preserve">Clean-up call only at ≤ 10% of original value, discretionary, at arm’s length, never as credit enhancement</w:t>
            </w:r>
          </w:p>
        </w:tc>
        <w:tc>
          <w:tcPr>
            <w:tcW w:w="2953" w:type="dxa"/>
          </w:tcPr>
          <w:p>
            <w:pPr>
              <w:pStyle w:val="Compact"/>
              <w:spacing w:after="40"/>
              <w:jc w:val="left"/>
            </w:pPr>
            <w:r>
              <w:rPr>
                <w:sz w:val="18"/>
              </w:rPr>
              <w:t xml:space="preserve">CAP para 27(2), (6)–(8)</w:t>
            </w:r>
          </w:p>
        </w:tc>
      </w:tr>
      <w:tr>
        <w:tc>
          <w:tcPr>
            <w:tcW w:w="1306" w:type="dxa"/>
          </w:tcPr>
          <w:p>
            <w:pPr>
              <w:pStyle w:val="Compact"/>
              <w:spacing w:after="40"/>
              <w:jc w:val="left"/>
            </w:pPr>
            <w:r>
              <w:rPr>
                <w:sz w:val="18"/>
              </w:rPr>
              <w:t xml:space="preserve">GR-7H-10</w:t>
            </w:r>
          </w:p>
        </w:tc>
        <w:tc>
          <w:tcPr>
            <w:tcW w:w="5379" w:type="dxa"/>
          </w:tcPr>
          <w:p>
            <w:pPr>
              <w:pStyle w:val="Compact"/>
              <w:spacing w:after="40"/>
              <w:jc w:val="left"/>
            </w:pPr>
            <w:r>
              <w:rPr>
                <w:sz w:val="18"/>
              </w:rPr>
              <w:t xml:space="preserve">Co-lending partners limited to SCBs (not SFB, LAB, RRB), AIFIs and NBFCs incl. HFCs</w:t>
            </w:r>
          </w:p>
        </w:tc>
        <w:tc>
          <w:tcPr>
            <w:tcW w:w="2953" w:type="dxa"/>
          </w:tcPr>
          <w:p>
            <w:pPr>
              <w:pStyle w:val="Compact"/>
              <w:spacing w:after="40"/>
              <w:jc w:val="left"/>
            </w:pPr>
            <w:r>
              <w:rPr>
                <w:sz w:val="18"/>
              </w:rPr>
              <w:t xml:space="preserve">TDCR para 97</w:t>
            </w:r>
          </w:p>
        </w:tc>
      </w:tr>
      <w:tr>
        <w:tc>
          <w:tcPr>
            <w:tcW w:w="1306" w:type="dxa"/>
          </w:tcPr>
          <w:p>
            <w:pPr>
              <w:pStyle w:val="Compact"/>
              <w:spacing w:after="40"/>
              <w:jc w:val="left"/>
            </w:pPr>
            <w:r>
              <w:rPr>
                <w:sz w:val="18"/>
              </w:rPr>
              <w:t xml:space="preserve">GR-7H-11</w:t>
            </w:r>
          </w:p>
        </w:tc>
        <w:tc>
          <w:tcPr>
            <w:tcW w:w="5379" w:type="dxa"/>
          </w:tcPr>
          <w:p>
            <w:pPr>
              <w:pStyle w:val="Compact"/>
              <w:spacing w:after="40"/>
              <w:jc w:val="left"/>
            </w:pPr>
            <w:r>
              <w:rPr>
                <w:sz w:val="18"/>
              </w:rPr>
              <w:t xml:space="preserve">QIB status is an attested fact, never derived from the RBI layer</w:t>
            </w:r>
          </w:p>
        </w:tc>
        <w:tc>
          <w:tcPr>
            <w:tcW w:w="2953" w:type="dxa"/>
          </w:tcPr>
          <w:p>
            <w:pPr>
              <w:pStyle w:val="Compact"/>
              <w:spacing w:after="40"/>
              <w:jc w:val="left"/>
            </w:pPr>
            <w:r>
              <w:rPr>
                <w:sz w:val="18"/>
              </w:rPr>
              <w:t xml:space="preserve">ICDR Reg 2(1)(ss) [VERIFY wording]</w:t>
            </w:r>
          </w:p>
        </w:tc>
      </w:tr>
      <w:tr>
        <w:tc>
          <w:tcPr>
            <w:tcW w:w="1306" w:type="dxa"/>
          </w:tcPr>
          <w:p>
            <w:pPr>
              <w:pStyle w:val="Compact"/>
              <w:spacing w:after="40"/>
              <w:jc w:val="left"/>
            </w:pPr>
            <w:r>
              <w:rPr>
                <w:sz w:val="18"/>
              </w:rPr>
              <w:t xml:space="preserve">GR-7H-12</w:t>
            </w:r>
          </w:p>
        </w:tc>
        <w:tc>
          <w:tcPr>
            <w:tcW w:w="5379" w:type="dxa"/>
          </w:tcPr>
          <w:p>
            <w:pPr>
              <w:pStyle w:val="Compact"/>
              <w:spacing w:after="40"/>
              <w:jc w:val="left"/>
            </w:pPr>
            <w:r>
              <w:rPr>
                <w:sz w:val="18"/>
              </w:rPr>
              <w:t xml:space="preserve">No own-account order, IPO bid or corporate-action election in any security of an issuer on the Part 7F GV4.4 restricted list (listed borrowers whose UPSI lender staff hold) while the entry is open</w:t>
            </w:r>
          </w:p>
        </w:tc>
        <w:tc>
          <w:tcPr>
            <w:tcW w:w="2953" w:type="dxa"/>
          </w:tcPr>
          <w:p>
            <w:pPr>
              <w:pStyle w:val="Compact"/>
              <w:spacing w:after="40"/>
              <w:jc w:val="left"/>
            </w:pPr>
            <w:r>
              <w:rPr>
                <w:sz w:val="18"/>
              </w:rPr>
              <w:t xml:space="preserve">PIT Reg 4 [REC]; Part 7F GV4.4</w:t>
            </w:r>
          </w:p>
        </w:tc>
      </w:tr>
    </w:tbl>
    <w:bookmarkEnd w:id="598"/>
    <w:bookmarkStart w:id="599" w:name="settings-and-options-21"/>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964"/>
        <w:gridCol w:w="1530"/>
        <w:gridCol w:w="2164"/>
        <w:gridCol w:w="2980"/>
      </w:tblGrid>
      <w:tr>
        <w:trPr>
          <w:tblHeader w:val="true"/>
          <w:tblHeader w:val="true"/>
        </w:trPr>
        <w:tc>
          <w:tcPr>
            <w:tcW w:w="2964" w:type="dxa"/>
            <w:shd w:val="clear" w:color="auto" w:fill="1F3A5F"/>
          </w:tcPr>
          <w:p>
            <w:pPr>
              <w:pStyle w:val="Compact"/>
              <w:spacing w:after="40"/>
              <w:jc w:val="left"/>
            </w:pPr>
            <w:r>
              <w:rPr>
                <w:b/>
                <w:color w:val="FFFFFF"/>
                <w:sz w:val="18"/>
              </w:rPr>
              <w:t xml:space="preserve">Setting</w:t>
            </w:r>
          </w:p>
        </w:tc>
        <w:tc>
          <w:tcPr>
            <w:tcW w:w="1530" w:type="dxa"/>
            <w:shd w:val="clear" w:color="auto" w:fill="1F3A5F"/>
          </w:tcPr>
          <w:p>
            <w:pPr>
              <w:pStyle w:val="Compact"/>
              <w:spacing w:after="40"/>
              <w:jc w:val="left"/>
            </w:pPr>
            <w:r>
              <w:rPr>
                <w:b/>
                <w:color w:val="FFFFFF"/>
                <w:sz w:val="18"/>
              </w:rPr>
              <w:t xml:space="preserve">Level</w:t>
            </w:r>
          </w:p>
        </w:tc>
        <w:tc>
          <w:tcPr>
            <w:tcW w:w="2164" w:type="dxa"/>
            <w:shd w:val="clear" w:color="auto" w:fill="1F3A5F"/>
          </w:tcPr>
          <w:p>
            <w:pPr>
              <w:pStyle w:val="Compact"/>
              <w:spacing w:after="40"/>
              <w:jc w:val="left"/>
            </w:pPr>
            <w:r>
              <w:rPr>
                <w:b/>
                <w:color w:val="FFFFFF"/>
                <w:sz w:val="18"/>
              </w:rPr>
              <w:t xml:space="preserve">Default</w:t>
            </w:r>
          </w:p>
        </w:tc>
        <w:tc>
          <w:tcPr>
            <w:tcW w:w="2980" w:type="dxa"/>
            <w:shd w:val="clear" w:color="auto" w:fill="1F3A5F"/>
          </w:tcPr>
          <w:p>
            <w:pPr>
              <w:pStyle w:val="Compact"/>
              <w:spacing w:after="40"/>
              <w:jc w:val="left"/>
            </w:pPr>
            <w:r>
              <w:rPr>
                <w:b/>
                <w:color w:val="FFFFFF"/>
                <w:sz w:val="18"/>
              </w:rPr>
              <w:t xml:space="preserve">Nature</w:t>
            </w:r>
          </w:p>
        </w:tc>
      </w:tr>
      <w:tr>
        <w:tc>
          <w:tcPr>
            <w:tcW w:w="2964" w:type="dxa"/>
          </w:tcPr>
          <w:p>
            <w:pPr>
              <w:pStyle w:val="Compact"/>
              <w:spacing w:after="40"/>
              <w:jc w:val="left"/>
            </w:pPr>
            <w:r>
              <w:rPr>
                <w:sz w:val="18"/>
              </w:rPr>
              <w:t xml:space="preserve">Accounting regime and portfolio business models</w:t>
            </w:r>
          </w:p>
        </w:tc>
        <w:tc>
          <w:tcPr>
            <w:tcW w:w="1530" w:type="dxa"/>
          </w:tcPr>
          <w:p>
            <w:pPr>
              <w:pStyle w:val="Compact"/>
              <w:spacing w:after="40"/>
              <w:jc w:val="left"/>
            </w:pPr>
            <w:r>
              <w:rPr>
                <w:sz w:val="18"/>
              </w:rPr>
              <w:t xml:space="preserve">Legal entity</w:t>
            </w:r>
          </w:p>
        </w:tc>
        <w:tc>
          <w:tcPr>
            <w:tcW w:w="2164" w:type="dxa"/>
          </w:tcPr>
          <w:p>
            <w:pPr>
              <w:pStyle w:val="Compact"/>
              <w:spacing w:after="40"/>
              <w:jc w:val="left"/>
            </w:pPr>
            <w:r>
              <w:rPr>
                <w:sz w:val="18"/>
              </w:rPr>
              <w:t xml:space="preserve">from profile (Ind AS or AS)</w:t>
            </w:r>
          </w:p>
        </w:tc>
        <w:tc>
          <w:tcPr>
            <w:tcW w:w="2980" w:type="dxa"/>
          </w:tcPr>
          <w:p>
            <w:pPr>
              <w:pStyle w:val="Compact"/>
              <w:spacing w:after="40"/>
              <w:jc w:val="left"/>
            </w:pPr>
            <w:r>
              <w:rPr>
                <w:sz w:val="18"/>
              </w:rPr>
              <w:t xml:space="preserve">Fact; classification locks after first posting</w:t>
            </w:r>
          </w:p>
        </w:tc>
      </w:tr>
      <w:tr>
        <w:tc>
          <w:tcPr>
            <w:tcW w:w="2964" w:type="dxa"/>
          </w:tcPr>
          <w:p>
            <w:pPr>
              <w:pStyle w:val="Compact"/>
              <w:spacing w:after="40"/>
              <w:jc w:val="left"/>
            </w:pPr>
            <w:r>
              <w:rPr>
                <w:sz w:val="18"/>
              </w:rPr>
              <w:t xml:space="preserve">Instrument whitelist and Board buckets (issuer, sector, rating, market-cap, unlisted, SME, single scheme)</w:t>
            </w:r>
          </w:p>
        </w:tc>
        <w:tc>
          <w:tcPr>
            <w:tcW w:w="1530" w:type="dxa"/>
          </w:tcPr>
          <w:p>
            <w:pPr>
              <w:pStyle w:val="Compact"/>
              <w:spacing w:after="40"/>
              <w:jc w:val="left"/>
            </w:pPr>
            <w:r>
              <w:rPr>
                <w:sz w:val="18"/>
              </w:rPr>
              <w:t xml:space="preserve">Tenant</w:t>
            </w:r>
          </w:p>
        </w:tc>
        <w:tc>
          <w:tcPr>
            <w:tcW w:w="2164" w:type="dxa"/>
          </w:tcPr>
          <w:p>
            <w:pPr>
              <w:pStyle w:val="Compact"/>
              <w:spacing w:after="40"/>
              <w:jc w:val="left"/>
            </w:pPr>
            <w:r>
              <w:rPr>
                <w:sz w:val="18"/>
              </w:rPr>
              <w:t xml:space="preserve">empty: nothing tradable until the Board policy is loaded</w:t>
            </w:r>
          </w:p>
        </w:tc>
        <w:tc>
          <w:tcPr>
            <w:tcW w:w="2980" w:type="dxa"/>
          </w:tcPr>
          <w:p>
            <w:pPr>
              <w:pStyle w:val="Compact"/>
              <w:spacing w:after="40"/>
              <w:jc w:val="left"/>
            </w:pPr>
            <w:r>
              <w:rPr>
                <w:sz w:val="18"/>
              </w:rPr>
              <w:t xml:space="preserve">Board policy</w:t>
            </w:r>
          </w:p>
        </w:tc>
      </w:tr>
      <w:tr>
        <w:tc>
          <w:tcPr>
            <w:tcW w:w="2964" w:type="dxa"/>
          </w:tcPr>
          <w:p>
            <w:pPr>
              <w:pStyle w:val="Compact"/>
              <w:spacing w:after="40"/>
              <w:jc w:val="left"/>
            </w:pPr>
            <w:r>
              <w:rPr>
                <w:sz w:val="18"/>
              </w:rPr>
              <w:t xml:space="preserve">Delegation of authority for order approval</w:t>
            </w:r>
          </w:p>
        </w:tc>
        <w:tc>
          <w:tcPr>
            <w:tcW w:w="1530" w:type="dxa"/>
          </w:tcPr>
          <w:p>
            <w:pPr>
              <w:pStyle w:val="Compact"/>
              <w:spacing w:after="40"/>
              <w:jc w:val="left"/>
            </w:pPr>
            <w:r>
              <w:rPr>
                <w:sz w:val="18"/>
              </w:rPr>
              <w:t xml:space="preserve">Instrument type, amount band</w:t>
            </w:r>
          </w:p>
        </w:tc>
        <w:tc>
          <w:tcPr>
            <w:tcW w:w="2164" w:type="dxa"/>
          </w:tcPr>
          <w:p>
            <w:pPr>
              <w:pStyle w:val="Compact"/>
              <w:spacing w:after="40"/>
              <w:jc w:val="left"/>
            </w:pPr>
            <w:r>
              <w:rPr>
                <w:sz w:val="18"/>
              </w:rPr>
              <w:t xml:space="preserve">two levels above ₹10 crore [REC]</w:t>
            </w:r>
          </w:p>
        </w:tc>
        <w:tc>
          <w:tcPr>
            <w:tcW w:w="2980" w:type="dxa"/>
          </w:tcPr>
          <w:p>
            <w:pPr>
              <w:pStyle w:val="Compact"/>
              <w:spacing w:after="40"/>
              <w:jc w:val="left"/>
            </w:pPr>
            <w:r>
              <w:rPr>
                <w:sz w:val="18"/>
              </w:rPr>
              <w:t xml:space="preserve">Commercial; dealer can never approve</w:t>
            </w:r>
          </w:p>
        </w:tc>
      </w:tr>
      <w:tr>
        <w:tc>
          <w:tcPr>
            <w:tcW w:w="2964" w:type="dxa"/>
          </w:tcPr>
          <w:p>
            <w:pPr>
              <w:pStyle w:val="Compact"/>
              <w:spacing w:after="40"/>
              <w:jc w:val="left"/>
            </w:pPr>
            <w:r>
              <w:rPr>
                <w:sz w:val="18"/>
              </w:rPr>
              <w:t xml:space="preserve">Pre-trade soft-check overrides</w:t>
            </w:r>
          </w:p>
        </w:tc>
        <w:tc>
          <w:tcPr>
            <w:tcW w:w="1530" w:type="dxa"/>
          </w:tcPr>
          <w:p>
            <w:pPr>
              <w:pStyle w:val="Compact"/>
              <w:spacing w:after="40"/>
              <w:jc w:val="left"/>
            </w:pPr>
            <w:r>
              <w:rPr>
                <w:sz w:val="18"/>
              </w:rPr>
              <w:t xml:space="preserve">Check</w:t>
            </w:r>
          </w:p>
        </w:tc>
        <w:tc>
          <w:tcPr>
            <w:tcW w:w="2164" w:type="dxa"/>
          </w:tcPr>
          <w:p>
            <w:pPr>
              <w:pStyle w:val="Compact"/>
              <w:spacing w:after="40"/>
              <w:jc w:val="left"/>
            </w:pPr>
            <w:r>
              <w:rPr>
                <w:sz w:val="18"/>
              </w:rPr>
              <w:t xml:space="preserve">next level, reason mandatory</w:t>
            </w:r>
          </w:p>
        </w:tc>
        <w:tc>
          <w:tcPr>
            <w:tcW w:w="2980" w:type="dxa"/>
          </w:tcPr>
          <w:p>
            <w:pPr>
              <w:pStyle w:val="Compact"/>
              <w:spacing w:after="40"/>
              <w:jc w:val="left"/>
            </w:pPr>
            <w:r>
              <w:rPr>
                <w:sz w:val="18"/>
              </w:rPr>
              <w:t xml:space="preserve">Hard checks never overridable</w:t>
            </w:r>
          </w:p>
        </w:tc>
      </w:tr>
      <w:tr>
        <w:tc>
          <w:tcPr>
            <w:tcW w:w="2964" w:type="dxa"/>
          </w:tcPr>
          <w:p>
            <w:pPr>
              <w:pStyle w:val="Compact"/>
              <w:spacing w:after="40"/>
              <w:jc w:val="left"/>
            </w:pPr>
            <w:r>
              <w:rPr>
                <w:sz w:val="18"/>
              </w:rPr>
              <w:t xml:space="preserve">Restricted-list wall exception (</w:t>
            </w:r>
            <w:r>
              <w:rPr>
                <w:rStyle w:val="VerbatimChar"/>
                <w:sz w:val="18"/>
              </w:rPr>
              <w:t xml:space="preserve">chinese_wall_exception</w:t>
            </w:r>
            <w:r>
              <w:rPr>
                <w:sz w:val="18"/>
              </w:rPr>
              <w:t xml:space="preserve">)</w:t>
            </w:r>
          </w:p>
        </w:tc>
        <w:tc>
          <w:tcPr>
            <w:tcW w:w="1530" w:type="dxa"/>
          </w:tcPr>
          <w:p>
            <w:pPr>
              <w:pStyle w:val="Compact"/>
              <w:spacing w:after="40"/>
              <w:jc w:val="left"/>
            </w:pPr>
            <w:r>
              <w:rPr>
                <w:sz w:val="18"/>
              </w:rPr>
              <w:t xml:space="preserve">Tenant</w:t>
            </w:r>
          </w:p>
        </w:tc>
        <w:tc>
          <w:tcPr>
            <w:tcW w:w="2164" w:type="dxa"/>
          </w:tcPr>
          <w:p>
            <w:pPr>
              <w:pStyle w:val="Compact"/>
              <w:spacing w:after="40"/>
              <w:jc w:val="left"/>
            </w:pPr>
            <w:r>
              <w:rPr>
                <w:sz w:val="18"/>
              </w:rPr>
              <w:t xml:space="preserve">off</w:t>
            </w:r>
          </w:p>
        </w:tc>
        <w:tc>
          <w:tcPr>
            <w:tcW w:w="2980" w:type="dxa"/>
          </w:tcPr>
          <w:p>
            <w:pPr>
              <w:pStyle w:val="Compact"/>
              <w:spacing w:after="40"/>
              <w:jc w:val="left"/>
            </w:pPr>
            <w:r>
              <w:rPr>
                <w:sz w:val="18"/>
              </w:rPr>
              <w:t xml:space="preserve">Off unless counsel opinion and CCO approval per order are recorded (PIT Reg 4(1) proviso [VERIFY wording])</w:t>
            </w:r>
          </w:p>
        </w:tc>
      </w:tr>
      <w:tr>
        <w:tc>
          <w:tcPr>
            <w:tcW w:w="2964" w:type="dxa"/>
          </w:tcPr>
          <w:p>
            <w:pPr>
              <w:pStyle w:val="Compact"/>
              <w:spacing w:after="40"/>
              <w:jc w:val="left"/>
            </w:pPr>
            <w:r>
              <w:rPr>
                <w:sz w:val="18"/>
              </w:rPr>
              <w:t xml:space="preserve">Order validity</w:t>
            </w:r>
          </w:p>
        </w:tc>
        <w:tc>
          <w:tcPr>
            <w:tcW w:w="1530" w:type="dxa"/>
          </w:tcPr>
          <w:p>
            <w:pPr>
              <w:pStyle w:val="Compact"/>
              <w:spacing w:after="40"/>
              <w:jc w:val="left"/>
            </w:pPr>
            <w:r>
              <w:rPr>
                <w:sz w:val="18"/>
              </w:rPr>
              <w:t xml:space="preserve">Order</w:t>
            </w:r>
          </w:p>
        </w:tc>
        <w:tc>
          <w:tcPr>
            <w:tcW w:w="2164" w:type="dxa"/>
          </w:tcPr>
          <w:p>
            <w:pPr>
              <w:pStyle w:val="Compact"/>
              <w:spacing w:after="40"/>
              <w:jc w:val="left"/>
            </w:pPr>
            <w:r>
              <w:rPr>
                <w:sz w:val="18"/>
              </w:rPr>
              <w:t xml:space="preserve">end of trading day</w:t>
            </w:r>
          </w:p>
        </w:tc>
        <w:tc>
          <w:tcPr>
            <w:tcW w:w="2980" w:type="dxa"/>
          </w:tcPr>
          <w:p>
            <w:pPr>
              <w:pStyle w:val="Compact"/>
              <w:spacing w:after="40"/>
              <w:jc w:val="left"/>
            </w:pPr>
            <w:r>
              <w:rPr>
                <w:sz w:val="18"/>
              </w:rPr>
              <w:t xml:space="preserve">Commercial; good-till-date ≤ 30 days</w:t>
            </w:r>
          </w:p>
        </w:tc>
      </w:tr>
      <w:tr>
        <w:tc>
          <w:tcPr>
            <w:tcW w:w="2964" w:type="dxa"/>
          </w:tcPr>
          <w:p>
            <w:pPr>
              <w:pStyle w:val="Compact"/>
              <w:spacing w:after="40"/>
              <w:jc w:val="left"/>
            </w:pPr>
            <w:r>
              <w:rPr>
                <w:sz w:val="18"/>
              </w:rPr>
              <w:t xml:space="preserve">Contract-note matching tolerance</w:t>
            </w:r>
          </w:p>
        </w:tc>
        <w:tc>
          <w:tcPr>
            <w:tcW w:w="1530" w:type="dxa"/>
          </w:tcPr>
          <w:p>
            <w:pPr>
              <w:pStyle w:val="Compact"/>
              <w:spacing w:after="40"/>
              <w:jc w:val="left"/>
            </w:pPr>
            <w:r>
              <w:rPr>
                <w:sz w:val="18"/>
              </w:rPr>
              <w:t xml:space="preserve">Tenant</w:t>
            </w:r>
          </w:p>
        </w:tc>
        <w:tc>
          <w:tcPr>
            <w:tcW w:w="2164" w:type="dxa"/>
          </w:tcPr>
          <w:p>
            <w:pPr>
              <w:pStyle w:val="Compact"/>
              <w:spacing w:after="40"/>
              <w:jc w:val="left"/>
            </w:pPr>
            <w:r>
              <w:rPr>
                <w:sz w:val="18"/>
              </w:rPr>
              <w:t xml:space="preserve">price ₹0.01, quantity exact, charges ±₹1</w:t>
            </w:r>
          </w:p>
        </w:tc>
        <w:tc>
          <w:tcPr>
            <w:tcW w:w="2980" w:type="dxa"/>
          </w:tcPr>
          <w:p>
            <w:pPr>
              <w:pStyle w:val="Compact"/>
              <w:spacing w:after="40"/>
              <w:jc w:val="left"/>
            </w:pPr>
            <w:r>
              <w:rPr>
                <w:sz w:val="18"/>
              </w:rPr>
              <w:t xml:space="preserve">Commercial</w:t>
            </w:r>
          </w:p>
        </w:tc>
      </w:tr>
      <w:tr>
        <w:tc>
          <w:tcPr>
            <w:tcW w:w="2964" w:type="dxa"/>
          </w:tcPr>
          <w:p>
            <w:pPr>
              <w:pStyle w:val="Compact"/>
              <w:spacing w:after="40"/>
              <w:jc w:val="left"/>
            </w:pPr>
            <w:r>
              <w:rPr>
                <w:sz w:val="18"/>
              </w:rPr>
              <w:t xml:space="preserve">Price staleness</w:t>
            </w:r>
          </w:p>
        </w:tc>
        <w:tc>
          <w:tcPr>
            <w:tcW w:w="1530" w:type="dxa"/>
          </w:tcPr>
          <w:p>
            <w:pPr>
              <w:pStyle w:val="Compact"/>
              <w:spacing w:after="40"/>
              <w:jc w:val="left"/>
            </w:pPr>
            <w:r>
              <w:rPr>
                <w:sz w:val="18"/>
              </w:rPr>
              <w:t xml:space="preserve">Instrument class</w:t>
            </w:r>
          </w:p>
        </w:tc>
        <w:tc>
          <w:tcPr>
            <w:tcW w:w="2164" w:type="dxa"/>
          </w:tcPr>
          <w:p>
            <w:pPr>
              <w:pStyle w:val="Compact"/>
              <w:spacing w:after="40"/>
              <w:jc w:val="left"/>
            </w:pPr>
            <w:r>
              <w:rPr>
                <w:sz w:val="18"/>
              </w:rPr>
              <w:t xml:space="preserve">1 business day (listed equity)</w:t>
            </w:r>
          </w:p>
        </w:tc>
        <w:tc>
          <w:tcPr>
            <w:tcW w:w="2980" w:type="dxa"/>
          </w:tcPr>
          <w:p>
            <w:pPr>
              <w:pStyle w:val="Compact"/>
              <w:spacing w:after="40"/>
              <w:jc w:val="left"/>
            </w:pPr>
            <w:r>
              <w:rPr>
                <w:sz w:val="18"/>
              </w:rPr>
              <w:t xml:space="preserve">Commercial; CFO override for month-end</w:t>
            </w:r>
          </w:p>
        </w:tc>
      </w:tr>
      <w:tr>
        <w:tc>
          <w:tcPr>
            <w:tcW w:w="2964" w:type="dxa"/>
          </w:tcPr>
          <w:p>
            <w:pPr>
              <w:pStyle w:val="Compact"/>
              <w:spacing w:after="40"/>
              <w:jc w:val="left"/>
            </w:pPr>
            <w:r>
              <w:rPr>
                <w:sz w:val="18"/>
              </w:rPr>
              <w:t xml:space="preserve">Cost basis</w:t>
            </w:r>
          </w:p>
        </w:tc>
        <w:tc>
          <w:tcPr>
            <w:tcW w:w="1530" w:type="dxa"/>
          </w:tcPr>
          <w:p>
            <w:pPr>
              <w:pStyle w:val="Compact"/>
              <w:spacing w:after="40"/>
              <w:jc w:val="left"/>
            </w:pPr>
            <w:r>
              <w:rPr>
                <w:sz w:val="18"/>
              </w:rPr>
              <w:t xml:space="preserve">Tenant</w:t>
            </w:r>
          </w:p>
        </w:tc>
        <w:tc>
          <w:tcPr>
            <w:tcW w:w="2164" w:type="dxa"/>
          </w:tcPr>
          <w:p>
            <w:pPr>
              <w:pStyle w:val="Compact"/>
              <w:spacing w:after="40"/>
              <w:jc w:val="left"/>
            </w:pPr>
            <w:r>
              <w:rPr>
                <w:sz w:val="18"/>
              </w:rPr>
              <w:t xml:space="preserve">weighted average; FIFO lots in parallel</w:t>
            </w:r>
          </w:p>
        </w:tc>
        <w:tc>
          <w:tcPr>
            <w:tcW w:w="2980" w:type="dxa"/>
          </w:tcPr>
          <w:p>
            <w:pPr>
              <w:pStyle w:val="Compact"/>
              <w:spacing w:after="40"/>
              <w:jc w:val="left"/>
            </w:pPr>
            <w:r>
              <w:rPr>
                <w:sz w:val="18"/>
              </w:rPr>
              <w:t xml:space="preserve">Board policy</w:t>
            </w:r>
          </w:p>
        </w:tc>
      </w:tr>
      <w:tr>
        <w:tc>
          <w:tcPr>
            <w:tcW w:w="2964" w:type="dxa"/>
          </w:tcPr>
          <w:p>
            <w:pPr>
              <w:pStyle w:val="Compact"/>
              <w:spacing w:after="40"/>
              <w:jc w:val="left"/>
            </w:pPr>
            <w:r>
              <w:rPr>
                <w:sz w:val="18"/>
              </w:rPr>
              <w:t xml:space="preserve">Derivatives and arbitrage</w:t>
            </w:r>
          </w:p>
        </w:tc>
        <w:tc>
          <w:tcPr>
            <w:tcW w:w="1530" w:type="dxa"/>
          </w:tcPr>
          <w:p>
            <w:pPr>
              <w:pStyle w:val="Compact"/>
              <w:spacing w:after="40"/>
              <w:jc w:val="left"/>
            </w:pPr>
            <w:r>
              <w:rPr>
                <w:sz w:val="18"/>
              </w:rPr>
              <w:t xml:space="preserve">Tenant</w:t>
            </w:r>
          </w:p>
        </w:tc>
        <w:tc>
          <w:tcPr>
            <w:tcW w:w="2164" w:type="dxa"/>
          </w:tcPr>
          <w:p>
            <w:pPr>
              <w:pStyle w:val="Compact"/>
              <w:spacing w:after="40"/>
              <w:jc w:val="left"/>
            </w:pPr>
            <w:r>
              <w:rPr>
                <w:sz w:val="18"/>
              </w:rPr>
              <w:t xml:space="preserve">off</w:t>
            </w:r>
          </w:p>
        </w:tc>
        <w:tc>
          <w:tcPr>
            <w:tcW w:w="2980" w:type="dxa"/>
          </w:tcPr>
          <w:p>
            <w:pPr>
              <w:pStyle w:val="Compact"/>
              <w:spacing w:after="40"/>
              <w:jc w:val="left"/>
            </w:pPr>
            <w:r>
              <w:rPr>
                <w:sz w:val="18"/>
              </w:rPr>
              <w:t xml:space="preserve">Gated (IV5.5)</w:t>
            </w:r>
          </w:p>
        </w:tc>
      </w:tr>
      <w:tr>
        <w:tc>
          <w:tcPr>
            <w:tcW w:w="2964" w:type="dxa"/>
          </w:tcPr>
          <w:p>
            <w:pPr>
              <w:pStyle w:val="Compact"/>
              <w:spacing w:after="40"/>
              <w:jc w:val="left"/>
            </w:pPr>
            <w:r>
              <w:rPr>
                <w:sz w:val="18"/>
              </w:rPr>
              <w:t xml:space="preserve">Market-data sources</w:t>
            </w:r>
          </w:p>
        </w:tc>
        <w:tc>
          <w:tcPr>
            <w:tcW w:w="1530" w:type="dxa"/>
          </w:tcPr>
          <w:p>
            <w:pPr>
              <w:pStyle w:val="Compact"/>
              <w:spacing w:after="40"/>
              <w:jc w:val="left"/>
            </w:pPr>
            <w:r>
              <w:rPr>
                <w:sz w:val="18"/>
              </w:rPr>
              <w:t xml:space="preserve">Source</w:t>
            </w:r>
          </w:p>
        </w:tc>
        <w:tc>
          <w:tcPr>
            <w:tcW w:w="2164" w:type="dxa"/>
          </w:tcPr>
          <w:p>
            <w:pPr>
              <w:pStyle w:val="Compact"/>
              <w:spacing w:after="40"/>
              <w:jc w:val="left"/>
            </w:pPr>
            <w:r>
              <w:rPr>
                <w:sz w:val="18"/>
              </w:rPr>
              <w:t xml:space="preserve">none until a licence is recorded</w:t>
            </w:r>
          </w:p>
        </w:tc>
        <w:tc>
          <w:tcPr>
            <w:tcW w:w="2980" w:type="dxa"/>
          </w:tcPr>
          <w:p>
            <w:pPr>
              <w:pStyle w:val="Compact"/>
              <w:spacing w:after="40"/>
              <w:jc w:val="left"/>
            </w:pPr>
            <w:r>
              <w:rPr>
                <w:sz w:val="18"/>
              </w:rPr>
              <w:t xml:space="preserve">Licence floor (GR-7H-03)</w:t>
            </w:r>
          </w:p>
        </w:tc>
      </w:tr>
      <w:tr>
        <w:tc>
          <w:tcPr>
            <w:tcW w:w="2964" w:type="dxa"/>
          </w:tcPr>
          <w:p>
            <w:pPr>
              <w:pStyle w:val="Compact"/>
              <w:spacing w:after="40"/>
              <w:jc w:val="left"/>
            </w:pPr>
            <w:r>
              <w:rPr>
                <w:sz w:val="18"/>
              </w:rPr>
              <w:t xml:space="preserve">Valuation run times</w:t>
            </w:r>
          </w:p>
        </w:tc>
        <w:tc>
          <w:tcPr>
            <w:tcW w:w="1530" w:type="dxa"/>
          </w:tcPr>
          <w:p>
            <w:pPr>
              <w:pStyle w:val="Compact"/>
              <w:spacing w:after="40"/>
              <w:jc w:val="left"/>
            </w:pPr>
            <w:r>
              <w:rPr>
                <w:sz w:val="18"/>
              </w:rPr>
              <w:t xml:space="preserve">Tenant</w:t>
            </w:r>
          </w:p>
        </w:tc>
        <w:tc>
          <w:tcPr>
            <w:tcW w:w="2164" w:type="dxa"/>
          </w:tcPr>
          <w:p>
            <w:pPr>
              <w:pStyle w:val="Compact"/>
              <w:spacing w:after="40"/>
              <w:jc w:val="left"/>
            </w:pPr>
            <w:r>
              <w:rPr>
                <w:sz w:val="18"/>
              </w:rPr>
              <w:t xml:space="preserve">indicative daily 19:00 IST; official month-end by WD+3</w:t>
            </w:r>
          </w:p>
        </w:tc>
        <w:tc>
          <w:tcPr>
            <w:tcW w:w="2980" w:type="dxa"/>
          </w:tcPr>
          <w:p>
            <w:pPr>
              <w:pStyle w:val="Compact"/>
              <w:spacing w:after="40"/>
              <w:jc w:val="left"/>
            </w:pPr>
            <w:r>
              <w:rPr>
                <w:sz w:val="18"/>
              </w:rPr>
              <w:t xml:space="preserve">Commercial</w:t>
            </w:r>
          </w:p>
        </w:tc>
      </w:tr>
    </w:tbl>
    <w:bookmarkEnd w:id="599"/>
    <w:bookmarkStart w:id="600" w:name="menu-and-screens-21"/>
    <w:p>
      <w:pPr>
        <w:pStyle w:val="Heading3"/>
      </w:pPr>
      <w:r>
        <w:t xml:space="preserve">Menu and screens</w:t>
      </w:r>
    </w:p>
    <w:p>
      <w:pPr>
        <w:pStyle w:val="FirstParagraph"/>
      </w:pPr>
      <w:r>
        <w:t xml:space="preserve">All under</w:t>
      </w:r>
      <w:r>
        <w:t xml:space="preserve"> </w:t>
      </w:r>
      <w:r>
        <w:rPr>
          <w:bCs/>
          <w:b/>
        </w:rPr>
        <w:t xml:space="preserve">Treasury</w:t>
      </w:r>
      <w:r>
        <w:t xml:space="preserve"> </w:t>
      </w:r>
      <w:r>
        <w:t xml:space="preserve">(workspace U; dealers, approvers, back office, mid office and the investment committee see only their actions; auditors read-only through V):</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49"/>
        <w:gridCol w:w="2851"/>
        <w:gridCol w:w="2699"/>
        <w:gridCol w:w="1839"/>
      </w:tblGrid>
      <w:tr>
        <w:trPr>
          <w:tblHeader w:val="true"/>
          <w:tblHeader w:val="true"/>
        </w:trPr>
        <w:tc>
          <w:tcPr>
            <w:tcW w:w="2249" w:type="dxa"/>
            <w:shd w:val="clear" w:color="auto" w:fill="1F3A5F"/>
          </w:tcPr>
          <w:p>
            <w:pPr>
              <w:pStyle w:val="Compact"/>
              <w:spacing w:after="40"/>
              <w:jc w:val="left"/>
            </w:pPr>
            <w:r>
              <w:rPr>
                <w:b/>
                <w:color w:val="FFFFFF"/>
                <w:sz w:val="18"/>
              </w:rPr>
              <w:t xml:space="preserve">Path</w:t>
            </w:r>
          </w:p>
        </w:tc>
        <w:tc>
          <w:tcPr>
            <w:tcW w:w="2851" w:type="dxa"/>
            <w:shd w:val="clear" w:color="auto" w:fill="1F3A5F"/>
          </w:tcPr>
          <w:p>
            <w:pPr>
              <w:pStyle w:val="Compact"/>
              <w:spacing w:after="40"/>
              <w:jc w:val="left"/>
            </w:pPr>
            <w:r>
              <w:rPr>
                <w:b/>
                <w:color w:val="FFFFFF"/>
                <w:sz w:val="18"/>
              </w:rPr>
              <w:t xml:space="preserve">Main screens</w:t>
            </w:r>
          </w:p>
        </w:tc>
        <w:tc>
          <w:tcPr>
            <w:tcW w:w="2699" w:type="dxa"/>
            <w:shd w:val="clear" w:color="auto" w:fill="1F3A5F"/>
          </w:tcPr>
          <w:p>
            <w:pPr>
              <w:pStyle w:val="Compact"/>
              <w:spacing w:after="40"/>
              <w:jc w:val="left"/>
            </w:pPr>
            <w:r>
              <w:rPr>
                <w:b/>
                <w:color w:val="FFFFFF"/>
                <w:sz w:val="18"/>
              </w:rPr>
              <w:t xml:space="preserve">Key actions</w:t>
            </w:r>
          </w:p>
        </w:tc>
        <w:tc>
          <w:tcPr>
            <w:tcW w:w="1839" w:type="dxa"/>
            <w:shd w:val="clear" w:color="auto" w:fill="1F3A5F"/>
          </w:tcPr>
          <w:p>
            <w:pPr>
              <w:pStyle w:val="Compact"/>
              <w:spacing w:after="40"/>
              <w:jc w:val="left"/>
            </w:pPr>
            <w:r>
              <w:rPr>
                <w:b/>
                <w:color w:val="FFFFFF"/>
                <w:sz w:val="18"/>
              </w:rPr>
              <w:t xml:space="preserve">Visible to</w:t>
            </w:r>
          </w:p>
        </w:tc>
      </w:tr>
      <w:tr>
        <w:tc>
          <w:tcPr>
            <w:tcW w:w="2249" w:type="dxa"/>
          </w:tcPr>
          <w:p>
            <w:pPr>
              <w:pStyle w:val="Compact"/>
              <w:spacing w:after="40"/>
              <w:jc w:val="left"/>
            </w:pPr>
            <w:r>
              <w:rPr>
                <w:sz w:val="18"/>
              </w:rPr>
              <w:t xml:space="preserve">Treasury › Instruments</w:t>
            </w:r>
          </w:p>
        </w:tc>
        <w:tc>
          <w:tcPr>
            <w:tcW w:w="2851" w:type="dxa"/>
          </w:tcPr>
          <w:p>
            <w:pPr>
              <w:pStyle w:val="Compact"/>
              <w:spacing w:after="40"/>
              <w:jc w:val="left"/>
            </w:pPr>
            <w:r>
              <w:rPr>
                <w:sz w:val="18"/>
              </w:rPr>
              <w:t xml:space="preserve">Security and issuer masters, market-cap versions, licence register</w:t>
            </w:r>
          </w:p>
        </w:tc>
        <w:tc>
          <w:tcPr>
            <w:tcW w:w="2699" w:type="dxa"/>
          </w:tcPr>
          <w:p>
            <w:pPr>
              <w:pStyle w:val="Compact"/>
              <w:spacing w:after="40"/>
              <w:jc w:val="left"/>
            </w:pPr>
            <w:r>
              <w:rPr>
                <w:sz w:val="18"/>
              </w:rPr>
              <w:t xml:space="preserve">New instrument (ISIN lookup), classify (business model and SPPI wizard), import price file, renew licence</w:t>
            </w:r>
          </w:p>
        </w:tc>
        <w:tc>
          <w:tcPr>
            <w:tcW w:w="1839" w:type="dxa"/>
          </w:tcPr>
          <w:p>
            <w:pPr>
              <w:pStyle w:val="Compact"/>
              <w:spacing w:after="40"/>
              <w:jc w:val="left"/>
            </w:pPr>
            <w:r>
              <w:rPr>
                <w:sz w:val="18"/>
              </w:rPr>
              <w:t xml:space="preserve">Back office, mid office</w:t>
            </w:r>
          </w:p>
        </w:tc>
      </w:tr>
      <w:tr>
        <w:tc>
          <w:tcPr>
            <w:tcW w:w="2249" w:type="dxa"/>
          </w:tcPr>
          <w:p>
            <w:pPr>
              <w:pStyle w:val="Compact"/>
              <w:spacing w:after="40"/>
              <w:jc w:val="left"/>
            </w:pPr>
            <w:r>
              <w:rPr>
                <w:sz w:val="18"/>
              </w:rPr>
              <w:t xml:space="preserve">Treasury › Orders</w:t>
            </w:r>
          </w:p>
        </w:tc>
        <w:tc>
          <w:tcPr>
            <w:tcW w:w="2851" w:type="dxa"/>
          </w:tcPr>
          <w:p>
            <w:pPr>
              <w:pStyle w:val="Compact"/>
              <w:spacing w:after="40"/>
              <w:jc w:val="left"/>
            </w:pPr>
            <w:r>
              <w:rPr>
                <w:sz w:val="18"/>
              </w:rPr>
              <w:t xml:space="preserve">Blotter by state, order ticket, pre-trade check panel, approval queue, broker-release log, contract-note inbox, exceptions</w:t>
            </w:r>
          </w:p>
        </w:tc>
        <w:tc>
          <w:tcPr>
            <w:tcW w:w="2699" w:type="dxa"/>
          </w:tcPr>
          <w:p>
            <w:pPr>
              <w:pStyle w:val="Compact"/>
              <w:spacing w:after="40"/>
              <w:jc w:val="left"/>
            </w:pPr>
            <w:r>
              <w:rPr>
                <w:sz w:val="18"/>
              </w:rPr>
              <w:t xml:space="preserve">New order, check, approve or reject, record release, cancel, import contract notes (bulk), match, raise exception</w:t>
            </w:r>
          </w:p>
        </w:tc>
        <w:tc>
          <w:tcPr>
            <w:tcW w:w="1839" w:type="dxa"/>
          </w:tcPr>
          <w:p>
            <w:pPr>
              <w:pStyle w:val="Compact"/>
              <w:spacing w:after="40"/>
              <w:jc w:val="left"/>
            </w:pPr>
            <w:r>
              <w:rPr>
                <w:sz w:val="18"/>
              </w:rPr>
              <w:t xml:space="preserve">Dealer, approver, back office</w:t>
            </w:r>
          </w:p>
        </w:tc>
      </w:tr>
      <w:tr>
        <w:tc>
          <w:tcPr>
            <w:tcW w:w="2249" w:type="dxa"/>
          </w:tcPr>
          <w:p>
            <w:pPr>
              <w:pStyle w:val="Compact"/>
              <w:spacing w:after="40"/>
              <w:jc w:val="left"/>
            </w:pPr>
            <w:r>
              <w:rPr>
                <w:sz w:val="18"/>
              </w:rPr>
              <w:t xml:space="preserve">Treasury › Positions</w:t>
            </w:r>
          </w:p>
        </w:tc>
        <w:tc>
          <w:tcPr>
            <w:tcW w:w="2851" w:type="dxa"/>
          </w:tcPr>
          <w:p>
            <w:pPr>
              <w:pStyle w:val="Compact"/>
              <w:spacing w:after="40"/>
              <w:jc w:val="left"/>
            </w:pPr>
            <w:r>
              <w:rPr>
                <w:sz w:val="18"/>
              </w:rPr>
              <w:t xml:space="preserve">Positions and tax lots, demat reconciliation breaks, corporate actions, settlements</w:t>
            </w:r>
          </w:p>
        </w:tc>
        <w:tc>
          <w:tcPr>
            <w:tcW w:w="2699" w:type="dxa"/>
          </w:tcPr>
          <w:p>
            <w:pPr>
              <w:pStyle w:val="Compact"/>
              <w:spacing w:after="40"/>
              <w:jc w:val="left"/>
            </w:pPr>
            <w:r>
              <w:rPr>
                <w:sz w:val="18"/>
              </w:rPr>
              <w:t xml:space="preserve">Import holding statement, resolve break, record entitlement, export positions</w:t>
            </w:r>
          </w:p>
        </w:tc>
        <w:tc>
          <w:tcPr>
            <w:tcW w:w="1839" w:type="dxa"/>
          </w:tcPr>
          <w:p>
            <w:pPr>
              <w:pStyle w:val="Compact"/>
              <w:spacing w:after="40"/>
              <w:jc w:val="left"/>
            </w:pPr>
            <w:r>
              <w:rPr>
                <w:sz w:val="18"/>
              </w:rPr>
              <w:t xml:space="preserve">Back office, mid office</w:t>
            </w:r>
          </w:p>
        </w:tc>
      </w:tr>
      <w:tr>
        <w:tc>
          <w:tcPr>
            <w:tcW w:w="2249" w:type="dxa"/>
          </w:tcPr>
          <w:p>
            <w:pPr>
              <w:pStyle w:val="Compact"/>
              <w:spacing w:after="40"/>
              <w:jc w:val="left"/>
            </w:pPr>
            <w:r>
              <w:rPr>
                <w:sz w:val="18"/>
              </w:rPr>
              <w:t xml:space="preserve">Treasury › IPO</w:t>
            </w:r>
          </w:p>
        </w:tc>
        <w:tc>
          <w:tcPr>
            <w:tcW w:w="2851" w:type="dxa"/>
          </w:tcPr>
          <w:p>
            <w:pPr>
              <w:pStyle w:val="Compact"/>
              <w:spacing w:after="40"/>
              <w:jc w:val="left"/>
            </w:pPr>
            <w:r>
              <w:rPr>
                <w:sz w:val="18"/>
              </w:rPr>
              <w:t xml:space="preserve">Issue list, diligence note, application, allotment, lock-in tracker</w:t>
            </w:r>
          </w:p>
        </w:tc>
        <w:tc>
          <w:tcPr>
            <w:tcW w:w="2699" w:type="dxa"/>
          </w:tcPr>
          <w:p>
            <w:pPr>
              <w:pStyle w:val="Compact"/>
              <w:spacing w:after="40"/>
              <w:jc w:val="left"/>
            </w:pPr>
            <w:r>
              <w:rPr>
                <w:sz w:val="18"/>
              </w:rPr>
              <w:t xml:space="preserve">Create issue, attach diligence, committee approve, record ASBA block and allotment</w:t>
            </w:r>
          </w:p>
        </w:tc>
        <w:tc>
          <w:tcPr>
            <w:tcW w:w="1839" w:type="dxa"/>
          </w:tcPr>
          <w:p>
            <w:pPr>
              <w:pStyle w:val="Compact"/>
              <w:spacing w:after="40"/>
              <w:jc w:val="left"/>
            </w:pPr>
            <w:r>
              <w:rPr>
                <w:sz w:val="18"/>
              </w:rPr>
              <w:t xml:space="preserve">Dealer, committee, back office</w:t>
            </w:r>
          </w:p>
        </w:tc>
      </w:tr>
      <w:tr>
        <w:tc>
          <w:tcPr>
            <w:tcW w:w="2249" w:type="dxa"/>
          </w:tcPr>
          <w:p>
            <w:pPr>
              <w:pStyle w:val="Compact"/>
              <w:spacing w:after="40"/>
              <w:jc w:val="left"/>
            </w:pPr>
            <w:r>
              <w:rPr>
                <w:sz w:val="18"/>
              </w:rPr>
              <w:t xml:space="preserve">Treasury › Limits</w:t>
            </w:r>
          </w:p>
        </w:tc>
        <w:tc>
          <w:tcPr>
            <w:tcW w:w="2851" w:type="dxa"/>
          </w:tcPr>
          <w:p>
            <w:pPr>
              <w:pStyle w:val="Compact"/>
              <w:spacing w:after="40"/>
              <w:jc w:val="left"/>
            </w:pPr>
            <w:r>
              <w:rPr>
                <w:sz w:val="18"/>
              </w:rPr>
              <w:t xml:space="preserve">Limits dashboard (CME, single and group, AIF, NBFC-CIC tests, Board buckets), breach episodes</w:t>
            </w:r>
          </w:p>
        </w:tc>
        <w:tc>
          <w:tcPr>
            <w:tcW w:w="2699" w:type="dxa"/>
          </w:tcPr>
          <w:p>
            <w:pPr>
              <w:pStyle w:val="Compact"/>
              <w:spacing w:after="40"/>
              <w:jc w:val="left"/>
            </w:pPr>
            <w:r>
              <w:rPr>
                <w:sz w:val="18"/>
              </w:rPr>
              <w:t xml:space="preserve">What-if on a draft order, acknowledge breach, open remediation task</w:t>
            </w:r>
          </w:p>
        </w:tc>
        <w:tc>
          <w:tcPr>
            <w:tcW w:w="1839" w:type="dxa"/>
          </w:tcPr>
          <w:p>
            <w:pPr>
              <w:pStyle w:val="Compact"/>
              <w:spacing w:after="40"/>
              <w:jc w:val="left"/>
            </w:pPr>
            <w:r>
              <w:rPr>
                <w:sz w:val="18"/>
              </w:rPr>
              <w:t xml:space="preserve">Mid office, CRO, CFO</w:t>
            </w:r>
          </w:p>
        </w:tc>
      </w:tr>
      <w:tr>
        <w:tc>
          <w:tcPr>
            <w:tcW w:w="2249" w:type="dxa"/>
          </w:tcPr>
          <w:p>
            <w:pPr>
              <w:pStyle w:val="Compact"/>
              <w:spacing w:after="40"/>
              <w:jc w:val="left"/>
            </w:pPr>
            <w:r>
              <w:rPr>
                <w:sz w:val="18"/>
              </w:rPr>
              <w:t xml:space="preserve">Treasury › Valuation</w:t>
            </w:r>
          </w:p>
        </w:tc>
        <w:tc>
          <w:tcPr>
            <w:tcW w:w="2851" w:type="dxa"/>
          </w:tcPr>
          <w:p>
            <w:pPr>
              <w:pStyle w:val="Compact"/>
              <w:spacing w:after="40"/>
              <w:jc w:val="left"/>
            </w:pPr>
            <w:r>
              <w:rPr>
                <w:sz w:val="18"/>
              </w:rPr>
              <w:t xml:space="preserve">Valuation runs, price exceptions, level 3 register, AS category depreciation, ECL stages</w:t>
            </w:r>
          </w:p>
        </w:tc>
        <w:tc>
          <w:tcPr>
            <w:tcW w:w="2699" w:type="dxa"/>
          </w:tcPr>
          <w:p>
            <w:pPr>
              <w:pStyle w:val="Compact"/>
              <w:spacing w:after="40"/>
              <w:jc w:val="left"/>
            </w:pPr>
            <w:r>
              <w:rPr>
                <w:sz w:val="18"/>
              </w:rPr>
              <w:t xml:space="preserve">Run, approve official run, override stale price (CFO), reopen after lock (R12-style approval)</w:t>
            </w:r>
          </w:p>
        </w:tc>
        <w:tc>
          <w:tcPr>
            <w:tcW w:w="1839" w:type="dxa"/>
          </w:tcPr>
          <w:p>
            <w:pPr>
              <w:pStyle w:val="Compact"/>
              <w:spacing w:after="40"/>
              <w:jc w:val="left"/>
            </w:pPr>
            <w:r>
              <w:rPr>
                <w:sz w:val="18"/>
              </w:rPr>
              <w:t xml:space="preserve">Back office, CFO, valuation committee</w:t>
            </w:r>
          </w:p>
        </w:tc>
      </w:tr>
      <w:tr>
        <w:tc>
          <w:tcPr>
            <w:tcW w:w="2249" w:type="dxa"/>
          </w:tcPr>
          <w:p>
            <w:pPr>
              <w:pStyle w:val="Compact"/>
              <w:spacing w:after="40"/>
              <w:jc w:val="left"/>
            </w:pPr>
            <w:r>
              <w:rPr>
                <w:sz w:val="18"/>
              </w:rPr>
              <w:t xml:space="preserve">Treasury › Funds and securitisation</w:t>
            </w:r>
          </w:p>
        </w:tc>
        <w:tc>
          <w:tcPr>
            <w:tcW w:w="2851" w:type="dxa"/>
          </w:tcPr>
          <w:p>
            <w:pPr>
              <w:pStyle w:val="Compact"/>
              <w:spacing w:after="40"/>
              <w:jc w:val="left"/>
            </w:pPr>
            <w:r>
              <w:rPr>
                <w:sz w:val="18"/>
              </w:rPr>
              <w:t xml:space="preserve">AIF commitments and look-through, SR holdings, servicing transactions (IV7), waterfall runs, servicer and investor reports</w:t>
            </w:r>
          </w:p>
        </w:tc>
        <w:tc>
          <w:tcPr>
            <w:tcW w:w="2699" w:type="dxa"/>
          </w:tcPr>
          <w:p>
            <w:pPr>
              <w:pStyle w:val="Compact"/>
              <w:spacing w:after="40"/>
              <w:jc w:val="left"/>
            </w:pPr>
            <w:r>
              <w:rPr>
                <w:sz w:val="18"/>
              </w:rPr>
              <w:t xml:space="preserve">Commit, record drawdown, import look-through file, run waterfall, publish report</w:t>
            </w:r>
          </w:p>
        </w:tc>
        <w:tc>
          <w:tcPr>
            <w:tcW w:w="1839" w:type="dxa"/>
          </w:tcPr>
          <w:p>
            <w:pPr>
              <w:pStyle w:val="Compact"/>
              <w:spacing w:after="40"/>
              <w:jc w:val="left"/>
            </w:pPr>
            <w:r>
              <w:rPr>
                <w:sz w:val="18"/>
              </w:rPr>
              <w:t xml:space="preserve">Back office, finance, partner-portal users (R) read-only</w:t>
            </w:r>
          </w:p>
        </w:tc>
      </w:tr>
      <w:tr>
        <w:tc>
          <w:tcPr>
            <w:tcW w:w="2249" w:type="dxa"/>
          </w:tcPr>
          <w:p>
            <w:pPr>
              <w:pStyle w:val="Compact"/>
              <w:spacing w:after="40"/>
              <w:jc w:val="left"/>
            </w:pPr>
            <w:r>
              <w:rPr>
                <w:sz w:val="18"/>
              </w:rPr>
              <w:t xml:space="preserve">Funds › Investors, Capital calls, NAV, Filings (AIF, PMS and IFSC-fund tenants only)</w:t>
            </w:r>
          </w:p>
        </w:tc>
        <w:tc>
          <w:tcPr>
            <w:tcW w:w="2851" w:type="dxa"/>
          </w:tcPr>
          <w:p>
            <w:pPr>
              <w:pStyle w:val="Compact"/>
              <w:spacing w:after="40"/>
              <w:jc w:val="left"/>
            </w:pPr>
            <w:r>
              <w:rPr>
                <w:sz w:val="18"/>
              </w:rPr>
              <w:t xml:space="preserve">Investor register, commitments, drawdown and distribution runs, NAV records, concentration and leverage monitors, SEBI filing checklist</w:t>
            </w:r>
          </w:p>
        </w:tc>
        <w:tc>
          <w:tcPr>
            <w:tcW w:w="2699" w:type="dxa"/>
          </w:tcPr>
          <w:p>
            <w:pPr>
              <w:pStyle w:val="Compact"/>
              <w:spacing w:after="40"/>
              <w:jc w:val="left"/>
            </w:pPr>
            <w:r>
              <w:rPr>
                <w:sz w:val="18"/>
              </w:rPr>
              <w:t xml:space="preserve">Issue capital call, approve NAV (manager), produce RE attestation and look-through file, record SI Portal acknowledgement</w:t>
            </w:r>
          </w:p>
        </w:tc>
        <w:tc>
          <w:tcPr>
            <w:tcW w:w="1839" w:type="dxa"/>
          </w:tcPr>
          <w:p>
            <w:pPr>
              <w:pStyle w:val="Compact"/>
              <w:spacing w:after="40"/>
              <w:jc w:val="left"/>
            </w:pPr>
            <w:r>
              <w:rPr>
                <w:sz w:val="18"/>
              </w:rPr>
              <w:t xml:space="preserve">Fund operations, manager, compliance officer</w:t>
            </w:r>
          </w:p>
        </w:tc>
      </w:tr>
    </w:tbl>
    <w:p>
      <w:pPr>
        <w:pStyle w:val="BodyText"/>
      </w:pPr>
      <w:r>
        <w:t xml:space="preserve">Blotter filters (state, dealer, issuer, instrument type, date) save as views; keyboard shortcuts on the blotter (</w:t>
      </w:r>
      <w:r>
        <w:rPr>
          <w:rStyle w:val="VerbatimChar"/>
        </w:rPr>
        <w:t xml:space="preserve">n</w:t>
      </w:r>
      <w:r>
        <w:t xml:space="preserve"> </w:t>
      </w:r>
      <w:r>
        <w:t xml:space="preserve">new,</w:t>
      </w:r>
      <w:r>
        <w:t xml:space="preserve"> </w:t>
      </w:r>
      <w:r>
        <w:rPr>
          <w:rStyle w:val="VerbatimChar"/>
        </w:rPr>
        <w:t xml:space="preserve">c</w:t>
      </w:r>
      <w:r>
        <w:t xml:space="preserve"> </w:t>
      </w:r>
      <w:r>
        <w:t xml:space="preserve">check,</w:t>
      </w:r>
      <w:r>
        <w:t xml:space="preserve"> </w:t>
      </w:r>
      <w:r>
        <w:rPr>
          <w:rStyle w:val="VerbatimChar"/>
        </w:rPr>
        <w:t xml:space="preserve">a</w:t>
      </w:r>
      <w:r>
        <w:t xml:space="preserve"> </w:t>
      </w:r>
      <w:r>
        <w:t xml:space="preserve">approve,</w:t>
      </w:r>
      <w:r>
        <w:t xml:space="preserve"> </w:t>
      </w:r>
      <w:r>
        <w:rPr>
          <w:rStyle w:val="VerbatimChar"/>
        </w:rPr>
        <w:t xml:space="preserve">/</w:t>
      </w:r>
      <w:r>
        <w:t xml:space="preserve"> </w:t>
      </w:r>
      <w:r>
        <w:t xml:space="preserve">search); every rejection names the failed check and its rule version; WCAG 2.2 AA.</w:t>
      </w:r>
    </w:p>
    <w:p>
      <w:r>
        <w:pict>
          <v:rect style="width:0;height:1.5pt" o:hralign="center" o:hrstd="t" o:hr="t"/>
        </w:pict>
      </w:r>
    </w:p>
    <w:bookmarkEnd w:id="600"/>
    <w:bookmarkStart w:id="607" w:name="Xab0c486827699ecd2c0f61c3c2e4786911210c1"/>
    <w:p>
      <w:pPr>
        <w:pStyle w:val="Heading2"/>
      </w:pPr>
      <w:r>
        <w:t xml:space="preserve">IV1. Instrument master, market data and classification</w:t>
      </w:r>
    </w:p>
    <w:bookmarkStart w:id="601" w:name="iv1.1-instrument-master"/>
    <w:p>
      <w:pPr>
        <w:pStyle w:val="Heading3"/>
      </w:pPr>
      <w:r>
        <w:t xml:space="preserve">IV1.1 Instrument master</w:t>
      </w:r>
    </w:p>
    <w:p>
      <w:pPr>
        <w:pStyle w:val="FirstParagraph"/>
      </w:pPr>
      <w:r>
        <w:t xml:space="preserve">One</w:t>
      </w:r>
      <w:r>
        <w:t xml:space="preserve"> </w:t>
      </w:r>
      <w:r>
        <w:rPr>
          <w:rStyle w:val="VerbatimChar"/>
        </w:rPr>
        <w:t xml:space="preserve">security_master</w:t>
      </w:r>
      <w:r>
        <w:t xml:space="preserve"> </w:t>
      </w:r>
      <w:r>
        <w:t xml:space="preserve">shared with Part 6.4, extended with:</w:t>
      </w:r>
    </w:p>
    <w:p>
      <w:pPr>
        <w:numPr>
          <w:ilvl w:val="0"/>
          <w:numId w:val="1498"/>
        </w:numPr>
        <w:pStyle w:val="Compact"/>
      </w:pPr>
      <w:r>
        <w:rPr>
          <w:bCs/>
          <w:b/>
        </w:rPr>
        <w:t xml:space="preserve">Identity:</w:t>
      </w:r>
      <w:r>
        <w:t xml:space="preserve"> </w:t>
      </w:r>
      <w:r>
        <w:t xml:space="preserve">ISIN (mandatory for demat; internal ID for unlisted), issuer, instrument type, listing status and exchanges, segment (mainboard, SME, debt), face value, currency.</w:t>
      </w:r>
    </w:p>
    <w:p>
      <w:pPr>
        <w:numPr>
          <w:ilvl w:val="0"/>
          <w:numId w:val="1498"/>
        </w:numPr>
        <w:pStyle w:val="Compact"/>
      </w:pPr>
      <w:r>
        <w:rPr>
          <w:bCs/>
          <w:b/>
        </w:rPr>
        <w:t xml:space="preserve">Debt terms:</w:t>
      </w:r>
      <w:r>
        <w:t xml:space="preserve"> </w:t>
      </w:r>
      <w:r>
        <w:t xml:space="preserve">coupon schedule, day count, call and put, maturity, seniority, secured flag, rating and agency history, tranche (PTC or securitisation note), guarantee (Central or State Government).</w:t>
      </w:r>
    </w:p>
    <w:p>
      <w:pPr>
        <w:numPr>
          <w:ilvl w:val="0"/>
          <w:numId w:val="1498"/>
        </w:numPr>
        <w:pStyle w:val="Compact"/>
      </w:pPr>
      <w:r>
        <w:rPr>
          <w:bCs/>
          <w:b/>
        </w:rPr>
        <w:t xml:space="preserve">Fund terms:</w:t>
      </w:r>
      <w:r>
        <w:t xml:space="preserve"> </w:t>
      </w:r>
      <w:r>
        <w:t xml:space="preserve">AIF category (I, II, III) and unit class (senior, subordinated, sponsor), scheme corpus, LVF flag; MF scheme code and category; REIT or InvIT trust, sponsor.</w:t>
      </w:r>
    </w:p>
    <w:p>
      <w:pPr>
        <w:numPr>
          <w:ilvl w:val="0"/>
          <w:numId w:val="1498"/>
        </w:numPr>
        <w:pStyle w:val="Compact"/>
      </w:pPr>
      <w:r>
        <w:rPr>
          <w:bCs/>
          <w:b/>
        </w:rPr>
        <w:t xml:space="preserve">Classification:</w:t>
      </w:r>
      <w:r>
        <w:t xml:space="preserve"> </w:t>
      </w:r>
      <w:r>
        <w:t xml:space="preserve">market-cap bucket (IV1.4, effective-dated), INV category (para 14), CME line (FS para 21(8)(ii) items i–x), group-company and related-party flags (from the issuer), debtor-company flag (computed).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90"/>
        <w:gridCol w:w="2295"/>
        <w:gridCol w:w="2846"/>
        <w:gridCol w:w="2407"/>
      </w:tblGrid>
      <w:tr>
        <w:trPr>
          <w:tblHeader w:val="true"/>
          <w:tblHeader w:val="true"/>
        </w:trPr>
        <w:tc>
          <w:tcPr>
            <w:tcW w:w="2090" w:type="dxa"/>
            <w:shd w:val="clear" w:color="auto" w:fill="1F3A5F"/>
          </w:tcPr>
          <w:p>
            <w:pPr>
              <w:pStyle w:val="Compact"/>
              <w:spacing w:after="40"/>
              <w:jc w:val="left"/>
            </w:pPr>
            <w:r>
              <w:rPr>
                <w:b/>
                <w:color w:val="FFFFFF"/>
                <w:sz w:val="18"/>
              </w:rPr>
              <w:t xml:space="preserve">Instrument type</w:t>
            </w:r>
          </w:p>
        </w:tc>
        <w:tc>
          <w:tcPr>
            <w:tcW w:w="2295" w:type="dxa"/>
            <w:shd w:val="clear" w:color="auto" w:fill="1F3A5F"/>
          </w:tcPr>
          <w:p>
            <w:pPr>
              <w:pStyle w:val="Compact"/>
              <w:spacing w:after="40"/>
              <w:jc w:val="left"/>
            </w:pPr>
            <w:r>
              <w:rPr>
                <w:b/>
                <w:color w:val="FFFFFF"/>
                <w:sz w:val="18"/>
              </w:rPr>
              <w:t xml:space="preserve">INV AS category (para 14)</w:t>
            </w:r>
          </w:p>
        </w:tc>
        <w:tc>
          <w:tcPr>
            <w:tcW w:w="2846" w:type="dxa"/>
            <w:shd w:val="clear" w:color="auto" w:fill="1F3A5F"/>
          </w:tcPr>
          <w:p>
            <w:pPr>
              <w:pStyle w:val="Compact"/>
              <w:spacing w:after="40"/>
              <w:jc w:val="left"/>
            </w:pPr>
            <w:r>
              <w:rPr>
                <w:b/>
                <w:color w:val="FFFFFF"/>
                <w:sz w:val="18"/>
              </w:rPr>
              <w:t xml:space="preserve">CME line (FS 21(8)(ii))</w:t>
            </w:r>
          </w:p>
        </w:tc>
        <w:tc>
          <w:tcPr>
            <w:tcW w:w="2407" w:type="dxa"/>
            <w:shd w:val="clear" w:color="auto" w:fill="1F3A5F"/>
          </w:tcPr>
          <w:p>
            <w:pPr>
              <w:pStyle w:val="Compact"/>
              <w:spacing w:after="40"/>
              <w:jc w:val="left"/>
            </w:pPr>
            <w:r>
              <w:rPr>
                <w:b/>
                <w:color w:val="FFFFFF"/>
                <w:sz w:val="18"/>
              </w:rPr>
              <w:t xml:space="preserve">Default Ind AS route</w:t>
            </w:r>
          </w:p>
        </w:tc>
      </w:tr>
      <w:tr>
        <w:tc>
          <w:tcPr>
            <w:tcW w:w="2090" w:type="dxa"/>
          </w:tcPr>
          <w:p>
            <w:pPr>
              <w:pStyle w:val="Compact"/>
              <w:spacing w:after="40"/>
              <w:jc w:val="left"/>
            </w:pPr>
            <w:r>
              <w:rPr>
                <w:sz w:val="18"/>
              </w:rPr>
              <w:t xml:space="preserve">Equity share (listed, unlisted)</w:t>
            </w:r>
          </w:p>
        </w:tc>
        <w:tc>
          <w:tcPr>
            <w:tcW w:w="2295" w:type="dxa"/>
          </w:tcPr>
          <w:p>
            <w:pPr>
              <w:pStyle w:val="Compact"/>
              <w:spacing w:after="40"/>
              <w:jc w:val="left"/>
            </w:pPr>
            <w:r>
              <w:rPr>
                <w:sz w:val="18"/>
              </w:rPr>
              <w:t xml:space="preserve">Equity shares</w:t>
            </w:r>
          </w:p>
        </w:tc>
        <w:tc>
          <w:tcPr>
            <w:tcW w:w="2846" w:type="dxa"/>
          </w:tcPr>
          <w:p>
            <w:pPr>
              <w:pStyle w:val="Compact"/>
              <w:spacing w:after="40"/>
              <w:jc w:val="left"/>
            </w:pPr>
            <w:r>
              <w:rPr>
                <w:sz w:val="18"/>
              </w:rPr>
              <w:t xml:space="preserve">(i) direct investment</w:t>
            </w:r>
          </w:p>
        </w:tc>
        <w:tc>
          <w:tcPr>
            <w:tcW w:w="2407" w:type="dxa"/>
          </w:tcPr>
          <w:p>
            <w:pPr>
              <w:pStyle w:val="Compact"/>
              <w:spacing w:after="40"/>
              <w:jc w:val="left"/>
            </w:pPr>
            <w:r>
              <w:rPr>
                <w:sz w:val="18"/>
              </w:rPr>
              <w:t xml:space="preserve">FVTPL; FVOCI by irrevocable election</w:t>
            </w:r>
          </w:p>
        </w:tc>
      </w:tr>
      <w:tr>
        <w:tc>
          <w:tcPr>
            <w:tcW w:w="2090" w:type="dxa"/>
          </w:tcPr>
          <w:p>
            <w:pPr>
              <w:pStyle w:val="Compact"/>
              <w:spacing w:after="40"/>
              <w:jc w:val="left"/>
            </w:pPr>
            <w:r>
              <w:rPr>
                <w:sz w:val="18"/>
              </w:rPr>
              <w:t xml:space="preserve">CCPS, CCD, convertible debenture</w:t>
            </w:r>
          </w:p>
        </w:tc>
        <w:tc>
          <w:tcPr>
            <w:tcW w:w="2295" w:type="dxa"/>
          </w:tcPr>
          <w:p>
            <w:pPr>
              <w:pStyle w:val="Compact"/>
              <w:spacing w:after="40"/>
              <w:jc w:val="left"/>
            </w:pPr>
            <w:r>
              <w:rPr>
                <w:sz w:val="18"/>
              </w:rPr>
              <w:t xml:space="preserve">Preference shares or Debentures</w:t>
            </w:r>
          </w:p>
        </w:tc>
        <w:tc>
          <w:tcPr>
            <w:tcW w:w="2846" w:type="dxa"/>
          </w:tcPr>
          <w:p>
            <w:pPr>
              <w:pStyle w:val="Compact"/>
              <w:spacing w:after="40"/>
              <w:jc w:val="left"/>
            </w:pPr>
            <w:r>
              <w:rPr>
                <w:sz w:val="18"/>
              </w:rPr>
              <w:t xml:space="preserve">(i) convertibles</w:t>
            </w:r>
          </w:p>
        </w:tc>
        <w:tc>
          <w:tcPr>
            <w:tcW w:w="2407" w:type="dxa"/>
          </w:tcPr>
          <w:p>
            <w:pPr>
              <w:pStyle w:val="Compact"/>
              <w:spacing w:after="40"/>
              <w:jc w:val="left"/>
            </w:pPr>
            <w:r>
              <w:rPr>
                <w:sz w:val="18"/>
              </w:rPr>
              <w:t xml:space="preserve">FVTPL (fails SPPI)</w:t>
            </w:r>
          </w:p>
        </w:tc>
      </w:tr>
      <w:tr>
        <w:tc>
          <w:tcPr>
            <w:tcW w:w="2090" w:type="dxa"/>
          </w:tcPr>
          <w:p>
            <w:pPr>
              <w:pStyle w:val="Compact"/>
              <w:spacing w:after="40"/>
              <w:jc w:val="left"/>
            </w:pPr>
            <w:r>
              <w:rPr>
                <w:sz w:val="18"/>
              </w:rPr>
              <w:t xml:space="preserve">Preference share (non-convertible)</w:t>
            </w:r>
          </w:p>
        </w:tc>
        <w:tc>
          <w:tcPr>
            <w:tcW w:w="2295" w:type="dxa"/>
          </w:tcPr>
          <w:p>
            <w:pPr>
              <w:pStyle w:val="Compact"/>
              <w:spacing w:after="40"/>
              <w:jc w:val="left"/>
            </w:pPr>
            <w:r>
              <w:rPr>
                <w:sz w:val="18"/>
              </w:rPr>
              <w:t xml:space="preserve">Preference shares</w:t>
            </w:r>
          </w:p>
        </w:tc>
        <w:tc>
          <w:tcPr>
            <w:tcW w:w="2846" w:type="dxa"/>
          </w:tcPr>
          <w:p>
            <w:pPr>
              <w:pStyle w:val="Compact"/>
              <w:spacing w:after="40"/>
              <w:jc w:val="left"/>
            </w:pPr>
            <w:r>
              <w:rPr>
                <w:sz w:val="18"/>
              </w:rPr>
              <w:t xml:space="preserve">not CME [VERIFY]</w:t>
            </w:r>
          </w:p>
        </w:tc>
        <w:tc>
          <w:tcPr>
            <w:tcW w:w="2407" w:type="dxa"/>
          </w:tcPr>
          <w:p>
            <w:pPr>
              <w:pStyle w:val="Compact"/>
              <w:spacing w:after="40"/>
              <w:jc w:val="left"/>
            </w:pPr>
            <w:r>
              <w:rPr>
                <w:sz w:val="18"/>
              </w:rPr>
              <w:t xml:space="preserve">per SPPI result</w:t>
            </w:r>
          </w:p>
        </w:tc>
      </w:tr>
      <w:tr>
        <w:tc>
          <w:tcPr>
            <w:tcW w:w="2090" w:type="dxa"/>
          </w:tcPr>
          <w:p>
            <w:pPr>
              <w:pStyle w:val="Compact"/>
              <w:spacing w:after="40"/>
              <w:jc w:val="left"/>
            </w:pPr>
            <w:r>
              <w:rPr>
                <w:sz w:val="18"/>
              </w:rPr>
              <w:t xml:space="preserve">NCD, bond, CP, CD</w:t>
            </w:r>
          </w:p>
        </w:tc>
        <w:tc>
          <w:tcPr>
            <w:tcW w:w="2295" w:type="dxa"/>
          </w:tcPr>
          <w:p>
            <w:pPr>
              <w:pStyle w:val="Compact"/>
              <w:spacing w:after="40"/>
              <w:jc w:val="left"/>
            </w:pPr>
            <w:r>
              <w:rPr>
                <w:sz w:val="18"/>
              </w:rPr>
              <w:t xml:space="preserve">Debentures and bonds; CP at carrying cost</w:t>
            </w:r>
          </w:p>
        </w:tc>
        <w:tc>
          <w:tcPr>
            <w:tcW w:w="2846" w:type="dxa"/>
          </w:tcPr>
          <w:p>
            <w:pPr>
              <w:pStyle w:val="Compact"/>
              <w:spacing w:after="40"/>
              <w:jc w:val="left"/>
            </w:pPr>
            <w:r>
              <w:rPr>
                <w:sz w:val="18"/>
              </w:rPr>
              <w:t xml:space="preserve">—</w:t>
            </w:r>
          </w:p>
        </w:tc>
        <w:tc>
          <w:tcPr>
            <w:tcW w:w="2407" w:type="dxa"/>
          </w:tcPr>
          <w:p>
            <w:pPr>
              <w:pStyle w:val="Compact"/>
              <w:spacing w:after="40"/>
              <w:jc w:val="left"/>
            </w:pPr>
            <w:r>
              <w:rPr>
                <w:sz w:val="18"/>
              </w:rPr>
              <w:t xml:space="preserve">AC, FVOCI or FVTPL by business model and SPPI</w:t>
            </w:r>
          </w:p>
        </w:tc>
      </w:tr>
      <w:tr>
        <w:tc>
          <w:tcPr>
            <w:tcW w:w="2090" w:type="dxa"/>
          </w:tcPr>
          <w:p>
            <w:pPr>
              <w:pStyle w:val="Compact"/>
              <w:spacing w:after="40"/>
              <w:jc w:val="left"/>
            </w:pPr>
            <w:r>
              <w:rPr>
                <w:sz w:val="18"/>
              </w:rPr>
              <w:t xml:space="preserve">G-sec, SDL, T-bill</w:t>
            </w:r>
          </w:p>
        </w:tc>
        <w:tc>
          <w:tcPr>
            <w:tcW w:w="2295" w:type="dxa"/>
          </w:tcPr>
          <w:p>
            <w:pPr>
              <w:pStyle w:val="Compact"/>
              <w:spacing w:after="40"/>
              <w:jc w:val="left"/>
            </w:pPr>
            <w:r>
              <w:rPr>
                <w:sz w:val="18"/>
              </w:rPr>
              <w:t xml:space="preserve">Government Securities</w:t>
            </w:r>
          </w:p>
        </w:tc>
        <w:tc>
          <w:tcPr>
            <w:tcW w:w="2846" w:type="dxa"/>
          </w:tcPr>
          <w:p>
            <w:pPr>
              <w:pStyle w:val="Compact"/>
              <w:spacing w:after="40"/>
              <w:jc w:val="left"/>
            </w:pPr>
            <w:r>
              <w:rPr>
                <w:sz w:val="18"/>
              </w:rPr>
              <w:t xml:space="preserve">—</w:t>
            </w:r>
          </w:p>
        </w:tc>
        <w:tc>
          <w:tcPr>
            <w:tcW w:w="2407" w:type="dxa"/>
          </w:tcPr>
          <w:p>
            <w:pPr>
              <w:pStyle w:val="Compact"/>
              <w:spacing w:after="40"/>
              <w:jc w:val="left"/>
            </w:pPr>
            <w:r>
              <w:rPr>
                <w:sz w:val="18"/>
              </w:rPr>
              <w:t xml:space="preserve">AC or FVOCI</w:t>
            </w:r>
          </w:p>
        </w:tc>
      </w:tr>
      <w:tr>
        <w:tc>
          <w:tcPr>
            <w:tcW w:w="2090" w:type="dxa"/>
          </w:tcPr>
          <w:p>
            <w:pPr>
              <w:pStyle w:val="Compact"/>
              <w:spacing w:after="40"/>
              <w:jc w:val="left"/>
            </w:pPr>
            <w:r>
              <w:rPr>
                <w:sz w:val="18"/>
              </w:rPr>
              <w:t xml:space="preserve">MF unit (equity-oriented)</w:t>
            </w:r>
          </w:p>
        </w:tc>
        <w:tc>
          <w:tcPr>
            <w:tcW w:w="2295" w:type="dxa"/>
          </w:tcPr>
          <w:p>
            <w:pPr>
              <w:pStyle w:val="Compact"/>
              <w:spacing w:after="40"/>
              <w:jc w:val="left"/>
            </w:pPr>
            <w:r>
              <w:rPr>
                <w:sz w:val="18"/>
              </w:rPr>
              <w:t xml:space="preserve">Units of mutual fund</w:t>
            </w:r>
          </w:p>
        </w:tc>
        <w:tc>
          <w:tcPr>
            <w:tcW w:w="2846" w:type="dxa"/>
          </w:tcPr>
          <w:p>
            <w:pPr>
              <w:pStyle w:val="Compact"/>
              <w:spacing w:after="40"/>
              <w:jc w:val="left"/>
            </w:pPr>
            <w:r>
              <w:rPr>
                <w:sz w:val="18"/>
              </w:rPr>
              <w:t xml:space="preserve">(i) equity-oriented MF units</w:t>
            </w:r>
          </w:p>
        </w:tc>
        <w:tc>
          <w:tcPr>
            <w:tcW w:w="2407" w:type="dxa"/>
          </w:tcPr>
          <w:p>
            <w:pPr>
              <w:pStyle w:val="Compact"/>
              <w:spacing w:after="40"/>
              <w:jc w:val="left"/>
            </w:pPr>
            <w:r>
              <w:rPr>
                <w:sz w:val="18"/>
              </w:rPr>
              <w:t xml:space="preserve">FVTPL</w:t>
            </w:r>
          </w:p>
        </w:tc>
      </w:tr>
      <w:tr>
        <w:tc>
          <w:tcPr>
            <w:tcW w:w="2090" w:type="dxa"/>
          </w:tcPr>
          <w:p>
            <w:pPr>
              <w:pStyle w:val="Compact"/>
              <w:spacing w:after="40"/>
              <w:jc w:val="left"/>
            </w:pPr>
            <w:r>
              <w:rPr>
                <w:sz w:val="18"/>
              </w:rPr>
              <w:t xml:space="preserve">MF unit (debt)</w:t>
            </w:r>
          </w:p>
        </w:tc>
        <w:tc>
          <w:tcPr>
            <w:tcW w:w="2295" w:type="dxa"/>
          </w:tcPr>
          <w:p>
            <w:pPr>
              <w:pStyle w:val="Compact"/>
              <w:spacing w:after="40"/>
              <w:jc w:val="left"/>
            </w:pPr>
            <w:r>
              <w:rPr>
                <w:sz w:val="18"/>
              </w:rPr>
              <w:t xml:space="preserve">Units of mutual fund</w:t>
            </w:r>
          </w:p>
        </w:tc>
        <w:tc>
          <w:tcPr>
            <w:tcW w:w="2846" w:type="dxa"/>
          </w:tcPr>
          <w:p>
            <w:pPr>
              <w:pStyle w:val="Compact"/>
              <w:spacing w:after="40"/>
              <w:jc w:val="left"/>
            </w:pPr>
            <w:r>
              <w:rPr>
                <w:sz w:val="18"/>
              </w:rPr>
              <w:t xml:space="preserve">—</w:t>
            </w:r>
          </w:p>
        </w:tc>
        <w:tc>
          <w:tcPr>
            <w:tcW w:w="2407" w:type="dxa"/>
          </w:tcPr>
          <w:p>
            <w:pPr>
              <w:pStyle w:val="Compact"/>
              <w:spacing w:after="40"/>
              <w:jc w:val="left"/>
            </w:pPr>
            <w:r>
              <w:rPr>
                <w:sz w:val="18"/>
              </w:rPr>
              <w:t xml:space="preserve">FVTPL</w:t>
            </w:r>
          </w:p>
        </w:tc>
      </w:tr>
      <w:tr>
        <w:tc>
          <w:tcPr>
            <w:tcW w:w="2090" w:type="dxa"/>
          </w:tcPr>
          <w:p>
            <w:pPr>
              <w:pStyle w:val="Compact"/>
              <w:spacing w:after="40"/>
              <w:jc w:val="left"/>
            </w:pPr>
            <w:r>
              <w:rPr>
                <w:sz w:val="18"/>
              </w:rPr>
              <w:t xml:space="preserve">ETF</w:t>
            </w:r>
          </w:p>
        </w:tc>
        <w:tc>
          <w:tcPr>
            <w:tcW w:w="2295" w:type="dxa"/>
          </w:tcPr>
          <w:p>
            <w:pPr>
              <w:pStyle w:val="Compact"/>
              <w:spacing w:after="40"/>
              <w:jc w:val="left"/>
            </w:pPr>
            <w:r>
              <w:rPr>
                <w:sz w:val="18"/>
              </w:rPr>
              <w:t xml:space="preserve">Units of mutual fund</w:t>
            </w:r>
          </w:p>
        </w:tc>
        <w:tc>
          <w:tcPr>
            <w:tcW w:w="2846" w:type="dxa"/>
          </w:tcPr>
          <w:p>
            <w:pPr>
              <w:pStyle w:val="Compact"/>
              <w:spacing w:after="40"/>
              <w:jc w:val="left"/>
            </w:pPr>
            <w:r>
              <w:rPr>
                <w:sz w:val="18"/>
              </w:rPr>
              <w:t xml:space="preserve">(i) where equity-oriented</w:t>
            </w:r>
          </w:p>
        </w:tc>
        <w:tc>
          <w:tcPr>
            <w:tcW w:w="2407" w:type="dxa"/>
          </w:tcPr>
          <w:p>
            <w:pPr>
              <w:pStyle w:val="Compact"/>
              <w:spacing w:after="40"/>
              <w:jc w:val="left"/>
            </w:pPr>
            <w:r>
              <w:rPr>
                <w:sz w:val="18"/>
              </w:rPr>
              <w:t xml:space="preserve">FVTPL</w:t>
            </w:r>
          </w:p>
        </w:tc>
      </w:tr>
      <w:tr>
        <w:tc>
          <w:tcPr>
            <w:tcW w:w="2090" w:type="dxa"/>
          </w:tcPr>
          <w:p>
            <w:pPr>
              <w:pStyle w:val="Compact"/>
              <w:spacing w:after="40"/>
              <w:jc w:val="left"/>
            </w:pPr>
            <w:r>
              <w:rPr>
                <w:sz w:val="18"/>
              </w:rPr>
              <w:t xml:space="preserve">AIF unit</w:t>
            </w:r>
          </w:p>
        </w:tc>
        <w:tc>
          <w:tcPr>
            <w:tcW w:w="2295" w:type="dxa"/>
          </w:tcPr>
          <w:p>
            <w:pPr>
              <w:pStyle w:val="Compact"/>
              <w:spacing w:after="40"/>
              <w:jc w:val="left"/>
            </w:pPr>
            <w:r>
              <w:rPr>
                <w:sz w:val="18"/>
              </w:rPr>
              <w:t xml:space="preserve">Others</w:t>
            </w:r>
          </w:p>
        </w:tc>
        <w:tc>
          <w:tcPr>
            <w:tcW w:w="2846" w:type="dxa"/>
          </w:tcPr>
          <w:p>
            <w:pPr>
              <w:pStyle w:val="Compact"/>
              <w:spacing w:after="40"/>
              <w:jc w:val="left"/>
            </w:pPr>
            <w:r>
              <w:rPr>
                <w:sz w:val="18"/>
              </w:rPr>
              <w:t xml:space="preserve">(x) AIF by category</w:t>
            </w:r>
          </w:p>
        </w:tc>
        <w:tc>
          <w:tcPr>
            <w:tcW w:w="2407" w:type="dxa"/>
          </w:tcPr>
          <w:p>
            <w:pPr>
              <w:pStyle w:val="Compact"/>
              <w:spacing w:after="40"/>
              <w:jc w:val="left"/>
            </w:pPr>
            <w:r>
              <w:rPr>
                <w:sz w:val="18"/>
              </w:rPr>
              <w:t xml:space="preserve">FVTPL</w:t>
            </w:r>
          </w:p>
        </w:tc>
      </w:tr>
      <w:tr>
        <w:tc>
          <w:tcPr>
            <w:tcW w:w="2090" w:type="dxa"/>
          </w:tcPr>
          <w:p>
            <w:pPr>
              <w:pStyle w:val="Compact"/>
              <w:spacing w:after="40"/>
              <w:jc w:val="left"/>
            </w:pPr>
            <w:r>
              <w:rPr>
                <w:sz w:val="18"/>
              </w:rPr>
              <w:t xml:space="preserve">REIT or InvIT unit</w:t>
            </w:r>
          </w:p>
        </w:tc>
        <w:tc>
          <w:tcPr>
            <w:tcW w:w="2295" w:type="dxa"/>
          </w:tcPr>
          <w:p>
            <w:pPr>
              <w:pStyle w:val="Compact"/>
              <w:spacing w:after="40"/>
              <w:jc w:val="left"/>
            </w:pPr>
            <w:r>
              <w:rPr>
                <w:sz w:val="18"/>
              </w:rPr>
              <w:t xml:space="preserve">Others</w:t>
            </w:r>
          </w:p>
        </w:tc>
        <w:tc>
          <w:tcPr>
            <w:tcW w:w="2846" w:type="dxa"/>
          </w:tcPr>
          <w:p>
            <w:pPr>
              <w:pStyle w:val="Compact"/>
              <w:spacing w:after="40"/>
              <w:jc w:val="left"/>
            </w:pPr>
            <w:r>
              <w:rPr>
                <w:sz w:val="18"/>
              </w:rPr>
              <w:t xml:space="preserve">non-CME by default; Board flag to treat as CME (IV4.6) [VERIFY]</w:t>
            </w:r>
          </w:p>
        </w:tc>
        <w:tc>
          <w:tcPr>
            <w:tcW w:w="2407" w:type="dxa"/>
          </w:tcPr>
          <w:p>
            <w:pPr>
              <w:pStyle w:val="Compact"/>
              <w:spacing w:after="40"/>
              <w:jc w:val="left"/>
            </w:pPr>
            <w:r>
              <w:rPr>
                <w:sz w:val="18"/>
              </w:rPr>
              <w:t xml:space="preserve">FVTPL</w:t>
            </w:r>
          </w:p>
        </w:tc>
      </w:tr>
      <w:tr>
        <w:tc>
          <w:tcPr>
            <w:tcW w:w="2090" w:type="dxa"/>
          </w:tcPr>
          <w:p>
            <w:pPr>
              <w:pStyle w:val="Compact"/>
              <w:spacing w:after="40"/>
              <w:jc w:val="left"/>
            </w:pPr>
            <w:r>
              <w:rPr>
                <w:sz w:val="18"/>
              </w:rPr>
              <w:t xml:space="preserve">Security receipt</w:t>
            </w:r>
          </w:p>
        </w:tc>
        <w:tc>
          <w:tcPr>
            <w:tcW w:w="2295" w:type="dxa"/>
          </w:tcPr>
          <w:p>
            <w:pPr>
              <w:pStyle w:val="Compact"/>
              <w:spacing w:after="40"/>
              <w:jc w:val="left"/>
            </w:pPr>
            <w:r>
              <w:rPr>
                <w:sz w:val="18"/>
              </w:rPr>
              <w:t xml:space="preserve">Others (TDCR paras 82–86 override)</w:t>
            </w:r>
          </w:p>
        </w:tc>
        <w:tc>
          <w:tcPr>
            <w:tcW w:w="2846" w:type="dxa"/>
          </w:tcPr>
          <w:p>
            <w:pPr>
              <w:pStyle w:val="Compact"/>
              <w:spacing w:after="40"/>
              <w:jc w:val="left"/>
            </w:pPr>
            <w:r>
              <w:rPr>
                <w:sz w:val="18"/>
              </w:rPr>
              <w:t xml:space="preserve">—</w:t>
            </w:r>
          </w:p>
        </w:tc>
        <w:tc>
          <w:tcPr>
            <w:tcW w:w="2407" w:type="dxa"/>
          </w:tcPr>
          <w:p>
            <w:pPr>
              <w:pStyle w:val="Compact"/>
              <w:spacing w:after="40"/>
              <w:jc w:val="left"/>
            </w:pPr>
            <w:r>
              <w:rPr>
                <w:sz w:val="18"/>
              </w:rPr>
              <w:t xml:space="preserve">FVTPL (NAV-based)</w:t>
            </w:r>
          </w:p>
        </w:tc>
      </w:tr>
      <w:tr>
        <w:tc>
          <w:tcPr>
            <w:tcW w:w="2090" w:type="dxa"/>
          </w:tcPr>
          <w:p>
            <w:pPr>
              <w:pStyle w:val="Compact"/>
              <w:spacing w:after="40"/>
              <w:jc w:val="left"/>
            </w:pPr>
            <w:r>
              <w:rPr>
                <w:sz w:val="18"/>
              </w:rPr>
              <w:t xml:space="preserve">PTC or securitisation note</w:t>
            </w:r>
          </w:p>
        </w:tc>
        <w:tc>
          <w:tcPr>
            <w:tcW w:w="2295" w:type="dxa"/>
          </w:tcPr>
          <w:p>
            <w:pPr>
              <w:pStyle w:val="Compact"/>
              <w:spacing w:after="40"/>
              <w:jc w:val="left"/>
            </w:pPr>
            <w:r>
              <w:rPr>
                <w:sz w:val="18"/>
              </w:rPr>
              <w:t xml:space="preserve">Debentures and bonds</w:t>
            </w:r>
          </w:p>
        </w:tc>
        <w:tc>
          <w:tcPr>
            <w:tcW w:w="2846" w:type="dxa"/>
          </w:tcPr>
          <w:p>
            <w:pPr>
              <w:pStyle w:val="Compact"/>
              <w:spacing w:after="40"/>
              <w:jc w:val="left"/>
            </w:pPr>
            <w:r>
              <w:rPr>
                <w:sz w:val="18"/>
              </w:rPr>
              <w:t xml:space="preserve">—</w:t>
            </w:r>
          </w:p>
        </w:tc>
        <w:tc>
          <w:tcPr>
            <w:tcW w:w="2407" w:type="dxa"/>
          </w:tcPr>
          <w:p>
            <w:pPr>
              <w:pStyle w:val="Compact"/>
              <w:spacing w:after="40"/>
              <w:jc w:val="left"/>
            </w:pPr>
            <w:r>
              <w:rPr>
                <w:sz w:val="18"/>
              </w:rPr>
              <w:t xml:space="preserve">per SPPI look-through (contractually linked)</w:t>
            </w:r>
          </w:p>
        </w:tc>
      </w:tr>
    </w:tbl>
    <w:bookmarkEnd w:id="601"/>
    <w:bookmarkStart w:id="602" w:name="iv1.2-issuer-and-counterparty-master"/>
    <w:p>
      <w:pPr>
        <w:pStyle w:val="Heading3"/>
      </w:pPr>
      <w:r>
        <w:t xml:space="preserve">IV1.2 Issuer and counterparty master</w:t>
      </w:r>
    </w:p>
    <w:p>
      <w:pPr>
        <w:pStyle w:val="FirstParagraph"/>
      </w:pPr>
      <w:r>
        <w:t xml:space="preserve">CIN, LEI, PAN, listing, group membership (SBR group definitions), subsidiary or associate or joint venture of the tenant, related party (Part 7F GV1), sponsor link (for ARC rules), promoter group of any borrower, rating.</w:t>
      </w:r>
      <w:r>
        <w:t xml:space="preserve"> </w:t>
      </w:r>
      <w:r>
        <w:rPr>
          <w:bCs/>
          <w:b/>
        </w:rPr>
        <w:t xml:space="preserve">Debtor-company flag</w:t>
      </w:r>
      <w:r>
        <w:t xml:space="preserve"> </w:t>
      </w:r>
      <w:r>
        <w:t xml:space="preserve">= the tenant had a loan or non-equity investment exposure to the company at any time in the preceding 12 months (RBI-AIF para 4), recomputed daily from the loan book and holdings.</w:t>
      </w:r>
    </w:p>
    <w:bookmarkEnd w:id="602"/>
    <w:bookmarkStart w:id="603" w:name="iv1.3-market-data-and-licence-register"/>
    <w:p>
      <w:pPr>
        <w:pStyle w:val="Heading3"/>
      </w:pPr>
      <w:r>
        <w:t xml:space="preserve">IV1.3 Market data and licence register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57"/>
        <w:gridCol w:w="2205"/>
        <w:gridCol w:w="1382"/>
        <w:gridCol w:w="3694"/>
      </w:tblGrid>
      <w:tr>
        <w:trPr>
          <w:tblHeader w:val="true"/>
          <w:tblHeader w:val="true"/>
        </w:trPr>
        <w:tc>
          <w:tcPr>
            <w:tcW w:w="2357" w:type="dxa"/>
            <w:shd w:val="clear" w:color="auto" w:fill="1F3A5F"/>
          </w:tcPr>
          <w:p>
            <w:pPr>
              <w:pStyle w:val="Compact"/>
              <w:spacing w:after="40"/>
              <w:jc w:val="left"/>
            </w:pPr>
            <w:r>
              <w:rPr>
                <w:b/>
                <w:color w:val="FFFFFF"/>
                <w:sz w:val="18"/>
              </w:rPr>
              <w:t xml:space="preserve">Source</w:t>
            </w:r>
          </w:p>
        </w:tc>
        <w:tc>
          <w:tcPr>
            <w:tcW w:w="2205" w:type="dxa"/>
            <w:shd w:val="clear" w:color="auto" w:fill="1F3A5F"/>
          </w:tcPr>
          <w:p>
            <w:pPr>
              <w:pStyle w:val="Compact"/>
              <w:spacing w:after="40"/>
              <w:jc w:val="left"/>
            </w:pPr>
            <w:r>
              <w:rPr>
                <w:b/>
                <w:color w:val="FFFFFF"/>
                <w:sz w:val="18"/>
              </w:rPr>
              <w:t xml:space="preserve">Data</w:t>
            </w:r>
          </w:p>
        </w:tc>
        <w:tc>
          <w:tcPr>
            <w:tcW w:w="1382" w:type="dxa"/>
            <w:shd w:val="clear" w:color="auto" w:fill="1F3A5F"/>
          </w:tcPr>
          <w:p>
            <w:pPr>
              <w:pStyle w:val="Compact"/>
              <w:spacing w:after="40"/>
              <w:jc w:val="left"/>
            </w:pPr>
            <w:r>
              <w:rPr>
                <w:b/>
                <w:color w:val="FFFFFF"/>
                <w:sz w:val="18"/>
              </w:rPr>
              <w:t xml:space="preserve">Frequency</w:t>
            </w:r>
          </w:p>
        </w:tc>
        <w:tc>
          <w:tcPr>
            <w:tcW w:w="3694" w:type="dxa"/>
            <w:shd w:val="clear" w:color="auto" w:fill="1F3A5F"/>
          </w:tcPr>
          <w:p>
            <w:pPr>
              <w:pStyle w:val="Compact"/>
              <w:spacing w:after="40"/>
              <w:jc w:val="left"/>
            </w:pPr>
            <w:r>
              <w:rPr>
                <w:b/>
                <w:color w:val="FFFFFF"/>
                <w:sz w:val="18"/>
              </w:rPr>
              <w:t xml:space="preserve">Licence rule</w:t>
            </w:r>
          </w:p>
        </w:tc>
      </w:tr>
      <w:tr>
        <w:tc>
          <w:tcPr>
            <w:tcW w:w="2357" w:type="dxa"/>
          </w:tcPr>
          <w:p>
            <w:pPr>
              <w:pStyle w:val="Compact"/>
              <w:spacing w:after="40"/>
              <w:jc w:val="left"/>
            </w:pPr>
            <w:r>
              <w:rPr>
                <w:sz w:val="18"/>
              </w:rPr>
              <w:t xml:space="preserve">NSE and BSE end-of-day files (bhavcopy), corporate announcements</w:t>
            </w:r>
          </w:p>
        </w:tc>
        <w:tc>
          <w:tcPr>
            <w:tcW w:w="2205" w:type="dxa"/>
          </w:tcPr>
          <w:p>
            <w:pPr>
              <w:pStyle w:val="Compact"/>
              <w:spacing w:after="40"/>
              <w:jc w:val="left"/>
            </w:pPr>
            <w:r>
              <w:rPr>
                <w:sz w:val="18"/>
              </w:rPr>
              <w:t xml:space="preserve">prices, corporate actions</w:t>
            </w:r>
          </w:p>
        </w:tc>
        <w:tc>
          <w:tcPr>
            <w:tcW w:w="1382" w:type="dxa"/>
          </w:tcPr>
          <w:p>
            <w:pPr>
              <w:pStyle w:val="Compact"/>
              <w:spacing w:after="40"/>
              <w:jc w:val="left"/>
            </w:pPr>
            <w:r>
              <w:rPr>
                <w:sz w:val="18"/>
              </w:rPr>
              <w:t xml:space="preserve">daily</w:t>
            </w:r>
          </w:p>
        </w:tc>
        <w:tc>
          <w:tcPr>
            <w:tcW w:w="3694" w:type="dxa"/>
          </w:tcPr>
          <w:p>
            <w:pPr>
              <w:pStyle w:val="Compact"/>
              <w:spacing w:after="40"/>
              <w:jc w:val="left"/>
            </w:pPr>
            <w:r>
              <w:rPr>
                <w:sz w:val="18"/>
              </w:rPr>
              <w:t xml:space="preserve">free download is for viewing; commercial use inside a SaaS and any redistribution need an exchange data licence [VERIFY current terms]; licence ID per tenant</w:t>
            </w:r>
          </w:p>
        </w:tc>
      </w:tr>
      <w:tr>
        <w:tc>
          <w:tcPr>
            <w:tcW w:w="2357" w:type="dxa"/>
          </w:tcPr>
          <w:p>
            <w:pPr>
              <w:pStyle w:val="Compact"/>
              <w:spacing w:after="40"/>
              <w:jc w:val="left"/>
            </w:pPr>
            <w:r>
              <w:rPr>
                <w:sz w:val="18"/>
              </w:rPr>
              <w:t xml:space="preserve">AMFI</w:t>
            </w:r>
          </w:p>
        </w:tc>
        <w:tc>
          <w:tcPr>
            <w:tcW w:w="2205" w:type="dxa"/>
          </w:tcPr>
          <w:p>
            <w:pPr>
              <w:pStyle w:val="Compact"/>
              <w:spacing w:after="40"/>
              <w:jc w:val="left"/>
            </w:pPr>
            <w:r>
              <w:rPr>
                <w:sz w:val="18"/>
              </w:rPr>
              <w:t xml:space="preserve">MF NAV; market-cap categorisation list</w:t>
            </w:r>
          </w:p>
        </w:tc>
        <w:tc>
          <w:tcPr>
            <w:tcW w:w="1382" w:type="dxa"/>
          </w:tcPr>
          <w:p>
            <w:pPr>
              <w:pStyle w:val="Compact"/>
              <w:spacing w:after="40"/>
              <w:jc w:val="left"/>
            </w:pPr>
            <w:r>
              <w:rPr>
                <w:sz w:val="18"/>
              </w:rPr>
              <w:t xml:space="preserve">daily; half-yearly</w:t>
            </w:r>
          </w:p>
        </w:tc>
        <w:tc>
          <w:tcPr>
            <w:tcW w:w="3694" w:type="dxa"/>
          </w:tcPr>
          <w:p>
            <w:pPr>
              <w:pStyle w:val="Compact"/>
              <w:spacing w:after="40"/>
              <w:jc w:val="left"/>
            </w:pPr>
            <w:r>
              <w:rPr>
                <w:sz w:val="18"/>
              </w:rPr>
              <w:t xml:space="preserve">per AMFI terms [VERIFY]</w:t>
            </w:r>
          </w:p>
        </w:tc>
      </w:tr>
      <w:tr>
        <w:tc>
          <w:tcPr>
            <w:tcW w:w="2357" w:type="dxa"/>
          </w:tcPr>
          <w:p>
            <w:pPr>
              <w:pStyle w:val="Compact"/>
              <w:spacing w:after="40"/>
              <w:jc w:val="left"/>
            </w:pPr>
            <w:r>
              <w:rPr>
                <w:sz w:val="18"/>
              </w:rPr>
              <w:t xml:space="preserve">Credit rating agencies</w:t>
            </w:r>
          </w:p>
        </w:tc>
        <w:tc>
          <w:tcPr>
            <w:tcW w:w="2205" w:type="dxa"/>
          </w:tcPr>
          <w:p>
            <w:pPr>
              <w:pStyle w:val="Compact"/>
              <w:spacing w:after="40"/>
              <w:jc w:val="left"/>
            </w:pPr>
            <w:r>
              <w:rPr>
                <w:sz w:val="18"/>
              </w:rPr>
              <w:t xml:space="preserve">ratings, outlooks</w:t>
            </w:r>
          </w:p>
        </w:tc>
        <w:tc>
          <w:tcPr>
            <w:tcW w:w="1382" w:type="dxa"/>
          </w:tcPr>
          <w:p>
            <w:pPr>
              <w:pStyle w:val="Compact"/>
              <w:spacing w:after="40"/>
              <w:jc w:val="left"/>
            </w:pPr>
            <w:r>
              <w:rPr>
                <w:sz w:val="18"/>
              </w:rPr>
              <w:t xml:space="preserve">event</w:t>
            </w:r>
          </w:p>
        </w:tc>
        <w:tc>
          <w:tcPr>
            <w:tcW w:w="3694" w:type="dxa"/>
          </w:tcPr>
          <w:p>
            <w:pPr>
              <w:pStyle w:val="Compact"/>
              <w:spacing w:after="40"/>
              <w:jc w:val="left"/>
            </w:pPr>
            <w:r>
              <w:rPr>
                <w:sz w:val="18"/>
              </w:rPr>
              <w:t xml:space="preserve">CRA licence per tenant for bulk feeds</w:t>
            </w:r>
          </w:p>
        </w:tc>
      </w:tr>
      <w:tr>
        <w:tc>
          <w:tcPr>
            <w:tcW w:w="2357" w:type="dxa"/>
          </w:tcPr>
          <w:p>
            <w:pPr>
              <w:pStyle w:val="Compact"/>
              <w:spacing w:after="40"/>
              <w:jc w:val="left"/>
            </w:pPr>
            <w:r>
              <w:rPr>
                <w:sz w:val="18"/>
              </w:rPr>
              <w:t xml:space="preserve">Bond and G-sec valuation provider</w:t>
            </w:r>
          </w:p>
        </w:tc>
        <w:tc>
          <w:tcPr>
            <w:tcW w:w="2205" w:type="dxa"/>
          </w:tcPr>
          <w:p>
            <w:pPr>
              <w:pStyle w:val="Compact"/>
              <w:spacing w:after="40"/>
              <w:jc w:val="left"/>
            </w:pPr>
            <w:r>
              <w:rPr>
                <w:sz w:val="18"/>
              </w:rPr>
              <w:t xml:space="preserve">valuation prices</w:t>
            </w:r>
          </w:p>
        </w:tc>
        <w:tc>
          <w:tcPr>
            <w:tcW w:w="1382" w:type="dxa"/>
          </w:tcPr>
          <w:p>
            <w:pPr>
              <w:pStyle w:val="Compact"/>
              <w:spacing w:after="40"/>
              <w:jc w:val="left"/>
            </w:pPr>
            <w:r>
              <w:rPr>
                <w:sz w:val="18"/>
              </w:rPr>
              <w:t xml:space="preserve">daily</w:t>
            </w:r>
          </w:p>
        </w:tc>
        <w:tc>
          <w:tcPr>
            <w:tcW w:w="3694" w:type="dxa"/>
          </w:tcPr>
          <w:p>
            <w:pPr>
              <w:pStyle w:val="Compact"/>
              <w:spacing w:after="40"/>
              <w:jc w:val="left"/>
            </w:pPr>
            <w:r>
              <w:rPr>
                <w:sz w:val="18"/>
              </w:rPr>
              <w:t xml:space="preserve">provider licence [VERIFY provider]</w:t>
            </w:r>
          </w:p>
        </w:tc>
      </w:tr>
      <w:tr>
        <w:tc>
          <w:tcPr>
            <w:tcW w:w="2357" w:type="dxa"/>
          </w:tcPr>
          <w:p>
            <w:pPr>
              <w:pStyle w:val="Compact"/>
              <w:spacing w:after="40"/>
              <w:jc w:val="left"/>
            </w:pPr>
            <w:r>
              <w:rPr>
                <w:sz w:val="18"/>
              </w:rPr>
              <w:t xml:space="preserve">Depositories (NSDL, CDSL), RTAs</w:t>
            </w:r>
          </w:p>
        </w:tc>
        <w:tc>
          <w:tcPr>
            <w:tcW w:w="2205" w:type="dxa"/>
          </w:tcPr>
          <w:p>
            <w:pPr>
              <w:pStyle w:val="Compact"/>
              <w:spacing w:after="40"/>
              <w:jc w:val="left"/>
            </w:pPr>
            <w:r>
              <w:rPr>
                <w:sz w:val="18"/>
              </w:rPr>
              <w:t xml:space="preserve">holding statements</w:t>
            </w:r>
          </w:p>
        </w:tc>
        <w:tc>
          <w:tcPr>
            <w:tcW w:w="1382" w:type="dxa"/>
          </w:tcPr>
          <w:p>
            <w:pPr>
              <w:pStyle w:val="Compact"/>
              <w:spacing w:after="40"/>
              <w:jc w:val="left"/>
            </w:pPr>
            <w:r>
              <w:rPr>
                <w:sz w:val="18"/>
              </w:rPr>
              <w:t xml:space="preserve">daily or monthly</w:t>
            </w:r>
          </w:p>
        </w:tc>
        <w:tc>
          <w:tcPr>
            <w:tcW w:w="3694" w:type="dxa"/>
          </w:tcPr>
          <w:p>
            <w:pPr>
              <w:pStyle w:val="Compact"/>
              <w:spacing w:after="40"/>
              <w:jc w:val="left"/>
            </w:pPr>
            <w:r>
              <w:rPr>
                <w:sz w:val="18"/>
              </w:rPr>
              <w:t xml:space="preserve">tenant’s own data</w:t>
            </w:r>
          </w:p>
        </w:tc>
      </w:tr>
      <w:tr>
        <w:tc>
          <w:tcPr>
            <w:tcW w:w="2357" w:type="dxa"/>
          </w:tcPr>
          <w:p>
            <w:pPr>
              <w:pStyle w:val="Compact"/>
              <w:spacing w:after="40"/>
              <w:jc w:val="left"/>
            </w:pPr>
            <w:r>
              <w:rPr>
                <w:sz w:val="18"/>
              </w:rPr>
              <w:t xml:space="preserve">AIF managers, ARCs</w:t>
            </w:r>
          </w:p>
        </w:tc>
        <w:tc>
          <w:tcPr>
            <w:tcW w:w="2205" w:type="dxa"/>
          </w:tcPr>
          <w:p>
            <w:pPr>
              <w:pStyle w:val="Compact"/>
              <w:spacing w:after="40"/>
              <w:jc w:val="left"/>
            </w:pPr>
            <w:r>
              <w:rPr>
                <w:sz w:val="18"/>
              </w:rPr>
              <w:t xml:space="preserve">capital-account statements, NAV, portfolio files, SR NAV</w:t>
            </w:r>
          </w:p>
        </w:tc>
        <w:tc>
          <w:tcPr>
            <w:tcW w:w="1382" w:type="dxa"/>
          </w:tcPr>
          <w:p>
            <w:pPr>
              <w:pStyle w:val="Compact"/>
              <w:spacing w:after="40"/>
              <w:jc w:val="left"/>
            </w:pPr>
            <w:r>
              <w:rPr>
                <w:sz w:val="18"/>
              </w:rPr>
              <w:t xml:space="preserve">quarterly; half-yearly</w:t>
            </w:r>
          </w:p>
        </w:tc>
        <w:tc>
          <w:tcPr>
            <w:tcW w:w="3694" w:type="dxa"/>
          </w:tcPr>
          <w:p>
            <w:pPr>
              <w:pStyle w:val="Compact"/>
              <w:spacing w:after="40"/>
              <w:jc w:val="left"/>
            </w:pPr>
            <w:r>
              <w:rPr>
                <w:sz w:val="18"/>
              </w:rPr>
              <w:t xml:space="preserve">tenant’s own data</w:t>
            </w:r>
          </w:p>
        </w:tc>
      </w:tr>
    </w:tbl>
    <w:p>
      <w:pPr>
        <w:numPr>
          <w:ilvl w:val="0"/>
          <w:numId w:val="1499"/>
        </w:numPr>
        <w:pStyle w:val="Compact"/>
      </w:pPr>
      <w:r>
        <w:rPr>
          <w:rStyle w:val="VerbatimChar"/>
        </w:rPr>
        <w:t xml:space="preserve">market_data_licence</w:t>
      </w:r>
      <w:r>
        <w:t xml:space="preserve"> </w:t>
      </w:r>
      <w:r>
        <w:t xml:space="preserve">(tenant, source, scope view/internal-use/redistribution, start, expiry, evidence). An import from a source without a valid licence is refused; expiry 30 days ahead raises a task.</w:t>
      </w:r>
    </w:p>
    <w:p>
      <w:pPr>
        <w:numPr>
          <w:ilvl w:val="0"/>
          <w:numId w:val="1499"/>
        </w:numPr>
        <w:pStyle w:val="Compact"/>
      </w:pPr>
      <w:r>
        <w:rPr>
          <w:bCs/>
          <w:b/>
        </w:rPr>
        <w:t xml:space="preserve">Price waterfall:</w:t>
      </w:r>
      <w:r>
        <w:t xml:space="preserve"> </w:t>
      </w:r>
      <w:r>
        <w:t xml:space="preserve">exchange close → secondary exchange → valuation provider → last traded with</w:t>
      </w:r>
      <w:r>
        <w:t xml:space="preserve"> </w:t>
      </w:r>
      <w:r>
        <w:rPr>
          <w:rStyle w:val="VerbatimChar"/>
        </w:rPr>
        <w:t xml:space="preserve">stale</w:t>
      </w:r>
      <w:r>
        <w:t xml:space="preserve"> </w:t>
      </w:r>
      <w:r>
        <w:t xml:space="preserve">flag → manual price (maker-checker, evidence attached). Listed equity is stale after 1 business day; stale prices cannot be used for month-end valuation without CFO override.</w:t>
      </w:r>
    </w:p>
    <w:p>
      <w:pPr>
        <w:numPr>
          <w:ilvl w:val="0"/>
          <w:numId w:val="1499"/>
        </w:numPr>
        <w:pStyle w:val="Compact"/>
      </w:pPr>
      <w:r>
        <w:t xml:space="preserve">Exports to auditors and RBI include prices the tenant is licensed to share; GR-7H-03 strips other vendor data from client-facing exports.</w:t>
      </w:r>
    </w:p>
    <w:bookmarkEnd w:id="603"/>
    <w:bookmarkStart w:id="604" w:name="iv1.4-market-cap-categorisation"/>
    <w:p>
      <w:pPr>
        <w:pStyle w:val="Heading3"/>
      </w:pPr>
      <w:r>
        <w:t xml:space="preserve">IV1.4 Market-cap categorisation</w:t>
      </w:r>
    </w:p>
    <w:p>
      <w:pPr>
        <w:numPr>
          <w:ilvl w:val="0"/>
          <w:numId w:val="1500"/>
        </w:numPr>
        <w:pStyle w:val="Compact"/>
      </w:pPr>
      <w:r>
        <w:t xml:space="preserve">Large cap = 1st–100th, mid cap = 101st–250th, small cap = 251st onward by full market capitalisation (SEBI circular SEBI/HO/IMD/DF3/CIR/P/2017/114, 6 Oct 2017). SEBI’s revised categorisation circular of 26 Feb 2026 supersedes Master Circular clause 2.6 [VERIFY: whether the 100/250 cut-offs are unchanged].</w:t>
      </w:r>
    </w:p>
    <w:p>
      <w:pPr>
        <w:numPr>
          <w:ilvl w:val="0"/>
          <w:numId w:val="1500"/>
        </w:numPr>
        <w:pStyle w:val="Compact"/>
      </w:pPr>
      <w:r>
        <w:t xml:space="preserve">AMFI publishes the list</w:t>
      </w:r>
      <w:r>
        <w:t xml:space="preserve"> </w:t>
      </w:r>
      <w:r>
        <w:rPr>
          <w:bCs/>
          <w:b/>
        </w:rPr>
        <w:t xml:space="preserve">half-yearly</w:t>
      </w:r>
      <w:r>
        <w:t xml:space="preserve"> </w:t>
      </w:r>
      <w:r>
        <w:t xml:space="preserve">using six-month average full market capitalisation across BSE, NSE and MSEI; the latest covers the period ended 30 Jun 2026.</w:t>
      </w:r>
    </w:p>
    <w:p>
      <w:pPr>
        <w:numPr>
          <w:ilvl w:val="0"/>
          <w:numId w:val="1500"/>
        </w:numPr>
        <w:pStyle w:val="Compact"/>
      </w:pPr>
      <w:r>
        <w:t xml:space="preserve">Each list is stored as an effective-dated version from the date AMFI states; history retained; holdings and limits can be reported</w:t>
      </w:r>
      <w:r>
        <w:t xml:space="preserve"> </w:t>
      </w:r>
      <w:r>
        <w:t xml:space="preserve">“</w:t>
      </w:r>
      <w:r>
        <w:t xml:space="preserve">as of</w:t>
      </w:r>
      <w:r>
        <w:t xml:space="preserve">”</w:t>
      </w:r>
      <w:r>
        <w:t xml:space="preserve"> </w:t>
      </w:r>
      <w:r>
        <w:t xml:space="preserve">any date. Unlisted and SME-platform securities carry their own buckets (</w:t>
      </w:r>
      <w:r>
        <w:rPr>
          <w:rStyle w:val="VerbatimChar"/>
        </w:rPr>
        <w:t xml:space="preserve">UNLISTED</w:t>
      </w:r>
      <w:r>
        <w:t xml:space="preserve">,</w:t>
      </w:r>
      <w:r>
        <w:t xml:space="preserve"> </w:t>
      </w:r>
      <w:r>
        <w:rPr>
          <w:rStyle w:val="VerbatimChar"/>
        </w:rPr>
        <w:t xml:space="preserve">SME</w:t>
      </w:r>
      <w:r>
        <w:t xml:space="preserve">).</w:t>
      </w:r>
    </w:p>
    <w:p>
      <w:pPr>
        <w:numPr>
          <w:ilvl w:val="0"/>
          <w:numId w:val="1500"/>
        </w:numPr>
        <w:pStyle w:val="Compact"/>
      </w:pPr>
      <w:r>
        <w:t xml:space="preserve">Board limits by bucket (for example small-cap ≤ x% of the equity book) run in IV5.4.</w:t>
      </w:r>
    </w:p>
    <w:bookmarkEnd w:id="604"/>
    <w:bookmarkStart w:id="605" w:name="iv1.5-classification-at-acquisition"/>
    <w:p>
      <w:pPr>
        <w:pStyle w:val="Heading3"/>
      </w:pPr>
      <w:r>
        <w:t xml:space="preserve">IV1.5 Classification at acquisition</w:t>
      </w:r>
    </w:p>
    <w:p>
      <w:pPr>
        <w:numPr>
          <w:ilvl w:val="0"/>
          <w:numId w:val="1501"/>
        </w:numPr>
        <w:pStyle w:val="Compact"/>
      </w:pPr>
      <w:r>
        <w:rPr>
          <w:bCs/>
          <w:b/>
        </w:rPr>
        <w:t xml:space="preserve">Ind AS:</w:t>
      </w:r>
      <w:r>
        <w:t xml:space="preserve"> </w:t>
      </w:r>
      <w:r>
        <w:t xml:space="preserve">business model per portfolio (hold to collect, hold to collect and sell, other) with documented evidence, plus an SPPI checklist per instrument (leverage, non-recourse, contractually linked tranches, prepayment and extension features, interest-rate mismatch); result AC, FVOCI-debt or FVTPL; equity FVOCI election per instrument, irrevocable, not for trading. Subsidiaries, associates and joint ventures: cost or Ind AS 109 in separate statements (Ind AS 27). Reclassification only on a change in business model [VERIFY Ind AS 109 paragraph numbers].</w:t>
      </w:r>
    </w:p>
    <w:p>
      <w:pPr>
        <w:numPr>
          <w:ilvl w:val="0"/>
          <w:numId w:val="1501"/>
        </w:numPr>
        <w:pStyle w:val="Compact"/>
      </w:pPr>
      <w:r>
        <w:rPr>
          <w:bCs/>
          <w:b/>
        </w:rPr>
        <w:t xml:space="preserve">AS:</w:t>
      </w:r>
      <w:r>
        <w:t xml:space="preserve"> </w:t>
      </w:r>
      <w:r>
        <w:t xml:space="preserve">current or long-term per Board policy, decided at acquisition (INV para 9); later transfers only under IV5.2.</w:t>
      </w:r>
    </w:p>
    <w:p>
      <w:pPr>
        <w:numPr>
          <w:ilvl w:val="0"/>
          <w:numId w:val="1501"/>
        </w:numPr>
        <w:pStyle w:val="Compact"/>
      </w:pPr>
      <w:r>
        <w:t xml:space="preserve">Captured on every acquisition: accounting regime, classification, purpose tag (strategic, liquidity, trading, hedge), approver, Board policy version. Classification fields lock after the first posting.</w:t>
      </w:r>
    </w:p>
    <w:bookmarkEnd w:id="605"/>
    <w:bookmarkStart w:id="606" w:name="acceptance-tests-47"/>
    <w:p>
      <w:pPr>
        <w:pStyle w:val="Heading3"/>
      </w:pPr>
      <w:r>
        <w:t xml:space="preserve">Acceptance tests</w:t>
      </w:r>
    </w:p>
    <w:p>
      <w:pPr>
        <w:numPr>
          <w:ilvl w:val="0"/>
          <w:numId w:val="1502"/>
        </w:numPr>
        <w:pStyle w:val="Compact"/>
      </w:pPr>
      <w:r>
        <w:t xml:space="preserve">Importing bhavcopy for a tenant with no exchange data licence → refused; with a licence expiring in 20 days → imported and a renewal task raised.</w:t>
      </w:r>
    </w:p>
    <w:p>
      <w:pPr>
        <w:numPr>
          <w:ilvl w:val="0"/>
          <w:numId w:val="1502"/>
        </w:numPr>
        <w:pStyle w:val="Compact"/>
      </w:pPr>
      <w:r>
        <w:t xml:space="preserve">AMFI list effective 1 Aug 2026 moves a stock from mid to small cap → holdings report as of 31 Jul shows mid, as of 1 Aug shows small.</w:t>
      </w:r>
    </w:p>
    <w:p>
      <w:pPr>
        <w:numPr>
          <w:ilvl w:val="0"/>
          <w:numId w:val="1502"/>
        </w:numPr>
        <w:pStyle w:val="Compact"/>
      </w:pPr>
      <w:r>
        <w:t xml:space="preserve">A CCD acquired by an Ind AS NBFC → SPPI fails → FVTPL; an attempt to elect FVOCI → refused (not equity).</w:t>
      </w:r>
    </w:p>
    <w:p>
      <w:pPr>
        <w:numPr>
          <w:ilvl w:val="0"/>
          <w:numId w:val="1502"/>
        </w:numPr>
        <w:pStyle w:val="Compact"/>
      </w:pPr>
      <w:r>
        <w:t xml:space="preserve">A listed equity price older than 1 business day at month-end → valuation run halts for that ISIN until a CFO override or a fresh price.</w:t>
      </w:r>
    </w:p>
    <w:p>
      <w:pPr>
        <w:numPr>
          <w:ilvl w:val="0"/>
          <w:numId w:val="1502"/>
        </w:numPr>
        <w:pStyle w:val="Compact"/>
      </w:pPr>
      <w:r>
        <w:t xml:space="preserve">A company with a term loan repaid 11 months ago → debtor-company flag true; 13 months ago → false.</w:t>
      </w:r>
    </w:p>
    <w:p>
      <w:r>
        <w:pict>
          <v:rect style="width:0;height:1.5pt" o:hralign="center" o:hrstd="t" o:hr="t"/>
        </w:pict>
      </w:r>
    </w:p>
    <w:bookmarkEnd w:id="606"/>
    <w:bookmarkEnd w:id="607"/>
    <w:bookmarkStart w:id="615" w:name="X371777e0372077bd24dae5b4bcb1308073ab1b3"/>
    <w:p>
      <w:pPr>
        <w:pStyle w:val="Heading2"/>
      </w:pPr>
      <w:r>
        <w:t xml:space="preserve">IV2. Trade capture, settlement, demat reconciliation and corporate actions</w:t>
      </w:r>
    </w:p>
    <w:bookmarkStart w:id="608" w:name="iv2.1-order-capture-gr-7h-01"/>
    <w:p>
      <w:pPr>
        <w:pStyle w:val="Heading3"/>
      </w:pPr>
      <w:r>
        <w:t xml:space="preserve">IV2.1 Order capture (GR-7H-01)</w:t>
      </w:r>
    </w:p>
    <w:p>
      <w:pPr>
        <w:pStyle w:val="FirstParagraph"/>
      </w:pPr>
      <w:r>
        <w:rPr>
          <w:bCs/>
          <w:b/>
        </w:rPr>
        <w:t xml:space="preserve">Flow:</w:t>
      </w:r>
      <w:r>
        <w:t xml:space="preserve"> </w:t>
      </w:r>
      <w:r>
        <w:t xml:space="preserve">order capture → limit and restricted-list checks → approval → execution by the broker outside Finbyx → contract-note import → matching, settlement and reconciliation.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33"/>
        <w:gridCol w:w="2865"/>
        <w:gridCol w:w="2664"/>
        <w:gridCol w:w="2876"/>
      </w:tblGrid>
      <w:tr>
        <w:trPr>
          <w:tblHeader w:val="true"/>
          <w:tblHeader w:val="true"/>
        </w:trPr>
        <w:tc>
          <w:tcPr>
            <w:tcW w:w="1233" w:type="dxa"/>
            <w:shd w:val="clear" w:color="auto" w:fill="1F3A5F"/>
          </w:tcPr>
          <w:p>
            <w:pPr>
              <w:pStyle w:val="Compact"/>
              <w:spacing w:after="40"/>
              <w:jc w:val="left"/>
            </w:pPr>
            <w:r>
              <w:rPr>
                <w:b/>
                <w:color w:val="FFFFFF"/>
                <w:sz w:val="18"/>
              </w:rPr>
              <w:t xml:space="preserve">State</w:t>
            </w:r>
          </w:p>
        </w:tc>
        <w:tc>
          <w:tcPr>
            <w:tcW w:w="2865" w:type="dxa"/>
            <w:shd w:val="clear" w:color="auto" w:fill="1F3A5F"/>
          </w:tcPr>
          <w:p>
            <w:pPr>
              <w:pStyle w:val="Compact"/>
              <w:spacing w:after="40"/>
              <w:jc w:val="left"/>
            </w:pPr>
            <w:r>
              <w:rPr>
                <w:b/>
                <w:color w:val="FFFFFF"/>
                <w:sz w:val="18"/>
              </w:rPr>
              <w:t xml:space="preserve">Entry condition</w:t>
            </w:r>
          </w:p>
        </w:tc>
        <w:tc>
          <w:tcPr>
            <w:tcW w:w="2664" w:type="dxa"/>
            <w:shd w:val="clear" w:color="auto" w:fill="1F3A5F"/>
          </w:tcPr>
          <w:p>
            <w:pPr>
              <w:pStyle w:val="Compact"/>
              <w:spacing w:after="40"/>
              <w:jc w:val="left"/>
            </w:pPr>
            <w:r>
              <w:rPr>
                <w:b/>
                <w:color w:val="FFFFFF"/>
                <w:sz w:val="18"/>
              </w:rPr>
              <w:t xml:space="preserve">Owner and allowed actions</w:t>
            </w:r>
          </w:p>
        </w:tc>
        <w:tc>
          <w:tcPr>
            <w:tcW w:w="2876" w:type="dxa"/>
            <w:shd w:val="clear" w:color="auto" w:fill="1F3A5F"/>
          </w:tcPr>
          <w:p>
            <w:pPr>
              <w:pStyle w:val="Compact"/>
              <w:spacing w:after="40"/>
              <w:jc w:val="left"/>
            </w:pPr>
            <w:r>
              <w:rPr>
                <w:b/>
                <w:color w:val="FFFFFF"/>
                <w:sz w:val="18"/>
              </w:rPr>
              <w:t xml:space="preserve">Exit, timer and failure path</w:t>
            </w:r>
          </w:p>
        </w:tc>
      </w:tr>
      <w:tr>
        <w:tc>
          <w:tcPr>
            <w:tcW w:w="1233" w:type="dxa"/>
          </w:tcPr>
          <w:p>
            <w:pPr>
              <w:pStyle w:val="Compact"/>
              <w:spacing w:after="40"/>
              <w:jc w:val="left"/>
            </w:pPr>
            <w:r>
              <w:rPr>
                <w:rStyle w:val="VerbatimChar"/>
                <w:sz w:val="18"/>
              </w:rPr>
              <w:t xml:space="preserve">DRAFT</w:t>
            </w:r>
          </w:p>
        </w:tc>
        <w:tc>
          <w:tcPr>
            <w:tcW w:w="2865" w:type="dxa"/>
          </w:tcPr>
          <w:p>
            <w:pPr>
              <w:pStyle w:val="Compact"/>
              <w:spacing w:after="40"/>
              <w:jc w:val="left"/>
            </w:pPr>
            <w:r>
              <w:rPr>
                <w:sz w:val="18"/>
              </w:rPr>
              <w:t xml:space="preserve">Dealer creates a ticket (instrument, side, quantity, price limit or market, validity, purpose tag, broker, portfolio)</w:t>
            </w:r>
          </w:p>
        </w:tc>
        <w:tc>
          <w:tcPr>
            <w:tcW w:w="2664" w:type="dxa"/>
          </w:tcPr>
          <w:p>
            <w:pPr>
              <w:pStyle w:val="Compact"/>
              <w:spacing w:after="40"/>
              <w:jc w:val="left"/>
            </w:pPr>
            <w:r>
              <w:rPr>
                <w:sz w:val="18"/>
              </w:rPr>
              <w:t xml:space="preserve">Dealer: edit, delete, submit</w:t>
            </w:r>
          </w:p>
        </w:tc>
        <w:tc>
          <w:tcPr>
            <w:tcW w:w="2876" w:type="dxa"/>
          </w:tcPr>
          <w:p>
            <w:pPr>
              <w:pStyle w:val="Compact"/>
              <w:spacing w:after="40"/>
              <w:jc w:val="left"/>
            </w:pPr>
            <w:r>
              <w:rPr>
                <w:rStyle w:val="VerbatimChar"/>
                <w:sz w:val="18"/>
              </w:rPr>
              <w:t xml:space="preserve">PRE_TRADE_CHECKED</w:t>
            </w:r>
            <w:r>
              <w:rPr>
                <w:sz w:val="18"/>
              </w:rPr>
              <w:t xml:space="preserve"> </w:t>
            </w:r>
            <w:r>
              <w:rPr>
                <w:sz w:val="18"/>
              </w:rPr>
              <w:t xml:space="preserve">on submit; drafts older than 5 business days auto-archive</w:t>
            </w:r>
          </w:p>
        </w:tc>
      </w:tr>
      <w:tr>
        <w:tc>
          <w:tcPr>
            <w:tcW w:w="1233" w:type="dxa"/>
          </w:tcPr>
          <w:p>
            <w:pPr>
              <w:pStyle w:val="Compact"/>
              <w:spacing w:after="40"/>
              <w:jc w:val="left"/>
            </w:pPr>
            <w:r>
              <w:rPr>
                <w:rStyle w:val="VerbatimChar"/>
                <w:sz w:val="18"/>
              </w:rPr>
              <w:t xml:space="preserve">PRE_TRADE_CHECKED</w:t>
            </w:r>
          </w:p>
        </w:tc>
        <w:tc>
          <w:tcPr>
            <w:tcW w:w="2865" w:type="dxa"/>
          </w:tcPr>
          <w:p>
            <w:pPr>
              <w:pStyle w:val="Compact"/>
              <w:spacing w:after="40"/>
              <w:jc w:val="left"/>
            </w:pPr>
            <w:r>
              <w:rPr>
                <w:sz w:val="18"/>
              </w:rPr>
              <w:t xml:space="preserve">All IV2.2 checks run on the current snapshot; results stored</w:t>
            </w:r>
          </w:p>
        </w:tc>
        <w:tc>
          <w:tcPr>
            <w:tcW w:w="2664" w:type="dxa"/>
          </w:tcPr>
          <w:p>
            <w:pPr>
              <w:pStyle w:val="Compact"/>
              <w:spacing w:after="40"/>
              <w:jc w:val="left"/>
            </w:pPr>
            <w:r>
              <w:rPr>
                <w:sz w:val="18"/>
              </w:rPr>
              <w:t xml:space="preserve">Dealer: withdraw; next level: reasoned override of a soft fail</w:t>
            </w:r>
          </w:p>
        </w:tc>
        <w:tc>
          <w:tcPr>
            <w:tcW w:w="2876" w:type="dxa"/>
          </w:tcPr>
          <w:p>
            <w:pPr>
              <w:pStyle w:val="Compact"/>
              <w:spacing w:after="40"/>
              <w:jc w:val="left"/>
            </w:pPr>
            <w:r>
              <w:rPr>
                <w:rStyle w:val="VerbatimChar"/>
                <w:sz w:val="18"/>
              </w:rPr>
              <w:t xml:space="preserve">PENDING_APPROVAL</w:t>
            </w:r>
            <w:r>
              <w:rPr>
                <w:sz w:val="18"/>
              </w:rPr>
              <w:t xml:space="preserve"> </w:t>
            </w:r>
            <w:r>
              <w:rPr>
                <w:sz w:val="18"/>
              </w:rPr>
              <w:t xml:space="preserve">if no hard fail;</w:t>
            </w:r>
            <w:r>
              <w:rPr>
                <w:sz w:val="18"/>
              </w:rPr>
              <w:t xml:space="preserve"> </w:t>
            </w:r>
            <w:r>
              <w:rPr>
                <w:rStyle w:val="VerbatimChar"/>
                <w:sz w:val="18"/>
              </w:rPr>
              <w:t xml:space="preserve">REJECTED_BY_CHECK</w:t>
            </w:r>
            <w:r>
              <w:rPr>
                <w:sz w:val="18"/>
              </w:rPr>
              <w:t xml:space="preserve"> </w:t>
            </w:r>
            <w:r>
              <w:rPr>
                <w:sz w:val="18"/>
              </w:rPr>
              <w:t xml:space="preserve">(hard fail, reason codes)</w:t>
            </w:r>
          </w:p>
        </w:tc>
      </w:tr>
      <w:tr>
        <w:tc>
          <w:tcPr>
            <w:tcW w:w="1233" w:type="dxa"/>
          </w:tcPr>
          <w:p>
            <w:pPr>
              <w:pStyle w:val="Compact"/>
              <w:spacing w:after="40"/>
              <w:jc w:val="left"/>
            </w:pPr>
            <w:r>
              <w:rPr>
                <w:rStyle w:val="VerbatimChar"/>
                <w:sz w:val="18"/>
              </w:rPr>
              <w:t xml:space="preserve">PENDING_APPROVAL</w:t>
            </w:r>
          </w:p>
        </w:tc>
        <w:tc>
          <w:tcPr>
            <w:tcW w:w="2865" w:type="dxa"/>
          </w:tcPr>
          <w:p>
            <w:pPr>
              <w:pStyle w:val="Compact"/>
              <w:spacing w:after="40"/>
              <w:jc w:val="left"/>
            </w:pPr>
            <w:r>
              <w:rPr>
                <w:sz w:val="18"/>
              </w:rPr>
              <w:t xml:space="preserve">Routed by DoA band</w:t>
            </w:r>
          </w:p>
        </w:tc>
        <w:tc>
          <w:tcPr>
            <w:tcW w:w="2664" w:type="dxa"/>
          </w:tcPr>
          <w:p>
            <w:pPr>
              <w:pStyle w:val="Compact"/>
              <w:spacing w:after="40"/>
              <w:jc w:val="left"/>
            </w:pPr>
            <w:r>
              <w:rPr>
                <w:sz w:val="18"/>
              </w:rPr>
              <w:t xml:space="preserve">Approver (never the dealer): approve, reject, send back</w:t>
            </w:r>
          </w:p>
        </w:tc>
        <w:tc>
          <w:tcPr>
            <w:tcW w:w="2876" w:type="dxa"/>
          </w:tcPr>
          <w:p>
            <w:pPr>
              <w:pStyle w:val="Compact"/>
              <w:spacing w:after="40"/>
              <w:jc w:val="left"/>
            </w:pPr>
            <w:r>
              <w:rPr>
                <w:rStyle w:val="VerbatimChar"/>
                <w:sz w:val="18"/>
              </w:rPr>
              <w:t xml:space="preserve">APPROVED</w:t>
            </w:r>
            <w:r>
              <w:rPr>
                <w:sz w:val="18"/>
              </w:rPr>
              <w:t xml:space="preserve">;</w:t>
            </w:r>
            <w:r>
              <w:rPr>
                <w:sz w:val="18"/>
              </w:rPr>
              <w:t xml:space="preserve"> </w:t>
            </w:r>
            <w:r>
              <w:rPr>
                <w:rStyle w:val="VerbatimChar"/>
                <w:sz w:val="18"/>
              </w:rPr>
              <w:t xml:space="preserve">REJECTED</w:t>
            </w:r>
            <w:r>
              <w:rPr>
                <w:sz w:val="18"/>
              </w:rPr>
              <w:t xml:space="preserve">;</w:t>
            </w:r>
            <w:r>
              <w:rPr>
                <w:sz w:val="18"/>
              </w:rPr>
              <w:t xml:space="preserve"> </w:t>
            </w:r>
            <w:r>
              <w:rPr>
                <w:rStyle w:val="VerbatimChar"/>
                <w:sz w:val="18"/>
              </w:rPr>
              <w:t xml:space="preserve">DRAFT</w:t>
            </w:r>
            <w:r>
              <w:rPr>
                <w:sz w:val="18"/>
              </w:rPr>
              <w:t xml:space="preserve"> </w:t>
            </w:r>
            <w:r>
              <w:rPr>
                <w:sz w:val="18"/>
              </w:rPr>
              <w:t xml:space="preserve">on send-back; checks re-run if the approval comes after the snapshot is 30 minutes old or the next business day</w:t>
            </w:r>
          </w:p>
        </w:tc>
      </w:tr>
      <w:tr>
        <w:tc>
          <w:tcPr>
            <w:tcW w:w="1233" w:type="dxa"/>
          </w:tcPr>
          <w:p>
            <w:pPr>
              <w:pStyle w:val="Compact"/>
              <w:spacing w:after="40"/>
              <w:jc w:val="left"/>
            </w:pPr>
            <w:r>
              <w:rPr>
                <w:rStyle w:val="VerbatimChar"/>
                <w:sz w:val="18"/>
              </w:rPr>
              <w:t xml:space="preserve">APPROVED</w:t>
            </w:r>
          </w:p>
        </w:tc>
        <w:tc>
          <w:tcPr>
            <w:tcW w:w="2865" w:type="dxa"/>
          </w:tcPr>
          <w:p>
            <w:pPr>
              <w:pStyle w:val="Compact"/>
              <w:spacing w:after="40"/>
              <w:jc w:val="left"/>
            </w:pPr>
            <w:r>
              <w:rPr>
                <w:sz w:val="18"/>
              </w:rPr>
              <w:t xml:space="preserve">Approval with DoA reference</w:t>
            </w:r>
          </w:p>
        </w:tc>
        <w:tc>
          <w:tcPr>
            <w:tcW w:w="2664" w:type="dxa"/>
          </w:tcPr>
          <w:p>
            <w:pPr>
              <w:pStyle w:val="Compact"/>
              <w:spacing w:after="40"/>
              <w:jc w:val="left"/>
            </w:pPr>
            <w:r>
              <w:rPr>
                <w:sz w:val="18"/>
              </w:rPr>
              <w:t xml:space="preserve">Dealer: record release; approver: revoke</w:t>
            </w:r>
          </w:p>
        </w:tc>
        <w:tc>
          <w:tcPr>
            <w:tcW w:w="2876" w:type="dxa"/>
          </w:tcPr>
          <w:p>
            <w:pPr>
              <w:pStyle w:val="Compact"/>
              <w:spacing w:after="40"/>
              <w:jc w:val="left"/>
            </w:pPr>
            <w:r>
              <w:rPr>
                <w:rStyle w:val="VerbatimChar"/>
                <w:sz w:val="18"/>
              </w:rPr>
              <w:t xml:space="preserve">RELEASED_TO_BROKER</w:t>
            </w:r>
            <w:r>
              <w:rPr>
                <w:sz w:val="18"/>
              </w:rPr>
              <w:t xml:space="preserve">;</w:t>
            </w:r>
            <w:r>
              <w:rPr>
                <w:sz w:val="18"/>
              </w:rPr>
              <w:t xml:space="preserve"> </w:t>
            </w:r>
            <w:r>
              <w:rPr>
                <w:rStyle w:val="VerbatimChar"/>
                <w:sz w:val="18"/>
              </w:rPr>
              <w:t xml:space="preserve">EXPIRED</w:t>
            </w:r>
            <w:r>
              <w:rPr>
                <w:sz w:val="18"/>
              </w:rPr>
              <w:t xml:space="preserve"> </w:t>
            </w:r>
            <w:r>
              <w:rPr>
                <w:sz w:val="18"/>
              </w:rPr>
              <w:t xml:space="preserve">at validity end;</w:t>
            </w:r>
            <w:r>
              <w:rPr>
                <w:sz w:val="18"/>
              </w:rPr>
              <w:t xml:space="preserve"> </w:t>
            </w:r>
            <w:r>
              <w:rPr>
                <w:rStyle w:val="VerbatimChar"/>
                <w:sz w:val="18"/>
              </w:rPr>
              <w:t xml:space="preserve">CANCELLED</w:t>
            </w:r>
            <w:r>
              <w:rPr>
                <w:sz w:val="18"/>
              </w:rPr>
              <w:t xml:space="preserve"> </w:t>
            </w:r>
            <w:r>
              <w:rPr>
                <w:sz w:val="18"/>
              </w:rPr>
              <w:t xml:space="preserve">on revoke</w:t>
            </w:r>
          </w:p>
        </w:tc>
      </w:tr>
      <w:tr>
        <w:tc>
          <w:tcPr>
            <w:tcW w:w="1233" w:type="dxa"/>
          </w:tcPr>
          <w:p>
            <w:pPr>
              <w:pStyle w:val="Compact"/>
              <w:spacing w:after="40"/>
              <w:jc w:val="left"/>
            </w:pPr>
            <w:r>
              <w:rPr>
                <w:rStyle w:val="VerbatimChar"/>
                <w:sz w:val="18"/>
              </w:rPr>
              <w:t xml:space="preserve">RELEASED_TO_BROKER</w:t>
            </w:r>
          </w:p>
        </w:tc>
        <w:tc>
          <w:tcPr>
            <w:tcW w:w="2865" w:type="dxa"/>
          </w:tcPr>
          <w:p>
            <w:pPr>
              <w:pStyle w:val="Compact"/>
              <w:spacing w:after="40"/>
              <w:jc w:val="left"/>
            </w:pPr>
            <w:r>
              <w:rPr>
                <w:sz w:val="18"/>
              </w:rPr>
              <w:t xml:space="preserve">Dealer records channel (broker terminal, recorded phone line with recording reference, broker portal), time and broker order number; Finbyx never transmits orders</w:t>
            </w:r>
          </w:p>
        </w:tc>
        <w:tc>
          <w:tcPr>
            <w:tcW w:w="2664" w:type="dxa"/>
          </w:tcPr>
          <w:p>
            <w:pPr>
              <w:pStyle w:val="Compact"/>
              <w:spacing w:after="40"/>
              <w:jc w:val="left"/>
            </w:pPr>
            <w:r>
              <w:rPr>
                <w:sz w:val="18"/>
              </w:rPr>
              <w:t xml:space="preserve">Dealer: record cancel or modify request sent to the broker (a modify that increases quantity or price beyond the approval needs a new order)</w:t>
            </w:r>
          </w:p>
        </w:tc>
        <w:tc>
          <w:tcPr>
            <w:tcW w:w="2876" w:type="dxa"/>
          </w:tcPr>
          <w:p>
            <w:pPr>
              <w:pStyle w:val="Compact"/>
              <w:spacing w:after="40"/>
              <w:jc w:val="left"/>
            </w:pPr>
            <w:r>
              <w:rPr>
                <w:rStyle w:val="VerbatimChar"/>
                <w:sz w:val="18"/>
              </w:rPr>
              <w:t xml:space="preserve">EXECUTED</w:t>
            </w:r>
            <w:r>
              <w:rPr>
                <w:sz w:val="18"/>
              </w:rPr>
              <w:t xml:space="preserve">,</w:t>
            </w:r>
            <w:r>
              <w:rPr>
                <w:sz w:val="18"/>
              </w:rPr>
              <w:t xml:space="preserve"> </w:t>
            </w:r>
            <w:r>
              <w:rPr>
                <w:rStyle w:val="VerbatimChar"/>
                <w:sz w:val="18"/>
              </w:rPr>
              <w:t xml:space="preserve">PARTIALLY_EXECUTED</w:t>
            </w:r>
            <w:r>
              <w:rPr>
                <w:sz w:val="18"/>
              </w:rPr>
              <w:t xml:space="preserve"> </w:t>
            </w:r>
            <w:r>
              <w:rPr>
                <w:sz w:val="18"/>
              </w:rPr>
              <w:t xml:space="preserve">or</w:t>
            </w:r>
            <w:r>
              <w:rPr>
                <w:sz w:val="18"/>
              </w:rPr>
              <w:t xml:space="preserve"> </w:t>
            </w:r>
            <w:r>
              <w:rPr>
                <w:rStyle w:val="VerbatimChar"/>
                <w:sz w:val="18"/>
              </w:rPr>
              <w:t xml:space="preserve">CANCELLED</w:t>
            </w:r>
            <w:r>
              <w:rPr>
                <w:sz w:val="18"/>
              </w:rPr>
              <w:t xml:space="preserve"> </w:t>
            </w:r>
            <w:r>
              <w:rPr>
                <w:sz w:val="18"/>
              </w:rPr>
              <w:t xml:space="preserve">from the contract note or broker confirmation;</w:t>
            </w:r>
            <w:r>
              <w:rPr>
                <w:sz w:val="18"/>
              </w:rPr>
              <w:t xml:space="preserve"> </w:t>
            </w:r>
            <w:r>
              <w:rPr>
                <w:rStyle w:val="VerbatimChar"/>
                <w:sz w:val="18"/>
              </w:rPr>
              <w:t xml:space="preserve">EXPIRED</w:t>
            </w:r>
            <w:r>
              <w:rPr>
                <w:sz w:val="18"/>
              </w:rPr>
              <w:t xml:space="preserve"> </w:t>
            </w:r>
            <w:r>
              <w:rPr>
                <w:sz w:val="18"/>
              </w:rPr>
              <w:t xml:space="preserve">at validity end with no fill</w:t>
            </w:r>
          </w:p>
        </w:tc>
      </w:tr>
      <w:tr>
        <w:tc>
          <w:tcPr>
            <w:tcW w:w="1233" w:type="dxa"/>
          </w:tcPr>
          <w:p>
            <w:pPr>
              <w:pStyle w:val="Compact"/>
              <w:spacing w:after="40"/>
              <w:jc w:val="left"/>
            </w:pPr>
            <w:r>
              <w:rPr>
                <w:rStyle w:val="VerbatimChar"/>
                <w:sz w:val="18"/>
              </w:rPr>
              <w:t xml:space="preserve">EXECUTED</w:t>
            </w:r>
            <w:r>
              <w:rPr>
                <w:sz w:val="18"/>
              </w:rPr>
              <w:t xml:space="preserve"> </w:t>
            </w:r>
            <w:r>
              <w:rPr>
                <w:sz w:val="18"/>
              </w:rPr>
              <w:t xml:space="preserve">or</w:t>
            </w:r>
            <w:r>
              <w:rPr>
                <w:sz w:val="18"/>
              </w:rPr>
              <w:t xml:space="preserve"> </w:t>
            </w:r>
            <w:r>
              <w:rPr>
                <w:rStyle w:val="VerbatimChar"/>
                <w:sz w:val="18"/>
              </w:rPr>
              <w:t xml:space="preserve">PARTIALLY_EXECUTED</w:t>
            </w:r>
          </w:p>
        </w:tc>
        <w:tc>
          <w:tcPr>
            <w:tcW w:w="2865" w:type="dxa"/>
          </w:tcPr>
          <w:p>
            <w:pPr>
              <w:pStyle w:val="Compact"/>
              <w:spacing w:after="40"/>
              <w:jc w:val="left"/>
            </w:pPr>
            <w:r>
              <w:rPr>
                <w:sz w:val="18"/>
              </w:rPr>
              <w:t xml:space="preserve">Contract note matched (IV2.3)</w:t>
            </w:r>
          </w:p>
        </w:tc>
        <w:tc>
          <w:tcPr>
            <w:tcW w:w="2664" w:type="dxa"/>
          </w:tcPr>
          <w:p>
            <w:pPr>
              <w:pStyle w:val="Compact"/>
              <w:spacing w:after="40"/>
              <w:jc w:val="left"/>
            </w:pPr>
            <w:r>
              <w:rPr>
                <w:sz w:val="18"/>
              </w:rPr>
              <w:t xml:space="preserve">Back office: confirm match, raise exception</w:t>
            </w:r>
          </w:p>
        </w:tc>
        <w:tc>
          <w:tcPr>
            <w:tcW w:w="2876" w:type="dxa"/>
          </w:tcPr>
          <w:p>
            <w:pPr>
              <w:pStyle w:val="Compact"/>
              <w:spacing w:after="40"/>
              <w:jc w:val="left"/>
            </w:pPr>
            <w:r>
              <w:rPr>
                <w:rStyle w:val="VerbatimChar"/>
                <w:sz w:val="18"/>
              </w:rPr>
              <w:t xml:space="preserve">SETTLED</w:t>
            </w:r>
            <w:r>
              <w:rPr>
                <w:sz w:val="18"/>
              </w:rPr>
              <w:t xml:space="preserve"> </w:t>
            </w:r>
            <w:r>
              <w:rPr>
                <w:sz w:val="18"/>
              </w:rPr>
              <w:t xml:space="preserve">on depository and bank confirmation; a partial fill leaves the unfilled balance</w:t>
            </w:r>
            <w:r>
              <w:rPr>
                <w:sz w:val="18"/>
              </w:rPr>
              <w:t xml:space="preserve"> </w:t>
            </w:r>
            <w:r>
              <w:rPr>
                <w:rStyle w:val="VerbatimChar"/>
                <w:sz w:val="18"/>
              </w:rPr>
              <w:t xml:space="preserve">EXPIRED</w:t>
            </w:r>
            <w:r>
              <w:rPr>
                <w:sz w:val="18"/>
              </w:rPr>
              <w:t xml:space="preserve"> </w:t>
            </w:r>
            <w:r>
              <w:rPr>
                <w:sz w:val="18"/>
              </w:rPr>
              <w:t xml:space="preserve">at validity end</w:t>
            </w:r>
          </w:p>
        </w:tc>
      </w:tr>
      <w:tr>
        <w:tc>
          <w:tcPr>
            <w:tcW w:w="1233" w:type="dxa"/>
          </w:tcPr>
          <w:p>
            <w:pPr>
              <w:pStyle w:val="Compact"/>
              <w:spacing w:after="40"/>
              <w:jc w:val="left"/>
            </w:pPr>
            <w:r>
              <w:rPr>
                <w:rStyle w:val="VerbatimChar"/>
                <w:sz w:val="18"/>
              </w:rPr>
              <w:t xml:space="preserve">SETTLED</w:t>
            </w:r>
          </w:p>
        </w:tc>
        <w:tc>
          <w:tcPr>
            <w:tcW w:w="2865" w:type="dxa"/>
          </w:tcPr>
          <w:p>
            <w:pPr>
              <w:pStyle w:val="Compact"/>
              <w:spacing w:after="40"/>
              <w:jc w:val="left"/>
            </w:pPr>
            <w:r>
              <w:rPr>
                <w:sz w:val="18"/>
              </w:rPr>
              <w:t xml:space="preserve">Securities and funds legs confirmed</w:t>
            </w:r>
          </w:p>
        </w:tc>
        <w:tc>
          <w:tcPr>
            <w:tcW w:w="2664" w:type="dxa"/>
          </w:tcPr>
          <w:p>
            <w:pPr>
              <w:pStyle w:val="Compact"/>
              <w:spacing w:after="40"/>
              <w:jc w:val="left"/>
            </w:pPr>
            <w:r>
              <w:rPr>
                <w:sz w:val="18"/>
              </w:rPr>
              <w:t xml:space="preserve">Back office</w:t>
            </w:r>
          </w:p>
        </w:tc>
        <w:tc>
          <w:tcPr>
            <w:tcW w:w="2876" w:type="dxa"/>
          </w:tcPr>
          <w:p>
            <w:pPr>
              <w:pStyle w:val="Compact"/>
              <w:spacing w:after="40"/>
              <w:jc w:val="left"/>
            </w:pPr>
            <w:r>
              <w:rPr>
                <w:rStyle w:val="VerbatimChar"/>
                <w:sz w:val="18"/>
              </w:rPr>
              <w:t xml:space="preserve">RECONCILED</w:t>
            </w:r>
            <w:r>
              <w:rPr>
                <w:sz w:val="18"/>
              </w:rPr>
              <w:t xml:space="preserve"> </w:t>
            </w:r>
            <w:r>
              <w:rPr>
                <w:sz w:val="18"/>
              </w:rPr>
              <w:t xml:space="preserve">after the next demat and bank reconciliation agree; a failed or short delivery opens</w:t>
            </w:r>
            <w:r>
              <w:rPr>
                <w:sz w:val="18"/>
              </w:rPr>
              <w:t xml:space="preserve"> </w:t>
            </w:r>
            <w:r>
              <w:rPr>
                <w:rStyle w:val="VerbatimChar"/>
                <w:sz w:val="18"/>
              </w:rPr>
              <w:t xml:space="preserve">SETTLEMENT_EXCEPTION</w:t>
            </w:r>
            <w:r>
              <w:rPr>
                <w:sz w:val="18"/>
              </w:rPr>
              <w:t xml:space="preserve"> </w:t>
            </w:r>
            <w:r>
              <w:rPr>
                <w:sz w:val="18"/>
              </w:rPr>
              <w:t xml:space="preserve">with ageing and auction or close-out recording</w:t>
            </w:r>
          </w:p>
        </w:tc>
      </w:tr>
      <w:tr>
        <w:tc>
          <w:tcPr>
            <w:tcW w:w="1233" w:type="dxa"/>
          </w:tcPr>
          <w:p>
            <w:pPr>
              <w:pStyle w:val="Compact"/>
              <w:spacing w:after="40"/>
              <w:jc w:val="left"/>
            </w:pPr>
            <w:r>
              <w:rPr>
                <w:rStyle w:val="VerbatimChar"/>
                <w:sz w:val="18"/>
              </w:rPr>
              <w:t xml:space="preserve">RECONCILED</w:t>
            </w:r>
          </w:p>
        </w:tc>
        <w:tc>
          <w:tcPr>
            <w:tcW w:w="2865" w:type="dxa"/>
          </w:tcPr>
          <w:p>
            <w:pPr>
              <w:pStyle w:val="Compact"/>
              <w:spacing w:after="40"/>
              <w:jc w:val="left"/>
            </w:pPr>
            <w:r>
              <w:rPr>
                <w:sz w:val="18"/>
              </w:rPr>
              <w:t xml:space="preserve">Position, ledger and statement agree</w:t>
            </w:r>
          </w:p>
        </w:tc>
        <w:tc>
          <w:tcPr>
            <w:tcW w:w="2664" w:type="dxa"/>
          </w:tcPr>
          <w:p>
            <w:pPr>
              <w:pStyle w:val="Compact"/>
              <w:spacing w:after="40"/>
              <w:jc w:val="left"/>
            </w:pPr>
            <w:r>
              <w:rPr>
                <w:sz w:val="18"/>
              </w:rPr>
              <w:t xml:space="preserve">Read-only</w:t>
            </w:r>
          </w:p>
        </w:tc>
        <w:tc>
          <w:tcPr>
            <w:tcW w:w="2876" w:type="dxa"/>
          </w:tcPr>
          <w:p>
            <w:pPr>
              <w:pStyle w:val="Compact"/>
              <w:spacing w:after="40"/>
              <w:jc w:val="left"/>
            </w:pPr>
            <w:r>
              <w:rPr>
                <w:sz w:val="18"/>
              </w:rPr>
              <w:t xml:space="preserve">Terminal; corrections only by</w:t>
            </w:r>
            <w:r>
              <w:rPr>
                <w:sz w:val="18"/>
              </w:rPr>
              <w:t xml:space="preserve"> </w:t>
            </w:r>
            <w:r>
              <w:rPr>
                <w:rStyle w:val="VerbatimChar"/>
                <w:sz w:val="18"/>
              </w:rPr>
              <w:t xml:space="preserve">TRADE_REVERSED</w:t>
            </w:r>
          </w:p>
        </w:tc>
      </w:tr>
    </w:tbl>
    <w:p>
      <w:pPr>
        <w:numPr>
          <w:ilvl w:val="0"/>
          <w:numId w:val="1503"/>
        </w:numPr>
        <w:pStyle w:val="Compact"/>
      </w:pPr>
      <w:r>
        <w:rPr>
          <w:bCs/>
          <w:b/>
        </w:rPr>
        <w:t xml:space="preserve">Out-of-policy fills:</w:t>
      </w:r>
      <w:r>
        <w:t xml:space="preserve"> </w:t>
      </w:r>
      <w:r>
        <w:t xml:space="preserve">the quantity above the approved quantity, a whole fill priced outside the approved limit, or a whole note with no approved order is booked to a</w:t>
      </w:r>
      <w:r>
        <w:t xml:space="preserve"> </w:t>
      </w:r>
      <w:r>
        <w:rPr>
          <w:rStyle w:val="VerbatimChar"/>
        </w:rPr>
        <w:t xml:space="preserve">BROKER_ERROR</w:t>
      </w:r>
      <w:r>
        <w:t xml:space="preserve"> </w:t>
      </w:r>
      <w:r>
        <w:t xml:space="preserve">exception and an error account; it creates no position until the CFO accepts it (with a retrospective approval and a fresh pre-trade check) or the broker reverses it.</w:t>
      </w:r>
    </w:p>
    <w:p>
      <w:pPr>
        <w:numPr>
          <w:ilvl w:val="0"/>
          <w:numId w:val="1503"/>
        </w:numPr>
        <w:pStyle w:val="Compact"/>
      </w:pPr>
      <w:r>
        <w:rPr>
          <w:bCs/>
          <w:b/>
        </w:rPr>
        <w:t xml:space="preserve">Reversal and back-dated correction:</w:t>
      </w:r>
      <w:r>
        <w:t xml:space="preserve"> </w:t>
      </w:r>
      <w:r>
        <w:rPr>
          <w:rStyle w:val="VerbatimChar"/>
        </w:rPr>
        <w:t xml:space="preserve">TRADE_REVERSED</w:t>
      </w:r>
      <w:r>
        <w:t xml:space="preserve"> </w:t>
      </w:r>
      <w:r>
        <w:t xml:space="preserve">posts reversing journals dated today with a link to the original; a correction to a closed period follows the R12-style reopening approval.</w:t>
      </w:r>
      <w:r>
        <w:t xml:space="preserve"> </w:t>
      </w:r>
      <w:r>
        <w:rPr>
          <w:rStyle w:val="VerbatimChar"/>
        </w:rPr>
        <w:t xml:space="preserve">TradeBooked</w:t>
      </w:r>
      <w:r>
        <w:t xml:space="preserve"> </w:t>
      </w:r>
      <w:r>
        <w:t xml:space="preserve">is re-emitted with a higher</w:t>
      </w:r>
      <w:r>
        <w:t xml:space="preserve"> </w:t>
      </w:r>
      <w:r>
        <w:rPr>
          <w:rStyle w:val="VerbatimChar"/>
        </w:rPr>
        <w:t xml:space="preserve">update_seq</w:t>
      </w:r>
      <w:r>
        <w:t xml:space="preserve">.</w:t>
      </w:r>
    </w:p>
    <w:p>
      <w:pPr>
        <w:numPr>
          <w:ilvl w:val="0"/>
          <w:numId w:val="1503"/>
        </w:numPr>
        <w:pStyle w:val="Compact"/>
      </w:pPr>
      <w:r>
        <w:rPr>
          <w:bCs/>
          <w:b/>
        </w:rPr>
        <w:t xml:space="preserve">Segregation [REC]:</w:t>
      </w:r>
      <w:r>
        <w:t xml:space="preserve"> </w:t>
      </w:r>
      <w:r>
        <w:t xml:space="preserve">dealer (front office) ≠ approver (DoA) ≠ settlement and accounting (back office) ≠ limits monitoring (mid office). Approval limits by instrument type, amount and bucket.</w:t>
      </w:r>
    </w:p>
    <w:p>
      <w:pPr>
        <w:numPr>
          <w:ilvl w:val="0"/>
          <w:numId w:val="1503"/>
        </w:numPr>
        <w:pStyle w:val="Compact"/>
      </w:pPr>
      <w:r>
        <w:rPr>
          <w:bCs/>
          <w:b/>
        </w:rPr>
        <w:t xml:space="preserve">Personal dealing:</w:t>
      </w:r>
      <w:r>
        <w:t xml:space="preserve"> </w:t>
      </w:r>
      <w:r>
        <w:t xml:space="preserve">if the tenant or its group is listed, dealers and approvers are designated persons and the PIT pre-clearance and trading-window checks of Part 7F GV4.4 apply to their own trades; the restricted-list check below applies to the tenant’s own-account orders whether or not the tenant is listed.</w:t>
      </w:r>
    </w:p>
    <w:bookmarkEnd w:id="608"/>
    <w:bookmarkStart w:id="609" w:name="iv2.2-pre-trade-checks"/>
    <w:p>
      <w:pPr>
        <w:pStyle w:val="Heading3"/>
      </w:pPr>
      <w:r>
        <w:t xml:space="preserve">IV2.2 Pre-trade checks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78"/>
        <w:gridCol w:w="4139"/>
        <w:gridCol w:w="2093"/>
        <w:gridCol w:w="1428"/>
      </w:tblGrid>
      <w:tr>
        <w:trPr>
          <w:tblHeader w:val="true"/>
          <w:tblHeader w:val="true"/>
        </w:trPr>
        <w:tc>
          <w:tcPr>
            <w:tcW w:w="1978" w:type="dxa"/>
            <w:shd w:val="clear" w:color="auto" w:fill="1F3A5F"/>
          </w:tcPr>
          <w:p>
            <w:pPr>
              <w:pStyle w:val="Compact"/>
              <w:spacing w:after="40"/>
              <w:jc w:val="left"/>
            </w:pPr>
            <w:r>
              <w:rPr>
                <w:b/>
                <w:color w:val="FFFFFF"/>
                <w:sz w:val="18"/>
              </w:rPr>
              <w:t xml:space="preserve">Check</w:t>
            </w:r>
          </w:p>
        </w:tc>
        <w:tc>
          <w:tcPr>
            <w:tcW w:w="4139" w:type="dxa"/>
            <w:shd w:val="clear" w:color="auto" w:fill="1F3A5F"/>
          </w:tcPr>
          <w:p>
            <w:pPr>
              <w:pStyle w:val="Compact"/>
              <w:spacing w:after="40"/>
              <w:jc w:val="left"/>
            </w:pPr>
            <w:r>
              <w:rPr>
                <w:b/>
                <w:color w:val="FFFFFF"/>
                <w:sz w:val="18"/>
              </w:rPr>
              <w:t xml:space="preserve">Rule</w:t>
            </w:r>
          </w:p>
        </w:tc>
        <w:tc>
          <w:tcPr>
            <w:tcW w:w="2093" w:type="dxa"/>
            <w:shd w:val="clear" w:color="auto" w:fill="1F3A5F"/>
          </w:tcPr>
          <w:p>
            <w:pPr>
              <w:pStyle w:val="Compact"/>
              <w:spacing w:after="40"/>
              <w:jc w:val="left"/>
            </w:pPr>
            <w:r>
              <w:rPr>
                <w:b/>
                <w:color w:val="FFFFFF"/>
                <w:sz w:val="18"/>
              </w:rPr>
              <w:t xml:space="preserve">Type</w:t>
            </w:r>
          </w:p>
        </w:tc>
        <w:tc>
          <w:tcPr>
            <w:tcW w:w="1428" w:type="dxa"/>
            <w:shd w:val="clear" w:color="auto" w:fill="1F3A5F"/>
          </w:tcPr>
          <w:p>
            <w:pPr>
              <w:pStyle w:val="Compact"/>
              <w:spacing w:after="40"/>
              <w:jc w:val="left"/>
            </w:pPr>
            <w:r>
              <w:rPr>
                <w:b/>
                <w:color w:val="FFFFFF"/>
                <w:sz w:val="18"/>
              </w:rPr>
              <w:t xml:space="preserve">Basis</w:t>
            </w:r>
          </w:p>
        </w:tc>
      </w:tr>
      <w:tr>
        <w:tc>
          <w:tcPr>
            <w:tcW w:w="1978" w:type="dxa"/>
          </w:tcPr>
          <w:p>
            <w:pPr>
              <w:pStyle w:val="Compact"/>
              <w:spacing w:after="40"/>
              <w:jc w:val="left"/>
            </w:pPr>
            <w:r>
              <w:rPr>
                <w:sz w:val="18"/>
              </w:rPr>
              <w:t xml:space="preserve">Restricted list</w:t>
            </w:r>
          </w:p>
        </w:tc>
        <w:tc>
          <w:tcPr>
            <w:tcW w:w="4139" w:type="dxa"/>
          </w:tcPr>
          <w:p>
            <w:pPr>
              <w:pStyle w:val="Compact"/>
              <w:spacing w:after="40"/>
              <w:jc w:val="left"/>
            </w:pPr>
            <w:r>
              <w:rPr>
                <w:sz w:val="18"/>
              </w:rPr>
              <w:t xml:space="preserve">Issuer (or the issuer of the underlying, for convertibles, derivatives and IPO bids) is on the Part 7F GV4.4 restricted list → reject with</w:t>
            </w:r>
            <w:r>
              <w:rPr>
                <w:sz w:val="18"/>
              </w:rPr>
              <w:t xml:space="preserve"> </w:t>
            </w:r>
            <w:r>
              <w:rPr>
                <w:rStyle w:val="VerbatimChar"/>
                <w:sz w:val="18"/>
              </w:rPr>
              <w:t xml:space="preserve">RESTRICTED_LIST</w:t>
            </w:r>
            <w:r>
              <w:rPr>
                <w:sz w:val="18"/>
              </w:rPr>
              <w:t xml:space="preserve">; the dealer sees only</w:t>
            </w:r>
            <w:r>
              <w:rPr>
                <w:sz w:val="18"/>
              </w:rPr>
              <w:t xml:space="preserve"> </w:t>
            </w:r>
            <w:r>
              <w:rPr>
                <w:sz w:val="18"/>
              </w:rPr>
              <w:t xml:space="preserve">“</w:t>
            </w:r>
            <w:r>
              <w:rPr>
                <w:sz w:val="18"/>
              </w:rPr>
              <w:t xml:space="preserve">restricted</w:t>
            </w:r>
            <w:r>
              <w:rPr>
                <w:sz w:val="18"/>
              </w:rPr>
              <w:t xml:space="preserve">”</w:t>
            </w:r>
            <w:r>
              <w:rPr>
                <w:sz w:val="18"/>
              </w:rPr>
              <w:t xml:space="preserve">, never the reason or the UPSI</w:t>
            </w:r>
          </w:p>
        </w:tc>
        <w:tc>
          <w:tcPr>
            <w:tcW w:w="2093" w:type="dxa"/>
          </w:tcPr>
          <w:p>
            <w:pPr>
              <w:pStyle w:val="Compact"/>
              <w:spacing w:after="40"/>
              <w:jc w:val="left"/>
            </w:pPr>
            <w:r>
              <w:rPr>
                <w:sz w:val="18"/>
              </w:rPr>
              <w:t xml:space="preserve">Hard (GR-7H-12)</w:t>
            </w:r>
          </w:p>
        </w:tc>
        <w:tc>
          <w:tcPr>
            <w:tcW w:w="1428" w:type="dxa"/>
          </w:tcPr>
          <w:p>
            <w:pPr>
              <w:pStyle w:val="Compact"/>
              <w:spacing w:after="40"/>
              <w:jc w:val="left"/>
            </w:pPr>
            <w:r>
              <w:rPr>
                <w:sz w:val="18"/>
              </w:rPr>
              <w:t xml:space="preserve">PIT Reg 4 [REC]; GV4.4</w:t>
            </w:r>
          </w:p>
        </w:tc>
      </w:tr>
      <w:tr>
        <w:tc>
          <w:tcPr>
            <w:tcW w:w="1978" w:type="dxa"/>
          </w:tcPr>
          <w:p>
            <w:pPr>
              <w:pStyle w:val="Compact"/>
              <w:spacing w:after="40"/>
              <w:jc w:val="left"/>
            </w:pPr>
            <w:r>
              <w:rPr>
                <w:sz w:val="18"/>
              </w:rPr>
              <w:t xml:space="preserve">Lock-in and pledge</w:t>
            </w:r>
          </w:p>
        </w:tc>
        <w:tc>
          <w:tcPr>
            <w:tcW w:w="4139" w:type="dxa"/>
          </w:tcPr>
          <w:p>
            <w:pPr>
              <w:pStyle w:val="Compact"/>
              <w:spacing w:after="40"/>
              <w:jc w:val="left"/>
            </w:pPr>
            <w:r>
              <w:rPr>
                <w:sz w:val="18"/>
              </w:rPr>
              <w:t xml:space="preserve">Sell quantity ≤ free holding (excludes locked-in, pledged and frozen)</w:t>
            </w:r>
          </w:p>
        </w:tc>
        <w:tc>
          <w:tcPr>
            <w:tcW w:w="2093" w:type="dxa"/>
          </w:tcPr>
          <w:p>
            <w:pPr>
              <w:pStyle w:val="Compact"/>
              <w:spacing w:after="40"/>
              <w:jc w:val="left"/>
            </w:pPr>
            <w:r>
              <w:rPr>
                <w:sz w:val="18"/>
              </w:rPr>
              <w:t xml:space="preserve">Hard</w:t>
            </w:r>
          </w:p>
        </w:tc>
        <w:tc>
          <w:tcPr>
            <w:tcW w:w="1428" w:type="dxa"/>
          </w:tcPr>
          <w:p>
            <w:pPr>
              <w:pStyle w:val="Compact"/>
              <w:spacing w:after="40"/>
              <w:jc w:val="left"/>
            </w:pPr>
            <w:r>
              <w:rPr>
                <w:sz w:val="18"/>
              </w:rPr>
              <w:t xml:space="preserve">IV2.5, IV3.3</w:t>
            </w:r>
          </w:p>
        </w:tc>
      </w:tr>
      <w:tr>
        <w:tc>
          <w:tcPr>
            <w:tcW w:w="1978" w:type="dxa"/>
          </w:tcPr>
          <w:p>
            <w:pPr>
              <w:pStyle w:val="Compact"/>
              <w:spacing w:after="40"/>
              <w:jc w:val="left"/>
            </w:pPr>
            <w:r>
              <w:rPr>
                <w:sz w:val="18"/>
              </w:rPr>
              <w:t xml:space="preserve">Instrument whitelist</w:t>
            </w:r>
          </w:p>
        </w:tc>
        <w:tc>
          <w:tcPr>
            <w:tcW w:w="4139" w:type="dxa"/>
          </w:tcPr>
          <w:p>
            <w:pPr>
              <w:pStyle w:val="Compact"/>
              <w:spacing w:after="40"/>
              <w:jc w:val="left"/>
            </w:pPr>
            <w:r>
              <w:rPr>
                <w:sz w:val="18"/>
              </w:rPr>
              <w:t xml:space="preserve">Board investment policy</w:t>
            </w:r>
          </w:p>
        </w:tc>
        <w:tc>
          <w:tcPr>
            <w:tcW w:w="2093" w:type="dxa"/>
          </w:tcPr>
          <w:p>
            <w:pPr>
              <w:pStyle w:val="Compact"/>
              <w:spacing w:after="40"/>
              <w:jc w:val="left"/>
            </w:pPr>
            <w:r>
              <w:rPr>
                <w:sz w:val="18"/>
              </w:rPr>
              <w:t xml:space="preserve">Hard</w:t>
            </w:r>
          </w:p>
        </w:tc>
        <w:tc>
          <w:tcPr>
            <w:tcW w:w="1428" w:type="dxa"/>
          </w:tcPr>
          <w:p>
            <w:pPr>
              <w:pStyle w:val="Compact"/>
              <w:spacing w:after="40"/>
              <w:jc w:val="left"/>
            </w:pPr>
            <w:r>
              <w:rPr>
                <w:sz w:val="18"/>
              </w:rPr>
              <w:t xml:space="preserve">INV paras 7–8</w:t>
            </w:r>
          </w:p>
        </w:tc>
      </w:tr>
      <w:tr>
        <w:tc>
          <w:tcPr>
            <w:tcW w:w="1978" w:type="dxa"/>
          </w:tcPr>
          <w:p>
            <w:pPr>
              <w:pStyle w:val="Compact"/>
              <w:spacing w:after="40"/>
              <w:jc w:val="left"/>
            </w:pPr>
            <w:r>
              <w:rPr>
                <w:sz w:val="18"/>
              </w:rPr>
              <w:t xml:space="preserve">CME and SSE</w:t>
            </w:r>
          </w:p>
        </w:tc>
        <w:tc>
          <w:tcPr>
            <w:tcW w:w="4139" w:type="dxa"/>
          </w:tcPr>
          <w:p>
            <w:pPr>
              <w:pStyle w:val="Compact"/>
              <w:spacing w:after="40"/>
              <w:jc w:val="left"/>
            </w:pPr>
            <w:r>
              <w:rPr>
                <w:sz w:val="18"/>
              </w:rPr>
              <w:t xml:space="preserve">Board limits by FS 21(8)(ii) line</w:t>
            </w:r>
          </w:p>
        </w:tc>
        <w:tc>
          <w:tcPr>
            <w:tcW w:w="2093" w:type="dxa"/>
          </w:tcPr>
          <w:p>
            <w:pPr>
              <w:pStyle w:val="Compact"/>
              <w:spacing w:after="40"/>
              <w:jc w:val="left"/>
            </w:pPr>
            <w:r>
              <w:rPr>
                <w:sz w:val="18"/>
              </w:rPr>
              <w:t xml:space="preserve">Hard at the Board limit; soft at the early-warning level</w:t>
            </w:r>
          </w:p>
        </w:tc>
        <w:tc>
          <w:tcPr>
            <w:tcW w:w="1428" w:type="dxa"/>
          </w:tcPr>
          <w:p>
            <w:pPr>
              <w:pStyle w:val="Compact"/>
              <w:spacing w:after="40"/>
              <w:jc w:val="left"/>
            </w:pPr>
            <w:r>
              <w:rPr>
                <w:sz w:val="18"/>
              </w:rPr>
              <w:t xml:space="preserve">CON paras 12, 24</w:t>
            </w:r>
          </w:p>
        </w:tc>
      </w:tr>
      <w:tr>
        <w:tc>
          <w:tcPr>
            <w:tcW w:w="1978" w:type="dxa"/>
          </w:tcPr>
          <w:p>
            <w:pPr>
              <w:pStyle w:val="Compact"/>
              <w:spacing w:after="40"/>
              <w:jc w:val="left"/>
            </w:pPr>
            <w:r>
              <w:rPr>
                <w:sz w:val="18"/>
              </w:rPr>
              <w:t xml:space="preserve">Single and group exposure (credit plus investment)</w:t>
            </w:r>
          </w:p>
        </w:tc>
        <w:tc>
          <w:tcPr>
            <w:tcW w:w="4139" w:type="dxa"/>
          </w:tcPr>
          <w:p>
            <w:pPr>
              <w:pStyle w:val="Compact"/>
              <w:spacing w:after="40"/>
              <w:jc w:val="left"/>
            </w:pPr>
            <w:r>
              <w:rPr>
                <w:sz w:val="18"/>
              </w:rPr>
              <w:t xml:space="preserve">ML: 25% / 40% of Tier 1 (+5 / +10 for infrastructure); IFC 30% / 50%; UL: LEF; not applied where CON para 16 exempts the NBFC (no public funds, no guarantees)</w:t>
            </w:r>
          </w:p>
        </w:tc>
        <w:tc>
          <w:tcPr>
            <w:tcW w:w="2093" w:type="dxa"/>
          </w:tcPr>
          <w:p>
            <w:pPr>
              <w:pStyle w:val="Compact"/>
              <w:spacing w:after="40"/>
              <w:jc w:val="left"/>
            </w:pPr>
            <w:r>
              <w:rPr>
                <w:sz w:val="18"/>
              </w:rPr>
              <w:t xml:space="preserve">Hard</w:t>
            </w:r>
          </w:p>
        </w:tc>
        <w:tc>
          <w:tcPr>
            <w:tcW w:w="1428" w:type="dxa"/>
          </w:tcPr>
          <w:p>
            <w:pPr>
              <w:pStyle w:val="Compact"/>
              <w:spacing w:after="40"/>
              <w:jc w:val="left"/>
            </w:pPr>
            <w:r>
              <w:rPr>
                <w:sz w:val="18"/>
              </w:rPr>
              <w:t xml:space="preserve">CON paras 13–14, 16, 33–39</w:t>
            </w:r>
          </w:p>
        </w:tc>
      </w:tr>
      <w:tr>
        <w:tc>
          <w:tcPr>
            <w:tcW w:w="1978" w:type="dxa"/>
          </w:tcPr>
          <w:p>
            <w:pPr>
              <w:pStyle w:val="Compact"/>
              <w:spacing w:after="40"/>
              <w:jc w:val="left"/>
            </w:pPr>
            <w:r>
              <w:rPr>
                <w:sz w:val="18"/>
              </w:rPr>
              <w:t xml:space="preserve">NOF deduction</w:t>
            </w:r>
          </w:p>
        </w:tc>
        <w:tc>
          <w:tcPr>
            <w:tcW w:w="4139" w:type="dxa"/>
          </w:tcPr>
          <w:p>
            <w:pPr>
              <w:pStyle w:val="Compact"/>
              <w:spacing w:after="40"/>
              <w:jc w:val="left"/>
            </w:pPr>
            <w:r>
              <w:rPr>
                <w:sz w:val="18"/>
              </w:rPr>
              <w:t xml:space="preserve">Group, subsidiary and other-NBFC exposure above 10% of paid-up equity plus free reserves</w:t>
            </w:r>
          </w:p>
        </w:tc>
        <w:tc>
          <w:tcPr>
            <w:tcW w:w="2093" w:type="dxa"/>
          </w:tcPr>
          <w:p>
            <w:pPr>
              <w:pStyle w:val="Compact"/>
              <w:spacing w:after="40"/>
              <w:jc w:val="left"/>
            </w:pPr>
            <w:r>
              <w:rPr>
                <w:sz w:val="18"/>
              </w:rPr>
              <w:t xml:space="preserve">Soft (capital impact shown)</w:t>
            </w:r>
          </w:p>
        </w:tc>
        <w:tc>
          <w:tcPr>
            <w:tcW w:w="1428" w:type="dxa"/>
          </w:tcPr>
          <w:p>
            <w:pPr>
              <w:pStyle w:val="Compact"/>
              <w:spacing w:after="40"/>
              <w:jc w:val="left"/>
            </w:pPr>
            <w:r>
              <w:rPr>
                <w:sz w:val="18"/>
              </w:rPr>
              <w:t xml:space="preserve">SBR para 45</w:t>
            </w:r>
          </w:p>
        </w:tc>
      </w:tr>
      <w:tr>
        <w:tc>
          <w:tcPr>
            <w:tcW w:w="1978" w:type="dxa"/>
          </w:tcPr>
          <w:p>
            <w:pPr>
              <w:pStyle w:val="Compact"/>
              <w:spacing w:after="40"/>
              <w:jc w:val="left"/>
            </w:pPr>
            <w:r>
              <w:rPr>
                <w:sz w:val="18"/>
              </w:rPr>
              <w:t xml:space="preserve">AIF caps</w:t>
            </w:r>
          </w:p>
        </w:tc>
        <w:tc>
          <w:tcPr>
            <w:tcW w:w="4139" w:type="dxa"/>
          </w:tcPr>
          <w:p>
            <w:pPr>
              <w:pStyle w:val="Compact"/>
              <w:spacing w:after="40"/>
              <w:jc w:val="left"/>
            </w:pPr>
            <w:r>
              <w:rPr>
                <w:sz w:val="18"/>
              </w:rPr>
              <w:t xml:space="preserve">IV4</w:t>
            </w:r>
          </w:p>
        </w:tc>
        <w:tc>
          <w:tcPr>
            <w:tcW w:w="2093" w:type="dxa"/>
          </w:tcPr>
          <w:p>
            <w:pPr>
              <w:pStyle w:val="Compact"/>
              <w:spacing w:after="40"/>
              <w:jc w:val="left"/>
            </w:pPr>
            <w:r>
              <w:rPr>
                <w:sz w:val="18"/>
              </w:rPr>
              <w:t xml:space="preserve">Hard at 10%</w:t>
            </w:r>
          </w:p>
        </w:tc>
        <w:tc>
          <w:tcPr>
            <w:tcW w:w="1428" w:type="dxa"/>
          </w:tcPr>
          <w:p>
            <w:pPr>
              <w:pStyle w:val="Compact"/>
              <w:spacing w:after="40"/>
              <w:jc w:val="left"/>
            </w:pPr>
            <w:r>
              <w:rPr>
                <w:sz w:val="18"/>
              </w:rPr>
              <w:t xml:space="preserve">RBI-AIF para 6</w:t>
            </w:r>
          </w:p>
        </w:tc>
      </w:tr>
      <w:tr>
        <w:tc>
          <w:tcPr>
            <w:tcW w:w="1978" w:type="dxa"/>
          </w:tcPr>
          <w:p>
            <w:pPr>
              <w:pStyle w:val="Compact"/>
              <w:spacing w:after="40"/>
              <w:jc w:val="left"/>
            </w:pPr>
            <w:r>
              <w:rPr>
                <w:sz w:val="18"/>
              </w:rPr>
              <w:t xml:space="preserve">NBFC-CIC tests</w:t>
            </w:r>
          </w:p>
        </w:tc>
        <w:tc>
          <w:tcPr>
            <w:tcW w:w="4139" w:type="dxa"/>
          </w:tcPr>
          <w:p>
            <w:pPr>
              <w:pStyle w:val="Compact"/>
              <w:spacing w:after="40"/>
              <w:jc w:val="left"/>
            </w:pPr>
            <w:r>
              <w:rPr>
                <w:sz w:val="18"/>
              </w:rPr>
              <w:t xml:space="preserve">IV5.6 pro forma</w:t>
            </w:r>
          </w:p>
        </w:tc>
        <w:tc>
          <w:tcPr>
            <w:tcW w:w="2093" w:type="dxa"/>
          </w:tcPr>
          <w:p>
            <w:pPr>
              <w:pStyle w:val="Compact"/>
              <w:spacing w:after="40"/>
              <w:jc w:val="left"/>
            </w:pPr>
            <w:r>
              <w:rPr>
                <w:sz w:val="18"/>
              </w:rPr>
              <w:t xml:space="preserve">Hard where the order breaks a 90%, 60% or 10% test</w:t>
            </w:r>
          </w:p>
        </w:tc>
        <w:tc>
          <w:tcPr>
            <w:tcW w:w="1428" w:type="dxa"/>
          </w:tcPr>
          <w:p>
            <w:pPr>
              <w:pStyle w:val="Compact"/>
              <w:spacing w:after="40"/>
              <w:jc w:val="left"/>
            </w:pPr>
            <w:r>
              <w:rPr>
                <w:sz w:val="18"/>
              </w:rPr>
              <w:t xml:space="preserve">CICD</w:t>
            </w:r>
          </w:p>
        </w:tc>
      </w:tr>
      <w:tr>
        <w:tc>
          <w:tcPr>
            <w:tcW w:w="1978" w:type="dxa"/>
          </w:tcPr>
          <w:p>
            <w:pPr>
              <w:pStyle w:val="Compact"/>
              <w:spacing w:after="40"/>
              <w:jc w:val="left"/>
            </w:pPr>
            <w:r>
              <w:rPr>
                <w:sz w:val="18"/>
              </w:rPr>
              <w:t xml:space="preserve">Derivatives</w:t>
            </w:r>
          </w:p>
        </w:tc>
        <w:tc>
          <w:tcPr>
            <w:tcW w:w="4139" w:type="dxa"/>
          </w:tcPr>
          <w:p>
            <w:pPr>
              <w:pStyle w:val="Compact"/>
              <w:spacing w:after="40"/>
              <w:jc w:val="left"/>
            </w:pPr>
            <w:r>
              <w:rPr>
                <w:sz w:val="18"/>
              </w:rPr>
              <w:t xml:space="preserve">INV permissions; hedge link</w:t>
            </w:r>
          </w:p>
        </w:tc>
        <w:tc>
          <w:tcPr>
            <w:tcW w:w="2093" w:type="dxa"/>
          </w:tcPr>
          <w:p>
            <w:pPr>
              <w:pStyle w:val="Compact"/>
              <w:spacing w:after="40"/>
              <w:jc w:val="left"/>
            </w:pPr>
            <w:r>
              <w:rPr>
                <w:sz w:val="18"/>
              </w:rPr>
              <w:t xml:space="preserve">Hard</w:t>
            </w:r>
          </w:p>
        </w:tc>
        <w:tc>
          <w:tcPr>
            <w:tcW w:w="1428" w:type="dxa"/>
          </w:tcPr>
          <w:p>
            <w:pPr>
              <w:pStyle w:val="Compact"/>
              <w:spacing w:after="40"/>
              <w:jc w:val="left"/>
            </w:pPr>
            <w:r>
              <w:rPr>
                <w:sz w:val="18"/>
              </w:rPr>
              <w:t xml:space="preserve">INV paras 28–34</w:t>
            </w:r>
          </w:p>
        </w:tc>
      </w:tr>
      <w:tr>
        <w:tc>
          <w:tcPr>
            <w:tcW w:w="1978" w:type="dxa"/>
          </w:tcPr>
          <w:p>
            <w:pPr>
              <w:pStyle w:val="Compact"/>
              <w:spacing w:after="40"/>
              <w:jc w:val="left"/>
            </w:pPr>
            <w:r>
              <w:rPr>
                <w:sz w:val="18"/>
              </w:rPr>
              <w:t xml:space="preserve">IFSC</w:t>
            </w:r>
          </w:p>
        </w:tc>
        <w:tc>
          <w:tcPr>
            <w:tcW w:w="4139" w:type="dxa"/>
          </w:tcPr>
          <w:p>
            <w:pPr>
              <w:pStyle w:val="Compact"/>
              <w:spacing w:after="40"/>
              <w:jc w:val="left"/>
            </w:pPr>
            <w:r>
              <w:rPr>
                <w:sz w:val="18"/>
              </w:rPr>
              <w:t xml:space="preserve">FEMA and USD rules</w:t>
            </w:r>
          </w:p>
        </w:tc>
        <w:tc>
          <w:tcPr>
            <w:tcW w:w="2093" w:type="dxa"/>
          </w:tcPr>
          <w:p>
            <w:pPr>
              <w:pStyle w:val="Compact"/>
              <w:spacing w:after="40"/>
              <w:jc w:val="left"/>
            </w:pPr>
            <w:r>
              <w:rPr>
                <w:sz w:val="18"/>
              </w:rPr>
              <w:t xml:space="preserve">Hard</w:t>
            </w:r>
          </w:p>
        </w:tc>
        <w:tc>
          <w:tcPr>
            <w:tcW w:w="1428" w:type="dxa"/>
          </w:tcPr>
          <w:p>
            <w:pPr>
              <w:pStyle w:val="Compact"/>
              <w:spacing w:after="40"/>
              <w:jc w:val="left"/>
            </w:pPr>
            <w:r>
              <w:rPr>
                <w:sz w:val="18"/>
              </w:rPr>
              <w:t xml:space="preserve">IFSCA-FC</w:t>
            </w:r>
          </w:p>
        </w:tc>
      </w:tr>
      <w:tr>
        <w:tc>
          <w:tcPr>
            <w:tcW w:w="1978" w:type="dxa"/>
          </w:tcPr>
          <w:p>
            <w:pPr>
              <w:pStyle w:val="Compact"/>
              <w:spacing w:after="40"/>
              <w:jc w:val="left"/>
            </w:pPr>
            <w:r>
              <w:rPr>
                <w:sz w:val="18"/>
              </w:rPr>
              <w:t xml:space="preserve">Liquidity</w:t>
            </w:r>
          </w:p>
        </w:tc>
        <w:tc>
          <w:tcPr>
            <w:tcW w:w="4139" w:type="dxa"/>
          </w:tcPr>
          <w:p>
            <w:pPr>
              <w:pStyle w:val="Compact"/>
              <w:spacing w:after="40"/>
              <w:jc w:val="left"/>
            </w:pPr>
            <w:r>
              <w:rPr>
                <w:sz w:val="18"/>
              </w:rPr>
              <w:t xml:space="preserve">ALM bucket impact (Part 7E RK4)</w:t>
            </w:r>
          </w:p>
        </w:tc>
        <w:tc>
          <w:tcPr>
            <w:tcW w:w="2093" w:type="dxa"/>
          </w:tcPr>
          <w:p>
            <w:pPr>
              <w:pStyle w:val="Compact"/>
              <w:spacing w:after="40"/>
              <w:jc w:val="left"/>
            </w:pPr>
            <w:r>
              <w:rPr>
                <w:sz w:val="18"/>
              </w:rPr>
              <w:t xml:space="preserve">Soft</w:t>
            </w:r>
          </w:p>
        </w:tc>
        <w:tc>
          <w:tcPr>
            <w:tcW w:w="1428" w:type="dxa"/>
          </w:tcPr>
          <w:p>
            <w:pPr>
              <w:pStyle w:val="Compact"/>
              <w:spacing w:after="40"/>
              <w:jc w:val="left"/>
            </w:pPr>
            <w:r>
              <w:rPr>
                <w:sz w:val="18"/>
              </w:rPr>
              <w:t xml:space="preserve">ALM</w:t>
            </w:r>
          </w:p>
        </w:tc>
      </w:tr>
      <w:tr>
        <w:tc>
          <w:tcPr>
            <w:tcW w:w="1978" w:type="dxa"/>
          </w:tcPr>
          <w:p>
            <w:pPr>
              <w:pStyle w:val="Compact"/>
              <w:spacing w:after="40"/>
              <w:jc w:val="left"/>
            </w:pPr>
            <w:r>
              <w:rPr>
                <w:sz w:val="18"/>
              </w:rPr>
              <w:t xml:space="preserve">Board buckets</w:t>
            </w:r>
          </w:p>
        </w:tc>
        <w:tc>
          <w:tcPr>
            <w:tcW w:w="4139" w:type="dxa"/>
          </w:tcPr>
          <w:p>
            <w:pPr>
              <w:pStyle w:val="Compact"/>
              <w:spacing w:after="40"/>
              <w:jc w:val="left"/>
            </w:pPr>
            <w:r>
              <w:rPr>
                <w:sz w:val="18"/>
              </w:rPr>
              <w:t xml:space="preserve">IV5.4</w:t>
            </w:r>
          </w:p>
        </w:tc>
        <w:tc>
          <w:tcPr>
            <w:tcW w:w="2093" w:type="dxa"/>
          </w:tcPr>
          <w:p>
            <w:pPr>
              <w:pStyle w:val="Compact"/>
              <w:spacing w:after="40"/>
              <w:jc w:val="left"/>
            </w:pPr>
            <w:r>
              <w:rPr>
                <w:sz w:val="18"/>
              </w:rPr>
              <w:t xml:space="preserve">Per policy</w:t>
            </w:r>
          </w:p>
        </w:tc>
        <w:tc>
          <w:tcPr>
            <w:tcW w:w="1428" w:type="dxa"/>
          </w:tcPr>
          <w:p>
            <w:pPr>
              <w:pStyle w:val="Compact"/>
              <w:spacing w:after="40"/>
              <w:jc w:val="left"/>
            </w:pPr>
            <w:r>
              <w:rPr>
                <w:sz w:val="18"/>
              </w:rPr>
              <w:t xml:space="preserve">Board policy</w:t>
            </w:r>
          </w:p>
        </w:tc>
      </w:tr>
    </w:tbl>
    <w:p>
      <w:pPr>
        <w:pStyle w:val="BodyText"/>
      </w:pPr>
      <w:r>
        <w:t xml:space="preserve">Each check stores inputs, rule version and result. A failed hard check blocks approval and cannot be overridden; a soft check needs a reasoned override by the next level. The restricted list is read inside the tenant at check time and again at approval; an issuer added between check and release moves an</w:t>
      </w:r>
      <w:r>
        <w:t xml:space="preserve"> </w:t>
      </w:r>
      <w:r>
        <w:rPr>
          <w:rStyle w:val="VerbatimChar"/>
        </w:rPr>
        <w:t xml:space="preserve">APPROVED</w:t>
      </w:r>
      <w:r>
        <w:t xml:space="preserve"> </w:t>
      </w:r>
      <w:r>
        <w:t xml:space="preserve">order back to</w:t>
      </w:r>
      <w:r>
        <w:t xml:space="preserve"> </w:t>
      </w:r>
      <w:r>
        <w:rPr>
          <w:rStyle w:val="VerbatimChar"/>
        </w:rPr>
        <w:t xml:space="preserve">REJECTED_BY_CHECK</w:t>
      </w:r>
      <w:r>
        <w:t xml:space="preserve"> </w:t>
      </w:r>
      <w:r>
        <w:t xml:space="preserve">and alerts the CCO. The wall exception (Settings) is off by default.</w:t>
      </w:r>
    </w:p>
    <w:bookmarkEnd w:id="609"/>
    <w:bookmarkStart w:id="610" w:name="iv2.3-execution-capture-and-settlement"/>
    <w:p>
      <w:pPr>
        <w:pStyle w:val="Heading3"/>
      </w:pPr>
      <w:r>
        <w:t xml:space="preserve">IV2.3 Execution capture and settlement</w:t>
      </w:r>
    </w:p>
    <w:p>
      <w:pPr>
        <w:numPr>
          <w:ilvl w:val="0"/>
          <w:numId w:val="1504"/>
        </w:numPr>
        <w:pStyle w:val="Compact"/>
      </w:pPr>
      <w:r>
        <w:t xml:space="preserve">Contract notes imported (PDF parsed, CSV or XML; bulk upload or broker e-mail drop folder): trade date and time, exchange, ISIN, side, quantity, price, brokerage, STT, stamp duty, exchange and SEBI fees, GST, settlement number. The file hash is the idempotency key; a re-imported note is ignored, and a revised note from the broker supersedes the earlier one with both kept.</w:t>
      </w:r>
    </w:p>
    <w:p>
      <w:pPr>
        <w:numPr>
          <w:ilvl w:val="0"/>
          <w:numId w:val="1504"/>
        </w:numPr>
        <w:pStyle w:val="Compact"/>
      </w:pPr>
      <w:r>
        <w:rPr>
          <w:bCs/>
          <w:b/>
        </w:rPr>
        <w:t xml:space="preserve">Matching:</w:t>
      </w:r>
      <w:r>
        <w:t xml:space="preserve"> </w:t>
      </w:r>
      <w:r>
        <w:t xml:space="preserve">by broker order number, else by (ISIN, side, trade date, quantity) to a</w:t>
      </w:r>
      <w:r>
        <w:t xml:space="preserve"> </w:t>
      </w:r>
      <w:r>
        <w:rPr>
          <w:rStyle w:val="VerbatimChar"/>
        </w:rPr>
        <w:t xml:space="preserve">RELEASED_TO_BROKER</w:t>
      </w:r>
      <w:r>
        <w:t xml:space="preserve"> </w:t>
      </w:r>
      <w:r>
        <w:t xml:space="preserve">order; price within the approved limit and charges within the tolerance; unmatched notes go to the contract-note inbox; a note not received by T+1 for a released order raises a back-office task.</w:t>
      </w:r>
    </w:p>
    <w:p>
      <w:pPr>
        <w:numPr>
          <w:ilvl w:val="0"/>
          <w:numId w:val="1504"/>
        </w:numPr>
        <w:pStyle w:val="Compact"/>
      </w:pPr>
      <w:r>
        <w:t xml:space="preserve">Trade-date accounting;</w:t>
      </w:r>
      <w:r>
        <w:t xml:space="preserve"> </w:t>
      </w:r>
      <w:r>
        <w:rPr>
          <w:rStyle w:val="VerbatimChar"/>
        </w:rPr>
        <w:t xml:space="preserve">TradeBooked</w:t>
      </w:r>
      <w:r>
        <w:t xml:space="preserve"> </w:t>
      </w:r>
      <w:r>
        <w:t xml:space="preserve">emitted with order ID, contract-note hash and posting ID.</w:t>
      </w:r>
    </w:p>
    <w:p>
      <w:pPr>
        <w:numPr>
          <w:ilvl w:val="0"/>
          <w:numId w:val="1504"/>
        </w:numPr>
        <w:pStyle w:val="Compact"/>
      </w:pPr>
      <w:r>
        <w:t xml:space="preserve">Funds and securities obligations tracked to the settlement date (equity T+1 [VERIFY current cycle per segment]); failed or short deliveries open an exception.</w:t>
      </w:r>
    </w:p>
    <w:p>
      <w:pPr>
        <w:numPr>
          <w:ilvl w:val="0"/>
          <w:numId w:val="1504"/>
        </w:numPr>
        <w:pStyle w:val="Compact"/>
      </w:pPr>
      <w:r>
        <w:t xml:space="preserve">Cost basis per Board policy (weighted average or FIFO) [REC: FIFO tax-lot tracking held in parallel for tax].</w:t>
      </w:r>
    </w:p>
    <w:bookmarkEnd w:id="610"/>
    <w:bookmarkStart w:id="611" w:name="X3e951a4d2df882f36bcb1ced66a30408f80bb88"/>
    <w:p>
      <w:pPr>
        <w:pStyle w:val="Heading3"/>
      </w:pPr>
      <w:r>
        <w:t xml:space="preserve">IV2.4 Government securities and corporate bonds</w:t>
      </w:r>
    </w:p>
    <w:p>
      <w:pPr>
        <w:numPr>
          <w:ilvl w:val="0"/>
          <w:numId w:val="1505"/>
        </w:numPr>
        <w:pStyle w:val="Compact"/>
      </w:pPr>
      <w:r>
        <w:t xml:space="preserve">G-sec transactions only through a gilt account or demat account (INV paras 11–12).</w:t>
      </w:r>
    </w:p>
    <w:p>
      <w:pPr>
        <w:numPr>
          <w:ilvl w:val="0"/>
          <w:numId w:val="1505"/>
        </w:numPr>
        <w:pStyle w:val="Compact"/>
      </w:pPr>
      <w:r>
        <w:rPr>
          <w:bCs/>
          <w:b/>
        </w:rPr>
        <w:t xml:space="preserve">OTC corporate-bond trades reported within 15 minutes</w:t>
      </w:r>
      <w:r>
        <w:t xml:space="preserve"> </w:t>
      </w:r>
      <w:r>
        <w:t xml:space="preserve">on the exchange reporting platform (INV para 13): the timer starts at the execution timestamp; the reporting reference is captured; a late report is logged with reason and counted in the compliance KRI.</w:t>
      </w:r>
    </w:p>
    <w:bookmarkEnd w:id="611"/>
    <w:bookmarkStart w:id="612" w:name="iv2.5-demat-and-holding-reconciliation"/>
    <w:p>
      <w:pPr>
        <w:pStyle w:val="Heading3"/>
      </w:pPr>
      <w:r>
        <w:t xml:space="preserve">IV2.5 Demat and holding reconciliation</w:t>
      </w:r>
    </w:p>
    <w:p>
      <w:pPr>
        <w:numPr>
          <w:ilvl w:val="0"/>
          <w:numId w:val="1506"/>
        </w:numPr>
        <w:pStyle w:val="Compact"/>
      </w:pPr>
      <w:r>
        <w:t xml:space="preserve">Daily (minimum monthly) import of NSDL and CDSL holding statements and RTA or MF Central statements; reconcile by account, ISIN and status (free, pledged, locked-in, frozen).</w:t>
      </w:r>
    </w:p>
    <w:p>
      <w:pPr>
        <w:numPr>
          <w:ilvl w:val="0"/>
          <w:numId w:val="1506"/>
        </w:numPr>
        <w:pStyle w:val="Compact"/>
      </w:pPr>
      <w:r>
        <w:t xml:space="preserve">Break types: quantity, status, missing ISIN, unexpected credit; each break has an owner and ageing.</w:t>
      </w:r>
    </w:p>
    <w:p>
      <w:pPr>
        <w:numPr>
          <w:ilvl w:val="0"/>
          <w:numId w:val="1506"/>
        </w:numPr>
        <w:pStyle w:val="Compact"/>
      </w:pPr>
      <w:r>
        <w:t xml:space="preserve">Own holdings are segregated from LAS collateral (Part 6.4); a borrower’s pledged securities never appear in the tenant’s positions.</w:t>
      </w:r>
    </w:p>
    <w:bookmarkEnd w:id="612"/>
    <w:bookmarkStart w:id="613" w:name="iv2.6-corporate-actions"/>
    <w:p>
      <w:pPr>
        <w:pStyle w:val="Heading3"/>
      </w:pPr>
      <w:r>
        <w:t xml:space="preserve">IV2.6 Corporate actions</w:t>
      </w:r>
    </w:p>
    <w:p>
      <w:pPr>
        <w:numPr>
          <w:ilvl w:val="0"/>
          <w:numId w:val="1507"/>
        </w:numPr>
        <w:pStyle w:val="Compact"/>
      </w:pPr>
      <w:r>
        <w:t xml:space="preserve">Event master: dividend, interest, redemption, split, bonus, rights, merger, demerger, buyback, conversion, delisting; announcement, ex-date, record date, payment date; source (licensed exchange feed, depository or RTA notice).</w:t>
      </w:r>
    </w:p>
    <w:p>
      <w:pPr>
        <w:numPr>
          <w:ilvl w:val="0"/>
          <w:numId w:val="1507"/>
        </w:numPr>
        <w:pStyle w:val="Compact"/>
      </w:pPr>
      <w:r>
        <w:t xml:space="preserve">Entitlement computed on record-date holdings; quantity and cost adjusted (split and bonus re-base unit cost; merger at the scheme ratio; rights captured as a new order ticket); income per INV paras 22–24; TDS receivable recorded.</w:t>
      </w:r>
    </w:p>
    <w:p>
      <w:pPr>
        <w:numPr>
          <w:ilvl w:val="0"/>
          <w:numId w:val="1507"/>
        </w:numPr>
        <w:pStyle w:val="Compact"/>
      </w:pPr>
      <w:r>
        <w:t xml:space="preserve">Reconciled against the demat credit and the bank receipt; unreceived entitlements age as exceptions.</w:t>
      </w:r>
    </w:p>
    <w:bookmarkEnd w:id="613"/>
    <w:bookmarkStart w:id="614" w:name="acceptance-tests-48"/>
    <w:p>
      <w:pPr>
        <w:pStyle w:val="Heading3"/>
      </w:pPr>
      <w:r>
        <w:t xml:space="preserve">Acceptance tests</w:t>
      </w:r>
    </w:p>
    <w:p>
      <w:pPr>
        <w:numPr>
          <w:ilvl w:val="0"/>
          <w:numId w:val="1508"/>
        </w:numPr>
        <w:pStyle w:val="Compact"/>
      </w:pPr>
      <w:r>
        <w:t xml:space="preserve">An order for a non-whitelisted instrument → blocked at</w:t>
      </w:r>
      <w:r>
        <w:t xml:space="preserve"> </w:t>
      </w:r>
      <w:r>
        <w:rPr>
          <w:rStyle w:val="VerbatimChar"/>
        </w:rPr>
        <w:t xml:space="preserve">PRE_TRADE_CHECKED</w:t>
      </w:r>
      <w:r>
        <w:t xml:space="preserve">.</w:t>
      </w:r>
    </w:p>
    <w:p>
      <w:pPr>
        <w:numPr>
          <w:ilvl w:val="0"/>
          <w:numId w:val="1508"/>
        </w:numPr>
        <w:pStyle w:val="Compact"/>
      </w:pPr>
      <w:r>
        <w:t xml:space="preserve">The dealer who drafted an order tries to approve it → refused.</w:t>
      </w:r>
    </w:p>
    <w:p>
      <w:pPr>
        <w:numPr>
          <w:ilvl w:val="0"/>
          <w:numId w:val="1508"/>
        </w:numPr>
        <w:pStyle w:val="Compact"/>
      </w:pPr>
      <w:r>
        <w:t xml:space="preserve">OTC bond executed 11:02, reported 11:21 → late report logged and KRI incremented.</w:t>
      </w:r>
    </w:p>
    <w:p>
      <w:pPr>
        <w:numPr>
          <w:ilvl w:val="0"/>
          <w:numId w:val="1508"/>
        </w:numPr>
        <w:pStyle w:val="Compact"/>
      </w:pPr>
      <w:r>
        <w:t xml:space="preserve">A 1:1 bonus on 1,000 shares at ₹200 cost → 2,000 shares at ₹100; total cost unchanged.</w:t>
      </w:r>
    </w:p>
    <w:p>
      <w:pPr>
        <w:numPr>
          <w:ilvl w:val="0"/>
          <w:numId w:val="1508"/>
        </w:numPr>
        <w:pStyle w:val="Compact"/>
      </w:pPr>
      <w:r>
        <w:t xml:space="preserve">A pledged LAS security of a borrower in the same demat file → excluded from the tenant’s positions and reconciled to Part 6.4.</w:t>
      </w:r>
    </w:p>
    <w:p>
      <w:pPr>
        <w:numPr>
          <w:ilvl w:val="0"/>
          <w:numId w:val="1508"/>
        </w:numPr>
        <w:pStyle w:val="Compact"/>
      </w:pPr>
      <w:r>
        <w:t xml:space="preserve">A contract note without a matching approved order →</w:t>
      </w:r>
      <w:r>
        <w:t xml:space="preserve"> </w:t>
      </w:r>
      <w:r>
        <w:rPr>
          <w:rStyle w:val="VerbatimChar"/>
        </w:rPr>
        <w:t xml:space="preserve">BROKER_ERROR</w:t>
      </w:r>
      <w:r>
        <w:t xml:space="preserve"> </w:t>
      </w:r>
      <w:r>
        <w:t xml:space="preserve">exception; no position created.</w:t>
      </w:r>
    </w:p>
    <w:p>
      <w:pPr>
        <w:numPr>
          <w:ilvl w:val="0"/>
          <w:numId w:val="1508"/>
        </w:numPr>
        <w:pStyle w:val="Compact"/>
      </w:pPr>
      <w:r>
        <w:t xml:space="preserve">An order in a listed borrower’s NCD while that issuer is on the GV4.4 restricted list →</w:t>
      </w:r>
      <w:r>
        <w:t xml:space="preserve"> </w:t>
      </w:r>
      <w:r>
        <w:rPr>
          <w:rStyle w:val="VerbatimChar"/>
        </w:rPr>
        <w:t xml:space="preserve">REJECTED_BY_CHECK</w:t>
      </w:r>
      <w:r>
        <w:t xml:space="preserve"> </w:t>
      </w:r>
      <w:r>
        <w:t xml:space="preserve">with</w:t>
      </w:r>
      <w:r>
        <w:t xml:space="preserve"> </w:t>
      </w:r>
      <w:r>
        <w:rPr>
          <w:rStyle w:val="VerbatimChar"/>
        </w:rPr>
        <w:t xml:space="preserve">RESTRICTED_LIST</w:t>
      </w:r>
      <w:r>
        <w:t xml:space="preserve">; the dealer’s screen shows no UPSI detail.</w:t>
      </w:r>
    </w:p>
    <w:p>
      <w:pPr>
        <w:numPr>
          <w:ilvl w:val="0"/>
          <w:numId w:val="1508"/>
        </w:numPr>
        <w:pStyle w:val="Compact"/>
      </w:pPr>
      <w:r>
        <w:t xml:space="preserve">Issuer added to the restricted list after approval but before release → order returns to</w:t>
      </w:r>
      <w:r>
        <w:t xml:space="preserve"> </w:t>
      </w:r>
      <w:r>
        <w:rPr>
          <w:rStyle w:val="VerbatimChar"/>
        </w:rPr>
        <w:t xml:space="preserve">REJECTED_BY_CHECK</w:t>
      </w:r>
      <w:r>
        <w:t xml:space="preserve"> </w:t>
      </w:r>
      <w:r>
        <w:t xml:space="preserve">and the CCO is alerted.</w:t>
      </w:r>
    </w:p>
    <w:p>
      <w:pPr>
        <w:numPr>
          <w:ilvl w:val="0"/>
          <w:numId w:val="1508"/>
        </w:numPr>
        <w:pStyle w:val="Compact"/>
      </w:pPr>
      <w:r>
        <w:t xml:space="preserve">Contract note shows 1,200 shares against an approved 1,000 → 200 shares to</w:t>
      </w:r>
      <w:r>
        <w:t xml:space="preserve"> </w:t>
      </w:r>
      <w:r>
        <w:rPr>
          <w:rStyle w:val="VerbatimChar"/>
        </w:rPr>
        <w:t xml:space="preserve">BROKER_ERROR</w:t>
      </w:r>
      <w:r>
        <w:t xml:space="preserve">; 1,000 booked.</w:t>
      </w:r>
    </w:p>
    <w:p>
      <w:pPr>
        <w:numPr>
          <w:ilvl w:val="0"/>
          <w:numId w:val="1508"/>
        </w:numPr>
        <w:pStyle w:val="Compact"/>
      </w:pPr>
      <w:r>
        <w:t xml:space="preserve">The same contract-note file imported twice → one trade;</w:t>
      </w:r>
      <w:r>
        <w:t xml:space="preserve"> </w:t>
      </w:r>
      <w:r>
        <w:rPr>
          <w:rStyle w:val="VerbatimChar"/>
        </w:rPr>
        <w:t xml:space="preserve">TradeBooked</w:t>
      </w:r>
      <w:r>
        <w:t xml:space="preserve"> </w:t>
      </w:r>
      <w:r>
        <w:t xml:space="preserve">emitted once.</w:t>
      </w:r>
    </w:p>
    <w:p>
      <w:pPr>
        <w:numPr>
          <w:ilvl w:val="0"/>
          <w:numId w:val="1508"/>
        </w:numPr>
        <w:pStyle w:val="Compact"/>
      </w:pPr>
      <w:r>
        <w:t xml:space="preserve">A released order with no contract note by T+1 → back-office task opened.</w:t>
      </w:r>
    </w:p>
    <w:p>
      <w:r>
        <w:pict>
          <v:rect style="width:0;height:1.5pt" o:hralign="center" o:hrstd="t" o:hr="t"/>
        </w:pict>
      </w:r>
    </w:p>
    <w:bookmarkEnd w:id="614"/>
    <w:bookmarkEnd w:id="615"/>
    <w:bookmarkStart w:id="620" w:name="iv3.-ipo-participation-mainboard-and-sme"/>
    <w:p>
      <w:pPr>
        <w:pStyle w:val="Heading2"/>
      </w:pPr>
      <w:r>
        <w:t xml:space="preserve">IV3. IPO participation (mainboard and SME)</w:t>
      </w:r>
    </w:p>
    <w:bookmarkStart w:id="616" w:name="iv3.1-scope"/>
    <w:p>
      <w:pPr>
        <w:pStyle w:val="Heading3"/>
      </w:pPr>
      <w:r>
        <w:t xml:space="preserve">IV3.1 Scope</w:t>
      </w:r>
    </w:p>
    <w:p>
      <w:pPr>
        <w:pStyle w:val="FirstParagraph"/>
      </w:pPr>
      <w:r>
        <w:t xml:space="preserve">Own-account subscription by the tenant.</w:t>
      </w:r>
      <w:r>
        <w:t xml:space="preserve"> </w:t>
      </w:r>
      <w:r>
        <w:rPr>
          <w:bCs/>
          <w:b/>
        </w:rPr>
        <w:t xml:space="preserve">IPO funding to borrowers</w:t>
      </w:r>
      <w:r>
        <w:t xml:space="preserve"> </w:t>
      </w:r>
      <w:r>
        <w:t xml:space="preserve">is lending: ceiling ₹1 crore per borrower (CON paras 11, 24(2); CF para 104), enforced in the loan products and reported as CME.</w:t>
      </w:r>
    </w:p>
    <w:bookmarkEnd w:id="616"/>
    <w:bookmarkStart w:id="617" w:name="iv3.2-issue-master-and-eligibility"/>
    <w:p>
      <w:pPr>
        <w:pStyle w:val="Heading3"/>
      </w:pPr>
      <w:r>
        <w:t xml:space="preserve">IV3.2 Issue master and eligibility</w:t>
      </w:r>
    </w:p>
    <w:p>
      <w:pPr>
        <w:numPr>
          <w:ilvl w:val="0"/>
          <w:numId w:val="1509"/>
        </w:numPr>
        <w:pStyle w:val="Compact"/>
      </w:pPr>
      <w:r>
        <w:t xml:space="preserve">Issue: issuer, mainboard or SME, exchange, price band, lot size, category quotas, anchor portion, bid dates, allotment and listing dates.</w:t>
      </w:r>
    </w:p>
    <w:p>
      <w:pPr>
        <w:numPr>
          <w:ilvl w:val="0"/>
          <w:numId w:val="1509"/>
        </w:numPr>
        <w:pStyle w:val="Compact"/>
      </w:pPr>
      <w:r>
        <w:rPr>
          <w:bCs/>
          <w:b/>
        </w:rPr>
        <w:t xml:space="preserve">Book-building quotas</w:t>
      </w:r>
      <w:r>
        <w:t xml:space="preserve"> </w:t>
      </w:r>
      <w:r>
        <w:t xml:space="preserve">(ICDR Reg 32): QIB ≤ 50%, NII ≥ 15%, retail ≥ 35%; QIB ≥ 75% for Reg 6(2) issuers; anchor ≤ 60% of the QIB portion [VERIFY all on sebi.gov.in].</w:t>
      </w:r>
    </w:p>
    <w:p>
      <w:pPr>
        <w:numPr>
          <w:ilvl w:val="0"/>
          <w:numId w:val="1509"/>
        </w:numPr>
        <w:pStyle w:val="Compact"/>
      </w:pPr>
      <w:r>
        <w:rPr>
          <w:bCs/>
          <w:b/>
        </w:rPr>
        <w:t xml:space="preserve">QIB category</w:t>
      </w:r>
      <w:r>
        <w:t xml:space="preserve"> </w:t>
      </w:r>
      <w:r>
        <w:t xml:space="preserve">only with a current attestation (GR-7H-11): ICDR Reg 2(1)(ss) lists</w:t>
      </w:r>
      <w:r>
        <w:t xml:space="preserve"> </w:t>
      </w:r>
      <w:r>
        <w:t xml:space="preserve">“</w:t>
      </w:r>
      <w:r>
        <w:t xml:space="preserve">systemically important non-banking financial companies</w:t>
      </w:r>
      <w:r>
        <w:t xml:space="preserve">”</w:t>
      </w:r>
      <w:r>
        <w:t xml:space="preserve">, tied to net worth above ₹500 crore per the last audited accounts [VERIFY wording]; SEBI has not aligned it with SBR layers. The attestation records the test, the audited net worth and a legal sign-off, refreshed on each audited balance sheet.</w:t>
      </w:r>
    </w:p>
    <w:p>
      <w:pPr>
        <w:numPr>
          <w:ilvl w:val="0"/>
          <w:numId w:val="1509"/>
        </w:numPr>
        <w:pStyle w:val="Compact"/>
      </w:pPr>
      <w:r>
        <w:rPr>
          <w:bCs/>
          <w:b/>
        </w:rPr>
        <w:t xml:space="preserve">NII sub-categories:</w:t>
      </w:r>
      <w:r>
        <w:t xml:space="preserve"> </w:t>
      </w:r>
      <w:r>
        <w:t xml:space="preserve">one-third for applications up to ₹10 lakh and two-thirds above ₹10 lakh;</w:t>
      </w:r>
      <w:r>
        <w:t xml:space="preserve"> </w:t>
      </w:r>
      <w:r>
        <w:rPr>
          <w:bCs/>
          <w:b/>
        </w:rPr>
        <w:t xml:space="preserve">SME minimum application</w:t>
      </w:r>
      <w:r>
        <w:t xml:space="preserve"> </w:t>
      </w:r>
      <w:r>
        <w:t xml:space="preserve">two lots (≥ ₹2 lakh) (ICDR amendment of 4 Mar 2025).</w:t>
      </w:r>
    </w:p>
    <w:p>
      <w:pPr>
        <w:numPr>
          <w:ilvl w:val="0"/>
          <w:numId w:val="1509"/>
        </w:numPr>
        <w:pStyle w:val="Compact"/>
      </w:pPr>
      <w:r>
        <w:rPr>
          <w:bCs/>
          <w:b/>
        </w:rPr>
        <w:t xml:space="preserve">SME issue diligence checklist</w:t>
      </w:r>
      <w:r>
        <w:t xml:space="preserve"> </w:t>
      </w:r>
      <w:r>
        <w:t xml:space="preserve">(facts from the offer document for the investment committee; not advice): EBITDA ≥ ₹1 crore in 2 of 3 years; OFS ≤ 20% of issue; selling shareholders ≤ 50% of holding; general corporate purposes ≤ 15% or ₹10 crore; no proceeds to repay promoter or related-party loans; excess promoter holding locked in 50% for 2 years and 50% for 1 year (ICDR amendment 4 Mar 2025; LODR amendment 28 Mar 2025).</w:t>
      </w:r>
    </w:p>
    <w:bookmarkEnd w:id="617"/>
    <w:bookmarkStart w:id="618" w:name="iv3.3-workflow"/>
    <w:p>
      <w:pPr>
        <w:pStyle w:val="Heading3"/>
      </w:pPr>
      <w:r>
        <w:t xml:space="preserve">IV3.3 Workflow</w:t>
      </w:r>
    </w:p>
    <w:p>
      <w:pPr>
        <w:pStyle w:val="FirstParagraph"/>
      </w:pPr>
      <w:r>
        <w:rPr>
          <w:rStyle w:val="VerbatimChar"/>
        </w:rPr>
        <w:t xml:space="preserve">ISSUE_CREATED → DILIGENCE_NOTE → COMMITTEE_APPROVED → BID_PLACED (ASBA block evidence) → ALLOTTED | NOT_ALLOTTED (unblock confirmed) → LISTED (T+3) → LOCK_IN → FREE</w:t>
      </w:r>
    </w:p>
    <w:p>
      <w:pPr>
        <w:numPr>
          <w:ilvl w:val="0"/>
          <w:numId w:val="1510"/>
        </w:numPr>
        <w:pStyle w:val="Compact"/>
      </w:pPr>
      <w:r>
        <w:t xml:space="preserve">Anchor allotments locked in for 30 days on 50% and 90 days on the rest; pre-IPO shares 6 months [VERIFY]. The lock-in tracker blocks any sell order before expiry and reconciles the depository lock-in status.</w:t>
      </w:r>
    </w:p>
    <w:p>
      <w:pPr>
        <w:numPr>
          <w:ilvl w:val="0"/>
          <w:numId w:val="1510"/>
        </w:numPr>
        <w:pStyle w:val="Compact"/>
      </w:pPr>
      <w:r>
        <w:t xml:space="preserve">ASBA amount held as a memo entry; allotment books the trade; unblocked funds reconciled to the bank statement.</w:t>
      </w:r>
    </w:p>
    <w:p>
      <w:pPr>
        <w:numPr>
          <w:ilvl w:val="0"/>
          <w:numId w:val="1510"/>
        </w:numPr>
        <w:pStyle w:val="Compact"/>
      </w:pPr>
      <w:r>
        <w:t xml:space="preserve">Pre-trade checks of IV2.2 apply at</w:t>
      </w:r>
      <w:r>
        <w:t xml:space="preserve"> </w:t>
      </w:r>
      <w:r>
        <w:rPr>
          <w:rStyle w:val="VerbatimChar"/>
        </w:rPr>
        <w:t xml:space="preserve">COMMITTEE_APPROVED</w:t>
      </w:r>
      <w:r>
        <w:t xml:space="preserve"> </w:t>
      </w:r>
      <w:r>
        <w:t xml:space="preserve">and again before</w:t>
      </w:r>
      <w:r>
        <w:t xml:space="preserve"> </w:t>
      </w:r>
      <w:r>
        <w:rPr>
          <w:rStyle w:val="VerbatimChar"/>
        </w:rPr>
        <w:t xml:space="preserve">BID_PLACED</w:t>
      </w:r>
      <w:r>
        <w:t xml:space="preserve">, including the restricted list, CME and issuer group exposure (the issuer may be a borrower).</w:t>
      </w:r>
    </w:p>
    <w:p>
      <w:pPr>
        <w:numPr>
          <w:ilvl w:val="0"/>
          <w:numId w:val="1510"/>
        </w:numPr>
        <w:pStyle w:val="Compact"/>
      </w:pPr>
      <w:r>
        <w:t xml:space="preserve">Side exits:</w:t>
      </w:r>
      <w:r>
        <w:t xml:space="preserve"> </w:t>
      </w:r>
      <w:r>
        <w:rPr>
          <w:rStyle w:val="VerbatimChar"/>
        </w:rPr>
        <w:t xml:space="preserve">WITHDRAWN</w:t>
      </w:r>
      <w:r>
        <w:t xml:space="preserve"> </w:t>
      </w:r>
      <w:r>
        <w:t xml:space="preserve">(only where the investor category may withdraw or lower a bid [VERIFY: ICDR rules for QIB and NII bids]; unblock confirmed);</w:t>
      </w:r>
      <w:r>
        <w:t xml:space="preserve"> </w:t>
      </w:r>
      <w:r>
        <w:rPr>
          <w:rStyle w:val="VerbatimChar"/>
        </w:rPr>
        <w:t xml:space="preserve">ISSUE_WITHDRAWN</w:t>
      </w:r>
      <w:r>
        <w:t xml:space="preserve"> </w:t>
      </w:r>
      <w:r>
        <w:t xml:space="preserve">or</w:t>
      </w:r>
      <w:r>
        <w:t xml:space="preserve"> </w:t>
      </w:r>
      <w:r>
        <w:rPr>
          <w:rStyle w:val="VerbatimChar"/>
        </w:rPr>
        <w:t xml:space="preserve">ISSUE_FAILED</w:t>
      </w:r>
      <w:r>
        <w:t xml:space="preserve"> </w:t>
      </w:r>
      <w:r>
        <w:t xml:space="preserve">(unblock confirmed; memo reversed).</w:t>
      </w:r>
    </w:p>
    <w:bookmarkEnd w:id="618"/>
    <w:bookmarkStart w:id="619" w:name="acceptance-tests-49"/>
    <w:p>
      <w:pPr>
        <w:pStyle w:val="Heading3"/>
      </w:pPr>
      <w:r>
        <w:t xml:space="preserve">Acceptance tests</w:t>
      </w:r>
    </w:p>
    <w:p>
      <w:pPr>
        <w:numPr>
          <w:ilvl w:val="0"/>
          <w:numId w:val="1511"/>
        </w:numPr>
        <w:pStyle w:val="Compact"/>
      </w:pPr>
      <w:r>
        <w:t xml:space="preserve">An NBFC without a current QIB attestation selects the QIB category → blocked; NII available.</w:t>
      </w:r>
    </w:p>
    <w:p>
      <w:pPr>
        <w:numPr>
          <w:ilvl w:val="0"/>
          <w:numId w:val="1511"/>
        </w:numPr>
        <w:pStyle w:val="Compact"/>
      </w:pPr>
      <w:r>
        <w:t xml:space="preserve">SME bid of one lot worth ₹1.2 lakh → blocked (minimum two lots, ≥ ₹2 lakh).</w:t>
      </w:r>
    </w:p>
    <w:p>
      <w:pPr>
        <w:numPr>
          <w:ilvl w:val="0"/>
          <w:numId w:val="1511"/>
        </w:numPr>
        <w:pStyle w:val="Compact"/>
      </w:pPr>
      <w:r>
        <w:t xml:space="preserve">A sell order on anchor shares on day 25 after allotment → blocked.</w:t>
      </w:r>
    </w:p>
    <w:p>
      <w:pPr>
        <w:numPr>
          <w:ilvl w:val="0"/>
          <w:numId w:val="1511"/>
        </w:numPr>
        <w:pStyle w:val="Compact"/>
      </w:pPr>
      <w:r>
        <w:t xml:space="preserve">A loan to fund IPO subscription of ₹1.2 crore for one borrower → blocked in the loan product.</w:t>
      </w:r>
    </w:p>
    <w:p>
      <w:pPr>
        <w:numPr>
          <w:ilvl w:val="0"/>
          <w:numId w:val="1511"/>
        </w:numPr>
        <w:pStyle w:val="Compact"/>
      </w:pPr>
      <w:r>
        <w:t xml:space="preserve">Unallotted application with ASBA block not released within the issue timeline → exception opened.</w:t>
      </w:r>
    </w:p>
    <w:p>
      <w:r>
        <w:pict>
          <v:rect style="width:0;height:1.5pt" o:hralign="center" o:hrstd="t" o:hr="t"/>
        </w:pict>
      </w:r>
    </w:p>
    <w:bookmarkEnd w:id="619"/>
    <w:bookmarkEnd w:id="620"/>
    <w:bookmarkStart w:id="627" w:name="X1ddae281522c81a419f0edf5fd15fc41014019b"/>
    <w:p>
      <w:pPr>
        <w:pStyle w:val="Heading2"/>
      </w:pPr>
      <w:r>
        <w:t xml:space="preserve">IV4. AIF, REIT, InvIT and security-receipt investments</w:t>
      </w:r>
    </w:p>
    <w:bookmarkStart w:id="621" w:name="iv4.1-aif-rules-from-1-january-2026"/>
    <w:p>
      <w:pPr>
        <w:pStyle w:val="Heading3"/>
      </w:pPr>
      <w:r>
        <w:t xml:space="preserve">IV4.1 AIF rules from 1 January 2026</w:t>
      </w:r>
    </w:p>
    <w:p>
      <w:pPr>
        <w:pStyle w:val="FirstParagraph"/>
      </w:pPr>
      <w:r>
        <w:t xml:space="preserve">RBI (Investment in AIF) Directions 2025 (RBI/DOR/2025-26/138, 29 Jul 2025), consolidated for NBFCs into the Undertaking of Financial Services Directions 2025 [VERIFY final paragraph numbers; the draft showed paras 7–15]. Paragraph numbers below are those of the July 2025 Direction. Scope: commercial banks (incl. SFB, LAB, RRB), UCB, StCB, DCCB, AIFIs and NBFCs incl. HFCs (para 3); NBFC-CICs and ARCs [VERIFY].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401"/>
        <w:gridCol w:w="4335"/>
        <w:gridCol w:w="1902"/>
      </w:tblGrid>
      <w:tr>
        <w:trPr>
          <w:tblHeader w:val="true"/>
          <w:tblHeader w:val="true"/>
        </w:trPr>
        <w:tc>
          <w:tcPr>
            <w:tcW w:w="3401" w:type="dxa"/>
            <w:shd w:val="clear" w:color="auto" w:fill="1F3A5F"/>
          </w:tcPr>
          <w:p>
            <w:pPr>
              <w:pStyle w:val="Compact"/>
              <w:spacing w:after="40"/>
              <w:jc w:val="left"/>
            </w:pPr>
            <w:r>
              <w:rPr>
                <w:b/>
                <w:color w:val="FFFFFF"/>
                <w:sz w:val="18"/>
              </w:rPr>
              <w:t xml:space="preserve">Rule</w:t>
            </w:r>
          </w:p>
        </w:tc>
        <w:tc>
          <w:tcPr>
            <w:tcW w:w="4335" w:type="dxa"/>
            <w:shd w:val="clear" w:color="auto" w:fill="1F3A5F"/>
          </w:tcPr>
          <w:p>
            <w:pPr>
              <w:pStyle w:val="Compact"/>
              <w:spacing w:after="40"/>
              <w:jc w:val="left"/>
            </w:pPr>
            <w:r>
              <w:rPr>
                <w:b/>
                <w:color w:val="FFFFFF"/>
                <w:sz w:val="18"/>
              </w:rPr>
              <w:t xml:space="preserve">Implementation</w:t>
            </w:r>
          </w:p>
        </w:tc>
        <w:tc>
          <w:tcPr>
            <w:tcW w:w="1902" w:type="dxa"/>
            <w:shd w:val="clear" w:color="auto" w:fill="1F3A5F"/>
          </w:tcPr>
          <w:p>
            <w:pPr>
              <w:pStyle w:val="Compact"/>
              <w:spacing w:after="40"/>
              <w:jc w:val="left"/>
            </w:pPr>
            <w:r>
              <w:rPr>
                <w:b/>
                <w:color w:val="FFFFFF"/>
                <w:sz w:val="18"/>
              </w:rPr>
              <w:t xml:space="preserve">Basis</w:t>
            </w:r>
          </w:p>
        </w:tc>
      </w:tr>
      <w:tr>
        <w:tc>
          <w:tcPr>
            <w:tcW w:w="3401" w:type="dxa"/>
          </w:tcPr>
          <w:p>
            <w:pPr>
              <w:pStyle w:val="Compact"/>
              <w:spacing w:after="40"/>
              <w:jc w:val="left"/>
            </w:pPr>
            <w:r>
              <w:rPr>
                <w:sz w:val="18"/>
              </w:rPr>
              <w:t xml:space="preserve">Individual RE ≤ 10% of a scheme’s corpus</w:t>
            </w:r>
          </w:p>
        </w:tc>
        <w:tc>
          <w:tcPr>
            <w:tcW w:w="4335" w:type="dxa"/>
          </w:tcPr>
          <w:p>
            <w:pPr>
              <w:pStyle w:val="Compact"/>
              <w:spacing w:after="40"/>
              <w:jc w:val="left"/>
            </w:pPr>
            <w:r>
              <w:rPr>
                <w:sz w:val="18"/>
              </w:rPr>
              <w:t xml:space="preserve">Hard block on commitment (GR-7H-04)</w:t>
            </w:r>
          </w:p>
        </w:tc>
        <w:tc>
          <w:tcPr>
            <w:tcW w:w="1902" w:type="dxa"/>
          </w:tcPr>
          <w:p>
            <w:pPr>
              <w:pStyle w:val="Compact"/>
              <w:spacing w:after="40"/>
              <w:jc w:val="left"/>
            </w:pPr>
            <w:r>
              <w:rPr>
                <w:sz w:val="18"/>
              </w:rPr>
              <w:t xml:space="preserve">para 6(a)</w:t>
            </w:r>
          </w:p>
        </w:tc>
      </w:tr>
      <w:tr>
        <w:tc>
          <w:tcPr>
            <w:tcW w:w="3401" w:type="dxa"/>
          </w:tcPr>
          <w:p>
            <w:pPr>
              <w:pStyle w:val="Compact"/>
              <w:spacing w:after="40"/>
              <w:jc w:val="left"/>
            </w:pPr>
            <w:r>
              <w:rPr>
                <w:sz w:val="18"/>
              </w:rPr>
              <w:t xml:space="preserve">All REs together ≤ 20% of corpus</w:t>
            </w:r>
          </w:p>
        </w:tc>
        <w:tc>
          <w:tcPr>
            <w:tcW w:w="4335" w:type="dxa"/>
          </w:tcPr>
          <w:p>
            <w:pPr>
              <w:pStyle w:val="Compact"/>
              <w:spacing w:after="40"/>
              <w:jc w:val="left"/>
            </w:pPr>
            <w:r>
              <w:rPr>
                <w:sz w:val="18"/>
              </w:rPr>
              <w:t xml:space="preserve">Manager attestation with date; re-attested each drawdown</w:t>
            </w:r>
          </w:p>
        </w:tc>
        <w:tc>
          <w:tcPr>
            <w:tcW w:w="1902" w:type="dxa"/>
          </w:tcPr>
          <w:p>
            <w:pPr>
              <w:pStyle w:val="Compact"/>
              <w:spacing w:after="40"/>
              <w:jc w:val="left"/>
            </w:pPr>
            <w:r>
              <w:rPr>
                <w:sz w:val="18"/>
              </w:rPr>
              <w:t xml:space="preserve">para 6(b)</w:t>
            </w:r>
          </w:p>
        </w:tc>
      </w:tr>
      <w:tr>
        <w:tc>
          <w:tcPr>
            <w:tcW w:w="3401" w:type="dxa"/>
          </w:tcPr>
          <w:p>
            <w:pPr>
              <w:pStyle w:val="Compact"/>
              <w:spacing w:after="40"/>
              <w:jc w:val="left"/>
            </w:pPr>
            <w:r>
              <w:rPr>
                <w:sz w:val="18"/>
              </w:rPr>
              <w:t xml:space="preserve">&gt; 5% of corpus and a downstream non-equity investment in the RE’s debtor company</w:t>
            </w:r>
          </w:p>
        </w:tc>
        <w:tc>
          <w:tcPr>
            <w:tcW w:w="4335" w:type="dxa"/>
          </w:tcPr>
          <w:p>
            <w:pPr>
              <w:pStyle w:val="Compact"/>
              <w:spacing w:after="40"/>
              <w:jc w:val="left"/>
            </w:pPr>
            <w:r>
              <w:rPr>
                <w:sz w:val="18"/>
              </w:rPr>
              <w:t xml:space="preserve">100% provision on the proportionate look-through exposure, capped at the direct exposure to that debtor</w:t>
            </w:r>
          </w:p>
        </w:tc>
        <w:tc>
          <w:tcPr>
            <w:tcW w:w="1902" w:type="dxa"/>
          </w:tcPr>
          <w:p>
            <w:pPr>
              <w:pStyle w:val="Compact"/>
              <w:spacing w:after="40"/>
              <w:jc w:val="left"/>
            </w:pPr>
            <w:r>
              <w:rPr>
                <w:sz w:val="18"/>
              </w:rPr>
              <w:t xml:space="preserve">para 6(c)</w:t>
            </w:r>
          </w:p>
        </w:tc>
      </w:tr>
      <w:tr>
        <w:tc>
          <w:tcPr>
            <w:tcW w:w="3401" w:type="dxa"/>
          </w:tcPr>
          <w:p>
            <w:pPr>
              <w:pStyle w:val="Compact"/>
              <w:spacing w:after="40"/>
              <w:jc w:val="left"/>
            </w:pPr>
            <w:r>
              <w:rPr>
                <w:sz w:val="18"/>
              </w:rPr>
              <w:t xml:space="preserve">Subordinated units</w:t>
            </w:r>
          </w:p>
        </w:tc>
        <w:tc>
          <w:tcPr>
            <w:tcW w:w="4335" w:type="dxa"/>
          </w:tcPr>
          <w:p>
            <w:pPr>
              <w:pStyle w:val="Compact"/>
              <w:spacing w:after="40"/>
              <w:jc w:val="left"/>
            </w:pPr>
            <w:r>
              <w:rPr>
                <w:sz w:val="18"/>
              </w:rPr>
              <w:t xml:space="preserve">Deducted fully from capital, proportionately from Tier 1 and Tier 2</w:t>
            </w:r>
          </w:p>
        </w:tc>
        <w:tc>
          <w:tcPr>
            <w:tcW w:w="1902" w:type="dxa"/>
          </w:tcPr>
          <w:p>
            <w:pPr>
              <w:pStyle w:val="Compact"/>
              <w:spacing w:after="40"/>
              <w:jc w:val="left"/>
            </w:pPr>
            <w:r>
              <w:rPr>
                <w:sz w:val="18"/>
              </w:rPr>
              <w:t xml:space="preserve">para 6(d); CAP para 15(1)</w:t>
            </w:r>
          </w:p>
        </w:tc>
      </w:tr>
      <w:tr>
        <w:tc>
          <w:tcPr>
            <w:tcW w:w="3401" w:type="dxa"/>
          </w:tcPr>
          <w:p>
            <w:pPr>
              <w:pStyle w:val="Compact"/>
              <w:spacing w:after="40"/>
              <w:jc w:val="left"/>
            </w:pPr>
            <w:r>
              <w:rPr>
                <w:sz w:val="18"/>
              </w:rPr>
              <w:t xml:space="preserve">Definitions</w:t>
            </w:r>
          </w:p>
        </w:tc>
        <w:tc>
          <w:tcPr>
            <w:tcW w:w="4335" w:type="dxa"/>
          </w:tcPr>
          <w:p>
            <w:pPr>
              <w:pStyle w:val="Compact"/>
              <w:spacing w:after="40"/>
              <w:jc w:val="left"/>
            </w:pPr>
            <w:r>
              <w:rPr>
                <w:sz w:val="18"/>
              </w:rPr>
              <w:t xml:space="preserve">Debtor company = loan or non-equity investment exposure in the preceding 12 months; equity instruments = equity shares, CCPS, CCDs</w:t>
            </w:r>
          </w:p>
        </w:tc>
        <w:tc>
          <w:tcPr>
            <w:tcW w:w="1902" w:type="dxa"/>
          </w:tcPr>
          <w:p>
            <w:pPr>
              <w:pStyle w:val="Compact"/>
              <w:spacing w:after="40"/>
              <w:jc w:val="left"/>
            </w:pPr>
            <w:r>
              <w:rPr>
                <w:sz w:val="18"/>
              </w:rPr>
              <w:t xml:space="preserve">para 4</w:t>
            </w:r>
          </w:p>
        </w:tc>
      </w:tr>
      <w:tr>
        <w:tc>
          <w:tcPr>
            <w:tcW w:w="3401" w:type="dxa"/>
          </w:tcPr>
          <w:p>
            <w:pPr>
              <w:pStyle w:val="Compact"/>
              <w:spacing w:after="40"/>
              <w:jc w:val="left"/>
            </w:pPr>
            <w:r>
              <w:rPr>
                <w:sz w:val="18"/>
              </w:rPr>
              <w:t xml:space="preserve">Exemptions</w:t>
            </w:r>
          </w:p>
        </w:tc>
        <w:tc>
          <w:tcPr>
            <w:tcW w:w="4335" w:type="dxa"/>
          </w:tcPr>
          <w:p>
            <w:pPr>
              <w:pStyle w:val="Compact"/>
              <w:spacing w:after="40"/>
              <w:jc w:val="left"/>
            </w:pPr>
            <w:r>
              <w:rPr>
                <w:sz w:val="18"/>
              </w:rPr>
              <w:t xml:space="preserve">Investments with prior RBI approval under the 2016 directions; Government-notified AIFs (Annex: SWAMIH Investment Fund-I)</w:t>
            </w:r>
          </w:p>
        </w:tc>
        <w:tc>
          <w:tcPr>
            <w:tcW w:w="1902" w:type="dxa"/>
          </w:tcPr>
          <w:p>
            <w:pPr>
              <w:pStyle w:val="Compact"/>
              <w:spacing w:after="40"/>
              <w:jc w:val="left"/>
            </w:pPr>
            <w:r>
              <w:rPr>
                <w:sz w:val="18"/>
              </w:rPr>
              <w:t xml:space="preserve">para 7</w:t>
            </w:r>
          </w:p>
        </w:tc>
      </w:tr>
    </w:tbl>
    <w:bookmarkEnd w:id="621"/>
    <w:bookmarkStart w:id="622" w:name="iv4.2-regime-tagging"/>
    <w:p>
      <w:pPr>
        <w:pStyle w:val="Heading3"/>
      </w:pPr>
      <w:r>
        <w:t xml:space="preserve">IV4.2 Regime tagging</w:t>
      </w:r>
    </w:p>
    <w:p>
      <w:pPr>
        <w:numPr>
          <w:ilvl w:val="0"/>
          <w:numId w:val="1512"/>
        </w:numPr>
        <w:pStyle w:val="Compact"/>
      </w:pPr>
      <w:r>
        <w:t xml:space="preserve">Effective 1 Jan 2026 (or earlier by internal policy); the 19 Dec 2023 and 27 Mar 2024 circulars repealed from that date; fully honoured commitments stay under them; commitments existing on 29 Jul 2025 or made before the effective date follow the old or the new regime</w:t>
      </w:r>
      <w:r>
        <w:t xml:space="preserve"> </w:t>
      </w:r>
      <w:r>
        <w:rPr>
          <w:bCs/>
          <w:b/>
        </w:rPr>
        <w:t xml:space="preserve">in full</w:t>
      </w:r>
      <w:r>
        <w:t xml:space="preserve"> </w:t>
      </w:r>
      <w:r>
        <w:t xml:space="preserve">(paras 2, 8).</w:t>
      </w:r>
    </w:p>
    <w:p>
      <w:pPr>
        <w:numPr>
          <w:ilvl w:val="0"/>
          <w:numId w:val="1512"/>
        </w:numPr>
        <w:pStyle w:val="Compact"/>
      </w:pPr>
      <w:r>
        <w:t xml:space="preserve">Each commitment carries</w:t>
      </w:r>
      <w:r>
        <w:t xml:space="preserve"> </w:t>
      </w:r>
      <w:r>
        <w:rPr>
          <w:rStyle w:val="VerbatimChar"/>
        </w:rPr>
        <w:t xml:space="preserve">regime = LEGACY_2023 | AIF_DIR_2025</w:t>
      </w:r>
      <w:r>
        <w:t xml:space="preserve">, irrevocable once elected. Legacy rules (INV paras 25–27): debtor look-through with exit within 30 days or 100% provision; subordinated units deducted 50:50 from Tier 1 and Tier 2; investments through fund of funds or mutual funds excluded (para 27).</w:t>
      </w:r>
    </w:p>
    <w:p>
      <w:pPr>
        <w:numPr>
          <w:ilvl w:val="0"/>
          <w:numId w:val="1512"/>
        </w:numPr>
        <w:pStyle w:val="Compact"/>
      </w:pPr>
      <w:r>
        <w:t xml:space="preserve">[VERIFY] why consolidated INV (updated 1 Jul 2026) still prints paras 25–27 (most likely for legacy commitments) and whether the fund-of-funds carve-out survives under the new regime.</w:t>
      </w:r>
    </w:p>
    <w:bookmarkEnd w:id="622"/>
    <w:bookmarkStart w:id="623" w:name="X0f0840878ed9e297b95261a7d6b9817f1891a4a"/>
    <w:p>
      <w:pPr>
        <w:pStyle w:val="Heading3"/>
      </w:pPr>
      <w:r>
        <w:t xml:space="preserve">IV4.3 Commitment lifecycle and look-through</w:t>
      </w:r>
    </w:p>
    <w:p>
      <w:pPr>
        <w:pStyle w:val="FirstParagraph"/>
      </w:pPr>
      <w:r>
        <w:rPr>
          <w:rStyle w:val="VerbatimChar"/>
        </w:rPr>
        <w:t xml:space="preserve">PROPOSED → CHECKED → APPROVED → COMMITTED → DRAWDOWN (n) → DISTRIBUTION (n) → EXITED | WOUND_UP</w:t>
      </w:r>
    </w:p>
    <w:p>
      <w:pPr>
        <w:numPr>
          <w:ilvl w:val="0"/>
          <w:numId w:val="1513"/>
        </w:numPr>
        <w:pStyle w:val="Compact"/>
      </w:pPr>
      <w:r>
        <w:t xml:space="preserve">Corpus from the PPM or the manager’s latest capital-account statement; commitment; drawdown schedule; unit class; fees.</w:t>
      </w:r>
    </w:p>
    <w:p>
      <w:pPr>
        <w:numPr>
          <w:ilvl w:val="0"/>
          <w:numId w:val="1513"/>
        </w:numPr>
        <w:pStyle w:val="Compact"/>
      </w:pPr>
      <w:r>
        <w:rPr>
          <w:bCs/>
          <w:b/>
        </w:rPr>
        <w:t xml:space="preserve">Check:</w:t>
      </w:r>
      <w:r>
        <w:t xml:space="preserve"> </w:t>
      </w:r>
      <w:r>
        <w:rPr>
          <w:rStyle w:val="VerbatimChar"/>
        </w:rPr>
        <w:t xml:space="preserve">commitment ÷ corpus ≤ 10%</w:t>
      </w:r>
      <w:r>
        <w:t xml:space="preserve"> </w:t>
      </w:r>
      <w:r>
        <w:t xml:space="preserve">(block); RE-aggregate attestation present; CME line (x) by category within the Board limit; NOF test.</w:t>
      </w:r>
    </w:p>
    <w:p>
      <w:pPr>
        <w:numPr>
          <w:ilvl w:val="0"/>
          <w:numId w:val="1513"/>
        </w:numPr>
        <w:pStyle w:val="Compact"/>
      </w:pPr>
      <w:r>
        <w:rPr>
          <w:bCs/>
          <w:b/>
        </w:rPr>
        <w:t xml:space="preserve">Quarterly look-through:</w:t>
      </w:r>
      <w:r>
        <w:t xml:space="preserve"> </w:t>
      </w:r>
      <w:r>
        <w:t xml:space="preserve">import the AIF portfolio file (investee PAN or CIN, instrument type, amount); match investees to the borrower and investee master over a rolling 12 months.</w:t>
      </w:r>
    </w:p>
    <w:p>
      <w:pPr>
        <w:numPr>
          <w:ilvl w:val="1"/>
          <w:numId w:val="1514"/>
        </w:numPr>
        <w:pStyle w:val="Compact"/>
      </w:pPr>
      <w:r>
        <w:rPr>
          <w:rStyle w:val="VerbatimChar"/>
        </w:rPr>
        <w:t xml:space="preserve">AIF_DIR_2025</w:t>
      </w:r>
      <w:r>
        <w:t xml:space="preserve">: if</w:t>
      </w:r>
      <w:r>
        <w:t xml:space="preserve"> </w:t>
      </w:r>
      <w:r>
        <w:rPr>
          <w:rStyle w:val="VerbatimChar"/>
        </w:rPr>
        <w:t xml:space="preserve">own_units ÷ total_units &gt; 5%</w:t>
      </w:r>
      <w:r>
        <w:t xml:space="preserve"> </w:t>
      </w:r>
      <w:r>
        <w:t xml:space="preserve">and the scheme holds a non-equity instrument of debtor D, then</w:t>
      </w:r>
      <w:r>
        <w:t xml:space="preserve"> </w:t>
      </w:r>
      <w:r>
        <w:rPr>
          <w:rStyle w:val="VerbatimChar"/>
        </w:rPr>
        <w:t xml:space="preserve">provision_D = min(own_share × aif_investment_in_D, direct_exposure_to_D)</w:t>
      </w:r>
      <w:r>
        <w:t xml:space="preserve"> </w:t>
      </w:r>
      <w:r>
        <w:t xml:space="preserve">at 100% [VERIFY: whether the look-through base is the non-equity holding only].</w:t>
      </w:r>
    </w:p>
    <w:p>
      <w:pPr>
        <w:numPr>
          <w:ilvl w:val="1"/>
          <w:numId w:val="1514"/>
        </w:numPr>
        <w:pStyle w:val="Compact"/>
      </w:pPr>
      <w:r>
        <w:rPr>
          <w:rStyle w:val="VerbatimChar"/>
        </w:rPr>
        <w:t xml:space="preserve">LEGACY_2023</w:t>
      </w:r>
      <w:r>
        <w:t xml:space="preserve">: start a 30-day exit clock; at expiry, 100% provision on the look-through amount (INV para 25).</w:t>
      </w:r>
    </w:p>
    <w:p>
      <w:pPr>
        <w:numPr>
          <w:ilvl w:val="1"/>
          <w:numId w:val="1514"/>
        </w:numPr>
        <w:pStyle w:val="Compact"/>
      </w:pPr>
      <w:r>
        <w:t xml:space="preserve">Manager refuses or delays the file →</w:t>
      </w:r>
      <w:r>
        <w:t xml:space="preserve"> </w:t>
      </w:r>
      <w:r>
        <w:rPr>
          <w:rStyle w:val="VerbatimChar"/>
        </w:rPr>
        <w:t xml:space="preserve">KriBreached</w:t>
      </w:r>
      <w:r>
        <w:t xml:space="preserve">, CRO escalation, file marked unverified [REC].</w:t>
      </w:r>
    </w:p>
    <w:p>
      <w:pPr>
        <w:numPr>
          <w:ilvl w:val="0"/>
          <w:numId w:val="1513"/>
        </w:numPr>
        <w:pStyle w:val="Compact"/>
      </w:pPr>
      <w:r>
        <w:rPr>
          <w:bCs/>
          <w:b/>
        </w:rPr>
        <w:t xml:space="preserve">NOF:</w:t>
      </w:r>
      <w:r>
        <w:t xml:space="preserve"> </w:t>
      </w:r>
      <w:r>
        <w:t xml:space="preserve">group investments through an AIF are treated as group investments where ≥ 50% of the AIF’s funds came from the NBFC (company form), or where the NBFC is beneficial owner and ≥ 50% contributor (trust form) (SBR para 46).</w:t>
      </w:r>
    </w:p>
    <w:p>
      <w:pPr>
        <w:numPr>
          <w:ilvl w:val="0"/>
          <w:numId w:val="1513"/>
        </w:numPr>
        <w:pStyle w:val="Compact"/>
      </w:pPr>
      <w:r>
        <w:t xml:space="preserve">Postings: commitment (memo), drawdown (investment), distributions split into income and return of capital; NAV-based fair value (Ind AS) or category valuation (AS).</w:t>
      </w:r>
    </w:p>
    <w:bookmarkEnd w:id="623"/>
    <w:bookmarkStart w:id="624" w:name="iv4.4-reit-and-invit-units"/>
    <w:p>
      <w:pPr>
        <w:pStyle w:val="Heading3"/>
      </w:pPr>
      <w:r>
        <w:t xml:space="preserve">IV4.4 REIT and InvIT units</w:t>
      </w:r>
    </w:p>
    <w:p>
      <w:pPr>
        <w:numPr>
          <w:ilvl w:val="0"/>
          <w:numId w:val="1515"/>
        </w:numPr>
        <w:pStyle w:val="Compact"/>
      </w:pPr>
      <w:r>
        <w:t xml:space="preserve">No RBI cap specific to NBFC holdings of REIT or InvIT units was found [VERIFY]. Default: non-CME investment exposure (units are not equity shares), counted in single and group limits against the trust and the sponsor group, with a Board flag to treat them as CME.</w:t>
      </w:r>
    </w:p>
    <w:p>
      <w:pPr>
        <w:numPr>
          <w:ilvl w:val="0"/>
          <w:numId w:val="1515"/>
        </w:numPr>
        <w:pStyle w:val="Compact"/>
      </w:pPr>
      <w:r>
        <w:t xml:space="preserve">Bank-specific limits (10% of unit capital; bank lending framework from 1 Oct 2026) are not applied to NBFCs.</w:t>
      </w:r>
    </w:p>
    <w:p>
      <w:pPr>
        <w:numPr>
          <w:ilvl w:val="0"/>
          <w:numId w:val="1515"/>
        </w:numPr>
        <w:pStyle w:val="Compact"/>
      </w:pPr>
      <w:r>
        <w:t xml:space="preserve">Distributions are captured by component (interest, dividend, repayment of capital, other) for accounting and tax [VERIFY Income-tax Act 2025 treatment].</w:t>
      </w:r>
    </w:p>
    <w:p>
      <w:pPr>
        <w:numPr>
          <w:ilvl w:val="0"/>
          <w:numId w:val="1515"/>
        </w:numPr>
        <w:pStyle w:val="Compact"/>
      </w:pPr>
      <w:r>
        <w:t xml:space="preserve">NBFC-CIC tenants: sponsor holdings in InvIT units count toward the 60% test (CICD para 3).</w:t>
      </w:r>
    </w:p>
    <w:bookmarkEnd w:id="624"/>
    <w:bookmarkStart w:id="625" w:name="iv4.5-security-receipts"/>
    <w:p>
      <w:pPr>
        <w:pStyle w:val="Heading3"/>
      </w:pPr>
      <w:r>
        <w:t xml:space="preserve">IV4.5 Security receipts</w:t>
      </w:r>
    </w:p>
    <w:p>
      <w:pPr>
        <w:numPr>
          <w:ilvl w:val="0"/>
          <w:numId w:val="1516"/>
        </w:numPr>
        <w:pStyle w:val="Compact"/>
      </w:pPr>
      <w:r>
        <w:t xml:space="preserve">Eligibility: QB basis (SARFAESI gazette of 28 Feb 2025) and a per-purchase declaration that the tenant is not a defaulting promoter’s related party (Part 7G IP5.7).</w:t>
      </w:r>
    </w:p>
    <w:p>
      <w:pPr>
        <w:numPr>
          <w:ilvl w:val="0"/>
          <w:numId w:val="1516"/>
        </w:numPr>
        <w:pStyle w:val="Compact"/>
      </w:pPr>
      <w:r>
        <w:rPr>
          <w:bCs/>
          <w:b/>
        </w:rPr>
        <w:t xml:space="preserve">Valuation (TDCR paras 82–86):</w:t>
      </w:r>
    </w:p>
    <w:p>
      <w:pPr>
        <w:numPr>
          <w:ilvl w:val="1"/>
          <w:numId w:val="1517"/>
        </w:numPr>
        <w:pStyle w:val="Compact"/>
      </w:pPr>
      <w:r>
        <w:t xml:space="preserve">periodic valuation at the NAV declared by the ARC from the recovery rating (para 82);</w:t>
      </w:r>
    </w:p>
    <w:p>
      <w:pPr>
        <w:numPr>
          <w:ilvl w:val="1"/>
          <w:numId w:val="1517"/>
        </w:numPr>
        <w:pStyle w:val="Compact"/>
      </w:pPr>
      <w:r>
        <w:t xml:space="preserve">SRs held by the transferor against its own transferred loans: lower of NAV-based redemption value and the NBV of the loan at transfer (para 82 proviso);</w:t>
      </w:r>
    </w:p>
    <w:p>
      <w:pPr>
        <w:numPr>
          <w:ilvl w:val="1"/>
          <w:numId w:val="1517"/>
        </w:numPr>
        <w:pStyle w:val="Compact"/>
      </w:pPr>
      <w:r>
        <w:t xml:space="preserve">transferor holding &gt; 10% of the SRs of that transfer: lower of the above and face value less the notional provision that would have applied had the loan stayed on the books (para 83);</w:t>
      </w:r>
    </w:p>
    <w:p>
      <w:pPr>
        <w:numPr>
          <w:ilvl w:val="1"/>
          <w:numId w:val="1517"/>
        </w:numPr>
        <w:pStyle w:val="Compact"/>
      </w:pPr>
      <w:r>
        <w:t xml:space="preserve">Government-guaranteed SRs at NAV; unrealised fair-value gains deducted from CET1 or NOF and not distributable; valued at ₹1 after guarantee settlement or expiry (para 84);</w:t>
      </w:r>
    </w:p>
    <w:p>
      <w:pPr>
        <w:numPr>
          <w:ilvl w:val="1"/>
          <w:numId w:val="1517"/>
        </w:numPr>
        <w:pStyle w:val="Compact"/>
      </w:pPr>
      <w:r>
        <w:t xml:space="preserve">unredeemed at the end of the resolution period (5 or 8 years) → loss asset, fully provided (para 85);</w:t>
      </w:r>
    </w:p>
    <w:p>
      <w:pPr>
        <w:numPr>
          <w:ilvl w:val="1"/>
          <w:numId w:val="1517"/>
        </w:numPr>
        <w:pStyle w:val="Compact"/>
      </w:pPr>
      <w:r>
        <w:t xml:space="preserve">non-SLR investment norms otherwise, with NAV for instruments limited to actual realisations (para 86).</w:t>
      </w:r>
    </w:p>
    <w:p>
      <w:pPr>
        <w:numPr>
          <w:ilvl w:val="0"/>
          <w:numId w:val="1516"/>
        </w:numPr>
        <w:pStyle w:val="Compact"/>
      </w:pPr>
      <w:r>
        <w:t xml:space="preserve">NAV arrives through</w:t>
      </w:r>
      <w:r>
        <w:t xml:space="preserve"> </w:t>
      </w:r>
      <w:r>
        <w:rPr>
          <w:rStyle w:val="VerbatimChar"/>
        </w:rPr>
        <w:t xml:space="preserve">SrNavPublished</w:t>
      </w:r>
      <w:r>
        <w:t xml:space="preserve"> </w:t>
      </w:r>
      <w:r>
        <w:t xml:space="preserve">(ARC tenants) or an imported ARC NAV letter; valuations run as on 30 June and 31 December and at each reporting date.</w:t>
      </w:r>
    </w:p>
    <w:bookmarkEnd w:id="625"/>
    <w:bookmarkStart w:id="626" w:name="acceptance-tests-50"/>
    <w:p>
      <w:pPr>
        <w:pStyle w:val="Heading3"/>
      </w:pPr>
      <w:r>
        <w:t xml:space="preserve">Acceptance tests</w:t>
      </w:r>
    </w:p>
    <w:p>
      <w:pPr>
        <w:numPr>
          <w:ilvl w:val="0"/>
          <w:numId w:val="1518"/>
        </w:numPr>
        <w:pStyle w:val="Compact"/>
      </w:pPr>
      <w:r>
        <w:t xml:space="preserve">Commitment of ₹55 crore to a ₹500 crore scheme → 11% → blocked; ₹45 crore → allowed if the manager’s RE-aggregate attestation is on file.</w:t>
      </w:r>
    </w:p>
    <w:p>
      <w:pPr>
        <w:numPr>
          <w:ilvl w:val="0"/>
          <w:numId w:val="1518"/>
        </w:numPr>
        <w:pStyle w:val="Compact"/>
      </w:pPr>
      <w:r>
        <w:t xml:space="preserve">Tenant holds 8% of a scheme whose ₹40 crore NCD holding is in debtor D; tenant’s direct exposure to D is ₹2 crore → provision min(3.2, 2.0) = ₹2 crore.</w:t>
      </w:r>
    </w:p>
    <w:p>
      <w:pPr>
        <w:numPr>
          <w:ilvl w:val="0"/>
          <w:numId w:val="1518"/>
        </w:numPr>
        <w:pStyle w:val="Compact"/>
      </w:pPr>
      <w:r>
        <w:t xml:space="preserve">Same scheme with a 4% holding → no provision.</w:t>
      </w:r>
    </w:p>
    <w:p>
      <w:pPr>
        <w:numPr>
          <w:ilvl w:val="0"/>
          <w:numId w:val="1518"/>
        </w:numPr>
        <w:pStyle w:val="Compact"/>
      </w:pPr>
      <w:r>
        <w:t xml:space="preserve">A legacy-tagged commitment detects a debtor investee → 30-day exit clock; on day 31 a 100% provision is posted.</w:t>
      </w:r>
    </w:p>
    <w:p>
      <w:pPr>
        <w:numPr>
          <w:ilvl w:val="0"/>
          <w:numId w:val="1518"/>
        </w:numPr>
        <w:pStyle w:val="Compact"/>
      </w:pPr>
      <w:r>
        <w:t xml:space="preserve">Attempt to change a commitment’s regime tag after election → refused.</w:t>
      </w:r>
    </w:p>
    <w:p>
      <w:pPr>
        <w:numPr>
          <w:ilvl w:val="0"/>
          <w:numId w:val="1518"/>
        </w:numPr>
        <w:pStyle w:val="Compact"/>
      </w:pPr>
      <w:r>
        <w:t xml:space="preserve">Transferor holds 15% of SRs from its own transfer: NAV value ₹62 crore, NBV at transfer ₹70 crore, face less notional provision ₹58 crore → carrying value ₹58 crore.</w:t>
      </w:r>
    </w:p>
    <w:p>
      <w:pPr>
        <w:numPr>
          <w:ilvl w:val="0"/>
          <w:numId w:val="1518"/>
        </w:numPr>
        <w:pStyle w:val="Compact"/>
      </w:pPr>
      <w:r>
        <w:t xml:space="preserve">SR unredeemed 5 years after acquisition with no extension recorded → loss asset and 100% provision.</w:t>
      </w:r>
    </w:p>
    <w:p>
      <w:r>
        <w:pict>
          <v:rect style="width:0;height:1.5pt" o:hralign="center" o:hrstd="t" o:hr="t"/>
        </w:pict>
      </w:r>
    </w:p>
    <w:bookmarkEnd w:id="626"/>
    <w:bookmarkEnd w:id="627"/>
    <w:bookmarkStart w:id="637" w:name="Xad41316d44aa8fad5d36c66883f45bc3322893a"/>
    <w:p>
      <w:pPr>
        <w:pStyle w:val="Heading2"/>
      </w:pPr>
      <w:r>
        <w:t xml:space="preserve">IV5. Classification, valuation, accounting and limits</w:t>
      </w:r>
    </w:p>
    <w:bookmarkStart w:id="628" w:name="iv5.1-ind-as-109-engine"/>
    <w:p>
      <w:pPr>
        <w:pStyle w:val="Heading3"/>
      </w:pPr>
      <w:r>
        <w:t xml:space="preserve">IV5.1 Ind AS 109 engine</w:t>
      </w:r>
    </w:p>
    <w:p>
      <w:pPr>
        <w:numPr>
          <w:ilvl w:val="0"/>
          <w:numId w:val="1519"/>
        </w:numPr>
        <w:pStyle w:val="Compact"/>
      </w:pPr>
      <w:r>
        <w:t xml:space="preserve">Classification per IV1.5; ECL for AC and FVOCI debt using the M10 ECL plug-in with rating-based PD and LGD for investments; staging on rating migration and days past due.</w:t>
      </w:r>
    </w:p>
    <w:p>
      <w:pPr>
        <w:numPr>
          <w:ilvl w:val="0"/>
          <w:numId w:val="1519"/>
        </w:numPr>
        <w:pStyle w:val="Compact"/>
      </w:pPr>
      <w:r>
        <w:t xml:space="preserve">Fair value hierarchy (Ind AS 113): level 1, 2 or 3 with inputs, model, valuer and timestamp; level 3 valuations need maker-checker and quarterly valuation-committee review.</w:t>
      </w:r>
    </w:p>
    <w:p>
      <w:pPr>
        <w:numPr>
          <w:ilvl w:val="0"/>
          <w:numId w:val="1519"/>
        </w:numPr>
        <w:pStyle w:val="Compact"/>
      </w:pPr>
      <w:r>
        <w:t xml:space="preserve">FVOCI debt recycles to profit or loss on derecognition; FVOCI equity never recycles. Disclosures for Ind AS 107 and 113 generated with Part 7C AC3.</w:t>
      </w:r>
    </w:p>
    <w:bookmarkEnd w:id="628"/>
    <w:bookmarkStart w:id="629" w:name="iv5.2-as-13-with-inv-overlay"/>
    <w:p>
      <w:pPr>
        <w:pStyle w:val="Heading3"/>
      </w:pPr>
      <w:r>
        <w:t xml:space="preserve">IV5.2 AS 13 with INV overlay</w:t>
      </w:r>
    </w:p>
    <w:p>
      <w:pPr>
        <w:numPr>
          <w:ilvl w:val="0"/>
          <w:numId w:val="1520"/>
        </w:numPr>
        <w:pStyle w:val="Compact"/>
      </w:pPr>
      <w:r>
        <w:rPr>
          <w:bCs/>
          <w:b/>
        </w:rPr>
        <w:t xml:space="preserve">Current investments, quoted:</w:t>
      </w:r>
      <w:r>
        <w:t xml:space="preserve"> </w:t>
      </w:r>
      <w:r>
        <w:t xml:space="preserve">grouped into six categories — equity shares; preference shares; debentures and bonds; Government securities incl. T-bills; MF units; others (INV para 14). Per category:</w:t>
      </w:r>
      <w:r>
        <w:t xml:space="preserve"> </w:t>
      </w:r>
      <w:r>
        <w:rPr>
          <w:rStyle w:val="VerbatimChar"/>
        </w:rPr>
        <w:t xml:space="preserve">depreciation = max(0, Σ cost − Σ market)</w:t>
      </w:r>
      <w:r>
        <w:t xml:space="preserve">, scrip-wise aggregation, appreciation ignored, no set-off across categories (para 15).</w:t>
      </w:r>
    </w:p>
    <w:p>
      <w:pPr>
        <w:numPr>
          <w:ilvl w:val="0"/>
          <w:numId w:val="1520"/>
        </w:numPr>
        <w:pStyle w:val="Compact"/>
      </w:pPr>
      <w:r>
        <w:rPr>
          <w:bCs/>
          <w:b/>
        </w:rPr>
        <w:t xml:space="preserve">Unquoted:</w:t>
      </w:r>
      <w:r>
        <w:t xml:space="preserve"> </w:t>
      </w:r>
      <w:r>
        <w:t xml:space="preserve">equity at lower of cost and break-up value (fair value may be substituted), ₹1 if the investee’s balance sheet is unavailable for 2 years (para 16); preference at lower of cost and face value (para 17); G-secs and Government-guaranteed bonds at carrying cost (para 18); MF units at NAV (para 19); CP at carrying cost (para 20).</w:t>
      </w:r>
    </w:p>
    <w:p>
      <w:pPr>
        <w:numPr>
          <w:ilvl w:val="0"/>
          <w:numId w:val="1520"/>
        </w:numPr>
        <w:pStyle w:val="Compact"/>
      </w:pPr>
      <w:r>
        <w:rPr>
          <w:bCs/>
          <w:b/>
        </w:rPr>
        <w:t xml:space="preserve">Long-term:</w:t>
      </w:r>
      <w:r>
        <w:t xml:space="preserve"> </w:t>
      </w:r>
      <w:r>
        <w:t xml:space="preserve">per AS 13 — cost less other-than-temporary diminution (para 21).</w:t>
      </w:r>
    </w:p>
    <w:p>
      <w:pPr>
        <w:numPr>
          <w:ilvl w:val="0"/>
          <w:numId w:val="1520"/>
        </w:numPr>
        <w:pStyle w:val="Compact"/>
      </w:pPr>
      <w:r>
        <w:rPr>
          <w:bCs/>
          <w:b/>
        </w:rPr>
        <w:t xml:space="preserve">Unquoted debentures:</w:t>
      </w:r>
      <w:r>
        <w:t xml:space="preserve"> </w:t>
      </w:r>
      <w:r>
        <w:t xml:space="preserve">income recognition and asset classification as loans (para 21 Note; IRACP).</w:t>
      </w:r>
    </w:p>
    <w:p>
      <w:pPr>
        <w:numPr>
          <w:ilvl w:val="0"/>
          <w:numId w:val="1520"/>
        </w:numPr>
        <w:pStyle w:val="Compact"/>
      </w:pPr>
      <w:r>
        <w:rPr>
          <w:bCs/>
          <w:b/>
        </w:rPr>
        <w:t xml:space="preserve">Inter-class transfers:</w:t>
      </w:r>
      <w:r>
        <w:t xml:space="preserve"> </w:t>
      </w:r>
      <w:r>
        <w:t xml:space="preserve">only on 1 April or 1 October with a Board resolution ID; scrip-wise at the lower of book and market value; depreciation provided, appreciation ignored (para 10).</w:t>
      </w:r>
    </w:p>
    <w:p>
      <w:pPr>
        <w:numPr>
          <w:ilvl w:val="0"/>
          <w:numId w:val="1520"/>
        </w:numPr>
        <w:pStyle w:val="Compact"/>
      </w:pPr>
      <w:r>
        <w:rPr>
          <w:bCs/>
          <w:b/>
        </w:rPr>
        <w:t xml:space="preserve">Income:</w:t>
      </w:r>
      <w:r>
        <w:t xml:space="preserve"> </w:t>
      </w:r>
      <w:r>
        <w:t xml:space="preserve">dividends on cash basis, or accrual once declared and the right is established (para 22); interest on accrual only where the rate is pre-determined and interest is serviced and not in arrears (para 23); Government-guaranteed PSU securities on accrual (para 24).</w:t>
      </w:r>
    </w:p>
    <w:bookmarkEnd w:id="629"/>
    <w:bookmarkStart w:id="630" w:name="iv5.3-valuation-run"/>
    <w:p>
      <w:pPr>
        <w:pStyle w:val="Heading3"/>
      </w:pPr>
      <w:r>
        <w:t xml:space="preserve">IV5.3 Valuation run</w:t>
      </w:r>
    </w:p>
    <w:p>
      <w:pPr>
        <w:pStyle w:val="FirstParagraph"/>
      </w:pPr>
      <w:r>
        <w:t xml:space="preserve">Daily indicative run for monitoring; official month-end run. Steps: price waterfall (IV1.3) → classification lookup → valuation rule → ECL or category depreciation → journals through M10 →</w:t>
      </w:r>
      <w:r>
        <w:t xml:space="preserve"> </w:t>
      </w:r>
      <w:r>
        <w:rPr>
          <w:rStyle w:val="VerbatimChar"/>
        </w:rPr>
        <w:t xml:space="preserve">PositionValued</w:t>
      </w:r>
      <w:r>
        <w:t xml:space="preserve"> </w:t>
      </w:r>
      <w:r>
        <w:t xml:space="preserve">per position (value, method, price source, hash) → exceptions (stale, manual, level 3). Re-runs after period lock need the R12-style reopening approval.</w:t>
      </w:r>
    </w:p>
    <w:bookmarkEnd w:id="630"/>
    <w:bookmarkStart w:id="631" w:name="iv5.4-limits-engine"/>
    <w:p>
      <w:pPr>
        <w:pStyle w:val="Heading3"/>
      </w:pPr>
      <w:r>
        <w:t xml:space="preserve">IV5.4 Limits engine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30"/>
        <w:gridCol w:w="3390"/>
        <w:gridCol w:w="1967"/>
        <w:gridCol w:w="2051"/>
      </w:tblGrid>
      <w:tr>
        <w:trPr>
          <w:tblHeader w:val="true"/>
          <w:tblHeader w:val="true"/>
        </w:trPr>
        <w:tc>
          <w:tcPr>
            <w:tcW w:w="2230" w:type="dxa"/>
            <w:shd w:val="clear" w:color="auto" w:fill="1F3A5F"/>
          </w:tcPr>
          <w:p>
            <w:pPr>
              <w:pStyle w:val="Compact"/>
              <w:spacing w:after="40"/>
              <w:jc w:val="left"/>
            </w:pPr>
            <w:r>
              <w:rPr>
                <w:b/>
                <w:color w:val="FFFFFF"/>
                <w:sz w:val="18"/>
              </w:rPr>
              <w:t xml:space="preserve">Limit</w:t>
            </w:r>
          </w:p>
        </w:tc>
        <w:tc>
          <w:tcPr>
            <w:tcW w:w="3390" w:type="dxa"/>
            <w:shd w:val="clear" w:color="auto" w:fill="1F3A5F"/>
          </w:tcPr>
          <w:p>
            <w:pPr>
              <w:pStyle w:val="Compact"/>
              <w:spacing w:after="40"/>
              <w:jc w:val="left"/>
            </w:pPr>
            <w:r>
              <w:rPr>
                <w:b/>
                <w:color w:val="FFFFFF"/>
                <w:sz w:val="18"/>
              </w:rPr>
              <w:t xml:space="preserve">Formula or rule</w:t>
            </w:r>
          </w:p>
        </w:tc>
        <w:tc>
          <w:tcPr>
            <w:tcW w:w="1967" w:type="dxa"/>
            <w:shd w:val="clear" w:color="auto" w:fill="1F3A5F"/>
          </w:tcPr>
          <w:p>
            <w:pPr>
              <w:pStyle w:val="Compact"/>
              <w:spacing w:after="40"/>
              <w:jc w:val="left"/>
            </w:pPr>
            <w:r>
              <w:rPr>
                <w:b/>
                <w:color w:val="FFFFFF"/>
                <w:sz w:val="18"/>
              </w:rPr>
              <w:t xml:space="preserve">Basis</w:t>
            </w:r>
          </w:p>
        </w:tc>
        <w:tc>
          <w:tcPr>
            <w:tcW w:w="2051" w:type="dxa"/>
            <w:shd w:val="clear" w:color="auto" w:fill="1F3A5F"/>
          </w:tcPr>
          <w:p>
            <w:pPr>
              <w:pStyle w:val="Compact"/>
              <w:spacing w:after="40"/>
              <w:jc w:val="left"/>
            </w:pPr>
            <w:r>
              <w:rPr>
                <w:b/>
                <w:color w:val="FFFFFF"/>
                <w:sz w:val="18"/>
              </w:rPr>
              <w:t xml:space="preserve">On breach</w:t>
            </w:r>
          </w:p>
        </w:tc>
      </w:tr>
      <w:tr>
        <w:tc>
          <w:tcPr>
            <w:tcW w:w="2230" w:type="dxa"/>
          </w:tcPr>
          <w:p>
            <w:pPr>
              <w:pStyle w:val="Compact"/>
              <w:spacing w:after="40"/>
              <w:jc w:val="left"/>
            </w:pPr>
            <w:r>
              <w:rPr>
                <w:sz w:val="18"/>
              </w:rPr>
              <w:t xml:space="preserve">CME and SSE</w:t>
            </w:r>
          </w:p>
        </w:tc>
        <w:tc>
          <w:tcPr>
            <w:tcW w:w="3390" w:type="dxa"/>
          </w:tcPr>
          <w:p>
            <w:pPr>
              <w:pStyle w:val="Compact"/>
              <w:spacing w:after="40"/>
              <w:jc w:val="left"/>
            </w:pPr>
            <w:r>
              <w:rPr>
                <w:sz w:val="18"/>
              </w:rPr>
              <w:t xml:space="preserve">Σ exposure by FS 21(8)(ii) lines i–x ≤ Board limit; restructuring conversions exempt but disclosed</w:t>
            </w:r>
          </w:p>
        </w:tc>
        <w:tc>
          <w:tcPr>
            <w:tcW w:w="1967" w:type="dxa"/>
          </w:tcPr>
          <w:p>
            <w:pPr>
              <w:pStyle w:val="Compact"/>
              <w:spacing w:after="40"/>
              <w:jc w:val="left"/>
            </w:pPr>
            <w:r>
              <w:rPr>
                <w:sz w:val="18"/>
              </w:rPr>
              <w:t xml:space="preserve">CON paras 12, 24; FS para 21(8)(ii)</w:t>
            </w:r>
          </w:p>
        </w:tc>
        <w:tc>
          <w:tcPr>
            <w:tcW w:w="2051" w:type="dxa"/>
          </w:tcPr>
          <w:p>
            <w:pPr>
              <w:pStyle w:val="Compact"/>
              <w:spacing w:after="40"/>
              <w:jc w:val="left"/>
            </w:pPr>
            <w:r>
              <w:rPr>
                <w:sz w:val="18"/>
              </w:rPr>
              <w:t xml:space="preserve">block new CME;</w:t>
            </w:r>
            <w:r>
              <w:rPr>
                <w:sz w:val="18"/>
              </w:rPr>
              <w:t xml:space="preserve"> </w:t>
            </w:r>
            <w:r>
              <w:rPr>
                <w:rStyle w:val="VerbatimChar"/>
                <w:sz w:val="18"/>
              </w:rPr>
              <w:t xml:space="preserve">InvestmentLimitBreached</w:t>
            </w:r>
          </w:p>
        </w:tc>
      </w:tr>
      <w:tr>
        <w:tc>
          <w:tcPr>
            <w:tcW w:w="2230" w:type="dxa"/>
          </w:tcPr>
          <w:p>
            <w:pPr>
              <w:pStyle w:val="Compact"/>
              <w:spacing w:after="40"/>
              <w:jc w:val="left"/>
            </w:pPr>
            <w:r>
              <w:rPr>
                <w:sz w:val="18"/>
              </w:rPr>
              <w:t xml:space="preserve">Single and group (credit plus investment), ML</w:t>
            </w:r>
          </w:p>
        </w:tc>
        <w:tc>
          <w:tcPr>
            <w:tcW w:w="3390" w:type="dxa"/>
          </w:tcPr>
          <w:p>
            <w:pPr>
              <w:pStyle w:val="Compact"/>
              <w:spacing w:after="40"/>
              <w:jc w:val="left"/>
            </w:pPr>
            <w:r>
              <w:rPr>
                <w:sz w:val="18"/>
              </w:rPr>
              <w:t xml:space="preserve">≤ 25% / 40% of Tier 1 (+5 / +10 infrastructure); Tier 1 from latest audited or limited-review statements</w:t>
            </w:r>
          </w:p>
        </w:tc>
        <w:tc>
          <w:tcPr>
            <w:tcW w:w="1967" w:type="dxa"/>
          </w:tcPr>
          <w:p>
            <w:pPr>
              <w:pStyle w:val="Compact"/>
              <w:spacing w:after="40"/>
              <w:jc w:val="left"/>
            </w:pPr>
            <w:r>
              <w:rPr>
                <w:sz w:val="18"/>
              </w:rPr>
              <w:t xml:space="preserve">CON paras 13, 14(3)</w:t>
            </w:r>
          </w:p>
        </w:tc>
        <w:tc>
          <w:tcPr>
            <w:tcW w:w="2051" w:type="dxa"/>
          </w:tcPr>
          <w:p>
            <w:pPr>
              <w:pStyle w:val="Compact"/>
              <w:spacing w:after="40"/>
              <w:jc w:val="left"/>
            </w:pPr>
            <w:r>
              <w:rPr>
                <w:sz w:val="18"/>
              </w:rPr>
              <w:t xml:space="preserve">block; Board note</w:t>
            </w:r>
          </w:p>
        </w:tc>
      </w:tr>
      <w:tr>
        <w:tc>
          <w:tcPr>
            <w:tcW w:w="2230" w:type="dxa"/>
          </w:tcPr>
          <w:p>
            <w:pPr>
              <w:pStyle w:val="Compact"/>
              <w:spacing w:after="40"/>
              <w:jc w:val="left"/>
            </w:pPr>
            <w:r>
              <w:rPr>
                <w:sz w:val="18"/>
              </w:rPr>
              <w:t xml:space="preserve">IFC</w:t>
            </w:r>
          </w:p>
        </w:tc>
        <w:tc>
          <w:tcPr>
            <w:tcW w:w="3390" w:type="dxa"/>
          </w:tcPr>
          <w:p>
            <w:pPr>
              <w:pStyle w:val="Compact"/>
              <w:spacing w:after="40"/>
              <w:jc w:val="left"/>
            </w:pPr>
            <w:r>
              <w:rPr>
                <w:sz w:val="18"/>
              </w:rPr>
              <w:t xml:space="preserve">≤ 30% / 50% of Tier 1</w:t>
            </w:r>
          </w:p>
        </w:tc>
        <w:tc>
          <w:tcPr>
            <w:tcW w:w="1967" w:type="dxa"/>
          </w:tcPr>
          <w:p>
            <w:pPr>
              <w:pStyle w:val="Compact"/>
              <w:spacing w:after="40"/>
              <w:jc w:val="left"/>
            </w:pPr>
            <w:r>
              <w:rPr>
                <w:sz w:val="18"/>
              </w:rPr>
              <w:t xml:space="preserve">CON para 14</w:t>
            </w:r>
          </w:p>
        </w:tc>
        <w:tc>
          <w:tcPr>
            <w:tcW w:w="2051" w:type="dxa"/>
          </w:tcPr>
          <w:p>
            <w:pPr>
              <w:pStyle w:val="Compact"/>
              <w:spacing w:after="40"/>
              <w:jc w:val="left"/>
            </w:pPr>
            <w:r>
              <w:rPr>
                <w:sz w:val="18"/>
              </w:rPr>
              <w:t xml:space="preserve">block</w:t>
            </w:r>
          </w:p>
        </w:tc>
      </w:tr>
      <w:tr>
        <w:tc>
          <w:tcPr>
            <w:tcW w:w="2230" w:type="dxa"/>
          </w:tcPr>
          <w:p>
            <w:pPr>
              <w:pStyle w:val="Compact"/>
              <w:spacing w:after="40"/>
              <w:jc w:val="left"/>
            </w:pPr>
            <w:r>
              <w:rPr>
                <w:sz w:val="18"/>
              </w:rPr>
              <w:t xml:space="preserve">UL large exposures</w:t>
            </w:r>
          </w:p>
        </w:tc>
        <w:tc>
          <w:tcPr>
            <w:tcW w:w="3390" w:type="dxa"/>
          </w:tcPr>
          <w:p>
            <w:pPr>
              <w:pStyle w:val="Compact"/>
              <w:spacing w:after="40"/>
              <w:jc w:val="left"/>
            </w:pPr>
            <w:r>
              <w:rPr>
                <w:sz w:val="18"/>
              </w:rPr>
              <w:t xml:space="preserve">20% (+5% with Board approval) single; 25% group of eligible capital base</w:t>
            </w:r>
          </w:p>
        </w:tc>
        <w:tc>
          <w:tcPr>
            <w:tcW w:w="1967" w:type="dxa"/>
          </w:tcPr>
          <w:p>
            <w:pPr>
              <w:pStyle w:val="Compact"/>
              <w:spacing w:after="40"/>
              <w:jc w:val="left"/>
            </w:pPr>
            <w:r>
              <w:rPr>
                <w:sz w:val="18"/>
              </w:rPr>
              <w:t xml:space="preserve">CON paras 33–39</w:t>
            </w:r>
          </w:p>
        </w:tc>
        <w:tc>
          <w:tcPr>
            <w:tcW w:w="2051" w:type="dxa"/>
          </w:tcPr>
          <w:p>
            <w:pPr>
              <w:pStyle w:val="Compact"/>
              <w:spacing w:after="40"/>
              <w:jc w:val="left"/>
            </w:pPr>
            <w:r>
              <w:rPr>
                <w:sz w:val="18"/>
              </w:rPr>
              <w:t xml:space="preserve">block; LEF return</w:t>
            </w:r>
          </w:p>
        </w:tc>
      </w:tr>
      <w:tr>
        <w:tc>
          <w:tcPr>
            <w:tcW w:w="2230" w:type="dxa"/>
          </w:tcPr>
          <w:p>
            <w:pPr>
              <w:pStyle w:val="Compact"/>
              <w:spacing w:after="40"/>
              <w:jc w:val="left"/>
            </w:pPr>
            <w:r>
              <w:rPr>
                <w:sz w:val="18"/>
              </w:rPr>
              <w:t xml:space="preserve">NOF deduction</w:t>
            </w:r>
          </w:p>
        </w:tc>
        <w:tc>
          <w:tcPr>
            <w:tcW w:w="3390" w:type="dxa"/>
          </w:tcPr>
          <w:p>
            <w:pPr>
              <w:pStyle w:val="Compact"/>
              <w:spacing w:after="40"/>
              <w:jc w:val="left"/>
            </w:pPr>
            <w:r>
              <w:rPr>
                <w:sz w:val="18"/>
              </w:rPr>
              <w:t xml:space="preserve">group, subsidiary and other-NBFC exposure above 10% of paid-up equity plus free reserves deducted</w:t>
            </w:r>
          </w:p>
        </w:tc>
        <w:tc>
          <w:tcPr>
            <w:tcW w:w="1967" w:type="dxa"/>
          </w:tcPr>
          <w:p>
            <w:pPr>
              <w:pStyle w:val="Compact"/>
              <w:spacing w:after="40"/>
              <w:jc w:val="left"/>
            </w:pPr>
            <w:r>
              <w:rPr>
                <w:sz w:val="18"/>
              </w:rPr>
              <w:t xml:space="preserve">SBR paras 45–46</w:t>
            </w:r>
          </w:p>
        </w:tc>
        <w:tc>
          <w:tcPr>
            <w:tcW w:w="2051" w:type="dxa"/>
          </w:tcPr>
          <w:p>
            <w:pPr>
              <w:pStyle w:val="Compact"/>
              <w:spacing w:after="40"/>
              <w:jc w:val="left"/>
            </w:pPr>
            <w:r>
              <w:rPr>
                <w:sz w:val="18"/>
              </w:rPr>
              <w:t xml:space="preserve">capital recompute (7E RK3)</w:t>
            </w:r>
          </w:p>
        </w:tc>
      </w:tr>
      <w:tr>
        <w:tc>
          <w:tcPr>
            <w:tcW w:w="2230" w:type="dxa"/>
          </w:tcPr>
          <w:p>
            <w:pPr>
              <w:pStyle w:val="Compact"/>
              <w:spacing w:after="40"/>
              <w:jc w:val="left"/>
            </w:pPr>
            <w:r>
              <w:rPr>
                <w:sz w:val="18"/>
              </w:rPr>
              <w:t xml:space="preserve">AIF</w:t>
            </w:r>
          </w:p>
        </w:tc>
        <w:tc>
          <w:tcPr>
            <w:tcW w:w="3390" w:type="dxa"/>
          </w:tcPr>
          <w:p>
            <w:pPr>
              <w:pStyle w:val="Compact"/>
              <w:spacing w:after="40"/>
              <w:jc w:val="left"/>
            </w:pPr>
            <w:r>
              <w:rPr>
                <w:sz w:val="18"/>
              </w:rPr>
              <w:t xml:space="preserve">IV4.1</w:t>
            </w:r>
          </w:p>
        </w:tc>
        <w:tc>
          <w:tcPr>
            <w:tcW w:w="1967" w:type="dxa"/>
          </w:tcPr>
          <w:p>
            <w:pPr>
              <w:pStyle w:val="Compact"/>
              <w:spacing w:after="40"/>
              <w:jc w:val="left"/>
            </w:pPr>
            <w:r>
              <w:rPr>
                <w:sz w:val="18"/>
              </w:rPr>
              <w:t xml:space="preserve">RBI-AIF para 6</w:t>
            </w:r>
          </w:p>
        </w:tc>
        <w:tc>
          <w:tcPr>
            <w:tcW w:w="2051" w:type="dxa"/>
          </w:tcPr>
          <w:p>
            <w:pPr>
              <w:pStyle w:val="Compact"/>
              <w:spacing w:after="40"/>
              <w:jc w:val="left"/>
            </w:pPr>
            <w:r>
              <w:rPr>
                <w:sz w:val="18"/>
              </w:rPr>
              <w:t xml:space="preserve">block or provide</w:t>
            </w:r>
          </w:p>
        </w:tc>
      </w:tr>
      <w:tr>
        <w:tc>
          <w:tcPr>
            <w:tcW w:w="2230" w:type="dxa"/>
          </w:tcPr>
          <w:p>
            <w:pPr>
              <w:pStyle w:val="Compact"/>
              <w:spacing w:after="40"/>
              <w:jc w:val="left"/>
            </w:pPr>
            <w:r>
              <w:rPr>
                <w:sz w:val="18"/>
              </w:rPr>
              <w:t xml:space="preserve">Board buckets</w:t>
            </w:r>
          </w:p>
        </w:tc>
        <w:tc>
          <w:tcPr>
            <w:tcW w:w="3390" w:type="dxa"/>
          </w:tcPr>
          <w:p>
            <w:pPr>
              <w:pStyle w:val="Compact"/>
              <w:spacing w:after="40"/>
              <w:jc w:val="left"/>
            </w:pPr>
            <w:r>
              <w:rPr>
                <w:sz w:val="18"/>
              </w:rPr>
              <w:t xml:space="preserve">issuer, sector, rating, market-cap bucket, unlisted, SME, single scheme</w:t>
            </w:r>
          </w:p>
        </w:tc>
        <w:tc>
          <w:tcPr>
            <w:tcW w:w="1967" w:type="dxa"/>
          </w:tcPr>
          <w:p>
            <w:pPr>
              <w:pStyle w:val="Compact"/>
              <w:spacing w:after="40"/>
              <w:jc w:val="left"/>
            </w:pPr>
            <w:r>
              <w:rPr>
                <w:sz w:val="18"/>
              </w:rPr>
              <w:t xml:space="preserve">Board policy</w:t>
            </w:r>
          </w:p>
        </w:tc>
        <w:tc>
          <w:tcPr>
            <w:tcW w:w="2051" w:type="dxa"/>
          </w:tcPr>
          <w:p>
            <w:pPr>
              <w:pStyle w:val="Compact"/>
              <w:spacing w:after="40"/>
              <w:jc w:val="left"/>
            </w:pPr>
            <w:r>
              <w:rPr>
                <w:sz w:val="18"/>
              </w:rPr>
              <w:t xml:space="preserve">per policy</w:t>
            </w:r>
          </w:p>
        </w:tc>
      </w:tr>
      <w:tr>
        <w:tc>
          <w:tcPr>
            <w:tcW w:w="2230" w:type="dxa"/>
          </w:tcPr>
          <w:p>
            <w:pPr>
              <w:pStyle w:val="Compact"/>
              <w:spacing w:after="40"/>
              <w:jc w:val="left"/>
            </w:pPr>
            <w:r>
              <w:rPr>
                <w:sz w:val="18"/>
              </w:rPr>
              <w:t xml:space="preserve">IFSC</w:t>
            </w:r>
          </w:p>
        </w:tc>
        <w:tc>
          <w:tcPr>
            <w:tcW w:w="3390" w:type="dxa"/>
          </w:tcPr>
          <w:p>
            <w:pPr>
              <w:pStyle w:val="Compact"/>
              <w:spacing w:after="40"/>
              <w:jc w:val="left"/>
            </w:pPr>
            <w:r>
              <w:rPr>
                <w:sz w:val="18"/>
              </w:rPr>
              <w:t xml:space="preserve">25% of eligible capital</w:t>
            </w:r>
          </w:p>
        </w:tc>
        <w:tc>
          <w:tcPr>
            <w:tcW w:w="1967" w:type="dxa"/>
          </w:tcPr>
          <w:p>
            <w:pPr>
              <w:pStyle w:val="Compact"/>
              <w:spacing w:after="40"/>
              <w:jc w:val="left"/>
            </w:pPr>
            <w:r>
              <w:rPr>
                <w:sz w:val="18"/>
              </w:rPr>
              <w:t xml:space="preserve">IFSCA-FC</w:t>
            </w:r>
          </w:p>
        </w:tc>
        <w:tc>
          <w:tcPr>
            <w:tcW w:w="2051" w:type="dxa"/>
          </w:tcPr>
          <w:p>
            <w:pPr>
              <w:pStyle w:val="Compact"/>
              <w:spacing w:after="40"/>
              <w:jc w:val="left"/>
            </w:pPr>
            <w:r>
              <w:rPr>
                <w:sz w:val="18"/>
              </w:rPr>
              <w:t xml:space="preserve">block</w:t>
            </w:r>
          </w:p>
        </w:tc>
      </w:tr>
    </w:tbl>
    <w:p>
      <w:pPr>
        <w:pStyle w:val="BodyText"/>
      </w:pPr>
      <w:r>
        <w:t xml:space="preserve">Every breach emits</w:t>
      </w:r>
      <w:r>
        <w:t xml:space="preserve"> </w:t>
      </w:r>
      <w:r>
        <w:rPr>
          <w:rStyle w:val="VerbatimChar"/>
        </w:rPr>
        <w:t xml:space="preserve">InvestmentLimitBreached</w:t>
      </w:r>
      <w:r>
        <w:t xml:space="preserve"> </w:t>
      </w:r>
      <w:r>
        <w:t xml:space="preserve">and the Part 7E</w:t>
      </w:r>
      <w:r>
        <w:t xml:space="preserve"> </w:t>
      </w:r>
      <w:r>
        <w:rPr>
          <w:rStyle w:val="VerbatimChar"/>
        </w:rPr>
        <w:t xml:space="preserve">LimitBreached</w:t>
      </w:r>
      <w:r>
        <w:t xml:space="preserve"> </w:t>
      </w:r>
      <w:r>
        <w:t xml:space="preserve">(</w:t>
      </w:r>
      <w:r>
        <w:rPr>
          <w:rStyle w:val="VerbatimChar"/>
        </w:rPr>
        <w:t xml:space="preserve">limit_type = INVESTMENT</w:t>
      </w:r>
      <w:r>
        <w:t xml:space="preserve">,</w:t>
      </w:r>
      <w:r>
        <w:t xml:space="preserve"> </w:t>
      </w:r>
      <w:r>
        <w:rPr>
          <w:rStyle w:val="VerbatimChar"/>
        </w:rPr>
        <w:t xml:space="preserve">status = OPEN</w:t>
      </w:r>
      <w:r>
        <w:t xml:space="preserve">) with the computation and data lineage. A passive breach (price movement, capital fall) opens an episode and blocks only new exposure; the cure is an update with a higher</w:t>
      </w:r>
      <w:r>
        <w:t xml:space="preserve"> </w:t>
      </w:r>
      <w:r>
        <w:rPr>
          <w:rStyle w:val="VerbatimChar"/>
        </w:rPr>
        <w:t xml:space="preserve">update_seq</w:t>
      </w:r>
      <w:r>
        <w:t xml:space="preserve"> </w:t>
      </w:r>
      <w:r>
        <w:t xml:space="preserve">and</w:t>
      </w:r>
      <w:r>
        <w:t xml:space="preserve"> </w:t>
      </w:r>
      <w:r>
        <w:rPr>
          <w:rStyle w:val="VerbatimChar"/>
        </w:rPr>
        <w:t xml:space="preserve">status = CURED</w:t>
      </w:r>
      <w:r>
        <w:t xml:space="preserve"> </w:t>
      </w:r>
      <w:r>
        <w:t xml:space="preserve">(Integration Spec 6.22, 6.25). Single and group limits are not applied where CON para 16 exempts the NBFC (no public funds and no guarantees issued); the exemption is a recorded profile fact, re-tested monthly.</w:t>
      </w:r>
    </w:p>
    <w:bookmarkEnd w:id="631"/>
    <w:bookmarkStart w:id="632" w:name="iv5.5-derivatives-and-arbitrage"/>
    <w:p>
      <w:pPr>
        <w:pStyle w:val="Heading3"/>
      </w:pPr>
      <w:r>
        <w:t xml:space="preserve">IV5.5 Derivatives and arbitrage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09"/>
        <w:gridCol w:w="2945"/>
        <w:gridCol w:w="2607"/>
        <w:gridCol w:w="2177"/>
      </w:tblGrid>
      <w:tr>
        <w:trPr>
          <w:tblHeader w:val="true"/>
          <w:tblHeader w:val="true"/>
        </w:trPr>
        <w:tc>
          <w:tcPr>
            <w:tcW w:w="1909" w:type="dxa"/>
            <w:shd w:val="clear" w:color="auto" w:fill="1F3A5F"/>
          </w:tcPr>
          <w:p>
            <w:pPr>
              <w:pStyle w:val="Compact"/>
              <w:spacing w:after="40"/>
              <w:jc w:val="left"/>
            </w:pPr>
            <w:r>
              <w:rPr>
                <w:b/>
                <w:color w:val="FFFFFF"/>
                <w:sz w:val="18"/>
              </w:rPr>
              <w:t xml:space="preserve">Instrument</w:t>
            </w:r>
          </w:p>
        </w:tc>
        <w:tc>
          <w:tcPr>
            <w:tcW w:w="2945" w:type="dxa"/>
            <w:shd w:val="clear" w:color="auto" w:fill="1F3A5F"/>
          </w:tcPr>
          <w:p>
            <w:pPr>
              <w:pStyle w:val="Compact"/>
              <w:spacing w:after="40"/>
              <w:jc w:val="left"/>
            </w:pPr>
            <w:r>
              <w:rPr>
                <w:b/>
                <w:color w:val="FFFFFF"/>
                <w:sz w:val="18"/>
              </w:rPr>
              <w:t xml:space="preserve">Who</w:t>
            </w:r>
          </w:p>
        </w:tc>
        <w:tc>
          <w:tcPr>
            <w:tcW w:w="2607" w:type="dxa"/>
            <w:shd w:val="clear" w:color="auto" w:fill="1F3A5F"/>
          </w:tcPr>
          <w:p>
            <w:pPr>
              <w:pStyle w:val="Compact"/>
              <w:spacing w:after="40"/>
              <w:jc w:val="left"/>
            </w:pPr>
            <w:r>
              <w:rPr>
                <w:b/>
                <w:color w:val="FFFFFF"/>
                <w:sz w:val="18"/>
              </w:rPr>
              <w:t xml:space="preserve">Purpose</w:t>
            </w:r>
          </w:p>
        </w:tc>
        <w:tc>
          <w:tcPr>
            <w:tcW w:w="2177" w:type="dxa"/>
            <w:shd w:val="clear" w:color="auto" w:fill="1F3A5F"/>
          </w:tcPr>
          <w:p>
            <w:pPr>
              <w:pStyle w:val="Compact"/>
              <w:spacing w:after="40"/>
              <w:jc w:val="left"/>
            </w:pPr>
            <w:r>
              <w:rPr>
                <w:b/>
                <w:color w:val="FFFFFF"/>
                <w:sz w:val="18"/>
              </w:rPr>
              <w:t xml:space="preserve">Basis</w:t>
            </w:r>
          </w:p>
        </w:tc>
      </w:tr>
      <w:tr>
        <w:tc>
          <w:tcPr>
            <w:tcW w:w="1909" w:type="dxa"/>
          </w:tcPr>
          <w:p>
            <w:pPr>
              <w:pStyle w:val="Compact"/>
              <w:spacing w:after="40"/>
              <w:jc w:val="left"/>
            </w:pPr>
            <w:r>
              <w:rPr>
                <w:sz w:val="18"/>
              </w:rPr>
              <w:t xml:space="preserve">Exchange currency futures (as client)</w:t>
            </w:r>
          </w:p>
        </w:tc>
        <w:tc>
          <w:tcPr>
            <w:tcW w:w="2945" w:type="dxa"/>
          </w:tcPr>
          <w:p>
            <w:pPr>
              <w:pStyle w:val="Compact"/>
              <w:spacing w:after="40"/>
              <w:jc w:val="left"/>
            </w:pPr>
            <w:r>
              <w:rPr>
                <w:sz w:val="18"/>
              </w:rPr>
              <w:t xml:space="preserve">INV-covered NBFCs</w:t>
            </w:r>
          </w:p>
        </w:tc>
        <w:tc>
          <w:tcPr>
            <w:tcW w:w="2607" w:type="dxa"/>
          </w:tcPr>
          <w:p>
            <w:pPr>
              <w:pStyle w:val="Compact"/>
              <w:spacing w:after="40"/>
              <w:jc w:val="left"/>
            </w:pPr>
            <w:r>
              <w:rPr>
                <w:sz w:val="18"/>
              </w:rPr>
              <w:t xml:space="preserve">hedging only</w:t>
            </w:r>
          </w:p>
        </w:tc>
        <w:tc>
          <w:tcPr>
            <w:tcW w:w="2177" w:type="dxa"/>
          </w:tcPr>
          <w:p>
            <w:pPr>
              <w:pStyle w:val="Compact"/>
              <w:spacing w:after="40"/>
              <w:jc w:val="left"/>
            </w:pPr>
            <w:r>
              <w:rPr>
                <w:sz w:val="18"/>
              </w:rPr>
              <w:t xml:space="preserve">INV para 28</w:t>
            </w:r>
          </w:p>
        </w:tc>
      </w:tr>
      <w:tr>
        <w:tc>
          <w:tcPr>
            <w:tcW w:w="1909" w:type="dxa"/>
          </w:tcPr>
          <w:p>
            <w:pPr>
              <w:pStyle w:val="Compact"/>
              <w:spacing w:after="40"/>
              <w:jc w:val="left"/>
            </w:pPr>
            <w:r>
              <w:rPr>
                <w:sz w:val="18"/>
              </w:rPr>
              <w:t xml:space="preserve">Interest rate futures (as client)</w:t>
            </w:r>
          </w:p>
        </w:tc>
        <w:tc>
          <w:tcPr>
            <w:tcW w:w="2945" w:type="dxa"/>
          </w:tcPr>
          <w:p>
            <w:pPr>
              <w:pStyle w:val="Compact"/>
              <w:spacing w:after="40"/>
              <w:jc w:val="left"/>
            </w:pPr>
            <w:r>
              <w:rPr>
                <w:sz w:val="18"/>
              </w:rPr>
              <w:t xml:space="preserve">INV-covered NBFCs</w:t>
            </w:r>
          </w:p>
        </w:tc>
        <w:tc>
          <w:tcPr>
            <w:tcW w:w="2607" w:type="dxa"/>
          </w:tcPr>
          <w:p>
            <w:pPr>
              <w:pStyle w:val="Compact"/>
              <w:spacing w:after="40"/>
              <w:jc w:val="left"/>
            </w:pPr>
            <w:r>
              <w:rPr>
                <w:sz w:val="18"/>
              </w:rPr>
              <w:t xml:space="preserve">hedging; half-yearly return to the DoS regional office within 1 month</w:t>
            </w:r>
          </w:p>
        </w:tc>
        <w:tc>
          <w:tcPr>
            <w:tcW w:w="2177" w:type="dxa"/>
          </w:tcPr>
          <w:p>
            <w:pPr>
              <w:pStyle w:val="Compact"/>
              <w:spacing w:after="40"/>
              <w:jc w:val="left"/>
            </w:pPr>
            <w:r>
              <w:rPr>
                <w:sz w:val="18"/>
              </w:rPr>
              <w:t xml:space="preserve">INV para 29</w:t>
            </w:r>
          </w:p>
        </w:tc>
      </w:tr>
      <w:tr>
        <w:tc>
          <w:tcPr>
            <w:tcW w:w="1909" w:type="dxa"/>
          </w:tcPr>
          <w:p>
            <w:pPr>
              <w:pStyle w:val="Compact"/>
              <w:spacing w:after="40"/>
              <w:jc w:val="left"/>
            </w:pPr>
            <w:r>
              <w:rPr>
                <w:sz w:val="18"/>
              </w:rPr>
              <w:t xml:space="preserve">Repo in corporate debt</w:t>
            </w:r>
          </w:p>
        </w:tc>
        <w:tc>
          <w:tcPr>
            <w:tcW w:w="2945" w:type="dxa"/>
          </w:tcPr>
          <w:p>
            <w:pPr>
              <w:pStyle w:val="Compact"/>
              <w:spacing w:after="40"/>
              <w:jc w:val="left"/>
            </w:pPr>
            <w:r>
              <w:rPr>
                <w:sz w:val="18"/>
              </w:rPr>
              <w:t xml:space="preserve">non-deposit ML and UL</w:t>
            </w:r>
          </w:p>
        </w:tc>
        <w:tc>
          <w:tcPr>
            <w:tcW w:w="2607" w:type="dxa"/>
          </w:tcPr>
          <w:p>
            <w:pPr>
              <w:pStyle w:val="Compact"/>
              <w:spacing w:after="40"/>
              <w:jc w:val="left"/>
            </w:pPr>
            <w:r>
              <w:rPr>
                <w:sz w:val="18"/>
              </w:rPr>
              <w:t xml:space="preserve">per repo directions</w:t>
            </w:r>
          </w:p>
        </w:tc>
        <w:tc>
          <w:tcPr>
            <w:tcW w:w="2177" w:type="dxa"/>
          </w:tcPr>
          <w:p>
            <w:pPr>
              <w:pStyle w:val="Compact"/>
              <w:spacing w:after="40"/>
              <w:jc w:val="left"/>
            </w:pPr>
            <w:r>
              <w:rPr>
                <w:sz w:val="18"/>
              </w:rPr>
              <w:t xml:space="preserve">INV paras 31–32</w:t>
            </w:r>
          </w:p>
        </w:tc>
      </w:tr>
      <w:tr>
        <w:tc>
          <w:tcPr>
            <w:tcW w:w="1909" w:type="dxa"/>
          </w:tcPr>
          <w:p>
            <w:pPr>
              <w:pStyle w:val="Compact"/>
              <w:spacing w:after="40"/>
              <w:jc w:val="left"/>
            </w:pPr>
            <w:r>
              <w:rPr>
                <w:sz w:val="18"/>
              </w:rPr>
              <w:t xml:space="preserve">Exchange currency options</w:t>
            </w:r>
          </w:p>
        </w:tc>
        <w:tc>
          <w:tcPr>
            <w:tcW w:w="2945" w:type="dxa"/>
          </w:tcPr>
          <w:p>
            <w:pPr>
              <w:pStyle w:val="Compact"/>
              <w:spacing w:after="40"/>
              <w:jc w:val="left"/>
            </w:pPr>
            <w:r>
              <w:rPr>
                <w:sz w:val="18"/>
              </w:rPr>
              <w:t xml:space="preserve">non-deposit ML and UL</w:t>
            </w:r>
          </w:p>
        </w:tc>
        <w:tc>
          <w:tcPr>
            <w:tcW w:w="2607" w:type="dxa"/>
          </w:tcPr>
          <w:p>
            <w:pPr>
              <w:pStyle w:val="Compact"/>
              <w:spacing w:after="40"/>
              <w:jc w:val="left"/>
            </w:pPr>
            <w:r>
              <w:rPr>
                <w:sz w:val="18"/>
              </w:rPr>
              <w:t xml:space="preserve">hedging only</w:t>
            </w:r>
          </w:p>
        </w:tc>
        <w:tc>
          <w:tcPr>
            <w:tcW w:w="2177" w:type="dxa"/>
          </w:tcPr>
          <w:p>
            <w:pPr>
              <w:pStyle w:val="Compact"/>
              <w:spacing w:after="40"/>
              <w:jc w:val="left"/>
            </w:pPr>
            <w:r>
              <w:rPr>
                <w:sz w:val="18"/>
              </w:rPr>
              <w:t xml:space="preserve">INV para 33</w:t>
            </w:r>
          </w:p>
        </w:tc>
      </w:tr>
      <w:tr>
        <w:tc>
          <w:tcPr>
            <w:tcW w:w="1909" w:type="dxa"/>
          </w:tcPr>
          <w:p>
            <w:pPr>
              <w:pStyle w:val="Compact"/>
              <w:spacing w:after="40"/>
              <w:jc w:val="left"/>
            </w:pPr>
            <w:r>
              <w:rPr>
                <w:sz w:val="18"/>
              </w:rPr>
              <w:t xml:space="preserve">IRF as trading member</w:t>
            </w:r>
          </w:p>
        </w:tc>
        <w:tc>
          <w:tcPr>
            <w:tcW w:w="2945" w:type="dxa"/>
          </w:tcPr>
          <w:p>
            <w:pPr>
              <w:pStyle w:val="Compact"/>
              <w:spacing w:after="40"/>
              <w:jc w:val="left"/>
            </w:pPr>
            <w:r>
              <w:rPr>
                <w:sz w:val="18"/>
              </w:rPr>
              <w:t xml:space="preserve">non-deposit ML and UL</w:t>
            </w:r>
          </w:p>
        </w:tc>
        <w:tc>
          <w:tcPr>
            <w:tcW w:w="2607" w:type="dxa"/>
          </w:tcPr>
          <w:p>
            <w:pPr>
              <w:pStyle w:val="Compact"/>
              <w:spacing w:after="40"/>
              <w:jc w:val="left"/>
            </w:pPr>
            <w:r>
              <w:rPr>
                <w:sz w:val="18"/>
              </w:rPr>
              <w:t xml:space="preserve">per exchange rules</w:t>
            </w:r>
          </w:p>
        </w:tc>
        <w:tc>
          <w:tcPr>
            <w:tcW w:w="2177" w:type="dxa"/>
          </w:tcPr>
          <w:p>
            <w:pPr>
              <w:pStyle w:val="Compact"/>
              <w:spacing w:after="40"/>
              <w:jc w:val="left"/>
            </w:pPr>
            <w:r>
              <w:rPr>
                <w:sz w:val="18"/>
              </w:rPr>
              <w:t xml:space="preserve">INV para 34</w:t>
            </w:r>
          </w:p>
        </w:tc>
      </w:tr>
      <w:tr>
        <w:tc>
          <w:tcPr>
            <w:tcW w:w="1909" w:type="dxa"/>
          </w:tcPr>
          <w:p>
            <w:pPr>
              <w:pStyle w:val="Compact"/>
              <w:spacing w:after="40"/>
              <w:jc w:val="left"/>
            </w:pPr>
            <w:r>
              <w:rPr>
                <w:sz w:val="18"/>
              </w:rPr>
              <w:t xml:space="preserve">Credit derivatives</w:t>
            </w:r>
          </w:p>
        </w:tc>
        <w:tc>
          <w:tcPr>
            <w:tcW w:w="2945" w:type="dxa"/>
          </w:tcPr>
          <w:p>
            <w:pPr>
              <w:pStyle w:val="Compact"/>
              <w:spacing w:after="40"/>
              <w:jc w:val="left"/>
            </w:pPr>
            <w:r>
              <w:rPr>
                <w:sz w:val="18"/>
              </w:rPr>
              <w:t xml:space="preserve">users per the 2022 Directions; market-maker only with NOF ≥ ₹500 crore and RBI approval</w:t>
            </w:r>
          </w:p>
        </w:tc>
        <w:tc>
          <w:tcPr>
            <w:tcW w:w="2607" w:type="dxa"/>
          </w:tcPr>
          <w:p>
            <w:pPr>
              <w:pStyle w:val="Compact"/>
              <w:spacing w:after="40"/>
              <w:jc w:val="left"/>
            </w:pPr>
            <w:r>
              <w:rPr>
                <w:sz w:val="18"/>
              </w:rPr>
              <w:t xml:space="preserve">per RBI (Credit Derivatives) Directions 2022</w:t>
            </w:r>
          </w:p>
        </w:tc>
        <w:tc>
          <w:tcPr>
            <w:tcW w:w="2177" w:type="dxa"/>
          </w:tcPr>
          <w:p>
            <w:pPr>
              <w:pStyle w:val="Compact"/>
              <w:spacing w:after="40"/>
              <w:jc w:val="left"/>
            </w:pPr>
            <w:r>
              <w:rPr>
                <w:sz w:val="18"/>
              </w:rPr>
              <w:t xml:space="preserve">CDS protection recognition per CON [VERIFY para]</w:t>
            </w:r>
          </w:p>
        </w:tc>
      </w:tr>
      <w:tr>
        <w:tc>
          <w:tcPr>
            <w:tcW w:w="1909" w:type="dxa"/>
          </w:tcPr>
          <w:p>
            <w:pPr>
              <w:pStyle w:val="Compact"/>
              <w:spacing w:after="40"/>
              <w:jc w:val="left"/>
            </w:pPr>
            <w:r>
              <w:rPr>
                <w:sz w:val="18"/>
              </w:rPr>
              <w:t xml:space="preserve">Equity F&amp;O, cash-futures arbitrage</w:t>
            </w:r>
          </w:p>
        </w:tc>
        <w:tc>
          <w:tcPr>
            <w:tcW w:w="2945" w:type="dxa"/>
          </w:tcPr>
          <w:p>
            <w:pPr>
              <w:pStyle w:val="Compact"/>
              <w:spacing w:after="40"/>
              <w:jc w:val="left"/>
            </w:pPr>
            <w:r>
              <w:rPr>
                <w:sz w:val="18"/>
              </w:rPr>
              <w:t xml:space="preserve">no RBI NBFC direction found permitting or prohibiting it [VERIFY: FMRD and DoR position]</w:t>
            </w:r>
          </w:p>
        </w:tc>
        <w:tc>
          <w:tcPr>
            <w:tcW w:w="2607" w:type="dxa"/>
          </w:tcPr>
          <w:p>
            <w:pPr>
              <w:pStyle w:val="Compact"/>
              <w:spacing w:after="40"/>
              <w:jc w:val="left"/>
            </w:pPr>
            <w:r>
              <w:rPr>
                <w:sz w:val="18"/>
              </w:rPr>
              <w:t xml:space="preserve">—</w:t>
            </w:r>
          </w:p>
        </w:tc>
        <w:tc>
          <w:tcPr>
            <w:tcW w:w="2177" w:type="dxa"/>
          </w:tcPr>
          <w:p>
            <w:pPr>
              <w:pStyle w:val="Compact"/>
              <w:spacing w:after="40"/>
              <w:jc w:val="left"/>
            </w:pPr>
            <w:r>
              <w:rPr>
                <w:bCs/>
                <w:b/>
                <w:sz w:val="18"/>
              </w:rPr>
              <w:t xml:space="preserve">OFF by default</w:t>
            </w:r>
          </w:p>
        </w:tc>
      </w:tr>
    </w:tbl>
    <w:p>
      <w:pPr>
        <w:numPr>
          <w:ilvl w:val="0"/>
          <w:numId w:val="1521"/>
        </w:numPr>
        <w:pStyle w:val="Compact"/>
      </w:pPr>
      <w:r>
        <w:t xml:space="preserve">Every derivative carries a</w:t>
      </w:r>
      <w:r>
        <w:t xml:space="preserve"> </w:t>
      </w:r>
      <w:r>
        <w:rPr>
          <w:rStyle w:val="VerbatimChar"/>
        </w:rPr>
        <w:t xml:space="preserve">hedge_link</w:t>
      </w:r>
      <w:r>
        <w:t xml:space="preserve"> </w:t>
      </w:r>
      <w:r>
        <w:t xml:space="preserve">to the hedged exposure except where a permission covers non-hedge use; effectiveness evidence stored.</w:t>
      </w:r>
    </w:p>
    <w:p>
      <w:pPr>
        <w:numPr>
          <w:ilvl w:val="0"/>
          <w:numId w:val="1521"/>
        </w:numPr>
        <w:pStyle w:val="Compact"/>
      </w:pPr>
      <w:r>
        <w:rPr>
          <w:bCs/>
          <w:b/>
        </w:rPr>
        <w:t xml:space="preserve">Arbitrage switch:</w:t>
      </w:r>
      <w:r>
        <w:t xml:space="preserve"> </w:t>
      </w:r>
      <w:r>
        <w:t xml:space="preserve">enabling requires a Board-approved policy, a legal opinion on file, CCO approval and a recorded RBI position; both legs linked; treated as CME; daily mark-to-market and exchange margin ledger; no naked positions.</w:t>
      </w:r>
    </w:p>
    <w:p>
      <w:pPr>
        <w:numPr>
          <w:ilvl w:val="0"/>
          <w:numId w:val="1521"/>
        </w:numPr>
        <w:pStyle w:val="Compact"/>
      </w:pPr>
      <w:r>
        <w:t xml:space="preserve">The IRF half-yearly return is registered in Part 7B RR1.</w:t>
      </w:r>
    </w:p>
    <w:bookmarkEnd w:id="632"/>
    <w:bookmarkStart w:id="633" w:name="iv5.6-core-investment-company-tests-cicd"/>
    <w:p>
      <w:pPr>
        <w:pStyle w:val="Heading3"/>
      </w:pPr>
      <w:r>
        <w:t xml:space="preserve">IV5.6 Core Investment Company tests (CICD)</w:t>
      </w:r>
    </w:p>
    <w:p>
      <w:pPr>
        <w:pStyle w:val="FirstParagraph"/>
      </w:pPr>
      <w:r>
        <w:t xml:space="preserve">RBI (Core Investment Companies) Directions 2025 (RBI/DOR/2025-26/367, 28 Nov 2025, updated 10 Mar 2026).</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24"/>
        <w:gridCol w:w="4789"/>
        <w:gridCol w:w="1256"/>
        <w:gridCol w:w="1569"/>
      </w:tblGrid>
      <w:tr>
        <w:trPr>
          <w:tblHeader w:val="true"/>
          <w:tblHeader w:val="true"/>
        </w:trPr>
        <w:tc>
          <w:tcPr>
            <w:tcW w:w="2024" w:type="dxa"/>
            <w:shd w:val="clear" w:color="auto" w:fill="1F3A5F"/>
          </w:tcPr>
          <w:p>
            <w:pPr>
              <w:pStyle w:val="Compact"/>
              <w:spacing w:after="40"/>
              <w:jc w:val="left"/>
            </w:pPr>
            <w:r>
              <w:rPr>
                <w:b/>
                <w:color w:val="FFFFFF"/>
                <w:sz w:val="18"/>
              </w:rPr>
              <w:t xml:space="preserve">Test</w:t>
            </w:r>
          </w:p>
        </w:tc>
        <w:tc>
          <w:tcPr>
            <w:tcW w:w="4789" w:type="dxa"/>
            <w:shd w:val="clear" w:color="auto" w:fill="1F3A5F"/>
          </w:tcPr>
          <w:p>
            <w:pPr>
              <w:pStyle w:val="Compact"/>
              <w:spacing w:after="40"/>
              <w:jc w:val="left"/>
            </w:pPr>
            <w:r>
              <w:rPr>
                <w:b/>
                <w:color w:val="FFFFFF"/>
                <w:sz w:val="18"/>
              </w:rPr>
              <w:t xml:space="preserve">Formula</w:t>
            </w:r>
          </w:p>
        </w:tc>
        <w:tc>
          <w:tcPr>
            <w:tcW w:w="1256" w:type="dxa"/>
            <w:shd w:val="clear" w:color="auto" w:fill="1F3A5F"/>
          </w:tcPr>
          <w:p>
            <w:pPr>
              <w:pStyle w:val="Compact"/>
              <w:spacing w:after="40"/>
              <w:jc w:val="left"/>
            </w:pPr>
            <w:r>
              <w:rPr>
                <w:b/>
                <w:color w:val="FFFFFF"/>
                <w:sz w:val="18"/>
              </w:rPr>
              <w:t xml:space="preserve">Frequency</w:t>
            </w:r>
          </w:p>
        </w:tc>
        <w:tc>
          <w:tcPr>
            <w:tcW w:w="1569" w:type="dxa"/>
            <w:shd w:val="clear" w:color="auto" w:fill="1F3A5F"/>
          </w:tcPr>
          <w:p>
            <w:pPr>
              <w:pStyle w:val="Compact"/>
              <w:spacing w:after="40"/>
              <w:jc w:val="left"/>
            </w:pPr>
            <w:r>
              <w:rPr>
                <w:b/>
                <w:color w:val="FFFFFF"/>
                <w:sz w:val="18"/>
              </w:rPr>
              <w:t xml:space="preserve">Basis</w:t>
            </w:r>
          </w:p>
        </w:tc>
      </w:tr>
      <w:tr>
        <w:tc>
          <w:tcPr>
            <w:tcW w:w="2024" w:type="dxa"/>
          </w:tcPr>
          <w:p>
            <w:pPr>
              <w:pStyle w:val="Compact"/>
              <w:spacing w:after="40"/>
              <w:jc w:val="left"/>
            </w:pPr>
            <w:r>
              <w:rPr>
                <w:sz w:val="18"/>
              </w:rPr>
              <w:t xml:space="preserve">Group investment</w:t>
            </w:r>
          </w:p>
        </w:tc>
        <w:tc>
          <w:tcPr>
            <w:tcW w:w="4789" w:type="dxa"/>
          </w:tcPr>
          <w:p>
            <w:pPr>
              <w:pStyle w:val="Compact"/>
              <w:spacing w:after="40"/>
              <w:jc w:val="left"/>
            </w:pPr>
            <w:r>
              <w:rPr>
                <w:sz w:val="18"/>
              </w:rPr>
              <w:t xml:space="preserve">(equity, preference, debt and loans in group companies) ÷ net assets ≥ 90%</w:t>
            </w:r>
          </w:p>
        </w:tc>
        <w:tc>
          <w:tcPr>
            <w:tcW w:w="1256" w:type="dxa"/>
          </w:tcPr>
          <w:p>
            <w:pPr>
              <w:pStyle w:val="Compact"/>
              <w:spacing w:after="40"/>
              <w:jc w:val="left"/>
            </w:pPr>
            <w:r>
              <w:rPr>
                <w:sz w:val="18"/>
              </w:rPr>
              <w:t xml:space="preserve">monthly</w:t>
            </w:r>
          </w:p>
        </w:tc>
        <w:tc>
          <w:tcPr>
            <w:tcW w:w="1569" w:type="dxa"/>
          </w:tcPr>
          <w:p>
            <w:pPr>
              <w:pStyle w:val="Compact"/>
              <w:spacing w:after="40"/>
              <w:jc w:val="left"/>
            </w:pPr>
            <w:r>
              <w:rPr>
                <w:sz w:val="18"/>
              </w:rPr>
              <w:t xml:space="preserve">CICD para 3</w:t>
            </w:r>
          </w:p>
        </w:tc>
      </w:tr>
      <w:tr>
        <w:tc>
          <w:tcPr>
            <w:tcW w:w="2024" w:type="dxa"/>
          </w:tcPr>
          <w:p>
            <w:pPr>
              <w:pStyle w:val="Compact"/>
              <w:spacing w:after="40"/>
              <w:jc w:val="left"/>
            </w:pPr>
            <w:r>
              <w:rPr>
                <w:sz w:val="18"/>
              </w:rPr>
              <w:t xml:space="preserve">Group equity</w:t>
            </w:r>
          </w:p>
        </w:tc>
        <w:tc>
          <w:tcPr>
            <w:tcW w:w="4789" w:type="dxa"/>
          </w:tcPr>
          <w:p>
            <w:pPr>
              <w:pStyle w:val="Compact"/>
              <w:spacing w:after="40"/>
              <w:jc w:val="left"/>
            </w:pPr>
            <w:r>
              <w:rPr>
                <w:sz w:val="18"/>
              </w:rPr>
              <w:t xml:space="preserve">(group equity + sponsor InvIT units) ÷ net assets ≥ 60%</w:t>
            </w:r>
          </w:p>
        </w:tc>
        <w:tc>
          <w:tcPr>
            <w:tcW w:w="1256" w:type="dxa"/>
          </w:tcPr>
          <w:p>
            <w:pPr>
              <w:pStyle w:val="Compact"/>
              <w:spacing w:after="40"/>
              <w:jc w:val="left"/>
            </w:pPr>
            <w:r>
              <w:rPr>
                <w:sz w:val="18"/>
              </w:rPr>
              <w:t xml:space="preserve">monthly</w:t>
            </w:r>
          </w:p>
        </w:tc>
        <w:tc>
          <w:tcPr>
            <w:tcW w:w="1569" w:type="dxa"/>
          </w:tcPr>
          <w:p>
            <w:pPr>
              <w:pStyle w:val="Compact"/>
              <w:spacing w:after="40"/>
              <w:jc w:val="left"/>
            </w:pPr>
            <w:r>
              <w:rPr>
                <w:sz w:val="18"/>
              </w:rPr>
              <w:t xml:space="preserve">para 3</w:t>
            </w:r>
          </w:p>
        </w:tc>
      </w:tr>
      <w:tr>
        <w:tc>
          <w:tcPr>
            <w:tcW w:w="2024" w:type="dxa"/>
          </w:tcPr>
          <w:p>
            <w:pPr>
              <w:pStyle w:val="Compact"/>
              <w:spacing w:after="40"/>
              <w:jc w:val="left"/>
            </w:pPr>
            <w:r>
              <w:rPr>
                <w:sz w:val="18"/>
              </w:rPr>
              <w:t xml:space="preserve">Non-group non-financial assets</w:t>
            </w:r>
          </w:p>
        </w:tc>
        <w:tc>
          <w:tcPr>
            <w:tcW w:w="4789" w:type="dxa"/>
          </w:tcPr>
          <w:p>
            <w:pPr>
              <w:pStyle w:val="Compact"/>
              <w:spacing w:after="40"/>
              <w:jc w:val="left"/>
            </w:pPr>
            <w:r>
              <w:rPr>
                <w:sz w:val="18"/>
              </w:rPr>
              <w:t xml:space="preserve">≤ 10% of net assets</w:t>
            </w:r>
          </w:p>
        </w:tc>
        <w:tc>
          <w:tcPr>
            <w:tcW w:w="1256" w:type="dxa"/>
          </w:tcPr>
          <w:p>
            <w:pPr>
              <w:pStyle w:val="Compact"/>
              <w:spacing w:after="40"/>
              <w:jc w:val="left"/>
            </w:pPr>
            <w:r>
              <w:rPr>
                <w:sz w:val="18"/>
              </w:rPr>
              <w:t xml:space="preserve">monthly</w:t>
            </w:r>
          </w:p>
        </w:tc>
        <w:tc>
          <w:tcPr>
            <w:tcW w:w="1569" w:type="dxa"/>
          </w:tcPr>
          <w:p>
            <w:pPr>
              <w:pStyle w:val="Compact"/>
              <w:spacing w:after="40"/>
              <w:jc w:val="left"/>
            </w:pPr>
            <w:r>
              <w:rPr>
                <w:sz w:val="18"/>
              </w:rPr>
              <w:t xml:space="preserve">para 3</w:t>
            </w:r>
          </w:p>
        </w:tc>
      </w:tr>
      <w:tr>
        <w:tc>
          <w:tcPr>
            <w:tcW w:w="2024" w:type="dxa"/>
          </w:tcPr>
          <w:p>
            <w:pPr>
              <w:pStyle w:val="Compact"/>
              <w:spacing w:after="40"/>
              <w:jc w:val="left"/>
            </w:pPr>
            <w:r>
              <w:rPr>
                <w:sz w:val="18"/>
              </w:rPr>
              <w:t xml:space="preserve">Capital</w:t>
            </w:r>
          </w:p>
        </w:tc>
        <w:tc>
          <w:tcPr>
            <w:tcW w:w="4789" w:type="dxa"/>
          </w:tcPr>
          <w:p>
            <w:pPr>
              <w:pStyle w:val="Compact"/>
              <w:spacing w:after="40"/>
              <w:jc w:val="left"/>
            </w:pPr>
            <w:r>
              <w:rPr>
                <w:sz w:val="18"/>
              </w:rPr>
              <w:t xml:space="preserve">ANW ÷ RWA ≥ 30%</w:t>
            </w:r>
          </w:p>
        </w:tc>
        <w:tc>
          <w:tcPr>
            <w:tcW w:w="1256" w:type="dxa"/>
          </w:tcPr>
          <w:p>
            <w:pPr>
              <w:pStyle w:val="Compact"/>
              <w:spacing w:after="40"/>
              <w:jc w:val="left"/>
            </w:pPr>
            <w:r>
              <w:rPr>
                <w:sz w:val="18"/>
              </w:rPr>
              <w:t xml:space="preserve">quarterly</w:t>
            </w:r>
          </w:p>
        </w:tc>
        <w:tc>
          <w:tcPr>
            <w:tcW w:w="1569" w:type="dxa"/>
          </w:tcPr>
          <w:p>
            <w:pPr>
              <w:pStyle w:val="Compact"/>
              <w:spacing w:after="40"/>
              <w:jc w:val="left"/>
            </w:pPr>
            <w:r>
              <w:rPr>
                <w:sz w:val="18"/>
              </w:rPr>
              <w:t xml:space="preserve">para 20</w:t>
            </w:r>
          </w:p>
        </w:tc>
      </w:tr>
      <w:tr>
        <w:tc>
          <w:tcPr>
            <w:tcW w:w="2024" w:type="dxa"/>
          </w:tcPr>
          <w:p>
            <w:pPr>
              <w:pStyle w:val="Compact"/>
              <w:spacing w:after="40"/>
              <w:jc w:val="left"/>
            </w:pPr>
            <w:r>
              <w:rPr>
                <w:sz w:val="18"/>
              </w:rPr>
              <w:t xml:space="preserve">Leverage</w:t>
            </w:r>
          </w:p>
        </w:tc>
        <w:tc>
          <w:tcPr>
            <w:tcW w:w="4789" w:type="dxa"/>
          </w:tcPr>
          <w:p>
            <w:pPr>
              <w:pStyle w:val="Compact"/>
              <w:spacing w:after="40"/>
              <w:jc w:val="left"/>
            </w:pPr>
            <w:r>
              <w:rPr>
                <w:sz w:val="18"/>
              </w:rPr>
              <w:t xml:space="preserve">outside liabilities ÷ ANW ≤ 2.5</w:t>
            </w:r>
          </w:p>
        </w:tc>
        <w:tc>
          <w:tcPr>
            <w:tcW w:w="1256" w:type="dxa"/>
          </w:tcPr>
          <w:p>
            <w:pPr>
              <w:pStyle w:val="Compact"/>
              <w:spacing w:after="40"/>
              <w:jc w:val="left"/>
            </w:pPr>
            <w:r>
              <w:rPr>
                <w:sz w:val="18"/>
              </w:rPr>
              <w:t xml:space="preserve">quarterly</w:t>
            </w:r>
          </w:p>
        </w:tc>
        <w:tc>
          <w:tcPr>
            <w:tcW w:w="1569" w:type="dxa"/>
          </w:tcPr>
          <w:p>
            <w:pPr>
              <w:pStyle w:val="Compact"/>
              <w:spacing w:after="40"/>
              <w:jc w:val="left"/>
            </w:pPr>
            <w:r>
              <w:rPr>
                <w:sz w:val="18"/>
              </w:rPr>
              <w:t xml:space="preserve">para 23</w:t>
            </w:r>
          </w:p>
        </w:tc>
      </w:tr>
      <w:tr>
        <w:tc>
          <w:tcPr>
            <w:tcW w:w="2024" w:type="dxa"/>
          </w:tcPr>
          <w:p>
            <w:pPr>
              <w:pStyle w:val="Compact"/>
              <w:spacing w:after="40"/>
              <w:jc w:val="left"/>
            </w:pPr>
            <w:r>
              <w:rPr>
                <w:sz w:val="18"/>
              </w:rPr>
              <w:t xml:space="preserve">Layering</w:t>
            </w:r>
          </w:p>
        </w:tc>
        <w:tc>
          <w:tcPr>
            <w:tcW w:w="4789" w:type="dxa"/>
          </w:tcPr>
          <w:p>
            <w:pPr>
              <w:pStyle w:val="Compact"/>
              <w:spacing w:after="40"/>
              <w:jc w:val="left"/>
            </w:pPr>
            <w:r>
              <w:rPr>
                <w:sz w:val="18"/>
              </w:rPr>
              <w:t xml:space="preserve">≤ 2 NBFC-CIC layers in the group</w:t>
            </w:r>
          </w:p>
        </w:tc>
        <w:tc>
          <w:tcPr>
            <w:tcW w:w="1256" w:type="dxa"/>
          </w:tcPr>
          <w:p>
            <w:pPr>
              <w:pStyle w:val="Compact"/>
              <w:spacing w:after="40"/>
              <w:jc w:val="left"/>
            </w:pPr>
            <w:r>
              <w:rPr>
                <w:sz w:val="18"/>
              </w:rPr>
              <w:t xml:space="preserve">on change</w:t>
            </w:r>
          </w:p>
        </w:tc>
        <w:tc>
          <w:tcPr>
            <w:tcW w:w="1569" w:type="dxa"/>
          </w:tcPr>
          <w:p>
            <w:pPr>
              <w:pStyle w:val="Compact"/>
              <w:spacing w:after="40"/>
              <w:jc w:val="left"/>
            </w:pPr>
            <w:r>
              <w:rPr>
                <w:sz w:val="18"/>
              </w:rPr>
              <w:t xml:space="preserve">para 19</w:t>
            </w:r>
          </w:p>
        </w:tc>
      </w:tr>
      <w:tr>
        <w:tc>
          <w:tcPr>
            <w:tcW w:w="2024" w:type="dxa"/>
          </w:tcPr>
          <w:p>
            <w:pPr>
              <w:pStyle w:val="Compact"/>
              <w:spacing w:after="40"/>
              <w:jc w:val="left"/>
            </w:pPr>
            <w:r>
              <w:rPr>
                <w:sz w:val="18"/>
              </w:rPr>
              <w:t xml:space="preserve">Registration</w:t>
            </w:r>
          </w:p>
        </w:tc>
        <w:tc>
          <w:tcPr>
            <w:tcW w:w="4789" w:type="dxa"/>
          </w:tcPr>
          <w:p>
            <w:pPr>
              <w:pStyle w:val="Compact"/>
              <w:spacing w:after="40"/>
              <w:jc w:val="left"/>
            </w:pPr>
            <w:r>
              <w:rPr>
                <w:sz w:val="18"/>
              </w:rPr>
              <w:t xml:space="preserve">total assets (with group NBFC-CICs) ≥ ₹100 crore</w:t>
            </w:r>
            <w:r>
              <w:rPr>
                <w:sz w:val="18"/>
              </w:rPr>
              <w:t xml:space="preserve"> </w:t>
            </w:r>
            <w:r>
              <w:rPr>
                <w:bCs/>
                <w:b/>
                <w:sz w:val="18"/>
              </w:rPr>
              <w:t xml:space="preserve">and</w:t>
            </w:r>
            <w:r>
              <w:rPr>
                <w:sz w:val="18"/>
              </w:rPr>
              <w:t xml:space="preserve"> </w:t>
            </w:r>
            <w:r>
              <w:rPr>
                <w:sz w:val="18"/>
              </w:rPr>
              <w:t xml:space="preserve">public funds held or raised → apply through PRAVAAH within 3 months; otherwise Unregistered Core Investment Company</w:t>
            </w:r>
          </w:p>
        </w:tc>
        <w:tc>
          <w:tcPr>
            <w:tcW w:w="1256" w:type="dxa"/>
          </w:tcPr>
          <w:p>
            <w:pPr>
              <w:pStyle w:val="Compact"/>
              <w:spacing w:after="40"/>
              <w:jc w:val="left"/>
            </w:pPr>
            <w:r>
              <w:rPr>
                <w:sz w:val="18"/>
              </w:rPr>
              <w:t xml:space="preserve">monthly</w:t>
            </w:r>
          </w:p>
        </w:tc>
        <w:tc>
          <w:tcPr>
            <w:tcW w:w="1569" w:type="dxa"/>
          </w:tcPr>
          <w:p>
            <w:pPr>
              <w:pStyle w:val="Compact"/>
              <w:spacing w:after="40"/>
              <w:jc w:val="left"/>
            </w:pPr>
            <w:r>
              <w:rPr>
                <w:sz w:val="18"/>
              </w:rPr>
              <w:t xml:space="preserve">paras 11(7), 15–17</w:t>
            </w:r>
          </w:p>
        </w:tc>
      </w:tr>
      <w:tr>
        <w:tc>
          <w:tcPr>
            <w:tcW w:w="2024" w:type="dxa"/>
          </w:tcPr>
          <w:p>
            <w:pPr>
              <w:pStyle w:val="Compact"/>
              <w:spacing w:after="40"/>
              <w:jc w:val="left"/>
            </w:pPr>
            <w:r>
              <w:rPr>
                <w:sz w:val="18"/>
              </w:rPr>
              <w:t xml:space="preserve">PCA</w:t>
            </w:r>
          </w:p>
        </w:tc>
        <w:tc>
          <w:tcPr>
            <w:tcW w:w="4789" w:type="dxa"/>
          </w:tcPr>
          <w:p>
            <w:pPr>
              <w:pStyle w:val="Compact"/>
              <w:spacing w:after="40"/>
              <w:jc w:val="left"/>
            </w:pPr>
            <w:r>
              <w:rPr>
                <w:sz w:val="18"/>
              </w:rPr>
              <w:t xml:space="preserve">ANW ÷ RWA below 30% and leverage 2.5× and above trigger risk thresholds</w:t>
            </w:r>
          </w:p>
        </w:tc>
        <w:tc>
          <w:tcPr>
            <w:tcW w:w="1256" w:type="dxa"/>
          </w:tcPr>
          <w:p>
            <w:pPr>
              <w:pStyle w:val="Compact"/>
              <w:spacing w:after="40"/>
              <w:jc w:val="left"/>
            </w:pPr>
            <w:r>
              <w:rPr>
                <w:sz w:val="18"/>
              </w:rPr>
              <w:t xml:space="preserve">quarterly</w:t>
            </w:r>
          </w:p>
        </w:tc>
        <w:tc>
          <w:tcPr>
            <w:tcW w:w="1569" w:type="dxa"/>
          </w:tcPr>
          <w:p>
            <w:pPr>
              <w:pStyle w:val="Compact"/>
              <w:spacing w:after="40"/>
              <w:jc w:val="left"/>
            </w:pPr>
            <w:r>
              <w:rPr>
                <w:sz w:val="18"/>
              </w:rPr>
              <w:t xml:space="preserve">MSD paras 16–17</w:t>
            </w:r>
          </w:p>
        </w:tc>
      </w:tr>
    </w:tbl>
    <w:p>
      <w:pPr>
        <w:numPr>
          <w:ilvl w:val="0"/>
          <w:numId w:val="1522"/>
        </w:numPr>
        <w:pStyle w:val="Compact"/>
      </w:pPr>
      <w:r>
        <w:t xml:space="preserve">Governance: Group Risk Management Committee (≥ 5 members, ≥ 2 independent directors, independent chair, quarterly) (paras 69–71); quarterly deviation statement on use of funds (paras 67–68, 72); RMC and CRO.</w:t>
      </w:r>
    </w:p>
    <w:p>
      <w:pPr>
        <w:numPr>
          <w:ilvl w:val="0"/>
          <w:numId w:val="1522"/>
        </w:numPr>
        <w:pStyle w:val="Compact"/>
      </w:pPr>
      <w:r>
        <w:t xml:space="preserve">GR-7H-06: no trading in group investments except block sales; other financial activity limited to bank deposits, money-market instruments, G-secs, group bonds and loans, and guarantees; no commodity derivatives.</w:t>
      </w:r>
    </w:p>
    <w:bookmarkEnd w:id="633"/>
    <w:bookmarkStart w:id="634" w:name="iv5.7-type-i-nbfc-helper"/>
    <w:p>
      <w:pPr>
        <w:pStyle w:val="Heading3"/>
      </w:pPr>
      <w:r>
        <w:t xml:space="preserve">IV5.7 Type I NBFC helper</w:t>
      </w:r>
    </w:p>
    <w:p>
      <w:pPr>
        <w:pStyle w:val="FirstParagraph"/>
      </w:pPr>
      <w:r>
        <w:t xml:space="preserve">SBR Amendment Directions 2026 (RBI/2026-27/43, 29 Apr 2026, effective 1 Jul 2026): an NBFC with no public funds (including funds received indirectly through associates and group entities), no customer interface and group-aggregated assets below ₹1,000 crore may operate as an Unregistered Type I NBFC, exempt from ss.45-IA and 45-IC. Finbyx computes the tests monthly and builds the deregistration pack — 3 years’ audited statements, auditor certificate, Board resolution — for a PRAVAAH application</w:t>
      </w:r>
      <w:r>
        <w:t xml:space="preserve"> </w:t>
      </w:r>
      <w:r>
        <w:rPr>
          <w:bCs/>
          <w:b/>
        </w:rPr>
        <w:t xml:space="preserve">by 31 Dec 2026</w:t>
      </w:r>
      <w:r>
        <w:t xml:space="preserve">, with a task to surrender the original CoR. After exemption: annual Board resolution, disclosure in the accounts, auditor exception reporting, no overseas non-financial investment (para 65A).</w:t>
      </w:r>
    </w:p>
    <w:bookmarkEnd w:id="634"/>
    <w:bookmarkStart w:id="635" w:name="iv5.8-financial-statements"/>
    <w:p>
      <w:pPr>
        <w:pStyle w:val="Heading3"/>
      </w:pPr>
      <w:r>
        <w:t xml:space="preserve">IV5.8 Financial statements</w:t>
      </w:r>
    </w:p>
    <w:p>
      <w:pPr>
        <w:pStyle w:val="FirstParagraph"/>
      </w:pPr>
      <w:r>
        <w:t xml:space="preserve">Investment schedules for Schedule III Division III and Division I; FS Directions notes including CME (para 21(8)(ii)), AIF exposures by category and restructuring conversions; produced with Part 7C AC3.</w:t>
      </w:r>
    </w:p>
    <w:bookmarkEnd w:id="635"/>
    <w:bookmarkStart w:id="636" w:name="acceptance-tests-51"/>
    <w:p>
      <w:pPr>
        <w:pStyle w:val="Heading3"/>
      </w:pPr>
      <w:r>
        <w:t xml:space="preserve">Acceptance tests</w:t>
      </w:r>
    </w:p>
    <w:p>
      <w:pPr>
        <w:numPr>
          <w:ilvl w:val="0"/>
          <w:numId w:val="1523"/>
        </w:numPr>
        <w:pStyle w:val="Compact"/>
      </w:pPr>
      <w:r>
        <w:t xml:space="preserve">AS NBFC, current quoted equity cost ₹10 crore and market ₹9.2 crore; debentures cost ₹5 crore and market ₹5.3 crore → depreciation ₹0.8 crore; no set-off of the ₹0.3 crore gain.</w:t>
      </w:r>
    </w:p>
    <w:p>
      <w:pPr>
        <w:numPr>
          <w:ilvl w:val="0"/>
          <w:numId w:val="1523"/>
        </w:numPr>
        <w:pStyle w:val="Compact"/>
      </w:pPr>
      <w:r>
        <w:t xml:space="preserve">Unquoted equity whose investee has filed no balance sheet for 2 years → ₹1.</w:t>
      </w:r>
    </w:p>
    <w:p>
      <w:pPr>
        <w:numPr>
          <w:ilvl w:val="0"/>
          <w:numId w:val="1523"/>
        </w:numPr>
        <w:pStyle w:val="Compact"/>
      </w:pPr>
      <w:r>
        <w:t xml:space="preserve">Inter-class transfer dated 15 Nov → refused; dated 1 Oct with a Board resolution → executed at the lower of book and market.</w:t>
      </w:r>
    </w:p>
    <w:p>
      <w:pPr>
        <w:numPr>
          <w:ilvl w:val="0"/>
          <w:numId w:val="1523"/>
        </w:numPr>
        <w:pStyle w:val="Compact"/>
      </w:pPr>
      <w:r>
        <w:t xml:space="preserve">ML NBFC with Tier 1 ₹400 crore holds ₹70 crore loans and ₹35 crore bonds in one party → 26.25% →</w:t>
      </w:r>
      <w:r>
        <w:t xml:space="preserve"> </w:t>
      </w:r>
      <w:r>
        <w:rPr>
          <w:rStyle w:val="VerbatimChar"/>
        </w:rPr>
        <w:t xml:space="preserve">InvestmentLimitBreached</w:t>
      </w:r>
      <w:r>
        <w:t xml:space="preserve">.</w:t>
      </w:r>
    </w:p>
    <w:p>
      <w:pPr>
        <w:numPr>
          <w:ilvl w:val="0"/>
          <w:numId w:val="1523"/>
        </w:numPr>
        <w:pStyle w:val="Compact"/>
      </w:pPr>
      <w:r>
        <w:t xml:space="preserve">NBFC-CIC with group equity at 58% of net assets → test fails and a compliance issue opens.</w:t>
      </w:r>
    </w:p>
    <w:p>
      <w:pPr>
        <w:numPr>
          <w:ilvl w:val="0"/>
          <w:numId w:val="1523"/>
        </w:numPr>
        <w:pStyle w:val="Compact"/>
      </w:pPr>
      <w:r>
        <w:t xml:space="preserve">Enabling arbitrage without a legal opinion on file → refused.</w:t>
      </w:r>
    </w:p>
    <w:p>
      <w:pPr>
        <w:numPr>
          <w:ilvl w:val="0"/>
          <w:numId w:val="1523"/>
        </w:numPr>
        <w:pStyle w:val="Compact"/>
      </w:pPr>
      <w:r>
        <w:t xml:space="preserve">IRF position without</w:t>
      </w:r>
      <w:r>
        <w:t xml:space="preserve"> </w:t>
      </w:r>
      <w:r>
        <w:rPr>
          <w:rStyle w:val="VerbatimChar"/>
        </w:rPr>
        <w:t xml:space="preserve">hedge_link</w:t>
      </w:r>
      <w:r>
        <w:t xml:space="preserve"> </w:t>
      </w:r>
      <w:r>
        <w:t xml:space="preserve">→ blocked.</w:t>
      </w:r>
    </w:p>
    <w:p>
      <w:pPr>
        <w:numPr>
          <w:ilvl w:val="0"/>
          <w:numId w:val="1523"/>
        </w:numPr>
        <w:pStyle w:val="Compact"/>
      </w:pPr>
      <w:r>
        <w:t xml:space="preserve">Type I helper on 1 Dec 2026 with indirect public funds via an associate → test fails; no deregistration pack.</w:t>
      </w:r>
    </w:p>
    <w:p>
      <w:r>
        <w:pict>
          <v:rect style="width:0;height:1.5pt" o:hralign="center" o:hrstd="t" o:hr="t"/>
        </w:pict>
      </w:r>
    </w:p>
    <w:bookmarkEnd w:id="636"/>
    <w:bookmarkEnd w:id="637"/>
    <w:bookmarkStart w:id="645" w:name="Xb74d01a9cf8176efc09257db659edcc62cf0f5d"/>
    <w:p>
      <w:pPr>
        <w:pStyle w:val="Heading2"/>
      </w:pPr>
      <w:r>
        <w:t xml:space="preserve">IV6. AIFs and other investment vehicles as Finbyx customers</w:t>
      </w:r>
    </w:p>
    <w:bookmarkStart w:id="638" w:name="iv6.1-positioning"/>
    <w:p>
      <w:pPr>
        <w:pStyle w:val="Heading3"/>
      </w:pPr>
      <w:r>
        <w:t xml:space="preserve">IV6.1 Positioning</w:t>
      </w:r>
    </w:p>
    <w:p>
      <w:pPr>
        <w:numPr>
          <w:ilvl w:val="0"/>
          <w:numId w:val="1524"/>
        </w:numPr>
        <w:pStyle w:val="Compact"/>
      </w:pPr>
      <w:r>
        <w:t xml:space="preserve">Profiles</w:t>
      </w:r>
      <w:r>
        <w:t xml:space="preserve"> </w:t>
      </w:r>
      <w:r>
        <w:rPr>
          <w:rStyle w:val="VerbatimChar"/>
        </w:rPr>
        <w:t xml:space="preserve">AIF</w:t>
      </w:r>
      <w:r>
        <w:t xml:space="preserve"> </w:t>
      </w:r>
      <w:r>
        <w:t xml:space="preserve">(trust, LLP or company; Category I, II or III; LVF; Accredited-Investor-only scheme),</w:t>
      </w:r>
      <w:r>
        <w:t xml:space="preserve"> </w:t>
      </w:r>
      <w:r>
        <w:rPr>
          <w:rStyle w:val="VerbatimChar"/>
        </w:rPr>
        <w:t xml:space="preserve">PMS</w:t>
      </w:r>
      <w:r>
        <w:t xml:space="preserve"> </w:t>
      </w:r>
      <w:r>
        <w:t xml:space="preserve">and</w:t>
      </w:r>
      <w:r>
        <w:t xml:space="preserve"> </w:t>
      </w:r>
      <w:r>
        <w:rPr>
          <w:rStyle w:val="VerbatimChar"/>
        </w:rPr>
        <w:t xml:space="preserve">IFSC_FUND</w:t>
      </w:r>
      <w:r>
        <w:t xml:space="preserve"> </w:t>
      </w:r>
      <w:r>
        <w:t xml:space="preserve">(Part 7G IP1). A SEBI-registered AIF company not taking public deposits is exempt from ss.45-IA and 45-IC (SBR para 64).</w:t>
      </w:r>
    </w:p>
    <w:p>
      <w:pPr>
        <w:numPr>
          <w:ilvl w:val="0"/>
          <w:numId w:val="1524"/>
        </w:numPr>
        <w:pStyle w:val="Compact"/>
      </w:pPr>
      <w:r>
        <w:t xml:space="preserve">Finbyx provides the book of record (IV1–IV5 with a SEBI pack instead of the RBI INV pack), investor register, capital calls and distributions, NAV support and regulatory monitors. It does not act as RTA, valuer, distributor or adviser; the manager approves every NAV, report and filing.</w:t>
      </w:r>
    </w:p>
    <w:p>
      <w:pPr>
        <w:numPr>
          <w:ilvl w:val="0"/>
          <w:numId w:val="1524"/>
        </w:numPr>
        <w:pStyle w:val="Compact"/>
      </w:pPr>
      <w:r>
        <w:t xml:space="preserve">Accounting: trust and LLP funds under ICAI AS; company funds per Rule 4 [VERIFY].</w:t>
      </w:r>
    </w:p>
    <w:bookmarkEnd w:id="638"/>
    <w:bookmarkStart w:id="639" w:name="X100b02241de2d9a3de15ff01b063697e3acfc8e"/>
    <w:p>
      <w:pPr>
        <w:pStyle w:val="Heading3"/>
      </w:pPr>
      <w:r>
        <w:t xml:space="preserve">IV6.2 Investor register and capital accounts</w:t>
      </w:r>
    </w:p>
    <w:p>
      <w:pPr>
        <w:pStyle w:val="FirstParagraph"/>
      </w:pPr>
      <w:r>
        <w:t xml:space="preserve">Investor KYC status (done by the manager under PMLA), accreditation status, commitment, unit class, drawdowns, distributions, fees and carry (waterfall per PPM [REC]), capital-account statements, transfers. Minimum commitment ₹1 crore except accredited investors and employees or directors [VERIFY]; onboarding pending accreditation permitted (9 Jan 2026).</w:t>
      </w:r>
    </w:p>
    <w:bookmarkEnd w:id="639"/>
    <w:bookmarkStart w:id="640" w:name="X2e9728827901c5d48ec24ceb678b340f808bc9a"/>
    <w:p>
      <w:pPr>
        <w:pStyle w:val="Heading3"/>
      </w:pPr>
      <w:r>
        <w:t xml:space="preserve">IV6.3 Concentration, leverage and demat monitors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14"/>
        <w:gridCol w:w="4565"/>
        <w:gridCol w:w="2659"/>
      </w:tblGrid>
      <w:tr>
        <w:trPr>
          <w:tblHeader w:val="true"/>
          <w:tblHeader w:val="true"/>
        </w:trPr>
        <w:tc>
          <w:tcPr>
            <w:tcW w:w="2414" w:type="dxa"/>
            <w:shd w:val="clear" w:color="auto" w:fill="1F3A5F"/>
          </w:tcPr>
          <w:p>
            <w:pPr>
              <w:pStyle w:val="Compact"/>
              <w:spacing w:after="40"/>
              <w:jc w:val="left"/>
            </w:pPr>
            <w:r>
              <w:rPr>
                <w:b/>
                <w:color w:val="FFFFFF"/>
                <w:sz w:val="18"/>
              </w:rPr>
              <w:t xml:space="preserve">Rule</w:t>
            </w:r>
          </w:p>
        </w:tc>
        <w:tc>
          <w:tcPr>
            <w:tcW w:w="4565" w:type="dxa"/>
            <w:shd w:val="clear" w:color="auto" w:fill="1F3A5F"/>
          </w:tcPr>
          <w:p>
            <w:pPr>
              <w:pStyle w:val="Compact"/>
              <w:spacing w:after="40"/>
              <w:jc w:val="left"/>
            </w:pPr>
            <w:r>
              <w:rPr>
                <w:b/>
                <w:color w:val="FFFFFF"/>
                <w:sz w:val="18"/>
              </w:rPr>
              <w:t xml:space="preserve">Value</w:t>
            </w:r>
          </w:p>
        </w:tc>
        <w:tc>
          <w:tcPr>
            <w:tcW w:w="2659" w:type="dxa"/>
            <w:shd w:val="clear" w:color="auto" w:fill="1F3A5F"/>
          </w:tcPr>
          <w:p>
            <w:pPr>
              <w:pStyle w:val="Compact"/>
              <w:spacing w:after="40"/>
              <w:jc w:val="left"/>
            </w:pPr>
            <w:r>
              <w:rPr>
                <w:b/>
                <w:color w:val="FFFFFF"/>
                <w:sz w:val="18"/>
              </w:rPr>
              <w:t xml:space="preserve">Basis</w:t>
            </w:r>
          </w:p>
        </w:tc>
      </w:tr>
      <w:tr>
        <w:tc>
          <w:tcPr>
            <w:tcW w:w="2414" w:type="dxa"/>
          </w:tcPr>
          <w:p>
            <w:pPr>
              <w:pStyle w:val="Compact"/>
              <w:spacing w:after="40"/>
              <w:jc w:val="left"/>
            </w:pPr>
            <w:r>
              <w:rPr>
                <w:sz w:val="18"/>
              </w:rPr>
              <w:t xml:space="preserve">Category I and II single investee</w:t>
            </w:r>
          </w:p>
        </w:tc>
        <w:tc>
          <w:tcPr>
            <w:tcW w:w="4565" w:type="dxa"/>
          </w:tcPr>
          <w:p>
            <w:pPr>
              <w:pStyle w:val="Compact"/>
              <w:spacing w:after="40"/>
              <w:jc w:val="left"/>
            </w:pPr>
            <w:r>
              <w:rPr>
                <w:sz w:val="18"/>
              </w:rPr>
              <w:t xml:space="preserve">≤ 25% of investable funds (LVF 50%)</w:t>
            </w:r>
          </w:p>
        </w:tc>
        <w:tc>
          <w:tcPr>
            <w:tcW w:w="2659" w:type="dxa"/>
          </w:tcPr>
          <w:p>
            <w:pPr>
              <w:pStyle w:val="Compact"/>
              <w:spacing w:after="40"/>
              <w:jc w:val="left"/>
            </w:pPr>
            <w:r>
              <w:rPr>
                <w:sz w:val="18"/>
              </w:rPr>
              <w:t xml:space="preserve">AIF Reg 15(1)(c) [VERIFY]</w:t>
            </w:r>
          </w:p>
        </w:tc>
      </w:tr>
      <w:tr>
        <w:tc>
          <w:tcPr>
            <w:tcW w:w="2414" w:type="dxa"/>
          </w:tcPr>
          <w:p>
            <w:pPr>
              <w:pStyle w:val="Compact"/>
              <w:spacing w:after="40"/>
              <w:jc w:val="left"/>
            </w:pPr>
            <w:r>
              <w:rPr>
                <w:sz w:val="18"/>
              </w:rPr>
              <w:t xml:space="preserve">Category III single investee</w:t>
            </w:r>
          </w:p>
        </w:tc>
        <w:tc>
          <w:tcPr>
            <w:tcW w:w="4565" w:type="dxa"/>
          </w:tcPr>
          <w:p>
            <w:pPr>
              <w:pStyle w:val="Compact"/>
              <w:spacing w:after="40"/>
              <w:jc w:val="left"/>
            </w:pPr>
            <w:r>
              <w:rPr>
                <w:sz w:val="18"/>
              </w:rPr>
              <w:t xml:space="preserve">≤ 10% of investable funds; listed equity 10% of NAV (LVF 20%), measured on the business day before investment</w:t>
            </w:r>
          </w:p>
        </w:tc>
        <w:tc>
          <w:tcPr>
            <w:tcW w:w="2659" w:type="dxa"/>
          </w:tcPr>
          <w:p>
            <w:pPr>
              <w:pStyle w:val="Compact"/>
              <w:spacing w:after="40"/>
              <w:jc w:val="left"/>
            </w:pPr>
            <w:r>
              <w:rPr>
                <w:sz w:val="18"/>
              </w:rPr>
              <w:t xml:space="preserve">circular of 22 Nov 2021</w:t>
            </w:r>
          </w:p>
        </w:tc>
      </w:tr>
      <w:tr>
        <w:tc>
          <w:tcPr>
            <w:tcW w:w="2414" w:type="dxa"/>
          </w:tcPr>
          <w:p>
            <w:pPr>
              <w:pStyle w:val="Compact"/>
              <w:spacing w:after="40"/>
              <w:jc w:val="left"/>
            </w:pPr>
            <w:r>
              <w:rPr>
                <w:sz w:val="18"/>
              </w:rPr>
              <w:t xml:space="preserve">Passive breach</w:t>
            </w:r>
          </w:p>
        </w:tc>
        <w:tc>
          <w:tcPr>
            <w:tcW w:w="4565" w:type="dxa"/>
          </w:tcPr>
          <w:p>
            <w:pPr>
              <w:pStyle w:val="Compact"/>
              <w:spacing w:after="40"/>
              <w:jc w:val="left"/>
            </w:pPr>
            <w:r>
              <w:rPr>
                <w:sz w:val="18"/>
              </w:rPr>
              <w:t xml:space="preserve">cured within 30 days</w:t>
            </w:r>
          </w:p>
        </w:tc>
        <w:tc>
          <w:tcPr>
            <w:tcW w:w="2659" w:type="dxa"/>
          </w:tcPr>
          <w:p>
            <w:pPr>
              <w:pStyle w:val="Compact"/>
              <w:spacing w:after="40"/>
              <w:jc w:val="left"/>
            </w:pPr>
            <w:r>
              <w:rPr>
                <w:sz w:val="18"/>
              </w:rPr>
              <w:t xml:space="preserve">circular of 22 Nov 2021</w:t>
            </w:r>
          </w:p>
        </w:tc>
      </w:tr>
      <w:tr>
        <w:tc>
          <w:tcPr>
            <w:tcW w:w="2414" w:type="dxa"/>
          </w:tcPr>
          <w:p>
            <w:pPr>
              <w:pStyle w:val="Compact"/>
              <w:spacing w:after="40"/>
              <w:jc w:val="left"/>
            </w:pPr>
            <w:r>
              <w:rPr>
                <w:sz w:val="18"/>
              </w:rPr>
              <w:t xml:space="preserve">Category III leverage</w:t>
            </w:r>
          </w:p>
        </w:tc>
        <w:tc>
          <w:tcPr>
            <w:tcW w:w="4565" w:type="dxa"/>
          </w:tcPr>
          <w:p>
            <w:pPr>
              <w:pStyle w:val="Compact"/>
              <w:spacing w:after="40"/>
              <w:jc w:val="left"/>
            </w:pPr>
            <w:r>
              <w:rPr>
                <w:sz w:val="18"/>
              </w:rPr>
              <w:t xml:space="preserve">gross exposure ≤ 2 × NAV</w:t>
            </w:r>
          </w:p>
        </w:tc>
        <w:tc>
          <w:tcPr>
            <w:tcW w:w="2659" w:type="dxa"/>
          </w:tcPr>
          <w:p>
            <w:pPr>
              <w:pStyle w:val="Compact"/>
              <w:spacing w:after="40"/>
              <w:jc w:val="left"/>
            </w:pPr>
            <w:r>
              <w:rPr>
                <w:sz w:val="18"/>
              </w:rPr>
              <w:t xml:space="preserve">[VERIFY current circular]</w:t>
            </w:r>
          </w:p>
        </w:tc>
      </w:tr>
      <w:tr>
        <w:tc>
          <w:tcPr>
            <w:tcW w:w="2414" w:type="dxa"/>
          </w:tcPr>
          <w:p>
            <w:pPr>
              <w:pStyle w:val="Compact"/>
              <w:spacing w:after="40"/>
              <w:jc w:val="left"/>
            </w:pPr>
            <w:r>
              <w:rPr>
                <w:sz w:val="18"/>
              </w:rPr>
              <w:t xml:space="preserve">LVF threshold</w:t>
            </w:r>
          </w:p>
        </w:tc>
        <w:tc>
          <w:tcPr>
            <w:tcW w:w="4565" w:type="dxa"/>
          </w:tcPr>
          <w:p>
            <w:pPr>
              <w:pStyle w:val="Compact"/>
              <w:spacing w:after="40"/>
              <w:jc w:val="left"/>
            </w:pPr>
            <w:r>
              <w:rPr>
                <w:sz w:val="18"/>
              </w:rPr>
              <w:t xml:space="preserve">₹25 crore (was ₹70 crore)</w:t>
            </w:r>
          </w:p>
        </w:tc>
        <w:tc>
          <w:tcPr>
            <w:tcW w:w="2659" w:type="dxa"/>
          </w:tcPr>
          <w:p>
            <w:pPr>
              <w:pStyle w:val="Compact"/>
              <w:spacing w:after="40"/>
              <w:jc w:val="left"/>
            </w:pPr>
            <w:r>
              <w:rPr>
                <w:sz w:val="18"/>
              </w:rPr>
              <w:t xml:space="preserve">AIF Third Amendment, 18 Nov 2025</w:t>
            </w:r>
          </w:p>
        </w:tc>
      </w:tr>
      <w:tr>
        <w:tc>
          <w:tcPr>
            <w:tcW w:w="2414" w:type="dxa"/>
          </w:tcPr>
          <w:p>
            <w:pPr>
              <w:pStyle w:val="Compact"/>
              <w:spacing w:after="40"/>
              <w:jc w:val="left"/>
            </w:pPr>
            <w:r>
              <w:rPr>
                <w:sz w:val="18"/>
              </w:rPr>
              <w:t xml:space="preserve">Demat</w:t>
            </w:r>
          </w:p>
        </w:tc>
        <w:tc>
          <w:tcPr>
            <w:tcW w:w="4565" w:type="dxa"/>
          </w:tcPr>
          <w:p>
            <w:pPr>
              <w:pStyle w:val="Compact"/>
              <w:spacing w:after="40"/>
              <w:jc w:val="left"/>
            </w:pPr>
            <w:r>
              <w:rPr>
                <w:sz w:val="18"/>
              </w:rPr>
              <w:t xml:space="preserve">new investments from 1 Jul 2025 in demat; existing dematerialised by 31 Oct 2025; schemes ending by 31 Oct 2025 exempt</w:t>
            </w:r>
          </w:p>
        </w:tc>
        <w:tc>
          <w:tcPr>
            <w:tcW w:w="2659" w:type="dxa"/>
          </w:tcPr>
          <w:p>
            <w:pPr>
              <w:pStyle w:val="Compact"/>
              <w:spacing w:after="40"/>
              <w:jc w:val="left"/>
            </w:pPr>
            <w:r>
              <w:rPr>
                <w:sz w:val="18"/>
              </w:rPr>
              <w:t xml:space="preserve">circulars of 12 Jan 2024 and 14 Feb 2025</w:t>
            </w:r>
          </w:p>
        </w:tc>
      </w:tr>
    </w:tbl>
    <w:p>
      <w:pPr>
        <w:pStyle w:val="BodyText"/>
      </w:pPr>
      <w:r>
        <w:t xml:space="preserve">Non-demat holdings after the deadline open an exception with the exemption basis or remediation plan.</w:t>
      </w:r>
    </w:p>
    <w:bookmarkEnd w:id="640"/>
    <w:bookmarkStart w:id="641" w:name="X802d612a0d3a5aa2c12e24fe2ebf25fca4551b3"/>
    <w:p>
      <w:pPr>
        <w:pStyle w:val="Heading3"/>
      </w:pPr>
      <w:r>
        <w:t xml:space="preserve">IV6.4 Reporting and filings (guided; no stored credentials)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49"/>
        <w:gridCol w:w="4181"/>
        <w:gridCol w:w="2708"/>
      </w:tblGrid>
      <w:tr>
        <w:trPr>
          <w:tblHeader w:val="true"/>
          <w:tblHeader w:val="true"/>
        </w:trPr>
        <w:tc>
          <w:tcPr>
            <w:tcW w:w="2749" w:type="dxa"/>
            <w:shd w:val="clear" w:color="auto" w:fill="1F3A5F"/>
          </w:tcPr>
          <w:p>
            <w:pPr>
              <w:pStyle w:val="Compact"/>
              <w:spacing w:after="40"/>
              <w:jc w:val="left"/>
            </w:pPr>
            <w:r>
              <w:rPr>
                <w:b/>
                <w:color w:val="FFFFFF"/>
                <w:sz w:val="18"/>
              </w:rPr>
              <w:t xml:space="preserve">Obligation</w:t>
            </w:r>
          </w:p>
        </w:tc>
        <w:tc>
          <w:tcPr>
            <w:tcW w:w="4181" w:type="dxa"/>
            <w:shd w:val="clear" w:color="auto" w:fill="1F3A5F"/>
          </w:tcPr>
          <w:p>
            <w:pPr>
              <w:pStyle w:val="Compact"/>
              <w:spacing w:after="40"/>
              <w:jc w:val="left"/>
            </w:pPr>
            <w:r>
              <w:rPr>
                <w:b/>
                <w:color w:val="FFFFFF"/>
                <w:sz w:val="18"/>
              </w:rPr>
              <w:t xml:space="preserve">Timing</w:t>
            </w:r>
          </w:p>
        </w:tc>
        <w:tc>
          <w:tcPr>
            <w:tcW w:w="2708" w:type="dxa"/>
            <w:shd w:val="clear" w:color="auto" w:fill="1F3A5F"/>
          </w:tcPr>
          <w:p>
            <w:pPr>
              <w:pStyle w:val="Compact"/>
              <w:spacing w:after="40"/>
              <w:jc w:val="left"/>
            </w:pPr>
            <w:r>
              <w:rPr>
                <w:b/>
                <w:color w:val="FFFFFF"/>
                <w:sz w:val="18"/>
              </w:rPr>
              <w:t xml:space="preserve">Basis</w:t>
            </w:r>
          </w:p>
        </w:tc>
      </w:tr>
      <w:tr>
        <w:tc>
          <w:tcPr>
            <w:tcW w:w="2749" w:type="dxa"/>
          </w:tcPr>
          <w:p>
            <w:pPr>
              <w:pStyle w:val="Compact"/>
              <w:spacing w:after="40"/>
              <w:jc w:val="left"/>
            </w:pPr>
            <w:r>
              <w:rPr>
                <w:sz w:val="18"/>
              </w:rPr>
              <w:t xml:space="preserve">NAV per ISIN to depositories</w:t>
            </w:r>
          </w:p>
        </w:tc>
        <w:tc>
          <w:tcPr>
            <w:tcW w:w="4181" w:type="dxa"/>
          </w:tcPr>
          <w:p>
            <w:pPr>
              <w:pStyle w:val="Compact"/>
              <w:spacing w:after="40"/>
              <w:jc w:val="left"/>
            </w:pPr>
            <w:r>
              <w:rPr>
                <w:sz w:val="18"/>
              </w:rPr>
              <w:t xml:space="preserve">first by 1 May 2026; then within 30 days of each valuation</w:t>
            </w:r>
          </w:p>
        </w:tc>
        <w:tc>
          <w:tcPr>
            <w:tcW w:w="2708" w:type="dxa"/>
          </w:tcPr>
          <w:p>
            <w:pPr>
              <w:pStyle w:val="Compact"/>
              <w:spacing w:after="40"/>
              <w:jc w:val="left"/>
            </w:pPr>
            <w:r>
              <w:rPr>
                <w:sz w:val="18"/>
              </w:rPr>
              <w:t xml:space="preserve">circular of 6 Feb 2026</w:t>
            </w:r>
          </w:p>
        </w:tc>
      </w:tr>
      <w:tr>
        <w:tc>
          <w:tcPr>
            <w:tcW w:w="2749" w:type="dxa"/>
          </w:tcPr>
          <w:p>
            <w:pPr>
              <w:pStyle w:val="Compact"/>
              <w:spacing w:after="40"/>
              <w:jc w:val="left"/>
            </w:pPr>
            <w:r>
              <w:rPr>
                <w:sz w:val="18"/>
              </w:rPr>
              <w:t xml:space="preserve">Annual activity report (Reg 28)</w:t>
            </w:r>
          </w:p>
        </w:tc>
        <w:tc>
          <w:tcPr>
            <w:tcW w:w="4181" w:type="dxa"/>
          </w:tcPr>
          <w:p>
            <w:pPr>
              <w:pStyle w:val="Compact"/>
              <w:spacing w:after="40"/>
              <w:jc w:val="left"/>
            </w:pPr>
            <w:r>
              <w:rPr>
                <w:sz w:val="18"/>
              </w:rPr>
              <w:t xml:space="preserve">within 30 days of financial year-end, on the SEBI Intermediary (SI) Portal</w:t>
            </w:r>
          </w:p>
        </w:tc>
        <w:tc>
          <w:tcPr>
            <w:tcW w:w="2708" w:type="dxa"/>
          </w:tcPr>
          <w:p>
            <w:pPr>
              <w:pStyle w:val="Compact"/>
              <w:spacing w:after="40"/>
              <w:jc w:val="left"/>
            </w:pPr>
            <w:r>
              <w:rPr>
                <w:sz w:val="18"/>
              </w:rPr>
              <w:t xml:space="preserve">circular of 4 Mar 2026</w:t>
            </w:r>
          </w:p>
        </w:tc>
      </w:tr>
      <w:tr>
        <w:tc>
          <w:tcPr>
            <w:tcW w:w="2749" w:type="dxa"/>
          </w:tcPr>
          <w:p>
            <w:pPr>
              <w:pStyle w:val="Compact"/>
              <w:spacing w:after="40"/>
              <w:jc w:val="left"/>
            </w:pPr>
            <w:r>
              <w:rPr>
                <w:sz w:val="18"/>
              </w:rPr>
              <w:t xml:space="preserve">Quarterly report</w:t>
            </w:r>
          </w:p>
        </w:tc>
        <w:tc>
          <w:tcPr>
            <w:tcW w:w="4181" w:type="dxa"/>
          </w:tcPr>
          <w:p>
            <w:pPr>
              <w:pStyle w:val="Compact"/>
              <w:spacing w:after="40"/>
              <w:jc w:val="left"/>
            </w:pPr>
            <w:r>
              <w:rPr>
                <w:sz w:val="18"/>
              </w:rPr>
              <w:t xml:space="preserve">revised format from the quarter ending June 2026, SI Portal</w:t>
            </w:r>
          </w:p>
        </w:tc>
        <w:tc>
          <w:tcPr>
            <w:tcW w:w="2708" w:type="dxa"/>
          </w:tcPr>
          <w:p>
            <w:pPr>
              <w:pStyle w:val="Compact"/>
              <w:spacing w:after="40"/>
              <w:jc w:val="left"/>
            </w:pPr>
            <w:r>
              <w:rPr>
                <w:sz w:val="18"/>
              </w:rPr>
              <w:t xml:space="preserve">circular of 4 Mar 2026</w:t>
            </w:r>
          </w:p>
        </w:tc>
      </w:tr>
      <w:tr>
        <w:tc>
          <w:tcPr>
            <w:tcW w:w="2749" w:type="dxa"/>
          </w:tcPr>
          <w:p>
            <w:pPr>
              <w:pStyle w:val="Compact"/>
              <w:spacing w:after="40"/>
              <w:jc w:val="left"/>
            </w:pPr>
            <w:r>
              <w:rPr>
                <w:sz w:val="18"/>
              </w:rPr>
              <w:t xml:space="preserve">Inoperative-fund tagging</w:t>
            </w:r>
          </w:p>
        </w:tc>
        <w:tc>
          <w:tcPr>
            <w:tcW w:w="4181" w:type="dxa"/>
          </w:tcPr>
          <w:p>
            <w:pPr>
              <w:pStyle w:val="Compact"/>
              <w:spacing w:after="40"/>
              <w:jc w:val="left"/>
            </w:pPr>
            <w:r>
              <w:rPr>
                <w:sz w:val="18"/>
              </w:rPr>
              <w:t xml:space="preserve">Reg 29(10A)</w:t>
            </w:r>
          </w:p>
        </w:tc>
        <w:tc>
          <w:tcPr>
            <w:tcW w:w="2708" w:type="dxa"/>
          </w:tcPr>
          <w:p>
            <w:pPr>
              <w:pStyle w:val="Compact"/>
              <w:spacing w:after="40"/>
              <w:jc w:val="left"/>
            </w:pPr>
            <w:r>
              <w:rPr>
                <w:sz w:val="18"/>
              </w:rPr>
              <w:t xml:space="preserve">AIF Amendment 2026, 16 Apr 2026</w:t>
            </w:r>
          </w:p>
        </w:tc>
      </w:tr>
      <w:tr>
        <w:tc>
          <w:tcPr>
            <w:tcW w:w="2749" w:type="dxa"/>
          </w:tcPr>
          <w:p>
            <w:pPr>
              <w:pStyle w:val="Compact"/>
              <w:spacing w:after="40"/>
              <w:jc w:val="left"/>
            </w:pPr>
            <w:r>
              <w:rPr>
                <w:sz w:val="18"/>
              </w:rPr>
              <w:t xml:space="preserve">PPM audit</w:t>
            </w:r>
          </w:p>
        </w:tc>
        <w:tc>
          <w:tcPr>
            <w:tcW w:w="4181" w:type="dxa"/>
          </w:tcPr>
          <w:p>
            <w:pPr>
              <w:pStyle w:val="Compact"/>
              <w:spacing w:after="40"/>
              <w:jc w:val="left"/>
            </w:pPr>
            <w:r>
              <w:rPr>
                <w:sz w:val="18"/>
              </w:rPr>
              <w:t xml:space="preserve">annual; LVFs exempt from the PPM template and audit</w:t>
            </w:r>
          </w:p>
        </w:tc>
        <w:tc>
          <w:tcPr>
            <w:tcW w:w="2708" w:type="dxa"/>
          </w:tcPr>
          <w:p>
            <w:pPr>
              <w:pStyle w:val="Compact"/>
              <w:spacing w:after="40"/>
              <w:jc w:val="left"/>
            </w:pPr>
            <w:r>
              <w:rPr>
                <w:sz w:val="18"/>
              </w:rPr>
              <w:t xml:space="preserve">8 Dec 2025</w:t>
            </w:r>
          </w:p>
        </w:tc>
      </w:tr>
      <w:tr>
        <w:tc>
          <w:tcPr>
            <w:tcW w:w="2749" w:type="dxa"/>
          </w:tcPr>
          <w:p>
            <w:pPr>
              <w:pStyle w:val="Compact"/>
              <w:spacing w:after="40"/>
              <w:jc w:val="left"/>
            </w:pPr>
            <w:r>
              <w:rPr>
                <w:sz w:val="18"/>
              </w:rPr>
              <w:t xml:space="preserve">Compliance officer certification</w:t>
            </w:r>
          </w:p>
        </w:tc>
        <w:tc>
          <w:tcPr>
            <w:tcW w:w="4181" w:type="dxa"/>
          </w:tcPr>
          <w:p>
            <w:pPr>
              <w:pStyle w:val="Compact"/>
              <w:spacing w:after="40"/>
              <w:jc w:val="left"/>
            </w:pPr>
            <w:r>
              <w:rPr>
                <w:sz w:val="18"/>
              </w:rPr>
              <w:t xml:space="preserve">NISM Series III-C by 1 Jan 2027</w:t>
            </w:r>
          </w:p>
        </w:tc>
        <w:tc>
          <w:tcPr>
            <w:tcW w:w="2708" w:type="dxa"/>
          </w:tcPr>
          <w:p>
            <w:pPr>
              <w:pStyle w:val="Compact"/>
              <w:spacing w:after="40"/>
              <w:jc w:val="left"/>
            </w:pPr>
            <w:r>
              <w:rPr>
                <w:sz w:val="18"/>
              </w:rPr>
              <w:t xml:space="preserve">AIF circular</w:t>
            </w:r>
          </w:p>
        </w:tc>
      </w:tr>
      <w:tr>
        <w:tc>
          <w:tcPr>
            <w:tcW w:w="2749" w:type="dxa"/>
          </w:tcPr>
          <w:p>
            <w:pPr>
              <w:pStyle w:val="Compact"/>
              <w:spacing w:after="40"/>
              <w:jc w:val="left"/>
            </w:pPr>
            <w:r>
              <w:rPr>
                <w:sz w:val="18"/>
              </w:rPr>
              <w:t xml:space="preserve">Social impact fund minimum</w:t>
            </w:r>
          </w:p>
        </w:tc>
        <w:tc>
          <w:tcPr>
            <w:tcW w:w="4181" w:type="dxa"/>
          </w:tcPr>
          <w:p>
            <w:pPr>
              <w:pStyle w:val="Compact"/>
              <w:spacing w:after="40"/>
              <w:jc w:val="left"/>
            </w:pPr>
            <w:r>
              <w:rPr>
                <w:sz w:val="18"/>
              </w:rPr>
              <w:t xml:space="preserve">₹1,000</w:t>
            </w:r>
          </w:p>
        </w:tc>
        <w:tc>
          <w:tcPr>
            <w:tcW w:w="2708" w:type="dxa"/>
          </w:tcPr>
          <w:p>
            <w:pPr>
              <w:pStyle w:val="Compact"/>
              <w:spacing w:after="40"/>
              <w:jc w:val="left"/>
            </w:pPr>
            <w:r>
              <w:rPr>
                <w:sz w:val="18"/>
              </w:rPr>
              <w:t xml:space="preserve">AIF Amendment 2026</w:t>
            </w:r>
          </w:p>
        </w:tc>
      </w:tr>
    </w:tbl>
    <w:bookmarkEnd w:id="641"/>
    <w:bookmarkStart w:id="642" w:name="X8d0ac8779cb36c93167d2a693ce54548d22f6da"/>
    <w:p>
      <w:pPr>
        <w:pStyle w:val="Heading3"/>
      </w:pPr>
      <w:r>
        <w:t xml:space="preserve">IV6.5 Support for regulated-entity investors</w:t>
      </w:r>
    </w:p>
    <w:p>
      <w:pPr>
        <w:pStyle w:val="FirstParagraph"/>
      </w:pPr>
      <w:r>
        <w:t xml:space="preserve">Because RE investors must observe RBI-AIF para 6, the AIF tenant can: track aggregate RE contributions per scheme against 20% and issue dated attestations; flag RE investors above 5% and above 10%; produce a quarterly debtor-look-through file per RE investor (investee PAN or CIN, instrument type, amount). Files go to RE tenants through the Integration Specification file contract.</w:t>
      </w:r>
    </w:p>
    <w:bookmarkEnd w:id="642"/>
    <w:bookmarkStart w:id="643" w:name="iv6.6-pms-and-ifsc-funds"/>
    <w:p>
      <w:pPr>
        <w:pStyle w:val="Heading3"/>
      </w:pPr>
      <w:r>
        <w:t xml:space="preserve">IV6.6 PMS and IFSC funds</w:t>
      </w:r>
    </w:p>
    <w:p>
      <w:pPr>
        <w:numPr>
          <w:ilvl w:val="0"/>
          <w:numId w:val="1525"/>
        </w:numPr>
        <w:pStyle w:val="Compact"/>
      </w:pPr>
      <w:r>
        <w:t xml:space="preserve">PMS: minimum client investment ₹50 lakh; portfolio manager net worth ₹5 crore; periodic client and SEBI reports [VERIFY current values].</w:t>
      </w:r>
    </w:p>
    <w:p>
      <w:pPr>
        <w:numPr>
          <w:ilvl w:val="0"/>
          <w:numId w:val="1525"/>
        </w:numPr>
        <w:pStyle w:val="Compact"/>
      </w:pPr>
      <w:r>
        <w:t xml:space="preserve">IFSC funds (IFSCA FM Regulations 2025, gazetted 19 Feb 2025): minimum corpus USD 3 million for venture capital, restricted and retail schemes; open-ended non-retail schemes may start at USD 1 million and must reach USD 3 million within 12 months; PMS minimum USD 75,000; fund manager contribution up to 100% subject to conditions. USD tenant rules of Part 7G IP6.2 apply.</w:t>
      </w:r>
    </w:p>
    <w:bookmarkEnd w:id="643"/>
    <w:bookmarkStart w:id="644" w:name="acceptance-tests-52"/>
    <w:p>
      <w:pPr>
        <w:pStyle w:val="Heading3"/>
      </w:pPr>
      <w:r>
        <w:t xml:space="preserve">Acceptance tests</w:t>
      </w:r>
    </w:p>
    <w:p>
      <w:pPr>
        <w:numPr>
          <w:ilvl w:val="0"/>
          <w:numId w:val="1526"/>
        </w:numPr>
        <w:pStyle w:val="Compact"/>
      </w:pPr>
      <w:r>
        <w:t xml:space="preserve">Category III fund with NAV ₹200 crore buys listed equity taking one investee to ₹21 crore (10.5% of NAV) → blocked; a passive breach from price movement → 30-day cure clock.</w:t>
      </w:r>
    </w:p>
    <w:p>
      <w:pPr>
        <w:numPr>
          <w:ilvl w:val="0"/>
          <w:numId w:val="1526"/>
        </w:numPr>
        <w:pStyle w:val="Compact"/>
      </w:pPr>
      <w:r>
        <w:t xml:space="preserve">Valuation dated 30 Sep 2026 → NAV-per-ISIN depository upload due 30 Oct 2026.</w:t>
      </w:r>
    </w:p>
    <w:p>
      <w:pPr>
        <w:numPr>
          <w:ilvl w:val="0"/>
          <w:numId w:val="1526"/>
        </w:numPr>
        <w:pStyle w:val="Compact"/>
      </w:pPr>
      <w:r>
        <w:t xml:space="preserve">An unlisted investment acquired on 15 Jul 2025 in physical form → exception.</w:t>
      </w:r>
    </w:p>
    <w:p>
      <w:pPr>
        <w:numPr>
          <w:ilvl w:val="0"/>
          <w:numId w:val="1526"/>
        </w:numPr>
        <w:pStyle w:val="Compact"/>
      </w:pPr>
      <w:r>
        <w:t xml:space="preserve">RE investors’ aggregate share reaches 19.5% and a new RE commitment would take it to 21% → attestation refused and the manager alerted.</w:t>
      </w:r>
    </w:p>
    <w:p>
      <w:pPr>
        <w:numPr>
          <w:ilvl w:val="0"/>
          <w:numId w:val="1526"/>
        </w:numPr>
        <w:pStyle w:val="Compact"/>
      </w:pPr>
      <w:r>
        <w:t xml:space="preserve">The annual activity report for FY 2026-27 → due 30 Apr 2027 on the SI Portal checklist.</w:t>
      </w:r>
    </w:p>
    <w:p>
      <w:r>
        <w:pict>
          <v:rect style="width:0;height:1.5pt" o:hralign="center" o:hrstd="t" o:hr="t"/>
        </w:pict>
      </w:r>
    </w:p>
    <w:bookmarkEnd w:id="644"/>
    <w:bookmarkEnd w:id="645"/>
    <w:bookmarkStart w:id="657" w:name="X77ddaca318d5b9899d1222491637b7c1a5bc21e"/>
    <w:p>
      <w:pPr>
        <w:pStyle w:val="Heading2"/>
      </w:pPr>
      <w:r>
        <w:t xml:space="preserve">IV7. Securitisation servicing, SPV remittance, replenishment and co-lending extensions</w:t>
      </w:r>
    </w:p>
    <w:bookmarkStart w:id="646" w:name="iv7.1-what-is-new"/>
    <w:p>
      <w:pPr>
        <w:pStyle w:val="Heading3"/>
      </w:pPr>
      <w:r>
        <w:t xml:space="preserve">IV7.1 What is new</w:t>
      </w:r>
    </w:p>
    <w:p>
      <w:pPr>
        <w:pStyle w:val="FirstParagraph"/>
      </w:pPr>
      <w:r>
        <w:t xml:space="preserve">M11 (pools, MRR, MHP, sale accounting), Part 8A.23 and R13.3 (servicer duties) stand. IV7 adds the servicing lifecycle, trust sub-ledger and sweep, waterfall engine, servicer and investor reports, replenishment with early-amortisation triggers, the clean-up call gate, the recycling rule, servicer replacement, dual derecognition flags, the transfer validator and the co-lending partner validator.</w:t>
      </w:r>
    </w:p>
    <w:bookmarkEnd w:id="646"/>
    <w:bookmarkStart w:id="647" w:name="iv7.2-transaction-states"/>
    <w:p>
      <w:pPr>
        <w:pStyle w:val="Heading3"/>
      </w:pPr>
      <w:r>
        <w:t xml:space="preserve">IV7.2 Transaction states</w:t>
      </w:r>
    </w:p>
    <w:p>
      <w:pPr>
        <w:pStyle w:val="FirstParagraph"/>
      </w:pPr>
      <w:r>
        <w:rPr>
          <w:rStyle w:val="VerbatimChar"/>
        </w:rPr>
        <w:t xml:space="preserve">POOL_SELECTED → ELIGIBILITY_PASSED → RATED → SOLD → NOTES_ISSUED → SERVICING ⇄ REPLENISHING → EARLY_AMORTISATION → CLEAN_UP_CALLED | MATURED → CLOSED</w:t>
      </w:r>
      <w:r>
        <w:t xml:space="preserve">;</w:t>
      </w:r>
      <w:r>
        <w:t xml:space="preserve"> </w:t>
      </w:r>
      <w:r>
        <w:rPr>
          <w:rStyle w:val="VerbatimChar"/>
        </w:rPr>
        <w:t xml:space="preserve">SERVICER_REPLACED</w:t>
      </w:r>
      <w:r>
        <w:t xml:space="preserve"> </w:t>
      </w:r>
      <w:r>
        <w:t xml:space="preserve">from any servicing state.</w:t>
      </w:r>
    </w:p>
    <w:p>
      <w:pPr>
        <w:numPr>
          <w:ilvl w:val="0"/>
          <w:numId w:val="1527"/>
        </w:numPr>
        <w:pStyle w:val="Compact"/>
      </w:pPr>
      <w:r>
        <w:rPr>
          <w:rStyle w:val="VerbatimChar"/>
        </w:rPr>
        <w:t xml:space="preserve">SOLD</w:t>
      </w:r>
      <w:r>
        <w:t xml:space="preserve"> </w:t>
      </w:r>
      <w:r>
        <w:t xml:space="preserve">only on cash consideration received no later than transfer;</w:t>
      </w:r>
      <w:r>
        <w:t xml:space="preserve"> </w:t>
      </w:r>
      <w:r>
        <w:rPr>
          <w:rStyle w:val="VerbatimChar"/>
        </w:rPr>
        <w:t xml:space="preserve">NOTES_ISSUED</w:t>
      </w:r>
      <w:r>
        <w:t xml:space="preserve"> </w:t>
      </w:r>
      <w:r>
        <w:t xml:space="preserve">within 30 days of transfer (SEC para 31).</w:t>
      </w:r>
    </w:p>
    <w:p>
      <w:pPr>
        <w:numPr>
          <w:ilvl w:val="0"/>
          <w:numId w:val="1527"/>
        </w:numPr>
        <w:pStyle w:val="Compact"/>
      </w:pPr>
      <w:r>
        <w:t xml:space="preserve">MRR recomputed monthly on unamortised principal; retained tranches locked against sale, hedge or pledge (SEC para 14).</w:t>
      </w:r>
    </w:p>
    <w:p>
      <w:pPr>
        <w:numPr>
          <w:ilvl w:val="0"/>
          <w:numId w:val="1527"/>
        </w:numPr>
        <w:pStyle w:val="Compact"/>
      </w:pPr>
      <w:r>
        <w:t xml:space="preserve">Side exits and failures:</w:t>
      </w:r>
      <w:r>
        <w:t xml:space="preserve"> </w:t>
      </w:r>
      <w:r>
        <w:rPr>
          <w:rStyle w:val="VerbatimChar"/>
        </w:rPr>
        <w:t xml:space="preserve">ELIGIBILITY_FAILED</w:t>
      </w:r>
      <w:r>
        <w:t xml:space="preserve"> </w:t>
      </w:r>
      <w:r>
        <w:t xml:space="preserve">(loans removed and pool re-selected),</w:t>
      </w:r>
      <w:r>
        <w:t xml:space="preserve"> </w:t>
      </w:r>
      <w:r>
        <w:rPr>
          <w:rStyle w:val="VerbatimChar"/>
        </w:rPr>
        <w:t xml:space="preserve">ABANDONED</w:t>
      </w:r>
      <w:r>
        <w:t xml:space="preserve"> </w:t>
      </w:r>
      <w:r>
        <w:t xml:space="preserve">before</w:t>
      </w:r>
      <w:r>
        <w:t xml:space="preserve"> </w:t>
      </w:r>
      <w:r>
        <w:rPr>
          <w:rStyle w:val="VerbatimChar"/>
        </w:rPr>
        <w:t xml:space="preserve">SOLD</w:t>
      </w:r>
      <w:r>
        <w:t xml:space="preserve"> </w:t>
      </w:r>
      <w:r>
        <w:t xml:space="preserve">(pool tags released, no accounting); a sale reversed for a legal defect before notes are issued needs CFO and CRO approval and reverses every posting with a link to the original. Each transition records actor, approval and document hash.</w:t>
      </w:r>
    </w:p>
    <w:bookmarkEnd w:id="647"/>
    <w:bookmarkStart w:id="648" w:name="iv7.3-collections-held-in-trust-gr-7h-07"/>
    <w:p>
      <w:pPr>
        <w:pStyle w:val="Heading3"/>
      </w:pPr>
      <w:r>
        <w:t xml:space="preserve">IV7.3 Collections held in trust (GR-7H-07)</w:t>
      </w:r>
    </w:p>
    <w:p>
      <w:pPr>
        <w:numPr>
          <w:ilvl w:val="0"/>
          <w:numId w:val="1528"/>
        </w:numPr>
        <w:pStyle w:val="Compact"/>
      </w:pPr>
      <w:r>
        <w:t xml:space="preserve">Receipts on a securitised or assigned loan post to a</w:t>
      </w:r>
      <w:r>
        <w:t xml:space="preserve"> </w:t>
      </w:r>
      <w:r>
        <w:rPr>
          <w:bCs/>
          <w:b/>
        </w:rPr>
        <w:t xml:space="preserve">“</w:t>
      </w:r>
      <w:r>
        <w:rPr>
          <w:bCs/>
          <w:b/>
        </w:rPr>
        <w:t xml:space="preserve">Held in trust — [transaction]</w:t>
      </w:r>
      <w:r>
        <w:rPr>
          <w:bCs/>
          <w:b/>
        </w:rPr>
        <w:t xml:space="preserve">”</w:t>
      </w:r>
      <w:r>
        <w:rPr>
          <w:bCs/>
          <w:b/>
        </w:rPr>
        <w:t xml:space="preserve"> </w:t>
      </w:r>
      <w:r>
        <w:rPr>
          <w:bCs/>
          <w:b/>
        </w:rPr>
        <w:t xml:space="preserve">liability sub-ledger</w:t>
      </w:r>
      <w:r>
        <w:t xml:space="preserve">, never to the originator’s income; principal and interest components kept.</w:t>
      </w:r>
    </w:p>
    <w:p>
      <w:pPr>
        <w:numPr>
          <w:ilvl w:val="0"/>
          <w:numId w:val="1528"/>
        </w:numPr>
        <w:pStyle w:val="Compact"/>
      </w:pPr>
      <w:r>
        <w:t xml:space="preserve">Postings: receipt Dr Bank (collection account) / Cr Trust collections payable; remittance Dr Trust collections payable / Cr Bank; servicing fee only as the waterfall allows.</w:t>
      </w:r>
    </w:p>
    <w:p>
      <w:pPr>
        <w:numPr>
          <w:ilvl w:val="0"/>
          <w:numId w:val="1528"/>
        </w:numPr>
        <w:pStyle w:val="Compact"/>
      </w:pPr>
      <w:r>
        <w:t xml:space="preserve">Sweep to the SPE collection account at the agreed frequency (daily or T+1 per the servicing agreement). The servicer remits only funds collected (SEC para 95(2)), unless it is also an eligible liquidity facility provider; it holds collections in trust without commingling (95(3)) and remits all collections irrespective of any retained interest (95(4)).</w:t>
      </w:r>
    </w:p>
    <w:p>
      <w:pPr>
        <w:numPr>
          <w:ilvl w:val="0"/>
          <w:numId w:val="1528"/>
        </w:numPr>
        <w:pStyle w:val="Compact"/>
      </w:pPr>
      <w:r>
        <w:rPr>
          <w:bCs/>
          <w:b/>
        </w:rPr>
        <w:t xml:space="preserve">Commingling monitor:</w:t>
      </w:r>
      <w:r>
        <w:t xml:space="preserve"> </w:t>
      </w:r>
      <w:r>
        <w:t xml:space="preserve">trust money in an operating account beyond the agreed window raises an alert; beyond twice the window, an incident. A breach is shown with its consequence: the servicer is treated as providing a liquidity facility for capital purposes (SEC para 96), and Part 7E RK3 recomputes capital.</w:t>
      </w:r>
    </w:p>
    <w:p>
      <w:pPr>
        <w:numPr>
          <w:ilvl w:val="0"/>
          <w:numId w:val="1528"/>
        </w:numPr>
        <w:pStyle w:val="Compact"/>
      </w:pPr>
      <w:r>
        <w:t xml:space="preserve">No loss support beyond the servicer’s own default, negligence or fraud (SEC para 95).</w:t>
      </w:r>
    </w:p>
    <w:bookmarkEnd w:id="648"/>
    <w:bookmarkStart w:id="649" w:name="iv7.4-remittance-waterfall"/>
    <w:p>
      <w:pPr>
        <w:pStyle w:val="Heading3"/>
      </w:pPr>
      <w:r>
        <w:t xml:space="preserve">IV7.4 Remittance waterfall</w:t>
      </w:r>
    </w:p>
    <w:p>
      <w:pPr>
        <w:numPr>
          <w:ilvl w:val="0"/>
          <w:numId w:val="1529"/>
        </w:numPr>
        <w:pStyle w:val="Compact"/>
      </w:pPr>
      <w:r>
        <w:t xml:space="preserve">Configurable priority list per transaction, versioned with the transaction documents. Example: taxes and statutory dues → trustee and servicer fees → senior interest → senior principal (sequential or pro-rata, switching on triggers) → credit-enhancement replenishment → junior interest and principal → residual or excess interest spread to the originator.</w:t>
      </w:r>
    </w:p>
    <w:p>
      <w:pPr>
        <w:numPr>
          <w:ilvl w:val="0"/>
          <w:numId w:val="1529"/>
        </w:numPr>
        <w:pStyle w:val="Compact"/>
      </w:pPr>
      <w:r>
        <w:t xml:space="preserve">Principal- and interest-deficiency ledgers maintained.</w:t>
      </w:r>
    </w:p>
    <w:p>
      <w:pPr>
        <w:numPr>
          <w:ilvl w:val="0"/>
          <w:numId w:val="1529"/>
        </w:numPr>
        <w:pStyle w:val="Compact"/>
      </w:pPr>
      <w:r>
        <w:t xml:space="preserve">Output is a payout instruction to the trustee (the trustee pays);</w:t>
      </w:r>
      <w:r>
        <w:t xml:space="preserve"> </w:t>
      </w:r>
      <w:r>
        <w:rPr>
          <w:rStyle w:val="VerbatimChar"/>
        </w:rPr>
        <w:t xml:space="preserve">ServicerRemittanceMade</w:t>
      </w:r>
      <w:r>
        <w:t xml:space="preserve"> </w:t>
      </w:r>
      <w:r>
        <w:t xml:space="preserve">carries collected, remitted, retained-fee and deficiency amounts.</w:t>
      </w:r>
    </w:p>
    <w:bookmarkEnd w:id="649"/>
    <w:bookmarkStart w:id="650" w:name="iv7.5-servicer-and-investor-reports"/>
    <w:p>
      <w:pPr>
        <w:pStyle w:val="Heading3"/>
      </w:pPr>
      <w:r>
        <w:t xml:space="preserve">IV7.5 Servicer and investor reports</w:t>
      </w:r>
    </w:p>
    <w:p>
      <w:pPr>
        <w:numPr>
          <w:ilvl w:val="0"/>
          <w:numId w:val="1530"/>
        </w:numPr>
        <w:pStyle w:val="Compact"/>
      </w:pPr>
      <w:r>
        <w:t xml:space="preserve">Monthly servicer report: scheduled, prepaid and overdue principal and interest; fees; delinquent, defaulted and restructured amounts; deficiency ledgers; trigger status and breaches (SEC paras 18–21; para 71 for STC).</w:t>
      </w:r>
    </w:p>
    <w:p>
      <w:pPr>
        <w:numPr>
          <w:ilvl w:val="0"/>
          <w:numId w:val="1530"/>
        </w:numPr>
        <w:pStyle w:val="Compact"/>
      </w:pPr>
      <w:r>
        <w:t xml:space="preserve">Annex I MHP and MRR disclosure at origination, half-yearly (September and March) and on breach (SEC paras 112–113); 14-day material-change notice to investors, CRAs and service providers (para 22); quarterly RBI report, format to be advised (para 115); STC loan-level or stratified data at least quarterly (paras 51–52); third-party servicer data certified by auditors, preferably annually (para 109).</w:t>
      </w:r>
    </w:p>
    <w:p>
      <w:pPr>
        <w:numPr>
          <w:ilvl w:val="0"/>
          <w:numId w:val="1530"/>
        </w:numPr>
        <w:pStyle w:val="Compact"/>
      </w:pPr>
      <w:r>
        <w:t xml:space="preserve">Investor and trustee read-only portal;</w:t>
      </w:r>
      <w:r>
        <w:t xml:space="preserve"> </w:t>
      </w:r>
      <w:r>
        <w:rPr>
          <w:rStyle w:val="VerbatimChar"/>
        </w:rPr>
        <w:t xml:space="preserve">InvestorReportPublished</w:t>
      </w:r>
      <w:r>
        <w:t xml:space="preserve"> </w:t>
      </w:r>
      <w:r>
        <w:t xml:space="preserve">on each release.</w:t>
      </w:r>
    </w:p>
    <w:bookmarkEnd w:id="650"/>
    <w:bookmarkStart w:id="651" w:name="X0d68da19da7dbd2738415822d6898dd9a4ac053"/>
    <w:p>
      <w:pPr>
        <w:pStyle w:val="Heading3"/>
      </w:pPr>
      <w:r>
        <w:t xml:space="preserve">IV7.6 Replenishment and the recycling rule (GR-7H-08)</w:t>
      </w:r>
    </w:p>
    <w:p>
      <w:pPr>
        <w:numPr>
          <w:ilvl w:val="0"/>
          <w:numId w:val="1531"/>
        </w:numPr>
        <w:pStyle w:val="Compact"/>
      </w:pPr>
      <w:r>
        <w:t xml:space="preserve">The originator may freely use the</w:t>
      </w:r>
      <w:r>
        <w:t xml:space="preserve"> </w:t>
      </w:r>
      <w:r>
        <w:rPr>
          <w:bCs/>
          <w:b/>
        </w:rPr>
        <w:t xml:space="preserve">upfront sale consideration</w:t>
      </w:r>
      <w:r>
        <w:t xml:space="preserve"> </w:t>
      </w:r>
      <w:r>
        <w:t xml:space="preserve">for new lending.</w:t>
      </w:r>
    </w:p>
    <w:p>
      <w:pPr>
        <w:numPr>
          <w:ilvl w:val="0"/>
          <w:numId w:val="1531"/>
        </w:numPr>
        <w:pStyle w:val="Compact"/>
      </w:pPr>
      <w:r>
        <w:rPr>
          <w:bCs/>
          <w:b/>
        </w:rPr>
        <w:t xml:space="preserve">Post-sale collections belong to the SPE</w:t>
      </w:r>
      <w:r>
        <w:t xml:space="preserve"> </w:t>
      </w:r>
      <w:r>
        <w:t xml:space="preserve">and never fund the originator’s lending.</w:t>
      </w:r>
    </w:p>
    <w:p>
      <w:pPr>
        <w:numPr>
          <w:ilvl w:val="0"/>
          <w:numId w:val="1531"/>
        </w:numPr>
        <w:pStyle w:val="Compact"/>
      </w:pPr>
      <w:r>
        <w:t xml:space="preserve">New loans enter the pool only during a documented</w:t>
      </w:r>
      <w:r>
        <w:t xml:space="preserve"> </w:t>
      </w:r>
      <w:r>
        <w:rPr>
          <w:bCs/>
          <w:b/>
        </w:rPr>
        <w:t xml:space="preserve">replenishment period</w:t>
      </w:r>
      <w:r>
        <w:t xml:space="preserve">, funded from SPE cash per the documents, meeting the original eligibility criteria, never to improve pool quality after deterioration (CAP para 27(9)); MRR maintained at the end of the replenishment period (SEC para 14(2)).</w:t>
      </w:r>
    </w:p>
    <w:p>
      <w:pPr>
        <w:numPr>
          <w:ilvl w:val="0"/>
          <w:numId w:val="1531"/>
        </w:numPr>
        <w:pStyle w:val="Compact"/>
      </w:pPr>
      <w:r>
        <w:rPr>
          <w:bCs/>
          <w:b/>
        </w:rPr>
        <w:t xml:space="preserve">Early-amortisation triggers (SEC para 21):</w:t>
      </w:r>
      <w:r>
        <w:t xml:space="preserve"> </w:t>
      </w:r>
      <w:r>
        <w:t xml:space="preserve">deterioration in credit quality of the underlying exposures; failure to acquire sufficient new exposures of similar quality; an insolvency-related event of the originator. Thresholds are configured per transaction and disclosed; on trigger, replenishment stops, the waterfall switches to sequential amortisation and investors are notified.</w:t>
      </w:r>
    </w:p>
    <w:p>
      <w:pPr>
        <w:numPr>
          <w:ilvl w:val="0"/>
          <w:numId w:val="1531"/>
        </w:numPr>
        <w:pStyle w:val="Compact"/>
      </w:pPr>
      <w:r>
        <w:t xml:space="preserve">Replacement for breach of representations is not replenishment: only within 120 days on original terms, notified to RBI DoS (SEC para 30).</w:t>
      </w:r>
    </w:p>
    <w:bookmarkEnd w:id="651"/>
    <w:bookmarkStart w:id="652" w:name="iv7.7-clean-up-call-and-derecognition"/>
    <w:p>
      <w:pPr>
        <w:pStyle w:val="Heading3"/>
      </w:pPr>
      <w:r>
        <w:t xml:space="preserve">IV7.7 Clean-up call and derecognition</w:t>
      </w:r>
    </w:p>
    <w:p>
      <w:pPr>
        <w:numPr>
          <w:ilvl w:val="0"/>
          <w:numId w:val="1532"/>
        </w:numPr>
        <w:pStyle w:val="Compact"/>
      </w:pPr>
      <w:r>
        <w:rPr>
          <w:bCs/>
          <w:b/>
        </w:rPr>
        <w:t xml:space="preserve">Clean-up call gate (GR-7H-09):</w:t>
      </w:r>
      <w:r>
        <w:t xml:space="preserve"> </w:t>
      </w:r>
      <w:r>
        <w:t xml:space="preserve">exercisable only when outstanding is ≤ 10% of the original value of the underlying exposures or notes (CAP para 27(8)); at the originator’s discretion (27(6)); at arm’s length on market terms with normal credit approval (27(2)); never structured to avoid allocating losses or to provide credit enhancement — exercise that does so is implicit support (27(7)). Valuation evidence stored.</w:t>
      </w:r>
    </w:p>
    <w:p>
      <w:pPr>
        <w:numPr>
          <w:ilvl w:val="0"/>
          <w:numId w:val="1532"/>
        </w:numPr>
        <w:pStyle w:val="Compact"/>
      </w:pPr>
      <w:r>
        <w:rPr>
          <w:bCs/>
          <w:b/>
        </w:rPr>
        <w:t xml:space="preserve">Capital derecognition (CAP para 27):</w:t>
      </w:r>
      <w:r>
        <w:t xml:space="preserve"> </w:t>
      </w:r>
      <w:r>
        <w:t xml:space="preserve">no effective control (retained servicing rights are not control); repurchase only by clean-up call; legal isolation including under IBC; notes not obligations of the originator; investors free to pledge or trade; no increase in credit enhancement after inception; no yield step-up on deterioration; only eligible termination triggers (27(1)–(12)); legal opinion on file that the conditions are met (CAP para 28). Failing any condition, the exposures stay in RWA and the consideration is treated as an advance.</w:t>
      </w:r>
    </w:p>
    <w:p>
      <w:pPr>
        <w:numPr>
          <w:ilvl w:val="0"/>
          <w:numId w:val="1532"/>
        </w:numPr>
        <w:pStyle w:val="Compact"/>
      </w:pPr>
      <w:r>
        <w:rPr>
          <w:bCs/>
          <w:b/>
        </w:rPr>
        <w:t xml:space="preserve">Accounting derecognition</w:t>
      </w:r>
      <w:r>
        <w:t xml:space="preserve"> </w:t>
      </w:r>
      <w:r>
        <w:t xml:space="preserve">runs separately under Ind AS 109 (retaining first loss usually retains substantially all risks, so the loans stay on balance sheet [VERIFY ICAI position]); AS NBFCs use the</w:t>
      </w:r>
      <w:r>
        <w:t xml:space="preserve"> </w:t>
      </w:r>
      <w:r>
        <w:t xml:space="preserve">“</w:t>
      </w:r>
      <w:r>
        <w:t xml:space="preserve">Unrealised Gain on Loan Transfer Transactions</w:t>
      </w:r>
      <w:r>
        <w:t xml:space="preserve">”</w:t>
      </w:r>
      <w:r>
        <w:t xml:space="preserve"> </w:t>
      </w:r>
      <w:r>
        <w:t xml:space="preserve">account (SEC para 34). Both flags are shown; they may differ.</w:t>
      </w:r>
    </w:p>
    <w:bookmarkEnd w:id="652"/>
    <w:bookmarkStart w:id="653" w:name="iv7.8-servicer-replacement"/>
    <w:p>
      <w:pPr>
        <w:pStyle w:val="Heading3"/>
      </w:pPr>
      <w:r>
        <w:t xml:space="preserve">IV7.8 Servicer replacement</w:t>
      </w:r>
    </w:p>
    <w:p>
      <w:pPr>
        <w:pStyle w:val="FirstParagraph"/>
      </w:pPr>
      <w:r>
        <w:t xml:space="preserve">Triggers: servicer default, insolvency event, investor or trustee decision under the replacement provisions (SEC para 70). The hand-over pack contains the loan tape, collection mandates (NACH and UPI re-pointing), collection-account change, borrower notices and the data room. Servicers must be regulated by a financial-sector regulator (SEC para 80); an unregulated Infrabyx entity may act only as a technology sub-contractor (R13.3).</w:t>
      </w:r>
    </w:p>
    <w:bookmarkEnd w:id="653"/>
    <w:bookmarkStart w:id="654" w:name="iv7.9-loan-transfer-validator-additions"/>
    <w:p>
      <w:pPr>
        <w:pStyle w:val="Heading3"/>
      </w:pPr>
      <w:r>
        <w:t xml:space="preserve">IV7.9 Loan-transfer validator additions</w:t>
      </w:r>
    </w:p>
    <w:p>
      <w:pPr>
        <w:numPr>
          <w:ilvl w:val="0"/>
          <w:numId w:val="1533"/>
        </w:numPr>
        <w:pStyle w:val="Compact"/>
      </w:pPr>
      <w:r>
        <w:t xml:space="preserve">Counterparty lender type checked against TDCR para 12(4): RRBs, LABs, UCBs, StCBs and DCCBs only as transferors of stressed loans; credit societies never (Part 7G GR-7G-04). NBFCs acquire only from listed lenders (para 7).</w:t>
      </w:r>
    </w:p>
    <w:p>
      <w:pPr>
        <w:numPr>
          <w:ilvl w:val="0"/>
          <w:numId w:val="1533"/>
        </w:numPr>
        <w:pStyle w:val="Compact"/>
      </w:pPr>
      <w:r>
        <w:t xml:space="preserve">MHP 3 months (tenor ≤ 2 years) or 6 months (&gt; 2 years) from CERSAI registration, else from first repayment; project loans from commercial operations;</w:t>
      </w:r>
      <w:r>
        <w:t xml:space="preserve"> </w:t>
      </w:r>
      <w:r>
        <w:rPr>
          <w:bCs/>
          <w:b/>
        </w:rPr>
        <w:t xml:space="preserve">purchased loans not resold within 6 months of booking</w:t>
      </w:r>
      <w:r>
        <w:t xml:space="preserve"> </w:t>
      </w:r>
      <w:r>
        <w:t xml:space="preserve">(para 43).</w:t>
      </w:r>
    </w:p>
    <w:p>
      <w:pPr>
        <w:numPr>
          <w:ilvl w:val="0"/>
          <w:numId w:val="1533"/>
        </w:numPr>
        <w:pStyle w:val="Compact"/>
      </w:pPr>
      <w:r>
        <w:t xml:space="preserve">10% transferor retention where the transferee uses portfolio-level due diligence (para 40); servicing is the only permitted fiduciary role (para 36(4)); certified servicer data and auditor verification rights (paras 41–42).</w:t>
      </w:r>
    </w:p>
    <w:p>
      <w:pPr>
        <w:numPr>
          <w:ilvl w:val="0"/>
          <w:numId w:val="1533"/>
        </w:numPr>
        <w:pStyle w:val="Compact"/>
      </w:pPr>
      <w:r>
        <w:t xml:space="preserve">Stressed loans bought: Part 7G IP5.7.</w:t>
      </w:r>
    </w:p>
    <w:bookmarkEnd w:id="654"/>
    <w:bookmarkStart w:id="655" w:name="X0f26d8410e1fa2a3762b157d33b25dbf699538e"/>
    <w:p>
      <w:pPr>
        <w:pStyle w:val="Heading3"/>
      </w:pPr>
      <w:r>
        <w:t xml:space="preserve">IV7.10 Co-lending partner validator (GR-7H-10)</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308"/>
        <w:gridCol w:w="3784"/>
        <w:gridCol w:w="1546"/>
      </w:tblGrid>
      <w:tr>
        <w:trPr>
          <w:tblHeader w:val="true"/>
          <w:tblHeader w:val="true"/>
        </w:trPr>
        <w:tc>
          <w:tcPr>
            <w:tcW w:w="4308" w:type="dxa"/>
            <w:shd w:val="clear" w:color="auto" w:fill="1F3A5F"/>
          </w:tcPr>
          <w:p>
            <w:pPr>
              <w:pStyle w:val="Compact"/>
              <w:spacing w:after="40"/>
              <w:jc w:val="left"/>
            </w:pPr>
            <w:r>
              <w:rPr>
                <w:b/>
                <w:color w:val="FFFFFF"/>
                <w:sz w:val="18"/>
              </w:rPr>
              <w:t xml:space="preserve">Partner type</w:t>
            </w:r>
          </w:p>
        </w:tc>
        <w:tc>
          <w:tcPr>
            <w:tcW w:w="3784" w:type="dxa"/>
            <w:shd w:val="clear" w:color="auto" w:fill="1F3A5F"/>
          </w:tcPr>
          <w:p>
            <w:pPr>
              <w:pStyle w:val="Compact"/>
              <w:spacing w:after="40"/>
              <w:jc w:val="left"/>
            </w:pPr>
            <w:r>
              <w:rPr>
                <w:b/>
                <w:color w:val="FFFFFF"/>
                <w:sz w:val="18"/>
              </w:rPr>
              <w:t xml:space="preserve">Allowed</w:t>
            </w:r>
          </w:p>
        </w:tc>
        <w:tc>
          <w:tcPr>
            <w:tcW w:w="1546" w:type="dxa"/>
            <w:shd w:val="clear" w:color="auto" w:fill="1F3A5F"/>
          </w:tcPr>
          <w:p>
            <w:pPr>
              <w:pStyle w:val="Compact"/>
              <w:spacing w:after="40"/>
              <w:jc w:val="left"/>
            </w:pPr>
            <w:r>
              <w:rPr>
                <w:b/>
                <w:color w:val="FFFFFF"/>
                <w:sz w:val="18"/>
              </w:rPr>
              <w:t xml:space="preserve">Basis</w:t>
            </w:r>
          </w:p>
        </w:tc>
      </w:tr>
      <w:tr>
        <w:tc>
          <w:tcPr>
            <w:tcW w:w="4308" w:type="dxa"/>
          </w:tcPr>
          <w:p>
            <w:pPr>
              <w:pStyle w:val="Compact"/>
              <w:spacing w:after="40"/>
              <w:jc w:val="left"/>
            </w:pPr>
            <w:r>
              <w:rPr>
                <w:sz w:val="18"/>
              </w:rPr>
              <w:t xml:space="preserve">SCB other than SFB, LAB, RRB</w:t>
            </w:r>
          </w:p>
        </w:tc>
        <w:tc>
          <w:tcPr>
            <w:tcW w:w="3784" w:type="dxa"/>
          </w:tcPr>
          <w:p>
            <w:pPr>
              <w:pStyle w:val="Compact"/>
              <w:spacing w:after="40"/>
              <w:jc w:val="left"/>
            </w:pPr>
            <w:r>
              <w:rPr>
                <w:sz w:val="18"/>
              </w:rPr>
              <w:t xml:space="preserve">Yes</w:t>
            </w:r>
          </w:p>
        </w:tc>
        <w:tc>
          <w:tcPr>
            <w:tcW w:w="1546" w:type="dxa"/>
          </w:tcPr>
          <w:p>
            <w:pPr>
              <w:pStyle w:val="Compact"/>
              <w:spacing w:after="40"/>
              <w:jc w:val="left"/>
            </w:pPr>
            <w:r>
              <w:rPr>
                <w:sz w:val="18"/>
              </w:rPr>
              <w:t xml:space="preserve">TDCR para 97(1)</w:t>
            </w:r>
          </w:p>
        </w:tc>
      </w:tr>
      <w:tr>
        <w:tc>
          <w:tcPr>
            <w:tcW w:w="4308" w:type="dxa"/>
          </w:tcPr>
          <w:p>
            <w:pPr>
              <w:pStyle w:val="Compact"/>
              <w:spacing w:after="40"/>
              <w:jc w:val="left"/>
            </w:pPr>
            <w:r>
              <w:rPr>
                <w:sz w:val="18"/>
              </w:rPr>
              <w:t xml:space="preserve">AIFI (NABARD, NHB, EXIM Bank, SIDBI, NaBFID)</w:t>
            </w:r>
          </w:p>
        </w:tc>
        <w:tc>
          <w:tcPr>
            <w:tcW w:w="3784" w:type="dxa"/>
          </w:tcPr>
          <w:p>
            <w:pPr>
              <w:pStyle w:val="Compact"/>
              <w:spacing w:after="40"/>
              <w:jc w:val="left"/>
            </w:pPr>
            <w:r>
              <w:rPr>
                <w:sz w:val="18"/>
              </w:rPr>
              <w:t xml:space="preserve">Yes</w:t>
            </w:r>
          </w:p>
        </w:tc>
        <w:tc>
          <w:tcPr>
            <w:tcW w:w="1546" w:type="dxa"/>
          </w:tcPr>
          <w:p>
            <w:pPr>
              <w:pStyle w:val="Compact"/>
              <w:spacing w:after="40"/>
              <w:jc w:val="left"/>
            </w:pPr>
            <w:r>
              <w:rPr>
                <w:sz w:val="18"/>
              </w:rPr>
              <w:t xml:space="preserve">para 97(2)</w:t>
            </w:r>
          </w:p>
        </w:tc>
      </w:tr>
      <w:tr>
        <w:tc>
          <w:tcPr>
            <w:tcW w:w="4308" w:type="dxa"/>
          </w:tcPr>
          <w:p>
            <w:pPr>
              <w:pStyle w:val="Compact"/>
              <w:spacing w:after="40"/>
              <w:jc w:val="left"/>
            </w:pPr>
            <w:r>
              <w:rPr>
                <w:sz w:val="18"/>
              </w:rPr>
              <w:t xml:space="preserve">NBFC incl. HFC (within TDCR applicability)</w:t>
            </w:r>
          </w:p>
        </w:tc>
        <w:tc>
          <w:tcPr>
            <w:tcW w:w="3784" w:type="dxa"/>
          </w:tcPr>
          <w:p>
            <w:pPr>
              <w:pStyle w:val="Compact"/>
              <w:spacing w:after="40"/>
              <w:jc w:val="left"/>
            </w:pPr>
            <w:r>
              <w:rPr>
                <w:sz w:val="18"/>
              </w:rPr>
              <w:t xml:space="preserve">Yes</w:t>
            </w:r>
          </w:p>
        </w:tc>
        <w:tc>
          <w:tcPr>
            <w:tcW w:w="1546" w:type="dxa"/>
          </w:tcPr>
          <w:p>
            <w:pPr>
              <w:pStyle w:val="Compact"/>
              <w:spacing w:after="40"/>
              <w:jc w:val="left"/>
            </w:pPr>
            <w:r>
              <w:rPr>
                <w:sz w:val="18"/>
              </w:rPr>
              <w:t xml:space="preserve">para 97(3); para 3</w:t>
            </w:r>
          </w:p>
        </w:tc>
      </w:tr>
      <w:tr>
        <w:tc>
          <w:tcPr>
            <w:tcW w:w="4308" w:type="dxa"/>
          </w:tcPr>
          <w:p>
            <w:pPr>
              <w:pStyle w:val="Compact"/>
              <w:spacing w:after="40"/>
              <w:jc w:val="left"/>
            </w:pPr>
            <w:r>
              <w:rPr>
                <w:sz w:val="18"/>
              </w:rPr>
              <w:t xml:space="preserve">SFB, LAB, RRB</w:t>
            </w:r>
          </w:p>
        </w:tc>
        <w:tc>
          <w:tcPr>
            <w:tcW w:w="3784" w:type="dxa"/>
          </w:tcPr>
          <w:p>
            <w:pPr>
              <w:pStyle w:val="Compact"/>
              <w:spacing w:after="40"/>
              <w:jc w:val="left"/>
            </w:pPr>
            <w:r>
              <w:rPr>
                <w:sz w:val="18"/>
              </w:rPr>
              <w:t xml:space="preserve">No</w:t>
            </w:r>
          </w:p>
        </w:tc>
        <w:tc>
          <w:tcPr>
            <w:tcW w:w="1546" w:type="dxa"/>
          </w:tcPr>
          <w:p>
            <w:pPr>
              <w:pStyle w:val="Compact"/>
              <w:spacing w:after="40"/>
              <w:jc w:val="left"/>
            </w:pPr>
            <w:r>
              <w:rPr>
                <w:sz w:val="18"/>
              </w:rPr>
              <w:t xml:space="preserve">para 97(1)</w:t>
            </w:r>
          </w:p>
        </w:tc>
      </w:tr>
      <w:tr>
        <w:tc>
          <w:tcPr>
            <w:tcW w:w="4308" w:type="dxa"/>
          </w:tcPr>
          <w:p>
            <w:pPr>
              <w:pStyle w:val="Compact"/>
              <w:spacing w:after="40"/>
              <w:jc w:val="left"/>
            </w:pPr>
            <w:r>
              <w:rPr>
                <w:sz w:val="18"/>
              </w:rPr>
              <w:t xml:space="preserve">UCB, StCB, DCCB, credit co-operative society</w:t>
            </w:r>
          </w:p>
        </w:tc>
        <w:tc>
          <w:tcPr>
            <w:tcW w:w="3784" w:type="dxa"/>
          </w:tcPr>
          <w:p>
            <w:pPr>
              <w:pStyle w:val="Compact"/>
              <w:spacing w:after="40"/>
              <w:jc w:val="left"/>
            </w:pPr>
            <w:r>
              <w:rPr>
                <w:sz w:val="18"/>
              </w:rPr>
              <w:t xml:space="preserve">No</w:t>
            </w:r>
          </w:p>
        </w:tc>
        <w:tc>
          <w:tcPr>
            <w:tcW w:w="1546" w:type="dxa"/>
          </w:tcPr>
          <w:p>
            <w:pPr>
              <w:pStyle w:val="Compact"/>
              <w:spacing w:after="40"/>
              <w:jc w:val="left"/>
            </w:pPr>
            <w:r>
              <w:rPr>
                <w:sz w:val="18"/>
              </w:rPr>
              <w:t xml:space="preserve">para 97</w:t>
            </w:r>
          </w:p>
        </w:tc>
      </w:tr>
      <w:tr>
        <w:tc>
          <w:tcPr>
            <w:tcW w:w="4308" w:type="dxa"/>
          </w:tcPr>
          <w:p>
            <w:pPr>
              <w:pStyle w:val="Compact"/>
              <w:spacing w:after="40"/>
              <w:jc w:val="left"/>
            </w:pPr>
            <w:r>
              <w:rPr>
                <w:sz w:val="18"/>
              </w:rPr>
              <w:t xml:space="preserve">NBFC-CIC, P2P, MGC, AA, SPD, NOFHC, NBFCs without public funds (no customer interface, or Base Layer with customer interface) (outside TDCR)</w:t>
            </w:r>
          </w:p>
        </w:tc>
        <w:tc>
          <w:tcPr>
            <w:tcW w:w="3784" w:type="dxa"/>
          </w:tcPr>
          <w:p>
            <w:pPr>
              <w:pStyle w:val="Compact"/>
              <w:spacing w:after="40"/>
              <w:jc w:val="left"/>
            </w:pPr>
            <w:r>
              <w:rPr>
                <w:sz w:val="18"/>
              </w:rPr>
              <w:t xml:space="preserve">No</w:t>
            </w:r>
          </w:p>
        </w:tc>
        <w:tc>
          <w:tcPr>
            <w:tcW w:w="1546" w:type="dxa"/>
          </w:tcPr>
          <w:p>
            <w:pPr>
              <w:pStyle w:val="Compact"/>
              <w:spacing w:after="40"/>
              <w:jc w:val="left"/>
            </w:pPr>
            <w:r>
              <w:rPr>
                <w:sz w:val="18"/>
              </w:rPr>
              <w:t xml:space="preserve">para 3</w:t>
            </w:r>
          </w:p>
        </w:tc>
      </w:tr>
      <w:tr>
        <w:tc>
          <w:tcPr>
            <w:tcW w:w="4308" w:type="dxa"/>
          </w:tcPr>
          <w:p>
            <w:pPr>
              <w:pStyle w:val="Compact"/>
              <w:spacing w:after="40"/>
              <w:jc w:val="left"/>
            </w:pPr>
            <w:r>
              <w:rPr>
                <w:sz w:val="18"/>
              </w:rPr>
              <w:t xml:space="preserve">ARC, AIF, IFSC FC or FU</w:t>
            </w:r>
          </w:p>
        </w:tc>
        <w:tc>
          <w:tcPr>
            <w:tcW w:w="3784" w:type="dxa"/>
          </w:tcPr>
          <w:p>
            <w:pPr>
              <w:pStyle w:val="Compact"/>
              <w:spacing w:after="40"/>
              <w:jc w:val="left"/>
            </w:pPr>
            <w:r>
              <w:rPr>
                <w:sz w:val="18"/>
              </w:rPr>
              <w:t xml:space="preserve">No (IFSC entities are not listed in para 97; any change awaits the owner’s decision and counsel, Appendix B)</w:t>
            </w:r>
          </w:p>
        </w:tc>
        <w:tc>
          <w:tcPr>
            <w:tcW w:w="1546" w:type="dxa"/>
          </w:tcPr>
          <w:p>
            <w:pPr>
              <w:pStyle w:val="Compact"/>
              <w:spacing w:after="40"/>
              <w:jc w:val="left"/>
            </w:pPr>
            <w:r>
              <w:rPr>
                <w:sz w:val="18"/>
              </w:rPr>
              <w:t xml:space="preserve">para 97</w:t>
            </w:r>
          </w:p>
        </w:tc>
      </w:tr>
    </w:tbl>
    <w:p>
      <w:pPr>
        <w:pStyle w:val="BodyText"/>
      </w:pPr>
      <w:r>
        <w:t xml:space="preserve">The partner master stores the regulatory type with evidence (licence or CoR number) and re-validates annually; Udofin displays only co-lent offers whose partner passed (Udofin Part 7B). Existing v1.4 co-lending rules (10% retention, blended rate, escrow, 15-day booking, 5% DLG, next-working-day classification sync) are unchanged.</w:t>
      </w:r>
    </w:p>
    <w:bookmarkEnd w:id="655"/>
    <w:bookmarkStart w:id="656" w:name="acceptance-tests-53"/>
    <w:p>
      <w:pPr>
        <w:pStyle w:val="Heading3"/>
      </w:pPr>
      <w:r>
        <w:t xml:space="preserve">Acceptance tests</w:t>
      </w:r>
    </w:p>
    <w:p>
      <w:pPr>
        <w:numPr>
          <w:ilvl w:val="0"/>
          <w:numId w:val="1534"/>
        </w:numPr>
        <w:pStyle w:val="Compact"/>
      </w:pPr>
      <w:r>
        <w:t xml:space="preserve">A borrower EMI on a securitised loan posts to operating income → refused; posted to the trust payable → accepted.</w:t>
      </w:r>
    </w:p>
    <w:p>
      <w:pPr>
        <w:numPr>
          <w:ilvl w:val="0"/>
          <w:numId w:val="1534"/>
        </w:numPr>
        <w:pStyle w:val="Compact"/>
      </w:pPr>
      <w:r>
        <w:t xml:space="preserve">Trust money held in the operating account 3 days against a T+1 window → incident and capital recompute flagged.</w:t>
      </w:r>
    </w:p>
    <w:p>
      <w:pPr>
        <w:numPr>
          <w:ilvl w:val="0"/>
          <w:numId w:val="1534"/>
        </w:numPr>
        <w:pStyle w:val="Compact"/>
      </w:pPr>
      <w:r>
        <w:t xml:space="preserve">Servicer instructed to remit ₹10 crore when ₹9.4 crore was collected → blocked unless an approved liquidity facility exists.</w:t>
      </w:r>
    </w:p>
    <w:p>
      <w:pPr>
        <w:numPr>
          <w:ilvl w:val="0"/>
          <w:numId w:val="1534"/>
        </w:numPr>
        <w:pStyle w:val="Compact"/>
      </w:pPr>
      <w:r>
        <w:t xml:space="preserve">Using post-sale collections to fund a new disbursal → blocked; using the upfront consideration → allowed.</w:t>
      </w:r>
    </w:p>
    <w:p>
      <w:pPr>
        <w:numPr>
          <w:ilvl w:val="0"/>
          <w:numId w:val="1534"/>
        </w:numPr>
        <w:pStyle w:val="Compact"/>
      </w:pPr>
      <w:r>
        <w:t xml:space="preserve">Replenishment after a credit-deterioration trigger → blocked; sequential amortisation applied.</w:t>
      </w:r>
    </w:p>
    <w:p>
      <w:pPr>
        <w:numPr>
          <w:ilvl w:val="0"/>
          <w:numId w:val="1534"/>
        </w:numPr>
        <w:pStyle w:val="Compact"/>
      </w:pPr>
      <w:r>
        <w:t xml:space="preserve">Clean-up call at 12% of original pool → blocked; at 9% to buy only delinquent loans → blocked as implicit support.</w:t>
      </w:r>
    </w:p>
    <w:p>
      <w:pPr>
        <w:numPr>
          <w:ilvl w:val="0"/>
          <w:numId w:val="1534"/>
        </w:numPr>
        <w:pStyle w:val="Compact"/>
      </w:pPr>
      <w:r>
        <w:t xml:space="preserve">Resale of a purchased standard loan 5 months after booking → blocked.</w:t>
      </w:r>
    </w:p>
    <w:p>
      <w:pPr>
        <w:numPr>
          <w:ilvl w:val="0"/>
          <w:numId w:val="1534"/>
        </w:numPr>
        <w:pStyle w:val="Compact"/>
      </w:pPr>
      <w:r>
        <w:t xml:space="preserve">Adding an SFB or a UCB as co-lending partner → blocked; an SCB with valid licence evidence → allowed.</w:t>
      </w:r>
    </w:p>
    <w:p>
      <w:r>
        <w:pict>
          <v:rect style="width:0;height:1.5pt" o:hralign="center" o:hrstd="t" o:hr="t"/>
        </w:pict>
      </w:r>
    </w:p>
    <w:bookmarkEnd w:id="656"/>
    <w:bookmarkEnd w:id="657"/>
    <w:bookmarkEnd w:id="658"/>
    <w:bookmarkStart w:id="693" w:name="Xa8b8b88ccf1c481e9e0d3826bce2dfd39aa294a"/>
    <w:p>
      <w:pPr>
        <w:pStyle w:val="Heading1"/>
      </w:pPr>
      <w:r>
        <w:t xml:space="preserve">PART 7J — DATA PORTABILITY, ARCHIVES AND CUSTOMER-CONTROLLED STORAGE</w:t>
      </w:r>
    </w:p>
    <w:p>
      <w:pPr>
        <w:pStyle w:val="FirstParagraph"/>
      </w:pPr>
      <w:r>
        <w:rPr>
          <w:bCs/>
          <w:b/>
        </w:rPr>
        <w:t xml:space="preserve">Purpose.</w:t>
      </w:r>
      <w:r>
        <w:t xml:space="preserve"> </w:t>
      </w:r>
      <w:r>
        <w:t xml:space="preserve">A tenant must be able to take all of its data out of Finbyx, at any time and on exit, in a form its staff, auditors, a successor vendor or a court can read without Finbyx; keep its own copies and backups in storage it controls; and prove that those copies are complete and restorable. Access to historical records never depends on a continuing subscription for regulated tenants (CM4 dunning rules). This Part sets the archive standard, the export jobs, the storage connectors, customer-held backups with restore tests, and the exit process, and states what Infrabyx can and cannot promise.</w:t>
      </w:r>
    </w:p>
    <w:p>
      <w:pPr>
        <w:pStyle w:val="BodyText"/>
      </w:pPr>
      <w:r>
        <w:rPr>
          <w:bCs/>
          <w:b/>
        </w:rPr>
        <w:t xml:space="preserve">Applicability.</w:t>
      </w:r>
      <w:r>
        <w:t xml:space="preserve"> </w:t>
      </w:r>
      <w:r>
        <w:t xml:space="preserve">All tenants get every feature; the legal basis differs. NBFC-ML and above (incl. HFCs, MFIs and CICs in those layers) are bound by the OUT IT-outsourcing chapter (OUT para 3(2): Chapter IV, including paras 74(vi), 74(xv)–(xvi), 87, 88, 97(ii), 97(vii)(b) and 97(xvi)). NBFC-BL tenants, banks, ARCs and other entities receive the same exit and data clauses by contract, with the para 34(xii) preservation duty [REC]. CYB backup clauses apply by chapter (Ch III para 8(9); Ch IV and V paras 129–133). Digital-lending data is subject to CF para 14(4). Every company tenant’s books of account are subject to Companies (Accounts) Rules r.3 (daily backup in India; AC7). Credit co-operative societies (not REs) get the same features under their State or MSCS Act record rules and their contract [REC]. Udofin has its own subset (Udofin Part 7H, RA3).</w:t>
      </w:r>
    </w:p>
    <w:p>
      <w:pPr>
        <w:pStyle w:val="BodyText"/>
      </w:pPr>
      <w:r>
        <w:rPr>
          <w:bCs/>
          <w:b/>
        </w:rPr>
        <w:t xml:space="preserve">Requirement codes.</w:t>
      </w:r>
      <w:r>
        <w:t xml:space="preserve"> </w:t>
      </w:r>
      <w:r>
        <w:t xml:space="preserve">OUT, CYB, CF, DPS, KYC (retention), RBC (call-recording retention), CA13 (books, s.128), DPDP, ISO, SOC2. REQ-ID examples:</w:t>
      </w:r>
      <w:r>
        <w:t xml:space="preserve"> </w:t>
      </w:r>
      <w:r>
        <w:rPr>
          <w:rStyle w:val="VerbatimChar"/>
        </w:rPr>
        <w:t xml:space="preserve">REQ-OUT-87</w:t>
      </w:r>
      <w:r>
        <w:t xml:space="preserve">,</w:t>
      </w:r>
      <w:r>
        <w:t xml:space="preserve"> </w:t>
      </w:r>
      <w:r>
        <w:rPr>
          <w:rStyle w:val="VerbatimChar"/>
        </w:rPr>
        <w:t xml:space="preserve">REQ-OUT-97(xvi)</w:t>
      </w:r>
      <w:r>
        <w:t xml:space="preserve">,</w:t>
      </w:r>
      <w:r>
        <w:t xml:space="preserve"> </w:t>
      </w:r>
      <w:r>
        <w:rPr>
          <w:rStyle w:val="VerbatimChar"/>
        </w:rPr>
        <w:t xml:space="preserve">REQ-CF-14(4)</w:t>
      </w:r>
      <w:r>
        <w:t xml:space="preserve">,</w:t>
      </w:r>
      <w:r>
        <w:t xml:space="preserve"> </w:t>
      </w:r>
      <w:r>
        <w:rPr>
          <w:rStyle w:val="VerbatimChar"/>
        </w:rPr>
        <w:t xml:space="preserve">REQ-CYB-133</w:t>
      </w:r>
      <w:r>
        <w:t xml:space="preserve">,</w:t>
      </w:r>
      <w:r>
        <w:t xml:space="preserve"> </w:t>
      </w:r>
      <w:r>
        <w:rPr>
          <w:rStyle w:val="VerbatimChar"/>
        </w:rPr>
        <w:t xml:space="preserve">REQ-CA13-AccountsRules-3(5)</w:t>
      </w:r>
      <w:r>
        <w:t xml:space="preserve">.</w:t>
      </w:r>
    </w:p>
    <w:p>
      <w:pPr>
        <w:pStyle w:val="BodyText"/>
      </w:pPr>
      <w:r>
        <w:rPr>
          <w:bCs/>
          <w:b/>
        </w:rPr>
        <w:t xml:space="preserve">Data owned.</w:t>
      </w:r>
      <w:r>
        <w:t xml:space="preserve"> </w:t>
      </w:r>
      <w:r>
        <w:t xml:space="preserve">The tenant owns every byte of tenant data and configuration; Infrabyx is processor and custodian. Archive metadata (manifests, job logs, connector configurations, restore-test results) is tenant data too and is exported with the archive. Infrabyx keeps only its own contract, billing and security-incident records after exit.</w:t>
      </w:r>
    </w:p>
    <w:p>
      <w:pPr>
        <w:pStyle w:val="BodyText"/>
      </w:pPr>
      <w:r>
        <w:rPr>
          <w:bCs/>
          <w:b/>
        </w:rPr>
        <w:t xml:space="preserve">Extends, does not rebuild.</w:t>
      </w:r>
      <w:r>
        <w:t xml:space="preserve"> </w:t>
      </w:r>
      <w:r>
        <w:t xml:space="preserve">The Recovery Suite detach export (Part 7A.0.5), R14</w:t>
      </w:r>
      <w:r>
        <w:t xml:space="preserve"> </w:t>
      </w:r>
      <w:r>
        <w:rPr>
          <w:rStyle w:val="VerbatimChar"/>
        </w:rPr>
        <w:t xml:space="preserve">export_job</w:t>
      </w:r>
      <w:r>
        <w:t xml:space="preserve"> </w:t>
      </w:r>
      <w:r>
        <w:t xml:space="preserve">and</w:t>
      </w:r>
      <w:r>
        <w:t xml:space="preserve"> </w:t>
      </w:r>
      <w:r>
        <w:rPr>
          <w:rStyle w:val="VerbatimChar"/>
        </w:rPr>
        <w:t xml:space="preserve">export_manifest</w:t>
      </w:r>
      <w:r>
        <w:t xml:space="preserve">, M16 document storage and hashes, M17 report exports, the Integration Spec Part 12 layouts and manifests, Part 10.3 platform backup and DR targets, Part 10.6 items 17 and 24 (data and exit obligations), and AC7 (books-of-account backup and audit trail). Auditor and supervisor packs are in AU7; Udofin borrower downloads in Udofin UB1.</w:t>
      </w:r>
    </w:p>
    <w:p>
      <w:pPr>
        <w:pStyle w:val="BodyText"/>
      </w:pPr>
      <w:r>
        <w:rPr>
          <w:bCs/>
          <w:b/>
        </w:rPr>
        <w:t xml:space="preserve">Canonical events.</w:t>
      </w:r>
      <w:r>
        <w:t xml:space="preserve"> </w:t>
      </w:r>
      <w:r>
        <w:rPr>
          <w:rStyle w:val="VerbatimChar"/>
        </w:rPr>
        <w:t xml:space="preserve">ExportRequested</w:t>
      </w:r>
      <w:r>
        <w:t xml:space="preserve">,</w:t>
      </w:r>
      <w:r>
        <w:t xml:space="preserve"> </w:t>
      </w:r>
      <w:r>
        <w:rPr>
          <w:rStyle w:val="VerbatimChar"/>
        </w:rPr>
        <w:t xml:space="preserve">ExportCompleted</w:t>
      </w:r>
      <w:r>
        <w:t xml:space="preserve">,</w:t>
      </w:r>
      <w:r>
        <w:t xml:space="preserve"> </w:t>
      </w:r>
      <w:r>
        <w:rPr>
          <w:rStyle w:val="VerbatimChar"/>
        </w:rPr>
        <w:t xml:space="preserve">StorageTargetConnected</w:t>
      </w:r>
      <w:r>
        <w:t xml:space="preserve">,</w:t>
      </w:r>
      <w:r>
        <w:t xml:space="preserve"> </w:t>
      </w:r>
      <w:r>
        <w:rPr>
          <w:rStyle w:val="VerbatimChar"/>
        </w:rPr>
        <w:t xml:space="preserve">BackupCompleted</w:t>
      </w:r>
      <w:r>
        <w:t xml:space="preserve">,</w:t>
      </w:r>
      <w:r>
        <w:t xml:space="preserve"> </w:t>
      </w:r>
      <w:r>
        <w:rPr>
          <w:rStyle w:val="VerbatimChar"/>
        </w:rPr>
        <w:t xml:space="preserve">RestoreTested</w:t>
      </w:r>
      <w:r>
        <w:t xml:space="preserve"> </w:t>
      </w:r>
      <w:r>
        <w:t xml:space="preserve">(Integration Spec v1.1 Part 6.26); consumers are the tenant’s compliance destination (evidence), the Operations Hub engineering console (OH13) for export counts and backup status, and the control library (OH14) for restore-test evidence; payloads never carry content. A storage-target health failure is published as</w:t>
      </w:r>
      <w:r>
        <w:t xml:space="preserve"> </w:t>
      </w:r>
      <w:r>
        <w:rPr>
          <w:rStyle w:val="VerbatimChar"/>
        </w:rPr>
        <w:t xml:space="preserve">ControlTestResultPublished</w:t>
      </w:r>
      <w:r>
        <w:t xml:space="preserve"> </w:t>
      </w:r>
      <w:r>
        <w:t xml:space="preserve">(control</w:t>
      </w:r>
      <w:r>
        <w:t xml:space="preserve"> </w:t>
      </w:r>
      <w:r>
        <w:rPr>
          <w:rStyle w:val="VerbatimChar"/>
        </w:rPr>
        <w:t xml:space="preserve">STORAGE_TARGET_HEALTH</w:t>
      </w:r>
      <w:r>
        <w:t xml:space="preserve">) to the tenant’s compliance destination.</w:t>
      </w:r>
    </w:p>
    <w:p>
      <w:r>
        <w:pict>
          <v:rect style="width:0;height:1.5pt" o:hralign="center" o:hrstd="t" o:hr="t"/>
        </w:pict>
      </w:r>
    </w:p>
    <w:bookmarkStart w:id="666" w:name="X4c5cb2a62a4023fca856ecbbae5c1a6533cc05c"/>
    <w:p>
      <w:pPr>
        <w:pStyle w:val="Heading2"/>
      </w:pPr>
      <w:r>
        <w:t xml:space="preserve">DP1. Archive standard (folders, Word, Excel, PDF, manifest)</w:t>
      </w:r>
    </w:p>
    <w:bookmarkStart w:id="659" w:name="dp1.1-design-rules"/>
    <w:p>
      <w:pPr>
        <w:pStyle w:val="Heading3"/>
      </w:pPr>
      <w:r>
        <w:t xml:space="preserve">DP1.1 Design rules</w:t>
      </w:r>
    </w:p>
    <w:p>
      <w:pPr>
        <w:numPr>
          <w:ilvl w:val="0"/>
          <w:numId w:val="1535"/>
        </w:numPr>
        <w:pStyle w:val="Compact"/>
      </w:pPr>
      <w:r>
        <w:rPr>
          <w:bCs/>
          <w:b/>
        </w:rPr>
        <w:t xml:space="preserve">Readable without Finbyx.</w:t>
      </w:r>
      <w:r>
        <w:t xml:space="preserve"> </w:t>
      </w:r>
      <w:r>
        <w:t xml:space="preserve">A person with Microsoft Office or LibreOffice, a PDF reader and a checksum tool can find, open, verify and understand every record.</w:t>
      </w:r>
    </w:p>
    <w:p>
      <w:pPr>
        <w:numPr>
          <w:ilvl w:val="0"/>
          <w:numId w:val="1535"/>
        </w:numPr>
        <w:pStyle w:val="Compact"/>
      </w:pPr>
      <w:r>
        <w:rPr>
          <w:bCs/>
          <w:b/>
        </w:rPr>
        <w:t xml:space="preserve">Machine-readable as well.</w:t>
      </w:r>
      <w:r>
        <w:t xml:space="preserve"> </w:t>
      </w:r>
      <w:r>
        <w:t xml:space="preserve">Every dataset is also in CSV and JSON Schema-described form so a successor system can load it.</w:t>
      </w:r>
    </w:p>
    <w:p>
      <w:pPr>
        <w:numPr>
          <w:ilvl w:val="0"/>
          <w:numId w:val="1535"/>
        </w:numPr>
        <w:pStyle w:val="Compact"/>
      </w:pPr>
      <w:r>
        <w:rPr>
          <w:bCs/>
          <w:b/>
        </w:rPr>
        <w:t xml:space="preserve">Nothing implied.</w:t>
      </w:r>
      <w:r>
        <w:t xml:space="preserve"> </w:t>
      </w:r>
      <w:r>
        <w:t xml:space="preserve">IDs, codes, units, time zones and relationships are explicit in a data dictionary and a relationship map.</w:t>
      </w:r>
    </w:p>
    <w:p>
      <w:pPr>
        <w:numPr>
          <w:ilvl w:val="0"/>
          <w:numId w:val="1535"/>
        </w:numPr>
        <w:pStyle w:val="Compact"/>
      </w:pPr>
      <w:r>
        <w:rPr>
          <w:bCs/>
          <w:b/>
        </w:rPr>
        <w:t xml:space="preserve">Verifiable.</w:t>
      </w:r>
      <w:r>
        <w:t xml:space="preserve"> </w:t>
      </w:r>
      <w:r>
        <w:t xml:space="preserve">Every file is hashed; the manifest is signed; control totals reconcile to the source at the as-of point.</w:t>
      </w:r>
    </w:p>
    <w:p>
      <w:pPr>
        <w:numPr>
          <w:ilvl w:val="0"/>
          <w:numId w:val="1535"/>
        </w:numPr>
        <w:pStyle w:val="Compact"/>
      </w:pPr>
      <w:r>
        <w:rPr>
          <w:bCs/>
          <w:b/>
        </w:rPr>
        <w:t xml:space="preserve">Least exposure.</w:t>
      </w:r>
      <w:r>
        <w:t xml:space="preserve"> </w:t>
      </w:r>
      <w:r>
        <w:t xml:space="preserve">Restricted HR and legal folders are separately encrypted and excluded unless expressly authorised; Aadhaar numbers are never exported (only vault reference tokens; UIDAI rules), and card data is never held (DPS; CM4).</w:t>
      </w:r>
    </w:p>
    <w:p>
      <w:pPr>
        <w:numPr>
          <w:ilvl w:val="0"/>
          <w:numId w:val="1535"/>
        </w:numPr>
        <w:pStyle w:val="Compact"/>
      </w:pPr>
      <w:r>
        <w:rPr>
          <w:bCs/>
          <w:b/>
        </w:rPr>
        <w:t xml:space="preserve">Stable.</w:t>
      </w:r>
      <w:r>
        <w:t xml:space="preserve"> </w:t>
      </w:r>
      <w:r>
        <w:t xml:space="preserve">The standard is versioned (</w:t>
      </w:r>
      <w:r>
        <w:rPr>
          <w:rStyle w:val="VerbatimChar"/>
        </w:rPr>
        <w:t xml:space="preserve">archive_standard_version</w:t>
      </w:r>
      <w:r>
        <w:t xml:space="preserve">, starting</w:t>
      </w:r>
      <w:r>
        <w:t xml:space="preserve"> </w:t>
      </w:r>
      <w:r>
        <w:rPr>
          <w:rStyle w:val="VerbatimChar"/>
        </w:rPr>
        <w:t xml:space="preserve">1.0</w:t>
      </w:r>
      <w:r>
        <w:t xml:space="preserve">); a breaking change needs a new major version and a converter.</w:t>
      </w:r>
    </w:p>
    <w:bookmarkEnd w:id="659"/>
    <w:bookmarkStart w:id="660" w:name="X80e476077a895e8a0b9c4366b78fbd54b4f8c80"/>
    <w:p>
      <w:pPr>
        <w:pStyle w:val="Heading3"/>
      </w:pPr>
      <w:r>
        <w:t xml:space="preserve">DP1.2 Folder tree (folder profile</w:t>
      </w:r>
      <w:r>
        <w:t xml:space="preserve"> </w:t>
      </w:r>
      <w:r>
        <w:rPr>
          <w:rStyle w:val="VerbatimChar"/>
        </w:rPr>
        <w:t xml:space="preserve">finbyx_tenant_v1</w:t>
      </w:r>
      <w:r>
        <w:t xml:space="preserve">; Integration Spec Part 12.1)</w:t>
      </w:r>
    </w:p>
    <w:p>
      <w:pPr>
        <w:pStyle w:val="SourceCode"/>
      </w:pPr>
      <w:r>
        <w:rPr>
          <w:rStyle w:val="VerbatimChar"/>
        </w:rPr>
        <w:t xml:space="preserve">[Tenant legal name] - Finbyx Archive - [scope] - as of [YYYY-MM-DD]/</w:t>
      </w:r>
      <w:r>
        <w:br/>
      </w:r>
      <w:r>
        <w:rPr>
          <w:rStyle w:val="VerbatimChar"/>
        </w:rPr>
        <w:t xml:space="preserve">  00 Start Here/</w:t>
      </w:r>
      <w:r>
        <w:br/>
      </w:r>
      <w:r>
        <w:rPr>
          <w:rStyle w:val="VerbatimChar"/>
        </w:rPr>
        <w:t xml:space="preserve">      README.pdf, README.docx, README.txt   (README.md optional)</w:t>
      </w:r>
      <w:r>
        <w:br/>
      </w:r>
      <w:r>
        <w:rPr>
          <w:rStyle w:val="VerbatimChar"/>
        </w:rPr>
        <w:t xml:space="preserve">      export-manifest.csv, manifest.json, manifest.json.jws</w:t>
      </w:r>
      <w:r>
        <w:br/>
      </w:r>
      <w:r>
        <w:rPr>
          <w:rStyle w:val="VerbatimChar"/>
        </w:rPr>
        <w:t xml:space="preserve">      data-dictionary.xlsx, data-dictionary.csv</w:t>
      </w:r>
      <w:r>
        <w:br/>
      </w:r>
      <w:r>
        <w:rPr>
          <w:rStyle w:val="VerbatimChar"/>
        </w:rPr>
        <w:t xml:space="preserve">      relationships.csv, relationship-map.pdf</w:t>
      </w:r>
      <w:r>
        <w:br/>
      </w:r>
      <w:r>
        <w:rPr>
          <w:rStyle w:val="VerbatimChar"/>
        </w:rPr>
        <w:t xml:space="preserve">      code-tables/            (one CSV per code table)</w:t>
      </w:r>
      <w:r>
        <w:br/>
      </w:r>
      <w:r>
        <w:rPr>
          <w:rStyle w:val="VerbatimChar"/>
        </w:rPr>
        <w:t xml:space="preserve">      schemas/                (JSON Schema 2020-12 per dataset)</w:t>
      </w:r>
      <w:r>
        <w:br/>
      </w:r>
      <w:r>
        <w:rPr>
          <w:rStyle w:val="VerbatimChar"/>
        </w:rPr>
        <w:t xml:space="preserve">      verify/                 (open-source verifier and instructions)</w:t>
      </w:r>
      <w:r>
        <w:br/>
      </w:r>
      <w:r>
        <w:rPr>
          <w:rStyle w:val="VerbatimChar"/>
        </w:rPr>
        <w:t xml:space="preserve">  01 Entity and Regulatory Profile/      legal entities, registration certificates, regulatory profile, branches, policy registry</w:t>
      </w:r>
      <w:r>
        <w:br/>
      </w:r>
      <w:r>
        <w:rPr>
          <w:rStyle w:val="VerbatimChar"/>
        </w:rPr>
        <w:t xml:space="preserve">  02 Governance and Board/[FY]/          directors, KMP, committees, meetings, minutes, resolutions, registers, MCA filings, listed-company records (Part 7F)</w:t>
      </w:r>
      <w:r>
        <w:br/>
      </w:r>
      <w:r>
        <w:rPr>
          <w:rStyle w:val="VerbatimChar"/>
        </w:rPr>
        <w:t xml:space="preserve">  03 Accounting and Tax/[FY]/            chart of accounts, journals, trial balances, financial statements, GST, TDS, Tally exports, audit-trail extracts</w:t>
      </w:r>
      <w:r>
        <w:br/>
      </w:r>
      <w:r>
        <w:rPr>
          <w:rStyle w:val="VerbatimChar"/>
        </w:rPr>
        <w:t xml:space="preserve">  04 Lending/</w:t>
      </w:r>
      <w:r>
        <w:br/>
      </w:r>
      <w:r>
        <w:rPr>
          <w:rStyle w:val="VerbatimChar"/>
        </w:rPr>
        <w:t xml:space="preserve">      Products/  Customers/  Applications/  Loans/[loan id]/  Collateral/  Collections/  Co-lending and Transfers/</w:t>
      </w:r>
      <w:r>
        <w:br/>
      </w:r>
      <w:r>
        <w:rPr>
          <w:rStyle w:val="VerbatimChar"/>
        </w:rPr>
        <w:t xml:space="preserve">  05 Regulatory Returns/[regulator]/[portal]/[return code]/[period]/   generated files, validation reports, sign-offs, acknowledgements</w:t>
      </w:r>
      <w:r>
        <w:br/>
      </w:r>
      <w:r>
        <w:rPr>
          <w:rStyle w:val="VerbatimChar"/>
        </w:rPr>
        <w:t xml:space="preserve">  06 Credit Bureau Reporting/[CIC]/[file type]/[period]/               submitted files, rejections, corrections, disputes</w:t>
      </w:r>
      <w:r>
        <w:br/>
      </w:r>
      <w:r>
        <w:rPr>
          <w:rStyle w:val="VerbatimChar"/>
        </w:rPr>
        <w:t xml:space="preserve">  07 Risk and Compliance/                 risk register, KRIs, capital, ALM, ICAAP, compliance register, controls, evidence index</w:t>
      </w:r>
      <w:r>
        <w:br/>
      </w:r>
      <w:r>
        <w:rPr>
          <w:rStyle w:val="VerbatimChar"/>
        </w:rPr>
        <w:t xml:space="preserve">  08 Audit/[engagement]/                  plan, workpapers, findings, reports, management responses</w:t>
      </w:r>
      <w:r>
        <w:br/>
      </w:r>
      <w:r>
        <w:rPr>
          <w:rStyle w:val="VerbatimChar"/>
        </w:rPr>
        <w:t xml:space="preserve">  09 Customer Service and Grievances/     service requests, complaints, Internal Ombudsman, RB-IOS, ODR referrals</w:t>
      </w:r>
      <w:r>
        <w:br/>
      </w:r>
      <w:r>
        <w:rPr>
          <w:rStyle w:val="VerbatimChar"/>
        </w:rPr>
        <w:t xml:space="preserve">  10 HR and Payroll/Restricted/           (encrypted inner archive; excluded by default)</w:t>
      </w:r>
      <w:r>
        <w:br/>
      </w:r>
      <w:r>
        <w:rPr>
          <w:rStyle w:val="VerbatimChar"/>
        </w:rPr>
        <w:t xml:space="preserve">  11 Investments, Treasury and Borrowings/</w:t>
      </w:r>
      <w:r>
        <w:br/>
      </w:r>
      <w:r>
        <w:rPr>
          <w:rStyle w:val="VerbatimChar"/>
        </w:rPr>
        <w:t xml:space="preserve">  12 Legal and Recovery/                  case registers, notices, service proofs, matters, settlements</w:t>
      </w:r>
      <w:r>
        <w:br/>
      </w:r>
      <w:r>
        <w:rPr>
          <w:rStyle w:val="VerbatimChar"/>
        </w:rPr>
        <w:t xml:space="preserve">  12 Legal and Recovery/Restricted/       privileged documents (encrypted inner archive; excluded by default)</w:t>
      </w:r>
      <w:r>
        <w:br/>
      </w:r>
      <w:r>
        <w:rPr>
          <w:rStyle w:val="VerbatimChar"/>
        </w:rPr>
        <w:t xml:space="preserve">  13 Configuration, Integrations and Data Lineage/   products, rule packs, templates, workflows, roles and permissions, DoA, feature flags, integration logs, lineage</w:t>
      </w:r>
      <w:r>
        <w:br/>
      </w:r>
      <w:r>
        <w:rPr>
          <w:rStyle w:val="VerbatimChar"/>
        </w:rPr>
        <w:t xml:space="preserve">  14 System Audit Trail/[YYYY-MM]/       audit-events.jsonl, hash-chain anchors</w:t>
      </w:r>
    </w:p>
    <w:p>
      <w:pPr>
        <w:numPr>
          <w:ilvl w:val="0"/>
          <w:numId w:val="1536"/>
        </w:numPr>
        <w:pStyle w:val="Compact"/>
      </w:pPr>
      <w:r>
        <w:rPr>
          <w:bCs/>
          <w:b/>
        </w:rPr>
        <w:t xml:space="preserve">Folder policy is configurable</w:t>
      </w:r>
      <w:r>
        <w:t xml:space="preserve"> </w:t>
      </w:r>
      <w:r>
        <w:t xml:space="preserve">(rename, reorder, split by legal entity or FY) through a versioned</w:t>
      </w:r>
      <w:r>
        <w:t xml:space="preserve"> </w:t>
      </w:r>
      <w:r>
        <w:rPr>
          <w:rStyle w:val="VerbatimChar"/>
        </w:rPr>
        <w:t xml:space="preserve">folder_policy</w:t>
      </w:r>
      <w:r>
        <w:t xml:space="preserve">; the canonical path of every dataset is kept in the manifest, so renaming never breaks the relationship map.</w:t>
      </w:r>
    </w:p>
    <w:p>
      <w:pPr>
        <w:numPr>
          <w:ilvl w:val="0"/>
          <w:numId w:val="1536"/>
        </w:numPr>
        <w:pStyle w:val="Compact"/>
      </w:pPr>
      <w:r>
        <w:rPr>
          <w:bCs/>
          <w:b/>
        </w:rPr>
        <w:t xml:space="preserve">Folder 00</w:t>
      </w:r>
      <w:r>
        <w:t xml:space="preserve"> </w:t>
      </w:r>
      <w:r>
        <w:t xml:space="preserve">is identical in every profile across products (Integration Spec Part 12.1); the root folder name carries the tenant’s legal name, never a person’s name.</w:t>
      </w:r>
    </w:p>
    <w:p>
      <w:pPr>
        <w:numPr>
          <w:ilvl w:val="0"/>
          <w:numId w:val="1536"/>
        </w:numPr>
        <w:pStyle w:val="Compact"/>
      </w:pPr>
      <w:r>
        <w:rPr>
          <w:bCs/>
          <w:b/>
        </w:rPr>
        <w:t xml:space="preserve">Folder 13</w:t>
      </w:r>
      <w:r>
        <w:t xml:space="preserve"> </w:t>
      </w:r>
      <w:r>
        <w:t xml:space="preserve">carries the configuration data that OUT para 97(xvi)(d) requires a successor to take over, with each rule pack’s version, effective dates and approvals.</w:t>
      </w:r>
    </w:p>
    <w:p>
      <w:pPr>
        <w:numPr>
          <w:ilvl w:val="0"/>
          <w:numId w:val="1536"/>
        </w:numPr>
        <w:pStyle w:val="Compact"/>
      </w:pPr>
      <w:r>
        <w:rPr>
          <w:bCs/>
          <w:b/>
        </w:rPr>
        <w:t xml:space="preserve">Folder 14</w:t>
      </w:r>
      <w:r>
        <w:t xml:space="preserve"> </w:t>
      </w:r>
      <w:r>
        <w:t xml:space="preserve">holds the audit trail in the M19 format, partitioned by month, with the daily hash-chain anchors so integrity can be verified offline (Rule 11(g) evidence; AC7).</w:t>
      </w:r>
    </w:p>
    <w:bookmarkEnd w:id="660"/>
    <w:bookmarkStart w:id="661" w:name="dp1.3-naming-rules"/>
    <w:p>
      <w:pPr>
        <w:pStyle w:val="Heading3"/>
      </w:pPr>
      <w:r>
        <w:t xml:space="preserve">DP1.3 Naming rules</w:t>
      </w:r>
    </w:p>
    <w:p>
      <w:pPr>
        <w:numPr>
          <w:ilvl w:val="0"/>
          <w:numId w:val="1537"/>
        </w:numPr>
        <w:pStyle w:val="Compact"/>
      </w:pPr>
      <w:r>
        <w:t xml:space="preserve">Names in plain English, Windows-safe (no</w:t>
      </w:r>
      <w:r>
        <w:t xml:space="preserve"> </w:t>
      </w:r>
      <w:r>
        <w:rPr>
          <w:rStyle w:val="VerbatimChar"/>
        </w:rPr>
        <w:t xml:space="preserve">\ / : * ? " &lt; &gt; |</w:t>
      </w:r>
      <w:r>
        <w:t xml:space="preserve">, no trailing dots or spaces), Unicode NFC, total path ≤ 240 characters (long names are shortened with an ID suffix).</w:t>
      </w:r>
    </w:p>
    <w:p>
      <w:pPr>
        <w:numPr>
          <w:ilvl w:val="0"/>
          <w:numId w:val="1537"/>
        </w:numPr>
        <w:pStyle w:val="Compact"/>
      </w:pPr>
      <w:r>
        <w:rPr>
          <w:bCs/>
          <w:b/>
        </w:rPr>
        <w:t xml:space="preserve">No personal data in folder or file names by default</w:t>
      </w:r>
      <w:r>
        <w:t xml:space="preserve"> </w:t>
      </w:r>
      <w:r>
        <w:t xml:space="preserve">(</w:t>
      </w:r>
      <w:r>
        <w:rPr>
          <w:rStyle w:val="VerbatimChar"/>
        </w:rPr>
        <w:t xml:space="preserve">label_policy = ids_only</w:t>
      </w:r>
      <w:r>
        <w:t xml:space="preserve">): loan folders are</w:t>
      </w:r>
      <w:r>
        <w:t xml:space="preserve"> </w:t>
      </w:r>
      <w:r>
        <w:rPr>
          <w:rStyle w:val="VerbatimChar"/>
        </w:rPr>
        <w:t xml:space="preserve">Loans/LN-000123/</w:t>
      </w:r>
      <w:r>
        <w:t xml:space="preserve">; the README explains how to look up names in</w:t>
      </w:r>
      <w:r>
        <w:t xml:space="preserve"> </w:t>
      </w:r>
      <w:r>
        <w:rPr>
          <w:rStyle w:val="VerbatimChar"/>
        </w:rPr>
        <w:t xml:space="preserve">customers.xlsx</w:t>
      </w:r>
      <w:r>
        <w:t xml:space="preserve">. A tenant may choose</w:t>
      </w:r>
      <w:r>
        <w:t xml:space="preserve"> </w:t>
      </w:r>
      <w:r>
        <w:rPr>
          <w:rStyle w:val="VerbatimChar"/>
        </w:rPr>
        <w:t xml:space="preserve">id_and_masked_name</w:t>
      </w:r>
      <w:r>
        <w:t xml:space="preserve"> </w:t>
      </w:r>
      <w:r>
        <w:t xml:space="preserve">for internal-only archives; full names in paths are not offered.</w:t>
      </w:r>
    </w:p>
    <w:p>
      <w:pPr>
        <w:numPr>
          <w:ilvl w:val="0"/>
          <w:numId w:val="1537"/>
        </w:numPr>
        <w:pStyle w:val="Compact"/>
      </w:pPr>
      <w:r>
        <w:t xml:space="preserve">Dates ISO 8601 (</w:t>
      </w:r>
      <w:r>
        <w:rPr>
          <w:rStyle w:val="VerbatimChar"/>
        </w:rPr>
        <w:t xml:space="preserve">2026-10-23</w:t>
      </w:r>
      <w:r>
        <w:t xml:space="preserve">); periods</w:t>
      </w:r>
      <w:r>
        <w:t xml:space="preserve"> </w:t>
      </w:r>
      <w:r>
        <w:rPr>
          <w:rStyle w:val="VerbatimChar"/>
        </w:rPr>
        <w:t xml:space="preserve">2026-27-Q2</w:t>
      </w:r>
      <w:r>
        <w:t xml:space="preserve">,</w:t>
      </w:r>
      <w:r>
        <w:t xml:space="preserve"> </w:t>
      </w:r>
      <w:r>
        <w:rPr>
          <w:rStyle w:val="VerbatimChar"/>
        </w:rPr>
        <w:t xml:space="preserve">2026-09</w:t>
      </w:r>
      <w:r>
        <w:t xml:space="preserve">; FY folders</w:t>
      </w:r>
      <w:r>
        <w:t xml:space="preserve"> </w:t>
      </w:r>
      <w:r>
        <w:rPr>
          <w:rStyle w:val="VerbatimChar"/>
        </w:rPr>
        <w:t xml:space="preserve">FY 2026-27</w:t>
      </w:r>
      <w:r>
        <w:t xml:space="preserve">.</w:t>
      </w:r>
    </w:p>
    <w:bookmarkEnd w:id="661"/>
    <w:bookmarkStart w:id="662" w:name="dp1.4-file-formats-per-dataset"/>
    <w:p>
      <w:pPr>
        <w:pStyle w:val="Heading3"/>
      </w:pPr>
      <w:r>
        <w:t xml:space="preserve">DP1.4 File formats per dataset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41"/>
        <w:gridCol w:w="2931"/>
        <w:gridCol w:w="5266"/>
      </w:tblGrid>
      <w:tr>
        <w:trPr>
          <w:tblHeader w:val="true"/>
          <w:tblHeader w:val="true"/>
        </w:trPr>
        <w:tc>
          <w:tcPr>
            <w:tcW w:w="1441" w:type="dxa"/>
            <w:shd w:val="clear" w:color="auto" w:fill="1F3A5F"/>
          </w:tcPr>
          <w:p>
            <w:pPr>
              <w:pStyle w:val="Compact"/>
              <w:spacing w:after="40"/>
              <w:jc w:val="left"/>
            </w:pPr>
            <w:r>
              <w:rPr>
                <w:b/>
                <w:color w:val="FFFFFF"/>
                <w:sz w:val="18"/>
              </w:rPr>
              <w:t xml:space="preserve">Content</w:t>
            </w:r>
          </w:p>
        </w:tc>
        <w:tc>
          <w:tcPr>
            <w:tcW w:w="2931" w:type="dxa"/>
            <w:shd w:val="clear" w:color="auto" w:fill="1F3A5F"/>
          </w:tcPr>
          <w:p>
            <w:pPr>
              <w:pStyle w:val="Compact"/>
              <w:spacing w:after="40"/>
              <w:jc w:val="left"/>
            </w:pPr>
            <w:r>
              <w:rPr>
                <w:b/>
                <w:color w:val="FFFFFF"/>
                <w:sz w:val="18"/>
              </w:rPr>
              <w:t xml:space="preserve">Formats</w:t>
            </w:r>
          </w:p>
        </w:tc>
        <w:tc>
          <w:tcPr>
            <w:tcW w:w="5266" w:type="dxa"/>
            <w:shd w:val="clear" w:color="auto" w:fill="1F3A5F"/>
          </w:tcPr>
          <w:p>
            <w:pPr>
              <w:pStyle w:val="Compact"/>
              <w:spacing w:after="40"/>
              <w:jc w:val="left"/>
            </w:pPr>
            <w:r>
              <w:rPr>
                <w:b/>
                <w:color w:val="FFFFFF"/>
                <w:sz w:val="18"/>
              </w:rPr>
              <w:t xml:space="preserve">Rules</w:t>
            </w:r>
          </w:p>
        </w:tc>
      </w:tr>
      <w:tr>
        <w:tc>
          <w:tcPr>
            <w:tcW w:w="1441" w:type="dxa"/>
          </w:tcPr>
          <w:p>
            <w:pPr>
              <w:pStyle w:val="Compact"/>
              <w:spacing w:after="40"/>
              <w:jc w:val="left"/>
            </w:pPr>
            <w:r>
              <w:rPr>
                <w:sz w:val="18"/>
              </w:rPr>
              <w:t xml:space="preserve">Structured data (each dataset)</w:t>
            </w:r>
          </w:p>
        </w:tc>
        <w:tc>
          <w:tcPr>
            <w:tcW w:w="2931" w:type="dxa"/>
          </w:tcPr>
          <w:p>
            <w:pPr>
              <w:pStyle w:val="Compact"/>
              <w:spacing w:after="40"/>
              <w:jc w:val="left"/>
            </w:pPr>
            <w:r>
              <w:rPr>
                <w:rStyle w:val="VerbatimChar"/>
                <w:sz w:val="18"/>
              </w:rPr>
              <w:t xml:space="preserve">[dataset].csv</w:t>
            </w:r>
            <w:r>
              <w:rPr>
                <w:sz w:val="18"/>
              </w:rPr>
              <w:t xml:space="preserve">,</w:t>
            </w:r>
            <w:r>
              <w:rPr>
                <w:sz w:val="18"/>
              </w:rPr>
              <w:t xml:space="preserve"> </w:t>
            </w:r>
            <w:r>
              <w:rPr>
                <w:rStyle w:val="VerbatimChar"/>
                <w:sz w:val="18"/>
              </w:rPr>
              <w:t xml:space="preserve">[dataset].xlsx</w:t>
            </w:r>
            <w:r>
              <w:rPr>
                <w:sz w:val="18"/>
              </w:rPr>
              <w:t xml:space="preserve">,</w:t>
            </w:r>
            <w:r>
              <w:rPr>
                <w:sz w:val="18"/>
              </w:rPr>
              <w:t xml:space="preserve"> </w:t>
            </w:r>
            <w:r>
              <w:rPr>
                <w:rStyle w:val="VerbatimChar"/>
                <w:sz w:val="18"/>
              </w:rPr>
              <w:t xml:space="preserve">[dataset].schema.json</w:t>
            </w:r>
            <w:r>
              <w:rPr>
                <w:sz w:val="18"/>
              </w:rPr>
              <w:t xml:space="preserve">; optional</w:t>
            </w:r>
            <w:r>
              <w:rPr>
                <w:sz w:val="18"/>
              </w:rPr>
              <w:t xml:space="preserve"> </w:t>
            </w:r>
            <w:r>
              <w:rPr>
                <w:rStyle w:val="VerbatimChar"/>
                <w:sz w:val="18"/>
              </w:rPr>
              <w:t xml:space="preserve">[dataset].jsonl</w:t>
            </w:r>
          </w:p>
        </w:tc>
        <w:tc>
          <w:tcPr>
            <w:tcW w:w="5266" w:type="dxa"/>
          </w:tcPr>
          <w:p>
            <w:pPr>
              <w:pStyle w:val="Compact"/>
              <w:spacing w:after="40"/>
              <w:jc w:val="left"/>
            </w:pPr>
            <w:r>
              <w:rPr>
                <w:sz w:val="18"/>
              </w:rPr>
              <w:t xml:space="preserve">CSV: RFC 4180, UTF-8 with BOM (so Excel opens it correctly), ISO 8601 dates with time zone, amounts as fixed 2-decimal strings in INR with a</w:t>
            </w:r>
            <w:r>
              <w:rPr>
                <w:sz w:val="18"/>
              </w:rPr>
              <w:t xml:space="preserve"> </w:t>
            </w:r>
            <w:r>
              <w:rPr>
                <w:rStyle w:val="VerbatimChar"/>
                <w:sz w:val="18"/>
              </w:rPr>
              <w:t xml:space="preserve">currency</w:t>
            </w:r>
            <w:r>
              <w:rPr>
                <w:sz w:val="18"/>
              </w:rPr>
              <w:t xml:space="preserve"> </w:t>
            </w:r>
            <w:r>
              <w:rPr>
                <w:sz w:val="18"/>
              </w:rPr>
              <w:t xml:space="preserve">column, no thousands separators, codes plus a label column. XLSX: a</w:t>
            </w:r>
            <w:r>
              <w:rPr>
                <w:sz w:val="18"/>
              </w:rPr>
              <w:t xml:space="preserve"> </w:t>
            </w:r>
            <w:r>
              <w:rPr>
                <w:sz w:val="18"/>
              </w:rPr>
              <w:t xml:space="preserve">“</w:t>
            </w:r>
            <w:r>
              <w:rPr>
                <w:sz w:val="18"/>
              </w:rPr>
              <w:t xml:space="preserve">Read me</w:t>
            </w:r>
            <w:r>
              <w:rPr>
                <w:sz w:val="18"/>
              </w:rPr>
              <w:t xml:space="preserve">”</w:t>
            </w:r>
            <w:r>
              <w:rPr>
                <w:sz w:val="18"/>
              </w:rPr>
              <w:t xml:space="preserve"> </w:t>
            </w:r>
            <w:r>
              <w:rPr>
                <w:sz w:val="18"/>
              </w:rPr>
              <w:t xml:space="preserve">sheet, frozen header row, column comments with the dictionary text, data typed (dates as dates, amounts as numbers with 2 decimals); sheets split at 1,000,000 rows with part numbers</w:t>
            </w:r>
          </w:p>
        </w:tc>
      </w:tr>
      <w:tr>
        <w:tc>
          <w:tcPr>
            <w:tcW w:w="1441" w:type="dxa"/>
          </w:tcPr>
          <w:p>
            <w:pPr>
              <w:pStyle w:val="Compact"/>
              <w:spacing w:after="40"/>
              <w:jc w:val="left"/>
            </w:pPr>
            <w:r>
              <w:rPr>
                <w:sz w:val="18"/>
              </w:rPr>
              <w:t xml:space="preserve">Documents (originals)</w:t>
            </w:r>
          </w:p>
        </w:tc>
        <w:tc>
          <w:tcPr>
            <w:tcW w:w="2931" w:type="dxa"/>
          </w:tcPr>
          <w:p>
            <w:pPr>
              <w:pStyle w:val="Compact"/>
              <w:spacing w:after="40"/>
              <w:jc w:val="left"/>
            </w:pPr>
            <w:r>
              <w:rPr>
                <w:sz w:val="18"/>
              </w:rPr>
              <w:t xml:space="preserve">As stored in M16 (PDF, images, DOCX, signed PDFs, XML)</w:t>
            </w:r>
          </w:p>
        </w:tc>
        <w:tc>
          <w:tcPr>
            <w:tcW w:w="5266" w:type="dxa"/>
          </w:tcPr>
          <w:p>
            <w:pPr>
              <w:pStyle w:val="Compact"/>
              <w:spacing w:after="40"/>
              <w:jc w:val="left"/>
            </w:pPr>
            <w:r>
              <w:rPr>
                <w:sz w:val="18"/>
              </w:rPr>
              <w:t xml:space="preserve">Original bytes unchanged; SHA-256 equals the M16 hash; signing evidence alongside</w:t>
            </w:r>
          </w:p>
        </w:tc>
      </w:tr>
      <w:tr>
        <w:tc>
          <w:tcPr>
            <w:tcW w:w="1441" w:type="dxa"/>
          </w:tcPr>
          <w:p>
            <w:pPr>
              <w:pStyle w:val="Compact"/>
              <w:spacing w:after="40"/>
              <w:jc w:val="left"/>
            </w:pPr>
            <w:r>
              <w:rPr>
                <w:sz w:val="18"/>
              </w:rPr>
              <w:t xml:space="preserve">Renditions and reports</w:t>
            </w:r>
          </w:p>
        </w:tc>
        <w:tc>
          <w:tcPr>
            <w:tcW w:w="2931" w:type="dxa"/>
          </w:tcPr>
          <w:p>
            <w:pPr>
              <w:pStyle w:val="Compact"/>
              <w:spacing w:after="40"/>
              <w:jc w:val="left"/>
            </w:pPr>
            <w:r>
              <w:rPr>
                <w:sz w:val="18"/>
              </w:rPr>
              <w:t xml:space="preserve">PDF/A-2b plus DOCX for narrative documents (minutes, policies, notices, CAMs, loan file summaries); XLSX for tabular reports</w:t>
            </w:r>
          </w:p>
        </w:tc>
        <w:tc>
          <w:tcPr>
            <w:tcW w:w="5266" w:type="dxa"/>
          </w:tcPr>
          <w:p>
            <w:pPr>
              <w:pStyle w:val="Compact"/>
              <w:spacing w:after="40"/>
              <w:jc w:val="left"/>
            </w:pPr>
            <w:r>
              <w:rPr>
                <w:sz w:val="18"/>
              </w:rPr>
              <w:t xml:space="preserve">PDF/A carries</w:t>
            </w:r>
            <w:r>
              <w:rPr>
                <w:sz w:val="18"/>
              </w:rPr>
              <w:t xml:space="preserve"> </w:t>
            </w:r>
            <w:r>
              <w:rPr>
                <w:rStyle w:val="VerbatimChar"/>
                <w:sz w:val="18"/>
              </w:rPr>
              <w:t xml:space="preserve">document_id</w:t>
            </w:r>
            <w:r>
              <w:rPr>
                <w:sz w:val="18"/>
              </w:rPr>
              <w:t xml:space="preserve"> </w:t>
            </w:r>
            <w:r>
              <w:rPr>
                <w:sz w:val="18"/>
              </w:rPr>
              <w:t xml:space="preserve">and source hash in XMP (Integration Spec Part 12)</w:t>
            </w:r>
          </w:p>
        </w:tc>
      </w:tr>
      <w:tr>
        <w:tc>
          <w:tcPr>
            <w:tcW w:w="1441" w:type="dxa"/>
          </w:tcPr>
          <w:p>
            <w:pPr>
              <w:pStyle w:val="Compact"/>
              <w:spacing w:after="40"/>
              <w:jc w:val="left"/>
            </w:pPr>
            <w:r>
              <w:rPr>
                <w:sz w:val="18"/>
              </w:rPr>
              <w:t xml:space="preserve">Per-loan summary</w:t>
            </w:r>
          </w:p>
        </w:tc>
        <w:tc>
          <w:tcPr>
            <w:tcW w:w="2931" w:type="dxa"/>
          </w:tcPr>
          <w:p>
            <w:pPr>
              <w:pStyle w:val="Compact"/>
              <w:spacing w:after="40"/>
              <w:jc w:val="left"/>
            </w:pPr>
            <w:r>
              <w:rPr>
                <w:rStyle w:val="VerbatimChar"/>
                <w:sz w:val="18"/>
              </w:rPr>
              <w:t xml:space="preserve">Loan summary - LN-[id].pdf</w:t>
            </w:r>
            <w:r>
              <w:rPr>
                <w:sz w:val="18"/>
              </w:rPr>
              <w:t xml:space="preserve"> </w:t>
            </w:r>
            <w:r>
              <w:rPr>
                <w:sz w:val="18"/>
              </w:rPr>
              <w:t xml:space="preserve">and</w:t>
            </w:r>
            <w:r>
              <w:rPr>
                <w:sz w:val="18"/>
              </w:rPr>
              <w:t xml:space="preserve"> </w:t>
            </w:r>
            <w:r>
              <w:rPr>
                <w:rStyle w:val="VerbatimChar"/>
                <w:sz w:val="18"/>
              </w:rPr>
              <w:t xml:space="preserve">.docx</w:t>
            </w:r>
          </w:p>
        </w:tc>
        <w:tc>
          <w:tcPr>
            <w:tcW w:w="5266" w:type="dxa"/>
          </w:tcPr>
          <w:p>
            <w:pPr>
              <w:pStyle w:val="Compact"/>
              <w:spacing w:after="40"/>
              <w:jc w:val="left"/>
            </w:pPr>
            <w:r>
              <w:rPr>
                <w:sz w:val="18"/>
              </w:rPr>
              <w:t xml:space="preserve">One readable file: parties (masked by role), sanction and KFS terms, schedule, receipts, DPD and classification history, charges, collateral, documents index, events timeline, links to the dataset rows</w:t>
            </w:r>
          </w:p>
        </w:tc>
      </w:tr>
      <w:tr>
        <w:tc>
          <w:tcPr>
            <w:tcW w:w="1441" w:type="dxa"/>
          </w:tcPr>
          <w:p>
            <w:pPr>
              <w:pStyle w:val="Compact"/>
              <w:spacing w:after="40"/>
              <w:jc w:val="left"/>
            </w:pPr>
            <w:r>
              <w:rPr>
                <w:sz w:val="18"/>
              </w:rPr>
              <w:t xml:space="preserve">Per-meeting record</w:t>
            </w:r>
          </w:p>
        </w:tc>
        <w:tc>
          <w:tcPr>
            <w:tcW w:w="2931" w:type="dxa"/>
          </w:tcPr>
          <w:p>
            <w:pPr>
              <w:pStyle w:val="Compact"/>
              <w:spacing w:after="40"/>
              <w:jc w:val="left"/>
            </w:pPr>
            <w:r>
              <w:rPr>
                <w:sz w:val="18"/>
              </w:rPr>
              <w:t xml:space="preserve">Notice, agenda, board pack, minutes (signed PDF/A and DOCX), resolutions, attendance</w:t>
            </w:r>
          </w:p>
        </w:tc>
        <w:tc>
          <w:tcPr>
            <w:tcW w:w="5266" w:type="dxa"/>
          </w:tcPr>
          <w:p>
            <w:pPr>
              <w:pStyle w:val="Compact"/>
              <w:spacing w:after="40"/>
              <w:jc w:val="left"/>
            </w:pPr>
            <w:r>
              <w:rPr>
                <w:sz w:val="18"/>
              </w:rPr>
              <w:t xml:space="preserve">From Part 7F GV2</w:t>
            </w:r>
          </w:p>
        </w:tc>
      </w:tr>
      <w:tr>
        <w:tc>
          <w:tcPr>
            <w:tcW w:w="1441" w:type="dxa"/>
          </w:tcPr>
          <w:p>
            <w:pPr>
              <w:pStyle w:val="Compact"/>
              <w:spacing w:after="40"/>
              <w:jc w:val="left"/>
            </w:pPr>
            <w:r>
              <w:rPr>
                <w:sz w:val="18"/>
              </w:rPr>
              <w:t xml:space="preserve">Regulatory and bureau files</w:t>
            </w:r>
          </w:p>
        </w:tc>
        <w:tc>
          <w:tcPr>
            <w:tcW w:w="2931" w:type="dxa"/>
          </w:tcPr>
          <w:p>
            <w:pPr>
              <w:pStyle w:val="Compact"/>
              <w:spacing w:after="40"/>
              <w:jc w:val="left"/>
            </w:pPr>
            <w:r>
              <w:rPr>
                <w:sz w:val="18"/>
              </w:rPr>
              <w:t xml:space="preserve">Exactly as generated and submitted, plus validation report, sign-off and acknowledgement</w:t>
            </w:r>
          </w:p>
        </w:tc>
        <w:tc>
          <w:tcPr>
            <w:tcW w:w="5266" w:type="dxa"/>
          </w:tcPr>
          <w:p>
            <w:pPr>
              <w:pStyle w:val="Compact"/>
              <w:spacing w:after="40"/>
              <w:jc w:val="left"/>
            </w:pPr>
            <w:r>
              <w:rPr>
                <w:sz w:val="18"/>
              </w:rPr>
              <w:t xml:space="preserve">Byte-identical to the submitted file (hash match with RR3 and RR6 records)</w:t>
            </w:r>
          </w:p>
        </w:tc>
      </w:tr>
      <w:tr>
        <w:tc>
          <w:tcPr>
            <w:tcW w:w="1441" w:type="dxa"/>
          </w:tcPr>
          <w:p>
            <w:pPr>
              <w:pStyle w:val="Compact"/>
              <w:spacing w:after="40"/>
              <w:jc w:val="left"/>
            </w:pPr>
            <w:r>
              <w:rPr>
                <w:sz w:val="18"/>
              </w:rPr>
              <w:t xml:space="preserve">Audit trail</w:t>
            </w:r>
          </w:p>
        </w:tc>
        <w:tc>
          <w:tcPr>
            <w:tcW w:w="2931" w:type="dxa"/>
          </w:tcPr>
          <w:p>
            <w:pPr>
              <w:pStyle w:val="Compact"/>
              <w:spacing w:after="40"/>
              <w:jc w:val="left"/>
            </w:pPr>
            <w:r>
              <w:rPr>
                <w:rStyle w:val="VerbatimChar"/>
                <w:sz w:val="18"/>
              </w:rPr>
              <w:t xml:space="preserve">audit-events.jsonl</w:t>
            </w:r>
            <w:r>
              <w:rPr>
                <w:sz w:val="18"/>
              </w:rPr>
              <w:t xml:space="preserve"> </w:t>
            </w:r>
            <w:r>
              <w:rPr>
                <w:sz w:val="18"/>
              </w:rPr>
              <w:t xml:space="preserve">plus monthly XLSX digest</w:t>
            </w:r>
          </w:p>
        </w:tc>
        <w:tc>
          <w:tcPr>
            <w:tcW w:w="5266" w:type="dxa"/>
          </w:tcPr>
          <w:p>
            <w:pPr>
              <w:pStyle w:val="Compact"/>
              <w:spacing w:after="40"/>
              <w:jc w:val="left"/>
            </w:pPr>
            <w:r>
              <w:rPr>
                <w:sz w:val="18"/>
              </w:rPr>
              <w:t xml:space="preserve">Hash-chain verifiable offline</w:t>
            </w:r>
          </w:p>
        </w:tc>
      </w:tr>
    </w:tbl>
    <w:p>
      <w:pPr>
        <w:pStyle w:val="BodyText"/>
      </w:pPr>
      <w:r>
        <w:t xml:space="preserve">CI renders every Office and PDF output headless (LibreOffice) and validates PDF/A (veraPDF); a rendering failure blocks the release (Part 11.6).</w:t>
      </w:r>
    </w:p>
    <w:bookmarkEnd w:id="662"/>
    <w:bookmarkStart w:id="663" w:name="X1ec1455c80f37db91f0fb4b3aeb0baed208fced"/>
    <w:p>
      <w:pPr>
        <w:pStyle w:val="Heading3"/>
      </w:pPr>
      <w:r>
        <w:t xml:space="preserve">DP1.5 Manifest, data dictionary, relationship map and README</w:t>
      </w:r>
    </w:p>
    <w:p>
      <w:pPr>
        <w:numPr>
          <w:ilvl w:val="0"/>
          <w:numId w:val="1538"/>
        </w:numPr>
        <w:pStyle w:val="Compact"/>
      </w:pPr>
      <w:r>
        <w:rPr>
          <w:rStyle w:val="VerbatimChar"/>
          <w:bCs/>
          <w:b/>
        </w:rPr>
        <w:t xml:space="preserve">export-manifest.csv</w:t>
      </w:r>
      <w:r>
        <w:t xml:space="preserve"> </w:t>
      </w:r>
      <w:r>
        <w:t xml:space="preserve">(one row per file):</w:t>
      </w:r>
      <w:r>
        <w:t xml:space="preserve"> </w:t>
      </w:r>
      <w:r>
        <w:rPr>
          <w:rStyle w:val="VerbatimChar"/>
        </w:rPr>
        <w:t xml:space="preserve">path</w:t>
      </w:r>
      <w:r>
        <w:t xml:space="preserve">,</w:t>
      </w:r>
      <w:r>
        <w:t xml:space="preserve"> </w:t>
      </w:r>
      <w:r>
        <w:rPr>
          <w:rStyle w:val="VerbatimChar"/>
        </w:rPr>
        <w:t xml:space="preserve">sha256</w:t>
      </w:r>
      <w:r>
        <w:t xml:space="preserve">,</w:t>
      </w:r>
      <w:r>
        <w:t xml:space="preserve"> </w:t>
      </w:r>
      <w:r>
        <w:rPr>
          <w:rStyle w:val="VerbatimChar"/>
        </w:rPr>
        <w:t xml:space="preserve">bytes</w:t>
      </w:r>
      <w:r>
        <w:t xml:space="preserve">,</w:t>
      </w:r>
      <w:r>
        <w:t xml:space="preserve"> </w:t>
      </w:r>
      <w:r>
        <w:rPr>
          <w:rStyle w:val="VerbatimChar"/>
        </w:rPr>
        <w:t xml:space="preserve">media_type</w:t>
      </w:r>
      <w:r>
        <w:t xml:space="preserve">,</w:t>
      </w:r>
      <w:r>
        <w:t xml:space="preserve"> </w:t>
      </w:r>
      <w:r>
        <w:rPr>
          <w:rStyle w:val="VerbatimChar"/>
        </w:rPr>
        <w:t xml:space="preserve">record_count</w:t>
      </w:r>
      <w:r>
        <w:t xml:space="preserve">,</w:t>
      </w:r>
      <w:r>
        <w:t xml:space="preserve"> </w:t>
      </w:r>
      <w:r>
        <w:rPr>
          <w:rStyle w:val="VerbatimChar"/>
        </w:rPr>
        <w:t xml:space="preserve">legal_entity</w:t>
      </w:r>
      <w:r>
        <w:t xml:space="preserve">,</w:t>
      </w:r>
      <w:r>
        <w:t xml:space="preserve"> </w:t>
      </w:r>
      <w:r>
        <w:rPr>
          <w:rStyle w:val="VerbatimChar"/>
        </w:rPr>
        <w:t xml:space="preserve">dataset</w:t>
      </w:r>
      <w:r>
        <w:t xml:space="preserve">,</w:t>
      </w:r>
      <w:r>
        <w:t xml:space="preserve"> </w:t>
      </w:r>
      <w:r>
        <w:rPr>
          <w:rStyle w:val="VerbatimChar"/>
        </w:rPr>
        <w:t xml:space="preserve">schema_version</w:t>
      </w:r>
      <w:r>
        <w:t xml:space="preserve">,</w:t>
      </w:r>
      <w:r>
        <w:t xml:space="preserve"> </w:t>
      </w:r>
      <w:r>
        <w:rPr>
          <w:rStyle w:val="VerbatimChar"/>
        </w:rPr>
        <w:t xml:space="preserve">as_of</w:t>
      </w:r>
      <w:r>
        <w:t xml:space="preserve">,</w:t>
      </w:r>
      <w:r>
        <w:t xml:space="preserve"> </w:t>
      </w:r>
      <w:r>
        <w:rPr>
          <w:rStyle w:val="VerbatimChar"/>
        </w:rPr>
        <w:t xml:space="preserve">created_at</w:t>
      </w:r>
      <w:r>
        <w:t xml:space="preserve">,</w:t>
      </w:r>
      <w:r>
        <w:t xml:space="preserve"> </w:t>
      </w:r>
      <w:r>
        <w:rPr>
          <w:rStyle w:val="VerbatimChar"/>
        </w:rPr>
        <w:t xml:space="preserve">source_ids</w:t>
      </w:r>
      <w:r>
        <w:t xml:space="preserve"> </w:t>
      </w:r>
      <w:r>
        <w:t xml:space="preserve">(canonical IDs covered, or a range),</w:t>
      </w:r>
      <w:r>
        <w:t xml:space="preserve"> </w:t>
      </w:r>
      <w:r>
        <w:rPr>
          <w:rStyle w:val="VerbatimChar"/>
        </w:rPr>
        <w:t xml:space="preserve">restricted</w:t>
      </w:r>
      <w:r>
        <w:t xml:space="preserve"> </w:t>
      </w:r>
      <w:r>
        <w:t xml:space="preserve">(Y or N),</w:t>
      </w:r>
      <w:r>
        <w:t xml:space="preserve"> </w:t>
      </w:r>
      <w:r>
        <w:rPr>
          <w:rStyle w:val="VerbatimChar"/>
        </w:rPr>
        <w:t xml:space="preserve">retention_class</w:t>
      </w:r>
      <w:r>
        <w:t xml:space="preserve">,</w:t>
      </w:r>
      <w:r>
        <w:t xml:space="preserve"> </w:t>
      </w:r>
      <w:r>
        <w:rPr>
          <w:rStyle w:val="VerbatimChar"/>
        </w:rPr>
        <w:t xml:space="preserve">legal_hold</w:t>
      </w:r>
      <w:r>
        <w:t xml:space="preserve"> </w:t>
      </w:r>
      <w:r>
        <w:t xml:space="preserve">(Y or N),</w:t>
      </w:r>
      <w:r>
        <w:t xml:space="preserve"> </w:t>
      </w:r>
      <w:r>
        <w:rPr>
          <w:rStyle w:val="VerbatimChar"/>
        </w:rPr>
        <w:t xml:space="preserve">upsi</w:t>
      </w:r>
      <w:r>
        <w:t xml:space="preserve"> </w:t>
      </w:r>
      <w:r>
        <w:t xml:space="preserve">(Y or N) (</w:t>
      </w:r>
      <w:r>
        <w:rPr>
          <w:rStyle w:val="VerbatimChar"/>
        </w:rPr>
        <w:t xml:space="preserve">archive_manifest_v1</w:t>
      </w:r>
      <w:r>
        <w:t xml:space="preserve">).</w:t>
      </w:r>
    </w:p>
    <w:p>
      <w:pPr>
        <w:numPr>
          <w:ilvl w:val="0"/>
          <w:numId w:val="1538"/>
        </w:numPr>
        <w:pStyle w:val="Compact"/>
      </w:pPr>
      <w:r>
        <w:rPr>
          <w:rStyle w:val="VerbatimChar"/>
          <w:bCs/>
          <w:b/>
        </w:rPr>
        <w:t xml:space="preserve">manifest.json</w:t>
      </w:r>
      <w:r>
        <w:t xml:space="preserve"> </w:t>
      </w:r>
      <w:r>
        <w:t xml:space="preserve">repeats the rows and adds:</w:t>
      </w:r>
      <w:r>
        <w:t xml:space="preserve"> </w:t>
      </w:r>
      <w:r>
        <w:rPr>
          <w:rStyle w:val="VerbatimChar"/>
        </w:rPr>
        <w:t xml:space="preserve">archive_id</w:t>
      </w:r>
      <w:r>
        <w:t xml:space="preserve"> </w:t>
      </w:r>
      <w:r>
        <w:t xml:space="preserve">(ULID),</w:t>
      </w:r>
      <w:r>
        <w:t xml:space="preserve"> </w:t>
      </w:r>
      <w:r>
        <w:rPr>
          <w:rStyle w:val="VerbatimChar"/>
        </w:rPr>
        <w:t xml:space="preserve">archive_standard_version</w:t>
      </w:r>
      <w:r>
        <w:t xml:space="preserve">,</w:t>
      </w:r>
      <w:r>
        <w:t xml:space="preserve"> </w:t>
      </w:r>
      <w:r>
        <w:rPr>
          <w:rStyle w:val="VerbatimChar"/>
        </w:rPr>
        <w:t xml:space="preserve">folder_profile</w:t>
      </w:r>
      <w:r>
        <w:t xml:space="preserve">, producer product and Finbyx release, tenant,</w:t>
      </w:r>
      <w:r>
        <w:t xml:space="preserve"> </w:t>
      </w:r>
      <w:r>
        <w:rPr>
          <w:rStyle w:val="VerbatimChar"/>
        </w:rPr>
        <w:t xml:space="preserve">reid</w:t>
      </w:r>
      <w:r>
        <w:t xml:space="preserve"> </w:t>
      </w:r>
      <w:r>
        <w:t xml:space="preserve">and legal entities, scope definition, requester and approvers, the</w:t>
      </w:r>
      <w:r>
        <w:t xml:space="preserve"> </w:t>
      </w:r>
      <w:r>
        <w:rPr>
          <w:rStyle w:val="VerbatimChar"/>
        </w:rPr>
        <w:t xml:space="preserve">as_of</w:t>
      </w:r>
      <w:r>
        <w:t xml:space="preserve"> </w:t>
      </w:r>
      <w:r>
        <w:t xml:space="preserve">instant,</w:t>
      </w:r>
      <w:r>
        <w:t xml:space="preserve"> </w:t>
      </w:r>
      <w:r>
        <w:rPr>
          <w:rStyle w:val="VerbatimChar"/>
        </w:rPr>
        <w:t xml:space="preserve">control_totals</w:t>
      </w:r>
      <w:r>
        <w:t xml:space="preserve"> </w:t>
      </w:r>
      <w:r>
        <w:t xml:space="preserve">(below),</w:t>
      </w:r>
      <w:r>
        <w:t xml:space="preserve"> </w:t>
      </w:r>
      <w:r>
        <w:rPr>
          <w:rStyle w:val="VerbatimChar"/>
        </w:rPr>
        <w:t xml:space="preserve">predecessor_archive_id</w:t>
      </w:r>
      <w:r>
        <w:t xml:space="preserve"> </w:t>
      </w:r>
      <w:r>
        <w:t xml:space="preserve">for incremental chains, a pack-level SHA-256 over the sorted file list and the signing key id;</w:t>
      </w:r>
      <w:r>
        <w:t xml:space="preserve"> </w:t>
      </w:r>
      <w:r>
        <w:rPr>
          <w:rStyle w:val="VerbatimChar"/>
        </w:rPr>
        <w:t xml:space="preserve">manifest.json.jws</w:t>
      </w:r>
      <w:r>
        <w:t xml:space="preserve"> </w:t>
      </w:r>
      <w:r>
        <w:t xml:space="preserve">is a detached JWS (RFC 7515, 7797) with the tenant’s export-signing key (Part 10.4 KMS); the public key and its fingerprint are in the README.</w:t>
      </w:r>
    </w:p>
    <w:p>
      <w:pPr>
        <w:numPr>
          <w:ilvl w:val="0"/>
          <w:numId w:val="1538"/>
        </w:numPr>
        <w:pStyle w:val="Compact"/>
      </w:pPr>
      <w:r>
        <w:rPr>
          <w:bCs/>
          <w:b/>
        </w:rPr>
        <w:t xml:space="preserve">Control totals</w:t>
      </w:r>
      <w:r>
        <w:t xml:space="preserve"> </w:t>
      </w:r>
      <w:r>
        <w:t xml:space="preserve">per legal entity at the as-of point: number of customers, applications, loans by status; principal outstanding and interest receivable; GL trial-balance totals by account; number of documents and total bytes; number of audit events and the last hash-chain anchor. The export job reconciles these to the live system before signing; any difference fails the job.</w:t>
      </w:r>
    </w:p>
    <w:p>
      <w:pPr>
        <w:numPr>
          <w:ilvl w:val="0"/>
          <w:numId w:val="1538"/>
        </w:numPr>
        <w:pStyle w:val="Compact"/>
      </w:pPr>
      <w:r>
        <w:rPr>
          <w:bCs/>
          <w:b/>
        </w:rPr>
        <w:t xml:space="preserve">Data dictionary</w:t>
      </w:r>
      <w:r>
        <w:t xml:space="preserve"> </w:t>
      </w:r>
      <w:r>
        <w:t xml:space="preserve">(</w:t>
      </w:r>
      <w:r>
        <w:rPr>
          <w:rStyle w:val="VerbatimChar"/>
        </w:rPr>
        <w:t xml:space="preserve">data-dictionary.xlsx</w:t>
      </w:r>
      <w:r>
        <w:t xml:space="preserve"> </w:t>
      </w:r>
      <w:r>
        <w:t xml:space="preserve">and</w:t>
      </w:r>
      <w:r>
        <w:t xml:space="preserve"> </w:t>
      </w:r>
      <w:r>
        <w:rPr>
          <w:rStyle w:val="VerbatimChar"/>
        </w:rPr>
        <w:t xml:space="preserve">.csv</w:t>
      </w:r>
      <w:r>
        <w:t xml:space="preserve">): dataset, field, label, plain-English description, type, length, unit, format, code table, nullable, example, data class (PUBLIC, INTERNAL, CONFIDENTIAL, RESTRICTED), PII flag, source module, REQ-ID references where a field exists because of a regulation.</w:t>
      </w:r>
    </w:p>
    <w:p>
      <w:pPr>
        <w:numPr>
          <w:ilvl w:val="0"/>
          <w:numId w:val="1538"/>
        </w:numPr>
        <w:pStyle w:val="Compact"/>
      </w:pPr>
      <w:r>
        <w:rPr>
          <w:bCs/>
          <w:b/>
        </w:rPr>
        <w:t xml:space="preserve">Relationship map:</w:t>
      </w:r>
      <w:r>
        <w:t xml:space="preserve"> </w:t>
      </w:r>
      <w:r>
        <w:rPr>
          <w:rStyle w:val="VerbatimChar"/>
        </w:rPr>
        <w:t xml:space="preserve">relationships.csv</w:t>
      </w:r>
      <w:r>
        <w:t xml:space="preserve"> </w:t>
      </w:r>
      <w:r>
        <w:t xml:space="preserve">(from dataset and field, to dataset and field, cardinality, description) and</w:t>
      </w:r>
      <w:r>
        <w:t xml:space="preserve"> </w:t>
      </w:r>
      <w:r>
        <w:rPr>
          <w:rStyle w:val="VerbatimChar"/>
        </w:rPr>
        <w:t xml:space="preserve">relationship-map.pdf</w:t>
      </w:r>
      <w:r>
        <w:t xml:space="preserve"> </w:t>
      </w:r>
      <w:r>
        <w:t xml:space="preserve">(entity-relationship diagram). Canonical IDs follow Integration Spec Part 5.1, so a loan in</w:t>
      </w:r>
      <w:r>
        <w:t xml:space="preserve"> </w:t>
      </w:r>
      <w:r>
        <w:rPr>
          <w:rStyle w:val="VerbatimChar"/>
        </w:rPr>
        <w:t xml:space="preserve">04 Lending</w:t>
      </w:r>
      <w:r>
        <w:t xml:space="preserve"> </w:t>
      </w:r>
      <w:r>
        <w:t xml:space="preserve">joins to its bureau rows in</w:t>
      </w:r>
      <w:r>
        <w:t xml:space="preserve"> </w:t>
      </w:r>
      <w:r>
        <w:rPr>
          <w:rStyle w:val="VerbatimChar"/>
        </w:rPr>
        <w:t xml:space="preserve">06</w:t>
      </w:r>
      <w:r>
        <w:t xml:space="preserve">, its return lines in</w:t>
      </w:r>
      <w:r>
        <w:t xml:space="preserve"> </w:t>
      </w:r>
      <w:r>
        <w:rPr>
          <w:rStyle w:val="VerbatimChar"/>
        </w:rPr>
        <w:t xml:space="preserve">05</w:t>
      </w:r>
      <w:r>
        <w:t xml:space="preserve"> </w:t>
      </w:r>
      <w:r>
        <w:t xml:space="preserve">and its audit events in</w:t>
      </w:r>
      <w:r>
        <w:t xml:space="preserve"> </w:t>
      </w:r>
      <w:r>
        <w:rPr>
          <w:rStyle w:val="VerbatimChar"/>
        </w:rPr>
        <w:t xml:space="preserve">14</w:t>
      </w:r>
      <w:r>
        <w:t xml:space="preserve">.</w:t>
      </w:r>
    </w:p>
    <w:p>
      <w:pPr>
        <w:numPr>
          <w:ilvl w:val="0"/>
          <w:numId w:val="1538"/>
        </w:numPr>
        <w:pStyle w:val="Compact"/>
      </w:pPr>
      <w:r>
        <w:rPr>
          <w:bCs/>
          <w:b/>
        </w:rPr>
        <w:t xml:space="preserve">README</w:t>
      </w:r>
      <w:r>
        <w:t xml:space="preserve"> </w:t>
      </w:r>
      <w:r>
        <w:t xml:space="preserve">(PDF, DOCX and TXT, in English; Hindi optional): what the archive is and its scope; as-of time and time zone; who requested and approved it; folder guide; how to open CSV files in Excel without corrupting leading zeros (use the XLSX or the import wizard); how to verify checksums (</w:t>
      </w:r>
      <w:r>
        <w:rPr>
          <w:rStyle w:val="VerbatimChar"/>
        </w:rPr>
        <w:t xml:space="preserve">sha256sum -c</w:t>
      </w:r>
      <w:r>
        <w:t xml:space="preserve">,</w:t>
      </w:r>
      <w:r>
        <w:t xml:space="preserve"> </w:t>
      </w:r>
      <w:r>
        <w:rPr>
          <w:rStyle w:val="VerbatimChar"/>
        </w:rPr>
        <w:t xml:space="preserve">Get-FileHash</w:t>
      </w:r>
      <w:r>
        <w:t xml:space="preserve">,</w:t>
      </w:r>
      <w:r>
        <w:t xml:space="preserve"> </w:t>
      </w:r>
      <w:r>
        <w:rPr>
          <w:rStyle w:val="VerbatimChar"/>
        </w:rPr>
        <w:t xml:space="preserve">CertUtil -hashfile</w:t>
      </w:r>
      <w:r>
        <w:t xml:space="preserve">) and the signature (verifier in</w:t>
      </w:r>
      <w:r>
        <w:t xml:space="preserve"> </w:t>
      </w:r>
      <w:r>
        <w:rPr>
          <w:rStyle w:val="VerbatimChar"/>
        </w:rPr>
        <w:t xml:space="preserve">verify/</w:t>
      </w:r>
      <w:r>
        <w:t xml:space="preserve">); how to join tables; glossary of lending and regulatory terms used; restricted-folder handling; retention and legal-hold notes; contact details. A test reads the README and checks every folder it names exists.</w:t>
      </w:r>
    </w:p>
    <w:p>
      <w:pPr>
        <w:numPr>
          <w:ilvl w:val="0"/>
          <w:numId w:val="1538"/>
        </w:numPr>
        <w:pStyle w:val="Compact"/>
      </w:pPr>
      <w:r>
        <w:rPr>
          <w:bCs/>
          <w:b/>
        </w:rPr>
        <w:t xml:space="preserve">Verifier:</w:t>
      </w:r>
      <w:r>
        <w:t xml:space="preserve"> </w:t>
      </w:r>
      <w:r>
        <w:t xml:space="preserve">an open-source command-line tool (licence Apache-2.0) and its source in</w:t>
      </w:r>
      <w:r>
        <w:t xml:space="preserve"> </w:t>
      </w:r>
      <w:r>
        <w:rPr>
          <w:rStyle w:val="VerbatimChar"/>
        </w:rPr>
        <w:t xml:space="preserve">verify/</w:t>
      </w:r>
      <w:r>
        <w:t xml:space="preserve">, which checks hashes, the JWS signature, control totals and CSV schema conformance offline.</w:t>
      </w:r>
    </w:p>
    <w:bookmarkEnd w:id="663"/>
    <w:bookmarkStart w:id="664" w:name="dp1.6-restricted-folders"/>
    <w:p>
      <w:pPr>
        <w:pStyle w:val="Heading3"/>
      </w:pPr>
      <w:r>
        <w:t xml:space="preserve">DP1.6 Restricted folders</w:t>
      </w:r>
    </w:p>
    <w:p>
      <w:pPr>
        <w:numPr>
          <w:ilvl w:val="0"/>
          <w:numId w:val="1539"/>
        </w:numPr>
        <w:pStyle w:val="Compact"/>
      </w:pPr>
      <w:r>
        <w:rPr>
          <w:rStyle w:val="VerbatimChar"/>
        </w:rPr>
        <w:t xml:space="preserve">10 HR and Payroll/Restricted</w:t>
      </w:r>
      <w:r>
        <w:t xml:space="preserve"> </w:t>
      </w:r>
      <w:r>
        <w:t xml:space="preserve">(Part 7F GV6) and</w:t>
      </w:r>
      <w:r>
        <w:t xml:space="preserve"> </w:t>
      </w:r>
      <w:r>
        <w:rPr>
          <w:rStyle w:val="VerbatimChar"/>
        </w:rPr>
        <w:t xml:space="preserve">12 Legal and Recovery/Restricted</w:t>
      </w:r>
      <w:r>
        <w:t xml:space="preserve"> </w:t>
      </w:r>
      <w:r>
        <w:t xml:space="preserve">(privileged documents, Part 7A.0.10) are packaged as separate AES-256 encrypted ZIP archives (openable with common tools such as 7-Zip), each with its own manifest inside.</w:t>
      </w:r>
    </w:p>
    <w:p>
      <w:pPr>
        <w:numPr>
          <w:ilvl w:val="0"/>
          <w:numId w:val="1539"/>
        </w:numPr>
        <w:pStyle w:val="Compact"/>
      </w:pPr>
      <w:r>
        <w:t xml:space="preserve">Included only if the requester holds</w:t>
      </w:r>
      <w:r>
        <w:t xml:space="preserve"> </w:t>
      </w:r>
      <w:r>
        <w:rPr>
          <w:rStyle w:val="VerbatimChar"/>
        </w:rPr>
        <w:t xml:space="preserve">export.restricted.hr</w:t>
      </w:r>
      <w:r>
        <w:t xml:space="preserve"> </w:t>
      </w:r>
      <w:r>
        <w:t xml:space="preserve">or</w:t>
      </w:r>
      <w:r>
        <w:t xml:space="preserve"> </w:t>
      </w:r>
      <w:r>
        <w:rPr>
          <w:rStyle w:val="VerbatimChar"/>
        </w:rPr>
        <w:t xml:space="preserve">export.restricted.legal</w:t>
      </w:r>
      <w:r>
        <w:t xml:space="preserve"> </w:t>
      </w:r>
      <w:r>
        <w:t xml:space="preserve">and a second approver (HR head or General Counsel, plus the DPO) approves; the password is generated per archive and delivered out of band to the named recipient; neither password nor key is stored with the archive.</w:t>
      </w:r>
    </w:p>
    <w:p>
      <w:pPr>
        <w:numPr>
          <w:ilvl w:val="0"/>
          <w:numId w:val="1539"/>
        </w:numPr>
        <w:pStyle w:val="Compact"/>
      </w:pPr>
      <w:r>
        <w:t xml:space="preserve">UPSI-flagged records (GV4) carry a</w:t>
      </w:r>
      <w:r>
        <w:t xml:space="preserve"> </w:t>
      </w:r>
      <w:r>
        <w:rPr>
          <w:rStyle w:val="VerbatimChar"/>
        </w:rPr>
        <w:t xml:space="preserve">upsi</w:t>
      </w:r>
      <w:r>
        <w:t xml:space="preserve"> </w:t>
      </w:r>
      <w:r>
        <w:t xml:space="preserve">marker in the manifest; exporting them creates SDD entries for the recipient.</w:t>
      </w:r>
    </w:p>
    <w:p>
      <w:pPr>
        <w:numPr>
          <w:ilvl w:val="0"/>
          <w:numId w:val="1539"/>
        </w:numPr>
        <w:pStyle w:val="Compact"/>
      </w:pPr>
      <w:r>
        <w:t xml:space="preserve">Processor exports (to vendors) never include privileged documents (Part 7A.0.10) or HR data.</w:t>
      </w:r>
    </w:p>
    <w:bookmarkEnd w:id="664"/>
    <w:bookmarkStart w:id="665" w:name="acceptance-tests-54"/>
    <w:p>
      <w:pPr>
        <w:pStyle w:val="Heading3"/>
      </w:pPr>
      <w:r>
        <w:t xml:space="preserve">Acceptance tests</w:t>
      </w:r>
    </w:p>
    <w:p>
      <w:pPr>
        <w:numPr>
          <w:ilvl w:val="0"/>
          <w:numId w:val="1540"/>
        </w:numPr>
        <w:pStyle w:val="Compact"/>
      </w:pPr>
      <w:r>
        <w:t xml:space="preserve">A full archive for a synthetic tenant opens in LibreOffice and Microsoft Office (CI), validates as PDF/A, and the verifier reports zero hash, signature or schema errors.</w:t>
      </w:r>
    </w:p>
    <w:p>
      <w:pPr>
        <w:numPr>
          <w:ilvl w:val="0"/>
          <w:numId w:val="1540"/>
        </w:numPr>
        <w:pStyle w:val="Compact"/>
      </w:pPr>
      <w:r>
        <w:t xml:space="preserve">Changing one byte in any file makes the verifier fail on that file; deleting a file fails the manifest count.</w:t>
      </w:r>
    </w:p>
    <w:p>
      <w:pPr>
        <w:numPr>
          <w:ilvl w:val="0"/>
          <w:numId w:val="1540"/>
        </w:numPr>
        <w:pStyle w:val="Compact"/>
      </w:pPr>
      <w:r>
        <w:t xml:space="preserve">Control totals in</w:t>
      </w:r>
      <w:r>
        <w:t xml:space="preserve"> </w:t>
      </w:r>
      <w:r>
        <w:rPr>
          <w:rStyle w:val="VerbatimChar"/>
        </w:rPr>
        <w:t xml:space="preserve">manifest.json</w:t>
      </w:r>
      <w:r>
        <w:t xml:space="preserve"> </w:t>
      </w:r>
      <w:r>
        <w:t xml:space="preserve">equal the live system’s loan count, principal outstanding and TB totals at the as-of point; a seeded discrepancy fails the job before signing.</w:t>
      </w:r>
    </w:p>
    <w:p>
      <w:pPr>
        <w:numPr>
          <w:ilvl w:val="0"/>
          <w:numId w:val="1540"/>
        </w:numPr>
        <w:pStyle w:val="Compact"/>
      </w:pPr>
      <w:r>
        <w:t xml:space="preserve">No folder or file name contains a customer name under the default label policy; a path longer than 240 characters is shortened with an ID suffix and still resolves through the manifest.</w:t>
      </w:r>
    </w:p>
    <w:p>
      <w:pPr>
        <w:numPr>
          <w:ilvl w:val="0"/>
          <w:numId w:val="1540"/>
        </w:numPr>
        <w:pStyle w:val="Compact"/>
      </w:pPr>
      <w:r>
        <w:t xml:space="preserve">An archive requested without</w:t>
      </w:r>
      <w:r>
        <w:t xml:space="preserve"> </w:t>
      </w:r>
      <w:r>
        <w:rPr>
          <w:rStyle w:val="VerbatimChar"/>
        </w:rPr>
        <w:t xml:space="preserve">export.restricted.hr</w:t>
      </w:r>
      <w:r>
        <w:t xml:space="preserve"> </w:t>
      </w:r>
      <w:r>
        <w:t xml:space="preserve">contains no</w:t>
      </w:r>
      <w:r>
        <w:t xml:space="preserve"> </w:t>
      </w:r>
      <w:r>
        <w:rPr>
          <w:rStyle w:val="VerbatimChar"/>
        </w:rPr>
        <w:t xml:space="preserve">10 HR and Payroll/Restricted</w:t>
      </w:r>
      <w:r>
        <w:t xml:space="preserve"> </w:t>
      </w:r>
      <w:r>
        <w:t xml:space="preserve">content and the manifest marks the folder as excluded.</w:t>
      </w:r>
    </w:p>
    <w:p>
      <w:pPr>
        <w:numPr>
          <w:ilvl w:val="0"/>
          <w:numId w:val="1540"/>
        </w:numPr>
        <w:pStyle w:val="Compact"/>
      </w:pPr>
      <w:r>
        <w:t xml:space="preserve">The README names every top-level folder present; a folder rename via</w:t>
      </w:r>
      <w:r>
        <w:t xml:space="preserve"> </w:t>
      </w:r>
      <w:r>
        <w:rPr>
          <w:rStyle w:val="VerbatimChar"/>
        </w:rPr>
        <w:t xml:space="preserve">folder_policy</w:t>
      </w:r>
      <w:r>
        <w:t xml:space="preserve"> </w:t>
      </w:r>
      <w:r>
        <w:t xml:space="preserve">updates the README and keeps every relationship resolvable.</w:t>
      </w:r>
    </w:p>
    <w:p>
      <w:pPr>
        <w:numPr>
          <w:ilvl w:val="0"/>
          <w:numId w:val="1540"/>
        </w:numPr>
        <w:pStyle w:val="Compact"/>
      </w:pPr>
      <w:r>
        <w:t xml:space="preserve">A CSV with an account number starting with</w:t>
      </w:r>
      <w:r>
        <w:t xml:space="preserve"> </w:t>
      </w:r>
      <w:r>
        <w:rPr>
          <w:rStyle w:val="VerbatimChar"/>
        </w:rPr>
        <w:t xml:space="preserve">0</w:t>
      </w:r>
      <w:r>
        <w:t xml:space="preserve"> </w:t>
      </w:r>
      <w:r>
        <w:t xml:space="preserve">keeps the leading zero in the XLSX rendition.</w:t>
      </w:r>
    </w:p>
    <w:p>
      <w:r>
        <w:pict>
          <v:rect style="width:0;height:1.5pt" o:hralign="center" o:hrstd="t" o:hr="t"/>
        </w:pict>
      </w:r>
    </w:p>
    <w:bookmarkEnd w:id="665"/>
    <w:bookmarkEnd w:id="666"/>
    <w:bookmarkStart w:id="673" w:name="dp2.-scoped-scheduled-and-full-exports"/>
    <w:p>
      <w:pPr>
        <w:pStyle w:val="Heading2"/>
      </w:pPr>
      <w:r>
        <w:t xml:space="preserve">DP2. Scoped, scheduled and full exports</w:t>
      </w:r>
    </w:p>
    <w:bookmarkStart w:id="667" w:name="dp2.1-scopes"/>
    <w:p>
      <w:pPr>
        <w:pStyle w:val="Heading3"/>
      </w:pPr>
      <w:r>
        <w:t xml:space="preserve">DP2.1 Scopes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08"/>
        <w:gridCol w:w="2843"/>
        <w:gridCol w:w="2707"/>
        <w:gridCol w:w="2480"/>
      </w:tblGrid>
      <w:tr>
        <w:trPr>
          <w:tblHeader w:val="true"/>
          <w:tblHeader w:val="true"/>
        </w:trPr>
        <w:tc>
          <w:tcPr>
            <w:tcW w:w="1608" w:type="dxa"/>
            <w:shd w:val="clear" w:color="auto" w:fill="1F3A5F"/>
          </w:tcPr>
          <w:p>
            <w:pPr>
              <w:pStyle w:val="Compact"/>
              <w:spacing w:after="40"/>
              <w:jc w:val="left"/>
            </w:pPr>
            <w:r>
              <w:rPr>
                <w:b/>
                <w:color w:val="FFFFFF"/>
                <w:sz w:val="18"/>
              </w:rPr>
              <w:t xml:space="preserve">Scope</w:t>
            </w:r>
          </w:p>
        </w:tc>
        <w:tc>
          <w:tcPr>
            <w:tcW w:w="2843" w:type="dxa"/>
            <w:shd w:val="clear" w:color="auto" w:fill="1F3A5F"/>
          </w:tcPr>
          <w:p>
            <w:pPr>
              <w:pStyle w:val="Compact"/>
              <w:spacing w:after="40"/>
              <w:jc w:val="left"/>
            </w:pPr>
            <w:r>
              <w:rPr>
                <w:b/>
                <w:color w:val="FFFFFF"/>
                <w:sz w:val="18"/>
              </w:rPr>
              <w:t xml:space="preserve">Example</w:t>
            </w:r>
          </w:p>
        </w:tc>
        <w:tc>
          <w:tcPr>
            <w:tcW w:w="2707" w:type="dxa"/>
            <w:shd w:val="clear" w:color="auto" w:fill="1F3A5F"/>
          </w:tcPr>
          <w:p>
            <w:pPr>
              <w:pStyle w:val="Compact"/>
              <w:spacing w:after="40"/>
              <w:jc w:val="left"/>
            </w:pPr>
            <w:r>
              <w:rPr>
                <w:b/>
                <w:color w:val="FFFFFF"/>
                <w:sz w:val="18"/>
              </w:rPr>
              <w:t xml:space="preserve">Approval</w:t>
            </w:r>
          </w:p>
        </w:tc>
        <w:tc>
          <w:tcPr>
            <w:tcW w:w="2480" w:type="dxa"/>
            <w:shd w:val="clear" w:color="auto" w:fill="1F3A5F"/>
          </w:tcPr>
          <w:p>
            <w:pPr>
              <w:pStyle w:val="Compact"/>
              <w:spacing w:after="40"/>
              <w:jc w:val="left"/>
            </w:pPr>
            <w:r>
              <w:rPr>
                <w:b/>
                <w:color w:val="FFFFFF"/>
                <w:sz w:val="18"/>
              </w:rPr>
              <w:t xml:space="preserve">Event</w:t>
            </w:r>
            <w:r>
              <w:rPr>
                <w:b/>
                <w:color w:val="FFFFFF"/>
                <w:sz w:val="18"/>
              </w:rPr>
              <w:t xml:space="preserve"> </w:t>
            </w:r>
            <w:r>
              <w:rPr>
                <w:rStyle w:val="VerbatimChar"/>
                <w:b/>
                <w:color w:val="FFFFFF"/>
                <w:sz w:val="18"/>
              </w:rPr>
              <w:t xml:space="preserve">scope type</w:t>
            </w:r>
          </w:p>
        </w:tc>
      </w:tr>
      <w:tr>
        <w:tc>
          <w:tcPr>
            <w:tcW w:w="1608" w:type="dxa"/>
          </w:tcPr>
          <w:p>
            <w:pPr>
              <w:pStyle w:val="Compact"/>
              <w:spacing w:after="40"/>
              <w:jc w:val="left"/>
            </w:pPr>
            <w:r>
              <w:rPr>
                <w:sz w:val="18"/>
              </w:rPr>
              <w:t xml:space="preserve">Dataset</w:t>
            </w:r>
          </w:p>
        </w:tc>
        <w:tc>
          <w:tcPr>
            <w:tcW w:w="2843" w:type="dxa"/>
          </w:tcPr>
          <w:p>
            <w:pPr>
              <w:pStyle w:val="Compact"/>
              <w:spacing w:after="40"/>
              <w:jc w:val="left"/>
            </w:pPr>
            <w:r>
              <w:rPr>
                <w:sz w:val="18"/>
              </w:rPr>
              <w:t xml:space="preserve">Loans of branch X; collections of September</w:t>
            </w:r>
          </w:p>
        </w:tc>
        <w:tc>
          <w:tcPr>
            <w:tcW w:w="2707" w:type="dxa"/>
          </w:tcPr>
          <w:p>
            <w:pPr>
              <w:pStyle w:val="Compact"/>
              <w:spacing w:after="40"/>
              <w:jc w:val="left"/>
            </w:pPr>
            <w:r>
              <w:rPr>
                <w:sz w:val="18"/>
              </w:rPr>
              <w:t xml:space="preserve">Tenant user with</w:t>
            </w:r>
            <w:r>
              <w:rPr>
                <w:sz w:val="18"/>
              </w:rPr>
              <w:t xml:space="preserve"> </w:t>
            </w:r>
            <w:r>
              <w:rPr>
                <w:rStyle w:val="VerbatimChar"/>
                <w:sz w:val="18"/>
              </w:rPr>
              <w:t xml:space="preserve">export.dataset</w:t>
            </w:r>
            <w:r>
              <w:rPr>
                <w:sz w:val="18"/>
              </w:rPr>
              <w:t xml:space="preserve"> </w:t>
            </w:r>
            <w:r>
              <w:rPr>
                <w:sz w:val="18"/>
              </w:rPr>
              <w:t xml:space="preserve">for that dataset and branch scope</w:t>
            </w:r>
          </w:p>
        </w:tc>
        <w:tc>
          <w:tcPr>
            <w:tcW w:w="2480" w:type="dxa"/>
          </w:tcPr>
          <w:p>
            <w:pPr>
              <w:pStyle w:val="Compact"/>
              <w:spacing w:after="40"/>
              <w:jc w:val="left"/>
            </w:pPr>
            <w:r>
              <w:rPr>
                <w:sz w:val="18"/>
              </w:rPr>
              <w:t xml:space="preserve">DATASET</w:t>
            </w:r>
          </w:p>
        </w:tc>
      </w:tr>
      <w:tr>
        <w:tc>
          <w:tcPr>
            <w:tcW w:w="1608" w:type="dxa"/>
          </w:tcPr>
          <w:p>
            <w:pPr>
              <w:pStyle w:val="Compact"/>
              <w:spacing w:after="40"/>
              <w:jc w:val="left"/>
            </w:pPr>
            <w:r>
              <w:rPr>
                <w:sz w:val="18"/>
              </w:rPr>
              <w:t xml:space="preserve">Legal entity or FY</w:t>
            </w:r>
          </w:p>
        </w:tc>
        <w:tc>
          <w:tcPr>
            <w:tcW w:w="2843" w:type="dxa"/>
          </w:tcPr>
          <w:p>
            <w:pPr>
              <w:pStyle w:val="Compact"/>
              <w:spacing w:after="40"/>
              <w:jc w:val="left"/>
            </w:pPr>
            <w:r>
              <w:rPr>
                <w:sz w:val="18"/>
              </w:rPr>
              <w:t xml:space="preserve">Everything for entity B, FY 2025-26</w:t>
            </w:r>
          </w:p>
        </w:tc>
        <w:tc>
          <w:tcPr>
            <w:tcW w:w="2707" w:type="dxa"/>
          </w:tcPr>
          <w:p>
            <w:pPr>
              <w:pStyle w:val="Compact"/>
              <w:spacing w:after="40"/>
              <w:jc w:val="left"/>
            </w:pPr>
            <w:r>
              <w:rPr>
                <w:sz w:val="18"/>
              </w:rPr>
              <w:t xml:space="preserve">Tenant admin</w:t>
            </w:r>
          </w:p>
        </w:tc>
        <w:tc>
          <w:tcPr>
            <w:tcW w:w="2480" w:type="dxa"/>
          </w:tcPr>
          <w:p>
            <w:pPr>
              <w:pStyle w:val="Compact"/>
              <w:spacing w:after="40"/>
              <w:jc w:val="left"/>
            </w:pPr>
            <w:r>
              <w:rPr>
                <w:sz w:val="18"/>
              </w:rPr>
              <w:t xml:space="preserve">LEGAL_ENTITY</w:t>
            </w:r>
          </w:p>
        </w:tc>
      </w:tr>
      <w:tr>
        <w:tc>
          <w:tcPr>
            <w:tcW w:w="1608" w:type="dxa"/>
          </w:tcPr>
          <w:p>
            <w:pPr>
              <w:pStyle w:val="Compact"/>
              <w:spacing w:after="40"/>
              <w:jc w:val="left"/>
            </w:pPr>
            <w:r>
              <w:rPr>
                <w:sz w:val="18"/>
              </w:rPr>
              <w:t xml:space="preserve">Module</w:t>
            </w:r>
          </w:p>
        </w:tc>
        <w:tc>
          <w:tcPr>
            <w:tcW w:w="2843" w:type="dxa"/>
          </w:tcPr>
          <w:p>
            <w:pPr>
              <w:pStyle w:val="Compact"/>
              <w:spacing w:after="40"/>
              <w:jc w:val="left"/>
            </w:pPr>
            <w:r>
              <w:rPr>
                <w:sz w:val="18"/>
              </w:rPr>
              <w:t xml:space="preserve">Recovery Suite on detach (7A.0.5); HRMS on detach (GV6)</w:t>
            </w:r>
          </w:p>
        </w:tc>
        <w:tc>
          <w:tcPr>
            <w:tcW w:w="2707" w:type="dxa"/>
          </w:tcPr>
          <w:p>
            <w:pPr>
              <w:pStyle w:val="Compact"/>
              <w:spacing w:after="40"/>
              <w:jc w:val="left"/>
            </w:pPr>
            <w:r>
              <w:rPr>
                <w:sz w:val="18"/>
              </w:rPr>
              <w:t xml:space="preserve">Module owner plus tenant admin</w:t>
            </w:r>
          </w:p>
        </w:tc>
        <w:tc>
          <w:tcPr>
            <w:tcW w:w="2480" w:type="dxa"/>
          </w:tcPr>
          <w:p>
            <w:pPr>
              <w:pStyle w:val="Compact"/>
              <w:spacing w:after="40"/>
              <w:jc w:val="left"/>
            </w:pPr>
            <w:r>
              <w:rPr>
                <w:sz w:val="18"/>
              </w:rPr>
              <w:t xml:space="preserve">MODULE</w:t>
            </w:r>
          </w:p>
        </w:tc>
      </w:tr>
      <w:tr>
        <w:tc>
          <w:tcPr>
            <w:tcW w:w="1608" w:type="dxa"/>
          </w:tcPr>
          <w:p>
            <w:pPr>
              <w:pStyle w:val="Compact"/>
              <w:spacing w:after="40"/>
              <w:jc w:val="left"/>
            </w:pPr>
            <w:r>
              <w:rPr>
                <w:sz w:val="18"/>
              </w:rPr>
              <w:t xml:space="preserve">Regulatory or audit pack</w:t>
            </w:r>
          </w:p>
        </w:tc>
        <w:tc>
          <w:tcPr>
            <w:tcW w:w="2843" w:type="dxa"/>
          </w:tcPr>
          <w:p>
            <w:pPr>
              <w:pStyle w:val="Compact"/>
              <w:spacing w:after="40"/>
              <w:jc w:val="left"/>
            </w:pPr>
            <w:r>
              <w:rPr>
                <w:sz w:val="18"/>
              </w:rPr>
              <w:t xml:space="preserve">Inspection, statutory audit, CIC dispute</w:t>
            </w:r>
          </w:p>
        </w:tc>
        <w:tc>
          <w:tcPr>
            <w:tcW w:w="2707" w:type="dxa"/>
          </w:tcPr>
          <w:p>
            <w:pPr>
              <w:pStyle w:val="Compact"/>
              <w:spacing w:after="40"/>
              <w:jc w:val="left"/>
            </w:pPr>
            <w:r>
              <w:rPr>
                <w:sz w:val="18"/>
              </w:rPr>
              <w:t xml:space="preserve">Owned by AU7 and RR5; uses this engine</w:t>
            </w:r>
          </w:p>
        </w:tc>
        <w:tc>
          <w:tcPr>
            <w:tcW w:w="2480" w:type="dxa"/>
          </w:tcPr>
          <w:p>
            <w:pPr>
              <w:pStyle w:val="Compact"/>
              <w:spacing w:after="40"/>
              <w:jc w:val="left"/>
            </w:pPr>
            <w:r>
              <w:rPr>
                <w:sz w:val="18"/>
              </w:rPr>
              <w:t xml:space="preserve">AUDIT_PACK</w:t>
            </w:r>
          </w:p>
        </w:tc>
      </w:tr>
      <w:tr>
        <w:tc>
          <w:tcPr>
            <w:tcW w:w="1608" w:type="dxa"/>
          </w:tcPr>
          <w:p>
            <w:pPr>
              <w:pStyle w:val="Compact"/>
              <w:spacing w:after="40"/>
              <w:jc w:val="left"/>
            </w:pPr>
            <w:r>
              <w:rPr>
                <w:sz w:val="18"/>
              </w:rPr>
              <w:t xml:space="preserve">Data principal request</w:t>
            </w:r>
          </w:p>
        </w:tc>
        <w:tc>
          <w:tcPr>
            <w:tcW w:w="2843" w:type="dxa"/>
          </w:tcPr>
          <w:p>
            <w:pPr>
              <w:pStyle w:val="Compact"/>
              <w:spacing w:after="40"/>
              <w:jc w:val="left"/>
            </w:pPr>
            <w:r>
              <w:rPr>
                <w:sz w:val="18"/>
              </w:rPr>
              <w:t xml:space="preserve">Copy of one borrower’s data for a DPDP or RBC request handled by the tenant</w:t>
            </w:r>
          </w:p>
        </w:tc>
        <w:tc>
          <w:tcPr>
            <w:tcW w:w="2707" w:type="dxa"/>
          </w:tcPr>
          <w:p>
            <w:pPr>
              <w:pStyle w:val="Compact"/>
              <w:spacing w:after="40"/>
              <w:jc w:val="left"/>
            </w:pPr>
            <w:r>
              <w:rPr>
                <w:sz w:val="18"/>
              </w:rPr>
              <w:t xml:space="preserve">Tenant GRO or DPO; delivered by the tenant, not by Infrabyx</w:t>
            </w:r>
          </w:p>
        </w:tc>
        <w:tc>
          <w:tcPr>
            <w:tcW w:w="2480" w:type="dxa"/>
          </w:tcPr>
          <w:p>
            <w:pPr>
              <w:pStyle w:val="Compact"/>
              <w:spacing w:after="40"/>
              <w:jc w:val="left"/>
            </w:pPr>
            <w:r>
              <w:rPr>
                <w:sz w:val="18"/>
              </w:rPr>
              <w:t xml:space="preserve">DATASET (data classes listed; no identifier in the event)</w:t>
            </w:r>
          </w:p>
        </w:tc>
      </w:tr>
      <w:tr>
        <w:tc>
          <w:tcPr>
            <w:tcW w:w="1608" w:type="dxa"/>
          </w:tcPr>
          <w:p>
            <w:pPr>
              <w:pStyle w:val="Compact"/>
              <w:spacing w:after="40"/>
              <w:jc w:val="left"/>
            </w:pPr>
            <w:r>
              <w:rPr>
                <w:sz w:val="18"/>
              </w:rPr>
              <w:t xml:space="preserve">Full tenant</w:t>
            </w:r>
          </w:p>
        </w:tc>
        <w:tc>
          <w:tcPr>
            <w:tcW w:w="2843" w:type="dxa"/>
          </w:tcPr>
          <w:p>
            <w:pPr>
              <w:pStyle w:val="Compact"/>
              <w:spacing w:after="40"/>
              <w:jc w:val="left"/>
            </w:pPr>
            <w:r>
              <w:rPr>
                <w:sz w:val="18"/>
              </w:rPr>
              <w:t xml:space="preserve">Every dataset, document, configuration and audit trail</w:t>
            </w:r>
          </w:p>
        </w:tc>
        <w:tc>
          <w:tcPr>
            <w:tcW w:w="2707" w:type="dxa"/>
          </w:tcPr>
          <w:p>
            <w:pPr>
              <w:pStyle w:val="Compact"/>
              <w:spacing w:after="40"/>
              <w:jc w:val="left"/>
            </w:pPr>
            <w:r>
              <w:rPr>
                <w:sz w:val="18"/>
              </w:rPr>
              <w:t xml:space="preserve">Tenant admin plus a second approver (CCO or CFO); MFA (CYB para 115)</w:t>
            </w:r>
          </w:p>
        </w:tc>
        <w:tc>
          <w:tcPr>
            <w:tcW w:w="2480" w:type="dxa"/>
          </w:tcPr>
          <w:p>
            <w:pPr>
              <w:pStyle w:val="Compact"/>
              <w:spacing w:after="40"/>
              <w:jc w:val="left"/>
            </w:pPr>
            <w:r>
              <w:rPr>
                <w:sz w:val="18"/>
              </w:rPr>
              <w:t xml:space="preserve">FULL_TENANT</w:t>
            </w:r>
          </w:p>
        </w:tc>
      </w:tr>
      <w:tr>
        <w:tc>
          <w:tcPr>
            <w:tcW w:w="1608" w:type="dxa"/>
          </w:tcPr>
          <w:p>
            <w:pPr>
              <w:pStyle w:val="Compact"/>
              <w:spacing w:after="40"/>
              <w:jc w:val="left"/>
            </w:pPr>
            <w:r>
              <w:rPr>
                <w:sz w:val="18"/>
              </w:rPr>
              <w:t xml:space="preserve">Exit</w:t>
            </w:r>
          </w:p>
        </w:tc>
        <w:tc>
          <w:tcPr>
            <w:tcW w:w="2843" w:type="dxa"/>
          </w:tcPr>
          <w:p>
            <w:pPr>
              <w:pStyle w:val="Compact"/>
              <w:spacing w:after="40"/>
              <w:jc w:val="left"/>
            </w:pPr>
            <w:r>
              <w:rPr>
                <w:sz w:val="18"/>
              </w:rPr>
              <w:t xml:space="preserve">Final export in DP5</w:t>
            </w:r>
          </w:p>
        </w:tc>
        <w:tc>
          <w:tcPr>
            <w:tcW w:w="2707" w:type="dxa"/>
          </w:tcPr>
          <w:p>
            <w:pPr>
              <w:pStyle w:val="Compact"/>
              <w:spacing w:after="40"/>
              <w:jc w:val="left"/>
            </w:pPr>
            <w:r>
              <w:rPr>
                <w:sz w:val="18"/>
              </w:rPr>
              <w:t xml:space="preserve">Authorised signatory plus tenant admin; MFA</w:t>
            </w:r>
          </w:p>
        </w:tc>
        <w:tc>
          <w:tcPr>
            <w:tcW w:w="2480" w:type="dxa"/>
          </w:tcPr>
          <w:p>
            <w:pPr>
              <w:pStyle w:val="Compact"/>
              <w:spacing w:after="40"/>
              <w:jc w:val="left"/>
            </w:pPr>
            <w:r>
              <w:rPr>
                <w:sz w:val="18"/>
              </w:rPr>
              <w:t xml:space="preserve">EXIT</w:t>
            </w:r>
          </w:p>
        </w:tc>
      </w:tr>
    </w:tbl>
    <w:bookmarkEnd w:id="667"/>
    <w:bookmarkStart w:id="668" w:name="dp2.2-job-lifecycle"/>
    <w:p>
      <w:pPr>
        <w:pStyle w:val="Heading3"/>
      </w:pPr>
      <w:r>
        <w:t xml:space="preserve">DP2.2 Job lifecycle</w:t>
      </w:r>
    </w:p>
    <w:p>
      <w:pPr>
        <w:pStyle w:val="FirstParagraph"/>
      </w:pPr>
      <w:r>
        <w:rPr>
          <w:rStyle w:val="VerbatimChar"/>
        </w:rPr>
        <w:t xml:space="preserve">REQUESTED → APPROVED → SNAPSHOT → RENDER → PACKAGE → SIGN → DELIVER → CONFIRMED</w:t>
      </w:r>
      <w:r>
        <w:t xml:space="preserve">, with</w:t>
      </w:r>
      <w:r>
        <w:t xml:space="preserve"> </w:t>
      </w:r>
      <w:r>
        <w:rPr>
          <w:rStyle w:val="VerbatimChar"/>
        </w:rPr>
        <w:t xml:space="preserve">REJECTED</w:t>
      </w:r>
      <w:r>
        <w:t xml:space="preserve">,</w:t>
      </w:r>
      <w:r>
        <w:t xml:space="preserve"> </w:t>
      </w:r>
      <w:r>
        <w:rPr>
          <w:rStyle w:val="VerbatimChar"/>
        </w:rPr>
        <w:t xml:space="preserve">CANCELLED</w:t>
      </w:r>
      <w:r>
        <w:t xml:space="preserve"> </w:t>
      </w:r>
      <w:r>
        <w:t xml:space="preserve">(by the requester before SNAPSHOT),</w:t>
      </w:r>
      <w:r>
        <w:t xml:space="preserve"> </w:t>
      </w:r>
      <w:r>
        <w:rPr>
          <w:rStyle w:val="VerbatimChar"/>
        </w:rPr>
        <w:t xml:space="preserve">FAILED (retryable)</w:t>
      </w:r>
      <w:r>
        <w:t xml:space="preserve"> </w:t>
      </w:r>
      <w:r>
        <w:t xml:space="preserve">and</w:t>
      </w:r>
      <w:r>
        <w:t xml:space="preserve"> </w:t>
      </w:r>
      <w:r>
        <w:rPr>
          <w:rStyle w:val="VerbatimChar"/>
        </w:rPr>
        <w:t xml:space="preserve">EXPIRED</w:t>
      </w:r>
      <w:r>
        <w:t xml:space="preserve"> </w:t>
      </w:r>
      <w:r>
        <w:t xml:space="preserve">(an approval not used within 7 days, or an unconfirmed delivery after its link expires).</w:t>
      </w:r>
    </w:p>
    <w:p>
      <w:pPr>
        <w:numPr>
          <w:ilvl w:val="0"/>
          <w:numId w:val="1541"/>
        </w:numPr>
      </w:pPr>
      <w:r>
        <w:rPr>
          <w:bCs/>
          <w:b/>
        </w:rPr>
        <w:t xml:space="preserve">Retries and partial failure:</w:t>
      </w:r>
      <w:r>
        <w:t xml:space="preserve"> </w:t>
      </w:r>
      <w:r>
        <w:t xml:space="preserve">every worker step is idempotent on</w:t>
      </w:r>
      <w:r>
        <w:t xml:space="preserve"> </w:t>
      </w:r>
      <w:r>
        <w:rPr>
          <w:rStyle w:val="VerbatimChar"/>
        </w:rPr>
        <w:t xml:space="preserve">(job_id, dataset, part)</w:t>
      </w:r>
      <w:r>
        <w:t xml:space="preserve"> </w:t>
      </w:r>
      <w:r>
        <w:t xml:space="preserve">and checkpointed; a retry resumes from the last completed part against the same snapshot; three failed attempts on a part move the job to</w:t>
      </w:r>
      <w:r>
        <w:t xml:space="preserve"> </w:t>
      </w:r>
      <w:r>
        <w:rPr>
          <w:rStyle w:val="VerbatimChar"/>
        </w:rPr>
        <w:t xml:space="preserve">FAILED</w:t>
      </w:r>
      <w:r>
        <w:t xml:space="preserve"> </w:t>
      </w:r>
      <w:r>
        <w:t xml:space="preserve">with the failing dataset named; a job never signs or delivers a partial archive, and a failed delivery is retried only to the same target.</w:t>
      </w:r>
    </w:p>
    <w:p>
      <w:pPr>
        <w:numPr>
          <w:ilvl w:val="0"/>
          <w:numId w:val="1541"/>
        </w:numPr>
      </w:pPr>
      <w:r>
        <w:rPr>
          <w:bCs/>
          <w:b/>
        </w:rPr>
        <w:t xml:space="preserve">REQUESTED</w:t>
      </w:r>
      <w:r>
        <w:t xml:space="preserve"> </w:t>
      </w:r>
      <w:r>
        <w:t xml:space="preserve">emits</w:t>
      </w:r>
      <w:r>
        <w:t xml:space="preserve"> </w:t>
      </w:r>
      <w:r>
        <w:rPr>
          <w:rStyle w:val="VerbatimChar"/>
        </w:rPr>
        <w:t xml:space="preserve">ExportRequested</w:t>
      </w:r>
      <w:r>
        <w:t xml:space="preserve"> </w:t>
      </w:r>
      <w:r>
        <w:t xml:space="preserve">(scope, requester, data classes, destination type; no data).</w:t>
      </w:r>
    </w:p>
    <w:p>
      <w:pPr>
        <w:numPr>
          <w:ilvl w:val="0"/>
          <w:numId w:val="1541"/>
        </w:numPr>
      </w:pPr>
      <w:r>
        <w:rPr>
          <w:bCs/>
          <w:b/>
        </w:rPr>
        <w:t xml:space="preserve">SNAPSHOT:</w:t>
      </w:r>
      <w:r>
        <w:t xml:space="preserve"> </w:t>
      </w:r>
      <w:r>
        <w:t xml:space="preserve">a consistent point-in-time view at the as-of business date and time (repeatable-read transaction on a read replica, or a logical snapshot) so every dataset and the control totals describe the same instant; documents referenced by the snapshot are frozen by version.</w:t>
      </w:r>
    </w:p>
    <w:p>
      <w:pPr>
        <w:numPr>
          <w:ilvl w:val="0"/>
          <w:numId w:val="1541"/>
        </w:numPr>
      </w:pPr>
      <w:r>
        <w:rPr>
          <w:bCs/>
          <w:b/>
        </w:rPr>
        <w:t xml:space="preserve">RENDER and PACKAGE:</w:t>
      </w:r>
      <w:r>
        <w:t xml:space="preserve"> </w:t>
      </w:r>
      <w:r>
        <w:t xml:space="preserve">parallel workers per dataset; ZIP64 for archives over 4 GB; optional split volumes at a configurable size (default 2 GB).</w:t>
      </w:r>
    </w:p>
    <w:p>
      <w:pPr>
        <w:numPr>
          <w:ilvl w:val="0"/>
          <w:numId w:val="1541"/>
        </w:numPr>
      </w:pPr>
      <w:r>
        <w:rPr>
          <w:bCs/>
          <w:b/>
        </w:rPr>
        <w:t xml:space="preserve">SIGN:</w:t>
      </w:r>
      <w:r>
        <w:t xml:space="preserve"> </w:t>
      </w:r>
      <w:r>
        <w:t xml:space="preserve">control-total reconciliation, manifest, JWS.</w:t>
      </w:r>
    </w:p>
    <w:p>
      <w:pPr>
        <w:numPr>
          <w:ilvl w:val="0"/>
          <w:numId w:val="1541"/>
        </w:numPr>
      </w:pPr>
      <w:r>
        <w:rPr>
          <w:bCs/>
          <w:b/>
        </w:rPr>
        <w:t xml:space="preserve">DELIVER:</w:t>
      </w:r>
      <w:r>
        <w:t xml:space="preserve"> </w:t>
      </w:r>
      <w:r>
        <w:t xml:space="preserve">to a storage target (DP3) or as a signed download link valid for 7 days, single-use per recipient, IP and user logged; downloads from outside India are allowed only for scopes without regulated classes (DP3.1</w:t>
      </w:r>
      <w:r>
        <w:t xml:space="preserve"> </w:t>
      </w:r>
      <w:r>
        <w:t xml:space="preserve">“</w:t>
      </w:r>
      <w:r>
        <w:t xml:space="preserve">non-regulated</w:t>
      </w:r>
      <w:r>
        <w:t xml:space="preserve">”</w:t>
      </w:r>
      <w:r>
        <w:t xml:space="preserve"> </w:t>
      </w:r>
      <w:r>
        <w:t xml:space="preserve">test) and are logged with a warning [REC].</w:t>
      </w:r>
    </w:p>
    <w:p>
      <w:pPr>
        <w:numPr>
          <w:ilvl w:val="0"/>
          <w:numId w:val="1541"/>
        </w:numPr>
      </w:pPr>
      <w:r>
        <w:rPr>
          <w:bCs/>
          <w:b/>
        </w:rPr>
        <w:t xml:space="preserve">CONFIRMED:</w:t>
      </w:r>
      <w:r>
        <w:t xml:space="preserve"> </w:t>
      </w:r>
      <w:r>
        <w:t xml:space="preserve">the recipient or target acknowledges (checksum re-computed by the target where the connector supports it); emits</w:t>
      </w:r>
      <w:r>
        <w:t xml:space="preserve"> </w:t>
      </w:r>
      <w:r>
        <w:rPr>
          <w:rStyle w:val="VerbatimChar"/>
        </w:rPr>
        <w:t xml:space="preserve">ExportCompleted</w:t>
      </w:r>
      <w:r>
        <w:t xml:space="preserve"> </w:t>
      </w:r>
      <w:r>
        <w:t xml:space="preserve">(archive id, file count, bytes, manifest hash, destination type).</w:t>
      </w:r>
    </w:p>
    <w:p>
      <w:pPr>
        <w:numPr>
          <w:ilvl w:val="0"/>
          <w:numId w:val="1541"/>
        </w:numPr>
      </w:pPr>
      <w:r>
        <w:t xml:space="preserve">Every export is audit-logged and appears in the bulk-export anomaly alerts (Part 10.4 monitoring).</w:t>
      </w:r>
    </w:p>
    <w:bookmarkEnd w:id="668"/>
    <w:bookmarkStart w:id="669" w:name="dp2.3-scheduled-and-incremental-exports"/>
    <w:p>
      <w:pPr>
        <w:pStyle w:val="Heading3"/>
      </w:pPr>
      <w:r>
        <w:t xml:space="preserve">DP2.3 Scheduled and incremental exports</w:t>
      </w:r>
    </w:p>
    <w:p>
      <w:pPr>
        <w:numPr>
          <w:ilvl w:val="0"/>
          <w:numId w:val="1542"/>
        </w:numPr>
        <w:pStyle w:val="Compact"/>
      </w:pPr>
      <w:r>
        <w:rPr>
          <w:bCs/>
          <w:b/>
        </w:rPr>
        <w:t xml:space="preserve">Schedules:</w:t>
      </w:r>
      <w:r>
        <w:t xml:space="preserve"> </w:t>
      </w:r>
      <w:r>
        <w:t xml:space="preserve">daily incremental, weekly incremental, monthly full, FY-end full (default after period close), and on-demand.</w:t>
      </w:r>
    </w:p>
    <w:p>
      <w:pPr>
        <w:numPr>
          <w:ilvl w:val="0"/>
          <w:numId w:val="1542"/>
        </w:numPr>
        <w:pStyle w:val="Compact"/>
      </w:pPr>
      <w:r>
        <w:rPr>
          <w:bCs/>
          <w:b/>
        </w:rPr>
        <w:t xml:space="preserve">Incremental design:</w:t>
      </w:r>
      <w:r>
        <w:t xml:space="preserve"> </w:t>
      </w:r>
      <w:r>
        <w:t xml:space="preserve">a change watermark per dataset (CDC position or</w:t>
      </w:r>
      <w:r>
        <w:t xml:space="preserve"> </w:t>
      </w:r>
      <w:r>
        <w:rPr>
          <w:rStyle w:val="VerbatimChar"/>
        </w:rPr>
        <w:t xml:space="preserve">updated_at</w:t>
      </w:r>
      <w:r>
        <w:t xml:space="preserve"> </w:t>
      </w:r>
      <w:r>
        <w:t xml:space="preserve">plus event sequence); the archive contains a</w:t>
      </w:r>
      <w:r>
        <w:t xml:space="preserve"> </w:t>
      </w:r>
      <w:r>
        <w:rPr>
          <w:rStyle w:val="VerbatimChar"/>
        </w:rPr>
        <w:t xml:space="preserve">changes/</w:t>
      </w:r>
      <w:r>
        <w:t xml:space="preserve"> </w:t>
      </w:r>
      <w:r>
        <w:t xml:space="preserve">folder with inserted and changed rows and a</w:t>
      </w:r>
      <w:r>
        <w:t xml:space="preserve"> </w:t>
      </w:r>
      <w:r>
        <w:rPr>
          <w:rStyle w:val="VerbatimChar"/>
        </w:rPr>
        <w:t xml:space="preserve">reversals/</w:t>
      </w:r>
      <w:r>
        <w:t xml:space="preserve"> </w:t>
      </w:r>
      <w:r>
        <w:t xml:space="preserve">file for reversed or cancelled records (Finbyx never hard-deletes financial or regulatory records; Part 10.2 principle 19); each incremental manifest names its predecessor’s</w:t>
      </w:r>
      <w:r>
        <w:t xml:space="preserve"> </w:t>
      </w:r>
      <w:r>
        <w:rPr>
          <w:rStyle w:val="VerbatimChar"/>
        </w:rPr>
        <w:t xml:space="preserve">archive_id</w:t>
      </w:r>
      <w:r>
        <w:t xml:space="preserve"> </w:t>
      </w:r>
      <w:r>
        <w:t xml:space="preserve">so a chain can be verified.</w:t>
      </w:r>
    </w:p>
    <w:p>
      <w:pPr>
        <w:numPr>
          <w:ilvl w:val="0"/>
          <w:numId w:val="1542"/>
        </w:numPr>
        <w:pStyle w:val="Compact"/>
      </w:pPr>
      <w:r>
        <w:rPr>
          <w:bCs/>
          <w:b/>
        </w:rPr>
        <w:t xml:space="preserve">Missed runs</w:t>
      </w:r>
      <w:r>
        <w:t xml:space="preserve"> </w:t>
      </w:r>
      <w:r>
        <w:t xml:space="preserve">are caught up in order; a gap in the chain raises an alert to the tenant admin.</w:t>
      </w:r>
    </w:p>
    <w:bookmarkEnd w:id="669"/>
    <w:bookmarkStart w:id="670" w:name="dp2.4-performance-and-limits"/>
    <w:p>
      <w:pPr>
        <w:pStyle w:val="Heading3"/>
      </w:pPr>
      <w:r>
        <w:t xml:space="preserve">DP2.4 Performance and limits</w:t>
      </w:r>
    </w:p>
    <w:p>
      <w:pPr>
        <w:numPr>
          <w:ilvl w:val="0"/>
          <w:numId w:val="1543"/>
        </w:numPr>
        <w:pStyle w:val="Compact"/>
      </w:pPr>
      <w:r>
        <w:t xml:space="preserve">Reference target [REC]: a full export of 1 million loans with 10 million schedule rows and 5 million documents (by reference, not re-read) completes within 8 hours without degrading staff SLOs (Part 10.3); rate-limited per tenant; scheduled outside COB windows.</w:t>
      </w:r>
    </w:p>
    <w:p>
      <w:pPr>
        <w:numPr>
          <w:ilvl w:val="0"/>
          <w:numId w:val="1543"/>
        </w:numPr>
        <w:pStyle w:val="Compact"/>
      </w:pPr>
      <w:r>
        <w:t xml:space="preserve">Restricted folders, privileged documents and UPSI follow DP1.6 in every scope.</w:t>
      </w:r>
    </w:p>
    <w:bookmarkEnd w:id="670"/>
    <w:bookmarkStart w:id="671" w:name="dp2.5-export-wizard"/>
    <w:p>
      <w:pPr>
        <w:pStyle w:val="Heading3"/>
      </w:pPr>
      <w:r>
        <w:t xml:space="preserve">DP2.5 Export wizard</w:t>
      </w:r>
    </w:p>
    <w:p>
      <w:pPr>
        <w:numPr>
          <w:ilvl w:val="0"/>
          <w:numId w:val="1544"/>
        </w:numPr>
        <w:pStyle w:val="Compact"/>
      </w:pPr>
      <w:r>
        <w:rPr>
          <w:bCs/>
          <w:b/>
        </w:rPr>
        <w:t xml:space="preserve">Scope:</w:t>
      </w:r>
      <w:r>
        <w:t xml:space="preserve"> </w:t>
      </w:r>
      <w:r>
        <w:t xml:space="preserve">pick scope type, legal entities, FY or period, datasets and the as-of instant (default: last completed COB); the wizard shows record counts and estimated size before submission.</w:t>
      </w:r>
    </w:p>
    <w:p>
      <w:pPr>
        <w:numPr>
          <w:ilvl w:val="0"/>
          <w:numId w:val="1544"/>
        </w:numPr>
        <w:pStyle w:val="Compact"/>
      </w:pPr>
      <w:r>
        <w:rPr>
          <w:bCs/>
          <w:b/>
        </w:rPr>
        <w:t xml:space="preserve">Data classes:</w:t>
      </w:r>
      <w:r>
        <w:t xml:space="preserve"> </w:t>
      </w:r>
      <w:r>
        <w:t xml:space="preserve">each class with its handling note; restricted classes appear only to holders of</w:t>
      </w:r>
      <w:r>
        <w:t xml:space="preserve"> </w:t>
      </w:r>
      <w:r>
        <w:rPr>
          <w:rStyle w:val="VerbatimChar"/>
        </w:rPr>
        <w:t xml:space="preserve">export.restricted.[class]</w:t>
      </w:r>
      <w:r>
        <w:t xml:space="preserve"> </w:t>
      </w:r>
      <w:r>
        <w:t xml:space="preserve">and add the DP1.6 approvers; Aadhaar and card data are never offered.</w:t>
      </w:r>
    </w:p>
    <w:p>
      <w:pPr>
        <w:numPr>
          <w:ilvl w:val="0"/>
          <w:numId w:val="1544"/>
        </w:numPr>
        <w:pStyle w:val="Compact"/>
      </w:pPr>
      <w:r>
        <w:rPr>
          <w:bCs/>
          <w:b/>
        </w:rPr>
        <w:t xml:space="preserve">Folder preview:</w:t>
      </w:r>
      <w:r>
        <w:t xml:space="preserve"> </w:t>
      </w:r>
      <w:r>
        <w:t xml:space="preserve">the tree under the active</w:t>
      </w:r>
      <w:r>
        <w:t xml:space="preserve"> </w:t>
      </w:r>
      <w:r>
        <w:rPr>
          <w:rStyle w:val="VerbatimChar"/>
        </w:rPr>
        <w:t xml:space="preserve">folder_policy</w:t>
      </w:r>
      <w:r>
        <w:t xml:space="preserve">, the label policy and the first rows of each dataset in a sample view; path-length and naming checks run inline.</w:t>
      </w:r>
    </w:p>
    <w:p>
      <w:pPr>
        <w:numPr>
          <w:ilvl w:val="0"/>
          <w:numId w:val="1544"/>
        </w:numPr>
        <w:pStyle w:val="Compact"/>
      </w:pPr>
      <w:r>
        <w:rPr>
          <w:bCs/>
          <w:b/>
        </w:rPr>
        <w:t xml:space="preserve">Format and encryption:</w:t>
      </w:r>
      <w:r>
        <w:t xml:space="preserve"> </w:t>
      </w:r>
      <w:r>
        <w:t xml:space="preserve">CSV, XLSX and schema always; optional JSONL and split-volume size; encryption: TLS in transit and the target’s server-side encryption (default), AES-256 inner archives for restricted folders, and optional client-side encryption of the whole archive to the tenant’s public key (DP3.3).</w:t>
      </w:r>
    </w:p>
    <w:p>
      <w:pPr>
        <w:numPr>
          <w:ilvl w:val="0"/>
          <w:numId w:val="1544"/>
        </w:numPr>
        <w:pStyle w:val="Compact"/>
      </w:pPr>
      <w:r>
        <w:rPr>
          <w:bCs/>
          <w:b/>
        </w:rPr>
        <w:t xml:space="preserve">Delivery target:</w:t>
      </w:r>
      <w:r>
        <w:t xml:space="preserve"> </w:t>
      </w:r>
      <w:r>
        <w:t xml:space="preserve">a connected DP3 target whose data-class policy allows every selected class (others are greyed out with the reason) or a signed download link; residency is re-verified at submission.</w:t>
      </w:r>
    </w:p>
    <w:p>
      <w:pPr>
        <w:numPr>
          <w:ilvl w:val="0"/>
          <w:numId w:val="1544"/>
        </w:numPr>
        <w:pStyle w:val="Compact"/>
      </w:pPr>
      <w:r>
        <w:rPr>
          <w:bCs/>
          <w:b/>
        </w:rPr>
        <w:t xml:space="preserve">Approvals and schedule:</w:t>
      </w:r>
      <w:r>
        <w:t xml:space="preserve"> </w:t>
      </w:r>
      <w:r>
        <w:t xml:space="preserve">required approvers computed from DP2.1 and shown by name; one-off or saved as a schedule (DP2.3).</w:t>
      </w:r>
    </w:p>
    <w:p>
      <w:pPr>
        <w:numPr>
          <w:ilvl w:val="0"/>
          <w:numId w:val="1544"/>
        </w:numPr>
        <w:pStyle w:val="Compact"/>
      </w:pPr>
      <w:r>
        <w:rPr>
          <w:bCs/>
          <w:b/>
        </w:rPr>
        <w:t xml:space="preserve">Review and submit:</w:t>
      </w:r>
      <w:r>
        <w:t xml:space="preserve"> </w:t>
      </w:r>
      <w:r>
        <w:t xml:space="preserve">a plain-language summary (</w:t>
      </w:r>
      <w:r>
        <w:t xml:space="preserve">“</w:t>
      </w:r>
      <w:r>
        <w:t xml:space="preserve">12 datasets, about 3.2 GB, to S3 bucket X in ap-south-1, approved by CFO</w:t>
      </w:r>
      <w:r>
        <w:t xml:space="preserve">”</w:t>
      </w:r>
      <w:r>
        <w:t xml:space="preserve">) and MFA; drafts are kept for 7 days.</w:t>
      </w:r>
    </w:p>
    <w:bookmarkEnd w:id="671"/>
    <w:bookmarkStart w:id="672" w:name="acceptance-tests-55"/>
    <w:p>
      <w:pPr>
        <w:pStyle w:val="Heading3"/>
      </w:pPr>
      <w:r>
        <w:t xml:space="preserve">Acceptance tests</w:t>
      </w:r>
    </w:p>
    <w:p>
      <w:pPr>
        <w:numPr>
          <w:ilvl w:val="0"/>
          <w:numId w:val="1545"/>
        </w:numPr>
        <w:pStyle w:val="Compact"/>
      </w:pPr>
      <w:r>
        <w:t xml:space="preserve">An export taken during live posting reconciles exactly to the snapshot’s control totals, and a posting committed one second after the as-of instant is absent.</w:t>
      </w:r>
    </w:p>
    <w:p>
      <w:pPr>
        <w:numPr>
          <w:ilvl w:val="0"/>
          <w:numId w:val="1545"/>
        </w:numPr>
        <w:pStyle w:val="Compact"/>
      </w:pPr>
      <w:r>
        <w:t xml:space="preserve">A full export without a second approver stays in REQUESTED; an approver who is also the requester is rejected.</w:t>
      </w:r>
    </w:p>
    <w:p>
      <w:pPr>
        <w:numPr>
          <w:ilvl w:val="0"/>
          <w:numId w:val="1545"/>
        </w:numPr>
        <w:pStyle w:val="Compact"/>
      </w:pPr>
      <w:r>
        <w:t xml:space="preserve">Three daily incrementals followed by a reversal produce a chain whose</w:t>
      </w:r>
      <w:r>
        <w:t xml:space="preserve"> </w:t>
      </w:r>
      <w:r>
        <w:rPr>
          <w:rStyle w:val="VerbatimChar"/>
        </w:rPr>
        <w:t xml:space="preserve">reversals/</w:t>
      </w:r>
      <w:r>
        <w:t xml:space="preserve"> </w:t>
      </w:r>
      <w:r>
        <w:t xml:space="preserve">file lists the reversed receipt, and the verifier confirms the chain links.</w:t>
      </w:r>
    </w:p>
    <w:p>
      <w:pPr>
        <w:numPr>
          <w:ilvl w:val="0"/>
          <w:numId w:val="1545"/>
        </w:numPr>
        <w:pStyle w:val="Compact"/>
      </w:pPr>
      <w:r>
        <w:t xml:space="preserve">A download link used twice or after 7 days returns</w:t>
      </w:r>
      <w:r>
        <w:t xml:space="preserve"> </w:t>
      </w:r>
      <w:r>
        <w:rPr>
          <w:rStyle w:val="VerbatimChar"/>
        </w:rPr>
        <w:t xml:space="preserve">link_expired</w:t>
      </w:r>
      <w:r>
        <w:t xml:space="preserve">; each attempt is logged.</w:t>
      </w:r>
    </w:p>
    <w:p>
      <w:pPr>
        <w:numPr>
          <w:ilvl w:val="0"/>
          <w:numId w:val="1545"/>
        </w:numPr>
        <w:pStyle w:val="Compact"/>
      </w:pPr>
      <w:r>
        <w:rPr>
          <w:rStyle w:val="VerbatimChar"/>
        </w:rPr>
        <w:t xml:space="preserve">ExportRequested</w:t>
      </w:r>
      <w:r>
        <w:t xml:space="preserve"> </w:t>
      </w:r>
      <w:r>
        <w:t xml:space="preserve">and</w:t>
      </w:r>
      <w:r>
        <w:t xml:space="preserve"> </w:t>
      </w:r>
      <w:r>
        <w:rPr>
          <w:rStyle w:val="VerbatimChar"/>
        </w:rPr>
        <w:t xml:space="preserve">ExportCompleted</w:t>
      </w:r>
      <w:r>
        <w:t xml:space="preserve"> </w:t>
      </w:r>
      <w:r>
        <w:t xml:space="preserve">payloads contain no customer data (schema test).</w:t>
      </w:r>
    </w:p>
    <w:p>
      <w:pPr>
        <w:numPr>
          <w:ilvl w:val="0"/>
          <w:numId w:val="1545"/>
        </w:numPr>
        <w:pStyle w:val="Compact"/>
      </w:pPr>
      <w:r>
        <w:t xml:space="preserve">A worker crash during RENDER resumes from the last completed part on retry and the final control totals still equal the snapshot; three failures on one part end in</w:t>
      </w:r>
      <w:r>
        <w:t xml:space="preserve"> </w:t>
      </w:r>
      <w:r>
        <w:rPr>
          <w:rStyle w:val="VerbatimChar"/>
        </w:rPr>
        <w:t xml:space="preserve">FAILED</w:t>
      </w:r>
      <w:r>
        <w:t xml:space="preserve"> </w:t>
      </w:r>
      <w:r>
        <w:t xml:space="preserve">with no signed archive.</w:t>
      </w:r>
    </w:p>
    <w:p>
      <w:pPr>
        <w:numPr>
          <w:ilvl w:val="0"/>
          <w:numId w:val="1545"/>
        </w:numPr>
        <w:pStyle w:val="Compact"/>
      </w:pPr>
      <w:r>
        <w:t xml:space="preserve">The wizard greys out a Google Drive target when any regulated class is selected and states why.</w:t>
      </w:r>
    </w:p>
    <w:p>
      <w:r>
        <w:pict>
          <v:rect style="width:0;height:1.5pt" o:hralign="center" o:hrstd="t" o:hr="t"/>
        </w:pict>
      </w:r>
    </w:p>
    <w:bookmarkEnd w:id="672"/>
    <w:bookmarkEnd w:id="673"/>
    <w:bookmarkStart w:id="678" w:name="X26725106a4ddb8fc6ec9b7e5b56ece35182a0d3"/>
    <w:p>
      <w:pPr>
        <w:pStyle w:val="Heading2"/>
      </w:pPr>
      <w:r>
        <w:t xml:space="preserve">DP3. Customer-controlled storage connectors</w:t>
      </w:r>
    </w:p>
    <w:bookmarkStart w:id="674" w:name="dp3.1-storage-modes-and-responsibilities"/>
    <w:p>
      <w:pPr>
        <w:pStyle w:val="Heading3"/>
      </w:pPr>
      <w:r>
        <w:t xml:space="preserve">DP3.1 Storage modes and responsibilities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45"/>
        <w:gridCol w:w="3059"/>
        <w:gridCol w:w="2185"/>
        <w:gridCol w:w="2849"/>
      </w:tblGrid>
      <w:tr>
        <w:trPr>
          <w:tblHeader w:val="true"/>
          <w:tblHeader w:val="true"/>
        </w:trPr>
        <w:tc>
          <w:tcPr>
            <w:tcW w:w="1545" w:type="dxa"/>
            <w:shd w:val="clear" w:color="auto" w:fill="1F3A5F"/>
          </w:tcPr>
          <w:p>
            <w:pPr>
              <w:pStyle w:val="Compact"/>
              <w:spacing w:after="40"/>
              <w:jc w:val="left"/>
            </w:pPr>
            <w:r>
              <w:rPr>
                <w:b/>
                <w:color w:val="FFFFFF"/>
                <w:sz w:val="18"/>
              </w:rPr>
              <w:t xml:space="preserve">Mode</w:t>
            </w:r>
          </w:p>
        </w:tc>
        <w:tc>
          <w:tcPr>
            <w:tcW w:w="3059" w:type="dxa"/>
            <w:shd w:val="clear" w:color="auto" w:fill="1F3A5F"/>
          </w:tcPr>
          <w:p>
            <w:pPr>
              <w:pStyle w:val="Compact"/>
              <w:spacing w:after="40"/>
              <w:jc w:val="left"/>
            </w:pPr>
            <w:r>
              <w:rPr>
                <w:b/>
                <w:color w:val="FFFFFF"/>
                <w:sz w:val="18"/>
              </w:rPr>
              <w:t xml:space="preserve">Finbyx role</w:t>
            </w:r>
          </w:p>
        </w:tc>
        <w:tc>
          <w:tcPr>
            <w:tcW w:w="2185" w:type="dxa"/>
            <w:shd w:val="clear" w:color="auto" w:fill="1F3A5F"/>
          </w:tcPr>
          <w:p>
            <w:pPr>
              <w:pStyle w:val="Compact"/>
              <w:spacing w:after="40"/>
              <w:jc w:val="left"/>
            </w:pPr>
            <w:r>
              <w:rPr>
                <w:b/>
                <w:color w:val="FFFFFF"/>
                <w:sz w:val="18"/>
              </w:rPr>
              <w:t xml:space="preserve">Tenant role</w:t>
            </w:r>
          </w:p>
        </w:tc>
        <w:tc>
          <w:tcPr>
            <w:tcW w:w="2849" w:type="dxa"/>
            <w:shd w:val="clear" w:color="auto" w:fill="1F3A5F"/>
          </w:tcPr>
          <w:p>
            <w:pPr>
              <w:pStyle w:val="Compact"/>
              <w:spacing w:after="40"/>
              <w:jc w:val="left"/>
            </w:pPr>
            <w:r>
              <w:rPr>
                <w:b/>
                <w:color w:val="FFFFFF"/>
                <w:sz w:val="18"/>
              </w:rPr>
              <w:t xml:space="preserve">Notes</w:t>
            </w:r>
          </w:p>
        </w:tc>
      </w:tr>
      <w:tr>
        <w:tc>
          <w:tcPr>
            <w:tcW w:w="1545" w:type="dxa"/>
          </w:tcPr>
          <w:p>
            <w:pPr>
              <w:pStyle w:val="Compact"/>
              <w:spacing w:after="40"/>
              <w:jc w:val="left"/>
            </w:pPr>
            <w:r>
              <w:rPr>
                <w:sz w:val="18"/>
              </w:rPr>
              <w:t xml:space="preserve">1. SaaS default</w:t>
            </w:r>
          </w:p>
        </w:tc>
        <w:tc>
          <w:tcPr>
            <w:tcW w:w="3059" w:type="dxa"/>
          </w:tcPr>
          <w:p>
            <w:pPr>
              <w:pStyle w:val="Compact"/>
              <w:spacing w:after="40"/>
              <w:jc w:val="left"/>
            </w:pPr>
            <w:r>
              <w:rPr>
                <w:sz w:val="18"/>
              </w:rPr>
              <w:t xml:space="preserve">Primary store in AWS ap-south-1, DR ap-south-2 (Part 10.1); platform backups (EO3)</w:t>
            </w:r>
          </w:p>
        </w:tc>
        <w:tc>
          <w:tcPr>
            <w:tcW w:w="2185" w:type="dxa"/>
          </w:tcPr>
          <w:p>
            <w:pPr>
              <w:pStyle w:val="Compact"/>
              <w:spacing w:after="40"/>
              <w:jc w:val="left"/>
            </w:pPr>
            <w:r>
              <w:rPr>
                <w:sz w:val="18"/>
              </w:rPr>
              <w:t xml:space="preserve">Exports on demand</w:t>
            </w:r>
          </w:p>
        </w:tc>
        <w:tc>
          <w:tcPr>
            <w:tcW w:w="2849" w:type="dxa"/>
          </w:tcPr>
          <w:p>
            <w:pPr>
              <w:pStyle w:val="Compact"/>
              <w:spacing w:after="40"/>
              <w:jc w:val="left"/>
            </w:pPr>
            <w:r>
              <w:rPr>
                <w:sz w:val="18"/>
              </w:rPr>
              <w:t xml:space="preserve">Default for all tenants</w:t>
            </w:r>
          </w:p>
        </w:tc>
      </w:tr>
      <w:tr>
        <w:tc>
          <w:tcPr>
            <w:tcW w:w="1545" w:type="dxa"/>
          </w:tcPr>
          <w:p>
            <w:pPr>
              <w:pStyle w:val="Compact"/>
              <w:spacing w:after="40"/>
              <w:jc w:val="left"/>
            </w:pPr>
            <w:r>
              <w:rPr>
                <w:sz w:val="18"/>
              </w:rPr>
              <w:t xml:space="preserve">2. Customer cloud bucket</w:t>
            </w:r>
          </w:p>
        </w:tc>
        <w:tc>
          <w:tcPr>
            <w:tcW w:w="3059" w:type="dxa"/>
          </w:tcPr>
          <w:p>
            <w:pPr>
              <w:pStyle w:val="Compact"/>
              <w:spacing w:after="40"/>
              <w:jc w:val="left"/>
            </w:pPr>
            <w:r>
              <w:rPr>
                <w:sz w:val="18"/>
              </w:rPr>
              <w:t xml:space="preserve">Writes exports and backups to the tenant’s bucket</w:t>
            </w:r>
          </w:p>
        </w:tc>
        <w:tc>
          <w:tcPr>
            <w:tcW w:w="2185" w:type="dxa"/>
          </w:tcPr>
          <w:p>
            <w:pPr>
              <w:pStyle w:val="Compact"/>
              <w:spacing w:after="40"/>
              <w:jc w:val="left"/>
            </w:pPr>
            <w:r>
              <w:rPr>
                <w:sz w:val="18"/>
              </w:rPr>
              <w:t xml:space="preserve">Owns bucket, region, retention, object lock, keys</w:t>
            </w:r>
          </w:p>
        </w:tc>
        <w:tc>
          <w:tcPr>
            <w:tcW w:w="2849" w:type="dxa"/>
          </w:tcPr>
          <w:p>
            <w:pPr>
              <w:pStyle w:val="Compact"/>
              <w:spacing w:after="40"/>
              <w:jc w:val="left"/>
            </w:pPr>
            <w:r>
              <w:rPr>
                <w:sz w:val="18"/>
              </w:rPr>
              <w:t xml:space="preserve">S3, Azure Blob, GCS</w:t>
            </w:r>
          </w:p>
        </w:tc>
      </w:tr>
      <w:tr>
        <w:tc>
          <w:tcPr>
            <w:tcW w:w="1545" w:type="dxa"/>
          </w:tcPr>
          <w:p>
            <w:pPr>
              <w:pStyle w:val="Compact"/>
              <w:spacing w:after="40"/>
              <w:jc w:val="left"/>
            </w:pPr>
            <w:r>
              <w:rPr>
                <w:sz w:val="18"/>
              </w:rPr>
              <w:t xml:space="preserve">3. SharePoint or OneDrive</w:t>
            </w:r>
          </w:p>
        </w:tc>
        <w:tc>
          <w:tcPr>
            <w:tcW w:w="3059" w:type="dxa"/>
          </w:tcPr>
          <w:p>
            <w:pPr>
              <w:pStyle w:val="Compact"/>
              <w:spacing w:after="40"/>
              <w:jc w:val="left"/>
            </w:pPr>
            <w:r>
              <w:rPr>
                <w:sz w:val="18"/>
              </w:rPr>
              <w:t xml:space="preserve">Writes to a granted site or library</w:t>
            </w:r>
          </w:p>
        </w:tc>
        <w:tc>
          <w:tcPr>
            <w:tcW w:w="2185" w:type="dxa"/>
          </w:tcPr>
          <w:p>
            <w:pPr>
              <w:pStyle w:val="Compact"/>
              <w:spacing w:after="40"/>
              <w:jc w:val="left"/>
            </w:pPr>
            <w:r>
              <w:rPr>
                <w:sz w:val="18"/>
              </w:rPr>
              <w:t xml:space="preserve">Owns the Microsoft 365 tenant and residency</w:t>
            </w:r>
          </w:p>
        </w:tc>
        <w:tc>
          <w:tcPr>
            <w:tcW w:w="2849" w:type="dxa"/>
          </w:tcPr>
          <w:p>
            <w:pPr>
              <w:pStyle w:val="Compact"/>
              <w:spacing w:after="40"/>
              <w:jc w:val="left"/>
            </w:pPr>
            <w:r>
              <w:rPr>
                <w:sz w:val="18"/>
              </w:rPr>
              <w:t xml:space="preserve">Via Graph</w:t>
            </w:r>
            <w:r>
              <w:rPr>
                <w:sz w:val="18"/>
              </w:rPr>
              <w:t xml:space="preserve"> </w:t>
            </w:r>
            <w:r>
              <w:rPr>
                <w:rStyle w:val="VerbatimChar"/>
                <w:sz w:val="18"/>
              </w:rPr>
              <w:t xml:space="preserve">Sites.Selected</w:t>
            </w:r>
            <w:r>
              <w:rPr>
                <w:sz w:val="18"/>
              </w:rPr>
              <w:t xml:space="preserve"> </w:t>
            </w:r>
            <w:r>
              <w:rPr>
                <w:sz w:val="18"/>
              </w:rPr>
              <w:t xml:space="preserve">(Part 7F GV7)</w:t>
            </w:r>
          </w:p>
        </w:tc>
      </w:tr>
      <w:tr>
        <w:tc>
          <w:tcPr>
            <w:tcW w:w="1545" w:type="dxa"/>
          </w:tcPr>
          <w:p>
            <w:pPr>
              <w:pStyle w:val="Compact"/>
              <w:spacing w:after="40"/>
              <w:jc w:val="left"/>
            </w:pPr>
            <w:r>
              <w:rPr>
                <w:sz w:val="18"/>
              </w:rPr>
              <w:t xml:space="preserve">4. Google Drive</w:t>
            </w:r>
          </w:p>
        </w:tc>
        <w:tc>
          <w:tcPr>
            <w:tcW w:w="3059" w:type="dxa"/>
          </w:tcPr>
          <w:p>
            <w:pPr>
              <w:pStyle w:val="Compact"/>
              <w:spacing w:after="40"/>
              <w:jc w:val="left"/>
            </w:pPr>
            <w:r>
              <w:rPr>
                <w:sz w:val="18"/>
              </w:rPr>
              <w:t xml:space="preserve">Writes non-regulated data only</w:t>
            </w:r>
          </w:p>
        </w:tc>
        <w:tc>
          <w:tcPr>
            <w:tcW w:w="2185" w:type="dxa"/>
          </w:tcPr>
          <w:p>
            <w:pPr>
              <w:pStyle w:val="Compact"/>
              <w:spacing w:after="40"/>
              <w:jc w:val="left"/>
            </w:pPr>
            <w:r>
              <w:rPr>
                <w:sz w:val="18"/>
              </w:rPr>
              <w:t xml:space="preserve">Owns the shared drive</w:t>
            </w:r>
          </w:p>
        </w:tc>
        <w:tc>
          <w:tcPr>
            <w:tcW w:w="2849" w:type="dxa"/>
          </w:tcPr>
          <w:p>
            <w:pPr>
              <w:pStyle w:val="Compact"/>
              <w:spacing w:after="40"/>
              <w:jc w:val="left"/>
            </w:pPr>
            <w:r>
              <w:rPr>
                <w:sz w:val="18"/>
              </w:rPr>
              <w:t xml:space="preserve">No India data region: never personal data, books of account, returns, loan or HR data</w:t>
            </w:r>
          </w:p>
        </w:tc>
      </w:tr>
      <w:tr>
        <w:tc>
          <w:tcPr>
            <w:tcW w:w="1545" w:type="dxa"/>
          </w:tcPr>
          <w:p>
            <w:pPr>
              <w:pStyle w:val="Compact"/>
              <w:spacing w:after="40"/>
              <w:jc w:val="left"/>
            </w:pPr>
            <w:r>
              <w:rPr>
                <w:sz w:val="18"/>
              </w:rPr>
              <w:t xml:space="preserve">5. On-premises</w:t>
            </w:r>
          </w:p>
        </w:tc>
        <w:tc>
          <w:tcPr>
            <w:tcW w:w="3059" w:type="dxa"/>
          </w:tcPr>
          <w:p>
            <w:pPr>
              <w:pStyle w:val="Compact"/>
              <w:spacing w:after="40"/>
              <w:jc w:val="left"/>
            </w:pPr>
            <w:r>
              <w:rPr>
                <w:sz w:val="18"/>
              </w:rPr>
              <w:t xml:space="preserve">Pushes to SFTP or is pulled by the outbound-only Finbyx Connector Agent (AC6.1, extended in GV7.5)</w:t>
            </w:r>
          </w:p>
        </w:tc>
        <w:tc>
          <w:tcPr>
            <w:tcW w:w="2185" w:type="dxa"/>
          </w:tcPr>
          <w:p>
            <w:pPr>
              <w:pStyle w:val="Compact"/>
              <w:spacing w:after="40"/>
              <w:jc w:val="left"/>
            </w:pPr>
            <w:r>
              <w:rPr>
                <w:sz w:val="18"/>
              </w:rPr>
              <w:t xml:space="preserve">Owns servers, disks, network and physical security</w:t>
            </w:r>
          </w:p>
        </w:tc>
        <w:tc>
          <w:tcPr>
            <w:tcW w:w="2849" w:type="dxa"/>
          </w:tcPr>
          <w:p>
            <w:pPr>
              <w:pStyle w:val="Compact"/>
              <w:spacing w:after="40"/>
              <w:jc w:val="left"/>
            </w:pPr>
            <w:r>
              <w:rPr>
                <w:sz w:val="18"/>
              </w:rPr>
              <w:t xml:space="preserve">No arbitrary disk attachment in Finbyx’s cloud</w:t>
            </w:r>
          </w:p>
        </w:tc>
      </w:tr>
    </w:tbl>
    <w:p>
      <w:pPr>
        <w:pStyle w:val="BodyText"/>
      </w:pPr>
      <w:r>
        <w:t xml:space="preserve">A RACI per mode (keys, backup, restore, retention, legal hold, deletion, incident response, RTO/RPO, residency evidence) is generated into the tenant’s contract annex and the evidence pack (OUT para 74; Part 10.6).</w:t>
      </w:r>
    </w:p>
    <w:bookmarkEnd w:id="674"/>
    <w:bookmarkStart w:id="675" w:name="dp3.2-connector-contract"/>
    <w:p>
      <w:pPr>
        <w:pStyle w:val="Heading3"/>
      </w:pPr>
      <w:r>
        <w:t xml:space="preserve">DP3.2 Connector contract</w:t>
      </w:r>
    </w:p>
    <w:p>
      <w:pPr>
        <w:pStyle w:val="FirstParagraph"/>
      </w:pPr>
      <w:r>
        <w:t xml:space="preserve">All storage connectors implement the Integration Spec connector SPI (Part 10.1) as</w:t>
      </w:r>
      <w:r>
        <w:t xml:space="preserve"> </w:t>
      </w:r>
      <w:r>
        <w:rPr>
          <w:rStyle w:val="VerbatimChar"/>
        </w:rPr>
        <w:t xml:space="preserve">StorageTarget</w:t>
      </w:r>
      <w:r>
        <w:t xml:space="preserve"> </w:t>
      </w:r>
      <w:r>
        <w:t xml:space="preserve">with:</w:t>
      </w:r>
      <w:r>
        <w:t xml:space="preserve"> </w:t>
      </w:r>
      <w:r>
        <w:rPr>
          <w:rStyle w:val="VerbatimChar"/>
        </w:rPr>
        <w:t xml:space="preserve">describe()</w:t>
      </w:r>
      <w:r>
        <w:t xml:space="preserve"> </w:t>
      </w:r>
      <w:r>
        <w:t xml:space="preserve">(provider, region, encryption, immutability),</w:t>
      </w:r>
      <w:r>
        <w:t xml:space="preserve"> </w:t>
      </w:r>
      <w:r>
        <w:rPr>
          <w:rStyle w:val="VerbatimChar"/>
        </w:rPr>
        <w:t xml:space="preserve">verifyResidency()</w:t>
      </w:r>
      <w:r>
        <w:t xml:space="preserve">,</w:t>
      </w:r>
      <w:r>
        <w:t xml:space="preserve"> </w:t>
      </w:r>
      <w:r>
        <w:rPr>
          <w:rStyle w:val="VerbatimChar"/>
        </w:rPr>
        <w:t xml:space="preserve">testWrite()</w:t>
      </w:r>
      <w:r>
        <w:t xml:space="preserve"> </w:t>
      </w:r>
      <w:r>
        <w:t xml:space="preserve">(write, read back, compare hash, delete the canary where permitted),</w:t>
      </w:r>
      <w:r>
        <w:t xml:space="preserve"> </w:t>
      </w:r>
      <w:r>
        <w:rPr>
          <w:rStyle w:val="VerbatimChar"/>
        </w:rPr>
        <w:t xml:space="preserve">put(stream, path, sha256)</w:t>
      </w:r>
      <w:r>
        <w:t xml:space="preserve"> </w:t>
      </w:r>
      <w:r>
        <w:t xml:space="preserve">with resumable upload,</w:t>
      </w:r>
      <w:r>
        <w:t xml:space="preserve"> </w:t>
      </w:r>
      <w:r>
        <w:rPr>
          <w:rStyle w:val="VerbatimChar"/>
        </w:rPr>
        <w:t xml:space="preserve">head(path)</w:t>
      </w:r>
      <w:r>
        <w:t xml:space="preserve"> </w:t>
      </w:r>
      <w:r>
        <w:t xml:space="preserve">(size and checksum),</w:t>
      </w:r>
      <w:r>
        <w:t xml:space="preserve"> </w:t>
      </w:r>
      <w:r>
        <w:rPr>
          <w:rStyle w:val="VerbatimChar"/>
        </w:rPr>
        <w:t xml:space="preserve">list(prefix)</w:t>
      </w:r>
      <w:r>
        <w:t xml:space="preserve">,</w:t>
      </w:r>
      <w:r>
        <w:t xml:space="preserve"> </w:t>
      </w:r>
      <w:r>
        <w:rPr>
          <w:rStyle w:val="VerbatimChar"/>
        </w:rPr>
        <w:t xml:space="preserve">retentionInfo()</w:t>
      </w:r>
      <w:r>
        <w:t xml:space="preserve">,</w:t>
      </w:r>
      <w:r>
        <w:t xml:space="preserve"> </w:t>
      </w:r>
      <w:r>
        <w:rPr>
          <w:rStyle w:val="VerbatimChar"/>
        </w:rPr>
        <w:t xml:space="preserve">healthCheck()</w:t>
      </w:r>
      <w:r>
        <w:t xml:space="preserve">. Certification (Integration Spec Part 14.3) is required before production use.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19"/>
        <w:gridCol w:w="2934"/>
        <w:gridCol w:w="2420"/>
        <w:gridCol w:w="2765"/>
      </w:tblGrid>
      <w:tr>
        <w:trPr>
          <w:tblHeader w:val="true"/>
          <w:tblHeader w:val="true"/>
        </w:trPr>
        <w:tc>
          <w:tcPr>
            <w:tcW w:w="1519" w:type="dxa"/>
            <w:shd w:val="clear" w:color="auto" w:fill="1F3A5F"/>
          </w:tcPr>
          <w:p>
            <w:pPr>
              <w:pStyle w:val="Compact"/>
              <w:spacing w:after="40"/>
              <w:jc w:val="left"/>
            </w:pPr>
            <w:r>
              <w:rPr>
                <w:b/>
                <w:color w:val="FFFFFF"/>
                <w:sz w:val="18"/>
              </w:rPr>
              <w:t xml:space="preserve">Provider</w:t>
            </w:r>
          </w:p>
        </w:tc>
        <w:tc>
          <w:tcPr>
            <w:tcW w:w="2934" w:type="dxa"/>
            <w:shd w:val="clear" w:color="auto" w:fill="1F3A5F"/>
          </w:tcPr>
          <w:p>
            <w:pPr>
              <w:pStyle w:val="Compact"/>
              <w:spacing w:after="40"/>
              <w:jc w:val="left"/>
            </w:pPr>
            <w:r>
              <w:rPr>
                <w:b/>
                <w:color w:val="FFFFFF"/>
                <w:sz w:val="18"/>
              </w:rPr>
              <w:t xml:space="preserve">Authentication (no long-lived secrets where federation exists)</w:t>
            </w:r>
          </w:p>
        </w:tc>
        <w:tc>
          <w:tcPr>
            <w:tcW w:w="2420" w:type="dxa"/>
            <w:shd w:val="clear" w:color="auto" w:fill="1F3A5F"/>
          </w:tcPr>
          <w:p>
            <w:pPr>
              <w:pStyle w:val="Compact"/>
              <w:spacing w:after="40"/>
              <w:jc w:val="left"/>
            </w:pPr>
            <w:r>
              <w:rPr>
                <w:b/>
                <w:color w:val="FFFFFF"/>
                <w:sz w:val="18"/>
              </w:rPr>
              <w:t xml:space="preserve">Residency check</w:t>
            </w:r>
          </w:p>
        </w:tc>
        <w:tc>
          <w:tcPr>
            <w:tcW w:w="2765" w:type="dxa"/>
            <w:shd w:val="clear" w:color="auto" w:fill="1F3A5F"/>
          </w:tcPr>
          <w:p>
            <w:pPr>
              <w:pStyle w:val="Compact"/>
              <w:spacing w:after="40"/>
              <w:jc w:val="left"/>
            </w:pPr>
            <w:r>
              <w:rPr>
                <w:b/>
                <w:color w:val="FFFFFF"/>
                <w:sz w:val="18"/>
              </w:rPr>
              <w:t xml:space="preserve">Notes</w:t>
            </w:r>
          </w:p>
        </w:tc>
      </w:tr>
      <w:tr>
        <w:tc>
          <w:tcPr>
            <w:tcW w:w="1519" w:type="dxa"/>
          </w:tcPr>
          <w:p>
            <w:pPr>
              <w:pStyle w:val="Compact"/>
              <w:spacing w:after="40"/>
              <w:jc w:val="left"/>
            </w:pPr>
            <w:r>
              <w:rPr>
                <w:sz w:val="18"/>
              </w:rPr>
              <w:t xml:space="preserve">Amazon S3</w:t>
            </w:r>
          </w:p>
        </w:tc>
        <w:tc>
          <w:tcPr>
            <w:tcW w:w="2934" w:type="dxa"/>
          </w:tcPr>
          <w:p>
            <w:pPr>
              <w:pStyle w:val="Compact"/>
              <w:spacing w:after="40"/>
              <w:jc w:val="left"/>
            </w:pPr>
            <w:r>
              <w:rPr>
                <w:sz w:val="18"/>
              </w:rPr>
              <w:t xml:space="preserve">Cross-account IAM role assumed with an</w:t>
            </w:r>
            <w:r>
              <w:rPr>
                <w:sz w:val="18"/>
              </w:rPr>
              <w:t xml:space="preserve"> </w:t>
            </w:r>
            <w:r>
              <w:rPr>
                <w:rStyle w:val="VerbatimChar"/>
                <w:sz w:val="18"/>
              </w:rPr>
              <w:t xml:space="preserve">ExternalId</w:t>
            </w:r>
            <w:r>
              <w:rPr>
                <w:sz w:val="18"/>
              </w:rPr>
              <w:t xml:space="preserve">; bucket policy limited to Finbyx’s role</w:t>
            </w:r>
          </w:p>
        </w:tc>
        <w:tc>
          <w:tcPr>
            <w:tcW w:w="2420" w:type="dxa"/>
          </w:tcPr>
          <w:p>
            <w:pPr>
              <w:pStyle w:val="Compact"/>
              <w:spacing w:after="40"/>
              <w:jc w:val="left"/>
            </w:pPr>
            <w:r>
              <w:rPr>
                <w:rStyle w:val="VerbatimChar"/>
                <w:sz w:val="18"/>
              </w:rPr>
              <w:t xml:space="preserve">GetBucketLocation</w:t>
            </w:r>
            <w:r>
              <w:rPr>
                <w:sz w:val="18"/>
              </w:rPr>
              <w:t xml:space="preserve"> </w:t>
            </w:r>
            <w:r>
              <w:rPr>
                <w:sz w:val="18"/>
              </w:rPr>
              <w:t xml:space="preserve">must return ap-south-1 or ap-south-2 for RE data</w:t>
            </w:r>
          </w:p>
        </w:tc>
        <w:tc>
          <w:tcPr>
            <w:tcW w:w="2765" w:type="dxa"/>
          </w:tcPr>
          <w:p>
            <w:pPr>
              <w:pStyle w:val="Compact"/>
              <w:spacing w:after="40"/>
              <w:jc w:val="left"/>
            </w:pPr>
            <w:r>
              <w:rPr>
                <w:sz w:val="18"/>
              </w:rPr>
              <w:t xml:space="preserve">SSE-KMS with the tenant’s key; S3 Object Lock recommended; checksum SHA-256 on upload</w:t>
            </w:r>
          </w:p>
        </w:tc>
      </w:tr>
      <w:tr>
        <w:tc>
          <w:tcPr>
            <w:tcW w:w="1519" w:type="dxa"/>
          </w:tcPr>
          <w:p>
            <w:pPr>
              <w:pStyle w:val="Compact"/>
              <w:spacing w:after="40"/>
              <w:jc w:val="left"/>
            </w:pPr>
            <w:r>
              <w:rPr>
                <w:sz w:val="18"/>
              </w:rPr>
              <w:t xml:space="preserve">Azure Blob</w:t>
            </w:r>
          </w:p>
        </w:tc>
        <w:tc>
          <w:tcPr>
            <w:tcW w:w="2934" w:type="dxa"/>
          </w:tcPr>
          <w:p>
            <w:pPr>
              <w:pStyle w:val="Compact"/>
              <w:spacing w:after="40"/>
              <w:jc w:val="left"/>
            </w:pPr>
            <w:r>
              <w:rPr>
                <w:sz w:val="18"/>
              </w:rPr>
              <w:t xml:space="preserve">Entra workload identity federation (federated credential) or a user-delegation SAS valid ≤ 7 days</w:t>
            </w:r>
          </w:p>
        </w:tc>
        <w:tc>
          <w:tcPr>
            <w:tcW w:w="2420" w:type="dxa"/>
          </w:tcPr>
          <w:p>
            <w:pPr>
              <w:pStyle w:val="Compact"/>
              <w:spacing w:after="40"/>
              <w:jc w:val="left"/>
            </w:pPr>
            <w:r>
              <w:rPr>
                <w:sz w:val="18"/>
              </w:rPr>
              <w:t xml:space="preserve">Storage account location Central India, South India or West India</w:t>
            </w:r>
          </w:p>
        </w:tc>
        <w:tc>
          <w:tcPr>
            <w:tcW w:w="2765" w:type="dxa"/>
          </w:tcPr>
          <w:p>
            <w:pPr>
              <w:pStyle w:val="Compact"/>
              <w:spacing w:after="40"/>
              <w:jc w:val="left"/>
            </w:pPr>
            <w:r>
              <w:rPr>
                <w:sz w:val="18"/>
              </w:rPr>
              <w:t xml:space="preserve">Immutability policies recommended</w:t>
            </w:r>
          </w:p>
        </w:tc>
      </w:tr>
      <w:tr>
        <w:tc>
          <w:tcPr>
            <w:tcW w:w="1519" w:type="dxa"/>
          </w:tcPr>
          <w:p>
            <w:pPr>
              <w:pStyle w:val="Compact"/>
              <w:spacing w:after="40"/>
              <w:jc w:val="left"/>
            </w:pPr>
            <w:r>
              <w:rPr>
                <w:sz w:val="18"/>
              </w:rPr>
              <w:t xml:space="preserve">Google Cloud Storage</w:t>
            </w:r>
          </w:p>
        </w:tc>
        <w:tc>
          <w:tcPr>
            <w:tcW w:w="2934" w:type="dxa"/>
          </w:tcPr>
          <w:p>
            <w:pPr>
              <w:pStyle w:val="Compact"/>
              <w:spacing w:after="40"/>
              <w:jc w:val="left"/>
            </w:pPr>
            <w:r>
              <w:rPr>
                <w:sz w:val="18"/>
              </w:rPr>
              <w:t xml:space="preserve">Workload identity federation</w:t>
            </w:r>
          </w:p>
        </w:tc>
        <w:tc>
          <w:tcPr>
            <w:tcW w:w="2420" w:type="dxa"/>
          </w:tcPr>
          <w:p>
            <w:pPr>
              <w:pStyle w:val="Compact"/>
              <w:spacing w:after="40"/>
              <w:jc w:val="left"/>
            </w:pPr>
            <w:r>
              <w:rPr>
                <w:sz w:val="18"/>
              </w:rPr>
              <w:t xml:space="preserve">Bucket location asia-south1 or asia-south2</w:t>
            </w:r>
          </w:p>
        </w:tc>
        <w:tc>
          <w:tcPr>
            <w:tcW w:w="2765" w:type="dxa"/>
          </w:tcPr>
          <w:p>
            <w:pPr>
              <w:pStyle w:val="Compact"/>
              <w:spacing w:after="40"/>
              <w:jc w:val="left"/>
            </w:pPr>
            <w:r>
              <w:rPr>
                <w:sz w:val="18"/>
              </w:rPr>
              <w:t xml:space="preserve">Retention policy and bucket lock recommended</w:t>
            </w:r>
          </w:p>
        </w:tc>
      </w:tr>
      <w:tr>
        <w:tc>
          <w:tcPr>
            <w:tcW w:w="1519" w:type="dxa"/>
          </w:tcPr>
          <w:p>
            <w:pPr>
              <w:pStyle w:val="Compact"/>
              <w:spacing w:after="40"/>
              <w:jc w:val="left"/>
            </w:pPr>
            <w:r>
              <w:rPr>
                <w:sz w:val="18"/>
              </w:rPr>
              <w:t xml:space="preserve">SharePoint, OneDrive</w:t>
            </w:r>
          </w:p>
        </w:tc>
        <w:tc>
          <w:tcPr>
            <w:tcW w:w="2934" w:type="dxa"/>
          </w:tcPr>
          <w:p>
            <w:pPr>
              <w:pStyle w:val="Compact"/>
              <w:spacing w:after="40"/>
              <w:jc w:val="left"/>
            </w:pPr>
            <w:r>
              <w:rPr>
                <w:sz w:val="18"/>
              </w:rPr>
              <w:t xml:space="preserve">Entra app with</w:t>
            </w:r>
            <w:r>
              <w:rPr>
                <w:sz w:val="18"/>
              </w:rPr>
              <w:t xml:space="preserve"> </w:t>
            </w:r>
            <w:r>
              <w:rPr>
                <w:rStyle w:val="VerbatimChar"/>
                <w:sz w:val="18"/>
              </w:rPr>
              <w:t xml:space="preserve">Sites.Selected</w:t>
            </w:r>
            <w:r>
              <w:rPr>
                <w:sz w:val="18"/>
              </w:rPr>
              <w:t xml:space="preserve"> </w:t>
            </w:r>
            <w:r>
              <w:rPr>
                <w:sz w:val="18"/>
              </w:rPr>
              <w:t xml:space="preserve">for the granted site</w:t>
            </w:r>
          </w:p>
        </w:tc>
        <w:tc>
          <w:tcPr>
            <w:tcW w:w="2420" w:type="dxa"/>
          </w:tcPr>
          <w:p>
            <w:pPr>
              <w:pStyle w:val="Compact"/>
              <w:spacing w:after="40"/>
              <w:jc w:val="left"/>
            </w:pPr>
            <w:r>
              <w:rPr>
                <w:sz w:val="18"/>
              </w:rPr>
              <w:t xml:space="preserve">Tenant Default Geography India attestation (GV7.1)</w:t>
            </w:r>
          </w:p>
        </w:tc>
        <w:tc>
          <w:tcPr>
            <w:tcW w:w="2765" w:type="dxa"/>
          </w:tcPr>
          <w:p>
            <w:pPr>
              <w:pStyle w:val="Compact"/>
              <w:spacing w:after="40"/>
              <w:jc w:val="left"/>
            </w:pPr>
            <w:r>
              <w:rPr>
                <w:sz w:val="18"/>
              </w:rPr>
              <w:t xml:space="preserve">Upload sessions for large files; library versioning on</w:t>
            </w:r>
          </w:p>
        </w:tc>
      </w:tr>
      <w:tr>
        <w:tc>
          <w:tcPr>
            <w:tcW w:w="1519" w:type="dxa"/>
          </w:tcPr>
          <w:p>
            <w:pPr>
              <w:pStyle w:val="Compact"/>
              <w:spacing w:after="40"/>
              <w:jc w:val="left"/>
            </w:pPr>
            <w:r>
              <w:rPr>
                <w:sz w:val="18"/>
              </w:rPr>
              <w:t xml:space="preserve">Google Drive</w:t>
            </w:r>
          </w:p>
        </w:tc>
        <w:tc>
          <w:tcPr>
            <w:tcW w:w="2934" w:type="dxa"/>
          </w:tcPr>
          <w:p>
            <w:pPr>
              <w:pStyle w:val="Compact"/>
              <w:spacing w:after="40"/>
              <w:jc w:val="left"/>
            </w:pPr>
            <w:r>
              <w:rPr>
                <w:sz w:val="18"/>
              </w:rPr>
              <w:t xml:space="preserve">Service account with minimal Drive scope on a shared drive</w:t>
            </w:r>
          </w:p>
        </w:tc>
        <w:tc>
          <w:tcPr>
            <w:tcW w:w="2420" w:type="dxa"/>
          </w:tcPr>
          <w:p>
            <w:pPr>
              <w:pStyle w:val="Compact"/>
              <w:spacing w:after="40"/>
              <w:jc w:val="left"/>
            </w:pPr>
            <w:r>
              <w:rPr>
                <w:sz w:val="18"/>
              </w:rPr>
              <w:t xml:space="preserve">No India region: non-regulated classes only (DP3.1)</w:t>
            </w:r>
          </w:p>
        </w:tc>
        <w:tc>
          <w:tcPr>
            <w:tcW w:w="2765" w:type="dxa"/>
          </w:tcPr>
          <w:p>
            <w:pPr>
              <w:pStyle w:val="Compact"/>
              <w:spacing w:after="40"/>
              <w:jc w:val="left"/>
            </w:pPr>
            <w:r>
              <w:rPr>
                <w:sz w:val="18"/>
              </w:rPr>
              <w:t xml:space="preserve">Shared drive only, never a personal</w:t>
            </w:r>
            <w:r>
              <w:rPr>
                <w:sz w:val="18"/>
              </w:rPr>
              <w:t xml:space="preserve"> </w:t>
            </w:r>
            <w:r>
              <w:rPr>
                <w:sz w:val="18"/>
              </w:rPr>
              <w:t xml:space="preserve">“</w:t>
            </w:r>
            <w:r>
              <w:rPr>
                <w:sz w:val="18"/>
              </w:rPr>
              <w:t xml:space="preserve">My Drive</w:t>
            </w:r>
            <w:r>
              <w:rPr>
                <w:sz w:val="18"/>
              </w:rPr>
              <w:t xml:space="preserve">”</w:t>
            </w:r>
            <w:r>
              <w:rPr>
                <w:sz w:val="18"/>
              </w:rPr>
              <w:t xml:space="preserve">; write-once not offered</w:t>
            </w:r>
          </w:p>
        </w:tc>
      </w:tr>
      <w:tr>
        <w:tc>
          <w:tcPr>
            <w:tcW w:w="1519" w:type="dxa"/>
          </w:tcPr>
          <w:p>
            <w:pPr>
              <w:pStyle w:val="Compact"/>
              <w:spacing w:after="40"/>
              <w:jc w:val="left"/>
            </w:pPr>
            <w:r>
              <w:rPr>
                <w:sz w:val="18"/>
              </w:rPr>
              <w:t xml:space="preserve">Other S3-compatible stores</w:t>
            </w:r>
          </w:p>
        </w:tc>
        <w:tc>
          <w:tcPr>
            <w:tcW w:w="2934" w:type="dxa"/>
          </w:tcPr>
          <w:p>
            <w:pPr>
              <w:pStyle w:val="Compact"/>
              <w:spacing w:after="40"/>
              <w:jc w:val="left"/>
            </w:pPr>
            <w:r>
              <w:rPr>
                <w:sz w:val="18"/>
              </w:rPr>
              <w:t xml:space="preserve">Access key in the tenant vault rotated at least every 90 days, or the on-premises agent</w:t>
            </w:r>
          </w:p>
        </w:tc>
        <w:tc>
          <w:tcPr>
            <w:tcW w:w="2420" w:type="dxa"/>
          </w:tcPr>
          <w:p>
            <w:pPr>
              <w:pStyle w:val="Compact"/>
              <w:spacing w:after="40"/>
              <w:jc w:val="left"/>
            </w:pPr>
            <w:r>
              <w:rPr>
                <w:sz w:val="18"/>
              </w:rPr>
              <w:t xml:space="preserve">Signed tenant attestation of site in India</w:t>
            </w:r>
          </w:p>
        </w:tc>
        <w:tc>
          <w:tcPr>
            <w:tcW w:w="2765" w:type="dxa"/>
          </w:tcPr>
          <w:p>
            <w:pPr>
              <w:pStyle w:val="Compact"/>
              <w:spacing w:after="40"/>
              <w:jc w:val="left"/>
            </w:pPr>
            <w:r>
              <w:rPr>
                <w:sz w:val="18"/>
              </w:rPr>
              <w:t xml:space="preserve">Object lock where the store supports it</w:t>
            </w:r>
          </w:p>
        </w:tc>
      </w:tr>
      <w:tr>
        <w:tc>
          <w:tcPr>
            <w:tcW w:w="1519" w:type="dxa"/>
          </w:tcPr>
          <w:p>
            <w:pPr>
              <w:pStyle w:val="Compact"/>
              <w:spacing w:after="40"/>
              <w:jc w:val="left"/>
            </w:pPr>
            <w:r>
              <w:rPr>
                <w:sz w:val="18"/>
              </w:rPr>
              <w:t xml:space="preserve">SFTP</w:t>
            </w:r>
          </w:p>
        </w:tc>
        <w:tc>
          <w:tcPr>
            <w:tcW w:w="2934" w:type="dxa"/>
          </w:tcPr>
          <w:p>
            <w:pPr>
              <w:pStyle w:val="Compact"/>
              <w:spacing w:after="40"/>
              <w:jc w:val="left"/>
            </w:pPr>
            <w:r>
              <w:rPr>
                <w:sz w:val="18"/>
              </w:rPr>
              <w:t xml:space="preserve">Key-based, host-key pinned, ed25519 keys rotated yearly</w:t>
            </w:r>
          </w:p>
        </w:tc>
        <w:tc>
          <w:tcPr>
            <w:tcW w:w="2420" w:type="dxa"/>
          </w:tcPr>
          <w:p>
            <w:pPr>
              <w:pStyle w:val="Compact"/>
              <w:spacing w:after="40"/>
              <w:jc w:val="left"/>
            </w:pPr>
            <w:r>
              <w:rPr>
                <w:sz w:val="18"/>
              </w:rPr>
              <w:t xml:space="preserve">Tenant attests server location</w:t>
            </w:r>
          </w:p>
        </w:tc>
        <w:tc>
          <w:tcPr>
            <w:tcW w:w="2765" w:type="dxa"/>
          </w:tcPr>
          <w:p>
            <w:pPr>
              <w:pStyle w:val="Compact"/>
              <w:spacing w:after="40"/>
              <w:jc w:val="left"/>
            </w:pPr>
            <w:r>
              <w:rPr>
                <w:sz w:val="18"/>
              </w:rPr>
              <w:t xml:space="preserve">Server-side checksum command used where available; write-once only if WORM is attested</w:t>
            </w:r>
          </w:p>
        </w:tc>
      </w:tr>
      <w:tr>
        <w:tc>
          <w:tcPr>
            <w:tcW w:w="1519" w:type="dxa"/>
          </w:tcPr>
          <w:p>
            <w:pPr>
              <w:pStyle w:val="Compact"/>
              <w:spacing w:after="40"/>
              <w:jc w:val="left"/>
            </w:pPr>
            <w:r>
              <w:rPr>
                <w:sz w:val="18"/>
              </w:rPr>
              <w:t xml:space="preserve">On-premises agent</w:t>
            </w:r>
          </w:p>
        </w:tc>
        <w:tc>
          <w:tcPr>
            <w:tcW w:w="2934" w:type="dxa"/>
          </w:tcPr>
          <w:p>
            <w:pPr>
              <w:pStyle w:val="Compact"/>
              <w:spacing w:after="40"/>
              <w:jc w:val="left"/>
            </w:pPr>
            <w:r>
              <w:rPr>
                <w:sz w:val="18"/>
              </w:rPr>
              <w:t xml:space="preserve">mTLS device certificate (AC6.1; GV7.5)</w:t>
            </w:r>
          </w:p>
        </w:tc>
        <w:tc>
          <w:tcPr>
            <w:tcW w:w="2420" w:type="dxa"/>
          </w:tcPr>
          <w:p>
            <w:pPr>
              <w:pStyle w:val="Compact"/>
              <w:spacing w:after="40"/>
              <w:jc w:val="left"/>
            </w:pPr>
            <w:r>
              <w:rPr>
                <w:sz w:val="18"/>
              </w:rPr>
              <w:t xml:space="preserve">Tenant attests site in India</w:t>
            </w:r>
          </w:p>
        </w:tc>
        <w:tc>
          <w:tcPr>
            <w:tcW w:w="2765" w:type="dxa"/>
          </w:tcPr>
          <w:p>
            <w:pPr>
              <w:pStyle w:val="Compact"/>
              <w:spacing w:after="40"/>
              <w:jc w:val="left"/>
            </w:pPr>
            <w:r>
              <w:rPr>
                <w:sz w:val="18"/>
              </w:rPr>
              <w:t xml:space="preserve">Agent writes to NAS, file share or S3-compatible store (for example MinIO)</w:t>
            </w:r>
          </w:p>
        </w:tc>
      </w:tr>
    </w:tbl>
    <w:p>
      <w:pPr>
        <w:numPr>
          <w:ilvl w:val="0"/>
          <w:numId w:val="1546"/>
        </w:numPr>
        <w:pStyle w:val="Compact"/>
      </w:pPr>
      <w:r>
        <w:rPr>
          <w:rStyle w:val="VerbatimChar"/>
          <w:bCs/>
          <w:b/>
        </w:rPr>
        <w:t xml:space="preserve">StorageTargetConnected</w:t>
      </w:r>
      <w:r>
        <w:t xml:space="preserve"> </w:t>
      </w:r>
      <w:r>
        <w:t xml:space="preserve">is emitted after</w:t>
      </w:r>
      <w:r>
        <w:t xml:space="preserve"> </w:t>
      </w:r>
      <w:r>
        <w:rPr>
          <w:rStyle w:val="VerbatimChar"/>
        </w:rPr>
        <w:t xml:space="preserve">verifyResidency()</w:t>
      </w:r>
      <w:r>
        <w:t xml:space="preserve"> </w:t>
      </w:r>
      <w:r>
        <w:t xml:space="preserve">and</w:t>
      </w:r>
      <w:r>
        <w:t xml:space="preserve"> </w:t>
      </w:r>
      <w:r>
        <w:rPr>
          <w:rStyle w:val="VerbatimChar"/>
        </w:rPr>
        <w:t xml:space="preserve">testWrite()</w:t>
      </w:r>
      <w:r>
        <w:t xml:space="preserve"> </w:t>
      </w:r>
      <w:r>
        <w:t xml:space="preserve">pass, with provider, region, data classes allowed, key mode, write-once flag and certification version.</w:t>
      </w:r>
    </w:p>
    <w:p>
      <w:pPr>
        <w:numPr>
          <w:ilvl w:val="0"/>
          <w:numId w:val="1546"/>
        </w:numPr>
        <w:pStyle w:val="Compact"/>
      </w:pPr>
      <w:r>
        <w:rPr>
          <w:bCs/>
          <w:b/>
        </w:rPr>
        <w:t xml:space="preserve">Data-class policy</w:t>
      </w:r>
      <w:r>
        <w:t xml:space="preserve"> </w:t>
      </w:r>
      <w:r>
        <w:t xml:space="preserve">per target (Integration Spec Parts 12.2, 13.2): a write of a class the target does not allow is refused before upload. Borrower, applicant, loan, KYC, bureau, grievance, recovery and HR data, books of account and regulatory returns require an India-resident target (CF para 14(4); OUT para 74(vi); Accounts Rules r.3(5)); books of account additionally require a daily India copy (AC7).</w:t>
      </w:r>
    </w:p>
    <w:p>
      <w:pPr>
        <w:numPr>
          <w:ilvl w:val="0"/>
          <w:numId w:val="1546"/>
        </w:numPr>
        <w:pStyle w:val="Compact"/>
      </w:pPr>
      <w:r>
        <w:rPr>
          <w:bCs/>
          <w:b/>
        </w:rPr>
        <w:t xml:space="preserve">Residency and health:</w:t>
      </w:r>
      <w:r>
        <w:t xml:space="preserve"> </w:t>
      </w:r>
      <w:r>
        <w:t xml:space="preserve">residency is verified at connection, re-verified weekly and before every full or exit export;</w:t>
      </w:r>
      <w:r>
        <w:t xml:space="preserve"> </w:t>
      </w:r>
      <w:r>
        <w:rPr>
          <w:rStyle w:val="VerbatimChar"/>
        </w:rPr>
        <w:t xml:space="preserve">healthCheck()</w:t>
      </w:r>
      <w:r>
        <w:t xml:space="preserve"> </w:t>
      </w:r>
      <w:r>
        <w:t xml:space="preserve">and a canary write run daily; credential expiry is warned 30 days ahead. A failure (credential revoked, residency unverifiable, canary mismatch) pauses the target’s jobs, alerts the tenant admin and publishes</w:t>
      </w:r>
      <w:r>
        <w:t xml:space="preserve"> </w:t>
      </w:r>
      <w:r>
        <w:rPr>
          <w:rStyle w:val="VerbatimChar"/>
        </w:rPr>
        <w:t xml:space="preserve">ControlTestResultPublished</w:t>
      </w:r>
      <w:r>
        <w:t xml:space="preserve">; nothing is silently retried with a different target.</w:t>
      </w:r>
    </w:p>
    <w:p>
      <w:pPr>
        <w:numPr>
          <w:ilvl w:val="0"/>
          <w:numId w:val="1546"/>
        </w:numPr>
        <w:pStyle w:val="Compact"/>
      </w:pPr>
      <w:r>
        <w:rPr>
          <w:bCs/>
          <w:b/>
        </w:rPr>
        <w:t xml:space="preserve">Write-once:</w:t>
      </w:r>
      <w:r>
        <w:t xml:space="preserve"> </w:t>
      </w:r>
      <w:r>
        <w:t xml:space="preserve">when the tenant selects it, every</w:t>
      </w:r>
      <w:r>
        <w:t xml:space="preserve"> </w:t>
      </w:r>
      <w:r>
        <w:rPr>
          <w:rStyle w:val="VerbatimChar"/>
        </w:rPr>
        <w:t xml:space="preserve">put</w:t>
      </w:r>
      <w:r>
        <w:t xml:space="preserve"> </w:t>
      </w:r>
      <w:r>
        <w:t xml:space="preserve">sets the provider lock with</w:t>
      </w:r>
      <w:r>
        <w:t xml:space="preserve"> </w:t>
      </w:r>
      <w:r>
        <w:rPr>
          <w:rStyle w:val="VerbatimChar"/>
        </w:rPr>
        <w:t xml:space="preserve">retainUntil</w:t>
      </w:r>
      <w:r>
        <w:t xml:space="preserve"> </w:t>
      </w:r>
      <w:r>
        <w:t xml:space="preserve">equal to the archive’s longest retention class; a target that cannot honour the lock is not offered the option.</w:t>
      </w:r>
    </w:p>
    <w:p>
      <w:pPr>
        <w:numPr>
          <w:ilvl w:val="0"/>
          <w:numId w:val="1546"/>
        </w:numPr>
        <w:pStyle w:val="Compact"/>
      </w:pPr>
      <w:r>
        <w:rPr>
          <w:bCs/>
          <w:b/>
        </w:rPr>
        <w:t xml:space="preserve">Credentials</w:t>
      </w:r>
      <w:r>
        <w:t xml:space="preserve"> </w:t>
      </w:r>
      <w:r>
        <w:t xml:space="preserve">live in the per-tenant integration vault (M19) with rotation reminders.</w:t>
      </w:r>
    </w:p>
    <w:bookmarkEnd w:id="675"/>
    <w:bookmarkStart w:id="676" w:name="dp3.3-keys-byok-and-hyok"/>
    <w:p>
      <w:pPr>
        <w:pStyle w:val="Heading3"/>
      </w:pPr>
      <w:r>
        <w:t xml:space="preserve">DP3.3 Keys: BYOK and HYOK</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87"/>
        <w:gridCol w:w="3130"/>
        <w:gridCol w:w="4721"/>
      </w:tblGrid>
      <w:tr>
        <w:trPr>
          <w:tblHeader w:val="true"/>
          <w:tblHeader w:val="true"/>
        </w:trPr>
        <w:tc>
          <w:tcPr>
            <w:tcW w:w="1787" w:type="dxa"/>
            <w:shd w:val="clear" w:color="auto" w:fill="1F3A5F"/>
          </w:tcPr>
          <w:p>
            <w:pPr>
              <w:pStyle w:val="Compact"/>
              <w:spacing w:after="40"/>
              <w:jc w:val="left"/>
            </w:pPr>
            <w:r>
              <w:rPr>
                <w:b/>
                <w:color w:val="FFFFFF"/>
                <w:sz w:val="18"/>
              </w:rPr>
              <w:t xml:space="preserve">Option</w:t>
            </w:r>
          </w:p>
        </w:tc>
        <w:tc>
          <w:tcPr>
            <w:tcW w:w="3130" w:type="dxa"/>
            <w:shd w:val="clear" w:color="auto" w:fill="1F3A5F"/>
          </w:tcPr>
          <w:p>
            <w:pPr>
              <w:pStyle w:val="Compact"/>
              <w:spacing w:after="40"/>
              <w:jc w:val="left"/>
            </w:pPr>
            <w:r>
              <w:rPr>
                <w:b/>
                <w:color w:val="FFFFFF"/>
                <w:sz w:val="18"/>
              </w:rPr>
              <w:t xml:space="preserve">How</w:t>
            </w:r>
          </w:p>
        </w:tc>
        <w:tc>
          <w:tcPr>
            <w:tcW w:w="4721" w:type="dxa"/>
            <w:shd w:val="clear" w:color="auto" w:fill="1F3A5F"/>
          </w:tcPr>
          <w:p>
            <w:pPr>
              <w:pStyle w:val="Compact"/>
              <w:spacing w:after="40"/>
              <w:jc w:val="left"/>
            </w:pPr>
            <w:r>
              <w:rPr>
                <w:b/>
                <w:color w:val="FFFFFF"/>
                <w:sz w:val="18"/>
              </w:rPr>
              <w:t xml:space="preserve">Trade-off</w:t>
            </w:r>
          </w:p>
        </w:tc>
      </w:tr>
      <w:tr>
        <w:tc>
          <w:tcPr>
            <w:tcW w:w="1787" w:type="dxa"/>
          </w:tcPr>
          <w:p>
            <w:pPr>
              <w:pStyle w:val="Compact"/>
              <w:spacing w:after="40"/>
              <w:jc w:val="left"/>
            </w:pPr>
            <w:r>
              <w:rPr>
                <w:sz w:val="18"/>
              </w:rPr>
              <w:t xml:space="preserve">Platform-managed (default)</w:t>
            </w:r>
          </w:p>
        </w:tc>
        <w:tc>
          <w:tcPr>
            <w:tcW w:w="3130" w:type="dxa"/>
          </w:tcPr>
          <w:p>
            <w:pPr>
              <w:pStyle w:val="Compact"/>
              <w:spacing w:after="40"/>
              <w:jc w:val="left"/>
            </w:pPr>
            <w:r>
              <w:rPr>
                <w:sz w:val="18"/>
              </w:rPr>
              <w:t xml:space="preserve">Per-tenant AWS KMS key; envelope encryption</w:t>
            </w:r>
          </w:p>
        </w:tc>
        <w:tc>
          <w:tcPr>
            <w:tcW w:w="4721" w:type="dxa"/>
          </w:tcPr>
          <w:p>
            <w:pPr>
              <w:pStyle w:val="Compact"/>
              <w:spacing w:after="40"/>
              <w:jc w:val="left"/>
            </w:pPr>
            <w:r>
              <w:rPr>
                <w:sz w:val="18"/>
              </w:rPr>
              <w:t xml:space="preserve">Simplest; Infrabyx operates the key under tenant-scoped policy</w:t>
            </w:r>
          </w:p>
        </w:tc>
      </w:tr>
      <w:tr>
        <w:tc>
          <w:tcPr>
            <w:tcW w:w="1787" w:type="dxa"/>
          </w:tcPr>
          <w:p>
            <w:pPr>
              <w:pStyle w:val="Compact"/>
              <w:spacing w:after="40"/>
              <w:jc w:val="left"/>
            </w:pPr>
            <w:r>
              <w:rPr>
                <w:sz w:val="18"/>
              </w:rPr>
              <w:t xml:space="preserve">BYOK, cross-account</w:t>
            </w:r>
          </w:p>
        </w:tc>
        <w:tc>
          <w:tcPr>
            <w:tcW w:w="3130" w:type="dxa"/>
          </w:tcPr>
          <w:p>
            <w:pPr>
              <w:pStyle w:val="Compact"/>
              <w:spacing w:after="40"/>
              <w:jc w:val="left"/>
            </w:pPr>
            <w:r>
              <w:rPr>
                <w:sz w:val="18"/>
              </w:rPr>
              <w:t xml:space="preserve">Tenant-owned KMS key in the tenant’s AWS account; Finbyx uses it through a key grant</w:t>
            </w:r>
          </w:p>
        </w:tc>
        <w:tc>
          <w:tcPr>
            <w:tcW w:w="4721" w:type="dxa"/>
          </w:tcPr>
          <w:p>
            <w:pPr>
              <w:pStyle w:val="Compact"/>
              <w:spacing w:after="40"/>
              <w:jc w:val="left"/>
            </w:pPr>
            <w:r>
              <w:rPr>
                <w:sz w:val="18"/>
              </w:rPr>
              <w:t xml:space="preserve">Tenant can revoke; revocation stops Finbyx from decrypting new and existing data</w:t>
            </w:r>
          </w:p>
        </w:tc>
      </w:tr>
      <w:tr>
        <w:tc>
          <w:tcPr>
            <w:tcW w:w="1787" w:type="dxa"/>
          </w:tcPr>
          <w:p>
            <w:pPr>
              <w:pStyle w:val="Compact"/>
              <w:spacing w:after="40"/>
              <w:jc w:val="left"/>
            </w:pPr>
            <w:r>
              <w:rPr>
                <w:sz w:val="18"/>
              </w:rPr>
              <w:t xml:space="preserve">BYOK, imported material</w:t>
            </w:r>
          </w:p>
        </w:tc>
        <w:tc>
          <w:tcPr>
            <w:tcW w:w="3130" w:type="dxa"/>
          </w:tcPr>
          <w:p>
            <w:pPr>
              <w:pStyle w:val="Compact"/>
              <w:spacing w:after="40"/>
              <w:jc w:val="left"/>
            </w:pPr>
            <w:r>
              <w:rPr>
                <w:sz w:val="18"/>
              </w:rPr>
              <w:t xml:space="preserve">Tenant generates key material and imports it into a Finbyx-account KMS key (external origin)</w:t>
            </w:r>
          </w:p>
        </w:tc>
        <w:tc>
          <w:tcPr>
            <w:tcW w:w="4721" w:type="dxa"/>
          </w:tcPr>
          <w:p>
            <w:pPr>
              <w:pStyle w:val="Compact"/>
              <w:spacing w:after="40"/>
              <w:jc w:val="left"/>
            </w:pPr>
            <w:r>
              <w:rPr>
                <w:sz w:val="18"/>
              </w:rPr>
              <w:t xml:space="preserve">Tenant keeps escrow of the material; rotation is manual</w:t>
            </w:r>
          </w:p>
        </w:tc>
      </w:tr>
      <w:tr>
        <w:tc>
          <w:tcPr>
            <w:tcW w:w="1787" w:type="dxa"/>
          </w:tcPr>
          <w:p>
            <w:pPr>
              <w:pStyle w:val="Compact"/>
              <w:spacing w:after="40"/>
              <w:jc w:val="left"/>
            </w:pPr>
            <w:r>
              <w:rPr>
                <w:sz w:val="18"/>
              </w:rPr>
              <w:t xml:space="preserve">HYOK (external key store)</w:t>
            </w:r>
          </w:p>
        </w:tc>
        <w:tc>
          <w:tcPr>
            <w:tcW w:w="3130" w:type="dxa"/>
          </w:tcPr>
          <w:p>
            <w:pPr>
              <w:pStyle w:val="Compact"/>
              <w:spacing w:after="40"/>
              <w:jc w:val="left"/>
            </w:pPr>
            <w:r>
              <w:rPr>
                <w:sz w:val="18"/>
              </w:rPr>
              <w:t xml:space="preserve">AWS KMS External Key Store backed by the tenant’s HSM through an XKS proxy</w:t>
            </w:r>
          </w:p>
        </w:tc>
        <w:tc>
          <w:tcPr>
            <w:tcW w:w="4721" w:type="dxa"/>
          </w:tcPr>
          <w:p>
            <w:pPr>
              <w:pStyle w:val="Compact"/>
              <w:spacing w:after="40"/>
              <w:jc w:val="left"/>
            </w:pPr>
            <w:r>
              <w:rPr>
                <w:sz w:val="18"/>
              </w:rPr>
              <w:t xml:space="preserve">If the HSM or proxy is unavailable, Finbyx cannot decrypt; if keys are lost, data is lost; symmetric only; no automatic rotation; offered only with a written risk acceptance signed by the tenant’s CISO and CTO</w:t>
            </w:r>
          </w:p>
        </w:tc>
      </w:tr>
      <w:tr>
        <w:tc>
          <w:tcPr>
            <w:tcW w:w="1787" w:type="dxa"/>
          </w:tcPr>
          <w:p>
            <w:pPr>
              <w:pStyle w:val="Compact"/>
              <w:spacing w:after="40"/>
              <w:jc w:val="left"/>
            </w:pPr>
            <w:r>
              <w:rPr>
                <w:sz w:val="18"/>
              </w:rPr>
              <w:t xml:space="preserve">Client-side archive encryption</w:t>
            </w:r>
          </w:p>
        </w:tc>
        <w:tc>
          <w:tcPr>
            <w:tcW w:w="3130" w:type="dxa"/>
          </w:tcPr>
          <w:p>
            <w:pPr>
              <w:pStyle w:val="Compact"/>
              <w:spacing w:after="40"/>
              <w:jc w:val="left"/>
            </w:pPr>
            <w:r>
              <w:rPr>
                <w:sz w:val="18"/>
              </w:rPr>
              <w:t xml:space="preserve">Archives encrypted to the tenant’s public key (age X25519 or OpenPGP) before delivery</w:t>
            </w:r>
          </w:p>
        </w:tc>
        <w:tc>
          <w:tcPr>
            <w:tcW w:w="4721" w:type="dxa"/>
          </w:tcPr>
          <w:p>
            <w:pPr>
              <w:pStyle w:val="Compact"/>
              <w:spacing w:after="40"/>
              <w:jc w:val="left"/>
            </w:pPr>
            <w:r>
              <w:rPr>
                <w:sz w:val="18"/>
              </w:rPr>
              <w:t xml:space="preserve">Infrabyx cannot read delivered archives; tenant must protect its private key</w:t>
            </w:r>
          </w:p>
        </w:tc>
      </w:tr>
    </w:tbl>
    <w:p>
      <w:pPr>
        <w:pStyle w:val="BodyText"/>
      </w:pPr>
      <w:r>
        <w:t xml:space="preserve">ML and UL tenants must be offered tenant-controlled keys (OUT para 97(vii)(b); Part 10.4). Key events (create, grant, revoke, rotate) are logged and visible to the tenant.</w:t>
      </w:r>
    </w:p>
    <w:bookmarkEnd w:id="676"/>
    <w:bookmarkStart w:id="677" w:name="acceptance-tests-56"/>
    <w:p>
      <w:pPr>
        <w:pStyle w:val="Heading3"/>
      </w:pPr>
      <w:r>
        <w:t xml:space="preserve">Acceptance tests</w:t>
      </w:r>
    </w:p>
    <w:p>
      <w:pPr>
        <w:numPr>
          <w:ilvl w:val="0"/>
          <w:numId w:val="1547"/>
        </w:numPr>
        <w:pStyle w:val="Compact"/>
      </w:pPr>
      <w:r>
        <w:t xml:space="preserve">An S3 bucket in us-east-1 is refused for the</w:t>
      </w:r>
      <w:r>
        <w:t xml:space="preserve"> </w:t>
      </w:r>
      <w:r>
        <w:t xml:space="preserve">“</w:t>
      </w:r>
      <w:r>
        <w:t xml:space="preserve">Loans</w:t>
      </w:r>
      <w:r>
        <w:t xml:space="preserve">”</w:t>
      </w:r>
      <w:r>
        <w:t xml:space="preserve"> </w:t>
      </w:r>
      <w:r>
        <w:t xml:space="preserve">class with</w:t>
      </w:r>
      <w:r>
        <w:t xml:space="preserve"> </w:t>
      </w:r>
      <w:r>
        <w:rPr>
          <w:rStyle w:val="VerbatimChar"/>
        </w:rPr>
        <w:t xml:space="preserve">residency_not_india</w:t>
      </w:r>
      <w:r>
        <w:t xml:space="preserve">; the same bucket is accepted for</w:t>
      </w:r>
      <w:r>
        <w:t xml:space="preserve"> </w:t>
      </w:r>
      <w:r>
        <w:t xml:space="preserve">“</w:t>
      </w:r>
      <w:r>
        <w:t xml:space="preserve">Policies</w:t>
      </w:r>
      <w:r>
        <w:t xml:space="preserve">”</w:t>
      </w:r>
      <w:r>
        <w:t xml:space="preserve"> </w:t>
      </w:r>
      <w:r>
        <w:t xml:space="preserve">only if the tenant enabled that class for non-India targets.</w:t>
      </w:r>
    </w:p>
    <w:p>
      <w:pPr>
        <w:numPr>
          <w:ilvl w:val="0"/>
          <w:numId w:val="1547"/>
        </w:numPr>
        <w:pStyle w:val="Compact"/>
      </w:pPr>
      <w:r>
        <w:t xml:space="preserve">A Google Drive target can never be configured to accept personal data, books of account, returns, loan or HR classes (no UI path; the API returns</w:t>
      </w:r>
      <w:r>
        <w:t xml:space="preserve"> </w:t>
      </w:r>
      <w:r>
        <w:rPr>
          <w:rStyle w:val="VerbatimChar"/>
        </w:rPr>
        <w:t xml:space="preserve">residency_blocked_borrower_data</w:t>
      </w:r>
      <w:r>
        <w:t xml:space="preserve">, mapped to</w:t>
      </w:r>
      <w:r>
        <w:t xml:space="preserve"> </w:t>
      </w:r>
      <w:r>
        <w:rPr>
          <w:rStyle w:val="VerbatimChar"/>
        </w:rPr>
        <w:t xml:space="preserve">residency-blocked</w:t>
      </w:r>
      <w:r>
        <w:t xml:space="preserve"> </w:t>
      </w:r>
      <w:r>
        <w:t xml:space="preserve">on the ecosystem error model).</w:t>
      </w:r>
    </w:p>
    <w:p>
      <w:pPr>
        <w:numPr>
          <w:ilvl w:val="0"/>
          <w:numId w:val="1547"/>
        </w:numPr>
        <w:pStyle w:val="Compact"/>
      </w:pPr>
      <w:r>
        <w:t xml:space="preserve">A weekly residency re-check that cannot read the bucket region pauses the target and publishes</w:t>
      </w:r>
      <w:r>
        <w:t xml:space="preserve"> </w:t>
      </w:r>
      <w:r>
        <w:rPr>
          <w:rStyle w:val="VerbatimChar"/>
        </w:rPr>
        <w:t xml:space="preserve">ControlTestResultPublished</w:t>
      </w:r>
      <w:r>
        <w:t xml:space="preserve"> </w:t>
      </w:r>
      <w:r>
        <w:t xml:space="preserve">with result FAIL.</w:t>
      </w:r>
    </w:p>
    <w:p>
      <w:pPr>
        <w:numPr>
          <w:ilvl w:val="0"/>
          <w:numId w:val="1547"/>
        </w:numPr>
        <w:pStyle w:val="Compact"/>
      </w:pPr>
      <w:r>
        <w:rPr>
          <w:rStyle w:val="VerbatimChar"/>
        </w:rPr>
        <w:t xml:space="preserve">testWrite()</w:t>
      </w:r>
      <w:r>
        <w:t xml:space="preserve"> </w:t>
      </w:r>
      <w:r>
        <w:t xml:space="preserve">detects a checksum mismatch introduced by a faulty proxy and the target is not connected.</w:t>
      </w:r>
    </w:p>
    <w:p>
      <w:pPr>
        <w:numPr>
          <w:ilvl w:val="0"/>
          <w:numId w:val="1547"/>
        </w:numPr>
        <w:pStyle w:val="Compact"/>
      </w:pPr>
      <w:r>
        <w:t xml:space="preserve">Revoking the BYOK grant in the tenant account causes the next export and the next document read to fail closed with</w:t>
      </w:r>
      <w:r>
        <w:t xml:space="preserve"> </w:t>
      </w:r>
      <w:r>
        <w:rPr>
          <w:rStyle w:val="VerbatimChar"/>
        </w:rPr>
        <w:t xml:space="preserve">key_unavailable</w:t>
      </w:r>
      <w:r>
        <w:t xml:space="preserve">, with an alert to the tenant and to Infrabyx operations; restoring the grant resumes work without data loss.</w:t>
      </w:r>
    </w:p>
    <w:p>
      <w:pPr>
        <w:numPr>
          <w:ilvl w:val="0"/>
          <w:numId w:val="1547"/>
        </w:numPr>
        <w:pStyle w:val="Compact"/>
      </w:pPr>
      <w:r>
        <w:t xml:space="preserve">An HYOK configuration cannot be saved without an uploaded, signed risk acceptance.</w:t>
      </w:r>
    </w:p>
    <w:p>
      <w:pPr>
        <w:numPr>
          <w:ilvl w:val="0"/>
          <w:numId w:val="1547"/>
        </w:numPr>
        <w:pStyle w:val="Compact"/>
      </w:pPr>
      <w:r>
        <w:t xml:space="preserve">A connector that has not passed certification cannot be selected for a production tenant.</w:t>
      </w:r>
    </w:p>
    <w:p>
      <w:r>
        <w:pict>
          <v:rect style="width:0;height:1.5pt" o:hralign="center" o:hrstd="t" o:hr="t"/>
        </w:pict>
      </w:r>
    </w:p>
    <w:bookmarkEnd w:id="677"/>
    <w:bookmarkEnd w:id="678"/>
    <w:bookmarkStart w:id="683" w:name="Xa3e3fb4de1e1e65bce27785b3950526f95bbd65"/>
    <w:p>
      <w:pPr>
        <w:pStyle w:val="Heading2"/>
      </w:pPr>
      <w:r>
        <w:t xml:space="preserve">DP4. Backups to customer storage and restore testing</w:t>
      </w:r>
    </w:p>
    <w:bookmarkStart w:id="679" w:name="dp4.1-two-layers-of-backup"/>
    <w:p>
      <w:pPr>
        <w:pStyle w:val="Heading3"/>
      </w:pPr>
      <w:r>
        <w:t xml:space="preserve">DP4.1 Two layers of backup</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45"/>
        <w:gridCol w:w="3376"/>
        <w:gridCol w:w="1647"/>
        <w:gridCol w:w="3270"/>
      </w:tblGrid>
      <w:tr>
        <w:trPr>
          <w:tblHeader w:val="true"/>
          <w:tblHeader w:val="true"/>
        </w:trPr>
        <w:tc>
          <w:tcPr>
            <w:tcW w:w="1345" w:type="dxa"/>
            <w:shd w:val="clear" w:color="auto" w:fill="1F3A5F"/>
          </w:tcPr>
          <w:p>
            <w:pPr>
              <w:pStyle w:val="Compact"/>
              <w:spacing w:after="40"/>
              <w:jc w:val="left"/>
            </w:pPr>
            <w:r>
              <w:rPr>
                <w:b/>
                <w:color w:val="FFFFFF"/>
                <w:sz w:val="18"/>
              </w:rPr>
              <w:t xml:space="preserve">Layer</w:t>
            </w:r>
          </w:p>
        </w:tc>
        <w:tc>
          <w:tcPr>
            <w:tcW w:w="3376" w:type="dxa"/>
            <w:shd w:val="clear" w:color="auto" w:fill="1F3A5F"/>
          </w:tcPr>
          <w:p>
            <w:pPr>
              <w:pStyle w:val="Compact"/>
              <w:spacing w:after="40"/>
              <w:jc w:val="left"/>
            </w:pPr>
            <w:r>
              <w:rPr>
                <w:b/>
                <w:color w:val="FFFFFF"/>
                <w:sz w:val="18"/>
              </w:rPr>
              <w:t xml:space="preserve">What</w:t>
            </w:r>
          </w:p>
        </w:tc>
        <w:tc>
          <w:tcPr>
            <w:tcW w:w="1647" w:type="dxa"/>
            <w:shd w:val="clear" w:color="auto" w:fill="1F3A5F"/>
          </w:tcPr>
          <w:p>
            <w:pPr>
              <w:pStyle w:val="Compact"/>
              <w:spacing w:after="40"/>
              <w:jc w:val="left"/>
            </w:pPr>
            <w:r>
              <w:rPr>
                <w:b/>
                <w:color w:val="FFFFFF"/>
                <w:sz w:val="18"/>
              </w:rPr>
              <w:t xml:space="preserve">Owner</w:t>
            </w:r>
          </w:p>
        </w:tc>
        <w:tc>
          <w:tcPr>
            <w:tcW w:w="3270" w:type="dxa"/>
            <w:shd w:val="clear" w:color="auto" w:fill="1F3A5F"/>
          </w:tcPr>
          <w:p>
            <w:pPr>
              <w:pStyle w:val="Compact"/>
              <w:spacing w:after="40"/>
              <w:jc w:val="left"/>
            </w:pPr>
            <w:r>
              <w:rPr>
                <w:b/>
                <w:color w:val="FFFFFF"/>
                <w:sz w:val="18"/>
              </w:rPr>
              <w:t xml:space="preserve">Basis</w:t>
            </w:r>
          </w:p>
        </w:tc>
      </w:tr>
      <w:tr>
        <w:tc>
          <w:tcPr>
            <w:tcW w:w="1345" w:type="dxa"/>
          </w:tcPr>
          <w:p>
            <w:pPr>
              <w:pStyle w:val="Compact"/>
              <w:spacing w:after="40"/>
              <w:jc w:val="left"/>
            </w:pPr>
            <w:r>
              <w:rPr>
                <w:sz w:val="18"/>
              </w:rPr>
              <w:t xml:space="preserve">Platform backups</w:t>
            </w:r>
          </w:p>
        </w:tc>
        <w:tc>
          <w:tcPr>
            <w:tcW w:w="3376" w:type="dxa"/>
          </w:tcPr>
          <w:p>
            <w:pPr>
              <w:pStyle w:val="Compact"/>
              <w:spacing w:after="40"/>
              <w:jc w:val="left"/>
            </w:pPr>
            <w:r>
              <w:rPr>
                <w:sz w:val="18"/>
              </w:rPr>
              <w:t xml:space="preserve">Database PITR and snapshots, object-store versioning and cross-region replication, immutable vault, DR site</w:t>
            </w:r>
          </w:p>
        </w:tc>
        <w:tc>
          <w:tcPr>
            <w:tcW w:w="1647" w:type="dxa"/>
          </w:tcPr>
          <w:p>
            <w:pPr>
              <w:pStyle w:val="Compact"/>
              <w:spacing w:after="40"/>
              <w:jc w:val="left"/>
            </w:pPr>
            <w:r>
              <w:rPr>
                <w:sz w:val="18"/>
              </w:rPr>
              <w:t xml:space="preserve">Infrabyx (EO3)</w:t>
            </w:r>
          </w:p>
        </w:tc>
        <w:tc>
          <w:tcPr>
            <w:tcW w:w="3270" w:type="dxa"/>
          </w:tcPr>
          <w:p>
            <w:pPr>
              <w:pStyle w:val="Compact"/>
              <w:spacing w:after="40"/>
              <w:jc w:val="left"/>
            </w:pPr>
            <w:r>
              <w:rPr>
                <w:sz w:val="18"/>
              </w:rPr>
              <w:t xml:space="preserve">Part 10.3; CYB paras 102, 129–137</w:t>
            </w:r>
          </w:p>
        </w:tc>
      </w:tr>
      <w:tr>
        <w:tc>
          <w:tcPr>
            <w:tcW w:w="1345" w:type="dxa"/>
          </w:tcPr>
          <w:p>
            <w:pPr>
              <w:pStyle w:val="Compact"/>
              <w:spacing w:after="40"/>
              <w:jc w:val="left"/>
            </w:pPr>
            <w:r>
              <w:rPr>
                <w:sz w:val="18"/>
              </w:rPr>
              <w:t xml:space="preserve">Customer-held copies</w:t>
            </w:r>
          </w:p>
        </w:tc>
        <w:tc>
          <w:tcPr>
            <w:tcW w:w="3376" w:type="dxa"/>
          </w:tcPr>
          <w:p>
            <w:pPr>
              <w:pStyle w:val="Compact"/>
              <w:spacing w:after="40"/>
              <w:jc w:val="left"/>
            </w:pPr>
            <w:r>
              <w:rPr>
                <w:sz w:val="18"/>
              </w:rPr>
              <w:t xml:space="preserve">Daily encrypted incremental archive (DP2.3) and monthly full archive in the DP1 standard, delivered to the tenant’s DP3 target</w:t>
            </w:r>
          </w:p>
        </w:tc>
        <w:tc>
          <w:tcPr>
            <w:tcW w:w="1647" w:type="dxa"/>
          </w:tcPr>
          <w:p>
            <w:pPr>
              <w:pStyle w:val="Compact"/>
              <w:spacing w:after="40"/>
              <w:jc w:val="left"/>
            </w:pPr>
            <w:r>
              <w:rPr>
                <w:sz w:val="18"/>
              </w:rPr>
              <w:t xml:space="preserve">Tenant, with Finbyx delivering</w:t>
            </w:r>
          </w:p>
        </w:tc>
        <w:tc>
          <w:tcPr>
            <w:tcW w:w="3270" w:type="dxa"/>
          </w:tcPr>
          <w:p>
            <w:pPr>
              <w:pStyle w:val="Compact"/>
              <w:spacing w:after="40"/>
              <w:jc w:val="left"/>
            </w:pPr>
            <w:r>
              <w:rPr>
                <w:sz w:val="18"/>
              </w:rPr>
              <w:t xml:space="preserve">CYB para 8(9) (Ch III</w:t>
            </w:r>
            <w:r>
              <w:rPr>
                <w:sz w:val="18"/>
              </w:rPr>
              <w:t xml:space="preserve"> </w:t>
            </w:r>
            <w:r>
              <w:rPr>
                <w:sz w:val="18"/>
              </w:rPr>
              <w:t xml:space="preserve">“</w:t>
            </w:r>
            <w:r>
              <w:rPr>
                <w:sz w:val="18"/>
              </w:rPr>
              <w:t xml:space="preserve">backup of data with periodic testing</w:t>
            </w:r>
            <w:r>
              <w:rPr>
                <w:sz w:val="18"/>
              </w:rPr>
              <w:t xml:space="preserve">”</w:t>
            </w:r>
            <w:r>
              <w:rPr>
                <w:sz w:val="18"/>
              </w:rPr>
              <w:t xml:space="preserve">), para 133 (Ch V); OUT paras 34(xii), 97(xvi); tenant BCP</w:t>
            </w:r>
          </w:p>
        </w:tc>
      </w:tr>
    </w:tbl>
    <w:p>
      <w:pPr>
        <w:pStyle w:val="BodyText"/>
      </w:pPr>
      <w:r>
        <w:t xml:space="preserve">Books of account and their audit trail are backed up daily on servers in India by Finbyx regardless of customer copies (Companies (Accounts) Rules r.3(5); AC7); if the tenant has a DP3 India target, the AC7 daily books backup is also delivered there.</w:t>
      </w:r>
    </w:p>
    <w:bookmarkEnd w:id="679"/>
    <w:bookmarkStart w:id="680" w:name="dp4.2-customer-held-backup-policy"/>
    <w:p>
      <w:pPr>
        <w:pStyle w:val="Heading3"/>
      </w:pPr>
      <w:r>
        <w:t xml:space="preserve">DP4.2 Customer-held backup policy</w:t>
      </w:r>
    </w:p>
    <w:p>
      <w:pPr>
        <w:numPr>
          <w:ilvl w:val="0"/>
          <w:numId w:val="1548"/>
        </w:numPr>
        <w:pStyle w:val="Compact"/>
      </w:pPr>
      <w:r>
        <w:rPr>
          <w:bCs/>
          <w:b/>
        </w:rPr>
        <w:t xml:space="preserve">Default schedule [REC]:</w:t>
      </w:r>
      <w:r>
        <w:t xml:space="preserve"> </w:t>
      </w:r>
      <w:r>
        <w:t xml:space="preserve">daily incremental at 02:00 IST after COB, weekly incremental consolidation, monthly full on the 1st after month-end close, FY full after audit sign-off.</w:t>
      </w:r>
    </w:p>
    <w:p>
      <w:pPr>
        <w:numPr>
          <w:ilvl w:val="0"/>
          <w:numId w:val="1548"/>
        </w:numPr>
        <w:pStyle w:val="Compact"/>
      </w:pPr>
      <w:r>
        <w:rPr>
          <w:bCs/>
          <w:b/>
        </w:rPr>
        <w:t xml:space="preserve">Dedicated deployments</w:t>
      </w:r>
      <w:r>
        <w:t xml:space="preserve"> </w:t>
      </w:r>
      <w:r>
        <w:t xml:space="preserve">(Part 3.1 item 3) may also receive an encrypted logical database dump of the tenant’s schemas, with a restore script; multi-tenant deployments receive the archive standard only (a shared database cannot be dumped per tenant safely).</w:t>
      </w:r>
    </w:p>
    <w:p>
      <w:pPr>
        <w:numPr>
          <w:ilvl w:val="0"/>
          <w:numId w:val="1548"/>
        </w:numPr>
        <w:pStyle w:val="Compact"/>
      </w:pPr>
      <w:r>
        <w:rPr>
          <w:bCs/>
          <w:b/>
        </w:rPr>
        <w:t xml:space="preserve">Retention on the tenant side</w:t>
      </w:r>
      <w:r>
        <w:t xml:space="preserve"> </w:t>
      </w:r>
      <w:r>
        <w:t xml:space="preserve">is the tenant’s decision; Finbyx recommends object lock or WORM and a retention at least equal to the longest applicable class (books 8 FY, s.128(5); KYC 5 years after relationship end; litigation records per Part 7A.0.5) [REC].</w:t>
      </w:r>
    </w:p>
    <w:p>
      <w:pPr>
        <w:numPr>
          <w:ilvl w:val="0"/>
          <w:numId w:val="1548"/>
        </w:numPr>
        <w:pStyle w:val="Compact"/>
      </w:pPr>
      <w:r>
        <w:rPr>
          <w:rStyle w:val="VerbatimChar"/>
          <w:bCs/>
          <w:b/>
        </w:rPr>
        <w:t xml:space="preserve">BackupCompleted</w:t>
      </w:r>
      <w:r>
        <w:t xml:space="preserve"> </w:t>
      </w:r>
      <w:r>
        <w:t xml:space="preserve">per run, once delivered and verified, with archive id, type (DAILY_INCREMENTAL, WEEKLY, MONTHLY_FULL, FY_FULL; a dedicated deployment’s logical dump travels with the monthly full), bytes, manifest hash and target id; the daily run is due by 06:00 IST.</w:t>
      </w:r>
    </w:p>
    <w:p>
      <w:pPr>
        <w:numPr>
          <w:ilvl w:val="0"/>
          <w:numId w:val="1548"/>
        </w:numPr>
        <w:pStyle w:val="Compact"/>
      </w:pPr>
      <w:r>
        <w:rPr>
          <w:bCs/>
          <w:b/>
        </w:rPr>
        <w:t xml:space="preserve">Failures:</w:t>
      </w:r>
      <w:r>
        <w:t xml:space="preserve"> </w:t>
      </w:r>
      <w:r>
        <w:t xml:space="preserve">a run not verified by 06:00 IST counts as missed; one missed run raises a P2 alert to the tenant admin and Infrabyx support; two consecutive misses raise P1 and a tenant notice; repeated failure is reported in the tenant’s monthly service report (OUT para 74(v)).</w:t>
      </w:r>
    </w:p>
    <w:bookmarkEnd w:id="680"/>
    <w:bookmarkStart w:id="681" w:name="dp4.3-restore-testing"/>
    <w:p>
      <w:pPr>
        <w:pStyle w:val="Heading3"/>
      </w:pPr>
      <w:r>
        <w:t xml:space="preserve">DP4.3 Restore testing</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72"/>
        <w:gridCol w:w="2513"/>
        <w:gridCol w:w="2879"/>
        <w:gridCol w:w="3374"/>
      </w:tblGrid>
      <w:tr>
        <w:trPr>
          <w:tblHeader w:val="true"/>
          <w:tblHeader w:val="true"/>
        </w:trPr>
        <w:tc>
          <w:tcPr>
            <w:tcW w:w="872" w:type="dxa"/>
            <w:shd w:val="clear" w:color="auto" w:fill="1F3A5F"/>
          </w:tcPr>
          <w:p>
            <w:pPr>
              <w:pStyle w:val="Compact"/>
              <w:spacing w:after="40"/>
              <w:jc w:val="left"/>
            </w:pPr>
            <w:r>
              <w:rPr>
                <w:b/>
                <w:color w:val="FFFFFF"/>
                <w:sz w:val="18"/>
              </w:rPr>
              <w:t xml:space="preserve">Test</w:t>
            </w:r>
          </w:p>
        </w:tc>
        <w:tc>
          <w:tcPr>
            <w:tcW w:w="2513" w:type="dxa"/>
            <w:shd w:val="clear" w:color="auto" w:fill="1F3A5F"/>
          </w:tcPr>
          <w:p>
            <w:pPr>
              <w:pStyle w:val="Compact"/>
              <w:spacing w:after="40"/>
              <w:jc w:val="left"/>
            </w:pPr>
            <w:r>
              <w:rPr>
                <w:b/>
                <w:color w:val="FFFFFF"/>
                <w:sz w:val="18"/>
              </w:rPr>
              <w:t xml:space="preserve">Frequency</w:t>
            </w:r>
          </w:p>
        </w:tc>
        <w:tc>
          <w:tcPr>
            <w:tcW w:w="2879" w:type="dxa"/>
            <w:shd w:val="clear" w:color="auto" w:fill="1F3A5F"/>
          </w:tcPr>
          <w:p>
            <w:pPr>
              <w:pStyle w:val="Compact"/>
              <w:spacing w:after="40"/>
              <w:jc w:val="left"/>
            </w:pPr>
            <w:r>
              <w:rPr>
                <w:b/>
                <w:color w:val="FFFFFF"/>
                <w:sz w:val="18"/>
              </w:rPr>
              <w:t xml:space="preserve">Method</w:t>
            </w:r>
          </w:p>
        </w:tc>
        <w:tc>
          <w:tcPr>
            <w:tcW w:w="3374" w:type="dxa"/>
            <w:shd w:val="clear" w:color="auto" w:fill="1F3A5F"/>
          </w:tcPr>
          <w:p>
            <w:pPr>
              <w:pStyle w:val="Compact"/>
              <w:spacing w:after="40"/>
              <w:jc w:val="left"/>
            </w:pPr>
            <w:r>
              <w:rPr>
                <w:b/>
                <w:color w:val="FFFFFF"/>
                <w:sz w:val="18"/>
              </w:rPr>
              <w:t xml:space="preserve">Pass criteria</w:t>
            </w:r>
          </w:p>
        </w:tc>
      </w:tr>
      <w:tr>
        <w:tc>
          <w:tcPr>
            <w:tcW w:w="872" w:type="dxa"/>
          </w:tcPr>
          <w:p>
            <w:pPr>
              <w:pStyle w:val="Compact"/>
              <w:spacing w:after="40"/>
              <w:jc w:val="left"/>
            </w:pPr>
            <w:r>
              <w:rPr>
                <w:sz w:val="18"/>
              </w:rPr>
              <w:t xml:space="preserve">Integrity</w:t>
            </w:r>
          </w:p>
        </w:tc>
        <w:tc>
          <w:tcPr>
            <w:tcW w:w="2513" w:type="dxa"/>
          </w:tcPr>
          <w:p>
            <w:pPr>
              <w:pStyle w:val="Compact"/>
              <w:spacing w:after="40"/>
              <w:jc w:val="left"/>
            </w:pPr>
            <w:r>
              <w:rPr>
                <w:sz w:val="18"/>
              </w:rPr>
              <w:t xml:space="preserve">Every backup</w:t>
            </w:r>
          </w:p>
        </w:tc>
        <w:tc>
          <w:tcPr>
            <w:tcW w:w="2879" w:type="dxa"/>
          </w:tcPr>
          <w:p>
            <w:pPr>
              <w:pStyle w:val="Compact"/>
              <w:spacing w:after="40"/>
              <w:jc w:val="left"/>
            </w:pPr>
            <w:r>
              <w:rPr>
                <w:sz w:val="18"/>
              </w:rPr>
              <w:t xml:space="preserve">Verifier on the delivered archive (hash, signature, chain link)</w:t>
            </w:r>
          </w:p>
        </w:tc>
        <w:tc>
          <w:tcPr>
            <w:tcW w:w="3374" w:type="dxa"/>
          </w:tcPr>
          <w:p>
            <w:pPr>
              <w:pStyle w:val="Compact"/>
              <w:spacing w:after="40"/>
              <w:jc w:val="left"/>
            </w:pPr>
            <w:r>
              <w:rPr>
                <w:sz w:val="18"/>
              </w:rPr>
              <w:t xml:space="preserve">Zero errors</w:t>
            </w:r>
          </w:p>
        </w:tc>
      </w:tr>
      <w:tr>
        <w:tc>
          <w:tcPr>
            <w:tcW w:w="872" w:type="dxa"/>
          </w:tcPr>
          <w:p>
            <w:pPr>
              <w:pStyle w:val="Compact"/>
              <w:spacing w:after="40"/>
              <w:jc w:val="left"/>
            </w:pPr>
            <w:r>
              <w:rPr>
                <w:sz w:val="18"/>
              </w:rPr>
              <w:t xml:space="preserve">Readability</w:t>
            </w:r>
          </w:p>
        </w:tc>
        <w:tc>
          <w:tcPr>
            <w:tcW w:w="2513" w:type="dxa"/>
          </w:tcPr>
          <w:p>
            <w:pPr>
              <w:pStyle w:val="Compact"/>
              <w:spacing w:after="40"/>
              <w:jc w:val="left"/>
            </w:pPr>
            <w:r>
              <w:rPr>
                <w:sz w:val="18"/>
              </w:rPr>
              <w:t xml:space="preserve">Monthly</w:t>
            </w:r>
          </w:p>
        </w:tc>
        <w:tc>
          <w:tcPr>
            <w:tcW w:w="2879" w:type="dxa"/>
          </w:tcPr>
          <w:p>
            <w:pPr>
              <w:pStyle w:val="Compact"/>
              <w:spacing w:after="40"/>
              <w:jc w:val="left"/>
            </w:pPr>
            <w:r>
              <w:rPr>
                <w:sz w:val="18"/>
              </w:rPr>
              <w:t xml:space="preserve">Open a random sample of 50 files across formats in headless LibreOffice and a PDF validator</w:t>
            </w:r>
          </w:p>
        </w:tc>
        <w:tc>
          <w:tcPr>
            <w:tcW w:w="3374" w:type="dxa"/>
          </w:tcPr>
          <w:p>
            <w:pPr>
              <w:pStyle w:val="Compact"/>
              <w:spacing w:after="40"/>
              <w:jc w:val="left"/>
            </w:pPr>
            <w:r>
              <w:rPr>
                <w:sz w:val="18"/>
              </w:rPr>
              <w:t xml:space="preserve">All open; PDF/A valid</w:t>
            </w:r>
          </w:p>
        </w:tc>
      </w:tr>
      <w:tr>
        <w:tc>
          <w:tcPr>
            <w:tcW w:w="872" w:type="dxa"/>
          </w:tcPr>
          <w:p>
            <w:pPr>
              <w:pStyle w:val="Compact"/>
              <w:spacing w:after="40"/>
              <w:jc w:val="left"/>
            </w:pPr>
            <w:r>
              <w:rPr>
                <w:sz w:val="18"/>
              </w:rPr>
              <w:t xml:space="preserve">Rehydration</w:t>
            </w:r>
          </w:p>
        </w:tc>
        <w:tc>
          <w:tcPr>
            <w:tcW w:w="2513" w:type="dxa"/>
          </w:tcPr>
          <w:p>
            <w:pPr>
              <w:pStyle w:val="Compact"/>
              <w:spacing w:after="40"/>
              <w:jc w:val="left"/>
            </w:pPr>
            <w:r>
              <w:rPr>
                <w:sz w:val="18"/>
              </w:rPr>
              <w:t xml:space="preserve">Quarterly [REC]; at least the tenant’s BCP cadence (CYB para 133 for Ch V; para 8(9) for Ch III)</w:t>
            </w:r>
          </w:p>
        </w:tc>
        <w:tc>
          <w:tcPr>
            <w:tcW w:w="2879" w:type="dxa"/>
          </w:tcPr>
          <w:p>
            <w:pPr>
              <w:pStyle w:val="Compact"/>
              <w:spacing w:after="40"/>
              <w:jc w:val="left"/>
            </w:pPr>
            <w:r>
              <w:rPr>
                <w:sz w:val="18"/>
              </w:rPr>
              <w:t xml:space="preserve">Load the latest full plus incrementals into an isolated sandbox tenant through the Finbyx archive importer; run reconciliation</w:t>
            </w:r>
          </w:p>
        </w:tc>
        <w:tc>
          <w:tcPr>
            <w:tcW w:w="3374" w:type="dxa"/>
          </w:tcPr>
          <w:p>
            <w:pPr>
              <w:pStyle w:val="Compact"/>
              <w:spacing w:after="40"/>
              <w:jc w:val="left"/>
            </w:pPr>
            <w:r>
              <w:rPr>
                <w:sz w:val="18"/>
              </w:rPr>
              <w:t xml:space="preserve">Control totals equal; trial balance equal; sample of 100 loans re-computes the same outstanding, DPD and classification as at the as-of date; audit-trail hash chain verifies</w:t>
            </w:r>
          </w:p>
        </w:tc>
      </w:tr>
      <w:tr>
        <w:tc>
          <w:tcPr>
            <w:tcW w:w="872" w:type="dxa"/>
          </w:tcPr>
          <w:p>
            <w:pPr>
              <w:pStyle w:val="Compact"/>
              <w:spacing w:after="40"/>
              <w:jc w:val="left"/>
            </w:pPr>
            <w:r>
              <w:rPr>
                <w:sz w:val="18"/>
              </w:rPr>
              <w:t xml:space="preserve">DR drill</w:t>
            </w:r>
          </w:p>
        </w:tc>
        <w:tc>
          <w:tcPr>
            <w:tcW w:w="2513" w:type="dxa"/>
          </w:tcPr>
          <w:p>
            <w:pPr>
              <w:pStyle w:val="Compact"/>
              <w:spacing w:after="40"/>
              <w:jc w:val="left"/>
            </w:pPr>
            <w:r>
              <w:rPr>
                <w:sz w:val="18"/>
              </w:rPr>
              <w:t xml:space="preserve">Half-yearly (platform)</w:t>
            </w:r>
          </w:p>
        </w:tc>
        <w:tc>
          <w:tcPr>
            <w:tcW w:w="2879" w:type="dxa"/>
          </w:tcPr>
          <w:p>
            <w:pPr>
              <w:pStyle w:val="Compact"/>
              <w:spacing w:after="40"/>
              <w:jc w:val="left"/>
            </w:pPr>
            <w:r>
              <w:rPr>
                <w:sz w:val="18"/>
              </w:rPr>
              <w:t xml:space="preserve">EO3 and Part 10.3 drill</w:t>
            </w:r>
          </w:p>
        </w:tc>
        <w:tc>
          <w:tcPr>
            <w:tcW w:w="3374" w:type="dxa"/>
          </w:tcPr>
          <w:p>
            <w:pPr>
              <w:pStyle w:val="Compact"/>
              <w:spacing w:after="40"/>
              <w:jc w:val="left"/>
            </w:pPr>
            <w:r>
              <w:rPr>
                <w:sz w:val="18"/>
              </w:rPr>
              <w:t xml:space="preserve">As Part 10.3</w:t>
            </w:r>
          </w:p>
        </w:tc>
      </w:tr>
    </w:tbl>
    <w:p>
      <w:pPr>
        <w:numPr>
          <w:ilvl w:val="0"/>
          <w:numId w:val="1549"/>
        </w:numPr>
        <w:pStyle w:val="Compact"/>
      </w:pPr>
      <w:r>
        <w:rPr>
          <w:bCs/>
          <w:b/>
        </w:rPr>
        <w:t xml:space="preserve">Archive importer:</w:t>
      </w:r>
      <w:r>
        <w:t xml:space="preserve"> </w:t>
      </w:r>
      <w:r>
        <w:t xml:space="preserve">Finbyx can import its own archive format (all versions it has issued) into a sandbox or a new tenant. This is also the re-onboarding path after an exit.</w:t>
      </w:r>
    </w:p>
    <w:p>
      <w:pPr>
        <w:numPr>
          <w:ilvl w:val="0"/>
          <w:numId w:val="1549"/>
        </w:numPr>
        <w:pStyle w:val="Compact"/>
      </w:pPr>
      <w:r>
        <w:rPr>
          <w:rStyle w:val="VerbatimChar"/>
          <w:bCs/>
          <w:b/>
        </w:rPr>
        <w:t xml:space="preserve">RestoreTested</w:t>
      </w:r>
      <w:r>
        <w:t xml:space="preserve"> </w:t>
      </w:r>
      <w:r>
        <w:t xml:space="preserve">with test type (INTEGRITY, READABILITY, REHYDRATION, DR_DRILL), archive id, result, discrepancy count and approver role; results go to the tenant’s evidence pack and the control library (OH14; EO5). A failed test opens a P2 problem record, and the next customer-held backup is not marked healthy until a re-test passes.</w:t>
      </w:r>
    </w:p>
    <w:p>
      <w:pPr>
        <w:numPr>
          <w:ilvl w:val="0"/>
          <w:numId w:val="1549"/>
        </w:numPr>
        <w:pStyle w:val="Compact"/>
      </w:pPr>
      <w:r>
        <w:t xml:space="preserve">Tenants may run rehydration on their own infrastructure using the documented schemas; Finbyx publishes a reference loader script for PostgreSQL [REC].</w:t>
      </w:r>
    </w:p>
    <w:bookmarkEnd w:id="681"/>
    <w:bookmarkStart w:id="682" w:name="acceptance-tests-57"/>
    <w:p>
      <w:pPr>
        <w:pStyle w:val="Heading3"/>
      </w:pPr>
      <w:r>
        <w:t xml:space="preserve">Acceptance tests</w:t>
      </w:r>
    </w:p>
    <w:p>
      <w:pPr>
        <w:numPr>
          <w:ilvl w:val="0"/>
          <w:numId w:val="1550"/>
        </w:numPr>
        <w:pStyle w:val="Compact"/>
      </w:pPr>
      <w:r>
        <w:t xml:space="preserve">A daily backup to a tenant S3 bucket completes, the verifier passes, and</w:t>
      </w:r>
      <w:r>
        <w:t xml:space="preserve"> </w:t>
      </w:r>
      <w:r>
        <w:rPr>
          <w:rStyle w:val="VerbatimChar"/>
        </w:rPr>
        <w:t xml:space="preserve">BackupCompleted</w:t>
      </w:r>
      <w:r>
        <w:t xml:space="preserve"> </w:t>
      </w:r>
      <w:r>
        <w:t xml:space="preserve">is emitted once even when the job is retried after a network failure.</w:t>
      </w:r>
    </w:p>
    <w:p>
      <w:pPr>
        <w:numPr>
          <w:ilvl w:val="0"/>
          <w:numId w:val="1550"/>
        </w:numPr>
        <w:pStyle w:val="Compact"/>
      </w:pPr>
      <w:r>
        <w:t xml:space="preserve">A quarterly rehydration of a synthetic tenant into a sandbox reproduces the trial balance and the DPD of 100 sampled loans exactly; a seeded missing incremental makes the chain check fail and the test is marked failed.</w:t>
      </w:r>
    </w:p>
    <w:p>
      <w:pPr>
        <w:numPr>
          <w:ilvl w:val="0"/>
          <w:numId w:val="1550"/>
        </w:numPr>
        <w:pStyle w:val="Compact"/>
      </w:pPr>
      <w:r>
        <w:t xml:space="preserve">Two consecutive missed backups raise a P1 alert and a tenant notice.</w:t>
      </w:r>
    </w:p>
    <w:p>
      <w:pPr>
        <w:numPr>
          <w:ilvl w:val="0"/>
          <w:numId w:val="1550"/>
        </w:numPr>
        <w:pStyle w:val="Compact"/>
      </w:pPr>
      <w:r>
        <w:t xml:space="preserve">The archive importer accepts an archive of the previous standard version and rejects one whose signature does not verify.</w:t>
      </w:r>
    </w:p>
    <w:p>
      <w:r>
        <w:pict>
          <v:rect style="width:0;height:1.5pt" o:hralign="center" o:hrstd="t" o:hr="t"/>
        </w:pict>
      </w:r>
    </w:p>
    <w:bookmarkEnd w:id="682"/>
    <w:bookmarkEnd w:id="683"/>
    <w:bookmarkStart w:id="689" w:name="dp5.-tenant-exit-and-off-boarding"/>
    <w:p>
      <w:pPr>
        <w:pStyle w:val="Heading2"/>
      </w:pPr>
      <w:r>
        <w:t xml:space="preserve">DP5. Tenant exit and off-boarding</w:t>
      </w:r>
    </w:p>
    <w:bookmarkStart w:id="684" w:name="dp5.1-legal-basis"/>
    <w:p>
      <w:pPr>
        <w:pStyle w:val="Heading3"/>
      </w:pPr>
      <w:r>
        <w:t xml:space="preserve">DP5.1 Legal basis</w:t>
      </w:r>
    </w:p>
    <w:p>
      <w:pPr>
        <w:numPr>
          <w:ilvl w:val="0"/>
          <w:numId w:val="1551"/>
        </w:numPr>
        <w:pStyle w:val="Compact"/>
      </w:pPr>
      <w:r>
        <w:t xml:space="preserve">No erasing, purging, revoking, altering or changing data during the transition unless the regulator or the NBFC advises otherwise; safe removal or destruction clauses (OUT para 87).</w:t>
      </w:r>
    </w:p>
    <w:p>
      <w:pPr>
        <w:numPr>
          <w:ilvl w:val="0"/>
          <w:numId w:val="1551"/>
        </w:numPr>
        <w:pStyle w:val="Compact"/>
      </w:pPr>
      <w:r>
        <w:t xml:space="preserve">Full cooperation with the NBFC and its new provider (OUT para 88); orderly transfer (74(xv)).</w:t>
      </w:r>
    </w:p>
    <w:p>
      <w:pPr>
        <w:numPr>
          <w:ilvl w:val="0"/>
          <w:numId w:val="1551"/>
        </w:numPr>
        <w:pStyle w:val="Compact"/>
      </w:pPr>
      <w:r>
        <w:t xml:space="preserve">Exit strategy with agreed processes and turnaround times for returning data, data completeness and portability, secure purge, smooth transition and contractual exit plans (OUT para 97(xvi)(a)–(c)), and prompt take-over of transaction, customer, operational and configuration data with purging at the provider’s end and independent assurance before sign-off (97(xvi)(d)); data lifecycle to permanent erasure (97(ii)); preservation per the NBFC’s legal obligations, including after termination (the para 34(xii) duty, applied by contract).</w:t>
      </w:r>
    </w:p>
    <w:p>
      <w:pPr>
        <w:numPr>
          <w:ilvl w:val="0"/>
          <w:numId w:val="1551"/>
        </w:numPr>
        <w:pStyle w:val="Compact"/>
      </w:pPr>
      <w:r>
        <w:t xml:space="preserve">Digital-lending data stays in India (CF para 14(4)); books backed up in India daily until the tenant’s own system takes over (Accounts Rules r.3(5)).</w:t>
      </w:r>
    </w:p>
    <w:bookmarkEnd w:id="684"/>
    <w:bookmarkStart w:id="685" w:name="dp5.2-exit-states"/>
    <w:p>
      <w:pPr>
        <w:pStyle w:val="Heading3"/>
      </w:pPr>
      <w:r>
        <w:t xml:space="preserve">DP5.2 Exit states</w:t>
      </w:r>
    </w:p>
    <w:p>
      <w:pPr>
        <w:pStyle w:val="FirstParagraph"/>
      </w:pPr>
      <w:r>
        <w:rPr>
          <w:rStyle w:val="VerbatimChar"/>
        </w:rPr>
        <w:t xml:space="preserve">EXIT_NOTICE → EXIT_PLAN_AGREED → CONFIG_FREEZE → PARALLEL_RUN (optional) → CUT_OVER → FINAL_EXPORT → TENANT_VERIFICATION → SUCCESSOR_SUPPORT → READ_ONLY_RETENTION → PURGE_APPROVED → PURGED → PURGE_CERTIFIED → CLOSED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28"/>
        <w:gridCol w:w="5189"/>
        <w:gridCol w:w="2821"/>
      </w:tblGrid>
      <w:tr>
        <w:trPr>
          <w:tblHeader w:val="true"/>
          <w:tblHeader w:val="true"/>
        </w:trPr>
        <w:tc>
          <w:tcPr>
            <w:tcW w:w="1628" w:type="dxa"/>
            <w:shd w:val="clear" w:color="auto" w:fill="1F3A5F"/>
          </w:tcPr>
          <w:p>
            <w:pPr>
              <w:pStyle w:val="Compact"/>
              <w:spacing w:after="40"/>
              <w:jc w:val="left"/>
            </w:pPr>
            <w:r>
              <w:rPr>
                <w:b/>
                <w:color w:val="FFFFFF"/>
                <w:sz w:val="18"/>
              </w:rPr>
              <w:t xml:space="preserve">State</w:t>
            </w:r>
          </w:p>
        </w:tc>
        <w:tc>
          <w:tcPr>
            <w:tcW w:w="5189" w:type="dxa"/>
            <w:shd w:val="clear" w:color="auto" w:fill="1F3A5F"/>
          </w:tcPr>
          <w:p>
            <w:pPr>
              <w:pStyle w:val="Compact"/>
              <w:spacing w:after="40"/>
              <w:jc w:val="left"/>
            </w:pPr>
            <w:r>
              <w:rPr>
                <w:b/>
                <w:color w:val="FFFFFF"/>
                <w:sz w:val="18"/>
              </w:rPr>
              <w:t xml:space="preserve">What happens</w:t>
            </w:r>
          </w:p>
        </w:tc>
        <w:tc>
          <w:tcPr>
            <w:tcW w:w="2821" w:type="dxa"/>
            <w:shd w:val="clear" w:color="auto" w:fill="1F3A5F"/>
          </w:tcPr>
          <w:p>
            <w:pPr>
              <w:pStyle w:val="Compact"/>
              <w:spacing w:after="40"/>
              <w:jc w:val="left"/>
            </w:pPr>
            <w:r>
              <w:rPr>
                <w:b/>
                <w:color w:val="FFFFFF"/>
                <w:sz w:val="18"/>
              </w:rPr>
              <w:t xml:space="preserve">Default turnaround [REC]</w:t>
            </w:r>
          </w:p>
        </w:tc>
      </w:tr>
      <w:tr>
        <w:tc>
          <w:tcPr>
            <w:tcW w:w="1628" w:type="dxa"/>
          </w:tcPr>
          <w:p>
            <w:pPr>
              <w:pStyle w:val="Compact"/>
              <w:spacing w:after="40"/>
              <w:jc w:val="left"/>
            </w:pPr>
            <w:r>
              <w:rPr>
                <w:sz w:val="18"/>
              </w:rPr>
              <w:t xml:space="preserve">EXIT_PLAN_AGREED</w:t>
            </w:r>
          </w:p>
        </w:tc>
        <w:tc>
          <w:tcPr>
            <w:tcW w:w="5189" w:type="dxa"/>
          </w:tcPr>
          <w:p>
            <w:pPr>
              <w:pStyle w:val="Compact"/>
              <w:spacing w:after="40"/>
              <w:jc w:val="left"/>
            </w:pPr>
            <w:r>
              <w:rPr>
                <w:sz w:val="18"/>
              </w:rPr>
              <w:t xml:space="preserve">Plan lists datasets, formats, successor contacts, cut-over date, open statutory clocks (as Part 7A.0.5), returns and CIC submissions due in the window, TATs, liabilities</w:t>
            </w:r>
          </w:p>
        </w:tc>
        <w:tc>
          <w:tcPr>
            <w:tcW w:w="2821" w:type="dxa"/>
          </w:tcPr>
          <w:p>
            <w:pPr>
              <w:pStyle w:val="Compact"/>
              <w:spacing w:after="40"/>
              <w:jc w:val="left"/>
            </w:pPr>
            <w:r>
              <w:rPr>
                <w:sz w:val="18"/>
              </w:rPr>
              <w:t xml:space="preserve">10 working days from notice</w:t>
            </w:r>
          </w:p>
        </w:tc>
      </w:tr>
      <w:tr>
        <w:tc>
          <w:tcPr>
            <w:tcW w:w="1628" w:type="dxa"/>
          </w:tcPr>
          <w:p>
            <w:pPr>
              <w:pStyle w:val="Compact"/>
              <w:spacing w:after="40"/>
              <w:jc w:val="left"/>
            </w:pPr>
            <w:r>
              <w:rPr>
                <w:sz w:val="18"/>
              </w:rPr>
              <w:t xml:space="preserve">CONFIG_FREEZE</w:t>
            </w:r>
          </w:p>
        </w:tc>
        <w:tc>
          <w:tcPr>
            <w:tcW w:w="5189" w:type="dxa"/>
          </w:tcPr>
          <w:p>
            <w:pPr>
              <w:pStyle w:val="Compact"/>
              <w:spacing w:after="40"/>
              <w:jc w:val="left"/>
            </w:pPr>
            <w:r>
              <w:rPr>
                <w:sz w:val="18"/>
              </w:rPr>
              <w:t xml:space="preserve">No configuration changes except regulatory; transactions continue; purge and retention-deletion jobs suspended for the tenant (OUT para 87)</w:t>
            </w:r>
          </w:p>
        </w:tc>
        <w:tc>
          <w:tcPr>
            <w:tcW w:w="2821" w:type="dxa"/>
          </w:tcPr>
          <w:p>
            <w:pPr>
              <w:pStyle w:val="Compact"/>
              <w:spacing w:after="40"/>
              <w:jc w:val="left"/>
            </w:pPr>
            <w:r>
              <w:rPr>
                <w:sz w:val="18"/>
              </w:rPr>
              <w:t xml:space="preserve">From plan approval</w:t>
            </w:r>
          </w:p>
        </w:tc>
      </w:tr>
      <w:tr>
        <w:tc>
          <w:tcPr>
            <w:tcW w:w="1628" w:type="dxa"/>
          </w:tcPr>
          <w:p>
            <w:pPr>
              <w:pStyle w:val="Compact"/>
              <w:spacing w:after="40"/>
              <w:jc w:val="left"/>
            </w:pPr>
            <w:r>
              <w:rPr>
                <w:sz w:val="18"/>
              </w:rPr>
              <w:t xml:space="preserve">CUT_OVER</w:t>
            </w:r>
          </w:p>
        </w:tc>
        <w:tc>
          <w:tcPr>
            <w:tcW w:w="5189" w:type="dxa"/>
          </w:tcPr>
          <w:p>
            <w:pPr>
              <w:pStyle w:val="Compact"/>
              <w:spacing w:after="40"/>
              <w:jc w:val="left"/>
            </w:pPr>
            <w:r>
              <w:rPr>
                <w:sz w:val="18"/>
              </w:rPr>
              <w:t xml:space="preserve">Writes stop at the agreed time; COB final run; period closed</w:t>
            </w:r>
          </w:p>
        </w:tc>
        <w:tc>
          <w:tcPr>
            <w:tcW w:w="2821" w:type="dxa"/>
          </w:tcPr>
          <w:p>
            <w:pPr>
              <w:pStyle w:val="Compact"/>
              <w:spacing w:after="40"/>
              <w:jc w:val="left"/>
            </w:pPr>
            <w:r>
              <w:rPr>
                <w:sz w:val="18"/>
              </w:rPr>
              <w:t xml:space="preserve">Agreed date</w:t>
            </w:r>
          </w:p>
        </w:tc>
      </w:tr>
      <w:tr>
        <w:tc>
          <w:tcPr>
            <w:tcW w:w="1628" w:type="dxa"/>
          </w:tcPr>
          <w:p>
            <w:pPr>
              <w:pStyle w:val="Compact"/>
              <w:spacing w:after="40"/>
              <w:jc w:val="left"/>
            </w:pPr>
            <w:r>
              <w:rPr>
                <w:sz w:val="18"/>
              </w:rPr>
              <w:t xml:space="preserve">FINAL_EXPORT</w:t>
            </w:r>
          </w:p>
        </w:tc>
        <w:tc>
          <w:tcPr>
            <w:tcW w:w="5189" w:type="dxa"/>
          </w:tcPr>
          <w:p>
            <w:pPr>
              <w:pStyle w:val="Compact"/>
              <w:spacing w:after="40"/>
              <w:jc w:val="left"/>
            </w:pPr>
            <w:r>
              <w:rPr>
                <w:sz w:val="18"/>
              </w:rPr>
              <w:t xml:space="preserve">Full archive (DP1) including folder 13 configuration and folder 14 audit trail, plus the Integration Spec Part 12 layouts the successor asks for</w:t>
            </w:r>
          </w:p>
        </w:tc>
        <w:tc>
          <w:tcPr>
            <w:tcW w:w="2821" w:type="dxa"/>
          </w:tcPr>
          <w:p>
            <w:pPr>
              <w:pStyle w:val="Compact"/>
              <w:spacing w:after="40"/>
              <w:jc w:val="left"/>
            </w:pPr>
            <w:r>
              <w:rPr>
                <w:sz w:val="18"/>
              </w:rPr>
              <w:t xml:space="preserve">5 working days after cut-over for ≤ 1 million loans</w:t>
            </w:r>
          </w:p>
        </w:tc>
      </w:tr>
      <w:tr>
        <w:tc>
          <w:tcPr>
            <w:tcW w:w="1628" w:type="dxa"/>
          </w:tcPr>
          <w:p>
            <w:pPr>
              <w:pStyle w:val="Compact"/>
              <w:spacing w:after="40"/>
              <w:jc w:val="left"/>
            </w:pPr>
            <w:r>
              <w:rPr>
                <w:sz w:val="18"/>
              </w:rPr>
              <w:t xml:space="preserve">TENANT_VERIFICATION</w:t>
            </w:r>
          </w:p>
        </w:tc>
        <w:tc>
          <w:tcPr>
            <w:tcW w:w="5189" w:type="dxa"/>
          </w:tcPr>
          <w:p>
            <w:pPr>
              <w:pStyle w:val="Compact"/>
              <w:spacing w:after="40"/>
              <w:jc w:val="left"/>
            </w:pPr>
            <w:r>
              <w:rPr>
                <w:sz w:val="18"/>
              </w:rPr>
              <w:t xml:space="preserve">Tenant reconciles control totals and signs off, or lists defects that Finbyx fixes and re-exports</w:t>
            </w:r>
          </w:p>
        </w:tc>
        <w:tc>
          <w:tcPr>
            <w:tcW w:w="2821" w:type="dxa"/>
          </w:tcPr>
          <w:p>
            <w:pPr>
              <w:pStyle w:val="Compact"/>
              <w:spacing w:after="40"/>
              <w:jc w:val="left"/>
            </w:pPr>
            <w:r>
              <w:rPr>
                <w:sz w:val="18"/>
              </w:rPr>
              <w:t xml:space="preserve">Tenant-driven</w:t>
            </w:r>
          </w:p>
        </w:tc>
      </w:tr>
      <w:tr>
        <w:tc>
          <w:tcPr>
            <w:tcW w:w="1628" w:type="dxa"/>
          </w:tcPr>
          <w:p>
            <w:pPr>
              <w:pStyle w:val="Compact"/>
              <w:spacing w:after="40"/>
              <w:jc w:val="left"/>
            </w:pPr>
            <w:r>
              <w:rPr>
                <w:sz w:val="18"/>
              </w:rPr>
              <w:t xml:space="preserve">SUCCESSOR_SUPPORT</w:t>
            </w:r>
          </w:p>
        </w:tc>
        <w:tc>
          <w:tcPr>
            <w:tcW w:w="5189" w:type="dxa"/>
          </w:tcPr>
          <w:p>
            <w:pPr>
              <w:pStyle w:val="Compact"/>
              <w:spacing w:after="40"/>
              <w:jc w:val="left"/>
            </w:pPr>
            <w:r>
              <w:rPr>
                <w:sz w:val="18"/>
              </w:rPr>
              <w:t xml:space="preserve">Field-mapping sessions, data-dictionary clarifications, re-exports in agreed layouts, a cooperation log of every request and response (OUT para 88)</w:t>
            </w:r>
          </w:p>
        </w:tc>
        <w:tc>
          <w:tcPr>
            <w:tcW w:w="2821" w:type="dxa"/>
          </w:tcPr>
          <w:p>
            <w:pPr>
              <w:pStyle w:val="Compact"/>
              <w:spacing w:after="40"/>
              <w:jc w:val="left"/>
            </w:pPr>
            <w:r>
              <w:rPr>
                <w:sz w:val="18"/>
              </w:rPr>
              <w:t xml:space="preserve">Up to 60 days [REC]</w:t>
            </w:r>
          </w:p>
        </w:tc>
      </w:tr>
      <w:tr>
        <w:tc>
          <w:tcPr>
            <w:tcW w:w="1628" w:type="dxa"/>
          </w:tcPr>
          <w:p>
            <w:pPr>
              <w:pStyle w:val="Compact"/>
              <w:spacing w:after="40"/>
              <w:jc w:val="left"/>
            </w:pPr>
            <w:r>
              <w:rPr>
                <w:sz w:val="18"/>
              </w:rPr>
              <w:t xml:space="preserve">READ_ONLY_RETENTION</w:t>
            </w:r>
          </w:p>
        </w:tc>
        <w:tc>
          <w:tcPr>
            <w:tcW w:w="5189" w:type="dxa"/>
          </w:tcPr>
          <w:p>
            <w:pPr>
              <w:pStyle w:val="Compact"/>
              <w:spacing w:after="40"/>
              <w:jc w:val="left"/>
            </w:pPr>
            <w:r>
              <w:rPr>
                <w:sz w:val="18"/>
              </w:rPr>
              <w:t xml:space="preserve">Tenant users keep read-only access and export rights</w:t>
            </w:r>
          </w:p>
        </w:tc>
        <w:tc>
          <w:tcPr>
            <w:tcW w:w="2821" w:type="dxa"/>
          </w:tcPr>
          <w:p>
            <w:pPr>
              <w:pStyle w:val="Compact"/>
              <w:spacing w:after="40"/>
              <w:jc w:val="left"/>
            </w:pPr>
            <w:r>
              <w:rPr>
                <w:sz w:val="18"/>
              </w:rPr>
              <w:t xml:space="preserve">90 days after cut-over [REC], extendable by contract</w:t>
            </w:r>
          </w:p>
        </w:tc>
      </w:tr>
      <w:tr>
        <w:tc>
          <w:tcPr>
            <w:tcW w:w="1628" w:type="dxa"/>
          </w:tcPr>
          <w:p>
            <w:pPr>
              <w:pStyle w:val="Compact"/>
              <w:spacing w:after="40"/>
              <w:jc w:val="left"/>
            </w:pPr>
            <w:r>
              <w:rPr>
                <w:sz w:val="18"/>
              </w:rPr>
              <w:t xml:space="preserve">PURGE_APPROVED</w:t>
            </w:r>
          </w:p>
        </w:tc>
        <w:tc>
          <w:tcPr>
            <w:tcW w:w="5189" w:type="dxa"/>
          </w:tcPr>
          <w:p>
            <w:pPr>
              <w:pStyle w:val="Compact"/>
              <w:spacing w:after="40"/>
              <w:jc w:val="left"/>
            </w:pPr>
            <w:r>
              <w:rPr>
                <w:sz w:val="18"/>
              </w:rPr>
              <w:t xml:space="preserve">Tenant’s authorised signatory approves purge in writing after confirming it holds the archive and its retention duties are met from its own systems</w:t>
            </w:r>
          </w:p>
        </w:tc>
        <w:tc>
          <w:tcPr>
            <w:tcW w:w="2821" w:type="dxa"/>
          </w:tcPr>
          <w:p>
            <w:pPr>
              <w:pStyle w:val="Compact"/>
              <w:spacing w:after="40"/>
              <w:jc w:val="left"/>
            </w:pPr>
            <w:r>
              <w:rPr>
                <w:sz w:val="18"/>
              </w:rPr>
              <w:t xml:space="preserve">Tenant-driven</w:t>
            </w:r>
          </w:p>
        </w:tc>
      </w:tr>
      <w:tr>
        <w:tc>
          <w:tcPr>
            <w:tcW w:w="1628" w:type="dxa"/>
          </w:tcPr>
          <w:p>
            <w:pPr>
              <w:pStyle w:val="Compact"/>
              <w:spacing w:after="40"/>
              <w:jc w:val="left"/>
            </w:pPr>
            <w:r>
              <w:rPr>
                <w:sz w:val="18"/>
              </w:rPr>
              <w:t xml:space="preserve">PURGED</w:t>
            </w:r>
          </w:p>
        </w:tc>
        <w:tc>
          <w:tcPr>
            <w:tcW w:w="5189" w:type="dxa"/>
          </w:tcPr>
          <w:p>
            <w:pPr>
              <w:pStyle w:val="Compact"/>
              <w:spacing w:after="40"/>
              <w:jc w:val="left"/>
            </w:pPr>
            <w:r>
              <w:rPr>
                <w:sz w:val="18"/>
              </w:rPr>
              <w:t xml:space="preserve">Live data deleted; tenant KMS key scheduled for deletion so every backup copy becomes unreadable (crypto-shredding); object stores and search indexes cleared; logs beyond legal minimums deleted</w:t>
            </w:r>
          </w:p>
        </w:tc>
        <w:tc>
          <w:tcPr>
            <w:tcW w:w="2821" w:type="dxa"/>
          </w:tcPr>
          <w:p>
            <w:pPr>
              <w:pStyle w:val="Compact"/>
              <w:spacing w:after="40"/>
              <w:jc w:val="left"/>
            </w:pPr>
            <w:r>
              <w:rPr>
                <w:sz w:val="18"/>
              </w:rPr>
              <w:t xml:space="preserve">Within 30 days of approval; KMS deletion window 7–30 days</w:t>
            </w:r>
          </w:p>
        </w:tc>
      </w:tr>
      <w:tr>
        <w:tc>
          <w:tcPr>
            <w:tcW w:w="1628" w:type="dxa"/>
          </w:tcPr>
          <w:p>
            <w:pPr>
              <w:pStyle w:val="Compact"/>
              <w:spacing w:after="40"/>
              <w:jc w:val="left"/>
            </w:pPr>
            <w:r>
              <w:rPr>
                <w:sz w:val="18"/>
              </w:rPr>
              <w:t xml:space="preserve">PURGE_CERTIFIED</w:t>
            </w:r>
          </w:p>
        </w:tc>
        <w:tc>
          <w:tcPr>
            <w:tcW w:w="5189" w:type="dxa"/>
          </w:tcPr>
          <w:p>
            <w:pPr>
              <w:pStyle w:val="Compact"/>
              <w:spacing w:after="40"/>
              <w:jc w:val="left"/>
            </w:pPr>
            <w:r>
              <w:rPr>
                <w:sz w:val="18"/>
              </w:rPr>
              <w:t xml:space="preserve">Purge certificate listing systems, methods, dates and the key-deletion record; independent assurance by the auditor that covers Infrabyx’s ISMS or SOC 2 scope (OUT para 97(xvi)(d))</w:t>
            </w:r>
          </w:p>
        </w:tc>
        <w:tc>
          <w:tcPr>
            <w:tcW w:w="2821" w:type="dxa"/>
          </w:tcPr>
          <w:p>
            <w:pPr>
              <w:pStyle w:val="Compact"/>
              <w:spacing w:after="40"/>
              <w:jc w:val="left"/>
            </w:pPr>
            <w:r>
              <w:rPr>
                <w:sz w:val="18"/>
              </w:rPr>
              <w:t xml:space="preserve">Certificate within 10 working days of purge</w:t>
            </w:r>
          </w:p>
        </w:tc>
      </w:tr>
    </w:tbl>
    <w:p>
      <w:pPr>
        <w:pStyle w:val="BodyText"/>
      </w:pPr>
      <w:r>
        <w:t xml:space="preserve">During the transition, dunning (CM4) never suspends read or export for an RE tenant.</w:t>
      </w:r>
    </w:p>
    <w:p>
      <w:pPr>
        <w:numPr>
          <w:ilvl w:val="0"/>
          <w:numId w:val="1552"/>
        </w:numPr>
        <w:pStyle w:val="Compact"/>
      </w:pPr>
      <w:r>
        <w:rPr>
          <w:bCs/>
          <w:b/>
        </w:rPr>
        <w:t xml:space="preserve">Exceptions:</w:t>
      </w:r>
      <w:r>
        <w:t xml:space="preserve"> </w:t>
      </w:r>
      <w:r>
        <w:t xml:space="preserve">an exit notice withdrawn in writing before CUT_OVER returns the tenant to normal operation and lifts CONFIG_FREEZE (the purge hold stays until the withdrawal is countersigned); a successor that rejects the final archive keeps the case in TENANT_VERIFICATION while defects are fixed and re-exported under a new</w:t>
      </w:r>
      <w:r>
        <w:t xml:space="preserve"> </w:t>
      </w:r>
      <w:r>
        <w:rPr>
          <w:rStyle w:val="VerbatimChar"/>
        </w:rPr>
        <w:t xml:space="preserve">archive_id</w:t>
      </w:r>
      <w:r>
        <w:t xml:space="preserve"> </w:t>
      </w:r>
      <w:r>
        <w:t xml:space="preserve">linked to the first; records under legal hold or an open statutory clock at PURGE_APPROVED are listed and cannot be purged until the tenant takes custody or contracts the paid read-only archival tier; a READ_ONLY_RETENTION extension is a contract change recorded with its new end date.</w:t>
      </w:r>
    </w:p>
    <w:bookmarkEnd w:id="685"/>
    <w:bookmarkStart w:id="686" w:name="Xef31b106858f25dd17474f19abe8156b4f1c3b2"/>
    <w:p>
      <w:pPr>
        <w:pStyle w:val="Heading3"/>
      </w:pPr>
      <w:r>
        <w:t xml:space="preserve">DP5.3 What Infrabyx can and cannot promise</w:t>
      </w:r>
    </w:p>
    <w:p>
      <w:pPr>
        <w:pStyle w:val="FirstParagraph"/>
      </w:pPr>
      <w:r>
        <w:rPr>
          <w:bCs/>
          <w:b/>
        </w:rPr>
        <w:t xml:space="preserve">Can promise (put in the MSA):</w:t>
      </w:r>
    </w:p>
    <w:p>
      <w:pPr>
        <w:numPr>
          <w:ilvl w:val="0"/>
          <w:numId w:val="1553"/>
        </w:numPr>
        <w:pStyle w:val="Compact"/>
      </w:pPr>
      <w:r>
        <w:t xml:space="preserve">a complete export in documented, non-proprietary formats with manifest, checksums, control totals and a signature;</w:t>
      </w:r>
    </w:p>
    <w:p>
      <w:pPr>
        <w:numPr>
          <w:ilvl w:val="0"/>
          <w:numId w:val="1553"/>
        </w:numPr>
        <w:pStyle w:val="Compact"/>
      </w:pPr>
      <w:r>
        <w:t xml:space="preserve">configuration export (products, rule packs, templates, workflows, roles, DoA, flags);</w:t>
      </w:r>
    </w:p>
    <w:p>
      <w:pPr>
        <w:numPr>
          <w:ilvl w:val="0"/>
          <w:numId w:val="1553"/>
        </w:numPr>
        <w:pStyle w:val="Compact"/>
      </w:pPr>
      <w:r>
        <w:t xml:space="preserve">no deletion or alteration of tenant data during the transition;</w:t>
      </w:r>
    </w:p>
    <w:p>
      <w:pPr>
        <w:numPr>
          <w:ilvl w:val="0"/>
          <w:numId w:val="1553"/>
        </w:numPr>
        <w:pStyle w:val="Compact"/>
      </w:pPr>
      <w:r>
        <w:t xml:space="preserve">cooperation with the successor within the agreed TATs, with a cooperation log;</w:t>
      </w:r>
    </w:p>
    <w:p>
      <w:pPr>
        <w:numPr>
          <w:ilvl w:val="0"/>
          <w:numId w:val="1553"/>
        </w:numPr>
        <w:pStyle w:val="Compact"/>
      </w:pPr>
      <w:r>
        <w:t xml:space="preserve">read-only access for the agreed retention window;</w:t>
      </w:r>
    </w:p>
    <w:p>
      <w:pPr>
        <w:numPr>
          <w:ilvl w:val="0"/>
          <w:numId w:val="1553"/>
        </w:numPr>
        <w:pStyle w:val="Compact"/>
      </w:pPr>
      <w:r>
        <w:t xml:space="preserve">secure purge with a certificate and independent assurance;</w:t>
      </w:r>
    </w:p>
    <w:p>
      <w:pPr>
        <w:numPr>
          <w:ilvl w:val="0"/>
          <w:numId w:val="1553"/>
        </w:numPr>
        <w:pStyle w:val="Compact"/>
      </w:pPr>
      <w:r>
        <w:t xml:space="preserve">escrow release of source code under the escrow agreement if Infrabyx fails (CYB para 105; Part 10.6 item 25).</w:t>
      </w:r>
    </w:p>
    <w:p>
      <w:pPr>
        <w:pStyle w:val="FirstParagraph"/>
      </w:pPr>
      <w:r>
        <w:rPr>
          <w:bCs/>
          <w:b/>
        </w:rPr>
        <w:t xml:space="preserve">Cannot promise (say so in the MSA and sales material):</w:t>
      </w:r>
    </w:p>
    <w:p>
      <w:pPr>
        <w:numPr>
          <w:ilvl w:val="0"/>
          <w:numId w:val="1554"/>
        </w:numPr>
        <w:pStyle w:val="Compact"/>
      </w:pPr>
      <w:r>
        <w:t xml:space="preserve">zero-downtime or</w:t>
      </w:r>
      <w:r>
        <w:t xml:space="preserve"> </w:t>
      </w:r>
      <w:r>
        <w:t xml:space="preserve">“</w:t>
      </w:r>
      <w:r>
        <w:t xml:space="preserve">lossless</w:t>
      </w:r>
      <w:r>
        <w:t xml:space="preserve">”</w:t>
      </w:r>
      <w:r>
        <w:t xml:space="preserve"> </w:t>
      </w:r>
      <w:r>
        <w:t xml:space="preserve">migration into any successor system (that depends on the successor);</w:t>
      </w:r>
    </w:p>
    <w:p>
      <w:pPr>
        <w:numPr>
          <w:ilvl w:val="0"/>
          <w:numId w:val="1554"/>
        </w:numPr>
        <w:pStyle w:val="Compact"/>
      </w:pPr>
      <w:r>
        <w:t xml:space="preserve">recovery of data after the tenant has purged or lost its own customer-held copies or keys;</w:t>
      </w:r>
    </w:p>
    <w:p>
      <w:pPr>
        <w:numPr>
          <w:ilvl w:val="0"/>
          <w:numId w:val="1554"/>
        </w:numPr>
        <w:pStyle w:val="Compact"/>
      </w:pPr>
      <w:r>
        <w:t xml:space="preserve">attachment of arbitrary disks, USB drives or tenant hardware to Finbyx’s cloud;</w:t>
      </w:r>
    </w:p>
    <w:p>
      <w:pPr>
        <w:numPr>
          <w:ilvl w:val="0"/>
          <w:numId w:val="1554"/>
        </w:numPr>
        <w:pStyle w:val="Compact"/>
      </w:pPr>
      <w:r>
        <w:t xml:space="preserve">HYOK availability if the tenant’s HSM or XKS proxy fails;</w:t>
      </w:r>
    </w:p>
    <w:p>
      <w:pPr>
        <w:numPr>
          <w:ilvl w:val="0"/>
          <w:numId w:val="1554"/>
        </w:numPr>
        <w:pStyle w:val="Compact"/>
      </w:pPr>
      <w:r>
        <w:t xml:space="preserve">retention of the tenant’s regulated records after purge (the tenant must hold them; an optional paid read-only archival tier can be contracted instead of purge).</w:t>
      </w:r>
    </w:p>
    <w:bookmarkEnd w:id="686"/>
    <w:bookmarkStart w:id="687" w:name="dp5.4-partial-exits"/>
    <w:p>
      <w:pPr>
        <w:pStyle w:val="Heading3"/>
      </w:pPr>
      <w:r>
        <w:t xml:space="preserve">DP5.4 Partial exits</w:t>
      </w:r>
    </w:p>
    <w:p>
      <w:pPr>
        <w:numPr>
          <w:ilvl w:val="0"/>
          <w:numId w:val="1555"/>
        </w:numPr>
        <w:pStyle w:val="Compact"/>
      </w:pPr>
      <w:r>
        <w:rPr>
          <w:bCs/>
          <w:b/>
        </w:rPr>
        <w:t xml:space="preserve">Legal-entity exit</w:t>
      </w:r>
      <w:r>
        <w:t xml:space="preserve"> </w:t>
      </w:r>
      <w:r>
        <w:t xml:space="preserve">(one entity in a group tenant leaves): same states, scoped to that entity; shared configuration is copied, not moved.</w:t>
      </w:r>
    </w:p>
    <w:p>
      <w:pPr>
        <w:numPr>
          <w:ilvl w:val="0"/>
          <w:numId w:val="1555"/>
        </w:numPr>
        <w:pStyle w:val="Compact"/>
      </w:pPr>
      <w:r>
        <w:rPr>
          <w:bCs/>
          <w:b/>
        </w:rPr>
        <w:t xml:space="preserve">Module detach</w:t>
      </w:r>
      <w:r>
        <w:t xml:space="preserve"> </w:t>
      </w:r>
      <w:r>
        <w:t xml:space="preserve">follows Part 7A.0.5 for the Recovery Suite and the same pattern for other modules (CM1): read-only, export pack, never delete.</w:t>
      </w:r>
    </w:p>
    <w:p>
      <w:pPr>
        <w:numPr>
          <w:ilvl w:val="0"/>
          <w:numId w:val="1555"/>
        </w:numPr>
        <w:pStyle w:val="Compact"/>
      </w:pPr>
      <w:r>
        <w:rPr>
          <w:bCs/>
          <w:b/>
        </w:rPr>
        <w:t xml:space="preserve">Insolvency or resolution of the tenant:</w:t>
      </w:r>
      <w:r>
        <w:t xml:space="preserve"> </w:t>
      </w:r>
      <w:r>
        <w:t xml:space="preserve">Finbyx cooperates with the resolution professional or administrator under the contract (OUT para 74(xvi)); access is granted to the person the tenant’s authorised signatory or the competent authority designates, recorded through the external-access workflow (AU7,</w:t>
      </w:r>
      <w:r>
        <w:t xml:space="preserve"> </w:t>
      </w:r>
      <w:r>
        <w:rPr>
          <w:rStyle w:val="VerbatimChar"/>
        </w:rPr>
        <w:t xml:space="preserve">ExternalAccessGranted</w:t>
      </w:r>
      <w:r>
        <w:t xml:space="preserve">; at most 90 days per grant, renewable by fresh approval).</w:t>
      </w:r>
    </w:p>
    <w:bookmarkEnd w:id="687"/>
    <w:bookmarkStart w:id="688" w:name="acceptance-tests-58"/>
    <w:p>
      <w:pPr>
        <w:pStyle w:val="Heading3"/>
      </w:pPr>
      <w:r>
        <w:t xml:space="preserve">Acceptance tests</w:t>
      </w:r>
    </w:p>
    <w:p>
      <w:pPr>
        <w:numPr>
          <w:ilvl w:val="0"/>
          <w:numId w:val="1556"/>
        </w:numPr>
        <w:pStyle w:val="Compact"/>
      </w:pPr>
      <w:r>
        <w:t xml:space="preserve">After EXIT_NOTICE, a scheduled retention-deletion job for the tenant is suspended and an attempt to purge a document returns</w:t>
      </w:r>
      <w:r>
        <w:t xml:space="preserve"> </w:t>
      </w:r>
      <w:r>
        <w:rPr>
          <w:rStyle w:val="VerbatimChar"/>
        </w:rPr>
        <w:t xml:space="preserve">exit_transition_hold</w:t>
      </w:r>
      <w:r>
        <w:t xml:space="preserve">.</w:t>
      </w:r>
    </w:p>
    <w:p>
      <w:pPr>
        <w:numPr>
          <w:ilvl w:val="0"/>
          <w:numId w:val="1556"/>
        </w:numPr>
        <w:pStyle w:val="Compact"/>
      </w:pPr>
      <w:r>
        <w:t xml:space="preserve">The final archive’s control totals equal the post-COB totals at CUT_OVER and include folder 13 with every active rule pack and its approvals.</w:t>
      </w:r>
    </w:p>
    <w:p>
      <w:pPr>
        <w:numPr>
          <w:ilvl w:val="0"/>
          <w:numId w:val="1556"/>
        </w:numPr>
        <w:pStyle w:val="Compact"/>
      </w:pPr>
      <w:r>
        <w:t xml:space="preserve">Read-only users can open and export during READ_ONLY_RETENTION but cannot post; access ends automatically at the end of the window unless extended by contract.</w:t>
      </w:r>
    </w:p>
    <w:p>
      <w:pPr>
        <w:numPr>
          <w:ilvl w:val="0"/>
          <w:numId w:val="1556"/>
        </w:numPr>
        <w:pStyle w:val="Compact"/>
      </w:pPr>
      <w:r>
        <w:t xml:space="preserve">PURGED cannot be reached without a signed PURGE_APPROVED; after purge, a restore attempt of any backup snapshot for the tenant fails because the tenant key is deleted, and the purge certificate lists that key-deletion event.</w:t>
      </w:r>
    </w:p>
    <w:p>
      <w:pPr>
        <w:numPr>
          <w:ilvl w:val="0"/>
          <w:numId w:val="1556"/>
        </w:numPr>
        <w:pStyle w:val="Compact"/>
      </w:pPr>
      <w:r>
        <w:t xml:space="preserve">A payment default by an RE tenant during the exit window does not reduce read or export access.</w:t>
      </w:r>
    </w:p>
    <w:p>
      <w:pPr>
        <w:numPr>
          <w:ilvl w:val="0"/>
          <w:numId w:val="1556"/>
        </w:numPr>
        <w:pStyle w:val="Compact"/>
      </w:pPr>
      <w:r>
        <w:t xml:space="preserve">PURGE_APPROVED with one loan under legal hold purges everything else, keeps that loan’s records, and lists them on the purge certificate as retained with the reason.</w:t>
      </w:r>
    </w:p>
    <w:p>
      <w:pPr>
        <w:numPr>
          <w:ilvl w:val="0"/>
          <w:numId w:val="1556"/>
        </w:numPr>
        <w:pStyle w:val="Compact"/>
      </w:pPr>
      <w:r>
        <w:t xml:space="preserve">An exit notice withdrawn before CUT_OVER lifts the configuration freeze; the same withdrawal after CUT_OVER is refused with</w:t>
      </w:r>
      <w:r>
        <w:t xml:space="preserve"> </w:t>
      </w:r>
      <w:r>
        <w:rPr>
          <w:rStyle w:val="VerbatimChar"/>
        </w:rPr>
        <w:t xml:space="preserve">exit_past_cut_over</w:t>
      </w:r>
      <w:r>
        <w:t xml:space="preserve">.</w:t>
      </w:r>
    </w:p>
    <w:p>
      <w:r>
        <w:pict>
          <v:rect style="width:0;height:1.5pt" o:hralign="center" o:hrstd="t" o:hr="t"/>
        </w:pict>
      </w:r>
    </w:p>
    <w:bookmarkEnd w:id="688"/>
    <w:bookmarkEnd w:id="689"/>
    <w:bookmarkStart w:id="692" w:name="dp6.-settings-menus-and-screens"/>
    <w:p>
      <w:pPr>
        <w:pStyle w:val="Heading2"/>
      </w:pPr>
      <w:r>
        <w:t xml:space="preserve">DP6. Settings, menus and screens</w:t>
      </w:r>
    </w:p>
    <w:bookmarkStart w:id="690" w:name="settings-and-options-22"/>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47"/>
        <w:gridCol w:w="1793"/>
        <w:gridCol w:w="2660"/>
        <w:gridCol w:w="3038"/>
      </w:tblGrid>
      <w:tr>
        <w:trPr>
          <w:tblHeader w:val="true"/>
          <w:tblHeader w:val="true"/>
        </w:trPr>
        <w:tc>
          <w:tcPr>
            <w:tcW w:w="2147" w:type="dxa"/>
            <w:shd w:val="clear" w:color="auto" w:fill="1F3A5F"/>
          </w:tcPr>
          <w:p>
            <w:pPr>
              <w:pStyle w:val="Compact"/>
              <w:spacing w:after="40"/>
              <w:jc w:val="left"/>
            </w:pPr>
            <w:r>
              <w:rPr>
                <w:b/>
                <w:color w:val="FFFFFF"/>
                <w:sz w:val="18"/>
              </w:rPr>
              <w:t xml:space="preserve">Setting</w:t>
            </w:r>
          </w:p>
        </w:tc>
        <w:tc>
          <w:tcPr>
            <w:tcW w:w="1793" w:type="dxa"/>
            <w:shd w:val="clear" w:color="auto" w:fill="1F3A5F"/>
          </w:tcPr>
          <w:p>
            <w:pPr>
              <w:pStyle w:val="Compact"/>
              <w:spacing w:after="40"/>
              <w:jc w:val="left"/>
            </w:pPr>
            <w:r>
              <w:rPr>
                <w:b/>
                <w:color w:val="FFFFFF"/>
                <w:sz w:val="18"/>
              </w:rPr>
              <w:t xml:space="preserve">Level</w:t>
            </w:r>
          </w:p>
        </w:tc>
        <w:tc>
          <w:tcPr>
            <w:tcW w:w="2660" w:type="dxa"/>
            <w:shd w:val="clear" w:color="auto" w:fill="1F3A5F"/>
          </w:tcPr>
          <w:p>
            <w:pPr>
              <w:pStyle w:val="Compact"/>
              <w:spacing w:after="40"/>
              <w:jc w:val="left"/>
            </w:pPr>
            <w:r>
              <w:rPr>
                <w:b/>
                <w:color w:val="FFFFFF"/>
                <w:sz w:val="18"/>
              </w:rPr>
              <w:t xml:space="preserve">Default</w:t>
            </w:r>
          </w:p>
        </w:tc>
        <w:tc>
          <w:tcPr>
            <w:tcW w:w="3038" w:type="dxa"/>
            <w:shd w:val="clear" w:color="auto" w:fill="1F3A5F"/>
          </w:tcPr>
          <w:p>
            <w:pPr>
              <w:pStyle w:val="Compact"/>
              <w:spacing w:after="40"/>
              <w:jc w:val="left"/>
            </w:pPr>
            <w:r>
              <w:rPr>
                <w:b/>
                <w:color w:val="FFFFFF"/>
                <w:sz w:val="18"/>
              </w:rPr>
              <w:t xml:space="preserve">Nature</w:t>
            </w:r>
          </w:p>
        </w:tc>
      </w:tr>
      <w:tr>
        <w:tc>
          <w:tcPr>
            <w:tcW w:w="2147" w:type="dxa"/>
          </w:tcPr>
          <w:p>
            <w:pPr>
              <w:pStyle w:val="Compact"/>
              <w:spacing w:after="40"/>
              <w:jc w:val="left"/>
            </w:pPr>
            <w:r>
              <w:rPr>
                <w:sz w:val="18"/>
              </w:rPr>
              <w:t xml:space="preserve">Archive standard version and folder profile</w:t>
            </w:r>
          </w:p>
        </w:tc>
        <w:tc>
          <w:tcPr>
            <w:tcW w:w="1793" w:type="dxa"/>
          </w:tcPr>
          <w:p>
            <w:pPr>
              <w:pStyle w:val="Compact"/>
              <w:spacing w:after="40"/>
              <w:jc w:val="left"/>
            </w:pPr>
            <w:r>
              <w:rPr>
                <w:sz w:val="18"/>
              </w:rPr>
              <w:t xml:space="preserve">Platform; tenant</w:t>
            </w:r>
            <w:r>
              <w:rPr>
                <w:sz w:val="18"/>
              </w:rPr>
              <w:t xml:space="preserve"> </w:t>
            </w:r>
            <w:r>
              <w:rPr>
                <w:rStyle w:val="VerbatimChar"/>
                <w:sz w:val="18"/>
              </w:rPr>
              <w:t xml:space="preserve">folder_policy</w:t>
            </w:r>
          </w:p>
        </w:tc>
        <w:tc>
          <w:tcPr>
            <w:tcW w:w="2660" w:type="dxa"/>
          </w:tcPr>
          <w:p>
            <w:pPr>
              <w:pStyle w:val="Compact"/>
              <w:spacing w:after="40"/>
              <w:jc w:val="left"/>
            </w:pPr>
            <w:r>
              <w:rPr>
                <w:rStyle w:val="VerbatimChar"/>
                <w:sz w:val="18"/>
              </w:rPr>
              <w:t xml:space="preserve">1.0</w:t>
            </w:r>
            <w:r>
              <w:rPr>
                <w:sz w:val="18"/>
              </w:rPr>
              <w:t xml:space="preserve">,</w:t>
            </w:r>
            <w:r>
              <w:rPr>
                <w:sz w:val="18"/>
              </w:rPr>
              <w:t xml:space="preserve"> </w:t>
            </w:r>
            <w:r>
              <w:rPr>
                <w:rStyle w:val="VerbatimChar"/>
                <w:sz w:val="18"/>
              </w:rPr>
              <w:t xml:space="preserve">finbyx_tenant_v1</w:t>
            </w:r>
          </w:p>
        </w:tc>
        <w:tc>
          <w:tcPr>
            <w:tcW w:w="3038" w:type="dxa"/>
          </w:tcPr>
          <w:p>
            <w:pPr>
              <w:pStyle w:val="Compact"/>
              <w:spacing w:after="40"/>
              <w:jc w:val="left"/>
            </w:pPr>
            <w:r>
              <w:rPr>
                <w:sz w:val="18"/>
              </w:rPr>
              <w:t xml:space="preserve">Folder 00 and manifest fields are fixed; renaming and splitting are commercial choices</w:t>
            </w:r>
          </w:p>
        </w:tc>
      </w:tr>
      <w:tr>
        <w:tc>
          <w:tcPr>
            <w:tcW w:w="2147" w:type="dxa"/>
          </w:tcPr>
          <w:p>
            <w:pPr>
              <w:pStyle w:val="Compact"/>
              <w:spacing w:after="40"/>
              <w:jc w:val="left"/>
            </w:pPr>
            <w:r>
              <w:rPr>
                <w:sz w:val="18"/>
              </w:rPr>
              <w:t xml:space="preserve">Label policy</w:t>
            </w:r>
          </w:p>
        </w:tc>
        <w:tc>
          <w:tcPr>
            <w:tcW w:w="1793" w:type="dxa"/>
          </w:tcPr>
          <w:p>
            <w:pPr>
              <w:pStyle w:val="Compact"/>
              <w:spacing w:after="40"/>
              <w:jc w:val="left"/>
            </w:pPr>
            <w:r>
              <w:rPr>
                <w:sz w:val="18"/>
              </w:rPr>
              <w:t xml:space="preserve">Tenant</w:t>
            </w:r>
          </w:p>
        </w:tc>
        <w:tc>
          <w:tcPr>
            <w:tcW w:w="2660" w:type="dxa"/>
          </w:tcPr>
          <w:p>
            <w:pPr>
              <w:pStyle w:val="Compact"/>
              <w:spacing w:after="40"/>
              <w:jc w:val="left"/>
            </w:pPr>
            <w:r>
              <w:rPr>
                <w:rStyle w:val="VerbatimChar"/>
                <w:sz w:val="18"/>
              </w:rPr>
              <w:t xml:space="preserve">ids_only</w:t>
            </w:r>
          </w:p>
        </w:tc>
        <w:tc>
          <w:tcPr>
            <w:tcW w:w="3038" w:type="dxa"/>
          </w:tcPr>
          <w:p>
            <w:pPr>
              <w:pStyle w:val="Compact"/>
              <w:spacing w:after="40"/>
              <w:jc w:val="left"/>
            </w:pPr>
            <w:r>
              <w:rPr>
                <w:sz w:val="18"/>
              </w:rPr>
              <w:t xml:space="preserve">Tenant may choose</w:t>
            </w:r>
            <w:r>
              <w:rPr>
                <w:sz w:val="18"/>
              </w:rPr>
              <w:t xml:space="preserve"> </w:t>
            </w:r>
            <w:r>
              <w:rPr>
                <w:rStyle w:val="VerbatimChar"/>
                <w:sz w:val="18"/>
              </w:rPr>
              <w:t xml:space="preserve">id_and_masked_name</w:t>
            </w:r>
            <w:r>
              <w:rPr>
                <w:sz w:val="18"/>
              </w:rPr>
              <w:t xml:space="preserve"> </w:t>
            </w:r>
            <w:r>
              <w:rPr>
                <w:sz w:val="18"/>
              </w:rPr>
              <w:t xml:space="preserve">for internal archives; full names never</w:t>
            </w:r>
          </w:p>
        </w:tc>
      </w:tr>
      <w:tr>
        <w:tc>
          <w:tcPr>
            <w:tcW w:w="2147" w:type="dxa"/>
          </w:tcPr>
          <w:p>
            <w:pPr>
              <w:pStyle w:val="Compact"/>
              <w:spacing w:after="40"/>
              <w:jc w:val="left"/>
            </w:pPr>
            <w:r>
              <w:rPr>
                <w:sz w:val="18"/>
              </w:rPr>
              <w:t xml:space="preserve">Export approvals</w:t>
            </w:r>
          </w:p>
        </w:tc>
        <w:tc>
          <w:tcPr>
            <w:tcW w:w="1793" w:type="dxa"/>
          </w:tcPr>
          <w:p>
            <w:pPr>
              <w:pStyle w:val="Compact"/>
              <w:spacing w:after="40"/>
              <w:jc w:val="left"/>
            </w:pPr>
            <w:r>
              <w:rPr>
                <w:sz w:val="18"/>
              </w:rPr>
              <w:t xml:space="preserve">Tenant, per scope</w:t>
            </w:r>
          </w:p>
        </w:tc>
        <w:tc>
          <w:tcPr>
            <w:tcW w:w="2660" w:type="dxa"/>
          </w:tcPr>
          <w:p>
            <w:pPr>
              <w:pStyle w:val="Compact"/>
              <w:spacing w:after="40"/>
              <w:jc w:val="left"/>
            </w:pPr>
            <w:r>
              <w:rPr>
                <w:sz w:val="18"/>
              </w:rPr>
              <w:t xml:space="preserve">DP2.1 matrix</w:t>
            </w:r>
          </w:p>
        </w:tc>
        <w:tc>
          <w:tcPr>
            <w:tcW w:w="3038" w:type="dxa"/>
          </w:tcPr>
          <w:p>
            <w:pPr>
              <w:pStyle w:val="Compact"/>
              <w:spacing w:after="40"/>
              <w:jc w:val="left"/>
            </w:pPr>
            <w:r>
              <w:rPr>
                <w:sz w:val="18"/>
              </w:rPr>
              <w:t xml:space="preserve">Floor: full-tenant and exit exports need a second approver and MFA</w:t>
            </w:r>
          </w:p>
        </w:tc>
      </w:tr>
      <w:tr>
        <w:tc>
          <w:tcPr>
            <w:tcW w:w="2147" w:type="dxa"/>
          </w:tcPr>
          <w:p>
            <w:pPr>
              <w:pStyle w:val="Compact"/>
              <w:spacing w:after="40"/>
              <w:jc w:val="left"/>
            </w:pPr>
            <w:r>
              <w:rPr>
                <w:sz w:val="18"/>
              </w:rPr>
              <w:t xml:space="preserve">Download links</w:t>
            </w:r>
          </w:p>
        </w:tc>
        <w:tc>
          <w:tcPr>
            <w:tcW w:w="1793" w:type="dxa"/>
          </w:tcPr>
          <w:p>
            <w:pPr>
              <w:pStyle w:val="Compact"/>
              <w:spacing w:after="40"/>
              <w:jc w:val="left"/>
            </w:pPr>
            <w:r>
              <w:rPr>
                <w:sz w:val="18"/>
              </w:rPr>
              <w:t xml:space="preserve">Tenant</w:t>
            </w:r>
          </w:p>
        </w:tc>
        <w:tc>
          <w:tcPr>
            <w:tcW w:w="2660" w:type="dxa"/>
          </w:tcPr>
          <w:p>
            <w:pPr>
              <w:pStyle w:val="Compact"/>
              <w:spacing w:after="40"/>
              <w:jc w:val="left"/>
            </w:pPr>
            <w:r>
              <w:rPr>
                <w:sz w:val="18"/>
              </w:rPr>
              <w:t xml:space="preserve">7 days, single use, India-only for regulated classes</w:t>
            </w:r>
          </w:p>
        </w:tc>
        <w:tc>
          <w:tcPr>
            <w:tcW w:w="3038" w:type="dxa"/>
          </w:tcPr>
          <w:p>
            <w:pPr>
              <w:pStyle w:val="Compact"/>
              <w:spacing w:after="40"/>
              <w:jc w:val="left"/>
            </w:pPr>
            <w:r>
              <w:rPr>
                <w:sz w:val="18"/>
              </w:rPr>
              <w:t xml:space="preserve">Tenant may shorten</w:t>
            </w:r>
          </w:p>
        </w:tc>
      </w:tr>
      <w:tr>
        <w:tc>
          <w:tcPr>
            <w:tcW w:w="2147" w:type="dxa"/>
          </w:tcPr>
          <w:p>
            <w:pPr>
              <w:pStyle w:val="Compact"/>
              <w:spacing w:after="40"/>
              <w:jc w:val="left"/>
            </w:pPr>
            <w:r>
              <w:rPr>
                <w:sz w:val="18"/>
              </w:rPr>
              <w:t xml:space="preserve">Scheduled exports and customer-held backups</w:t>
            </w:r>
          </w:p>
        </w:tc>
        <w:tc>
          <w:tcPr>
            <w:tcW w:w="1793" w:type="dxa"/>
          </w:tcPr>
          <w:p>
            <w:pPr>
              <w:pStyle w:val="Compact"/>
              <w:spacing w:after="40"/>
              <w:jc w:val="left"/>
            </w:pPr>
            <w:r>
              <w:rPr>
                <w:sz w:val="18"/>
              </w:rPr>
              <w:t xml:space="preserve">Tenant</w:t>
            </w:r>
          </w:p>
        </w:tc>
        <w:tc>
          <w:tcPr>
            <w:tcW w:w="2660" w:type="dxa"/>
          </w:tcPr>
          <w:p>
            <w:pPr>
              <w:pStyle w:val="Compact"/>
              <w:spacing w:after="40"/>
              <w:jc w:val="left"/>
            </w:pPr>
            <w:r>
              <w:rPr>
                <w:sz w:val="18"/>
              </w:rPr>
              <w:t xml:space="preserve">Off; when on, daily incremental 02:00 IST, monthly full, FY full</w:t>
            </w:r>
          </w:p>
        </w:tc>
        <w:tc>
          <w:tcPr>
            <w:tcW w:w="3038" w:type="dxa"/>
          </w:tcPr>
          <w:p>
            <w:pPr>
              <w:pStyle w:val="Compact"/>
              <w:spacing w:after="40"/>
              <w:jc w:val="left"/>
            </w:pPr>
            <w:r>
              <w:rPr>
                <w:sz w:val="18"/>
              </w:rPr>
              <w:t xml:space="preserve">Commercial choice (Data portability plus SKU)</w:t>
            </w:r>
          </w:p>
        </w:tc>
      </w:tr>
      <w:tr>
        <w:tc>
          <w:tcPr>
            <w:tcW w:w="2147" w:type="dxa"/>
          </w:tcPr>
          <w:p>
            <w:pPr>
              <w:pStyle w:val="Compact"/>
              <w:spacing w:after="40"/>
              <w:jc w:val="left"/>
            </w:pPr>
            <w:r>
              <w:rPr>
                <w:sz w:val="18"/>
              </w:rPr>
              <w:t xml:space="preserve">Allowed data classes per target</w:t>
            </w:r>
          </w:p>
        </w:tc>
        <w:tc>
          <w:tcPr>
            <w:tcW w:w="1793" w:type="dxa"/>
          </w:tcPr>
          <w:p>
            <w:pPr>
              <w:pStyle w:val="Compact"/>
              <w:spacing w:after="40"/>
              <w:jc w:val="left"/>
            </w:pPr>
            <w:r>
              <w:rPr>
                <w:sz w:val="18"/>
              </w:rPr>
              <w:t xml:space="preserve">Target</w:t>
            </w:r>
          </w:p>
        </w:tc>
        <w:tc>
          <w:tcPr>
            <w:tcW w:w="2660" w:type="dxa"/>
          </w:tcPr>
          <w:p>
            <w:pPr>
              <w:pStyle w:val="Compact"/>
              <w:spacing w:after="40"/>
              <w:jc w:val="left"/>
            </w:pPr>
            <w:r>
              <w:rPr>
                <w:sz w:val="18"/>
              </w:rPr>
              <w:t xml:space="preserve">From residency (DP3.2)</w:t>
            </w:r>
          </w:p>
        </w:tc>
        <w:tc>
          <w:tcPr>
            <w:tcW w:w="3038" w:type="dxa"/>
          </w:tcPr>
          <w:p>
            <w:pPr>
              <w:pStyle w:val="Compact"/>
              <w:spacing w:after="40"/>
              <w:jc w:val="left"/>
            </w:pPr>
            <w:r>
              <w:rPr>
                <w:sz w:val="18"/>
              </w:rPr>
              <w:t xml:space="preserve">Floor: cannot widen beyond residency rules</w:t>
            </w:r>
          </w:p>
        </w:tc>
      </w:tr>
      <w:tr>
        <w:tc>
          <w:tcPr>
            <w:tcW w:w="2147" w:type="dxa"/>
          </w:tcPr>
          <w:p>
            <w:pPr>
              <w:pStyle w:val="Compact"/>
              <w:spacing w:after="40"/>
              <w:jc w:val="left"/>
            </w:pPr>
            <w:r>
              <w:rPr>
                <w:sz w:val="18"/>
              </w:rPr>
              <w:t xml:space="preserve">Key mode</w:t>
            </w:r>
          </w:p>
        </w:tc>
        <w:tc>
          <w:tcPr>
            <w:tcW w:w="1793" w:type="dxa"/>
          </w:tcPr>
          <w:p>
            <w:pPr>
              <w:pStyle w:val="Compact"/>
              <w:spacing w:after="40"/>
              <w:jc w:val="left"/>
            </w:pPr>
            <w:r>
              <w:rPr>
                <w:sz w:val="18"/>
              </w:rPr>
              <w:t xml:space="preserve">Tenant</w:t>
            </w:r>
          </w:p>
        </w:tc>
        <w:tc>
          <w:tcPr>
            <w:tcW w:w="2660" w:type="dxa"/>
          </w:tcPr>
          <w:p>
            <w:pPr>
              <w:pStyle w:val="Compact"/>
              <w:spacing w:after="40"/>
              <w:jc w:val="left"/>
            </w:pPr>
            <w:r>
              <w:rPr>
                <w:sz w:val="18"/>
              </w:rPr>
              <w:t xml:space="preserve">Platform-managed per-tenant key</w:t>
            </w:r>
          </w:p>
        </w:tc>
        <w:tc>
          <w:tcPr>
            <w:tcW w:w="3038" w:type="dxa"/>
          </w:tcPr>
          <w:p>
            <w:pPr>
              <w:pStyle w:val="Compact"/>
              <w:spacing w:after="40"/>
              <w:jc w:val="left"/>
            </w:pPr>
            <w:r>
              <w:rPr>
                <w:sz w:val="18"/>
              </w:rPr>
              <w:t xml:space="preserve">BYOK or HYOK optional; HYOK only with the signed risk acceptance</w:t>
            </w:r>
          </w:p>
        </w:tc>
      </w:tr>
      <w:tr>
        <w:tc>
          <w:tcPr>
            <w:tcW w:w="2147" w:type="dxa"/>
          </w:tcPr>
          <w:p>
            <w:pPr>
              <w:pStyle w:val="Compact"/>
              <w:spacing w:after="40"/>
              <w:jc w:val="left"/>
            </w:pPr>
            <w:r>
              <w:rPr>
                <w:sz w:val="18"/>
              </w:rPr>
              <w:t xml:space="preserve">Restore-test cadence</w:t>
            </w:r>
          </w:p>
        </w:tc>
        <w:tc>
          <w:tcPr>
            <w:tcW w:w="1793" w:type="dxa"/>
          </w:tcPr>
          <w:p>
            <w:pPr>
              <w:pStyle w:val="Compact"/>
              <w:spacing w:after="40"/>
              <w:jc w:val="left"/>
            </w:pPr>
            <w:r>
              <w:rPr>
                <w:sz w:val="18"/>
              </w:rPr>
              <w:t xml:space="preserve">Tenant</w:t>
            </w:r>
          </w:p>
        </w:tc>
        <w:tc>
          <w:tcPr>
            <w:tcW w:w="2660" w:type="dxa"/>
          </w:tcPr>
          <w:p>
            <w:pPr>
              <w:pStyle w:val="Compact"/>
              <w:spacing w:after="40"/>
              <w:jc w:val="left"/>
            </w:pPr>
            <w:r>
              <w:rPr>
                <w:sz w:val="18"/>
              </w:rPr>
              <w:t xml:space="preserve">Integrity every backup; readability monthly; rehydration quarterly</w:t>
            </w:r>
          </w:p>
        </w:tc>
        <w:tc>
          <w:tcPr>
            <w:tcW w:w="3038" w:type="dxa"/>
          </w:tcPr>
          <w:p>
            <w:pPr>
              <w:pStyle w:val="Compact"/>
              <w:spacing w:after="40"/>
              <w:jc w:val="left"/>
            </w:pPr>
            <w:r>
              <w:rPr>
                <w:sz w:val="18"/>
              </w:rPr>
              <w:t xml:space="preserve">Floor: not less often than the tenant’s BCP cadence</w:t>
            </w:r>
          </w:p>
        </w:tc>
      </w:tr>
      <w:tr>
        <w:tc>
          <w:tcPr>
            <w:tcW w:w="2147" w:type="dxa"/>
          </w:tcPr>
          <w:p>
            <w:pPr>
              <w:pStyle w:val="Compact"/>
              <w:spacing w:after="40"/>
              <w:jc w:val="left"/>
            </w:pPr>
            <w:r>
              <w:rPr>
                <w:sz w:val="18"/>
              </w:rPr>
              <w:t xml:space="preserve">Exit turnarounds and read-only window</w:t>
            </w:r>
          </w:p>
        </w:tc>
        <w:tc>
          <w:tcPr>
            <w:tcW w:w="1793" w:type="dxa"/>
          </w:tcPr>
          <w:p>
            <w:pPr>
              <w:pStyle w:val="Compact"/>
              <w:spacing w:after="40"/>
              <w:jc w:val="left"/>
            </w:pPr>
            <w:r>
              <w:rPr>
                <w:sz w:val="18"/>
              </w:rPr>
              <w:t xml:space="preserve">Contract</w:t>
            </w:r>
          </w:p>
        </w:tc>
        <w:tc>
          <w:tcPr>
            <w:tcW w:w="2660" w:type="dxa"/>
          </w:tcPr>
          <w:p>
            <w:pPr>
              <w:pStyle w:val="Compact"/>
              <w:spacing w:after="40"/>
              <w:jc w:val="left"/>
            </w:pPr>
            <w:r>
              <w:rPr>
                <w:sz w:val="18"/>
              </w:rPr>
              <w:t xml:space="preserve">DP5.2 defaults</w:t>
            </w:r>
          </w:p>
        </w:tc>
        <w:tc>
          <w:tcPr>
            <w:tcW w:w="3038" w:type="dxa"/>
          </w:tcPr>
          <w:p>
            <w:pPr>
              <w:pStyle w:val="Compact"/>
              <w:spacing w:after="40"/>
              <w:jc w:val="left"/>
            </w:pPr>
            <w:r>
              <w:rPr>
                <w:sz w:val="18"/>
              </w:rPr>
              <w:t xml:space="preserve">Contract may extend, never shorten below OUT obligations</w:t>
            </w:r>
          </w:p>
        </w:tc>
      </w:tr>
    </w:tbl>
    <w:bookmarkEnd w:id="690"/>
    <w:bookmarkStart w:id="691" w:name="menu-and-screens-workspace-n-menu-data"/>
    <w:p>
      <w:pPr>
        <w:pStyle w:val="Heading3"/>
      </w:pPr>
      <w:r>
        <w:t xml:space="preserve">Menu and screens (workspace N, menu</w:t>
      </w:r>
      <w:r>
        <w:t xml:space="preserve"> </w:t>
      </w:r>
      <w:r>
        <w:rPr>
          <w:rStyle w:val="VerbatimChar"/>
        </w:rPr>
        <w:t xml:space="preserve">Data</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67"/>
        <w:gridCol w:w="5100"/>
        <w:gridCol w:w="2971"/>
      </w:tblGrid>
      <w:tr>
        <w:trPr>
          <w:tblHeader w:val="true"/>
          <w:tblHeader w:val="true"/>
        </w:trPr>
        <w:tc>
          <w:tcPr>
            <w:tcW w:w="1567" w:type="dxa"/>
            <w:shd w:val="clear" w:color="auto" w:fill="1F3A5F"/>
          </w:tcPr>
          <w:p>
            <w:pPr>
              <w:pStyle w:val="Compact"/>
              <w:spacing w:after="40"/>
              <w:jc w:val="left"/>
            </w:pPr>
            <w:r>
              <w:rPr>
                <w:b/>
                <w:color w:val="FFFFFF"/>
                <w:sz w:val="18"/>
              </w:rPr>
              <w:t xml:space="preserve">Path</w:t>
            </w:r>
          </w:p>
        </w:tc>
        <w:tc>
          <w:tcPr>
            <w:tcW w:w="5100" w:type="dxa"/>
            <w:shd w:val="clear" w:color="auto" w:fill="1F3A5F"/>
          </w:tcPr>
          <w:p>
            <w:pPr>
              <w:pStyle w:val="Compact"/>
              <w:spacing w:after="40"/>
              <w:jc w:val="left"/>
            </w:pPr>
            <w:r>
              <w:rPr>
                <w:b/>
                <w:color w:val="FFFFFF"/>
                <w:sz w:val="18"/>
              </w:rPr>
              <w:t xml:space="preserve">Main screens and key actions</w:t>
            </w:r>
          </w:p>
        </w:tc>
        <w:tc>
          <w:tcPr>
            <w:tcW w:w="2971" w:type="dxa"/>
            <w:shd w:val="clear" w:color="auto" w:fill="1F3A5F"/>
          </w:tcPr>
          <w:p>
            <w:pPr>
              <w:pStyle w:val="Compact"/>
              <w:spacing w:after="40"/>
              <w:jc w:val="left"/>
            </w:pPr>
            <w:r>
              <w:rPr>
                <w:b/>
                <w:color w:val="FFFFFF"/>
                <w:sz w:val="18"/>
              </w:rPr>
              <w:t xml:space="preserve">Roles</w:t>
            </w:r>
          </w:p>
        </w:tc>
      </w:tr>
      <w:tr>
        <w:tc>
          <w:tcPr>
            <w:tcW w:w="1567" w:type="dxa"/>
          </w:tcPr>
          <w:p>
            <w:pPr>
              <w:pStyle w:val="Compact"/>
              <w:spacing w:after="40"/>
              <w:jc w:val="left"/>
            </w:pPr>
            <w:r>
              <w:rPr>
                <w:rStyle w:val="VerbatimChar"/>
                <w:sz w:val="18"/>
              </w:rPr>
              <w:t xml:space="preserve">Data › Exports</w:t>
            </w:r>
          </w:p>
        </w:tc>
        <w:tc>
          <w:tcPr>
            <w:tcW w:w="5100" w:type="dxa"/>
          </w:tcPr>
          <w:p>
            <w:pPr>
              <w:pStyle w:val="Compact"/>
              <w:spacing w:after="40"/>
              <w:jc w:val="left"/>
            </w:pPr>
            <w:r>
              <w:rPr>
                <w:sz w:val="18"/>
              </w:rPr>
              <w:t xml:space="preserve">Job list (filters: scope, state, requester, target);</w:t>
            </w:r>
            <w:r>
              <w:rPr>
                <w:sz w:val="18"/>
              </w:rPr>
              <w:t xml:space="preserve"> </w:t>
            </w:r>
            <w:r>
              <w:rPr>
                <w:bCs/>
                <w:b/>
                <w:sz w:val="18"/>
              </w:rPr>
              <w:t xml:space="preserve">New export</w:t>
            </w:r>
            <w:r>
              <w:rPr>
                <w:sz w:val="18"/>
              </w:rPr>
              <w:t xml:space="preserve"> </w:t>
            </w:r>
            <w:r>
              <w:rPr>
                <w:sz w:val="18"/>
              </w:rPr>
              <w:t xml:space="preserve">wizard (DP2.5); job detail with step progress, control-total reconciliation, manifest download and verifier instructions; approval queue; schedules; retry or cancel</w:t>
            </w:r>
          </w:p>
        </w:tc>
        <w:tc>
          <w:tcPr>
            <w:tcW w:w="2971" w:type="dxa"/>
          </w:tcPr>
          <w:p>
            <w:pPr>
              <w:pStyle w:val="Compact"/>
              <w:spacing w:after="40"/>
              <w:jc w:val="left"/>
            </w:pPr>
            <w:r>
              <w:rPr>
                <w:sz w:val="18"/>
              </w:rPr>
              <w:t xml:space="preserve">Requesters within scope; approvers per DP2.1; DPO for restricted classes</w:t>
            </w:r>
          </w:p>
        </w:tc>
      </w:tr>
      <w:tr>
        <w:tc>
          <w:tcPr>
            <w:tcW w:w="1567" w:type="dxa"/>
          </w:tcPr>
          <w:p>
            <w:pPr>
              <w:pStyle w:val="Compact"/>
              <w:spacing w:after="40"/>
              <w:jc w:val="left"/>
            </w:pPr>
            <w:r>
              <w:rPr>
                <w:rStyle w:val="VerbatimChar"/>
                <w:sz w:val="18"/>
              </w:rPr>
              <w:t xml:space="preserve">Data › Storage targets</w:t>
            </w:r>
          </w:p>
        </w:tc>
        <w:tc>
          <w:tcPr>
            <w:tcW w:w="5100" w:type="dxa"/>
          </w:tcPr>
          <w:p>
            <w:pPr>
              <w:pStyle w:val="Compact"/>
              <w:spacing w:after="40"/>
              <w:jc w:val="left"/>
            </w:pPr>
            <w:r>
              <w:rPr>
                <w:sz w:val="18"/>
              </w:rPr>
              <w:t xml:space="preserve">Target list with residency status, allowed classes, last health check and certification;</w:t>
            </w:r>
            <w:r>
              <w:rPr>
                <w:sz w:val="18"/>
              </w:rPr>
              <w:t xml:space="preserve"> </w:t>
            </w:r>
            <w:r>
              <w:rPr>
                <w:bCs/>
                <w:b/>
                <w:sz w:val="18"/>
              </w:rPr>
              <w:t xml:space="preserve">Connect target</w:t>
            </w:r>
            <w:r>
              <w:rPr>
                <w:sz w:val="18"/>
              </w:rPr>
              <w:t xml:space="preserve"> </w:t>
            </w:r>
            <w:r>
              <w:rPr>
                <w:sz w:val="18"/>
              </w:rPr>
              <w:t xml:space="preserve">wizard (provider, federation set-up script, residency check, canary write, class selection); pause, rotate credential, disconnect</w:t>
            </w:r>
          </w:p>
        </w:tc>
        <w:tc>
          <w:tcPr>
            <w:tcW w:w="2971" w:type="dxa"/>
          </w:tcPr>
          <w:p>
            <w:pPr>
              <w:pStyle w:val="Compact"/>
              <w:spacing w:after="40"/>
              <w:jc w:val="left"/>
            </w:pPr>
            <w:r>
              <w:rPr>
                <w:sz w:val="18"/>
              </w:rPr>
              <w:t xml:space="preserve">Tenant admin maker, IT head checker</w:t>
            </w:r>
          </w:p>
        </w:tc>
      </w:tr>
      <w:tr>
        <w:tc>
          <w:tcPr>
            <w:tcW w:w="1567" w:type="dxa"/>
          </w:tcPr>
          <w:p>
            <w:pPr>
              <w:pStyle w:val="Compact"/>
              <w:spacing w:after="40"/>
              <w:jc w:val="left"/>
            </w:pPr>
            <w:r>
              <w:rPr>
                <w:rStyle w:val="VerbatimChar"/>
                <w:sz w:val="18"/>
              </w:rPr>
              <w:t xml:space="preserve">Data › Backups</w:t>
            </w:r>
          </w:p>
        </w:tc>
        <w:tc>
          <w:tcPr>
            <w:tcW w:w="5100" w:type="dxa"/>
          </w:tcPr>
          <w:p>
            <w:pPr>
              <w:pStyle w:val="Compact"/>
              <w:spacing w:after="40"/>
              <w:jc w:val="left"/>
            </w:pPr>
            <w:r>
              <w:rPr>
                <w:sz w:val="18"/>
              </w:rPr>
              <w:t xml:space="preserve">Calendar of customer-held backups with status; restore-test results;</w:t>
            </w:r>
            <w:r>
              <w:rPr>
                <w:sz w:val="18"/>
              </w:rPr>
              <w:t xml:space="preserve"> </w:t>
            </w:r>
            <w:r>
              <w:rPr>
                <w:bCs/>
                <w:b/>
                <w:sz w:val="18"/>
              </w:rPr>
              <w:t xml:space="preserve">Run rehydration test</w:t>
            </w:r>
            <w:r>
              <w:rPr>
                <w:sz w:val="18"/>
              </w:rPr>
              <w:t xml:space="preserve">; key configuration and key-event log</w:t>
            </w:r>
          </w:p>
        </w:tc>
        <w:tc>
          <w:tcPr>
            <w:tcW w:w="2971" w:type="dxa"/>
          </w:tcPr>
          <w:p>
            <w:pPr>
              <w:pStyle w:val="Compact"/>
              <w:spacing w:after="40"/>
              <w:jc w:val="left"/>
            </w:pPr>
            <w:r>
              <w:rPr>
                <w:sz w:val="18"/>
              </w:rPr>
              <w:t xml:space="preserve">Tenant admin, CISO, internal audit (read)</w:t>
            </w:r>
          </w:p>
        </w:tc>
      </w:tr>
      <w:tr>
        <w:tc>
          <w:tcPr>
            <w:tcW w:w="1567" w:type="dxa"/>
          </w:tcPr>
          <w:p>
            <w:pPr>
              <w:pStyle w:val="Compact"/>
              <w:spacing w:after="40"/>
              <w:jc w:val="left"/>
            </w:pPr>
            <w:r>
              <w:rPr>
                <w:rStyle w:val="VerbatimChar"/>
                <w:sz w:val="18"/>
              </w:rPr>
              <w:t xml:space="preserve">Data › Exit</w:t>
            </w:r>
          </w:p>
        </w:tc>
        <w:tc>
          <w:tcPr>
            <w:tcW w:w="5100" w:type="dxa"/>
          </w:tcPr>
          <w:p>
            <w:pPr>
              <w:pStyle w:val="Compact"/>
              <w:spacing w:after="40"/>
              <w:jc w:val="left"/>
            </w:pPr>
            <w:r>
              <w:rPr>
                <w:sz w:val="18"/>
              </w:rPr>
              <w:t xml:space="preserve">Visible only after an exit notice or to the authorised signatory: exit plan, turnaround tracker, open statutory clocks, cooperation log, read-only window countdown, purge approval with e-signature, purge certificate</w:t>
            </w:r>
          </w:p>
        </w:tc>
        <w:tc>
          <w:tcPr>
            <w:tcW w:w="2971" w:type="dxa"/>
          </w:tcPr>
          <w:p>
            <w:pPr>
              <w:pStyle w:val="Compact"/>
              <w:spacing w:after="40"/>
              <w:jc w:val="left"/>
            </w:pPr>
            <w:r>
              <w:rPr>
                <w:sz w:val="18"/>
              </w:rPr>
              <w:t xml:space="preserve">Authorised signatory, tenant admin, successor contacts (scoped external access)</w:t>
            </w:r>
          </w:p>
        </w:tc>
      </w:tr>
    </w:tbl>
    <w:p>
      <w:pPr>
        <w:pStyle w:val="BodyText"/>
      </w:pPr>
      <w:r>
        <w:t xml:space="preserve">Empty states explain what each feature does and link to the SKU page where it is not entitled; on-demand and exit exports are always available (CM1.2).</w:t>
      </w:r>
    </w:p>
    <w:p>
      <w:r>
        <w:pict>
          <v:rect style="width:0;height:1.5pt" o:hralign="center" o:hrstd="t" o:hr="t"/>
        </w:pict>
      </w:r>
    </w:p>
    <w:bookmarkEnd w:id="691"/>
    <w:bookmarkEnd w:id="692"/>
    <w:bookmarkEnd w:id="693"/>
    <w:bookmarkStart w:id="726" w:name="X26f82694d1f04ef8f7982a90eed09b26d320ff4"/>
    <w:p>
      <w:pPr>
        <w:pStyle w:val="Heading1"/>
      </w:pPr>
      <w:r>
        <w:t xml:space="preserve">PART 7K — PLANS, ENTITLEMENTS, BILLING AND PAYMENTS (TENANT SIDE)</w:t>
      </w:r>
    </w:p>
    <w:p>
      <w:pPr>
        <w:pStyle w:val="FirstParagraph"/>
      </w:pPr>
      <w:r>
        <w:rPr>
          <w:bCs/>
          <w:b/>
        </w:rPr>
        <w:t xml:space="preserve">Purpose.</w:t>
      </w:r>
      <w:r>
        <w:t xml:space="preserve"> </w:t>
      </w:r>
      <w:r>
        <w:t xml:space="preserve">Let tenants see and manage what they buy from Infrabyx in plain language, and let Finbyx enforce exactly what they bought, without ever letting a commercial event interrupt a regulated function. The</w:t>
      </w:r>
      <w:r>
        <w:t xml:space="preserve"> </w:t>
      </w:r>
      <w:r>
        <w:rPr>
          <w:bCs/>
          <w:b/>
        </w:rPr>
        <w:t xml:space="preserve">Operations Hub owns the revenue catalogue, prices, invoices, Razorpay account and revenue accounting</w:t>
      </w:r>
      <w:r>
        <w:t xml:space="preserve"> </w:t>
      </w:r>
      <w:r>
        <w:t xml:space="preserve">(OH8); Finbyx owns the tenant-facing pages, server-side entitlement enforcement, usage metering at source, and the regulatory-continuity rules. Vendor billing is completely separate from lender-to-borrower loan accounting and collections (M7, M10).</w:t>
      </w:r>
    </w:p>
    <w:p>
      <w:pPr>
        <w:pStyle w:val="BodyText"/>
      </w:pPr>
      <w:r>
        <w:rPr>
          <w:bCs/>
          <w:b/>
        </w:rPr>
        <w:t xml:space="preserve">Applicability.</w:t>
      </w:r>
      <w:r>
        <w:t xml:space="preserve"> </w:t>
      </w:r>
      <w:r>
        <w:t xml:space="preserve">Every tenant. Dedicated and on-premises deployments use an offline signed licence file instead of live entitlement sync (CM1.5). Udofin has its own plans and borrower-side rules (Udofin Part 7G); nothing here permits charging borrowers.</w:t>
      </w:r>
    </w:p>
    <w:p>
      <w:pPr>
        <w:pStyle w:val="BodyText"/>
      </w:pPr>
      <w:r>
        <w:rPr>
          <w:bCs/>
          <w:b/>
        </w:rPr>
        <w:t xml:space="preserve">Requirement codes.</w:t>
      </w:r>
      <w:r>
        <w:t xml:space="preserve"> </w:t>
      </w:r>
      <w:r>
        <w:t xml:space="preserve">OUT (paras 15, 74, 87, 97(xvi)), CF (paras 10(1)–(5) for the separation of loan money), CYB (para 115 MFA), DPS (card data),</w:t>
      </w:r>
      <w:r>
        <w:t xml:space="preserve"> </w:t>
      </w:r>
      <w:r>
        <w:rPr>
          <w:rStyle w:val="VerbatimChar"/>
        </w:rPr>
        <w:t xml:space="preserve">PCI</w:t>
      </w:r>
      <w:r>
        <w:t xml:space="preserve">,</w:t>
      </w:r>
      <w:r>
        <w:t xml:space="preserve"> </w:t>
      </w:r>
      <w:r>
        <w:rPr>
          <w:rStyle w:val="VerbatimChar"/>
        </w:rPr>
        <w:t xml:space="preserve">GST</w:t>
      </w:r>
      <w:r>
        <w:t xml:space="preserve">,</w:t>
      </w:r>
      <w:r>
        <w:t xml:space="preserve"> </w:t>
      </w:r>
      <w:r>
        <w:rPr>
          <w:rStyle w:val="VerbatimChar"/>
        </w:rPr>
        <w:t xml:space="preserve">ITA25</w:t>
      </w:r>
      <w:r>
        <w:t xml:space="preserve">,</w:t>
      </w:r>
      <w:r>
        <w:t xml:space="preserve"> </w:t>
      </w:r>
      <w:r>
        <w:rPr>
          <w:rStyle w:val="VerbatimChar"/>
        </w:rPr>
        <w:t xml:space="preserve">DPDP</w:t>
      </w:r>
      <w:r>
        <w:t xml:space="preserve">,</w:t>
      </w:r>
      <w:r>
        <w:t xml:space="preserve"> </w:t>
      </w:r>
      <w:r>
        <w:rPr>
          <w:rStyle w:val="VerbatimChar"/>
        </w:rPr>
        <w:t xml:space="preserve">CCPA</w:t>
      </w:r>
      <w:r>
        <w:t xml:space="preserve">,</w:t>
      </w:r>
      <w:r>
        <w:t xml:space="preserve"> </w:t>
      </w:r>
      <w:r>
        <w:rPr>
          <w:rStyle w:val="VerbatimChar"/>
        </w:rPr>
        <w:t xml:space="preserve">ASCI</w:t>
      </w:r>
      <w:r>
        <w:t xml:space="preserve">,</w:t>
      </w:r>
      <w:r>
        <w:t xml:space="preserve"> </w:t>
      </w:r>
      <w:r>
        <w:rPr>
          <w:rStyle w:val="VerbatimChar"/>
        </w:rPr>
        <w:t xml:space="preserve">EMD</w:t>
      </w:r>
      <w:r>
        <w:t xml:space="preserve"> </w:t>
      </w:r>
      <w:r>
        <w:t xml:space="preserve">(RBI E-mandate Directions 2026, RBI/DPSS/2026-27/396, 21 Apr 2026),</w:t>
      </w:r>
      <w:r>
        <w:t xml:space="preserve"> </w:t>
      </w:r>
      <w:r>
        <w:rPr>
          <w:rStyle w:val="VerbatimChar"/>
        </w:rPr>
        <w:t xml:space="preserve">PA</w:t>
      </w:r>
      <w:r>
        <w:t xml:space="preserve"> </w:t>
      </w:r>
      <w:r>
        <w:t xml:space="preserve">(RBI Payment Aggregator Directions 2025), CoFT circular 2021 (codes in Part 8A.37). REQ-ID examples:</w:t>
      </w:r>
      <w:r>
        <w:t xml:space="preserve"> </w:t>
      </w:r>
      <w:r>
        <w:rPr>
          <w:rStyle w:val="VerbatimChar"/>
        </w:rPr>
        <w:t xml:space="preserve">REQ-EMD-8(a)</w:t>
      </w:r>
      <w:r>
        <w:t xml:space="preserve">,</w:t>
      </w:r>
      <w:r>
        <w:t xml:space="preserve"> </w:t>
      </w:r>
      <w:r>
        <w:rPr>
          <w:rStyle w:val="VerbatimChar"/>
        </w:rPr>
        <w:t xml:space="preserve">REQ-EMD-6(a)</w:t>
      </w:r>
      <w:r>
        <w:t xml:space="preserve">,</w:t>
      </w:r>
      <w:r>
        <w:t xml:space="preserve"> </w:t>
      </w:r>
      <w:r>
        <w:rPr>
          <w:rStyle w:val="VerbatimChar"/>
        </w:rPr>
        <w:t xml:space="preserve">REQ-OUT-87</w:t>
      </w:r>
      <w:r>
        <w:t xml:space="preserve">,</w:t>
      </w:r>
      <w:r>
        <w:t xml:space="preserve"> </w:t>
      </w:r>
      <w:r>
        <w:rPr>
          <w:rStyle w:val="VerbatimChar"/>
        </w:rPr>
        <w:t xml:space="preserve">REQ-PCI-SAQA</w:t>
      </w:r>
      <w:r>
        <w:t xml:space="preserve">.</w:t>
      </w:r>
    </w:p>
    <w:p>
      <w:pPr>
        <w:pStyle w:val="BodyText"/>
      </w:pPr>
      <w:r>
        <w:rPr>
          <w:bCs/>
          <w:b/>
        </w:rPr>
        <w:t xml:space="preserve">Data owned.</w:t>
      </w:r>
      <w:r>
        <w:t xml:space="preserve"> </w:t>
      </w:r>
      <w:r>
        <w:t xml:space="preserve">Catalogue, prices, invoices, payments and contracts: Operations Hub (Infrabyx is the seller and data owner of its commercial records). Entitlement state as applied, usage records at source, billing-page preferences and billing contacts: Finbyx, as part of the tenant’s account with Infrabyx. Only aggregated usage quantities and statement hashes leave Finbyx for billing; no borrower or loan-level data is ever sent to the Operations Hub.</w:t>
      </w:r>
    </w:p>
    <w:p>
      <w:pPr>
        <w:pStyle w:val="BodyText"/>
      </w:pPr>
      <w:r>
        <w:rPr>
          <w:bCs/>
          <w:b/>
        </w:rPr>
        <w:t xml:space="preserve">Extends, does not rebuild.</w:t>
      </w:r>
      <w:r>
        <w:t xml:space="preserve"> </w:t>
      </w:r>
      <w:r>
        <w:t xml:space="preserve">Part 7A.0.1–7A.0.3 (module registry,</w:t>
      </w:r>
      <w:r>
        <w:t xml:space="preserve"> </w:t>
      </w:r>
      <w:r>
        <w:rPr>
          <w:rStyle w:val="VerbatimChar"/>
        </w:rPr>
        <w:t xml:space="preserve">licence_sku</w:t>
      </w:r>
      <w:r>
        <w:t xml:space="preserve">, entitlement plus feature flag, module lifecycle) generalised to every optional module; Part 10.2 principle 35; Part 11.6 commercial viability; M19 roles; Integration Spec billing domain events.</w:t>
      </w:r>
    </w:p>
    <w:p>
      <w:pPr>
        <w:pStyle w:val="BodyText"/>
      </w:pPr>
      <w:r>
        <w:rPr>
          <w:bCs/>
          <w:b/>
        </w:rPr>
        <w:t xml:space="preserve">Canonical events.</w:t>
      </w:r>
      <w:r>
        <w:t xml:space="preserve"> </w:t>
      </w:r>
      <w:r>
        <w:t xml:space="preserve">Consumed from the Operations Hub:</w:t>
      </w:r>
      <w:r>
        <w:t xml:space="preserve"> </w:t>
      </w:r>
      <w:r>
        <w:rPr>
          <w:rStyle w:val="VerbatimChar"/>
        </w:rPr>
        <w:t xml:space="preserve">PlanChanged</w:t>
      </w:r>
      <w:r>
        <w:t xml:space="preserve">,</w:t>
      </w:r>
      <w:r>
        <w:t xml:space="preserve"> </w:t>
      </w:r>
      <w:r>
        <w:rPr>
          <w:rStyle w:val="VerbatimChar"/>
        </w:rPr>
        <w:t xml:space="preserve">EntitlementChanged</w:t>
      </w:r>
      <w:r>
        <w:t xml:space="preserve">,</w:t>
      </w:r>
      <w:r>
        <w:t xml:space="preserve"> </w:t>
      </w:r>
      <w:r>
        <w:rPr>
          <w:rStyle w:val="VerbatimChar"/>
        </w:rPr>
        <w:t xml:space="preserve">InvoiceIssued</w:t>
      </w:r>
      <w:r>
        <w:t xml:space="preserve">,</w:t>
      </w:r>
      <w:r>
        <w:t xml:space="preserve"> </w:t>
      </w:r>
      <w:r>
        <w:rPr>
          <w:rStyle w:val="VerbatimChar"/>
        </w:rPr>
        <w:t xml:space="preserve">SubscriptionPaymentReceived</w:t>
      </w:r>
      <w:r>
        <w:t xml:space="preserve">,</w:t>
      </w:r>
      <w:r>
        <w:t xml:space="preserve"> </w:t>
      </w:r>
      <w:r>
        <w:rPr>
          <w:rStyle w:val="VerbatimChar"/>
        </w:rPr>
        <w:t xml:space="preserve">SubscriptionPaymentFailed</w:t>
      </w:r>
      <w:r>
        <w:t xml:space="preserve">,</w:t>
      </w:r>
      <w:r>
        <w:t xml:space="preserve"> </w:t>
      </w:r>
      <w:r>
        <w:rPr>
          <w:rStyle w:val="VerbatimChar"/>
        </w:rPr>
        <w:t xml:space="preserve">SubscriptionCancelled</w:t>
      </w:r>
      <w:r>
        <w:t xml:space="preserve">. Produced by Finbyx:</w:t>
      </w:r>
      <w:r>
        <w:t xml:space="preserve"> </w:t>
      </w:r>
      <w:r>
        <w:rPr>
          <w:rStyle w:val="VerbatimChar"/>
        </w:rPr>
        <w:t xml:space="preserve">UsageRecorded</w:t>
      </w:r>
      <w:r>
        <w:t xml:space="preserve">.</w:t>
      </w:r>
      <w:r>
        <w:t xml:space="preserve"> </w:t>
      </w:r>
      <w:r>
        <w:rPr>
          <w:rStyle w:val="VerbatimChar"/>
        </w:rPr>
        <w:t xml:space="preserve">TenantProvisioned</w:t>
      </w:r>
      <w:r>
        <w:t xml:space="preserve"> </w:t>
      </w:r>
      <w:r>
        <w:t xml:space="preserve">(ops domain) is consumed when a sandbox or production tenant is created.</w:t>
      </w:r>
    </w:p>
    <w:p>
      <w:r>
        <w:pict>
          <v:rect style="width:0;height:1.5pt" o:hralign="center" o:hrstd="t" o:hr="t"/>
        </w:pict>
      </w:r>
    </w:p>
    <w:bookmarkStart w:id="700" w:name="X2c895c202f036f7dd531a8ba179b0f0ac4c69a4"/>
    <w:p>
      <w:pPr>
        <w:pStyle w:val="Heading2"/>
      </w:pPr>
      <w:r>
        <w:t xml:space="preserve">CM1. Plan catalogue consumption and entitlement enforcement</w:t>
      </w:r>
    </w:p>
    <w:bookmarkStart w:id="694" w:name="cm1.1-catalogue-consumption"/>
    <w:p>
      <w:pPr>
        <w:pStyle w:val="Heading3"/>
      </w:pPr>
      <w:r>
        <w:t xml:space="preserve">CM1.1 Catalogue consumption</w:t>
      </w:r>
    </w:p>
    <w:p>
      <w:pPr>
        <w:numPr>
          <w:ilvl w:val="0"/>
          <w:numId w:val="1557"/>
        </w:numPr>
        <w:pStyle w:val="Compact"/>
      </w:pPr>
      <w:r>
        <w:t xml:space="preserve">The Operations Hub publishes a</w:t>
      </w:r>
      <w:r>
        <w:t xml:space="preserve"> </w:t>
      </w:r>
      <w:r>
        <w:rPr>
          <w:bCs/>
          <w:b/>
        </w:rPr>
        <w:t xml:space="preserve">signed catalogue document</w:t>
      </w:r>
      <w:r>
        <w:t xml:space="preserve"> </w:t>
      </w:r>
      <w:r>
        <w:t xml:space="preserve">per version: products, plans, SKUs, modules per SKU, meters, price books (by market, currency and channel), add-ons, revenue-stream flags (CM5), plain-language explainer text (CM2.3), effective dates and grandfathering rules.</w:t>
      </w:r>
    </w:p>
    <w:p>
      <w:pPr>
        <w:numPr>
          <w:ilvl w:val="0"/>
          <w:numId w:val="1557"/>
        </w:numPr>
        <w:pStyle w:val="Compact"/>
      </w:pPr>
      <w:r>
        <w:t xml:space="preserve">Finbyx fetches it through the Hub API, verifies the JWS signature against the pinned Hub key, validates it against the catalogue schema, and stores it read-only (</w:t>
      </w:r>
      <w:r>
        <w:rPr>
          <w:rStyle w:val="VerbatimChar"/>
        </w:rPr>
        <w:t xml:space="preserve">catalogue_version</w:t>
      </w:r>
      <w:r>
        <w:t xml:space="preserve">). An invalid or unsigned catalogue is rejected and the previous version stays live.</w:t>
      </w:r>
    </w:p>
    <w:p>
      <w:pPr>
        <w:numPr>
          <w:ilvl w:val="0"/>
          <w:numId w:val="1557"/>
        </w:numPr>
        <w:pStyle w:val="Compact"/>
      </w:pPr>
      <w:r>
        <w:rPr>
          <w:bCs/>
          <w:b/>
        </w:rPr>
        <w:t xml:space="preserve">Every SKU must map to modules in the Finbyx module registry</w:t>
      </w:r>
      <w:r>
        <w:t xml:space="preserve">: each</w:t>
      </w:r>
      <w:r>
        <w:t xml:space="preserve"> </w:t>
      </w:r>
      <w:r>
        <w:rPr>
          <w:rStyle w:val="VerbatimChar"/>
        </w:rPr>
        <w:t xml:space="preserve">module.yaml</w:t>
      </w:r>
      <w:r>
        <w:t xml:space="preserve"> </w:t>
      </w:r>
      <w:r>
        <w:t xml:space="preserve">(Part 7A.0.1) carries</w:t>
      </w:r>
      <w:r>
        <w:t xml:space="preserve"> </w:t>
      </w:r>
      <w:r>
        <w:rPr>
          <w:rStyle w:val="VerbatimChar"/>
        </w:rPr>
        <w:t xml:space="preserve">licence_sku</w:t>
      </w:r>
      <w:r>
        <w:t xml:space="preserve">; a catalogue SKU that names an unknown module, or a module without a SKU, fails the catalogue import with a report to Hub operations.</w:t>
      </w:r>
    </w:p>
    <w:p>
      <w:pPr>
        <w:numPr>
          <w:ilvl w:val="0"/>
          <w:numId w:val="1557"/>
        </w:numPr>
        <w:pStyle w:val="Compact"/>
      </w:pPr>
      <w:r>
        <w:t xml:space="preserve">Prices are displayed from the catalogue only; Finbyx never computes a price or a tax.</w:t>
      </w:r>
    </w:p>
    <w:bookmarkEnd w:id="694"/>
    <w:bookmarkStart w:id="695" w:name="Xca8f2258a73aa21441496f4c9eea2d92fa3a93e"/>
    <w:p>
      <w:pPr>
        <w:pStyle w:val="Heading3"/>
      </w:pPr>
      <w:r>
        <w:t xml:space="preserve">CM1.2 Module registry and SKUs [REC; final packaging is an owner decision]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245"/>
        <w:gridCol w:w="3351"/>
        <w:gridCol w:w="3042"/>
      </w:tblGrid>
      <w:tr>
        <w:trPr>
          <w:tblHeader w:val="true"/>
          <w:tblHeader w:val="true"/>
        </w:trPr>
        <w:tc>
          <w:tcPr>
            <w:tcW w:w="3245" w:type="dxa"/>
            <w:shd w:val="clear" w:color="auto" w:fill="1F3A5F"/>
          </w:tcPr>
          <w:p>
            <w:pPr>
              <w:pStyle w:val="Compact"/>
              <w:spacing w:after="40"/>
              <w:jc w:val="left"/>
            </w:pPr>
            <w:r>
              <w:rPr>
                <w:b/>
                <w:color w:val="FFFFFF"/>
                <w:sz w:val="18"/>
              </w:rPr>
              <w:t xml:space="preserve">SKU family</w:t>
            </w:r>
          </w:p>
        </w:tc>
        <w:tc>
          <w:tcPr>
            <w:tcW w:w="3351" w:type="dxa"/>
            <w:shd w:val="clear" w:color="auto" w:fill="1F3A5F"/>
          </w:tcPr>
          <w:p>
            <w:pPr>
              <w:pStyle w:val="Compact"/>
              <w:spacing w:after="40"/>
              <w:jc w:val="left"/>
            </w:pPr>
            <w:r>
              <w:rPr>
                <w:b/>
                <w:color w:val="FFFFFF"/>
                <w:sz w:val="18"/>
              </w:rPr>
              <w:t xml:space="preserve">Modules (registry ids)</w:t>
            </w:r>
          </w:p>
        </w:tc>
        <w:tc>
          <w:tcPr>
            <w:tcW w:w="3042" w:type="dxa"/>
            <w:shd w:val="clear" w:color="auto" w:fill="1F3A5F"/>
          </w:tcPr>
          <w:p>
            <w:pPr>
              <w:pStyle w:val="Compact"/>
              <w:spacing w:after="40"/>
              <w:jc w:val="left"/>
            </w:pPr>
            <w:r>
              <w:rPr>
                <w:b/>
                <w:color w:val="FFFFFF"/>
                <w:sz w:val="18"/>
              </w:rPr>
              <w:t xml:space="preserve">Notes</w:t>
            </w:r>
          </w:p>
        </w:tc>
      </w:tr>
      <w:tr>
        <w:tc>
          <w:tcPr>
            <w:tcW w:w="3245" w:type="dxa"/>
          </w:tcPr>
          <w:p>
            <w:pPr>
              <w:pStyle w:val="Compact"/>
              <w:spacing w:after="40"/>
              <w:jc w:val="left"/>
            </w:pPr>
            <w:r>
              <w:rPr>
                <w:sz w:val="18"/>
              </w:rPr>
              <w:t xml:space="preserve">Core</w:t>
            </w:r>
          </w:p>
        </w:tc>
        <w:tc>
          <w:tcPr>
            <w:tcW w:w="3351" w:type="dxa"/>
          </w:tcPr>
          <w:p>
            <w:pPr>
              <w:pStyle w:val="Compact"/>
              <w:spacing w:after="40"/>
              <w:jc w:val="left"/>
            </w:pPr>
            <w:r>
              <w:rPr>
                <w:sz w:val="18"/>
              </w:rPr>
              <w:t xml:space="preserve">M1–M8, M10–M19, M21 (M9 points to Part 7A), Part 7J DP1–DP2 on-demand export and DP5 exit</w:t>
            </w:r>
          </w:p>
        </w:tc>
        <w:tc>
          <w:tcPr>
            <w:tcW w:w="3042" w:type="dxa"/>
          </w:tcPr>
          <w:p>
            <w:pPr>
              <w:pStyle w:val="Compact"/>
              <w:spacing w:after="40"/>
              <w:jc w:val="left"/>
            </w:pPr>
            <w:r>
              <w:rPr>
                <w:sz w:val="18"/>
              </w:rPr>
              <w:t xml:space="preserve">Export and exit export are never removed from any plan</w:t>
            </w:r>
          </w:p>
        </w:tc>
      </w:tr>
      <w:tr>
        <w:tc>
          <w:tcPr>
            <w:tcW w:w="3245" w:type="dxa"/>
          </w:tcPr>
          <w:p>
            <w:pPr>
              <w:pStyle w:val="Compact"/>
              <w:spacing w:after="40"/>
              <w:jc w:val="left"/>
            </w:pPr>
            <w:r>
              <w:rPr>
                <w:sz w:val="18"/>
              </w:rPr>
              <w:t xml:space="preserve">AI layer</w:t>
            </w:r>
          </w:p>
        </w:tc>
        <w:tc>
          <w:tcPr>
            <w:tcW w:w="3351" w:type="dxa"/>
          </w:tcPr>
          <w:p>
            <w:pPr>
              <w:pStyle w:val="Compact"/>
              <w:spacing w:after="40"/>
              <w:jc w:val="left"/>
            </w:pPr>
            <w:r>
              <w:rPr>
                <w:sz w:val="18"/>
              </w:rPr>
              <w:t xml:space="preserve">M20</w:t>
            </w:r>
          </w:p>
        </w:tc>
        <w:tc>
          <w:tcPr>
            <w:tcW w:w="3042" w:type="dxa"/>
          </w:tcPr>
          <w:p>
            <w:pPr>
              <w:pStyle w:val="Compact"/>
              <w:spacing w:after="40"/>
              <w:jc w:val="left"/>
            </w:pPr>
            <w:r>
              <w:rPr>
                <w:sz w:val="18"/>
              </w:rPr>
              <w:t xml:space="preserve">Usage-metered where model cost applies; every AI use stays under M20 governance</w:t>
            </w:r>
          </w:p>
        </w:tc>
      </w:tr>
      <w:tr>
        <w:tc>
          <w:tcPr>
            <w:tcW w:w="3245" w:type="dxa"/>
          </w:tcPr>
          <w:p>
            <w:pPr>
              <w:pStyle w:val="Compact"/>
              <w:spacing w:after="40"/>
              <w:jc w:val="left"/>
            </w:pPr>
            <w:r>
              <w:rPr>
                <w:sz w:val="18"/>
              </w:rPr>
              <w:t xml:space="preserve">Accounting and tax</w:t>
            </w:r>
          </w:p>
        </w:tc>
        <w:tc>
          <w:tcPr>
            <w:tcW w:w="3351" w:type="dxa"/>
          </w:tcPr>
          <w:p>
            <w:pPr>
              <w:pStyle w:val="Compact"/>
              <w:spacing w:after="40"/>
              <w:jc w:val="left"/>
            </w:pPr>
            <w:r>
              <w:rPr>
                <w:sz w:val="18"/>
              </w:rPr>
              <w:t xml:space="preserve">Part 7C</w:t>
            </w:r>
          </w:p>
        </w:tc>
        <w:tc>
          <w:tcPr>
            <w:tcW w:w="3042" w:type="dxa"/>
          </w:tcPr>
          <w:p>
            <w:pPr>
              <w:pStyle w:val="Compact"/>
              <w:spacing w:after="40"/>
              <w:jc w:val="left"/>
            </w:pPr>
            <w:r>
              <w:rPr>
                <w:sz w:val="18"/>
              </w:rPr>
              <w:t xml:space="preserve">Required for statutory audit-trail evidence when Finbyx holds books</w:t>
            </w:r>
          </w:p>
        </w:tc>
      </w:tr>
      <w:tr>
        <w:tc>
          <w:tcPr>
            <w:tcW w:w="3245" w:type="dxa"/>
          </w:tcPr>
          <w:p>
            <w:pPr>
              <w:pStyle w:val="Compact"/>
              <w:spacing w:after="40"/>
              <w:jc w:val="left"/>
            </w:pPr>
            <w:r>
              <w:rPr>
                <w:sz w:val="18"/>
              </w:rPr>
              <w:t xml:space="preserve">Regulatory returns and bureaus</w:t>
            </w:r>
          </w:p>
        </w:tc>
        <w:tc>
          <w:tcPr>
            <w:tcW w:w="3351" w:type="dxa"/>
          </w:tcPr>
          <w:p>
            <w:pPr>
              <w:pStyle w:val="Compact"/>
              <w:spacing w:after="40"/>
              <w:jc w:val="left"/>
            </w:pPr>
            <w:r>
              <w:rPr>
                <w:sz w:val="18"/>
              </w:rPr>
              <w:t xml:space="preserve">Part 7B (RR1–RR8)</w:t>
            </w:r>
          </w:p>
        </w:tc>
        <w:tc>
          <w:tcPr>
            <w:tcW w:w="3042" w:type="dxa"/>
          </w:tcPr>
          <w:p>
            <w:pPr>
              <w:pStyle w:val="Compact"/>
              <w:spacing w:after="40"/>
              <w:jc w:val="left"/>
            </w:pPr>
            <w:r>
              <w:rPr>
                <w:sz w:val="18"/>
              </w:rPr>
              <w:t xml:space="preserve">Priced per entity, not per return</w:t>
            </w:r>
          </w:p>
        </w:tc>
      </w:tr>
      <w:tr>
        <w:tc>
          <w:tcPr>
            <w:tcW w:w="3245" w:type="dxa"/>
          </w:tcPr>
          <w:p>
            <w:pPr>
              <w:pStyle w:val="Compact"/>
              <w:spacing w:after="40"/>
              <w:jc w:val="left"/>
            </w:pPr>
            <w:r>
              <w:rPr>
                <w:sz w:val="18"/>
              </w:rPr>
              <w:t xml:space="preserve">Risk and capital</w:t>
            </w:r>
          </w:p>
        </w:tc>
        <w:tc>
          <w:tcPr>
            <w:tcW w:w="3351" w:type="dxa"/>
          </w:tcPr>
          <w:p>
            <w:pPr>
              <w:pStyle w:val="Compact"/>
              <w:spacing w:after="40"/>
              <w:jc w:val="left"/>
            </w:pPr>
            <w:r>
              <w:rPr>
                <w:sz w:val="18"/>
              </w:rPr>
              <w:t xml:space="preserve">Part 7E</w:t>
            </w:r>
          </w:p>
        </w:tc>
        <w:tc>
          <w:tcPr>
            <w:tcW w:w="3042" w:type="dxa"/>
          </w:tcPr>
          <w:p>
            <w:pPr>
              <w:pStyle w:val="Compact"/>
              <w:spacing w:after="40"/>
              <w:jc w:val="left"/>
            </w:pPr>
            <w:r>
              <w:rPr>
                <w:sz w:val="18"/>
              </w:rPr>
              <w:t xml:space="preserve">—</w:t>
            </w:r>
          </w:p>
        </w:tc>
      </w:tr>
      <w:tr>
        <w:tc>
          <w:tcPr>
            <w:tcW w:w="3245" w:type="dxa"/>
          </w:tcPr>
          <w:p>
            <w:pPr>
              <w:pStyle w:val="Compact"/>
              <w:spacing w:after="40"/>
              <w:jc w:val="left"/>
            </w:pPr>
            <w:r>
              <w:rPr>
                <w:sz w:val="18"/>
              </w:rPr>
              <w:t xml:space="preserve">Audit and assurance</w:t>
            </w:r>
          </w:p>
        </w:tc>
        <w:tc>
          <w:tcPr>
            <w:tcW w:w="3351" w:type="dxa"/>
          </w:tcPr>
          <w:p>
            <w:pPr>
              <w:pStyle w:val="Compact"/>
              <w:spacing w:after="40"/>
              <w:jc w:val="left"/>
            </w:pPr>
            <w:r>
              <w:rPr>
                <w:sz w:val="18"/>
              </w:rPr>
              <w:t xml:space="preserve">Part 7D</w:t>
            </w:r>
          </w:p>
        </w:tc>
        <w:tc>
          <w:tcPr>
            <w:tcW w:w="3042" w:type="dxa"/>
          </w:tcPr>
          <w:p>
            <w:pPr>
              <w:pStyle w:val="Compact"/>
              <w:spacing w:after="40"/>
              <w:jc w:val="left"/>
            </w:pPr>
            <w:r>
              <w:rPr>
                <w:sz w:val="18"/>
              </w:rPr>
              <w:t xml:space="preserve">Auditor and supervisor seats never charged to the regulator</w:t>
            </w:r>
          </w:p>
        </w:tc>
      </w:tr>
      <w:tr>
        <w:tc>
          <w:tcPr>
            <w:tcW w:w="3245" w:type="dxa"/>
          </w:tcPr>
          <w:p>
            <w:pPr>
              <w:pStyle w:val="Compact"/>
              <w:spacing w:after="40"/>
              <w:jc w:val="left"/>
            </w:pPr>
            <w:r>
              <w:rPr>
                <w:sz w:val="18"/>
              </w:rPr>
              <w:t xml:space="preserve">Governance</w:t>
            </w:r>
          </w:p>
        </w:tc>
        <w:tc>
          <w:tcPr>
            <w:tcW w:w="3351" w:type="dxa"/>
          </w:tcPr>
          <w:p>
            <w:pPr>
              <w:pStyle w:val="Compact"/>
              <w:spacing w:after="40"/>
              <w:jc w:val="left"/>
            </w:pPr>
            <w:r>
              <w:rPr>
                <w:sz w:val="18"/>
              </w:rPr>
              <w:t xml:space="preserve">Part 7F GV1–GV3, GV5</w:t>
            </w:r>
          </w:p>
        </w:tc>
        <w:tc>
          <w:tcPr>
            <w:tcW w:w="3042" w:type="dxa"/>
          </w:tcPr>
          <w:p>
            <w:pPr>
              <w:pStyle w:val="Compact"/>
              <w:spacing w:after="40"/>
              <w:jc w:val="left"/>
            </w:pPr>
            <w:r>
              <w:rPr>
                <w:sz w:val="18"/>
              </w:rPr>
              <w:t xml:space="preserve">—</w:t>
            </w:r>
          </w:p>
        </w:tc>
      </w:tr>
      <w:tr>
        <w:tc>
          <w:tcPr>
            <w:tcW w:w="3245" w:type="dxa"/>
          </w:tcPr>
          <w:p>
            <w:pPr>
              <w:pStyle w:val="Compact"/>
              <w:spacing w:after="40"/>
              <w:jc w:val="left"/>
            </w:pPr>
            <w:r>
              <w:rPr>
                <w:sz w:val="18"/>
              </w:rPr>
              <w:t xml:space="preserve">Listed entity</w:t>
            </w:r>
          </w:p>
        </w:tc>
        <w:tc>
          <w:tcPr>
            <w:tcW w:w="3351" w:type="dxa"/>
          </w:tcPr>
          <w:p>
            <w:pPr>
              <w:pStyle w:val="Compact"/>
              <w:spacing w:after="40"/>
              <w:jc w:val="left"/>
            </w:pPr>
            <w:r>
              <w:rPr>
                <w:sz w:val="18"/>
              </w:rPr>
              <w:t xml:space="preserve">Part 7F GV4</w:t>
            </w:r>
          </w:p>
        </w:tc>
        <w:tc>
          <w:tcPr>
            <w:tcW w:w="3042" w:type="dxa"/>
          </w:tcPr>
          <w:p>
            <w:pPr>
              <w:pStyle w:val="Compact"/>
              <w:spacing w:after="40"/>
              <w:jc w:val="left"/>
            </w:pPr>
            <w:r>
              <w:rPr>
                <w:sz w:val="18"/>
              </w:rPr>
              <w:t xml:space="preserve">Activated by listing status</w:t>
            </w:r>
          </w:p>
        </w:tc>
      </w:tr>
      <w:tr>
        <w:tc>
          <w:tcPr>
            <w:tcW w:w="3245" w:type="dxa"/>
          </w:tcPr>
          <w:p>
            <w:pPr>
              <w:pStyle w:val="Compact"/>
              <w:spacing w:after="40"/>
              <w:jc w:val="left"/>
            </w:pPr>
            <w:r>
              <w:rPr>
                <w:sz w:val="18"/>
              </w:rPr>
              <w:t xml:space="preserve">Workforce</w:t>
            </w:r>
          </w:p>
        </w:tc>
        <w:tc>
          <w:tcPr>
            <w:tcW w:w="3351" w:type="dxa"/>
          </w:tcPr>
          <w:p>
            <w:pPr>
              <w:pStyle w:val="Compact"/>
              <w:spacing w:after="40"/>
              <w:jc w:val="left"/>
            </w:pPr>
            <w:r>
              <w:rPr>
                <w:sz w:val="18"/>
              </w:rPr>
              <w:t xml:space="preserve">Part 7F GV6</w:t>
            </w:r>
          </w:p>
        </w:tc>
        <w:tc>
          <w:tcPr>
            <w:tcW w:w="3042" w:type="dxa"/>
          </w:tcPr>
          <w:p>
            <w:pPr>
              <w:pStyle w:val="Compact"/>
              <w:spacing w:after="40"/>
              <w:jc w:val="left"/>
            </w:pPr>
            <w:r>
              <w:rPr>
                <w:sz w:val="18"/>
              </w:rPr>
              <w:t xml:space="preserve">Separate data-processing addendum</w:t>
            </w:r>
          </w:p>
        </w:tc>
      </w:tr>
      <w:tr>
        <w:tc>
          <w:tcPr>
            <w:tcW w:w="3245" w:type="dxa"/>
          </w:tcPr>
          <w:p>
            <w:pPr>
              <w:pStyle w:val="Compact"/>
              <w:spacing w:after="40"/>
              <w:jc w:val="left"/>
            </w:pPr>
            <w:r>
              <w:rPr>
                <w:sz w:val="18"/>
              </w:rPr>
              <w:t xml:space="preserve">Workplace connectors</w:t>
            </w:r>
          </w:p>
        </w:tc>
        <w:tc>
          <w:tcPr>
            <w:tcW w:w="3351" w:type="dxa"/>
          </w:tcPr>
          <w:p>
            <w:pPr>
              <w:pStyle w:val="Compact"/>
              <w:spacing w:after="40"/>
              <w:jc w:val="left"/>
            </w:pPr>
            <w:r>
              <w:rPr>
                <w:sz w:val="18"/>
              </w:rPr>
              <w:t xml:space="preserve">Part 7F GV7</w:t>
            </w:r>
          </w:p>
        </w:tc>
        <w:tc>
          <w:tcPr>
            <w:tcW w:w="3042" w:type="dxa"/>
          </w:tcPr>
          <w:p>
            <w:pPr>
              <w:pStyle w:val="Compact"/>
              <w:spacing w:after="40"/>
              <w:jc w:val="left"/>
            </w:pPr>
            <w:r>
              <w:rPr>
                <w:sz w:val="18"/>
              </w:rPr>
              <w:t xml:space="preserve">—</w:t>
            </w:r>
          </w:p>
        </w:tc>
      </w:tr>
      <w:tr>
        <w:tc>
          <w:tcPr>
            <w:tcW w:w="3245" w:type="dxa"/>
          </w:tcPr>
          <w:p>
            <w:pPr>
              <w:pStyle w:val="Compact"/>
              <w:spacing w:after="40"/>
              <w:jc w:val="left"/>
            </w:pPr>
            <w:r>
              <w:rPr>
                <w:sz w:val="18"/>
              </w:rPr>
              <w:t xml:space="preserve">Recovery Suite (Core, Settlement and ADR, Secured Enforcement, Shared-Exposure, Playbooks)</w:t>
            </w:r>
          </w:p>
        </w:tc>
        <w:tc>
          <w:tcPr>
            <w:tcW w:w="3351" w:type="dxa"/>
          </w:tcPr>
          <w:p>
            <w:pPr>
              <w:pStyle w:val="Compact"/>
              <w:spacing w:after="40"/>
              <w:jc w:val="left"/>
            </w:pPr>
            <w:r>
              <w:rPr>
                <w:sz w:val="18"/>
              </w:rPr>
              <w:t xml:space="preserve">Part 7A SKUs</w:t>
            </w:r>
          </w:p>
        </w:tc>
        <w:tc>
          <w:tcPr>
            <w:tcW w:w="3042" w:type="dxa"/>
          </w:tcPr>
          <w:p>
            <w:pPr>
              <w:pStyle w:val="Compact"/>
              <w:spacing w:after="40"/>
              <w:jc w:val="left"/>
            </w:pPr>
            <w:r>
              <w:rPr>
                <w:sz w:val="18"/>
              </w:rPr>
              <w:t xml:space="preserve">Unchanged from v1.4</w:t>
            </w:r>
          </w:p>
        </w:tc>
      </w:tr>
      <w:tr>
        <w:tc>
          <w:tcPr>
            <w:tcW w:w="3245" w:type="dxa"/>
          </w:tcPr>
          <w:p>
            <w:pPr>
              <w:pStyle w:val="Compact"/>
              <w:spacing w:after="40"/>
              <w:jc w:val="left"/>
            </w:pPr>
            <w:r>
              <w:rPr>
                <w:sz w:val="18"/>
              </w:rPr>
              <w:t xml:space="preserve">Institution profiles</w:t>
            </w:r>
          </w:p>
        </w:tc>
        <w:tc>
          <w:tcPr>
            <w:tcW w:w="3351" w:type="dxa"/>
          </w:tcPr>
          <w:p>
            <w:pPr>
              <w:pStyle w:val="Compact"/>
              <w:spacing w:after="40"/>
              <w:jc w:val="left"/>
            </w:pPr>
            <w:r>
              <w:rPr>
                <w:sz w:val="18"/>
              </w:rPr>
              <w:t xml:space="preserve">Part 7G packs (co-operative, microfinance, ARC, IFSC)</w:t>
            </w:r>
          </w:p>
        </w:tc>
        <w:tc>
          <w:tcPr>
            <w:tcW w:w="3042" w:type="dxa"/>
          </w:tcPr>
          <w:p>
            <w:pPr>
              <w:pStyle w:val="Compact"/>
              <w:spacing w:after="40"/>
              <w:jc w:val="left"/>
            </w:pPr>
            <w:r>
              <w:rPr>
                <w:sz w:val="18"/>
              </w:rPr>
              <w:t xml:space="preserve">Profile-gated</w:t>
            </w:r>
          </w:p>
        </w:tc>
      </w:tr>
      <w:tr>
        <w:tc>
          <w:tcPr>
            <w:tcW w:w="3245" w:type="dxa"/>
          </w:tcPr>
          <w:p>
            <w:pPr>
              <w:pStyle w:val="Compact"/>
              <w:spacing w:after="40"/>
              <w:jc w:val="left"/>
            </w:pPr>
            <w:r>
              <w:rPr>
                <w:sz w:val="18"/>
              </w:rPr>
              <w:t xml:space="preserve">Investments</w:t>
            </w:r>
          </w:p>
        </w:tc>
        <w:tc>
          <w:tcPr>
            <w:tcW w:w="3351" w:type="dxa"/>
          </w:tcPr>
          <w:p>
            <w:pPr>
              <w:pStyle w:val="Compact"/>
              <w:spacing w:after="40"/>
              <w:jc w:val="left"/>
            </w:pPr>
            <w:r>
              <w:rPr>
                <w:sz w:val="18"/>
              </w:rPr>
              <w:t xml:space="preserve">Part 7H</w:t>
            </w:r>
          </w:p>
        </w:tc>
        <w:tc>
          <w:tcPr>
            <w:tcW w:w="3042" w:type="dxa"/>
          </w:tcPr>
          <w:p>
            <w:pPr>
              <w:pStyle w:val="Compact"/>
              <w:spacing w:after="40"/>
              <w:jc w:val="left"/>
            </w:pPr>
            <w:r>
              <w:rPr>
                <w:sz w:val="18"/>
              </w:rPr>
              <w:t xml:space="preserve">—</w:t>
            </w:r>
          </w:p>
        </w:tc>
      </w:tr>
      <w:tr>
        <w:tc>
          <w:tcPr>
            <w:tcW w:w="3245" w:type="dxa"/>
          </w:tcPr>
          <w:p>
            <w:pPr>
              <w:pStyle w:val="Compact"/>
              <w:spacing w:after="40"/>
              <w:jc w:val="left"/>
            </w:pPr>
            <w:r>
              <w:rPr>
                <w:sz w:val="18"/>
              </w:rPr>
              <w:t xml:space="preserve">Data portability plus</w:t>
            </w:r>
          </w:p>
        </w:tc>
        <w:tc>
          <w:tcPr>
            <w:tcW w:w="3351" w:type="dxa"/>
          </w:tcPr>
          <w:p>
            <w:pPr>
              <w:pStyle w:val="Compact"/>
              <w:spacing w:after="40"/>
              <w:jc w:val="left"/>
            </w:pPr>
            <w:r>
              <w:rPr>
                <w:sz w:val="18"/>
              </w:rPr>
              <w:t xml:space="preserve">Part 7J DP3 scheduled deliveries, DP4 customer-held backups and rehydration tests, BYOK and HYOK</w:t>
            </w:r>
          </w:p>
        </w:tc>
        <w:tc>
          <w:tcPr>
            <w:tcW w:w="3042" w:type="dxa"/>
          </w:tcPr>
          <w:p>
            <w:pPr>
              <w:pStyle w:val="Compact"/>
              <w:spacing w:after="40"/>
              <w:jc w:val="left"/>
            </w:pPr>
            <w:r>
              <w:rPr>
                <w:sz w:val="18"/>
              </w:rPr>
              <w:t xml:space="preserve">On-demand and exit exports stay in Core</w:t>
            </w:r>
          </w:p>
        </w:tc>
      </w:tr>
      <w:tr>
        <w:tc>
          <w:tcPr>
            <w:tcW w:w="3245" w:type="dxa"/>
          </w:tcPr>
          <w:p>
            <w:pPr>
              <w:pStyle w:val="Compact"/>
              <w:spacing w:after="40"/>
              <w:jc w:val="left"/>
            </w:pPr>
            <w:r>
              <w:rPr>
                <w:sz w:val="18"/>
              </w:rPr>
              <w:t xml:space="preserve">Voice and AI contact centre</w:t>
            </w:r>
          </w:p>
        </w:tc>
        <w:tc>
          <w:tcPr>
            <w:tcW w:w="3351" w:type="dxa"/>
          </w:tcPr>
          <w:p>
            <w:pPr>
              <w:pStyle w:val="Compact"/>
              <w:spacing w:after="40"/>
              <w:jc w:val="left"/>
            </w:pPr>
            <w:r>
              <w:rPr>
                <w:sz w:val="18"/>
              </w:rPr>
              <w:t xml:space="preserve">Part 7L EO6</w:t>
            </w:r>
          </w:p>
        </w:tc>
        <w:tc>
          <w:tcPr>
            <w:tcW w:w="3042" w:type="dxa"/>
          </w:tcPr>
          <w:p>
            <w:pPr>
              <w:pStyle w:val="Compact"/>
              <w:spacing w:after="40"/>
              <w:jc w:val="left"/>
            </w:pPr>
            <w:r>
              <w:rPr>
                <w:sz w:val="18"/>
              </w:rPr>
              <w:t xml:space="preserve">Usage-metered</w:t>
            </w:r>
          </w:p>
        </w:tc>
      </w:tr>
      <w:tr>
        <w:tc>
          <w:tcPr>
            <w:tcW w:w="3245" w:type="dxa"/>
          </w:tcPr>
          <w:p>
            <w:pPr>
              <w:pStyle w:val="Compact"/>
              <w:spacing w:after="40"/>
              <w:jc w:val="left"/>
            </w:pPr>
            <w:r>
              <w:rPr>
                <w:sz w:val="18"/>
              </w:rPr>
              <w:t xml:space="preserve">Field app; borrower portal</w:t>
            </w:r>
          </w:p>
        </w:tc>
        <w:tc>
          <w:tcPr>
            <w:tcW w:w="3351" w:type="dxa"/>
          </w:tcPr>
          <w:p>
            <w:pPr>
              <w:pStyle w:val="Compact"/>
              <w:spacing w:after="40"/>
              <w:jc w:val="left"/>
            </w:pPr>
            <w:r>
              <w:rPr>
                <w:sz w:val="18"/>
              </w:rPr>
              <w:t xml:space="preserve">M22; M23</w:t>
            </w:r>
          </w:p>
        </w:tc>
        <w:tc>
          <w:tcPr>
            <w:tcW w:w="3042" w:type="dxa"/>
          </w:tcPr>
          <w:p>
            <w:pPr>
              <w:pStyle w:val="Compact"/>
              <w:spacing w:after="40"/>
              <w:jc w:val="left"/>
            </w:pPr>
            <w:r>
              <w:rPr>
                <w:sz w:val="18"/>
              </w:rPr>
              <w:t xml:space="preserve">—</w:t>
            </w:r>
          </w:p>
        </w:tc>
      </w:tr>
    </w:tbl>
    <w:bookmarkEnd w:id="695"/>
    <w:bookmarkStart w:id="696" w:name="cm1.3-entitlement-model"/>
    <w:p>
      <w:pPr>
        <w:pStyle w:val="Heading3"/>
      </w:pPr>
      <w:r>
        <w:t xml:space="preserve">CM1.3 Entitlement model</w:t>
      </w:r>
    </w:p>
    <w:p>
      <w:pPr>
        <w:numPr>
          <w:ilvl w:val="0"/>
          <w:numId w:val="1558"/>
        </w:numPr>
        <w:pStyle w:val="Compact"/>
      </w:pPr>
      <w:r>
        <w:rPr>
          <w:bCs/>
          <w:b/>
        </w:rPr>
        <w:t xml:space="preserve">Entitlement record</w:t>
      </w:r>
      <w:r>
        <w:t xml:space="preserve"> </w:t>
      </w:r>
      <w:r>
        <w:t xml:space="preserve">(set only by Infrabyx through the Hub; emitted as</w:t>
      </w:r>
      <w:r>
        <w:t xml:space="preserve"> </w:t>
      </w:r>
      <w:r>
        <w:rPr>
          <w:rStyle w:val="VerbatimChar"/>
        </w:rPr>
        <w:t xml:space="preserve">EntitlementChanged</w:t>
      </w:r>
      <w:r>
        <w:t xml:space="preserve">, signed): tenant, legal-entity scope, SKU, start, end, limits, and source contract reference.</w:t>
      </w:r>
    </w:p>
    <w:p>
      <w:pPr>
        <w:numPr>
          <w:ilvl w:val="0"/>
          <w:numId w:val="1558"/>
        </w:numPr>
        <w:pStyle w:val="Compact"/>
      </w:pPr>
      <w:r>
        <w:rPr>
          <w:bCs/>
          <w:b/>
        </w:rPr>
        <w:t xml:space="preserve">Limit types:</w:t>
      </w:r>
      <w:r>
        <w:t xml:space="preserve"> </w:t>
      </w:r>
      <w:r>
        <w:rPr>
          <w:rStyle w:val="VerbatimChar"/>
        </w:rPr>
        <w:t xml:space="preserve">module</w:t>
      </w:r>
      <w:r>
        <w:t xml:space="preserve"> </w:t>
      </w:r>
      <w:r>
        <w:t xml:space="preserve">(on or off),</w:t>
      </w:r>
      <w:r>
        <w:t xml:space="preserve"> </w:t>
      </w:r>
      <w:r>
        <w:rPr>
          <w:rStyle w:val="VerbatimChar"/>
        </w:rPr>
        <w:t xml:space="preserve">capacity</w:t>
      </w:r>
      <w:r>
        <w:t xml:space="preserve"> </w:t>
      </w:r>
      <w:r>
        <w:t xml:space="preserve">(named users, branches, legal entities, active loans, AUM band, devices),</w:t>
      </w:r>
      <w:r>
        <w:t xml:space="preserve"> </w:t>
      </w:r>
      <w:r>
        <w:rPr>
          <w:rStyle w:val="VerbatimChar"/>
        </w:rPr>
        <w:t xml:space="preserve">rate</w:t>
      </w:r>
      <w:r>
        <w:t xml:space="preserve"> </w:t>
      </w:r>
      <w:r>
        <w:t xml:space="preserve">(API tier),</w:t>
      </w:r>
      <w:r>
        <w:t xml:space="preserve"> </w:t>
      </w:r>
      <w:r>
        <w:rPr>
          <w:rStyle w:val="VerbatimChar"/>
        </w:rPr>
        <w:t xml:space="preserve">environment</w:t>
      </w:r>
      <w:r>
        <w:t xml:space="preserve"> </w:t>
      </w:r>
      <w:r>
        <w:t xml:space="preserve">(sandboxes),</w:t>
      </w:r>
      <w:r>
        <w:t xml:space="preserve"> </w:t>
      </w:r>
      <w:r>
        <w:rPr>
          <w:rStyle w:val="VerbatimChar"/>
        </w:rPr>
        <w:t xml:space="preserve">support_tier</w:t>
      </w:r>
      <w:r>
        <w:t xml:space="preserve">.</w:t>
      </w:r>
    </w:p>
    <w:p>
      <w:pPr>
        <w:numPr>
          <w:ilvl w:val="0"/>
          <w:numId w:val="1558"/>
        </w:numPr>
        <w:pStyle w:val="Compact"/>
      </w:pPr>
      <w:r>
        <w:rPr>
          <w:bCs/>
          <w:b/>
        </w:rPr>
        <w:t xml:space="preserve">Quota behaviour per limit</w:t>
      </w:r>
      <w:r>
        <w:t xml:space="preserve"> </w:t>
      </w:r>
      <w:r>
        <w:t xml:space="preserve">(set in the catalogue):</w:t>
      </w:r>
      <w:r>
        <w:t xml:space="preserve"> </w:t>
      </w:r>
      <w:r>
        <w:rPr>
          <w:rStyle w:val="VerbatimChar"/>
        </w:rPr>
        <w:t xml:space="preserve">hard</w:t>
      </w:r>
      <w:r>
        <w:t xml:space="preserve"> </w:t>
      </w:r>
      <w:r>
        <w:t xml:space="preserve">(blocks creation of new units beyond the limit, after the grace defined below),</w:t>
      </w:r>
      <w:r>
        <w:t xml:space="preserve"> </w:t>
      </w:r>
      <w:r>
        <w:rPr>
          <w:rStyle w:val="VerbatimChar"/>
        </w:rPr>
        <w:t xml:space="preserve">soft</w:t>
      </w:r>
      <w:r>
        <w:t xml:space="preserve"> </w:t>
      </w:r>
      <w:r>
        <w:t xml:space="preserve">(allows and meters overage),</w:t>
      </w:r>
      <w:r>
        <w:t xml:space="preserve"> </w:t>
      </w:r>
      <w:r>
        <w:rPr>
          <w:rStyle w:val="VerbatimChar"/>
        </w:rPr>
        <w:t xml:space="preserve">informational</w:t>
      </w:r>
      <w:r>
        <w:t xml:space="preserve"> </w:t>
      </w:r>
      <w:r>
        <w:t xml:space="preserve">(alerts only).</w:t>
      </w:r>
    </w:p>
    <w:p>
      <w:pPr>
        <w:numPr>
          <w:ilvl w:val="0"/>
          <w:numId w:val="1558"/>
        </w:numPr>
        <w:pStyle w:val="Compact"/>
      </w:pPr>
      <w:r>
        <w:rPr>
          <w:bCs/>
          <w:b/>
        </w:rPr>
        <w:t xml:space="preserve">Server-side checks</w:t>
      </w:r>
      <w:r>
        <w:t xml:space="preserve"> </w:t>
      </w:r>
      <w:r>
        <w:t xml:space="preserve">on every API call, workflow step, worker and UI slot, as in Part 7A.0.2: a capability runs only if the entitlement is active, the tenant flag is on and every required module is ENABLED (or READ_ONLY for reads). Denials return</w:t>
      </w:r>
      <w:r>
        <w:t xml:space="preserve"> </w:t>
      </w:r>
      <w:r>
        <w:rPr>
          <w:rStyle w:val="VerbatimChar"/>
        </w:rPr>
        <w:t xml:space="preserve">403</w:t>
      </w:r>
      <w:r>
        <w:t xml:space="preserve"> </w:t>
      </w:r>
      <w:r>
        <w:t xml:space="preserve">with</w:t>
      </w:r>
      <w:r>
        <w:t xml:space="preserve"> </w:t>
      </w:r>
      <w:r>
        <w:rPr>
          <w:rStyle w:val="VerbatimChar"/>
        </w:rPr>
        <w:t xml:space="preserve">not_entitled</w:t>
      </w:r>
      <w:r>
        <w:t xml:space="preserve">,</w:t>
      </w:r>
      <w:r>
        <w:t xml:space="preserve"> </w:t>
      </w:r>
      <w:r>
        <w:rPr>
          <w:rStyle w:val="VerbatimChar"/>
        </w:rPr>
        <w:t xml:space="preserve">limit_reached</w:t>
      </w:r>
      <w:r>
        <w:t xml:space="preserve">,</w:t>
      </w:r>
      <w:r>
        <w:t xml:space="preserve"> </w:t>
      </w:r>
      <w:r>
        <w:rPr>
          <w:rStyle w:val="VerbatimChar"/>
        </w:rPr>
        <w:t xml:space="preserve">not_enabled</w:t>
      </w:r>
      <w:r>
        <w:t xml:space="preserve">,</w:t>
      </w:r>
      <w:r>
        <w:t xml:space="preserve"> </w:t>
      </w:r>
      <w:r>
        <w:rPr>
          <w:rStyle w:val="VerbatimChar"/>
        </w:rPr>
        <w:t xml:space="preserve">dependency_missing</w:t>
      </w:r>
      <w:r>
        <w:t xml:space="preserve"> </w:t>
      </w:r>
      <w:r>
        <w:t xml:space="preserve">or</w:t>
      </w:r>
      <w:r>
        <w:t xml:space="preserve"> </w:t>
      </w:r>
      <w:r>
        <w:rPr>
          <w:rStyle w:val="VerbatimChar"/>
        </w:rPr>
        <w:t xml:space="preserve">read_only</w:t>
      </w:r>
      <w:r>
        <w:t xml:space="preserve">, and are logged.</w:t>
      </w:r>
    </w:p>
    <w:p>
      <w:pPr>
        <w:numPr>
          <w:ilvl w:val="0"/>
          <w:numId w:val="1558"/>
        </w:numPr>
        <w:pStyle w:val="Compact"/>
      </w:pPr>
      <w:r>
        <w:rPr>
          <w:bCs/>
          <w:b/>
        </w:rPr>
        <w:t xml:space="preserve">Tenant flags</w:t>
      </w:r>
      <w:r>
        <w:t xml:space="preserve"> </w:t>
      </w:r>
      <w:r>
        <w:t xml:space="preserve">(maker-checker, per entity, product and branch) can only narrow what is entitled, never widen it.</w:t>
      </w:r>
    </w:p>
    <w:p>
      <w:pPr>
        <w:numPr>
          <w:ilvl w:val="0"/>
          <w:numId w:val="1558"/>
        </w:numPr>
        <w:pStyle w:val="Compact"/>
      </w:pPr>
      <w:r>
        <w:rPr>
          <w:rStyle w:val="VerbatimChar"/>
          <w:bCs/>
          <w:b/>
        </w:rPr>
        <w:t xml:space="preserve">PlanChanged</w:t>
      </w:r>
      <w:r>
        <w:t xml:space="preserve"> </w:t>
      </w:r>
      <w:r>
        <w:t xml:space="preserve">updates the plan view and schedules the entitlement changes for their effective time; upgrades take effect immediately, downgrades at the end of the paid term unless the contract says otherwise (OH8.4). Entitlements change only on the signed</w:t>
      </w:r>
      <w:r>
        <w:t xml:space="preserve"> </w:t>
      </w:r>
      <w:r>
        <w:rPr>
          <w:rStyle w:val="VerbatimChar"/>
        </w:rPr>
        <w:t xml:space="preserve">EntitlementChanged</w:t>
      </w:r>
      <w:r>
        <w:t xml:space="preserve">, never on</w:t>
      </w:r>
      <w:r>
        <w:t xml:space="preserve"> </w:t>
      </w:r>
      <w:r>
        <w:rPr>
          <w:rStyle w:val="VerbatimChar"/>
        </w:rPr>
        <w:t xml:space="preserve">PlanChanged</w:t>
      </w:r>
      <w:r>
        <w:t xml:space="preserve"> </w:t>
      </w:r>
      <w:r>
        <w:t xml:space="preserve">alone; an</w:t>
      </w:r>
      <w:r>
        <w:t xml:space="preserve"> </w:t>
      </w:r>
      <w:r>
        <w:rPr>
          <w:rStyle w:val="VerbatimChar"/>
        </w:rPr>
        <w:t xml:space="preserve">EntitlementChanged</w:t>
      </w:r>
      <w:r>
        <w:t xml:space="preserve"> </w:t>
      </w:r>
      <w:r>
        <w:t xml:space="preserve">whose version is lower than the applied one is ignored and logged.</w:t>
      </w:r>
    </w:p>
    <w:bookmarkEnd w:id="696"/>
    <w:bookmarkStart w:id="697" w:name="Xdbc5e9810e49d7eec51836eb0b2dd3fa2f81a02"/>
    <w:p>
      <w:pPr>
        <w:pStyle w:val="Heading3"/>
      </w:pPr>
      <w:r>
        <w:t xml:space="preserve">CM1.4 Regulatory-continuity rule (platform guard-rail)</w:t>
      </w:r>
    </w:p>
    <w:p>
      <w:pPr>
        <w:pStyle w:val="FirstParagraph"/>
      </w:pPr>
      <w:r>
        <w:t xml:space="preserve">No commercial state (quota exhausted, payment overdue, downgrade, suspension, cancellation) may stop or degrade:</w:t>
      </w:r>
    </w:p>
    <w:p>
      <w:pPr>
        <w:numPr>
          <w:ilvl w:val="0"/>
          <w:numId w:val="1559"/>
        </w:numPr>
        <w:pStyle w:val="Compact"/>
      </w:pPr>
      <w:r>
        <w:t xml:space="preserve">COB, accruals, classification, provisioning and period close;</w:t>
      </w:r>
    </w:p>
    <w:p>
      <w:pPr>
        <w:numPr>
          <w:ilvl w:val="0"/>
          <w:numId w:val="1559"/>
        </w:numPr>
        <w:pStyle w:val="Compact"/>
      </w:pPr>
      <w:r>
        <w:t xml:space="preserve">disbursement of loans already sanctioned, servicing, receipts, mandate presentation already scheduled, refunds and document release (RBC paras 35–39);</w:t>
      </w:r>
    </w:p>
    <w:p>
      <w:pPr>
        <w:numPr>
          <w:ilvl w:val="0"/>
          <w:numId w:val="1559"/>
        </w:numPr>
        <w:pStyle w:val="Compact"/>
      </w:pPr>
      <w:r>
        <w:t xml:space="preserve">CIC submissions, regulatory returns, FIU-IND reports and incident notices;</w:t>
      </w:r>
    </w:p>
    <w:p>
      <w:pPr>
        <w:numPr>
          <w:ilvl w:val="0"/>
          <w:numId w:val="1559"/>
        </w:numPr>
        <w:pStyle w:val="Compact"/>
      </w:pPr>
      <w:r>
        <w:t xml:space="preserve">grievance handling, Internal Ombudsman and RB-IOS workflows;</w:t>
      </w:r>
    </w:p>
    <w:p>
      <w:pPr>
        <w:numPr>
          <w:ilvl w:val="0"/>
          <w:numId w:val="1559"/>
        </w:numPr>
        <w:pStyle w:val="Compact"/>
      </w:pPr>
      <w:r>
        <w:t xml:space="preserve">statements, certificates and disclosures owed to borrowers;</w:t>
      </w:r>
    </w:p>
    <w:p>
      <w:pPr>
        <w:numPr>
          <w:ilvl w:val="0"/>
          <w:numId w:val="1559"/>
        </w:numPr>
        <w:pStyle w:val="Compact"/>
      </w:pPr>
      <w:r>
        <w:t xml:space="preserve">collections conduct controls (contact-policy engine), call-recording retention;</w:t>
      </w:r>
    </w:p>
    <w:p>
      <w:pPr>
        <w:numPr>
          <w:ilvl w:val="0"/>
          <w:numId w:val="1559"/>
        </w:numPr>
        <w:pStyle w:val="Compact"/>
      </w:pPr>
      <w:r>
        <w:t xml:space="preserve">the audit trail, read access and export (OUT para 87);</w:t>
      </w:r>
    </w:p>
    <w:p>
      <w:pPr>
        <w:numPr>
          <w:ilvl w:val="0"/>
          <w:numId w:val="1559"/>
        </w:numPr>
        <w:pStyle w:val="Compact"/>
      </w:pPr>
      <w:r>
        <w:t xml:space="preserve">auditor and RBI supervisor access (CYB paras 46, 57).</w:t>
      </w:r>
    </w:p>
    <w:p>
      <w:pPr>
        <w:pStyle w:val="FirstParagraph"/>
      </w:pPr>
      <w:r>
        <w:t xml:space="preserve">Hard limits apply only to creating new non-regulated units (new users above the seat limit, new module attachments, new product configurations) and, after notice, to new lead and application intake above a contracted cap. A downgrade or cancellation moves modules to READ_ONLY through the Part 7A.0.5 detach workflow (open-deadline gate, export pack, no deletion).</w:t>
      </w:r>
    </w:p>
    <w:bookmarkEnd w:id="697"/>
    <w:bookmarkStart w:id="698" w:name="cm1.5-offline-and-dedicated-deployments"/>
    <w:p>
      <w:pPr>
        <w:pStyle w:val="Heading3"/>
      </w:pPr>
      <w:r>
        <w:t xml:space="preserve">CM1.5 Offline and dedicated deployments</w:t>
      </w:r>
    </w:p>
    <w:p>
      <w:pPr>
        <w:numPr>
          <w:ilvl w:val="0"/>
          <w:numId w:val="1560"/>
        </w:numPr>
        <w:pStyle w:val="Compact"/>
      </w:pPr>
      <w:r>
        <w:t xml:space="preserve">Dedicated and on-premises installations use a signed licence file (tenant, SKUs, limits, validity, grace) verified at start-up and daily; renewal by uploading a new file.</w:t>
      </w:r>
    </w:p>
    <w:p>
      <w:pPr>
        <w:numPr>
          <w:ilvl w:val="0"/>
          <w:numId w:val="1560"/>
        </w:numPr>
        <w:pStyle w:val="Compact"/>
      </w:pPr>
      <w:r>
        <w:t xml:space="preserve">If the Hub is unreachable, SaaS tenants keep the last valid signed entitlement for 30 days [REC]; there is no remote</w:t>
      </w:r>
      <w:r>
        <w:t xml:space="preserve"> </w:t>
      </w:r>
      <w:r>
        <w:t xml:space="preserve">“</w:t>
      </w:r>
      <w:r>
        <w:t xml:space="preserve">kill switch</w:t>
      </w:r>
      <w:r>
        <w:t xml:space="preserve">”</w:t>
      </w:r>
      <w:r>
        <w:t xml:space="preserve"> </w:t>
      </w:r>
      <w:r>
        <w:t xml:space="preserve">and no remote deletion path.</w:t>
      </w:r>
    </w:p>
    <w:bookmarkEnd w:id="698"/>
    <w:bookmarkStart w:id="699" w:name="acceptance-tests-59"/>
    <w:p>
      <w:pPr>
        <w:pStyle w:val="Heading3"/>
      </w:pPr>
      <w:r>
        <w:t xml:space="preserve">Acceptance tests</w:t>
      </w:r>
    </w:p>
    <w:p>
      <w:pPr>
        <w:numPr>
          <w:ilvl w:val="0"/>
          <w:numId w:val="1561"/>
        </w:numPr>
        <w:pStyle w:val="Compact"/>
      </w:pPr>
      <w:r>
        <w:t xml:space="preserve">A catalogue signed with an unknown key is rejected and the previous version remains live; a catalogue naming a module absent from the registry fails import with a report.</w:t>
      </w:r>
    </w:p>
    <w:p>
      <w:pPr>
        <w:numPr>
          <w:ilvl w:val="0"/>
          <w:numId w:val="1561"/>
        </w:numPr>
        <w:pStyle w:val="Compact"/>
      </w:pPr>
      <w:r>
        <w:t xml:space="preserve">A tenant without the</w:t>
      </w:r>
      <w:r>
        <w:t xml:space="preserve"> </w:t>
      </w:r>
      <w:r>
        <w:rPr>
          <w:rStyle w:val="VerbatimChar"/>
        </w:rPr>
        <w:t xml:space="preserve">Investments</w:t>
      </w:r>
      <w:r>
        <w:t xml:space="preserve"> </w:t>
      </w:r>
      <w:r>
        <w:t xml:space="preserve">SKU receives</w:t>
      </w:r>
      <w:r>
        <w:t xml:space="preserve"> </w:t>
      </w:r>
      <w:r>
        <w:rPr>
          <w:rStyle w:val="VerbatimChar"/>
        </w:rPr>
        <w:t xml:space="preserve">403 not_entitled</w:t>
      </w:r>
      <w:r>
        <w:t xml:space="preserve"> </w:t>
      </w:r>
      <w:r>
        <w:t xml:space="preserve">on every Part 7H API and sees no 7H menu; enabling the tenant flag alone changes nothing.</w:t>
      </w:r>
    </w:p>
    <w:p>
      <w:pPr>
        <w:numPr>
          <w:ilvl w:val="0"/>
          <w:numId w:val="1561"/>
        </w:numPr>
        <w:pStyle w:val="Compact"/>
      </w:pPr>
      <w:r>
        <w:t xml:space="preserve">An expired subscription with an overdue invoice still runs COB, files the CIC submission due on the 16th, and lets a borrower download a statement.</w:t>
      </w:r>
    </w:p>
    <w:p>
      <w:pPr>
        <w:numPr>
          <w:ilvl w:val="0"/>
          <w:numId w:val="1561"/>
        </w:numPr>
        <w:pStyle w:val="Compact"/>
      </w:pPr>
      <w:r>
        <w:t xml:space="preserve">Reaching the named-user limit blocks creating a new user with</w:t>
      </w:r>
      <w:r>
        <w:t xml:space="preserve"> </w:t>
      </w:r>
      <w:r>
        <w:rPr>
          <w:rStyle w:val="VerbatimChar"/>
        </w:rPr>
        <w:t xml:space="preserve">limit_reached</w:t>
      </w:r>
      <w:r>
        <w:t xml:space="preserve"> </w:t>
      </w:r>
      <w:r>
        <w:t xml:space="preserve">but does not affect existing users’ sessions.</w:t>
      </w:r>
    </w:p>
    <w:p>
      <w:pPr>
        <w:numPr>
          <w:ilvl w:val="0"/>
          <w:numId w:val="1561"/>
        </w:numPr>
        <w:pStyle w:val="Compact"/>
      </w:pPr>
      <w:r>
        <w:t xml:space="preserve">Downgrading away from Recovery Core with an open s.138 clock is held at the Part 7A.0.5 open-deadline gate.</w:t>
      </w:r>
    </w:p>
    <w:p>
      <w:pPr>
        <w:numPr>
          <w:ilvl w:val="0"/>
          <w:numId w:val="1561"/>
        </w:numPr>
        <w:pStyle w:val="Compact"/>
      </w:pPr>
      <w:r>
        <w:t xml:space="preserve">With the Hub unreachable for 10 days, entitlements continue; at day 31 the tenant sees a warning and no regulated function is affected.</w:t>
      </w:r>
    </w:p>
    <w:p>
      <w:r>
        <w:pict>
          <v:rect style="width:0;height:1.5pt" o:hralign="center" o:hrstd="t" o:hr="t"/>
        </w:pict>
      </w:r>
    </w:p>
    <w:bookmarkEnd w:id="699"/>
    <w:bookmarkEnd w:id="700"/>
    <w:bookmarkStart w:id="707" w:name="Xc6f7f78e125da5c217b6910a39c1127000bb7d9"/>
    <w:p>
      <w:pPr>
        <w:pStyle w:val="Heading2"/>
      </w:pPr>
      <w:r>
        <w:t xml:space="preserve">CM2. Billing, membership and settings pages</w:t>
      </w:r>
    </w:p>
    <w:bookmarkStart w:id="701" w:name="cm2.1-roles"/>
    <w:p>
      <w:pPr>
        <w:pStyle w:val="Heading3"/>
      </w:pPr>
      <w:r>
        <w:t xml:space="preserve">CM2.1 Roles</w:t>
      </w:r>
    </w:p>
    <w:p>
      <w:pPr>
        <w:numPr>
          <w:ilvl w:val="0"/>
          <w:numId w:val="1562"/>
        </w:numPr>
        <w:pStyle w:val="Compact"/>
      </w:pPr>
      <w:r>
        <w:rPr>
          <w:rStyle w:val="VerbatimChar"/>
        </w:rPr>
        <w:t xml:space="preserve">billing_admin</w:t>
      </w:r>
      <w:r>
        <w:t xml:space="preserve"> </w:t>
      </w:r>
      <w:r>
        <w:t xml:space="preserve">(tenant): manage payment methods and mandates, billing profile, contacts, purchase requests and cancellation requests; MFA for every billing change.</w:t>
      </w:r>
    </w:p>
    <w:p>
      <w:pPr>
        <w:numPr>
          <w:ilvl w:val="0"/>
          <w:numId w:val="1562"/>
        </w:numPr>
        <w:pStyle w:val="Compact"/>
      </w:pPr>
      <w:r>
        <w:rPr>
          <w:rStyle w:val="VerbatimChar"/>
        </w:rPr>
        <w:t xml:space="preserve">billing_viewer</w:t>
      </w:r>
      <w:r>
        <w:t xml:space="preserve"> </w:t>
      </w:r>
      <w:r>
        <w:t xml:space="preserve">(for example CFO office): read invoices, usage and statements.</w:t>
      </w:r>
    </w:p>
    <w:p>
      <w:pPr>
        <w:numPr>
          <w:ilvl w:val="0"/>
          <w:numId w:val="1562"/>
        </w:numPr>
        <w:pStyle w:val="Compact"/>
      </w:pPr>
      <w:r>
        <w:rPr>
          <w:rStyle w:val="VerbatimChar"/>
        </w:rPr>
        <w:t xml:space="preserve">tenant_admin</w:t>
      </w:r>
      <w:r>
        <w:t xml:space="preserve">: membership (users and seats); cannot change payment methods unless also</w:t>
      </w:r>
      <w:r>
        <w:t xml:space="preserve"> </w:t>
      </w:r>
      <w:r>
        <w:rPr>
          <w:rStyle w:val="VerbatimChar"/>
        </w:rPr>
        <w:t xml:space="preserve">billing_admin</w:t>
      </w:r>
      <w:r>
        <w:t xml:space="preserve">.</w:t>
      </w:r>
    </w:p>
    <w:p>
      <w:pPr>
        <w:numPr>
          <w:ilvl w:val="0"/>
          <w:numId w:val="1562"/>
        </w:numPr>
        <w:pStyle w:val="Compact"/>
      </w:pPr>
      <w:r>
        <w:t xml:space="preserve">Nobody in the tenant can change entitlements; only Infrabyx can (through the Hub). Infrabyx staff see tenant billing pages only through break-glass support access (M19), logged and visible to the tenant.</w:t>
      </w:r>
    </w:p>
    <w:bookmarkEnd w:id="701"/>
    <w:bookmarkStart w:id="702" w:name="Xffdedc7d8a98cb60da629accc126e725f3e25f2"/>
    <w:p>
      <w:pPr>
        <w:pStyle w:val="Heading3"/>
      </w:pPr>
      <w:r>
        <w:t xml:space="preserve">CM2.2 Menu and screens (workspace N, menus</w:t>
      </w:r>
      <w:r>
        <w:t xml:space="preserve"> </w:t>
      </w:r>
      <w:r>
        <w:rPr>
          <w:rStyle w:val="VerbatimChar"/>
        </w:rPr>
        <w:t xml:space="preserve">Settings › Plan and billing</w:t>
      </w:r>
      <w:r>
        <w:t xml:space="preserve"> </w:t>
      </w:r>
      <w:r>
        <w:t xml:space="preserve">and</w:t>
      </w:r>
      <w:r>
        <w:t xml:space="preserve"> </w:t>
      </w:r>
      <w:r>
        <w:rPr>
          <w:rStyle w:val="VerbatimChar"/>
        </w:rPr>
        <w:t xml:space="preserve">Settings › Users and roles › Seats</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23"/>
        <w:gridCol w:w="4886"/>
        <w:gridCol w:w="2929"/>
      </w:tblGrid>
      <w:tr>
        <w:trPr>
          <w:tblHeader w:val="true"/>
          <w:tblHeader w:val="true"/>
        </w:trPr>
        <w:tc>
          <w:tcPr>
            <w:tcW w:w="1823" w:type="dxa"/>
            <w:shd w:val="clear" w:color="auto" w:fill="1F3A5F"/>
          </w:tcPr>
          <w:p>
            <w:pPr>
              <w:pStyle w:val="Compact"/>
              <w:spacing w:after="40"/>
              <w:jc w:val="left"/>
            </w:pPr>
            <w:r>
              <w:rPr>
                <w:b/>
                <w:color w:val="FFFFFF"/>
                <w:sz w:val="18"/>
              </w:rPr>
              <w:t xml:space="preserve">Path</w:t>
            </w:r>
          </w:p>
        </w:tc>
        <w:tc>
          <w:tcPr>
            <w:tcW w:w="4886" w:type="dxa"/>
            <w:shd w:val="clear" w:color="auto" w:fill="1F3A5F"/>
          </w:tcPr>
          <w:p>
            <w:pPr>
              <w:pStyle w:val="Compact"/>
              <w:spacing w:after="40"/>
              <w:jc w:val="left"/>
            </w:pPr>
            <w:r>
              <w:rPr>
                <w:b/>
                <w:color w:val="FFFFFF"/>
                <w:sz w:val="18"/>
              </w:rPr>
              <w:t xml:space="preserve">Content and key actions</w:t>
            </w:r>
          </w:p>
        </w:tc>
        <w:tc>
          <w:tcPr>
            <w:tcW w:w="2929" w:type="dxa"/>
            <w:shd w:val="clear" w:color="auto" w:fill="1F3A5F"/>
          </w:tcPr>
          <w:p>
            <w:pPr>
              <w:pStyle w:val="Compact"/>
              <w:spacing w:after="40"/>
              <w:jc w:val="left"/>
            </w:pPr>
            <w:r>
              <w:rPr>
                <w:b/>
                <w:color w:val="FFFFFF"/>
                <w:sz w:val="18"/>
              </w:rPr>
              <w:t xml:space="preserve">Roles</w:t>
            </w:r>
          </w:p>
        </w:tc>
      </w:tr>
      <w:tr>
        <w:tc>
          <w:tcPr>
            <w:tcW w:w="1823" w:type="dxa"/>
          </w:tcPr>
          <w:p>
            <w:pPr>
              <w:pStyle w:val="Compact"/>
              <w:spacing w:after="40"/>
              <w:jc w:val="left"/>
            </w:pPr>
            <w:r>
              <w:rPr>
                <w:rStyle w:val="VerbatimChar"/>
                <w:sz w:val="18"/>
              </w:rPr>
              <w:t xml:space="preserve">Settings › Plan and billing › Overview</w:t>
            </w:r>
          </w:p>
        </w:tc>
        <w:tc>
          <w:tcPr>
            <w:tcW w:w="4886" w:type="dxa"/>
          </w:tcPr>
          <w:p>
            <w:pPr>
              <w:pStyle w:val="Compact"/>
              <w:spacing w:after="40"/>
              <w:jc w:val="left"/>
            </w:pPr>
            <w:r>
              <w:rPr>
                <w:sz w:val="18"/>
              </w:rPr>
              <w:t xml:space="preserve">Current plan, SKUs and modules with status (ENABLED, READ_ONLY), contract term and renewal date, limits with current usage and 30-day forecast, open requests, notices (renewal, price change, quota, dunning stage); actions Change plan, Add seats, Raise ticket</w:t>
            </w:r>
          </w:p>
        </w:tc>
        <w:tc>
          <w:tcPr>
            <w:tcW w:w="2929" w:type="dxa"/>
          </w:tcPr>
          <w:p>
            <w:pPr>
              <w:pStyle w:val="Compact"/>
              <w:spacing w:after="40"/>
              <w:jc w:val="left"/>
            </w:pPr>
            <w:r>
              <w:rPr>
                <w:rStyle w:val="VerbatimChar"/>
                <w:sz w:val="18"/>
              </w:rPr>
              <w:t xml:space="preserve">billing_admin</w:t>
            </w:r>
            <w:r>
              <w:rPr>
                <w:sz w:val="18"/>
              </w:rPr>
              <w:t xml:space="preserve">,</w:t>
            </w:r>
            <w:r>
              <w:rPr>
                <w:sz w:val="18"/>
              </w:rPr>
              <w:t xml:space="preserve"> </w:t>
            </w:r>
            <w:r>
              <w:rPr>
                <w:rStyle w:val="VerbatimChar"/>
                <w:sz w:val="18"/>
              </w:rPr>
              <w:t xml:space="preserve">billing_viewer</w:t>
            </w:r>
            <w:r>
              <w:rPr>
                <w:sz w:val="18"/>
              </w:rPr>
              <w:t xml:space="preserve">,</w:t>
            </w:r>
            <w:r>
              <w:rPr>
                <w:sz w:val="18"/>
              </w:rPr>
              <w:t xml:space="preserve"> </w:t>
            </w:r>
            <w:r>
              <w:rPr>
                <w:rStyle w:val="VerbatimChar"/>
                <w:sz w:val="18"/>
              </w:rPr>
              <w:t xml:space="preserve">tenant_admin</w:t>
            </w:r>
            <w:r>
              <w:rPr>
                <w:sz w:val="18"/>
              </w:rPr>
              <w:t xml:space="preserve"> </w:t>
            </w:r>
            <w:r>
              <w:rPr>
                <w:sz w:val="18"/>
              </w:rPr>
              <w:t xml:space="preserve">(read)</w:t>
            </w:r>
          </w:p>
        </w:tc>
      </w:tr>
      <w:tr>
        <w:tc>
          <w:tcPr>
            <w:tcW w:w="1823" w:type="dxa"/>
          </w:tcPr>
          <w:p>
            <w:pPr>
              <w:pStyle w:val="Compact"/>
              <w:spacing w:after="40"/>
              <w:jc w:val="left"/>
            </w:pPr>
            <w:r>
              <w:rPr>
                <w:rStyle w:val="VerbatimChar"/>
                <w:sz w:val="18"/>
              </w:rPr>
              <w:t xml:space="preserve">… › Compare plans</w:t>
            </w:r>
          </w:p>
        </w:tc>
        <w:tc>
          <w:tcPr>
            <w:tcW w:w="4886" w:type="dxa"/>
          </w:tcPr>
          <w:p>
            <w:pPr>
              <w:pStyle w:val="Compact"/>
              <w:spacing w:after="40"/>
              <w:jc w:val="left"/>
            </w:pPr>
            <w:r>
              <w:rPr>
                <w:sz w:val="18"/>
              </w:rPr>
              <w:t xml:space="preserve">Generated from the catalogue: plain-language rows, entity-type fit, limits, included exports and support, price basis with GST; current plan highlighted;</w:t>
            </w:r>
            <w:r>
              <w:rPr>
                <w:sz w:val="18"/>
              </w:rPr>
              <w:t xml:space="preserve"> </w:t>
            </w:r>
            <w:r>
              <w:rPr>
                <w:sz w:val="18"/>
              </w:rPr>
              <w:t xml:space="preserve">“</w:t>
            </w:r>
            <w:r>
              <w:rPr>
                <w:sz w:val="18"/>
              </w:rPr>
              <w:t xml:space="preserve">contact sales</w:t>
            </w:r>
            <w:r>
              <w:rPr>
                <w:sz w:val="18"/>
              </w:rPr>
              <w:t xml:space="preserve">”</w:t>
            </w:r>
            <w:r>
              <w:rPr>
                <w:sz w:val="18"/>
              </w:rPr>
              <w:t xml:space="preserve"> </w:t>
            </w:r>
            <w:r>
              <w:rPr>
                <w:sz w:val="18"/>
              </w:rPr>
              <w:t xml:space="preserve">for enterprise plans creates a Hub CRM request</w:t>
            </w:r>
          </w:p>
        </w:tc>
        <w:tc>
          <w:tcPr>
            <w:tcW w:w="2929" w:type="dxa"/>
          </w:tcPr>
          <w:p>
            <w:pPr>
              <w:pStyle w:val="Compact"/>
              <w:spacing w:after="40"/>
              <w:jc w:val="left"/>
            </w:pPr>
            <w:r>
              <w:rPr>
                <w:sz w:val="18"/>
              </w:rPr>
              <w:t xml:space="preserve">All three roles</w:t>
            </w:r>
          </w:p>
        </w:tc>
      </w:tr>
      <w:tr>
        <w:tc>
          <w:tcPr>
            <w:tcW w:w="1823" w:type="dxa"/>
          </w:tcPr>
          <w:p>
            <w:pPr>
              <w:pStyle w:val="Compact"/>
              <w:spacing w:after="40"/>
              <w:jc w:val="left"/>
            </w:pPr>
            <w:r>
              <w:rPr>
                <w:rStyle w:val="VerbatimChar"/>
                <w:sz w:val="18"/>
              </w:rPr>
              <w:t xml:space="preserve">… › Add-ons</w:t>
            </w:r>
          </w:p>
        </w:tc>
        <w:tc>
          <w:tcPr>
            <w:tcW w:w="4886" w:type="dxa"/>
          </w:tcPr>
          <w:p>
            <w:pPr>
              <w:pStyle w:val="Compact"/>
              <w:spacing w:after="40"/>
              <w:jc w:val="left"/>
            </w:pPr>
            <w:r>
              <w:rPr>
                <w:sz w:val="18"/>
              </w:rPr>
              <w:t xml:space="preserve">Each module’s explainer, dependencies (</w:t>
            </w:r>
            <w:r>
              <w:rPr>
                <w:rStyle w:val="VerbatimChar"/>
                <w:sz w:val="18"/>
              </w:rPr>
              <w:t xml:space="preserve">requires</w:t>
            </w:r>
            <w:r>
              <w:rPr>
                <w:sz w:val="18"/>
              </w:rPr>
              <w:t xml:space="preserve">), regulatory notes, the legal or data addendum required (for example Workforce), status; actions Add (CM2.4) and Remove (downgrade path)</w:t>
            </w:r>
          </w:p>
        </w:tc>
        <w:tc>
          <w:tcPr>
            <w:tcW w:w="2929" w:type="dxa"/>
          </w:tcPr>
          <w:p>
            <w:pPr>
              <w:pStyle w:val="Compact"/>
              <w:spacing w:after="40"/>
              <w:jc w:val="left"/>
            </w:pPr>
            <w:r>
              <w:rPr>
                <w:rStyle w:val="VerbatimChar"/>
                <w:sz w:val="18"/>
              </w:rPr>
              <w:t xml:space="preserve">billing_admin</w:t>
            </w:r>
            <w:r>
              <w:rPr>
                <w:sz w:val="18"/>
              </w:rPr>
              <w:t xml:space="preserve">; module owners read</w:t>
            </w:r>
          </w:p>
        </w:tc>
      </w:tr>
      <w:tr>
        <w:tc>
          <w:tcPr>
            <w:tcW w:w="1823" w:type="dxa"/>
          </w:tcPr>
          <w:p>
            <w:pPr>
              <w:pStyle w:val="Compact"/>
              <w:spacing w:after="40"/>
              <w:jc w:val="left"/>
            </w:pPr>
            <w:r>
              <w:rPr>
                <w:rStyle w:val="VerbatimChar"/>
                <w:sz w:val="18"/>
              </w:rPr>
              <w:t xml:space="preserve">… › Usage</w:t>
            </w:r>
          </w:p>
        </w:tc>
        <w:tc>
          <w:tcPr>
            <w:tcW w:w="4886" w:type="dxa"/>
          </w:tcPr>
          <w:p>
            <w:pPr>
              <w:pStyle w:val="Compact"/>
              <w:spacing w:after="40"/>
              <w:jc w:val="left"/>
            </w:pPr>
            <w:r>
              <w:rPr>
                <w:sz w:val="18"/>
              </w:rPr>
              <w:t xml:space="preserve">Each meter: definition, period totals, daily trend, drill-down to the counted record IDs (inside Finbyx only), monthly statement with a dispute button open for 7 days</w:t>
            </w:r>
          </w:p>
        </w:tc>
        <w:tc>
          <w:tcPr>
            <w:tcW w:w="2929" w:type="dxa"/>
          </w:tcPr>
          <w:p>
            <w:pPr>
              <w:pStyle w:val="Compact"/>
              <w:spacing w:after="40"/>
              <w:jc w:val="left"/>
            </w:pPr>
            <w:r>
              <w:rPr>
                <w:rStyle w:val="VerbatimChar"/>
                <w:sz w:val="18"/>
              </w:rPr>
              <w:t xml:space="preserve">billing_admin</w:t>
            </w:r>
            <w:r>
              <w:rPr>
                <w:sz w:val="18"/>
              </w:rPr>
              <w:t xml:space="preserve">,</w:t>
            </w:r>
            <w:r>
              <w:rPr>
                <w:sz w:val="18"/>
              </w:rPr>
              <w:t xml:space="preserve"> </w:t>
            </w:r>
            <w:r>
              <w:rPr>
                <w:rStyle w:val="VerbatimChar"/>
                <w:sz w:val="18"/>
              </w:rPr>
              <w:t xml:space="preserve">billing_viewer</w:t>
            </w:r>
          </w:p>
        </w:tc>
      </w:tr>
      <w:tr>
        <w:tc>
          <w:tcPr>
            <w:tcW w:w="1823" w:type="dxa"/>
          </w:tcPr>
          <w:p>
            <w:pPr>
              <w:pStyle w:val="Compact"/>
              <w:spacing w:after="40"/>
              <w:jc w:val="left"/>
            </w:pPr>
            <w:r>
              <w:rPr>
                <w:rStyle w:val="VerbatimChar"/>
                <w:sz w:val="18"/>
              </w:rPr>
              <w:t xml:space="preserve">… › Invoices</w:t>
            </w:r>
          </w:p>
        </w:tc>
        <w:tc>
          <w:tcPr>
            <w:tcW w:w="4886" w:type="dxa"/>
          </w:tcPr>
          <w:p>
            <w:pPr>
              <w:pStyle w:val="Compact"/>
              <w:spacing w:after="40"/>
              <w:jc w:val="left"/>
            </w:pPr>
            <w:r>
              <w:rPr>
                <w:sz w:val="18"/>
              </w:rPr>
              <w:t xml:space="preserve">GST invoices, credit and debit notes, receipts, statement of account, payment status, TDS certificate (Form 131) upload, invoice dispute; PDF and XLSX downloads; filters by legal entity, period and status</w:t>
            </w:r>
          </w:p>
        </w:tc>
        <w:tc>
          <w:tcPr>
            <w:tcW w:w="2929" w:type="dxa"/>
          </w:tcPr>
          <w:p>
            <w:pPr>
              <w:pStyle w:val="Compact"/>
              <w:spacing w:after="40"/>
              <w:jc w:val="left"/>
            </w:pPr>
            <w:r>
              <w:rPr>
                <w:rStyle w:val="VerbatimChar"/>
                <w:sz w:val="18"/>
              </w:rPr>
              <w:t xml:space="preserve">billing_admin</w:t>
            </w:r>
            <w:r>
              <w:rPr>
                <w:sz w:val="18"/>
              </w:rPr>
              <w:t xml:space="preserve">,</w:t>
            </w:r>
            <w:r>
              <w:rPr>
                <w:sz w:val="18"/>
              </w:rPr>
              <w:t xml:space="preserve"> </w:t>
            </w:r>
            <w:r>
              <w:rPr>
                <w:rStyle w:val="VerbatimChar"/>
                <w:sz w:val="18"/>
              </w:rPr>
              <w:t xml:space="preserve">billing_viewer</w:t>
            </w:r>
          </w:p>
        </w:tc>
      </w:tr>
      <w:tr>
        <w:tc>
          <w:tcPr>
            <w:tcW w:w="1823" w:type="dxa"/>
          </w:tcPr>
          <w:p>
            <w:pPr>
              <w:pStyle w:val="Compact"/>
              <w:spacing w:after="40"/>
              <w:jc w:val="left"/>
            </w:pPr>
            <w:r>
              <w:rPr>
                <w:rStyle w:val="VerbatimChar"/>
                <w:sz w:val="18"/>
              </w:rPr>
              <w:t xml:space="preserve">… › Payment methods</w:t>
            </w:r>
          </w:p>
        </w:tc>
        <w:tc>
          <w:tcPr>
            <w:tcW w:w="4886" w:type="dxa"/>
          </w:tcPr>
          <w:p>
            <w:pPr>
              <w:pStyle w:val="Compact"/>
              <w:spacing w:after="40"/>
              <w:jc w:val="left"/>
            </w:pPr>
            <w:r>
              <w:rPr>
                <w:sz w:val="18"/>
              </w:rPr>
              <w:t xml:space="preserve">Methods and mandates (type, maximum amount, frequency, validity, status, last 4 digits and issuer only) held at Razorpay or the bank; add, replace or cancel through hosted pages only</w:t>
            </w:r>
          </w:p>
        </w:tc>
        <w:tc>
          <w:tcPr>
            <w:tcW w:w="2929" w:type="dxa"/>
          </w:tcPr>
          <w:p>
            <w:pPr>
              <w:pStyle w:val="Compact"/>
              <w:spacing w:after="40"/>
              <w:jc w:val="left"/>
            </w:pPr>
            <w:r>
              <w:rPr>
                <w:rStyle w:val="VerbatimChar"/>
                <w:sz w:val="18"/>
              </w:rPr>
              <w:t xml:space="preserve">billing_admin</w:t>
            </w:r>
            <w:r>
              <w:rPr>
                <w:sz w:val="18"/>
              </w:rPr>
              <w:t xml:space="preserve"> </w:t>
            </w:r>
            <w:r>
              <w:rPr>
                <w:sz w:val="18"/>
              </w:rPr>
              <w:t xml:space="preserve">with fresh MFA</w:t>
            </w:r>
          </w:p>
        </w:tc>
      </w:tr>
      <w:tr>
        <w:tc>
          <w:tcPr>
            <w:tcW w:w="1823" w:type="dxa"/>
          </w:tcPr>
          <w:p>
            <w:pPr>
              <w:pStyle w:val="Compact"/>
              <w:spacing w:after="40"/>
              <w:jc w:val="left"/>
            </w:pPr>
            <w:r>
              <w:rPr>
                <w:rStyle w:val="VerbatimChar"/>
                <w:sz w:val="18"/>
              </w:rPr>
              <w:t xml:space="preserve">… › Billing contacts</w:t>
            </w:r>
          </w:p>
        </w:tc>
        <w:tc>
          <w:tcPr>
            <w:tcW w:w="4886" w:type="dxa"/>
          </w:tcPr>
          <w:p>
            <w:pPr>
              <w:pStyle w:val="Compact"/>
              <w:spacing w:after="40"/>
              <w:jc w:val="left"/>
            </w:pPr>
            <w:r>
              <w:rPr>
                <w:sz w:val="18"/>
              </w:rPr>
              <w:t xml:space="preserve">Billing profile (legal name, CIN, PAN, GSTIN per registration and place of supply, addresses, PO numbers, e-invoice details, SEZ or IFSC status with LUT reference) and contacts per event (invoice, failure, renewal, quota) with channels (email; Teams or Google Chat via GV7)</w:t>
            </w:r>
          </w:p>
        </w:tc>
        <w:tc>
          <w:tcPr>
            <w:tcW w:w="2929" w:type="dxa"/>
          </w:tcPr>
          <w:p>
            <w:pPr>
              <w:pStyle w:val="Compact"/>
              <w:spacing w:after="40"/>
              <w:jc w:val="left"/>
            </w:pPr>
            <w:r>
              <w:rPr>
                <w:rStyle w:val="VerbatimChar"/>
                <w:sz w:val="18"/>
              </w:rPr>
              <w:t xml:space="preserve">billing_admin</w:t>
            </w:r>
            <w:r>
              <w:rPr>
                <w:sz w:val="18"/>
              </w:rPr>
              <w:t xml:space="preserve"> </w:t>
            </w:r>
            <w:r>
              <w:rPr>
                <w:sz w:val="18"/>
              </w:rPr>
              <w:t xml:space="preserve">maker, second</w:t>
            </w:r>
            <w:r>
              <w:rPr>
                <w:sz w:val="18"/>
              </w:rPr>
              <w:t xml:space="preserve"> </w:t>
            </w:r>
            <w:r>
              <w:rPr>
                <w:rStyle w:val="VerbatimChar"/>
                <w:sz w:val="18"/>
              </w:rPr>
              <w:t xml:space="preserve">billing_admin</w:t>
            </w:r>
            <w:r>
              <w:rPr>
                <w:sz w:val="18"/>
              </w:rPr>
              <w:t xml:space="preserve"> </w:t>
            </w:r>
            <w:r>
              <w:rPr>
                <w:sz w:val="18"/>
              </w:rPr>
              <w:t xml:space="preserve">or</w:t>
            </w:r>
            <w:r>
              <w:rPr>
                <w:sz w:val="18"/>
              </w:rPr>
              <w:t xml:space="preserve"> </w:t>
            </w:r>
            <w:r>
              <w:rPr>
                <w:rStyle w:val="VerbatimChar"/>
                <w:sz w:val="18"/>
              </w:rPr>
              <w:t xml:space="preserve">tenant_admin</w:t>
            </w:r>
            <w:r>
              <w:rPr>
                <w:sz w:val="18"/>
              </w:rPr>
              <w:t xml:space="preserve"> </w:t>
            </w:r>
            <w:r>
              <w:rPr>
                <w:sz w:val="18"/>
              </w:rPr>
              <w:t xml:space="preserve">checker for GSTIN and legal-name changes</w:t>
            </w:r>
          </w:p>
        </w:tc>
      </w:tr>
      <w:tr>
        <w:tc>
          <w:tcPr>
            <w:tcW w:w="1823" w:type="dxa"/>
          </w:tcPr>
          <w:p>
            <w:pPr>
              <w:pStyle w:val="Compact"/>
              <w:spacing w:after="40"/>
              <w:jc w:val="left"/>
            </w:pPr>
            <w:r>
              <w:rPr>
                <w:rStyle w:val="VerbatimChar"/>
                <w:sz w:val="18"/>
              </w:rPr>
              <w:t xml:space="preserve">… › Cancel or downgrade</w:t>
            </w:r>
          </w:p>
        </w:tc>
        <w:tc>
          <w:tcPr>
            <w:tcW w:w="4886" w:type="dxa"/>
          </w:tcPr>
          <w:p>
            <w:pPr>
              <w:pStyle w:val="Compact"/>
              <w:spacing w:after="40"/>
              <w:jc w:val="left"/>
            </w:pPr>
            <w:r>
              <w:rPr>
                <w:sz w:val="18"/>
              </w:rPr>
              <w:t xml:space="preserve">What changes, what stays available (read, export, exit, auditor access), open statutory clocks from the 7A.0.5 gate, export shortcut, cancellation or downgrade request; never more steps than purchase</w:t>
            </w:r>
          </w:p>
        </w:tc>
        <w:tc>
          <w:tcPr>
            <w:tcW w:w="2929" w:type="dxa"/>
          </w:tcPr>
          <w:p>
            <w:pPr>
              <w:pStyle w:val="Compact"/>
              <w:spacing w:after="40"/>
              <w:jc w:val="left"/>
            </w:pPr>
            <w:r>
              <w:rPr>
                <w:rStyle w:val="VerbatimChar"/>
                <w:sz w:val="18"/>
              </w:rPr>
              <w:t xml:space="preserve">billing_admin</w:t>
            </w:r>
            <w:r>
              <w:rPr>
                <w:sz w:val="18"/>
              </w:rPr>
              <w:t xml:space="preserve"> </w:t>
            </w:r>
            <w:r>
              <w:rPr>
                <w:sz w:val="18"/>
              </w:rPr>
              <w:t xml:space="preserve">plus second approver</w:t>
            </w:r>
          </w:p>
        </w:tc>
      </w:tr>
      <w:tr>
        <w:tc>
          <w:tcPr>
            <w:tcW w:w="1823" w:type="dxa"/>
          </w:tcPr>
          <w:p>
            <w:pPr>
              <w:pStyle w:val="Compact"/>
              <w:spacing w:after="40"/>
              <w:jc w:val="left"/>
            </w:pPr>
            <w:r>
              <w:rPr>
                <w:rStyle w:val="VerbatimChar"/>
                <w:sz w:val="18"/>
              </w:rPr>
              <w:t xml:space="preserve">Settings › Users and roles › Seats</w:t>
            </w:r>
          </w:p>
        </w:tc>
        <w:tc>
          <w:tcPr>
            <w:tcW w:w="4886" w:type="dxa"/>
          </w:tcPr>
          <w:p>
            <w:pPr>
              <w:pStyle w:val="Compact"/>
              <w:spacing w:after="40"/>
              <w:jc w:val="left"/>
            </w:pPr>
            <w:r>
              <w:rPr>
                <w:sz w:val="18"/>
              </w:rPr>
              <w:t xml:space="preserve">Seats by type (named, active, device), users per legal entity and role, invitations, deactivation, seat-pool reallocation, seat-limit warnings</w:t>
            </w:r>
          </w:p>
        </w:tc>
        <w:tc>
          <w:tcPr>
            <w:tcW w:w="2929" w:type="dxa"/>
          </w:tcPr>
          <w:p>
            <w:pPr>
              <w:pStyle w:val="Compact"/>
              <w:spacing w:after="40"/>
              <w:jc w:val="left"/>
            </w:pPr>
            <w:r>
              <w:rPr>
                <w:rStyle w:val="VerbatimChar"/>
                <w:sz w:val="18"/>
              </w:rPr>
              <w:t xml:space="preserve">tenant_admin</w:t>
            </w:r>
          </w:p>
        </w:tc>
      </w:tr>
    </w:tbl>
    <w:p>
      <w:pPr>
        <w:pStyle w:val="BodyText"/>
      </w:pPr>
      <w:r>
        <w:t xml:space="preserve">Data, storage, backup and exit screens are under the</w:t>
      </w:r>
      <w:r>
        <w:t xml:space="preserve"> </w:t>
      </w:r>
      <w:r>
        <w:rPr>
          <w:rStyle w:val="VerbatimChar"/>
        </w:rPr>
        <w:t xml:space="preserve">Data</w:t>
      </w:r>
      <w:r>
        <w:t xml:space="preserve"> </w:t>
      </w:r>
      <w:r>
        <w:t xml:space="preserve">menu (Part 7J DP6) and are linked from Overview. Every page has an empty state (</w:t>
      </w:r>
      <w:r>
        <w:t xml:space="preserve">“</w:t>
      </w:r>
      <w:r>
        <w:t xml:space="preserve">No invoices yet: your first invoice is issued on [date]</w:t>
      </w:r>
      <w:r>
        <w:t xml:space="preserve">”</w:t>
      </w:r>
      <w:r>
        <w:t xml:space="preserve">) and an error state that never blocks a regulated function (for example</w:t>
      </w:r>
      <w:r>
        <w:t xml:space="preserve"> </w:t>
      </w:r>
      <w:r>
        <w:t xml:space="preserve">“</w:t>
      </w:r>
      <w:r>
        <w:t xml:space="preserve">Billing service unavailable: your modules continue to work</w:t>
      </w:r>
      <w:r>
        <w:t xml:space="preserve">”</w:t>
      </w:r>
      <w:r>
        <w:t xml:space="preserve">).</w:t>
      </w:r>
    </w:p>
    <w:bookmarkEnd w:id="702"/>
    <w:bookmarkStart w:id="703" w:name="cm2.3-plain-language-explainers"/>
    <w:p>
      <w:pPr>
        <w:pStyle w:val="Heading3"/>
      </w:pPr>
      <w:r>
        <w:t xml:space="preserve">CM2.3 Plain-language explainers</w:t>
      </w:r>
    </w:p>
    <w:p>
      <w:pPr>
        <w:pStyle w:val="FirstParagraph"/>
      </w:pPr>
      <w:r>
        <w:t xml:space="preserve">Each catalogue item carries explainer fields, approved in the Hub with marketing and legal review (OH7, OH8):</w:t>
      </w:r>
    </w:p>
    <w:p>
      <w:pPr>
        <w:numPr>
          <w:ilvl w:val="0"/>
          <w:numId w:val="1563"/>
        </w:numPr>
        <w:pStyle w:val="Compact"/>
      </w:pPr>
      <w:r>
        <w:rPr>
          <w:bCs/>
          <w:b/>
        </w:rPr>
        <w:t xml:space="preserve">What it does</w:t>
      </w:r>
      <w:r>
        <w:t xml:space="preserve"> </w:t>
      </w:r>
      <w:r>
        <w:t xml:space="preserve">(≤ 40 words, no jargon);</w:t>
      </w:r>
      <w:r>
        <w:t xml:space="preserve"> </w:t>
      </w:r>
      <w:r>
        <w:rPr>
          <w:bCs/>
          <w:b/>
        </w:rPr>
        <w:t xml:space="preserve">who it is for</w:t>
      </w:r>
      <w:r>
        <w:t xml:space="preserve"> </w:t>
      </w:r>
      <w:r>
        <w:t xml:space="preserve">(entity types and layers);</w:t>
      </w:r>
    </w:p>
    <w:p>
      <w:pPr>
        <w:numPr>
          <w:ilvl w:val="0"/>
          <w:numId w:val="1563"/>
        </w:numPr>
        <w:pStyle w:val="Compact"/>
      </w:pPr>
      <w:r>
        <w:rPr>
          <w:bCs/>
          <w:b/>
        </w:rPr>
        <w:t xml:space="preserve">What is included and the limits</w:t>
      </w:r>
      <w:r>
        <w:t xml:space="preserve">;</w:t>
      </w:r>
      <w:r>
        <w:t xml:space="preserve"> </w:t>
      </w:r>
      <w:r>
        <w:rPr>
          <w:bCs/>
          <w:b/>
        </w:rPr>
        <w:t xml:space="preserve">what happens at the limit</w:t>
      </w:r>
      <w:r>
        <w:t xml:space="preserve"> </w:t>
      </w:r>
      <w:r>
        <w:t xml:space="preserve">(soft or hard, overage price);</w:t>
      </w:r>
    </w:p>
    <w:p>
      <w:pPr>
        <w:numPr>
          <w:ilvl w:val="0"/>
          <w:numId w:val="1563"/>
        </w:numPr>
        <w:pStyle w:val="Compact"/>
      </w:pPr>
      <w:r>
        <w:rPr>
          <w:bCs/>
          <w:b/>
        </w:rPr>
        <w:t xml:space="preserve">What happens on downgrade or cancellation</w:t>
      </w:r>
      <w:r>
        <w:t xml:space="preserve"> </w:t>
      </w:r>
      <w:r>
        <w:t xml:space="preserve">(for example</w:t>
      </w:r>
      <w:r>
        <w:t xml:space="preserve"> </w:t>
      </w:r>
      <w:r>
        <w:t xml:space="preserve">“</w:t>
      </w:r>
      <w:r>
        <w:t xml:space="preserve">Recovery Suite records become read-only. Nothing is deleted. You can export them at any time.</w:t>
      </w:r>
      <w:r>
        <w:t xml:space="preserve">”</w:t>
      </w:r>
      <w:r>
        <w:t xml:space="preserve">);</w:t>
      </w:r>
    </w:p>
    <w:p>
      <w:pPr>
        <w:numPr>
          <w:ilvl w:val="0"/>
          <w:numId w:val="1563"/>
        </w:numPr>
        <w:pStyle w:val="Compact"/>
      </w:pPr>
      <w:r>
        <w:rPr>
          <w:bCs/>
          <w:b/>
        </w:rPr>
        <w:t xml:space="preserve">Regulatory note</w:t>
      </w:r>
      <w:r>
        <w:t xml:space="preserve"> </w:t>
      </w:r>
      <w:r>
        <w:t xml:space="preserve">in honest terms (for example</w:t>
      </w:r>
      <w:r>
        <w:t xml:space="preserve"> </w:t>
      </w:r>
      <w:r>
        <w:t xml:space="preserve">“</w:t>
      </w:r>
      <w:r>
        <w:t xml:space="preserve">Prepares and validates your CIMS returns and keeps the evidence. Your authorised officer files them on the RBI portal.</w:t>
      </w:r>
      <w:r>
        <w:t xml:space="preserve">”</w:t>
      </w:r>
      <w:r>
        <w:t xml:space="preserve">);</w:t>
      </w:r>
    </w:p>
    <w:p>
      <w:pPr>
        <w:numPr>
          <w:ilvl w:val="0"/>
          <w:numId w:val="1563"/>
        </w:numPr>
        <w:pStyle w:val="Compact"/>
      </w:pPr>
      <w:r>
        <w:rPr>
          <w:bCs/>
          <w:b/>
        </w:rPr>
        <w:t xml:space="preserve">Price basis</w:t>
      </w:r>
      <w:r>
        <w:t xml:space="preserve">, with GST shown separately.</w:t>
      </w:r>
    </w:p>
    <w:p>
      <w:pPr>
        <w:pStyle w:val="FirstParagraph"/>
      </w:pPr>
      <w:r>
        <w:t xml:space="preserve">Rules: never claim that Finbyx</w:t>
      </w:r>
      <w:r>
        <w:t xml:space="preserve"> </w:t>
      </w:r>
      <w:r>
        <w:t xml:space="preserve">“</w:t>
      </w:r>
      <w:r>
        <w:t xml:space="preserve">makes you compliant</w:t>
      </w:r>
      <w:r>
        <w:t xml:space="preserve">”</w:t>
      </w:r>
      <w:r>
        <w:t xml:space="preserve"> </w:t>
      </w:r>
      <w:r>
        <w:t xml:space="preserve">or that a certification is held when it is not (EO5); no pre-ticked add-ons; cancellation as easy as purchase; renewal reminders at 90, 30 and 7 days (OH8.9); price-change notice of at least 30 days [REC]; no countdown timers, fake scarcity, inflated</w:t>
      </w:r>
      <w:r>
        <w:t xml:space="preserve"> </w:t>
      </w:r>
      <w:r>
        <w:t xml:space="preserve">“</w:t>
      </w:r>
      <w:r>
        <w:t xml:space="preserve">value</w:t>
      </w:r>
      <w:r>
        <w:t xml:space="preserve">”</w:t>
      </w:r>
      <w:r>
        <w:t xml:space="preserve"> </w:t>
      </w:r>
      <w:r>
        <w:t xml:space="preserve">figures or unverifiable testimonials (CCPA Dark Patterns Guidelines 2023 adopted as good practice for B2B; ASCI Code for any advertising claims). Explainer text passes the shared claims-gate linter (OH14.6) and a readability check (sentence length, glossary-term coverage) in CI.</w:t>
      </w:r>
    </w:p>
    <w:bookmarkEnd w:id="703"/>
    <w:bookmarkStart w:id="704" w:name="Xcbc1652b5cdc673e87fdff2de21b389cc0faaf5"/>
    <w:p>
      <w:pPr>
        <w:pStyle w:val="Heading3"/>
      </w:pPr>
      <w:r>
        <w:t xml:space="preserve">CM2.4 Plan, add-on, seat and cancellation workflows</w:t>
      </w:r>
    </w:p>
    <w:p>
      <w:pPr>
        <w:numPr>
          <w:ilvl w:val="0"/>
          <w:numId w:val="1564"/>
        </w:numPr>
        <w:pStyle w:val="Compact"/>
      </w:pPr>
      <w:r>
        <w:rPr>
          <w:bCs/>
          <w:b/>
        </w:rPr>
        <w:t xml:space="preserve">Plan change (upgrade, downgrade or switch):</w:t>
      </w:r>
      <w:r>
        <w:t xml:space="preserve"> </w:t>
      </w:r>
      <w:r>
        <w:rPr>
          <w:rStyle w:val="VerbatimChar"/>
        </w:rPr>
        <w:t xml:space="preserve">DRAFT → PREVIEWED → SUBMITTED → APPROVED → ORDERED → (PAYMENT_PENDING → PAID) → SCHEDULED → EFFECTIVE</w:t>
      </w:r>
      <w:r>
        <w:t xml:space="preserve">, with</w:t>
      </w:r>
      <w:r>
        <w:t xml:space="preserve"> </w:t>
      </w:r>
      <w:r>
        <w:rPr>
          <w:rStyle w:val="VerbatimChar"/>
        </w:rPr>
        <w:t xml:space="preserve">REJECTED</w:t>
      </w:r>
      <w:r>
        <w:t xml:space="preserve">,</w:t>
      </w:r>
      <w:r>
        <w:t xml:space="preserve"> </w:t>
      </w:r>
      <w:r>
        <w:rPr>
          <w:rStyle w:val="VerbatimChar"/>
        </w:rPr>
        <w:t xml:space="preserve">CANCELLED</w:t>
      </w:r>
      <w:r>
        <w:t xml:space="preserve"> </w:t>
      </w:r>
      <w:r>
        <w:t xml:space="preserve">(before EFFECTIVE) and</w:t>
      </w:r>
      <w:r>
        <w:t xml:space="preserve"> </w:t>
      </w:r>
      <w:r>
        <w:rPr>
          <w:rStyle w:val="VerbatimChar"/>
        </w:rPr>
        <w:t xml:space="preserve">EXPIRED</w:t>
      </w:r>
      <w:r>
        <w:t xml:space="preserve"> </w:t>
      </w:r>
      <w:r>
        <w:t xml:space="preserve">(quote validity, default 7 days [REC]).</w:t>
      </w:r>
    </w:p>
    <w:p>
      <w:pPr>
        <w:numPr>
          <w:ilvl w:val="1"/>
          <w:numId w:val="1565"/>
        </w:numPr>
        <w:pStyle w:val="Compact"/>
      </w:pPr>
      <w:r>
        <w:rPr>
          <w:bCs/>
          <w:b/>
        </w:rPr>
        <w:t xml:space="preserve">Preview:</w:t>
      </w:r>
      <w:r>
        <w:t xml:space="preserve"> </w:t>
      </w:r>
      <w:r>
        <w:t xml:space="preserve">Finbyx requests a priced quote from the Hub (OH8.4: catalogue prices; proration by IST calendar day) and shows the new price, prorated charge or credit, GST, effective date, the entitlement diff (modules gained or lost, limits), missing dependencies, and for a downgrade the Part 7A.0.5 open-deadline list and the records that become read-only. Finbyx computes no price or tax itself.</w:t>
      </w:r>
    </w:p>
    <w:p>
      <w:pPr>
        <w:numPr>
          <w:ilvl w:val="1"/>
          <w:numId w:val="1565"/>
        </w:numPr>
        <w:pStyle w:val="Compact"/>
      </w:pPr>
      <w:r>
        <w:rPr>
          <w:bCs/>
          <w:b/>
        </w:rPr>
        <w:t xml:space="preserve">Approval:</w:t>
      </w:r>
      <w:r>
        <w:t xml:space="preserve"> </w:t>
      </w:r>
      <w:r>
        <w:rPr>
          <w:rStyle w:val="VerbatimChar"/>
        </w:rPr>
        <w:t xml:space="preserve">billing_admin</w:t>
      </w:r>
      <w:r>
        <w:t xml:space="preserve"> </w:t>
      </w:r>
      <w:r>
        <w:t xml:space="preserve">submits with MFA; a second person (</w:t>
      </w:r>
      <w:r>
        <w:rPr>
          <w:rStyle w:val="VerbatimChar"/>
        </w:rPr>
        <w:t xml:space="preserve">tenant_admin</w:t>
      </w:r>
      <w:r>
        <w:t xml:space="preserve"> </w:t>
      </w:r>
      <w:r>
        <w:t xml:space="preserve">or a designated CFO-office approver) approves every increase above the tenant’s threshold and every downgrade; self-approval is impossible.</w:t>
      </w:r>
    </w:p>
    <w:p>
      <w:pPr>
        <w:numPr>
          <w:ilvl w:val="1"/>
          <w:numId w:val="1565"/>
        </w:numPr>
        <w:pStyle w:val="Compact"/>
      </w:pPr>
      <w:r>
        <w:rPr>
          <w:bCs/>
          <w:b/>
        </w:rPr>
        <w:t xml:space="preserve">Order and effect:</w:t>
      </w:r>
      <w:r>
        <w:t xml:space="preserve"> </w:t>
      </w:r>
      <w:r>
        <w:t xml:space="preserve">the Hub creates the order; immediate payment uses the hosted-page redirect (CM4.1), otherwise the charge is invoiced. Entitlements change only when the signed</w:t>
      </w:r>
      <w:r>
        <w:t xml:space="preserve"> </w:t>
      </w:r>
      <w:r>
        <w:rPr>
          <w:rStyle w:val="VerbatimChar"/>
        </w:rPr>
        <w:t xml:space="preserve">EntitlementChanged</w:t>
      </w:r>
      <w:r>
        <w:t xml:space="preserve"> </w:t>
      </w:r>
      <w:r>
        <w:t xml:space="preserve">arrives (CM1.3); a failed payment leaves the current plan untouched and the request in PAYMENT_PENDING until it expires; a Hub outage queues the request and changes nothing.</w:t>
      </w:r>
    </w:p>
    <w:p>
      <w:pPr>
        <w:numPr>
          <w:ilvl w:val="1"/>
          <w:numId w:val="1565"/>
        </w:numPr>
        <w:pStyle w:val="Compact"/>
      </w:pPr>
      <w:r>
        <w:rPr>
          <w:bCs/>
          <w:b/>
        </w:rPr>
        <w:t xml:space="preserve">Downgrades</w:t>
      </w:r>
      <w:r>
        <w:t xml:space="preserve"> </w:t>
      </w:r>
      <w:r>
        <w:t xml:space="preserve">wait in SCHEDULED until term end and can be cancelled until then; at effect the detach workflow runs (READ_ONLY, export pack, no deletion).</w:t>
      </w:r>
    </w:p>
    <w:p>
      <w:pPr>
        <w:numPr>
          <w:ilvl w:val="0"/>
          <w:numId w:val="1564"/>
        </w:numPr>
        <w:pStyle w:val="Compact"/>
      </w:pPr>
      <w:r>
        <w:rPr>
          <w:bCs/>
          <w:b/>
        </w:rPr>
        <w:t xml:space="preserve">Add-on:</w:t>
      </w:r>
      <w:r>
        <w:t xml:space="preserve"> </w:t>
      </w:r>
      <w:r>
        <w:t xml:space="preserve">the plan-change flow plus acceptance of any required addendum before the order, then the Part 7A.0.4 attach workflow (prerequisites, configuration, certification) before the module is ENABLED.</w:t>
      </w:r>
    </w:p>
    <w:p>
      <w:pPr>
        <w:numPr>
          <w:ilvl w:val="0"/>
          <w:numId w:val="1564"/>
        </w:numPr>
        <w:pStyle w:val="Compact"/>
      </w:pPr>
      <w:r>
        <w:rPr>
          <w:bCs/>
          <w:b/>
        </w:rPr>
        <w:t xml:space="preserve">Seats:</w:t>
      </w:r>
      <w:r>
        <w:t xml:space="preserve"> </w:t>
      </w:r>
      <w:r>
        <w:t xml:space="preserve">additions are prorated and effective on payment or order; reductions apply at term end and only when active users fit the new limit (the screen lists users to deactivate first).</w:t>
      </w:r>
    </w:p>
    <w:p>
      <w:pPr>
        <w:numPr>
          <w:ilvl w:val="0"/>
          <w:numId w:val="1564"/>
        </w:numPr>
        <w:pStyle w:val="Compact"/>
      </w:pPr>
      <w:r>
        <w:rPr>
          <w:bCs/>
          <w:b/>
        </w:rPr>
        <w:t xml:space="preserve">Cancellation or non-renewal:</w:t>
      </w:r>
      <w:r>
        <w:t xml:space="preserve"> </w:t>
      </w:r>
      <w:r>
        <w:t xml:space="preserve">request with reason and second approval → Hub</w:t>
      </w:r>
      <w:r>
        <w:t xml:space="preserve"> </w:t>
      </w:r>
      <w:r>
        <w:rPr>
          <w:rStyle w:val="VerbatimChar"/>
        </w:rPr>
        <w:t xml:space="preserve">CANCELLATION_REQUESTED</w:t>
      </w:r>
      <w:r>
        <w:t xml:space="preserve"> </w:t>
      </w:r>
      <w:r>
        <w:t xml:space="preserve">→ effective at the end of the paid term →</w:t>
      </w:r>
      <w:r>
        <w:t xml:space="preserve"> </w:t>
      </w:r>
      <w:r>
        <w:rPr>
          <w:rStyle w:val="VerbatimChar"/>
        </w:rPr>
        <w:t xml:space="preserve">SubscriptionCancelled</w:t>
      </w:r>
      <w:r>
        <w:t xml:space="preserve"> </w:t>
      </w:r>
      <w:r>
        <w:t xml:space="preserve">→ Part 7J DP5 exit; withdrawable until effective; read, export and auditor access continue throughout.</w:t>
      </w:r>
    </w:p>
    <w:p>
      <w:pPr>
        <w:numPr>
          <w:ilvl w:val="0"/>
          <w:numId w:val="1564"/>
        </w:numPr>
        <w:pStyle w:val="Compact"/>
      </w:pPr>
      <w:r>
        <w:rPr>
          <w:bCs/>
          <w:b/>
        </w:rPr>
        <w:t xml:space="preserve">Payment method change:</w:t>
      </w:r>
      <w:r>
        <w:t xml:space="preserve"> </w:t>
      </w:r>
      <w:r>
        <w:t xml:space="preserve">a new mandate is registered with AFA on the hosted page; the old one is cancelled only after the new one is active; a mandate above the plan’s expected maximum is not offered.</w:t>
      </w:r>
    </w:p>
    <w:p>
      <w:pPr>
        <w:numPr>
          <w:ilvl w:val="0"/>
          <w:numId w:val="1564"/>
        </w:numPr>
        <w:pStyle w:val="Compact"/>
      </w:pPr>
      <w:r>
        <w:rPr>
          <w:bCs/>
          <w:b/>
        </w:rPr>
        <w:t xml:space="preserve">Billing profile change:</w:t>
      </w:r>
      <w:r>
        <w:t xml:space="preserve"> </w:t>
      </w:r>
      <w:r>
        <w:t xml:space="preserve">GSTIN format and checksum validated; effective for invoices issued after approval; issued invoices change only through credit or debit notes (OH8.6).</w:t>
      </w:r>
    </w:p>
    <w:bookmarkEnd w:id="704"/>
    <w:bookmarkStart w:id="705" w:name="settings-and-options-cm1cm5"/>
    <w:p>
      <w:pPr>
        <w:pStyle w:val="Heading3"/>
      </w:pPr>
      <w:r>
        <w:t xml:space="preserve">Settings and options (CM1–CM5)</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87"/>
        <w:gridCol w:w="1157"/>
        <w:gridCol w:w="2724"/>
        <w:gridCol w:w="2970"/>
      </w:tblGrid>
      <w:tr>
        <w:trPr>
          <w:tblHeader w:val="true"/>
          <w:tblHeader w:val="true"/>
        </w:trPr>
        <w:tc>
          <w:tcPr>
            <w:tcW w:w="2787" w:type="dxa"/>
            <w:shd w:val="clear" w:color="auto" w:fill="1F3A5F"/>
          </w:tcPr>
          <w:p>
            <w:pPr>
              <w:pStyle w:val="Compact"/>
              <w:spacing w:after="40"/>
              <w:jc w:val="left"/>
            </w:pPr>
            <w:r>
              <w:rPr>
                <w:b/>
                <w:color w:val="FFFFFF"/>
                <w:sz w:val="18"/>
              </w:rPr>
              <w:t xml:space="preserve">Setting</w:t>
            </w:r>
          </w:p>
        </w:tc>
        <w:tc>
          <w:tcPr>
            <w:tcW w:w="1157" w:type="dxa"/>
            <w:shd w:val="clear" w:color="auto" w:fill="1F3A5F"/>
          </w:tcPr>
          <w:p>
            <w:pPr>
              <w:pStyle w:val="Compact"/>
              <w:spacing w:after="40"/>
              <w:jc w:val="left"/>
            </w:pPr>
            <w:r>
              <w:rPr>
                <w:b/>
                <w:color w:val="FFFFFF"/>
                <w:sz w:val="18"/>
              </w:rPr>
              <w:t xml:space="preserve">Level</w:t>
            </w:r>
          </w:p>
        </w:tc>
        <w:tc>
          <w:tcPr>
            <w:tcW w:w="2724" w:type="dxa"/>
            <w:shd w:val="clear" w:color="auto" w:fill="1F3A5F"/>
          </w:tcPr>
          <w:p>
            <w:pPr>
              <w:pStyle w:val="Compact"/>
              <w:spacing w:after="40"/>
              <w:jc w:val="left"/>
            </w:pPr>
            <w:r>
              <w:rPr>
                <w:b/>
                <w:color w:val="FFFFFF"/>
                <w:sz w:val="18"/>
              </w:rPr>
              <w:t xml:space="preserve">Default</w:t>
            </w:r>
          </w:p>
        </w:tc>
        <w:tc>
          <w:tcPr>
            <w:tcW w:w="2970" w:type="dxa"/>
            <w:shd w:val="clear" w:color="auto" w:fill="1F3A5F"/>
          </w:tcPr>
          <w:p>
            <w:pPr>
              <w:pStyle w:val="Compact"/>
              <w:spacing w:after="40"/>
              <w:jc w:val="left"/>
            </w:pPr>
            <w:r>
              <w:rPr>
                <w:b/>
                <w:color w:val="FFFFFF"/>
                <w:sz w:val="18"/>
              </w:rPr>
              <w:t xml:space="preserve">Nature</w:t>
            </w:r>
          </w:p>
        </w:tc>
      </w:tr>
      <w:tr>
        <w:tc>
          <w:tcPr>
            <w:tcW w:w="2787" w:type="dxa"/>
          </w:tcPr>
          <w:p>
            <w:pPr>
              <w:pStyle w:val="Compact"/>
              <w:spacing w:after="40"/>
              <w:jc w:val="left"/>
            </w:pPr>
            <w:r>
              <w:rPr>
                <w:sz w:val="18"/>
              </w:rPr>
              <w:t xml:space="preserve">Regulatory-continuity rule (CM1.4), export and exit always included</w:t>
            </w:r>
          </w:p>
        </w:tc>
        <w:tc>
          <w:tcPr>
            <w:tcW w:w="1157" w:type="dxa"/>
          </w:tcPr>
          <w:p>
            <w:pPr>
              <w:pStyle w:val="Compact"/>
              <w:spacing w:after="40"/>
              <w:jc w:val="left"/>
            </w:pPr>
            <w:r>
              <w:rPr>
                <w:sz w:val="18"/>
              </w:rPr>
              <w:t xml:space="preserve">Platform</w:t>
            </w:r>
          </w:p>
        </w:tc>
        <w:tc>
          <w:tcPr>
            <w:tcW w:w="2724" w:type="dxa"/>
          </w:tcPr>
          <w:p>
            <w:pPr>
              <w:pStyle w:val="Compact"/>
              <w:spacing w:after="40"/>
              <w:jc w:val="left"/>
            </w:pPr>
            <w:r>
              <w:rPr>
                <w:sz w:val="18"/>
              </w:rPr>
              <w:t xml:space="preserve">Always on</w:t>
            </w:r>
          </w:p>
        </w:tc>
        <w:tc>
          <w:tcPr>
            <w:tcW w:w="2970" w:type="dxa"/>
          </w:tcPr>
          <w:p>
            <w:pPr>
              <w:pStyle w:val="Compact"/>
              <w:spacing w:after="40"/>
              <w:jc w:val="left"/>
            </w:pPr>
            <w:r>
              <w:rPr>
                <w:sz w:val="18"/>
              </w:rPr>
              <w:t xml:space="preserve">Regulatory floor; no setting exists to change it</w:t>
            </w:r>
          </w:p>
        </w:tc>
      </w:tr>
      <w:tr>
        <w:tc>
          <w:tcPr>
            <w:tcW w:w="2787" w:type="dxa"/>
          </w:tcPr>
          <w:p>
            <w:pPr>
              <w:pStyle w:val="Compact"/>
              <w:spacing w:after="40"/>
              <w:jc w:val="left"/>
            </w:pPr>
            <w:r>
              <w:rPr>
                <w:sz w:val="18"/>
              </w:rPr>
              <w:t xml:space="preserve">Second approver for plan changes</w:t>
            </w:r>
          </w:p>
        </w:tc>
        <w:tc>
          <w:tcPr>
            <w:tcW w:w="1157" w:type="dxa"/>
          </w:tcPr>
          <w:p>
            <w:pPr>
              <w:pStyle w:val="Compact"/>
              <w:spacing w:after="40"/>
              <w:jc w:val="left"/>
            </w:pPr>
            <w:r>
              <w:rPr>
                <w:sz w:val="18"/>
              </w:rPr>
              <w:t xml:space="preserve">Tenant</w:t>
            </w:r>
          </w:p>
        </w:tc>
        <w:tc>
          <w:tcPr>
            <w:tcW w:w="2724" w:type="dxa"/>
          </w:tcPr>
          <w:p>
            <w:pPr>
              <w:pStyle w:val="Compact"/>
              <w:spacing w:after="40"/>
              <w:jc w:val="left"/>
            </w:pPr>
            <w:r>
              <w:rPr>
                <w:sz w:val="18"/>
              </w:rPr>
              <w:t xml:space="preserve">Every downgrade and every increase above ₹0</w:t>
            </w:r>
          </w:p>
        </w:tc>
        <w:tc>
          <w:tcPr>
            <w:tcW w:w="2970" w:type="dxa"/>
          </w:tcPr>
          <w:p>
            <w:pPr>
              <w:pStyle w:val="Compact"/>
              <w:spacing w:after="40"/>
              <w:jc w:val="left"/>
            </w:pPr>
            <w:r>
              <w:rPr>
                <w:sz w:val="18"/>
              </w:rPr>
              <w:t xml:space="preserve">Tenant may raise the threshold, not remove the downgrade rule</w:t>
            </w:r>
          </w:p>
        </w:tc>
      </w:tr>
      <w:tr>
        <w:tc>
          <w:tcPr>
            <w:tcW w:w="2787" w:type="dxa"/>
          </w:tcPr>
          <w:p>
            <w:pPr>
              <w:pStyle w:val="Compact"/>
              <w:spacing w:after="40"/>
              <w:jc w:val="left"/>
            </w:pPr>
            <w:r>
              <w:rPr>
                <w:sz w:val="18"/>
              </w:rPr>
              <w:t xml:space="preserve">MFA on billing changes</w:t>
            </w:r>
          </w:p>
        </w:tc>
        <w:tc>
          <w:tcPr>
            <w:tcW w:w="1157" w:type="dxa"/>
          </w:tcPr>
          <w:p>
            <w:pPr>
              <w:pStyle w:val="Compact"/>
              <w:spacing w:after="40"/>
              <w:jc w:val="left"/>
            </w:pPr>
            <w:r>
              <w:rPr>
                <w:sz w:val="18"/>
              </w:rPr>
              <w:t xml:space="preserve">Platform</w:t>
            </w:r>
          </w:p>
        </w:tc>
        <w:tc>
          <w:tcPr>
            <w:tcW w:w="2724" w:type="dxa"/>
          </w:tcPr>
          <w:p>
            <w:pPr>
              <w:pStyle w:val="Compact"/>
              <w:spacing w:after="40"/>
              <w:jc w:val="left"/>
            </w:pPr>
            <w:r>
              <w:rPr>
                <w:sz w:val="18"/>
              </w:rPr>
              <w:t xml:space="preserve">Always</w:t>
            </w:r>
          </w:p>
        </w:tc>
        <w:tc>
          <w:tcPr>
            <w:tcW w:w="2970" w:type="dxa"/>
          </w:tcPr>
          <w:p>
            <w:pPr>
              <w:pStyle w:val="Compact"/>
              <w:spacing w:after="40"/>
              <w:jc w:val="left"/>
            </w:pPr>
            <w:r>
              <w:rPr>
                <w:sz w:val="18"/>
              </w:rPr>
              <w:t xml:space="preserve">Floor (CYB para 115 pattern)</w:t>
            </w:r>
          </w:p>
        </w:tc>
      </w:tr>
      <w:tr>
        <w:tc>
          <w:tcPr>
            <w:tcW w:w="2787" w:type="dxa"/>
          </w:tcPr>
          <w:p>
            <w:pPr>
              <w:pStyle w:val="Compact"/>
              <w:spacing w:after="40"/>
              <w:jc w:val="left"/>
            </w:pPr>
            <w:r>
              <w:rPr>
                <w:sz w:val="18"/>
              </w:rPr>
              <w:t xml:space="preserve">Usage alerts</w:t>
            </w:r>
          </w:p>
        </w:tc>
        <w:tc>
          <w:tcPr>
            <w:tcW w:w="1157" w:type="dxa"/>
          </w:tcPr>
          <w:p>
            <w:pPr>
              <w:pStyle w:val="Compact"/>
              <w:spacing w:after="40"/>
              <w:jc w:val="left"/>
            </w:pPr>
            <w:r>
              <w:rPr>
                <w:sz w:val="18"/>
              </w:rPr>
              <w:t xml:space="preserve">Tenant</w:t>
            </w:r>
          </w:p>
        </w:tc>
        <w:tc>
          <w:tcPr>
            <w:tcW w:w="2724" w:type="dxa"/>
          </w:tcPr>
          <w:p>
            <w:pPr>
              <w:pStyle w:val="Compact"/>
              <w:spacing w:after="40"/>
              <w:jc w:val="left"/>
            </w:pPr>
            <w:r>
              <w:rPr>
                <w:sz w:val="18"/>
              </w:rPr>
              <w:t xml:space="preserve">80% and 100% of each limit</w:t>
            </w:r>
          </w:p>
        </w:tc>
        <w:tc>
          <w:tcPr>
            <w:tcW w:w="2970" w:type="dxa"/>
          </w:tcPr>
          <w:p>
            <w:pPr>
              <w:pStyle w:val="Compact"/>
              <w:spacing w:after="40"/>
              <w:jc w:val="left"/>
            </w:pPr>
            <w:r>
              <w:rPr>
                <w:sz w:val="18"/>
              </w:rPr>
              <w:t xml:space="preserve">Tenant may add earlier thresholds</w:t>
            </w:r>
          </w:p>
        </w:tc>
      </w:tr>
      <w:tr>
        <w:tc>
          <w:tcPr>
            <w:tcW w:w="2787" w:type="dxa"/>
          </w:tcPr>
          <w:p>
            <w:pPr>
              <w:pStyle w:val="Compact"/>
              <w:spacing w:after="40"/>
              <w:jc w:val="left"/>
            </w:pPr>
            <w:r>
              <w:rPr>
                <w:sz w:val="18"/>
              </w:rPr>
              <w:t xml:space="preserve">Renewal and price-change notices</w:t>
            </w:r>
          </w:p>
        </w:tc>
        <w:tc>
          <w:tcPr>
            <w:tcW w:w="1157" w:type="dxa"/>
          </w:tcPr>
          <w:p>
            <w:pPr>
              <w:pStyle w:val="Compact"/>
              <w:spacing w:after="40"/>
              <w:jc w:val="left"/>
            </w:pPr>
            <w:r>
              <w:rPr>
                <w:sz w:val="18"/>
              </w:rPr>
              <w:t xml:space="preserve">Platform</w:t>
            </w:r>
          </w:p>
        </w:tc>
        <w:tc>
          <w:tcPr>
            <w:tcW w:w="2724" w:type="dxa"/>
          </w:tcPr>
          <w:p>
            <w:pPr>
              <w:pStyle w:val="Compact"/>
              <w:spacing w:after="40"/>
              <w:jc w:val="left"/>
            </w:pPr>
            <w:r>
              <w:rPr>
                <w:sz w:val="18"/>
              </w:rPr>
              <w:t xml:space="preserve">Renewal at 90, 30 and 7 days; price change ≥ 30 days ahead [REC]</w:t>
            </w:r>
          </w:p>
        </w:tc>
        <w:tc>
          <w:tcPr>
            <w:tcW w:w="2970" w:type="dxa"/>
          </w:tcPr>
          <w:p>
            <w:pPr>
              <w:pStyle w:val="Compact"/>
              <w:spacing w:after="40"/>
              <w:jc w:val="left"/>
            </w:pPr>
            <w:r>
              <w:rPr>
                <w:sz w:val="18"/>
              </w:rPr>
              <w:t xml:space="preserve">Floor</w:t>
            </w:r>
          </w:p>
        </w:tc>
      </w:tr>
      <w:tr>
        <w:tc>
          <w:tcPr>
            <w:tcW w:w="2787" w:type="dxa"/>
          </w:tcPr>
          <w:p>
            <w:pPr>
              <w:pStyle w:val="Compact"/>
              <w:spacing w:after="40"/>
              <w:jc w:val="left"/>
            </w:pPr>
            <w:r>
              <w:rPr>
                <w:sz w:val="18"/>
              </w:rPr>
              <w:t xml:space="preserve">Courtesy notice before a recurring debit</w:t>
            </w:r>
          </w:p>
        </w:tc>
        <w:tc>
          <w:tcPr>
            <w:tcW w:w="1157" w:type="dxa"/>
          </w:tcPr>
          <w:p>
            <w:pPr>
              <w:pStyle w:val="Compact"/>
              <w:spacing w:after="40"/>
              <w:jc w:val="left"/>
            </w:pPr>
            <w:r>
              <w:rPr>
                <w:sz w:val="18"/>
              </w:rPr>
              <w:t xml:space="preserve">Tenant</w:t>
            </w:r>
          </w:p>
        </w:tc>
        <w:tc>
          <w:tcPr>
            <w:tcW w:w="2724" w:type="dxa"/>
          </w:tcPr>
          <w:p>
            <w:pPr>
              <w:pStyle w:val="Compact"/>
              <w:spacing w:after="40"/>
              <w:jc w:val="left"/>
            </w:pPr>
            <w:r>
              <w:rPr>
                <w:sz w:val="18"/>
              </w:rPr>
              <w:t xml:space="preserve">T-48 hours, on</w:t>
            </w:r>
          </w:p>
        </w:tc>
        <w:tc>
          <w:tcPr>
            <w:tcW w:w="2970" w:type="dxa"/>
          </w:tcPr>
          <w:p>
            <w:pPr>
              <w:pStyle w:val="Compact"/>
              <w:spacing w:after="40"/>
              <w:jc w:val="left"/>
            </w:pPr>
            <w:r>
              <w:rPr>
                <w:sz w:val="18"/>
              </w:rPr>
              <w:t xml:space="preserve">Commercial choice; the issuer’s pre-debit notice is separate and mandatory</w:t>
            </w:r>
          </w:p>
        </w:tc>
      </w:tr>
      <w:tr>
        <w:tc>
          <w:tcPr>
            <w:tcW w:w="2787" w:type="dxa"/>
          </w:tcPr>
          <w:p>
            <w:pPr>
              <w:pStyle w:val="Compact"/>
              <w:spacing w:after="40"/>
              <w:jc w:val="left"/>
            </w:pPr>
            <w:r>
              <w:rPr>
                <w:sz w:val="18"/>
              </w:rPr>
              <w:t xml:space="preserve">PO number on invoices</w:t>
            </w:r>
          </w:p>
        </w:tc>
        <w:tc>
          <w:tcPr>
            <w:tcW w:w="1157" w:type="dxa"/>
          </w:tcPr>
          <w:p>
            <w:pPr>
              <w:pStyle w:val="Compact"/>
              <w:spacing w:after="40"/>
              <w:jc w:val="left"/>
            </w:pPr>
            <w:r>
              <w:rPr>
                <w:sz w:val="18"/>
              </w:rPr>
              <w:t xml:space="preserve">Tenant</w:t>
            </w:r>
          </w:p>
        </w:tc>
        <w:tc>
          <w:tcPr>
            <w:tcW w:w="2724" w:type="dxa"/>
          </w:tcPr>
          <w:p>
            <w:pPr>
              <w:pStyle w:val="Compact"/>
              <w:spacing w:after="40"/>
              <w:jc w:val="left"/>
            </w:pPr>
            <w:r>
              <w:rPr>
                <w:sz w:val="18"/>
              </w:rPr>
              <w:t xml:space="preserve">Optional</w:t>
            </w:r>
          </w:p>
        </w:tc>
        <w:tc>
          <w:tcPr>
            <w:tcW w:w="2970" w:type="dxa"/>
          </w:tcPr>
          <w:p>
            <w:pPr>
              <w:pStyle w:val="Compact"/>
              <w:spacing w:after="40"/>
              <w:jc w:val="left"/>
            </w:pPr>
            <w:r>
              <w:rPr>
                <w:sz w:val="18"/>
              </w:rPr>
              <w:t xml:space="preserve">Commercial choice</w:t>
            </w:r>
          </w:p>
        </w:tc>
      </w:tr>
      <w:tr>
        <w:tc>
          <w:tcPr>
            <w:tcW w:w="2787" w:type="dxa"/>
          </w:tcPr>
          <w:p>
            <w:pPr>
              <w:pStyle w:val="Compact"/>
              <w:spacing w:after="40"/>
              <w:jc w:val="left"/>
            </w:pPr>
            <w:r>
              <w:rPr>
                <w:sz w:val="18"/>
              </w:rPr>
              <w:t xml:space="preserve">Invoice delivery</w:t>
            </w:r>
          </w:p>
        </w:tc>
        <w:tc>
          <w:tcPr>
            <w:tcW w:w="1157" w:type="dxa"/>
          </w:tcPr>
          <w:p>
            <w:pPr>
              <w:pStyle w:val="Compact"/>
              <w:spacing w:after="40"/>
              <w:jc w:val="left"/>
            </w:pPr>
            <w:r>
              <w:rPr>
                <w:sz w:val="18"/>
              </w:rPr>
              <w:t xml:space="preserve">Tenant</w:t>
            </w:r>
          </w:p>
        </w:tc>
        <w:tc>
          <w:tcPr>
            <w:tcW w:w="2724" w:type="dxa"/>
          </w:tcPr>
          <w:p>
            <w:pPr>
              <w:pStyle w:val="Compact"/>
              <w:spacing w:after="40"/>
              <w:jc w:val="left"/>
            </w:pPr>
            <w:r>
              <w:rPr>
                <w:sz w:val="18"/>
              </w:rPr>
              <w:t xml:space="preserve">Portal plus email PDF to billing contacts</w:t>
            </w:r>
          </w:p>
        </w:tc>
        <w:tc>
          <w:tcPr>
            <w:tcW w:w="2970" w:type="dxa"/>
          </w:tcPr>
          <w:p>
            <w:pPr>
              <w:pStyle w:val="Compact"/>
              <w:spacing w:after="40"/>
              <w:jc w:val="left"/>
            </w:pPr>
            <w:r>
              <w:rPr>
                <w:sz w:val="18"/>
              </w:rPr>
              <w:t xml:space="preserve">Commercial choice</w:t>
            </w:r>
          </w:p>
        </w:tc>
      </w:tr>
      <w:tr>
        <w:tc>
          <w:tcPr>
            <w:tcW w:w="2787" w:type="dxa"/>
          </w:tcPr>
          <w:p>
            <w:pPr>
              <w:pStyle w:val="Compact"/>
              <w:spacing w:after="40"/>
              <w:jc w:val="left"/>
            </w:pPr>
            <w:r>
              <w:rPr>
                <w:sz w:val="18"/>
              </w:rPr>
              <w:t xml:space="preserve">Vendor-announcements panel</w:t>
            </w:r>
          </w:p>
        </w:tc>
        <w:tc>
          <w:tcPr>
            <w:tcW w:w="1157" w:type="dxa"/>
          </w:tcPr>
          <w:p>
            <w:pPr>
              <w:pStyle w:val="Compact"/>
              <w:spacing w:after="40"/>
              <w:jc w:val="left"/>
            </w:pPr>
            <w:r>
              <w:rPr>
                <w:sz w:val="18"/>
              </w:rPr>
              <w:t xml:space="preserve">Tenant</w:t>
            </w:r>
          </w:p>
        </w:tc>
        <w:tc>
          <w:tcPr>
            <w:tcW w:w="2724" w:type="dxa"/>
          </w:tcPr>
          <w:p>
            <w:pPr>
              <w:pStyle w:val="Compact"/>
              <w:spacing w:after="40"/>
              <w:jc w:val="left"/>
            </w:pPr>
            <w:r>
              <w:rPr>
                <w:sz w:val="18"/>
              </w:rPr>
              <w:t xml:space="preserve">Off (opt-in)</w:t>
            </w:r>
          </w:p>
        </w:tc>
        <w:tc>
          <w:tcPr>
            <w:tcW w:w="2970" w:type="dxa"/>
          </w:tcPr>
          <w:p>
            <w:pPr>
              <w:pStyle w:val="Compact"/>
              <w:spacing w:after="40"/>
              <w:jc w:val="left"/>
            </w:pPr>
            <w:r>
              <w:rPr>
                <w:sz w:val="18"/>
              </w:rPr>
              <w:t xml:space="preserve">Commercial choice; never shown inside lending workflows or borrower surfaces</w:t>
            </w:r>
          </w:p>
        </w:tc>
      </w:tr>
      <w:tr>
        <w:tc>
          <w:tcPr>
            <w:tcW w:w="2787" w:type="dxa"/>
          </w:tcPr>
          <w:p>
            <w:pPr>
              <w:pStyle w:val="Compact"/>
              <w:spacing w:after="40"/>
              <w:jc w:val="left"/>
            </w:pPr>
            <w:r>
              <w:rPr>
                <w:sz w:val="18"/>
              </w:rPr>
              <w:t xml:space="preserve">Offline licence grace (dedicated deployments)</w:t>
            </w:r>
          </w:p>
        </w:tc>
        <w:tc>
          <w:tcPr>
            <w:tcW w:w="1157" w:type="dxa"/>
          </w:tcPr>
          <w:p>
            <w:pPr>
              <w:pStyle w:val="Compact"/>
              <w:spacing w:after="40"/>
              <w:jc w:val="left"/>
            </w:pPr>
            <w:r>
              <w:rPr>
                <w:sz w:val="18"/>
              </w:rPr>
              <w:t xml:space="preserve">Contract</w:t>
            </w:r>
          </w:p>
        </w:tc>
        <w:tc>
          <w:tcPr>
            <w:tcW w:w="2724" w:type="dxa"/>
          </w:tcPr>
          <w:p>
            <w:pPr>
              <w:pStyle w:val="Compact"/>
              <w:spacing w:after="40"/>
              <w:jc w:val="left"/>
            </w:pPr>
            <w:r>
              <w:rPr>
                <w:sz w:val="18"/>
              </w:rPr>
              <w:t xml:space="preserve">30 days</w:t>
            </w:r>
          </w:p>
        </w:tc>
        <w:tc>
          <w:tcPr>
            <w:tcW w:w="2970" w:type="dxa"/>
          </w:tcPr>
          <w:p>
            <w:pPr>
              <w:pStyle w:val="Compact"/>
              <w:spacing w:after="40"/>
              <w:jc w:val="left"/>
            </w:pPr>
            <w:r>
              <w:rPr>
                <w:sz w:val="18"/>
              </w:rPr>
              <w:t xml:space="preserve">Contractual</w:t>
            </w:r>
          </w:p>
        </w:tc>
      </w:tr>
    </w:tbl>
    <w:bookmarkEnd w:id="705"/>
    <w:bookmarkStart w:id="706" w:name="acceptance-tests-60"/>
    <w:p>
      <w:pPr>
        <w:pStyle w:val="Heading3"/>
      </w:pPr>
      <w:r>
        <w:t xml:space="preserve">Acceptance tests</w:t>
      </w:r>
    </w:p>
    <w:p>
      <w:pPr>
        <w:numPr>
          <w:ilvl w:val="0"/>
          <w:numId w:val="1566"/>
        </w:numPr>
        <w:pStyle w:val="Compact"/>
      </w:pPr>
      <w:r>
        <w:t xml:space="preserve">The comparison table renders only from catalogue data; a test removing a limit from the catalogue removes it from the page with no code change.</w:t>
      </w:r>
    </w:p>
    <w:p>
      <w:pPr>
        <w:numPr>
          <w:ilvl w:val="0"/>
          <w:numId w:val="1566"/>
        </w:numPr>
        <w:pStyle w:val="Compact"/>
      </w:pPr>
      <w:r>
        <w:t xml:space="preserve">A</w:t>
      </w:r>
      <w:r>
        <w:t xml:space="preserve"> </w:t>
      </w:r>
      <w:r>
        <w:rPr>
          <w:rStyle w:val="VerbatimChar"/>
        </w:rPr>
        <w:t xml:space="preserve">tenant_admin</w:t>
      </w:r>
      <w:r>
        <w:t xml:space="preserve"> </w:t>
      </w:r>
      <w:r>
        <w:t xml:space="preserve">without</w:t>
      </w:r>
      <w:r>
        <w:t xml:space="preserve"> </w:t>
      </w:r>
      <w:r>
        <w:rPr>
          <w:rStyle w:val="VerbatimChar"/>
        </w:rPr>
        <w:t xml:space="preserve">billing_admin</w:t>
      </w:r>
      <w:r>
        <w:t xml:space="preserve"> </w:t>
      </w:r>
      <w:r>
        <w:t xml:space="preserve">cannot reach the payment-method page; a billing change without fresh MFA is refused.</w:t>
      </w:r>
    </w:p>
    <w:p>
      <w:pPr>
        <w:numPr>
          <w:ilvl w:val="0"/>
          <w:numId w:val="1566"/>
        </w:numPr>
        <w:pStyle w:val="Compact"/>
      </w:pPr>
      <w:r>
        <w:t xml:space="preserve">Every module page shows a downgrade explainer; a catalogue item missing one fails catalogue import.</w:t>
      </w:r>
    </w:p>
    <w:p>
      <w:pPr>
        <w:numPr>
          <w:ilvl w:val="0"/>
          <w:numId w:val="1566"/>
        </w:numPr>
        <w:pStyle w:val="Compact"/>
      </w:pPr>
      <w:r>
        <w:t xml:space="preserve">An explainer containing</w:t>
      </w:r>
      <w:r>
        <w:t xml:space="preserve"> </w:t>
      </w:r>
      <w:r>
        <w:t xml:space="preserve">“</w:t>
      </w:r>
      <w:r>
        <w:t xml:space="preserve">guarantees compliance</w:t>
      </w:r>
      <w:r>
        <w:t xml:space="preserve">”</w:t>
      </w:r>
      <w:r>
        <w:t xml:space="preserve"> </w:t>
      </w:r>
      <w:r>
        <w:t xml:space="preserve">or</w:t>
      </w:r>
      <w:r>
        <w:t xml:space="preserve"> </w:t>
      </w:r>
      <w:r>
        <w:t xml:space="preserve">“</w:t>
      </w:r>
      <w:r>
        <w:t xml:space="preserve">certified</w:t>
      </w:r>
      <w:r>
        <w:t xml:space="preserve">”</w:t>
      </w:r>
      <w:r>
        <w:t xml:space="preserve"> </w:t>
      </w:r>
      <w:r>
        <w:t xml:space="preserve">(without an EO5 certificate record) fails the CI content check.</w:t>
      </w:r>
    </w:p>
    <w:p>
      <w:pPr>
        <w:numPr>
          <w:ilvl w:val="0"/>
          <w:numId w:val="1566"/>
        </w:numPr>
        <w:pStyle w:val="Compact"/>
      </w:pPr>
      <w:r>
        <w:t xml:space="preserve">The cancellation page offers export and explains what remains available, and requires no more steps than purchase.</w:t>
      </w:r>
    </w:p>
    <w:p>
      <w:pPr>
        <w:numPr>
          <w:ilvl w:val="0"/>
          <w:numId w:val="1566"/>
        </w:numPr>
        <w:pStyle w:val="Compact"/>
      </w:pPr>
      <w:r>
        <w:t xml:space="preserve">A plan-change preview shows the Hub’s prorated amount and GST unchanged; Finbyx code contains no price or tax computation (static check on the</w:t>
      </w:r>
      <w:r>
        <w:t xml:space="preserve"> </w:t>
      </w:r>
      <w:r>
        <w:rPr>
          <w:rStyle w:val="VerbatimChar"/>
        </w:rPr>
        <w:t xml:space="preserve">billing</w:t>
      </w:r>
      <w:r>
        <w:t xml:space="preserve"> </w:t>
      </w:r>
      <w:r>
        <w:t xml:space="preserve">module).</w:t>
      </w:r>
    </w:p>
    <w:p>
      <w:pPr>
        <w:numPr>
          <w:ilvl w:val="0"/>
          <w:numId w:val="1566"/>
        </w:numPr>
        <w:pStyle w:val="Compact"/>
      </w:pPr>
      <w:r>
        <w:t xml:space="preserve">A downgrade submitted by a</w:t>
      </w:r>
      <w:r>
        <w:t xml:space="preserve"> </w:t>
      </w:r>
      <w:r>
        <w:rPr>
          <w:rStyle w:val="VerbatimChar"/>
        </w:rPr>
        <w:t xml:space="preserve">billing_admin</w:t>
      </w:r>
      <w:r>
        <w:t xml:space="preserve"> </w:t>
      </w:r>
      <w:r>
        <w:t xml:space="preserve">cannot be approved by the same user; an approved upgrade whose payment fails leaves entitlements unchanged.</w:t>
      </w:r>
    </w:p>
    <w:p>
      <w:pPr>
        <w:numPr>
          <w:ilvl w:val="0"/>
          <w:numId w:val="1566"/>
        </w:numPr>
        <w:pStyle w:val="Compact"/>
      </w:pPr>
      <w:r>
        <w:t xml:space="preserve">Reducing seats below the number of active users is refused with the list of users to deactivate.</w:t>
      </w:r>
    </w:p>
    <w:p>
      <w:pPr>
        <w:numPr>
          <w:ilvl w:val="0"/>
          <w:numId w:val="1566"/>
        </w:numPr>
        <w:pStyle w:val="Compact"/>
      </w:pPr>
      <w:r>
        <w:t xml:space="preserve">A GSTIN change does not alter any issued invoice.</w:t>
      </w:r>
    </w:p>
    <w:p>
      <w:r>
        <w:pict>
          <v:rect style="width:0;height:1.5pt" o:hralign="center" o:hrstd="t" o:hr="t"/>
        </w:pict>
      </w:r>
    </w:p>
    <w:bookmarkEnd w:id="706"/>
    <w:bookmarkEnd w:id="707"/>
    <w:bookmarkStart w:id="712" w:name="cm3.-usage-metering"/>
    <w:p>
      <w:pPr>
        <w:pStyle w:val="Heading2"/>
      </w:pPr>
      <w:r>
        <w:t xml:space="preserve">CM3. Usage metering</w:t>
      </w:r>
    </w:p>
    <w:bookmarkStart w:id="708" w:name="X095ffe6db843550abdbc74bf9ca5b7c905f175f"/>
    <w:p>
      <w:pPr>
        <w:pStyle w:val="Heading3"/>
      </w:pPr>
      <w:r>
        <w:t xml:space="preserve">CM3.1 Meter definitions (from the catalogue; computed in Finbyx)</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14"/>
        <w:gridCol w:w="3933"/>
        <w:gridCol w:w="2588"/>
        <w:gridCol w:w="1803"/>
      </w:tblGrid>
      <w:tr>
        <w:trPr>
          <w:tblHeader w:val="true"/>
          <w:tblHeader w:val="true"/>
        </w:trPr>
        <w:tc>
          <w:tcPr>
            <w:tcW w:w="1314" w:type="dxa"/>
            <w:shd w:val="clear" w:color="auto" w:fill="1F3A5F"/>
          </w:tcPr>
          <w:p>
            <w:pPr>
              <w:pStyle w:val="Compact"/>
              <w:spacing w:after="40"/>
              <w:jc w:val="left"/>
            </w:pPr>
            <w:r>
              <w:rPr>
                <w:b/>
                <w:color w:val="FFFFFF"/>
                <w:sz w:val="18"/>
              </w:rPr>
              <w:t xml:space="preserve">Meter</w:t>
            </w:r>
          </w:p>
        </w:tc>
        <w:tc>
          <w:tcPr>
            <w:tcW w:w="3933" w:type="dxa"/>
            <w:shd w:val="clear" w:color="auto" w:fill="1F3A5F"/>
          </w:tcPr>
          <w:p>
            <w:pPr>
              <w:pStyle w:val="Compact"/>
              <w:spacing w:after="40"/>
              <w:jc w:val="left"/>
            </w:pPr>
            <w:r>
              <w:rPr>
                <w:b/>
                <w:color w:val="FFFFFF"/>
                <w:sz w:val="18"/>
              </w:rPr>
              <w:t xml:space="preserve">Definition</w:t>
            </w:r>
          </w:p>
        </w:tc>
        <w:tc>
          <w:tcPr>
            <w:tcW w:w="2588" w:type="dxa"/>
            <w:shd w:val="clear" w:color="auto" w:fill="1F3A5F"/>
          </w:tcPr>
          <w:p>
            <w:pPr>
              <w:pStyle w:val="Compact"/>
              <w:spacing w:after="40"/>
              <w:jc w:val="left"/>
            </w:pPr>
            <w:r>
              <w:rPr>
                <w:b/>
                <w:color w:val="FFFFFF"/>
                <w:sz w:val="18"/>
              </w:rPr>
              <w:t xml:space="preserve">Aggregation</w:t>
            </w:r>
          </w:p>
        </w:tc>
        <w:tc>
          <w:tcPr>
            <w:tcW w:w="1803" w:type="dxa"/>
            <w:shd w:val="clear" w:color="auto" w:fill="1F3A5F"/>
          </w:tcPr>
          <w:p>
            <w:pPr>
              <w:pStyle w:val="Compact"/>
              <w:spacing w:after="40"/>
              <w:jc w:val="left"/>
            </w:pPr>
            <w:r>
              <w:rPr>
                <w:b/>
                <w:color w:val="FFFFFF"/>
                <w:sz w:val="18"/>
              </w:rPr>
              <w:t xml:space="preserve">Source</w:t>
            </w:r>
          </w:p>
        </w:tc>
      </w:tr>
      <w:tr>
        <w:tc>
          <w:tcPr>
            <w:tcW w:w="1314" w:type="dxa"/>
          </w:tcPr>
          <w:p>
            <w:pPr>
              <w:pStyle w:val="Compact"/>
              <w:spacing w:after="40"/>
              <w:jc w:val="left"/>
            </w:pPr>
            <w:r>
              <w:rPr>
                <w:rStyle w:val="VerbatimChar"/>
                <w:sz w:val="18"/>
              </w:rPr>
              <w:t xml:space="preserve">active_loans</w:t>
            </w:r>
          </w:p>
        </w:tc>
        <w:tc>
          <w:tcPr>
            <w:tcW w:w="3933" w:type="dxa"/>
          </w:tcPr>
          <w:p>
            <w:pPr>
              <w:pStyle w:val="Compact"/>
              <w:spacing w:after="40"/>
              <w:jc w:val="left"/>
            </w:pPr>
            <w:r>
              <w:rPr>
                <w:sz w:val="18"/>
              </w:rPr>
              <w:t xml:space="preserve">Distinct loan accounts in the tenant’s own or serviced book with a non-zero balance on any ledger or any posted transaction in the period; excludes sandbox, closed-before-period and loans in a migration reconciliation window</w:t>
            </w:r>
          </w:p>
        </w:tc>
        <w:tc>
          <w:tcPr>
            <w:tcW w:w="2588" w:type="dxa"/>
          </w:tcPr>
          <w:p>
            <w:pPr>
              <w:pStyle w:val="Compact"/>
              <w:spacing w:after="40"/>
              <w:jc w:val="left"/>
            </w:pPr>
            <w:r>
              <w:rPr>
                <w:sz w:val="18"/>
              </w:rPr>
              <w:t xml:space="preserve">Month-end snapshot and monthly peak (catalogue chooses which is billed)</w:t>
            </w:r>
          </w:p>
        </w:tc>
        <w:tc>
          <w:tcPr>
            <w:tcW w:w="1803" w:type="dxa"/>
          </w:tcPr>
          <w:p>
            <w:pPr>
              <w:pStyle w:val="Compact"/>
              <w:spacing w:after="40"/>
              <w:jc w:val="left"/>
            </w:pPr>
            <w:r>
              <w:rPr>
                <w:sz w:val="18"/>
              </w:rPr>
              <w:t xml:space="preserve">M6, M10</w:t>
            </w:r>
          </w:p>
        </w:tc>
      </w:tr>
      <w:tr>
        <w:tc>
          <w:tcPr>
            <w:tcW w:w="1314" w:type="dxa"/>
          </w:tcPr>
          <w:p>
            <w:pPr>
              <w:pStyle w:val="Compact"/>
              <w:spacing w:after="40"/>
              <w:jc w:val="left"/>
            </w:pPr>
            <w:r>
              <w:rPr>
                <w:rStyle w:val="VerbatimChar"/>
                <w:sz w:val="18"/>
              </w:rPr>
              <w:t xml:space="preserve">aum_band</w:t>
            </w:r>
          </w:p>
        </w:tc>
        <w:tc>
          <w:tcPr>
            <w:tcW w:w="3933" w:type="dxa"/>
          </w:tcPr>
          <w:p>
            <w:pPr>
              <w:pStyle w:val="Compact"/>
              <w:spacing w:after="40"/>
              <w:jc w:val="left"/>
            </w:pPr>
            <w:r>
              <w:rPr>
                <w:sz w:val="18"/>
              </w:rPr>
              <w:t xml:space="preserve">Average of daily gross on-balance-sheet loan principal outstanding per legal entity (own share only for co-lent loans); derecognised but serviced pools reported as</w:t>
            </w:r>
            <w:r>
              <w:rPr>
                <w:sz w:val="18"/>
              </w:rPr>
              <w:t xml:space="preserve"> </w:t>
            </w:r>
            <w:r>
              <w:rPr>
                <w:rStyle w:val="VerbatimChar"/>
                <w:sz w:val="18"/>
              </w:rPr>
              <w:t xml:space="preserve">serviced_aum</w:t>
            </w:r>
            <w:r>
              <w:rPr>
                <w:sz w:val="18"/>
              </w:rPr>
              <w:t xml:space="preserve"> </w:t>
            </w:r>
            <w:r>
              <w:rPr>
                <w:sz w:val="18"/>
              </w:rPr>
              <w:t xml:space="preserve">separately</w:t>
            </w:r>
          </w:p>
        </w:tc>
        <w:tc>
          <w:tcPr>
            <w:tcW w:w="2588" w:type="dxa"/>
          </w:tcPr>
          <w:p>
            <w:pPr>
              <w:pStyle w:val="Compact"/>
              <w:spacing w:after="40"/>
              <w:jc w:val="left"/>
            </w:pPr>
            <w:r>
              <w:rPr>
                <w:sz w:val="18"/>
              </w:rPr>
              <w:t xml:space="preserve">Monthly average mapped to catalogue bands; band change applies from the next quarter after notice</w:t>
            </w:r>
          </w:p>
        </w:tc>
        <w:tc>
          <w:tcPr>
            <w:tcW w:w="1803" w:type="dxa"/>
          </w:tcPr>
          <w:p>
            <w:pPr>
              <w:pStyle w:val="Compact"/>
              <w:spacing w:after="40"/>
              <w:jc w:val="left"/>
            </w:pPr>
            <w:r>
              <w:rPr>
                <w:sz w:val="18"/>
              </w:rPr>
              <w:t xml:space="preserve">M10 GL</w:t>
            </w:r>
          </w:p>
        </w:tc>
      </w:tr>
      <w:tr>
        <w:tc>
          <w:tcPr>
            <w:tcW w:w="1314" w:type="dxa"/>
          </w:tcPr>
          <w:p>
            <w:pPr>
              <w:pStyle w:val="Compact"/>
              <w:spacing w:after="40"/>
              <w:jc w:val="left"/>
            </w:pPr>
            <w:r>
              <w:rPr>
                <w:rStyle w:val="VerbatimChar"/>
                <w:sz w:val="18"/>
              </w:rPr>
              <w:t xml:space="preserve">named_users</w:t>
            </w:r>
            <w:r>
              <w:rPr>
                <w:sz w:val="18"/>
              </w:rPr>
              <w:t xml:space="preserve">,</w:t>
            </w:r>
            <w:r>
              <w:rPr>
                <w:sz w:val="18"/>
              </w:rPr>
              <w:t xml:space="preserve"> </w:t>
            </w:r>
            <w:r>
              <w:rPr>
                <w:rStyle w:val="VerbatimChar"/>
                <w:sz w:val="18"/>
              </w:rPr>
              <w:t xml:space="preserve">active_users</w:t>
            </w:r>
          </w:p>
        </w:tc>
        <w:tc>
          <w:tcPr>
            <w:tcW w:w="3933" w:type="dxa"/>
          </w:tcPr>
          <w:p>
            <w:pPr>
              <w:pStyle w:val="Compact"/>
              <w:spacing w:after="40"/>
              <w:jc w:val="left"/>
            </w:pPr>
            <w:r>
              <w:rPr>
                <w:sz w:val="18"/>
              </w:rPr>
              <w:t xml:space="preserve">Users with an active account; users who signed in at least once in the period</w:t>
            </w:r>
          </w:p>
        </w:tc>
        <w:tc>
          <w:tcPr>
            <w:tcW w:w="2588" w:type="dxa"/>
          </w:tcPr>
          <w:p>
            <w:pPr>
              <w:pStyle w:val="Compact"/>
              <w:spacing w:after="40"/>
              <w:jc w:val="left"/>
            </w:pPr>
            <w:r>
              <w:rPr>
                <w:sz w:val="18"/>
              </w:rPr>
              <w:t xml:space="preserve">Peak and distinct count</w:t>
            </w:r>
          </w:p>
        </w:tc>
        <w:tc>
          <w:tcPr>
            <w:tcW w:w="1803" w:type="dxa"/>
          </w:tcPr>
          <w:p>
            <w:pPr>
              <w:pStyle w:val="Compact"/>
              <w:spacing w:after="40"/>
              <w:jc w:val="left"/>
            </w:pPr>
            <w:r>
              <w:rPr>
                <w:sz w:val="18"/>
              </w:rPr>
              <w:t xml:space="preserve">M19</w:t>
            </w:r>
          </w:p>
        </w:tc>
      </w:tr>
      <w:tr>
        <w:tc>
          <w:tcPr>
            <w:tcW w:w="1314" w:type="dxa"/>
          </w:tcPr>
          <w:p>
            <w:pPr>
              <w:pStyle w:val="Compact"/>
              <w:spacing w:after="40"/>
              <w:jc w:val="left"/>
            </w:pPr>
            <w:r>
              <w:rPr>
                <w:rStyle w:val="VerbatimChar"/>
                <w:sz w:val="18"/>
              </w:rPr>
              <w:t xml:space="preserve">branches</w:t>
            </w:r>
            <w:r>
              <w:rPr>
                <w:sz w:val="18"/>
              </w:rPr>
              <w:t xml:space="preserve">,</w:t>
            </w:r>
            <w:r>
              <w:rPr>
                <w:sz w:val="18"/>
              </w:rPr>
              <w:t xml:space="preserve"> </w:t>
            </w:r>
            <w:r>
              <w:rPr>
                <w:rStyle w:val="VerbatimChar"/>
                <w:sz w:val="18"/>
              </w:rPr>
              <w:t xml:space="preserve">legal_entities</w:t>
            </w:r>
          </w:p>
        </w:tc>
        <w:tc>
          <w:tcPr>
            <w:tcW w:w="3933" w:type="dxa"/>
          </w:tcPr>
          <w:p>
            <w:pPr>
              <w:pStyle w:val="Compact"/>
              <w:spacing w:after="40"/>
              <w:jc w:val="left"/>
            </w:pPr>
            <w:r>
              <w:rPr>
                <w:sz w:val="18"/>
              </w:rPr>
              <w:t xml:space="preserve">Active nodes</w:t>
            </w:r>
          </w:p>
        </w:tc>
        <w:tc>
          <w:tcPr>
            <w:tcW w:w="2588" w:type="dxa"/>
          </w:tcPr>
          <w:p>
            <w:pPr>
              <w:pStyle w:val="Compact"/>
              <w:spacing w:after="40"/>
              <w:jc w:val="left"/>
            </w:pPr>
            <w:r>
              <w:rPr>
                <w:sz w:val="18"/>
              </w:rPr>
              <w:t xml:space="preserve">Month-end</w:t>
            </w:r>
          </w:p>
        </w:tc>
        <w:tc>
          <w:tcPr>
            <w:tcW w:w="1803" w:type="dxa"/>
          </w:tcPr>
          <w:p>
            <w:pPr>
              <w:pStyle w:val="Compact"/>
              <w:spacing w:after="40"/>
              <w:jc w:val="left"/>
            </w:pPr>
            <w:r>
              <w:rPr>
                <w:sz w:val="18"/>
              </w:rPr>
              <w:t xml:space="preserve">M1</w:t>
            </w:r>
          </w:p>
        </w:tc>
      </w:tr>
      <w:tr>
        <w:tc>
          <w:tcPr>
            <w:tcW w:w="1314" w:type="dxa"/>
          </w:tcPr>
          <w:p>
            <w:pPr>
              <w:pStyle w:val="Compact"/>
              <w:spacing w:after="40"/>
              <w:jc w:val="left"/>
            </w:pPr>
            <w:r>
              <w:rPr>
                <w:rStyle w:val="VerbatimChar"/>
                <w:sz w:val="18"/>
              </w:rPr>
              <w:t xml:space="preserve">regulatory_runs</w:t>
            </w:r>
          </w:p>
        </w:tc>
        <w:tc>
          <w:tcPr>
            <w:tcW w:w="3933" w:type="dxa"/>
          </w:tcPr>
          <w:p>
            <w:pPr>
              <w:pStyle w:val="Compact"/>
              <w:spacing w:after="40"/>
              <w:jc w:val="left"/>
            </w:pPr>
            <w:r>
              <w:rPr>
                <w:sz w:val="18"/>
              </w:rPr>
              <w:t xml:space="preserve">Regulatory returns and CIC files approved for a period; validation re-runs and revisions in the same period are not billed</w:t>
            </w:r>
          </w:p>
        </w:tc>
        <w:tc>
          <w:tcPr>
            <w:tcW w:w="2588" w:type="dxa"/>
          </w:tcPr>
          <w:p>
            <w:pPr>
              <w:pStyle w:val="Compact"/>
              <w:spacing w:after="40"/>
              <w:jc w:val="left"/>
            </w:pPr>
            <w:r>
              <w:rPr>
                <w:sz w:val="18"/>
              </w:rPr>
              <w:t xml:space="preserve">Count per period</w:t>
            </w:r>
          </w:p>
        </w:tc>
        <w:tc>
          <w:tcPr>
            <w:tcW w:w="1803" w:type="dxa"/>
          </w:tcPr>
          <w:p>
            <w:pPr>
              <w:pStyle w:val="Compact"/>
              <w:spacing w:after="40"/>
              <w:jc w:val="left"/>
            </w:pPr>
            <w:r>
              <w:rPr>
                <w:sz w:val="18"/>
              </w:rPr>
              <w:t xml:space="preserve">RR3, RR6</w:t>
            </w:r>
          </w:p>
        </w:tc>
      </w:tr>
      <w:tr>
        <w:tc>
          <w:tcPr>
            <w:tcW w:w="1314" w:type="dxa"/>
          </w:tcPr>
          <w:p>
            <w:pPr>
              <w:pStyle w:val="Compact"/>
              <w:spacing w:after="40"/>
              <w:jc w:val="left"/>
            </w:pPr>
            <w:r>
              <w:rPr>
                <w:rStyle w:val="VerbatimChar"/>
                <w:sz w:val="18"/>
              </w:rPr>
              <w:t xml:space="preserve">reports</w:t>
            </w:r>
          </w:p>
        </w:tc>
        <w:tc>
          <w:tcPr>
            <w:tcW w:w="3933" w:type="dxa"/>
          </w:tcPr>
          <w:p>
            <w:pPr>
              <w:pStyle w:val="Compact"/>
              <w:spacing w:after="40"/>
              <w:jc w:val="left"/>
            </w:pPr>
            <w:r>
              <w:rPr>
                <w:sz w:val="18"/>
              </w:rPr>
              <w:t xml:space="preserve">Scheduled or on-demand report exports above the plan allowance</w:t>
            </w:r>
          </w:p>
        </w:tc>
        <w:tc>
          <w:tcPr>
            <w:tcW w:w="2588" w:type="dxa"/>
          </w:tcPr>
          <w:p>
            <w:pPr>
              <w:pStyle w:val="Compact"/>
              <w:spacing w:after="40"/>
              <w:jc w:val="left"/>
            </w:pPr>
            <w:r>
              <w:rPr>
                <w:sz w:val="18"/>
              </w:rPr>
              <w:t xml:space="preserve">Count</w:t>
            </w:r>
          </w:p>
        </w:tc>
        <w:tc>
          <w:tcPr>
            <w:tcW w:w="1803" w:type="dxa"/>
          </w:tcPr>
          <w:p>
            <w:pPr>
              <w:pStyle w:val="Compact"/>
              <w:spacing w:after="40"/>
              <w:jc w:val="left"/>
            </w:pPr>
            <w:r>
              <w:rPr>
                <w:sz w:val="18"/>
              </w:rPr>
              <w:t xml:space="preserve">M17</w:t>
            </w:r>
          </w:p>
        </w:tc>
      </w:tr>
      <w:tr>
        <w:tc>
          <w:tcPr>
            <w:tcW w:w="1314" w:type="dxa"/>
          </w:tcPr>
          <w:p>
            <w:pPr>
              <w:pStyle w:val="Compact"/>
              <w:spacing w:after="40"/>
              <w:jc w:val="left"/>
            </w:pPr>
            <w:r>
              <w:rPr>
                <w:rStyle w:val="VerbatimChar"/>
                <w:sz w:val="18"/>
              </w:rPr>
              <w:t xml:space="preserve">api_calls</w:t>
            </w:r>
          </w:p>
        </w:tc>
        <w:tc>
          <w:tcPr>
            <w:tcW w:w="3933" w:type="dxa"/>
          </w:tcPr>
          <w:p>
            <w:pPr>
              <w:pStyle w:val="Compact"/>
              <w:spacing w:after="40"/>
              <w:jc w:val="left"/>
            </w:pPr>
            <w:r>
              <w:rPr>
                <w:sz w:val="18"/>
              </w:rPr>
              <w:t xml:space="preserve">Calls by API product tier, excluding Udofin and certified ecosystem connectors where the contract says so</w:t>
            </w:r>
          </w:p>
        </w:tc>
        <w:tc>
          <w:tcPr>
            <w:tcW w:w="2588" w:type="dxa"/>
          </w:tcPr>
          <w:p>
            <w:pPr>
              <w:pStyle w:val="Compact"/>
              <w:spacing w:after="40"/>
              <w:jc w:val="left"/>
            </w:pPr>
            <w:r>
              <w:rPr>
                <w:sz w:val="18"/>
              </w:rPr>
              <w:t xml:space="preserve">Sum</w:t>
            </w:r>
          </w:p>
        </w:tc>
        <w:tc>
          <w:tcPr>
            <w:tcW w:w="1803" w:type="dxa"/>
          </w:tcPr>
          <w:p>
            <w:pPr>
              <w:pStyle w:val="Compact"/>
              <w:spacing w:after="40"/>
              <w:jc w:val="left"/>
            </w:pPr>
            <w:r>
              <w:rPr>
                <w:sz w:val="18"/>
              </w:rPr>
              <w:t xml:space="preserve">M21</w:t>
            </w:r>
          </w:p>
        </w:tc>
      </w:tr>
      <w:tr>
        <w:tc>
          <w:tcPr>
            <w:tcW w:w="1314" w:type="dxa"/>
          </w:tcPr>
          <w:p>
            <w:pPr>
              <w:pStyle w:val="Compact"/>
              <w:spacing w:after="40"/>
              <w:jc w:val="left"/>
            </w:pPr>
            <w:r>
              <w:rPr>
                <w:rStyle w:val="VerbatimChar"/>
                <w:sz w:val="18"/>
              </w:rPr>
              <w:t xml:space="preserve">storage_gb</w:t>
            </w:r>
          </w:p>
        </w:tc>
        <w:tc>
          <w:tcPr>
            <w:tcW w:w="3933" w:type="dxa"/>
          </w:tcPr>
          <w:p>
            <w:pPr>
              <w:pStyle w:val="Compact"/>
              <w:spacing w:after="40"/>
              <w:jc w:val="left"/>
            </w:pPr>
            <w:r>
              <w:rPr>
                <w:sz w:val="18"/>
              </w:rPr>
              <w:t xml:space="preserve">Documents and archives stored</w:t>
            </w:r>
          </w:p>
        </w:tc>
        <w:tc>
          <w:tcPr>
            <w:tcW w:w="2588" w:type="dxa"/>
          </w:tcPr>
          <w:p>
            <w:pPr>
              <w:pStyle w:val="Compact"/>
              <w:spacing w:after="40"/>
              <w:jc w:val="left"/>
            </w:pPr>
            <w:r>
              <w:rPr>
                <w:sz w:val="18"/>
              </w:rPr>
              <w:t xml:space="preserve">Average</w:t>
            </w:r>
          </w:p>
        </w:tc>
        <w:tc>
          <w:tcPr>
            <w:tcW w:w="1803" w:type="dxa"/>
          </w:tcPr>
          <w:p>
            <w:pPr>
              <w:pStyle w:val="Compact"/>
              <w:spacing w:after="40"/>
              <w:jc w:val="left"/>
            </w:pPr>
            <w:r>
              <w:rPr>
                <w:sz w:val="18"/>
              </w:rPr>
              <w:t xml:space="preserve">M16</w:t>
            </w:r>
          </w:p>
        </w:tc>
      </w:tr>
      <w:tr>
        <w:tc>
          <w:tcPr>
            <w:tcW w:w="1314" w:type="dxa"/>
          </w:tcPr>
          <w:p>
            <w:pPr>
              <w:pStyle w:val="Compact"/>
              <w:spacing w:after="40"/>
              <w:jc w:val="left"/>
            </w:pPr>
            <w:r>
              <w:rPr>
                <w:sz w:val="18"/>
              </w:rPr>
              <w:t xml:space="preserve">Pass-through meters</w:t>
            </w:r>
          </w:p>
        </w:tc>
        <w:tc>
          <w:tcPr>
            <w:tcW w:w="3933" w:type="dxa"/>
          </w:tcPr>
          <w:p>
            <w:pPr>
              <w:pStyle w:val="Compact"/>
              <w:spacing w:after="40"/>
              <w:jc w:val="left"/>
            </w:pPr>
            <w:r>
              <w:rPr>
                <w:sz w:val="18"/>
              </w:rPr>
              <w:t xml:space="preserve">Bureau pulls, eSign, eStamp, KYC checks, SMS, WhatsApp, voice minutes</w:t>
            </w:r>
          </w:p>
        </w:tc>
        <w:tc>
          <w:tcPr>
            <w:tcW w:w="2588" w:type="dxa"/>
          </w:tcPr>
          <w:p>
            <w:pPr>
              <w:pStyle w:val="Compact"/>
              <w:spacing w:after="40"/>
              <w:jc w:val="left"/>
            </w:pPr>
            <w:r>
              <w:rPr>
                <w:sz w:val="18"/>
              </w:rPr>
              <w:t xml:space="preserve">Count or minutes, priced at cost plus the disclosed margin</w:t>
            </w:r>
          </w:p>
        </w:tc>
        <w:tc>
          <w:tcPr>
            <w:tcW w:w="1803" w:type="dxa"/>
          </w:tcPr>
          <w:p>
            <w:pPr>
              <w:pStyle w:val="Compact"/>
              <w:spacing w:after="40"/>
              <w:jc w:val="left"/>
            </w:pPr>
            <w:r>
              <w:rPr>
                <w:sz w:val="18"/>
              </w:rPr>
              <w:t xml:space="preserve">Provider call log (cost captured per call; M21)</w:t>
            </w:r>
          </w:p>
        </w:tc>
      </w:tr>
    </w:tbl>
    <w:bookmarkEnd w:id="708"/>
    <w:bookmarkStart w:id="709" w:name="cm3.2-pipeline"/>
    <w:p>
      <w:pPr>
        <w:pStyle w:val="Heading3"/>
      </w:pPr>
      <w:r>
        <w:t xml:space="preserve">CM3.2 Pipeline</w:t>
      </w:r>
    </w:p>
    <w:p>
      <w:pPr>
        <w:numPr>
          <w:ilvl w:val="0"/>
          <w:numId w:val="1567"/>
        </w:numPr>
        <w:pStyle w:val="Compact"/>
      </w:pPr>
      <w:r>
        <w:rPr>
          <w:bCs/>
          <w:b/>
        </w:rPr>
        <w:t xml:space="preserve">Capture:</w:t>
      </w:r>
      <w:r>
        <w:t xml:space="preserve"> </w:t>
      </w:r>
      <w:r>
        <w:t xml:space="preserve">domain events produce</w:t>
      </w:r>
      <w:r>
        <w:t xml:space="preserve"> </w:t>
      </w:r>
      <w:r>
        <w:rPr>
          <w:rStyle w:val="VerbatimChar"/>
        </w:rPr>
        <w:t xml:space="preserve">usage_record(tenant, legal_entity, meter, quantity, source_ref, occurred_at, idempotency_key)</w:t>
      </w:r>
      <w:r>
        <w:t xml:space="preserve">; the key</w:t>
      </w:r>
      <w:r>
        <w:t xml:space="preserve"> </w:t>
      </w:r>
      <w:r>
        <w:rPr>
          <w:rStyle w:val="VerbatimChar"/>
        </w:rPr>
        <w:t xml:space="preserve">(tenant, meter, source_ref, period)</w:t>
      </w:r>
      <w:r>
        <w:t xml:space="preserve"> </w:t>
      </w:r>
      <w:r>
        <w:t xml:space="preserve">prevents double counting on retries.</w:t>
      </w:r>
    </w:p>
    <w:p>
      <w:pPr>
        <w:numPr>
          <w:ilvl w:val="0"/>
          <w:numId w:val="1567"/>
        </w:numPr>
        <w:pStyle w:val="Compact"/>
      </w:pPr>
      <w:r>
        <w:rPr>
          <w:bCs/>
          <w:b/>
        </w:rPr>
        <w:t xml:space="preserve">Aggregate:</w:t>
      </w:r>
      <w:r>
        <w:t xml:space="preserve"> </w:t>
      </w:r>
      <w:r>
        <w:t xml:space="preserve">nightly per meter and period (IST periods); reconciled against source counts (for example the month-end</w:t>
      </w:r>
      <w:r>
        <w:t xml:space="preserve"> </w:t>
      </w:r>
      <w:r>
        <w:rPr>
          <w:rStyle w:val="VerbatimChar"/>
        </w:rPr>
        <w:t xml:space="preserve">active_loans</w:t>
      </w:r>
      <w:r>
        <w:t xml:space="preserve"> </w:t>
      </w:r>
      <w:r>
        <w:t xml:space="preserve">count equals the M6 status report); a break raises</w:t>
      </w:r>
      <w:r>
        <w:t xml:space="preserve"> </w:t>
      </w:r>
      <w:r>
        <w:rPr>
          <w:rStyle w:val="VerbatimChar"/>
        </w:rPr>
        <w:t xml:space="preserve">ReconciliationBreakRaised</w:t>
      </w:r>
      <w:r>
        <w:t xml:space="preserve">.</w:t>
      </w:r>
    </w:p>
    <w:p>
      <w:pPr>
        <w:numPr>
          <w:ilvl w:val="0"/>
          <w:numId w:val="1567"/>
        </w:numPr>
        <w:pStyle w:val="Compact"/>
      </w:pPr>
      <w:r>
        <w:rPr>
          <w:bCs/>
          <w:b/>
        </w:rPr>
        <w:t xml:space="preserve">Statement:</w:t>
      </w:r>
      <w:r>
        <w:t xml:space="preserve"> </w:t>
      </w:r>
      <w:r>
        <w:rPr>
          <w:rStyle w:val="VerbatimChar"/>
        </w:rPr>
        <w:t xml:space="preserve">OPEN → (DISPUTED) → FINAL</w:t>
      </w:r>
      <w:r>
        <w:t xml:space="preserve">. The monthly usage statement is issued in CM2 by the third working day after period end, with drill-down to record IDs inside Finbyx; the tenant has 7 days from issue to dispute a meter; the Hub holds invoicing for a disputed meter only; a dispute outcome or correction is a new statement version, never an edit; changes after invoicing appear as credit or debit lines next cycle.</w:t>
      </w:r>
    </w:p>
    <w:p>
      <w:pPr>
        <w:numPr>
          <w:ilvl w:val="0"/>
          <w:numId w:val="1567"/>
        </w:numPr>
        <w:pStyle w:val="Compact"/>
      </w:pPr>
      <w:r>
        <w:rPr>
          <w:bCs/>
          <w:b/>
        </w:rPr>
        <w:t xml:space="preserve">Publish:</w:t>
      </w:r>
      <w:r>
        <w:t xml:space="preserve"> </w:t>
      </w:r>
      <w:r>
        <w:rPr>
          <w:rStyle w:val="VerbatimChar"/>
        </w:rPr>
        <w:t xml:space="preserve">UsageRecorded</w:t>
      </w:r>
      <w:r>
        <w:t xml:space="preserve"> </w:t>
      </w:r>
      <w:r>
        <w:t xml:space="preserve">(</w:t>
      </w:r>
      <w:r>
        <w:rPr>
          <w:rStyle w:val="VerbatimChar"/>
        </w:rPr>
        <w:t xml:space="preserve">usage_aggregate_v1</w:t>
      </w:r>
      <w:r>
        <w:t xml:space="preserve">) to the Hub on statement issue and on each new version carries tenant, legal entity, meter,</w:t>
      </w:r>
      <w:r>
        <w:t xml:space="preserve"> </w:t>
      </w:r>
      <w:r>
        <w:rPr>
          <w:rStyle w:val="VerbatimChar"/>
        </w:rPr>
        <w:t xml:space="preserve">meter_kind = USAGE</w:t>
      </w:r>
      <w:r>
        <w:t xml:space="preserve">, period, quantity, meter code version, statement version and the statement hash, idempotent on</w:t>
      </w:r>
      <w:r>
        <w:t xml:space="preserve"> </w:t>
      </w:r>
      <w:r>
        <w:rPr>
          <w:rStyle w:val="VerbatimChar"/>
        </w:rPr>
        <w:t xml:space="preserve">(tenantid, meter, period, statement_version)</w:t>
      </w:r>
      <w:r>
        <w:t xml:space="preserve">; daily provisional totals may be sent for forecasting;</w:t>
      </w:r>
      <w:r>
        <w:t xml:space="preserve"> </w:t>
      </w:r>
      <w:r>
        <w:rPr>
          <w:bCs/>
          <w:b/>
        </w:rPr>
        <w:t xml:space="preserve">never record IDs or personal data</w:t>
      </w:r>
      <w:r>
        <w:t xml:space="preserve">.</w:t>
      </w:r>
    </w:p>
    <w:p>
      <w:pPr>
        <w:numPr>
          <w:ilvl w:val="0"/>
          <w:numId w:val="1567"/>
        </w:numPr>
        <w:pStyle w:val="Compact"/>
      </w:pPr>
      <w:r>
        <w:rPr>
          <w:bCs/>
          <w:b/>
        </w:rPr>
        <w:t xml:space="preserve">Alerts</w:t>
      </w:r>
      <w:r>
        <w:t xml:space="preserve"> </w:t>
      </w:r>
      <w:r>
        <w:t xml:space="preserve">at 80% and 100% of any limit to billing contacts; forecast warnings when the 30-day trend crosses a band.</w:t>
      </w:r>
    </w:p>
    <w:bookmarkEnd w:id="709"/>
    <w:bookmarkStart w:id="710" w:name="cm3.3-metering-integrity"/>
    <w:p>
      <w:pPr>
        <w:pStyle w:val="Heading3"/>
      </w:pPr>
      <w:r>
        <w:t xml:space="preserve">CM3.3 Metering integrity</w:t>
      </w:r>
    </w:p>
    <w:p>
      <w:pPr>
        <w:numPr>
          <w:ilvl w:val="0"/>
          <w:numId w:val="1568"/>
        </w:numPr>
        <w:pStyle w:val="Compact"/>
      </w:pPr>
      <w:r>
        <w:t xml:space="preserve">Meters are computed from the authoritative ledgers and registers, never from UI counters; the meter code version is stored with each statement.</w:t>
      </w:r>
    </w:p>
    <w:p>
      <w:pPr>
        <w:numPr>
          <w:ilvl w:val="0"/>
          <w:numId w:val="1568"/>
        </w:numPr>
        <w:pStyle w:val="Compact"/>
      </w:pPr>
      <w:r>
        <w:t xml:space="preserve">Back-dated postings that change a closed period’s count do not re-bill a closed statement; they are reported as an adjustment line.</w:t>
      </w:r>
    </w:p>
    <w:p>
      <w:pPr>
        <w:numPr>
          <w:ilvl w:val="0"/>
          <w:numId w:val="1568"/>
        </w:numPr>
        <w:pStyle w:val="Compact"/>
      </w:pPr>
      <w:r>
        <w:t xml:space="preserve">No meter may create an incentive against borrowers or conduct rules: no pricing per recovered rupee, per legal notice sent or per collection call connected [REC; RBC para 100 conduct].</w:t>
      </w:r>
    </w:p>
    <w:bookmarkEnd w:id="710"/>
    <w:bookmarkStart w:id="711" w:name="acceptance-tests-61"/>
    <w:p>
      <w:pPr>
        <w:pStyle w:val="Heading3"/>
      </w:pPr>
      <w:r>
        <w:t xml:space="preserve">Acceptance tests</w:t>
      </w:r>
    </w:p>
    <w:p>
      <w:pPr>
        <w:numPr>
          <w:ilvl w:val="0"/>
          <w:numId w:val="1569"/>
        </w:numPr>
        <w:pStyle w:val="Compact"/>
      </w:pPr>
      <w:r>
        <w:t xml:space="preserve">Replaying the same disbursement event three times yields one</w:t>
      </w:r>
      <w:r>
        <w:t xml:space="preserve"> </w:t>
      </w:r>
      <w:r>
        <w:rPr>
          <w:rStyle w:val="VerbatimChar"/>
        </w:rPr>
        <w:t xml:space="preserve">usage_record</w:t>
      </w:r>
      <w:r>
        <w:t xml:space="preserve">.</w:t>
      </w:r>
    </w:p>
    <w:p>
      <w:pPr>
        <w:numPr>
          <w:ilvl w:val="0"/>
          <w:numId w:val="1569"/>
        </w:numPr>
        <w:pStyle w:val="Compact"/>
      </w:pPr>
      <w:r>
        <w:t xml:space="preserve">The month-end</w:t>
      </w:r>
      <w:r>
        <w:t xml:space="preserve"> </w:t>
      </w:r>
      <w:r>
        <w:rPr>
          <w:rStyle w:val="VerbatimChar"/>
        </w:rPr>
        <w:t xml:space="preserve">active_loans</w:t>
      </w:r>
      <w:r>
        <w:t xml:space="preserve"> </w:t>
      </w:r>
      <w:r>
        <w:t xml:space="preserve">equals the M6 count of qualifying accounts for a synthetic book of 10,000 loans, including NPAs and excluding loans closed before the month.</w:t>
      </w:r>
    </w:p>
    <w:p>
      <w:pPr>
        <w:numPr>
          <w:ilvl w:val="0"/>
          <w:numId w:val="1569"/>
        </w:numPr>
        <w:pStyle w:val="Compact"/>
      </w:pPr>
      <w:r>
        <w:t xml:space="preserve">A co-lent loan with a 20% tenant share contributes 20% of its principal to</w:t>
      </w:r>
      <w:r>
        <w:t xml:space="preserve"> </w:t>
      </w:r>
      <w:r>
        <w:rPr>
          <w:rStyle w:val="VerbatimChar"/>
        </w:rPr>
        <w:t xml:space="preserve">aum_band</w:t>
      </w:r>
      <w:r>
        <w:t xml:space="preserve">.</w:t>
      </w:r>
    </w:p>
    <w:p>
      <w:pPr>
        <w:numPr>
          <w:ilvl w:val="0"/>
          <w:numId w:val="1569"/>
        </w:numPr>
        <w:pStyle w:val="Compact"/>
      </w:pPr>
      <w:r>
        <w:rPr>
          <w:rStyle w:val="VerbatimChar"/>
        </w:rPr>
        <w:t xml:space="preserve">UsageRecorded</w:t>
      </w:r>
      <w:r>
        <w:t xml:space="preserve"> </w:t>
      </w:r>
      <w:r>
        <w:t xml:space="preserve">payloads pass a schema test that forbids any loan, customer or user identifier.</w:t>
      </w:r>
    </w:p>
    <w:p>
      <w:pPr>
        <w:numPr>
          <w:ilvl w:val="0"/>
          <w:numId w:val="1569"/>
        </w:numPr>
        <w:pStyle w:val="Compact"/>
      </w:pPr>
      <w:r>
        <w:t xml:space="preserve">A dispute raised on day 5 holds invoicing for that meter; on day 8 the dispute button is disabled and the statement is final.</w:t>
      </w:r>
    </w:p>
    <w:p>
      <w:pPr>
        <w:numPr>
          <w:ilvl w:val="0"/>
          <w:numId w:val="1569"/>
        </w:numPr>
        <w:pStyle w:val="Compact"/>
      </w:pPr>
      <w:r>
        <w:t xml:space="preserve">An upheld dispute publishes statement version 2 with a new hash; replaying version 1 changes nothing at the Hub.</w:t>
      </w:r>
    </w:p>
    <w:p>
      <w:r>
        <w:pict>
          <v:rect style="width:0;height:1.5pt" o:hralign="center" o:hrstd="t" o:hr="t"/>
        </w:pict>
      </w:r>
    </w:p>
    <w:bookmarkEnd w:id="711"/>
    <w:bookmarkEnd w:id="712"/>
    <w:bookmarkStart w:id="719" w:name="X55f21962997d81d9550b20dab44392673e49deb"/>
    <w:p>
      <w:pPr>
        <w:pStyle w:val="Heading2"/>
      </w:pPr>
      <w:r>
        <w:t xml:space="preserve">CM4. Payments via Razorpay and gateway security</w:t>
      </w:r>
    </w:p>
    <w:bookmarkStart w:id="713" w:name="cm4.1-architecture-and-separation"/>
    <w:p>
      <w:pPr>
        <w:pStyle w:val="Heading3"/>
      </w:pPr>
      <w:r>
        <w:t xml:space="preserve">CM4.1 Architecture and separation</w:t>
      </w:r>
    </w:p>
    <w:p>
      <w:pPr>
        <w:numPr>
          <w:ilvl w:val="0"/>
          <w:numId w:val="1570"/>
        </w:numPr>
        <w:pStyle w:val="Compact"/>
      </w:pPr>
      <w:r>
        <w:rPr>
          <w:bCs/>
          <w:b/>
        </w:rPr>
        <w:t xml:space="preserve">Merchant of record:</w:t>
      </w:r>
      <w:r>
        <w:t xml:space="preserve"> </w:t>
      </w:r>
      <w:r>
        <w:t xml:space="preserve">the Infrabyx legal entity that sells Finbyx (owner decision). The Razorpay account, API keys and webhook secrets live only in the Operations Hub; Finbyx never holds them.</w:t>
      </w:r>
    </w:p>
    <w:p>
      <w:pPr>
        <w:numPr>
          <w:ilvl w:val="0"/>
          <w:numId w:val="1570"/>
        </w:numPr>
        <w:pStyle w:val="Compact"/>
      </w:pPr>
      <w:r>
        <w:rPr>
          <w:bCs/>
          <w:b/>
        </w:rPr>
        <w:t xml:space="preserve">Flow:</w:t>
      </w:r>
      <w:r>
        <w:t xml:space="preserve"> </w:t>
      </w:r>
      <w:r>
        <w:t xml:space="preserve">a Finbyx billing page calls the Hub billing API to create an order, payment link, subscription or mandate, then</w:t>
      </w:r>
      <w:r>
        <w:t xml:space="preserve"> </w:t>
      </w:r>
      <w:r>
        <w:rPr>
          <w:bCs/>
          <w:b/>
        </w:rPr>
        <w:t xml:space="preserve">redirects the browser (top-level navigation) to the Razorpay-hosted page</w:t>
      </w:r>
      <w:r>
        <w:t xml:space="preserve">; Razorpay returns the user to a Finbyx return URL that shows status only after the Hub confirms the payment server-side.</w:t>
      </w:r>
    </w:p>
    <w:p>
      <w:pPr>
        <w:numPr>
          <w:ilvl w:val="0"/>
          <w:numId w:val="1570"/>
        </w:numPr>
        <w:pStyle w:val="Compact"/>
      </w:pPr>
      <w:r>
        <w:rPr>
          <w:bCs/>
          <w:b/>
        </w:rPr>
        <w:t xml:space="preserve">No Razorpay script on Finbyx pages.</w:t>
      </w:r>
      <w:r>
        <w:t xml:space="preserve"> </w:t>
      </w:r>
      <w:r>
        <w:t xml:space="preserve">Embedding Standard Checkout JavaScript would put a third-party script on our page and bring the page into the SAQ A script-attack eligibility question (PCI DSS v4.0.1 SAQ A, revised 31 Jan 2025) [REC]; redirect or Payment Links keep Finbyx outside the cardholder-data environment.</w:t>
      </w:r>
    </w:p>
    <w:p>
      <w:pPr>
        <w:numPr>
          <w:ilvl w:val="0"/>
          <w:numId w:val="1570"/>
        </w:numPr>
        <w:pStyle w:val="Compact"/>
      </w:pPr>
      <w:r>
        <w:rPr>
          <w:bCs/>
          <w:b/>
        </w:rPr>
        <w:t xml:space="preserve">Strict separation from loan money:</w:t>
      </w:r>
      <w:r>
        <w:t xml:space="preserve"> </w:t>
      </w:r>
      <w:r>
        <w:t xml:space="preserve">the</w:t>
      </w:r>
      <w:r>
        <w:t xml:space="preserve"> </w:t>
      </w:r>
      <w:r>
        <w:rPr>
          <w:rStyle w:val="VerbatimChar"/>
        </w:rPr>
        <w:t xml:space="preserve">billing</w:t>
      </w:r>
      <w:r>
        <w:t xml:space="preserve"> </w:t>
      </w:r>
      <w:r>
        <w:t xml:space="preserve">module has no access to tenant payment credentials (M7) and M7 has no access to Hub billing; different secrets, service accounts and network paths. Razorpay Route, pooled or nodal-style tools are never used for loan money (CF paras 10(1)–(3)); tenant borrower collections run on the tenant’s own gateway accounts (M7).</w:t>
      </w:r>
    </w:p>
    <w:p>
      <w:pPr>
        <w:numPr>
          <w:ilvl w:val="0"/>
          <w:numId w:val="1570"/>
        </w:numPr>
        <w:pStyle w:val="Compact"/>
      </w:pPr>
      <w:r>
        <w:rPr>
          <w:bCs/>
          <w:b/>
        </w:rPr>
        <w:t xml:space="preserve">Card data:</w:t>
      </w:r>
      <w:r>
        <w:t xml:space="preserve"> </w:t>
      </w:r>
      <w:r>
        <w:t xml:space="preserve">never stored, processed or logged by Finbyx or the Hub; only Razorpay or network tokens and the last 4 digits with issuer name may be displayed (CoFT circular, 7 Sep 2021). CI log scanners fail the build on any PAN-like pattern in logs or fixtures.</w:t>
      </w:r>
    </w:p>
    <w:bookmarkEnd w:id="713"/>
    <w:bookmarkStart w:id="714" w:name="cm4.2-payment-methods-and-mandates"/>
    <w:p>
      <w:pPr>
        <w:pStyle w:val="Heading3"/>
      </w:pPr>
      <w:r>
        <w:t xml:space="preserve">CM4.2 Payment methods and mandates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18"/>
        <w:gridCol w:w="1856"/>
        <w:gridCol w:w="5664"/>
      </w:tblGrid>
      <w:tr>
        <w:trPr>
          <w:tblHeader w:val="true"/>
          <w:tblHeader w:val="true"/>
        </w:trPr>
        <w:tc>
          <w:tcPr>
            <w:tcW w:w="2118" w:type="dxa"/>
            <w:shd w:val="clear" w:color="auto" w:fill="1F3A5F"/>
          </w:tcPr>
          <w:p>
            <w:pPr>
              <w:pStyle w:val="Compact"/>
              <w:spacing w:after="40"/>
              <w:jc w:val="left"/>
            </w:pPr>
            <w:r>
              <w:rPr>
                <w:b/>
                <w:color w:val="FFFFFF"/>
                <w:sz w:val="18"/>
              </w:rPr>
              <w:t xml:space="preserve">Method</w:t>
            </w:r>
          </w:p>
        </w:tc>
        <w:tc>
          <w:tcPr>
            <w:tcW w:w="1856" w:type="dxa"/>
            <w:shd w:val="clear" w:color="auto" w:fill="1F3A5F"/>
          </w:tcPr>
          <w:p>
            <w:pPr>
              <w:pStyle w:val="Compact"/>
              <w:spacing w:after="40"/>
              <w:jc w:val="left"/>
            </w:pPr>
            <w:r>
              <w:rPr>
                <w:b/>
                <w:color w:val="FFFFFF"/>
                <w:sz w:val="18"/>
              </w:rPr>
              <w:t xml:space="preserve">Use</w:t>
            </w:r>
          </w:p>
        </w:tc>
        <w:tc>
          <w:tcPr>
            <w:tcW w:w="5664" w:type="dxa"/>
            <w:shd w:val="clear" w:color="auto" w:fill="1F3A5F"/>
          </w:tcPr>
          <w:p>
            <w:pPr>
              <w:pStyle w:val="Compact"/>
              <w:spacing w:after="40"/>
              <w:jc w:val="left"/>
            </w:pPr>
            <w:r>
              <w:rPr>
                <w:b/>
                <w:color w:val="FFFFFF"/>
                <w:sz w:val="18"/>
              </w:rPr>
              <w:t xml:space="preserve">Rules</w:t>
            </w:r>
          </w:p>
        </w:tc>
      </w:tr>
      <w:tr>
        <w:tc>
          <w:tcPr>
            <w:tcW w:w="2118" w:type="dxa"/>
          </w:tcPr>
          <w:p>
            <w:pPr>
              <w:pStyle w:val="Compact"/>
              <w:spacing w:after="40"/>
              <w:jc w:val="left"/>
            </w:pPr>
            <w:r>
              <w:rPr>
                <w:sz w:val="18"/>
              </w:rPr>
              <w:t xml:space="preserve">Payment Link or hosted checkout (card, UPI, net banking)</w:t>
            </w:r>
          </w:p>
        </w:tc>
        <w:tc>
          <w:tcPr>
            <w:tcW w:w="1856" w:type="dxa"/>
          </w:tcPr>
          <w:p>
            <w:pPr>
              <w:pStyle w:val="Compact"/>
              <w:spacing w:after="40"/>
              <w:jc w:val="left"/>
            </w:pPr>
            <w:r>
              <w:rPr>
                <w:sz w:val="18"/>
              </w:rPr>
              <w:t xml:space="preserve">One-off invoices, implementation milestones</w:t>
            </w:r>
          </w:p>
        </w:tc>
        <w:tc>
          <w:tcPr>
            <w:tcW w:w="5664" w:type="dxa"/>
          </w:tcPr>
          <w:p>
            <w:pPr>
              <w:pStyle w:val="Compact"/>
              <w:spacing w:after="40"/>
              <w:jc w:val="left"/>
            </w:pPr>
            <w:r>
              <w:rPr>
                <w:sz w:val="18"/>
              </w:rPr>
              <w:t xml:space="preserve">Redirect only; amount in paise; receipt = invoice id (idempotent)</w:t>
            </w:r>
          </w:p>
        </w:tc>
      </w:tr>
      <w:tr>
        <w:tc>
          <w:tcPr>
            <w:tcW w:w="2118" w:type="dxa"/>
          </w:tcPr>
          <w:p>
            <w:pPr>
              <w:pStyle w:val="Compact"/>
              <w:spacing w:after="40"/>
              <w:jc w:val="left"/>
            </w:pPr>
            <w:r>
              <w:rPr>
                <w:sz w:val="18"/>
              </w:rPr>
              <w:t xml:space="preserve">Razorpay Subscriptions with card or UPI AutoPay mandate</w:t>
            </w:r>
          </w:p>
        </w:tc>
        <w:tc>
          <w:tcPr>
            <w:tcW w:w="1856" w:type="dxa"/>
          </w:tcPr>
          <w:p>
            <w:pPr>
              <w:pStyle w:val="Compact"/>
              <w:spacing w:after="40"/>
              <w:jc w:val="left"/>
            </w:pPr>
            <w:r>
              <w:rPr>
                <w:sz w:val="18"/>
              </w:rPr>
              <w:t xml:space="preserve">Recurring subscriptions</w:t>
            </w:r>
          </w:p>
        </w:tc>
        <w:tc>
          <w:tcPr>
            <w:tcW w:w="5664" w:type="dxa"/>
          </w:tcPr>
          <w:p>
            <w:pPr>
              <w:pStyle w:val="Compact"/>
              <w:spacing w:after="40"/>
              <w:jc w:val="left"/>
            </w:pPr>
            <w:r>
              <w:rPr>
                <w:sz w:val="18"/>
              </w:rPr>
              <w:t xml:space="preserve">E-mandate Directions 2026 (RBI/DPSS/2026-27/396, 21 Apr 2026): AFA at registration; recurring debits without AFA up to</w:t>
            </w:r>
            <w:r>
              <w:rPr>
                <w:sz w:val="18"/>
              </w:rPr>
              <w:t xml:space="preserve"> </w:t>
            </w:r>
            <w:r>
              <w:rPr>
                <w:bCs/>
                <w:b/>
                <w:sz w:val="18"/>
              </w:rPr>
              <w:t xml:space="preserve">₹15,000 per transaction</w:t>
            </w:r>
            <w:r>
              <w:rPr>
                <w:sz w:val="18"/>
              </w:rPr>
              <w:t xml:space="preserve"> </w:t>
            </w:r>
            <w:r>
              <w:rPr>
                <w:sz w:val="18"/>
              </w:rPr>
              <w:t xml:space="preserve">(para 8(a)); higher amounts need AFA per debit; issuer pre-debit notice</w:t>
            </w:r>
            <w:r>
              <w:rPr>
                <w:sz w:val="18"/>
              </w:rPr>
              <w:t xml:space="preserve"> </w:t>
            </w:r>
            <w:r>
              <w:rPr>
                <w:bCs/>
                <w:b/>
                <w:sz w:val="18"/>
              </w:rPr>
              <w:t xml:space="preserve">at least 24 hours</w:t>
            </w:r>
            <w:r>
              <w:rPr>
                <w:sz w:val="18"/>
              </w:rPr>
              <w:t xml:space="preserve"> </w:t>
            </w:r>
            <w:r>
              <w:rPr>
                <w:sz w:val="18"/>
              </w:rPr>
              <w:t xml:space="preserve">before, with merchant, amount, date and time, reference and reason (6(a)–(b)); validity period mandatory (4(b)); opt-out with AFA (6(c)); no charge to the customer for the mandate (10(a))</w:t>
            </w:r>
          </w:p>
        </w:tc>
      </w:tr>
      <w:tr>
        <w:tc>
          <w:tcPr>
            <w:tcW w:w="2118" w:type="dxa"/>
          </w:tcPr>
          <w:p>
            <w:pPr>
              <w:pStyle w:val="Compact"/>
              <w:spacing w:after="40"/>
              <w:jc w:val="left"/>
            </w:pPr>
            <w:r>
              <w:rPr>
                <w:sz w:val="18"/>
              </w:rPr>
              <w:t xml:space="preserve">eNACH</w:t>
            </w:r>
          </w:p>
        </w:tc>
        <w:tc>
          <w:tcPr>
            <w:tcW w:w="1856" w:type="dxa"/>
          </w:tcPr>
          <w:p>
            <w:pPr>
              <w:pStyle w:val="Compact"/>
              <w:spacing w:after="40"/>
              <w:jc w:val="left"/>
            </w:pPr>
            <w:r>
              <w:rPr>
                <w:sz w:val="18"/>
              </w:rPr>
              <w:t xml:space="preserve">Recurring invoices above ₹15,000</w:t>
            </w:r>
          </w:p>
        </w:tc>
        <w:tc>
          <w:tcPr>
            <w:tcW w:w="5664" w:type="dxa"/>
          </w:tcPr>
          <w:p>
            <w:pPr>
              <w:pStyle w:val="Compact"/>
              <w:spacing w:after="40"/>
              <w:jc w:val="left"/>
            </w:pPr>
            <w:r>
              <w:rPr>
                <w:sz w:val="18"/>
              </w:rPr>
              <w:t xml:space="preserve">NPCI eNACH rules (outside the 2026 card and UPI e-mandate Directions); maximum amount and validity set at registration</w:t>
            </w:r>
          </w:p>
        </w:tc>
      </w:tr>
      <w:tr>
        <w:tc>
          <w:tcPr>
            <w:tcW w:w="2118" w:type="dxa"/>
          </w:tcPr>
          <w:p>
            <w:pPr>
              <w:pStyle w:val="Compact"/>
              <w:spacing w:after="40"/>
              <w:jc w:val="left"/>
            </w:pPr>
            <w:r>
              <w:rPr>
                <w:sz w:val="18"/>
              </w:rPr>
              <w:t xml:space="preserve">Bank transfer to a virtual account (Smart Collect)</w:t>
            </w:r>
          </w:p>
        </w:tc>
        <w:tc>
          <w:tcPr>
            <w:tcW w:w="1856" w:type="dxa"/>
          </w:tcPr>
          <w:p>
            <w:pPr>
              <w:pStyle w:val="Compact"/>
              <w:spacing w:after="40"/>
              <w:jc w:val="left"/>
            </w:pPr>
            <w:r>
              <w:rPr>
                <w:sz w:val="18"/>
              </w:rPr>
              <w:t xml:space="preserve">Large B2B invoices</w:t>
            </w:r>
          </w:p>
        </w:tc>
        <w:tc>
          <w:tcPr>
            <w:tcW w:w="5664" w:type="dxa"/>
          </w:tcPr>
          <w:p>
            <w:pPr>
              <w:pStyle w:val="Compact"/>
              <w:spacing w:after="40"/>
              <w:jc w:val="left"/>
            </w:pPr>
            <w:r>
              <w:rPr>
                <w:sz w:val="18"/>
              </w:rPr>
              <w:t xml:space="preserve">Auto-reconciliation by virtual-account number and amount</w:t>
            </w:r>
          </w:p>
        </w:tc>
      </w:tr>
    </w:tbl>
    <w:p>
      <w:pPr>
        <w:numPr>
          <w:ilvl w:val="0"/>
          <w:numId w:val="1571"/>
        </w:numPr>
        <w:pStyle w:val="Compact"/>
      </w:pPr>
      <w:r>
        <w:t xml:space="preserve">Finbyx shows a</w:t>
      </w:r>
      <w:r>
        <w:t xml:space="preserve"> </w:t>
      </w:r>
      <w:r>
        <w:rPr>
          <w:bCs/>
          <w:b/>
        </w:rPr>
        <w:t xml:space="preserve">courtesy notice at T-48 hours</w:t>
      </w:r>
      <w:r>
        <w:t xml:space="preserve"> </w:t>
      </w:r>
      <w:r>
        <w:t xml:space="preserve">before each recurring debit (CM2 and billing contacts) in addition to the issuer’s notice [REC].</w:t>
      </w:r>
    </w:p>
    <w:p>
      <w:pPr>
        <w:numPr>
          <w:ilvl w:val="0"/>
          <w:numId w:val="1571"/>
        </w:numPr>
        <w:pStyle w:val="Compact"/>
      </w:pPr>
      <w:r>
        <w:t xml:space="preserve">Mandate maximum amount covers the plan’s highest expected invoice including GST with stated headroom; any increase needs re-registration with AFA.</w:t>
      </w:r>
    </w:p>
    <w:p>
      <w:pPr>
        <w:numPr>
          <w:ilvl w:val="0"/>
          <w:numId w:val="1571"/>
        </w:numPr>
        <w:pStyle w:val="Compact"/>
      </w:pPr>
      <w:r>
        <w:t xml:space="preserve">Razorpay’s RBI payment-aggregator authorisation and its PCI DSS Attestation of Compliance are obtained and filed annually in the vendor register; Razorpay’s self-reported status is not relied on alone and is never presented as Infrabyx’s own compliance [VERIFY: current PA authorisation reference].</w:t>
      </w:r>
    </w:p>
    <w:bookmarkEnd w:id="714"/>
    <w:bookmarkStart w:id="715" w:name="Xd988c8f34e11ea5cb341700d9e46d6055ceeb8e"/>
    <w:p>
      <w:pPr>
        <w:pStyle w:val="Heading3"/>
      </w:pPr>
      <w:r>
        <w:t xml:space="preserve">CM4.3 Verification and webhook security (implemented in the Hub; Finbyx consumes results)</w:t>
      </w:r>
    </w:p>
    <w:p>
      <w:pPr>
        <w:pStyle w:val="SourceCode"/>
      </w:pPr>
      <w:r>
        <w:rPr>
          <w:rStyle w:val="VerbatimChar"/>
        </w:rPr>
        <w:t xml:space="preserve">on webhook:</w:t>
      </w:r>
      <w:r>
        <w:br/>
      </w:r>
      <w:r>
        <w:rPr>
          <w:rStyle w:val="VerbatimChar"/>
        </w:rPr>
        <w:t xml:space="preserve">  raw = request body bytes (before any parsing)</w:t>
      </w:r>
      <w:r>
        <w:br/>
      </w:r>
      <w:r>
        <w:rPr>
          <w:rStyle w:val="VerbatimChar"/>
        </w:rPr>
        <w:t xml:space="preserve">  expected = HMAC_SHA256(webhook_secret, raw)              // header X-Razorpay-Signature</w:t>
      </w:r>
      <w:r>
        <w:br/>
      </w:r>
      <w:r>
        <w:rPr>
          <w:rStyle w:val="VerbatimChar"/>
        </w:rPr>
        <w:t xml:space="preserve">  if not constant_time_equal(expected, header): reject 400, log, alert on repeats</w:t>
      </w:r>
      <w:r>
        <w:br/>
      </w:r>
      <w:r>
        <w:rPr>
          <w:rStyle w:val="VerbatimChar"/>
        </w:rPr>
        <w:t xml:space="preserve">  if seen(x-razorpay-event-id): return 200 (duplicate)</w:t>
      </w:r>
      <w:r>
        <w:br/>
      </w:r>
      <w:r>
        <w:rPr>
          <w:rStyle w:val="VerbatimChar"/>
        </w:rPr>
        <w:t xml:space="preserve">  upsert by entity id and status rank (events may arrive out of order)</w:t>
      </w:r>
      <w:r>
        <w:br/>
      </w:r>
      <w:r>
        <w:rPr>
          <w:rStyle w:val="VerbatimChar"/>
        </w:rPr>
        <w:t xml:space="preserve">on checkout return:</w:t>
      </w:r>
      <w:r>
        <w:br/>
      </w:r>
      <w:r>
        <w:rPr>
          <w:rStyle w:val="VerbatimChar"/>
        </w:rPr>
        <w:t xml:space="preserve">  verify payment signature over order_id and payment_id with key_secret (Razorpay documented scheme)</w:t>
      </w:r>
      <w:r>
        <w:br/>
      </w:r>
      <w:r>
        <w:rPr>
          <w:rStyle w:val="VerbatimChar"/>
        </w:rPr>
        <w:t xml:space="preserve">  fetch payment from Razorpay API; trust only the server-side status</w:t>
      </w:r>
      <w:r>
        <w:br/>
      </w:r>
      <w:r>
        <w:rPr>
          <w:rStyle w:val="VerbatimChar"/>
        </w:rPr>
        <w:t xml:space="preserve">daily: settlement reconciliation of payments, refunds and fees against the bank statement</w:t>
      </w:r>
      <w:r>
        <w:br/>
      </w:r>
      <w:r>
        <w:rPr>
          <w:rStyle w:val="VerbatimChar"/>
        </w:rPr>
        <w:t xml:space="preserve">secret rotation: new secret active; old secret accepted only for retries during the overlap window</w:t>
      </w:r>
    </w:p>
    <w:p>
      <w:pPr>
        <w:pStyle w:val="FirstParagraph"/>
      </w:pPr>
      <w:r>
        <w:t xml:space="preserve">Finbyx receives</w:t>
      </w:r>
      <w:r>
        <w:t xml:space="preserve"> </w:t>
      </w:r>
      <w:r>
        <w:rPr>
          <w:rStyle w:val="VerbatimChar"/>
        </w:rPr>
        <w:t xml:space="preserve">SubscriptionPaymentReceived</w:t>
      </w:r>
      <w:r>
        <w:t xml:space="preserve"> </w:t>
      </w:r>
      <w:r>
        <w:t xml:space="preserve">and</w:t>
      </w:r>
      <w:r>
        <w:t xml:space="preserve"> </w:t>
      </w:r>
      <w:r>
        <w:rPr>
          <w:rStyle w:val="VerbatimChar"/>
        </w:rPr>
        <w:t xml:space="preserve">SubscriptionPaymentFailed</w:t>
      </w:r>
      <w:r>
        <w:t xml:space="preserve"> </w:t>
      </w:r>
      <w:r>
        <w:t xml:space="preserve">from the Hub (signed per Integration Spec Part 3.6) and never treats a browser redirect as proof of payment.</w:t>
      </w:r>
    </w:p>
    <w:bookmarkEnd w:id="715"/>
    <w:bookmarkStart w:id="716" w:name="cm4.4-gst-invoices-and-tax"/>
    <w:p>
      <w:pPr>
        <w:pStyle w:val="Heading3"/>
      </w:pPr>
      <w:r>
        <w:t xml:space="preserve">CM4.4 GST invoices and tax</w:t>
      </w:r>
    </w:p>
    <w:p>
      <w:pPr>
        <w:numPr>
          <w:ilvl w:val="0"/>
          <w:numId w:val="1572"/>
        </w:numPr>
        <w:pStyle w:val="Compact"/>
      </w:pPr>
      <w:r>
        <w:t xml:space="preserve">Invoices are issued by the Hub (CM2 shows them; OH8.6): both GSTINs, place of supply (B2B: recipient’s location, IGST Act s.12(2)(a)), SAC as a tax-review field per SKU (candidates 998315 or 997331 for SaaS) [VERIFY code], 18% IGST or CGST plus SGST, e-invoice IRN and signed QR once the selling entity’s aggregate turnover in any year from 2017-18 exceeds ₹5 crore (Notification 10/2023-Central Tax), credit notes for proration and refunds (CGST Act s.34).</w:t>
      </w:r>
    </w:p>
    <w:p>
      <w:pPr>
        <w:numPr>
          <w:ilvl w:val="0"/>
          <w:numId w:val="1572"/>
        </w:numPr>
        <w:pStyle w:val="Compact"/>
      </w:pPr>
      <w:r>
        <w:t xml:space="preserve">Supplies to IFSC or SEZ units are zero-rated under LUT (IGST Act s.16) [VERIFY for IFSC tenants]; the billing profile captures the unit’s status and LUT reference.</w:t>
      </w:r>
    </w:p>
    <w:p>
      <w:pPr>
        <w:numPr>
          <w:ilvl w:val="0"/>
          <w:numId w:val="1572"/>
        </w:numPr>
        <w:pStyle w:val="Compact"/>
      </w:pPr>
      <w:r>
        <w:rPr>
          <w:bCs/>
          <w:b/>
        </w:rPr>
        <w:t xml:space="preserve">TDS by tenants:</w:t>
      </w:r>
      <w:r>
        <w:t xml:space="preserve"> </w:t>
      </w:r>
      <w:r>
        <w:t xml:space="preserve">tenants deduct TDS on Infrabyx’s fees under ITA25 s.393(1) (the successor of 1961 Act s.194J) [VERIFY: table serial, rate and threshold]; they upload the TDS certificate (Form 131) in CM2 and the Hub reconciles it to the receivable.</w:t>
      </w:r>
    </w:p>
    <w:bookmarkEnd w:id="716"/>
    <w:bookmarkStart w:id="717" w:name="cm4.5-dunning-with-regulatory-continuity"/>
    <w:p>
      <w:pPr>
        <w:pStyle w:val="Heading3"/>
      </w:pPr>
      <w:r>
        <w:t xml:space="preserve">CM4.5 Dunning with regulatory continuity</w:t>
      </w:r>
    </w:p>
    <w:p>
      <w:pPr>
        <w:pStyle w:val="FirstParagraph"/>
      </w:pPr>
      <w:r>
        <w:rPr>
          <w:rStyle w:val="VerbatimChar"/>
        </w:rPr>
        <w:t xml:space="preserve">ACTIVE → PAST_DUE (D0) → RETRY (D+1, D+3, D+7) → GRACE (to D+14) → RESTRICTED (D+30, after 7 days' written notice) → TERMINATION_NOTICE (D+45 or per contract) → EXIT (Part 7J DP5)</w:t>
      </w:r>
      <w:r>
        <w:t xml:space="preserve">; any state returns to</w:t>
      </w:r>
      <w:r>
        <w:t xml:space="preserve"> </w:t>
      </w:r>
      <w:r>
        <w:rPr>
          <w:rStyle w:val="VerbatimChar"/>
        </w:rPr>
        <w:t xml:space="preserve">ACTIVE</w:t>
      </w:r>
      <w:r>
        <w:t xml:space="preserve"> </w:t>
      </w:r>
      <w:r>
        <w:t xml:space="preserve">on full payment or an approved payment plan (OH8.7).</w:t>
      </w:r>
    </w:p>
    <w:p>
      <w:pPr>
        <w:numPr>
          <w:ilvl w:val="0"/>
          <w:numId w:val="1573"/>
        </w:numPr>
        <w:pStyle w:val="Compact"/>
      </w:pPr>
      <w:r>
        <w:rPr>
          <w:bCs/>
          <w:b/>
        </w:rPr>
        <w:t xml:space="preserve">GRACE:</w:t>
      </w:r>
      <w:r>
        <w:t xml:space="preserve"> </w:t>
      </w:r>
      <w:r>
        <w:t xml:space="preserve">reminders to billing contacts and the CFO; no functional change.</w:t>
      </w:r>
    </w:p>
    <w:p>
      <w:pPr>
        <w:numPr>
          <w:ilvl w:val="0"/>
          <w:numId w:val="1573"/>
        </w:numPr>
        <w:pStyle w:val="Compact"/>
      </w:pPr>
      <w:r>
        <w:rPr>
          <w:bCs/>
          <w:b/>
        </w:rPr>
        <w:t xml:space="preserve">RESTRICTED:</w:t>
      </w:r>
      <w:r>
        <w:t xml:space="preserve"> </w:t>
      </w:r>
      <w:r>
        <w:t xml:space="preserve">blocks only new non-regulated units (new users, module attachments, product configuration changes) and, if the contract says so, new lead and application intake; everything in CM1.4 continues. A banner names the stage, the amount and the hosted payment link; it never appears to borrowers.</w:t>
      </w:r>
    </w:p>
    <w:p>
      <w:pPr>
        <w:numPr>
          <w:ilvl w:val="0"/>
          <w:numId w:val="1573"/>
        </w:numPr>
        <w:pStyle w:val="Compact"/>
      </w:pPr>
      <w:r>
        <w:rPr>
          <w:bCs/>
          <w:b/>
        </w:rPr>
        <w:t xml:space="preserve">TERMINATION_NOTICE</w:t>
      </w:r>
      <w:r>
        <w:t xml:space="preserve"> </w:t>
      </w:r>
      <w:r>
        <w:t xml:space="preserve">is signed by an Infrabyx authorised signatory under the contract and starts DP5; read and export remain available for RE tenants throughout and during the exit window (OUT para 87) [REC].</w:t>
      </w:r>
    </w:p>
    <w:p>
      <w:pPr>
        <w:numPr>
          <w:ilvl w:val="0"/>
          <w:numId w:val="1573"/>
        </w:numPr>
        <w:pStyle w:val="Compact"/>
      </w:pPr>
      <w:r>
        <w:t xml:space="preserve">At most 3 automatic retries per invoice, each respecting mandate rules (no retry without a fresh pre-debit notice where the issuer requires one); an invoice under dispute (OH6) pauses dunning for that invoice.</w:t>
      </w:r>
    </w:p>
    <w:bookmarkEnd w:id="717"/>
    <w:bookmarkStart w:id="718" w:name="acceptance-tests-62"/>
    <w:p>
      <w:pPr>
        <w:pStyle w:val="Heading3"/>
      </w:pPr>
      <w:r>
        <w:t xml:space="preserve">Acceptance tests</w:t>
      </w:r>
    </w:p>
    <w:p>
      <w:pPr>
        <w:numPr>
          <w:ilvl w:val="0"/>
          <w:numId w:val="1574"/>
        </w:numPr>
        <w:pStyle w:val="Compact"/>
      </w:pPr>
      <w:r>
        <w:t xml:space="preserve">The billing page’s HTML contains no third-party script; a CSP report test fails on any injected script source.</w:t>
      </w:r>
    </w:p>
    <w:p>
      <w:pPr>
        <w:numPr>
          <w:ilvl w:val="0"/>
          <w:numId w:val="1574"/>
        </w:numPr>
        <w:pStyle w:val="Compact"/>
      </w:pPr>
      <w:r>
        <w:t xml:space="preserve">A forged webhook with a wrong signature is rejected; a replayed valid webhook with the same event id is acknowledged once and changes nothing.</w:t>
      </w:r>
    </w:p>
    <w:p>
      <w:pPr>
        <w:numPr>
          <w:ilvl w:val="0"/>
          <w:numId w:val="1574"/>
        </w:numPr>
        <w:pStyle w:val="Compact"/>
      </w:pPr>
      <w:r>
        <w:t xml:space="preserve">A browser return with a</w:t>
      </w:r>
      <w:r>
        <w:t xml:space="preserve"> </w:t>
      </w:r>
      <w:r>
        <w:t xml:space="preserve">“</w:t>
      </w:r>
      <w:r>
        <w:t xml:space="preserve">success</w:t>
      </w:r>
      <w:r>
        <w:t xml:space="preserve">”</w:t>
      </w:r>
      <w:r>
        <w:t xml:space="preserve"> </w:t>
      </w:r>
      <w:r>
        <w:t xml:space="preserve">query string but no server-side confirmation leaves the invoice unpaid.</w:t>
      </w:r>
    </w:p>
    <w:p>
      <w:pPr>
        <w:numPr>
          <w:ilvl w:val="0"/>
          <w:numId w:val="1574"/>
        </w:numPr>
        <w:pStyle w:val="Compact"/>
      </w:pPr>
      <w:r>
        <w:t xml:space="preserve">A recurring card debit of ₹18,000 is not set up as a no-AFA mandate; the flow proposes eNACH or bank transfer.</w:t>
      </w:r>
    </w:p>
    <w:p>
      <w:pPr>
        <w:numPr>
          <w:ilvl w:val="0"/>
          <w:numId w:val="1574"/>
        </w:numPr>
        <w:pStyle w:val="Compact"/>
      </w:pPr>
      <w:r>
        <w:t xml:space="preserve">A tenant at RESTRICTED still disburses an already sanctioned loan, runs COB and files its CIC file; creating a new user is blocked; full payment returns it to ACTIVE and unblocks user creation without a deploy.</w:t>
      </w:r>
    </w:p>
    <w:p>
      <w:pPr>
        <w:numPr>
          <w:ilvl w:val="0"/>
          <w:numId w:val="1574"/>
        </w:numPr>
        <w:pStyle w:val="Compact"/>
      </w:pPr>
      <w:r>
        <w:t xml:space="preserve">A log line containing a 16-digit card-like number fails the CI log scanner.</w:t>
      </w:r>
    </w:p>
    <w:p>
      <w:r>
        <w:pict>
          <v:rect style="width:0;height:1.5pt" o:hralign="center" o:hrstd="t" o:hr="t"/>
        </w:pict>
      </w:r>
    </w:p>
    <w:bookmarkEnd w:id="718"/>
    <w:bookmarkEnd w:id="719"/>
    <w:bookmarkStart w:id="725" w:name="X5a6fc5d4b349bfc2118b94195c050f5f122999a"/>
    <w:p>
      <w:pPr>
        <w:pStyle w:val="Heading2"/>
      </w:pPr>
      <w:r>
        <w:t xml:space="preserve">CM5. Revenue streams for Finbyx (switchable)</w:t>
      </w:r>
    </w:p>
    <w:bookmarkStart w:id="720" w:name="cm5.1-catalogue-of-streams"/>
    <w:p>
      <w:pPr>
        <w:pStyle w:val="Heading3"/>
      </w:pPr>
      <w:r>
        <w:t xml:space="preserve">CM5.1 Catalogue of streams</w:t>
      </w:r>
    </w:p>
    <w:p>
      <w:pPr>
        <w:pStyle w:val="FirstParagraph"/>
      </w:pPr>
      <w:r>
        <w:t xml:space="preserve">Each stream is switchable in the Hub catalogue by product, market, tenant, contract, channel and date (OH8), with version history and approval; Finbyx reads</w:t>
      </w:r>
      <w:r>
        <w:t xml:space="preserve"> </w:t>
      </w:r>
      <w:r>
        <w:rPr>
          <w:rStyle w:val="VerbatimChar"/>
        </w:rPr>
        <w:t xml:space="preserve">revenue_stream_flags</w:t>
      </w:r>
      <w:r>
        <w:t xml:space="preserve"> </w:t>
      </w:r>
      <w:r>
        <w:t xml:space="preserve">to show or hide purchase options and to apply entitlement behaviour.</w:t>
      </w:r>
    </w:p>
    <w:p>
      <w:pPr>
        <w:pStyle w:val="BodyText"/>
      </w:pPr>
      <w:r>
        <w:t xml:space="preserve">Stream codes follow OH8.2 (</w:t>
      </w:r>
      <w:r>
        <w:rPr>
          <w:rStyle w:val="VerbatimChar"/>
        </w:rPr>
        <w:t xml:space="preserve">PERPETUAL_LICENCE_AMC</w:t>
      </w:r>
      <w:r>
        <w:t xml:space="preserve">,</w:t>
      </w:r>
      <w:r>
        <w:t xml:space="preserve"> </w:t>
      </w:r>
      <w:r>
        <w:rPr>
          <w:rStyle w:val="VerbatimChar"/>
        </w:rPr>
        <w:t xml:space="preserve">SUBSCRIPTION</w:t>
      </w:r>
      <w:r>
        <w:t xml:space="preserve">,</w:t>
      </w:r>
      <w:r>
        <w:t xml:space="preserve"> </w:t>
      </w:r>
      <w:r>
        <w:rPr>
          <w:rStyle w:val="VerbatimChar"/>
        </w:rPr>
        <w:t xml:space="preserve">MONTHLY_RENTAL</w:t>
      </w:r>
      <w:r>
        <w:t xml:space="preserve">,</w:t>
      </w:r>
      <w:r>
        <w:t xml:space="preserve"> </w:t>
      </w:r>
      <w:r>
        <w:rPr>
          <w:rStyle w:val="VerbatimChar"/>
        </w:rPr>
        <w:t xml:space="preserve">PAYG</w:t>
      </w:r>
      <w:r>
        <w:t xml:space="preserve">,</w:t>
      </w:r>
      <w:r>
        <w:t xml:space="preserve"> </w:t>
      </w:r>
      <w:r>
        <w:rPr>
          <w:rStyle w:val="VerbatimChar"/>
        </w:rPr>
        <w:t xml:space="preserve">IMPLEMENTATION</w:t>
      </w:r>
      <w:r>
        <w:t xml:space="preserve">,</w:t>
      </w:r>
      <w:r>
        <w:t xml:space="preserve"> </w:t>
      </w:r>
      <w:r>
        <w:rPr>
          <w:rStyle w:val="VerbatimChar"/>
        </w:rPr>
        <w:t xml:space="preserve">PROFESSIONAL_SERVICES</w:t>
      </w:r>
      <w:r>
        <w:t xml:space="preserve"> </w:t>
      </w:r>
      <w:r>
        <w:t xml:space="preserve">with</w:t>
      </w:r>
      <w:r>
        <w:t xml:space="preserve"> </w:t>
      </w:r>
      <w:r>
        <w:rPr>
          <w:rStyle w:val="VerbatimChar"/>
        </w:rPr>
        <w:t xml:space="preserve">MANAGED_SERVICES</w:t>
      </w:r>
      <w:r>
        <w:t xml:space="preserve">,</w:t>
      </w:r>
      <w:r>
        <w:t xml:space="preserve"> </w:t>
      </w:r>
      <w:r>
        <w:rPr>
          <w:rStyle w:val="VerbatimChar"/>
        </w:rPr>
        <w:t xml:space="preserve">DATA_MIGRATION</w:t>
      </w:r>
      <w:r>
        <w:t xml:space="preserve">,</w:t>
      </w:r>
      <w:r>
        <w:t xml:space="preserve"> </w:t>
      </w:r>
      <w:r>
        <w:rPr>
          <w:rStyle w:val="VerbatimChar"/>
        </w:rPr>
        <w:t xml:space="preserve">TRAINING</w:t>
      </w:r>
      <w:r>
        <w:t xml:space="preserve"> </w:t>
      </w:r>
      <w:r>
        <w:t xml:space="preserve">and</w:t>
      </w:r>
      <w:r>
        <w:t xml:space="preserve"> </w:t>
      </w:r>
      <w:r>
        <w:rPr>
          <w:rStyle w:val="VerbatimChar"/>
        </w:rPr>
        <w:t xml:space="preserve">ONE_TIME_SERVICE</w:t>
      </w:r>
      <w:r>
        <w:t xml:space="preserve">,</w:t>
      </w:r>
      <w:r>
        <w:t xml:space="preserve"> </w:t>
      </w:r>
      <w:r>
        <w:rPr>
          <w:rStyle w:val="VerbatimChar"/>
        </w:rPr>
        <w:t xml:space="preserve">PASS_THROUGH</w:t>
      </w:r>
      <w:r>
        <w:t xml:space="preserve">,</w:t>
      </w:r>
      <w:r>
        <w:t xml:space="preserve"> </w:t>
      </w:r>
      <w:r>
        <w:rPr>
          <w:rStyle w:val="VerbatimChar"/>
        </w:rPr>
        <w:t xml:space="preserve">MARKETPLACE_REFERRAL</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99"/>
        <w:gridCol w:w="3127"/>
        <w:gridCol w:w="1974"/>
        <w:gridCol w:w="3238"/>
      </w:tblGrid>
      <w:tr>
        <w:trPr>
          <w:tblHeader w:val="true"/>
          <w:tblHeader w:val="true"/>
        </w:trPr>
        <w:tc>
          <w:tcPr>
            <w:tcW w:w="1299" w:type="dxa"/>
            <w:shd w:val="clear" w:color="auto" w:fill="1F3A5F"/>
          </w:tcPr>
          <w:p>
            <w:pPr>
              <w:pStyle w:val="Compact"/>
              <w:spacing w:after="40"/>
              <w:jc w:val="left"/>
            </w:pPr>
            <w:r>
              <w:rPr>
                <w:b/>
                <w:color w:val="FFFFFF"/>
                <w:sz w:val="18"/>
              </w:rPr>
              <w:t xml:space="preserve">Stream</w:t>
            </w:r>
          </w:p>
        </w:tc>
        <w:tc>
          <w:tcPr>
            <w:tcW w:w="3127" w:type="dxa"/>
            <w:shd w:val="clear" w:color="auto" w:fill="1F3A5F"/>
          </w:tcPr>
          <w:p>
            <w:pPr>
              <w:pStyle w:val="Compact"/>
              <w:spacing w:after="40"/>
              <w:jc w:val="left"/>
            </w:pPr>
            <w:r>
              <w:rPr>
                <w:b/>
                <w:color w:val="FFFFFF"/>
                <w:sz w:val="18"/>
              </w:rPr>
              <w:t xml:space="preserve">Basis</w:t>
            </w:r>
          </w:p>
        </w:tc>
        <w:tc>
          <w:tcPr>
            <w:tcW w:w="1974" w:type="dxa"/>
            <w:shd w:val="clear" w:color="auto" w:fill="1F3A5F"/>
          </w:tcPr>
          <w:p>
            <w:pPr>
              <w:pStyle w:val="Compact"/>
              <w:spacing w:after="40"/>
              <w:jc w:val="left"/>
            </w:pPr>
            <w:r>
              <w:rPr>
                <w:b/>
                <w:color w:val="FFFFFF"/>
                <w:sz w:val="18"/>
              </w:rPr>
              <w:t xml:space="preserve">Finbyx behaviour</w:t>
            </w:r>
          </w:p>
        </w:tc>
        <w:tc>
          <w:tcPr>
            <w:tcW w:w="3238" w:type="dxa"/>
            <w:shd w:val="clear" w:color="auto" w:fill="1F3A5F"/>
          </w:tcPr>
          <w:p>
            <w:pPr>
              <w:pStyle w:val="Compact"/>
              <w:spacing w:after="40"/>
              <w:jc w:val="left"/>
            </w:pPr>
            <w:r>
              <w:rPr>
                <w:b/>
                <w:color w:val="FFFFFF"/>
                <w:sz w:val="18"/>
              </w:rPr>
              <w:t xml:space="preserve">Guard-rails</w:t>
            </w:r>
          </w:p>
        </w:tc>
      </w:tr>
      <w:tr>
        <w:tc>
          <w:tcPr>
            <w:tcW w:w="1299" w:type="dxa"/>
          </w:tcPr>
          <w:p>
            <w:pPr>
              <w:pStyle w:val="Compact"/>
              <w:spacing w:after="40"/>
              <w:jc w:val="left"/>
            </w:pPr>
            <w:r>
              <w:rPr>
                <w:sz w:val="18"/>
              </w:rPr>
              <w:t xml:space="preserve">One-time licence</w:t>
            </w:r>
          </w:p>
        </w:tc>
        <w:tc>
          <w:tcPr>
            <w:tcW w:w="3127" w:type="dxa"/>
          </w:tcPr>
          <w:p>
            <w:pPr>
              <w:pStyle w:val="Compact"/>
              <w:spacing w:after="40"/>
              <w:jc w:val="left"/>
            </w:pPr>
            <w:r>
              <w:rPr>
                <w:sz w:val="18"/>
              </w:rPr>
              <w:t xml:space="preserve">Perpetual licence for a dedicated or on-premises deployment, plus annual maintenance (AMC)</w:t>
            </w:r>
          </w:p>
        </w:tc>
        <w:tc>
          <w:tcPr>
            <w:tcW w:w="1974" w:type="dxa"/>
          </w:tcPr>
          <w:p>
            <w:pPr>
              <w:pStyle w:val="Compact"/>
              <w:spacing w:after="40"/>
              <w:jc w:val="left"/>
            </w:pPr>
            <w:r>
              <w:rPr>
                <w:sz w:val="18"/>
              </w:rPr>
              <w:t xml:space="preserve">Offline licence file (CM1.5); updates while AMC is active</w:t>
            </w:r>
          </w:p>
        </w:tc>
        <w:tc>
          <w:tcPr>
            <w:tcW w:w="3238" w:type="dxa"/>
          </w:tcPr>
          <w:p>
            <w:pPr>
              <w:pStyle w:val="Compact"/>
              <w:spacing w:after="40"/>
              <w:jc w:val="left"/>
            </w:pPr>
            <w:r>
              <w:rPr>
                <w:sz w:val="18"/>
              </w:rPr>
              <w:t xml:space="preserve">Source-code escrow for critical deployments (CYB para 105)</w:t>
            </w:r>
          </w:p>
        </w:tc>
      </w:tr>
      <w:tr>
        <w:tc>
          <w:tcPr>
            <w:tcW w:w="1299" w:type="dxa"/>
          </w:tcPr>
          <w:p>
            <w:pPr>
              <w:pStyle w:val="Compact"/>
              <w:spacing w:after="40"/>
              <w:jc w:val="left"/>
            </w:pPr>
            <w:r>
              <w:rPr>
                <w:sz w:val="18"/>
              </w:rPr>
              <w:t xml:space="preserve">Subscription</w:t>
            </w:r>
          </w:p>
        </w:tc>
        <w:tc>
          <w:tcPr>
            <w:tcW w:w="3127" w:type="dxa"/>
          </w:tcPr>
          <w:p>
            <w:pPr>
              <w:pStyle w:val="Compact"/>
              <w:spacing w:after="40"/>
              <w:jc w:val="left"/>
            </w:pPr>
            <w:r>
              <w:rPr>
                <w:sz w:val="18"/>
              </w:rPr>
              <w:t xml:space="preserve">Annual or monthly SaaS, tiered by entity size, AUM band, modules and seats</w:t>
            </w:r>
          </w:p>
        </w:tc>
        <w:tc>
          <w:tcPr>
            <w:tcW w:w="1974" w:type="dxa"/>
          </w:tcPr>
          <w:p>
            <w:pPr>
              <w:pStyle w:val="Compact"/>
              <w:spacing w:after="40"/>
              <w:jc w:val="left"/>
            </w:pPr>
            <w:r>
              <w:rPr>
                <w:sz w:val="18"/>
              </w:rPr>
              <w:t xml:space="preserve">Live entitlements</w:t>
            </w:r>
          </w:p>
        </w:tc>
        <w:tc>
          <w:tcPr>
            <w:tcW w:w="3238" w:type="dxa"/>
          </w:tcPr>
          <w:p>
            <w:pPr>
              <w:pStyle w:val="Compact"/>
              <w:spacing w:after="40"/>
              <w:jc w:val="left"/>
            </w:pPr>
            <w:r>
              <w:rPr>
                <w:sz w:val="18"/>
              </w:rPr>
              <w:t xml:space="preserve">Export and exit export always included</w:t>
            </w:r>
          </w:p>
        </w:tc>
      </w:tr>
      <w:tr>
        <w:tc>
          <w:tcPr>
            <w:tcW w:w="1299" w:type="dxa"/>
          </w:tcPr>
          <w:p>
            <w:pPr>
              <w:pStyle w:val="Compact"/>
              <w:spacing w:after="40"/>
              <w:jc w:val="left"/>
            </w:pPr>
            <w:r>
              <w:rPr>
                <w:sz w:val="18"/>
              </w:rPr>
              <w:t xml:space="preserve">Monthly rental</w:t>
            </w:r>
          </w:p>
        </w:tc>
        <w:tc>
          <w:tcPr>
            <w:tcW w:w="3127" w:type="dxa"/>
          </w:tcPr>
          <w:p>
            <w:pPr>
              <w:pStyle w:val="Compact"/>
              <w:spacing w:after="40"/>
              <w:jc w:val="left"/>
            </w:pPr>
            <w:r>
              <w:rPr>
                <w:sz w:val="18"/>
              </w:rPr>
              <w:t xml:space="preserve">Month-to-month term for a dedicated environment or licence pool without annual commitment</w:t>
            </w:r>
          </w:p>
        </w:tc>
        <w:tc>
          <w:tcPr>
            <w:tcW w:w="1974" w:type="dxa"/>
          </w:tcPr>
          <w:p>
            <w:pPr>
              <w:pStyle w:val="Compact"/>
              <w:spacing w:after="40"/>
              <w:jc w:val="left"/>
            </w:pPr>
            <w:r>
              <w:rPr>
                <w:sz w:val="18"/>
              </w:rPr>
              <w:t xml:space="preserve">Entitlement end date rolls monthly</w:t>
            </w:r>
          </w:p>
        </w:tc>
        <w:tc>
          <w:tcPr>
            <w:tcW w:w="3238" w:type="dxa"/>
          </w:tcPr>
          <w:p>
            <w:pPr>
              <w:pStyle w:val="Compact"/>
              <w:spacing w:after="40"/>
              <w:jc w:val="left"/>
            </w:pPr>
            <w:r>
              <w:rPr>
                <w:sz w:val="18"/>
              </w:rPr>
              <w:t xml:space="preserve">Notice period in contract; DP5 on end</w:t>
            </w:r>
          </w:p>
        </w:tc>
      </w:tr>
      <w:tr>
        <w:tc>
          <w:tcPr>
            <w:tcW w:w="1299" w:type="dxa"/>
          </w:tcPr>
          <w:p>
            <w:pPr>
              <w:pStyle w:val="Compact"/>
              <w:spacing w:after="40"/>
              <w:jc w:val="left"/>
            </w:pPr>
            <w:r>
              <w:rPr>
                <w:sz w:val="18"/>
              </w:rPr>
              <w:t xml:space="preserve">Pay-as-you-go</w:t>
            </w:r>
          </w:p>
        </w:tc>
        <w:tc>
          <w:tcPr>
            <w:tcW w:w="3127" w:type="dxa"/>
          </w:tcPr>
          <w:p>
            <w:pPr>
              <w:pStyle w:val="Compact"/>
              <w:spacing w:after="40"/>
              <w:jc w:val="left"/>
            </w:pPr>
            <w:r>
              <w:rPr>
                <w:sz w:val="18"/>
              </w:rPr>
              <w:t xml:space="preserve">Metered per active loan, per regulatory run, per API call, per report, prepaid wallet or postpaid</w:t>
            </w:r>
          </w:p>
        </w:tc>
        <w:tc>
          <w:tcPr>
            <w:tcW w:w="1974" w:type="dxa"/>
          </w:tcPr>
          <w:p>
            <w:pPr>
              <w:pStyle w:val="Compact"/>
              <w:spacing w:after="40"/>
              <w:jc w:val="left"/>
            </w:pPr>
            <w:r>
              <w:rPr>
                <w:sz w:val="18"/>
              </w:rPr>
              <w:t xml:space="preserve">CM3 meters; wallet balance shown; low-balance alerts</w:t>
            </w:r>
          </w:p>
        </w:tc>
        <w:tc>
          <w:tcPr>
            <w:tcW w:w="3238" w:type="dxa"/>
          </w:tcPr>
          <w:p>
            <w:pPr>
              <w:pStyle w:val="Compact"/>
              <w:spacing w:after="40"/>
              <w:jc w:val="left"/>
            </w:pPr>
            <w:r>
              <w:rPr>
                <w:sz w:val="18"/>
              </w:rPr>
              <w:t xml:space="preserve">Regulatory functions never stop on zero balance (CM1.4)</w:t>
            </w:r>
          </w:p>
        </w:tc>
      </w:tr>
      <w:tr>
        <w:tc>
          <w:tcPr>
            <w:tcW w:w="1299" w:type="dxa"/>
          </w:tcPr>
          <w:p>
            <w:pPr>
              <w:pStyle w:val="Compact"/>
              <w:spacing w:after="40"/>
              <w:jc w:val="left"/>
            </w:pPr>
            <w:r>
              <w:rPr>
                <w:sz w:val="18"/>
              </w:rPr>
              <w:t xml:space="preserve">Implementation</w:t>
            </w:r>
          </w:p>
        </w:tc>
        <w:tc>
          <w:tcPr>
            <w:tcW w:w="3127" w:type="dxa"/>
          </w:tcPr>
          <w:p>
            <w:pPr>
              <w:pStyle w:val="Compact"/>
              <w:spacing w:after="40"/>
              <w:jc w:val="left"/>
            </w:pPr>
            <w:r>
              <w:rPr>
                <w:sz w:val="18"/>
              </w:rPr>
              <w:t xml:space="preserve">Milestones: discovery, configuration, migration, integrations, training, go-live</w:t>
            </w:r>
          </w:p>
        </w:tc>
        <w:tc>
          <w:tcPr>
            <w:tcW w:w="1974" w:type="dxa"/>
          </w:tcPr>
          <w:p>
            <w:pPr>
              <w:pStyle w:val="Compact"/>
              <w:spacing w:after="40"/>
              <w:jc w:val="left"/>
            </w:pPr>
            <w:r>
              <w:rPr>
                <w:sz w:val="18"/>
              </w:rPr>
              <w:t xml:space="preserve">Milestones tracked in the Hub (OH4);</w:t>
            </w:r>
            <w:r>
              <w:rPr>
                <w:sz w:val="18"/>
              </w:rPr>
              <w:t xml:space="preserve"> </w:t>
            </w:r>
            <w:r>
              <w:rPr>
                <w:rStyle w:val="VerbatimChar"/>
                <w:sz w:val="18"/>
              </w:rPr>
              <w:t xml:space="preserve">ImplementationMilestoneReached</w:t>
            </w:r>
          </w:p>
        </w:tc>
        <w:tc>
          <w:tcPr>
            <w:tcW w:w="3238" w:type="dxa"/>
          </w:tcPr>
          <w:p>
            <w:pPr>
              <w:pStyle w:val="Compact"/>
              <w:spacing w:after="40"/>
              <w:jc w:val="left"/>
            </w:pPr>
            <w:r>
              <w:rPr>
                <w:sz w:val="18"/>
              </w:rPr>
              <w:t xml:space="preserve">Acceptance by the tenant before invoicing</w:t>
            </w:r>
          </w:p>
        </w:tc>
      </w:tr>
      <w:tr>
        <w:tc>
          <w:tcPr>
            <w:tcW w:w="1299" w:type="dxa"/>
          </w:tcPr>
          <w:p>
            <w:pPr>
              <w:pStyle w:val="Compact"/>
              <w:spacing w:after="40"/>
              <w:jc w:val="left"/>
            </w:pPr>
            <w:r>
              <w:rPr>
                <w:sz w:val="18"/>
              </w:rPr>
              <w:t xml:space="preserve">Professional services</w:t>
            </w:r>
          </w:p>
        </w:tc>
        <w:tc>
          <w:tcPr>
            <w:tcW w:w="3127" w:type="dxa"/>
          </w:tcPr>
          <w:p>
            <w:pPr>
              <w:pStyle w:val="Compact"/>
              <w:spacing w:after="40"/>
              <w:jc w:val="left"/>
            </w:pPr>
            <w:r>
              <w:rPr>
                <w:sz w:val="18"/>
              </w:rPr>
              <w:t xml:space="preserve">Data migration, custom integrations, regulatory-change packs, training, managed operations</w:t>
            </w:r>
          </w:p>
        </w:tc>
        <w:tc>
          <w:tcPr>
            <w:tcW w:w="1974" w:type="dxa"/>
          </w:tcPr>
          <w:p>
            <w:pPr>
              <w:pStyle w:val="Compact"/>
              <w:spacing w:after="40"/>
              <w:jc w:val="left"/>
            </w:pPr>
            <w:r>
              <w:rPr>
                <w:sz w:val="18"/>
              </w:rPr>
              <w:t xml:space="preserve">Time and materials or fixed</w:t>
            </w:r>
          </w:p>
        </w:tc>
        <w:tc>
          <w:tcPr>
            <w:tcW w:w="3238" w:type="dxa"/>
          </w:tcPr>
          <w:p>
            <w:pPr>
              <w:pStyle w:val="Compact"/>
              <w:spacing w:after="40"/>
              <w:jc w:val="left"/>
            </w:pPr>
            <w:r>
              <w:rPr>
                <w:sz w:val="18"/>
              </w:rPr>
              <w:t xml:space="preserve">No core management functions for tenants (OUT para 15); no outsourced internal audit for IAF in-scope NBFCs (IAF para 39); no Reg 24A prohibited services for listed tenants (GV4.2)</w:t>
            </w:r>
          </w:p>
        </w:tc>
      </w:tr>
      <w:tr>
        <w:tc>
          <w:tcPr>
            <w:tcW w:w="1299" w:type="dxa"/>
          </w:tcPr>
          <w:p>
            <w:pPr>
              <w:pStyle w:val="Compact"/>
              <w:spacing w:after="40"/>
              <w:jc w:val="left"/>
            </w:pPr>
            <w:r>
              <w:rPr>
                <w:sz w:val="18"/>
              </w:rPr>
              <w:t xml:space="preserve">Pass-through with margin</w:t>
            </w:r>
          </w:p>
        </w:tc>
        <w:tc>
          <w:tcPr>
            <w:tcW w:w="3127" w:type="dxa"/>
          </w:tcPr>
          <w:p>
            <w:pPr>
              <w:pStyle w:val="Compact"/>
              <w:spacing w:after="40"/>
              <w:jc w:val="left"/>
            </w:pPr>
            <w:r>
              <w:rPr>
                <w:sz w:val="18"/>
              </w:rPr>
              <w:t xml:space="preserve">eSign, eStamp, KYC, SMS, WhatsApp, voice (never credit-bureau charges: Infrabyx never buys or resells credit information; the tenant contracts each CIC directly, CICRA)</w:t>
            </w:r>
          </w:p>
        </w:tc>
        <w:tc>
          <w:tcPr>
            <w:tcW w:w="1974" w:type="dxa"/>
          </w:tcPr>
          <w:p>
            <w:pPr>
              <w:pStyle w:val="Compact"/>
              <w:spacing w:after="40"/>
              <w:jc w:val="left"/>
            </w:pPr>
            <w:r>
              <w:rPr>
                <w:sz w:val="18"/>
              </w:rPr>
              <w:t xml:space="preserve">CM3 pass-through meters</w:t>
            </w:r>
          </w:p>
        </w:tc>
        <w:tc>
          <w:tcPr>
            <w:tcW w:w="3238" w:type="dxa"/>
          </w:tcPr>
          <w:p>
            <w:pPr>
              <w:pStyle w:val="Compact"/>
              <w:spacing w:after="40"/>
              <w:jc w:val="left"/>
            </w:pPr>
            <w:r>
              <w:rPr>
                <w:sz w:val="18"/>
              </w:rPr>
              <w:t xml:space="preserve">Cost and margin disclosed on the invoice</w:t>
            </w:r>
          </w:p>
        </w:tc>
      </w:tr>
      <w:tr>
        <w:tc>
          <w:tcPr>
            <w:tcW w:w="1299" w:type="dxa"/>
          </w:tcPr>
          <w:p>
            <w:pPr>
              <w:pStyle w:val="Compact"/>
              <w:spacing w:after="40"/>
              <w:jc w:val="left"/>
            </w:pPr>
            <w:r>
              <w:rPr>
                <w:sz w:val="18"/>
              </w:rPr>
              <w:t xml:space="preserve">Marketplace referral</w:t>
            </w:r>
          </w:p>
        </w:tc>
        <w:tc>
          <w:tcPr>
            <w:tcW w:w="3127" w:type="dxa"/>
          </w:tcPr>
          <w:p>
            <w:pPr>
              <w:pStyle w:val="Compact"/>
              <w:spacing w:after="40"/>
              <w:jc w:val="left"/>
            </w:pPr>
            <w:r>
              <w:rPr>
                <w:sz w:val="18"/>
              </w:rPr>
              <w:t xml:space="preserve">Fees from third-party vendors whose certified connectors a tenant activates</w:t>
            </w:r>
          </w:p>
        </w:tc>
        <w:tc>
          <w:tcPr>
            <w:tcW w:w="1974" w:type="dxa"/>
          </w:tcPr>
          <w:p>
            <w:pPr>
              <w:pStyle w:val="Compact"/>
              <w:spacing w:after="40"/>
              <w:jc w:val="left"/>
            </w:pPr>
            <w:r>
              <w:rPr>
                <w:sz w:val="18"/>
              </w:rPr>
              <w:t xml:space="preserve">Shown on the vendor’s marketplace card</w:t>
            </w:r>
          </w:p>
        </w:tc>
        <w:tc>
          <w:tcPr>
            <w:tcW w:w="3238" w:type="dxa"/>
          </w:tcPr>
          <w:p>
            <w:pPr>
              <w:pStyle w:val="Compact"/>
              <w:spacing w:after="40"/>
              <w:jc w:val="left"/>
            </w:pPr>
            <w:r>
              <w:rPr>
                <w:sz w:val="18"/>
              </w:rPr>
              <w:t xml:space="preserve">Disclosed to the tenant; never conditional on borrower outcomes; no ranking for payment</w:t>
            </w:r>
          </w:p>
        </w:tc>
      </w:tr>
      <w:tr>
        <w:tc>
          <w:tcPr>
            <w:tcW w:w="1299" w:type="dxa"/>
          </w:tcPr>
          <w:p>
            <w:pPr>
              <w:pStyle w:val="Compact"/>
              <w:spacing w:after="40"/>
              <w:jc w:val="left"/>
            </w:pPr>
            <w:r>
              <w:rPr>
                <w:sz w:val="18"/>
              </w:rPr>
              <w:t xml:space="preserve">Vendor announcements (no fee)</w:t>
            </w:r>
          </w:p>
        </w:tc>
        <w:tc>
          <w:tcPr>
            <w:tcW w:w="3127" w:type="dxa"/>
          </w:tcPr>
          <w:p>
            <w:pPr>
              <w:pStyle w:val="Compact"/>
              <w:spacing w:after="40"/>
              <w:jc w:val="left"/>
            </w:pPr>
            <w:r>
              <w:rPr>
                <w:sz w:val="18"/>
              </w:rPr>
              <w:t xml:space="preserve">Opt-in</w:t>
            </w:r>
            <w:r>
              <w:rPr>
                <w:sz w:val="18"/>
              </w:rPr>
              <w:t xml:space="preserve"> </w:t>
            </w:r>
            <w:r>
              <w:rPr>
                <w:sz w:val="18"/>
              </w:rPr>
              <w:t xml:space="preserve">“</w:t>
            </w:r>
            <w:r>
              <w:rPr>
                <w:sz w:val="18"/>
              </w:rPr>
              <w:t xml:space="preserve">What’s new</w:t>
            </w:r>
            <w:r>
              <w:rPr>
                <w:sz w:val="18"/>
              </w:rPr>
              <w:t xml:space="preserve">”</w:t>
            </w:r>
            <w:r>
              <w:rPr>
                <w:sz w:val="18"/>
              </w:rPr>
              <w:t xml:space="preserve"> </w:t>
            </w:r>
            <w:r>
              <w:rPr>
                <w:sz w:val="18"/>
              </w:rPr>
              <w:t xml:space="preserve">panel for Infrabyx release news and newly certified connectors</w:t>
            </w:r>
          </w:p>
        </w:tc>
        <w:tc>
          <w:tcPr>
            <w:tcW w:w="1974" w:type="dxa"/>
          </w:tcPr>
          <w:p>
            <w:pPr>
              <w:pStyle w:val="Compact"/>
              <w:spacing w:after="40"/>
              <w:jc w:val="left"/>
            </w:pPr>
            <w:r>
              <w:rPr>
                <w:sz w:val="18"/>
              </w:rPr>
              <w:t xml:space="preserve">Off by default; tenant switches it on or off</w:t>
            </w:r>
          </w:p>
        </w:tc>
        <w:tc>
          <w:tcPr>
            <w:tcW w:w="3238" w:type="dxa"/>
          </w:tcPr>
          <w:p>
            <w:pPr>
              <w:pStyle w:val="Compact"/>
              <w:spacing w:after="40"/>
              <w:jc w:val="left"/>
            </w:pPr>
            <w:r>
              <w:rPr>
                <w:sz w:val="18"/>
              </w:rPr>
              <w:t xml:space="preserve">Not a paid placement (CM5.2); never inside lending workflows or borrower-facing surfaces (portal, notices, statements); no targeting on tenant data; labelled</w:t>
            </w:r>
          </w:p>
        </w:tc>
      </w:tr>
    </w:tbl>
    <w:bookmarkEnd w:id="720"/>
    <w:bookmarkStart w:id="721" w:name="cm5.2-prohibited-or-avoided-revenue"/>
    <w:p>
      <w:pPr>
        <w:pStyle w:val="Heading3"/>
      </w:pPr>
      <w:r>
        <w:t xml:space="preserve">CM5.2 Prohibited or avoided revenue</w:t>
      </w:r>
    </w:p>
    <w:p>
      <w:pPr>
        <w:numPr>
          <w:ilvl w:val="0"/>
          <w:numId w:val="1575"/>
        </w:numPr>
        <w:pStyle w:val="Compact"/>
      </w:pPr>
      <w:r>
        <w:t xml:space="preserve">Any fee charged to or collected from the tenant’s borrowers by Infrabyx; any fee linked to loan pricing, interest income or borrower charges [REC; CF para 10(4) spirit for the ecosystem].</w:t>
      </w:r>
    </w:p>
    <w:p>
      <w:pPr>
        <w:numPr>
          <w:ilvl w:val="0"/>
          <w:numId w:val="1575"/>
        </w:numPr>
        <w:pStyle w:val="Compact"/>
      </w:pPr>
      <w:r>
        <w:t xml:space="preserve">Success fees per recovered rupee, per notice or per connected collection call (conduct incentive; RBC para 100) [REC].</w:t>
      </w:r>
    </w:p>
    <w:p>
      <w:pPr>
        <w:numPr>
          <w:ilvl w:val="0"/>
          <w:numId w:val="1575"/>
        </w:numPr>
        <w:pStyle w:val="Compact"/>
      </w:pPr>
      <w:r>
        <w:t xml:space="preserve">Selling, sharing or monetising tenant data, credit information or bureau data (CICRA; CIR) or using it for group marketing (confidentiality of customer data: OUT paras 34(v), 47(i); customer disclosure of the actual provider: para 46).</w:t>
      </w:r>
    </w:p>
    <w:p>
      <w:pPr>
        <w:numPr>
          <w:ilvl w:val="0"/>
          <w:numId w:val="1575"/>
        </w:numPr>
        <w:pStyle w:val="Compact"/>
      </w:pPr>
      <w:r>
        <w:t xml:space="preserve">Third-party advertising in the core lender UI or in any borrower-facing surface.</w:t>
      </w:r>
    </w:p>
    <w:p>
      <w:pPr>
        <w:numPr>
          <w:ilvl w:val="0"/>
          <w:numId w:val="1575"/>
        </w:numPr>
        <w:pStyle w:val="Compact"/>
      </w:pPr>
      <w:r>
        <w:t xml:space="preserve">Sponsored placement or paid ranking of connectors, lenders or professionals (the advocate directory follows BCI Rule 36: no paid placement; OH9).</w:t>
      </w:r>
    </w:p>
    <w:bookmarkEnd w:id="721"/>
    <w:bookmarkStart w:id="722" w:name="cm5.3-legality-gate-per-stream"/>
    <w:p>
      <w:pPr>
        <w:pStyle w:val="Heading3"/>
      </w:pPr>
      <w:r>
        <w:t xml:space="preserve">CM5.3 Legality gate per stream</w:t>
      </w:r>
    </w:p>
    <w:p>
      <w:pPr>
        <w:pStyle w:val="FirstParagraph"/>
      </w:pPr>
      <w:r>
        <w:t xml:space="preserve">Before a stream is switched on for a market or tenant class, the Hub takes it through the OH8.3 gate (</w:t>
      </w:r>
      <w:r>
        <w:rPr>
          <w:rStyle w:val="VerbatimChar"/>
        </w:rPr>
        <w:t xml:space="preserve">DRAFT → LEGAL_REVIEW → TAX_REVIEW → OWNER_DECISION → APPROVED → ACTIVE</w:t>
      </w:r>
      <w:r>
        <w:t xml:space="preserve">) and records: legal review reference, tax treatment (GST and TDS), revenue-recognition treatment (AS 9 or Ind AS 115, per the selling entity’s framework, an owner decision under OH8.8), entitlement behaviour in Finbyx, refund and cancellation rules, disclosure text, and the approver. Finbyx mirrors gate status and refuses to display a purchase option, or to apply an entitlement, whose stream is not</w:t>
      </w:r>
      <w:r>
        <w:t xml:space="preserve"> </w:t>
      </w:r>
      <w:r>
        <w:rPr>
          <w:rStyle w:val="VerbatimChar"/>
        </w:rPr>
        <w:t xml:space="preserve">ACTIVE</w:t>
      </w:r>
      <w:r>
        <w:t xml:space="preserve">; a mismatch raises</w:t>
      </w:r>
      <w:r>
        <w:t xml:space="preserve"> </w:t>
      </w:r>
      <w:r>
        <w:rPr>
          <w:rStyle w:val="VerbatimChar"/>
        </w:rPr>
        <w:t xml:space="preserve">ComplianceIssueRaised</w:t>
      </w:r>
      <w:r>
        <w:t xml:space="preserve">.</w:t>
      </w:r>
    </w:p>
    <w:bookmarkEnd w:id="722"/>
    <w:bookmarkStart w:id="723" w:name="Xf7e9380fd14c5397d07f4fcd16349418f0175ba"/>
    <w:p>
      <w:pPr>
        <w:pStyle w:val="Heading3"/>
      </w:pPr>
      <w:r>
        <w:t xml:space="preserve">CM5.4 Self-serve funnel (legitimate automation only)</w:t>
      </w:r>
    </w:p>
    <w:p>
      <w:pPr>
        <w:numPr>
          <w:ilvl w:val="0"/>
          <w:numId w:val="1576"/>
        </w:numPr>
        <w:pStyle w:val="Compact"/>
      </w:pPr>
      <w:r>
        <w:rPr>
          <w:bCs/>
          <w:b/>
        </w:rPr>
        <w:t xml:space="preserve">Sandbox trial:</w:t>
      </w:r>
      <w:r>
        <w:t xml:space="preserve"> </w:t>
      </w:r>
      <w:r>
        <w:t xml:space="preserve">self-serve sign-up creates a sandbox tenant with synthetic data only (</w:t>
      </w:r>
      <w:r>
        <w:rPr>
          <w:rStyle w:val="VerbatimChar"/>
        </w:rPr>
        <w:t xml:space="preserve">TenantProvisioned</w:t>
      </w:r>
      <w:r>
        <w:t xml:space="preserve">, environment sandbox); no real borrower data can be uploaded (upload validators reject PAN- or Aadhaar-like data in sandbox).</w:t>
      </w:r>
    </w:p>
    <w:p>
      <w:pPr>
        <w:numPr>
          <w:ilvl w:val="0"/>
          <w:numId w:val="1576"/>
        </w:numPr>
        <w:pStyle w:val="Compact"/>
      </w:pPr>
      <w:r>
        <w:rPr>
          <w:bCs/>
          <w:b/>
        </w:rPr>
        <w:t xml:space="preserve">Activation:</w:t>
      </w:r>
      <w:r>
        <w:t xml:space="preserve"> </w:t>
      </w:r>
      <w:r>
        <w:t xml:space="preserve">guided checklist, in-product tours, factual usage nudges, recorded webinars with disclosures, automated nurture through the Hub CRM with consent.</w:t>
      </w:r>
    </w:p>
    <w:p>
      <w:pPr>
        <w:numPr>
          <w:ilvl w:val="0"/>
          <w:numId w:val="1576"/>
        </w:numPr>
        <w:pStyle w:val="Compact"/>
      </w:pPr>
      <w:r>
        <w:rPr>
          <w:bCs/>
          <w:b/>
        </w:rPr>
        <w:t xml:space="preserve">Production gate:</w:t>
      </w:r>
      <w:r>
        <w:t xml:space="preserve"> </w:t>
      </w:r>
      <w:r>
        <w:t xml:space="preserve">a production tenant is provisioned only after the signed MSA and DPA with the OUT clause matrix (Part 10.6), customer due diligence (CIN, GSTIN, RBI certificate of registration or other licence verified), and the tenant’s own outsourcing assessment where it applies; self-serve never ends in a production RE tenant without these.</w:t>
      </w:r>
    </w:p>
    <w:p>
      <w:pPr>
        <w:numPr>
          <w:ilvl w:val="0"/>
          <w:numId w:val="1576"/>
        </w:numPr>
        <w:pStyle w:val="Compact"/>
      </w:pPr>
      <w:r>
        <w:t xml:space="preserve">No fake urgency, scarcity timers, anchor prices or unverifiable testimonials (CCPA Dark Patterns Guidelines 2023; ASCI); the owner’s reference page (ptstdm.co.in, reviewed 23 Oct 2026) is a coaching-workshop funnel, not a software model to copy (Part 8A.37.1 row 6). Trials never convert to paid automatically.</w:t>
      </w:r>
    </w:p>
    <w:bookmarkEnd w:id="723"/>
    <w:bookmarkStart w:id="724" w:name="acceptance-tests-63"/>
    <w:p>
      <w:pPr>
        <w:pStyle w:val="Heading3"/>
      </w:pPr>
      <w:r>
        <w:t xml:space="preserve">Acceptance tests</w:t>
      </w:r>
    </w:p>
    <w:p>
      <w:pPr>
        <w:numPr>
          <w:ilvl w:val="0"/>
          <w:numId w:val="1577"/>
        </w:numPr>
        <w:pStyle w:val="Compact"/>
      </w:pPr>
      <w:r>
        <w:t xml:space="preserve">Switching off the</w:t>
      </w:r>
      <w:r>
        <w:t xml:space="preserve"> </w:t>
      </w:r>
      <w:r>
        <w:t xml:space="preserve">“</w:t>
      </w:r>
      <w:r>
        <w:t xml:space="preserve">monthly rental</w:t>
      </w:r>
      <w:r>
        <w:t xml:space="preserve">”</w:t>
      </w:r>
      <w:r>
        <w:t xml:space="preserve"> </w:t>
      </w:r>
      <w:r>
        <w:t xml:space="preserve">stream for a market hides that option on every Finbyx billing page for tenants in that market without a deploy.</w:t>
      </w:r>
    </w:p>
    <w:p>
      <w:pPr>
        <w:numPr>
          <w:ilvl w:val="0"/>
          <w:numId w:val="1577"/>
        </w:numPr>
        <w:pStyle w:val="Compact"/>
      </w:pPr>
      <w:r>
        <w:t xml:space="preserve">A purchase option whose stream is not</w:t>
      </w:r>
      <w:r>
        <w:t xml:space="preserve"> </w:t>
      </w:r>
      <w:r>
        <w:rPr>
          <w:rStyle w:val="VerbatimChar"/>
        </w:rPr>
        <w:t xml:space="preserve">ACTIVE</w:t>
      </w:r>
      <w:r>
        <w:t xml:space="preserve"> </w:t>
      </w:r>
      <w:r>
        <w:t xml:space="preserve">in the legality gate is not displayed and the Hub import report lists it.</w:t>
      </w:r>
    </w:p>
    <w:p>
      <w:pPr>
        <w:numPr>
          <w:ilvl w:val="0"/>
          <w:numId w:val="1577"/>
        </w:numPr>
        <w:pStyle w:val="Compact"/>
      </w:pPr>
      <w:r>
        <w:t xml:space="preserve">The vendor-announcements panel never renders inside origination, servicing, collections or recovery screens, nor in the borrower portal, and disappears when the tenant switches it off.</w:t>
      </w:r>
    </w:p>
    <w:p>
      <w:pPr>
        <w:numPr>
          <w:ilvl w:val="0"/>
          <w:numId w:val="1577"/>
        </w:numPr>
        <w:pStyle w:val="Compact"/>
      </w:pPr>
      <w:r>
        <w:t xml:space="preserve">A sandbox upload containing a valid-format PAN is rejected.</w:t>
      </w:r>
    </w:p>
    <w:p>
      <w:pPr>
        <w:numPr>
          <w:ilvl w:val="0"/>
          <w:numId w:val="1577"/>
        </w:numPr>
        <w:pStyle w:val="Compact"/>
      </w:pPr>
      <w:r>
        <w:t xml:space="preserve">A production-tenant provisioning request without a signed MSA and DPA reference is refused by the provisioning API.</w:t>
      </w:r>
    </w:p>
    <w:p>
      <w:r>
        <w:pict>
          <v:rect style="width:0;height:1.5pt" o:hralign="center" o:hrstd="t" o:hr="t"/>
        </w:pict>
      </w:r>
    </w:p>
    <w:bookmarkEnd w:id="724"/>
    <w:bookmarkEnd w:id="725"/>
    <w:bookmarkEnd w:id="726"/>
    <w:bookmarkStart w:id="767" w:name="X79d2363ab4ccd4c11892f0ade5b9a7f452cb9a5"/>
    <w:p>
      <w:pPr>
        <w:pStyle w:val="Heading1"/>
      </w:pPr>
      <w:r>
        <w:t xml:space="preserve">PART 7L — ENGINEERING OPERATIONS, ASSURANCE READINESS AND CERTIFICATIONS</w:t>
      </w:r>
    </w:p>
    <w:p>
      <w:pPr>
        <w:pStyle w:val="FirstParagraph"/>
      </w:pPr>
      <w:r>
        <w:rPr>
          <w:bCs/>
          <w:b/>
        </w:rPr>
        <w:t xml:space="preserve">Purpose.</w:t>
      </w:r>
      <w:r>
        <w:t xml:space="preserve"> </w:t>
      </w:r>
      <w:r>
        <w:t xml:space="preserve">Make the way Finbyx is built, changed, patched, backed up, tested and assured produce evidence automatically, so that tenants, their auditors, RBI and certification bodies can rely on it; and connect Finbyx to voice, AI contact-centre and Jio services through provider-neutral adapters that obey telecom, conduct and AI rules. EO1–EO5 apply to the Finbyx repository and its environments; the Operations Hub engineering console (OH13) and control library (OH14) aggregate the evidence across products. EO1 controls start in Phase 1, not at the end of the roadmap.</w:t>
      </w:r>
    </w:p>
    <w:p>
      <w:pPr>
        <w:pStyle w:val="BodyText"/>
      </w:pPr>
      <w:r>
        <w:rPr>
          <w:bCs/>
          <w:b/>
        </w:rPr>
        <w:t xml:space="preserve">Applicability.</w:t>
      </w:r>
      <w:r>
        <w:t xml:space="preserve"> </w:t>
      </w:r>
      <w:r>
        <w:t xml:space="preserve">All Finbyx code, environments and releases. The strictest tenant obligation sets the platform standard, because one multi-tenant release serves every tenant: CYB Chapter V (paras 102–147) for ML, UL and TL tenants; Chapter IV (paras 15–64) for BL ≥ ₹500 crore; Chapter III (para 8) for BL &lt; ₹500 crore and CICs; OUT for in-scope NBFCs; DPS for card-issuing tenants; CERT-In Directions (28 Apr 2022) for Infrabyx as a body corporate. EO6 applies to every tenant that switches on voice, messaging or AI contact-centre features.</w:t>
      </w:r>
    </w:p>
    <w:p>
      <w:pPr>
        <w:pStyle w:val="BodyText"/>
      </w:pPr>
      <w:r>
        <w:rPr>
          <w:bCs/>
          <w:b/>
        </w:rPr>
        <w:t xml:space="preserve">Requirement codes.</w:t>
      </w:r>
      <w:r>
        <w:t xml:space="preserve"> </w:t>
      </w:r>
      <w:r>
        <w:t xml:space="preserve">CYB, OUT, DPS, CF, RBC, M20 FREE-AI guidance,</w:t>
      </w:r>
      <w:r>
        <w:t xml:space="preserve"> </w:t>
      </w:r>
      <w:r>
        <w:rPr>
          <w:rStyle w:val="VerbatimChar"/>
        </w:rPr>
        <w:t xml:space="preserve">PCI</w:t>
      </w:r>
      <w:r>
        <w:t xml:space="preserve">,</w:t>
      </w:r>
      <w:r>
        <w:t xml:space="preserve"> </w:t>
      </w:r>
      <w:r>
        <w:rPr>
          <w:rStyle w:val="VerbatimChar"/>
        </w:rPr>
        <w:t xml:space="preserve">SOC2</w:t>
      </w:r>
      <w:r>
        <w:t xml:space="preserve">,</w:t>
      </w:r>
      <w:r>
        <w:t xml:space="preserve"> </w:t>
      </w:r>
      <w:r>
        <w:rPr>
          <w:rStyle w:val="VerbatimChar"/>
        </w:rPr>
        <w:t xml:space="preserve">ISO</w:t>
      </w:r>
      <w:r>
        <w:t xml:space="preserve">,</w:t>
      </w:r>
      <w:r>
        <w:t xml:space="preserve"> </w:t>
      </w:r>
      <w:r>
        <w:rPr>
          <w:rStyle w:val="VerbatimChar"/>
        </w:rPr>
        <w:t xml:space="preserve">TRAI</w:t>
      </w:r>
      <w:r>
        <w:t xml:space="preserve">,</w:t>
      </w:r>
      <w:r>
        <w:t xml:space="preserve"> </w:t>
      </w:r>
      <w:r>
        <w:rPr>
          <w:rStyle w:val="VerbatimChar"/>
        </w:rPr>
        <w:t xml:space="preserve">DPDP</w:t>
      </w:r>
      <w:r>
        <w:t xml:space="preserve">,</w:t>
      </w:r>
      <w:r>
        <w:t xml:space="preserve"> </w:t>
      </w:r>
      <w:r>
        <w:rPr>
          <w:rStyle w:val="VerbatimChar"/>
        </w:rPr>
        <w:t xml:space="preserve">CERTIN</w:t>
      </w:r>
      <w:r>
        <w:t xml:space="preserve"> </w:t>
      </w:r>
      <w:r>
        <w:t xml:space="preserve">(codes in Part 8A.37). REQ-ID examples:</w:t>
      </w:r>
      <w:r>
        <w:t xml:space="preserve"> </w:t>
      </w:r>
      <w:r>
        <w:rPr>
          <w:rStyle w:val="VerbatimChar"/>
        </w:rPr>
        <w:t xml:space="preserve">REQ-CYB-121</w:t>
      </w:r>
      <w:r>
        <w:t xml:space="preserve">,</w:t>
      </w:r>
      <w:r>
        <w:t xml:space="preserve"> </w:t>
      </w:r>
      <w:r>
        <w:rPr>
          <w:rStyle w:val="VerbatimChar"/>
        </w:rPr>
        <w:t xml:space="preserve">REQ-CYB-105</w:t>
      </w:r>
      <w:r>
        <w:t xml:space="preserve">,</w:t>
      </w:r>
      <w:r>
        <w:t xml:space="preserve"> </w:t>
      </w:r>
      <w:r>
        <w:rPr>
          <w:rStyle w:val="VerbatimChar"/>
        </w:rPr>
        <w:t xml:space="preserve">REQ-OUT-61</w:t>
      </w:r>
      <w:r>
        <w:t xml:space="preserve">,</w:t>
      </w:r>
      <w:r>
        <w:t xml:space="preserve"> </w:t>
      </w:r>
      <w:r>
        <w:rPr>
          <w:rStyle w:val="VerbatimChar"/>
        </w:rPr>
        <w:t xml:space="preserve">REQ-TRAI-1600-2025</w:t>
      </w:r>
      <w:r>
        <w:t xml:space="preserve">,</w:t>
      </w:r>
      <w:r>
        <w:t xml:space="preserve"> </w:t>
      </w:r>
      <w:r>
        <w:rPr>
          <w:rStyle w:val="VerbatimChar"/>
        </w:rPr>
        <w:t xml:space="preserve">REQ-RBC-100</w:t>
      </w:r>
      <w:r>
        <w:t xml:space="preserve">,</w:t>
      </w:r>
      <w:r>
        <w:t xml:space="preserve"> </w:t>
      </w:r>
      <w:r>
        <w:rPr>
          <w:rStyle w:val="VerbatimChar"/>
        </w:rPr>
        <w:t xml:space="preserve">REQ-ISO27001-A.8.32</w:t>
      </w:r>
      <w:r>
        <w:t xml:space="preserve">,</w:t>
      </w:r>
      <w:r>
        <w:t xml:space="preserve"> </w:t>
      </w:r>
      <w:r>
        <w:rPr>
          <w:rStyle w:val="VerbatimChar"/>
        </w:rPr>
        <w:t xml:space="preserve">REQ-SOC2-CC8.1</w:t>
      </w:r>
      <w:r>
        <w:t xml:space="preserve">,</w:t>
      </w:r>
      <w:r>
        <w:t xml:space="preserve"> </w:t>
      </w:r>
      <w:r>
        <w:rPr>
          <w:rStyle w:val="VerbatimChar"/>
        </w:rPr>
        <w:t xml:space="preserve">REQ-PCI-SAQA</w:t>
      </w:r>
      <w:r>
        <w:t xml:space="preserve">.</w:t>
      </w:r>
    </w:p>
    <w:p>
      <w:pPr>
        <w:pStyle w:val="BodyText"/>
      </w:pPr>
      <w:r>
        <w:rPr>
          <w:bCs/>
          <w:b/>
        </w:rPr>
        <w:t xml:space="preserve">Data owned.</w:t>
      </w:r>
      <w:r>
        <w:t xml:space="preserve"> </w:t>
      </w:r>
      <w:r>
        <w:t xml:space="preserve">Infrabyx owns engineering records (code, changes, releases, vulnerability and VAPT records, backup and drill logs, control evidence). Tenants own their configuration and data; evidence that names a tenant is shared only with that tenant. Voice and messaging records (contact attempts, recordings, transcripts) are tenant data (M18, R15).</w:t>
      </w:r>
    </w:p>
    <w:p>
      <w:pPr>
        <w:pStyle w:val="BodyText"/>
      </w:pPr>
      <w:r>
        <w:rPr>
          <w:bCs/>
          <w:b/>
        </w:rPr>
        <w:t xml:space="preserve">Extends, does not rebuild.</w:t>
      </w:r>
      <w:r>
        <w:t xml:space="preserve"> </w:t>
      </w:r>
      <w:r>
        <w:t xml:space="preserve">Part 10.3 (RPO, RTO, DR drills), 10.4 (security controls), 10.6 (vendor obligations: escrow, CYB 106 certificate, VAPT, incidents, certifications), 11.3 (Git rules: pull requests only, no direct push to</w:t>
      </w:r>
      <w:r>
        <w:t xml:space="preserve"> </w:t>
      </w:r>
      <w:r>
        <w:rPr>
          <w:rStyle w:val="VerbatimChar"/>
        </w:rPr>
        <w:t xml:space="preserve">main</w:t>
      </w:r>
      <w:r>
        <w:t xml:space="preserve">), 11.5–11.6 (definition of done, quality gates), R15.1–R15.3 (contact-policy engine, call recording, AI and voicebots), M18 (channels, DLT, consent), M20 (AI governance).</w:t>
      </w:r>
    </w:p>
    <w:p>
      <w:pPr>
        <w:pStyle w:val="BodyText"/>
      </w:pPr>
      <w:r>
        <w:rPr>
          <w:bCs/>
          <w:b/>
        </w:rPr>
        <w:t xml:space="preserve">Canonical events</w:t>
      </w:r>
      <w:r>
        <w:t xml:space="preserve"> </w:t>
      </w:r>
      <w:r>
        <w:t xml:space="preserve">(Integration Spec Parts 6.23, 6.26, 6.29). Produced by Finbyx:</w:t>
      </w:r>
      <w:r>
        <w:t xml:space="preserve"> </w:t>
      </w:r>
      <w:r>
        <w:rPr>
          <w:rStyle w:val="VerbatimChar"/>
        </w:rPr>
        <w:t xml:space="preserve">ReleasePublished</w:t>
      </w:r>
      <w:r>
        <w:t xml:space="preserve">,</w:t>
      </w:r>
      <w:r>
        <w:t xml:space="preserve"> </w:t>
      </w:r>
      <w:r>
        <w:rPr>
          <w:rStyle w:val="VerbatimChar"/>
        </w:rPr>
        <w:t xml:space="preserve">ControlEvidenceCollected</w:t>
      </w:r>
      <w:r>
        <w:t xml:space="preserve">,</w:t>
      </w:r>
      <w:r>
        <w:t xml:space="preserve"> </w:t>
      </w:r>
      <w:r>
        <w:rPr>
          <w:rStyle w:val="VerbatimChar"/>
        </w:rPr>
        <w:t xml:space="preserve">BackupCompleted</w:t>
      </w:r>
      <w:r>
        <w:t xml:space="preserve"> </w:t>
      </w:r>
      <w:r>
        <w:t xml:space="preserve">(type PLATFORM for platform backups),</w:t>
      </w:r>
      <w:r>
        <w:t xml:space="preserve"> </w:t>
      </w:r>
      <w:r>
        <w:rPr>
          <w:rStyle w:val="VerbatimChar"/>
        </w:rPr>
        <w:t xml:space="preserve">RestoreTested</w:t>
      </w:r>
      <w:r>
        <w:t xml:space="preserve"> </w:t>
      </w:r>
      <w:r>
        <w:t xml:space="preserve">and</w:t>
      </w:r>
      <w:r>
        <w:t xml:space="preserve"> </w:t>
      </w:r>
      <w:r>
        <w:rPr>
          <w:rStyle w:val="VerbatimChar"/>
        </w:rPr>
        <w:t xml:space="preserve">AccessReviewCompleted</w:t>
      </w:r>
      <w:r>
        <w:t xml:space="preserve">, consumed by OH13 and OH14 and, where the evidence names a tenant, by that tenant’s compliance destination.</w:t>
      </w:r>
      <w:r>
        <w:t xml:space="preserve"> </w:t>
      </w:r>
      <w:r>
        <w:rPr>
          <w:rStyle w:val="VerbatimChar"/>
        </w:rPr>
        <w:t xml:space="preserve">AccessReviewCompleted</w:t>
      </w:r>
      <w:r>
        <w:t xml:space="preserve"> </w:t>
      </w:r>
      <w:r>
        <w:t xml:space="preserve">is routed by</w:t>
      </w:r>
      <w:r>
        <w:t xml:space="preserve"> </w:t>
      </w:r>
      <w:r>
        <w:rPr>
          <w:rStyle w:val="VerbatimChar"/>
        </w:rPr>
        <w:t xml:space="preserve">review_scope</w:t>
      </w:r>
      <w:r>
        <w:t xml:space="preserve">: PLATFORM (Infrabyx staff access to Finbyx production) to OH13 and OH14; TENANT (the tenant’s own reviews, GV5.1) only to the tenant’s compliance destination. Consumed by Finbyx:</w:t>
      </w:r>
      <w:r>
        <w:t xml:space="preserve"> </w:t>
      </w:r>
      <w:r>
        <w:rPr>
          <w:rStyle w:val="VerbatimChar"/>
        </w:rPr>
        <w:t xml:space="preserve">ChangeApproved</w:t>
      </w:r>
      <w:r>
        <w:t xml:space="preserve"> </w:t>
      </w:r>
      <w:r>
        <w:t xml:space="preserve">from the OH13 CAB record, which the deployment gate requires (EO2.2).</w:t>
      </w:r>
    </w:p>
    <w:p>
      <w:r>
        <w:pict>
          <v:rect style="width:0;height:1.5pt" o:hralign="center" o:hrstd="t" o:hr="t"/>
        </w:pict>
      </w:r>
    </w:p>
    <w:bookmarkStart w:id="734" w:name="Xdd5df167a974740bf4480d600a36a4ae963b1ac"/>
    <w:p>
      <w:pPr>
        <w:pStyle w:val="Heading2"/>
      </w:pPr>
      <w:r>
        <w:t xml:space="preserve">EO1. Repository, branching and release controls (GitHub)</w:t>
      </w:r>
    </w:p>
    <w:bookmarkStart w:id="727" w:name="eo1.1-plan-and-repository-model"/>
    <w:p>
      <w:pPr>
        <w:pStyle w:val="Heading3"/>
      </w:pPr>
      <w:r>
        <w:t xml:space="preserve">EO1.1 Plan and repository model</w:t>
      </w:r>
    </w:p>
    <w:p>
      <w:pPr>
        <w:numPr>
          <w:ilvl w:val="0"/>
          <w:numId w:val="1578"/>
        </w:numPr>
        <w:pStyle w:val="Compact"/>
      </w:pPr>
      <w:r>
        <w:rPr>
          <w:bCs/>
          <w:b/>
        </w:rPr>
        <w:t xml:space="preserve">GitHub Team plan, private repositories</w:t>
      </w:r>
      <w:r>
        <w:t xml:space="preserve"> </w:t>
      </w:r>
      <w:r>
        <w:t xml:space="preserve">(owner decision recorded; upgrade to Enterprise Cloud is a decision gate, see EO1.5). Repositories:</w:t>
      </w:r>
      <w:r>
        <w:t xml:space="preserve"> </w:t>
      </w:r>
      <w:r>
        <w:rPr>
          <w:rStyle w:val="VerbatimChar"/>
        </w:rPr>
        <w:t xml:space="preserve">finbyx</w:t>
      </w:r>
      <w:r>
        <w:t xml:space="preserve"> </w:t>
      </w:r>
      <w:r>
        <w:t xml:space="preserve">(monorepo, Part 10.1),</w:t>
      </w:r>
      <w:r>
        <w:t xml:space="preserve"> </w:t>
      </w:r>
      <w:r>
        <w:rPr>
          <w:rStyle w:val="VerbatimChar"/>
        </w:rPr>
        <w:t xml:space="preserve">finbyx-infra</w:t>
      </w:r>
      <w:r>
        <w:t xml:space="preserve"> </w:t>
      </w:r>
      <w:r>
        <w:t xml:space="preserve">(IaC),</w:t>
      </w:r>
      <w:r>
        <w:t xml:space="preserve"> </w:t>
      </w:r>
      <w:r>
        <w:rPr>
          <w:rStyle w:val="VerbatimChar"/>
        </w:rPr>
        <w:t xml:space="preserve">finbyx-escrow</w:t>
      </w:r>
      <w:r>
        <w:t xml:space="preserve"> </w:t>
      </w:r>
      <w:r>
        <w:t xml:space="preserve">(mirror for the escrow agent, CYB para 105). Organisation-wide: SSO-linked accounts, 2FA required, base permission</w:t>
      </w:r>
      <w:r>
        <w:t xml:space="preserve"> </w:t>
      </w:r>
      <w:r>
        <w:t xml:space="preserve">“</w:t>
      </w:r>
      <w:r>
        <w:t xml:space="preserve">none</w:t>
      </w:r>
      <w:r>
        <w:t xml:space="preserve">”</w:t>
      </w:r>
      <w:r>
        <w:t xml:space="preserve">, teams per domain, no personal access tokens with organisation access except fine-grained ones with expiry.</w:t>
      </w:r>
    </w:p>
    <w:p>
      <w:pPr>
        <w:numPr>
          <w:ilvl w:val="0"/>
          <w:numId w:val="1578"/>
        </w:numPr>
        <w:pStyle w:val="Compact"/>
      </w:pPr>
      <w:r>
        <w:rPr>
          <w:bCs/>
          <w:b/>
        </w:rPr>
        <w:t xml:space="preserve">Branching:</w:t>
      </w:r>
      <w:r>
        <w:t xml:space="preserve"> </w:t>
      </w:r>
      <w:r>
        <w:t xml:space="preserve">trunk-based; short-lived</w:t>
      </w:r>
      <w:r>
        <w:t xml:space="preserv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chore/</w:t>
      </w:r>
      <w:r>
        <w:t xml:space="preserve"> </w:t>
      </w:r>
      <w:r>
        <w:t xml:space="preserve">branches;</w:t>
      </w:r>
      <w:r>
        <w:t xml:space="preserve"> </w:t>
      </w:r>
      <w:r>
        <w:rPr>
          <w:rStyle w:val="VerbatimChar"/>
        </w:rPr>
        <w:t xml:space="preserve">hotfix/</w:t>
      </w:r>
      <w:r>
        <w:t xml:space="preserve"> </w:t>
      </w:r>
      <w:r>
        <w:t xml:space="preserve">from the release tag;</w:t>
      </w:r>
      <w:r>
        <w:t xml:space="preserve"> </w:t>
      </w:r>
      <w:r>
        <w:rPr>
          <w:rStyle w:val="VerbatimChar"/>
        </w:rPr>
        <w:t xml:space="preserve">release/x.y</w:t>
      </w:r>
      <w:r>
        <w:t xml:space="preserve"> </w:t>
      </w:r>
      <w:r>
        <w:t xml:space="preserve">only for release lines still supported for dedicated deployments; no long-lived</w:t>
      </w:r>
      <w:r>
        <w:t xml:space="preserve"> </w:t>
      </w:r>
      <w:r>
        <w:rPr>
          <w:rStyle w:val="VerbatimChar"/>
        </w:rPr>
        <w:t xml:space="preserve">develop</w:t>
      </w:r>
      <w:r>
        <w:t xml:space="preserve">. Tags</w:t>
      </w:r>
      <w:r>
        <w:t xml:space="preserve"> </w:t>
      </w:r>
      <w:r>
        <w:rPr>
          <w:rStyle w:val="VerbatimChar"/>
        </w:rPr>
        <w:t xml:space="preserve">vX.Y.Z</w:t>
      </w:r>
      <w:r>
        <w:t xml:space="preserve"> </w:t>
      </w:r>
      <w:r>
        <w:t xml:space="preserve">are signed.</w:t>
      </w:r>
    </w:p>
    <w:bookmarkEnd w:id="727"/>
    <w:bookmarkStart w:id="728" w:name="eo1.2-rulesets"/>
    <w:p>
      <w:pPr>
        <w:pStyle w:val="Heading3"/>
      </w:pPr>
      <w:r>
        <w:t xml:space="preserve">EO1.2 Rulesets</w:t>
      </w:r>
    </w:p>
    <w:p>
      <w:pPr>
        <w:pStyle w:val="FirstParagraph"/>
      </w:pPr>
      <w:r>
        <w:t xml:space="preserve">Rulesets (available for private repositories on Team) [VEND]: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00"/>
        <w:gridCol w:w="8238"/>
      </w:tblGrid>
      <w:tr>
        <w:trPr>
          <w:tblHeader w:val="true"/>
          <w:tblHeader w:val="true"/>
        </w:trPr>
        <w:tc>
          <w:tcPr>
            <w:tcW w:w="1400" w:type="dxa"/>
            <w:shd w:val="clear" w:color="auto" w:fill="1F3A5F"/>
          </w:tcPr>
          <w:p>
            <w:pPr>
              <w:pStyle w:val="Compact"/>
              <w:spacing w:after="40"/>
              <w:jc w:val="left"/>
            </w:pPr>
            <w:r>
              <w:rPr>
                <w:b/>
                <w:color w:val="FFFFFF"/>
                <w:sz w:val="18"/>
              </w:rPr>
              <w:t xml:space="preserve">Target</w:t>
            </w:r>
          </w:p>
        </w:tc>
        <w:tc>
          <w:tcPr>
            <w:tcW w:w="8238" w:type="dxa"/>
            <w:shd w:val="clear" w:color="auto" w:fill="1F3A5F"/>
          </w:tcPr>
          <w:p>
            <w:pPr>
              <w:pStyle w:val="Compact"/>
              <w:spacing w:after="40"/>
              <w:jc w:val="left"/>
            </w:pPr>
            <w:r>
              <w:rPr>
                <w:b/>
                <w:color w:val="FFFFFF"/>
                <w:sz w:val="18"/>
              </w:rPr>
              <w:t xml:space="preserve">Rules</w:t>
            </w:r>
          </w:p>
        </w:tc>
      </w:tr>
      <w:tr>
        <w:tc>
          <w:tcPr>
            <w:tcW w:w="1400" w:type="dxa"/>
          </w:tcPr>
          <w:p>
            <w:pPr>
              <w:pStyle w:val="Compact"/>
              <w:spacing w:after="40"/>
              <w:jc w:val="left"/>
            </w:pPr>
            <w:r>
              <w:rPr>
                <w:rStyle w:val="VerbatimChar"/>
                <w:sz w:val="18"/>
              </w:rPr>
              <w:t xml:space="preserve">main</w:t>
            </w:r>
          </w:p>
        </w:tc>
        <w:tc>
          <w:tcPr>
            <w:tcW w:w="8238" w:type="dxa"/>
          </w:tcPr>
          <w:p>
            <w:pPr>
              <w:pStyle w:val="Compact"/>
              <w:spacing w:after="40"/>
              <w:jc w:val="left"/>
            </w:pPr>
            <w:r>
              <w:rPr>
                <w:sz w:val="18"/>
              </w:rPr>
              <w:t xml:space="preserve">Restrict deletions; block force pushes; require linear history; require signed commits; pull request required with ≥ 1 approval; dismiss stale approvals on new commits; approval of the most recent push by someone other than the pusher; code-owner review required; conversation resolution required; required status checks (below);</w:t>
            </w:r>
            <w:r>
              <w:rPr>
                <w:sz w:val="18"/>
              </w:rPr>
              <w:t xml:space="preserve"> </w:t>
            </w:r>
            <w:r>
              <w:rPr>
                <w:rStyle w:val="VerbatimChar"/>
                <w:sz w:val="18"/>
              </w:rPr>
              <w:t xml:space="preserve">staging</w:t>
            </w:r>
            <w:r>
              <w:rPr>
                <w:sz w:val="18"/>
              </w:rPr>
              <w:t xml:space="preserve"> </w:t>
            </w:r>
            <w:r>
              <w:rPr>
                <w:sz w:val="18"/>
              </w:rPr>
              <w:t xml:space="preserve">deployment must succeed before merge; bypass list empty (emergency changes use EO2.4, not a bypass)</w:t>
            </w:r>
          </w:p>
        </w:tc>
      </w:tr>
      <w:tr>
        <w:tc>
          <w:tcPr>
            <w:tcW w:w="1400" w:type="dxa"/>
          </w:tcPr>
          <w:p>
            <w:pPr>
              <w:pStyle w:val="Compact"/>
              <w:spacing w:after="40"/>
              <w:jc w:val="left"/>
            </w:pPr>
            <w:r>
              <w:rPr>
                <w:rStyle w:val="VerbatimChar"/>
                <w:sz w:val="18"/>
              </w:rPr>
              <w:t xml:space="preserve">release/*</w:t>
            </w:r>
          </w:p>
        </w:tc>
        <w:tc>
          <w:tcPr>
            <w:tcW w:w="8238" w:type="dxa"/>
          </w:tcPr>
          <w:p>
            <w:pPr>
              <w:pStyle w:val="Compact"/>
              <w:spacing w:after="40"/>
              <w:jc w:val="left"/>
            </w:pPr>
            <w:r>
              <w:rPr>
                <w:sz w:val="18"/>
              </w:rPr>
              <w:t xml:space="preserve">As</w:t>
            </w:r>
            <w:r>
              <w:rPr>
                <w:sz w:val="18"/>
              </w:rPr>
              <w:t xml:space="preserve"> </w:t>
            </w:r>
            <w:r>
              <w:rPr>
                <w:rStyle w:val="VerbatimChar"/>
                <w:sz w:val="18"/>
              </w:rPr>
              <w:t xml:space="preserve">main</w:t>
            </w:r>
            <w:r>
              <w:rPr>
                <w:sz w:val="18"/>
              </w:rPr>
              <w:t xml:space="preserve">, plus only</w:t>
            </w:r>
            <w:r>
              <w:rPr>
                <w:sz w:val="18"/>
              </w:rPr>
              <w:t xml:space="preserve"> </w:t>
            </w:r>
            <w:r>
              <w:rPr>
                <w:rStyle w:val="VerbatimChar"/>
                <w:sz w:val="18"/>
              </w:rPr>
              <w:t xml:space="preserve">hotfix/</w:t>
            </w:r>
            <w:r>
              <w:rPr>
                <w:sz w:val="18"/>
              </w:rPr>
              <w:t xml:space="preserve"> </w:t>
            </w:r>
            <w:r>
              <w:rPr>
                <w:sz w:val="18"/>
              </w:rPr>
              <w:t xml:space="preserve">merges; 2 approvals</w:t>
            </w:r>
          </w:p>
        </w:tc>
      </w:tr>
      <w:tr>
        <w:tc>
          <w:tcPr>
            <w:tcW w:w="1400" w:type="dxa"/>
          </w:tcPr>
          <w:p>
            <w:pPr>
              <w:pStyle w:val="Compact"/>
              <w:spacing w:after="40"/>
              <w:jc w:val="left"/>
            </w:pPr>
            <w:r>
              <w:rPr>
                <w:sz w:val="18"/>
              </w:rPr>
              <w:t xml:space="preserve">Tags</w:t>
            </w:r>
            <w:r>
              <w:rPr>
                <w:sz w:val="18"/>
              </w:rPr>
              <w:t xml:space="preserve"> </w:t>
            </w:r>
            <w:r>
              <w:rPr>
                <w:rStyle w:val="VerbatimChar"/>
                <w:sz w:val="18"/>
              </w:rPr>
              <w:t xml:space="preserve">v*</w:t>
            </w:r>
          </w:p>
        </w:tc>
        <w:tc>
          <w:tcPr>
            <w:tcW w:w="8238" w:type="dxa"/>
          </w:tcPr>
          <w:p>
            <w:pPr>
              <w:pStyle w:val="Compact"/>
              <w:spacing w:after="40"/>
              <w:jc w:val="left"/>
            </w:pPr>
            <w:r>
              <w:rPr>
                <w:sz w:val="18"/>
              </w:rPr>
              <w:t xml:space="preserve">Restrict creation to the release workflow identity; restrict update and deletion</w:t>
            </w:r>
          </w:p>
        </w:tc>
      </w:tr>
    </w:tbl>
    <w:p>
      <w:pPr>
        <w:pStyle w:val="BodyText"/>
      </w:pPr>
      <w:r>
        <w:rPr>
          <w:bCs/>
          <w:b/>
        </w:rPr>
        <w:t xml:space="preserve">Required status checks:</w:t>
      </w:r>
      <w:r>
        <w:t xml:space="preserve"> </w:t>
      </w:r>
      <w:r>
        <w:t xml:space="preserve">lint and typecheck; unit and property-based tests; integration (Testcontainers); contract tests (Pact) and Integration Spec schema compatibility; migration dry-run with expand-and-contract lint (Part 11.6); golden-case suite (Part 11.2); tenant-isolation and IDOR tests (Part 10.4); dependency and licence scan; CodeQL; secret scan; SBOM generation; PII-in-logs and card-pattern scanner; Office and PDF/A rendering check (Part 7J DP1.4); workflow lint for GitHub Actions (for example zizmor).</w:t>
      </w:r>
    </w:p>
    <w:p>
      <w:pPr>
        <w:pStyle w:val="BodyText"/>
      </w:pPr>
      <w:r>
        <w:rPr>
          <w:bCs/>
          <w:b/>
        </w:rPr>
        <w:t xml:space="preserve">Two approvals for sensitive paths.</w:t>
      </w:r>
      <w:r>
        <w:t xml:space="preserve"> </w:t>
      </w:r>
      <w:r>
        <w:t xml:space="preserve">Rulesets set one approval count per branch, so a required check (</w:t>
      </w:r>
      <w:r>
        <w:rPr>
          <w:rStyle w:val="VerbatimChar"/>
        </w:rPr>
        <w:t xml:space="preserve">sensitive-path-approvals</w:t>
      </w:r>
      <w:r>
        <w:t xml:space="preserve">) counts distinct approving code owners when a pull request touches the paths below and fails below two [REC].</w:t>
      </w:r>
    </w:p>
    <w:bookmarkEnd w:id="728"/>
    <w:bookmarkStart w:id="729" w:name="eo1.3-codeowners"/>
    <w:p>
      <w:pPr>
        <w:pStyle w:val="Heading3"/>
      </w:pPr>
      <w:r>
        <w:t xml:space="preserve">EO1.3 CODEOWNERS</w:t>
      </w:r>
    </w:p>
    <w:p>
      <w:pPr>
        <w:pStyle w:val="SourceCode"/>
      </w:pPr>
      <w:r>
        <w:rPr>
          <w:rStyle w:val="VerbatimChar"/>
        </w:rPr>
        <w:t xml:space="preserve">/packages/domain-kernel/      @infrabyx/ledger-owners</w:t>
      </w:r>
      <w:r>
        <w:br/>
      </w:r>
      <w:r>
        <w:rPr>
          <w:rStyle w:val="VerbatimChar"/>
        </w:rPr>
        <w:t xml:space="preserve">/modules/ledger/ /modules/accounting/ /modules/schedule/   @infrabyx/ledger-owners</w:t>
      </w:r>
      <w:r>
        <w:br/>
      </w:r>
      <w:r>
        <w:rPr>
          <w:rStyle w:val="VerbatimChar"/>
        </w:rPr>
        <w:t xml:space="preserve">/migrations/                  @infrabyx/db-owners @infrabyx/ledger-owners</w:t>
      </w:r>
      <w:r>
        <w:br/>
      </w:r>
      <w:r>
        <w:rPr>
          <w:rStyle w:val="VerbatimChar"/>
        </w:rPr>
        <w:t xml:space="preserve">/modules/iam/ /modules/auth/  @infrabyx/security-owners</w:t>
      </w:r>
      <w:r>
        <w:br/>
      </w:r>
      <w:r>
        <w:rPr>
          <w:rStyle w:val="VerbatimChar"/>
        </w:rPr>
        <w:t xml:space="preserve">/modules/billing/ /modules/payments/   @infrabyx/payments-owners @infrabyx/security-owners</w:t>
      </w:r>
      <w:r>
        <w:br/>
      </w:r>
      <w:r>
        <w:rPr>
          <w:rStyle w:val="VerbatimChar"/>
        </w:rPr>
        <w:t xml:space="preserve">/rule-packs/ /packages/recovery-rules/ /modules/returns/ /modules/bureau/   @infrabyx/regulatory-owners</w:t>
      </w:r>
      <w:r>
        <w:br/>
      </w:r>
      <w:r>
        <w:rPr>
          <w:rStyle w:val="VerbatimChar"/>
        </w:rPr>
        <w:t xml:space="preserve">/modules/audit-trail/         @infrabyx/security-owners @infrabyx/regulatory-owners</w:t>
      </w:r>
      <w:r>
        <w:br/>
      </w:r>
      <w:r>
        <w:rPr>
          <w:rStyle w:val="VerbatimChar"/>
        </w:rPr>
        <w:t xml:space="preserve">/infra/ /.github/             @infrabyx/platform-owners @infrabyx/security-owners</w:t>
      </w:r>
      <w:r>
        <w:br/>
      </w:r>
      <w:r>
        <w:rPr>
          <w:rStyle w:val="VerbatimChar"/>
        </w:rPr>
        <w:t xml:space="preserve">/docs/regulations/ /docs/compliance/   @infrabyx/regulatory-owners</w:t>
      </w:r>
    </w:p>
    <w:p>
      <w:pPr>
        <w:pStyle w:val="FirstParagraph"/>
      </w:pPr>
      <w:r>
        <w:t xml:space="preserve">A CI check fails if any file under</w:t>
      </w:r>
      <w:r>
        <w:t xml:space="preserve"> </w:t>
      </w:r>
      <w:r>
        <w:rPr>
          <w:rStyle w:val="VerbatimChar"/>
        </w:rPr>
        <w:t xml:space="preserve">/modules/</w:t>
      </w:r>
      <w:r>
        <w:t xml:space="preserve"> </w:t>
      </w:r>
      <w:r>
        <w:t xml:space="preserve">or</w:t>
      </w:r>
      <w:r>
        <w:t xml:space="preserve"> </w:t>
      </w:r>
      <w:r>
        <w:rPr>
          <w:rStyle w:val="VerbatimChar"/>
        </w:rPr>
        <w:t xml:space="preserve">/packages/</w:t>
      </w:r>
      <w:r>
        <w:t xml:space="preserve"> </w:t>
      </w:r>
      <w:r>
        <w:t xml:space="preserve">has no owner. Team names are placeholders for the Phase 1 setup.</w:t>
      </w:r>
    </w:p>
    <w:bookmarkEnd w:id="729"/>
    <w:bookmarkStart w:id="730" w:name="eo1.4-commits-workflows-and-environments"/>
    <w:p>
      <w:pPr>
        <w:pStyle w:val="Heading3"/>
      </w:pPr>
      <w:r>
        <w:t xml:space="preserve">EO1.4 Commits, workflows and environments</w:t>
      </w:r>
    </w:p>
    <w:p>
      <w:pPr>
        <w:numPr>
          <w:ilvl w:val="0"/>
          <w:numId w:val="1579"/>
        </w:numPr>
        <w:pStyle w:val="Compact"/>
      </w:pPr>
      <w:r>
        <w:rPr>
          <w:bCs/>
          <w:b/>
        </w:rPr>
        <w:t xml:space="preserve">Signed commits:</w:t>
      </w:r>
      <w:r>
        <w:t xml:space="preserve"> </w:t>
      </w:r>
      <w:r>
        <w:t xml:space="preserve">SSH or GPG signing keys registered per engineer; vigilant mode for maintainers; bot commits signed by GitHub.</w:t>
      </w:r>
    </w:p>
    <w:p>
      <w:pPr>
        <w:numPr>
          <w:ilvl w:val="0"/>
          <w:numId w:val="1579"/>
        </w:numPr>
        <w:pStyle w:val="Compact"/>
      </w:pPr>
      <w:r>
        <w:rPr>
          <w:bCs/>
          <w:b/>
        </w:rPr>
        <w:t xml:space="preserve">Actions hardening:</w:t>
      </w:r>
      <w:r>
        <w:t xml:space="preserve"> </w:t>
      </w:r>
      <w:r>
        <w:t xml:space="preserve">third-party actions pinned to full commit SHA (Dependabot updates them); default</w:t>
      </w:r>
      <w:r>
        <w:t xml:space="preserve"> </w:t>
      </w:r>
      <w:r>
        <w:rPr>
          <w:rStyle w:val="VerbatimChar"/>
        </w:rPr>
        <w:t xml:space="preserve">permissions: contents: read</w:t>
      </w:r>
      <w:r>
        <w:t xml:space="preserve">; no</w:t>
      </w:r>
      <w:r>
        <w:t xml:space="preserve"> </w:t>
      </w:r>
      <w:r>
        <w:rPr>
          <w:rStyle w:val="VerbatimChar"/>
        </w:rPr>
        <w:t xml:space="preserve">pull_request_target</w:t>
      </w:r>
      <w:r>
        <w:t xml:space="preserve"> </w:t>
      </w:r>
      <w:r>
        <w:t xml:space="preserve">that checks out pull-request code; no secrets to forked pull requests; GitHub OIDC to AWS with the trust policy pinned to repository, branch or tag and environment; no long-lived cloud keys in GitHub; self-hosted runners only ephemeral, in the Infrabyx AWS India account, never shared with untrusted repositories.</w:t>
      </w:r>
    </w:p>
    <w:p>
      <w:pPr>
        <w:numPr>
          <w:ilvl w:val="0"/>
          <w:numId w:val="1579"/>
        </w:numPr>
        <w:pStyle w:val="Compact"/>
      </w:pPr>
      <w:r>
        <w:rPr>
          <w:bCs/>
          <w:b/>
        </w:rPr>
        <w:t xml:space="preserve">Environments: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44"/>
        <w:gridCol w:w="2918"/>
        <w:gridCol w:w="1759"/>
        <w:gridCol w:w="3717"/>
      </w:tblGrid>
      <w:tr>
        <w:trPr>
          <w:tblHeader w:val="true"/>
          <w:tblHeader w:val="true"/>
        </w:trPr>
        <w:tc>
          <w:tcPr>
            <w:tcW w:w="1244" w:type="dxa"/>
            <w:shd w:val="clear" w:color="auto" w:fill="1F3A5F"/>
          </w:tcPr>
          <w:p>
            <w:pPr>
              <w:pStyle w:val="Compact"/>
              <w:spacing w:after="40"/>
              <w:jc w:val="left"/>
            </w:pPr>
            <w:r>
              <w:rPr>
                <w:b/>
                <w:color w:val="FFFFFF"/>
                <w:sz w:val="18"/>
              </w:rPr>
              <w:t xml:space="preserve">Environment</w:t>
            </w:r>
          </w:p>
        </w:tc>
        <w:tc>
          <w:tcPr>
            <w:tcW w:w="2918" w:type="dxa"/>
            <w:shd w:val="clear" w:color="auto" w:fill="1F3A5F"/>
          </w:tcPr>
          <w:p>
            <w:pPr>
              <w:pStyle w:val="Compact"/>
              <w:spacing w:after="40"/>
              <w:jc w:val="left"/>
            </w:pPr>
            <w:r>
              <w:rPr>
                <w:b/>
                <w:color w:val="FFFFFF"/>
                <w:sz w:val="18"/>
              </w:rPr>
              <w:t xml:space="preserve">Data</w:t>
            </w:r>
          </w:p>
        </w:tc>
        <w:tc>
          <w:tcPr>
            <w:tcW w:w="1759" w:type="dxa"/>
            <w:shd w:val="clear" w:color="auto" w:fill="1F3A5F"/>
          </w:tcPr>
          <w:p>
            <w:pPr>
              <w:pStyle w:val="Compact"/>
              <w:spacing w:after="40"/>
              <w:jc w:val="left"/>
            </w:pPr>
            <w:r>
              <w:rPr>
                <w:b/>
                <w:color w:val="FFFFFF"/>
                <w:sz w:val="18"/>
              </w:rPr>
              <w:t xml:space="preserve">Deploys from</w:t>
            </w:r>
          </w:p>
        </w:tc>
        <w:tc>
          <w:tcPr>
            <w:tcW w:w="3717" w:type="dxa"/>
            <w:shd w:val="clear" w:color="auto" w:fill="1F3A5F"/>
          </w:tcPr>
          <w:p>
            <w:pPr>
              <w:pStyle w:val="Compact"/>
              <w:spacing w:after="40"/>
              <w:jc w:val="left"/>
            </w:pPr>
            <w:r>
              <w:rPr>
                <w:b/>
                <w:color w:val="FFFFFF"/>
                <w:sz w:val="18"/>
              </w:rPr>
              <w:t xml:space="preserve">Protection</w:t>
            </w:r>
          </w:p>
        </w:tc>
      </w:tr>
      <w:tr>
        <w:tc>
          <w:tcPr>
            <w:tcW w:w="1244" w:type="dxa"/>
          </w:tcPr>
          <w:p>
            <w:pPr>
              <w:pStyle w:val="Compact"/>
              <w:spacing w:after="40"/>
              <w:jc w:val="left"/>
            </w:pPr>
            <w:r>
              <w:rPr>
                <w:rStyle w:val="VerbatimChar"/>
                <w:sz w:val="18"/>
              </w:rPr>
              <w:t xml:space="preserve">dev</w:t>
            </w:r>
          </w:p>
        </w:tc>
        <w:tc>
          <w:tcPr>
            <w:tcW w:w="2918" w:type="dxa"/>
          </w:tcPr>
          <w:p>
            <w:pPr>
              <w:pStyle w:val="Compact"/>
              <w:spacing w:after="40"/>
              <w:jc w:val="left"/>
            </w:pPr>
            <w:r>
              <w:rPr>
                <w:sz w:val="18"/>
              </w:rPr>
              <w:t xml:space="preserve">Synthetic</w:t>
            </w:r>
          </w:p>
        </w:tc>
        <w:tc>
          <w:tcPr>
            <w:tcW w:w="1759" w:type="dxa"/>
          </w:tcPr>
          <w:p>
            <w:pPr>
              <w:pStyle w:val="Compact"/>
              <w:spacing w:after="40"/>
              <w:jc w:val="left"/>
            </w:pPr>
            <w:r>
              <w:rPr>
                <w:sz w:val="18"/>
              </w:rPr>
              <w:t xml:space="preserve">Any branch</w:t>
            </w:r>
          </w:p>
        </w:tc>
        <w:tc>
          <w:tcPr>
            <w:tcW w:w="3717" w:type="dxa"/>
          </w:tcPr>
          <w:p>
            <w:pPr>
              <w:pStyle w:val="Compact"/>
              <w:spacing w:after="40"/>
              <w:jc w:val="left"/>
            </w:pPr>
            <w:r>
              <w:rPr>
                <w:sz w:val="18"/>
              </w:rPr>
              <w:t xml:space="preserve">None beyond CI</w:t>
            </w:r>
          </w:p>
        </w:tc>
      </w:tr>
      <w:tr>
        <w:tc>
          <w:tcPr>
            <w:tcW w:w="1244" w:type="dxa"/>
          </w:tcPr>
          <w:p>
            <w:pPr>
              <w:pStyle w:val="Compact"/>
              <w:spacing w:after="40"/>
              <w:jc w:val="left"/>
            </w:pPr>
            <w:r>
              <w:rPr>
                <w:rStyle w:val="VerbatimChar"/>
                <w:sz w:val="18"/>
              </w:rPr>
              <w:t xml:space="preserve">staging</w:t>
            </w:r>
          </w:p>
        </w:tc>
        <w:tc>
          <w:tcPr>
            <w:tcW w:w="2918" w:type="dxa"/>
          </w:tcPr>
          <w:p>
            <w:pPr>
              <w:pStyle w:val="Compact"/>
              <w:spacing w:after="40"/>
              <w:jc w:val="left"/>
            </w:pPr>
            <w:r>
              <w:rPr>
                <w:sz w:val="18"/>
              </w:rPr>
              <w:t xml:space="preserve">Synthetic</w:t>
            </w:r>
          </w:p>
        </w:tc>
        <w:tc>
          <w:tcPr>
            <w:tcW w:w="1759" w:type="dxa"/>
          </w:tcPr>
          <w:p>
            <w:pPr>
              <w:pStyle w:val="Compact"/>
              <w:spacing w:after="40"/>
              <w:jc w:val="left"/>
            </w:pPr>
            <w:r>
              <w:rPr>
                <w:rStyle w:val="VerbatimChar"/>
                <w:sz w:val="18"/>
              </w:rPr>
              <w:t xml:space="preserve">main</w:t>
            </w:r>
          </w:p>
        </w:tc>
        <w:tc>
          <w:tcPr>
            <w:tcW w:w="3717" w:type="dxa"/>
          </w:tcPr>
          <w:p>
            <w:pPr>
              <w:pStyle w:val="Compact"/>
              <w:spacing w:after="40"/>
              <w:jc w:val="left"/>
            </w:pPr>
            <w:r>
              <w:rPr>
                <w:sz w:val="18"/>
              </w:rPr>
              <w:t xml:space="preserve">Automatic after merge</w:t>
            </w:r>
          </w:p>
        </w:tc>
      </w:tr>
      <w:tr>
        <w:tc>
          <w:tcPr>
            <w:tcW w:w="1244" w:type="dxa"/>
          </w:tcPr>
          <w:p>
            <w:pPr>
              <w:pStyle w:val="Compact"/>
              <w:spacing w:after="40"/>
              <w:jc w:val="left"/>
            </w:pPr>
            <w:r>
              <w:rPr>
                <w:rStyle w:val="VerbatimChar"/>
                <w:sz w:val="18"/>
              </w:rPr>
              <w:t xml:space="preserve">uat-[tenant]</w:t>
            </w:r>
          </w:p>
        </w:tc>
        <w:tc>
          <w:tcPr>
            <w:tcW w:w="2918" w:type="dxa"/>
          </w:tcPr>
          <w:p>
            <w:pPr>
              <w:pStyle w:val="Compact"/>
              <w:spacing w:after="40"/>
              <w:jc w:val="left"/>
            </w:pPr>
            <w:r>
              <w:rPr>
                <w:sz w:val="18"/>
              </w:rPr>
              <w:t xml:space="preserve">Synthetic, or irreversibly anonymised with tenant and DPO approval</w:t>
            </w:r>
          </w:p>
        </w:tc>
        <w:tc>
          <w:tcPr>
            <w:tcW w:w="1759" w:type="dxa"/>
          </w:tcPr>
          <w:p>
            <w:pPr>
              <w:pStyle w:val="Compact"/>
              <w:spacing w:after="40"/>
              <w:jc w:val="left"/>
            </w:pPr>
            <w:r>
              <w:rPr>
                <w:sz w:val="18"/>
              </w:rPr>
              <w:t xml:space="preserve">Signed tags</w:t>
            </w:r>
          </w:p>
        </w:tc>
        <w:tc>
          <w:tcPr>
            <w:tcW w:w="3717" w:type="dxa"/>
          </w:tcPr>
          <w:p>
            <w:pPr>
              <w:pStyle w:val="Compact"/>
              <w:spacing w:after="40"/>
              <w:jc w:val="left"/>
            </w:pPr>
            <w:r>
              <w:rPr>
                <w:sz w:val="18"/>
              </w:rPr>
              <w:t xml:space="preserve">1 reviewer</w:t>
            </w:r>
          </w:p>
        </w:tc>
      </w:tr>
      <w:tr>
        <w:tc>
          <w:tcPr>
            <w:tcW w:w="1244" w:type="dxa"/>
          </w:tcPr>
          <w:p>
            <w:pPr>
              <w:pStyle w:val="Compact"/>
              <w:spacing w:after="40"/>
              <w:jc w:val="left"/>
            </w:pPr>
            <w:r>
              <w:rPr>
                <w:rStyle w:val="VerbatimChar"/>
                <w:sz w:val="18"/>
              </w:rPr>
              <w:t xml:space="preserve">prod-in</w:t>
            </w:r>
          </w:p>
        </w:tc>
        <w:tc>
          <w:tcPr>
            <w:tcW w:w="2918" w:type="dxa"/>
          </w:tcPr>
          <w:p>
            <w:pPr>
              <w:pStyle w:val="Compact"/>
              <w:spacing w:after="40"/>
              <w:jc w:val="left"/>
            </w:pPr>
            <w:r>
              <w:rPr>
                <w:sz w:val="18"/>
              </w:rPr>
              <w:t xml:space="preserve">Real (India regions only, Part 10.1)</w:t>
            </w:r>
          </w:p>
        </w:tc>
        <w:tc>
          <w:tcPr>
            <w:tcW w:w="1759" w:type="dxa"/>
          </w:tcPr>
          <w:p>
            <w:pPr>
              <w:pStyle w:val="Compact"/>
              <w:spacing w:after="40"/>
              <w:jc w:val="left"/>
            </w:pPr>
            <w:r>
              <w:rPr>
                <w:sz w:val="18"/>
              </w:rPr>
              <w:t xml:space="preserve">Signed release tags only</w:t>
            </w:r>
          </w:p>
        </w:tc>
        <w:tc>
          <w:tcPr>
            <w:tcW w:w="3717" w:type="dxa"/>
          </w:tcPr>
          <w:p>
            <w:pPr>
              <w:pStyle w:val="Compact"/>
              <w:spacing w:after="40"/>
              <w:jc w:val="left"/>
            </w:pPr>
            <w:r>
              <w:rPr>
                <w:sz w:val="18"/>
              </w:rPr>
              <w:t xml:space="preserve">2 required reviewers (not the author), wait timer 15 minutes, environment-scoped secrets, deployment window</w:t>
            </w:r>
          </w:p>
        </w:tc>
      </w:tr>
      <w:tr>
        <w:tc>
          <w:tcPr>
            <w:tcW w:w="1244" w:type="dxa"/>
          </w:tcPr>
          <w:p>
            <w:pPr>
              <w:pStyle w:val="Compact"/>
              <w:spacing w:after="40"/>
              <w:jc w:val="left"/>
            </w:pPr>
            <w:r>
              <w:rPr>
                <w:rStyle w:val="VerbatimChar"/>
                <w:sz w:val="18"/>
              </w:rPr>
              <w:t xml:space="preserve">dr-in</w:t>
            </w:r>
          </w:p>
        </w:tc>
        <w:tc>
          <w:tcPr>
            <w:tcW w:w="2918" w:type="dxa"/>
          </w:tcPr>
          <w:p>
            <w:pPr>
              <w:pStyle w:val="Compact"/>
              <w:spacing w:after="40"/>
              <w:jc w:val="left"/>
            </w:pPr>
            <w:r>
              <w:rPr>
                <w:sz w:val="18"/>
              </w:rPr>
              <w:t xml:space="preserve">Replica</w:t>
            </w:r>
          </w:p>
        </w:tc>
        <w:tc>
          <w:tcPr>
            <w:tcW w:w="1759" w:type="dxa"/>
          </w:tcPr>
          <w:p>
            <w:pPr>
              <w:pStyle w:val="Compact"/>
              <w:spacing w:after="40"/>
              <w:jc w:val="left"/>
            </w:pPr>
            <w:r>
              <w:rPr>
                <w:sz w:val="18"/>
              </w:rPr>
              <w:t xml:space="preserve">Same tag as</w:t>
            </w:r>
            <w:r>
              <w:rPr>
                <w:sz w:val="18"/>
              </w:rPr>
              <w:t xml:space="preserve"> </w:t>
            </w:r>
            <w:r>
              <w:rPr>
                <w:rStyle w:val="VerbatimChar"/>
                <w:sz w:val="18"/>
              </w:rPr>
              <w:t xml:space="preserve">prod-in</w:t>
            </w:r>
          </w:p>
        </w:tc>
        <w:tc>
          <w:tcPr>
            <w:tcW w:w="3717" w:type="dxa"/>
          </w:tcPr>
          <w:p>
            <w:pPr>
              <w:pStyle w:val="Compact"/>
              <w:spacing w:after="40"/>
              <w:jc w:val="left"/>
            </w:pPr>
            <w:r>
              <w:rPr>
                <w:sz w:val="18"/>
              </w:rPr>
              <w:t xml:space="preserve">As</w:t>
            </w:r>
            <w:r>
              <w:rPr>
                <w:sz w:val="18"/>
              </w:rPr>
              <w:t xml:space="preserve"> </w:t>
            </w:r>
            <w:r>
              <w:rPr>
                <w:rStyle w:val="VerbatimChar"/>
                <w:sz w:val="18"/>
              </w:rPr>
              <w:t xml:space="preserve">prod-in</w:t>
            </w:r>
            <w:r>
              <w:rPr>
                <w:sz w:val="18"/>
              </w:rPr>
              <w:t xml:space="preserve">; drift check (CYB para 137)</w:t>
            </w:r>
          </w:p>
        </w:tc>
      </w:tr>
    </w:tbl>
    <w:p>
      <w:pPr>
        <w:numPr>
          <w:ilvl w:val="0"/>
          <w:numId w:val="1580"/>
        </w:numPr>
        <w:pStyle w:val="Compact"/>
      </w:pPr>
      <w:r>
        <w:t xml:space="preserve">Production data never flows to</w:t>
      </w:r>
      <w:r>
        <w:t xml:space="preserve"> </w:t>
      </w:r>
      <w:r>
        <w:rPr>
          <w:rStyle w:val="VerbatimChar"/>
        </w:rPr>
        <w:t xml:space="preserve">dev</w:t>
      </w:r>
      <w:r>
        <w:t xml:space="preserve">,</w:t>
      </w:r>
      <w:r>
        <w:t xml:space="preserve"> </w:t>
      </w:r>
      <w:r>
        <w:rPr>
          <w:rStyle w:val="VerbatimChar"/>
        </w:rPr>
        <w:t xml:space="preserve">staging</w:t>
      </w:r>
      <w:r>
        <w:t xml:space="preserve"> </w:t>
      </w:r>
      <w:r>
        <w:t xml:space="preserve">or</w:t>
      </w:r>
      <w:r>
        <w:t xml:space="preserve"> </w:t>
      </w:r>
      <w:r>
        <w:rPr>
          <w:rStyle w:val="VerbatimChar"/>
        </w:rPr>
        <w:t xml:space="preserve">uat</w:t>
      </w:r>
      <w:r>
        <w:t xml:space="preserve"> </w:t>
      </w:r>
      <w:r>
        <w:t xml:space="preserve">(Part 11.3); anonymisation, where approved, is irreversible and tested.</w:t>
      </w:r>
    </w:p>
    <w:bookmarkEnd w:id="730"/>
    <w:bookmarkStart w:id="731" w:name="eo1.5-security-features-and-supply-chain"/>
    <w:p>
      <w:pPr>
        <w:pStyle w:val="Heading3"/>
      </w:pPr>
      <w:r>
        <w:t xml:space="preserve">EO1.5 Security features and supply chain</w:t>
      </w:r>
    </w:p>
    <w:p>
      <w:pPr>
        <w:numPr>
          <w:ilvl w:val="0"/>
          <w:numId w:val="1581"/>
        </w:numPr>
        <w:pStyle w:val="Compact"/>
      </w:pPr>
      <w:r>
        <w:rPr>
          <w:bCs/>
          <w:b/>
        </w:rPr>
        <w:t xml:space="preserve">Dependabot</w:t>
      </w:r>
      <w:r>
        <w:t xml:space="preserve"> </w:t>
      </w:r>
      <w:r>
        <w:t xml:space="preserve">version and security updates (grouped weekly; security updates immediately);</w:t>
      </w:r>
      <w:r>
        <w:t xml:space="preserve"> </w:t>
      </w:r>
      <w:r>
        <w:rPr>
          <w:bCs/>
          <w:b/>
        </w:rPr>
        <w:t xml:space="preserve">CodeQL</w:t>
      </w:r>
      <w:r>
        <w:t xml:space="preserve"> </w:t>
      </w:r>
      <w:r>
        <w:t xml:space="preserve">code scanning;</w:t>
      </w:r>
      <w:r>
        <w:t xml:space="preserve"> </w:t>
      </w:r>
      <w:r>
        <w:rPr>
          <w:bCs/>
          <w:b/>
        </w:rPr>
        <w:t xml:space="preserve">secret scanning with push protection</w:t>
      </w:r>
      <w:r>
        <w:t xml:space="preserve">. On the Team plan these need the GitHub Secret Protection and Code Security products for private repositories [VERIFY current packaging and price]; if not purchased, equivalent open-source tools run as required checks (Semgrep, gitleaks or trufflehog, osv-scanner).</w:t>
      </w:r>
    </w:p>
    <w:p>
      <w:pPr>
        <w:numPr>
          <w:ilvl w:val="0"/>
          <w:numId w:val="1581"/>
        </w:numPr>
        <w:pStyle w:val="Compact"/>
      </w:pPr>
      <w:r>
        <w:rPr>
          <w:bCs/>
          <w:b/>
        </w:rPr>
        <w:t xml:space="preserve">SBOM:</w:t>
      </w:r>
      <w:r>
        <w:t xml:space="preserve"> </w:t>
      </w:r>
      <w:r>
        <w:t xml:space="preserve">SPDX from the GitHub dependency graph and CycloneDX from the build (application and container image), attached to every release and supplied to tenants (Part 10.6 item 9).</w:t>
      </w:r>
    </w:p>
    <w:p>
      <w:pPr>
        <w:numPr>
          <w:ilvl w:val="0"/>
          <w:numId w:val="1581"/>
        </w:numPr>
        <w:pStyle w:val="Compact"/>
      </w:pPr>
      <w:r>
        <w:rPr>
          <w:bCs/>
          <w:b/>
        </w:rPr>
        <w:t xml:space="preserve">Signing and provenance:</w:t>
      </w:r>
      <w:r>
        <w:t xml:space="preserve"> </w:t>
      </w:r>
      <w:r>
        <w:t xml:space="preserve">GitHub artifact attestations for private repositories need Enterprise Cloud [VEND]. On Team, container images and release bundles are signed with cosign using a KMS-held key (not keyless signing to the public transparency log, which would publish private repository metadata) [REC]; the deploy pipeline verifies signatures and refuses unsigned images.</w:t>
      </w:r>
    </w:p>
    <w:p>
      <w:pPr>
        <w:numPr>
          <w:ilvl w:val="0"/>
          <w:numId w:val="1581"/>
        </w:numPr>
        <w:pStyle w:val="Compact"/>
      </w:pPr>
      <w:r>
        <w:rPr>
          <w:bCs/>
          <w:b/>
        </w:rPr>
        <w:t xml:space="preserve">Decision gate:</w:t>
      </w:r>
      <w:r>
        <w:t xml:space="preserve"> </w:t>
      </w:r>
      <w:r>
        <w:t xml:space="preserve">move to Enterprise Cloud before the SOC 2 Type 2 window if attestations, audit-log streaming or enterprise rulesets are needed for evidence (Appendix B).</w:t>
      </w:r>
    </w:p>
    <w:bookmarkEnd w:id="731"/>
    <w:bookmarkStart w:id="732" w:name="eo1.6-releases-and-patch-slas"/>
    <w:p>
      <w:pPr>
        <w:pStyle w:val="Heading3"/>
      </w:pPr>
      <w:r>
        <w:t xml:space="preserve">EO1.6 Releases and patch SLAs</w:t>
      </w:r>
    </w:p>
    <w:p>
      <w:pPr>
        <w:numPr>
          <w:ilvl w:val="0"/>
          <w:numId w:val="1582"/>
        </w:numPr>
        <w:pStyle w:val="Compact"/>
      </w:pPr>
      <w:r>
        <w:rPr>
          <w:bCs/>
          <w:b/>
        </w:rPr>
        <w:t xml:space="preserve">Release train [REC]:</w:t>
      </w:r>
      <w:r>
        <w:t xml:space="preserve"> </w:t>
      </w:r>
      <w:r>
        <w:t xml:space="preserve">weekly production release window outside business-critical windows, plus a hotfix lane; semantic versioning; release notes with a</w:t>
      </w:r>
      <w:r>
        <w:t xml:space="preserve"> </w:t>
      </w:r>
      <w:r>
        <w:t xml:space="preserve">“</w:t>
      </w:r>
      <w:r>
        <w:t xml:space="preserve">regulatory impact</w:t>
      </w:r>
      <w:r>
        <w:t xml:space="preserve">”</w:t>
      </w:r>
      <w:r>
        <w:t xml:space="preserve"> </w:t>
      </w:r>
      <w:r>
        <w:t xml:space="preserve">section (rule packs, formats, calculations changed) published to tenants 5 working days before a normal release; breaking API changes follow the Integration Spec deprecation rules (Part 14).</w:t>
      </w:r>
    </w:p>
    <w:p>
      <w:pPr>
        <w:numPr>
          <w:ilvl w:val="0"/>
          <w:numId w:val="1582"/>
        </w:numPr>
        <w:pStyle w:val="Compact"/>
      </w:pPr>
      <w:r>
        <w:rPr>
          <w:bCs/>
          <w:b/>
        </w:rPr>
        <w:t xml:space="preserve">Freeze windows:</w:t>
      </w:r>
      <w:r>
        <w:t xml:space="preserve"> </w:t>
      </w:r>
      <w:r>
        <w:t xml:space="preserve">last 2 and first 3 working days of each month (close and returns); quarter-end and FY-end close periods; for the bureau module, the CIC submission days (9th, 16th, 23rd and month-end file by the 5th); Board-approved exceptions only through EO2.4.</w:t>
      </w:r>
    </w:p>
    <w:p>
      <w:pPr>
        <w:numPr>
          <w:ilvl w:val="0"/>
          <w:numId w:val="1582"/>
        </w:numPr>
        <w:pStyle w:val="Compact"/>
      </w:pPr>
      <w:r>
        <w:rPr>
          <w:bCs/>
          <w:b/>
        </w:rPr>
        <w:t xml:space="preserve">Patch SLAs [REC]</w:t>
      </w:r>
      <w:r>
        <w:t xml:space="preserve"> </w:t>
      </w:r>
      <w:r>
        <w:t xml:space="preserve">from triage: CVSS ≥ 9.0, listed in CISA KEV or actively exploited: 72 hours; High: 7 days; Medium: 30 days; Low: 90 days. These are the platform SLAs for product code and infrastructure; Udofin and every group repository apply them through OH13, and where a tenant contract or audit-finding policy is stricter, the stricter value wins. Vulnerabilities in a tenant’s own systems tracked in Part 7D use the AU4.3 tenant-policy defaults (15, 30, 90 and 180 days); a finding about the Finbyx platform, whoever raises it (including a tenant-commissioned VAPT or a</w:t>
      </w:r>
      <w:r>
        <w:t xml:space="preserve"> </w:t>
      </w:r>
      <w:r>
        <w:rPr>
          <w:rStyle w:val="VerbatimChar"/>
        </w:rPr>
        <w:t xml:space="preserve">provider_vapt</w:t>
      </w:r>
      <w:r>
        <w:t xml:space="preserve"> </w:t>
      </w:r>
      <w:r>
        <w:t xml:space="preserve">item), follows the platform SLAs above. Time-bound fixes and no recurrence of known CVEs (CYB paras 125–126); exceptions only with a CISO risk acceptance that expires within 90 days.</w:t>
      </w:r>
    </w:p>
    <w:p>
      <w:pPr>
        <w:numPr>
          <w:ilvl w:val="0"/>
          <w:numId w:val="1582"/>
        </w:numPr>
        <w:pStyle w:val="Compact"/>
      </w:pPr>
      <w:r>
        <w:rPr>
          <w:rStyle w:val="VerbatimChar"/>
          <w:bCs/>
          <w:b/>
        </w:rPr>
        <w:t xml:space="preserve">ReleasePublished</w:t>
      </w:r>
      <w:r>
        <w:t xml:space="preserve"> </w:t>
      </w:r>
      <w:r>
        <w:t xml:space="preserve">after each production deployment: version, change ids, SBOM hash, signature digest, release-notes link.</w:t>
      </w:r>
    </w:p>
    <w:bookmarkEnd w:id="732"/>
    <w:bookmarkStart w:id="733" w:name="acceptance-tests-64"/>
    <w:p>
      <w:pPr>
        <w:pStyle w:val="Heading3"/>
      </w:pPr>
      <w:r>
        <w:t xml:space="preserve">Acceptance tests</w:t>
      </w:r>
    </w:p>
    <w:p>
      <w:pPr>
        <w:numPr>
          <w:ilvl w:val="0"/>
          <w:numId w:val="1583"/>
        </w:numPr>
        <w:pStyle w:val="Compact"/>
      </w:pPr>
      <w:r>
        <w:t xml:space="preserve">A direct push to</w:t>
      </w:r>
      <w:r>
        <w:t xml:space="preserve"> </w:t>
      </w:r>
      <w:r>
        <w:rPr>
          <w:rStyle w:val="VerbatimChar"/>
        </w:rPr>
        <w:t xml:space="preserve">main</w:t>
      </w:r>
      <w:r>
        <w:t xml:space="preserve">, a force push or an unsigned commit is rejected by the ruleset (verified by a nightly ruleset-drift job that exports the ruleset JSON as evidence).</w:t>
      </w:r>
    </w:p>
    <w:p>
      <w:pPr>
        <w:numPr>
          <w:ilvl w:val="0"/>
          <w:numId w:val="1583"/>
        </w:numPr>
        <w:pStyle w:val="Compact"/>
      </w:pPr>
      <w:r>
        <w:t xml:space="preserve">A pull request touching</w:t>
      </w:r>
      <w:r>
        <w:t xml:space="preserve"> </w:t>
      </w:r>
      <w:r>
        <w:rPr>
          <w:rStyle w:val="VerbatimChar"/>
        </w:rPr>
        <w:t xml:space="preserve">/migrations/</w:t>
      </w:r>
      <w:r>
        <w:t xml:space="preserve"> </w:t>
      </w:r>
      <w:r>
        <w:t xml:space="preserve">with one code-owner approval fails</w:t>
      </w:r>
      <w:r>
        <w:t xml:space="preserve"> </w:t>
      </w:r>
      <w:r>
        <w:rPr>
          <w:rStyle w:val="VerbatimChar"/>
        </w:rPr>
        <w:t xml:space="preserve">sensitive-path-approvals</w:t>
      </w:r>
      <w:r>
        <w:t xml:space="preserve">; a second distinct owner’s approval passes it.</w:t>
      </w:r>
    </w:p>
    <w:p>
      <w:pPr>
        <w:numPr>
          <w:ilvl w:val="0"/>
          <w:numId w:val="1583"/>
        </w:numPr>
        <w:pStyle w:val="Compact"/>
      </w:pPr>
      <w:r>
        <w:t xml:space="preserve">A workflow file referencing an action by tag instead of SHA fails the workflow lint.</w:t>
      </w:r>
    </w:p>
    <w:p>
      <w:pPr>
        <w:numPr>
          <w:ilvl w:val="0"/>
          <w:numId w:val="1583"/>
        </w:numPr>
        <w:pStyle w:val="Compact"/>
      </w:pPr>
      <w:r>
        <w:t xml:space="preserve">A deployment to</w:t>
      </w:r>
      <w:r>
        <w:t xml:space="preserve"> </w:t>
      </w:r>
      <w:r>
        <w:rPr>
          <w:rStyle w:val="VerbatimChar"/>
        </w:rPr>
        <w:t xml:space="preserve">prod-in</w:t>
      </w:r>
      <w:r>
        <w:t xml:space="preserve"> </w:t>
      </w:r>
      <w:r>
        <w:t xml:space="preserve">from an untagged commit is refused; an unsigned image is refused at deploy.</w:t>
      </w:r>
    </w:p>
    <w:p>
      <w:pPr>
        <w:numPr>
          <w:ilvl w:val="0"/>
          <w:numId w:val="1583"/>
        </w:numPr>
        <w:pStyle w:val="Compact"/>
      </w:pPr>
      <w:r>
        <w:t xml:space="preserve">A seeded critical CVE opens a ticket with a 72-hour due time; closing it without a regression test linked fails the check.</w:t>
      </w:r>
    </w:p>
    <w:p>
      <w:r>
        <w:pict>
          <v:rect style="width:0;height:1.5pt" o:hralign="center" o:hrstd="t" o:hr="t"/>
        </w:pict>
      </w:r>
    </w:p>
    <w:bookmarkEnd w:id="733"/>
    <w:bookmarkEnd w:id="734"/>
    <w:bookmarkStart w:id="740" w:name="X31f74cf87e080954c2c71d41241b1dd703898c9"/>
    <w:p>
      <w:pPr>
        <w:pStyle w:val="Heading2"/>
      </w:pPr>
      <w:r>
        <w:t xml:space="preserve">EO2. Change, patch and vulnerability management</w:t>
      </w:r>
    </w:p>
    <w:bookmarkStart w:id="735" w:name="eo2.1-change-classes"/>
    <w:p>
      <w:pPr>
        <w:pStyle w:val="Heading3"/>
      </w:pPr>
      <w:r>
        <w:t xml:space="preserve">EO2.1 Change classes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49"/>
        <w:gridCol w:w="4346"/>
        <w:gridCol w:w="3343"/>
      </w:tblGrid>
      <w:tr>
        <w:trPr>
          <w:tblHeader w:val="true"/>
          <w:tblHeader w:val="true"/>
        </w:trPr>
        <w:tc>
          <w:tcPr>
            <w:tcW w:w="1949" w:type="dxa"/>
            <w:shd w:val="clear" w:color="auto" w:fill="1F3A5F"/>
          </w:tcPr>
          <w:p>
            <w:pPr>
              <w:pStyle w:val="Compact"/>
              <w:spacing w:after="40"/>
              <w:jc w:val="left"/>
            </w:pPr>
            <w:r>
              <w:rPr>
                <w:b/>
                <w:color w:val="FFFFFF"/>
                <w:sz w:val="18"/>
              </w:rPr>
              <w:t xml:space="preserve">Class</w:t>
            </w:r>
          </w:p>
        </w:tc>
        <w:tc>
          <w:tcPr>
            <w:tcW w:w="4346" w:type="dxa"/>
            <w:shd w:val="clear" w:color="auto" w:fill="1F3A5F"/>
          </w:tcPr>
          <w:p>
            <w:pPr>
              <w:pStyle w:val="Compact"/>
              <w:spacing w:after="40"/>
              <w:jc w:val="left"/>
            </w:pPr>
            <w:r>
              <w:rPr>
                <w:b/>
                <w:color w:val="FFFFFF"/>
                <w:sz w:val="18"/>
              </w:rPr>
              <w:t xml:space="preserve">Examples</w:t>
            </w:r>
          </w:p>
        </w:tc>
        <w:tc>
          <w:tcPr>
            <w:tcW w:w="3343" w:type="dxa"/>
            <w:shd w:val="clear" w:color="auto" w:fill="1F3A5F"/>
          </w:tcPr>
          <w:p>
            <w:pPr>
              <w:pStyle w:val="Compact"/>
              <w:spacing w:after="40"/>
              <w:jc w:val="left"/>
            </w:pPr>
            <w:r>
              <w:rPr>
                <w:b/>
                <w:color w:val="FFFFFF"/>
                <w:sz w:val="18"/>
              </w:rPr>
              <w:t xml:space="preserve">Approval</w:t>
            </w:r>
          </w:p>
        </w:tc>
      </w:tr>
      <w:tr>
        <w:tc>
          <w:tcPr>
            <w:tcW w:w="1949" w:type="dxa"/>
          </w:tcPr>
          <w:p>
            <w:pPr>
              <w:pStyle w:val="Compact"/>
              <w:spacing w:after="40"/>
              <w:jc w:val="left"/>
            </w:pPr>
            <w:r>
              <w:rPr>
                <w:sz w:val="18"/>
              </w:rPr>
              <w:t xml:space="preserve">Standard (pre-approved catalogue)</w:t>
            </w:r>
          </w:p>
        </w:tc>
        <w:tc>
          <w:tcPr>
            <w:tcW w:w="4346" w:type="dxa"/>
          </w:tcPr>
          <w:p>
            <w:pPr>
              <w:pStyle w:val="Compact"/>
              <w:spacing w:after="40"/>
              <w:jc w:val="left"/>
            </w:pPr>
            <w:r>
              <w:rPr>
                <w:sz w:val="18"/>
              </w:rPr>
              <w:t xml:space="preserve">Dependency patch with all checks green; copy changes; documentation; feature-flag toggles within tested configurations</w:t>
            </w:r>
          </w:p>
        </w:tc>
        <w:tc>
          <w:tcPr>
            <w:tcW w:w="3343" w:type="dxa"/>
          </w:tcPr>
          <w:p>
            <w:pPr>
              <w:pStyle w:val="Compact"/>
              <w:spacing w:after="40"/>
              <w:jc w:val="left"/>
            </w:pPr>
            <w:r>
              <w:rPr>
                <w:sz w:val="18"/>
              </w:rPr>
              <w:t xml:space="preserve">Pull-request review only; logged</w:t>
            </w:r>
          </w:p>
        </w:tc>
      </w:tr>
      <w:tr>
        <w:tc>
          <w:tcPr>
            <w:tcW w:w="1949" w:type="dxa"/>
          </w:tcPr>
          <w:p>
            <w:pPr>
              <w:pStyle w:val="Compact"/>
              <w:spacing w:after="40"/>
              <w:jc w:val="left"/>
            </w:pPr>
            <w:r>
              <w:rPr>
                <w:sz w:val="18"/>
              </w:rPr>
              <w:t xml:space="preserve">Normal</w:t>
            </w:r>
          </w:p>
        </w:tc>
        <w:tc>
          <w:tcPr>
            <w:tcW w:w="4346" w:type="dxa"/>
          </w:tcPr>
          <w:p>
            <w:pPr>
              <w:pStyle w:val="Compact"/>
              <w:spacing w:after="40"/>
              <w:jc w:val="left"/>
            </w:pPr>
            <w:r>
              <w:rPr>
                <w:sz w:val="18"/>
              </w:rPr>
              <w:t xml:space="preserve">New features, refactors, infrastructure changes</w:t>
            </w:r>
          </w:p>
        </w:tc>
        <w:tc>
          <w:tcPr>
            <w:tcW w:w="3343" w:type="dxa"/>
          </w:tcPr>
          <w:p>
            <w:pPr>
              <w:pStyle w:val="Compact"/>
              <w:spacing w:after="40"/>
              <w:jc w:val="left"/>
            </w:pPr>
            <w:r>
              <w:rPr>
                <w:sz w:val="18"/>
              </w:rPr>
              <w:t xml:space="preserve">Change Advisory Board (CAB)</w:t>
            </w:r>
          </w:p>
        </w:tc>
      </w:tr>
      <w:tr>
        <w:tc>
          <w:tcPr>
            <w:tcW w:w="1949" w:type="dxa"/>
          </w:tcPr>
          <w:p>
            <w:pPr>
              <w:pStyle w:val="Compact"/>
              <w:spacing w:after="40"/>
              <w:jc w:val="left"/>
            </w:pPr>
            <w:r>
              <w:rPr>
                <w:sz w:val="18"/>
              </w:rPr>
              <w:t xml:space="preserve">Regulated</w:t>
            </w:r>
          </w:p>
        </w:tc>
        <w:tc>
          <w:tcPr>
            <w:tcW w:w="4346" w:type="dxa"/>
          </w:tcPr>
          <w:p>
            <w:pPr>
              <w:pStyle w:val="Compact"/>
              <w:spacing w:after="40"/>
              <w:jc w:val="left"/>
            </w:pPr>
            <w:r>
              <w:rPr>
                <w:sz w:val="18"/>
              </w:rPr>
              <w:t xml:space="preserve">Rule packs, interest, fee, schedule and allocation logic, IRACP and ECL, return and CIC formats, KFS, contact policy, audit trail, security controls, data residency</w:t>
            </w:r>
          </w:p>
        </w:tc>
        <w:tc>
          <w:tcPr>
            <w:tcW w:w="3343" w:type="dxa"/>
          </w:tcPr>
          <w:p>
            <w:pPr>
              <w:pStyle w:val="Compact"/>
              <w:spacing w:after="40"/>
              <w:jc w:val="left"/>
            </w:pPr>
            <w:r>
              <w:rPr>
                <w:sz w:val="18"/>
              </w:rPr>
              <w:t xml:space="preserve">CAB plus a compliance reviewer; golden-case suite pass; regulatory-register reference (Part 11.6)</w:t>
            </w:r>
          </w:p>
        </w:tc>
      </w:tr>
      <w:tr>
        <w:tc>
          <w:tcPr>
            <w:tcW w:w="1949" w:type="dxa"/>
          </w:tcPr>
          <w:p>
            <w:pPr>
              <w:pStyle w:val="Compact"/>
              <w:spacing w:after="40"/>
              <w:jc w:val="left"/>
            </w:pPr>
            <w:r>
              <w:rPr>
                <w:sz w:val="18"/>
              </w:rPr>
              <w:t xml:space="preserve">Emergency</w:t>
            </w:r>
          </w:p>
        </w:tc>
        <w:tc>
          <w:tcPr>
            <w:tcW w:w="4346" w:type="dxa"/>
          </w:tcPr>
          <w:p>
            <w:pPr>
              <w:pStyle w:val="Compact"/>
              <w:spacing w:after="40"/>
              <w:jc w:val="left"/>
            </w:pPr>
            <w:r>
              <w:rPr>
                <w:sz w:val="18"/>
              </w:rPr>
              <w:t xml:space="preserve">Production incident fix, actively exploited vulnerability</w:t>
            </w:r>
          </w:p>
        </w:tc>
        <w:tc>
          <w:tcPr>
            <w:tcW w:w="3343" w:type="dxa"/>
          </w:tcPr>
          <w:p>
            <w:pPr>
              <w:pStyle w:val="Compact"/>
              <w:spacing w:after="40"/>
              <w:jc w:val="left"/>
            </w:pPr>
            <w:r>
              <w:rPr>
                <w:sz w:val="18"/>
              </w:rPr>
              <w:t xml:space="preserve">EO2.4</w:t>
            </w:r>
          </w:p>
        </w:tc>
      </w:tr>
    </w:tbl>
    <w:p>
      <w:pPr>
        <w:pStyle w:val="BodyText"/>
      </w:pPr>
      <w:r>
        <w:t xml:space="preserve">Tenant configuration changes made by tenant admins follow M19 maker-checker, not the CAB.</w:t>
      </w:r>
    </w:p>
    <w:bookmarkEnd w:id="735"/>
    <w:bookmarkStart w:id="736" w:name="eo2.2-change-record-and-cab"/>
    <w:p>
      <w:pPr>
        <w:pStyle w:val="Heading3"/>
      </w:pPr>
      <w:r>
        <w:t xml:space="preserve">EO2.2 Change record and CAB</w:t>
      </w:r>
    </w:p>
    <w:p>
      <w:pPr>
        <w:numPr>
          <w:ilvl w:val="0"/>
          <w:numId w:val="1584"/>
        </w:numPr>
        <w:pStyle w:val="Compact"/>
      </w:pPr>
      <w:r>
        <w:rPr>
          <w:bCs/>
          <w:b/>
        </w:rPr>
        <w:t xml:space="preserve">Record:</w:t>
      </w:r>
      <w:r>
        <w:t xml:space="preserve"> </w:t>
      </w:r>
      <w:r>
        <w:t xml:space="preserve">id, title, class, risk score (impact × likelihood, tenants affected, data migration, reversibility), linked pull requests and commits, migration plan (expand, migrate, contract), rollback or forward-fix plan, test evidence, tenant communication plan, deployment window, approvers, post-implementation review result.</w:t>
      </w:r>
    </w:p>
    <w:p>
      <w:pPr>
        <w:numPr>
          <w:ilvl w:val="0"/>
          <w:numId w:val="1584"/>
        </w:numPr>
        <w:pStyle w:val="Compact"/>
      </w:pPr>
      <w:r>
        <w:rPr>
          <w:bCs/>
          <w:b/>
        </w:rPr>
        <w:t xml:space="preserve">CAB:</w:t>
      </w:r>
      <w:r>
        <w:t xml:space="preserve"> </w:t>
      </w:r>
      <w:r>
        <w:t xml:space="preserve">weekly; engineering lead, CISO or delegate, product owner, QA lead, SRE, compliance reviewer for regulated changes, customer success for tenant impact; quorum 4 including security. The CAB sits in OH13 (states</w:t>
      </w:r>
      <w:r>
        <w:t xml:space="preserve"> </w:t>
      </w:r>
      <w:r>
        <w:rPr>
          <w:rStyle w:val="VerbatimChar"/>
        </w:rPr>
        <w:t xml:space="preserve">DRAFT → SUBMITTED → ASSESSED → CAB_REVIEW → APPROVED | REJECTED | DEFERRED → SCHEDULED → IMPLEMENTED → PIR_DONE → CLOSED</w:t>
      </w:r>
      <w:r>
        <w:t xml:space="preserve">; failed changes</w:t>
      </w:r>
      <w:r>
        <w:t xml:space="preserve"> </w:t>
      </w:r>
      <w:r>
        <w:rPr>
          <w:rStyle w:val="VerbatimChar"/>
        </w:rPr>
        <w:t xml:space="preserve">ROLLED_BACK</w:t>
      </w:r>
      <w:r>
        <w:t xml:space="preserve"> </w:t>
      </w:r>
      <w:r>
        <w:t xml:space="preserve">or</w:t>
      </w:r>
      <w:r>
        <w:t xml:space="preserve"> </w:t>
      </w:r>
      <w:r>
        <w:rPr>
          <w:rStyle w:val="VerbatimChar"/>
        </w:rPr>
        <w:t xml:space="preserve">FORWARD_FIXED</w:t>
      </w:r>
      <w:r>
        <w:t xml:space="preserve">); OH13 emits</w:t>
      </w:r>
      <w:r>
        <w:t xml:space="preserve"> </w:t>
      </w:r>
      <w:r>
        <w:rPr>
          <w:rStyle w:val="VerbatimChar"/>
        </w:rPr>
        <w:t xml:space="preserve">ChangeApproved</w:t>
      </w:r>
      <w:r>
        <w:t xml:space="preserve"> </w:t>
      </w:r>
      <w:r>
        <w:t xml:space="preserve">with change id, class, approvers and window, and the Finbyx</w:t>
      </w:r>
      <w:r>
        <w:t xml:space="preserve"> </w:t>
      </w:r>
      <w:r>
        <w:rPr>
          <w:rStyle w:val="VerbatimChar"/>
        </w:rPr>
        <w:t xml:space="preserve">prod-in</w:t>
      </w:r>
      <w:r>
        <w:t xml:space="preserve"> </w:t>
      </w:r>
      <w:r>
        <w:t xml:space="preserve">deployment gate refuses a release whose change ids lack a matching</w:t>
      </w:r>
      <w:r>
        <w:t xml:space="preserve"> </w:t>
      </w:r>
      <w:r>
        <w:rPr>
          <w:rStyle w:val="VerbatimChar"/>
        </w:rPr>
        <w:t xml:space="preserve">ChangeApproved</w:t>
      </w:r>
      <w:r>
        <w:t xml:space="preserve"> </w:t>
      </w:r>
      <w:r>
        <w:t xml:space="preserve">(standard changes carry a catalogue approval).</w:t>
      </w:r>
    </w:p>
    <w:p>
      <w:pPr>
        <w:numPr>
          <w:ilvl w:val="0"/>
          <w:numId w:val="1584"/>
        </w:numPr>
        <w:pStyle w:val="Compact"/>
      </w:pPr>
      <w:r>
        <w:rPr>
          <w:bCs/>
          <w:b/>
        </w:rPr>
        <w:t xml:space="preserve">Basis:</w:t>
      </w:r>
      <w:r>
        <w:t xml:space="preserve"> </w:t>
      </w:r>
      <w:r>
        <w:t xml:space="preserve">change and patch policy (CYB para 112), change management (Ch IV paras 41–42), secure SDLC (para 39).</w:t>
      </w:r>
    </w:p>
    <w:bookmarkEnd w:id="736"/>
    <w:bookmarkStart w:id="737" w:name="eo2.3-vulnerability-management"/>
    <w:p>
      <w:pPr>
        <w:pStyle w:val="Heading3"/>
      </w:pPr>
      <w:r>
        <w:t xml:space="preserve">EO2.3 Vulnerability management</w:t>
      </w:r>
    </w:p>
    <w:p>
      <w:pPr>
        <w:numPr>
          <w:ilvl w:val="0"/>
          <w:numId w:val="1585"/>
        </w:numPr>
        <w:pStyle w:val="Compact"/>
      </w:pPr>
      <w:r>
        <w:rPr>
          <w:bCs/>
          <w:b/>
        </w:rPr>
        <w:t xml:space="preserve">Intake:</w:t>
      </w:r>
      <w:r>
        <w:t xml:space="preserve"> </w:t>
      </w:r>
      <w:r>
        <w:t xml:space="preserve">Dependabot, CodeQL, container and IaC scans, VAPT (EO4), CERT-In and vendor advisories, a vulnerability disclosure policy with</w:t>
      </w:r>
      <w:r>
        <w:t xml:space="preserve"> </w:t>
      </w:r>
      <w:r>
        <w:rPr>
          <w:rStyle w:val="VerbatimChar"/>
        </w:rPr>
        <w:t xml:space="preserve">security.txt</w:t>
      </w:r>
      <w:r>
        <w:t xml:space="preserve"> </w:t>
      </w:r>
      <w:r>
        <w:t xml:space="preserve">(RFC 9116) and safe-harbour terms.</w:t>
      </w:r>
    </w:p>
    <w:p>
      <w:pPr>
        <w:numPr>
          <w:ilvl w:val="0"/>
          <w:numId w:val="1585"/>
        </w:numPr>
        <w:pStyle w:val="Compact"/>
      </w:pPr>
      <w:r>
        <w:rPr>
          <w:bCs/>
          <w:b/>
        </w:rPr>
        <w:t xml:space="preserve">Triage within 24 hours for critical:</w:t>
      </w:r>
      <w:r>
        <w:t xml:space="preserve"> </w:t>
      </w:r>
      <w:r>
        <w:t xml:space="preserve">CVSS base score, EPSS and KEV status, reachability in Finbyx, exposure (internet-facing or internal), data at risk; SLA from EO1.6.</w:t>
      </w:r>
    </w:p>
    <w:p>
      <w:pPr>
        <w:numPr>
          <w:ilvl w:val="0"/>
          <w:numId w:val="1585"/>
        </w:numPr>
        <w:pStyle w:val="Compact"/>
      </w:pPr>
      <w:r>
        <w:rPr>
          <w:bCs/>
          <w:b/>
        </w:rPr>
        <w:t xml:space="preserve">Closure:</w:t>
      </w:r>
      <w:r>
        <w:t xml:space="preserve"> </w:t>
      </w:r>
      <w:r>
        <w:t xml:space="preserve">fix, regression test, verification scan; recurrence check across release lines; exceptions with CISO acceptance and expiry.</w:t>
      </w:r>
    </w:p>
    <w:p>
      <w:pPr>
        <w:numPr>
          <w:ilvl w:val="0"/>
          <w:numId w:val="1585"/>
        </w:numPr>
        <w:pStyle w:val="Compact"/>
      </w:pPr>
      <w:r>
        <w:rPr>
          <w:bCs/>
          <w:b/>
        </w:rPr>
        <w:t xml:space="preserve">End-of-support register</w:t>
      </w:r>
      <w:r>
        <w:t xml:space="preserve"> </w:t>
      </w:r>
      <w:r>
        <w:t xml:space="preserve">for languages, frameworks, databases and OS images with refresh plans (CYB paras 92–93).</w:t>
      </w:r>
    </w:p>
    <w:p>
      <w:pPr>
        <w:numPr>
          <w:ilvl w:val="0"/>
          <w:numId w:val="1585"/>
        </w:numPr>
        <w:pStyle w:val="Compact"/>
      </w:pPr>
      <w:r>
        <w:rPr>
          <w:bCs/>
          <w:b/>
        </w:rPr>
        <w:t xml:space="preserve">CYB para 106 certificate:</w:t>
      </w:r>
      <w:r>
        <w:t xml:space="preserve"> </w:t>
      </w:r>
      <w:r>
        <w:t xml:space="preserve">per material change (materiality agreed in the tenant contract: authentication, cryptography, data flows, new external interfaces, major versions), a CISO-signed certificate that the release is free of known vulnerabilities, malware and covert channels, backed by SAST, SCA, malware scan and VAPT evidence; distributed to tenants with the release.</w:t>
      </w:r>
    </w:p>
    <w:p>
      <w:pPr>
        <w:numPr>
          <w:ilvl w:val="0"/>
          <w:numId w:val="1585"/>
        </w:numPr>
        <w:pStyle w:val="Compact"/>
      </w:pPr>
      <w:r>
        <w:rPr>
          <w:bCs/>
          <w:b/>
        </w:rPr>
        <w:t xml:space="preserve">Escrow (CYB para 105):</w:t>
      </w:r>
      <w:r>
        <w:t xml:space="preserve"> </w:t>
      </w:r>
      <w:r>
        <w:t xml:space="preserve">every production release deposited with the escrow agent; verified build by the agent at least yearly [REC].</w:t>
      </w:r>
    </w:p>
    <w:bookmarkEnd w:id="737"/>
    <w:bookmarkStart w:id="738" w:name="eo2.4-emergency-change"/>
    <w:p>
      <w:pPr>
        <w:pStyle w:val="Heading3"/>
      </w:pPr>
      <w:r>
        <w:t xml:space="preserve">EO2.4 Emergency change</w:t>
      </w:r>
    </w:p>
    <w:p>
      <w:pPr>
        <w:numPr>
          <w:ilvl w:val="0"/>
          <w:numId w:val="1586"/>
        </w:numPr>
        <w:pStyle w:val="Compact"/>
      </w:pPr>
      <w:r>
        <w:t xml:space="preserve">Trigger: Sev-1 incident or actively exploited vulnerability.</w:t>
      </w:r>
    </w:p>
    <w:p>
      <w:pPr>
        <w:numPr>
          <w:ilvl w:val="0"/>
          <w:numId w:val="1586"/>
        </w:numPr>
        <w:pStyle w:val="Compact"/>
      </w:pPr>
      <w:r>
        <w:t xml:space="preserve">Approval by two of CTO, CISO and on-call engineering lead, recorded in the GitHub environment approval and the change record; the deployment still uses a signed tag and the full required checks, except tests explicitly waived with reason.</w:t>
      </w:r>
    </w:p>
    <w:p>
      <w:pPr>
        <w:numPr>
          <w:ilvl w:val="0"/>
          <w:numId w:val="1586"/>
        </w:numPr>
        <w:pStyle w:val="Compact"/>
      </w:pPr>
      <w:r>
        <w:t xml:space="preserve">Retrospective CAB within 2 working days; incident link; tenant notice where tenant-impacting within the Part 10.6 item 6 target (≤ 2 hours from Finbyx detection, so tenants can meet their 6-hour RBI clock; OUT para 61; CYB para 141); CERT-In report within 6 hours where the incident is reportable.</w:t>
      </w:r>
    </w:p>
    <w:bookmarkEnd w:id="738"/>
    <w:bookmarkStart w:id="739" w:name="acceptance-tests-65"/>
    <w:p>
      <w:pPr>
        <w:pStyle w:val="Heading3"/>
      </w:pPr>
      <w:r>
        <w:t xml:space="preserve">Acceptance tests</w:t>
      </w:r>
    </w:p>
    <w:p>
      <w:pPr>
        <w:numPr>
          <w:ilvl w:val="0"/>
          <w:numId w:val="1587"/>
        </w:numPr>
        <w:pStyle w:val="Compact"/>
      </w:pPr>
      <w:r>
        <w:t xml:space="preserve">A change touching</w:t>
      </w:r>
      <w:r>
        <w:t xml:space="preserve"> </w:t>
      </w:r>
      <w:r>
        <w:rPr>
          <w:rStyle w:val="VerbatimChar"/>
        </w:rPr>
        <w:t xml:space="preserve">/rule-packs/</w:t>
      </w:r>
      <w:r>
        <w:t xml:space="preserve"> </w:t>
      </w:r>
      <w:r>
        <w:t xml:space="preserve">without a compliance reviewer cannot be marked approved; the golden-case suite failing blocks deployment.</w:t>
      </w:r>
    </w:p>
    <w:p>
      <w:pPr>
        <w:numPr>
          <w:ilvl w:val="0"/>
          <w:numId w:val="1587"/>
        </w:numPr>
        <w:pStyle w:val="Compact"/>
      </w:pPr>
      <w:r>
        <w:t xml:space="preserve">An emergency change approved by only one approver cannot deploy; an approved emergency change without a retrospective CAB record after 2 working days raises an exception in OH14.</w:t>
      </w:r>
    </w:p>
    <w:p>
      <w:pPr>
        <w:numPr>
          <w:ilvl w:val="0"/>
          <w:numId w:val="1587"/>
        </w:numPr>
        <w:pStyle w:val="Compact"/>
      </w:pPr>
      <w:r>
        <w:t xml:space="preserve">A material release cannot be published to</w:t>
      </w:r>
      <w:r>
        <w:t xml:space="preserve"> </w:t>
      </w:r>
      <w:r>
        <w:rPr>
          <w:rStyle w:val="VerbatimChar"/>
        </w:rPr>
        <w:t xml:space="preserve">prod-in</w:t>
      </w:r>
      <w:r>
        <w:t xml:space="preserve"> </w:t>
      </w:r>
      <w:r>
        <w:t xml:space="preserve">without a CYB 106 certificate and an escrow-deposit receipt attached.</w:t>
      </w:r>
    </w:p>
    <w:p>
      <w:pPr>
        <w:numPr>
          <w:ilvl w:val="0"/>
          <w:numId w:val="1587"/>
        </w:numPr>
        <w:pStyle w:val="Compact"/>
      </w:pPr>
      <w:r>
        <w:t xml:space="preserve">A</w:t>
      </w:r>
      <w:r>
        <w:t xml:space="preserve"> </w:t>
      </w:r>
      <w:r>
        <w:rPr>
          <w:rStyle w:val="VerbatimChar"/>
        </w:rPr>
        <w:t xml:space="preserve">security.txt</w:t>
      </w:r>
      <w:r>
        <w:t xml:space="preserve"> </w:t>
      </w:r>
      <w:r>
        <w:t xml:space="preserve">file is served at</w:t>
      </w:r>
      <w:r>
        <w:t xml:space="preserve"> </w:t>
      </w:r>
      <w:r>
        <w:rPr>
          <w:rStyle w:val="VerbatimChar"/>
        </w:rPr>
        <w:t xml:space="preserve">/.well-known/security.txt</w:t>
      </w:r>
      <w:r>
        <w:t xml:space="preserve"> </w:t>
      </w:r>
      <w:r>
        <w:t xml:space="preserve">with a valid expiry.</w:t>
      </w:r>
    </w:p>
    <w:p>
      <w:pPr>
        <w:numPr>
          <w:ilvl w:val="0"/>
          <w:numId w:val="1587"/>
        </w:numPr>
        <w:pStyle w:val="Compact"/>
      </w:pPr>
      <w:r>
        <w:t xml:space="preserve">A</w:t>
      </w:r>
      <w:r>
        <w:t xml:space="preserve"> </w:t>
      </w:r>
      <w:r>
        <w:rPr>
          <w:rStyle w:val="VerbatimChar"/>
        </w:rPr>
        <w:t xml:space="preserve">prod-in</w:t>
      </w:r>
      <w:r>
        <w:t xml:space="preserve"> </w:t>
      </w:r>
      <w:r>
        <w:t xml:space="preserve">deployment whose change id has no</w:t>
      </w:r>
      <w:r>
        <w:t xml:space="preserve"> </w:t>
      </w:r>
      <w:r>
        <w:rPr>
          <w:rStyle w:val="VerbatimChar"/>
        </w:rPr>
        <w:t xml:space="preserve">ChangeApproved</w:t>
      </w:r>
      <w:r>
        <w:t xml:space="preserve"> </w:t>
      </w:r>
      <w:r>
        <w:t xml:space="preserve">from OH13 (and no standard-change catalogue entry) is refused.</w:t>
      </w:r>
    </w:p>
    <w:p>
      <w:r>
        <w:pict>
          <v:rect style="width:0;height:1.5pt" o:hralign="center" o:hrstd="t" o:hr="t"/>
        </w:pict>
      </w:r>
    </w:p>
    <w:bookmarkEnd w:id="739"/>
    <w:bookmarkEnd w:id="740"/>
    <w:bookmarkStart w:id="744" w:name="X6ed8a50409506abed07a81eb05227aa65ad0bea"/>
    <w:p>
      <w:pPr>
        <w:pStyle w:val="Heading2"/>
      </w:pPr>
      <w:r>
        <w:t xml:space="preserve">EO3. Backups, restore and resilience evidence</w:t>
      </w:r>
    </w:p>
    <w:bookmarkStart w:id="741" w:name="eo3.1-platform-backup-design"/>
    <w:p>
      <w:pPr>
        <w:pStyle w:val="Heading3"/>
      </w:pPr>
      <w:r>
        <w:t xml:space="preserve">EO3.1 Platform backup design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01"/>
        <w:gridCol w:w="2945"/>
        <w:gridCol w:w="2576"/>
        <w:gridCol w:w="2316"/>
      </w:tblGrid>
      <w:tr>
        <w:trPr>
          <w:tblHeader w:val="true"/>
          <w:tblHeader w:val="true"/>
        </w:trPr>
        <w:tc>
          <w:tcPr>
            <w:tcW w:w="1801" w:type="dxa"/>
            <w:shd w:val="clear" w:color="auto" w:fill="1F3A5F"/>
          </w:tcPr>
          <w:p>
            <w:pPr>
              <w:pStyle w:val="Compact"/>
              <w:spacing w:after="40"/>
              <w:jc w:val="left"/>
            </w:pPr>
            <w:r>
              <w:rPr>
                <w:b/>
                <w:color w:val="FFFFFF"/>
                <w:sz w:val="18"/>
              </w:rPr>
              <w:t xml:space="preserve">Asset</w:t>
            </w:r>
          </w:p>
        </w:tc>
        <w:tc>
          <w:tcPr>
            <w:tcW w:w="2945" w:type="dxa"/>
            <w:shd w:val="clear" w:color="auto" w:fill="1F3A5F"/>
          </w:tcPr>
          <w:p>
            <w:pPr>
              <w:pStyle w:val="Compact"/>
              <w:spacing w:after="40"/>
              <w:jc w:val="left"/>
            </w:pPr>
            <w:r>
              <w:rPr>
                <w:b/>
                <w:color w:val="FFFFFF"/>
                <w:sz w:val="18"/>
              </w:rPr>
              <w:t xml:space="preserve">Backup</w:t>
            </w:r>
          </w:p>
        </w:tc>
        <w:tc>
          <w:tcPr>
            <w:tcW w:w="2576" w:type="dxa"/>
            <w:shd w:val="clear" w:color="auto" w:fill="1F3A5F"/>
          </w:tcPr>
          <w:p>
            <w:pPr>
              <w:pStyle w:val="Compact"/>
              <w:spacing w:after="40"/>
              <w:jc w:val="left"/>
            </w:pPr>
            <w:r>
              <w:rPr>
                <w:b/>
                <w:color w:val="FFFFFF"/>
                <w:sz w:val="18"/>
              </w:rPr>
              <w:t xml:space="preserve">Retention [REC]</w:t>
            </w:r>
          </w:p>
        </w:tc>
        <w:tc>
          <w:tcPr>
            <w:tcW w:w="2316" w:type="dxa"/>
            <w:shd w:val="clear" w:color="auto" w:fill="1F3A5F"/>
          </w:tcPr>
          <w:p>
            <w:pPr>
              <w:pStyle w:val="Compact"/>
              <w:spacing w:after="40"/>
              <w:jc w:val="left"/>
            </w:pPr>
            <w:r>
              <w:rPr>
                <w:b/>
                <w:color w:val="FFFFFF"/>
                <w:sz w:val="18"/>
              </w:rPr>
              <w:t xml:space="preserve">Copy</w:t>
            </w:r>
          </w:p>
        </w:tc>
      </w:tr>
      <w:tr>
        <w:tc>
          <w:tcPr>
            <w:tcW w:w="1801" w:type="dxa"/>
          </w:tcPr>
          <w:p>
            <w:pPr>
              <w:pStyle w:val="Compact"/>
              <w:spacing w:after="40"/>
              <w:jc w:val="left"/>
            </w:pPr>
            <w:r>
              <w:rPr>
                <w:sz w:val="18"/>
              </w:rPr>
              <w:t xml:space="preserve">PostgreSQL (ledger and all tenant data)</w:t>
            </w:r>
          </w:p>
        </w:tc>
        <w:tc>
          <w:tcPr>
            <w:tcW w:w="2945" w:type="dxa"/>
          </w:tcPr>
          <w:p>
            <w:pPr>
              <w:pStyle w:val="Compact"/>
              <w:spacing w:after="40"/>
              <w:jc w:val="left"/>
            </w:pPr>
            <w:r>
              <w:rPr>
                <w:sz w:val="18"/>
              </w:rPr>
              <w:t xml:space="preserve">Continuous WAL archiving with point-in-time recovery; daily snapshots</w:t>
            </w:r>
          </w:p>
        </w:tc>
        <w:tc>
          <w:tcPr>
            <w:tcW w:w="2576" w:type="dxa"/>
          </w:tcPr>
          <w:p>
            <w:pPr>
              <w:pStyle w:val="Compact"/>
              <w:spacing w:after="40"/>
              <w:jc w:val="left"/>
            </w:pPr>
            <w:r>
              <w:rPr>
                <w:sz w:val="18"/>
              </w:rPr>
              <w:t xml:space="preserve">PITR 35 days; daily 35 days; monthly 13 months; FY-end 8 years for books (s.128(5); AC7)</w:t>
            </w:r>
          </w:p>
        </w:tc>
        <w:tc>
          <w:tcPr>
            <w:tcW w:w="2316" w:type="dxa"/>
          </w:tcPr>
          <w:p>
            <w:pPr>
              <w:pStyle w:val="Compact"/>
              <w:spacing w:after="40"/>
              <w:jc w:val="left"/>
            </w:pPr>
            <w:r>
              <w:rPr>
                <w:sz w:val="18"/>
              </w:rPr>
              <w:t xml:space="preserve">Cross-region to ap-south-2; immutable copy in a separate backup account</w:t>
            </w:r>
          </w:p>
        </w:tc>
      </w:tr>
      <w:tr>
        <w:tc>
          <w:tcPr>
            <w:tcW w:w="1801" w:type="dxa"/>
          </w:tcPr>
          <w:p>
            <w:pPr>
              <w:pStyle w:val="Compact"/>
              <w:spacing w:after="40"/>
              <w:jc w:val="left"/>
            </w:pPr>
            <w:r>
              <w:rPr>
                <w:sz w:val="18"/>
              </w:rPr>
              <w:t xml:space="preserve">Object storage (documents, archives)</w:t>
            </w:r>
          </w:p>
        </w:tc>
        <w:tc>
          <w:tcPr>
            <w:tcW w:w="2945" w:type="dxa"/>
          </w:tcPr>
          <w:p>
            <w:pPr>
              <w:pStyle w:val="Compact"/>
              <w:spacing w:after="40"/>
              <w:jc w:val="left"/>
            </w:pPr>
            <w:r>
              <w:rPr>
                <w:sz w:val="18"/>
              </w:rPr>
              <w:t xml:space="preserve">Versioning, Object Lock, cross-region replication</w:t>
            </w:r>
          </w:p>
        </w:tc>
        <w:tc>
          <w:tcPr>
            <w:tcW w:w="2576" w:type="dxa"/>
          </w:tcPr>
          <w:p>
            <w:pPr>
              <w:pStyle w:val="Compact"/>
              <w:spacing w:after="40"/>
              <w:jc w:val="left"/>
            </w:pPr>
            <w:r>
              <w:rPr>
                <w:sz w:val="18"/>
              </w:rPr>
              <w:t xml:space="preserve">Per retention class</w:t>
            </w:r>
          </w:p>
        </w:tc>
        <w:tc>
          <w:tcPr>
            <w:tcW w:w="2316" w:type="dxa"/>
          </w:tcPr>
          <w:p>
            <w:pPr>
              <w:pStyle w:val="Compact"/>
              <w:spacing w:after="40"/>
              <w:jc w:val="left"/>
            </w:pPr>
            <w:r>
              <w:rPr>
                <w:sz w:val="18"/>
              </w:rPr>
              <w:t xml:space="preserve">ap-south-2</w:t>
            </w:r>
          </w:p>
        </w:tc>
      </w:tr>
      <w:tr>
        <w:tc>
          <w:tcPr>
            <w:tcW w:w="1801" w:type="dxa"/>
          </w:tcPr>
          <w:p>
            <w:pPr>
              <w:pStyle w:val="Compact"/>
              <w:spacing w:after="40"/>
              <w:jc w:val="left"/>
            </w:pPr>
            <w:r>
              <w:rPr>
                <w:sz w:val="18"/>
              </w:rPr>
              <w:t xml:space="preserve">Workflow engine (Temporal)</w:t>
            </w:r>
          </w:p>
        </w:tc>
        <w:tc>
          <w:tcPr>
            <w:tcW w:w="2945" w:type="dxa"/>
          </w:tcPr>
          <w:p>
            <w:pPr>
              <w:pStyle w:val="Compact"/>
              <w:spacing w:after="40"/>
              <w:jc w:val="left"/>
            </w:pPr>
            <w:r>
              <w:rPr>
                <w:sz w:val="18"/>
              </w:rPr>
              <w:t xml:space="preserve">Database backup (self-hosted) or provider backups in an India region</w:t>
            </w:r>
          </w:p>
        </w:tc>
        <w:tc>
          <w:tcPr>
            <w:tcW w:w="2576" w:type="dxa"/>
          </w:tcPr>
          <w:p>
            <w:pPr>
              <w:pStyle w:val="Compact"/>
              <w:spacing w:after="40"/>
              <w:jc w:val="left"/>
            </w:pPr>
            <w:r>
              <w:rPr>
                <w:sz w:val="18"/>
              </w:rPr>
              <w:t xml:space="preserve">35 days</w:t>
            </w:r>
          </w:p>
        </w:tc>
        <w:tc>
          <w:tcPr>
            <w:tcW w:w="2316" w:type="dxa"/>
          </w:tcPr>
          <w:p>
            <w:pPr>
              <w:pStyle w:val="Compact"/>
              <w:spacing w:after="40"/>
              <w:jc w:val="left"/>
            </w:pPr>
            <w:r>
              <w:rPr>
                <w:sz w:val="18"/>
              </w:rPr>
              <w:t xml:space="preserve">ap-south-2</w:t>
            </w:r>
          </w:p>
        </w:tc>
      </w:tr>
      <w:tr>
        <w:tc>
          <w:tcPr>
            <w:tcW w:w="1801" w:type="dxa"/>
          </w:tcPr>
          <w:p>
            <w:pPr>
              <w:pStyle w:val="Compact"/>
              <w:spacing w:after="40"/>
              <w:jc w:val="left"/>
            </w:pPr>
            <w:r>
              <w:rPr>
                <w:sz w:val="18"/>
              </w:rPr>
              <w:t xml:space="preserve">Search indexes</w:t>
            </w:r>
          </w:p>
        </w:tc>
        <w:tc>
          <w:tcPr>
            <w:tcW w:w="2945" w:type="dxa"/>
          </w:tcPr>
          <w:p>
            <w:pPr>
              <w:pStyle w:val="Compact"/>
              <w:spacing w:after="40"/>
              <w:jc w:val="left"/>
            </w:pPr>
            <w:r>
              <w:rPr>
                <w:sz w:val="18"/>
              </w:rPr>
              <w:t xml:space="preserve">Rebuildable from the database</w:t>
            </w:r>
          </w:p>
        </w:tc>
        <w:tc>
          <w:tcPr>
            <w:tcW w:w="2576" w:type="dxa"/>
          </w:tcPr>
          <w:p>
            <w:pPr>
              <w:pStyle w:val="Compact"/>
              <w:spacing w:after="40"/>
              <w:jc w:val="left"/>
            </w:pPr>
            <w:r>
              <w:rPr>
                <w:sz w:val="18"/>
              </w:rPr>
              <w:t xml:space="preserve">—</w:t>
            </w:r>
          </w:p>
        </w:tc>
        <w:tc>
          <w:tcPr>
            <w:tcW w:w="2316" w:type="dxa"/>
          </w:tcPr>
          <w:p>
            <w:pPr>
              <w:pStyle w:val="Compact"/>
              <w:spacing w:after="40"/>
              <w:jc w:val="left"/>
            </w:pPr>
            <w:r>
              <w:rPr>
                <w:sz w:val="18"/>
              </w:rPr>
              <w:t xml:space="preserve">—</w:t>
            </w:r>
          </w:p>
        </w:tc>
      </w:tr>
      <w:tr>
        <w:tc>
          <w:tcPr>
            <w:tcW w:w="1801" w:type="dxa"/>
          </w:tcPr>
          <w:p>
            <w:pPr>
              <w:pStyle w:val="Compact"/>
              <w:spacing w:after="40"/>
              <w:jc w:val="left"/>
            </w:pPr>
            <w:r>
              <w:rPr>
                <w:sz w:val="18"/>
              </w:rPr>
              <w:t xml:space="preserve">Keys</w:t>
            </w:r>
          </w:p>
        </w:tc>
        <w:tc>
          <w:tcPr>
            <w:tcW w:w="2945" w:type="dxa"/>
          </w:tcPr>
          <w:p>
            <w:pPr>
              <w:pStyle w:val="Compact"/>
              <w:spacing w:after="40"/>
              <w:jc w:val="left"/>
            </w:pPr>
            <w:r>
              <w:rPr>
                <w:sz w:val="18"/>
              </w:rPr>
              <w:t xml:space="preserve">KMS multi-Region keys limited to India regions; HSM backups for vault and signing keys</w:t>
            </w:r>
          </w:p>
        </w:tc>
        <w:tc>
          <w:tcPr>
            <w:tcW w:w="2576" w:type="dxa"/>
          </w:tcPr>
          <w:p>
            <w:pPr>
              <w:pStyle w:val="Compact"/>
              <w:spacing w:after="40"/>
              <w:jc w:val="left"/>
            </w:pPr>
            <w:r>
              <w:rPr>
                <w:sz w:val="18"/>
              </w:rPr>
              <w:t xml:space="preserve">Life of data</w:t>
            </w:r>
          </w:p>
        </w:tc>
        <w:tc>
          <w:tcPr>
            <w:tcW w:w="2316" w:type="dxa"/>
          </w:tcPr>
          <w:p>
            <w:pPr>
              <w:pStyle w:val="Compact"/>
              <w:spacing w:after="40"/>
              <w:jc w:val="left"/>
            </w:pPr>
            <w:r>
              <w:rPr>
                <w:sz w:val="18"/>
              </w:rPr>
              <w:t xml:space="preserve">ap-south-2</w:t>
            </w:r>
          </w:p>
        </w:tc>
      </w:tr>
      <w:tr>
        <w:tc>
          <w:tcPr>
            <w:tcW w:w="1801" w:type="dxa"/>
          </w:tcPr>
          <w:p>
            <w:pPr>
              <w:pStyle w:val="Compact"/>
              <w:spacing w:after="40"/>
              <w:jc w:val="left"/>
            </w:pPr>
            <w:r>
              <w:rPr>
                <w:sz w:val="18"/>
              </w:rPr>
              <w:t xml:space="preserve">Infrastructure state, images, configuration</w:t>
            </w:r>
          </w:p>
        </w:tc>
        <w:tc>
          <w:tcPr>
            <w:tcW w:w="2945" w:type="dxa"/>
          </w:tcPr>
          <w:p>
            <w:pPr>
              <w:pStyle w:val="Compact"/>
              <w:spacing w:after="40"/>
              <w:jc w:val="left"/>
            </w:pPr>
            <w:r>
              <w:rPr>
                <w:sz w:val="18"/>
              </w:rPr>
              <w:t xml:space="preserve">IaC state with versioning; image registry replication</w:t>
            </w:r>
          </w:p>
        </w:tc>
        <w:tc>
          <w:tcPr>
            <w:tcW w:w="2576" w:type="dxa"/>
          </w:tcPr>
          <w:p>
            <w:pPr>
              <w:pStyle w:val="Compact"/>
              <w:spacing w:after="40"/>
              <w:jc w:val="left"/>
            </w:pPr>
            <w:r>
              <w:rPr>
                <w:sz w:val="18"/>
              </w:rPr>
              <w:t xml:space="preserve">13 months</w:t>
            </w:r>
          </w:p>
        </w:tc>
        <w:tc>
          <w:tcPr>
            <w:tcW w:w="2316" w:type="dxa"/>
          </w:tcPr>
          <w:p>
            <w:pPr>
              <w:pStyle w:val="Compact"/>
              <w:spacing w:after="40"/>
              <w:jc w:val="left"/>
            </w:pPr>
            <w:r>
              <w:rPr>
                <w:sz w:val="18"/>
              </w:rPr>
              <w:t xml:space="preserve">ap-south-2</w:t>
            </w:r>
          </w:p>
        </w:tc>
      </w:tr>
      <w:tr>
        <w:tc>
          <w:tcPr>
            <w:tcW w:w="1801" w:type="dxa"/>
          </w:tcPr>
          <w:p>
            <w:pPr>
              <w:pStyle w:val="Compact"/>
              <w:spacing w:after="40"/>
              <w:jc w:val="left"/>
            </w:pPr>
            <w:r>
              <w:rPr>
                <w:sz w:val="18"/>
              </w:rPr>
              <w:t xml:space="preserve">Audit trail and logs</w:t>
            </w:r>
          </w:p>
        </w:tc>
        <w:tc>
          <w:tcPr>
            <w:tcW w:w="2945" w:type="dxa"/>
          </w:tcPr>
          <w:p>
            <w:pPr>
              <w:pStyle w:val="Compact"/>
              <w:spacing w:after="40"/>
              <w:jc w:val="left"/>
            </w:pPr>
            <w:r>
              <w:rPr>
                <w:sz w:val="18"/>
              </w:rPr>
              <w:t xml:space="preserve">Append-only stores; logs ≥ 180 days in India (CERT-In) and ≥ 1 year (DPDP Rules r.8(3)); tenant-configurable longer</w:t>
            </w:r>
          </w:p>
        </w:tc>
        <w:tc>
          <w:tcPr>
            <w:tcW w:w="2576" w:type="dxa"/>
          </w:tcPr>
          <w:p>
            <w:pPr>
              <w:pStyle w:val="Compact"/>
              <w:spacing w:after="40"/>
              <w:jc w:val="left"/>
            </w:pPr>
            <w:r>
              <w:rPr>
                <w:sz w:val="18"/>
              </w:rPr>
              <w:t xml:space="preserve">As stated</w:t>
            </w:r>
          </w:p>
        </w:tc>
        <w:tc>
          <w:tcPr>
            <w:tcW w:w="2316" w:type="dxa"/>
          </w:tcPr>
          <w:p>
            <w:pPr>
              <w:pStyle w:val="Compact"/>
              <w:spacing w:after="40"/>
              <w:jc w:val="left"/>
            </w:pPr>
            <w:r>
              <w:rPr>
                <w:sz w:val="18"/>
              </w:rPr>
              <w:t xml:space="preserve">ap-south-2</w:t>
            </w:r>
          </w:p>
        </w:tc>
      </w:tr>
    </w:tbl>
    <w:p>
      <w:pPr>
        <w:numPr>
          <w:ilvl w:val="0"/>
          <w:numId w:val="1588"/>
        </w:numPr>
        <w:pStyle w:val="Compact"/>
      </w:pPr>
      <w:r>
        <w:rPr>
          <w:bCs/>
          <w:b/>
        </w:rPr>
        <w:t xml:space="preserve">Immutable vault:</w:t>
      </w:r>
      <w:r>
        <w:t xml:space="preserve"> </w:t>
      </w:r>
      <w:r>
        <w:t xml:space="preserve">a separate AWS account with organisation policies denying deletion, vault lock in compliance mode, and access only through break-glass; protects against compromise of the production account (ransomware scenario).</w:t>
      </w:r>
    </w:p>
    <w:p>
      <w:pPr>
        <w:numPr>
          <w:ilvl w:val="0"/>
          <w:numId w:val="1588"/>
        </w:numPr>
        <w:pStyle w:val="Compact"/>
      </w:pPr>
      <w:r>
        <w:rPr>
          <w:bCs/>
          <w:b/>
        </w:rPr>
        <w:t xml:space="preserve">Books of account:</w:t>
      </w:r>
      <w:r>
        <w:t xml:space="preserve"> </w:t>
      </w:r>
      <w:r>
        <w:t xml:space="preserve">daily backup on servers in India verified daily (Companies (Accounts) Rules r.3(5); AC7).</w:t>
      </w:r>
    </w:p>
    <w:p>
      <w:pPr>
        <w:numPr>
          <w:ilvl w:val="0"/>
          <w:numId w:val="1588"/>
        </w:numPr>
        <w:pStyle w:val="Compact"/>
      </w:pPr>
      <w:r>
        <w:rPr>
          <w:bCs/>
          <w:b/>
        </w:rPr>
        <w:t xml:space="preserve">Time:</w:t>
      </w:r>
      <w:r>
        <w:t xml:space="preserve"> </w:t>
      </w:r>
      <w:r>
        <w:t xml:space="preserve">NTP synchronised to NIC or NPL sources with drift alarms (CERT-In).</w:t>
      </w:r>
    </w:p>
    <w:bookmarkEnd w:id="741"/>
    <w:bookmarkStart w:id="742" w:name="eo3.2-restore-and-drill-programme"/>
    <w:p>
      <w:pPr>
        <w:pStyle w:val="Heading3"/>
      </w:pPr>
      <w:r>
        <w:t xml:space="preserve">EO3.2 Restore and drill programme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34"/>
        <w:gridCol w:w="2083"/>
        <w:gridCol w:w="4475"/>
        <w:gridCol w:w="1446"/>
      </w:tblGrid>
      <w:tr>
        <w:trPr>
          <w:tblHeader w:val="true"/>
          <w:tblHeader w:val="true"/>
        </w:trPr>
        <w:tc>
          <w:tcPr>
            <w:tcW w:w="1634" w:type="dxa"/>
            <w:shd w:val="clear" w:color="auto" w:fill="1F3A5F"/>
          </w:tcPr>
          <w:p>
            <w:pPr>
              <w:pStyle w:val="Compact"/>
              <w:spacing w:after="40"/>
              <w:jc w:val="left"/>
            </w:pPr>
            <w:r>
              <w:rPr>
                <w:b/>
                <w:color w:val="FFFFFF"/>
                <w:sz w:val="18"/>
              </w:rPr>
              <w:t xml:space="preserve">Exercise</w:t>
            </w:r>
          </w:p>
        </w:tc>
        <w:tc>
          <w:tcPr>
            <w:tcW w:w="2083" w:type="dxa"/>
            <w:shd w:val="clear" w:color="auto" w:fill="1F3A5F"/>
          </w:tcPr>
          <w:p>
            <w:pPr>
              <w:pStyle w:val="Compact"/>
              <w:spacing w:after="40"/>
              <w:jc w:val="left"/>
            </w:pPr>
            <w:r>
              <w:rPr>
                <w:b/>
                <w:color w:val="FFFFFF"/>
                <w:sz w:val="18"/>
              </w:rPr>
              <w:t xml:space="preserve">Frequency</w:t>
            </w:r>
          </w:p>
        </w:tc>
        <w:tc>
          <w:tcPr>
            <w:tcW w:w="4475" w:type="dxa"/>
            <w:shd w:val="clear" w:color="auto" w:fill="1F3A5F"/>
          </w:tcPr>
          <w:p>
            <w:pPr>
              <w:pStyle w:val="Compact"/>
              <w:spacing w:after="40"/>
              <w:jc w:val="left"/>
            </w:pPr>
            <w:r>
              <w:rPr>
                <w:b/>
                <w:color w:val="FFFFFF"/>
                <w:sz w:val="18"/>
              </w:rPr>
              <w:t xml:space="preserve">Pass criteria</w:t>
            </w:r>
          </w:p>
        </w:tc>
        <w:tc>
          <w:tcPr>
            <w:tcW w:w="1446" w:type="dxa"/>
            <w:shd w:val="clear" w:color="auto" w:fill="1F3A5F"/>
          </w:tcPr>
          <w:p>
            <w:pPr>
              <w:pStyle w:val="Compact"/>
              <w:spacing w:after="40"/>
              <w:jc w:val="left"/>
            </w:pPr>
            <w:r>
              <w:rPr>
                <w:b/>
                <w:color w:val="FFFFFF"/>
                <w:sz w:val="18"/>
              </w:rPr>
              <w:t xml:space="preserve">Basis</w:t>
            </w:r>
          </w:p>
        </w:tc>
      </w:tr>
      <w:tr>
        <w:tc>
          <w:tcPr>
            <w:tcW w:w="1634" w:type="dxa"/>
          </w:tcPr>
          <w:p>
            <w:pPr>
              <w:pStyle w:val="Compact"/>
              <w:spacing w:after="40"/>
              <w:jc w:val="left"/>
            </w:pPr>
            <w:r>
              <w:rPr>
                <w:sz w:val="18"/>
              </w:rPr>
              <w:t xml:space="preserve">Automated backup verification</w:t>
            </w:r>
          </w:p>
        </w:tc>
        <w:tc>
          <w:tcPr>
            <w:tcW w:w="2083" w:type="dxa"/>
          </w:tcPr>
          <w:p>
            <w:pPr>
              <w:pStyle w:val="Compact"/>
              <w:spacing w:after="40"/>
              <w:jc w:val="left"/>
            </w:pPr>
            <w:r>
              <w:rPr>
                <w:sz w:val="18"/>
              </w:rPr>
              <w:t xml:space="preserve">Daily</w:t>
            </w:r>
          </w:p>
        </w:tc>
        <w:tc>
          <w:tcPr>
            <w:tcW w:w="4475" w:type="dxa"/>
          </w:tcPr>
          <w:p>
            <w:pPr>
              <w:pStyle w:val="Compact"/>
              <w:spacing w:after="40"/>
              <w:jc w:val="left"/>
            </w:pPr>
            <w:r>
              <w:rPr>
                <w:sz w:val="18"/>
              </w:rPr>
              <w:t xml:space="preserve">Backup completes; checksum and restore-to-scratch of a sample table succeed</w:t>
            </w:r>
          </w:p>
        </w:tc>
        <w:tc>
          <w:tcPr>
            <w:tcW w:w="1446" w:type="dxa"/>
          </w:tcPr>
          <w:p>
            <w:pPr>
              <w:pStyle w:val="Compact"/>
              <w:spacing w:after="40"/>
              <w:jc w:val="left"/>
            </w:pPr>
            <w:r>
              <w:rPr>
                <w:sz w:val="18"/>
              </w:rPr>
              <w:t xml:space="preserve">CYB para 133</w:t>
            </w:r>
          </w:p>
        </w:tc>
      </w:tr>
      <w:tr>
        <w:tc>
          <w:tcPr>
            <w:tcW w:w="1634" w:type="dxa"/>
          </w:tcPr>
          <w:p>
            <w:pPr>
              <w:pStyle w:val="Compact"/>
              <w:spacing w:after="40"/>
              <w:jc w:val="left"/>
            </w:pPr>
            <w:r>
              <w:rPr>
                <w:sz w:val="18"/>
              </w:rPr>
              <w:t xml:space="preserve">Full restore test</w:t>
            </w:r>
          </w:p>
        </w:tc>
        <w:tc>
          <w:tcPr>
            <w:tcW w:w="2083" w:type="dxa"/>
          </w:tcPr>
          <w:p>
            <w:pPr>
              <w:pStyle w:val="Compact"/>
              <w:spacing w:after="40"/>
              <w:jc w:val="left"/>
            </w:pPr>
            <w:r>
              <w:rPr>
                <w:sz w:val="18"/>
              </w:rPr>
              <w:t xml:space="preserve">Quarterly</w:t>
            </w:r>
          </w:p>
        </w:tc>
        <w:tc>
          <w:tcPr>
            <w:tcW w:w="4475" w:type="dxa"/>
          </w:tcPr>
          <w:p>
            <w:pPr>
              <w:pStyle w:val="Compact"/>
              <w:spacing w:after="40"/>
              <w:jc w:val="left"/>
            </w:pPr>
            <w:r>
              <w:rPr>
                <w:sz w:val="18"/>
              </w:rPr>
              <w:t xml:space="preserve">Restore of a production snapshot into an isolated, production-classified recovery environment in India (destroyed after the test; access logged); trial balance, loan counts and audit hash chain equal the source; document hash sample matches</w:t>
            </w:r>
          </w:p>
        </w:tc>
        <w:tc>
          <w:tcPr>
            <w:tcW w:w="1446" w:type="dxa"/>
          </w:tcPr>
          <w:p>
            <w:pPr>
              <w:pStyle w:val="Compact"/>
              <w:spacing w:after="40"/>
              <w:jc w:val="left"/>
            </w:pPr>
            <w:r>
              <w:rPr>
                <w:sz w:val="18"/>
              </w:rPr>
              <w:t xml:space="preserve">Part 10.3; CYB para 133</w:t>
            </w:r>
          </w:p>
        </w:tc>
      </w:tr>
      <w:tr>
        <w:tc>
          <w:tcPr>
            <w:tcW w:w="1634" w:type="dxa"/>
          </w:tcPr>
          <w:p>
            <w:pPr>
              <w:pStyle w:val="Compact"/>
              <w:spacing w:after="40"/>
              <w:jc w:val="left"/>
            </w:pPr>
            <w:r>
              <w:rPr>
                <w:sz w:val="18"/>
              </w:rPr>
              <w:t xml:space="preserve">DR drill</w:t>
            </w:r>
          </w:p>
        </w:tc>
        <w:tc>
          <w:tcPr>
            <w:tcW w:w="2083" w:type="dxa"/>
          </w:tcPr>
          <w:p>
            <w:pPr>
              <w:pStyle w:val="Compact"/>
              <w:spacing w:after="40"/>
              <w:jc w:val="left"/>
            </w:pPr>
            <w:r>
              <w:rPr>
                <w:sz w:val="18"/>
              </w:rPr>
              <w:t xml:space="preserve">Half-yearly</w:t>
            </w:r>
          </w:p>
        </w:tc>
        <w:tc>
          <w:tcPr>
            <w:tcW w:w="4475" w:type="dxa"/>
          </w:tcPr>
          <w:p>
            <w:pPr>
              <w:pStyle w:val="Compact"/>
              <w:spacing w:after="40"/>
              <w:jc w:val="left"/>
            </w:pPr>
            <w:r>
              <w:rPr>
                <w:sz w:val="18"/>
              </w:rPr>
              <w:t xml:space="preserve">Production runs on DR for one full working day, BOD to EOD including COB; RTO and RPO measured; failures re-tested</w:t>
            </w:r>
          </w:p>
        </w:tc>
        <w:tc>
          <w:tcPr>
            <w:tcW w:w="1446" w:type="dxa"/>
          </w:tcPr>
          <w:p>
            <w:pPr>
              <w:pStyle w:val="Compact"/>
              <w:spacing w:after="40"/>
              <w:jc w:val="left"/>
            </w:pPr>
            <w:r>
              <w:rPr>
                <w:sz w:val="18"/>
              </w:rPr>
              <w:t xml:space="preserve">CYB paras 129–131, 138</w:t>
            </w:r>
          </w:p>
        </w:tc>
      </w:tr>
      <w:tr>
        <w:tc>
          <w:tcPr>
            <w:tcW w:w="1634" w:type="dxa"/>
          </w:tcPr>
          <w:p>
            <w:pPr>
              <w:pStyle w:val="Compact"/>
              <w:spacing w:after="40"/>
              <w:jc w:val="left"/>
            </w:pPr>
            <w:r>
              <w:rPr>
                <w:sz w:val="18"/>
              </w:rPr>
              <w:t xml:space="preserve">Ransomware recovery test</w:t>
            </w:r>
          </w:p>
        </w:tc>
        <w:tc>
          <w:tcPr>
            <w:tcW w:w="2083" w:type="dxa"/>
          </w:tcPr>
          <w:p>
            <w:pPr>
              <w:pStyle w:val="Compact"/>
              <w:spacing w:after="40"/>
              <w:jc w:val="left"/>
            </w:pPr>
            <w:r>
              <w:rPr>
                <w:sz w:val="18"/>
              </w:rPr>
              <w:t xml:space="preserve">Yearly</w:t>
            </w:r>
          </w:p>
        </w:tc>
        <w:tc>
          <w:tcPr>
            <w:tcW w:w="4475" w:type="dxa"/>
          </w:tcPr>
          <w:p>
            <w:pPr>
              <w:pStyle w:val="Compact"/>
              <w:spacing w:after="40"/>
              <w:jc w:val="left"/>
            </w:pPr>
            <w:r>
              <w:rPr>
                <w:sz w:val="18"/>
              </w:rPr>
              <w:t xml:space="preserve">Recovery from the immutable vault assuming the production account is lost</w:t>
            </w:r>
          </w:p>
        </w:tc>
        <w:tc>
          <w:tcPr>
            <w:tcW w:w="1446" w:type="dxa"/>
          </w:tcPr>
          <w:p>
            <w:pPr>
              <w:pStyle w:val="Compact"/>
              <w:spacing w:after="40"/>
              <w:jc w:val="left"/>
            </w:pPr>
            <w:r>
              <w:rPr>
                <w:sz w:val="18"/>
              </w:rPr>
              <w:t xml:space="preserve">[REC]</w:t>
            </w:r>
          </w:p>
        </w:tc>
      </w:tr>
      <w:tr>
        <w:tc>
          <w:tcPr>
            <w:tcW w:w="1634" w:type="dxa"/>
          </w:tcPr>
          <w:p>
            <w:pPr>
              <w:pStyle w:val="Compact"/>
              <w:spacing w:after="40"/>
              <w:jc w:val="left"/>
            </w:pPr>
            <w:r>
              <w:rPr>
                <w:sz w:val="18"/>
              </w:rPr>
              <w:t xml:space="preserve">Joint tests with tenants</w:t>
            </w:r>
          </w:p>
        </w:tc>
        <w:tc>
          <w:tcPr>
            <w:tcW w:w="2083" w:type="dxa"/>
          </w:tcPr>
          <w:p>
            <w:pPr>
              <w:pStyle w:val="Compact"/>
              <w:spacing w:after="40"/>
              <w:jc w:val="left"/>
            </w:pPr>
            <w:r>
              <w:rPr>
                <w:sz w:val="18"/>
              </w:rPr>
              <w:t xml:space="preserve">On request and at least yearly for Chapter V tenants</w:t>
            </w:r>
          </w:p>
        </w:tc>
        <w:tc>
          <w:tcPr>
            <w:tcW w:w="4475" w:type="dxa"/>
          </w:tcPr>
          <w:p>
            <w:pPr>
              <w:pStyle w:val="Compact"/>
              <w:spacing w:after="40"/>
              <w:jc w:val="left"/>
            </w:pPr>
            <w:r>
              <w:rPr>
                <w:sz w:val="18"/>
              </w:rPr>
              <w:t xml:space="preserve">Tenant RTO met</w:t>
            </w:r>
          </w:p>
        </w:tc>
        <w:tc>
          <w:tcPr>
            <w:tcW w:w="1446" w:type="dxa"/>
          </w:tcPr>
          <w:p>
            <w:pPr>
              <w:pStyle w:val="Compact"/>
              <w:spacing w:after="40"/>
              <w:jc w:val="left"/>
            </w:pPr>
            <w:r>
              <w:rPr>
                <w:sz w:val="18"/>
              </w:rPr>
              <w:t xml:space="preserve">CYB para 138; OUT para 83</w:t>
            </w:r>
          </w:p>
        </w:tc>
      </w:tr>
      <w:tr>
        <w:tc>
          <w:tcPr>
            <w:tcW w:w="1634" w:type="dxa"/>
          </w:tcPr>
          <w:p>
            <w:pPr>
              <w:pStyle w:val="Compact"/>
              <w:spacing w:after="40"/>
              <w:jc w:val="left"/>
            </w:pPr>
            <w:r>
              <w:rPr>
                <w:sz w:val="18"/>
              </w:rPr>
              <w:t xml:space="preserve">Customer-held backup rehydration</w:t>
            </w:r>
          </w:p>
        </w:tc>
        <w:tc>
          <w:tcPr>
            <w:tcW w:w="2083" w:type="dxa"/>
          </w:tcPr>
          <w:p>
            <w:pPr>
              <w:pStyle w:val="Compact"/>
              <w:spacing w:after="40"/>
              <w:jc w:val="left"/>
            </w:pPr>
            <w:r>
              <w:rPr>
                <w:sz w:val="18"/>
              </w:rPr>
              <w:t xml:space="preserve">Per Part 7J DP4.3</w:t>
            </w:r>
          </w:p>
        </w:tc>
        <w:tc>
          <w:tcPr>
            <w:tcW w:w="4475" w:type="dxa"/>
          </w:tcPr>
          <w:p>
            <w:pPr>
              <w:pStyle w:val="Compact"/>
              <w:spacing w:after="40"/>
              <w:jc w:val="left"/>
            </w:pPr>
            <w:r>
              <w:rPr>
                <w:sz w:val="18"/>
              </w:rPr>
              <w:t xml:space="preserve">As DP4.3</w:t>
            </w:r>
          </w:p>
        </w:tc>
        <w:tc>
          <w:tcPr>
            <w:tcW w:w="1446" w:type="dxa"/>
          </w:tcPr>
          <w:p>
            <w:pPr>
              <w:pStyle w:val="Compact"/>
              <w:spacing w:after="40"/>
              <w:jc w:val="left"/>
            </w:pPr>
            <w:r>
              <w:rPr>
                <w:sz w:val="18"/>
              </w:rPr>
              <w:t xml:space="preserve">DP4</w:t>
            </w:r>
          </w:p>
        </w:tc>
      </w:tr>
    </w:tbl>
    <w:p>
      <w:pPr>
        <w:numPr>
          <w:ilvl w:val="0"/>
          <w:numId w:val="1589"/>
        </w:numPr>
        <w:pStyle w:val="Compact"/>
      </w:pPr>
      <w:r>
        <w:rPr>
          <w:bCs/>
          <w:b/>
        </w:rPr>
        <w:t xml:space="preserve">Evidence:</w:t>
      </w:r>
      <w:r>
        <w:t xml:space="preserve"> </w:t>
      </w:r>
      <w:r>
        <w:rPr>
          <w:rStyle w:val="VerbatimChar"/>
        </w:rPr>
        <w:t xml:space="preserve">BackupCompleted</w:t>
      </w:r>
      <w:r>
        <w:t xml:space="preserve"> </w:t>
      </w:r>
      <w:r>
        <w:t xml:space="preserve">and</w:t>
      </w:r>
      <w:r>
        <w:t xml:space="preserve"> </w:t>
      </w:r>
      <w:r>
        <w:rPr>
          <w:rStyle w:val="VerbatimChar"/>
        </w:rPr>
        <w:t xml:space="preserve">RestoreTested</w:t>
      </w:r>
      <w:r>
        <w:t xml:space="preserve"> </w:t>
      </w:r>
      <w:r>
        <w:t xml:space="preserve">events and a drill report (scope, timeline, RTO and RPO achieved, data reconciliation, issues, actions) per exercise, stored as control evidence (</w:t>
      </w:r>
      <w:r>
        <w:rPr>
          <w:rStyle w:val="VerbatimChar"/>
        </w:rPr>
        <w:t xml:space="preserve">ControlEvidenceCollected</w:t>
      </w:r>
      <w:r>
        <w:t xml:space="preserve">) and issued to tenants in their evidence pack.</w:t>
      </w:r>
    </w:p>
    <w:bookmarkEnd w:id="742"/>
    <w:bookmarkStart w:id="743" w:name="acceptance-tests-66"/>
    <w:p>
      <w:pPr>
        <w:pStyle w:val="Heading3"/>
      </w:pPr>
      <w:r>
        <w:t xml:space="preserve">Acceptance tests</w:t>
      </w:r>
    </w:p>
    <w:p>
      <w:pPr>
        <w:numPr>
          <w:ilvl w:val="0"/>
          <w:numId w:val="1590"/>
        </w:numPr>
        <w:pStyle w:val="Compact"/>
      </w:pPr>
      <w:r>
        <w:t xml:space="preserve">A quarterly restore reproduces the source trial balance and audit hash chain exactly; a seeded corrupted WAL segment fails the test and opens a Sev-2 problem record.</w:t>
      </w:r>
    </w:p>
    <w:p>
      <w:pPr>
        <w:numPr>
          <w:ilvl w:val="0"/>
          <w:numId w:val="1590"/>
        </w:numPr>
        <w:pStyle w:val="Compact"/>
      </w:pPr>
      <w:r>
        <w:t xml:space="preserve">An attempt to delete a vault recovery point from the production account is denied by policy (logged as evidence).</w:t>
      </w:r>
    </w:p>
    <w:p>
      <w:pPr>
        <w:numPr>
          <w:ilvl w:val="0"/>
          <w:numId w:val="1590"/>
        </w:numPr>
        <w:pStyle w:val="Compact"/>
      </w:pPr>
      <w:r>
        <w:t xml:space="preserve">The DR drill report records measured RTO and RPO and is attached to each Chapter V tenant’s evidence pack.</w:t>
      </w:r>
    </w:p>
    <w:p>
      <w:pPr>
        <w:numPr>
          <w:ilvl w:val="0"/>
          <w:numId w:val="1590"/>
        </w:numPr>
        <w:pStyle w:val="Compact"/>
      </w:pPr>
      <w:r>
        <w:t xml:space="preserve">Clock drift above the configured threshold raises an alert.</w:t>
      </w:r>
    </w:p>
    <w:p>
      <w:r>
        <w:pict>
          <v:rect style="width:0;height:1.5pt" o:hralign="center" o:hrstd="t" o:hr="t"/>
        </w:pict>
      </w:r>
    </w:p>
    <w:bookmarkEnd w:id="743"/>
    <w:bookmarkEnd w:id="744"/>
    <w:bookmarkStart w:id="748" w:name="X14c14291a192a3edde63af0a748c396009295e4"/>
    <w:p>
      <w:pPr>
        <w:pStyle w:val="Heading2"/>
      </w:pPr>
      <w:r>
        <w:t xml:space="preserve">EO4. VAPT and audit readiness (IS, internal, external)</w:t>
      </w:r>
    </w:p>
    <w:bookmarkStart w:id="745" w:name="eo4.1-vapt-programme"/>
    <w:p>
      <w:pPr>
        <w:pStyle w:val="Heading3"/>
      </w:pPr>
      <w:r>
        <w:t xml:space="preserve">EO4.1 VAPT programme</w:t>
      </w:r>
    </w:p>
    <w:p>
      <w:pPr>
        <w:numPr>
          <w:ilvl w:val="0"/>
          <w:numId w:val="1591"/>
        </w:numPr>
        <w:pStyle w:val="Compact"/>
      </w:pPr>
      <w:r>
        <w:rPr>
          <w:bCs/>
          <w:b/>
        </w:rPr>
        <w:t xml:space="preserve">Testers:</w:t>
      </w:r>
      <w:r>
        <w:t xml:space="preserve"> </w:t>
      </w:r>
      <w:r>
        <w:t xml:space="preserve">independent, CERT-In-empanelled firm (the market norm tenants expect), not involved in building the system (CYB para 122); firm rotated at least every 3 years [REC]; rules of engagement and scope letter signed; tests on production or documented deviations (CYB para 124).</w:t>
      </w:r>
    </w:p>
    <w:p>
      <w:pPr>
        <w:numPr>
          <w:ilvl w:val="0"/>
          <w:numId w:val="1591"/>
        </w:numPr>
        <w:pStyle w:val="Compact"/>
      </w:pPr>
      <w:r>
        <w:rPr>
          <w:bCs/>
          <w:b/>
        </w:rPr>
        <w:t xml:space="preserve">Cadence and scope by layer: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33"/>
        <w:gridCol w:w="1969"/>
        <w:gridCol w:w="2676"/>
        <w:gridCol w:w="2460"/>
      </w:tblGrid>
      <w:tr>
        <w:trPr>
          <w:tblHeader w:val="true"/>
          <w:tblHeader w:val="true"/>
        </w:trPr>
        <w:tc>
          <w:tcPr>
            <w:tcW w:w="2533" w:type="dxa"/>
            <w:shd w:val="clear" w:color="auto" w:fill="1F3A5F"/>
          </w:tcPr>
          <w:p>
            <w:pPr>
              <w:pStyle w:val="Compact"/>
              <w:spacing w:after="40"/>
              <w:jc w:val="left"/>
            </w:pPr>
            <w:r>
              <w:rPr>
                <w:b/>
                <w:color w:val="FFFFFF"/>
                <w:sz w:val="18"/>
              </w:rPr>
              <w:t xml:space="preserve">Layer</w:t>
            </w:r>
          </w:p>
        </w:tc>
        <w:tc>
          <w:tcPr>
            <w:tcW w:w="1969" w:type="dxa"/>
            <w:shd w:val="clear" w:color="auto" w:fill="1F3A5F"/>
          </w:tcPr>
          <w:p>
            <w:pPr>
              <w:pStyle w:val="Compact"/>
              <w:spacing w:after="40"/>
              <w:jc w:val="left"/>
            </w:pPr>
            <w:r>
              <w:rPr>
                <w:b/>
                <w:color w:val="FFFFFF"/>
                <w:sz w:val="18"/>
              </w:rPr>
              <w:t xml:space="preserve">Vulnerability assessment</w:t>
            </w:r>
          </w:p>
        </w:tc>
        <w:tc>
          <w:tcPr>
            <w:tcW w:w="2676" w:type="dxa"/>
            <w:shd w:val="clear" w:color="auto" w:fill="1F3A5F"/>
          </w:tcPr>
          <w:p>
            <w:pPr>
              <w:pStyle w:val="Compact"/>
              <w:spacing w:after="40"/>
              <w:jc w:val="left"/>
            </w:pPr>
            <w:r>
              <w:rPr>
                <w:b/>
                <w:color w:val="FFFFFF"/>
                <w:sz w:val="18"/>
              </w:rPr>
              <w:t xml:space="preserve">Penetration test</w:t>
            </w:r>
          </w:p>
        </w:tc>
        <w:tc>
          <w:tcPr>
            <w:tcW w:w="2460" w:type="dxa"/>
            <w:shd w:val="clear" w:color="auto" w:fill="1F3A5F"/>
          </w:tcPr>
          <w:p>
            <w:pPr>
              <w:pStyle w:val="Compact"/>
              <w:spacing w:after="40"/>
              <w:jc w:val="left"/>
            </w:pPr>
            <w:r>
              <w:rPr>
                <w:b/>
                <w:color w:val="FFFFFF"/>
                <w:sz w:val="18"/>
              </w:rPr>
              <w:t xml:space="preserve">Notes</w:t>
            </w:r>
          </w:p>
        </w:tc>
      </w:tr>
      <w:tr>
        <w:tc>
          <w:tcPr>
            <w:tcW w:w="2533" w:type="dxa"/>
          </w:tcPr>
          <w:p>
            <w:pPr>
              <w:pStyle w:val="Compact"/>
              <w:spacing w:after="40"/>
              <w:jc w:val="left"/>
            </w:pPr>
            <w:r>
              <w:rPr>
                <w:sz w:val="18"/>
              </w:rPr>
              <w:t xml:space="preserve">Internet-facing web app, APIs, borrower portal, partner and Udofin endpoints, webhooks</w:t>
            </w:r>
          </w:p>
        </w:tc>
        <w:tc>
          <w:tcPr>
            <w:tcW w:w="1969" w:type="dxa"/>
          </w:tcPr>
          <w:p>
            <w:pPr>
              <w:pStyle w:val="Compact"/>
              <w:spacing w:after="40"/>
              <w:jc w:val="left"/>
            </w:pPr>
            <w:r>
              <w:rPr>
                <w:sz w:val="18"/>
              </w:rPr>
              <w:t xml:space="preserve">Continuous automated plus independent every 6 months</w:t>
            </w:r>
          </w:p>
        </w:tc>
        <w:tc>
          <w:tcPr>
            <w:tcW w:w="2676" w:type="dxa"/>
          </w:tcPr>
          <w:p>
            <w:pPr>
              <w:pStyle w:val="Compact"/>
              <w:spacing w:after="40"/>
              <w:jc w:val="left"/>
            </w:pPr>
            <w:r>
              <w:rPr>
                <w:sz w:val="18"/>
              </w:rPr>
              <w:t xml:space="preserve">Every 12 months, before go-live and after major change</w:t>
            </w:r>
          </w:p>
        </w:tc>
        <w:tc>
          <w:tcPr>
            <w:tcW w:w="2460" w:type="dxa"/>
          </w:tcPr>
          <w:p>
            <w:pPr>
              <w:pStyle w:val="Compact"/>
              <w:spacing w:after="40"/>
              <w:jc w:val="left"/>
            </w:pPr>
            <w:r>
              <w:rPr>
                <w:sz w:val="18"/>
              </w:rPr>
              <w:t xml:space="preserve">CYB para 121 sets the floor for Chapter V tenants; the platform applies it to all</w:t>
            </w:r>
          </w:p>
        </w:tc>
      </w:tr>
      <w:tr>
        <w:tc>
          <w:tcPr>
            <w:tcW w:w="2533" w:type="dxa"/>
          </w:tcPr>
          <w:p>
            <w:pPr>
              <w:pStyle w:val="Compact"/>
              <w:spacing w:after="40"/>
              <w:jc w:val="left"/>
            </w:pPr>
            <w:r>
              <w:rPr>
                <w:sz w:val="18"/>
              </w:rPr>
              <w:t xml:space="preserve">Field app (mobile)</w:t>
            </w:r>
          </w:p>
        </w:tc>
        <w:tc>
          <w:tcPr>
            <w:tcW w:w="1969" w:type="dxa"/>
          </w:tcPr>
          <w:p>
            <w:pPr>
              <w:pStyle w:val="Compact"/>
              <w:spacing w:after="40"/>
              <w:jc w:val="left"/>
            </w:pPr>
            <w:r>
              <w:rPr>
                <w:sz w:val="18"/>
              </w:rPr>
              <w:t xml:space="preserve">Each major release</w:t>
            </w:r>
          </w:p>
        </w:tc>
        <w:tc>
          <w:tcPr>
            <w:tcW w:w="2676" w:type="dxa"/>
          </w:tcPr>
          <w:p>
            <w:pPr>
              <w:pStyle w:val="Compact"/>
              <w:spacing w:after="40"/>
              <w:jc w:val="left"/>
            </w:pPr>
            <w:r>
              <w:rPr>
                <w:sz w:val="18"/>
              </w:rPr>
              <w:t xml:space="preserve">Every 12 months (OWASP MASVS)</w:t>
            </w:r>
          </w:p>
        </w:tc>
        <w:tc>
          <w:tcPr>
            <w:tcW w:w="2460" w:type="dxa"/>
          </w:tcPr>
          <w:p>
            <w:pPr>
              <w:pStyle w:val="Compact"/>
              <w:spacing w:after="40"/>
              <w:jc w:val="left"/>
            </w:pPr>
            <w:r>
              <w:rPr>
                <w:sz w:val="18"/>
              </w:rPr>
              <w:t xml:space="preserve">—</w:t>
            </w:r>
          </w:p>
        </w:tc>
      </w:tr>
      <w:tr>
        <w:tc>
          <w:tcPr>
            <w:tcW w:w="2533" w:type="dxa"/>
          </w:tcPr>
          <w:p>
            <w:pPr>
              <w:pStyle w:val="Compact"/>
              <w:spacing w:after="40"/>
              <w:jc w:val="left"/>
            </w:pPr>
            <w:r>
              <w:rPr>
                <w:sz w:val="18"/>
              </w:rPr>
              <w:t xml:space="preserve">Cloud configuration and network</w:t>
            </w:r>
          </w:p>
        </w:tc>
        <w:tc>
          <w:tcPr>
            <w:tcW w:w="1969" w:type="dxa"/>
          </w:tcPr>
          <w:p>
            <w:pPr>
              <w:pStyle w:val="Compact"/>
              <w:spacing w:after="40"/>
              <w:jc w:val="left"/>
            </w:pPr>
            <w:r>
              <w:rPr>
                <w:sz w:val="18"/>
              </w:rPr>
              <w:t xml:space="preserve">Continuous posture scanning (CIS benchmarks)</w:t>
            </w:r>
          </w:p>
        </w:tc>
        <w:tc>
          <w:tcPr>
            <w:tcW w:w="2676" w:type="dxa"/>
          </w:tcPr>
          <w:p>
            <w:pPr>
              <w:pStyle w:val="Compact"/>
              <w:spacing w:after="40"/>
              <w:jc w:val="left"/>
            </w:pPr>
            <w:r>
              <w:rPr>
                <w:sz w:val="18"/>
              </w:rPr>
              <w:t xml:space="preserve">Every 12 months</w:t>
            </w:r>
          </w:p>
        </w:tc>
        <w:tc>
          <w:tcPr>
            <w:tcW w:w="2460" w:type="dxa"/>
          </w:tcPr>
          <w:p>
            <w:pPr>
              <w:pStyle w:val="Compact"/>
              <w:spacing w:after="40"/>
              <w:jc w:val="left"/>
            </w:pPr>
            <w:r>
              <w:rPr>
                <w:sz w:val="18"/>
              </w:rPr>
              <w:t xml:space="preserve">DC and DR both</w:t>
            </w:r>
          </w:p>
        </w:tc>
      </w:tr>
      <w:tr>
        <w:tc>
          <w:tcPr>
            <w:tcW w:w="2533" w:type="dxa"/>
          </w:tcPr>
          <w:p>
            <w:pPr>
              <w:pStyle w:val="Compact"/>
              <w:spacing w:after="40"/>
              <w:jc w:val="left"/>
            </w:pPr>
            <w:r>
              <w:rPr>
                <w:sz w:val="18"/>
              </w:rPr>
              <w:t xml:space="preserve">Source code</w:t>
            </w:r>
          </w:p>
        </w:tc>
        <w:tc>
          <w:tcPr>
            <w:tcW w:w="1969" w:type="dxa"/>
          </w:tcPr>
          <w:p>
            <w:pPr>
              <w:pStyle w:val="Compact"/>
              <w:spacing w:after="40"/>
              <w:jc w:val="left"/>
            </w:pPr>
            <w:r>
              <w:rPr>
                <w:sz w:val="18"/>
              </w:rPr>
              <w:t xml:space="preserve">SAST on every pull request</w:t>
            </w:r>
          </w:p>
        </w:tc>
        <w:tc>
          <w:tcPr>
            <w:tcW w:w="2676" w:type="dxa"/>
          </w:tcPr>
          <w:p>
            <w:pPr>
              <w:pStyle w:val="Compact"/>
              <w:spacing w:after="40"/>
              <w:jc w:val="left"/>
            </w:pPr>
            <w:r>
              <w:rPr>
                <w:sz w:val="18"/>
              </w:rPr>
              <w:t xml:space="preserve">Manual secure code review every 12 months of high-risk modules (auth, ledger, payments, exports)</w:t>
            </w:r>
          </w:p>
        </w:tc>
        <w:tc>
          <w:tcPr>
            <w:tcW w:w="2460" w:type="dxa"/>
          </w:tcPr>
          <w:p>
            <w:pPr>
              <w:pStyle w:val="Compact"/>
              <w:spacing w:after="40"/>
              <w:jc w:val="left"/>
            </w:pPr>
            <w:r>
              <w:rPr>
                <w:sz w:val="18"/>
              </w:rPr>
              <w:t xml:space="preserve">DPS paras 29–35 where in scope</w:t>
            </w:r>
          </w:p>
        </w:tc>
      </w:tr>
      <w:tr>
        <w:tc>
          <w:tcPr>
            <w:tcW w:w="2533" w:type="dxa"/>
          </w:tcPr>
          <w:p>
            <w:pPr>
              <w:pStyle w:val="Compact"/>
              <w:spacing w:after="40"/>
              <w:jc w:val="left"/>
            </w:pPr>
            <w:r>
              <w:rPr>
                <w:sz w:val="18"/>
              </w:rPr>
              <w:t xml:space="preserve">On-premises agent and storage connectors</w:t>
            </w:r>
          </w:p>
        </w:tc>
        <w:tc>
          <w:tcPr>
            <w:tcW w:w="1969" w:type="dxa"/>
          </w:tcPr>
          <w:p>
            <w:pPr>
              <w:pStyle w:val="Compact"/>
              <w:spacing w:after="40"/>
              <w:jc w:val="left"/>
            </w:pPr>
            <w:r>
              <w:rPr>
                <w:sz w:val="18"/>
              </w:rPr>
              <w:t xml:space="preserve">Each release</w:t>
            </w:r>
          </w:p>
        </w:tc>
        <w:tc>
          <w:tcPr>
            <w:tcW w:w="2676" w:type="dxa"/>
          </w:tcPr>
          <w:p>
            <w:pPr>
              <w:pStyle w:val="Compact"/>
              <w:spacing w:after="40"/>
              <w:jc w:val="left"/>
            </w:pPr>
            <w:r>
              <w:rPr>
                <w:sz w:val="18"/>
              </w:rPr>
              <w:t xml:space="preserve">Every 12 months</w:t>
            </w:r>
          </w:p>
        </w:tc>
        <w:tc>
          <w:tcPr>
            <w:tcW w:w="2460" w:type="dxa"/>
          </w:tcPr>
          <w:p>
            <w:pPr>
              <w:pStyle w:val="Compact"/>
              <w:spacing w:after="40"/>
              <w:jc w:val="left"/>
            </w:pPr>
            <w:r>
              <w:rPr>
                <w:sz w:val="18"/>
              </w:rPr>
              <w:t xml:space="preserve">Part 7C AC6.1; Part 7F GV7.5; Part 7J DP3</w:t>
            </w:r>
          </w:p>
        </w:tc>
      </w:tr>
      <w:tr>
        <w:tc>
          <w:tcPr>
            <w:tcW w:w="2533" w:type="dxa"/>
          </w:tcPr>
          <w:p>
            <w:pPr>
              <w:pStyle w:val="Compact"/>
              <w:spacing w:after="40"/>
              <w:jc w:val="left"/>
            </w:pPr>
            <w:r>
              <w:rPr>
                <w:sz w:val="18"/>
              </w:rPr>
              <w:t xml:space="preserve">People</w:t>
            </w:r>
          </w:p>
        </w:tc>
        <w:tc>
          <w:tcPr>
            <w:tcW w:w="1969" w:type="dxa"/>
          </w:tcPr>
          <w:p>
            <w:pPr>
              <w:pStyle w:val="Compact"/>
              <w:spacing w:after="40"/>
              <w:jc w:val="left"/>
            </w:pPr>
            <w:r>
              <w:rPr>
                <w:sz w:val="18"/>
              </w:rPr>
              <w:t xml:space="preserve">Phishing simulation for Infrabyx staff</w:t>
            </w:r>
          </w:p>
        </w:tc>
        <w:tc>
          <w:tcPr>
            <w:tcW w:w="2676" w:type="dxa"/>
          </w:tcPr>
          <w:p>
            <w:pPr>
              <w:pStyle w:val="Compact"/>
              <w:spacing w:after="40"/>
              <w:jc w:val="left"/>
            </w:pPr>
            <w:r>
              <w:rPr>
                <w:sz w:val="18"/>
              </w:rPr>
              <w:t xml:space="preserve">Yearly</w:t>
            </w:r>
          </w:p>
        </w:tc>
        <w:tc>
          <w:tcPr>
            <w:tcW w:w="2460" w:type="dxa"/>
          </w:tcPr>
          <w:p>
            <w:pPr>
              <w:pStyle w:val="Compact"/>
              <w:spacing w:after="40"/>
              <w:jc w:val="left"/>
            </w:pPr>
            <w:r>
              <w:rPr>
                <w:sz w:val="18"/>
              </w:rPr>
              <w:t xml:space="preserve">[REC]</w:t>
            </w:r>
          </w:p>
        </w:tc>
      </w:tr>
    </w:tbl>
    <w:p>
      <w:pPr>
        <w:numPr>
          <w:ilvl w:val="0"/>
          <w:numId w:val="1592"/>
        </w:numPr>
        <w:pStyle w:val="Compact"/>
      </w:pPr>
      <w:r>
        <w:rPr>
          <w:bCs/>
          <w:b/>
        </w:rPr>
        <w:t xml:space="preserve">Findings:</w:t>
      </w:r>
      <w:r>
        <w:t xml:space="preserve"> </w:t>
      </w:r>
      <w:r>
        <w:t xml:space="preserve">tracked with the EO1.6 SLAs; retest by the same firm; closure evidence; trend reporting to the Infrabyx board and to tenants. Tenants receive an executive summary each cycle and the full report under NDA on request; pooled audits are supported (OUT para 77).</w:t>
      </w:r>
    </w:p>
    <w:bookmarkEnd w:id="745"/>
    <w:bookmarkStart w:id="746" w:name="eo4.2-audit-readiness"/>
    <w:p>
      <w:pPr>
        <w:pStyle w:val="Heading3"/>
      </w:pPr>
      <w:r>
        <w:t xml:space="preserve">EO4.2 Audit readiness</w:t>
      </w:r>
    </w:p>
    <w:p>
      <w:pPr>
        <w:numPr>
          <w:ilvl w:val="0"/>
          <w:numId w:val="1593"/>
        </w:numPr>
        <w:pStyle w:val="Compact"/>
      </w:pPr>
      <w:r>
        <w:rPr>
          <w:bCs/>
          <w:b/>
        </w:rPr>
        <w:t xml:space="preserve">Tenant IS audit</w:t>
      </w:r>
      <w:r>
        <w:t xml:space="preserve"> </w:t>
      </w:r>
      <w:r>
        <w:t xml:space="preserve">(CYB para 56; Part 7D AU4): a standing evidence pack (policies, architecture, data flows, access reviews, change and patch records, VAPT reports, DR drill reports, SOC or ISO reports, sub-processor list, SBOM, escrow receipt, CYB 106 certificates) delivered through the AU7 auditor workspace.</w:t>
      </w:r>
    </w:p>
    <w:p>
      <w:pPr>
        <w:numPr>
          <w:ilvl w:val="0"/>
          <w:numId w:val="1593"/>
        </w:numPr>
        <w:pStyle w:val="Compact"/>
      </w:pPr>
      <w:r>
        <w:rPr>
          <w:bCs/>
          <w:b/>
        </w:rPr>
        <w:t xml:space="preserve">Tenant statutory audit:</w:t>
      </w:r>
      <w:r>
        <w:t xml:space="preserve"> </w:t>
      </w:r>
      <w:r>
        <w:t xml:space="preserve">because Finbyx holds tenants’ books of account, tenants’ statutory auditors may need a service-organisation report on controls relevant to financial reporting (SA 402). Offer a</w:t>
      </w:r>
      <w:r>
        <w:t xml:space="preserve"> </w:t>
      </w:r>
      <w:r>
        <w:rPr>
          <w:bCs/>
          <w:b/>
        </w:rPr>
        <w:t xml:space="preserve">SOC 1 Type 2 (SAE 3402 or ISAE 3402) report</w:t>
      </w:r>
      <w:r>
        <w:t xml:space="preserve"> </w:t>
      </w:r>
      <w:r>
        <w:t xml:space="preserve">in addition to SOC 2 [REC], plus the Rule 11(g) audit-trail evidence pack from AC7.</w:t>
      </w:r>
    </w:p>
    <w:p>
      <w:pPr>
        <w:numPr>
          <w:ilvl w:val="0"/>
          <w:numId w:val="1593"/>
        </w:numPr>
        <w:pStyle w:val="Compact"/>
      </w:pPr>
      <w:r>
        <w:rPr>
          <w:bCs/>
          <w:b/>
        </w:rPr>
        <w:t xml:space="preserve">Infrabyx internal audit:</w:t>
      </w:r>
      <w:r>
        <w:t xml:space="preserve"> </w:t>
      </w:r>
      <w:r>
        <w:t xml:space="preserve">quarterly control testing of the common control framework by a function independent of engineering (an outsourced internal-audit firm is allowed for Infrabyx, which is not an RBI-regulated entity); findings tracked in OH14.</w:t>
      </w:r>
    </w:p>
    <w:p>
      <w:pPr>
        <w:numPr>
          <w:ilvl w:val="0"/>
          <w:numId w:val="1593"/>
        </w:numPr>
        <w:pStyle w:val="Compact"/>
      </w:pPr>
      <w:r>
        <w:rPr>
          <w:bCs/>
          <w:b/>
        </w:rPr>
        <w:t xml:space="preserve">External assurance:</w:t>
      </w:r>
      <w:r>
        <w:t xml:space="preserve"> </w:t>
      </w:r>
      <w:r>
        <w:t xml:space="preserve">SOC 2 auditor and ISO certification body (EO5); RBI and tenant access to Infrabyx premises, data, logs and subcontractors on request (OUT paras 34(ii), 74(ii), 81).</w:t>
      </w:r>
    </w:p>
    <w:p>
      <w:pPr>
        <w:numPr>
          <w:ilvl w:val="0"/>
          <w:numId w:val="1593"/>
        </w:numPr>
        <w:pStyle w:val="Compact"/>
      </w:pPr>
      <w:r>
        <w:rPr>
          <w:bCs/>
          <w:b/>
        </w:rPr>
        <w:t xml:space="preserve">Incidents:</w:t>
      </w:r>
      <w:r>
        <w:t xml:space="preserve"> </w:t>
      </w:r>
      <w:r>
        <w:t xml:space="preserve">CERT-In report within 6 hours; tenant notice target ≤ 2 hours from Finbyx detection (Part 10.6 item 6); forensics and RCA support (CYB para 140); every clock recorded as evidence.</w:t>
      </w:r>
    </w:p>
    <w:bookmarkEnd w:id="746"/>
    <w:bookmarkStart w:id="747" w:name="acceptance-tests-67"/>
    <w:p>
      <w:pPr>
        <w:pStyle w:val="Heading3"/>
      </w:pPr>
      <w:r>
        <w:t xml:space="preserve">Acceptance tests</w:t>
      </w:r>
    </w:p>
    <w:p>
      <w:pPr>
        <w:numPr>
          <w:ilvl w:val="0"/>
          <w:numId w:val="1594"/>
        </w:numPr>
        <w:pStyle w:val="Compact"/>
      </w:pPr>
      <w:r>
        <w:t xml:space="preserve">A VAPT critical finding is tracked to closure within 72 hours with a retest record; an unretested closure fails the evidence check.</w:t>
      </w:r>
    </w:p>
    <w:p>
      <w:pPr>
        <w:numPr>
          <w:ilvl w:val="0"/>
          <w:numId w:val="1594"/>
        </w:numPr>
        <w:pStyle w:val="Compact"/>
      </w:pPr>
      <w:r>
        <w:t xml:space="preserve">Every Chapter V tenant’s evidence pack contains the latest VA (≤ 6 months old) and PT (≤ 12 months old) summaries; a stale report raises an exception 30 days before expiry.</w:t>
      </w:r>
    </w:p>
    <w:p>
      <w:pPr>
        <w:numPr>
          <w:ilvl w:val="0"/>
          <w:numId w:val="1594"/>
        </w:numPr>
        <w:pStyle w:val="Compact"/>
      </w:pPr>
      <w:r>
        <w:t xml:space="preserve">The IS-audit evidence pack can be generated for a tenant in one action and contains only that tenant’s tenant-specific evidence plus platform-level evidence.</w:t>
      </w:r>
    </w:p>
    <w:p>
      <w:pPr>
        <w:numPr>
          <w:ilvl w:val="0"/>
          <w:numId w:val="1594"/>
        </w:numPr>
        <w:pStyle w:val="Compact"/>
      </w:pPr>
      <w:r>
        <w:t xml:space="preserve">An incident drill records detection time, tenant notice time and CERT-In report time, and flags any clock missed.</w:t>
      </w:r>
    </w:p>
    <w:p>
      <w:r>
        <w:pict>
          <v:rect style="width:0;height:1.5pt" o:hralign="center" o:hrstd="t" o:hr="t"/>
        </w:pict>
      </w:r>
    </w:p>
    <w:bookmarkEnd w:id="747"/>
    <w:bookmarkEnd w:id="748"/>
    <w:bookmarkStart w:id="756" w:name="X87f6d8ea3f64d81dab3634acc03c5b77d7e1bbf"/>
    <w:p>
      <w:pPr>
        <w:pStyle w:val="Heading2"/>
      </w:pPr>
      <w:r>
        <w:t xml:space="preserve">EO5. Certification readiness: PCI DSS, SOC 2 Type 1 and Type 2, ISO standards</w:t>
      </w:r>
    </w:p>
    <w:bookmarkStart w:id="749" w:name="eo5.1-programme-rules"/>
    <w:p>
      <w:pPr>
        <w:pStyle w:val="Heading3"/>
      </w:pPr>
      <w:r>
        <w:t xml:space="preserve">EO5.1 Programme rules</w:t>
      </w:r>
    </w:p>
    <w:p>
      <w:pPr>
        <w:numPr>
          <w:ilvl w:val="0"/>
          <w:numId w:val="1595"/>
        </w:numPr>
        <w:pStyle w:val="Compact"/>
      </w:pPr>
      <w:r>
        <w:t xml:space="preserve">Certification is a</w:t>
      </w:r>
      <w:r>
        <w:t xml:space="preserve"> </w:t>
      </w:r>
      <w:r>
        <w:rPr>
          <w:bCs/>
          <w:b/>
        </w:rPr>
        <w:t xml:space="preserve">programme</w:t>
      </w:r>
      <w:r>
        <w:t xml:space="preserve">, not a claim. Until a report or certificate is issued, Infrabyx says</w:t>
      </w:r>
      <w:r>
        <w:t xml:space="preserve"> </w:t>
      </w:r>
      <w:r>
        <w:t xml:space="preserve">“</w:t>
      </w:r>
      <w:r>
        <w:t xml:space="preserve">aligned to</w:t>
      </w:r>
      <w:r>
        <w:t xml:space="preserve">”</w:t>
      </w:r>
      <w:r>
        <w:t xml:space="preserve"> </w:t>
      </w:r>
      <w:r>
        <w:t xml:space="preserve">or</w:t>
      </w:r>
      <w:r>
        <w:t xml:space="preserve"> </w:t>
      </w:r>
      <w:r>
        <w:t xml:space="preserve">“</w:t>
      </w:r>
      <w:r>
        <w:t xml:space="preserve">in progress</w:t>
      </w:r>
      <w:r>
        <w:t xml:space="preserve">”</w:t>
      </w:r>
      <w:r>
        <w:t xml:space="preserve">; once issued, it states scheme, scope, report period or certificate number, issuing body and date. The claims gate in the Operations Hub (OH7, OH14.6) blocks any marketing, sales or product text that claims otherwise (CM2.3 check).</w:t>
      </w:r>
    </w:p>
    <w:p>
      <w:pPr>
        <w:numPr>
          <w:ilvl w:val="0"/>
          <w:numId w:val="1595"/>
        </w:numPr>
        <w:pStyle w:val="Compact"/>
      </w:pPr>
      <w:r>
        <w:t xml:space="preserve">Tenants may rely on recognised certifications instead of their own audit, subject to their risk assessment, if scope covers the OUT para 97(xvii) heads (OUT para 79; Part 10.6 items 12 and 30).</w:t>
      </w:r>
    </w:p>
    <w:p>
      <w:pPr>
        <w:numPr>
          <w:ilvl w:val="0"/>
          <w:numId w:val="1595"/>
        </w:numPr>
        <w:pStyle w:val="Compact"/>
      </w:pPr>
      <w:r>
        <w:t xml:space="preserve">Policies are drafted later as a separate workstream; this Part fixes the control framework and evidence they will reference.</w:t>
      </w:r>
    </w:p>
    <w:bookmarkEnd w:id="749"/>
    <w:bookmarkStart w:id="750" w:name="eo5.2-schemes"/>
    <w:p>
      <w:pPr>
        <w:pStyle w:val="Heading3"/>
      </w:pPr>
      <w:r>
        <w:t xml:space="preserve">EO5.2 Schemes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35"/>
        <w:gridCol w:w="5664"/>
        <w:gridCol w:w="2139"/>
      </w:tblGrid>
      <w:tr>
        <w:trPr>
          <w:tblHeader w:val="true"/>
          <w:tblHeader w:val="true"/>
        </w:trPr>
        <w:tc>
          <w:tcPr>
            <w:tcW w:w="1835" w:type="dxa"/>
            <w:shd w:val="clear" w:color="auto" w:fill="1F3A5F"/>
          </w:tcPr>
          <w:p>
            <w:pPr>
              <w:pStyle w:val="Compact"/>
              <w:spacing w:after="40"/>
              <w:jc w:val="left"/>
            </w:pPr>
            <w:r>
              <w:rPr>
                <w:b/>
                <w:color w:val="FFFFFF"/>
                <w:sz w:val="18"/>
              </w:rPr>
              <w:t xml:space="preserve">Scheme</w:t>
            </w:r>
          </w:p>
        </w:tc>
        <w:tc>
          <w:tcPr>
            <w:tcW w:w="5664" w:type="dxa"/>
            <w:shd w:val="clear" w:color="auto" w:fill="1F3A5F"/>
          </w:tcPr>
          <w:p>
            <w:pPr>
              <w:pStyle w:val="Compact"/>
              <w:spacing w:after="40"/>
              <w:jc w:val="left"/>
            </w:pPr>
            <w:r>
              <w:rPr>
                <w:b/>
                <w:color w:val="FFFFFF"/>
                <w:sz w:val="18"/>
              </w:rPr>
              <w:t xml:space="preserve">Scope and approach</w:t>
            </w:r>
          </w:p>
        </w:tc>
        <w:tc>
          <w:tcPr>
            <w:tcW w:w="2139" w:type="dxa"/>
            <w:shd w:val="clear" w:color="auto" w:fill="1F3A5F"/>
          </w:tcPr>
          <w:p>
            <w:pPr>
              <w:pStyle w:val="Compact"/>
              <w:spacing w:after="40"/>
              <w:jc w:val="left"/>
            </w:pPr>
            <w:r>
              <w:rPr>
                <w:b/>
                <w:color w:val="FFFFFF"/>
                <w:sz w:val="18"/>
              </w:rPr>
              <w:t xml:space="preserve">Status target [REC]</w:t>
            </w:r>
          </w:p>
        </w:tc>
      </w:tr>
      <w:tr>
        <w:tc>
          <w:tcPr>
            <w:tcW w:w="1835" w:type="dxa"/>
          </w:tcPr>
          <w:p>
            <w:pPr>
              <w:pStyle w:val="Compact"/>
              <w:spacing w:after="40"/>
              <w:jc w:val="left"/>
            </w:pPr>
            <w:r>
              <w:rPr>
                <w:sz w:val="18"/>
              </w:rPr>
              <w:t xml:space="preserve">PCI DSS v4.0.1, SAQ A</w:t>
            </w:r>
          </w:p>
        </w:tc>
        <w:tc>
          <w:tcPr>
            <w:tcW w:w="5664" w:type="dxa"/>
          </w:tcPr>
          <w:p>
            <w:pPr>
              <w:pStyle w:val="Compact"/>
              <w:spacing w:after="40"/>
              <w:jc w:val="left"/>
            </w:pPr>
            <w:r>
              <w:rPr>
                <w:sz w:val="18"/>
              </w:rPr>
              <w:t xml:space="preserve">Infrabyx as merchant for its own fees: hosted or redirect payment pages only (CM4); Finbyx outside the cardholder-data environment. SAQ A (revised 31 Jan 2025) removed requirements 6.4.3, 11.6.1 and 12.3.1 but requires confirming the site is not susceptible to script attacks; keep a script inventory, CSP and change detection on billing and borrower-portal pages anyway. Tenant borrower payments use the tenant’s own gateway; if a tenant embeds a payment iframe in the borrower portal, the same script controls apply. Card-issuing tenants: PCI confirmations where in scope (DPS para 69)</w:t>
            </w:r>
          </w:p>
        </w:tc>
        <w:tc>
          <w:tcPr>
            <w:tcW w:w="2139" w:type="dxa"/>
          </w:tcPr>
          <w:p>
            <w:pPr>
              <w:pStyle w:val="Compact"/>
              <w:spacing w:after="40"/>
              <w:jc w:val="left"/>
            </w:pPr>
            <w:r>
              <w:rPr>
                <w:sz w:val="18"/>
              </w:rPr>
              <w:t xml:space="preserve">SAQ A self-assessment yearly, from the first paid invoice</w:t>
            </w:r>
          </w:p>
        </w:tc>
      </w:tr>
      <w:tr>
        <w:tc>
          <w:tcPr>
            <w:tcW w:w="1835" w:type="dxa"/>
          </w:tcPr>
          <w:p>
            <w:pPr>
              <w:pStyle w:val="Compact"/>
              <w:spacing w:after="40"/>
              <w:jc w:val="left"/>
            </w:pPr>
            <w:r>
              <w:rPr>
                <w:sz w:val="18"/>
              </w:rPr>
              <w:t xml:space="preserve">SOC 2 Type 1, then Type 2</w:t>
            </w:r>
          </w:p>
        </w:tc>
        <w:tc>
          <w:tcPr>
            <w:tcW w:w="5664" w:type="dxa"/>
          </w:tcPr>
          <w:p>
            <w:pPr>
              <w:pStyle w:val="Compact"/>
              <w:spacing w:after="40"/>
              <w:jc w:val="left"/>
            </w:pPr>
            <w:r>
              <w:rPr>
                <w:sz w:val="18"/>
              </w:rPr>
              <w:t xml:space="preserve">AICPA 2017 Trust Services Criteria with 2022 points of focus: Security (CC1–CC9) plus Availability, Confidentiality and Processing Integrity (lending calculations); Privacy optional. Licensed CPA firm. Type 1 tests design at a point in time; Type 2 tests operating effectiveness over a window of 3–12 months [VERIFY]. Subservice organisations (cloud, payment aggregator, messaging) by carve-out with complementary user-entity controls</w:t>
            </w:r>
          </w:p>
        </w:tc>
        <w:tc>
          <w:tcPr>
            <w:tcW w:w="2139" w:type="dxa"/>
          </w:tcPr>
          <w:p>
            <w:pPr>
              <w:pStyle w:val="Compact"/>
              <w:spacing w:after="40"/>
              <w:jc w:val="left"/>
            </w:pPr>
            <w:r>
              <w:rPr>
                <w:sz w:val="18"/>
              </w:rPr>
              <w:t xml:space="preserve">Type 1 around month 9; first Type 2 window 6 months</w:t>
            </w:r>
          </w:p>
        </w:tc>
      </w:tr>
      <w:tr>
        <w:tc>
          <w:tcPr>
            <w:tcW w:w="1835" w:type="dxa"/>
          </w:tcPr>
          <w:p>
            <w:pPr>
              <w:pStyle w:val="Compact"/>
              <w:spacing w:after="40"/>
              <w:jc w:val="left"/>
            </w:pPr>
            <w:r>
              <w:rPr>
                <w:sz w:val="18"/>
              </w:rPr>
              <w:t xml:space="preserve">SOC 1 Type 2</w:t>
            </w:r>
          </w:p>
        </w:tc>
        <w:tc>
          <w:tcPr>
            <w:tcW w:w="5664" w:type="dxa"/>
          </w:tcPr>
          <w:p>
            <w:pPr>
              <w:pStyle w:val="Compact"/>
              <w:spacing w:after="40"/>
              <w:jc w:val="left"/>
            </w:pPr>
            <w:r>
              <w:rPr>
                <w:sz w:val="18"/>
              </w:rPr>
              <w:t xml:space="preserve">Controls relevant to tenants’ financial reporting (EO4.2)</w:t>
            </w:r>
          </w:p>
        </w:tc>
        <w:tc>
          <w:tcPr>
            <w:tcW w:w="2139" w:type="dxa"/>
          </w:tcPr>
          <w:p>
            <w:pPr>
              <w:pStyle w:val="Compact"/>
              <w:spacing w:after="40"/>
              <w:jc w:val="left"/>
            </w:pPr>
            <w:r>
              <w:rPr>
                <w:sz w:val="18"/>
              </w:rPr>
              <w:t xml:space="preserve">After SOC 2 Type 1</w:t>
            </w:r>
          </w:p>
        </w:tc>
      </w:tr>
      <w:tr>
        <w:tc>
          <w:tcPr>
            <w:tcW w:w="1835" w:type="dxa"/>
          </w:tcPr>
          <w:p>
            <w:pPr>
              <w:pStyle w:val="Compact"/>
              <w:spacing w:after="40"/>
              <w:jc w:val="left"/>
            </w:pPr>
            <w:r>
              <w:rPr>
                <w:sz w:val="18"/>
              </w:rPr>
              <w:t xml:space="preserve">ISO/IEC 27001:2022 (with Amendment 1:2024)</w:t>
            </w:r>
          </w:p>
        </w:tc>
        <w:tc>
          <w:tcPr>
            <w:tcW w:w="5664" w:type="dxa"/>
          </w:tcPr>
          <w:p>
            <w:pPr>
              <w:pStyle w:val="Compact"/>
              <w:spacing w:after="40"/>
              <w:jc w:val="left"/>
            </w:pPr>
            <w:r>
              <w:rPr>
                <w:sz w:val="18"/>
              </w:rPr>
              <w:t xml:space="preserve">ISMS; Statement of Applicability over the 93 Annex A controls; accredited certification body; Stage 1 and Stage 2, annual surveillance, 3-year cycle [VERIFY amendment details]</w:t>
            </w:r>
          </w:p>
        </w:tc>
        <w:tc>
          <w:tcPr>
            <w:tcW w:w="2139" w:type="dxa"/>
          </w:tcPr>
          <w:p>
            <w:pPr>
              <w:pStyle w:val="Compact"/>
              <w:spacing w:after="40"/>
              <w:jc w:val="left"/>
            </w:pPr>
            <w:r>
              <w:rPr>
                <w:sz w:val="18"/>
              </w:rPr>
              <w:t xml:space="preserve">Certificate around months 9–12</w:t>
            </w:r>
          </w:p>
        </w:tc>
      </w:tr>
      <w:tr>
        <w:tc>
          <w:tcPr>
            <w:tcW w:w="1835" w:type="dxa"/>
          </w:tcPr>
          <w:p>
            <w:pPr>
              <w:pStyle w:val="Compact"/>
              <w:spacing w:after="40"/>
              <w:jc w:val="left"/>
            </w:pPr>
            <w:r>
              <w:rPr>
                <w:sz w:val="18"/>
              </w:rPr>
              <w:t xml:space="preserve">ISO/IEC 27701:2025</w:t>
            </w:r>
          </w:p>
        </w:tc>
        <w:tc>
          <w:tcPr>
            <w:tcW w:w="5664" w:type="dxa"/>
          </w:tcPr>
          <w:p>
            <w:pPr>
              <w:pStyle w:val="Compact"/>
              <w:spacing w:after="40"/>
              <w:jc w:val="left"/>
            </w:pPr>
            <w:r>
              <w:rPr>
                <w:sz w:val="18"/>
              </w:rPr>
              <w:t xml:space="preserve">Stand-alone privacy information management system (published 14 Oct 2025); maps to DPDP</w:t>
            </w:r>
          </w:p>
        </w:tc>
        <w:tc>
          <w:tcPr>
            <w:tcW w:w="2139" w:type="dxa"/>
          </w:tcPr>
          <w:p>
            <w:pPr>
              <w:pStyle w:val="Compact"/>
              <w:spacing w:after="40"/>
              <w:jc w:val="left"/>
            </w:pPr>
            <w:r>
              <w:rPr>
                <w:sz w:val="18"/>
              </w:rPr>
              <w:t xml:space="preserve">After 27001</w:t>
            </w:r>
          </w:p>
        </w:tc>
      </w:tr>
      <w:tr>
        <w:tc>
          <w:tcPr>
            <w:tcW w:w="1835" w:type="dxa"/>
          </w:tcPr>
          <w:p>
            <w:pPr>
              <w:pStyle w:val="Compact"/>
              <w:spacing w:after="40"/>
              <w:jc w:val="left"/>
            </w:pPr>
            <w:r>
              <w:rPr>
                <w:sz w:val="18"/>
              </w:rPr>
              <w:t xml:space="preserve">ISO 22301:2019</w:t>
            </w:r>
          </w:p>
        </w:tc>
        <w:tc>
          <w:tcPr>
            <w:tcW w:w="5664" w:type="dxa"/>
          </w:tcPr>
          <w:p>
            <w:pPr>
              <w:pStyle w:val="Compact"/>
              <w:spacing w:after="40"/>
              <w:jc w:val="left"/>
            </w:pPr>
            <w:r>
              <w:rPr>
                <w:sz w:val="18"/>
              </w:rPr>
              <w:t xml:space="preserve">Business continuity management; CYB para 127 best practice</w:t>
            </w:r>
          </w:p>
        </w:tc>
        <w:tc>
          <w:tcPr>
            <w:tcW w:w="2139" w:type="dxa"/>
          </w:tcPr>
          <w:p>
            <w:pPr>
              <w:pStyle w:val="Compact"/>
              <w:spacing w:after="40"/>
              <w:jc w:val="left"/>
            </w:pPr>
            <w:r>
              <w:rPr>
                <w:sz w:val="18"/>
              </w:rPr>
              <w:t xml:space="preserve">Year 2</w:t>
            </w:r>
          </w:p>
        </w:tc>
      </w:tr>
      <w:tr>
        <w:tc>
          <w:tcPr>
            <w:tcW w:w="1835" w:type="dxa"/>
          </w:tcPr>
          <w:p>
            <w:pPr>
              <w:pStyle w:val="Compact"/>
              <w:spacing w:after="40"/>
              <w:jc w:val="left"/>
            </w:pPr>
            <w:r>
              <w:rPr>
                <w:sz w:val="18"/>
              </w:rPr>
              <w:t xml:space="preserve">ISO/IEC 42001:2023</w:t>
            </w:r>
          </w:p>
        </w:tc>
        <w:tc>
          <w:tcPr>
            <w:tcW w:w="5664" w:type="dxa"/>
          </w:tcPr>
          <w:p>
            <w:pPr>
              <w:pStyle w:val="Compact"/>
              <w:spacing w:after="40"/>
              <w:jc w:val="left"/>
            </w:pPr>
            <w:r>
              <w:rPr>
                <w:sz w:val="18"/>
              </w:rPr>
              <w:t xml:space="preserve">AI management system; only if AI features (M20, EO6) become material to the service</w:t>
            </w:r>
          </w:p>
        </w:tc>
        <w:tc>
          <w:tcPr>
            <w:tcW w:w="2139" w:type="dxa"/>
          </w:tcPr>
          <w:p>
            <w:pPr>
              <w:pStyle w:val="Compact"/>
              <w:spacing w:after="40"/>
              <w:jc w:val="left"/>
            </w:pPr>
            <w:r>
              <w:rPr>
                <w:sz w:val="18"/>
              </w:rPr>
              <w:t xml:space="preserve">Decision gate</w:t>
            </w:r>
          </w:p>
        </w:tc>
      </w:tr>
      <w:tr>
        <w:tc>
          <w:tcPr>
            <w:tcW w:w="1835" w:type="dxa"/>
          </w:tcPr>
          <w:p>
            <w:pPr>
              <w:pStyle w:val="Compact"/>
              <w:spacing w:after="40"/>
              <w:jc w:val="left"/>
            </w:pPr>
            <w:r>
              <w:rPr>
                <w:sz w:val="18"/>
              </w:rPr>
              <w:t xml:space="preserve">ISO/IEC 27017 and 27018</w:t>
            </w:r>
          </w:p>
        </w:tc>
        <w:tc>
          <w:tcPr>
            <w:tcW w:w="5664" w:type="dxa"/>
          </w:tcPr>
          <w:p>
            <w:pPr>
              <w:pStyle w:val="Compact"/>
              <w:spacing w:after="40"/>
              <w:jc w:val="left"/>
            </w:pPr>
            <w:r>
              <w:rPr>
                <w:sz w:val="18"/>
              </w:rPr>
              <w:t xml:space="preserve">Cloud security controls and protection of PII in public clouds, as extensions assessed with 27001 [VERIFY current editions and how certification bodies issue them]</w:t>
            </w:r>
          </w:p>
        </w:tc>
        <w:tc>
          <w:tcPr>
            <w:tcW w:w="2139" w:type="dxa"/>
          </w:tcPr>
          <w:p>
            <w:pPr>
              <w:pStyle w:val="Compact"/>
              <w:spacing w:after="40"/>
              <w:jc w:val="left"/>
            </w:pPr>
            <w:r>
              <w:rPr>
                <w:sz w:val="18"/>
              </w:rPr>
              <w:t xml:space="preserve">With 27001 surveillance</w:t>
            </w:r>
          </w:p>
        </w:tc>
      </w:tr>
    </w:tbl>
    <w:bookmarkEnd w:id="750"/>
    <w:bookmarkStart w:id="751" w:name="Xd6c7e149e2f5c83c214f778571ed8e1ed794be6"/>
    <w:p>
      <w:pPr>
        <w:pStyle w:val="Heading3"/>
      </w:pPr>
      <w:r>
        <w:t xml:space="preserve">EO5.3 Common control framework (CCF) and evidence automation</w:t>
      </w:r>
    </w:p>
    <w:p>
      <w:pPr>
        <w:numPr>
          <w:ilvl w:val="0"/>
          <w:numId w:val="1596"/>
        </w:numPr>
        <w:pStyle w:val="Compact"/>
      </w:pPr>
      <w:r>
        <w:rPr>
          <w:bCs/>
          <w:b/>
        </w:rPr>
        <w:t xml:space="preserve">Master library in OH14</w:t>
      </w:r>
      <w:r>
        <w:t xml:space="preserve">; Finbyx implements technical controls and evidence collectors in its repository and publishes evidence to OH14.</w:t>
      </w:r>
    </w:p>
    <w:p>
      <w:pPr>
        <w:numPr>
          <w:ilvl w:val="0"/>
          <w:numId w:val="1596"/>
        </w:numPr>
        <w:pStyle w:val="Compact"/>
      </w:pPr>
      <w:r>
        <w:rPr>
          <w:bCs/>
          <w:b/>
        </w:rPr>
        <w:t xml:space="preserve">Control record:</w:t>
      </w:r>
      <w:r>
        <w:t xml:space="preserve"> </w:t>
      </w:r>
      <w:r>
        <w:t xml:space="preserve">id, objective, owner, frequency, test procedure, automation hook, systems in scope, mappings (many-to-many) to: CYB (Ch III, IV, V), OUT (paras 34, 47, 61, 74, 76–82, 87–88, 97), CF (paras 14–16), DPS (where in scope), CERT-In Directions, DPDP, ISO/IEC 27001 Annex A, 27701, 22301, SOC 2 TSC, PCI SAQ A, Companies Act internal financial controls (s.134(5)(e), s.143(3)(i)) and the ICAI Rule 11(g) audit-trail guide.</w:t>
      </w:r>
    </w:p>
    <w:p>
      <w:pPr>
        <w:numPr>
          <w:ilvl w:val="0"/>
          <w:numId w:val="1596"/>
        </w:numPr>
        <w:pStyle w:val="Compact"/>
      </w:pPr>
      <w:r>
        <w:rPr>
          <w:bCs/>
          <w:b/>
        </w:rPr>
        <w:t xml:space="preserve">Evidence record:</w:t>
      </w:r>
      <w:r>
        <w:t xml:space="preserve"> </w:t>
      </w:r>
      <w:r>
        <w:t xml:space="preserve">control, period, collector, artefact hash, reviewer, status;</w:t>
      </w:r>
      <w:r>
        <w:t xml:space="preserve"> </w:t>
      </w:r>
      <w:r>
        <w:rPr>
          <w:rStyle w:val="VerbatimChar"/>
        </w:rPr>
        <w:t xml:space="preserve">ControlEvidenceCollected</w:t>
      </w:r>
      <w:r>
        <w:t xml:space="preserve"> </w:t>
      </w:r>
      <w:r>
        <w:t xml:space="preserve">per item.</w:t>
      </w:r>
    </w:p>
    <w:p>
      <w:pPr>
        <w:numPr>
          <w:ilvl w:val="0"/>
          <w:numId w:val="1596"/>
        </w:numPr>
        <w:pStyle w:val="Compact"/>
      </w:pPr>
      <w:r>
        <w:rPr>
          <w:bCs/>
          <w:b/>
        </w:rPr>
        <w:t xml:space="preserve">Automated collectors (Finbyx side):</w:t>
      </w:r>
      <w:r>
        <w:t xml:space="preserve"> </w:t>
      </w:r>
      <w:r>
        <w:t xml:space="preserve">nightly ruleset and branch-protection export with drift detection; CODEOWNERS coverage; CI results per release; SBOM and signature digests; vulnerability SLA metrics; MFA coverage and sign-in reports from the IdP; quarterly reviews of Infrabyx staff access to production (</w:t>
      </w:r>
      <w:r>
        <w:rPr>
          <w:rStyle w:val="VerbatimChar"/>
        </w:rPr>
        <w:t xml:space="preserve">AccessReviewCompleted</w:t>
      </w:r>
      <w:r>
        <w:t xml:space="preserve">,</w:t>
      </w:r>
      <w:r>
        <w:t xml:space="preserve"> </w:t>
      </w:r>
      <w:r>
        <w:rPr>
          <w:rStyle w:val="VerbatimChar"/>
        </w:rPr>
        <w:t xml:space="preserve">review_scope = PLATFORM</w:t>
      </w:r>
      <w:r>
        <w:t xml:space="preserve">; Part 10.4); privileged-session logs; change records and CAB minutes; backup, restore and DR reports (</w:t>
      </w:r>
      <w:r>
        <w:rPr>
          <w:rStyle w:val="VerbatimChar"/>
        </w:rPr>
        <w:t xml:space="preserve">BackupCompleted</w:t>
      </w:r>
      <w:r>
        <w:t xml:space="preserve">,</w:t>
      </w:r>
      <w:r>
        <w:t xml:space="preserve"> </w:t>
      </w:r>
      <w:r>
        <w:rPr>
          <w:rStyle w:val="VerbatimChar"/>
        </w:rPr>
        <w:t xml:space="preserve">RestoreTested</w:t>
      </w:r>
      <w:r>
        <w:t xml:space="preserve">); VAPT reports and retests; incident timelines and clocks; KMS key policies and rotation; tenant-isolation test results; audit-trail hash-chain verification; log-retention checks; joiner, mover and leaver tickets; training records; sub-processor due diligence.</w:t>
      </w:r>
    </w:p>
    <w:p>
      <w:pPr>
        <w:numPr>
          <w:ilvl w:val="0"/>
          <w:numId w:val="1596"/>
        </w:numPr>
        <w:pStyle w:val="Compact"/>
      </w:pPr>
      <w:r>
        <w:rPr>
          <w:bCs/>
          <w:b/>
        </w:rPr>
        <w:t xml:space="preserve">Readiness dashboard</w:t>
      </w:r>
      <w:r>
        <w:t xml:space="preserve"> </w:t>
      </w:r>
      <w:r>
        <w:t xml:space="preserve">(OH14, with a Finbyx view): control status, evidence freshness, exceptions, upcoming audits.</w:t>
      </w:r>
    </w:p>
    <w:p>
      <w:pPr>
        <w:numPr>
          <w:ilvl w:val="0"/>
          <w:numId w:val="1596"/>
        </w:numPr>
        <w:pStyle w:val="Compact"/>
      </w:pPr>
      <w:r>
        <w:rPr>
          <w:bCs/>
          <w:b/>
        </w:rPr>
        <w:t xml:space="preserve">Policies to draft later:</w:t>
      </w:r>
      <w:r>
        <w:t xml:space="preserve"> </w:t>
      </w:r>
      <w:r>
        <w:t xml:space="preserve">information security, access control, cryptography and key management, secure SDLC, change and patch, vulnerability management, logging and monitoring, incident response, BCP and DR, backup, data retention and disposal, privacy, vendor management, acceptable use, AI use, remote work.</w:t>
      </w:r>
    </w:p>
    <w:bookmarkEnd w:id="751"/>
    <w:bookmarkStart w:id="752" w:name="Xe24985026d34d4429069080355365b09c1a318e"/>
    <w:p>
      <w:pPr>
        <w:pStyle w:val="Heading3"/>
      </w:pPr>
      <w:r>
        <w:t xml:space="preserve">EO5.4 Roadmap [REC; owner decides order, certification body and CPA firm]</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07"/>
        <w:gridCol w:w="7631"/>
      </w:tblGrid>
      <w:tr>
        <w:trPr>
          <w:tblHeader w:val="true"/>
          <w:tblHeader w:val="true"/>
        </w:trPr>
        <w:tc>
          <w:tcPr>
            <w:tcW w:w="2007" w:type="dxa"/>
            <w:shd w:val="clear" w:color="auto" w:fill="1F3A5F"/>
          </w:tcPr>
          <w:p>
            <w:pPr>
              <w:pStyle w:val="Compact"/>
              <w:spacing w:after="40"/>
              <w:jc w:val="left"/>
            </w:pPr>
            <w:r>
              <w:rPr>
                <w:b/>
                <w:color w:val="FFFFFF"/>
                <w:sz w:val="18"/>
              </w:rPr>
              <w:t xml:space="preserve">Months</w:t>
            </w:r>
          </w:p>
        </w:tc>
        <w:tc>
          <w:tcPr>
            <w:tcW w:w="7631" w:type="dxa"/>
            <w:shd w:val="clear" w:color="auto" w:fill="1F3A5F"/>
          </w:tcPr>
          <w:p>
            <w:pPr>
              <w:pStyle w:val="Compact"/>
              <w:spacing w:after="40"/>
              <w:jc w:val="left"/>
            </w:pPr>
            <w:r>
              <w:rPr>
                <w:b/>
                <w:color w:val="FFFFFF"/>
                <w:sz w:val="18"/>
              </w:rPr>
              <w:t xml:space="preserve">Milestone</w:t>
            </w:r>
          </w:p>
        </w:tc>
      </w:tr>
      <w:tr>
        <w:tc>
          <w:tcPr>
            <w:tcW w:w="2007" w:type="dxa"/>
          </w:tcPr>
          <w:p>
            <w:pPr>
              <w:pStyle w:val="Compact"/>
              <w:spacing w:after="40"/>
              <w:jc w:val="left"/>
            </w:pPr>
            <w:r>
              <w:rPr>
                <w:sz w:val="18"/>
              </w:rPr>
              <w:t xml:space="preserve">0–2</w:t>
            </w:r>
          </w:p>
        </w:tc>
        <w:tc>
          <w:tcPr>
            <w:tcW w:w="7631" w:type="dxa"/>
          </w:tcPr>
          <w:p>
            <w:pPr>
              <w:pStyle w:val="Compact"/>
              <w:spacing w:after="40"/>
              <w:jc w:val="left"/>
            </w:pPr>
            <w:r>
              <w:rPr>
                <w:sz w:val="18"/>
              </w:rPr>
              <w:t xml:space="preserve">Scope (Finbyx production in India regions, supporting engineering, support and operations processes, people and offices), risk assessment, gap assessment, CCF baseline</w:t>
            </w:r>
          </w:p>
        </w:tc>
      </w:tr>
      <w:tr>
        <w:tc>
          <w:tcPr>
            <w:tcW w:w="2007" w:type="dxa"/>
          </w:tcPr>
          <w:p>
            <w:pPr>
              <w:pStyle w:val="Compact"/>
              <w:spacing w:after="40"/>
              <w:jc w:val="left"/>
            </w:pPr>
            <w:r>
              <w:rPr>
                <w:sz w:val="18"/>
              </w:rPr>
              <w:t xml:space="preserve">2–6</w:t>
            </w:r>
          </w:p>
        </w:tc>
        <w:tc>
          <w:tcPr>
            <w:tcW w:w="7631" w:type="dxa"/>
          </w:tcPr>
          <w:p>
            <w:pPr>
              <w:pStyle w:val="Compact"/>
              <w:spacing w:after="40"/>
              <w:jc w:val="left"/>
            </w:pPr>
            <w:r>
              <w:rPr>
                <w:sz w:val="18"/>
              </w:rPr>
              <w:t xml:space="preserve">Controls implemented, collectors live, policies approved, training</w:t>
            </w:r>
          </w:p>
        </w:tc>
      </w:tr>
      <w:tr>
        <w:tc>
          <w:tcPr>
            <w:tcW w:w="2007" w:type="dxa"/>
          </w:tcPr>
          <w:p>
            <w:pPr>
              <w:pStyle w:val="Compact"/>
              <w:spacing w:after="40"/>
              <w:jc w:val="left"/>
            </w:pPr>
            <w:r>
              <w:rPr>
                <w:sz w:val="18"/>
              </w:rPr>
              <w:t xml:space="preserve">6</w:t>
            </w:r>
          </w:p>
        </w:tc>
        <w:tc>
          <w:tcPr>
            <w:tcW w:w="7631" w:type="dxa"/>
          </w:tcPr>
          <w:p>
            <w:pPr>
              <w:pStyle w:val="Compact"/>
              <w:spacing w:after="40"/>
              <w:jc w:val="left"/>
            </w:pPr>
            <w:r>
              <w:rPr>
                <w:sz w:val="18"/>
              </w:rPr>
              <w:t xml:space="preserve">Internal audit and management review</w:t>
            </w:r>
          </w:p>
        </w:tc>
      </w:tr>
      <w:tr>
        <w:tc>
          <w:tcPr>
            <w:tcW w:w="2007" w:type="dxa"/>
          </w:tcPr>
          <w:p>
            <w:pPr>
              <w:pStyle w:val="Compact"/>
              <w:spacing w:after="40"/>
              <w:jc w:val="left"/>
            </w:pPr>
            <w:r>
              <w:rPr>
                <w:sz w:val="18"/>
              </w:rPr>
              <w:t xml:space="preserve">7–9</w:t>
            </w:r>
          </w:p>
        </w:tc>
        <w:tc>
          <w:tcPr>
            <w:tcW w:w="7631" w:type="dxa"/>
          </w:tcPr>
          <w:p>
            <w:pPr>
              <w:pStyle w:val="Compact"/>
              <w:spacing w:after="40"/>
              <w:jc w:val="left"/>
            </w:pPr>
            <w:r>
              <w:rPr>
                <w:sz w:val="18"/>
              </w:rPr>
              <w:t xml:space="preserve">ISO/IEC 27001 Stage 1 and Stage 2; SOC 2 Type 1</w:t>
            </w:r>
          </w:p>
        </w:tc>
      </w:tr>
      <w:tr>
        <w:tc>
          <w:tcPr>
            <w:tcW w:w="2007" w:type="dxa"/>
          </w:tcPr>
          <w:p>
            <w:pPr>
              <w:pStyle w:val="Compact"/>
              <w:spacing w:after="40"/>
              <w:jc w:val="left"/>
            </w:pPr>
            <w:r>
              <w:rPr>
                <w:sz w:val="18"/>
              </w:rPr>
              <w:t xml:space="preserve">9–15</w:t>
            </w:r>
          </w:p>
        </w:tc>
        <w:tc>
          <w:tcPr>
            <w:tcW w:w="7631" w:type="dxa"/>
          </w:tcPr>
          <w:p>
            <w:pPr>
              <w:pStyle w:val="Compact"/>
              <w:spacing w:after="40"/>
              <w:jc w:val="left"/>
            </w:pPr>
            <w:r>
              <w:rPr>
                <w:sz w:val="18"/>
              </w:rPr>
              <w:t xml:space="preserve">SOC 2 Type 2 observation window (6 months); SOC 1 readiness</w:t>
            </w:r>
          </w:p>
        </w:tc>
      </w:tr>
      <w:tr>
        <w:tc>
          <w:tcPr>
            <w:tcW w:w="2007" w:type="dxa"/>
          </w:tcPr>
          <w:p>
            <w:pPr>
              <w:pStyle w:val="Compact"/>
              <w:spacing w:after="40"/>
              <w:jc w:val="left"/>
            </w:pPr>
            <w:r>
              <w:rPr>
                <w:sz w:val="18"/>
              </w:rPr>
              <w:t xml:space="preserve">16+</w:t>
            </w:r>
          </w:p>
        </w:tc>
        <w:tc>
          <w:tcPr>
            <w:tcW w:w="7631" w:type="dxa"/>
          </w:tcPr>
          <w:p>
            <w:pPr>
              <w:pStyle w:val="Compact"/>
              <w:spacing w:after="40"/>
              <w:jc w:val="left"/>
            </w:pPr>
            <w:r>
              <w:rPr>
                <w:sz w:val="18"/>
              </w:rPr>
              <w:t xml:space="preserve">SOC 2 Type 2 report; 27701; 22301; 42001 decision</w:t>
            </w:r>
          </w:p>
        </w:tc>
      </w:tr>
    </w:tbl>
    <w:bookmarkEnd w:id="752"/>
    <w:bookmarkStart w:id="753" w:name="acceptance-tests-68"/>
    <w:p>
      <w:pPr>
        <w:pStyle w:val="Heading3"/>
      </w:pPr>
      <w:r>
        <w:t xml:space="preserve">Acceptance tests</w:t>
      </w:r>
    </w:p>
    <w:p>
      <w:pPr>
        <w:numPr>
          <w:ilvl w:val="0"/>
          <w:numId w:val="1597"/>
        </w:numPr>
        <w:pStyle w:val="Compact"/>
      </w:pPr>
      <w:r>
        <w:t xml:space="preserve">Product or website text containing</w:t>
      </w:r>
      <w:r>
        <w:t xml:space="preserve"> </w:t>
      </w:r>
      <w:r>
        <w:t xml:space="preserve">“</w:t>
      </w:r>
      <w:r>
        <w:t xml:space="preserve">SOC 2 certified</w:t>
      </w:r>
      <w:r>
        <w:t xml:space="preserve">”</w:t>
      </w:r>
      <w:r>
        <w:t xml:space="preserve"> </w:t>
      </w:r>
      <w:r>
        <w:t xml:space="preserve">or</w:t>
      </w:r>
      <w:r>
        <w:t xml:space="preserve"> </w:t>
      </w:r>
      <w:r>
        <w:t xml:space="preserve">“</w:t>
      </w:r>
      <w:r>
        <w:t xml:space="preserve">ISO 27001 certified</w:t>
      </w:r>
      <w:r>
        <w:t xml:space="preserve">”</w:t>
      </w:r>
      <w:r>
        <w:t xml:space="preserve"> </w:t>
      </w:r>
      <w:r>
        <w:t xml:space="preserve">without an issued-report or certificate record fails the claims gate.</w:t>
      </w:r>
    </w:p>
    <w:p>
      <w:pPr>
        <w:numPr>
          <w:ilvl w:val="0"/>
          <w:numId w:val="1597"/>
        </w:numPr>
        <w:pStyle w:val="Compact"/>
      </w:pPr>
      <w:r>
        <w:t xml:space="preserve">Every control in the CCF maps to at least one requirement and has an owner and a collector or a documented manual procedure.</w:t>
      </w:r>
    </w:p>
    <w:p>
      <w:pPr>
        <w:numPr>
          <w:ilvl w:val="0"/>
          <w:numId w:val="1597"/>
        </w:numPr>
        <w:pStyle w:val="Compact"/>
      </w:pPr>
      <w:r>
        <w:t xml:space="preserve">The billing and borrower-portal pages pass a CSP and script-inventory check; adding an unlisted script fails CI.</w:t>
      </w:r>
    </w:p>
    <w:p>
      <w:pPr>
        <w:numPr>
          <w:ilvl w:val="0"/>
          <w:numId w:val="1597"/>
        </w:numPr>
        <w:pStyle w:val="Compact"/>
      </w:pPr>
      <w:r>
        <w:t xml:space="preserve">Evidence older than its control frequency is flagged stale on the readiness dashboard.</w:t>
      </w:r>
    </w:p>
    <w:bookmarkEnd w:id="753"/>
    <w:bookmarkStart w:id="754" w:name="settings-and-options-eo1eo5"/>
    <w:p>
      <w:pPr>
        <w:pStyle w:val="Heading3"/>
      </w:pPr>
      <w:r>
        <w:t xml:space="preserve">Settings and options (EO1–EO5)</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27"/>
        <w:gridCol w:w="1935"/>
        <w:gridCol w:w="2736"/>
        <w:gridCol w:w="2440"/>
      </w:tblGrid>
      <w:tr>
        <w:trPr>
          <w:tblHeader w:val="true"/>
          <w:tblHeader w:val="true"/>
        </w:trPr>
        <w:tc>
          <w:tcPr>
            <w:tcW w:w="2527" w:type="dxa"/>
            <w:shd w:val="clear" w:color="auto" w:fill="1F3A5F"/>
          </w:tcPr>
          <w:p>
            <w:pPr>
              <w:pStyle w:val="Compact"/>
              <w:spacing w:after="40"/>
              <w:jc w:val="left"/>
            </w:pPr>
            <w:r>
              <w:rPr>
                <w:b/>
                <w:color w:val="FFFFFF"/>
                <w:sz w:val="18"/>
              </w:rPr>
              <w:t xml:space="preserve">Setting</w:t>
            </w:r>
          </w:p>
        </w:tc>
        <w:tc>
          <w:tcPr>
            <w:tcW w:w="1935" w:type="dxa"/>
            <w:shd w:val="clear" w:color="auto" w:fill="1F3A5F"/>
          </w:tcPr>
          <w:p>
            <w:pPr>
              <w:pStyle w:val="Compact"/>
              <w:spacing w:after="40"/>
              <w:jc w:val="left"/>
            </w:pPr>
            <w:r>
              <w:rPr>
                <w:b/>
                <w:color w:val="FFFFFF"/>
                <w:sz w:val="18"/>
              </w:rPr>
              <w:t xml:space="preserve">Level</w:t>
            </w:r>
          </w:p>
        </w:tc>
        <w:tc>
          <w:tcPr>
            <w:tcW w:w="2736" w:type="dxa"/>
            <w:shd w:val="clear" w:color="auto" w:fill="1F3A5F"/>
          </w:tcPr>
          <w:p>
            <w:pPr>
              <w:pStyle w:val="Compact"/>
              <w:spacing w:after="40"/>
              <w:jc w:val="left"/>
            </w:pPr>
            <w:r>
              <w:rPr>
                <w:b/>
                <w:color w:val="FFFFFF"/>
                <w:sz w:val="18"/>
              </w:rPr>
              <w:t xml:space="preserve">Default</w:t>
            </w:r>
          </w:p>
        </w:tc>
        <w:tc>
          <w:tcPr>
            <w:tcW w:w="2440" w:type="dxa"/>
            <w:shd w:val="clear" w:color="auto" w:fill="1F3A5F"/>
          </w:tcPr>
          <w:p>
            <w:pPr>
              <w:pStyle w:val="Compact"/>
              <w:spacing w:after="40"/>
              <w:jc w:val="left"/>
            </w:pPr>
            <w:r>
              <w:rPr>
                <w:b/>
                <w:color w:val="FFFFFF"/>
                <w:sz w:val="18"/>
              </w:rPr>
              <w:t xml:space="preserve">Nature</w:t>
            </w:r>
          </w:p>
        </w:tc>
      </w:tr>
      <w:tr>
        <w:tc>
          <w:tcPr>
            <w:tcW w:w="2527" w:type="dxa"/>
          </w:tcPr>
          <w:p>
            <w:pPr>
              <w:pStyle w:val="Compact"/>
              <w:spacing w:after="40"/>
              <w:jc w:val="left"/>
            </w:pPr>
            <w:r>
              <w:rPr>
                <w:sz w:val="18"/>
              </w:rPr>
              <w:t xml:space="preserve">Ruleset baseline, required checks, signed commits and tags</w:t>
            </w:r>
          </w:p>
        </w:tc>
        <w:tc>
          <w:tcPr>
            <w:tcW w:w="1935" w:type="dxa"/>
          </w:tcPr>
          <w:p>
            <w:pPr>
              <w:pStyle w:val="Compact"/>
              <w:spacing w:after="40"/>
              <w:jc w:val="left"/>
            </w:pPr>
            <w:r>
              <w:rPr>
                <w:sz w:val="18"/>
              </w:rPr>
              <w:t xml:space="preserve">Platform (all Finbyx repositories)</w:t>
            </w:r>
          </w:p>
        </w:tc>
        <w:tc>
          <w:tcPr>
            <w:tcW w:w="2736" w:type="dxa"/>
          </w:tcPr>
          <w:p>
            <w:pPr>
              <w:pStyle w:val="Compact"/>
              <w:spacing w:after="40"/>
              <w:jc w:val="left"/>
            </w:pPr>
            <w:r>
              <w:rPr>
                <w:sz w:val="18"/>
              </w:rPr>
              <w:t xml:space="preserve">EO1.2</w:t>
            </w:r>
          </w:p>
        </w:tc>
        <w:tc>
          <w:tcPr>
            <w:tcW w:w="2440" w:type="dxa"/>
          </w:tcPr>
          <w:p>
            <w:pPr>
              <w:pStyle w:val="Compact"/>
              <w:spacing w:after="40"/>
              <w:jc w:val="left"/>
            </w:pPr>
            <w:r>
              <w:rPr>
                <w:sz w:val="18"/>
              </w:rPr>
              <w:t xml:space="preserve">Floor; changes only as a Regulated change through OH13</w:t>
            </w:r>
          </w:p>
        </w:tc>
      </w:tr>
      <w:tr>
        <w:tc>
          <w:tcPr>
            <w:tcW w:w="2527" w:type="dxa"/>
          </w:tcPr>
          <w:p>
            <w:pPr>
              <w:pStyle w:val="Compact"/>
              <w:spacing w:after="40"/>
              <w:jc w:val="left"/>
            </w:pPr>
            <w:r>
              <w:rPr>
                <w:sz w:val="18"/>
              </w:rPr>
              <w:t xml:space="preserve">Patch SLAs and exception expiry</w:t>
            </w:r>
          </w:p>
        </w:tc>
        <w:tc>
          <w:tcPr>
            <w:tcW w:w="1935" w:type="dxa"/>
          </w:tcPr>
          <w:p>
            <w:pPr>
              <w:pStyle w:val="Compact"/>
              <w:spacing w:after="40"/>
              <w:jc w:val="left"/>
            </w:pPr>
            <w:r>
              <w:rPr>
                <w:sz w:val="18"/>
              </w:rPr>
              <w:t xml:space="preserve">Platform</w:t>
            </w:r>
          </w:p>
        </w:tc>
        <w:tc>
          <w:tcPr>
            <w:tcW w:w="2736" w:type="dxa"/>
          </w:tcPr>
          <w:p>
            <w:pPr>
              <w:pStyle w:val="Compact"/>
              <w:spacing w:after="40"/>
              <w:jc w:val="left"/>
            </w:pPr>
            <w:r>
              <w:rPr>
                <w:sz w:val="18"/>
              </w:rPr>
              <w:t xml:space="preserve">EO1.6</w:t>
            </w:r>
          </w:p>
        </w:tc>
        <w:tc>
          <w:tcPr>
            <w:tcW w:w="2440" w:type="dxa"/>
          </w:tcPr>
          <w:p>
            <w:pPr>
              <w:pStyle w:val="Compact"/>
              <w:spacing w:after="40"/>
              <w:jc w:val="left"/>
            </w:pPr>
            <w:r>
              <w:rPr>
                <w:sz w:val="18"/>
              </w:rPr>
              <w:t xml:space="preserve">Floor; a tenant contract may only shorten</w:t>
            </w:r>
          </w:p>
        </w:tc>
      </w:tr>
      <w:tr>
        <w:tc>
          <w:tcPr>
            <w:tcW w:w="2527" w:type="dxa"/>
          </w:tcPr>
          <w:p>
            <w:pPr>
              <w:pStyle w:val="Compact"/>
              <w:spacing w:after="40"/>
              <w:jc w:val="left"/>
            </w:pPr>
            <w:r>
              <w:rPr>
                <w:sz w:val="18"/>
              </w:rPr>
              <w:t xml:space="preserve">Release window and freeze calendar</w:t>
            </w:r>
          </w:p>
        </w:tc>
        <w:tc>
          <w:tcPr>
            <w:tcW w:w="1935" w:type="dxa"/>
          </w:tcPr>
          <w:p>
            <w:pPr>
              <w:pStyle w:val="Compact"/>
              <w:spacing w:after="40"/>
              <w:jc w:val="left"/>
            </w:pPr>
            <w:r>
              <w:rPr>
                <w:sz w:val="18"/>
              </w:rPr>
              <w:t xml:space="preserve">Platform</w:t>
            </w:r>
          </w:p>
        </w:tc>
        <w:tc>
          <w:tcPr>
            <w:tcW w:w="2736" w:type="dxa"/>
          </w:tcPr>
          <w:p>
            <w:pPr>
              <w:pStyle w:val="Compact"/>
              <w:spacing w:after="40"/>
              <w:jc w:val="left"/>
            </w:pPr>
            <w:r>
              <w:rPr>
                <w:sz w:val="18"/>
              </w:rPr>
              <w:t xml:space="preserve">Weekly train; EO1.6 freezes</w:t>
            </w:r>
          </w:p>
        </w:tc>
        <w:tc>
          <w:tcPr>
            <w:tcW w:w="2440" w:type="dxa"/>
          </w:tcPr>
          <w:p>
            <w:pPr>
              <w:pStyle w:val="Compact"/>
              <w:spacing w:after="40"/>
              <w:jc w:val="left"/>
            </w:pPr>
            <w:r>
              <w:rPr>
                <w:sz w:val="18"/>
              </w:rPr>
              <w:t xml:space="preserve">Tenant-visible; exceptions only through EO2.4</w:t>
            </w:r>
          </w:p>
        </w:tc>
      </w:tr>
      <w:tr>
        <w:tc>
          <w:tcPr>
            <w:tcW w:w="2527" w:type="dxa"/>
          </w:tcPr>
          <w:p>
            <w:pPr>
              <w:pStyle w:val="Compact"/>
              <w:spacing w:after="40"/>
              <w:jc w:val="left"/>
            </w:pPr>
            <w:r>
              <w:rPr>
                <w:sz w:val="18"/>
              </w:rPr>
              <w:t xml:space="preserve">Release-note subscription</w:t>
            </w:r>
          </w:p>
        </w:tc>
        <w:tc>
          <w:tcPr>
            <w:tcW w:w="1935" w:type="dxa"/>
          </w:tcPr>
          <w:p>
            <w:pPr>
              <w:pStyle w:val="Compact"/>
              <w:spacing w:after="40"/>
              <w:jc w:val="left"/>
            </w:pPr>
            <w:r>
              <w:rPr>
                <w:sz w:val="18"/>
              </w:rPr>
              <w:t xml:space="preserve">Tenant</w:t>
            </w:r>
          </w:p>
        </w:tc>
        <w:tc>
          <w:tcPr>
            <w:tcW w:w="2736" w:type="dxa"/>
          </w:tcPr>
          <w:p>
            <w:pPr>
              <w:pStyle w:val="Compact"/>
              <w:spacing w:after="40"/>
              <w:jc w:val="left"/>
            </w:pPr>
            <w:r>
              <w:rPr>
                <w:sz w:val="18"/>
              </w:rPr>
              <w:t xml:space="preserve">Regulatory-impact notes 5 working days ahead to tenant admin and CCO</w:t>
            </w:r>
          </w:p>
        </w:tc>
        <w:tc>
          <w:tcPr>
            <w:tcW w:w="2440" w:type="dxa"/>
          </w:tcPr>
          <w:p>
            <w:pPr>
              <w:pStyle w:val="Compact"/>
              <w:spacing w:after="40"/>
              <w:jc w:val="left"/>
            </w:pPr>
            <w:r>
              <w:rPr>
                <w:sz w:val="18"/>
              </w:rPr>
              <w:t xml:space="preserve">Tenant may add recipients</w:t>
            </w:r>
          </w:p>
        </w:tc>
      </w:tr>
      <w:tr>
        <w:tc>
          <w:tcPr>
            <w:tcW w:w="2527" w:type="dxa"/>
          </w:tcPr>
          <w:p>
            <w:pPr>
              <w:pStyle w:val="Compact"/>
              <w:spacing w:after="40"/>
              <w:jc w:val="left"/>
            </w:pPr>
            <w:r>
              <w:rPr>
                <w:sz w:val="18"/>
              </w:rPr>
              <w:t xml:space="preserve">Maintenance window preference</w:t>
            </w:r>
          </w:p>
        </w:tc>
        <w:tc>
          <w:tcPr>
            <w:tcW w:w="1935" w:type="dxa"/>
          </w:tcPr>
          <w:p>
            <w:pPr>
              <w:pStyle w:val="Compact"/>
              <w:spacing w:after="40"/>
              <w:jc w:val="left"/>
            </w:pPr>
            <w:r>
              <w:rPr>
                <w:sz w:val="18"/>
              </w:rPr>
              <w:t xml:space="preserve">Tenant (dedicated deployments)</w:t>
            </w:r>
          </w:p>
        </w:tc>
        <w:tc>
          <w:tcPr>
            <w:tcW w:w="2736" w:type="dxa"/>
          </w:tcPr>
          <w:p>
            <w:pPr>
              <w:pStyle w:val="Compact"/>
              <w:spacing w:after="40"/>
              <w:jc w:val="left"/>
            </w:pPr>
            <w:r>
              <w:rPr>
                <w:sz w:val="18"/>
              </w:rPr>
              <w:t xml:space="preserve">Platform default</w:t>
            </w:r>
          </w:p>
        </w:tc>
        <w:tc>
          <w:tcPr>
            <w:tcW w:w="2440" w:type="dxa"/>
          </w:tcPr>
          <w:p>
            <w:pPr>
              <w:pStyle w:val="Compact"/>
              <w:spacing w:after="40"/>
              <w:jc w:val="left"/>
            </w:pPr>
            <w:r>
              <w:rPr>
                <w:sz w:val="18"/>
              </w:rPr>
              <w:t xml:space="preserve">Commercial choice</w:t>
            </w:r>
          </w:p>
        </w:tc>
      </w:tr>
      <w:tr>
        <w:tc>
          <w:tcPr>
            <w:tcW w:w="2527" w:type="dxa"/>
          </w:tcPr>
          <w:p>
            <w:pPr>
              <w:pStyle w:val="Compact"/>
              <w:spacing w:after="40"/>
              <w:jc w:val="left"/>
            </w:pPr>
            <w:r>
              <w:rPr>
                <w:sz w:val="18"/>
              </w:rPr>
              <w:t xml:space="preserve">Evidence-pack recipients and NDA status</w:t>
            </w:r>
          </w:p>
        </w:tc>
        <w:tc>
          <w:tcPr>
            <w:tcW w:w="1935" w:type="dxa"/>
          </w:tcPr>
          <w:p>
            <w:pPr>
              <w:pStyle w:val="Compact"/>
              <w:spacing w:after="40"/>
              <w:jc w:val="left"/>
            </w:pPr>
            <w:r>
              <w:rPr>
                <w:sz w:val="18"/>
              </w:rPr>
              <w:t xml:space="preserve">Tenant</w:t>
            </w:r>
          </w:p>
        </w:tc>
        <w:tc>
          <w:tcPr>
            <w:tcW w:w="2736" w:type="dxa"/>
          </w:tcPr>
          <w:p>
            <w:pPr>
              <w:pStyle w:val="Compact"/>
              <w:spacing w:after="40"/>
              <w:jc w:val="left"/>
            </w:pPr>
            <w:r>
              <w:rPr>
                <w:sz w:val="18"/>
              </w:rPr>
              <w:t xml:space="preserve">Tenant admin, CISO</w:t>
            </w:r>
          </w:p>
        </w:tc>
        <w:tc>
          <w:tcPr>
            <w:tcW w:w="2440" w:type="dxa"/>
          </w:tcPr>
          <w:p>
            <w:pPr>
              <w:pStyle w:val="Compact"/>
              <w:spacing w:after="40"/>
              <w:jc w:val="left"/>
            </w:pPr>
            <w:r>
              <w:rPr>
                <w:sz w:val="18"/>
              </w:rPr>
              <w:t xml:space="preserve">Full VAPT reports only under NDA</w:t>
            </w:r>
          </w:p>
        </w:tc>
      </w:tr>
      <w:tr>
        <w:tc>
          <w:tcPr>
            <w:tcW w:w="2527" w:type="dxa"/>
          </w:tcPr>
          <w:p>
            <w:pPr>
              <w:pStyle w:val="Compact"/>
              <w:spacing w:after="40"/>
              <w:jc w:val="left"/>
            </w:pPr>
            <w:r>
              <w:rPr>
                <w:sz w:val="18"/>
              </w:rPr>
              <w:t xml:space="preserve">Joint DR test participation</w:t>
            </w:r>
          </w:p>
        </w:tc>
        <w:tc>
          <w:tcPr>
            <w:tcW w:w="1935" w:type="dxa"/>
          </w:tcPr>
          <w:p>
            <w:pPr>
              <w:pStyle w:val="Compact"/>
              <w:spacing w:after="40"/>
              <w:jc w:val="left"/>
            </w:pPr>
            <w:r>
              <w:rPr>
                <w:sz w:val="18"/>
              </w:rPr>
              <w:t xml:space="preserve">Tenant</w:t>
            </w:r>
          </w:p>
        </w:tc>
        <w:tc>
          <w:tcPr>
            <w:tcW w:w="2736" w:type="dxa"/>
          </w:tcPr>
          <w:p>
            <w:pPr>
              <w:pStyle w:val="Compact"/>
              <w:spacing w:after="40"/>
              <w:jc w:val="left"/>
            </w:pPr>
            <w:r>
              <w:rPr>
                <w:sz w:val="18"/>
              </w:rPr>
              <w:t xml:space="preserve">Offered yearly; required for Chapter V tenants on request</w:t>
            </w:r>
          </w:p>
        </w:tc>
        <w:tc>
          <w:tcPr>
            <w:tcW w:w="2440" w:type="dxa"/>
          </w:tcPr>
          <w:p>
            <w:pPr>
              <w:pStyle w:val="Compact"/>
              <w:spacing w:after="40"/>
              <w:jc w:val="left"/>
            </w:pPr>
            <w:r>
              <w:rPr>
                <w:sz w:val="18"/>
              </w:rPr>
              <w:t xml:space="preserve">Contractual</w:t>
            </w:r>
          </w:p>
        </w:tc>
      </w:tr>
    </w:tbl>
    <w:bookmarkEnd w:id="754"/>
    <w:bookmarkStart w:id="755" w:name="menu-and-screens-22"/>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43"/>
        <w:gridCol w:w="5077"/>
        <w:gridCol w:w="2118"/>
      </w:tblGrid>
      <w:tr>
        <w:trPr>
          <w:tblHeader w:val="true"/>
          <w:tblHeader w:val="true"/>
        </w:trPr>
        <w:tc>
          <w:tcPr>
            <w:tcW w:w="2443" w:type="dxa"/>
            <w:shd w:val="clear" w:color="auto" w:fill="1F3A5F"/>
          </w:tcPr>
          <w:p>
            <w:pPr>
              <w:pStyle w:val="Compact"/>
              <w:spacing w:after="40"/>
              <w:jc w:val="left"/>
            </w:pPr>
            <w:r>
              <w:rPr>
                <w:b/>
                <w:color w:val="FFFFFF"/>
                <w:sz w:val="18"/>
              </w:rPr>
              <w:t xml:space="preserve">Path</w:t>
            </w:r>
          </w:p>
        </w:tc>
        <w:tc>
          <w:tcPr>
            <w:tcW w:w="5077" w:type="dxa"/>
            <w:shd w:val="clear" w:color="auto" w:fill="1F3A5F"/>
          </w:tcPr>
          <w:p>
            <w:pPr>
              <w:pStyle w:val="Compact"/>
              <w:spacing w:after="40"/>
              <w:jc w:val="left"/>
            </w:pPr>
            <w:r>
              <w:rPr>
                <w:b/>
                <w:color w:val="FFFFFF"/>
                <w:sz w:val="18"/>
              </w:rPr>
              <w:t xml:space="preserve">Main screens and key actions</w:t>
            </w:r>
          </w:p>
        </w:tc>
        <w:tc>
          <w:tcPr>
            <w:tcW w:w="2118" w:type="dxa"/>
            <w:shd w:val="clear" w:color="auto" w:fill="1F3A5F"/>
          </w:tcPr>
          <w:p>
            <w:pPr>
              <w:pStyle w:val="Compact"/>
              <w:spacing w:after="40"/>
              <w:jc w:val="left"/>
            </w:pPr>
            <w:r>
              <w:rPr>
                <w:b/>
                <w:color w:val="FFFFFF"/>
                <w:sz w:val="18"/>
              </w:rPr>
              <w:t xml:space="preserve">Roles</w:t>
            </w:r>
          </w:p>
        </w:tc>
      </w:tr>
      <w:tr>
        <w:tc>
          <w:tcPr>
            <w:tcW w:w="2443" w:type="dxa"/>
          </w:tcPr>
          <w:p>
            <w:pPr>
              <w:pStyle w:val="Compact"/>
              <w:spacing w:after="40"/>
              <w:jc w:val="left"/>
            </w:pPr>
            <w:r>
              <w:rPr>
                <w:rStyle w:val="VerbatimChar"/>
                <w:sz w:val="18"/>
              </w:rPr>
              <w:t xml:space="preserve">Administration › Platform › Releases</w:t>
            </w:r>
            <w:r>
              <w:rPr>
                <w:sz w:val="18"/>
              </w:rPr>
              <w:t xml:space="preserve"> </w:t>
            </w:r>
            <w:r>
              <w:rPr>
                <w:sz w:val="18"/>
              </w:rPr>
              <w:t xml:space="preserve">(workspace O)</w:t>
            </w:r>
          </w:p>
        </w:tc>
        <w:tc>
          <w:tcPr>
            <w:tcW w:w="5077" w:type="dxa"/>
          </w:tcPr>
          <w:p>
            <w:pPr>
              <w:pStyle w:val="Compact"/>
              <w:spacing w:after="40"/>
              <w:jc w:val="left"/>
            </w:pPr>
            <w:r>
              <w:rPr>
                <w:sz w:val="18"/>
              </w:rPr>
              <w:t xml:space="preserve">Release list with signature digest, SBOM, CYB 106 certificate and escrow receipt status; blocked releases with the failing gate</w:t>
            </w:r>
          </w:p>
        </w:tc>
        <w:tc>
          <w:tcPr>
            <w:tcW w:w="2118" w:type="dxa"/>
          </w:tcPr>
          <w:p>
            <w:pPr>
              <w:pStyle w:val="Compact"/>
              <w:spacing w:after="40"/>
              <w:jc w:val="left"/>
            </w:pPr>
            <w:r>
              <w:rPr>
                <w:sz w:val="18"/>
              </w:rPr>
              <w:t xml:space="preserve">Infrabyx release managers, CISO</w:t>
            </w:r>
          </w:p>
        </w:tc>
      </w:tr>
      <w:tr>
        <w:tc>
          <w:tcPr>
            <w:tcW w:w="2443" w:type="dxa"/>
          </w:tcPr>
          <w:p>
            <w:pPr>
              <w:pStyle w:val="Compact"/>
              <w:spacing w:after="40"/>
              <w:jc w:val="left"/>
            </w:pPr>
            <w:r>
              <w:rPr>
                <w:rStyle w:val="VerbatimChar"/>
                <w:sz w:val="18"/>
              </w:rPr>
              <w:t xml:space="preserve">Administration › Platform › Changes</w:t>
            </w:r>
            <w:r>
              <w:rPr>
                <w:sz w:val="18"/>
              </w:rPr>
              <w:t xml:space="preserve"> </w:t>
            </w:r>
            <w:r>
              <w:rPr>
                <w:sz w:val="18"/>
              </w:rPr>
              <w:t xml:space="preserve">(workspace O)</w:t>
            </w:r>
          </w:p>
        </w:tc>
        <w:tc>
          <w:tcPr>
            <w:tcW w:w="5077" w:type="dxa"/>
          </w:tcPr>
          <w:p>
            <w:pPr>
              <w:pStyle w:val="Compact"/>
              <w:spacing w:after="40"/>
              <w:jc w:val="left"/>
            </w:pPr>
            <w:r>
              <w:rPr>
                <w:sz w:val="18"/>
              </w:rPr>
              <w:t xml:space="preserve">Read-only mirror of OH13 change records for Finbyx, with links to pull requests and deployment logs</w:t>
            </w:r>
          </w:p>
        </w:tc>
        <w:tc>
          <w:tcPr>
            <w:tcW w:w="2118" w:type="dxa"/>
          </w:tcPr>
          <w:p>
            <w:pPr>
              <w:pStyle w:val="Compact"/>
              <w:spacing w:after="40"/>
              <w:jc w:val="left"/>
            </w:pPr>
            <w:r>
              <w:rPr>
                <w:sz w:val="18"/>
              </w:rPr>
              <w:t xml:space="preserve">Engineering leads</w:t>
            </w:r>
          </w:p>
        </w:tc>
      </w:tr>
      <w:tr>
        <w:tc>
          <w:tcPr>
            <w:tcW w:w="2443" w:type="dxa"/>
          </w:tcPr>
          <w:p>
            <w:pPr>
              <w:pStyle w:val="Compact"/>
              <w:spacing w:after="40"/>
              <w:jc w:val="left"/>
            </w:pPr>
            <w:r>
              <w:rPr>
                <w:rStyle w:val="VerbatimChar"/>
                <w:sz w:val="18"/>
              </w:rPr>
              <w:t xml:space="preserve">Administration › Platform › Vulnerabilities</w:t>
            </w:r>
            <w:r>
              <w:rPr>
                <w:sz w:val="18"/>
              </w:rPr>
              <w:t xml:space="preserve"> </w:t>
            </w:r>
            <w:r>
              <w:rPr>
                <w:sz w:val="18"/>
              </w:rPr>
              <w:t xml:space="preserve">(workspace O)</w:t>
            </w:r>
          </w:p>
        </w:tc>
        <w:tc>
          <w:tcPr>
            <w:tcW w:w="5077" w:type="dxa"/>
          </w:tcPr>
          <w:p>
            <w:pPr>
              <w:pStyle w:val="Compact"/>
              <w:spacing w:after="40"/>
              <w:jc w:val="left"/>
            </w:pPr>
            <w:r>
              <w:rPr>
                <w:sz w:val="18"/>
              </w:rPr>
              <w:t xml:space="preserve">Findings by severity and SLA clock, exceptions with expiry</w:t>
            </w:r>
          </w:p>
        </w:tc>
        <w:tc>
          <w:tcPr>
            <w:tcW w:w="2118" w:type="dxa"/>
          </w:tcPr>
          <w:p>
            <w:pPr>
              <w:pStyle w:val="Compact"/>
              <w:spacing w:after="40"/>
              <w:jc w:val="left"/>
            </w:pPr>
            <w:r>
              <w:rPr>
                <w:sz w:val="18"/>
              </w:rPr>
              <w:t xml:space="preserve">Security engineers, CISO</w:t>
            </w:r>
          </w:p>
        </w:tc>
      </w:tr>
      <w:tr>
        <w:tc>
          <w:tcPr>
            <w:tcW w:w="2443" w:type="dxa"/>
          </w:tcPr>
          <w:p>
            <w:pPr>
              <w:pStyle w:val="Compact"/>
              <w:spacing w:after="40"/>
              <w:jc w:val="left"/>
            </w:pPr>
            <w:r>
              <w:rPr>
                <w:rStyle w:val="VerbatimChar"/>
                <w:sz w:val="18"/>
              </w:rPr>
              <w:t xml:space="preserve">Administration › Platform › Backups and drills</w:t>
            </w:r>
            <w:r>
              <w:rPr>
                <w:sz w:val="18"/>
              </w:rPr>
              <w:t xml:space="preserve"> </w:t>
            </w:r>
            <w:r>
              <w:rPr>
                <w:sz w:val="18"/>
              </w:rPr>
              <w:t xml:space="preserve">(workspace O)</w:t>
            </w:r>
          </w:p>
        </w:tc>
        <w:tc>
          <w:tcPr>
            <w:tcW w:w="5077" w:type="dxa"/>
          </w:tcPr>
          <w:p>
            <w:pPr>
              <w:pStyle w:val="Compact"/>
              <w:spacing w:after="40"/>
              <w:jc w:val="left"/>
            </w:pPr>
            <w:r>
              <w:rPr>
                <w:sz w:val="18"/>
              </w:rPr>
              <w:t xml:space="preserve">Backup verification results, restore and DR drill reports, vault status</w:t>
            </w:r>
          </w:p>
        </w:tc>
        <w:tc>
          <w:tcPr>
            <w:tcW w:w="2118" w:type="dxa"/>
          </w:tcPr>
          <w:p>
            <w:pPr>
              <w:pStyle w:val="Compact"/>
              <w:spacing w:after="40"/>
              <w:jc w:val="left"/>
            </w:pPr>
            <w:r>
              <w:rPr>
                <w:sz w:val="18"/>
              </w:rPr>
              <w:t xml:space="preserve">SRE</w:t>
            </w:r>
          </w:p>
        </w:tc>
      </w:tr>
      <w:tr>
        <w:tc>
          <w:tcPr>
            <w:tcW w:w="2443" w:type="dxa"/>
          </w:tcPr>
          <w:p>
            <w:pPr>
              <w:pStyle w:val="Compact"/>
              <w:spacing w:after="40"/>
              <w:jc w:val="left"/>
            </w:pPr>
            <w:r>
              <w:rPr>
                <w:rStyle w:val="VerbatimChar"/>
                <w:sz w:val="18"/>
              </w:rPr>
              <w:t xml:space="preserve">Settings › Security and trust</w:t>
            </w:r>
            <w:r>
              <w:rPr>
                <w:sz w:val="18"/>
              </w:rPr>
              <w:t xml:space="preserve"> </w:t>
            </w:r>
            <w:r>
              <w:rPr>
                <w:sz w:val="18"/>
              </w:rPr>
              <w:t xml:space="preserve">(workspace N)</w:t>
            </w:r>
          </w:p>
        </w:tc>
        <w:tc>
          <w:tcPr>
            <w:tcW w:w="5077" w:type="dxa"/>
          </w:tcPr>
          <w:p>
            <w:pPr>
              <w:pStyle w:val="Compact"/>
              <w:spacing w:after="40"/>
              <w:jc w:val="left"/>
            </w:pPr>
            <w:r>
              <w:rPr>
                <w:sz w:val="18"/>
              </w:rPr>
              <w:t xml:space="preserve">Release notes and regulatory-impact log; evidence pack download (one action, AU7 delivery); VAPT summaries; DR drill reports; sub-processor list; SBOM; incident notices affecting the tenant; certification register entries (only issued reports or certificates)</w:t>
            </w:r>
          </w:p>
        </w:tc>
        <w:tc>
          <w:tcPr>
            <w:tcW w:w="2118" w:type="dxa"/>
          </w:tcPr>
          <w:p>
            <w:pPr>
              <w:pStyle w:val="Compact"/>
              <w:spacing w:after="40"/>
              <w:jc w:val="left"/>
            </w:pPr>
            <w:r>
              <w:rPr>
                <w:sz w:val="18"/>
              </w:rPr>
              <w:t xml:space="preserve">Tenant admin, CISO, CCO; auditors through AU7</w:t>
            </w:r>
          </w:p>
        </w:tc>
      </w:tr>
    </w:tbl>
    <w:p>
      <w:pPr>
        <w:pStyle w:val="BodyText"/>
      </w:pPr>
      <w:r>
        <w:t xml:space="preserve">Workspace O screens show tenant names only as counts unless an approved break-glass session is open; they never show tenant data.</w:t>
      </w:r>
    </w:p>
    <w:p>
      <w:r>
        <w:pict>
          <v:rect style="width:0;height:1.5pt" o:hralign="center" o:hrstd="t" o:hr="t"/>
        </w:pict>
      </w:r>
    </w:p>
    <w:bookmarkEnd w:id="755"/>
    <w:bookmarkEnd w:id="756"/>
    <w:bookmarkStart w:id="766" w:name="X56fbb65e53c9f5cb2b89c71d5cbe041942f3e08"/>
    <w:p>
      <w:pPr>
        <w:pStyle w:val="Heading2"/>
      </w:pPr>
      <w:r>
        <w:t xml:space="preserve">EO6. Voice, AI contact-centre and Jio adapters</w:t>
      </w:r>
    </w:p>
    <w:p>
      <w:pPr>
        <w:pStyle w:val="FirstParagraph"/>
      </w:pPr>
      <w:r>
        <w:rPr>
          <w:bCs/>
          <w:b/>
        </w:rPr>
        <w:t xml:space="preserve">Scope.</w:t>
      </w:r>
      <w:r>
        <w:t xml:space="preserve"> </w:t>
      </w:r>
      <w:r>
        <w:t xml:space="preserve">Extends M18 (channels, DLT, consent), R15.1 (contact-policy engine), R15.2 (call recording) and R15.3 (AI and voicebots); M18 gains a pointer to this section. The tenant is the principal entity and decision-maker for every communication; Finbyx is the processor and orchestrator.</w:t>
      </w:r>
    </w:p>
    <w:bookmarkStart w:id="757" w:name="eo6.1-provider-neutral-interfaces"/>
    <w:p>
      <w:pPr>
        <w:pStyle w:val="Heading3"/>
      </w:pPr>
      <w:r>
        <w:t xml:space="preserve">EO6.1 Provider-neutral interfaces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97"/>
        <w:gridCol w:w="7241"/>
      </w:tblGrid>
      <w:tr>
        <w:trPr>
          <w:tblHeader w:val="true"/>
          <w:tblHeader w:val="true"/>
        </w:trPr>
        <w:tc>
          <w:tcPr>
            <w:tcW w:w="2397" w:type="dxa"/>
            <w:shd w:val="clear" w:color="auto" w:fill="1F3A5F"/>
          </w:tcPr>
          <w:p>
            <w:pPr>
              <w:pStyle w:val="Compact"/>
              <w:spacing w:after="40"/>
              <w:jc w:val="left"/>
            </w:pPr>
            <w:r>
              <w:rPr>
                <w:b/>
                <w:color w:val="FFFFFF"/>
                <w:sz w:val="18"/>
              </w:rPr>
              <w:t xml:space="preserve">Interface</w:t>
            </w:r>
          </w:p>
        </w:tc>
        <w:tc>
          <w:tcPr>
            <w:tcW w:w="7241" w:type="dxa"/>
            <w:shd w:val="clear" w:color="auto" w:fill="1F3A5F"/>
          </w:tcPr>
          <w:p>
            <w:pPr>
              <w:pStyle w:val="Compact"/>
              <w:spacing w:after="40"/>
              <w:jc w:val="left"/>
            </w:pPr>
            <w:r>
              <w:rPr>
                <w:b/>
                <w:color w:val="FFFFFF"/>
                <w:sz w:val="18"/>
              </w:rPr>
              <w:t xml:space="preserve">Capabilities</w:t>
            </w:r>
          </w:p>
        </w:tc>
      </w:tr>
      <w:tr>
        <w:tc>
          <w:tcPr>
            <w:tcW w:w="2397" w:type="dxa"/>
          </w:tcPr>
          <w:p>
            <w:pPr>
              <w:pStyle w:val="Compact"/>
              <w:spacing w:after="40"/>
              <w:jc w:val="left"/>
            </w:pPr>
            <w:r>
              <w:rPr>
                <w:rStyle w:val="VerbatimChar"/>
                <w:sz w:val="18"/>
              </w:rPr>
              <w:t xml:space="preserve">MessagingProvider</w:t>
            </w:r>
          </w:p>
        </w:tc>
        <w:tc>
          <w:tcPr>
            <w:tcW w:w="7241" w:type="dxa"/>
          </w:tcPr>
          <w:p>
            <w:pPr>
              <w:pStyle w:val="Compact"/>
              <w:spacing w:after="40"/>
              <w:jc w:val="left"/>
            </w:pPr>
            <w:r>
              <w:rPr>
                <w:sz w:val="18"/>
              </w:rPr>
              <w:t xml:space="preserve">SMS with DLT header and template ids, RCS, WhatsApp Business (never for collection, recovery or legal notices; Part 7A.0.6), email; delivery receipts</w:t>
            </w:r>
          </w:p>
        </w:tc>
      </w:tr>
      <w:tr>
        <w:tc>
          <w:tcPr>
            <w:tcW w:w="2397" w:type="dxa"/>
          </w:tcPr>
          <w:p>
            <w:pPr>
              <w:pStyle w:val="Compact"/>
              <w:spacing w:after="40"/>
              <w:jc w:val="left"/>
            </w:pPr>
            <w:r>
              <w:rPr>
                <w:rStyle w:val="VerbatimChar"/>
                <w:sz w:val="18"/>
              </w:rPr>
              <w:t xml:space="preserve">VoiceProvider</w:t>
            </w:r>
          </w:p>
        </w:tc>
        <w:tc>
          <w:tcPr>
            <w:tcW w:w="7241" w:type="dxa"/>
          </w:tcPr>
          <w:p>
            <w:pPr>
              <w:pStyle w:val="Compact"/>
              <w:spacing w:after="40"/>
              <w:jc w:val="left"/>
            </w:pPr>
            <w:r>
              <w:rPr>
                <w:sz w:val="18"/>
              </w:rPr>
              <w:t xml:space="preserve">Number pools by series and telecom circle; inbound IVR; outbound dialler and OBD; click-to-call with number masking; recording; call-detail-record webhooks</w:t>
            </w:r>
          </w:p>
        </w:tc>
      </w:tr>
      <w:tr>
        <w:tc>
          <w:tcPr>
            <w:tcW w:w="2397" w:type="dxa"/>
          </w:tcPr>
          <w:p>
            <w:pPr>
              <w:pStyle w:val="Compact"/>
              <w:spacing w:after="40"/>
              <w:jc w:val="left"/>
            </w:pPr>
            <w:r>
              <w:rPr>
                <w:rStyle w:val="VerbatimChar"/>
                <w:sz w:val="18"/>
              </w:rPr>
              <w:t xml:space="preserve">SpeechProvider</w:t>
            </w:r>
          </w:p>
        </w:tc>
        <w:tc>
          <w:tcPr>
            <w:tcW w:w="7241" w:type="dxa"/>
          </w:tcPr>
          <w:p>
            <w:pPr>
              <w:pStyle w:val="Compact"/>
              <w:spacing w:after="40"/>
              <w:jc w:val="left"/>
            </w:pPr>
            <w:r>
              <w:rPr>
                <w:sz w:val="18"/>
              </w:rPr>
              <w:t xml:space="preserve">Indic ASR and TTS; language detection</w:t>
            </w:r>
          </w:p>
        </w:tc>
      </w:tr>
      <w:tr>
        <w:tc>
          <w:tcPr>
            <w:tcW w:w="2397" w:type="dxa"/>
          </w:tcPr>
          <w:p>
            <w:pPr>
              <w:pStyle w:val="Compact"/>
              <w:spacing w:after="40"/>
              <w:jc w:val="left"/>
            </w:pPr>
            <w:r>
              <w:rPr>
                <w:rStyle w:val="VerbatimChar"/>
                <w:sz w:val="18"/>
              </w:rPr>
              <w:t xml:space="preserve">LLMProvider</w:t>
            </w:r>
          </w:p>
        </w:tc>
        <w:tc>
          <w:tcPr>
            <w:tcW w:w="7241" w:type="dxa"/>
          </w:tcPr>
          <w:p>
            <w:pPr>
              <w:pStyle w:val="Compact"/>
              <w:spacing w:after="40"/>
              <w:jc w:val="left"/>
            </w:pPr>
            <w:r>
              <w:rPr>
                <w:sz w:val="18"/>
              </w:rPr>
              <w:t xml:space="preserve">The M20 India-region inference endpoint only</w:t>
            </w:r>
          </w:p>
        </w:tc>
      </w:tr>
    </w:tbl>
    <w:p>
      <w:pPr>
        <w:pStyle w:val="BodyText"/>
      </w:pPr>
      <w:r>
        <w:t xml:space="preserve">Each adapter implements the connector SPI and passes connector certification (Integration Spec Parts 10.1, 14.3) before production. Candidate implementations [VERIFY each provider’s DLT, 1600-series and residency position]:</w:t>
      </w:r>
      <w:r>
        <w:t xml:space="preserve"> </w:t>
      </w:r>
      <w:r>
        <w:rPr>
          <w:bCs/>
          <w:b/>
        </w:rPr>
        <w:t xml:space="preserve">JioCX</w:t>
      </w:r>
      <w:r>
        <w:t xml:space="preserve"> </w:t>
      </w:r>
      <w:r>
        <w:t xml:space="preserve">(Jio Things Ltd: SMS, RCS, WhatsApp, voice incl. click-to-call, IVR, missed call, voice OTP and OBD, email, Verify branded caller ID),</w:t>
      </w:r>
      <w:r>
        <w:t xml:space="preserve"> </w:t>
      </w:r>
      <w:r>
        <w:rPr>
          <w:bCs/>
          <w:b/>
        </w:rPr>
        <w:t xml:space="preserve">Jio Business</w:t>
      </w:r>
      <w:r>
        <w:t xml:space="preserve"> </w:t>
      </w:r>
      <w:r>
        <w:t xml:space="preserve">SIP trunk and toll-free for tenant contact centres, Exotel, Ozonetel, Gupshup, Knowlarity and others; Indic speech (for example Sarvam AI, Bhashini) [VERIFY terms].</w:t>
      </w:r>
    </w:p>
    <w:bookmarkEnd w:id="757"/>
    <w:bookmarkStart w:id="758" w:name="eo6.2-jio-position-and-plan"/>
    <w:p>
      <w:pPr>
        <w:pStyle w:val="Heading3"/>
      </w:pPr>
      <w:r>
        <w:t xml:space="preserve">EO6.2 Jio position and plan</w:t>
      </w:r>
    </w:p>
    <w:p>
      <w:pPr>
        <w:numPr>
          <w:ilvl w:val="0"/>
          <w:numId w:val="1598"/>
        </w:numPr>
        <w:pStyle w:val="Compact"/>
      </w:pPr>
      <w:r>
        <w:t xml:space="preserve">JioCX onboards through sales (no public API documentation, no published rates); it publishes</w:t>
      </w:r>
      <w:r>
        <w:t xml:space="preserve"> </w:t>
      </w:r>
      <w:r>
        <w:rPr>
          <w:bCs/>
          <w:b/>
        </w:rPr>
        <w:t xml:space="preserve">no data-residency statement and no AI voice-agent product</w:t>
      </w:r>
      <w:r>
        <w:t xml:space="preserve">; the Jio Platforms DRHP (19 Jun 2026) discloses AI-assisted customer-service tools but</w:t>
      </w:r>
      <w:r>
        <w:t xml:space="preserve"> </w:t>
      </w:r>
      <w:r>
        <w:rPr>
          <w:bCs/>
          <w:b/>
        </w:rPr>
        <w:t xml:space="preserve">no public voice-agent API</w:t>
      </w:r>
      <w:r>
        <w:t xml:space="preserve">; reports of a</w:t>
      </w:r>
      <w:r>
        <w:t xml:space="preserve"> </w:t>
      </w:r>
      <w:r>
        <w:t xml:space="preserve">“</w:t>
      </w:r>
      <w:r>
        <w:t xml:space="preserve">JioBrain</w:t>
      </w:r>
      <w:r>
        <w:t xml:space="preserve">”</w:t>
      </w:r>
      <w:r>
        <w:t xml:space="preserve"> </w:t>
      </w:r>
      <w:r>
        <w:t xml:space="preserve">LLM API with public pricing are uncorroborated and must not be relied on.</w:t>
      </w:r>
    </w:p>
    <w:p>
      <w:pPr>
        <w:numPr>
          <w:ilvl w:val="0"/>
          <w:numId w:val="1598"/>
        </w:numPr>
        <w:pStyle w:val="Compact"/>
      </w:pPr>
      <w:r>
        <w:rPr>
          <w:bCs/>
          <w:b/>
        </w:rPr>
        <w:t xml:space="preserve">Plan:</w:t>
      </w:r>
      <w:r>
        <w:t xml:space="preserve"> </w:t>
      </w:r>
      <w:r>
        <w:t xml:space="preserve">build a stub</w:t>
      </w:r>
      <w:r>
        <w:t xml:space="preserve"> </w:t>
      </w:r>
      <w:r>
        <w:rPr>
          <w:rStyle w:val="VerbatimChar"/>
        </w:rPr>
        <w:t xml:space="preserve">JioCxAdapter</w:t>
      </w:r>
      <w:r>
        <w:t xml:space="preserve"> </w:t>
      </w:r>
      <w:r>
        <w:t xml:space="preserve">against the interface with certification tests; request from JioCX the API documentation, DPA, India residency proof for recordings, transcripts and call records, DLT principal-entity support, 1600-series support, AI voice roadmap and rates; enable the adapter for production only after contract, residency proof and certification. Until then, other certified adapters serve tenants. The owner’s Jio requirement is met by the adapter, not by a dependency on Jio.</w:t>
      </w:r>
    </w:p>
    <w:bookmarkEnd w:id="758"/>
    <w:bookmarkStart w:id="759" w:name="X2f8f4610fcf7f7a044a2521396600a966f75d38"/>
    <w:p>
      <w:pPr>
        <w:pStyle w:val="Heading3"/>
      </w:pPr>
      <w:r>
        <w:t xml:space="preserve">EO6.3 Number series, consent and calling rules</w:t>
      </w:r>
    </w:p>
    <w:p>
      <w:pPr>
        <w:pStyle w:val="FirstParagraph"/>
      </w:pPr>
      <w:r>
        <w:t xml:space="preserve">The contact-policy engine (R15.1) evaluates every outbound call or message and fails closed with a reason: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95"/>
        <w:gridCol w:w="5679"/>
        <w:gridCol w:w="2164"/>
      </w:tblGrid>
      <w:tr>
        <w:trPr>
          <w:tblHeader w:val="true"/>
          <w:tblHeader w:val="true"/>
        </w:trPr>
        <w:tc>
          <w:tcPr>
            <w:tcW w:w="1795" w:type="dxa"/>
            <w:shd w:val="clear" w:color="auto" w:fill="1F3A5F"/>
          </w:tcPr>
          <w:p>
            <w:pPr>
              <w:pStyle w:val="Compact"/>
              <w:spacing w:after="40"/>
              <w:jc w:val="left"/>
            </w:pPr>
            <w:r>
              <w:rPr>
                <w:b/>
                <w:color w:val="FFFFFF"/>
                <w:sz w:val="18"/>
              </w:rPr>
              <w:t xml:space="preserve">Check</w:t>
            </w:r>
          </w:p>
        </w:tc>
        <w:tc>
          <w:tcPr>
            <w:tcW w:w="5679" w:type="dxa"/>
            <w:shd w:val="clear" w:color="auto" w:fill="1F3A5F"/>
          </w:tcPr>
          <w:p>
            <w:pPr>
              <w:pStyle w:val="Compact"/>
              <w:spacing w:after="40"/>
              <w:jc w:val="left"/>
            </w:pPr>
            <w:r>
              <w:rPr>
                <w:b/>
                <w:color w:val="FFFFFF"/>
                <w:sz w:val="18"/>
              </w:rPr>
              <w:t xml:space="preserve">Rule</w:t>
            </w:r>
          </w:p>
        </w:tc>
        <w:tc>
          <w:tcPr>
            <w:tcW w:w="2164" w:type="dxa"/>
            <w:shd w:val="clear" w:color="auto" w:fill="1F3A5F"/>
          </w:tcPr>
          <w:p>
            <w:pPr>
              <w:pStyle w:val="Compact"/>
              <w:spacing w:after="40"/>
              <w:jc w:val="left"/>
            </w:pPr>
            <w:r>
              <w:rPr>
                <w:b/>
                <w:color w:val="FFFFFF"/>
                <w:sz w:val="18"/>
              </w:rPr>
              <w:t xml:space="preserve">Basis</w:t>
            </w:r>
          </w:p>
        </w:tc>
      </w:tr>
      <w:tr>
        <w:tc>
          <w:tcPr>
            <w:tcW w:w="1795" w:type="dxa"/>
          </w:tcPr>
          <w:p>
            <w:pPr>
              <w:pStyle w:val="Compact"/>
              <w:spacing w:after="40"/>
              <w:jc w:val="left"/>
            </w:pPr>
            <w:r>
              <w:rPr>
                <w:sz w:val="18"/>
              </w:rPr>
              <w:t xml:space="preserve">Purpose</w:t>
            </w:r>
          </w:p>
        </w:tc>
        <w:tc>
          <w:tcPr>
            <w:tcW w:w="5679" w:type="dxa"/>
          </w:tcPr>
          <w:p>
            <w:pPr>
              <w:pStyle w:val="Compact"/>
              <w:spacing w:after="40"/>
              <w:jc w:val="left"/>
            </w:pPr>
            <w:r>
              <w:rPr>
                <w:sz w:val="18"/>
              </w:rPr>
              <w:t xml:space="preserve">Service, transactional, recovery or promotional, from the template or campaign</w:t>
            </w:r>
          </w:p>
        </w:tc>
        <w:tc>
          <w:tcPr>
            <w:tcW w:w="2164" w:type="dxa"/>
          </w:tcPr>
          <w:p>
            <w:pPr>
              <w:pStyle w:val="Compact"/>
              <w:spacing w:after="40"/>
              <w:jc w:val="left"/>
            </w:pPr>
            <w:r>
              <w:rPr>
                <w:sz w:val="18"/>
              </w:rPr>
              <w:t xml:space="preserve">TCCCPR categories</w:t>
            </w:r>
          </w:p>
        </w:tc>
      </w:tr>
      <w:tr>
        <w:tc>
          <w:tcPr>
            <w:tcW w:w="1795" w:type="dxa"/>
          </w:tcPr>
          <w:p>
            <w:pPr>
              <w:pStyle w:val="Compact"/>
              <w:spacing w:after="40"/>
              <w:jc w:val="left"/>
            </w:pPr>
            <w:r>
              <w:rPr>
                <w:sz w:val="18"/>
              </w:rPr>
              <w:t xml:space="preserve">Principal entity and numbers</w:t>
            </w:r>
          </w:p>
        </w:tc>
        <w:tc>
          <w:tcPr>
            <w:tcW w:w="5679" w:type="dxa"/>
          </w:tcPr>
          <w:p>
            <w:pPr>
              <w:pStyle w:val="Compact"/>
              <w:spacing w:after="40"/>
              <w:jc w:val="left"/>
            </w:pPr>
            <w:r>
              <w:rPr>
                <w:sz w:val="18"/>
              </w:rPr>
              <w:t xml:space="preserve">The tenant is the DLT principal entity and holder of its numbers; Finbyx never registers headers, templates or numbers in Infrabyx’s name for tenant traffic</w:t>
            </w:r>
          </w:p>
        </w:tc>
        <w:tc>
          <w:tcPr>
            <w:tcW w:w="2164" w:type="dxa"/>
          </w:tcPr>
          <w:p>
            <w:pPr>
              <w:pStyle w:val="Compact"/>
              <w:spacing w:after="40"/>
              <w:jc w:val="left"/>
            </w:pPr>
            <w:r>
              <w:rPr>
                <w:sz w:val="18"/>
              </w:rPr>
              <w:t xml:space="preserve">TCCCPR; RBC para 101</w:t>
            </w:r>
          </w:p>
        </w:tc>
      </w:tr>
      <w:tr>
        <w:tc>
          <w:tcPr>
            <w:tcW w:w="1795" w:type="dxa"/>
          </w:tcPr>
          <w:p>
            <w:pPr>
              <w:pStyle w:val="Compact"/>
              <w:spacing w:after="40"/>
              <w:jc w:val="left"/>
            </w:pPr>
            <w:r>
              <w:rPr>
                <w:sz w:val="18"/>
              </w:rPr>
              <w:t xml:space="preserve">Series for RE voice</w:t>
            </w:r>
          </w:p>
        </w:tc>
        <w:tc>
          <w:tcPr>
            <w:tcW w:w="5679" w:type="dxa"/>
          </w:tcPr>
          <w:p>
            <w:pPr>
              <w:pStyle w:val="Compact"/>
              <w:spacing w:after="40"/>
              <w:jc w:val="left"/>
            </w:pPr>
            <w:r>
              <w:rPr>
                <w:sz w:val="18"/>
              </w:rPr>
              <w:t xml:space="preserve">Service, transactional and recovery calls only from the tenant’s</w:t>
            </w:r>
            <w:r>
              <w:rPr>
                <w:sz w:val="18"/>
              </w:rPr>
              <w:t xml:space="preserve"> </w:t>
            </w:r>
            <w:r>
              <w:rPr>
                <w:bCs/>
                <w:b/>
                <w:sz w:val="18"/>
              </w:rPr>
              <w:t xml:space="preserve">1600-series</w:t>
            </w:r>
            <w:r>
              <w:rPr>
                <w:sz w:val="18"/>
              </w:rPr>
              <w:t xml:space="preserve"> </w:t>
            </w:r>
            <w:r>
              <w:rPr>
                <w:sz w:val="18"/>
              </w:rPr>
              <w:t xml:space="preserve">numbers (1601 sub-series for RBI-regulated entities per providers [VERIFY]); mandatory from 1 Jan 2026 for banks, 1 Feb 2026 for NBFCs above ₹5,000 crore, payments banks and SFBs, 1 Mar 2026 for other NBFCs, co-operative banks and RRBs; no other number may be used even with consent; 1600 calls cannot be tagged or blocked</w:t>
            </w:r>
          </w:p>
        </w:tc>
        <w:tc>
          <w:tcPr>
            <w:tcW w:w="2164" w:type="dxa"/>
          </w:tcPr>
          <w:p>
            <w:pPr>
              <w:pStyle w:val="Compact"/>
              <w:spacing w:after="40"/>
              <w:jc w:val="left"/>
            </w:pPr>
            <w:r>
              <w:rPr>
                <w:sz w:val="18"/>
              </w:rPr>
              <w:t xml:space="preserve">TRAI Direction 19 Nov 2025; TRAI clarification 10 Jul 2026</w:t>
            </w:r>
          </w:p>
        </w:tc>
      </w:tr>
      <w:tr>
        <w:tc>
          <w:tcPr>
            <w:tcW w:w="1795" w:type="dxa"/>
          </w:tcPr>
          <w:p>
            <w:pPr>
              <w:pStyle w:val="Compact"/>
              <w:spacing w:after="40"/>
              <w:jc w:val="left"/>
            </w:pPr>
            <w:r>
              <w:rPr>
                <w:sz w:val="18"/>
              </w:rPr>
              <w:t xml:space="preserve">Series for promotional voice</w:t>
            </w:r>
          </w:p>
        </w:tc>
        <w:tc>
          <w:tcPr>
            <w:tcW w:w="5679" w:type="dxa"/>
          </w:tcPr>
          <w:p>
            <w:pPr>
              <w:pStyle w:val="Compact"/>
              <w:spacing w:after="40"/>
              <w:jc w:val="left"/>
            </w:pPr>
            <w:r>
              <w:rPr>
                <w:bCs/>
                <w:b/>
                <w:sz w:val="18"/>
              </w:rPr>
              <w:t xml:space="preserve">140-series</w:t>
            </w:r>
            <w:r>
              <w:rPr>
                <w:sz w:val="18"/>
              </w:rPr>
              <w:t xml:space="preserve"> </w:t>
            </w:r>
            <w:r>
              <w:rPr>
                <w:sz w:val="18"/>
              </w:rPr>
              <w:t xml:space="preserve">through a registered telemarketer, DND scrub, explicit consent; ordinary 10-digit numbers barred for telemarketing</w:t>
            </w:r>
          </w:p>
        </w:tc>
        <w:tc>
          <w:tcPr>
            <w:tcW w:w="2164" w:type="dxa"/>
          </w:tcPr>
          <w:p>
            <w:pPr>
              <w:pStyle w:val="Compact"/>
              <w:spacing w:after="40"/>
              <w:jc w:val="left"/>
            </w:pPr>
            <w:r>
              <w:rPr>
                <w:sz w:val="18"/>
              </w:rPr>
              <w:t xml:space="preserve">TCCCPR 2018 as amended 12 Feb 2025</w:t>
            </w:r>
          </w:p>
        </w:tc>
      </w:tr>
      <w:tr>
        <w:tc>
          <w:tcPr>
            <w:tcW w:w="1795" w:type="dxa"/>
          </w:tcPr>
          <w:p>
            <w:pPr>
              <w:pStyle w:val="Compact"/>
              <w:spacing w:after="40"/>
              <w:jc w:val="left"/>
            </w:pPr>
            <w:r>
              <w:rPr>
                <w:sz w:val="18"/>
              </w:rPr>
              <w:t xml:space="preserve">Non-RE tenants</w:t>
            </w:r>
          </w:p>
        </w:tc>
        <w:tc>
          <w:tcPr>
            <w:tcW w:w="5679" w:type="dxa"/>
          </w:tcPr>
          <w:p>
            <w:pPr>
              <w:pStyle w:val="Compact"/>
              <w:spacing w:after="40"/>
              <w:jc w:val="left"/>
            </w:pPr>
            <w:r>
              <w:rPr>
                <w:sz w:val="18"/>
              </w:rPr>
              <w:t xml:space="preserve">Credit co-operative societies are not REs; their eligibility for 1600 numbers is unconfirmed; route through registered telemarketer series until confirmed [VERIFY]</w:t>
            </w:r>
          </w:p>
        </w:tc>
        <w:tc>
          <w:tcPr>
            <w:tcW w:w="2164" w:type="dxa"/>
          </w:tcPr>
          <w:p>
            <w:pPr>
              <w:pStyle w:val="Compact"/>
              <w:spacing w:after="40"/>
              <w:jc w:val="left"/>
            </w:pPr>
            <w:r>
              <w:rPr>
                <w:sz w:val="18"/>
              </w:rPr>
              <w:t xml:space="preserve">TRAI</w:t>
            </w:r>
          </w:p>
        </w:tc>
      </w:tr>
      <w:tr>
        <w:tc>
          <w:tcPr>
            <w:tcW w:w="1795" w:type="dxa"/>
          </w:tcPr>
          <w:p>
            <w:pPr>
              <w:pStyle w:val="Compact"/>
              <w:spacing w:after="40"/>
              <w:jc w:val="left"/>
            </w:pPr>
            <w:r>
              <w:rPr>
                <w:sz w:val="18"/>
              </w:rPr>
              <w:t xml:space="preserve">Consent</w:t>
            </w:r>
          </w:p>
        </w:tc>
        <w:tc>
          <w:tcPr>
            <w:tcW w:w="5679" w:type="dxa"/>
          </w:tcPr>
          <w:p>
            <w:pPr>
              <w:pStyle w:val="Compact"/>
              <w:spacing w:after="40"/>
              <w:jc w:val="left"/>
            </w:pPr>
            <w:r>
              <w:rPr>
                <w:sz w:val="18"/>
              </w:rPr>
              <w:t xml:space="preserve">Explicit consent for promotions, default</w:t>
            </w:r>
            <w:r>
              <w:rPr>
                <w:sz w:val="18"/>
              </w:rPr>
              <w:t xml:space="preserve"> </w:t>
            </w:r>
            <w:r>
              <w:rPr>
                <w:sz w:val="18"/>
              </w:rPr>
              <w:t xml:space="preserve">“</w:t>
            </w:r>
            <w:r>
              <w:rPr>
                <w:sz w:val="18"/>
              </w:rPr>
              <w:t xml:space="preserve">No</w:t>
            </w:r>
            <w:r>
              <w:rPr>
                <w:sz w:val="18"/>
              </w:rPr>
              <w:t xml:space="preserve">”</w:t>
            </w:r>
            <w:r>
              <w:rPr>
                <w:sz w:val="18"/>
              </w:rPr>
              <w:t xml:space="preserve"> </w:t>
            </w:r>
            <w:r>
              <w:rPr>
                <w:sz w:val="18"/>
              </w:rPr>
              <w:t xml:space="preserve">from 1 Jan 2027 (RBC Second Amendment para 101I); promotional messages carry an opt-out; 90 days before re-seeking consent after opt-out; inferred service consent only while the contract lasts</w:t>
            </w:r>
          </w:p>
        </w:tc>
        <w:tc>
          <w:tcPr>
            <w:tcW w:w="2164" w:type="dxa"/>
          </w:tcPr>
          <w:p>
            <w:pPr>
              <w:pStyle w:val="Compact"/>
              <w:spacing w:after="40"/>
              <w:jc w:val="left"/>
            </w:pPr>
            <w:r>
              <w:rPr>
                <w:sz w:val="18"/>
              </w:rPr>
              <w:t xml:space="preserve">RBC; TCCCPR</w:t>
            </w:r>
          </w:p>
        </w:tc>
      </w:tr>
      <w:tr>
        <w:tc>
          <w:tcPr>
            <w:tcW w:w="1795" w:type="dxa"/>
          </w:tcPr>
          <w:p>
            <w:pPr>
              <w:pStyle w:val="Compact"/>
              <w:spacing w:after="40"/>
              <w:jc w:val="left"/>
            </w:pPr>
            <w:r>
              <w:rPr>
                <w:sz w:val="18"/>
              </w:rPr>
              <w:t xml:space="preserve">Time windows (effective-dated rule pack)</w:t>
            </w:r>
          </w:p>
        </w:tc>
        <w:tc>
          <w:tcPr>
            <w:tcW w:w="5679" w:type="dxa"/>
          </w:tcPr>
          <w:p>
            <w:pPr>
              <w:pStyle w:val="Compact"/>
              <w:spacing w:after="40"/>
              <w:jc w:val="left"/>
            </w:pPr>
            <w:r>
              <w:rPr>
                <w:sz w:val="18"/>
              </w:rPr>
              <w:t xml:space="preserve">Until 31 Dec 2026: recovery calls 08:00–19:00 (RBC para 100; not microfinance), microfinance 09:00–18:00 (RBC para 91(2)). From 1 Jan 2027: the RBC Third Amendment pack (RBI/2026-27/230; para 100Y(4): 08:00–19:00 unless the borrower asks otherwise; avoid bereavement, weddings and festivals) [VERIFY: whether a separate microfinance window survives]. Marketing 09:00–19:00 from 1 Jan 2027 (M18). A stricter recorded borrower preference prevails</w:t>
            </w:r>
          </w:p>
        </w:tc>
        <w:tc>
          <w:tcPr>
            <w:tcW w:w="2164" w:type="dxa"/>
          </w:tcPr>
          <w:p>
            <w:pPr>
              <w:pStyle w:val="Compact"/>
              <w:spacing w:after="40"/>
              <w:jc w:val="left"/>
            </w:pPr>
            <w:r>
              <w:rPr>
                <w:sz w:val="18"/>
              </w:rPr>
              <w:t xml:space="preserve">RBC</w:t>
            </w:r>
          </w:p>
        </w:tc>
      </w:tr>
      <w:tr>
        <w:tc>
          <w:tcPr>
            <w:tcW w:w="1795" w:type="dxa"/>
          </w:tcPr>
          <w:p>
            <w:pPr>
              <w:pStyle w:val="Compact"/>
              <w:spacing w:after="40"/>
              <w:jc w:val="left"/>
            </w:pPr>
            <w:r>
              <w:rPr>
                <w:sz w:val="18"/>
              </w:rPr>
              <w:t xml:space="preserve">Frequency</w:t>
            </w:r>
          </w:p>
        </w:tc>
        <w:tc>
          <w:tcPr>
            <w:tcW w:w="5679" w:type="dxa"/>
          </w:tcPr>
          <w:p>
            <w:pPr>
              <w:pStyle w:val="Compact"/>
              <w:spacing w:after="40"/>
              <w:jc w:val="left"/>
            </w:pPr>
            <w:r>
              <w:rPr>
                <w:sz w:val="18"/>
              </w:rPr>
              <w:t xml:space="preserve">No persistent calling; default ≤ 3 attempts and 1 connected recovery call a day unless the borrower asks [REC]</w:t>
            </w:r>
          </w:p>
        </w:tc>
        <w:tc>
          <w:tcPr>
            <w:tcW w:w="2164" w:type="dxa"/>
          </w:tcPr>
          <w:p>
            <w:pPr>
              <w:pStyle w:val="Compact"/>
              <w:spacing w:after="40"/>
              <w:jc w:val="left"/>
            </w:pPr>
            <w:r>
              <w:rPr>
                <w:sz w:val="18"/>
              </w:rPr>
              <w:t xml:space="preserve">RBC para 100 (para 100Y from 1 Jan 2027)</w:t>
            </w:r>
          </w:p>
        </w:tc>
      </w:tr>
      <w:tr>
        <w:tc>
          <w:tcPr>
            <w:tcW w:w="1795" w:type="dxa"/>
          </w:tcPr>
          <w:p>
            <w:pPr>
              <w:pStyle w:val="Compact"/>
              <w:spacing w:after="40"/>
              <w:jc w:val="left"/>
            </w:pPr>
            <w:r>
              <w:rPr>
                <w:sz w:val="18"/>
              </w:rPr>
              <w:t xml:space="preserve">Auto-diallers and robo-calls</w:t>
            </w:r>
          </w:p>
        </w:tc>
        <w:tc>
          <w:tcPr>
            <w:tcW w:w="5679" w:type="dxa"/>
          </w:tcPr>
          <w:p>
            <w:pPr>
              <w:pStyle w:val="Compact"/>
              <w:spacing w:after="40"/>
              <w:jc w:val="left"/>
            </w:pPr>
            <w:r>
              <w:rPr>
                <w:sz w:val="18"/>
              </w:rPr>
              <w:t xml:space="preserve">Notified in advance to the originating access provider with purpose</w:t>
            </w:r>
          </w:p>
        </w:tc>
        <w:tc>
          <w:tcPr>
            <w:tcW w:w="2164" w:type="dxa"/>
          </w:tcPr>
          <w:p>
            <w:pPr>
              <w:pStyle w:val="Compact"/>
              <w:spacing w:after="40"/>
              <w:jc w:val="left"/>
            </w:pPr>
            <w:r>
              <w:rPr>
                <w:sz w:val="18"/>
              </w:rPr>
              <w:t xml:space="preserve">TCCCPR reg 4 (2025 amendment)</w:t>
            </w:r>
          </w:p>
        </w:tc>
      </w:tr>
      <w:tr>
        <w:tc>
          <w:tcPr>
            <w:tcW w:w="1795" w:type="dxa"/>
          </w:tcPr>
          <w:p>
            <w:pPr>
              <w:pStyle w:val="Compact"/>
              <w:spacing w:after="40"/>
              <w:jc w:val="left"/>
            </w:pPr>
            <w:r>
              <w:rPr>
                <w:sz w:val="18"/>
              </w:rPr>
              <w:t xml:space="preserve">Templates</w:t>
            </w:r>
          </w:p>
        </w:tc>
        <w:tc>
          <w:tcPr>
            <w:tcW w:w="5679" w:type="dxa"/>
          </w:tcPr>
          <w:p>
            <w:pPr>
              <w:pStyle w:val="Compact"/>
              <w:spacing w:after="40"/>
              <w:jc w:val="left"/>
            </w:pPr>
            <w:r>
              <w:rPr>
                <w:sz w:val="18"/>
              </w:rPr>
              <w:t xml:space="preserve">DLT template id required for every SMS; header and template must match category</w:t>
            </w:r>
          </w:p>
        </w:tc>
        <w:tc>
          <w:tcPr>
            <w:tcW w:w="2164" w:type="dxa"/>
          </w:tcPr>
          <w:p>
            <w:pPr>
              <w:pStyle w:val="Compact"/>
              <w:spacing w:after="40"/>
              <w:jc w:val="left"/>
            </w:pPr>
            <w:r>
              <w:rPr>
                <w:sz w:val="18"/>
              </w:rPr>
              <w:t xml:space="preserve">TCCCPR</w:t>
            </w:r>
          </w:p>
        </w:tc>
      </w:tr>
    </w:tbl>
    <w:bookmarkEnd w:id="759"/>
    <w:bookmarkStart w:id="760" w:name="eo6.4-ai-contact-centre"/>
    <w:p>
      <w:pPr>
        <w:pStyle w:val="Heading3"/>
      </w:pPr>
      <w:r>
        <w:t xml:space="preserve">EO6.4 AI contact centre</w:t>
      </w:r>
    </w:p>
    <w:p>
      <w:pPr>
        <w:numPr>
          <w:ilvl w:val="0"/>
          <w:numId w:val="1599"/>
        </w:numPr>
        <w:pStyle w:val="Compact"/>
      </w:pPr>
      <w:r>
        <w:rPr>
          <w:bCs/>
          <w:b/>
        </w:rPr>
        <w:t xml:space="preserve">Inbound service assistant</w:t>
      </w:r>
      <w:r>
        <w:t xml:space="preserve"> </w:t>
      </w:r>
      <w:r>
        <w:t xml:space="preserve">(IVR, voice or chat): authenticate the caller (registered mobile plus OTP, or IVR PIN) before disclosing anything; answer balance, due date, receipt status and document-release status; create service requests (statement, foreclosure quote, NOC) and complaints in M15; hand over to a human at any time on request.</w:t>
      </w:r>
    </w:p>
    <w:p>
      <w:pPr>
        <w:numPr>
          <w:ilvl w:val="0"/>
          <w:numId w:val="1599"/>
        </w:numPr>
        <w:pStyle w:val="Compact"/>
      </w:pPr>
      <w:r>
        <w:rPr>
          <w:bCs/>
          <w:b/>
        </w:rPr>
        <w:t xml:space="preserve">Outbound AI voice:</w:t>
      </w:r>
      <w:r>
        <w:t xml:space="preserve"> </w:t>
      </w:r>
      <w:r>
        <w:t xml:space="preserve">pre-due reminders and receipt confirmations; recovery calls by an AI voice only if the tenant’s Board-approved policy allows it and the CCO approved the script and prompts.</w:t>
      </w:r>
    </w:p>
    <w:p>
      <w:pPr>
        <w:numPr>
          <w:ilvl w:val="0"/>
          <w:numId w:val="1599"/>
        </w:numPr>
        <w:pStyle w:val="Compact"/>
      </w:pPr>
      <w:r>
        <w:rPr>
          <w:bCs/>
          <w:b/>
        </w:rPr>
        <w:t xml:space="preserve">AI must never:</w:t>
      </w:r>
      <w:r>
        <w:t xml:space="preserve"> </w:t>
      </w:r>
      <w:r>
        <w:t xml:space="preserve">negotiate or approve settlements or waivers, change loan terms, close or reject complaints, threaten, misstate dues, disclose to third parties, or collect card data (payments only through links to the tenant’s gateway).</w:t>
      </w:r>
    </w:p>
    <w:p>
      <w:pPr>
        <w:numPr>
          <w:ilvl w:val="0"/>
          <w:numId w:val="1599"/>
        </w:numPr>
        <w:pStyle w:val="Compact"/>
      </w:pPr>
      <w:r>
        <w:rPr>
          <w:bCs/>
          <w:b/>
        </w:rPr>
        <w:t xml:space="preserve">Disclosure and governance (RBI FREE-AI, 13 Aug 2025; M20):</w:t>
      </w:r>
      <w:r>
        <w:t xml:space="preserve"> </w:t>
      </w:r>
      <w:r>
        <w:t xml:space="preserve">the assistant states at the start that it is an automated assistant acting for the tenant; the customer can ask for a human; each interaction logs model, model version, prompt version, transcript reference and handover; scripts and prompts are versioned and approved; quality and bias reviews are sampled monthly; the tenant’s AI inventory lists the use.</w:t>
      </w:r>
    </w:p>
    <w:p>
      <w:pPr>
        <w:numPr>
          <w:ilvl w:val="0"/>
          <w:numId w:val="1599"/>
        </w:numPr>
        <w:pStyle w:val="Compact"/>
      </w:pPr>
      <w:r>
        <w:rPr>
          <w:bCs/>
          <w:b/>
        </w:rPr>
        <w:t xml:space="preserve">Recording consent:</w:t>
      </w:r>
      <w:r>
        <w:t xml:space="preserve"> </w:t>
      </w:r>
      <w:r>
        <w:t xml:space="preserve">recording and its purpose are announced at the start of every recorded call; a DPDP notice link is sent by DLT-registered SMS [REC]; recordings, transcripts and call records stay in India (CF para 14(4)) with access restricted by role; retention per tenant policy, and for recovery calls 6 months or until disposal while sub judice (RBC para 100P from 1 Jan 2027; Part 7A.0.5).</w:t>
      </w:r>
    </w:p>
    <w:p>
      <w:pPr>
        <w:numPr>
          <w:ilvl w:val="0"/>
          <w:numId w:val="1599"/>
        </w:numPr>
        <w:pStyle w:val="Compact"/>
      </w:pPr>
      <w:r>
        <w:rPr>
          <w:bCs/>
          <w:b/>
        </w:rPr>
        <w:t xml:space="preserve">Residency gate:</w:t>
      </w:r>
      <w:r>
        <w:t xml:space="preserve"> </w:t>
      </w:r>
      <w:r>
        <w:t xml:space="preserve">an adapter whose provider has not proved India storage for recordings, transcripts and call records, and India inference for any AI, cannot be enabled for a production tenant.</w:t>
      </w:r>
    </w:p>
    <w:bookmarkEnd w:id="760"/>
    <w:bookmarkStart w:id="761" w:name="eo6.5-metering-and-records"/>
    <w:p>
      <w:pPr>
        <w:pStyle w:val="Heading3"/>
      </w:pPr>
      <w:r>
        <w:t xml:space="preserve">EO6.5 Metering and records</w:t>
      </w:r>
    </w:p>
    <w:p>
      <w:pPr>
        <w:pStyle w:val="FirstParagraph"/>
      </w:pPr>
      <w:r>
        <w:t xml:space="preserve">Voice minutes, SMS, WhatsApp and AI minutes are metered through CM3 pass-through meters with cost captured per call. Contact attempts, evaluations, recordings and AI interactions use the existing R15 entities (</w:t>
      </w:r>
      <w:r>
        <w:rPr>
          <w:rStyle w:val="VerbatimChar"/>
        </w:rPr>
        <w:t xml:space="preserve">contact_attempt</w:t>
      </w:r>
      <w:r>
        <w:t xml:space="preserve">,</w:t>
      </w:r>
      <w:r>
        <w:t xml:space="preserve"> </w:t>
      </w:r>
      <w:r>
        <w:rPr>
          <w:rStyle w:val="VerbatimChar"/>
        </w:rPr>
        <w:t xml:space="preserve">contact_evaluation</w:t>
      </w:r>
      <w:r>
        <w:t xml:space="preserve">,</w:t>
      </w:r>
      <w:r>
        <w:t xml:space="preserve"> </w:t>
      </w:r>
      <w:r>
        <w:rPr>
          <w:rStyle w:val="VerbatimChar"/>
        </w:rPr>
        <w:t xml:space="preserve">call_recording</w:t>
      </w:r>
      <w:r>
        <w:t xml:space="preserve">,</w:t>
      </w:r>
      <w:r>
        <w:t xml:space="preserve"> </w:t>
      </w:r>
      <w:r>
        <w:rPr>
          <w:rStyle w:val="VerbatimChar"/>
        </w:rPr>
        <w:t xml:space="preserve">ai_interaction_log</w:t>
      </w:r>
      <w:r>
        <w:t xml:space="preserve">); no new ecosystem events are needed.</w:t>
      </w:r>
    </w:p>
    <w:bookmarkEnd w:id="761"/>
    <w:bookmarkStart w:id="762" w:name="Xdd826e35a171660ce67afbdc87edf80ccf9d578"/>
    <w:p>
      <w:pPr>
        <w:pStyle w:val="Heading3"/>
      </w:pPr>
      <w:r>
        <w:t xml:space="preserve">EO6.6 Provider, number and script lifecycles</w:t>
      </w:r>
    </w:p>
    <w:p>
      <w:pPr>
        <w:numPr>
          <w:ilvl w:val="0"/>
          <w:numId w:val="1600"/>
        </w:numPr>
        <w:pStyle w:val="Compact"/>
      </w:pPr>
      <w:r>
        <w:rPr>
          <w:bCs/>
          <w:b/>
        </w:rPr>
        <w:t xml:space="preserve">Provider account:</w:t>
      </w:r>
      <w:r>
        <w:t xml:space="preserve"> </w:t>
      </w:r>
      <w:r>
        <w:rPr>
          <w:rStyle w:val="VerbatimChar"/>
        </w:rPr>
        <w:t xml:space="preserve">PROPOSED → DUE_DILIGENCE (DPA, residency proof, DLT and 1600 support) → CONTRACTED → SANDBOX_CERTIFIED → PRODUCTION_ENABLED → (SUSPENDED → PRODUCTION_ENABLED) → RETIRED</w:t>
      </w:r>
      <w:r>
        <w:t xml:space="preserve">; residency proof older than 12 months or a failed certification re-run suspends production traffic, and the contact-policy engine fails over only to another certified adapter of the tenant, never to an uncertified one.</w:t>
      </w:r>
    </w:p>
    <w:p>
      <w:pPr>
        <w:numPr>
          <w:ilvl w:val="0"/>
          <w:numId w:val="1600"/>
        </w:numPr>
        <w:pStyle w:val="Compact"/>
      </w:pPr>
      <w:r>
        <w:rPr>
          <w:bCs/>
          <w:b/>
        </w:rPr>
        <w:t xml:space="preserve">Numbers and headers:</w:t>
      </w:r>
      <w:r>
        <w:t xml:space="preserve"> </w:t>
      </w:r>
      <w:r>
        <w:t xml:space="preserve">each number carries series, circle, purpose and the tenant’s DLT entity id; a number whose series does not fit its purpose cannot be assigned to a campaign or queue.</w:t>
      </w:r>
    </w:p>
    <w:p>
      <w:pPr>
        <w:numPr>
          <w:ilvl w:val="0"/>
          <w:numId w:val="1600"/>
        </w:numPr>
        <w:pStyle w:val="Compact"/>
      </w:pPr>
      <w:r>
        <w:rPr>
          <w:bCs/>
          <w:b/>
        </w:rPr>
        <w:t xml:space="preserve">Scripts and prompts:</w:t>
      </w:r>
      <w:r>
        <w:t xml:space="preserve"> </w:t>
      </w:r>
      <w:r>
        <w:rPr>
          <w:rStyle w:val="VerbatimChar"/>
        </w:rPr>
        <w:t xml:space="preserve">DRAFT → LEGAL_REVIEW → CCO_APPROVED → LIVE → RETIRED</w:t>
      </w:r>
      <w:r>
        <w:t xml:space="preserve">, versioned; an AI recovery script cannot reach</w:t>
      </w:r>
      <w:r>
        <w:t xml:space="preserve"> </w:t>
      </w:r>
      <w:r>
        <w:rPr>
          <w:rStyle w:val="VerbatimChar"/>
        </w:rPr>
        <w:t xml:space="preserve">LIVE</w:t>
      </w:r>
      <w:r>
        <w:t xml:space="preserve"> </w:t>
      </w:r>
      <w:r>
        <w:t xml:space="preserve">without a Board-approved policy reference; changing a live prompt creates a new version and needs fresh approval.</w:t>
      </w:r>
    </w:p>
    <w:bookmarkEnd w:id="762"/>
    <w:bookmarkStart w:id="763" w:name="settings-and-options-eo6"/>
    <w:p>
      <w:pPr>
        <w:pStyle w:val="Heading3"/>
      </w:pPr>
      <w:r>
        <w:t xml:space="preserve">Settings and options (EO6)</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94"/>
        <w:gridCol w:w="1939"/>
        <w:gridCol w:w="2642"/>
        <w:gridCol w:w="2763"/>
      </w:tblGrid>
      <w:tr>
        <w:trPr>
          <w:tblHeader w:val="true"/>
          <w:tblHeader w:val="true"/>
        </w:trPr>
        <w:tc>
          <w:tcPr>
            <w:tcW w:w="2294" w:type="dxa"/>
            <w:shd w:val="clear" w:color="auto" w:fill="1F3A5F"/>
          </w:tcPr>
          <w:p>
            <w:pPr>
              <w:pStyle w:val="Compact"/>
              <w:spacing w:after="40"/>
              <w:jc w:val="left"/>
            </w:pPr>
            <w:r>
              <w:rPr>
                <w:b/>
                <w:color w:val="FFFFFF"/>
                <w:sz w:val="18"/>
              </w:rPr>
              <w:t xml:space="preserve">Setting</w:t>
            </w:r>
          </w:p>
        </w:tc>
        <w:tc>
          <w:tcPr>
            <w:tcW w:w="1939" w:type="dxa"/>
            <w:shd w:val="clear" w:color="auto" w:fill="1F3A5F"/>
          </w:tcPr>
          <w:p>
            <w:pPr>
              <w:pStyle w:val="Compact"/>
              <w:spacing w:after="40"/>
              <w:jc w:val="left"/>
            </w:pPr>
            <w:r>
              <w:rPr>
                <w:b/>
                <w:color w:val="FFFFFF"/>
                <w:sz w:val="18"/>
              </w:rPr>
              <w:t xml:space="preserve">Level</w:t>
            </w:r>
          </w:p>
        </w:tc>
        <w:tc>
          <w:tcPr>
            <w:tcW w:w="2642" w:type="dxa"/>
            <w:shd w:val="clear" w:color="auto" w:fill="1F3A5F"/>
          </w:tcPr>
          <w:p>
            <w:pPr>
              <w:pStyle w:val="Compact"/>
              <w:spacing w:after="40"/>
              <w:jc w:val="left"/>
            </w:pPr>
            <w:r>
              <w:rPr>
                <w:b/>
                <w:color w:val="FFFFFF"/>
                <w:sz w:val="18"/>
              </w:rPr>
              <w:t xml:space="preserve">Default</w:t>
            </w:r>
          </w:p>
        </w:tc>
        <w:tc>
          <w:tcPr>
            <w:tcW w:w="2763" w:type="dxa"/>
            <w:shd w:val="clear" w:color="auto" w:fill="1F3A5F"/>
          </w:tcPr>
          <w:p>
            <w:pPr>
              <w:pStyle w:val="Compact"/>
              <w:spacing w:after="40"/>
              <w:jc w:val="left"/>
            </w:pPr>
            <w:r>
              <w:rPr>
                <w:b/>
                <w:color w:val="FFFFFF"/>
                <w:sz w:val="18"/>
              </w:rPr>
              <w:t xml:space="preserve">Nature</w:t>
            </w:r>
          </w:p>
        </w:tc>
      </w:tr>
      <w:tr>
        <w:tc>
          <w:tcPr>
            <w:tcW w:w="2294" w:type="dxa"/>
          </w:tcPr>
          <w:p>
            <w:pPr>
              <w:pStyle w:val="Compact"/>
              <w:spacing w:after="40"/>
              <w:jc w:val="left"/>
            </w:pPr>
            <w:r>
              <w:rPr>
                <w:sz w:val="18"/>
              </w:rPr>
              <w:t xml:space="preserve">Contact windows, frequency caps and consent rules</w:t>
            </w:r>
          </w:p>
        </w:tc>
        <w:tc>
          <w:tcPr>
            <w:tcW w:w="1939" w:type="dxa"/>
          </w:tcPr>
          <w:p>
            <w:pPr>
              <w:pStyle w:val="Compact"/>
              <w:spacing w:after="40"/>
              <w:jc w:val="left"/>
            </w:pPr>
            <w:r>
              <w:rPr>
                <w:sz w:val="18"/>
              </w:rPr>
              <w:t xml:space="preserve">Platform rule pack, effective-dated</w:t>
            </w:r>
          </w:p>
        </w:tc>
        <w:tc>
          <w:tcPr>
            <w:tcW w:w="2642" w:type="dxa"/>
          </w:tcPr>
          <w:p>
            <w:pPr>
              <w:pStyle w:val="Compact"/>
              <w:spacing w:after="40"/>
              <w:jc w:val="left"/>
            </w:pPr>
            <w:r>
              <w:rPr>
                <w:sz w:val="18"/>
              </w:rPr>
              <w:t xml:space="preserve">EO6.3</w:t>
            </w:r>
          </w:p>
        </w:tc>
        <w:tc>
          <w:tcPr>
            <w:tcW w:w="2763" w:type="dxa"/>
          </w:tcPr>
          <w:p>
            <w:pPr>
              <w:pStyle w:val="Compact"/>
              <w:spacing w:after="40"/>
              <w:jc w:val="left"/>
            </w:pPr>
            <w:r>
              <w:rPr>
                <w:sz w:val="18"/>
              </w:rPr>
              <w:t xml:space="preserve">Floor; tenant may only narrow</w:t>
            </w:r>
          </w:p>
        </w:tc>
      </w:tr>
      <w:tr>
        <w:tc>
          <w:tcPr>
            <w:tcW w:w="2294" w:type="dxa"/>
          </w:tcPr>
          <w:p>
            <w:pPr>
              <w:pStyle w:val="Compact"/>
              <w:spacing w:after="40"/>
              <w:jc w:val="left"/>
            </w:pPr>
            <w:r>
              <w:rPr>
                <w:sz w:val="18"/>
              </w:rPr>
              <w:t xml:space="preserve">Series-to-purpose mapping</w:t>
            </w:r>
          </w:p>
        </w:tc>
        <w:tc>
          <w:tcPr>
            <w:tcW w:w="1939" w:type="dxa"/>
          </w:tcPr>
          <w:p>
            <w:pPr>
              <w:pStyle w:val="Compact"/>
              <w:spacing w:after="40"/>
              <w:jc w:val="left"/>
            </w:pPr>
            <w:r>
              <w:rPr>
                <w:sz w:val="18"/>
              </w:rPr>
              <w:t xml:space="preserve">Platform</w:t>
            </w:r>
          </w:p>
        </w:tc>
        <w:tc>
          <w:tcPr>
            <w:tcW w:w="2642" w:type="dxa"/>
          </w:tcPr>
          <w:p>
            <w:pPr>
              <w:pStyle w:val="Compact"/>
              <w:spacing w:after="40"/>
              <w:jc w:val="left"/>
            </w:pPr>
            <w:r>
              <w:rPr>
                <w:sz w:val="18"/>
              </w:rPr>
              <w:t xml:space="preserve">1600 for service, transactional and recovery; 140 for promotional</w:t>
            </w:r>
          </w:p>
        </w:tc>
        <w:tc>
          <w:tcPr>
            <w:tcW w:w="2763" w:type="dxa"/>
          </w:tcPr>
          <w:p>
            <w:pPr>
              <w:pStyle w:val="Compact"/>
              <w:spacing w:after="40"/>
              <w:jc w:val="left"/>
            </w:pPr>
            <w:r>
              <w:rPr>
                <w:sz w:val="18"/>
              </w:rPr>
              <w:t xml:space="preserve">Regulatory floor</w:t>
            </w:r>
          </w:p>
        </w:tc>
      </w:tr>
      <w:tr>
        <w:tc>
          <w:tcPr>
            <w:tcW w:w="2294" w:type="dxa"/>
          </w:tcPr>
          <w:p>
            <w:pPr>
              <w:pStyle w:val="Compact"/>
              <w:spacing w:after="40"/>
              <w:jc w:val="left"/>
            </w:pPr>
            <w:r>
              <w:rPr>
                <w:sz w:val="18"/>
              </w:rPr>
              <w:t xml:space="preserve">Attempt and connected-call caps</w:t>
            </w:r>
          </w:p>
        </w:tc>
        <w:tc>
          <w:tcPr>
            <w:tcW w:w="1939" w:type="dxa"/>
          </w:tcPr>
          <w:p>
            <w:pPr>
              <w:pStyle w:val="Compact"/>
              <w:spacing w:after="40"/>
              <w:jc w:val="left"/>
            </w:pPr>
            <w:r>
              <w:rPr>
                <w:sz w:val="18"/>
              </w:rPr>
              <w:t xml:space="preserve">Tenant</w:t>
            </w:r>
          </w:p>
        </w:tc>
        <w:tc>
          <w:tcPr>
            <w:tcW w:w="2642" w:type="dxa"/>
          </w:tcPr>
          <w:p>
            <w:pPr>
              <w:pStyle w:val="Compact"/>
              <w:spacing w:after="40"/>
              <w:jc w:val="left"/>
            </w:pPr>
            <w:r>
              <w:rPr>
                <w:sz w:val="18"/>
              </w:rPr>
              <w:t xml:space="preserve">≤ 3 attempts and 1 connected recovery call a day [REC]</w:t>
            </w:r>
          </w:p>
        </w:tc>
        <w:tc>
          <w:tcPr>
            <w:tcW w:w="2763" w:type="dxa"/>
          </w:tcPr>
          <w:p>
            <w:pPr>
              <w:pStyle w:val="Compact"/>
              <w:spacing w:after="40"/>
              <w:jc w:val="left"/>
            </w:pPr>
            <w:r>
              <w:rPr>
                <w:sz w:val="18"/>
              </w:rPr>
              <w:t xml:space="preserve">Tenant may lower</w:t>
            </w:r>
          </w:p>
        </w:tc>
      </w:tr>
      <w:tr>
        <w:tc>
          <w:tcPr>
            <w:tcW w:w="2294" w:type="dxa"/>
          </w:tcPr>
          <w:p>
            <w:pPr>
              <w:pStyle w:val="Compact"/>
              <w:spacing w:after="40"/>
              <w:jc w:val="left"/>
            </w:pPr>
            <w:r>
              <w:rPr>
                <w:sz w:val="18"/>
              </w:rPr>
              <w:t xml:space="preserve">AI inbound assistant</w:t>
            </w:r>
          </w:p>
        </w:tc>
        <w:tc>
          <w:tcPr>
            <w:tcW w:w="1939" w:type="dxa"/>
          </w:tcPr>
          <w:p>
            <w:pPr>
              <w:pStyle w:val="Compact"/>
              <w:spacing w:after="40"/>
              <w:jc w:val="left"/>
            </w:pPr>
            <w:r>
              <w:rPr>
                <w:sz w:val="18"/>
              </w:rPr>
              <w:t xml:space="preserve">Tenant</w:t>
            </w:r>
          </w:p>
        </w:tc>
        <w:tc>
          <w:tcPr>
            <w:tcW w:w="2642" w:type="dxa"/>
          </w:tcPr>
          <w:p>
            <w:pPr>
              <w:pStyle w:val="Compact"/>
              <w:spacing w:after="40"/>
              <w:jc w:val="left"/>
            </w:pPr>
            <w:r>
              <w:rPr>
                <w:sz w:val="18"/>
              </w:rPr>
              <w:t xml:space="preserve">Off</w:t>
            </w:r>
          </w:p>
        </w:tc>
        <w:tc>
          <w:tcPr>
            <w:tcW w:w="2763" w:type="dxa"/>
          </w:tcPr>
          <w:p>
            <w:pPr>
              <w:pStyle w:val="Compact"/>
              <w:spacing w:after="40"/>
              <w:jc w:val="left"/>
            </w:pPr>
            <w:r>
              <w:rPr>
                <w:sz w:val="18"/>
              </w:rPr>
              <w:t xml:space="preserve">Commercial choice; disclosure and human handover cannot be switched off</w:t>
            </w:r>
          </w:p>
        </w:tc>
      </w:tr>
      <w:tr>
        <w:tc>
          <w:tcPr>
            <w:tcW w:w="2294" w:type="dxa"/>
          </w:tcPr>
          <w:p>
            <w:pPr>
              <w:pStyle w:val="Compact"/>
              <w:spacing w:after="40"/>
              <w:jc w:val="left"/>
            </w:pPr>
            <w:r>
              <w:rPr>
                <w:sz w:val="18"/>
              </w:rPr>
              <w:t xml:space="preserve">AI outbound recovery voice</w:t>
            </w:r>
          </w:p>
        </w:tc>
        <w:tc>
          <w:tcPr>
            <w:tcW w:w="1939" w:type="dxa"/>
          </w:tcPr>
          <w:p>
            <w:pPr>
              <w:pStyle w:val="Compact"/>
              <w:spacing w:after="40"/>
              <w:jc w:val="left"/>
            </w:pPr>
            <w:r>
              <w:rPr>
                <w:sz w:val="18"/>
              </w:rPr>
              <w:t xml:space="preserve">Tenant</w:t>
            </w:r>
          </w:p>
        </w:tc>
        <w:tc>
          <w:tcPr>
            <w:tcW w:w="2642" w:type="dxa"/>
          </w:tcPr>
          <w:p>
            <w:pPr>
              <w:pStyle w:val="Compact"/>
              <w:spacing w:after="40"/>
              <w:jc w:val="left"/>
            </w:pPr>
            <w:r>
              <w:rPr>
                <w:sz w:val="18"/>
              </w:rPr>
              <w:t xml:space="preserve">Off</w:t>
            </w:r>
          </w:p>
        </w:tc>
        <w:tc>
          <w:tcPr>
            <w:tcW w:w="2763" w:type="dxa"/>
          </w:tcPr>
          <w:p>
            <w:pPr>
              <w:pStyle w:val="Compact"/>
              <w:spacing w:after="40"/>
              <w:jc w:val="left"/>
            </w:pPr>
            <w:r>
              <w:rPr>
                <w:sz w:val="18"/>
              </w:rPr>
              <w:t xml:space="preserve">Needs Board policy and CCO-approved script</w:t>
            </w:r>
          </w:p>
        </w:tc>
      </w:tr>
      <w:tr>
        <w:tc>
          <w:tcPr>
            <w:tcW w:w="2294" w:type="dxa"/>
          </w:tcPr>
          <w:p>
            <w:pPr>
              <w:pStyle w:val="Compact"/>
              <w:spacing w:after="40"/>
              <w:jc w:val="left"/>
            </w:pPr>
            <w:r>
              <w:rPr>
                <w:sz w:val="18"/>
              </w:rPr>
              <w:t xml:space="preserve">Recording retention</w:t>
            </w:r>
          </w:p>
        </w:tc>
        <w:tc>
          <w:tcPr>
            <w:tcW w:w="1939" w:type="dxa"/>
          </w:tcPr>
          <w:p>
            <w:pPr>
              <w:pStyle w:val="Compact"/>
              <w:spacing w:after="40"/>
              <w:jc w:val="left"/>
            </w:pPr>
            <w:r>
              <w:rPr>
                <w:sz w:val="18"/>
              </w:rPr>
              <w:t xml:space="preserve">Tenant</w:t>
            </w:r>
          </w:p>
        </w:tc>
        <w:tc>
          <w:tcPr>
            <w:tcW w:w="2642" w:type="dxa"/>
          </w:tcPr>
          <w:p>
            <w:pPr>
              <w:pStyle w:val="Compact"/>
              <w:spacing w:after="40"/>
              <w:jc w:val="left"/>
            </w:pPr>
            <w:r>
              <w:rPr>
                <w:sz w:val="18"/>
              </w:rPr>
              <w:t xml:space="preserve">6 months for recovery calls, longer while sub judice</w:t>
            </w:r>
          </w:p>
        </w:tc>
        <w:tc>
          <w:tcPr>
            <w:tcW w:w="2763" w:type="dxa"/>
          </w:tcPr>
          <w:p>
            <w:pPr>
              <w:pStyle w:val="Compact"/>
              <w:spacing w:after="40"/>
              <w:jc w:val="left"/>
            </w:pPr>
            <w:r>
              <w:rPr>
                <w:sz w:val="18"/>
              </w:rPr>
              <w:t xml:space="preserve">Floor from 1 Jan 2027 (para 100P)</w:t>
            </w:r>
          </w:p>
        </w:tc>
      </w:tr>
      <w:tr>
        <w:tc>
          <w:tcPr>
            <w:tcW w:w="2294" w:type="dxa"/>
          </w:tcPr>
          <w:p>
            <w:pPr>
              <w:pStyle w:val="Compact"/>
              <w:spacing w:after="40"/>
              <w:jc w:val="left"/>
            </w:pPr>
            <w:r>
              <w:rPr>
                <w:sz w:val="18"/>
              </w:rPr>
              <w:t xml:space="preserve">Languages and voices</w:t>
            </w:r>
          </w:p>
        </w:tc>
        <w:tc>
          <w:tcPr>
            <w:tcW w:w="1939" w:type="dxa"/>
          </w:tcPr>
          <w:p>
            <w:pPr>
              <w:pStyle w:val="Compact"/>
              <w:spacing w:after="40"/>
              <w:jc w:val="left"/>
            </w:pPr>
            <w:r>
              <w:rPr>
                <w:sz w:val="18"/>
              </w:rPr>
              <w:t xml:space="preserve">Tenant</w:t>
            </w:r>
          </w:p>
        </w:tc>
        <w:tc>
          <w:tcPr>
            <w:tcW w:w="2642" w:type="dxa"/>
          </w:tcPr>
          <w:p>
            <w:pPr>
              <w:pStyle w:val="Compact"/>
              <w:spacing w:after="40"/>
              <w:jc w:val="left"/>
            </w:pPr>
            <w:r>
              <w:rPr>
                <w:sz w:val="18"/>
              </w:rPr>
              <w:t xml:space="preserve">English and Hindi; others per provider</w:t>
            </w:r>
          </w:p>
        </w:tc>
        <w:tc>
          <w:tcPr>
            <w:tcW w:w="2763" w:type="dxa"/>
          </w:tcPr>
          <w:p>
            <w:pPr>
              <w:pStyle w:val="Compact"/>
              <w:spacing w:after="40"/>
              <w:jc w:val="left"/>
            </w:pPr>
            <w:r>
              <w:rPr>
                <w:sz w:val="18"/>
              </w:rPr>
              <w:t xml:space="preserve">Commercial choice</w:t>
            </w:r>
          </w:p>
        </w:tc>
      </w:tr>
    </w:tbl>
    <w:bookmarkEnd w:id="763"/>
    <w:bookmarkStart w:id="764" w:name="X1fb74b55437d2eccbba626982971c4d5a220578"/>
    <w:p>
      <w:pPr>
        <w:pStyle w:val="Heading3"/>
      </w:pPr>
      <w:r>
        <w:t xml:space="preserve">Menu and screens (workspace N, menu</w:t>
      </w:r>
      <w:r>
        <w:t xml:space="preserve"> </w:t>
      </w:r>
      <w:r>
        <w:rPr>
          <w:rStyle w:val="VerbatimChar"/>
        </w:rPr>
        <w:t xml:space="preserve">Settings › Communications</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45"/>
        <w:gridCol w:w="5206"/>
        <w:gridCol w:w="2487"/>
      </w:tblGrid>
      <w:tr>
        <w:trPr>
          <w:tblHeader w:val="true"/>
          <w:tblHeader w:val="true"/>
        </w:trPr>
        <w:tc>
          <w:tcPr>
            <w:tcW w:w="1945" w:type="dxa"/>
            <w:shd w:val="clear" w:color="auto" w:fill="1F3A5F"/>
          </w:tcPr>
          <w:p>
            <w:pPr>
              <w:pStyle w:val="Compact"/>
              <w:spacing w:after="40"/>
              <w:jc w:val="left"/>
            </w:pPr>
            <w:r>
              <w:rPr>
                <w:b/>
                <w:color w:val="FFFFFF"/>
                <w:sz w:val="18"/>
              </w:rPr>
              <w:t xml:space="preserve">Path</w:t>
            </w:r>
          </w:p>
        </w:tc>
        <w:tc>
          <w:tcPr>
            <w:tcW w:w="5206" w:type="dxa"/>
            <w:shd w:val="clear" w:color="auto" w:fill="1F3A5F"/>
          </w:tcPr>
          <w:p>
            <w:pPr>
              <w:pStyle w:val="Compact"/>
              <w:spacing w:after="40"/>
              <w:jc w:val="left"/>
            </w:pPr>
            <w:r>
              <w:rPr>
                <w:b/>
                <w:color w:val="FFFFFF"/>
                <w:sz w:val="18"/>
              </w:rPr>
              <w:t xml:space="preserve">Main screens and key actions</w:t>
            </w:r>
          </w:p>
        </w:tc>
        <w:tc>
          <w:tcPr>
            <w:tcW w:w="2487" w:type="dxa"/>
            <w:shd w:val="clear" w:color="auto" w:fill="1F3A5F"/>
          </w:tcPr>
          <w:p>
            <w:pPr>
              <w:pStyle w:val="Compact"/>
              <w:spacing w:after="40"/>
              <w:jc w:val="left"/>
            </w:pPr>
            <w:r>
              <w:rPr>
                <w:b/>
                <w:color w:val="FFFFFF"/>
                <w:sz w:val="18"/>
              </w:rPr>
              <w:t xml:space="preserve">Roles</w:t>
            </w:r>
          </w:p>
        </w:tc>
      </w:tr>
      <w:tr>
        <w:tc>
          <w:tcPr>
            <w:tcW w:w="1945" w:type="dxa"/>
          </w:tcPr>
          <w:p>
            <w:pPr>
              <w:pStyle w:val="Compact"/>
              <w:spacing w:after="40"/>
              <w:jc w:val="left"/>
            </w:pPr>
            <w:r>
              <w:rPr>
                <w:rStyle w:val="VerbatimChar"/>
                <w:sz w:val="18"/>
              </w:rPr>
              <w:t xml:space="preserve">… › Providers</w:t>
            </w:r>
          </w:p>
        </w:tc>
        <w:tc>
          <w:tcPr>
            <w:tcW w:w="5206" w:type="dxa"/>
          </w:tcPr>
          <w:p>
            <w:pPr>
              <w:pStyle w:val="Compact"/>
              <w:spacing w:after="40"/>
              <w:jc w:val="left"/>
            </w:pPr>
            <w:r>
              <w:rPr>
                <w:sz w:val="18"/>
              </w:rPr>
              <w:t xml:space="preserve">Provider accounts by state, due-diligence checklist (DPA, residency proof, DLT, 1600 support), certification results, enable or suspend</w:t>
            </w:r>
          </w:p>
        </w:tc>
        <w:tc>
          <w:tcPr>
            <w:tcW w:w="2487" w:type="dxa"/>
          </w:tcPr>
          <w:p>
            <w:pPr>
              <w:pStyle w:val="Compact"/>
              <w:spacing w:after="40"/>
              <w:jc w:val="left"/>
            </w:pPr>
            <w:r>
              <w:rPr>
                <w:sz w:val="18"/>
              </w:rPr>
              <w:t xml:space="preserve">Tenant admin maker, CCO checker</w:t>
            </w:r>
          </w:p>
        </w:tc>
      </w:tr>
      <w:tr>
        <w:tc>
          <w:tcPr>
            <w:tcW w:w="1945" w:type="dxa"/>
          </w:tcPr>
          <w:p>
            <w:pPr>
              <w:pStyle w:val="Compact"/>
              <w:spacing w:after="40"/>
              <w:jc w:val="left"/>
            </w:pPr>
            <w:r>
              <w:rPr>
                <w:rStyle w:val="VerbatimChar"/>
                <w:sz w:val="18"/>
              </w:rPr>
              <w:t xml:space="preserve">… › Numbers and DLT</w:t>
            </w:r>
          </w:p>
        </w:tc>
        <w:tc>
          <w:tcPr>
            <w:tcW w:w="5206" w:type="dxa"/>
          </w:tcPr>
          <w:p>
            <w:pPr>
              <w:pStyle w:val="Compact"/>
              <w:spacing w:after="40"/>
              <w:jc w:val="left"/>
            </w:pPr>
            <w:r>
              <w:rPr>
                <w:sz w:val="18"/>
              </w:rPr>
              <w:t xml:space="preserve">Numbers by series and purpose, DLT headers and templates, auto-dialler notifications</w:t>
            </w:r>
          </w:p>
        </w:tc>
        <w:tc>
          <w:tcPr>
            <w:tcW w:w="2487" w:type="dxa"/>
          </w:tcPr>
          <w:p>
            <w:pPr>
              <w:pStyle w:val="Compact"/>
              <w:spacing w:after="40"/>
              <w:jc w:val="left"/>
            </w:pPr>
            <w:r>
              <w:rPr>
                <w:sz w:val="18"/>
              </w:rPr>
              <w:t xml:space="preserve">Tenant admin</w:t>
            </w:r>
          </w:p>
        </w:tc>
      </w:tr>
      <w:tr>
        <w:tc>
          <w:tcPr>
            <w:tcW w:w="1945" w:type="dxa"/>
          </w:tcPr>
          <w:p>
            <w:pPr>
              <w:pStyle w:val="Compact"/>
              <w:spacing w:after="40"/>
              <w:jc w:val="left"/>
            </w:pPr>
            <w:r>
              <w:rPr>
                <w:rStyle w:val="VerbatimChar"/>
                <w:sz w:val="18"/>
              </w:rPr>
              <w:t xml:space="preserve">… › Contact policy</w:t>
            </w:r>
          </w:p>
        </w:tc>
        <w:tc>
          <w:tcPr>
            <w:tcW w:w="5206" w:type="dxa"/>
          </w:tcPr>
          <w:p>
            <w:pPr>
              <w:pStyle w:val="Compact"/>
              <w:spacing w:after="40"/>
              <w:jc w:val="left"/>
            </w:pPr>
            <w:r>
              <w:rPr>
                <w:sz w:val="18"/>
              </w:rPr>
              <w:t xml:space="preserve">Active rule-pack version and future versions with effective dates; simulator (</w:t>
            </w:r>
            <w:r>
              <w:rPr>
                <w:sz w:val="18"/>
              </w:rPr>
              <w:t xml:space="preserve">“</w:t>
            </w:r>
            <w:r>
              <w:rPr>
                <w:sz w:val="18"/>
              </w:rPr>
              <w:t xml:space="preserve">can I call this borrower now?</w:t>
            </w:r>
            <w:r>
              <w:rPr>
                <w:sz w:val="18"/>
              </w:rPr>
              <w:t xml:space="preserve">”</w:t>
            </w:r>
            <w:r>
              <w:rPr>
                <w:sz w:val="18"/>
              </w:rPr>
              <w:t xml:space="preserve">) showing the deciding rule</w:t>
            </w:r>
          </w:p>
        </w:tc>
        <w:tc>
          <w:tcPr>
            <w:tcW w:w="2487" w:type="dxa"/>
          </w:tcPr>
          <w:p>
            <w:pPr>
              <w:pStyle w:val="Compact"/>
              <w:spacing w:after="40"/>
              <w:jc w:val="left"/>
            </w:pPr>
            <w:r>
              <w:rPr>
                <w:sz w:val="18"/>
              </w:rPr>
              <w:t xml:space="preserve">CCO, collections head</w:t>
            </w:r>
          </w:p>
        </w:tc>
      </w:tr>
      <w:tr>
        <w:tc>
          <w:tcPr>
            <w:tcW w:w="1945" w:type="dxa"/>
          </w:tcPr>
          <w:p>
            <w:pPr>
              <w:pStyle w:val="Compact"/>
              <w:spacing w:after="40"/>
              <w:jc w:val="left"/>
            </w:pPr>
            <w:r>
              <w:rPr>
                <w:rStyle w:val="VerbatimChar"/>
                <w:sz w:val="18"/>
              </w:rPr>
              <w:t xml:space="preserve">… › AI assistant</w:t>
            </w:r>
          </w:p>
        </w:tc>
        <w:tc>
          <w:tcPr>
            <w:tcW w:w="5206" w:type="dxa"/>
          </w:tcPr>
          <w:p>
            <w:pPr>
              <w:pStyle w:val="Compact"/>
              <w:spacing w:after="40"/>
              <w:jc w:val="left"/>
            </w:pPr>
            <w:r>
              <w:rPr>
                <w:sz w:val="18"/>
              </w:rPr>
              <w:t xml:space="preserve">Use cases, script and prompt versions with approvals, monthly QA and bias samples, handover statistics</w:t>
            </w:r>
          </w:p>
        </w:tc>
        <w:tc>
          <w:tcPr>
            <w:tcW w:w="2487" w:type="dxa"/>
          </w:tcPr>
          <w:p>
            <w:pPr>
              <w:pStyle w:val="Compact"/>
              <w:spacing w:after="40"/>
              <w:jc w:val="left"/>
            </w:pPr>
            <w:r>
              <w:rPr>
                <w:sz w:val="18"/>
              </w:rPr>
              <w:t xml:space="preserve">CCO, AI owner (M20)</w:t>
            </w:r>
          </w:p>
        </w:tc>
      </w:tr>
    </w:tbl>
    <w:p>
      <w:pPr>
        <w:pStyle w:val="BodyText"/>
      </w:pPr>
      <w:r>
        <w:t xml:space="preserve">Workspace G (Collections) and F (Servicing) agents see only the call controls and the reason when a call is refused.</w:t>
      </w:r>
    </w:p>
    <w:bookmarkEnd w:id="764"/>
    <w:bookmarkStart w:id="765" w:name="acceptance-tests-69"/>
    <w:p>
      <w:pPr>
        <w:pStyle w:val="Heading3"/>
      </w:pPr>
      <w:r>
        <w:t xml:space="preserve">Acceptance tests</w:t>
      </w:r>
    </w:p>
    <w:p>
      <w:pPr>
        <w:numPr>
          <w:ilvl w:val="0"/>
          <w:numId w:val="1601"/>
        </w:numPr>
        <w:pStyle w:val="Compact"/>
      </w:pPr>
      <w:r>
        <w:t xml:space="preserve">A recovery call from a tenant NBFC to a borrower through a 10-digit number is refused with</w:t>
      </w:r>
      <w:r>
        <w:t xml:space="preserve"> </w:t>
      </w:r>
      <w:r>
        <w:rPr>
          <w:rStyle w:val="VerbatimChar"/>
        </w:rPr>
        <w:t xml:space="preserve">series_not_permitted</w:t>
      </w:r>
      <w:r>
        <w:t xml:space="preserve">; through the tenant’s 1600-series number at 18:30 it proceeds; at 19:05 it is refused.</w:t>
      </w:r>
    </w:p>
    <w:p>
      <w:pPr>
        <w:numPr>
          <w:ilvl w:val="0"/>
          <w:numId w:val="1601"/>
        </w:numPr>
        <w:pStyle w:val="Compact"/>
      </w:pPr>
      <w:r>
        <w:t xml:space="preserve">A promotional call to a DND number without explicit consent is refused; with consent it goes only through the 140-series route.</w:t>
      </w:r>
    </w:p>
    <w:p>
      <w:pPr>
        <w:numPr>
          <w:ilvl w:val="0"/>
          <w:numId w:val="1601"/>
        </w:numPr>
        <w:pStyle w:val="Compact"/>
      </w:pPr>
      <w:r>
        <w:t xml:space="preserve">A microfinance recovery call at 18:15 in December 2026 is refused; on 4 Jan 2027 the same call is evaluated under the Third Amendment pack version, and the evaluation log records which pack version decided.</w:t>
      </w:r>
    </w:p>
    <w:p>
      <w:pPr>
        <w:numPr>
          <w:ilvl w:val="0"/>
          <w:numId w:val="1601"/>
        </w:numPr>
        <w:pStyle w:val="Compact"/>
      </w:pPr>
      <w:r>
        <w:t xml:space="preserve">The AI assistant does not disclose a balance before OTP verification, hands over to a human on</w:t>
      </w:r>
      <w:r>
        <w:t xml:space="preserve"> </w:t>
      </w:r>
      <w:r>
        <w:t xml:space="preserve">“</w:t>
      </w:r>
      <w:r>
        <w:t xml:space="preserve">agent</w:t>
      </w:r>
      <w:r>
        <w:t xml:space="preserve">”</w:t>
      </w:r>
      <w:r>
        <w:t xml:space="preserve">, and an attempted settlement negotiation is routed to a human with the transcript.</w:t>
      </w:r>
    </w:p>
    <w:p>
      <w:pPr>
        <w:numPr>
          <w:ilvl w:val="0"/>
          <w:numId w:val="1601"/>
        </w:numPr>
        <w:pStyle w:val="Compact"/>
      </w:pPr>
      <w:r>
        <w:t xml:space="preserve">A recorded call without the recording announcement in the transcript fails the QA check and raises a conduct exception.</w:t>
      </w:r>
    </w:p>
    <w:p>
      <w:pPr>
        <w:numPr>
          <w:ilvl w:val="0"/>
          <w:numId w:val="1601"/>
        </w:numPr>
        <w:pStyle w:val="Compact"/>
      </w:pPr>
      <w:r>
        <w:t xml:space="preserve">The JioCX adapter stub passes the certification suite in sandbox and cannot be enabled for production while the residency-proof record is missing.</w:t>
      </w:r>
    </w:p>
    <w:p>
      <w:pPr>
        <w:numPr>
          <w:ilvl w:val="0"/>
          <w:numId w:val="1601"/>
        </w:numPr>
        <w:pStyle w:val="Compact"/>
      </w:pPr>
      <w:r>
        <w:t xml:space="preserve">A provider whose residency proof is 13 months old stops carrying production traffic, and calls fail over only to another certified adapter of the same tenant.</w:t>
      </w:r>
    </w:p>
    <w:p>
      <w:pPr>
        <w:numPr>
          <w:ilvl w:val="0"/>
          <w:numId w:val="1601"/>
        </w:numPr>
        <w:pStyle w:val="Compact"/>
      </w:pPr>
      <w:r>
        <w:t xml:space="preserve">An AI recovery script without a Board-policy reference cannot be set</w:t>
      </w:r>
      <w:r>
        <w:t xml:space="preserve"> </w:t>
      </w:r>
      <w:r>
        <w:rPr>
          <w:rStyle w:val="VerbatimChar"/>
        </w:rPr>
        <w:t xml:space="preserve">LIVE</w:t>
      </w:r>
      <w:r>
        <w:t xml:space="preserve">.</w:t>
      </w:r>
    </w:p>
    <w:p>
      <w:r>
        <w:pict>
          <v:rect style="width:0;height:1.5pt" o:hralign="center" o:hrstd="t" o:hr="t"/>
        </w:pict>
      </w:r>
    </w:p>
    <w:bookmarkEnd w:id="765"/>
    <w:bookmarkEnd w:id="766"/>
    <w:bookmarkEnd w:id="767"/>
    <w:bookmarkStart w:id="770" w:name="X80bd763409cfb571281c60da52ed4fa9a65bc30"/>
    <w:p>
      <w:pPr>
        <w:pStyle w:val="Heading1"/>
      </w:pPr>
      <w:r>
        <w:t xml:space="preserve">PART 8 — REGULATORY BASELINE (STARTING REGISTER — VERIFY BEFORE EACH MODULE)</w:t>
      </w:r>
    </w:p>
    <w:bookmarkStart w:id="768" w:name="rules-for-handling-regulation"/>
    <w:p>
      <w:pPr>
        <w:pStyle w:val="Heading2"/>
      </w:pPr>
      <w:r>
        <w:t xml:space="preserve">8.1 Rules for handling regulation</w:t>
      </w:r>
    </w:p>
    <w:p>
      <w:pPr>
        <w:pStyle w:val="FirstParagraph"/>
      </w:pPr>
      <w:r>
        <w:t xml:space="preserve">Before implementing any regulated workflow:</w:t>
      </w:r>
    </w:p>
    <w:p>
      <w:pPr>
        <w:numPr>
          <w:ilvl w:val="0"/>
          <w:numId w:val="1602"/>
        </w:numPr>
        <w:pStyle w:val="Compact"/>
      </w:pPr>
      <w:r>
        <w:t xml:space="preserve">Research the current authoritative source: rbi.org.in, the official gazette, MeitY, UIDAI, NPCI, CERSAI and NeSL.</w:t>
      </w:r>
    </w:p>
    <w:p>
      <w:pPr>
        <w:numPr>
          <w:ilvl w:val="0"/>
          <w:numId w:val="1602"/>
        </w:numPr>
        <w:pStyle w:val="Compact"/>
      </w:pPr>
      <w:r>
        <w:t xml:space="preserve">Record in</w:t>
      </w:r>
      <w:r>
        <w:t xml:space="preserve"> </w:t>
      </w:r>
      <w:r>
        <w:rPr>
          <w:rStyle w:val="VerbatimChar"/>
        </w:rPr>
        <w:t xml:space="preserve">docs/compliance/requirements-to-controls.md</w:t>
      </w:r>
      <w:r>
        <w:t xml:space="preserve">:</w:t>
      </w:r>
    </w:p>
    <w:p>
      <w:pPr>
        <w:numPr>
          <w:ilvl w:val="1"/>
          <w:numId w:val="1603"/>
        </w:numPr>
        <w:pStyle w:val="Compact"/>
      </w:pPr>
      <w:r>
        <w:t xml:space="preserve">instrument;</w:t>
      </w:r>
    </w:p>
    <w:p>
      <w:pPr>
        <w:numPr>
          <w:ilvl w:val="1"/>
          <w:numId w:val="1603"/>
        </w:numPr>
        <w:pStyle w:val="Compact"/>
      </w:pPr>
      <w:r>
        <w:t xml:space="preserve">paragraph;</w:t>
      </w:r>
    </w:p>
    <w:p>
      <w:pPr>
        <w:numPr>
          <w:ilvl w:val="1"/>
          <w:numId w:val="1603"/>
        </w:numPr>
        <w:pStyle w:val="Compact"/>
      </w:pPr>
      <w:r>
        <w:t xml:space="preserve">date;</w:t>
      </w:r>
    </w:p>
    <w:p>
      <w:pPr>
        <w:numPr>
          <w:ilvl w:val="1"/>
          <w:numId w:val="1603"/>
        </w:numPr>
        <w:pStyle w:val="Compact"/>
      </w:pPr>
      <w:r>
        <w:t xml:space="preserve">applicability conditions;</w:t>
      </w:r>
    </w:p>
    <w:p>
      <w:pPr>
        <w:numPr>
          <w:ilvl w:val="1"/>
          <w:numId w:val="1603"/>
        </w:numPr>
        <w:pStyle w:val="Compact"/>
      </w:pPr>
      <w:r>
        <w:t xml:space="preserve">responsible party (lender / LSP / Infrabyx / vendor);</w:t>
      </w:r>
    </w:p>
    <w:p>
      <w:pPr>
        <w:numPr>
          <w:ilvl w:val="1"/>
          <w:numId w:val="1603"/>
        </w:numPr>
        <w:pStyle w:val="Compact"/>
      </w:pPr>
      <w:r>
        <w:t xml:space="preserve">system control;</w:t>
      </w:r>
    </w:p>
    <w:p>
      <w:pPr>
        <w:numPr>
          <w:ilvl w:val="1"/>
          <w:numId w:val="1603"/>
        </w:numPr>
        <w:pStyle w:val="Compact"/>
      </w:pPr>
      <w:r>
        <w:t xml:space="preserve">evidence produced;</w:t>
      </w:r>
    </w:p>
    <w:p>
      <w:pPr>
        <w:numPr>
          <w:ilvl w:val="1"/>
          <w:numId w:val="1603"/>
        </w:numPr>
        <w:pStyle w:val="Compact"/>
      </w:pPr>
      <w:r>
        <w:t xml:space="preserve">test case;</w:t>
      </w:r>
    </w:p>
    <w:p>
      <w:pPr>
        <w:numPr>
          <w:ilvl w:val="1"/>
          <w:numId w:val="1603"/>
        </w:numPr>
        <w:pStyle w:val="Compact"/>
      </w:pPr>
      <w:r>
        <w:t xml:space="preserve">open questions.</w:t>
      </w:r>
    </w:p>
    <w:p>
      <w:pPr>
        <w:numPr>
          <w:ilvl w:val="0"/>
          <w:numId w:val="1602"/>
        </w:numPr>
        <w:pStyle w:val="Compact"/>
      </w:pPr>
      <w:r>
        <w:t xml:space="preserve">Keep confirmed legal requirements separate from interpretations, recommendations and assumptions. Never claim regulatory compliance merely because a feature exists.</w:t>
      </w:r>
    </w:p>
    <w:p>
      <w:pPr>
        <w:numPr>
          <w:ilvl w:val="0"/>
          <w:numId w:val="1602"/>
        </w:numPr>
        <w:pStyle w:val="Compact"/>
      </w:pPr>
      <w:r>
        <w:t xml:space="preserve">Never assume one obligation applies identically to every lender. Applicability depends on:</w:t>
      </w:r>
    </w:p>
    <w:p>
      <w:pPr>
        <w:numPr>
          <w:ilvl w:val="1"/>
          <w:numId w:val="1604"/>
        </w:numPr>
        <w:pStyle w:val="Compact"/>
      </w:pPr>
      <w:r>
        <w:t xml:space="preserve">entity type (NBFC / HFC / UCB / SFB / commercial bank);</w:t>
      </w:r>
    </w:p>
    <w:p>
      <w:pPr>
        <w:numPr>
          <w:ilvl w:val="1"/>
          <w:numId w:val="1604"/>
        </w:numPr>
        <w:pStyle w:val="Compact"/>
      </w:pPr>
      <w:r>
        <w:t xml:space="preserve">layer and asset size;</w:t>
      </w:r>
    </w:p>
    <w:p>
      <w:pPr>
        <w:numPr>
          <w:ilvl w:val="1"/>
          <w:numId w:val="1604"/>
        </w:numPr>
        <w:pStyle w:val="Compact"/>
      </w:pPr>
      <w:r>
        <w:t xml:space="preserve">deposit-taking status;</w:t>
      </w:r>
    </w:p>
    <w:p>
      <w:pPr>
        <w:numPr>
          <w:ilvl w:val="1"/>
          <w:numId w:val="1604"/>
        </w:numPr>
        <w:pStyle w:val="Compact"/>
      </w:pPr>
      <w:r>
        <w:t xml:space="preserve">customer interface;</w:t>
      </w:r>
    </w:p>
    <w:p>
      <w:pPr>
        <w:numPr>
          <w:ilvl w:val="1"/>
          <w:numId w:val="1604"/>
        </w:numPr>
        <w:pStyle w:val="Compact"/>
      </w:pPr>
      <w:r>
        <w:t xml:space="preserve">product;</w:t>
      </w:r>
    </w:p>
    <w:p>
      <w:pPr>
        <w:numPr>
          <w:ilvl w:val="1"/>
          <w:numId w:val="1604"/>
        </w:numPr>
        <w:pStyle w:val="Compact"/>
      </w:pPr>
      <w:r>
        <w:t xml:space="preserve">channel (digital or physical).</w:t>
      </w:r>
    </w:p>
    <w:p>
      <w:pPr>
        <w:numPr>
          <w:ilvl w:val="0"/>
          <w:numId w:val="1602"/>
        </w:numPr>
        <w:pStyle w:val="Compact"/>
      </w:pPr>
      <w:r>
        <w:t xml:space="preserve">On</w:t>
      </w:r>
      <w:r>
        <w:t xml:space="preserve"> </w:t>
      </w:r>
      <w:r>
        <w:rPr>
          <w:bCs/>
          <w:b/>
        </w:rPr>
        <w:t xml:space="preserve">28 November 2025</w:t>
      </w:r>
      <w:r>
        <w:t xml:space="preserve">, RBI repealed 9,445 circulars and issued 244 entity-wise Master Directions. On</w:t>
      </w:r>
      <w:r>
        <w:t xml:space="preserve"> </w:t>
      </w:r>
      <w:r>
        <w:rPr>
          <w:bCs/>
          <w:b/>
        </w:rPr>
        <w:t xml:space="preserve">31 July 2026</w:t>
      </w:r>
      <w:r>
        <w:t xml:space="preserve"> </w:t>
      </w:r>
      <w:r>
        <w:t xml:space="preserve">it issued</w:t>
      </w:r>
      <w:r>
        <w:t xml:space="preserve"> </w:t>
      </w:r>
      <w:r>
        <w:rPr>
          <w:bCs/>
          <w:b/>
        </w:rPr>
        <w:t xml:space="preserve">64 Department of Supervision Directions</w:t>
      </w:r>
      <w:r>
        <w:t xml:space="preserve">, repealing a further 628 circulars. Older circular references are legacy. Cite the new Directions, and keep the legacy reference only for traceability.</w:t>
      </w:r>
    </w:p>
    <w:bookmarkEnd w:id="768"/>
    <w:bookmarkStart w:id="769" w:name="starting-register"/>
    <w:p>
      <w:pPr>
        <w:pStyle w:val="Heading2"/>
      </w:pPr>
      <w:r>
        <w:t xml:space="preserve">8.2 Starting register</w:t>
      </w:r>
    </w:p>
    <w:p>
      <w:pPr>
        <w:pStyle w:val="FirstParagraph"/>
      </w:pPr>
      <w:r>
        <w:t xml:space="preserve">All items need confirmation against the primary text.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11"/>
        <w:gridCol w:w="3763"/>
        <w:gridCol w:w="3764"/>
      </w:tblGrid>
      <w:tr>
        <w:trPr>
          <w:tblHeader w:val="true"/>
          <w:tblHeader w:val="true"/>
        </w:trPr>
        <w:tc>
          <w:tcPr>
            <w:tcW w:w="2111" w:type="dxa"/>
            <w:shd w:val="clear" w:color="auto" w:fill="1F3A5F"/>
          </w:tcPr>
          <w:p>
            <w:pPr>
              <w:pStyle w:val="Compact"/>
              <w:spacing w:after="40"/>
              <w:jc w:val="left"/>
            </w:pPr>
            <w:r>
              <w:rPr>
                <w:b/>
                <w:color w:val="FFFFFF"/>
                <w:sz w:val="18"/>
              </w:rPr>
              <w:t xml:space="preserve">Area</w:t>
            </w:r>
          </w:p>
        </w:tc>
        <w:tc>
          <w:tcPr>
            <w:tcW w:w="3763" w:type="dxa"/>
            <w:shd w:val="clear" w:color="auto" w:fill="1F3A5F"/>
          </w:tcPr>
          <w:p>
            <w:pPr>
              <w:pStyle w:val="Compact"/>
              <w:spacing w:after="40"/>
              <w:jc w:val="left"/>
            </w:pPr>
            <w:r>
              <w:rPr>
                <w:b/>
                <w:color w:val="FFFFFF"/>
                <w:sz w:val="18"/>
              </w:rPr>
              <w:t xml:space="preserve">Instrument (NBFC version; use the bank/UCB counterpart per tenant. CF, CIR, CRM, CON, INV, ALM, FS, CYB and FRM apply to HFCs directly)</w:t>
            </w:r>
          </w:p>
        </w:tc>
        <w:tc>
          <w:tcPr>
            <w:tcW w:w="3764" w:type="dxa"/>
            <w:shd w:val="clear" w:color="auto" w:fill="1F3A5F"/>
          </w:tcPr>
          <w:p>
            <w:pPr>
              <w:pStyle w:val="Compact"/>
              <w:spacing w:after="40"/>
              <w:jc w:val="left"/>
            </w:pPr>
            <w:r>
              <w:rPr>
                <w:b/>
                <w:color w:val="FFFFFF"/>
                <w:sz w:val="18"/>
              </w:rPr>
              <w:t xml:space="preserve">Software controls</w:t>
            </w:r>
          </w:p>
        </w:tc>
      </w:tr>
      <w:tr>
        <w:tc>
          <w:tcPr>
            <w:tcW w:w="2111" w:type="dxa"/>
          </w:tcPr>
          <w:p>
            <w:pPr>
              <w:pStyle w:val="Compact"/>
              <w:spacing w:after="40"/>
              <w:jc w:val="left"/>
            </w:pPr>
            <w:r>
              <w:rPr>
                <w:sz w:val="18"/>
              </w:rPr>
              <w:t xml:space="preserve">Scale-based regulation</w:t>
            </w:r>
          </w:p>
        </w:tc>
        <w:tc>
          <w:tcPr>
            <w:tcW w:w="3763" w:type="dxa"/>
          </w:tcPr>
          <w:p>
            <w:pPr>
              <w:pStyle w:val="Compact"/>
              <w:spacing w:after="40"/>
              <w:jc w:val="left"/>
            </w:pPr>
            <w:r>
              <w:rPr>
                <w:sz w:val="18"/>
              </w:rPr>
              <w:t xml:space="preserve">RBI (NBFC – Registration, Exemptions and Framework for Scale Based Regulation) Directions, 2025 (RBI/DOR/2025-26/339; original 28 Nov 2025 text). Any 2026 amendment (reported ₹1 lakh crore UL threshold;</w:t>
            </w:r>
            <w:r>
              <w:rPr>
                <w:sz w:val="18"/>
              </w:rPr>
              <w:t xml:space="preserve"> </w:t>
            </w:r>
            <w:r>
              <w:rPr>
                <w:sz w:val="18"/>
              </w:rPr>
              <w:t xml:space="preserve">“</w:t>
            </w:r>
            <w:r>
              <w:rPr>
                <w:sz w:val="18"/>
              </w:rPr>
              <w:t xml:space="preserve">Unregistered Type I NBFC</w:t>
            </w:r>
            <w:r>
              <w:rPr>
                <w:sz w:val="18"/>
              </w:rPr>
              <w:t xml:space="preserve">”</w:t>
            </w:r>
            <w:r>
              <w:rPr>
                <w:sz w:val="18"/>
              </w:rPr>
              <w:t xml:space="preserve">) is not in the supplied copy [VERIFY: 2026 amendment]</w:t>
            </w:r>
          </w:p>
        </w:tc>
        <w:tc>
          <w:tcPr>
            <w:tcW w:w="3764" w:type="dxa"/>
          </w:tcPr>
          <w:p>
            <w:pPr>
              <w:pStyle w:val="Compact"/>
              <w:spacing w:after="40"/>
              <w:jc w:val="left"/>
            </w:pPr>
            <w:r>
              <w:rPr>
                <w:sz w:val="18"/>
              </w:rPr>
              <w:t xml:space="preserve">Entity profile drives applicability of every rule: layers (10–16); group consolidation and auditor certificate (17–20); ML from the date of crossing ₹1,000 crore (22–23); UL by RBI advice, 3/24-month transition, 5-year floor (24–30); PBC 50/50 (38); NOF ₹10 crore / ₹2 crore / ₹300 crore and glide path to 31 Mar 2027 (39–43); NOF deductions and AIF look-through (45–46); FATF &lt; 20% (47); exemptions (49–67)</w:t>
            </w:r>
          </w:p>
        </w:tc>
      </w:tr>
      <w:tr>
        <w:tc>
          <w:tcPr>
            <w:tcW w:w="2111" w:type="dxa"/>
          </w:tcPr>
          <w:p>
            <w:pPr>
              <w:pStyle w:val="Compact"/>
              <w:spacing w:after="40"/>
              <w:jc w:val="left"/>
            </w:pPr>
            <w:r>
              <w:rPr>
                <w:sz w:val="18"/>
              </w:rPr>
              <w:t xml:space="preserve">Digital lending</w:t>
            </w:r>
          </w:p>
        </w:tc>
        <w:tc>
          <w:tcPr>
            <w:tcW w:w="3763" w:type="dxa"/>
          </w:tcPr>
          <w:p>
            <w:pPr>
              <w:pStyle w:val="Compact"/>
              <w:spacing w:after="40"/>
              <w:jc w:val="left"/>
            </w:pPr>
            <w:r>
              <w:rPr>
                <w:sz w:val="18"/>
              </w:rPr>
              <w:t xml:space="preserve">RBI (NBFC – Credit Facilities) Directions, 2025 (RBI/DOR/2025-26/347), Chapter III (paras 6–30; DLG paras 19–29)</w:t>
            </w:r>
          </w:p>
        </w:tc>
        <w:tc>
          <w:tcPr>
            <w:tcW w:w="3764" w:type="dxa"/>
          </w:tcPr>
          <w:p>
            <w:pPr>
              <w:pStyle w:val="Compact"/>
              <w:spacing w:after="40"/>
              <w:jc w:val="left"/>
            </w:pPr>
            <w:r>
              <w:rPr>
                <w:sz w:val="18"/>
              </w:rPr>
              <w:t xml:space="preserve">Direct disbursal and repayment (para 10); KFS; Board-set cooling-off of at least 1 day (para 11); DLA/LSP lists; consent; India-only storage; DLG ≤ 5% of amount disbursed out of the covered portfolio (para 24), invoked within 120 days overdue (para 27)</w:t>
            </w:r>
          </w:p>
        </w:tc>
      </w:tr>
      <w:tr>
        <w:tc>
          <w:tcPr>
            <w:tcW w:w="2111" w:type="dxa"/>
          </w:tcPr>
          <w:p>
            <w:pPr>
              <w:pStyle w:val="Compact"/>
              <w:spacing w:after="40"/>
              <w:jc w:val="left"/>
            </w:pPr>
            <w:r>
              <w:rPr>
                <w:sz w:val="18"/>
              </w:rPr>
              <w:t xml:space="preserve">Gold and silver loans</w:t>
            </w:r>
          </w:p>
        </w:tc>
        <w:tc>
          <w:tcPr>
            <w:tcW w:w="3763" w:type="dxa"/>
          </w:tcPr>
          <w:p>
            <w:pPr>
              <w:pStyle w:val="Compact"/>
              <w:spacing w:after="40"/>
              <w:jc w:val="left"/>
            </w:pPr>
            <w:r>
              <w:rPr>
                <w:sz w:val="18"/>
              </w:rPr>
              <w:t xml:space="preserve">Credit Facilities Directions, Ch IV (paras 32–50; para 31 deleted w.e.f. 1 Apr 2026: eligibility, valuation, LTV, caps, bullet loans, disclosure); RBC Ch III.G (paras 43–75; para 42 deleted w.e.f. 1 Apr 2026: assay 44–51, custody 52–57, release 58–59, auction 60–66, compensation 67–70, unclaimed 71–72)</w:t>
            </w:r>
          </w:p>
        </w:tc>
        <w:tc>
          <w:tcPr>
            <w:tcW w:w="3764" w:type="dxa"/>
          </w:tcPr>
          <w:p>
            <w:pPr>
              <w:pStyle w:val="Compact"/>
              <w:spacing w:after="40"/>
              <w:jc w:val="left"/>
            </w:pPr>
            <w:r>
              <w:rPr>
                <w:sz w:val="18"/>
              </w:rPr>
              <w:t xml:space="preserve">LTV slabs, quantity caps, valuation, assay certificate, auction, release, ₹5,000/day release compensation, unclaimed register</w:t>
            </w:r>
          </w:p>
        </w:tc>
      </w:tr>
      <w:tr>
        <w:tc>
          <w:tcPr>
            <w:tcW w:w="2111" w:type="dxa"/>
          </w:tcPr>
          <w:p>
            <w:pPr>
              <w:pStyle w:val="Compact"/>
              <w:spacing w:after="40"/>
              <w:jc w:val="left"/>
            </w:pPr>
            <w:r>
              <w:rPr>
                <w:sz w:val="18"/>
              </w:rPr>
              <w:t xml:space="preserve">Loans against securities</w:t>
            </w:r>
          </w:p>
        </w:tc>
        <w:tc>
          <w:tcPr>
            <w:tcW w:w="3763" w:type="dxa"/>
          </w:tcPr>
          <w:p>
            <w:pPr>
              <w:pStyle w:val="Compact"/>
              <w:spacing w:after="40"/>
              <w:jc w:val="left"/>
            </w:pPr>
            <w:r>
              <w:rPr>
                <w:sz w:val="18"/>
              </w:rPr>
              <w:t xml:space="preserve">Credit Facilities Directions, Chapter VIII (paras 104–106, Annex-III)</w:t>
            </w:r>
          </w:p>
        </w:tc>
        <w:tc>
          <w:tcPr>
            <w:tcW w:w="3764" w:type="dxa"/>
          </w:tcPr>
          <w:p>
            <w:pPr>
              <w:pStyle w:val="Compact"/>
              <w:spacing w:after="40"/>
              <w:jc w:val="left"/>
            </w:pPr>
            <w:r>
              <w:rPr>
                <w:sz w:val="18"/>
              </w:rPr>
              <w:t xml:space="preserve">Loans against listed shares by NBFCs ≥ ₹100 crore: 50% LTV, 7-working-day cure, Group 1 where applicable, quarterly pledge reporting; no loans against own shares; IPO cap ₹1 crore</w:t>
            </w:r>
          </w:p>
        </w:tc>
      </w:tr>
      <w:tr>
        <w:tc>
          <w:tcPr>
            <w:tcW w:w="2111" w:type="dxa"/>
          </w:tcPr>
          <w:p>
            <w:pPr>
              <w:pStyle w:val="Compact"/>
              <w:spacing w:after="40"/>
              <w:jc w:val="left"/>
            </w:pPr>
            <w:r>
              <w:rPr>
                <w:sz w:val="18"/>
              </w:rPr>
              <w:t xml:space="preserve">Interest, FPC, KFS, penal charges, prepayment, resets, document release, gold/silver and microfinance conduct, recovery agents</w:t>
            </w:r>
          </w:p>
        </w:tc>
        <w:tc>
          <w:tcPr>
            <w:tcW w:w="3763" w:type="dxa"/>
          </w:tcPr>
          <w:p>
            <w:pPr>
              <w:pStyle w:val="Compact"/>
              <w:spacing w:after="40"/>
              <w:jc w:val="left"/>
            </w:pPr>
            <w:r>
              <w:rPr>
                <w:sz w:val="18"/>
              </w:rPr>
              <w:t xml:space="preserve">RBI (NBFC – Responsible Business Conduct) Directions, 2025 (RBI/DOR/2025-26/362; updated as on 1 Apr 2026): FPC 10–21, 26–28; interest 22–24; KFS 29 + Annex I; penal charges 30; resets 31–32; prepayment 33–34, 81; document release 35–41; gold/silver 43–75; microfinance 76–92; recovery agents, DSA/DMA and telemarketers 93–101; branch closure 102; rounding 103. RBC Second Amendment Directions, 2026 (15 Jun 2026; Chapter IIIA sales and marketing; effective 1 Jan 2027) and Third Amendment Directions, 2026 (6 Aug 2026; Section J, paras 100A–100AB; effective 1 Jan 2027; the Third Amendment is RBI/2026-27/230, confirmed in the v1.4 research). Neither amendment’s official text is in the supplied set [VERIFY: Second Amendment text]</w:t>
            </w:r>
          </w:p>
        </w:tc>
        <w:tc>
          <w:tcPr>
            <w:tcW w:w="3764" w:type="dxa"/>
          </w:tcPr>
          <w:p>
            <w:pPr>
              <w:pStyle w:val="Compact"/>
              <w:spacing w:after="40"/>
              <w:jc w:val="left"/>
            </w:pPr>
            <w:r>
              <w:rPr>
                <w:sz w:val="18"/>
              </w:rPr>
              <w:t xml:space="preserve">Vernacular templates; prospective-only rate and charge changes; KFS/APR engine with proposal number and validity period; penal-charge rules; prepayment-charge engine; reset options and quarterly statement; release SLA and ₹5,000/day compensation (documents and gold); assay certificate, auction and unclaimed register; MFI loan card; contact-policy guard-rails; agent register; nearest-rupee rounding</w:t>
            </w:r>
          </w:p>
        </w:tc>
      </w:tr>
      <w:tr>
        <w:tc>
          <w:tcPr>
            <w:tcW w:w="2111" w:type="dxa"/>
          </w:tcPr>
          <w:p>
            <w:pPr>
              <w:pStyle w:val="Compact"/>
              <w:spacing w:after="40"/>
              <w:jc w:val="left"/>
            </w:pPr>
            <w:r>
              <w:rPr>
                <w:sz w:val="18"/>
              </w:rPr>
              <w:t xml:space="preserve">Interest computation; CFSS; nomination; PCA</w:t>
            </w:r>
          </w:p>
        </w:tc>
        <w:tc>
          <w:tcPr>
            <w:tcW w:w="3763" w:type="dxa"/>
          </w:tcPr>
          <w:p>
            <w:pPr>
              <w:pStyle w:val="Compact"/>
              <w:spacing w:after="40"/>
              <w:jc w:val="left"/>
            </w:pPr>
            <w:r>
              <w:rPr>
                <w:sz w:val="18"/>
              </w:rPr>
              <w:t xml:space="preserve">RBI (NBFC – Miscellaneous) Supervisory Directions, 2026 (RBI/DoS/2026-27/467; 31 Jul 2026)</w:t>
            </w:r>
          </w:p>
        </w:tc>
        <w:tc>
          <w:tcPr>
            <w:tcW w:w="3764" w:type="dxa"/>
          </w:tcPr>
          <w:p>
            <w:pPr>
              <w:pStyle w:val="Compact"/>
              <w:spacing w:after="40"/>
              <w:jc w:val="left"/>
            </w:pPr>
            <w:r>
              <w:rPr>
                <w:sz w:val="18"/>
              </w:rPr>
              <w:t xml:space="preserve">Interest only from actual disbursement or cheque handover; EMI only on the disbursed amount; revised schedule communicated on each part-disbursement; no full-month interest for part months; advance instalments reduce the interest base (para 7(1)–(5); also HFCs and MFIs, para 3).</w:t>
            </w:r>
            <w:r>
              <w:rPr>
                <w:sz w:val="18"/>
              </w:rPr>
              <w:t xml:space="preserve"> </w:t>
            </w:r>
            <w:r>
              <w:rPr>
                <w:bCs/>
                <w:b/>
                <w:sz w:val="18"/>
              </w:rPr>
              <w:t xml:space="preserve">CFSS:</w:t>
            </w:r>
            <w:r>
              <w:rPr>
                <w:sz w:val="18"/>
              </w:rPr>
              <w:t xml:space="preserve"> </w:t>
            </w:r>
            <w:r>
              <w:rPr>
                <w:sz w:val="18"/>
              </w:rPr>
              <w:t xml:space="preserve">mandatory for UL/ML with ≥ 10 fixed point service delivery units (including units manned by outsourced agents); digital customer interface, integrated functions, centralised database and accounting, regulatory MIS; quarterly progress report to the SSM (paras 5–6). Nomination coverage for NBFC-D deposits, quarterly DAKSH report (10–14).</w:t>
            </w:r>
            <w:r>
              <w:rPr>
                <w:sz w:val="18"/>
              </w:rPr>
              <w:t xml:space="preserve"> </w:t>
            </w:r>
            <w:r>
              <w:rPr>
                <w:bCs/>
                <w:b/>
                <w:sz w:val="18"/>
              </w:rPr>
              <w:t xml:space="preserve">PCA</w:t>
            </w:r>
            <w:r>
              <w:rPr>
                <w:sz w:val="18"/>
              </w:rPr>
              <w:t xml:space="preserve"> </w:t>
            </w:r>
            <w:r>
              <w:rPr>
                <w:sz w:val="18"/>
              </w:rPr>
              <w:t xml:space="preserve">monitor for NBFC-D and ML/UL/TL NBFC-ND: CRAR/Tier 1/NNPA (CIC: ANW/RWA, leverage, NNPA) risk thresholds and mandatory restrictions (16–19)</w:t>
            </w:r>
          </w:p>
        </w:tc>
      </w:tr>
      <w:tr>
        <w:tc>
          <w:tcPr>
            <w:tcW w:w="2111" w:type="dxa"/>
          </w:tcPr>
          <w:p>
            <w:pPr>
              <w:pStyle w:val="Compact"/>
              <w:spacing w:after="40"/>
              <w:jc w:val="left"/>
            </w:pPr>
            <w:r>
              <w:rPr>
                <w:sz w:val="18"/>
              </w:rPr>
              <w:t xml:space="preserve">IRACP</w:t>
            </w:r>
          </w:p>
        </w:tc>
        <w:tc>
          <w:tcPr>
            <w:tcW w:w="3763" w:type="dxa"/>
          </w:tcPr>
          <w:p>
            <w:pPr>
              <w:pStyle w:val="Compact"/>
              <w:spacing w:after="40"/>
              <w:jc w:val="left"/>
            </w:pPr>
            <w:r>
              <w:rPr>
                <w:sz w:val="18"/>
              </w:rPr>
              <w:t xml:space="preserve">RBI (NBFC – Income Recognition, Asset Classification and Provisioning) Directions, 2025 (RBI/DOR/2025-26/356; updated 13 Feb 2026) — Part 8A.17</w:t>
            </w:r>
          </w:p>
        </w:tc>
        <w:tc>
          <w:tcPr>
            <w:tcW w:w="3764" w:type="dxa"/>
          </w:tcPr>
          <w:p>
            <w:pPr>
              <w:pStyle w:val="Compact"/>
              <w:spacing w:after="40"/>
              <w:jc w:val="left"/>
            </w:pPr>
            <w:r>
              <w:rPr>
                <w:sz w:val="18"/>
              </w:rPr>
              <w:t xml:space="preserve">Agreement SMA/NPA examples (15); day-end tagging (18–19); borrower-wise NPA/NPI (23); upgrade (22, 24–26); NPA at 90 days (43–44, 51); sub-standard/doubtful ageing 18/12 months (45–46, 52–53); project-finance rates (30); NPA provisions (32); HP/lease (33); Ind AS floor and Impairment Reserve (34–36); DLG in ECL (36A–36C); income (38–40); standard rates BL/ML/UL (48, 55, 58–60)</w:t>
            </w:r>
          </w:p>
        </w:tc>
      </w:tr>
      <w:tr>
        <w:tc>
          <w:tcPr>
            <w:tcW w:w="2111" w:type="dxa"/>
          </w:tcPr>
          <w:p>
            <w:pPr>
              <w:pStyle w:val="Compact"/>
              <w:spacing w:after="40"/>
              <w:jc w:val="left"/>
            </w:pPr>
            <w:r>
              <w:rPr>
                <w:sz w:val="18"/>
              </w:rPr>
              <w:t xml:space="preserve">Stressed assets</w:t>
            </w:r>
          </w:p>
        </w:tc>
        <w:tc>
          <w:tcPr>
            <w:tcW w:w="3763" w:type="dxa"/>
          </w:tcPr>
          <w:p>
            <w:pPr>
              <w:pStyle w:val="Compact"/>
              <w:spacing w:after="40"/>
              <w:jc w:val="left"/>
            </w:pPr>
            <w:r>
              <w:rPr>
                <w:sz w:val="18"/>
              </w:rPr>
              <w:t xml:space="preserve">RBI (NBFC – Resolution of Stressed Assets) Directions, 2025 (RBI/DOR/2025-26/357) — Part 8A.18; Part A ≥ ₹500 crore or deposit-taking, Part B &lt; ₹500 crore; HFCs paras 86–138 only</w:t>
            </w:r>
          </w:p>
        </w:tc>
        <w:tc>
          <w:tcPr>
            <w:tcW w:w="3764" w:type="dxa"/>
          </w:tcPr>
          <w:p>
            <w:pPr>
              <w:pStyle w:val="Compact"/>
              <w:spacing w:after="40"/>
              <w:jc w:val="left"/>
            </w:pPr>
            <w:r>
              <w:rPr>
                <w:sz w:val="18"/>
              </w:rPr>
              <w:t xml:space="preserve">Financial-difficulty indicators (13–15); SMA bands (18–19); CRILC monthly and weekly (20–21); accelerated provisioning (22–23); review period and ICA (27–33); ICE (36–41); delayed-resolution provisions ≥ ₹1,500 crore (47–51); restructuring classification, upgrade, income (53–81, 189–195); fraud/WD restructuring bar (83–85); settlements and technical write-offs (16, 86–100); DCCO (111–119); DRS (123–137); FITL/Sundry Liabilities (152–153, 223–227); Part B viability, promoter contribution, 120 days, fair-value diminution (168–211)</w:t>
            </w:r>
          </w:p>
        </w:tc>
      </w:tr>
      <w:tr>
        <w:tc>
          <w:tcPr>
            <w:tcW w:w="2111" w:type="dxa"/>
          </w:tcPr>
          <w:p>
            <w:pPr>
              <w:pStyle w:val="Compact"/>
              <w:spacing w:after="40"/>
              <w:jc w:val="left"/>
            </w:pPr>
            <w:r>
              <w:rPr>
                <w:sz w:val="18"/>
              </w:rPr>
              <w:t xml:space="preserve">Board credit policy</w:t>
            </w:r>
          </w:p>
        </w:tc>
        <w:tc>
          <w:tcPr>
            <w:tcW w:w="3763" w:type="dxa"/>
          </w:tcPr>
          <w:p>
            <w:pPr>
              <w:pStyle w:val="Compact"/>
              <w:spacing w:after="40"/>
              <w:jc w:val="left"/>
            </w:pPr>
            <w:r>
              <w:rPr>
                <w:sz w:val="18"/>
              </w:rPr>
              <w:t xml:space="preserve">CF Ch II para 5</w:t>
            </w:r>
          </w:p>
        </w:tc>
        <w:tc>
          <w:tcPr>
            <w:tcW w:w="3764" w:type="dxa"/>
          </w:tcPr>
          <w:p>
            <w:pPr>
              <w:pStyle w:val="Compact"/>
              <w:spacing w:after="40"/>
              <w:jc w:val="left"/>
            </w:pPr>
            <w:r>
              <w:rPr>
                <w:sz w:val="18"/>
              </w:rPr>
              <w:t xml:space="preserve">Policy registry linking every product to the approved credit-policy version</w:t>
            </w:r>
          </w:p>
        </w:tc>
      </w:tr>
      <w:tr>
        <w:tc>
          <w:tcPr>
            <w:tcW w:w="2111" w:type="dxa"/>
          </w:tcPr>
          <w:p>
            <w:pPr>
              <w:pStyle w:val="Compact"/>
              <w:spacing w:after="40"/>
              <w:jc w:val="left"/>
            </w:pPr>
            <w:r>
              <w:rPr>
                <w:sz w:val="18"/>
              </w:rPr>
              <w:t xml:space="preserve">Microfinance; project finance; demand/call; CRE; PCE</w:t>
            </w:r>
          </w:p>
        </w:tc>
        <w:tc>
          <w:tcPr>
            <w:tcW w:w="3763" w:type="dxa"/>
          </w:tcPr>
          <w:p>
            <w:pPr>
              <w:pStyle w:val="Compact"/>
              <w:spacing w:after="40"/>
              <w:jc w:val="left"/>
            </w:pPr>
            <w:r>
              <w:rPr>
                <w:sz w:val="18"/>
              </w:rPr>
              <w:t xml:space="preserve">CF Ch V (51–62), Ch VI (63–79), paras 107–111, Ch VII (80–103)</w:t>
            </w:r>
          </w:p>
        </w:tc>
        <w:tc>
          <w:tcPr>
            <w:tcW w:w="3764" w:type="dxa"/>
          </w:tcPr>
          <w:p>
            <w:pPr>
              <w:pStyle w:val="Compact"/>
              <w:spacing w:after="40"/>
              <w:jc w:val="left"/>
            </w:pPr>
            <w:r>
              <w:rPr>
                <w:sz w:val="18"/>
              </w:rPr>
              <w:t xml:space="preserve">Products 11, 20, 21; housing/CRE classification; PCE limits for ML+</w:t>
            </w:r>
          </w:p>
        </w:tc>
      </w:tr>
      <w:tr>
        <w:tc>
          <w:tcPr>
            <w:tcW w:w="2111" w:type="dxa"/>
          </w:tcPr>
          <w:p>
            <w:pPr>
              <w:pStyle w:val="Compact"/>
              <w:spacing w:after="40"/>
              <w:jc w:val="left"/>
            </w:pPr>
            <w:r>
              <w:rPr>
                <w:sz w:val="18"/>
              </w:rPr>
              <w:t xml:space="preserve">NBFC-MFI prudential</w:t>
            </w:r>
          </w:p>
        </w:tc>
        <w:tc>
          <w:tcPr>
            <w:tcW w:w="3763" w:type="dxa"/>
          </w:tcPr>
          <w:p>
            <w:pPr>
              <w:pStyle w:val="Compact"/>
              <w:spacing w:after="40"/>
              <w:jc w:val="left"/>
            </w:pPr>
            <w:r>
              <w:rPr>
                <w:sz w:val="18"/>
              </w:rPr>
              <w:t xml:space="preserve">RBI (NBFC – Microfinance Institution) Directions, 2025 (RBI/DOR/2025-26/371; 28 Nov 2025)</w:t>
            </w:r>
          </w:p>
        </w:tc>
        <w:tc>
          <w:tcPr>
            <w:tcW w:w="3764" w:type="dxa"/>
          </w:tcPr>
          <w:p>
            <w:pPr>
              <w:pStyle w:val="Compact"/>
              <w:spacing w:after="40"/>
              <w:jc w:val="left"/>
            </w:pPr>
            <w:r>
              <w:rPr>
                <w:sz w:val="18"/>
              </w:rPr>
              <w:t xml:space="preserve">Qualifying assets ≥ 60% of total assets net of intangibles; 4 consecutive quarters below → remediation plan to RBI (8(3), 12); channelising-agent loans a separate segment excluded from the test, separate books, CIC reporting (13); CRAR ≥ 15%, Tier 2 ≤ Tier 1 (16–17); NPA &gt; 90 days; provision floor = higher of 1% of portfolio or 50%/100% of instalments overdue 90–180 / ≥ 180 days (24–25); geographic exposure limits (10); SRO membership (46);</w:t>
            </w:r>
            <w:r>
              <w:rPr>
                <w:sz w:val="18"/>
              </w:rPr>
              <w:t xml:space="preserve"> </w:t>
            </w:r>
            <w:r>
              <w:rPr>
                <w:bCs/>
                <w:b/>
                <w:sz w:val="18"/>
              </w:rPr>
              <w:t xml:space="preserve">non-MFI NBFCs: microfinance loans ≤ 25% of total assets (49)</w:t>
            </w:r>
          </w:p>
        </w:tc>
      </w:tr>
      <w:tr>
        <w:tc>
          <w:tcPr>
            <w:tcW w:w="2111" w:type="dxa"/>
          </w:tcPr>
          <w:p>
            <w:pPr>
              <w:pStyle w:val="Compact"/>
              <w:spacing w:after="40"/>
              <w:jc w:val="left"/>
            </w:pPr>
            <w:r>
              <w:rPr>
                <w:sz w:val="18"/>
              </w:rPr>
              <w:t xml:space="preserve">Internal audit</w:t>
            </w:r>
          </w:p>
        </w:tc>
        <w:tc>
          <w:tcPr>
            <w:tcW w:w="3763" w:type="dxa"/>
          </w:tcPr>
          <w:p>
            <w:pPr>
              <w:pStyle w:val="Compact"/>
              <w:spacing w:after="40"/>
              <w:jc w:val="left"/>
            </w:pPr>
            <w:r>
              <w:rPr>
                <w:sz w:val="18"/>
              </w:rPr>
              <w:t xml:space="preserve">RBI (NBFC – Internal Audit Function) Directions, 2026 (RBI/DoS/2026-27/464); NBFC-D, HFC-D, and NBFC-ND/HFC-ND ≥ ₹5,000 crore</w:t>
            </w:r>
          </w:p>
        </w:tc>
        <w:tc>
          <w:tcPr>
            <w:tcW w:w="3764" w:type="dxa"/>
          </w:tcPr>
          <w:p>
            <w:pPr>
              <w:pStyle w:val="Compact"/>
              <w:spacing w:after="40"/>
              <w:jc w:val="left"/>
            </w:pPr>
            <w:r>
              <w:rPr>
                <w:sz w:val="18"/>
              </w:rPr>
              <w:t xml:space="preserve">RBIA module: audit universe with maximum exclusion period (14); annual risk assessment (inherent × control, level and trend, 10 parameters) (25–31); magnitude × frequency plan (32); assignments and reports (33–35); observation tracking and Board/ACB reporting of pending high/medium paras (36–37); IT Committee routing of system-audit findings (34); no outsourcing (39); HIA access, tenure, quarterly ACB meeting, no business targets (40–43)</w:t>
            </w:r>
          </w:p>
        </w:tc>
      </w:tr>
      <w:tr>
        <w:tc>
          <w:tcPr>
            <w:tcW w:w="2111" w:type="dxa"/>
          </w:tcPr>
          <w:p>
            <w:pPr>
              <w:pStyle w:val="Compact"/>
              <w:spacing w:after="40"/>
              <w:jc w:val="left"/>
            </w:pPr>
            <w:r>
              <w:rPr>
                <w:sz w:val="18"/>
              </w:rPr>
              <w:t xml:space="preserve">Statutory audit</w:t>
            </w:r>
          </w:p>
        </w:tc>
        <w:tc>
          <w:tcPr>
            <w:tcW w:w="3763" w:type="dxa"/>
          </w:tcPr>
          <w:p>
            <w:pPr>
              <w:pStyle w:val="Compact"/>
              <w:spacing w:after="40"/>
              <w:jc w:val="left"/>
            </w:pPr>
            <w:r>
              <w:rPr>
                <w:sz w:val="18"/>
              </w:rPr>
              <w:t xml:space="preserve">RBI (NBFC – Statutory Audit) Directions, 2026 (RBI/DoS/2026-27/465); all NBFCs incl. HFCs (NBFC-ND &lt; ₹1,000 crore may keep extant procedure)</w:t>
            </w:r>
          </w:p>
        </w:tc>
        <w:tc>
          <w:tcPr>
            <w:tcW w:w="3764" w:type="dxa"/>
          </w:tcPr>
          <w:p>
            <w:pPr>
              <w:pStyle w:val="Compact"/>
              <w:spacing w:after="40"/>
              <w:jc w:val="left"/>
            </w:pPr>
            <w:r>
              <w:rPr>
                <w:sz w:val="18"/>
              </w:rPr>
              <w:t xml:space="preserve">Auditor register: joint audit ≥ ₹15,000 crore (11); eligibility tables (14–16); independence and 1-year non-audit gap (17–20); 3-year term, 6-year cooling-off, 8-NBFC cap (23–26); Form A within 1 month, Form B (30); early-removal intimation within 1 month (23); lapse report within 2 months (8); top-20 / 15%-of-advances branch-coverage report (13)</w:t>
            </w:r>
          </w:p>
        </w:tc>
      </w:tr>
      <w:tr>
        <w:tc>
          <w:tcPr>
            <w:tcW w:w="2111" w:type="dxa"/>
          </w:tcPr>
          <w:p>
            <w:pPr>
              <w:pStyle w:val="Compact"/>
              <w:spacing w:after="40"/>
              <w:jc w:val="left"/>
            </w:pPr>
            <w:r>
              <w:rPr>
                <w:sz w:val="18"/>
              </w:rPr>
              <w:t xml:space="preserve">Credit risk</w:t>
            </w:r>
          </w:p>
        </w:tc>
        <w:tc>
          <w:tcPr>
            <w:tcW w:w="3763" w:type="dxa"/>
          </w:tcPr>
          <w:p>
            <w:pPr>
              <w:pStyle w:val="Compact"/>
              <w:spacing w:after="40"/>
              <w:jc w:val="left"/>
            </w:pPr>
            <w:r>
              <w:rPr>
                <w:sz w:val="18"/>
              </w:rPr>
              <w:t xml:space="preserve">RBI (NBFC – Credit Risk Management) Directions, 2025 (RBI/DOR/2025-26/350; amended 5 Jan 2026, effective 1 Apr 2026)</w:t>
            </w:r>
          </w:p>
        </w:tc>
        <w:tc>
          <w:tcPr>
            <w:tcW w:w="3764" w:type="dxa"/>
          </w:tcPr>
          <w:p>
            <w:pPr>
              <w:pStyle w:val="Compact"/>
              <w:spacing w:after="40"/>
              <w:jc w:val="left"/>
            </w:pPr>
            <w:r>
              <w:rPr>
                <w:sz w:val="18"/>
              </w:rPr>
              <w:t xml:space="preserve">Related-party register, threshold-based sanction and recusal (13A–13Q); own-share/own-debenture blocks (14–15); Notified-NBFC appraisal (6–8); CDS (16–17); LEI gate (19–24); CERSAI (25–28)</w:t>
            </w:r>
          </w:p>
        </w:tc>
      </w:tr>
      <w:tr>
        <w:tc>
          <w:tcPr>
            <w:tcW w:w="2111" w:type="dxa"/>
          </w:tcPr>
          <w:p>
            <w:pPr>
              <w:pStyle w:val="Compact"/>
              <w:spacing w:after="40"/>
              <w:jc w:val="left"/>
            </w:pPr>
            <w:r>
              <w:rPr>
                <w:sz w:val="18"/>
              </w:rPr>
              <w:t xml:space="preserve">Concentration risk</w:t>
            </w:r>
          </w:p>
        </w:tc>
        <w:tc>
          <w:tcPr>
            <w:tcW w:w="3763" w:type="dxa"/>
          </w:tcPr>
          <w:p>
            <w:pPr>
              <w:pStyle w:val="Compact"/>
              <w:spacing w:after="40"/>
              <w:jc w:val="left"/>
            </w:pPr>
            <w:r>
              <w:rPr>
                <w:sz w:val="18"/>
              </w:rPr>
              <w:t xml:space="preserve">RBI (NBFC – Concentration Risk Management) Directions, 2025 (RBI/DOR/2025-26/351; amended 1 Jan and 10 Mar 2026)</w:t>
            </w:r>
          </w:p>
        </w:tc>
        <w:tc>
          <w:tcPr>
            <w:tcW w:w="3764" w:type="dxa"/>
          </w:tcPr>
          <w:p>
            <w:pPr>
              <w:pStyle w:val="Compact"/>
              <w:spacing w:after="40"/>
              <w:jc w:val="left"/>
            </w:pPr>
            <w:r>
              <w:rPr>
                <w:sz w:val="18"/>
              </w:rPr>
              <w:t xml:space="preserve">BL limits, consumer sub-limits, vehicle top-ups as unsecured, IPO cap (6–11); ML 25/40 and IFC 30/50 of Tier 1, exemptions, CRT, SSE (13–24); UL LEF, LE return (quarterly per SR para 21), breach block (25–49)</w:t>
            </w:r>
          </w:p>
        </w:tc>
      </w:tr>
      <w:tr>
        <w:tc>
          <w:tcPr>
            <w:tcW w:w="2111" w:type="dxa"/>
          </w:tcPr>
          <w:p>
            <w:pPr>
              <w:pStyle w:val="Compact"/>
              <w:spacing w:after="40"/>
              <w:jc w:val="left"/>
            </w:pPr>
            <w:r>
              <w:rPr>
                <w:sz w:val="18"/>
              </w:rPr>
              <w:t xml:space="preserve">Investments</w:t>
            </w:r>
          </w:p>
        </w:tc>
        <w:tc>
          <w:tcPr>
            <w:tcW w:w="3763" w:type="dxa"/>
          </w:tcPr>
          <w:p>
            <w:pPr>
              <w:pStyle w:val="Compact"/>
              <w:spacing w:after="40"/>
              <w:jc w:val="left"/>
            </w:pPr>
            <w:r>
              <w:rPr>
                <w:sz w:val="18"/>
              </w:rPr>
              <w:t xml:space="preserve">RBI (NBFC – Classification, Valuation and Operation of Investment Portfolio) Directions, 2025 (RBI/DOR/2025-26/354)</w:t>
            </w:r>
          </w:p>
        </w:tc>
        <w:tc>
          <w:tcPr>
            <w:tcW w:w="3764" w:type="dxa"/>
          </w:tcPr>
          <w:p>
            <w:pPr>
              <w:pStyle w:val="Compact"/>
              <w:spacing w:after="40"/>
              <w:jc w:val="left"/>
            </w:pPr>
            <w:r>
              <w:rPr>
                <w:sz w:val="18"/>
              </w:rPr>
              <w:t xml:space="preserve">Classification per accounting standard; non-Ind AS valuation and transfer rules; AIF look-through; trade reporting (7–34)</w:t>
            </w:r>
          </w:p>
        </w:tc>
      </w:tr>
      <w:tr>
        <w:tc>
          <w:tcPr>
            <w:tcW w:w="2111" w:type="dxa"/>
          </w:tcPr>
          <w:p>
            <w:pPr>
              <w:pStyle w:val="Compact"/>
              <w:spacing w:after="40"/>
              <w:jc w:val="left"/>
            </w:pPr>
            <w:r>
              <w:rPr>
                <w:sz w:val="18"/>
              </w:rPr>
              <w:t xml:space="preserve">Branches</w:t>
            </w:r>
          </w:p>
        </w:tc>
        <w:tc>
          <w:tcPr>
            <w:tcW w:w="3763" w:type="dxa"/>
          </w:tcPr>
          <w:p>
            <w:pPr>
              <w:pStyle w:val="Compact"/>
              <w:spacing w:after="40"/>
              <w:jc w:val="left"/>
            </w:pPr>
            <w:r>
              <w:rPr>
                <w:sz w:val="18"/>
              </w:rPr>
              <w:t xml:space="preserve">RBI (NBFC – Branch Authorisation) Directions, 2025 (RBI/DOR/2025-26/342; amended 15 Apr 2026)</w:t>
            </w:r>
          </w:p>
        </w:tc>
        <w:tc>
          <w:tcPr>
            <w:tcW w:w="3764" w:type="dxa"/>
          </w:tcPr>
          <w:p>
            <w:pPr>
              <w:pStyle w:val="Compact"/>
              <w:spacing w:after="40"/>
              <w:jc w:val="left"/>
            </w:pPr>
            <w:r>
              <w:rPr>
                <w:sz w:val="18"/>
              </w:rPr>
              <w:t xml:space="preserve">Deposit-taking state gate (6); no overseas branch (10); 3-month closure notice (11); 7-day intimation (12); representative office via PRAVAAH (13–15)</w:t>
            </w:r>
          </w:p>
        </w:tc>
      </w:tr>
      <w:tr>
        <w:tc>
          <w:tcPr>
            <w:tcW w:w="2111" w:type="dxa"/>
          </w:tcPr>
          <w:p>
            <w:pPr>
              <w:pStyle w:val="Compact"/>
              <w:spacing w:after="40"/>
              <w:jc w:val="left"/>
            </w:pPr>
            <w:r>
              <w:rPr>
                <w:sz w:val="18"/>
              </w:rPr>
              <w:t xml:space="preserve">KYC/AML</w:t>
            </w:r>
          </w:p>
        </w:tc>
        <w:tc>
          <w:tcPr>
            <w:tcW w:w="3763" w:type="dxa"/>
          </w:tcPr>
          <w:p>
            <w:pPr>
              <w:pStyle w:val="Compact"/>
              <w:spacing w:after="40"/>
              <w:jc w:val="left"/>
            </w:pPr>
            <w:r>
              <w:rPr>
                <w:sz w:val="18"/>
              </w:rPr>
              <w:t xml:space="preserve">RBI (NBFC – Know Your Customer) Directions, 2025 (RBI/DOR/2025-26/361; updated as on 29 Dec 2025); PMLA 2002 and PML Rules 2005 (reporting timelines, r.8 [VERIFY]); UAPA s.51A Order (Annex I); WMD s.12A Order (Annex II)</w:t>
            </w:r>
          </w:p>
        </w:tc>
        <w:tc>
          <w:tcPr>
            <w:tcW w:w="3764" w:type="dxa"/>
          </w:tcPr>
          <w:p>
            <w:pPr>
              <w:pStyle w:val="Compact"/>
              <w:spacing w:after="40"/>
              <w:jc w:val="left"/>
            </w:pPr>
            <w:r>
              <w:rPr>
                <w:sz w:val="18"/>
              </w:rPr>
              <w:t xml:space="preserve">KYC policy and annual ML/TF assessment (6, 10); PO ≠ DD (14–15); CAP, UCIC, rejection reasons (17–18); risk categories, confidential, 6-monthly review (20, 41); CDD modes and s.11A Aadhaar (23); digital KYC app (24); OTP-e-KYC limits (25); V-CIP (26–27); proprietorship/LE/BO (30–38); updation 2/8/10 years and notices (42); PAN cessation (43); NFTF EDD, PEP (44–45); records 5 years (47); DARPAN (48); FIU-IND (49–53); sanctions (54–60); CKYCR 10/7 days and reliance (63); FATCA/CRS (64); new-tech assessment (68); wire transfer (69); third-party products (71); KYE/training (72)</w:t>
            </w:r>
          </w:p>
        </w:tc>
      </w:tr>
      <w:tr>
        <w:tc>
          <w:tcPr>
            <w:tcW w:w="2111" w:type="dxa"/>
          </w:tcPr>
          <w:p>
            <w:pPr>
              <w:pStyle w:val="Compact"/>
              <w:spacing w:after="40"/>
              <w:jc w:val="left"/>
            </w:pPr>
            <w:r>
              <w:rPr>
                <w:sz w:val="18"/>
              </w:rPr>
              <w:t xml:space="preserve">Credit information</w:t>
            </w:r>
          </w:p>
        </w:tc>
        <w:tc>
          <w:tcPr>
            <w:tcW w:w="3763" w:type="dxa"/>
          </w:tcPr>
          <w:p>
            <w:pPr>
              <w:pStyle w:val="Compact"/>
              <w:spacing w:after="40"/>
              <w:jc w:val="left"/>
            </w:pPr>
            <w:r>
              <w:rPr>
                <w:sz w:val="18"/>
              </w:rPr>
              <w:t xml:space="preserve">RBI (NBFC – Credit Information Reporting) Directions, 2025 (RBI/DOR/2025-26/349), as amended by RBI/DOR/2025-26/117 (4 Dec 2025; effective 1 Jul 2026: paras 10(2), 12(10), 15, Annex VI)</w:t>
            </w:r>
          </w:p>
        </w:tc>
        <w:tc>
          <w:tcPr>
            <w:tcW w:w="3764" w:type="dxa"/>
          </w:tcPr>
          <w:p>
            <w:pPr>
              <w:pStyle w:val="Compact"/>
              <w:spacing w:after="40"/>
              <w:jc w:val="left"/>
            </w:pPr>
            <w:r>
              <w:rPr>
                <w:sz w:val="18"/>
              </w:rPr>
              <w:t xml:space="preserve">Membership of all 4 CICs (6); UCRF Annex I (9); effective-dated reference dates (10(2)); settled/disputed (12(4)); IBC = suit-filed (12(7)); CKYC (12(10)); rejections (15); DQI (17); correction at source (18–19); CIRs in credit policy (20); SARFAESI website display (21); alerts while reporting (34(1)); CIC nodal officer (34(2)); RCA (34(4)); compensation (35); no auto-rejection of new-to-credit (38(5))</w:t>
            </w:r>
          </w:p>
        </w:tc>
      </w:tr>
      <w:tr>
        <w:tc>
          <w:tcPr>
            <w:tcW w:w="2111" w:type="dxa"/>
          </w:tcPr>
          <w:p>
            <w:pPr>
              <w:pStyle w:val="Compact"/>
              <w:spacing w:after="40"/>
              <w:jc w:val="left"/>
            </w:pPr>
            <w:r>
              <w:rPr>
                <w:sz w:val="18"/>
              </w:rPr>
              <w:t xml:space="preserve">Loan transfers and co-lending</w:t>
            </w:r>
          </w:p>
        </w:tc>
        <w:tc>
          <w:tcPr>
            <w:tcW w:w="3763" w:type="dxa"/>
          </w:tcPr>
          <w:p>
            <w:pPr>
              <w:pStyle w:val="Compact"/>
              <w:spacing w:after="40"/>
              <w:jc w:val="left"/>
            </w:pPr>
            <w:r>
              <w:rPr>
                <w:sz w:val="18"/>
              </w:rPr>
              <w:t xml:space="preserve">RBI (NBFC – Transfer and Distribution of Credit Risk) Directions, 2025 (RBI/DOR/2025-26/352): Part A loan transfers (paras 6–94); Part B co-lending (paras 95–127, effective 1 Jan 2026)</w:t>
            </w:r>
          </w:p>
        </w:tc>
        <w:tc>
          <w:tcPr>
            <w:tcW w:w="3764" w:type="dxa"/>
          </w:tcPr>
          <w:p>
            <w:pPr>
              <w:pStyle w:val="Compact"/>
              <w:spacing w:after="40"/>
              <w:jc w:val="left"/>
            </w:pPr>
            <w:r>
              <w:rPr>
                <w:sz w:val="18"/>
              </w:rPr>
              <w:t xml:space="preserve">Permitted transferors/transferees (12(4), 12(8)); no CE/liquidity facility (16); no re-acquisition (17); cash, arm’s length (38); one-third loan-level DD or 10% retention (40); MHP 3/6 months (43); unrealised profit off CET1/NOF (45); reps replacement within 30 days (52); stressed: 2 valuations ≥ ₹100 crore (57), Swiss challenge ≥ ₹100 crore (60, 89–92), 12-month cooling (61), classification and NPV provisioning with 3% premium floor (69–71), 6-month hold (74); ARC and SR valuation (78–86); trade-reporting database (94). CLA: 10% retention (102), blended rate (108), 15-day booking (113), bank escrow (117), own-share CIC reporting (122), originator DLG ≤ 5% (123), next-working-day classification sync (124), website partner list (126)</w:t>
            </w:r>
          </w:p>
        </w:tc>
      </w:tr>
      <w:tr>
        <w:tc>
          <w:tcPr>
            <w:tcW w:w="2111" w:type="dxa"/>
          </w:tcPr>
          <w:p>
            <w:pPr>
              <w:pStyle w:val="Compact"/>
              <w:spacing w:after="40"/>
              <w:jc w:val="left"/>
            </w:pPr>
            <w:r>
              <w:rPr>
                <w:sz w:val="18"/>
              </w:rPr>
              <w:t xml:space="preserve">Securitisation</w:t>
            </w:r>
          </w:p>
        </w:tc>
        <w:tc>
          <w:tcPr>
            <w:tcW w:w="3763" w:type="dxa"/>
          </w:tcPr>
          <w:p>
            <w:pPr>
              <w:pStyle w:val="Compact"/>
              <w:spacing w:after="40"/>
              <w:jc w:val="left"/>
            </w:pPr>
            <w:r>
              <w:rPr>
                <w:sz w:val="18"/>
              </w:rPr>
              <w:t xml:space="preserve">RBI (NBFC – Securitisation Transactions) Directions, 2025 (RBI/DOR/2025-26/353)</w:t>
            </w:r>
          </w:p>
        </w:tc>
        <w:tc>
          <w:tcPr>
            <w:tcW w:w="3764" w:type="dxa"/>
          </w:tcPr>
          <w:p>
            <w:pPr>
              <w:pStyle w:val="Compact"/>
              <w:spacing w:after="40"/>
              <w:jc w:val="left"/>
            </w:pPr>
            <w:r>
              <w:rPr>
                <w:sz w:val="18"/>
              </w:rPr>
              <w:t xml:space="preserve">Prohibited structures and assets incl. synthetic (5); standard loans only (6); MHP (7–8); MRR 5%/10%, RMBS 5%, form and ongoing (10–14); 14-day risk-change notice (22); 20% retained cap (23); ₹1 crore ticket, listing if ≥ 50 investors (26–27); SPE conditions (28–29); reps replacement within 120 days, DoS notice (30); ≤ 30-day issuance gap (31); non-Ind AS unrealised-gain account (34); STC (35–79); CE/reset/liquidity/underwriting/servicing (80–96); investor DD and stress tests (97–107); Annex I MHP/MRR disclosure half-yearly (112–113); quarterly RBI report (115)</w:t>
            </w:r>
          </w:p>
        </w:tc>
      </w:tr>
      <w:tr>
        <w:tc>
          <w:tcPr>
            <w:tcW w:w="2111" w:type="dxa"/>
          </w:tcPr>
          <w:p>
            <w:pPr>
              <w:pStyle w:val="Compact"/>
              <w:spacing w:after="40"/>
              <w:jc w:val="left"/>
            </w:pPr>
            <w:r>
              <w:rPr>
                <w:sz w:val="18"/>
              </w:rPr>
              <w:t xml:space="preserve">Outsourcing</w:t>
            </w:r>
          </w:p>
        </w:tc>
        <w:tc>
          <w:tcPr>
            <w:tcW w:w="3763" w:type="dxa"/>
          </w:tcPr>
          <w:p>
            <w:pPr>
              <w:pStyle w:val="Compact"/>
              <w:spacing w:after="40"/>
              <w:jc w:val="left"/>
            </w:pPr>
            <w:r>
              <w:rPr>
                <w:sz w:val="18"/>
              </w:rPr>
              <w:t xml:space="preserve">RBI (NBFC – Managing Risks in Outsourcing) Directions, 2025 (RBI/DOR/2025-26/363); existing IT agreements compliant by renewal or 10 Apr 2026 (para 2); BL excludes Ch IV</w:t>
            </w:r>
          </w:p>
        </w:tc>
        <w:tc>
          <w:tcPr>
            <w:tcW w:w="3764" w:type="dxa"/>
          </w:tcPr>
          <w:p>
            <w:pPr>
              <w:pStyle w:val="Compact"/>
              <w:spacing w:after="40"/>
              <w:jc w:val="left"/>
            </w:pPr>
            <w:r>
              <w:rPr>
                <w:sz w:val="18"/>
              </w:rPr>
              <w:t xml:space="preserve">Non-outsourceable functions incl. sanction, KYC decisions, internal audit and compliance (15); ownership bar (18(vi), 59); materiality (14, 58(2)); due diligence (30, 71); clauses (34, 74, 87–88); half-yearly Board/RMC review of the central record (12, 36); IT inventory with supply chain (64(2), 82); breach notice to RBI (28, 69); 6-hour incident clock from provider detection (61); multi-tenant isolation (70); group (45–51, 90–92); offshore (52–53, 93–94); SOC (95); cloud, incl. NBFC-controlled keys, MFA, SOC log integration and exit (97); termination publicity (44, 89); MFI accountability declaration (56)</w:t>
            </w:r>
          </w:p>
        </w:tc>
      </w:tr>
      <w:tr>
        <w:tc>
          <w:tcPr>
            <w:tcW w:w="2111" w:type="dxa"/>
          </w:tcPr>
          <w:p>
            <w:pPr>
              <w:pStyle w:val="Compact"/>
              <w:spacing w:after="40"/>
              <w:jc w:val="left"/>
            </w:pPr>
            <w:r>
              <w:rPr>
                <w:sz w:val="18"/>
              </w:rPr>
              <w:t xml:space="preserve">ALM</w:t>
            </w:r>
          </w:p>
        </w:tc>
        <w:tc>
          <w:tcPr>
            <w:tcW w:w="3763" w:type="dxa"/>
          </w:tcPr>
          <w:p>
            <w:pPr>
              <w:pStyle w:val="Compact"/>
              <w:spacing w:after="40"/>
              <w:jc w:val="left"/>
            </w:pPr>
            <w:r>
              <w:rPr>
                <w:sz w:val="18"/>
              </w:rPr>
              <w:t xml:space="preserve">RBI (NBFC – Asset Liability Management) Directions, 2025 (RBI/DoR/2025-26/355)</w:t>
            </w:r>
          </w:p>
        </w:tc>
        <w:tc>
          <w:tcPr>
            <w:tcW w:w="3764" w:type="dxa"/>
          </w:tcPr>
          <w:p>
            <w:pPr>
              <w:pStyle w:val="Compact"/>
              <w:spacing w:after="40"/>
              <w:jc w:val="left"/>
            </w:pPr>
            <w:r>
              <w:rPr>
                <w:sz w:val="18"/>
              </w:rPr>
              <w:t xml:space="preserve">Ch II for assets ≥ ₹100 crore; buckets (32, 49); tolerance limits (39–40); stock ratios (43); IRS (45–53); behavioural assumptions (54–55); DNBS04A/04B (57–59); LCR (Ch III, 60–78); public disclosure (15, Annex I)</w:t>
            </w:r>
          </w:p>
        </w:tc>
      </w:tr>
      <w:tr>
        <w:tc>
          <w:tcPr>
            <w:tcW w:w="2111" w:type="dxa"/>
          </w:tcPr>
          <w:p>
            <w:pPr>
              <w:pStyle w:val="Compact"/>
              <w:spacing w:after="40"/>
              <w:jc w:val="left"/>
            </w:pPr>
            <w:r>
              <w:rPr>
                <w:sz w:val="18"/>
              </w:rPr>
              <w:t xml:space="preserve">Capital</w:t>
            </w:r>
          </w:p>
        </w:tc>
        <w:tc>
          <w:tcPr>
            <w:tcW w:w="3763" w:type="dxa"/>
          </w:tcPr>
          <w:p>
            <w:pPr>
              <w:pStyle w:val="Compact"/>
              <w:spacing w:after="40"/>
              <w:jc w:val="left"/>
            </w:pPr>
            <w:r>
              <w:rPr>
                <w:sz w:val="18"/>
              </w:rPr>
              <w:t xml:space="preserve">RBI (NBFC – Prudential Norms on Capital Adequacy) Directions, 2025 (RBI/DOR/2025-26/345; updated 1 Apr 2026; Amendments of 1 Jan and 10 Mar 2026)</w:t>
            </w:r>
          </w:p>
        </w:tc>
        <w:tc>
          <w:tcPr>
            <w:tcW w:w="3764" w:type="dxa"/>
          </w:tcPr>
          <w:p>
            <w:pPr>
              <w:pStyle w:val="Compact"/>
              <w:spacing w:after="40"/>
              <w:jc w:val="left"/>
            </w:pPr>
            <w:r>
              <w:rPr>
                <w:sz w:val="18"/>
              </w:rPr>
              <w:t xml:space="preserve">M12 RWA/CRAR engine: minimums (6); owned fund with quarterly EPt (9); CET1/Tier 1/Tier 2 and deductions (7–15); Ind AS filters and ECL (16); BL leverage ≤ 7 (17); RW and CCF tables, guarantee schemes, CEM (18); securitisation SEC-ERBA (19–51); CDS (52–53); ICAAP ML+ (54)</w:t>
            </w:r>
          </w:p>
        </w:tc>
      </w:tr>
      <w:tr>
        <w:tc>
          <w:tcPr>
            <w:tcW w:w="2111" w:type="dxa"/>
          </w:tcPr>
          <w:p>
            <w:pPr>
              <w:pStyle w:val="Compact"/>
              <w:spacing w:after="40"/>
              <w:jc w:val="left"/>
            </w:pPr>
            <w:r>
              <w:rPr>
                <w:sz w:val="18"/>
              </w:rPr>
              <w:t xml:space="preserve">Dividends</w:t>
            </w:r>
          </w:p>
        </w:tc>
        <w:tc>
          <w:tcPr>
            <w:tcW w:w="3763" w:type="dxa"/>
          </w:tcPr>
          <w:p>
            <w:pPr>
              <w:pStyle w:val="Compact"/>
              <w:spacing w:after="40"/>
              <w:jc w:val="left"/>
            </w:pPr>
            <w:r>
              <w:rPr>
                <w:sz w:val="18"/>
              </w:rPr>
              <w:t xml:space="preserve">RBI (NBFC – Prudential Norms on Declaration of Dividends) Directions, 2025 (RBI/DOR/2025-26/360)</w:t>
            </w:r>
          </w:p>
        </w:tc>
        <w:tc>
          <w:tcPr>
            <w:tcW w:w="3764" w:type="dxa"/>
          </w:tcPr>
          <w:p>
            <w:pPr>
              <w:pStyle w:val="Compact"/>
              <w:spacing w:after="40"/>
              <w:jc w:val="left"/>
            </w:pPr>
            <w:r>
              <w:rPr>
                <w:sz w:val="18"/>
              </w:rPr>
              <w:t xml:space="preserve">Eligibility checker: 3-year capital compliance and NNPA &lt; 6% (8); payout ≤ 50% (CIC/SPD 60%; none for no-public-funds entities) after exceptional-profit adjustment (9); 10% fallback with NNPA &lt; 4% (11); Annex I report within a fortnight (13–15)</w:t>
            </w:r>
          </w:p>
        </w:tc>
      </w:tr>
      <w:tr>
        <w:tc>
          <w:tcPr>
            <w:tcW w:w="2111" w:type="dxa"/>
          </w:tcPr>
          <w:p>
            <w:pPr>
              <w:pStyle w:val="Compact"/>
              <w:spacing w:after="40"/>
              <w:jc w:val="left"/>
            </w:pPr>
            <w:r>
              <w:rPr>
                <w:sz w:val="18"/>
              </w:rPr>
              <w:t xml:space="preserve">Miscellaneous (DoR)</w:t>
            </w:r>
          </w:p>
        </w:tc>
        <w:tc>
          <w:tcPr>
            <w:tcW w:w="3763" w:type="dxa"/>
          </w:tcPr>
          <w:p>
            <w:pPr>
              <w:pStyle w:val="Compact"/>
              <w:spacing w:after="40"/>
              <w:jc w:val="left"/>
            </w:pPr>
            <w:r>
              <w:rPr>
                <w:sz w:val="18"/>
              </w:rPr>
              <w:t xml:space="preserve">RBI (NBFC – Miscellaneous) Directions, 2025 (RBI/DOR/2025-26/373; updated 26 Feb 2026); distinct from the DoS Miscellaneous Supervisory Directions, 2026</w:t>
            </w:r>
          </w:p>
        </w:tc>
        <w:tc>
          <w:tcPr>
            <w:tcW w:w="3764" w:type="dxa"/>
          </w:tcPr>
          <w:p>
            <w:pPr>
              <w:pStyle w:val="Compact"/>
              <w:spacing w:after="40"/>
              <w:jc w:val="left"/>
            </w:pPr>
            <w:r>
              <w:rPr>
                <w:sz w:val="18"/>
              </w:rPr>
              <w:t xml:space="preserve">1-month intimations (6–7); NCD private placement (9–13); no partnership/LLP/AOP (16–19); 15-day rating-change report (20); FDs outside PBC (21); no fresh PDCs/EMI cheques (23); ss.269SS/269T (24); rupee rounding (27); locker disclosure (28); AD-II (32–34); factoring (35–54); IDF-NBFC (55–63)</w:t>
            </w:r>
          </w:p>
        </w:tc>
      </w:tr>
      <w:tr>
        <w:tc>
          <w:tcPr>
            <w:tcW w:w="2111" w:type="dxa"/>
          </w:tcPr>
          <w:p>
            <w:pPr>
              <w:pStyle w:val="Compact"/>
              <w:spacing w:after="40"/>
              <w:jc w:val="left"/>
            </w:pPr>
            <w:r>
              <w:rPr>
                <w:sz w:val="18"/>
              </w:rPr>
              <w:t xml:space="preserve">Green deposits</w:t>
            </w:r>
          </w:p>
        </w:tc>
        <w:tc>
          <w:tcPr>
            <w:tcW w:w="3763" w:type="dxa"/>
          </w:tcPr>
          <w:p>
            <w:pPr>
              <w:pStyle w:val="Compact"/>
              <w:spacing w:after="40"/>
              <w:jc w:val="left"/>
            </w:pPr>
            <w:r>
              <w:rPr>
                <w:sz w:val="18"/>
              </w:rPr>
              <w:t xml:space="preserve">RBI (NBFC – Climate Finance and Management of Climate Change Risks) Directions, 2025 (RBI/DOR/2025-26/364); NBFC-D and deposit-taking HFCs only</w:t>
            </w:r>
          </w:p>
        </w:tc>
        <w:tc>
          <w:tcPr>
            <w:tcW w:w="3764" w:type="dxa"/>
          </w:tcPr>
          <w:p>
            <w:pPr>
              <w:pStyle w:val="Compact"/>
              <w:spacing w:after="40"/>
              <w:jc w:val="left"/>
            </w:pPr>
            <w:r>
              <w:rPr>
                <w:sz w:val="18"/>
              </w:rPr>
              <w:t xml:space="preserve">Deposits module (later): green-deposit flag, taxonomy tags, HQLA parking, allocation ledger, verification and impact reports, Board review within 3 months (paras 6–18)</w:t>
            </w:r>
          </w:p>
        </w:tc>
      </w:tr>
      <w:tr>
        <w:tc>
          <w:tcPr>
            <w:tcW w:w="2111" w:type="dxa"/>
          </w:tcPr>
          <w:p>
            <w:pPr>
              <w:pStyle w:val="Compact"/>
              <w:spacing w:after="40"/>
              <w:jc w:val="left"/>
            </w:pPr>
            <w:r>
              <w:rPr>
                <w:sz w:val="18"/>
              </w:rPr>
              <w:t xml:space="preserve">Wilful and large defaulters</w:t>
            </w:r>
          </w:p>
        </w:tc>
        <w:tc>
          <w:tcPr>
            <w:tcW w:w="3763" w:type="dxa"/>
          </w:tcPr>
          <w:p>
            <w:pPr>
              <w:pStyle w:val="Compact"/>
              <w:spacing w:after="40"/>
              <w:jc w:val="left"/>
            </w:pPr>
            <w:r>
              <w:rPr>
                <w:sz w:val="18"/>
              </w:rPr>
              <w:t xml:space="preserve">RBI (NBFC – Treatment of Wilful Defaulters and Large Defaulters) Directions, 2025 (RBI/DOR/2025-26/358); ML and above incl. HFC and CIC; the bar on further finance and the large-defaulter provisions apply to all REs (para 2)</w:t>
            </w:r>
          </w:p>
        </w:tc>
        <w:tc>
          <w:tcPr>
            <w:tcW w:w="3764" w:type="dxa"/>
          </w:tcPr>
          <w:p>
            <w:pPr>
              <w:pStyle w:val="Compact"/>
              <w:spacing w:after="40"/>
              <w:jc w:val="left"/>
            </w:pPr>
            <w:r>
              <w:rPr>
                <w:sz w:val="18"/>
              </w:rPr>
              <w:t xml:space="preserve">NPA screening ≥ ₹25 lakh and 6-month deadline (6); two committees, show-cause reply 21 days, representation 15 days, personal hearing, reasoned order (5); 1-year/5-year bars and board covenant (7); guarantors (10, 17); monthly Annex I (≥ ₹1 crore) and Annex II files to all CICs, removal within 30 days, DIN (11–12, 18); compromise settlements (13); pre-transfer gate (14); IBC/resolution removal (15); DIN/PAN appraisal check and end-use monitoring (19); auditor and third-party reporting to IBA (20–21)</w:t>
            </w:r>
          </w:p>
        </w:tc>
      </w:tr>
      <w:tr>
        <w:tc>
          <w:tcPr>
            <w:tcW w:w="2111" w:type="dxa"/>
          </w:tcPr>
          <w:p>
            <w:pPr>
              <w:pStyle w:val="Compact"/>
              <w:spacing w:after="40"/>
              <w:jc w:val="left"/>
            </w:pPr>
            <w:r>
              <w:rPr>
                <w:sz w:val="18"/>
              </w:rPr>
              <w:t xml:space="preserve">Financial statements</w:t>
            </w:r>
          </w:p>
        </w:tc>
        <w:tc>
          <w:tcPr>
            <w:tcW w:w="3763" w:type="dxa"/>
          </w:tcPr>
          <w:p>
            <w:pPr>
              <w:pStyle w:val="Compact"/>
              <w:spacing w:after="40"/>
              <w:jc w:val="left"/>
            </w:pPr>
            <w:r>
              <w:rPr>
                <w:sz w:val="18"/>
              </w:rPr>
              <w:t xml:space="preserve">RBI (NBFC – Financial Statements: Presentation and Disclosures) Directions, 2025 (RBI/DOR/2025-26/359; updated 1 Apr 2026)</w:t>
            </w:r>
          </w:p>
        </w:tc>
        <w:tc>
          <w:tcPr>
            <w:tcW w:w="3764" w:type="dxa"/>
          </w:tcPr>
          <w:p>
            <w:pPr>
              <w:pStyle w:val="Compact"/>
              <w:spacing w:after="40"/>
              <w:jc w:val="left"/>
            </w:pPr>
            <w:r>
              <w:rPr>
                <w:sz w:val="18"/>
              </w:rPr>
              <w:t xml:space="preserve">Ind AS governance registers (12(1)); Impairment Reserve (12(2)); Annex I Schedule (20); C.1 21(1)–(15) incl. (9A); C.2 for ML/UL incl. LCR disclosure; C.3 for UL; consolidation (Ch IV)</w:t>
            </w:r>
          </w:p>
        </w:tc>
      </w:tr>
      <w:tr>
        <w:tc>
          <w:tcPr>
            <w:tcW w:w="2111" w:type="dxa"/>
          </w:tcPr>
          <w:p>
            <w:pPr>
              <w:pStyle w:val="Compact"/>
              <w:spacing w:after="40"/>
              <w:jc w:val="left"/>
            </w:pPr>
            <w:r>
              <w:rPr>
                <w:sz w:val="18"/>
              </w:rPr>
              <w:t xml:space="preserve">HFC</w:t>
            </w:r>
          </w:p>
        </w:tc>
        <w:tc>
          <w:tcPr>
            <w:tcW w:w="3763" w:type="dxa"/>
          </w:tcPr>
          <w:p>
            <w:pPr>
              <w:pStyle w:val="Compact"/>
              <w:spacing w:after="40"/>
              <w:jc w:val="left"/>
            </w:pPr>
            <w:r>
              <w:rPr>
                <w:sz w:val="18"/>
              </w:rPr>
              <w:t xml:space="preserve">RBI (Housing Finance Companies) Directions, 2025, plus NHB requirements</w:t>
            </w:r>
          </w:p>
        </w:tc>
        <w:tc>
          <w:tcPr>
            <w:tcW w:w="3764" w:type="dxa"/>
          </w:tcPr>
          <w:p>
            <w:pPr>
              <w:pStyle w:val="Compact"/>
              <w:spacing w:after="40"/>
              <w:jc w:val="left"/>
            </w:pPr>
            <w:r>
              <w:rPr>
                <w:sz w:val="18"/>
              </w:rPr>
              <w:t xml:space="preserve">HFC product rules and returns</w:t>
            </w:r>
          </w:p>
        </w:tc>
      </w:tr>
      <w:tr>
        <w:tc>
          <w:tcPr>
            <w:tcW w:w="2111" w:type="dxa"/>
          </w:tcPr>
          <w:p>
            <w:pPr>
              <w:pStyle w:val="Compact"/>
              <w:spacing w:after="40"/>
              <w:jc w:val="left"/>
            </w:pPr>
            <w:r>
              <w:rPr>
                <w:sz w:val="18"/>
              </w:rPr>
              <w:t xml:space="preserve">Account Aggregator</w:t>
            </w:r>
          </w:p>
        </w:tc>
        <w:tc>
          <w:tcPr>
            <w:tcW w:w="3763" w:type="dxa"/>
          </w:tcPr>
          <w:p>
            <w:pPr>
              <w:pStyle w:val="Compact"/>
              <w:spacing w:after="40"/>
              <w:jc w:val="left"/>
            </w:pPr>
            <w:r>
              <w:rPr>
                <w:sz w:val="18"/>
              </w:rPr>
              <w:t xml:space="preserve">RBI (NBFC – Account Aggregator) Directions, 2025 (RBI/DoR/2025-26/368; governs NBFC-AAs); ReBIT specifications as updated (para 33)</w:t>
            </w:r>
          </w:p>
        </w:tc>
        <w:tc>
          <w:tcPr>
            <w:tcW w:w="3764" w:type="dxa"/>
          </w:tcPr>
          <w:p>
            <w:pPr>
              <w:pStyle w:val="Compact"/>
              <w:spacing w:after="40"/>
              <w:jc w:val="left"/>
            </w:pPr>
            <w:r>
              <w:rPr>
                <w:sz w:val="18"/>
              </w:rPr>
              <w:t xml:space="preserve">Tenant is the FIU: consent artefact (17), revocation (20), auditable logs (21), use only per artefact (28), FIP obligation for deposit-takers (29)</w:t>
            </w:r>
          </w:p>
        </w:tc>
      </w:tr>
      <w:tr>
        <w:tc>
          <w:tcPr>
            <w:tcW w:w="2111" w:type="dxa"/>
          </w:tcPr>
          <w:p>
            <w:pPr>
              <w:pStyle w:val="Compact"/>
              <w:spacing w:after="40"/>
              <w:jc w:val="left"/>
            </w:pPr>
            <w:r>
              <w:rPr>
                <w:sz w:val="18"/>
              </w:rPr>
              <w:t xml:space="preserve">Cyber and IT</w:t>
            </w:r>
          </w:p>
        </w:tc>
        <w:tc>
          <w:tcPr>
            <w:tcW w:w="3763" w:type="dxa"/>
          </w:tcPr>
          <w:p>
            <w:pPr>
              <w:pStyle w:val="Compact"/>
              <w:spacing w:after="40"/>
              <w:jc w:val="left"/>
            </w:pPr>
            <w:r>
              <w:rPr>
                <w:bCs/>
                <w:b/>
                <w:sz w:val="18"/>
              </w:rPr>
              <w:t xml:space="preserve">RBI (NBFC – Cybersecurity, Technology: Risk, Resilience and Assurance Framework) Directions, 2026 (31 Jul 2026; RBI/DoS/2026-27/461)</w:t>
            </w:r>
            <w:r>
              <w:rPr>
                <w:sz w:val="18"/>
              </w:rPr>
              <w:t xml:space="preserve">, which repeal the existing NBFC IT Framework and IT Governance instructions listed in circular DoS.CO.PPG.66/11.01.005/2026-27 (para 155; the 2023 MD is not named [VERIFY])</w:t>
            </w:r>
          </w:p>
        </w:tc>
        <w:tc>
          <w:tcPr>
            <w:tcW w:w="3764" w:type="dxa"/>
          </w:tcPr>
          <w:p>
            <w:pPr>
              <w:pStyle w:val="Compact"/>
              <w:spacing w:after="40"/>
              <w:jc w:val="left"/>
            </w:pPr>
            <w:r>
              <w:rPr>
                <w:sz w:val="18"/>
              </w:rPr>
              <w:t xml:space="preserve">Ch II all; Ch III for BL &lt; ₹500 crore and all CICs; Ch IV for BL ≥ ₹500 crore; Ch V for TL/UL/ML excluding CICs. Audit trails (21(8); 109–111; vendor admin logs 62(2)(i)); MFA for privileged users and critical activities (115); STP without manual edits (119); RBI read-only MIS access and audit-mode access (46, 57); for Ch V entities, VA 6-monthly and PT annually for critical systems (para 121) and half-yearly DR drills (para 129); incident reporting within 6 hours (paras 28/141); source code or escrow (para 105) and vendor no-vulnerability certificate (para 106); ITSC every 6 months (Ch IV) or quarterly (Ch V)</w:t>
            </w:r>
          </w:p>
        </w:tc>
      </w:tr>
      <w:tr>
        <w:tc>
          <w:tcPr>
            <w:tcW w:w="2111" w:type="dxa"/>
          </w:tcPr>
          <w:p>
            <w:pPr>
              <w:pStyle w:val="Compact"/>
              <w:spacing w:after="40"/>
              <w:jc w:val="left"/>
            </w:pPr>
            <w:r>
              <w:rPr>
                <w:sz w:val="18"/>
              </w:rPr>
              <w:t xml:space="preserve">Digital payment security</w:t>
            </w:r>
          </w:p>
        </w:tc>
        <w:tc>
          <w:tcPr>
            <w:tcW w:w="3763" w:type="dxa"/>
          </w:tcPr>
          <w:p>
            <w:pPr>
              <w:pStyle w:val="Compact"/>
              <w:spacing w:after="40"/>
              <w:jc w:val="left"/>
            </w:pPr>
            <w:r>
              <w:rPr>
                <w:sz w:val="18"/>
              </w:rPr>
              <w:t xml:space="preserve">RBI (NBFC – Digital Payment Security Controls) Directions, 2026 (RBI/DoS/2026-27/462);</w:t>
            </w:r>
            <w:r>
              <w:rPr>
                <w:sz w:val="18"/>
              </w:rPr>
              <w:t xml:space="preserve"> </w:t>
            </w:r>
            <w:r>
              <w:rPr>
                <w:bCs/>
                <w:b/>
                <w:sz w:val="18"/>
              </w:rPr>
              <w:t xml:space="preserve">credit-card-issuing NBFCs only</w:t>
            </w:r>
          </w:p>
        </w:tc>
        <w:tc>
          <w:tcPr>
            <w:tcW w:w="3764" w:type="dxa"/>
          </w:tcPr>
          <w:p>
            <w:pPr>
              <w:pStyle w:val="Compact"/>
              <w:spacing w:after="40"/>
              <w:jc w:val="left"/>
            </w:pPr>
            <w:r>
              <w:rPr>
                <w:sz w:val="18"/>
              </w:rPr>
              <w:t xml:space="preserve">MFA with a dynamic factor (41); alerts on all debits and credits and on detail/limit changes (46); lockout (50–51); fraud rules (52–53); reconciliation within 24 hours (57); secure-usage guidance (58); in-app fraud flag (66); web and mobile controls (67–68); card data (69); VA/PT and escrow (31–32). Voluntary baseline for all other tenants</w:t>
            </w:r>
          </w:p>
        </w:tc>
      </w:tr>
      <w:tr>
        <w:tc>
          <w:tcPr>
            <w:tcW w:w="2111" w:type="dxa"/>
          </w:tcPr>
          <w:p>
            <w:pPr>
              <w:pStyle w:val="Compact"/>
              <w:spacing w:after="40"/>
              <w:jc w:val="left"/>
            </w:pPr>
            <w:r>
              <w:rPr>
                <w:sz w:val="18"/>
              </w:rPr>
              <w:t xml:space="preserve">Fraud</w:t>
            </w:r>
          </w:p>
        </w:tc>
        <w:tc>
          <w:tcPr>
            <w:tcW w:w="3763" w:type="dxa"/>
          </w:tcPr>
          <w:p>
            <w:pPr>
              <w:pStyle w:val="Compact"/>
              <w:spacing w:after="40"/>
              <w:jc w:val="left"/>
            </w:pPr>
            <w:r>
              <w:rPr>
                <w:sz w:val="18"/>
              </w:rPr>
              <w:t xml:space="preserve">RBI (NBFC – Fraud Risk Management) Directions, 2026 (31 Jul 2026; RBI/DoS/2026-27/463)</w:t>
            </w:r>
          </w:p>
        </w:tc>
        <w:tc>
          <w:tcPr>
            <w:tcW w:w="3764" w:type="dxa"/>
          </w:tcPr>
          <w:p>
            <w:pPr>
              <w:pStyle w:val="Compact"/>
              <w:spacing w:after="40"/>
              <w:jc w:val="left"/>
            </w:pPr>
            <w:r>
              <w:rPr>
                <w:sz w:val="18"/>
              </w:rPr>
              <w:t xml:space="preserve">Applies to UL, ML, and BL ≥ ₹500 crore; three dates (4); show-cause ≥ 21 days and reasoned order (6); SCBMF/CoE (8); EWS for UL/ML (13–23); debarment (35); law enforcement (40); FMR within 14 days (43); closure (50–52); legal audit ≥ ₹1 crore (53); transfer gate (54); RBR (57–58)</w:t>
            </w:r>
          </w:p>
        </w:tc>
      </w:tr>
      <w:tr>
        <w:tc>
          <w:tcPr>
            <w:tcW w:w="2111" w:type="dxa"/>
          </w:tcPr>
          <w:p>
            <w:pPr>
              <w:pStyle w:val="Compact"/>
              <w:spacing w:after="40"/>
              <w:jc w:val="left"/>
            </w:pPr>
            <w:r>
              <w:rPr>
                <w:sz w:val="18"/>
              </w:rPr>
              <w:t xml:space="preserve">Supervisory returns</w:t>
            </w:r>
          </w:p>
        </w:tc>
        <w:tc>
          <w:tcPr>
            <w:tcW w:w="3763" w:type="dxa"/>
          </w:tcPr>
          <w:p>
            <w:pPr>
              <w:pStyle w:val="Compact"/>
              <w:spacing w:after="40"/>
              <w:jc w:val="left"/>
            </w:pPr>
            <w:r>
              <w:rPr>
                <w:sz w:val="18"/>
              </w:rPr>
              <w:t xml:space="preserve">RBI (NBFC – Supervisory Returns) Directions, 2026 (31 Jul 2026; RBI/DoS/2026-27/466; HFCs excluded)</w:t>
            </w:r>
          </w:p>
        </w:tc>
        <w:tc>
          <w:tcPr>
            <w:tcW w:w="3764" w:type="dxa"/>
          </w:tcPr>
          <w:p>
            <w:pPr>
              <w:pStyle w:val="Compact"/>
              <w:spacing w:after="40"/>
              <w:jc w:val="left"/>
            </w:pPr>
            <w:r>
              <w:rPr>
                <w:sz w:val="18"/>
              </w:rPr>
              <w:t xml:space="preserve">Data-quality and aggregation governance, reconciliation to GL, recorded aggregation rules, DQ escalation, ad-hoc subsets (6–17); online-only filing with portal maker-checker (18–19); 20-item return catalogue (21; Part 8A.34); timelines and exceptions (22–23); new returns by notice (25)</w:t>
            </w:r>
          </w:p>
        </w:tc>
      </w:tr>
      <w:tr>
        <w:tc>
          <w:tcPr>
            <w:tcW w:w="2111" w:type="dxa"/>
          </w:tcPr>
          <w:p>
            <w:pPr>
              <w:pStyle w:val="Compact"/>
              <w:spacing w:after="40"/>
              <w:jc w:val="left"/>
            </w:pPr>
            <w:r>
              <w:rPr>
                <w:sz w:val="18"/>
              </w:rPr>
              <w:t xml:space="preserve">Compliance function</w:t>
            </w:r>
          </w:p>
        </w:tc>
        <w:tc>
          <w:tcPr>
            <w:tcW w:w="3763" w:type="dxa"/>
          </w:tcPr>
          <w:p>
            <w:pPr>
              <w:pStyle w:val="Compact"/>
              <w:spacing w:after="40"/>
              <w:jc w:val="left"/>
            </w:pPr>
            <w:r>
              <w:rPr>
                <w:sz w:val="18"/>
              </w:rPr>
              <w:t xml:space="preserve">RBI (NBFC – Compliance Function) Directions, 2026 (RBI/DoS/2026-27/460);</w:t>
            </w:r>
            <w:r>
              <w:rPr>
                <w:sz w:val="18"/>
              </w:rPr>
              <w:t xml:space="preserve"> </w:t>
            </w:r>
            <w:r>
              <w:rPr>
                <w:bCs/>
                <w:b/>
                <w:sz w:val="18"/>
              </w:rPr>
              <w:t xml:space="preserve">ML/UL only</w:t>
            </w:r>
          </w:p>
        </w:tc>
        <w:tc>
          <w:tcPr>
            <w:tcW w:w="3764" w:type="dxa"/>
          </w:tcPr>
          <w:p>
            <w:pPr>
              <w:pStyle w:val="Compact"/>
              <w:spacing w:after="40"/>
              <w:jc w:val="left"/>
            </w:pPr>
            <w:r>
              <w:rPr>
                <w:sz w:val="18"/>
              </w:rPr>
              <w:t xml:space="preserve">Annual compliance risk assessment and review (6–7); product/process approval (9(7), 31); 6-month monitoring (15(2)); compliance testing (15(3)); RMP/MAP tracker (15(4)); CCO tenure, SoD and SSM intimation (21–29); workflow tool with deviation approvals and unified dashboard (32). No CCO certification is prescribed here</w:t>
            </w:r>
          </w:p>
        </w:tc>
      </w:tr>
      <w:tr>
        <w:tc>
          <w:tcPr>
            <w:tcW w:w="2111" w:type="dxa"/>
          </w:tcPr>
          <w:p>
            <w:pPr>
              <w:pStyle w:val="Compact"/>
              <w:spacing w:after="40"/>
              <w:jc w:val="left"/>
            </w:pPr>
            <w:r>
              <w:rPr>
                <w:sz w:val="18"/>
              </w:rPr>
              <w:t xml:space="preserve">Governance</w:t>
            </w:r>
          </w:p>
        </w:tc>
        <w:tc>
          <w:tcPr>
            <w:tcW w:w="3763" w:type="dxa"/>
          </w:tcPr>
          <w:p>
            <w:pPr>
              <w:pStyle w:val="Compact"/>
              <w:spacing w:after="40"/>
              <w:jc w:val="left"/>
            </w:pPr>
            <w:r>
              <w:rPr>
                <w:sz w:val="18"/>
              </w:rPr>
              <w:t xml:space="preserve">RBI (NBFC – Governance) Directions, 2025 (RBI/DOR/2025-26/344)</w:t>
            </w:r>
          </w:p>
        </w:tc>
        <w:tc>
          <w:tcPr>
            <w:tcW w:w="3764" w:type="dxa"/>
          </w:tcPr>
          <w:p>
            <w:pPr>
              <w:pStyle w:val="Compact"/>
              <w:spacing w:after="40"/>
              <w:jc w:val="left"/>
            </w:pPr>
            <w:r>
              <w:rPr>
                <w:sz w:val="18"/>
              </w:rPr>
              <w:t xml:space="preserve">Bank/NBFC-experienced director (8); RMC (9); &gt;30% director change approval via PRAVAAH (10–11); F&amp;P policy, Annex II declarations, 31 March declaration, Annex III deed (12–13); quarterly change-of-directors statement + MD/CEO certificate within 15 days, March auditor-certified (14); ACB/NRC (17–18); CRO for assets &gt; ₹5,000 crore with product vetting and sanction-committee rules (19–24); KMP and independent-director directorship limits (26–27); whistle-blower (38); CG guidelines on website (40); UL independent-director exit report and listing (42–43)</w:t>
            </w:r>
          </w:p>
        </w:tc>
      </w:tr>
      <w:tr>
        <w:tc>
          <w:tcPr>
            <w:tcW w:w="2111" w:type="dxa"/>
          </w:tcPr>
          <w:p>
            <w:pPr>
              <w:pStyle w:val="Compact"/>
              <w:spacing w:after="40"/>
              <w:jc w:val="left"/>
            </w:pPr>
            <w:r>
              <w:rPr>
                <w:sz w:val="18"/>
              </w:rPr>
              <w:t xml:space="preserve">Operational risk</w:t>
            </w:r>
          </w:p>
        </w:tc>
        <w:tc>
          <w:tcPr>
            <w:tcW w:w="3763" w:type="dxa"/>
          </w:tcPr>
          <w:p>
            <w:pPr>
              <w:pStyle w:val="Compact"/>
              <w:spacing w:after="40"/>
              <w:jc w:val="left"/>
            </w:pPr>
            <w:r>
              <w:rPr>
                <w:sz w:val="18"/>
              </w:rPr>
              <w:t xml:space="preserve">RBI Guidance Note on Operational Risk Management and Operational Resilience (DOR.ORG.REC.301/14.10.001/2025-26, 28 Nov 2025; guidance, not a Direction)</w:t>
            </w:r>
          </w:p>
        </w:tc>
        <w:tc>
          <w:tcPr>
            <w:tcW w:w="3764" w:type="dxa"/>
          </w:tcPr>
          <w:p>
            <w:pPr>
              <w:pStyle w:val="Compact"/>
              <w:spacing w:after="40"/>
              <w:jc w:val="left"/>
            </w:pPr>
            <w:r>
              <w:rPr>
                <w:sz w:val="18"/>
              </w:rPr>
              <w:t xml:space="preserve">Three lines (12); ORMF taxonomy and control library (24); RCSA, loss-event dataset with three dates, KRIs, scenario analysis (42); Board-approved critical-operations criteria and impact tolerances, annually (31–33); dependency mapping (69–72); third-party register (74); BCP/RTO/RPO (78–82); incident severity and communication (85); lessons learned to the Board (101–102); disclosure policy (97)</w:t>
            </w:r>
          </w:p>
        </w:tc>
      </w:tr>
      <w:tr>
        <w:tc>
          <w:tcPr>
            <w:tcW w:w="2111" w:type="dxa"/>
          </w:tcPr>
          <w:p>
            <w:pPr>
              <w:pStyle w:val="Compact"/>
              <w:spacing w:after="40"/>
              <w:jc w:val="left"/>
            </w:pPr>
            <w:r>
              <w:rPr>
                <w:sz w:val="18"/>
              </w:rPr>
              <w:t xml:space="preserve">Auditor’s report</w:t>
            </w:r>
          </w:p>
        </w:tc>
        <w:tc>
          <w:tcPr>
            <w:tcW w:w="3763" w:type="dxa"/>
          </w:tcPr>
          <w:p>
            <w:pPr>
              <w:pStyle w:val="Compact"/>
              <w:spacing w:after="40"/>
              <w:jc w:val="left"/>
            </w:pPr>
            <w:r>
              <w:rPr>
                <w:sz w:val="18"/>
              </w:rPr>
              <w:t xml:space="preserve">RBI (NBFC – Auditor’s Report) Directions, 2026 (RBI/DoS/2026-27/468); FY ending on or after 31 Jul 2026; HFC auditors excluded</w:t>
            </w:r>
          </w:p>
        </w:tc>
        <w:tc>
          <w:tcPr>
            <w:tcW w:w="3764" w:type="dxa"/>
          </w:tcPr>
          <w:p>
            <w:pPr>
              <w:pStyle w:val="Compact"/>
              <w:spacing w:after="40"/>
              <w:jc w:val="left"/>
            </w:pPr>
            <w:r>
              <w:rPr>
                <w:sz w:val="18"/>
              </w:rPr>
              <w:t xml:space="preserve">Evidence packs for paras 6–8 (PBC, NOF, deposits, CRAR/DNBS03, IRACP, MFI classification); DNBS10 support; exception-report register (11)</w:t>
            </w:r>
          </w:p>
        </w:tc>
      </w:tr>
      <w:tr>
        <w:tc>
          <w:tcPr>
            <w:tcW w:w="2111" w:type="dxa"/>
          </w:tcPr>
          <w:p>
            <w:pPr>
              <w:pStyle w:val="Compact"/>
              <w:spacing w:after="40"/>
              <w:jc w:val="left"/>
            </w:pPr>
            <w:r>
              <w:rPr>
                <w:sz w:val="18"/>
              </w:rPr>
              <w:t xml:space="preserve">Grievances</w:t>
            </w:r>
          </w:p>
        </w:tc>
        <w:tc>
          <w:tcPr>
            <w:tcW w:w="3763" w:type="dxa"/>
          </w:tcPr>
          <w:p>
            <w:pPr>
              <w:pStyle w:val="Compact"/>
              <w:spacing w:after="40"/>
              <w:jc w:val="left"/>
            </w:pPr>
            <w:r>
              <w:rPr>
                <w:sz w:val="18"/>
              </w:rPr>
              <w:t xml:space="preserve">RBI (NBFC – Internal Ombudsman) Directions, 2026 (14 Jan 2026); Reserve Bank – Integrated Ombudsman Scheme, 2026 (RB-IOS 2026; effective 1 Jul 2026)</w:t>
            </w:r>
          </w:p>
        </w:tc>
        <w:tc>
          <w:tcPr>
            <w:tcW w:w="3764" w:type="dxa"/>
          </w:tcPr>
          <w:p>
            <w:pPr>
              <w:pStyle w:val="Compact"/>
              <w:spacing w:after="40"/>
              <w:jc w:val="left"/>
            </w:pPr>
            <w:r>
              <w:rPr>
                <w:sz w:val="18"/>
              </w:rPr>
              <w:t xml:space="preserve">M15</w:t>
            </w:r>
          </w:p>
        </w:tc>
      </w:tr>
      <w:tr>
        <w:tc>
          <w:tcPr>
            <w:tcW w:w="2111" w:type="dxa"/>
          </w:tcPr>
          <w:p>
            <w:pPr>
              <w:pStyle w:val="Compact"/>
              <w:spacing w:after="40"/>
              <w:jc w:val="left"/>
            </w:pPr>
            <w:r>
              <w:rPr>
                <w:sz w:val="18"/>
              </w:rPr>
              <w:t xml:space="preserve">Bank ECL (bank tenants)</w:t>
            </w:r>
          </w:p>
        </w:tc>
        <w:tc>
          <w:tcPr>
            <w:tcW w:w="3763" w:type="dxa"/>
          </w:tcPr>
          <w:p>
            <w:pPr>
              <w:pStyle w:val="Compact"/>
              <w:spacing w:after="40"/>
              <w:jc w:val="left"/>
            </w:pPr>
            <w:r>
              <w:rPr>
                <w:sz w:val="18"/>
              </w:rPr>
              <w:t xml:space="preserve">RBI (Commercial Banks – Asset Classification, Provisioning and Income Recognition) Directions, 2026 (effective 1 Apr 2027)</w:t>
            </w:r>
          </w:p>
        </w:tc>
        <w:tc>
          <w:tcPr>
            <w:tcW w:w="3764" w:type="dxa"/>
          </w:tcPr>
          <w:p>
            <w:pPr>
              <w:pStyle w:val="Compact"/>
              <w:spacing w:after="40"/>
              <w:jc w:val="left"/>
            </w:pPr>
            <w:r>
              <w:rPr>
                <w:sz w:val="18"/>
              </w:rPr>
              <w:t xml:space="preserve">Bank ECL engine</w:t>
            </w:r>
          </w:p>
        </w:tc>
      </w:tr>
      <w:tr>
        <w:tc>
          <w:tcPr>
            <w:tcW w:w="2111" w:type="dxa"/>
          </w:tcPr>
          <w:p>
            <w:pPr>
              <w:pStyle w:val="Compact"/>
              <w:spacing w:after="40"/>
              <w:jc w:val="left"/>
            </w:pPr>
            <w:r>
              <w:rPr>
                <w:sz w:val="18"/>
              </w:rPr>
              <w:t xml:space="preserve">Data protection</w:t>
            </w:r>
          </w:p>
        </w:tc>
        <w:tc>
          <w:tcPr>
            <w:tcW w:w="3763" w:type="dxa"/>
          </w:tcPr>
          <w:p>
            <w:pPr>
              <w:pStyle w:val="Compact"/>
              <w:spacing w:after="40"/>
              <w:jc w:val="left"/>
            </w:pPr>
            <w:r>
              <w:rPr>
                <w:sz w:val="18"/>
              </w:rPr>
              <w:t xml:space="preserve">Digital Personal Data Protection Act, 2023 and DPDP Rules, 2025 (notified Nov 2025; Consent Manager provisions from Nov 2026; most obligations from May 2027)</w:t>
            </w:r>
          </w:p>
        </w:tc>
        <w:tc>
          <w:tcPr>
            <w:tcW w:w="3764" w:type="dxa"/>
          </w:tcPr>
          <w:p>
            <w:pPr>
              <w:pStyle w:val="Compact"/>
              <w:spacing w:after="40"/>
              <w:jc w:val="left"/>
            </w:pPr>
            <w:r>
              <w:rPr>
                <w:sz w:val="18"/>
              </w:rPr>
              <w:t xml:space="preserve">Notice and itemised consent, withdrawal, consent-manager integration, breach intimation to the Board and affected principals without delay, then a detailed report to the Board within 72 hours, security safeguards, 1-year log retention, erasure when purpose ends unless law requires retention, data-principal rights within the prescribed time, retention-rules engine resolving conflicts with PMLA/RBI/CIC retention</w:t>
            </w:r>
          </w:p>
        </w:tc>
      </w:tr>
      <w:tr>
        <w:tc>
          <w:tcPr>
            <w:tcW w:w="2111" w:type="dxa"/>
          </w:tcPr>
          <w:p>
            <w:pPr>
              <w:pStyle w:val="Compact"/>
              <w:spacing w:after="40"/>
              <w:jc w:val="left"/>
            </w:pPr>
            <w:r>
              <w:rPr>
                <w:sz w:val="18"/>
              </w:rPr>
              <w:t xml:space="preserve">Aadhaar</w:t>
            </w:r>
          </w:p>
        </w:tc>
        <w:tc>
          <w:tcPr>
            <w:tcW w:w="3763" w:type="dxa"/>
          </w:tcPr>
          <w:p>
            <w:pPr>
              <w:pStyle w:val="Compact"/>
              <w:spacing w:after="40"/>
              <w:jc w:val="left"/>
            </w:pPr>
            <w:r>
              <w:rPr>
                <w:sz w:val="18"/>
              </w:rPr>
              <w:t xml:space="preserve">Aadhaar Act and Regulations; UIDAI Circular No. 14 of 2025 (Aadhaar Data Vault; supersedes Circular 8 of 2025)</w:t>
            </w:r>
          </w:p>
        </w:tc>
        <w:tc>
          <w:tcPr>
            <w:tcW w:w="3764" w:type="dxa"/>
          </w:tcPr>
          <w:p>
            <w:pPr>
              <w:pStyle w:val="Compact"/>
              <w:spacing w:after="40"/>
              <w:jc w:val="left"/>
            </w:pPr>
            <w:r>
              <w:rPr>
                <w:sz w:val="18"/>
              </w:rPr>
              <w:t xml:space="preserve">Vault hosted on-premises, on GCC, or as ADV-as-a-service; FIPS 140-2 L3+ HSM; reference keys; masking</w:t>
            </w:r>
          </w:p>
        </w:tc>
      </w:tr>
      <w:tr>
        <w:tc>
          <w:tcPr>
            <w:tcW w:w="2111" w:type="dxa"/>
          </w:tcPr>
          <w:p>
            <w:pPr>
              <w:pStyle w:val="Compact"/>
              <w:spacing w:after="40"/>
              <w:jc w:val="left"/>
            </w:pPr>
            <w:r>
              <w:rPr>
                <w:sz w:val="18"/>
              </w:rPr>
              <w:t xml:space="preserve">Electronic records</w:t>
            </w:r>
          </w:p>
        </w:tc>
        <w:tc>
          <w:tcPr>
            <w:tcW w:w="3763" w:type="dxa"/>
          </w:tcPr>
          <w:p>
            <w:pPr>
              <w:pStyle w:val="Compact"/>
              <w:spacing w:after="40"/>
              <w:jc w:val="left"/>
            </w:pPr>
            <w:r>
              <w:rPr>
                <w:sz w:val="18"/>
              </w:rPr>
              <w:t xml:space="preserve">Information Technology Act, 2000 (s.3A eSign, Second Schedule; the First Schedule excludes negotiable instruments other than cheques (for example DP notes), powers of attorney, trusts, wills, and contracts for the sale or conveyance of immovable property); state stamp Acts (e-stamping through SHCIL); NeSL DDE and IU under IBC s.215</w:t>
            </w:r>
          </w:p>
        </w:tc>
        <w:tc>
          <w:tcPr>
            <w:tcW w:w="3764" w:type="dxa"/>
          </w:tcPr>
          <w:p>
            <w:pPr>
              <w:pStyle w:val="Compact"/>
              <w:spacing w:after="40"/>
              <w:jc w:val="left"/>
            </w:pPr>
            <w:r>
              <w:rPr>
                <w:sz w:val="18"/>
              </w:rPr>
              <w:t xml:space="preserve">Signing evidence; physical paths for excluded instruments; stamp-duty by state</w:t>
            </w:r>
          </w:p>
        </w:tc>
      </w:tr>
      <w:tr>
        <w:tc>
          <w:tcPr>
            <w:tcW w:w="2111" w:type="dxa"/>
          </w:tcPr>
          <w:p>
            <w:pPr>
              <w:pStyle w:val="Compact"/>
              <w:spacing w:after="40"/>
              <w:jc w:val="left"/>
            </w:pPr>
            <w:r>
              <w:rPr>
                <w:sz w:val="18"/>
              </w:rPr>
              <w:t xml:space="preserve">Recovery law</w:t>
            </w:r>
          </w:p>
        </w:tc>
        <w:tc>
          <w:tcPr>
            <w:tcW w:w="3763" w:type="dxa"/>
          </w:tcPr>
          <w:p>
            <w:pPr>
              <w:pStyle w:val="Compact"/>
              <w:spacing w:after="40"/>
              <w:jc w:val="left"/>
            </w:pPr>
            <w:r>
              <w:rPr>
                <w:sz w:val="18"/>
              </w:rPr>
              <w:t xml:space="preserve">SARFAESI Act 2002 and Security Interest (Enforcement) Rules 2002 (NBFC eligibility: assets ≥ ₹100 crore and debt ≥ ₹20 lakh); NI Act s.138; Arbitration and Conciliation Act 1996; IBC 2016; Legal Services Authorities Act (Lok Adalat)</w:t>
            </w:r>
          </w:p>
        </w:tc>
        <w:tc>
          <w:tcPr>
            <w:tcW w:w="3764" w:type="dxa"/>
          </w:tcPr>
          <w:p>
            <w:pPr>
              <w:pStyle w:val="Compact"/>
              <w:spacing w:after="40"/>
              <w:jc w:val="left"/>
            </w:pPr>
            <w:r>
              <w:rPr>
                <w:sz w:val="18"/>
              </w:rPr>
              <w:t xml:space="preserve">M9 workflows</w:t>
            </w:r>
          </w:p>
        </w:tc>
      </w:tr>
      <w:tr>
        <w:tc>
          <w:tcPr>
            <w:tcW w:w="2111" w:type="dxa"/>
          </w:tcPr>
          <w:p>
            <w:pPr>
              <w:pStyle w:val="Compact"/>
              <w:spacing w:after="40"/>
              <w:jc w:val="left"/>
            </w:pPr>
            <w:r>
              <w:rPr>
                <w:sz w:val="18"/>
              </w:rPr>
              <w:t xml:space="preserve">Accounting</w:t>
            </w:r>
          </w:p>
        </w:tc>
        <w:tc>
          <w:tcPr>
            <w:tcW w:w="3763" w:type="dxa"/>
          </w:tcPr>
          <w:p>
            <w:pPr>
              <w:pStyle w:val="Compact"/>
              <w:spacing w:after="40"/>
              <w:jc w:val="left"/>
            </w:pPr>
            <w:r>
              <w:rPr>
                <w:sz w:val="18"/>
              </w:rPr>
              <w:t xml:space="preserve">Ind AS 109, 107, 115, 24 and others; Schedule III to the Companies Act, 2013 (Division III for Ind AS NBFCs; Division I otherwise); ICAI guidance</w:t>
            </w:r>
          </w:p>
        </w:tc>
        <w:tc>
          <w:tcPr>
            <w:tcW w:w="3764" w:type="dxa"/>
          </w:tcPr>
          <w:p>
            <w:pPr>
              <w:pStyle w:val="Compact"/>
              <w:spacing w:after="40"/>
              <w:jc w:val="left"/>
            </w:pPr>
            <w:r>
              <w:rPr>
                <w:sz w:val="18"/>
              </w:rPr>
              <w:t xml:space="preserve">M10</w:t>
            </w:r>
          </w:p>
        </w:tc>
      </w:tr>
      <w:tr>
        <w:tc>
          <w:tcPr>
            <w:tcW w:w="2111" w:type="dxa"/>
          </w:tcPr>
          <w:p>
            <w:pPr>
              <w:pStyle w:val="Compact"/>
              <w:spacing w:after="40"/>
              <w:jc w:val="left"/>
            </w:pPr>
            <w:r>
              <w:rPr>
                <w:sz w:val="18"/>
              </w:rPr>
              <w:t xml:space="preserve">AI</w:t>
            </w:r>
          </w:p>
        </w:tc>
        <w:tc>
          <w:tcPr>
            <w:tcW w:w="3763" w:type="dxa"/>
          </w:tcPr>
          <w:p>
            <w:pPr>
              <w:pStyle w:val="Compact"/>
              <w:spacing w:after="40"/>
              <w:jc w:val="left"/>
            </w:pPr>
            <w:r>
              <w:rPr>
                <w:sz w:val="18"/>
              </w:rPr>
              <w:t xml:space="preserve">RBI FREE-AI Framework (Aug 2025); draft Guidance on Model Risk Management (Jun 2026)</w:t>
            </w:r>
          </w:p>
        </w:tc>
        <w:tc>
          <w:tcPr>
            <w:tcW w:w="3764" w:type="dxa"/>
          </w:tcPr>
          <w:p>
            <w:pPr>
              <w:pStyle w:val="Compact"/>
              <w:spacing w:after="40"/>
              <w:jc w:val="left"/>
            </w:pPr>
            <w:r>
              <w:rPr>
                <w:sz w:val="18"/>
              </w:rPr>
              <w:t xml:space="preserve">M20 governance</w:t>
            </w:r>
          </w:p>
        </w:tc>
      </w:tr>
    </w:tbl>
    <w:p>
      <w:r>
        <w:pict>
          <v:rect style="width:0;height:1.5pt" o:hralign="center" o:hrstd="t" o:hr="t"/>
        </w:pict>
      </w:r>
    </w:p>
    <w:bookmarkEnd w:id="769"/>
    <w:bookmarkEnd w:id="770"/>
    <w:bookmarkStart w:id="829" w:name="X7e6530c9514628fcbc55fb454bfd6e9a634dfb6"/>
    <w:p>
      <w:pPr>
        <w:pStyle w:val="Heading1"/>
      </w:pPr>
      <w:r>
        <w:t xml:space="preserve">PART 8A — REQUIREMENTS FROM THE RBI DIRECTIONS SUPPLIED BY THE PROJECT OWNER (verified against the official text)</w:t>
      </w:r>
    </w:p>
    <w:bookmarkStart w:id="773" w:name="a.0-how-to-use-this-part"/>
    <w:p>
      <w:pPr>
        <w:pStyle w:val="Heading2"/>
      </w:pPr>
      <w:r>
        <w:t xml:space="preserve">8A.0 How to use this Part</w:t>
      </w:r>
    </w:p>
    <w:p>
      <w:pPr>
        <w:pStyle w:val="FirstParagraph"/>
      </w:pPr>
      <w:r>
        <w:t xml:space="preserve">The project owner supplied the official RBI PDFs for the 33 Directions and 1 guidance note listed in 8A.0.2 (15 in v1.2, 18 Directions and the ORM guidance note in v1.3). Each was read in full, and the paragraph citations in this Part come from that text. Sections 8A.1–8A.16 date from v1.2; 8A.17–8A.36 were added in v1.3.</w:t>
      </w:r>
    </w:p>
    <w:bookmarkStart w:id="771" w:name="a.0.1-rules-for-claude-code"/>
    <w:p>
      <w:pPr>
        <w:pStyle w:val="Heading3"/>
      </w:pPr>
      <w:r>
        <w:t xml:space="preserve">8A.0.1 Rules for Claude Code</w:t>
      </w:r>
    </w:p>
    <w:p>
      <w:pPr>
        <w:numPr>
          <w:ilvl w:val="0"/>
          <w:numId w:val="1605"/>
        </w:numPr>
        <w:pStyle w:val="Compact"/>
      </w:pPr>
      <w:r>
        <w:rPr>
          <w:bCs/>
          <w:b/>
        </w:rPr>
        <w:t xml:space="preserve">Store the source texts.</w:t>
      </w:r>
      <w:r>
        <w:t xml:space="preserve"> </w:t>
      </w:r>
      <w:r>
        <w:t xml:space="preserve">Save the supplied PDFs in the repository under</w:t>
      </w:r>
      <w:r>
        <w:t xml:space="preserve"> </w:t>
      </w:r>
      <w:r>
        <w:rPr>
          <w:rStyle w:val="VerbatimChar"/>
        </w:rPr>
        <w:t xml:space="preserve">docs/regulations/rbi/</w:t>
      </w:r>
      <w:r>
        <w:t xml:space="preserve"> </w:t>
      </w:r>
      <w:r>
        <w:t xml:space="preserve">(file name = RBI number, e.g. </w:t>
      </w:r>
      <w:r>
        <w:rPr>
          <w:rStyle w:val="VerbatimChar"/>
        </w:rPr>
        <w:t xml:space="preserve">RBI-DOR-2025-26-347.pdf</w:t>
      </w:r>
      <w:r>
        <w:t xml:space="preserve">). Record a SHA-256 hash and the</w:t>
      </w:r>
      <w:r>
        <w:t xml:space="preserve"> </w:t>
      </w:r>
      <w:r>
        <w:t xml:space="preserve">“</w:t>
      </w:r>
      <w:r>
        <w:t xml:space="preserve">updated as on</w:t>
      </w:r>
      <w:r>
        <w:t xml:space="preserve">”</w:t>
      </w:r>
      <w:r>
        <w:t xml:space="preserve"> </w:t>
      </w:r>
      <w:r>
        <w:t xml:space="preserve">date of each in</w:t>
      </w:r>
      <w:r>
        <w:t xml:space="preserve"> </w:t>
      </w:r>
      <w:r>
        <w:rPr>
          <w:rStyle w:val="VerbatimChar"/>
        </w:rPr>
        <w:t xml:space="preserve">docs/regulations/index.md</w:t>
      </w:r>
      <w:r>
        <w:t xml:space="preserve">.</w:t>
      </w:r>
    </w:p>
    <w:p>
      <w:pPr>
        <w:numPr>
          <w:ilvl w:val="0"/>
          <w:numId w:val="1605"/>
        </w:numPr>
        <w:pStyle w:val="Compact"/>
      </w:pPr>
      <w:r>
        <w:rPr>
          <w:bCs/>
          <w:b/>
        </w:rPr>
        <w:t xml:space="preserve">Give every requirement an ID.</w:t>
      </w:r>
      <w:r>
        <w:t xml:space="preserve"> </w:t>
      </w:r>
      <w:r>
        <w:t xml:space="preserve">Load each requirement below into the regulatory register (M14) with the ID format</w:t>
      </w:r>
      <w:r>
        <w:t xml:space="preserve"> </w:t>
      </w:r>
      <w:r>
        <w:rPr>
          <w:rStyle w:val="VerbatimChar"/>
        </w:rPr>
        <w:t xml:space="preserve">REQ-&lt;code&gt;-&lt;para&gt;</w:t>
      </w:r>
      <w:r>
        <w:t xml:space="preserve">, for example</w:t>
      </w:r>
      <w:r>
        <w:t xml:space="preserve"> </w:t>
      </w:r>
      <w:r>
        <w:rPr>
          <w:rStyle w:val="VerbatimChar"/>
        </w:rPr>
        <w:t xml:space="preserve">REQ-CF-10(1)</w:t>
      </w:r>
      <w:r>
        <w:t xml:space="preserve">,</w:t>
      </w:r>
      <w:r>
        <w:t xml:space="preserve"> </w:t>
      </w:r>
      <w:r>
        <w:rPr>
          <w:rStyle w:val="VerbatimChar"/>
        </w:rPr>
        <w:t xml:space="preserve">REQ-CIR-35(2)</w:t>
      </w:r>
      <w:r>
        <w:t xml:space="preserve"> </w:t>
      </w:r>
      <w:r>
        <w:t xml:space="preserve">or</w:t>
      </w:r>
      <w:r>
        <w:t xml:space="preserve"> </w:t>
      </w:r>
      <w:r>
        <w:rPr>
          <w:rStyle w:val="VerbatimChar"/>
        </w:rPr>
        <w:t xml:space="preserve">REQ-CYB-121</w:t>
      </w:r>
      <w:r>
        <w:t xml:space="preserve">.</w:t>
      </w:r>
    </w:p>
    <w:p>
      <w:pPr>
        <w:numPr>
          <w:ilvl w:val="1"/>
          <w:numId w:val="1606"/>
        </w:numPr>
        <w:pStyle w:val="Compact"/>
      </w:pPr>
      <w:r>
        <w:t xml:space="preserve">Codes: CF, CIR, CRM, CON, INV, BR, ALM, FS, CLM, AA, CMP, CYB, DPS, FRM, AUD (v1.2); IRACP, RSA, RBC, WD, KYC, TDCR, SEC, CAP, SBR, DIV, MISC, GOV, OUT, ORM, MFI, IAF, SA, SR, MSD (v1.3); from v1.5, codes for non-RBI law and standards and for later or non-NBFC RBI instruments are listed in Part 8A.37 (for example</w:t>
      </w:r>
      <w:r>
        <w:t xml:space="preserve"> </w:t>
      </w:r>
      <w:r>
        <w:rPr>
          <w:rStyle w:val="VerbatimChar"/>
        </w:rPr>
        <w:t xml:space="preserve">REQ-CA13-173(1)</w:t>
      </w:r>
      <w:r>
        <w:t xml:space="preserve">,</w:t>
      </w:r>
      <w:r>
        <w:t xml:space="preserve"> </w:t>
      </w:r>
      <w:r>
        <w:rPr>
          <w:rStyle w:val="VerbatimChar"/>
        </w:rPr>
        <w:t xml:space="preserve">REQ-ICSI-SS1-7</w:t>
      </w:r>
      <w:r>
        <w:t xml:space="preserve">,</w:t>
      </w:r>
      <w:r>
        <w:t xml:space="preserve"> </w:t>
      </w:r>
      <w:r>
        <w:rPr>
          <w:rStyle w:val="VerbatimChar"/>
        </w:rPr>
        <w:t xml:space="preserve">REQ-LC-CoW-17(2)</w:t>
      </w:r>
      <w:r>
        <w:t xml:space="preserve">,</w:t>
      </w:r>
      <w:r>
        <w:t xml:space="preserve"> </w:t>
      </w:r>
      <w:r>
        <w:rPr>
          <w:rStyle w:val="VerbatimChar"/>
        </w:rPr>
        <w:t xml:space="preserve">REQ-ITA25-393</w:t>
      </w:r>
      <w:r>
        <w:t xml:space="preserve">,</w:t>
      </w:r>
      <w:r>
        <w:t xml:space="preserve"> </w:t>
      </w:r>
      <w:r>
        <w:rPr>
          <w:rStyle w:val="VerbatimChar"/>
        </w:rPr>
        <w:t xml:space="preserve">REQ-CB-IA-3</w:t>
      </w:r>
      <w:r>
        <w:t xml:space="preserve">,</w:t>
      </w:r>
      <w:r>
        <w:t xml:space="preserve"> </w:t>
      </w:r>
      <w:r>
        <w:rPr>
          <w:rStyle w:val="VerbatimChar"/>
        </w:rPr>
        <w:t xml:space="preserve">REQ-RBIOS26-10</w:t>
      </w:r>
      <w:r>
        <w:t xml:space="preserve">).</w:t>
      </w:r>
    </w:p>
    <w:p>
      <w:pPr>
        <w:numPr>
          <w:ilvl w:val="1"/>
          <w:numId w:val="1606"/>
        </w:numPr>
        <w:pStyle w:val="Compact"/>
      </w:pPr>
      <w:r>
        <w:t xml:space="preserve">ORM is a guidance note, not a Direction. Its IDs (</w:t>
      </w:r>
      <w:r>
        <w:rPr>
          <w:rStyle w:val="VerbatimChar"/>
        </w:rPr>
        <w:t xml:space="preserve">REQ-ORM-&lt;para&gt;</w:t>
      </w:r>
      <w:r>
        <w:t xml:space="preserve">) carry the register strength flag</w:t>
      </w:r>
      <w:r>
        <w:t xml:space="preserve"> </w:t>
      </w:r>
      <w:r>
        <w:t xml:space="preserve">“</w:t>
      </w:r>
      <w:r>
        <w:t xml:space="preserve">guidance</w:t>
      </w:r>
      <w:r>
        <w:t xml:space="preserve">”</w:t>
      </w:r>
      <w:r>
        <w:t xml:space="preserve"> </w:t>
      </w:r>
      <w:r>
        <w:t xml:space="preserve">and are never reported as statutory breaches.</w:t>
      </w:r>
    </w:p>
    <w:p>
      <w:pPr>
        <w:numPr>
          <w:ilvl w:val="1"/>
          <w:numId w:val="1606"/>
        </w:numPr>
        <w:pStyle w:val="Compact"/>
      </w:pPr>
      <w:r>
        <w:t xml:space="preserve">MISC (DOR Miscellaneous Directions 373) and MSD (DoS Miscellaneous Supervisory Directions 467) are separate instruments; keep them apart.</w:t>
      </w:r>
    </w:p>
    <w:p>
      <w:pPr>
        <w:numPr>
          <w:ilvl w:val="1"/>
          <w:numId w:val="1606"/>
        </w:numPr>
        <w:pStyle w:val="Compact"/>
      </w:pPr>
      <w:r>
        <w:t xml:space="preserve">Every rule pack, control test and golden test must reference these IDs.</w:t>
      </w:r>
    </w:p>
    <w:p>
      <w:pPr>
        <w:numPr>
          <w:ilvl w:val="0"/>
          <w:numId w:val="1605"/>
        </w:numPr>
        <w:pStyle w:val="Compact"/>
      </w:pPr>
      <w:r>
        <w:rPr>
          <w:bCs/>
          <w:b/>
        </w:rPr>
        <w:t xml:space="preserve">Status of [VERIFY] items.</w:t>
      </w:r>
    </w:p>
    <w:p>
      <w:pPr>
        <w:numPr>
          <w:ilvl w:val="1"/>
          <w:numId w:val="1607"/>
        </w:numPr>
        <w:pStyle w:val="Compact"/>
      </w:pPr>
      <w:r>
        <w:t xml:space="preserve">These paragraphs are</w:t>
      </w:r>
      <w:r>
        <w:t xml:space="preserve"> </w:t>
      </w:r>
      <w:r>
        <w:rPr>
          <w:bCs/>
          <w:b/>
        </w:rPr>
        <w:t xml:space="preserve">verified</w:t>
      </w:r>
      <w:r>
        <w:t xml:space="preserve"> </w:t>
      </w:r>
      <w:r>
        <w:t xml:space="preserve">for the copies supplied.</w:t>
      </w:r>
    </w:p>
    <w:p>
      <w:pPr>
        <w:numPr>
          <w:ilvl w:val="1"/>
          <w:numId w:val="1607"/>
        </w:numPr>
        <w:pStyle w:val="Compact"/>
      </w:pPr>
      <w:r>
        <w:t xml:space="preserve">Remove any [VERIFY] elsewhere in this prompt that a citation here resolves.</w:t>
      </w:r>
    </w:p>
    <w:p>
      <w:pPr>
        <w:numPr>
          <w:ilvl w:val="1"/>
          <w:numId w:val="1607"/>
        </w:numPr>
        <w:pStyle w:val="Compact"/>
      </w:pPr>
      <w:r>
        <w:rPr>
          <w:bCs/>
          <w:b/>
        </w:rPr>
        <w:t xml:space="preserve">Do not</w:t>
      </w:r>
      <w:r>
        <w:t xml:space="preserve"> </w:t>
      </w:r>
      <w:r>
        <w:t xml:space="preserve">treat amendments issued after a copy’s</w:t>
      </w:r>
      <w:r>
        <w:t xml:space="preserve"> </w:t>
      </w:r>
      <w:r>
        <w:t xml:space="preserve">“</w:t>
      </w:r>
      <w:r>
        <w:t xml:space="preserve">updated as on</w:t>
      </w:r>
      <w:r>
        <w:t xml:space="preserve">”</w:t>
      </w:r>
      <w:r>
        <w:t xml:space="preserve"> </w:t>
      </w:r>
      <w:r>
        <w:t xml:space="preserve">date as verified; check them separately.</w:t>
      </w:r>
    </w:p>
    <w:p>
      <w:pPr>
        <w:numPr>
          <w:ilvl w:val="0"/>
          <w:numId w:val="1605"/>
        </w:numPr>
        <w:pStyle w:val="Compact"/>
      </w:pPr>
      <w:r>
        <w:rPr>
          <w:bCs/>
          <w:b/>
        </w:rPr>
        <w:t xml:space="preserve">More Directions will follow.</w:t>
      </w:r>
      <w:r>
        <w:t xml:space="preserve"> </w:t>
      </w:r>
      <w:r>
        <w:t xml:space="preserve">Still to be supplied: the HFC Directions; the Internal Ombudsman Directions and RB-IOS 2026; the repeal circular DoS.CO.PPG.66/11.01.005/2026-27; the RBC Second and Third Amendment Directions, 2026; a later SBR copy (the supplied 339 copy does not contain the ₹1 lakh crore UL threshold or the</w:t>
      </w:r>
      <w:r>
        <w:t xml:space="preserve"> </w:t>
      </w:r>
      <w:r>
        <w:t xml:space="preserve">“</w:t>
      </w:r>
      <w:r>
        <w:t xml:space="preserve">Type I NBFC</w:t>
      </w:r>
      <w:r>
        <w:t xml:space="preserve">”</w:t>
      </w:r>
      <w:r>
        <w:t xml:space="preserve"> </w:t>
      </w:r>
      <w:r>
        <w:t xml:space="preserve">category). Add each one to this Part in the same format.</w:t>
      </w:r>
    </w:p>
    <w:p>
      <w:pPr>
        <w:numPr>
          <w:ilvl w:val="0"/>
          <w:numId w:val="1605"/>
        </w:numPr>
        <w:pStyle w:val="Compact"/>
      </w:pPr>
      <w:r>
        <w:rPr>
          <w:bCs/>
          <w:b/>
        </w:rPr>
        <w:t xml:space="preserve">Drafting slips.</w:t>
      </w:r>
      <w:r>
        <w:t xml:space="preserve"> </w:t>
      </w:r>
      <w:r>
        <w:t xml:space="preserve">Where the official text contains a drafting slip, implement the evident intent, document the slip in</w:t>
      </w:r>
      <w:r>
        <w:t xml:space="preserve"> </w:t>
      </w:r>
      <w:r>
        <w:rPr>
          <w:rStyle w:val="VerbatimChar"/>
        </w:rPr>
        <w:t xml:space="preserve">docs/regulations/errata.md</w:t>
      </w:r>
      <w:r>
        <w:t xml:space="preserve">, and never</w:t>
      </w:r>
      <w:r>
        <w:t xml:space="preserve"> </w:t>
      </w:r>
      <w:r>
        <w:t xml:space="preserve">“</w:t>
      </w:r>
      <w:r>
        <w:t xml:space="preserve">fix</w:t>
      </w:r>
      <w:r>
        <w:t xml:space="preserve">”</w:t>
      </w:r>
      <w:r>
        <w:t xml:space="preserve"> </w:t>
      </w:r>
      <w:r>
        <w:t xml:space="preserve">it silently in code. Appendix F lists every slip found so far; seed</w:t>
      </w:r>
      <w:r>
        <w:t xml:space="preserve"> </w:t>
      </w:r>
      <w:r>
        <w:rPr>
          <w:rStyle w:val="VerbatimChar"/>
        </w:rPr>
        <w:t xml:space="preserve">errata.md</w:t>
      </w:r>
      <w:r>
        <w:t xml:space="preserve"> </w:t>
      </w:r>
      <w:r>
        <w:t xml:space="preserve">from it. Examples:</w:t>
      </w:r>
    </w:p>
    <w:p>
      <w:pPr>
        <w:numPr>
          <w:ilvl w:val="1"/>
          <w:numId w:val="1608"/>
        </w:numPr>
        <w:pStyle w:val="Compact"/>
      </w:pPr>
      <w:r>
        <w:t xml:space="preserve">CF definition 4(1)(xix) refers to</w:t>
      </w:r>
      <w:r>
        <w:t xml:space="preserve"> </w:t>
      </w:r>
      <w:r>
        <w:t xml:space="preserve">“</w:t>
      </w:r>
      <w:r>
        <w:t xml:space="preserve">Chapter IV</w:t>
      </w:r>
      <w:r>
        <w:t xml:space="preserve">”</w:t>
      </w:r>
      <w:r>
        <w:t xml:space="preserve"> </w:t>
      </w:r>
      <w:r>
        <w:t xml:space="preserve">for LSPs; digital lending is Chapter III.</w:t>
      </w:r>
    </w:p>
    <w:p>
      <w:pPr>
        <w:numPr>
          <w:ilvl w:val="1"/>
          <w:numId w:val="1608"/>
        </w:numPr>
        <w:pStyle w:val="Compact"/>
      </w:pPr>
      <w:r>
        <w:t xml:space="preserve">CF definitions (xxiii) and (xxiv) refer to</w:t>
      </w:r>
      <w:r>
        <w:t xml:space="preserve"> </w:t>
      </w:r>
      <w:r>
        <w:t xml:space="preserve">“</w:t>
      </w:r>
      <w:r>
        <w:t xml:space="preserve">Chapter VII</w:t>
      </w:r>
      <w:r>
        <w:t xml:space="preserve">”</w:t>
      </w:r>
      <w:r>
        <w:t xml:space="preserve"> </w:t>
      </w:r>
      <w:r>
        <w:t xml:space="preserve">for project finance; it is Chapter VI.</w:t>
      </w:r>
    </w:p>
    <w:p>
      <w:pPr>
        <w:numPr>
          <w:ilvl w:val="1"/>
          <w:numId w:val="1608"/>
        </w:numPr>
        <w:pStyle w:val="Compact"/>
      </w:pPr>
      <w:r>
        <w:t xml:space="preserve">The FS Directions restart numbering after para 21.</w:t>
      </w:r>
    </w:p>
    <w:p>
      <w:pPr>
        <w:numPr>
          <w:ilvl w:val="1"/>
          <w:numId w:val="1608"/>
        </w:numPr>
        <w:pStyle w:val="Compact"/>
      </w:pPr>
      <w:r>
        <w:t xml:space="preserve">The CIR Annex I state catalogue is misaligned.</w:t>
      </w:r>
    </w:p>
    <w:bookmarkEnd w:id="771"/>
    <w:bookmarkStart w:id="772" w:name="a.0.2-directions-and-guidance-covered"/>
    <w:p>
      <w:pPr>
        <w:pStyle w:val="Heading3"/>
      </w:pPr>
      <w:r>
        <w:t xml:space="preserve">8A.0.2 Directions and guidance covered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582"/>
        <w:gridCol w:w="1755"/>
        <w:gridCol w:w="1513"/>
        <w:gridCol w:w="3154"/>
        <w:gridCol w:w="2634"/>
      </w:tblGrid>
      <w:tr>
        <w:trPr>
          <w:tblHeader w:val="true"/>
          <w:tblHeader w:val="true"/>
        </w:trPr>
        <w:tc>
          <w:tcPr>
            <w:tcW w:w="582" w:type="dxa"/>
            <w:shd w:val="clear" w:color="auto" w:fill="1F3A5F"/>
          </w:tcPr>
          <w:p>
            <w:pPr>
              <w:pStyle w:val="Compact"/>
              <w:spacing w:after="40"/>
              <w:jc w:val="left"/>
            </w:pPr>
            <w:r>
              <w:rPr>
                <w:b/>
                <w:color w:val="FFFFFF"/>
                <w:sz w:val="18"/>
              </w:rPr>
              <w:t xml:space="preserve">Code</w:t>
            </w:r>
          </w:p>
        </w:tc>
        <w:tc>
          <w:tcPr>
            <w:tcW w:w="1755" w:type="dxa"/>
            <w:shd w:val="clear" w:color="auto" w:fill="1F3A5F"/>
          </w:tcPr>
          <w:p>
            <w:pPr>
              <w:pStyle w:val="Compact"/>
              <w:spacing w:after="40"/>
              <w:jc w:val="left"/>
            </w:pPr>
            <w:r>
              <w:rPr>
                <w:b/>
                <w:color w:val="FFFFFF"/>
                <w:sz w:val="18"/>
              </w:rPr>
              <w:t xml:space="preserve">Direction (all</w:t>
            </w:r>
            <w:r>
              <w:rPr>
                <w:b/>
                <w:color w:val="FFFFFF"/>
                <w:sz w:val="18"/>
              </w:rPr>
              <w:t xml:space="preserve"> </w:t>
            </w:r>
            <w:r>
              <w:rPr>
                <w:b/>
                <w:color w:val="FFFFFF"/>
                <w:sz w:val="18"/>
              </w:rPr>
              <w:t xml:space="preserve">“</w:t>
            </w:r>
            <w:r>
              <w:rPr>
                <w:b/>
                <w:color w:val="FFFFFF"/>
                <w:sz w:val="18"/>
              </w:rPr>
              <w:t xml:space="preserve">Reserve Bank of India (Non-Banking Financial Companies – …) Directions</w:t>
            </w:r>
            <w:r>
              <w:rPr>
                <w:b/>
                <w:color w:val="FFFFFF"/>
                <w:sz w:val="18"/>
              </w:rPr>
              <w:t xml:space="preserve">”</w:t>
            </w:r>
            <w:r>
              <w:rPr>
                <w:b/>
                <w:color w:val="FFFFFF"/>
                <w:sz w:val="18"/>
              </w:rPr>
              <w:t xml:space="preserve">)</w:t>
            </w:r>
          </w:p>
        </w:tc>
        <w:tc>
          <w:tcPr>
            <w:tcW w:w="1513" w:type="dxa"/>
            <w:shd w:val="clear" w:color="auto" w:fill="1F3A5F"/>
          </w:tcPr>
          <w:p>
            <w:pPr>
              <w:pStyle w:val="Compact"/>
              <w:spacing w:after="40"/>
              <w:jc w:val="left"/>
            </w:pPr>
            <w:r>
              <w:rPr>
                <w:b/>
                <w:color w:val="FFFFFF"/>
                <w:sz w:val="18"/>
              </w:rPr>
              <w:t xml:space="preserve">RBI number and reference</w:t>
            </w:r>
          </w:p>
        </w:tc>
        <w:tc>
          <w:tcPr>
            <w:tcW w:w="3154" w:type="dxa"/>
            <w:shd w:val="clear" w:color="auto" w:fill="1F3A5F"/>
          </w:tcPr>
          <w:p>
            <w:pPr>
              <w:pStyle w:val="Compact"/>
              <w:spacing w:after="40"/>
              <w:jc w:val="left"/>
            </w:pPr>
            <w:r>
              <w:rPr>
                <w:b/>
                <w:color w:val="FFFFFF"/>
                <w:sz w:val="18"/>
              </w:rPr>
              <w:t xml:space="preserve">Date / version supplied</w:t>
            </w:r>
          </w:p>
        </w:tc>
        <w:tc>
          <w:tcPr>
            <w:tcW w:w="2634" w:type="dxa"/>
            <w:shd w:val="clear" w:color="auto" w:fill="1F3A5F"/>
          </w:tcPr>
          <w:p>
            <w:pPr>
              <w:pStyle w:val="Compact"/>
              <w:spacing w:after="40"/>
              <w:jc w:val="left"/>
            </w:pPr>
            <w:r>
              <w:rPr>
                <w:b/>
                <w:color w:val="FFFFFF"/>
                <w:sz w:val="18"/>
              </w:rPr>
              <w:t xml:space="preserve">Applies to (summary)</w:t>
            </w:r>
          </w:p>
        </w:tc>
      </w:tr>
      <w:tr>
        <w:tc>
          <w:tcPr>
            <w:tcW w:w="582" w:type="dxa"/>
          </w:tcPr>
          <w:p>
            <w:pPr>
              <w:pStyle w:val="Compact"/>
              <w:spacing w:after="40"/>
              <w:jc w:val="left"/>
            </w:pPr>
            <w:r>
              <w:rPr>
                <w:sz w:val="18"/>
              </w:rPr>
              <w:t xml:space="preserve">CF</w:t>
            </w:r>
          </w:p>
        </w:tc>
        <w:tc>
          <w:tcPr>
            <w:tcW w:w="1755" w:type="dxa"/>
          </w:tcPr>
          <w:p>
            <w:pPr>
              <w:pStyle w:val="Compact"/>
              <w:spacing w:after="40"/>
              <w:jc w:val="left"/>
            </w:pPr>
            <w:r>
              <w:rPr>
                <w:sz w:val="18"/>
              </w:rPr>
              <w:t xml:space="preserve">Credit Facilities, 2025</w:t>
            </w:r>
          </w:p>
        </w:tc>
        <w:tc>
          <w:tcPr>
            <w:tcW w:w="1513" w:type="dxa"/>
          </w:tcPr>
          <w:p>
            <w:pPr>
              <w:pStyle w:val="Compact"/>
              <w:spacing w:after="40"/>
              <w:jc w:val="left"/>
            </w:pPr>
            <w:r>
              <w:rPr>
                <w:sz w:val="18"/>
              </w:rPr>
              <w:t xml:space="preserve">RBI/DOR/2025-26/347; DOR.CRE.REC.No.266/07-01-008/2025-26</w:t>
            </w:r>
          </w:p>
        </w:tc>
        <w:tc>
          <w:tcPr>
            <w:tcW w:w="3154" w:type="dxa"/>
          </w:tcPr>
          <w:p>
            <w:pPr>
              <w:pStyle w:val="Compact"/>
              <w:spacing w:after="40"/>
              <w:jc w:val="left"/>
            </w:pPr>
            <w:r>
              <w:rPr>
                <w:sz w:val="18"/>
              </w:rPr>
              <w:t xml:space="preserve">28 Nov 2025, updated as on 1 Apr 2026</w:t>
            </w:r>
          </w:p>
        </w:tc>
        <w:tc>
          <w:tcPr>
            <w:tcW w:w="2634" w:type="dxa"/>
          </w:tcPr>
          <w:p>
            <w:pPr>
              <w:pStyle w:val="Compact"/>
              <w:spacing w:after="40"/>
              <w:jc w:val="left"/>
            </w:pPr>
            <w:r>
              <w:rPr>
                <w:sz w:val="18"/>
              </w:rPr>
              <w:t xml:space="preserve">NBFC-D, ICC, Factor, MFI, IFC, IDF-NBFC and</w:t>
            </w:r>
            <w:r>
              <w:rPr>
                <w:sz w:val="18"/>
              </w:rPr>
              <w:t xml:space="preserve"> </w:t>
            </w:r>
            <w:r>
              <w:rPr>
                <w:bCs/>
                <w:b/>
                <w:sz w:val="18"/>
              </w:rPr>
              <w:t xml:space="preserve">HFCs</w:t>
            </w:r>
            <w:r>
              <w:rPr>
                <w:sz w:val="18"/>
              </w:rPr>
              <w:t xml:space="preserve"> </w:t>
            </w:r>
            <w:r>
              <w:rPr>
                <w:sz w:val="18"/>
              </w:rPr>
              <w:t xml:space="preserve">(para 3(1)); partial for BL with customer interface but no public funds, CICs, P2P (para 3(2))</w:t>
            </w:r>
          </w:p>
        </w:tc>
      </w:tr>
      <w:tr>
        <w:tc>
          <w:tcPr>
            <w:tcW w:w="582" w:type="dxa"/>
          </w:tcPr>
          <w:p>
            <w:pPr>
              <w:pStyle w:val="Compact"/>
              <w:spacing w:after="40"/>
              <w:jc w:val="left"/>
            </w:pPr>
            <w:r>
              <w:rPr>
                <w:sz w:val="18"/>
              </w:rPr>
              <w:t xml:space="preserve">CIR</w:t>
            </w:r>
          </w:p>
        </w:tc>
        <w:tc>
          <w:tcPr>
            <w:tcW w:w="1755" w:type="dxa"/>
          </w:tcPr>
          <w:p>
            <w:pPr>
              <w:pStyle w:val="Compact"/>
              <w:spacing w:after="40"/>
              <w:jc w:val="left"/>
            </w:pPr>
            <w:r>
              <w:rPr>
                <w:sz w:val="18"/>
              </w:rPr>
              <w:t xml:space="preserve">Credit Information Reporting, 2025</w:t>
            </w:r>
          </w:p>
        </w:tc>
        <w:tc>
          <w:tcPr>
            <w:tcW w:w="1513" w:type="dxa"/>
          </w:tcPr>
          <w:p>
            <w:pPr>
              <w:pStyle w:val="Compact"/>
              <w:spacing w:after="40"/>
              <w:jc w:val="left"/>
            </w:pPr>
            <w:r>
              <w:rPr>
                <w:sz w:val="18"/>
              </w:rPr>
              <w:t xml:space="preserve">RBI/DOR/2025-26/349; DOR.FIN.REC.No.268/20.16.056/2025-26</w:t>
            </w:r>
          </w:p>
        </w:tc>
        <w:tc>
          <w:tcPr>
            <w:tcW w:w="3154" w:type="dxa"/>
          </w:tcPr>
          <w:p>
            <w:pPr>
              <w:pStyle w:val="Compact"/>
              <w:spacing w:after="40"/>
              <w:jc w:val="left"/>
            </w:pPr>
            <w:r>
              <w:rPr>
                <w:sz w:val="18"/>
              </w:rPr>
              <w:t xml:space="preserve">28 Nov 2025 (original text). Amended by RBI/DOR/2025-26/117 (DOR.FIN.REC.No.324/20.16.056/2025-26, 4 Dec 2025, effective 1 Jul 2026), which substitutes paras 10(2) and 15, inserts para 12(10) and adds Annex VI; the amendment is not in the supplied copy</w:t>
            </w:r>
          </w:p>
        </w:tc>
        <w:tc>
          <w:tcPr>
            <w:tcW w:w="2634" w:type="dxa"/>
          </w:tcPr>
          <w:p>
            <w:pPr>
              <w:pStyle w:val="Compact"/>
              <w:spacing w:after="40"/>
              <w:jc w:val="left"/>
            </w:pPr>
            <w:r>
              <w:rPr>
                <w:sz w:val="18"/>
              </w:rPr>
              <w:t xml:space="preserve">All lending NBFCs including HFC, P2P and CIC; not MGC, AA, SPD, NOFHC, or NBFCs without customer interface (para 3)</w:t>
            </w:r>
          </w:p>
        </w:tc>
      </w:tr>
      <w:tr>
        <w:tc>
          <w:tcPr>
            <w:tcW w:w="582" w:type="dxa"/>
          </w:tcPr>
          <w:p>
            <w:pPr>
              <w:pStyle w:val="Compact"/>
              <w:spacing w:after="40"/>
              <w:jc w:val="left"/>
            </w:pPr>
            <w:r>
              <w:rPr>
                <w:sz w:val="18"/>
              </w:rPr>
              <w:t xml:space="preserve">CRM</w:t>
            </w:r>
          </w:p>
        </w:tc>
        <w:tc>
          <w:tcPr>
            <w:tcW w:w="1755" w:type="dxa"/>
          </w:tcPr>
          <w:p>
            <w:pPr>
              <w:pStyle w:val="Compact"/>
              <w:spacing w:after="40"/>
              <w:jc w:val="left"/>
            </w:pPr>
            <w:r>
              <w:rPr>
                <w:sz w:val="18"/>
              </w:rPr>
              <w:t xml:space="preserve">Credit Risk Management, 2025</w:t>
            </w:r>
          </w:p>
        </w:tc>
        <w:tc>
          <w:tcPr>
            <w:tcW w:w="1513" w:type="dxa"/>
          </w:tcPr>
          <w:p>
            <w:pPr>
              <w:pStyle w:val="Compact"/>
              <w:spacing w:after="40"/>
              <w:jc w:val="left"/>
            </w:pPr>
            <w:r>
              <w:rPr>
                <w:sz w:val="18"/>
              </w:rPr>
              <w:t xml:space="preserve">RBI/DOR/2025-26/350; DOR.CRE.REC.No.269/07-02-008/2025-26</w:t>
            </w:r>
          </w:p>
        </w:tc>
        <w:tc>
          <w:tcPr>
            <w:tcW w:w="3154" w:type="dxa"/>
          </w:tcPr>
          <w:p>
            <w:pPr>
              <w:pStyle w:val="Compact"/>
              <w:spacing w:after="40"/>
              <w:jc w:val="left"/>
            </w:pPr>
            <w:r>
              <w:rPr>
                <w:sz w:val="18"/>
              </w:rPr>
              <w:t xml:space="preserve">28 Nov 2025, updated as on 1 Apr 2026 (Amendment of 5 Jan 2026)</w:t>
            </w:r>
          </w:p>
        </w:tc>
        <w:tc>
          <w:tcPr>
            <w:tcW w:w="2634" w:type="dxa"/>
          </w:tcPr>
          <w:p>
            <w:pPr>
              <w:pStyle w:val="Compact"/>
              <w:spacing w:after="40"/>
              <w:jc w:val="left"/>
            </w:pPr>
            <w:r>
              <w:rPr>
                <w:sz w:val="18"/>
              </w:rPr>
              <w:t xml:space="preserve">NBFC-D, ICC, Factor, MFI, IFC, IDF, HFC; paras 6–8 only for</w:t>
            </w:r>
            <w:r>
              <w:rPr>
                <w:sz w:val="18"/>
              </w:rPr>
              <w:t xml:space="preserve"> </w:t>
            </w:r>
            <w:r>
              <w:rPr>
                <w:sz w:val="18"/>
              </w:rPr>
              <w:t xml:space="preserve">“</w:t>
            </w:r>
            <w:r>
              <w:rPr>
                <w:sz w:val="18"/>
              </w:rPr>
              <w:t xml:space="preserve">Notified NBFCs</w:t>
            </w:r>
            <w:r>
              <w:rPr>
                <w:sz w:val="18"/>
              </w:rPr>
              <w:t xml:space="preserve">”</w:t>
            </w:r>
            <w:r>
              <w:rPr>
                <w:sz w:val="18"/>
              </w:rPr>
              <w:t xml:space="preserve"> </w:t>
            </w:r>
            <w:r>
              <w:rPr>
                <w:sz w:val="18"/>
              </w:rPr>
              <w:t xml:space="preserve">(NBFC-Factor, NBFC-D, non-deposit NBFCs ≥ ₹500 crore)</w:t>
            </w:r>
          </w:p>
        </w:tc>
      </w:tr>
      <w:tr>
        <w:tc>
          <w:tcPr>
            <w:tcW w:w="582" w:type="dxa"/>
          </w:tcPr>
          <w:p>
            <w:pPr>
              <w:pStyle w:val="Compact"/>
              <w:spacing w:after="40"/>
              <w:jc w:val="left"/>
            </w:pPr>
            <w:r>
              <w:rPr>
                <w:sz w:val="18"/>
              </w:rPr>
              <w:t xml:space="preserve">CON</w:t>
            </w:r>
          </w:p>
        </w:tc>
        <w:tc>
          <w:tcPr>
            <w:tcW w:w="1755" w:type="dxa"/>
          </w:tcPr>
          <w:p>
            <w:pPr>
              <w:pStyle w:val="Compact"/>
              <w:spacing w:after="40"/>
              <w:jc w:val="left"/>
            </w:pPr>
            <w:r>
              <w:rPr>
                <w:sz w:val="18"/>
              </w:rPr>
              <w:t xml:space="preserve">Concentration Risk Management, 2025</w:t>
            </w:r>
          </w:p>
        </w:tc>
        <w:tc>
          <w:tcPr>
            <w:tcW w:w="1513" w:type="dxa"/>
          </w:tcPr>
          <w:p>
            <w:pPr>
              <w:pStyle w:val="Compact"/>
              <w:spacing w:after="40"/>
              <w:jc w:val="left"/>
            </w:pPr>
            <w:r>
              <w:rPr>
                <w:sz w:val="18"/>
              </w:rPr>
              <w:t xml:space="preserve">RBI/DOR/2025-26/351; DOR.CRE.REC.270/07-03-008/2025-26</w:t>
            </w:r>
          </w:p>
        </w:tc>
        <w:tc>
          <w:tcPr>
            <w:tcW w:w="3154" w:type="dxa"/>
          </w:tcPr>
          <w:p>
            <w:pPr>
              <w:pStyle w:val="Compact"/>
              <w:spacing w:after="40"/>
              <w:jc w:val="left"/>
            </w:pPr>
            <w:r>
              <w:rPr>
                <w:sz w:val="18"/>
              </w:rPr>
              <w:t xml:space="preserve">28 Nov 2025, updated as on 1 Apr 2026 (Amendments of 1 Jan and 10 Mar 2026)</w:t>
            </w:r>
          </w:p>
        </w:tc>
        <w:tc>
          <w:tcPr>
            <w:tcW w:w="2634" w:type="dxa"/>
          </w:tcPr>
          <w:p>
            <w:pPr>
              <w:pStyle w:val="Compact"/>
              <w:spacing w:after="40"/>
              <w:jc w:val="left"/>
            </w:pPr>
            <w:r>
              <w:rPr>
                <w:sz w:val="18"/>
              </w:rPr>
              <w:t xml:space="preserve">NBFC-D, ICC, Factor, MFI, IFC, IDF; HFCs except paras 7, 14, 16, 19, 22, 23</w:t>
            </w:r>
          </w:p>
        </w:tc>
      </w:tr>
      <w:tr>
        <w:tc>
          <w:tcPr>
            <w:tcW w:w="582" w:type="dxa"/>
          </w:tcPr>
          <w:p>
            <w:pPr>
              <w:pStyle w:val="Compact"/>
              <w:spacing w:after="40"/>
              <w:jc w:val="left"/>
            </w:pPr>
            <w:r>
              <w:rPr>
                <w:sz w:val="18"/>
              </w:rPr>
              <w:t xml:space="preserve">INV</w:t>
            </w:r>
          </w:p>
        </w:tc>
        <w:tc>
          <w:tcPr>
            <w:tcW w:w="1755" w:type="dxa"/>
          </w:tcPr>
          <w:p>
            <w:pPr>
              <w:pStyle w:val="Compact"/>
              <w:spacing w:after="40"/>
              <w:jc w:val="left"/>
            </w:pPr>
            <w:r>
              <w:rPr>
                <w:sz w:val="18"/>
              </w:rPr>
              <w:t xml:space="preserve">Classification, Valuation and Operation of Investment Portfolio, 2025</w:t>
            </w:r>
          </w:p>
        </w:tc>
        <w:tc>
          <w:tcPr>
            <w:tcW w:w="1513" w:type="dxa"/>
          </w:tcPr>
          <w:p>
            <w:pPr>
              <w:pStyle w:val="Compact"/>
              <w:spacing w:after="40"/>
              <w:jc w:val="left"/>
            </w:pPr>
            <w:r>
              <w:rPr>
                <w:sz w:val="18"/>
              </w:rPr>
              <w:t xml:space="preserve">RBI/DOR/2025-26/354; DOR.MRG.REC.No.273/00-00-014/2025-26</w:t>
            </w:r>
          </w:p>
        </w:tc>
        <w:tc>
          <w:tcPr>
            <w:tcW w:w="3154" w:type="dxa"/>
          </w:tcPr>
          <w:p>
            <w:pPr>
              <w:pStyle w:val="Compact"/>
              <w:spacing w:after="40"/>
              <w:jc w:val="left"/>
            </w:pPr>
            <w:r>
              <w:rPr>
                <w:sz w:val="18"/>
              </w:rPr>
              <w:t xml:space="preserve">28 Nov 2025</w:t>
            </w:r>
          </w:p>
        </w:tc>
        <w:tc>
          <w:tcPr>
            <w:tcW w:w="2634" w:type="dxa"/>
          </w:tcPr>
          <w:p>
            <w:pPr>
              <w:pStyle w:val="Compact"/>
              <w:spacing w:after="40"/>
              <w:jc w:val="left"/>
            </w:pPr>
            <w:r>
              <w:rPr>
                <w:sz w:val="18"/>
              </w:rPr>
              <w:t xml:space="preserve">NBFC-D, ICC, Factor, MFI, IFC, IDF, HFC, CIC</w:t>
            </w:r>
          </w:p>
        </w:tc>
      </w:tr>
      <w:tr>
        <w:tc>
          <w:tcPr>
            <w:tcW w:w="582" w:type="dxa"/>
          </w:tcPr>
          <w:p>
            <w:pPr>
              <w:pStyle w:val="Compact"/>
              <w:spacing w:after="40"/>
              <w:jc w:val="left"/>
            </w:pPr>
            <w:r>
              <w:rPr>
                <w:sz w:val="18"/>
              </w:rPr>
              <w:t xml:space="preserve">BR</w:t>
            </w:r>
          </w:p>
        </w:tc>
        <w:tc>
          <w:tcPr>
            <w:tcW w:w="1755" w:type="dxa"/>
          </w:tcPr>
          <w:p>
            <w:pPr>
              <w:pStyle w:val="Compact"/>
              <w:spacing w:after="40"/>
              <w:jc w:val="left"/>
            </w:pPr>
            <w:r>
              <w:rPr>
                <w:sz w:val="18"/>
              </w:rPr>
              <w:t xml:space="preserve">Branch Authorisation, 2025</w:t>
            </w:r>
          </w:p>
        </w:tc>
        <w:tc>
          <w:tcPr>
            <w:tcW w:w="1513" w:type="dxa"/>
          </w:tcPr>
          <w:p>
            <w:pPr>
              <w:pStyle w:val="Compact"/>
              <w:spacing w:after="40"/>
              <w:jc w:val="left"/>
            </w:pPr>
            <w:r>
              <w:rPr>
                <w:sz w:val="18"/>
              </w:rPr>
              <w:t xml:space="preserve">RBI/DOR/2025-26/342; DOR.RAUG.REC.No.261/23-27-013/2025-26</w:t>
            </w:r>
          </w:p>
        </w:tc>
        <w:tc>
          <w:tcPr>
            <w:tcW w:w="3154" w:type="dxa"/>
          </w:tcPr>
          <w:p>
            <w:pPr>
              <w:pStyle w:val="Compact"/>
              <w:spacing w:after="40"/>
              <w:jc w:val="left"/>
            </w:pPr>
            <w:r>
              <w:rPr>
                <w:sz w:val="18"/>
              </w:rPr>
              <w:t xml:space="preserve">28 Nov 2025, updated as on 15 Apr 2026</w:t>
            </w:r>
          </w:p>
        </w:tc>
        <w:tc>
          <w:tcPr>
            <w:tcW w:w="2634" w:type="dxa"/>
          </w:tcPr>
          <w:p>
            <w:pPr>
              <w:pStyle w:val="Compact"/>
              <w:spacing w:after="40"/>
              <w:jc w:val="left"/>
            </w:pPr>
            <w:r>
              <w:rPr>
                <w:sz w:val="18"/>
              </w:rPr>
              <w:t xml:space="preserve">NBFCs and HFCs (paras 6 and 12 deposit-taking only); CICs paras 10, 13–15</w:t>
            </w:r>
          </w:p>
        </w:tc>
      </w:tr>
      <w:tr>
        <w:tc>
          <w:tcPr>
            <w:tcW w:w="582" w:type="dxa"/>
          </w:tcPr>
          <w:p>
            <w:pPr>
              <w:pStyle w:val="Compact"/>
              <w:spacing w:after="40"/>
              <w:jc w:val="left"/>
            </w:pPr>
            <w:r>
              <w:rPr>
                <w:sz w:val="18"/>
              </w:rPr>
              <w:t xml:space="preserve">ALM</w:t>
            </w:r>
          </w:p>
        </w:tc>
        <w:tc>
          <w:tcPr>
            <w:tcW w:w="1755" w:type="dxa"/>
          </w:tcPr>
          <w:p>
            <w:pPr>
              <w:pStyle w:val="Compact"/>
              <w:spacing w:after="40"/>
              <w:jc w:val="left"/>
            </w:pPr>
            <w:r>
              <w:rPr>
                <w:sz w:val="18"/>
              </w:rPr>
              <w:t xml:space="preserve">Asset Liability Management, 2025</w:t>
            </w:r>
          </w:p>
        </w:tc>
        <w:tc>
          <w:tcPr>
            <w:tcW w:w="1513" w:type="dxa"/>
          </w:tcPr>
          <w:p>
            <w:pPr>
              <w:pStyle w:val="Compact"/>
              <w:spacing w:after="40"/>
              <w:jc w:val="left"/>
            </w:pPr>
            <w:r>
              <w:rPr>
                <w:sz w:val="18"/>
              </w:rPr>
              <w:t xml:space="preserve">RBI/DoR/2025-26/355; DoR.LRG.REC.No.274/13-10-004/2025-26</w:t>
            </w:r>
          </w:p>
        </w:tc>
        <w:tc>
          <w:tcPr>
            <w:tcW w:w="3154" w:type="dxa"/>
          </w:tcPr>
          <w:p>
            <w:pPr>
              <w:pStyle w:val="Compact"/>
              <w:spacing w:after="40"/>
              <w:jc w:val="left"/>
            </w:pPr>
            <w:r>
              <w:rPr>
                <w:sz w:val="18"/>
              </w:rPr>
              <w:t xml:space="preserve">28 Nov 2025</w:t>
            </w:r>
          </w:p>
        </w:tc>
        <w:tc>
          <w:tcPr>
            <w:tcW w:w="2634" w:type="dxa"/>
          </w:tcPr>
          <w:p>
            <w:pPr>
              <w:pStyle w:val="Compact"/>
              <w:spacing w:after="40"/>
              <w:jc w:val="left"/>
            </w:pPr>
            <w:r>
              <w:rPr>
                <w:sz w:val="18"/>
              </w:rPr>
              <w:t xml:space="preserve">All layers incl. HFC; CICs except Ch III. Ch II only if assets ≥ ₹100 crore; Ch III (LCR) only for NBFC-D and NBFC-ND ≥ ₹5,000 crore</w:t>
            </w:r>
          </w:p>
        </w:tc>
      </w:tr>
      <w:tr>
        <w:tc>
          <w:tcPr>
            <w:tcW w:w="582" w:type="dxa"/>
          </w:tcPr>
          <w:p>
            <w:pPr>
              <w:pStyle w:val="Compact"/>
              <w:spacing w:after="40"/>
              <w:jc w:val="left"/>
            </w:pPr>
            <w:r>
              <w:rPr>
                <w:sz w:val="18"/>
              </w:rPr>
              <w:t xml:space="preserve">FS</w:t>
            </w:r>
          </w:p>
        </w:tc>
        <w:tc>
          <w:tcPr>
            <w:tcW w:w="1755" w:type="dxa"/>
          </w:tcPr>
          <w:p>
            <w:pPr>
              <w:pStyle w:val="Compact"/>
              <w:spacing w:after="40"/>
              <w:jc w:val="left"/>
            </w:pPr>
            <w:r>
              <w:rPr>
                <w:sz w:val="18"/>
              </w:rPr>
              <w:t xml:space="preserve">Financial Statements: Presentation and Disclosures, 2025</w:t>
            </w:r>
          </w:p>
        </w:tc>
        <w:tc>
          <w:tcPr>
            <w:tcW w:w="1513" w:type="dxa"/>
          </w:tcPr>
          <w:p>
            <w:pPr>
              <w:pStyle w:val="Compact"/>
              <w:spacing w:after="40"/>
              <w:jc w:val="left"/>
            </w:pPr>
            <w:r>
              <w:rPr>
                <w:sz w:val="18"/>
              </w:rPr>
              <w:t xml:space="preserve">RBI/DOR/2025-26/359; DOR.ACC.REC.No.278/21.04.018/2025-26</w:t>
            </w:r>
          </w:p>
        </w:tc>
        <w:tc>
          <w:tcPr>
            <w:tcW w:w="3154" w:type="dxa"/>
          </w:tcPr>
          <w:p>
            <w:pPr>
              <w:pStyle w:val="Compact"/>
              <w:spacing w:after="40"/>
              <w:jc w:val="left"/>
            </w:pPr>
            <w:r>
              <w:rPr>
                <w:sz w:val="18"/>
              </w:rPr>
              <w:t xml:space="preserve">28 Nov 2025, updated as on 1 Apr 2026 (para 21(9A) inserted 5 Jan 2026)</w:t>
            </w:r>
          </w:p>
        </w:tc>
        <w:tc>
          <w:tcPr>
            <w:tcW w:w="2634" w:type="dxa"/>
          </w:tcPr>
          <w:p>
            <w:pPr>
              <w:pStyle w:val="Compact"/>
              <w:spacing w:after="40"/>
              <w:jc w:val="left"/>
            </w:pPr>
            <w:r>
              <w:rPr>
                <w:sz w:val="18"/>
              </w:rPr>
              <w:t xml:space="preserve">All incl. HFC, CIC; C.1 all, C.2 ML/UL, C.3 UL</w:t>
            </w:r>
          </w:p>
        </w:tc>
      </w:tr>
      <w:tr>
        <w:tc>
          <w:tcPr>
            <w:tcW w:w="582" w:type="dxa"/>
          </w:tcPr>
          <w:p>
            <w:pPr>
              <w:pStyle w:val="Compact"/>
              <w:spacing w:after="40"/>
              <w:jc w:val="left"/>
            </w:pPr>
            <w:r>
              <w:rPr>
                <w:sz w:val="18"/>
              </w:rPr>
              <w:t xml:space="preserve">CLM</w:t>
            </w:r>
          </w:p>
        </w:tc>
        <w:tc>
          <w:tcPr>
            <w:tcW w:w="1755" w:type="dxa"/>
          </w:tcPr>
          <w:p>
            <w:pPr>
              <w:pStyle w:val="Compact"/>
              <w:spacing w:after="40"/>
              <w:jc w:val="left"/>
            </w:pPr>
            <w:r>
              <w:rPr>
                <w:sz w:val="18"/>
              </w:rPr>
              <w:t xml:space="preserve">Climate Finance and Management of Climate Change Risks, 2025</w:t>
            </w:r>
          </w:p>
        </w:tc>
        <w:tc>
          <w:tcPr>
            <w:tcW w:w="1513" w:type="dxa"/>
          </w:tcPr>
          <w:p>
            <w:pPr>
              <w:pStyle w:val="Compact"/>
              <w:spacing w:after="40"/>
              <w:jc w:val="left"/>
            </w:pPr>
            <w:r>
              <w:rPr>
                <w:sz w:val="18"/>
              </w:rPr>
              <w:t xml:space="preserve">RBI/DOR/2025-26/364; DOR.SFG.REC.No.283/30.01.021/2025-26</w:t>
            </w:r>
          </w:p>
        </w:tc>
        <w:tc>
          <w:tcPr>
            <w:tcW w:w="3154" w:type="dxa"/>
          </w:tcPr>
          <w:p>
            <w:pPr>
              <w:pStyle w:val="Compact"/>
              <w:spacing w:after="40"/>
              <w:jc w:val="left"/>
            </w:pPr>
            <w:r>
              <w:rPr>
                <w:sz w:val="18"/>
              </w:rPr>
              <w:t xml:space="preserve">28 Nov 2025</w:t>
            </w:r>
          </w:p>
        </w:tc>
        <w:tc>
          <w:tcPr>
            <w:tcW w:w="2634" w:type="dxa"/>
          </w:tcPr>
          <w:p>
            <w:pPr>
              <w:pStyle w:val="Compact"/>
              <w:spacing w:after="40"/>
              <w:jc w:val="left"/>
            </w:pPr>
            <w:r>
              <w:rPr>
                <w:bCs/>
                <w:b/>
                <w:sz w:val="18"/>
              </w:rPr>
              <w:t xml:space="preserve">Only NBFC-D and deposit-taking HFCs.</w:t>
            </w:r>
            <w:r>
              <w:rPr>
                <w:sz w:val="18"/>
              </w:rPr>
              <w:t xml:space="preserve"> </w:t>
            </w:r>
            <w:r>
              <w:rPr>
                <w:sz w:val="18"/>
              </w:rPr>
              <w:t xml:space="preserve">In substance a green-deposit framework</w:t>
            </w:r>
          </w:p>
        </w:tc>
      </w:tr>
      <w:tr>
        <w:tc>
          <w:tcPr>
            <w:tcW w:w="582" w:type="dxa"/>
          </w:tcPr>
          <w:p>
            <w:pPr>
              <w:pStyle w:val="Compact"/>
              <w:spacing w:after="40"/>
              <w:jc w:val="left"/>
            </w:pPr>
            <w:r>
              <w:rPr>
                <w:sz w:val="18"/>
              </w:rPr>
              <w:t xml:space="preserve">AA</w:t>
            </w:r>
          </w:p>
        </w:tc>
        <w:tc>
          <w:tcPr>
            <w:tcW w:w="1755" w:type="dxa"/>
          </w:tcPr>
          <w:p>
            <w:pPr>
              <w:pStyle w:val="Compact"/>
              <w:spacing w:after="40"/>
              <w:jc w:val="left"/>
            </w:pPr>
            <w:r>
              <w:rPr>
                <w:sz w:val="18"/>
              </w:rPr>
              <w:t xml:space="preserve">Account Aggregator, 2025</w:t>
            </w:r>
          </w:p>
        </w:tc>
        <w:tc>
          <w:tcPr>
            <w:tcW w:w="1513" w:type="dxa"/>
          </w:tcPr>
          <w:p>
            <w:pPr>
              <w:pStyle w:val="Compact"/>
              <w:spacing w:after="40"/>
              <w:jc w:val="left"/>
            </w:pPr>
            <w:r>
              <w:rPr>
                <w:sz w:val="18"/>
              </w:rPr>
              <w:t xml:space="preserve">RBI/DoR/2025-26/368; DoR.FIN.REC.No.287/03-10-123/2025-26</w:t>
            </w:r>
          </w:p>
        </w:tc>
        <w:tc>
          <w:tcPr>
            <w:tcW w:w="3154" w:type="dxa"/>
          </w:tcPr>
          <w:p>
            <w:pPr>
              <w:pStyle w:val="Compact"/>
              <w:spacing w:after="40"/>
              <w:jc w:val="left"/>
            </w:pPr>
            <w:r>
              <w:rPr>
                <w:sz w:val="18"/>
              </w:rPr>
              <w:t xml:space="preserve">28 Nov 2025</w:t>
            </w:r>
          </w:p>
        </w:tc>
        <w:tc>
          <w:tcPr>
            <w:tcW w:w="2634" w:type="dxa"/>
          </w:tcPr>
          <w:p>
            <w:pPr>
              <w:pStyle w:val="Compact"/>
              <w:spacing w:after="40"/>
              <w:jc w:val="left"/>
            </w:pPr>
            <w:r>
              <w:rPr>
                <w:sz w:val="18"/>
              </w:rPr>
              <w:t xml:space="preserve">NBFC-AAs only; FIU-side obligations derived</w:t>
            </w:r>
          </w:p>
        </w:tc>
      </w:tr>
      <w:tr>
        <w:tc>
          <w:tcPr>
            <w:tcW w:w="582" w:type="dxa"/>
          </w:tcPr>
          <w:p>
            <w:pPr>
              <w:pStyle w:val="Compact"/>
              <w:spacing w:after="40"/>
              <w:jc w:val="left"/>
            </w:pPr>
            <w:r>
              <w:rPr>
                <w:sz w:val="18"/>
              </w:rPr>
              <w:t xml:space="preserve">CMP</w:t>
            </w:r>
          </w:p>
        </w:tc>
        <w:tc>
          <w:tcPr>
            <w:tcW w:w="1755" w:type="dxa"/>
          </w:tcPr>
          <w:p>
            <w:pPr>
              <w:pStyle w:val="Compact"/>
              <w:spacing w:after="40"/>
              <w:jc w:val="left"/>
            </w:pPr>
            <w:r>
              <w:rPr>
                <w:sz w:val="18"/>
              </w:rPr>
              <w:t xml:space="preserve">Compliance Function, 2026</w:t>
            </w:r>
          </w:p>
        </w:tc>
        <w:tc>
          <w:tcPr>
            <w:tcW w:w="1513" w:type="dxa"/>
          </w:tcPr>
          <w:p>
            <w:pPr>
              <w:pStyle w:val="Compact"/>
              <w:spacing w:after="40"/>
              <w:jc w:val="left"/>
            </w:pPr>
            <w:r>
              <w:rPr>
                <w:sz w:val="18"/>
              </w:rPr>
              <w:t xml:space="preserve">RBI/DoS/2026-27/460; DoS.CO.PPG.54/11.01.005/2026-27</w:t>
            </w:r>
          </w:p>
        </w:tc>
        <w:tc>
          <w:tcPr>
            <w:tcW w:w="3154" w:type="dxa"/>
          </w:tcPr>
          <w:p>
            <w:pPr>
              <w:pStyle w:val="Compact"/>
              <w:spacing w:after="40"/>
              <w:jc w:val="left"/>
            </w:pPr>
            <w:r>
              <w:rPr>
                <w:sz w:val="18"/>
              </w:rPr>
              <w:t xml:space="preserve">31 Jul 2026</w:t>
            </w:r>
          </w:p>
        </w:tc>
        <w:tc>
          <w:tcPr>
            <w:tcW w:w="2634" w:type="dxa"/>
          </w:tcPr>
          <w:p>
            <w:pPr>
              <w:pStyle w:val="Compact"/>
              <w:spacing w:after="40"/>
              <w:jc w:val="left"/>
            </w:pPr>
            <w:r>
              <w:rPr>
                <w:bCs/>
                <w:b/>
                <w:sz w:val="18"/>
              </w:rPr>
              <w:t xml:space="preserve">Middle and Upper Layer only</w:t>
            </w:r>
          </w:p>
        </w:tc>
      </w:tr>
      <w:tr>
        <w:tc>
          <w:tcPr>
            <w:tcW w:w="582" w:type="dxa"/>
          </w:tcPr>
          <w:p>
            <w:pPr>
              <w:pStyle w:val="Compact"/>
              <w:spacing w:after="40"/>
              <w:jc w:val="left"/>
            </w:pPr>
            <w:r>
              <w:rPr>
                <w:sz w:val="18"/>
              </w:rPr>
              <w:t xml:space="preserve">CYB</w:t>
            </w:r>
          </w:p>
        </w:tc>
        <w:tc>
          <w:tcPr>
            <w:tcW w:w="1755" w:type="dxa"/>
          </w:tcPr>
          <w:p>
            <w:pPr>
              <w:pStyle w:val="Compact"/>
              <w:spacing w:after="40"/>
              <w:jc w:val="left"/>
            </w:pPr>
            <w:r>
              <w:rPr>
                <w:sz w:val="18"/>
              </w:rPr>
              <w:t xml:space="preserve">Cybersecurity, Technology: Risk, Resilience and Assurance Framework, 2026</w:t>
            </w:r>
          </w:p>
        </w:tc>
        <w:tc>
          <w:tcPr>
            <w:tcW w:w="1513" w:type="dxa"/>
          </w:tcPr>
          <w:p>
            <w:pPr>
              <w:pStyle w:val="Compact"/>
              <w:spacing w:after="40"/>
              <w:jc w:val="left"/>
            </w:pPr>
            <w:r>
              <w:rPr>
                <w:sz w:val="18"/>
              </w:rPr>
              <w:t xml:space="preserve">RBI/DoS/2026-27/461; DoS.CO.CSITEG.55/31.01.015/2026-27</w:t>
            </w:r>
          </w:p>
        </w:tc>
        <w:tc>
          <w:tcPr>
            <w:tcW w:w="3154" w:type="dxa"/>
          </w:tcPr>
          <w:p>
            <w:pPr>
              <w:pStyle w:val="Compact"/>
              <w:spacing w:after="40"/>
              <w:jc w:val="left"/>
            </w:pPr>
            <w:r>
              <w:rPr>
                <w:sz w:val="18"/>
              </w:rPr>
              <w:t xml:space="preserve">31 Jul 2026, immediate effect</w:t>
            </w:r>
          </w:p>
        </w:tc>
        <w:tc>
          <w:tcPr>
            <w:tcW w:w="2634" w:type="dxa"/>
          </w:tcPr>
          <w:p>
            <w:pPr>
              <w:pStyle w:val="Compact"/>
              <w:spacing w:after="40"/>
              <w:jc w:val="left"/>
            </w:pPr>
            <w:r>
              <w:rPr>
                <w:sz w:val="18"/>
              </w:rPr>
              <w:t xml:space="preserve">All NBFCs incl. HFC: Ch II all; Ch III BL &lt; ₹500 crore and all CICs; Ch IV BL ≥ ₹500 crore; Ch V TL/UL/ML excluding CICs</w:t>
            </w:r>
          </w:p>
        </w:tc>
      </w:tr>
      <w:tr>
        <w:tc>
          <w:tcPr>
            <w:tcW w:w="582" w:type="dxa"/>
          </w:tcPr>
          <w:p>
            <w:pPr>
              <w:pStyle w:val="Compact"/>
              <w:spacing w:after="40"/>
              <w:jc w:val="left"/>
            </w:pPr>
            <w:r>
              <w:rPr>
                <w:sz w:val="18"/>
              </w:rPr>
              <w:t xml:space="preserve">DPS</w:t>
            </w:r>
          </w:p>
        </w:tc>
        <w:tc>
          <w:tcPr>
            <w:tcW w:w="1755" w:type="dxa"/>
          </w:tcPr>
          <w:p>
            <w:pPr>
              <w:pStyle w:val="Compact"/>
              <w:spacing w:after="40"/>
              <w:jc w:val="left"/>
            </w:pPr>
            <w:r>
              <w:rPr>
                <w:sz w:val="18"/>
              </w:rPr>
              <w:t xml:space="preserve">Digital Payment Security Controls, 2026</w:t>
            </w:r>
          </w:p>
        </w:tc>
        <w:tc>
          <w:tcPr>
            <w:tcW w:w="1513" w:type="dxa"/>
          </w:tcPr>
          <w:p>
            <w:pPr>
              <w:pStyle w:val="Compact"/>
              <w:spacing w:after="40"/>
              <w:jc w:val="left"/>
            </w:pPr>
            <w:r>
              <w:rPr>
                <w:sz w:val="18"/>
              </w:rPr>
              <w:t xml:space="preserve">RBI/DoS/2026-27/462; DoS.CO.CSITEG.56/31.01.015/2026-27</w:t>
            </w:r>
          </w:p>
        </w:tc>
        <w:tc>
          <w:tcPr>
            <w:tcW w:w="3154" w:type="dxa"/>
          </w:tcPr>
          <w:p>
            <w:pPr>
              <w:pStyle w:val="Compact"/>
              <w:spacing w:after="40"/>
              <w:jc w:val="left"/>
            </w:pPr>
            <w:r>
              <w:rPr>
                <w:sz w:val="18"/>
              </w:rPr>
              <w:t xml:space="preserve">31 Jul 2026</w:t>
            </w:r>
          </w:p>
        </w:tc>
        <w:tc>
          <w:tcPr>
            <w:tcW w:w="2634" w:type="dxa"/>
          </w:tcPr>
          <w:p>
            <w:pPr>
              <w:pStyle w:val="Compact"/>
              <w:spacing w:after="40"/>
              <w:jc w:val="left"/>
            </w:pPr>
            <w:r>
              <w:rPr>
                <w:bCs/>
                <w:b/>
                <w:sz w:val="18"/>
              </w:rPr>
              <w:t xml:space="preserve">Credit-card-issuing NBFCs only</w:t>
            </w:r>
          </w:p>
        </w:tc>
      </w:tr>
      <w:tr>
        <w:tc>
          <w:tcPr>
            <w:tcW w:w="582" w:type="dxa"/>
          </w:tcPr>
          <w:p>
            <w:pPr>
              <w:pStyle w:val="Compact"/>
              <w:spacing w:after="40"/>
              <w:jc w:val="left"/>
            </w:pPr>
            <w:r>
              <w:rPr>
                <w:sz w:val="18"/>
              </w:rPr>
              <w:t xml:space="preserve">FRM</w:t>
            </w:r>
          </w:p>
        </w:tc>
        <w:tc>
          <w:tcPr>
            <w:tcW w:w="1755" w:type="dxa"/>
          </w:tcPr>
          <w:p>
            <w:pPr>
              <w:pStyle w:val="Compact"/>
              <w:spacing w:after="40"/>
              <w:jc w:val="left"/>
            </w:pPr>
            <w:r>
              <w:rPr>
                <w:sz w:val="18"/>
              </w:rPr>
              <w:t xml:space="preserve">Fraud Risk Management, 2026</w:t>
            </w:r>
          </w:p>
        </w:tc>
        <w:tc>
          <w:tcPr>
            <w:tcW w:w="1513" w:type="dxa"/>
          </w:tcPr>
          <w:p>
            <w:pPr>
              <w:pStyle w:val="Compact"/>
              <w:spacing w:after="40"/>
              <w:jc w:val="left"/>
            </w:pPr>
            <w:r>
              <w:rPr>
                <w:sz w:val="18"/>
              </w:rPr>
              <w:t xml:space="preserve">RBI/DoS/2026-27/463; DoS.CO.FMG.57/23.04.001/2026-27</w:t>
            </w:r>
          </w:p>
        </w:tc>
        <w:tc>
          <w:tcPr>
            <w:tcW w:w="3154" w:type="dxa"/>
          </w:tcPr>
          <w:p>
            <w:pPr>
              <w:pStyle w:val="Compact"/>
              <w:spacing w:after="40"/>
              <w:jc w:val="left"/>
            </w:pPr>
            <w:r>
              <w:rPr>
                <w:sz w:val="18"/>
              </w:rPr>
              <w:t xml:space="preserve">31 Jul 2026</w:t>
            </w:r>
          </w:p>
        </w:tc>
        <w:tc>
          <w:tcPr>
            <w:tcW w:w="2634" w:type="dxa"/>
          </w:tcPr>
          <w:p>
            <w:pPr>
              <w:pStyle w:val="Compact"/>
              <w:spacing w:after="40"/>
              <w:jc w:val="left"/>
            </w:pPr>
            <w:r>
              <w:rPr>
                <w:sz w:val="18"/>
              </w:rPr>
              <w:t xml:space="preserve">UL, ML, and BL with assets ≥ ₹500 crore (audited 31 March balance sheet), incl. HFCs (HFC reporting to NHB)</w:t>
            </w:r>
          </w:p>
        </w:tc>
      </w:tr>
      <w:tr>
        <w:tc>
          <w:tcPr>
            <w:tcW w:w="582" w:type="dxa"/>
          </w:tcPr>
          <w:p>
            <w:pPr>
              <w:pStyle w:val="Compact"/>
              <w:spacing w:after="40"/>
              <w:jc w:val="left"/>
            </w:pPr>
            <w:r>
              <w:rPr>
                <w:sz w:val="18"/>
              </w:rPr>
              <w:t xml:space="preserve">AUD</w:t>
            </w:r>
          </w:p>
        </w:tc>
        <w:tc>
          <w:tcPr>
            <w:tcW w:w="1755" w:type="dxa"/>
          </w:tcPr>
          <w:p>
            <w:pPr>
              <w:pStyle w:val="Compact"/>
              <w:spacing w:after="40"/>
              <w:jc w:val="left"/>
            </w:pPr>
            <w:r>
              <w:rPr>
                <w:sz w:val="18"/>
              </w:rPr>
              <w:t xml:space="preserve">Auditor’s Report, 2026</w:t>
            </w:r>
          </w:p>
        </w:tc>
        <w:tc>
          <w:tcPr>
            <w:tcW w:w="1513" w:type="dxa"/>
          </w:tcPr>
          <w:p>
            <w:pPr>
              <w:pStyle w:val="Compact"/>
              <w:spacing w:after="40"/>
              <w:jc w:val="left"/>
            </w:pPr>
            <w:r>
              <w:rPr>
                <w:sz w:val="18"/>
              </w:rPr>
              <w:t xml:space="preserve">RBI/DoS/2026-27/468; DoS.CO.ARG.62/08.91.001/2026-27</w:t>
            </w:r>
          </w:p>
        </w:tc>
        <w:tc>
          <w:tcPr>
            <w:tcW w:w="3154" w:type="dxa"/>
          </w:tcPr>
          <w:p>
            <w:pPr>
              <w:pStyle w:val="Compact"/>
              <w:spacing w:after="40"/>
              <w:jc w:val="left"/>
            </w:pPr>
            <w:r>
              <w:rPr>
                <w:sz w:val="18"/>
              </w:rPr>
              <w:t xml:space="preserve">31 Jul 2026; first applies to FY ending on or after that date</w:t>
            </w:r>
          </w:p>
        </w:tc>
        <w:tc>
          <w:tcPr>
            <w:tcW w:w="2634" w:type="dxa"/>
          </w:tcPr>
          <w:p>
            <w:pPr>
              <w:pStyle w:val="Compact"/>
              <w:spacing w:after="40"/>
              <w:jc w:val="left"/>
            </w:pPr>
            <w:r>
              <w:rPr>
                <w:sz w:val="18"/>
              </w:rPr>
              <w:t xml:space="preserve">Every NBFC auditor (HFC auditors excluded)</w:t>
            </w:r>
          </w:p>
        </w:tc>
      </w:tr>
      <w:tr>
        <w:tc>
          <w:tcPr>
            <w:tcW w:w="582" w:type="dxa"/>
          </w:tcPr>
          <w:p>
            <w:pPr>
              <w:pStyle w:val="Compact"/>
              <w:spacing w:after="40"/>
              <w:jc w:val="left"/>
            </w:pPr>
            <w:r>
              <w:rPr>
                <w:sz w:val="18"/>
              </w:rPr>
              <w:t xml:space="preserve">IRACP</w:t>
            </w:r>
          </w:p>
        </w:tc>
        <w:tc>
          <w:tcPr>
            <w:tcW w:w="1755" w:type="dxa"/>
          </w:tcPr>
          <w:p>
            <w:pPr>
              <w:pStyle w:val="Compact"/>
              <w:spacing w:after="40"/>
              <w:jc w:val="left"/>
            </w:pPr>
            <w:r>
              <w:rPr>
                <w:sz w:val="18"/>
              </w:rPr>
              <w:t xml:space="preserve">Income Recognition, Asset Classification and Provisioning, 2025</w:t>
            </w:r>
          </w:p>
        </w:tc>
        <w:tc>
          <w:tcPr>
            <w:tcW w:w="1513" w:type="dxa"/>
          </w:tcPr>
          <w:p>
            <w:pPr>
              <w:pStyle w:val="Compact"/>
              <w:spacing w:after="40"/>
              <w:jc w:val="left"/>
            </w:pPr>
            <w:r>
              <w:rPr>
                <w:sz w:val="18"/>
              </w:rPr>
              <w:t xml:space="preserve">RBI/DOR/2025-26/356; DOR.STR.REC.No.275/21.04.048/2025-26</w:t>
            </w:r>
          </w:p>
        </w:tc>
        <w:tc>
          <w:tcPr>
            <w:tcW w:w="3154" w:type="dxa"/>
          </w:tcPr>
          <w:p>
            <w:pPr>
              <w:pStyle w:val="Compact"/>
              <w:spacing w:after="40"/>
              <w:jc w:val="left"/>
            </w:pPr>
            <w:r>
              <w:rPr>
                <w:sz w:val="18"/>
              </w:rPr>
              <w:t xml:space="preserve">28 Nov 2025, updated as on 13 Feb 2026 (paras 36A–36C inserted)</w:t>
            </w:r>
          </w:p>
        </w:tc>
        <w:tc>
          <w:tcPr>
            <w:tcW w:w="2634" w:type="dxa"/>
          </w:tcPr>
          <w:p>
            <w:pPr>
              <w:pStyle w:val="Compact"/>
              <w:spacing w:after="40"/>
              <w:jc w:val="left"/>
            </w:pPr>
            <w:r>
              <w:rPr>
                <w:sz w:val="18"/>
              </w:rPr>
              <w:t xml:space="preserve">NBFC-D, ICC, Factor, IFC, IDF (para 3); HFC, MFI, MGC, CIC subject to their own Directions, which prevail (paras 4–7); not P2P, AA, SPD, NOFHC or the two no-public-funds categories (para 10)</w:t>
            </w:r>
          </w:p>
        </w:tc>
      </w:tr>
      <w:tr>
        <w:tc>
          <w:tcPr>
            <w:tcW w:w="582" w:type="dxa"/>
          </w:tcPr>
          <w:p>
            <w:pPr>
              <w:pStyle w:val="Compact"/>
              <w:spacing w:after="40"/>
              <w:jc w:val="left"/>
            </w:pPr>
            <w:r>
              <w:rPr>
                <w:sz w:val="18"/>
              </w:rPr>
              <w:t xml:space="preserve">RSA</w:t>
            </w:r>
          </w:p>
        </w:tc>
        <w:tc>
          <w:tcPr>
            <w:tcW w:w="1755" w:type="dxa"/>
          </w:tcPr>
          <w:p>
            <w:pPr>
              <w:pStyle w:val="Compact"/>
              <w:spacing w:after="40"/>
              <w:jc w:val="left"/>
            </w:pPr>
            <w:r>
              <w:rPr>
                <w:sz w:val="18"/>
              </w:rPr>
              <w:t xml:space="preserve">Resolution of Stressed Assets, 2025</w:t>
            </w:r>
          </w:p>
        </w:tc>
        <w:tc>
          <w:tcPr>
            <w:tcW w:w="1513" w:type="dxa"/>
          </w:tcPr>
          <w:p>
            <w:pPr>
              <w:pStyle w:val="Compact"/>
              <w:spacing w:after="40"/>
              <w:jc w:val="left"/>
            </w:pPr>
            <w:r>
              <w:rPr>
                <w:sz w:val="18"/>
              </w:rPr>
              <w:t xml:space="preserve">RBI/DOR/2025-26/357; DOR.STR.REC.276/21.04.048/2025-26</w:t>
            </w:r>
          </w:p>
        </w:tc>
        <w:tc>
          <w:tcPr>
            <w:tcW w:w="3154" w:type="dxa"/>
          </w:tcPr>
          <w:p>
            <w:pPr>
              <w:pStyle w:val="Compact"/>
              <w:spacing w:after="40"/>
              <w:jc w:val="left"/>
            </w:pPr>
            <w:r>
              <w:rPr>
                <w:sz w:val="18"/>
              </w:rPr>
              <w:t xml:space="preserve">28 Nov 2025 (original;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634" w:type="dxa"/>
          </w:tcPr>
          <w:p>
            <w:pPr>
              <w:pStyle w:val="Compact"/>
              <w:spacing w:after="40"/>
              <w:jc w:val="left"/>
            </w:pPr>
            <w:r>
              <w:rPr>
                <w:sz w:val="18"/>
              </w:rPr>
              <w:t xml:space="preserve">NBFC-D, ICC, Factor, MFI, IFC, IDF (para 3). Part A: NBFC-D and ND ≥ ₹500 crore; Part B: ND &lt; ₹500 crore (paras 7–8, 157–158). HFC paras 86–138 only; MGC 86–100; not CIC, P2P, AA, SPD, NOFHC or the no-public-funds categories (paras 4–6)</w:t>
            </w:r>
          </w:p>
        </w:tc>
      </w:tr>
      <w:tr>
        <w:tc>
          <w:tcPr>
            <w:tcW w:w="582" w:type="dxa"/>
          </w:tcPr>
          <w:p>
            <w:pPr>
              <w:pStyle w:val="Compact"/>
              <w:spacing w:after="40"/>
              <w:jc w:val="left"/>
            </w:pPr>
            <w:r>
              <w:rPr>
                <w:sz w:val="18"/>
              </w:rPr>
              <w:t xml:space="preserve">RBC</w:t>
            </w:r>
          </w:p>
        </w:tc>
        <w:tc>
          <w:tcPr>
            <w:tcW w:w="1755" w:type="dxa"/>
          </w:tcPr>
          <w:p>
            <w:pPr>
              <w:pStyle w:val="Compact"/>
              <w:spacing w:after="40"/>
              <w:jc w:val="left"/>
            </w:pPr>
            <w:r>
              <w:rPr>
                <w:sz w:val="18"/>
              </w:rPr>
              <w:t xml:space="preserve">Responsible Business Conduct, 2025</w:t>
            </w:r>
          </w:p>
        </w:tc>
        <w:tc>
          <w:tcPr>
            <w:tcW w:w="1513" w:type="dxa"/>
          </w:tcPr>
          <w:p>
            <w:pPr>
              <w:pStyle w:val="Compact"/>
              <w:spacing w:after="40"/>
              <w:jc w:val="left"/>
            </w:pPr>
            <w:r>
              <w:rPr>
                <w:sz w:val="18"/>
              </w:rPr>
              <w:t xml:space="preserve">RBI/DOR/2025-26/362; DOR.MCS.REC.No.281/01-01-039/2025-26</w:t>
            </w:r>
          </w:p>
        </w:tc>
        <w:tc>
          <w:tcPr>
            <w:tcW w:w="3154" w:type="dxa"/>
          </w:tcPr>
          <w:p>
            <w:pPr>
              <w:pStyle w:val="Compact"/>
              <w:spacing w:after="40"/>
              <w:jc w:val="left"/>
            </w:pPr>
            <w:r>
              <w:rPr>
                <w:sz w:val="18"/>
              </w:rPr>
              <w:t xml:space="preserve">28 Nov 2025, updated as on 1 Apr 2026 (para 42 and Annex II deleted w.e.f. 1 Apr 2026). Second Amendment (15 Jun 2026, Ch IIIA) and Third Amendment (RBI/2026-27/230, 6 Aug 2026, paras 100A–100AB, effective 1 Jan 2027) not in the supplied copy; the Third Amendment is confirmed in the v1.4 research and the Second Amendment remains [VERIFY]</w:t>
            </w:r>
          </w:p>
        </w:tc>
        <w:tc>
          <w:tcPr>
            <w:tcW w:w="2634" w:type="dxa"/>
          </w:tcPr>
          <w:p>
            <w:pPr>
              <w:pStyle w:val="Compact"/>
              <w:spacing w:after="40"/>
              <w:jc w:val="left"/>
            </w:pPr>
            <w:r>
              <w:rPr>
                <w:sz w:val="18"/>
              </w:rPr>
              <w:t xml:space="preserve">NBFC-D, ICC, Factor, MFI, IFC, IDF, HFC, all layers; P2P paras 98–100 only; not MGC, CIC, AA, SPD, NOFHC or NBFCs without customer interface (paras 3–5)</w:t>
            </w:r>
          </w:p>
        </w:tc>
      </w:tr>
      <w:tr>
        <w:tc>
          <w:tcPr>
            <w:tcW w:w="582" w:type="dxa"/>
          </w:tcPr>
          <w:p>
            <w:pPr>
              <w:pStyle w:val="Compact"/>
              <w:spacing w:after="40"/>
              <w:jc w:val="left"/>
            </w:pPr>
            <w:r>
              <w:rPr>
                <w:sz w:val="18"/>
              </w:rPr>
              <w:t xml:space="preserve">WD</w:t>
            </w:r>
          </w:p>
        </w:tc>
        <w:tc>
          <w:tcPr>
            <w:tcW w:w="1755" w:type="dxa"/>
          </w:tcPr>
          <w:p>
            <w:pPr>
              <w:pStyle w:val="Compact"/>
              <w:spacing w:after="40"/>
              <w:jc w:val="left"/>
            </w:pPr>
            <w:r>
              <w:rPr>
                <w:sz w:val="18"/>
              </w:rPr>
              <w:t xml:space="preserve">Treatment of Wilful Defaulters and Large Defaulters, 2025</w:t>
            </w:r>
          </w:p>
        </w:tc>
        <w:tc>
          <w:tcPr>
            <w:tcW w:w="1513" w:type="dxa"/>
          </w:tcPr>
          <w:p>
            <w:pPr>
              <w:pStyle w:val="Compact"/>
              <w:spacing w:after="40"/>
              <w:jc w:val="left"/>
            </w:pPr>
            <w:r>
              <w:rPr>
                <w:sz w:val="18"/>
              </w:rPr>
              <w:t xml:space="preserve">RBI/DOR/2025-26/358; DOR.FIN.REC.No.277/20-16-003/2025-26</w:t>
            </w:r>
          </w:p>
        </w:tc>
        <w:tc>
          <w:tcPr>
            <w:tcW w:w="3154" w:type="dxa"/>
          </w:tcPr>
          <w:p>
            <w:pPr>
              <w:pStyle w:val="Compact"/>
              <w:spacing w:after="40"/>
              <w:jc w:val="left"/>
            </w:pPr>
            <w:r>
              <w:rPr>
                <w:sz w:val="18"/>
              </w:rPr>
              <w:t xml:space="preserve">28 Nov 2025 (original text; immediate effect)</w:t>
            </w:r>
          </w:p>
        </w:tc>
        <w:tc>
          <w:tcPr>
            <w:tcW w:w="2634" w:type="dxa"/>
          </w:tcPr>
          <w:p>
            <w:pPr>
              <w:pStyle w:val="Compact"/>
              <w:spacing w:after="40"/>
              <w:jc w:val="left"/>
            </w:pPr>
            <w:r>
              <w:rPr>
                <w:bCs/>
                <w:b/>
                <w:sz w:val="18"/>
              </w:rPr>
              <w:t xml:space="preserve">ML and above:</w:t>
            </w:r>
            <w:r>
              <w:rPr>
                <w:sz w:val="18"/>
              </w:rPr>
              <w:t xml:space="preserve"> </w:t>
            </w:r>
            <w:r>
              <w:rPr>
                <w:sz w:val="18"/>
              </w:rPr>
              <w:t xml:space="preserve">NBFC-D, ICC, Factor, MFI, IFC, IDF, HFC, CIC; not MGC, P2P, AA, SPD, NOFHC, or NBFCs without public funds and customer interface. The bar on further finance and the large-defaulter provisions apply to all REs (para 2)</w:t>
            </w:r>
          </w:p>
        </w:tc>
      </w:tr>
      <w:tr>
        <w:tc>
          <w:tcPr>
            <w:tcW w:w="582" w:type="dxa"/>
          </w:tcPr>
          <w:p>
            <w:pPr>
              <w:pStyle w:val="Compact"/>
              <w:spacing w:after="40"/>
              <w:jc w:val="left"/>
            </w:pPr>
            <w:r>
              <w:rPr>
                <w:sz w:val="18"/>
              </w:rPr>
              <w:t xml:space="preserve">KYC</w:t>
            </w:r>
          </w:p>
        </w:tc>
        <w:tc>
          <w:tcPr>
            <w:tcW w:w="1755" w:type="dxa"/>
          </w:tcPr>
          <w:p>
            <w:pPr>
              <w:pStyle w:val="Compact"/>
              <w:spacing w:after="40"/>
              <w:jc w:val="left"/>
            </w:pPr>
            <w:r>
              <w:rPr>
                <w:sz w:val="18"/>
              </w:rPr>
              <w:t xml:space="preserve">Know Your Customer, 2025</w:t>
            </w:r>
          </w:p>
        </w:tc>
        <w:tc>
          <w:tcPr>
            <w:tcW w:w="1513" w:type="dxa"/>
          </w:tcPr>
          <w:p>
            <w:pPr>
              <w:pStyle w:val="Compact"/>
              <w:spacing w:after="40"/>
              <w:jc w:val="left"/>
            </w:pPr>
            <w:r>
              <w:rPr>
                <w:sz w:val="18"/>
              </w:rPr>
              <w:t xml:space="preserve">RBI/DOR/2025-26/361; DOR.AML.REC.No.280/14.01.003/2025-26</w:t>
            </w:r>
          </w:p>
        </w:tc>
        <w:tc>
          <w:tcPr>
            <w:tcW w:w="3154" w:type="dxa"/>
          </w:tcPr>
          <w:p>
            <w:pPr>
              <w:pStyle w:val="Compact"/>
              <w:spacing w:after="40"/>
              <w:jc w:val="left"/>
            </w:pPr>
            <w:r>
              <w:rPr>
                <w:sz w:val="18"/>
              </w:rPr>
              <w:t xml:space="preserve">28 Nov 2025, updated as on 29 Dec 2025 (Explanation to para 63(9), CKYCR reliance, inserted w.e.f. 29 Dec 2025)</w:t>
            </w:r>
          </w:p>
        </w:tc>
        <w:tc>
          <w:tcPr>
            <w:tcW w:w="2634" w:type="dxa"/>
          </w:tcPr>
          <w:p>
            <w:pPr>
              <w:pStyle w:val="Compact"/>
              <w:spacing w:after="40"/>
              <w:jc w:val="left"/>
            </w:pPr>
            <w:r>
              <w:rPr>
                <w:sz w:val="18"/>
              </w:rPr>
              <w:t xml:space="preserve">All NBFC categories and layers; not NBFCs without customer interface (para 3); overseas branches and subsidiaries (para 4). Aadhaar e-KYC authentication only for NBFCs notified under PML Act s.11A</w:t>
            </w:r>
          </w:p>
        </w:tc>
      </w:tr>
      <w:tr>
        <w:tc>
          <w:tcPr>
            <w:tcW w:w="582" w:type="dxa"/>
          </w:tcPr>
          <w:p>
            <w:pPr>
              <w:pStyle w:val="Compact"/>
              <w:spacing w:after="40"/>
              <w:jc w:val="left"/>
            </w:pPr>
            <w:r>
              <w:rPr>
                <w:sz w:val="18"/>
              </w:rPr>
              <w:t xml:space="preserve">TDCR</w:t>
            </w:r>
          </w:p>
        </w:tc>
        <w:tc>
          <w:tcPr>
            <w:tcW w:w="1755" w:type="dxa"/>
          </w:tcPr>
          <w:p>
            <w:pPr>
              <w:pStyle w:val="Compact"/>
              <w:spacing w:after="40"/>
              <w:jc w:val="left"/>
            </w:pPr>
            <w:r>
              <w:rPr>
                <w:sz w:val="18"/>
              </w:rPr>
              <w:t xml:space="preserve">Transfer and Distribution of Credit Risk, 2025</w:t>
            </w:r>
          </w:p>
        </w:tc>
        <w:tc>
          <w:tcPr>
            <w:tcW w:w="1513" w:type="dxa"/>
          </w:tcPr>
          <w:p>
            <w:pPr>
              <w:pStyle w:val="Compact"/>
              <w:spacing w:after="40"/>
              <w:jc w:val="left"/>
            </w:pPr>
            <w:r>
              <w:rPr>
                <w:sz w:val="18"/>
              </w:rPr>
              <w:t xml:space="preserve">RBI/DOR/2025-26/352; DOR.STR.REC.271/21.04.048/2025-26</w:t>
            </w:r>
          </w:p>
        </w:tc>
        <w:tc>
          <w:tcPr>
            <w:tcW w:w="3154"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634" w:type="dxa"/>
          </w:tcPr>
          <w:p>
            <w:pPr>
              <w:pStyle w:val="Compact"/>
              <w:spacing w:after="40"/>
              <w:jc w:val="left"/>
            </w:pPr>
            <w:r>
              <w:rPr>
                <w:sz w:val="18"/>
              </w:rPr>
              <w:t xml:space="preserve">NBFC-D, ICC, Factor, MFI, IFC, IDF, HFC, all layers. Not MGC, P2P, AA, CIC, SPD, NOFHC or non-public-fund NBFCs (para 3). Part B (co-lending) from 1 Jan 2026 or an earlier date set by internal policy (paras 2, 95)</w:t>
            </w:r>
          </w:p>
        </w:tc>
      </w:tr>
      <w:tr>
        <w:tc>
          <w:tcPr>
            <w:tcW w:w="582" w:type="dxa"/>
          </w:tcPr>
          <w:p>
            <w:pPr>
              <w:pStyle w:val="Compact"/>
              <w:spacing w:after="40"/>
              <w:jc w:val="left"/>
            </w:pPr>
            <w:r>
              <w:rPr>
                <w:sz w:val="18"/>
              </w:rPr>
              <w:t xml:space="preserve">SEC</w:t>
            </w:r>
          </w:p>
        </w:tc>
        <w:tc>
          <w:tcPr>
            <w:tcW w:w="1755" w:type="dxa"/>
          </w:tcPr>
          <w:p>
            <w:pPr>
              <w:pStyle w:val="Compact"/>
              <w:spacing w:after="40"/>
              <w:jc w:val="left"/>
            </w:pPr>
            <w:r>
              <w:rPr>
                <w:sz w:val="18"/>
              </w:rPr>
              <w:t xml:space="preserve">Securitisation Transactions, 2025</w:t>
            </w:r>
          </w:p>
        </w:tc>
        <w:tc>
          <w:tcPr>
            <w:tcW w:w="1513" w:type="dxa"/>
          </w:tcPr>
          <w:p>
            <w:pPr>
              <w:pStyle w:val="Compact"/>
              <w:spacing w:after="40"/>
              <w:jc w:val="left"/>
            </w:pPr>
            <w:r>
              <w:rPr>
                <w:sz w:val="18"/>
              </w:rPr>
              <w:t xml:space="preserve">RBI/DOR/2025-26/353; DOR.STR.REC.272/21.04.177/2025-26</w:t>
            </w:r>
          </w:p>
        </w:tc>
        <w:tc>
          <w:tcPr>
            <w:tcW w:w="3154"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634" w:type="dxa"/>
          </w:tcPr>
          <w:p>
            <w:pPr>
              <w:pStyle w:val="Compact"/>
              <w:spacing w:after="40"/>
              <w:jc w:val="left"/>
            </w:pPr>
            <w:r>
              <w:rPr>
                <w:sz w:val="18"/>
              </w:rPr>
              <w:t xml:space="preserve">As TDCR (para 3). NBFCs as originators, investors and facility providers</w:t>
            </w:r>
          </w:p>
        </w:tc>
      </w:tr>
      <w:tr>
        <w:tc>
          <w:tcPr>
            <w:tcW w:w="582" w:type="dxa"/>
          </w:tcPr>
          <w:p>
            <w:pPr>
              <w:pStyle w:val="Compact"/>
              <w:spacing w:after="40"/>
              <w:jc w:val="left"/>
            </w:pPr>
            <w:r>
              <w:rPr>
                <w:sz w:val="18"/>
              </w:rPr>
              <w:t xml:space="preserve">CAP</w:t>
            </w:r>
          </w:p>
        </w:tc>
        <w:tc>
          <w:tcPr>
            <w:tcW w:w="1755" w:type="dxa"/>
          </w:tcPr>
          <w:p>
            <w:pPr>
              <w:pStyle w:val="Compact"/>
              <w:spacing w:after="40"/>
              <w:jc w:val="left"/>
            </w:pPr>
            <w:r>
              <w:rPr>
                <w:sz w:val="18"/>
              </w:rPr>
              <w:t xml:space="preserve">Prudential Norms on Capital Adequacy, 2025</w:t>
            </w:r>
          </w:p>
        </w:tc>
        <w:tc>
          <w:tcPr>
            <w:tcW w:w="1513" w:type="dxa"/>
          </w:tcPr>
          <w:p>
            <w:pPr>
              <w:pStyle w:val="Compact"/>
              <w:spacing w:after="40"/>
              <w:jc w:val="left"/>
            </w:pPr>
            <w:r>
              <w:rPr>
                <w:sz w:val="18"/>
              </w:rPr>
              <w:t xml:space="preserve">RBI/DOR/2025-26/345; DOR.CAP.REC.264/21-01-002/2025-26</w:t>
            </w:r>
          </w:p>
        </w:tc>
        <w:tc>
          <w:tcPr>
            <w:tcW w:w="3154" w:type="dxa"/>
          </w:tcPr>
          <w:p>
            <w:pPr>
              <w:pStyle w:val="Compact"/>
              <w:spacing w:after="40"/>
              <w:jc w:val="left"/>
            </w:pPr>
            <w:r>
              <w:rPr>
                <w:sz w:val="18"/>
              </w:rPr>
              <w:t xml:space="preserve">28 Nov 2025, updated as on 1 Apr 2026 (Amendments of 1 Jan 2026, effective 1 Apr 2026, and 10 Mar 2026)</w:t>
            </w:r>
          </w:p>
        </w:tc>
        <w:tc>
          <w:tcPr>
            <w:tcW w:w="2634" w:type="dxa"/>
          </w:tcPr>
          <w:p>
            <w:pPr>
              <w:pStyle w:val="Compact"/>
              <w:spacing w:after="40"/>
              <w:jc w:val="left"/>
            </w:pPr>
            <w:r>
              <w:rPr>
                <w:sz w:val="18"/>
              </w:rPr>
              <w:t xml:space="preserve">NBFC-D, ICC, Factor, IFC, IDF, MFI by layer; HFC, MGC, CIC and SPD for listed paras only; not P2P, AA, NOFHC or no-public-funds NBFCs (para 3)</w:t>
            </w:r>
          </w:p>
        </w:tc>
      </w:tr>
      <w:tr>
        <w:tc>
          <w:tcPr>
            <w:tcW w:w="582" w:type="dxa"/>
          </w:tcPr>
          <w:p>
            <w:pPr>
              <w:pStyle w:val="Compact"/>
              <w:spacing w:after="40"/>
              <w:jc w:val="left"/>
            </w:pPr>
            <w:r>
              <w:rPr>
                <w:sz w:val="18"/>
              </w:rPr>
              <w:t xml:space="preserve">SBR</w:t>
            </w:r>
          </w:p>
        </w:tc>
        <w:tc>
          <w:tcPr>
            <w:tcW w:w="1755" w:type="dxa"/>
          </w:tcPr>
          <w:p>
            <w:pPr>
              <w:pStyle w:val="Compact"/>
              <w:spacing w:after="40"/>
              <w:jc w:val="left"/>
            </w:pPr>
            <w:r>
              <w:rPr>
                <w:sz w:val="18"/>
              </w:rPr>
              <w:t xml:space="preserve">Registration, Exemptions and Framework for Scale Based Regulation, 2025</w:t>
            </w:r>
          </w:p>
        </w:tc>
        <w:tc>
          <w:tcPr>
            <w:tcW w:w="1513" w:type="dxa"/>
          </w:tcPr>
          <w:p>
            <w:pPr>
              <w:pStyle w:val="Compact"/>
              <w:spacing w:after="40"/>
              <w:jc w:val="left"/>
            </w:pPr>
            <w:r>
              <w:rPr>
                <w:sz w:val="18"/>
              </w:rPr>
              <w:t xml:space="preserve">RBI/DOR/2025-26/339; DOR.FIN.REC.No.258/03.10.119/2025-26</w:t>
            </w:r>
          </w:p>
        </w:tc>
        <w:tc>
          <w:tcPr>
            <w:tcW w:w="3154"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 any 2026 amendment not in the copy)</w:t>
            </w:r>
          </w:p>
        </w:tc>
        <w:tc>
          <w:tcPr>
            <w:tcW w:w="2634" w:type="dxa"/>
          </w:tcPr>
          <w:p>
            <w:pPr>
              <w:pStyle w:val="Compact"/>
              <w:spacing w:after="40"/>
              <w:jc w:val="left"/>
            </w:pPr>
            <w:r>
              <w:rPr>
                <w:sz w:val="18"/>
              </w:rPr>
              <w:t xml:space="preserve">All registered NBFCs incl. Government companies; Ch IV exemptions for specified non-banking institutions</w:t>
            </w:r>
          </w:p>
        </w:tc>
      </w:tr>
      <w:tr>
        <w:tc>
          <w:tcPr>
            <w:tcW w:w="582" w:type="dxa"/>
          </w:tcPr>
          <w:p>
            <w:pPr>
              <w:pStyle w:val="Compact"/>
              <w:spacing w:after="40"/>
              <w:jc w:val="left"/>
            </w:pPr>
            <w:r>
              <w:rPr>
                <w:sz w:val="18"/>
              </w:rPr>
              <w:t xml:space="preserve">DIV</w:t>
            </w:r>
          </w:p>
        </w:tc>
        <w:tc>
          <w:tcPr>
            <w:tcW w:w="1755" w:type="dxa"/>
          </w:tcPr>
          <w:p>
            <w:pPr>
              <w:pStyle w:val="Compact"/>
              <w:spacing w:after="40"/>
              <w:jc w:val="left"/>
            </w:pPr>
            <w:r>
              <w:rPr>
                <w:sz w:val="18"/>
              </w:rPr>
              <w:t xml:space="preserve">Prudential Norms on Declaration of Dividends, 2025</w:t>
            </w:r>
          </w:p>
        </w:tc>
        <w:tc>
          <w:tcPr>
            <w:tcW w:w="1513" w:type="dxa"/>
          </w:tcPr>
          <w:p>
            <w:pPr>
              <w:pStyle w:val="Compact"/>
              <w:spacing w:after="40"/>
              <w:jc w:val="left"/>
            </w:pPr>
            <w:r>
              <w:rPr>
                <w:sz w:val="18"/>
              </w:rPr>
              <w:t xml:space="preserve">RBI/DOR/2025-26/360; DOR.ACC.REC.279/21.02.067/2025-26</w:t>
            </w:r>
          </w:p>
        </w:tc>
        <w:tc>
          <w:tcPr>
            <w:tcW w:w="3154" w:type="dxa"/>
          </w:tcPr>
          <w:p>
            <w:pPr>
              <w:pStyle w:val="Compact"/>
              <w:spacing w:after="40"/>
              <w:jc w:val="left"/>
            </w:pPr>
            <w:r>
              <w:rPr>
                <w:sz w:val="18"/>
              </w:rPr>
              <w:t xml:space="preserve">28 Nov 2025</w:t>
            </w:r>
          </w:p>
        </w:tc>
        <w:tc>
          <w:tcPr>
            <w:tcW w:w="2634" w:type="dxa"/>
          </w:tcPr>
          <w:p>
            <w:pPr>
              <w:pStyle w:val="Compact"/>
              <w:spacing w:after="40"/>
              <w:jc w:val="left"/>
            </w:pPr>
            <w:r>
              <w:rPr>
                <w:sz w:val="18"/>
              </w:rPr>
              <w:t xml:space="preserve">All layers incl. HFC, MGC, SPD, CIC, P2P, AA; not NOFHC</w:t>
            </w:r>
          </w:p>
        </w:tc>
      </w:tr>
      <w:tr>
        <w:tc>
          <w:tcPr>
            <w:tcW w:w="582" w:type="dxa"/>
          </w:tcPr>
          <w:p>
            <w:pPr>
              <w:pStyle w:val="Compact"/>
              <w:spacing w:after="40"/>
              <w:jc w:val="left"/>
            </w:pPr>
            <w:r>
              <w:rPr>
                <w:sz w:val="18"/>
              </w:rPr>
              <w:t xml:space="preserve">MISC</w:t>
            </w:r>
          </w:p>
        </w:tc>
        <w:tc>
          <w:tcPr>
            <w:tcW w:w="1755" w:type="dxa"/>
          </w:tcPr>
          <w:p>
            <w:pPr>
              <w:pStyle w:val="Compact"/>
              <w:spacing w:after="40"/>
              <w:jc w:val="left"/>
            </w:pPr>
            <w:r>
              <w:rPr>
                <w:sz w:val="18"/>
              </w:rPr>
              <w:t xml:space="preserve">Miscellaneous, 2025</w:t>
            </w:r>
          </w:p>
        </w:tc>
        <w:tc>
          <w:tcPr>
            <w:tcW w:w="1513" w:type="dxa"/>
          </w:tcPr>
          <w:p>
            <w:pPr>
              <w:pStyle w:val="Compact"/>
              <w:spacing w:after="40"/>
              <w:jc w:val="left"/>
            </w:pPr>
            <w:r>
              <w:rPr>
                <w:sz w:val="18"/>
              </w:rPr>
              <w:t xml:space="preserve">RBI/DOR/2025-26/373; DOR.FIN.REC.No.292/03-10-119/2025-26</w:t>
            </w:r>
          </w:p>
        </w:tc>
        <w:tc>
          <w:tcPr>
            <w:tcW w:w="3154" w:type="dxa"/>
          </w:tcPr>
          <w:p>
            <w:pPr>
              <w:pStyle w:val="Compact"/>
              <w:spacing w:after="40"/>
              <w:jc w:val="left"/>
            </w:pPr>
            <w:r>
              <w:rPr>
                <w:sz w:val="18"/>
              </w:rPr>
              <w:t xml:space="preserve">28 Nov 2025, updated as on 26 Feb 2026</w:t>
            </w:r>
          </w:p>
        </w:tc>
        <w:tc>
          <w:tcPr>
            <w:tcW w:w="2634" w:type="dxa"/>
          </w:tcPr>
          <w:p>
            <w:pPr>
              <w:pStyle w:val="Compact"/>
              <w:spacing w:after="40"/>
              <w:jc w:val="left"/>
            </w:pPr>
            <w:r>
              <w:rPr>
                <w:sz w:val="18"/>
              </w:rPr>
              <w:t xml:space="preserve">Ch II all layers; Ch III ML+; Ch IV Factors; Ch V IDF; HFC, MGC, SPD, P2P, AA and CIC per para 3(1); not NOFHC</w:t>
            </w:r>
          </w:p>
        </w:tc>
      </w:tr>
      <w:tr>
        <w:tc>
          <w:tcPr>
            <w:tcW w:w="582" w:type="dxa"/>
          </w:tcPr>
          <w:p>
            <w:pPr>
              <w:pStyle w:val="Compact"/>
              <w:spacing w:after="40"/>
              <w:jc w:val="left"/>
            </w:pPr>
            <w:r>
              <w:rPr>
                <w:sz w:val="18"/>
              </w:rPr>
              <w:t xml:space="preserve">GOV</w:t>
            </w:r>
          </w:p>
        </w:tc>
        <w:tc>
          <w:tcPr>
            <w:tcW w:w="1755" w:type="dxa"/>
          </w:tcPr>
          <w:p>
            <w:pPr>
              <w:pStyle w:val="Compact"/>
              <w:spacing w:after="40"/>
              <w:jc w:val="left"/>
            </w:pPr>
            <w:r>
              <w:rPr>
                <w:sz w:val="18"/>
              </w:rPr>
              <w:t xml:space="preserve">Governance, 2025</w:t>
            </w:r>
          </w:p>
        </w:tc>
        <w:tc>
          <w:tcPr>
            <w:tcW w:w="1513" w:type="dxa"/>
          </w:tcPr>
          <w:p>
            <w:pPr>
              <w:pStyle w:val="Compact"/>
              <w:spacing w:after="40"/>
              <w:jc w:val="left"/>
            </w:pPr>
            <w:r>
              <w:rPr>
                <w:sz w:val="18"/>
              </w:rPr>
              <w:t xml:space="preserve">RBI/DOR/2025-26/344; DOR.GOV.REC.No.263/18-10-013/2025-26</w:t>
            </w:r>
          </w:p>
        </w:tc>
        <w:tc>
          <w:tcPr>
            <w:tcW w:w="3154"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634" w:type="dxa"/>
          </w:tcPr>
          <w:p>
            <w:pPr>
              <w:pStyle w:val="Compact"/>
              <w:spacing w:after="40"/>
              <w:jc w:val="left"/>
            </w:pPr>
            <w:r>
              <w:rPr>
                <w:sz w:val="18"/>
              </w:rPr>
              <w:t xml:space="preserve">BL Ch III; ML Ch II–IV; UL Ch II–V, incl. HFC; CIC/MGC/SPD/AA/P2P partial (para 3); not NOFHC; paras 29–37 not for government-owned NBFCs</w:t>
            </w:r>
          </w:p>
        </w:tc>
      </w:tr>
      <w:tr>
        <w:tc>
          <w:tcPr>
            <w:tcW w:w="582" w:type="dxa"/>
          </w:tcPr>
          <w:p>
            <w:pPr>
              <w:pStyle w:val="Compact"/>
              <w:spacing w:after="40"/>
              <w:jc w:val="left"/>
            </w:pPr>
            <w:r>
              <w:rPr>
                <w:sz w:val="18"/>
              </w:rPr>
              <w:t xml:space="preserve">OUT</w:t>
            </w:r>
          </w:p>
        </w:tc>
        <w:tc>
          <w:tcPr>
            <w:tcW w:w="1755" w:type="dxa"/>
          </w:tcPr>
          <w:p>
            <w:pPr>
              <w:pStyle w:val="Compact"/>
              <w:spacing w:after="40"/>
              <w:jc w:val="left"/>
            </w:pPr>
            <w:r>
              <w:rPr>
                <w:sz w:val="18"/>
              </w:rPr>
              <w:t xml:space="preserve">Managing Risks in Outsourcing, 2025</w:t>
            </w:r>
          </w:p>
        </w:tc>
        <w:tc>
          <w:tcPr>
            <w:tcW w:w="1513" w:type="dxa"/>
          </w:tcPr>
          <w:p>
            <w:pPr>
              <w:pStyle w:val="Compact"/>
              <w:spacing w:after="40"/>
              <w:jc w:val="left"/>
            </w:pPr>
            <w:r>
              <w:rPr>
                <w:sz w:val="18"/>
              </w:rPr>
              <w:t xml:space="preserve">RBI/DOR/2025-26/363; DOR.ORG.REC.No.282/21-04-158/2025-26</w:t>
            </w:r>
          </w:p>
        </w:tc>
        <w:tc>
          <w:tcPr>
            <w:tcW w:w="3154"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 existing IT agreements compliant by renewal or 10 Apr 2026 (para 2)</w:t>
            </w:r>
          </w:p>
        </w:tc>
        <w:tc>
          <w:tcPr>
            <w:tcW w:w="2634" w:type="dxa"/>
          </w:tcPr>
          <w:p>
            <w:pPr>
              <w:pStyle w:val="Compact"/>
              <w:spacing w:after="40"/>
              <w:jc w:val="left"/>
            </w:pPr>
            <w:r>
              <w:rPr>
                <w:sz w:val="18"/>
              </w:rPr>
              <w:t xml:space="preserve">NBFC-D, ICC, Factor, MFI, IFC, IDF, HFC, SPD, CIC, P2P, AA; BL excludes Ch IV and the IT parts of Ch II; MGC (ML+) Ch IV; not NOFHC</w:t>
            </w:r>
          </w:p>
        </w:tc>
      </w:tr>
      <w:tr>
        <w:tc>
          <w:tcPr>
            <w:tcW w:w="582" w:type="dxa"/>
          </w:tcPr>
          <w:p>
            <w:pPr>
              <w:pStyle w:val="Compact"/>
              <w:spacing w:after="40"/>
              <w:jc w:val="left"/>
            </w:pPr>
            <w:r>
              <w:rPr>
                <w:sz w:val="18"/>
              </w:rPr>
              <w:t xml:space="preserve">ORM</w:t>
            </w:r>
          </w:p>
        </w:tc>
        <w:tc>
          <w:tcPr>
            <w:tcW w:w="1755" w:type="dxa"/>
          </w:tcPr>
          <w:p>
            <w:pPr>
              <w:pStyle w:val="Compact"/>
              <w:spacing w:after="40"/>
              <w:jc w:val="left"/>
            </w:pPr>
            <w:r>
              <w:rPr>
                <w:sz w:val="18"/>
              </w:rPr>
              <w:t xml:space="preserve">Guidance Note on Operational Risk Management and Operational Resilience, 2025 (</w:t>
            </w:r>
            <w:r>
              <w:rPr>
                <w:bCs/>
                <w:b/>
                <w:sz w:val="18"/>
              </w:rPr>
              <w:t xml:space="preserve">guidance, not a Direction</w:t>
            </w:r>
            <w:r>
              <w:rPr>
                <w:sz w:val="18"/>
              </w:rPr>
              <w:t xml:space="preserve">)</w:t>
            </w:r>
          </w:p>
        </w:tc>
        <w:tc>
          <w:tcPr>
            <w:tcW w:w="1513" w:type="dxa"/>
          </w:tcPr>
          <w:p>
            <w:pPr>
              <w:pStyle w:val="Compact"/>
              <w:spacing w:after="40"/>
              <w:jc w:val="left"/>
            </w:pPr>
            <w:r>
              <w:rPr>
                <w:sz w:val="18"/>
              </w:rPr>
              <w:t xml:space="preserve">RBI/2025-26/[number blank in supplied copy]; DOR.ORG.REC.301/14.10.001/2025-26</w:t>
            </w:r>
          </w:p>
        </w:tc>
        <w:tc>
          <w:tcPr>
            <w:tcW w:w="3154" w:type="dxa"/>
          </w:tcPr>
          <w:p>
            <w:pPr>
              <w:pStyle w:val="Compact"/>
              <w:spacing w:after="40"/>
              <w:jc w:val="left"/>
            </w:pPr>
            <w:r>
              <w:rPr>
                <w:sz w:val="18"/>
              </w:rPr>
              <w:t xml:space="preserve">28 Nov 2025</w:t>
            </w:r>
          </w:p>
        </w:tc>
        <w:tc>
          <w:tcPr>
            <w:tcW w:w="2634" w:type="dxa"/>
          </w:tcPr>
          <w:p>
            <w:pPr>
              <w:pStyle w:val="Compact"/>
              <w:spacing w:after="40"/>
              <w:jc w:val="left"/>
            </w:pPr>
            <w:r>
              <w:rPr>
                <w:sz w:val="18"/>
              </w:rPr>
              <w:t xml:space="preserve">Banks (incl. SFB, PB, LAB), RRBs, UCBs, RCBs, AIFIs (incl. NHB), NBFC-BL/ML/UL (para 8); HFCs by implication (9(14)(iii)); BL =</w:t>
            </w:r>
            <w:r>
              <w:rPr>
                <w:sz w:val="18"/>
              </w:rPr>
              <w:t xml:space="preserve"> </w:t>
            </w:r>
            <w:r>
              <w:rPr>
                <w:sz w:val="18"/>
              </w:rPr>
              <w:t xml:space="preserve">“</w:t>
            </w:r>
            <w:r>
              <w:rPr>
                <w:sz w:val="18"/>
              </w:rPr>
              <w:t xml:space="preserve">smaller RE</w:t>
            </w:r>
            <w:r>
              <w:rPr>
                <w:sz w:val="18"/>
              </w:rPr>
              <w:t xml:space="preserve">”</w:t>
            </w:r>
            <w:r>
              <w:rPr>
                <w:sz w:val="18"/>
              </w:rPr>
              <w:t xml:space="preserve"> </w:t>
            </w:r>
            <w:r>
              <w:rPr>
                <w:sz w:val="18"/>
              </w:rPr>
              <w:t xml:space="preserve">(12(2))</w:t>
            </w:r>
          </w:p>
        </w:tc>
      </w:tr>
      <w:tr>
        <w:tc>
          <w:tcPr>
            <w:tcW w:w="582" w:type="dxa"/>
          </w:tcPr>
          <w:p>
            <w:pPr>
              <w:pStyle w:val="Compact"/>
              <w:spacing w:after="40"/>
              <w:jc w:val="left"/>
            </w:pPr>
            <w:r>
              <w:rPr>
                <w:sz w:val="18"/>
              </w:rPr>
              <w:t xml:space="preserve">MFI</w:t>
            </w:r>
          </w:p>
        </w:tc>
        <w:tc>
          <w:tcPr>
            <w:tcW w:w="1755" w:type="dxa"/>
          </w:tcPr>
          <w:p>
            <w:pPr>
              <w:pStyle w:val="Compact"/>
              <w:spacing w:after="40"/>
              <w:jc w:val="left"/>
            </w:pPr>
            <w:r>
              <w:rPr>
                <w:sz w:val="18"/>
              </w:rPr>
              <w:t xml:space="preserve">Microfinance Institution, 2025</w:t>
            </w:r>
          </w:p>
        </w:tc>
        <w:tc>
          <w:tcPr>
            <w:tcW w:w="1513" w:type="dxa"/>
          </w:tcPr>
          <w:p>
            <w:pPr>
              <w:pStyle w:val="Compact"/>
              <w:spacing w:after="40"/>
              <w:jc w:val="left"/>
            </w:pPr>
            <w:r>
              <w:rPr>
                <w:sz w:val="18"/>
              </w:rPr>
              <w:t xml:space="preserve">RBI/DOR/2025-26/371; DOR.FIN.REC.290/03-10-038/2025-26</w:t>
            </w:r>
          </w:p>
        </w:tc>
        <w:tc>
          <w:tcPr>
            <w:tcW w:w="3154"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634" w:type="dxa"/>
          </w:tcPr>
          <w:p>
            <w:pPr>
              <w:pStyle w:val="Compact"/>
              <w:spacing w:after="40"/>
              <w:jc w:val="left"/>
            </w:pPr>
            <w:r>
              <w:rPr>
                <w:sz w:val="18"/>
              </w:rPr>
              <w:t xml:space="preserve">Every NBFC-MFI (non-deposit-taking; ≥ 60% qualifying assets) (paras 3, 8(3)); para 49 (25% cap on microfinance loans) binds all NBFCs</w:t>
            </w:r>
          </w:p>
        </w:tc>
      </w:tr>
      <w:tr>
        <w:tc>
          <w:tcPr>
            <w:tcW w:w="582" w:type="dxa"/>
          </w:tcPr>
          <w:p>
            <w:pPr>
              <w:pStyle w:val="Compact"/>
              <w:spacing w:after="40"/>
              <w:jc w:val="left"/>
            </w:pPr>
            <w:r>
              <w:rPr>
                <w:sz w:val="18"/>
              </w:rPr>
              <w:t xml:space="preserve">IAF</w:t>
            </w:r>
          </w:p>
        </w:tc>
        <w:tc>
          <w:tcPr>
            <w:tcW w:w="1755" w:type="dxa"/>
          </w:tcPr>
          <w:p>
            <w:pPr>
              <w:pStyle w:val="Compact"/>
              <w:spacing w:after="40"/>
              <w:jc w:val="left"/>
            </w:pPr>
            <w:r>
              <w:rPr>
                <w:sz w:val="18"/>
              </w:rPr>
              <w:t xml:space="preserve">Internal Audit Function, 2026</w:t>
            </w:r>
          </w:p>
        </w:tc>
        <w:tc>
          <w:tcPr>
            <w:tcW w:w="1513" w:type="dxa"/>
          </w:tcPr>
          <w:p>
            <w:pPr>
              <w:pStyle w:val="Compact"/>
              <w:spacing w:after="40"/>
              <w:jc w:val="left"/>
            </w:pPr>
            <w:r>
              <w:rPr>
                <w:sz w:val="18"/>
              </w:rPr>
              <w:t xml:space="preserve">RBI/DoS/2026-27/464; DoS.CO.PPG.58/11.01.005/2026-27</w:t>
            </w:r>
          </w:p>
        </w:tc>
        <w:tc>
          <w:tcPr>
            <w:tcW w:w="3154" w:type="dxa"/>
          </w:tcPr>
          <w:p>
            <w:pPr>
              <w:pStyle w:val="Compact"/>
              <w:spacing w:after="40"/>
              <w:jc w:val="left"/>
            </w:pPr>
            <w:r>
              <w:rPr>
                <w:sz w:val="18"/>
              </w:rPr>
              <w:t xml:space="preserve">31 Jul 2026, immediate effect</w:t>
            </w:r>
          </w:p>
        </w:tc>
        <w:tc>
          <w:tcPr>
            <w:tcW w:w="2634" w:type="dxa"/>
          </w:tcPr>
          <w:p>
            <w:pPr>
              <w:pStyle w:val="Compact"/>
              <w:spacing w:after="40"/>
              <w:jc w:val="left"/>
            </w:pPr>
            <w:r>
              <w:rPr>
                <w:sz w:val="18"/>
              </w:rPr>
              <w:t xml:space="preserve">All NBFC-D and HFC-D; NBFC-ND and HFC-ND with assets ≥ ₹5,000 crore (para 3)</w:t>
            </w:r>
          </w:p>
        </w:tc>
      </w:tr>
      <w:tr>
        <w:tc>
          <w:tcPr>
            <w:tcW w:w="582" w:type="dxa"/>
          </w:tcPr>
          <w:p>
            <w:pPr>
              <w:pStyle w:val="Compact"/>
              <w:spacing w:after="40"/>
              <w:jc w:val="left"/>
            </w:pPr>
            <w:r>
              <w:rPr>
                <w:sz w:val="18"/>
              </w:rPr>
              <w:t xml:space="preserve">SA</w:t>
            </w:r>
          </w:p>
        </w:tc>
        <w:tc>
          <w:tcPr>
            <w:tcW w:w="1755" w:type="dxa"/>
          </w:tcPr>
          <w:p>
            <w:pPr>
              <w:pStyle w:val="Compact"/>
              <w:spacing w:after="40"/>
              <w:jc w:val="left"/>
            </w:pPr>
            <w:r>
              <w:rPr>
                <w:sz w:val="18"/>
              </w:rPr>
              <w:t xml:space="preserve">Statutory Audit, 2026</w:t>
            </w:r>
          </w:p>
        </w:tc>
        <w:tc>
          <w:tcPr>
            <w:tcW w:w="1513" w:type="dxa"/>
          </w:tcPr>
          <w:p>
            <w:pPr>
              <w:pStyle w:val="Compact"/>
              <w:spacing w:after="40"/>
              <w:jc w:val="left"/>
            </w:pPr>
            <w:r>
              <w:rPr>
                <w:sz w:val="18"/>
              </w:rPr>
              <w:t xml:space="preserve">RBI/DoS/2026-27/465; DoS.CO.ARG.59/08.91.001/2026-27</w:t>
            </w:r>
          </w:p>
        </w:tc>
        <w:tc>
          <w:tcPr>
            <w:tcW w:w="3154" w:type="dxa"/>
          </w:tcPr>
          <w:p>
            <w:pPr>
              <w:pStyle w:val="Compact"/>
              <w:spacing w:after="40"/>
              <w:jc w:val="left"/>
            </w:pPr>
            <w:r>
              <w:rPr>
                <w:sz w:val="18"/>
              </w:rPr>
              <w:t xml:space="preserve">31 Jul 2026, immediate effect</w:t>
            </w:r>
          </w:p>
        </w:tc>
        <w:tc>
          <w:tcPr>
            <w:tcW w:w="2634" w:type="dxa"/>
          </w:tcPr>
          <w:p>
            <w:pPr>
              <w:pStyle w:val="Compact"/>
              <w:spacing w:after="40"/>
              <w:jc w:val="left"/>
            </w:pPr>
            <w:r>
              <w:rPr>
                <w:sz w:val="18"/>
              </w:rPr>
              <w:t xml:space="preserve">All NBFCs incl. HFCs for SCA/SA appointment; NBFC-ND &lt; ₹1,000 crore may continue extant procedure (para 3)</w:t>
            </w:r>
          </w:p>
        </w:tc>
      </w:tr>
      <w:tr>
        <w:tc>
          <w:tcPr>
            <w:tcW w:w="582" w:type="dxa"/>
          </w:tcPr>
          <w:p>
            <w:pPr>
              <w:pStyle w:val="Compact"/>
              <w:spacing w:after="40"/>
              <w:jc w:val="left"/>
            </w:pPr>
            <w:r>
              <w:rPr>
                <w:sz w:val="18"/>
              </w:rPr>
              <w:t xml:space="preserve">SR</w:t>
            </w:r>
          </w:p>
        </w:tc>
        <w:tc>
          <w:tcPr>
            <w:tcW w:w="1755" w:type="dxa"/>
          </w:tcPr>
          <w:p>
            <w:pPr>
              <w:pStyle w:val="Compact"/>
              <w:spacing w:after="40"/>
              <w:jc w:val="left"/>
            </w:pPr>
            <w:r>
              <w:rPr>
                <w:sz w:val="18"/>
              </w:rPr>
              <w:t xml:space="preserve">Supervisory Returns, 2026</w:t>
            </w:r>
          </w:p>
        </w:tc>
        <w:tc>
          <w:tcPr>
            <w:tcW w:w="1513" w:type="dxa"/>
          </w:tcPr>
          <w:p>
            <w:pPr>
              <w:pStyle w:val="Compact"/>
              <w:spacing w:after="40"/>
              <w:jc w:val="left"/>
            </w:pPr>
            <w:r>
              <w:rPr>
                <w:sz w:val="18"/>
              </w:rPr>
              <w:t xml:space="preserve">RBI/DoS/2026-27/466; DoS.CO.DSG.60/33.01.001/2026-27</w:t>
            </w:r>
          </w:p>
        </w:tc>
        <w:tc>
          <w:tcPr>
            <w:tcW w:w="3154" w:type="dxa"/>
          </w:tcPr>
          <w:p>
            <w:pPr>
              <w:pStyle w:val="Compact"/>
              <w:spacing w:after="40"/>
              <w:jc w:val="left"/>
            </w:pPr>
            <w:r>
              <w:rPr>
                <w:sz w:val="18"/>
              </w:rPr>
              <w:t xml:space="preserve">31 Jul 2026, immediate effect</w:t>
            </w:r>
          </w:p>
        </w:tc>
        <w:tc>
          <w:tcPr>
            <w:tcW w:w="2634" w:type="dxa"/>
          </w:tcPr>
          <w:p>
            <w:pPr>
              <w:pStyle w:val="Compact"/>
              <w:spacing w:after="40"/>
              <w:jc w:val="left"/>
            </w:pPr>
            <w:r>
              <w:rPr>
                <w:sz w:val="18"/>
              </w:rPr>
              <w:t xml:space="preserve">All NBFCs, all layers,</w:t>
            </w:r>
            <w:r>
              <w:rPr>
                <w:sz w:val="18"/>
              </w:rPr>
              <w:t xml:space="preserve"> </w:t>
            </w:r>
            <w:r>
              <w:rPr>
                <w:bCs/>
                <w:b/>
                <w:sz w:val="18"/>
              </w:rPr>
              <w:t xml:space="preserve">HFCs excluded</w:t>
            </w:r>
            <w:r>
              <w:rPr>
                <w:sz w:val="18"/>
              </w:rPr>
              <w:t xml:space="preserve"> </w:t>
            </w:r>
            <w:r>
              <w:rPr>
                <w:sz w:val="18"/>
              </w:rPr>
              <w:t xml:space="preserve">(para 3); return-wise applicability in para 21</w:t>
            </w:r>
          </w:p>
        </w:tc>
      </w:tr>
      <w:tr>
        <w:tc>
          <w:tcPr>
            <w:tcW w:w="582" w:type="dxa"/>
          </w:tcPr>
          <w:p>
            <w:pPr>
              <w:pStyle w:val="Compact"/>
              <w:spacing w:after="40"/>
              <w:jc w:val="left"/>
            </w:pPr>
            <w:r>
              <w:rPr>
                <w:sz w:val="18"/>
              </w:rPr>
              <w:t xml:space="preserve">MSD</w:t>
            </w:r>
          </w:p>
        </w:tc>
        <w:tc>
          <w:tcPr>
            <w:tcW w:w="1755" w:type="dxa"/>
          </w:tcPr>
          <w:p>
            <w:pPr>
              <w:pStyle w:val="Compact"/>
              <w:spacing w:after="40"/>
              <w:jc w:val="left"/>
            </w:pPr>
            <w:r>
              <w:rPr>
                <w:sz w:val="18"/>
              </w:rPr>
              <w:t xml:space="preserve">Miscellaneous Supervisory, 2026</w:t>
            </w:r>
          </w:p>
        </w:tc>
        <w:tc>
          <w:tcPr>
            <w:tcW w:w="1513" w:type="dxa"/>
          </w:tcPr>
          <w:p>
            <w:pPr>
              <w:pStyle w:val="Compact"/>
              <w:spacing w:after="40"/>
              <w:jc w:val="left"/>
            </w:pPr>
            <w:r>
              <w:rPr>
                <w:sz w:val="18"/>
              </w:rPr>
              <w:t xml:space="preserve">RBI/DoS/2026-27/467; DoS.CO.PPG.61/11.01.005/2026-27</w:t>
            </w:r>
          </w:p>
        </w:tc>
        <w:tc>
          <w:tcPr>
            <w:tcW w:w="3154" w:type="dxa"/>
          </w:tcPr>
          <w:p>
            <w:pPr>
              <w:pStyle w:val="Compact"/>
              <w:spacing w:after="40"/>
              <w:jc w:val="left"/>
            </w:pPr>
            <w:r>
              <w:rPr>
                <w:sz w:val="18"/>
              </w:rPr>
              <w:t xml:space="preserve">31 Jul 2026, immediate effect</w:t>
            </w:r>
          </w:p>
        </w:tc>
        <w:tc>
          <w:tcPr>
            <w:tcW w:w="2634" w:type="dxa"/>
          </w:tcPr>
          <w:p>
            <w:pPr>
              <w:pStyle w:val="Compact"/>
              <w:spacing w:after="40"/>
              <w:jc w:val="left"/>
            </w:pPr>
            <w:r>
              <w:rPr>
                <w:sz w:val="18"/>
              </w:rPr>
              <w:t xml:space="preserve">NBFCs and HFCs (para 3); Ch II UL/ML with ≥ 10 fixed point service delivery units; Ch III incl. HFCs and MFIs; Ch IV NBFC-D excl. HFCs; Ch V NBFC-D and ML/UL/TL NBFC-ND excl. no-public-funds NBFCs, PDs, HFCs</w:t>
            </w:r>
          </w:p>
        </w:tc>
      </w:tr>
    </w:tbl>
    <w:p>
      <w:pPr>
        <w:pStyle w:val="BodyText"/>
      </w:pPr>
      <w:r>
        <w:t xml:space="preserve">The DoS Directions of 31 Jul 2026 (CMP, CYB, DPS, FRM; IAF para 44, SA para 31, SR para 27, MSD para 22) repeal earlier instructions through circular DoS.CO.PPG.66/11.01.005/2026-27. The repeal list in that circular is not in the supplied texts [VERIFY].</w:t>
      </w:r>
    </w:p>
    <w:p>
      <w:pPr>
        <w:pStyle w:val="BodyText"/>
      </w:pPr>
      <w:r>
        <w:t xml:space="preserve">Instruments used by Parts 7B–7L that are not in this table — RBI Directions for commercial banks, UCBs, HFCs, ARCs, CICs, AIF investments, e-mandates and payment aggregators, the RBI Ombudsman Scheme 2026, the Internal Ombudsman Directions 2026, and non-RBI law and professional standards — are listed with their codes in Part 8A.37 (v1.5). They were verified from primary or reputable secondary sources, not from supplied official texts, unless Part 8A.37 says otherwise.</w:t>
      </w:r>
    </w:p>
    <w:p>
      <w:r>
        <w:pict>
          <v:rect style="width:0;height:1.5pt" o:hralign="center" o:hrstd="t" o:hr="t"/>
        </w:pict>
      </w:r>
    </w:p>
    <w:bookmarkEnd w:id="772"/>
    <w:bookmarkEnd w:id="773"/>
    <w:bookmarkStart w:id="781" w:name="a.1-cf-credit-facilities-directions-347"/>
    <w:p>
      <w:pPr>
        <w:pStyle w:val="Heading2"/>
      </w:pPr>
      <w:r>
        <w:t xml:space="preserve">8A.1 CF — Credit Facilities Directions (347)</w:t>
      </w:r>
    </w:p>
    <w:p>
      <w:pPr>
        <w:pStyle w:val="FirstParagraph"/>
      </w:pPr>
      <w:r>
        <w:rPr>
          <w:bCs/>
          <w:b/>
        </w:rPr>
        <w:t xml:space="preserve">Structure:</w:t>
      </w:r>
    </w:p>
    <w:p>
      <w:pPr>
        <w:numPr>
          <w:ilvl w:val="0"/>
          <w:numId w:val="1609"/>
        </w:numPr>
        <w:pStyle w:val="Compact"/>
      </w:pPr>
      <w:r>
        <w:t xml:space="preserve">Ch I paras 1–4</w:t>
      </w:r>
    </w:p>
    <w:p>
      <w:pPr>
        <w:numPr>
          <w:ilvl w:val="0"/>
          <w:numId w:val="1609"/>
        </w:numPr>
        <w:pStyle w:val="Compact"/>
      </w:pPr>
      <w:r>
        <w:t xml:space="preserve">Ch II para 5</w:t>
      </w:r>
    </w:p>
    <w:p>
      <w:pPr>
        <w:numPr>
          <w:ilvl w:val="0"/>
          <w:numId w:val="1609"/>
        </w:numPr>
        <w:pStyle w:val="Compact"/>
      </w:pPr>
      <w:r>
        <w:t xml:space="preserve">Ch III Digital Lending paras 6–30</w:t>
      </w:r>
    </w:p>
    <w:p>
      <w:pPr>
        <w:numPr>
          <w:ilvl w:val="0"/>
          <w:numId w:val="1609"/>
        </w:numPr>
        <w:pStyle w:val="Compact"/>
      </w:pPr>
      <w:r>
        <w:t xml:space="preserve">Ch IV Gold &amp; Silver paras 32–50 (para 31 deleted w.e.f. 1 Apr 2026)</w:t>
      </w:r>
    </w:p>
    <w:p>
      <w:pPr>
        <w:numPr>
          <w:ilvl w:val="0"/>
          <w:numId w:val="1609"/>
        </w:numPr>
        <w:pStyle w:val="Compact"/>
      </w:pPr>
      <w:r>
        <w:t xml:space="preserve">Ch V Microfinance paras 51–62</w:t>
      </w:r>
    </w:p>
    <w:p>
      <w:pPr>
        <w:numPr>
          <w:ilvl w:val="0"/>
          <w:numId w:val="1609"/>
        </w:numPr>
        <w:pStyle w:val="Compact"/>
      </w:pPr>
      <w:r>
        <w:t xml:space="preserve">Ch VI Project Finance paras 63–79</w:t>
      </w:r>
    </w:p>
    <w:p>
      <w:pPr>
        <w:numPr>
          <w:ilvl w:val="0"/>
          <w:numId w:val="1609"/>
        </w:numPr>
        <w:pStyle w:val="Compact"/>
      </w:pPr>
      <w:r>
        <w:t xml:space="preserve">Ch VII Partial Credit Enhancement paras 80–103</w:t>
      </w:r>
    </w:p>
    <w:p>
      <w:pPr>
        <w:numPr>
          <w:ilvl w:val="0"/>
          <w:numId w:val="1609"/>
        </w:numPr>
        <w:pStyle w:val="Compact"/>
      </w:pPr>
      <w:r>
        <w:t xml:space="preserve">Ch VIII Other restrictions paras 104–108</w:t>
      </w:r>
    </w:p>
    <w:p>
      <w:pPr>
        <w:numPr>
          <w:ilvl w:val="0"/>
          <w:numId w:val="1609"/>
        </w:numPr>
        <w:pStyle w:val="Compact"/>
      </w:pPr>
      <w:r>
        <w:t xml:space="preserve">Ch IX Real estate / CRE paras 109–111</w:t>
      </w:r>
    </w:p>
    <w:p>
      <w:pPr>
        <w:numPr>
          <w:ilvl w:val="0"/>
          <w:numId w:val="1609"/>
        </w:numPr>
        <w:pStyle w:val="Compact"/>
      </w:pPr>
      <w:r>
        <w:t xml:space="preserve">Ch X Repeal paras 112–115</w:t>
      </w:r>
    </w:p>
    <w:p>
      <w:pPr>
        <w:numPr>
          <w:ilvl w:val="0"/>
          <w:numId w:val="1609"/>
        </w:numPr>
        <w:pStyle w:val="Compact"/>
      </w:pPr>
      <w:r>
        <w:t xml:space="preserve">Annex-I: CIMS DLA data. Annex-II: deleted. Annex-III: pledged-securities data.</w:t>
      </w:r>
    </w:p>
    <w:p>
      <w:pPr>
        <w:numPr>
          <w:ilvl w:val="0"/>
          <w:numId w:val="1609"/>
        </w:numPr>
        <w:pStyle w:val="Compact"/>
      </w:pPr>
      <w:r>
        <w:t xml:space="preserve">Para 25(1) was substituted w.e.f. 13 Feb 2026.</w:t>
      </w:r>
    </w:p>
    <w:p>
      <w:pPr>
        <w:pStyle w:val="FirstParagraph"/>
      </w:pPr>
      <w:r>
        <w:rPr>
          <w:bCs/>
          <w:b/>
        </w:rPr>
        <w:t xml:space="preserve">Board credit policy (para 5).</w:t>
      </w:r>
      <w:r>
        <w:t xml:space="preserve"> </w:t>
      </w:r>
      <w:r>
        <w:t xml:space="preserve">The Board-approved credit policy must cover:</w:t>
      </w:r>
    </w:p>
    <w:p>
      <w:pPr>
        <w:numPr>
          <w:ilvl w:val="0"/>
          <w:numId w:val="1610"/>
        </w:numPr>
        <w:pStyle w:val="Compact"/>
      </w:pPr>
      <w:r>
        <w:t xml:space="preserve">digital lending including DLG;</w:t>
      </w:r>
    </w:p>
    <w:p>
      <w:pPr>
        <w:numPr>
          <w:ilvl w:val="0"/>
          <w:numId w:val="1610"/>
        </w:numPr>
        <w:pStyle w:val="Compact"/>
      </w:pPr>
      <w:r>
        <w:t xml:space="preserve">gold and silver;</w:t>
      </w:r>
    </w:p>
    <w:p>
      <w:pPr>
        <w:numPr>
          <w:ilvl w:val="0"/>
          <w:numId w:val="1610"/>
        </w:numPr>
        <w:pStyle w:val="Compact"/>
      </w:pPr>
      <w:r>
        <w:t xml:space="preserve">microfinance;</w:t>
      </w:r>
    </w:p>
    <w:p>
      <w:pPr>
        <w:numPr>
          <w:ilvl w:val="0"/>
          <w:numId w:val="1610"/>
        </w:numPr>
        <w:pStyle w:val="Compact"/>
      </w:pPr>
      <w:r>
        <w:t xml:space="preserve">project finance;</w:t>
      </w:r>
    </w:p>
    <w:p>
      <w:pPr>
        <w:numPr>
          <w:ilvl w:val="0"/>
          <w:numId w:val="1610"/>
        </w:numPr>
        <w:pStyle w:val="Compact"/>
      </w:pPr>
      <w:r>
        <w:t xml:space="preserve">demand/call loans;</w:t>
      </w:r>
    </w:p>
    <w:p>
      <w:pPr>
        <w:numPr>
          <w:ilvl w:val="0"/>
          <w:numId w:val="1610"/>
        </w:numPr>
        <w:pStyle w:val="Compact"/>
      </w:pPr>
      <w:r>
        <w:t xml:space="preserve">housing finance.</w:t>
      </w:r>
    </w:p>
    <w:p>
      <w:pPr>
        <w:pStyle w:val="FirstParagraph"/>
      </w:pPr>
      <w:r>
        <w:rPr>
          <w:iCs/>
          <w:i/>
        </w:rPr>
        <w:t xml:space="preserve">Build:</w:t>
      </w:r>
      <w:r>
        <w:t xml:space="preserve"> </w:t>
      </w:r>
      <w:r>
        <w:t xml:space="preserve">a policy registry. Every product template links to the approved credit-policy version.</w:t>
      </w:r>
    </w:p>
    <w:bookmarkStart w:id="774" w:name="digital-lending-ch-iii"/>
    <w:p>
      <w:pPr>
        <w:pStyle w:val="Heading3"/>
      </w:pPr>
      <w:r>
        <w:t xml:space="preserve">Digital lending (Ch III)</w:t>
      </w:r>
    </w:p>
    <w:p>
      <w:pPr>
        <w:pStyle w:val="FirstParagraph"/>
      </w:pPr>
      <w:r>
        <w:rPr>
          <w:bCs/>
          <w:b/>
        </w:rPr>
        <w:t xml:space="preserve">LSP arrangements (para 6):</w:t>
      </w:r>
    </w:p>
    <w:p>
      <w:pPr>
        <w:numPr>
          <w:ilvl w:val="0"/>
          <w:numId w:val="1611"/>
        </w:numPr>
        <w:pStyle w:val="Compact"/>
      </w:pPr>
      <w:r>
        <w:t xml:space="preserve">a contract with each LSP;</w:t>
      </w:r>
    </w:p>
    <w:p>
      <w:pPr>
        <w:numPr>
          <w:ilvl w:val="0"/>
          <w:numId w:val="1611"/>
        </w:numPr>
        <w:pStyle w:val="Compact"/>
      </w:pPr>
      <w:r>
        <w:t xml:space="preserve">enhanced due diligence covering technical capability, data privacy, conduct, past record and compliance;</w:t>
      </w:r>
    </w:p>
    <w:p>
      <w:pPr>
        <w:numPr>
          <w:ilvl w:val="0"/>
          <w:numId w:val="1611"/>
        </w:numPr>
        <w:pStyle w:val="Compact"/>
      </w:pPr>
      <w:r>
        <w:t xml:space="preserve">periodic conduct review;</w:t>
      </w:r>
    </w:p>
    <w:p>
      <w:pPr>
        <w:numPr>
          <w:ilvl w:val="0"/>
          <w:numId w:val="1611"/>
        </w:numPr>
        <w:pStyle w:val="Compact"/>
      </w:pPr>
      <w:r>
        <w:t xml:space="preserve">policy-based monitoring of portfolios originated through LSPs;</w:t>
      </w:r>
    </w:p>
    <w:p>
      <w:pPr>
        <w:numPr>
          <w:ilvl w:val="0"/>
          <w:numId w:val="1611"/>
        </w:numPr>
        <w:pStyle w:val="Compact"/>
      </w:pPr>
      <w:r>
        <w:t xml:space="preserve">guidance to an LSP acting as recovery agent;</w:t>
      </w:r>
    </w:p>
    <w:p>
      <w:pPr>
        <w:numPr>
          <w:ilvl w:val="0"/>
          <w:numId w:val="1611"/>
        </w:numPr>
        <w:pStyle w:val="Compact"/>
      </w:pPr>
      <w:r>
        <w:t xml:space="preserve">the NBFC is</w:t>
      </w:r>
      <w:r>
        <w:t xml:space="preserve"> </w:t>
      </w:r>
      <w:r>
        <w:t xml:space="preserve">“</w:t>
      </w:r>
      <w:r>
        <w:t xml:space="preserve">fully responsible and liable for all acts and omissions of the LSP</w:t>
      </w:r>
      <w:r>
        <w:t xml:space="preserve">”</w:t>
      </w:r>
      <w:r>
        <w:t xml:space="preserve"> </w:t>
      </w:r>
      <w:r>
        <w:t xml:space="preserve">(para 6(7)).</w:t>
      </w:r>
    </w:p>
    <w:p>
      <w:pPr>
        <w:pStyle w:val="FirstParagraph"/>
      </w:pPr>
      <w:r>
        <w:rPr>
          <w:bCs/>
          <w:b/>
        </w:rPr>
        <w:t xml:space="preserve">Multi-lender LSPs (para 7):</w:t>
      </w:r>
    </w:p>
    <w:p>
      <w:pPr>
        <w:numPr>
          <w:ilvl w:val="0"/>
          <w:numId w:val="1612"/>
        </w:numPr>
        <w:pStyle w:val="Compact"/>
      </w:pPr>
      <w:r>
        <w:t xml:space="preserve">show all matching offers, and disclose the names of unmatched lenders;</w:t>
      </w:r>
    </w:p>
    <w:p>
      <w:pPr>
        <w:numPr>
          <w:ilvl w:val="0"/>
          <w:numId w:val="1612"/>
        </w:numPr>
        <w:pStyle w:val="Compact"/>
      </w:pPr>
      <w:r>
        <w:t xml:space="preserve">use a documented, consistent matching approach for similarly placed borrowers;</w:t>
      </w:r>
    </w:p>
    <w:p>
      <w:pPr>
        <w:numPr>
          <w:ilvl w:val="0"/>
          <w:numId w:val="1612"/>
        </w:numPr>
        <w:pStyle w:val="Compact"/>
      </w:pPr>
      <w:r>
        <w:t xml:space="preserve">each offer shows lender name, amount, tenor, APR, monthly repayment obligation, penal charges, and a KFS link;</w:t>
      </w:r>
    </w:p>
    <w:p>
      <w:pPr>
        <w:numPr>
          <w:ilvl w:val="0"/>
          <w:numId w:val="1612"/>
        </w:numPr>
        <w:pStyle w:val="Compact"/>
      </w:pPr>
      <w:r>
        <w:t xml:space="preserve">no promotion of any lender and no dark patterns;</w:t>
      </w:r>
    </w:p>
    <w:p>
      <w:pPr>
        <w:numPr>
          <w:ilvl w:val="0"/>
          <w:numId w:val="1612"/>
        </w:numPr>
        <w:pStyle w:val="Compact"/>
      </w:pPr>
      <w:r>
        <w:t xml:space="preserve">ranking only on a publicly pre-disclosed metric.</w:t>
      </w:r>
    </w:p>
    <w:p>
      <w:pPr>
        <w:pStyle w:val="FirstParagraph"/>
      </w:pPr>
      <w:r>
        <w:rPr>
          <w:bCs/>
          <w:b/>
        </w:rPr>
        <w:t xml:space="preserve">Creditworthiness (para 8):</w:t>
      </w:r>
    </w:p>
    <w:p>
      <w:pPr>
        <w:numPr>
          <w:ilvl w:val="0"/>
          <w:numId w:val="1613"/>
        </w:numPr>
        <w:pStyle w:val="Compact"/>
      </w:pPr>
      <w:r>
        <w:t xml:space="preserve">at minimum, capture age, occupation and income, and keep them for audit;</w:t>
      </w:r>
    </w:p>
    <w:p>
      <w:pPr>
        <w:numPr>
          <w:ilvl w:val="0"/>
          <w:numId w:val="1613"/>
        </w:numPr>
        <w:pStyle w:val="Compact"/>
      </w:pPr>
      <w:r>
        <w:t xml:space="preserve">no automatic increase in credit limit without an explicit, evaluated and recorded borrower request.</w:t>
      </w:r>
    </w:p>
    <w:p>
      <w:pPr>
        <w:pStyle w:val="FirstParagraph"/>
      </w:pPr>
      <w:r>
        <w:rPr>
          <w:bCs/>
          <w:b/>
        </w:rPr>
        <w:t xml:space="preserve">Disclosures (para 9):</w:t>
      </w:r>
    </w:p>
    <w:p>
      <w:pPr>
        <w:numPr>
          <w:ilvl w:val="0"/>
          <w:numId w:val="1614"/>
        </w:numPr>
        <w:pStyle w:val="Compact"/>
      </w:pPr>
      <w:r>
        <w:t xml:space="preserve">KFS and penal charges per RBC.</w:t>
      </w:r>
    </w:p>
    <w:p>
      <w:pPr>
        <w:numPr>
          <w:ilvl w:val="0"/>
          <w:numId w:val="1614"/>
        </w:numPr>
        <w:pStyle w:val="Compact"/>
      </w:pPr>
      <w:r>
        <w:t xml:space="preserve">Digitally signed documents on NBFC letterhead flow automatically to the registered and verified email/SMS on execution. These are: KFS, product summary, sanction letter, T&amp;C, account statements, and the NBFC/LSP privacy policies (para 9(3)).</w:t>
      </w:r>
    </w:p>
    <w:p>
      <w:pPr>
        <w:numPr>
          <w:ilvl w:val="0"/>
          <w:numId w:val="1614"/>
        </w:numPr>
        <w:pStyle w:val="Compact"/>
      </w:pPr>
      <w:r>
        <w:t xml:space="preserve">The website shows at one prominent place (para 9(4)):</w:t>
      </w:r>
    </w:p>
    <w:p>
      <w:pPr>
        <w:numPr>
          <w:ilvl w:val="1"/>
          <w:numId w:val="1615"/>
        </w:numPr>
        <w:pStyle w:val="Compact"/>
      </w:pPr>
      <w:r>
        <w:t xml:space="preserve">digital lending products and DLAs;</w:t>
      </w:r>
    </w:p>
    <w:p>
      <w:pPr>
        <w:numPr>
          <w:ilvl w:val="1"/>
          <w:numId w:val="1615"/>
        </w:numPr>
        <w:pStyle w:val="Compact"/>
      </w:pPr>
      <w:r>
        <w:t xml:space="preserve">LSPs, their DLAs and the activities they perform;</w:t>
      </w:r>
    </w:p>
    <w:p>
      <w:pPr>
        <w:numPr>
          <w:ilvl w:val="1"/>
          <w:numId w:val="1615"/>
        </w:numPr>
        <w:pStyle w:val="Compact"/>
      </w:pPr>
      <w:r>
        <w:t xml:space="preserve">customer care and grievance redressal;</w:t>
      </w:r>
    </w:p>
    <w:p>
      <w:pPr>
        <w:numPr>
          <w:ilvl w:val="1"/>
          <w:numId w:val="1615"/>
        </w:numPr>
        <w:pStyle w:val="Compact"/>
      </w:pPr>
      <w:r>
        <w:t xml:space="preserve">CMS and Sachet links;</w:t>
      </w:r>
    </w:p>
    <w:p>
      <w:pPr>
        <w:numPr>
          <w:ilvl w:val="1"/>
          <w:numId w:val="1615"/>
        </w:numPr>
        <w:pStyle w:val="Compact"/>
      </w:pPr>
      <w:r>
        <w:t xml:space="preserve">privacy policies.</w:t>
      </w:r>
    </w:p>
    <w:p>
      <w:pPr>
        <w:numPr>
          <w:ilvl w:val="0"/>
          <w:numId w:val="1614"/>
        </w:numPr>
        <w:pStyle w:val="Compact"/>
      </w:pPr>
      <w:r>
        <w:t xml:space="preserve">DLAs and LSPs link to that website (para 9(5)).</w:t>
      </w:r>
    </w:p>
    <w:p>
      <w:pPr>
        <w:numPr>
          <w:ilvl w:val="0"/>
          <w:numId w:val="1614"/>
        </w:numPr>
        <w:pStyle w:val="Compact"/>
      </w:pPr>
      <w:r>
        <w:t xml:space="preserve">When a recovery agent is assigned or changed, send the agent’s particulars by email/SMS</w:t>
      </w:r>
      <w:r>
        <w:t xml:space="preserve"> </w:t>
      </w:r>
      <w:r>
        <w:rPr>
          <w:bCs/>
          <w:b/>
        </w:rPr>
        <w:t xml:space="preserve">before</w:t>
      </w:r>
      <w:r>
        <w:t xml:space="preserve"> </w:t>
      </w:r>
      <w:r>
        <w:t xml:space="preserve">the agent contacts the borrower (para 9(6)).</w:t>
      </w:r>
    </w:p>
    <w:p>
      <w:pPr>
        <w:pStyle w:val="FirstParagraph"/>
      </w:pPr>
      <w:r>
        <w:rPr>
          <w:bCs/>
          <w:b/>
        </w:rPr>
        <w:t xml:space="preserve">Money flows (para 10):</w:t>
      </w:r>
    </w:p>
    <w:p>
      <w:pPr>
        <w:numPr>
          <w:ilvl w:val="0"/>
          <w:numId w:val="1616"/>
        </w:numPr>
        <w:pStyle w:val="Compact"/>
      </w:pPr>
      <w:r>
        <w:rPr>
          <w:bCs/>
          <w:b/>
        </w:rPr>
        <w:t xml:space="preserve">Disbursal:</w:t>
      </w:r>
      <w:r>
        <w:t xml:space="preserve"> </w:t>
      </w:r>
      <w:r>
        <w:t xml:space="preserve">always to the borrower’s bank account. Exceptions:</w:t>
      </w:r>
    </w:p>
    <w:p>
      <w:pPr>
        <w:numPr>
          <w:ilvl w:val="1"/>
          <w:numId w:val="1617"/>
        </w:numPr>
        <w:pStyle w:val="Compact"/>
      </w:pPr>
      <w:r>
        <w:t xml:space="preserve">disbursal exclusively under a statutory or regulatory mandate;</w:t>
      </w:r>
    </w:p>
    <w:p>
      <w:pPr>
        <w:numPr>
          <w:ilvl w:val="1"/>
          <w:numId w:val="1617"/>
        </w:numPr>
        <w:pStyle w:val="Compact"/>
      </w:pPr>
      <w:r>
        <w:t xml:space="preserve">co-lending flows between lenders;</w:t>
      </w:r>
    </w:p>
    <w:p>
      <w:pPr>
        <w:numPr>
          <w:ilvl w:val="1"/>
          <w:numId w:val="1617"/>
        </w:numPr>
        <w:pStyle w:val="Compact"/>
      </w:pPr>
      <w:r>
        <w:t xml:space="preserve">a specific end-use, paid directly into the end-beneficiary’s bank account.</w:t>
      </w:r>
    </w:p>
    <w:p>
      <w:pPr>
        <w:numPr>
          <w:ilvl w:val="1"/>
          <w:numId w:val="1617"/>
        </w:numPr>
        <w:pStyle w:val="Compact"/>
      </w:pPr>
      <w:r>
        <w:t xml:space="preserve">Never to a third-party or LSP account (para 10(1)).</w:t>
      </w:r>
    </w:p>
    <w:p>
      <w:pPr>
        <w:numPr>
          <w:ilvl w:val="0"/>
          <w:numId w:val="1616"/>
        </w:numPr>
        <w:pStyle w:val="Compact"/>
      </w:pPr>
      <w:r>
        <w:rPr>
          <w:bCs/>
          <w:b/>
        </w:rPr>
        <w:t xml:space="preserve">Salary-advance proviso:</w:t>
      </w:r>
      <w:r>
        <w:t xml:space="preserve"> </w:t>
      </w:r>
      <w:r>
        <w:t xml:space="preserve">the employer may repay by salary deduction directly from the employer’s bank account.</w:t>
      </w:r>
    </w:p>
    <w:p>
      <w:pPr>
        <w:numPr>
          <w:ilvl w:val="0"/>
          <w:numId w:val="1616"/>
        </w:numPr>
        <w:pStyle w:val="Compact"/>
      </w:pPr>
      <w:r>
        <w:rPr>
          <w:bCs/>
          <w:b/>
        </w:rPr>
        <w:t xml:space="preserve">Co-lending:</w:t>
      </w:r>
      <w:r>
        <w:t xml:space="preserve"> </w:t>
      </w:r>
      <w:r>
        <w:t xml:space="preserve">no third party other than the lenders may control the flows.</w:t>
      </w:r>
    </w:p>
    <w:p>
      <w:pPr>
        <w:numPr>
          <w:ilvl w:val="0"/>
          <w:numId w:val="1616"/>
        </w:numPr>
        <w:pStyle w:val="Compact"/>
      </w:pPr>
      <w:r>
        <w:rPr>
          <w:bCs/>
          <w:b/>
        </w:rPr>
        <w:t xml:space="preserve">Repayment:</w:t>
      </w:r>
      <w:r>
        <w:t xml:space="preserve"> </w:t>
      </w:r>
      <w:r>
        <w:t xml:space="preserve">directly to the NBFC’s account, with no pass-through or pool account (para 10(2)); no third-party control (para 10(3)).</w:t>
      </w:r>
    </w:p>
    <w:p>
      <w:pPr>
        <w:numPr>
          <w:ilvl w:val="0"/>
          <w:numId w:val="1616"/>
        </w:numPr>
        <w:pStyle w:val="Compact"/>
      </w:pPr>
      <w:r>
        <w:rPr>
          <w:bCs/>
          <w:b/>
        </w:rPr>
        <w:t xml:space="preserve">LSP fees:</w:t>
      </w:r>
      <w:r>
        <w:t xml:space="preserve"> </w:t>
      </w:r>
      <w:r>
        <w:t xml:space="preserve">paid by the NBFC (para 10(4)).</w:t>
      </w:r>
    </w:p>
    <w:p>
      <w:pPr>
        <w:numPr>
          <w:ilvl w:val="0"/>
          <w:numId w:val="1616"/>
        </w:numPr>
        <w:pStyle w:val="Compact"/>
      </w:pPr>
      <w:r>
        <w:rPr>
          <w:bCs/>
          <w:b/>
        </w:rPr>
        <w:t xml:space="preserve">Cash recovery on delinquent loans:</w:t>
      </w:r>
      <w:r>
        <w:t xml:space="preserve"> </w:t>
      </w:r>
      <w:r>
        <w:t xml:space="preserve">allowed, but</w:t>
      </w:r>
      <w:r>
        <w:t xml:space="preserve"> </w:t>
      </w:r>
      <w:r>
        <w:t xml:space="preserve">“</w:t>
      </w:r>
      <w:r>
        <w:t xml:space="preserve">duly reflected in full in the borrower’s account on the same day</w:t>
      </w:r>
      <w:r>
        <w:t xml:space="preserve">”</w:t>
      </w:r>
      <w:r>
        <w:t xml:space="preserve">; LSP fees are not deducted from recoveries (para 10(5)).</w:t>
      </w:r>
    </w:p>
    <w:p>
      <w:pPr>
        <w:pStyle w:val="FirstParagraph"/>
      </w:pPr>
      <w:r>
        <w:rPr>
          <w:bCs/>
          <w:b/>
        </w:rPr>
        <w:t xml:space="preserve">Cooling-off (para 11):</w:t>
      </w:r>
    </w:p>
    <w:p>
      <w:pPr>
        <w:numPr>
          <w:ilvl w:val="0"/>
          <w:numId w:val="1618"/>
        </w:numPr>
        <w:pStyle w:val="Compact"/>
      </w:pPr>
      <w:r>
        <w:t xml:space="preserve">The borrower can exit by paying principal and proportionate APR, without penalty.</w:t>
      </w:r>
    </w:p>
    <w:p>
      <w:pPr>
        <w:numPr>
          <w:ilvl w:val="0"/>
          <w:numId w:val="1618"/>
        </w:numPr>
        <w:pStyle w:val="Compact"/>
      </w:pPr>
      <w:r>
        <w:t xml:space="preserve">The period is set in the Board-approved credit policy and is not less than one day.</w:t>
      </w:r>
    </w:p>
    <w:p>
      <w:pPr>
        <w:numPr>
          <w:ilvl w:val="0"/>
          <w:numId w:val="1618"/>
        </w:numPr>
        <w:pStyle w:val="Compact"/>
      </w:pPr>
      <w:r>
        <w:t xml:space="preserve">A reasonable one-time processing fee may be retained only if disclosed upfront in the KFS.</w:t>
      </w:r>
    </w:p>
    <w:p>
      <w:pPr>
        <w:pStyle w:val="FirstParagraph"/>
      </w:pPr>
      <w:r>
        <w:rPr>
          <w:bCs/>
          <w:b/>
        </w:rPr>
        <w:t xml:space="preserve">Grievances (para 12):</w:t>
      </w:r>
    </w:p>
    <w:p>
      <w:pPr>
        <w:numPr>
          <w:ilvl w:val="0"/>
          <w:numId w:val="1619"/>
        </w:numPr>
        <w:pStyle w:val="Compact"/>
      </w:pPr>
      <w:r>
        <w:t xml:space="preserve">nodal grievance officers at the NBFC and at each borrower-facing LSP;</w:t>
      </w:r>
    </w:p>
    <w:p>
      <w:pPr>
        <w:numPr>
          <w:ilvl w:val="0"/>
          <w:numId w:val="1619"/>
        </w:numPr>
        <w:pStyle w:val="Compact"/>
      </w:pPr>
      <w:r>
        <w:t xml:space="preserve">their contacts on the NBFC website, LSP website, DLA and KFS;</w:t>
      </w:r>
    </w:p>
    <w:p>
      <w:pPr>
        <w:numPr>
          <w:ilvl w:val="0"/>
          <w:numId w:val="1619"/>
        </w:numPr>
        <w:pStyle w:val="Compact"/>
      </w:pPr>
      <w:r>
        <w:t xml:space="preserve">complaints can be lodged on the DLA and website;</w:t>
      </w:r>
    </w:p>
    <w:p>
      <w:pPr>
        <w:numPr>
          <w:ilvl w:val="0"/>
          <w:numId w:val="1619"/>
        </w:numPr>
        <w:pStyle w:val="Compact"/>
      </w:pPr>
      <w:r>
        <w:t xml:space="preserve">after 30 days without reply, or on rejection, escalation to CMS (cms.rbi.org.in) or CRPC, RBI Chandigarh, which must be communicated to the borrower.</w:t>
      </w:r>
    </w:p>
    <w:p>
      <w:pPr>
        <w:pStyle w:val="FirstParagraph"/>
      </w:pPr>
      <w:r>
        <w:rPr>
          <w:bCs/>
          <w:b/>
        </w:rPr>
        <w:t xml:space="preserve">Data (paras 13–16):</w:t>
      </w:r>
    </w:p>
    <w:p>
      <w:pPr>
        <w:numPr>
          <w:ilvl w:val="0"/>
          <w:numId w:val="1620"/>
        </w:numPr>
        <w:pStyle w:val="Compact"/>
      </w:pPr>
      <w:r>
        <w:t xml:space="preserve">Need-based collection, explicit consent, audit trail.</w:t>
      </w:r>
    </w:p>
    <w:p>
      <w:pPr>
        <w:numPr>
          <w:ilvl w:val="0"/>
          <w:numId w:val="1620"/>
        </w:numPr>
        <w:pStyle w:val="Compact"/>
      </w:pPr>
      <w:r>
        <w:t xml:space="preserve">No access to files/media, contacts, call logs or telephony.</w:t>
      </w:r>
    </w:p>
    <w:p>
      <w:pPr>
        <w:numPr>
          <w:ilvl w:val="0"/>
          <w:numId w:val="1620"/>
        </w:numPr>
        <w:pStyle w:val="Compact"/>
      </w:pPr>
      <w:r>
        <w:t xml:space="preserve">Camera, microphone and location only as one-time access for onboarding/KYC (para 13(1)).</w:t>
      </w:r>
    </w:p>
    <w:p>
      <w:pPr>
        <w:numPr>
          <w:ilvl w:val="0"/>
          <w:numId w:val="1620"/>
        </w:numPr>
        <w:pStyle w:val="Compact"/>
      </w:pPr>
      <w:r>
        <w:t xml:space="preserve">Borrowers can deny, restrict, revoke and request deletion (para 13(2)).</w:t>
      </w:r>
    </w:p>
    <w:p>
      <w:pPr>
        <w:numPr>
          <w:ilvl w:val="0"/>
          <w:numId w:val="1620"/>
        </w:numPr>
        <w:pStyle w:val="Compact"/>
      </w:pPr>
      <w:r>
        <w:t xml:space="preserve">Purpose disclosed at each stage (para 13(3)).</w:t>
      </w:r>
    </w:p>
    <w:p>
      <w:pPr>
        <w:numPr>
          <w:ilvl w:val="0"/>
          <w:numId w:val="1620"/>
        </w:numPr>
        <w:pStyle w:val="Compact"/>
      </w:pPr>
      <w:r>
        <w:t xml:space="preserve">Explicit consent before any third-party sharing (para 13(4)).</w:t>
      </w:r>
    </w:p>
    <w:p>
      <w:pPr>
        <w:numPr>
          <w:ilvl w:val="0"/>
          <w:numId w:val="1620"/>
        </w:numPr>
        <w:pStyle w:val="Compact"/>
      </w:pPr>
      <w:r>
        <w:t xml:space="preserve">The LSP holds only minimal data (para 14(1)).</w:t>
      </w:r>
    </w:p>
    <w:p>
      <w:pPr>
        <w:numPr>
          <w:ilvl w:val="0"/>
          <w:numId w:val="1620"/>
        </w:numPr>
        <w:pStyle w:val="Compact"/>
      </w:pPr>
      <w:r>
        <w:t xml:space="preserve">A storage, retention and destruction policy is published (para 14(2)).</w:t>
      </w:r>
    </w:p>
    <w:p>
      <w:pPr>
        <w:numPr>
          <w:ilvl w:val="0"/>
          <w:numId w:val="1620"/>
        </w:numPr>
        <w:pStyle w:val="Compact"/>
      </w:pPr>
      <w:r>
        <w:rPr>
          <w:bCs/>
          <w:b/>
        </w:rPr>
        <w:t xml:space="preserve">No biometric storage unless statute allows</w:t>
      </w:r>
      <w:r>
        <w:t xml:space="preserve"> </w:t>
      </w:r>
      <w:r>
        <w:t xml:space="preserve">(para 14(3)).</w:t>
      </w:r>
    </w:p>
    <w:p>
      <w:pPr>
        <w:numPr>
          <w:ilvl w:val="0"/>
          <w:numId w:val="1620"/>
        </w:numPr>
        <w:pStyle w:val="Compact"/>
      </w:pPr>
      <w:r>
        <w:t xml:space="preserve">Data stored in India only; anything processed abroad is deleted there and repatriated within 24 hours (para 14(4)).</w:t>
      </w:r>
    </w:p>
    <w:p>
      <w:pPr>
        <w:numPr>
          <w:ilvl w:val="0"/>
          <w:numId w:val="1620"/>
        </w:numPr>
        <w:pStyle w:val="Compact"/>
      </w:pPr>
      <w:r>
        <w:t xml:space="preserve">Privacy policy (para 15); cybersecurity standards (para 16).</w:t>
      </w:r>
    </w:p>
    <w:p>
      <w:pPr>
        <w:pStyle w:val="FirstParagraph"/>
      </w:pPr>
      <w:r>
        <w:rPr>
          <w:bCs/>
          <w:b/>
        </w:rPr>
        <w:t xml:space="preserve">CIC and CIMS (paras 17–18):</w:t>
      </w:r>
    </w:p>
    <w:p>
      <w:pPr>
        <w:numPr>
          <w:ilvl w:val="0"/>
          <w:numId w:val="1621"/>
        </w:numPr>
        <w:pStyle w:val="Compact"/>
      </w:pPr>
      <w:r>
        <w:t xml:space="preserve">Report all DLA lending to CICs irrespective of nature or tenor, including merchant-platform deferred-payment credit (para 17).</w:t>
      </w:r>
    </w:p>
    <w:p>
      <w:pPr>
        <w:numPr>
          <w:ilvl w:val="0"/>
          <w:numId w:val="1621"/>
        </w:numPr>
        <w:pStyle w:val="Compact"/>
      </w:pPr>
      <w:r>
        <w:t xml:space="preserve">Report every DLA (own or LSP) on CIMS in the Annex-I format, one line per DLA per platform. Fields: name, owner (self/LSP),</w:t>
      </w:r>
      <w:r>
        <w:t xml:space="preserve"> </w:t>
      </w:r>
      <w:r>
        <w:t xml:space="preserve">“</w:t>
      </w:r>
      <w:r>
        <w:t xml:space="preserve">available on</w:t>
      </w:r>
      <w:r>
        <w:t xml:space="preserve">”</w:t>
      </w:r>
      <w:r>
        <w:t xml:space="preserve">, link, GRO name/email/telephone/mobile, RE website. Update on addition or cessation.</w:t>
      </w:r>
    </w:p>
    <w:p>
      <w:pPr>
        <w:numPr>
          <w:ilvl w:val="0"/>
          <w:numId w:val="1621"/>
        </w:numPr>
        <w:pStyle w:val="Compact"/>
      </w:pPr>
      <w:r>
        <w:t xml:space="preserve">The CCO or a Board-designated official certifies four points (para 18(3)–(4)):</w:t>
      </w:r>
    </w:p>
    <w:p>
      <w:pPr>
        <w:numPr>
          <w:ilvl w:val="1"/>
          <w:numId w:val="1622"/>
        </w:numPr>
        <w:pStyle w:val="Compact"/>
      </w:pPr>
      <w:r>
        <w:t xml:space="preserve">the website link;</w:t>
      </w:r>
    </w:p>
    <w:p>
      <w:pPr>
        <w:numPr>
          <w:ilvl w:val="1"/>
          <w:numId w:val="1622"/>
        </w:numPr>
        <w:pStyle w:val="Compact"/>
      </w:pPr>
      <w:r>
        <w:t xml:space="preserve">the LSP-DLA nodal officer;</w:t>
      </w:r>
    </w:p>
    <w:p>
      <w:pPr>
        <w:numPr>
          <w:ilvl w:val="1"/>
          <w:numId w:val="1622"/>
        </w:numPr>
        <w:pStyle w:val="Compact"/>
      </w:pPr>
      <w:r>
        <w:t xml:space="preserve">data compliance with paras 13–14;</w:t>
      </w:r>
    </w:p>
    <w:p>
      <w:pPr>
        <w:numPr>
          <w:ilvl w:val="1"/>
          <w:numId w:val="1622"/>
        </w:numPr>
        <w:pStyle w:val="Compact"/>
      </w:pPr>
      <w:r>
        <w:t xml:space="preserve">website disclosure under para 9(4).</w:t>
      </w:r>
    </w:p>
    <w:p>
      <w:pPr>
        <w:numPr>
          <w:ilvl w:val="0"/>
          <w:numId w:val="1621"/>
        </w:numPr>
        <w:pStyle w:val="Compact"/>
      </w:pPr>
      <w:r>
        <w:t xml:space="preserve">The CIMS listing is not an RBI endorsement (para 18(6)).</w:t>
      </w:r>
    </w:p>
    <w:bookmarkEnd w:id="774"/>
    <w:bookmarkStart w:id="775" w:name="dlg-paras-1929"/>
    <w:p>
      <w:pPr>
        <w:pStyle w:val="Heading3"/>
      </w:pPr>
      <w:r>
        <w:t xml:space="preserve">DLG (paras 19–29)</w:t>
      </w:r>
    </w:p>
    <w:p>
      <w:pPr>
        <w:numPr>
          <w:ilvl w:val="0"/>
          <w:numId w:val="1623"/>
        </w:numPr>
        <w:pStyle w:val="Compact"/>
      </w:pPr>
      <w:r>
        <w:t xml:space="preserve">DLG only from an LSP, or another lender engaged as LSP, incorporated under the Companies Act, 2013 (para 19).</w:t>
      </w:r>
    </w:p>
    <w:p>
      <w:pPr>
        <w:numPr>
          <w:ilvl w:val="0"/>
          <w:numId w:val="1623"/>
        </w:numPr>
        <w:pStyle w:val="Compact"/>
      </w:pPr>
      <w:r>
        <w:t xml:space="preserve">Board policy; DLG is no substitute for underwriting (para 20(1)–(2)).</w:t>
      </w:r>
    </w:p>
    <w:p>
      <w:pPr>
        <w:numPr>
          <w:ilvl w:val="0"/>
          <w:numId w:val="1623"/>
        </w:numPr>
        <w:pStyle w:val="Compact"/>
      </w:pPr>
      <w:r>
        <w:t xml:space="preserve">Statutory-auditor-certified provider declaration on every entry or renewal (para 20(3)).</w:t>
      </w:r>
    </w:p>
    <w:p>
      <w:pPr>
        <w:numPr>
          <w:ilvl w:val="0"/>
          <w:numId w:val="1623"/>
        </w:numPr>
        <w:pStyle w:val="Compact"/>
      </w:pPr>
      <w:r>
        <w:t xml:space="preserve">No DLG on loans covered by trust-fund credit-guarantee schemes (para 21(1)).</w:t>
      </w:r>
    </w:p>
    <w:p>
      <w:pPr>
        <w:numPr>
          <w:ilvl w:val="0"/>
          <w:numId w:val="1623"/>
        </w:numPr>
        <w:pStyle w:val="Compact"/>
      </w:pPr>
      <w:r>
        <w:t xml:space="preserve">Contract terms: extent, form, invocation timeline, disclosures (para 22).</w:t>
      </w:r>
    </w:p>
    <w:p>
      <w:pPr>
        <w:numPr>
          <w:ilvl w:val="0"/>
          <w:numId w:val="1623"/>
        </w:numPr>
        <w:pStyle w:val="Compact"/>
      </w:pPr>
      <w:r>
        <w:rPr>
          <w:bCs/>
          <w:b/>
        </w:rPr>
        <w:t xml:space="preserve">Forms (para 23):</w:t>
      </w:r>
      <w:r>
        <w:t xml:space="preserve"> </w:t>
      </w:r>
      <w:r>
        <w:t xml:space="preserve">cash with the NBFC; FD with a Scheduled Commercial Bank with lien to the NBFC; or bank guarantee in favour of the NBFC.</w:t>
      </w:r>
    </w:p>
    <w:p>
      <w:pPr>
        <w:numPr>
          <w:ilvl w:val="0"/>
          <w:numId w:val="1623"/>
        </w:numPr>
        <w:pStyle w:val="Compact"/>
      </w:pPr>
      <w:r>
        <w:rPr>
          <w:bCs/>
          <w:b/>
        </w:rPr>
        <w:t xml:space="preserve">Cap (para 24):</w:t>
      </w:r>
      <w:r>
        <w:t xml:space="preserve"> </w:t>
      </w:r>
      <w:r>
        <w:t xml:space="preserve">≤ 5% of the total amount disbursed out of the loan portfolio at any time. For implicit guarantees, performance risk ≤ 5%.</w:t>
      </w:r>
    </w:p>
    <w:p>
      <w:pPr>
        <w:numPr>
          <w:ilvl w:val="1"/>
          <w:numId w:val="1624"/>
        </w:numPr>
        <w:pStyle w:val="Compact"/>
      </w:pPr>
      <w:r>
        <w:t xml:space="preserve">The</w:t>
      </w:r>
      <w:r>
        <w:t xml:space="preserve"> </w:t>
      </w:r>
      <w:r>
        <w:rPr>
          <w:bCs/>
          <w:b/>
        </w:rPr>
        <w:t xml:space="preserve">DLG set is fixed</w:t>
      </w:r>
      <w:r>
        <w:t xml:space="preserve">, not dynamic.</w:t>
      </w:r>
    </w:p>
    <w:p>
      <w:pPr>
        <w:numPr>
          <w:ilvl w:val="1"/>
          <w:numId w:val="1624"/>
        </w:numPr>
        <w:pStyle w:val="Compact"/>
      </w:pPr>
      <w:r>
        <w:t xml:space="preserve">Cover activates pro rata as loans are disbursed.</w:t>
      </w:r>
    </w:p>
    <w:p>
      <w:pPr>
        <w:numPr>
          <w:ilvl w:val="1"/>
          <w:numId w:val="1624"/>
        </w:numPr>
        <w:pStyle w:val="Compact"/>
      </w:pPr>
      <w:r>
        <w:t xml:space="preserve">Loans leave the set only by repayment or write-off.</w:t>
      </w:r>
    </w:p>
    <w:p>
      <w:pPr>
        <w:numPr>
          <w:ilvl w:val="0"/>
          <w:numId w:val="1623"/>
        </w:numPr>
        <w:pStyle w:val="Compact"/>
      </w:pPr>
      <w:r>
        <w:rPr>
          <w:bCs/>
          <w:b/>
        </w:rPr>
        <w:t xml:space="preserve">Treatment (para 25):</w:t>
      </w:r>
    </w:p>
    <w:p>
      <w:pPr>
        <w:numPr>
          <w:ilvl w:val="1"/>
          <w:numId w:val="1625"/>
        </w:numPr>
        <w:pStyle w:val="Compact"/>
      </w:pPr>
      <w:r>
        <w:t xml:space="preserve">Asset classification and provisioning follow the IRACP Directions (para 25(1), substituted 13 Feb 2026). ECL may reflect DLG cover only where integral to the loan contract; recompute after every invocation (IRACP paras 36A–36C).</w:t>
      </w:r>
    </w:p>
    <w:p>
      <w:pPr>
        <w:numPr>
          <w:ilvl w:val="1"/>
          <w:numId w:val="1625"/>
        </w:numPr>
        <w:pStyle w:val="Compact"/>
      </w:pPr>
      <w:r>
        <w:t xml:space="preserve">Invoked DLG is not set off against individual loans (para 25(2)).</w:t>
      </w:r>
    </w:p>
    <w:p>
      <w:pPr>
        <w:numPr>
          <w:ilvl w:val="1"/>
          <w:numId w:val="1625"/>
        </w:numPr>
        <w:pStyle w:val="Compact"/>
      </w:pPr>
      <w:r>
        <w:t xml:space="preserve">Recoveries may be shared (para 25(3)).</w:t>
      </w:r>
    </w:p>
    <w:p>
      <w:pPr>
        <w:numPr>
          <w:ilvl w:val="1"/>
          <w:numId w:val="1625"/>
        </w:numPr>
        <w:pStyle w:val="Compact"/>
      </w:pPr>
      <w:r>
        <w:t xml:space="preserve">Invoked DLG is</w:t>
      </w:r>
      <w:r>
        <w:t xml:space="preserve"> </w:t>
      </w:r>
      <w:r>
        <w:rPr>
          <w:bCs/>
          <w:b/>
        </w:rPr>
        <w:t xml:space="preserve">never reinstated</w:t>
      </w:r>
      <w:r>
        <w:t xml:space="preserve">, including through recovery (para 25(4)).</w:t>
      </w:r>
    </w:p>
    <w:p>
      <w:pPr>
        <w:numPr>
          <w:ilvl w:val="0"/>
          <w:numId w:val="1623"/>
        </w:numPr>
        <w:pStyle w:val="Compact"/>
      </w:pPr>
      <w:r>
        <w:t xml:space="preserve">An NBFC that provides DLG deducts it from capital (para 26(2)).</w:t>
      </w:r>
    </w:p>
    <w:p>
      <w:pPr>
        <w:numPr>
          <w:ilvl w:val="0"/>
          <w:numId w:val="1623"/>
        </w:numPr>
        <w:pStyle w:val="Compact"/>
      </w:pPr>
      <w:r>
        <w:t xml:space="preserve">Invoke within a maximum of 120 days overdue, unless dues are made good (para 27(1)). The DLG agreement runs at least as long as the longest loan tenor (para 27(2)).</w:t>
      </w:r>
    </w:p>
    <w:p>
      <w:pPr>
        <w:numPr>
          <w:ilvl w:val="0"/>
          <w:numId w:val="1623"/>
        </w:numPr>
        <w:pStyle w:val="Compact"/>
      </w:pPr>
      <w:r>
        <w:t xml:space="preserve">The LSP publishes portfolio counts and amounts monthly, within 7 working days of month-end, and the NBFC ensures it does (para 28).</w:t>
      </w:r>
    </w:p>
    <w:p>
      <w:pPr>
        <w:numPr>
          <w:ilvl w:val="0"/>
          <w:numId w:val="1623"/>
        </w:numPr>
        <w:pStyle w:val="Compact"/>
      </w:pPr>
      <w:r>
        <w:t xml:space="preserve">Not DLG: CGTMSE, CRGFTLIH, NCGTC; BIS, IMF and MDB guarantees (para 29).</w:t>
      </w:r>
    </w:p>
    <w:p>
      <w:pPr>
        <w:numPr>
          <w:ilvl w:val="0"/>
          <w:numId w:val="1623"/>
        </w:numPr>
        <w:pStyle w:val="Compact"/>
      </w:pPr>
      <w:r>
        <w:t xml:space="preserve">DLG is not synthetic securitisation (para 30(2)). Synthetic securitisation is prohibited (SEC paras 4(25), 5(3)).</w:t>
      </w:r>
    </w:p>
    <w:bookmarkEnd w:id="775"/>
    <w:bookmarkStart w:id="776" w:name="gold-and-silver-ch-iv"/>
    <w:p>
      <w:pPr>
        <w:pStyle w:val="Heading3"/>
      </w:pPr>
      <w:r>
        <w:t xml:space="preserve">Gold and silver (Ch IV)</w:t>
      </w:r>
    </w:p>
    <w:p>
      <w:pPr>
        <w:pStyle w:val="FirstParagraph"/>
      </w:pPr>
      <w:r>
        <w:t xml:space="preserve">Eligible collateral is gold/silver jewellery, ornaments and coins only.</w:t>
      </w:r>
    </w:p>
    <w:p>
      <w:pPr>
        <w:numPr>
          <w:ilvl w:val="0"/>
          <w:numId w:val="1626"/>
        </w:numPr>
        <w:pStyle w:val="Compact"/>
      </w:pPr>
      <w:r>
        <w:rPr>
          <w:bCs/>
          <w:b/>
        </w:rPr>
        <w:t xml:space="preserve">Policy (para 32).</w:t>
      </w:r>
    </w:p>
    <w:p>
      <w:pPr>
        <w:numPr>
          <w:ilvl w:val="0"/>
          <w:numId w:val="1626"/>
        </w:numPr>
        <w:pStyle w:val="Compact"/>
      </w:pPr>
      <w:r>
        <w:rPr>
          <w:bCs/>
          <w:b/>
        </w:rPr>
        <w:t xml:space="preserve">Detailed credit assessment</w:t>
      </w:r>
      <w:r>
        <w:t xml:space="preserve"> </w:t>
      </w:r>
      <w:r>
        <w:t xml:space="preserve">where the total loan is above ₹2.5 lakh; for bullet loans, use the amount payable at maturity (para 33).</w:t>
      </w:r>
    </w:p>
    <w:p>
      <w:pPr>
        <w:numPr>
          <w:ilvl w:val="0"/>
          <w:numId w:val="1626"/>
        </w:numPr>
        <w:pStyle w:val="Compact"/>
      </w:pPr>
      <w:r>
        <w:rPr>
          <w:bCs/>
          <w:b/>
        </w:rPr>
        <w:t xml:space="preserve">Renewal or top-up (para 34):</w:t>
      </w:r>
    </w:p>
    <w:p>
      <w:pPr>
        <w:numPr>
          <w:ilvl w:val="1"/>
          <w:numId w:val="1627"/>
        </w:numPr>
        <w:pStyle w:val="Compact"/>
      </w:pPr>
      <w:r>
        <w:t xml:space="preserve">only on a formal request;</w:t>
      </w:r>
    </w:p>
    <w:p>
      <w:pPr>
        <w:numPr>
          <w:ilvl w:val="1"/>
          <w:numId w:val="1627"/>
        </w:numPr>
        <w:pStyle w:val="Compact"/>
      </w:pPr>
      <w:r>
        <w:t xml:space="preserve">with assessment;</w:t>
      </w:r>
    </w:p>
    <w:p>
      <w:pPr>
        <w:numPr>
          <w:ilvl w:val="1"/>
          <w:numId w:val="1627"/>
        </w:numPr>
        <w:pStyle w:val="Compact"/>
      </w:pPr>
      <w:r>
        <w:t xml:space="preserve">within LTV;</w:t>
      </w:r>
    </w:p>
    <w:p>
      <w:pPr>
        <w:numPr>
          <w:ilvl w:val="1"/>
          <w:numId w:val="1627"/>
        </w:numPr>
        <w:pStyle w:val="Compact"/>
      </w:pPr>
      <w:r>
        <w:t xml:space="preserve">on a standard account;</w:t>
      </w:r>
    </w:p>
    <w:p>
      <w:pPr>
        <w:numPr>
          <w:ilvl w:val="1"/>
          <w:numId w:val="1627"/>
        </w:numPr>
        <w:pStyle w:val="Compact"/>
      </w:pPr>
      <w:r>
        <w:t xml:space="preserve">for bullet loans, only after accrued interest is paid;</w:t>
      </w:r>
    </w:p>
    <w:p>
      <w:pPr>
        <w:numPr>
          <w:ilvl w:val="1"/>
          <w:numId w:val="1627"/>
        </w:numPr>
        <w:pStyle w:val="Compact"/>
      </w:pPr>
      <w:r>
        <w:t xml:space="preserve">renewals and top-ups clearly flagged in the system.</w:t>
      </w:r>
    </w:p>
    <w:p>
      <w:pPr>
        <w:numPr>
          <w:ilvl w:val="0"/>
          <w:numId w:val="1626"/>
        </w:numPr>
        <w:pStyle w:val="Compact"/>
      </w:pPr>
      <w:r>
        <w:rPr>
          <w:bCs/>
          <w:b/>
        </w:rPr>
        <w:t xml:space="preserve">Prohibitions (para 35):</w:t>
      </w:r>
      <w:r>
        <w:t xml:space="preserve"> </w:t>
      </w:r>
      <w:r>
        <w:t xml:space="preserve">no loans to buy gold in any form, or gold ETF/MF units; no loans against primary gold or silver, or financial assets backed by them.</w:t>
      </w:r>
    </w:p>
    <w:p>
      <w:pPr>
        <w:numPr>
          <w:ilvl w:val="0"/>
          <w:numId w:val="1626"/>
        </w:numPr>
        <w:pStyle w:val="Compact"/>
      </w:pPr>
      <w:r>
        <w:rPr>
          <w:bCs/>
          <w:b/>
        </w:rPr>
        <w:t xml:space="preserve">Ownership (para 36):</w:t>
      </w:r>
      <w:r>
        <w:t xml:space="preserve"> </w:t>
      </w:r>
      <w:r>
        <w:t xml:space="preserve">no loan where ownership is doubtful; ownership document or declaration in all cases; AML monitoring of multiple or frequent loans above a threshold.</w:t>
      </w:r>
    </w:p>
    <w:p>
      <w:pPr>
        <w:numPr>
          <w:ilvl w:val="0"/>
          <w:numId w:val="1626"/>
        </w:numPr>
        <w:pStyle w:val="Compact"/>
      </w:pPr>
      <w:r>
        <w:t xml:space="preserve">No re-pledge (para 37).</w:t>
      </w:r>
    </w:p>
    <w:p>
      <w:pPr>
        <w:numPr>
          <w:ilvl w:val="0"/>
          <w:numId w:val="1626"/>
        </w:numPr>
        <w:pStyle w:val="Compact"/>
      </w:pPr>
      <w:r>
        <w:rPr>
          <w:bCs/>
          <w:b/>
        </w:rPr>
        <w:t xml:space="preserve">Consumption bullet loans:</w:t>
      </w:r>
      <w:r>
        <w:t xml:space="preserve"> </w:t>
      </w:r>
      <w:r>
        <w:t xml:space="preserve">≤ 12 months (para 38).</w:t>
      </w:r>
    </w:p>
    <w:p>
      <w:pPr>
        <w:numPr>
          <w:ilvl w:val="0"/>
          <w:numId w:val="1626"/>
        </w:numPr>
        <w:pStyle w:val="Compact"/>
      </w:pPr>
      <w:r>
        <w:rPr>
          <w:bCs/>
          <w:b/>
        </w:rPr>
        <w:t xml:space="preserve">Weight caps per borrower (para 39):</w:t>
      </w:r>
      <w:r>
        <w:t xml:space="preserve"> </w:t>
      </w:r>
      <w:r>
        <w:t xml:space="preserve">gold ornaments 1 kg; silver ornaments 10 kg; gold coins 50 g; silver coins 500 g.</w:t>
      </w:r>
    </w:p>
    <w:p>
      <w:pPr>
        <w:numPr>
          <w:ilvl w:val="0"/>
          <w:numId w:val="1626"/>
        </w:numPr>
        <w:pStyle w:val="Compact"/>
      </w:pPr>
      <w:r>
        <w:rPr>
          <w:bCs/>
          <w:b/>
        </w:rPr>
        <w:t xml:space="preserve">Valuation (paras 40–42):</w:t>
      </w:r>
    </w:p>
    <w:p>
      <w:pPr>
        <w:numPr>
          <w:ilvl w:val="1"/>
          <w:numId w:val="1628"/>
        </w:numPr>
        <w:pStyle w:val="Compact"/>
      </w:pPr>
      <w:r>
        <w:t xml:space="preserve">at actual purity;</w:t>
      </w:r>
    </w:p>
    <w:p>
      <w:pPr>
        <w:numPr>
          <w:ilvl w:val="1"/>
          <w:numId w:val="1628"/>
        </w:numPr>
        <w:pStyle w:val="Compact"/>
      </w:pPr>
      <w:r>
        <w:t xml:space="preserve">the lower of the 30-day average closing price and the previous day’s close, from IBJA or a SEBI-regulated commodity exchange;</w:t>
      </w:r>
    </w:p>
    <w:p>
      <w:pPr>
        <w:numPr>
          <w:ilvl w:val="1"/>
          <w:numId w:val="1628"/>
        </w:numPr>
        <w:pStyle w:val="Compact"/>
      </w:pPr>
      <w:r>
        <w:t xml:space="preserve">nearest-purity adjustment where needed;</w:t>
      </w:r>
    </w:p>
    <w:p>
      <w:pPr>
        <w:numPr>
          <w:ilvl w:val="1"/>
          <w:numId w:val="1628"/>
        </w:numPr>
        <w:pStyle w:val="Compact"/>
      </w:pPr>
      <w:r>
        <w:t xml:space="preserve">intrinsic metal value only.</w:t>
      </w:r>
    </w:p>
    <w:p>
      <w:pPr>
        <w:numPr>
          <w:ilvl w:val="0"/>
          <w:numId w:val="1626"/>
        </w:numPr>
        <w:pStyle w:val="Compact"/>
      </w:pPr>
      <w:r>
        <w:rPr>
          <w:bCs/>
          <w:b/>
        </w:rPr>
        <w:t xml:space="preserve">LTV for consumption loans, on total consumption loan per borrower (para 43):</w:t>
      </w:r>
    </w:p>
    <w:p>
      <w:pPr>
        <w:numPr>
          <w:ilvl w:val="1"/>
          <w:numId w:val="1629"/>
        </w:numPr>
        <w:pStyle w:val="Compact"/>
      </w:pPr>
      <w:r>
        <w:t xml:space="preserve">≤ ₹2.5 lakh: 85%;</w:t>
      </w:r>
    </w:p>
    <w:p>
      <w:pPr>
        <w:numPr>
          <w:ilvl w:val="1"/>
          <w:numId w:val="1629"/>
        </w:numPr>
        <w:pStyle w:val="BlockText"/>
      </w:pPr>
      <w:r>
        <w:t xml:space="preserve">₹2.5 lakh to ₹5 lakh: 80%;</w:t>
      </w:r>
    </w:p>
    <w:p>
      <w:pPr>
        <w:numPr>
          <w:ilvl w:val="1"/>
          <w:numId w:val="1629"/>
        </w:numPr>
        <w:pStyle w:val="BlockText"/>
      </w:pPr>
      <w:r>
        <w:t xml:space="preserve">₹5 lakh: 75%.</w:t>
      </w:r>
    </w:p>
    <w:p>
      <w:pPr>
        <w:numPr>
          <w:ilvl w:val="1"/>
          <w:numId w:val="1629"/>
        </w:numPr>
        <w:pStyle w:val="Compact"/>
      </w:pPr>
      <w:r>
        <w:t xml:space="preserve">LTV = outstanding ÷ collateral value. For bullet loans, both the LTV and the slab use the total repayable at maturity.</w:t>
      </w:r>
    </w:p>
    <w:p>
      <w:pPr>
        <w:numPr>
          <w:ilvl w:val="0"/>
          <w:numId w:val="1626"/>
        </w:numPr>
        <w:pStyle w:val="Compact"/>
      </w:pPr>
      <w:r>
        <w:t xml:space="preserve">LTV maintained throughout the tenor (para 44).</w:t>
      </w:r>
    </w:p>
    <w:p>
      <w:pPr>
        <w:numPr>
          <w:ilvl w:val="0"/>
          <w:numId w:val="1626"/>
        </w:numPr>
        <w:pStyle w:val="Compact"/>
      </w:pPr>
      <w:r>
        <w:t xml:space="preserve">Conduct and collateral management per RBC (para 45).</w:t>
      </w:r>
    </w:p>
    <w:p>
      <w:pPr>
        <w:numPr>
          <w:ilvl w:val="0"/>
          <w:numId w:val="1626"/>
        </w:numPr>
        <w:pStyle w:val="Compact"/>
      </w:pPr>
      <w:r>
        <w:t xml:space="preserve">KYC; disbursal to bank account; Income-tax Act ss.269SS/269T (para 46).</w:t>
      </w:r>
    </w:p>
    <w:p>
      <w:pPr>
        <w:numPr>
          <w:ilvl w:val="0"/>
          <w:numId w:val="1626"/>
        </w:numPr>
        <w:pStyle w:val="Compact"/>
      </w:pPr>
      <w:r>
        <w:rPr>
          <w:bCs/>
          <w:b/>
        </w:rPr>
        <w:t xml:space="preserve">Para 47 applies the para 10(1) disbursal and para 10(2) repayment rules to all gold/silver loans on every channel.</w:t>
      </w:r>
    </w:p>
    <w:p>
      <w:pPr>
        <w:numPr>
          <w:ilvl w:val="0"/>
          <w:numId w:val="1626"/>
        </w:numPr>
        <w:pStyle w:val="Compact"/>
      </w:pPr>
      <w:r>
        <w:t xml:space="preserve">Stricter internal audit of multiple loans to one borrower or related borrowers (para 48).</w:t>
      </w:r>
    </w:p>
    <w:p>
      <w:pPr>
        <w:numPr>
          <w:ilvl w:val="0"/>
          <w:numId w:val="1626"/>
        </w:numPr>
        <w:pStyle w:val="Compact"/>
      </w:pPr>
      <w:r>
        <w:t xml:space="preserve">Balance-sheet disclosure: gold-collateral and silver-collateral loans as % of total assets, separately (para 50).</w:t>
      </w:r>
    </w:p>
    <w:bookmarkEnd w:id="776"/>
    <w:bookmarkStart w:id="777" w:name="microfinance-ch-v"/>
    <w:p>
      <w:pPr>
        <w:pStyle w:val="Heading3"/>
      </w:pPr>
      <w:r>
        <w:t xml:space="preserve">Microfinance (Ch V)</w:t>
      </w:r>
    </w:p>
    <w:p>
      <w:pPr>
        <w:numPr>
          <w:ilvl w:val="0"/>
          <w:numId w:val="1630"/>
        </w:numPr>
        <w:pStyle w:val="Compact"/>
      </w:pPr>
      <w:r>
        <w:rPr>
          <w:bCs/>
          <w:b/>
        </w:rPr>
        <w:t xml:space="preserve">Definition (para 51):</w:t>
      </w:r>
      <w:r>
        <w:t xml:space="preserve"> </w:t>
      </w:r>
      <w:r>
        <w:t xml:space="preserve">a collateral-free loan (no deposit lien, no hypothecation) to a household with annual income ≤ ₹3,00,000, where household = husband, wife and unmarried children. It covers</w:t>
      </w:r>
      <w:r>
        <w:t xml:space="preserve"> </w:t>
      </w:r>
      <w:r>
        <w:rPr>
          <w:bCs/>
          <w:b/>
        </w:rPr>
        <w:t xml:space="preserve">all</w:t>
      </w:r>
      <w:r>
        <w:t xml:space="preserve"> </w:t>
      </w:r>
      <w:r>
        <w:t xml:space="preserve">collateral-free loans to such households, irrespective of end use or channel.</w:t>
      </w:r>
    </w:p>
    <w:p>
      <w:pPr>
        <w:numPr>
          <w:ilvl w:val="0"/>
          <w:numId w:val="1630"/>
        </w:numPr>
        <w:pStyle w:val="Compact"/>
      </w:pPr>
      <w:r>
        <w:rPr>
          <w:bCs/>
          <w:b/>
        </w:rPr>
        <w:t xml:space="preserve">Income assessment (para 52):</w:t>
      </w:r>
      <w:r>
        <w:t xml:space="preserve"> </w:t>
      </w:r>
      <w:r>
        <w:t xml:space="preserve">Board policy, covering all earning members and sources, assessed over a minimum of one year and corroborated.</w:t>
      </w:r>
    </w:p>
    <w:p>
      <w:pPr>
        <w:numPr>
          <w:ilvl w:val="0"/>
          <w:numId w:val="1630"/>
        </w:numPr>
        <w:pStyle w:val="Compact"/>
      </w:pPr>
      <w:r>
        <w:t xml:space="preserve">Household income is mandatorily reported to CICs, with the reason for any divergence captured (para 54).</w:t>
      </w:r>
    </w:p>
    <w:p>
      <w:pPr>
        <w:numPr>
          <w:ilvl w:val="0"/>
          <w:numId w:val="1630"/>
        </w:numPr>
        <w:pStyle w:val="Compact"/>
      </w:pPr>
      <w:r>
        <w:rPr>
          <w:bCs/>
          <w:b/>
        </w:rPr>
        <w:t xml:space="preserve">Repayment cap (paras 55–56):</w:t>
      </w:r>
      <w:r>
        <w:t xml:space="preserve"> </w:t>
      </w:r>
      <w:r>
        <w:t xml:space="preserve">≤ 50% of monthly household income. It covers principal and interest of</w:t>
      </w:r>
      <w:r>
        <w:t xml:space="preserve"> </w:t>
      </w:r>
      <w:r>
        <w:rPr>
          <w:bCs/>
          <w:b/>
        </w:rPr>
        <w:t xml:space="preserve">all</w:t>
      </w:r>
      <w:r>
        <w:t xml:space="preserve"> </w:t>
      </w:r>
      <w:r>
        <w:t xml:space="preserve">household loans, secured and unsecured, plus the proposed loan, and excludes future income from the financed activity.</w:t>
      </w:r>
    </w:p>
    <w:p>
      <w:pPr>
        <w:numPr>
          <w:ilvl w:val="0"/>
          <w:numId w:val="1630"/>
        </w:numPr>
        <w:pStyle w:val="Compact"/>
      </w:pPr>
      <w:r>
        <w:rPr>
          <w:bCs/>
          <w:b/>
        </w:rPr>
        <w:t xml:space="preserve">No new loans</w:t>
      </w:r>
      <w:r>
        <w:t xml:space="preserve"> </w:t>
      </w:r>
      <w:r>
        <w:t xml:space="preserve">while the household is above 50% (para 57).</w:t>
      </w:r>
    </w:p>
    <w:p>
      <w:pPr>
        <w:numPr>
          <w:ilvl w:val="0"/>
          <w:numId w:val="1630"/>
        </w:numPr>
        <w:pStyle w:val="Compact"/>
      </w:pPr>
      <w:r>
        <w:t xml:space="preserve">Use CIC data, declarations, bank statements and local enquiries (para 58).</w:t>
      </w:r>
    </w:p>
    <w:p>
      <w:pPr>
        <w:numPr>
          <w:ilvl w:val="0"/>
          <w:numId w:val="1630"/>
        </w:numPr>
        <w:pStyle w:val="Compact"/>
      </w:pPr>
      <w:r>
        <w:t xml:space="preserve">Flexible repayment periodicity (para 59).</w:t>
      </w:r>
    </w:p>
    <w:p>
      <w:pPr>
        <w:numPr>
          <w:ilvl w:val="0"/>
          <w:numId w:val="1630"/>
        </w:numPr>
        <w:pStyle w:val="Compact"/>
      </w:pPr>
      <w:r>
        <w:rPr>
          <w:bCs/>
          <w:b/>
        </w:rPr>
        <w:t xml:space="preserve">Pricing policy (paras 60–61):</w:t>
      </w:r>
      <w:r>
        <w:t xml:space="preserve"> </w:t>
      </w:r>
      <w:r>
        <w:t xml:space="preserve">interest-rate model, components, spread range, and a ceiling on the rate and all charges; never usurious.</w:t>
      </w:r>
    </w:p>
    <w:bookmarkEnd w:id="777"/>
    <w:bookmarkStart w:id="778" w:name="Xe993d6284e8c98d81a9c8a8f47ed4985a9d467a"/>
    <w:p>
      <w:pPr>
        <w:pStyle w:val="Heading3"/>
      </w:pPr>
      <w:r>
        <w:t xml:space="preserve">Project finance (Ch VI; for projects reaching financial closure after 1 Oct 2025, para 64)</w:t>
      </w:r>
    </w:p>
    <w:p>
      <w:pPr>
        <w:numPr>
          <w:ilvl w:val="0"/>
          <w:numId w:val="1631"/>
        </w:numPr>
        <w:pStyle w:val="Compact"/>
      </w:pPr>
      <w:r>
        <w:rPr>
          <w:bCs/>
          <w:b/>
        </w:rPr>
        <w:t xml:space="preserve">Definition:</w:t>
      </w:r>
      <w:r>
        <w:t xml:space="preserve"> </w:t>
      </w:r>
      <w:r>
        <w:t xml:space="preserve">≥ 51% of repayment from project cash flows, plus a common agreement among lenders (para 4(1)(xxiv)).</w:t>
      </w:r>
    </w:p>
    <w:p>
      <w:pPr>
        <w:numPr>
          <w:ilvl w:val="0"/>
          <w:numId w:val="1631"/>
        </w:numPr>
        <w:pStyle w:val="Compact"/>
      </w:pPr>
      <w:r>
        <w:rPr>
          <w:bCs/>
          <w:b/>
        </w:rPr>
        <w:t xml:space="preserve">Before disbursement (para 67):</w:t>
      </w:r>
      <w:r>
        <w:t xml:space="preserve"> </w:t>
      </w:r>
      <w:r>
        <w:t xml:space="preserve">financial closure and original DCCO documented; stage-linked disbursement schedule; tenor including moratorium ≤ 85% of the project’s economic life.</w:t>
      </w:r>
    </w:p>
    <w:p>
      <w:pPr>
        <w:numPr>
          <w:ilvl w:val="0"/>
          <w:numId w:val="1631"/>
        </w:numPr>
        <w:pStyle w:val="Compact"/>
      </w:pPr>
      <w:r>
        <w:t xml:space="preserve">Common DCCO across lenders (para 68).</w:t>
      </w:r>
    </w:p>
    <w:p>
      <w:pPr>
        <w:numPr>
          <w:ilvl w:val="0"/>
          <w:numId w:val="1631"/>
        </w:numPr>
        <w:pStyle w:val="Compact"/>
      </w:pPr>
      <w:r>
        <w:rPr>
          <w:bCs/>
          <w:b/>
        </w:rPr>
        <w:t xml:space="preserve">Minimum exposure while under construction (para 69):</w:t>
      </w:r>
      <w:r>
        <w:t xml:space="preserve"> </w:t>
      </w:r>
      <w:r>
        <w:t xml:space="preserve">where aggregate exposure ≤ ₹1,500 crore, each lender ≥ 10%; otherwise the higher of 5% or ₹150 crore.</w:t>
      </w:r>
    </w:p>
    <w:p>
      <w:pPr>
        <w:numPr>
          <w:ilvl w:val="0"/>
          <w:numId w:val="1631"/>
        </w:numPr>
        <w:pStyle w:val="Compact"/>
      </w:pPr>
      <w:r>
        <w:t xml:space="preserve">Approvals before financial closure (paras 70–71).</w:t>
      </w:r>
    </w:p>
    <w:p>
      <w:pPr>
        <w:numPr>
          <w:ilvl w:val="0"/>
          <w:numId w:val="1631"/>
        </w:numPr>
        <w:pStyle w:val="Compact"/>
      </w:pPr>
      <w:r>
        <w:rPr>
          <w:bCs/>
          <w:b/>
        </w:rPr>
        <w:t xml:space="preserve">Land or right of way before disbursal (para 72):</w:t>
      </w:r>
      <w:r>
        <w:t xml:space="preserve"> </w:t>
      </w:r>
      <w:r>
        <w:t xml:space="preserve">PPP 50%; others 75%.</w:t>
      </w:r>
    </w:p>
    <w:p>
      <w:pPr>
        <w:numPr>
          <w:ilvl w:val="0"/>
          <w:numId w:val="1631"/>
        </w:numPr>
        <w:pStyle w:val="Compact"/>
      </w:pPr>
      <w:r>
        <w:t xml:space="preserve">PPP disbursal only after the Appointed Date (para 73).</w:t>
      </w:r>
    </w:p>
    <w:p>
      <w:pPr>
        <w:numPr>
          <w:ilvl w:val="0"/>
          <w:numId w:val="1631"/>
        </w:numPr>
        <w:pStyle w:val="Compact"/>
      </w:pPr>
      <w:r>
        <w:t xml:space="preserve">TEV study where aggregate exposure ≥ ₹100 crore (para 74).</w:t>
      </w:r>
    </w:p>
    <w:p>
      <w:pPr>
        <w:numPr>
          <w:ilvl w:val="0"/>
          <w:numId w:val="1631"/>
        </w:numPr>
        <w:pStyle w:val="Compact"/>
      </w:pPr>
      <w:r>
        <w:t xml:space="preserve">Disbursal proportionate to completion and equity, certified by the LIE or architect (para 75).</w:t>
      </w:r>
    </w:p>
    <w:p>
      <w:pPr>
        <w:numPr>
          <w:ilvl w:val="0"/>
          <w:numId w:val="1631"/>
        </w:numPr>
        <w:pStyle w:val="Compact"/>
      </w:pPr>
      <w:r>
        <w:rPr>
          <w:bCs/>
          <w:b/>
        </w:rPr>
        <w:t xml:space="preserve">Project database (para 77):</w:t>
      </w:r>
      <w:r>
        <w:t xml:space="preserve"> </w:t>
      </w:r>
      <w:r>
        <w:t xml:space="preserve">debtor profile, original profile, DCCO changes, credit events, current specification. Update within 15 days of any change (para 78).</w:t>
      </w:r>
    </w:p>
    <w:p>
      <w:pPr>
        <w:numPr>
          <w:ilvl w:val="0"/>
          <w:numId w:val="1631"/>
        </w:numPr>
        <w:pStyle w:val="Compact"/>
      </w:pPr>
      <w:r>
        <w:t xml:space="preserve">Notes to Accounts (para 79).</w:t>
      </w:r>
    </w:p>
    <w:bookmarkEnd w:id="778"/>
    <w:bookmarkStart w:id="779" w:name="X24a5dc513ffb4aa7235424f9dd24cc9cf872233"/>
    <w:p>
      <w:pPr>
        <w:pStyle w:val="Heading3"/>
      </w:pPr>
      <w:r>
        <w:t xml:space="preserve">Partial credit enhancement (Ch VII; Middle Layer and above)</w:t>
      </w:r>
    </w:p>
    <w:p>
      <w:pPr>
        <w:numPr>
          <w:ilvl w:val="0"/>
          <w:numId w:val="1632"/>
        </w:numPr>
        <w:pStyle w:val="Compact"/>
      </w:pPr>
      <w:r>
        <w:t xml:space="preserve">≤ 50% of the issue (para 85);</w:t>
      </w:r>
    </w:p>
    <w:p>
      <w:pPr>
        <w:numPr>
          <w:ilvl w:val="0"/>
          <w:numId w:val="1632"/>
        </w:numPr>
        <w:pStyle w:val="Compact"/>
      </w:pPr>
      <w:r>
        <w:t xml:space="preserve">irrevocable, not a guarantee (para 86);</w:t>
      </w:r>
    </w:p>
    <w:p>
      <w:pPr>
        <w:numPr>
          <w:ilvl w:val="0"/>
          <w:numId w:val="1632"/>
        </w:numPr>
        <w:pStyle w:val="Compact"/>
      </w:pPr>
      <w:r>
        <w:t xml:space="preserve">pre-enhanced rating ≥ BBB-, rated by two ECAIs (paras 88–89);</w:t>
      </w:r>
    </w:p>
    <w:p>
      <w:pPr>
        <w:numPr>
          <w:ilvl w:val="0"/>
          <w:numId w:val="1632"/>
        </w:numPr>
        <w:pStyle w:val="Compact"/>
      </w:pPr>
      <w:r>
        <w:t xml:space="preserve">a drawn tranche is repaid within 30 days, and becomes NPA at 90 days (para 94);</w:t>
      </w:r>
    </w:p>
    <w:p>
      <w:pPr>
        <w:numPr>
          <w:ilvl w:val="0"/>
          <w:numId w:val="1632"/>
        </w:numPr>
        <w:pStyle w:val="Compact"/>
      </w:pPr>
      <w:r>
        <w:t xml:space="preserve">aggregate ≤ 20% of Tier 1 (para 95(2));</w:t>
      </w:r>
    </w:p>
    <w:p>
      <w:pPr>
        <w:numPr>
          <w:ilvl w:val="0"/>
          <w:numId w:val="1632"/>
        </w:numPr>
        <w:pStyle w:val="Compact"/>
      </w:pPr>
      <w:r>
        <w:t xml:space="preserve">for bonds issued by NBFCs: tenor ≥ 3 years, refinancing only, ≤ 1% of capital funds per issuer (paras 96–98).</w:t>
      </w:r>
    </w:p>
    <w:bookmarkEnd w:id="779"/>
    <w:bookmarkStart w:id="780" w:name="other-restrictions-ch-viiiix"/>
    <w:p>
      <w:pPr>
        <w:pStyle w:val="Heading3"/>
      </w:pPr>
      <w:r>
        <w:t xml:space="preserve">Other restrictions (Ch VIII–IX)</w:t>
      </w:r>
    </w:p>
    <w:p>
      <w:pPr>
        <w:numPr>
          <w:ilvl w:val="0"/>
          <w:numId w:val="1633"/>
        </w:numPr>
        <w:pStyle w:val="Compact"/>
      </w:pPr>
      <w:r>
        <w:rPr>
          <w:bCs/>
          <w:b/>
        </w:rPr>
        <w:t xml:space="preserve">IPO financing:</w:t>
      </w:r>
      <w:r>
        <w:t xml:space="preserve"> </w:t>
      </w:r>
      <w:r>
        <w:t xml:space="preserve">≤ ₹1 crore per borrower (para 104).</w:t>
      </w:r>
    </w:p>
    <w:p>
      <w:pPr>
        <w:numPr>
          <w:ilvl w:val="0"/>
          <w:numId w:val="1633"/>
        </w:numPr>
        <w:pStyle w:val="Compact"/>
      </w:pPr>
      <w:r>
        <w:rPr>
          <w:bCs/>
          <w:b/>
        </w:rPr>
        <w:t xml:space="preserve">Own shares:</w:t>
      </w:r>
      <w:r>
        <w:t xml:space="preserve"> </w:t>
      </w:r>
      <w:r>
        <w:t xml:space="preserve">no lending against the NBFC’s own shares (para 105).</w:t>
      </w:r>
    </w:p>
    <w:p>
      <w:pPr>
        <w:numPr>
          <w:ilvl w:val="0"/>
          <w:numId w:val="1633"/>
        </w:numPr>
        <w:pStyle w:val="Compact"/>
      </w:pPr>
      <w:r>
        <w:rPr>
          <w:bCs/>
          <w:b/>
        </w:rPr>
        <w:t xml:space="preserve">Loans against listed shares by NBFCs with assets ≥ ₹100 crore (para 106):</w:t>
      </w:r>
    </w:p>
    <w:p>
      <w:pPr>
        <w:numPr>
          <w:ilvl w:val="1"/>
          <w:numId w:val="1634"/>
        </w:numPr>
        <w:pStyle w:val="Compact"/>
      </w:pPr>
      <w:r>
        <w:t xml:space="preserve">50% LTV at all times, with any shortfall made good within 7 working days;</w:t>
      </w:r>
    </w:p>
    <w:p>
      <w:pPr>
        <w:numPr>
          <w:ilvl w:val="1"/>
          <w:numId w:val="1634"/>
        </w:numPr>
        <w:pStyle w:val="Compact"/>
      </w:pPr>
      <w:r>
        <w:t xml:space="preserve">Group 1 securities only where the loan is for capital-market investment and exceeds ₹5 lakh;</w:t>
      </w:r>
    </w:p>
    <w:p>
      <w:pPr>
        <w:numPr>
          <w:ilvl w:val="1"/>
          <w:numId w:val="1634"/>
        </w:numPr>
        <w:pStyle w:val="Compact"/>
      </w:pPr>
      <w:r>
        <w:t xml:space="preserve">quarterly online reporting to the stock exchanges in Annex-III format: lender name, PAN, date; and per row company, ISIN, number of shares, borrower type (promoter/non-promoter), borrower name, borrower PAN.</w:t>
      </w:r>
    </w:p>
    <w:p>
      <w:pPr>
        <w:numPr>
          <w:ilvl w:val="0"/>
          <w:numId w:val="1633"/>
        </w:numPr>
        <w:pStyle w:val="Compact"/>
      </w:pPr>
      <w:r>
        <w:rPr>
          <w:bCs/>
          <w:b/>
        </w:rPr>
        <w:t xml:space="preserve">Demand/call loans (para 107):</w:t>
      </w:r>
    </w:p>
    <w:p>
      <w:pPr>
        <w:numPr>
          <w:ilvl w:val="1"/>
          <w:numId w:val="1635"/>
        </w:numPr>
        <w:pStyle w:val="Compact"/>
      </w:pPr>
      <w:r>
        <w:t xml:space="preserve">a recall cut-off date, with reasons recorded if beyond one year;</w:t>
      </w:r>
    </w:p>
    <w:p>
      <w:pPr>
        <w:numPr>
          <w:ilvl w:val="1"/>
          <w:numId w:val="1635"/>
        </w:numPr>
        <w:pStyle w:val="Compact"/>
      </w:pPr>
      <w:r>
        <w:t xml:space="preserve">a stated rate, with interest payable monthly or quarterly, and reasons recorded if there is none or a moratorium;</w:t>
      </w:r>
    </w:p>
    <w:p>
      <w:pPr>
        <w:numPr>
          <w:ilvl w:val="1"/>
          <w:numId w:val="1635"/>
        </w:numPr>
        <w:pStyle w:val="Compact"/>
      </w:pPr>
      <w:r>
        <w:t xml:space="preserve">a review within 6 months of sanction;</w:t>
      </w:r>
    </w:p>
    <w:p>
      <w:pPr>
        <w:numPr>
          <w:ilvl w:val="1"/>
          <w:numId w:val="1635"/>
        </w:numPr>
        <w:pStyle w:val="Compact"/>
      </w:pPr>
      <w:r>
        <w:t xml:space="preserve">no renewal unless the review is satisfactory.</w:t>
      </w:r>
    </w:p>
    <w:p>
      <w:pPr>
        <w:numPr>
          <w:ilvl w:val="0"/>
          <w:numId w:val="1633"/>
        </w:numPr>
        <w:pStyle w:val="Compact"/>
      </w:pPr>
      <w:r>
        <w:rPr>
          <w:bCs/>
          <w:b/>
        </w:rPr>
        <w:t xml:space="preserve">Housing projects (para 108):</w:t>
      </w:r>
      <w:r>
        <w:t xml:space="preserve"> </w:t>
      </w:r>
      <w:r>
        <w:t xml:space="preserve">the builder discloses the mortgagee in brochures and advertisements and provides NOC; no release of funds until then.</w:t>
      </w:r>
    </w:p>
    <w:p>
      <w:pPr>
        <w:numPr>
          <w:ilvl w:val="0"/>
          <w:numId w:val="1633"/>
        </w:numPr>
        <w:pStyle w:val="Compact"/>
      </w:pPr>
      <w:r>
        <w:rPr>
          <w:bCs/>
          <w:b/>
        </w:rPr>
        <w:t xml:space="preserve">Real estate (para 109):</w:t>
      </w:r>
      <w:r>
        <w:t xml:space="preserve"> </w:t>
      </w:r>
      <w:r>
        <w:t xml:space="preserve">disbursal only after statutory clearances.</w:t>
      </w:r>
    </w:p>
    <w:p>
      <w:pPr>
        <w:numPr>
          <w:ilvl w:val="0"/>
          <w:numId w:val="1633"/>
        </w:numPr>
        <w:pStyle w:val="Compact"/>
      </w:pPr>
      <w:r>
        <w:rPr>
          <w:bCs/>
          <w:b/>
        </w:rPr>
        <w:t xml:space="preserve">CRE (para 110):</w:t>
      </w:r>
      <w:r>
        <w:t xml:space="preserve"> </w:t>
      </w:r>
      <w:r>
        <w:t xml:space="preserve">includes loans for an individual’s third dwelling unit onwards.</w:t>
      </w:r>
    </w:p>
    <w:p>
      <w:pPr>
        <w:numPr>
          <w:ilvl w:val="0"/>
          <w:numId w:val="1633"/>
        </w:numPr>
        <w:pStyle w:val="Compact"/>
      </w:pPr>
      <w:r>
        <w:rPr>
          <w:bCs/>
          <w:b/>
        </w:rPr>
        <w:t xml:space="preserve">CRE-RH (para 111):</w:t>
      </w:r>
      <w:r>
        <w:t xml:space="preserve"> </w:t>
      </w:r>
      <w:r>
        <w:t xml:space="preserve">commercial area ≤ 10% of FSI; otherwise the whole loan is CRE.</w:t>
      </w:r>
    </w:p>
    <w:p>
      <w:pPr>
        <w:numPr>
          <w:ilvl w:val="0"/>
          <w:numId w:val="1633"/>
        </w:numPr>
        <w:pStyle w:val="Compact"/>
      </w:pPr>
      <w:r>
        <w:rPr>
          <w:bCs/>
          <w:b/>
        </w:rPr>
        <w:t xml:space="preserve">Housing finance definition (para 4(1)(xiv)):</w:t>
      </w:r>
      <w:r>
        <w:t xml:space="preserve"> </w:t>
      </w:r>
      <w:r>
        <w:t xml:space="preserve">a plot loan needs a declaration to construct within 3 years; commercial space ≤ 10% of FSI; LAP and furnishing loans are not housing finance.</w:t>
      </w:r>
    </w:p>
    <w:p>
      <w:pPr>
        <w:numPr>
          <w:ilvl w:val="0"/>
          <w:numId w:val="1633"/>
        </w:numPr>
        <w:pStyle w:val="Compact"/>
      </w:pPr>
      <w:r>
        <w:rPr>
          <w:bCs/>
          <w:b/>
        </w:rPr>
        <w:t xml:space="preserve">Not settled by this copy:</w:t>
      </w:r>
      <w:r>
        <w:t xml:space="preserve"> </w:t>
      </w:r>
      <w:r>
        <w:t xml:space="preserve">the revolving-credit restriction (August 2026 draft amendment) is not in the 1 Apr 2026 text, so its [VERIFY] stays. Para 62(2) cites a</w:t>
      </w:r>
      <w:r>
        <w:t xml:space="preserve"> </w:t>
      </w:r>
      <w:r>
        <w:t xml:space="preserve">“</w:t>
      </w:r>
      <w:r>
        <w:t xml:space="preserve">Management of Third-Party Dependencies</w:t>
      </w:r>
      <w:r>
        <w:t xml:space="preserve">”</w:t>
      </w:r>
      <w:r>
        <w:t xml:space="preserve"> </w:t>
      </w:r>
      <w:r>
        <w:t xml:space="preserve">Directions, 2025; no Direction of that name exists. The applicable text is the</w:t>
      </w:r>
      <w:r>
        <w:t xml:space="preserve"> </w:t>
      </w:r>
      <w:r>
        <w:t xml:space="preserve">“</w:t>
      </w:r>
      <w:r>
        <w:t xml:space="preserve">Managing Risks in Outsourcing</w:t>
      </w:r>
      <w:r>
        <w:t xml:space="preserve">”</w:t>
      </w:r>
      <w:r>
        <w:t xml:space="preserve"> </w:t>
      </w:r>
      <w:r>
        <w:t xml:space="preserve">Directions, 2025 (OUT para 1), cited correctly in para 6(6); its para 56 holds the microfinance outsourced-staff accountability declaration. Record the slip in errata.md.</w:t>
      </w:r>
    </w:p>
    <w:p>
      <w:r>
        <w:pict>
          <v:rect style="width:0;height:1.5pt" o:hralign="center" o:hrstd="t" o:hr="t"/>
        </w:pict>
      </w:r>
    </w:p>
    <w:bookmarkEnd w:id="780"/>
    <w:bookmarkEnd w:id="781"/>
    <w:bookmarkStart w:id="782" w:name="Xc543b55ee598c5438cdd2720330316070544eee"/>
    <w:p>
      <w:pPr>
        <w:pStyle w:val="Heading2"/>
      </w:pPr>
      <w:r>
        <w:t xml:space="preserve">8A.2 CIR — Credit Information Reporting Directions (349, as amended by 117)</w:t>
      </w:r>
    </w:p>
    <w:p>
      <w:pPr>
        <w:pStyle w:val="FirstParagraph"/>
      </w:pPr>
      <w:r>
        <w:rPr>
          <w:bCs/>
          <w:b/>
        </w:rPr>
        <w:t xml:space="preserve">Membership (paras 6–8):</w:t>
      </w:r>
    </w:p>
    <w:p>
      <w:pPr>
        <w:numPr>
          <w:ilvl w:val="0"/>
          <w:numId w:val="1636"/>
        </w:numPr>
        <w:pStyle w:val="Compact"/>
      </w:pPr>
      <w:r>
        <w:t xml:space="preserve">Membership of</w:t>
      </w:r>
      <w:r>
        <w:t xml:space="preserve"> </w:t>
      </w:r>
      <w:r>
        <w:rPr>
          <w:bCs/>
          <w:b/>
        </w:rPr>
        <w:t xml:space="preserve">all four</w:t>
      </w:r>
      <w:r>
        <w:t xml:space="preserve"> </w:t>
      </w:r>
      <w:r>
        <w:t xml:space="preserve">CICs (CRIF High Mark, Equifax, Experian, TransUnion CIBIL) is mandatory (para 6).</w:t>
      </w:r>
    </w:p>
    <w:p>
      <w:pPr>
        <w:numPr>
          <w:ilvl w:val="0"/>
          <w:numId w:val="1636"/>
        </w:numPr>
        <w:pStyle w:val="Compact"/>
      </w:pPr>
      <w:r>
        <w:t xml:space="preserve">Fees are capped at ₹10,000 one-time and ₹5,000 annual per CIC (paras 7–8).</w:t>
      </w:r>
    </w:p>
    <w:p>
      <w:pPr>
        <w:pStyle w:val="FirstParagraph"/>
      </w:pPr>
      <w:r>
        <w:rPr>
          <w:bCs/>
          <w:b/>
        </w:rPr>
        <w:t xml:space="preserve">Formats (para 9; Annex I).</w:t>
      </w:r>
      <w:r>
        <w:t xml:space="preserve"> </w:t>
      </w:r>
      <w:r>
        <w:t xml:space="preserve">UCRF Form 1 Consumer, Form 2 Commercial, Form 3 MFI (including SHG).</w:t>
      </w:r>
    </w:p>
    <w:p>
      <w:pPr>
        <w:numPr>
          <w:ilvl w:val="0"/>
          <w:numId w:val="1637"/>
        </w:numPr>
        <w:pStyle w:val="Compact"/>
      </w:pPr>
      <w:r>
        <w:rPr>
          <w:bCs/>
          <w:b/>
        </w:rPr>
        <w:t xml:space="preserve">Consumer:</w:t>
      </w:r>
    </w:p>
    <w:p>
      <w:pPr>
        <w:numPr>
          <w:ilvl w:val="1"/>
          <w:numId w:val="1638"/>
        </w:numPr>
        <w:pStyle w:val="Compact"/>
      </w:pPr>
      <w:r>
        <w:t xml:space="preserve">“</w:t>
      </w:r>
      <w:r>
        <w:t xml:space="preserve">High Credit/Sanctioned Amount</w:t>
      </w:r>
      <w:r>
        <w:t xml:space="preserve">”</w:t>
      </w:r>
      <w:r>
        <w:t xml:space="preserve"> </w:t>
      </w:r>
      <w:r>
        <w:t xml:space="preserve">is mandatory;</w:t>
      </w:r>
    </w:p>
    <w:p>
      <w:pPr>
        <w:numPr>
          <w:ilvl w:val="1"/>
          <w:numId w:val="1638"/>
        </w:numPr>
        <w:pStyle w:val="Compact"/>
      </w:pPr>
      <w:r>
        <w:t xml:space="preserve">written-off amounts (total and principal) and settlement amount;</w:t>
      </w:r>
    </w:p>
    <w:p>
      <w:pPr>
        <w:numPr>
          <w:ilvl w:val="1"/>
          <w:numId w:val="1638"/>
        </w:numPr>
        <w:pStyle w:val="Compact"/>
      </w:pPr>
      <w:r>
        <w:t xml:space="preserve">Credit Facility Status values include Restructured and Closed, Post Write Off Closed, Auctioned and Settled, Repossessed and Settled, and Guarantee Invoked;</w:t>
      </w:r>
    </w:p>
    <w:p>
      <w:pPr>
        <w:numPr>
          <w:ilvl w:val="1"/>
          <w:numId w:val="1638"/>
        </w:numPr>
        <w:pStyle w:val="Compact"/>
      </w:pPr>
      <w:r>
        <w:t xml:space="preserve">ID type CKYC.</w:t>
      </w:r>
    </w:p>
    <w:p>
      <w:pPr>
        <w:numPr>
          <w:ilvl w:val="0"/>
          <w:numId w:val="1637"/>
        </w:numPr>
        <w:pStyle w:val="Compact"/>
      </w:pPr>
      <w:r>
        <w:rPr>
          <w:bCs/>
          <w:b/>
        </w:rPr>
        <w:t xml:space="preserve">Commercial:</w:t>
      </w:r>
    </w:p>
    <w:p>
      <w:pPr>
        <w:numPr>
          <w:ilvl w:val="1"/>
          <w:numId w:val="1639"/>
        </w:numPr>
        <w:pStyle w:val="Compact"/>
      </w:pPr>
      <w:r>
        <w:t xml:space="preserve">Sanction Date is mandatory;</w:t>
      </w:r>
    </w:p>
    <w:p>
      <w:pPr>
        <w:numPr>
          <w:ilvl w:val="1"/>
          <w:numId w:val="1639"/>
        </w:numPr>
        <w:pStyle w:val="Compact"/>
      </w:pPr>
      <w:r>
        <w:t xml:space="preserve">CIN, Udyam, DIN;</w:t>
      </w:r>
    </w:p>
    <w:p>
      <w:pPr>
        <w:numPr>
          <w:ilvl w:val="1"/>
          <w:numId w:val="1639"/>
        </w:numPr>
        <w:pStyle w:val="Compact"/>
      </w:pPr>
      <w:r>
        <w:t xml:space="preserve">wilful-default status and date;</w:t>
      </w:r>
    </w:p>
    <w:p>
      <w:pPr>
        <w:numPr>
          <w:ilvl w:val="1"/>
          <w:numId w:val="1639"/>
        </w:numPr>
        <w:pStyle w:val="Compact"/>
      </w:pPr>
      <w:r>
        <w:t xml:space="preserve">suit-filed status, reference, amount and date;</w:t>
      </w:r>
    </w:p>
    <w:p>
      <w:pPr>
        <w:numPr>
          <w:ilvl w:val="1"/>
          <w:numId w:val="1639"/>
        </w:numPr>
        <w:pStyle w:val="Compact"/>
      </w:pPr>
      <w:r>
        <w:t xml:space="preserve">settled amount;</w:t>
      </w:r>
    </w:p>
    <w:p>
      <w:pPr>
        <w:numPr>
          <w:ilvl w:val="1"/>
          <w:numId w:val="1639"/>
        </w:numPr>
        <w:pStyle w:val="Compact"/>
      </w:pPr>
      <w:r>
        <w:t xml:space="preserve">reasons for restructuring;</w:t>
      </w:r>
    </w:p>
    <w:p>
      <w:pPr>
        <w:numPr>
          <w:ilvl w:val="1"/>
          <w:numId w:val="1639"/>
        </w:numPr>
        <w:pStyle w:val="Compact"/>
      </w:pPr>
      <w:r>
        <w:t xml:space="preserve">guarantor and security segments;</w:t>
      </w:r>
    </w:p>
    <w:p>
      <w:pPr>
        <w:numPr>
          <w:ilvl w:val="1"/>
          <w:numId w:val="1639"/>
        </w:numPr>
        <w:pStyle w:val="Compact"/>
      </w:pPr>
      <w:r>
        <w:t xml:space="preserve">Relationship segment with CKYC.</w:t>
      </w:r>
    </w:p>
    <w:p>
      <w:pPr>
        <w:numPr>
          <w:ilvl w:val="1"/>
          <w:numId w:val="1639"/>
        </w:numPr>
        <w:pStyle w:val="Compact"/>
      </w:pPr>
      <w:r>
        <w:t xml:space="preserve">“</w:t>
      </w:r>
      <w:r>
        <w:t xml:space="preserve">SMA</w:t>
      </w:r>
      <w:r>
        <w:t xml:space="preserve">”</w:t>
      </w:r>
      <w:r>
        <w:t xml:space="preserve"> </w:t>
      </w:r>
      <w:r>
        <w:t xml:space="preserve">and</w:t>
      </w:r>
      <w:r>
        <w:t xml:space="preserve"> </w:t>
      </w:r>
      <w:r>
        <w:t xml:space="preserve">“</w:t>
      </w:r>
      <w:r>
        <w:t xml:space="preserve">Doubtful</w:t>
      </w:r>
      <w:r>
        <w:t xml:space="preserve">”</w:t>
      </w:r>
      <w:r>
        <w:t xml:space="preserve"> </w:t>
      </w:r>
      <w:r>
        <w:t xml:space="preserve">are removed from the asset-classification values.</w:t>
      </w:r>
    </w:p>
    <w:p>
      <w:pPr>
        <w:numPr>
          <w:ilvl w:val="0"/>
          <w:numId w:val="1637"/>
        </w:numPr>
        <w:pStyle w:val="Compact"/>
      </w:pPr>
      <w:r>
        <w:rPr>
          <w:bCs/>
          <w:b/>
        </w:rPr>
        <w:t xml:space="preserve">MFI:</w:t>
      </w:r>
    </w:p>
    <w:p>
      <w:pPr>
        <w:numPr>
          <w:ilvl w:val="1"/>
          <w:numId w:val="1640"/>
        </w:numPr>
        <w:pStyle w:val="Compact"/>
      </w:pPr>
      <w:r>
        <w:t xml:space="preserve">fixed-length HDR and TRL records;</w:t>
      </w:r>
    </w:p>
    <w:p>
      <w:pPr>
        <w:numPr>
          <w:ilvl w:val="1"/>
          <w:numId w:val="1640"/>
        </w:numPr>
        <w:pStyle w:val="Compact"/>
      </w:pPr>
      <w:r>
        <w:t xml:space="preserve">separate files for SHG and for JLG + individual loans;</w:t>
      </w:r>
    </w:p>
    <w:p>
      <w:pPr>
        <w:numPr>
          <w:ilvl w:val="1"/>
          <w:numId w:val="1640"/>
        </w:numPr>
        <w:pStyle w:val="Compact"/>
      </w:pPr>
      <w:r>
        <w:t xml:space="preserve">HDR System Vendor Identifier and Version (Finbyx populates these);</w:t>
      </w:r>
    </w:p>
    <w:p>
      <w:pPr>
        <w:numPr>
          <w:ilvl w:val="1"/>
          <w:numId w:val="1640"/>
        </w:numPr>
        <w:pStyle w:val="Compact"/>
      </w:pPr>
      <w:r>
        <w:t xml:space="preserve">account status codes S01–S15;</w:t>
      </w:r>
    </w:p>
    <w:p>
      <w:pPr>
        <w:numPr>
          <w:ilvl w:val="1"/>
          <w:numId w:val="1640"/>
        </w:numPr>
        <w:pStyle w:val="Compact"/>
      </w:pPr>
      <w:r>
        <w:t xml:space="preserve">write-off reasons X01–X10 (fields 90–92 required if status is S06);</w:t>
      </w:r>
    </w:p>
    <w:p>
      <w:pPr>
        <w:numPr>
          <w:ilvl w:val="1"/>
          <w:numId w:val="1640"/>
        </w:numPr>
        <w:pStyle w:val="Compact"/>
      </w:pPr>
      <w:r>
        <w:rPr>
          <w:bCs/>
          <w:b/>
        </w:rPr>
        <w:t xml:space="preserve">records are rejected if field 49 (total monthly family income), 84, 85 or 86 is missing</w:t>
      </w:r>
      <w:r>
        <w:t xml:space="preserve">;</w:t>
      </w:r>
    </w:p>
    <w:p>
      <w:pPr>
        <w:numPr>
          <w:ilvl w:val="1"/>
          <w:numId w:val="1640"/>
        </w:numPr>
        <w:pStyle w:val="Compact"/>
      </w:pPr>
      <w:r>
        <w:t xml:space="preserve">field 87 = principal outstanding only;</w:t>
      </w:r>
    </w:p>
    <w:p>
      <w:pPr>
        <w:numPr>
          <w:ilvl w:val="1"/>
          <w:numId w:val="1640"/>
        </w:numPr>
        <w:pStyle w:val="Compact"/>
      </w:pPr>
      <w:r>
        <w:t xml:space="preserve">the Unique Account Reference stays stable across branch splits;</w:t>
      </w:r>
    </w:p>
    <w:p>
      <w:pPr>
        <w:numPr>
          <w:ilvl w:val="1"/>
          <w:numId w:val="1640"/>
        </w:numPr>
        <w:pStyle w:val="Compact"/>
      </w:pPr>
      <w:r>
        <w:t xml:space="preserve">an individual MF loan goes in either the MFI or the consumer format, never both.</w:t>
      </w:r>
    </w:p>
    <w:p>
      <w:pPr>
        <w:numPr>
          <w:ilvl w:val="0"/>
          <w:numId w:val="1637"/>
        </w:numPr>
        <w:pStyle w:val="Compact"/>
      </w:pPr>
      <w:r>
        <w:rPr>
          <w:bCs/>
          <w:b/>
        </w:rPr>
        <w:t xml:space="preserve">Annex V:</w:t>
      </w:r>
      <w:r>
        <w:t xml:space="preserve"> </w:t>
      </w:r>
      <w:r>
        <w:t xml:space="preserve">email ID replaces fax (commercial) and the dummy field (MFI).</w:t>
      </w:r>
    </w:p>
    <w:p>
      <w:pPr>
        <w:numPr>
          <w:ilvl w:val="0"/>
          <w:numId w:val="1637"/>
        </w:numPr>
        <w:pStyle w:val="Compact"/>
      </w:pPr>
      <w:r>
        <w:rPr>
          <w:bCs/>
          <w:b/>
        </w:rPr>
        <w:t xml:space="preserve">Catalogues</w:t>
      </w:r>
      <w:r>
        <w:t xml:space="preserve"> </w:t>
      </w:r>
      <w:r>
        <w:t xml:space="preserve">(states, codes) are versioned per CIC specification and never hard-coded. The published state catalogue is misaligned.</w:t>
      </w:r>
    </w:p>
    <w:p>
      <w:pPr>
        <w:pStyle w:val="FirstParagraph"/>
      </w:pPr>
      <w:r>
        <w:rPr>
          <w:bCs/>
          <w:b/>
        </w:rPr>
        <w:t xml:space="preserve">Frequency (para 10).</w:t>
      </w:r>
      <w:r>
        <w:t xml:space="preserve"> </w:t>
      </w:r>
      <w:r>
        <w:t xml:space="preserve">Effective-dated:</w:t>
      </w:r>
    </w:p>
    <w:p>
      <w:pPr>
        <w:numPr>
          <w:ilvl w:val="0"/>
          <w:numId w:val="1641"/>
        </w:numPr>
        <w:pStyle w:val="Compact"/>
      </w:pPr>
      <w:r>
        <w:rPr>
          <w:bCs/>
          <w:b/>
        </w:rPr>
        <w:t xml:space="preserve">Until 30 Jun 2026:</w:t>
      </w:r>
      <w:r>
        <w:t xml:space="preserve"> </w:t>
      </w:r>
      <w:r>
        <w:t xml:space="preserve">fortnightly as on the 15th and month-end, within 7 calendar days.</w:t>
      </w:r>
    </w:p>
    <w:p>
      <w:pPr>
        <w:numPr>
          <w:ilvl w:val="0"/>
          <w:numId w:val="1641"/>
        </w:numPr>
        <w:pStyle w:val="Compact"/>
      </w:pPr>
      <w:r>
        <w:rPr>
          <w:bCs/>
          <w:b/>
        </w:rPr>
        <w:t xml:space="preserve">From 1 Jul 2026</w:t>
      </w:r>
      <w:r>
        <w:t xml:space="preserve"> </w:t>
      </w:r>
      <w:r>
        <w:t xml:space="preserve">(para 10(2) as substituted):</w:t>
      </w:r>
    </w:p>
    <w:p>
      <w:pPr>
        <w:numPr>
          <w:ilvl w:val="1"/>
          <w:numId w:val="1642"/>
        </w:numPr>
        <w:pStyle w:val="Compact"/>
      </w:pPr>
      <w:r>
        <w:t xml:space="preserve">reference dates 9th, 16th, 23rd (incremental, within 4 calendar days) and month-end (full file by the 5th);</w:t>
      </w:r>
    </w:p>
    <w:p>
      <w:pPr>
        <w:numPr>
          <w:ilvl w:val="1"/>
          <w:numId w:val="1642"/>
        </w:numPr>
        <w:pStyle w:val="Compact"/>
      </w:pPr>
      <w:r>
        <w:t xml:space="preserve">incremental files cover new accounts, closures, borrower-action changes, overdue accounts, and DPD-only changes.</w:t>
      </w:r>
    </w:p>
    <w:p>
      <w:pPr>
        <w:numPr>
          <w:ilvl w:val="0"/>
          <w:numId w:val="1641"/>
        </w:numPr>
        <w:pStyle w:val="Compact"/>
      </w:pPr>
      <w:r>
        <w:rPr>
          <w:bCs/>
          <w:b/>
        </w:rPr>
        <w:t xml:space="preserve">No repayment may go unreported, including the last instalment</w:t>
      </w:r>
      <w:r>
        <w:t xml:space="preserve"> </w:t>
      </w:r>
      <w:r>
        <w:t xml:space="preserve">(para 10(3)).</w:t>
      </w:r>
    </w:p>
    <w:p>
      <w:pPr>
        <w:pStyle w:val="FirstParagraph"/>
      </w:pPr>
      <w:r>
        <w:rPr>
          <w:bCs/>
          <w:b/>
        </w:rPr>
        <w:t xml:space="preserve">Reporting rules (paras 11–14):</w:t>
      </w:r>
    </w:p>
    <w:p>
      <w:pPr>
        <w:numPr>
          <w:ilvl w:val="0"/>
          <w:numId w:val="1643"/>
        </w:numPr>
        <w:pStyle w:val="Compact"/>
      </w:pPr>
      <w:r>
        <w:t xml:space="preserve">No borrower consent is needed to report to CICs (para 11).</w:t>
      </w:r>
    </w:p>
    <w:p>
      <w:pPr>
        <w:numPr>
          <w:ilvl w:val="0"/>
          <w:numId w:val="1643"/>
        </w:numPr>
        <w:pStyle w:val="Compact"/>
      </w:pPr>
      <w:r>
        <w:t xml:space="preserve">Commercial reports carry CIN and directors’ DIN (para 12(1)).</w:t>
      </w:r>
    </w:p>
    <w:p>
      <w:pPr>
        <w:numPr>
          <w:ilvl w:val="0"/>
          <w:numId w:val="1643"/>
        </w:numPr>
        <w:pStyle w:val="Compact"/>
      </w:pPr>
      <w:r>
        <w:t xml:space="preserve">Compromise settlements are reported with the reason (para 12(2)).</w:t>
      </w:r>
    </w:p>
    <w:p>
      <w:pPr>
        <w:numPr>
          <w:ilvl w:val="0"/>
          <w:numId w:val="1643"/>
        </w:numPr>
        <w:pStyle w:val="Compact"/>
      </w:pPr>
      <w:r>
        <w:t xml:space="preserve">A partly overdue instalment is reported as is (para 12(3)).</w:t>
      </w:r>
    </w:p>
    <w:p>
      <w:pPr>
        <w:numPr>
          <w:ilvl w:val="0"/>
          <w:numId w:val="1643"/>
        </w:numPr>
        <w:pStyle w:val="Compact"/>
      </w:pPr>
      <w:r>
        <w:rPr>
          <w:bCs/>
          <w:b/>
        </w:rPr>
        <w:t xml:space="preserve">“</w:t>
      </w:r>
      <w:r>
        <w:rPr>
          <w:bCs/>
          <w:b/>
        </w:rPr>
        <w:t xml:space="preserve">Settled</w:t>
      </w:r>
      <w:r>
        <w:rPr>
          <w:bCs/>
          <w:b/>
        </w:rPr>
        <w:t xml:space="preserve">”</w:t>
      </w:r>
      <w:r>
        <w:t xml:space="preserve"> </w:t>
      </w:r>
      <w:r>
        <w:t xml:space="preserve">only where principal or interest was waived for financial inability. Wrong debits and contested charges are reported as</w:t>
      </w:r>
      <w:r>
        <w:t xml:space="preserve"> </w:t>
      </w:r>
      <w:r>
        <w:rPr>
          <w:bCs/>
          <w:b/>
        </w:rPr>
        <w:t xml:space="preserve">“</w:t>
      </w:r>
      <w:r>
        <w:rPr>
          <w:bCs/>
          <w:b/>
        </w:rPr>
        <w:t xml:space="preserve">disputed</w:t>
      </w:r>
      <w:r>
        <w:rPr>
          <w:bCs/>
          <w:b/>
        </w:rPr>
        <w:t xml:space="preserve">”</w:t>
      </w:r>
      <w:r>
        <w:t xml:space="preserve"> </w:t>
      </w:r>
      <w:r>
        <w:t xml:space="preserve">(para 12(4)).</w:t>
      </w:r>
    </w:p>
    <w:p>
      <w:pPr>
        <w:numPr>
          <w:ilvl w:val="0"/>
          <w:numId w:val="1643"/>
        </w:numPr>
        <w:pStyle w:val="Compact"/>
      </w:pPr>
      <w:r>
        <w:t xml:space="preserve">IBC-admitted cases are reported as suit-filed (para 12(7)).</w:t>
      </w:r>
    </w:p>
    <w:p>
      <w:pPr>
        <w:numPr>
          <w:ilvl w:val="0"/>
          <w:numId w:val="1643"/>
        </w:numPr>
        <w:pStyle w:val="Compact"/>
      </w:pPr>
      <w:r>
        <w:t xml:space="preserve">The Relationship Segment is mandatory for accounts opened on or after 1 Jul 2018, with shareholders reported only if they are beneficial owners (para 12(8)).</w:t>
      </w:r>
    </w:p>
    <w:p>
      <w:pPr>
        <w:numPr>
          <w:ilvl w:val="0"/>
          <w:numId w:val="1643"/>
        </w:numPr>
        <w:pStyle w:val="Compact"/>
      </w:pPr>
      <w:r>
        <w:t xml:space="preserve">Cross-reporting: consumer and commercial co-borrowers each go in their own format (para 12(9)).</w:t>
      </w:r>
    </w:p>
    <w:p>
      <w:pPr>
        <w:numPr>
          <w:ilvl w:val="0"/>
          <w:numId w:val="1643"/>
        </w:numPr>
        <w:pStyle w:val="Compact"/>
      </w:pPr>
      <w:r>
        <w:rPr>
          <w:bCs/>
          <w:b/>
        </w:rPr>
        <w:t xml:space="preserve">CKYC number reported where available, or once issued</w:t>
      </w:r>
      <w:r>
        <w:t xml:space="preserve"> </w:t>
      </w:r>
      <w:r>
        <w:t xml:space="preserve">(para 12(10), from 1 Jul 2026).</w:t>
      </w:r>
    </w:p>
    <w:p>
      <w:pPr>
        <w:numPr>
          <w:ilvl w:val="0"/>
          <w:numId w:val="1643"/>
        </w:numPr>
        <w:pStyle w:val="Compact"/>
      </w:pPr>
      <w:r>
        <w:t xml:space="preserve">SHG member data per Annex III, with the ₹30,000, ₹1,00,000 and ₹20,000 thresholds (para 13).</w:t>
      </w:r>
    </w:p>
    <w:p>
      <w:pPr>
        <w:numPr>
          <w:ilvl w:val="0"/>
          <w:numId w:val="1643"/>
        </w:numPr>
        <w:pStyle w:val="Compact"/>
      </w:pPr>
      <w:r>
        <w:t xml:space="preserve">After CoR cancellation, keep reporting until the loans run off (para 14).</w:t>
      </w:r>
    </w:p>
    <w:p>
      <w:pPr>
        <w:pStyle w:val="FirstParagraph"/>
      </w:pPr>
      <w:r>
        <w:rPr>
          <w:bCs/>
          <w:b/>
        </w:rPr>
        <w:t xml:space="preserve">Rejections and data quality (paras 15–17):</w:t>
      </w:r>
    </w:p>
    <w:p>
      <w:pPr>
        <w:numPr>
          <w:ilvl w:val="0"/>
          <w:numId w:val="1644"/>
        </w:numPr>
        <w:pStyle w:val="Compact"/>
      </w:pPr>
      <w:r>
        <w:rPr>
          <w:bCs/>
          <w:b/>
        </w:rPr>
        <w:t xml:space="preserve">Rejections:</w:t>
      </w:r>
      <w:r>
        <w:t xml:space="preserve"> </w:t>
      </w:r>
      <w:r>
        <w:t xml:space="preserve">within 7 days until 30 Jun 2026; from 1 Jul 2026,</w:t>
      </w:r>
      <w:r>
        <w:t xml:space="preserve"> </w:t>
      </w:r>
      <w:r>
        <w:t xml:space="preserve">“</w:t>
      </w:r>
      <w:r>
        <w:t xml:space="preserve">before or along with the data for the next reporting reference date</w:t>
      </w:r>
      <w:r>
        <w:t xml:space="preserve">”</w:t>
      </w:r>
      <w:r>
        <w:t xml:space="preserve"> </w:t>
      </w:r>
      <w:r>
        <w:t xml:space="preserve">(para 15).</w:t>
      </w:r>
    </w:p>
    <w:p>
      <w:pPr>
        <w:numPr>
          <w:ilvl w:val="0"/>
          <w:numId w:val="1644"/>
        </w:numPr>
        <w:pStyle w:val="Compact"/>
      </w:pPr>
      <w:r>
        <w:rPr>
          <w:bCs/>
          <w:b/>
        </w:rPr>
        <w:t xml:space="preserve">DQI:</w:t>
      </w:r>
      <w:r>
        <w:t xml:space="preserve"> </w:t>
      </w:r>
      <w:r>
        <w:t xml:space="preserve">reviewed half-yearly, with a report to top management within 2 months (paras 16–17).</w:t>
      </w:r>
    </w:p>
    <w:p>
      <w:pPr>
        <w:pStyle w:val="FirstParagraph"/>
      </w:pPr>
      <w:r>
        <w:rPr>
          <w:bCs/>
          <w:b/>
        </w:rPr>
        <w:t xml:space="preserve">Correction (paras 18–20):</w:t>
      </w:r>
    </w:p>
    <w:p>
      <w:pPr>
        <w:numPr>
          <w:ilvl w:val="0"/>
          <w:numId w:val="1645"/>
        </w:numPr>
        <w:pStyle w:val="Compact"/>
      </w:pPr>
      <w:r>
        <w:t xml:space="preserve">Follow the CICRA and CIC Rules 20/21 timelines, and report deviations to the Board or Customer Service Committee (para 18).</w:t>
      </w:r>
    </w:p>
    <w:p>
      <w:pPr>
        <w:numPr>
          <w:ilvl w:val="0"/>
          <w:numId w:val="1645"/>
        </w:numPr>
        <w:pStyle w:val="Compact"/>
      </w:pPr>
      <w:r>
        <w:t xml:space="preserve">Correct errors at source (para 19).</w:t>
      </w:r>
    </w:p>
    <w:p>
      <w:pPr>
        <w:numPr>
          <w:ilvl w:val="0"/>
          <w:numId w:val="1645"/>
        </w:numPr>
        <w:pStyle w:val="Compact"/>
      </w:pPr>
      <w:r>
        <w:t xml:space="preserve">The credit policy requires CIRs from one or more CICs (para 20).</w:t>
      </w:r>
    </w:p>
    <w:p>
      <w:pPr>
        <w:pStyle w:val="FirstParagraph"/>
      </w:pPr>
      <w:r>
        <w:rPr>
          <w:bCs/>
          <w:b/>
        </w:rPr>
        <w:t xml:space="preserve">SARFAESI website display (para 21; Annex IV):</w:t>
      </w:r>
    </w:p>
    <w:p>
      <w:pPr>
        <w:numPr>
          <w:ilvl w:val="0"/>
          <w:numId w:val="1646"/>
        </w:numPr>
        <w:pStyle w:val="Compact"/>
      </w:pPr>
      <w:r>
        <w:t xml:space="preserve">Secured assets possessed under s.13(4) (symbolic or physical) on or after 25 Sep 2023, shown in the Annex IV columns.</w:t>
      </w:r>
    </w:p>
    <w:p>
      <w:pPr>
        <w:numPr>
          <w:ilvl w:val="0"/>
          <w:numId w:val="1646"/>
        </w:numPr>
        <w:pStyle w:val="Compact"/>
      </w:pPr>
      <w:r>
        <w:t xml:space="preserve">Updated monthly; removed on sale or full settlement.</w:t>
      </w:r>
    </w:p>
    <w:p>
      <w:pPr>
        <w:numPr>
          <w:ilvl w:val="0"/>
          <w:numId w:val="1646"/>
        </w:numPr>
        <w:pStyle w:val="Compact"/>
      </w:pPr>
      <w:r>
        <w:t xml:space="preserve">Consortium members display individually.</w:t>
      </w:r>
    </w:p>
    <w:p>
      <w:pPr>
        <w:pStyle w:val="FirstParagraph"/>
      </w:pPr>
      <w:r>
        <w:rPr>
          <w:bCs/>
          <w:b/>
        </w:rPr>
        <w:t xml:space="preserve">Customer service (para 34):</w:t>
      </w:r>
    </w:p>
    <w:p>
      <w:pPr>
        <w:numPr>
          <w:ilvl w:val="0"/>
          <w:numId w:val="1647"/>
        </w:numPr>
        <w:pStyle w:val="Compact"/>
      </w:pPr>
      <w:r>
        <w:rPr>
          <w:bCs/>
          <w:b/>
        </w:rPr>
        <w:t xml:space="preserve">SMS/email alerts sent while submitting default/DPD data to CICs</w:t>
      </w:r>
      <w:r>
        <w:t xml:space="preserve">, wherever contact details exist (para 34(1)(i)). This is</w:t>
      </w:r>
      <w:r>
        <w:t xml:space="preserve"> </w:t>
      </w:r>
      <w:r>
        <w:rPr>
          <w:iCs/>
          <w:i/>
        </w:rPr>
        <w:t xml:space="preserve">not</w:t>
      </w:r>
      <w:r>
        <w:t xml:space="preserve"> </w:t>
      </w:r>
      <w:r>
        <w:t xml:space="preserve">a pre-reporting notice.</w:t>
      </w:r>
    </w:p>
    <w:p>
      <w:pPr>
        <w:numPr>
          <w:ilvl w:val="0"/>
          <w:numId w:val="1647"/>
        </w:numPr>
        <w:pStyle w:val="Compact"/>
      </w:pPr>
      <w:r>
        <w:t xml:space="preserve">A CIC nodal officer; changes notified to the CICs within 5 calendar days (para 34(2)).</w:t>
      </w:r>
    </w:p>
    <w:p>
      <w:pPr>
        <w:numPr>
          <w:ilvl w:val="0"/>
          <w:numId w:val="1647"/>
        </w:numPr>
        <w:pStyle w:val="Compact"/>
      </w:pPr>
      <w:r>
        <w:t xml:space="preserve">Rejection reasons taken from the CIC-circulated list (para 34(3)).</w:t>
      </w:r>
    </w:p>
    <w:p>
      <w:pPr>
        <w:numPr>
          <w:ilvl w:val="0"/>
          <w:numId w:val="1647"/>
        </w:numPr>
        <w:pStyle w:val="Compact"/>
      </w:pPr>
      <w:r>
        <w:t xml:space="preserve">Root-cause analysis half-yearly, with an annual top-management review (para 34(4)).</w:t>
      </w:r>
    </w:p>
    <w:p>
      <w:pPr>
        <w:pStyle w:val="FirstParagraph"/>
      </w:pPr>
      <w:r>
        <w:rPr>
          <w:bCs/>
          <w:b/>
        </w:rPr>
        <w:t xml:space="preserve">Compensation (para 35):</w:t>
      </w:r>
    </w:p>
    <w:p>
      <w:pPr>
        <w:numPr>
          <w:ilvl w:val="0"/>
          <w:numId w:val="1648"/>
        </w:numPr>
        <w:pStyle w:val="Compact"/>
      </w:pPr>
      <w:r>
        <w:t xml:space="preserve">₹100 per calendar day if a complaint is unresolved after 30 calendar days. The CI has 21 days and the CIC 9 (para 35(1)).</w:t>
      </w:r>
    </w:p>
    <w:p>
      <w:pPr>
        <w:numPr>
          <w:ilvl w:val="0"/>
          <w:numId w:val="1648"/>
        </w:numPr>
        <w:pStyle w:val="Compact"/>
      </w:pPr>
      <w:r>
        <w:t xml:space="preserve">The CI pays if it fails to send corrected data within 21 days (para 35(2)).</w:t>
      </w:r>
    </w:p>
    <w:p>
      <w:pPr>
        <w:numPr>
          <w:ilvl w:val="0"/>
          <w:numId w:val="1648"/>
        </w:numPr>
        <w:pStyle w:val="Compact"/>
      </w:pPr>
      <w:r>
        <w:t xml:space="preserve">Proportionate apportionment (para 35(4)).</w:t>
      </w:r>
    </w:p>
    <w:p>
      <w:pPr>
        <w:numPr>
          <w:ilvl w:val="0"/>
          <w:numId w:val="1648"/>
        </w:numPr>
        <w:pStyle w:val="Compact"/>
      </w:pPr>
      <w:r>
        <w:t xml:space="preserve">Multi-CI complaints go to the CIC (para 35(5)).</w:t>
      </w:r>
    </w:p>
    <w:p>
      <w:pPr>
        <w:numPr>
          <w:ilvl w:val="0"/>
          <w:numId w:val="1648"/>
        </w:numPr>
        <w:pStyle w:val="Compact"/>
      </w:pPr>
      <w:r>
        <w:t xml:space="preserve">Notify the delay split (para 35(6)).</w:t>
      </w:r>
    </w:p>
    <w:p>
      <w:pPr>
        <w:numPr>
          <w:ilvl w:val="0"/>
          <w:numId w:val="1648"/>
        </w:numPr>
        <w:pStyle w:val="Compact"/>
      </w:pPr>
      <w:r>
        <w:t xml:space="preserve">The resolution date is the date the rectified CIR is sent (para 35(7)).</w:t>
      </w:r>
    </w:p>
    <w:p>
      <w:pPr>
        <w:numPr>
          <w:ilvl w:val="0"/>
          <w:numId w:val="1648"/>
        </w:numPr>
        <w:pStyle w:val="Compact"/>
      </w:pPr>
      <w:r>
        <w:t xml:space="preserve">Complaint forms capture email and bank account/UPI (para 35(8)).</w:t>
      </w:r>
    </w:p>
    <w:p>
      <w:pPr>
        <w:numPr>
          <w:ilvl w:val="0"/>
          <w:numId w:val="1648"/>
        </w:numPr>
        <w:pStyle w:val="Compact"/>
      </w:pPr>
      <w:r>
        <w:t xml:space="preserve">Pay within 5 working days (para 35(9)).</w:t>
      </w:r>
    </w:p>
    <w:p>
      <w:pPr>
        <w:numPr>
          <w:ilvl w:val="0"/>
          <w:numId w:val="1648"/>
        </w:numPr>
        <w:pStyle w:val="Compact"/>
      </w:pPr>
      <w:r>
        <w:t xml:space="preserve">Exclusions (para 35(12)).</w:t>
      </w:r>
    </w:p>
    <w:p>
      <w:pPr>
        <w:pStyle w:val="FirstParagraph"/>
      </w:pPr>
      <w:r>
        <w:rPr>
          <w:bCs/>
          <w:b/>
        </w:rPr>
        <w:t xml:space="preserve">Best practices (para 38):</w:t>
      </w:r>
    </w:p>
    <w:p>
      <w:pPr>
        <w:numPr>
          <w:ilvl w:val="0"/>
          <w:numId w:val="1649"/>
        </w:numPr>
        <w:pStyle w:val="Compact"/>
      </w:pPr>
      <w:r>
        <w:t xml:space="preserve">centralised NOCs linked to CIC closure;</w:t>
      </w:r>
    </w:p>
    <w:p>
      <w:pPr>
        <w:numPr>
          <w:ilvl w:val="0"/>
          <w:numId w:val="1649"/>
        </w:numPr>
        <w:pStyle w:val="Compact"/>
      </w:pPr>
      <w:r>
        <w:t xml:space="preserve">credit-information grievances integrated with grievance management;</w:t>
      </w:r>
    </w:p>
    <w:p>
      <w:pPr>
        <w:numPr>
          <w:ilvl w:val="0"/>
          <w:numId w:val="1649"/>
        </w:numPr>
        <w:pStyle w:val="Compact"/>
      </w:pPr>
      <w:r>
        <w:rPr>
          <w:bCs/>
          <w:b/>
        </w:rPr>
        <w:t xml:space="preserve">first-time borrowers not rejected merely for having no credit history</w:t>
      </w:r>
      <w:r>
        <w:t xml:space="preserve"> </w:t>
      </w:r>
      <w:r>
        <w:t xml:space="preserve">(para 38(5)).</w:t>
      </w:r>
    </w:p>
    <w:p>
      <w:r>
        <w:pict>
          <v:rect style="width:0;height:1.5pt" o:hralign="center" o:hrstd="t" o:hr="t"/>
        </w:pict>
      </w:r>
    </w:p>
    <w:bookmarkEnd w:id="782"/>
    <w:bookmarkStart w:id="783" w:name="X6341f771ca9a24ff8fb1d1a72e3a47ad4319237"/>
    <w:p>
      <w:pPr>
        <w:pStyle w:val="Heading2"/>
      </w:pPr>
      <w:r>
        <w:t xml:space="preserve">8A.3 CRM — Credit Risk Management Directions (350)</w:t>
      </w:r>
    </w:p>
    <w:p>
      <w:pPr>
        <w:pStyle w:val="FirstParagraph"/>
      </w:pPr>
      <w:r>
        <w:rPr>
          <w:bCs/>
          <w:b/>
        </w:rPr>
        <w:t xml:space="preserve">Notified NBFCs (paras 6–8):</w:t>
      </w:r>
    </w:p>
    <w:p>
      <w:pPr>
        <w:numPr>
          <w:ilvl w:val="0"/>
          <w:numId w:val="1650"/>
        </w:numPr>
        <w:pStyle w:val="Compact"/>
      </w:pPr>
      <w:r>
        <w:t xml:space="preserve">independent credit appraisal, with no reliance on the borrower’s consultants;</w:t>
      </w:r>
    </w:p>
    <w:p>
      <w:pPr>
        <w:numPr>
          <w:ilvl w:val="0"/>
          <w:numId w:val="1650"/>
        </w:numPr>
        <w:pStyle w:val="Compact"/>
      </w:pPr>
      <w:r>
        <w:t xml:space="preserve">sensitivity and scenario tests, especially for infrastructure;</w:t>
      </w:r>
    </w:p>
    <w:p>
      <w:pPr>
        <w:numPr>
          <w:ilvl w:val="0"/>
          <w:numId w:val="1650"/>
        </w:numPr>
        <w:pStyle w:val="Compact"/>
      </w:pPr>
      <w:r>
        <w:t xml:space="preserve">check the source of promoter equity, and that parent debt is not infused as SPV equity;</w:t>
      </w:r>
    </w:p>
    <w:p>
      <w:pPr>
        <w:numPr>
          <w:ilvl w:val="0"/>
          <w:numId w:val="1650"/>
        </w:numPr>
        <w:pStyle w:val="Compact"/>
      </w:pPr>
      <w:r>
        <w:t xml:space="preserve">check directors against defaulter lists by DIN/PAN, confirming name matches independently;</w:t>
      </w:r>
    </w:p>
    <w:p>
      <w:pPr>
        <w:numPr>
          <w:ilvl w:val="0"/>
          <w:numId w:val="1650"/>
        </w:numPr>
        <w:pStyle w:val="Compact"/>
      </w:pPr>
      <w:r>
        <w:t xml:space="preserve">end-use certification (the NBFC may use its own auditors).</w:t>
      </w:r>
    </w:p>
    <w:p>
      <w:pPr>
        <w:pStyle w:val="FirstParagraph"/>
      </w:pPr>
      <w:r>
        <w:rPr>
          <w:bCs/>
          <w:b/>
        </w:rPr>
        <w:t xml:space="preserve">Related-party lending (paras 4(1)(va)–(vb), 13A–13Q):</w:t>
      </w:r>
    </w:p>
    <w:p>
      <w:pPr>
        <w:numPr>
          <w:ilvl w:val="0"/>
          <w:numId w:val="1651"/>
        </w:numPr>
        <w:pStyle w:val="Compact"/>
      </w:pPr>
      <w:r>
        <w:rPr>
          <w:bCs/>
          <w:b/>
        </w:rPr>
        <w:t xml:space="preserve">Definitions:</w:t>
      </w:r>
      <w:r>
        <w:t xml:space="preserve"> </w:t>
      </w:r>
      <w:r>
        <w:t xml:space="preserve">related persons and related parties; relatives per Companies Act s.2(77); specified employees (up to two levels below the Board, plus policy designees); major shareholder (≥ 10% or ₹5 crore of paid-up shares).</w:t>
      </w:r>
    </w:p>
    <w:p>
      <w:pPr>
        <w:numPr>
          <w:ilvl w:val="0"/>
          <w:numId w:val="1651"/>
        </w:numPr>
        <w:pStyle w:val="Compact"/>
      </w:pPr>
      <w:r>
        <w:rPr>
          <w:bCs/>
          <w:b/>
        </w:rPr>
        <w:t xml:space="preserve">Limits:</w:t>
      </w:r>
      <w:r>
        <w:t xml:space="preserve"> </w:t>
      </w:r>
      <w:r>
        <w:t xml:space="preserve">aggregate, single-party and group limits within prudential exposure limits (para 13F).</w:t>
      </w:r>
    </w:p>
    <w:p>
      <w:pPr>
        <w:numPr>
          <w:ilvl w:val="0"/>
          <w:numId w:val="1651"/>
        </w:numPr>
        <w:pStyle w:val="Compact"/>
      </w:pPr>
      <w:r>
        <w:rPr>
          <w:bCs/>
          <w:b/>
        </w:rPr>
        <w:t xml:space="preserve">Materiality threshold</w:t>
      </w:r>
      <w:r>
        <w:t xml:space="preserve"> </w:t>
      </w:r>
      <w:r>
        <w:t xml:space="preserve">per transaction, set by the layer in the last audited balance sheet (para 13G):</w:t>
      </w:r>
    </w:p>
    <w:p>
      <w:pPr>
        <w:numPr>
          <w:ilvl w:val="1"/>
          <w:numId w:val="1652"/>
        </w:numPr>
        <w:pStyle w:val="Compact"/>
      </w:pPr>
      <w:r>
        <w:t xml:space="preserve">UL / Top Layer: ≤ ₹10 crore;</w:t>
      </w:r>
    </w:p>
    <w:p>
      <w:pPr>
        <w:numPr>
          <w:ilvl w:val="1"/>
          <w:numId w:val="1652"/>
        </w:numPr>
        <w:pStyle w:val="Compact"/>
      </w:pPr>
      <w:r>
        <w:t xml:space="preserve">ML: ≤ ₹5 crore;</w:t>
      </w:r>
    </w:p>
    <w:p>
      <w:pPr>
        <w:numPr>
          <w:ilvl w:val="1"/>
          <w:numId w:val="1652"/>
        </w:numPr>
        <w:pStyle w:val="Compact"/>
      </w:pPr>
      <w:r>
        <w:t xml:space="preserve">BL: ≤ ₹1 crore.</w:t>
      </w:r>
    </w:p>
    <w:p>
      <w:pPr>
        <w:numPr>
          <w:ilvl w:val="0"/>
          <w:numId w:val="1651"/>
        </w:numPr>
        <w:pStyle w:val="Compact"/>
      </w:pPr>
      <w:r>
        <w:rPr>
          <w:bCs/>
          <w:b/>
        </w:rPr>
        <w:t xml:space="preserve">Sanction:</w:t>
      </w:r>
      <w:r>
        <w:t xml:space="preserve"> </w:t>
      </w:r>
      <w:r>
        <w:t xml:space="preserve">loans above the threshold are sanctioned by the Board, or a Board committee</w:t>
      </w:r>
      <w:r>
        <w:t xml:space="preserve"> </w:t>
      </w:r>
      <w:r>
        <w:rPr>
          <w:bCs/>
          <w:b/>
        </w:rPr>
        <w:t xml:space="preserve">other than the Audit Committee</w:t>
      </w:r>
      <w:r>
        <w:t xml:space="preserve"> </w:t>
      </w:r>
      <w:r>
        <w:t xml:space="preserve">(para 13I).</w:t>
      </w:r>
    </w:p>
    <w:p>
      <w:pPr>
        <w:numPr>
          <w:ilvl w:val="0"/>
          <w:numId w:val="1651"/>
        </w:numPr>
        <w:pStyle w:val="Compact"/>
      </w:pPr>
      <w:r>
        <w:rPr>
          <w:bCs/>
          <w:b/>
        </w:rPr>
        <w:t xml:space="preserve">Recusal:</w:t>
      </w:r>
      <w:r>
        <w:t xml:space="preserve"> </w:t>
      </w:r>
      <w:r>
        <w:t xml:space="preserve">interested directors, KMP and specified employees recuse, including for OTS, write-off, waiver, enforcement and resolution plans (para 13J).</w:t>
      </w:r>
    </w:p>
    <w:p>
      <w:pPr>
        <w:numPr>
          <w:ilvl w:val="0"/>
          <w:numId w:val="1651"/>
        </w:numPr>
        <w:pStyle w:val="Compact"/>
      </w:pPr>
      <w:r>
        <w:rPr>
          <w:bCs/>
          <w:b/>
        </w:rPr>
        <w:t xml:space="preserve">Records and reporting:</w:t>
      </w:r>
    </w:p>
    <w:p>
      <w:pPr>
        <w:numPr>
          <w:ilvl w:val="1"/>
          <w:numId w:val="1653"/>
        </w:numPr>
        <w:pStyle w:val="Compact"/>
      </w:pPr>
      <w:r>
        <w:t xml:space="preserve">a maintained related-party list (para 13K);</w:t>
      </w:r>
    </w:p>
    <w:p>
      <w:pPr>
        <w:numPr>
          <w:ilvl w:val="1"/>
          <w:numId w:val="1653"/>
        </w:numPr>
        <w:pStyle w:val="Compact"/>
      </w:pPr>
      <w:r>
        <w:t xml:space="preserve">annual Board report on loans to specified employees (para 13L);</w:t>
      </w:r>
    </w:p>
    <w:p>
      <w:pPr>
        <w:numPr>
          <w:ilvl w:val="1"/>
          <w:numId w:val="1653"/>
        </w:numPr>
        <w:pStyle w:val="Compact"/>
      </w:pPr>
      <w:r>
        <w:t xml:space="preserve">quarterly internal-audit review (para 13M);</w:t>
      </w:r>
    </w:p>
    <w:p>
      <w:pPr>
        <w:numPr>
          <w:ilvl w:val="1"/>
          <w:numId w:val="1653"/>
        </w:numPr>
        <w:pStyle w:val="Compact"/>
      </w:pPr>
      <w:r>
        <w:t xml:space="preserve">deviations reported to the Audit Committee (para 13N);</w:t>
      </w:r>
    </w:p>
    <w:p>
      <w:pPr>
        <w:numPr>
          <w:ilvl w:val="1"/>
          <w:numId w:val="1653"/>
        </w:numPr>
        <w:pStyle w:val="Compact"/>
      </w:pPr>
      <w:r>
        <w:t xml:space="preserve">reciprocal arrangements treated as related-party lending (para 13O).</w:t>
      </w:r>
    </w:p>
    <w:p>
      <w:pPr>
        <w:pStyle w:val="FirstParagraph"/>
      </w:pPr>
      <w:r>
        <w:rPr>
          <w:bCs/>
          <w:b/>
        </w:rPr>
        <w:t xml:space="preserve">Prohibitions:</w:t>
      </w:r>
    </w:p>
    <w:p>
      <w:pPr>
        <w:numPr>
          <w:ilvl w:val="0"/>
          <w:numId w:val="1654"/>
        </w:numPr>
        <w:pStyle w:val="Compact"/>
      </w:pPr>
      <w:r>
        <w:t xml:space="preserve">no lending against own shares (para 14);</w:t>
      </w:r>
    </w:p>
    <w:p>
      <w:pPr>
        <w:numPr>
          <w:ilvl w:val="0"/>
          <w:numId w:val="1654"/>
        </w:numPr>
        <w:pStyle w:val="Compact"/>
      </w:pPr>
      <w:r>
        <w:t xml:space="preserve">no lending against own debentures, except tax-exempt bonds (para 15).</w:t>
      </w:r>
    </w:p>
    <w:p>
      <w:pPr>
        <w:pStyle w:val="FirstParagraph"/>
      </w:pPr>
      <w:r>
        <w:rPr>
          <w:bCs/>
          <w:b/>
        </w:rPr>
        <w:t xml:space="preserve">CDS (paras 16–17):</w:t>
      </w:r>
    </w:p>
    <w:p>
      <w:pPr>
        <w:numPr>
          <w:ilvl w:val="0"/>
          <w:numId w:val="1655"/>
        </w:numPr>
        <w:pStyle w:val="Compact"/>
      </w:pPr>
      <w:r>
        <w:t xml:space="preserve">user only, for hedging;</w:t>
      </w:r>
    </w:p>
    <w:p>
      <w:pPr>
        <w:numPr>
          <w:ilvl w:val="0"/>
          <w:numId w:val="1655"/>
        </w:numPr>
        <w:pStyle w:val="Compact"/>
      </w:pPr>
      <w:r>
        <w:t xml:space="preserve">excess over single/group limits risk-weighted at 667%;</w:t>
      </w:r>
    </w:p>
    <w:p>
      <w:pPr>
        <w:numPr>
          <w:ilvl w:val="0"/>
          <w:numId w:val="1655"/>
        </w:numPr>
        <w:pStyle w:val="Compact"/>
      </w:pPr>
      <w:r>
        <w:t xml:space="preserve">no MTM netting;</w:t>
      </w:r>
    </w:p>
    <w:p>
      <w:pPr>
        <w:numPr>
          <w:ilvl w:val="0"/>
          <w:numId w:val="1655"/>
        </w:numPr>
        <w:pStyle w:val="Compact"/>
      </w:pPr>
      <w:r>
        <w:t xml:space="preserve">quarterly report to the DoS Regional Office of exposures above limits.</w:t>
      </w:r>
    </w:p>
    <w:p>
      <w:pPr>
        <w:pStyle w:val="FirstParagraph"/>
      </w:pPr>
      <w:r>
        <w:rPr>
          <w:bCs/>
          <w:b/>
        </w:rPr>
        <w:t xml:space="preserve">LEI (paras 18–24):</w:t>
      </w:r>
    </w:p>
    <w:p>
      <w:pPr>
        <w:numPr>
          <w:ilvl w:val="0"/>
          <w:numId w:val="1656"/>
        </w:numPr>
        <w:pStyle w:val="Compact"/>
      </w:pPr>
      <w:r>
        <w:t xml:space="preserve">Non-individual borrowers with aggregate bank/FI exposure ≥ ₹5 crore need an LEI. Exposure is the higher of limit and outstanding, sourced from own data, CRILC or a declaration.</w:t>
      </w:r>
    </w:p>
    <w:p>
      <w:pPr>
        <w:numPr>
          <w:ilvl w:val="0"/>
          <w:numId w:val="1656"/>
        </w:numPr>
        <w:pStyle w:val="Compact"/>
      </w:pPr>
      <w:r>
        <w:rPr>
          <w:bCs/>
          <w:b/>
        </w:rPr>
        <w:t xml:space="preserve">No new, renewed or enhanced exposure without a valid LEI</w:t>
      </w:r>
      <w:r>
        <w:t xml:space="preserve">; government departments are exempt.</w:t>
      </w:r>
    </w:p>
    <w:p>
      <w:pPr>
        <w:numPr>
          <w:ilvl w:val="0"/>
          <w:numId w:val="1656"/>
        </w:numPr>
        <w:pStyle w:val="Compact"/>
      </w:pPr>
      <w:r>
        <w:t xml:space="preserve">The LEI must be kept renewed.</w:t>
      </w:r>
    </w:p>
    <w:p>
      <w:pPr>
        <w:pStyle w:val="FirstParagraph"/>
      </w:pPr>
      <w:r>
        <w:rPr>
          <w:bCs/>
          <w:b/>
        </w:rPr>
        <w:t xml:space="preserve">CERSAI (paras 25–28):</w:t>
      </w:r>
    </w:p>
    <w:p>
      <w:pPr>
        <w:numPr>
          <w:ilvl w:val="0"/>
          <w:numId w:val="1657"/>
        </w:numPr>
        <w:pStyle w:val="Compact"/>
      </w:pPr>
      <w:r>
        <w:t xml:space="preserve">File every current transaction on an ongoing basis.</w:t>
      </w:r>
    </w:p>
    <w:p>
      <w:pPr>
        <w:numPr>
          <w:ilvl w:val="0"/>
          <w:numId w:val="1657"/>
        </w:numPr>
        <w:pStyle w:val="Compact"/>
      </w:pPr>
      <w:r>
        <w:t xml:space="preserve">Four types:</w:t>
      </w:r>
    </w:p>
    <w:p>
      <w:pPr>
        <w:numPr>
          <w:ilvl w:val="1"/>
          <w:numId w:val="1658"/>
        </w:numPr>
        <w:pStyle w:val="Compact"/>
      </w:pPr>
      <w:r>
        <w:t xml:space="preserve">non-MODT mortgage;</w:t>
      </w:r>
    </w:p>
    <w:p>
      <w:pPr>
        <w:numPr>
          <w:ilvl w:val="1"/>
          <w:numId w:val="1658"/>
        </w:numPr>
        <w:pStyle w:val="Compact"/>
      </w:pPr>
      <w:r>
        <w:t xml:space="preserve">hypothecation of plant and machinery, stocks, book debts and receivables;</w:t>
      </w:r>
    </w:p>
    <w:p>
      <w:pPr>
        <w:numPr>
          <w:ilvl w:val="1"/>
          <w:numId w:val="1658"/>
        </w:numPr>
        <w:pStyle w:val="Compact"/>
      </w:pPr>
      <w:r>
        <w:t xml:space="preserve">intangibles;</w:t>
      </w:r>
    </w:p>
    <w:p>
      <w:pPr>
        <w:numPr>
          <w:ilvl w:val="1"/>
          <w:numId w:val="1658"/>
        </w:numPr>
        <w:pStyle w:val="Compact"/>
      </w:pPr>
      <w:r>
        <w:t xml:space="preserve">under-construction property agreements.</w:t>
      </w:r>
    </w:p>
    <w:p>
      <w:pPr>
        <w:numPr>
          <w:ilvl w:val="0"/>
          <w:numId w:val="1657"/>
        </w:numPr>
        <w:pStyle w:val="Compact"/>
      </w:pPr>
      <w:r>
        <w:t xml:space="preserve">The 30-day period comes from SARFAESI s.23 and the CERSAI Rules, not from this Direction [VERIFY].</w:t>
      </w:r>
    </w:p>
    <w:p>
      <w:pPr>
        <w:pStyle w:val="FirstParagraph"/>
      </w:pPr>
      <w:r>
        <w:rPr>
          <w:bCs/>
          <w:b/>
        </w:rPr>
        <w:t xml:space="preserve">Annex I:</w:t>
      </w:r>
      <w:r>
        <w:t xml:space="preserve"> </w:t>
      </w:r>
      <w:r>
        <w:t xml:space="preserve">disclosure table of loans to directors, senior officers and their relatives.</w:t>
      </w:r>
    </w:p>
    <w:p>
      <w:r>
        <w:pict>
          <v:rect style="width:0;height:1.5pt" o:hralign="center" o:hrstd="t" o:hr="t"/>
        </w:pict>
      </w:r>
    </w:p>
    <w:bookmarkEnd w:id="783"/>
    <w:bookmarkStart w:id="784" w:name="X4d8c1b3fd11f4bfc5bdbc717d9c499e99a83b6c"/>
    <w:p>
      <w:pPr>
        <w:pStyle w:val="Heading2"/>
      </w:pPr>
      <w:r>
        <w:t xml:space="preserve">8A.4 CON — Concentration Risk Management Directions (351)</w:t>
      </w:r>
    </w:p>
    <w:p>
      <w:pPr>
        <w:pStyle w:val="FirstParagraph"/>
      </w:pPr>
      <w:r>
        <w:rPr>
          <w:bCs/>
          <w:b/>
        </w:rPr>
        <w:t xml:space="preserve">Definitions (para 4):</w:t>
      </w:r>
    </w:p>
    <w:p>
      <w:pPr>
        <w:numPr>
          <w:ilvl w:val="0"/>
          <w:numId w:val="1659"/>
        </w:numPr>
        <w:pStyle w:val="Compact"/>
      </w:pPr>
      <w:r>
        <w:rPr>
          <w:bCs/>
          <w:b/>
        </w:rPr>
        <w:t xml:space="preserve">Eligible capital base:</w:t>
      </w:r>
      <w:r>
        <w:t xml:space="preserve"> </w:t>
      </w:r>
      <w:r>
        <w:t xml:space="preserve">Tier 1 (para 4(2)).</w:t>
      </w:r>
    </w:p>
    <w:p>
      <w:pPr>
        <w:numPr>
          <w:ilvl w:val="0"/>
          <w:numId w:val="1659"/>
        </w:numPr>
        <w:pStyle w:val="Compact"/>
      </w:pPr>
      <w:r>
        <w:rPr>
          <w:bCs/>
          <w:b/>
        </w:rPr>
        <w:t xml:space="preserve">Group of connected counterparties</w:t>
      </w:r>
      <w:r>
        <w:t xml:space="preserve"> </w:t>
      </w:r>
      <w:r>
        <w:t xml:space="preserve">(para 4(3)):</w:t>
      </w:r>
    </w:p>
    <w:p>
      <w:pPr>
        <w:numPr>
          <w:ilvl w:val="1"/>
          <w:numId w:val="1660"/>
        </w:numPr>
        <w:pStyle w:val="Compact"/>
      </w:pPr>
      <w:r>
        <w:t xml:space="preserve">control: &gt; 50% of voting rights is automatic;</w:t>
      </w:r>
    </w:p>
    <w:p>
      <w:pPr>
        <w:numPr>
          <w:ilvl w:val="1"/>
          <w:numId w:val="1660"/>
        </w:numPr>
        <w:pStyle w:val="Compact"/>
      </w:pPr>
      <w:r>
        <w:t xml:space="preserve">economic interdependence: criteria (a)–(g), assessed mandatorily where exposure exceeds 5% of Tier 1.</w:t>
      </w:r>
    </w:p>
    <w:p>
      <w:pPr>
        <w:numPr>
          <w:ilvl w:val="0"/>
          <w:numId w:val="1659"/>
        </w:numPr>
        <w:pStyle w:val="Compact"/>
      </w:pPr>
      <w:r>
        <w:rPr>
          <w:bCs/>
          <w:b/>
        </w:rPr>
        <w:t xml:space="preserve">Infrastructure lending and</w:t>
      </w:r>
      <w:r>
        <w:rPr>
          <w:bCs/>
          <w:b/>
        </w:rPr>
        <w:t xml:space="preserve"> </w:t>
      </w:r>
      <w:r>
        <w:rPr>
          <w:bCs/>
          <w:b/>
        </w:rPr>
        <w:t xml:space="preserve">“</w:t>
      </w:r>
      <w:r>
        <w:rPr>
          <w:bCs/>
          <w:b/>
        </w:rPr>
        <w:t xml:space="preserve">high-quality infrastructure projects</w:t>
      </w:r>
      <w:r>
        <w:rPr>
          <w:bCs/>
          <w:b/>
        </w:rPr>
        <w:t xml:space="preserve">”</w:t>
      </w:r>
      <w:r>
        <w:t xml:space="preserve"> </w:t>
      </w:r>
      <w:r>
        <w:t xml:space="preserve">(para 4(4)).</w:t>
      </w:r>
    </w:p>
    <w:p>
      <w:pPr>
        <w:numPr>
          <w:ilvl w:val="0"/>
          <w:numId w:val="1659"/>
        </w:numPr>
        <w:pStyle w:val="Compact"/>
      </w:pPr>
      <w:r>
        <w:rPr>
          <w:bCs/>
          <w:b/>
        </w:rPr>
        <w:t xml:space="preserve">Large Exposure (UL):</w:t>
      </w:r>
      <w:r>
        <w:t xml:space="preserve"> </w:t>
      </w:r>
      <w:r>
        <w:t xml:space="preserve">≥ 10% of eligible capital base (para 4(5)).</w:t>
      </w:r>
    </w:p>
    <w:p>
      <w:pPr>
        <w:numPr>
          <w:ilvl w:val="0"/>
          <w:numId w:val="1659"/>
        </w:numPr>
        <w:pStyle w:val="Compact"/>
      </w:pPr>
      <w:r>
        <w:rPr>
          <w:bCs/>
          <w:b/>
        </w:rPr>
        <w:t xml:space="preserve">Tier 1 for concentration purposes:</w:t>
      </w:r>
      <w:r>
        <w:t xml:space="preserve"> </w:t>
      </w:r>
      <w:r>
        <w:t xml:space="preserve">capital augmentation counts only after the external auditor’s certificate is submitted to DoS (para 4(8)).</w:t>
      </w:r>
    </w:p>
    <w:p>
      <w:pPr>
        <w:pStyle w:val="FirstParagraph"/>
      </w:pPr>
      <w:r>
        <w:rPr>
          <w:bCs/>
          <w:b/>
        </w:rPr>
        <w:t xml:space="preserve">Base Layer (paras 6–11):</w:t>
      </w:r>
    </w:p>
    <w:p>
      <w:pPr>
        <w:numPr>
          <w:ilvl w:val="0"/>
          <w:numId w:val="1661"/>
        </w:numPr>
        <w:pStyle w:val="Compact"/>
      </w:pPr>
      <w:r>
        <w:t xml:space="preserve">Board limits for single/group credit and investment, computed by the ML method (paras 6, 8).</w:t>
      </w:r>
    </w:p>
    <w:p>
      <w:pPr>
        <w:numPr>
          <w:ilvl w:val="0"/>
          <w:numId w:val="1661"/>
        </w:numPr>
        <w:pStyle w:val="Compact"/>
      </w:pPr>
      <w:r>
        <w:t xml:space="preserve">An NBFC held by an NOFHC has no exposure to its promoter group or the NOFHC (para 7).</w:t>
      </w:r>
    </w:p>
    <w:p>
      <w:pPr>
        <w:numPr>
          <w:ilvl w:val="0"/>
          <w:numId w:val="1661"/>
        </w:numPr>
        <w:pStyle w:val="Compact"/>
      </w:pPr>
      <w:r>
        <w:t xml:space="preserve">Sub-limits for consumer credit, especially unsecured, monitored by the RMC (para 9).</w:t>
      </w:r>
    </w:p>
    <w:p>
      <w:pPr>
        <w:numPr>
          <w:ilvl w:val="0"/>
          <w:numId w:val="1661"/>
        </w:numPr>
        <w:pStyle w:val="Compact"/>
      </w:pPr>
      <w:r>
        <w:rPr>
          <w:bCs/>
          <w:b/>
        </w:rPr>
        <w:t xml:space="preserve">Top-up loans against depreciating movable assets such as vehicles are treated as unsecured</w:t>
      </w:r>
      <w:r>
        <w:t xml:space="preserve"> </w:t>
      </w:r>
      <w:r>
        <w:t xml:space="preserve">(para 10).</w:t>
      </w:r>
    </w:p>
    <w:p>
      <w:pPr>
        <w:numPr>
          <w:ilvl w:val="0"/>
          <w:numId w:val="1661"/>
        </w:numPr>
        <w:pStyle w:val="Compact"/>
      </w:pPr>
      <w:r>
        <w:t xml:space="preserve">IPO funding ≤ ₹1 crore per borrower (para 11).</w:t>
      </w:r>
    </w:p>
    <w:p>
      <w:pPr>
        <w:pStyle w:val="FirstParagraph"/>
      </w:pPr>
      <w:r>
        <w:rPr>
          <w:bCs/>
          <w:b/>
        </w:rPr>
        <w:t xml:space="preserve">Middle Layer (paras 12–24):</w:t>
      </w:r>
    </w:p>
    <w:p>
      <w:pPr>
        <w:numPr>
          <w:ilvl w:val="0"/>
          <w:numId w:val="1662"/>
        </w:numPr>
        <w:pStyle w:val="Compact"/>
      </w:pPr>
      <w:r>
        <w:rPr>
          <w:bCs/>
          <w:b/>
        </w:rPr>
        <w:t xml:space="preserve">Limits:</w:t>
      </w:r>
      <w:r>
        <w:t xml:space="preserve"> </w:t>
      </w:r>
      <w:r>
        <w:t xml:space="preserve">single 25% / group 40% of Tier 1; IFC 30% / 50%; plus 5% / 10% where the additional exposure is infrastructure (paras 13–14).</w:t>
      </w:r>
    </w:p>
    <w:p>
      <w:pPr>
        <w:numPr>
          <w:ilvl w:val="0"/>
          <w:numId w:val="1662"/>
        </w:numPr>
        <w:pStyle w:val="Compact"/>
      </w:pPr>
      <w:r>
        <w:t xml:space="preserve">Tier 1 from the latest audited or limited-review statements (para 14(3)).</w:t>
      </w:r>
    </w:p>
    <w:p>
      <w:pPr>
        <w:numPr>
          <w:ilvl w:val="0"/>
          <w:numId w:val="1662"/>
        </w:numPr>
        <w:pStyle w:val="Compact"/>
      </w:pPr>
      <w:r>
        <w:rPr>
          <w:bCs/>
          <w:b/>
        </w:rPr>
        <w:t xml:space="preserve">Exemptions (para 17):</w:t>
      </w:r>
      <w:r>
        <w:t xml:space="preserve"> </w:t>
      </w:r>
      <w:r>
        <w:t xml:space="preserve">exposures deducted from Owned Fund, zero-risk-weight exposure to GoI/State, and exposure fully guaranteed by GoI.</w:t>
      </w:r>
    </w:p>
    <w:p>
      <w:pPr>
        <w:numPr>
          <w:ilvl w:val="0"/>
          <w:numId w:val="1662"/>
        </w:numPr>
        <w:pStyle w:val="Compact"/>
      </w:pPr>
      <w:r>
        <w:rPr>
          <w:bCs/>
          <w:b/>
        </w:rPr>
        <w:t xml:space="preserve">Exposure computation (para 20):</w:t>
      </w:r>
    </w:p>
    <w:p>
      <w:pPr>
        <w:numPr>
          <w:ilvl w:val="1"/>
          <w:numId w:val="1663"/>
        </w:numPr>
        <w:pStyle w:val="Compact"/>
      </w:pPr>
      <w:r>
        <w:t xml:space="preserve">on-balance-sheet at outstanding amount, netted only where provisions are held;</w:t>
      </w:r>
    </w:p>
    <w:p>
      <w:pPr>
        <w:numPr>
          <w:ilvl w:val="1"/>
          <w:numId w:val="1663"/>
        </w:numPr>
        <w:pStyle w:val="Compact"/>
      </w:pPr>
      <w:r>
        <w:t xml:space="preserve">off-balance-sheet × CCF;</w:t>
      </w:r>
    </w:p>
    <w:p>
      <w:pPr>
        <w:numPr>
          <w:ilvl w:val="1"/>
          <w:numId w:val="1663"/>
        </w:numPr>
        <w:pStyle w:val="Compact"/>
      </w:pPr>
      <w:r>
        <w:t xml:space="preserve">CRT offsets: cash margin, Central/State Government guarantees, CGTMSE/CRGFTLIH/NCGTC; guarantees must be</w:t>
      </w:r>
      <w:r>
        <w:t xml:space="preserve"> </w:t>
      </w:r>
      <w:r>
        <w:t xml:space="preserve">“</w:t>
      </w:r>
      <w:r>
        <w:t xml:space="preserve">direct, explicit, irrevocable and unconditional</w:t>
      </w:r>
      <w:r>
        <w:t xml:space="preserve">”</w:t>
      </w:r>
      <w:r>
        <w:t xml:space="preserve">.</w:t>
      </w:r>
    </w:p>
    <w:p>
      <w:pPr>
        <w:numPr>
          <w:ilvl w:val="0"/>
          <w:numId w:val="1662"/>
        </w:numPr>
        <w:pStyle w:val="Compact"/>
      </w:pPr>
      <w:r>
        <w:t xml:space="preserve">Limits apply to both the NBFC’s own group and the borrower’s group (para 21).</w:t>
      </w:r>
    </w:p>
    <w:p>
      <w:pPr>
        <w:numPr>
          <w:ilvl w:val="0"/>
          <w:numId w:val="1662"/>
        </w:numPr>
        <w:pStyle w:val="Compact"/>
      </w:pPr>
      <w:r>
        <w:rPr>
          <w:bCs/>
          <w:b/>
        </w:rPr>
        <w:t xml:space="preserve">Factoring:</w:t>
      </w:r>
      <w:r>
        <w:t xml:space="preserve"> </w:t>
      </w:r>
      <w:r>
        <w:t xml:space="preserve">with recourse, exposure is on the assignor; without recourse, on the debtor (paras 22–23).</w:t>
      </w:r>
    </w:p>
    <w:p>
      <w:pPr>
        <w:numPr>
          <w:ilvl w:val="0"/>
          <w:numId w:val="1662"/>
        </w:numPr>
        <w:pStyle w:val="Compact"/>
      </w:pPr>
      <w:r>
        <w:rPr>
          <w:bCs/>
          <w:b/>
        </w:rPr>
        <w:t xml:space="preserve">Sensitive-sector exposure</w:t>
      </w:r>
      <w:r>
        <w:t xml:space="preserve"> </w:t>
      </w:r>
      <w:r>
        <w:t xml:space="preserve">(capital market and CRE): Board limits, a land-acquisition sub-limit, and the IPO cap (para 24).</w:t>
      </w:r>
    </w:p>
    <w:p>
      <w:pPr>
        <w:pStyle w:val="FirstParagraph"/>
      </w:pPr>
      <w:r>
        <w:rPr>
          <w:bCs/>
          <w:b/>
        </w:rPr>
        <w:t xml:space="preserve">Upper Layer — Large Exposure Framework (paras 25–49):</w:t>
      </w:r>
    </w:p>
    <w:p>
      <w:pPr>
        <w:numPr>
          <w:ilvl w:val="0"/>
          <w:numId w:val="1664"/>
        </w:numPr>
        <w:pStyle w:val="Compact"/>
      </w:pPr>
      <w:r>
        <w:t xml:space="preserve">Solo and consolidated (para 27).</w:t>
      </w:r>
    </w:p>
    <w:p>
      <w:pPr>
        <w:numPr>
          <w:ilvl w:val="0"/>
          <w:numId w:val="1664"/>
        </w:numPr>
        <w:pStyle w:val="Compact"/>
      </w:pPr>
      <w:r>
        <w:rPr>
          <w:bCs/>
          <w:b/>
        </w:rPr>
        <w:t xml:space="preserve">Single counterparty:</w:t>
      </w:r>
      <w:r>
        <w:t xml:space="preserve"> </w:t>
      </w:r>
      <w:r>
        <w:t xml:space="preserve">20%, with +5% by Board policy for recorded exceptional reasons; IFC +5%; infrastructure +5%; hard caps 25% (non-IFC) and 30% (IFC) (paras 33–34).</w:t>
      </w:r>
    </w:p>
    <w:p>
      <w:pPr>
        <w:numPr>
          <w:ilvl w:val="0"/>
          <w:numId w:val="1664"/>
        </w:numPr>
        <w:pStyle w:val="Compact"/>
      </w:pPr>
      <w:r>
        <w:rPr>
          <w:bCs/>
          <w:b/>
        </w:rPr>
        <w:t xml:space="preserve">Group:</w:t>
      </w:r>
      <w:r>
        <w:t xml:space="preserve"> </w:t>
      </w:r>
      <w:r>
        <w:t xml:space="preserve">25%; IFC 35%; infrastructure +10% (paras 35, 39).</w:t>
      </w:r>
    </w:p>
    <w:p>
      <w:pPr>
        <w:numPr>
          <w:ilvl w:val="0"/>
          <w:numId w:val="1664"/>
        </w:numPr>
        <w:pStyle w:val="Compact"/>
      </w:pPr>
      <w:r>
        <w:t xml:space="preserve">CCP treatment (paras 42–44).</w:t>
      </w:r>
    </w:p>
    <w:p>
      <w:pPr>
        <w:numPr>
          <w:ilvl w:val="0"/>
          <w:numId w:val="1664"/>
        </w:numPr>
        <w:pStyle w:val="Compact"/>
      </w:pPr>
      <w:r>
        <w:rPr>
          <w:bCs/>
          <w:b/>
        </w:rPr>
        <w:t xml:space="preserve">A breach is reported immediately, and no further exposure is allowed until cured</w:t>
      </w:r>
      <w:r>
        <w:t xml:space="preserve"> </w:t>
      </w:r>
      <w:r>
        <w:t xml:space="preserve">(paras 45–46).</w:t>
      </w:r>
    </w:p>
    <w:p>
      <w:pPr>
        <w:numPr>
          <w:ilvl w:val="0"/>
          <w:numId w:val="1664"/>
        </w:numPr>
        <w:pStyle w:val="Compact"/>
      </w:pPr>
      <w:r>
        <w:rPr>
          <w:bCs/>
          <w:b/>
        </w:rPr>
        <w:t xml:space="preserve">“</w:t>
      </w:r>
      <w:r>
        <w:rPr>
          <w:bCs/>
          <w:b/>
        </w:rPr>
        <w:t xml:space="preserve">Return on Large Exposures</w:t>
      </w:r>
      <w:r>
        <w:rPr>
          <w:bCs/>
          <w:b/>
        </w:rPr>
        <w:t xml:space="preserve">”</w:t>
      </w:r>
      <w:r>
        <w:t xml:space="preserve"> </w:t>
      </w:r>
      <w:r>
        <w:t xml:space="preserve">(Annex I, sections A–D) (para 48); filed</w:t>
      </w:r>
      <w:r>
        <w:t xml:space="preserve"> </w:t>
      </w:r>
      <w:r>
        <w:rPr>
          <w:bCs/>
          <w:b/>
        </w:rPr>
        <w:t xml:space="preserve">quarterly</w:t>
      </w:r>
      <w:r>
        <w:t xml:space="preserve"> </w:t>
      </w:r>
      <w:r>
        <w:t xml:space="preserve">within 21 days per SR para 21 item 12 (20 largest exposures) [VERIFY against the Annex I</w:t>
      </w:r>
      <w:r>
        <w:t xml:space="preserve"> </w:t>
      </w:r>
      <w:r>
        <w:t xml:space="preserve">“</w:t>
      </w:r>
      <w:r>
        <w:t xml:space="preserve">Return for the Month</w:t>
      </w:r>
      <w:r>
        <w:t xml:space="preserve">”</w:t>
      </w:r>
      <w:r>
        <w:t xml:space="preserve"> </w:t>
      </w:r>
      <w:r>
        <w:t xml:space="preserve">heading]. Annex I has 20 rows in section A while para 48 says 10; build for at least 20.</w:t>
      </w:r>
    </w:p>
    <w:p>
      <w:pPr>
        <w:numPr>
          <w:ilvl w:val="0"/>
          <w:numId w:val="1664"/>
        </w:numPr>
        <w:pStyle w:val="Compact"/>
      </w:pPr>
      <w:r>
        <w:t xml:space="preserve">Internal sector limits, including exposure to NBFCs (para 49).</w:t>
      </w:r>
    </w:p>
    <w:p>
      <w:r>
        <w:pict>
          <v:rect style="width:0;height:1.5pt" o:hralign="center" o:hrstd="t" o:hr="t"/>
        </w:pict>
      </w:r>
    </w:p>
    <w:bookmarkEnd w:id="784"/>
    <w:bookmarkStart w:id="785" w:name="X3fdc7337cb5dccdecc130b3a506d9eab8a6f1f2"/>
    <w:p>
      <w:pPr>
        <w:pStyle w:val="Heading2"/>
      </w:pPr>
      <w:r>
        <w:t xml:space="preserve">8A.5 INV — Investment Portfolio Directions (354)</w:t>
      </w:r>
    </w:p>
    <w:p>
      <w:pPr>
        <w:numPr>
          <w:ilvl w:val="0"/>
          <w:numId w:val="1665"/>
        </w:numPr>
        <w:pStyle w:val="Compact"/>
      </w:pPr>
      <w:r>
        <w:rPr>
          <w:bCs/>
          <w:b/>
        </w:rPr>
        <w:t xml:space="preserve">Classification</w:t>
      </w:r>
      <w:r>
        <w:t xml:space="preserve"> </w:t>
      </w:r>
      <w:r>
        <w:t xml:space="preserve">follows the applicable accounting standard at the time of each investment (para 9). The Board investment policy states the criteria (paras 7–8).</w:t>
      </w:r>
    </w:p>
    <w:p>
      <w:pPr>
        <w:numPr>
          <w:ilvl w:val="1"/>
          <w:numId w:val="1666"/>
        </w:numPr>
        <w:pStyle w:val="Compact"/>
      </w:pPr>
      <w:r>
        <w:rPr>
          <w:bCs/>
          <w:b/>
        </w:rPr>
        <w:t xml:space="preserve">Ind AS:</w:t>
      </w:r>
      <w:r>
        <w:t xml:space="preserve"> </w:t>
      </w:r>
      <w:r>
        <w:t xml:space="preserve">amortised cost / FVOCI / FVTPL.</w:t>
      </w:r>
    </w:p>
    <w:p>
      <w:pPr>
        <w:numPr>
          <w:ilvl w:val="1"/>
          <w:numId w:val="1666"/>
        </w:numPr>
        <w:pStyle w:val="Compact"/>
      </w:pPr>
      <w:r>
        <w:rPr>
          <w:bCs/>
          <w:b/>
        </w:rPr>
        <w:t xml:space="preserve">Non-Ind AS:</w:t>
      </w:r>
      <w:r>
        <w:t xml:space="preserve"> </w:t>
      </w:r>
      <w:r>
        <w:t xml:space="preserve">current or long-term (para 4).</w:t>
      </w:r>
    </w:p>
    <w:p>
      <w:pPr>
        <w:numPr>
          <w:ilvl w:val="0"/>
          <w:numId w:val="1665"/>
        </w:numPr>
        <w:pStyle w:val="Compact"/>
      </w:pPr>
      <w:r>
        <w:rPr>
          <w:bCs/>
          <w:b/>
        </w:rPr>
        <w:t xml:space="preserve">Non-Ind AS inter-class transfers (para 10):</w:t>
      </w:r>
      <w:r>
        <w:t xml:space="preserve"> </w:t>
      </w:r>
      <w:r>
        <w:t xml:space="preserve">never ad hoc; only on 1 April or 1 October, with Board approval; scrip-wise, at the lower of book and market value; full depreciation provided, appreciation ignored.</w:t>
      </w:r>
    </w:p>
    <w:p>
      <w:pPr>
        <w:numPr>
          <w:ilvl w:val="0"/>
          <w:numId w:val="1665"/>
        </w:numPr>
        <w:pStyle w:val="Compact"/>
      </w:pPr>
      <w:r>
        <w:rPr>
          <w:bCs/>
          <w:b/>
        </w:rPr>
        <w:t xml:space="preserve">Non-Ind AS valuation (paras 14–21):</w:t>
      </w:r>
    </w:p>
    <w:p>
      <w:pPr>
        <w:numPr>
          <w:ilvl w:val="1"/>
          <w:numId w:val="1667"/>
        </w:numPr>
        <w:pStyle w:val="Compact"/>
      </w:pPr>
      <w:r>
        <w:t xml:space="preserve">quoted current investments in six categories, each at the lower of cost and market, with no set-off across categories;</w:t>
      </w:r>
    </w:p>
    <w:p>
      <w:pPr>
        <w:numPr>
          <w:ilvl w:val="1"/>
          <w:numId w:val="1667"/>
        </w:numPr>
        <w:pStyle w:val="Compact"/>
      </w:pPr>
      <w:r>
        <w:t xml:space="preserve">unquoted equity: lower of cost and break-up value, or ₹1 if the investee’s balance sheet is unavailable for 2 years;</w:t>
      </w:r>
    </w:p>
    <w:p>
      <w:pPr>
        <w:numPr>
          <w:ilvl w:val="1"/>
          <w:numId w:val="1667"/>
        </w:numPr>
        <w:pStyle w:val="Compact"/>
      </w:pPr>
      <w:r>
        <w:t xml:space="preserve">unquoted preference shares: lower of cost and face value;</w:t>
      </w:r>
    </w:p>
    <w:p>
      <w:pPr>
        <w:numPr>
          <w:ilvl w:val="1"/>
          <w:numId w:val="1667"/>
        </w:numPr>
        <w:pStyle w:val="Compact"/>
      </w:pPr>
      <w:r>
        <w:t xml:space="preserve">unquoted G-Secs and government-guaranteed bonds: carrying cost;</w:t>
      </w:r>
    </w:p>
    <w:p>
      <w:pPr>
        <w:numPr>
          <w:ilvl w:val="1"/>
          <w:numId w:val="1667"/>
        </w:numPr>
        <w:pStyle w:val="Compact"/>
      </w:pPr>
      <w:r>
        <w:t xml:space="preserve">MF units: NAV;</w:t>
      </w:r>
    </w:p>
    <w:p>
      <w:pPr>
        <w:numPr>
          <w:ilvl w:val="1"/>
          <w:numId w:val="1667"/>
        </w:numPr>
        <w:pStyle w:val="Compact"/>
      </w:pPr>
      <w:r>
        <w:t xml:space="preserve">commercial paper: carrying cost;</w:t>
      </w:r>
    </w:p>
    <w:p>
      <w:pPr>
        <w:numPr>
          <w:ilvl w:val="1"/>
          <w:numId w:val="1667"/>
        </w:numPr>
        <w:pStyle w:val="Compact"/>
      </w:pPr>
      <w:r>
        <w:t xml:space="preserve">unquoted debentures follow IRAC as loans.</w:t>
      </w:r>
    </w:p>
    <w:p>
      <w:pPr>
        <w:numPr>
          <w:ilvl w:val="0"/>
          <w:numId w:val="1665"/>
        </w:numPr>
        <w:pStyle w:val="Compact"/>
      </w:pPr>
      <w:r>
        <w:rPr>
          <w:bCs/>
          <w:b/>
        </w:rPr>
        <w:t xml:space="preserve">Income recognition (paras 22–24).</w:t>
      </w:r>
    </w:p>
    <w:p>
      <w:pPr>
        <w:numPr>
          <w:ilvl w:val="0"/>
          <w:numId w:val="1665"/>
        </w:numPr>
        <w:pStyle w:val="Compact"/>
      </w:pPr>
      <w:r>
        <w:rPr>
          <w:bCs/>
          <w:b/>
        </w:rPr>
        <w:t xml:space="preserve">AIF schemes (paras 25–27):</w:t>
      </w:r>
    </w:p>
    <w:p>
      <w:pPr>
        <w:numPr>
          <w:ilvl w:val="1"/>
          <w:numId w:val="1668"/>
        </w:numPr>
        <w:pStyle w:val="Compact"/>
      </w:pPr>
      <w:r>
        <w:t xml:space="preserve">no investment in an AIF scheme with downstream investment in a debtor company (any company with loan or investment exposure in the preceding 12 months);</w:t>
      </w:r>
    </w:p>
    <w:p>
      <w:pPr>
        <w:numPr>
          <w:ilvl w:val="1"/>
          <w:numId w:val="1668"/>
        </w:numPr>
        <w:pStyle w:val="Compact"/>
      </w:pPr>
      <w:r>
        <w:t xml:space="preserve">exit within 30 days, or provide 100% on the look-through portion;</w:t>
      </w:r>
    </w:p>
    <w:p>
      <w:pPr>
        <w:numPr>
          <w:ilvl w:val="1"/>
          <w:numId w:val="1668"/>
        </w:numPr>
        <w:pStyle w:val="Compact"/>
      </w:pPr>
      <w:r>
        <w:t xml:space="preserve">subordinated/sponsor units deducted from capital.</w:t>
      </w:r>
    </w:p>
    <w:p>
      <w:pPr>
        <w:numPr>
          <w:ilvl w:val="0"/>
          <w:numId w:val="1665"/>
        </w:numPr>
        <w:pStyle w:val="Compact"/>
      </w:pPr>
      <w:r>
        <w:rPr>
          <w:bCs/>
          <w:b/>
        </w:rPr>
        <w:t xml:space="preserve">v1.5 note — AIF regime from 1 Jan 2026:</w:t>
      </w:r>
      <w:r>
        <w:t xml:space="preserve"> </w:t>
      </w:r>
      <w:r>
        <w:t xml:space="preserve">the RBI (Investment in AIF) Directions, 2025 (RBI/DOR/2025-26/138, 29 Jul 2025; code</w:t>
      </w:r>
      <w:r>
        <w:t xml:space="preserve"> </w:t>
      </w:r>
      <w:r>
        <w:rPr>
          <w:rStyle w:val="VerbatimChar"/>
        </w:rPr>
        <w:t xml:space="preserve">RBI-AIF</w:t>
      </w:r>
      <w:r>
        <w:t xml:space="preserve">, Part 8A.37), effective 1 Jan 2026 or earlier by internal policy, replace the circular-based regime that paras 25–27 reproduce. An RE may hold at most 10% of an AIF scheme’s corpus, and all REs together at most 20%; where an RE holds more than 5% and the scheme has downstream non-equity investment in the RE’s debtor company, the RE provides 100% of its proportionate look-through exposure, capped at its direct exposure to that debtor; subordinated units are deducted proportionately from Tier 1 and Tier 2. Commitments existing on 29 Jul 2025, or made before the effective date, follow the old or the new regime in full. Engine and tests: Part 7H IV4.1 [VERIFY: whether the consolidated INV text amends paras 25–27].</w:t>
      </w:r>
    </w:p>
    <w:p>
      <w:pPr>
        <w:numPr>
          <w:ilvl w:val="0"/>
          <w:numId w:val="1665"/>
        </w:numPr>
        <w:pStyle w:val="Compact"/>
      </w:pPr>
      <w:r>
        <w:rPr>
          <w:bCs/>
          <w:b/>
        </w:rPr>
        <w:t xml:space="preserve">Trading and hedging:</w:t>
      </w:r>
    </w:p>
    <w:p>
      <w:pPr>
        <w:numPr>
          <w:ilvl w:val="1"/>
          <w:numId w:val="1669"/>
        </w:numPr>
        <w:pStyle w:val="Compact"/>
      </w:pPr>
      <w:r>
        <w:t xml:space="preserve">G-Sec trades through a gilt or demat account (paras 11–12);</w:t>
      </w:r>
    </w:p>
    <w:p>
      <w:pPr>
        <w:numPr>
          <w:ilvl w:val="1"/>
          <w:numId w:val="1669"/>
        </w:numPr>
        <w:pStyle w:val="Compact"/>
      </w:pPr>
      <w:r>
        <w:t xml:space="preserve">OTC corporate-bond trades reported within 15 minutes (para 13);</w:t>
      </w:r>
    </w:p>
    <w:p>
      <w:pPr>
        <w:numPr>
          <w:ilvl w:val="1"/>
          <w:numId w:val="1669"/>
        </w:numPr>
        <w:pStyle w:val="Compact"/>
      </w:pPr>
      <w:r>
        <w:t xml:space="preserve">currency futures and IRF for hedging only, with half-yearly IRF data within 1 month (paras 28–29);</w:t>
      </w:r>
    </w:p>
    <w:p>
      <w:pPr>
        <w:numPr>
          <w:ilvl w:val="1"/>
          <w:numId w:val="1669"/>
        </w:numPr>
        <w:pStyle w:val="Compact"/>
      </w:pPr>
      <w:r>
        <w:t xml:space="preserve">ML/UL repo and options (paras 31–34).</w:t>
      </w:r>
    </w:p>
    <w:p>
      <w:r>
        <w:pict>
          <v:rect style="width:0;height:1.5pt" o:hralign="center" o:hrstd="t" o:hr="t"/>
        </w:pict>
      </w:r>
    </w:p>
    <w:bookmarkEnd w:id="785"/>
    <w:bookmarkStart w:id="786" w:name="X33208afe7c2f6e52c98ce547993bdbe5f60a0e5"/>
    <w:p>
      <w:pPr>
        <w:pStyle w:val="Heading2"/>
      </w:pPr>
      <w:r>
        <w:t xml:space="preserve">8A.6 BR — Branch Authorisation Directions (342)</w:t>
      </w:r>
    </w:p>
    <w:p>
      <w:pPr>
        <w:numPr>
          <w:ilvl w:val="0"/>
          <w:numId w:val="1670"/>
        </w:numPr>
        <w:pStyle w:val="Compact"/>
      </w:pPr>
      <w:r>
        <w:t xml:space="preserve">No prior RBI approval is needed to open branches unless specifically restricted (para 5).</w:t>
      </w:r>
    </w:p>
    <w:p>
      <w:pPr>
        <w:numPr>
          <w:ilvl w:val="0"/>
          <w:numId w:val="1670"/>
        </w:numPr>
        <w:pStyle w:val="Compact"/>
      </w:pPr>
      <w:r>
        <w:rPr>
          <w:bCs/>
          <w:b/>
        </w:rPr>
        <w:t xml:space="preserve">Deposit-taking NBFCs (para 6):</w:t>
      </w:r>
      <w:r>
        <w:t xml:space="preserve"> </w:t>
      </w:r>
      <w:r>
        <w:t xml:space="preserve">branches or agents only within the registered-office state, unless NOF &gt; ₹50 crore</w:t>
      </w:r>
      <w:r>
        <w:t xml:space="preserve"> </w:t>
      </w:r>
      <w:r>
        <w:rPr>
          <w:bCs/>
          <w:b/>
        </w:rPr>
        <w:t xml:space="preserve">and</w:t>
      </w:r>
      <w:r>
        <w:t xml:space="preserve"> </w:t>
      </w:r>
      <w:r>
        <w:t xml:space="preserve">rating ≥ AA.</w:t>
      </w:r>
    </w:p>
    <w:p>
      <w:pPr>
        <w:numPr>
          <w:ilvl w:val="0"/>
          <w:numId w:val="1670"/>
        </w:numPr>
        <w:pStyle w:val="Compact"/>
      </w:pPr>
      <w:r>
        <w:rPr>
          <w:bCs/>
          <w:b/>
        </w:rPr>
        <w:t xml:space="preserve">No branches abroad</w:t>
      </w:r>
      <w:r>
        <w:t xml:space="preserve"> </w:t>
      </w:r>
      <w:r>
        <w:t xml:space="preserve">(para 10).</w:t>
      </w:r>
    </w:p>
    <w:p>
      <w:pPr>
        <w:numPr>
          <w:ilvl w:val="0"/>
          <w:numId w:val="1670"/>
        </w:numPr>
        <w:pStyle w:val="Compact"/>
      </w:pPr>
      <w:r>
        <w:rPr>
          <w:bCs/>
          <w:b/>
        </w:rPr>
        <w:t xml:space="preserve">Closure (para 11):</w:t>
      </w:r>
      <w:r>
        <w:t xml:space="preserve"> </w:t>
      </w:r>
      <w:r>
        <w:t xml:space="preserve">at least 3 months’ public notice in one leading national newspaper and one local vernacular newspaper, stating the purpose and the servicing arrangements.</w:t>
      </w:r>
    </w:p>
    <w:p>
      <w:pPr>
        <w:numPr>
          <w:ilvl w:val="0"/>
          <w:numId w:val="1670"/>
        </w:numPr>
        <w:pStyle w:val="Compact"/>
      </w:pPr>
      <w:r>
        <w:rPr>
          <w:bCs/>
          <w:b/>
        </w:rPr>
        <w:t xml:space="preserve">Deposit-taking (para 12):</w:t>
      </w:r>
      <w:r>
        <w:t xml:space="preserve"> </w:t>
      </w:r>
      <w:r>
        <w:t xml:space="preserve">intimation with a copy of the notice to the RBI/NHB Regional Office within 7 days of publication.</w:t>
      </w:r>
    </w:p>
    <w:p>
      <w:pPr>
        <w:numPr>
          <w:ilvl w:val="0"/>
          <w:numId w:val="1670"/>
        </w:numPr>
        <w:pStyle w:val="Compact"/>
      </w:pPr>
      <w:r>
        <w:rPr>
          <w:bCs/>
          <w:b/>
        </w:rPr>
        <w:t xml:space="preserve">Representative office abroad (paras 13–15):</w:t>
      </w:r>
      <w:r>
        <w:t xml:space="preserve"> </w:t>
      </w:r>
      <w:r>
        <w:t xml:space="preserve">prior approval through PRAVAAH; liaison only, with no outlay and no credit; periodic reports.</w:t>
      </w:r>
    </w:p>
    <w:p>
      <w:r>
        <w:pict>
          <v:rect style="width:0;height:1.5pt" o:hralign="center" o:hrstd="t" o:hr="t"/>
        </w:pict>
      </w:r>
    </w:p>
    <w:bookmarkEnd w:id="786"/>
    <w:bookmarkStart w:id="787" w:name="X95265b39a3971a438267f3af80b322c08cee01c"/>
    <w:p>
      <w:pPr>
        <w:pStyle w:val="Heading2"/>
      </w:pPr>
      <w:r>
        <w:t xml:space="preserve">8A.7 ALM — Asset Liability Management Directions (355)</w:t>
      </w:r>
    </w:p>
    <w:p>
      <w:pPr>
        <w:pStyle w:val="FirstParagraph"/>
      </w:pPr>
      <w:r>
        <w:rPr>
          <w:bCs/>
          <w:b/>
        </w:rPr>
        <w:t xml:space="preserve">Applicability:</w:t>
      </w:r>
    </w:p>
    <w:p>
      <w:pPr>
        <w:numPr>
          <w:ilvl w:val="0"/>
          <w:numId w:val="1671"/>
        </w:numPr>
        <w:pStyle w:val="Compact"/>
      </w:pPr>
      <w:r>
        <w:t xml:space="preserve">Ch II applies only where assets ≥ ₹100 crore (last audited balance sheet).</w:t>
      </w:r>
    </w:p>
    <w:p>
      <w:pPr>
        <w:numPr>
          <w:ilvl w:val="0"/>
          <w:numId w:val="1671"/>
        </w:numPr>
        <w:pStyle w:val="Compact"/>
      </w:pPr>
      <w:r>
        <w:t xml:space="preserve">Ch III (LCR) applies to all NBFC-D and to NBFC-ND ≥ ₹5,000 crore, never to CICs (paras 3–5).</w:t>
      </w:r>
    </w:p>
    <w:p>
      <w:pPr>
        <w:pStyle w:val="FirstParagraph"/>
      </w:pPr>
      <w:r>
        <w:rPr>
          <w:bCs/>
          <w:b/>
        </w:rPr>
        <w:t xml:space="preserve">Governance:</w:t>
      </w:r>
    </w:p>
    <w:p>
      <w:pPr>
        <w:numPr>
          <w:ilvl w:val="0"/>
          <w:numId w:val="1672"/>
        </w:numPr>
        <w:pStyle w:val="Compact"/>
      </w:pPr>
      <w:r>
        <w:t xml:space="preserve">Board responsibility; ALCO headed by CEO/MD/ED (paras 8, 17).</w:t>
      </w:r>
    </w:p>
    <w:p>
      <w:pPr>
        <w:numPr>
          <w:ilvl w:val="0"/>
          <w:numId w:val="1672"/>
        </w:numPr>
        <w:pStyle w:val="Compact"/>
      </w:pPr>
      <w:r>
        <w:t xml:space="preserve">Internal limits (paras 10–11); CRO involvement (para 16); independent review (para 19).</w:t>
      </w:r>
    </w:p>
    <w:p>
      <w:pPr>
        <w:numPr>
          <w:ilvl w:val="0"/>
          <w:numId w:val="1672"/>
        </w:numPr>
        <w:pStyle w:val="Compact"/>
      </w:pPr>
      <w:r>
        <w:t xml:space="preserve">Forward-looking MIS, entity and group, normal and stress (para 14).</w:t>
      </w:r>
    </w:p>
    <w:p>
      <w:pPr>
        <w:pStyle w:val="FirstParagraph"/>
      </w:pPr>
      <w:r>
        <w:rPr>
          <w:bCs/>
          <w:b/>
        </w:rPr>
        <w:t xml:space="preserve">Public disclosure (para 15; Annex I):</w:t>
      </w:r>
      <w:r>
        <w:t xml:space="preserve"> </w:t>
      </w:r>
      <w:r>
        <w:t xml:space="preserve">published quarterly on the website and annually in the notes. It covers:</w:t>
      </w:r>
    </w:p>
    <w:p>
      <w:pPr>
        <w:numPr>
          <w:ilvl w:val="0"/>
          <w:numId w:val="1673"/>
        </w:numPr>
        <w:pStyle w:val="Compact"/>
      </w:pPr>
      <w:r>
        <w:t xml:space="preserve">funding concentration by significant counterparty;</w:t>
      </w:r>
    </w:p>
    <w:p>
      <w:pPr>
        <w:numPr>
          <w:ilvl w:val="0"/>
          <w:numId w:val="1673"/>
        </w:numPr>
        <w:pStyle w:val="Compact"/>
      </w:pPr>
      <w:r>
        <w:t xml:space="preserve">top 20 deposits;</w:t>
      </w:r>
    </w:p>
    <w:p>
      <w:pPr>
        <w:numPr>
          <w:ilvl w:val="0"/>
          <w:numId w:val="1673"/>
        </w:numPr>
        <w:pStyle w:val="Compact"/>
      </w:pPr>
      <w:r>
        <w:t xml:space="preserve">top 10 borrowings;</w:t>
      </w:r>
    </w:p>
    <w:p>
      <w:pPr>
        <w:numPr>
          <w:ilvl w:val="0"/>
          <w:numId w:val="1673"/>
        </w:numPr>
        <w:pStyle w:val="Compact"/>
      </w:pPr>
      <w:r>
        <w:t xml:space="preserve">concentration by instrument or product;</w:t>
      </w:r>
    </w:p>
    <w:p>
      <w:pPr>
        <w:numPr>
          <w:ilvl w:val="0"/>
          <w:numId w:val="1673"/>
        </w:numPr>
        <w:pStyle w:val="Compact"/>
      </w:pPr>
      <w:r>
        <w:t xml:space="preserve">stock ratios;</w:t>
      </w:r>
    </w:p>
    <w:p>
      <w:pPr>
        <w:numPr>
          <w:ilvl w:val="0"/>
          <w:numId w:val="1673"/>
        </w:numPr>
        <w:pStyle w:val="Compact"/>
      </w:pPr>
      <w:r>
        <w:t xml:space="preserve">institutional set-up.</w:t>
      </w:r>
    </w:p>
    <w:p>
      <w:pPr>
        <w:pStyle w:val="FirstParagraph"/>
      </w:pPr>
      <w:r>
        <w:rPr>
          <w:bCs/>
          <w:b/>
        </w:rPr>
        <w:t xml:space="preserve">Framework:</w:t>
      </w:r>
    </w:p>
    <w:p>
      <w:pPr>
        <w:numPr>
          <w:ilvl w:val="0"/>
          <w:numId w:val="1674"/>
        </w:numPr>
        <w:pStyle w:val="Compact"/>
      </w:pPr>
      <w:r>
        <w:t xml:space="preserve">Liquidity framework contents (para 22).</w:t>
      </w:r>
    </w:p>
    <w:p>
      <w:pPr>
        <w:numPr>
          <w:ilvl w:val="0"/>
          <w:numId w:val="1674"/>
        </w:numPr>
        <w:pStyle w:val="Compact"/>
      </w:pPr>
      <w:r>
        <w:t xml:space="preserve">Liquidity cost in pricing and new-product approval (para 24).</w:t>
      </w:r>
    </w:p>
    <w:p>
      <w:pPr>
        <w:numPr>
          <w:ilvl w:val="0"/>
          <w:numId w:val="1674"/>
        </w:numPr>
        <w:pStyle w:val="Compact"/>
      </w:pPr>
      <w:r>
        <w:t xml:space="preserve">Off-balance-sheet flows (para 25).</w:t>
      </w:r>
    </w:p>
    <w:p>
      <w:pPr>
        <w:numPr>
          <w:ilvl w:val="0"/>
          <w:numId w:val="1674"/>
        </w:numPr>
        <w:pStyle w:val="Compact"/>
      </w:pPr>
      <w:r>
        <w:t xml:space="preserve">Encumbrance register (para 27).</w:t>
      </w:r>
    </w:p>
    <w:p>
      <w:pPr>
        <w:numPr>
          <w:ilvl w:val="0"/>
          <w:numId w:val="1674"/>
        </w:numPr>
        <w:pStyle w:val="Compact"/>
      </w:pPr>
      <w:r>
        <w:rPr>
          <w:bCs/>
          <w:b/>
        </w:rPr>
        <w:t xml:space="preserve">Stress tests:</w:t>
      </w:r>
      <w:r>
        <w:t xml:space="preserve"> </w:t>
      </w:r>
      <w:r>
        <w:t xml:space="preserve">NBFC-specific and market-wide, short and protracted, individually and combined (para 28).</w:t>
      </w:r>
    </w:p>
    <w:p>
      <w:pPr>
        <w:numPr>
          <w:ilvl w:val="0"/>
          <w:numId w:val="1674"/>
        </w:numPr>
        <w:pStyle w:val="Compact"/>
      </w:pPr>
      <w:r>
        <w:rPr>
          <w:bCs/>
          <w:b/>
        </w:rPr>
        <w:t xml:space="preserve">Contingency funding plan:</w:t>
      </w:r>
      <w:r>
        <w:t xml:space="preserve"> </w:t>
      </w:r>
      <w:r>
        <w:t xml:space="preserve">sources, amounts, triggers, lead times (para 29).</w:t>
      </w:r>
    </w:p>
    <w:p>
      <w:pPr>
        <w:numPr>
          <w:ilvl w:val="0"/>
          <w:numId w:val="1674"/>
        </w:numPr>
        <w:pStyle w:val="Compact"/>
      </w:pPr>
      <w:r>
        <w:t xml:space="preserve">Group liquidity (para 30).</w:t>
      </w:r>
    </w:p>
    <w:p>
      <w:pPr>
        <w:pStyle w:val="FirstParagraph"/>
      </w:pPr>
      <w:r>
        <w:rPr>
          <w:bCs/>
          <w:b/>
        </w:rPr>
        <w:t xml:space="preserve">Time buckets (paras 32, 49):</w:t>
      </w:r>
      <w:r>
        <w:t xml:space="preserve"> </w:t>
      </w:r>
      <w:r>
        <w:t xml:space="preserve">1–7 days; 8–14 days; 15–30/31 days; &gt; 1–2 months; &gt; 2–3 months; &gt; 3–6 months; &gt; 6 months–1 year; &gt; 1–3 years; &gt; 3–5 years; &gt; 5 years. The IRS statement adds</w:t>
      </w:r>
      <w:r>
        <w:t xml:space="preserve"> </w:t>
      </w:r>
      <w:r>
        <w:t xml:space="preserve">“</w:t>
      </w:r>
      <w:r>
        <w:t xml:space="preserve">non-sensitive</w:t>
      </w:r>
      <w:r>
        <w:t xml:space="preserve">”</w:t>
      </w:r>
      <w:r>
        <w:t xml:space="preserve">.</w:t>
      </w:r>
    </w:p>
    <w:p>
      <w:pPr>
        <w:pStyle w:val="BodyText"/>
      </w:pPr>
      <w:r>
        <w:rPr>
          <w:bCs/>
          <w:b/>
        </w:rPr>
        <w:t xml:space="preserve">Securities:</w:t>
      </w:r>
    </w:p>
    <w:p>
      <w:pPr>
        <w:numPr>
          <w:ilvl w:val="0"/>
          <w:numId w:val="1675"/>
        </w:numPr>
        <w:pStyle w:val="Compact"/>
      </w:pPr>
      <w:r>
        <w:t xml:space="preserve">mandatory vs non-mandatory slotting by defeasance period;</w:t>
      </w:r>
    </w:p>
    <w:p>
      <w:pPr>
        <w:numPr>
          <w:ilvl w:val="0"/>
          <w:numId w:val="1675"/>
        </w:numPr>
        <w:pStyle w:val="Compact"/>
      </w:pPr>
      <w:r>
        <w:t xml:space="preserve">MTM;</w:t>
      </w:r>
    </w:p>
    <w:p>
      <w:pPr>
        <w:numPr>
          <w:ilvl w:val="0"/>
          <w:numId w:val="1675"/>
        </w:numPr>
        <w:pStyle w:val="Compact"/>
      </w:pPr>
      <w:r>
        <w:t xml:space="preserve">optional trading book with holding period ≤ 90 days (paras 33–38).</w:t>
      </w:r>
    </w:p>
    <w:p>
      <w:pPr>
        <w:pStyle w:val="FirstParagraph"/>
      </w:pPr>
      <w:r>
        <w:rPr>
          <w:bCs/>
          <w:b/>
        </w:rPr>
        <w:t xml:space="preserve">Tolerance limits (paras 39–40).</w:t>
      </w:r>
      <w:r>
        <w:t xml:space="preserve"> </w:t>
      </w:r>
      <w:r>
        <w:t xml:space="preserve">Net cumulative negative mismatch must not exceed:</w:t>
      </w:r>
    </w:p>
    <w:p>
      <w:pPr>
        <w:numPr>
          <w:ilvl w:val="0"/>
          <w:numId w:val="1676"/>
        </w:numPr>
        <w:pStyle w:val="Compact"/>
      </w:pPr>
      <w:r>
        <w:t xml:space="preserve">10% in 1–7 days;</w:t>
      </w:r>
    </w:p>
    <w:p>
      <w:pPr>
        <w:numPr>
          <w:ilvl w:val="0"/>
          <w:numId w:val="1676"/>
        </w:numPr>
        <w:pStyle w:val="Compact"/>
      </w:pPr>
      <w:r>
        <w:t xml:space="preserve">10% in 8–14 days;</w:t>
      </w:r>
    </w:p>
    <w:p>
      <w:pPr>
        <w:numPr>
          <w:ilvl w:val="0"/>
          <w:numId w:val="1676"/>
        </w:numPr>
        <w:pStyle w:val="Compact"/>
      </w:pPr>
      <w:r>
        <w:t xml:space="preserve">20% in 15–30 days;</w:t>
      </w:r>
    </w:p>
    <w:p>
      <w:pPr>
        <w:pStyle w:val="FirstParagraph"/>
      </w:pPr>
      <w:r>
        <w:t xml:space="preserve">measured on cumulative outflows. Board limits apply up to 1 year, and the same limits apply to the consolidated statement.</w:t>
      </w:r>
    </w:p>
    <w:p>
      <w:pPr>
        <w:pStyle w:val="BodyText"/>
      </w:pPr>
      <w:r>
        <w:rPr>
          <w:bCs/>
          <w:b/>
        </w:rPr>
        <w:t xml:space="preserve">Other requirements:</w:t>
      </w:r>
    </w:p>
    <w:p>
      <w:pPr>
        <w:numPr>
          <w:ilvl w:val="0"/>
          <w:numId w:val="1677"/>
        </w:numPr>
        <w:pStyle w:val="Compact"/>
      </w:pPr>
      <w:r>
        <w:t xml:space="preserve">Statement of structural liquidity on expected timing (para 41); short-term dynamic liquidity, 1 day to 6 months (para 42).</w:t>
      </w:r>
    </w:p>
    <w:p>
      <w:pPr>
        <w:numPr>
          <w:ilvl w:val="0"/>
          <w:numId w:val="1677"/>
        </w:numPr>
        <w:pStyle w:val="Compact"/>
      </w:pPr>
      <w:r>
        <w:rPr>
          <w:bCs/>
          <w:b/>
        </w:rPr>
        <w:t xml:space="preserve">Stock ratios (para 43):</w:t>
      </w:r>
    </w:p>
    <w:p>
      <w:pPr>
        <w:numPr>
          <w:ilvl w:val="1"/>
          <w:numId w:val="1678"/>
        </w:numPr>
        <w:pStyle w:val="Compact"/>
      </w:pPr>
      <w:r>
        <w:t xml:space="preserve">short-term liabilities / total assets;</w:t>
      </w:r>
    </w:p>
    <w:p>
      <w:pPr>
        <w:numPr>
          <w:ilvl w:val="1"/>
          <w:numId w:val="1678"/>
        </w:numPr>
        <w:pStyle w:val="Compact"/>
      </w:pPr>
      <w:r>
        <w:t xml:space="preserve">short-term liabilities / long-term assets;</w:t>
      </w:r>
    </w:p>
    <w:p>
      <w:pPr>
        <w:numPr>
          <w:ilvl w:val="1"/>
          <w:numId w:val="1678"/>
        </w:numPr>
        <w:pStyle w:val="Compact"/>
      </w:pPr>
      <w:r>
        <w:t xml:space="preserve">CP / total assets;</w:t>
      </w:r>
    </w:p>
    <w:p>
      <w:pPr>
        <w:numPr>
          <w:ilvl w:val="1"/>
          <w:numId w:val="1678"/>
        </w:numPr>
        <w:pStyle w:val="Compact"/>
      </w:pPr>
      <w:r>
        <w:t xml:space="preserve">NCDs (original maturity &lt; 1 year) / total assets;</w:t>
      </w:r>
    </w:p>
    <w:p>
      <w:pPr>
        <w:numPr>
          <w:ilvl w:val="1"/>
          <w:numId w:val="1678"/>
        </w:numPr>
        <w:pStyle w:val="Compact"/>
      </w:pPr>
      <w:r>
        <w:t xml:space="preserve">short-term liabilities / total liabilities;</w:t>
      </w:r>
    </w:p>
    <w:p>
      <w:pPr>
        <w:numPr>
          <w:ilvl w:val="1"/>
          <w:numId w:val="1678"/>
        </w:numPr>
        <w:pStyle w:val="Compact"/>
      </w:pPr>
      <w:r>
        <w:t xml:space="preserve">long-term assets / total assets.</w:t>
      </w:r>
    </w:p>
    <w:p>
      <w:pPr>
        <w:numPr>
          <w:ilvl w:val="0"/>
          <w:numId w:val="1677"/>
        </w:numPr>
        <w:pStyle w:val="Compact"/>
      </w:pPr>
      <w:r>
        <w:t xml:space="preserve">Currency risk (para 44).</w:t>
      </w:r>
    </w:p>
    <w:p>
      <w:pPr>
        <w:numPr>
          <w:ilvl w:val="0"/>
          <w:numId w:val="1677"/>
        </w:numPr>
        <w:pStyle w:val="Compact"/>
      </w:pPr>
      <w:r>
        <w:rPr>
          <w:bCs/>
          <w:b/>
        </w:rPr>
        <w:t xml:space="preserve">IRS (paras 45–53):</w:t>
      </w:r>
      <w:r>
        <w:t xml:space="preserve"> </w:t>
      </w:r>
      <w:r>
        <w:t xml:space="preserve">traditional gap analysis first; gap limits on total assets, earning assets or equity; optional earnings-at-risk.</w:t>
      </w:r>
    </w:p>
    <w:p>
      <w:pPr>
        <w:numPr>
          <w:ilvl w:val="0"/>
          <w:numId w:val="1677"/>
        </w:numPr>
        <w:pStyle w:val="Compact"/>
      </w:pPr>
      <w:r>
        <w:rPr>
          <w:bCs/>
          <w:b/>
        </w:rPr>
        <w:t xml:space="preserve">Behavioural assumptions (paras 54–55):</w:t>
      </w:r>
      <w:r>
        <w:t xml:space="preserve"> </w:t>
      </w:r>
      <w:r>
        <w:t xml:space="preserve">approved by ALCO/Board, with a copy to the DoS Regional Office.</w:t>
      </w:r>
    </w:p>
    <w:p>
      <w:pPr>
        <w:numPr>
          <w:ilvl w:val="0"/>
          <w:numId w:val="1677"/>
        </w:numPr>
        <w:pStyle w:val="Compact"/>
      </w:pPr>
      <w:r>
        <w:t xml:space="preserve">Funds transfer pricing (para 56).</w:t>
      </w:r>
    </w:p>
    <w:p>
      <w:pPr>
        <w:pStyle w:val="FirstParagraph"/>
      </w:pPr>
      <w:r>
        <w:rPr>
          <w:bCs/>
          <w:b/>
        </w:rPr>
        <w:t xml:space="preserve">Annex II slotting rules.</w:t>
      </w:r>
      <w:r>
        <w:t xml:space="preserve"> </w:t>
      </w:r>
      <w:r>
        <w:t xml:space="preserve">Encode each one in a versioned slotting engine. Examples:</w:t>
      </w:r>
    </w:p>
    <w:p>
      <w:pPr>
        <w:numPr>
          <w:ilvl w:val="0"/>
          <w:numId w:val="1679"/>
        </w:numPr>
        <w:pStyle w:val="Compact"/>
      </w:pPr>
      <w:r>
        <w:t xml:space="preserve">NPAs: sub-standard dues within 3 years in the 3–5 year bucket, otherwise &gt; 5 years; doubtful and loss in &gt; 5 years;</w:t>
      </w:r>
    </w:p>
    <w:p>
      <w:pPr>
        <w:numPr>
          <w:ilvl w:val="0"/>
          <w:numId w:val="1679"/>
        </w:numPr>
        <w:pStyle w:val="Compact"/>
      </w:pPr>
      <w:r>
        <w:t xml:space="preserve">overdue receivables, by age;</w:t>
      </w:r>
    </w:p>
    <w:p>
      <w:pPr>
        <w:numPr>
          <w:ilvl w:val="0"/>
          <w:numId w:val="1679"/>
        </w:numPr>
        <w:pStyle w:val="Compact"/>
      </w:pPr>
      <w:r>
        <w:t xml:space="preserve">current-account minimum balance in 6–12 months, the excess in 1–7 days;</w:t>
      </w:r>
    </w:p>
    <w:p>
      <w:pPr>
        <w:numPr>
          <w:ilvl w:val="0"/>
          <w:numId w:val="1679"/>
        </w:numPr>
        <w:pStyle w:val="Compact"/>
      </w:pPr>
      <w:r>
        <w:t xml:space="preserve">loan commitments per the disbursement schedule;</w:t>
      </w:r>
    </w:p>
    <w:p>
      <w:pPr>
        <w:numPr>
          <w:ilvl w:val="0"/>
          <w:numId w:val="1679"/>
        </w:numPr>
        <w:pStyle w:val="Compact"/>
      </w:pPr>
      <w:r>
        <w:t xml:space="preserve">AIF units &gt; 5 years.</w:t>
      </w:r>
    </w:p>
    <w:p>
      <w:pPr>
        <w:pStyle w:val="FirstParagraph"/>
      </w:pPr>
      <w:r>
        <w:rPr>
          <w:bCs/>
          <w:b/>
        </w:rPr>
        <w:t xml:space="preserve">Annex III:</w:t>
      </w:r>
      <w:r>
        <w:t xml:space="preserve"> </w:t>
      </w:r>
      <w:r>
        <w:t xml:space="preserve">floating-rate advances are slotted by reset lag.</w:t>
      </w:r>
    </w:p>
    <w:p>
      <w:pPr>
        <w:pStyle w:val="BodyText"/>
      </w:pPr>
      <w:r>
        <w:rPr>
          <w:bCs/>
          <w:b/>
        </w:rPr>
        <w:t xml:space="preserve">Returns (paras 57–59):</w:t>
      </w:r>
    </w:p>
    <w:p>
      <w:pPr>
        <w:numPr>
          <w:ilvl w:val="0"/>
          <w:numId w:val="1680"/>
        </w:numPr>
        <w:pStyle w:val="Compact"/>
      </w:pPr>
      <w:r>
        <w:t xml:space="preserve">DNBS04A (short-term dynamic liquidity) quarterly; DNBS04B (structural liquidity + IRS) monthly; Annex IV formats.</w:t>
      </w:r>
    </w:p>
    <w:p>
      <w:pPr>
        <w:numPr>
          <w:ilvl w:val="0"/>
          <w:numId w:val="1680"/>
        </w:numPr>
        <w:pStyle w:val="Compact"/>
      </w:pPr>
      <w:r>
        <w:t xml:space="preserve">Para 58 cites the</w:t>
      </w:r>
      <w:r>
        <w:t xml:space="preserve"> </w:t>
      </w:r>
      <w:r>
        <w:t xml:space="preserve">“</w:t>
      </w:r>
      <w:r>
        <w:t xml:space="preserve">Filing of Supervisory Returns</w:t>
      </w:r>
      <w:r>
        <w:t xml:space="preserve">”</w:t>
      </w:r>
      <w:r>
        <w:t xml:space="preserve"> </w:t>
      </w:r>
      <w:r>
        <w:t xml:space="preserve">Directions, 2024; apply the RBI (NBFC – Supervisory Returns) Directions, 2026 (paras 21–22): DNBS04A within 21 days of quarter-end, DNBS04B within 15 days of month-end; applicability per SR para 21 item 4 (UL; ML except SPDs; BL ≥ ₹100 crore solely or at group level, with exclusions). The repeal list in circular DoS.CO.PPG.66 is not supplied (SR para 27).</w:t>
      </w:r>
    </w:p>
    <w:p>
      <w:pPr>
        <w:pStyle w:val="FirstParagraph"/>
      </w:pPr>
      <w:r>
        <w:rPr>
          <w:bCs/>
          <w:b/>
        </w:rPr>
        <w:t xml:space="preserve">LCR (Ch III, paras 60–78):</w:t>
      </w:r>
    </w:p>
    <w:p>
      <w:pPr>
        <w:numPr>
          <w:ilvl w:val="0"/>
          <w:numId w:val="1681"/>
        </w:numPr>
        <w:pStyle w:val="Compact"/>
      </w:pPr>
      <w:r>
        <w:t xml:space="preserve">Minimum 100% on an ongoing basis. Use of HQLA under stress is reported immediately to DoS (para 62).</w:t>
      </w:r>
    </w:p>
    <w:p>
      <w:pPr>
        <w:numPr>
          <w:ilvl w:val="0"/>
          <w:numId w:val="1681"/>
        </w:numPr>
        <w:pStyle w:val="Compact"/>
      </w:pPr>
      <w:r>
        <w:rPr>
          <w:bCs/>
          <w:b/>
        </w:rPr>
        <w:t xml:space="preserve">HQLA haircuts:</w:t>
      </w:r>
    </w:p>
    <w:p>
      <w:pPr>
        <w:numPr>
          <w:ilvl w:val="1"/>
          <w:numId w:val="1682"/>
        </w:numPr>
        <w:pStyle w:val="Compact"/>
      </w:pPr>
      <w:r>
        <w:t xml:space="preserve">0%: cash, SCB demand deposits, G-Secs (para 68);</w:t>
      </w:r>
    </w:p>
    <w:p>
      <w:pPr>
        <w:numPr>
          <w:ilvl w:val="1"/>
          <w:numId w:val="1682"/>
        </w:numPr>
        <w:pStyle w:val="Compact"/>
      </w:pPr>
      <w:r>
        <w:t xml:space="preserve">≥ 15%: 20%-risk-weight sovereign/PSE/MDB, AA- and above corporate bonds and CP (para 69);</w:t>
      </w:r>
    </w:p>
    <w:p>
      <w:pPr>
        <w:numPr>
          <w:ilvl w:val="1"/>
          <w:numId w:val="1682"/>
        </w:numPr>
        <w:pStyle w:val="Compact"/>
      </w:pPr>
      <w:r>
        <w:t xml:space="preserve">≥ 50%: 20–50%-risk-weight sovereign, Nifty/Sensex equities, A+ to BBB- corporate debt (para 70);</w:t>
      </w:r>
    </w:p>
    <w:p>
      <w:pPr>
        <w:numPr>
          <w:ilvl w:val="1"/>
          <w:numId w:val="1682"/>
        </w:numPr>
        <w:pStyle w:val="Compact"/>
      </w:pPr>
      <w:r>
        <w:t xml:space="preserve">bank, FI and NBFC issuers excluded.</w:t>
      </w:r>
    </w:p>
    <w:p>
      <w:pPr>
        <w:numPr>
          <w:ilvl w:val="0"/>
          <w:numId w:val="1681"/>
        </w:numPr>
        <w:pStyle w:val="Compact"/>
      </w:pPr>
      <w:r>
        <w:t xml:space="preserve">s.45IB securities count up to 80% of the requirement (para 71).</w:t>
      </w:r>
    </w:p>
    <w:p>
      <w:pPr>
        <w:numPr>
          <w:ilvl w:val="0"/>
          <w:numId w:val="1681"/>
        </w:numPr>
        <w:pStyle w:val="Compact"/>
      </w:pPr>
      <w:r>
        <w:t xml:space="preserve">Operational tests and monetisation (paras 72–73); 30-day grace on downgrade (para 74).</w:t>
      </w:r>
    </w:p>
    <w:p>
      <w:pPr>
        <w:numPr>
          <w:ilvl w:val="0"/>
          <w:numId w:val="1681"/>
        </w:numPr>
        <w:pStyle w:val="Compact"/>
      </w:pPr>
      <w:r>
        <w:rPr>
          <w:bCs/>
          <w:b/>
        </w:rPr>
        <w:t xml:space="preserve">Net outflows = stressed outflows × 115% − min(stressed inflows × 75%; 75% of stressed outflows)</w:t>
      </w:r>
      <w:r>
        <w:t xml:space="preserve"> </w:t>
      </w:r>
      <w:r>
        <w:t xml:space="preserve">(para 76).</w:t>
      </w:r>
    </w:p>
    <w:p>
      <w:pPr>
        <w:numPr>
          <w:ilvl w:val="0"/>
          <w:numId w:val="1681"/>
        </w:numPr>
        <w:pStyle w:val="Compact"/>
      </w:pPr>
      <w:r>
        <w:t xml:space="preserve">No double counting (para 77).</w:t>
      </w:r>
    </w:p>
    <w:p>
      <w:pPr>
        <w:numPr>
          <w:ilvl w:val="0"/>
          <w:numId w:val="1681"/>
        </w:numPr>
        <w:pStyle w:val="Compact"/>
      </w:pPr>
      <w:r>
        <w:t xml:space="preserve">Intraday liquidity is not addressed.</w:t>
      </w:r>
    </w:p>
    <w:p>
      <w:r>
        <w:pict>
          <v:rect style="width:0;height:1.5pt" o:hralign="center" o:hrstd="t" o:hr="t"/>
        </w:pict>
      </w:r>
    </w:p>
    <w:bookmarkEnd w:id="787"/>
    <w:bookmarkStart w:id="788" w:name="X5ab49119f010fef05788a2a9649bb19b648e876"/>
    <w:p>
      <w:pPr>
        <w:pStyle w:val="Heading2"/>
      </w:pPr>
      <w:r>
        <w:t xml:space="preserve">8A.8 FS — Financial Statements: Presentation and Disclosures Directions (359)</w:t>
      </w:r>
    </w:p>
    <w:p>
      <w:pPr>
        <w:pStyle w:val="BlockText"/>
      </w:pPr>
      <w:r>
        <w:rPr>
          <w:bCs/>
          <w:b/>
        </w:rPr>
        <w:t xml:space="preserve">Numbering defect.</w:t>
      </w:r>
      <w:r>
        <w:t xml:space="preserve"> </w:t>
      </w:r>
      <w:r>
        <w:t xml:space="preserve">The official text restarts numbering after para 21. Cite C.1 items as</w:t>
      </w:r>
      <w:r>
        <w:t xml:space="preserve"> </w:t>
      </w:r>
      <w:r>
        <w:t xml:space="preserve">“</w:t>
      </w:r>
      <w:r>
        <w:t xml:space="preserve">FS 21(n)</w:t>
      </w:r>
      <w:r>
        <w:t xml:space="preserve">”</w:t>
      </w:r>
      <w:r>
        <w:t xml:space="preserve"> </w:t>
      </w:r>
      <w:r>
        <w:t xml:space="preserve">and C.2 items as</w:t>
      </w:r>
      <w:r>
        <w:t xml:space="preserve"> </w:t>
      </w:r>
      <w:r>
        <w:t xml:space="preserve">“</w:t>
      </w:r>
      <w:r>
        <w:t xml:space="preserve">FS C.2(n)</w:t>
      </w:r>
      <w:r>
        <w:t xml:space="preserve">”</w:t>
      </w:r>
      <w:r>
        <w:t xml:space="preserve">.</w:t>
      </w:r>
    </w:p>
    <w:p>
      <w:pPr>
        <w:pStyle w:val="FirstParagraph"/>
      </w:pPr>
      <w:r>
        <w:rPr>
          <w:bCs/>
          <w:b/>
        </w:rPr>
        <w:t xml:space="preserve">General:</w:t>
      </w:r>
    </w:p>
    <w:p>
      <w:pPr>
        <w:numPr>
          <w:ilvl w:val="0"/>
          <w:numId w:val="1683"/>
        </w:numPr>
        <w:pStyle w:val="Compact"/>
      </w:pPr>
      <w:r>
        <w:t xml:space="preserve">Balance-sheet date is 31 March, finalised within 3 months (para 9).</w:t>
      </w:r>
    </w:p>
    <w:p>
      <w:pPr>
        <w:numPr>
          <w:ilvl w:val="0"/>
          <w:numId w:val="1683"/>
        </w:numPr>
        <w:pStyle w:val="Compact"/>
      </w:pPr>
      <w:r>
        <w:t xml:space="preserve">Ind AS or the Companies (Accounting Standards) Rules, 2021 as applicable (para 10).</w:t>
      </w:r>
    </w:p>
    <w:p>
      <w:pPr>
        <w:numPr>
          <w:ilvl w:val="0"/>
          <w:numId w:val="1683"/>
        </w:numPr>
        <w:pStyle w:val="Compact"/>
      </w:pPr>
      <w:r>
        <w:rPr>
          <w:bCs/>
          <w:b/>
        </w:rPr>
        <w:t xml:space="preserve">The Schedule III division follows the Companies Act</w:t>
      </w:r>
      <w:r>
        <w:t xml:space="preserve">; this Direction does not name it.</w:t>
      </w:r>
    </w:p>
    <w:p>
      <w:pPr>
        <w:pStyle w:val="FirstParagraph"/>
      </w:pPr>
      <w:r>
        <w:rPr>
          <w:bCs/>
          <w:b/>
        </w:rPr>
        <w:t xml:space="preserve">Ind AS governance (para 12(1)):</w:t>
      </w:r>
    </w:p>
    <w:p>
      <w:pPr>
        <w:numPr>
          <w:ilvl w:val="0"/>
          <w:numId w:val="1684"/>
        </w:numPr>
        <w:pStyle w:val="Compact"/>
      </w:pPr>
      <w:r>
        <w:t xml:space="preserve">Board-approved business-model policy, and a policy on sales out of amortised cost, both disclosed.</w:t>
      </w:r>
    </w:p>
    <w:p>
      <w:pPr>
        <w:numPr>
          <w:ilvl w:val="0"/>
          <w:numId w:val="1684"/>
        </w:numPr>
        <w:pStyle w:val="Compact"/>
      </w:pPr>
      <w:r>
        <w:t xml:space="preserve">Board-approved ECL methodology; overlays approved by the Audit Committee.</w:t>
      </w:r>
    </w:p>
    <w:p>
      <w:pPr>
        <w:numPr>
          <w:ilvl w:val="0"/>
          <w:numId w:val="1684"/>
        </w:numPr>
        <w:pStyle w:val="Compact"/>
      </w:pPr>
      <w:r>
        <w:t xml:space="preserve">Accounts &gt; 90 DPD not treated as impaired need Audit Committee approval, with disclosure of the number, outstanding and overdue amounts.</w:t>
      </w:r>
    </w:p>
    <w:p>
      <w:pPr>
        <w:numPr>
          <w:ilvl w:val="0"/>
          <w:numId w:val="1684"/>
        </w:numPr>
        <w:pStyle w:val="Compact"/>
      </w:pPr>
      <w:r>
        <w:t xml:space="preserve">SICR rebuttal beyond 30 DPD goes to the Audit Committee, and never beyond 60 DPD.</w:t>
      </w:r>
    </w:p>
    <w:p>
      <w:pPr>
        <w:pStyle w:val="FirstParagraph"/>
      </w:pPr>
      <w:r>
        <w:rPr>
          <w:bCs/>
          <w:b/>
        </w:rPr>
        <w:t xml:space="preserve">Impairment Reserve (para 12(2)):</w:t>
      </w:r>
    </w:p>
    <w:p>
      <w:pPr>
        <w:numPr>
          <w:ilvl w:val="0"/>
          <w:numId w:val="1685"/>
        </w:numPr>
        <w:pStyle w:val="Compact"/>
      </w:pPr>
      <w:r>
        <w:t xml:space="preserve">IRACP runs in parallel.</w:t>
      </w:r>
    </w:p>
    <w:p>
      <w:pPr>
        <w:numPr>
          <w:ilvl w:val="0"/>
          <w:numId w:val="1685"/>
        </w:numPr>
        <w:pStyle w:val="Compact"/>
      </w:pPr>
      <w:r>
        <w:t xml:space="preserve">Any shortfall of the Ind AS 109 allowance against IRACP is appropriated from profit after tax to an Impairment Reserve.</w:t>
      </w:r>
    </w:p>
    <w:p>
      <w:pPr>
        <w:numPr>
          <w:ilvl w:val="0"/>
          <w:numId w:val="1685"/>
        </w:numPr>
        <w:pStyle w:val="Compact"/>
      </w:pPr>
      <w:r>
        <w:t xml:space="preserve">The reserve is not regulatory capital; no withdrawal without DoS permission.</w:t>
      </w:r>
    </w:p>
    <w:p>
      <w:pPr>
        <w:pStyle w:val="FirstParagraph"/>
      </w:pPr>
      <w:r>
        <w:rPr>
          <w:bCs/>
          <w:b/>
        </w:rPr>
        <w:t xml:space="preserve">Presentation:</w:t>
      </w:r>
    </w:p>
    <w:p>
      <w:pPr>
        <w:numPr>
          <w:ilvl w:val="0"/>
          <w:numId w:val="1686"/>
        </w:numPr>
        <w:pStyle w:val="Compact"/>
      </w:pPr>
      <w:r>
        <w:t xml:space="preserve">Provisions shown separately, never netted (paras 13–15).</w:t>
      </w:r>
    </w:p>
    <w:p>
      <w:pPr>
        <w:numPr>
          <w:ilvl w:val="0"/>
          <w:numId w:val="1686"/>
        </w:numPr>
        <w:pStyle w:val="Compact"/>
      </w:pPr>
      <w:r>
        <w:t xml:space="preserve">Nil lines omitted (para 17); comparatives shown (para 19).</w:t>
      </w:r>
    </w:p>
    <w:p>
      <w:pPr>
        <w:pStyle w:val="FirstParagraph"/>
      </w:pPr>
      <w:r>
        <w:rPr>
          <w:bCs/>
          <w:b/>
        </w:rPr>
        <w:t xml:space="preserve">Annex I Schedule (para 20):</w:t>
      </w:r>
    </w:p>
    <w:p>
      <w:pPr>
        <w:numPr>
          <w:ilvl w:val="0"/>
          <w:numId w:val="1687"/>
        </w:numPr>
        <w:pStyle w:val="Compact"/>
      </w:pPr>
      <w:r>
        <w:t xml:space="preserve">borrowings, including overdue;</w:t>
      </w:r>
    </w:p>
    <w:p>
      <w:pPr>
        <w:numPr>
          <w:ilvl w:val="0"/>
          <w:numId w:val="1687"/>
        </w:numPr>
        <w:pStyle w:val="Compact"/>
      </w:pPr>
      <w:r>
        <w:t xml:space="preserve">public deposits;</w:t>
      </w:r>
    </w:p>
    <w:p>
      <w:pPr>
        <w:numPr>
          <w:ilvl w:val="0"/>
          <w:numId w:val="1687"/>
        </w:numPr>
        <w:pStyle w:val="Compact"/>
      </w:pPr>
      <w:r>
        <w:t xml:space="preserve">secured/unsecured loans;</w:t>
      </w:r>
    </w:p>
    <w:p>
      <w:pPr>
        <w:numPr>
          <w:ilvl w:val="0"/>
          <w:numId w:val="1687"/>
        </w:numPr>
        <w:pStyle w:val="Compact"/>
      </w:pPr>
      <w:r>
        <w:t xml:space="preserve">leased and hire assets;</w:t>
      </w:r>
    </w:p>
    <w:p>
      <w:pPr>
        <w:numPr>
          <w:ilvl w:val="0"/>
          <w:numId w:val="1687"/>
        </w:numPr>
        <w:pStyle w:val="Compact"/>
      </w:pPr>
      <w:r>
        <w:t xml:space="preserve">investments;</w:t>
      </w:r>
    </w:p>
    <w:p>
      <w:pPr>
        <w:numPr>
          <w:ilvl w:val="0"/>
          <w:numId w:val="1687"/>
        </w:numPr>
        <w:pStyle w:val="Compact"/>
      </w:pPr>
      <w:r>
        <w:t xml:space="preserve">borrower group-wise (related parties);</w:t>
      </w:r>
    </w:p>
    <w:p>
      <w:pPr>
        <w:numPr>
          <w:ilvl w:val="0"/>
          <w:numId w:val="1687"/>
        </w:numPr>
        <w:pStyle w:val="Compact"/>
      </w:pPr>
      <w:r>
        <w:t xml:space="preserve">GNPA/NNPA by related and other parties;</w:t>
      </w:r>
    </w:p>
    <w:p>
      <w:pPr>
        <w:numPr>
          <w:ilvl w:val="0"/>
          <w:numId w:val="1687"/>
        </w:numPr>
        <w:pStyle w:val="Compact"/>
      </w:pPr>
      <w:r>
        <w:t xml:space="preserve">assets acquired in satisfaction of debt.</w:t>
      </w:r>
    </w:p>
    <w:p>
      <w:pPr>
        <w:pStyle w:val="FirstParagraph"/>
      </w:pPr>
      <w:r>
        <w:rPr>
          <w:bCs/>
          <w:b/>
        </w:rPr>
        <w:t xml:space="preserve">C.1, all NBFCs (para 21):</w:t>
      </w:r>
    </w:p>
    <w:p>
      <w:pPr>
        <w:numPr>
          <w:ilvl w:val="0"/>
          <w:numId w:val="1688"/>
        </w:numPr>
        <w:pStyle w:val="Compact"/>
      </w:pPr>
      <w:r>
        <w:t xml:space="preserve">Gold and silver loans and auctions.</w:t>
      </w:r>
    </w:p>
    <w:p>
      <w:pPr>
        <w:numPr>
          <w:ilvl w:val="0"/>
          <w:numId w:val="1688"/>
        </w:numPr>
        <w:pStyle w:val="Compact"/>
      </w:pPr>
      <w:r>
        <w:t xml:space="preserve">Project finance, quarterly from 1 Oct 2025.</w:t>
      </w:r>
    </w:p>
    <w:p>
      <w:pPr>
        <w:numPr>
          <w:ilvl w:val="0"/>
          <w:numId w:val="1688"/>
        </w:numPr>
        <w:pStyle w:val="Compact"/>
      </w:pPr>
      <w:r>
        <w:t xml:space="preserve">Non-fund-based facilities.</w:t>
      </w:r>
    </w:p>
    <w:p>
      <w:pPr>
        <w:numPr>
          <w:ilvl w:val="0"/>
          <w:numId w:val="1688"/>
        </w:numPr>
        <w:pStyle w:val="Compact"/>
      </w:pPr>
      <w:r>
        <w:rPr>
          <w:bCs/>
          <w:b/>
        </w:rPr>
        <w:t xml:space="preserve">Co-lending:</w:t>
      </w:r>
      <w:r>
        <w:t xml:space="preserve"> </w:t>
      </w:r>
      <w:r>
        <w:t xml:space="preserve">active partner list on the website, plus notes.</w:t>
      </w:r>
    </w:p>
    <w:p>
      <w:pPr>
        <w:numPr>
          <w:ilvl w:val="0"/>
          <w:numId w:val="1688"/>
        </w:numPr>
        <w:pStyle w:val="Compact"/>
      </w:pPr>
      <w:r>
        <w:t xml:space="preserve">Securitisation, STC and non-STC.</w:t>
      </w:r>
    </w:p>
    <w:p>
      <w:pPr>
        <w:numPr>
          <w:ilvl w:val="0"/>
          <w:numId w:val="1688"/>
        </w:numPr>
        <w:pStyle w:val="Compact"/>
      </w:pPr>
      <w:r>
        <w:t xml:space="preserve">Transfer of loan exposures, quarterly.</w:t>
      </w:r>
    </w:p>
    <w:p>
      <w:pPr>
        <w:numPr>
          <w:ilvl w:val="0"/>
          <w:numId w:val="1688"/>
        </w:numPr>
        <w:pStyle w:val="Compact"/>
      </w:pPr>
      <w:r>
        <w:t xml:space="preserve">Restructuring and resolution plans.</w:t>
      </w:r>
    </w:p>
    <w:p>
      <w:pPr>
        <w:numPr>
          <w:ilvl w:val="0"/>
          <w:numId w:val="1688"/>
        </w:numPr>
        <w:pStyle w:val="Compact"/>
      </w:pPr>
      <w:r>
        <w:t xml:space="preserve">Exposures: real estate, capital market, sectoral (sub-sector &gt; 10% of Tier 1 separately), intra-group, unhedged foreign currency.</w:t>
      </w:r>
    </w:p>
    <w:p>
      <w:pPr>
        <w:numPr>
          <w:ilvl w:val="0"/>
          <w:numId w:val="1688"/>
        </w:numPr>
        <w:pStyle w:val="Compact"/>
      </w:pPr>
      <w:r>
        <w:t xml:space="preserve">Related-party transactions.</w:t>
      </w:r>
    </w:p>
    <w:p>
      <w:pPr>
        <w:numPr>
          <w:ilvl w:val="1"/>
          <w:numId w:val="1689"/>
        </w:numPr>
        <w:pStyle w:val="Compact"/>
      </w:pPr>
      <w:r>
        <w:rPr>
          <w:bCs/>
          <w:b/>
        </w:rPr>
        <w:t xml:space="preserve">(9A)</w:t>
      </w:r>
      <w:r>
        <w:t xml:space="preserve"> </w:t>
      </w:r>
      <w:r>
        <w:t xml:space="preserve">Loans to and contracts with related parties under CRM, including SMA/NPA status, from 1 Apr 2026.</w:t>
      </w:r>
    </w:p>
    <w:p>
      <w:pPr>
        <w:numPr>
          <w:ilvl w:val="0"/>
          <w:numId w:val="1688"/>
        </w:numPr>
        <w:pStyle w:val="Compact"/>
      </w:pPr>
      <w:r>
        <w:t xml:space="preserve">Complaints.</w:t>
      </w:r>
    </w:p>
    <w:p>
      <w:pPr>
        <w:numPr>
          <w:ilvl w:val="0"/>
          <w:numId w:val="1688"/>
        </w:numPr>
        <w:pStyle w:val="Compact"/>
      </w:pPr>
      <w:r>
        <w:t xml:space="preserve">Loans to directors, senior officers and their relatives.</w:t>
      </w:r>
    </w:p>
    <w:p>
      <w:pPr>
        <w:numPr>
          <w:ilvl w:val="0"/>
          <w:numId w:val="1688"/>
        </w:numPr>
        <w:pStyle w:val="Compact"/>
      </w:pPr>
      <w:r>
        <w:t xml:space="preserve">Currency futures.</w:t>
      </w:r>
    </w:p>
    <w:p>
      <w:pPr>
        <w:numPr>
          <w:ilvl w:val="0"/>
          <w:numId w:val="1688"/>
        </w:numPr>
        <w:pStyle w:val="Compact"/>
      </w:pPr>
      <w:r>
        <w:rPr>
          <w:bCs/>
          <w:b/>
        </w:rPr>
        <w:t xml:space="preserve">Liquidity:</w:t>
      </w:r>
      <w:r>
        <w:t xml:space="preserve"> </w:t>
      </w:r>
      <w:r>
        <w:t xml:space="preserve">quarterly website + notes, for NBFC-ND ≥ ₹100 crore, CICs and all NBFC-D.</w:t>
      </w:r>
    </w:p>
    <w:p>
      <w:pPr>
        <w:numPr>
          <w:ilvl w:val="0"/>
          <w:numId w:val="1688"/>
        </w:numPr>
        <w:pStyle w:val="Compact"/>
      </w:pPr>
      <w:r>
        <w:t xml:space="preserve">CDS.</w:t>
      </w:r>
    </w:p>
    <w:p>
      <w:pPr>
        <w:numPr>
          <w:ilvl w:val="0"/>
          <w:numId w:val="1688"/>
        </w:numPr>
        <w:pStyle w:val="Compact"/>
      </w:pPr>
      <w:r>
        <w:rPr>
          <w:bCs/>
          <w:b/>
        </w:rPr>
        <w:t xml:space="preserve">IRACP vs Ind AS 109 comparison</w:t>
      </w:r>
      <w:r>
        <w:t xml:space="preserve"> </w:t>
      </w:r>
      <w:r>
        <w:t xml:space="preserve">by stage and asset class.</w:t>
      </w:r>
    </w:p>
    <w:p>
      <w:pPr>
        <w:pStyle w:val="FirstParagraph"/>
      </w:pPr>
      <w:r>
        <w:rPr>
          <w:bCs/>
          <w:b/>
        </w:rPr>
        <w:t xml:space="preserve">C.2, ML and UL:</w:t>
      </w:r>
    </w:p>
    <w:p>
      <w:pPr>
        <w:numPr>
          <w:ilvl w:val="0"/>
          <w:numId w:val="1690"/>
        </w:numPr>
        <w:pStyle w:val="Compact"/>
      </w:pPr>
      <w:r>
        <w:t xml:space="preserve">Accounting policies.</w:t>
      </w:r>
    </w:p>
    <w:p>
      <w:pPr>
        <w:numPr>
          <w:ilvl w:val="0"/>
          <w:numId w:val="1690"/>
        </w:numPr>
        <w:pStyle w:val="Compact"/>
      </w:pPr>
      <w:r>
        <w:t xml:space="preserve">Capital.</w:t>
      </w:r>
    </w:p>
    <w:p>
      <w:pPr>
        <w:numPr>
          <w:ilvl w:val="0"/>
          <w:numId w:val="1690"/>
        </w:numPr>
        <w:pStyle w:val="Compact"/>
      </w:pPr>
      <w:r>
        <w:t xml:space="preserve">Investments.</w:t>
      </w:r>
    </w:p>
    <w:p>
      <w:pPr>
        <w:numPr>
          <w:ilvl w:val="0"/>
          <w:numId w:val="1690"/>
        </w:numPr>
        <w:pStyle w:val="Compact"/>
      </w:pPr>
      <w:r>
        <w:t xml:space="preserve">Derivatives.</w:t>
      </w:r>
    </w:p>
    <w:p>
      <w:pPr>
        <w:numPr>
          <w:ilvl w:val="0"/>
          <w:numId w:val="1690"/>
        </w:numPr>
        <w:pStyle w:val="Compact"/>
      </w:pPr>
      <w:r>
        <w:rPr>
          <w:bCs/>
          <w:b/>
        </w:rPr>
        <w:t xml:space="preserve">ALM maturity pattern</w:t>
      </w:r>
      <w:r>
        <w:t xml:space="preserve"> </w:t>
      </w:r>
      <w:r>
        <w:t xml:space="preserve">in the 10 buckets.</w:t>
      </w:r>
    </w:p>
    <w:p>
      <w:pPr>
        <w:numPr>
          <w:ilvl w:val="0"/>
          <w:numId w:val="1690"/>
        </w:numPr>
        <w:pStyle w:val="Compact"/>
      </w:pPr>
      <w:r>
        <w:t xml:space="preserve">Parent-company products; single/group limits exceeded; unsecured advances against intangibles.</w:t>
      </w:r>
    </w:p>
    <w:p>
      <w:pPr>
        <w:numPr>
          <w:ilvl w:val="0"/>
          <w:numId w:val="1690"/>
        </w:numPr>
        <w:pStyle w:val="Compact"/>
      </w:pPr>
      <w:r>
        <w:t xml:space="preserve">Corporate governance, including penalties and strictures.</w:t>
      </w:r>
    </w:p>
    <w:p>
      <w:pPr>
        <w:numPr>
          <w:ilvl w:val="0"/>
          <w:numId w:val="1690"/>
        </w:numPr>
        <w:pStyle w:val="Compact"/>
      </w:pPr>
      <w:r>
        <w:t xml:space="preserve">Breach of covenant.</w:t>
      </w:r>
    </w:p>
    <w:p>
      <w:pPr>
        <w:numPr>
          <w:ilvl w:val="0"/>
          <w:numId w:val="1690"/>
        </w:numPr>
        <w:pStyle w:val="Compact"/>
      </w:pPr>
      <w:r>
        <w:t xml:space="preserve">Divergence.</w:t>
      </w:r>
    </w:p>
    <w:p>
      <w:pPr>
        <w:numPr>
          <w:ilvl w:val="0"/>
          <w:numId w:val="1690"/>
        </w:numPr>
        <w:pStyle w:val="Compact"/>
      </w:pPr>
      <w:r>
        <w:t xml:space="preserve">Registrations with other regulators.</w:t>
      </w:r>
    </w:p>
    <w:p>
      <w:pPr>
        <w:numPr>
          <w:ilvl w:val="0"/>
          <w:numId w:val="1690"/>
        </w:numPr>
        <w:pStyle w:val="Compact"/>
      </w:pPr>
      <w:r>
        <w:t xml:space="preserve">Area of operation.</w:t>
      </w:r>
    </w:p>
    <w:p>
      <w:pPr>
        <w:numPr>
          <w:ilvl w:val="0"/>
          <w:numId w:val="1690"/>
        </w:numPr>
        <w:pStyle w:val="Compact"/>
      </w:pPr>
      <w:r>
        <w:t xml:space="preserve">Ratings and their migration.</w:t>
      </w:r>
    </w:p>
    <w:p>
      <w:pPr>
        <w:numPr>
          <w:ilvl w:val="0"/>
          <w:numId w:val="1690"/>
        </w:numPr>
        <w:pStyle w:val="Compact"/>
      </w:pPr>
      <w:r>
        <w:t xml:space="preserve">Non-executive directors’ pecuniary relationships.</w:t>
      </w:r>
    </w:p>
    <w:p>
      <w:pPr>
        <w:numPr>
          <w:ilvl w:val="0"/>
          <w:numId w:val="1690"/>
        </w:numPr>
        <w:pStyle w:val="Compact"/>
      </w:pPr>
      <w:r>
        <w:t xml:space="preserve">Prior-period items.</w:t>
      </w:r>
    </w:p>
    <w:p>
      <w:pPr>
        <w:numPr>
          <w:ilvl w:val="0"/>
          <w:numId w:val="1690"/>
        </w:numPr>
        <w:pStyle w:val="Compact"/>
      </w:pPr>
      <w:r>
        <w:t xml:space="preserve">Revenue recognition postponed.</w:t>
      </w:r>
    </w:p>
    <w:p>
      <w:pPr>
        <w:numPr>
          <w:ilvl w:val="0"/>
          <w:numId w:val="1690"/>
        </w:numPr>
        <w:pStyle w:val="Compact"/>
      </w:pPr>
      <w:r>
        <w:t xml:space="preserve">Provisions and contingencies.</w:t>
      </w:r>
    </w:p>
    <w:p>
      <w:pPr>
        <w:numPr>
          <w:ilvl w:val="0"/>
          <w:numId w:val="1690"/>
        </w:numPr>
        <w:pStyle w:val="Compact"/>
      </w:pPr>
      <w:r>
        <w:t xml:space="preserve">Drawdown from reserves.</w:t>
      </w:r>
    </w:p>
    <w:p>
      <w:pPr>
        <w:numPr>
          <w:ilvl w:val="0"/>
          <w:numId w:val="1690"/>
        </w:numPr>
        <w:pStyle w:val="Compact"/>
      </w:pPr>
      <w:r>
        <w:t xml:space="preserve">Concentration: top 20 deposits, advances and exposures; top 4 NPA accounts.</w:t>
      </w:r>
    </w:p>
    <w:p>
      <w:pPr>
        <w:numPr>
          <w:ilvl w:val="0"/>
          <w:numId w:val="1690"/>
        </w:numPr>
        <w:pStyle w:val="Compact"/>
      </w:pPr>
      <w:r>
        <w:t xml:space="preserve">NPA movement.</w:t>
      </w:r>
    </w:p>
    <w:p>
      <w:pPr>
        <w:numPr>
          <w:ilvl w:val="0"/>
          <w:numId w:val="1690"/>
        </w:numPr>
        <w:pStyle w:val="Compact"/>
      </w:pPr>
      <w:r>
        <w:t xml:space="preserve">Overseas assets.</w:t>
      </w:r>
    </w:p>
    <w:p>
      <w:pPr>
        <w:numPr>
          <w:ilvl w:val="0"/>
          <w:numId w:val="1690"/>
        </w:numPr>
        <w:pStyle w:val="Compact"/>
      </w:pPr>
      <w:r>
        <w:t xml:space="preserve">Off-balance-sheet SPVs.</w:t>
      </w:r>
    </w:p>
    <w:p>
      <w:pPr>
        <w:numPr>
          <w:ilvl w:val="0"/>
          <w:numId w:val="1690"/>
        </w:numPr>
        <w:pStyle w:val="Compact"/>
      </w:pPr>
      <w:r>
        <w:t xml:space="preserve">Off-balance-sheet and structured products.</w:t>
      </w:r>
    </w:p>
    <w:p>
      <w:pPr>
        <w:numPr>
          <w:ilvl w:val="0"/>
          <w:numId w:val="1690"/>
        </w:numPr>
        <w:pStyle w:val="Compact"/>
      </w:pPr>
      <w:r>
        <w:rPr>
          <w:bCs/>
          <w:b/>
        </w:rPr>
        <w:t xml:space="preserve">LCR disclosure:</w:t>
      </w:r>
      <w:r>
        <w:t xml:space="preserve"> </w:t>
      </w:r>
      <w:r>
        <w:t xml:space="preserve">quarterly, simple average of</w:t>
      </w:r>
      <w:r>
        <w:t xml:space="preserve"> </w:t>
      </w:r>
      <w:r>
        <w:rPr>
          <w:bCs/>
          <w:b/>
        </w:rPr>
        <w:t xml:space="preserve">daily</w:t>
      </w:r>
      <w:r>
        <w:t xml:space="preserve"> </w:t>
      </w:r>
      <w:r>
        <w:t xml:space="preserve">LCR over the previous quarter, 15-row template plus HQLA components. Excludes NBFC-ND below ₹5,000 crore, CICs and SPDs.</w:t>
      </w:r>
    </w:p>
    <w:p>
      <w:pPr>
        <w:numPr>
          <w:ilvl w:val="0"/>
          <w:numId w:val="1690"/>
        </w:numPr>
        <w:pStyle w:val="Compact"/>
      </w:pPr>
      <w:r>
        <w:t xml:space="preserve">Currency options.</w:t>
      </w:r>
    </w:p>
    <w:p>
      <w:pPr>
        <w:pStyle w:val="FirstParagraph"/>
      </w:pPr>
      <w:r>
        <w:rPr>
          <w:bCs/>
          <w:b/>
        </w:rPr>
        <w:t xml:space="preserve">C.3, UL:</w:t>
      </w:r>
      <w:r>
        <w:t xml:space="preserve"> </w:t>
      </w:r>
      <w:r>
        <w:t xml:space="preserve">listing within 3 years, with a roadmap.</w:t>
      </w:r>
    </w:p>
    <w:p>
      <w:pPr>
        <w:pStyle w:val="BodyText"/>
      </w:pPr>
      <w:r>
        <w:rPr>
          <w:bCs/>
          <w:b/>
        </w:rPr>
        <w:t xml:space="preserve">Ch IV:</w:t>
      </w:r>
      <w:r>
        <w:t xml:space="preserve"> </w:t>
      </w:r>
      <w:r>
        <w:t xml:space="preserve">consolidate all subsidiaries, with reasons for any exclusion.</w:t>
      </w:r>
    </w:p>
    <w:p>
      <w:r>
        <w:pict>
          <v:rect style="width:0;height:1.5pt" o:hralign="center" o:hrstd="t" o:hr="t"/>
        </w:pict>
      </w:r>
    </w:p>
    <w:bookmarkEnd w:id="788"/>
    <w:bookmarkStart w:id="789" w:name="a.9-clm-climate-finance-directions-364"/>
    <w:p>
      <w:pPr>
        <w:pStyle w:val="Heading2"/>
      </w:pPr>
      <w:r>
        <w:t xml:space="preserve">8A.9 CLM — Climate Finance Directions (364)</w:t>
      </w:r>
    </w:p>
    <w:p>
      <w:pPr>
        <w:pStyle w:val="FirstParagraph"/>
      </w:pPr>
      <w:r>
        <w:rPr>
          <w:bCs/>
          <w:b/>
        </w:rPr>
        <w:t xml:space="preserve">Applicability:</w:t>
      </w:r>
      <w:r>
        <w:t xml:space="preserve"> </w:t>
      </w:r>
      <w:r>
        <w:t xml:space="preserve">only NBFC-D and deposit-taking HFCs; green deposits are optional (para 9). The Direction prescribes no climate-risk disclosures, no scenario analysis and no financed emissions.</w:t>
      </w:r>
    </w:p>
    <w:p>
      <w:pPr>
        <w:pStyle w:val="BodyText"/>
      </w:pPr>
      <w:r>
        <w:rPr>
          <w:bCs/>
          <w:b/>
        </w:rPr>
        <w:t xml:space="preserve">If a tenant raises green deposits:</w:t>
      </w:r>
    </w:p>
    <w:p>
      <w:pPr>
        <w:numPr>
          <w:ilvl w:val="0"/>
          <w:numId w:val="1691"/>
        </w:numPr>
        <w:pStyle w:val="Compact"/>
      </w:pPr>
      <w:r>
        <w:t xml:space="preserve">Board Green Deposit policy, published, and a Financing Framework (paras 6, 8, 10).</w:t>
      </w:r>
    </w:p>
    <w:p>
      <w:pPr>
        <w:numPr>
          <w:ilvl w:val="0"/>
          <w:numId w:val="1691"/>
        </w:numPr>
        <w:pStyle w:val="Compact"/>
      </w:pPr>
      <w:r>
        <w:t xml:space="preserve">No financing green activities first and raising green deposits afterwards (para 8).</w:t>
      </w:r>
    </w:p>
    <w:p>
      <w:pPr>
        <w:numPr>
          <w:ilvl w:val="0"/>
          <w:numId w:val="1691"/>
        </w:numPr>
        <w:pStyle w:val="Compact"/>
      </w:pPr>
      <w:r>
        <w:t xml:space="preserve">INR only (para 9).</w:t>
      </w:r>
    </w:p>
    <w:p>
      <w:pPr>
        <w:numPr>
          <w:ilvl w:val="0"/>
          <w:numId w:val="1691"/>
        </w:numPr>
        <w:pStyle w:val="Compact"/>
      </w:pPr>
      <w:r>
        <w:rPr>
          <w:bCs/>
          <w:b/>
        </w:rPr>
        <w:t xml:space="preserve">Unallocated proceeds only in 0%-haircut HQLA with original tenure ≤ 1 year</w:t>
      </w:r>
      <w:r>
        <w:t xml:space="preserve"> </w:t>
      </w:r>
      <w:r>
        <w:t xml:space="preserve">(para 10(4)).</w:t>
      </w:r>
    </w:p>
    <w:p>
      <w:pPr>
        <w:numPr>
          <w:ilvl w:val="0"/>
          <w:numId w:val="1691"/>
        </w:numPr>
        <w:pStyle w:val="Compact"/>
      </w:pPr>
      <w:r>
        <w:t xml:space="preserve">External review of the framework (paras 11–12).</w:t>
      </w:r>
    </w:p>
    <w:p>
      <w:pPr>
        <w:numPr>
          <w:ilvl w:val="0"/>
          <w:numId w:val="1691"/>
        </w:numPr>
        <w:pStyle w:val="Compact"/>
      </w:pPr>
      <w:r>
        <w:rPr>
          <w:bCs/>
          <w:b/>
        </w:rPr>
        <w:t xml:space="preserve">Allocation by green taxonomy (para 13):</w:t>
      </w:r>
      <w:r>
        <w:t xml:space="preserve"> </w:t>
      </w:r>
      <w:r>
        <w:t xml:space="preserve">eligible categories and exclusions — fossil fuels, nuclear, direct incineration, alcohol/weapons/tobacco/gaming/palm oil, landfill, hydro &gt; 25 MW.</w:t>
      </w:r>
    </w:p>
    <w:p>
      <w:pPr>
        <w:numPr>
          <w:ilvl w:val="0"/>
          <w:numId w:val="1691"/>
        </w:numPr>
        <w:pStyle w:val="Compact"/>
      </w:pPr>
      <w:r>
        <w:t xml:space="preserve">Annual third-party verification of allocation (paras 14–15).</w:t>
      </w:r>
    </w:p>
    <w:p>
      <w:pPr>
        <w:numPr>
          <w:ilvl w:val="0"/>
          <w:numId w:val="1691"/>
        </w:numPr>
        <w:pStyle w:val="Compact"/>
      </w:pPr>
      <w:r>
        <w:t xml:space="preserve">Annual impact assessment, with indicators such as MWh and tCO2e avoided (para 16).</w:t>
      </w:r>
    </w:p>
    <w:p>
      <w:pPr>
        <w:numPr>
          <w:ilvl w:val="0"/>
          <w:numId w:val="1691"/>
        </w:numPr>
        <w:pStyle w:val="Compact"/>
      </w:pPr>
      <w:r>
        <w:t xml:space="preserve">Reports on the website (para 17).</w:t>
      </w:r>
    </w:p>
    <w:p>
      <w:pPr>
        <w:numPr>
          <w:ilvl w:val="0"/>
          <w:numId w:val="1691"/>
        </w:numPr>
        <w:pStyle w:val="Compact"/>
      </w:pPr>
      <w:r>
        <w:rPr>
          <w:bCs/>
          <w:b/>
        </w:rPr>
        <w:t xml:space="preserve">Board review within 3 months of FY-end</w:t>
      </w:r>
      <w:r>
        <w:t xml:space="preserve"> </w:t>
      </w:r>
      <w:r>
        <w:t xml:space="preserve">(para 18).</w:t>
      </w:r>
    </w:p>
    <w:p>
      <w:pPr>
        <w:numPr>
          <w:ilvl w:val="0"/>
          <w:numId w:val="1691"/>
        </w:numPr>
        <w:pStyle w:val="Compact"/>
      </w:pPr>
      <w:r>
        <w:t xml:space="preserve">Climate and ESG in the ICAAP remain an internal risk input, not a requirement of this Direction.</w:t>
      </w:r>
    </w:p>
    <w:p>
      <w:r>
        <w:pict>
          <v:rect style="width:0;height:1.5pt" o:hralign="center" o:hrstd="t" o:hr="t"/>
        </w:pict>
      </w:r>
    </w:p>
    <w:bookmarkEnd w:id="789"/>
    <w:bookmarkStart w:id="790" w:name="Xef2afe1ea70175db6f6c923efc09476c5fbdc10"/>
    <w:p>
      <w:pPr>
        <w:pStyle w:val="Heading2"/>
      </w:pPr>
      <w:r>
        <w:t xml:space="preserve">8A.10 AA — Account Aggregator Directions (368)</w:t>
      </w:r>
    </w:p>
    <w:p>
      <w:pPr>
        <w:pStyle w:val="FirstParagraph"/>
      </w:pPr>
      <w:r>
        <w:rPr>
          <w:bCs/>
          <w:b/>
        </w:rPr>
        <w:t xml:space="preserve">Finbyx is never an AA.</w:t>
      </w:r>
    </w:p>
    <w:p>
      <w:pPr>
        <w:numPr>
          <w:ilvl w:val="0"/>
          <w:numId w:val="1692"/>
        </w:numPr>
        <w:pStyle w:val="Compact"/>
      </w:pPr>
      <w:r>
        <w:t xml:space="preserve">An AA needs a CoR and NOF ≥ ₹2 crore (para 11).</w:t>
      </w:r>
    </w:p>
    <w:p>
      <w:pPr>
        <w:numPr>
          <w:ilvl w:val="0"/>
          <w:numId w:val="1692"/>
        </w:numPr>
        <w:pStyle w:val="Compact"/>
      </w:pPr>
      <w:r>
        <w:t xml:space="preserve">It may undertake no other business (para 14(6)).</w:t>
      </w:r>
    </w:p>
    <w:p>
      <w:pPr>
        <w:numPr>
          <w:ilvl w:val="0"/>
          <w:numId w:val="1692"/>
        </w:numPr>
        <w:pStyle w:val="Compact"/>
      </w:pPr>
      <w:r>
        <w:t xml:space="preserve">It holds no financial information (para 14(7)) and uses no third-party service providers (para 14(8)).</w:t>
      </w:r>
    </w:p>
    <w:p>
      <w:pPr>
        <w:numPr>
          <w:ilvl w:val="0"/>
          <w:numId w:val="1692"/>
        </w:numPr>
        <w:pStyle w:val="Compact"/>
      </w:pPr>
      <w:r>
        <w:rPr>
          <w:bCs/>
          <w:b/>
        </w:rPr>
        <w:t xml:space="preserve">The lender tenant is the FIU</w:t>
      </w:r>
      <w:r>
        <w:t xml:space="preserve"> </w:t>
      </w:r>
      <w:r>
        <w:t xml:space="preserve">(para 8(12)).</w:t>
      </w:r>
    </w:p>
    <w:p>
      <w:pPr>
        <w:pStyle w:val="FirstParagraph"/>
      </w:pPr>
      <w:r>
        <w:rPr>
          <w:bCs/>
          <w:b/>
        </w:rPr>
        <w:t xml:space="preserve">Information covered (para 8(9)):</w:t>
      </w:r>
      <w:r>
        <w:t xml:space="preserve"> </w:t>
      </w:r>
      <w:r>
        <w:t xml:space="preserve">deposits, securities, MF, insurance, NPS, InvIT/REIT, and</w:t>
      </w:r>
      <w:r>
        <w:t xml:space="preserve"> </w:t>
      </w:r>
      <w:r>
        <w:rPr>
          <w:bCs/>
          <w:b/>
        </w:rPr>
        <w:t xml:space="preserve">GSTR-1 and GSTR-3B</w:t>
      </w:r>
      <w:r>
        <w:t xml:space="preserve">. Loan accounts are not in the list as issued.</w:t>
      </w:r>
    </w:p>
    <w:p>
      <w:pPr>
        <w:pStyle w:val="BodyText"/>
      </w:pPr>
      <w:r>
        <w:rPr>
          <w:bCs/>
          <w:b/>
        </w:rPr>
        <w:t xml:space="preserve">Consent artefact (para 17).</w:t>
      </w:r>
      <w:r>
        <w:t xml:space="preserve"> </w:t>
      </w:r>
      <w:r>
        <w:t xml:space="preserve">Fields:</w:t>
      </w:r>
    </w:p>
    <w:p>
      <w:pPr>
        <w:numPr>
          <w:ilvl w:val="0"/>
          <w:numId w:val="1693"/>
        </w:numPr>
        <w:pStyle w:val="Compact"/>
      </w:pPr>
      <w:r>
        <w:t xml:space="preserve">customer identity;</w:t>
      </w:r>
    </w:p>
    <w:p>
      <w:pPr>
        <w:numPr>
          <w:ilvl w:val="0"/>
          <w:numId w:val="1693"/>
        </w:numPr>
        <w:pStyle w:val="Compact"/>
      </w:pPr>
      <w:r>
        <w:t xml:space="preserve">nature of information;</w:t>
      </w:r>
    </w:p>
    <w:p>
      <w:pPr>
        <w:numPr>
          <w:ilvl w:val="0"/>
          <w:numId w:val="1693"/>
        </w:numPr>
        <w:pStyle w:val="Compact"/>
      </w:pPr>
      <w:r>
        <w:t xml:space="preserve">purpose;</w:t>
      </w:r>
    </w:p>
    <w:p>
      <w:pPr>
        <w:numPr>
          <w:ilvl w:val="0"/>
          <w:numId w:val="1693"/>
        </w:numPr>
        <w:pStyle w:val="Compact"/>
      </w:pPr>
      <w:r>
        <w:t xml:space="preserve">recipients;</w:t>
      </w:r>
    </w:p>
    <w:p>
      <w:pPr>
        <w:numPr>
          <w:ilvl w:val="0"/>
          <w:numId w:val="1693"/>
        </w:numPr>
        <w:pStyle w:val="Compact"/>
      </w:pPr>
      <w:r>
        <w:t xml:space="preserve">notification URL;</w:t>
      </w:r>
    </w:p>
    <w:p>
      <w:pPr>
        <w:numPr>
          <w:ilvl w:val="0"/>
          <w:numId w:val="1693"/>
        </w:numPr>
        <w:pStyle w:val="Compact"/>
      </w:pPr>
      <w:r>
        <w:t xml:space="preserve">creation and expiry dates;</w:t>
      </w:r>
    </w:p>
    <w:p>
      <w:pPr>
        <w:numPr>
          <w:ilvl w:val="0"/>
          <w:numId w:val="1693"/>
        </w:numPr>
        <w:pStyle w:val="Compact"/>
      </w:pPr>
      <w:r>
        <w:t xml:space="preserve">AA identity and signature.</w:t>
      </w:r>
    </w:p>
    <w:p>
      <w:pPr>
        <w:pStyle w:val="FirstParagraph"/>
      </w:pPr>
      <w:r>
        <w:t xml:space="preserve">The artefact may be revoked, including partially (para 20), and must be loggable and auditable (para 21).</w:t>
      </w:r>
    </w:p>
    <w:p>
      <w:pPr>
        <w:pStyle w:val="BodyText"/>
      </w:pPr>
      <w:r>
        <w:rPr>
          <w:bCs/>
          <w:b/>
        </w:rPr>
        <w:t xml:space="preserve">Data handling:</w:t>
      </w:r>
    </w:p>
    <w:p>
      <w:pPr>
        <w:numPr>
          <w:ilvl w:val="0"/>
          <w:numId w:val="1694"/>
        </w:numPr>
        <w:pStyle w:val="Compact"/>
      </w:pPr>
      <w:r>
        <w:t xml:space="preserve">Providers sign the data (para 24).</w:t>
      </w:r>
    </w:p>
    <w:p>
      <w:pPr>
        <w:numPr>
          <w:ilvl w:val="0"/>
          <w:numId w:val="1694"/>
        </w:numPr>
        <w:pStyle w:val="Compact"/>
      </w:pPr>
      <w:r>
        <w:t xml:space="preserve">Where an AA statement and the provider’s books differ, the</w:t>
      </w:r>
      <w:r>
        <w:t xml:space="preserve"> </w:t>
      </w:r>
      <w:r>
        <w:rPr>
          <w:bCs/>
          <w:b/>
        </w:rPr>
        <w:t xml:space="preserve">provider’s record prevails</w:t>
      </w:r>
      <w:r>
        <w:t xml:space="preserve"> </w:t>
      </w:r>
      <w:r>
        <w:t xml:space="preserve">(para 14(11)).</w:t>
      </w:r>
    </w:p>
    <w:p>
      <w:pPr>
        <w:numPr>
          <w:ilvl w:val="0"/>
          <w:numId w:val="1694"/>
        </w:numPr>
        <w:pStyle w:val="Compact"/>
      </w:pPr>
      <w:r>
        <w:rPr>
          <w:bCs/>
          <w:b/>
        </w:rPr>
        <w:t xml:space="preserve">The FIU uses or discloses the data only as the artefact specifies</w:t>
      </w:r>
      <w:r>
        <w:t xml:space="preserve"> </w:t>
      </w:r>
      <w:r>
        <w:t xml:space="preserve">(para 28).</w:t>
      </w:r>
    </w:p>
    <w:p>
      <w:pPr>
        <w:numPr>
          <w:ilvl w:val="0"/>
          <w:numId w:val="1694"/>
        </w:numPr>
        <w:pStyle w:val="Compact"/>
      </w:pPr>
      <w:r>
        <w:rPr>
          <w:bCs/>
          <w:b/>
        </w:rPr>
        <w:t xml:space="preserve">An RE that joins as FIU must also join as FIP if it holds specified information</w:t>
      </w:r>
      <w:r>
        <w:t xml:space="preserve"> </w:t>
      </w:r>
      <w:r>
        <w:t xml:space="preserve">(para 29). Deposit-taking tenants therefore need an FIP endpoint for deposits.</w:t>
      </w:r>
    </w:p>
    <w:p>
      <w:pPr>
        <w:numPr>
          <w:ilvl w:val="0"/>
          <w:numId w:val="1694"/>
        </w:numPr>
        <w:pStyle w:val="Compact"/>
      </w:pPr>
      <w:r>
        <w:t xml:space="preserve">Adopt the ReBIT specifications (para 33).</w:t>
      </w:r>
    </w:p>
    <w:p>
      <w:pPr>
        <w:numPr>
          <w:ilvl w:val="0"/>
          <w:numId w:val="1694"/>
        </w:numPr>
        <w:pStyle w:val="Compact"/>
      </w:pPr>
      <w:r>
        <w:t xml:space="preserve">Purpose codes, data life and fetch frequency come from ReBIT, not this Direction [VERIFY current ReBIT version].</w:t>
      </w:r>
    </w:p>
    <w:p>
      <w:r>
        <w:pict>
          <v:rect style="width:0;height:1.5pt" o:hralign="center" o:hrstd="t" o:hr="t"/>
        </w:pict>
      </w:r>
    </w:p>
    <w:bookmarkEnd w:id="790"/>
    <w:bookmarkStart w:id="791" w:name="Xf9ac58102ab08f43062aa75ae1ac4b6997dd068"/>
    <w:p>
      <w:pPr>
        <w:pStyle w:val="Heading2"/>
      </w:pPr>
      <w:r>
        <w:t xml:space="preserve">8A.11 CMP — Compliance Function Directions (460; ML/UL only)</w:t>
      </w:r>
    </w:p>
    <w:p>
      <w:pPr>
        <w:pStyle w:val="FirstParagraph"/>
      </w:pPr>
      <w:r>
        <w:rPr>
          <w:bCs/>
          <w:b/>
        </w:rPr>
        <w:t xml:space="preserve">Governance (paras 6–9):</w:t>
      </w:r>
    </w:p>
    <w:p>
      <w:pPr>
        <w:numPr>
          <w:ilvl w:val="0"/>
          <w:numId w:val="1695"/>
        </w:numPr>
        <w:pStyle w:val="Compact"/>
      </w:pPr>
      <w:r>
        <w:t xml:space="preserve">Board/ACB approves the compliance policy and sets the review periodicity for compliance risk (para 6).</w:t>
      </w:r>
    </w:p>
    <w:p>
      <w:pPr>
        <w:numPr>
          <w:ilvl w:val="0"/>
          <w:numId w:val="1695"/>
        </w:numPr>
        <w:pStyle w:val="Compact"/>
      </w:pPr>
      <w:r>
        <w:rPr>
          <w:bCs/>
          <w:b/>
        </w:rPr>
        <w:t xml:space="preserve">Annual compliance risk assessment and detailed annual review to the Board/ACB (para 7):</w:t>
      </w:r>
    </w:p>
    <w:p>
      <w:pPr>
        <w:numPr>
          <w:ilvl w:val="1"/>
          <w:numId w:val="1696"/>
        </w:numPr>
        <w:pStyle w:val="Compact"/>
      </w:pPr>
      <w:r>
        <w:t xml:space="preserve">compliance failures, losses, regulatory action and remedies;</w:t>
      </w:r>
    </w:p>
    <w:p>
      <w:pPr>
        <w:numPr>
          <w:ilvl w:val="1"/>
          <w:numId w:val="1696"/>
        </w:numPr>
        <w:pStyle w:val="Compact"/>
      </w:pPr>
      <w:r>
        <w:t xml:space="preserve">the major regulatory guidelines issued in the year and the action taken;</w:t>
      </w:r>
    </w:p>
    <w:p>
      <w:pPr>
        <w:numPr>
          <w:ilvl w:val="1"/>
          <w:numId w:val="1696"/>
        </w:numPr>
        <w:pStyle w:val="Compact"/>
      </w:pPr>
      <w:r>
        <w:t xml:space="preserve">fair practices code, SRO and accounting-standard compliance;</w:t>
      </w:r>
    </w:p>
    <w:p>
      <w:pPr>
        <w:numPr>
          <w:ilvl w:val="1"/>
          <w:numId w:val="1696"/>
        </w:numPr>
        <w:pStyle w:val="Compact"/>
      </w:pPr>
      <w:r>
        <w:t xml:space="preserve">progress on audit and RBI inspection findings.</w:t>
      </w:r>
    </w:p>
    <w:p>
      <w:pPr>
        <w:numPr>
          <w:ilvl w:val="0"/>
          <w:numId w:val="1695"/>
        </w:numPr>
        <w:pStyle w:val="Compact"/>
      </w:pPr>
      <w:r>
        <w:t xml:space="preserve">Policy reviewed at least annually (para 8).</w:t>
      </w:r>
    </w:p>
    <w:p>
      <w:pPr>
        <w:numPr>
          <w:ilvl w:val="0"/>
          <w:numId w:val="1695"/>
        </w:numPr>
        <w:pStyle w:val="Compact"/>
      </w:pPr>
      <w:r>
        <w:rPr>
          <w:bCs/>
          <w:b/>
        </w:rPr>
        <w:t xml:space="preserve">Policy contents (para 9):</w:t>
      </w:r>
    </w:p>
    <w:p>
      <w:pPr>
        <w:numPr>
          <w:ilvl w:val="1"/>
          <w:numId w:val="1697"/>
        </w:numPr>
        <w:pStyle w:val="Compact"/>
      </w:pPr>
      <w:r>
        <w:t xml:space="preserve">independence;</w:t>
      </w:r>
    </w:p>
    <w:p>
      <w:pPr>
        <w:numPr>
          <w:ilvl w:val="1"/>
          <w:numId w:val="1697"/>
        </w:numPr>
        <w:pStyle w:val="Compact"/>
      </w:pPr>
      <w:r>
        <w:t xml:space="preserve">compliance-testing monitoring;</w:t>
      </w:r>
    </w:p>
    <w:p>
      <w:pPr>
        <w:numPr>
          <w:ilvl w:val="1"/>
          <w:numId w:val="1697"/>
        </w:numPr>
        <w:pStyle w:val="Compact"/>
      </w:pPr>
      <w:r>
        <w:t xml:space="preserve">change-in-risk-profile reporting;</w:t>
      </w:r>
    </w:p>
    <w:p>
      <w:pPr>
        <w:numPr>
          <w:ilvl w:val="1"/>
          <w:numId w:val="1697"/>
        </w:numPr>
        <w:pStyle w:val="Compact"/>
      </w:pPr>
      <w:r>
        <w:t xml:space="preserve">access to information;</w:t>
      </w:r>
    </w:p>
    <w:p>
      <w:pPr>
        <w:numPr>
          <w:ilvl w:val="1"/>
          <w:numId w:val="1697"/>
        </w:numPr>
        <w:pStyle w:val="Compact"/>
      </w:pPr>
      <w:r>
        <w:t xml:space="preserve">dissemination of regulatory requirements and updating of operational manuals;</w:t>
      </w:r>
    </w:p>
    <w:p>
      <w:pPr>
        <w:numPr>
          <w:ilvl w:val="1"/>
          <w:numId w:val="1697"/>
        </w:numPr>
        <w:pStyle w:val="Compact"/>
      </w:pPr>
      <w:r>
        <w:rPr>
          <w:bCs/>
          <w:b/>
        </w:rPr>
        <w:t xml:space="preserve">Compliance Department approval of every new process and product before introduction</w:t>
      </w:r>
      <w:r>
        <w:t xml:space="preserve"> </w:t>
      </w:r>
      <w:r>
        <w:t xml:space="preserve">(para 9(7)).</w:t>
      </w:r>
    </w:p>
    <w:p>
      <w:pPr>
        <w:pStyle w:val="FirstParagraph"/>
      </w:pPr>
      <w:r>
        <w:rPr>
          <w:bCs/>
          <w:b/>
        </w:rPr>
        <w:t xml:space="preserve">Scope and function (paras 10–17):</w:t>
      </w:r>
    </w:p>
    <w:p>
      <w:pPr>
        <w:numPr>
          <w:ilvl w:val="0"/>
          <w:numId w:val="1698"/>
        </w:numPr>
        <w:pStyle w:val="Compact"/>
      </w:pPr>
      <w:r>
        <w:t xml:space="preserve">Scope includes conduct, conflicts of interest, fair treatment and suitability (para 10).</w:t>
      </w:r>
    </w:p>
    <w:p>
      <w:pPr>
        <w:numPr>
          <w:ilvl w:val="0"/>
          <w:numId w:val="1698"/>
        </w:numPr>
        <w:pStyle w:val="Compact"/>
      </w:pPr>
      <w:r>
        <w:rPr>
          <w:bCs/>
          <w:b/>
        </w:rPr>
        <w:t xml:space="preserve">New products</w:t>
      </w:r>
      <w:r>
        <w:t xml:space="preserve"> </w:t>
      </w:r>
      <w:r>
        <w:t xml:space="preserve">are intensively monitored for at least the first six months (para 15(2)).</w:t>
      </w:r>
    </w:p>
    <w:p>
      <w:pPr>
        <w:numPr>
          <w:ilvl w:val="0"/>
          <w:numId w:val="1698"/>
        </w:numPr>
        <w:pStyle w:val="Compact"/>
      </w:pPr>
      <w:r>
        <w:rPr>
          <w:bCs/>
          <w:b/>
        </w:rPr>
        <w:t xml:space="preserve">Compliance testing:</w:t>
      </w:r>
    </w:p>
    <w:p>
      <w:pPr>
        <w:numPr>
          <w:ilvl w:val="1"/>
          <w:numId w:val="1699"/>
        </w:numPr>
        <w:pStyle w:val="Compact"/>
      </w:pPr>
      <w:r>
        <w:t xml:space="preserve">sufficient and representative testing, with results to senior management;</w:t>
      </w:r>
    </w:p>
    <w:p>
      <w:pPr>
        <w:numPr>
          <w:ilvl w:val="1"/>
          <w:numId w:val="1699"/>
        </w:numPr>
        <w:pStyle w:val="Compact"/>
      </w:pPr>
      <w:r>
        <w:t xml:space="preserve">compliance failures circulated with preventive instructions;</w:t>
      </w:r>
    </w:p>
    <w:p>
      <w:pPr>
        <w:numPr>
          <w:ilvl w:val="1"/>
          <w:numId w:val="1699"/>
        </w:numPr>
        <w:pStyle w:val="Compact"/>
      </w:pPr>
      <w:r>
        <w:t xml:space="preserve">staff accountability examined for major failures (para 15(3)).</w:t>
      </w:r>
    </w:p>
    <w:p>
      <w:pPr>
        <w:numPr>
          <w:ilvl w:val="0"/>
          <w:numId w:val="1698"/>
        </w:numPr>
        <w:pStyle w:val="Compact"/>
      </w:pPr>
      <w:r>
        <w:rPr>
          <w:bCs/>
          <w:b/>
        </w:rPr>
        <w:t xml:space="preserve">Risk Mitigation Plan / Monitorable Action Plan</w:t>
      </w:r>
      <w:r>
        <w:t xml:space="preserve"> </w:t>
      </w:r>
      <w:r>
        <w:t xml:space="preserve">points complied with on time; inspection compliance submitted to RBI only through the Compliance function (para 15(4)).</w:t>
      </w:r>
    </w:p>
    <w:p>
      <w:pPr>
        <w:numPr>
          <w:ilvl w:val="0"/>
          <w:numId w:val="1698"/>
        </w:numPr>
        <w:pStyle w:val="Compact"/>
      </w:pPr>
      <w:r>
        <w:t xml:space="preserve">Other regulators’ discomfort and law-enforcement actions reported to RBI (para 15(5)).</w:t>
      </w:r>
    </w:p>
    <w:p>
      <w:pPr>
        <w:numPr>
          <w:ilvl w:val="0"/>
          <w:numId w:val="1698"/>
        </w:numPr>
        <w:pStyle w:val="Compact"/>
      </w:pPr>
      <w:r>
        <w:t xml:space="preserve">The function is the reference point for interpretation (para 16).</w:t>
      </w:r>
    </w:p>
    <w:p>
      <w:pPr>
        <w:numPr>
          <w:ilvl w:val="0"/>
          <w:numId w:val="1698"/>
        </w:numPr>
        <w:pStyle w:val="Compact"/>
      </w:pPr>
      <w:r>
        <w:t xml:space="preserve">The CCO is informed of compliance-related audit findings (para 17).</w:t>
      </w:r>
    </w:p>
    <w:p>
      <w:pPr>
        <w:pStyle w:val="FirstParagraph"/>
      </w:pPr>
      <w:r>
        <w:rPr>
          <w:bCs/>
          <w:b/>
        </w:rPr>
        <w:t xml:space="preserve">CCO (paras 18–31):</w:t>
      </w:r>
    </w:p>
    <w:p>
      <w:pPr>
        <w:numPr>
          <w:ilvl w:val="0"/>
          <w:numId w:val="1700"/>
        </w:numPr>
        <w:pStyle w:val="Compact"/>
      </w:pPr>
      <w:r>
        <w:t xml:space="preserve">Selected through a committee (para 18).</w:t>
      </w:r>
    </w:p>
    <w:p>
      <w:pPr>
        <w:numPr>
          <w:ilvl w:val="0"/>
          <w:numId w:val="1700"/>
        </w:numPr>
        <w:pStyle w:val="Compact"/>
      </w:pPr>
      <w:r>
        <w:t xml:space="preserve">Minimum tenure 3 years, relaxable by 1 year (para 21); premature transfer only with prior Board/ACB approval (para 22).</w:t>
      </w:r>
    </w:p>
    <w:p>
      <w:pPr>
        <w:numPr>
          <w:ilvl w:val="0"/>
          <w:numId w:val="1700"/>
        </w:numPr>
        <w:pStyle w:val="Compact"/>
      </w:pPr>
      <w:r>
        <w:t xml:space="preserve">No lower than two levels below the CEO (para 23).</w:t>
      </w:r>
    </w:p>
    <w:p>
      <w:pPr>
        <w:numPr>
          <w:ilvl w:val="0"/>
          <w:numId w:val="1700"/>
        </w:numPr>
        <w:pStyle w:val="Compact"/>
      </w:pPr>
      <w:r>
        <w:t xml:space="preserve">Quarterly one-to-one with the Board/ACB where the CCO reports to the MD &amp; CEO (para 25).</w:t>
      </w:r>
    </w:p>
    <w:p>
      <w:pPr>
        <w:numPr>
          <w:ilvl w:val="0"/>
          <w:numId w:val="1700"/>
        </w:numPr>
        <w:pStyle w:val="Compact"/>
      </w:pPr>
      <w:r>
        <w:t xml:space="preserve">No business reporting line (para 26).</w:t>
      </w:r>
    </w:p>
    <w:p>
      <w:pPr>
        <w:numPr>
          <w:ilvl w:val="0"/>
          <w:numId w:val="1700"/>
        </w:numPr>
        <w:pStyle w:val="Compact"/>
      </w:pPr>
      <w:r>
        <w:rPr>
          <w:bCs/>
          <w:b/>
        </w:rPr>
        <w:t xml:space="preserve">No dual hatting; on sanction or purchase committees, advisory role only</w:t>
      </w:r>
      <w:r>
        <w:t xml:space="preserve"> </w:t>
      </w:r>
      <w:r>
        <w:t xml:space="preserve">(para 27).</w:t>
      </w:r>
    </w:p>
    <w:p>
      <w:pPr>
        <w:numPr>
          <w:ilvl w:val="0"/>
          <w:numId w:val="1700"/>
        </w:numPr>
        <w:pStyle w:val="Compact"/>
      </w:pPr>
      <w:r>
        <w:t xml:space="preserve">Access to all records (para 28).</w:t>
      </w:r>
    </w:p>
    <w:p>
      <w:pPr>
        <w:numPr>
          <w:ilvl w:val="0"/>
          <w:numId w:val="1700"/>
        </w:numPr>
        <w:pStyle w:val="Compact"/>
      </w:pPr>
      <w:r>
        <w:rPr>
          <w:bCs/>
          <w:b/>
        </w:rPr>
        <w:t xml:space="preserve">Prior intimation to the RBI SSM</w:t>
      </w:r>
      <w:r>
        <w:t xml:space="preserve"> </w:t>
      </w:r>
      <w:r>
        <w:t xml:space="preserve">for appointment, transfer, resignation or removal, with profile and the MD &amp; CEO’s Fit and Proper certificate (para 29).</w:t>
      </w:r>
    </w:p>
    <w:p>
      <w:pPr>
        <w:numPr>
          <w:ilvl w:val="0"/>
          <w:numId w:val="1700"/>
        </w:numPr>
        <w:pStyle w:val="Compact"/>
      </w:pPr>
      <w:r>
        <w:t xml:space="preserve">Nodal point for regulators (para 30).</w:t>
      </w:r>
    </w:p>
    <w:p>
      <w:pPr>
        <w:numPr>
          <w:ilvl w:val="0"/>
          <w:numId w:val="1700"/>
        </w:numPr>
        <w:pStyle w:val="Compact"/>
      </w:pPr>
      <w:r>
        <w:t xml:space="preserve">Member of the new-product committee, or evaluates each product (para 31).</w:t>
      </w:r>
    </w:p>
    <w:p>
      <w:pPr>
        <w:pStyle w:val="FirstParagraph"/>
      </w:pPr>
      <w:r>
        <w:rPr>
          <w:bCs/>
          <w:b/>
        </w:rPr>
        <w:t xml:space="preserve">Technology (para 32).</w:t>
      </w:r>
      <w:r>
        <w:t xml:space="preserve"> </w:t>
      </w:r>
      <w:r>
        <w:t xml:space="preserve">A comprehensive, integrated, enterprise-wide, workflow-based solution that:</w:t>
      </w:r>
    </w:p>
    <w:p>
      <w:pPr>
        <w:numPr>
          <w:ilvl w:val="0"/>
          <w:numId w:val="1701"/>
        </w:numPr>
        <w:pStyle w:val="Compact"/>
      </w:pPr>
      <w:r>
        <w:t xml:space="preserve">supports collaboration;</w:t>
      </w:r>
    </w:p>
    <w:p>
      <w:pPr>
        <w:numPr>
          <w:ilvl w:val="0"/>
          <w:numId w:val="1701"/>
        </w:numPr>
        <w:pStyle w:val="Compact"/>
      </w:pPr>
      <w:r>
        <w:t xml:space="preserve">identifies, assesses, monitors and manages compliance requirements;</w:t>
      </w:r>
    </w:p>
    <w:p>
      <w:pPr>
        <w:numPr>
          <w:ilvl w:val="0"/>
          <w:numId w:val="1701"/>
        </w:numPr>
        <w:pStyle w:val="Compact"/>
      </w:pPr>
      <w:r>
        <w:t xml:space="preserve">escalates non-compliance;</w:t>
      </w:r>
    </w:p>
    <w:p>
      <w:pPr>
        <w:numPr>
          <w:ilvl w:val="0"/>
          <w:numId w:val="1701"/>
        </w:numPr>
        <w:pStyle w:val="Compact"/>
      </w:pPr>
      <w:r>
        <w:rPr>
          <w:bCs/>
          <w:b/>
        </w:rPr>
        <w:t xml:space="preserve">records competent-authority approval for any deviation or delay in compliance submission</w:t>
      </w:r>
      <w:r>
        <w:t xml:space="preserve">;</w:t>
      </w:r>
    </w:p>
    <w:p>
      <w:pPr>
        <w:numPr>
          <w:ilvl w:val="0"/>
          <w:numId w:val="1701"/>
        </w:numPr>
        <w:pStyle w:val="Compact"/>
      </w:pPr>
      <w:r>
        <w:t xml:space="preserve">gives senior management a</w:t>
      </w:r>
      <w:r>
        <w:t xml:space="preserve"> </w:t>
      </w:r>
      <w:r>
        <w:rPr>
          <w:bCs/>
          <w:b/>
        </w:rPr>
        <w:t xml:space="preserve">unified dashboard</w:t>
      </w:r>
      <w:r>
        <w:t xml:space="preserve">.</w:t>
      </w:r>
    </w:p>
    <w:p>
      <w:pPr>
        <w:pStyle w:val="FirstParagraph"/>
      </w:pPr>
      <w:r>
        <w:t xml:space="preserve">Proportionality applies (para 33).</w:t>
      </w:r>
      <w:r>
        <w:t xml:space="preserve"> </w:t>
      </w:r>
      <w:r>
        <w:rPr>
          <w:iCs/>
          <w:i/>
        </w:rPr>
        <w:t xml:space="preserve">Finbyx’s compliance module (M14) is designed to be this solution.</w:t>
      </w:r>
    </w:p>
    <w:p>
      <w:r>
        <w:pict>
          <v:rect style="width:0;height:1.5pt" o:hralign="center" o:hrstd="t" o:hr="t"/>
        </w:pict>
      </w:r>
    </w:p>
    <w:bookmarkEnd w:id="791"/>
    <w:bookmarkStart w:id="792" w:name="X12f77e944091760d580712bbc025ca872e90773"/>
    <w:p>
      <w:pPr>
        <w:pStyle w:val="Heading2"/>
      </w:pPr>
      <w:r>
        <w:t xml:space="preserve">8A.12 CYB — Cybersecurity, Technology: Risk, Resilience and Assurance Framework Directions (461)</w:t>
      </w:r>
    </w:p>
    <w:p>
      <w:pPr>
        <w:pStyle w:val="FirstParagraph"/>
      </w:pPr>
      <w:r>
        <w:rPr>
          <w:bCs/>
          <w:b/>
        </w:rPr>
        <w:t xml:space="preserve">Applicability and repeal (paras 2–3, 155–156):</w:t>
      </w:r>
    </w:p>
    <w:p>
      <w:pPr>
        <w:numPr>
          <w:ilvl w:val="0"/>
          <w:numId w:val="1702"/>
        </w:numPr>
        <w:pStyle w:val="Compact"/>
      </w:pPr>
      <w:r>
        <w:t xml:space="preserve">Immediate effect (para 2).</w:t>
      </w:r>
    </w:p>
    <w:p>
      <w:pPr>
        <w:numPr>
          <w:ilvl w:val="0"/>
          <w:numId w:val="1702"/>
        </w:numPr>
        <w:pStyle w:val="Compact"/>
      </w:pPr>
      <w:r>
        <w:t xml:space="preserve">Ch III: BL &lt; ₹500 crore and all CICs. Ch IV: BL ≥ ₹500 crore. Ch V: TL/UL/ML, excluding CICs. Ch II para 6 applies to all.</w:t>
      </w:r>
    </w:p>
    <w:p>
      <w:pPr>
        <w:numPr>
          <w:ilvl w:val="0"/>
          <w:numId w:val="1702"/>
        </w:numPr>
        <w:pStyle w:val="Compact"/>
      </w:pPr>
      <w:r>
        <w:rPr>
          <w:bCs/>
          <w:b/>
        </w:rPr>
        <w:t xml:space="preserve">The only asset threshold in the text is ₹500 crore.</w:t>
      </w:r>
    </w:p>
    <w:p>
      <w:pPr>
        <w:numPr>
          <w:ilvl w:val="0"/>
          <w:numId w:val="1702"/>
        </w:numPr>
        <w:pStyle w:val="Compact"/>
      </w:pPr>
      <w:r>
        <w:t xml:space="preserve">Para 155 repeals the existing NBFC IT Framework and IT Governance instructions listed in circular DoS.CO.PPG.66/11.01.005/2026-27. The 2023 IT Governance MD is not named [VERIFY against the PPG.66 list].</w:t>
      </w:r>
    </w:p>
    <w:p>
      <w:pPr>
        <w:pStyle w:val="FirstParagraph"/>
      </w:pPr>
      <w:r>
        <w:rPr>
          <w:bCs/>
          <w:b/>
        </w:rPr>
        <w:t xml:space="preserve">Board (para 6):</w:t>
      </w:r>
      <w:r>
        <w:t xml:space="preserve"> </w:t>
      </w:r>
      <w:r>
        <w:t xml:space="preserve">approves the technology and cybersecurity strategies and policies; reviews them at least annually.</w:t>
      </w:r>
    </w:p>
    <w:p>
      <w:pPr>
        <w:pStyle w:val="BodyText"/>
      </w:pPr>
      <w:r>
        <w:rPr>
          <w:bCs/>
          <w:b/>
        </w:rPr>
        <w:t xml:space="preserve">Chapter III baseline (para 8):</w:t>
      </w:r>
    </w:p>
    <w:p>
      <w:pPr>
        <w:numPr>
          <w:ilvl w:val="0"/>
          <w:numId w:val="1703"/>
        </w:numPr>
        <w:pStyle w:val="Compact"/>
      </w:pPr>
      <w:r>
        <w:t xml:space="preserve">password and access control;</w:t>
      </w:r>
    </w:p>
    <w:p>
      <w:pPr>
        <w:numPr>
          <w:ilvl w:val="0"/>
          <w:numId w:val="1703"/>
        </w:numPr>
        <w:pStyle w:val="Compact"/>
      </w:pPr>
      <w:r>
        <w:t xml:space="preserve">defined roles;</w:t>
      </w:r>
    </w:p>
    <w:p>
      <w:pPr>
        <w:numPr>
          <w:ilvl w:val="0"/>
          <w:numId w:val="1703"/>
        </w:numPr>
        <w:pStyle w:val="Compact"/>
      </w:pPr>
      <w:r>
        <w:t xml:space="preserve">maker-checker;</w:t>
      </w:r>
    </w:p>
    <w:p>
      <w:pPr>
        <w:numPr>
          <w:ilvl w:val="0"/>
          <w:numId w:val="1703"/>
        </w:numPr>
        <w:pStyle w:val="Compact"/>
      </w:pPr>
      <w:r>
        <w:t xml:space="preserve">DSC, mobile financial services and social-media controls;</w:t>
      </w:r>
    </w:p>
    <w:p>
      <w:pPr>
        <w:numPr>
          <w:ilvl w:val="0"/>
          <w:numId w:val="1703"/>
        </w:numPr>
        <w:pStyle w:val="Compact"/>
      </w:pPr>
      <w:r>
        <w:rPr>
          <w:bCs/>
          <w:b/>
        </w:rPr>
        <w:t xml:space="preserve">system-generated MIS</w:t>
      </w:r>
      <w:r>
        <w:t xml:space="preserve"> </w:t>
      </w:r>
      <w:r>
        <w:t xml:space="preserve">(revenue, expenses, segment cost-benefit, cost of funds);</w:t>
      </w:r>
    </w:p>
    <w:p>
      <w:pPr>
        <w:numPr>
          <w:ilvl w:val="0"/>
          <w:numId w:val="1703"/>
        </w:numPr>
        <w:pStyle w:val="Compact"/>
      </w:pPr>
      <w:r>
        <w:t xml:space="preserve">adequacy to file regulatory returns;</w:t>
      </w:r>
    </w:p>
    <w:p>
      <w:pPr>
        <w:numPr>
          <w:ilvl w:val="0"/>
          <w:numId w:val="1703"/>
        </w:numPr>
        <w:pStyle w:val="Compact"/>
      </w:pPr>
      <w:r>
        <w:t xml:space="preserve">BCP with annual Board reporting;</w:t>
      </w:r>
    </w:p>
    <w:p>
      <w:pPr>
        <w:numPr>
          <w:ilvl w:val="0"/>
          <w:numId w:val="1703"/>
        </w:numPr>
        <w:pStyle w:val="Compact"/>
      </w:pPr>
      <w:r>
        <w:t xml:space="preserve">backup with periodic testing.</w:t>
      </w:r>
    </w:p>
    <w:p>
      <w:pPr>
        <w:pStyle w:val="FirstParagraph"/>
      </w:pPr>
      <w:r>
        <w:rPr>
          <w:bCs/>
          <w:b/>
        </w:rPr>
        <w:t xml:space="preserve">Chapter IV (BL ≥ ₹500 crore):</w:t>
      </w:r>
    </w:p>
    <w:p>
      <w:pPr>
        <w:numPr>
          <w:ilvl w:val="0"/>
          <w:numId w:val="1704"/>
        </w:numPr>
        <w:pStyle w:val="Compact"/>
      </w:pPr>
      <w:r>
        <w:rPr>
          <w:bCs/>
          <w:b/>
        </w:rPr>
        <w:t xml:space="preserve">ITSC:</w:t>
      </w:r>
      <w:r>
        <w:t xml:space="preserve"> </w:t>
      </w:r>
      <w:r>
        <w:t xml:space="preserve">independent-director chair; CIO/CTO members; ≤ 6 months between meetings (para 15).</w:t>
      </w:r>
    </w:p>
    <w:p>
      <w:pPr>
        <w:numPr>
          <w:ilvl w:val="0"/>
          <w:numId w:val="1704"/>
        </w:numPr>
        <w:pStyle w:val="Compact"/>
      </w:pPr>
      <w:r>
        <w:t xml:space="preserve">IT, InfoSec and Cyber policies (paras 18–22); CIO (para 18(2)); public-facing infrastructure</w:t>
      </w:r>
      <w:r>
        <w:t xml:space="preserve"> </w:t>
      </w:r>
      <w:r>
        <w:rPr>
          <w:bCs/>
          <w:b/>
        </w:rPr>
        <w:t xml:space="preserve">IPv6-capable</w:t>
      </w:r>
      <w:r>
        <w:t xml:space="preserve"> </w:t>
      </w:r>
      <w:r>
        <w:t xml:space="preserve">(para 18(4)).</w:t>
      </w:r>
    </w:p>
    <w:p>
      <w:pPr>
        <w:numPr>
          <w:ilvl w:val="0"/>
          <w:numId w:val="1704"/>
        </w:numPr>
        <w:pStyle w:val="Compact"/>
      </w:pPr>
      <w:r>
        <w:t xml:space="preserve">Asset inventory (para 21(1)).</w:t>
      </w:r>
    </w:p>
    <w:p>
      <w:pPr>
        <w:numPr>
          <w:ilvl w:val="0"/>
          <w:numId w:val="1704"/>
        </w:numPr>
        <w:pStyle w:val="Compact"/>
      </w:pPr>
      <w:r>
        <w:rPr>
          <w:bCs/>
          <w:b/>
        </w:rPr>
        <w:t xml:space="preserve">SoD:</w:t>
      </w:r>
      <w:r>
        <w:t xml:space="preserve"> </w:t>
      </w:r>
      <w:r>
        <w:t xml:space="preserve">sysadmin vs DBA vs transaction processing (para 21(2)).</w:t>
      </w:r>
    </w:p>
    <w:p>
      <w:pPr>
        <w:numPr>
          <w:ilvl w:val="0"/>
          <w:numId w:val="1704"/>
        </w:numPr>
        <w:pStyle w:val="Compact"/>
      </w:pPr>
      <w:r>
        <w:rPr>
          <w:bCs/>
          <w:b/>
        </w:rPr>
        <w:t xml:space="preserve">Delegated authority for changing key business parameters such as interest rates</w:t>
      </w:r>
      <w:r>
        <w:t xml:space="preserve"> </w:t>
      </w:r>
      <w:r>
        <w:t xml:space="preserve">(para 21(3)).</w:t>
      </w:r>
    </w:p>
    <w:p>
      <w:pPr>
        <w:numPr>
          <w:ilvl w:val="0"/>
          <w:numId w:val="1704"/>
        </w:numPr>
        <w:pStyle w:val="Compact"/>
      </w:pPr>
      <w:r>
        <w:t xml:space="preserve">Maker-checker by at least two individuals (para 21(6)).</w:t>
      </w:r>
    </w:p>
    <w:p>
      <w:pPr>
        <w:numPr>
          <w:ilvl w:val="0"/>
          <w:numId w:val="1704"/>
        </w:numPr>
        <w:pStyle w:val="Compact"/>
      </w:pPr>
      <w:r>
        <w:rPr>
          <w:bCs/>
          <w:b/>
        </w:rPr>
        <w:t xml:space="preserve">Audit trails</w:t>
      </w:r>
      <w:r>
        <w:t xml:space="preserve"> </w:t>
      </w:r>
      <w:r>
        <w:t xml:space="preserve">sufficient for audit, forensics and dispute resolution, including unauthorised activity (para 21(8)).</w:t>
      </w:r>
    </w:p>
    <w:p>
      <w:pPr>
        <w:numPr>
          <w:ilvl w:val="0"/>
          <w:numId w:val="1704"/>
        </w:numPr>
        <w:pStyle w:val="Compact"/>
      </w:pPr>
      <w:r>
        <w:t xml:space="preserve">PKI (para 21(9)).</w:t>
      </w:r>
    </w:p>
    <w:p>
      <w:pPr>
        <w:numPr>
          <w:ilvl w:val="0"/>
          <w:numId w:val="1704"/>
        </w:numPr>
        <w:pStyle w:val="Compact"/>
      </w:pPr>
      <w:r>
        <w:t xml:space="preserve">Vulnerability management (para 23).</w:t>
      </w:r>
    </w:p>
    <w:p>
      <w:pPr>
        <w:numPr>
          <w:ilvl w:val="0"/>
          <w:numId w:val="1704"/>
        </w:numPr>
        <w:pStyle w:val="Compact"/>
      </w:pPr>
      <w:r>
        <w:t xml:space="preserve">CCMP covering detection, response, recovery and containment (para 25).</w:t>
      </w:r>
    </w:p>
    <w:p>
      <w:pPr>
        <w:numPr>
          <w:ilvl w:val="0"/>
          <w:numId w:val="1704"/>
        </w:numPr>
        <w:pStyle w:val="Compact"/>
      </w:pPr>
      <w:r>
        <w:rPr>
          <w:bCs/>
          <w:b/>
        </w:rPr>
        <w:t xml:space="preserve">Incidents reported on DAKSH within 6 hours of detection</w:t>
      </w:r>
      <w:r>
        <w:t xml:space="preserve"> </w:t>
      </w:r>
      <w:r>
        <w:t xml:space="preserve">(para 28).</w:t>
      </w:r>
    </w:p>
    <w:p>
      <w:pPr>
        <w:numPr>
          <w:ilvl w:val="0"/>
          <w:numId w:val="1704"/>
        </w:numPr>
        <w:pStyle w:val="Compact"/>
      </w:pPr>
      <w:r>
        <w:t xml:space="preserve">DSC (para 31); mobile financial services with end-to-end encryption (para 33); training records (paras 35–36).</w:t>
      </w:r>
    </w:p>
    <w:p>
      <w:pPr>
        <w:numPr>
          <w:ilvl w:val="0"/>
          <w:numId w:val="1704"/>
        </w:numPr>
        <w:pStyle w:val="Compact"/>
      </w:pPr>
      <w:r>
        <w:t xml:space="preserve">Secure SDLC (para 39); change management (paras 41–42).</w:t>
      </w:r>
    </w:p>
    <w:p>
      <w:pPr>
        <w:numPr>
          <w:ilvl w:val="0"/>
          <w:numId w:val="1704"/>
        </w:numPr>
        <w:pStyle w:val="Compact"/>
      </w:pPr>
      <w:r>
        <w:rPr>
          <w:bCs/>
          <w:b/>
        </w:rPr>
        <w:t xml:space="preserve">System-generated MIS</w:t>
      </w:r>
      <w:r>
        <w:t xml:space="preserve"> </w:t>
      </w:r>
      <w:r>
        <w:t xml:space="preserve">including system-driven SMA/NPA identification and system-driven fraud reporting (para 44).</w:t>
      </w:r>
    </w:p>
    <w:p>
      <w:pPr>
        <w:numPr>
          <w:ilvl w:val="0"/>
          <w:numId w:val="1704"/>
        </w:numPr>
        <w:pStyle w:val="Compact"/>
      </w:pPr>
      <w:r>
        <w:rPr>
          <w:bCs/>
          <w:b/>
        </w:rPr>
        <w:t xml:space="preserve">System-driven returns, and read-only MIS access for RBI supervisors</w:t>
      </w:r>
      <w:r>
        <w:t xml:space="preserve"> </w:t>
      </w:r>
      <w:r>
        <w:t xml:space="preserve">(para 46).</w:t>
      </w:r>
    </w:p>
    <w:p>
      <w:pPr>
        <w:numPr>
          <w:ilvl w:val="0"/>
          <w:numId w:val="1704"/>
        </w:numPr>
        <w:pStyle w:val="Compact"/>
      </w:pPr>
      <w:r>
        <w:t xml:space="preserve">IS audit annually, preferably before the statutory audit (para 56);</w:t>
      </w:r>
      <w:r>
        <w:t xml:space="preserve"> </w:t>
      </w:r>
      <w:r>
        <w:rPr>
          <w:bCs/>
          <w:b/>
        </w:rPr>
        <w:t xml:space="preserve">audit-mode access for auditors and regulators</w:t>
      </w:r>
      <w:r>
        <w:t xml:space="preserve"> </w:t>
      </w:r>
      <w:r>
        <w:t xml:space="preserve">(para 57); CAATs (para 58).</w:t>
      </w:r>
    </w:p>
    <w:p>
      <w:pPr>
        <w:numPr>
          <w:ilvl w:val="0"/>
          <w:numId w:val="1704"/>
        </w:numPr>
        <w:pStyle w:val="Compact"/>
      </w:pPr>
      <w:r>
        <w:t xml:space="preserve">BCP tested at least annually and on significant change, using worst-case scenarios (para 59(4)); vendor cyber-resilience testing (para 59(5)).</w:t>
      </w:r>
    </w:p>
    <w:p>
      <w:pPr>
        <w:numPr>
          <w:ilvl w:val="0"/>
          <w:numId w:val="1704"/>
        </w:numPr>
        <w:pStyle w:val="Compact"/>
      </w:pPr>
      <w:r>
        <w:rPr>
          <w:bCs/>
          <w:b/>
        </w:rPr>
        <w:t xml:space="preserve">Outsourcing (paras 60–64):</w:t>
      </w:r>
    </w:p>
    <w:p>
      <w:pPr>
        <w:numPr>
          <w:ilvl w:val="1"/>
          <w:numId w:val="1705"/>
        </w:numPr>
        <w:pStyle w:val="Compact"/>
      </w:pPr>
      <w:r>
        <w:t xml:space="preserve">risk assessment;</w:t>
      </w:r>
    </w:p>
    <w:p>
      <w:pPr>
        <w:numPr>
          <w:ilvl w:val="1"/>
          <w:numId w:val="1705"/>
        </w:numPr>
        <w:pStyle w:val="Compact"/>
      </w:pPr>
      <w:r>
        <w:t xml:space="preserve">counsel-vetted contract with monitoring, data protection, access to records,</w:t>
      </w:r>
      <w:r>
        <w:t xml:space="preserve"> </w:t>
      </w:r>
      <w:r>
        <w:rPr>
          <w:bCs/>
          <w:b/>
        </w:rPr>
        <w:t xml:space="preserve">vendor retention of admin logs</w:t>
      </w:r>
      <w:r>
        <w:t xml:space="preserve">, audit rights, copies of audit reports and RBI access (para 62);</w:t>
      </w:r>
    </w:p>
    <w:p>
      <w:pPr>
        <w:numPr>
          <w:ilvl w:val="1"/>
          <w:numId w:val="1705"/>
        </w:numPr>
        <w:pStyle w:val="Compact"/>
      </w:pPr>
      <w:r>
        <w:t xml:space="preserve">vendor BCP assurance (para 64).</w:t>
      </w:r>
    </w:p>
    <w:p>
      <w:pPr>
        <w:numPr>
          <w:ilvl w:val="1"/>
          <w:numId w:val="1705"/>
        </w:numPr>
        <w:pStyle w:val="Compact"/>
      </w:pPr>
      <w:r>
        <w:t xml:space="preserve">For ML/UL tenants, the OUT Ch IV regime applies instead (Part 8A.29).</w:t>
      </w:r>
    </w:p>
    <w:p>
      <w:pPr>
        <w:pStyle w:val="FirstParagraph"/>
      </w:pPr>
      <w:r>
        <w:rPr>
          <w:bCs/>
          <w:b/>
        </w:rPr>
        <w:t xml:space="preserve">Chapter V (ML/UL/TL):</w:t>
      </w:r>
    </w:p>
    <w:p>
      <w:pPr>
        <w:numPr>
          <w:ilvl w:val="0"/>
          <w:numId w:val="1706"/>
        </w:numPr>
        <w:pStyle w:val="Compact"/>
      </w:pPr>
      <w:r>
        <w:rPr>
          <w:bCs/>
          <w:b/>
        </w:rPr>
        <w:t xml:space="preserve">ITSC:</w:t>
      </w:r>
      <w:r>
        <w:t xml:space="preserve"> </w:t>
      </w:r>
      <w:r>
        <w:t xml:space="preserve">≥ 3 directors, independent chair with ≥ 7 years’ IT experience, quarterly (paras 71–72); approves the need-based access standard (para 73(8)).</w:t>
      </w:r>
    </w:p>
    <w:p>
      <w:pPr>
        <w:numPr>
          <w:ilvl w:val="0"/>
          <w:numId w:val="1706"/>
        </w:numPr>
        <w:pStyle w:val="Compact"/>
      </w:pPr>
      <w:r>
        <w:t xml:space="preserve">IT Steering Committee quarterly (para 75).</w:t>
      </w:r>
    </w:p>
    <w:p>
      <w:pPr>
        <w:numPr>
          <w:ilvl w:val="0"/>
          <w:numId w:val="1706"/>
        </w:numPr>
        <w:pStyle w:val="Compact"/>
      </w:pPr>
      <w:r>
        <w:rPr>
          <w:bCs/>
          <w:b/>
        </w:rPr>
        <w:t xml:space="preserve">CISO</w:t>
      </w:r>
      <w:r>
        <w:t xml:space="preserve"> </w:t>
      </w:r>
      <w:r>
        <w:t xml:space="preserve">with no IT reporting line, manages the SOC, quarterly review (paras 81–82).</w:t>
      </w:r>
    </w:p>
    <w:p>
      <w:pPr>
        <w:numPr>
          <w:ilvl w:val="0"/>
          <w:numId w:val="1706"/>
        </w:numPr>
        <w:pStyle w:val="Compact"/>
      </w:pPr>
      <w:r>
        <w:t xml:space="preserve">CIA classification (para 91); EOS/AMC tracking and refresh plan (paras 92–93).</w:t>
      </w:r>
    </w:p>
    <w:p>
      <w:pPr>
        <w:numPr>
          <w:ilvl w:val="0"/>
          <w:numId w:val="1706"/>
        </w:numPr>
        <w:pStyle w:val="Compact"/>
      </w:pPr>
      <w:r>
        <w:rPr>
          <w:bCs/>
          <w:b/>
        </w:rPr>
        <w:t xml:space="preserve">Data migration</w:t>
      </w:r>
      <w:r>
        <w:t xml:space="preserve"> </w:t>
      </w:r>
      <w:r>
        <w:t xml:space="preserve">audit trails and sign-offs (para 99); enterprise data dictionary (para 100).</w:t>
      </w:r>
    </w:p>
    <w:p>
      <w:pPr>
        <w:numPr>
          <w:ilvl w:val="0"/>
          <w:numId w:val="1706"/>
        </w:numPr>
        <w:pStyle w:val="Compact"/>
      </w:pPr>
      <w:r>
        <w:rPr>
          <w:bCs/>
          <w:b/>
        </w:rPr>
        <w:t xml:space="preserve">DC and DR geographically separated</w:t>
      </w:r>
      <w:r>
        <w:t xml:space="preserve"> </w:t>
      </w:r>
      <w:r>
        <w:t xml:space="preserve">(para 102).</w:t>
      </w:r>
    </w:p>
    <w:p>
      <w:pPr>
        <w:numPr>
          <w:ilvl w:val="0"/>
          <w:numId w:val="1706"/>
        </w:numPr>
        <w:pStyle w:val="Compact"/>
      </w:pPr>
      <w:r>
        <w:rPr>
          <w:bCs/>
          <w:b/>
        </w:rPr>
        <w:t xml:space="preserve">Vendor obligations (paras 104–106):</w:t>
      </w:r>
    </w:p>
    <w:p>
      <w:pPr>
        <w:numPr>
          <w:ilvl w:val="1"/>
          <w:numId w:val="1707"/>
        </w:numPr>
        <w:pStyle w:val="Compact"/>
      </w:pPr>
      <w:r>
        <w:t xml:space="preserve">support by agreement (para 104);</w:t>
      </w:r>
    </w:p>
    <w:p>
      <w:pPr>
        <w:numPr>
          <w:ilvl w:val="1"/>
          <w:numId w:val="1707"/>
        </w:numPr>
        <w:pStyle w:val="Compact"/>
      </w:pPr>
      <w:r>
        <w:rPr>
          <w:bCs/>
          <w:b/>
        </w:rPr>
        <w:t xml:space="preserve">source code of critical applications, or escrow including all updates and fixes</w:t>
      </w:r>
      <w:r>
        <w:t xml:space="preserve"> </w:t>
      </w:r>
      <w:r>
        <w:t xml:space="preserve">(para 105);</w:t>
      </w:r>
    </w:p>
    <w:p>
      <w:pPr>
        <w:numPr>
          <w:ilvl w:val="1"/>
          <w:numId w:val="1707"/>
        </w:numPr>
        <w:pStyle w:val="Compact"/>
      </w:pPr>
      <w:r>
        <w:rPr>
          <w:bCs/>
          <w:b/>
        </w:rPr>
        <w:t xml:space="preserve">certificate that the software is free of known vulnerabilities, malware and covert channels, at onboarding and on each material change</w:t>
      </w:r>
      <w:r>
        <w:t xml:space="preserve"> </w:t>
      </w:r>
      <w:r>
        <w:t xml:space="preserve">(para 106).</w:t>
      </w:r>
    </w:p>
    <w:p>
      <w:pPr>
        <w:numPr>
          <w:ilvl w:val="0"/>
          <w:numId w:val="1706"/>
        </w:numPr>
        <w:pStyle w:val="Compact"/>
      </w:pPr>
      <w:r>
        <w:t xml:space="preserve">Annual capacity review (paras 107–108).</w:t>
      </w:r>
    </w:p>
    <w:p>
      <w:pPr>
        <w:numPr>
          <w:ilvl w:val="0"/>
          <w:numId w:val="1706"/>
        </w:numPr>
        <w:pStyle w:val="Compact"/>
      </w:pPr>
      <w:r>
        <w:rPr>
          <w:bCs/>
          <w:b/>
        </w:rPr>
        <w:t xml:space="preserve">Audit logging and logs (paras 109–114):</w:t>
      </w:r>
    </w:p>
    <w:p>
      <w:pPr>
        <w:numPr>
          <w:ilvl w:val="1"/>
          <w:numId w:val="1708"/>
        </w:numPr>
        <w:pStyle w:val="Compact"/>
      </w:pPr>
      <w:r>
        <w:t xml:space="preserve">audit logging in every application affecting critical data, with non-repudiation (paras 109–110);</w:t>
      </w:r>
    </w:p>
    <w:p>
      <w:pPr>
        <w:numPr>
          <w:ilvl w:val="1"/>
          <w:numId w:val="1708"/>
        </w:numPr>
        <w:pStyle w:val="Compact"/>
      </w:pPr>
      <w:r>
        <w:t xml:space="preserve">regular log monitoring (para 111);</w:t>
      </w:r>
    </w:p>
    <w:p>
      <w:pPr>
        <w:numPr>
          <w:ilvl w:val="1"/>
          <w:numId w:val="1708"/>
        </w:numPr>
        <w:pStyle w:val="Compact"/>
      </w:pPr>
      <w:r>
        <w:t xml:space="preserve">change and patch policy (para 112);</w:t>
      </w:r>
    </w:p>
    <w:p>
      <w:pPr>
        <w:numPr>
          <w:ilvl w:val="1"/>
          <w:numId w:val="1708"/>
        </w:numPr>
        <w:pStyle w:val="Compact"/>
      </w:pPr>
      <w:r>
        <w:t xml:space="preserve">need-based access (para 113);</w:t>
      </w:r>
    </w:p>
    <w:p>
      <w:pPr>
        <w:numPr>
          <w:ilvl w:val="1"/>
          <w:numId w:val="1708"/>
        </w:numPr>
        <w:pStyle w:val="Compact"/>
      </w:pPr>
      <w:r>
        <w:t xml:space="preserve">privileged activity logged and reviewed (para 114).</w:t>
      </w:r>
    </w:p>
    <w:p>
      <w:pPr>
        <w:numPr>
          <w:ilvl w:val="0"/>
          <w:numId w:val="1706"/>
        </w:numPr>
        <w:pStyle w:val="Compact"/>
      </w:pPr>
      <w:r>
        <w:rPr>
          <w:bCs/>
          <w:b/>
        </w:rPr>
        <w:t xml:space="preserve">MFA for privileged users of critical systems and for critical activities</w:t>
      </w:r>
      <w:r>
        <w:t xml:space="preserve">, risk-based (para 115); MFA for teleworking (para 116).</w:t>
      </w:r>
    </w:p>
    <w:p>
      <w:pPr>
        <w:numPr>
          <w:ilvl w:val="0"/>
          <w:numId w:val="1706"/>
        </w:numPr>
        <w:pStyle w:val="Compact"/>
      </w:pPr>
      <w:r>
        <w:t xml:space="preserve">Vendor risk assessment outside outsourcing (para 117); strong cryptography (para 118).</w:t>
      </w:r>
    </w:p>
    <w:p>
      <w:pPr>
        <w:numPr>
          <w:ilvl w:val="0"/>
          <w:numId w:val="1706"/>
        </w:numPr>
        <w:pStyle w:val="Compact"/>
      </w:pPr>
      <w:r>
        <w:rPr>
          <w:bCs/>
          <w:b/>
        </w:rPr>
        <w:t xml:space="preserve">No manual intervention in data transferred between critical applications</w:t>
      </w:r>
      <w:r>
        <w:t xml:space="preserve"> </w:t>
      </w:r>
      <w:r>
        <w:t xml:space="preserve">(para 119); STP with authentication and audit trail (para 120).</w:t>
      </w:r>
    </w:p>
    <w:p>
      <w:pPr>
        <w:numPr>
          <w:ilvl w:val="0"/>
          <w:numId w:val="1706"/>
        </w:numPr>
        <w:pStyle w:val="Compact"/>
      </w:pPr>
      <w:r>
        <w:rPr>
          <w:bCs/>
          <w:b/>
        </w:rPr>
        <w:t xml:space="preserve">VA/PT:</w:t>
      </w:r>
    </w:p>
    <w:p>
      <w:pPr>
        <w:numPr>
          <w:ilvl w:val="1"/>
          <w:numId w:val="1709"/>
        </w:numPr>
        <w:pStyle w:val="Compact"/>
      </w:pPr>
      <w:r>
        <w:t xml:space="preserve">VA at least every 6 months and PT every 12 months for critical and DMZ systems, plus pre- and post-implementation and after change, by independent experts (paras 121–122);</w:t>
      </w:r>
    </w:p>
    <w:p>
      <w:pPr>
        <w:numPr>
          <w:ilvl w:val="1"/>
          <w:numId w:val="1709"/>
        </w:numPr>
        <w:pStyle w:val="Compact"/>
      </w:pPr>
      <w:r>
        <w:t xml:space="preserve">post-implementation tests on production (para 124);</w:t>
      </w:r>
    </w:p>
    <w:p>
      <w:pPr>
        <w:numPr>
          <w:ilvl w:val="1"/>
          <w:numId w:val="1709"/>
        </w:numPr>
        <w:pStyle w:val="Compact"/>
      </w:pPr>
      <w:r>
        <w:t xml:space="preserve">time-bound fixes with no recurring CVEs (para 125);</w:t>
      </w:r>
    </w:p>
    <w:p>
      <w:pPr>
        <w:numPr>
          <w:ilvl w:val="1"/>
          <w:numId w:val="1709"/>
        </w:numPr>
        <w:pStyle w:val="Compact"/>
      </w:pPr>
      <w:r>
        <w:t xml:space="preserve">CVSS scoring, including cloud (para 126).</w:t>
      </w:r>
    </w:p>
    <w:p>
      <w:pPr>
        <w:numPr>
          <w:ilvl w:val="0"/>
          <w:numId w:val="1706"/>
        </w:numPr>
        <w:pStyle w:val="Compact"/>
      </w:pPr>
      <w:r>
        <w:rPr>
          <w:bCs/>
          <w:b/>
        </w:rPr>
        <w:t xml:space="preserve">BCP and DR:</w:t>
      </w:r>
    </w:p>
    <w:p>
      <w:pPr>
        <w:numPr>
          <w:ilvl w:val="1"/>
          <w:numId w:val="1710"/>
        </w:numPr>
        <w:pStyle w:val="Compact"/>
      </w:pPr>
      <w:r>
        <w:t xml:space="preserve">ISO 22301 (para 127);</w:t>
      </w:r>
    </w:p>
    <w:p>
      <w:pPr>
        <w:numPr>
          <w:ilvl w:val="1"/>
          <w:numId w:val="1710"/>
        </w:numPr>
        <w:pStyle w:val="Compact"/>
      </w:pPr>
      <w:r>
        <w:rPr>
          <w:bCs/>
          <w:b/>
        </w:rPr>
        <w:t xml:space="preserve">DR drills at least half-yearly</w:t>
      </w:r>
      <w:r>
        <w:t xml:space="preserve"> </w:t>
      </w:r>
      <w:r>
        <w:t xml:space="preserve">(para 129);</w:t>
      </w:r>
    </w:p>
    <w:p>
      <w:pPr>
        <w:numPr>
          <w:ilvl w:val="1"/>
          <w:numId w:val="1710"/>
        </w:numPr>
        <w:pStyle w:val="Compact"/>
      </w:pPr>
      <w:r>
        <w:t xml:space="preserve">re-test of failures (para 130);</w:t>
      </w:r>
    </w:p>
    <w:p>
      <w:pPr>
        <w:numPr>
          <w:ilvl w:val="1"/>
          <w:numId w:val="1710"/>
        </w:numPr>
        <w:pStyle w:val="Compact"/>
      </w:pPr>
      <w:r>
        <w:rPr>
          <w:bCs/>
          <w:b/>
        </w:rPr>
        <w:t xml:space="preserve">DR as primary for at least one full working day, BOD to EOD</w:t>
      </w:r>
      <w:r>
        <w:t xml:space="preserve"> </w:t>
      </w:r>
      <w:r>
        <w:t xml:space="preserve">(para 131);</w:t>
      </w:r>
    </w:p>
    <w:p>
      <w:pPr>
        <w:numPr>
          <w:ilvl w:val="1"/>
          <w:numId w:val="1710"/>
        </w:numPr>
        <w:pStyle w:val="Compact"/>
      </w:pPr>
      <w:r>
        <w:t xml:space="preserve">backup restore tests (para 133);</w:t>
      </w:r>
    </w:p>
    <w:p>
      <w:pPr>
        <w:numPr>
          <w:ilvl w:val="1"/>
          <w:numId w:val="1710"/>
        </w:numPr>
        <w:pStyle w:val="Compact"/>
      </w:pPr>
      <w:r>
        <w:rPr>
          <w:bCs/>
          <w:b/>
        </w:rPr>
        <w:t xml:space="preserve">minimal RTO approved by the ITSC and near-zero RPO for critical systems</w:t>
      </w:r>
      <w:r>
        <w:t xml:space="preserve"> </w:t>
      </w:r>
      <w:r>
        <w:t xml:space="preserve">(paras 134–135);</w:t>
      </w:r>
    </w:p>
    <w:p>
      <w:pPr>
        <w:numPr>
          <w:ilvl w:val="1"/>
          <w:numId w:val="1710"/>
        </w:numPr>
        <w:pStyle w:val="Compact"/>
      </w:pPr>
      <w:r>
        <w:t xml:space="preserve">reconciliation method where RPO ≠ 0 (para 136);</w:t>
      </w:r>
    </w:p>
    <w:p>
      <w:pPr>
        <w:numPr>
          <w:ilvl w:val="1"/>
          <w:numId w:val="1710"/>
        </w:numPr>
        <w:pStyle w:val="Compact"/>
      </w:pPr>
      <w:r>
        <w:t xml:space="preserve">identical DC/DR configuration (para 137);</w:t>
      </w:r>
    </w:p>
    <w:p>
      <w:pPr>
        <w:numPr>
          <w:ilvl w:val="1"/>
          <w:numId w:val="1710"/>
        </w:numPr>
        <w:pStyle w:val="Compact"/>
      </w:pPr>
      <w:r>
        <w:rPr>
          <w:bCs/>
          <w:b/>
        </w:rPr>
        <w:t xml:space="preserve">collaborative resilience testing with vendors against the NBFC’s RTO</w:t>
      </w:r>
      <w:r>
        <w:t xml:space="preserve"> </w:t>
      </w:r>
      <w:r>
        <w:t xml:space="preserve">(para 138).</w:t>
      </w:r>
    </w:p>
    <w:p>
      <w:pPr>
        <w:numPr>
          <w:ilvl w:val="0"/>
          <w:numId w:val="1706"/>
        </w:numPr>
        <w:pStyle w:val="Compact"/>
      </w:pPr>
      <w:r>
        <w:rPr>
          <w:bCs/>
          <w:b/>
        </w:rPr>
        <w:t xml:space="preserve">Incidents:</w:t>
      </w:r>
      <w:r>
        <w:t xml:space="preserve"> </w:t>
      </w:r>
      <w:r>
        <w:t xml:space="preserve">response policy (para 139); forensics and RCA (para 140);</w:t>
      </w:r>
      <w:r>
        <w:t xml:space="preserve"> </w:t>
      </w:r>
      <w:r>
        <w:rPr>
          <w:bCs/>
          <w:b/>
        </w:rPr>
        <w:t xml:space="preserve">DAKSH within 6 hours plus CERT-In (HFCs to NHB)</w:t>
      </w:r>
      <w:r>
        <w:t xml:space="preserve"> </w:t>
      </w:r>
      <w:r>
        <w:t xml:space="preserve">(para 141); vendor staff roles (para 142); communication (para 143); lessons learnt (para 145); drills with service providers (para 146); RTO/RPO metrics (para 147).</w:t>
      </w:r>
    </w:p>
    <w:p>
      <w:pPr>
        <w:numPr>
          <w:ilvl w:val="0"/>
          <w:numId w:val="1706"/>
        </w:numPr>
        <w:pStyle w:val="Compact"/>
      </w:pPr>
      <w:r>
        <w:rPr>
          <w:bCs/>
          <w:b/>
        </w:rPr>
        <w:t xml:space="preserve">IS audit:</w:t>
      </w:r>
      <w:r>
        <w:t xml:space="preserve"> </w:t>
      </w:r>
      <w:r>
        <w:t xml:space="preserve">policy (para 150); risk-based (para 153); continuous auditing (para 154).</w:t>
      </w:r>
    </w:p>
    <w:p>
      <w:pPr>
        <w:pStyle w:val="FirstParagraph"/>
      </w:pPr>
      <w:r>
        <w:rPr>
          <w:bCs/>
          <w:b/>
        </w:rPr>
        <w:t xml:space="preserve">Not prescribed in CYB:</w:t>
      </w:r>
      <w:r>
        <w:t xml:space="preserve"> </w:t>
      </w:r>
      <w:r>
        <w:t xml:space="preserve">numeric RTO, log-retention period, data localisation, MFA in Ch III/IV, or DAKSH reporting for Ch III. (OUT 74(vi) requires an India-storage clause</w:t>
      </w:r>
      <w:r>
        <w:t xml:space="preserve"> </w:t>
      </w:r>
      <w:r>
        <w:t xml:space="preserve">“</w:t>
      </w:r>
      <w:r>
        <w:t xml:space="preserve">as applicable</w:t>
      </w:r>
      <w:r>
        <w:t xml:space="preserve">”</w:t>
      </w:r>
      <w:r>
        <w:t xml:space="preserve">; OUT 97(viii)(d) requires MFA for cloud applications of ML+ tenants; OUT 61 sets a 6-hour clock from detection by the service provider.) Finbyx’s controls exceed these minimums by design.</w:t>
      </w:r>
    </w:p>
    <w:p>
      <w:r>
        <w:pict>
          <v:rect style="width:0;height:1.5pt" o:hralign="center" o:hrstd="t" o:hr="t"/>
        </w:pict>
      </w:r>
    </w:p>
    <w:bookmarkEnd w:id="792"/>
    <w:bookmarkStart w:id="793" w:name="X66c796e25a24daaf27b5d87feab1fe806dd9fa4"/>
    <w:p>
      <w:pPr>
        <w:pStyle w:val="Heading2"/>
      </w:pPr>
      <w:r>
        <w:t xml:space="preserve">8A.13 DPS — Digital Payment Security Controls Directions (462)</w:t>
      </w:r>
    </w:p>
    <w:p>
      <w:pPr>
        <w:pStyle w:val="FirstParagraph"/>
      </w:pPr>
      <w:r>
        <w:rPr>
          <w:bCs/>
          <w:b/>
        </w:rPr>
        <w:t xml:space="preserve">Applicability:</w:t>
      </w:r>
      <w:r>
        <w:t xml:space="preserve"> </w:t>
      </w:r>
      <w:r>
        <w:t xml:space="preserve">only credit-card-issuing NBFCs. Scope covers every digital payment product and its non-financial functions (para 4(1)). For all other tenants, Finbyx adopts these controls as its voluntary baseline for M7, M22 and M23. Whether a loan-repayment app of a card-issuing tenant is in scope is a tenant-specific interpretation [VERIFY].</w:t>
      </w:r>
    </w:p>
    <w:p>
      <w:pPr>
        <w:pStyle w:val="BodyText"/>
      </w:pPr>
      <w:r>
        <w:rPr>
          <w:bCs/>
          <w:b/>
        </w:rPr>
        <w:t xml:space="preserve">Governance (paras 8–20):</w:t>
      </w:r>
    </w:p>
    <w:p>
      <w:pPr>
        <w:numPr>
          <w:ilvl w:val="0"/>
          <w:numId w:val="1711"/>
        </w:numPr>
        <w:pStyle w:val="Compact"/>
      </w:pPr>
      <w:r>
        <w:t xml:space="preserve">Board policy on functionality, security and performance; multi-stage UAT (paras 8–10).</w:t>
      </w:r>
    </w:p>
    <w:p>
      <w:pPr>
        <w:numPr>
          <w:ilvl w:val="0"/>
          <w:numId w:val="1711"/>
        </w:numPr>
        <w:pStyle w:val="Compact"/>
      </w:pPr>
      <w:r>
        <w:t xml:space="preserve">External assessment (para 11); product-level risk limits (para 13); RCSA and vendor RCSA (para 16); capacity planning (para 19).</w:t>
      </w:r>
    </w:p>
    <w:p>
      <w:pPr>
        <w:numPr>
          <w:ilvl w:val="0"/>
          <w:numId w:val="1711"/>
        </w:numPr>
        <w:pStyle w:val="Compact"/>
      </w:pPr>
      <w:r>
        <w:rPr>
          <w:bCs/>
          <w:b/>
        </w:rPr>
        <w:t xml:space="preserve">Half-yearly recovery test of backups and applications, without loss of transactions or audit trails</w:t>
      </w:r>
      <w:r>
        <w:t xml:space="preserve"> </w:t>
      </w:r>
      <w:r>
        <w:t xml:space="preserve">(para 20).</w:t>
      </w:r>
    </w:p>
    <w:p>
      <w:pPr>
        <w:pStyle w:val="FirstParagraph"/>
      </w:pPr>
      <w:r>
        <w:rPr>
          <w:bCs/>
          <w:b/>
        </w:rPr>
        <w:t xml:space="preserve">Generic (paras 21–26):</w:t>
      </w:r>
    </w:p>
    <w:p>
      <w:pPr>
        <w:numPr>
          <w:ilvl w:val="0"/>
          <w:numId w:val="1712"/>
        </w:numPr>
        <w:pStyle w:val="Compact"/>
      </w:pPr>
      <w:r>
        <w:t xml:space="preserve">secure protocols;</w:t>
      </w:r>
    </w:p>
    <w:p>
      <w:pPr>
        <w:numPr>
          <w:ilvl w:val="0"/>
          <w:numId w:val="1712"/>
        </w:numPr>
        <w:pStyle w:val="Compact"/>
      </w:pPr>
      <w:r>
        <w:t xml:space="preserve">no sensitive data in HTML hidden fields, cookies or client storage;</w:t>
      </w:r>
    </w:p>
    <w:p>
      <w:pPr>
        <w:numPr>
          <w:ilvl w:val="0"/>
          <w:numId w:val="1712"/>
        </w:numPr>
        <w:pStyle w:val="Compact"/>
      </w:pPr>
      <w:r>
        <w:rPr>
          <w:bCs/>
          <w:b/>
        </w:rPr>
        <w:t xml:space="preserve">WAF and DDoS mitigation</w:t>
      </w:r>
      <w:r>
        <w:t xml:space="preserve">;</w:t>
      </w:r>
    </w:p>
    <w:p>
      <w:pPr>
        <w:numPr>
          <w:ilvl w:val="0"/>
          <w:numId w:val="1712"/>
        </w:numPr>
        <w:pStyle w:val="Compact"/>
      </w:pPr>
      <w:r>
        <w:t xml:space="preserve">strong cryptography and certificate renewal;</w:t>
      </w:r>
    </w:p>
    <w:p>
      <w:pPr>
        <w:numPr>
          <w:ilvl w:val="0"/>
          <w:numId w:val="1712"/>
        </w:numPr>
        <w:pStyle w:val="Compact"/>
      </w:pPr>
      <w:r>
        <w:t xml:space="preserve">activity logging.</w:t>
      </w:r>
    </w:p>
    <w:p>
      <w:pPr>
        <w:pStyle w:val="FirstParagraph"/>
      </w:pPr>
      <w:r>
        <w:rPr>
          <w:bCs/>
          <w:b/>
        </w:rPr>
        <w:t xml:space="preserve">AppSec (paras 27–40):</w:t>
      </w:r>
    </w:p>
    <w:p>
      <w:pPr>
        <w:numPr>
          <w:ilvl w:val="0"/>
          <w:numId w:val="1713"/>
        </w:numPr>
        <w:pStyle w:val="Compact"/>
      </w:pPr>
      <w:r>
        <w:t xml:space="preserve">multi-tier, secure by design, threat modelling;</w:t>
      </w:r>
    </w:p>
    <w:p>
      <w:pPr>
        <w:numPr>
          <w:ilvl w:val="0"/>
          <w:numId w:val="1713"/>
        </w:numPr>
        <w:pStyle w:val="Compact"/>
      </w:pPr>
      <w:r>
        <w:rPr>
          <w:bCs/>
          <w:b/>
        </w:rPr>
        <w:t xml:space="preserve">escrow for third-party payment applications</w:t>
      </w:r>
      <w:r>
        <w:t xml:space="preserve"> </w:t>
      </w:r>
      <w:r>
        <w:t xml:space="preserve">(para 31);</w:t>
      </w:r>
    </w:p>
    <w:p>
      <w:pPr>
        <w:numPr>
          <w:ilvl w:val="0"/>
          <w:numId w:val="1713"/>
        </w:numPr>
        <w:pStyle w:val="Compact"/>
      </w:pPr>
      <w:r>
        <w:rPr>
          <w:bCs/>
          <w:b/>
        </w:rPr>
        <w:t xml:space="preserve">source review plus VA/PT covering OWASP; developer certificate; VA half-yearly, PT annually; penal clauses in vendor contracts</w:t>
      </w:r>
      <w:r>
        <w:t xml:space="preserve"> </w:t>
      </w:r>
      <w:r>
        <w:t xml:space="preserve">(para 32);</w:t>
      </w:r>
    </w:p>
    <w:p>
      <w:pPr>
        <w:numPr>
          <w:ilvl w:val="0"/>
          <w:numId w:val="1713"/>
        </w:numPr>
        <w:pStyle w:val="Compact"/>
      </w:pPr>
      <w:r>
        <w:t xml:space="preserve">continuous and</w:t>
      </w:r>
      <w:r>
        <w:t xml:space="preserve"> </w:t>
      </w:r>
      <w:r>
        <w:rPr>
          <w:bCs/>
          <w:b/>
        </w:rPr>
        <w:t xml:space="preserve">authenticated</w:t>
      </w:r>
      <w:r>
        <w:t xml:space="preserve"> </w:t>
      </w:r>
      <w:r>
        <w:t xml:space="preserve">scanning (paras 33–35);</w:t>
      </w:r>
    </w:p>
    <w:p>
      <w:pPr>
        <w:numPr>
          <w:ilvl w:val="0"/>
          <w:numId w:val="1713"/>
        </w:numPr>
        <w:pStyle w:val="Compact"/>
      </w:pPr>
      <w:r>
        <w:t xml:space="preserve">rogue-app monitoring (para 37);</w:t>
      </w:r>
    </w:p>
    <w:p>
      <w:pPr>
        <w:numPr>
          <w:ilvl w:val="0"/>
          <w:numId w:val="1713"/>
        </w:numPr>
        <w:pStyle w:val="Compact"/>
      </w:pPr>
      <w:r>
        <w:t xml:space="preserve">server-side authentication (para 38);</w:t>
      </w:r>
    </w:p>
    <w:p>
      <w:pPr>
        <w:numPr>
          <w:ilvl w:val="0"/>
          <w:numId w:val="1713"/>
        </w:numPr>
        <w:pStyle w:val="Compact"/>
      </w:pPr>
      <w:r>
        <w:t xml:space="preserve">APIs per OWASP (para 39);</w:t>
      </w:r>
    </w:p>
    <w:p>
      <w:pPr>
        <w:numPr>
          <w:ilvl w:val="0"/>
          <w:numId w:val="1713"/>
        </w:numPr>
        <w:pStyle w:val="Compact"/>
      </w:pPr>
      <w:r>
        <w:rPr>
          <w:bCs/>
          <w:b/>
        </w:rPr>
        <w:t xml:space="preserve">masked account and card numbers in SMS/email</w:t>
      </w:r>
      <w:r>
        <w:t xml:space="preserve"> </w:t>
      </w:r>
      <w:r>
        <w:t xml:space="preserve">(para 40).</w:t>
      </w:r>
    </w:p>
    <w:p>
      <w:pPr>
        <w:pStyle w:val="FirstParagraph"/>
      </w:pPr>
      <w:r>
        <w:rPr>
          <w:bCs/>
          <w:b/>
        </w:rPr>
        <w:t xml:space="preserve">Authentication (paras 41–51):</w:t>
      </w:r>
    </w:p>
    <w:p>
      <w:pPr>
        <w:numPr>
          <w:ilvl w:val="0"/>
          <w:numId w:val="1714"/>
        </w:numPr>
        <w:pStyle w:val="Compact"/>
      </w:pPr>
      <w:r>
        <w:rPr>
          <w:bCs/>
          <w:b/>
        </w:rPr>
        <w:t xml:space="preserve">MFA with at least one dynamic or non-replicable factor for payments</w:t>
      </w:r>
      <w:r>
        <w:t xml:space="preserve"> </w:t>
      </w:r>
      <w:r>
        <w:t xml:space="preserve">(para 41); adaptive authentication (para 43).</w:t>
      </w:r>
    </w:p>
    <w:p>
      <w:pPr>
        <w:numPr>
          <w:ilvl w:val="0"/>
          <w:numId w:val="1714"/>
        </w:numPr>
        <w:pStyle w:val="Compact"/>
      </w:pPr>
      <w:r>
        <w:rPr>
          <w:bCs/>
          <w:b/>
        </w:rPr>
        <w:t xml:space="preserve">Alerts and MFA for all debits and credits, account-detail changes and limit changes</w:t>
      </w:r>
      <w:r>
        <w:t xml:space="preserve"> </w:t>
      </w:r>
      <w:r>
        <w:t xml:space="preserve">(para 46); merchant name in alerts (para 47).</w:t>
      </w:r>
    </w:p>
    <w:p>
      <w:pPr>
        <w:numPr>
          <w:ilvl w:val="0"/>
          <w:numId w:val="1714"/>
        </w:numPr>
        <w:pStyle w:val="Compact"/>
      </w:pPr>
      <w:r>
        <w:t xml:space="preserve">MITM/MITB protection (para 48); session termination with transaction resolution (para 49).</w:t>
      </w:r>
    </w:p>
    <w:p>
      <w:pPr>
        <w:numPr>
          <w:ilvl w:val="0"/>
          <w:numId w:val="1714"/>
        </w:numPr>
        <w:pStyle w:val="Compact"/>
      </w:pPr>
      <w:r>
        <w:rPr>
          <w:bCs/>
          <w:b/>
        </w:rPr>
        <w:t xml:space="preserve">Lockout after failed attempts, with secure reactivation and alerts</w:t>
      </w:r>
      <w:r>
        <w:t xml:space="preserve"> </w:t>
      </w:r>
      <w:r>
        <w:t xml:space="preserve">(paras 50–51).</w:t>
      </w:r>
    </w:p>
    <w:p>
      <w:pPr>
        <w:pStyle w:val="FirstParagraph"/>
      </w:pPr>
      <w:r>
        <w:rPr>
          <w:bCs/>
          <w:b/>
        </w:rPr>
        <w:t xml:space="preserve">Fraud and reconciliation:</w:t>
      </w:r>
    </w:p>
    <w:p>
      <w:pPr>
        <w:numPr>
          <w:ilvl w:val="0"/>
          <w:numId w:val="1715"/>
        </w:numPr>
        <w:pStyle w:val="Compact"/>
      </w:pPr>
      <w:r>
        <w:t xml:space="preserve">Fraud rules for velocity, new accounts, geo/IP, mule VPAs and declined transactions (paras 52–56).</w:t>
      </w:r>
    </w:p>
    <w:p>
      <w:pPr>
        <w:numPr>
          <w:ilvl w:val="0"/>
          <w:numId w:val="1715"/>
        </w:numPr>
        <w:pStyle w:val="Compact"/>
      </w:pPr>
      <w:r>
        <w:rPr>
          <w:bCs/>
          <w:b/>
        </w:rPr>
        <w:t xml:space="preserve">Reconciliation with all PSOs, gateways and aggregators within 24 hours of receiving the settlement file</w:t>
      </w:r>
      <w:r>
        <w:t xml:space="preserve"> </w:t>
      </w:r>
      <w:r>
        <w:t xml:space="preserve">(para 57).</w:t>
      </w:r>
    </w:p>
    <w:p>
      <w:pPr>
        <w:pStyle w:val="FirstParagraph"/>
      </w:pPr>
      <w:r>
        <w:rPr>
          <w:bCs/>
          <w:b/>
        </w:rPr>
        <w:t xml:space="preserve">Customer protection (paras 58–66):</w:t>
      </w:r>
    </w:p>
    <w:p>
      <w:pPr>
        <w:numPr>
          <w:ilvl w:val="0"/>
          <w:numId w:val="1716"/>
        </w:numPr>
        <w:pStyle w:val="Compact"/>
      </w:pPr>
      <w:r>
        <w:rPr>
          <w:bCs/>
          <w:b/>
        </w:rPr>
        <w:t xml:space="preserve">non-skippable secure-usage guidance in the preferred language, recorded</w:t>
      </w:r>
      <w:r>
        <w:t xml:space="preserve"> </w:t>
      </w:r>
      <w:r>
        <w:t xml:space="preserve">(para 58);</w:t>
      </w:r>
    </w:p>
    <w:p>
      <w:pPr>
        <w:numPr>
          <w:ilvl w:val="0"/>
          <w:numId w:val="1716"/>
        </w:numPr>
        <w:pStyle w:val="Compact"/>
      </w:pPr>
      <w:r>
        <w:t xml:space="preserve">in-app grievance and ODR (paras 59–60);</w:t>
      </w:r>
    </w:p>
    <w:p>
      <w:pPr>
        <w:numPr>
          <w:ilvl w:val="0"/>
          <w:numId w:val="1716"/>
        </w:numPr>
        <w:pStyle w:val="Compact"/>
      </w:pPr>
      <w:r>
        <w:t xml:space="preserve">terms inside the product, no bundling, opt-in (paras 62, 65);</w:t>
      </w:r>
    </w:p>
    <w:p>
      <w:pPr>
        <w:numPr>
          <w:ilvl w:val="0"/>
          <w:numId w:val="1716"/>
        </w:numPr>
        <w:pStyle w:val="Compact"/>
      </w:pPr>
      <w:r>
        <w:rPr>
          <w:bCs/>
          <w:b/>
        </w:rPr>
        <w:t xml:space="preserve">in-app</w:t>
      </w:r>
      <w:r>
        <w:rPr>
          <w:bCs/>
          <w:b/>
        </w:rPr>
        <w:t xml:space="preserve"> </w:t>
      </w:r>
      <w:r>
        <w:rPr>
          <w:bCs/>
          <w:b/>
        </w:rPr>
        <w:t xml:space="preserve">“</w:t>
      </w:r>
      <w:r>
        <w:rPr>
          <w:bCs/>
          <w:b/>
        </w:rPr>
        <w:t xml:space="preserve">mark as fraudulent</w:t>
      </w:r>
      <w:r>
        <w:rPr>
          <w:bCs/>
          <w:b/>
        </w:rPr>
        <w:t xml:space="preserve">”</w:t>
      </w:r>
      <w:r>
        <w:t xml:space="preserve"> </w:t>
      </w:r>
      <w:r>
        <w:t xml:space="preserve">(para 66).</w:t>
      </w:r>
    </w:p>
    <w:p>
      <w:pPr>
        <w:pStyle w:val="FirstParagraph"/>
      </w:pPr>
      <w:r>
        <w:rPr>
          <w:bCs/>
          <w:b/>
        </w:rPr>
        <w:t xml:space="preserve">Web (para 67):</w:t>
      </w:r>
    </w:p>
    <w:p>
      <w:pPr>
        <w:numPr>
          <w:ilvl w:val="0"/>
          <w:numId w:val="1717"/>
        </w:numPr>
        <w:pStyle w:val="Compact"/>
      </w:pPr>
      <w:r>
        <w:t xml:space="preserve">CAPTCHA or adaptive authentication;</w:t>
      </w:r>
    </w:p>
    <w:p>
      <w:pPr>
        <w:numPr>
          <w:ilvl w:val="0"/>
          <w:numId w:val="1717"/>
        </w:numPr>
        <w:pStyle w:val="Compact"/>
      </w:pPr>
      <w:r>
        <w:t xml:space="preserve">secure cookies;</w:t>
      </w:r>
    </w:p>
    <w:p>
      <w:pPr>
        <w:numPr>
          <w:ilvl w:val="0"/>
          <w:numId w:val="1717"/>
        </w:numPr>
        <w:pStyle w:val="Compact"/>
      </w:pPr>
      <w:r>
        <w:t xml:space="preserve">virtual keyboard;</w:t>
      </w:r>
    </w:p>
    <w:p>
      <w:pPr>
        <w:numPr>
          <w:ilvl w:val="0"/>
          <w:numId w:val="1717"/>
        </w:numPr>
        <w:pStyle w:val="Compact"/>
      </w:pPr>
      <w:r>
        <w:t xml:space="preserve">inactivity timeout;</w:t>
      </w:r>
    </w:p>
    <w:p>
      <w:pPr>
        <w:numPr>
          <w:ilvl w:val="0"/>
          <w:numId w:val="1717"/>
        </w:numPr>
        <w:pStyle w:val="Compact"/>
      </w:pPr>
      <w:r>
        <w:t xml:space="preserve">forced change of system-issued passwords.</w:t>
      </w:r>
    </w:p>
    <w:p>
      <w:pPr>
        <w:pStyle w:val="FirstParagraph"/>
      </w:pPr>
      <w:r>
        <w:rPr>
          <w:bCs/>
          <w:b/>
        </w:rPr>
        <w:t xml:space="preserve">Mobile (para 68):</w:t>
      </w:r>
    </w:p>
    <w:p>
      <w:pPr>
        <w:numPr>
          <w:ilvl w:val="0"/>
          <w:numId w:val="1718"/>
        </w:numPr>
        <w:pStyle w:val="Compact"/>
      </w:pPr>
      <w:r>
        <w:t xml:space="preserve">server-side app-version check;</w:t>
      </w:r>
    </w:p>
    <w:p>
      <w:pPr>
        <w:numPr>
          <w:ilvl w:val="0"/>
          <w:numId w:val="1718"/>
        </w:numPr>
        <w:pStyle w:val="Compact"/>
      </w:pPr>
      <w:r>
        <w:rPr>
          <w:bCs/>
          <w:b/>
        </w:rPr>
        <w:t xml:space="preserve">one live version, with older versions disabled within 6 months</w:t>
      </w:r>
      <w:r>
        <w:t xml:space="preserve">;</w:t>
      </w:r>
    </w:p>
    <w:p>
      <w:pPr>
        <w:numPr>
          <w:ilvl w:val="0"/>
          <w:numId w:val="1718"/>
        </w:numPr>
        <w:pStyle w:val="Compact"/>
      </w:pPr>
      <w:r>
        <w:t xml:space="preserve">root/jailbreak and remote-access-app detection;</w:t>
      </w:r>
    </w:p>
    <w:p>
      <w:pPr>
        <w:numPr>
          <w:ilvl w:val="0"/>
          <w:numId w:val="1718"/>
        </w:numPr>
        <w:pStyle w:val="Compact"/>
      </w:pPr>
      <w:r>
        <w:t xml:space="preserve">published checksum or authorised store link;</w:t>
      </w:r>
    </w:p>
    <w:p>
      <w:pPr>
        <w:numPr>
          <w:ilvl w:val="0"/>
          <w:numId w:val="1718"/>
        </w:numPr>
        <w:pStyle w:val="Compact"/>
      </w:pPr>
      <w:r>
        <w:rPr>
          <w:bCs/>
          <w:b/>
        </w:rPr>
        <w:t xml:space="preserve">device binding by hardware + software + SIM/service, with a device register and new-device alerts</w:t>
      </w:r>
      <w:r>
        <w:t xml:space="preserve">;</w:t>
      </w:r>
    </w:p>
    <w:p>
      <w:pPr>
        <w:numPr>
          <w:ilvl w:val="0"/>
          <w:numId w:val="1718"/>
        </w:numPr>
        <w:pStyle w:val="Compact"/>
      </w:pPr>
      <w:r>
        <w:t xml:space="preserve">re-authentication at launch and after idle;</w:t>
      </w:r>
    </w:p>
    <w:p>
      <w:pPr>
        <w:numPr>
          <w:ilvl w:val="0"/>
          <w:numId w:val="1718"/>
        </w:numPr>
        <w:pStyle w:val="Compact"/>
      </w:pPr>
      <w:r>
        <w:t xml:space="preserve">unsecured-network detection;</w:t>
      </w:r>
    </w:p>
    <w:p>
      <w:pPr>
        <w:numPr>
          <w:ilvl w:val="0"/>
          <w:numId w:val="1718"/>
        </w:numPr>
        <w:pStyle w:val="Compact"/>
      </w:pPr>
      <w:r>
        <w:t xml:space="preserve">no credentials or keys on the device;</w:t>
      </w:r>
    </w:p>
    <w:p>
      <w:pPr>
        <w:numPr>
          <w:ilvl w:val="0"/>
          <w:numId w:val="1718"/>
        </w:numPr>
        <w:pStyle w:val="Compact"/>
      </w:pPr>
      <w:r>
        <w:t xml:space="preserve">encrypted local database;</w:t>
      </w:r>
    </w:p>
    <w:p>
      <w:pPr>
        <w:numPr>
          <w:ilvl w:val="0"/>
          <w:numId w:val="1718"/>
        </w:numPr>
        <w:pStyle w:val="Compact"/>
      </w:pPr>
      <w:r>
        <w:t xml:space="preserve">certificate validation;</w:t>
      </w:r>
    </w:p>
    <w:p>
      <w:pPr>
        <w:numPr>
          <w:ilvl w:val="0"/>
          <w:numId w:val="1718"/>
        </w:numPr>
        <w:pStyle w:val="Compact"/>
      </w:pPr>
      <w:r>
        <w:t xml:space="preserve">obfuscation.</w:t>
      </w:r>
    </w:p>
    <w:p>
      <w:pPr>
        <w:pStyle w:val="FirstParagraph"/>
      </w:pPr>
      <w:r>
        <w:rPr>
          <w:bCs/>
          <w:b/>
        </w:rPr>
        <w:t xml:space="preserve">Card (para 69):</w:t>
      </w:r>
    </w:p>
    <w:p>
      <w:pPr>
        <w:numPr>
          <w:ilvl w:val="0"/>
          <w:numId w:val="1719"/>
        </w:numPr>
        <w:pStyle w:val="Compact"/>
      </w:pPr>
      <w:r>
        <w:t xml:space="preserve">PCI-PIN/PTS/HSM/P2PE;</w:t>
      </w:r>
    </w:p>
    <w:p>
      <w:pPr>
        <w:numPr>
          <w:ilvl w:val="0"/>
          <w:numId w:val="1719"/>
        </w:numPr>
        <w:pStyle w:val="Compact"/>
      </w:pPr>
      <w:r>
        <w:t xml:space="preserve">card limits at card, BIN and NBFC level;</w:t>
      </w:r>
    </w:p>
    <w:p>
      <w:pPr>
        <w:numPr>
          <w:ilvl w:val="0"/>
          <w:numId w:val="1719"/>
        </w:numPr>
        <w:pStyle w:val="Compact"/>
      </w:pPr>
      <w:r>
        <w:rPr>
          <w:bCs/>
          <w:b/>
        </w:rPr>
        <w:t xml:space="preserve">no plain-text card data at the NBFC or its vendors</w:t>
      </w:r>
      <w:r>
        <w:t xml:space="preserve">.</w:t>
      </w:r>
    </w:p>
    <w:p>
      <w:r>
        <w:pict>
          <v:rect style="width:0;height:1.5pt" o:hralign="center" o:hrstd="t" o:hr="t"/>
        </w:pict>
      </w:r>
    </w:p>
    <w:bookmarkEnd w:id="793"/>
    <w:bookmarkStart w:id="794" w:name="X2eb51d219b74be11eadcf931af4d8b8b2896fc0"/>
    <w:p>
      <w:pPr>
        <w:pStyle w:val="Heading2"/>
      </w:pPr>
      <w:r>
        <w:t xml:space="preserve">8A.14 FRM — Fraud Risk Management Directions (463)</w:t>
      </w:r>
    </w:p>
    <w:p>
      <w:pPr>
        <w:pStyle w:val="FirstParagraph"/>
      </w:pPr>
      <w:r>
        <w:rPr>
          <w:bCs/>
          <w:b/>
        </w:rPr>
        <w:t xml:space="preserve">Applicability (para 3).</w:t>
      </w:r>
      <w:r>
        <w:t xml:space="preserve"> </w:t>
      </w:r>
      <w:r>
        <w:t xml:space="preserve">Assessed on the audited balance sheet as on 31 March of the preceding year.</w:t>
      </w:r>
    </w:p>
    <w:p>
      <w:pPr>
        <w:numPr>
          <w:ilvl w:val="0"/>
          <w:numId w:val="1720"/>
        </w:numPr>
        <w:pStyle w:val="Compact"/>
      </w:pPr>
      <w:r>
        <w:t xml:space="preserve">HFC reporting under Chapters VI and VIII goes to NHB.</w:t>
      </w:r>
    </w:p>
    <w:p>
      <w:pPr>
        <w:numPr>
          <w:ilvl w:val="0"/>
          <w:numId w:val="1720"/>
        </w:numPr>
        <w:pStyle w:val="Compact"/>
      </w:pPr>
      <w:r>
        <w:t xml:space="preserve">The text has</w:t>
      </w:r>
      <w:r>
        <w:t xml:space="preserve"> </w:t>
      </w:r>
      <w:r>
        <w:rPr>
          <w:bCs/>
          <w:b/>
        </w:rPr>
        <w:t xml:space="preserve">no RFA category, no red-flag annex, no CIC reporting of fraud, and no provisioning rates</w:t>
      </w:r>
      <w:r>
        <w:t xml:space="preserve">.</w:t>
      </w:r>
    </w:p>
    <w:p>
      <w:pPr>
        <w:pStyle w:val="FirstParagraph"/>
      </w:pPr>
      <w:r>
        <w:rPr>
          <w:bCs/>
          <w:b/>
        </w:rPr>
        <w:t xml:space="preserve">Dates (para 4).</w:t>
      </w:r>
      <w:r>
        <w:t xml:space="preserve"> </w:t>
      </w:r>
      <w:r>
        <w:t xml:space="preserve">Capture all three:</w:t>
      </w:r>
    </w:p>
    <w:p>
      <w:pPr>
        <w:numPr>
          <w:ilvl w:val="0"/>
          <w:numId w:val="1721"/>
        </w:numPr>
        <w:pStyle w:val="Compact"/>
      </w:pPr>
      <w:r>
        <w:rPr>
          <w:bCs/>
          <w:b/>
        </w:rPr>
        <w:t xml:space="preserve">Date of Occurrence</w:t>
      </w:r>
      <w:r>
        <w:t xml:space="preserve">;</w:t>
      </w:r>
    </w:p>
    <w:p>
      <w:pPr>
        <w:numPr>
          <w:ilvl w:val="0"/>
          <w:numId w:val="1721"/>
        </w:numPr>
        <w:pStyle w:val="Compact"/>
      </w:pPr>
      <w:r>
        <w:rPr>
          <w:bCs/>
          <w:b/>
        </w:rPr>
        <w:t xml:space="preserve">Date of Detection</w:t>
      </w:r>
      <w:r>
        <w:t xml:space="preserve">;</w:t>
      </w:r>
    </w:p>
    <w:p>
      <w:pPr>
        <w:numPr>
          <w:ilvl w:val="0"/>
          <w:numId w:val="1721"/>
        </w:numPr>
        <w:pStyle w:val="Compact"/>
      </w:pPr>
      <w:r>
        <w:rPr>
          <w:bCs/>
          <w:b/>
        </w:rPr>
        <w:t xml:space="preserve">Date of Classification</w:t>
      </w:r>
      <w:r>
        <w:t xml:space="preserve">: the date the reasoned order is passed with competent-authority approval.</w:t>
      </w:r>
    </w:p>
    <w:p>
      <w:pPr>
        <w:pStyle w:val="FirstParagraph"/>
      </w:pPr>
      <w:r>
        <w:rPr>
          <w:bCs/>
          <w:b/>
        </w:rPr>
        <w:t xml:space="preserve">Policy and natural justice (paras 5–7):</w:t>
      </w:r>
    </w:p>
    <w:p>
      <w:pPr>
        <w:numPr>
          <w:ilvl w:val="0"/>
          <w:numId w:val="1722"/>
        </w:numPr>
        <w:pStyle w:val="Compact"/>
      </w:pPr>
      <w:r>
        <w:t xml:space="preserve">Policy reviewed at least once in three years.</w:t>
      </w:r>
    </w:p>
    <w:p>
      <w:pPr>
        <w:numPr>
          <w:ilvl w:val="0"/>
          <w:numId w:val="1722"/>
        </w:numPr>
        <w:pStyle w:val="Compact"/>
      </w:pPr>
      <w:r>
        <w:t xml:space="preserve">Detailed show-cause notice with transaction particulars, served on persons and entities, including third-party professionals (valuers, CAs, advocates, architects), promoters and whole-time/executive directors.</w:t>
      </w:r>
    </w:p>
    <w:p>
      <w:pPr>
        <w:numPr>
          <w:ilvl w:val="0"/>
          <w:numId w:val="1722"/>
        </w:numPr>
        <w:pStyle w:val="Compact"/>
      </w:pPr>
      <w:r>
        <w:rPr>
          <w:bCs/>
          <w:b/>
        </w:rPr>
        <w:t xml:space="preserve">Not less than 21 days to respond.</w:t>
      </w:r>
    </w:p>
    <w:p>
      <w:pPr>
        <w:numPr>
          <w:ilvl w:val="0"/>
          <w:numId w:val="1722"/>
        </w:numPr>
        <w:pStyle w:val="Compact"/>
      </w:pPr>
      <w:r>
        <w:t xml:space="preserve">A</w:t>
      </w:r>
      <w:r>
        <w:t xml:space="preserve"> </w:t>
      </w:r>
      <w:r>
        <w:rPr>
          <w:bCs/>
          <w:b/>
        </w:rPr>
        <w:t xml:space="preserve">reasoned order</w:t>
      </w:r>
      <w:r>
        <w:t xml:space="preserve"> </w:t>
      </w:r>
      <w:r>
        <w:t xml:space="preserve">stating the facts relied on, the submissions and the reasons.</w:t>
      </w:r>
    </w:p>
    <w:p>
      <w:pPr>
        <w:numPr>
          <w:ilvl w:val="0"/>
          <w:numId w:val="1722"/>
        </w:numPr>
        <w:pStyle w:val="Compact"/>
      </w:pPr>
      <w:r>
        <w:t xml:space="preserve">No statutory deadline for classification; it is time-bound per policy.</w:t>
      </w:r>
    </w:p>
    <w:p>
      <w:pPr>
        <w:pStyle w:val="FirstParagraph"/>
      </w:pPr>
      <w:r>
        <w:rPr>
          <w:bCs/>
          <w:b/>
        </w:rPr>
        <w:t xml:space="preserve">Governance (paras 8–12):</w:t>
      </w:r>
    </w:p>
    <w:p>
      <w:pPr>
        <w:numPr>
          <w:ilvl w:val="0"/>
          <w:numId w:val="1723"/>
        </w:numPr>
        <w:pStyle w:val="Compact"/>
      </w:pPr>
      <w:r>
        <w:rPr>
          <w:bCs/>
          <w:b/>
        </w:rPr>
        <w:t xml:space="preserve">SCBMF:</w:t>
      </w:r>
      <w:r>
        <w:t xml:space="preserve"> </w:t>
      </w:r>
      <w:r>
        <w:t xml:space="preserve">≥ 3 Board members incl. CEO/MD and 2 independent directors. ML and BL may use a Committee of Executives (≥ 3, incl. one whole-time director). A Board-set threshold decides which cases reach it.</w:t>
      </w:r>
    </w:p>
    <w:p>
      <w:pPr>
        <w:numPr>
          <w:ilvl w:val="0"/>
          <w:numId w:val="1723"/>
        </w:numPr>
        <w:pStyle w:val="Compact"/>
      </w:pPr>
      <w:r>
        <w:t xml:space="preserve">Periodic Board/ACB review (para 9).</w:t>
      </w:r>
    </w:p>
    <w:p>
      <w:pPr>
        <w:numPr>
          <w:ilvl w:val="0"/>
          <w:numId w:val="1723"/>
        </w:numPr>
        <w:pStyle w:val="Compact"/>
      </w:pPr>
      <w:r>
        <w:t xml:space="preserve">Whistle-blower mechanism (para 10).</w:t>
      </w:r>
    </w:p>
    <w:p>
      <w:pPr>
        <w:numPr>
          <w:ilvl w:val="0"/>
          <w:numId w:val="1723"/>
        </w:numPr>
        <w:pStyle w:val="Compact"/>
      </w:pPr>
      <w:r>
        <w:t xml:space="preserve">Senior official responsible (para 11).</w:t>
      </w:r>
    </w:p>
    <w:p>
      <w:pPr>
        <w:numPr>
          <w:ilvl w:val="0"/>
          <w:numId w:val="1723"/>
        </w:numPr>
        <w:pStyle w:val="Compact"/>
      </w:pPr>
      <w:r>
        <w:rPr>
          <w:bCs/>
          <w:b/>
        </w:rPr>
        <w:t xml:space="preserve">Fraud amount disclosed in the Notes to Accounts</w:t>
      </w:r>
      <w:r>
        <w:t xml:space="preserve"> </w:t>
      </w:r>
      <w:r>
        <w:t xml:space="preserve">(para 12).</w:t>
      </w:r>
    </w:p>
    <w:p>
      <w:pPr>
        <w:pStyle w:val="FirstParagraph"/>
      </w:pPr>
      <w:r>
        <w:rPr>
          <w:bCs/>
          <w:b/>
        </w:rPr>
        <w:t xml:space="preserve">EWS (Ch III, UL/ML only, paras 13–23):</w:t>
      </w:r>
    </w:p>
    <w:p>
      <w:pPr>
        <w:numPr>
          <w:ilvl w:val="0"/>
          <w:numId w:val="1724"/>
        </w:numPr>
        <w:pStyle w:val="Compact"/>
      </w:pPr>
      <w:r>
        <w:t xml:space="preserve">policy-based, overseen by the RMC;</w:t>
      </w:r>
    </w:p>
    <w:p>
      <w:pPr>
        <w:numPr>
          <w:ilvl w:val="0"/>
          <w:numId w:val="1724"/>
        </w:numPr>
        <w:pStyle w:val="Compact"/>
      </w:pPr>
      <w:r>
        <w:t xml:space="preserve">tenant-defined quantitative and qualitative indicators for loan and non-loan transactions;</w:t>
      </w:r>
    </w:p>
    <w:p>
      <w:pPr>
        <w:numPr>
          <w:ilvl w:val="0"/>
          <w:numId w:val="1724"/>
        </w:numPr>
        <w:pStyle w:val="Compact"/>
      </w:pPr>
      <w:r>
        <w:t xml:space="preserve">validated;</w:t>
      </w:r>
    </w:p>
    <w:p>
      <w:pPr>
        <w:numPr>
          <w:ilvl w:val="0"/>
          <w:numId w:val="1724"/>
        </w:numPr>
        <w:pStyle w:val="Compact"/>
      </w:pPr>
      <w:r>
        <w:rPr>
          <w:bCs/>
          <w:b/>
        </w:rPr>
        <w:t xml:space="preserve">integrated with the core system</w:t>
      </w:r>
      <w:r>
        <w:t xml:space="preserve">;</w:t>
      </w:r>
    </w:p>
    <w:p>
      <w:pPr>
        <w:numPr>
          <w:ilvl w:val="0"/>
          <w:numId w:val="1724"/>
        </w:numPr>
        <w:pStyle w:val="Compact"/>
      </w:pPr>
      <w:r>
        <w:rPr>
          <w:bCs/>
          <w:b/>
        </w:rPr>
        <w:t xml:space="preserve">every alert requires an examination decision</w:t>
      </w:r>
      <w:r>
        <w:t xml:space="preserve">;</w:t>
      </w:r>
    </w:p>
    <w:p>
      <w:pPr>
        <w:numPr>
          <w:ilvl w:val="0"/>
          <w:numId w:val="1724"/>
        </w:numPr>
        <w:pStyle w:val="Compact"/>
      </w:pPr>
      <w:r>
        <w:t xml:space="preserve">real-time or minimum-lag monitoring, focusing on non-KYC and mule accounts;</w:t>
      </w:r>
    </w:p>
    <w:p>
      <w:pPr>
        <w:numPr>
          <w:ilvl w:val="0"/>
          <w:numId w:val="1724"/>
        </w:numPr>
        <w:pStyle w:val="Compact"/>
      </w:pPr>
      <w:r>
        <w:t xml:space="preserve">MIS and analytics unit.</w:t>
      </w:r>
    </w:p>
    <w:p>
      <w:pPr>
        <w:numPr>
          <w:ilvl w:val="0"/>
          <w:numId w:val="1724"/>
        </w:numPr>
        <w:pStyle w:val="Compact"/>
      </w:pPr>
      <w:r>
        <w:rPr>
          <w:bCs/>
          <w:b/>
        </w:rPr>
        <w:t xml:space="preserve">No indicator list is prescribed.</w:t>
      </w:r>
    </w:p>
    <w:p>
      <w:pPr>
        <w:pStyle w:val="FirstParagraph"/>
      </w:pPr>
      <w:r>
        <w:rPr>
          <w:bCs/>
          <w:b/>
        </w:rPr>
        <w:t xml:space="preserve">Investigation (paras 24–31):</w:t>
      </w:r>
    </w:p>
    <w:p>
      <w:pPr>
        <w:numPr>
          <w:ilvl w:val="0"/>
          <w:numId w:val="1725"/>
        </w:numPr>
        <w:pStyle w:val="Compact"/>
      </w:pPr>
      <w:r>
        <w:t xml:space="preserve">External or internal audit (para 25), with auditor timelines (para 26).</w:t>
      </w:r>
    </w:p>
    <w:p>
      <w:pPr>
        <w:numPr>
          <w:ilvl w:val="0"/>
          <w:numId w:val="1725"/>
        </w:numPr>
        <w:pStyle w:val="Compact"/>
      </w:pPr>
      <w:r>
        <w:rPr>
          <w:bCs/>
          <w:b/>
        </w:rPr>
        <w:t xml:space="preserve">The loan agreement allows the lender to commission an audit</w:t>
      </w:r>
      <w:r>
        <w:t xml:space="preserve">; if the audit is inconclusive or delayed by the borrower, the lender concludes on available material (para 27).</w:t>
      </w:r>
    </w:p>
    <w:p>
      <w:pPr>
        <w:numPr>
          <w:ilvl w:val="0"/>
          <w:numId w:val="1725"/>
        </w:numPr>
        <w:pStyle w:val="Compact"/>
      </w:pPr>
      <w:r>
        <w:t xml:space="preserve">Group companies with common promoters or whole-time directors are examined (para 29).</w:t>
      </w:r>
    </w:p>
    <w:p>
      <w:pPr>
        <w:numPr>
          <w:ilvl w:val="0"/>
          <w:numId w:val="1725"/>
        </w:numPr>
        <w:pStyle w:val="Compact"/>
      </w:pPr>
      <w:r>
        <w:t xml:space="preserve">The para 6 process also applies to suo-motu law-enforcement action (para 30).</w:t>
      </w:r>
    </w:p>
    <w:p>
      <w:pPr>
        <w:numPr>
          <w:ilvl w:val="0"/>
          <w:numId w:val="1725"/>
        </w:numPr>
        <w:pStyle w:val="Compact"/>
      </w:pPr>
      <w:r>
        <w:t xml:space="preserve">Third-party accountability clauses in contracts (para 31).</w:t>
      </w:r>
    </w:p>
    <w:p>
      <w:pPr>
        <w:pStyle w:val="FirstParagraph"/>
      </w:pPr>
      <w:r>
        <w:rPr>
          <w:bCs/>
          <w:b/>
        </w:rPr>
        <w:t xml:space="preserve">Staff accountability (paras 32–34, 46):</w:t>
      </w:r>
    </w:p>
    <w:p>
      <w:pPr>
        <w:numPr>
          <w:ilvl w:val="0"/>
          <w:numId w:val="1726"/>
        </w:numPr>
        <w:pStyle w:val="Compact"/>
      </w:pPr>
      <w:r>
        <w:t xml:space="preserve">Time-bound, in every case.</w:t>
      </w:r>
    </w:p>
    <w:p>
      <w:pPr>
        <w:numPr>
          <w:ilvl w:val="0"/>
          <w:numId w:val="1726"/>
        </w:numPr>
        <w:pStyle w:val="Compact"/>
      </w:pPr>
      <w:r>
        <w:t xml:space="preserve">Government NBFCs refer cases of ₹3 crore and above to ABBFF.</w:t>
      </w:r>
    </w:p>
    <w:p>
      <w:pPr>
        <w:numPr>
          <w:ilvl w:val="0"/>
          <w:numId w:val="1726"/>
        </w:numPr>
        <w:pStyle w:val="Compact"/>
      </w:pPr>
      <w:r>
        <w:t xml:space="preserve">Senior executives go through the ACB with recusal.</w:t>
      </w:r>
    </w:p>
    <w:p>
      <w:pPr>
        <w:numPr>
          <w:ilvl w:val="0"/>
          <w:numId w:val="1726"/>
        </w:numPr>
        <w:pStyle w:val="Compact"/>
      </w:pPr>
      <w:r>
        <w:t xml:space="preserve">Accountability also covers delays in detection or reporting.</w:t>
      </w:r>
    </w:p>
    <w:p>
      <w:pPr>
        <w:pStyle w:val="FirstParagraph"/>
      </w:pPr>
      <w:r>
        <w:rPr>
          <w:bCs/>
          <w:b/>
        </w:rPr>
        <w:t xml:space="preserve">Penal measures (paras 35–39):</w:t>
      </w:r>
    </w:p>
    <w:p>
      <w:pPr>
        <w:numPr>
          <w:ilvl w:val="0"/>
          <w:numId w:val="1727"/>
        </w:numPr>
        <w:pStyle w:val="Compact"/>
      </w:pPr>
      <w:r>
        <w:rPr>
          <w:bCs/>
          <w:b/>
        </w:rPr>
        <w:t xml:space="preserve">Debarment</w:t>
      </w:r>
      <w:r>
        <w:t xml:space="preserve"> </w:t>
      </w:r>
      <w:r>
        <w:t xml:space="preserve">from raising funds or new credit from REs for</w:t>
      </w:r>
      <w:r>
        <w:t xml:space="preserve"> </w:t>
      </w:r>
      <w:r>
        <w:rPr>
          <w:bCs/>
          <w:b/>
        </w:rPr>
        <w:t xml:space="preserve">5 years from full repayment of the defrauded or settlement amount</w:t>
      </w:r>
      <w:r>
        <w:t xml:space="preserve">, covering the person and associated entities (para 35).</w:t>
      </w:r>
    </w:p>
    <w:p>
      <w:pPr>
        <w:numPr>
          <w:ilvl w:val="0"/>
          <w:numId w:val="1727"/>
        </w:numPr>
        <w:pStyle w:val="Compact"/>
      </w:pPr>
      <w:r>
        <w:t xml:space="preserve">Lending after that is discretionary (para 36).</w:t>
      </w:r>
    </w:p>
    <w:p>
      <w:pPr>
        <w:numPr>
          <w:ilvl w:val="0"/>
          <w:numId w:val="1727"/>
        </w:numPr>
        <w:pStyle w:val="Compact"/>
      </w:pPr>
      <w:r>
        <w:t xml:space="preserve">After a resolution with change in control, the debarment lifts for the entity but not for the erstwhile promoters (paras 37–39).</w:t>
      </w:r>
    </w:p>
    <w:p>
      <w:pPr>
        <w:pStyle w:val="FirstParagraph"/>
      </w:pPr>
      <w:r>
        <w:rPr>
          <w:bCs/>
          <w:b/>
        </w:rPr>
        <w:t xml:space="preserve">Reporting:</w:t>
      </w:r>
    </w:p>
    <w:p>
      <w:pPr>
        <w:numPr>
          <w:ilvl w:val="0"/>
          <w:numId w:val="1728"/>
        </w:numPr>
        <w:pStyle w:val="Compact"/>
      </w:pPr>
      <w:r>
        <w:rPr>
          <w:bCs/>
          <w:b/>
        </w:rPr>
        <w:t xml:space="preserve">Law enforcement:</w:t>
      </w:r>
      <w:r>
        <w:t xml:space="preserve"> </w:t>
      </w:r>
      <w:r>
        <w:t xml:space="preserve">immediately; mandatory at ₹1 lakh or more (para 40, footnote); nodal officer (para 41).</w:t>
      </w:r>
    </w:p>
    <w:p>
      <w:pPr>
        <w:numPr>
          <w:ilvl w:val="0"/>
          <w:numId w:val="1728"/>
        </w:numPr>
        <w:pStyle w:val="Compact"/>
      </w:pPr>
      <w:r>
        <w:rPr>
          <w:bCs/>
          <w:b/>
        </w:rPr>
        <w:t xml:space="preserve">RBI:</w:t>
      </w:r>
      <w:r>
        <w:t xml:space="preserve"> </w:t>
      </w:r>
      <w:r>
        <w:t xml:space="preserve">11 categories (para 42).</w:t>
      </w:r>
      <w:r>
        <w:t xml:space="preserve"> </w:t>
      </w:r>
      <w:r>
        <w:rPr>
          <w:bCs/>
          <w:b/>
        </w:rPr>
        <w:t xml:space="preserve">FMR irrespective of amount, immediately and not later than 14 days from classification</w:t>
      </w:r>
      <w:r>
        <w:t xml:space="preserve">; updates via FUA (para 43).</w:t>
      </w:r>
    </w:p>
    <w:p>
      <w:pPr>
        <w:numPr>
          <w:ilvl w:val="0"/>
          <w:numId w:val="1728"/>
        </w:numPr>
        <w:pStyle w:val="Compact"/>
      </w:pPr>
      <w:r>
        <w:t xml:space="preserve">Frauds in unregulated group entities: by email to fmgconbfc@rbi.org.in (para 45).</w:t>
      </w:r>
    </w:p>
    <w:p>
      <w:pPr>
        <w:numPr>
          <w:ilvl w:val="0"/>
          <w:numId w:val="1728"/>
        </w:numPr>
        <w:pStyle w:val="Compact"/>
      </w:pPr>
      <w:r>
        <w:t xml:space="preserve">No naming of uninvolved persons (para 47).</w:t>
      </w:r>
    </w:p>
    <w:p>
      <w:pPr>
        <w:numPr>
          <w:ilvl w:val="0"/>
          <w:numId w:val="1728"/>
        </w:numPr>
        <w:pStyle w:val="Compact"/>
      </w:pPr>
      <w:r>
        <w:rPr>
          <w:bCs/>
          <w:b/>
        </w:rPr>
        <w:t xml:space="preserve">Withdrawal</w:t>
      </w:r>
      <w:r>
        <w:t xml:space="preserve"> </w:t>
      </w:r>
      <w:r>
        <w:t xml:space="preserve">needs director-rank approval (para 48), or a court direction (para 49).</w:t>
      </w:r>
    </w:p>
    <w:p>
      <w:pPr>
        <w:pStyle w:val="FirstParagraph"/>
      </w:pPr>
      <w:r>
        <w:rPr>
          <w:bCs/>
          <w:b/>
        </w:rPr>
        <w:t xml:space="preserve">Closure (paras 50–52):</w:t>
      </w:r>
    </w:p>
    <w:p>
      <w:pPr>
        <w:numPr>
          <w:ilvl w:val="0"/>
          <w:numId w:val="1729"/>
        </w:numPr>
        <w:pStyle w:val="Compact"/>
      </w:pPr>
      <w:r>
        <w:t xml:space="preserve">Through the RBI closure module, after disposal of the law-enforcement/court case</w:t>
      </w:r>
      <w:r>
        <w:t xml:space="preserve"> </w:t>
      </w:r>
      <w:r>
        <w:rPr>
          <w:bCs/>
          <w:b/>
        </w:rPr>
        <w:t xml:space="preserve">and</w:t>
      </w:r>
      <w:r>
        <w:t xml:space="preserve"> </w:t>
      </w:r>
      <w:r>
        <w:t xml:space="preserve">completion of staff accountability (para 50).</w:t>
      </w:r>
    </w:p>
    <w:p>
      <w:pPr>
        <w:numPr>
          <w:ilvl w:val="0"/>
          <w:numId w:val="1729"/>
        </w:numPr>
        <w:pStyle w:val="Compact"/>
      </w:pPr>
      <w:r>
        <w:t xml:space="preserve">Statistical closure for cases ≤ ₹25 lakh pending more than 3 years from FIR (para 51).</w:t>
      </w:r>
    </w:p>
    <w:p>
      <w:pPr>
        <w:numPr>
          <w:ilvl w:val="0"/>
          <w:numId w:val="1729"/>
        </w:numPr>
        <w:pStyle w:val="Compact"/>
      </w:pPr>
      <w:r>
        <w:t xml:space="preserve">Closure records kept for auditors (para 52).</w:t>
      </w:r>
    </w:p>
    <w:p>
      <w:pPr>
        <w:pStyle w:val="FirstParagraph"/>
      </w:pPr>
      <w:r>
        <w:rPr>
          <w:bCs/>
          <w:b/>
        </w:rPr>
        <w:t xml:space="preserve">Other (paras 53–58):</w:t>
      </w:r>
    </w:p>
    <w:p>
      <w:pPr>
        <w:numPr>
          <w:ilvl w:val="0"/>
          <w:numId w:val="1730"/>
        </w:numPr>
        <w:pStyle w:val="Compact"/>
      </w:pPr>
      <w:r>
        <w:rPr>
          <w:bCs/>
          <w:b/>
        </w:rPr>
        <w:t xml:space="preserve">Legal audit of title documents for facilities ≥ ₹1 crore until repaid</w:t>
      </w:r>
      <w:r>
        <w:t xml:space="preserve"> </w:t>
      </w:r>
      <w:r>
        <w:t xml:space="preserve">(para 53).</w:t>
      </w:r>
    </w:p>
    <w:p>
      <w:pPr>
        <w:numPr>
          <w:ilvl w:val="0"/>
          <w:numId w:val="1730"/>
        </w:numPr>
        <w:pStyle w:val="Compact"/>
      </w:pPr>
      <w:r>
        <w:rPr>
          <w:bCs/>
          <w:b/>
        </w:rPr>
        <w:t xml:space="preserve">No sale to lenders or ARCs before the fraud investigation is complete; report to RBI before sale</w:t>
      </w:r>
      <w:r>
        <w:t xml:space="preserve"> </w:t>
      </w:r>
      <w:r>
        <w:t xml:space="preserve">(para 54).</w:t>
      </w:r>
    </w:p>
    <w:p>
      <w:pPr>
        <w:numPr>
          <w:ilvl w:val="0"/>
          <w:numId w:val="1730"/>
        </w:numPr>
        <w:pStyle w:val="Compact"/>
      </w:pPr>
      <w:r>
        <w:t xml:space="preserve">Auditors flag suspected fraud (para 55).</w:t>
      </w:r>
    </w:p>
    <w:p>
      <w:pPr>
        <w:numPr>
          <w:ilvl w:val="0"/>
          <w:numId w:val="1730"/>
        </w:numPr>
        <w:pStyle w:val="Compact"/>
      </w:pPr>
      <w:r>
        <w:t xml:space="preserve">Internal audit covers the fraud lifecycle (para 56).</w:t>
      </w:r>
    </w:p>
    <w:p>
      <w:pPr>
        <w:numPr>
          <w:ilvl w:val="0"/>
          <w:numId w:val="1730"/>
        </w:numPr>
        <w:pStyle w:val="Compact"/>
      </w:pPr>
      <w:r>
        <w:rPr>
          <w:bCs/>
          <w:b/>
        </w:rPr>
        <w:t xml:space="preserve">Theft, burglary, dacoity and robbery (RBR):</w:t>
      </w:r>
    </w:p>
    <w:p>
      <w:pPr>
        <w:numPr>
          <w:ilvl w:val="1"/>
          <w:numId w:val="1731"/>
        </w:numPr>
        <w:pStyle w:val="Compact"/>
      </w:pPr>
      <w:r>
        <w:t xml:space="preserve">incident report by email within 7 days (para 57);</w:t>
      </w:r>
    </w:p>
    <w:p>
      <w:pPr>
        <w:numPr>
          <w:ilvl w:val="1"/>
          <w:numId w:val="1731"/>
        </w:numPr>
        <w:pStyle w:val="Compact"/>
      </w:pPr>
      <w:r>
        <w:t xml:space="preserve">quarterly return on the portal within 15 days of quarter-end (para 58).</w:t>
      </w:r>
    </w:p>
    <w:p>
      <w:r>
        <w:pict>
          <v:rect style="width:0;height:1.5pt" o:hralign="center" o:hrstd="t" o:hr="t"/>
        </w:pict>
      </w:r>
    </w:p>
    <w:bookmarkEnd w:id="794"/>
    <w:bookmarkStart w:id="795" w:name="a.15-aud-auditors-report-directions-468"/>
    <w:p>
      <w:pPr>
        <w:pStyle w:val="Heading2"/>
      </w:pPr>
      <w:r>
        <w:t xml:space="preserve">8A.15 AUD — Auditor’s Report Directions (468)</w:t>
      </w:r>
    </w:p>
    <w:p>
      <w:pPr>
        <w:pStyle w:val="FirstParagraph"/>
      </w:pPr>
      <w:r>
        <w:rPr>
          <w:bCs/>
          <w:b/>
        </w:rPr>
        <w:t xml:space="preserve">What the auditor reports, and therefore what Finbyx must evidence:</w:t>
      </w:r>
    </w:p>
    <w:p>
      <w:pPr>
        <w:numPr>
          <w:ilvl w:val="0"/>
          <w:numId w:val="1732"/>
        </w:numPr>
        <w:pStyle w:val="Compact"/>
      </w:pPr>
      <w:r>
        <w:rPr>
          <w:bCs/>
          <w:b/>
        </w:rPr>
        <w:t xml:space="preserve">All NBFCs (para 6):</w:t>
      </w:r>
    </w:p>
    <w:p>
      <w:pPr>
        <w:numPr>
          <w:ilvl w:val="1"/>
          <w:numId w:val="1733"/>
        </w:numPr>
        <w:pStyle w:val="Compact"/>
      </w:pPr>
      <w:r>
        <w:t xml:space="preserve">CoR held and the Principal Business Criteria met, with bank FDs excluded from financial assets (paras 6(1)–(2));</w:t>
      </w:r>
    </w:p>
    <w:p>
      <w:pPr>
        <w:numPr>
          <w:ilvl w:val="1"/>
          <w:numId w:val="1733"/>
        </w:numPr>
        <w:pStyle w:val="Compact"/>
      </w:pPr>
      <w:r>
        <w:t xml:space="preserve">NOF as required (para 6(3));</w:t>
      </w:r>
    </w:p>
    <w:p>
      <w:pPr>
        <w:numPr>
          <w:ilvl w:val="1"/>
          <w:numId w:val="1733"/>
        </w:numPr>
        <w:pStyle w:val="Compact"/>
      </w:pPr>
      <w:r>
        <w:rPr>
          <w:bCs/>
          <w:b/>
        </w:rPr>
        <w:t xml:space="preserve">DNBS10 Statutory Auditor’s Certificate</w:t>
      </w:r>
      <w:r>
        <w:t xml:space="preserve"> </w:t>
      </w:r>
      <w:r>
        <w:t xml:space="preserve">filed on CIMS within 5 working days of signing, and by 31 December at the latest.</w:t>
      </w:r>
    </w:p>
    <w:p>
      <w:pPr>
        <w:numPr>
          <w:ilvl w:val="0"/>
          <w:numId w:val="1732"/>
        </w:numPr>
        <w:pStyle w:val="Compact"/>
      </w:pPr>
      <w:r>
        <w:rPr>
          <w:bCs/>
          <w:b/>
        </w:rPr>
        <w:t xml:space="preserve">Deposit-taking (para 7):</w:t>
      </w:r>
    </w:p>
    <w:p>
      <w:pPr>
        <w:numPr>
          <w:ilvl w:val="1"/>
          <w:numId w:val="1734"/>
        </w:numPr>
        <w:pStyle w:val="Compact"/>
      </w:pPr>
      <w:r>
        <w:t xml:space="preserve">deposit limits, rating, acceptance and defaults;</w:t>
      </w:r>
    </w:p>
    <w:p>
      <w:pPr>
        <w:numPr>
          <w:ilvl w:val="1"/>
          <w:numId w:val="1734"/>
        </w:numPr>
        <w:pStyle w:val="Compact"/>
      </w:pPr>
      <w:r>
        <w:t xml:space="preserve">CRAR;</w:t>
      </w:r>
    </w:p>
    <w:p>
      <w:pPr>
        <w:numPr>
          <w:ilvl w:val="1"/>
          <w:numId w:val="1734"/>
        </w:numPr>
        <w:pStyle w:val="Compact"/>
      </w:pPr>
      <w:r>
        <w:t xml:space="preserve">IRACP, investment valuation, concentration and accounting standards;</w:t>
      </w:r>
    </w:p>
    <w:p>
      <w:pPr>
        <w:numPr>
          <w:ilvl w:val="1"/>
          <w:numId w:val="1734"/>
        </w:numPr>
        <w:pStyle w:val="Compact"/>
      </w:pPr>
      <w:r>
        <w:t xml:space="preserve">liquid assets and designated bank (DNBS03);</w:t>
      </w:r>
    </w:p>
    <w:p>
      <w:pPr>
        <w:numPr>
          <w:ilvl w:val="1"/>
          <w:numId w:val="1734"/>
        </w:numPr>
        <w:pStyle w:val="Compact"/>
      </w:pPr>
      <w:r>
        <w:t xml:space="preserve">DNBS01/DNBS03 filed on time;</w:t>
      </w:r>
    </w:p>
    <w:p>
      <w:pPr>
        <w:numPr>
          <w:ilvl w:val="1"/>
          <w:numId w:val="1734"/>
        </w:numPr>
        <w:pStyle w:val="Compact"/>
      </w:pPr>
      <w:r>
        <w:t xml:space="preserve">branch rules.</w:t>
      </w:r>
    </w:p>
    <w:p>
      <w:pPr>
        <w:numPr>
          <w:ilvl w:val="0"/>
          <w:numId w:val="1732"/>
        </w:numPr>
        <w:pStyle w:val="Compact"/>
      </w:pPr>
      <w:r>
        <w:rPr>
          <w:bCs/>
          <w:b/>
        </w:rPr>
        <w:t xml:space="preserve">Non-deposit-taking (para 8):</w:t>
      </w:r>
    </w:p>
    <w:p>
      <w:pPr>
        <w:numPr>
          <w:ilvl w:val="1"/>
          <w:numId w:val="1735"/>
        </w:numPr>
        <w:pStyle w:val="Compact"/>
      </w:pPr>
      <w:r>
        <w:t xml:space="preserve">Board resolution on non-acceptance of public deposits;</w:t>
      </w:r>
    </w:p>
    <w:p>
      <w:pPr>
        <w:numPr>
          <w:ilvl w:val="1"/>
          <w:numId w:val="1735"/>
        </w:numPr>
        <w:pStyle w:val="Compact"/>
      </w:pPr>
      <w:r>
        <w:t xml:space="preserve">no deposits accepted;</w:t>
      </w:r>
    </w:p>
    <w:p>
      <w:pPr>
        <w:numPr>
          <w:ilvl w:val="1"/>
          <w:numId w:val="1735"/>
        </w:numPr>
        <w:pStyle w:val="Compact"/>
      </w:pPr>
      <w:r>
        <w:t xml:space="preserve">IRACP, investment and accounting standards;</w:t>
      </w:r>
    </w:p>
    <w:p>
      <w:pPr>
        <w:numPr>
          <w:ilvl w:val="1"/>
          <w:numId w:val="1735"/>
        </w:numPr>
        <w:pStyle w:val="Compact"/>
      </w:pPr>
      <w:r>
        <w:rPr>
          <w:bCs/>
          <w:b/>
        </w:rPr>
        <w:t xml:space="preserve">ML and above:</w:t>
      </w:r>
      <w:r>
        <w:t xml:space="preserve"> </w:t>
      </w:r>
      <w:r>
        <w:t xml:space="preserve">CRAR in DNBS03 correct and filed on time;</w:t>
      </w:r>
    </w:p>
    <w:p>
      <w:pPr>
        <w:numPr>
          <w:ilvl w:val="1"/>
          <w:numId w:val="1735"/>
        </w:numPr>
        <w:pStyle w:val="Compact"/>
      </w:pPr>
      <w:r>
        <w:t xml:space="preserve">correct NBFC-MFI classification.</w:t>
      </w:r>
    </w:p>
    <w:p>
      <w:pPr>
        <w:numPr>
          <w:ilvl w:val="0"/>
          <w:numId w:val="1732"/>
        </w:numPr>
        <w:pStyle w:val="Compact"/>
      </w:pPr>
      <w:r>
        <w:rPr>
          <w:bCs/>
          <w:b/>
        </w:rPr>
        <w:t xml:space="preserve">Other paras:</w:t>
      </w:r>
    </w:p>
    <w:p>
      <w:pPr>
        <w:numPr>
          <w:ilvl w:val="1"/>
          <w:numId w:val="1736"/>
        </w:numPr>
        <w:pStyle w:val="Compact"/>
      </w:pPr>
      <w:r>
        <w:t xml:space="preserve">para 9: conditions for companies advised that no CoR is needed;</w:t>
      </w:r>
    </w:p>
    <w:p>
      <w:pPr>
        <w:numPr>
          <w:ilvl w:val="1"/>
          <w:numId w:val="1736"/>
        </w:numPr>
        <w:pStyle w:val="Compact"/>
      </w:pPr>
      <w:r>
        <w:t xml:space="preserve">para 10: reasons for any qualified statement;</w:t>
      </w:r>
    </w:p>
    <w:p>
      <w:pPr>
        <w:numPr>
          <w:ilvl w:val="1"/>
          <w:numId w:val="1736"/>
        </w:numPr>
        <w:pStyle w:val="Compact"/>
      </w:pPr>
      <w:r>
        <w:rPr>
          <w:bCs/>
          <w:b/>
        </w:rPr>
        <w:t xml:space="preserve">paras 11–12: exception report to the RBI SSM/RO</w:t>
      </w:r>
      <w:r>
        <w:t xml:space="preserve"> </w:t>
      </w:r>
      <w:r>
        <w:t xml:space="preserve">on any adverse para 6 item, or any non-compliance with Ch IIIB of the RBI Act or applicable Directions.</w:t>
      </w:r>
    </w:p>
    <w:p>
      <w:r>
        <w:pict>
          <v:rect style="width:0;height:1.5pt" o:hralign="center" o:hrstd="t" o:hr="t"/>
        </w:pict>
      </w:r>
    </w:p>
    <w:bookmarkEnd w:id="795"/>
    <w:bookmarkStart w:id="796" w:name="X1375d5dcc1fc0c29855188ae51df6a4648e8d6f"/>
    <w:p>
      <w:pPr>
        <w:pStyle w:val="Heading2"/>
      </w:pPr>
      <w:r>
        <w:t xml:space="preserve">8A.16 Cross-module build list from Part 8A</w:t>
      </w:r>
    </w:p>
    <w:p>
      <w:pPr>
        <w:pStyle w:val="FirstParagraph"/>
      </w:pPr>
      <w:r>
        <w:t xml:space="preserve">The module specifications in Part 7 must include the items below and the v1.3 items in 8A.36.1. Where a module text and Part 8A differ,</w:t>
      </w:r>
      <w:r>
        <w:t xml:space="preserve"> </w:t>
      </w:r>
      <w:r>
        <w:rPr>
          <w:bCs/>
          <w:b/>
        </w:rPr>
        <w:t xml:space="preserve">Part 8A prevails</w:t>
      </w:r>
      <w:r>
        <w:t xml:space="preserve"> </w:t>
      </w:r>
      <w:r>
        <w:t xml:space="preserve">for these Directions.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96"/>
        <w:gridCol w:w="7842"/>
      </w:tblGrid>
      <w:tr>
        <w:trPr>
          <w:tblHeader w:val="true"/>
          <w:tblHeader w:val="true"/>
        </w:trPr>
        <w:tc>
          <w:tcPr>
            <w:tcW w:w="1796" w:type="dxa"/>
            <w:shd w:val="clear" w:color="auto" w:fill="1F3A5F"/>
          </w:tcPr>
          <w:p>
            <w:pPr>
              <w:pStyle w:val="Compact"/>
              <w:spacing w:after="40"/>
              <w:jc w:val="left"/>
            </w:pPr>
            <w:r>
              <w:rPr>
                <w:b/>
                <w:color w:val="FFFFFF"/>
                <w:sz w:val="18"/>
              </w:rPr>
              <w:t xml:space="preserve">Module</w:t>
            </w:r>
          </w:p>
        </w:tc>
        <w:tc>
          <w:tcPr>
            <w:tcW w:w="7842" w:type="dxa"/>
            <w:shd w:val="clear" w:color="auto" w:fill="1F3A5F"/>
          </w:tcPr>
          <w:p>
            <w:pPr>
              <w:pStyle w:val="Compact"/>
              <w:spacing w:after="40"/>
              <w:jc w:val="left"/>
            </w:pPr>
            <w:r>
              <w:rPr>
                <w:b/>
                <w:color w:val="FFFFFF"/>
                <w:sz w:val="18"/>
              </w:rPr>
              <w:t xml:space="preserve">Additions</w:t>
            </w:r>
          </w:p>
        </w:tc>
      </w:tr>
      <w:tr>
        <w:tc>
          <w:tcPr>
            <w:tcW w:w="1796" w:type="dxa"/>
          </w:tcPr>
          <w:p>
            <w:pPr>
              <w:pStyle w:val="Compact"/>
              <w:spacing w:after="40"/>
              <w:jc w:val="left"/>
            </w:pPr>
            <w:r>
              <w:rPr>
                <w:sz w:val="18"/>
              </w:rPr>
              <w:t xml:space="preserve">M1</w:t>
            </w:r>
          </w:p>
        </w:tc>
        <w:tc>
          <w:tcPr>
            <w:tcW w:w="7842" w:type="dxa"/>
          </w:tcPr>
          <w:p>
            <w:pPr>
              <w:pStyle w:val="Compact"/>
              <w:spacing w:after="40"/>
              <w:jc w:val="left"/>
            </w:pPr>
            <w:r>
              <w:rPr>
                <w:bCs/>
                <w:b/>
                <w:sz w:val="18"/>
              </w:rPr>
              <w:t xml:space="preserve">Branch/office regulatory master</w:t>
            </w:r>
            <w:r>
              <w:rPr>
                <w:sz w:val="18"/>
              </w:rPr>
              <w:t xml:space="preserve"> </w:t>
            </w:r>
            <w:r>
              <w:rPr>
                <w:sz w:val="18"/>
              </w:rPr>
              <w:t xml:space="preserve">(type, state, registered-office-state flag, NOF and rating snapshot for deposit-taking) with the BR para 6 gate.</w:t>
            </w:r>
            <w:r>
              <w:rPr>
                <w:sz w:val="18"/>
              </w:rPr>
              <w:t xml:space="preserve"> </w:t>
            </w:r>
            <w:r>
              <w:rPr>
                <w:bCs/>
                <w:b/>
                <w:sz w:val="18"/>
              </w:rPr>
              <w:t xml:space="preserve">Closure workflow:</w:t>
            </w:r>
            <w:r>
              <w:rPr>
                <w:sz w:val="18"/>
              </w:rPr>
              <w:t xml:space="preserve"> </w:t>
            </w:r>
            <w:r>
              <w:rPr>
                <w:sz w:val="18"/>
              </w:rPr>
              <w:t xml:space="preserve">two newspaper notices, closure ≥ notice + 3 months, customer re-mapping, 7-day RBI/NHB intimation (BR paras 10–15).</w:t>
            </w:r>
            <w:r>
              <w:rPr>
                <w:sz w:val="18"/>
              </w:rPr>
              <w:t xml:space="preserve"> </w:t>
            </w:r>
            <w:r>
              <w:rPr>
                <w:bCs/>
                <w:b/>
                <w:sz w:val="18"/>
              </w:rPr>
              <w:t xml:space="preserve">Entity regulatory profile flags:</w:t>
            </w:r>
            <w:r>
              <w:rPr>
                <w:sz w:val="18"/>
              </w:rPr>
              <w:t xml:space="preserve"> </w:t>
            </w:r>
            <w:r>
              <w:rPr>
                <w:sz w:val="18"/>
              </w:rPr>
              <w:t xml:space="preserve">layer, asset size (last audited), deposit-taking, public funds, customer interface, notified NBFC, IFC, NOFHC-held, credit-card issuer, Ind AS, cyber chapter</w:t>
            </w:r>
          </w:p>
        </w:tc>
      </w:tr>
      <w:tr>
        <w:tc>
          <w:tcPr>
            <w:tcW w:w="1796" w:type="dxa"/>
          </w:tcPr>
          <w:p>
            <w:pPr>
              <w:pStyle w:val="Compact"/>
              <w:spacing w:after="40"/>
              <w:jc w:val="left"/>
            </w:pPr>
            <w:r>
              <w:rPr>
                <w:sz w:val="18"/>
              </w:rPr>
              <w:t xml:space="preserve">M3</w:t>
            </w:r>
          </w:p>
        </w:tc>
        <w:tc>
          <w:tcPr>
            <w:tcW w:w="7842" w:type="dxa"/>
          </w:tcPr>
          <w:p>
            <w:pPr>
              <w:pStyle w:val="Compact"/>
              <w:spacing w:after="40"/>
              <w:jc w:val="left"/>
            </w:pPr>
            <w:r>
              <w:rPr>
                <w:bCs/>
                <w:b/>
                <w:sz w:val="18"/>
              </w:rPr>
              <w:t xml:space="preserve">Related-party register:</w:t>
            </w:r>
            <w:r>
              <w:rPr>
                <w:sz w:val="18"/>
              </w:rPr>
              <w:t xml:space="preserve"> </w:t>
            </w:r>
            <w:r>
              <w:rPr>
                <w:sz w:val="18"/>
              </w:rPr>
              <w:t xml:space="preserve">promoters, directors, KMP, major shareholders, specified employees and relatives, auto-matched on PAN/DIN (CRM 13K).</w:t>
            </w:r>
            <w:r>
              <w:rPr>
                <w:sz w:val="18"/>
              </w:rPr>
              <w:t xml:space="preserve"> </w:t>
            </w:r>
            <w:r>
              <w:rPr>
                <w:bCs/>
                <w:b/>
                <w:sz w:val="18"/>
              </w:rPr>
              <w:t xml:space="preserve">Connected-counterparty groups</w:t>
            </w:r>
            <w:r>
              <w:rPr>
                <w:sz w:val="18"/>
              </w:rPr>
              <w:t xml:space="preserve">, with control and economic-interdependence evidence (CON 4(3)). LEI record with expiry (CRM 19–24). CKYC number on customer and related parties (CIR 12(10)). Fraud register with associated entities (FRM 35)</w:t>
            </w:r>
          </w:p>
        </w:tc>
      </w:tr>
      <w:tr>
        <w:tc>
          <w:tcPr>
            <w:tcW w:w="1796" w:type="dxa"/>
          </w:tcPr>
          <w:p>
            <w:pPr>
              <w:pStyle w:val="Compact"/>
              <w:spacing w:after="40"/>
              <w:jc w:val="left"/>
            </w:pPr>
            <w:r>
              <w:rPr>
                <w:sz w:val="18"/>
              </w:rPr>
              <w:t xml:space="preserve">M4</w:t>
            </w:r>
          </w:p>
        </w:tc>
        <w:tc>
          <w:tcPr>
            <w:tcW w:w="7842" w:type="dxa"/>
          </w:tcPr>
          <w:p>
            <w:pPr>
              <w:pStyle w:val="Compact"/>
              <w:spacing w:after="40"/>
              <w:jc w:val="left"/>
            </w:pPr>
            <w:r>
              <w:rPr>
                <w:bCs/>
                <w:b/>
                <w:sz w:val="18"/>
              </w:rPr>
              <w:t xml:space="preserve">Pre-sanction gates:</w:t>
            </w:r>
            <w:r>
              <w:rPr>
                <w:sz w:val="18"/>
              </w:rPr>
              <w:t xml:space="preserve"> </w:t>
            </w:r>
            <w:r>
              <w:rPr>
                <w:sz w:val="18"/>
              </w:rPr>
              <w:t xml:space="preserve">related-party routing above the CRM 13G threshold to the Board or non-Audit Board committee, with recusal (13I–13J); exposure-limit check (CON); own-shares/own-debentures/IPO blocks (CF 104–105; CRM 14–15); LEI gate (CRM 20); fraud-debarment gate (FRM 35–39);</w:t>
            </w:r>
            <w:r>
              <w:rPr>
                <w:sz w:val="18"/>
              </w:rPr>
              <w:t xml:space="preserve"> </w:t>
            </w:r>
            <w:r>
              <w:rPr>
                <w:bCs/>
                <w:b/>
                <w:sz w:val="18"/>
              </w:rPr>
              <w:t xml:space="preserve">microfinance classifier</w:t>
            </w:r>
            <w:r>
              <w:rPr>
                <w:sz w:val="18"/>
              </w:rPr>
              <w:t xml:space="preserve"> </w:t>
            </w:r>
            <w:r>
              <w:rPr>
                <w:sz w:val="18"/>
              </w:rPr>
              <w:t xml:space="preserve">for any collateral-free loan to a household ≤ ₹3 lakh (CF 51); digital-loan capture of age, occupation and income, and no auto limit increase (CF 8); new-to-credit path, never auto-rejected for no history (CIR 38(5)); Notified-NBFC appraisal pack (CRM 6–8).</w:t>
            </w:r>
            <w:r>
              <w:rPr>
                <w:sz w:val="18"/>
              </w:rPr>
              <w:t xml:space="preserve"> </w:t>
            </w:r>
            <w:r>
              <w:rPr>
                <w:bCs/>
                <w:b/>
                <w:sz w:val="18"/>
              </w:rPr>
              <w:t xml:space="preserve">AA consent artefact</w:t>
            </w:r>
            <w:r>
              <w:rPr>
                <w:sz w:val="18"/>
              </w:rPr>
              <w:t xml:space="preserve"> </w:t>
            </w:r>
            <w:r>
              <w:rPr>
                <w:sz w:val="18"/>
              </w:rPr>
              <w:t xml:space="preserve">store, revocation and purpose limitation (AA 17, 20, 28).</w:t>
            </w:r>
            <w:r>
              <w:rPr>
                <w:sz w:val="18"/>
              </w:rPr>
              <w:t xml:space="preserve"> </w:t>
            </w:r>
            <w:r>
              <w:rPr>
                <w:bCs/>
                <w:b/>
                <w:sz w:val="18"/>
              </w:rPr>
              <w:t xml:space="preserve">Loan agreement clause:</w:t>
            </w:r>
            <w:r>
              <w:rPr>
                <w:sz w:val="18"/>
              </w:rPr>
              <w:t xml:space="preserve"> </w:t>
            </w:r>
            <w:r>
              <w:rPr>
                <w:sz w:val="18"/>
              </w:rPr>
              <w:t xml:space="preserve">the lender’s right to commission a forensic audit (FRM 27)</w:t>
            </w:r>
          </w:p>
        </w:tc>
      </w:tr>
      <w:tr>
        <w:tc>
          <w:tcPr>
            <w:tcW w:w="1796" w:type="dxa"/>
          </w:tcPr>
          <w:p>
            <w:pPr>
              <w:pStyle w:val="Compact"/>
              <w:spacing w:after="40"/>
              <w:jc w:val="left"/>
            </w:pPr>
            <w:r>
              <w:rPr>
                <w:sz w:val="18"/>
              </w:rPr>
              <w:t xml:space="preserve">M5</w:t>
            </w:r>
          </w:p>
        </w:tc>
        <w:tc>
          <w:tcPr>
            <w:tcW w:w="7842" w:type="dxa"/>
          </w:tcPr>
          <w:p>
            <w:pPr>
              <w:pStyle w:val="Compact"/>
              <w:spacing w:after="40"/>
              <w:jc w:val="left"/>
            </w:pPr>
            <w:r>
              <w:rPr>
                <w:sz w:val="18"/>
              </w:rPr>
              <w:t xml:space="preserve">CERSAI for all four CRM para 27 types; gold valuation (CF 40–42); LAS Annex-III reporting (CF 106); legal audit of titles for facilities ≥ ₹1 crore (FRM 53)</w:t>
            </w:r>
          </w:p>
        </w:tc>
      </w:tr>
      <w:tr>
        <w:tc>
          <w:tcPr>
            <w:tcW w:w="1796" w:type="dxa"/>
          </w:tcPr>
          <w:p>
            <w:pPr>
              <w:pStyle w:val="Compact"/>
              <w:spacing w:after="40"/>
              <w:jc w:val="left"/>
            </w:pPr>
            <w:r>
              <w:rPr>
                <w:sz w:val="18"/>
              </w:rPr>
              <w:t xml:space="preserve">M6</w:t>
            </w:r>
          </w:p>
        </w:tc>
        <w:tc>
          <w:tcPr>
            <w:tcW w:w="7842" w:type="dxa"/>
          </w:tcPr>
          <w:p>
            <w:pPr>
              <w:pStyle w:val="Compact"/>
              <w:spacing w:after="40"/>
              <w:jc w:val="left"/>
            </w:pPr>
            <w:r>
              <w:rPr>
                <w:sz w:val="18"/>
              </w:rPr>
              <w:t xml:space="preserve">Gold renewal/top-up controls (CF 34). Demand/call recall and review dates (CF 107). Top-ups against depreciating movables treated as unsecured (CON 10). Closure feeds CIC closure reporting and centralised NOC (CIR 10(3), 38(1))</w:t>
            </w:r>
          </w:p>
        </w:tc>
      </w:tr>
      <w:tr>
        <w:tc>
          <w:tcPr>
            <w:tcW w:w="1796" w:type="dxa"/>
          </w:tcPr>
          <w:p>
            <w:pPr>
              <w:pStyle w:val="Compact"/>
              <w:spacing w:after="40"/>
              <w:jc w:val="left"/>
            </w:pPr>
            <w:r>
              <w:rPr>
                <w:sz w:val="18"/>
              </w:rPr>
              <w:t xml:space="preserve">M7</w:t>
            </w:r>
          </w:p>
        </w:tc>
        <w:tc>
          <w:tcPr>
            <w:tcW w:w="7842" w:type="dxa"/>
          </w:tcPr>
          <w:p>
            <w:pPr>
              <w:pStyle w:val="Compact"/>
              <w:spacing w:after="40"/>
              <w:jc w:val="left"/>
            </w:pPr>
            <w:r>
              <w:rPr>
                <w:sz w:val="18"/>
              </w:rPr>
              <w:t xml:space="preserve">Reconciliation within 24 hours of the settlement file; fraud rules engine; tokenised card data only (DPS 53, 57, 69)</w:t>
            </w:r>
          </w:p>
        </w:tc>
      </w:tr>
      <w:tr>
        <w:tc>
          <w:tcPr>
            <w:tcW w:w="1796" w:type="dxa"/>
          </w:tcPr>
          <w:p>
            <w:pPr>
              <w:pStyle w:val="Compact"/>
              <w:spacing w:after="40"/>
              <w:jc w:val="left"/>
            </w:pPr>
            <w:r>
              <w:rPr>
                <w:sz w:val="18"/>
              </w:rPr>
              <w:t xml:space="preserve">M8</w:t>
            </w:r>
          </w:p>
        </w:tc>
        <w:tc>
          <w:tcPr>
            <w:tcW w:w="7842" w:type="dxa"/>
          </w:tcPr>
          <w:p>
            <w:pPr>
              <w:pStyle w:val="Compact"/>
              <w:spacing w:after="40"/>
              <w:jc w:val="left"/>
            </w:pPr>
            <w:r>
              <w:rPr>
                <w:bCs/>
                <w:b/>
                <w:sz w:val="18"/>
              </w:rPr>
              <w:t xml:space="preserve">Recovery-agent particulars sent to the borrower before first contact on digital loans, with contact blocked until sent</w:t>
            </w:r>
            <w:r>
              <w:rPr>
                <w:sz w:val="18"/>
              </w:rPr>
              <w:t xml:space="preserve"> </w:t>
            </w:r>
            <w:r>
              <w:rPr>
                <w:sz w:val="18"/>
              </w:rPr>
              <w:t xml:space="preserve">(CF 9(6)).</w:t>
            </w:r>
            <w:r>
              <w:rPr>
                <w:sz w:val="18"/>
              </w:rPr>
              <w:t xml:space="preserve"> </w:t>
            </w:r>
            <w:r>
              <w:rPr>
                <w:bCs/>
                <w:b/>
                <w:sz w:val="18"/>
              </w:rPr>
              <w:t xml:space="preserve">Default/DPD alerts sent with each CIC submission</w:t>
            </w:r>
            <w:r>
              <w:rPr>
                <w:sz w:val="18"/>
              </w:rPr>
              <w:t xml:space="preserve"> </w:t>
            </w:r>
            <w:r>
              <w:rPr>
                <w:sz w:val="18"/>
              </w:rPr>
              <w:t xml:space="preserve">(CIR 34(1)(i)). Cash recovery posted in full to the borrower’s account the same day (CF 10(5))</w:t>
            </w:r>
          </w:p>
        </w:tc>
      </w:tr>
      <w:tr>
        <w:tc>
          <w:tcPr>
            <w:tcW w:w="1796" w:type="dxa"/>
          </w:tcPr>
          <w:p>
            <w:pPr>
              <w:pStyle w:val="Compact"/>
              <w:spacing w:after="40"/>
              <w:jc w:val="left"/>
            </w:pPr>
            <w:r>
              <w:rPr>
                <w:sz w:val="18"/>
              </w:rPr>
              <w:t xml:space="preserve">M9</w:t>
            </w:r>
          </w:p>
        </w:tc>
        <w:tc>
          <w:tcPr>
            <w:tcW w:w="7842" w:type="dxa"/>
          </w:tcPr>
          <w:p>
            <w:pPr>
              <w:pStyle w:val="Compact"/>
              <w:spacing w:after="40"/>
              <w:jc w:val="left"/>
            </w:pPr>
            <w:r>
              <w:rPr>
                <w:bCs/>
                <w:b/>
                <w:sz w:val="18"/>
              </w:rPr>
              <w:t xml:space="preserve">“</w:t>
            </w:r>
            <w:r>
              <w:rPr>
                <w:bCs/>
                <w:b/>
                <w:sz w:val="18"/>
              </w:rPr>
              <w:t xml:space="preserve">Settled</w:t>
            </w:r>
            <w:r>
              <w:rPr>
                <w:bCs/>
                <w:b/>
                <w:sz w:val="18"/>
              </w:rPr>
              <w:t xml:space="preserve">”</w:t>
            </w:r>
            <w:r>
              <w:rPr>
                <w:bCs/>
                <w:b/>
                <w:sz w:val="18"/>
              </w:rPr>
              <w:t xml:space="preserve"> </w:t>
            </w:r>
            <w:r>
              <w:rPr>
                <w:bCs/>
                <w:b/>
                <w:sz w:val="18"/>
              </w:rPr>
              <w:t xml:space="preserve">vs</w:t>
            </w:r>
            <w:r>
              <w:rPr>
                <w:bCs/>
                <w:b/>
                <w:sz w:val="18"/>
              </w:rPr>
              <w:t xml:space="preserve"> </w:t>
            </w:r>
            <w:r>
              <w:rPr>
                <w:bCs/>
                <w:b/>
                <w:sz w:val="18"/>
              </w:rPr>
              <w:t xml:space="preserve">“</w:t>
            </w:r>
            <w:r>
              <w:rPr>
                <w:bCs/>
                <w:b/>
                <w:sz w:val="18"/>
              </w:rPr>
              <w:t xml:space="preserve">disputed</w:t>
            </w:r>
            <w:r>
              <w:rPr>
                <w:bCs/>
                <w:b/>
                <w:sz w:val="18"/>
              </w:rPr>
              <w:t xml:space="preserve">”</w:t>
            </w:r>
            <w:r>
              <w:rPr>
                <w:bCs/>
                <w:b/>
                <w:sz w:val="18"/>
              </w:rPr>
              <w:t xml:space="preserve"> </w:t>
            </w:r>
            <w:r>
              <w:rPr>
                <w:bCs/>
                <w:b/>
                <w:sz w:val="18"/>
              </w:rPr>
              <w:t xml:space="preserve">CIC logic and settlement reason</w:t>
            </w:r>
            <w:r>
              <w:rPr>
                <w:sz w:val="18"/>
              </w:rPr>
              <w:t xml:space="preserve"> </w:t>
            </w:r>
            <w:r>
              <w:rPr>
                <w:sz w:val="18"/>
              </w:rPr>
              <w:t xml:space="preserve">(CIR 12(2), 12(4)). IBC-admitted cases = suit-filed (12(7)). Related-party recusal on OTS, write-off, waiver and enforcement (CRM 13J).</w:t>
            </w:r>
            <w:r>
              <w:rPr>
                <w:sz w:val="18"/>
              </w:rPr>
              <w:t xml:space="preserve"> </w:t>
            </w:r>
            <w:r>
              <w:rPr>
                <w:bCs/>
                <w:b/>
                <w:sz w:val="18"/>
              </w:rPr>
              <w:t xml:space="preserve">SARFAESI possessed-asset website feed</w:t>
            </w:r>
            <w:r>
              <w:rPr>
                <w:sz w:val="18"/>
              </w:rPr>
              <w:t xml:space="preserve"> </w:t>
            </w:r>
            <w:r>
              <w:rPr>
                <w:sz w:val="18"/>
              </w:rPr>
              <w:t xml:space="preserve">(CIR 21, Annex IV). Fraud-account transfer gate (FRM 54)</w:t>
            </w:r>
          </w:p>
        </w:tc>
      </w:tr>
      <w:tr>
        <w:tc>
          <w:tcPr>
            <w:tcW w:w="1796" w:type="dxa"/>
          </w:tcPr>
          <w:p>
            <w:pPr>
              <w:pStyle w:val="Compact"/>
              <w:spacing w:after="40"/>
              <w:jc w:val="left"/>
            </w:pPr>
            <w:r>
              <w:rPr>
                <w:sz w:val="18"/>
              </w:rPr>
              <w:t xml:space="preserve">M10</w:t>
            </w:r>
          </w:p>
        </w:tc>
        <w:tc>
          <w:tcPr>
            <w:tcW w:w="7842" w:type="dxa"/>
          </w:tcPr>
          <w:p>
            <w:pPr>
              <w:pStyle w:val="Compact"/>
              <w:spacing w:after="40"/>
              <w:jc w:val="left"/>
            </w:pPr>
            <w:r>
              <w:rPr>
                <w:bCs/>
                <w:b/>
                <w:sz w:val="18"/>
              </w:rPr>
              <w:t xml:space="preserve">Investment portfolio module</w:t>
            </w:r>
            <w:r>
              <w:rPr>
                <w:sz w:val="18"/>
              </w:rPr>
              <w:t xml:space="preserve"> </w:t>
            </w:r>
            <w:r>
              <w:rPr>
                <w:sz w:val="18"/>
              </w:rPr>
              <w:t xml:space="preserve">(INV) and</w:t>
            </w:r>
            <w:r>
              <w:rPr>
                <w:sz w:val="18"/>
              </w:rPr>
              <w:t xml:space="preserve"> </w:t>
            </w:r>
            <w:r>
              <w:rPr>
                <w:bCs/>
                <w:b/>
                <w:sz w:val="18"/>
              </w:rPr>
              <w:t xml:space="preserve">disclosure engine</w:t>
            </w:r>
            <w:r>
              <w:rPr>
                <w:sz w:val="18"/>
              </w:rPr>
              <w:t xml:space="preserve"> </w:t>
            </w:r>
            <w:r>
              <w:rPr>
                <w:sz w:val="18"/>
              </w:rPr>
              <w:t xml:space="preserve">(FS 20–21, C.2, C.3). Impairment Reserve (FS 12(2)). SICR-rebuttal and &gt; 90 DPD-not-impaired registers (FS 12(1)). Gold/silver % of assets (CF 50). Fraud amount note (FRM 12). Related-party loans note (FS 21(9A); CRM Annex I)</w:t>
            </w:r>
          </w:p>
        </w:tc>
      </w:tr>
      <w:tr>
        <w:tc>
          <w:tcPr>
            <w:tcW w:w="1796" w:type="dxa"/>
          </w:tcPr>
          <w:p>
            <w:pPr>
              <w:pStyle w:val="Compact"/>
              <w:spacing w:after="40"/>
              <w:jc w:val="left"/>
            </w:pPr>
            <w:r>
              <w:rPr>
                <w:sz w:val="18"/>
              </w:rPr>
              <w:t xml:space="preserve">M11</w:t>
            </w:r>
          </w:p>
        </w:tc>
        <w:tc>
          <w:tcPr>
            <w:tcW w:w="7842" w:type="dxa"/>
          </w:tcPr>
          <w:p>
            <w:pPr>
              <w:pStyle w:val="Compact"/>
              <w:spacing w:after="40"/>
              <w:jc w:val="left"/>
            </w:pPr>
            <w:r>
              <w:rPr>
                <w:sz w:val="18"/>
              </w:rPr>
              <w:t xml:space="preserve">Co-lending escrow controlled only by the co-lenders (CF 10 note) and held with a bank for all flows (TDCR 117). Website list of active co-lending partners (TDCR 126; FS 21(4)).</w:t>
            </w:r>
            <w:r>
              <w:rPr>
                <w:sz w:val="18"/>
              </w:rPr>
              <w:t xml:space="preserve"> </w:t>
            </w:r>
            <w:r>
              <w:rPr>
                <w:bCs/>
                <w:b/>
                <w:sz w:val="18"/>
              </w:rPr>
              <w:t xml:space="preserve">CLA engine:</w:t>
            </w:r>
            <w:r>
              <w:rPr>
                <w:sz w:val="18"/>
              </w:rPr>
              <w:t xml:space="preserve"> </w:t>
            </w:r>
            <w:r>
              <w:rPr>
                <w:sz w:val="18"/>
              </w:rPr>
              <w:t xml:space="preserve">NBFC share ≥ 10% (TDCR 102), 15-day booking clock with fall-back to originator (113, 115), dual borrower accounts (116), blended rate (108–109), next-working-day classification sync (124), originator-only DLG ≤ 5% of CLA outstanding (123).</w:t>
            </w:r>
            <w:r>
              <w:rPr>
                <w:sz w:val="18"/>
              </w:rPr>
              <w:t xml:space="preserve"> </w:t>
            </w:r>
            <w:r>
              <w:rPr>
                <w:bCs/>
                <w:b/>
                <w:sz w:val="18"/>
              </w:rPr>
              <w:t xml:space="preserve">Loan-transfer engine:</w:t>
            </w:r>
            <w:r>
              <w:rPr>
                <w:sz w:val="18"/>
              </w:rPr>
              <w:t xml:space="preserve"> </w:t>
            </w:r>
            <w:r>
              <w:rPr>
                <w:sz w:val="18"/>
              </w:rPr>
              <w:t xml:space="preserve">MHP calculator (TDCR 43–44), default/SMA gate (33), one-third DD test and 10% retention (40), 30-day replacement (52), no re-acquisition (17, 87), stressed-loan sale with valuation and Swiss challenge (57, 60, 89–92), trade-reporting database (94).</w:t>
            </w:r>
            <w:r>
              <w:rPr>
                <w:sz w:val="18"/>
              </w:rPr>
              <w:t xml:space="preserve"> </w:t>
            </w:r>
            <w:r>
              <w:rPr>
                <w:bCs/>
                <w:b/>
                <w:sz w:val="18"/>
              </w:rPr>
              <w:t xml:space="preserve">Securitisation engine:</w:t>
            </w:r>
            <w:r>
              <w:rPr>
                <w:sz w:val="18"/>
              </w:rPr>
              <w:t xml:space="preserve"> </w:t>
            </w:r>
            <w:r>
              <w:rPr>
                <w:sz w:val="18"/>
              </w:rPr>
              <w:t xml:space="preserve">eligibility (SEC 5–8), MRR (10–14), 20% cap (23), ₹1 crore ticket (26), SPE checks (28), 30-day issuance gap (31), CE reset calculator (84–87), STC checker (35–79), Annex I generator (112–113)</w:t>
            </w:r>
          </w:p>
        </w:tc>
      </w:tr>
      <w:tr>
        <w:tc>
          <w:tcPr>
            <w:tcW w:w="1796" w:type="dxa"/>
          </w:tcPr>
          <w:p>
            <w:pPr>
              <w:pStyle w:val="Compact"/>
              <w:spacing w:after="40"/>
              <w:jc w:val="left"/>
            </w:pPr>
            <w:r>
              <w:rPr>
                <w:sz w:val="18"/>
              </w:rPr>
              <w:t xml:space="preserve">M12</w:t>
            </w:r>
          </w:p>
        </w:tc>
        <w:tc>
          <w:tcPr>
            <w:tcW w:w="7842" w:type="dxa"/>
          </w:tcPr>
          <w:p>
            <w:pPr>
              <w:pStyle w:val="Compact"/>
              <w:spacing w:after="40"/>
              <w:jc w:val="left"/>
            </w:pPr>
            <w:r>
              <w:rPr>
                <w:sz w:val="18"/>
              </w:rPr>
              <w:t xml:space="preserve">Exposure engine and limits for BL, ML and UL, LEF and breach block (CON). ALM and daily LCR engine (ALM). EWS and fraud lifecycle (FRM). CDS register (CRM 16–17)</w:t>
            </w:r>
          </w:p>
        </w:tc>
      </w:tr>
      <w:tr>
        <w:tc>
          <w:tcPr>
            <w:tcW w:w="1796" w:type="dxa"/>
          </w:tcPr>
          <w:p>
            <w:pPr>
              <w:pStyle w:val="Compact"/>
              <w:spacing w:after="40"/>
              <w:jc w:val="left"/>
            </w:pPr>
            <w:r>
              <w:rPr>
                <w:sz w:val="18"/>
              </w:rPr>
              <w:t xml:space="preserve">M13</w:t>
            </w:r>
          </w:p>
        </w:tc>
        <w:tc>
          <w:tcPr>
            <w:tcW w:w="7842" w:type="dxa"/>
          </w:tcPr>
          <w:p>
            <w:pPr>
              <w:pStyle w:val="Compact"/>
              <w:spacing w:after="40"/>
              <w:jc w:val="left"/>
            </w:pPr>
            <w:r>
              <w:rPr>
                <w:sz w:val="18"/>
              </w:rPr>
              <w:t xml:space="preserve">New or corrected returns: DNBS04A/04B (ALM 57); Large Exposure return, quarterly (SR 21 item 12; CON 48); LE breach intimation (CON 45); CDS excess report, quarterly (CRM 17(7)); IRF data, half-yearly (INV 29); per-case FMR and FUA (FRM 43); RBR within 7 days and quarterly (FRM 57–58); DNBS10 SAC support (AUD 6); CIMS DLA Annex-I (CF 18); LAS Annex-III pledge report (CF 106); public liquidity disclosure, quarterly (ALM 15; FS 21(13)); LCR disclosure from daily values (FS C.2(32)); branch-closure intimation (BR 12)</w:t>
            </w:r>
          </w:p>
        </w:tc>
      </w:tr>
      <w:tr>
        <w:tc>
          <w:tcPr>
            <w:tcW w:w="1796" w:type="dxa"/>
          </w:tcPr>
          <w:p>
            <w:pPr>
              <w:pStyle w:val="Compact"/>
              <w:spacing w:after="40"/>
              <w:jc w:val="left"/>
            </w:pPr>
            <w:r>
              <w:rPr>
                <w:sz w:val="18"/>
              </w:rPr>
              <w:t xml:space="preserve">M14</w:t>
            </w:r>
          </w:p>
        </w:tc>
        <w:tc>
          <w:tcPr>
            <w:tcW w:w="7842" w:type="dxa"/>
          </w:tcPr>
          <w:p>
            <w:pPr>
              <w:pStyle w:val="Compact"/>
              <w:spacing w:after="40"/>
              <w:jc w:val="left"/>
            </w:pPr>
            <w:r>
              <w:rPr>
                <w:bCs/>
                <w:b/>
                <w:sz w:val="18"/>
              </w:rPr>
              <w:t xml:space="preserve">Compliance Function workflow suite</w:t>
            </w:r>
            <w:r>
              <w:rPr>
                <w:sz w:val="18"/>
              </w:rPr>
              <w:t xml:space="preserve"> </w:t>
            </w:r>
            <w:r>
              <w:rPr>
                <w:sz w:val="18"/>
              </w:rPr>
              <w:t xml:space="preserve">(CMP 6–33): annual compliance risk assessment and Board review generator, product/process approval gate, 6-month new-product monitoring, compliance testing, RMP/MAP tracker, CCO governance register and SSM intimations, deviation approvals, unified dashboard.</w:t>
            </w:r>
            <w:r>
              <w:rPr>
                <w:sz w:val="18"/>
              </w:rPr>
              <w:t xml:space="preserve"> </w:t>
            </w:r>
            <w:r>
              <w:rPr>
                <w:bCs/>
                <w:b/>
                <w:sz w:val="18"/>
              </w:rPr>
              <w:t xml:space="preserve">Applicability engine</w:t>
            </w:r>
            <w:r>
              <w:rPr>
                <w:sz w:val="18"/>
              </w:rPr>
              <w:t xml:space="preserve"> </w:t>
            </w:r>
            <w:r>
              <w:rPr>
                <w:sz w:val="18"/>
              </w:rPr>
              <w:t xml:space="preserve">driven by the entity profile</w:t>
            </w:r>
          </w:p>
        </w:tc>
      </w:tr>
      <w:tr>
        <w:tc>
          <w:tcPr>
            <w:tcW w:w="1796" w:type="dxa"/>
          </w:tcPr>
          <w:p>
            <w:pPr>
              <w:pStyle w:val="Compact"/>
              <w:spacing w:after="40"/>
              <w:jc w:val="left"/>
            </w:pPr>
            <w:r>
              <w:rPr>
                <w:sz w:val="18"/>
              </w:rPr>
              <w:t xml:space="preserve">M15</w:t>
            </w:r>
          </w:p>
        </w:tc>
        <w:tc>
          <w:tcPr>
            <w:tcW w:w="7842" w:type="dxa"/>
          </w:tcPr>
          <w:p>
            <w:pPr>
              <w:pStyle w:val="Compact"/>
              <w:spacing w:after="40"/>
              <w:jc w:val="left"/>
            </w:pPr>
            <w:r>
              <w:rPr>
                <w:bCs/>
                <w:b/>
                <w:sz w:val="18"/>
              </w:rPr>
              <w:t xml:space="preserve">Credit-information complaint workflow</w:t>
            </w:r>
            <w:r>
              <w:rPr>
                <w:sz w:val="18"/>
              </w:rPr>
              <w:t xml:space="preserve"> </w:t>
            </w:r>
            <w:r>
              <w:rPr>
                <w:sz w:val="18"/>
              </w:rPr>
              <w:t xml:space="preserve">with 21/30-day clocks, ₹100/day compensation, apportionment and 5-day payout (CIR 34–35). Digital-lending grievance escalation text (CF 12)</w:t>
            </w:r>
          </w:p>
        </w:tc>
      </w:tr>
      <w:tr>
        <w:tc>
          <w:tcPr>
            <w:tcW w:w="1796" w:type="dxa"/>
          </w:tcPr>
          <w:p>
            <w:pPr>
              <w:pStyle w:val="Compact"/>
              <w:spacing w:after="40"/>
              <w:jc w:val="left"/>
            </w:pPr>
            <w:r>
              <w:rPr>
                <w:sz w:val="18"/>
              </w:rPr>
              <w:t xml:space="preserve">M17</w:t>
            </w:r>
          </w:p>
        </w:tc>
        <w:tc>
          <w:tcPr>
            <w:tcW w:w="7842" w:type="dxa"/>
          </w:tcPr>
          <w:p>
            <w:pPr>
              <w:pStyle w:val="Compact"/>
              <w:spacing w:after="40"/>
              <w:jc w:val="left"/>
            </w:pPr>
            <w:r>
              <w:rPr>
                <w:sz w:val="18"/>
              </w:rPr>
              <w:t xml:space="preserve">Board/committee packs: annual compliance review (CMP 7), compliance testing (CMP 15(3)), SCBMF fraud review (FRM 8), EWS effectiveness (FRM 14, 21), DQI and RCA reviews (CIR 17, 34(4)), ALCO pack (ALM), LE return (CON)</w:t>
            </w:r>
          </w:p>
        </w:tc>
      </w:tr>
      <w:tr>
        <w:tc>
          <w:tcPr>
            <w:tcW w:w="1796" w:type="dxa"/>
          </w:tcPr>
          <w:p>
            <w:pPr>
              <w:pStyle w:val="Compact"/>
              <w:spacing w:after="40"/>
              <w:jc w:val="left"/>
            </w:pPr>
            <w:r>
              <w:rPr>
                <w:sz w:val="18"/>
              </w:rPr>
              <w:t xml:space="preserve">M19 / M21 / M22 / M23</w:t>
            </w:r>
          </w:p>
        </w:tc>
        <w:tc>
          <w:tcPr>
            <w:tcW w:w="7842" w:type="dxa"/>
          </w:tcPr>
          <w:p>
            <w:pPr>
              <w:pStyle w:val="Compact"/>
              <w:spacing w:after="40"/>
              <w:jc w:val="left"/>
            </w:pPr>
            <w:r>
              <w:rPr>
                <w:bCs/>
                <w:b/>
                <w:sz w:val="18"/>
              </w:rPr>
              <w:t xml:space="preserve">Read-only</w:t>
            </w:r>
            <w:r>
              <w:rPr>
                <w:bCs/>
                <w:b/>
                <w:sz w:val="18"/>
              </w:rPr>
              <w:t xml:space="preserve"> </w:t>
            </w:r>
            <w:r>
              <w:rPr>
                <w:bCs/>
                <w:b/>
                <w:sz w:val="18"/>
              </w:rPr>
              <w:t xml:space="preserve">“</w:t>
            </w:r>
            <w:r>
              <w:rPr>
                <w:bCs/>
                <w:b/>
                <w:sz w:val="18"/>
              </w:rPr>
              <w:t xml:space="preserve">RBI Supervisor</w:t>
            </w:r>
            <w:r>
              <w:rPr>
                <w:bCs/>
                <w:b/>
                <w:sz w:val="18"/>
              </w:rPr>
              <w:t xml:space="preserve">”</w:t>
            </w:r>
            <w:r>
              <w:rPr>
                <w:bCs/>
                <w:b/>
                <w:sz w:val="18"/>
              </w:rPr>
              <w:t xml:space="preserve"> </w:t>
            </w:r>
            <w:r>
              <w:rPr>
                <w:bCs/>
                <w:b/>
                <w:sz w:val="18"/>
              </w:rPr>
              <w:t xml:space="preserve">and</w:t>
            </w:r>
            <w:r>
              <w:rPr>
                <w:bCs/>
                <w:b/>
                <w:sz w:val="18"/>
              </w:rPr>
              <w:t xml:space="preserve"> </w:t>
            </w:r>
            <w:r>
              <w:rPr>
                <w:bCs/>
                <w:b/>
                <w:sz w:val="18"/>
              </w:rPr>
              <w:t xml:space="preserve">“</w:t>
            </w:r>
            <w:r>
              <w:rPr>
                <w:bCs/>
                <w:b/>
                <w:sz w:val="18"/>
              </w:rPr>
              <w:t xml:space="preserve">Auditor (audit-mode)</w:t>
            </w:r>
            <w:r>
              <w:rPr>
                <w:bCs/>
                <w:b/>
                <w:sz w:val="18"/>
              </w:rPr>
              <w:t xml:space="preserve">”</w:t>
            </w:r>
            <w:r>
              <w:rPr>
                <w:bCs/>
                <w:b/>
                <w:sz w:val="18"/>
              </w:rPr>
              <w:t xml:space="preserve"> </w:t>
            </w:r>
            <w:r>
              <w:rPr>
                <w:bCs/>
                <w:b/>
                <w:sz w:val="18"/>
              </w:rPr>
              <w:t xml:space="preserve">roles</w:t>
            </w:r>
            <w:r>
              <w:rPr>
                <w:sz w:val="18"/>
              </w:rPr>
              <w:t xml:space="preserve"> </w:t>
            </w:r>
            <w:r>
              <w:rPr>
                <w:sz w:val="18"/>
              </w:rPr>
              <w:t xml:space="preserve">(CYB 46, 57). MFA for privileged and critical actions (CYB 115). Delegated authority for parameter changes such as interest rates (CYB 21(3)). STP with no manual edits of inter-system files (CYB 119).</w:t>
            </w:r>
            <w:r>
              <w:rPr>
                <w:sz w:val="18"/>
              </w:rPr>
              <w:t xml:space="preserve"> </w:t>
            </w:r>
            <w:r>
              <w:rPr>
                <w:bCs/>
                <w:b/>
                <w:sz w:val="18"/>
              </w:rPr>
              <w:t xml:space="preserve">DLA permission and biometric limits</w:t>
            </w:r>
            <w:r>
              <w:rPr>
                <w:sz w:val="18"/>
              </w:rPr>
              <w:t xml:space="preserve"> </w:t>
            </w:r>
            <w:r>
              <w:rPr>
                <w:sz w:val="18"/>
              </w:rPr>
              <w:t xml:space="preserve">(CF 13–14). DPS controls for payments, mobile and web (DPS 41–68)</w:t>
            </w:r>
          </w:p>
        </w:tc>
      </w:tr>
      <w:tr>
        <w:tc>
          <w:tcPr>
            <w:tcW w:w="1796" w:type="dxa"/>
          </w:tcPr>
          <w:p>
            <w:pPr>
              <w:pStyle w:val="Compact"/>
              <w:spacing w:after="40"/>
              <w:jc w:val="left"/>
            </w:pPr>
            <w:r>
              <w:rPr>
                <w:sz w:val="18"/>
              </w:rPr>
              <w:t xml:space="preserve">Workspace L</w:t>
            </w:r>
          </w:p>
        </w:tc>
        <w:tc>
          <w:tcPr>
            <w:tcW w:w="7842" w:type="dxa"/>
          </w:tcPr>
          <w:p>
            <w:pPr>
              <w:pStyle w:val="Compact"/>
              <w:spacing w:after="40"/>
              <w:jc w:val="left"/>
            </w:pPr>
            <w:r>
              <w:rPr>
                <w:bCs/>
                <w:b/>
                <w:sz w:val="18"/>
              </w:rPr>
              <w:t xml:space="preserve">Auditor evidence packs</w:t>
            </w:r>
            <w:r>
              <w:rPr>
                <w:sz w:val="18"/>
              </w:rPr>
              <w:t xml:space="preserve"> </w:t>
            </w:r>
            <w:r>
              <w:rPr>
                <w:sz w:val="18"/>
              </w:rPr>
              <w:t xml:space="preserve">(AUD 6–8): PBC test and NOF computation, Board resolution on deposits, IRACP/investment/concentration compliance, CRAR with DNBS03 lineage, MFI qualifying-asset test (≥ 60% of total assets net of intangibles; 4-quarter breach rule; MFI paras 8(3), 12), exception-report register (AUD 11), fraud closure files (FRM 52)</w:t>
            </w:r>
          </w:p>
        </w:tc>
      </w:tr>
    </w:tbl>
    <w:p>
      <w:r>
        <w:pict>
          <v:rect style="width:0;height:1.5pt" o:hralign="center" o:hrstd="t" o:hr="t"/>
        </w:pict>
      </w:r>
    </w:p>
    <w:bookmarkEnd w:id="796"/>
    <w:bookmarkStart w:id="797" w:name="X7f233d534a1825f82afb12e3156b910424e3c5a"/>
    <w:p>
      <w:pPr>
        <w:pStyle w:val="Heading2"/>
      </w:pPr>
      <w:r>
        <w:t xml:space="preserve">8A.17 IRACP — Income Recognition, Asset Classification and Provisioning Directions (356)</w:t>
      </w:r>
    </w:p>
    <w:p>
      <w:pPr>
        <w:pStyle w:val="FirstParagraph"/>
      </w:pPr>
      <w:r>
        <w:rPr>
          <w:bCs/>
          <w:b/>
        </w:rPr>
        <w:t xml:space="preserve">Applicability (paras 3–10).</w:t>
      </w:r>
      <w:r>
        <w:t xml:space="preserve"> </w:t>
      </w:r>
      <w:r>
        <w:t xml:space="preserve">NBFC-D, ICC, Factor, IFC, IDF. HFC, NBFC-MFI, MGC and CIC apply it subject to their own Directions, which prevail on conflict (paras 4–7). Not P2P, AA, SPD, NOFHC, NBFCs with no public funds and no customer interface, or BL with customer interface but no public funds (para 10). Ind AS/ICAI prevail on inconsistency (para 8). Restructured accounts also follow RSA (para 9; Part 8A.18). Supplied text updated as on 13 Feb 2026; later amendments are not verified.</w:t>
      </w:r>
    </w:p>
    <w:p>
      <w:pPr>
        <w:pStyle w:val="BodyText"/>
      </w:pPr>
      <w:r>
        <w:rPr>
          <w:bCs/>
          <w:b/>
        </w:rPr>
        <w:t xml:space="preserve">Loan agreement and borrower education (paras 15–17):</w:t>
      </w:r>
    </w:p>
    <w:p>
      <w:pPr>
        <w:numPr>
          <w:ilvl w:val="0"/>
          <w:numId w:val="1737"/>
        </w:numPr>
        <w:pStyle w:val="Compact"/>
      </w:pPr>
      <w:r>
        <w:t xml:space="preserve">Loans sanctioned on or after 31 Dec 2021: the agreement states exact due dates, repayment frequency, principal/interest break-up,</w:t>
      </w:r>
      <w:r>
        <w:t xml:space="preserve"> </w:t>
      </w:r>
      <w:r>
        <w:rPr>
          <w:bCs/>
          <w:b/>
        </w:rPr>
        <w:t xml:space="preserve">worked examples of SMA/NPA dates</w:t>
      </w:r>
      <w:r>
        <w:t xml:space="preserve">, and for moratorium loans the exact repayment start date (paras 15(1), 15(3)).</w:t>
      </w:r>
    </w:p>
    <w:p>
      <w:pPr>
        <w:numPr>
          <w:ilvl w:val="0"/>
          <w:numId w:val="1737"/>
        </w:numPr>
        <w:pStyle w:val="Compact"/>
      </w:pPr>
      <w:r>
        <w:t xml:space="preserve">The borrower is told at sanction and at every later change to sanction terms until full repayment (para 15(2)). Older loans: at renewal or review (para 16).</w:t>
      </w:r>
    </w:p>
    <w:p>
      <w:pPr>
        <w:numPr>
          <w:ilvl w:val="0"/>
          <w:numId w:val="1737"/>
        </w:numPr>
        <w:pStyle w:val="Compact"/>
      </w:pPr>
      <w:r>
        <w:t xml:space="preserve">Website literature explaining overdue, SMA, NPA and upgrade with reference to the day-end process; branch posters optional; front-line staff explain at sanction, disbursal and renewal (para 17).</w:t>
      </w:r>
    </w:p>
    <w:p>
      <w:pPr>
        <w:numPr>
          <w:ilvl w:val="0"/>
          <w:numId w:val="1737"/>
        </w:numPr>
        <w:pStyle w:val="Compact"/>
      </w:pPr>
      <w:r>
        <w:rPr>
          <w:iCs/>
          <w:i/>
        </w:rPr>
        <w:t xml:space="preserve">Build:</w:t>
      </w:r>
      <w:r>
        <w:t xml:space="preserve"> </w:t>
      </w:r>
      <w:r>
        <w:t xml:space="preserve">the agreement/KFS generator computes the illustrative SMA-0/1/2 and NPA dates from the actual first due date and regenerates them on any change to terms.</w:t>
      </w:r>
    </w:p>
    <w:p>
      <w:pPr>
        <w:pStyle w:val="FirstParagraph"/>
      </w:pPr>
      <w:r>
        <w:rPr>
          <w:bCs/>
          <w:b/>
        </w:rPr>
        <w:t xml:space="preserve">Day-end tagging (paras 11(2), 18–19):</w:t>
      </w:r>
    </w:p>
    <w:p>
      <w:pPr>
        <w:numPr>
          <w:ilvl w:val="0"/>
          <w:numId w:val="1738"/>
        </w:numPr>
        <w:pStyle w:val="Compact"/>
      </w:pPr>
      <w:r>
        <w:t xml:space="preserve">“</w:t>
      </w:r>
      <w:r>
        <w:t xml:space="preserve">Overdue</w:t>
      </w:r>
      <w:r>
        <w:t xml:space="preserve">”</w:t>
      </w:r>
      <w:r>
        <w:t xml:space="preserve"> </w:t>
      </w:r>
      <w:r>
        <w:t xml:space="preserve">= not paid on the due date fixed by the NBFC (para 11(2)).</w:t>
      </w:r>
    </w:p>
    <w:p>
      <w:pPr>
        <w:numPr>
          <w:ilvl w:val="0"/>
          <w:numId w:val="1738"/>
        </w:numPr>
        <w:pStyle w:val="Compact"/>
      </w:pPr>
      <w:r>
        <w:t xml:space="preserve">Flag overdue in the day-end process for the due date,</w:t>
      </w:r>
      <w:r>
        <w:t xml:space="preserve"> </w:t>
      </w:r>
      <w:r>
        <w:rPr>
          <w:bCs/>
          <w:b/>
        </w:rPr>
        <w:t xml:space="preserve">irrespective of the time the process runs</w:t>
      </w:r>
      <w:r>
        <w:t xml:space="preserve"> </w:t>
      </w:r>
      <w:r>
        <w:t xml:space="preserve">(para 18).</w:t>
      </w:r>
    </w:p>
    <w:p>
      <w:pPr>
        <w:numPr>
          <w:ilvl w:val="0"/>
          <w:numId w:val="1738"/>
        </w:numPr>
        <w:pStyle w:val="Compact"/>
      </w:pPr>
      <w:r>
        <w:t xml:space="preserve">SMA/NPA classification runs in the day-end process;</w:t>
      </w:r>
      <w:r>
        <w:t xml:space="preserve"> </w:t>
      </w:r>
      <w:r>
        <w:rPr>
          <w:bCs/>
          <w:b/>
        </w:rPr>
        <w:t xml:space="preserve">the classification date is the calendar date for which day-end is run</w:t>
      </w:r>
      <w:r>
        <w:t xml:space="preserve"> </w:t>
      </w:r>
      <w:r>
        <w:t xml:space="preserve">(para 19).</w:t>
      </w:r>
    </w:p>
    <w:p>
      <w:pPr>
        <w:numPr>
          <w:ilvl w:val="0"/>
          <w:numId w:val="1738"/>
        </w:numPr>
        <w:pStyle w:val="Compact"/>
      </w:pPr>
      <w:r>
        <w:rPr>
          <w:bCs/>
          <w:b/>
        </w:rPr>
        <w:t xml:space="preserve">Illustration I (golden test):</w:t>
      </w:r>
      <w:r>
        <w:t xml:space="preserve"> </w:t>
      </w:r>
      <w:r>
        <w:t xml:space="preserve">due 31 Mar, unpaid → overdue 31 Mar; SMA-1 on 30 Apr; SMA-2 on 30 May; NPA on 29 Jun. The due date is overdue day 1:</w:t>
      </w:r>
      <w:r>
        <w:t xml:space="preserve"> </w:t>
      </w:r>
      <w:r>
        <w:rPr>
          <w:bCs/>
          <w:b/>
        </w:rPr>
        <w:t xml:space="preserve">DPD = COB date − oldest unpaid due date + 1</w:t>
      </w:r>
      <w:r>
        <w:t xml:space="preserve">.</w:t>
      </w:r>
    </w:p>
    <w:p>
      <w:pPr>
        <w:numPr>
          <w:ilvl w:val="0"/>
          <w:numId w:val="1738"/>
        </w:numPr>
        <w:pStyle w:val="Compact"/>
      </w:pPr>
      <w:r>
        <w:t xml:space="preserve">SMA bands are in RSA para 18 (Part 8A.18).</w:t>
      </w:r>
    </w:p>
    <w:p>
      <w:pPr>
        <w:pStyle w:val="FirstParagraph"/>
      </w:pPr>
      <w:r>
        <w:rPr>
          <w:bCs/>
          <w:b/>
        </w:rPr>
        <w:t xml:space="preserve">Asset classes and NPA (paras 11(1), 20–27, 42–46, 50–53, 56):</w:t>
      </w:r>
    </w:p>
    <w:p>
      <w:pPr>
        <w:numPr>
          <w:ilvl w:val="0"/>
          <w:numId w:val="1739"/>
        </w:numPr>
        <w:pStyle w:val="Compact"/>
      </w:pPr>
      <w:r>
        <w:t xml:space="preserve">Four classes: standard, sub-standard, doubtful, loss (para 21). Loss asset definition (para 11(1)).</w:t>
      </w:r>
    </w:p>
    <w:p>
      <w:pPr>
        <w:numPr>
          <w:ilvl w:val="0"/>
          <w:numId w:val="1739"/>
        </w:numPr>
        <w:pStyle w:val="Compact"/>
      </w:pPr>
      <w:r>
        <w:rPr>
          <w:bCs/>
          <w:b/>
        </w:rPr>
        <w:t xml:space="preserve">NPA threshold:</w:t>
      </w:r>
    </w:p>
    <w:p>
      <w:pPr>
        <w:numPr>
          <w:ilvl w:val="1"/>
          <w:numId w:val="1740"/>
        </w:numPr>
        <w:pStyle w:val="Compact"/>
      </w:pPr>
      <w:r>
        <w:t xml:space="preserve">ML and UL:</w:t>
      </w:r>
      <w:r>
        <w:t xml:space="preserve"> </w:t>
      </w:r>
      <w:r>
        <w:rPr>
          <w:bCs/>
          <w:b/>
        </w:rPr>
        <w:t xml:space="preserve">&gt; 90 days</w:t>
      </w:r>
      <w:r>
        <w:t xml:space="preserve"> </w:t>
      </w:r>
      <w:r>
        <w:t xml:space="preserve">(paras 51, 56).</w:t>
      </w:r>
    </w:p>
    <w:p>
      <w:pPr>
        <w:numPr>
          <w:ilvl w:val="1"/>
          <w:numId w:val="1740"/>
        </w:numPr>
        <w:pStyle w:val="Compact"/>
      </w:pPr>
      <w:r>
        <w:t xml:space="preserve">BL: 180 days with glide path &gt; 150 days by 31 Mar 2024, &gt; 120 days by 31 Mar 2025,</w:t>
      </w:r>
      <w:r>
        <w:t xml:space="preserve"> </w:t>
      </w:r>
      <w:r>
        <w:rPr>
          <w:bCs/>
          <w:b/>
        </w:rPr>
        <w:t xml:space="preserve">&gt; 90 days by 31 Mar 2026</w:t>
      </w:r>
      <w:r>
        <w:t xml:space="preserve"> </w:t>
      </w:r>
      <w:r>
        <w:t xml:space="preserve">(paras 43–44).</w:t>
      </w:r>
    </w:p>
    <w:p>
      <w:pPr>
        <w:numPr>
          <w:ilvl w:val="1"/>
          <w:numId w:val="1740"/>
        </w:numPr>
        <w:pStyle w:val="Compact"/>
      </w:pPr>
      <w:r>
        <w:rPr>
          <w:iCs/>
          <w:i/>
        </w:rPr>
        <w:t xml:space="preserve">Build:</w:t>
      </w:r>
      <w:r>
        <w:t xml:space="preserve"> </w:t>
      </w:r>
      <w:r>
        <w:t xml:space="preserve">&gt; 90 days for every layer now; keep the effective-dated BL rule pack for back-dated replay.</w:t>
      </w:r>
    </w:p>
    <w:p>
      <w:pPr>
        <w:numPr>
          <w:ilvl w:val="0"/>
          <w:numId w:val="1739"/>
        </w:numPr>
        <w:pStyle w:val="Compact"/>
      </w:pPr>
      <w:r>
        <w:rPr>
          <w:bCs/>
          <w:b/>
        </w:rPr>
        <w:t xml:space="preserve">Triggers:</w:t>
      </w:r>
      <w:r>
        <w:t xml:space="preserve"> </w:t>
      </w:r>
      <w:r>
        <w:t xml:space="preserve">overdue interest; term-loan instalment; demand/call loan from date of demand; bills; other current-asset receivables; dues from sale of assets or services or reimbursements; lease rentals and HP instalments (paras 43(1)–(7), 51(1)–(7)). Lease/HP accounts are classified on their record of recovery (provisos).</w:t>
      </w:r>
    </w:p>
    <w:p>
      <w:pPr>
        <w:numPr>
          <w:ilvl w:val="0"/>
          <w:numId w:val="1739"/>
        </w:numPr>
        <w:pStyle w:val="Compact"/>
      </w:pPr>
      <w:r>
        <w:rPr>
          <w:bCs/>
          <w:b/>
        </w:rPr>
        <w:t xml:space="preserve">Borrower-wise, not facility-wise:</w:t>
      </w:r>
      <w:r>
        <w:t xml:space="preserve"> </w:t>
      </w:r>
      <w:r>
        <w:t xml:space="preserve">all facilities</w:t>
      </w:r>
      <w:r>
        <w:t xml:space="preserve"> </w:t>
      </w:r>
      <w:r>
        <w:rPr>
          <w:bCs/>
          <w:b/>
        </w:rPr>
        <w:t xml:space="preserve">and all securities of the borrower held as investments</w:t>
      </w:r>
      <w:r>
        <w:t xml:space="preserve"> </w:t>
      </w:r>
      <w:r>
        <w:t xml:space="preserve">become NPA/NPI (paras 23, 43(8), 51(8)).</w:t>
      </w:r>
    </w:p>
    <w:p>
      <w:pPr>
        <w:numPr>
          <w:ilvl w:val="0"/>
          <w:numId w:val="1739"/>
        </w:numPr>
        <w:pStyle w:val="Compact"/>
      </w:pPr>
      <w:r>
        <w:rPr>
          <w:bCs/>
          <w:b/>
        </w:rPr>
        <w:t xml:space="preserve">Sub-standard:</w:t>
      </w:r>
      <w:r>
        <w:t xml:space="preserve"> </w:t>
      </w:r>
      <w:r>
        <w:t xml:space="preserve">NPA for ≤</w:t>
      </w:r>
      <w:r>
        <w:t xml:space="preserve"> </w:t>
      </w:r>
      <w:r>
        <w:rPr>
          <w:bCs/>
          <w:b/>
        </w:rPr>
        <w:t xml:space="preserve">18 months (BL)</w:t>
      </w:r>
      <w:r>
        <w:t xml:space="preserve"> </w:t>
      </w:r>
      <w:r>
        <w:t xml:space="preserve">/ ≤</w:t>
      </w:r>
      <w:r>
        <w:t xml:space="preserve"> </w:t>
      </w:r>
      <w:r>
        <w:rPr>
          <w:bCs/>
          <w:b/>
        </w:rPr>
        <w:t xml:space="preserve">12 months (ML/UL)</w:t>
      </w:r>
      <w:r>
        <w:t xml:space="preserve">; or terms renegotiated, rescheduled or restructured after commencement of operations, until one year of satisfactory performance (paras 45, 52).</w:t>
      </w:r>
    </w:p>
    <w:p>
      <w:pPr>
        <w:numPr>
          <w:ilvl w:val="0"/>
          <w:numId w:val="1739"/>
        </w:numPr>
        <w:pStyle w:val="Compact"/>
      </w:pPr>
      <w:r>
        <w:rPr>
          <w:bCs/>
          <w:b/>
        </w:rPr>
        <w:t xml:space="preserve">Doubtful:</w:t>
      </w:r>
      <w:r>
        <w:t xml:space="preserve"> </w:t>
      </w:r>
      <w:r>
        <w:t xml:space="preserve">sub-standard for more than 18 / 12 months (paras 46, 53).</w:t>
      </w:r>
    </w:p>
    <w:p>
      <w:pPr>
        <w:numPr>
          <w:ilvl w:val="0"/>
          <w:numId w:val="1739"/>
        </w:numPr>
        <w:pStyle w:val="Compact"/>
      </w:pPr>
      <w:r>
        <w:rPr>
          <w:bCs/>
          <w:b/>
        </w:rPr>
        <w:t xml:space="preserve">Upgrade:</w:t>
      </w:r>
    </w:p>
    <w:p>
      <w:pPr>
        <w:numPr>
          <w:ilvl w:val="1"/>
          <w:numId w:val="1741"/>
        </w:numPr>
        <w:pStyle w:val="Compact"/>
      </w:pPr>
      <w:r>
        <w:rPr>
          <w:bCs/>
          <w:b/>
        </w:rPr>
        <w:t xml:space="preserve">only when all arrears of interest and principal on all facilities are paid</w:t>
      </w:r>
      <w:r>
        <w:t xml:space="preserve"> </w:t>
      </w:r>
      <w:r>
        <w:t xml:space="preserve">(paras 24–25);</w:t>
      </w:r>
    </w:p>
    <w:p>
      <w:pPr>
        <w:numPr>
          <w:ilvl w:val="1"/>
          <w:numId w:val="1741"/>
        </w:numPr>
        <w:pStyle w:val="Compact"/>
      </w:pPr>
      <w:r>
        <w:t xml:space="preserve">never merely because of rescheduling (para 22);</w:t>
      </w:r>
    </w:p>
    <w:p>
      <w:pPr>
        <w:numPr>
          <w:ilvl w:val="1"/>
          <w:numId w:val="1741"/>
        </w:numPr>
        <w:pStyle w:val="Compact"/>
      </w:pPr>
      <w:r>
        <w:t xml:space="preserve">restructured and DCCO accounts follow RSA (para 26).</w:t>
      </w:r>
    </w:p>
    <w:p>
      <w:pPr>
        <w:numPr>
          <w:ilvl w:val="0"/>
          <w:numId w:val="1739"/>
        </w:numPr>
        <w:pStyle w:val="Compact"/>
      </w:pPr>
      <w:r>
        <w:t xml:space="preserve">Transferred loans follow the TDCR Directions (para 27).</w:t>
      </w:r>
    </w:p>
    <w:p>
      <w:pPr>
        <w:numPr>
          <w:ilvl w:val="0"/>
          <w:numId w:val="1739"/>
        </w:numPr>
        <w:pStyle w:val="Compact"/>
      </w:pPr>
      <w:r>
        <w:t xml:space="preserve">The NBFC-MFI microfinance portfolio is outside paras 21–27, 29 and 32 (paras 20, 29, 32); use the MFI Directions [VERIFY: not supplied].</w:t>
      </w:r>
    </w:p>
    <w:p>
      <w:pPr>
        <w:pStyle w:val="FirstParagraph"/>
      </w:pPr>
      <w:r>
        <w:rPr>
          <w:bCs/>
          <w:b/>
        </w:rPr>
        <w:t xml:space="preserve">Provisioning (paras 28–36C, 47–49, 54–55, 57–60):</w:t>
      </w:r>
    </w:p>
    <w:p>
      <w:pPr>
        <w:numPr>
          <w:ilvl w:val="0"/>
          <w:numId w:val="1742"/>
        </w:numPr>
      </w:pPr>
      <w:r>
        <w:t xml:space="preserve">Standard-asset provision is not netted; it is shown as</w:t>
      </w:r>
      <w:r>
        <w:t xml:space="preserve"> </w:t>
      </w:r>
      <w:r>
        <w:rPr>
          <w:bCs/>
          <w:b/>
        </w:rPr>
        <w:t xml:space="preserve">“</w:t>
      </w:r>
      <w:r>
        <w:rPr>
          <w:bCs/>
          <w:b/>
        </w:rPr>
        <w:t xml:space="preserve">Contingent Provisions against Standard Assets</w:t>
      </w:r>
      <w:r>
        <w:rPr>
          <w:bCs/>
          <w:b/>
        </w:rPr>
        <w:t xml:space="preserve">”</w:t>
      </w:r>
      <w:r>
        <w:t xml:space="preserve"> </w:t>
      </w:r>
      <w:r>
        <w:t xml:space="preserve">(para 28) and is not reckoned for net NPA (paras 48, 55).</w:t>
      </w:r>
    </w:p>
    <w:p>
      <w:pPr>
        <w:numPr>
          <w:ilvl w:val="0"/>
          <w:numId w:val="1742"/>
        </w:numPr>
      </w:pPr>
      <w:r>
        <w:rPr>
          <w:bCs/>
          <w:b/>
        </w:rPr>
        <w:t xml:space="preserve">Standard assets:</w:t>
      </w:r>
      <w:r>
        <w:t xml:space="preserve"> </w:t>
      </w:r>
      <w:r>
        <w:t xml:space="preserve">BL</w:t>
      </w:r>
      <w:r>
        <w:t xml:space="preserve"> </w:t>
      </w:r>
      <w:r>
        <w:rPr>
          <w:bCs/>
          <w:b/>
        </w:rPr>
        <w:t xml:space="preserve">0.25%</w:t>
      </w:r>
      <w:r>
        <w:t xml:space="preserve"> </w:t>
      </w:r>
      <w:r>
        <w:t xml:space="preserve">(para 48); ML</w:t>
      </w:r>
      <w:r>
        <w:t xml:space="preserve"> </w:t>
      </w:r>
      <w:r>
        <w:rPr>
          <w:bCs/>
          <w:b/>
        </w:rPr>
        <w:t xml:space="preserve">0.40%</w:t>
      </w:r>
      <w:r>
        <w:t xml:space="preserve">, including microfinance loans (para 55); UL by category (para 58):</w:t>
      </w:r>
    </w:p>
    <w:tbl>
      <w:tblPr>
        <w:tblStyle w:val="Table"/>
        <w:tblW w:type="dxa" w:w="9638"/>
        <w:tblLook w:firstRow="1" w:lastRow="0" w:firstColumn="0" w:lastColumn="0" w:noHBand="0" w:noVBand="0" w:val="0020"/>
        <w:jc w:val="start"/>
        <w:tblInd w:w="720" w:type="dxa"/>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585"/>
        <w:gridCol w:w="5053"/>
      </w:tblGrid>
      <w:tr>
        <w:trPr>
          <w:tblHeader w:val="true"/>
          <w:tblHeader w:val="true"/>
        </w:trPr>
        <w:tc>
          <w:tcPr>
            <w:tcW w:w="4585" w:type="dxa"/>
            <w:shd w:val="clear" w:color="auto" w:fill="1F3A5F"/>
          </w:tcPr>
          <w:p>
            <w:pPr>
              <w:pStyle w:val="Compact"/>
              <w:spacing w:after="40"/>
              <w:jc w:val="left"/>
            </w:pPr>
            <w:r>
              <w:rPr>
                <w:b/>
                <w:color w:val="FFFFFF"/>
                <w:sz w:val="18"/>
              </w:rPr>
              <w:t xml:space="preserve">UL category</w:t>
            </w:r>
          </w:p>
        </w:tc>
        <w:tc>
          <w:tcPr>
            <w:tcW w:w="5053" w:type="dxa"/>
            <w:shd w:val="clear" w:color="auto" w:fill="1F3A5F"/>
          </w:tcPr>
          <w:p>
            <w:pPr>
              <w:pStyle w:val="Compact"/>
              <w:spacing w:after="40"/>
              <w:jc w:val="left"/>
            </w:pPr>
            <w:r>
              <w:rPr>
                <w:b/>
                <w:color w:val="FFFFFF"/>
                <w:sz w:val="18"/>
              </w:rPr>
              <w:t xml:space="preserve">Rate</w:t>
            </w:r>
          </w:p>
        </w:tc>
      </w:tr>
      <w:tr>
        <w:tc>
          <w:tcPr>
            <w:tcW w:w="4585" w:type="dxa"/>
          </w:tcPr>
          <w:p>
            <w:pPr>
              <w:pStyle w:val="Compact"/>
              <w:spacing w:after="40"/>
              <w:jc w:val="left"/>
            </w:pPr>
            <w:r>
              <w:rPr>
                <w:sz w:val="18"/>
              </w:rPr>
              <w:t xml:space="preserve">Individual housing; loans to small and micro enterprises</w:t>
            </w:r>
          </w:p>
        </w:tc>
        <w:tc>
          <w:tcPr>
            <w:tcW w:w="5053" w:type="dxa"/>
          </w:tcPr>
          <w:p>
            <w:pPr>
              <w:pStyle w:val="Compact"/>
              <w:spacing w:after="40"/>
              <w:jc w:val="left"/>
            </w:pPr>
            <w:r>
              <w:rPr>
                <w:sz w:val="18"/>
              </w:rPr>
              <w:t xml:space="preserve">0.25%</w:t>
            </w:r>
          </w:p>
        </w:tc>
      </w:tr>
      <w:tr>
        <w:tc>
          <w:tcPr>
            <w:tcW w:w="4585" w:type="dxa"/>
          </w:tcPr>
          <w:p>
            <w:pPr>
              <w:pStyle w:val="Compact"/>
              <w:spacing w:after="40"/>
              <w:jc w:val="left"/>
            </w:pPr>
            <w:r>
              <w:rPr>
                <w:sz w:val="18"/>
              </w:rPr>
              <w:t xml:space="preserve">Teaser-rate housing</w:t>
            </w:r>
          </w:p>
        </w:tc>
        <w:tc>
          <w:tcPr>
            <w:tcW w:w="5053" w:type="dxa"/>
          </w:tcPr>
          <w:p>
            <w:pPr>
              <w:pStyle w:val="Compact"/>
              <w:spacing w:after="40"/>
              <w:jc w:val="left"/>
            </w:pPr>
            <w:r>
              <w:rPr>
                <w:bCs/>
                <w:b/>
                <w:sz w:val="18"/>
              </w:rPr>
              <w:t xml:space="preserve">2.00%</w:t>
            </w:r>
            <w:r>
              <w:rPr>
                <w:sz w:val="18"/>
              </w:rPr>
              <w:t xml:space="preserve">, falling to 0.40% one year after the rate resets (if standard)</w:t>
            </w:r>
          </w:p>
        </w:tc>
      </w:tr>
      <w:tr>
        <w:tc>
          <w:tcPr>
            <w:tcW w:w="4585" w:type="dxa"/>
          </w:tcPr>
          <w:p>
            <w:pPr>
              <w:pStyle w:val="Compact"/>
              <w:spacing w:after="40"/>
              <w:jc w:val="left"/>
            </w:pPr>
            <w:r>
              <w:rPr>
                <w:sz w:val="18"/>
              </w:rPr>
              <w:t xml:space="preserve">CRE-RH</w:t>
            </w:r>
          </w:p>
        </w:tc>
        <w:tc>
          <w:tcPr>
            <w:tcW w:w="5053" w:type="dxa"/>
          </w:tcPr>
          <w:p>
            <w:pPr>
              <w:pStyle w:val="Compact"/>
              <w:spacing w:after="40"/>
              <w:jc w:val="left"/>
            </w:pPr>
            <w:r>
              <w:rPr>
                <w:sz w:val="18"/>
              </w:rPr>
              <w:t xml:space="preserve">0.75%</w:t>
            </w:r>
          </w:p>
        </w:tc>
      </w:tr>
      <w:tr>
        <w:tc>
          <w:tcPr>
            <w:tcW w:w="4585" w:type="dxa"/>
          </w:tcPr>
          <w:p>
            <w:pPr>
              <w:pStyle w:val="Compact"/>
              <w:spacing w:after="40"/>
              <w:jc w:val="left"/>
            </w:pPr>
            <w:r>
              <w:rPr>
                <w:sz w:val="18"/>
              </w:rPr>
              <w:t xml:space="preserve">CRE</w:t>
            </w:r>
          </w:p>
        </w:tc>
        <w:tc>
          <w:tcPr>
            <w:tcW w:w="5053" w:type="dxa"/>
          </w:tcPr>
          <w:p>
            <w:pPr>
              <w:pStyle w:val="Compact"/>
              <w:spacing w:after="40"/>
              <w:jc w:val="left"/>
            </w:pPr>
            <w:r>
              <w:rPr>
                <w:sz w:val="18"/>
              </w:rPr>
              <w:t xml:space="preserve">1.00%</w:t>
            </w:r>
          </w:p>
        </w:tc>
      </w:tr>
      <w:tr>
        <w:tc>
          <w:tcPr>
            <w:tcW w:w="4585" w:type="dxa"/>
          </w:tcPr>
          <w:p>
            <w:pPr>
              <w:pStyle w:val="Compact"/>
              <w:spacing w:after="40"/>
              <w:jc w:val="left"/>
            </w:pPr>
            <w:r>
              <w:rPr>
                <w:sz w:val="18"/>
              </w:rPr>
              <w:t xml:space="preserve">Restructured</w:t>
            </w:r>
          </w:p>
        </w:tc>
        <w:tc>
          <w:tcPr>
            <w:tcW w:w="5053" w:type="dxa"/>
          </w:tcPr>
          <w:p>
            <w:pPr>
              <w:pStyle w:val="Compact"/>
              <w:spacing w:after="40"/>
              <w:jc w:val="left"/>
            </w:pPr>
            <w:r>
              <w:rPr>
                <w:sz w:val="18"/>
              </w:rPr>
              <w:t xml:space="preserve">Per RSA</w:t>
            </w:r>
          </w:p>
        </w:tc>
      </w:tr>
      <w:tr>
        <w:tc>
          <w:tcPr>
            <w:tcW w:w="4585" w:type="dxa"/>
          </w:tcPr>
          <w:p>
            <w:pPr>
              <w:pStyle w:val="Compact"/>
              <w:spacing w:after="40"/>
              <w:jc w:val="left"/>
            </w:pPr>
            <w:r>
              <w:rPr>
                <w:sz w:val="18"/>
              </w:rPr>
              <w:t xml:space="preserve">All other, including medium enterprises</w:t>
            </w:r>
          </w:p>
        </w:tc>
        <w:tc>
          <w:tcPr>
            <w:tcW w:w="5053" w:type="dxa"/>
          </w:tcPr>
          <w:p>
            <w:pPr>
              <w:pStyle w:val="Compact"/>
              <w:spacing w:after="40"/>
              <w:jc w:val="left"/>
            </w:pPr>
            <w:r>
              <w:rPr>
                <w:sz w:val="18"/>
              </w:rPr>
              <w:t xml:space="preserve">0.40%</w:t>
            </w:r>
          </w:p>
        </w:tc>
      </w:tr>
    </w:tbl>
    <w:p>
      <w:pPr>
        <w:numPr>
          <w:ilvl w:val="0"/>
          <w:numId w:val="1000"/>
        </w:numPr>
      </w:pPr>
      <w:r>
        <w:t xml:space="preserve">MSE definitions per FIDD circular of 2 Jul 2020 (para 12).</w:t>
      </w:r>
    </w:p>
    <w:p>
      <w:pPr>
        <w:numPr>
          <w:ilvl w:val="0"/>
          <w:numId w:val="1742"/>
        </w:numPr>
      </w:pPr>
      <w:r>
        <w:rPr>
          <w:bCs/>
          <w:b/>
        </w:rPr>
        <w:t xml:space="preserve">UL derivatives:</w:t>
      </w:r>
      <w:r>
        <w:t xml:space="preserve"> </w:t>
      </w:r>
      <w:r>
        <w:t xml:space="preserve">current credit exposure (gross positive MTM per counterparty, no netting) attracts the counterparty’s standard-asset rate (paras 59–60).</w:t>
      </w:r>
    </w:p>
    <w:p>
      <w:pPr>
        <w:numPr>
          <w:ilvl w:val="0"/>
          <w:numId w:val="1742"/>
        </w:numPr>
      </w:pPr>
      <w:r>
        <w:rPr>
          <w:bCs/>
          <w:b/>
        </w:rPr>
        <w:t xml:space="preserve">Project finance general provision (para 30(1)),</w:t>
      </w:r>
      <w:r>
        <w:t xml:space="preserve"> </w:t>
      </w:r>
      <w:r>
        <w:t xml:space="preserve">on funded outstanding, portfolio basis:</w:t>
      </w:r>
    </w:p>
    <w:tbl>
      <w:tblPr>
        <w:tblStyle w:val="Table"/>
        <w:tblW w:type="dxa" w:w="9638"/>
        <w:tblLook w:firstRow="1" w:lastRow="0" w:firstColumn="0" w:lastColumn="0" w:noHBand="0" w:noVBand="0" w:val="0020"/>
        <w:jc w:val="start"/>
        <w:tblInd w:w="720" w:type="dxa"/>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569"/>
        <w:gridCol w:w="2022"/>
        <w:gridCol w:w="2022"/>
        <w:gridCol w:w="2025"/>
      </w:tblGrid>
      <w:tr>
        <w:trPr>
          <w:tblHeader w:val="true"/>
          <w:tblHeader w:val="true"/>
        </w:trPr>
        <w:tc>
          <w:tcPr>
            <w:tcW w:w="3569" w:type="dxa"/>
            <w:shd w:val="clear" w:color="auto" w:fill="1F3A5F"/>
          </w:tcPr>
          <w:p>
            <w:pPr>
              <w:pStyle w:val="Compact"/>
              <w:spacing w:after="40"/>
              <w:jc w:val="left"/>
            </w:pPr>
            <w:r>
              <w:rPr>
                <w:b/>
                <w:color w:val="FFFFFF"/>
                <w:sz w:val="18"/>
              </w:rPr>
              <w:t xml:space="preserve">Phase</w:t>
            </w:r>
          </w:p>
        </w:tc>
        <w:tc>
          <w:tcPr>
            <w:tcW w:w="2022" w:type="dxa"/>
            <w:shd w:val="clear" w:color="auto" w:fill="1F3A5F"/>
          </w:tcPr>
          <w:p>
            <w:pPr>
              <w:pStyle w:val="Compact"/>
              <w:spacing w:after="40"/>
              <w:jc w:val="left"/>
            </w:pPr>
            <w:r>
              <w:rPr>
                <w:b/>
                <w:color w:val="FFFFFF"/>
                <w:sz w:val="18"/>
              </w:rPr>
              <w:t xml:space="preserve">CRE</w:t>
            </w:r>
          </w:p>
        </w:tc>
        <w:tc>
          <w:tcPr>
            <w:tcW w:w="2022" w:type="dxa"/>
            <w:shd w:val="clear" w:color="auto" w:fill="1F3A5F"/>
          </w:tcPr>
          <w:p>
            <w:pPr>
              <w:pStyle w:val="Compact"/>
              <w:spacing w:after="40"/>
              <w:jc w:val="left"/>
            </w:pPr>
            <w:r>
              <w:rPr>
                <w:b/>
                <w:color w:val="FFFFFF"/>
                <w:sz w:val="18"/>
              </w:rPr>
              <w:t xml:space="preserve">CRE-RH</w:t>
            </w:r>
          </w:p>
        </w:tc>
        <w:tc>
          <w:tcPr>
            <w:tcW w:w="2025" w:type="dxa"/>
            <w:shd w:val="clear" w:color="auto" w:fill="1F3A5F"/>
          </w:tcPr>
          <w:p>
            <w:pPr>
              <w:pStyle w:val="Compact"/>
              <w:spacing w:after="40"/>
              <w:jc w:val="left"/>
            </w:pPr>
            <w:r>
              <w:rPr>
                <w:b/>
                <w:color w:val="FFFFFF"/>
                <w:sz w:val="18"/>
              </w:rPr>
              <w:t xml:space="preserve">Others</w:t>
            </w:r>
          </w:p>
        </w:tc>
      </w:tr>
      <w:tr>
        <w:tc>
          <w:tcPr>
            <w:tcW w:w="3569" w:type="dxa"/>
          </w:tcPr>
          <w:p>
            <w:pPr>
              <w:pStyle w:val="Compact"/>
              <w:spacing w:after="40"/>
              <w:jc w:val="left"/>
            </w:pPr>
            <w:r>
              <w:rPr>
                <w:sz w:val="18"/>
              </w:rPr>
              <w:t xml:space="preserve">Construction</w:t>
            </w:r>
          </w:p>
        </w:tc>
        <w:tc>
          <w:tcPr>
            <w:tcW w:w="2022" w:type="dxa"/>
          </w:tcPr>
          <w:p>
            <w:pPr>
              <w:pStyle w:val="Compact"/>
              <w:spacing w:after="40"/>
              <w:jc w:val="left"/>
            </w:pPr>
            <w:r>
              <w:rPr>
                <w:sz w:val="18"/>
              </w:rPr>
              <w:t xml:space="preserve">1.25%</w:t>
            </w:r>
          </w:p>
        </w:tc>
        <w:tc>
          <w:tcPr>
            <w:tcW w:w="2022" w:type="dxa"/>
          </w:tcPr>
          <w:p>
            <w:pPr>
              <w:pStyle w:val="Compact"/>
              <w:spacing w:after="40"/>
              <w:jc w:val="left"/>
            </w:pPr>
            <w:r>
              <w:rPr>
                <w:sz w:val="18"/>
              </w:rPr>
              <w:t xml:space="preserve">1.00%</w:t>
            </w:r>
          </w:p>
        </w:tc>
        <w:tc>
          <w:tcPr>
            <w:tcW w:w="2025" w:type="dxa"/>
          </w:tcPr>
          <w:p>
            <w:pPr>
              <w:pStyle w:val="Compact"/>
              <w:spacing w:after="40"/>
              <w:jc w:val="left"/>
            </w:pPr>
            <w:r>
              <w:rPr>
                <w:sz w:val="18"/>
              </w:rPr>
              <w:t xml:space="preserve">1.00%</w:t>
            </w:r>
          </w:p>
        </w:tc>
      </w:tr>
      <w:tr>
        <w:tc>
          <w:tcPr>
            <w:tcW w:w="3569" w:type="dxa"/>
          </w:tcPr>
          <w:p>
            <w:pPr>
              <w:pStyle w:val="Compact"/>
              <w:spacing w:after="40"/>
              <w:jc w:val="left"/>
            </w:pPr>
            <w:r>
              <w:rPr>
                <w:sz w:val="18"/>
              </w:rPr>
              <w:t xml:space="preserve">Operational (after repayment starts)</w:t>
            </w:r>
          </w:p>
        </w:tc>
        <w:tc>
          <w:tcPr>
            <w:tcW w:w="2022" w:type="dxa"/>
          </w:tcPr>
          <w:p>
            <w:pPr>
              <w:pStyle w:val="Compact"/>
              <w:spacing w:after="40"/>
              <w:jc w:val="left"/>
            </w:pPr>
            <w:r>
              <w:rPr>
                <w:sz w:val="18"/>
              </w:rPr>
              <w:t xml:space="preserve">1.00%</w:t>
            </w:r>
          </w:p>
        </w:tc>
        <w:tc>
          <w:tcPr>
            <w:tcW w:w="2022" w:type="dxa"/>
          </w:tcPr>
          <w:p>
            <w:pPr>
              <w:pStyle w:val="Compact"/>
              <w:spacing w:after="40"/>
              <w:jc w:val="left"/>
            </w:pPr>
            <w:r>
              <w:rPr>
                <w:sz w:val="18"/>
              </w:rPr>
              <w:t xml:space="preserve">0.75%</w:t>
            </w:r>
          </w:p>
        </w:tc>
        <w:tc>
          <w:tcPr>
            <w:tcW w:w="2025" w:type="dxa"/>
          </w:tcPr>
          <w:p>
            <w:pPr>
              <w:pStyle w:val="Compact"/>
              <w:spacing w:after="40"/>
              <w:jc w:val="left"/>
            </w:pPr>
            <w:r>
              <w:rPr>
                <w:sz w:val="18"/>
              </w:rPr>
              <w:t xml:space="preserve">0.40%</w:t>
            </w:r>
          </w:p>
        </w:tc>
      </w:tr>
    </w:tbl>
    <w:p>
      <w:pPr>
        <w:numPr>
          <w:ilvl w:val="1"/>
          <w:numId w:val="1743"/>
        </w:numPr>
        <w:pStyle w:val="Compact"/>
      </w:pPr>
      <w:r>
        <w:t xml:space="preserve">Not for projects with financial closure achieved by 1 Oct 2025 (old norms), unless a fresh credit event or material change occurs after that date (paras 30(3)–(4)).</w:t>
      </w:r>
    </w:p>
    <w:p>
      <w:pPr>
        <w:numPr>
          <w:ilvl w:val="1"/>
          <w:numId w:val="1743"/>
        </w:numPr>
        <w:pStyle w:val="Compact"/>
      </w:pPr>
      <w:r>
        <w:t xml:space="preserve">Standard DCCO-deferred accounts also carry the RSA para 118 provision (para 30(2)).</w:t>
      </w:r>
    </w:p>
    <w:p>
      <w:pPr>
        <w:numPr>
          <w:ilvl w:val="1"/>
          <w:numId w:val="1743"/>
        </w:numPr>
        <w:pStyle w:val="Compact"/>
      </w:pPr>
      <w:r>
        <w:t xml:space="preserve">[Interpretation, record in the interpretation log: the para 30 rate replaces the layer rate for project-finance exposures.]</w:t>
      </w:r>
    </w:p>
    <w:p>
      <w:pPr>
        <w:numPr>
          <w:ilvl w:val="0"/>
          <w:numId w:val="1742"/>
        </w:numPr>
      </w:pPr>
      <w:r>
        <w:rPr>
          <w:bCs/>
          <w:b/>
        </w:rPr>
        <w:t xml:space="preserve">NPA (para 32):</w:t>
      </w:r>
    </w:p>
    <w:p>
      <w:pPr>
        <w:numPr>
          <w:ilvl w:val="1"/>
          <w:numId w:val="1744"/>
        </w:numPr>
        <w:pStyle w:val="Compact"/>
      </w:pPr>
      <w:r>
        <w:t xml:space="preserve">sub-standard</w:t>
      </w:r>
      <w:r>
        <w:t xml:space="preserve"> </w:t>
      </w:r>
      <w:r>
        <w:rPr>
          <w:bCs/>
          <w:b/>
        </w:rPr>
        <w:t xml:space="preserve">10%</w:t>
      </w:r>
      <w:r>
        <w:t xml:space="preserve"> </w:t>
      </w:r>
      <w:r>
        <w:t xml:space="preserve">of total outstanding;</w:t>
      </w:r>
    </w:p>
    <w:p>
      <w:pPr>
        <w:numPr>
          <w:ilvl w:val="1"/>
          <w:numId w:val="1744"/>
        </w:numPr>
        <w:pStyle w:val="Compact"/>
      </w:pPr>
      <w:r>
        <w:t xml:space="preserve">doubtful</w:t>
      </w:r>
      <w:r>
        <w:t xml:space="preserve"> </w:t>
      </w:r>
      <w:r>
        <w:rPr>
          <w:bCs/>
          <w:b/>
        </w:rPr>
        <w:t xml:space="preserve">100% of the portion not covered by realisable security</w:t>
      </w:r>
      <w:r>
        <w:t xml:space="preserve">, plus on the secured portion</w:t>
      </w:r>
      <w:r>
        <w:t xml:space="preserve"> </w:t>
      </w:r>
      <w:r>
        <w:rPr>
          <w:bCs/>
          <w:b/>
        </w:rPr>
        <w:t xml:space="preserve">20% (doubtful ≤ 1 year) / 30% (1–3 years) / 50% (&gt; 3 years)</w:t>
      </w:r>
      <w:r>
        <w:t xml:space="preserve">;</w:t>
      </w:r>
    </w:p>
    <w:p>
      <w:pPr>
        <w:numPr>
          <w:ilvl w:val="1"/>
          <w:numId w:val="1744"/>
        </w:numPr>
        <w:pStyle w:val="Compact"/>
      </w:pPr>
      <w:r>
        <w:t xml:space="preserve">loss: write off, or</w:t>
      </w:r>
      <w:r>
        <w:t xml:space="preserve"> </w:t>
      </w:r>
      <w:r>
        <w:rPr>
          <w:bCs/>
          <w:b/>
        </w:rPr>
        <w:t xml:space="preserve">100%</w:t>
      </w:r>
      <w:r>
        <w:t xml:space="preserve"> </w:t>
      </w:r>
      <w:r>
        <w:t xml:space="preserve">if retained.</w:t>
      </w:r>
    </w:p>
    <w:p>
      <w:pPr>
        <w:numPr>
          <w:ilvl w:val="0"/>
          <w:numId w:val="1742"/>
        </w:numPr>
      </w:pPr>
      <w:r>
        <w:rPr>
          <w:bCs/>
          <w:b/>
        </w:rPr>
        <w:t xml:space="preserve">Securitisation liquidity facility</w:t>
      </w:r>
      <w:r>
        <w:t xml:space="preserve"> </w:t>
      </w:r>
      <w:r>
        <w:t xml:space="preserve">drawn and outstanding &gt; 90 days:</w:t>
      </w:r>
      <w:r>
        <w:t xml:space="preserve"> </w:t>
      </w:r>
      <w:r>
        <w:rPr>
          <w:bCs/>
          <w:b/>
        </w:rPr>
        <w:t xml:space="preserve">100%</w:t>
      </w:r>
      <w:r>
        <w:t xml:space="preserve"> </w:t>
      </w:r>
      <w:r>
        <w:t xml:space="preserve">(para 31).</w:t>
      </w:r>
    </w:p>
    <w:p>
      <w:pPr>
        <w:numPr>
          <w:ilvl w:val="0"/>
          <w:numId w:val="1742"/>
        </w:numPr>
      </w:pPr>
      <w:r>
        <w:rPr>
          <w:bCs/>
          <w:b/>
        </w:rPr>
        <w:t xml:space="preserve">HP and leases (para 33):</w:t>
      </w:r>
    </w:p>
    <w:p>
      <w:pPr>
        <w:numPr>
          <w:ilvl w:val="1"/>
          <w:numId w:val="1745"/>
        </w:numPr>
        <w:pStyle w:val="Compact"/>
      </w:pPr>
      <w:r>
        <w:t xml:space="preserve">total dues less unmatured finance charges and notional depreciated value (20% p.a. straight-line on original cost; actual cost for second-hand) (paras 33(1)–(2));</w:t>
      </w:r>
    </w:p>
    <w:p>
      <w:pPr>
        <w:numPr>
          <w:ilvl w:val="1"/>
          <w:numId w:val="1745"/>
        </w:numPr>
        <w:pStyle w:val="Compact"/>
      </w:pPr>
      <w:r>
        <w:t xml:space="preserve">additional provision on NBV by months overdue: ≤ 12 nil; 12–24</w:t>
      </w:r>
      <w:r>
        <w:t xml:space="preserve"> </w:t>
      </w:r>
      <w:r>
        <w:rPr>
          <w:bCs/>
          <w:b/>
        </w:rPr>
        <w:t xml:space="preserve">10%</w:t>
      </w:r>
      <w:r>
        <w:t xml:space="preserve">; 24–36</w:t>
      </w:r>
      <w:r>
        <w:t xml:space="preserve"> </w:t>
      </w:r>
      <w:r>
        <w:rPr>
          <w:bCs/>
          <w:b/>
        </w:rPr>
        <w:t xml:space="preserve">40%</w:t>
      </w:r>
      <w:r>
        <w:t xml:space="preserve">; 36–48</w:t>
      </w:r>
      <w:r>
        <w:t xml:space="preserve"> </w:t>
      </w:r>
      <w:r>
        <w:rPr>
          <w:bCs/>
          <w:b/>
        </w:rPr>
        <w:t xml:space="preserve">70%</w:t>
      </w:r>
      <w:r>
        <w:t xml:space="preserve">; &gt; 48</w:t>
      </w:r>
      <w:r>
        <w:t xml:space="preserve"> </w:t>
      </w:r>
      <w:r>
        <w:rPr>
          <w:bCs/>
          <w:b/>
        </w:rPr>
        <w:t xml:space="preserve">100%</w:t>
      </w:r>
      <w:r>
        <w:t xml:space="preserve"> </w:t>
      </w:r>
      <w:r>
        <w:t xml:space="preserve">(para 33(3));</w:t>
      </w:r>
    </w:p>
    <w:p>
      <w:pPr>
        <w:numPr>
          <w:ilvl w:val="1"/>
          <w:numId w:val="1745"/>
        </w:numPr>
        <w:pStyle w:val="Compact"/>
      </w:pPr>
      <w:r>
        <w:t xml:space="preserve">full NBV 12 months after the last instalment’s due date (para 33(4));</w:t>
      </w:r>
    </w:p>
    <w:p>
      <w:pPr>
        <w:numPr>
          <w:ilvl w:val="1"/>
          <w:numId w:val="1745"/>
        </w:numPr>
        <w:pStyle w:val="Compact"/>
      </w:pPr>
      <w:r>
        <w:t xml:space="preserve">deposit and security set-off rules (paras 33(5)–(7));</w:t>
      </w:r>
    </w:p>
    <w:p>
      <w:pPr>
        <w:numPr>
          <w:ilvl w:val="1"/>
          <w:numId w:val="1745"/>
        </w:numPr>
        <w:pStyle w:val="Compact"/>
      </w:pPr>
      <w:r>
        <w:t xml:space="preserve">provision required even where income is not recognised (para 33(8));</w:t>
      </w:r>
    </w:p>
    <w:p>
      <w:pPr>
        <w:numPr>
          <w:ilvl w:val="1"/>
          <w:numId w:val="1745"/>
        </w:numPr>
        <w:pStyle w:val="Compact"/>
      </w:pPr>
      <w:r>
        <w:t xml:space="preserve">financial leases written from 1 Apr 2001 treated as HP (para 33(9));</w:t>
      </w:r>
    </w:p>
    <w:p>
      <w:pPr>
        <w:numPr>
          <w:ilvl w:val="1"/>
          <w:numId w:val="1745"/>
        </w:numPr>
        <w:pStyle w:val="Compact"/>
      </w:pPr>
      <w:r>
        <w:t xml:space="preserve">BL: renegotiated HP/lease stays sub-standard or its prior class until upgraded (para 49).</w:t>
      </w:r>
    </w:p>
    <w:p>
      <w:pPr>
        <w:numPr>
          <w:ilvl w:val="0"/>
          <w:numId w:val="1742"/>
        </w:numPr>
      </w:pPr>
      <w:r>
        <w:rPr>
          <w:bCs/>
          <w:b/>
        </w:rPr>
        <w:t xml:space="preserve">Ind AS (paras 34–36):</w:t>
      </w:r>
    </w:p>
    <w:p>
      <w:pPr>
        <w:numPr>
          <w:ilvl w:val="1"/>
          <w:numId w:val="1746"/>
        </w:numPr>
        <w:pStyle w:val="Compact"/>
      </w:pPr>
      <w:r>
        <w:t xml:space="preserve">Hold the Ind AS 109 allowance and, in parallel, IRACP classification and provisions (standard, restructured, NPA ageing) as the</w:t>
      </w:r>
      <w:r>
        <w:t xml:space="preserve"> </w:t>
      </w:r>
      <w:r>
        <w:rPr>
          <w:bCs/>
          <w:b/>
        </w:rPr>
        <w:t xml:space="preserve">prudential floor</w:t>
      </w:r>
      <w:r>
        <w:t xml:space="preserve"> </w:t>
      </w:r>
      <w:r>
        <w:t xml:space="preserve">(para 34).</w:t>
      </w:r>
    </w:p>
    <w:p>
      <w:pPr>
        <w:numPr>
          <w:ilvl w:val="1"/>
          <w:numId w:val="1746"/>
        </w:numPr>
        <w:pStyle w:val="Compact"/>
      </w:pPr>
      <w:r>
        <w:t xml:space="preserve">Shortfall appropriated from net profit after tax to an</w:t>
      </w:r>
      <w:r>
        <w:t xml:space="preserve"> </w:t>
      </w:r>
      <w:r>
        <w:rPr>
          <w:bCs/>
          <w:b/>
        </w:rPr>
        <w:t xml:space="preserve">Impairment Reserve</w:t>
      </w:r>
      <w:r>
        <w:t xml:space="preserve">; not regulatory capital;</w:t>
      </w:r>
      <w:r>
        <w:t xml:space="preserve"> </w:t>
      </w:r>
      <w:r>
        <w:rPr>
          <w:bCs/>
          <w:b/>
        </w:rPr>
        <w:t xml:space="preserve">no withdrawal without DoS approval</w:t>
      </w:r>
      <w:r>
        <w:t xml:space="preserve"> </w:t>
      </w:r>
      <w:r>
        <w:t xml:space="preserve">(para 35).</w:t>
      </w:r>
    </w:p>
    <w:p>
      <w:pPr>
        <w:numPr>
          <w:ilvl w:val="1"/>
          <w:numId w:val="1746"/>
        </w:numPr>
        <w:pStyle w:val="Compact"/>
      </w:pPr>
      <w:r>
        <w:t xml:space="preserve">The appropriation counts toward the floor but</w:t>
      </w:r>
      <w:r>
        <w:t xml:space="preserve"> </w:t>
      </w:r>
      <w:r>
        <w:rPr>
          <w:bCs/>
          <w:b/>
        </w:rPr>
        <w:t xml:space="preserve">not for net NPA</w:t>
      </w:r>
      <w:r>
        <w:t xml:space="preserve"> </w:t>
      </w:r>
      <w:r>
        <w:t xml:space="preserve">(para 36).</w:t>
      </w:r>
    </w:p>
    <w:p>
      <w:pPr>
        <w:numPr>
          <w:ilvl w:val="0"/>
          <w:numId w:val="1742"/>
        </w:numPr>
      </w:pPr>
      <w:r>
        <w:rPr>
          <w:bCs/>
          <w:b/>
        </w:rPr>
        <w:t xml:space="preserve">DLG (paras 36A–36C, from 13 Feb 2026):</w:t>
      </w:r>
    </w:p>
    <w:p>
      <w:pPr>
        <w:numPr>
          <w:ilvl w:val="1"/>
          <w:numId w:val="1747"/>
        </w:numPr>
        <w:pStyle w:val="Compact"/>
      </w:pPr>
      <w:r>
        <w:t xml:space="preserve">DLG under CF Ch III / TDCR Part B may be reflected in ECL across all stages, only where integral to the loan’s contractual terms and not recognised separately (para 36A).</w:t>
      </w:r>
    </w:p>
    <w:p>
      <w:pPr>
        <w:numPr>
          <w:ilvl w:val="1"/>
          <w:numId w:val="1747"/>
        </w:numPr>
        <w:pStyle w:val="Compact"/>
      </w:pPr>
      <w:r>
        <w:t xml:space="preserve">Ind AS 1 disclosures (para 36B).</w:t>
      </w:r>
    </w:p>
    <w:p>
      <w:pPr>
        <w:numPr>
          <w:ilvl w:val="1"/>
          <w:numId w:val="1747"/>
        </w:numPr>
        <w:pStyle w:val="Compact"/>
      </w:pPr>
      <w:r>
        <w:rPr>
          <w:bCs/>
          <w:b/>
        </w:rPr>
        <w:t xml:space="preserve">Recompute ECL after every invocation</w:t>
      </w:r>
      <w:r>
        <w:t xml:space="preserve"> </w:t>
      </w:r>
      <w:r>
        <w:t xml:space="preserve">for the reduced cover (para 36C).</w:t>
      </w:r>
    </w:p>
    <w:p>
      <w:pPr>
        <w:pStyle w:val="FirstParagraph"/>
      </w:pPr>
      <w:r>
        <w:rPr>
          <w:bCs/>
          <w:b/>
        </w:rPr>
        <w:t xml:space="preserve">Income recognition (paras 37–40):</w:t>
      </w:r>
    </w:p>
    <w:p>
      <w:pPr>
        <w:numPr>
          <w:ilvl w:val="0"/>
          <w:numId w:val="1748"/>
        </w:numPr>
        <w:pStyle w:val="Compact"/>
      </w:pPr>
      <w:r>
        <w:t xml:space="preserve">On NPAs, interest, discount, hire charges, lease rentals and</w:t>
      </w:r>
      <w:r>
        <w:t xml:space="preserve"> </w:t>
      </w:r>
      <w:r>
        <w:rPr>
          <w:bCs/>
          <w:b/>
        </w:rPr>
        <w:t xml:space="preserve">any other charges</w:t>
      </w:r>
      <w:r>
        <w:t xml:space="preserve"> </w:t>
      </w:r>
      <w:r>
        <w:t xml:space="preserve">are recognised only on realisation; income recognised earlier and still unrealised is reversed (para 38).</w:t>
      </w:r>
    </w:p>
    <w:p>
      <w:pPr>
        <w:numPr>
          <w:ilvl w:val="0"/>
          <w:numId w:val="1748"/>
        </w:numPr>
        <w:pStyle w:val="Compact"/>
      </w:pPr>
      <w:r>
        <w:t xml:space="preserve">Interest moratorium: accrual allowed while standard, tested against the RSA restructuring definition (para 39).</w:t>
      </w:r>
    </w:p>
    <w:p>
      <w:pPr>
        <w:numPr>
          <w:ilvl w:val="0"/>
          <w:numId w:val="1748"/>
        </w:numPr>
        <w:pStyle w:val="Compact"/>
      </w:pPr>
      <w:r>
        <w:t xml:space="preserve">Interest capitalised during a moratorium permitted at sanction is</w:t>
      </w:r>
      <w:r>
        <w:t xml:space="preserve"> </w:t>
      </w:r>
      <w:r>
        <w:rPr>
          <w:bCs/>
          <w:b/>
        </w:rPr>
        <w:t xml:space="preserve">not reversed</w:t>
      </w:r>
      <w:r>
        <w:t xml:space="preserve"> </w:t>
      </w:r>
      <w:r>
        <w:t xml:space="preserve">if the loan later becomes NPA (para 40).</w:t>
      </w:r>
    </w:p>
    <w:p>
      <w:pPr>
        <w:pStyle w:val="FirstParagraph"/>
      </w:pPr>
      <w:r>
        <w:rPr>
          <w:bCs/>
          <w:b/>
        </w:rPr>
        <w:t xml:space="preserve">Disclosures:</w:t>
      </w:r>
      <w:r>
        <w:t xml:space="preserve"> </w:t>
      </w:r>
      <w:r>
        <w:t xml:space="preserve">per FS (para 41; Part 8A.8).</w:t>
      </w:r>
    </w:p>
    <w:p>
      <w:r>
        <w:pict>
          <v:rect style="width:0;height:1.5pt" o:hralign="center" o:hrstd="t" o:hr="t"/>
        </w:pict>
      </w:r>
    </w:p>
    <w:p>
      <w:r>
        <w:pict>
          <v:rect style="width:0;height:1.5pt" o:hralign="center" o:hrstd="t" o:hr="t"/>
        </w:pict>
      </w:r>
    </w:p>
    <w:bookmarkEnd w:id="797"/>
    <w:bookmarkStart w:id="798" w:name="Xc84a9c6ddbbebb95c2cdd5e67225151de158cbf"/>
    <w:p>
      <w:pPr>
        <w:pStyle w:val="Heading2"/>
      </w:pPr>
      <w:r>
        <w:t xml:space="preserve">8A.18 RSA — Resolution of Stressed Assets Directions (357)</w:t>
      </w:r>
    </w:p>
    <w:p>
      <w:pPr>
        <w:pStyle w:val="FirstParagraph"/>
      </w:pPr>
      <w:r>
        <w:rPr>
          <w:bCs/>
          <w:b/>
        </w:rPr>
        <w:t xml:space="preserve">Applicability (paras 3–9).</w:t>
      </w:r>
      <w:r>
        <w:t xml:space="preserve"> </w:t>
      </w:r>
      <w:r>
        <w:t xml:space="preserve">NBFC-D, ICC, Factor, MFI, IFC, IDF, all layers; not CIC, P2P, AA, SPD, NOFHC or the two no-public-funds categories (paras 3, 6).</w:t>
      </w:r>
      <w:r>
        <w:t xml:space="preserve"> </w:t>
      </w:r>
      <w:r>
        <w:rPr>
          <w:bCs/>
          <w:b/>
        </w:rPr>
        <w:t xml:space="preserve">HFCs: only paras 86–138</w:t>
      </w:r>
      <w:r>
        <w:t xml:space="preserve"> </w:t>
      </w:r>
      <w:r>
        <w:t xml:space="preserve">(settlements, write-offs, natural calamities, projects, DRS) (para 5); HFC restructuring norms come from the HFC Directions [VERIFY: not supplied]. MGC: paras 86–100 (para 4). Supplied text is the original of 28 Nov 2025 (no</w:t>
      </w:r>
      <w:r>
        <w:t xml:space="preserve"> </w:t>
      </w:r>
      <w:r>
        <w:t xml:space="preserve">“</w:t>
      </w:r>
      <w:r>
        <w:t xml:space="preserve">updated as on</w:t>
      </w:r>
      <w:r>
        <w:t xml:space="preserve">”</w:t>
      </w:r>
      <w:r>
        <w:t xml:space="preserve"> </w:t>
      </w:r>
      <w:r>
        <w:t xml:space="preserve">date); later amendments are not verified.</w:t>
      </w:r>
    </w:p>
    <w:p>
      <w:pPr>
        <w:numPr>
          <w:ilvl w:val="0"/>
          <w:numId w:val="1749"/>
        </w:numPr>
        <w:pStyle w:val="Compact"/>
      </w:pPr>
      <w:r>
        <w:rPr>
          <w:bCs/>
          <w:b/>
        </w:rPr>
        <w:t xml:space="preserve">Part A:</w:t>
      </w:r>
      <w:r>
        <w:t xml:space="preserve"> </w:t>
      </w:r>
      <w:r>
        <w:t xml:space="preserve">NBFC-D, or NBFC-ND with assets ≥ ₹500 crore (para 7).</w:t>
      </w:r>
    </w:p>
    <w:p>
      <w:pPr>
        <w:numPr>
          <w:ilvl w:val="0"/>
          <w:numId w:val="1749"/>
        </w:numPr>
        <w:pStyle w:val="Compact"/>
      </w:pPr>
      <w:r>
        <w:rPr>
          <w:bCs/>
          <w:b/>
        </w:rPr>
        <w:t xml:space="preserve">Part B:</w:t>
      </w:r>
      <w:r>
        <w:t xml:space="preserve"> </w:t>
      </w:r>
      <w:r>
        <w:t xml:space="preserve">NBFC-ND &lt; ₹500 crore (para 8). Part A paras 13–19, 24–26 and 83–138 also apply to Part B (para 157). Paras 20, 22 and 23 also apply to any NBFC-Factor (para 158).</w:t>
      </w:r>
    </w:p>
    <w:p>
      <w:pPr>
        <w:numPr>
          <w:ilvl w:val="0"/>
          <w:numId w:val="1749"/>
        </w:numPr>
        <w:pStyle w:val="Compact"/>
      </w:pPr>
      <w:r>
        <w:rPr>
          <w:iCs/>
          <w:i/>
        </w:rPr>
        <w:t xml:space="preserve">Build:</w:t>
      </w:r>
      <w:r>
        <w:t xml:space="preserve"> </w:t>
      </w:r>
      <w:r>
        <w:t xml:space="preserve">a Part A/B resolver on the entity profile.</w:t>
      </w:r>
    </w:p>
    <w:p>
      <w:pPr>
        <w:numPr>
          <w:ilvl w:val="0"/>
          <w:numId w:val="1749"/>
        </w:numPr>
        <w:pStyle w:val="Compact"/>
      </w:pPr>
      <w:r>
        <w:t xml:space="preserve">Ind AS/ICAI prevail on inconsistency (para 9).</w:t>
      </w:r>
    </w:p>
    <w:p>
      <w:pPr>
        <w:pStyle w:val="FirstParagraph"/>
      </w:pPr>
      <w:r>
        <w:rPr>
          <w:bCs/>
          <w:b/>
        </w:rPr>
        <w:t xml:space="preserve">Board policies (paras 13–17):</w:t>
      </w:r>
    </w:p>
    <w:p>
      <w:pPr>
        <w:numPr>
          <w:ilvl w:val="0"/>
          <w:numId w:val="1750"/>
        </w:numPr>
        <w:pStyle w:val="Compact"/>
      </w:pPr>
      <w:r>
        <w:rPr>
          <w:bCs/>
          <w:b/>
        </w:rPr>
        <w:t xml:space="preserve">Resolution policy</w:t>
      </w:r>
      <w:r>
        <w:t xml:space="preserve"> </w:t>
      </w:r>
      <w:r>
        <w:t xml:space="preserve">with timelines and quantitative and qualitative</w:t>
      </w:r>
      <w:r>
        <w:t xml:space="preserve"> </w:t>
      </w:r>
      <w:r>
        <w:rPr>
          <w:bCs/>
          <w:b/>
        </w:rPr>
        <w:t xml:space="preserve">financial-difficulty indicators</w:t>
      </w:r>
      <w:r>
        <w:t xml:space="preserve"> </w:t>
      </w:r>
      <w:r>
        <w:t xml:space="preserve">(paras 13, 15). Indicative list (para 14):</w:t>
      </w:r>
    </w:p>
    <w:p>
      <w:pPr>
        <w:numPr>
          <w:ilvl w:val="1"/>
          <w:numId w:val="1751"/>
        </w:numPr>
        <w:pStyle w:val="Compact"/>
      </w:pPr>
      <w:r>
        <w:t xml:space="preserve">any default;</w:t>
      </w:r>
    </w:p>
    <w:p>
      <w:pPr>
        <w:numPr>
          <w:ilvl w:val="1"/>
          <w:numId w:val="1751"/>
        </w:numPr>
        <w:pStyle w:val="Compact"/>
      </w:pPr>
      <w:r>
        <w:t xml:space="preserve">probable default without the concession;</w:t>
      </w:r>
    </w:p>
    <w:p>
      <w:pPr>
        <w:numPr>
          <w:ilvl w:val="1"/>
          <w:numId w:val="1751"/>
        </w:numPr>
        <w:pStyle w:val="Compact"/>
      </w:pPr>
      <w:r>
        <w:t xml:space="preserve">delisting;</w:t>
      </w:r>
    </w:p>
    <w:p>
      <w:pPr>
        <w:numPr>
          <w:ilvl w:val="1"/>
          <w:numId w:val="1751"/>
        </w:numPr>
        <w:pStyle w:val="Compact"/>
      </w:pPr>
      <w:r>
        <w:t xml:space="preserve">cash flows insufficient for contractual servicing;</w:t>
      </w:r>
    </w:p>
    <w:p>
      <w:pPr>
        <w:numPr>
          <w:ilvl w:val="1"/>
          <w:numId w:val="1751"/>
        </w:numPr>
        <w:pStyle w:val="Compact"/>
      </w:pPr>
      <w:r>
        <w:t xml:space="preserve">NPA, or NPA but for the concession;</w:t>
      </w:r>
    </w:p>
    <w:p>
      <w:pPr>
        <w:numPr>
          <w:ilvl w:val="1"/>
          <w:numId w:val="1751"/>
        </w:numPr>
        <w:pStyle w:val="Compact"/>
      </w:pPr>
      <w:r>
        <w:t xml:space="preserve">internal-rating evidence.</w:t>
      </w:r>
    </w:p>
    <w:p>
      <w:pPr>
        <w:numPr>
          <w:ilvl w:val="1"/>
          <w:numId w:val="1751"/>
        </w:numPr>
        <w:pStyle w:val="Compact"/>
      </w:pPr>
      <w:r>
        <w:t xml:space="preserve">Difficulty can exist without arrears (para 15).</w:t>
      </w:r>
    </w:p>
    <w:p>
      <w:pPr>
        <w:numPr>
          <w:ilvl w:val="0"/>
          <w:numId w:val="1750"/>
        </w:numPr>
        <w:pStyle w:val="Compact"/>
      </w:pPr>
      <w:r>
        <w:rPr>
          <w:bCs/>
          <w:b/>
        </w:rPr>
        <w:t xml:space="preserve">Settlement and technical write-off policy</w:t>
      </w:r>
      <w:r>
        <w:t xml:space="preserve"> </w:t>
      </w:r>
      <w:r>
        <w:t xml:space="preserve">(para 16):</w:t>
      </w:r>
    </w:p>
    <w:p>
      <w:pPr>
        <w:numPr>
          <w:ilvl w:val="1"/>
          <w:numId w:val="1752"/>
        </w:numPr>
        <w:pStyle w:val="Compact"/>
      </w:pPr>
      <w:r>
        <w:t xml:space="preserve">process and conditions precedent (minimum ageing, collateral deterioration);</w:t>
      </w:r>
    </w:p>
    <w:p>
      <w:pPr>
        <w:numPr>
          <w:ilvl w:val="1"/>
          <w:numId w:val="1752"/>
        </w:numPr>
        <w:pStyle w:val="Compact"/>
      </w:pPr>
      <w:r>
        <w:t xml:space="preserve">graded staff-accountability framework;</w:t>
      </w:r>
    </w:p>
    <w:p>
      <w:pPr>
        <w:numPr>
          <w:ilvl w:val="1"/>
          <w:numId w:val="1752"/>
        </w:numPr>
        <w:pStyle w:val="Compact"/>
      </w:pPr>
      <w:r>
        <w:t xml:space="preserve">permissible sacrifice by category after realisable value;</w:t>
      </w:r>
    </w:p>
    <w:p>
      <w:pPr>
        <w:numPr>
          <w:ilvl w:val="1"/>
          <w:numId w:val="1752"/>
        </w:numPr>
        <w:pStyle w:val="Compact"/>
      </w:pPr>
      <w:r>
        <w:t xml:space="preserve">realisable-value methodology;</w:t>
      </w:r>
    </w:p>
    <w:p>
      <w:pPr>
        <w:numPr>
          <w:ilvl w:val="1"/>
          <w:numId w:val="1752"/>
        </w:numPr>
        <w:pStyle w:val="Compact"/>
      </w:pPr>
      <w:r>
        <w:rPr>
          <w:bCs/>
          <w:b/>
        </w:rPr>
        <w:t xml:space="preserve">approver at least one level above the sanctioning authority; anyone who sanctioned the loan is excluded; fraud and wilful-defaulter settlements need Board approval in all cases</w:t>
      </w:r>
      <w:r>
        <w:t xml:space="preserve"> </w:t>
      </w:r>
      <w:r>
        <w:t xml:space="preserve">(para 16(5)).</w:t>
      </w:r>
    </w:p>
    <w:p>
      <w:pPr>
        <w:pStyle w:val="FirstParagraph"/>
      </w:pPr>
      <w:r>
        <w:rPr>
          <w:bCs/>
          <w:b/>
        </w:rPr>
        <w:t xml:space="preserve">SMA and reporting (paras 18–26):</w:t>
      </w:r>
    </w:p>
    <w:p>
      <w:pPr>
        <w:numPr>
          <w:ilvl w:val="0"/>
          <w:numId w:val="1753"/>
        </w:numPr>
        <w:pStyle w:val="Compact"/>
      </w:pPr>
      <w:r>
        <w:rPr>
          <w:bCs/>
          <w:b/>
        </w:rPr>
        <w:t xml:space="preserve">SMA bands</w:t>
      </w:r>
      <w:r>
        <w:t xml:space="preserve"> </w:t>
      </w:r>
      <w:r>
        <w:t xml:space="preserve">(principal, interest or any other amount wholly or partly overdue) (para 18):</w:t>
      </w:r>
    </w:p>
    <w:p>
      <w:pPr>
        <w:numPr>
          <w:ilvl w:val="1"/>
          <w:numId w:val="1754"/>
        </w:numPr>
        <w:pStyle w:val="Compact"/>
      </w:pPr>
      <w:r>
        <w:rPr>
          <w:bCs/>
          <w:b/>
        </w:rPr>
        <w:t xml:space="preserve">SMA-0 up to 30 days;</w:t>
      </w:r>
    </w:p>
    <w:p>
      <w:pPr>
        <w:numPr>
          <w:ilvl w:val="1"/>
          <w:numId w:val="1754"/>
        </w:numPr>
        <w:pStyle w:val="Compact"/>
      </w:pPr>
      <w:r>
        <w:rPr>
          <w:bCs/>
          <w:b/>
        </w:rPr>
        <w:t xml:space="preserve">SMA-1 more than 30 and up to 60 days;</w:t>
      </w:r>
    </w:p>
    <w:p>
      <w:pPr>
        <w:numPr>
          <w:ilvl w:val="1"/>
          <w:numId w:val="1754"/>
        </w:numPr>
        <w:pStyle w:val="Compact"/>
      </w:pPr>
      <w:r>
        <w:rPr>
          <w:bCs/>
          <w:b/>
        </w:rPr>
        <w:t xml:space="preserve">SMA-2 more than 60 and up to 90 days.</w:t>
      </w:r>
    </w:p>
    <w:p>
      <w:pPr>
        <w:numPr>
          <w:ilvl w:val="0"/>
          <w:numId w:val="1753"/>
        </w:numPr>
        <w:pStyle w:val="Compact"/>
      </w:pPr>
      <w:r>
        <w:rPr>
          <w:bCs/>
          <w:b/>
        </w:rPr>
        <w:t xml:space="preserve">All loans, including retail, irrespective of size</w:t>
      </w:r>
      <w:r>
        <w:t xml:space="preserve"> </w:t>
      </w:r>
      <w:r>
        <w:t xml:space="preserve">(para 19).</w:t>
      </w:r>
    </w:p>
    <w:p>
      <w:pPr>
        <w:numPr>
          <w:ilvl w:val="0"/>
          <w:numId w:val="1753"/>
        </w:numPr>
        <w:pStyle w:val="Compact"/>
      </w:pPr>
      <w:r>
        <w:rPr>
          <w:bCs/>
          <w:b/>
        </w:rPr>
        <w:t xml:space="preserve">CRILC monthly</w:t>
      </w:r>
      <w:r>
        <w:t xml:space="preserve"> </w:t>
      </w:r>
      <w:r>
        <w:t xml:space="preserve">for borrowers with aggregate exposure</w:t>
      </w:r>
      <w:r>
        <w:t xml:space="preserve"> </w:t>
      </w:r>
      <w:r>
        <w:rPr>
          <w:bCs/>
          <w:b/>
        </w:rPr>
        <w:t xml:space="preserve">≥ ₹5 crore</w:t>
      </w:r>
      <w:r>
        <w:t xml:space="preserve">, including SMA status (para 20).</w:t>
      </w:r>
    </w:p>
    <w:p>
      <w:pPr>
        <w:numPr>
          <w:ilvl w:val="0"/>
          <w:numId w:val="1753"/>
        </w:numPr>
        <w:pStyle w:val="Compact"/>
      </w:pPr>
      <w:r>
        <w:rPr>
          <w:bCs/>
          <w:b/>
        </w:rPr>
        <w:t xml:space="preserve">Weekly default report by close of business every Friday</w:t>
      </w:r>
      <w:r>
        <w:t xml:space="preserve"> </w:t>
      </w:r>
      <w:r>
        <w:t xml:space="preserve">(or the preceding working day) (para 21).</w:t>
      </w:r>
    </w:p>
    <w:p>
      <w:pPr>
        <w:numPr>
          <w:ilvl w:val="0"/>
          <w:numId w:val="1753"/>
        </w:numPr>
        <w:pStyle w:val="Compact"/>
      </w:pPr>
      <w:r>
        <w:rPr>
          <w:bCs/>
          <w:b/>
        </w:rPr>
        <w:t xml:space="preserve">Accelerated provisioning</w:t>
      </w:r>
      <w:r>
        <w:t xml:space="preserve"> </w:t>
      </w:r>
      <w:r>
        <w:t xml:space="preserve">for non-reporting, concealment or evergreening (paras 22–23):</w:t>
      </w:r>
    </w:p>
    <w:p>
      <w:pPr>
        <w:numPr>
          <w:ilvl w:val="1"/>
          <w:numId w:val="1755"/>
        </w:numPr>
        <w:pStyle w:val="Compact"/>
      </w:pPr>
      <w:r>
        <w:t xml:space="preserve">secured sub-standard, 6–18 months (BL) / 6–12 months (others): 25%;</w:t>
      </w:r>
    </w:p>
    <w:p>
      <w:pPr>
        <w:numPr>
          <w:ilvl w:val="1"/>
          <w:numId w:val="1755"/>
        </w:numPr>
        <w:pStyle w:val="Compact"/>
      </w:pPr>
      <w:r>
        <w:t xml:space="preserve">unsecured-ab-initio sub-standard: 25% (≤ 6 months), 40% (thereafter);</w:t>
      </w:r>
    </w:p>
    <w:p>
      <w:pPr>
        <w:numPr>
          <w:ilvl w:val="1"/>
          <w:numId w:val="1755"/>
        </w:numPr>
        <w:pStyle w:val="Compact"/>
      </w:pPr>
      <w:r>
        <w:t xml:space="preserve">Doubtful I and II, secured portion: 40%;</w:t>
      </w:r>
    </w:p>
    <w:p>
      <w:pPr>
        <w:numPr>
          <w:ilvl w:val="1"/>
          <w:numId w:val="1755"/>
        </w:numPr>
        <w:pStyle w:val="Compact"/>
      </w:pPr>
      <w:r>
        <w:t xml:space="preserve">Doubtful III: 100%.</w:t>
      </w:r>
    </w:p>
    <w:p>
      <w:pPr>
        <w:numPr>
          <w:ilvl w:val="0"/>
          <w:numId w:val="1753"/>
        </w:numPr>
        <w:pStyle w:val="Compact"/>
      </w:pPr>
      <w:r>
        <w:t xml:space="preserve">Information-utility submissions under IBC (para 24).</w:t>
      </w:r>
    </w:p>
    <w:p>
      <w:pPr>
        <w:numPr>
          <w:ilvl w:val="0"/>
          <w:numId w:val="1753"/>
        </w:numPr>
        <w:pStyle w:val="Compact"/>
      </w:pPr>
      <w:r>
        <w:t xml:space="preserve">Disclosures per FS (para 25).</w:t>
      </w:r>
    </w:p>
    <w:p>
      <w:pPr>
        <w:numPr>
          <w:ilvl w:val="0"/>
          <w:numId w:val="1753"/>
        </w:numPr>
        <w:pStyle w:val="Compact"/>
      </w:pPr>
      <w:r>
        <w:t xml:space="preserve">Evergreening or concealment invites enforcement action (para 26).</w:t>
      </w:r>
    </w:p>
    <w:p>
      <w:pPr>
        <w:pStyle w:val="FirstParagraph"/>
      </w:pPr>
      <w:r>
        <w:rPr>
          <w:bCs/>
          <w:b/>
        </w:rPr>
        <w:t xml:space="preserve">Definitions and resolution process (Part A, paras 10, 27–51):</w:t>
      </w:r>
    </w:p>
    <w:p>
      <w:pPr>
        <w:numPr>
          <w:ilvl w:val="0"/>
          <w:numId w:val="1756"/>
        </w:numPr>
        <w:pStyle w:val="Compact"/>
      </w:pPr>
      <w:r>
        <w:rPr>
          <w:bCs/>
          <w:b/>
        </w:rPr>
        <w:t xml:space="preserve">Definitions:</w:t>
      </w:r>
    </w:p>
    <w:p>
      <w:pPr>
        <w:numPr>
          <w:ilvl w:val="1"/>
          <w:numId w:val="1757"/>
        </w:numPr>
        <w:pStyle w:val="Compact"/>
      </w:pPr>
      <w:r>
        <w:t xml:space="preserve">Default = non-payment of debt when any part is due (para 10(4)).</w:t>
      </w:r>
    </w:p>
    <w:p>
      <w:pPr>
        <w:numPr>
          <w:ilvl w:val="1"/>
          <w:numId w:val="1757"/>
        </w:numPr>
        <w:pStyle w:val="Compact"/>
      </w:pPr>
      <w:r>
        <w:rPr>
          <w:bCs/>
          <w:b/>
        </w:rPr>
        <w:t xml:space="preserve">Restructuring</w:t>
      </w:r>
      <w:r>
        <w:t xml:space="preserve"> </w:t>
      </w:r>
      <w:r>
        <w:t xml:space="preserve">= concessions for reasons of financial difficulty. It includes changes to period, amount, instalment or rate; roll-over;</w:t>
      </w:r>
      <w:r>
        <w:t xml:space="preserve"> </w:t>
      </w:r>
      <w:r>
        <w:rPr>
          <w:bCs/>
          <w:b/>
        </w:rPr>
        <w:t xml:space="preserve">additional credit to an account in default to cure it</w:t>
      </w:r>
      <w:r>
        <w:t xml:space="preserve">; and</w:t>
      </w:r>
      <w:r>
        <w:t xml:space="preserve"> </w:t>
      </w:r>
      <w:r>
        <w:rPr>
          <w:bCs/>
          <w:b/>
        </w:rPr>
        <w:t xml:space="preserve">settlements paid over more than 3 months</w:t>
      </w:r>
      <w:r>
        <w:t xml:space="preserve"> </w:t>
      </w:r>
      <w:r>
        <w:t xml:space="preserve">(para 10(12)).</w:t>
      </w:r>
    </w:p>
    <w:p>
      <w:pPr>
        <w:numPr>
          <w:ilvl w:val="1"/>
          <w:numId w:val="1757"/>
        </w:numPr>
        <w:pStyle w:val="Compact"/>
      </w:pPr>
      <w:r>
        <w:rPr>
          <w:bCs/>
          <w:b/>
        </w:rPr>
        <w:t xml:space="preserve">Review period</w:t>
      </w:r>
      <w:r>
        <w:t xml:space="preserve"> </w:t>
      </w:r>
      <w:r>
        <w:t xml:space="preserve">= 30 days (para 10(13)).</w:t>
      </w:r>
    </w:p>
    <w:p>
      <w:pPr>
        <w:numPr>
          <w:ilvl w:val="1"/>
          <w:numId w:val="1757"/>
        </w:numPr>
        <w:pStyle w:val="Compact"/>
      </w:pPr>
      <w:r>
        <w:rPr>
          <w:bCs/>
          <w:b/>
        </w:rPr>
        <w:t xml:space="preserve">Satisfactory performance</w:t>
      </w:r>
      <w:r>
        <w:t xml:space="preserve"> </w:t>
      </w:r>
      <w:r>
        <w:t xml:space="preserve">= no default with any specified lender</w:t>
      </w:r>
      <w:r>
        <w:t xml:space="preserve"> </w:t>
      </w:r>
      <w:r>
        <w:rPr>
          <w:bCs/>
          <w:b/>
        </w:rPr>
        <w:t xml:space="preserve">at any time</w:t>
      </w:r>
      <w:r>
        <w:t xml:space="preserve"> </w:t>
      </w:r>
      <w:r>
        <w:t xml:space="preserve">(para 10(14)).</w:t>
      </w:r>
    </w:p>
    <w:p>
      <w:pPr>
        <w:numPr>
          <w:ilvl w:val="1"/>
          <w:numId w:val="1757"/>
        </w:numPr>
        <w:pStyle w:val="Compact"/>
      </w:pPr>
      <w:r>
        <w:rPr>
          <w:bCs/>
          <w:b/>
        </w:rPr>
        <w:t xml:space="preserve">Monitoring period</w:t>
      </w:r>
      <w:r>
        <w:t xml:space="preserve"> </w:t>
      </w:r>
      <w:r>
        <w:t xml:space="preserve">= until 10% of post-plan principal debt plus capitalised interest is repaid (para 10(8)).</w:t>
      </w:r>
    </w:p>
    <w:p>
      <w:pPr>
        <w:numPr>
          <w:ilvl w:val="1"/>
          <w:numId w:val="1757"/>
        </w:numPr>
        <w:pStyle w:val="Compact"/>
      </w:pPr>
      <w:r>
        <w:rPr>
          <w:bCs/>
          <w:b/>
        </w:rPr>
        <w:t xml:space="preserve">Specified period</w:t>
      </w:r>
      <w:r>
        <w:t xml:space="preserve"> </w:t>
      </w:r>
      <w:r>
        <w:t xml:space="preserve">= until 20% is repaid (para 10(16)).</w:t>
      </w:r>
    </w:p>
    <w:p>
      <w:pPr>
        <w:numPr>
          <w:ilvl w:val="0"/>
          <w:numId w:val="1756"/>
        </w:numPr>
        <w:pStyle w:val="Compact"/>
      </w:pPr>
      <w:r>
        <w:rPr>
          <w:bCs/>
          <w:b/>
        </w:rPr>
        <w:t xml:space="preserve">Review and ICA:</w:t>
      </w:r>
    </w:p>
    <w:p>
      <w:pPr>
        <w:numPr>
          <w:ilvl w:val="1"/>
          <w:numId w:val="1758"/>
        </w:numPr>
        <w:pStyle w:val="Compact"/>
      </w:pPr>
      <w:r>
        <w:t xml:space="preserve">Specified lenders review jointly within the review period (paras 27–28).</w:t>
      </w:r>
    </w:p>
    <w:p>
      <w:pPr>
        <w:numPr>
          <w:ilvl w:val="1"/>
          <w:numId w:val="1758"/>
        </w:numPr>
        <w:pStyle w:val="Compact"/>
      </w:pPr>
      <w:r>
        <w:t xml:space="preserve">The ICA binds all signatories at</w:t>
      </w:r>
      <w:r>
        <w:t xml:space="preserve"> </w:t>
      </w:r>
      <w:r>
        <w:rPr>
          <w:bCs/>
          <w:b/>
        </w:rPr>
        <w:t xml:space="preserve">75% by value and 60% by number</w:t>
      </w:r>
      <w:r>
        <w:t xml:space="preserve">; dissenters receive at least liquidation value (paras 31–33).</w:t>
      </w:r>
    </w:p>
    <w:p>
      <w:pPr>
        <w:numPr>
          <w:ilvl w:val="0"/>
          <w:numId w:val="1756"/>
        </w:numPr>
        <w:pStyle w:val="Compact"/>
      </w:pPr>
      <w:r>
        <w:rPr>
          <w:bCs/>
          <w:b/>
        </w:rPr>
        <w:t xml:space="preserve">Resolution plan:</w:t>
      </w:r>
    </w:p>
    <w:p>
      <w:pPr>
        <w:numPr>
          <w:ilvl w:val="1"/>
          <w:numId w:val="1759"/>
        </w:numPr>
        <w:pStyle w:val="Compact"/>
      </w:pPr>
      <w:r>
        <w:t xml:space="preserve">Documented even when no terms change (para 35).</w:t>
      </w:r>
    </w:p>
    <w:p>
      <w:pPr>
        <w:numPr>
          <w:ilvl w:val="1"/>
          <w:numId w:val="1759"/>
        </w:numPr>
        <w:pStyle w:val="Compact"/>
      </w:pPr>
      <w:r>
        <w:t xml:space="preserve">ICE needed for restructuring or change of ownership at aggregate exposure</w:t>
      </w:r>
      <w:r>
        <w:t xml:space="preserve"> </w:t>
      </w:r>
      <w:r>
        <w:rPr>
          <w:bCs/>
          <w:b/>
        </w:rPr>
        <w:t xml:space="preserve">≥ ₹100 crore</w:t>
      </w:r>
      <w:r>
        <w:t xml:space="preserve">: one evaluation, two at ≥ ₹500 crore, all</w:t>
      </w:r>
      <w:r>
        <w:t xml:space="preserve"> </w:t>
      </w:r>
      <w:r>
        <w:rPr>
          <w:bCs/>
          <w:b/>
        </w:rPr>
        <w:t xml:space="preserve">RP4 or better</w:t>
      </w:r>
      <w:r>
        <w:t xml:space="preserve"> </w:t>
      </w:r>
      <w:r>
        <w:t xml:space="preserve">(paras 36–41).</w:t>
      </w:r>
    </w:p>
    <w:p>
      <w:pPr>
        <w:numPr>
          <w:ilvl w:val="1"/>
          <w:numId w:val="1759"/>
        </w:numPr>
        <w:pStyle w:val="Compact"/>
      </w:pPr>
      <w:r>
        <w:t xml:space="preserve">Normal classification continues while a plan is considered (para 42).</w:t>
      </w:r>
    </w:p>
    <w:p>
      <w:pPr>
        <w:numPr>
          <w:ilvl w:val="1"/>
          <w:numId w:val="1759"/>
        </w:numPr>
        <w:pStyle w:val="Compact"/>
      </w:pPr>
      <w:r>
        <w:t xml:space="preserve">Tests for</w:t>
      </w:r>
      <w:r>
        <w:t xml:space="preserve"> </w:t>
      </w:r>
      <w:r>
        <w:t xml:space="preserve">“</w:t>
      </w:r>
      <w:r>
        <w:t xml:space="preserve">implemented</w:t>
      </w:r>
      <w:r>
        <w:t xml:space="preserve">”</w:t>
      </w:r>
      <w:r>
        <w:t xml:space="preserve"> </w:t>
      </w:r>
      <w:r>
        <w:t xml:space="preserve">(paras 43–44).</w:t>
      </w:r>
    </w:p>
    <w:p>
      <w:pPr>
        <w:numPr>
          <w:ilvl w:val="1"/>
          <w:numId w:val="1759"/>
        </w:numPr>
        <w:pStyle w:val="Compact"/>
      </w:pPr>
      <w:r>
        <w:t xml:space="preserve">Implementation within 180 days after the review period ends: ≥ ₹2,000 crore (reference date 7 Jun 2019); ₹1,500–2,000 crore (1 Jan 2020) (paras 45–46).</w:t>
      </w:r>
    </w:p>
    <w:p>
      <w:pPr>
        <w:numPr>
          <w:ilvl w:val="0"/>
          <w:numId w:val="1756"/>
        </w:numPr>
        <w:pStyle w:val="Compact"/>
      </w:pPr>
      <w:r>
        <w:rPr>
          <w:bCs/>
          <w:b/>
        </w:rPr>
        <w:t xml:space="preserve">Additional provisions, only at ≥ ₹1,500 crore</w:t>
      </w:r>
      <w:r>
        <w:t xml:space="preserve"> </w:t>
      </w:r>
      <w:r>
        <w:t xml:space="preserve">(para 47):</w:t>
      </w:r>
    </w:p>
    <w:p>
      <w:pPr>
        <w:numPr>
          <w:ilvl w:val="1"/>
          <w:numId w:val="1760"/>
        </w:numPr>
        <w:pStyle w:val="Compact"/>
      </w:pPr>
      <w:r>
        <w:rPr>
          <w:bCs/>
          <w:b/>
        </w:rPr>
        <w:t xml:space="preserve">20%</w:t>
      </w:r>
      <w:r>
        <w:t xml:space="preserve"> </w:t>
      </w:r>
      <w:r>
        <w:t xml:space="preserve">if not implemented within 180 days of the end of the review period;</w:t>
      </w:r>
    </w:p>
    <w:p>
      <w:pPr>
        <w:numPr>
          <w:ilvl w:val="1"/>
          <w:numId w:val="1760"/>
        </w:numPr>
        <w:pStyle w:val="Compact"/>
      </w:pPr>
      <w:r>
        <w:rPr>
          <w:bCs/>
          <w:b/>
        </w:rPr>
        <w:t xml:space="preserve">+15%</w:t>
      </w:r>
      <w:r>
        <w:t xml:space="preserve"> </w:t>
      </w:r>
      <w:r>
        <w:t xml:space="preserve">at 365 days (para 48);</w:t>
      </w:r>
    </w:p>
    <w:p>
      <w:pPr>
        <w:numPr>
          <w:ilvl w:val="1"/>
          <w:numId w:val="1760"/>
        </w:numPr>
        <w:pStyle w:val="Compact"/>
      </w:pPr>
      <w:r>
        <w:t xml:space="preserve">over the higher of provisions held or required, capped at 100% (para 49);</w:t>
      </w:r>
    </w:p>
    <w:p>
      <w:pPr>
        <w:numPr>
          <w:ilvl w:val="1"/>
          <w:numId w:val="1760"/>
        </w:numPr>
        <w:pStyle w:val="Compact"/>
      </w:pPr>
      <w:r>
        <w:t xml:space="preserve">reversal rules (para 51).</w:t>
      </w:r>
    </w:p>
    <w:p>
      <w:pPr>
        <w:pStyle w:val="FirstParagraph"/>
      </w:pPr>
      <w:r>
        <w:rPr>
          <w:bCs/>
          <w:b/>
        </w:rPr>
        <w:t xml:space="preserve">Restructuring norms (Part A, paras 52–81):</w:t>
      </w:r>
    </w:p>
    <w:p>
      <w:pPr>
        <w:numPr>
          <w:ilvl w:val="0"/>
          <w:numId w:val="1761"/>
        </w:numPr>
        <w:pStyle w:val="Compact"/>
      </w:pPr>
      <w:r>
        <w:t xml:space="preserve">Apply to all restructurings, including under IBC (para 52).</w:t>
      </w:r>
    </w:p>
    <w:p>
      <w:pPr>
        <w:numPr>
          <w:ilvl w:val="0"/>
          <w:numId w:val="1761"/>
        </w:numPr>
        <w:pStyle w:val="Compact"/>
      </w:pPr>
      <w:r>
        <w:rPr>
          <w:bCs/>
          <w:b/>
        </w:rPr>
        <w:t xml:space="preserve">Classification on restructuring:</w:t>
      </w:r>
      <w:r>
        <w:t xml:space="preserve"> </w:t>
      </w:r>
      <w:r>
        <w:t xml:space="preserve">standard →</w:t>
      </w:r>
      <w:r>
        <w:t xml:space="preserve"> </w:t>
      </w:r>
      <w:r>
        <w:rPr>
          <w:bCs/>
          <w:b/>
        </w:rPr>
        <w:t xml:space="preserve">sub-standard immediately</w:t>
      </w:r>
      <w:r>
        <w:t xml:space="preserve">; an NPA keeps its class; ageing continues (paras 53–55).</w:t>
      </w:r>
    </w:p>
    <w:p>
      <w:pPr>
        <w:numPr>
          <w:ilvl w:val="0"/>
          <w:numId w:val="1761"/>
        </w:numPr>
        <w:pStyle w:val="Compact"/>
      </w:pPr>
      <w:r>
        <w:rPr>
          <w:bCs/>
          <w:b/>
        </w:rPr>
        <w:t xml:space="preserve">Additional finance:</w:t>
      </w:r>
      <w:r>
        <w:t xml:space="preserve"> </w:t>
      </w:r>
      <w:r>
        <w:t xml:space="preserve">standard during the monitoring period if performance is satisfactory, otherwise it takes the restructured debt’s class (paras 56–57). IBC interim finance is standard during CIRP (para 58).</w:t>
      </w:r>
    </w:p>
    <w:p>
      <w:pPr>
        <w:numPr>
          <w:ilvl w:val="0"/>
          <w:numId w:val="1761"/>
        </w:numPr>
        <w:pStyle w:val="Compact"/>
      </w:pPr>
      <w:r>
        <w:rPr>
          <w:bCs/>
          <w:b/>
        </w:rPr>
        <w:t xml:space="preserve">Upgrade:</w:t>
      </w:r>
    </w:p>
    <w:p>
      <w:pPr>
        <w:numPr>
          <w:ilvl w:val="1"/>
          <w:numId w:val="1762"/>
        </w:numPr>
        <w:pStyle w:val="Compact"/>
      </w:pPr>
      <w:r>
        <w:t xml:space="preserve">all facilities perform satisfactorily with all specified lenders during the monitoring period, and</w:t>
      </w:r>
      <w:r>
        <w:t xml:space="preserve"> </w:t>
      </w:r>
      <w:r>
        <w:rPr>
          <w:bCs/>
          <w:b/>
        </w:rPr>
        <w:t xml:space="preserve">not before one year from the first payment on the facility with the longest moratorium</w:t>
      </w:r>
      <w:r>
        <w:t xml:space="preserve"> </w:t>
      </w:r>
      <w:r>
        <w:t xml:space="preserve">(para 59);</w:t>
      </w:r>
    </w:p>
    <w:p>
      <w:pPr>
        <w:numPr>
          <w:ilvl w:val="1"/>
          <w:numId w:val="1762"/>
        </w:numPr>
        <w:pStyle w:val="Compact"/>
      </w:pPr>
      <w:r>
        <w:t xml:space="preserve">at ≥ ₹100 crore, also investment-grade rating(s), two at ≥ ₹500 crore (para 60);</w:t>
      </w:r>
    </w:p>
    <w:p>
      <w:pPr>
        <w:numPr>
          <w:ilvl w:val="1"/>
          <w:numId w:val="1762"/>
        </w:numPr>
        <w:pStyle w:val="Compact"/>
      </w:pPr>
      <w:r>
        <w:t xml:space="preserve">failure needs a fresh restructuring or change of ownership (para 61);</w:t>
      </w:r>
    </w:p>
    <w:p>
      <w:pPr>
        <w:numPr>
          <w:ilvl w:val="1"/>
          <w:numId w:val="1762"/>
        </w:numPr>
        <w:pStyle w:val="Compact"/>
      </w:pPr>
      <w:r>
        <w:t xml:space="preserve">default after upgrade but before the specified period ends needs a fresh plan (para 62) and a</w:t>
      </w:r>
      <w:r>
        <w:t xml:space="preserve"> </w:t>
      </w:r>
      <w:r>
        <w:rPr>
          <w:bCs/>
          <w:b/>
        </w:rPr>
        <w:t xml:space="preserve">15% additional provision</w:t>
      </w:r>
      <w:r>
        <w:t xml:space="preserve">, reversible on upgrade (paras 64–65).</w:t>
      </w:r>
    </w:p>
    <w:p>
      <w:pPr>
        <w:numPr>
          <w:ilvl w:val="0"/>
          <w:numId w:val="1761"/>
        </w:numPr>
        <w:pStyle w:val="Compact"/>
      </w:pPr>
      <w:r>
        <w:t xml:space="preserve">Provisions follow the IRACP class (para 63). IBC provision freeze (paras 69–73).</w:t>
      </w:r>
    </w:p>
    <w:p>
      <w:pPr>
        <w:numPr>
          <w:ilvl w:val="0"/>
          <w:numId w:val="1761"/>
        </w:numPr>
        <w:pStyle w:val="Compact"/>
      </w:pPr>
      <w:r>
        <w:rPr>
          <w:bCs/>
          <w:b/>
        </w:rPr>
        <w:t xml:space="preserve">Income:</w:t>
      </w:r>
      <w:r>
        <w:t xml:space="preserve"> </w:t>
      </w:r>
      <w:r>
        <w:t xml:space="preserve">accrual if standard, cash if NPA; additional finance in a previously-NPA account on cash basis unless there is a change of ownership (paras 74–75).</w:t>
      </w:r>
    </w:p>
    <w:p>
      <w:pPr>
        <w:numPr>
          <w:ilvl w:val="0"/>
          <w:numId w:val="1761"/>
        </w:numPr>
        <w:pStyle w:val="Compact"/>
      </w:pPr>
      <w:r>
        <w:rPr>
          <w:bCs/>
          <w:b/>
        </w:rPr>
        <w:t xml:space="preserve">Change-of-ownership upgrade</w:t>
      </w:r>
      <w:r>
        <w:t xml:space="preserve"> </w:t>
      </w:r>
      <w:r>
        <w:t xml:space="preserve">(paras 76–80):</w:t>
      </w:r>
    </w:p>
    <w:p>
      <w:pPr>
        <w:numPr>
          <w:ilvl w:val="1"/>
          <w:numId w:val="1763"/>
        </w:numPr>
        <w:pStyle w:val="Compact"/>
      </w:pPr>
      <w:r>
        <w:t xml:space="preserve">IBC s.29A check;</w:t>
      </w:r>
    </w:p>
    <w:p>
      <w:pPr>
        <w:numPr>
          <w:ilvl w:val="1"/>
          <w:numId w:val="1763"/>
        </w:numPr>
        <w:pStyle w:val="Compact"/>
      </w:pPr>
      <w:r>
        <w:t xml:space="preserve">acquirer not from the existing promoter group;</w:t>
      </w:r>
    </w:p>
    <w:p>
      <w:pPr>
        <w:numPr>
          <w:ilvl w:val="1"/>
          <w:numId w:val="1763"/>
        </w:numPr>
        <w:pStyle w:val="Compact"/>
      </w:pPr>
      <w:r>
        <w:rPr>
          <w:bCs/>
          <w:b/>
        </w:rPr>
        <w:t xml:space="preserve">≥ 26% and the single largest shareholder</w:t>
      </w:r>
      <w:r>
        <w:t xml:space="preserve">;</w:t>
      </w:r>
    </w:p>
    <w:p>
      <w:pPr>
        <w:numPr>
          <w:ilvl w:val="1"/>
          <w:numId w:val="1763"/>
        </w:numPr>
        <w:pStyle w:val="Compact"/>
      </w:pPr>
      <w:r>
        <w:t xml:space="preserve">control;</w:t>
      </w:r>
    </w:p>
    <w:p>
      <w:pPr>
        <w:numPr>
          <w:ilvl w:val="1"/>
          <w:numId w:val="1763"/>
        </w:numPr>
        <w:pStyle w:val="Compact"/>
      </w:pPr>
      <w:r>
        <w:t xml:space="preserve">provisions released only after the monitoring period.</w:t>
      </w:r>
    </w:p>
    <w:p>
      <w:pPr>
        <w:pStyle w:val="FirstParagraph"/>
      </w:pPr>
      <w:r>
        <w:rPr>
          <w:bCs/>
          <w:b/>
        </w:rPr>
        <w:t xml:space="preserve">Special cases (paras 82–101):</w:t>
      </w:r>
    </w:p>
    <w:p>
      <w:pPr>
        <w:numPr>
          <w:ilvl w:val="0"/>
          <w:numId w:val="1764"/>
        </w:numPr>
        <w:pStyle w:val="Compact"/>
      </w:pPr>
      <w:r>
        <w:rPr>
          <w:bCs/>
          <w:b/>
        </w:rPr>
        <w:t xml:space="preserve">Sale-and-leaseback</w:t>
      </w:r>
      <w:r>
        <w:t xml:space="preserve"> </w:t>
      </w:r>
      <w:r>
        <w:t xml:space="preserve">= restructuring when all three hold: the seller is in difficulty; &gt; 50% of the buyer’s revenue from the asset depends on the seller; ≥ 25% of the buyer’s loans for the purchase come from the seller’s lenders (para 82).</w:t>
      </w:r>
    </w:p>
    <w:p>
      <w:pPr>
        <w:numPr>
          <w:ilvl w:val="0"/>
          <w:numId w:val="1764"/>
        </w:numPr>
        <w:pStyle w:val="Compact"/>
      </w:pPr>
      <w:r>
        <w:rPr>
          <w:bCs/>
          <w:b/>
        </w:rPr>
        <w:t xml:space="preserve">Fraud, malfeasance and wilful default:</w:t>
      </w:r>
      <w:r>
        <w:t xml:space="preserve"> </w:t>
      </w:r>
      <w:r>
        <w:t xml:space="preserve">these borrowers and associated entities are</w:t>
      </w:r>
      <w:r>
        <w:t xml:space="preserve"> </w:t>
      </w:r>
      <w:r>
        <w:rPr>
          <w:bCs/>
          <w:b/>
        </w:rPr>
        <w:t xml:space="preserve">ineligible for restructuring</w:t>
      </w:r>
      <w:r>
        <w:t xml:space="preserve"> </w:t>
      </w:r>
      <w:r>
        <w:t xml:space="preserve">(para 83). Exceptions:</w:t>
      </w:r>
    </w:p>
    <w:p>
      <w:pPr>
        <w:numPr>
          <w:ilvl w:val="1"/>
          <w:numId w:val="1765"/>
        </w:numPr>
        <w:pStyle w:val="Compact"/>
      </w:pPr>
      <w:r>
        <w:t xml:space="preserve">new promoters meeting paras 77(1)–(4), with full delinking (para 84);</w:t>
      </w:r>
    </w:p>
    <w:p>
      <w:pPr>
        <w:numPr>
          <w:ilvl w:val="1"/>
          <w:numId w:val="1765"/>
        </w:numPr>
        <w:pStyle w:val="Compact"/>
      </w:pPr>
      <w:r>
        <w:t xml:space="preserve">after removal from the wilful-defaulter list (para 85).</w:t>
      </w:r>
    </w:p>
    <w:p>
      <w:pPr>
        <w:numPr>
          <w:ilvl w:val="0"/>
          <w:numId w:val="1764"/>
        </w:numPr>
        <w:pStyle w:val="Compact"/>
      </w:pPr>
      <w:r>
        <w:rPr>
          <w:bCs/>
          <w:b/>
        </w:rPr>
        <w:t xml:space="preserve">Compromise settlements and technical write-offs (paras 86–100):</w:t>
      </w:r>
    </w:p>
    <w:p>
      <w:pPr>
        <w:numPr>
          <w:ilvl w:val="1"/>
          <w:numId w:val="1766"/>
        </w:numPr>
        <w:pStyle w:val="Compact"/>
      </w:pPr>
      <w:r>
        <w:t xml:space="preserve">Settlement is not a right (para 87).</w:t>
      </w:r>
    </w:p>
    <w:p>
      <w:pPr>
        <w:numPr>
          <w:ilvl w:val="1"/>
          <w:numId w:val="1766"/>
        </w:numPr>
        <w:pStyle w:val="Compact"/>
      </w:pPr>
      <w:r>
        <w:t xml:space="preserve">Future contingent claims must stay off balance sheet, otherwise the arrangement becomes restructuring (para 88).</w:t>
      </w:r>
    </w:p>
    <w:p>
      <w:pPr>
        <w:numPr>
          <w:ilvl w:val="1"/>
          <w:numId w:val="1766"/>
        </w:numPr>
        <w:pStyle w:val="Compact"/>
      </w:pPr>
      <w:r>
        <w:rPr>
          <w:bCs/>
          <w:b/>
        </w:rPr>
        <w:t xml:space="preserve">A settlement paid over more than 3 months, or any part settlement, is restructuring</w:t>
      </w:r>
      <w:r>
        <w:t xml:space="preserve"> </w:t>
      </w:r>
      <w:r>
        <w:t xml:space="preserve">(paras 89–90).</w:t>
      </w:r>
    </w:p>
    <w:p>
      <w:pPr>
        <w:numPr>
          <w:ilvl w:val="1"/>
          <w:numId w:val="1766"/>
        </w:numPr>
        <w:pStyle w:val="Compact"/>
      </w:pPr>
      <w:r>
        <w:t xml:space="preserve">A technical write-off waives nothing and recovery continues (paras 10(18), 91).</w:t>
      </w:r>
    </w:p>
    <w:p>
      <w:pPr>
        <w:numPr>
          <w:ilvl w:val="1"/>
          <w:numId w:val="1766"/>
        </w:numPr>
        <w:pStyle w:val="Compact"/>
      </w:pPr>
      <w:r>
        <w:t xml:space="preserve">Partial technical write-off: classified and provisioned on the original gross exposure (para 92).</w:t>
      </w:r>
    </w:p>
    <w:p>
      <w:pPr>
        <w:numPr>
          <w:ilvl w:val="1"/>
          <w:numId w:val="1766"/>
        </w:numPr>
        <w:pStyle w:val="Compact"/>
      </w:pPr>
      <w:r>
        <w:rPr>
          <w:bCs/>
          <w:b/>
        </w:rPr>
        <w:t xml:space="preserve">Reporting:</w:t>
      </w:r>
      <w:r>
        <w:t xml:space="preserve"> </w:t>
      </w:r>
      <w:r>
        <w:t xml:space="preserve">quarterly to the next higher authority; MD &amp; CEO / Board-committee approvals reported to the Board (para 93).</w:t>
      </w:r>
    </w:p>
    <w:p>
      <w:pPr>
        <w:numPr>
          <w:ilvl w:val="1"/>
          <w:numId w:val="1766"/>
        </w:numPr>
        <w:pStyle w:val="Compact"/>
      </w:pPr>
      <w:r>
        <w:t xml:space="preserve">Minimum report content (para 94): q-o-q and y-o-y trend; fraud, red-flagged, wilful-default and quick-mortality split; split by authority, segment and asset class; recovery on written-off accounts.</w:t>
      </w:r>
    </w:p>
    <w:p>
      <w:pPr>
        <w:numPr>
          <w:ilvl w:val="1"/>
          <w:numId w:val="1766"/>
        </w:numPr>
        <w:pStyle w:val="Compact"/>
      </w:pPr>
      <w:r>
        <w:rPr>
          <w:bCs/>
          <w:b/>
        </w:rPr>
        <w:t xml:space="preserve">Cooling period before fresh exposure after a compromise settlement: Board-set, floor 12 months</w:t>
      </w:r>
      <w:r>
        <w:t xml:space="preserve"> </w:t>
      </w:r>
      <w:r>
        <w:t xml:space="preserve">(para 95). After a technical write-off: per Board policy (para 96).</w:t>
      </w:r>
    </w:p>
    <w:p>
      <w:pPr>
        <w:numPr>
          <w:ilvl w:val="1"/>
          <w:numId w:val="1766"/>
        </w:numPr>
        <w:pStyle w:val="Compact"/>
      </w:pPr>
      <w:r>
        <w:t xml:space="preserve">Settlements with fraud or wilful-defaulter borrowers are allowed, without prejudice to criminal proceedings and to FRM/WD penal measures (paras 97–98).</w:t>
      </w:r>
    </w:p>
    <w:p>
      <w:pPr>
        <w:numPr>
          <w:ilvl w:val="1"/>
          <w:numId w:val="1766"/>
        </w:numPr>
        <w:pStyle w:val="Compact"/>
      </w:pPr>
      <w:r>
        <w:rPr>
          <w:bCs/>
          <w:b/>
        </w:rPr>
        <w:t xml:space="preserve">A consent decree is required where recovery proceedings are pending before a judicial forum</w:t>
      </w:r>
      <w:r>
        <w:t xml:space="preserve"> </w:t>
      </w:r>
      <w:r>
        <w:t xml:space="preserve">(para 100).</w:t>
      </w:r>
    </w:p>
    <w:p>
      <w:pPr>
        <w:numPr>
          <w:ilvl w:val="0"/>
          <w:numId w:val="1764"/>
        </w:numPr>
        <w:pStyle w:val="Compact"/>
      </w:pPr>
      <w:r>
        <w:rPr>
          <w:bCs/>
          <w:b/>
        </w:rPr>
        <w:t xml:space="preserve">Natural calamities:</w:t>
      </w:r>
      <w:r>
        <w:t xml:space="preserve"> </w:t>
      </w:r>
      <w:r>
        <w:t xml:space="preserve">RBI Relief Measures Directions, 2018 apply mutatis mutandis (para 101) [VERIFY: not supplied].</w:t>
      </w:r>
    </w:p>
    <w:p>
      <w:pPr>
        <w:pStyle w:val="FirstParagraph"/>
      </w:pPr>
      <w:r>
        <w:rPr>
          <w:bCs/>
          <w:b/>
        </w:rPr>
        <w:t xml:space="preserve">Projects under implementation (paras 102–122):</w:t>
      </w:r>
    </w:p>
    <w:p>
      <w:pPr>
        <w:numPr>
          <w:ilvl w:val="0"/>
          <w:numId w:val="1767"/>
        </w:numPr>
        <w:pStyle w:val="Compact"/>
      </w:pPr>
      <w:r>
        <w:t xml:space="preserve">Apply to financial closure after 1 Oct 2025, or a fresh credit event or material change after it (paras 102–103).</w:t>
      </w:r>
    </w:p>
    <w:p>
      <w:pPr>
        <w:numPr>
          <w:ilvl w:val="0"/>
          <w:numId w:val="1767"/>
        </w:numPr>
        <w:pStyle w:val="Compact"/>
      </w:pPr>
      <w:r>
        <w:t xml:space="preserve">Credit event (para 10(3)) triggers collective resolution (para 105).</w:t>
      </w:r>
    </w:p>
    <w:p>
      <w:pPr>
        <w:numPr>
          <w:ilvl w:val="0"/>
          <w:numId w:val="1767"/>
        </w:numPr>
        <w:pStyle w:val="Compact"/>
      </w:pPr>
      <w:r>
        <w:t xml:space="preserve">Report it to CRILC weekly and in CRILC-Main (para 106), and to all consortium members (para 107).</w:t>
      </w:r>
    </w:p>
    <w:p>
      <w:pPr>
        <w:numPr>
          <w:ilvl w:val="0"/>
          <w:numId w:val="1767"/>
        </w:numPr>
        <w:pStyle w:val="Compact"/>
      </w:pPr>
      <w:r>
        <w:rPr>
          <w:bCs/>
          <w:b/>
        </w:rPr>
        <w:t xml:space="preserve">Standard is retained</w:t>
      </w:r>
      <w:r>
        <w:t xml:space="preserve"> </w:t>
      </w:r>
      <w:r>
        <w:t xml:space="preserve">(paras 111–112) for:</w:t>
      </w:r>
    </w:p>
    <w:p>
      <w:pPr>
        <w:numPr>
          <w:ilvl w:val="1"/>
          <w:numId w:val="1768"/>
        </w:numPr>
        <w:pStyle w:val="Compact"/>
      </w:pPr>
      <w:r>
        <w:t xml:space="preserve">DCCO deferment of</w:t>
      </w:r>
      <w:r>
        <w:t xml:space="preserve"> </w:t>
      </w:r>
      <w:r>
        <w:rPr>
          <w:bCs/>
          <w:b/>
        </w:rPr>
        <w:t xml:space="preserve">up to 3 years (infrastructure) or 2 years (non-infrastructure, including CRE/CRE-RH)</w:t>
      </w:r>
      <w:r>
        <w:t xml:space="preserve">;</w:t>
      </w:r>
    </w:p>
    <w:p>
      <w:pPr>
        <w:numPr>
          <w:ilvl w:val="1"/>
          <w:numId w:val="1768"/>
        </w:numPr>
        <w:pStyle w:val="Compact"/>
      </w:pPr>
      <w:r>
        <w:t xml:space="preserve">cost overrun ≤ 10%;</w:t>
      </w:r>
    </w:p>
    <w:p>
      <w:pPr>
        <w:numPr>
          <w:ilvl w:val="1"/>
          <w:numId w:val="1768"/>
        </w:numPr>
        <w:pStyle w:val="Compact"/>
      </w:pPr>
      <w:r>
        <w:t xml:space="preserve">scope change ≥ 25%, allowed once in the project’s life.</w:t>
      </w:r>
    </w:p>
    <w:p>
      <w:pPr>
        <w:numPr>
          <w:ilvl w:val="0"/>
          <w:numId w:val="1767"/>
        </w:numPr>
        <w:pStyle w:val="Compact"/>
      </w:pPr>
      <w:r>
        <w:t xml:space="preserve">Implementation within 180 days (para 113), otherwise</w:t>
      </w:r>
      <w:r>
        <w:t xml:space="preserve"> </w:t>
      </w:r>
      <w:r>
        <w:rPr>
          <w:bCs/>
          <w:b/>
        </w:rPr>
        <w:t xml:space="preserve">immediate NPA</w:t>
      </w:r>
      <w:r>
        <w:t xml:space="preserve"> </w:t>
      </w:r>
      <w:r>
        <w:t xml:space="preserve">(para 114). Upgrade rules: paras 115–116.</w:t>
      </w:r>
    </w:p>
    <w:p>
      <w:pPr>
        <w:numPr>
          <w:ilvl w:val="0"/>
          <w:numId w:val="1767"/>
        </w:numPr>
        <w:pStyle w:val="Compact"/>
      </w:pPr>
      <w:r>
        <w:rPr>
          <w:bCs/>
          <w:b/>
        </w:rPr>
        <w:t xml:space="preserve">Additional provision of 0.375% (infrastructure) / 0.5625% (non-infrastructure) per quarter of deferment</w:t>
      </w:r>
      <w:r>
        <w:t xml:space="preserve">, reversed at COD (paras 118–119).</w:t>
      </w:r>
    </w:p>
    <w:p>
      <w:pPr>
        <w:pStyle w:val="FirstParagraph"/>
      </w:pPr>
      <w:r>
        <w:rPr>
          <w:bCs/>
          <w:b/>
        </w:rPr>
        <w:t xml:space="preserve">Government DRS (paras 123–137):</w:t>
      </w:r>
    </w:p>
    <w:p>
      <w:pPr>
        <w:numPr>
          <w:ilvl w:val="0"/>
          <w:numId w:val="1769"/>
        </w:numPr>
        <w:pStyle w:val="Compact"/>
      </w:pPr>
      <w:r>
        <w:t xml:space="preserve">Explicit borrower consent, with the cooling period and credit-score impact disclosed (para 127).</w:t>
      </w:r>
    </w:p>
    <w:p>
      <w:pPr>
        <w:numPr>
          <w:ilvl w:val="0"/>
          <w:numId w:val="1769"/>
        </w:numPr>
        <w:pStyle w:val="Compact"/>
      </w:pPr>
      <w:r>
        <w:t xml:space="preserve">Any waiver counts as a compromise settlement (para 128).</w:t>
      </w:r>
    </w:p>
    <w:p>
      <w:pPr>
        <w:numPr>
          <w:ilvl w:val="0"/>
          <w:numId w:val="1769"/>
        </w:numPr>
        <w:pStyle w:val="Compact"/>
      </w:pPr>
      <w:r>
        <w:t xml:space="preserve">Residual exposure is tested against the restructuring definition (para 130).</w:t>
      </w:r>
    </w:p>
    <w:p>
      <w:pPr>
        <w:numPr>
          <w:ilvl w:val="0"/>
          <w:numId w:val="1769"/>
        </w:numPr>
        <w:pStyle w:val="Compact"/>
      </w:pPr>
      <w:r>
        <w:rPr>
          <w:bCs/>
          <w:b/>
        </w:rPr>
        <w:t xml:space="preserve">No receivable against the Government; IRACP continues until funds are received</w:t>
      </w:r>
      <w:r>
        <w:t xml:space="preserve"> </w:t>
      </w:r>
      <w:r>
        <w:t xml:space="preserve">(paras 133–134).</w:t>
      </w:r>
    </w:p>
    <w:p>
      <w:pPr>
        <w:numPr>
          <w:ilvl w:val="0"/>
          <w:numId w:val="1769"/>
        </w:numPr>
        <w:pStyle w:val="Compact"/>
      </w:pPr>
      <w:r>
        <w:rPr>
          <w:bCs/>
          <w:b/>
        </w:rPr>
        <w:t xml:space="preserve">Relief announced before 31 Dec 2024 with dues pending &gt; 90 days: 100% provision</w:t>
      </w:r>
      <w:r>
        <w:t xml:space="preserve"> </w:t>
      </w:r>
      <w:r>
        <w:t xml:space="preserve">(para 137).</w:t>
      </w:r>
    </w:p>
    <w:p>
      <w:pPr>
        <w:pStyle w:val="FirstParagraph"/>
      </w:pPr>
      <w:r>
        <w:rPr>
          <w:bCs/>
          <w:b/>
        </w:rPr>
        <w:t xml:space="preserve">Instruments acquired in restructuring (paras 139–156; Part B paras 212–227):</w:t>
      </w:r>
    </w:p>
    <w:p>
      <w:pPr>
        <w:numPr>
          <w:ilvl w:val="0"/>
          <w:numId w:val="1770"/>
        </w:numPr>
        <w:pStyle w:val="Compact"/>
      </w:pPr>
      <w:r>
        <w:t xml:space="preserve">FITL, debt and equity take the advance’s class (paras 140–141, 212–213, 220–221).</w:t>
      </w:r>
    </w:p>
    <w:p>
      <w:pPr>
        <w:numPr>
          <w:ilvl w:val="0"/>
          <w:numId w:val="1770"/>
        </w:numPr>
        <w:pStyle w:val="Compact"/>
      </w:pPr>
      <w:r>
        <w:t xml:space="preserve">Provision = higher of the class-based and fair-value provision (para 142); valuation (paras 143–151).</w:t>
      </w:r>
    </w:p>
    <w:p>
      <w:pPr>
        <w:numPr>
          <w:ilvl w:val="0"/>
          <w:numId w:val="1770"/>
        </w:numPr>
        <w:pStyle w:val="Compact"/>
      </w:pPr>
      <w:r>
        <w:rPr>
          <w:bCs/>
          <w:b/>
        </w:rPr>
        <w:t xml:space="preserve">Unrealised income is credited to</w:t>
      </w:r>
      <w:r>
        <w:rPr>
          <w:bCs/>
          <w:b/>
        </w:rPr>
        <w:t xml:space="preserve"> </w:t>
      </w:r>
      <w:r>
        <w:rPr>
          <w:bCs/>
          <w:b/>
        </w:rPr>
        <w:t xml:space="preserve">“</w:t>
      </w:r>
      <w:r>
        <w:rPr>
          <w:bCs/>
          <w:b/>
        </w:rPr>
        <w:t xml:space="preserve">Sundry Liabilities Account (Interest Capitalisation)</w:t>
      </w:r>
      <w:r>
        <w:rPr>
          <w:bCs/>
          <w:b/>
        </w:rPr>
        <w:t xml:space="preserve">”</w:t>
      </w:r>
      <w:r>
        <w:t xml:space="preserve"> </w:t>
      </w:r>
      <w:r>
        <w:t xml:space="preserve">and recognised only on sale, redemption or upgrade (paras 152–153, 223–225). Depreciation is charged to that account (para 227).</w:t>
      </w:r>
    </w:p>
    <w:p>
      <w:pPr>
        <w:pStyle w:val="FirstParagraph"/>
      </w:pPr>
      <w:r>
        <w:rPr>
          <w:bCs/>
          <w:b/>
        </w:rPr>
        <w:t xml:space="preserve">Part B restructuring (paras 159–211):</w:t>
      </w:r>
    </w:p>
    <w:p>
      <w:pPr>
        <w:numPr>
          <w:ilvl w:val="0"/>
          <w:numId w:val="1771"/>
        </w:numPr>
        <w:pStyle w:val="Compact"/>
      </w:pPr>
      <w:r>
        <w:rPr>
          <w:bCs/>
          <w:b/>
        </w:rPr>
        <w:t xml:space="preserve">Definitions (para 159):</w:t>
      </w:r>
    </w:p>
    <w:p>
      <w:pPr>
        <w:numPr>
          <w:ilvl w:val="1"/>
          <w:numId w:val="1772"/>
        </w:numPr>
        <w:pStyle w:val="Compact"/>
      </w:pPr>
      <w:r>
        <w:t xml:space="preserve">repeatedly restructured account;</w:t>
      </w:r>
    </w:p>
    <w:p>
      <w:pPr>
        <w:numPr>
          <w:ilvl w:val="1"/>
          <w:numId w:val="1772"/>
        </w:numPr>
        <w:pStyle w:val="Compact"/>
      </w:pPr>
      <w:r>
        <w:rPr>
          <w:bCs/>
          <w:b/>
        </w:rPr>
        <w:t xml:space="preserve">specified period = one year from the first payment on the facility with the longest moratorium</w:t>
      </w:r>
      <w:r>
        <w:t xml:space="preserve">;</w:t>
      </w:r>
    </w:p>
    <w:p>
      <w:pPr>
        <w:numPr>
          <w:ilvl w:val="1"/>
          <w:numId w:val="1772"/>
        </w:numPr>
        <w:pStyle w:val="Compact"/>
      </w:pPr>
      <w:r>
        <w:t xml:space="preserve">satisfactory performance = no instalment overdue beyond the NPA days, and</w:t>
      </w:r>
      <w:r>
        <w:t xml:space="preserve"> </w:t>
      </w:r>
      <w:r>
        <w:rPr>
          <w:bCs/>
          <w:b/>
        </w:rPr>
        <w:t xml:space="preserve">no overdues at the end of the specified period</w:t>
      </w:r>
      <w:r>
        <w:t xml:space="preserve">.</w:t>
      </w:r>
    </w:p>
    <w:p>
      <w:pPr>
        <w:numPr>
          <w:ilvl w:val="0"/>
          <w:numId w:val="1771"/>
        </w:numPr>
        <w:pStyle w:val="Compact"/>
      </w:pPr>
      <w:r>
        <w:rPr>
          <w:bCs/>
          <w:b/>
        </w:rPr>
        <w:t xml:space="preserve">Eligibility:</w:t>
      </w:r>
    </w:p>
    <w:p>
      <w:pPr>
        <w:numPr>
          <w:ilvl w:val="1"/>
          <w:numId w:val="1773"/>
        </w:numPr>
        <w:pStyle w:val="Compact"/>
      </w:pPr>
      <w:r>
        <w:t xml:space="preserve">standard, sub-standard and doubtful accounts only (para 161);</w:t>
      </w:r>
    </w:p>
    <w:p>
      <w:pPr>
        <w:numPr>
          <w:ilvl w:val="1"/>
          <w:numId w:val="1773"/>
        </w:numPr>
        <w:pStyle w:val="Compact"/>
      </w:pPr>
      <w:r>
        <w:rPr>
          <w:bCs/>
          <w:b/>
        </w:rPr>
        <w:t xml:space="preserve">no retrospective restructuring</w:t>
      </w:r>
      <w:r>
        <w:t xml:space="preserve"> </w:t>
      </w:r>
      <w:r>
        <w:t xml:space="preserve">(para 163);</w:t>
      </w:r>
    </w:p>
    <w:p>
      <w:pPr>
        <w:numPr>
          <w:ilvl w:val="1"/>
          <w:numId w:val="1773"/>
        </w:numPr>
        <w:pStyle w:val="Compact"/>
      </w:pPr>
      <w:r>
        <w:t xml:space="preserve">class fixed as on the approval date (para 165);</w:t>
      </w:r>
    </w:p>
    <w:p>
      <w:pPr>
        <w:numPr>
          <w:ilvl w:val="1"/>
          <w:numId w:val="1773"/>
        </w:numPr>
        <w:pStyle w:val="Compact"/>
      </w:pPr>
      <w:r>
        <w:t xml:space="preserve">borrower consent (para 167).</w:t>
      </w:r>
    </w:p>
    <w:p>
      <w:pPr>
        <w:numPr>
          <w:ilvl w:val="0"/>
          <w:numId w:val="1771"/>
        </w:numPr>
        <w:pStyle w:val="Compact"/>
      </w:pPr>
      <w:r>
        <w:rPr>
          <w:bCs/>
          <w:b/>
        </w:rPr>
        <w:t xml:space="preserve">Viability and anti-evergreening:</w:t>
      </w:r>
    </w:p>
    <w:p>
      <w:pPr>
        <w:numPr>
          <w:ilvl w:val="1"/>
          <w:numId w:val="1774"/>
        </w:numPr>
        <w:pStyle w:val="Compact"/>
      </w:pPr>
      <w:r>
        <w:t xml:space="preserve">restructuring without a viability and cash-flow assessment is</w:t>
      </w:r>
      <w:r>
        <w:t xml:space="preserve"> </w:t>
      </w:r>
      <w:r>
        <w:rPr>
          <w:bCs/>
          <w:b/>
        </w:rPr>
        <w:t xml:space="preserve">evergreening</w:t>
      </w:r>
      <w:r>
        <w:t xml:space="preserve"> </w:t>
      </w:r>
      <w:r>
        <w:t xml:space="preserve">(paras 168–169, 188);</w:t>
      </w:r>
    </w:p>
    <w:p>
      <w:pPr>
        <w:numPr>
          <w:ilvl w:val="1"/>
          <w:numId w:val="1774"/>
        </w:numPr>
        <w:pStyle w:val="Compact"/>
      </w:pPr>
      <w:r>
        <w:t xml:space="preserve">benchmarks: ROCE ≥ 5-year G-sec + 2%; DSCR &gt; 1.25 within 5 years and &gt; 1 every year; IRR – cost of funds ≥ 1%; LLR 1.4 (para 171).</w:t>
      </w:r>
    </w:p>
    <w:p>
      <w:pPr>
        <w:numPr>
          <w:ilvl w:val="0"/>
          <w:numId w:val="1771"/>
        </w:numPr>
        <w:pStyle w:val="Compact"/>
      </w:pPr>
      <w:r>
        <w:rPr>
          <w:bCs/>
          <w:b/>
        </w:rPr>
        <w:t xml:space="preserve">Package terms:</w:t>
      </w:r>
    </w:p>
    <w:p>
      <w:pPr>
        <w:numPr>
          <w:ilvl w:val="1"/>
          <w:numId w:val="1775"/>
        </w:numPr>
        <w:pStyle w:val="Compact"/>
      </w:pPr>
      <w:r>
        <w:t xml:space="preserve">right to recompense: at least 75% recovered, 100% where below the bare lending rate (para 176);</w:t>
      </w:r>
    </w:p>
    <w:p>
      <w:pPr>
        <w:numPr>
          <w:ilvl w:val="1"/>
          <w:numId w:val="1775"/>
        </w:numPr>
        <w:pStyle w:val="Compact"/>
      </w:pPr>
      <w:r>
        <w:rPr>
          <w:bCs/>
          <w:b/>
        </w:rPr>
        <w:t xml:space="preserve">promoters’ personal guarantee</w:t>
      </w:r>
      <w:r>
        <w:t xml:space="preserve"> </w:t>
      </w:r>
      <w:r>
        <w:t xml:space="preserve">(para 177);</w:t>
      </w:r>
    </w:p>
    <w:p>
      <w:pPr>
        <w:numPr>
          <w:ilvl w:val="1"/>
          <w:numId w:val="1775"/>
        </w:numPr>
        <w:pStyle w:val="Compact"/>
      </w:pPr>
      <w:r>
        <w:rPr>
          <w:bCs/>
          <w:b/>
        </w:rPr>
        <w:t xml:space="preserve">implemented within 120 days of the application</w:t>
      </w:r>
      <w:r>
        <w:t xml:space="preserve"> </w:t>
      </w:r>
      <w:r>
        <w:t xml:space="preserve">(para 178);</w:t>
      </w:r>
    </w:p>
    <w:p>
      <w:pPr>
        <w:numPr>
          <w:ilvl w:val="1"/>
          <w:numId w:val="1775"/>
        </w:numPr>
        <w:pStyle w:val="Compact"/>
      </w:pPr>
      <w:r>
        <w:rPr>
          <w:bCs/>
          <w:b/>
        </w:rPr>
        <w:t xml:space="preserve">promoter contribution ≥ higher of 20% of the sacrifice or 2% of the restructured debt, brought upfront</w:t>
      </w:r>
      <w:r>
        <w:t xml:space="preserve"> </w:t>
      </w:r>
      <w:r>
        <w:t xml:space="preserve">(paras 179–180);</w:t>
      </w:r>
    </w:p>
    <w:p>
      <w:pPr>
        <w:numPr>
          <w:ilvl w:val="1"/>
          <w:numId w:val="1775"/>
        </w:numPr>
        <w:pStyle w:val="Compact"/>
      </w:pPr>
      <w:r>
        <w:t xml:space="preserve">conversion to equity/preference shares capped (around 10%); equity only for listed companies (para 174).</w:t>
      </w:r>
    </w:p>
    <w:p>
      <w:pPr>
        <w:numPr>
          <w:ilvl w:val="0"/>
          <w:numId w:val="1771"/>
        </w:numPr>
        <w:pStyle w:val="Compact"/>
      </w:pPr>
      <w:r>
        <w:rPr>
          <w:bCs/>
          <w:b/>
        </w:rPr>
        <w:t xml:space="preserve">Housing loans:</w:t>
      </w:r>
      <w:r>
        <w:t xml:space="preserve"> </w:t>
      </w:r>
      <w:r>
        <w:t xml:space="preserve">extend tenure only where repayment capacity holds; offer a higher-EMI option (paras 185–187).</w:t>
      </w:r>
    </w:p>
    <w:p>
      <w:pPr>
        <w:numPr>
          <w:ilvl w:val="0"/>
          <w:numId w:val="1771"/>
        </w:numPr>
        <w:pStyle w:val="Compact"/>
      </w:pPr>
      <w:r>
        <w:rPr>
          <w:bCs/>
          <w:b/>
        </w:rPr>
        <w:t xml:space="preserve">Classification and income:</w:t>
      </w:r>
    </w:p>
    <w:p>
      <w:pPr>
        <w:numPr>
          <w:ilvl w:val="1"/>
          <w:numId w:val="1776"/>
        </w:numPr>
        <w:pStyle w:val="Compact"/>
      </w:pPr>
      <w:r>
        <w:t xml:space="preserve">standard → sub-standard; an NPA keeps its class and slips on the</w:t>
      </w:r>
      <w:r>
        <w:t xml:space="preserve"> </w:t>
      </w:r>
      <w:r>
        <w:rPr>
          <w:bCs/>
          <w:b/>
        </w:rPr>
        <w:t xml:space="preserve">pre-restructuring schedule</w:t>
      </w:r>
      <w:r>
        <w:t xml:space="preserve"> </w:t>
      </w:r>
      <w:r>
        <w:t xml:space="preserve">(paras 189–190);</w:t>
      </w:r>
    </w:p>
    <w:p>
      <w:pPr>
        <w:numPr>
          <w:ilvl w:val="1"/>
          <w:numId w:val="1776"/>
        </w:numPr>
        <w:pStyle w:val="Compact"/>
      </w:pPr>
      <w:r>
        <w:t xml:space="preserve">upgrade after a satisfactory specified period (paras 191–192);</w:t>
      </w:r>
    </w:p>
    <w:p>
      <w:pPr>
        <w:numPr>
          <w:ilvl w:val="1"/>
          <w:numId w:val="1776"/>
        </w:numPr>
        <w:pStyle w:val="Compact"/>
      </w:pPr>
      <w:r>
        <w:t xml:space="preserve">additional finance (para 193);</w:t>
      </w:r>
    </w:p>
    <w:p>
      <w:pPr>
        <w:numPr>
          <w:ilvl w:val="1"/>
          <w:numId w:val="1776"/>
        </w:numPr>
        <w:pStyle w:val="Compact"/>
      </w:pPr>
      <w:r>
        <w:t xml:space="preserve">repeat restructuring (para 194);</w:t>
      </w:r>
    </w:p>
    <w:p>
      <w:pPr>
        <w:numPr>
          <w:ilvl w:val="1"/>
          <w:numId w:val="1776"/>
        </w:numPr>
        <w:pStyle w:val="Compact"/>
      </w:pPr>
      <w:r>
        <w:t xml:space="preserve">income: accrual if standard, cash if NPA (para 195).</w:t>
      </w:r>
    </w:p>
    <w:p>
      <w:pPr>
        <w:numPr>
          <w:ilvl w:val="0"/>
          <w:numId w:val="1771"/>
        </w:numPr>
        <w:pStyle w:val="Compact"/>
      </w:pPr>
      <w:r>
        <w:rPr>
          <w:bCs/>
          <w:b/>
        </w:rPr>
        <w:t xml:space="preserve">Provisions:</w:t>
      </w:r>
    </w:p>
    <w:p>
      <w:pPr>
        <w:numPr>
          <w:ilvl w:val="1"/>
          <w:numId w:val="1777"/>
        </w:numPr>
        <w:pStyle w:val="Compact"/>
      </w:pPr>
      <w:r>
        <w:t xml:space="preserve">IRACP class (para 196);</w:t>
      </w:r>
    </w:p>
    <w:p>
      <w:pPr>
        <w:numPr>
          <w:ilvl w:val="1"/>
          <w:numId w:val="1777"/>
        </w:numPr>
        <w:pStyle w:val="Compact"/>
      </w:pPr>
      <w:r>
        <w:t xml:space="preserve">higher provision in the first year after upgrade</w:t>
      </w:r>
      <w:r>
        <w:t xml:space="preserve"> </w:t>
      </w:r>
      <w:r>
        <w:t xml:space="preserve">“</w:t>
      </w:r>
      <w:r>
        <w:t xml:space="preserve">as prescribed</w:t>
      </w:r>
      <w:r>
        <w:t xml:space="preserve">”</w:t>
      </w:r>
      <w:r>
        <w:t xml:space="preserve"> </w:t>
      </w:r>
      <w:r>
        <w:t xml:space="preserve">(para 197) [VERIFY: no rate in the text];</w:t>
      </w:r>
    </w:p>
    <w:p>
      <w:pPr>
        <w:numPr>
          <w:ilvl w:val="1"/>
          <w:numId w:val="1777"/>
        </w:numPr>
        <w:pStyle w:val="Compact"/>
      </w:pPr>
      <w:r>
        <w:rPr>
          <w:bCs/>
          <w:b/>
        </w:rPr>
        <w:t xml:space="preserve">diminution in fair value</w:t>
      </w:r>
      <w:r>
        <w:t xml:space="preserve"> </w:t>
      </w:r>
      <w:r>
        <w:t xml:space="preserve">= PV before − PV after, both at the bare lending rate, held in a separate account and recomputed every balance-sheet date (paras 198–209);</w:t>
      </w:r>
    </w:p>
    <w:p>
      <w:pPr>
        <w:numPr>
          <w:ilvl w:val="1"/>
          <w:numId w:val="1777"/>
        </w:numPr>
        <w:pStyle w:val="Compact"/>
      </w:pPr>
      <w:r>
        <w:rPr>
          <w:bCs/>
          <w:b/>
        </w:rPr>
        <w:t xml:space="preserve">notional 5% option where total dues are &lt; ₹1 crore</w:t>
      </w:r>
      <w:r>
        <w:t xml:space="preserve"> </w:t>
      </w:r>
      <w:r>
        <w:t xml:space="preserve">(para 210);</w:t>
      </w:r>
    </w:p>
    <w:p>
      <w:pPr>
        <w:numPr>
          <w:ilvl w:val="1"/>
          <w:numId w:val="1777"/>
        </w:numPr>
        <w:pStyle w:val="Compact"/>
      </w:pPr>
      <w:r>
        <w:t xml:space="preserve">total capped at 100% (para 211).</w:t>
      </w:r>
    </w:p>
    <w:p>
      <w:pPr>
        <w:pStyle w:val="FirstParagraph"/>
      </w:pPr>
      <w:r>
        <w:rPr>
          <w:bCs/>
          <w:b/>
        </w:rPr>
        <w:t xml:space="preserve">Trade relief:</w:t>
      </w:r>
      <w:r>
        <w:t xml:space="preserve"> </w:t>
      </w:r>
      <w:r>
        <w:t xml:space="preserve">Trade Relief Measures Directions of 14 Nov 2025, with a sunset clause (para 228) [VERIFY: not supplied].</w:t>
      </w:r>
    </w:p>
    <w:p>
      <w:r>
        <w:pict>
          <v:rect style="width:0;height:1.5pt" o:hralign="center" o:hrstd="t" o:hr="t"/>
        </w:pict>
      </w:r>
    </w:p>
    <w:bookmarkEnd w:id="798"/>
    <w:bookmarkStart w:id="799" w:name="X7412d3aa5f7057cbfd15f03227b93f1e204fe00"/>
    <w:p>
      <w:pPr>
        <w:pStyle w:val="Heading2"/>
      </w:pPr>
      <w:r>
        <w:t xml:space="preserve">8A.19 RBC — Responsible Business Conduct Directions (362)</w:t>
      </w:r>
    </w:p>
    <w:p>
      <w:pPr>
        <w:pStyle w:val="FirstParagraph"/>
      </w:pPr>
      <w:r>
        <w:rPr>
          <w:bCs/>
          <w:b/>
        </w:rPr>
        <w:t xml:space="preserve">Applicability (paras 3–5).</w:t>
      </w:r>
      <w:r>
        <w:t xml:space="preserve"> </w:t>
      </w:r>
      <w:r>
        <w:t xml:space="preserve">NBFC-D, ICC, Factor, MFI, IFC, IDF-NBFC and HFC, all layers. NBFC-P2P: paras 98–100 only. Not MGC, CIC, NBFC-AA, SPD, NOFHC, or NBFCs without customer interface. Copy updated as on 1 Apr 2026 (para 42 and Annex II deleted w.e.f. 1 Apr 2026).</w:t>
      </w:r>
      <w:r>
        <w:t xml:space="preserve"> </w:t>
      </w:r>
      <w:r>
        <w:rPr>
          <w:bCs/>
          <w:b/>
        </w:rPr>
        <w:t xml:space="preserve">Not in this copy:</w:t>
      </w:r>
      <w:r>
        <w:t xml:space="preserve"> </w:t>
      </w:r>
      <w:r>
        <w:t xml:space="preserve">the Second Amendment (15 Jun 2026, Ch IIIA sales and marketing) and the Third Amendment (6 Aug 2026, Section J, paras 100A–100AB) [VERIFY: amendment text not supplied].</w:t>
      </w:r>
    </w:p>
    <w:p>
      <w:pPr>
        <w:pStyle w:val="BodyText"/>
      </w:pPr>
      <w:r>
        <w:rPr>
          <w:bCs/>
          <w:b/>
        </w:rPr>
        <w:t xml:space="preserve">Board policies (paras 7–8):</w:t>
      </w:r>
    </w:p>
    <w:p>
      <w:pPr>
        <w:numPr>
          <w:ilvl w:val="0"/>
          <w:numId w:val="1778"/>
        </w:numPr>
        <w:pStyle w:val="Compact"/>
      </w:pPr>
      <w:r>
        <w:t xml:space="preserve">FPC (preferably vernacular); grievance redressal, with disputes heard and disposed of at least at the next higher level (7(2)); principles for interest, processing, penal and other charges (7(3)); gold/silver lending; microfinance FPC; floating-rate reset incl. fixed/floating switch; engagement of recovery agents; DSA/DMA/RA code of conduct (7(1)–(8)).</w:t>
      </w:r>
    </w:p>
    <w:p>
      <w:pPr>
        <w:numPr>
          <w:ilvl w:val="0"/>
          <w:numId w:val="1778"/>
        </w:numPr>
        <w:pStyle w:val="Compact"/>
      </w:pPr>
      <w:r>
        <w:t xml:space="preserve">Periodic review of FPC compliance and the grievance machinery, with a consolidated report to the Board at regular intervals (para 8).</w:t>
      </w:r>
    </w:p>
    <w:p>
      <w:pPr>
        <w:numPr>
          <w:ilvl w:val="0"/>
          <w:numId w:val="1778"/>
        </w:numPr>
        <w:pStyle w:val="Compact"/>
      </w:pPr>
      <w:r>
        <w:rPr>
          <w:iCs/>
          <w:i/>
        </w:rPr>
        <w:t xml:space="preserve">Build:</w:t>
      </w:r>
      <w:r>
        <w:t xml:space="preserve"> </w:t>
      </w:r>
      <w:r>
        <w:t xml:space="preserve">policy-registry entries; Board-pack generator for the para 8 report.</w:t>
      </w:r>
    </w:p>
    <w:p>
      <w:pPr>
        <w:pStyle w:val="FirstParagraph"/>
      </w:pPr>
      <w:r>
        <w:rPr>
          <w:bCs/>
          <w:b/>
        </w:rPr>
        <w:t xml:space="preserve">Fair Practices Code (paras 9–21, 26–28):</w:t>
      </w:r>
    </w:p>
    <w:p>
      <w:pPr>
        <w:numPr>
          <w:ilvl w:val="0"/>
          <w:numId w:val="1779"/>
        </w:numPr>
        <w:pStyle w:val="Compact"/>
      </w:pPr>
      <w:r>
        <w:t xml:space="preserve">All communications in the vernacular or a language the borrower understands (para 10).</w:t>
      </w:r>
      <w:r>
        <w:t xml:space="preserve"> </w:t>
      </w:r>
      <w:r>
        <w:rPr>
          <w:iCs/>
          <w:i/>
        </w:rPr>
        <w:t xml:space="preserve">Build:</w:t>
      </w:r>
      <w:r>
        <w:t xml:space="preserve"> </w:t>
      </w:r>
      <w:r>
        <w:t xml:space="preserve">language preference on the customer; dispatch blocked if no approved template exists in that language.</w:t>
      </w:r>
    </w:p>
    <w:p>
      <w:pPr>
        <w:numPr>
          <w:ilvl w:val="0"/>
          <w:numId w:val="1779"/>
        </w:numPr>
        <w:pStyle w:val="Compact"/>
      </w:pPr>
      <w:r>
        <w:t xml:space="preserve">Application form carries comparison information and lists required documents (para 11). Acknowledgement of every application, preferably with the disposal timeline (para 12).</w:t>
      </w:r>
    </w:p>
    <w:p>
      <w:pPr>
        <w:numPr>
          <w:ilvl w:val="0"/>
          <w:numId w:val="1779"/>
        </w:numPr>
        <w:pStyle w:val="Compact"/>
      </w:pPr>
      <w:r>
        <w:t xml:space="preserve">Sanction letter in the vernacular: amount, T&amp;C,</w:t>
      </w:r>
      <w:r>
        <w:t xml:space="preserve"> </w:t>
      </w:r>
      <w:r>
        <w:rPr>
          <w:bCs/>
          <w:b/>
        </w:rPr>
        <w:t xml:space="preserve">annualised rate and method of application</w:t>
      </w:r>
      <w:r>
        <w:t xml:space="preserve">; acceptance kept on record.</w:t>
      </w:r>
      <w:r>
        <w:t xml:space="preserve"> </w:t>
      </w:r>
      <w:r>
        <w:rPr>
          <w:bCs/>
          <w:b/>
        </w:rPr>
        <w:t xml:space="preserve">Late-payment penalties in bold</w:t>
      </w:r>
      <w:r>
        <w:t xml:space="preserve"> </w:t>
      </w:r>
      <w:r>
        <w:t xml:space="preserve">in the loan agreement (para 13).</w:t>
      </w:r>
    </w:p>
    <w:p>
      <w:pPr>
        <w:numPr>
          <w:ilvl w:val="0"/>
          <w:numId w:val="1779"/>
        </w:numPr>
        <w:pStyle w:val="Compact"/>
      </w:pPr>
      <w:r>
        <w:t xml:space="preserve">Copy of the loan agreement and</w:t>
      </w:r>
      <w:r>
        <w:t xml:space="preserve"> </w:t>
      </w:r>
      <w:r>
        <w:rPr>
          <w:bCs/>
          <w:b/>
        </w:rPr>
        <w:t xml:space="preserve">every enclosure</w:t>
      </w:r>
      <w:r>
        <w:t xml:space="preserve"> </w:t>
      </w:r>
      <w:r>
        <w:t xml:space="preserve">to all borrowers at sanction/disbursement (paras 14, 27).</w:t>
      </w:r>
    </w:p>
    <w:p>
      <w:pPr>
        <w:numPr>
          <w:ilvl w:val="0"/>
          <w:numId w:val="1779"/>
        </w:numPr>
        <w:pStyle w:val="Compact"/>
      </w:pPr>
      <w:r>
        <w:t xml:space="preserve">Notice of any change (disbursement schedule, rates, service or prepayment charges) in the vernacular; rate and charge changes</w:t>
      </w:r>
      <w:r>
        <w:t xml:space="preserve"> </w:t>
      </w:r>
      <w:r>
        <w:rPr>
          <w:bCs/>
          <w:b/>
        </w:rPr>
        <w:t xml:space="preserve">prospective only</w:t>
      </w:r>
      <w:r>
        <w:t xml:space="preserve">, with a clause in the agreement (para 15).</w:t>
      </w:r>
      <w:r>
        <w:t xml:space="preserve"> </w:t>
      </w:r>
      <w:r>
        <w:rPr>
          <w:iCs/>
          <w:i/>
        </w:rPr>
        <w:t xml:space="preserve">Build:</w:t>
      </w:r>
      <w:r>
        <w:t xml:space="preserve"> </w:t>
      </w:r>
      <w:r>
        <w:t xml:space="preserve">no back-dated rate or charge change.</w:t>
      </w:r>
    </w:p>
    <w:p>
      <w:pPr>
        <w:numPr>
          <w:ilvl w:val="0"/>
          <w:numId w:val="1779"/>
        </w:numPr>
        <w:pStyle w:val="Compact"/>
      </w:pPr>
      <w:r>
        <w:t xml:space="preserve">Recall/acceleration only per the agreement (para 16).</w:t>
      </w:r>
    </w:p>
    <w:p>
      <w:pPr>
        <w:numPr>
          <w:ilvl w:val="0"/>
          <w:numId w:val="1779"/>
        </w:numPr>
        <w:pStyle w:val="Compact"/>
      </w:pPr>
      <w:r>
        <w:t xml:space="preserve">Release all securities on repayment, subject to lien; set-off needs notice with full particulars of the remaining claims and retention conditions (para 17).</w:t>
      </w:r>
    </w:p>
    <w:p>
      <w:pPr>
        <w:numPr>
          <w:ilvl w:val="0"/>
          <w:numId w:val="1779"/>
        </w:numPr>
        <w:pStyle w:val="Compact"/>
      </w:pPr>
      <w:r>
        <w:t xml:space="preserve">No interference except per the agreement (para 18).</w:t>
      </w:r>
    </w:p>
    <w:p>
      <w:pPr>
        <w:numPr>
          <w:ilvl w:val="0"/>
          <w:numId w:val="1779"/>
        </w:numPr>
        <w:pStyle w:val="Compact"/>
      </w:pPr>
      <w:r>
        <w:t xml:space="preserve">Borrower request to transfer the borrowal account: consent or objection</w:t>
      </w:r>
      <w:r>
        <w:t xml:space="preserve"> </w:t>
      </w:r>
      <w:r>
        <w:rPr>
          <w:bCs/>
          <w:b/>
        </w:rPr>
        <w:t xml:space="preserve">within 21 days</w:t>
      </w:r>
      <w:r>
        <w:t xml:space="preserve"> </w:t>
      </w:r>
      <w:r>
        <w:t xml:space="preserve">of receipt (para 19).</w:t>
      </w:r>
      <w:r>
        <w:t xml:space="preserve"> </w:t>
      </w:r>
      <w:r>
        <w:rPr>
          <w:iCs/>
          <w:i/>
        </w:rPr>
        <w:t xml:space="preserve">Build:</w:t>
      </w:r>
      <w:r>
        <w:t xml:space="preserve"> </w:t>
      </w:r>
      <w:r>
        <w:t xml:space="preserve">service-request type with a 21-day SLA.</w:t>
      </w:r>
    </w:p>
    <w:p>
      <w:pPr>
        <w:numPr>
          <w:ilvl w:val="0"/>
          <w:numId w:val="1779"/>
        </w:numPr>
        <w:pStyle w:val="Compact"/>
      </w:pPr>
      <w:r>
        <w:t xml:space="preserve">No harassment at odd hours or use of muscle power; staff trained (para 20). FPC on the website (para 21).</w:t>
      </w:r>
    </w:p>
    <w:p>
      <w:pPr>
        <w:numPr>
          <w:ilvl w:val="0"/>
          <w:numId w:val="1779"/>
        </w:numPr>
        <w:pStyle w:val="Compact"/>
      </w:pPr>
      <w:r>
        <w:rPr>
          <w:bCs/>
          <w:b/>
        </w:rPr>
        <w:t xml:space="preserve">Vehicle loans:</w:t>
      </w:r>
      <w:r>
        <w:t xml:space="preserve"> </w:t>
      </w:r>
      <w:r>
        <w:t xml:space="preserve">an enforceable repossession clause covering notice period, waiver circumstances, possession procedure, a final chance to repay before sale/auction, return procedure and sale/auction procedure; copy to the borrower (paras 26–27).</w:t>
      </w:r>
    </w:p>
    <w:p>
      <w:pPr>
        <w:numPr>
          <w:ilvl w:val="0"/>
          <w:numId w:val="1779"/>
        </w:numPr>
        <w:pStyle w:val="Compact"/>
      </w:pPr>
      <w:r>
        <w:t xml:space="preserve">No disability discrimination; PwD rights module in staff training; PwD grievances through the GRM (para 28).</w:t>
      </w:r>
    </w:p>
    <w:p>
      <w:pPr>
        <w:pStyle w:val="FirstParagraph"/>
      </w:pPr>
      <w:r>
        <w:rPr>
          <w:bCs/>
          <w:b/>
        </w:rPr>
        <w:t xml:space="preserve">Interest (paras 22–25):</w:t>
      </w:r>
    </w:p>
    <w:p>
      <w:pPr>
        <w:numPr>
          <w:ilvl w:val="0"/>
          <w:numId w:val="1780"/>
        </w:numPr>
        <w:pStyle w:val="Compact"/>
      </w:pPr>
      <w:r>
        <w:t xml:space="preserve">Board-adopted interest-rate model (cost of funds, margin, risk premium). Rate, risk-gradation approach and rationale disclosed in the application form and explicitly in the sanction letter (22).</w:t>
      </w:r>
    </w:p>
    <w:p>
      <w:pPr>
        <w:numPr>
          <w:ilvl w:val="0"/>
          <w:numId w:val="1780"/>
        </w:numPr>
        <w:pStyle w:val="Compact"/>
      </w:pPr>
      <w:r>
        <w:t xml:space="preserve">Rates and gradation approach on the website (or in newspapers), updated on every change (23).</w:t>
      </w:r>
    </w:p>
    <w:p>
      <w:pPr>
        <w:numPr>
          <w:ilvl w:val="0"/>
          <w:numId w:val="1780"/>
        </w:numPr>
        <w:pStyle w:val="Compact"/>
      </w:pPr>
      <w:r>
        <w:rPr>
          <w:bCs/>
          <w:b/>
        </w:rPr>
        <w:t xml:space="preserve">Rate always annualised</w:t>
      </w:r>
      <w:r>
        <w:t xml:space="preserve"> </w:t>
      </w:r>
      <w:r>
        <w:t xml:space="preserve">(24).</w:t>
      </w:r>
    </w:p>
    <w:p>
      <w:pPr>
        <w:numPr>
          <w:ilvl w:val="0"/>
          <w:numId w:val="1780"/>
        </w:numPr>
        <w:pStyle w:val="Compact"/>
      </w:pPr>
      <w:r>
        <w:rPr>
          <w:iCs/>
          <w:i/>
        </w:rPr>
        <w:t xml:space="preserve">Build:</w:t>
      </w:r>
      <w:r>
        <w:t xml:space="preserve"> </w:t>
      </w:r>
      <w:r>
        <w:t xml:space="preserve">pricing grid linked to the model version; risk grade stored per loan; website rate feed regenerated on every grid change.</w:t>
      </w:r>
    </w:p>
    <w:p>
      <w:pPr>
        <w:pStyle w:val="FirstParagraph"/>
      </w:pPr>
      <w:r>
        <w:rPr>
          <w:bCs/>
          <w:b/>
        </w:rPr>
        <w:t xml:space="preserve">KFS (para 29; Annex I).</w:t>
      </w:r>
      <w:r>
        <w:t xml:space="preserve"> </w:t>
      </w:r>
      <w:r>
        <w:t xml:space="preserve">Scope: all retail and MSME term loans; credit-card receivables exempt.</w:t>
      </w:r>
    </w:p>
    <w:p>
      <w:pPr>
        <w:numPr>
          <w:ilvl w:val="0"/>
          <w:numId w:val="1781"/>
        </w:numPr>
        <w:pStyle w:val="Compact"/>
      </w:pPr>
      <w:r>
        <w:t xml:space="preserve">Annex I format, in a language the borrower understands; contents explained;</w:t>
      </w:r>
      <w:r>
        <w:t xml:space="preserve"> </w:t>
      </w:r>
      <w:r>
        <w:rPr>
          <w:bCs/>
          <w:b/>
        </w:rPr>
        <w:t xml:space="preserve">acknowledgement of understanding</w:t>
      </w:r>
      <w:r>
        <w:t xml:space="preserve"> </w:t>
      </w:r>
      <w:r>
        <w:t xml:space="preserve">obtained (29(1)).</w:t>
      </w:r>
    </w:p>
    <w:p>
      <w:pPr>
        <w:numPr>
          <w:ilvl w:val="0"/>
          <w:numId w:val="1781"/>
        </w:numPr>
        <w:pStyle w:val="Compact"/>
      </w:pPr>
      <w:r>
        <w:rPr>
          <w:bCs/>
          <w:b/>
        </w:rPr>
        <w:t xml:space="preserve">Unique proposal number.</w:t>
      </w:r>
      <w:r>
        <w:t xml:space="preserve"> </w:t>
      </w:r>
      <w:r>
        <w:t xml:space="preserve">Validity</w:t>
      </w:r>
      <w:r>
        <w:t xml:space="preserve"> </w:t>
      </w:r>
      <w:r>
        <w:rPr>
          <w:bCs/>
          <w:b/>
        </w:rPr>
        <w:t xml:space="preserve">≥ 3 working days (tenor ≥ 7 days) / 1 working day (tenor &lt; 7 days)</w:t>
      </w:r>
      <w:r>
        <w:t xml:space="preserve">; the NBFC is bound by the KFS terms if the borrower agrees within it. It is not a waiting period (29(2)).</w:t>
      </w:r>
    </w:p>
    <w:p>
      <w:pPr>
        <w:numPr>
          <w:ilvl w:val="0"/>
          <w:numId w:val="1781"/>
        </w:numPr>
        <w:pStyle w:val="Compact"/>
      </w:pPr>
      <w:r>
        <w:t xml:space="preserve">APR computation sheet and amortisation schedule;</w:t>
      </w:r>
      <w:r>
        <w:t xml:space="preserve"> </w:t>
      </w:r>
      <w:r>
        <w:rPr>
          <w:bCs/>
          <w:b/>
        </w:rPr>
        <w:t xml:space="preserve">APR includes all charges levied by the NBFC</w:t>
      </w:r>
      <w:r>
        <w:t xml:space="preserve"> </w:t>
      </w:r>
      <w:r>
        <w:t xml:space="preserve">(29(3)) and third-party charges recovered at actuals (insurance, legal), disclosed separately; receipts for each third-party payment within a reasonable time (29(4)).</w:t>
      </w:r>
    </w:p>
    <w:p>
      <w:pPr>
        <w:numPr>
          <w:ilvl w:val="0"/>
          <w:numId w:val="1781"/>
        </w:numPr>
        <w:pStyle w:val="Compact"/>
      </w:pPr>
      <w:r>
        <w:rPr>
          <w:bCs/>
          <w:b/>
        </w:rPr>
        <w:t xml:space="preserve">No fee or charge outside the KFS at any stage without explicit consent</w:t>
      </w:r>
      <w:r>
        <w:t xml:space="preserve"> </w:t>
      </w:r>
      <w:r>
        <w:t xml:space="preserve">(29(5)). KFS reproduced as a summary box in the loan agreement (29(6)).</w:t>
      </w:r>
    </w:p>
    <w:p>
      <w:pPr>
        <w:numPr>
          <w:ilvl w:val="0"/>
          <w:numId w:val="1781"/>
        </w:numPr>
        <w:pStyle w:val="Compact"/>
      </w:pPr>
      <w:r>
        <w:rPr>
          <w:bCs/>
          <w:b/>
        </w:rPr>
        <w:t xml:space="preserve">Annex I Part 1:</w:t>
      </w:r>
    </w:p>
    <w:p>
      <w:pPr>
        <w:numPr>
          <w:ilvl w:val="1"/>
          <w:numId w:val="1782"/>
        </w:numPr>
        <w:pStyle w:val="Compact"/>
      </w:pPr>
    </w:p>
    <w:p>
      <w:pPr>
        <w:numPr>
          <w:ilvl w:val="2"/>
          <w:numId w:val="1783"/>
        </w:numPr>
        <w:pStyle w:val="Compact"/>
      </w:pPr>
      <w:r>
        <w:t xml:space="preserve">proposal/account no., loan type; (2) sanctioned amount; (3) disbursal schedule (100% upfront or staged, with the agreement clause); (4) term; (5) instalment type, no. of EPIs, EPI ₹, commencement post-sanction; (6) rate % and type (fixed/floating/hybrid);</w:t>
      </w:r>
    </w:p>
    <w:p>
      <w:pPr>
        <w:numPr>
          <w:ilvl w:val="1"/>
          <w:numId w:val="1782"/>
        </w:numPr>
        <w:pStyle w:val="Compact"/>
      </w:pPr>
    </w:p>
    <w:p>
      <w:pPr>
        <w:numPr>
          <w:ilvl w:val="2"/>
          <w:numId w:val="1784"/>
        </w:numPr>
        <w:pStyle w:val="Compact"/>
      </w:pPr>
      <w:r>
        <w:t xml:space="preserve">floating: reference benchmark, B %, spread S %, R = B + S, reset periodicity in months (fixed reset other than on credit-profile change), and the impact of a</w:t>
      </w:r>
      <w:r>
        <w:t xml:space="preserve"> </w:t>
      </w:r>
      <w:r>
        <w:rPr>
          <w:bCs/>
          <w:b/>
        </w:rPr>
        <w:t xml:space="preserve">25 bps change in R</w:t>
      </w:r>
      <w:r>
        <w:t xml:space="preserve"> </w:t>
      </w:r>
      <w:r>
        <w:t xml:space="preserve">on EPI ₹ and no. of EPIs;</w:t>
      </w:r>
    </w:p>
    <w:p>
      <w:pPr>
        <w:numPr>
          <w:ilvl w:val="1"/>
          <w:numId w:val="1782"/>
        </w:numPr>
        <w:pStyle w:val="Compact"/>
      </w:pPr>
    </w:p>
    <w:p>
      <w:pPr>
        <w:numPr>
          <w:ilvl w:val="2"/>
          <w:numId w:val="1785"/>
        </w:numPr>
        <w:pStyle w:val="Compact"/>
      </w:pPr>
      <w:r>
        <w:t xml:space="preserve">fees, split A (payable to the NBFC) / B (third party through the NBFC), each one-time/recurring and ₹ or % with frequency: processing, insurance, valuation, any other (may be shown net of GST);</w:t>
      </w:r>
    </w:p>
    <w:p>
      <w:pPr>
        <w:numPr>
          <w:ilvl w:val="1"/>
          <w:numId w:val="1782"/>
        </w:numPr>
        <w:pStyle w:val="Compact"/>
      </w:pPr>
    </w:p>
    <w:p>
      <w:pPr>
        <w:numPr>
          <w:ilvl w:val="2"/>
          <w:numId w:val="1786"/>
        </w:numPr>
        <w:pStyle w:val="Compact"/>
      </w:pPr>
      <w:r>
        <w:t xml:space="preserve">APR %; (10) contingent charges: penal for delayed payment, other penal, foreclosure, floating↔fixed switch, any other.</w:t>
      </w:r>
    </w:p>
    <w:p>
      <w:pPr>
        <w:numPr>
          <w:ilvl w:val="0"/>
          <w:numId w:val="1781"/>
        </w:numPr>
        <w:pStyle w:val="Compact"/>
      </w:pPr>
      <w:r>
        <w:rPr>
          <w:bCs/>
          <w:b/>
        </w:rPr>
        <w:t xml:space="preserve">Annex I Part 2:</w:t>
      </w:r>
      <w:r>
        <w:t xml:space="preserve"> </w:t>
      </w:r>
      <w:r>
        <w:t xml:space="preserve">(1) recovery-agent clause of the agreement; (2) GRM clause; (3) nodal GRO phone and email (a generic email only if the response comes</w:t>
      </w:r>
      <w:r>
        <w:t xml:space="preserve"> </w:t>
      </w:r>
      <w:r>
        <w:rPr>
          <w:bCs/>
          <w:b/>
        </w:rPr>
        <w:t xml:space="preserve">within 1 working day</w:t>
      </w:r>
      <w:r>
        <w:t xml:space="preserve">); (4) whether the loan is or may be transferred/securitised (Y/N); (5) collaborative lending (co-lending/outsourcing): originating RE and its funding share, partner RE and its share,</w:t>
      </w:r>
      <w:r>
        <w:t xml:space="preserve"> </w:t>
      </w:r>
      <w:r>
        <w:rPr>
          <w:bCs/>
          <w:b/>
        </w:rPr>
        <w:t xml:space="preserve">blended rate</w:t>
      </w:r>
      <w:r>
        <w:t xml:space="preserve">; (6) digital loans: cooling-off/look-up period with no prepayment penalty, and the LSP acting as recovery agent.</w:t>
      </w:r>
    </w:p>
    <w:p>
      <w:pPr>
        <w:numPr>
          <w:ilvl w:val="0"/>
          <w:numId w:val="1781"/>
        </w:numPr>
        <w:pStyle w:val="Compact"/>
      </w:pPr>
      <w:r>
        <w:rPr>
          <w:bCs/>
          <w:b/>
        </w:rPr>
        <w:t xml:space="preserve">APR rule (29(3) illustration):</w:t>
      </w:r>
      <w:r>
        <w:t xml:space="preserve"> </w:t>
      </w:r>
      <w:r>
        <w:t xml:space="preserve">net disbursed = sanctioned amount − all fees (NBFC + third party). APR = periodic IRR on the net disbursed amount (reducing balance) × periods per year. Charges not determinable before sanction may be shown as an upper ceiling.</w:t>
      </w:r>
    </w:p>
    <w:p>
      <w:pPr>
        <w:numPr>
          <w:ilvl w:val="1"/>
          <w:numId w:val="1787"/>
        </w:numPr>
        <w:pStyle w:val="Compact"/>
      </w:pPr>
      <w:r>
        <w:rPr>
          <w:bCs/>
          <w:b/>
        </w:rPr>
        <w:t xml:space="preserve">Golden test:</w:t>
      </w:r>
      <w:r>
        <w:t xml:space="preserve"> </w:t>
      </w:r>
      <w:r>
        <w:t xml:space="preserve">₹20,000, 24 monthly EPIs, 15% fixed, fees ₹400 (₹240 NBFC + ₹160 third party). EPI ₹969.73 (₹970 in the schedule), total interest ₹3,274, net disbursed ₹19,600,</w:t>
      </w:r>
      <w:r>
        <w:t xml:space="preserve"> </w:t>
      </w:r>
      <w:r>
        <w:rPr>
          <w:bCs/>
          <w:b/>
        </w:rPr>
        <w:t xml:space="preserve">APR 17.07%</w:t>
      </w:r>
      <w:r>
        <w:t xml:space="preserve"> </w:t>
      </w:r>
      <w:r>
        <w:t xml:space="preserve">(recomputed: monthly IRR × 12 on the unrounded EPI; ₹970 gives 17.10%).</w:t>
      </w:r>
    </w:p>
    <w:p>
      <w:pPr>
        <w:pStyle w:val="FirstParagraph"/>
      </w:pPr>
      <w:r>
        <w:rPr>
          <w:bCs/>
          <w:b/>
        </w:rPr>
        <w:t xml:space="preserve">Penal charges (para 30).</w:t>
      </w:r>
      <w:r>
        <w:t xml:space="preserve"> </w:t>
      </w:r>
      <w:r>
        <w:t xml:space="preserve">Scope: all credit facilities except credit cards, ECBs, trade credits, structured obligations and other FX loans.</w:t>
      </w:r>
    </w:p>
    <w:p>
      <w:pPr>
        <w:numPr>
          <w:ilvl w:val="0"/>
          <w:numId w:val="1788"/>
        </w:numPr>
        <w:pStyle w:val="Compact"/>
      </w:pPr>
      <w:r>
        <w:t xml:space="preserve">Penalty for breach of material terms (incl. payment default)</w:t>
      </w:r>
      <w:r>
        <w:t xml:space="preserve"> </w:t>
      </w:r>
      <w:r>
        <w:rPr>
          <w:bCs/>
          <w:b/>
        </w:rPr>
        <w:t xml:space="preserve">only as penal charges, never penal interest; no capitalisation</w:t>
      </w:r>
      <w:r>
        <w:t xml:space="preserve">; interest on unpaid interest/EMI only at the contracted rate till remediation (30(1)).</w:t>
      </w:r>
    </w:p>
    <w:p>
      <w:pPr>
        <w:numPr>
          <w:ilvl w:val="0"/>
          <w:numId w:val="1788"/>
        </w:numPr>
        <w:pStyle w:val="Compact"/>
      </w:pPr>
      <w:r>
        <w:t xml:space="preserve">Levied</w:t>
      </w:r>
      <w:r>
        <w:t xml:space="preserve"> </w:t>
      </w:r>
      <w:r>
        <w:rPr>
          <w:bCs/>
          <w:b/>
        </w:rPr>
        <w:t xml:space="preserve">only on the amount under default</w:t>
      </w:r>
      <w:r>
        <w:t xml:space="preserve">, non-discriminatory, per Board policy (30(1) Note (ii));</w:t>
      </w:r>
      <w:r>
        <w:t xml:space="preserve"> </w:t>
      </w:r>
      <w:r>
        <w:rPr>
          <w:bCs/>
          <w:b/>
        </w:rPr>
        <w:t xml:space="preserve">no penal charge on earlier penal charges</w:t>
      </w:r>
      <w:r>
        <w:t xml:space="preserve"> </w:t>
      </w:r>
      <w:r>
        <w:t xml:space="preserve">(Note (iii)); GST per CBIC (Note (iv)).</w:t>
      </w:r>
    </w:p>
    <w:p>
      <w:pPr>
        <w:numPr>
          <w:ilvl w:val="0"/>
          <w:numId w:val="1788"/>
        </w:numPr>
        <w:pStyle w:val="Compact"/>
      </w:pPr>
      <w:r>
        <w:t xml:space="preserve">No added rate component (30(2)); Board policy (30(3)); reasonable, uniform within a product irrespective of the borrower’s constitution, may vary by loan amount, not a revenue tool (30(4)).</w:t>
      </w:r>
    </w:p>
    <w:p>
      <w:pPr>
        <w:numPr>
          <w:ilvl w:val="0"/>
          <w:numId w:val="1788"/>
        </w:numPr>
        <w:pStyle w:val="Compact"/>
      </w:pPr>
      <w:r>
        <w:rPr>
          <w:bCs/>
          <w:b/>
        </w:rPr>
        <w:t xml:space="preserve">Individual non-business ≤ non-individual</w:t>
      </w:r>
      <w:r>
        <w:t xml:space="preserve"> </w:t>
      </w:r>
      <w:r>
        <w:t xml:space="preserve">for similar non-compliance (30(5)).</w:t>
      </w:r>
    </w:p>
    <w:p>
      <w:pPr>
        <w:numPr>
          <w:ilvl w:val="0"/>
          <w:numId w:val="1788"/>
        </w:numPr>
        <w:pStyle w:val="Compact"/>
      </w:pPr>
      <w:r>
        <w:t xml:space="preserve">Quantum and reason disclosed in the agreement, MITC/KFS and on the website (</w:t>
      </w:r>
      <w:r>
        <w:t xml:space="preserve">“</w:t>
      </w:r>
      <w:r>
        <w:t xml:space="preserve">Interest rates and Service Charges</w:t>
      </w:r>
      <w:r>
        <w:t xml:space="preserve">”</w:t>
      </w:r>
      <w:r>
        <w:t xml:space="preserve">); a website reference alone does not suffice (30(6)).</w:t>
      </w:r>
    </w:p>
    <w:p>
      <w:pPr>
        <w:numPr>
          <w:ilvl w:val="0"/>
          <w:numId w:val="1788"/>
        </w:numPr>
        <w:pStyle w:val="Compact"/>
      </w:pPr>
      <w:r>
        <w:t xml:space="preserve">Applicable penal charges shown in every non-compliance reminder; each levy and its reason communicated (30(7)). Existing loans switch at the next review/renewal (30(8)).</w:t>
      </w:r>
    </w:p>
    <w:p>
      <w:pPr>
        <w:numPr>
          <w:ilvl w:val="0"/>
          <w:numId w:val="1788"/>
        </w:numPr>
        <w:pStyle w:val="Compact"/>
      </w:pPr>
      <w:r>
        <w:rPr>
          <w:iCs/>
          <w:i/>
        </w:rPr>
        <w:t xml:space="preserve">Build:</w:t>
      </w:r>
      <w:r>
        <w:t xml:space="preserve"> </w:t>
      </w:r>
      <w:r>
        <w:t xml:space="preserve">penal base = overdue amount only; excluded from the interest base; cross-schedule validator for 30(5).</w:t>
      </w:r>
    </w:p>
    <w:p>
      <w:pPr>
        <w:pStyle w:val="FirstParagraph"/>
      </w:pPr>
      <w:r>
        <w:rPr>
          <w:bCs/>
          <w:b/>
        </w:rPr>
        <w:t xml:space="preserve">Floating-rate reset (paras 31–32).</w:t>
      </w:r>
      <w:r>
        <w:t xml:space="preserve"> </w:t>
      </w:r>
      <w:r>
        <w:t xml:space="preserve">EMI-based floating-rate personal loans (</w:t>
      </w:r>
      <w:r>
        <w:t xml:space="preserve">“</w:t>
      </w:r>
      <w:r>
        <w:t xml:space="preserve">personal loans</w:t>
      </w:r>
      <w:r>
        <w:t xml:space="preserve">”</w:t>
      </w:r>
      <w:r>
        <w:t xml:space="preserve"> </w:t>
      </w:r>
      <w:r>
        <w:t xml:space="preserve">per XBRL, para 6(11)); mutatis mutandis to equated-instalment loans of any periodicity, on external or internal benchmarks;</w:t>
      </w:r>
      <w:r>
        <w:t xml:space="preserve"> </w:t>
      </w:r>
      <w:r>
        <w:rPr>
          <w:bCs/>
          <w:b/>
        </w:rPr>
        <w:t xml:space="preserve">not other loan types</w:t>
      </w:r>
      <w:r>
        <w:t xml:space="preserve"> </w:t>
      </w:r>
      <w:r>
        <w:t xml:space="preserve">(32).</w:t>
      </w:r>
    </w:p>
    <w:p>
      <w:pPr>
        <w:numPr>
          <w:ilvl w:val="0"/>
          <w:numId w:val="1789"/>
        </w:numPr>
        <w:pStyle w:val="Compact"/>
      </w:pPr>
      <w:r>
        <w:t xml:space="preserve">At sanction, disclose the EMI/tenor impact of benchmark changes; any increase communicated</w:t>
      </w:r>
      <w:r>
        <w:t xml:space="preserve"> </w:t>
      </w:r>
      <w:r>
        <w:rPr>
          <w:bCs/>
          <w:b/>
        </w:rPr>
        <w:t xml:space="preserve">immediately</w:t>
      </w:r>
      <w:r>
        <w:t xml:space="preserve"> </w:t>
      </w:r>
      <w:r>
        <w:t xml:space="preserve">(31(1)).</w:t>
      </w:r>
    </w:p>
    <w:p>
      <w:pPr>
        <w:numPr>
          <w:ilvl w:val="0"/>
          <w:numId w:val="1789"/>
        </w:numPr>
        <w:pStyle w:val="Compact"/>
      </w:pPr>
      <w:r>
        <w:t xml:space="preserve">Switch to fixed</w:t>
      </w:r>
      <w:r>
        <w:t xml:space="preserve"> </w:t>
      </w:r>
      <w:r>
        <w:rPr>
          <w:bCs/>
          <w:b/>
        </w:rPr>
        <w:t xml:space="preserve">at the NBFC’s option</w:t>
      </w:r>
      <w:r>
        <w:t xml:space="preserve"> </w:t>
      </w:r>
      <w:r>
        <w:t xml:space="preserve">per Board policy, which may cap the number of switches (31(2)).</w:t>
      </w:r>
    </w:p>
    <w:p>
      <w:pPr>
        <w:numPr>
          <w:ilvl w:val="0"/>
          <w:numId w:val="1789"/>
        </w:numPr>
        <w:pStyle w:val="Compact"/>
      </w:pPr>
      <w:r>
        <w:t xml:space="preserve">Borrower chooses higher EMI, longer tenor or both, and may prepay in part or full at any time (31(3)).</w:t>
      </w:r>
    </w:p>
    <w:p>
      <w:pPr>
        <w:numPr>
          <w:ilvl w:val="0"/>
          <w:numId w:val="1789"/>
        </w:numPr>
        <w:pStyle w:val="Compact"/>
      </w:pPr>
      <w:r>
        <w:t xml:space="preserve">Switch and incidental charges in the sanction letter and on revision; Board-approved; on the website (31(4)).</w:t>
      </w:r>
    </w:p>
    <w:p>
      <w:pPr>
        <w:numPr>
          <w:ilvl w:val="0"/>
          <w:numId w:val="1789"/>
        </w:numPr>
        <w:pStyle w:val="Compact"/>
      </w:pPr>
      <w:r>
        <w:rPr>
          <w:bCs/>
          <w:b/>
        </w:rPr>
        <w:t xml:space="preserve">No negative amortisation</w:t>
      </w:r>
      <w:r>
        <w:t xml:space="preserve"> </w:t>
      </w:r>
      <w:r>
        <w:t xml:space="preserve">(31(5)).</w:t>
      </w:r>
    </w:p>
    <w:p>
      <w:pPr>
        <w:numPr>
          <w:ilvl w:val="0"/>
          <w:numId w:val="1789"/>
        </w:numPr>
        <w:pStyle w:val="Compact"/>
      </w:pPr>
      <w:r>
        <w:rPr>
          <w:bCs/>
          <w:b/>
        </w:rPr>
        <w:t xml:space="preserve">Quarterly statement:</w:t>
      </w:r>
      <w:r>
        <w:t xml:space="preserve"> </w:t>
      </w:r>
      <w:r>
        <w:t xml:space="preserve">principal and interest recovered to date, EMI, EMIs left, annualised rate/APR for the full tenor (31(6)).</w:t>
      </w:r>
    </w:p>
    <w:p>
      <w:pPr>
        <w:numPr>
          <w:ilvl w:val="0"/>
          <w:numId w:val="1789"/>
        </w:numPr>
        <w:pStyle w:val="Compact"/>
      </w:pPr>
      <w:r>
        <w:t xml:space="preserve">EBLR loans: information systems to monitor transmission (32).</w:t>
      </w:r>
    </w:p>
    <w:p>
      <w:pPr>
        <w:pStyle w:val="FirstParagraph"/>
      </w:pPr>
      <w:r>
        <w:rPr>
          <w:bCs/>
          <w:b/>
        </w:rPr>
        <w:t xml:space="preserve">Pre-payment charges (paras 33–34, 81):</w:t>
      </w:r>
    </w:p>
    <w:p>
      <w:pPr>
        <w:numPr>
          <w:ilvl w:val="0"/>
          <w:numId w:val="1790"/>
        </w:numPr>
        <w:pStyle w:val="Compact"/>
      </w:pPr>
      <w:r>
        <w:t xml:space="preserve">Sanctioned/renewed</w:t>
      </w:r>
      <w:r>
        <w:t xml:space="preserve"> </w:t>
      </w:r>
      <w:r>
        <w:rPr>
          <w:bCs/>
          <w:b/>
        </w:rPr>
        <w:t xml:space="preserve">on or before 31 Dec 2025</w:t>
      </w:r>
      <w:r>
        <w:t xml:space="preserve">: none on floating-rate</w:t>
      </w:r>
      <w:r>
        <w:t xml:space="preserve"> </w:t>
      </w:r>
      <w:r>
        <w:rPr>
          <w:bCs/>
          <w:b/>
        </w:rPr>
        <w:t xml:space="preserve">term</w:t>
      </w:r>
      <w:r>
        <w:t xml:space="preserve"> </w:t>
      </w:r>
      <w:r>
        <w:t xml:space="preserve">loans to individuals for non-business purposes, with or without co-obligants (33).</w:t>
      </w:r>
    </w:p>
    <w:p>
      <w:pPr>
        <w:numPr>
          <w:ilvl w:val="0"/>
          <w:numId w:val="1790"/>
        </w:numPr>
        <w:pStyle w:val="Compact"/>
      </w:pPr>
      <w:r>
        <w:t xml:space="preserve">Term</w:t>
      </w:r>
      <w:r>
        <w:t xml:space="preserve"> </w:t>
      </w:r>
      <w:r>
        <w:rPr>
          <w:bCs/>
          <w:b/>
        </w:rPr>
        <w:t xml:space="preserve">and demand</w:t>
      </w:r>
      <w:r>
        <w:t xml:space="preserve"> </w:t>
      </w:r>
      <w:r>
        <w:t xml:space="preserve">loans sanctioned/renewed</w:t>
      </w:r>
      <w:r>
        <w:t xml:space="preserve"> </w:t>
      </w:r>
      <w:r>
        <w:rPr>
          <w:bCs/>
          <w:b/>
        </w:rPr>
        <w:t xml:space="preserve">on or after 1 Jan 2026</w:t>
      </w:r>
      <w:r>
        <w:t xml:space="preserve">:</w:t>
      </w:r>
    </w:p>
    <w:p>
      <w:pPr>
        <w:numPr>
          <w:ilvl w:val="1"/>
          <w:numId w:val="1791"/>
        </w:numPr>
        <w:pStyle w:val="Compact"/>
      </w:pPr>
      <w:r>
        <w:t xml:space="preserve">floating, individual, non-business: none, all layers (34(1));</w:t>
      </w:r>
    </w:p>
    <w:p>
      <w:pPr>
        <w:numPr>
          <w:ilvl w:val="1"/>
          <w:numId w:val="1791"/>
        </w:numPr>
        <w:pStyle w:val="Compact"/>
      </w:pPr>
      <w:r>
        <w:t xml:space="preserve">floating, business purpose, individuals and MSEs (MSMED Act):</w:t>
      </w:r>
      <w:r>
        <w:t xml:space="preserve"> </w:t>
      </w:r>
      <w:r>
        <w:rPr>
          <w:bCs/>
          <w:b/>
        </w:rPr>
        <w:t xml:space="preserve">UL none; ML none if the sanctioned amount/limit is ≤ ₹50 lakh</w:t>
      </w:r>
      <w:r>
        <w:t xml:space="preserve"> </w:t>
      </w:r>
      <w:r>
        <w:t xml:space="preserve">(34(2)); BL per policy.</w:t>
      </w:r>
    </w:p>
    <w:p>
      <w:pPr>
        <w:numPr>
          <w:ilvl w:val="0"/>
          <w:numId w:val="1790"/>
        </w:numPr>
        <w:pStyle w:val="Compact"/>
      </w:pPr>
      <w:r>
        <w:t xml:space="preserve">Any source of funds;</w:t>
      </w:r>
      <w:r>
        <w:t xml:space="preserve"> </w:t>
      </w:r>
      <w:r>
        <w:rPr>
          <w:bCs/>
          <w:b/>
        </w:rPr>
        <w:t xml:space="preserve">no lock-in</w:t>
      </w:r>
      <w:r>
        <w:t xml:space="preserve"> </w:t>
      </w:r>
      <w:r>
        <w:t xml:space="preserve">(34(3)). Dual/special-rate loans: rate type at the time of prepayment decides (34(4)).</w:t>
      </w:r>
    </w:p>
    <w:p>
      <w:pPr>
        <w:numPr>
          <w:ilvl w:val="0"/>
          <w:numId w:val="1790"/>
        </w:numPr>
        <w:pStyle w:val="Compact"/>
      </w:pPr>
      <w:r>
        <w:t xml:space="preserve">Other cases per policy; term loans on the amount prepaid; CC/OD closure before the due date on ≤ sanctioned limit (34(5)). CC/OD: none if non-renewal was intimated within the agreed period and the facility closes on the due date (34(6)).</w:t>
      </w:r>
    </w:p>
    <w:p>
      <w:pPr>
        <w:numPr>
          <w:ilvl w:val="0"/>
          <w:numId w:val="1790"/>
        </w:numPr>
        <w:pStyle w:val="Compact"/>
      </w:pPr>
      <w:r>
        <w:rPr>
          <w:bCs/>
          <w:b/>
        </w:rPr>
        <w:t xml:space="preserve">None where the NBFC initiates the prepayment</w:t>
      </w:r>
      <w:r>
        <w:t xml:space="preserve"> </w:t>
      </w:r>
      <w:r>
        <w:t xml:space="preserve">(34(7)). Disclosed in the sanction letter, agreement and KFS;</w:t>
      </w:r>
      <w:r>
        <w:t xml:space="preserve"> </w:t>
      </w:r>
      <w:r>
        <w:rPr>
          <w:bCs/>
          <w:b/>
        </w:rPr>
        <w:t xml:space="preserve">undisclosed = not chargeable</w:t>
      </w:r>
      <w:r>
        <w:t xml:space="preserve"> </w:t>
      </w:r>
      <w:r>
        <w:t xml:space="preserve">(34(8)). No retrospective levy of earlier waived charges (34(9)).</w:t>
      </w:r>
    </w:p>
    <w:p>
      <w:pPr>
        <w:numPr>
          <w:ilvl w:val="0"/>
          <w:numId w:val="1790"/>
        </w:numPr>
        <w:pStyle w:val="Compact"/>
      </w:pPr>
      <w:r>
        <w:rPr>
          <w:bCs/>
          <w:b/>
        </w:rPr>
        <w:t xml:space="preserve">Microfinance: none</w:t>
      </w:r>
      <w:r>
        <w:t xml:space="preserve"> </w:t>
      </w:r>
      <w:r>
        <w:t xml:space="preserve">(81).</w:t>
      </w:r>
    </w:p>
    <w:p>
      <w:pPr>
        <w:pStyle w:val="FirstParagraph"/>
      </w:pPr>
      <w:r>
        <w:rPr>
          <w:bCs/>
          <w:b/>
        </w:rPr>
        <w:t xml:space="preserve">Release of property documents (paras 35–41), personal loans:</w:t>
      </w:r>
    </w:p>
    <w:p>
      <w:pPr>
        <w:numPr>
          <w:ilvl w:val="0"/>
          <w:numId w:val="1792"/>
        </w:numPr>
        <w:pStyle w:val="Compact"/>
      </w:pPr>
      <w:r>
        <w:t xml:space="preserve">All original movable/immovable property documents released and</w:t>
      </w:r>
      <w:r>
        <w:t xml:space="preserve"> </w:t>
      </w:r>
      <w:r>
        <w:rPr>
          <w:bCs/>
          <w:b/>
        </w:rPr>
        <w:t xml:space="preserve">registered charges removed within 30 days</w:t>
      </w:r>
      <w:r>
        <w:t xml:space="preserve"> </w:t>
      </w:r>
      <w:r>
        <w:t xml:space="preserve">of full repayment/settlement (35). Borrower chooses the collection office (36). Timeline and place stated in sanction letters from 1 Dec 2023 (37).</w:t>
      </w:r>
    </w:p>
    <w:p>
      <w:pPr>
        <w:numPr>
          <w:ilvl w:val="0"/>
          <w:numId w:val="1792"/>
        </w:numPr>
        <w:pStyle w:val="Compact"/>
      </w:pPr>
      <w:r>
        <w:t xml:space="preserve">Legal-heir procedure displayed on the website (38).</w:t>
      </w:r>
    </w:p>
    <w:p>
      <w:pPr>
        <w:numPr>
          <w:ilvl w:val="0"/>
          <w:numId w:val="1792"/>
        </w:numPr>
        <w:pStyle w:val="Compact"/>
      </w:pPr>
      <w:r>
        <w:t xml:space="preserve">Reasons for delay communicated;</w:t>
      </w:r>
      <w:r>
        <w:t xml:space="preserve"> </w:t>
      </w:r>
      <w:r>
        <w:rPr>
          <w:bCs/>
          <w:b/>
        </w:rPr>
        <w:t xml:space="preserve">₹5,000 per day</w:t>
      </w:r>
      <w:r>
        <w:t xml:space="preserve"> </w:t>
      </w:r>
      <w:r>
        <w:t xml:space="preserve">where the delay is attributable to the NBFC (39).</w:t>
      </w:r>
    </w:p>
    <w:p>
      <w:pPr>
        <w:numPr>
          <w:ilvl w:val="0"/>
          <w:numId w:val="1792"/>
        </w:numPr>
        <w:pStyle w:val="Compact"/>
      </w:pPr>
      <w:r>
        <w:t xml:space="preserve">Lost/damaged documents: assist with duplicates/certified copies at the NBFC’s cost, plus compensation; penalty runs only</w:t>
      </w:r>
      <w:r>
        <w:t xml:space="preserve"> </w:t>
      </w:r>
      <w:r>
        <w:rPr>
          <w:bCs/>
          <w:b/>
        </w:rPr>
        <w:t xml:space="preserve">after 60 days</w:t>
      </w:r>
      <w:r>
        <w:t xml:space="preserve"> </w:t>
      </w:r>
      <w:r>
        <w:t xml:space="preserve">(40). Without prejudice to other law (41).</w:t>
      </w:r>
    </w:p>
    <w:p>
      <w:pPr>
        <w:numPr>
          <w:ilvl w:val="0"/>
          <w:numId w:val="1792"/>
        </w:numPr>
        <w:pStyle w:val="Compact"/>
      </w:pPr>
      <w:r>
        <w:rPr>
          <w:iCs/>
          <w:i/>
        </w:rPr>
        <w:t xml:space="preserve">Build:</w:t>
      </w:r>
      <w:r>
        <w:t xml:space="preserve"> </w:t>
      </w:r>
      <w:r>
        <w:t xml:space="preserve">release clock from the closure date; attribution flag; compensation auto-computed; 30/60-day clocks.</w:t>
      </w:r>
    </w:p>
    <w:p>
      <w:pPr>
        <w:pStyle w:val="FirstParagraph"/>
      </w:pPr>
      <w:r>
        <w:rPr>
          <w:bCs/>
          <w:b/>
        </w:rPr>
        <w:t xml:space="preserve">Gold and silver collateral conduct (Ch III.G, paras 43–75):</w:t>
      </w:r>
    </w:p>
    <w:p>
      <w:pPr>
        <w:numPr>
          <w:ilvl w:val="0"/>
          <w:numId w:val="1793"/>
        </w:numPr>
        <w:pStyle w:val="Compact"/>
      </w:pPr>
      <w:r>
        <w:rPr>
          <w:bCs/>
          <w:b/>
        </w:rPr>
        <w:t xml:space="preserve">Policy and assay (43–47):</w:t>
      </w:r>
      <w:r>
        <w:t xml:space="preserve"> </w:t>
      </w:r>
      <w:r>
        <w:t xml:space="preserve">policy/SOP covers assay, assayer criteria, auction trigger, notice timeline, mode, notice period, auctioneer empanelment, and the loss/discrepancy procedure with compensation timelines (43). One assay procedure across all branches (44). Net-weight and price methodology on the website (45).</w:t>
      </w:r>
      <w:r>
        <w:t xml:space="preserve"> </w:t>
      </w:r>
      <w:r>
        <w:rPr>
          <w:bCs/>
          <w:b/>
        </w:rPr>
        <w:t xml:space="preserve">Borrower present at assay</w:t>
      </w:r>
      <w:r>
        <w:t xml:space="preserve">; deductions explained (46). Loss or discrepancy recorded and communicated, with the compensation process (47).</w:t>
      </w:r>
    </w:p>
    <w:p>
      <w:pPr>
        <w:numPr>
          <w:ilvl w:val="0"/>
          <w:numId w:val="1793"/>
        </w:numPr>
        <w:pStyle w:val="Compact"/>
      </w:pPr>
      <w:r>
        <w:rPr>
          <w:bCs/>
          <w:b/>
        </w:rPr>
        <w:t xml:space="preserve">Documents (48–51):</w:t>
      </w:r>
      <w:r>
        <w:t xml:space="preserve"> </w:t>
      </w:r>
      <w:r>
        <w:t xml:space="preserve">standard documentation (48). Agreement covers the collateral, its value, auction triggers and procedure, pre-auction notice period, release timeline and surplus refund; assay and auction charges in the agreement</w:t>
      </w:r>
      <w:r>
        <w:t xml:space="preserve"> </w:t>
      </w:r>
      <w:r>
        <w:rPr>
          <w:bCs/>
          <w:b/>
        </w:rPr>
        <w:t xml:space="preserve">and KFS</w:t>
      </w:r>
      <w:r>
        <w:t xml:space="preserve"> </w:t>
      </w:r>
      <w:r>
        <w:t xml:space="preserve">(49).</w:t>
      </w:r>
      <w:r>
        <w:t xml:space="preserve"> </w:t>
      </w:r>
      <w:r>
        <w:rPr>
          <w:bCs/>
          <w:b/>
        </w:rPr>
        <w:t xml:space="preserve">Assay certificate</w:t>
      </w:r>
      <w:r>
        <w:t xml:space="preserve"> </w:t>
      </w:r>
      <w:r>
        <w:t xml:space="preserve">(paper or e-, in duplicate, on letterhead): carats, gross weight, net metal weight and deductions, damage/defects,</w:t>
      </w:r>
      <w:r>
        <w:t xml:space="preserve"> </w:t>
      </w:r>
      <w:r>
        <w:rPr>
          <w:bCs/>
          <w:b/>
        </w:rPr>
        <w:t xml:space="preserve">image</w:t>
      </w:r>
      <w:r>
        <w:t xml:space="preserve">, value at sanction; one copy to the borrower against acknowledgement (50). Illiterate borrower: terms explained before a</w:t>
      </w:r>
      <w:r>
        <w:t xml:space="preserve"> </w:t>
      </w:r>
      <w:r>
        <w:rPr>
          <w:bCs/>
          <w:b/>
        </w:rPr>
        <w:t xml:space="preserve">non-employee witness</w:t>
      </w:r>
      <w:r>
        <w:t xml:space="preserve"> </w:t>
      </w:r>
      <w:r>
        <w:t xml:space="preserve">(51).</w:t>
      </w:r>
    </w:p>
    <w:p>
      <w:pPr>
        <w:numPr>
          <w:ilvl w:val="0"/>
          <w:numId w:val="1793"/>
        </w:numPr>
        <w:pStyle w:val="Compact"/>
      </w:pPr>
      <w:r>
        <w:rPr>
          <w:bCs/>
          <w:b/>
        </w:rPr>
        <w:t xml:space="preserve">Custody (52–57):</w:t>
      </w:r>
      <w:r>
        <w:t xml:space="preserve"> </w:t>
      </w:r>
      <w:r>
        <w:t xml:space="preserve">handling and storage only in employee-manned branches with vaults (52–54); transfers only per para 64, branch shifting/closure, or policy exception (55); review, training and internal audit (56);</w:t>
      </w:r>
      <w:r>
        <w:t xml:space="preserve"> </w:t>
      </w:r>
      <w:r>
        <w:rPr>
          <w:bCs/>
          <w:b/>
        </w:rPr>
        <w:t xml:space="preserve">periodic surprise verification</w:t>
      </w:r>
      <w:r>
        <w:t xml:space="preserve"> </w:t>
      </w:r>
      <w:r>
        <w:t xml:space="preserve">with records and a consent clause in the agreement (57).</w:t>
      </w:r>
    </w:p>
    <w:p>
      <w:pPr>
        <w:numPr>
          <w:ilvl w:val="0"/>
          <w:numId w:val="1793"/>
        </w:numPr>
        <w:pStyle w:val="Compact"/>
      </w:pPr>
      <w:r>
        <w:rPr>
          <w:bCs/>
          <w:b/>
        </w:rPr>
        <w:t xml:space="preserve">Release (58–59):</w:t>
      </w:r>
      <w:r>
        <w:t xml:space="preserve"> </w:t>
      </w:r>
      <w:r>
        <w:rPr>
          <w:bCs/>
          <w:b/>
        </w:rPr>
        <w:t xml:space="preserve">same day, and in any case within 7 working days</w:t>
      </w:r>
      <w:r>
        <w:t xml:space="preserve"> </w:t>
      </w:r>
      <w:r>
        <w:t xml:space="preserve">of full repayment/settlement (58); verified against the certificate (59).</w:t>
      </w:r>
    </w:p>
    <w:p>
      <w:pPr>
        <w:numPr>
          <w:ilvl w:val="0"/>
          <w:numId w:val="1793"/>
        </w:numPr>
        <w:pStyle w:val="Compact"/>
      </w:pPr>
      <w:r>
        <w:rPr>
          <w:bCs/>
          <w:b/>
        </w:rPr>
        <w:t xml:space="preserve">Auction (60–66):</w:t>
      </w:r>
    </w:p>
    <w:p>
      <w:pPr>
        <w:numPr>
          <w:ilvl w:val="1"/>
          <w:numId w:val="1794"/>
        </w:numPr>
        <w:pStyle w:val="Compact"/>
      </w:pPr>
      <w:r>
        <w:t xml:space="preserve">notice to repay before auction, with copy and acknowledgement kept; untraceable borrower: public notice</w:t>
      </w:r>
      <w:r>
        <w:t xml:space="preserve"> </w:t>
      </w:r>
      <w:r>
        <w:rPr>
          <w:bCs/>
          <w:b/>
        </w:rPr>
        <w:t xml:space="preserve">+ 1 month</w:t>
      </w:r>
      <w:r>
        <w:t xml:space="preserve"> </w:t>
      </w:r>
      <w:r>
        <w:t xml:space="preserve">(60);</w:t>
      </w:r>
    </w:p>
    <w:p>
      <w:pPr>
        <w:numPr>
          <w:ilvl w:val="1"/>
          <w:numId w:val="1794"/>
        </w:numPr>
        <w:pStyle w:val="Compact"/>
      </w:pPr>
      <w:r>
        <w:t xml:space="preserve">advertisements in</w:t>
      </w:r>
      <w:r>
        <w:t xml:space="preserve"> </w:t>
      </w:r>
      <w:r>
        <w:rPr>
          <w:bCs/>
          <w:b/>
        </w:rPr>
        <w:t xml:space="preserve">at least 2 newspapers</w:t>
      </w:r>
      <w:r>
        <w:t xml:space="preserve"> </w:t>
      </w:r>
      <w:r>
        <w:t xml:space="preserve">(one regional-language, one national daily) (61);</w:t>
      </w:r>
    </w:p>
    <w:p>
      <w:pPr>
        <w:numPr>
          <w:ilvl w:val="1"/>
          <w:numId w:val="1794"/>
        </w:numPr>
        <w:pStyle w:val="Compact"/>
      </w:pPr>
      <w:r>
        <w:t xml:space="preserve">employee with experience/training or empanelled auctioneer, with safeguards (62);</w:t>
      </w:r>
    </w:p>
    <w:p>
      <w:pPr>
        <w:numPr>
          <w:ilvl w:val="1"/>
          <w:numId w:val="1794"/>
        </w:numPr>
        <w:pStyle w:val="Compact"/>
      </w:pPr>
      <w:r>
        <w:rPr>
          <w:bCs/>
          <w:b/>
        </w:rPr>
        <w:t xml:space="preserve">reserve price ≥ 90% of current value; ≥ 85% after two failed auctions</w:t>
      </w:r>
      <w:r>
        <w:t xml:space="preserve"> </w:t>
      </w:r>
      <w:r>
        <w:t xml:space="preserve">(63);</w:t>
      </w:r>
    </w:p>
    <w:p>
      <w:pPr>
        <w:numPr>
          <w:ilvl w:val="1"/>
          <w:numId w:val="1794"/>
        </w:numPr>
        <w:pStyle w:val="Compact"/>
      </w:pPr>
      <w:r>
        <w:t xml:space="preserve">first auction physical in the lending branch’s district; after failure, adjoining district or online (64);</w:t>
      </w:r>
    </w:p>
    <w:p>
      <w:pPr>
        <w:numPr>
          <w:ilvl w:val="1"/>
          <w:numId w:val="1794"/>
        </w:numPr>
        <w:pStyle w:val="Compact"/>
      </w:pPr>
      <w:r>
        <w:t xml:space="preserve">NBFC and its related parties barred from bidding (65);</w:t>
      </w:r>
    </w:p>
    <w:p>
      <w:pPr>
        <w:numPr>
          <w:ilvl w:val="1"/>
          <w:numId w:val="1794"/>
        </w:numPr>
        <w:pStyle w:val="Compact"/>
      </w:pPr>
      <w:r>
        <w:t xml:space="preserve">full details of value fetched and dues adjusted;</w:t>
      </w:r>
      <w:r>
        <w:t xml:space="preserve"> </w:t>
      </w:r>
      <w:r>
        <w:rPr>
          <w:bCs/>
          <w:b/>
        </w:rPr>
        <w:t xml:space="preserve">surplus refunded within 7 working days</w:t>
      </w:r>
      <w:r>
        <w:t xml:space="preserve"> </w:t>
      </w:r>
      <w:r>
        <w:t xml:space="preserve">of receiving the full proceeds; shortfall per the agreement (66).</w:t>
      </w:r>
    </w:p>
    <w:p>
      <w:pPr>
        <w:numPr>
          <w:ilvl w:val="0"/>
          <w:numId w:val="1793"/>
        </w:numPr>
        <w:pStyle w:val="Compact"/>
      </w:pPr>
      <w:r>
        <w:rPr>
          <w:bCs/>
          <w:b/>
        </w:rPr>
        <w:t xml:space="preserve">Compensation (67–70):</w:t>
      </w:r>
      <w:r>
        <w:t xml:space="preserve"> </w:t>
      </w:r>
      <w:r>
        <w:t xml:space="preserve">repair cost borne by the NBFC (67); loss/discrepancy compensated (68);</w:t>
      </w:r>
      <w:r>
        <w:t xml:space="preserve"> </w:t>
      </w:r>
      <w:r>
        <w:rPr>
          <w:bCs/>
          <w:b/>
        </w:rPr>
        <w:t xml:space="preserve">₹5,000 per day beyond the para 58 timeline</w:t>
      </w:r>
      <w:r>
        <w:t xml:space="preserve"> </w:t>
      </w:r>
      <w:r>
        <w:t xml:space="preserve">if attributable to the NBFC, otherwise reasons communicated; periodic reminders to borrowers who have not collected (69); without prejudice (70).</w:t>
      </w:r>
    </w:p>
    <w:p>
      <w:pPr>
        <w:numPr>
          <w:ilvl w:val="0"/>
          <w:numId w:val="1793"/>
        </w:numPr>
        <w:pStyle w:val="Compact"/>
      </w:pPr>
      <w:r>
        <w:rPr>
          <w:bCs/>
          <w:b/>
        </w:rPr>
        <w:t xml:space="preserve">Unclaimed (71–72):</w:t>
      </w:r>
      <w:r>
        <w:t xml:space="preserve"> </w:t>
      </w:r>
      <w:r>
        <w:t xml:space="preserve">after</w:t>
      </w:r>
      <w:r>
        <w:t xml:space="preserve"> </w:t>
      </w:r>
      <w:r>
        <w:rPr>
          <w:bCs/>
          <w:b/>
        </w:rPr>
        <w:t xml:space="preserve">2 years</w:t>
      </w:r>
      <w:r>
        <w:t xml:space="preserve"> </w:t>
      </w:r>
      <w:r>
        <w:t xml:space="preserve">from full repayment/settlement, with special drives (71);</w:t>
      </w:r>
      <w:r>
        <w:t xml:space="preserve"> </w:t>
      </w:r>
      <w:r>
        <w:rPr>
          <w:bCs/>
          <w:b/>
        </w:rPr>
        <w:t xml:space="preserve">half-yearly report</w:t>
      </w:r>
      <w:r>
        <w:t xml:space="preserve"> </w:t>
      </w:r>
      <w:r>
        <w:t xml:space="preserve">to the Customer Service Committee or Board (72).</w:t>
      </w:r>
    </w:p>
    <w:p>
      <w:pPr>
        <w:numPr>
          <w:ilvl w:val="0"/>
          <w:numId w:val="1793"/>
        </w:numPr>
        <w:pStyle w:val="Compact"/>
      </w:pPr>
      <w:r>
        <w:rPr>
          <w:bCs/>
          <w:b/>
        </w:rPr>
        <w:t xml:space="preserve">Other (73–75):</w:t>
      </w:r>
      <w:r>
        <w:t xml:space="preserve"> </w:t>
      </w:r>
      <w:r>
        <w:t xml:space="preserve">no misleading advertisements (73); sourcing and recovery arrangements comply with outsourcing and recovery rules (74); prudential rules in CF Ch IV (75).</w:t>
      </w:r>
    </w:p>
    <w:p>
      <w:pPr>
        <w:pStyle w:val="FirstParagraph"/>
      </w:pPr>
      <w:r>
        <w:rPr>
          <w:bCs/>
          <w:b/>
        </w:rPr>
        <w:t xml:space="preserve">Microfinance conduct (paras 76–92):</w:t>
      </w:r>
    </w:p>
    <w:p>
      <w:pPr>
        <w:numPr>
          <w:ilvl w:val="0"/>
          <w:numId w:val="1795"/>
        </w:numPr>
        <w:pStyle w:val="Compact"/>
      </w:pPr>
      <w:r>
        <w:t xml:space="preserve">Board-approved FPC displayed in offices and on the website, in the borrower’s language (76); standard vernacular loan agreement (77).</w:t>
      </w:r>
    </w:p>
    <w:p>
      <w:pPr>
        <w:numPr>
          <w:ilvl w:val="0"/>
          <w:numId w:val="1795"/>
        </w:numPr>
        <w:pStyle w:val="Compact"/>
      </w:pPr>
      <w:r>
        <w:rPr>
          <w:bCs/>
          <w:b/>
        </w:rPr>
        <w:t xml:space="preserve">Loan card:</w:t>
      </w:r>
      <w:r>
        <w:t xml:space="preserve"> </w:t>
      </w:r>
      <w:r>
        <w:t xml:space="preserve">borrower identity, simplified pricing factsheet, all other T&amp;C, acknowledgement of every repayment and the final discharge, nodal officer name and number (78); entries in the borrower’s language (79). Non-credit products only with full consent, fees shown in the loan card (80).</w:t>
      </w:r>
    </w:p>
    <w:p>
      <w:pPr>
        <w:numPr>
          <w:ilvl w:val="0"/>
          <w:numId w:val="1795"/>
        </w:numPr>
        <w:pStyle w:val="Compact"/>
      </w:pPr>
      <w:r>
        <w:rPr>
          <w:bCs/>
          <w:b/>
        </w:rPr>
        <w:t xml:space="preserve">No prepayment charge</w:t>
      </w:r>
      <w:r>
        <w:t xml:space="preserve">; delayed-payment charges</w:t>
      </w:r>
      <w:r>
        <w:t xml:space="preserve"> </w:t>
      </w:r>
      <w:r>
        <w:rPr>
          <w:bCs/>
          <w:b/>
        </w:rPr>
        <w:t xml:space="preserve">on the overdue amount only</w:t>
      </w:r>
      <w:r>
        <w:t xml:space="preserve"> </w:t>
      </w:r>
      <w:r>
        <w:t xml:space="preserve">(81).</w:t>
      </w:r>
    </w:p>
    <w:p>
      <w:pPr>
        <w:numPr>
          <w:ilvl w:val="0"/>
          <w:numId w:val="1795"/>
        </w:numPr>
        <w:pStyle w:val="Compact"/>
      </w:pPr>
      <w:r>
        <w:t xml:space="preserve">Minimum, maximum and average rates displayed in offices, literature and website, and included in supervisory returns (82). Rate/charge changes notified well in advance, prospective only (83).</w:t>
      </w:r>
    </w:p>
    <w:p>
      <w:pPr>
        <w:numPr>
          <w:ilvl w:val="0"/>
          <w:numId w:val="1795"/>
        </w:numPr>
        <w:pStyle w:val="Compact"/>
      </w:pPr>
      <w:r>
        <w:t xml:space="preserve">Staff conduct policy, recruitment and training (86); field staff enquire into household income and existing debt (87); borrower training free (88).</w:t>
      </w:r>
    </w:p>
    <w:p>
      <w:pPr>
        <w:numPr>
          <w:ilvl w:val="0"/>
          <w:numId w:val="1795"/>
        </w:numPr>
        <w:pStyle w:val="Compact"/>
      </w:pPr>
      <w:r>
        <w:t xml:space="preserve">Identify and engage borrowers facing repayment difficulty (89).</w:t>
      </w:r>
    </w:p>
    <w:p>
      <w:pPr>
        <w:numPr>
          <w:ilvl w:val="0"/>
          <w:numId w:val="1795"/>
        </w:numPr>
        <w:pStyle w:val="Compact"/>
      </w:pPr>
      <w:r>
        <w:t xml:space="preserve">Recovery at the mutually agreed designated place; residence/workplace only after</w:t>
      </w:r>
      <w:r>
        <w:t xml:space="preserve"> </w:t>
      </w:r>
      <w:r>
        <w:rPr>
          <w:bCs/>
          <w:b/>
        </w:rPr>
        <w:t xml:space="preserve">two or more successive</w:t>
      </w:r>
      <w:r>
        <w:t xml:space="preserve"> </w:t>
      </w:r>
      <w:r>
        <w:t xml:space="preserve">non-appearances (90).</w:t>
      </w:r>
    </w:p>
    <w:p>
      <w:pPr>
        <w:numPr>
          <w:ilvl w:val="0"/>
          <w:numId w:val="1795"/>
        </w:numPr>
        <w:pStyle w:val="Compact"/>
      </w:pPr>
      <w:r>
        <w:rPr>
          <w:bCs/>
          <w:b/>
        </w:rPr>
        <w:t xml:space="preserve">Harsh methods banned:</w:t>
      </w:r>
      <w:r>
        <w:t xml:space="preserve"> </w:t>
      </w:r>
      <w:r>
        <w:t xml:space="preserve">threatening/abusive language; persistent calls or calls</w:t>
      </w:r>
      <w:r>
        <w:t xml:space="preserve"> </w:t>
      </w:r>
      <w:r>
        <w:rPr>
          <w:bCs/>
          <w:b/>
        </w:rPr>
        <w:t xml:space="preserve">before 09:00 or after 18:00</w:t>
      </w:r>
      <w:r>
        <w:t xml:space="preserve">; harassing relatives, friends or co-workers; publishing names; violence; misleading statements on the debt or its consequences (91).</w:t>
      </w:r>
    </w:p>
    <w:p>
      <w:pPr>
        <w:numPr>
          <w:ilvl w:val="0"/>
          <w:numId w:val="1795"/>
        </w:numPr>
        <w:pStyle w:val="Compact"/>
      </w:pPr>
      <w:r>
        <w:t xml:space="preserve">Dedicated recovery-grievance mechanism, with details given at disbursal (92).</w:t>
      </w:r>
    </w:p>
    <w:p>
      <w:pPr>
        <w:pStyle w:val="FirstParagraph"/>
      </w:pPr>
      <w:r>
        <w:rPr>
          <w:bCs/>
          <w:b/>
        </w:rPr>
        <w:t xml:space="preserve">Recovery agents, DSA/DMA, telemarketers (paras 93–101).</w:t>
      </w:r>
      <w:r>
        <w:t xml:space="preserve"> </w:t>
      </w:r>
      <w:r>
        <w:t xml:space="preserve">Paras 93–97 sit in Section H (microfinance); paras 98–100 are general and also bind NBFC-P2P (para 4).</w:t>
      </w:r>
    </w:p>
    <w:p>
      <w:pPr>
        <w:numPr>
          <w:ilvl w:val="0"/>
          <w:numId w:val="1796"/>
        </w:numPr>
        <w:pStyle w:val="Compact"/>
      </w:pPr>
      <w:r>
        <w:t xml:space="preserve">Agent due diligence covering individuals; agency to do antecedent and</w:t>
      </w:r>
      <w:r>
        <w:t xml:space="preserve"> </w:t>
      </w:r>
      <w:r>
        <w:rPr>
          <w:bCs/>
          <w:b/>
        </w:rPr>
        <w:t xml:space="preserve">police verification</w:t>
      </w:r>
      <w:r>
        <w:t xml:space="preserve">; re-verification periodicity set by the NBFC (94).</w:t>
      </w:r>
    </w:p>
    <w:p>
      <w:pPr>
        <w:numPr>
          <w:ilvl w:val="0"/>
          <w:numId w:val="1796"/>
        </w:numPr>
        <w:pStyle w:val="Compact"/>
      </w:pPr>
      <w:r>
        <w:t xml:space="preserve">Agent details to the borrower when recovery starts; agent carries the notice, authorisation letter and ID; borrower notified on a change of agency and the new agent carries the same (95). Notice and authorisation include contact details of the agency and the NBFC (96). Up-to-date agency list on the website (97).</w:t>
      </w:r>
    </w:p>
    <w:p>
      <w:pPr>
        <w:numPr>
          <w:ilvl w:val="0"/>
          <w:numId w:val="1796"/>
        </w:numPr>
        <w:pStyle w:val="Compact"/>
      </w:pPr>
      <w:r>
        <w:t xml:space="preserve">DSA/DMA/RA training on soliciting, calling hours, privacy and correct T&amp;C (98). Code-of-conduct undertaking; RAs follow the FPC and the NBFC’s collection/repossession code; confidentiality (99).</w:t>
      </w:r>
    </w:p>
    <w:p>
      <w:pPr>
        <w:numPr>
          <w:ilvl w:val="0"/>
          <w:numId w:val="1796"/>
        </w:numPr>
        <w:pStyle w:val="Compact"/>
      </w:pPr>
      <w:r>
        <w:rPr>
          <w:bCs/>
          <w:b/>
        </w:rPr>
        <w:t xml:space="preserve">No intimidation or harassment</w:t>
      </w:r>
      <w:r>
        <w:t xml:space="preserve">: public humiliation, intrusion on family/referees/friends, inappropriate mobile or social-media messages, threatening or anonymous calls, persistent calls,</w:t>
      </w:r>
      <w:r>
        <w:t xml:space="preserve"> </w:t>
      </w:r>
      <w:r>
        <w:rPr>
          <w:bCs/>
          <w:b/>
        </w:rPr>
        <w:t xml:space="preserve">calls before 08:00 or after 19:00</w:t>
      </w:r>
      <w:r>
        <w:t xml:space="preserve"> </w:t>
      </w:r>
      <w:r>
        <w:t xml:space="preserve">for overdue recovery, false representations.</w:t>
      </w:r>
      <w:r>
        <w:t xml:space="preserve"> </w:t>
      </w:r>
      <w:r>
        <w:rPr>
          <w:bCs/>
          <w:b/>
        </w:rPr>
        <w:t xml:space="preserve">Not applicable to microfinance loans</w:t>
      </w:r>
      <w:r>
        <w:t xml:space="preserve"> </w:t>
      </w:r>
      <w:r>
        <w:t xml:space="preserve">(100).</w:t>
      </w:r>
    </w:p>
    <w:p>
      <w:pPr>
        <w:numPr>
          <w:ilvl w:val="0"/>
          <w:numId w:val="1796"/>
        </w:numPr>
        <w:pStyle w:val="Compact"/>
      </w:pPr>
      <w:r>
        <w:t xml:space="preserve">Only DoT/TRAI-registered telemarketers; list with registered numbers to TRAI; existing agents to register (101).</w:t>
      </w:r>
    </w:p>
    <w:p>
      <w:pPr>
        <w:numPr>
          <w:ilvl w:val="0"/>
          <w:numId w:val="1796"/>
        </w:numPr>
        <w:pStyle w:val="Compact"/>
      </w:pPr>
      <w:r>
        <w:t xml:space="preserve">Third Amendment (RBI/2026-27/230, 6 Aug 2026; Section J, paras 100A–100AB, from 1 Jan 2027) and Second Amendment (Ch IIIA) are not in this copy. The Third Amendment’s issuance, effective date and key paragraphs (100I, 100K, 100L, 100O, 100P, 100S–100U, 100Y, 100AA) are confirmed in the v1.4 research, but its official text is not in the supplied set. Second Amendment [VERIFY: amendment text not supplied].</w:t>
      </w:r>
    </w:p>
    <w:p>
      <w:pPr>
        <w:pStyle w:val="FirstParagraph"/>
      </w:pPr>
      <w:r>
        <w:rPr>
          <w:bCs/>
          <w:b/>
        </w:rPr>
        <w:t xml:space="preserve">Miscellaneous (paras 102–105):</w:t>
      </w:r>
    </w:p>
    <w:p>
      <w:pPr>
        <w:numPr>
          <w:ilvl w:val="0"/>
          <w:numId w:val="1797"/>
        </w:numPr>
        <w:pStyle w:val="Compact"/>
      </w:pPr>
      <w:r>
        <w:t xml:space="preserve">Branch/office closure:</w:t>
      </w:r>
      <w:r>
        <w:t xml:space="preserve"> </w:t>
      </w:r>
      <w:r>
        <w:rPr>
          <w:bCs/>
          <w:b/>
        </w:rPr>
        <w:t xml:space="preserve">at least 3 months’</w:t>
      </w:r>
      <w:r>
        <w:t xml:space="preserve"> </w:t>
      </w:r>
      <w:r>
        <w:t xml:space="preserve">public notice in a national and a local vernacular newspaper (102).</w:t>
      </w:r>
    </w:p>
    <w:p>
      <w:pPr>
        <w:numPr>
          <w:ilvl w:val="0"/>
          <w:numId w:val="1797"/>
        </w:numPr>
        <w:pStyle w:val="Compact"/>
      </w:pPr>
      <w:r>
        <w:rPr>
          <w:bCs/>
          <w:b/>
        </w:rPr>
        <w:t xml:space="preserve">All transactions rounded to the nearest rupee</w:t>
      </w:r>
      <w:r>
        <w:t xml:space="preserve"> </w:t>
      </w:r>
      <w:r>
        <w:t xml:space="preserve">(50 paise and above up, below 50 paise ignored); cheques with paise not rejected (103).</w:t>
      </w:r>
      <w:r>
        <w:t xml:space="preserve"> </w:t>
      </w:r>
      <w:r>
        <w:rPr>
          <w:iCs/>
          <w:i/>
        </w:rPr>
        <w:t xml:space="preserve">Build:</w:t>
      </w:r>
      <w:r>
        <w:t xml:space="preserve"> </w:t>
      </w:r>
      <w:r>
        <w:t xml:space="preserve">round each posted transaction; accrual precision kept internally (design rule).</w:t>
      </w:r>
    </w:p>
    <w:p>
      <w:pPr>
        <w:numPr>
          <w:ilvl w:val="0"/>
          <w:numId w:val="1797"/>
        </w:numPr>
        <w:pStyle w:val="Compact"/>
      </w:pPr>
      <w:r>
        <w:t xml:space="preserve">Locker facility: disclose that it is not regulated by RBI (104).</w:t>
      </w:r>
    </w:p>
    <w:p>
      <w:pPr>
        <w:numPr>
          <w:ilvl w:val="0"/>
          <w:numId w:val="1797"/>
        </w:numPr>
        <w:pStyle w:val="Compact"/>
      </w:pPr>
      <w:r>
        <w:t xml:space="preserve">Comply with the Supreme Court order of 30 Apr 2025 (Pragya Prasun; Amar Jain) (105) [VERIFY: order content not reproduced in the text].</w:t>
      </w:r>
    </w:p>
    <w:p>
      <w:pPr>
        <w:pStyle w:val="FirstParagraph"/>
      </w:pPr>
      <w:r>
        <w:rPr>
          <w:bCs/>
          <w:b/>
        </w:rPr>
        <w:t xml:space="preserve">Not in this text:</w:t>
      </w:r>
      <w:r>
        <w:t xml:space="preserve"> </w:t>
      </w:r>
      <w:r>
        <w:t xml:space="preserve">GRO appointment/display rules, NOC format, insurance-bundling rules (beyond 29(4) and 80), co-lending conduct beyond Annex I Part 2 item 5. Keep M15 and related controls on their other sources.</w:t>
      </w:r>
    </w:p>
    <w:p>
      <w:r>
        <w:pict>
          <v:rect style="width:0;height:1.5pt" o:hralign="center" o:hrstd="t" o:hr="t"/>
        </w:pict>
      </w:r>
    </w:p>
    <w:p>
      <w:r>
        <w:pict>
          <v:rect style="width:0;height:1.5pt" o:hralign="center" o:hrstd="t" o:hr="t"/>
        </w:pict>
      </w:r>
    </w:p>
    <w:bookmarkEnd w:id="799"/>
    <w:bookmarkStart w:id="800" w:name="Xea07fcfb1d853f43d2e6adc873bba8bda586e6e"/>
    <w:p>
      <w:pPr>
        <w:pStyle w:val="Heading2"/>
      </w:pPr>
      <w:r>
        <w:t xml:space="preserve">8A.20 WD — Treatment of Wilful Defaulters and Large Defaulters Directions (358)</w:t>
      </w:r>
    </w:p>
    <w:p>
      <w:pPr>
        <w:pStyle w:val="FirstParagraph"/>
      </w:pPr>
      <w:r>
        <w:rPr>
          <w:bCs/>
          <w:b/>
        </w:rPr>
        <w:t xml:space="preserve">Applicability (para 2).</w:t>
      </w:r>
      <w:r>
        <w:t xml:space="preserve"> </w:t>
      </w:r>
      <w:r>
        <w:t xml:space="preserve">NBFC-ML and above: NBFC-D, ICC, Factor, MFI, IFC, IDF-NBFC, HFC, CIC. Not MGC, P2P, AA, SPD, NOFHC, or NBFCs without public funds and customer interface.</w:t>
      </w:r>
      <w:r>
        <w:t xml:space="preserve"> </w:t>
      </w:r>
      <w:r>
        <w:rPr>
          <w:bCs/>
          <w:b/>
        </w:rPr>
        <w:t xml:space="preserve">Proviso:</w:t>
      </w:r>
      <w:r>
        <w:t xml:space="preserve"> </w:t>
      </w:r>
      <w:r>
        <w:t xml:space="preserve">the bar on further finance to wilful defaulters and the large-defaulter provisions apply to</w:t>
      </w:r>
      <w:r>
        <w:t xml:space="preserve"> </w:t>
      </w:r>
      <w:r>
        <w:rPr>
          <w:bCs/>
          <w:b/>
        </w:rPr>
        <w:t xml:space="preserve">all RBI-regulated entities</w:t>
      </w:r>
      <w:r>
        <w:t xml:space="preserve">, so Base Layer tenants get the screening and penal gates. Original text, 28 Nov 2025, immediate effect.</w:t>
      </w:r>
    </w:p>
    <w:p>
      <w:pPr>
        <w:pStyle w:val="BodyText"/>
      </w:pPr>
      <w:r>
        <w:rPr>
          <w:bCs/>
          <w:b/>
        </w:rPr>
        <w:t xml:space="preserve">Definitions (para 3(1)):</w:t>
      </w:r>
    </w:p>
    <w:p>
      <w:pPr>
        <w:numPr>
          <w:ilvl w:val="0"/>
          <w:numId w:val="1798"/>
        </w:numPr>
        <w:pStyle w:val="Compact"/>
      </w:pPr>
      <w:r>
        <w:rPr>
          <w:bCs/>
          <w:b/>
        </w:rPr>
        <w:t xml:space="preserve">Wilful default by a borrower</w:t>
      </w:r>
      <w:r>
        <w:t xml:space="preserve"> </w:t>
      </w:r>
      <w:r>
        <w:t xml:space="preserve">((xviii)(A)): a default plus any one of: capacity to pay; diversion; siphoning; disposal of security without approval; failed equity commitment despite ability where loans or concessions relied on it.</w:t>
      </w:r>
    </w:p>
    <w:p>
      <w:pPr>
        <w:numPr>
          <w:ilvl w:val="0"/>
          <w:numId w:val="1798"/>
        </w:numPr>
        <w:pStyle w:val="Compact"/>
      </w:pPr>
      <w:r>
        <w:rPr>
          <w:bCs/>
          <w:b/>
        </w:rPr>
        <w:t xml:space="preserve">By a guarantor</w:t>
      </w:r>
      <w:r>
        <w:t xml:space="preserve"> </w:t>
      </w:r>
      <w:r>
        <w:t xml:space="preserve">((xviii)(B)): invoked guarantee not honoured despite sufficient means; disposal of security; failed equity commitment.</w:t>
      </w:r>
    </w:p>
    <w:p>
      <w:pPr>
        <w:numPr>
          <w:ilvl w:val="0"/>
          <w:numId w:val="1798"/>
        </w:numPr>
        <w:pStyle w:val="Compact"/>
      </w:pPr>
      <w:r>
        <w:rPr>
          <w:bCs/>
          <w:b/>
        </w:rPr>
        <w:t xml:space="preserve">Diversion</w:t>
      </w:r>
      <w:r>
        <w:t xml:space="preserve"> </w:t>
      </w:r>
      <w:r>
        <w:t xml:space="preserve">((vii)(a)–(f)): short-term WC used for long-term purposes; other assets; transfers to subsidiaries/group entities without approval; routing through other lenders without permission; investment in other companies without approval; unexplained deployment shortfall.</w:t>
      </w:r>
      <w:r>
        <w:t xml:space="preserve"> </w:t>
      </w:r>
      <w:r>
        <w:rPr>
          <w:bCs/>
          <w:b/>
        </w:rPr>
        <w:t xml:space="preserve">Siphoning</w:t>
      </w:r>
      <w:r>
        <w:t xml:space="preserve"> </w:t>
      </w:r>
      <w:r>
        <w:t xml:space="preserve">((xvi)): use unrelated to the borrower’s operations.</w:t>
      </w:r>
    </w:p>
    <w:p>
      <w:pPr>
        <w:numPr>
          <w:ilvl w:val="0"/>
          <w:numId w:val="1798"/>
        </w:numPr>
        <w:pStyle w:val="Compact"/>
      </w:pPr>
      <w:r>
        <w:rPr>
          <w:bCs/>
          <w:b/>
        </w:rPr>
        <w:t xml:space="preserve">Wilful defaulter</w:t>
      </w:r>
      <w:r>
        <w:t xml:space="preserve"> </w:t>
      </w:r>
      <w:r>
        <w:t xml:space="preserve">((xix)): outstanding</w:t>
      </w:r>
      <w:r>
        <w:t xml:space="preserve"> </w:t>
      </w:r>
      <w:r>
        <w:rPr>
          <w:bCs/>
          <w:b/>
        </w:rPr>
        <w:t xml:space="preserve">≥ ₹25 lakh</w:t>
      </w:r>
      <w:r>
        <w:t xml:space="preserve"> </w:t>
      </w:r>
      <w:r>
        <w:t xml:space="preserve">(or as notified), plus, for a company, its promoters and directors (subject to 5(14)); for other entities, persons in charge.</w:t>
      </w:r>
    </w:p>
    <w:p>
      <w:pPr>
        <w:numPr>
          <w:ilvl w:val="0"/>
          <w:numId w:val="1798"/>
        </w:numPr>
        <w:pStyle w:val="Compact"/>
      </w:pPr>
      <w:r>
        <w:rPr>
          <w:bCs/>
          <w:b/>
        </w:rPr>
        <w:t xml:space="preserve">Large defaulter</w:t>
      </w:r>
      <w:r>
        <w:t xml:space="preserve"> </w:t>
      </w:r>
      <w:r>
        <w:t xml:space="preserve">((xi)): outstanding</w:t>
      </w:r>
      <w:r>
        <w:t xml:space="preserve"> </w:t>
      </w:r>
      <w:r>
        <w:rPr>
          <w:bCs/>
          <w:b/>
        </w:rPr>
        <w:t xml:space="preserve">≥ ₹1 crore</w:t>
      </w:r>
      <w:r>
        <w:t xml:space="preserve"> </w:t>
      </w:r>
      <w:r>
        <w:t xml:space="preserve">and suit filed, or classified doubtful/loss.</w:t>
      </w:r>
    </w:p>
    <w:p>
      <w:pPr>
        <w:numPr>
          <w:ilvl w:val="0"/>
          <w:numId w:val="1798"/>
        </w:numPr>
        <w:pStyle w:val="Compact"/>
      </w:pPr>
      <w:r>
        <w:rPr>
          <w:bCs/>
          <w:b/>
        </w:rPr>
        <w:t xml:space="preserve">Suit-filed</w:t>
      </w:r>
      <w:r>
        <w:t xml:space="preserve"> </w:t>
      </w:r>
      <w:r>
        <w:t xml:space="preserve">((xvii)): includes IBC, SARFAESI, pending appeals or execution, and resolution or liquidation proceedings.</w:t>
      </w:r>
    </w:p>
    <w:p>
      <w:pPr>
        <w:numPr>
          <w:ilvl w:val="0"/>
          <w:numId w:val="1798"/>
        </w:numPr>
        <w:pStyle w:val="Compact"/>
      </w:pPr>
      <w:r>
        <w:rPr>
          <w:bCs/>
          <w:b/>
        </w:rPr>
        <w:t xml:space="preserve">Director</w:t>
      </w:r>
      <w:r>
        <w:t xml:space="preserve"> </w:t>
      </w:r>
      <w:r>
        <w:t xml:space="preserve">((v)): associated at the time of the acts leading to default.</w:t>
      </w:r>
    </w:p>
    <w:p>
      <w:pPr>
        <w:numPr>
          <w:ilvl w:val="0"/>
          <w:numId w:val="1798"/>
        </w:numPr>
        <w:pStyle w:val="Compact"/>
      </w:pPr>
      <w:r>
        <w:rPr>
          <w:bCs/>
          <w:b/>
        </w:rPr>
        <w:t xml:space="preserve">Identification Committee</w:t>
      </w:r>
      <w:r>
        <w:t xml:space="preserve"> </w:t>
      </w:r>
      <w:r>
        <w:t xml:space="preserve">((ix)): chair not more than one rank below MD/CEO + two senior officials not more than two ranks below the chair.</w:t>
      </w:r>
    </w:p>
    <w:p>
      <w:pPr>
        <w:numPr>
          <w:ilvl w:val="0"/>
          <w:numId w:val="1798"/>
        </w:numPr>
        <w:pStyle w:val="Compact"/>
      </w:pPr>
      <w:r>
        <w:rPr>
          <w:bCs/>
          <w:b/>
        </w:rPr>
        <w:t xml:space="preserve">Review Committee</w:t>
      </w:r>
      <w:r>
        <w:t xml:space="preserve"> </w:t>
      </w:r>
      <w:r>
        <w:t xml:space="preserve">((xv)): MD/CEO as chair + two independent/non-executive directors or equivalent officials;</w:t>
      </w:r>
      <w:r>
        <w:t xml:space="preserve"> </w:t>
      </w:r>
      <w:r>
        <w:rPr>
          <w:bCs/>
          <w:b/>
        </w:rPr>
        <w:t xml:space="preserve">no overlap</w:t>
      </w:r>
      <w:r>
        <w:t xml:space="preserve"> </w:t>
      </w:r>
      <w:r>
        <w:t xml:space="preserve">with the IC.</w:t>
      </w:r>
    </w:p>
    <w:p>
      <w:pPr>
        <w:pStyle w:val="FirstParagraph"/>
      </w:pPr>
      <w:r>
        <w:rPr>
          <w:bCs/>
          <w:b/>
        </w:rPr>
        <w:t xml:space="preserve">Board policy (para 4):</w:t>
      </w:r>
      <w:r>
        <w:t xml:space="preserve"> </w:t>
      </w:r>
      <w:r>
        <w:t xml:space="preserve">rank of the designated official serving notices and orders; re-examination periodicity; non-discriminatory photo-publication criteria; end-use measures; forensic-audit threshold (20(6)).</w:t>
      </w:r>
    </w:p>
    <w:p>
      <w:pPr>
        <w:pStyle w:val="BodyText"/>
      </w:pPr>
      <w:r>
        <w:rPr>
          <w:bCs/>
          <w:b/>
        </w:rPr>
        <w:t xml:space="preserve">Process (paras 5–6):</w:t>
      </w:r>
    </w:p>
    <w:p>
      <w:pPr>
        <w:numPr>
          <w:ilvl w:val="0"/>
          <w:numId w:val="1799"/>
        </w:numPr>
        <w:pStyle w:val="Compact"/>
      </w:pPr>
      <w:r>
        <w:t xml:space="preserve">Examine all</w:t>
      </w:r>
      <w:r>
        <w:t xml:space="preserve"> </w:t>
      </w:r>
      <w:r>
        <w:rPr>
          <w:bCs/>
          <w:b/>
        </w:rPr>
        <w:t xml:space="preserve">NPAs with outstanding ≥ ₹25 lakh</w:t>
      </w:r>
      <w:r>
        <w:t xml:space="preserve"> </w:t>
      </w:r>
      <w:r>
        <w:t xml:space="preserve">(6(1)), on the track record and not isolated incidents; the default must be intentional, deliberate and calculated (5(1)–(2)).</w:t>
      </w:r>
    </w:p>
    <w:p>
      <w:pPr>
        <w:numPr>
          <w:ilvl w:val="0"/>
          <w:numId w:val="1799"/>
        </w:numPr>
        <w:pStyle w:val="Compact"/>
      </w:pPr>
      <w:r>
        <w:t xml:space="preserve">If observed in preliminary screening:</w:t>
      </w:r>
      <w:r>
        <w:t xml:space="preserve"> </w:t>
      </w:r>
      <w:r>
        <w:rPr>
          <w:bCs/>
          <w:b/>
        </w:rPr>
        <w:t xml:space="preserve">complete classification within 6 months of the NPA date</w:t>
      </w:r>
      <w:r>
        <w:t xml:space="preserve"> </w:t>
      </w:r>
      <w:r>
        <w:t xml:space="preserve">(6(2)). If not: re-examine at the Board-set periodicity (6(3)).</w:t>
      </w:r>
    </w:p>
    <w:p>
      <w:pPr>
        <w:numPr>
          <w:ilvl w:val="0"/>
          <w:numId w:val="1799"/>
        </w:numPr>
        <w:pStyle w:val="Compact"/>
      </w:pPr>
      <w:r>
        <w:t xml:space="preserve">IC examines the evidence (5(3)) →</w:t>
      </w:r>
      <w:r>
        <w:t xml:space="preserve"> </w:t>
      </w:r>
      <w:r>
        <w:rPr>
          <w:bCs/>
          <w:b/>
        </w:rPr>
        <w:t xml:space="preserve">show-cause notice</w:t>
      </w:r>
      <w:r>
        <w:t xml:space="preserve"> </w:t>
      </w:r>
      <w:r>
        <w:t xml:space="preserve">to the borrower, guarantor, promoters, directors and persons in charge, disclosing all material;</w:t>
      </w:r>
      <w:r>
        <w:t xml:space="preserve"> </w:t>
      </w:r>
      <w:r>
        <w:rPr>
          <w:bCs/>
          <w:b/>
        </w:rPr>
        <w:t xml:space="preserve">submissions within 21 days</w:t>
      </w:r>
      <w:r>
        <w:t xml:space="preserve"> </w:t>
      </w:r>
      <w:r>
        <w:t xml:space="preserve">(5(4)).</w:t>
      </w:r>
    </w:p>
    <w:p>
      <w:pPr>
        <w:numPr>
          <w:ilvl w:val="0"/>
          <w:numId w:val="1799"/>
        </w:numPr>
        <w:pStyle w:val="Compact"/>
      </w:pPr>
      <w:r>
        <w:t xml:space="preserve">IC proposal to the RC with written reasons; no referral if not wilful (5(5)); persons advised of the proposal with reasons (5(6));</w:t>
      </w:r>
      <w:r>
        <w:t xml:space="preserve"> </w:t>
      </w:r>
      <w:r>
        <w:rPr>
          <w:bCs/>
          <w:b/>
        </w:rPr>
        <w:t xml:space="preserve">written representation to the RC within 15 days</w:t>
      </w:r>
      <w:r>
        <w:t xml:space="preserve"> </w:t>
      </w:r>
      <w:r>
        <w:t xml:space="preserve">(5(7)).</w:t>
      </w:r>
    </w:p>
    <w:p>
      <w:pPr>
        <w:numPr>
          <w:ilvl w:val="0"/>
          <w:numId w:val="1799"/>
        </w:numPr>
        <w:pStyle w:val="Compact"/>
      </w:pPr>
      <w:r>
        <w:t xml:space="preserve">RC considers the proposal and representation (5(8));</w:t>
      </w:r>
      <w:r>
        <w:t xml:space="preserve"> </w:t>
      </w:r>
      <w:r>
        <w:rPr>
          <w:bCs/>
          <w:b/>
        </w:rPr>
        <w:t xml:space="preserve">personal hearing offered</w:t>
      </w:r>
      <w:r>
        <w:t xml:space="preserve">; if not availed, decided on record (5(9));</w:t>
      </w:r>
      <w:r>
        <w:t xml:space="preserve"> </w:t>
      </w:r>
      <w:r>
        <w:rPr>
          <w:bCs/>
          <w:b/>
        </w:rPr>
        <w:t xml:space="preserve">no right to be represented by a lawyer</w:t>
      </w:r>
      <w:r>
        <w:t xml:space="preserve"> </w:t>
      </w:r>
      <w:r>
        <w:t xml:space="preserve">(5(10)).</w:t>
      </w:r>
    </w:p>
    <w:p>
      <w:pPr>
        <w:numPr>
          <w:ilvl w:val="0"/>
          <w:numId w:val="1799"/>
        </w:numPr>
        <w:pStyle w:val="Compact"/>
      </w:pPr>
      <w:r>
        <w:rPr>
          <w:bCs/>
          <w:b/>
        </w:rPr>
        <w:t xml:space="preserve">Reasoned order</w:t>
      </w:r>
      <w:r>
        <w:t xml:space="preserve"> </w:t>
      </w:r>
      <w:r>
        <w:t xml:space="preserve">communicated (5(11)); notice and order served by the designated official, stating the committee’s approval and</w:t>
      </w:r>
      <w:r>
        <w:t xml:space="preserve"> </w:t>
      </w:r>
      <w:r>
        <w:rPr>
          <w:bCs/>
          <w:b/>
        </w:rPr>
        <w:t xml:space="preserve">naming its members</w:t>
      </w:r>
      <w:r>
        <w:t xml:space="preserve"> </w:t>
      </w:r>
      <w:r>
        <w:t xml:space="preserve">(5(12)–(13)).</w:t>
      </w:r>
    </w:p>
    <w:p>
      <w:pPr>
        <w:numPr>
          <w:ilvl w:val="0"/>
          <w:numId w:val="1799"/>
        </w:numPr>
        <w:pStyle w:val="Compact"/>
      </w:pPr>
      <w:r>
        <w:t xml:space="preserve">Non-whole-time, independent or nominee directors are classified only on consent/connivance, or on awareness minuted without objection (5(14)); if classified, they are reported in Annex II flagged as such (5(15)).</w:t>
      </w:r>
    </w:p>
    <w:p>
      <w:pPr>
        <w:numPr>
          <w:ilvl w:val="0"/>
          <w:numId w:val="1799"/>
        </w:numPr>
        <w:pStyle w:val="Compact"/>
      </w:pPr>
      <w:r>
        <w:rPr>
          <w:iCs/>
          <w:i/>
        </w:rPr>
        <w:t xml:space="preserve">Build:</w:t>
      </w:r>
      <w:r>
        <w:t xml:space="preserve"> </w:t>
      </w:r>
      <w:r>
        <w:t xml:space="preserve">case state machine with 21-day and 15-day timers and a 6-month deadline alert; committee-composition validator (rank, independence, no overlap); evidence vault; no advocate attendee role.</w:t>
      </w:r>
    </w:p>
    <w:p>
      <w:pPr>
        <w:pStyle w:val="FirstParagraph"/>
      </w:pPr>
      <w:r>
        <w:rPr>
          <w:bCs/>
          <w:b/>
        </w:rPr>
        <w:t xml:space="preserve">Penal measures (para 7)</w:t>
      </w:r>
      <w:r>
        <w:t xml:space="preserve">, for any person classified by</w:t>
      </w:r>
      <w:r>
        <w:t xml:space="preserve"> </w:t>
      </w:r>
      <w:r>
        <w:rPr>
          <w:bCs/>
          <w:b/>
        </w:rPr>
        <w:t xml:space="preserve">any</w:t>
      </w:r>
      <w:r>
        <w:t xml:space="preserve"> </w:t>
      </w:r>
      <w:r>
        <w:t xml:space="preserve">lender:</w:t>
      </w:r>
    </w:p>
    <w:p>
      <w:pPr>
        <w:numPr>
          <w:ilvl w:val="0"/>
          <w:numId w:val="1800"/>
        </w:numPr>
        <w:pStyle w:val="Compact"/>
      </w:pPr>
      <w:r>
        <w:rPr>
          <w:bCs/>
          <w:b/>
        </w:rPr>
        <w:t xml:space="preserve">No additional credit facility</w:t>
      </w:r>
      <w:r>
        <w:t xml:space="preserve"> </w:t>
      </w:r>
      <w:r>
        <w:t xml:space="preserve">to the wilful defaulter or associated entities, continuing</w:t>
      </w:r>
      <w:r>
        <w:t xml:space="preserve"> </w:t>
      </w:r>
      <w:r>
        <w:rPr>
          <w:bCs/>
          <w:b/>
        </w:rPr>
        <w:t xml:space="preserve">1 year after removal from the LWD</w:t>
      </w:r>
      <w:r>
        <w:t xml:space="preserve"> </w:t>
      </w:r>
      <w:r>
        <w:t xml:space="preserve">(7(3)(i)–(ii)).</w:t>
      </w:r>
    </w:p>
    <w:p>
      <w:pPr>
        <w:numPr>
          <w:ilvl w:val="0"/>
          <w:numId w:val="1800"/>
        </w:numPr>
        <w:pStyle w:val="Compact"/>
      </w:pPr>
      <w:r>
        <w:rPr>
          <w:bCs/>
          <w:b/>
        </w:rPr>
        <w:t xml:space="preserve">No finance for new ventures for 5 years after removal</w:t>
      </w:r>
      <w:r>
        <w:t xml:space="preserve"> </w:t>
      </w:r>
      <w:r>
        <w:t xml:space="preserve">(7(3)(iii)).</w:t>
      </w:r>
    </w:p>
    <w:p>
      <w:pPr>
        <w:numPr>
          <w:ilvl w:val="0"/>
          <w:numId w:val="1800"/>
        </w:numPr>
        <w:pStyle w:val="Compact"/>
      </w:pPr>
      <w:r>
        <w:t xml:space="preserve">Restructuring per the RSA Directions (7(3)(iv)).</w:t>
      </w:r>
    </w:p>
    <w:p>
      <w:pPr>
        <w:numPr>
          <w:ilvl w:val="0"/>
          <w:numId w:val="1800"/>
        </w:numPr>
        <w:pStyle w:val="Compact"/>
      </w:pPr>
      <w:r>
        <w:t xml:space="preserve">Bars cease for entities no longer associated. Associated = subsidiary/JV/associate (Cos Act s.2(87), 2(6)) of a company, or entities where an individual is promoter, director or in charge (Expl. 1–2). Delinked new promoters under RSA: restructuring may be considered (Expl. 3).</w:t>
      </w:r>
    </w:p>
    <w:p>
      <w:pPr>
        <w:numPr>
          <w:ilvl w:val="0"/>
          <w:numId w:val="1800"/>
        </w:numPr>
        <w:pStyle w:val="Compact"/>
      </w:pPr>
      <w:r>
        <w:t xml:space="preserve">Criminal proceedings considered case by case; they survive LWD removal (7(1)). Photo publication per Board policy (7(2)).</w:t>
      </w:r>
    </w:p>
    <w:p>
      <w:pPr>
        <w:numPr>
          <w:ilvl w:val="0"/>
          <w:numId w:val="1800"/>
        </w:numPr>
        <w:pStyle w:val="Compact"/>
      </w:pPr>
      <w:r>
        <w:rPr>
          <w:bCs/>
          <w:b/>
        </w:rPr>
        <w:t xml:space="preserve">Covenant</w:t>
      </w:r>
      <w:r>
        <w:t xml:space="preserve"> </w:t>
      </w:r>
      <w:r>
        <w:t xml:space="preserve">in every credit agreement: no LWD person on the borrower’s board or in its management, with expeditious removal;</w:t>
      </w:r>
      <w:r>
        <w:t xml:space="preserve"> </w:t>
      </w:r>
      <w:r>
        <w:rPr>
          <w:bCs/>
          <w:b/>
        </w:rPr>
        <w:t xml:space="preserve">no renewal, enhancement, fresh facility or restructuring</w:t>
      </w:r>
      <w:r>
        <w:t xml:space="preserve"> </w:t>
      </w:r>
      <w:r>
        <w:t xml:space="preserve">while such a person remains (7(4)). Legal action for recovery where warranted (7(5)).</w:t>
      </w:r>
    </w:p>
    <w:p>
      <w:pPr>
        <w:numPr>
          <w:ilvl w:val="0"/>
          <w:numId w:val="1800"/>
        </w:numPr>
        <w:pStyle w:val="Compact"/>
      </w:pPr>
      <w:r>
        <w:rPr>
          <w:iCs/>
          <w:i/>
        </w:rPr>
        <w:t xml:space="preserve">Build:</w:t>
      </w:r>
      <w:r>
        <w:t xml:space="preserve"> </w:t>
      </w:r>
      <w:r>
        <w:t xml:space="preserve">screening gate at application, renewal, enhancement, top-up and restructuring; removal date with 1-year and 5-year clocks; new-venture purpose flag.</w:t>
      </w:r>
    </w:p>
    <w:p>
      <w:pPr>
        <w:pStyle w:val="FirstParagraph"/>
      </w:pPr>
      <w:r>
        <w:rPr>
          <w:bCs/>
          <w:b/>
        </w:rPr>
        <w:t xml:space="preserve">Governance and guarantors (paras 8–10):</w:t>
      </w:r>
    </w:p>
    <w:p>
      <w:pPr>
        <w:numPr>
          <w:ilvl w:val="0"/>
          <w:numId w:val="1801"/>
        </w:numPr>
        <w:pStyle w:val="Compact"/>
      </w:pPr>
      <w:r>
        <w:t xml:space="preserve">Transparent mechanism (8). Internal auditors check adherence; Audit Committee periodically reviews cases and root causes (9).</w:t>
      </w:r>
    </w:p>
    <w:p>
      <w:pPr>
        <w:numPr>
          <w:ilvl w:val="0"/>
          <w:numId w:val="1801"/>
        </w:numPr>
        <w:pStyle w:val="Compact"/>
      </w:pPr>
      <w:r>
        <w:t xml:space="preserve">Guarantor liability is co-extensive and immediate on claim; the NBFC may proceed without exhausting remedies against the principal debtor; a refusing guarantor is considered for classification (10(1)–(4)). Group companies not honouring invoked guarantees are also considered (10(5)).</w:t>
      </w:r>
    </w:p>
    <w:p>
      <w:pPr>
        <w:pStyle w:val="FirstParagraph"/>
      </w:pPr>
      <w:r>
        <w:rPr>
          <w:bCs/>
          <w:b/>
        </w:rPr>
        <w:t xml:space="preserve">Reporting (paras 11–18; Annexes I–II):</w:t>
      </w:r>
    </w:p>
    <w:p>
      <w:pPr>
        <w:numPr>
          <w:ilvl w:val="0"/>
          <w:numId w:val="1802"/>
        </w:numPr>
        <w:pStyle w:val="Compact"/>
      </w:pPr>
      <w:r>
        <w:rPr>
          <w:bCs/>
          <w:b/>
        </w:rPr>
        <w:t xml:space="preserve">Large defaulters, monthly, to all CICs</w:t>
      </w:r>
      <w:r>
        <w:t xml:space="preserve"> </w:t>
      </w:r>
      <w:r>
        <w:t xml:space="preserve">(Annex I): suit-filed list; non-suit-filed doubtful/loss list (11(1)). The ₹1 crore threshold includes unapplied interest; for suit-filed accounts, the suit amount (11(2)).</w:t>
      </w:r>
    </w:p>
    <w:p>
      <w:pPr>
        <w:numPr>
          <w:ilvl w:val="0"/>
          <w:numId w:val="1802"/>
        </w:numPr>
        <w:pStyle w:val="Compact"/>
      </w:pPr>
      <w:r>
        <w:rPr>
          <w:bCs/>
          <w:b/>
        </w:rPr>
        <w:t xml:space="preserve">LWD, monthly, to all CICs</w:t>
      </w:r>
      <w:r>
        <w:t xml:space="preserve"> </w:t>
      </w:r>
      <w:r>
        <w:t xml:space="preserve">(Annex II): suit-filed and non-suit-filed lists (12(1)); separate files;</w:t>
      </w:r>
      <w:r>
        <w:t xml:space="preserve"> </w:t>
      </w:r>
      <w:r>
        <w:rPr>
          <w:bCs/>
          <w:b/>
        </w:rPr>
        <w:t xml:space="preserve">SFTP</w:t>
      </w:r>
      <w:r>
        <w:t xml:space="preserve">.</w:t>
      </w:r>
    </w:p>
    <w:p>
      <w:pPr>
        <w:numPr>
          <w:ilvl w:val="0"/>
          <w:numId w:val="1802"/>
        </w:numPr>
        <w:pStyle w:val="Compact"/>
      </w:pPr>
      <w:r>
        <w:rPr>
          <w:bCs/>
          <w:b/>
        </w:rPr>
        <w:t xml:space="preserve">Removal intimated within 30 days</w:t>
      </w:r>
      <w:r>
        <w:t xml:space="preserve"> </w:t>
      </w:r>
      <w:r>
        <w:t xml:space="preserve">of the outstanding falling below ₹25 lakh, subject to 13(2) (12(2)). An ML NBFC reclassified as BL stops classifying but keeps updating historical data (12(3)).</w:t>
      </w:r>
    </w:p>
    <w:p>
      <w:pPr>
        <w:numPr>
          <w:ilvl w:val="0"/>
          <w:numId w:val="1802"/>
        </w:numPr>
        <w:pStyle w:val="Compact"/>
      </w:pPr>
      <w:r>
        <w:rPr>
          <w:bCs/>
          <w:b/>
        </w:rPr>
        <w:t xml:space="preserve">Compromise settlement:</w:t>
      </w:r>
      <w:r>
        <w:t xml:space="preserve"> </w:t>
      </w:r>
      <w:r>
        <w:t xml:space="preserve">removed from the LWD</w:t>
      </w:r>
      <w:r>
        <w:t xml:space="preserve"> </w:t>
      </w:r>
      <w:r>
        <w:rPr>
          <w:bCs/>
          <w:b/>
        </w:rPr>
        <w:t xml:space="preserve">only when the compromise amount is fully paid</w:t>
      </w:r>
      <w:r>
        <w:t xml:space="preserve">; the name stays despite part-payment below ₹25 lakh (13(1)–(2)); the settlement must meet the RSA Directions (13(3)); a cancelled settlement is reported at the revised amount (13(4)).</w:t>
      </w:r>
    </w:p>
    <w:p>
      <w:pPr>
        <w:numPr>
          <w:ilvl w:val="0"/>
          <w:numId w:val="1802"/>
        </w:numPr>
        <w:pStyle w:val="Compact"/>
      </w:pPr>
      <w:r>
        <w:rPr>
          <w:bCs/>
          <w:b/>
        </w:rPr>
        <w:t xml:space="preserve">Transfer of defaulted loans ≥ ₹25 lakh (NPA or not):</w:t>
      </w:r>
      <w:r>
        <w:t xml:space="preserve"> </w:t>
      </w:r>
      <w:r>
        <w:t xml:space="preserve">comprehensive wilful-default investigation first (two-stage committee not required); if observed, classify and report in the LWD</w:t>
      </w:r>
      <w:r>
        <w:t xml:space="preserve"> </w:t>
      </w:r>
      <w:r>
        <w:rPr>
          <w:bCs/>
          <w:b/>
        </w:rPr>
        <w:t xml:space="preserve">before transfer</w:t>
      </w:r>
      <w:r>
        <w:t xml:space="preserve">; details passed to the transferee, who then reports (14(1)–(3)). Transfer is not recovery for the threshold (14(4)). The transferee reports until balance + transferor write-off falls below ₹25 lakh (14(5)).</w:t>
      </w:r>
    </w:p>
    <w:p>
      <w:pPr>
        <w:numPr>
          <w:ilvl w:val="0"/>
          <w:numId w:val="1802"/>
        </w:numPr>
        <w:pStyle w:val="Compact"/>
      </w:pPr>
      <w:r>
        <w:rPr>
          <w:bCs/>
          <w:b/>
        </w:rPr>
        <w:t xml:space="preserve">IBC/RBI resolution with change of management/control, or liquidation:</w:t>
      </w:r>
      <w:r>
        <w:t xml:space="preserve"> </w:t>
      </w:r>
      <w:r>
        <w:t xml:space="preserve">removed from the LWD after implementation; 7(3) measures not applied to the entity, but 7(3)(ii)–(iii) continue for erstwhile promoters, directors, guarantors and persons in charge, and their associated entities (15).</w:t>
      </w:r>
    </w:p>
    <w:p>
      <w:pPr>
        <w:numPr>
          <w:ilvl w:val="0"/>
          <w:numId w:val="1802"/>
        </w:numPr>
        <w:pStyle w:val="Compact"/>
      </w:pPr>
      <w:r>
        <w:t xml:space="preserve">Accuracy is the reporting NBFC’s responsibility; director particulars cross-checked with ROC (16); guarantors failing to honour reported (17); directors’ full names and</w:t>
      </w:r>
      <w:r>
        <w:t xml:space="preserve"> </w:t>
      </w:r>
      <w:r>
        <w:rPr>
          <w:bCs/>
          <w:b/>
        </w:rPr>
        <w:t xml:space="preserve">DIN</w:t>
      </w:r>
      <w:r>
        <w:t xml:space="preserve"> </w:t>
      </w:r>
      <w:r>
        <w:t xml:space="preserve">reported (18).</w:t>
      </w:r>
    </w:p>
    <w:p>
      <w:pPr>
        <w:numPr>
          <w:ilvl w:val="0"/>
          <w:numId w:val="1802"/>
        </w:numPr>
        <w:pStyle w:val="Compact"/>
      </w:pPr>
      <w:r>
        <w:rPr>
          <w:bCs/>
          <w:b/>
        </w:rPr>
        <w:t xml:space="preserve">Annex I fields:</w:t>
      </w:r>
      <w:r>
        <w:t xml:space="preserve"> </w:t>
      </w:r>
      <w:r>
        <w:t xml:space="preserve">reporting cycle (MMMYY); member ID, name, branch, state; borrower name, PAN, address; outstanding (₹ lakh); suit status 01/02; asset class (non-suit DOUBT/LOSS; suit also SUBST/STD); asset-class date (MMMYY); other lenders; director/promoter name, DIN, PAN; guarantor name, CIN, PAN. Row-level, multiple directors/guarantors;</w:t>
      </w:r>
      <w:r>
        <w:t xml:space="preserve"> </w:t>
      </w:r>
      <w:r>
        <w:rPr>
          <w:bCs/>
          <w:b/>
        </w:rPr>
        <w:t xml:space="preserve">non-whole-time/independent/nominee directors excluded</w:t>
      </w:r>
      <w:r>
        <w:t xml:space="preserve">; legend for Government undertakings; separate suit/non-suit files.</w:t>
      </w:r>
    </w:p>
    <w:p>
      <w:pPr>
        <w:numPr>
          <w:ilvl w:val="0"/>
          <w:numId w:val="1802"/>
        </w:numPr>
        <w:pStyle w:val="Compact"/>
      </w:pPr>
      <w:r>
        <w:rPr>
          <w:bCs/>
          <w:b/>
        </w:rPr>
        <w:t xml:space="preserve">Annex II fields:</w:t>
      </w:r>
      <w:r>
        <w:t xml:space="preserve"> </w:t>
      </w:r>
      <w:r>
        <w:t xml:space="preserve">as Annex I but without the asset-class fields; submitted through SFTP.</w:t>
      </w:r>
    </w:p>
    <w:p>
      <w:pPr>
        <w:pStyle w:val="FirstParagraph"/>
      </w:pPr>
      <w:r>
        <w:rPr>
          <w:bCs/>
          <w:b/>
        </w:rPr>
        <w:t xml:space="preserve">Prevention (paras 19–21):</w:t>
      </w:r>
    </w:p>
    <w:p>
      <w:pPr>
        <w:numPr>
          <w:ilvl w:val="0"/>
          <w:numId w:val="1803"/>
        </w:numPr>
        <w:pStyle w:val="Compact"/>
      </w:pPr>
      <w:r>
        <w:t xml:space="preserve">At appraisal, check directors, guarantors and persons in charge against the large-defaulter list and LWD by</w:t>
      </w:r>
      <w:r>
        <w:t xml:space="preserve"> </w:t>
      </w:r>
      <w:r>
        <w:rPr>
          <w:bCs/>
          <w:b/>
        </w:rPr>
        <w:t xml:space="preserve">DIN/PAN</w:t>
      </w:r>
      <w:r>
        <w:t xml:space="preserve">; resolve identical names through</w:t>
      </w:r>
      <w:r>
        <w:t xml:space="preserve"> </w:t>
      </w:r>
      <w:r>
        <w:rPr>
          <w:bCs/>
          <w:b/>
        </w:rPr>
        <w:t xml:space="preserve">independent sources, not a borrower declaration</w:t>
      </w:r>
      <w:r>
        <w:t xml:space="preserve"> </w:t>
      </w:r>
      <w:r>
        <w:t xml:space="preserve">(19(1)).</w:t>
      </w:r>
    </w:p>
    <w:p>
      <w:pPr>
        <w:numPr>
          <w:ilvl w:val="0"/>
          <w:numId w:val="1803"/>
        </w:numPr>
        <w:pStyle w:val="Compact"/>
      </w:pPr>
      <w:r>
        <w:t xml:space="preserve">End-use monitoring: borrower end-use certificates (legal action for false certification); illustrative measures in the loan policy: quarterly progress reports, asset inspections, scrutiny of books and no-lien accounts, unit visits, stock audit for WC, management audit of the credit function (19(2)); project finance: CA certification plus own due diligence (19(2)(iii)).</w:t>
      </w:r>
    </w:p>
    <w:p>
      <w:pPr>
        <w:numPr>
          <w:ilvl w:val="0"/>
          <w:numId w:val="1803"/>
        </w:numPr>
        <w:pStyle w:val="Compact"/>
      </w:pPr>
      <w:r>
        <w:t xml:space="preserve">Auditors: complaint to NFRA/ICAI if negligent; forwarded to RBI (DoS, CO) and IBA after a hearing (20(1)–(2)); loan covenant enabling a separate mandate to the borrower’s auditor (20(4)); own auditors permitted (20(5)); forensic audit above the Board threshold (20(6)).</w:t>
      </w:r>
    </w:p>
    <w:p>
      <w:pPr>
        <w:numPr>
          <w:ilvl w:val="0"/>
          <w:numId w:val="1803"/>
        </w:numPr>
        <w:pStyle w:val="Compact"/>
      </w:pPr>
      <w:r>
        <w:t xml:space="preserve">Negligent or facilitating third parties: details to IBA after an opportunity of hearing (21).</w:t>
      </w:r>
    </w:p>
    <w:p>
      <w:pPr>
        <w:numPr>
          <w:ilvl w:val="0"/>
          <w:numId w:val="1803"/>
        </w:numPr>
        <w:pStyle w:val="Compact"/>
      </w:pPr>
      <w:r>
        <w:rPr>
          <w:iCs/>
          <w:i/>
        </w:rPr>
        <w:t xml:space="preserve">Build:</w:t>
      </w:r>
      <w:r>
        <w:t xml:space="preserve"> </w:t>
      </w:r>
      <w:r>
        <w:t xml:space="preserve">end-use certificate tracker; auditor and third-party complaint register with hearing record.</w:t>
      </w:r>
    </w:p>
    <w:p>
      <w:r>
        <w:pict>
          <v:rect style="width:0;height:1.5pt" o:hralign="center" o:hrstd="t" o:hr="t"/>
        </w:pict>
      </w:r>
    </w:p>
    <w:bookmarkEnd w:id="800"/>
    <w:bookmarkStart w:id="801" w:name="X70bc0af8a082488d4ce7908e567e9635ef3f5c7"/>
    <w:p>
      <w:pPr>
        <w:pStyle w:val="Heading2"/>
      </w:pPr>
      <w:r>
        <w:t xml:space="preserve">8A.21 KYC — Know Your Customer Directions (361)</w:t>
      </w:r>
    </w:p>
    <w:p>
      <w:pPr>
        <w:pStyle w:val="FirstParagraph"/>
      </w:pPr>
      <w:r>
        <w:rPr>
          <w:bCs/>
          <w:b/>
        </w:rPr>
        <w:t xml:space="preserve">Metadata and applicability.</w:t>
      </w:r>
      <w:r>
        <w:t xml:space="preserve"> </w:t>
      </w:r>
      <w:r>
        <w:t xml:space="preserve">- RBI/DOR/2025-26/361; DOR.AML.REC.No.280/14.01.003/2025-26; 28 Nov 2025, updated as on 29 Dec 2025.</w:t>
      </w:r>
      <w:r>
        <w:t xml:space="preserve"> </w:t>
      </w:r>
      <w:r>
        <w:t xml:space="preserve">- Takes effect when placed on the RBI website (para 2).</w:t>
      </w:r>
      <w:r>
        <w:t xml:space="preserve"> </w:t>
      </w:r>
      <w:r>
        <w:t xml:space="preserve">- Applies to all NBFC categories and layers, except NBFCs with no customer interface (para 3).</w:t>
      </w:r>
      <w:r>
        <w:t xml:space="preserve"> </w:t>
      </w:r>
      <w:r>
        <w:t xml:space="preserve">- Also applies to overseas branches and majority-owned subsidiaries; where standards differ, the stricter one applies (para 4).</w:t>
      </w:r>
      <w:r>
        <w:t xml:space="preserve"> </w:t>
      </w:r>
      <w:r>
        <w:t xml:space="preserve">- Annex I is the MHA UAPA s.51A Order. Annex II is the MoF WMD s.12A Order (1 Sep 2023).</w:t>
      </w:r>
    </w:p>
    <w:p>
      <w:pPr>
        <w:pStyle w:val="BodyText"/>
      </w:pPr>
      <w:r>
        <w:rPr>
          <w:bCs/>
          <w:b/>
        </w:rPr>
        <w:t xml:space="preserve">Governance (paras 6–15):</w:t>
      </w:r>
      <w:r>
        <w:t xml:space="preserve"> </w:t>
      </w:r>
      <w:r>
        <w:t xml:space="preserve">-</w:t>
      </w:r>
      <w:r>
        <w:t xml:space="preserve"> </w:t>
      </w:r>
      <w:r>
        <w:rPr>
          <w:bCs/>
          <w:b/>
        </w:rPr>
        <w:t xml:space="preserve">KYC policy.</w:t>
      </w:r>
      <w:r>
        <w:t xml:space="preserve"> </w:t>
      </w:r>
      <w:r>
        <w:t xml:space="preserve">Approved by the Board or a committee. It covers the customer acceptance policy, risk management, CIP and transaction monitoring. It also covers periodic updation, exceptional measures, any-branch updation, and change of the registered mobile for non-face-to-face (NFTF) accounts (para 6).</w:t>
      </w:r>
      <w:r>
        <w:t xml:space="preserve"> </w:t>
      </w:r>
      <w:r>
        <w:t xml:space="preserve">-</w:t>
      </w:r>
      <w:r>
        <w:t xml:space="preserve"> </w:t>
      </w:r>
      <w:r>
        <w:rPr>
          <w:bCs/>
          <w:b/>
        </w:rPr>
        <w:t xml:space="preserve">Group-wide AML/CFT programme</w:t>
      </w:r>
      <w:r>
        <w:t xml:space="preserve">, with safeguards against tipping-off (para 8).</w:t>
      </w:r>
      <w:r>
        <w:t xml:space="preserve"> </w:t>
      </w:r>
      <w:r>
        <w:t xml:space="preserve">-</w:t>
      </w:r>
      <w:r>
        <w:t xml:space="preserve"> </w:t>
      </w:r>
      <w:r>
        <w:rPr>
          <w:bCs/>
          <w:b/>
        </w:rPr>
        <w:t xml:space="preserve">ML/TF risk assessment:</w:t>
      </w:r>
      <w:r>
        <w:t xml:space="preserve"> </w:t>
      </w:r>
      <w:r>
        <w:t xml:space="preserve">documented and</w:t>
      </w:r>
      <w:r>
        <w:t xml:space="preserve"> </w:t>
      </w:r>
      <w:r>
        <w:rPr>
          <w:bCs/>
          <w:b/>
        </w:rPr>
        <w:t xml:space="preserve">reviewed at least annually</w:t>
      </w:r>
      <w:r>
        <w:t xml:space="preserve">; the outcome goes to the Board or committee (para 10).</w:t>
      </w:r>
      <w:r>
        <w:t xml:space="preserve"> </w:t>
      </w:r>
      <w:r>
        <w:t xml:space="preserve">-</w:t>
      </w:r>
      <w:r>
        <w:t xml:space="preserve"> </w:t>
      </w:r>
      <w:r>
        <w:rPr>
          <w:bCs/>
          <w:b/>
        </w:rPr>
        <w:t xml:space="preserve">Audit:</w:t>
      </w:r>
      <w:r>
        <w:t xml:space="preserve"> </w:t>
      </w:r>
      <w:r>
        <w:t xml:space="preserve">concurrent/internal audit of KYC, with</w:t>
      </w:r>
      <w:r>
        <w:t xml:space="preserve"> </w:t>
      </w:r>
      <w:r>
        <w:rPr>
          <w:bCs/>
          <w:b/>
        </w:rPr>
        <w:t xml:space="preserve">quarterly audit notes to the Audit Committee</w:t>
      </w:r>
      <w:r>
        <w:t xml:space="preserve"> </w:t>
      </w:r>
      <w:r>
        <w:t xml:space="preserve">(para 12(4)–(5)).</w:t>
      </w:r>
      <w:r>
        <w:t xml:space="preserve"> </w:t>
      </w:r>
      <w:r>
        <w:t xml:space="preserve">-</w:t>
      </w:r>
      <w:r>
        <w:t xml:space="preserve"> </w:t>
      </w:r>
      <w:r>
        <w:rPr>
          <w:bCs/>
          <w:b/>
        </w:rPr>
        <w:t xml:space="preserve">No outsourcing of KYC decision-making</w:t>
      </w:r>
      <w:r>
        <w:t xml:space="preserve"> </w:t>
      </w:r>
      <w:r>
        <w:t xml:space="preserve">(para 13).</w:t>
      </w:r>
      <w:r>
        <w:t xml:space="preserve"> </w:t>
      </w:r>
      <w:r>
        <w:t xml:space="preserve">-</w:t>
      </w:r>
      <w:r>
        <w:t xml:space="preserve"> </w:t>
      </w:r>
      <w:r>
        <w:rPr>
          <w:iCs/>
          <w:i/>
        </w:rPr>
        <w:t xml:space="preserve">Build:</w:t>
      </w:r>
      <w:r>
        <w:t xml:space="preserve"> </w:t>
      </w:r>
      <w:r>
        <w:t xml:space="preserve">LSP and vendor KYC results are evidence only. A tenant user records the</w:t>
      </w:r>
      <w:r>
        <w:t xml:space="preserve"> </w:t>
      </w:r>
      <w:r>
        <w:t xml:space="preserve">“</w:t>
      </w:r>
      <w:r>
        <w:t xml:space="preserve">KYC complete</w:t>
      </w:r>
      <w:r>
        <w:t xml:space="preserve">”</w:t>
      </w:r>
      <w:r>
        <w:t xml:space="preserve"> </w:t>
      </w:r>
      <w:r>
        <w:t xml:space="preserve">decision.</w:t>
      </w:r>
      <w:r>
        <w:t xml:space="preserve"> </w:t>
      </w:r>
      <w:r>
        <w:t xml:space="preserve">-</w:t>
      </w:r>
      <w:r>
        <w:t xml:space="preserve"> </w:t>
      </w:r>
      <w:r>
        <w:rPr>
          <w:bCs/>
          <w:b/>
        </w:rPr>
        <w:t xml:space="preserve">Designated Director and Principal Officer.</w:t>
      </w:r>
      <w:r>
        <w:t xml:space="preserve"> </w:t>
      </w:r>
      <w:r>
        <w:t xml:space="preserve">- The Designated Director is an MD or WTD authorised by the Board (para 5(1)(vii)).</w:t>
      </w:r>
      <w:r>
        <w:t xml:space="preserve"> </w:t>
      </w:r>
      <w:r>
        <w:t xml:space="preserve">- Name, designation, address and contact details of both go to FIU-IND and RBI.</w:t>
      </w:r>
      <w:r>
        <w:t xml:space="preserve"> </w:t>
      </w:r>
      <w:r>
        <w:t xml:space="preserve">-</w:t>
      </w:r>
      <w:r>
        <w:t xml:space="preserve"> </w:t>
      </w:r>
      <w:r>
        <w:rPr>
          <w:bCs/>
          <w:b/>
        </w:rPr>
        <w:t xml:space="preserve">The Principal Officer must not be the Designated Director</w:t>
      </w:r>
      <w:r>
        <w:t xml:space="preserve"> </w:t>
      </w:r>
      <w:r>
        <w:t xml:space="preserve">(paras 14–15).</w:t>
      </w:r>
      <w:r>
        <w:t xml:space="preserve"> </w:t>
      </w:r>
      <w:r>
        <w:t xml:space="preserve">-</w:t>
      </w:r>
      <w:r>
        <w:t xml:space="preserve"> </w:t>
      </w:r>
      <w:r>
        <w:rPr>
          <w:iCs/>
          <w:i/>
        </w:rPr>
        <w:t xml:space="preserve">Build:</w:t>
      </w:r>
      <w:r>
        <w:t xml:space="preserve"> </w:t>
      </w:r>
      <w:r>
        <w:t xml:space="preserve">role register with a block that enforces this separation.</w:t>
      </w:r>
    </w:p>
    <w:p>
      <w:pPr>
        <w:pStyle w:val="BodyText"/>
      </w:pPr>
      <w:r>
        <w:rPr>
          <w:bCs/>
          <w:b/>
        </w:rPr>
        <w:t xml:space="preserve">Customer acceptance (paras 16–19):</w:t>
      </w:r>
      <w:r>
        <w:t xml:space="preserve"> </w:t>
      </w:r>
      <w:r>
        <w:t xml:space="preserve">- No anonymous or benami accounts. No account or transaction without CDD. Consider an STR when CDD cannot be completed (para 17(1)–(3)).</w:t>
      </w:r>
      <w:r>
        <w:t xml:space="preserve"> </w:t>
      </w:r>
      <w:r>
        <w:t xml:space="preserve">- KYC fields are set by policy. Extra information is collected only with explicit consent (para 17(4)–(5)).</w:t>
      </w:r>
      <w:r>
        <w:t xml:space="preserve"> </w:t>
      </w:r>
      <w:r>
        <w:t xml:space="preserve">-</w:t>
      </w:r>
      <w:r>
        <w:t xml:space="preserve"> </w:t>
      </w:r>
      <w:r>
        <w:rPr>
          <w:bCs/>
          <w:b/>
        </w:rPr>
        <w:t xml:space="preserve">CDD is done at UCIC level</w:t>
      </w:r>
      <w:r>
        <w:t xml:space="preserve">, so an existing customer needs no fresh identification for a new product (para 17(6)).</w:t>
      </w:r>
      <w:r>
        <w:t xml:space="preserve"> </w:t>
      </w:r>
      <w:r>
        <w:t xml:space="preserve">- CDD for every joint holder (para 17(7)).</w:t>
      </w:r>
      <w:r>
        <w:t xml:space="preserve"> </w:t>
      </w:r>
      <w:r>
        <w:t xml:space="preserve">- A system to match customers against the sanctions lists (para 17(9)).</w:t>
      </w:r>
      <w:r>
        <w:t xml:space="preserve"> </w:t>
      </w:r>
      <w:r>
        <w:t xml:space="preserve">-</w:t>
      </w:r>
      <w:r>
        <w:t xml:space="preserve"> </w:t>
      </w:r>
      <w:r>
        <w:rPr>
          <w:bCs/>
          <w:b/>
        </w:rPr>
        <w:t xml:space="preserve">Verification:</w:t>
      </w:r>
      <w:r>
        <w:t xml:space="preserve"> </w:t>
      </w:r>
      <w:r>
        <w:t xml:space="preserve">- PAN against the issuing authority (para 17(10));</w:t>
      </w:r>
      <w:r>
        <w:t xml:space="preserve"> </w:t>
      </w:r>
      <w:r>
        <w:t xml:space="preserve">- the digital signature on e-documents (para 17(11));</w:t>
      </w:r>
      <w:r>
        <w:t xml:space="preserve"> </w:t>
      </w:r>
      <w:r>
        <w:t xml:space="preserve">- GSTIN, where available (para 17(12)).</w:t>
      </w:r>
      <w:r>
        <w:t xml:space="preserve"> </w:t>
      </w:r>
      <w:r>
        <w:t xml:space="preserve">-</w:t>
      </w:r>
      <w:r>
        <w:t xml:space="preserve"> </w:t>
      </w:r>
      <w:r>
        <w:rPr>
          <w:bCs/>
          <w:b/>
        </w:rPr>
        <w:t xml:space="preserve">No rejection of onboarding or periodic updation without application of mind; the reason is recorded</w:t>
      </w:r>
      <w:r>
        <w:t xml:space="preserve"> </w:t>
      </w:r>
      <w:r>
        <w:t xml:space="preserve">(para 18).</w:t>
      </w:r>
      <w:r>
        <w:t xml:space="preserve"> </w:t>
      </w:r>
      <w:r>
        <w:t xml:space="preserve">- If CDD would tip off the customer, stop CDD and file an STR (para 19).</w:t>
      </w:r>
    </w:p>
    <w:p>
      <w:pPr>
        <w:pStyle w:val="BodyText"/>
      </w:pPr>
      <w:r>
        <w:rPr>
          <w:bCs/>
          <w:b/>
        </w:rPr>
        <w:t xml:space="preserve">Risk categorisation (paras 20, 41):</w:t>
      </w:r>
      <w:r>
        <w:t xml:space="preserve"> </w:t>
      </w:r>
      <w:r>
        <w:t xml:space="preserve">- Low, medium or high, based on identity, status, business, geography, product, channel and transaction type (para 20(1)–(3)).</w:t>
      </w:r>
      <w:r>
        <w:t xml:space="preserve"> </w:t>
      </w:r>
      <w:r>
        <w:t xml:space="preserve">-</w:t>
      </w:r>
      <w:r>
        <w:t xml:space="preserve"> </w:t>
      </w:r>
      <w:r>
        <w:rPr>
          <w:bCs/>
          <w:b/>
        </w:rPr>
        <w:t xml:space="preserve">The category and the reasons for it are never shown to the customer</w:t>
      </w:r>
      <w:r>
        <w:t xml:space="preserve"> </w:t>
      </w:r>
      <w:r>
        <w:t xml:space="preserve">(para 20(4)).</w:t>
      </w:r>
      <w:r>
        <w:t xml:space="preserve"> </w:t>
      </w:r>
      <w:r>
        <w:t xml:space="preserve">-</w:t>
      </w:r>
      <w:r>
        <w:t xml:space="preserve"> </w:t>
      </w:r>
      <w:r>
        <w:rPr>
          <w:bCs/>
          <w:b/>
        </w:rPr>
        <w:t xml:space="preserve">Categorisation is reviewed at least once every six months</w:t>
      </w:r>
      <w:r>
        <w:t xml:space="preserve"> </w:t>
      </w:r>
      <w:r>
        <w:t xml:space="preserve">(para 41(1)).</w:t>
      </w:r>
      <w:r>
        <w:t xml:space="preserve"> </w:t>
      </w:r>
      <w:r>
        <w:t xml:space="preserve">- Monitoring intensity follows the category. Marketing and MLM firms get close monitoring (para 41(2)).</w:t>
      </w:r>
    </w:p>
    <w:p>
      <w:pPr>
        <w:pStyle w:val="BodyText"/>
      </w:pPr>
      <w:r>
        <w:rPr>
          <w:bCs/>
          <w:b/>
        </w:rPr>
        <w:t xml:space="preserve">When to identify (paras 21–22):</w:t>
      </w:r>
      <w:r>
        <w:t xml:space="preserve"> </w:t>
      </w:r>
      <w:r>
        <w:t xml:space="preserve">- Triggers (para 21):</w:t>
      </w:r>
      <w:r>
        <w:t xml:space="preserve"> </w:t>
      </w:r>
      <w:r>
        <w:t xml:space="preserve">- start of an account-based relationship;</w:t>
      </w:r>
      <w:r>
        <w:t xml:space="preserve"> </w:t>
      </w:r>
      <w:r>
        <w:t xml:space="preserve">- doubt about the identification data;</w:t>
      </w:r>
      <w:r>
        <w:t xml:space="preserve"> </w:t>
      </w:r>
      <w:r>
        <w:t xml:space="preserve">- walk-in, own-product or third-party-product transactions of</w:t>
      </w:r>
      <w:r>
        <w:t xml:space="preserve"> </w:t>
      </w:r>
      <w:r>
        <w:rPr>
          <w:bCs/>
          <w:b/>
        </w:rPr>
        <w:t xml:space="preserve">₹50,000 or more</w:t>
      </w:r>
      <w:r>
        <w:t xml:space="preserve">, single or connected;</w:t>
      </w:r>
      <w:r>
        <w:t xml:space="preserve"> </w:t>
      </w:r>
      <w:r>
        <w:t xml:space="preserve">- suspected structuring below that threshold.</w:t>
      </w:r>
      <w:r>
        <w:t xml:space="preserve"> </w:t>
      </w:r>
      <w:r>
        <w:t xml:space="preserve">- Introductions are not sought (para 21(7)).</w:t>
      </w:r>
      <w:r>
        <w:t xml:space="preserve"> </w:t>
      </w:r>
      <w:r>
        <w:t xml:space="preserve">-</w:t>
      </w:r>
      <w:r>
        <w:t xml:space="preserve"> </w:t>
      </w:r>
      <w:r>
        <w:rPr>
          <w:bCs/>
          <w:b/>
        </w:rPr>
        <w:t xml:space="preserve">Relying on a third party’s CDD</w:t>
      </w:r>
      <w:r>
        <w:t xml:space="preserve"> </w:t>
      </w:r>
      <w:r>
        <w:t xml:space="preserve">requires all of the following (para 22):</w:t>
      </w:r>
      <w:r>
        <w:t xml:space="preserve"> </w:t>
      </w:r>
      <w:r>
        <w:t xml:space="preserve">- the records are obtained immediately from the third party or from CKYCR;</w:t>
      </w:r>
      <w:r>
        <w:t xml:space="preserve"> </w:t>
      </w:r>
      <w:r>
        <w:t xml:space="preserve">- the third party is regulated;</w:t>
      </w:r>
      <w:r>
        <w:t xml:space="preserve"> </w:t>
      </w:r>
      <w:r>
        <w:t xml:space="preserve">- it is not in a high-risk jurisdiction;</w:t>
      </w:r>
      <w:r>
        <w:t xml:space="preserve"> </w:t>
      </w:r>
      <w:r>
        <w:t xml:space="preserve">- the NBFC keeps final responsibility.</w:t>
      </w:r>
    </w:p>
    <w:p>
      <w:pPr>
        <w:pStyle w:val="BodyText"/>
      </w:pPr>
      <w:r>
        <w:rPr>
          <w:bCs/>
          <w:b/>
        </w:rPr>
        <w:t xml:space="preserve">CDD for individuals (para 23).</w:t>
      </w:r>
      <w:r>
        <w:t xml:space="preserve"> </w:t>
      </w:r>
      <w:r>
        <w:t xml:space="preserve">This also covers beneficial owners, authorised signatories and PoA holders of legal entities.</w:t>
      </w:r>
      <w:r>
        <w:t xml:space="preserve"> </w:t>
      </w:r>
      <w:r>
        <w:t xml:space="preserve">-</w:t>
      </w:r>
      <w:r>
        <w:t xml:space="preserve"> </w:t>
      </w:r>
      <w:r>
        <w:rPr>
          <w:bCs/>
          <w:b/>
        </w:rPr>
        <w:t xml:space="preserve">What to collect:</w:t>
      </w:r>
      <w:r>
        <w:t xml:space="preserve"> </w:t>
      </w:r>
      <w:r>
        <w:t xml:space="preserve">one or more of the following,</w:t>
      </w:r>
      <w:r>
        <w:t xml:space="preserve"> </w:t>
      </w:r>
      <w:r>
        <w:rPr>
          <w:bCs/>
          <w:b/>
        </w:rPr>
        <w:t xml:space="preserve">plus PAN or Form 60</w:t>
      </w:r>
      <w:r>
        <w:t xml:space="preserve"> </w:t>
      </w:r>
      <w:r>
        <w:t xml:space="preserve">(para 23(1)–(5)):</w:t>
      </w:r>
      <w:r>
        <w:t xml:space="preserve"> </w:t>
      </w:r>
      <w:r>
        <w:t xml:space="preserve">- the Aadhaar number, only where the customer seeks an Aadhaar Act s.7 benefit, or volunteers it to an NBFC</w:t>
      </w:r>
      <w:r>
        <w:t xml:space="preserve"> </w:t>
      </w:r>
      <w:r>
        <w:rPr>
          <w:bCs/>
          <w:b/>
        </w:rPr>
        <w:t xml:space="preserve">notified under the first proviso to s.11A(1) of the PML Act</w:t>
      </w:r>
      <w:r>
        <w:t xml:space="preserve">;</w:t>
      </w:r>
      <w:r>
        <w:t xml:space="preserve"> </w:t>
      </w:r>
      <w:r>
        <w:t xml:space="preserve">- proof of possession of Aadhaar;</w:t>
      </w:r>
      <w:r>
        <w:t xml:space="preserve"> </w:t>
      </w:r>
      <w:r>
        <w:t xml:space="preserve">- an OVD or its e-document;</w:t>
      </w:r>
      <w:r>
        <w:t xml:space="preserve"> </w:t>
      </w:r>
      <w:r>
        <w:t xml:space="preserve">- the KYC Identifier, with explicit consent to download from CKYCR.</w:t>
      </w:r>
      <w:r>
        <w:t xml:space="preserve"> </w:t>
      </w:r>
      <w:r>
        <w:t xml:space="preserve">-</w:t>
      </w:r>
      <w:r>
        <w:t xml:space="preserve"> </w:t>
      </w:r>
      <w:r>
        <w:rPr>
          <w:bCs/>
          <w:b/>
        </w:rPr>
        <w:t xml:space="preserve">How to verify, by mode</w:t>
      </w:r>
      <w:r>
        <w:t xml:space="preserve"> </w:t>
      </w:r>
      <w:r>
        <w:t xml:space="preserve">(provisos (i)–(v)):</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280"/>
        <w:gridCol w:w="5358"/>
      </w:tblGrid>
      <w:tr>
        <w:trPr>
          <w:tblHeader w:val="true"/>
          <w:tblHeader w:val="true"/>
        </w:trPr>
        <w:tc>
          <w:tcPr>
            <w:tcW w:w="4280" w:type="dxa"/>
            <w:shd w:val="clear" w:color="auto" w:fill="1F3A5F"/>
          </w:tcPr>
          <w:p>
            <w:pPr>
              <w:pStyle w:val="Compact"/>
              <w:spacing w:after="40"/>
              <w:jc w:val="left"/>
            </w:pPr>
            <w:r>
              <w:rPr>
                <w:b/>
                <w:color w:val="FFFFFF"/>
                <w:sz w:val="18"/>
              </w:rPr>
              <w:t xml:space="preserve">Document submitted</w:t>
            </w:r>
          </w:p>
        </w:tc>
        <w:tc>
          <w:tcPr>
            <w:tcW w:w="5358" w:type="dxa"/>
            <w:shd w:val="clear" w:color="auto" w:fill="1F3A5F"/>
          </w:tcPr>
          <w:p>
            <w:pPr>
              <w:pStyle w:val="Compact"/>
              <w:spacing w:after="40"/>
              <w:jc w:val="left"/>
            </w:pPr>
            <w:r>
              <w:rPr>
                <w:b/>
                <w:color w:val="FFFFFF"/>
                <w:sz w:val="18"/>
              </w:rPr>
              <w:t xml:space="preserve">Verification method</w:t>
            </w:r>
          </w:p>
        </w:tc>
      </w:tr>
      <w:tr>
        <w:tc>
          <w:tcPr>
            <w:tcW w:w="4280" w:type="dxa"/>
          </w:tcPr>
          <w:p>
            <w:pPr>
              <w:pStyle w:val="Compact"/>
              <w:spacing w:after="40"/>
              <w:jc w:val="left"/>
            </w:pPr>
            <w:r>
              <w:rPr>
                <w:sz w:val="18"/>
              </w:rPr>
              <w:t xml:space="preserve">Aadhaar number (notified NBFCs only)</w:t>
            </w:r>
          </w:p>
        </w:tc>
        <w:tc>
          <w:tcPr>
            <w:tcW w:w="5358" w:type="dxa"/>
          </w:tcPr>
          <w:p>
            <w:pPr>
              <w:pStyle w:val="Compact"/>
              <w:spacing w:after="40"/>
              <w:jc w:val="left"/>
            </w:pPr>
            <w:r>
              <w:rPr>
                <w:sz w:val="18"/>
              </w:rPr>
              <w:t xml:space="preserve">UIDAI</w:t>
            </w:r>
            <w:r>
              <w:rPr>
                <w:sz w:val="18"/>
              </w:rPr>
              <w:t xml:space="preserve"> </w:t>
            </w:r>
            <w:r>
              <w:rPr>
                <w:bCs/>
                <w:b/>
                <w:sz w:val="18"/>
              </w:rPr>
              <w:t xml:space="preserve">e-KYC authentication</w:t>
            </w:r>
            <w:r>
              <w:rPr>
                <w:sz w:val="18"/>
              </w:rPr>
              <w:t xml:space="preserve">; a different current address by self-declaration</w:t>
            </w:r>
          </w:p>
        </w:tc>
      </w:tr>
      <w:tr>
        <w:tc>
          <w:tcPr>
            <w:tcW w:w="4280" w:type="dxa"/>
          </w:tcPr>
          <w:p>
            <w:pPr>
              <w:pStyle w:val="Compact"/>
              <w:spacing w:after="40"/>
              <w:jc w:val="left"/>
            </w:pPr>
            <w:r>
              <w:rPr>
                <w:sz w:val="18"/>
              </w:rPr>
              <w:t xml:space="preserve">Proof of possession of Aadhaar</w:t>
            </w:r>
          </w:p>
        </w:tc>
        <w:tc>
          <w:tcPr>
            <w:tcW w:w="5358" w:type="dxa"/>
          </w:tcPr>
          <w:p>
            <w:pPr>
              <w:pStyle w:val="Compact"/>
              <w:spacing w:after="40"/>
              <w:jc w:val="left"/>
            </w:pPr>
            <w:r>
              <w:rPr>
                <w:bCs/>
                <w:b/>
                <w:sz w:val="18"/>
              </w:rPr>
              <w:t xml:space="preserve">Offline verification</w:t>
            </w:r>
          </w:p>
        </w:tc>
      </w:tr>
      <w:tr>
        <w:tc>
          <w:tcPr>
            <w:tcW w:w="4280" w:type="dxa"/>
          </w:tcPr>
          <w:p>
            <w:pPr>
              <w:pStyle w:val="Compact"/>
              <w:spacing w:after="40"/>
              <w:jc w:val="left"/>
            </w:pPr>
            <w:r>
              <w:rPr>
                <w:sz w:val="18"/>
              </w:rPr>
              <w:t xml:space="preserve">E-document</w:t>
            </w:r>
          </w:p>
        </w:tc>
        <w:tc>
          <w:tcPr>
            <w:tcW w:w="5358" w:type="dxa"/>
          </w:tcPr>
          <w:p>
            <w:pPr>
              <w:pStyle w:val="Compact"/>
              <w:spacing w:after="40"/>
              <w:jc w:val="left"/>
            </w:pPr>
            <w:r>
              <w:rPr>
                <w:bCs/>
                <w:b/>
                <w:sz w:val="18"/>
              </w:rPr>
              <w:t xml:space="preserve">Digital-signature check plus a live photo</w:t>
            </w:r>
          </w:p>
        </w:tc>
      </w:tr>
      <w:tr>
        <w:tc>
          <w:tcPr>
            <w:tcW w:w="4280" w:type="dxa"/>
          </w:tcPr>
          <w:p>
            <w:pPr>
              <w:pStyle w:val="Compact"/>
              <w:spacing w:after="40"/>
              <w:jc w:val="left"/>
            </w:pPr>
            <w:r>
              <w:rPr>
                <w:sz w:val="18"/>
              </w:rPr>
              <w:t xml:space="preserve">Physical OVD, or Aadhaar where offline verification is not possible</w:t>
            </w:r>
          </w:p>
        </w:tc>
        <w:tc>
          <w:tcPr>
            <w:tcW w:w="5358" w:type="dxa"/>
          </w:tcPr>
          <w:p>
            <w:pPr>
              <w:pStyle w:val="Compact"/>
              <w:spacing w:after="40"/>
              <w:jc w:val="left"/>
            </w:pPr>
            <w:r>
              <w:rPr>
                <w:bCs/>
                <w:b/>
                <w:sz w:val="18"/>
              </w:rPr>
              <w:t xml:space="preserve">Digital KYC (para 24)</w:t>
            </w:r>
            <w:r>
              <w:rPr>
                <w:sz w:val="18"/>
              </w:rPr>
              <w:t xml:space="preserve">. A certified copy plus a photo is allowed only until a date the Government notifies</w:t>
            </w:r>
          </w:p>
        </w:tc>
      </w:tr>
      <w:tr>
        <w:tc>
          <w:tcPr>
            <w:tcW w:w="4280" w:type="dxa"/>
          </w:tcPr>
          <w:p>
            <w:pPr>
              <w:pStyle w:val="Compact"/>
              <w:spacing w:after="40"/>
              <w:jc w:val="left"/>
            </w:pPr>
            <w:r>
              <w:rPr>
                <w:sz w:val="18"/>
              </w:rPr>
              <w:t xml:space="preserve">KYC Identifier</w:t>
            </w:r>
          </w:p>
        </w:tc>
        <w:tc>
          <w:tcPr>
            <w:tcW w:w="5358" w:type="dxa"/>
          </w:tcPr>
          <w:p>
            <w:pPr>
              <w:pStyle w:val="Compact"/>
              <w:spacing w:after="40"/>
              <w:jc w:val="left"/>
            </w:pPr>
            <w:r>
              <w:rPr>
                <w:sz w:val="18"/>
              </w:rPr>
              <w:t xml:space="preserve">CKYCR download</w:t>
            </w:r>
          </w:p>
        </w:tc>
      </w:tr>
    </w:tbl>
    <w:p>
      <w:pPr>
        <w:numPr>
          <w:ilvl w:val="0"/>
          <w:numId w:val="1804"/>
        </w:numPr>
        <w:pStyle w:val="Compact"/>
      </w:pPr>
      <w:r>
        <w:rPr>
          <w:bCs/>
          <w:b/>
        </w:rPr>
        <w:t xml:space="preserve">Redact the Aadhaar number</w:t>
      </w:r>
      <w:r>
        <w:t xml:space="preserve"> </w:t>
      </w:r>
      <w:r>
        <w:t xml:space="preserve">where authentication is not required (Expl 1).</w:t>
      </w:r>
    </w:p>
    <w:p>
      <w:pPr>
        <w:numPr>
          <w:ilvl w:val="0"/>
          <w:numId w:val="1804"/>
        </w:numPr>
        <w:pStyle w:val="Compact"/>
      </w:pPr>
      <w:r>
        <w:t xml:space="preserve">An official may use biometric e-KYC, including</w:t>
      </w:r>
      <w:r>
        <w:t xml:space="preserve"> </w:t>
      </w:r>
      <w:r>
        <w:rPr>
          <w:bCs/>
          <w:b/>
        </w:rPr>
        <w:t xml:space="preserve">Aadhaar Face Authentication</w:t>
      </w:r>
      <w:r>
        <w:t xml:space="preserve"> </w:t>
      </w:r>
      <w:r>
        <w:t xml:space="preserve">(Expl 2).</w:t>
      </w:r>
    </w:p>
    <w:p>
      <w:pPr>
        <w:numPr>
          <w:ilvl w:val="0"/>
          <w:numId w:val="1804"/>
        </w:numPr>
        <w:pStyle w:val="Compact"/>
      </w:pPr>
      <w:r>
        <w:rPr>
          <w:bCs/>
          <w:b/>
        </w:rPr>
        <w:t xml:space="preserve">Aadhaar is not mandatory</w:t>
      </w:r>
      <w:r>
        <w:t xml:space="preserve"> </w:t>
      </w:r>
      <w:r>
        <w:t xml:space="preserve">(Expl 4).</w:t>
      </w:r>
    </w:p>
    <w:p>
      <w:pPr>
        <w:numPr>
          <w:ilvl w:val="0"/>
          <w:numId w:val="1804"/>
        </w:numPr>
        <w:pStyle w:val="Compact"/>
      </w:pPr>
      <w:r>
        <w:rPr>
          <w:bCs/>
          <w:b/>
        </w:rPr>
        <w:t xml:space="preserve">OVDs and deemed OVDs</w:t>
      </w:r>
      <w:r>
        <w:t xml:space="preserve"> </w:t>
      </w:r>
      <w:r>
        <w:t xml:space="preserve">(para 5(1)(xiv)):</w:t>
      </w:r>
    </w:p>
    <w:p>
      <w:pPr>
        <w:numPr>
          <w:ilvl w:val="1"/>
          <w:numId w:val="1805"/>
        </w:numPr>
        <w:pStyle w:val="Compact"/>
      </w:pPr>
      <w:r>
        <w:t xml:space="preserve">OVDs are the passport, driving licence, proof of possession of Aadhaar, Voter ID, NREGA job card and NPR letter.</w:t>
      </w:r>
    </w:p>
    <w:p>
      <w:pPr>
        <w:numPr>
          <w:ilvl w:val="1"/>
          <w:numId w:val="1805"/>
        </w:numPr>
        <w:pStyle w:val="Compact"/>
      </w:pPr>
      <w:r>
        <w:t xml:space="preserve">Deemed OVDs prove address only: a utility bill no more than 2 months old, a property-tax receipt, a PPO, or an employer allotment letter.</w:t>
      </w:r>
    </w:p>
    <w:p>
      <w:pPr>
        <w:numPr>
          <w:ilvl w:val="1"/>
          <w:numId w:val="1805"/>
        </w:numPr>
        <w:pStyle w:val="Compact"/>
      </w:pPr>
      <w:r>
        <w:rPr>
          <w:bCs/>
          <w:b/>
        </w:rPr>
        <w:t xml:space="preserve">An OVD with the current address is due within 3 months.</w:t>
      </w:r>
    </w:p>
    <w:p>
      <w:pPr>
        <w:pStyle w:val="FirstParagraph"/>
      </w:pPr>
      <w:r>
        <w:rPr>
          <w:bCs/>
          <w:b/>
        </w:rPr>
        <w:t xml:space="preserve">Digital KYC application (para 24).</w:t>
      </w:r>
      <w:r>
        <w:t xml:space="preserve"> </w:t>
      </w:r>
      <w:r>
        <w:rPr>
          <w:iCs/>
          <w:i/>
        </w:rPr>
        <w:t xml:space="preserve">Build:</w:t>
      </w:r>
      <w:r>
        <w:t xml:space="preserve"> </w:t>
      </w:r>
      <w:r>
        <w:t xml:space="preserve">in M22.</w:t>
      </w:r>
      <w:r>
        <w:t xml:space="preserve"> </w:t>
      </w:r>
      <w:r>
        <w:t xml:space="preserve">- The NBFC’s authenticated app only. Access by login and password, or by a live or time-based OTP (para 24(1)–(2)).</w:t>
      </w:r>
      <w:r>
        <w:t xml:space="preserve"> </w:t>
      </w:r>
      <w:r>
        <w:t xml:space="preserve">-</w:t>
      </w:r>
      <w:r>
        <w:t xml:space="preserve"> </w:t>
      </w:r>
      <w:r>
        <w:rPr>
          <w:bCs/>
          <w:b/>
        </w:rPr>
        <w:t xml:space="preserve">Customer photo</w:t>
      </w:r>
      <w:r>
        <w:t xml:space="preserve"> </w:t>
      </w:r>
      <w:r>
        <w:t xml:space="preserve">(para 24(4)–(5)):</w:t>
      </w:r>
      <w:r>
        <w:t xml:space="preserve"> </w:t>
      </w:r>
      <w:r>
        <w:t xml:space="preserve">-</w:t>
      </w:r>
      <w:r>
        <w:t xml:space="preserve"> </w:t>
      </w:r>
      <w:r>
        <w:rPr>
          <w:bCs/>
          <w:b/>
        </w:rPr>
        <w:t xml:space="preserve">live capture only</w:t>
      </w:r>
      <w:r>
        <w:t xml:space="preserve">, with a white background and no other person in frame;</w:t>
      </w:r>
      <w:r>
        <w:t xml:space="preserve"> </w:t>
      </w:r>
      <w:r>
        <w:t xml:space="preserve">- embedded in the CAF;</w:t>
      </w:r>
      <w:r>
        <w:t xml:space="preserve"> </w:t>
      </w:r>
      <w:r>
        <w:t xml:space="preserve">-</w:t>
      </w:r>
      <w:r>
        <w:t xml:space="preserve"> </w:t>
      </w:r>
      <w:r>
        <w:rPr>
          <w:bCs/>
          <w:b/>
        </w:rPr>
        <w:t xml:space="preserve">watermarked with the CAF number, GPS coordinates, the official’s name and employee code, the date (DD:MM:YYYY) and the time (HH:MM:SS)</w:t>
      </w:r>
      <w:r>
        <w:t xml:space="preserve">.</w:t>
      </w:r>
      <w:r>
        <w:t xml:space="preserve"> </w:t>
      </w:r>
      <w:r>
        <w:t xml:space="preserve">-</w:t>
      </w:r>
      <w:r>
        <w:t xml:space="preserve"> </w:t>
      </w:r>
      <w:r>
        <w:rPr>
          <w:bCs/>
          <w:b/>
        </w:rPr>
        <w:t xml:space="preserve">OVD photo:</w:t>
      </w:r>
      <w:r>
        <w:t xml:space="preserve"> </w:t>
      </w:r>
      <w:r>
        <w:t xml:space="preserve">taken flat from above with no tilt, with the same watermark (para 24(6)–(7)). QR auto-fill is allowed (para 24(8)).</w:t>
      </w:r>
      <w:r>
        <w:t xml:space="preserve"> </w:t>
      </w:r>
      <w:r>
        <w:t xml:space="preserve">-</w:t>
      </w:r>
      <w:r>
        <w:t xml:space="preserve"> </w:t>
      </w:r>
      <w:r>
        <w:rPr>
          <w:bCs/>
          <w:b/>
        </w:rPr>
        <w:t xml:space="preserve">Customer signature</w:t>
      </w:r>
      <w:r>
        <w:t xml:space="preserve"> </w:t>
      </w:r>
      <w:r>
        <w:t xml:space="preserve">is an OTP whose message reads exactly</w:t>
      </w:r>
      <w:r>
        <w:t xml:space="preserve"> </w:t>
      </w:r>
      <w:r>
        <w:rPr>
          <w:bCs/>
          <w:b/>
        </w:rPr>
        <w:t xml:space="preserve">“</w:t>
      </w:r>
      <w:r>
        <w:rPr>
          <w:bCs/>
          <w:b/>
        </w:rPr>
        <w:t xml:space="preserve">Please verify the details filled in form before sharing OTP</w:t>
      </w:r>
      <w:r>
        <w:rPr>
          <w:bCs/>
          <w:b/>
        </w:rPr>
        <w:t xml:space="preserve">”</w:t>
      </w:r>
      <w:r>
        <w:t xml:space="preserve">. A family member’s number is allowed if it is noted on the CAF.</w:t>
      </w:r>
      <w:r>
        <w:t xml:space="preserve"> </w:t>
      </w:r>
      <w:r>
        <w:rPr>
          <w:bCs/>
          <w:b/>
        </w:rPr>
        <w:t xml:space="preserve">The system must reject the officer’s own registered mobile</w:t>
      </w:r>
      <w:r>
        <w:t xml:space="preserve"> </w:t>
      </w:r>
      <w:r>
        <w:t xml:space="preserve">(para 24(9)).</w:t>
      </w:r>
      <w:r>
        <w:t xml:space="preserve"> </w:t>
      </w:r>
      <w:r>
        <w:t xml:space="preserve">-</w:t>
      </w:r>
      <w:r>
        <w:t xml:space="preserve"> </w:t>
      </w:r>
      <w:r>
        <w:rPr>
          <w:bCs/>
          <w:b/>
        </w:rPr>
        <w:t xml:space="preserve">Officer declaration:</w:t>
      </w:r>
      <w:r>
        <w:t xml:space="preserve"> </w:t>
      </w:r>
      <w:r>
        <w:t xml:space="preserve">OTP to the officer’s registered mobile, with a live photo of the officer (para 24(10)).</w:t>
      </w:r>
      <w:r>
        <w:t xml:space="preserve"> </w:t>
      </w:r>
      <w:r>
        <w:t xml:space="preserve">- The app generates a reference ID for the customer (para 24(11)). The officer runs the para 24(12) checks.</w:t>
      </w:r>
      <w:r>
        <w:t xml:space="preserve"> </w:t>
      </w:r>
      <w:r>
        <w:t xml:space="preserve">-</w:t>
      </w:r>
      <w:r>
        <w:t xml:space="preserve"> </w:t>
      </w:r>
      <w:r>
        <w:rPr>
          <w:bCs/>
          <w:b/>
        </w:rPr>
        <w:t xml:space="preserve">Final step:</w:t>
      </w:r>
      <w:r>
        <w:t xml:space="preserve"> </w:t>
      </w:r>
      <w:r>
        <w:t xml:space="preserve">the officer digitally signs the CAF; it is printed, signed or thumb-marked by the customer, scanned and uploaded (para 24(13)).</w:t>
      </w:r>
    </w:p>
    <w:p>
      <w:pPr>
        <w:pStyle w:val="BodyText"/>
      </w:pPr>
      <w:r>
        <w:rPr>
          <w:bCs/>
          <w:b/>
        </w:rPr>
        <w:t xml:space="preserve">Aadhaar OTP e-KYC in non-face-to-face mode (para 25):</w:t>
      </w:r>
      <w:r>
        <w:t xml:space="preserve"> </w:t>
      </w:r>
      <w:r>
        <w:t xml:space="preserve">- Specific consent to OTP authentication (para 25(1)).</w:t>
      </w:r>
      <w:r>
        <w:t xml:space="preserve"> </w:t>
      </w:r>
      <w:r>
        <w:t xml:space="preserve">-</w:t>
      </w:r>
      <w:r>
        <w:t xml:space="preserve"> </w:t>
      </w:r>
      <w:r>
        <w:rPr>
          <w:bCs/>
          <w:b/>
        </w:rPr>
        <w:t xml:space="preserve">Alerts and OTPs go only to the Aadhaar-registered mobile.</w:t>
      </w:r>
      <w:r>
        <w:t xml:space="preserve"> </w:t>
      </w:r>
      <w:r>
        <w:t xml:space="preserve">A Board policy governs mobile changes (para 25(2)).</w:t>
      </w:r>
      <w:r>
        <w:t xml:space="preserve"> </w:t>
      </w:r>
      <w:r>
        <w:t xml:space="preserve">-</w:t>
      </w:r>
      <w:r>
        <w:t xml:space="preserve"> </w:t>
      </w:r>
      <w:r>
        <w:rPr>
          <w:bCs/>
          <w:b/>
        </w:rPr>
        <w:t xml:space="preserve">Loan accounts: term loans only, with total sanctions of no more than ₹60,000 a year</w:t>
      </w:r>
      <w:r>
        <w:t xml:space="preserve"> </w:t>
      </w:r>
      <w:r>
        <w:t xml:space="preserve">(para 25(5)).</w:t>
      </w:r>
      <w:r>
        <w:t xml:space="preserve"> </w:t>
      </w:r>
      <w:r>
        <w:t xml:space="preserve">-</w:t>
      </w:r>
      <w:r>
        <w:t xml:space="preserve"> </w:t>
      </w:r>
      <w:r>
        <w:rPr>
          <w:bCs/>
          <w:b/>
        </w:rPr>
        <w:t xml:space="preserve">Full CDD is due within one year.</w:t>
      </w:r>
      <w:r>
        <w:t xml:space="preserve"> </w:t>
      </w:r>
      <w:r>
        <w:t xml:space="preserve">It can be done under para 23 or by V-CIP, which needs a fresh Aadhaar OTP. Without it,</w:t>
      </w:r>
      <w:r>
        <w:t xml:space="preserve"> </w:t>
      </w:r>
      <w:r>
        <w:rPr>
          <w:bCs/>
          <w:b/>
        </w:rPr>
        <w:t xml:space="preserve">no further debits are allowed on the loan account</w:t>
      </w:r>
      <w:r>
        <w:t xml:space="preserve"> </w:t>
      </w:r>
      <w:r>
        <w:t xml:space="preserve">(para 25(6)–(7)).</w:t>
      </w:r>
      <w:r>
        <w:t xml:space="preserve"> </w:t>
      </w:r>
      <w:r>
        <w:t xml:space="preserve">- The customer declares no other OTP-e-KYC account with any RE. The CKYCR upload is flagged as OTP e-KYC (para 25(8)).</w:t>
      </w:r>
      <w:r>
        <w:t xml:space="preserve"> </w:t>
      </w:r>
      <w:r>
        <w:t xml:space="preserve">-</w:t>
      </w:r>
      <w:r>
        <w:t xml:space="preserve"> </w:t>
      </w:r>
      <w:r>
        <w:rPr>
          <w:bCs/>
          <w:b/>
        </w:rPr>
        <w:t xml:space="preserve">Violation alerts</w:t>
      </w:r>
      <w:r>
        <w:t xml:space="preserve"> </w:t>
      </w:r>
      <w:r>
        <w:t xml:space="preserve">(para 25(9)).</w:t>
      </w:r>
      <w:r>
        <w:t xml:space="preserve"> </w:t>
      </w:r>
      <w:r>
        <w:t xml:space="preserve">- These limits do not apply to updation done by OTP e-KYC (para 42(3)(v)).</w:t>
      </w:r>
    </w:p>
    <w:p>
      <w:pPr>
        <w:pStyle w:val="BodyText"/>
      </w:pPr>
      <w:r>
        <w:rPr>
          <w:bCs/>
          <w:b/>
        </w:rPr>
        <w:t xml:space="preserve">V-CIP (paras 26–27):</w:t>
      </w:r>
      <w:r>
        <w:t xml:space="preserve"> </w:t>
      </w:r>
      <w:r>
        <w:t xml:space="preserve">-</w:t>
      </w:r>
      <w:r>
        <w:t xml:space="preserve"> </w:t>
      </w:r>
      <w:r>
        <w:rPr>
          <w:bCs/>
          <w:b/>
        </w:rPr>
        <w:t xml:space="preserve">Uses (para 26):</w:t>
      </w:r>
      <w:r>
        <w:t xml:space="preserve"> </w:t>
      </w:r>
      <w:r>
        <w:t xml:space="preserve">- new individuals, proprietors (plus e-documents of the activity proofs), authorised signatories and BOs;</w:t>
      </w:r>
      <w:r>
        <w:t xml:space="preserve"> </w:t>
      </w:r>
      <w:r>
        <w:t xml:space="preserve">- converting para 25 accounts;</w:t>
      </w:r>
      <w:r>
        <w:t xml:space="preserve"> </w:t>
      </w:r>
      <w:r>
        <w:t xml:space="preserve">- updation.</w:t>
      </w:r>
      <w:r>
        <w:t xml:space="preserve"> </w:t>
      </w:r>
      <w:r>
        <w:t xml:space="preserve">-</w:t>
      </w:r>
      <w:r>
        <w:t xml:space="preserve"> </w:t>
      </w:r>
      <w:r>
        <w:rPr>
          <w:bCs/>
          <w:b/>
        </w:rPr>
        <w:t xml:space="preserve">Infrastructure (para 27(1)):</w:t>
      </w:r>
      <w:r>
        <w:t xml:space="preserve"> </w:t>
      </w:r>
      <w:r>
        <w:t xml:space="preserve">- Hosted on the NBFC’s premises, and sessions start from its own secured network.</w:t>
      </w:r>
      <w:r>
        <w:t xml:space="preserve"> </w:t>
      </w:r>
      <w:r>
        <w:t xml:space="preserve">-</w:t>
      </w:r>
      <w:r>
        <w:t xml:space="preserve"> </w:t>
      </w:r>
      <w:r>
        <w:rPr>
          <w:bCs/>
          <w:b/>
        </w:rPr>
        <w:t xml:space="preserve">Cloud is allowed only if all data and recordings move immediately to servers the NBFC exclusively owns or leases, and the provider keeps nothing.</w:t>
      </w:r>
      <w:r>
        <w:t xml:space="preserve"> </w:t>
      </w:r>
      <w:r>
        <w:t xml:space="preserve">- End-to-end encryption, and consent recorded in an alteration-proof way.</w:t>
      </w:r>
      <w:r>
        <w:t xml:space="preserve"> </w:t>
      </w:r>
      <w:r>
        <w:t xml:space="preserve">-</w:t>
      </w:r>
      <w:r>
        <w:t xml:space="preserve"> </w:t>
      </w:r>
      <w:r>
        <w:rPr>
          <w:bCs/>
          <w:b/>
        </w:rPr>
        <w:t xml:space="preserve">Block IP addresses outside India and spoofed IPs.</w:t>
      </w:r>
      <w:r>
        <w:t xml:space="preserve"> </w:t>
      </w:r>
      <w:r>
        <w:t xml:space="preserve">- The video carries a geo-tag and a timestamp.</w:t>
      </w:r>
      <w:r>
        <w:t xml:space="preserve"> </w:t>
      </w:r>
      <w:r>
        <w:t xml:space="preserve">- Liveness/spoof detection and face match. Gestures are not mandatory, and special needs are accommodated.</w:t>
      </w:r>
      <w:r>
        <w:t xml:space="preserve"> </w:t>
      </w:r>
      <w:r>
        <w:t xml:space="preserve">- Forged-identity cases are reported as cyber events.</w:t>
      </w:r>
      <w:r>
        <w:t xml:space="preserve"> </w:t>
      </w:r>
      <w:r>
        <w:t xml:space="preserve">-</w:t>
      </w:r>
      <w:r>
        <w:t xml:space="preserve"> </w:t>
      </w:r>
      <w:r>
        <w:rPr>
          <w:bCs/>
          <w:b/>
        </w:rPr>
        <w:t xml:space="preserve">VAPT and security audit by a CERT-In-empanelled auditor, plus functional and performance tests, before go-live and periodically.</w:t>
      </w:r>
      <w:r>
        <w:t xml:space="preserve"> </w:t>
      </w:r>
      <w:r>
        <w:t xml:space="preserve">-</w:t>
      </w:r>
      <w:r>
        <w:t xml:space="preserve"> </w:t>
      </w:r>
      <w:r>
        <w:rPr>
          <w:bCs/>
          <w:b/>
        </w:rPr>
        <w:t xml:space="preserve">Procedure (para 27(2)):</w:t>
      </w:r>
      <w:r>
        <w:t xml:space="preserve"> </w:t>
      </w:r>
      <w:r>
        <w:t xml:space="preserve">- Only specially trained officials run sessions.</w:t>
      </w:r>
      <w:r>
        <w:t xml:space="preserve"> </w:t>
      </w:r>
      <w:r>
        <w:t xml:space="preserve">- A pause must not create multiple files.</w:t>
      </w:r>
      <w:r>
        <w:t xml:space="preserve"> </w:t>
      </w:r>
      <w:r>
        <w:rPr>
          <w:bCs/>
          <w:b/>
        </w:rPr>
        <w:t xml:space="preserve">A dropped call means a fresh session.</w:t>
      </w:r>
      <w:r>
        <w:t xml:space="preserve"> </w:t>
      </w:r>
      <w:r>
        <w:t xml:space="preserve">- Question order varies.</w:t>
      </w:r>
      <w:r>
        <w:t xml:space="preserve"> </w:t>
      </w:r>
      <w:r>
        <w:rPr>
          <w:bCs/>
          <w:b/>
        </w:rPr>
        <w:t xml:space="preserve">Reject the session if the customer is being prompted.</w:t>
      </w:r>
      <w:r>
        <w:t xml:space="preserve"> </w:t>
      </w:r>
      <w:r>
        <w:t xml:space="preserve">- Check whether the customer is existing, previously rejected or on a negative list.</w:t>
      </w:r>
      <w:r>
        <w:t xml:space="preserve"> </w:t>
      </w:r>
      <w:r>
        <w:t xml:space="preserve">- Identification sources: OTP e-KYC, offline Aadhaar, CKYCR, or an e-OVD/DigiLocker document. Redact the Aadhaar number.</w:t>
      </w:r>
      <w:r>
        <w:t xml:space="preserve"> </w:t>
      </w:r>
      <w:r>
        <w:t xml:space="preserve">-</w:t>
      </w:r>
      <w:r>
        <w:t xml:space="preserve"> </w:t>
      </w:r>
      <w:r>
        <w:rPr>
          <w:bCs/>
          <w:b/>
        </w:rPr>
        <w:t xml:space="preserve">The Aadhaar XML/QR must be no more than 3 working days old. The video must happen within 3 working days of obtaining the identification data.</w:t>
      </w:r>
      <w:r>
        <w:t xml:space="preserve"> </w:t>
      </w:r>
      <w:r>
        <w:t xml:space="preserve">- Record the current address and confirm the economic and financial profile.</w:t>
      </w:r>
      <w:r>
        <w:t xml:space="preserve"> </w:t>
      </w:r>
      <w:r>
        <w:t xml:space="preserve">- Capture a clear image of the PAN card unless e-PAN is given, and verify PAN with the issuer.</w:t>
      </w:r>
      <w:r>
        <w:t xml:space="preserve"> </w:t>
      </w:r>
      <w:r>
        <w:t xml:space="preserve">-</w:t>
      </w:r>
      <w:r>
        <w:t xml:space="preserve"> </w:t>
      </w:r>
      <w:r>
        <w:rPr>
          <w:bCs/>
          <w:b/>
        </w:rPr>
        <w:t xml:space="preserve">Printed e-documents are invalid.</w:t>
      </w:r>
      <w:r>
        <w:t xml:space="preserve"> </w:t>
      </w:r>
      <w:r>
        <w:t xml:space="preserve">-</w:t>
      </w:r>
      <w:r>
        <w:t xml:space="preserve"> </w:t>
      </w:r>
      <w:r>
        <w:rPr>
          <w:bCs/>
          <w:b/>
        </w:rPr>
        <w:t xml:space="preserve">The account becomes operational only after concurrent audit.</w:t>
      </w:r>
      <w:r>
        <w:t xml:space="preserve"> </w:t>
      </w:r>
      <w:r>
        <w:t xml:space="preserve">-</w:t>
      </w:r>
      <w:r>
        <w:t xml:space="preserve"> </w:t>
      </w:r>
      <w:r>
        <w:rPr>
          <w:bCs/>
          <w:b/>
        </w:rPr>
        <w:t xml:space="preserve">Records (para 27(3)):</w:t>
      </w:r>
      <w:r>
        <w:t xml:space="preserve"> </w:t>
      </w:r>
      <w:r>
        <w:t xml:space="preserve">- stored in India, with searchable timestamps;</w:t>
      </w:r>
      <w:r>
        <w:t xml:space="preserve"> </w:t>
      </w:r>
      <w:r>
        <w:t xml:space="preserve">- an activity log with the credentials of the official who ran the session.</w:t>
      </w:r>
    </w:p>
    <w:p>
      <w:pPr>
        <w:pStyle w:val="BodyText"/>
      </w:pPr>
      <w:r>
        <w:rPr>
          <w:bCs/>
          <w:b/>
        </w:rPr>
        <w:t xml:space="preserve">Other CDD (paras 28–38):</w:t>
      </w:r>
      <w:r>
        <w:t xml:space="preserve"> </w:t>
      </w:r>
      <w:r>
        <w:t xml:space="preserve">-</w:t>
      </w:r>
      <w:r>
        <w:t xml:space="preserve"> </w:t>
      </w:r>
      <w:r>
        <w:rPr>
          <w:bCs/>
          <w:b/>
        </w:rPr>
        <w:t xml:space="preserve">Simplified accounts</w:t>
      </w:r>
      <w:r>
        <w:t xml:space="preserve"> </w:t>
      </w:r>
      <w:r>
        <w:t xml:space="preserve">(para 28): 12 months, with caps of ₹50,000 balance and ₹1 lakh credits a year, and alerts at ₹40,000 and ₹80,000.</w:t>
      </w:r>
      <w:r>
        <w:t xml:space="preserve"> </w:t>
      </w:r>
      <w:r>
        <w:rPr>
          <w:iCs/>
          <w:i/>
        </w:rPr>
        <w:t xml:space="preserve">Build:</w:t>
      </w:r>
      <w:r>
        <w:t xml:space="preserve"> </w:t>
      </w:r>
      <w:r>
        <w:t xml:space="preserve">configurable, off by default.</w:t>
      </w:r>
      <w:r>
        <w:t xml:space="preserve"> </w:t>
      </w:r>
      <w:r>
        <w:t xml:space="preserve">- KYC carries over on a branch transfer (para 29).</w:t>
      </w:r>
      <w:r>
        <w:t xml:space="preserve"> </w:t>
      </w:r>
      <w:r>
        <w:t xml:space="preserve">-</w:t>
      </w:r>
      <w:r>
        <w:t xml:space="preserve"> </w:t>
      </w:r>
      <w:r>
        <w:rPr>
          <w:bCs/>
          <w:b/>
        </w:rPr>
        <w:t xml:space="preserve">Proprietorships:</w:t>
      </w:r>
      <w:r>
        <w:t xml:space="preserve"> </w:t>
      </w:r>
      <w:r>
        <w:t xml:space="preserve">CDD of the proprietor plus</w:t>
      </w:r>
      <w:r>
        <w:t xml:space="preserve"> </w:t>
      </w:r>
      <w:r>
        <w:rPr>
          <w:bCs/>
          <w:b/>
        </w:rPr>
        <w:t xml:space="preserve">two</w:t>
      </w:r>
      <w:r>
        <w:t xml:space="preserve"> </w:t>
      </w:r>
      <w:r>
        <w:t xml:space="preserve">activity proofs, such as Udyam, GST or a full ITR. One proof is enough only with contact-point verification (paras 30–32).</w:t>
      </w:r>
      <w:r>
        <w:t xml:space="preserve"> </w:t>
      </w:r>
      <w:r>
        <w:t xml:space="preserve">-</w:t>
      </w:r>
      <w:r>
        <w:t xml:space="preserve"> </w:t>
      </w:r>
      <w:r>
        <w:rPr>
          <w:bCs/>
          <w:b/>
        </w:rPr>
        <w:t xml:space="preserve">Document checklists</w:t>
      </w:r>
      <w:r>
        <w:t xml:space="preserve"> </w:t>
      </w:r>
      <w:r>
        <w:t xml:space="preserve">for companies, partnerships, trusts, unincorporated associations/BOIs and other juridical persons (paras 33–37).</w:t>
      </w:r>
      <w:r>
        <w:t xml:space="preserve"> </w:t>
      </w:r>
      <w:r>
        <w:t xml:space="preserve">-</w:t>
      </w:r>
      <w:r>
        <w:t xml:space="preserve"> </w:t>
      </w:r>
      <w:r>
        <w:rPr>
          <w:bCs/>
          <w:b/>
        </w:rPr>
        <w:t xml:space="preserve">BO thresholds</w:t>
      </w:r>
      <w:r>
        <w:t xml:space="preserve"> </w:t>
      </w:r>
      <w:r>
        <w:t xml:space="preserve">(para 5(1)(iv)):</w:t>
      </w:r>
      <w:r>
        <w:t xml:space="preserve"> </w:t>
      </w:r>
      <w:r>
        <w:t xml:space="preserve">- company:</w:t>
      </w:r>
      <w:r>
        <w:t xml:space="preserve"> </w:t>
      </w:r>
      <w:r>
        <w:rPr>
          <w:bCs/>
          <w:b/>
        </w:rPr>
        <w:t xml:space="preserve">more than 10%</w:t>
      </w:r>
      <w:r>
        <w:t xml:space="preserve"> </w:t>
      </w:r>
      <w:r>
        <w:t xml:space="preserve">of shares, capital or profits, or control;</w:t>
      </w:r>
      <w:r>
        <w:t xml:space="preserve"> </w:t>
      </w:r>
      <w:r>
        <w:t xml:space="preserve">- partnership:</w:t>
      </w:r>
      <w:r>
        <w:t xml:space="preserve"> </w:t>
      </w:r>
      <w:r>
        <w:rPr>
          <w:bCs/>
          <w:b/>
        </w:rPr>
        <w:t xml:space="preserve">more than 10%</w:t>
      </w:r>
      <w:r>
        <w:t xml:space="preserve"> </w:t>
      </w:r>
      <w:r>
        <w:t xml:space="preserve">of capital or profits;</w:t>
      </w:r>
      <w:r>
        <w:t xml:space="preserve"> </w:t>
      </w:r>
      <w:r>
        <w:t xml:space="preserve">- unincorporated association or BOI:</w:t>
      </w:r>
      <w:r>
        <w:t xml:space="preserve"> </w:t>
      </w:r>
      <w:r>
        <w:rPr>
          <w:bCs/>
          <w:b/>
        </w:rPr>
        <w:t xml:space="preserve">more than 15%</w:t>
      </w:r>
      <w:r>
        <w:t xml:space="preserve">;</w:t>
      </w:r>
      <w:r>
        <w:t xml:space="preserve"> </w:t>
      </w:r>
      <w:r>
        <w:t xml:space="preserve">- trust: author, trustees, beneficiaries with</w:t>
      </w:r>
      <w:r>
        <w:t xml:space="preserve"> </w:t>
      </w:r>
      <w:r>
        <w:rPr>
          <w:bCs/>
          <w:b/>
        </w:rPr>
        <w:t xml:space="preserve">10% or more</w:t>
      </w:r>
      <w:r>
        <w:t xml:space="preserve">, and controllers;</w:t>
      </w:r>
      <w:r>
        <w:t xml:space="preserve"> </w:t>
      </w:r>
      <w:r>
        <w:t xml:space="preserve">- otherwise, the senior managing official.</w:t>
      </w:r>
      <w:r>
        <w:t xml:space="preserve"> </w:t>
      </w:r>
      <w:r>
        <w:t xml:space="preserve">- Listed entities and their subsidiaries are exempt from BO identification (para 38(1)).</w:t>
      </w:r>
    </w:p>
    <w:p>
      <w:pPr>
        <w:pStyle w:val="BodyText"/>
      </w:pPr>
      <w:r>
        <w:rPr>
          <w:bCs/>
          <w:b/>
        </w:rPr>
        <w:t xml:space="preserve">Monitoring and updation (paras 39–43):</w:t>
      </w:r>
      <w:r>
        <w:t xml:space="preserve"> </w:t>
      </w:r>
      <w:r>
        <w:t xml:space="preserve">-</w:t>
      </w:r>
      <w:r>
        <w:t xml:space="preserve"> </w:t>
      </w:r>
      <w:r>
        <w:rPr>
          <w:bCs/>
          <w:b/>
        </w:rPr>
        <w:t xml:space="preserve">Monitoring typologies:</w:t>
      </w:r>
      <w:r>
        <w:t xml:space="preserve"> </w:t>
      </w:r>
      <w:r>
        <w:t xml:space="preserve">large or complex transactions, threshold breaches, high turnover, and third-party cheques followed by cash. AI/ML is permitted (para 40).</w:t>
      </w:r>
      <w:r>
        <w:t xml:space="preserve"> </w:t>
      </w:r>
      <w:r>
        <w:t xml:space="preserve">-</w:t>
      </w:r>
      <w:r>
        <w:t xml:space="preserve"> </w:t>
      </w:r>
      <w:r>
        <w:rPr>
          <w:bCs/>
          <w:b/>
        </w:rPr>
        <w:t xml:space="preserve">Periodic updation at least every 2, 8 and 10 years</w:t>
      </w:r>
      <w:r>
        <w:t xml:space="preserve"> </w:t>
      </w:r>
      <w:r>
        <w:t xml:space="preserve">for high, medium and low risk (para 42(1)).</w:t>
      </w:r>
      <w:r>
        <w:t xml:space="preserve"> </w:t>
      </w:r>
      <w:r>
        <w:t xml:space="preserve">-</w:t>
      </w:r>
      <w:r>
        <w:t xml:space="preserve"> </w:t>
      </w:r>
      <w:r>
        <w:rPr>
          <w:bCs/>
          <w:b/>
        </w:rPr>
        <w:t xml:space="preserve">Low-risk individuals: transactions continue, with updation due within 1 year of the due date or by 30 Jun 2026, whichever is later</w:t>
      </w:r>
      <w:r>
        <w:t xml:space="preserve"> </w:t>
      </w:r>
      <w:r>
        <w:t xml:space="preserve">(para 42(2)).</w:t>
      </w:r>
      <w:r>
        <w:t xml:space="preserve"> </w:t>
      </w:r>
      <w:r>
        <w:t xml:space="preserve">-</w:t>
      </w:r>
      <w:r>
        <w:t xml:space="preserve"> </w:t>
      </w:r>
      <w:r>
        <w:rPr>
          <w:bCs/>
          <w:b/>
        </w:rPr>
        <w:t xml:space="preserve">Individuals (para 42(3)):</w:t>
      </w:r>
      <w:r>
        <w:t xml:space="preserve"> </w:t>
      </w:r>
      <w:r>
        <w:t xml:space="preserve">- no change: self-declaration through the registered channels;</w:t>
      </w:r>
      <w:r>
        <w:t xml:space="preserve"> </w:t>
      </w:r>
      <w:r>
        <w:t xml:space="preserve">- change of address: self-declaration plus</w:t>
      </w:r>
      <w:r>
        <w:t xml:space="preserve"> </w:t>
      </w:r>
      <w:r>
        <w:rPr>
          <w:bCs/>
          <w:b/>
        </w:rPr>
        <w:t xml:space="preserve">positive confirmation within 2 months</w:t>
      </w:r>
      <w:r>
        <w:t xml:space="preserve">;</w:t>
      </w:r>
      <w:r>
        <w:t xml:space="preserve"> </w:t>
      </w:r>
      <w:r>
        <w:t xml:space="preserve">- minors turning major: fresh photo and current-standard CDD;</w:t>
      </w:r>
      <w:r>
        <w:t xml:space="preserve"> </w:t>
      </w:r>
      <w:r>
        <w:t xml:space="preserve">- OTP e-KYC: the Aadhaar mobile must match the one on the profile.</w:t>
      </w:r>
      <w:r>
        <w:t xml:space="preserve"> </w:t>
      </w:r>
      <w:r>
        <w:t xml:space="preserve">-</w:t>
      </w:r>
      <w:r>
        <w:t xml:space="preserve"> </w:t>
      </w:r>
      <w:r>
        <w:rPr>
          <w:bCs/>
          <w:b/>
        </w:rPr>
        <w:t xml:space="preserve">Legal entities:</w:t>
      </w:r>
      <w:r>
        <w:t xml:space="preserve"> </w:t>
      </w:r>
      <w:r>
        <w:t xml:space="preserve">self-declaration and a BO refresh. Any change triggers onboarding-equivalent KYC (para 42(4)).</w:t>
      </w:r>
      <w:r>
        <w:t xml:space="preserve"> </w:t>
      </w:r>
      <w:r>
        <w:t xml:space="preserve">-</w:t>
      </w:r>
      <w:r>
        <w:t xml:space="preserve"> </w:t>
      </w:r>
      <w:r>
        <w:rPr>
          <w:bCs/>
          <w:b/>
        </w:rPr>
        <w:t xml:space="preserve">Every updation:</w:t>
      </w:r>
      <w:r>
        <w:t xml:space="preserve"> </w:t>
      </w:r>
      <w:r>
        <w:t xml:space="preserve">- documents meet current CDD standards; expired documents mean fresh KYC;</w:t>
      </w:r>
      <w:r>
        <w:t xml:space="preserve"> </w:t>
      </w:r>
      <w:r>
        <w:t xml:space="preserve">- PAN is re-verified;</w:t>
      </w:r>
      <w:r>
        <w:t xml:space="preserve"> </w:t>
      </w:r>
      <w:r>
        <w:t xml:space="preserve">-</w:t>
      </w:r>
      <w:r>
        <w:t xml:space="preserve"> </w:t>
      </w:r>
      <w:r>
        <w:rPr>
          <w:bCs/>
          <w:b/>
        </w:rPr>
        <w:t xml:space="preserve">the customer gets an acknowledgement with the date of receipt, and an intimation of the updation date</w:t>
      </w:r>
      <w:r>
        <w:t xml:space="preserve"> </w:t>
      </w:r>
      <w:r>
        <w:t xml:space="preserve">(paras 42(5), 63(8)).</w:t>
      </w:r>
      <w:r>
        <w:t xml:space="preserve"> </w:t>
      </w:r>
      <w:r>
        <w:t xml:space="preserve">- Customers submit document changes</w:t>
      </w:r>
      <w:r>
        <w:t xml:space="preserve"> </w:t>
      </w:r>
      <w:r>
        <w:rPr>
          <w:bCs/>
          <w:b/>
        </w:rPr>
        <w:t xml:space="preserve">within 30 days</w:t>
      </w:r>
      <w:r>
        <w:t xml:space="preserve"> </w:t>
      </w:r>
      <w:r>
        <w:t xml:space="preserve">(para 42(6)).</w:t>
      </w:r>
      <w:r>
        <w:t xml:space="preserve"> </w:t>
      </w:r>
      <w:r>
        <w:t xml:space="preserve">-</w:t>
      </w:r>
      <w:r>
        <w:t xml:space="preserve"> </w:t>
      </w:r>
      <w:r>
        <w:rPr>
          <w:bCs/>
          <w:b/>
        </w:rPr>
        <w:t xml:space="preserve">Notices:</w:t>
      </w:r>
      <w:r>
        <w:t xml:space="preserve"> </w:t>
      </w:r>
      <w:r>
        <w:t xml:space="preserve">at least</w:t>
      </w:r>
      <w:r>
        <w:t xml:space="preserve"> </w:t>
      </w:r>
      <w:r>
        <w:rPr>
          <w:bCs/>
          <w:b/>
        </w:rPr>
        <w:t xml:space="preserve">3 advance intimations and at least 3 post-due reminders, each set including at least one letter, logged per customer. Required by 1 Jan 2026</w:t>
      </w:r>
      <w:r>
        <w:t xml:space="preserve"> </w:t>
      </w:r>
      <w:r>
        <w:t xml:space="preserve">(para 42(7)).</w:t>
      </w:r>
      <w:r>
        <w:t xml:space="preserve"> </w:t>
      </w:r>
      <w:r>
        <w:t xml:space="preserve">-</w:t>
      </w:r>
      <w:r>
        <w:t xml:space="preserve"> </w:t>
      </w:r>
      <w:r>
        <w:rPr>
          <w:bCs/>
          <w:b/>
        </w:rPr>
        <w:t xml:space="preserve">No PAN or Form 60 by the notified date</w:t>
      </w:r>
      <w:r>
        <w:t xml:space="preserve"> </w:t>
      </w:r>
      <w:r>
        <w:t xml:space="preserve">(para 43):</w:t>
      </w:r>
      <w:r>
        <w:t xml:space="preserve"> </w:t>
      </w:r>
      <w:r>
        <w:t xml:space="preserve">- notice and a hearing first;</w:t>
      </w:r>
      <w:r>
        <w:t xml:space="preserve"> </w:t>
      </w:r>
      <w:r>
        <w:t xml:space="preserve">- then temporary cessation, under which</w:t>
      </w:r>
      <w:r>
        <w:t xml:space="preserve"> </w:t>
      </w:r>
      <w:r>
        <w:rPr>
          <w:bCs/>
          <w:b/>
        </w:rPr>
        <w:t xml:space="preserve">loan accounts accept credits only</w:t>
      </w:r>
      <w:r>
        <w:t xml:space="preserve">;</w:t>
      </w:r>
      <w:r>
        <w:t xml:space="preserve"> </w:t>
      </w:r>
      <w:r>
        <w:t xml:space="preserve">- relaxation for infirmity, with enhanced monitoring;</w:t>
      </w:r>
      <w:r>
        <w:t xml:space="preserve"> </w:t>
      </w:r>
      <w:r>
        <w:t xml:space="preserve">- a customer’s written refusal leads to closure.</w:t>
      </w:r>
    </w:p>
    <w:p>
      <w:pPr>
        <w:pStyle w:val="BodyText"/>
      </w:pPr>
      <w:r>
        <w:rPr>
          <w:bCs/>
          <w:b/>
        </w:rPr>
        <w:t xml:space="preserve">EDD and PEPs (paras 44–46, 59):</w:t>
      </w:r>
      <w:r>
        <w:t xml:space="preserve"> </w:t>
      </w:r>
      <w:r>
        <w:t xml:space="preserve">-</w:t>
      </w:r>
      <w:r>
        <w:t xml:space="preserve"> </w:t>
      </w:r>
      <w:r>
        <w:rPr>
          <w:bCs/>
          <w:b/>
        </w:rPr>
        <w:t xml:space="preserve">Non-face-to-face onboarding</w:t>
      </w:r>
      <w:r>
        <w:t xml:space="preserve"> </w:t>
      </w:r>
      <w:r>
        <w:t xml:space="preserve">(CKYCR, DigiLocker or e-documents; other than para 25) (para 44):</w:t>
      </w:r>
      <w:r>
        <w:t xml:space="preserve"> </w:t>
      </w:r>
      <w:r>
        <w:t xml:space="preserve">-</w:t>
      </w:r>
      <w:r>
        <w:t xml:space="preserve"> </w:t>
      </w:r>
      <w:r>
        <w:rPr>
          <w:bCs/>
          <w:b/>
        </w:rPr>
        <w:t xml:space="preserve">offer V-CIP first</w:t>
      </w:r>
      <w:r>
        <w:t xml:space="preserve">;</w:t>
      </w:r>
      <w:r>
        <w:t xml:space="preserve"> </w:t>
      </w:r>
      <w:r>
        <w:t xml:space="preserve">- no alternate mobile number;</w:t>
      </w:r>
      <w:r>
        <w:t xml:space="preserve"> </w:t>
      </w:r>
      <w:r>
        <w:t xml:space="preserve">-</w:t>
      </w:r>
      <w:r>
        <w:t xml:space="preserve"> </w:t>
      </w:r>
      <w:r>
        <w:rPr>
          <w:bCs/>
          <w:b/>
        </w:rPr>
        <w:t xml:space="preserve">positive address confirmation before the account operates</w:t>
      </w:r>
      <w:r>
        <w:t xml:space="preserve">;</w:t>
      </w:r>
      <w:r>
        <w:t xml:space="preserve"> </w:t>
      </w:r>
      <w:r>
        <w:t xml:space="preserve">- PAN verified;</w:t>
      </w:r>
      <w:r>
        <w:t xml:space="preserve"> </w:t>
      </w:r>
      <w:r>
        <w:t xml:space="preserve">-</w:t>
      </w:r>
      <w:r>
        <w:t xml:space="preserve"> </w:t>
      </w:r>
      <w:r>
        <w:rPr>
          <w:bCs/>
          <w:b/>
        </w:rPr>
        <w:t xml:space="preserve">the first transaction is a credit from the customer’s own KYC-compliant bank account</w:t>
      </w:r>
      <w:r>
        <w:t xml:space="preserve">;</w:t>
      </w:r>
      <w:r>
        <w:t xml:space="preserve"> </w:t>
      </w:r>
      <w:r>
        <w:t xml:space="preserve">-</w:t>
      </w:r>
      <w:r>
        <w:t xml:space="preserve"> </w:t>
      </w:r>
      <w:r>
        <w:rPr>
          <w:bCs/>
          <w:b/>
        </w:rPr>
        <w:t xml:space="preserve">the customer is high-risk until verified face to face or by V-CIP</w:t>
      </w:r>
      <w:r>
        <w:t xml:space="preserve">.</w:t>
      </w:r>
      <w:r>
        <w:t xml:space="preserve"> </w:t>
      </w:r>
      <w:r>
        <w:t xml:space="preserve">-</w:t>
      </w:r>
      <w:r>
        <w:t xml:space="preserve"> </w:t>
      </w:r>
      <w:r>
        <w:rPr>
          <w:bCs/>
          <w:b/>
        </w:rPr>
        <w:t xml:space="preserve">PEPs</w:t>
      </w:r>
      <w:r>
        <w:t xml:space="preserve"> </w:t>
      </w:r>
      <w:r>
        <w:t xml:space="preserve">(para 45):</w:t>
      </w:r>
      <w:r>
        <w:t xml:space="preserve"> </w:t>
      </w:r>
      <w:r>
        <w:t xml:space="preserve">- The definition covers foreign prominent public functions only, and extends to family and close associates.</w:t>
      </w:r>
      <w:r>
        <w:t xml:space="preserve"> </w:t>
      </w:r>
      <w:r>
        <w:t xml:space="preserve">- A detection system, and the source of funds or wealth.</w:t>
      </w:r>
      <w:r>
        <w:t xml:space="preserve"> </w:t>
      </w:r>
      <w:r>
        <w:t xml:space="preserve">-</w:t>
      </w:r>
      <w:r>
        <w:t xml:space="preserve"> </w:t>
      </w:r>
      <w:r>
        <w:rPr>
          <w:bCs/>
          <w:b/>
        </w:rPr>
        <w:t xml:space="preserve">Senior-management approval to open, and again to continue when an existing customer or BO becomes a PEP.</w:t>
      </w:r>
      <w:r>
        <w:t xml:space="preserve"> </w:t>
      </w:r>
      <w:r>
        <w:t xml:space="preserve">- Enhanced monitoring.</w:t>
      </w:r>
      <w:r>
        <w:t xml:space="preserve"> </w:t>
      </w:r>
      <w:r>
        <w:t xml:space="preserve">-</w:t>
      </w:r>
      <w:r>
        <w:t xml:space="preserve"> </w:t>
      </w:r>
      <w:r>
        <w:rPr>
          <w:bCs/>
          <w:b/>
        </w:rPr>
        <w:t xml:space="preserve">FATF-listed jurisdictions:</w:t>
      </w:r>
      <w:r>
        <w:t xml:space="preserve"> </w:t>
      </w:r>
      <w:r>
        <w:t xml:space="preserve">EDD, with</w:t>
      </w:r>
      <w:r>
        <w:t xml:space="preserve"> </w:t>
      </w:r>
      <w:r>
        <w:rPr>
          <w:bCs/>
          <w:b/>
        </w:rPr>
        <w:t xml:space="preserve">written findings kept</w:t>
      </w:r>
      <w:r>
        <w:t xml:space="preserve"> </w:t>
      </w:r>
      <w:r>
        <w:t xml:space="preserve">(para 59).</w:t>
      </w:r>
    </w:p>
    <w:p>
      <w:pPr>
        <w:pStyle w:val="BodyText"/>
      </w:pPr>
      <w:r>
        <w:rPr>
          <w:bCs/>
          <w:b/>
        </w:rPr>
        <w:t xml:space="preserve">Records (paras 47–48):</w:t>
      </w:r>
      <w:r>
        <w:t xml:space="preserve"> </w:t>
      </w:r>
      <w:r>
        <w:t xml:space="preserve">- Transaction records:</w:t>
      </w:r>
      <w:r>
        <w:t xml:space="preserve"> </w:t>
      </w:r>
      <w:r>
        <w:rPr>
          <w:bCs/>
          <w:b/>
        </w:rPr>
        <w:t xml:space="preserve">at least 5 years from the transaction date</w:t>
      </w:r>
      <w:r>
        <w:t xml:space="preserve">.</w:t>
      </w:r>
      <w:r>
        <w:t xml:space="preserve"> </w:t>
      </w:r>
      <w:r>
        <w:t xml:space="preserve">- Identification records, including files, correspondence and analysis results:</w:t>
      </w:r>
      <w:r>
        <w:t xml:space="preserve"> </w:t>
      </w:r>
      <w:r>
        <w:rPr>
          <w:bCs/>
          <w:b/>
        </w:rPr>
        <w:t xml:space="preserve">at least 5 years after the relationship ends</w:t>
      </w:r>
      <w:r>
        <w:t xml:space="preserve">.</w:t>
      </w:r>
      <w:r>
        <w:t xml:space="preserve"> </w:t>
      </w:r>
      <w:r>
        <w:t xml:space="preserve">- Each transaction can be reconstructed (nature, amount, currency, date, parties), and records are retrievable quickly (para 47).</w:t>
      </w:r>
      <w:r>
        <w:t xml:space="preserve"> </w:t>
      </w:r>
      <w:r>
        <w:t xml:space="preserve">-</w:t>
      </w:r>
      <w:r>
        <w:t xml:space="preserve"> </w:t>
      </w:r>
      <w:r>
        <w:rPr>
          <w:bCs/>
          <w:b/>
        </w:rPr>
        <w:t xml:space="preserve">NPO customers</w:t>
      </w:r>
      <w:r>
        <w:t xml:space="preserve"> </w:t>
      </w:r>
      <w:r>
        <w:t xml:space="preserve">are registered on</w:t>
      </w:r>
      <w:r>
        <w:t xml:space="preserve"> </w:t>
      </w:r>
      <w:r>
        <w:rPr>
          <w:bCs/>
          <w:b/>
        </w:rPr>
        <w:t xml:space="preserve">NITI Aayog DARPAN</w:t>
      </w:r>
      <w:r>
        <w:t xml:space="preserve">; records kept for 5 years after the end of the relationship or the account closure, whichever is later (para 48).</w:t>
      </w:r>
    </w:p>
    <w:p>
      <w:pPr>
        <w:pStyle w:val="BodyText"/>
      </w:pPr>
      <w:r>
        <w:rPr>
          <w:bCs/>
          <w:b/>
        </w:rPr>
        <w:t xml:space="preserve">FIU-IND reporting (paras 49–53, 65):</w:t>
      </w:r>
      <w:r>
        <w:t xml:space="preserve"> </w:t>
      </w:r>
      <w:r>
        <w:t xml:space="preserve">- Reports under Rules 3 and 7 of the PML Rules, in FIU-IND formats and utilities (paras 49–50).</w:t>
      </w:r>
      <w:r>
        <w:t xml:space="preserve"> </w:t>
      </w:r>
      <w:r>
        <w:rPr>
          <w:bCs/>
          <w:b/>
        </w:rPr>
        <w:t xml:space="preserve">The Directions set no CTR or STR deadlines</w:t>
      </w:r>
      <w:r>
        <w:t xml:space="preserve"> </w:t>
      </w:r>
      <w:r>
        <w:t xml:space="preserve">[VERIFY: PML Rules r.8].</w:t>
      </w:r>
      <w:r>
        <w:t xml:space="preserve"> </w:t>
      </w:r>
      <w:r>
        <w:t xml:space="preserve">-</w:t>
      </w:r>
      <w:r>
        <w:t xml:space="preserve"> </w:t>
      </w:r>
      <w:r>
        <w:rPr>
          <w:bCs/>
          <w:b/>
        </w:rPr>
        <w:t xml:space="preserve">Each day of delay is a separate violation. An STR alone must not restrict account operations</w:t>
      </w:r>
      <w:r>
        <w:t xml:space="preserve"> </w:t>
      </w:r>
      <w:r>
        <w:t xml:space="preserve">(para 51).</w:t>
      </w:r>
      <w:r>
        <w:t xml:space="preserve"> </w:t>
      </w:r>
      <w:r>
        <w:t xml:space="preserve">- Reporting is confidential (para 52).</w:t>
      </w:r>
      <w:r>
        <w:t xml:space="preserve"> </w:t>
      </w:r>
      <w:r>
        <w:t xml:space="preserve">-</w:t>
      </w:r>
      <w:r>
        <w:t xml:space="preserve"> </w:t>
      </w:r>
      <w:r>
        <w:rPr>
          <w:bCs/>
          <w:b/>
        </w:rPr>
        <w:t xml:space="preserve">Software must raise alerts when transactions do not fit the risk category or profile</w:t>
      </w:r>
      <w:r>
        <w:t xml:space="preserve"> </w:t>
      </w:r>
      <w:r>
        <w:t xml:space="preserve">(para 53).</w:t>
      </w:r>
      <w:r>
        <w:t xml:space="preserve"> </w:t>
      </w:r>
      <w:r>
        <w:t xml:space="preserve">- An established money-mule account with no STR filed counts as non-compliance (para 65).</w:t>
      </w:r>
    </w:p>
    <w:p>
      <w:pPr>
        <w:pStyle w:val="BodyText"/>
      </w:pPr>
      <w:r>
        <w:rPr>
          <w:bCs/>
          <w:b/>
        </w:rPr>
        <w:t xml:space="preserve">Sanctions (paras 54–57; Annexes I–II):</w:t>
      </w:r>
      <w:r>
        <w:t xml:space="preserve"> </w:t>
      </w:r>
      <w:r>
        <w:t xml:space="preserve">-</w:t>
      </w:r>
      <w:r>
        <w:t xml:space="preserve"> </w:t>
      </w:r>
      <w:r>
        <w:rPr>
          <w:bCs/>
          <w:b/>
        </w:rPr>
        <w:t xml:space="preserve">Daily checks</w:t>
      </w:r>
      <w:r>
        <w:t xml:space="preserve"> </w:t>
      </w:r>
      <w:r>
        <w:t xml:space="preserve">of:</w:t>
      </w:r>
      <w:r>
        <w:t xml:space="preserve"> </w:t>
      </w:r>
      <w:r>
        <w:t xml:space="preserve">- the UNSC ISIL/Al-Qaida and Taliban lists and the 2007 Order Schedules (para 54(2));</w:t>
      </w:r>
      <w:r>
        <w:t xml:space="preserve"> </w:t>
      </w:r>
      <w:r>
        <w:t xml:space="preserve">-</w:t>
      </w:r>
      <w:r>
        <w:t xml:space="preserve"> </w:t>
      </w:r>
      <w:r>
        <w:rPr>
          <w:bCs/>
          <w:b/>
        </w:rPr>
        <w:t xml:space="preserve">the UNSCR 1718 list (DPRK)</w:t>
      </w:r>
      <w:r>
        <w:t xml:space="preserve"> </w:t>
      </w:r>
      <w:r>
        <w:t xml:space="preserve">(para 56).</w:t>
      </w:r>
      <w:r>
        <w:t xml:space="preserve"> </w:t>
      </w:r>
      <w:r>
        <w:t xml:space="preserve">- Also check UAPA Schedules 1 and 4 and other UNSCRs (para 57), and the WMD list on the FIU-India portal at onboarding and periodically (para 55(3), (6)).</w:t>
      </w:r>
      <w:r>
        <w:t xml:space="preserve"> </w:t>
      </w:r>
      <w:r>
        <w:t xml:space="preserve">-</w:t>
      </w:r>
      <w:r>
        <w:t xml:space="preserve"> </w:t>
      </w:r>
      <w:r>
        <w:rPr>
          <w:bCs/>
          <w:b/>
        </w:rPr>
        <w:t xml:space="preserve">On a UAPA match:</w:t>
      </w:r>
      <w:r>
        <w:t xml:space="preserve"> </w:t>
      </w:r>
      <w:r>
        <w:t xml:space="preserve">- report to FIU-IND and MHA (para 54(3));</w:t>
      </w:r>
      <w:r>
        <w:t xml:space="preserve"> </w:t>
      </w:r>
      <w:r>
        <w:t xml:space="preserve">- inform the UAPA central nodal officer immediately, with copies to the State nodal officer, RBI and FIU-IND;</w:t>
      </w:r>
      <w:r>
        <w:t xml:space="preserve"> </w:t>
      </w:r>
      <w:r>
        <w:t xml:space="preserve">-</w:t>
      </w:r>
      <w:r>
        <w:t xml:space="preserve"> </w:t>
      </w:r>
      <w:r>
        <w:rPr>
          <w:bCs/>
          <w:b/>
        </w:rPr>
        <w:t xml:space="preserve">block transactions if the match is beyond doubt</w:t>
      </w:r>
      <w:r>
        <w:t xml:space="preserve">;</w:t>
      </w:r>
      <w:r>
        <w:t xml:space="preserve"> </w:t>
      </w:r>
      <w:r>
        <w:t xml:space="preserve">- file an STR covering every transaction;</w:t>
      </w:r>
      <w:r>
        <w:t xml:space="preserve"> </w:t>
      </w:r>
      <w:r>
        <w:t xml:space="preserve">- implement freeze orders (Annex I 5.1).</w:t>
      </w:r>
      <w:r>
        <w:t xml:space="preserve"> </w:t>
      </w:r>
      <w:r>
        <w:t xml:space="preserve">-</w:t>
      </w:r>
      <w:r>
        <w:t xml:space="preserve"> </w:t>
      </w:r>
      <w:r>
        <w:rPr>
          <w:bCs/>
          <w:b/>
        </w:rPr>
        <w:t xml:space="preserve">On a WMD match:</w:t>
      </w:r>
      <w:r>
        <w:t xml:space="preserve"> </w:t>
      </w:r>
      <w:r>
        <w:rPr>
          <w:bCs/>
          <w:b/>
        </w:rPr>
        <w:t xml:space="preserve">do not transact</w:t>
      </w:r>
      <w:r>
        <w:t xml:space="preserve">; inform the CNO (Director, FIU-IND) immediately, with copies to the State Nodal Officer and RBI; freeze without delay on order (para 55(2)–(8)).</w:t>
      </w:r>
      <w:r>
        <w:t xml:space="preserve"> </w:t>
      </w:r>
      <w:r>
        <w:t xml:space="preserve">-</w:t>
      </w:r>
      <w:r>
        <w:t xml:space="preserve"> </w:t>
      </w:r>
      <w:r>
        <w:rPr>
          <w:bCs/>
          <w:b/>
        </w:rPr>
        <w:t xml:space="preserve">Forward unfreeze applications within 2 working days</w:t>
      </w:r>
      <w:r>
        <w:t xml:space="preserve"> </w:t>
      </w:r>
      <w:r>
        <w:t xml:space="preserve">(para 55(9); Annex I 11.2).</w:t>
      </w:r>
      <w:r>
        <w:t xml:space="preserve"> </w:t>
      </w:r>
      <w:r>
        <w:t xml:space="preserve">- Frozen accounts may receive interest and payments due under pre-listing contracts (Annex I 10.2; Annex II 6.2).</w:t>
      </w:r>
    </w:p>
    <w:p>
      <w:pPr>
        <w:pStyle w:val="BodyText"/>
      </w:pPr>
      <w:r>
        <w:rPr>
          <w:bCs/>
          <w:b/>
        </w:rPr>
        <w:t xml:space="preserve">Other (paras 61–72):</w:t>
      </w:r>
      <w:r>
        <w:t xml:space="preserve"> </w:t>
      </w:r>
      <w:r>
        <w:t xml:space="preserve">-</w:t>
      </w:r>
      <w:r>
        <w:t xml:space="preserve"> </w:t>
      </w:r>
      <w:r>
        <w:rPr>
          <w:bCs/>
          <w:b/>
        </w:rPr>
        <w:t xml:space="preserve">Secrecy:</w:t>
      </w:r>
      <w:r>
        <w:t xml:space="preserve"> </w:t>
      </w:r>
      <w:r>
        <w:t xml:space="preserve">no use of account-opening data for cross-selling without the customer’s express permission (para 61).</w:t>
      </w:r>
      <w:r>
        <w:t xml:space="preserve"> </w:t>
      </w:r>
      <w:r>
        <w:t xml:space="preserve">-</w:t>
      </w:r>
      <w:r>
        <w:t xml:space="preserve"> </w:t>
      </w:r>
      <w:r>
        <w:rPr>
          <w:bCs/>
          <w:b/>
        </w:rPr>
        <w:t xml:space="preserve">CKYCR (para 63):</w:t>
      </w:r>
      <w:r>
        <w:t xml:space="preserve"> </w:t>
      </w:r>
      <w:r>
        <w:t xml:space="preserve">-</w:t>
      </w:r>
      <w:r>
        <w:t xml:space="preserve"> </w:t>
      </w:r>
      <w:r>
        <w:rPr>
          <w:bCs/>
          <w:b/>
        </w:rPr>
        <w:t xml:space="preserve">Upload within 10 days</w:t>
      </w:r>
      <w:r>
        <w:t xml:space="preserve"> </w:t>
      </w:r>
      <w:r>
        <w:t xml:space="preserve">of the relationship starting (para 63(1)).</w:t>
      </w:r>
      <w:r>
        <w:t xml:space="preserve"> </w:t>
      </w:r>
      <w:r>
        <w:t xml:space="preserve">-</w:t>
      </w:r>
      <w:r>
        <w:t xml:space="preserve"> </w:t>
      </w:r>
      <w:r>
        <w:rPr>
          <w:bCs/>
          <w:b/>
        </w:rPr>
        <w:t xml:space="preserve">Send updated information within 7 days.</w:t>
      </w:r>
      <w:r>
        <w:t xml:space="preserve"> </w:t>
      </w:r>
      <w:r>
        <w:t xml:space="preserve">When CKYCR notifies an update, retrieve the records and update the tenant’s copy (para 63(7)).</w:t>
      </w:r>
      <w:r>
        <w:t xml:space="preserve"> </w:t>
      </w:r>
      <w:r>
        <w:t xml:space="preserve">- Give the KYC Identifier to the customer (para 63(6)).</w:t>
      </w:r>
      <w:r>
        <w:t xml:space="preserve"> </w:t>
      </w:r>
      <w:r>
        <w:t xml:space="preserve">- Use the KYC Identifier first. Ask for documents again only if they have changed, are incomplete or expired, or are needed for EDD or the risk profile (para 63(9)).</w:t>
      </w:r>
      <w:r>
        <w:t xml:space="preserve"> </w:t>
      </w:r>
      <w:r>
        <w:t xml:space="preserve">-</w:t>
      </w:r>
      <w:r>
        <w:t xml:space="preserve"> </w:t>
      </w:r>
      <w:r>
        <w:rPr>
          <w:bCs/>
          <w:b/>
        </w:rPr>
        <w:t xml:space="preserve">29 Dec 2025 Explanation:</w:t>
      </w:r>
      <w:r>
        <w:t xml:space="preserve"> </w:t>
      </w:r>
      <w:r>
        <w:t xml:space="preserve">the RE that last uploaded the record is responsible for identity and address verification.</w:t>
      </w:r>
      <w:r>
        <w:t xml:space="preserve"> </w:t>
      </w:r>
      <w:r>
        <w:rPr>
          <w:bCs/>
          <w:b/>
        </w:rPr>
        <w:t xml:space="preserve">A downloader relying on current, compliant records need not re-verify identity or address</w:t>
      </w:r>
      <w:r>
        <w:t xml:space="preserve">, but stays responsible for all other CDD.</w:t>
      </w:r>
      <w:r>
        <w:t xml:space="preserve"> </w:t>
      </w:r>
      <w:r>
        <w:t xml:space="preserve">-</w:t>
      </w:r>
      <w:r>
        <w:t xml:space="preserve"> </w:t>
      </w:r>
      <w:r>
        <w:rPr>
          <w:bCs/>
          <w:b/>
        </w:rPr>
        <w:t xml:space="preserve">FATCA/CRS:</w:t>
      </w:r>
      <w:r>
        <w:t xml:space="preserve"> </w:t>
      </w:r>
      <w:r>
        <w:t xml:space="preserve">if the NBFC is a Reporting FI under IT Rule 114F, it files Form 61B or a NIL report with the Designated Director’s DSC, and needs an IT framework, an audit and a High-Level Monitoring Committee (para 64).</w:t>
      </w:r>
      <w:r>
        <w:t xml:space="preserve"> </w:t>
      </w:r>
      <w:r>
        <w:t xml:space="preserve">-</w:t>
      </w:r>
      <w:r>
        <w:t xml:space="preserve"> </w:t>
      </w:r>
      <w:r>
        <w:rPr>
          <w:bCs/>
          <w:b/>
        </w:rPr>
        <w:t xml:space="preserve">UCIC for every individual customer</w:t>
      </w:r>
      <w:r>
        <w:t xml:space="preserve">, new and existing (paras 66–67).</w:t>
      </w:r>
      <w:r>
        <w:t xml:space="preserve"> </w:t>
      </w:r>
      <w:r>
        <w:t xml:space="preserve">-</w:t>
      </w:r>
      <w:r>
        <w:t xml:space="preserve"> </w:t>
      </w:r>
      <w:r>
        <w:rPr>
          <w:bCs/>
          <w:b/>
        </w:rPr>
        <w:t xml:space="preserve">ML/TF risk assessment before any new product or technology is launched</w:t>
      </w:r>
      <w:r>
        <w:t xml:space="preserve"> </w:t>
      </w:r>
      <w:r>
        <w:t xml:space="preserve">(para 68).</w:t>
      </w:r>
      <w:r>
        <w:t xml:space="preserve"> </w:t>
      </w:r>
      <w:r>
        <w:t xml:space="preserve">-</w:t>
      </w:r>
      <w:r>
        <w:t xml:space="preserve"> </w:t>
      </w:r>
      <w:r>
        <w:rPr>
          <w:bCs/>
          <w:b/>
        </w:rPr>
        <w:t xml:space="preserve">Wire transfers:</w:t>
      </w:r>
      <w:r>
        <w:t xml:space="preserve"> </w:t>
      </w:r>
      <w:r>
        <w:t xml:space="preserve">- Cross-border and qualifying domestic transfers carry originator and beneficiary data. Domestic transfers qualify where the originator holds an account with the ordering NBFC, or is a non-account-holder sending ₹50,000 or more.</w:t>
      </w:r>
      <w:r>
        <w:t xml:space="preserve"> </w:t>
      </w:r>
      <w:r>
        <w:t xml:space="preserve">- Requested information is supplied within 3 working days.</w:t>
      </w:r>
      <w:r>
        <w:t xml:space="preserve"> </w:t>
      </w:r>
      <w:r>
        <w:t xml:space="preserve">- A transfer that cannot comply is not executed (para 69).</w:t>
      </w:r>
      <w:r>
        <w:t xml:space="preserve"> </w:t>
      </w:r>
      <w:r>
        <w:t xml:space="preserve">-</w:t>
      </w:r>
      <w:r>
        <w:t xml:space="preserve"> </w:t>
      </w:r>
      <w:r>
        <w:rPr>
          <w:iCs/>
          <w:i/>
        </w:rPr>
        <w:t xml:space="preserve">Build:</w:t>
      </w:r>
      <w:r>
        <w:t xml:space="preserve"> </w:t>
      </w:r>
      <w:r>
        <w:t xml:space="preserve">only where the tenant is the ordering, intermediary or beneficiary institution.</w:t>
      </w:r>
      <w:r>
        <w:t xml:space="preserve"> </w:t>
      </w:r>
      <w:r>
        <w:t xml:space="preserve">-</w:t>
      </w:r>
      <w:r>
        <w:t xml:space="preserve"> </w:t>
      </w:r>
      <w:r>
        <w:rPr>
          <w:bCs/>
          <w:b/>
        </w:rPr>
        <w:t xml:space="preserve">Sales of third-party or own products of ₹50,000 or more:</w:t>
      </w:r>
      <w:r>
        <w:t xml:space="preserve"> </w:t>
      </w:r>
      <w:r>
        <w:rPr>
          <w:bCs/>
          <w:b/>
        </w:rPr>
        <w:t xml:space="preserve">paid only by account debit or cheque, with PAN verified</w:t>
      </w:r>
      <w:r>
        <w:t xml:space="preserve">, plus AML alerts (para 71).</w:t>
      </w:r>
      <w:r>
        <w:t xml:space="preserve"> </w:t>
      </w:r>
      <w:r>
        <w:t xml:space="preserve">- Know-Your-Employee screening and role-specific AML training (para 72).</w:t>
      </w:r>
    </w:p>
    <w:p>
      <w:r>
        <w:pict>
          <v:rect style="width:0;height:1.5pt" o:hralign="center" o:hrstd="t" o:hr="t"/>
        </w:pict>
      </w:r>
    </w:p>
    <w:bookmarkEnd w:id="801"/>
    <w:bookmarkStart w:id="804" w:name="Xd0e48dfa41d75366fc301fd5ffe7747ec933f63"/>
    <w:p>
      <w:pPr>
        <w:pStyle w:val="Heading2"/>
      </w:pPr>
      <w:r>
        <w:t xml:space="preserve">8A.22 TDCR — Transfer and Distribution of Credit Risk Directions (352)</w:t>
      </w:r>
    </w:p>
    <w:p>
      <w:pPr>
        <w:pStyle w:val="FirstParagraph"/>
      </w:pPr>
      <w:r>
        <w:rPr>
          <w:bCs/>
          <w:b/>
        </w:rPr>
        <w:t xml:space="preserve">Applicability (para 3).</w:t>
      </w:r>
      <w:r>
        <w:t xml:space="preserve"> </w:t>
      </w:r>
      <w:r>
        <w:t xml:space="preserve">NBFC-D, ICC, Factor, MFI, IFC, IDF-NBFC and HFCs, all layers. Not MGC, P2P, AA, CIC, SPD, NOFHC, NBFCs with neither public funds nor customer interface, or Base Layer NBFCs with customer interface but no public funds. Part A in force on issue;</w:t>
      </w:r>
      <w:r>
        <w:t xml:space="preserve"> </w:t>
      </w:r>
      <w:r>
        <w:rPr>
          <w:bCs/>
          <w:b/>
        </w:rPr>
        <w:t xml:space="preserve">Part B from 1 Jan 2026</w:t>
      </w:r>
      <w:r>
        <w:t xml:space="preserve"> </w:t>
      </w:r>
      <w:r>
        <w:t xml:space="preserve">or an earlier date set by internal policy (paras 2, 95).</w:t>
      </w:r>
    </w:p>
    <w:p>
      <w:pPr>
        <w:pStyle w:val="BodyText"/>
      </w:pPr>
      <w:r>
        <w:rPr>
          <w:bCs/>
          <w:b/>
        </w:rPr>
        <w:t xml:space="preserve">Structure:</w:t>
      </w:r>
      <w:r>
        <w:t xml:space="preserve"> </w:t>
      </w:r>
      <w:r>
        <w:t xml:space="preserve">Ch I paras 1–5; Part A Transfer of loan exposures (scope/definitions 6–12; general 13–30; loans not in default 31–52; stressed loans, ARCs, Swiss challenge, reporting 53–94); Part B Co-lending 95–127; Part C 128–131.</w:t>
      </w:r>
    </w:p>
    <w:bookmarkStart w:id="802" w:name="part-a-transfer-of-loan-exposures"/>
    <w:p>
      <w:pPr>
        <w:pStyle w:val="Heading3"/>
      </w:pPr>
      <w:r>
        <w:t xml:space="preserve">Part A — Transfer of loan exposures</w:t>
      </w:r>
    </w:p>
    <w:p>
      <w:pPr>
        <w:pStyle w:val="FirstParagraph"/>
      </w:pPr>
      <w:r>
        <w:rPr>
          <w:bCs/>
          <w:b/>
        </w:rPr>
        <w:t xml:space="preserve">Scope and parties (paras 7–12):</w:t>
      </w:r>
    </w:p>
    <w:p>
      <w:pPr>
        <w:numPr>
          <w:ilvl w:val="0"/>
          <w:numId w:val="1806"/>
        </w:numPr>
        <w:pStyle w:val="Compact"/>
      </w:pPr>
      <w:r>
        <w:t xml:space="preserve">Acquire only from a</w:t>
      </w:r>
      <w:r>
        <w:t xml:space="preserve"> </w:t>
      </w:r>
      <w:r>
        <w:t xml:space="preserve">“</w:t>
      </w:r>
      <w:r>
        <w:t xml:space="preserve">lender</w:t>
      </w:r>
      <w:r>
        <w:t xml:space="preserve">”</w:t>
      </w:r>
      <w:r>
        <w:t xml:space="preserve"> </w:t>
      </w:r>
      <w:r>
        <w:t xml:space="preserve">in para 12(4) (para 7). No transfer or acquisition outside Part A, other than securitisation (SEC), guarantees or explicitly permitted products (para 8).</w:t>
      </w:r>
    </w:p>
    <w:p>
      <w:pPr>
        <w:numPr>
          <w:ilvl w:val="0"/>
          <w:numId w:val="1806"/>
        </w:numPr>
        <w:pStyle w:val="Compact"/>
      </w:pPr>
      <w:r>
        <w:t xml:space="preserve">Covers assignment, novation and loan participation. Except for participation,</w:t>
      </w:r>
      <w:r>
        <w:t xml:space="preserve"> </w:t>
      </w:r>
      <w:r>
        <w:rPr>
          <w:bCs/>
          <w:b/>
        </w:rPr>
        <w:t xml:space="preserve">legal ownership must pass</w:t>
      </w:r>
      <w:r>
        <w:t xml:space="preserve"> </w:t>
      </w:r>
      <w:r>
        <w:t xml:space="preserve">to the extent of economic interest transferred (para 9).</w:t>
      </w:r>
    </w:p>
    <w:p>
      <w:pPr>
        <w:numPr>
          <w:ilvl w:val="0"/>
          <w:numId w:val="1806"/>
        </w:numPr>
        <w:pStyle w:val="Compact"/>
      </w:pPr>
      <w:r>
        <w:rPr>
          <w:bCs/>
          <w:b/>
        </w:rPr>
        <w:t xml:space="preserve">Lenders (para 12(4)):</w:t>
      </w:r>
      <w:r>
        <w:t xml:space="preserve"> </w:t>
      </w:r>
      <w:r>
        <w:t xml:space="preserve">SCBs, RRBs, LABs, UCBs, StCBs/CCBs, AIFIs (NABARD, NHB, EXIM, SIDBI, NaBFID), SFBs, NBFCs incl. HFCs.</w:t>
      </w:r>
      <w:r>
        <w:t xml:space="preserve"> </w:t>
      </w:r>
      <w:r>
        <w:rPr>
          <w:bCs/>
          <w:b/>
        </w:rPr>
        <w:t xml:space="preserve">RRBs, LABs and co-operative banks may only transfer stressed loans</w:t>
      </w:r>
      <w:r>
        <w:t xml:space="preserve"> </w:t>
      </w:r>
      <w:r>
        <w:t xml:space="preserve">(proviso).</w:t>
      </w:r>
    </w:p>
    <w:p>
      <w:pPr>
        <w:numPr>
          <w:ilvl w:val="0"/>
          <w:numId w:val="1806"/>
        </w:numPr>
        <w:pStyle w:val="Compact"/>
      </w:pPr>
      <w:r>
        <w:rPr>
          <w:bCs/>
          <w:b/>
        </w:rPr>
        <w:t xml:space="preserve">Permitted transferees:</w:t>
      </w:r>
      <w:r>
        <w:t xml:space="preserve"> </w:t>
      </w:r>
      <w:r>
        <w:t xml:space="preserve">SCBs, AIFIs, SFBs, NBFCs incl. HFCs (para 12(8)).</w:t>
      </w:r>
    </w:p>
    <w:p>
      <w:pPr>
        <w:numPr>
          <w:ilvl w:val="0"/>
          <w:numId w:val="1806"/>
        </w:numPr>
        <w:pStyle w:val="Compact"/>
      </w:pPr>
      <w:r>
        <w:t xml:space="preserve">Transferee must not be IBC s.29A-disqualified. For fraud borrowers, it must not be in the promoter group or its related parties.</w:t>
      </w:r>
      <w:r>
        <w:t xml:space="preserve"> </w:t>
      </w:r>
      <w:r>
        <w:rPr>
          <w:bCs/>
          <w:b/>
        </w:rPr>
        <w:t xml:space="preserve">The transferor verifies this</w:t>
      </w:r>
      <w:r>
        <w:t xml:space="preserve"> </w:t>
      </w:r>
      <w:r>
        <w:t xml:space="preserve">(para 12(14), Expl. III).</w:t>
      </w:r>
    </w:p>
    <w:p>
      <w:pPr>
        <w:numPr>
          <w:ilvl w:val="0"/>
          <w:numId w:val="1806"/>
        </w:numPr>
        <w:pStyle w:val="Compact"/>
      </w:pPr>
      <w:r>
        <w:rPr>
          <w:bCs/>
          <w:b/>
        </w:rPr>
        <w:t xml:space="preserve">Loan participation:</w:t>
      </w:r>
      <w:r>
        <w:t xml:space="preserve"> </w:t>
      </w:r>
      <w:r>
        <w:t xml:space="preserve">the transferor stays lender of record; the transferee’s exposure is to the underlying borrower; capital and provisioning follow each party’s economic interest (para 12(5)).</w:t>
      </w:r>
    </w:p>
    <w:p>
      <w:pPr>
        <w:numPr>
          <w:ilvl w:val="0"/>
          <w:numId w:val="1806"/>
        </w:numPr>
        <w:pStyle w:val="Compact"/>
      </w:pPr>
      <w:r>
        <w:t xml:space="preserve">Stressed loan = NPA or SMA (para 12(11)). NBV = funded outstanding less specific provisions (para 12(7)). A portfolio agreement lists each loan (para 12(10)).</w:t>
      </w:r>
    </w:p>
    <w:p>
      <w:pPr>
        <w:pStyle w:val="FirstParagraph"/>
      </w:pPr>
      <w:r>
        <w:rPr>
          <w:iCs/>
          <w:i/>
        </w:rPr>
        <w:t xml:space="preserve">Build:</w:t>
      </w:r>
      <w:r>
        <w:t xml:space="preserve"> </w:t>
      </w:r>
      <w:r>
        <w:t xml:space="preserve">counterparty master with lender-type, permitted-transferee and ARC flags. s.29A and promoter-group declarations are a pre-approval gate.</w:t>
      </w:r>
    </w:p>
    <w:p>
      <w:pPr>
        <w:pStyle w:val="BodyText"/>
      </w:pPr>
      <w:r>
        <w:rPr>
          <w:bCs/>
          <w:b/>
        </w:rPr>
        <w:t xml:space="preserve">General conditions, all transfers (paras 13–30):</w:t>
      </w:r>
    </w:p>
    <w:p>
      <w:pPr>
        <w:numPr>
          <w:ilvl w:val="0"/>
          <w:numId w:val="1807"/>
        </w:numPr>
        <w:pStyle w:val="Compact"/>
      </w:pPr>
      <w:r>
        <w:t xml:space="preserve">Board policy covers due diligence, valuation, IT systems for data, risk management and Board oversight.</w:t>
      </w:r>
      <w:r>
        <w:t xml:space="preserve"> </w:t>
      </w:r>
      <w:r>
        <w:rPr>
          <w:bCs/>
          <w:b/>
        </w:rPr>
        <w:t xml:space="preserve">The transfer/acquisition unit is independent of origination</w:t>
      </w:r>
      <w:r>
        <w:t xml:space="preserve"> </w:t>
      </w:r>
      <w:r>
        <w:t xml:space="preserve">(para 13).</w:t>
      </w:r>
    </w:p>
    <w:p>
      <w:pPr>
        <w:numPr>
          <w:ilvl w:val="0"/>
          <w:numId w:val="1807"/>
        </w:numPr>
        <w:pStyle w:val="Compact"/>
      </w:pPr>
      <w:r>
        <w:t xml:space="preserve">No change to loan terms on transfer. Any change is tested against restructuring (paras 14, 23).</w:t>
      </w:r>
    </w:p>
    <w:p>
      <w:pPr>
        <w:numPr>
          <w:ilvl w:val="0"/>
          <w:numId w:val="1807"/>
        </w:numPr>
        <w:pStyle w:val="Compact"/>
      </w:pPr>
      <w:r>
        <w:rPr>
          <w:bCs/>
          <w:b/>
        </w:rPr>
        <w:t xml:space="preserve">No credit enhancement or liquidity facility by any lender</w:t>
      </w:r>
      <w:r>
        <w:t xml:space="preserve"> </w:t>
      </w:r>
      <w:r>
        <w:t xml:space="preserve">(para 16). Retained interest is never credit enhancement; the agreement sets the principal/interest split (para 18).</w:t>
      </w:r>
    </w:p>
    <w:p>
      <w:pPr>
        <w:numPr>
          <w:ilvl w:val="0"/>
          <w:numId w:val="1807"/>
        </w:numPr>
        <w:pStyle w:val="Compact"/>
      </w:pPr>
      <w:r>
        <w:rPr>
          <w:bCs/>
          <w:b/>
        </w:rPr>
        <w:t xml:space="preserve">No re-acquisition of a previously transferred loan, except under a resolution plan (RSA Directions or IBC)</w:t>
      </w:r>
      <w:r>
        <w:t xml:space="preserve"> </w:t>
      </w:r>
      <w:r>
        <w:t xml:space="preserve">(para 17). No obligation to re-acquire, substitute or fund, except for breach of reps and warranties; the transferee acknowledges this in writing (para 20).</w:t>
      </w:r>
    </w:p>
    <w:p>
      <w:pPr>
        <w:numPr>
          <w:ilvl w:val="0"/>
          <w:numId w:val="1807"/>
        </w:numPr>
        <w:pStyle w:val="Compact"/>
      </w:pPr>
      <w:r>
        <w:t xml:space="preserve">The transferee may freely on-transfer and has no recourse. Neither party needs the other’s consent to resolve or recover its own share (para 19).</w:t>
      </w:r>
    </w:p>
    <w:p>
      <w:pPr>
        <w:numPr>
          <w:ilvl w:val="0"/>
          <w:numId w:val="1807"/>
        </w:numPr>
        <w:pStyle w:val="Compact"/>
      </w:pPr>
      <w:r>
        <w:t xml:space="preserve">Obligor consents (para 22).</w:t>
      </w:r>
      <w:r>
        <w:t xml:space="preserve"> </w:t>
      </w:r>
      <w:r>
        <w:rPr>
          <w:bCs/>
          <w:b/>
        </w:rPr>
        <w:t xml:space="preserve">Notify RBI DoS of every loan replacement or damages paid for reps and warranties</w:t>
      </w:r>
      <w:r>
        <w:t xml:space="preserve"> </w:t>
      </w:r>
      <w:r>
        <w:t xml:space="preserve">(para 24). The transferee checks MHP (para 25). Outsourcing and KYC Directions apply (para 26).</w:t>
      </w:r>
    </w:p>
    <w:p>
      <w:pPr>
        <w:numPr>
          <w:ilvl w:val="0"/>
          <w:numId w:val="1807"/>
        </w:numPr>
        <w:pStyle w:val="Compact"/>
      </w:pPr>
      <w:r>
        <w:rPr>
          <w:bCs/>
          <w:b/>
        </w:rPr>
        <w:t xml:space="preserve">Non-compliant transfer:</w:t>
      </w:r>
      <w:r>
        <w:t xml:space="preserve"> </w:t>
      </w:r>
      <w:r>
        <w:t xml:space="preserve">the transferee holds capital equal to the exposure.</w:t>
      </w:r>
      <w:r>
        <w:t xml:space="preserve"> </w:t>
      </w:r>
      <w:r>
        <w:rPr>
          <w:bCs/>
          <w:b/>
        </w:rPr>
        <w:t xml:space="preserve">The transferor keeps the loan on its books in full and books the consideration as an advance</w:t>
      </w:r>
      <w:r>
        <w:t xml:space="preserve"> </w:t>
      </w:r>
      <w:r>
        <w:t xml:space="preserve">(para 27).</w:t>
      </w:r>
    </w:p>
    <w:p>
      <w:pPr>
        <w:numPr>
          <w:ilvl w:val="0"/>
          <w:numId w:val="1807"/>
        </w:numPr>
        <w:pStyle w:val="Compact"/>
      </w:pPr>
      <w:r>
        <w:t xml:space="preserve">Fraud accounts may be transferred under Board policy, subject to para 78 (para 28). Also apply FRM para 54.</w:t>
      </w:r>
    </w:p>
    <w:p>
      <w:pPr>
        <w:numPr>
          <w:ilvl w:val="0"/>
          <w:numId w:val="1807"/>
        </w:numPr>
        <w:pStyle w:val="Compact"/>
      </w:pPr>
      <w:r>
        <w:rPr>
          <w:bCs/>
          <w:b/>
        </w:rPr>
        <w:t xml:space="preserve">Transferor as servicer (para 30):</w:t>
      </w:r>
    </w:p>
    <w:p>
      <w:pPr>
        <w:numPr>
          <w:ilvl w:val="1"/>
          <w:numId w:val="1808"/>
        </w:numPr>
        <w:pStyle w:val="Compact"/>
      </w:pPr>
      <w:r>
        <w:t xml:space="preserve">written agreement, at arm’s length;</w:t>
      </w:r>
    </w:p>
    <w:p>
      <w:pPr>
        <w:numPr>
          <w:ilvl w:val="1"/>
          <w:numId w:val="1808"/>
        </w:numPr>
        <w:pStyle w:val="Compact"/>
      </w:pPr>
      <w:r>
        <w:t xml:space="preserve">no fee deferral or waiver;</w:t>
      </w:r>
    </w:p>
    <w:p>
      <w:pPr>
        <w:numPr>
          <w:ilvl w:val="1"/>
          <w:numId w:val="1808"/>
        </w:numPr>
        <w:pStyle w:val="Compact"/>
      </w:pPr>
      <w:r>
        <w:t xml:space="preserve">limited duration, and the transferee may replace the servicer;</w:t>
      </w:r>
    </w:p>
    <w:p>
      <w:pPr>
        <w:numPr>
          <w:ilvl w:val="1"/>
          <w:numId w:val="1808"/>
        </w:numPr>
        <w:pStyle w:val="Compact"/>
      </w:pPr>
      <w:r>
        <w:t xml:space="preserve">remits only after collection;</w:t>
      </w:r>
    </w:p>
    <w:p>
      <w:pPr>
        <w:numPr>
          <w:ilvl w:val="1"/>
          <w:numId w:val="1808"/>
        </w:numPr>
        <w:pStyle w:val="Compact"/>
      </w:pPr>
      <w:r>
        <w:rPr>
          <w:bCs/>
          <w:b/>
        </w:rPr>
        <w:t xml:space="preserve">holds collections in trust with no commingling</w:t>
      </w:r>
      <w:r>
        <w:t xml:space="preserve">.</w:t>
      </w:r>
    </w:p>
    <w:p>
      <w:pPr>
        <w:numPr>
          <w:ilvl w:val="1"/>
          <w:numId w:val="1808"/>
        </w:numPr>
        <w:pStyle w:val="Compact"/>
      </w:pPr>
      <w:r>
        <w:t xml:space="preserve">If any condition fails, the transferor holds capital as if the loans were on its books.</w:t>
      </w:r>
    </w:p>
    <w:p>
      <w:pPr>
        <w:pStyle w:val="FirstParagraph"/>
      </w:pPr>
      <w:r>
        <w:rPr>
          <w:bCs/>
          <w:b/>
        </w:rPr>
        <w:t xml:space="preserve">Loans not in default (Ch III, paras 31–52):</w:t>
      </w:r>
    </w:p>
    <w:p>
      <w:pPr>
        <w:numPr>
          <w:ilvl w:val="0"/>
          <w:numId w:val="1809"/>
        </w:numPr>
        <w:pStyle w:val="Compact"/>
      </w:pPr>
      <w:r>
        <w:t xml:space="preserve">Excludes whole-business-exit portfolio sales, stressed loans and RBI-exempted transactions (para 31). Ch II still applies (para 32).</w:t>
      </w:r>
    </w:p>
    <w:p>
      <w:pPr>
        <w:numPr>
          <w:ilvl w:val="0"/>
          <w:numId w:val="1809"/>
        </w:numPr>
        <w:pStyle w:val="Compact"/>
      </w:pPr>
      <w:r>
        <w:rPr>
          <w:bCs/>
          <w:b/>
        </w:rPr>
        <w:t xml:space="preserve">No loan in default may be transferred</w:t>
      </w:r>
      <w:r>
        <w:t xml:space="preserve">, and the gap between the due-diligence cut-off and transfer must be minimal (para 33). Default = any due amount unpaid (para 12(2)).</w:t>
      </w:r>
    </w:p>
    <w:p>
      <w:pPr>
        <w:numPr>
          <w:ilvl w:val="0"/>
          <w:numId w:val="1809"/>
        </w:numPr>
        <w:pStyle w:val="Compact"/>
      </w:pPr>
      <w:r>
        <w:t xml:space="preserve">Single loan, part of a loan, or portfolio, by assignment, novation or participation (para 34). A change of lender of record needs a borrower-consent clause (para 35).</w:t>
      </w:r>
    </w:p>
    <w:p>
      <w:pPr>
        <w:numPr>
          <w:ilvl w:val="0"/>
          <w:numId w:val="1809"/>
        </w:numPr>
        <w:pStyle w:val="Compact"/>
      </w:pPr>
      <w:r>
        <w:t xml:space="preserve">Retained interest is documented, with a legal opinion on the para 36 points (para 36). Same underwriting for transferred and retained loans (para 37).</w:t>
      </w:r>
    </w:p>
    <w:p>
      <w:pPr>
        <w:numPr>
          <w:ilvl w:val="0"/>
          <w:numId w:val="1809"/>
        </w:numPr>
        <w:pStyle w:val="Compact"/>
      </w:pPr>
      <w:r>
        <w:rPr>
          <w:bCs/>
          <w:b/>
        </w:rPr>
        <w:t xml:space="preserve">Cash only; consideration received no later than transfer; arm’s-length price</w:t>
      </w:r>
      <w:r>
        <w:t xml:space="preserve"> </w:t>
      </w:r>
      <w:r>
        <w:t xml:space="preserve">(para 38).</w:t>
      </w:r>
    </w:p>
    <w:p>
      <w:pPr>
        <w:numPr>
          <w:ilvl w:val="0"/>
          <w:numId w:val="1809"/>
        </w:numPr>
        <w:pStyle w:val="Compact"/>
      </w:pPr>
      <w:r>
        <w:rPr>
          <w:bCs/>
          <w:b/>
        </w:rPr>
        <w:t xml:space="preserve">Transferee due diligence</w:t>
      </w:r>
      <w:r>
        <w:t xml:space="preserve"> </w:t>
      </w:r>
      <w:r>
        <w:t xml:space="preserve">is done by its own staff, not outsourced, at loan level (para 39).</w:t>
      </w:r>
    </w:p>
    <w:p>
      <w:pPr>
        <w:numPr>
          <w:ilvl w:val="1"/>
          <w:numId w:val="1810"/>
        </w:numPr>
        <w:pStyle w:val="Compact"/>
      </w:pPr>
      <w:r>
        <w:t xml:space="preserve">If loan-level due diligence covers</w:t>
      </w:r>
      <w:r>
        <w:t xml:space="preserve"> </w:t>
      </w:r>
      <w:r>
        <w:rPr>
          <w:bCs/>
          <w:b/>
        </w:rPr>
        <w:t xml:space="preserve">≥ one-third of the portfolio by value and number</w:t>
      </w:r>
      <w:r>
        <w:t xml:space="preserve">, the rest may be portfolio-level.</w:t>
      </w:r>
      <w:r>
        <w:t xml:space="preserve"> </w:t>
      </w:r>
      <w:r>
        <w:rPr>
          <w:bCs/>
          <w:b/>
        </w:rPr>
        <w:t xml:space="preserve">The transferor then retains ≥ 10% of the entire transfer</w:t>
      </w:r>
      <w:r>
        <w:t xml:space="preserve"> </w:t>
      </w:r>
      <w:r>
        <w:t xml:space="preserve">(para 40, Expl. 1).</w:t>
      </w:r>
    </w:p>
    <w:p>
      <w:pPr>
        <w:numPr>
          <w:ilvl w:val="0"/>
          <w:numId w:val="1809"/>
        </w:numPr>
        <w:pStyle w:val="Compact"/>
      </w:pPr>
      <w:r>
        <w:t xml:space="preserve">Ongoing monitoring, stress tests, certified servicer data and audit rights (paras 41–42).</w:t>
      </w:r>
    </w:p>
    <w:p>
      <w:pPr>
        <w:numPr>
          <w:ilvl w:val="0"/>
          <w:numId w:val="1809"/>
        </w:numPr>
        <w:pStyle w:val="Compact"/>
      </w:pPr>
      <w:r>
        <w:rPr>
          <w:bCs/>
          <w:b/>
        </w:rPr>
        <w:t xml:space="preserve">MHP (para 43)</w:t>
      </w:r>
      <w:r>
        <w:t xml:space="preserve">, counted from CERSAI registration:</w:t>
      </w:r>
    </w:p>
    <w:p>
      <w:pPr>
        <w:numPr>
          <w:ilvl w:val="1"/>
          <w:numId w:val="1811"/>
        </w:numPr>
        <w:pStyle w:val="Compact"/>
      </w:pPr>
      <w:r>
        <w:rPr>
          <w:bCs/>
          <w:b/>
        </w:rPr>
        <w:t xml:space="preserve">3 months</w:t>
      </w:r>
      <w:r>
        <w:t xml:space="preserve"> </w:t>
      </w:r>
      <w:r>
        <w:t xml:space="preserve">for tenor ≤ 2 years;</w:t>
      </w:r>
      <w:r>
        <w:t xml:space="preserve"> </w:t>
      </w:r>
      <w:r>
        <w:rPr>
          <w:bCs/>
          <w:b/>
        </w:rPr>
        <w:t xml:space="preserve">6 months</w:t>
      </w:r>
      <w:r>
        <w:t xml:space="preserve"> </w:t>
      </w:r>
      <w:r>
        <w:t xml:space="preserve">for tenor &gt; 2 years;</w:t>
      </w:r>
    </w:p>
    <w:p>
      <w:pPr>
        <w:numPr>
          <w:ilvl w:val="1"/>
          <w:numId w:val="1811"/>
        </w:numPr>
        <w:pStyle w:val="Compact"/>
      </w:pPr>
      <w:r>
        <w:t xml:space="preserve">unsecured or not CERSAI-registrable: from</w:t>
      </w:r>
      <w:r>
        <w:t xml:space="preserve"> </w:t>
      </w:r>
      <w:r>
        <w:rPr>
          <w:bCs/>
          <w:b/>
        </w:rPr>
        <w:t xml:space="preserve">first repayment</w:t>
      </w:r>
      <w:r>
        <w:t xml:space="preserve">;</w:t>
      </w:r>
    </w:p>
    <w:p>
      <w:pPr>
        <w:numPr>
          <w:ilvl w:val="1"/>
          <w:numId w:val="1811"/>
        </w:numPr>
        <w:pStyle w:val="Compact"/>
      </w:pPr>
      <w:r>
        <w:t xml:space="preserve">project loans: from</w:t>
      </w:r>
      <w:r>
        <w:t xml:space="preserve"> </w:t>
      </w:r>
      <w:r>
        <w:rPr>
          <w:bCs/>
          <w:b/>
        </w:rPr>
        <w:t xml:space="preserve">COD</w:t>
      </w:r>
      <w:r>
        <w:t xml:space="preserve">;</w:t>
      </w:r>
    </w:p>
    <w:p>
      <w:pPr>
        <w:numPr>
          <w:ilvl w:val="1"/>
          <w:numId w:val="1811"/>
        </w:numPr>
        <w:pStyle w:val="Compact"/>
      </w:pPr>
      <w:r>
        <w:t xml:space="preserve">loans the transferor itself acquired:</w:t>
      </w:r>
      <w:r>
        <w:t xml:space="preserve"> </w:t>
      </w:r>
      <w:r>
        <w:rPr>
          <w:bCs/>
          <w:b/>
        </w:rPr>
        <w:t xml:space="preserve">6 months from booking</w:t>
      </w:r>
      <w:r>
        <w:t xml:space="preserve">;</w:t>
      </w:r>
    </w:p>
    <w:p>
      <w:pPr>
        <w:numPr>
          <w:ilvl w:val="1"/>
          <w:numId w:val="1811"/>
        </w:numPr>
        <w:pStyle w:val="Compact"/>
      </w:pPr>
      <w:r>
        <w:t xml:space="preserve">factoring receivables are exempt if residual maturity is</w:t>
      </w:r>
      <w:r>
        <w:t xml:space="preserve"> </w:t>
      </w:r>
      <w:r>
        <w:rPr>
          <w:bCs/>
          <w:b/>
        </w:rPr>
        <w:t xml:space="preserve">≤ 90 days</w:t>
      </w:r>
      <w:r>
        <w:t xml:space="preserve"> </w:t>
      </w:r>
      <w:r>
        <w:t xml:space="preserve">and the drawee is appraised.</w:t>
      </w:r>
    </w:p>
    <w:p>
      <w:pPr>
        <w:numPr>
          <w:ilvl w:val="1"/>
          <w:numId w:val="1811"/>
        </w:numPr>
        <w:pStyle w:val="Compact"/>
      </w:pPr>
      <w:r>
        <w:t xml:space="preserve">Not applicable to an arranger’s syndication sell-down (para 44).</w:t>
      </w:r>
    </w:p>
    <w:p>
      <w:pPr>
        <w:numPr>
          <w:ilvl w:val="0"/>
          <w:numId w:val="1809"/>
        </w:numPr>
        <w:pStyle w:val="Compact"/>
      </w:pPr>
      <w:r>
        <w:rPr>
          <w:bCs/>
          <w:b/>
        </w:rPr>
        <w:t xml:space="preserve">Accounting and capital:</w:t>
      </w:r>
    </w:p>
    <w:p>
      <w:pPr>
        <w:numPr>
          <w:ilvl w:val="1"/>
          <w:numId w:val="1812"/>
        </w:numPr>
        <w:pStyle w:val="Compact"/>
      </w:pPr>
      <w:r>
        <w:t xml:space="preserve">realised profit or loss goes to P&amp;L;</w:t>
      </w:r>
      <w:r>
        <w:t xml:space="preserve"> </w:t>
      </w:r>
      <w:r>
        <w:rPr>
          <w:bCs/>
          <w:b/>
        </w:rPr>
        <w:t xml:space="preserve">unrealised profit is deducted from CET1/NOF until maturity</w:t>
      </w:r>
      <w:r>
        <w:t xml:space="preserve"> </w:t>
      </w:r>
      <w:r>
        <w:t xml:space="preserve">(para 45);</w:t>
      </w:r>
    </w:p>
    <w:p>
      <w:pPr>
        <w:numPr>
          <w:ilvl w:val="1"/>
          <w:numId w:val="1812"/>
        </w:numPr>
        <w:pStyle w:val="Compact"/>
      </w:pPr>
      <w:r>
        <w:t xml:space="preserve">borrower-wise accounts; IRACP and exposure norms per obligor (paras 46, 49–50);</w:t>
      </w:r>
    </w:p>
    <w:p>
      <w:pPr>
        <w:numPr>
          <w:ilvl w:val="1"/>
          <w:numId w:val="1812"/>
        </w:numPr>
        <w:pStyle w:val="Compact"/>
      </w:pPr>
      <w:r>
        <w:t xml:space="preserve">capital as for originated loans (para 47);</w:t>
      </w:r>
    </w:p>
    <w:p>
      <w:pPr>
        <w:numPr>
          <w:ilvl w:val="1"/>
          <w:numId w:val="1812"/>
        </w:numPr>
        <w:pStyle w:val="Compact"/>
      </w:pPr>
      <w:r>
        <w:t xml:space="preserve">any external rating comes only after own due diligence (para 48);</w:t>
      </w:r>
    </w:p>
    <w:p>
      <w:pPr>
        <w:numPr>
          <w:ilvl w:val="1"/>
          <w:numId w:val="1812"/>
        </w:numPr>
        <w:pStyle w:val="Compact"/>
      </w:pPr>
      <w:r>
        <w:t xml:space="preserve">acquired loans carried at cost; premium over outstanding principal amortised by SLM or EIR, and not deducted from capital (para 51).</w:t>
      </w:r>
    </w:p>
    <w:p>
      <w:pPr>
        <w:numPr>
          <w:ilvl w:val="0"/>
          <w:numId w:val="1809"/>
        </w:numPr>
        <w:pStyle w:val="Compact"/>
      </w:pPr>
      <w:r>
        <w:rPr>
          <w:bCs/>
          <w:b/>
        </w:rPr>
        <w:t xml:space="preserve">Reps and warranties (para 52):</w:t>
      </w:r>
    </w:p>
    <w:p>
      <w:pPr>
        <w:numPr>
          <w:ilvl w:val="1"/>
          <w:numId w:val="1813"/>
        </w:numPr>
        <w:pStyle w:val="Compact"/>
      </w:pPr>
      <w:r>
        <w:t xml:space="preserve">written, about existing verifiable facts, not open-ended;</w:t>
      </w:r>
    </w:p>
    <w:p>
      <w:pPr>
        <w:numPr>
          <w:ilvl w:val="1"/>
          <w:numId w:val="1813"/>
        </w:numPr>
        <w:pStyle w:val="Compact"/>
      </w:pPr>
      <w:r>
        <w:rPr>
          <w:bCs/>
          <w:b/>
        </w:rPr>
        <w:t xml:space="preserve">replacement within 30 days</w:t>
      </w:r>
      <w:r>
        <w:t xml:space="preserve"> </w:t>
      </w:r>
      <w:r>
        <w:t xml:space="preserve">on the original terms, reclassified as if never transferred;</w:t>
      </w:r>
    </w:p>
    <w:p>
      <w:pPr>
        <w:numPr>
          <w:ilvl w:val="1"/>
          <w:numId w:val="1813"/>
        </w:numPr>
        <w:pStyle w:val="Compact"/>
      </w:pPr>
      <w:r>
        <w:t xml:space="preserve">damages only with the onus on the claimant, a written Notice of Claim, and direct losses only.</w:t>
      </w:r>
    </w:p>
    <w:p>
      <w:pPr>
        <w:pStyle w:val="FirstParagraph"/>
      </w:pPr>
      <w:r>
        <w:rPr>
          <w:bCs/>
          <w:b/>
        </w:rPr>
        <w:t xml:space="preserve">Stressed loans (Ch IV, paras 53–77):</w:t>
      </w:r>
    </w:p>
    <w:p>
      <w:pPr>
        <w:numPr>
          <w:ilvl w:val="0"/>
          <w:numId w:val="1814"/>
        </w:numPr>
        <w:pStyle w:val="Compact"/>
      </w:pPr>
      <w:r>
        <w:rPr>
          <w:bCs/>
          <w:b/>
        </w:rPr>
        <w:t xml:space="preserve">Assignment or novation only; no participation</w:t>
      </w:r>
      <w:r>
        <w:t xml:space="preserve"> </w:t>
      </w:r>
      <w:r>
        <w:t xml:space="preserve">(para 54).</w:t>
      </w:r>
    </w:p>
    <w:p>
      <w:pPr>
        <w:numPr>
          <w:ilvl w:val="0"/>
          <w:numId w:val="1814"/>
        </w:numPr>
        <w:pStyle w:val="Compact"/>
      </w:pPr>
      <w:r>
        <w:t xml:space="preserve">Board policy covers norms, valuation, delegation, objectives and risk premium (para 55). Identification is top-down.</w:t>
      </w:r>
      <w:r>
        <w:t xml:space="preserve"> </w:t>
      </w:r>
      <w:r>
        <w:rPr>
          <w:bCs/>
          <w:b/>
        </w:rPr>
        <w:t xml:space="preserve">The Board or a committee periodically reviews NPAs above a threshold, with documented rationale</w:t>
      </w:r>
      <w:r>
        <w:t xml:space="preserve"> </w:t>
      </w:r>
      <w:r>
        <w:t xml:space="preserve">(para 56).</w:t>
      </w:r>
    </w:p>
    <w:p>
      <w:pPr>
        <w:numPr>
          <w:ilvl w:val="0"/>
          <w:numId w:val="1814"/>
        </w:numPr>
        <w:pStyle w:val="Compact"/>
      </w:pPr>
      <w:r>
        <w:rPr>
          <w:bCs/>
          <w:b/>
        </w:rPr>
        <w:t xml:space="preserve">Valuation (para 57):</w:t>
      </w:r>
      <w:r>
        <w:t xml:space="preserve"> </w:t>
      </w:r>
      <w:r>
        <w:t xml:space="preserve">discount rate floor = contracted rate.</w:t>
      </w:r>
      <w:r>
        <w:t xml:space="preserve"> </w:t>
      </w:r>
      <w:r>
        <w:rPr>
          <w:bCs/>
          <w:b/>
        </w:rPr>
        <w:t xml:space="preserve">Two external valuations where the exposure (gross of provisions) is ≥ ₹100 crore.</w:t>
      </w:r>
      <w:r>
        <w:t xml:space="preserve"> </w:t>
      </w:r>
      <w:r>
        <w:t xml:space="preserve">The transferor bears the cost.</w:t>
      </w:r>
    </w:p>
    <w:p>
      <w:pPr>
        <w:numPr>
          <w:ilvl w:val="0"/>
          <w:numId w:val="1814"/>
        </w:numPr>
        <w:pStyle w:val="Compact"/>
      </w:pPr>
      <w:r>
        <w:t xml:space="preserve">Sales go only to permitted transferees and ARCs (para 58). E-auctions are permitted (para 59).</w:t>
      </w:r>
    </w:p>
    <w:p>
      <w:pPr>
        <w:numPr>
          <w:ilvl w:val="0"/>
          <w:numId w:val="1814"/>
        </w:numPr>
        <w:pStyle w:val="Compact"/>
      </w:pPr>
      <w:r>
        <w:rPr>
          <w:bCs/>
          <w:b/>
        </w:rPr>
        <w:t xml:space="preserve">Swiss challenge is mandatory after bilateral negotiation</w:t>
      </w:r>
      <w:r>
        <w:t xml:space="preserve"> </w:t>
      </w:r>
      <w:r>
        <w:t xml:space="preserve">where aggregate lender exposure to the borrower (incl. investments) is</w:t>
      </w:r>
      <w:r>
        <w:t xml:space="preserve"> </w:t>
      </w:r>
      <w:r>
        <w:rPr>
          <w:bCs/>
          <w:b/>
        </w:rPr>
        <w:t xml:space="preserve">≥ ₹100 crore</w:t>
      </w:r>
      <w:r>
        <w:t xml:space="preserve">. It is also mandatory for any ICA-approved exit (</w:t>
      </w:r>
      <w:r>
        <w:rPr>
          <w:bCs/>
          <w:b/>
        </w:rPr>
        <w:t xml:space="preserve">75% by value, 60% by number</w:t>
      </w:r>
      <w:r>
        <w:t xml:space="preserve">), regardless of size (para 60).</w:t>
      </w:r>
    </w:p>
    <w:p>
      <w:pPr>
        <w:numPr>
          <w:ilvl w:val="0"/>
          <w:numId w:val="1814"/>
        </w:numPr>
        <w:pStyle w:val="Compact"/>
      </w:pPr>
      <w:r>
        <w:t xml:space="preserve">The transferor keeps no residual risk.</w:t>
      </w:r>
      <w:r>
        <w:t xml:space="preserve"> </w:t>
      </w:r>
      <w:r>
        <w:rPr>
          <w:bCs/>
          <w:b/>
        </w:rPr>
        <w:t xml:space="preserve">Cooling period ≥ 12 months before fresh exposure to the borrower</w:t>
      </w:r>
      <w:r>
        <w:t xml:space="preserve"> </w:t>
      </w:r>
      <w:r>
        <w:t xml:space="preserve">(para 61).</w:t>
      </w:r>
    </w:p>
    <w:p>
      <w:pPr>
        <w:numPr>
          <w:ilvl w:val="0"/>
          <w:numId w:val="1814"/>
        </w:numPr>
        <w:pStyle w:val="Compact"/>
      </w:pPr>
      <w:r>
        <w:rPr>
          <w:bCs/>
          <w:b/>
        </w:rPr>
        <w:t xml:space="preserve">Resolution-plan exit of all lenders</w:t>
      </w:r>
      <w:r>
        <w:t xml:space="preserve"> </w:t>
      </w:r>
      <w:r>
        <w:t xml:space="preserve">(para 62) widens the transferee classes, incl. Companies Act companies. For a transferee that is neither an ARC nor a permitted transferee (para 62(3)):</w:t>
      </w:r>
    </w:p>
    <w:p>
      <w:pPr>
        <w:numPr>
          <w:ilvl w:val="1"/>
          <w:numId w:val="1815"/>
        </w:numPr>
        <w:pStyle w:val="Compact"/>
      </w:pPr>
      <w:r>
        <w:t xml:space="preserve">incorporated in India or registered with an Indian financial-sector regulator;</w:t>
      </w:r>
    </w:p>
    <w:p>
      <w:pPr>
        <w:numPr>
          <w:ilvl w:val="1"/>
          <w:numId w:val="1815"/>
        </w:numPr>
        <w:pStyle w:val="Compact"/>
      </w:pPr>
      <w:r>
        <w:t xml:space="preserve">not NPA, and not funded by lenders;</w:t>
      </w:r>
    </w:p>
    <w:p>
      <w:pPr>
        <w:numPr>
          <w:ilvl w:val="1"/>
          <w:numId w:val="1815"/>
        </w:numPr>
        <w:pStyle w:val="Compact"/>
      </w:pPr>
      <w:r>
        <w:rPr>
          <w:bCs/>
          <w:b/>
        </w:rPr>
        <w:t xml:space="preserve">3-year bar</w:t>
      </w:r>
      <w:r>
        <w:t xml:space="preserve"> </w:t>
      </w:r>
      <w:r>
        <w:t xml:space="preserve">on lender exposure to the borrower (except working capital from non-transferors), and to the transferee for the borrower’s operations.</w:t>
      </w:r>
    </w:p>
    <w:p>
      <w:pPr>
        <w:numPr>
          <w:ilvl w:val="0"/>
          <w:numId w:val="1814"/>
        </w:numPr>
        <w:pStyle w:val="Compact"/>
      </w:pPr>
      <w:r>
        <w:t xml:space="preserve">Adequate due-diligence time (para 63). The transferee signs the ICA (para 64).</w:t>
      </w:r>
      <w:r>
        <w:t xml:space="preserve"> </w:t>
      </w:r>
      <w:r>
        <w:rPr>
          <w:bCs/>
          <w:b/>
        </w:rPr>
        <w:t xml:space="preserve">No contingent price</w:t>
      </w:r>
      <w:r>
        <w:t xml:space="preserve"> </w:t>
      </w:r>
      <w:r>
        <w:t xml:space="preserve">(para 65).</w:t>
      </w:r>
    </w:p>
    <w:p>
      <w:pPr>
        <w:numPr>
          <w:ilvl w:val="0"/>
          <w:numId w:val="1814"/>
        </w:numPr>
        <w:pStyle w:val="Compact"/>
      </w:pPr>
      <w:r>
        <w:rPr>
          <w:bCs/>
          <w:b/>
        </w:rPr>
        <w:t xml:space="preserve">Cash only to non-ARCs; derecognise only on receipt of the full consideration</w:t>
      </w:r>
      <w:r>
        <w:t xml:space="preserve"> </w:t>
      </w:r>
      <w:r>
        <w:t xml:space="preserve">(para 66).</w:t>
      </w:r>
    </w:p>
    <w:p>
      <w:pPr>
        <w:numPr>
          <w:ilvl w:val="0"/>
          <w:numId w:val="1814"/>
        </w:numPr>
        <w:pStyle w:val="Compact"/>
      </w:pPr>
      <w:r>
        <w:t xml:space="preserve">An acquired pool is a single asset only for homogeneous personal loans (para 67). The transferee, if a credit institution, reports to CICs (para 68).</w:t>
      </w:r>
    </w:p>
    <w:p>
      <w:pPr>
        <w:numPr>
          <w:ilvl w:val="0"/>
          <w:numId w:val="1814"/>
        </w:numPr>
        <w:pStyle w:val="Compact"/>
      </w:pPr>
      <w:r>
        <w:rPr>
          <w:bCs/>
          <w:b/>
        </w:rPr>
        <w:t xml:space="preserve">Transferee classification:</w:t>
      </w:r>
      <w:r>
        <w:t xml:space="preserve"> </w:t>
      </w:r>
      <w:r>
        <w:t xml:space="preserve">no existing exposure →</w:t>
      </w:r>
      <w:r>
        <w:t xml:space="preserve"> </w:t>
      </w:r>
      <w:r>
        <w:t xml:space="preserve">“</w:t>
      </w:r>
      <w:r>
        <w:t xml:space="preserve">Standard</w:t>
      </w:r>
      <w:r>
        <w:t xml:space="preserve">”</w:t>
      </w:r>
      <w:r>
        <w:t xml:space="preserve">, then by recovery against the cash flows estimated at acquisition (para 69). Existing exposure → the borrower’s existing class, incl. after IBC acquisition (para 70).</w:t>
      </w:r>
    </w:p>
    <w:p>
      <w:pPr>
        <w:numPr>
          <w:ilvl w:val="0"/>
          <w:numId w:val="1814"/>
        </w:numPr>
        <w:pStyle w:val="Compact"/>
      </w:pPr>
      <w:r>
        <w:rPr>
          <w:bCs/>
          <w:b/>
        </w:rPr>
        <w:t xml:space="preserve">Provisioning (para 71):</w:t>
      </w:r>
    </w:p>
    <w:p>
      <w:pPr>
        <w:numPr>
          <w:ilvl w:val="1"/>
          <w:numId w:val="1816"/>
        </w:numPr>
        <w:pStyle w:val="Compact"/>
      </w:pPr>
      <w:r>
        <w:t xml:space="preserve">provision per asset class;</w:t>
      </w:r>
    </w:p>
    <w:p>
      <w:pPr>
        <w:numPr>
          <w:ilvl w:val="1"/>
          <w:numId w:val="1816"/>
        </w:numPr>
        <w:pStyle w:val="Compact"/>
      </w:pPr>
      <w:r>
        <w:t xml:space="preserve">plus the shortfall where the NPV of estimated cash flows is below the consideration;</w:t>
      </w:r>
    </w:p>
    <w:p>
      <w:pPr>
        <w:numPr>
          <w:ilvl w:val="1"/>
          <w:numId w:val="1816"/>
        </w:numPr>
        <w:pStyle w:val="Compact"/>
      </w:pPr>
      <w:r>
        <w:t xml:space="preserve">discount rate = contract rate + Board risk premium,</w:t>
      </w:r>
      <w:r>
        <w:t xml:space="preserve"> </w:t>
      </w:r>
      <w:r>
        <w:rPr>
          <w:bCs/>
          <w:b/>
        </w:rPr>
        <w:t xml:space="preserve">floor 3%</w:t>
      </w:r>
      <w:r>
        <w:t xml:space="preserve">;</w:t>
      </w:r>
    </w:p>
    <w:p>
      <w:pPr>
        <w:numPr>
          <w:ilvl w:val="1"/>
          <w:numId w:val="1816"/>
        </w:numPr>
        <w:pStyle w:val="Compact"/>
      </w:pPr>
      <w:r>
        <w:t xml:space="preserve">Ind AS NBFCs compute this alongside Ind AS for the prudential floor.</w:t>
      </w:r>
    </w:p>
    <w:p>
      <w:pPr>
        <w:numPr>
          <w:ilvl w:val="0"/>
          <w:numId w:val="1814"/>
        </w:numPr>
        <w:pStyle w:val="Compact"/>
      </w:pPr>
      <w:r>
        <w:rPr>
          <w:bCs/>
          <w:b/>
        </w:rPr>
        <w:t xml:space="preserve">Hold acquired stressed loans ≥ 6 months before transfer.</w:t>
      </w:r>
      <w:r>
        <w:t xml:space="preserve"> </w:t>
      </w:r>
      <w:r>
        <w:t xml:space="preserve">No acquisition of loans that another lender transferred as stressed within 6 months. ARC and ICA-resolution transfers are exempt (para 74).</w:t>
      </w:r>
    </w:p>
    <w:p>
      <w:pPr>
        <w:numPr>
          <w:ilvl w:val="0"/>
          <w:numId w:val="1814"/>
        </w:numPr>
        <w:pStyle w:val="Compact"/>
      </w:pPr>
      <w:r>
        <w:rPr>
          <w:bCs/>
          <w:b/>
        </w:rPr>
        <w:t xml:space="preserve">NPAs:</w:t>
      </w:r>
    </w:p>
    <w:p>
      <w:pPr>
        <w:numPr>
          <w:ilvl w:val="1"/>
          <w:numId w:val="1817"/>
        </w:numPr>
        <w:pStyle w:val="Compact"/>
      </w:pPr>
      <w:r>
        <w:t xml:space="preserve">staff accountability continues (para 75);</w:t>
      </w:r>
    </w:p>
    <w:p>
      <w:pPr>
        <w:numPr>
          <w:ilvl w:val="1"/>
          <w:numId w:val="1817"/>
        </w:numPr>
        <w:pStyle w:val="Compact"/>
      </w:pPr>
      <w:r>
        <w:t xml:space="preserve">collections amortise the acquisition cost first (para 76);</w:t>
      </w:r>
    </w:p>
    <w:p>
      <w:pPr>
        <w:numPr>
          <w:ilvl w:val="1"/>
          <w:numId w:val="1817"/>
        </w:numPr>
        <w:pStyle w:val="Compact"/>
      </w:pPr>
      <w:r>
        <w:rPr>
          <w:bCs/>
          <w:b/>
        </w:rPr>
        <w:t xml:space="preserve">100% risk weight while classified standard</w:t>
      </w:r>
      <w:r>
        <w:t xml:space="preserve"> </w:t>
      </w:r>
      <w:r>
        <w:t xml:space="preserve">(para 77).</w:t>
      </w:r>
    </w:p>
    <w:p>
      <w:pPr>
        <w:pStyle w:val="FirstParagraph"/>
      </w:pPr>
      <w:r>
        <w:rPr>
          <w:bCs/>
          <w:b/>
        </w:rPr>
        <w:t xml:space="preserve">ARCs (paras 78–88):</w:t>
      </w:r>
    </w:p>
    <w:p>
      <w:pPr>
        <w:numPr>
          <w:ilvl w:val="0"/>
          <w:numId w:val="1818"/>
        </w:numPr>
        <w:pStyle w:val="Compact"/>
      </w:pPr>
      <w:r>
        <w:t xml:space="preserve">Any stressed loan in default may go to an ARC. Fraud accounts qualify only if reporting, monitoring and complaint responsibilities pass to the ARC (para 78).</w:t>
      </w:r>
    </w:p>
    <w:p>
      <w:pPr>
        <w:numPr>
          <w:ilvl w:val="0"/>
          <w:numId w:val="1818"/>
        </w:numPr>
        <w:pStyle w:val="Compact"/>
      </w:pPr>
      <w:r>
        <w:t xml:space="preserve">Surplus sharing is permitted; profit is booked only when realised (para 79).</w:t>
      </w:r>
    </w:p>
    <w:p>
      <w:pPr>
        <w:numPr>
          <w:ilvl w:val="0"/>
          <w:numId w:val="1818"/>
        </w:numPr>
        <w:pStyle w:val="Compact"/>
      </w:pPr>
      <w:r>
        <w:rPr>
          <w:bCs/>
          <w:b/>
        </w:rPr>
        <w:t xml:space="preserve">Price &lt; NBV:</w:t>
      </w:r>
      <w:r>
        <w:t xml:space="preserve"> </w:t>
      </w:r>
      <w:r>
        <w:t xml:space="preserve">shortfall to P&amp;L in the year of transfer; countercyclical or floating provisions may be used (para 80).</w:t>
      </w:r>
    </w:p>
    <w:p>
      <w:pPr>
        <w:numPr>
          <w:ilvl w:val="0"/>
          <w:numId w:val="1818"/>
        </w:numPr>
        <w:pStyle w:val="Compact"/>
      </w:pPr>
      <w:r>
        <w:rPr>
          <w:bCs/>
          <w:b/>
        </w:rPr>
        <w:t xml:space="preserve">Price &gt; NBV:</w:t>
      </w:r>
      <w:r>
        <w:t xml:space="preserve"> </w:t>
      </w:r>
      <w:r>
        <w:t xml:space="preserve">reverse the excess provision only as cash received (incl. SR/PTC redemptions) exceeds NBV (para 81).</w:t>
      </w:r>
    </w:p>
    <w:p>
      <w:pPr>
        <w:numPr>
          <w:ilvl w:val="1"/>
          <w:numId w:val="1819"/>
        </w:numPr>
        <w:pStyle w:val="Compact"/>
      </w:pPr>
      <w:r>
        <w:t xml:space="preserve">Full reversal is allowed where the consideration is cash plus GoI-guaranteed SRs. The non-cash part is deducted from CET1/NOF and is not distributable (para 81(1)).</w:t>
      </w:r>
    </w:p>
    <w:p>
      <w:pPr>
        <w:numPr>
          <w:ilvl w:val="0"/>
          <w:numId w:val="1818"/>
        </w:numPr>
        <w:pStyle w:val="Compact"/>
      </w:pPr>
      <w:r>
        <w:rPr>
          <w:bCs/>
          <w:b/>
        </w:rPr>
        <w:t xml:space="preserve">SR valuation:</w:t>
      </w:r>
    </w:p>
    <w:p>
      <w:pPr>
        <w:numPr>
          <w:ilvl w:val="1"/>
          <w:numId w:val="1820"/>
        </w:numPr>
        <w:pStyle w:val="Compact"/>
      </w:pPr>
      <w:r>
        <w:t xml:space="preserve">NAV based on recovery ratings; the transferor carries its SRs at the lower of that value and NBV (para 82);</w:t>
      </w:r>
    </w:p>
    <w:p>
      <w:pPr>
        <w:numPr>
          <w:ilvl w:val="1"/>
          <w:numId w:val="1820"/>
        </w:numPr>
        <w:pStyle w:val="Compact"/>
      </w:pPr>
      <w:r>
        <w:t xml:space="preserve">if the transferor holds</w:t>
      </w:r>
      <w:r>
        <w:t xml:space="preserve"> </w:t>
      </w:r>
      <w:r>
        <w:rPr>
          <w:bCs/>
          <w:b/>
        </w:rPr>
        <w:t xml:space="preserve">&gt; 10%</w:t>
      </w:r>
      <w:r>
        <w:t xml:space="preserve"> </w:t>
      </w:r>
      <w:r>
        <w:t xml:space="preserve">of the SRs, also cap at face value less the notional provision (para 83);</w:t>
      </w:r>
    </w:p>
    <w:p>
      <w:pPr>
        <w:numPr>
          <w:ilvl w:val="1"/>
          <w:numId w:val="1820"/>
        </w:numPr>
        <w:pStyle w:val="Compact"/>
      </w:pPr>
      <w:r>
        <w:t xml:space="preserve">GoI-guaranteed SRs: valued at NAV, unrealised gains deducted,</w:t>
      </w:r>
      <w:r>
        <w:t xml:space="preserve"> </w:t>
      </w:r>
      <w:r>
        <w:rPr>
          <w:bCs/>
          <w:b/>
        </w:rPr>
        <w:t xml:space="preserve">₹1 after the guarantee ends</w:t>
      </w:r>
      <w:r>
        <w:t xml:space="preserve"> </w:t>
      </w:r>
      <w:r>
        <w:t xml:space="preserve">(para 84);</w:t>
      </w:r>
    </w:p>
    <w:p>
      <w:pPr>
        <w:numPr>
          <w:ilvl w:val="1"/>
          <w:numId w:val="1820"/>
        </w:numPr>
        <w:pStyle w:val="Compact"/>
      </w:pPr>
      <w:r>
        <w:rPr>
          <w:bCs/>
          <w:b/>
        </w:rPr>
        <w:t xml:space="preserve">SRs unredeemed at the end of the 5/8-year resolution period are loss, fully provided</w:t>
      </w:r>
      <w:r>
        <w:t xml:space="preserve"> </w:t>
      </w:r>
      <w:r>
        <w:t xml:space="preserve">(para 85);</w:t>
      </w:r>
    </w:p>
    <w:p>
      <w:pPr>
        <w:numPr>
          <w:ilvl w:val="1"/>
          <w:numId w:val="1820"/>
        </w:numPr>
        <w:pStyle w:val="Compact"/>
      </w:pPr>
      <w:r>
        <w:t xml:space="preserve">non-SLR norms apply (para 86).</w:t>
      </w:r>
    </w:p>
    <w:p>
      <w:pPr>
        <w:numPr>
          <w:ilvl w:val="0"/>
          <w:numId w:val="1818"/>
        </w:numPr>
        <w:pStyle w:val="Compact"/>
      </w:pPr>
      <w:r>
        <w:t xml:space="preserve">Standard accounts may be taken over from ARCs after the monitoring period, under Board policy.</w:t>
      </w:r>
      <w:r>
        <w:t xml:space="preserve"> </w:t>
      </w:r>
      <w:r>
        <w:rPr>
          <w:bCs/>
          <w:b/>
        </w:rPr>
        <w:t xml:space="preserve">Never re-acquire your own transferred exposures</w:t>
      </w:r>
      <w:r>
        <w:t xml:space="preserve"> </w:t>
      </w:r>
      <w:r>
        <w:t xml:space="preserve">(para 87). With an ARC as recovery agent, the loan stays on the books (para 88).</w:t>
      </w:r>
    </w:p>
    <w:p>
      <w:pPr>
        <w:pStyle w:val="FirstParagraph"/>
      </w:pPr>
      <w:r>
        <w:rPr>
          <w:bCs/>
          <w:b/>
        </w:rPr>
        <w:t xml:space="preserve">Swiss challenge (paras 89–92):</w:t>
      </w:r>
    </w:p>
    <w:p>
      <w:pPr>
        <w:numPr>
          <w:ilvl w:val="0"/>
          <w:numId w:val="1821"/>
        </w:numPr>
        <w:pStyle w:val="Compact"/>
      </w:pPr>
      <w:r>
        <w:t xml:space="preserve">Board policy.</w:t>
      </w:r>
      <w:r>
        <w:t xml:space="preserve"> </w:t>
      </w:r>
      <w:r>
        <w:rPr>
          <w:bCs/>
          <w:b/>
        </w:rPr>
        <w:t xml:space="preserve">Minimum mark-up 5%–15% of the base bid</w:t>
      </w:r>
      <w:r>
        <w:t xml:space="preserve">; for an ICA exit, set by the 75%/60% vote (paras 89–90).</w:t>
      </w:r>
    </w:p>
    <w:p>
      <w:pPr>
        <w:numPr>
          <w:ilvl w:val="0"/>
          <w:numId w:val="1821"/>
        </w:numPr>
        <w:pStyle w:val="Compact"/>
      </w:pPr>
      <w:r>
        <w:t xml:space="preserve">Maintain an authenticated list of loans for sale (para 91).</w:t>
      </w:r>
    </w:p>
    <w:p>
      <w:pPr>
        <w:numPr>
          <w:ilvl w:val="0"/>
          <w:numId w:val="1821"/>
        </w:numPr>
        <w:pStyle w:val="Compact"/>
      </w:pPr>
      <w:r>
        <w:t xml:space="preserve">Sequence: base bid → public counter-bids → challenger bid → the base bidder may match (para 92(1)–(4)).</w:t>
      </w:r>
    </w:p>
    <w:p>
      <w:pPr>
        <w:numPr>
          <w:ilvl w:val="0"/>
          <w:numId w:val="1821"/>
        </w:numPr>
        <w:pStyle w:val="Compact"/>
      </w:pPr>
      <w:r>
        <w:rPr>
          <w:bCs/>
          <w:b/>
        </w:rPr>
        <w:t xml:space="preserve">If the winning bid is declined: immediate provision at the higher of the challenger-bid discount and the IRACP provision</w:t>
      </w:r>
      <w:r>
        <w:t xml:space="preserve"> </w:t>
      </w:r>
      <w:r>
        <w:t xml:space="preserve">(para 92(5)).</w:t>
      </w:r>
    </w:p>
    <w:p>
      <w:pPr>
        <w:pStyle w:val="FirstParagraph"/>
      </w:pPr>
      <w:r>
        <w:rPr>
          <w:bCs/>
          <w:b/>
        </w:rPr>
        <w:t xml:space="preserve">Disclosure and reporting:</w:t>
      </w:r>
    </w:p>
    <w:p>
      <w:pPr>
        <w:numPr>
          <w:ilvl w:val="0"/>
          <w:numId w:val="1822"/>
        </w:numPr>
        <w:pStyle w:val="Compact"/>
      </w:pPr>
      <w:r>
        <w:t xml:space="preserve">Disclosures follow the FS Directions (para 93).</w:t>
      </w:r>
    </w:p>
    <w:p>
      <w:pPr>
        <w:numPr>
          <w:ilvl w:val="0"/>
          <w:numId w:val="1822"/>
        </w:numPr>
        <w:pStyle w:val="Compact"/>
      </w:pPr>
      <w:r>
        <w:rPr>
          <w:bCs/>
          <w:b/>
        </w:rPr>
        <w:t xml:space="preserve">Report every transfer to an RBI-notified trade reporting platform. Until the platform is notified, keep a loan-transfer database with transaction MIS</w:t>
      </w:r>
      <w:r>
        <w:t xml:space="preserve"> </w:t>
      </w:r>
      <w:r>
        <w:t xml:space="preserve">(para 94).</w:t>
      </w:r>
    </w:p>
    <w:bookmarkEnd w:id="802"/>
    <w:bookmarkStart w:id="803" w:name="part-b-co-lending-arrangements-cla"/>
    <w:p>
      <w:pPr>
        <w:pStyle w:val="Heading3"/>
      </w:pPr>
      <w:r>
        <w:t xml:space="preserve">Part B — Co-lending arrangements (CLA)</w:t>
      </w:r>
    </w:p>
    <w:p>
      <w:pPr>
        <w:pStyle w:val="FirstParagraph"/>
      </w:pPr>
      <w:r>
        <w:rPr>
          <w:bCs/>
          <w:b/>
        </w:rPr>
        <w:t xml:space="preserve">Scope (paras 95–101):</w:t>
      </w:r>
    </w:p>
    <w:p>
      <w:pPr>
        <w:numPr>
          <w:ilvl w:val="0"/>
          <w:numId w:val="1823"/>
        </w:numPr>
        <w:pStyle w:val="Compact"/>
      </w:pPr>
      <w:r>
        <w:t xml:space="preserve">Partners: SCBs (excluding SFBs, LABs, RRBs), AIFIs, NBFCs incl. HFCs (para 97).</w:t>
      </w:r>
    </w:p>
    <w:p>
      <w:pPr>
        <w:numPr>
          <w:ilvl w:val="0"/>
          <w:numId w:val="1823"/>
        </w:numPr>
        <w:pStyle w:val="Compact"/>
      </w:pPr>
      <w:r>
        <w:t xml:space="preserve">Digital co-lending must comply with both CF and Part B (para 98). Excludes multiple banking, consortium and syndication (para 99). No non-compliant CLA (para 100).</w:t>
      </w:r>
    </w:p>
    <w:p>
      <w:pPr>
        <w:numPr>
          <w:ilvl w:val="0"/>
          <w:numId w:val="1823"/>
        </w:numPr>
        <w:pStyle w:val="Compact"/>
      </w:pPr>
      <w:r>
        <w:t xml:space="preserve">CLA = ex-ante agreement to jointly fund a portfolio in a pre-agreed proportion, with revenue and risk sharing (para 101).</w:t>
      </w:r>
    </w:p>
    <w:p>
      <w:pPr>
        <w:numPr>
          <w:ilvl w:val="0"/>
          <w:numId w:val="1823"/>
        </w:numPr>
        <w:pStyle w:val="Compact"/>
      </w:pPr>
      <w:r>
        <w:t xml:space="preserve">CLAs entered into before the effective date stay under the earlier rules (paras 2, 96).</w:t>
      </w:r>
    </w:p>
    <w:p>
      <w:pPr>
        <w:pStyle w:val="FirstParagraph"/>
      </w:pPr>
      <w:r>
        <w:rPr>
          <w:bCs/>
          <w:b/>
        </w:rPr>
        <w:t xml:space="preserve">Prudential and contractual (paras 102–107):</w:t>
      </w:r>
    </w:p>
    <w:p>
      <w:pPr>
        <w:numPr>
          <w:ilvl w:val="0"/>
          <w:numId w:val="1824"/>
        </w:numPr>
        <w:pStyle w:val="Compact"/>
      </w:pPr>
      <w:r>
        <w:rPr>
          <w:bCs/>
          <w:b/>
        </w:rPr>
        <w:t xml:space="preserve">Each NBFC in a CLA retains ≥ 10% of each individual loan</w:t>
      </w:r>
      <w:r>
        <w:t xml:space="preserve"> </w:t>
      </w:r>
      <w:r>
        <w:t xml:space="preserve">(para 102).</w:t>
      </w:r>
    </w:p>
    <w:p>
      <w:pPr>
        <w:numPr>
          <w:ilvl w:val="0"/>
          <w:numId w:val="1824"/>
        </w:numPr>
        <w:pStyle w:val="Compact"/>
      </w:pPr>
      <w:r>
        <w:t xml:space="preserve">Credit policy sets the CLA portfolio limit, target segments, partner due diligence and grievance handling (para 103).</w:t>
      </w:r>
    </w:p>
    <w:p>
      <w:pPr>
        <w:numPr>
          <w:ilvl w:val="0"/>
          <w:numId w:val="1824"/>
        </w:numPr>
        <w:pStyle w:val="Compact"/>
      </w:pPr>
      <w:r>
        <w:rPr>
          <w:bCs/>
          <w:b/>
        </w:rPr>
        <w:t xml:space="preserve">The agreement covers:</w:t>
      </w:r>
    </w:p>
    <w:p>
      <w:pPr>
        <w:numPr>
          <w:ilvl w:val="1"/>
          <w:numId w:val="1825"/>
        </w:numPr>
        <w:pStyle w:val="Compact"/>
      </w:pPr>
      <w:r>
        <w:t xml:space="preserve">borrower criteria, products and areas;</w:t>
      </w:r>
    </w:p>
    <w:p>
      <w:pPr>
        <w:numPr>
          <w:ilvl w:val="1"/>
          <w:numId w:val="1825"/>
        </w:numPr>
        <w:pStyle w:val="Compact"/>
      </w:pPr>
      <w:r>
        <w:t xml:space="preserve">lending-service fees and segregation of responsibilities;</w:t>
      </w:r>
    </w:p>
    <w:p>
      <w:pPr>
        <w:numPr>
          <w:ilvl w:val="1"/>
          <w:numId w:val="1825"/>
        </w:numPr>
        <w:pStyle w:val="Compact"/>
      </w:pPr>
      <w:r>
        <w:rPr>
          <w:bCs/>
          <w:b/>
        </w:rPr>
        <w:t xml:space="preserve">time-frame for exchanging critical information</w:t>
      </w:r>
      <w:r>
        <w:t xml:space="preserve">;</w:t>
      </w:r>
    </w:p>
    <w:p>
      <w:pPr>
        <w:numPr>
          <w:ilvl w:val="1"/>
          <w:numId w:val="1825"/>
        </w:numPr>
        <w:pStyle w:val="Compact"/>
      </w:pPr>
      <w:r>
        <w:t xml:space="preserve">customer interface and grievance redressal (para 104).</w:t>
      </w:r>
    </w:p>
    <w:p>
      <w:pPr>
        <w:numPr>
          <w:ilvl w:val="0"/>
          <w:numId w:val="1824"/>
        </w:numPr>
        <w:pStyle w:val="Compact"/>
      </w:pPr>
      <w:r>
        <w:t xml:space="preserve">The loan agreement names</w:t>
      </w:r>
      <w:r>
        <w:t xml:space="preserve"> </w:t>
      </w:r>
      <w:r>
        <w:rPr>
          <w:bCs/>
          <w:b/>
        </w:rPr>
        <w:t xml:space="preserve">the single point of customer interface. Any change only after prior intimation to the borrower</w:t>
      </w:r>
      <w:r>
        <w:t xml:space="preserve"> </w:t>
      </w:r>
      <w:r>
        <w:t xml:space="preserve">(para 105). CLA details go in the</w:t>
      </w:r>
      <w:r>
        <w:t xml:space="preserve"> </w:t>
      </w:r>
      <w:r>
        <w:rPr>
          <w:bCs/>
          <w:b/>
        </w:rPr>
        <w:t xml:space="preserve">KFS</w:t>
      </w:r>
      <w:r>
        <w:t xml:space="preserve"> </w:t>
      </w:r>
      <w:r>
        <w:t xml:space="preserve">(para 106).</w:t>
      </w:r>
    </w:p>
    <w:p>
      <w:pPr>
        <w:numPr>
          <w:ilvl w:val="0"/>
          <w:numId w:val="1824"/>
        </w:numPr>
        <w:pStyle w:val="Compact"/>
      </w:pPr>
      <w:r>
        <w:t xml:space="preserve">Unrealised profit is deducted from CET1/NOF until maturity (para 107).</w:t>
      </w:r>
    </w:p>
    <w:p>
      <w:pPr>
        <w:pStyle w:val="FirstParagraph"/>
      </w:pPr>
      <w:r>
        <w:rPr>
          <w:bCs/>
          <w:b/>
        </w:rPr>
        <w:t xml:space="preserve">Pricing (paras 108–111):</w:t>
      </w:r>
    </w:p>
    <w:p>
      <w:pPr>
        <w:numPr>
          <w:ilvl w:val="0"/>
          <w:numId w:val="1826"/>
        </w:numPr>
        <w:pStyle w:val="Compact"/>
      </w:pPr>
      <w:r>
        <w:rPr>
          <w:bCs/>
          <w:b/>
        </w:rPr>
        <w:t xml:space="preserve">Blended rate = average of each RE’s rate, weighted by funding share</w:t>
      </w:r>
      <w:r>
        <w:t xml:space="preserve"> </w:t>
      </w:r>
      <w:r>
        <w:t xml:space="preserve">(para 108). Any partner rate change updates the blended rate and is communicated to the borrower (para 109).</w:t>
      </w:r>
    </w:p>
    <w:p>
      <w:pPr>
        <w:numPr>
          <w:ilvl w:val="0"/>
          <w:numId w:val="1826"/>
        </w:numPr>
        <w:pStyle w:val="Compact"/>
      </w:pPr>
      <w:r>
        <w:t xml:space="preserve">Other fees go into APR and KFS (para 110).</w:t>
      </w:r>
    </w:p>
    <w:p>
      <w:pPr>
        <w:numPr>
          <w:ilvl w:val="0"/>
          <w:numId w:val="1826"/>
        </w:numPr>
        <w:pStyle w:val="Compact"/>
      </w:pPr>
      <w:r>
        <w:t xml:space="preserve">Lending-service fees follow objective criteria, with</w:t>
      </w:r>
      <w:r>
        <w:t xml:space="preserve"> </w:t>
      </w:r>
      <w:r>
        <w:rPr>
          <w:bCs/>
          <w:b/>
        </w:rPr>
        <w:t xml:space="preserve">no credit-enhancement or DLG element</w:t>
      </w:r>
      <w:r>
        <w:t xml:space="preserve"> </w:t>
      </w:r>
      <w:r>
        <w:t xml:space="preserve">(para 111).</w:t>
      </w:r>
    </w:p>
    <w:p>
      <w:pPr>
        <w:pStyle w:val="FirstParagraph"/>
      </w:pPr>
      <w:r>
        <w:rPr>
          <w:bCs/>
          <w:b/>
        </w:rPr>
        <w:t xml:space="preserve">Operations (paras 112–121):</w:t>
      </w:r>
    </w:p>
    <w:p>
      <w:pPr>
        <w:numPr>
          <w:ilvl w:val="0"/>
          <w:numId w:val="1827"/>
        </w:numPr>
        <w:pStyle w:val="Compact"/>
      </w:pPr>
      <w:r>
        <w:rPr>
          <w:bCs/>
          <w:b/>
        </w:rPr>
        <w:t xml:space="preserve">The partner’s commitment to book its share back-to-back is irrevocable</w:t>
      </w:r>
      <w:r>
        <w:t xml:space="preserve"> </w:t>
      </w:r>
      <w:r>
        <w:t xml:space="preserve">(para 112).</w:t>
      </w:r>
    </w:p>
    <w:p>
      <w:pPr>
        <w:numPr>
          <w:ilvl w:val="0"/>
          <w:numId w:val="1827"/>
        </w:numPr>
        <w:pStyle w:val="Compact"/>
      </w:pPr>
      <w:r>
        <w:rPr>
          <w:bCs/>
          <w:b/>
        </w:rPr>
        <w:t xml:space="preserve">Both books show the shares within 15 calendar days of disbursement</w:t>
      </w:r>
      <w:r>
        <w:t xml:space="preserve"> </w:t>
      </w:r>
      <w:r>
        <w:t xml:space="preserve">(para 113).</w:t>
      </w:r>
    </w:p>
    <w:p>
      <w:pPr>
        <w:numPr>
          <w:ilvl w:val="0"/>
          <w:numId w:val="1827"/>
        </w:numPr>
        <w:pStyle w:val="Compact"/>
      </w:pPr>
      <w:r>
        <w:t xml:space="preserve">Transfer only to the partner named in the agreement and the KFS (para 114). If the 15 days are missed, the loan stays with the originator and is saleable only under Part A (para 115).</w:t>
      </w:r>
    </w:p>
    <w:p>
      <w:pPr>
        <w:numPr>
          <w:ilvl w:val="0"/>
          <w:numId w:val="1827"/>
        </w:numPr>
        <w:pStyle w:val="Compact"/>
      </w:pPr>
      <w:r>
        <w:rPr>
          <w:bCs/>
          <w:b/>
        </w:rPr>
        <w:t xml:space="preserve">Separate borrower account per RE for its share</w:t>
      </w:r>
      <w:r>
        <w:t xml:space="preserve"> </w:t>
      </w:r>
      <w:r>
        <w:t xml:space="preserve">(para 116).</w:t>
      </w:r>
    </w:p>
    <w:p>
      <w:pPr>
        <w:numPr>
          <w:ilvl w:val="0"/>
          <w:numId w:val="1827"/>
        </w:numPr>
        <w:pStyle w:val="Compact"/>
      </w:pPr>
      <w:r>
        <w:rPr>
          <w:bCs/>
          <w:b/>
        </w:rPr>
        <w:t xml:space="preserve">All disbursements and repayments, between REs and with the borrower, go through a bank escrow</w:t>
      </w:r>
      <w:r>
        <w:t xml:space="preserve"> </w:t>
      </w:r>
      <w:r>
        <w:t xml:space="preserve">(which may be one of the REs). Appropriation rules are in the agreement (para 117).</w:t>
      </w:r>
    </w:p>
    <w:p>
      <w:pPr>
        <w:numPr>
          <w:ilvl w:val="0"/>
          <w:numId w:val="1827"/>
        </w:numPr>
        <w:pStyle w:val="Compact"/>
      </w:pPr>
      <w:r>
        <w:t xml:space="preserve">CLA loans are in audit scope (para 118).</w:t>
      </w:r>
      <w:r>
        <w:t xml:space="preserve"> </w:t>
      </w:r>
      <w:r>
        <w:rPr>
          <w:bCs/>
          <w:b/>
        </w:rPr>
        <w:t xml:space="preserve">BCP to keep servicing until repayment if the CLA ends</w:t>
      </w:r>
      <w:r>
        <w:t xml:space="preserve"> </w:t>
      </w:r>
      <w:r>
        <w:t xml:space="preserve">(para 119).</w:t>
      </w:r>
    </w:p>
    <w:p>
      <w:pPr>
        <w:numPr>
          <w:ilvl w:val="0"/>
          <w:numId w:val="1827"/>
        </w:numPr>
        <w:pStyle w:val="Compact"/>
      </w:pPr>
      <w:r>
        <w:t xml:space="preserve">KYC: the partner may rely on the originator’s CIP (para 120). FPC and grievance rules apply (para 121).</w:t>
      </w:r>
    </w:p>
    <w:p>
      <w:pPr>
        <w:pStyle w:val="FirstParagraph"/>
      </w:pPr>
      <w:r>
        <w:rPr>
          <w:bCs/>
          <w:b/>
        </w:rPr>
        <w:t xml:space="preserve">CIC reporting, DLG, classification and onward transfer (paras 122–125):</w:t>
      </w:r>
    </w:p>
    <w:p>
      <w:pPr>
        <w:numPr>
          <w:ilvl w:val="0"/>
          <w:numId w:val="1828"/>
        </w:numPr>
        <w:pStyle w:val="Compact"/>
      </w:pPr>
      <w:r>
        <w:t xml:space="preserve">Each NBFC reports</w:t>
      </w:r>
      <w:r>
        <w:t xml:space="preserve"> </w:t>
      </w:r>
      <w:r>
        <w:rPr>
          <w:bCs/>
          <w:b/>
        </w:rPr>
        <w:t xml:space="preserve">its own share</w:t>
      </w:r>
      <w:r>
        <w:t xml:space="preserve"> </w:t>
      </w:r>
      <w:r>
        <w:t xml:space="preserve">to CICs (para 122).</w:t>
      </w:r>
    </w:p>
    <w:p>
      <w:pPr>
        <w:numPr>
          <w:ilvl w:val="0"/>
          <w:numId w:val="1828"/>
        </w:numPr>
        <w:pStyle w:val="Compact"/>
      </w:pPr>
      <w:r>
        <w:rPr>
          <w:bCs/>
          <w:b/>
        </w:rPr>
        <w:t xml:space="preserve">The originating NBFC may give DLG up to 5% of loans outstanding under the CLA</w:t>
      </w:r>
      <w:r>
        <w:t xml:space="preserve">, governed mutatis mutandis by CF (para 123). DLG is defined in para 111, Expl. (2).</w:t>
      </w:r>
    </w:p>
    <w:p>
      <w:pPr>
        <w:numPr>
          <w:ilvl w:val="0"/>
          <w:numId w:val="1828"/>
        </w:numPr>
        <w:pStyle w:val="Compact"/>
      </w:pPr>
      <w:r>
        <w:rPr>
          <w:bCs/>
          <w:b/>
        </w:rPr>
        <w:t xml:space="preserve">Borrower-level classification:</w:t>
      </w:r>
      <w:r>
        <w:t xml:space="preserve"> </w:t>
      </w:r>
      <w:r>
        <w:t xml:space="preserve">SMA/NPA at one RE applies to the other. Share it near-real time,</w:t>
      </w:r>
      <w:r>
        <w:t xml:space="preserve"> </w:t>
      </w:r>
      <w:r>
        <w:rPr>
          <w:bCs/>
          <w:b/>
        </w:rPr>
        <w:t xml:space="preserve">and by the end of the next working day at the latest</w:t>
      </w:r>
      <w:r>
        <w:t xml:space="preserve"> </w:t>
      </w:r>
      <w:r>
        <w:t xml:space="preserve">(para 124).</w:t>
      </w:r>
    </w:p>
    <w:p>
      <w:pPr>
        <w:numPr>
          <w:ilvl w:val="0"/>
          <w:numId w:val="1828"/>
        </w:numPr>
        <w:pStyle w:val="Compact"/>
      </w:pPr>
      <w:r>
        <w:t xml:space="preserve">Onward or inter-se transfers only under Part A,</w:t>
      </w:r>
      <w:r>
        <w:t xml:space="preserve"> </w:t>
      </w:r>
      <w:r>
        <w:rPr>
          <w:bCs/>
          <w:b/>
        </w:rPr>
        <w:t xml:space="preserve">with mutual consent</w:t>
      </w:r>
      <w:r>
        <w:t xml:space="preserve"> </w:t>
      </w:r>
      <w:r>
        <w:t xml:space="preserve">(para 125).</w:t>
      </w:r>
    </w:p>
    <w:p>
      <w:pPr>
        <w:pStyle w:val="FirstParagraph"/>
      </w:pPr>
      <w:r>
        <w:rPr>
          <w:bCs/>
          <w:b/>
        </w:rPr>
        <w:t xml:space="preserve">Disclosure (paras 126–127):</w:t>
      </w:r>
    </w:p>
    <w:p>
      <w:pPr>
        <w:numPr>
          <w:ilvl w:val="0"/>
          <w:numId w:val="1829"/>
        </w:numPr>
        <w:pStyle w:val="Compact"/>
      </w:pPr>
      <w:r>
        <w:rPr>
          <w:bCs/>
          <w:b/>
        </w:rPr>
        <w:t xml:space="preserve">Website list of all active CLA partners</w:t>
      </w:r>
      <w:r>
        <w:t xml:space="preserve"> </w:t>
      </w:r>
      <w:r>
        <w:t xml:space="preserve">(para 126).</w:t>
      </w:r>
    </w:p>
    <w:p>
      <w:pPr>
        <w:numPr>
          <w:ilvl w:val="0"/>
          <w:numId w:val="1829"/>
        </w:numPr>
        <w:pStyle w:val="Compact"/>
      </w:pPr>
      <w:r>
        <w:t xml:space="preserve">Annual aggregate notes to accounts: quantum, weighted average rate, fees, sectors, performance, DLG (para 127).</w:t>
      </w:r>
    </w:p>
    <w:p>
      <w:pPr>
        <w:pStyle w:val="FirstParagraph"/>
      </w:pPr>
      <w:r>
        <w:rPr>
          <w:iCs/>
          <w:i/>
        </w:rPr>
        <w:t xml:space="preserve">Build:</w:t>
      </w:r>
      <w:r>
        <w:t xml:space="preserve"> </w:t>
      </w:r>
      <w:r>
        <w:t xml:space="preserve">CLA engine with:</w:t>
      </w:r>
    </w:p>
    <w:p>
      <w:pPr>
        <w:numPr>
          <w:ilvl w:val="0"/>
          <w:numId w:val="1830"/>
        </w:numPr>
        <w:pStyle w:val="Compact"/>
      </w:pPr>
      <w:r>
        <w:t xml:space="preserve">NBFC share validator (≥ 10%);</w:t>
      </w:r>
    </w:p>
    <w:p>
      <w:pPr>
        <w:numPr>
          <w:ilvl w:val="0"/>
          <w:numId w:val="1830"/>
        </w:numPr>
        <w:pStyle w:val="Compact"/>
      </w:pPr>
      <w:r>
        <w:t xml:space="preserve">15-day booking clock with fall-back to the originator and a Part A flag;</w:t>
      </w:r>
    </w:p>
    <w:p>
      <w:pPr>
        <w:numPr>
          <w:ilvl w:val="0"/>
          <w:numId w:val="1830"/>
        </w:numPr>
        <w:pStyle w:val="Compact"/>
      </w:pPr>
      <w:r>
        <w:t xml:space="preserve">escrow appropriation waterfall;</w:t>
      </w:r>
    </w:p>
    <w:p>
      <w:pPr>
        <w:numPr>
          <w:ilvl w:val="0"/>
          <w:numId w:val="1830"/>
        </w:numPr>
        <w:pStyle w:val="Compact"/>
      </w:pPr>
      <w:r>
        <w:t xml:space="preserve">dual borrower sub-accounts;</w:t>
      </w:r>
    </w:p>
    <w:p>
      <w:pPr>
        <w:numPr>
          <w:ilvl w:val="0"/>
          <w:numId w:val="1830"/>
        </w:numPr>
        <w:pStyle w:val="Compact"/>
      </w:pPr>
      <w:r>
        <w:t xml:space="preserve">blended-rate recomputation and borrower notice;</w:t>
      </w:r>
    </w:p>
    <w:p>
      <w:pPr>
        <w:numPr>
          <w:ilvl w:val="0"/>
          <w:numId w:val="1830"/>
        </w:numPr>
        <w:pStyle w:val="Compact"/>
      </w:pPr>
      <w:r>
        <w:t xml:space="preserve">classification sync with a next-working-day breach alert;</w:t>
      </w:r>
    </w:p>
    <w:p>
      <w:pPr>
        <w:numPr>
          <w:ilvl w:val="0"/>
          <w:numId w:val="1830"/>
        </w:numPr>
        <w:pStyle w:val="Compact"/>
      </w:pPr>
      <w:r>
        <w:t xml:space="preserve">DLG ledger in the originator role only, with a 5%-of-CLA-outstanding cap;</w:t>
      </w:r>
    </w:p>
    <w:p>
      <w:pPr>
        <w:numPr>
          <w:ilvl w:val="0"/>
          <w:numId w:val="1830"/>
        </w:numPr>
        <w:pStyle w:val="Compact"/>
      </w:pPr>
      <w:r>
        <w:t xml:space="preserve">website partner-list feed.</w:t>
      </w:r>
    </w:p>
    <w:p>
      <w:r>
        <w:pict>
          <v:rect style="width:0;height:1.5pt" o:hralign="center" o:hrstd="t" o:hr="t"/>
        </w:pict>
      </w:r>
    </w:p>
    <w:p>
      <w:r>
        <w:pict>
          <v:rect style="width:0;height:1.5pt" o:hralign="center" o:hrstd="t" o:hr="t"/>
        </w:pict>
      </w:r>
    </w:p>
    <w:bookmarkEnd w:id="803"/>
    <w:bookmarkEnd w:id="804"/>
    <w:bookmarkStart w:id="805" w:name="X3fb215f5a8862b93d97586a324834f1a3834754"/>
    <w:p>
      <w:pPr>
        <w:pStyle w:val="Heading2"/>
      </w:pPr>
      <w:r>
        <w:t xml:space="preserve">8A.23 SEC — Securitisation Transactions Directions (353)</w:t>
      </w:r>
    </w:p>
    <w:p>
      <w:pPr>
        <w:pStyle w:val="FirstParagraph"/>
      </w:pPr>
      <w:r>
        <w:rPr>
          <w:bCs/>
          <w:b/>
        </w:rPr>
        <w:t xml:space="preserve">Applicability (para 3).</w:t>
      </w:r>
      <w:r>
        <w:t xml:space="preserve"> </w:t>
      </w:r>
      <w:r>
        <w:t xml:space="preserve">As TDCR: NBFC-D, ICC, Factor, MFI, IFC, IDF-NBFC and HFCs, all layers. Excludes MGC, P2P, AA, CIC, SPD, NOFHC and non-public-fund NBFCs. In force on issue (para 2).</w:t>
      </w:r>
    </w:p>
    <w:p>
      <w:pPr>
        <w:pStyle w:val="BodyText"/>
      </w:pPr>
      <w:r>
        <w:rPr>
          <w:bCs/>
          <w:b/>
        </w:rPr>
        <w:t xml:space="preserve">Structure:</w:t>
      </w:r>
      <w:r>
        <w:t xml:space="preserve"> </w:t>
      </w:r>
      <w:r>
        <w:t xml:space="preserve">Ch I paras 1–4; Ch II 5–34 general; Ch III 35–79 STC; Ch IV 80–96 facilities; Ch V 97–107 investors; Ch VI 108–115 capital and disclosure; Ch VII 116–119; Annex I disclosure format.</w:t>
      </w:r>
    </w:p>
    <w:p>
      <w:pPr>
        <w:pStyle w:val="BodyText"/>
      </w:pPr>
      <w:r>
        <w:rPr>
          <w:bCs/>
          <w:b/>
        </w:rPr>
        <w:t xml:space="preserve">Definitions (para 4):</w:t>
      </w:r>
    </w:p>
    <w:p>
      <w:pPr>
        <w:numPr>
          <w:ilvl w:val="0"/>
          <w:numId w:val="1831"/>
        </w:numPr>
        <w:pStyle w:val="Compact"/>
      </w:pPr>
      <w:r>
        <w:t xml:space="preserve">Securitisation needs</w:t>
      </w:r>
      <w:r>
        <w:t xml:space="preserve"> </w:t>
      </w:r>
      <w:r>
        <w:rPr>
          <w:bCs/>
          <w:b/>
        </w:rPr>
        <w:t xml:space="preserve">≥ 2 tranches with different credit risk</w:t>
      </w:r>
      <w:r>
        <w:t xml:space="preserve">. Single-asset pools and tranches of different maturity are allowed (4(19)).</w:t>
      </w:r>
    </w:p>
    <w:p>
      <w:pPr>
        <w:numPr>
          <w:ilvl w:val="0"/>
          <w:numId w:val="1831"/>
        </w:numPr>
        <w:pStyle w:val="Compact"/>
      </w:pPr>
      <w:r>
        <w:t xml:space="preserve">Also defined: synthetic securitisation (4(25)), re-securitisation (4(16)), clean-up call (4(2)), I/O strip (4(9)), first and second loss facilities (4(7), 4(18)), senior tranche (4(22)), SPE (4(23)).</w:t>
      </w:r>
    </w:p>
    <w:p>
      <w:pPr>
        <w:numPr>
          <w:ilvl w:val="0"/>
          <w:numId w:val="1831"/>
        </w:numPr>
        <w:pStyle w:val="Compact"/>
      </w:pPr>
      <w:r>
        <w:t xml:space="preserve">Lenders: SCBs (excl. RRBs), AIFIs (NABARD, NHB, EXIM, SIDBI), SFBs, NBFCs incl. HFCs (4(10)).</w:t>
      </w:r>
    </w:p>
    <w:p>
      <w:pPr>
        <w:pStyle w:val="FirstParagraph"/>
      </w:pPr>
      <w:r>
        <w:rPr>
          <w:bCs/>
          <w:b/>
        </w:rPr>
        <w:t xml:space="preserve">Prohibited (para 5):</w:t>
      </w:r>
    </w:p>
    <w:p>
      <w:pPr>
        <w:numPr>
          <w:ilvl w:val="0"/>
          <w:numId w:val="1832"/>
        </w:numPr>
        <w:pStyle w:val="Compact"/>
      </w:pPr>
      <w:r>
        <w:t xml:space="preserve">re-securitisation;</w:t>
      </w:r>
    </w:p>
    <w:p>
      <w:pPr>
        <w:numPr>
          <w:ilvl w:val="0"/>
          <w:numId w:val="1832"/>
        </w:numPr>
        <w:pStyle w:val="Compact"/>
      </w:pPr>
      <w:r>
        <w:t xml:space="preserve">structures that roll over CP-type instruments against long-term assets;</w:t>
      </w:r>
    </w:p>
    <w:p>
      <w:pPr>
        <w:numPr>
          <w:ilvl w:val="0"/>
          <w:numId w:val="1832"/>
        </w:numPr>
        <w:pStyle w:val="Compact"/>
      </w:pPr>
      <w:r>
        <w:rPr>
          <w:bCs/>
          <w:b/>
        </w:rPr>
        <w:t xml:space="preserve">synthetic securitisation</w:t>
      </w:r>
      <w:r>
        <w:t xml:space="preserve">;</w:t>
      </w:r>
    </w:p>
    <w:p>
      <w:pPr>
        <w:numPr>
          <w:ilvl w:val="0"/>
          <w:numId w:val="1832"/>
        </w:numPr>
        <w:pStyle w:val="Compact"/>
      </w:pPr>
      <w:r>
        <w:t xml:space="preserve">underlying assets that are revolving credit (cards, cash credit), restructured loans within the specified period, exposures to lending institutions, AIFI refinance,</w:t>
      </w:r>
      <w:r>
        <w:t xml:space="preserve"> </w:t>
      </w:r>
      <w:r>
        <w:rPr>
          <w:bCs/>
          <w:b/>
        </w:rPr>
        <w:t xml:space="preserve">bullet loans</w:t>
      </w:r>
      <w:r>
        <w:t xml:space="preserve">, or loans with</w:t>
      </w:r>
      <w:r>
        <w:t xml:space="preserve"> </w:t>
      </w:r>
      <w:r>
        <w:rPr>
          <w:bCs/>
          <w:b/>
        </w:rPr>
        <w:t xml:space="preserve">residual maturity &lt; 365 days</w:t>
      </w:r>
      <w:r>
        <w:t xml:space="preserve">.</w:t>
      </w:r>
    </w:p>
    <w:p>
      <w:pPr>
        <w:numPr>
          <w:ilvl w:val="0"/>
          <w:numId w:val="1832"/>
        </w:numPr>
        <w:pStyle w:val="Compact"/>
      </w:pPr>
      <w:r>
        <w:rPr>
          <w:bCs/>
          <w:b/>
        </w:rPr>
        <w:t xml:space="preserve">Exception:</w:t>
      </w:r>
      <w:r>
        <w:t xml:space="preserve"> </w:t>
      </w:r>
      <w:r>
        <w:t xml:space="preserve">agri bullet loans to individuals ≤ 24 months, and trade receivables ≤ 12 months, are eligible if the borrower or drawee fully repaid the last two (one for agri &gt; 1 year) within 90 days of the due date. Investors must be able to verify this.</w:t>
      </w:r>
    </w:p>
    <w:p>
      <w:pPr>
        <w:pStyle w:val="FirstParagraph"/>
      </w:pPr>
      <w:r>
        <w:rPr>
          <w:bCs/>
          <w:b/>
        </w:rPr>
        <w:t xml:space="preserve">Eligibility and MHP (paras 6–9):</w:t>
      </w:r>
    </w:p>
    <w:p>
      <w:pPr>
        <w:numPr>
          <w:ilvl w:val="0"/>
          <w:numId w:val="1833"/>
        </w:numPr>
        <w:pStyle w:val="Compact"/>
      </w:pPr>
      <w:r>
        <w:t xml:space="preserve">Only on-balance-sheet</w:t>
      </w:r>
      <w:r>
        <w:t xml:space="preserve"> </w:t>
      </w:r>
      <w:r>
        <w:rPr>
          <w:bCs/>
          <w:b/>
        </w:rPr>
        <w:t xml:space="preserve">standard</w:t>
      </w:r>
      <w:r>
        <w:t xml:space="preserve"> </w:t>
      </w:r>
      <w:r>
        <w:t xml:space="preserve">loans (para 6).</w:t>
      </w:r>
    </w:p>
    <w:p>
      <w:pPr>
        <w:numPr>
          <w:ilvl w:val="0"/>
          <w:numId w:val="1833"/>
        </w:numPr>
        <w:pStyle w:val="Compact"/>
      </w:pPr>
      <w:r>
        <w:t xml:space="preserve">MHP as in TDCR para 43. For real-estate mortgages, it runs</w:t>
      </w:r>
      <w:r>
        <w:t xml:space="preserve"> </w:t>
      </w:r>
      <w:r>
        <w:rPr>
          <w:bCs/>
          <w:b/>
        </w:rPr>
        <w:t xml:space="preserve">from the later of full disbursement and CERSAI registration</w:t>
      </w:r>
      <w:r>
        <w:t xml:space="preserve"> </w:t>
      </w:r>
      <w:r>
        <w:t xml:space="preserve">(para 7).</w:t>
      </w:r>
    </w:p>
    <w:p>
      <w:pPr>
        <w:numPr>
          <w:ilvl w:val="0"/>
          <w:numId w:val="1833"/>
        </w:numPr>
        <w:pStyle w:val="Compact"/>
      </w:pPr>
      <w:r>
        <w:t xml:space="preserve">MHP applies loan by loan, and not to para 5 proviso loans (para 8). Obligor consents apply (para 9).</w:t>
      </w:r>
    </w:p>
    <w:p>
      <w:pPr>
        <w:pStyle w:val="FirstParagraph"/>
      </w:pPr>
      <w:r>
        <w:rPr>
          <w:bCs/>
          <w:b/>
        </w:rPr>
        <w:t xml:space="preserve">MRR (paras 10–15):</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5493"/>
        <w:gridCol w:w="4145"/>
      </w:tblGrid>
      <w:tr>
        <w:trPr>
          <w:tblHeader w:val="true"/>
          <w:tblHeader w:val="true"/>
        </w:trPr>
        <w:tc>
          <w:tcPr>
            <w:tcW w:w="5493" w:type="dxa"/>
            <w:shd w:val="clear" w:color="auto" w:fill="1F3A5F"/>
          </w:tcPr>
          <w:p>
            <w:pPr>
              <w:pStyle w:val="Compact"/>
              <w:spacing w:after="40"/>
              <w:jc w:val="left"/>
            </w:pPr>
            <w:r>
              <w:rPr>
                <w:b/>
                <w:color w:val="FFFFFF"/>
                <w:sz w:val="18"/>
              </w:rPr>
              <w:t xml:space="preserve">Underlying loans</w:t>
            </w:r>
          </w:p>
        </w:tc>
        <w:tc>
          <w:tcPr>
            <w:tcW w:w="4145" w:type="dxa"/>
            <w:shd w:val="clear" w:color="auto" w:fill="1F3A5F"/>
          </w:tcPr>
          <w:p>
            <w:pPr>
              <w:pStyle w:val="Compact"/>
              <w:spacing w:after="40"/>
              <w:jc w:val="left"/>
            </w:pPr>
            <w:r>
              <w:rPr>
                <w:b/>
                <w:color w:val="FFFFFF"/>
                <w:sz w:val="18"/>
              </w:rPr>
              <w:t xml:space="preserve">MRR (% of book value securitised)</w:t>
            </w:r>
          </w:p>
        </w:tc>
      </w:tr>
      <w:tr>
        <w:tc>
          <w:tcPr>
            <w:tcW w:w="5493" w:type="dxa"/>
          </w:tcPr>
          <w:p>
            <w:pPr>
              <w:pStyle w:val="Compact"/>
              <w:spacing w:after="40"/>
              <w:jc w:val="left"/>
            </w:pPr>
            <w:r>
              <w:rPr>
                <w:sz w:val="18"/>
              </w:rPr>
              <w:t xml:space="preserve">Original maturity ≤ 24 months</w:t>
            </w:r>
          </w:p>
        </w:tc>
        <w:tc>
          <w:tcPr>
            <w:tcW w:w="4145" w:type="dxa"/>
          </w:tcPr>
          <w:p>
            <w:pPr>
              <w:pStyle w:val="Compact"/>
              <w:spacing w:after="40"/>
              <w:jc w:val="left"/>
            </w:pPr>
            <w:r>
              <w:rPr>
                <w:bCs/>
                <w:b/>
                <w:sz w:val="18"/>
              </w:rPr>
              <w:t xml:space="preserve">5%</w:t>
            </w:r>
            <w:r>
              <w:rPr>
                <w:sz w:val="18"/>
              </w:rPr>
              <w:t xml:space="preserve"> </w:t>
            </w:r>
            <w:r>
              <w:rPr>
                <w:sz w:val="18"/>
              </w:rPr>
              <w:t xml:space="preserve">(para 10(1))</w:t>
            </w:r>
          </w:p>
        </w:tc>
      </w:tr>
      <w:tr>
        <w:tc>
          <w:tcPr>
            <w:tcW w:w="5493" w:type="dxa"/>
          </w:tcPr>
          <w:p>
            <w:pPr>
              <w:pStyle w:val="Compact"/>
              <w:spacing w:after="40"/>
              <w:jc w:val="left"/>
            </w:pPr>
            <w:r>
              <w:rPr>
                <w:sz w:val="18"/>
              </w:rPr>
              <w:t xml:space="preserve">Original maturity &gt; 24 months; para 5 proviso bullet loans</w:t>
            </w:r>
          </w:p>
        </w:tc>
        <w:tc>
          <w:tcPr>
            <w:tcW w:w="4145" w:type="dxa"/>
          </w:tcPr>
          <w:p>
            <w:pPr>
              <w:pStyle w:val="Compact"/>
              <w:spacing w:after="40"/>
              <w:jc w:val="left"/>
            </w:pPr>
            <w:r>
              <w:rPr>
                <w:bCs/>
                <w:b/>
                <w:sz w:val="18"/>
              </w:rPr>
              <w:t xml:space="preserve">10%</w:t>
            </w:r>
            <w:r>
              <w:rPr>
                <w:sz w:val="18"/>
              </w:rPr>
              <w:t xml:space="preserve"> </w:t>
            </w:r>
            <w:r>
              <w:rPr>
                <w:sz w:val="18"/>
              </w:rPr>
              <w:t xml:space="preserve">(para 10(2))</w:t>
            </w:r>
          </w:p>
        </w:tc>
      </w:tr>
      <w:tr>
        <w:tc>
          <w:tcPr>
            <w:tcW w:w="5493" w:type="dxa"/>
          </w:tcPr>
          <w:p>
            <w:pPr>
              <w:pStyle w:val="Compact"/>
              <w:spacing w:after="40"/>
              <w:jc w:val="left"/>
            </w:pPr>
            <w:r>
              <w:rPr>
                <w:sz w:val="18"/>
              </w:rPr>
              <w:t xml:space="preserve">RMBS, any maturity</w:t>
            </w:r>
          </w:p>
        </w:tc>
        <w:tc>
          <w:tcPr>
            <w:tcW w:w="4145" w:type="dxa"/>
          </w:tcPr>
          <w:p>
            <w:pPr>
              <w:pStyle w:val="Compact"/>
              <w:spacing w:after="40"/>
              <w:jc w:val="left"/>
            </w:pPr>
            <w:r>
              <w:rPr>
                <w:bCs/>
                <w:b/>
                <w:sz w:val="18"/>
              </w:rPr>
              <w:t xml:space="preserve">5%</w:t>
            </w:r>
            <w:r>
              <w:rPr>
                <w:sz w:val="18"/>
              </w:rPr>
              <w:t xml:space="preserve"> </w:t>
            </w:r>
            <w:r>
              <w:rPr>
                <w:sz w:val="18"/>
              </w:rPr>
              <w:t xml:space="preserve">(para 11)</w:t>
            </w:r>
          </w:p>
        </w:tc>
      </w:tr>
    </w:tbl>
    <w:p>
      <w:pPr>
        <w:numPr>
          <w:ilvl w:val="0"/>
          <w:numId w:val="1834"/>
        </w:numPr>
        <w:pStyle w:val="Compact"/>
      </w:pPr>
      <w:r>
        <w:rPr>
          <w:bCs/>
          <w:b/>
        </w:rPr>
        <w:t xml:space="preserve">Form (para 12):</w:t>
      </w:r>
    </w:p>
    <w:p>
      <w:pPr>
        <w:numPr>
          <w:ilvl w:val="1"/>
          <w:numId w:val="1835"/>
        </w:numPr>
        <w:pStyle w:val="Compact"/>
      </w:pPr>
      <w:r>
        <w:t xml:space="preserve">first 5%: first loss facility, then equity tranche, then pari passu in the sold tranches;</w:t>
      </w:r>
    </w:p>
    <w:p>
      <w:pPr>
        <w:numPr>
          <w:ilvl w:val="1"/>
          <w:numId w:val="1835"/>
        </w:numPr>
        <w:pStyle w:val="Compact"/>
      </w:pPr>
      <w:r>
        <w:t xml:space="preserve">above 5%: any combination;</w:t>
      </w:r>
    </w:p>
    <w:p>
      <w:pPr>
        <w:numPr>
          <w:ilvl w:val="1"/>
          <w:numId w:val="1835"/>
        </w:numPr>
        <w:pStyle w:val="Compact"/>
      </w:pPr>
      <w:r>
        <w:t xml:space="preserve">overcollateralisation is not a first loss facility.</w:t>
      </w:r>
    </w:p>
    <w:p>
      <w:pPr>
        <w:numPr>
          <w:ilvl w:val="0"/>
          <w:numId w:val="1834"/>
        </w:numPr>
        <w:pStyle w:val="Compact"/>
      </w:pPr>
      <w:r>
        <w:t xml:space="preserve">I/O strips do not count (para 13).</w:t>
      </w:r>
    </w:p>
    <w:p>
      <w:pPr>
        <w:numPr>
          <w:ilvl w:val="0"/>
          <w:numId w:val="1834"/>
        </w:numPr>
        <w:pStyle w:val="Compact"/>
      </w:pPr>
      <w:r>
        <w:rPr>
          <w:bCs/>
          <w:b/>
        </w:rPr>
        <w:t xml:space="preserve">No hedging, sale or encumbrance.</w:t>
      </w:r>
      <w:r>
        <w:t xml:space="preserve"> </w:t>
      </w:r>
      <w:r>
        <w:t xml:space="preserve">Held by the originator itself, not a group entity.</w:t>
      </w:r>
      <w:r>
        <w:t xml:space="preserve"> </w:t>
      </w:r>
      <w:r>
        <w:rPr>
          <w:bCs/>
          <w:b/>
        </w:rPr>
        <w:t xml:space="preserve">Form unchanged for life.</w:t>
      </w:r>
      <w:r>
        <w:t xml:space="preserve"> </w:t>
      </w:r>
      <w:r>
        <w:t xml:space="preserve">Maintained as a % of unamortised principal, and also at the end of any replenishment period (para 14). Documented (para 15).</w:t>
      </w:r>
    </w:p>
    <w:p>
      <w:pPr>
        <w:pStyle w:val="FirstParagraph"/>
      </w:pPr>
      <w:r>
        <w:rPr>
          <w:bCs/>
          <w:b/>
        </w:rPr>
        <w:t xml:space="preserve">Structure conditions (paras 16–29):</w:t>
      </w:r>
    </w:p>
    <w:p>
      <w:pPr>
        <w:numPr>
          <w:ilvl w:val="0"/>
          <w:numId w:val="1836"/>
        </w:numPr>
        <w:pStyle w:val="Compact"/>
      </w:pPr>
      <w:r>
        <w:t xml:space="preserve">Underwriting no weaker than for retained loans; disclose changes (paras 16–17).</w:t>
      </w:r>
    </w:p>
    <w:p>
      <w:pPr>
        <w:numPr>
          <w:ilvl w:val="0"/>
          <w:numId w:val="1836"/>
        </w:numPr>
        <w:pStyle w:val="Compact"/>
      </w:pPr>
      <w:r>
        <w:t xml:space="preserve">Payment priorities fixed. All waterfall triggers disclosed, with breach status in investor reports. Early-amortisation triggers for replenishment structures (paras 18–21).</w:t>
      </w:r>
    </w:p>
    <w:p>
      <w:pPr>
        <w:numPr>
          <w:ilvl w:val="0"/>
          <w:numId w:val="1836"/>
        </w:numPr>
        <w:pStyle w:val="Compact"/>
      </w:pPr>
      <w:r>
        <w:rPr>
          <w:bCs/>
          <w:b/>
        </w:rPr>
        <w:t xml:space="preserve">Material change in risk profile: notify investors, CRAs and service providers within 14 calendar days</w:t>
      </w:r>
      <w:r>
        <w:t xml:space="preserve"> </w:t>
      </w:r>
      <w:r>
        <w:t xml:space="preserve">(para 22).</w:t>
      </w:r>
    </w:p>
    <w:p>
      <w:pPr>
        <w:numPr>
          <w:ilvl w:val="0"/>
          <w:numId w:val="1836"/>
        </w:numPr>
        <w:pStyle w:val="Compact"/>
      </w:pPr>
      <w:r>
        <w:rPr>
          <w:bCs/>
          <w:b/>
        </w:rPr>
        <w:t xml:space="preserve">Originator’s total retained exposure ≤ 20% of the scheme’s securitisation exposures.</w:t>
      </w:r>
      <w:r>
        <w:t xml:space="preserve"> </w:t>
      </w:r>
      <w:r>
        <w:t xml:space="preserve">Excludes credit-enhancing I/O strips and IRS/CCS with the SPE. A breach caused by amortisation does not count (paras 23–25).</w:t>
      </w:r>
    </w:p>
    <w:p>
      <w:pPr>
        <w:numPr>
          <w:ilvl w:val="0"/>
          <w:numId w:val="1836"/>
        </w:numPr>
        <w:pStyle w:val="Compact"/>
      </w:pPr>
      <w:r>
        <w:rPr>
          <w:bCs/>
          <w:b/>
        </w:rPr>
        <w:t xml:space="preserve">Minimum ticket ₹1 crore per investor</w:t>
      </w:r>
      <w:r>
        <w:t xml:space="preserve"> </w:t>
      </w:r>
      <w:r>
        <w:t xml:space="preserve">(para 26).</w:t>
      </w:r>
      <w:r>
        <w:t xml:space="preserve"> </w:t>
      </w:r>
      <w:r>
        <w:rPr>
          <w:bCs/>
          <w:b/>
        </w:rPr>
        <w:t xml:space="preserve">Listing required if offered to ≥ 50 persons</w:t>
      </w:r>
      <w:r>
        <w:t xml:space="preserve"> </w:t>
      </w:r>
      <w:r>
        <w:t xml:space="preserve">(SEBI SDI Regulations, 2008) (para 27).</w:t>
      </w:r>
    </w:p>
    <w:p>
      <w:pPr>
        <w:numPr>
          <w:ilvl w:val="0"/>
          <w:numId w:val="1836"/>
        </w:numPr>
        <w:pStyle w:val="Compact"/>
      </w:pPr>
      <w:r>
        <w:rPr>
          <w:bCs/>
          <w:b/>
        </w:rPr>
        <w:t xml:space="preserve">SPE (para 28):</w:t>
      </w:r>
    </w:p>
    <w:p>
      <w:pPr>
        <w:numPr>
          <w:ilvl w:val="1"/>
          <w:numId w:val="1837"/>
        </w:numPr>
        <w:pStyle w:val="Compact"/>
      </w:pPr>
      <w:r>
        <w:t xml:space="preserve">arm’s length; no name resemblance to the originator;</w:t>
      </w:r>
    </w:p>
    <w:p>
      <w:pPr>
        <w:numPr>
          <w:ilvl w:val="1"/>
          <w:numId w:val="1837"/>
        </w:numPr>
        <w:pStyle w:val="Compact"/>
      </w:pPr>
      <w:r>
        <w:rPr>
          <w:bCs/>
          <w:b/>
        </w:rPr>
        <w:t xml:space="preserve">no share capital or beneficial interest held by the originator</w:t>
      </w:r>
      <w:r>
        <w:t xml:space="preserve">;</w:t>
      </w:r>
    </w:p>
    <w:p>
      <w:pPr>
        <w:numPr>
          <w:ilvl w:val="1"/>
          <w:numId w:val="1837"/>
        </w:numPr>
        <w:pStyle w:val="Compact"/>
      </w:pPr>
      <w:r>
        <w:t xml:space="preserve">at most 1 non-veto board seat, where the board has ≥ 4 members and an independent majority;</w:t>
      </w:r>
    </w:p>
    <w:p>
      <w:pPr>
        <w:numPr>
          <w:ilvl w:val="1"/>
          <w:numId w:val="1837"/>
        </w:numPr>
        <w:pStyle w:val="Compact"/>
      </w:pPr>
      <w:r>
        <w:t xml:space="preserve">trust: the originator does not settle or control it; bankruptcy-remote; non-discretionary trustee; investors may change the trustee;</w:t>
      </w:r>
    </w:p>
    <w:p>
      <w:pPr>
        <w:numPr>
          <w:ilvl w:val="1"/>
          <w:numId w:val="1837"/>
        </w:numPr>
        <w:pStyle w:val="Compact"/>
      </w:pPr>
      <w:r>
        <w:t xml:space="preserve">no loss support or recurring expenses from the originator;</w:t>
      </w:r>
    </w:p>
    <w:p>
      <w:pPr>
        <w:numPr>
          <w:ilvl w:val="1"/>
          <w:numId w:val="1837"/>
        </w:numPr>
        <w:pStyle w:val="Compact"/>
      </w:pPr>
      <w:r>
        <w:t xml:space="preserve">investors are told the notes are not insured and are not deposits.</w:t>
      </w:r>
    </w:p>
    <w:p>
      <w:pPr>
        <w:numPr>
          <w:ilvl w:val="1"/>
          <w:numId w:val="1837"/>
        </w:numPr>
        <w:pStyle w:val="Compact"/>
      </w:pPr>
      <w:r>
        <w:t xml:space="preserve">Also applies to the lender the loans were bought from (para 29).</w:t>
      </w:r>
    </w:p>
    <w:p>
      <w:pPr>
        <w:pStyle w:val="FirstParagraph"/>
      </w:pPr>
      <w:r>
        <w:rPr>
          <w:bCs/>
          <w:b/>
        </w:rPr>
        <w:t xml:space="preserve">Reps and warranties (para 30):</w:t>
      </w:r>
    </w:p>
    <w:p>
      <w:pPr>
        <w:numPr>
          <w:ilvl w:val="0"/>
          <w:numId w:val="1838"/>
        </w:numPr>
        <w:pStyle w:val="Compact"/>
      </w:pPr>
      <w:r>
        <w:t xml:space="preserve">Capital is required unless they are written, backed by due diligence, about existing verifiable facts, and not open-ended.</w:t>
      </w:r>
    </w:p>
    <w:p>
      <w:pPr>
        <w:numPr>
          <w:ilvl w:val="0"/>
          <w:numId w:val="1838"/>
        </w:numPr>
        <w:pStyle w:val="Compact"/>
      </w:pPr>
      <w:r>
        <w:rPr>
          <w:bCs/>
          <w:b/>
        </w:rPr>
        <w:t xml:space="preserve">Replacement within 120 days</w:t>
      </w:r>
      <w:r>
        <w:t xml:space="preserve"> </w:t>
      </w:r>
      <w:r>
        <w:t xml:space="preserve">on the original terms. Damages only on the stated conditions.</w:t>
      </w:r>
    </w:p>
    <w:p>
      <w:pPr>
        <w:numPr>
          <w:ilvl w:val="0"/>
          <w:numId w:val="1838"/>
        </w:numPr>
        <w:pStyle w:val="Compact"/>
      </w:pPr>
      <w:r>
        <w:rPr>
          <w:bCs/>
          <w:b/>
        </w:rPr>
        <w:t xml:space="preserve">Notify RBI DoS of every replacement or damages payment.</w:t>
      </w:r>
    </w:p>
    <w:p>
      <w:pPr>
        <w:pStyle w:val="FirstParagraph"/>
      </w:pPr>
      <w:r>
        <w:rPr>
          <w:bCs/>
          <w:b/>
        </w:rPr>
        <w:t xml:space="preserve">Accounting (paras 31–34):</w:t>
      </w:r>
    </w:p>
    <w:p>
      <w:pPr>
        <w:numPr>
          <w:ilvl w:val="0"/>
          <w:numId w:val="1839"/>
        </w:numPr>
        <w:pStyle w:val="Compact"/>
      </w:pPr>
      <w:r>
        <w:rPr>
          <w:bCs/>
          <w:b/>
        </w:rPr>
        <w:t xml:space="preserve">Cash sale; consideration no later than transfer; ≤ 30 days between asset transfer and note issuance</w:t>
      </w:r>
      <w:r>
        <w:t xml:space="preserve"> </w:t>
      </w:r>
      <w:r>
        <w:t xml:space="preserve">(para 31).</w:t>
      </w:r>
    </w:p>
    <w:p>
      <w:pPr>
        <w:numPr>
          <w:ilvl w:val="0"/>
          <w:numId w:val="1839"/>
        </w:numPr>
        <w:pStyle w:val="Compact"/>
      </w:pPr>
      <w:r>
        <w:t xml:space="preserve">Ind AS NBFCs follow Ind AS and ICAI advisories (para 32).</w:t>
      </w:r>
    </w:p>
    <w:p>
      <w:pPr>
        <w:numPr>
          <w:ilvl w:val="0"/>
          <w:numId w:val="1839"/>
        </w:numPr>
        <w:pStyle w:val="Compact"/>
      </w:pPr>
      <w:r>
        <w:rPr>
          <w:bCs/>
          <w:b/>
        </w:rPr>
        <w:t xml:space="preserve">Others (paras 33–34):</w:t>
      </w:r>
    </w:p>
    <w:p>
      <w:pPr>
        <w:numPr>
          <w:ilvl w:val="1"/>
          <w:numId w:val="1840"/>
        </w:numPr>
        <w:pStyle w:val="Compact"/>
      </w:pPr>
      <w:r>
        <w:t xml:space="preserve">realised P&amp;L in the period of sale;</w:t>
      </w:r>
    </w:p>
    <w:p>
      <w:pPr>
        <w:numPr>
          <w:ilvl w:val="1"/>
          <w:numId w:val="1840"/>
        </w:numPr>
        <w:pStyle w:val="Compact"/>
      </w:pPr>
      <w:r>
        <w:t xml:space="preserve">unrealised gains (incl. future margin income) are held in</w:t>
      </w:r>
      <w:r>
        <w:t xml:space="preserve"> </w:t>
      </w:r>
      <w:r>
        <w:rPr>
          <w:bCs/>
          <w:b/>
        </w:rPr>
        <w:t xml:space="preserve">“</w:t>
      </w:r>
      <w:r>
        <w:rPr>
          <w:bCs/>
          <w:b/>
        </w:rPr>
        <w:t xml:space="preserve">Unrealised Gain on Loan Transfer Transactions</w:t>
      </w:r>
      <w:r>
        <w:rPr>
          <w:bCs/>
          <w:b/>
        </w:rPr>
        <w:t xml:space="preserve">”</w:t>
      </w:r>
      <w:r>
        <w:t xml:space="preserve"> </w:t>
      </w:r>
      <w:r>
        <w:t xml:space="preserve">and recognised only on cash redemption;</w:t>
      </w:r>
    </w:p>
    <w:p>
      <w:pPr>
        <w:numPr>
          <w:ilvl w:val="1"/>
          <w:numId w:val="1840"/>
        </w:numPr>
        <w:pStyle w:val="Compact"/>
      </w:pPr>
      <w:r>
        <w:t xml:space="preserve">a credit-enhancing I/O strip balance acts as a provision;</w:t>
      </w:r>
    </w:p>
    <w:p>
      <w:pPr>
        <w:numPr>
          <w:ilvl w:val="1"/>
          <w:numId w:val="1840"/>
        </w:numPr>
        <w:pStyle w:val="Compact"/>
      </w:pPr>
      <w:r>
        <w:t xml:space="preserve">write-off mechanics for amortising and non-amortising CE I/O strips.</w:t>
      </w:r>
    </w:p>
    <w:p>
      <w:pPr>
        <w:pStyle w:val="FirstParagraph"/>
      </w:pPr>
      <w:r>
        <w:rPr>
          <w:bCs/>
          <w:b/>
        </w:rPr>
        <w:t xml:space="preserve">STC (Ch III, paras 35–79).</w:t>
      </w:r>
      <w:r>
        <w:t xml:space="preserve"> </w:t>
      </w:r>
      <w:r>
        <w:t xml:space="preserve">Optional label; it unlocks the alternative capital treatment in the Capital Adequacy Directions (para 35).</w:t>
      </w:r>
    </w:p>
    <w:p>
      <w:pPr>
        <w:numPr>
          <w:ilvl w:val="0"/>
          <w:numId w:val="1841"/>
        </w:numPr>
        <w:pStyle w:val="Compact"/>
      </w:pPr>
      <w:r>
        <w:t xml:space="preserve">Homogeneous assets, periodic payment streams, external benchmark rates (paras 36–37).</w:t>
      </w:r>
    </w:p>
    <w:p>
      <w:pPr>
        <w:numPr>
          <w:ilvl w:val="0"/>
          <w:numId w:val="1841"/>
        </w:numPr>
        <w:pStyle w:val="Compact"/>
      </w:pPr>
      <w:r>
        <w:rPr>
          <w:bCs/>
          <w:b/>
        </w:rPr>
        <w:t xml:space="preserve">Performance history ≥ 7 years (non-retail) / ≥ 5 years (retail)</w:t>
      </w:r>
      <w:r>
        <w:t xml:space="preserve"> </w:t>
      </w:r>
      <w:r>
        <w:t xml:space="preserve">(para 40).</w:t>
      </w:r>
    </w:p>
    <w:p>
      <w:pPr>
        <w:numPr>
          <w:ilvl w:val="0"/>
          <w:numId w:val="1841"/>
        </w:numPr>
        <w:pStyle w:val="Compact"/>
      </w:pPr>
      <w:r>
        <w:t xml:space="preserve">No defaulted, delinquent, monitoring-period, high-risk-score or disputed claims.</w:t>
      </w:r>
      <w:r>
        <w:t xml:space="preserve"> </w:t>
      </w:r>
      <w:r>
        <w:rPr>
          <w:bCs/>
          <w:b/>
        </w:rPr>
        <w:t xml:space="preserve">Assess no earlier than 45 days before the securitisation takes effect</w:t>
      </w:r>
      <w:r>
        <w:t xml:space="preserve"> </w:t>
      </w:r>
      <w:r>
        <w:t xml:space="preserve">(paras 41–44).</w:t>
      </w:r>
    </w:p>
    <w:p>
      <w:pPr>
        <w:numPr>
          <w:ilvl w:val="0"/>
          <w:numId w:val="1841"/>
        </w:numPr>
        <w:pStyle w:val="Compact"/>
      </w:pPr>
      <w:r>
        <w:t xml:space="preserve">No discretionary selection (paras 47–48). True sale backed by an independent legal opinion (para 49).</w:t>
      </w:r>
    </w:p>
    <w:p>
      <w:pPr>
        <w:numPr>
          <w:ilvl w:val="0"/>
          <w:numId w:val="1841"/>
        </w:numPr>
        <w:pStyle w:val="Compact"/>
      </w:pPr>
      <w:r>
        <w:t xml:space="preserve">Loan-level or stratified data before pricing and</w:t>
      </w:r>
      <w:r>
        <w:t xml:space="preserve"> </w:t>
      </w:r>
      <w:r>
        <w:rPr>
          <w:bCs/>
          <w:b/>
        </w:rPr>
        <w:t xml:space="preserve">at least quarterly</w:t>
      </w:r>
      <w:r>
        <w:t xml:space="preserve"> </w:t>
      </w:r>
      <w:r>
        <w:t xml:space="preserve">(paras 51–52). Independent third-party review of the pool (para 53).</w:t>
      </w:r>
    </w:p>
    <w:p>
      <w:pPr>
        <w:numPr>
          <w:ilvl w:val="0"/>
          <w:numId w:val="1841"/>
        </w:numPr>
        <w:pStyle w:val="Compact"/>
      </w:pPr>
      <w:r>
        <w:t xml:space="preserve">Genuine hedging only (para 55).</w:t>
      </w:r>
      <w:r>
        <w:t xml:space="preserve"> </w:t>
      </w:r>
      <w:r>
        <w:rPr>
          <w:bCs/>
          <w:b/>
        </w:rPr>
        <w:t xml:space="preserve">Sequential amortisation after a trigger or default</w:t>
      </w:r>
      <w:r>
        <w:t xml:space="preserve"> </w:t>
      </w:r>
      <w:r>
        <w:t xml:space="preserve">(para 57). Liability cash-flow model (para 58).</w:t>
      </w:r>
    </w:p>
    <w:p>
      <w:pPr>
        <w:numPr>
          <w:ilvl w:val="0"/>
          <w:numId w:val="1841"/>
        </w:numPr>
        <w:pStyle w:val="Compact"/>
      </w:pPr>
      <w:r>
        <w:t xml:space="preserve">Replacement of servicers and counterparties (para 70). Itemised investor reporting (para 71).</w:t>
      </w:r>
    </w:p>
    <w:p>
      <w:pPr>
        <w:numPr>
          <w:ilvl w:val="0"/>
          <w:numId w:val="1841"/>
        </w:numPr>
        <w:pStyle w:val="Compact"/>
      </w:pPr>
      <w:r>
        <w:rPr>
          <w:bCs/>
          <w:b/>
        </w:rPr>
        <w:t xml:space="preserve">Risk-weight caps at cut-off:</w:t>
      </w:r>
      <w:r>
        <w:t xml:space="preserve"> </w:t>
      </w:r>
      <w:r>
        <w:t xml:space="preserve">40% value-weighted (residential); 50% (CRE mortgage); 75% (retail); 100% (other) (para 72).</w:t>
      </w:r>
    </w:p>
    <w:p>
      <w:pPr>
        <w:numPr>
          <w:ilvl w:val="0"/>
          <w:numId w:val="1841"/>
        </w:numPr>
        <w:pStyle w:val="Compact"/>
      </w:pPr>
      <w:r>
        <w:rPr>
          <w:bCs/>
          <w:b/>
        </w:rPr>
        <w:t xml:space="preserve">Single obligor ≤ 1% of the pool</w:t>
      </w:r>
      <w:r>
        <w:t xml:space="preserve">, or 2% if the originator retains subordinated tranches covering the first 10% of losses (para 73).</w:t>
      </w:r>
    </w:p>
    <w:p>
      <w:pPr>
        <w:numPr>
          <w:ilvl w:val="0"/>
          <w:numId w:val="1841"/>
        </w:numPr>
        <w:pStyle w:val="Compact"/>
      </w:pPr>
      <w:r>
        <w:t xml:space="preserve">The investor self-assesses. The originator decides for retained positions where significant credit risk transfer (SRT) is achieved. Compliance is checked continuously, and dynamically on additions. RBI may deny the treatment or apply Pillar 2 (paras 74–79).</w:t>
      </w:r>
    </w:p>
    <w:p>
      <w:pPr>
        <w:pStyle w:val="FirstParagraph"/>
      </w:pPr>
      <w:r>
        <w:rPr>
          <w:bCs/>
          <w:b/>
        </w:rPr>
        <w:t xml:space="preserve">Facilities (Ch IV, paras 80–96):</w:t>
      </w:r>
    </w:p>
    <w:p>
      <w:pPr>
        <w:numPr>
          <w:ilvl w:val="0"/>
          <w:numId w:val="1842"/>
        </w:numPr>
        <w:pStyle w:val="Compact"/>
      </w:pPr>
      <w:r>
        <w:t xml:space="preserve">Providers must be regulated by a financial-sector regulator (para 80).</w:t>
      </w:r>
    </w:p>
    <w:p>
      <w:pPr>
        <w:numPr>
          <w:ilvl w:val="0"/>
          <w:numId w:val="1842"/>
        </w:numPr>
        <w:pStyle w:val="Compact"/>
      </w:pPr>
      <w:r>
        <w:rPr>
          <w:bCs/>
          <w:b/>
        </w:rPr>
        <w:t xml:space="preserve">Common conditions (para 81):</w:t>
      </w:r>
      <w:r>
        <w:t xml:space="preserve"> </w:t>
      </w:r>
      <w:r>
        <w:t xml:space="preserve">separate written agreement disclosed in the offer document; arm’s length; fee not subordinated or deferred; capped amount and term; no recourse or recurring expenses; legal opinion; the provider can be replaced.</w:t>
      </w:r>
    </w:p>
    <w:p>
      <w:pPr>
        <w:numPr>
          <w:ilvl w:val="0"/>
          <w:numId w:val="1842"/>
        </w:numPr>
        <w:pStyle w:val="Compact"/>
      </w:pPr>
      <w:r>
        <w:rPr>
          <w:bCs/>
          <w:b/>
        </w:rPr>
        <w:t xml:space="preserve">Credit enhancement (para 83):</w:t>
      </w:r>
      <w:r>
        <w:t xml:space="preserve"> </w:t>
      </w:r>
      <w:r>
        <w:t xml:space="preserve">only at initiation; available for the life of the notes;</w:t>
      </w:r>
      <w:r>
        <w:t xml:space="preserve"> </w:t>
      </w:r>
      <w:r>
        <w:rPr>
          <w:bCs/>
          <w:b/>
        </w:rPr>
        <w:t xml:space="preserve">drawdowns written off to P&amp;L immediately</w:t>
      </w:r>
      <w:r>
        <w:t xml:space="preserve">. Otherwise, capital = full securitised value.</w:t>
      </w:r>
    </w:p>
    <w:p>
      <w:pPr>
        <w:numPr>
          <w:ilvl w:val="0"/>
          <w:numId w:val="1842"/>
        </w:numPr>
        <w:pStyle w:val="Compact"/>
      </w:pPr>
      <w:r>
        <w:rPr>
          <w:bCs/>
          <w:b/>
        </w:rPr>
        <w:t xml:space="preserve">CE reset (paras 84–88):</w:t>
      </w:r>
    </w:p>
    <w:p>
      <w:pPr>
        <w:numPr>
          <w:ilvl w:val="1"/>
          <w:numId w:val="1843"/>
        </w:numPr>
        <w:pStyle w:val="Compact"/>
      </w:pPr>
      <w:r>
        <w:t xml:space="preserve">external CE only;</w:t>
      </w:r>
    </w:p>
    <w:p>
      <w:pPr>
        <w:numPr>
          <w:ilvl w:val="1"/>
          <w:numId w:val="1843"/>
        </w:numPr>
        <w:pStyle w:val="Compact"/>
      </w:pPr>
      <w:r>
        <w:t xml:space="preserve">re-rated by the original CRA, with no downgrade;</w:t>
      </w:r>
    </w:p>
    <w:p>
      <w:pPr>
        <w:numPr>
          <w:ilvl w:val="1"/>
          <w:numId w:val="1843"/>
        </w:numPr>
        <w:pStyle w:val="Compact"/>
      </w:pPr>
      <w:r>
        <w:t xml:space="preserve">investor consent;</w:t>
      </w:r>
    </w:p>
    <w:p>
      <w:pPr>
        <w:numPr>
          <w:ilvl w:val="1"/>
          <w:numId w:val="1843"/>
        </w:numPr>
        <w:pStyle w:val="Compact"/>
      </w:pPr>
      <w:r>
        <w:t xml:space="preserve">delinquency triggers;</w:t>
      </w:r>
    </w:p>
    <w:p>
      <w:pPr>
        <w:numPr>
          <w:ilvl w:val="1"/>
          <w:numId w:val="1843"/>
        </w:numPr>
        <w:pStyle w:val="Compact"/>
      </w:pPr>
      <w:r>
        <w:t xml:space="preserve">no reset of the equity tranche;</w:t>
      </w:r>
    </w:p>
    <w:p>
      <w:pPr>
        <w:numPr>
          <w:ilvl w:val="1"/>
          <w:numId w:val="1843"/>
        </w:numPr>
        <w:pStyle w:val="Compact"/>
      </w:pPr>
      <w:r>
        <w:rPr>
          <w:bCs/>
          <w:b/>
        </w:rPr>
        <w:t xml:space="preserve">non-RMBS: first reset after ≥ 50% amortisation, then at 60/70/80%; RMBS: after 25%, then every 10%;</w:t>
      </w:r>
    </w:p>
    <w:p>
      <w:pPr>
        <w:numPr>
          <w:ilvl w:val="1"/>
          <w:numId w:val="1843"/>
        </w:numPr>
        <w:pStyle w:val="Compact"/>
      </w:pPr>
      <w:r>
        <w:rPr>
          <w:bCs/>
          <w:b/>
        </w:rPr>
        <w:t xml:space="preserve">≥ 6 months between resets;</w:t>
      </w:r>
    </w:p>
    <w:p>
      <w:pPr>
        <w:numPr>
          <w:ilvl w:val="1"/>
          <w:numId w:val="1843"/>
        </w:numPr>
        <w:pStyle w:val="Compact"/>
      </w:pPr>
      <w:r>
        <w:rPr>
          <w:bCs/>
          <w:b/>
        </w:rPr>
        <w:t xml:space="preserve">floor 30% (non-RMBS) / 20% (RMBS) of the initial CE;</w:t>
      </w:r>
    </w:p>
    <w:p>
      <w:pPr>
        <w:numPr>
          <w:ilvl w:val="1"/>
          <w:numId w:val="1843"/>
        </w:numPr>
        <w:pStyle w:val="Compact"/>
      </w:pPr>
      <w:r>
        <w:rPr>
          <w:bCs/>
          <w:b/>
        </w:rPr>
        <w:t xml:space="preserve">release ≤ 60% of the excess;</w:t>
      </w:r>
    </w:p>
    <w:p>
      <w:pPr>
        <w:numPr>
          <w:ilvl w:val="1"/>
          <w:numId w:val="1843"/>
        </w:numPr>
        <w:pStyle w:val="Compact"/>
      </w:pPr>
      <w:r>
        <w:t xml:space="preserve">never below MRR.</w:t>
      </w:r>
    </w:p>
    <w:p>
      <w:pPr>
        <w:numPr>
          <w:ilvl w:val="0"/>
          <w:numId w:val="1842"/>
        </w:numPr>
        <w:pStyle w:val="Compact"/>
      </w:pPr>
      <w:r>
        <w:rPr>
          <w:bCs/>
          <w:b/>
        </w:rPr>
        <w:t xml:space="preserve">Liquidity facility (paras 89–91):</w:t>
      </w:r>
    </w:p>
    <w:p>
      <w:pPr>
        <w:numPr>
          <w:ilvl w:val="1"/>
          <w:numId w:val="1844"/>
        </w:numPr>
        <w:pStyle w:val="Compact"/>
      </w:pPr>
      <w:r>
        <w:t xml:space="preserve">drawable only against non-defaulted assets;</w:t>
      </w:r>
    </w:p>
    <w:p>
      <w:pPr>
        <w:numPr>
          <w:ilvl w:val="1"/>
          <w:numId w:val="1844"/>
        </w:numPr>
        <w:pStyle w:val="Compact"/>
      </w:pPr>
      <w:r>
        <w:t xml:space="preserve">not for CE, losses, permanent funding, expenses, buying assets, final repayment or warranty breaches;</w:t>
      </w:r>
    </w:p>
    <w:p>
      <w:pPr>
        <w:numPr>
          <w:ilvl w:val="1"/>
          <w:numId w:val="1844"/>
        </w:numPr>
        <w:pStyle w:val="Compact"/>
      </w:pPr>
      <w:r>
        <w:t xml:space="preserve">provided to the SPE only;</w:t>
      </w:r>
    </w:p>
    <w:p>
      <w:pPr>
        <w:numPr>
          <w:ilvl w:val="1"/>
          <w:numId w:val="1844"/>
        </w:numPr>
        <w:pStyle w:val="Compact"/>
      </w:pPr>
      <w:r>
        <w:rPr>
          <w:bCs/>
          <w:b/>
        </w:rPr>
        <w:t xml:space="preserve">ranks senior to the senior tranche</w:t>
      </w:r>
      <w:r>
        <w:t xml:space="preserve">;</w:t>
      </w:r>
    </w:p>
    <w:p>
      <w:pPr>
        <w:numPr>
          <w:ilvl w:val="1"/>
          <w:numId w:val="1844"/>
        </w:numPr>
        <w:pStyle w:val="Compact"/>
      </w:pPr>
      <w:r>
        <w:t xml:space="preserve">otherwise treated as CE;</w:t>
      </w:r>
    </w:p>
    <w:p>
      <w:pPr>
        <w:numPr>
          <w:ilvl w:val="1"/>
          <w:numId w:val="1844"/>
        </w:numPr>
        <w:pStyle w:val="Compact"/>
      </w:pPr>
      <w:r>
        <w:rPr>
          <w:bCs/>
          <w:b/>
        </w:rPr>
        <w:t xml:space="preserve">drawn &gt; 90 days = NPA, fully provided</w:t>
      </w:r>
      <w:r>
        <w:t xml:space="preserve">.</w:t>
      </w:r>
    </w:p>
    <w:p>
      <w:pPr>
        <w:numPr>
          <w:ilvl w:val="0"/>
          <w:numId w:val="1842"/>
        </w:numPr>
        <w:pStyle w:val="Compact"/>
      </w:pPr>
      <w:r>
        <w:rPr>
          <w:bCs/>
          <w:b/>
        </w:rPr>
        <w:t xml:space="preserve">Underwriting (paras 92–94):</w:t>
      </w:r>
    </w:p>
    <w:p>
      <w:pPr>
        <w:numPr>
          <w:ilvl w:val="1"/>
          <w:numId w:val="1845"/>
        </w:numPr>
        <w:pStyle w:val="Compact"/>
      </w:pPr>
      <w:r>
        <w:t xml:space="preserve">the originator may underwrite only</w:t>
      </w:r>
      <w:r>
        <w:t xml:space="preserve"> </w:t>
      </w:r>
      <w:r>
        <w:rPr>
          <w:bCs/>
          <w:b/>
        </w:rPr>
        <w:t xml:space="preserve">investment-grade senior notes</w:t>
      </w:r>
      <w:r>
        <w:t xml:space="preserve">;</w:t>
      </w:r>
    </w:p>
    <w:p>
      <w:pPr>
        <w:numPr>
          <w:ilvl w:val="1"/>
          <w:numId w:val="1845"/>
        </w:numPr>
        <w:pStyle w:val="Compact"/>
      </w:pPr>
      <w:r>
        <w:t xml:space="preserve">devolved notes sit outside the 20% cap if</w:t>
      </w:r>
      <w:r>
        <w:t xml:space="preserve"> </w:t>
      </w:r>
      <w:r>
        <w:rPr>
          <w:bCs/>
          <w:b/>
        </w:rPr>
        <w:t xml:space="preserve">sold within 3 months</w:t>
      </w:r>
      <w:r>
        <w:t xml:space="preserve">, with on-book capital in the meantime.</w:t>
      </w:r>
    </w:p>
    <w:p>
      <w:pPr>
        <w:numPr>
          <w:ilvl w:val="0"/>
          <w:numId w:val="1842"/>
        </w:numPr>
        <w:pStyle w:val="Compact"/>
      </w:pPr>
      <w:r>
        <w:rPr>
          <w:bCs/>
          <w:b/>
        </w:rPr>
        <w:t xml:space="preserve">Servicing (paras 95–96):</w:t>
      </w:r>
    </w:p>
    <w:p>
      <w:pPr>
        <w:numPr>
          <w:ilvl w:val="1"/>
          <w:numId w:val="1846"/>
        </w:numPr>
        <w:pStyle w:val="Compact"/>
      </w:pPr>
      <w:r>
        <w:t xml:space="preserve">no loss support beyond its own default, negligence or fraud;</w:t>
      </w:r>
    </w:p>
    <w:p>
      <w:pPr>
        <w:numPr>
          <w:ilvl w:val="1"/>
          <w:numId w:val="1846"/>
        </w:numPr>
        <w:pStyle w:val="Compact"/>
      </w:pPr>
      <w:r>
        <w:t xml:space="preserve">remit only after collection;</w:t>
      </w:r>
    </w:p>
    <w:p>
      <w:pPr>
        <w:numPr>
          <w:ilvl w:val="1"/>
          <w:numId w:val="1846"/>
        </w:numPr>
        <w:pStyle w:val="Compact"/>
      </w:pPr>
      <w:r>
        <w:rPr>
          <w:bCs/>
          <w:b/>
        </w:rPr>
        <w:t xml:space="preserve">trust, with no commingling</w:t>
      </w:r>
      <w:r>
        <w:t xml:space="preserve">;</w:t>
      </w:r>
    </w:p>
    <w:p>
      <w:pPr>
        <w:numPr>
          <w:ilvl w:val="1"/>
          <w:numId w:val="1846"/>
        </w:numPr>
        <w:pStyle w:val="Compact"/>
      </w:pPr>
      <w:r>
        <w:t xml:space="preserve">remit all collections.</w:t>
      </w:r>
    </w:p>
    <w:p>
      <w:pPr>
        <w:numPr>
          <w:ilvl w:val="1"/>
          <w:numId w:val="1846"/>
        </w:numPr>
        <w:pStyle w:val="Compact"/>
      </w:pPr>
      <w:r>
        <w:t xml:space="preserve">Otherwise treated as a liquidity facility.</w:t>
      </w:r>
    </w:p>
    <w:p>
      <w:pPr>
        <w:pStyle w:val="FirstParagraph"/>
      </w:pPr>
      <w:r>
        <w:rPr>
          <w:bCs/>
          <w:b/>
        </w:rPr>
        <w:t xml:space="preserve">Investor NBFC (Ch V, paras 97–107):</w:t>
      </w:r>
    </w:p>
    <w:p>
      <w:pPr>
        <w:numPr>
          <w:ilvl w:val="0"/>
          <w:numId w:val="1847"/>
        </w:numPr>
        <w:pStyle w:val="Compact"/>
      </w:pPr>
      <w:r>
        <w:rPr>
          <w:bCs/>
          <w:b/>
        </w:rPr>
        <w:t xml:space="preserve">Invest only on the originator’s explicit disclosure of MHP, ongoing MRR and KYC compliance</w:t>
      </w:r>
      <w:r>
        <w:t xml:space="preserve"> </w:t>
      </w:r>
      <w:r>
        <w:t xml:space="preserve">(paras 97–98).</w:t>
      </w:r>
    </w:p>
    <w:p>
      <w:pPr>
        <w:numPr>
          <w:ilvl w:val="0"/>
          <w:numId w:val="1847"/>
        </w:numPr>
        <w:pStyle w:val="Compact"/>
      </w:pPr>
      <w:r>
        <w:t xml:space="preserve">Pool and structure analysis; originator track record (paras 99–102).</w:t>
      </w:r>
    </w:p>
    <w:p>
      <w:pPr>
        <w:numPr>
          <w:ilvl w:val="0"/>
          <w:numId w:val="1847"/>
        </w:numPr>
        <w:pStyle w:val="Compact"/>
      </w:pPr>
      <w:r>
        <w:t xml:space="preserve">Own stress tests, with extra capital where needed (para 103). Board valuation policy (para 104).</w:t>
      </w:r>
    </w:p>
    <w:p>
      <w:pPr>
        <w:numPr>
          <w:ilvl w:val="0"/>
          <w:numId w:val="1847"/>
        </w:numPr>
        <w:pStyle w:val="Compact"/>
      </w:pPr>
      <w:r>
        <w:t xml:space="preserve">Counterparty = the underlying obligors (para 105).</w:t>
      </w:r>
    </w:p>
    <w:p>
      <w:pPr>
        <w:numPr>
          <w:ilvl w:val="0"/>
          <w:numId w:val="1847"/>
        </w:numPr>
        <w:pStyle w:val="Compact"/>
      </w:pPr>
      <w:r>
        <w:t xml:space="preserve">Monitoring of 30/60/90 DPD, defaults, prepayments, LTV, scores and geography, using Annex I (paras 106–107).</w:t>
      </w:r>
    </w:p>
    <w:p>
      <w:pPr>
        <w:pStyle w:val="FirstParagraph"/>
      </w:pPr>
      <w:r>
        <w:rPr>
          <w:bCs/>
          <w:b/>
        </w:rPr>
        <w:t xml:space="preserve">Capital and disclosure (Ch VI, paras 108–115):</w:t>
      </w:r>
    </w:p>
    <w:p>
      <w:pPr>
        <w:numPr>
          <w:ilvl w:val="0"/>
          <w:numId w:val="1848"/>
        </w:numPr>
        <w:pStyle w:val="Compact"/>
      </w:pPr>
      <w:r>
        <w:t xml:space="preserve">Capital on all securitisation exposures per the Capital Adequacy Directions (para 108) [VERIFY: Capital Adequacy Directions not yet supplied].</w:t>
      </w:r>
    </w:p>
    <w:p>
      <w:pPr>
        <w:numPr>
          <w:ilvl w:val="0"/>
          <w:numId w:val="1848"/>
        </w:numPr>
        <w:pStyle w:val="Compact"/>
      </w:pPr>
      <w:r>
        <w:t xml:space="preserve">Third-party servicer data</w:t>
      </w:r>
      <w:r>
        <w:t xml:space="preserve"> </w:t>
      </w:r>
      <w:r>
        <w:rPr>
          <w:bCs/>
          <w:b/>
        </w:rPr>
        <w:t xml:space="preserve">certified by auditors, preferably at least annually</w:t>
      </w:r>
      <w:r>
        <w:t xml:space="preserve"> </w:t>
      </w:r>
      <w:r>
        <w:t xml:space="preserve">(para 109).</w:t>
      </w:r>
    </w:p>
    <w:p>
      <w:pPr>
        <w:numPr>
          <w:ilvl w:val="0"/>
          <w:numId w:val="1848"/>
        </w:numPr>
        <w:pStyle w:val="Compact"/>
      </w:pPr>
      <w:r>
        <w:t xml:space="preserve">Disclose the weighted average holding period and MRR level (para 110). Loan-level data access for investors (para 111).</w:t>
      </w:r>
    </w:p>
    <w:p>
      <w:pPr>
        <w:numPr>
          <w:ilvl w:val="0"/>
          <w:numId w:val="1848"/>
        </w:numPr>
        <w:pStyle w:val="Compact"/>
      </w:pPr>
      <w:r>
        <w:rPr>
          <w:bCs/>
          <w:b/>
        </w:rPr>
        <w:t xml:space="preserve">Public MHP/MRR disclosure at origination, confirmed half-yearly (September and March) and on any breach, per transaction, in servicer, investor or trustee reports, in Annex I format</w:t>
      </w:r>
      <w:r>
        <w:t xml:space="preserve"> </w:t>
      </w:r>
      <w:r>
        <w:t xml:space="preserve">(paras 112–113).</w:t>
      </w:r>
    </w:p>
    <w:p>
      <w:pPr>
        <w:numPr>
          <w:ilvl w:val="0"/>
          <w:numId w:val="1848"/>
        </w:numPr>
        <w:pStyle w:val="Compact"/>
      </w:pPr>
      <w:r>
        <w:t xml:space="preserve">Notes to accounts per FS (para 114).</w:t>
      </w:r>
      <w:r>
        <w:t xml:space="preserve"> </w:t>
      </w:r>
      <w:r>
        <w:rPr>
          <w:bCs/>
          <w:b/>
        </w:rPr>
        <w:t xml:space="preserve">Quarterly securitisation report to RBI; format to be advised</w:t>
      </w:r>
      <w:r>
        <w:t xml:space="preserve"> </w:t>
      </w:r>
      <w:r>
        <w:t xml:space="preserve">(para 115).</w:t>
      </w:r>
    </w:p>
    <w:p>
      <w:pPr>
        <w:pStyle w:val="FirstParagraph"/>
      </w:pPr>
      <w:r>
        <w:rPr>
          <w:iCs/>
          <w:i/>
        </w:rPr>
        <w:t xml:space="preserve">Build:</w:t>
      </w:r>
      <w:r>
        <w:t xml:space="preserve"> </w:t>
      </w:r>
      <w:r>
        <w:t xml:space="preserve">Annex I generator per transaction:</w:t>
      </w:r>
    </w:p>
    <w:p>
      <w:pPr>
        <w:numPr>
          <w:ilvl w:val="0"/>
          <w:numId w:val="1849"/>
        </w:numPr>
        <w:pStyle w:val="Compact"/>
      </w:pPr>
      <w:r>
        <w:t xml:space="preserve">maturity profile, MHP, MRR (required, actual, form, breaches);</w:t>
      </w:r>
    </w:p>
    <w:p>
      <w:pPr>
        <w:numPr>
          <w:ilvl w:val="0"/>
          <w:numId w:val="1849"/>
        </w:numPr>
        <w:pStyle w:val="Compact"/>
      </w:pPr>
      <w:r>
        <w:t xml:space="preserve">overdue buckets, security cover, rating distribution;</w:t>
      </w:r>
    </w:p>
    <w:p>
      <w:pPr>
        <w:numPr>
          <w:ilvl w:val="0"/>
          <w:numId w:val="1849"/>
        </w:numPr>
        <w:pStyle w:val="Compact"/>
      </w:pPr>
      <w:r>
        <w:t xml:space="preserve">5-year default and recovery rates;</w:t>
      </w:r>
    </w:p>
    <w:p>
      <w:pPr>
        <w:numPr>
          <w:ilvl w:val="0"/>
          <w:numId w:val="1849"/>
        </w:numPr>
        <w:pStyle w:val="Compact"/>
      </w:pPr>
      <w:r>
        <w:t xml:space="preserve">LTV and DTI bands, prepayment, industry and state mix.</w:t>
      </w:r>
    </w:p>
    <w:p>
      <w:r>
        <w:pict>
          <v:rect style="width:0;height:1.5pt" o:hralign="center" o:hrstd="t" o:hr="t"/>
        </w:pict>
      </w:r>
    </w:p>
    <w:bookmarkEnd w:id="805"/>
    <w:bookmarkStart w:id="806" w:name="Xecb3a1d764afa8e9f5b52da5df19aad7178ef57"/>
    <w:p>
      <w:pPr>
        <w:pStyle w:val="Heading2"/>
      </w:pPr>
      <w:r>
        <w:t xml:space="preserve">8A.24 CAP — Prudential Norms on Capital Adequacy Directions (345)</w:t>
      </w:r>
    </w:p>
    <w:p>
      <w:pPr>
        <w:pStyle w:val="FirstParagraph"/>
      </w:pPr>
      <w:r>
        <w:rPr>
          <w:iCs/>
          <w:i/>
        </w:rPr>
        <w:t xml:space="preserve">RBI/DOR/2025-26/345; 28 Nov 2025, updated as on 1 Apr 2026. NBFC-D, ICC, Factor, IFC, IDF-NBFC, MFI by layer (para 3(1)); NBFC-MFI exempt from 6(1), 6(2), 17. HFC: only 6(4), 7, 8, 11, 15, 16, 18(2)(iv), 18(3)–(11), 19–54 (3(2)) — HFC on-balance-sheet RWs and CRAR minimum come from the HFC Directions. MGC: 6(4), 7, 8, 11, 15, 16, 54. CIC: 15, 16, 54. SPD: 16, 54. Not P2P, AA, NOFHC, NBFC without public funds and customer interface, or BL with customer interface but no public funds (3(6)).</w:t>
      </w:r>
    </w:p>
    <w:p>
      <w:pPr>
        <w:pStyle w:val="BodyText"/>
      </w:pPr>
      <w:r>
        <w:rPr>
          <w:bCs/>
          <w:b/>
        </w:rPr>
        <w:t xml:space="preserve">Structure:</w:t>
      </w:r>
      <w:r>
        <w:t xml:space="preserve"> </w:t>
      </w:r>
      <w:r>
        <w:t xml:space="preserve">Ch I paras 1–5; Ch II capital 6–17; Ch III RWAs 18 and securitisation 19–51; Ch IV CDS 52–53; Ch V ICAAP 54; Ch VI 55–58. Para 9(iii) inserted 10 Mar 2026; Sr (2)(e) amended w.e.f. 1 Apr 2026 (Amendment of 1 Jan 2026).</w:t>
      </w:r>
    </w:p>
    <w:p>
      <w:pPr>
        <w:pStyle w:val="BodyText"/>
      </w:pPr>
      <w:r>
        <w:rPr>
          <w:bCs/>
          <w:b/>
        </w:rPr>
        <w:t xml:space="preserve">Minimums, maintained on an ongoing basis (para 6):</w:t>
      </w:r>
    </w:p>
    <w:p>
      <w:pPr>
        <w:numPr>
          <w:ilvl w:val="0"/>
          <w:numId w:val="1850"/>
        </w:numPr>
        <w:pStyle w:val="Compact"/>
      </w:pPr>
      <w:r>
        <w:rPr>
          <w:bCs/>
          <w:b/>
        </w:rPr>
        <w:t xml:space="preserve">Gold-primary NBFC</w:t>
      </w:r>
      <w:r>
        <w:t xml:space="preserve"> </w:t>
      </w:r>
      <w:r>
        <w:t xml:space="preserve">(gold loans ≥ 50% of financial assets, 4(8)), any layer:</w:t>
      </w:r>
      <w:r>
        <w:t xml:space="preserve"> </w:t>
      </w:r>
      <w:r>
        <w:rPr>
          <w:bCs/>
          <w:b/>
        </w:rPr>
        <w:t xml:space="preserve">Tier 1 ≥ 12%, CRAR ≥ 15%</w:t>
      </w:r>
      <w:r>
        <w:t xml:space="preserve">; Tier 2 ≤ 100% of Tier 1 (6(1)).</w:t>
      </w:r>
    </w:p>
    <w:p>
      <w:pPr>
        <w:numPr>
          <w:ilvl w:val="0"/>
          <w:numId w:val="1850"/>
        </w:numPr>
        <w:pStyle w:val="Compact"/>
      </w:pPr>
      <w:r>
        <w:rPr>
          <w:bCs/>
          <w:b/>
        </w:rPr>
        <w:t xml:space="preserve">ML and above:</w:t>
      </w:r>
      <w:r>
        <w:t xml:space="preserve"> </w:t>
      </w:r>
      <w:r>
        <w:rPr>
          <w:bCs/>
          <w:b/>
        </w:rPr>
        <w:t xml:space="preserve">Tier 1 ≥ 10%</w:t>
      </w:r>
      <w:r>
        <w:t xml:space="preserve"> </w:t>
      </w:r>
      <w:r>
        <w:t xml:space="preserve">(6(2));</w:t>
      </w:r>
      <w:r>
        <w:t xml:space="preserve"> </w:t>
      </w:r>
      <w:r>
        <w:rPr>
          <w:bCs/>
          <w:b/>
        </w:rPr>
        <w:t xml:space="preserve">CRAR ≥ 15%</w:t>
      </w:r>
      <w:r>
        <w:t xml:space="preserve">; Tier 2 ≤ 100% of Tier 1 (6(3)).</w:t>
      </w:r>
    </w:p>
    <w:p>
      <w:pPr>
        <w:numPr>
          <w:ilvl w:val="0"/>
          <w:numId w:val="1850"/>
        </w:numPr>
        <w:pStyle w:val="Compact"/>
      </w:pPr>
      <w:r>
        <w:rPr>
          <w:bCs/>
          <w:b/>
        </w:rPr>
        <w:t xml:space="preserve">UL:</w:t>
      </w:r>
      <w:r>
        <w:t xml:space="preserve"> </w:t>
      </w:r>
      <w:r>
        <w:t xml:space="preserve">additionally</w:t>
      </w:r>
      <w:r>
        <w:t xml:space="preserve"> </w:t>
      </w:r>
      <w:r>
        <w:rPr>
          <w:bCs/>
          <w:b/>
        </w:rPr>
        <w:t xml:space="preserve">CET1 ≥ 9%</w:t>
      </w:r>
      <w:r>
        <w:t xml:space="preserve"> </w:t>
      </w:r>
      <w:r>
        <w:t xml:space="preserve">(6(4)).</w:t>
      </w:r>
    </w:p>
    <w:p>
      <w:pPr>
        <w:numPr>
          <w:ilvl w:val="0"/>
          <w:numId w:val="1850"/>
        </w:numPr>
        <w:pStyle w:val="Compact"/>
      </w:pPr>
      <w:r>
        <w:rPr>
          <w:bCs/>
          <w:b/>
        </w:rPr>
        <w:t xml:space="preserve">TL:</w:t>
      </w:r>
      <w:r>
        <w:t xml:space="preserve"> </w:t>
      </w:r>
      <w:r>
        <w:t xml:space="preserve">higher charge as communicated by RBI (6(5)).</w:t>
      </w:r>
    </w:p>
    <w:p>
      <w:pPr>
        <w:numPr>
          <w:ilvl w:val="0"/>
          <w:numId w:val="1850"/>
        </w:numPr>
        <w:pStyle w:val="Compact"/>
      </w:pPr>
      <w:r>
        <w:rPr>
          <w:bCs/>
          <w:b/>
        </w:rPr>
        <w:t xml:space="preserve">BL (not gold-primary):</w:t>
      </w:r>
      <w:r>
        <w:t xml:space="preserve"> </w:t>
      </w:r>
      <w:r>
        <w:t xml:space="preserve">no CRAR in this text;</w:t>
      </w:r>
      <w:r>
        <w:t xml:space="preserve"> </w:t>
      </w:r>
      <w:r>
        <w:rPr>
          <w:bCs/>
          <w:b/>
        </w:rPr>
        <w:t xml:space="preserve">leverage ≤ 7 at all times</w:t>
      </w:r>
      <w:r>
        <w:t xml:space="preserve"> </w:t>
      </w:r>
      <w:r>
        <w:t xml:space="preserve">(17). Leverage = total outside liabilities ÷ owned fund (4(7)).</w:t>
      </w:r>
    </w:p>
    <w:p>
      <w:pPr>
        <w:numPr>
          <w:ilvl w:val="0"/>
          <w:numId w:val="1850"/>
        </w:numPr>
        <w:pStyle w:val="Compact"/>
      </w:pPr>
      <w:r>
        <w:rPr>
          <w:bCs/>
          <w:b/>
        </w:rPr>
        <w:t xml:space="preserve">NBFC-MFI:</w:t>
      </w:r>
      <w:r>
        <w:t xml:space="preserve"> </w:t>
      </w:r>
      <w:r>
        <w:t xml:space="preserve">a BL MFI’s minimum comes from the MFI Directions [VERIFY: not supplied].</w:t>
      </w:r>
    </w:p>
    <w:p>
      <w:pPr>
        <w:numPr>
          <w:ilvl w:val="0"/>
          <w:numId w:val="1850"/>
        </w:numPr>
        <w:pStyle w:val="Compact"/>
      </w:pPr>
      <w:r>
        <w:rPr>
          <w:bCs/>
          <w:b/>
        </w:rPr>
        <w:t xml:space="preserve">No capital conservation buffer, no countercyclical buffer and no Pillar 1 operational- or market-risk charge</w:t>
      </w:r>
      <w:r>
        <w:t xml:space="preserve"> </w:t>
      </w:r>
      <w:r>
        <w:t xml:space="preserve">in this text. Pillar 1 covers credit risk only, including counterparty credit risk on derivatives.</w:t>
      </w:r>
    </w:p>
    <w:p>
      <w:pPr>
        <w:pStyle w:val="FirstParagraph"/>
      </w:pPr>
      <w:r>
        <w:rPr>
          <w:bCs/>
          <w:b/>
        </w:rPr>
        <w:t xml:space="preserve">Owned fund (para 9):</w:t>
      </w:r>
    </w:p>
    <w:p>
      <w:pPr>
        <w:numPr>
          <w:ilvl w:val="0"/>
          <w:numId w:val="1851"/>
        </w:numPr>
        <w:pStyle w:val="Compact"/>
      </w:pPr>
      <w:r>
        <w:t xml:space="preserve">Components: paid-up equity, CCPS, free reserves (including quarterly profits), share premium, capital reserves from asset sale proceeds (excluding revaluation reserves).</w:t>
      </w:r>
    </w:p>
    <w:p>
      <w:pPr>
        <w:numPr>
          <w:ilvl w:val="0"/>
          <w:numId w:val="1851"/>
        </w:numPr>
        <w:pStyle w:val="Compact"/>
      </w:pPr>
      <w:r>
        <w:t xml:space="preserve">Deductions: accumulated losses, intangibles, deferred revenue expenditure. ROU assets on tangible leases are not deducted.</w:t>
      </w:r>
    </w:p>
    <w:p>
      <w:pPr>
        <w:numPr>
          <w:ilvl w:val="0"/>
          <w:numId w:val="1851"/>
        </w:numPr>
        <w:pStyle w:val="Compact"/>
      </w:pPr>
      <w:r>
        <w:rPr>
          <w:bCs/>
          <w:b/>
        </w:rPr>
        <w:t xml:space="preserve">Quarterly profits (9(iii), from 10 Mar 2026):</w:t>
      </w:r>
      <w:r>
        <w:t xml:space="preserve"> </w:t>
      </w:r>
      <w:r>
        <w:t xml:space="preserve">only after quarterly limited review or audit;</w:t>
      </w:r>
      <w:r>
        <w:t xml:space="preserve"> </w:t>
      </w:r>
      <w:r>
        <w:rPr>
          <w:bCs/>
          <w:b/>
        </w:rPr>
        <w:t xml:space="preserve">EPt = NPt − 0.25 × D × t</w:t>
      </w:r>
      <w:r>
        <w:t xml:space="preserve"> </w:t>
      </w:r>
      <w:r>
        <w:t xml:space="preserve">(D = average dividend for the last 3 FYs; t = 1–4). Current-year losses deducted in full.</w:t>
      </w:r>
    </w:p>
    <w:p>
      <w:pPr>
        <w:pStyle w:val="FirstParagraph"/>
      </w:pPr>
      <w:r>
        <w:rPr>
          <w:bCs/>
          <w:b/>
        </w:rPr>
        <w:t xml:space="preserve">CET1 (UL; paras 7–8):</w:t>
      </w:r>
    </w:p>
    <w:p>
      <w:pPr>
        <w:numPr>
          <w:ilvl w:val="0"/>
          <w:numId w:val="1852"/>
        </w:numPr>
        <w:pStyle w:val="Compact"/>
      </w:pPr>
      <w:r>
        <w:t xml:space="preserve">Components: equity, share premium, capital reserves from sale proceeds, statutory reserves, other free reserves, retained earnings. Revaluation reserves may count as CET1 at a</w:t>
      </w:r>
      <w:r>
        <w:t xml:space="preserve"> </w:t>
      </w:r>
      <w:r>
        <w:rPr>
          <w:bCs/>
          <w:b/>
        </w:rPr>
        <w:t xml:space="preserve">55% discount</w:t>
      </w:r>
      <w:r>
        <w:t xml:space="preserve"> </w:t>
      </w:r>
      <w:r>
        <w:t xml:space="preserve">if conditions (a)–(g) are met, including two independent valuers every 3 years (7(v)). Current-year profit uses the same EPt formula (7(viii)).</w:t>
      </w:r>
    </w:p>
    <w:p>
      <w:pPr>
        <w:numPr>
          <w:ilvl w:val="0"/>
          <w:numId w:val="1852"/>
        </w:numPr>
        <w:pStyle w:val="Compact"/>
      </w:pPr>
      <w:r>
        <w:rPr>
          <w:bCs/>
          <w:b/>
        </w:rPr>
        <w:t xml:space="preserve">Deductions (para 8):</w:t>
      </w:r>
    </w:p>
    <w:p>
      <w:pPr>
        <w:numPr>
          <w:ilvl w:val="1"/>
          <w:numId w:val="1853"/>
        </w:numPr>
        <w:pStyle w:val="Compact"/>
      </w:pPr>
      <w:r>
        <w:t xml:space="preserve">goodwill and intangibles (net of associated DTL), current and brought-forward losses;</w:t>
      </w:r>
    </w:p>
    <w:p>
      <w:pPr>
        <w:numPr>
          <w:ilvl w:val="1"/>
          <w:numId w:val="1853"/>
        </w:numPr>
        <w:pStyle w:val="Compact"/>
      </w:pPr>
      <w:r>
        <w:t xml:space="preserve">DTAs on losses in full, and other DTAs net of DTL (excess DTL not added back);</w:t>
      </w:r>
    </w:p>
    <w:p>
      <w:pPr>
        <w:numPr>
          <w:ilvl w:val="1"/>
          <w:numId w:val="1853"/>
        </w:numPr>
        <w:pStyle w:val="Compact"/>
      </w:pPr>
      <w:r>
        <w:rPr>
          <w:bCs/>
          <w:b/>
        </w:rPr>
        <w:t xml:space="preserve">investments in other NBFCs’ shares plus group exposures (shares, debentures, loans, HP/lease, deposits incl. margin money) above 10% of owned fund</w:t>
      </w:r>
      <w:r>
        <w:t xml:space="preserve">, at the lower of cost and fair value;</w:t>
      </w:r>
    </w:p>
    <w:p>
      <w:pPr>
        <w:numPr>
          <w:ilvl w:val="1"/>
          <w:numId w:val="1853"/>
        </w:numPr>
        <w:pStyle w:val="Compact"/>
      </w:pPr>
      <w:r>
        <w:t xml:space="preserve">defined-benefit pension assets; treasury stock.</w:t>
      </w:r>
    </w:p>
    <w:p>
      <w:pPr>
        <w:numPr>
          <w:ilvl w:val="0"/>
          <w:numId w:val="1852"/>
        </w:numPr>
        <w:pStyle w:val="Compact"/>
      </w:pPr>
      <w:r>
        <w:t xml:space="preserve">The Impairment Reserve is not recognised (8(4)).</w:t>
      </w:r>
    </w:p>
    <w:p>
      <w:pPr>
        <w:pStyle w:val="FirstParagraph"/>
      </w:pPr>
      <w:r>
        <w:rPr>
          <w:bCs/>
          <w:b/>
        </w:rPr>
        <w:t xml:space="preserve">Tier 1:</w:t>
      </w:r>
    </w:p>
    <w:p>
      <w:pPr>
        <w:numPr>
          <w:ilvl w:val="0"/>
          <w:numId w:val="1854"/>
        </w:numPr>
        <w:pStyle w:val="Compact"/>
      </w:pPr>
      <w:r>
        <w:rPr>
          <w:bCs/>
          <w:b/>
        </w:rPr>
        <w:t xml:space="preserve">BL gold-primary and ML (10):</w:t>
      </w:r>
      <w:r>
        <w:t xml:space="preserve"> </w:t>
      </w:r>
      <w:r>
        <w:t xml:space="preserve">owned fund less NBFC-share and group exposures above 10% of owned fund, plus PDI up to</w:t>
      </w:r>
      <w:r>
        <w:t xml:space="preserve"> </w:t>
      </w:r>
      <w:r>
        <w:rPr>
          <w:bCs/>
          <w:b/>
        </w:rPr>
        <w:t xml:space="preserve">15% of Tier 1 as on the previous 31 March</w:t>
      </w:r>
      <w:r>
        <w:t xml:space="preserve">.</w:t>
      </w:r>
      <w:r>
        <w:t xml:space="preserve"> </w:t>
      </w:r>
      <w:r>
        <w:rPr>
          <w:bCs/>
          <w:b/>
        </w:rPr>
        <w:t xml:space="preserve">A BL NBFC may not include PDI.</w:t>
      </w:r>
    </w:p>
    <w:p>
      <w:pPr>
        <w:numPr>
          <w:ilvl w:val="0"/>
          <w:numId w:val="1854"/>
        </w:numPr>
        <w:pStyle w:val="Compact"/>
      </w:pPr>
      <w:r>
        <w:rPr>
          <w:bCs/>
          <w:b/>
        </w:rPr>
        <w:t xml:space="preserve">UL (11):</w:t>
      </w:r>
      <w:r>
        <w:t xml:space="preserve"> </w:t>
      </w:r>
      <w:r>
        <w:t xml:space="preserve">CET1 + CCPS + PDI (same 15% cap).</w:t>
      </w:r>
    </w:p>
    <w:p>
      <w:pPr>
        <w:pStyle w:val="FirstParagraph"/>
      </w:pPr>
      <w:r>
        <w:rPr>
          <w:bCs/>
          <w:b/>
        </w:rPr>
        <w:t xml:space="preserve">PDI terms (para 12):</w:t>
      </w:r>
    </w:p>
    <w:p>
      <w:pPr>
        <w:numPr>
          <w:ilvl w:val="0"/>
          <w:numId w:val="1855"/>
        </w:numPr>
        <w:pStyle w:val="Compact"/>
      </w:pPr>
      <w:r>
        <w:t xml:space="preserve">INR only; minimum</w:t>
      </w:r>
      <w:r>
        <w:t xml:space="preserve"> </w:t>
      </w:r>
      <w:r>
        <w:rPr>
          <w:bCs/>
          <w:b/>
        </w:rPr>
        <w:t xml:space="preserve">₹5 lakh</w:t>
      </w:r>
      <w:r>
        <w:t xml:space="preserve"> </w:t>
      </w:r>
      <w:r>
        <w:t xml:space="preserve">per investor per tranche; perpetual.</w:t>
      </w:r>
    </w:p>
    <w:p>
      <w:pPr>
        <w:numPr>
          <w:ilvl w:val="0"/>
          <w:numId w:val="1855"/>
        </w:numPr>
        <w:pStyle w:val="Compact"/>
      </w:pPr>
      <w:r>
        <w:t xml:space="preserve">Call option only after</w:t>
      </w:r>
      <w:r>
        <w:t xml:space="preserve"> </w:t>
      </w:r>
      <w:r>
        <w:rPr>
          <w:bCs/>
          <w:b/>
        </w:rPr>
        <w:t xml:space="preserve">10 years</w:t>
      </w:r>
      <w:r>
        <w:t xml:space="preserve">, with prior RBI approval. One step-up of at most</w:t>
      </w:r>
      <w:r>
        <w:t xml:space="preserve"> </w:t>
      </w:r>
      <w:r>
        <w:rPr>
          <w:bCs/>
          <w:b/>
        </w:rPr>
        <w:t xml:space="preserve">100 bps</w:t>
      </w:r>
      <w:r>
        <w:t xml:space="preserve">, after 10 years.</w:t>
      </w:r>
    </w:p>
    <w:p>
      <w:pPr>
        <w:numPr>
          <w:ilvl w:val="0"/>
          <w:numId w:val="1855"/>
        </w:numPr>
        <w:pStyle w:val="Compact"/>
      </w:pPr>
      <w:r>
        <w:rPr>
          <w:bCs/>
          <w:b/>
        </w:rPr>
        <w:t xml:space="preserve">Interest lock-in</w:t>
      </w:r>
      <w:r>
        <w:t xml:space="preserve"> </w:t>
      </w:r>
      <w:r>
        <w:t xml:space="preserve">when CRAR is below the minimum or the payment would take it below (12(8)); each invocation notified to the DoS RO.</w:t>
      </w:r>
    </w:p>
    <w:p>
      <w:pPr>
        <w:numPr>
          <w:ilvl w:val="0"/>
          <w:numId w:val="1855"/>
        </w:numPr>
        <w:pStyle w:val="Compact"/>
      </w:pPr>
      <w:r>
        <w:t xml:space="preserve">No advances against own PDI (12(14)). FII investment needs RBI approval.</w:t>
      </w:r>
    </w:p>
    <w:p>
      <w:pPr>
        <w:numPr>
          <w:ilvl w:val="0"/>
          <w:numId w:val="1855"/>
        </w:numPr>
        <w:pStyle w:val="Compact"/>
      </w:pPr>
      <w:r>
        <w:t xml:space="preserve">Report to the DoS RO with the offer document soon after issue (12(12)). Annual-report disclosures (12(15)).</w:t>
      </w:r>
    </w:p>
    <w:p>
      <w:pPr>
        <w:pStyle w:val="FirstParagraph"/>
      </w:pPr>
      <w:r>
        <w:rPr>
          <w:bCs/>
          <w:b/>
        </w:rPr>
        <w:t xml:space="preserve">Tier 2 (para 13):</w:t>
      </w:r>
    </w:p>
    <w:p>
      <w:pPr>
        <w:numPr>
          <w:ilvl w:val="0"/>
          <w:numId w:val="1856"/>
        </w:numPr>
        <w:pStyle w:val="Compact"/>
      </w:pPr>
      <w:r>
        <w:t xml:space="preserve">Preference shares that are not compulsorily convertible.</w:t>
      </w:r>
    </w:p>
    <w:p>
      <w:pPr>
        <w:numPr>
          <w:ilvl w:val="0"/>
          <w:numId w:val="1856"/>
        </w:numPr>
        <w:pStyle w:val="Compact"/>
      </w:pPr>
      <w:r>
        <w:t xml:space="preserve">Revaluation reserves at a 55% discount.</w:t>
      </w:r>
    </w:p>
    <w:p>
      <w:pPr>
        <w:numPr>
          <w:ilvl w:val="0"/>
          <w:numId w:val="1856"/>
        </w:numPr>
        <w:pStyle w:val="Compact"/>
      </w:pPr>
      <w:r>
        <w:t xml:space="preserve">General provisions and loss reserves up to</w:t>
      </w:r>
      <w:r>
        <w:t xml:space="preserve"> </w:t>
      </w:r>
      <w:r>
        <w:rPr>
          <w:bCs/>
          <w:b/>
        </w:rPr>
        <w:t xml:space="preserve">1.25% of RWAs</w:t>
      </w:r>
      <w:r>
        <w:t xml:space="preserve">.</w:t>
      </w:r>
    </w:p>
    <w:p>
      <w:pPr>
        <w:numPr>
          <w:ilvl w:val="0"/>
          <w:numId w:val="1856"/>
        </w:numPr>
        <w:pStyle w:val="Compact"/>
      </w:pPr>
      <w:r>
        <w:t xml:space="preserve">Hybrid debt.</w:t>
      </w:r>
    </w:p>
    <w:p>
      <w:pPr>
        <w:numPr>
          <w:ilvl w:val="0"/>
          <w:numId w:val="1856"/>
        </w:numPr>
        <w:pStyle w:val="Compact"/>
      </w:pPr>
      <w:r>
        <w:t xml:space="preserve">Subordinated debt, discounted by remaining maturity (≤ 1 year 100%; 1–2 years 80%; 2–3 years 60%; 3–4 years 40%; 4–5 years 20%), capped at</w:t>
      </w:r>
      <w:r>
        <w:t xml:space="preserve"> </w:t>
      </w:r>
      <w:r>
        <w:rPr>
          <w:bCs/>
          <w:b/>
        </w:rPr>
        <w:t xml:space="preserve">50% of Tier 1</w:t>
      </w:r>
      <w:r>
        <w:t xml:space="preserve">.</w:t>
      </w:r>
    </w:p>
    <w:p>
      <w:pPr>
        <w:numPr>
          <w:ilvl w:val="0"/>
          <w:numId w:val="1856"/>
        </w:numPr>
        <w:pStyle w:val="Compact"/>
      </w:pPr>
      <w:r>
        <w:t xml:space="preserve">PDI above the Tier 1 cap.</w:t>
      </w:r>
      <w:r>
        <w:t xml:space="preserve"> </w:t>
      </w:r>
      <w:r>
        <w:rPr>
          <w:bCs/>
          <w:b/>
        </w:rPr>
        <w:t xml:space="preserve">A BL NBFC may not include PDI in Tier 2.</w:t>
      </w:r>
    </w:p>
    <w:p>
      <w:pPr>
        <w:pStyle w:val="FirstParagraph"/>
      </w:pPr>
      <w:r>
        <w:rPr>
          <w:bCs/>
          <w:b/>
        </w:rPr>
        <w:t xml:space="preserve">DTA/DTL (para 14):</w:t>
      </w:r>
      <w:r>
        <w:t xml:space="preserve"> </w:t>
      </w:r>
      <w:r>
        <w:t xml:space="preserve">DTA treated as an intangible and deducted from Tier 1 (14(1)–(3)); DTL balance excluded from both tiers (14(5)).</w:t>
      </w:r>
    </w:p>
    <w:p>
      <w:pPr>
        <w:pStyle w:val="BodyText"/>
      </w:pPr>
      <w:r>
        <w:rPr>
          <w:bCs/>
          <w:b/>
        </w:rPr>
        <w:t xml:space="preserve">Other deductions (para 15):</w:t>
      </w:r>
    </w:p>
    <w:p>
      <w:pPr>
        <w:numPr>
          <w:ilvl w:val="0"/>
          <w:numId w:val="1857"/>
        </w:numPr>
        <w:pStyle w:val="Compact"/>
      </w:pPr>
      <w:r>
        <w:t xml:space="preserve">Subordinated AIF units: whole investment deducted, proportionately from Tier 1 and Tier 2 (15(1)).</w:t>
      </w:r>
    </w:p>
    <w:p>
      <w:pPr>
        <w:numPr>
          <w:ilvl w:val="0"/>
          <w:numId w:val="1857"/>
        </w:numPr>
        <w:pStyle w:val="Compact"/>
      </w:pPr>
      <w:r>
        <w:t xml:space="preserve">Unrealised co-lending profit deducted from CET1/NOF until loan maturity (15(2)).</w:t>
      </w:r>
    </w:p>
    <w:p>
      <w:pPr>
        <w:numPr>
          <w:ilvl w:val="0"/>
          <w:numId w:val="1857"/>
        </w:numPr>
        <w:pStyle w:val="Compact"/>
      </w:pPr>
      <w:r>
        <w:rPr>
          <w:bCs/>
          <w:b/>
        </w:rPr>
        <w:t xml:space="preserve">Full outstanding DLG deducted from capital</w:t>
      </w:r>
      <w:r>
        <w:t xml:space="preserve"> </w:t>
      </w:r>
      <w:r>
        <w:t xml:space="preserve">(15(3)).</w:t>
      </w:r>
    </w:p>
    <w:p>
      <w:pPr>
        <w:pStyle w:val="FirstParagraph"/>
      </w:pPr>
      <w:r>
        <w:rPr>
          <w:bCs/>
          <w:b/>
        </w:rPr>
        <w:t xml:space="preserve">Ind AS filters (para 16):</w:t>
      </w:r>
    </w:p>
    <w:p>
      <w:pPr>
        <w:numPr>
          <w:ilvl w:val="0"/>
          <w:numId w:val="1858"/>
        </w:numPr>
        <w:pStyle w:val="Compact"/>
      </w:pPr>
      <w:r>
        <w:t xml:space="preserve">Net unrealised fair-value gains excluded from owned fund and CET1; losses counted. Two netting buckets — (i) NBFC/group investments, (ii) others — with no cross-offset, net of tax (16(1)).</w:t>
      </w:r>
    </w:p>
    <w:p>
      <w:pPr>
        <w:numPr>
          <w:ilvl w:val="0"/>
          <w:numId w:val="1858"/>
        </w:numPr>
        <w:pStyle w:val="Compact"/>
      </w:pPr>
      <w:r>
        <w:t xml:space="preserve">Bucket (ii) gains excluded from capital are also deducted from RWAs (16(2)).</w:t>
      </w:r>
    </w:p>
    <w:p>
      <w:pPr>
        <w:numPr>
          <w:ilvl w:val="0"/>
          <w:numId w:val="1858"/>
        </w:numPr>
        <w:pStyle w:val="Compact"/>
      </w:pPr>
      <w:r>
        <w:t xml:space="preserve">Own-credit and cash-flow-hedge reserves derecognised (16(3)); hedge offset allowed (16(4)).</w:t>
      </w:r>
    </w:p>
    <w:p>
      <w:pPr>
        <w:numPr>
          <w:ilvl w:val="0"/>
          <w:numId w:val="1858"/>
        </w:numPr>
        <w:pStyle w:val="Compact"/>
      </w:pPr>
      <w:r>
        <w:t xml:space="preserve">Deemed-cost PPE gains count as Tier 2 at a 55% discount (16(5)).</w:t>
      </w:r>
    </w:p>
    <w:p>
      <w:pPr>
        <w:numPr>
          <w:ilvl w:val="0"/>
          <w:numId w:val="1858"/>
        </w:numPr>
        <w:pStyle w:val="Compact"/>
      </w:pPr>
      <w:r>
        <w:rPr>
          <w:bCs/>
          <w:b/>
        </w:rPr>
        <w:t xml:space="preserve">Stage 1 (12-month) ECL counts as Tier 2 within the 1.25% cap; lifetime ECL is excluded from capital and deducted from RWAs</w:t>
      </w:r>
      <w:r>
        <w:t xml:space="preserve"> </w:t>
      </w:r>
      <w:r>
        <w:t xml:space="preserve">(16(6)).</w:t>
      </w:r>
    </w:p>
    <w:p>
      <w:pPr>
        <w:numPr>
          <w:ilvl w:val="0"/>
          <w:numId w:val="1858"/>
        </w:numPr>
        <w:pStyle w:val="Compact"/>
      </w:pPr>
      <w:r>
        <w:t xml:space="preserve">Securitised assets not derecognised because of originator credit enhancement:</w:t>
      </w:r>
      <w:r>
        <w:t xml:space="preserve"> </w:t>
      </w:r>
      <w:r>
        <w:rPr>
          <w:bCs/>
          <w:b/>
        </w:rPr>
        <w:t xml:space="preserve">0% RW</w:t>
      </w:r>
      <w:r>
        <w:t xml:space="preserve">; the CE is deducted 50% from Tier 1 and 50% from Tier 2 (16(7)).</w:t>
      </w:r>
    </w:p>
    <w:p>
      <w:pPr>
        <w:numPr>
          <w:ilvl w:val="0"/>
          <w:numId w:val="1858"/>
        </w:numPr>
        <w:pStyle w:val="Compact"/>
      </w:pPr>
      <w:r>
        <w:t xml:space="preserve">Impairment Reserve not reckoned (16(8)).</w:t>
      </w:r>
    </w:p>
    <w:p>
      <w:pPr>
        <w:pStyle w:val="FirstParagraph"/>
      </w:pPr>
      <w:r>
        <w:rPr>
          <w:bCs/>
          <w:b/>
        </w:rPr>
        <w:t xml:space="preserve">On-balance-sheet risk weights (18(1)).</w:t>
      </w:r>
      <w:r>
        <w:t xml:space="preserve"> </w:t>
      </w:r>
      <w:r>
        <w:t xml:space="preserve">Load as a versioned</w:t>
      </w:r>
      <w:r>
        <w:t xml:space="preserve"> </w:t>
      </w:r>
      <w:r>
        <w:rPr>
          <w:rStyle w:val="VerbatimChar"/>
        </w:rPr>
        <w:t xml:space="preserve">rw_class</w:t>
      </w:r>
      <w:r>
        <w:t xml:space="preserve"> </w:t>
      </w:r>
      <w:r>
        <w:t xml:space="preserve">master.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27"/>
        <w:gridCol w:w="5782"/>
        <w:gridCol w:w="1929"/>
      </w:tblGrid>
      <w:tr>
        <w:trPr>
          <w:tblHeader w:val="true"/>
          <w:tblHeader w:val="true"/>
        </w:trPr>
        <w:tc>
          <w:tcPr>
            <w:tcW w:w="1927" w:type="dxa"/>
            <w:shd w:val="clear" w:color="auto" w:fill="1F3A5F"/>
          </w:tcPr>
          <w:p>
            <w:pPr>
              <w:pStyle w:val="Compact"/>
              <w:spacing w:after="40"/>
              <w:jc w:val="left"/>
            </w:pPr>
            <w:r>
              <w:rPr>
                <w:b/>
                <w:color w:val="FFFFFF"/>
                <w:sz w:val="18"/>
              </w:rPr>
              <w:t xml:space="preserve">Sr</w:t>
            </w:r>
          </w:p>
        </w:tc>
        <w:tc>
          <w:tcPr>
            <w:tcW w:w="5782" w:type="dxa"/>
            <w:shd w:val="clear" w:color="auto" w:fill="1F3A5F"/>
          </w:tcPr>
          <w:p>
            <w:pPr>
              <w:pStyle w:val="Compact"/>
              <w:spacing w:after="40"/>
              <w:jc w:val="left"/>
            </w:pPr>
            <w:r>
              <w:rPr>
                <w:b/>
                <w:color w:val="FFFFFF"/>
                <w:sz w:val="18"/>
              </w:rPr>
              <w:t xml:space="preserve">Item</w:t>
            </w:r>
          </w:p>
        </w:tc>
        <w:tc>
          <w:tcPr>
            <w:tcW w:w="1929" w:type="dxa"/>
            <w:shd w:val="clear" w:color="auto" w:fill="1F3A5F"/>
          </w:tcPr>
          <w:p>
            <w:pPr>
              <w:pStyle w:val="Compact"/>
              <w:spacing w:after="40"/>
              <w:jc w:val="left"/>
            </w:pPr>
            <w:r>
              <w:rPr>
                <w:b/>
                <w:color w:val="FFFFFF"/>
                <w:sz w:val="18"/>
              </w:rPr>
              <w:t xml:space="preserve">RW %</w:t>
            </w:r>
          </w:p>
        </w:tc>
      </w:tr>
      <w:tr>
        <w:tc>
          <w:tcPr>
            <w:tcW w:w="1927" w:type="dxa"/>
          </w:tcPr>
          <w:p>
            <w:pPr>
              <w:pStyle w:val="Compact"/>
              <w:spacing w:after="40"/>
              <w:jc w:val="left"/>
            </w:pPr>
            <w:r>
              <w:rPr>
                <w:sz w:val="18"/>
              </w:rPr>
              <w:t xml:space="preserve">(1)</w:t>
            </w:r>
          </w:p>
        </w:tc>
        <w:tc>
          <w:tcPr>
            <w:tcW w:w="5782" w:type="dxa"/>
          </w:tcPr>
          <w:p>
            <w:pPr>
              <w:pStyle w:val="Compact"/>
              <w:spacing w:after="40"/>
              <w:jc w:val="left"/>
            </w:pPr>
            <w:r>
              <w:rPr>
                <w:sz w:val="18"/>
              </w:rPr>
              <w:t xml:space="preserve">Cash and bank balances, including FDs/CDs with banks</w:t>
            </w:r>
          </w:p>
        </w:tc>
        <w:tc>
          <w:tcPr>
            <w:tcW w:w="1929" w:type="dxa"/>
          </w:tcPr>
          <w:p>
            <w:pPr>
              <w:pStyle w:val="Compact"/>
              <w:spacing w:after="40"/>
              <w:jc w:val="left"/>
            </w:pPr>
            <w:r>
              <w:rPr>
                <w:sz w:val="18"/>
              </w:rPr>
              <w:t xml:space="preserve">0</w:t>
            </w:r>
          </w:p>
        </w:tc>
      </w:tr>
      <w:tr>
        <w:tc>
          <w:tcPr>
            <w:tcW w:w="1927" w:type="dxa"/>
          </w:tcPr>
          <w:p>
            <w:pPr>
              <w:pStyle w:val="Compact"/>
              <w:spacing w:after="40"/>
              <w:jc w:val="left"/>
            </w:pPr>
            <w:r>
              <w:rPr>
                <w:sz w:val="18"/>
              </w:rPr>
              <w:t xml:space="preserve">(2)(a)</w:t>
            </w:r>
          </w:p>
        </w:tc>
        <w:tc>
          <w:tcPr>
            <w:tcW w:w="5782" w:type="dxa"/>
          </w:tcPr>
          <w:p>
            <w:pPr>
              <w:pStyle w:val="Compact"/>
              <w:spacing w:after="40"/>
              <w:jc w:val="left"/>
            </w:pPr>
            <w:r>
              <w:rPr>
                <w:sz w:val="18"/>
              </w:rPr>
              <w:t xml:space="preserve">Approved securities</w:t>
            </w:r>
          </w:p>
        </w:tc>
        <w:tc>
          <w:tcPr>
            <w:tcW w:w="1929" w:type="dxa"/>
          </w:tcPr>
          <w:p>
            <w:pPr>
              <w:pStyle w:val="Compact"/>
              <w:spacing w:after="40"/>
              <w:jc w:val="left"/>
            </w:pPr>
            <w:r>
              <w:rPr>
                <w:sz w:val="18"/>
              </w:rPr>
              <w:t xml:space="preserve">0</w:t>
            </w:r>
          </w:p>
        </w:tc>
      </w:tr>
      <w:tr>
        <w:tc>
          <w:tcPr>
            <w:tcW w:w="1927" w:type="dxa"/>
          </w:tcPr>
          <w:p>
            <w:pPr>
              <w:pStyle w:val="Compact"/>
              <w:spacing w:after="40"/>
              <w:jc w:val="left"/>
            </w:pPr>
            <w:r>
              <w:rPr>
                <w:sz w:val="18"/>
              </w:rPr>
              <w:t xml:space="preserve">(2)(b)</w:t>
            </w:r>
          </w:p>
        </w:tc>
        <w:tc>
          <w:tcPr>
            <w:tcW w:w="5782" w:type="dxa"/>
          </w:tcPr>
          <w:p>
            <w:pPr>
              <w:pStyle w:val="Compact"/>
              <w:spacing w:after="40"/>
              <w:jc w:val="left"/>
            </w:pPr>
            <w:r>
              <w:rPr>
                <w:sz w:val="18"/>
              </w:rPr>
              <w:t xml:space="preserve">Bonds of public sector banks</w:t>
            </w:r>
          </w:p>
        </w:tc>
        <w:tc>
          <w:tcPr>
            <w:tcW w:w="1929" w:type="dxa"/>
          </w:tcPr>
          <w:p>
            <w:pPr>
              <w:pStyle w:val="Compact"/>
              <w:spacing w:after="40"/>
              <w:jc w:val="left"/>
            </w:pPr>
            <w:r>
              <w:rPr>
                <w:sz w:val="18"/>
              </w:rPr>
              <w:t xml:space="preserve">20</w:t>
            </w:r>
          </w:p>
        </w:tc>
      </w:tr>
      <w:tr>
        <w:tc>
          <w:tcPr>
            <w:tcW w:w="1927" w:type="dxa"/>
          </w:tcPr>
          <w:p>
            <w:pPr>
              <w:pStyle w:val="Compact"/>
              <w:spacing w:after="40"/>
              <w:jc w:val="left"/>
            </w:pPr>
            <w:r>
              <w:rPr>
                <w:sz w:val="18"/>
              </w:rPr>
              <w:t xml:space="preserve">(2)(c)</w:t>
            </w:r>
          </w:p>
        </w:tc>
        <w:tc>
          <w:tcPr>
            <w:tcW w:w="5782" w:type="dxa"/>
          </w:tcPr>
          <w:p>
            <w:pPr>
              <w:pStyle w:val="Compact"/>
              <w:spacing w:after="40"/>
              <w:jc w:val="left"/>
            </w:pPr>
            <w:r>
              <w:rPr>
                <w:sz w:val="18"/>
              </w:rPr>
              <w:t xml:space="preserve">FDs/CDs/bonds of public FIs</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(2)(d)</w:t>
            </w:r>
          </w:p>
        </w:tc>
        <w:tc>
          <w:tcPr>
            <w:tcW w:w="5782" w:type="dxa"/>
          </w:tcPr>
          <w:p>
            <w:pPr>
              <w:pStyle w:val="Compact"/>
              <w:spacing w:after="40"/>
              <w:jc w:val="left"/>
            </w:pPr>
            <w:r>
              <w:rPr>
                <w:sz w:val="18"/>
              </w:rPr>
              <w:t xml:space="preserve">Shares, debentures, bonds and CP of all companies; MF units</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(2)(e)(i)</w:t>
            </w:r>
          </w:p>
        </w:tc>
        <w:tc>
          <w:tcPr>
            <w:tcW w:w="5782" w:type="dxa"/>
          </w:tcPr>
          <w:p>
            <w:pPr>
              <w:pStyle w:val="Compact"/>
              <w:spacing w:after="40"/>
              <w:jc w:val="left"/>
            </w:pPr>
            <w:r>
              <w:rPr>
                <w:sz w:val="18"/>
              </w:rPr>
              <w:t xml:space="preserve">High-quality infrastructure project loans (CON definition), ≥ 2% of sanctioned project debt repaid</w:t>
            </w:r>
          </w:p>
        </w:tc>
        <w:tc>
          <w:tcPr>
            <w:tcW w:w="1929" w:type="dxa"/>
          </w:tcPr>
          <w:p>
            <w:pPr>
              <w:pStyle w:val="Compact"/>
              <w:spacing w:after="40"/>
              <w:jc w:val="left"/>
            </w:pPr>
            <w:r>
              <w:rPr>
                <w:sz w:val="18"/>
              </w:rPr>
              <w:t xml:space="preserve">75</w:t>
            </w:r>
          </w:p>
        </w:tc>
      </w:tr>
      <w:tr>
        <w:tc>
          <w:tcPr>
            <w:tcW w:w="1927" w:type="dxa"/>
          </w:tcPr>
          <w:p>
            <w:pPr>
              <w:pStyle w:val="Compact"/>
              <w:spacing w:after="40"/>
              <w:jc w:val="left"/>
            </w:pPr>
            <w:r>
              <w:rPr>
                <w:sz w:val="18"/>
              </w:rPr>
              <w:t xml:space="preserve">(2)(e)(ii)</w:t>
            </w:r>
          </w:p>
        </w:tc>
        <w:tc>
          <w:tcPr>
            <w:tcW w:w="5782" w:type="dxa"/>
          </w:tcPr>
          <w:p>
            <w:pPr>
              <w:pStyle w:val="Compact"/>
              <w:spacing w:after="40"/>
              <w:jc w:val="left"/>
            </w:pPr>
            <w:r>
              <w:rPr>
                <w:sz w:val="18"/>
              </w:rPr>
              <w:t xml:space="preserve">The same, ≥ 5% repaid</w:t>
            </w:r>
          </w:p>
        </w:tc>
        <w:tc>
          <w:tcPr>
            <w:tcW w:w="1929" w:type="dxa"/>
          </w:tcPr>
          <w:p>
            <w:pPr>
              <w:pStyle w:val="Compact"/>
              <w:spacing w:after="40"/>
              <w:jc w:val="left"/>
            </w:pPr>
            <w:r>
              <w:rPr>
                <w:sz w:val="18"/>
              </w:rPr>
              <w:t xml:space="preserve">50</w:t>
            </w:r>
          </w:p>
        </w:tc>
      </w:tr>
      <w:tr>
        <w:tc>
          <w:tcPr>
            <w:tcW w:w="1927" w:type="dxa"/>
          </w:tcPr>
          <w:p>
            <w:pPr>
              <w:pStyle w:val="Compact"/>
              <w:spacing w:after="40"/>
              <w:jc w:val="left"/>
            </w:pPr>
            <w:r>
              <w:rPr>
                <w:sz w:val="18"/>
              </w:rPr>
              <w:t xml:space="preserve">(3)(a)</w:t>
            </w:r>
          </w:p>
        </w:tc>
        <w:tc>
          <w:tcPr>
            <w:tcW w:w="5782" w:type="dxa"/>
          </w:tcPr>
          <w:p>
            <w:pPr>
              <w:pStyle w:val="Compact"/>
              <w:spacing w:after="40"/>
              <w:jc w:val="left"/>
            </w:pPr>
            <w:r>
              <w:rPr>
                <w:sz w:val="18"/>
              </w:rPr>
              <w:t xml:space="preserve">Stock on hire (net book value)</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(3)(b)</w:t>
            </w:r>
          </w:p>
        </w:tc>
        <w:tc>
          <w:tcPr>
            <w:tcW w:w="5782" w:type="dxa"/>
          </w:tcPr>
          <w:p>
            <w:pPr>
              <w:pStyle w:val="Compact"/>
              <w:spacing w:after="40"/>
              <w:jc w:val="left"/>
            </w:pPr>
            <w:r>
              <w:rPr>
                <w:sz w:val="18"/>
              </w:rPr>
              <w:t xml:space="preserve">Inter-corporate loans and deposits</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(3)(c)</w:t>
            </w:r>
          </w:p>
        </w:tc>
        <w:tc>
          <w:tcPr>
            <w:tcW w:w="5782" w:type="dxa"/>
          </w:tcPr>
          <w:p>
            <w:pPr>
              <w:pStyle w:val="Compact"/>
              <w:spacing w:after="40"/>
              <w:jc w:val="left"/>
            </w:pPr>
            <w:r>
              <w:rPr>
                <w:sz w:val="18"/>
              </w:rPr>
              <w:t xml:space="preserve">Loans fully secured against deposits held</w:t>
            </w:r>
          </w:p>
        </w:tc>
        <w:tc>
          <w:tcPr>
            <w:tcW w:w="1929" w:type="dxa"/>
          </w:tcPr>
          <w:p>
            <w:pPr>
              <w:pStyle w:val="Compact"/>
              <w:spacing w:after="40"/>
              <w:jc w:val="left"/>
            </w:pPr>
            <w:r>
              <w:rPr>
                <w:sz w:val="18"/>
              </w:rPr>
              <w:t xml:space="preserve">0</w:t>
            </w:r>
          </w:p>
        </w:tc>
      </w:tr>
      <w:tr>
        <w:tc>
          <w:tcPr>
            <w:tcW w:w="1927" w:type="dxa"/>
          </w:tcPr>
          <w:p>
            <w:pPr>
              <w:pStyle w:val="Compact"/>
              <w:spacing w:after="40"/>
              <w:jc w:val="left"/>
            </w:pPr>
            <w:r>
              <w:rPr>
                <w:sz w:val="18"/>
              </w:rPr>
              <w:t xml:space="preserve">(3)(d)</w:t>
            </w:r>
          </w:p>
        </w:tc>
        <w:tc>
          <w:tcPr>
            <w:tcW w:w="5782" w:type="dxa"/>
          </w:tcPr>
          <w:p>
            <w:pPr>
              <w:pStyle w:val="Compact"/>
              <w:spacing w:after="40"/>
              <w:jc w:val="left"/>
            </w:pPr>
            <w:r>
              <w:rPr>
                <w:sz w:val="18"/>
              </w:rPr>
              <w:t xml:space="preserve">Loans to staff</w:t>
            </w:r>
          </w:p>
        </w:tc>
        <w:tc>
          <w:tcPr>
            <w:tcW w:w="1929" w:type="dxa"/>
          </w:tcPr>
          <w:p>
            <w:pPr>
              <w:pStyle w:val="Compact"/>
              <w:spacing w:after="40"/>
              <w:jc w:val="left"/>
            </w:pPr>
            <w:r>
              <w:rPr>
                <w:sz w:val="18"/>
              </w:rPr>
              <w:t xml:space="preserve">0</w:t>
            </w:r>
          </w:p>
        </w:tc>
      </w:tr>
      <w:tr>
        <w:tc>
          <w:tcPr>
            <w:tcW w:w="1927" w:type="dxa"/>
          </w:tcPr>
          <w:p>
            <w:pPr>
              <w:pStyle w:val="Compact"/>
              <w:spacing w:after="40"/>
              <w:jc w:val="left"/>
            </w:pPr>
            <w:r>
              <w:rPr>
                <w:sz w:val="18"/>
              </w:rPr>
              <w:t xml:space="preserve">(3)(e)</w:t>
            </w:r>
          </w:p>
        </w:tc>
        <w:tc>
          <w:tcPr>
            <w:tcW w:w="5782" w:type="dxa"/>
          </w:tcPr>
          <w:p>
            <w:pPr>
              <w:pStyle w:val="Compact"/>
              <w:spacing w:after="40"/>
              <w:jc w:val="left"/>
            </w:pPr>
            <w:r>
              <w:rPr>
                <w:sz w:val="18"/>
              </w:rPr>
              <w:t xml:space="preserve">Other secured loans and advances considered good</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(3)(e)(i)</w:t>
            </w:r>
          </w:p>
        </w:tc>
        <w:tc>
          <w:tcPr>
            <w:tcW w:w="5782" w:type="dxa"/>
          </w:tcPr>
          <w:p>
            <w:pPr>
              <w:pStyle w:val="Compact"/>
              <w:spacing w:after="40"/>
              <w:jc w:val="left"/>
            </w:pPr>
            <w:r>
              <w:rPr>
                <w:sz w:val="18"/>
              </w:rPr>
              <w:t xml:space="preserve">Retail consumer credit, excluding housing, education, vehicle, gold-jewellery and microfinance/SHG loans</w:t>
            </w:r>
          </w:p>
        </w:tc>
        <w:tc>
          <w:tcPr>
            <w:tcW w:w="1929" w:type="dxa"/>
          </w:tcPr>
          <w:p>
            <w:pPr>
              <w:pStyle w:val="Compact"/>
              <w:spacing w:after="40"/>
              <w:jc w:val="left"/>
            </w:pPr>
            <w:r>
              <w:rPr>
                <w:bCs/>
                <w:b/>
                <w:sz w:val="18"/>
              </w:rPr>
              <w:t xml:space="preserve">125</w:t>
            </w:r>
          </w:p>
        </w:tc>
      </w:tr>
      <w:tr>
        <w:tc>
          <w:tcPr>
            <w:tcW w:w="1927" w:type="dxa"/>
          </w:tcPr>
          <w:p>
            <w:pPr>
              <w:pStyle w:val="Compact"/>
              <w:spacing w:after="40"/>
              <w:jc w:val="left"/>
            </w:pPr>
            <w:r>
              <w:rPr>
                <w:sz w:val="18"/>
              </w:rPr>
              <w:t xml:space="preserve">(3)(e)(ii)</w:t>
            </w:r>
          </w:p>
        </w:tc>
        <w:tc>
          <w:tcPr>
            <w:tcW w:w="5782" w:type="dxa"/>
          </w:tcPr>
          <w:p>
            <w:pPr>
              <w:pStyle w:val="Compact"/>
              <w:spacing w:after="40"/>
              <w:jc w:val="left"/>
            </w:pPr>
            <w:r>
              <w:rPr>
                <w:sz w:val="18"/>
              </w:rPr>
              <w:t xml:space="preserve">Credit card receivables</w:t>
            </w:r>
          </w:p>
        </w:tc>
        <w:tc>
          <w:tcPr>
            <w:tcW w:w="1929" w:type="dxa"/>
          </w:tcPr>
          <w:p>
            <w:pPr>
              <w:pStyle w:val="Compact"/>
              <w:spacing w:after="40"/>
              <w:jc w:val="left"/>
            </w:pPr>
            <w:r>
              <w:rPr>
                <w:bCs/>
                <w:b/>
                <w:sz w:val="18"/>
              </w:rPr>
              <w:t xml:space="preserve">125</w:t>
            </w:r>
          </w:p>
        </w:tc>
      </w:tr>
      <w:tr>
        <w:tc>
          <w:tcPr>
            <w:tcW w:w="1927" w:type="dxa"/>
          </w:tcPr>
          <w:p>
            <w:pPr>
              <w:pStyle w:val="Compact"/>
              <w:spacing w:after="40"/>
              <w:jc w:val="left"/>
            </w:pPr>
            <w:r>
              <w:rPr>
                <w:sz w:val="18"/>
              </w:rPr>
              <w:t xml:space="preserve">(3)(f)</w:t>
            </w:r>
          </w:p>
        </w:tc>
        <w:tc>
          <w:tcPr>
            <w:tcW w:w="5782" w:type="dxa"/>
          </w:tcPr>
          <w:p>
            <w:pPr>
              <w:pStyle w:val="Compact"/>
              <w:spacing w:after="40"/>
              <w:jc w:val="left"/>
            </w:pPr>
            <w:r>
              <w:rPr>
                <w:sz w:val="18"/>
              </w:rPr>
              <w:t xml:space="preserve">Bills purchased or discounted</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(3)(g)</w:t>
            </w:r>
          </w:p>
        </w:tc>
        <w:tc>
          <w:tcPr>
            <w:tcW w:w="5782" w:type="dxa"/>
          </w:tcPr>
          <w:p>
            <w:pPr>
              <w:pStyle w:val="Compact"/>
              <w:spacing w:after="40"/>
              <w:jc w:val="left"/>
            </w:pPr>
            <w:r>
              <w:rPr>
                <w:sz w:val="18"/>
              </w:rPr>
              <w:t xml:space="preserve">Others</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(4)(a)–(c)</w:t>
            </w:r>
          </w:p>
        </w:tc>
        <w:tc>
          <w:tcPr>
            <w:tcW w:w="5782" w:type="dxa"/>
          </w:tcPr>
          <w:p>
            <w:pPr>
              <w:pStyle w:val="Compact"/>
              <w:spacing w:after="40"/>
              <w:jc w:val="left"/>
            </w:pPr>
            <w:r>
              <w:rPr>
                <w:sz w:val="18"/>
              </w:rPr>
              <w:t xml:space="preserve">Leased assets (net book value), premises, furniture</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(5)(a)–(c)</w:t>
            </w:r>
          </w:p>
        </w:tc>
        <w:tc>
          <w:tcPr>
            <w:tcW w:w="5782" w:type="dxa"/>
          </w:tcPr>
          <w:p>
            <w:pPr>
              <w:pStyle w:val="Compact"/>
              <w:spacing w:after="40"/>
              <w:jc w:val="left"/>
            </w:pPr>
            <w:r>
              <w:rPr>
                <w:sz w:val="18"/>
              </w:rPr>
              <w:t xml:space="preserve">TDS and advance tax (net of provision); interest due on G-secs</w:t>
            </w:r>
          </w:p>
        </w:tc>
        <w:tc>
          <w:tcPr>
            <w:tcW w:w="1929" w:type="dxa"/>
          </w:tcPr>
          <w:p>
            <w:pPr>
              <w:pStyle w:val="Compact"/>
              <w:spacing w:after="40"/>
              <w:jc w:val="left"/>
            </w:pPr>
            <w:r>
              <w:rPr>
                <w:sz w:val="18"/>
              </w:rPr>
              <w:t xml:space="preserve">0</w:t>
            </w:r>
          </w:p>
        </w:tc>
      </w:tr>
      <w:tr>
        <w:tc>
          <w:tcPr>
            <w:tcW w:w="1927" w:type="dxa"/>
          </w:tcPr>
          <w:p>
            <w:pPr>
              <w:pStyle w:val="Compact"/>
              <w:spacing w:after="40"/>
              <w:jc w:val="left"/>
            </w:pPr>
            <w:r>
              <w:rPr>
                <w:sz w:val="18"/>
              </w:rPr>
              <w:t xml:space="preserve">(5)(d)</w:t>
            </w:r>
          </w:p>
        </w:tc>
        <w:tc>
          <w:tcPr>
            <w:tcW w:w="5782" w:type="dxa"/>
          </w:tcPr>
          <w:p>
            <w:pPr>
              <w:pStyle w:val="Compact"/>
              <w:spacing w:after="40"/>
              <w:jc w:val="left"/>
            </w:pPr>
            <w:r>
              <w:rPr>
                <w:sz w:val="18"/>
              </w:rPr>
              <w:t xml:space="preserve">Other assets, including ROU assets</w:t>
            </w:r>
          </w:p>
        </w:tc>
        <w:tc>
          <w:tcPr>
            <w:tcW w:w="1929" w:type="dxa"/>
          </w:tcPr>
          <w:p>
            <w:pPr>
              <w:pStyle w:val="Compact"/>
              <w:spacing w:after="40"/>
              <w:jc w:val="left"/>
            </w:pPr>
            <w:r>
              <w:rPr>
                <w:sz w:val="18"/>
              </w:rPr>
              <w:t xml:space="preserve">100</w:t>
            </w:r>
          </w:p>
        </w:tc>
      </w:tr>
      <w:tr>
        <w:tc>
          <w:tcPr>
            <w:tcW w:w="1927" w:type="dxa"/>
          </w:tcPr>
          <w:p>
            <w:pPr>
              <w:pStyle w:val="Compact"/>
              <w:spacing w:after="40"/>
              <w:jc w:val="left"/>
            </w:pPr>
            <w:r>
              <w:rPr>
                <w:sz w:val="18"/>
              </w:rPr>
              <w:t xml:space="preserve">(6)(a)–(c)</w:t>
            </w:r>
          </w:p>
        </w:tc>
        <w:tc>
          <w:tcPr>
            <w:tcW w:w="5782" w:type="dxa"/>
          </w:tcPr>
          <w:p>
            <w:pPr>
              <w:pStyle w:val="Compact"/>
              <w:spacing w:after="40"/>
              <w:jc w:val="left"/>
            </w:pPr>
            <w:r>
              <w:rPr>
                <w:sz w:val="18"/>
              </w:rPr>
              <w:t xml:space="preserve">Central Government claims; State Government securities and loans; Central Government-guaranteed claims</w:t>
            </w:r>
          </w:p>
        </w:tc>
        <w:tc>
          <w:tcPr>
            <w:tcW w:w="1929" w:type="dxa"/>
          </w:tcPr>
          <w:p>
            <w:pPr>
              <w:pStyle w:val="Compact"/>
              <w:spacing w:after="40"/>
              <w:jc w:val="left"/>
            </w:pPr>
            <w:r>
              <w:rPr>
                <w:sz w:val="18"/>
              </w:rPr>
              <w:t xml:space="preserve">0</w:t>
            </w:r>
          </w:p>
        </w:tc>
      </w:tr>
      <w:tr>
        <w:tc>
          <w:tcPr>
            <w:tcW w:w="1927" w:type="dxa"/>
          </w:tcPr>
          <w:p>
            <w:pPr>
              <w:pStyle w:val="Compact"/>
              <w:spacing w:after="40"/>
              <w:jc w:val="left"/>
            </w:pPr>
            <w:r>
              <w:rPr>
                <w:sz w:val="18"/>
              </w:rPr>
              <w:t xml:space="preserve">(6)(d)</w:t>
            </w:r>
          </w:p>
        </w:tc>
        <w:tc>
          <w:tcPr>
            <w:tcW w:w="5782" w:type="dxa"/>
          </w:tcPr>
          <w:p>
            <w:pPr>
              <w:pStyle w:val="Compact"/>
              <w:spacing w:after="40"/>
              <w:jc w:val="left"/>
            </w:pPr>
            <w:r>
              <w:rPr>
                <w:sz w:val="18"/>
              </w:rPr>
              <w:t xml:space="preserve">State Government-guaranteed, not in default or in default ≤ 90 days</w:t>
            </w:r>
          </w:p>
        </w:tc>
        <w:tc>
          <w:tcPr>
            <w:tcW w:w="1929" w:type="dxa"/>
          </w:tcPr>
          <w:p>
            <w:pPr>
              <w:pStyle w:val="Compact"/>
              <w:spacing w:after="40"/>
              <w:jc w:val="left"/>
            </w:pPr>
            <w:r>
              <w:rPr>
                <w:sz w:val="18"/>
              </w:rPr>
              <w:t xml:space="preserve">20</w:t>
            </w:r>
          </w:p>
        </w:tc>
      </w:tr>
      <w:tr>
        <w:tc>
          <w:tcPr>
            <w:tcW w:w="1927" w:type="dxa"/>
          </w:tcPr>
          <w:p>
            <w:pPr>
              <w:pStyle w:val="Compact"/>
              <w:spacing w:after="40"/>
              <w:jc w:val="left"/>
            </w:pPr>
            <w:r>
              <w:rPr>
                <w:sz w:val="18"/>
              </w:rPr>
              <w:t xml:space="preserve">(6)(e)</w:t>
            </w:r>
          </w:p>
        </w:tc>
        <w:tc>
          <w:tcPr>
            <w:tcW w:w="5782" w:type="dxa"/>
          </w:tcPr>
          <w:p>
            <w:pPr>
              <w:pStyle w:val="Compact"/>
              <w:spacing w:after="40"/>
              <w:jc w:val="left"/>
            </w:pPr>
            <w:r>
              <w:rPr>
                <w:sz w:val="18"/>
              </w:rPr>
              <w:t xml:space="preserve">State Government-guaranteed, in default &gt; 90 days</w:t>
            </w:r>
          </w:p>
        </w:tc>
        <w:tc>
          <w:tcPr>
            <w:tcW w:w="1929" w:type="dxa"/>
          </w:tcPr>
          <w:p>
            <w:pPr>
              <w:pStyle w:val="Compact"/>
              <w:spacing w:after="40"/>
              <w:jc w:val="left"/>
            </w:pPr>
            <w:r>
              <w:rPr>
                <w:sz w:val="18"/>
              </w:rPr>
              <w:t xml:space="preserve">100</w:t>
            </w:r>
          </w:p>
        </w:tc>
      </w:tr>
    </w:tbl>
    <w:p>
      <w:pPr>
        <w:numPr>
          <w:ilvl w:val="0"/>
          <w:numId w:val="1859"/>
        </w:numPr>
        <w:pStyle w:val="Compact"/>
      </w:pPr>
      <w:r>
        <w:rPr>
          <w:bCs/>
          <w:b/>
        </w:rPr>
        <w:t xml:space="preserve">Infrastructure 75% / 50% (from 1 Apr 2026):</w:t>
      </w:r>
      <w:r>
        <w:t xml:space="preserve"> </w:t>
      </w:r>
      <w:r>
        <w:t xml:space="preserve">threshold measured on sanctioned project debt, including takeover debt; a project that stops qualifying reverts to Sr (3)(e) or (g); an exposure with a lower RW under the rules up to 31 Mar 2026 keeps it until the next review or renewal, or</w:t>
      </w:r>
      <w:r>
        <w:t xml:space="preserve"> </w:t>
      </w:r>
      <w:r>
        <w:rPr>
          <w:bCs/>
          <w:b/>
        </w:rPr>
        <w:t xml:space="preserve">31 Mar 2027</w:t>
      </w:r>
      <w:r>
        <w:t xml:space="preserve">, whichever is earlier.</w:t>
      </w:r>
    </w:p>
    <w:p>
      <w:pPr>
        <w:numPr>
          <w:ilvl w:val="0"/>
          <w:numId w:val="1859"/>
        </w:numPr>
        <w:pStyle w:val="Compact"/>
      </w:pPr>
      <w:r>
        <w:rPr>
          <w:bCs/>
          <w:b/>
        </w:rPr>
        <w:t xml:space="preserve">No separate weights</w:t>
      </w:r>
      <w:r>
        <w:t xml:space="preserve"> </w:t>
      </w:r>
      <w:r>
        <w:t xml:space="preserve">exist for gold, NBFC housing, vehicle, education, MFI, LAP, MSME, CRE or loans to NBFCs: all take</w:t>
      </w:r>
      <w:r>
        <w:t xml:space="preserve"> </w:t>
      </w:r>
      <w:r>
        <w:rPr>
          <w:bCs/>
          <w:b/>
        </w:rPr>
        <w:t xml:space="preserve">100%</w:t>
      </w:r>
      <w:r>
        <w:t xml:space="preserve">, unless the 125% consumer-credit row applies (gold, housing, vehicle, education and MFI are expressly excluded from it).</w:t>
      </w:r>
      <w:r>
        <w:t xml:space="preserve"> </w:t>
      </w:r>
      <w:r>
        <w:t xml:space="preserve">“</w:t>
      </w:r>
      <w:r>
        <w:t xml:space="preserve">Consumer credit</w:t>
      </w:r>
      <w:r>
        <w:t xml:space="preserve">”</w:t>
      </w:r>
      <w:r>
        <w:t xml:space="preserve"> </w:t>
      </w:r>
      <w:r>
        <w:t xml:space="preserve">is not defined in this text; classify per product at sanction [VERIFY: tenant policy for LAP/LAS to individuals].</w:t>
      </w:r>
    </w:p>
    <w:p>
      <w:pPr>
        <w:numPr>
          <w:ilvl w:val="0"/>
          <w:numId w:val="1859"/>
        </w:numPr>
        <w:pStyle w:val="Compact"/>
      </w:pPr>
      <w:r>
        <w:rPr>
          <w:bCs/>
          <w:b/>
        </w:rPr>
        <w:t xml:space="preserve">Exposure adjustments (18(2)):</w:t>
      </w:r>
      <w:r>
        <w:t xml:space="preserve"> </w:t>
      </w:r>
      <w:r>
        <w:t xml:space="preserve">net only where a provision or depreciation is held; items deducted from owned fund take 0%; net off cash margin, caution money and security deposits held with a right of set-off.</w:t>
      </w:r>
    </w:p>
    <w:p>
      <w:pPr>
        <w:numPr>
          <w:ilvl w:val="0"/>
          <w:numId w:val="1859"/>
        </w:numPr>
        <w:pStyle w:val="Compact"/>
      </w:pPr>
      <w:r>
        <w:rPr>
          <w:bCs/>
          <w:b/>
        </w:rPr>
        <w:t xml:space="preserve">Credit guarantee schemes (18(2)(iv)):</w:t>
      </w:r>
      <w:r>
        <w:t xml:space="preserve"> </w:t>
      </w:r>
      <w:r>
        <w:t xml:space="preserve">CGTMSE, CRGFTLIH and NCGTC cover takes</w:t>
      </w:r>
      <w:r>
        <w:t xml:space="preserve"> </w:t>
      </w:r>
      <w:r>
        <w:rPr>
          <w:bCs/>
          <w:b/>
        </w:rPr>
        <w:t xml:space="preserve">0% up to the maximum permissible claim</w:t>
      </w:r>
      <w:r>
        <w:t xml:space="preserve"> </w:t>
      </w:r>
      <w:r>
        <w:t xml:space="preserve">(coverage, first loss, payout cap); residual at the counterparty RW. Portfolio guarantees: first-loss portion fully deducted from capital, total charge capped at the unguaranteed charge. Future schemes must settle within 30 days and allow lodgement within 60 days. Load scheme rules (CGFSF, CGFSD, CGFMU, CGTMSE micro) as configuration; apply only where the tenant is an eligible MLI.</w:t>
      </w:r>
    </w:p>
    <w:p>
      <w:pPr>
        <w:pStyle w:val="FirstParagraph"/>
      </w:pPr>
      <w:r>
        <w:rPr>
          <w:bCs/>
          <w:b/>
        </w:rPr>
        <w:t xml:space="preserve">Off-balance-sheet items (18(3)–(6)):</w:t>
      </w:r>
    </w:p>
    <w:p>
      <w:pPr>
        <w:numPr>
          <w:ilvl w:val="0"/>
          <w:numId w:val="1860"/>
        </w:numPr>
        <w:pStyle w:val="Compact"/>
      </w:pPr>
      <w:r>
        <w:t xml:space="preserve">Credit equivalent = notional × CCF (or CEM for derivatives). RW: 0% Government, 20% banks, 100% others. Cash margins deducted before the CCF. Undrawn amount = the maximum unused portion drawable over the remaining maturity.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99"/>
        <w:gridCol w:w="5639"/>
        <w:gridCol w:w="2000"/>
      </w:tblGrid>
      <w:tr>
        <w:trPr>
          <w:tblHeader w:val="true"/>
          <w:tblHeader w:val="true"/>
        </w:trPr>
        <w:tc>
          <w:tcPr>
            <w:tcW w:w="1999" w:type="dxa"/>
            <w:shd w:val="clear" w:color="auto" w:fill="1F3A5F"/>
          </w:tcPr>
          <w:p>
            <w:pPr>
              <w:pStyle w:val="Compact"/>
              <w:spacing w:after="40"/>
              <w:jc w:val="left"/>
            </w:pPr>
            <w:r>
              <w:rPr>
                <w:b/>
                <w:color w:val="FFFFFF"/>
                <w:sz w:val="18"/>
              </w:rPr>
              <w:t xml:space="preserve">Sr</w:t>
            </w:r>
          </w:p>
        </w:tc>
        <w:tc>
          <w:tcPr>
            <w:tcW w:w="5639" w:type="dxa"/>
            <w:shd w:val="clear" w:color="auto" w:fill="1F3A5F"/>
          </w:tcPr>
          <w:p>
            <w:pPr>
              <w:pStyle w:val="Compact"/>
              <w:spacing w:after="40"/>
              <w:jc w:val="left"/>
            </w:pPr>
            <w:r>
              <w:rPr>
                <w:b/>
                <w:color w:val="FFFFFF"/>
                <w:sz w:val="18"/>
              </w:rPr>
              <w:t xml:space="preserve">Instrument</w:t>
            </w:r>
          </w:p>
        </w:tc>
        <w:tc>
          <w:tcPr>
            <w:tcW w:w="2000" w:type="dxa"/>
            <w:shd w:val="clear" w:color="auto" w:fill="1F3A5F"/>
          </w:tcPr>
          <w:p>
            <w:pPr>
              <w:pStyle w:val="Compact"/>
              <w:spacing w:after="40"/>
              <w:jc w:val="left"/>
            </w:pPr>
            <w:r>
              <w:rPr>
                <w:b/>
                <w:color w:val="FFFFFF"/>
                <w:sz w:val="18"/>
              </w:rPr>
              <w:t xml:space="preserve">CCF %</w:t>
            </w:r>
          </w:p>
        </w:tc>
      </w:tr>
      <w:tr>
        <w:tc>
          <w:tcPr>
            <w:tcW w:w="1999" w:type="dxa"/>
          </w:tcPr>
          <w:p>
            <w:pPr>
              <w:pStyle w:val="Compact"/>
              <w:spacing w:after="40"/>
              <w:jc w:val="left"/>
            </w:pPr>
            <w:r>
              <w:rPr>
                <w:sz w:val="18"/>
              </w:rPr>
              <w:t xml:space="preserve">1</w:t>
            </w:r>
          </w:p>
        </w:tc>
        <w:tc>
          <w:tcPr>
            <w:tcW w:w="5639" w:type="dxa"/>
          </w:tcPr>
          <w:p>
            <w:pPr>
              <w:pStyle w:val="Compact"/>
              <w:spacing w:after="40"/>
              <w:jc w:val="left"/>
            </w:pPr>
            <w:r>
              <w:rPr>
                <w:sz w:val="18"/>
              </w:rPr>
              <w:t xml:space="preserve">Financial and other guarantees</w:t>
            </w:r>
          </w:p>
        </w:tc>
        <w:tc>
          <w:tcPr>
            <w:tcW w:w="2000" w:type="dxa"/>
          </w:tcPr>
          <w:p>
            <w:pPr>
              <w:pStyle w:val="Compact"/>
              <w:spacing w:after="40"/>
              <w:jc w:val="left"/>
            </w:pPr>
            <w:r>
              <w:rPr>
                <w:sz w:val="18"/>
              </w:rPr>
              <w:t xml:space="preserve">100</w:t>
            </w:r>
          </w:p>
        </w:tc>
      </w:tr>
      <w:tr>
        <w:tc>
          <w:tcPr>
            <w:tcW w:w="1999" w:type="dxa"/>
          </w:tcPr>
          <w:p>
            <w:pPr>
              <w:pStyle w:val="Compact"/>
              <w:spacing w:after="40"/>
              <w:jc w:val="left"/>
            </w:pPr>
            <w:r>
              <w:rPr>
                <w:sz w:val="18"/>
              </w:rPr>
              <w:t xml:space="preserve">2</w:t>
            </w:r>
          </w:p>
        </w:tc>
        <w:tc>
          <w:tcPr>
            <w:tcW w:w="5639" w:type="dxa"/>
          </w:tcPr>
          <w:p>
            <w:pPr>
              <w:pStyle w:val="Compact"/>
              <w:spacing w:after="40"/>
              <w:jc w:val="left"/>
            </w:pPr>
            <w:r>
              <w:rPr>
                <w:sz w:val="18"/>
              </w:rPr>
              <w:t xml:space="preserve">Share/debenture underwriting</w:t>
            </w:r>
          </w:p>
        </w:tc>
        <w:tc>
          <w:tcPr>
            <w:tcW w:w="2000" w:type="dxa"/>
          </w:tcPr>
          <w:p>
            <w:pPr>
              <w:pStyle w:val="Compact"/>
              <w:spacing w:after="40"/>
              <w:jc w:val="left"/>
            </w:pPr>
            <w:r>
              <w:rPr>
                <w:sz w:val="18"/>
              </w:rPr>
              <w:t xml:space="preserve">50</w:t>
            </w:r>
          </w:p>
        </w:tc>
      </w:tr>
      <w:tr>
        <w:tc>
          <w:tcPr>
            <w:tcW w:w="1999" w:type="dxa"/>
          </w:tcPr>
          <w:p>
            <w:pPr>
              <w:pStyle w:val="Compact"/>
              <w:spacing w:after="40"/>
              <w:jc w:val="left"/>
            </w:pPr>
            <w:r>
              <w:rPr>
                <w:sz w:val="18"/>
              </w:rPr>
              <w:t xml:space="preserve">3, 4, 5</w:t>
            </w:r>
          </w:p>
        </w:tc>
        <w:tc>
          <w:tcPr>
            <w:tcW w:w="5639" w:type="dxa"/>
          </w:tcPr>
          <w:p>
            <w:pPr>
              <w:pStyle w:val="Compact"/>
              <w:spacing w:after="40"/>
              <w:jc w:val="left"/>
            </w:pPr>
            <w:r>
              <w:rPr>
                <w:sz w:val="18"/>
              </w:rPr>
              <w:t xml:space="preserve">Partly paid shares; bills discounted/rediscounted; lease contracts entered but not executed</w:t>
            </w:r>
          </w:p>
        </w:tc>
        <w:tc>
          <w:tcPr>
            <w:tcW w:w="2000" w:type="dxa"/>
          </w:tcPr>
          <w:p>
            <w:pPr>
              <w:pStyle w:val="Compact"/>
              <w:spacing w:after="40"/>
              <w:jc w:val="left"/>
            </w:pPr>
            <w:r>
              <w:rPr>
                <w:sz w:val="18"/>
              </w:rPr>
              <w:t xml:space="preserve">100</w:t>
            </w:r>
          </w:p>
        </w:tc>
      </w:tr>
      <w:tr>
        <w:tc>
          <w:tcPr>
            <w:tcW w:w="1999" w:type="dxa"/>
          </w:tcPr>
          <w:p>
            <w:pPr>
              <w:pStyle w:val="Compact"/>
              <w:spacing w:after="40"/>
              <w:jc w:val="left"/>
            </w:pPr>
            <w:r>
              <w:rPr>
                <w:sz w:val="18"/>
              </w:rPr>
              <w:t xml:space="preserve">6, 7, 8</w:t>
            </w:r>
          </w:p>
        </w:tc>
        <w:tc>
          <w:tcPr>
            <w:tcW w:w="5639" w:type="dxa"/>
          </w:tcPr>
          <w:p>
            <w:pPr>
              <w:pStyle w:val="Compact"/>
              <w:spacing w:after="40"/>
              <w:jc w:val="left"/>
            </w:pPr>
            <w:r>
              <w:rPr>
                <w:sz w:val="18"/>
              </w:rPr>
              <w:t xml:space="preserve">Repo or asset sales with recourse; forward asset purchases; lending or posting of securities</w:t>
            </w:r>
          </w:p>
        </w:tc>
        <w:tc>
          <w:tcPr>
            <w:tcW w:w="2000" w:type="dxa"/>
          </w:tcPr>
          <w:p>
            <w:pPr>
              <w:pStyle w:val="Compact"/>
              <w:spacing w:after="40"/>
              <w:jc w:val="left"/>
            </w:pPr>
            <w:r>
              <w:rPr>
                <w:sz w:val="18"/>
              </w:rPr>
              <w:t xml:space="preserve">100</w:t>
            </w:r>
          </w:p>
        </w:tc>
      </w:tr>
      <w:tr>
        <w:tc>
          <w:tcPr>
            <w:tcW w:w="1999" w:type="dxa"/>
          </w:tcPr>
          <w:p>
            <w:pPr>
              <w:pStyle w:val="Compact"/>
              <w:spacing w:after="40"/>
              <w:jc w:val="left"/>
            </w:pPr>
            <w:r>
              <w:rPr>
                <w:sz w:val="18"/>
              </w:rPr>
              <w:t xml:space="preserve">9</w:t>
            </w:r>
          </w:p>
        </w:tc>
        <w:tc>
          <w:tcPr>
            <w:tcW w:w="5639" w:type="dxa"/>
          </w:tcPr>
          <w:p>
            <w:pPr>
              <w:pStyle w:val="Compact"/>
              <w:spacing w:after="40"/>
              <w:jc w:val="left"/>
            </w:pPr>
            <w:r>
              <w:rPr>
                <w:sz w:val="18"/>
              </w:rPr>
              <w:t xml:space="preserve">Other commitments (standby facilities, credit lines): original maturity ≤ 1 year / &gt; 1 year</w:t>
            </w:r>
          </w:p>
        </w:tc>
        <w:tc>
          <w:tcPr>
            <w:tcW w:w="2000" w:type="dxa"/>
          </w:tcPr>
          <w:p>
            <w:pPr>
              <w:pStyle w:val="Compact"/>
              <w:spacing w:after="40"/>
              <w:jc w:val="left"/>
            </w:pPr>
            <w:r>
              <w:rPr>
                <w:bCs/>
                <w:b/>
                <w:sz w:val="18"/>
              </w:rPr>
              <w:t xml:space="preserve">20 / 50</w:t>
            </w:r>
          </w:p>
        </w:tc>
      </w:tr>
      <w:tr>
        <w:tc>
          <w:tcPr>
            <w:tcW w:w="1999" w:type="dxa"/>
          </w:tcPr>
          <w:p>
            <w:pPr>
              <w:pStyle w:val="Compact"/>
              <w:spacing w:after="40"/>
              <w:jc w:val="left"/>
            </w:pPr>
            <w:r>
              <w:rPr>
                <w:sz w:val="18"/>
              </w:rPr>
              <w:t xml:space="preserve">10</w:t>
            </w:r>
          </w:p>
        </w:tc>
        <w:tc>
          <w:tcPr>
            <w:tcW w:w="5639" w:type="dxa"/>
          </w:tcPr>
          <w:p>
            <w:pPr>
              <w:pStyle w:val="Compact"/>
              <w:spacing w:after="40"/>
              <w:jc w:val="left"/>
            </w:pPr>
            <w:r>
              <w:rPr>
                <w:sz w:val="18"/>
              </w:rPr>
              <w:t xml:space="preserve">Commitments unconditionally cancellable without notice</w:t>
            </w:r>
          </w:p>
        </w:tc>
        <w:tc>
          <w:tcPr>
            <w:tcW w:w="2000" w:type="dxa"/>
          </w:tcPr>
          <w:p>
            <w:pPr>
              <w:pStyle w:val="Compact"/>
              <w:spacing w:after="40"/>
              <w:jc w:val="left"/>
            </w:pPr>
            <w:r>
              <w:rPr>
                <w:bCs/>
                <w:b/>
                <w:sz w:val="18"/>
              </w:rPr>
              <w:t xml:space="preserve">0</w:t>
            </w:r>
          </w:p>
        </w:tc>
      </w:tr>
      <w:tr>
        <w:tc>
          <w:tcPr>
            <w:tcW w:w="1999" w:type="dxa"/>
          </w:tcPr>
          <w:p>
            <w:pPr>
              <w:pStyle w:val="Compact"/>
              <w:spacing w:after="40"/>
              <w:jc w:val="left"/>
            </w:pPr>
            <w:r>
              <w:rPr>
                <w:sz w:val="18"/>
              </w:rPr>
              <w:t xml:space="preserve">11</w:t>
            </w:r>
          </w:p>
        </w:tc>
        <w:tc>
          <w:tcPr>
            <w:tcW w:w="5639" w:type="dxa"/>
          </w:tcPr>
          <w:p>
            <w:pPr>
              <w:pStyle w:val="Compact"/>
              <w:spacing w:after="40"/>
              <w:jc w:val="left"/>
            </w:pPr>
            <w:r>
              <w:rPr>
                <w:sz w:val="18"/>
              </w:rPr>
              <w:t xml:space="preserve">Take-out finance: unconditional / conditional</w:t>
            </w:r>
          </w:p>
        </w:tc>
        <w:tc>
          <w:tcPr>
            <w:tcW w:w="2000" w:type="dxa"/>
          </w:tcPr>
          <w:p>
            <w:pPr>
              <w:pStyle w:val="Compact"/>
              <w:spacing w:after="40"/>
              <w:jc w:val="left"/>
            </w:pPr>
            <w:r>
              <w:rPr>
                <w:sz w:val="18"/>
              </w:rPr>
              <w:t xml:space="preserve">100 / 50</w:t>
            </w:r>
          </w:p>
        </w:tc>
      </w:tr>
      <w:tr>
        <w:tc>
          <w:tcPr>
            <w:tcW w:w="1999" w:type="dxa"/>
          </w:tcPr>
          <w:p>
            <w:pPr>
              <w:pStyle w:val="Compact"/>
              <w:spacing w:after="40"/>
              <w:jc w:val="left"/>
            </w:pPr>
            <w:r>
              <w:rPr>
                <w:sz w:val="18"/>
              </w:rPr>
              <w:t xml:space="preserve">12, 13</w:t>
            </w:r>
          </w:p>
        </w:tc>
        <w:tc>
          <w:tcPr>
            <w:tcW w:w="5639" w:type="dxa"/>
          </w:tcPr>
          <w:p>
            <w:pPr>
              <w:pStyle w:val="Compact"/>
              <w:spacing w:after="40"/>
              <w:jc w:val="left"/>
            </w:pPr>
            <w:r>
              <w:rPr>
                <w:sz w:val="18"/>
              </w:rPr>
              <w:t xml:space="preserve">Securitisation liquidity facility; third-party second-loss credit enhancement</w:t>
            </w:r>
          </w:p>
        </w:tc>
        <w:tc>
          <w:tcPr>
            <w:tcW w:w="2000" w:type="dxa"/>
          </w:tcPr>
          <w:p>
            <w:pPr>
              <w:pStyle w:val="Compact"/>
              <w:spacing w:after="40"/>
              <w:jc w:val="left"/>
            </w:pPr>
            <w:r>
              <w:rPr>
                <w:sz w:val="18"/>
              </w:rPr>
              <w:t xml:space="preserve">100</w:t>
            </w:r>
          </w:p>
        </w:tc>
      </w:tr>
      <w:tr>
        <w:tc>
          <w:tcPr>
            <w:tcW w:w="1999" w:type="dxa"/>
          </w:tcPr>
          <w:p>
            <w:pPr>
              <w:pStyle w:val="Compact"/>
              <w:spacing w:after="40"/>
              <w:jc w:val="left"/>
            </w:pPr>
            <w:r>
              <w:rPr>
                <w:sz w:val="18"/>
              </w:rPr>
              <w:t xml:space="preserve">14</w:t>
            </w:r>
          </w:p>
        </w:tc>
        <w:tc>
          <w:tcPr>
            <w:tcW w:w="5639" w:type="dxa"/>
          </w:tcPr>
          <w:p>
            <w:pPr>
              <w:pStyle w:val="Compact"/>
              <w:spacing w:after="40"/>
              <w:jc w:val="left"/>
            </w:pPr>
            <w:r>
              <w:rPr>
                <w:sz w:val="18"/>
              </w:rPr>
              <w:t xml:space="preserve">Other contingent liabilities</w:t>
            </w:r>
          </w:p>
        </w:tc>
        <w:tc>
          <w:tcPr>
            <w:tcW w:w="2000" w:type="dxa"/>
          </w:tcPr>
          <w:p>
            <w:pPr>
              <w:pStyle w:val="Compact"/>
              <w:spacing w:after="40"/>
              <w:jc w:val="left"/>
            </w:pPr>
            <w:r>
              <w:rPr>
                <w:sz w:val="18"/>
              </w:rPr>
              <w:t xml:space="preserve">50</w:t>
            </w:r>
          </w:p>
        </w:tc>
      </w:tr>
    </w:tbl>
    <w:p>
      <w:pPr>
        <w:numPr>
          <w:ilvl w:val="0"/>
          <w:numId w:val="1861"/>
        </w:numPr>
        <w:pStyle w:val="Compact"/>
      </w:pPr>
      <w:r>
        <w:rPr>
          <w:bCs/>
          <w:b/>
        </w:rPr>
        <w:t xml:space="preserve">PCE (18(6)):</w:t>
      </w:r>
      <w:r>
        <w:t xml:space="preserve"> </w:t>
      </w:r>
      <w:r>
        <w:t xml:space="preserve">drawn = advance; undrawn = contingent; capital at least at the issuance level while the bond outstanding exceeds the aggregate PCE; full capital if the pre-enhanced rating falls below BBB−; capped at the PCE amount.</w:t>
      </w:r>
    </w:p>
    <w:p>
      <w:pPr>
        <w:numPr>
          <w:ilvl w:val="0"/>
          <w:numId w:val="1861"/>
        </w:numPr>
        <w:pStyle w:val="Compact"/>
      </w:pPr>
      <w:r>
        <w:rPr>
          <w:bCs/>
          <w:b/>
        </w:rPr>
        <w:t xml:space="preserve">Derivatives — CEM (18(7)–(9)):</w:t>
      </w:r>
      <w:r>
        <w:t xml:space="preserve"> </w:t>
      </w:r>
      <w:r>
        <w:t xml:space="preserve">exposure = positive MTM + PFE; add-ons interest rate 0.5 / 1.0 / 3.0%, FX and gold 2 / 10 / 15% (≤ 1 year / 1–5 years / &gt; 5 years); netting ANet = 0.4·AGross + 0.6·NGR·AGross, only with legal opinions and no walkaway clause; QCCP exposures 0; collateral posted with CCIL 20%, other CCPs 50%.</w:t>
      </w:r>
    </w:p>
    <w:p>
      <w:pPr>
        <w:numPr>
          <w:ilvl w:val="0"/>
          <w:numId w:val="1861"/>
        </w:numPr>
        <w:pStyle w:val="Compact"/>
      </w:pPr>
      <w:r>
        <w:rPr>
          <w:bCs/>
          <w:b/>
        </w:rPr>
        <w:t xml:space="preserve">Repo and CDS:</w:t>
      </w:r>
      <w:r>
        <w:t xml:space="preserve"> </w:t>
      </w:r>
      <w:r>
        <w:t xml:space="preserve">repo in corporate debt (18(10)); CDS on bonds — 80% recognised for non-HTM, full substitution for HTM (18(11)).</w:t>
      </w:r>
    </w:p>
    <w:p>
      <w:pPr>
        <w:numPr>
          <w:ilvl w:val="0"/>
          <w:numId w:val="1861"/>
        </w:numPr>
        <w:pStyle w:val="Compact"/>
      </w:pPr>
      <w:r>
        <w:rPr>
          <w:iCs/>
          <w:i/>
        </w:rPr>
        <w:t xml:space="preserve">Build:</w:t>
      </w:r>
      <w:r>
        <w:t xml:space="preserve"> </w:t>
      </w:r>
      <w:r>
        <w:t xml:space="preserve">sanctioned-but-undisbursed amounts (tranches, lines) go to Sr 9 or 10 using the original maturity and an</w:t>
      </w:r>
      <w:r>
        <w:t xml:space="preserve"> </w:t>
      </w:r>
      <w:r>
        <w:rPr>
          <w:rStyle w:val="VerbatimChar"/>
        </w:rPr>
        <w:t xml:space="preserve">unconditionally_cancellable</w:t>
      </w:r>
      <w:r>
        <w:t xml:space="preserve"> </w:t>
      </w:r>
      <w:r>
        <w:t xml:space="preserve">flag from the sanction terms.</w:t>
      </w:r>
    </w:p>
    <w:p>
      <w:pPr>
        <w:pStyle w:val="FirstParagraph"/>
      </w:pPr>
      <w:r>
        <w:rPr>
          <w:bCs/>
          <w:b/>
        </w:rPr>
        <w:t xml:space="preserve">Securitisation (paras 19–51):</w:t>
      </w:r>
    </w:p>
    <w:p>
      <w:pPr>
        <w:numPr>
          <w:ilvl w:val="0"/>
          <w:numId w:val="1862"/>
        </w:numPr>
        <w:pStyle w:val="Compact"/>
      </w:pPr>
      <w:r>
        <w:t xml:space="preserve">Capital on every securitisation exposure; gain on sale deducted from CET1/NOF until maturity (19).</w:t>
      </w:r>
    </w:p>
    <w:p>
      <w:pPr>
        <w:numPr>
          <w:ilvl w:val="0"/>
          <w:numId w:val="1862"/>
        </w:numPr>
        <w:pStyle w:val="Compact"/>
      </w:pPr>
      <w:r>
        <w:t xml:space="preserve">Derecognition requires the para 27 conditions, including a clean-up call ≤ 10%, plus a legal opinion (28).</w:t>
      </w:r>
    </w:p>
    <w:p>
      <w:pPr>
        <w:numPr>
          <w:ilvl w:val="0"/>
          <w:numId w:val="1862"/>
        </w:numPr>
        <w:pStyle w:val="Compact"/>
      </w:pPr>
      <w:r>
        <w:rPr>
          <w:bCs/>
          <w:b/>
        </w:rPr>
        <w:t xml:space="preserve">SEC-ERBA only; for an unrated exposure, capital = the exposure amount</w:t>
      </w:r>
      <w:r>
        <w:t xml:space="preserve"> </w:t>
      </w:r>
      <w:r>
        <w:t xml:space="preserve">(29). Capital capped at the exposure (30) and, for an originator, at the pre-securitisation charge (31). Implicit support → capital on the whole pool (32).</w:t>
      </w:r>
    </w:p>
    <w:p>
      <w:pPr>
        <w:numPr>
          <w:ilvl w:val="0"/>
          <w:numId w:val="1862"/>
        </w:numPr>
        <w:pStyle w:val="Compact"/>
      </w:pPr>
      <w:r>
        <w:t xml:space="preserve">Inputs: attachment/detachment points A and D, tranche maturity MT (floor 1, cap 5 years), thickness T (33–40, 45). RW tables short-term and long-term (42, 44); STC tables (49–50). Floors 15% (non-STC); 10% senior / 15% non-senior (STC) (47, 51).</w:t>
      </w:r>
    </w:p>
    <w:p>
      <w:pPr>
        <w:numPr>
          <w:ilvl w:val="0"/>
          <w:numId w:val="1862"/>
        </w:numPr>
        <w:pStyle w:val="Compact"/>
      </w:pPr>
      <w:r>
        <w:rPr>
          <w:iCs/>
          <w:i/>
        </w:rPr>
        <w:t xml:space="preserve">Build:</w:t>
      </w:r>
      <w:r>
        <w:t xml:space="preserve"> </w:t>
      </w:r>
      <w:r>
        <w:t xml:space="preserve">golden test = the para 48 illustration (total RWA ₹790.315 crore).</w:t>
      </w:r>
    </w:p>
    <w:p>
      <w:pPr>
        <w:pStyle w:val="FirstParagraph"/>
      </w:pPr>
      <w:r>
        <w:rPr>
          <w:bCs/>
          <w:b/>
        </w:rPr>
        <w:t xml:space="preserve">CDS (paras 52–53):</w:t>
      </w:r>
    </w:p>
    <w:p>
      <w:pPr>
        <w:numPr>
          <w:ilvl w:val="0"/>
          <w:numId w:val="1863"/>
        </w:numPr>
        <w:pStyle w:val="Compact"/>
      </w:pPr>
      <w:r>
        <w:t xml:space="preserve">User only: buy protection on corporate bonds held; no selling, no short positions (52).</w:t>
      </w:r>
    </w:p>
    <w:p>
      <w:pPr>
        <w:numPr>
          <w:ilvl w:val="0"/>
          <w:numId w:val="1863"/>
        </w:numPr>
        <w:pStyle w:val="Compact"/>
      </w:pPr>
      <w:r>
        <w:t xml:space="preserve">Restructuring not covered → 60% of the hedge recognised (53(1)(v)(d)). Materiality threshold →</w:t>
      </w:r>
      <w:r>
        <w:t xml:space="preserve"> </w:t>
      </w:r>
      <w:r>
        <w:rPr>
          <w:bCs/>
          <w:b/>
        </w:rPr>
        <w:t xml:space="preserve">667% RW</w:t>
      </w:r>
      <w:r>
        <w:t xml:space="preserve"> </w:t>
      </w:r>
      <w:r>
        <w:t xml:space="preserve">(53(2)).</w:t>
      </w:r>
    </w:p>
    <w:p>
      <w:pPr>
        <w:numPr>
          <w:ilvl w:val="0"/>
          <w:numId w:val="1863"/>
        </w:numPr>
        <w:pStyle w:val="Compact"/>
      </w:pPr>
      <w:r>
        <w:t xml:space="preserve">Maturity mismatch: Pa = P × (t − 0.25) ÷ (T − 0.25); nothing recognised below 3 months (53(5)(iii)).</w:t>
      </w:r>
    </w:p>
    <w:p>
      <w:pPr>
        <w:numPr>
          <w:ilvl w:val="0"/>
          <w:numId w:val="1863"/>
        </w:numPr>
        <w:pStyle w:val="Compact"/>
      </w:pPr>
      <w:r>
        <w:t xml:space="preserve">Exposure above the single/group limit because of CDS cover → 667% (53(5)(iv)).</w:t>
      </w:r>
      <w:r>
        <w:t xml:space="preserve"> </w:t>
      </w:r>
      <w:r>
        <w:rPr>
          <w:bCs/>
          <w:b/>
        </w:rPr>
        <w:t xml:space="preserve">Quarterly report</w:t>
      </w:r>
      <w:r>
        <w:t xml:space="preserve"> </w:t>
      </w:r>
      <w:r>
        <w:t xml:space="preserve">to the DoS RO (53(7)).</w:t>
      </w:r>
    </w:p>
    <w:p>
      <w:pPr>
        <w:pStyle w:val="FirstParagraph"/>
      </w:pPr>
      <w:r>
        <w:rPr>
          <w:bCs/>
          <w:b/>
        </w:rPr>
        <w:t xml:space="preserve">ICAAP (para 54; ML and above, plus HFC, MGC, CIC, SPD):</w:t>
      </w:r>
      <w:r>
        <w:t xml:space="preserve"> </w:t>
      </w:r>
      <w:r>
        <w:t xml:space="preserve">Board-approved, proportionate internal assessment of credit, market, operational and residual risks. Pillar 2 capital is not insisted upon.</w:t>
      </w:r>
    </w:p>
    <w:p>
      <w:pPr>
        <w:pStyle w:val="BodyText"/>
      </w:pPr>
      <w:r>
        <w:rPr>
          <w:bCs/>
          <w:b/>
        </w:rPr>
        <w:t xml:space="preserve">Reporting:</w:t>
      </w:r>
      <w:r>
        <w:t xml:space="preserve"> </w:t>
      </w:r>
      <w:r>
        <w:t xml:space="preserve">this text names no CRAR return format; the DNBS series comes from the Supervisory Returns Directions.</w:t>
      </w:r>
    </w:p>
    <w:p>
      <w:pPr>
        <w:pStyle w:val="BodyText"/>
      </w:pPr>
      <w:r>
        <w:rPr>
          <w:iCs/>
          <w:i/>
        </w:rPr>
        <w:t xml:space="preserve">Build:</w:t>
      </w:r>
      <w:r>
        <w:t xml:space="preserve"> </w:t>
      </w:r>
      <w:r>
        <w:t xml:space="preserve">the RWA engine (M12) works in seven steps:</w:t>
      </w:r>
      <w:r>
        <w:t xml:space="preserve"> </w:t>
      </w:r>
      <w:r>
        <w:t xml:space="preserve">1.</w:t>
      </w:r>
      <w:r>
        <w:t xml:space="preserve"> </w:t>
      </w:r>
      <w:r>
        <w:rPr>
          <w:bCs/>
          <w:b/>
        </w:rPr>
        <w:t xml:space="preserve">Exposure snapshot</w:t>
      </w:r>
      <w:r>
        <w:t xml:space="preserve"> </w:t>
      </w:r>
      <w:r>
        <w:t xml:space="preserve">from LMS, GL and investments, with rw_class, provisions, margins and guarantee cover.</w:t>
      </w:r>
      <w:r>
        <w:t xml:space="preserve"> </w:t>
      </w:r>
      <w:r>
        <w:t xml:space="preserve">2.</w:t>
      </w:r>
      <w:r>
        <w:t xml:space="preserve"> </w:t>
      </w:r>
      <w:r>
        <w:rPr>
          <w:bCs/>
          <w:b/>
        </w:rPr>
        <w:t xml:space="preserve">Off-balance-sheet</w:t>
      </w:r>
      <w:r>
        <w:t xml:space="preserve"> </w:t>
      </w:r>
      <w:r>
        <w:t xml:space="preserve">amounts from sanctions, guarantees and commitments, with CCFs.</w:t>
      </w:r>
      <w:r>
        <w:t xml:space="preserve"> </w:t>
      </w:r>
      <w:r>
        <w:t xml:space="preserve">3.</w:t>
      </w:r>
      <w:r>
        <w:t xml:space="preserve"> </w:t>
      </w:r>
      <w:r>
        <w:rPr>
          <w:bCs/>
          <w:b/>
        </w:rPr>
        <w:t xml:space="preserve">Securitisation and derivatives</w:t>
      </w:r>
      <w:r>
        <w:t xml:space="preserve"> </w:t>
      </w:r>
      <w:r>
        <w:t xml:space="preserve">modules.</w:t>
      </w:r>
      <w:r>
        <w:t xml:space="preserve"> </w:t>
      </w:r>
      <w:r>
        <w:t xml:space="preserve">4.</w:t>
      </w:r>
      <w:r>
        <w:t xml:space="preserve"> </w:t>
      </w:r>
      <w:r>
        <w:rPr>
          <w:bCs/>
          <w:b/>
        </w:rPr>
        <w:t xml:space="preserve">Capital numerator</w:t>
      </w:r>
      <w:r>
        <w:t xml:space="preserve"> </w:t>
      </w:r>
      <w:r>
        <w:t xml:space="preserve">from GL capital-component tags, including EPt (needs dividend history), ECL stages and deductions.</w:t>
      </w:r>
      <w:r>
        <w:t xml:space="preserve"> </w:t>
      </w:r>
      <w:r>
        <w:t xml:space="preserve">5.</w:t>
      </w:r>
      <w:r>
        <w:t xml:space="preserve"> </w:t>
      </w:r>
      <w:r>
        <w:rPr>
          <w:bCs/>
          <w:b/>
        </w:rPr>
        <w:t xml:space="preserve">Ratios</w:t>
      </w:r>
      <w:r>
        <w:t xml:space="preserve"> </w:t>
      </w:r>
      <w:r>
        <w:t xml:space="preserve">against thresholds from the entity profile.</w:t>
      </w:r>
      <w:r>
        <w:t xml:space="preserve"> </w:t>
      </w:r>
      <w:r>
        <w:t xml:space="preserve">6.</w:t>
      </w:r>
      <w:r>
        <w:t xml:space="preserve"> </w:t>
      </w:r>
      <w:r>
        <w:rPr>
          <w:bCs/>
          <w:b/>
        </w:rPr>
        <w:t xml:space="preserve">Lineage</w:t>
      </w:r>
      <w:r>
        <w:t xml:space="preserve"> </w:t>
      </w:r>
      <w:r>
        <w:t xml:space="preserve">to every loan and journal.</w:t>
      </w:r>
      <w:r>
        <w:t xml:space="preserve"> </w:t>
      </w:r>
      <w:r>
        <w:t xml:space="preserve">7.</w:t>
      </w:r>
      <w:r>
        <w:t xml:space="preserve"> </w:t>
      </w:r>
      <w:r>
        <w:rPr>
          <w:bCs/>
          <w:b/>
        </w:rPr>
        <w:t xml:space="preserve">What-if</w:t>
      </w:r>
      <w:r>
        <w:t xml:space="preserve"> </w:t>
      </w:r>
      <w:r>
        <w:t xml:space="preserve">impact of a proposed sanction.</w:t>
      </w:r>
    </w:p>
    <w:p>
      <w:r>
        <w:pict>
          <v:rect style="width:0;height:1.5pt" o:hralign="center" o:hrstd="t" o:hr="t"/>
        </w:pict>
      </w:r>
    </w:p>
    <w:p>
      <w:r>
        <w:pict>
          <v:rect style="width:0;height:1.5pt" o:hralign="center" o:hrstd="t" o:hr="t"/>
        </w:pict>
      </w:r>
    </w:p>
    <w:bookmarkEnd w:id="806"/>
    <w:bookmarkStart w:id="807" w:name="X452e78c17ffd7da5312dbb6ada8672816944229"/>
    <w:p>
      <w:pPr>
        <w:pStyle w:val="Heading2"/>
      </w:pPr>
      <w:r>
        <w:t xml:space="preserve">8A.25 SBR — Registration, Exemptions and Framework for Scale Based Regulation Directions (339)</w:t>
      </w:r>
    </w:p>
    <w:p>
      <w:pPr>
        <w:pStyle w:val="FirstParagraph"/>
      </w:pPr>
      <w:r>
        <w:rPr>
          <w:iCs/>
          <w:i/>
        </w:rPr>
        <w:t xml:space="preserve">RBI/DOR/2025-26/339; 28 Nov 2025; original text, no</w:t>
      </w:r>
      <w:r>
        <w:rPr>
          <w:iCs/>
          <w:i/>
        </w:rPr>
        <w:t xml:space="preserve"> </w:t>
      </w:r>
      <w:r>
        <w:rPr>
          <w:iCs/>
          <w:i/>
        </w:rPr>
        <w:t xml:space="preserve">“</w:t>
      </w:r>
      <w:r>
        <w:rPr>
          <w:iCs/>
          <w:i/>
        </w:rPr>
        <w:t xml:space="preserve">updated as on</w:t>
      </w:r>
      <w:r>
        <w:rPr>
          <w:iCs/>
          <w:i/>
        </w:rPr>
        <w:t xml:space="preserve">”</w:t>
      </w:r>
      <w:r>
        <w:rPr>
          <w:iCs/>
          <w:i/>
        </w:rPr>
        <w:t xml:space="preserve"> </w:t>
      </w:r>
      <w:r>
        <w:rPr>
          <w:iCs/>
          <w:i/>
        </w:rPr>
        <w:t xml:space="preserve">date. All registered NBFCs by layer (3(2)), including Government companies (3(3)); Ch IV for specified non-banking institutions (3(1)). The ₹1 lakh crore UL threshold and</w:t>
      </w:r>
      <w:r>
        <w:rPr>
          <w:iCs/>
          <w:i/>
        </w:rPr>
        <w:t xml:space="preserve"> </w:t>
      </w:r>
      <w:r>
        <w:rPr>
          <w:iCs/>
          <w:i/>
        </w:rPr>
        <w:t xml:space="preserve">“</w:t>
      </w:r>
      <w:r>
        <w:rPr>
          <w:iCs/>
          <w:i/>
        </w:rPr>
        <w:t xml:space="preserve">Unregistered Type I NBFC</w:t>
      </w:r>
      <w:r>
        <w:rPr>
          <w:iCs/>
          <w:i/>
        </w:rPr>
        <w:t xml:space="preserve">”</w:t>
      </w:r>
      <w:r>
        <w:rPr>
          <w:iCs/>
          <w:i/>
        </w:rPr>
        <w:t xml:space="preserve"> </w:t>
      </w:r>
      <w:r>
        <w:rPr>
          <w:iCs/>
          <w:i/>
        </w:rPr>
        <w:t xml:space="preserve">are</w:t>
      </w:r>
      <w:r>
        <w:rPr>
          <w:iCs/>
          <w:i/>
        </w:rPr>
        <w:t xml:space="preserve"> </w:t>
      </w:r>
      <w:r>
        <w:rPr>
          <w:bCs/>
          <w:b/>
          <w:iCs/>
          <w:i/>
        </w:rPr>
        <w:t xml:space="preserve">absent</w:t>
      </w:r>
      <w:r>
        <w:rPr>
          <w:iCs/>
          <w:i/>
        </w:rPr>
        <w:t xml:space="preserve"> </w:t>
      </w:r>
      <w:r>
        <w:rPr>
          <w:iCs/>
          <w:i/>
        </w:rPr>
        <w:t xml:space="preserve">from this copy [VERIFY: any 2026 amendment].</w:t>
      </w:r>
    </w:p>
    <w:p>
      <w:pPr>
        <w:pStyle w:val="BodyText"/>
      </w:pPr>
      <w:r>
        <w:rPr>
          <w:bCs/>
          <w:b/>
        </w:rPr>
        <w:t xml:space="preserve">Layers (paras 8–16):</w:t>
      </w:r>
    </w:p>
    <w:p>
      <w:pPr>
        <w:numPr>
          <w:ilvl w:val="0"/>
          <w:numId w:val="1864"/>
        </w:numPr>
        <w:pStyle w:val="Compact"/>
      </w:pPr>
      <w:r>
        <w:rPr>
          <w:bCs/>
          <w:b/>
        </w:rPr>
        <w:t xml:space="preserve">BL:</w:t>
      </w:r>
      <w:r>
        <w:t xml:space="preserve"> </w:t>
      </w:r>
      <w:r>
        <w:t xml:space="preserve">non-deposit NBFCs with assets below ₹1,000 crore, plus P2P, AA, NOFHC and NBFCs with no public funds and no customer interface (10). Those four always stay BL (15(1)).</w:t>
      </w:r>
    </w:p>
    <w:p>
      <w:pPr>
        <w:numPr>
          <w:ilvl w:val="0"/>
          <w:numId w:val="1864"/>
        </w:numPr>
        <w:pStyle w:val="Compact"/>
      </w:pPr>
      <w:r>
        <w:rPr>
          <w:bCs/>
          <w:b/>
        </w:rPr>
        <w:t xml:space="preserve">ML:</w:t>
      </w:r>
      <w:r>
        <w:t xml:space="preserve"> </w:t>
      </w:r>
      <w:r>
        <w:t xml:space="preserve">all NBFC-D; non-deposit NBFCs with assets ≥ ₹1,000 crore; SPD, IDF-NBFC, CIC, HFC, IFC (11). NBFC-D, CIC, IFC and HFC are never BL; SPD and IDF always ML (15(2)).</w:t>
      </w:r>
    </w:p>
    <w:p>
      <w:pPr>
        <w:numPr>
          <w:ilvl w:val="0"/>
          <w:numId w:val="1864"/>
        </w:numPr>
        <w:pStyle w:val="Compact"/>
      </w:pPr>
      <w:r>
        <w:rPr>
          <w:bCs/>
          <w:b/>
        </w:rPr>
        <w:t xml:space="preserve">Any layer:</w:t>
      </w:r>
      <w:r>
        <w:t xml:space="preserve"> </w:t>
      </w:r>
      <w:r>
        <w:t xml:space="preserve">ICC, MFI, Factor, MGC (15(3)).</w:t>
      </w:r>
    </w:p>
    <w:p>
      <w:pPr>
        <w:numPr>
          <w:ilvl w:val="0"/>
          <w:numId w:val="1864"/>
        </w:numPr>
        <w:pStyle w:val="Compact"/>
      </w:pPr>
      <w:r>
        <w:rPr>
          <w:bCs/>
          <w:b/>
        </w:rPr>
        <w:t xml:space="preserve">UL:</w:t>
      </w:r>
      <w:r>
        <w:t xml:space="preserve"> </w:t>
      </w:r>
      <w:r>
        <w:t xml:space="preserve">identified by RBI (12).</w:t>
      </w:r>
      <w:r>
        <w:t xml:space="preserve"> </w:t>
      </w:r>
      <w:r>
        <w:rPr>
          <w:bCs/>
          <w:b/>
        </w:rPr>
        <w:t xml:space="preserve">Government NBFCs are not placed in UL until further notice</w:t>
      </w:r>
      <w:r>
        <w:t xml:space="preserve"> </w:t>
      </w:r>
      <w:r>
        <w:t xml:space="preserve">(15(4)).</w:t>
      </w:r>
    </w:p>
    <w:p>
      <w:pPr>
        <w:numPr>
          <w:ilvl w:val="0"/>
          <w:numId w:val="1864"/>
        </w:numPr>
        <w:pStyle w:val="Compact"/>
      </w:pPr>
      <w:r>
        <w:rPr>
          <w:bCs/>
          <w:b/>
        </w:rPr>
        <w:t xml:space="preserve">TL:</w:t>
      </w:r>
      <w:r>
        <w:t xml:space="preserve"> </w:t>
      </w:r>
      <w:r>
        <w:t xml:space="preserve">ideally empty; higher capital as communicated (13–14, 36).</w:t>
      </w:r>
    </w:p>
    <w:p>
      <w:pPr>
        <w:numPr>
          <w:ilvl w:val="0"/>
          <w:numId w:val="1864"/>
        </w:numPr>
        <w:pStyle w:val="Compact"/>
      </w:pPr>
      <w:r>
        <w:rPr>
          <w:bCs/>
          <w:b/>
        </w:rPr>
        <w:t xml:space="preserve">Legacy terms:</w:t>
      </w:r>
      <w:r>
        <w:t xml:space="preserve"> </w:t>
      </w:r>
      <w:r>
        <w:t xml:space="preserve">NBFC-ND = BL; NBFC-D and NBFC-ND-SI = ML or UL; ND-SI with assets of ₹500–1,000 crore = BL (16).</w:t>
      </w:r>
    </w:p>
    <w:p>
      <w:pPr>
        <w:numPr>
          <w:ilvl w:val="0"/>
          <w:numId w:val="1864"/>
        </w:numPr>
        <w:pStyle w:val="Compact"/>
      </w:pPr>
      <w:r>
        <w:t xml:space="preserve">Rules cascade upward through the layers (32–35).</w:t>
      </w:r>
    </w:p>
    <w:p>
      <w:pPr>
        <w:pStyle w:val="FirstParagraph"/>
      </w:pPr>
      <w:r>
        <w:rPr>
          <w:bCs/>
          <w:b/>
        </w:rPr>
        <w:t xml:space="preserve">Middle Layer classification (paras 17–23):</w:t>
      </w:r>
    </w:p>
    <w:p>
      <w:pPr>
        <w:numPr>
          <w:ilvl w:val="0"/>
          <w:numId w:val="1865"/>
        </w:numPr>
        <w:pStyle w:val="Compact"/>
      </w:pPr>
      <w:r>
        <w:rPr>
          <w:bCs/>
          <w:b/>
        </w:rPr>
        <w:t xml:space="preserve">Group consolidation:</w:t>
      </w:r>
      <w:r>
        <w:t xml:space="preserve"> </w:t>
      </w:r>
      <w:r>
        <w:t xml:space="preserve">total assets of every CoR-holding NBFC in the group or under common promoters, including always-BL entities and any unregistered CIC below ₹100 crore that has accessed public funds. If</w:t>
      </w:r>
      <w:r>
        <w:t xml:space="preserve"> </w:t>
      </w:r>
      <w:r>
        <w:rPr>
          <w:bCs/>
          <w:b/>
        </w:rPr>
        <w:t xml:space="preserve">≥ ₹1,000 crore</w:t>
      </w:r>
      <w:r>
        <w:t xml:space="preserve">, every ICC, MFI, Factor and MGC in the group is ML (17–19).</w:t>
      </w:r>
    </w:p>
    <w:p>
      <w:pPr>
        <w:numPr>
          <w:ilvl w:val="0"/>
          <w:numId w:val="1865"/>
        </w:numPr>
        <w:pStyle w:val="Compact"/>
      </w:pPr>
      <w:r>
        <w:t xml:space="preserve">The statutory auditor certifies group asset size as on 31 March</w:t>
      </w:r>
      <w:r>
        <w:t xml:space="preserve"> </w:t>
      </w:r>
      <w:r>
        <w:rPr>
          <w:bCs/>
          <w:b/>
        </w:rPr>
        <w:t xml:space="preserve">every year</w:t>
      </w:r>
      <w:r>
        <w:t xml:space="preserve">; certificate to DoS (20). The group rule is not used for UL (21).</w:t>
      </w:r>
    </w:p>
    <w:p>
      <w:pPr>
        <w:numPr>
          <w:ilvl w:val="0"/>
          <w:numId w:val="1865"/>
        </w:numPr>
        <w:pStyle w:val="Compact"/>
      </w:pPr>
      <w:r>
        <w:rPr>
          <w:bCs/>
          <w:b/>
        </w:rPr>
        <w:t xml:space="preserve">ML rules apply from the date assets reach ₹1,000 crore, not the balance-sheet date</w:t>
      </w:r>
      <w:r>
        <w:t xml:space="preserve"> </w:t>
      </w:r>
      <w:r>
        <w:t xml:space="preserve">(22).</w:t>
      </w:r>
    </w:p>
    <w:p>
      <w:pPr>
        <w:numPr>
          <w:ilvl w:val="0"/>
          <w:numId w:val="1865"/>
        </w:numPr>
        <w:pStyle w:val="Compact"/>
      </w:pPr>
      <w:r>
        <w:t xml:space="preserve">After a temporary dip, the NBFC stays ML until its next audited balance sheet</w:t>
      </w:r>
      <w:r>
        <w:t xml:space="preserve"> </w:t>
      </w:r>
      <w:r>
        <w:rPr>
          <w:bCs/>
          <w:b/>
        </w:rPr>
        <w:t xml:space="preserve">and</w:t>
      </w:r>
      <w:r>
        <w:t xml:space="preserve"> </w:t>
      </w:r>
      <w:r>
        <w:t xml:space="preserve">a specific RBI dispensation (23).</w:t>
      </w:r>
    </w:p>
    <w:p>
      <w:pPr>
        <w:numPr>
          <w:ilvl w:val="0"/>
          <w:numId w:val="1865"/>
        </w:numPr>
        <w:pStyle w:val="Compact"/>
      </w:pPr>
      <w:r>
        <w:t xml:space="preserve">Definitions: public funds exclude instruments compulsorily convertible into equity within 5 years (6(18)); customer interface (6(4)); companies in the group (6(3)); IFC = ≥ 75% of total assets in infrastructure lending (6(13)).</w:t>
      </w:r>
    </w:p>
    <w:p>
      <w:pPr>
        <w:pStyle w:val="FirstParagraph"/>
      </w:pPr>
      <w:r>
        <w:rPr>
          <w:bCs/>
          <w:b/>
        </w:rPr>
        <w:t xml:space="preserve">Upper Layer (paras 24–31):</w:t>
      </w:r>
    </w:p>
    <w:p>
      <w:pPr>
        <w:numPr>
          <w:ilvl w:val="0"/>
          <w:numId w:val="1866"/>
        </w:numPr>
        <w:pStyle w:val="Compact"/>
      </w:pPr>
      <w:r>
        <w:rPr>
          <w:bCs/>
          <w:b/>
        </w:rPr>
        <w:t xml:space="preserve">Scoring set:</w:t>
      </w:r>
      <w:r>
        <w:t xml:space="preserve"> </w:t>
      </w:r>
      <w:r>
        <w:t xml:space="preserve">top 50 by total exposure, excluding the</w:t>
      </w:r>
      <w:r>
        <w:t xml:space="preserve"> </w:t>
      </w:r>
      <w:r>
        <w:rPr>
          <w:bCs/>
          <w:b/>
        </w:rPr>
        <w:t xml:space="preserve">top 10 by asset size, which are always UL</w:t>
      </w:r>
      <w:r>
        <w:t xml:space="preserve">; last year’s UL; supervisory additions (24, 26). Annual, as on 31 March (25).</w:t>
      </w:r>
    </w:p>
    <w:p>
      <w:pPr>
        <w:numPr>
          <w:ilvl w:val="0"/>
          <w:numId w:val="1866"/>
        </w:numPr>
        <w:pStyle w:val="Compact"/>
      </w:pPr>
      <w:r>
        <w:t xml:space="preserve">Weights: quantitative 70 (size and leverage 35, interconnectedness 25, complexity 10); qualitative 30 (liabilities 10, group structure 10, segment penetration 10) (25).</w:t>
      </w:r>
    </w:p>
    <w:p>
      <w:pPr>
        <w:numPr>
          <w:ilvl w:val="0"/>
          <w:numId w:val="1866"/>
        </w:numPr>
        <w:pStyle w:val="Compact"/>
      </w:pPr>
      <w:r>
        <w:rPr>
          <w:bCs/>
          <w:b/>
        </w:rPr>
        <w:t xml:space="preserve">Transition (27):</w:t>
      </w:r>
      <w:r>
        <w:t xml:space="preserve"> </w:t>
      </w:r>
      <w:r>
        <w:t xml:space="preserve">Board policy and implementation plan within</w:t>
      </w:r>
      <w:r>
        <w:t xml:space="preserve"> </w:t>
      </w:r>
      <w:r>
        <w:rPr>
          <w:bCs/>
          <w:b/>
        </w:rPr>
        <w:t xml:space="preserve">3 months</w:t>
      </w:r>
      <w:r>
        <w:t xml:space="preserve"> </w:t>
      </w:r>
      <w:r>
        <w:t xml:space="preserve">of RBI advice; full compliance within</w:t>
      </w:r>
      <w:r>
        <w:t xml:space="preserve"> </w:t>
      </w:r>
      <w:r>
        <w:rPr>
          <w:bCs/>
          <w:b/>
        </w:rPr>
        <w:t xml:space="preserve">24 months</w:t>
      </w:r>
      <w:r>
        <w:t xml:space="preserve">; roadmap submitted to RBI.</w:t>
      </w:r>
    </w:p>
    <w:p>
      <w:pPr>
        <w:numPr>
          <w:ilvl w:val="0"/>
          <w:numId w:val="1866"/>
        </w:numPr>
        <w:pStyle w:val="Compact"/>
      </w:pPr>
      <w:r>
        <w:t xml:space="preserve">Stays UL for at least</w:t>
      </w:r>
      <w:r>
        <w:t xml:space="preserve"> </w:t>
      </w:r>
      <w:r>
        <w:rPr>
          <w:bCs/>
          <w:b/>
        </w:rPr>
        <w:t xml:space="preserve">5 years</w:t>
      </w:r>
      <w:r>
        <w:t xml:space="preserve"> </w:t>
      </w:r>
      <w:r>
        <w:t xml:space="preserve">(28), unless it scales down voluntarily under a Board policy (29). RBI warns NBFCs near the criteria (30).</w:t>
      </w:r>
    </w:p>
    <w:p>
      <w:pPr>
        <w:numPr>
          <w:ilvl w:val="0"/>
          <w:numId w:val="1866"/>
        </w:numPr>
        <w:pStyle w:val="Compact"/>
      </w:pPr>
      <w:r>
        <w:rPr>
          <w:iCs/>
          <w:i/>
        </w:rPr>
        <w:t xml:space="preserve">Build:</w:t>
      </w:r>
      <w:r>
        <w:t xml:space="preserve"> </w:t>
      </w:r>
      <w:r>
        <w:t xml:space="preserve">UL status is an RBI-advised flag with an advice date, never computed. Milestones become calendar items.</w:t>
      </w:r>
    </w:p>
    <w:p>
      <w:pPr>
        <w:pStyle w:val="FirstParagraph"/>
      </w:pPr>
      <w:r>
        <w:rPr>
          <w:bCs/>
          <w:b/>
        </w:rPr>
        <w:t xml:space="preserve">Registration and NOF (paras 37–48):</w:t>
      </w:r>
    </w:p>
    <w:p>
      <w:pPr>
        <w:numPr>
          <w:ilvl w:val="0"/>
          <w:numId w:val="1867"/>
        </w:numPr>
        <w:pStyle w:val="Compact"/>
      </w:pPr>
      <w:r>
        <w:rPr>
          <w:bCs/>
          <w:b/>
        </w:rPr>
        <w:t xml:space="preserve">PBC (38):</w:t>
      </w:r>
      <w:r>
        <w:t xml:space="preserve"> </w:t>
      </w:r>
      <w:r>
        <w:t xml:space="preserve">financial assets</w:t>
      </w:r>
      <w:r>
        <w:t xml:space="preserve"> </w:t>
      </w:r>
      <w:r>
        <w:rPr>
          <w:bCs/>
          <w:b/>
        </w:rPr>
        <w:t xml:space="preserve">&gt; 50%</w:t>
      </w:r>
      <w:r>
        <w:t xml:space="preserve"> </w:t>
      </w:r>
      <w:r>
        <w:t xml:space="preserve">of total assets (net of intangibles)</w:t>
      </w:r>
      <w:r>
        <w:t xml:space="preserve"> </w:t>
      </w:r>
      <w:r>
        <w:rPr>
          <w:bCs/>
          <w:b/>
        </w:rPr>
        <w:t xml:space="preserve">and</w:t>
      </w:r>
      <w:r>
        <w:t xml:space="preserve"> </w:t>
      </w:r>
      <w:r>
        <w:t xml:space="preserve">income from financial assets</w:t>
      </w:r>
      <w:r>
        <w:t xml:space="preserve"> </w:t>
      </w:r>
      <w:r>
        <w:rPr>
          <w:bCs/>
          <w:b/>
        </w:rPr>
        <w:t xml:space="preserve">&gt; 50%</w:t>
      </w:r>
      <w:r>
        <w:t xml:space="preserve"> </w:t>
      </w:r>
      <w:r>
        <w:t xml:space="preserve">of gross income, on the last audited balance sheet. Bank FDs excluded (MISC 21).</w:t>
      </w:r>
    </w:p>
    <w:p>
      <w:pPr>
        <w:numPr>
          <w:ilvl w:val="0"/>
          <w:numId w:val="1867"/>
        </w:numPr>
        <w:pStyle w:val="Compact"/>
      </w:pPr>
      <w:r>
        <w:rPr>
          <w:bCs/>
          <w:b/>
        </w:rPr>
        <w:t xml:space="preserve">NOF:</w:t>
      </w:r>
      <w:r>
        <w:t xml:space="preserve"> </w:t>
      </w:r>
      <w:r>
        <w:t xml:space="preserve">ICC, MFI, Factor</w:t>
      </w:r>
      <w:r>
        <w:t xml:space="preserve"> </w:t>
      </w:r>
      <w:r>
        <w:rPr>
          <w:bCs/>
          <w:b/>
        </w:rPr>
        <w:t xml:space="preserve">₹10 crore</w:t>
      </w:r>
      <w:r>
        <w:t xml:space="preserve"> </w:t>
      </w:r>
      <w:r>
        <w:t xml:space="preserve">(39); P2P, AA, NBFC without public funds and customer interface</w:t>
      </w:r>
      <w:r>
        <w:t xml:space="preserve"> </w:t>
      </w:r>
      <w:r>
        <w:rPr>
          <w:bCs/>
          <w:b/>
        </w:rPr>
        <w:t xml:space="preserve">₹2 crore</w:t>
      </w:r>
      <w:r>
        <w:t xml:space="preserve"> </w:t>
      </w:r>
      <w:r>
        <w:t xml:space="preserve">(40); IFC and IDF</w:t>
      </w:r>
      <w:r>
        <w:t xml:space="preserve"> </w:t>
      </w:r>
      <w:r>
        <w:rPr>
          <w:bCs/>
          <w:b/>
        </w:rPr>
        <w:t xml:space="preserve">₹300 crore</w:t>
      </w:r>
      <w:r>
        <w:t xml:space="preserve"> </w:t>
      </w:r>
      <w:r>
        <w:t xml:space="preserve">(41).</w:t>
      </w:r>
    </w:p>
    <w:p>
      <w:pPr>
        <w:numPr>
          <w:ilvl w:val="0"/>
          <w:numId w:val="1867"/>
        </w:numPr>
        <w:pStyle w:val="Compact"/>
      </w:pPr>
      <w:r>
        <w:rPr>
          <w:bCs/>
          <w:b/>
        </w:rPr>
        <w:t xml:space="preserve">Glide path (42):</w:t>
      </w:r>
      <w:r>
        <w:t xml:space="preserve"> </w:t>
      </w:r>
      <w:r>
        <w:t xml:space="preserve">ICC ₹2 crore → ₹5 crore by 31 Mar 2025 →</w:t>
      </w:r>
      <w:r>
        <w:t xml:space="preserve"> </w:t>
      </w:r>
      <w:r>
        <w:rPr>
          <w:bCs/>
          <w:b/>
        </w:rPr>
        <w:t xml:space="preserve">₹10 crore by 31 Mar 2027</w:t>
      </w:r>
      <w:r>
        <w:t xml:space="preserve">; MFI ₹5 crore (NE ₹2 crore) → ₹7 crore (NE ₹5 crore) → ₹10 crore; Factor ₹5 → ₹7 → ₹10 crore. Failure → ineligible to hold CoR (43). Other entity types follow their own Directions (44).</w:t>
      </w:r>
    </w:p>
    <w:p>
      <w:pPr>
        <w:numPr>
          <w:ilvl w:val="0"/>
          <w:numId w:val="1867"/>
        </w:numPr>
        <w:pStyle w:val="Compact"/>
      </w:pPr>
      <w:r>
        <w:rPr>
          <w:bCs/>
          <w:b/>
        </w:rPr>
        <w:t xml:space="preserve">NOF deductions:</w:t>
      </w:r>
      <w:r>
        <w:t xml:space="preserve"> </w:t>
      </w:r>
      <w:r>
        <w:t xml:space="preserve">exposures to subsidiaries, group companies and other NBFCs above 10% of paid-up equity plus free reserves (45); look-through for group investments via an AIF where ≥ 50% of its funds came from the NBFC (46).</w:t>
      </w:r>
    </w:p>
    <w:p>
      <w:pPr>
        <w:numPr>
          <w:ilvl w:val="0"/>
          <w:numId w:val="1867"/>
        </w:numPr>
        <w:pStyle w:val="Compact"/>
      </w:pPr>
      <w:r>
        <w:rPr>
          <w:bCs/>
          <w:b/>
        </w:rPr>
        <w:t xml:space="preserve">FATF:</w:t>
      </w:r>
      <w:r>
        <w:t xml:space="preserve"> </w:t>
      </w:r>
      <w:r>
        <w:t xml:space="preserve">new investors from non-compliant jurisdictions together hold</w:t>
      </w:r>
      <w:r>
        <w:t xml:space="preserve"> </w:t>
      </w:r>
      <w:r>
        <w:rPr>
          <w:bCs/>
          <w:b/>
        </w:rPr>
        <w:t xml:space="preserve">&lt; 20%</w:t>
      </w:r>
      <w:r>
        <w:t xml:space="preserve"> </w:t>
      </w:r>
      <w:r>
        <w:t xml:space="preserve">of voting power, including potential voting power (47); existing investments grandfathered (48).</w:t>
      </w:r>
    </w:p>
    <w:p>
      <w:pPr>
        <w:numPr>
          <w:ilvl w:val="0"/>
          <w:numId w:val="1867"/>
        </w:numPr>
        <w:pStyle w:val="Compact"/>
      </w:pPr>
      <w:r>
        <w:rPr>
          <w:bCs/>
          <w:b/>
        </w:rPr>
        <w:t xml:space="preserve">Not in this Direction:</w:t>
      </w:r>
      <w:r>
        <w:t xml:space="preserve"> </w:t>
      </w:r>
      <w:r>
        <w:t xml:space="preserve">CoR application procedure and change-in-control/management approvals (Acquisition of Shareholding or Control Directions, para 5(3)) [VERIFY: not supplied].</w:t>
      </w:r>
    </w:p>
    <w:p>
      <w:pPr>
        <w:pStyle w:val="FirstParagraph"/>
      </w:pPr>
      <w:r>
        <w:rPr>
          <w:bCs/>
          <w:b/>
        </w:rPr>
        <w:t xml:space="preserve">Exemptions (Ch IV, paras 49–67):</w:t>
      </w:r>
      <w:r>
        <w:t xml:space="preserve"> </w:t>
      </w:r>
      <w:r>
        <w:t xml:space="preserve">PPI issuers for PPI money (49–50); Section 8 microfinance companies — microfinance only, household obligations ≤ 50% of income, no deposits, assets below ₹100 crore (51); SCs/RCs, Nidhis, mutual benefit, chit funds, merchant bankers (52–56); MGCs, housing finance institutions (58–59); insurers, stock exchanges, brokers (60–62); AIF companies (64); unregistered CICs from s.45-IA (66); CICs from s.45-IA(1)(b) (67).</w:t>
      </w:r>
    </w:p>
    <w:p>
      <w:pPr>
        <w:pStyle w:val="BodyText"/>
      </w:pPr>
      <w:r>
        <w:rPr>
          <w:bCs/>
          <w:b/>
        </w:rPr>
        <w:t xml:space="preserve">Reporting:</w:t>
      </w:r>
      <w:r>
        <w:t xml:space="preserve"> </w:t>
      </w:r>
      <w:r>
        <w:t xml:space="preserve">as prescribed by DoS (68).</w:t>
      </w:r>
    </w:p>
    <w:p>
      <w:pPr>
        <w:pStyle w:val="BodyText"/>
      </w:pPr>
      <w:r>
        <w:rPr>
          <w:bCs/>
          <w:b/>
        </w:rPr>
        <w:t xml:space="preserve">The entity regulatory profile must hold:</w:t>
      </w:r>
    </w:p>
    <w:p>
      <w:pPr>
        <w:numPr>
          <w:ilvl w:val="0"/>
          <w:numId w:val="1868"/>
        </w:numPr>
        <w:pStyle w:val="Compact"/>
      </w:pPr>
      <w:r>
        <w:rPr>
          <w:bCs/>
          <w:b/>
        </w:rPr>
        <w:t xml:space="preserve">Category and status:</w:t>
      </w:r>
      <w:r>
        <w:t xml:space="preserve"> </w:t>
      </w:r>
      <w:r>
        <w:t xml:space="preserve">NBFC category (ICC, MFI, Factor, ICC registered under the FRA, IFC, IDF, HFC, CIC, SPD, P2P, AA, NOFHC, MGC); deposit-taking flag; Government-company flag.</w:t>
      </w:r>
    </w:p>
    <w:p>
      <w:pPr>
        <w:numPr>
          <w:ilvl w:val="0"/>
          <w:numId w:val="1868"/>
        </w:numPr>
        <w:pStyle w:val="Compact"/>
      </w:pPr>
      <w:r>
        <w:rPr>
          <w:bCs/>
          <w:b/>
        </w:rPr>
        <w:t xml:space="preserve">Public funds and customer interface:</w:t>
      </w:r>
      <w:r>
        <w:t xml:space="preserve"> </w:t>
      </w:r>
      <w:r>
        <w:t xml:space="preserve">both flags, with evidence and an as-of date.</w:t>
      </w:r>
    </w:p>
    <w:p>
      <w:pPr>
        <w:numPr>
          <w:ilvl w:val="0"/>
          <w:numId w:val="1868"/>
        </w:numPr>
        <w:pStyle w:val="Compact"/>
      </w:pPr>
      <w:r>
        <w:rPr>
          <w:bCs/>
          <w:b/>
        </w:rPr>
        <w:t xml:space="preserve">Assets:</w:t>
      </w:r>
      <w:r>
        <w:t xml:space="preserve"> </w:t>
      </w:r>
      <w:r>
        <w:t xml:space="preserve">monthly standalone assets; last-audited assets; date ₹1,000 crore was first crossed; any dispensation reference.</w:t>
      </w:r>
    </w:p>
    <w:p>
      <w:pPr>
        <w:numPr>
          <w:ilvl w:val="0"/>
          <w:numId w:val="1868"/>
        </w:numPr>
        <w:pStyle w:val="Compact"/>
      </w:pPr>
      <w:r>
        <w:rPr>
          <w:bCs/>
          <w:b/>
        </w:rPr>
        <w:t xml:space="preserve">Group:</w:t>
      </w:r>
      <w:r>
        <w:t xml:space="preserve"> </w:t>
      </w:r>
      <w:r>
        <w:t xml:space="preserve">group ID; member NBFCs with CoR status and assets; unregistered CICs below ₹100 crore using public funds; consolidated assets; annual auditor certificate.</w:t>
      </w:r>
    </w:p>
    <w:p>
      <w:pPr>
        <w:numPr>
          <w:ilvl w:val="0"/>
          <w:numId w:val="1868"/>
        </w:numPr>
        <w:pStyle w:val="Compact"/>
      </w:pPr>
      <w:r>
        <w:rPr>
          <w:bCs/>
          <w:b/>
        </w:rPr>
        <w:t xml:space="preserve">Layer:</w:t>
      </w:r>
      <w:r>
        <w:t xml:space="preserve"> </w:t>
      </w:r>
      <w:r>
        <w:t xml:space="preserve">layer and source (computed for BL/ML; RBI advice reference and date for UL/TL); UL transition milestones and 5-year floor date; any RBI-specified TL capital (CAP 6(5)).</w:t>
      </w:r>
    </w:p>
    <w:p>
      <w:pPr>
        <w:numPr>
          <w:ilvl w:val="0"/>
          <w:numId w:val="1868"/>
        </w:numPr>
        <w:pStyle w:val="Compact"/>
      </w:pPr>
      <w:r>
        <w:rPr>
          <w:bCs/>
          <w:b/>
        </w:rPr>
        <w:t xml:space="preserve">NOF and PBC:</w:t>
      </w:r>
      <w:r>
        <w:t xml:space="preserve"> </w:t>
      </w:r>
      <w:r>
        <w:t xml:space="preserve">current NOF, requirement and glide-path milestone; PBC result per audited balance sheet.</w:t>
      </w:r>
    </w:p>
    <w:p>
      <w:pPr>
        <w:numPr>
          <w:ilvl w:val="0"/>
          <w:numId w:val="1868"/>
        </w:numPr>
        <w:pStyle w:val="Compact"/>
      </w:pPr>
      <w:r>
        <w:rPr>
          <w:bCs/>
          <w:b/>
        </w:rPr>
        <w:t xml:space="preserve">Flags:</w:t>
      </w:r>
      <w:r>
        <w:t xml:space="preserve"> </w:t>
      </w:r>
      <w:r>
        <w:t xml:space="preserve">gold-primary (CAP 4(8)); Ind AS; FRA registration and commencement date.</w:t>
      </w:r>
    </w:p>
    <w:p>
      <w:pPr>
        <w:numPr>
          <w:ilvl w:val="0"/>
          <w:numId w:val="1868"/>
        </w:numPr>
        <w:pStyle w:val="Compact"/>
      </w:pPr>
      <w:r>
        <w:rPr>
          <w:bCs/>
          <w:b/>
        </w:rPr>
        <w:t xml:space="preserve">Investors and ratings:</w:t>
      </w:r>
      <w:r>
        <w:t xml:space="preserve"> </w:t>
      </w:r>
      <w:r>
        <w:t xml:space="preserve">FATF-jurisdiction voting share; product ratings history.</w:t>
      </w:r>
    </w:p>
    <w:p>
      <w:pPr>
        <w:numPr>
          <w:ilvl w:val="0"/>
          <w:numId w:val="1868"/>
        </w:numPr>
        <w:pStyle w:val="Compact"/>
      </w:pPr>
      <w:r>
        <w:rPr>
          <w:bCs/>
          <w:b/>
        </w:rPr>
        <w:t xml:space="preserve">Officers and offices:</w:t>
      </w:r>
      <w:r>
        <w:t xml:space="preserve"> </w:t>
      </w:r>
      <w:r>
        <w:t xml:space="preserve">directors, principal officers, auditors, addresses (MISC 6–7).</w:t>
      </w:r>
    </w:p>
    <w:p>
      <w:r>
        <w:pict>
          <v:rect style="width:0;height:1.5pt" o:hralign="center" o:hrstd="t" o:hr="t"/>
        </w:pict>
      </w:r>
    </w:p>
    <w:p>
      <w:r>
        <w:pict>
          <v:rect style="width:0;height:1.5pt" o:hralign="center" o:hrstd="t" o:hr="t"/>
        </w:pict>
      </w:r>
    </w:p>
    <w:bookmarkEnd w:id="807"/>
    <w:bookmarkStart w:id="808" w:name="X7ed58176d8ac9b9bc4a3c427599470b659ab7b3"/>
    <w:p>
      <w:pPr>
        <w:pStyle w:val="Heading2"/>
      </w:pPr>
      <w:r>
        <w:t xml:space="preserve">8A.26 DIV — Prudential Norms on Declaration of Dividends Directions (360)</w:t>
      </w:r>
    </w:p>
    <w:p>
      <w:pPr>
        <w:pStyle w:val="FirstParagraph"/>
      </w:pPr>
      <w:r>
        <w:rPr>
          <w:iCs/>
          <w:i/>
        </w:rPr>
        <w:t xml:space="preserve">RBI/DOR/2025-26/360; DOR.ACC.REC.279/21.02.067/2025-26; 28 Nov 2025. All layers: NBFC-D, ICC, Factor, MFI, IFC, IDF, HFC, MGC, SPD, CIC, P2P, AA (3). Not NOFHC.</w:t>
      </w:r>
    </w:p>
    <w:p>
      <w:pPr>
        <w:pStyle w:val="BodyText"/>
      </w:pPr>
      <w:r>
        <w:rPr>
          <w:bCs/>
          <w:b/>
        </w:rPr>
        <w:t xml:space="preserve">Definitions (para 4):</w:t>
      </w:r>
      <w:r>
        <w:t xml:space="preserve"> </w:t>
      </w:r>
      <w:r>
        <w:t xml:space="preserve">dividend includes interim;</w:t>
      </w:r>
      <w:r>
        <w:t xml:space="preserve"> </w:t>
      </w:r>
      <w:r>
        <w:rPr>
          <w:bCs/>
          <w:b/>
        </w:rPr>
        <w:t xml:space="preserve">payout ratio</w:t>
      </w:r>
      <w:r>
        <w:t xml:space="preserve"> </w:t>
      </w:r>
      <w:r>
        <w:t xml:space="preserve">= dividend payable in the year (including interim) ÷ net profit for that year per audited financial statements;</w:t>
      </w:r>
      <w:r>
        <w:t xml:space="preserve"> </w:t>
      </w:r>
      <w:r>
        <w:rPr>
          <w:bCs/>
          <w:b/>
        </w:rPr>
        <w:t xml:space="preserve">NNPA ratio</w:t>
      </w:r>
      <w:r>
        <w:t xml:space="preserve"> </w:t>
      </w:r>
      <w:r>
        <w:t xml:space="preserve">= NNPA ÷ net advances.</w:t>
      </w:r>
    </w:p>
    <w:p>
      <w:pPr>
        <w:pStyle w:val="BodyText"/>
      </w:pPr>
      <w:r>
        <w:rPr>
          <w:bCs/>
          <w:b/>
        </w:rPr>
        <w:t xml:space="preserve">Board (6–7):</w:t>
      </w:r>
      <w:r>
        <w:t xml:space="preserve"> </w:t>
      </w:r>
      <w:r>
        <w:t xml:space="preserve">considers RBI/NHB divergence findings, audit qualifications and long-term growth plans; ensures the ceilings are not exceeded.</w:t>
      </w:r>
    </w:p>
    <w:p>
      <w:pPr>
        <w:pStyle w:val="BodyText"/>
      </w:pPr>
      <w:r>
        <w:rPr>
          <w:bCs/>
          <w:b/>
        </w:rPr>
        <w:t xml:space="preserve">Eligibility (8, Table 1):</w:t>
      </w:r>
    </w:p>
    <w:p>
      <w:pPr>
        <w:numPr>
          <w:ilvl w:val="0"/>
          <w:numId w:val="1869"/>
        </w:numPr>
        <w:pStyle w:val="Compact"/>
      </w:pPr>
      <w:r>
        <w:rPr>
          <w:bCs/>
          <w:b/>
        </w:rPr>
        <w:t xml:space="preserve">Capital:</w:t>
      </w:r>
      <w:r>
        <w:t xml:space="preserve"> </w:t>
      </w:r>
      <w:r>
        <w:t xml:space="preserve">met the applicable capital requirement (CRAR, Tier 1, Tier 2, leverage, ANW as applicable)</w:t>
      </w:r>
      <w:r>
        <w:t xml:space="preserve"> </w:t>
      </w:r>
      <w:r>
        <w:rPr>
          <w:bCs/>
          <w:b/>
        </w:rPr>
        <w:t xml:space="preserve">in each of the last 3 FYs, including the dividend year</w:t>
      </w:r>
      <w:r>
        <w:t xml:space="preserve"> </w:t>
      </w:r>
      <w:r>
        <w:t xml:space="preserve">(since registration if younger).</w:t>
      </w:r>
    </w:p>
    <w:p>
      <w:pPr>
        <w:numPr>
          <w:ilvl w:val="0"/>
          <w:numId w:val="1869"/>
        </w:numPr>
        <w:pStyle w:val="Compact"/>
      </w:pPr>
      <w:r>
        <w:rPr>
          <w:bCs/>
          <w:b/>
        </w:rPr>
        <w:t xml:space="preserve">SPD:</w:t>
      </w:r>
      <w:r>
        <w:t xml:space="preserve"> </w:t>
      </w:r>
      <w:r>
        <w:t xml:space="preserve">CRAR ≥ 20% in all four quarters.</w:t>
      </w:r>
    </w:p>
    <w:p>
      <w:pPr>
        <w:numPr>
          <w:ilvl w:val="0"/>
          <w:numId w:val="1869"/>
        </w:numPr>
        <w:pStyle w:val="Compact"/>
      </w:pPr>
      <w:r>
        <w:rPr>
          <w:bCs/>
          <w:b/>
        </w:rPr>
        <w:t xml:space="preserve">NNPA &lt; 6%</w:t>
      </w:r>
      <w:r>
        <w:t xml:space="preserve"> </w:t>
      </w:r>
      <w:r>
        <w:t xml:space="preserve">in each of the last 3 years, including the dividend year.</w:t>
      </w:r>
    </w:p>
    <w:p>
      <w:pPr>
        <w:numPr>
          <w:ilvl w:val="0"/>
          <w:numId w:val="1869"/>
        </w:numPr>
        <w:pStyle w:val="Compact"/>
      </w:pPr>
      <w:r>
        <w:t xml:space="preserve">s.45-IC reserve fund complied with (HFC: NHB Act s.29C); compliant with regulations; no explicit RBI/NHB restriction.</w:t>
      </w:r>
    </w:p>
    <w:p>
      <w:pPr>
        <w:pStyle w:val="FirstParagraph"/>
      </w:pPr>
      <w:r>
        <w:rPr>
          <w:bCs/>
          <w:b/>
        </w:rPr>
        <w:t xml:space="preserve">Quantum (para 9):</w:t>
      </w:r>
    </w:p>
    <w:p>
      <w:pPr>
        <w:numPr>
          <w:ilvl w:val="0"/>
          <w:numId w:val="1870"/>
        </w:numPr>
        <w:pStyle w:val="Compact"/>
      </w:pPr>
      <w:r>
        <w:t xml:space="preserve">Includes dividend on CCPS eligible for Tier 1 / owned fund.</w:t>
      </w:r>
    </w:p>
    <w:p>
      <w:pPr>
        <w:numPr>
          <w:ilvl w:val="0"/>
          <w:numId w:val="1870"/>
        </w:numPr>
        <w:pStyle w:val="Compact"/>
      </w:pPr>
      <w:r>
        <w:t xml:space="preserve">Exceptional or extraordinary profits, and any overstatement indicated by an audit qualification (including emphasis of matter), deducted from net profit.</w:t>
      </w:r>
    </w:p>
    <w:p>
      <w:pPr>
        <w:numPr>
          <w:ilvl w:val="0"/>
          <w:numId w:val="1870"/>
        </w:numPr>
        <w:pStyle w:val="Compact"/>
      </w:pPr>
      <w:r>
        <w:rPr>
          <w:bCs/>
          <w:b/>
        </w:rPr>
        <w:t xml:space="preserve">Ceilings:</w:t>
      </w:r>
      <w:r>
        <w:t xml:space="preserve"> </w:t>
      </w:r>
      <w:r>
        <w:t xml:space="preserve">none for NBFCs without public funds and customer interface, or BL with customer interface but no public funds; CIC and SPD</w:t>
      </w:r>
      <w:r>
        <w:t xml:space="preserve"> </w:t>
      </w:r>
      <w:r>
        <w:rPr>
          <w:bCs/>
          <w:b/>
        </w:rPr>
        <w:t xml:space="preserve">60%</w:t>
      </w:r>
      <w:r>
        <w:t xml:space="preserve">;</w:t>
      </w:r>
      <w:r>
        <w:t xml:space="preserve"> </w:t>
      </w:r>
      <w:r>
        <w:rPr>
          <w:bCs/>
          <w:b/>
        </w:rPr>
        <w:t xml:space="preserve">all others 50%</w:t>
      </w:r>
      <w:r>
        <w:t xml:space="preserve">. No ad hoc dispensation.</w:t>
      </w:r>
    </w:p>
    <w:p>
      <w:pPr>
        <w:pStyle w:val="FirstParagraph"/>
      </w:pPr>
      <w:r>
        <w:rPr>
          <w:bCs/>
          <w:b/>
        </w:rPr>
        <w:t xml:space="preserve">Fallback (para 11; not SPD):</w:t>
      </w:r>
      <w:r>
        <w:t xml:space="preserve"> </w:t>
      </w:r>
      <w:r>
        <w:t xml:space="preserve">an NBFC that fails Table 1 Sr (1) or (2) in an earlier year may pay up to</w:t>
      </w:r>
      <w:r>
        <w:t xml:space="preserve"> </w:t>
      </w:r>
      <w:r>
        <w:rPr>
          <w:bCs/>
          <w:b/>
        </w:rPr>
        <w:t xml:space="preserve">10%</w:t>
      </w:r>
      <w:r>
        <w:t xml:space="preserve">, if it meets the capital requirement at FY close and</w:t>
      </w:r>
      <w:r>
        <w:t xml:space="preserve"> </w:t>
      </w:r>
      <w:r>
        <w:rPr>
          <w:bCs/>
          <w:b/>
        </w:rPr>
        <w:t xml:space="preserve">NNPA &lt; 4%</w:t>
      </w:r>
      <w:r>
        <w:t xml:space="preserve"> </w:t>
      </w:r>
      <w:r>
        <w:t xml:space="preserve">at FY close.</w:t>
      </w:r>
    </w:p>
    <w:p>
      <w:pPr>
        <w:pStyle w:val="BodyText"/>
      </w:pPr>
      <w:r>
        <w:rPr>
          <w:bCs/>
          <w:b/>
        </w:rPr>
        <w:t xml:space="preserve">SPD (para 12):</w:t>
      </w:r>
      <w:r>
        <w:t xml:space="preserve"> </w:t>
      </w:r>
      <w:r>
        <w:t xml:space="preserve">CRAR below 15% in any quarter → no dividend; 15–20% → payout ≤</w:t>
      </w:r>
      <w:r>
        <w:t xml:space="preserve"> </w:t>
      </w:r>
      <w:r>
        <w:rPr>
          <w:bCs/>
          <w:b/>
        </w:rPr>
        <w:t xml:space="preserve">33.3%</w:t>
      </w:r>
      <w:r>
        <w:t xml:space="preserve">.</w:t>
      </w:r>
    </w:p>
    <w:p>
      <w:pPr>
        <w:pStyle w:val="BodyText"/>
      </w:pPr>
      <w:r>
        <w:rPr>
          <w:bCs/>
          <w:b/>
        </w:rPr>
        <w:t xml:space="preserve">Other:</w:t>
      </w:r>
      <w:r>
        <w:t xml:space="preserve"> </w:t>
      </w:r>
      <w:r>
        <w:t xml:space="preserve">reversed provisions and unrealised transfer profits follow the TDCR Directions (10).</w:t>
      </w:r>
    </w:p>
    <w:p>
      <w:pPr>
        <w:pStyle w:val="BodyText"/>
      </w:pPr>
      <w:r>
        <w:rPr>
          <w:bCs/>
          <w:b/>
        </w:rPr>
        <w:t xml:space="preserve">Reporting (13–15):</w:t>
      </w:r>
      <w:r>
        <w:t xml:space="preserve"> </w:t>
      </w:r>
      <w:r>
        <w:t xml:space="preserve">Annex I to the DoS RO</w:t>
      </w:r>
      <w:r>
        <w:t xml:space="preserve"> </w:t>
      </w:r>
      <w:r>
        <w:rPr>
          <w:bCs/>
          <w:b/>
        </w:rPr>
        <w:t xml:space="preserve">within a fortnight of declaration</w:t>
      </w:r>
      <w:r>
        <w:t xml:space="preserve"> </w:t>
      </w:r>
      <w:r>
        <w:t xml:space="preserve">(HFC to NHB); SPD Annex II with the Board resolution to IDMD; interim dividends included.</w:t>
      </w:r>
    </w:p>
    <w:p>
      <w:pPr>
        <w:pStyle w:val="BodyText"/>
      </w:pPr>
      <w:r>
        <w:rPr>
          <w:iCs/>
          <w:i/>
        </w:rPr>
        <w:t xml:space="preserve">Build:</w:t>
      </w:r>
      <w:r>
        <w:t xml:space="preserve"> </w:t>
      </w:r>
      <w:r>
        <w:t xml:space="preserve">eligibility checker (M10/M17) reading the 3-year history of CAP capital runs and IRACP NNPA ratios; adjusted-profit worksheet; Board pack blocked on failure, with the 10% fallback path; Annex I generator. Dividend history feeds D in the CAP EPt formula.</w:t>
      </w:r>
    </w:p>
    <w:p>
      <w:r>
        <w:pict>
          <v:rect style="width:0;height:1.5pt" o:hralign="center" o:hrstd="t" o:hr="t"/>
        </w:pict>
      </w:r>
    </w:p>
    <w:p>
      <w:r>
        <w:pict>
          <v:rect style="width:0;height:1.5pt" o:hralign="center" o:hrstd="t" o:hr="t"/>
        </w:pict>
      </w:r>
    </w:p>
    <w:bookmarkEnd w:id="808"/>
    <w:bookmarkStart w:id="809" w:name="a.27-misc-miscellaneous-directions-373"/>
    <w:p>
      <w:pPr>
        <w:pStyle w:val="Heading2"/>
      </w:pPr>
      <w:r>
        <w:t xml:space="preserve">8A.27 MISC — Miscellaneous Directions (373)</w:t>
      </w:r>
    </w:p>
    <w:p>
      <w:pPr>
        <w:pStyle w:val="FirstParagraph"/>
      </w:pPr>
      <w:r>
        <w:rPr>
          <w:iCs/>
          <w:i/>
        </w:rPr>
        <w:t xml:space="preserve">RBI/DOR/2025-26/373; DOR.FIN.REC.No.292/03-10-119/2025-26; 28 Nov 2025, updated as on 26 Feb 2026 (paras 13A–13B inserted). Ch II all layers; Ch III ML and above; Ch IV Factors and ICCs registered under the FRA; Ch V IDF-NBFCs (3(1)). HFC: 6–22, 24–27. MGC, P2P: 6, 7, 14, 15, 25, 26. SPD: 6, 7, 8, 14, 15, 25, 26. AA: 6, 7, 25, 26. CIC: 6, 7, 9–20, 25–27. Not NOFHC. Separate from the DoS Miscellaneous Supervisory Directions, 2026. Contains no provisions on nomination, display of information, director KYC or unclaimed deposits.</w:t>
      </w:r>
    </w:p>
    <w:p>
      <w:pPr>
        <w:pStyle w:val="BodyText"/>
      </w:pPr>
      <w:r>
        <w:rPr>
          <w:bCs/>
          <w:b/>
        </w:rPr>
        <w:t xml:space="preserve">Intimations to RBI:</w:t>
      </w:r>
    </w:p>
    <w:p>
      <w:pPr>
        <w:numPr>
          <w:ilvl w:val="0"/>
          <w:numId w:val="1871"/>
        </w:numPr>
        <w:pStyle w:val="Compact"/>
      </w:pPr>
      <w:r>
        <w:t xml:space="preserve">Change of registered/corporate office address, phone or fax:</w:t>
      </w:r>
      <w:r>
        <w:t xml:space="preserve"> </w:t>
      </w:r>
      <w:r>
        <w:rPr>
          <w:bCs/>
          <w:b/>
        </w:rPr>
        <w:t xml:space="preserve">within 1 month</w:t>
      </w:r>
      <w:r>
        <w:t xml:space="preserve"> </w:t>
      </w:r>
      <w:r>
        <w:t xml:space="preserve">to the DoS RO and DoR Central Office (6).</w:t>
      </w:r>
    </w:p>
    <w:p>
      <w:pPr>
        <w:numPr>
          <w:ilvl w:val="0"/>
          <w:numId w:val="1871"/>
        </w:numPr>
        <w:pStyle w:val="Compact"/>
      </w:pPr>
      <w:r>
        <w:t xml:space="preserve">Change of directors’ names or residential addresses, principal officers, auditors, or specimen signatures of authorised signatories:</w:t>
      </w:r>
      <w:r>
        <w:t xml:space="preserve"> </w:t>
      </w:r>
      <w:r>
        <w:rPr>
          <w:bCs/>
          <w:b/>
        </w:rPr>
        <w:t xml:space="preserve">within 1 month</w:t>
      </w:r>
      <w:r>
        <w:t xml:space="preserve"> </w:t>
      </w:r>
      <w:r>
        <w:t xml:space="preserve">to the DoS RO (7).</w:t>
      </w:r>
    </w:p>
    <w:p>
      <w:pPr>
        <w:numPr>
          <w:ilvl w:val="0"/>
          <w:numId w:val="1871"/>
        </w:numPr>
        <w:pStyle w:val="Compact"/>
      </w:pPr>
      <w:r>
        <w:t xml:space="preserve">Rating upgrade or downgrade of any financial product (assets ≥</w:t>
      </w:r>
      <w:r>
        <w:t xml:space="preserve"> </w:t>
      </w:r>
      <w:r>
        <w:rPr>
          <w:bCs/>
          <w:b/>
        </w:rPr>
        <w:t xml:space="preserve">₹100 crore</w:t>
      </w:r>
      <w:r>
        <w:t xml:space="preserve">):</w:t>
      </w:r>
      <w:r>
        <w:t xml:space="preserve"> </w:t>
      </w:r>
      <w:r>
        <w:rPr>
          <w:bCs/>
          <w:b/>
        </w:rPr>
        <w:t xml:space="preserve">within 15 days</w:t>
      </w:r>
      <w:r>
        <w:t xml:space="preserve"> </w:t>
      </w:r>
      <w:r>
        <w:t xml:space="preserve">to the RO (20).</w:t>
      </w:r>
    </w:p>
    <w:p>
      <w:pPr>
        <w:numPr>
          <w:ilvl w:val="0"/>
          <w:numId w:val="1871"/>
        </w:numPr>
        <w:pStyle w:val="Compact"/>
      </w:pPr>
      <w:r>
        <w:rPr>
          <w:iCs/>
          <w:i/>
        </w:rPr>
        <w:t xml:space="preserve">Build:</w:t>
      </w:r>
      <w:r>
        <w:t xml:space="preserve"> </w:t>
      </w:r>
      <w:r>
        <w:t xml:space="preserve">any change to these master fields opens a dated intimation task with its deadline (M1/M14).</w:t>
      </w:r>
    </w:p>
    <w:p>
      <w:pPr>
        <w:pStyle w:val="FirstParagraph"/>
      </w:pPr>
      <w:r>
        <w:rPr>
          <w:bCs/>
          <w:b/>
        </w:rPr>
        <w:t xml:space="preserve">Auditors (8):</w:t>
      </w:r>
      <w:r>
        <w:t xml:space="preserve"> </w:t>
      </w:r>
      <w:r>
        <w:t xml:space="preserve">SCA/SA appointment per the 27 Apr 2021 guidelines; non-deposit NBFCs below ₹1,000 crore may keep their existing procedure.</w:t>
      </w:r>
    </w:p>
    <w:p>
      <w:pPr>
        <w:pStyle w:val="BodyText"/>
      </w:pPr>
      <w:r>
        <w:rPr>
          <w:bCs/>
          <w:b/>
        </w:rPr>
        <w:t xml:space="preserve">NCD private placement, maturity &gt; 1 year (9–13):</w:t>
      </w:r>
    </w:p>
    <w:p>
      <w:pPr>
        <w:numPr>
          <w:ilvl w:val="0"/>
          <w:numId w:val="1872"/>
        </w:numPr>
        <w:pStyle w:val="Compact"/>
      </w:pPr>
      <w:r>
        <w:t xml:space="preserve">Board resource-planning policy (10).</w:t>
      </w:r>
    </w:p>
    <w:p>
      <w:pPr>
        <w:numPr>
          <w:ilvl w:val="0"/>
          <w:numId w:val="1872"/>
        </w:numPr>
        <w:pStyle w:val="Compact"/>
      </w:pPr>
      <w:r>
        <w:t xml:space="preserve">Minimum subscription</w:t>
      </w:r>
      <w:r>
        <w:t xml:space="preserve"> </w:t>
      </w:r>
      <w:r>
        <w:rPr>
          <w:bCs/>
          <w:b/>
        </w:rPr>
        <w:t xml:space="preserve">₹20,000</w:t>
      </w:r>
      <w:r>
        <w:t xml:space="preserve">; two categories (maximum &lt; ₹1 crore; minimum ≥ ₹1 crore).</w:t>
      </w:r>
    </w:p>
    <w:p>
      <w:pPr>
        <w:numPr>
          <w:ilvl w:val="0"/>
          <w:numId w:val="1872"/>
        </w:numPr>
        <w:pStyle w:val="Compact"/>
      </w:pPr>
      <w:r>
        <w:t xml:space="preserve">Below ₹1 crore:</w:t>
      </w:r>
      <w:r>
        <w:t xml:space="preserve"> </w:t>
      </w:r>
      <w:r>
        <w:rPr>
          <w:bCs/>
          <w:b/>
        </w:rPr>
        <w:t xml:space="preserve">≤ 200 subscribers per FY, fully secured</w:t>
      </w:r>
      <w:r>
        <w:t xml:space="preserve">. ₹1 crore and above: no subscriber limit; security optional; unsecured issues are not public deposits.</w:t>
      </w:r>
    </w:p>
    <w:p>
      <w:pPr>
        <w:numPr>
          <w:ilvl w:val="0"/>
          <w:numId w:val="1872"/>
        </w:numPr>
        <w:pStyle w:val="Compact"/>
      </w:pPr>
      <w:r>
        <w:t xml:space="preserve">Funds only for the NBFC’s own balance sheet, not group entities.</w:t>
      </w:r>
      <w:r>
        <w:t xml:space="preserve"> </w:t>
      </w:r>
      <w:r>
        <w:rPr>
          <w:bCs/>
          <w:b/>
        </w:rPr>
        <w:t xml:space="preserve">No loans against own debentures</w:t>
      </w:r>
      <w:r>
        <w:t xml:space="preserve"> </w:t>
      </w:r>
      <w:r>
        <w:t xml:space="preserve">(11(1)–(6)).</w:t>
      </w:r>
    </w:p>
    <w:p>
      <w:pPr>
        <w:numPr>
          <w:ilvl w:val="0"/>
          <w:numId w:val="1872"/>
        </w:numPr>
        <w:pStyle w:val="Compact"/>
      </w:pPr>
      <w:r>
        <w:t xml:space="preserve">Tax-exempt bonds exempt (12); NCDs up to 1 year follow the FMRD CP/NCD Directions, 2024 (13). Paras 13A–13B (NUCFDC) not relevant to tenants.</w:t>
      </w:r>
    </w:p>
    <w:p>
      <w:pPr>
        <w:pStyle w:val="FirstParagraph"/>
      </w:pPr>
      <w:r>
        <w:rPr>
          <w:bCs/>
          <w:b/>
        </w:rPr>
        <w:t xml:space="preserve">Account Aggregator (14–15):</w:t>
      </w:r>
      <w:r>
        <w:t xml:space="preserve"> </w:t>
      </w:r>
      <w:r>
        <w:t xml:space="preserve">FIPs and FIUs adopt the ReBIT specifications as updated.</w:t>
      </w:r>
    </w:p>
    <w:p>
      <w:pPr>
        <w:pStyle w:val="BodyText"/>
      </w:pPr>
      <w:r>
        <w:rPr>
          <w:bCs/>
          <w:b/>
        </w:rPr>
        <w:t xml:space="preserve">Partnerships (16–19):</w:t>
      </w:r>
      <w:r>
        <w:t xml:space="preserve"> </w:t>
      </w:r>
      <w:r>
        <w:t xml:space="preserve">no capital contribution to, or partnership in, a partnership firm, LLP or AOP; exit any existing one.</w:t>
      </w:r>
    </w:p>
    <w:p>
      <w:pPr>
        <w:pStyle w:val="BodyText"/>
      </w:pPr>
      <w:r>
        <w:rPr>
          <w:bCs/>
          <w:b/>
        </w:rPr>
        <w:t xml:space="preserve">PBC and bank FDs (21):</w:t>
      </w:r>
      <w:r>
        <w:t xml:space="preserve"> </w:t>
      </w:r>
      <w:r>
        <w:t xml:space="preserve">bank FDs are not financial assets, and FD interest is not income from financial assets; FDs only for idle funds or NOF parking before commencement.</w:t>
      </w:r>
      <w:r>
        <w:t xml:space="preserve"> </w:t>
      </w:r>
      <w:r>
        <w:t xml:space="preserve">-</w:t>
      </w:r>
      <w:r>
        <w:t xml:space="preserve"> </w:t>
      </w:r>
      <w:r>
        <w:rPr>
          <w:iCs/>
          <w:i/>
        </w:rPr>
        <w:t xml:space="preserve">Build:</w:t>
      </w:r>
      <w:r>
        <w:t xml:space="preserve"> </w:t>
      </w:r>
      <w:r>
        <w:t xml:space="preserve">the PBC test (SBR 38) excludes GL accounts tagged</w:t>
      </w:r>
      <w:r>
        <w:t xml:space="preserve"> </w:t>
      </w:r>
      <w:r>
        <w:rPr>
          <w:rStyle w:val="VerbatimChar"/>
        </w:rPr>
        <w:t xml:space="preserve">bank_fd</w:t>
      </w:r>
      <w:r>
        <w:t xml:space="preserve">. Feeds AUD 6(2).</w:t>
      </w:r>
    </w:p>
    <w:p>
      <w:pPr>
        <w:pStyle w:val="BodyText"/>
      </w:pPr>
      <w:r>
        <w:rPr>
          <w:bCs/>
          <w:b/>
        </w:rPr>
        <w:t xml:space="preserve">Payments (22–24):</w:t>
      </w:r>
    </w:p>
    <w:p>
      <w:pPr>
        <w:numPr>
          <w:ilvl w:val="0"/>
          <w:numId w:val="1873"/>
        </w:numPr>
        <w:pStyle w:val="Compact"/>
      </w:pPr>
      <w:r>
        <w:t xml:space="preserve">Move to electronic payments; eliminate PDCs (22).</w:t>
      </w:r>
    </w:p>
    <w:p>
      <w:pPr>
        <w:numPr>
          <w:ilvl w:val="0"/>
          <w:numId w:val="1873"/>
        </w:numPr>
        <w:pStyle w:val="Compact"/>
      </w:pPr>
      <w:r>
        <w:rPr>
          <w:bCs/>
          <w:b/>
        </w:rPr>
        <w:t xml:space="preserve">No fresh or additional PDCs/EMI cheques</w:t>
      </w:r>
      <w:r>
        <w:t xml:space="preserve"> </w:t>
      </w:r>
      <w:r>
        <w:t xml:space="preserve">alongside NACH mandates; CTS-2010 cheques only where NACH is unavailable (23; not applicable to HFCs).</w:t>
      </w:r>
    </w:p>
    <w:p>
      <w:pPr>
        <w:numPr>
          <w:ilvl w:val="0"/>
          <w:numId w:val="1873"/>
        </w:numPr>
        <w:pStyle w:val="Compact"/>
      </w:pPr>
      <w:r>
        <w:t xml:space="preserve">Cash disbursal per Income-tax Act ss.269SS and 269T (24).</w:t>
      </w:r>
    </w:p>
    <w:p>
      <w:pPr>
        <w:pStyle w:val="FirstParagraph"/>
      </w:pPr>
      <w:r>
        <w:rPr>
          <w:bCs/>
          <w:b/>
        </w:rPr>
        <w:t xml:space="preserve">Virtual currencies (25–26):</w:t>
      </w:r>
      <w:r>
        <w:t xml:space="preserve"> </w:t>
      </w:r>
      <w:r>
        <w:t xml:space="preserve">do not cite the set-aside 2018 circular; apply KYC/AML/FEMA due diligence.</w:t>
      </w:r>
    </w:p>
    <w:p>
      <w:pPr>
        <w:pStyle w:val="BodyText"/>
      </w:pPr>
      <w:r>
        <w:rPr>
          <w:bCs/>
          <w:b/>
        </w:rPr>
        <w:t xml:space="preserve">Rounding (27):</w:t>
      </w:r>
      <w:r>
        <w:t xml:space="preserve"> </w:t>
      </w:r>
      <w:r>
        <w:rPr>
          <w:bCs/>
          <w:b/>
        </w:rPr>
        <w:t xml:space="preserve">all transactions</w:t>
      </w:r>
      <w:r>
        <w:t xml:space="preserve">, including interest on deposits and loans, rounded to the nearest rupee — 50 paise and above up, below 50 paise ignored. Customer cheques with paise are never rejected.</w:t>
      </w:r>
    </w:p>
    <w:p>
      <w:pPr>
        <w:pStyle w:val="BodyText"/>
      </w:pPr>
      <w:r>
        <w:rPr>
          <w:bCs/>
          <w:b/>
        </w:rPr>
        <w:t xml:space="preserve">Lockers (28):</w:t>
      </w:r>
      <w:r>
        <w:t xml:space="preserve"> </w:t>
      </w:r>
      <w:r>
        <w:t xml:space="preserve">fee-based; disclose that the activity is not regulated by RBI.</w:t>
      </w:r>
    </w:p>
    <w:p>
      <w:pPr>
        <w:pStyle w:val="BodyText"/>
      </w:pPr>
      <w:r>
        <w:rPr>
          <w:bCs/>
          <w:b/>
        </w:rPr>
        <w:t xml:space="preserve">Fake bank guarantees (29–31):</w:t>
      </w:r>
      <w:r>
        <w:t xml:space="preserve"> </w:t>
      </w:r>
      <w:r>
        <w:t xml:space="preserve">due caution.</w:t>
      </w:r>
      <w:r>
        <w:t xml:space="preserve"> </w:t>
      </w:r>
      <w:r>
        <w:t xml:space="preserve">-</w:t>
      </w:r>
      <w:r>
        <w:t xml:space="preserve"> </w:t>
      </w:r>
      <w:r>
        <w:rPr>
          <w:iCs/>
          <w:i/>
        </w:rPr>
        <w:t xml:space="preserve">Build:</w:t>
      </w:r>
      <w:r>
        <w:t xml:space="preserve"> </w:t>
      </w:r>
      <w:r>
        <w:t xml:space="preserve">confirm every BG with the issuing bank before acceptance.</w:t>
      </w:r>
    </w:p>
    <w:p>
      <w:pPr>
        <w:pStyle w:val="BodyText"/>
      </w:pPr>
      <w:r>
        <w:rPr>
          <w:bCs/>
          <w:b/>
        </w:rPr>
        <w:t xml:space="preserve">AD Category II (Ch III, 32–34):</w:t>
      </w:r>
      <w:r>
        <w:t xml:space="preserve"> </w:t>
      </w:r>
      <w:r>
        <w:t xml:space="preserve">non-deposit ICCs in ML and above; investment-grade rating; Board policies on risk and grievances; monthly monitoring; application to FED.</w:t>
      </w:r>
    </w:p>
    <w:p>
      <w:pPr>
        <w:pStyle w:val="BodyText"/>
      </w:pPr>
      <w:r>
        <w:rPr>
          <w:bCs/>
          <w:b/>
        </w:rPr>
        <w:t xml:space="preserve">Factoring (Ch IV, 35–54):</w:t>
      </w:r>
    </w:p>
    <w:p>
      <w:pPr>
        <w:numPr>
          <w:ilvl w:val="0"/>
          <w:numId w:val="1874"/>
        </w:numPr>
        <w:pStyle w:val="Compact"/>
      </w:pPr>
      <w:r>
        <w:rPr>
          <w:bCs/>
          <w:b/>
        </w:rPr>
        <w:t xml:space="preserve">Registration:</w:t>
      </w:r>
      <w:r>
        <w:t xml:space="preserve"> </w:t>
      </w:r>
      <w:r>
        <w:t xml:space="preserve">CoR under FRA s.3 (36). An existing ICC is eligible if it takes no deposits, has assets ≥ ₹1,000 crore, meets NOF and is compliant (37); otherwise it converts through PRAVAAH with CoR surrender (38–39). Commence</w:t>
      </w:r>
      <w:r>
        <w:t xml:space="preserve"> </w:t>
      </w:r>
      <w:r>
        <w:rPr>
          <w:bCs/>
          <w:b/>
        </w:rPr>
        <w:t xml:space="preserve">within 6 months</w:t>
      </w:r>
      <w:r>
        <w:t xml:space="preserve"> </w:t>
      </w:r>
      <w:r>
        <w:t xml:space="preserve">of the CoR (41).</w:t>
      </w:r>
    </w:p>
    <w:p>
      <w:pPr>
        <w:numPr>
          <w:ilvl w:val="0"/>
          <w:numId w:val="1874"/>
        </w:numPr>
        <w:pStyle w:val="Compact"/>
      </w:pPr>
      <w:r>
        <w:rPr>
          <w:bCs/>
          <w:b/>
        </w:rPr>
        <w:t xml:space="preserve">PBC:</w:t>
      </w:r>
      <w:r>
        <w:t xml:space="preserve"> </w:t>
      </w:r>
      <w:r>
        <w:t xml:space="preserve">factoring assets ≥ 50% of total assets and factoring income ≥ 50% of gross income (42).</w:t>
      </w:r>
    </w:p>
    <w:p>
      <w:pPr>
        <w:numPr>
          <w:ilvl w:val="0"/>
          <w:numId w:val="1874"/>
        </w:numPr>
        <w:pStyle w:val="Compact"/>
      </w:pPr>
      <w:r>
        <w:rPr>
          <w:bCs/>
          <w:b/>
        </w:rPr>
        <w:t xml:space="preserve">NPA:</w:t>
      </w:r>
      <w:r>
        <w:t xml:space="preserve"> </w:t>
      </w:r>
      <w:r>
        <w:t xml:space="preserve">overdue</w:t>
      </w:r>
      <w:r>
        <w:t xml:space="preserve"> </w:t>
      </w:r>
      <w:r>
        <w:rPr>
          <w:bCs/>
          <w:b/>
        </w:rPr>
        <w:t xml:space="preserve">&gt; 90 days</w:t>
      </w:r>
      <w:r>
        <w:t xml:space="preserve"> </w:t>
      </w:r>
      <w:r>
        <w:t xml:space="preserve">(Factors ≥ ₹500 crore and FRA-registered ICCs) or</w:t>
      </w:r>
      <w:r>
        <w:t xml:space="preserve"> </w:t>
      </w:r>
      <w:r>
        <w:rPr>
          <w:bCs/>
          <w:b/>
        </w:rPr>
        <w:t xml:space="preserve">&gt; 180 days</w:t>
      </w:r>
      <w:r>
        <w:t xml:space="preserve"> </w:t>
      </w:r>
      <w:r>
        <w:t xml:space="preserve">(Factors &lt; ₹500 crore, moving to 90 days on the IRACP para 44 glide path), with or without recourse (44–45); booked on the entity of exposure (46).</w:t>
      </w:r>
    </w:p>
    <w:p>
      <w:pPr>
        <w:numPr>
          <w:ilvl w:val="0"/>
          <w:numId w:val="1874"/>
        </w:numPr>
        <w:pStyle w:val="Compact"/>
      </w:pPr>
      <w:r>
        <w:rPr>
          <w:bCs/>
          <w:b/>
        </w:rPr>
        <w:t xml:space="preserve">Exposure:</w:t>
      </w:r>
      <w:r>
        <w:t xml:space="preserve"> </w:t>
      </w:r>
      <w:r>
        <w:t xml:space="preserve">on the assignor (with recourse) or the debtor (without recourse), except international factoring with import-factor cover (47).</w:t>
      </w:r>
    </w:p>
    <w:p>
      <w:pPr>
        <w:numPr>
          <w:ilvl w:val="0"/>
          <w:numId w:val="1874"/>
        </w:numPr>
        <w:pStyle w:val="Compact"/>
      </w:pPr>
      <w:r>
        <w:rPr>
          <w:bCs/>
          <w:b/>
        </w:rPr>
        <w:t xml:space="preserve">Controls:</w:t>
      </w:r>
      <w:r>
        <w:t xml:space="preserve"> </w:t>
      </w:r>
      <w:r>
        <w:t xml:space="preserve">debtor appraisal; genuine trade invoices only; Board limit for without-recourse underwriting (48–51); share limits and factored-debt details with banks and NBFCs (52); FEMA authorisation for export/import factoring (53–54).</w:t>
      </w:r>
    </w:p>
    <w:p>
      <w:pPr>
        <w:pStyle w:val="FirstParagraph"/>
      </w:pPr>
      <w:r>
        <w:rPr>
          <w:bCs/>
          <w:b/>
        </w:rPr>
        <w:t xml:space="preserve">IDF-NBFC (Ch V, 55–63):</w:t>
      </w:r>
    </w:p>
    <w:p>
      <w:pPr>
        <w:numPr>
          <w:ilvl w:val="0"/>
          <w:numId w:val="1875"/>
        </w:numPr>
        <w:pStyle w:val="Compact"/>
      </w:pPr>
      <w:r>
        <w:t xml:space="preserve">Funding: rupee or dollar bonds ≥ 5 years; shorter bonds and CP ≤ 10% of borrowings; ECB ≥ 5 years, not from foreign branches of Indian banks (58–61).</w:t>
      </w:r>
    </w:p>
    <w:p>
      <w:pPr>
        <w:numPr>
          <w:ilvl w:val="0"/>
          <w:numId w:val="1875"/>
        </w:numPr>
        <w:pStyle w:val="Compact"/>
      </w:pPr>
      <w:r>
        <w:t xml:space="preserve">Sponsoring an IDF-MF: NOF ≥ ₹300 crore, CRAR ≥ 15%, NNPA &lt; 3%, 5 years in existence, 3 years of profits, CRAR and NOF maintained after investment, application via PRAVAAH (62–63).</w:t>
      </w:r>
    </w:p>
    <w:p>
      <w:r>
        <w:pict>
          <v:rect style="width:0;height:1.5pt" o:hralign="center" o:hrstd="t" o:hr="t"/>
        </w:pict>
      </w:r>
    </w:p>
    <w:bookmarkEnd w:id="809"/>
    <w:bookmarkStart w:id="810" w:name="a.28-gov-governance-directions-344"/>
    <w:p>
      <w:pPr>
        <w:pStyle w:val="Heading2"/>
      </w:pPr>
      <w:r>
        <w:t xml:space="preserve">8A.28 GOV — Governance Directions (344)</w:t>
      </w:r>
    </w:p>
    <w:p>
      <w:pPr>
        <w:pStyle w:val="FirstParagraph"/>
      </w:pPr>
      <w:r>
        <w:rPr>
          <w:bCs/>
          <w:b/>
        </w:rPr>
        <w:t xml:space="preserve">Applicability (paras 2–4):</w:t>
      </w:r>
    </w:p>
    <w:p>
      <w:pPr>
        <w:numPr>
          <w:ilvl w:val="0"/>
          <w:numId w:val="1876"/>
        </w:numPr>
        <w:pStyle w:val="Compact"/>
      </w:pPr>
      <w:r>
        <w:t xml:space="preserve">Immediate effect.</w:t>
      </w:r>
    </w:p>
    <w:p>
      <w:pPr>
        <w:numPr>
          <w:ilvl w:val="0"/>
          <w:numId w:val="1876"/>
        </w:numPr>
        <w:pStyle w:val="Compact"/>
      </w:pPr>
      <w:r>
        <w:rPr>
          <w:bCs/>
          <w:b/>
        </w:rPr>
        <w:t xml:space="preserve">BL: Ch III (paras 8–11). ML: Ch II–IV. UL: Ch II–V</w:t>
      </w:r>
      <w:r>
        <w:t xml:space="preserve"> </w:t>
      </w:r>
      <w:r>
        <w:t xml:space="preserve">(3(1)).</w:t>
      </w:r>
    </w:p>
    <w:p>
      <w:pPr>
        <w:numPr>
          <w:ilvl w:val="0"/>
          <w:numId w:val="1876"/>
        </w:numPr>
        <w:pStyle w:val="Compact"/>
      </w:pPr>
      <w:r>
        <w:t xml:space="preserve">Paras 7–43 apply, layer-wise, to ICC, Factor, MFI, IFC, IDF and</w:t>
      </w:r>
      <w:r>
        <w:t xml:space="preserve"> </w:t>
      </w:r>
      <w:r>
        <w:rPr>
          <w:bCs/>
          <w:b/>
        </w:rPr>
        <w:t xml:space="preserve">HFCs</w:t>
      </w:r>
      <w:r>
        <w:t xml:space="preserve"> </w:t>
      </w:r>
      <w:r>
        <w:t xml:space="preserve">(3(2)).</w:t>
      </w:r>
    </w:p>
    <w:p>
      <w:pPr>
        <w:numPr>
          <w:ilvl w:val="0"/>
          <w:numId w:val="1876"/>
        </w:numPr>
        <w:pStyle w:val="Compact"/>
      </w:pPr>
      <w:r>
        <w:t xml:space="preserve">Partial application:</w:t>
      </w:r>
    </w:p>
    <w:p>
      <w:pPr>
        <w:numPr>
          <w:ilvl w:val="1"/>
          <w:numId w:val="1877"/>
        </w:numPr>
        <w:pStyle w:val="Compact"/>
      </w:pPr>
      <w:r>
        <w:t xml:space="preserve">CIC: 7–15, 18–39, 41–43 (3(3));</w:t>
      </w:r>
    </w:p>
    <w:p>
      <w:pPr>
        <w:numPr>
          <w:ilvl w:val="1"/>
          <w:numId w:val="1877"/>
        </w:numPr>
        <w:pStyle w:val="Compact"/>
      </w:pPr>
      <w:r>
        <w:t xml:space="preserve">MGC: 7(2), 7(3), 8, 9, 16–18, 25–39, 41–43 (3(4));</w:t>
      </w:r>
    </w:p>
    <w:p>
      <w:pPr>
        <w:numPr>
          <w:ilvl w:val="1"/>
          <w:numId w:val="1877"/>
        </w:numPr>
        <w:pStyle w:val="Compact"/>
      </w:pPr>
      <w:r>
        <w:t xml:space="preserve">SPD: 7–9, 12–18, 25–40 (3(5));</w:t>
      </w:r>
    </w:p>
    <w:p>
      <w:pPr>
        <w:numPr>
          <w:ilvl w:val="1"/>
          <w:numId w:val="1877"/>
        </w:numPr>
        <w:pStyle w:val="Compact"/>
      </w:pPr>
      <w:r>
        <w:t xml:space="preserve">NBFC-AA: 8, 10–13, 17(1), 18, with 12, 13, 17(1) and 18 applying despite BL (3(6));</w:t>
      </w:r>
    </w:p>
    <w:p>
      <w:pPr>
        <w:numPr>
          <w:ilvl w:val="1"/>
          <w:numId w:val="1877"/>
        </w:numPr>
        <w:pStyle w:val="Compact"/>
      </w:pPr>
      <w:r>
        <w:t xml:space="preserve">P2P: 8–13, with 12–13 applying despite BL (3(7)).</w:t>
      </w:r>
    </w:p>
    <w:p>
      <w:pPr>
        <w:numPr>
          <w:ilvl w:val="0"/>
          <w:numId w:val="1876"/>
        </w:numPr>
        <w:pStyle w:val="Compact"/>
      </w:pPr>
      <w:r>
        <w:t xml:space="preserve">Not NOFHCs (4).</w:t>
      </w:r>
    </w:p>
    <w:p>
      <w:pPr>
        <w:numPr>
          <w:ilvl w:val="0"/>
          <w:numId w:val="1876"/>
        </w:numPr>
        <w:pStyle w:val="Compact"/>
      </w:pPr>
      <w:r>
        <w:rPr>
          <w:bCs/>
          <w:b/>
        </w:rPr>
        <w:t xml:space="preserve">Government-owned NBFCs:</w:t>
      </w:r>
      <w:r>
        <w:t xml:space="preserve"> </w:t>
      </w:r>
      <w:r>
        <w:t xml:space="preserve">paras 29–37 do not apply (3(1) proviso); a Nomination Committee replaces the NRC (18(1)(ii)).</w:t>
      </w:r>
    </w:p>
    <w:p>
      <w:pPr>
        <w:numPr>
          <w:ilvl w:val="0"/>
          <w:numId w:val="1876"/>
        </w:numPr>
        <w:pStyle w:val="Compact"/>
      </w:pPr>
      <w:r>
        <w:rPr>
          <w:iCs/>
          <w:i/>
        </w:rPr>
        <w:t xml:space="preserve">Build:</w:t>
      </w:r>
      <w:r>
        <w:t xml:space="preserve"> </w:t>
      </w:r>
      <w:r>
        <w:t xml:space="preserve">applicability keys are layer, NBFC type, government-owned flag, listed flag and asset size (CRO).</w:t>
      </w:r>
    </w:p>
    <w:p>
      <w:pPr>
        <w:pStyle w:val="FirstParagraph"/>
      </w:pPr>
      <w:r>
        <w:rPr>
          <w:bCs/>
          <w:b/>
        </w:rPr>
        <w:t xml:space="preserve">All NBFCs (Ch III):</w:t>
      </w:r>
    </w:p>
    <w:p>
      <w:pPr>
        <w:numPr>
          <w:ilvl w:val="0"/>
          <w:numId w:val="1878"/>
        </w:numPr>
        <w:pStyle w:val="Compact"/>
      </w:pPr>
      <w:r>
        <w:t xml:space="preserve">At least one director with bank or NBFC experience (para 8).</w:t>
      </w:r>
    </w:p>
    <w:p>
      <w:pPr>
        <w:numPr>
          <w:ilvl w:val="0"/>
          <w:numId w:val="1878"/>
        </w:numPr>
        <w:pStyle w:val="Compact"/>
      </w:pPr>
      <w:r>
        <w:rPr>
          <w:bCs/>
          <w:b/>
        </w:rPr>
        <w:t xml:space="preserve">RMC</w:t>
      </w:r>
      <w:r>
        <w:t xml:space="preserve"> </w:t>
      </w:r>
      <w:r>
        <w:t xml:space="preserve">at Board or executive level; evaluates overall risks including liquidity; reports to the Board (para 9).</w:t>
      </w:r>
    </w:p>
    <w:p>
      <w:pPr>
        <w:numPr>
          <w:ilvl w:val="0"/>
          <w:numId w:val="1878"/>
        </w:numPr>
        <w:pStyle w:val="Compact"/>
      </w:pPr>
      <w:r>
        <w:rPr>
          <w:bCs/>
          <w:b/>
        </w:rPr>
        <w:t xml:space="preserve">Prior written RBI approval for a change in management that changes more than 30% of the directors, excluding independent directors.</w:t>
      </w:r>
      <w:r>
        <w:t xml:space="preserve"> </w:t>
      </w:r>
      <w:r>
        <w:t xml:space="preserve">Re-election on retirement by rotation is excluded (para 10).</w:t>
      </w:r>
    </w:p>
    <w:p>
      <w:pPr>
        <w:numPr>
          <w:ilvl w:val="1"/>
          <w:numId w:val="1879"/>
        </w:numPr>
        <w:pStyle w:val="Compact"/>
      </w:pPr>
      <w:r>
        <w:t xml:space="preserve">Application via</w:t>
      </w:r>
      <w:r>
        <w:t xml:space="preserve"> </w:t>
      </w:r>
      <w:r>
        <w:rPr>
          <w:bCs/>
          <w:b/>
        </w:rPr>
        <w:t xml:space="preserve">PRAVAAH</w:t>
      </w:r>
      <w:r>
        <w:t xml:space="preserve">, on letterhead, with Annex I for each proposed director (para 11).</w:t>
      </w:r>
    </w:p>
    <w:p>
      <w:pPr>
        <w:numPr>
          <w:ilvl w:val="1"/>
          <w:numId w:val="1879"/>
        </w:numPr>
        <w:pStyle w:val="Compact"/>
      </w:pPr>
      <w:r>
        <w:t xml:space="preserve">Every change in directors or management is still informed to RBI (NHB for HFCs) (para 10 Explanation; no timeline in the text).</w:t>
      </w:r>
    </w:p>
    <w:p>
      <w:pPr>
        <w:numPr>
          <w:ilvl w:val="0"/>
          <w:numId w:val="1878"/>
        </w:numPr>
        <w:pStyle w:val="Compact"/>
      </w:pPr>
      <w:r>
        <w:rPr>
          <w:iCs/>
          <w:i/>
        </w:rPr>
        <w:t xml:space="preserve">Build:</w:t>
      </w:r>
      <w:r>
        <w:t xml:space="preserve"> </w:t>
      </w:r>
      <w:r>
        <w:t xml:space="preserve">change-of-management calculator over non-independent directors against the last approved baseline (the look-back window is a tenant parameter; the text sets none). A director appointment cannot become effective until the approval is attached.</w:t>
      </w:r>
    </w:p>
    <w:p>
      <w:pPr>
        <w:pStyle w:val="FirstParagraph"/>
      </w:pPr>
      <w:r>
        <w:rPr>
          <w:bCs/>
          <w:b/>
        </w:rPr>
        <w:t xml:space="preserve">Board-approved policies (ML/UL, para 7):</w:t>
      </w:r>
    </w:p>
    <w:p>
      <w:pPr>
        <w:numPr>
          <w:ilvl w:val="0"/>
          <w:numId w:val="1880"/>
        </w:numPr>
        <w:pStyle w:val="Compact"/>
      </w:pPr>
      <w:r>
        <w:t xml:space="preserve">fit and proper (12);</w:t>
      </w:r>
    </w:p>
    <w:p>
      <w:pPr>
        <w:numPr>
          <w:ilvl w:val="0"/>
          <w:numId w:val="1880"/>
        </w:numPr>
        <w:pStyle w:val="Compact"/>
      </w:pPr>
      <w:r>
        <w:t xml:space="preserve">CCO role (25(2));</w:t>
      </w:r>
    </w:p>
    <w:p>
      <w:pPr>
        <w:numPr>
          <w:ilvl w:val="0"/>
          <w:numId w:val="1880"/>
        </w:numPr>
        <w:pStyle w:val="Compact"/>
      </w:pPr>
      <w:r>
        <w:t xml:space="preserve">compensation (29);</w:t>
      </w:r>
    </w:p>
    <w:p>
      <w:pPr>
        <w:numPr>
          <w:ilvl w:val="0"/>
          <w:numId w:val="1880"/>
        </w:numPr>
        <w:pStyle w:val="Compact"/>
      </w:pPr>
      <w:r>
        <w:t xml:space="preserve">periodic reviews to the Board (15).</w:t>
      </w:r>
    </w:p>
    <w:p>
      <w:pPr>
        <w:pStyle w:val="FirstParagraph"/>
      </w:pPr>
      <w:r>
        <w:t xml:space="preserve">Also required:</w:t>
      </w:r>
    </w:p>
    <w:p>
      <w:pPr>
        <w:numPr>
          <w:ilvl w:val="0"/>
          <w:numId w:val="1881"/>
        </w:numPr>
        <w:pStyle w:val="Compact"/>
      </w:pPr>
      <w:r>
        <w:t xml:space="preserve">a whistle-blower mechanism (38);</w:t>
      </w:r>
    </w:p>
    <w:p>
      <w:pPr>
        <w:numPr>
          <w:ilvl w:val="0"/>
          <w:numId w:val="1881"/>
        </w:numPr>
        <w:pStyle w:val="Compact"/>
      </w:pPr>
      <w:r>
        <w:t xml:space="preserve">internal corporate-governance guidelines</w:t>
      </w:r>
      <w:r>
        <w:t xml:space="preserve"> </w:t>
      </w:r>
      <w:r>
        <w:rPr>
          <w:bCs/>
          <w:b/>
        </w:rPr>
        <w:t xml:space="preserve">published on the website</w:t>
      </w:r>
      <w:r>
        <w:t xml:space="preserve"> </w:t>
      </w:r>
      <w:r>
        <w:t xml:space="preserve">(40);</w:t>
      </w:r>
    </w:p>
    <w:p>
      <w:pPr>
        <w:numPr>
          <w:ilvl w:val="0"/>
          <w:numId w:val="1881"/>
        </w:numPr>
        <w:pStyle w:val="Compact"/>
      </w:pPr>
      <w:r>
        <w:t xml:space="preserve">for UL, a disclosure policy (43).</w:t>
      </w:r>
    </w:p>
    <w:p>
      <w:pPr>
        <w:pStyle w:val="FirstParagraph"/>
      </w:pPr>
      <w:r>
        <w:rPr>
          <w:iCs/>
          <w:i/>
        </w:rPr>
        <w:t xml:space="preserve">Build:</w:t>
      </w:r>
      <w:r>
        <w:t xml:space="preserve"> </w:t>
      </w:r>
      <w:r>
        <w:t xml:space="preserve">policy-registry entries with approval date and review due date.</w:t>
      </w:r>
    </w:p>
    <w:p>
      <w:pPr>
        <w:pStyle w:val="BodyText"/>
      </w:pPr>
      <w:r>
        <w:rPr>
          <w:bCs/>
          <w:b/>
        </w:rPr>
        <w:t xml:space="preserve">Fit and proper (paras 12–14; ML/UL):</w:t>
      </w:r>
    </w:p>
    <w:p>
      <w:pPr>
        <w:numPr>
          <w:ilvl w:val="0"/>
          <w:numId w:val="1882"/>
        </w:numPr>
        <w:pStyle w:val="Compact"/>
      </w:pPr>
      <w:r>
        <w:t xml:space="preserve">A Board policy plus an internal process for continuing due diligence (12). RBI may examine any director (12 proviso).</w:t>
      </w:r>
    </w:p>
    <w:p>
      <w:pPr>
        <w:numPr>
          <w:ilvl w:val="0"/>
          <w:numId w:val="1882"/>
        </w:numPr>
        <w:pStyle w:val="Compact"/>
      </w:pPr>
      <w:r>
        <w:t xml:space="preserve">Annex II declaration from proposed and existing directors (13(1)).</w:t>
      </w:r>
    </w:p>
    <w:p>
      <w:pPr>
        <w:numPr>
          <w:ilvl w:val="0"/>
          <w:numId w:val="1882"/>
        </w:numPr>
        <w:pStyle w:val="Compact"/>
      </w:pPr>
      <w:r>
        <w:t xml:space="preserve">NRC (or Nomination Committee) scrutiny with a recorded decision (13(2)).</w:t>
      </w:r>
    </w:p>
    <w:p>
      <w:pPr>
        <w:numPr>
          <w:ilvl w:val="0"/>
          <w:numId w:val="1882"/>
        </w:numPr>
        <w:pStyle w:val="Compact"/>
      </w:pPr>
      <w:r>
        <w:rPr>
          <w:bCs/>
          <w:b/>
        </w:rPr>
        <w:t xml:space="preserve">Annual declaration as on 31 March</w:t>
      </w:r>
      <w:r>
        <w:t xml:space="preserve">; changes furnished forthwith (13(3)).</w:t>
      </w:r>
    </w:p>
    <w:p>
      <w:pPr>
        <w:numPr>
          <w:ilvl w:val="0"/>
          <w:numId w:val="1882"/>
        </w:numPr>
        <w:pStyle w:val="Compact"/>
      </w:pPr>
      <w:r>
        <w:rPr>
          <w:bCs/>
          <w:b/>
        </w:rPr>
        <w:t xml:space="preserve">Deed of Covenants in Annex III</w:t>
      </w:r>
      <w:r>
        <w:t xml:space="preserve"> </w:t>
      </w:r>
      <w:r>
        <w:t xml:space="preserve">(13(4)).</w:t>
      </w:r>
    </w:p>
    <w:p>
      <w:pPr>
        <w:numPr>
          <w:ilvl w:val="0"/>
          <w:numId w:val="1882"/>
        </w:numPr>
        <w:pStyle w:val="Compact"/>
      </w:pPr>
      <w:r>
        <w:rPr>
          <w:bCs/>
          <w:b/>
        </w:rPr>
        <w:t xml:space="preserve">Quarterly statement on change of directors, with an MD/CEO certificate that fit-and-proper criteria were followed, to the RBI DoS Regional Office (NHB for HFCs) within 15 days of quarter-end. The March statement is auditor-certified</w:t>
      </w:r>
      <w:r>
        <w:t xml:space="preserve"> </w:t>
      </w:r>
      <w:r>
        <w:t xml:space="preserve">(14).</w:t>
      </w:r>
    </w:p>
    <w:p>
      <w:pPr>
        <w:numPr>
          <w:ilvl w:val="0"/>
          <w:numId w:val="1882"/>
        </w:numPr>
        <w:pStyle w:val="Compact"/>
      </w:pPr>
      <w:r>
        <w:rPr>
          <w:iCs/>
          <w:i/>
        </w:rPr>
        <w:t xml:space="preserve">Build:</w:t>
      </w:r>
    </w:p>
    <w:p>
      <w:pPr>
        <w:numPr>
          <w:ilvl w:val="1"/>
          <w:numId w:val="1883"/>
        </w:numPr>
        <w:pStyle w:val="Compact"/>
      </w:pPr>
      <w:r>
        <w:t xml:space="preserve">director master: DIN, PAN, relatives, interested entities, substantial interest &gt; 10% (5(10)), other directorships with the entity’s layer, and facilities availed;</w:t>
      </w:r>
    </w:p>
    <w:p>
      <w:pPr>
        <w:numPr>
          <w:ilvl w:val="1"/>
          <w:numId w:val="1883"/>
        </w:numPr>
        <w:pStyle w:val="Compact"/>
      </w:pPr>
      <w:r>
        <w:t xml:space="preserve">Annex I, II and III e-forms with eSign;</w:t>
      </w:r>
    </w:p>
    <w:p>
      <w:pPr>
        <w:numPr>
          <w:ilvl w:val="1"/>
          <w:numId w:val="1883"/>
        </w:numPr>
        <w:pStyle w:val="Compact"/>
      </w:pPr>
      <w:r>
        <w:t xml:space="preserve">NRC decision log;</w:t>
      </w:r>
    </w:p>
    <w:p>
      <w:pPr>
        <w:numPr>
          <w:ilvl w:val="1"/>
          <w:numId w:val="1883"/>
        </w:numPr>
        <w:pStyle w:val="Compact"/>
      </w:pPr>
      <w:r>
        <w:t xml:space="preserve">31 March declaration campaign;</w:t>
      </w:r>
    </w:p>
    <w:p>
      <w:pPr>
        <w:numPr>
          <w:ilvl w:val="1"/>
          <w:numId w:val="1883"/>
        </w:numPr>
        <w:pStyle w:val="Compact"/>
      </w:pPr>
      <w:r>
        <w:t xml:space="preserve">deed tracker;</w:t>
      </w:r>
    </w:p>
    <w:p>
      <w:pPr>
        <w:numPr>
          <w:ilvl w:val="1"/>
          <w:numId w:val="1883"/>
        </w:numPr>
        <w:pStyle w:val="Compact"/>
      </w:pPr>
      <w:r>
        <w:t xml:space="preserve">auto-generated quarterly statement;</w:t>
      </w:r>
    </w:p>
    <w:p>
      <w:pPr>
        <w:numPr>
          <w:ilvl w:val="1"/>
          <w:numId w:val="1883"/>
        </w:numPr>
        <w:pStyle w:val="Compact"/>
      </w:pPr>
      <w:r>
        <w:t xml:space="preserve">Annex II items II(a)–(f) feed the CRM 13K related-party register;</w:t>
      </w:r>
    </w:p>
    <w:p>
      <w:pPr>
        <w:numPr>
          <w:ilvl w:val="1"/>
          <w:numId w:val="1883"/>
        </w:numPr>
        <w:pStyle w:val="Compact"/>
      </w:pPr>
      <w:r>
        <w:t xml:space="preserve">director default checks against bureau and wilful-defaulter data.</w:t>
      </w:r>
    </w:p>
    <w:p>
      <w:pPr>
        <w:pStyle w:val="FirstParagraph"/>
      </w:pPr>
      <w:r>
        <w:rPr>
          <w:bCs/>
          <w:b/>
        </w:rPr>
        <w:t xml:space="preserve">Committees (paras 16–18):</w:t>
      </w:r>
    </w:p>
    <w:p>
      <w:pPr>
        <w:numPr>
          <w:ilvl w:val="0"/>
          <w:numId w:val="1884"/>
        </w:numPr>
        <w:pStyle w:val="Compact"/>
      </w:pPr>
      <w:r>
        <w:t xml:space="preserve">The Board delineates committee roles (16).</w:t>
      </w:r>
    </w:p>
    <w:p>
      <w:pPr>
        <w:numPr>
          <w:ilvl w:val="0"/>
          <w:numId w:val="1884"/>
        </w:numPr>
        <w:pStyle w:val="Compact"/>
      </w:pPr>
      <w:r>
        <w:rPr>
          <w:bCs/>
          <w:b/>
        </w:rPr>
        <w:t xml:space="preserve">Audit Committee of at least 3 Board members</w:t>
      </w:r>
      <w:r>
        <w:t xml:space="preserve">, with s.177 powers (17(1)).</w:t>
      </w:r>
    </w:p>
    <w:p>
      <w:pPr>
        <w:numPr>
          <w:ilvl w:val="0"/>
          <w:numId w:val="1884"/>
        </w:numPr>
        <w:pStyle w:val="Compact"/>
      </w:pPr>
      <w:r>
        <w:t xml:space="preserve">The ACB ensures an IS audit</w:t>
      </w:r>
      <w:r>
        <w:t xml:space="preserve"> </w:t>
      </w:r>
      <w:r>
        <w:t xml:space="preserve">“</w:t>
      </w:r>
      <w:r>
        <w:t xml:space="preserve">at the periodicity in the Outsourcing Directions</w:t>
      </w:r>
      <w:r>
        <w:t xml:space="preserve">”</w:t>
      </w:r>
      <w:r>
        <w:t xml:space="preserve"> </w:t>
      </w:r>
      <w:r>
        <w:t xml:space="preserve">(17(2)). This is a drafting slip: OUT sets no periodicity. Use CYB para 56 (at least annually).</w:t>
      </w:r>
    </w:p>
    <w:p>
      <w:pPr>
        <w:numPr>
          <w:ilvl w:val="0"/>
          <w:numId w:val="1884"/>
        </w:numPr>
        <w:pStyle w:val="Compact"/>
      </w:pPr>
      <w:r>
        <w:rPr>
          <w:bCs/>
          <w:b/>
        </w:rPr>
        <w:t xml:space="preserve">NRC</w:t>
      </w:r>
      <w:r>
        <w:t xml:space="preserve"> </w:t>
      </w:r>
      <w:r>
        <w:t xml:space="preserve">under s.178 (18).</w:t>
      </w:r>
    </w:p>
    <w:p>
      <w:pPr>
        <w:numPr>
          <w:ilvl w:val="1"/>
          <w:numId w:val="1885"/>
        </w:numPr>
        <w:pStyle w:val="Compact"/>
      </w:pPr>
      <w:r>
        <w:t xml:space="preserve">It oversees the compensation policy (30).</w:t>
      </w:r>
    </w:p>
    <w:p>
      <w:pPr>
        <w:numPr>
          <w:ilvl w:val="1"/>
          <w:numId w:val="1885"/>
        </w:numPr>
        <w:pStyle w:val="Compact"/>
      </w:pPr>
      <w:r>
        <w:t xml:space="preserve">It may align pay with the RMC and ICAAP, and ensure fit-and-proper status and the absence of conflicts (31).</w:t>
      </w:r>
    </w:p>
    <w:p>
      <w:pPr>
        <w:numPr>
          <w:ilvl w:val="0"/>
          <w:numId w:val="1884"/>
        </w:numPr>
        <w:pStyle w:val="Compact"/>
      </w:pPr>
      <w:r>
        <w:t xml:space="preserve">No IT Strategy Committee or customer-service committee is prescribed here. The ITSC comes from CYB paras 15 and 71–72.</w:t>
      </w:r>
    </w:p>
    <w:p>
      <w:pPr>
        <w:pStyle w:val="FirstParagraph"/>
      </w:pPr>
      <w:r>
        <w:rPr>
          <w:bCs/>
          <w:b/>
        </w:rPr>
        <w:t xml:space="preserve">CRO (paras 19–24; ML/UL with assets above ₹5,000 crore):</w:t>
      </w:r>
    </w:p>
    <w:p>
      <w:pPr>
        <w:numPr>
          <w:ilvl w:val="0"/>
          <w:numId w:val="1886"/>
        </w:numPr>
        <w:pStyle w:val="Compact"/>
      </w:pPr>
      <w:r>
        <w:t xml:space="preserve">Senior and qualified (20).</w:t>
      </w:r>
    </w:p>
    <w:p>
      <w:pPr>
        <w:numPr>
          <w:ilvl w:val="0"/>
          <w:numId w:val="1886"/>
        </w:numPr>
        <w:pStyle w:val="Compact"/>
      </w:pPr>
      <w:r>
        <w:rPr>
          <w:bCs/>
          <w:b/>
        </w:rPr>
        <w:t xml:space="preserve">Reporting:</w:t>
      </w:r>
    </w:p>
    <w:p>
      <w:pPr>
        <w:numPr>
          <w:ilvl w:val="1"/>
          <w:numId w:val="1887"/>
        </w:numPr>
        <w:pStyle w:val="Compact"/>
      </w:pPr>
      <w:r>
        <w:t xml:space="preserve">direct reporting to the MD&amp;CEO or the RMCB (21(1));</w:t>
      </w:r>
    </w:p>
    <w:p>
      <w:pPr>
        <w:numPr>
          <w:ilvl w:val="1"/>
          <w:numId w:val="1887"/>
        </w:numPr>
        <w:pStyle w:val="Compact"/>
      </w:pPr>
      <w:r>
        <w:t xml:space="preserve">if the CRO reports to the MD&amp;CEO, the</w:t>
      </w:r>
      <w:r>
        <w:t xml:space="preserve"> </w:t>
      </w:r>
      <w:r>
        <w:rPr>
          <w:bCs/>
          <w:b/>
        </w:rPr>
        <w:t xml:space="preserve">RMC or Board meets the CRO without the MD&amp;CEO at least quarterly</w:t>
      </w:r>
      <w:r>
        <w:t xml:space="preserve"> </w:t>
      </w:r>
      <w:r>
        <w:t xml:space="preserve">(21(2));</w:t>
      </w:r>
    </w:p>
    <w:p>
      <w:pPr>
        <w:numPr>
          <w:ilvl w:val="1"/>
          <w:numId w:val="1887"/>
        </w:numPr>
        <w:pStyle w:val="Compact"/>
      </w:pPr>
      <w:r>
        <w:rPr>
          <w:bCs/>
          <w:b/>
        </w:rPr>
        <w:t xml:space="preserve">no business reporting line and no business targets</w:t>
      </w:r>
      <w:r>
        <w:t xml:space="preserve"> </w:t>
      </w:r>
      <w:r>
        <w:t xml:space="preserve">(21(3));</w:t>
      </w:r>
    </w:p>
    <w:p>
      <w:pPr>
        <w:numPr>
          <w:ilvl w:val="1"/>
          <w:numId w:val="1887"/>
        </w:numPr>
        <w:pStyle w:val="Compact"/>
      </w:pPr>
      <w:r>
        <w:rPr>
          <w:bCs/>
          <w:b/>
        </w:rPr>
        <w:t xml:space="preserve">no dual hatting</w:t>
      </w:r>
      <w:r>
        <w:t xml:space="preserve"> </w:t>
      </w:r>
      <w:r>
        <w:t xml:space="preserve">(21(4)).</w:t>
      </w:r>
    </w:p>
    <w:p>
      <w:pPr>
        <w:numPr>
          <w:ilvl w:val="0"/>
          <w:numId w:val="1886"/>
        </w:numPr>
        <w:pStyle w:val="Compact"/>
      </w:pPr>
      <w:r>
        <w:rPr>
          <w:bCs/>
          <w:b/>
        </w:rPr>
        <w:t xml:space="preserve">Tenure and removal (22):</w:t>
      </w:r>
    </w:p>
    <w:p>
      <w:pPr>
        <w:numPr>
          <w:ilvl w:val="1"/>
          <w:numId w:val="1888"/>
        </w:numPr>
        <w:pStyle w:val="Compact"/>
      </w:pPr>
      <w:r>
        <w:t xml:space="preserve">fixed tenure, with Board approval;</w:t>
      </w:r>
    </w:p>
    <w:p>
      <w:pPr>
        <w:numPr>
          <w:ilvl w:val="1"/>
          <w:numId w:val="1888"/>
        </w:numPr>
        <w:pStyle w:val="Compact"/>
      </w:pPr>
      <w:r>
        <w:t xml:space="preserve">premature transfer or removal only with Board approval,</w:t>
      </w:r>
      <w:r>
        <w:t xml:space="preserve"> </w:t>
      </w:r>
      <w:r>
        <w:rPr>
          <w:bCs/>
          <w:b/>
        </w:rPr>
        <w:t xml:space="preserve">reported to the DoS Regional Office (NHB for HFCs)</w:t>
      </w:r>
      <w:r>
        <w:t xml:space="preserve">;</w:t>
      </w:r>
    </w:p>
    <w:p>
      <w:pPr>
        <w:numPr>
          <w:ilvl w:val="1"/>
          <w:numId w:val="1888"/>
        </w:numPr>
        <w:pStyle w:val="Compact"/>
      </w:pPr>
      <w:r>
        <w:t xml:space="preserve">a listed NBFC also reports any change to the stock exchanges.</w:t>
      </w:r>
    </w:p>
    <w:p>
      <w:pPr>
        <w:numPr>
          <w:ilvl w:val="0"/>
          <w:numId w:val="1886"/>
        </w:numPr>
        <w:pStyle w:val="Compact"/>
      </w:pPr>
      <w:r>
        <w:rPr>
          <w:bCs/>
          <w:b/>
        </w:rPr>
        <w:t xml:space="preserve">The CRO vets every credit product, retail or wholesale, for inherent and control risks</w:t>
      </w:r>
      <w:r>
        <w:t xml:space="preserve"> </w:t>
      </w:r>
      <w:r>
        <w:t xml:space="preserve">(23).</w:t>
      </w:r>
    </w:p>
    <w:p>
      <w:pPr>
        <w:numPr>
          <w:ilvl w:val="0"/>
          <w:numId w:val="1886"/>
        </w:numPr>
        <w:pStyle w:val="Compact"/>
      </w:pPr>
      <w:r>
        <w:t xml:space="preserve">On credit proposals the CRO is an adviser only. If the CRO is a voting member of a sanction committee, all members are individually and severally liable (24).</w:t>
      </w:r>
    </w:p>
    <w:p>
      <w:pPr>
        <w:numPr>
          <w:ilvl w:val="0"/>
          <w:numId w:val="1886"/>
        </w:numPr>
        <w:pStyle w:val="Compact"/>
      </w:pPr>
      <w:r>
        <w:rPr>
          <w:iCs/>
          <w:i/>
        </w:rPr>
        <w:t xml:space="preserve">Build:</w:t>
      </w:r>
    </w:p>
    <w:p>
      <w:pPr>
        <w:numPr>
          <w:ilvl w:val="1"/>
          <w:numId w:val="1889"/>
        </w:numPr>
        <w:pStyle w:val="Compact"/>
      </w:pPr>
      <w:r>
        <w:t xml:space="preserve">a</w:t>
      </w:r>
      <w:r>
        <w:t xml:space="preserve"> </w:t>
      </w:r>
      <w:r>
        <w:t xml:space="preserve">“</w:t>
      </w:r>
      <w:r>
        <w:t xml:space="preserve">CRO vetting</w:t>
      </w:r>
      <w:r>
        <w:t xml:space="preserve">”</w:t>
      </w:r>
      <w:r>
        <w:t xml:space="preserve"> </w:t>
      </w:r>
      <w:r>
        <w:t xml:space="preserve">step in the product-approval gate;</w:t>
      </w:r>
    </w:p>
    <w:p>
      <w:pPr>
        <w:numPr>
          <w:ilvl w:val="1"/>
          <w:numId w:val="1889"/>
        </w:numPr>
        <w:pStyle w:val="Compact"/>
      </w:pPr>
      <w:r>
        <w:t xml:space="preserve">sanction-committee configuration with the CRO as adviser (no vote) or voter (vote recorded);</w:t>
      </w:r>
    </w:p>
    <w:p>
      <w:pPr>
        <w:numPr>
          <w:ilvl w:val="1"/>
          <w:numId w:val="1889"/>
        </w:numPr>
        <w:pStyle w:val="Compact"/>
      </w:pPr>
      <w:r>
        <w:t xml:space="preserve">SoD: the CRO user cannot hold business or target roles;</w:t>
      </w:r>
    </w:p>
    <w:p>
      <w:pPr>
        <w:numPr>
          <w:ilvl w:val="1"/>
          <w:numId w:val="1889"/>
        </w:numPr>
        <w:pStyle w:val="Compact"/>
      </w:pPr>
      <w:r>
        <w:t xml:space="preserve">a tracker for the quarterly closed session.</w:t>
      </w:r>
    </w:p>
    <w:p>
      <w:pPr>
        <w:pStyle w:val="FirstParagraph"/>
      </w:pPr>
      <w:r>
        <w:rPr>
          <w:bCs/>
          <w:b/>
        </w:rPr>
        <w:t xml:space="preserve">CCO (para 25; ML/UL):</w:t>
      </w:r>
      <w:r>
        <w:t xml:space="preserve"> </w:t>
      </w:r>
      <w:r>
        <w:t xml:space="preserve">sufficiently senior; a Board policy sets the role. Detail is in CMP (8A.11).</w:t>
      </w:r>
    </w:p>
    <w:p>
      <w:pPr>
        <w:pStyle w:val="BodyText"/>
      </w:pPr>
      <w:r>
        <w:rPr>
          <w:bCs/>
          <w:b/>
        </w:rPr>
        <w:t xml:space="preserve">KMP and independent directors (paras 26–28):</w:t>
      </w:r>
    </w:p>
    <w:p>
      <w:pPr>
        <w:numPr>
          <w:ilvl w:val="0"/>
          <w:numId w:val="1890"/>
        </w:numPr>
        <w:pStyle w:val="Compact"/>
      </w:pPr>
      <w:r>
        <w:t xml:space="preserve">A KMP holds no office in another ML/UL NBFC, except a directorship in a subsidiary. BL directorships are allowed (26).</w:t>
      </w:r>
    </w:p>
    <w:p>
      <w:pPr>
        <w:numPr>
          <w:ilvl w:val="0"/>
          <w:numId w:val="1890"/>
        </w:numPr>
        <w:pStyle w:val="Compact"/>
      </w:pPr>
      <w:r>
        <w:rPr>
          <w:bCs/>
          <w:b/>
        </w:rPr>
        <w:t xml:space="preserve">An independent director sits on at most 3 ML/UL NBFC boards at a time</w:t>
      </w:r>
      <w:r>
        <w:t xml:space="preserve">; BL boards are excluded (27).</w:t>
      </w:r>
    </w:p>
    <w:p>
      <w:pPr>
        <w:numPr>
          <w:ilvl w:val="0"/>
          <w:numId w:val="1890"/>
        </w:numPr>
        <w:pStyle w:val="Compact"/>
      </w:pPr>
      <w:r>
        <w:t xml:space="preserve">The Board ensures there is no conflict (28).</w:t>
      </w:r>
    </w:p>
    <w:p>
      <w:pPr>
        <w:numPr>
          <w:ilvl w:val="0"/>
          <w:numId w:val="1890"/>
        </w:numPr>
        <w:pStyle w:val="Compact"/>
      </w:pPr>
      <w:r>
        <w:rPr>
          <w:iCs/>
          <w:i/>
        </w:rPr>
        <w:t xml:space="preserve">Build:</w:t>
      </w:r>
      <w:r>
        <w:t xml:space="preserve"> </w:t>
      </w:r>
      <w:r>
        <w:t xml:space="preserve">directorship-limit check driven by the layer of each other entity.</w:t>
      </w:r>
    </w:p>
    <w:p>
      <w:pPr>
        <w:pStyle w:val="FirstParagraph"/>
      </w:pPr>
      <w:r>
        <w:rPr>
          <w:bCs/>
          <w:b/>
        </w:rPr>
        <w:t xml:space="preserve">Compensation (paras 29–37; not government-owned):</w:t>
      </w:r>
    </w:p>
    <w:p>
      <w:pPr>
        <w:numPr>
          <w:ilvl w:val="0"/>
          <w:numId w:val="1891"/>
        </w:numPr>
        <w:pStyle w:val="Compact"/>
      </w:pPr>
      <w:r>
        <w:t xml:space="preserve">Policy covers fixed and variable pay principles and malus/clawback (29).</w:t>
      </w:r>
    </w:p>
    <w:p>
      <w:pPr>
        <w:numPr>
          <w:ilvl w:val="0"/>
          <w:numId w:val="1891"/>
        </w:numPr>
        <w:pStyle w:val="Compact"/>
      </w:pPr>
      <w:r>
        <w:t xml:space="preserve">Variable pay can be reduced to zero; deferral is set by the Board (35).</w:t>
      </w:r>
    </w:p>
    <w:p>
      <w:pPr>
        <w:numPr>
          <w:ilvl w:val="0"/>
          <w:numId w:val="1891"/>
        </w:numPr>
        <w:pStyle w:val="Compact"/>
      </w:pPr>
      <w:r>
        <w:t xml:space="preserve">Control-function staff get a higher fixed share (35(4)).</w:t>
      </w:r>
    </w:p>
    <w:p>
      <w:pPr>
        <w:numPr>
          <w:ilvl w:val="0"/>
          <w:numId w:val="1891"/>
        </w:numPr>
        <w:pStyle w:val="Compact"/>
      </w:pPr>
      <w:r>
        <w:t xml:space="preserve">No guaranteed bonus, except a joining bonus (36).</w:t>
      </w:r>
    </w:p>
    <w:p>
      <w:pPr>
        <w:numPr>
          <w:ilvl w:val="0"/>
          <w:numId w:val="1891"/>
        </w:numPr>
        <w:pStyle w:val="Compact"/>
      </w:pPr>
      <w:r>
        <w:t xml:space="preserve">The malus/clawback period covers at least the deferral and retention periods (37).</w:t>
      </w:r>
    </w:p>
    <w:p>
      <w:pPr>
        <w:numPr>
          <w:ilvl w:val="0"/>
          <w:numId w:val="1891"/>
        </w:numPr>
        <w:pStyle w:val="Compact"/>
      </w:pPr>
      <w:r>
        <w:rPr>
          <w:iCs/>
          <w:i/>
        </w:rPr>
        <w:t xml:space="preserve">Build:</w:t>
      </w:r>
      <w:r>
        <w:t xml:space="preserve"> </w:t>
      </w:r>
      <w:r>
        <w:t xml:space="preserve">policy registry only.</w:t>
      </w:r>
    </w:p>
    <w:p>
      <w:pPr>
        <w:pStyle w:val="FirstParagraph"/>
      </w:pPr>
      <w:r>
        <w:rPr>
          <w:bCs/>
          <w:b/>
        </w:rPr>
        <w:t xml:space="preserve">Other (paras 38–43):</w:t>
      </w:r>
    </w:p>
    <w:p>
      <w:pPr>
        <w:numPr>
          <w:ilvl w:val="0"/>
          <w:numId w:val="1892"/>
        </w:numPr>
        <w:pStyle w:val="Compact"/>
      </w:pPr>
      <w:r>
        <w:t xml:space="preserve">Whistle-blower mechanism for directors and employees (38).</w:t>
      </w:r>
    </w:p>
    <w:p>
      <w:pPr>
        <w:numPr>
          <w:ilvl w:val="0"/>
          <w:numId w:val="1892"/>
        </w:numPr>
        <w:pStyle w:val="Compact"/>
      </w:pPr>
      <w:r>
        <w:t xml:space="preserve">Governance of subsidiaries (39).</w:t>
      </w:r>
    </w:p>
    <w:p>
      <w:pPr>
        <w:numPr>
          <w:ilvl w:val="0"/>
          <w:numId w:val="1892"/>
        </w:numPr>
        <w:pStyle w:val="Compact"/>
      </w:pPr>
      <w:r>
        <w:t xml:space="preserve">Corporate-governance guidelines on the website (40).</w:t>
      </w:r>
    </w:p>
    <w:p>
      <w:pPr>
        <w:numPr>
          <w:ilvl w:val="0"/>
          <w:numId w:val="1892"/>
        </w:numPr>
        <w:pStyle w:val="Compact"/>
      </w:pPr>
      <w:r>
        <w:rPr>
          <w:bCs/>
          <w:b/>
        </w:rPr>
        <w:t xml:space="preserve">UL only:</w:t>
      </w:r>
    </w:p>
    <w:p>
      <w:pPr>
        <w:numPr>
          <w:ilvl w:val="1"/>
          <w:numId w:val="1893"/>
        </w:numPr>
        <w:pStyle w:val="Compact"/>
      </w:pPr>
      <w:r>
        <w:t xml:space="preserve">Board skill mix (41);</w:t>
      </w:r>
    </w:p>
    <w:p>
      <w:pPr>
        <w:numPr>
          <w:ilvl w:val="1"/>
          <w:numId w:val="1893"/>
        </w:numPr>
        <w:pStyle w:val="Compact"/>
      </w:pPr>
      <w:r>
        <w:rPr>
          <w:bCs/>
          <w:b/>
        </w:rPr>
        <w:t xml:space="preserve">report the premature exit of an independent director to supervisors</w:t>
      </w:r>
      <w:r>
        <w:t xml:space="preserve"> </w:t>
      </w:r>
      <w:r>
        <w:t xml:space="preserve">(42);</w:t>
      </w:r>
    </w:p>
    <w:p>
      <w:pPr>
        <w:numPr>
          <w:ilvl w:val="1"/>
          <w:numId w:val="1893"/>
        </w:numPr>
        <w:pStyle w:val="Compact"/>
      </w:pPr>
      <w:r>
        <w:rPr>
          <w:bCs/>
          <w:b/>
        </w:rPr>
        <w:t xml:space="preserve">listing within 3 years of UL identification</w:t>
      </w:r>
      <w:r>
        <w:t xml:space="preserve">, with listed-company disclosures before listing (43).</w:t>
      </w:r>
    </w:p>
    <w:p>
      <w:pPr>
        <w:numPr>
          <w:ilvl w:val="0"/>
          <w:numId w:val="1892"/>
        </w:numPr>
        <w:pStyle w:val="Compact"/>
      </w:pPr>
      <w:r>
        <w:t xml:space="preserve">Repeal is by DOR.RRC.REC.302/33-01-010/2025-26 (44).</w:t>
      </w:r>
    </w:p>
    <w:p>
      <w:r>
        <w:pict>
          <v:rect style="width:0;height:1.5pt" o:hralign="center" o:hrstd="t" o:hr="t"/>
        </w:pict>
      </w:r>
    </w:p>
    <w:p>
      <w:r>
        <w:pict>
          <v:rect style="width:0;height:1.5pt" o:hralign="center" o:hrstd="t" o:hr="t"/>
        </w:pict>
      </w:r>
    </w:p>
    <w:bookmarkEnd w:id="810"/>
    <w:bookmarkStart w:id="811" w:name="X116a10e30153a91c356a6de7a15983eccd12071"/>
    <w:p>
      <w:pPr>
        <w:pStyle w:val="Heading2"/>
      </w:pPr>
      <w:r>
        <w:t xml:space="preserve">8A.29 OUT — Managing Risks in Outsourcing Directions (363)</w:t>
      </w:r>
    </w:p>
    <w:p>
      <w:pPr>
        <w:pStyle w:val="FirstParagraph"/>
      </w:pPr>
      <w:r>
        <w:rPr>
          <w:bCs/>
          <w:b/>
        </w:rPr>
        <w:t xml:space="preserve">Title (para 1):</w:t>
      </w:r>
      <w:r>
        <w:t xml:space="preserve"> </w:t>
      </w:r>
      <w:r>
        <w:t xml:space="preserve">“</w:t>
      </w:r>
      <w:r>
        <w:t xml:space="preserve">Reserve Bank of India (Non-Banking Financial Companies – Managing Risks in Outsourcing) Directions, 2025</w:t>
      </w:r>
      <w:r>
        <w:t xml:space="preserve">”</w:t>
      </w:r>
      <w:r>
        <w:t xml:space="preserve">. No</w:t>
      </w:r>
      <w:r>
        <w:t xml:space="preserve"> </w:t>
      </w:r>
      <w:r>
        <w:t xml:space="preserve">“</w:t>
      </w:r>
      <w:r>
        <w:t xml:space="preserve">Management of Third-Party Dependencies</w:t>
      </w:r>
      <w:r>
        <w:t xml:space="preserve">”</w:t>
      </w:r>
      <w:r>
        <w:t xml:space="preserve"> </w:t>
      </w:r>
      <w:r>
        <w:t xml:space="preserve">Direction exists; CF para 62(2) misnames it (errata).</w:t>
      </w:r>
    </w:p>
    <w:p>
      <w:pPr>
        <w:pStyle w:val="BodyText"/>
      </w:pPr>
      <w:r>
        <w:rPr>
          <w:bCs/>
          <w:b/>
        </w:rPr>
        <w:t xml:space="preserve">Commencement (para 2):</w:t>
      </w:r>
    </w:p>
    <w:p>
      <w:pPr>
        <w:numPr>
          <w:ilvl w:val="0"/>
          <w:numId w:val="1894"/>
        </w:numPr>
        <w:pStyle w:val="Compact"/>
      </w:pPr>
      <w:r>
        <w:t xml:space="preserve">Immediate effect.</w:t>
      </w:r>
    </w:p>
    <w:p>
      <w:pPr>
        <w:numPr>
          <w:ilvl w:val="0"/>
          <w:numId w:val="1894"/>
        </w:numPr>
        <w:pStyle w:val="Compact"/>
      </w:pPr>
      <w:r>
        <w:rPr>
          <w:bCs/>
          <w:b/>
        </w:rPr>
        <w:t xml:space="preserve">Existing IT outsourcing agreements comply at renewal or by 10 Apr 2026, whichever is earlier.</w:t>
      </w:r>
      <w:r>
        <w:t xml:space="preserve"> </w:t>
      </w:r>
      <w:r>
        <w:t xml:space="preserve">New IT agreements comply from the agreement date.</w:t>
      </w:r>
    </w:p>
    <w:p>
      <w:pPr>
        <w:numPr>
          <w:ilvl w:val="0"/>
          <w:numId w:val="1894"/>
        </w:numPr>
        <w:pStyle w:val="Compact"/>
      </w:pPr>
      <w:r>
        <w:rPr>
          <w:iCs/>
          <w:i/>
        </w:rPr>
        <w:t xml:space="preserve">Both dates have passed: every Finbyx tenant contract must comply now.</w:t>
      </w:r>
    </w:p>
    <w:p>
      <w:pPr>
        <w:pStyle w:val="FirstParagraph"/>
      </w:pPr>
      <w:r>
        <w:rPr>
          <w:bCs/>
          <w:b/>
        </w:rPr>
        <w:t xml:space="preserve">Applicability (para 3):</w:t>
      </w:r>
    </w:p>
    <w:p>
      <w:pPr>
        <w:numPr>
          <w:ilvl w:val="0"/>
          <w:numId w:val="1895"/>
        </w:numPr>
        <w:pStyle w:val="Compact"/>
      </w:pPr>
      <w:r>
        <w:t xml:space="preserve">Covers NBFC-D, ICC, Factor, MFI, IFC, IDF,</w:t>
      </w:r>
      <w:r>
        <w:t xml:space="preserve"> </w:t>
      </w:r>
      <w:r>
        <w:rPr>
          <w:bCs/>
          <w:b/>
        </w:rPr>
        <w:t xml:space="preserve">HFC</w:t>
      </w:r>
      <w:r>
        <w:t xml:space="preserve">, SPD, CIC, P2P and AA. Not NOFHCs.</w:t>
      </w:r>
    </w:p>
    <w:p>
      <w:pPr>
        <w:numPr>
          <w:ilvl w:val="0"/>
          <w:numId w:val="1895"/>
        </w:numPr>
        <w:pStyle w:val="Compact"/>
      </w:pPr>
      <w:r>
        <w:rPr>
          <w:bCs/>
          <w:b/>
        </w:rPr>
        <w:t xml:space="preserve">BL: all provisions except Ch IV and the IT-specific parts of Ch II. ML and above: all</w:t>
      </w:r>
      <w:r>
        <w:t xml:space="preserve"> </w:t>
      </w:r>
      <w:r>
        <w:t xml:space="preserve">(3(2)).</w:t>
      </w:r>
    </w:p>
    <w:p>
      <w:pPr>
        <w:numPr>
          <w:ilvl w:val="0"/>
          <w:numId w:val="1895"/>
        </w:numPr>
        <w:pStyle w:val="Compact"/>
      </w:pPr>
      <w:r>
        <w:t xml:space="preserve">MGC in ML or above: Ch IV and the IT parts of Ch II (3(3)).</w:t>
      </w:r>
    </w:p>
    <w:p>
      <w:pPr>
        <w:numPr>
          <w:ilvl w:val="0"/>
          <w:numId w:val="1895"/>
        </w:numPr>
        <w:pStyle w:val="Compact"/>
      </w:pPr>
      <w:r>
        <w:rPr>
          <w:bCs/>
          <w:b/>
        </w:rPr>
        <w:t xml:space="preserve">BL IT outsourcing falls under CYB Ch III/IV</w:t>
      </w:r>
      <w:r>
        <w:t xml:space="preserve"> </w:t>
      </w:r>
      <w:r>
        <w:t xml:space="preserve">(CYB 60–64 for BL with assets of ₹500 crore or more).</w:t>
      </w:r>
    </w:p>
    <w:p>
      <w:pPr>
        <w:numPr>
          <w:ilvl w:val="0"/>
          <w:numId w:val="1895"/>
        </w:numPr>
        <w:pStyle w:val="Compact"/>
      </w:pPr>
      <w:r>
        <w:t xml:space="preserve">CYB 117 covers IT third parties outside this Direction.</w:t>
      </w:r>
    </w:p>
    <w:p>
      <w:pPr>
        <w:pStyle w:val="FirstParagraph"/>
      </w:pPr>
      <w:r>
        <w:rPr>
          <w:bCs/>
          <w:b/>
        </w:rPr>
        <w:t xml:space="preserve">Scope of Ch III (financial services; paras 4, 14):</w:t>
      </w:r>
    </w:p>
    <w:p>
      <w:pPr>
        <w:numPr>
          <w:ilvl w:val="0"/>
          <w:numId w:val="1896"/>
        </w:numPr>
        <w:pStyle w:val="Compact"/>
      </w:pPr>
      <w:r>
        <w:t xml:space="preserve">Covers</w:t>
      </w:r>
      <w:r>
        <w:t xml:space="preserve"> </w:t>
      </w:r>
      <w:r>
        <w:rPr>
          <w:iCs/>
          <w:i/>
        </w:rPr>
        <w:t xml:space="preserve">material</w:t>
      </w:r>
      <w:r>
        <w:t xml:space="preserve"> </w:t>
      </w:r>
      <w:r>
        <w:t xml:space="preserve">outsourcing (14) of (4(1)):</w:t>
      </w:r>
    </w:p>
    <w:p>
      <w:pPr>
        <w:numPr>
          <w:ilvl w:val="1"/>
          <w:numId w:val="1897"/>
        </w:numPr>
        <w:pStyle w:val="Compact"/>
      </w:pPr>
      <w:r>
        <w:t xml:space="preserve">application processing (loan origination);</w:t>
      </w:r>
    </w:p>
    <w:p>
      <w:pPr>
        <w:numPr>
          <w:ilvl w:val="1"/>
          <w:numId w:val="1897"/>
        </w:numPr>
        <w:pStyle w:val="Compact"/>
      </w:pPr>
      <w:r>
        <w:t xml:space="preserve">document processing;</w:t>
      </w:r>
    </w:p>
    <w:p>
      <w:pPr>
        <w:numPr>
          <w:ilvl w:val="1"/>
          <w:numId w:val="1897"/>
        </w:numPr>
        <w:pStyle w:val="Compact"/>
      </w:pPr>
      <w:r>
        <w:t xml:space="preserve">marketing and research;</w:t>
      </w:r>
    </w:p>
    <w:p>
      <w:pPr>
        <w:numPr>
          <w:ilvl w:val="1"/>
          <w:numId w:val="1897"/>
        </w:numPr>
        <w:pStyle w:val="Compact"/>
      </w:pPr>
      <w:r>
        <w:t xml:space="preserve">loan supervision;</w:t>
      </w:r>
    </w:p>
    <w:p>
      <w:pPr>
        <w:numPr>
          <w:ilvl w:val="1"/>
          <w:numId w:val="1897"/>
        </w:numPr>
        <w:pStyle w:val="Compact"/>
      </w:pPr>
      <w:r>
        <w:t xml:space="preserve">data processing;</w:t>
      </w:r>
    </w:p>
    <w:p>
      <w:pPr>
        <w:numPr>
          <w:ilvl w:val="1"/>
          <w:numId w:val="1897"/>
        </w:numPr>
        <w:pStyle w:val="Compact"/>
      </w:pPr>
      <w:r>
        <w:t xml:space="preserve">back office.</w:t>
      </w:r>
    </w:p>
    <w:p>
      <w:pPr>
        <w:numPr>
          <w:ilvl w:val="0"/>
          <w:numId w:val="1896"/>
        </w:numPr>
        <w:pStyle w:val="Compact"/>
      </w:pPr>
      <w:r>
        <w:t xml:space="preserve">Excludes IT services and non-financial services (4(2)).</w:t>
      </w:r>
    </w:p>
    <w:p>
      <w:pPr>
        <w:pStyle w:val="FirstParagraph"/>
      </w:pPr>
      <w:r>
        <w:rPr>
          <w:bCs/>
          <w:b/>
        </w:rPr>
        <w:t xml:space="preserve">Scope of Ch IV (IT; paras 5, 58):</w:t>
      </w:r>
    </w:p>
    <w:p>
      <w:pPr>
        <w:numPr>
          <w:ilvl w:val="0"/>
          <w:numId w:val="1898"/>
        </w:numPr>
        <w:pStyle w:val="Compact"/>
      </w:pPr>
      <w:r>
        <w:t xml:space="preserve">Covers</w:t>
      </w:r>
      <w:r>
        <w:t xml:space="preserve"> </w:t>
      </w:r>
      <w:r>
        <w:rPr>
          <w:iCs/>
          <w:i/>
        </w:rPr>
        <w:t xml:space="preserve">material</w:t>
      </w:r>
      <w:r>
        <w:t xml:space="preserve"> </w:t>
      </w:r>
      <w:r>
        <w:t xml:space="preserve">IT outsourcing (5(1)):</w:t>
      </w:r>
    </w:p>
    <w:p>
      <w:pPr>
        <w:numPr>
          <w:ilvl w:val="1"/>
          <w:numId w:val="1899"/>
        </w:numPr>
        <w:pStyle w:val="Compact"/>
      </w:pPr>
      <w:r>
        <w:t xml:space="preserve">infrastructure;</w:t>
      </w:r>
    </w:p>
    <w:p>
      <w:pPr>
        <w:numPr>
          <w:ilvl w:val="1"/>
          <w:numId w:val="1899"/>
        </w:numPr>
        <w:pStyle w:val="Compact"/>
      </w:pPr>
      <w:r>
        <w:t xml:space="preserve">network and security;</w:t>
      </w:r>
    </w:p>
    <w:p>
      <w:pPr>
        <w:numPr>
          <w:ilvl w:val="1"/>
          <w:numId w:val="1899"/>
        </w:numPr>
        <w:pStyle w:val="Compact"/>
      </w:pPr>
      <w:r>
        <w:rPr>
          <w:bCs/>
          <w:b/>
        </w:rPr>
        <w:t xml:space="preserve">ASP application development and maintenance</w:t>
      </w:r>
      <w:r>
        <w:t xml:space="preserve">;</w:t>
      </w:r>
    </w:p>
    <w:p>
      <w:pPr>
        <w:numPr>
          <w:ilvl w:val="1"/>
          <w:numId w:val="1899"/>
        </w:numPr>
        <w:pStyle w:val="Compact"/>
      </w:pPr>
      <w:r>
        <w:rPr>
          <w:bCs/>
          <w:b/>
        </w:rPr>
        <w:t xml:space="preserve">data-centre services</w:t>
      </w:r>
      <w:r>
        <w:t xml:space="preserve">;</w:t>
      </w:r>
    </w:p>
    <w:p>
      <w:pPr>
        <w:numPr>
          <w:ilvl w:val="1"/>
          <w:numId w:val="1899"/>
        </w:numPr>
        <w:pStyle w:val="Compact"/>
      </w:pPr>
      <w:r>
        <w:rPr>
          <w:bCs/>
          <w:b/>
        </w:rPr>
        <w:t xml:space="preserve">cloud computing</w:t>
      </w:r>
      <w:r>
        <w:t xml:space="preserve">;</w:t>
      </w:r>
    </w:p>
    <w:p>
      <w:pPr>
        <w:numPr>
          <w:ilvl w:val="1"/>
          <w:numId w:val="1899"/>
        </w:numPr>
        <w:pStyle w:val="Compact"/>
      </w:pPr>
      <w:r>
        <w:t xml:space="preserve">managed security;</w:t>
      </w:r>
    </w:p>
    <w:p>
      <w:pPr>
        <w:numPr>
          <w:ilvl w:val="1"/>
          <w:numId w:val="1899"/>
        </w:numPr>
        <w:pStyle w:val="Compact"/>
      </w:pPr>
      <w:r>
        <w:t xml:space="preserve">payment-ecosystem IT.</w:t>
      </w:r>
    </w:p>
    <w:p>
      <w:pPr>
        <w:numPr>
          <w:ilvl w:val="0"/>
          <w:numId w:val="1898"/>
        </w:numPr>
        <w:pStyle w:val="Compact"/>
      </w:pPr>
      <w:r>
        <w:t xml:space="preserve">Excludes (5(2)):</w:t>
      </w:r>
    </w:p>
    <w:p>
      <w:pPr>
        <w:numPr>
          <w:ilvl w:val="1"/>
          <w:numId w:val="1900"/>
        </w:numPr>
        <w:pStyle w:val="Compact"/>
      </w:pPr>
      <w:r>
        <w:rPr>
          <w:bCs/>
          <w:b/>
        </w:rPr>
        <w:t xml:space="preserve">licensed or subscription software acquisition</w:t>
      </w:r>
      <w:r>
        <w:t xml:space="preserve">, including vendor enhancements;</w:t>
      </w:r>
    </w:p>
    <w:p>
      <w:pPr>
        <w:numPr>
          <w:ilvl w:val="1"/>
          <w:numId w:val="1900"/>
        </w:numPr>
        <w:pStyle w:val="Compact"/>
      </w:pPr>
      <w:r>
        <w:t xml:space="preserve">OEM maintenance;</w:t>
      </w:r>
    </w:p>
    <w:p>
      <w:pPr>
        <w:numPr>
          <w:ilvl w:val="1"/>
          <w:numId w:val="1900"/>
        </w:numPr>
        <w:pStyle w:val="Compact"/>
      </w:pPr>
      <w:r>
        <w:t xml:space="preserve">SMS gateways;</w:t>
      </w:r>
    </w:p>
    <w:p>
      <w:pPr>
        <w:numPr>
          <w:ilvl w:val="1"/>
          <w:numId w:val="1900"/>
        </w:numPr>
        <w:pStyle w:val="Compact"/>
      </w:pPr>
      <w:r>
        <w:t xml:space="preserve">VA/PT and IS audit;</w:t>
      </w:r>
    </w:p>
    <w:p>
      <w:pPr>
        <w:numPr>
          <w:ilvl w:val="1"/>
          <w:numId w:val="1900"/>
        </w:numPr>
        <w:pStyle w:val="Compact"/>
      </w:pPr>
      <w:r>
        <w:t xml:space="preserve">BC services, payroll and statement printing;</w:t>
      </w:r>
    </w:p>
    <w:p>
      <w:pPr>
        <w:numPr>
          <w:ilvl w:val="1"/>
          <w:numId w:val="1900"/>
        </w:numPr>
        <w:pStyle w:val="Compact"/>
      </w:pPr>
      <w:r>
        <w:t xml:space="preserve">off-the-shelf products.</w:t>
      </w:r>
    </w:p>
    <w:p>
      <w:pPr>
        <w:numPr>
          <w:ilvl w:val="0"/>
          <w:numId w:val="1898"/>
        </w:numPr>
        <w:pStyle w:val="Compact"/>
      </w:pPr>
      <w:r>
        <w:t xml:space="preserve">Not</w:t>
      </w:r>
      <w:r>
        <w:t xml:space="preserve"> </w:t>
      </w:r>
      <w:r>
        <w:t xml:space="preserve">“</w:t>
      </w:r>
      <w:r>
        <w:t xml:space="preserve">service providers</w:t>
      </w:r>
      <w:r>
        <w:t xml:space="preserve">”</w:t>
      </w:r>
      <w:r>
        <w:t xml:space="preserve"> </w:t>
      </w:r>
      <w:r>
        <w:t xml:space="preserve">under Ch IV (58(3)):</w:t>
      </w:r>
    </w:p>
    <w:p>
      <w:pPr>
        <w:numPr>
          <w:ilvl w:val="1"/>
          <w:numId w:val="1901"/>
        </w:numPr>
        <w:pStyle w:val="Compact"/>
      </w:pPr>
      <w:r>
        <w:t xml:space="preserve">BCs;</w:t>
      </w:r>
    </w:p>
    <w:p>
      <w:pPr>
        <w:numPr>
          <w:ilvl w:val="1"/>
          <w:numId w:val="1901"/>
        </w:numPr>
        <w:pStyle w:val="Compact"/>
      </w:pPr>
      <w:r>
        <w:t xml:space="preserve">PSOs;</w:t>
      </w:r>
    </w:p>
    <w:p>
      <w:pPr>
        <w:numPr>
          <w:ilvl w:val="1"/>
          <w:numId w:val="1901"/>
        </w:numPr>
        <w:pStyle w:val="Compact"/>
      </w:pPr>
      <w:r>
        <w:t xml:space="preserve">co-branding fintechs (these fall under Ch III);</w:t>
      </w:r>
    </w:p>
    <w:p>
      <w:pPr>
        <w:numPr>
          <w:ilvl w:val="1"/>
          <w:numId w:val="1901"/>
        </w:numPr>
        <w:pStyle w:val="Compact"/>
      </w:pPr>
      <w:r>
        <w:rPr>
          <w:bCs/>
          <w:b/>
        </w:rPr>
        <w:t xml:space="preserve">data retrieval and verification fintechs, digital document execution, data entry and call centres</w:t>
      </w:r>
      <w:r>
        <w:t xml:space="preserve">;</w:t>
      </w:r>
    </w:p>
    <w:p>
      <w:pPr>
        <w:numPr>
          <w:ilvl w:val="1"/>
          <w:numId w:val="1901"/>
        </w:numPr>
        <w:pStyle w:val="Compact"/>
      </w:pPr>
      <w:r>
        <w:t xml:space="preserve">telecom providers;</w:t>
      </w:r>
    </w:p>
    <w:p>
      <w:pPr>
        <w:numPr>
          <w:ilvl w:val="1"/>
          <w:numId w:val="1901"/>
        </w:numPr>
        <w:pStyle w:val="Compact"/>
      </w:pPr>
      <w:r>
        <w:t xml:space="preserve">independent auditors.</w:t>
      </w:r>
    </w:p>
    <w:p>
      <w:pPr>
        <w:numPr>
          <w:ilvl w:val="0"/>
          <w:numId w:val="1898"/>
        </w:numPr>
        <w:pStyle w:val="Compact"/>
      </w:pPr>
      <w:r>
        <w:rPr>
          <w:bCs/>
          <w:b/>
        </w:rPr>
        <w:t xml:space="preserve">Material IT</w:t>
      </w:r>
      <w:r>
        <w:t xml:space="preserve"> </w:t>
      </w:r>
      <w:r>
        <w:t xml:space="preserve">= disruption would significantly impact operations,</w:t>
      </w:r>
      <w:r>
        <w:t xml:space="preserve"> </w:t>
      </w:r>
      <w:r>
        <w:rPr>
          <w:bCs/>
          <w:b/>
        </w:rPr>
        <w:t xml:space="preserve">or</w:t>
      </w:r>
      <w:r>
        <w:t xml:space="preserve"> </w:t>
      </w:r>
      <w:r>
        <w:t xml:space="preserve">unauthorised access, loss or theft could materially affect customers (58(2)).</w:t>
      </w:r>
    </w:p>
    <w:p>
      <w:pPr>
        <w:numPr>
          <w:ilvl w:val="0"/>
          <w:numId w:val="1898"/>
        </w:numPr>
        <w:pStyle w:val="Compact"/>
      </w:pPr>
      <w:r>
        <w:rPr>
          <w:iCs/>
          <w:i/>
        </w:rPr>
        <w:t xml:space="preserve">Build:</w:t>
      </w:r>
      <w:r>
        <w:t xml:space="preserve"> </w:t>
      </w:r>
      <w:r>
        <w:t xml:space="preserve">materiality questionnaire per arrangement, covering 14(i)–(vi) and 58(2).</w:t>
      </w:r>
    </w:p>
    <w:p>
      <w:pPr>
        <w:pStyle w:val="FirstParagraph"/>
      </w:pPr>
      <w:r>
        <w:rPr>
          <w:bCs/>
          <w:b/>
        </w:rPr>
        <w:t xml:space="preserve">Board and senior management (paras 9–13, 20–21, 62–64):</w:t>
      </w:r>
    </w:p>
    <w:p>
      <w:pPr>
        <w:numPr>
          <w:ilvl w:val="0"/>
          <w:numId w:val="1902"/>
        </w:numPr>
        <w:pStyle w:val="Compact"/>
      </w:pPr>
      <w:r>
        <w:t xml:space="preserve">Outsourcing never diminishes the obligations of the NBFC, its Board or senior management (9, 17).</w:t>
      </w:r>
    </w:p>
    <w:p>
      <w:pPr>
        <w:numPr>
          <w:ilvl w:val="0"/>
          <w:numId w:val="1902"/>
        </w:numPr>
        <w:pStyle w:val="Compact"/>
      </w:pPr>
      <w:r>
        <w:rPr>
          <w:bCs/>
          <w:b/>
        </w:rPr>
        <w:t xml:space="preserve">Board-approved policies:</w:t>
      </w:r>
    </w:p>
    <w:p>
      <w:pPr>
        <w:numPr>
          <w:ilvl w:val="1"/>
          <w:numId w:val="1903"/>
        </w:numPr>
        <w:pStyle w:val="Compact"/>
      </w:pPr>
      <w:r>
        <w:t xml:space="preserve">financial outsourcing policy (10, 20);</w:t>
      </w:r>
    </w:p>
    <w:p>
      <w:pPr>
        <w:numPr>
          <w:ilvl w:val="1"/>
          <w:numId w:val="1903"/>
        </w:numPr>
        <w:pStyle w:val="Compact"/>
      </w:pPr>
      <w:r>
        <w:t xml:space="preserve">IT outsourcing policy (62), covering roles, selection, materiality, delegation, BCP/DR, monitoring and</w:t>
      </w:r>
      <w:r>
        <w:t xml:space="preserve"> </w:t>
      </w:r>
      <w:r>
        <w:rPr>
          <w:bCs/>
          <w:b/>
        </w:rPr>
        <w:t xml:space="preserve">exit strategies</w:t>
      </w:r>
      <w:r>
        <w:t xml:space="preserve">.</w:t>
      </w:r>
    </w:p>
    <w:p>
      <w:pPr>
        <w:numPr>
          <w:ilvl w:val="0"/>
          <w:numId w:val="1902"/>
        </w:numPr>
        <w:pStyle w:val="Compact"/>
      </w:pPr>
      <w:r>
        <w:rPr>
          <w:bCs/>
          <w:b/>
        </w:rPr>
        <w:t xml:space="preserve">The Board or RMC reviews the records of all material outsourcing half-yearly; delegation goes only to the RMC</w:t>
      </w:r>
      <w:r>
        <w:t xml:space="preserve"> </w:t>
      </w:r>
      <w:r>
        <w:t xml:space="preserve">(12(1)(vii), 36).</w:t>
      </w:r>
    </w:p>
    <w:p>
      <w:pPr>
        <w:numPr>
          <w:ilvl w:val="0"/>
          <w:numId w:val="1902"/>
        </w:numPr>
        <w:pStyle w:val="Compact"/>
      </w:pPr>
      <w:r>
        <w:rPr>
          <w:bCs/>
          <w:b/>
        </w:rPr>
        <w:t xml:space="preserve">The ACB monitors internal audit of outsourced activities and the ageing of entries pending reconciliation with vendors</w:t>
      </w:r>
      <w:r>
        <w:t xml:space="preserve"> </w:t>
      </w:r>
      <w:r>
        <w:t xml:space="preserve">(12(2)).</w:t>
      </w:r>
    </w:p>
    <w:p>
      <w:pPr>
        <w:numPr>
          <w:ilvl w:val="0"/>
          <w:numId w:val="1902"/>
        </w:numPr>
        <w:pStyle w:val="Compact"/>
      </w:pPr>
      <w:r>
        <w:t xml:space="preserve">The Board ensures there is no conflict of interest and approves any ownership-bar exception (13(iv), 59).</w:t>
      </w:r>
    </w:p>
    <w:p>
      <w:pPr>
        <w:numPr>
          <w:ilvl w:val="0"/>
          <w:numId w:val="1902"/>
        </w:numPr>
        <w:pStyle w:val="Compact"/>
      </w:pPr>
      <w:r>
        <w:rPr>
          <w:bCs/>
          <w:b/>
        </w:rPr>
        <w:t xml:space="preserve">The IT function (64):</w:t>
      </w:r>
    </w:p>
    <w:p>
      <w:pPr>
        <w:numPr>
          <w:ilvl w:val="1"/>
          <w:numId w:val="1904"/>
        </w:numPr>
        <w:pStyle w:val="Compact"/>
      </w:pPr>
      <w:r>
        <w:t xml:space="preserve">keeps a</w:t>
      </w:r>
      <w:r>
        <w:t xml:space="preserve"> </w:t>
      </w:r>
      <w:r>
        <w:rPr>
          <w:bCs/>
          <w:b/>
        </w:rPr>
        <w:t xml:space="preserve">central database of all IT outsourcing arrangements</w:t>
      </w:r>
      <w:r>
        <w:t xml:space="preserve">, accessible to the Board, auditors and supervisors;</w:t>
      </w:r>
    </w:p>
    <w:p>
      <w:pPr>
        <w:numPr>
          <w:ilvl w:val="1"/>
          <w:numId w:val="1904"/>
        </w:numPr>
        <w:pStyle w:val="Compact"/>
      </w:pPr>
      <w:r>
        <w:t xml:space="preserve">monitors SLAs;</w:t>
      </w:r>
    </w:p>
    <w:p>
      <w:pPr>
        <w:numPr>
          <w:ilvl w:val="1"/>
          <w:numId w:val="1904"/>
        </w:numPr>
        <w:pStyle w:val="Compact"/>
      </w:pPr>
      <w:r>
        <w:t xml:space="preserve">documents KRIs and vendor risk classes.</w:t>
      </w:r>
    </w:p>
    <w:p>
      <w:pPr>
        <w:pStyle w:val="FirstParagraph"/>
      </w:pPr>
      <w:r>
        <w:rPr>
          <w:bCs/>
          <w:b/>
        </w:rPr>
        <w:t xml:space="preserve">Prohibitions and conditions:</w:t>
      </w:r>
    </w:p>
    <w:p>
      <w:pPr>
        <w:numPr>
          <w:ilvl w:val="0"/>
          <w:numId w:val="1905"/>
        </w:numPr>
        <w:pStyle w:val="Compact"/>
      </w:pPr>
      <w:r>
        <w:rPr>
          <w:bCs/>
          <w:b/>
        </w:rPr>
        <w:t xml:space="preserve">Never outsourced</w:t>
      </w:r>
      <w:r>
        <w:t xml:space="preserve"> </w:t>
      </w:r>
      <w:r>
        <w:t xml:space="preserve">(15):</w:t>
      </w:r>
    </w:p>
    <w:p>
      <w:pPr>
        <w:numPr>
          <w:ilvl w:val="1"/>
          <w:numId w:val="1906"/>
        </w:numPr>
        <w:pStyle w:val="Compact"/>
      </w:pPr>
      <w:r>
        <w:t xml:space="preserve">core management functions, including</w:t>
      </w:r>
      <w:r>
        <w:t xml:space="preserve"> </w:t>
      </w:r>
      <w:r>
        <w:rPr>
          <w:bCs/>
          <w:b/>
        </w:rPr>
        <w:t xml:space="preserve">internal audit</w:t>
      </w:r>
      <w:r>
        <w:t xml:space="preserve">;</w:t>
      </w:r>
    </w:p>
    <w:p>
      <w:pPr>
        <w:numPr>
          <w:ilvl w:val="1"/>
          <w:numId w:val="1906"/>
        </w:numPr>
        <w:pStyle w:val="Compact"/>
      </w:pPr>
      <w:r>
        <w:t xml:space="preserve">strategic and</w:t>
      </w:r>
      <w:r>
        <w:t xml:space="preserve"> </w:t>
      </w:r>
      <w:r>
        <w:rPr>
          <w:bCs/>
          <w:b/>
        </w:rPr>
        <w:t xml:space="preserve">compliance</w:t>
      </w:r>
      <w:r>
        <w:t xml:space="preserve"> </w:t>
      </w:r>
      <w:r>
        <w:t xml:space="preserve">functions;</w:t>
      </w:r>
    </w:p>
    <w:p>
      <w:pPr>
        <w:numPr>
          <w:ilvl w:val="1"/>
          <w:numId w:val="1906"/>
        </w:numPr>
        <w:pStyle w:val="Compact"/>
      </w:pPr>
      <w:r>
        <w:rPr>
          <w:bCs/>
          <w:b/>
        </w:rPr>
        <w:t xml:space="preserve">KYC-compliance decisions</w:t>
      </w:r>
      <w:r>
        <w:t xml:space="preserve">;</w:t>
      </w:r>
    </w:p>
    <w:p>
      <w:pPr>
        <w:numPr>
          <w:ilvl w:val="1"/>
          <w:numId w:val="1906"/>
        </w:numPr>
        <w:pStyle w:val="Compact"/>
      </w:pPr>
      <w:r>
        <w:rPr>
          <w:bCs/>
          <w:b/>
        </w:rPr>
        <w:t xml:space="preserve">loan sanction (including retail)</w:t>
      </w:r>
      <w:r>
        <w:t xml:space="preserve">;</w:t>
      </w:r>
    </w:p>
    <w:p>
      <w:pPr>
        <w:numPr>
          <w:ilvl w:val="1"/>
          <w:numId w:val="1906"/>
        </w:numPr>
        <w:pStyle w:val="Compact"/>
      </w:pPr>
      <w:r>
        <w:rPr>
          <w:bCs/>
          <w:b/>
        </w:rPr>
        <w:t xml:space="preserve">investment-portfolio management</w:t>
      </w:r>
      <w:r>
        <w:t xml:space="preserve">.</w:t>
      </w:r>
    </w:p>
    <w:p>
      <w:pPr>
        <w:numPr>
          <w:ilvl w:val="0"/>
          <w:numId w:val="1905"/>
        </w:numPr>
        <w:pStyle w:val="Compact"/>
      </w:pPr>
      <w:r>
        <w:t xml:space="preserve">These functions may be outsourced within a group under paras 45–51. Internal auditors may be on contract.</w:t>
      </w:r>
    </w:p>
    <w:p>
      <w:pPr>
        <w:numPr>
          <w:ilvl w:val="0"/>
          <w:numId w:val="1905"/>
        </w:numPr>
        <w:pStyle w:val="Compact"/>
      </w:pPr>
      <w:r>
        <w:t xml:space="preserve">No prior RBI approval is needed; RBI may inspect (16).</w:t>
      </w:r>
    </w:p>
    <w:p>
      <w:pPr>
        <w:numPr>
          <w:ilvl w:val="0"/>
          <w:numId w:val="1905"/>
        </w:numPr>
        <w:pStyle w:val="Compact"/>
      </w:pPr>
      <w:r>
        <w:t xml:space="preserve">The NBFC is responsible for</w:t>
      </w:r>
      <w:r>
        <w:t xml:space="preserve"> </w:t>
      </w:r>
      <w:r>
        <w:rPr>
          <w:bCs/>
          <w:b/>
        </w:rPr>
        <w:t xml:space="preserve">DSAs/DMAs and recovery agents</w:t>
      </w:r>
      <w:r>
        <w:t xml:space="preserve"> </w:t>
      </w:r>
      <w:r>
        <w:t xml:space="preserve">and for customer confidentiality (17).</w:t>
      </w:r>
    </w:p>
    <w:p>
      <w:pPr>
        <w:numPr>
          <w:ilvl w:val="0"/>
          <w:numId w:val="1905"/>
        </w:numPr>
        <w:pStyle w:val="Compact"/>
      </w:pPr>
      <w:r>
        <w:rPr>
          <w:bCs/>
          <w:b/>
        </w:rPr>
        <w:t xml:space="preserve">Ownership bar:</w:t>
      </w:r>
    </w:p>
    <w:p>
      <w:pPr>
        <w:numPr>
          <w:ilvl w:val="1"/>
          <w:numId w:val="1907"/>
        </w:numPr>
        <w:pStyle w:val="Compact"/>
      </w:pPr>
      <w:r>
        <w:t xml:space="preserve">a non-group provider may not be owned or controlled by a director or relative (18(vi));</w:t>
      </w:r>
    </w:p>
    <w:p>
      <w:pPr>
        <w:numPr>
          <w:ilvl w:val="1"/>
          <w:numId w:val="1907"/>
        </w:numPr>
        <w:pStyle w:val="Compact"/>
      </w:pPr>
      <w:r>
        <w:rPr>
          <w:bCs/>
          <w:b/>
        </w:rPr>
        <w:t xml:space="preserve">for IT, the bar extends to KMP, the arrangement approver and their relatives</w:t>
      </w:r>
      <w:r>
        <w:t xml:space="preserve">, unless the Board grants an exception with disclosure (59).</w:t>
      </w:r>
    </w:p>
    <w:p>
      <w:pPr>
        <w:numPr>
          <w:ilvl w:val="0"/>
          <w:numId w:val="1905"/>
        </w:numPr>
        <w:pStyle w:val="Compact"/>
      </w:pPr>
      <w:r>
        <w:t xml:space="preserve">The NBFC remains responsible for CTR/STR on provider-performed activities (19).</w:t>
      </w:r>
    </w:p>
    <w:p>
      <w:pPr>
        <w:pStyle w:val="FirstParagraph"/>
      </w:pPr>
      <w:r>
        <w:rPr>
          <w:bCs/>
          <w:b/>
        </w:rPr>
        <w:t xml:space="preserve">Risk and confidentiality:</w:t>
      </w:r>
    </w:p>
    <w:p>
      <w:pPr>
        <w:numPr>
          <w:ilvl w:val="0"/>
          <w:numId w:val="1908"/>
        </w:numPr>
        <w:pStyle w:val="Compact"/>
      </w:pPr>
      <w:r>
        <w:t xml:space="preserve">Ten key risks (22).</w:t>
      </w:r>
    </w:p>
    <w:p>
      <w:pPr>
        <w:numPr>
          <w:ilvl w:val="0"/>
          <w:numId w:val="1908"/>
        </w:numPr>
        <w:pStyle w:val="Compact"/>
      </w:pPr>
      <w:r>
        <w:t xml:space="preserve">Need-to-know access (24, 69(i)).</w:t>
      </w:r>
    </w:p>
    <w:p>
      <w:pPr>
        <w:numPr>
          <w:ilvl w:val="0"/>
          <w:numId w:val="1908"/>
        </w:numPr>
        <w:pStyle w:val="Compact"/>
      </w:pPr>
      <w:r>
        <w:t xml:space="preserve">Security review and breach disclosure (25).</w:t>
      </w:r>
    </w:p>
    <w:p>
      <w:pPr>
        <w:numPr>
          <w:ilvl w:val="0"/>
          <w:numId w:val="1908"/>
        </w:numPr>
        <w:pStyle w:val="Compact"/>
      </w:pPr>
      <w:r>
        <w:t xml:space="preserve">No commingling of data (26).</w:t>
      </w:r>
    </w:p>
    <w:p>
      <w:pPr>
        <w:numPr>
          <w:ilvl w:val="0"/>
          <w:numId w:val="1908"/>
        </w:numPr>
        <w:pStyle w:val="Compact"/>
      </w:pPr>
      <w:r>
        <w:t xml:space="preserve">The provider can isolate the NBFC’s data (27).</w:t>
      </w:r>
    </w:p>
    <w:p>
      <w:pPr>
        <w:numPr>
          <w:ilvl w:val="0"/>
          <w:numId w:val="1908"/>
        </w:numPr>
        <w:pStyle w:val="Compact"/>
      </w:pPr>
      <w:r>
        <w:rPr>
          <w:bCs/>
          <w:b/>
        </w:rPr>
        <w:t xml:space="preserve">Immediate notice to RBI of any breach or leakage of customer data; the NBFC is liable to customers</w:t>
      </w:r>
      <w:r>
        <w:t xml:space="preserve"> </w:t>
      </w:r>
      <w:r>
        <w:t xml:space="preserve">(28, 69(iii)).</w:t>
      </w:r>
    </w:p>
    <w:p>
      <w:pPr>
        <w:numPr>
          <w:ilvl w:val="0"/>
          <w:numId w:val="1908"/>
        </w:numPr>
        <w:pStyle w:val="Compact"/>
      </w:pPr>
      <w:r>
        <w:rPr>
          <w:bCs/>
          <w:b/>
        </w:rPr>
        <w:t xml:space="preserve">The provider reports cyber incidents to the NBFC without undue delay, so that RBI is notified within 6 hours of detection</w:t>
      </w:r>
      <w:r>
        <w:rPr>
          <w:bCs/>
          <w:b/>
        </w:rPr>
        <w:t xml:space="preserve"> </w:t>
      </w:r>
      <w:r>
        <w:rPr>
          <w:iCs/>
          <w:i/>
          <w:bCs/>
          <w:b/>
        </w:rPr>
        <w:t xml:space="preserve">by the service provider</w:t>
      </w:r>
      <w:r>
        <w:t xml:space="preserve"> </w:t>
      </w:r>
      <w:r>
        <w:t xml:space="preserve">(61).</w:t>
      </w:r>
    </w:p>
    <w:p>
      <w:pPr>
        <w:numPr>
          <w:ilvl w:val="0"/>
          <w:numId w:val="1908"/>
        </w:numPr>
        <w:pStyle w:val="Compact"/>
      </w:pPr>
      <w:r>
        <w:t xml:space="preserve">In a multi-tenant architecture, clear separation and isolation of data suffice (70).</w:t>
      </w:r>
    </w:p>
    <w:p>
      <w:pPr>
        <w:numPr>
          <w:ilvl w:val="0"/>
          <w:numId w:val="1908"/>
        </w:numPr>
        <w:pStyle w:val="Compact"/>
      </w:pPr>
      <w:r>
        <w:t xml:space="preserve">Concentration risk across providers (67).</w:t>
      </w:r>
    </w:p>
    <w:p>
      <w:pPr>
        <w:pStyle w:val="FirstParagraph"/>
      </w:pPr>
      <w:r>
        <w:rPr>
          <w:bCs/>
          <w:b/>
        </w:rPr>
        <w:t xml:space="preserve">Due diligence:</w:t>
      </w:r>
    </w:p>
    <w:p>
      <w:pPr>
        <w:numPr>
          <w:ilvl w:val="0"/>
          <w:numId w:val="1909"/>
        </w:numPr>
        <w:pStyle w:val="Compact"/>
      </w:pPr>
      <w:r>
        <w:t xml:space="preserve">At selection and at renewal, on the heads in 30(i)–(viii) (29–30).</w:t>
      </w:r>
    </w:p>
    <w:p>
      <w:pPr>
        <w:numPr>
          <w:ilvl w:val="0"/>
          <w:numId w:val="1909"/>
        </w:numPr>
        <w:pStyle w:val="Compact"/>
      </w:pPr>
      <w:r>
        <w:t xml:space="preserve">Independent reviews (31); system compatibility (32).</w:t>
      </w:r>
    </w:p>
    <w:p>
      <w:pPr>
        <w:numPr>
          <w:ilvl w:val="0"/>
          <w:numId w:val="1909"/>
        </w:numPr>
        <w:pStyle w:val="Compact"/>
      </w:pPr>
      <w:r>
        <w:t xml:space="preserve">IT additions (71): technology and DR, conflicts, data segregation, regulatory capability, cyber risk assessment, data access and enforceability. Risk-based approach (72).</w:t>
      </w:r>
    </w:p>
    <w:p>
      <w:pPr>
        <w:numPr>
          <w:ilvl w:val="0"/>
          <w:numId w:val="1909"/>
        </w:numPr>
        <w:pStyle w:val="Compact"/>
      </w:pPr>
      <w:r>
        <w:t xml:space="preserve">Re-review:</w:t>
      </w:r>
    </w:p>
    <w:p>
      <w:pPr>
        <w:numPr>
          <w:ilvl w:val="1"/>
          <w:numId w:val="1910"/>
        </w:numPr>
        <w:pStyle w:val="Compact"/>
      </w:pPr>
      <w:r>
        <w:rPr>
          <w:bCs/>
          <w:b/>
        </w:rPr>
        <w:t xml:space="preserve">annually</w:t>
      </w:r>
      <w:r>
        <w:t xml:space="preserve"> </w:t>
      </w:r>
      <w:r>
        <w:t xml:space="preserve">for financial services (38);</w:t>
      </w:r>
    </w:p>
    <w:p>
      <w:pPr>
        <w:numPr>
          <w:ilvl w:val="1"/>
          <w:numId w:val="1910"/>
        </w:numPr>
        <w:pStyle w:val="Compact"/>
      </w:pPr>
      <w:r>
        <w:t xml:space="preserve">risk-based for IT (80).</w:t>
      </w:r>
    </w:p>
    <w:p>
      <w:pPr>
        <w:pStyle w:val="FirstParagraph"/>
      </w:pPr>
      <w:r>
        <w:rPr>
          <w:bCs/>
          <w:b/>
        </w:rPr>
        <w:t xml:space="preserve">Agreement:</w:t>
      </w:r>
      <w:r>
        <w:t xml:space="preserve"> </w:t>
      </w:r>
      <w:r>
        <w:t xml:space="preserve">written, vetted by counsel, and stating the legal relationship (33, 73).</w:t>
      </w:r>
    </w:p>
    <w:p>
      <w:pPr>
        <w:pStyle w:val="BodyText"/>
      </w:pPr>
      <w:r>
        <w:rPr>
          <w:bCs/>
          <w:b/>
        </w:rPr>
        <w:t xml:space="preserve">Para 34 clauses (all arrangements):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048"/>
        <w:gridCol w:w="6590"/>
      </w:tblGrid>
      <w:tr>
        <w:trPr>
          <w:tblHeader w:val="true"/>
          <w:tblHeader w:val="true"/>
        </w:trPr>
        <w:tc>
          <w:tcPr>
            <w:tcW w:w="3048" w:type="dxa"/>
            <w:shd w:val="clear" w:color="auto" w:fill="1F3A5F"/>
          </w:tcPr>
          <w:p>
            <w:pPr>
              <w:pStyle w:val="Compact"/>
              <w:spacing w:after="40"/>
              <w:jc w:val="left"/>
            </w:pPr>
            <w:r>
              <w:rPr>
                <w:b/>
                <w:color w:val="FFFFFF"/>
                <w:sz w:val="18"/>
              </w:rPr>
              <w:t xml:space="preserve">Clause</w:t>
            </w:r>
          </w:p>
        </w:tc>
        <w:tc>
          <w:tcPr>
            <w:tcW w:w="6590" w:type="dxa"/>
            <w:shd w:val="clear" w:color="auto" w:fill="1F3A5F"/>
          </w:tcPr>
          <w:p>
            <w:pPr>
              <w:pStyle w:val="Compact"/>
              <w:spacing w:after="40"/>
              <w:jc w:val="left"/>
            </w:pPr>
            <w:r>
              <w:rPr>
                <w:b/>
                <w:color w:val="FFFFFF"/>
                <w:sz w:val="18"/>
              </w:rPr>
              <w:t xml:space="preserve">Requirement</w:t>
            </w:r>
          </w:p>
        </w:tc>
      </w:tr>
      <w:tr>
        <w:tc>
          <w:tcPr>
            <w:tcW w:w="3048" w:type="dxa"/>
          </w:tcPr>
          <w:p>
            <w:pPr>
              <w:pStyle w:val="Compact"/>
              <w:spacing w:after="40"/>
              <w:jc w:val="left"/>
            </w:pPr>
            <w:r>
              <w:rPr>
                <w:sz w:val="18"/>
              </w:rPr>
              <w:t xml:space="preserve">34(i)</w:t>
            </w:r>
          </w:p>
        </w:tc>
        <w:tc>
          <w:tcPr>
            <w:tcW w:w="6590" w:type="dxa"/>
          </w:tcPr>
          <w:p>
            <w:pPr>
              <w:pStyle w:val="Compact"/>
              <w:spacing w:after="40"/>
              <w:jc w:val="left"/>
            </w:pPr>
            <w:r>
              <w:rPr>
                <w:sz w:val="18"/>
              </w:rPr>
              <w:t xml:space="preserve">Activity and service standards</w:t>
            </w:r>
          </w:p>
        </w:tc>
      </w:tr>
      <w:tr>
        <w:tc>
          <w:tcPr>
            <w:tcW w:w="3048" w:type="dxa"/>
          </w:tcPr>
          <w:p>
            <w:pPr>
              <w:pStyle w:val="Compact"/>
              <w:spacing w:after="40"/>
              <w:jc w:val="left"/>
            </w:pPr>
            <w:r>
              <w:rPr>
                <w:sz w:val="18"/>
              </w:rPr>
              <w:t xml:space="preserve">34(ii)</w:t>
            </w:r>
          </w:p>
        </w:tc>
        <w:tc>
          <w:tcPr>
            <w:tcW w:w="6590" w:type="dxa"/>
          </w:tcPr>
          <w:p>
            <w:pPr>
              <w:pStyle w:val="Compact"/>
              <w:spacing w:after="40"/>
              <w:jc w:val="left"/>
            </w:pPr>
            <w:r>
              <w:rPr>
                <w:sz w:val="18"/>
              </w:rPr>
              <w:t xml:space="preserve">Access to books and records</w:t>
            </w:r>
          </w:p>
        </w:tc>
      </w:tr>
      <w:tr>
        <w:tc>
          <w:tcPr>
            <w:tcW w:w="3048" w:type="dxa"/>
          </w:tcPr>
          <w:p>
            <w:pPr>
              <w:pStyle w:val="Compact"/>
              <w:spacing w:after="40"/>
              <w:jc w:val="left"/>
            </w:pPr>
            <w:r>
              <w:rPr>
                <w:sz w:val="18"/>
              </w:rPr>
              <w:t xml:space="preserve">34(iii)</w:t>
            </w:r>
          </w:p>
        </w:tc>
        <w:tc>
          <w:tcPr>
            <w:tcW w:w="6590" w:type="dxa"/>
          </w:tcPr>
          <w:p>
            <w:pPr>
              <w:pStyle w:val="Compact"/>
              <w:spacing w:after="40"/>
              <w:jc w:val="left"/>
            </w:pPr>
            <w:r>
              <w:rPr>
                <w:sz w:val="18"/>
              </w:rPr>
              <w:t xml:space="preserve">Continuous monitoring</w:t>
            </w:r>
          </w:p>
        </w:tc>
      </w:tr>
      <w:tr>
        <w:tc>
          <w:tcPr>
            <w:tcW w:w="3048" w:type="dxa"/>
          </w:tcPr>
          <w:p>
            <w:pPr>
              <w:pStyle w:val="Compact"/>
              <w:spacing w:after="40"/>
              <w:jc w:val="left"/>
            </w:pPr>
            <w:r>
              <w:rPr>
                <w:sz w:val="18"/>
              </w:rPr>
              <w:t xml:space="preserve">34(iv)</w:t>
            </w:r>
          </w:p>
        </w:tc>
        <w:tc>
          <w:tcPr>
            <w:tcW w:w="6590" w:type="dxa"/>
          </w:tcPr>
          <w:p>
            <w:pPr>
              <w:pStyle w:val="Compact"/>
              <w:spacing w:after="40"/>
              <w:jc w:val="left"/>
            </w:pPr>
            <w:r>
              <w:rPr>
                <w:bCs/>
                <w:b/>
                <w:sz w:val="18"/>
              </w:rPr>
              <w:t xml:space="preserve">Prior consent for subcontractors</w:t>
            </w:r>
          </w:p>
        </w:tc>
      </w:tr>
      <w:tr>
        <w:tc>
          <w:tcPr>
            <w:tcW w:w="3048" w:type="dxa"/>
          </w:tcPr>
          <w:p>
            <w:pPr>
              <w:pStyle w:val="Compact"/>
              <w:spacing w:after="40"/>
              <w:jc w:val="left"/>
            </w:pPr>
            <w:r>
              <w:rPr>
                <w:sz w:val="18"/>
              </w:rPr>
              <w:t xml:space="preserve">34(v)</w:t>
            </w:r>
          </w:p>
        </w:tc>
        <w:tc>
          <w:tcPr>
            <w:tcW w:w="6590" w:type="dxa"/>
          </w:tcPr>
          <w:p>
            <w:pPr>
              <w:pStyle w:val="Compact"/>
              <w:spacing w:after="40"/>
              <w:jc w:val="left"/>
            </w:pPr>
            <w:r>
              <w:rPr>
                <w:sz w:val="18"/>
              </w:rPr>
              <w:t xml:space="preserve">Confidentiality, and provider liability for breaches</w:t>
            </w:r>
          </w:p>
        </w:tc>
      </w:tr>
      <w:tr>
        <w:tc>
          <w:tcPr>
            <w:tcW w:w="3048" w:type="dxa"/>
          </w:tcPr>
          <w:p>
            <w:pPr>
              <w:pStyle w:val="Compact"/>
              <w:spacing w:after="40"/>
              <w:jc w:val="left"/>
            </w:pPr>
            <w:r>
              <w:rPr>
                <w:sz w:val="18"/>
              </w:rPr>
              <w:t xml:space="preserve">34(vi)</w:t>
            </w:r>
          </w:p>
        </w:tc>
        <w:tc>
          <w:tcPr>
            <w:tcW w:w="6590" w:type="dxa"/>
          </w:tcPr>
          <w:p>
            <w:pPr>
              <w:pStyle w:val="Compact"/>
              <w:spacing w:after="40"/>
              <w:jc w:val="left"/>
            </w:pPr>
            <w:r>
              <w:rPr>
                <w:sz w:val="18"/>
              </w:rPr>
              <w:t xml:space="preserve">Contingency plans</w:t>
            </w:r>
          </w:p>
        </w:tc>
      </w:tr>
      <w:tr>
        <w:tc>
          <w:tcPr>
            <w:tcW w:w="3048" w:type="dxa"/>
          </w:tcPr>
          <w:p>
            <w:pPr>
              <w:pStyle w:val="Compact"/>
              <w:spacing w:after="40"/>
              <w:jc w:val="left"/>
            </w:pPr>
            <w:r>
              <w:rPr>
                <w:sz w:val="18"/>
              </w:rPr>
              <w:t xml:space="preserve">34(vii)</w:t>
            </w:r>
          </w:p>
        </w:tc>
        <w:tc>
          <w:tcPr>
            <w:tcW w:w="6590" w:type="dxa"/>
          </w:tcPr>
          <w:p>
            <w:pPr>
              <w:pStyle w:val="Compact"/>
              <w:spacing w:after="40"/>
              <w:jc w:val="left"/>
            </w:pPr>
            <w:r>
              <w:rPr>
                <w:sz w:val="18"/>
              </w:rPr>
              <w:t xml:space="preserve">Audit rights and copies of audit reports</w:t>
            </w:r>
          </w:p>
        </w:tc>
      </w:tr>
      <w:tr>
        <w:tc>
          <w:tcPr>
            <w:tcW w:w="3048" w:type="dxa"/>
          </w:tcPr>
          <w:p>
            <w:pPr>
              <w:pStyle w:val="Compact"/>
              <w:spacing w:after="40"/>
              <w:jc w:val="left"/>
            </w:pPr>
            <w:r>
              <w:rPr>
                <w:sz w:val="18"/>
              </w:rPr>
              <w:t xml:space="preserve">34(viii)</w:t>
            </w:r>
          </w:p>
        </w:tc>
        <w:tc>
          <w:tcPr>
            <w:tcW w:w="6590" w:type="dxa"/>
          </w:tcPr>
          <w:p>
            <w:pPr>
              <w:pStyle w:val="Compact"/>
              <w:spacing w:after="40"/>
              <w:jc w:val="left"/>
            </w:pPr>
            <w:r>
              <w:rPr>
                <w:sz w:val="18"/>
              </w:rPr>
              <w:t xml:space="preserve">RBI access to records</w:t>
            </w:r>
          </w:p>
        </w:tc>
      </w:tr>
      <w:tr>
        <w:tc>
          <w:tcPr>
            <w:tcW w:w="3048" w:type="dxa"/>
          </w:tcPr>
          <w:p>
            <w:pPr>
              <w:pStyle w:val="Compact"/>
              <w:spacing w:after="40"/>
              <w:jc w:val="left"/>
            </w:pPr>
            <w:r>
              <w:rPr>
                <w:sz w:val="18"/>
              </w:rPr>
              <w:t xml:space="preserve">34(ix)</w:t>
            </w:r>
          </w:p>
        </w:tc>
        <w:tc>
          <w:tcPr>
            <w:tcW w:w="6590" w:type="dxa"/>
          </w:tcPr>
          <w:p>
            <w:pPr>
              <w:pStyle w:val="Compact"/>
              <w:spacing w:after="40"/>
              <w:jc w:val="left"/>
            </w:pPr>
            <w:r>
              <w:rPr>
                <w:sz w:val="18"/>
              </w:rPr>
              <w:t xml:space="preserve">RBI inspection of the provider</w:t>
            </w:r>
          </w:p>
        </w:tc>
      </w:tr>
      <w:tr>
        <w:tc>
          <w:tcPr>
            <w:tcW w:w="3048" w:type="dxa"/>
          </w:tcPr>
          <w:p>
            <w:pPr>
              <w:pStyle w:val="Compact"/>
              <w:spacing w:after="40"/>
              <w:jc w:val="left"/>
            </w:pPr>
            <w:r>
              <w:rPr>
                <w:sz w:val="18"/>
              </w:rPr>
              <w:t xml:space="preserve">34(x)</w:t>
            </w:r>
          </w:p>
        </w:tc>
        <w:tc>
          <w:tcPr>
            <w:tcW w:w="6590" w:type="dxa"/>
          </w:tcPr>
          <w:p>
            <w:pPr>
              <w:pStyle w:val="Compact"/>
              <w:spacing w:after="40"/>
              <w:jc w:val="left"/>
            </w:pPr>
            <w:r>
              <w:rPr>
                <w:sz w:val="18"/>
              </w:rPr>
              <w:t xml:space="preserve">Termination clause and notice period</w:t>
            </w:r>
          </w:p>
        </w:tc>
      </w:tr>
      <w:tr>
        <w:tc>
          <w:tcPr>
            <w:tcW w:w="3048" w:type="dxa"/>
          </w:tcPr>
          <w:p>
            <w:pPr>
              <w:pStyle w:val="Compact"/>
              <w:spacing w:after="40"/>
              <w:jc w:val="left"/>
            </w:pPr>
            <w:r>
              <w:rPr>
                <w:sz w:val="18"/>
              </w:rPr>
              <w:t xml:space="preserve">34(xi)</w:t>
            </w:r>
          </w:p>
        </w:tc>
        <w:tc>
          <w:tcPr>
            <w:tcW w:w="6590" w:type="dxa"/>
          </w:tcPr>
          <w:p>
            <w:pPr>
              <w:pStyle w:val="Compact"/>
              <w:spacing w:after="40"/>
              <w:jc w:val="left"/>
            </w:pPr>
            <w:r>
              <w:rPr>
                <w:sz w:val="18"/>
              </w:rPr>
              <w:t xml:space="preserve">Confidentiality survives termination</w:t>
            </w:r>
          </w:p>
        </w:tc>
      </w:tr>
      <w:tr>
        <w:tc>
          <w:tcPr>
            <w:tcW w:w="3048" w:type="dxa"/>
          </w:tcPr>
          <w:p>
            <w:pPr>
              <w:pStyle w:val="Compact"/>
              <w:spacing w:after="40"/>
              <w:jc w:val="left"/>
            </w:pPr>
            <w:r>
              <w:rPr>
                <w:sz w:val="18"/>
              </w:rPr>
              <w:t xml:space="preserve">34(xii)</w:t>
            </w:r>
          </w:p>
        </w:tc>
        <w:tc>
          <w:tcPr>
            <w:tcW w:w="6590" w:type="dxa"/>
          </w:tcPr>
          <w:p>
            <w:pPr>
              <w:pStyle w:val="Compact"/>
              <w:spacing w:after="40"/>
              <w:jc w:val="left"/>
            </w:pPr>
            <w:r>
              <w:rPr>
                <w:sz w:val="18"/>
              </w:rPr>
              <w:t xml:space="preserve">Preservation of documents, including after termination</w:t>
            </w:r>
          </w:p>
        </w:tc>
      </w:tr>
    </w:tbl>
    <w:p>
      <w:pPr>
        <w:pStyle w:val="BodyText"/>
      </w:pPr>
      <w:r>
        <w:rPr>
          <w:bCs/>
          <w:b/>
        </w:rPr>
        <w:t xml:space="preserve">Para 74 clauses (IT; added to 34(i)–(vii)):</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22"/>
        <w:gridCol w:w="7116"/>
      </w:tblGrid>
      <w:tr>
        <w:trPr>
          <w:tblHeader w:val="true"/>
          <w:tblHeader w:val="true"/>
        </w:trPr>
        <w:tc>
          <w:tcPr>
            <w:tcW w:w="2522" w:type="dxa"/>
            <w:shd w:val="clear" w:color="auto" w:fill="1F3A5F"/>
          </w:tcPr>
          <w:p>
            <w:pPr>
              <w:pStyle w:val="Compact"/>
              <w:spacing w:after="40"/>
              <w:jc w:val="left"/>
            </w:pPr>
            <w:r>
              <w:rPr>
                <w:b/>
                <w:color w:val="FFFFFF"/>
                <w:sz w:val="18"/>
              </w:rPr>
              <w:t xml:space="preserve">Clause</w:t>
            </w:r>
          </w:p>
        </w:tc>
        <w:tc>
          <w:tcPr>
            <w:tcW w:w="7116" w:type="dxa"/>
            <w:shd w:val="clear" w:color="auto" w:fill="1F3A5F"/>
          </w:tcPr>
          <w:p>
            <w:pPr>
              <w:pStyle w:val="Compact"/>
              <w:spacing w:after="40"/>
              <w:jc w:val="left"/>
            </w:pPr>
            <w:r>
              <w:rPr>
                <w:b/>
                <w:color w:val="FFFFFF"/>
                <w:sz w:val="18"/>
              </w:rPr>
              <w:t xml:space="preserve">Requirement</w:t>
            </w:r>
          </w:p>
        </w:tc>
      </w:tr>
      <w:tr>
        <w:tc>
          <w:tcPr>
            <w:tcW w:w="2522" w:type="dxa"/>
          </w:tcPr>
          <w:p>
            <w:pPr>
              <w:pStyle w:val="Compact"/>
              <w:spacing w:after="40"/>
              <w:jc w:val="left"/>
            </w:pPr>
            <w:r>
              <w:rPr>
                <w:sz w:val="18"/>
              </w:rPr>
              <w:t xml:space="preserve">74(i)</w:t>
            </w:r>
          </w:p>
        </w:tc>
        <w:tc>
          <w:tcPr>
            <w:tcW w:w="7116" w:type="dxa"/>
          </w:tcPr>
          <w:p>
            <w:pPr>
              <w:pStyle w:val="Compact"/>
              <w:spacing w:after="40"/>
              <w:jc w:val="left"/>
            </w:pPr>
            <w:r>
              <w:rPr>
                <w:sz w:val="18"/>
              </w:rPr>
              <w:t xml:space="preserve">Subcontractors’ service standards and audit</w:t>
            </w:r>
          </w:p>
        </w:tc>
      </w:tr>
      <w:tr>
        <w:tc>
          <w:tcPr>
            <w:tcW w:w="2522" w:type="dxa"/>
          </w:tcPr>
          <w:p>
            <w:pPr>
              <w:pStyle w:val="Compact"/>
              <w:spacing w:after="40"/>
              <w:jc w:val="left"/>
            </w:pPr>
            <w:r>
              <w:rPr>
                <w:sz w:val="18"/>
              </w:rPr>
              <w:t xml:space="preserve">74(ii)</w:t>
            </w:r>
          </w:p>
        </w:tc>
        <w:tc>
          <w:tcPr>
            <w:tcW w:w="7116" w:type="dxa"/>
          </w:tcPr>
          <w:p>
            <w:pPr>
              <w:pStyle w:val="Compact"/>
              <w:spacing w:after="40"/>
              <w:jc w:val="left"/>
            </w:pPr>
            <w:r>
              <w:rPr>
                <w:sz w:val="18"/>
              </w:rPr>
              <w:t xml:space="preserve">Access to data, logs, alerts and premises</w:t>
            </w:r>
          </w:p>
        </w:tc>
      </w:tr>
      <w:tr>
        <w:tc>
          <w:tcPr>
            <w:tcW w:w="2522" w:type="dxa"/>
          </w:tcPr>
          <w:p>
            <w:pPr>
              <w:pStyle w:val="Compact"/>
              <w:spacing w:after="40"/>
              <w:jc w:val="left"/>
            </w:pPr>
            <w:r>
              <w:rPr>
                <w:sz w:val="18"/>
              </w:rPr>
              <w:t xml:space="preserve">74(iii)</w:t>
            </w:r>
          </w:p>
        </w:tc>
        <w:tc>
          <w:tcPr>
            <w:tcW w:w="7116" w:type="dxa"/>
          </w:tcPr>
          <w:p>
            <w:pPr>
              <w:pStyle w:val="Compact"/>
              <w:spacing w:after="40"/>
              <w:jc w:val="left"/>
            </w:pPr>
            <w:r>
              <w:rPr>
                <w:sz w:val="18"/>
              </w:rPr>
              <w:t xml:space="preserve">Material adverse events to be reported</w:t>
            </w:r>
          </w:p>
        </w:tc>
      </w:tr>
      <w:tr>
        <w:tc>
          <w:tcPr>
            <w:tcW w:w="2522" w:type="dxa"/>
          </w:tcPr>
          <w:p>
            <w:pPr>
              <w:pStyle w:val="Compact"/>
              <w:spacing w:after="40"/>
              <w:jc w:val="left"/>
            </w:pPr>
            <w:r>
              <w:rPr>
                <w:sz w:val="18"/>
              </w:rPr>
              <w:t xml:space="preserve">74(iv)</w:t>
            </w:r>
          </w:p>
        </w:tc>
        <w:tc>
          <w:tcPr>
            <w:tcW w:w="7116" w:type="dxa"/>
          </w:tcPr>
          <w:p>
            <w:pPr>
              <w:pStyle w:val="Compact"/>
              <w:spacing w:after="40"/>
              <w:jc w:val="left"/>
            </w:pPr>
            <w:r>
              <w:rPr>
                <w:sz w:val="18"/>
              </w:rPr>
              <w:t xml:space="preserve">IT Act compliance</w:t>
            </w:r>
          </w:p>
        </w:tc>
      </w:tr>
      <w:tr>
        <w:tc>
          <w:tcPr>
            <w:tcW w:w="2522" w:type="dxa"/>
          </w:tcPr>
          <w:p>
            <w:pPr>
              <w:pStyle w:val="Compact"/>
              <w:spacing w:after="40"/>
              <w:jc w:val="left"/>
            </w:pPr>
            <w:r>
              <w:rPr>
                <w:sz w:val="18"/>
              </w:rPr>
              <w:t xml:space="preserve">74(v)</w:t>
            </w:r>
          </w:p>
        </w:tc>
        <w:tc>
          <w:tcPr>
            <w:tcW w:w="7116" w:type="dxa"/>
          </w:tcPr>
          <w:p>
            <w:pPr>
              <w:pStyle w:val="Compact"/>
              <w:spacing w:after="40"/>
              <w:jc w:val="left"/>
            </w:pPr>
            <w:r>
              <w:rPr>
                <w:sz w:val="18"/>
              </w:rPr>
              <w:t xml:space="preserve">SLAs</w:t>
            </w:r>
          </w:p>
        </w:tc>
      </w:tr>
      <w:tr>
        <w:tc>
          <w:tcPr>
            <w:tcW w:w="2522" w:type="dxa"/>
          </w:tcPr>
          <w:p>
            <w:pPr>
              <w:pStyle w:val="Compact"/>
              <w:spacing w:after="40"/>
              <w:jc w:val="left"/>
            </w:pPr>
            <w:r>
              <w:rPr>
                <w:sz w:val="18"/>
              </w:rPr>
              <w:t xml:space="preserve">74(vi)</w:t>
            </w:r>
          </w:p>
        </w:tc>
        <w:tc>
          <w:tcPr>
            <w:tcW w:w="7116" w:type="dxa"/>
          </w:tcPr>
          <w:p>
            <w:pPr>
              <w:pStyle w:val="Compact"/>
              <w:spacing w:after="40"/>
              <w:jc w:val="left"/>
            </w:pPr>
            <w:r>
              <w:rPr>
                <w:bCs/>
                <w:b/>
                <w:sz w:val="18"/>
              </w:rPr>
              <w:t xml:space="preserve">India-only data storage, as applicable</w:t>
            </w:r>
          </w:p>
        </w:tc>
      </w:tr>
      <w:tr>
        <w:tc>
          <w:tcPr>
            <w:tcW w:w="2522" w:type="dxa"/>
          </w:tcPr>
          <w:p>
            <w:pPr>
              <w:pStyle w:val="Compact"/>
              <w:spacing w:after="40"/>
              <w:jc w:val="left"/>
            </w:pPr>
            <w:r>
              <w:rPr>
                <w:sz w:val="18"/>
              </w:rPr>
              <w:t xml:space="preserve">74(vii)</w:t>
            </w:r>
          </w:p>
        </w:tc>
        <w:tc>
          <w:tcPr>
            <w:tcW w:w="7116" w:type="dxa"/>
          </w:tcPr>
          <w:p>
            <w:pPr>
              <w:pStyle w:val="Compact"/>
              <w:spacing w:after="40"/>
              <w:jc w:val="left"/>
            </w:pPr>
            <w:r>
              <w:rPr>
                <w:sz w:val="18"/>
              </w:rPr>
              <w:t xml:space="preserve">Details of data captured, processed and stored</w:t>
            </w:r>
          </w:p>
        </w:tc>
      </w:tr>
      <w:tr>
        <w:tc>
          <w:tcPr>
            <w:tcW w:w="2522" w:type="dxa"/>
          </w:tcPr>
          <w:p>
            <w:pPr>
              <w:pStyle w:val="Compact"/>
              <w:spacing w:after="40"/>
              <w:jc w:val="left"/>
            </w:pPr>
            <w:r>
              <w:rPr>
                <w:sz w:val="18"/>
              </w:rPr>
              <w:t xml:space="preserve">74(viii)</w:t>
            </w:r>
          </w:p>
        </w:tc>
        <w:tc>
          <w:tcPr>
            <w:tcW w:w="7116" w:type="dxa"/>
          </w:tcPr>
          <w:p>
            <w:pPr>
              <w:pStyle w:val="Compact"/>
              <w:spacing w:after="40"/>
              <w:jc w:val="left"/>
            </w:pPr>
            <w:r>
              <w:rPr>
                <w:sz w:val="18"/>
              </w:rPr>
              <w:t xml:space="preserve">Data the vendor may share</w:t>
            </w:r>
          </w:p>
        </w:tc>
      </w:tr>
      <w:tr>
        <w:tc>
          <w:tcPr>
            <w:tcW w:w="2522" w:type="dxa"/>
          </w:tcPr>
          <w:p>
            <w:pPr>
              <w:pStyle w:val="Compact"/>
              <w:spacing w:after="40"/>
              <w:jc w:val="left"/>
            </w:pPr>
            <w:r>
              <w:rPr>
                <w:sz w:val="18"/>
              </w:rPr>
              <w:t xml:space="preserve">74(ix)</w:t>
            </w:r>
          </w:p>
        </w:tc>
        <w:tc>
          <w:tcPr>
            <w:tcW w:w="7116" w:type="dxa"/>
          </w:tcPr>
          <w:p>
            <w:pPr>
              <w:pStyle w:val="Compact"/>
              <w:spacing w:after="40"/>
              <w:jc w:val="left"/>
            </w:pPr>
            <w:r>
              <w:rPr>
                <w:sz w:val="18"/>
              </w:rPr>
              <w:t xml:space="preserve">Resolution, defaults, indemnities and remedies</w:t>
            </w:r>
          </w:p>
        </w:tc>
      </w:tr>
      <w:tr>
        <w:tc>
          <w:tcPr>
            <w:tcW w:w="2522" w:type="dxa"/>
          </w:tcPr>
          <w:p>
            <w:pPr>
              <w:pStyle w:val="Compact"/>
              <w:spacing w:after="40"/>
              <w:jc w:val="left"/>
            </w:pPr>
            <w:r>
              <w:rPr>
                <w:sz w:val="18"/>
              </w:rPr>
              <w:t xml:space="preserve">74(x)</w:t>
            </w:r>
          </w:p>
        </w:tc>
        <w:tc>
          <w:tcPr>
            <w:tcW w:w="7116" w:type="dxa"/>
          </w:tcPr>
          <w:p>
            <w:pPr>
              <w:pStyle w:val="Compact"/>
              <w:spacing w:after="40"/>
              <w:jc w:val="left"/>
            </w:pPr>
            <w:r>
              <w:rPr>
                <w:sz w:val="18"/>
              </w:rPr>
              <w:t xml:space="preserve">Contingency testing</w:t>
            </w:r>
          </w:p>
        </w:tc>
      </w:tr>
      <w:tr>
        <w:tc>
          <w:tcPr>
            <w:tcW w:w="2522" w:type="dxa"/>
          </w:tcPr>
          <w:p>
            <w:pPr>
              <w:pStyle w:val="Compact"/>
              <w:spacing w:after="40"/>
              <w:jc w:val="left"/>
            </w:pPr>
            <w:r>
              <w:rPr>
                <w:sz w:val="18"/>
              </w:rPr>
              <w:t xml:space="preserve">74(xi)</w:t>
            </w:r>
          </w:p>
        </w:tc>
        <w:tc>
          <w:tcPr>
            <w:tcW w:w="7116" w:type="dxa"/>
          </w:tcPr>
          <w:p>
            <w:pPr>
              <w:pStyle w:val="Compact"/>
              <w:spacing w:after="40"/>
              <w:jc w:val="left"/>
            </w:pPr>
            <w:r>
              <w:rPr>
                <w:sz w:val="18"/>
              </w:rPr>
              <w:t xml:space="preserve">Supply-chain information</w:t>
            </w:r>
          </w:p>
        </w:tc>
      </w:tr>
      <w:tr>
        <w:tc>
          <w:tcPr>
            <w:tcW w:w="2522" w:type="dxa"/>
          </w:tcPr>
          <w:p>
            <w:pPr>
              <w:pStyle w:val="Compact"/>
              <w:spacing w:after="40"/>
              <w:jc w:val="left"/>
            </w:pPr>
            <w:r>
              <w:rPr>
                <w:sz w:val="18"/>
              </w:rPr>
              <w:t xml:space="preserve">74(xii)</w:t>
            </w:r>
          </w:p>
        </w:tc>
        <w:tc>
          <w:tcPr>
            <w:tcW w:w="7116" w:type="dxa"/>
          </w:tcPr>
          <w:p>
            <w:pPr>
              <w:pStyle w:val="Compact"/>
              <w:spacing w:after="40"/>
              <w:jc w:val="left"/>
            </w:pPr>
            <w:r>
              <w:rPr>
                <w:bCs/>
                <w:b/>
                <w:sz w:val="18"/>
              </w:rPr>
              <w:t xml:space="preserve">RBI inspection of the provider and its subcontractors, and access to infrastructure and data</w:t>
            </w:r>
          </w:p>
        </w:tc>
      </w:tr>
      <w:tr>
        <w:tc>
          <w:tcPr>
            <w:tcW w:w="2522" w:type="dxa"/>
          </w:tcPr>
          <w:p>
            <w:pPr>
              <w:pStyle w:val="Compact"/>
              <w:spacing w:after="40"/>
              <w:jc w:val="left"/>
            </w:pPr>
            <w:r>
              <w:rPr>
                <w:sz w:val="18"/>
              </w:rPr>
              <w:t xml:space="preserve">74(xiii)</w:t>
            </w:r>
          </w:p>
        </w:tc>
        <w:tc>
          <w:tcPr>
            <w:tcW w:w="7116" w:type="dxa"/>
          </w:tcPr>
          <w:p>
            <w:pPr>
              <w:pStyle w:val="Compact"/>
              <w:spacing w:after="40"/>
              <w:jc w:val="left"/>
            </w:pPr>
            <w:r>
              <w:rPr>
                <w:sz w:val="18"/>
              </w:rPr>
              <w:t xml:space="preserve">Provider liable for its subcontractors</w:t>
            </w:r>
          </w:p>
        </w:tc>
      </w:tr>
      <w:tr>
        <w:tc>
          <w:tcPr>
            <w:tcW w:w="2522" w:type="dxa"/>
          </w:tcPr>
          <w:p>
            <w:pPr>
              <w:pStyle w:val="Compact"/>
              <w:spacing w:after="40"/>
              <w:jc w:val="left"/>
            </w:pPr>
            <w:r>
              <w:rPr>
                <w:sz w:val="18"/>
              </w:rPr>
              <w:t xml:space="preserve">74(xiv)</w:t>
            </w:r>
          </w:p>
        </w:tc>
        <w:tc>
          <w:tcPr>
            <w:tcW w:w="7116" w:type="dxa"/>
          </w:tcPr>
          <w:p>
            <w:pPr>
              <w:pStyle w:val="Compact"/>
              <w:spacing w:after="40"/>
              <w:jc w:val="left"/>
            </w:pPr>
            <w:r>
              <w:rPr>
                <w:bCs/>
                <w:b/>
                <w:sz w:val="18"/>
              </w:rPr>
              <w:t xml:space="preserve">Compliance with RBI directions</w:t>
            </w:r>
          </w:p>
        </w:tc>
      </w:tr>
      <w:tr>
        <w:tc>
          <w:tcPr>
            <w:tcW w:w="2522" w:type="dxa"/>
          </w:tcPr>
          <w:p>
            <w:pPr>
              <w:pStyle w:val="Compact"/>
              <w:spacing w:after="40"/>
              <w:jc w:val="left"/>
            </w:pPr>
            <w:r>
              <w:rPr>
                <w:sz w:val="18"/>
              </w:rPr>
              <w:t xml:space="preserve">74(xv)</w:t>
            </w:r>
          </w:p>
        </w:tc>
        <w:tc>
          <w:tcPr>
            <w:tcW w:w="7116" w:type="dxa"/>
          </w:tcPr>
          <w:p>
            <w:pPr>
              <w:pStyle w:val="Compact"/>
              <w:spacing w:after="40"/>
              <w:jc w:val="left"/>
            </w:pPr>
            <w:r>
              <w:rPr>
                <w:sz w:val="18"/>
              </w:rPr>
              <w:t xml:space="preserve">Orderly transfer to another provider</w:t>
            </w:r>
          </w:p>
        </w:tc>
      </w:tr>
      <w:tr>
        <w:tc>
          <w:tcPr>
            <w:tcW w:w="2522" w:type="dxa"/>
          </w:tcPr>
          <w:p>
            <w:pPr>
              <w:pStyle w:val="Compact"/>
              <w:spacing w:after="40"/>
              <w:jc w:val="left"/>
            </w:pPr>
            <w:r>
              <w:rPr>
                <w:sz w:val="18"/>
              </w:rPr>
              <w:t xml:space="preserve">74(xvi)</w:t>
            </w:r>
          </w:p>
        </w:tc>
        <w:tc>
          <w:tcPr>
            <w:tcW w:w="7116" w:type="dxa"/>
          </w:tcPr>
          <w:p>
            <w:pPr>
              <w:pStyle w:val="Compact"/>
              <w:spacing w:after="40"/>
              <w:jc w:val="left"/>
            </w:pPr>
            <w:r>
              <w:rPr>
                <w:sz w:val="18"/>
              </w:rPr>
              <w:t xml:space="preserve">Cooperation in the NBFC’s insolvency or resolution</w:t>
            </w:r>
          </w:p>
        </w:tc>
      </w:tr>
      <w:tr>
        <w:tc>
          <w:tcPr>
            <w:tcW w:w="2522" w:type="dxa"/>
          </w:tcPr>
          <w:p>
            <w:pPr>
              <w:pStyle w:val="Compact"/>
              <w:spacing w:after="40"/>
              <w:jc w:val="left"/>
            </w:pPr>
            <w:r>
              <w:rPr>
                <w:sz w:val="18"/>
              </w:rPr>
              <w:t xml:space="preserve">74(xvii)</w:t>
            </w:r>
          </w:p>
        </w:tc>
        <w:tc>
          <w:tcPr>
            <w:tcW w:w="7116" w:type="dxa"/>
          </w:tcPr>
          <w:p>
            <w:pPr>
              <w:pStyle w:val="Compact"/>
              <w:spacing w:after="40"/>
              <w:jc w:val="left"/>
            </w:pPr>
            <w:r>
              <w:rPr>
                <w:sz w:val="18"/>
              </w:rPr>
              <w:t xml:space="preserve">“</w:t>
            </w:r>
            <w:r>
              <w:rPr>
                <w:sz w:val="18"/>
              </w:rPr>
              <w:t xml:space="preserve">Essential personnel</w:t>
            </w:r>
            <w:r>
              <w:rPr>
                <w:sz w:val="18"/>
              </w:rPr>
              <w:t xml:space="preserve">”</w:t>
            </w:r>
            <w:r>
              <w:rPr>
                <w:sz w:val="18"/>
              </w:rPr>
              <w:t xml:space="preserve"> </w:t>
            </w:r>
            <w:r>
              <w:rPr>
                <w:sz w:val="18"/>
              </w:rPr>
              <w:t xml:space="preserve">on site during exigencies</w:t>
            </w:r>
          </w:p>
        </w:tc>
      </w:tr>
      <w:tr>
        <w:tc>
          <w:tcPr>
            <w:tcW w:w="2522" w:type="dxa"/>
          </w:tcPr>
          <w:p>
            <w:pPr>
              <w:pStyle w:val="Compact"/>
              <w:spacing w:after="40"/>
              <w:jc w:val="left"/>
            </w:pPr>
            <w:r>
              <w:rPr>
                <w:sz w:val="18"/>
              </w:rPr>
              <w:t xml:space="preserve">74(xviii)</w:t>
            </w:r>
          </w:p>
        </w:tc>
        <w:tc>
          <w:tcPr>
            <w:tcW w:w="7116" w:type="dxa"/>
          </w:tcPr>
          <w:p>
            <w:pPr>
              <w:pStyle w:val="Compact"/>
              <w:spacing w:after="40"/>
              <w:jc w:val="left"/>
            </w:pPr>
            <w:r>
              <w:rPr>
                <w:sz w:val="18"/>
              </w:rPr>
              <w:t xml:space="preserve">Back-to-back arrangements with OEMs</w:t>
            </w:r>
          </w:p>
        </w:tc>
      </w:tr>
      <w:tr>
        <w:tc>
          <w:tcPr>
            <w:tcW w:w="2522" w:type="dxa"/>
          </w:tcPr>
          <w:p>
            <w:pPr>
              <w:pStyle w:val="Compact"/>
              <w:spacing w:after="40"/>
              <w:jc w:val="left"/>
            </w:pPr>
            <w:r>
              <w:rPr>
                <w:sz w:val="18"/>
              </w:rPr>
              <w:t xml:space="preserve">74(xix)</w:t>
            </w:r>
          </w:p>
        </w:tc>
        <w:tc>
          <w:tcPr>
            <w:tcW w:w="7116" w:type="dxa"/>
          </w:tcPr>
          <w:p>
            <w:pPr>
              <w:pStyle w:val="Compact"/>
              <w:spacing w:after="40"/>
              <w:jc w:val="left"/>
            </w:pPr>
            <w:r>
              <w:rPr>
                <w:sz w:val="18"/>
              </w:rPr>
              <w:t xml:space="preserve">NDA</w:t>
            </w:r>
          </w:p>
        </w:tc>
      </w:tr>
    </w:tbl>
    <w:p>
      <w:pPr>
        <w:pStyle w:val="BodyText"/>
      </w:pPr>
      <w:r>
        <w:rPr>
          <w:bCs/>
          <w:b/>
        </w:rPr>
        <w:t xml:space="preserve">Further IT agreement terms:</w:t>
      </w:r>
    </w:p>
    <w:p>
      <w:pPr>
        <w:numPr>
          <w:ilvl w:val="0"/>
          <w:numId w:val="1911"/>
        </w:numPr>
        <w:pStyle w:val="Compact"/>
      </w:pPr>
      <w:r>
        <w:t xml:space="preserve">safe removal or destruction of data;</w:t>
      </w:r>
    </w:p>
    <w:p>
      <w:pPr>
        <w:numPr>
          <w:ilvl w:val="0"/>
          <w:numId w:val="1911"/>
        </w:numPr>
        <w:pStyle w:val="Compact"/>
      </w:pPr>
      <w:r>
        <w:rPr>
          <w:bCs/>
          <w:b/>
        </w:rPr>
        <w:t xml:space="preserve">no erasing or altering of data during the transition</w:t>
      </w:r>
      <w:r>
        <w:t xml:space="preserve"> </w:t>
      </w:r>
      <w:r>
        <w:t xml:space="preserve">(87);</w:t>
      </w:r>
    </w:p>
    <w:p>
      <w:pPr>
        <w:numPr>
          <w:ilvl w:val="0"/>
          <w:numId w:val="1911"/>
        </w:numPr>
        <w:pStyle w:val="Compact"/>
      </w:pPr>
      <w:r>
        <w:t xml:space="preserve">the provider cooperates fully with the incoming provider (88).</w:t>
      </w:r>
    </w:p>
    <w:p>
      <w:pPr>
        <w:pStyle w:val="FirstParagraph"/>
      </w:pPr>
      <w:r>
        <w:rPr>
          <w:iCs/>
          <w:i/>
        </w:rPr>
        <w:t xml:space="preserve">Build:</w:t>
      </w:r>
      <w:r>
        <w:t xml:space="preserve"> </w:t>
      </w:r>
      <w:r>
        <w:t xml:space="preserve">clause checklist per arrangement, pass/fail by clause ID.</w:t>
      </w:r>
    </w:p>
    <w:p>
      <w:pPr>
        <w:pStyle w:val="BodyText"/>
      </w:pPr>
      <w:r>
        <w:rPr>
          <w:bCs/>
          <w:b/>
        </w:rPr>
        <w:t xml:space="preserve">Monitoring:</w:t>
      </w:r>
    </w:p>
    <w:p>
      <w:pPr>
        <w:numPr>
          <w:ilvl w:val="0"/>
          <w:numId w:val="1912"/>
        </w:numPr>
        <w:pStyle w:val="Compact"/>
      </w:pPr>
      <w:r>
        <w:t xml:space="preserve">Management structure covering performance, uptime, SLAs and incident response (35, 75).</w:t>
      </w:r>
    </w:p>
    <w:p>
      <w:pPr>
        <w:numPr>
          <w:ilvl w:val="0"/>
          <w:numId w:val="1912"/>
        </w:numPr>
        <w:pStyle w:val="Compact"/>
      </w:pPr>
      <w:r>
        <w:rPr>
          <w:bCs/>
          <w:b/>
        </w:rPr>
        <w:t xml:space="preserve">Central record of material financial outsourcing, updated promptly, reviewed half-yearly by the Board or RMC</w:t>
      </w:r>
      <w:r>
        <w:t xml:space="preserve"> </w:t>
      </w:r>
      <w:r>
        <w:t xml:space="preserve">(36).</w:t>
      </w:r>
    </w:p>
    <w:p>
      <w:pPr>
        <w:numPr>
          <w:ilvl w:val="0"/>
          <w:numId w:val="1912"/>
        </w:numPr>
        <w:pStyle w:val="Compact"/>
      </w:pPr>
      <w:r>
        <w:rPr>
          <w:bCs/>
          <w:b/>
        </w:rPr>
        <w:t xml:space="preserve">Audits:</w:t>
      </w:r>
    </w:p>
    <w:p>
      <w:pPr>
        <w:numPr>
          <w:ilvl w:val="1"/>
          <w:numId w:val="1913"/>
        </w:numPr>
        <w:pStyle w:val="Compact"/>
      </w:pPr>
      <w:r>
        <w:t xml:space="preserve">regular audits of providers and subcontractors (37, 76);</w:t>
      </w:r>
    </w:p>
    <w:p>
      <w:pPr>
        <w:numPr>
          <w:ilvl w:val="1"/>
          <w:numId w:val="1913"/>
        </w:numPr>
        <w:pStyle w:val="Compact"/>
      </w:pPr>
      <w:r>
        <w:rPr>
          <w:bCs/>
          <w:b/>
        </w:rPr>
        <w:t xml:space="preserve">pooled audits</w:t>
      </w:r>
      <w:r>
        <w:t xml:space="preserve"> </w:t>
      </w:r>
      <w:r>
        <w:t xml:space="preserve">allowed (77);</w:t>
      </w:r>
    </w:p>
    <w:p>
      <w:pPr>
        <w:numPr>
          <w:ilvl w:val="1"/>
          <w:numId w:val="1913"/>
        </w:numPr>
        <w:pStyle w:val="Compact"/>
      </w:pPr>
      <w:r>
        <w:t xml:space="preserve">global certifications may be relied on, by risk (79).</w:t>
      </w:r>
    </w:p>
    <w:p>
      <w:pPr>
        <w:numPr>
          <w:ilvl w:val="0"/>
          <w:numId w:val="1912"/>
        </w:numPr>
        <w:pStyle w:val="Compact"/>
      </w:pPr>
      <w:r>
        <w:t xml:space="preserve">Timely reconciliation (39).</w:t>
      </w:r>
    </w:p>
    <w:p>
      <w:pPr>
        <w:numPr>
          <w:ilvl w:val="0"/>
          <w:numId w:val="1912"/>
        </w:numPr>
        <w:pStyle w:val="Compact"/>
      </w:pPr>
      <w:r>
        <w:t xml:space="preserve">Unrestricted access for the NBFC, its auditors and RBI (81).</w:t>
      </w:r>
    </w:p>
    <w:p>
      <w:pPr>
        <w:numPr>
          <w:ilvl w:val="0"/>
          <w:numId w:val="1912"/>
        </w:numPr>
        <w:pStyle w:val="Compact"/>
      </w:pPr>
      <w:r>
        <w:rPr>
          <w:bCs/>
          <w:b/>
        </w:rPr>
        <w:t xml:space="preserve">Inventory of IT services, including supply-chain entities, with a dependency map</w:t>
      </w:r>
      <w:r>
        <w:t xml:space="preserve"> </w:t>
      </w:r>
      <w:r>
        <w:t xml:space="preserve">(82).</w:t>
      </w:r>
    </w:p>
    <w:p>
      <w:pPr>
        <w:pStyle w:val="FirstParagraph"/>
      </w:pPr>
      <w:r>
        <w:rPr>
          <w:bCs/>
          <w:b/>
        </w:rPr>
        <w:t xml:space="preserve">BCP and exit:</w:t>
      </w:r>
    </w:p>
    <w:p>
      <w:pPr>
        <w:numPr>
          <w:ilvl w:val="0"/>
          <w:numId w:val="1914"/>
        </w:numPr>
        <w:pStyle w:val="Compact"/>
      </w:pPr>
      <w:r>
        <w:t xml:space="preserve">Provider BCP documented and tested, with joint tests (40).</w:t>
      </w:r>
    </w:p>
    <w:p>
      <w:pPr>
        <w:numPr>
          <w:ilvl w:val="0"/>
          <w:numId w:val="1914"/>
        </w:numPr>
        <w:pStyle w:val="Compact"/>
      </w:pPr>
      <w:r>
        <w:t xml:space="preserve">Alternatives or insourcing assessed (41).</w:t>
      </w:r>
    </w:p>
    <w:p>
      <w:pPr>
        <w:numPr>
          <w:ilvl w:val="0"/>
          <w:numId w:val="1914"/>
        </w:numPr>
        <w:pStyle w:val="Compact"/>
      </w:pPr>
      <w:r>
        <w:t xml:space="preserve">Provider able to isolate, return or destroy the NBFC’s data (42).</w:t>
      </w:r>
    </w:p>
    <w:p>
      <w:pPr>
        <w:numPr>
          <w:ilvl w:val="0"/>
          <w:numId w:val="1914"/>
        </w:numPr>
        <w:pStyle w:val="Compact"/>
      </w:pPr>
      <w:r>
        <w:t xml:space="preserve">The NBFC’s right to intervene (43).</w:t>
      </w:r>
    </w:p>
    <w:p>
      <w:pPr>
        <w:numPr>
          <w:ilvl w:val="0"/>
          <w:numId w:val="1914"/>
        </w:numPr>
        <w:pStyle w:val="Compact"/>
      </w:pPr>
      <w:r>
        <w:t xml:space="preserve">IT exit strategy covers scenarios, minimum periods and alternatives (84–86).</w:t>
      </w:r>
    </w:p>
    <w:p>
      <w:pPr>
        <w:numPr>
          <w:ilvl w:val="0"/>
          <w:numId w:val="1914"/>
        </w:numPr>
        <w:pStyle w:val="Compact"/>
      </w:pPr>
      <w:r>
        <w:rPr>
          <w:bCs/>
          <w:b/>
        </w:rPr>
        <w:t xml:space="preserve">Termination publicity:</w:t>
      </w:r>
      <w:r>
        <w:t xml:space="preserve"> </w:t>
      </w:r>
      <w:r>
        <w:t xml:space="preserve">notice at the branch and on the website, and customers informed (44, 89).</w:t>
      </w:r>
    </w:p>
    <w:p>
      <w:pPr>
        <w:pStyle w:val="FirstParagraph"/>
      </w:pPr>
      <w:r>
        <w:rPr>
          <w:bCs/>
          <w:b/>
        </w:rPr>
        <w:t xml:space="preserve">Group outsourcing (45–51, 90–92):</w:t>
      </w:r>
    </w:p>
    <w:p>
      <w:pPr>
        <w:numPr>
          <w:ilvl w:val="0"/>
          <w:numId w:val="1915"/>
        </w:numPr>
        <w:pStyle w:val="Compact"/>
      </w:pPr>
      <w:r>
        <w:t xml:space="preserve">Board policy and SLAs (45, 90).</w:t>
      </w:r>
    </w:p>
    <w:p>
      <w:pPr>
        <w:numPr>
          <w:ilvl w:val="0"/>
          <w:numId w:val="1915"/>
        </w:numPr>
        <w:pStyle w:val="Compact"/>
      </w:pPr>
      <w:r>
        <w:t xml:space="preserve">Customers told which entity offers the product (46).</w:t>
      </w:r>
    </w:p>
    <w:p>
      <w:pPr>
        <w:numPr>
          <w:ilvl w:val="0"/>
          <w:numId w:val="1915"/>
        </w:numPr>
        <w:pStyle w:val="Compact"/>
      </w:pPr>
      <w:r>
        <w:t xml:space="preserve">Documented agreements, with a clause binding the provider to RBI directions (47).</w:t>
      </w:r>
    </w:p>
    <w:p>
      <w:pPr>
        <w:numPr>
          <w:ilvl w:val="0"/>
          <w:numId w:val="1915"/>
        </w:numPr>
        <w:pStyle w:val="Compact"/>
      </w:pPr>
      <w:r>
        <w:t xml:space="preserve">Cross-sell identification (49).</w:t>
      </w:r>
    </w:p>
    <w:p>
      <w:pPr>
        <w:numPr>
          <w:ilvl w:val="0"/>
          <w:numId w:val="1915"/>
        </w:numPr>
        <w:pStyle w:val="Compact"/>
      </w:pPr>
      <w:r>
        <w:t xml:space="preserve">No implied guarantee of group obligations (50).</w:t>
      </w:r>
    </w:p>
    <w:p>
      <w:pPr>
        <w:numPr>
          <w:ilvl w:val="0"/>
          <w:numId w:val="1915"/>
        </w:numPr>
        <w:pStyle w:val="Compact"/>
      </w:pPr>
      <w:r>
        <w:rPr>
          <w:bCs/>
          <w:b/>
        </w:rPr>
        <w:t xml:space="preserve">Identical risk management and arm’s length dealing</w:t>
      </w:r>
      <w:r>
        <w:t xml:space="preserve"> </w:t>
      </w:r>
      <w:r>
        <w:t xml:space="preserve">(51, 91–92).</w:t>
      </w:r>
    </w:p>
    <w:p>
      <w:pPr>
        <w:pStyle w:val="FirstParagraph"/>
      </w:pPr>
      <w:r>
        <w:rPr>
          <w:bCs/>
          <w:b/>
        </w:rPr>
        <w:t xml:space="preserve">Offshore outsourcing (52–53, 93–94):</w:t>
      </w:r>
    </w:p>
    <w:p>
      <w:pPr>
        <w:numPr>
          <w:ilvl w:val="0"/>
          <w:numId w:val="1916"/>
        </w:numPr>
        <w:pStyle w:val="Compact"/>
      </w:pPr>
      <w:r>
        <w:t xml:space="preserve">Only jurisdictions that uphold confidentiality (52, 93).</w:t>
      </w:r>
    </w:p>
    <w:p>
      <w:pPr>
        <w:numPr>
          <w:ilvl w:val="0"/>
          <w:numId w:val="1916"/>
        </w:numPr>
        <w:pStyle w:val="Compact"/>
      </w:pPr>
      <w:r>
        <w:t xml:space="preserve">Governing law specified.</w:t>
      </w:r>
    </w:p>
    <w:p>
      <w:pPr>
        <w:numPr>
          <w:ilvl w:val="0"/>
          <w:numId w:val="1916"/>
        </w:numPr>
        <w:pStyle w:val="Compact"/>
      </w:pPr>
      <w:r>
        <w:t xml:space="preserve">Records available even on the provider’s liquidation.</w:t>
      </w:r>
    </w:p>
    <w:p>
      <w:pPr>
        <w:numPr>
          <w:ilvl w:val="0"/>
          <w:numId w:val="1916"/>
        </w:numPr>
        <w:pStyle w:val="Compact"/>
      </w:pPr>
      <w:r>
        <w:t xml:space="preserve">No access to the data by the foreign regulator.</w:t>
      </w:r>
    </w:p>
    <w:p>
      <w:pPr>
        <w:numPr>
          <w:ilvl w:val="0"/>
          <w:numId w:val="1916"/>
        </w:numPr>
        <w:pStyle w:val="Compact"/>
      </w:pPr>
      <w:r>
        <w:rPr>
          <w:bCs/>
          <w:b/>
        </w:rPr>
        <w:t xml:space="preserve">Original records kept in India</w:t>
      </w:r>
      <w:r>
        <w:t xml:space="preserve"> </w:t>
      </w:r>
      <w:r>
        <w:t xml:space="preserve">(53).</w:t>
      </w:r>
    </w:p>
    <w:p>
      <w:pPr>
        <w:numPr>
          <w:ilvl w:val="0"/>
          <w:numId w:val="1916"/>
        </w:numPr>
        <w:pStyle w:val="Compact"/>
      </w:pPr>
      <w:r>
        <w:t xml:space="preserve">Audit and inspection rights (94).</w:t>
      </w:r>
    </w:p>
    <w:p>
      <w:pPr>
        <w:pStyle w:val="FirstParagraph"/>
      </w:pPr>
      <w:r>
        <w:rPr>
          <w:bCs/>
          <w:b/>
        </w:rPr>
        <w:t xml:space="preserve">Outsourced SOC (95):</w:t>
      </w:r>
    </w:p>
    <w:p>
      <w:pPr>
        <w:numPr>
          <w:ilvl w:val="0"/>
          <w:numId w:val="1917"/>
        </w:numPr>
        <w:pStyle w:val="Compact"/>
      </w:pPr>
      <w:r>
        <w:t xml:space="preserve">Asset ownership defined.</w:t>
      </w:r>
    </w:p>
    <w:p>
      <w:pPr>
        <w:numPr>
          <w:ilvl w:val="0"/>
          <w:numId w:val="1917"/>
        </w:numPr>
        <w:pStyle w:val="Compact"/>
      </w:pPr>
      <w:r>
        <w:t xml:space="preserve">The NBFC owns the rules, logs and metadata.</w:t>
      </w:r>
    </w:p>
    <w:p>
      <w:pPr>
        <w:numPr>
          <w:ilvl w:val="0"/>
          <w:numId w:val="1917"/>
        </w:numPr>
        <w:pStyle w:val="Compact"/>
      </w:pPr>
      <w:r>
        <w:t xml:space="preserve">Integrated with the NBFC’s incident process.</w:t>
      </w:r>
    </w:p>
    <w:p>
      <w:pPr>
        <w:pStyle w:val="FirstParagraph"/>
      </w:pPr>
      <w:r>
        <w:rPr>
          <w:bCs/>
          <w:b/>
        </w:rPr>
        <w:t xml:space="preserve">Cloud (para 97):</w:t>
      </w:r>
    </w:p>
    <w:p>
      <w:pPr>
        <w:numPr>
          <w:ilvl w:val="0"/>
          <w:numId w:val="1918"/>
        </w:numPr>
        <w:pStyle w:val="Compact"/>
      </w:pPr>
    </w:p>
    <w:p>
      <w:pPr>
        <w:numPr>
          <w:ilvl w:val="1"/>
          <w:numId w:val="1919"/>
        </w:numPr>
        <w:pStyle w:val="Compact"/>
      </w:pPr>
      <w:r>
        <w:t xml:space="preserve">cost and risk assessment;</w:t>
      </w:r>
    </w:p>
    <w:p>
      <w:pPr>
        <w:numPr>
          <w:ilvl w:val="0"/>
          <w:numId w:val="1918"/>
        </w:numPr>
        <w:pStyle w:val="Compact"/>
      </w:pPr>
    </w:p>
    <w:p>
      <w:pPr>
        <w:numPr>
          <w:ilvl w:val="1"/>
          <w:numId w:val="1920"/>
        </w:numPr>
        <w:pStyle w:val="Compact"/>
      </w:pPr>
      <w:r>
        <w:t xml:space="preserve">data lifecycle up to permanent erasure;</w:t>
      </w:r>
    </w:p>
    <w:p>
      <w:pPr>
        <w:numPr>
          <w:ilvl w:val="0"/>
          <w:numId w:val="1918"/>
        </w:numPr>
        <w:pStyle w:val="Compact"/>
      </w:pPr>
    </w:p>
    <w:p>
      <w:pPr>
        <w:numPr>
          <w:ilvl w:val="1"/>
          <w:numId w:val="1921"/>
        </w:numPr>
        <w:pStyle w:val="Compact"/>
      </w:pPr>
      <w:r>
        <w:t xml:space="preserve">multi-tenancy risk;</w:t>
      </w:r>
    </w:p>
    <w:p>
      <w:pPr>
        <w:numPr>
          <w:ilvl w:val="0"/>
          <w:numId w:val="1918"/>
        </w:numPr>
        <w:pStyle w:val="Compact"/>
      </w:pPr>
    </w:p>
    <w:p>
      <w:pPr>
        <w:numPr>
          <w:ilvl w:val="1"/>
          <w:numId w:val="1922"/>
        </w:numPr>
        <w:pStyle w:val="Compact"/>
      </w:pPr>
      <w:r>
        <w:t xml:space="preserve">shared-responsibility model;</w:t>
      </w:r>
    </w:p>
    <w:p>
      <w:pPr>
        <w:numPr>
          <w:ilvl w:val="0"/>
          <w:numId w:val="1918"/>
        </w:numPr>
        <w:pStyle w:val="Compact"/>
      </w:pPr>
    </w:p>
    <w:p>
      <w:pPr>
        <w:numPr>
          <w:ilvl w:val="1"/>
          <w:numId w:val="1923"/>
        </w:numPr>
        <w:pStyle w:val="Compact"/>
      </w:pPr>
      <w:r>
        <w:t xml:space="preserve">cloud adoption policy;</w:t>
      </w:r>
    </w:p>
    <w:p>
      <w:pPr>
        <w:numPr>
          <w:ilvl w:val="0"/>
          <w:numId w:val="1918"/>
        </w:numPr>
        <w:pStyle w:val="Compact"/>
      </w:pPr>
    </w:p>
    <w:p>
      <w:pPr>
        <w:numPr>
          <w:ilvl w:val="1"/>
          <w:numId w:val="1924"/>
        </w:numPr>
        <w:pStyle w:val="Compact"/>
      </w:pPr>
      <w:r>
        <w:t xml:space="preserve">CSPs only in enforceable jurisdictions;</w:t>
      </w:r>
    </w:p>
    <w:p>
      <w:pPr>
        <w:numPr>
          <w:ilvl w:val="0"/>
          <w:numId w:val="1918"/>
        </w:numPr>
        <w:pStyle w:val="Compact"/>
      </w:pPr>
    </w:p>
    <w:p>
      <w:pPr>
        <w:numPr>
          <w:ilvl w:val="1"/>
          <w:numId w:val="1925"/>
        </w:numPr>
        <w:pStyle w:val="Compact"/>
      </w:pPr>
      <w:r>
        <w:t xml:space="preserve">architecture: container and release tooling,</w:t>
      </w:r>
      <w:r>
        <w:t xml:space="preserve"> </w:t>
      </w:r>
      <w:r>
        <w:rPr>
          <w:bCs/>
          <w:b/>
        </w:rPr>
        <w:t xml:space="preserve">encryption keys and HSMs under the NBFC’s control</w:t>
      </w:r>
      <w:r>
        <w:t xml:space="preserve">, no commingling, resilience;</w:t>
      </w:r>
    </w:p>
    <w:p>
      <w:pPr>
        <w:numPr>
          <w:ilvl w:val="0"/>
          <w:numId w:val="1918"/>
        </w:numPr>
        <w:pStyle w:val="Compact"/>
      </w:pPr>
    </w:p>
    <w:p>
      <w:pPr>
        <w:numPr>
          <w:ilvl w:val="1"/>
          <w:numId w:val="1926"/>
        </w:numPr>
        <w:pStyle w:val="Compact"/>
      </w:pPr>
      <w:r>
        <w:rPr>
          <w:bCs/>
          <w:b/>
        </w:rPr>
        <w:t xml:space="preserve">IAM with RBAC, SoD and a role-conflict matrix, least privilege and MFA</w:t>
      </w:r>
      <w:r>
        <w:t xml:space="preserve">;</w:t>
      </w:r>
    </w:p>
    <w:p>
      <w:pPr>
        <w:numPr>
          <w:ilvl w:val="0"/>
          <w:numId w:val="1918"/>
        </w:numPr>
        <w:pStyle w:val="Compact"/>
      </w:pPr>
    </w:p>
    <w:p>
      <w:pPr>
        <w:numPr>
          <w:ilvl w:val="1"/>
          <w:numId w:val="1927"/>
        </w:numPr>
        <w:pStyle w:val="Compact"/>
      </w:pPr>
      <w:r>
        <w:t xml:space="preserve">controls at least as strong as on-premises;</w:t>
      </w:r>
    </w:p>
    <w:p>
      <w:pPr>
        <w:numPr>
          <w:ilvl w:val="0"/>
          <w:numId w:val="1918"/>
        </w:numPr>
        <w:pStyle w:val="Compact"/>
      </w:pPr>
    </w:p>
    <w:p>
      <w:pPr>
        <w:numPr>
          <w:ilvl w:val="1"/>
          <w:numId w:val="1928"/>
        </w:numPr>
        <w:pStyle w:val="Compact"/>
      </w:pPr>
      <w:r>
        <w:t xml:space="preserve">CSP security capability;</w:t>
      </w:r>
    </w:p>
    <w:p>
      <w:pPr>
        <w:numPr>
          <w:ilvl w:val="0"/>
          <w:numId w:val="1918"/>
        </w:numPr>
        <w:pStyle w:val="Compact"/>
      </w:pPr>
    </w:p>
    <w:p>
      <w:pPr>
        <w:numPr>
          <w:ilvl w:val="1"/>
          <w:numId w:val="1929"/>
        </w:numPr>
        <w:pStyle w:val="Compact"/>
      </w:pPr>
      <w:r>
        <w:rPr>
          <w:bCs/>
          <w:b/>
        </w:rPr>
        <w:t xml:space="preserve">CSP logs integrated into the NBFC’s SOC and retained</w:t>
      </w:r>
      <w:r>
        <w:t xml:space="preserve">;</w:t>
      </w:r>
    </w:p>
    <w:p>
      <w:pPr>
        <w:numPr>
          <w:ilvl w:val="0"/>
          <w:numId w:val="1918"/>
        </w:numPr>
        <w:pStyle w:val="Compact"/>
      </w:pPr>
    </w:p>
    <w:p>
      <w:pPr>
        <w:numPr>
          <w:ilvl w:val="1"/>
          <w:numId w:val="1930"/>
        </w:numPr>
        <w:pStyle w:val="Compact"/>
      </w:pPr>
      <w:r>
        <w:t xml:space="preserve">patching;</w:t>
      </w:r>
    </w:p>
    <w:p>
      <w:pPr>
        <w:numPr>
          <w:ilvl w:val="0"/>
          <w:numId w:val="1918"/>
        </w:numPr>
        <w:pStyle w:val="Compact"/>
      </w:pPr>
    </w:p>
    <w:p>
      <w:pPr>
        <w:numPr>
          <w:ilvl w:val="1"/>
          <w:numId w:val="1931"/>
        </w:numPr>
        <w:pStyle w:val="Compact"/>
      </w:pPr>
      <w:r>
        <w:t xml:space="preserve">threat intelligence;</w:t>
      </w:r>
    </w:p>
    <w:p>
      <w:pPr>
        <w:numPr>
          <w:ilvl w:val="0"/>
          <w:numId w:val="1918"/>
        </w:numPr>
        <w:pStyle w:val="Compact"/>
      </w:pPr>
      <w:r>
        <w:t xml:space="preserve">(xiv)–(xv) BCP and DR drills;</w:t>
      </w:r>
    </w:p>
    <w:p>
      <w:pPr>
        <w:numPr>
          <w:ilvl w:val="0"/>
          <w:numId w:val="1918"/>
        </w:numPr>
        <w:pStyle w:val="Compact"/>
      </w:pPr>
    </w:p>
    <w:p>
      <w:pPr>
        <w:numPr>
          <w:ilvl w:val="1"/>
          <w:numId w:val="1932"/>
        </w:numPr>
        <w:pStyle w:val="Compact"/>
      </w:pPr>
      <w:r>
        <w:rPr>
          <w:bCs/>
          <w:b/>
        </w:rPr>
        <w:t xml:space="preserve">exit: data return, portability, secure purge and independent assurance</w:t>
      </w:r>
      <w:r>
        <w:t xml:space="preserve">;</w:t>
      </w:r>
    </w:p>
    <w:p>
      <w:pPr>
        <w:numPr>
          <w:ilvl w:val="0"/>
          <w:numId w:val="1918"/>
        </w:numPr>
        <w:pStyle w:val="Compact"/>
      </w:pPr>
    </w:p>
    <w:p>
      <w:pPr>
        <w:numPr>
          <w:ilvl w:val="1"/>
          <w:numId w:val="1933"/>
        </w:numPr>
        <w:pStyle w:val="Compact"/>
      </w:pPr>
      <w:r>
        <w:t xml:space="preserve">audit and certification scope.</w:t>
      </w:r>
    </w:p>
    <w:p>
      <w:pPr>
        <w:pStyle w:val="FirstParagraph"/>
      </w:pPr>
      <w:r>
        <w:rPr>
          <w:bCs/>
          <w:b/>
        </w:rPr>
        <w:t xml:space="preserve">Grievances (54–57, 98–99):</w:t>
      </w:r>
    </w:p>
    <w:p>
      <w:pPr>
        <w:numPr>
          <w:ilvl w:val="0"/>
          <w:numId w:val="1934"/>
        </w:numPr>
        <w:pStyle w:val="Compact"/>
      </w:pPr>
      <w:r>
        <w:t xml:space="preserve">Customer rights against the NBFC are unaffected.</w:t>
      </w:r>
    </w:p>
    <w:p>
      <w:pPr>
        <w:numPr>
          <w:ilvl w:val="0"/>
          <w:numId w:val="1934"/>
        </w:numPr>
        <w:pStyle w:val="Compact"/>
      </w:pPr>
      <w:r>
        <w:t xml:space="preserve">Product literature states that service providers may be used (55).</w:t>
      </w:r>
    </w:p>
    <w:p>
      <w:pPr>
        <w:numPr>
          <w:ilvl w:val="0"/>
          <w:numId w:val="1934"/>
        </w:numPr>
        <w:pStyle w:val="Compact"/>
      </w:pPr>
      <w:r>
        <w:rPr>
          <w:bCs/>
          <w:b/>
        </w:rPr>
        <w:t xml:space="preserve">Microfinance:</w:t>
      </w:r>
      <w:r>
        <w:t xml:space="preserve"> </w:t>
      </w:r>
      <w:r>
        <w:t xml:space="preserve">the loan agreement and the FPC carry a declaration that the NBFC is accountable for inappropriate behaviour by the provider’s staff and will redress grievances in time (56).</w:t>
      </w:r>
    </w:p>
    <w:p>
      <w:pPr>
        <w:numPr>
          <w:ilvl w:val="0"/>
          <w:numId w:val="1934"/>
        </w:numPr>
        <w:pStyle w:val="Compact"/>
      </w:pPr>
      <w:r>
        <w:t xml:space="preserve">GRO contact details displayed, covering outsourced services (57(2)).</w:t>
      </w:r>
    </w:p>
    <w:p>
      <w:pPr>
        <w:numPr>
          <w:ilvl w:val="0"/>
          <w:numId w:val="1934"/>
        </w:numPr>
        <w:pStyle w:val="Compact"/>
      </w:pPr>
      <w:r>
        <w:t xml:space="preserve">Ombudsman after 30 days (57(4)). The text cites IOS 2021; use RB-IOS 2026 logic (M15).</w:t>
      </w:r>
    </w:p>
    <w:p>
      <w:pPr>
        <w:pStyle w:val="FirstParagraph"/>
      </w:pPr>
      <w:r>
        <w:rPr>
          <w:bCs/>
          <w:b/>
        </w:rPr>
        <w:t xml:space="preserve">Recovery agents:</w:t>
      </w:r>
      <w:r>
        <w:t xml:space="preserve"> </w:t>
      </w:r>
      <w:r>
        <w:t xml:space="preserve">covered here only by para 17 (responsibility). Conduct rules stay in RBC.</w:t>
      </w:r>
    </w:p>
    <w:p>
      <w:r>
        <w:pict>
          <v:rect style="width:0;height:1.5pt" o:hralign="center" o:hrstd="t" o:hr="t"/>
        </w:pict>
      </w:r>
    </w:p>
    <w:p>
      <w:r>
        <w:pict>
          <v:rect style="width:0;height:1.5pt" o:hralign="center" o:hrstd="t" o:hr="t"/>
        </w:pict>
      </w:r>
    </w:p>
    <w:bookmarkEnd w:id="811"/>
    <w:bookmarkStart w:id="812" w:name="X5f50c9aaee646894b339eb78f26952beba38ca7"/>
    <w:p>
      <w:pPr>
        <w:pStyle w:val="Heading2"/>
      </w:pPr>
      <w:r>
        <w:t xml:space="preserve">8A.30 ORM — Operational Risk Management and Operational Resilience Guidance Note (DOR.ORG.REC.301)</w:t>
      </w:r>
    </w:p>
    <w:p>
      <w:pPr>
        <w:pStyle w:val="FirstParagraph"/>
      </w:pPr>
      <w:r>
        <w:rPr>
          <w:bCs/>
          <w:b/>
        </w:rPr>
        <w:t xml:space="preserve">Status and applicability:</w:t>
      </w:r>
    </w:p>
    <w:p>
      <w:pPr>
        <w:numPr>
          <w:ilvl w:val="0"/>
          <w:numId w:val="1935"/>
        </w:numPr>
        <w:pStyle w:val="Compact"/>
      </w:pPr>
      <w:r>
        <w:t xml:space="preserve">This is</w:t>
      </w:r>
      <w:r>
        <w:t xml:space="preserve"> </w:t>
      </w:r>
      <w:r>
        <w:rPr>
          <w:bCs/>
          <w:b/>
        </w:rPr>
        <w:t xml:space="preserve">guidance, not a Direction</w:t>
      </w:r>
      <w:r>
        <w:t xml:space="preserve">: principle-based and proportionate, and its tools are</w:t>
      </w:r>
      <w:r>
        <w:t xml:space="preserve"> </w:t>
      </w:r>
      <w:r>
        <w:t xml:space="preserve">“</w:t>
      </w:r>
      <w:r>
        <w:t xml:space="preserve">indicative</w:t>
      </w:r>
      <w:r>
        <w:t xml:space="preserve">”</w:t>
      </w:r>
      <w:r>
        <w:t xml:space="preserve"> </w:t>
      </w:r>
      <w:r>
        <w:t xml:space="preserve">(paras 6–7). RBI instructions prevail where inconsistent (7).</w:t>
      </w:r>
    </w:p>
    <w:p>
      <w:pPr>
        <w:numPr>
          <w:ilvl w:val="0"/>
          <w:numId w:val="1935"/>
        </w:numPr>
        <w:pStyle w:val="Compact"/>
      </w:pPr>
      <w:r>
        <w:t xml:space="preserve">Some items are still worded as mandatory:</w:t>
      </w:r>
    </w:p>
    <w:p>
      <w:pPr>
        <w:numPr>
          <w:ilvl w:val="1"/>
          <w:numId w:val="1936"/>
        </w:numPr>
        <w:pStyle w:val="Compact"/>
      </w:pPr>
      <w:r>
        <w:t xml:space="preserve">“</w:t>
      </w:r>
      <w:r>
        <w:t xml:space="preserve">shall</w:t>
      </w:r>
      <w:r>
        <w:t xml:space="preserve">”</w:t>
      </w:r>
      <w:r>
        <w:t xml:space="preserve"> </w:t>
      </w:r>
      <w:r>
        <w:t xml:space="preserve">for the three lines (12), self-assessment (42(1)), the event dataset (42(2)) and metrics (42(5));</w:t>
      </w:r>
    </w:p>
    <w:p>
      <w:pPr>
        <w:numPr>
          <w:ilvl w:val="1"/>
          <w:numId w:val="1936"/>
        </w:numPr>
        <w:pStyle w:val="Compact"/>
      </w:pPr>
      <w:r>
        <w:t xml:space="preserve">“</w:t>
      </w:r>
      <w:r>
        <w:t xml:space="preserve">must</w:t>
      </w:r>
      <w:r>
        <w:t xml:space="preserve">”</w:t>
      </w:r>
      <w:r>
        <w:t xml:space="preserve"> </w:t>
      </w:r>
      <w:r>
        <w:t xml:space="preserve">for scenario analysis (42(6)) and group risks (72).</w:t>
      </w:r>
    </w:p>
    <w:p>
      <w:pPr>
        <w:numPr>
          <w:ilvl w:val="0"/>
          <w:numId w:val="1935"/>
        </w:numPr>
        <w:pStyle w:val="Compact"/>
      </w:pPr>
      <w:r>
        <w:rPr>
          <w:bCs/>
          <w:b/>
        </w:rPr>
        <w:t xml:space="preserve">Applies to</w:t>
      </w:r>
      <w:r>
        <w:t xml:space="preserve"> </w:t>
      </w:r>
      <w:r>
        <w:t xml:space="preserve">(para 8):</w:t>
      </w:r>
    </w:p>
    <w:p>
      <w:pPr>
        <w:numPr>
          <w:ilvl w:val="1"/>
          <w:numId w:val="1937"/>
        </w:numPr>
        <w:pStyle w:val="Compact"/>
      </w:pPr>
      <w:r>
        <w:t xml:space="preserve">commercial banks, including SFB, PB and LAB;</w:t>
      </w:r>
    </w:p>
    <w:p>
      <w:pPr>
        <w:numPr>
          <w:ilvl w:val="1"/>
          <w:numId w:val="1937"/>
        </w:numPr>
        <w:pStyle w:val="Compact"/>
      </w:pPr>
      <w:r>
        <w:t xml:space="preserve">RRBs, UCBs and RCBs;</w:t>
      </w:r>
    </w:p>
    <w:p>
      <w:pPr>
        <w:numPr>
          <w:ilvl w:val="1"/>
          <w:numId w:val="1937"/>
        </w:numPr>
        <w:pStyle w:val="Compact"/>
      </w:pPr>
      <w:r>
        <w:t xml:space="preserve">AIFIs, including NHB;</w:t>
      </w:r>
    </w:p>
    <w:p>
      <w:pPr>
        <w:numPr>
          <w:ilvl w:val="1"/>
          <w:numId w:val="1937"/>
        </w:numPr>
        <w:pStyle w:val="Compact"/>
      </w:pPr>
      <w:r>
        <w:rPr>
          <w:bCs/>
          <w:b/>
        </w:rPr>
        <w:t xml:space="preserve">NBFC-BL, ML and UL</w:t>
      </w:r>
      <w:r>
        <w:t xml:space="preserve">.</w:t>
      </w:r>
    </w:p>
    <w:p>
      <w:pPr>
        <w:numPr>
          <w:ilvl w:val="0"/>
          <w:numId w:val="1935"/>
        </w:numPr>
        <w:pStyle w:val="Compact"/>
      </w:pPr>
      <w:r>
        <w:t xml:space="preserve">HFCs are not listed separately, but NHB is named as their supervisor (9(14)(iii)), so treat HFCs as covered [interpretation].</w:t>
      </w:r>
    </w:p>
    <w:p>
      <w:pPr>
        <w:numPr>
          <w:ilvl w:val="0"/>
          <w:numId w:val="1935"/>
        </w:numPr>
        <w:pStyle w:val="Compact"/>
      </w:pPr>
      <w:r>
        <w:t xml:space="preserve">NBFC-BL is a</w:t>
      </w:r>
      <w:r>
        <w:t xml:space="preserve"> </w:t>
      </w:r>
      <w:r>
        <w:t xml:space="preserve">“</w:t>
      </w:r>
      <w:r>
        <w:t xml:space="preserve">smaller RE</w:t>
      </w:r>
      <w:r>
        <w:t xml:space="preserve">”</w:t>
      </w:r>
      <w:r>
        <w:t xml:space="preserve">: the first and second lines may be combined, with separation of duties and an independent review (12(2)).</w:t>
      </w:r>
    </w:p>
    <w:p>
      <w:pPr>
        <w:numPr>
          <w:ilvl w:val="0"/>
          <w:numId w:val="1935"/>
        </w:numPr>
        <w:pStyle w:val="Compact"/>
      </w:pPr>
      <w:r>
        <w:t xml:space="preserve">Repeals the earlier guidance note (108).</w:t>
      </w:r>
    </w:p>
    <w:p>
      <w:pPr>
        <w:numPr>
          <w:ilvl w:val="0"/>
          <w:numId w:val="1935"/>
        </w:numPr>
        <w:pStyle w:val="Compact"/>
      </w:pPr>
      <w:r>
        <w:rPr>
          <w:bCs/>
          <w:b/>
        </w:rPr>
        <w:t xml:space="preserve">17 principles under three pillars</w:t>
      </w:r>
      <w:r>
        <w:t xml:space="preserve"> </w:t>
      </w:r>
      <w:r>
        <w:t xml:space="preserve">(10).</w:t>
      </w:r>
    </w:p>
    <w:p>
      <w:pPr>
        <w:pStyle w:val="FirstParagraph"/>
      </w:pPr>
      <w:r>
        <w:rPr>
          <w:bCs/>
          <w:b/>
        </w:rPr>
        <w:t xml:space="preserve">Definitions (para 9):</w:t>
      </w:r>
    </w:p>
    <w:p>
      <w:pPr>
        <w:numPr>
          <w:ilvl w:val="0"/>
          <w:numId w:val="1938"/>
        </w:numPr>
        <w:pStyle w:val="Compact"/>
      </w:pPr>
      <w:r>
        <w:t xml:space="preserve">critical operations, including supporting assets: people, technology, information and facilities (9(2));</w:t>
      </w:r>
    </w:p>
    <w:p>
      <w:pPr>
        <w:numPr>
          <w:ilvl w:val="0"/>
          <w:numId w:val="1938"/>
        </w:numPr>
        <w:pStyle w:val="Compact"/>
      </w:pPr>
      <w:r>
        <w:t xml:space="preserve">incident (9(4));</w:t>
      </w:r>
    </w:p>
    <w:p>
      <w:pPr>
        <w:numPr>
          <w:ilvl w:val="0"/>
          <w:numId w:val="1938"/>
        </w:numPr>
        <w:pStyle w:val="Compact"/>
      </w:pPr>
      <w:r>
        <w:t xml:space="preserve">mapping (9(6));</w:t>
      </w:r>
    </w:p>
    <w:p>
      <w:pPr>
        <w:numPr>
          <w:ilvl w:val="0"/>
          <w:numId w:val="1938"/>
        </w:numPr>
        <w:pStyle w:val="Compact"/>
      </w:pPr>
      <w:r>
        <w:t xml:space="preserve">operational resilience (9(7));</w:t>
      </w:r>
    </w:p>
    <w:p>
      <w:pPr>
        <w:numPr>
          <w:ilvl w:val="0"/>
          <w:numId w:val="1938"/>
        </w:numPr>
        <w:pStyle w:val="Compact"/>
      </w:pPr>
      <w:r>
        <w:t xml:space="preserve">operational risk: includes legal risk; excludes strategic and reputational risk (9(8));</w:t>
      </w:r>
    </w:p>
    <w:p>
      <w:pPr>
        <w:numPr>
          <w:ilvl w:val="0"/>
          <w:numId w:val="1938"/>
        </w:numPr>
        <w:pStyle w:val="Compact"/>
      </w:pPr>
      <w:r>
        <w:t xml:space="preserve">impact tolerance (9(15)).</w:t>
      </w:r>
    </w:p>
    <w:p>
      <w:pPr>
        <w:pStyle w:val="FirstParagraph"/>
      </w:pPr>
      <w:r>
        <w:rPr>
          <w:bCs/>
          <w:b/>
        </w:rPr>
        <w:t xml:space="preserve">Three lines of defence (paras 11–14):</w:t>
      </w:r>
    </w:p>
    <w:p>
      <w:pPr>
        <w:numPr>
          <w:ilvl w:val="0"/>
          <w:numId w:val="1939"/>
        </w:numPr>
        <w:pStyle w:val="Compact"/>
      </w:pPr>
      <w:r>
        <w:rPr>
          <w:bCs/>
          <w:b/>
        </w:rPr>
        <w:t xml:space="preserve">First line (12(1)):</w:t>
      </w:r>
      <w:r>
        <w:t xml:space="preserve"> </w:t>
      </w:r>
      <w:r>
        <w:t xml:space="preserve">identifies and assesses risks; sets controls; reports residual risk, loss events and tolerance breaches.</w:t>
      </w:r>
    </w:p>
    <w:p>
      <w:pPr>
        <w:numPr>
          <w:ilvl w:val="0"/>
          <w:numId w:val="1939"/>
        </w:numPr>
        <w:pStyle w:val="Compact"/>
      </w:pPr>
      <w:r>
        <w:rPr>
          <w:bCs/>
          <w:b/>
        </w:rPr>
        <w:t xml:space="preserve">Second line (12(2)):</w:t>
      </w:r>
      <w:r>
        <w:t xml:space="preserve"> </w:t>
      </w:r>
      <w:r>
        <w:t xml:space="preserve">an independent OORF.</w:t>
      </w:r>
    </w:p>
    <w:p>
      <w:pPr>
        <w:numPr>
          <w:ilvl w:val="1"/>
          <w:numId w:val="1940"/>
        </w:numPr>
        <w:pStyle w:val="Compact"/>
      </w:pPr>
      <w:r>
        <w:t xml:space="preserve">It challenges the first line with evidence, owns policy, monitors and trains.</w:t>
      </w:r>
    </w:p>
    <w:p>
      <w:pPr>
        <w:numPr>
          <w:ilvl w:val="1"/>
          <w:numId w:val="1940"/>
        </w:numPr>
        <w:pStyle w:val="Compact"/>
      </w:pPr>
      <w:r>
        <w:t xml:space="preserve">In larger REs it reports independently of business units.</w:t>
      </w:r>
    </w:p>
    <w:p>
      <w:pPr>
        <w:numPr>
          <w:ilvl w:val="1"/>
          <w:numId w:val="1940"/>
        </w:numPr>
        <w:pStyle w:val="Compact"/>
      </w:pPr>
      <w:r>
        <w:t xml:space="preserve">It includes compliance.</w:t>
      </w:r>
    </w:p>
    <w:p>
      <w:pPr>
        <w:numPr>
          <w:ilvl w:val="0"/>
          <w:numId w:val="1939"/>
        </w:numPr>
        <w:pStyle w:val="Compact"/>
      </w:pPr>
      <w:r>
        <w:rPr>
          <w:bCs/>
          <w:b/>
        </w:rPr>
        <w:t xml:space="preserve">Third line (12(3)):</w:t>
      </w:r>
      <w:r>
        <w:t xml:space="preserve"> </w:t>
      </w:r>
      <w:r>
        <w:t xml:space="preserve">audit validation and verification.</w:t>
      </w:r>
    </w:p>
    <w:p>
      <w:pPr>
        <w:numPr>
          <w:ilvl w:val="0"/>
          <w:numId w:val="1939"/>
        </w:numPr>
        <w:pStyle w:val="Compact"/>
      </w:pPr>
      <w:r>
        <w:t xml:space="preserve">Every line has defined roles, resources and training (13).</w:t>
      </w:r>
    </w:p>
    <w:p>
      <w:pPr>
        <w:pStyle w:val="FirstParagraph"/>
      </w:pPr>
      <w:r>
        <w:rPr>
          <w:bCs/>
          <w:b/>
        </w:rPr>
        <w:t xml:space="preserve">Governance (Principles 1–5; paras 15–40):</w:t>
      </w:r>
    </w:p>
    <w:p>
      <w:pPr>
        <w:numPr>
          <w:ilvl w:val="0"/>
          <w:numId w:val="1941"/>
        </w:numPr>
        <w:pStyle w:val="Compact"/>
      </w:pPr>
      <w:r>
        <w:t xml:space="preserve">Board code of conduct,</w:t>
      </w:r>
      <w:r>
        <w:t xml:space="preserve"> </w:t>
      </w:r>
      <w:r>
        <w:rPr>
          <w:bCs/>
          <w:b/>
        </w:rPr>
        <w:t xml:space="preserve">attested by employees and publicly available</w:t>
      </w:r>
      <w:r>
        <w:t xml:space="preserve"> </w:t>
      </w:r>
      <w:r>
        <w:t xml:space="preserve">(16).</w:t>
      </w:r>
    </w:p>
    <w:p>
      <w:pPr>
        <w:numPr>
          <w:ilvl w:val="0"/>
          <w:numId w:val="1941"/>
        </w:numPr>
        <w:pStyle w:val="Compact"/>
      </w:pPr>
      <w:r>
        <w:t xml:space="preserve">Risk-aligned compensation (18); training (19).</w:t>
      </w:r>
    </w:p>
    <w:p>
      <w:pPr>
        <w:numPr>
          <w:ilvl w:val="0"/>
          <w:numId w:val="1941"/>
        </w:numPr>
        <w:pStyle w:val="Compact"/>
      </w:pPr>
      <w:r>
        <w:rPr>
          <w:bCs/>
          <w:b/>
        </w:rPr>
        <w:t xml:space="preserve">Board-approved ORMF</w:t>
      </w:r>
      <w:r>
        <w:t xml:space="preserve"> </w:t>
      </w:r>
      <w:r>
        <w:t xml:space="preserve">with definitions of operational risk and operational loss (23).</w:t>
      </w:r>
    </w:p>
    <w:p>
      <w:pPr>
        <w:numPr>
          <w:ilvl w:val="0"/>
          <w:numId w:val="1941"/>
        </w:numPr>
        <w:pStyle w:val="Compact"/>
      </w:pPr>
      <w:r>
        <w:rPr>
          <w:bCs/>
          <w:b/>
        </w:rPr>
        <w:t xml:space="preserve">ORMF documentation (24):</w:t>
      </w:r>
    </w:p>
    <w:p>
      <w:pPr>
        <w:numPr>
          <w:ilvl w:val="1"/>
          <w:numId w:val="1942"/>
        </w:numPr>
        <w:pStyle w:val="Compact"/>
      </w:pPr>
      <w:r>
        <w:t xml:space="preserve">governance and committees;</w:t>
      </w:r>
    </w:p>
    <w:p>
      <w:pPr>
        <w:numPr>
          <w:ilvl w:val="1"/>
          <w:numId w:val="1942"/>
        </w:numPr>
        <w:pStyle w:val="Compact"/>
      </w:pPr>
      <w:r>
        <w:t xml:space="preserve">tools;</w:t>
      </w:r>
    </w:p>
    <w:p>
      <w:pPr>
        <w:numPr>
          <w:ilvl w:val="1"/>
          <w:numId w:val="1942"/>
        </w:numPr>
        <w:pStyle w:val="Compact"/>
      </w:pPr>
      <w:r>
        <w:rPr>
          <w:bCs/>
          <w:b/>
        </w:rPr>
        <w:t xml:space="preserve">appetite and tolerance thresholds</w:t>
      </w:r>
      <w:r>
        <w:t xml:space="preserve">;</w:t>
      </w:r>
    </w:p>
    <w:p>
      <w:pPr>
        <w:numPr>
          <w:ilvl w:val="1"/>
          <w:numId w:val="1942"/>
        </w:numPr>
        <w:pStyle w:val="Compact"/>
      </w:pPr>
      <w:r>
        <w:rPr>
          <w:bCs/>
          <w:b/>
        </w:rPr>
        <w:t xml:space="preserve">control library</w:t>
      </w:r>
      <w:r>
        <w:t xml:space="preserve">;</w:t>
      </w:r>
    </w:p>
    <w:p>
      <w:pPr>
        <w:numPr>
          <w:ilvl w:val="1"/>
          <w:numId w:val="1942"/>
        </w:numPr>
        <w:pStyle w:val="Compact"/>
      </w:pPr>
      <w:r>
        <w:t xml:space="preserve">MIS;</w:t>
      </w:r>
    </w:p>
    <w:p>
      <w:pPr>
        <w:numPr>
          <w:ilvl w:val="1"/>
          <w:numId w:val="1942"/>
        </w:numPr>
        <w:pStyle w:val="Compact"/>
      </w:pPr>
      <w:r>
        <w:rPr>
          <w:bCs/>
          <w:b/>
        </w:rPr>
        <w:t xml:space="preserve">a common taxonomy</w:t>
      </w:r>
      <w:r>
        <w:t xml:space="preserve"> </w:t>
      </w:r>
      <w:r>
        <w:t xml:space="preserve">of event types, causes, materiality and business units, with flags for legal, conduct, model and ICT/cyber exposures and the credit/market boundary.</w:t>
      </w:r>
    </w:p>
    <w:p>
      <w:pPr>
        <w:numPr>
          <w:ilvl w:val="0"/>
          <w:numId w:val="1941"/>
        </w:numPr>
        <w:pStyle w:val="Compact"/>
      </w:pPr>
      <w:r>
        <w:rPr>
          <w:bCs/>
          <w:b/>
        </w:rPr>
        <w:t xml:space="preserve">The Board approves:</w:t>
      </w:r>
    </w:p>
    <w:p>
      <w:pPr>
        <w:numPr>
          <w:ilvl w:val="1"/>
          <w:numId w:val="1943"/>
        </w:numPr>
        <w:pStyle w:val="Compact"/>
      </w:pPr>
      <w:r>
        <w:t xml:space="preserve">the ORMF (25);</w:t>
      </w:r>
    </w:p>
    <w:p>
      <w:pPr>
        <w:numPr>
          <w:ilvl w:val="1"/>
          <w:numId w:val="1943"/>
        </w:numPr>
        <w:pStyle w:val="Compact"/>
      </w:pPr>
      <w:r>
        <w:t xml:space="preserve">the resilience approach (27);</w:t>
      </w:r>
    </w:p>
    <w:p>
      <w:pPr>
        <w:numPr>
          <w:ilvl w:val="1"/>
          <w:numId w:val="1943"/>
        </w:numPr>
        <w:pStyle w:val="Compact"/>
      </w:pPr>
      <w:r>
        <w:t xml:space="preserve">the</w:t>
      </w:r>
      <w:r>
        <w:t xml:space="preserve"> </w:t>
      </w:r>
      <w:r>
        <w:rPr>
          <w:bCs/>
          <w:b/>
        </w:rPr>
        <w:t xml:space="preserve">operational-risk appetite and tolerance statement</w:t>
      </w:r>
      <w:r>
        <w:t xml:space="preserve"> </w:t>
      </w:r>
      <w:r>
        <w:t xml:space="preserve">(29–30);</w:t>
      </w:r>
    </w:p>
    <w:p>
      <w:pPr>
        <w:numPr>
          <w:ilvl w:val="1"/>
          <w:numId w:val="1943"/>
        </w:numPr>
        <w:pStyle w:val="Compact"/>
      </w:pPr>
      <w:r>
        <w:t xml:space="preserve">the</w:t>
      </w:r>
      <w:r>
        <w:t xml:space="preserve"> </w:t>
      </w:r>
      <w:r>
        <w:rPr>
          <w:bCs/>
          <w:b/>
        </w:rPr>
        <w:t xml:space="preserve">criteria for critical operations, annually or on material change</w:t>
      </w:r>
      <w:r>
        <w:t xml:space="preserve"> </w:t>
      </w:r>
      <w:r>
        <w:t xml:space="preserve">(31);</w:t>
      </w:r>
    </w:p>
    <w:p>
      <w:pPr>
        <w:numPr>
          <w:ilvl w:val="1"/>
          <w:numId w:val="1943"/>
        </w:numPr>
        <w:pStyle w:val="Compact"/>
      </w:pPr>
      <w:r>
        <w:rPr>
          <w:bCs/>
          <w:b/>
        </w:rPr>
        <w:t xml:space="preserve">impact tolerances for each critical operation, at least annually or after a disruption</w:t>
      </w:r>
      <w:r>
        <w:t xml:space="preserve"> </w:t>
      </w:r>
      <w:r>
        <w:t xml:space="preserve">(32).</w:t>
      </w:r>
    </w:p>
    <w:p>
      <w:pPr>
        <w:numPr>
          <w:ilvl w:val="0"/>
          <w:numId w:val="1941"/>
        </w:numPr>
        <w:pStyle w:val="Compact"/>
      </w:pPr>
      <w:r>
        <w:rPr>
          <w:bCs/>
          <w:b/>
        </w:rPr>
        <w:t xml:space="preserve">At least one impact-tolerance metric per critical operation (33):</w:t>
      </w:r>
    </w:p>
    <w:p>
      <w:pPr>
        <w:numPr>
          <w:ilvl w:val="1"/>
          <w:numId w:val="1944"/>
        </w:numPr>
        <w:pStyle w:val="Compact"/>
      </w:pPr>
      <w:r>
        <w:t xml:space="preserve">at minimum: time-based, quantity (data loss) and service-level metrics;</w:t>
      </w:r>
    </w:p>
    <w:p>
      <w:pPr>
        <w:numPr>
          <w:ilvl w:val="1"/>
          <w:numId w:val="1944"/>
        </w:numPr>
        <w:pStyle w:val="Compact"/>
      </w:pPr>
      <w:r>
        <w:t xml:space="preserve">optional: customers affected, number of transactions affected and value affected.</w:t>
      </w:r>
    </w:p>
    <w:p>
      <w:pPr>
        <w:numPr>
          <w:ilvl w:val="0"/>
          <w:numId w:val="1941"/>
        </w:numPr>
        <w:pStyle w:val="Compact"/>
      </w:pPr>
      <w:r>
        <w:t xml:space="preserve">Issue tracking and escalation (35).</w:t>
      </w:r>
    </w:p>
    <w:p>
      <w:pPr>
        <w:numPr>
          <w:ilvl w:val="0"/>
          <w:numId w:val="1941"/>
        </w:numPr>
        <w:pStyle w:val="Compact"/>
      </w:pPr>
      <w:r>
        <w:t xml:space="preserve">A smaller RE may oversee operational risk through the Board RMC (39).</w:t>
      </w:r>
    </w:p>
    <w:p>
      <w:pPr>
        <w:pStyle w:val="FirstParagraph"/>
      </w:pPr>
      <w:r>
        <w:rPr>
          <w:bCs/>
          <w:b/>
        </w:rPr>
        <w:t xml:space="preserve">Identification and assessment (Principle 6; paras 41–44):</w:t>
      </w:r>
    </w:p>
    <w:p>
      <w:pPr>
        <w:numPr>
          <w:ilvl w:val="0"/>
          <w:numId w:val="1945"/>
        </w:numPr>
        <w:pStyle w:val="Compact"/>
      </w:pPr>
      <w:r>
        <w:rPr>
          <w:bCs/>
          <w:b/>
        </w:rPr>
        <w:t xml:space="preserve">RCSA</w:t>
      </w:r>
      <w:r>
        <w:t xml:space="preserve"> </w:t>
      </w:r>
      <w:r>
        <w:t xml:space="preserve">(42(1)):</w:t>
      </w:r>
    </w:p>
    <w:p>
      <w:pPr>
        <w:numPr>
          <w:ilvl w:val="1"/>
          <w:numId w:val="1946"/>
        </w:numPr>
        <w:pStyle w:val="Compact"/>
      </w:pPr>
      <w:r>
        <w:t xml:space="preserve">inherent risk, control effectiveness and residual risk;</w:t>
      </w:r>
    </w:p>
    <w:p>
      <w:pPr>
        <w:numPr>
          <w:ilvl w:val="1"/>
          <w:numId w:val="1946"/>
        </w:numPr>
        <w:pStyle w:val="Compact"/>
      </w:pPr>
      <w:r>
        <w:t xml:space="preserve">quantitative and qualitative elements;</w:t>
      </w:r>
    </w:p>
    <w:p>
      <w:pPr>
        <w:numPr>
          <w:ilvl w:val="1"/>
          <w:numId w:val="1946"/>
        </w:numPr>
        <w:pStyle w:val="Compact"/>
      </w:pPr>
      <w:r>
        <w:t xml:space="preserve">enough detail for an independent reviewer;</w:t>
      </w:r>
    </w:p>
    <w:p>
      <w:pPr>
        <w:numPr>
          <w:ilvl w:val="1"/>
          <w:numId w:val="1946"/>
        </w:numPr>
        <w:pStyle w:val="Compact"/>
      </w:pPr>
      <w:r>
        <w:t xml:space="preserve">a</w:t>
      </w:r>
      <w:r>
        <w:t xml:space="preserve"> </w:t>
      </w:r>
      <w:r>
        <w:rPr>
          <w:bCs/>
          <w:b/>
        </w:rPr>
        <w:t xml:space="preserve">risk register</w:t>
      </w:r>
      <w:r>
        <w:t xml:space="preserve">.</w:t>
      </w:r>
    </w:p>
    <w:p>
      <w:pPr>
        <w:numPr>
          <w:ilvl w:val="0"/>
          <w:numId w:val="1945"/>
        </w:numPr>
        <w:pStyle w:val="Compact"/>
      </w:pPr>
      <w:r>
        <w:rPr>
          <w:bCs/>
          <w:b/>
        </w:rPr>
        <w:t xml:space="preserve">Operational-risk event dataset</w:t>
      </w:r>
      <w:r>
        <w:t xml:space="preserve"> </w:t>
      </w:r>
      <w:r>
        <w:t xml:space="preserve">of all material events (42(2)):</w:t>
      </w:r>
    </w:p>
    <w:p>
      <w:pPr>
        <w:numPr>
          <w:ilvl w:val="1"/>
          <w:numId w:val="1947"/>
        </w:numPr>
        <w:pStyle w:val="Compact"/>
      </w:pPr>
      <w:r>
        <w:t xml:space="preserve">internal losses and</w:t>
      </w:r>
      <w:r>
        <w:t xml:space="preserve"> </w:t>
      </w:r>
      <w:r>
        <w:rPr>
          <w:bCs/>
          <w:b/>
        </w:rPr>
        <w:t xml:space="preserve">near misses</w:t>
      </w:r>
      <w:r>
        <w:t xml:space="preserve">;</w:t>
      </w:r>
    </w:p>
    <w:p>
      <w:pPr>
        <w:numPr>
          <w:ilvl w:val="1"/>
          <w:numId w:val="1947"/>
        </w:numPr>
        <w:pStyle w:val="Compact"/>
      </w:pPr>
      <w:r>
        <w:t xml:space="preserve">taxonomy-classified;</w:t>
      </w:r>
    </w:p>
    <w:p>
      <w:pPr>
        <w:numPr>
          <w:ilvl w:val="1"/>
          <w:numId w:val="1947"/>
        </w:numPr>
        <w:pStyle w:val="Compact"/>
      </w:pPr>
      <w:r>
        <w:rPr>
          <w:bCs/>
          <w:b/>
        </w:rPr>
        <w:t xml:space="preserve">occurrence, discovery and accounting dates</w:t>
      </w:r>
      <w:r>
        <w:t xml:space="preserve">;</w:t>
      </w:r>
    </w:p>
    <w:p>
      <w:pPr>
        <w:numPr>
          <w:ilvl w:val="1"/>
          <w:numId w:val="1947"/>
        </w:numPr>
        <w:pStyle w:val="Compact"/>
      </w:pPr>
      <w:r>
        <w:t xml:space="preserve">financial impact and root cause;</w:t>
      </w:r>
    </w:p>
    <w:p>
      <w:pPr>
        <w:numPr>
          <w:ilvl w:val="1"/>
          <w:numId w:val="1947"/>
        </w:numPr>
        <w:pStyle w:val="Compact"/>
      </w:pPr>
      <w:r>
        <w:t xml:space="preserve">external data encouraged.</w:t>
      </w:r>
    </w:p>
    <w:p>
      <w:pPr>
        <w:numPr>
          <w:ilvl w:val="0"/>
          <w:numId w:val="1945"/>
        </w:numPr>
        <w:pStyle w:val="Compact"/>
      </w:pPr>
      <w:r>
        <w:t xml:space="preserve">Event management (42(3)).</w:t>
      </w:r>
    </w:p>
    <w:p>
      <w:pPr>
        <w:numPr>
          <w:ilvl w:val="0"/>
          <w:numId w:val="1945"/>
        </w:numPr>
        <w:pStyle w:val="Compact"/>
      </w:pPr>
      <w:r>
        <w:t xml:space="preserve">Control monitoring and testing (42(4)).</w:t>
      </w:r>
    </w:p>
    <w:p>
      <w:pPr>
        <w:numPr>
          <w:ilvl w:val="0"/>
          <w:numId w:val="1945"/>
        </w:numPr>
        <w:pStyle w:val="Compact"/>
      </w:pPr>
      <w:r>
        <w:rPr>
          <w:bCs/>
          <w:b/>
        </w:rPr>
        <w:t xml:space="preserve">KRIs against thresholds</w:t>
      </w:r>
      <w:r>
        <w:t xml:space="preserve"> </w:t>
      </w:r>
      <w:r>
        <w:t xml:space="preserve">(42(5)).</w:t>
      </w:r>
    </w:p>
    <w:p>
      <w:pPr>
        <w:numPr>
          <w:ilvl w:val="0"/>
          <w:numId w:val="1945"/>
        </w:numPr>
        <w:pStyle w:val="Compact"/>
      </w:pPr>
      <w:r>
        <w:rPr>
          <w:bCs/>
          <w:b/>
        </w:rPr>
        <w:t xml:space="preserve">Regular scenario analysis for each critical service against impact tolerance</w:t>
      </w:r>
      <w:r>
        <w:t xml:space="preserve"> </w:t>
      </w:r>
      <w:r>
        <w:t xml:space="preserve">(42(6)).</w:t>
      </w:r>
    </w:p>
    <w:p>
      <w:pPr>
        <w:numPr>
          <w:ilvl w:val="0"/>
          <w:numId w:val="1945"/>
        </w:numPr>
        <w:pStyle w:val="Compact"/>
      </w:pPr>
      <w:r>
        <w:t xml:space="preserve">Benchmarking (42(7)).</w:t>
      </w:r>
    </w:p>
    <w:p>
      <w:pPr>
        <w:numPr>
          <w:ilvl w:val="0"/>
          <w:numId w:val="1945"/>
        </w:numPr>
        <w:pStyle w:val="Compact"/>
      </w:pPr>
      <w:r>
        <w:t xml:space="preserve">OORF-monitored action plans (43(3)).</w:t>
      </w:r>
    </w:p>
    <w:p>
      <w:pPr>
        <w:numPr>
          <w:ilvl w:val="0"/>
          <w:numId w:val="1945"/>
        </w:numPr>
        <w:pStyle w:val="Compact"/>
      </w:pPr>
      <w:r>
        <w:t xml:space="preserve">Reassessment on change and after incidents (44).</w:t>
      </w:r>
    </w:p>
    <w:p>
      <w:pPr>
        <w:pStyle w:val="FirstParagraph"/>
      </w:pPr>
      <w:r>
        <w:rPr>
          <w:bCs/>
          <w:b/>
        </w:rPr>
        <w:t xml:space="preserve">Change management (Principle 7; paras 45–50):</w:t>
      </w:r>
    </w:p>
    <w:p>
      <w:pPr>
        <w:numPr>
          <w:ilvl w:val="0"/>
          <w:numId w:val="1948"/>
        </w:numPr>
        <w:pStyle w:val="Compact"/>
      </w:pPr>
      <w:r>
        <w:t xml:space="preserve">New products, processes and systems reviewed on the 47(i)–(vi) heads (47).</w:t>
      </w:r>
    </w:p>
    <w:p>
      <w:pPr>
        <w:numPr>
          <w:ilvl w:val="0"/>
          <w:numId w:val="1948"/>
        </w:numPr>
        <w:pStyle w:val="Compact"/>
      </w:pPr>
      <w:r>
        <w:t xml:space="preserve">Monitoring after implementation (48).</w:t>
      </w:r>
    </w:p>
    <w:p>
      <w:pPr>
        <w:numPr>
          <w:ilvl w:val="0"/>
          <w:numId w:val="1948"/>
        </w:numPr>
        <w:pStyle w:val="Compact"/>
      </w:pPr>
      <w:r>
        <w:rPr>
          <w:bCs/>
          <w:b/>
        </w:rPr>
        <w:t xml:space="preserve">Central record of products and services, including third-party arrangements</w:t>
      </w:r>
      <w:r>
        <w:t xml:space="preserve"> </w:t>
      </w:r>
      <w:r>
        <w:t xml:space="preserve">(49).</w:t>
      </w:r>
    </w:p>
    <w:p>
      <w:pPr>
        <w:pStyle w:val="FirstParagraph"/>
      </w:pPr>
      <w:r>
        <w:rPr>
          <w:bCs/>
          <w:b/>
        </w:rPr>
        <w:t xml:space="preserve">Monitoring, reporting and control (Principles 8–9; paras 51–65):</w:t>
      </w:r>
    </w:p>
    <w:p>
      <w:pPr>
        <w:numPr>
          <w:ilvl w:val="0"/>
          <w:numId w:val="1949"/>
        </w:numPr>
        <w:pStyle w:val="Compact"/>
      </w:pPr>
      <w:r>
        <w:t xml:space="preserve">Reporting to the Board, senior management and business units, consistent with BCBS 239 and able to run under stress (51–53).</w:t>
      </w:r>
    </w:p>
    <w:p>
      <w:pPr>
        <w:numPr>
          <w:ilvl w:val="0"/>
          <w:numId w:val="1949"/>
        </w:numPr>
        <w:pStyle w:val="Compact"/>
      </w:pPr>
      <w:r>
        <w:t xml:space="preserve">Resilience reports to the Board (55).</w:t>
      </w:r>
    </w:p>
    <w:p>
      <w:pPr>
        <w:numPr>
          <w:ilvl w:val="0"/>
          <w:numId w:val="1949"/>
        </w:numPr>
        <w:pStyle w:val="Compact"/>
      </w:pPr>
      <w:r>
        <w:rPr>
          <w:bCs/>
          <w:b/>
        </w:rPr>
        <w:t xml:space="preserve">Tracking of approved exceptions, overrides and deviations</w:t>
      </w:r>
      <w:r>
        <w:t xml:space="preserve"> </w:t>
      </w:r>
      <w:r>
        <w:t xml:space="preserve">(57).</w:t>
      </w:r>
    </w:p>
    <w:p>
      <w:pPr>
        <w:numPr>
          <w:ilvl w:val="0"/>
          <w:numId w:val="1949"/>
        </w:numPr>
        <w:pStyle w:val="Compact"/>
      </w:pPr>
      <w:r>
        <w:t xml:space="preserve">SoD and dual control (59).</w:t>
      </w:r>
    </w:p>
    <w:p>
      <w:pPr>
        <w:numPr>
          <w:ilvl w:val="0"/>
          <w:numId w:val="1949"/>
        </w:numPr>
        <w:pStyle w:val="Compact"/>
      </w:pPr>
      <w:r>
        <w:rPr>
          <w:bCs/>
          <w:b/>
        </w:rPr>
        <w:t xml:space="preserve">Example controls (para 60 table):</w:t>
      </w:r>
    </w:p>
    <w:p>
      <w:pPr>
        <w:numPr>
          <w:ilvl w:val="1"/>
          <w:numId w:val="1950"/>
        </w:numPr>
        <w:pStyle w:val="Compact"/>
      </w:pPr>
      <w:r>
        <w:t xml:space="preserve">approval authorities;</w:t>
      </w:r>
    </w:p>
    <w:p>
      <w:pPr>
        <w:numPr>
          <w:ilvl w:val="1"/>
          <w:numId w:val="1950"/>
        </w:numPr>
        <w:pStyle w:val="Compact"/>
      </w:pPr>
      <w:r>
        <w:t xml:space="preserve">limit monitoring;</w:t>
      </w:r>
    </w:p>
    <w:p>
      <w:pPr>
        <w:numPr>
          <w:ilvl w:val="1"/>
          <w:numId w:val="1950"/>
        </w:numPr>
        <w:pStyle w:val="Compact"/>
      </w:pPr>
      <w:r>
        <w:t xml:space="preserve">safeguards over assets and records;</w:t>
      </w:r>
    </w:p>
    <w:p>
      <w:pPr>
        <w:numPr>
          <w:ilvl w:val="1"/>
          <w:numId w:val="1950"/>
        </w:numPr>
        <w:pStyle w:val="Compact"/>
      </w:pPr>
      <w:r>
        <w:rPr>
          <w:bCs/>
          <w:b/>
        </w:rPr>
        <w:t xml:space="preserve">regular reconciliation</w:t>
      </w:r>
      <w:r>
        <w:t xml:space="preserve">;</w:t>
      </w:r>
    </w:p>
    <w:p>
      <w:pPr>
        <w:numPr>
          <w:ilvl w:val="1"/>
          <w:numId w:val="1950"/>
        </w:numPr>
        <w:pStyle w:val="Compact"/>
      </w:pPr>
      <w:r>
        <w:rPr>
          <w:bCs/>
          <w:b/>
        </w:rPr>
        <w:t xml:space="preserve">mandatory leave in sensitive positions: one spell a year, with an element of surprise</w:t>
      </w:r>
      <w:r>
        <w:t xml:space="preserve">.</w:t>
      </w:r>
    </w:p>
    <w:p>
      <w:pPr>
        <w:numPr>
          <w:ilvl w:val="0"/>
          <w:numId w:val="1949"/>
        </w:numPr>
        <w:pStyle w:val="Compact"/>
      </w:pPr>
      <w:r>
        <w:t xml:space="preserve">Third-party concentration and downstream dependencies (63).</w:t>
      </w:r>
    </w:p>
    <w:p>
      <w:pPr>
        <w:numPr>
          <w:ilvl w:val="0"/>
          <w:numId w:val="1949"/>
        </w:numPr>
        <w:pStyle w:val="Compact"/>
      </w:pPr>
      <w:r>
        <w:rPr>
          <w:bCs/>
          <w:b/>
        </w:rPr>
        <w:t xml:space="preserve">Annual review of the insurance and risk-transfer programme; the Board sets the maximum loss exposure</w:t>
      </w:r>
      <w:r>
        <w:t xml:space="preserve"> </w:t>
      </w:r>
      <w:r>
        <w:t xml:space="preserve">(64).</w:t>
      </w:r>
    </w:p>
    <w:p>
      <w:pPr>
        <w:pStyle w:val="FirstParagraph"/>
      </w:pPr>
      <w:r>
        <w:rPr>
          <w:bCs/>
          <w:b/>
        </w:rPr>
        <w:t xml:space="preserve">Operational resilience (Principles 10–14; paras 66–94):</w:t>
      </w:r>
    </w:p>
    <w:p>
      <w:pPr>
        <w:numPr>
          <w:ilvl w:val="0"/>
          <w:numId w:val="1951"/>
        </w:numPr>
        <w:pStyle w:val="Compact"/>
      </w:pPr>
      <w:r>
        <w:rPr>
          <w:bCs/>
          <w:b/>
        </w:rPr>
        <w:t xml:space="preserve">Mapping (69–72):</w:t>
      </w:r>
    </w:p>
    <w:p>
      <w:pPr>
        <w:numPr>
          <w:ilvl w:val="1"/>
          <w:numId w:val="1952"/>
        </w:numPr>
        <w:pStyle w:val="Compact"/>
      </w:pPr>
      <w:r>
        <w:t xml:space="preserve">people, technology, processes, information, facilities, and third-party and intragroup dependencies for each critical operation (69);</w:t>
      </w:r>
    </w:p>
    <w:p>
      <w:pPr>
        <w:numPr>
          <w:ilvl w:val="1"/>
          <w:numId w:val="1952"/>
        </w:numPr>
        <w:pStyle w:val="Compact"/>
      </w:pPr>
      <w:r>
        <w:t xml:space="preserve">identifies concentration,</w:t>
      </w:r>
      <w:r>
        <w:t xml:space="preserve"> </w:t>
      </w:r>
      <w:r>
        <w:rPr>
          <w:bCs/>
          <w:b/>
        </w:rPr>
        <w:t xml:space="preserve">single points of failure</w:t>
      </w:r>
      <w:r>
        <w:t xml:space="preserve"> </w:t>
      </w:r>
      <w:r>
        <w:t xml:space="preserve">and substitutability (71);</w:t>
      </w:r>
    </w:p>
    <w:p>
      <w:pPr>
        <w:numPr>
          <w:ilvl w:val="1"/>
          <w:numId w:val="1952"/>
        </w:numPr>
        <w:pStyle w:val="Compact"/>
      </w:pPr>
      <w:r>
        <w:t xml:space="preserve">covers group risks (72).</w:t>
      </w:r>
    </w:p>
    <w:p>
      <w:pPr>
        <w:numPr>
          <w:ilvl w:val="0"/>
          <w:numId w:val="1951"/>
        </w:numPr>
        <w:pStyle w:val="Compact"/>
      </w:pPr>
      <w:r>
        <w:rPr>
          <w:bCs/>
          <w:b/>
        </w:rPr>
        <w:t xml:space="preserve">Third parties (73–76):</w:t>
      </w:r>
    </w:p>
    <w:p>
      <w:pPr>
        <w:numPr>
          <w:ilvl w:val="1"/>
          <w:numId w:val="1953"/>
        </w:numPr>
        <w:pStyle w:val="Compact"/>
      </w:pPr>
      <w:r>
        <w:t xml:space="preserve">risk assessment and due diligence,</w:t>
      </w:r>
      <w:r>
        <w:t xml:space="preserve"> </w:t>
      </w:r>
      <w:r>
        <w:rPr>
          <w:bCs/>
          <w:b/>
        </w:rPr>
        <w:t xml:space="preserve">including resilience at least equivalent to the RE’s</w:t>
      </w:r>
      <w:r>
        <w:t xml:space="preserve"> </w:t>
      </w:r>
      <w:r>
        <w:t xml:space="preserve">(73);</w:t>
      </w:r>
    </w:p>
    <w:p>
      <w:pPr>
        <w:numPr>
          <w:ilvl w:val="1"/>
          <w:numId w:val="1953"/>
        </w:numPr>
        <w:pStyle w:val="Compact"/>
      </w:pPr>
      <w:r>
        <w:t xml:space="preserve">a Board-approved third-party policy with a</w:t>
      </w:r>
      <w:r>
        <w:t xml:space="preserve"> </w:t>
      </w:r>
      <w:r>
        <w:rPr>
          <w:bCs/>
          <w:b/>
        </w:rPr>
        <w:t xml:space="preserve">register of third-party relationships showing criticality</w:t>
      </w:r>
      <w:r>
        <w:t xml:space="preserve">, metrics, contracts and supervisor access (74);</w:t>
      </w:r>
    </w:p>
    <w:p>
      <w:pPr>
        <w:numPr>
          <w:ilvl w:val="1"/>
          <w:numId w:val="1953"/>
        </w:numPr>
        <w:pStyle w:val="Compact"/>
      </w:pPr>
      <w:r>
        <w:t xml:space="preserve">exit plans and substitutability in the BCP (75);</w:t>
      </w:r>
    </w:p>
    <w:p>
      <w:pPr>
        <w:numPr>
          <w:ilvl w:val="1"/>
          <w:numId w:val="1953"/>
        </w:numPr>
        <w:pStyle w:val="Compact"/>
      </w:pPr>
      <w:r>
        <w:t xml:space="preserve">nth-party supply chain,</w:t>
      </w:r>
      <w:r>
        <w:t xml:space="preserve"> </w:t>
      </w:r>
      <w:r>
        <w:rPr>
          <w:bCs/>
          <w:b/>
        </w:rPr>
        <w:t xml:space="preserve">with the provider contractually liable for its subcontractors</w:t>
      </w:r>
      <w:r>
        <w:t xml:space="preserve"> </w:t>
      </w:r>
      <w:r>
        <w:t xml:space="preserve">(76).</w:t>
      </w:r>
    </w:p>
    <w:p>
      <w:pPr>
        <w:numPr>
          <w:ilvl w:val="0"/>
          <w:numId w:val="1951"/>
        </w:numPr>
        <w:pStyle w:val="Compact"/>
      </w:pPr>
      <w:r>
        <w:rPr>
          <w:bCs/>
          <w:b/>
        </w:rPr>
        <w:t xml:space="preserve">BCP (77–83):</w:t>
      </w:r>
    </w:p>
    <w:p>
      <w:pPr>
        <w:numPr>
          <w:ilvl w:val="1"/>
          <w:numId w:val="1954"/>
        </w:numPr>
        <w:pStyle w:val="Compact"/>
      </w:pPr>
      <w:r>
        <w:t xml:space="preserve">regular Board review (77);</w:t>
      </w:r>
    </w:p>
    <w:p>
      <w:pPr>
        <w:numPr>
          <w:ilvl w:val="1"/>
          <w:numId w:val="1954"/>
        </w:numPr>
        <w:pStyle w:val="Compact"/>
      </w:pPr>
      <w:r>
        <w:t xml:space="preserve">scenario-based BIA, maximum-tolerable-outage triggers,</w:t>
      </w:r>
      <w:r>
        <w:t xml:space="preserve"> </w:t>
      </w:r>
      <w:r>
        <w:rPr>
          <w:bCs/>
          <w:b/>
        </w:rPr>
        <w:t xml:space="preserve">RTO/RPO</w:t>
      </w:r>
      <w:r>
        <w:t xml:space="preserve"> </w:t>
      </w:r>
      <w:r>
        <w:t xml:space="preserve">and communication plans (78);</w:t>
      </w:r>
    </w:p>
    <w:p>
      <w:pPr>
        <w:numPr>
          <w:ilvl w:val="1"/>
          <w:numId w:val="1954"/>
        </w:numPr>
        <w:pStyle w:val="Compact"/>
      </w:pPr>
      <w:r>
        <w:t xml:space="preserve">exercises that include third parties (79);</w:t>
      </w:r>
    </w:p>
    <w:p>
      <w:pPr>
        <w:numPr>
          <w:ilvl w:val="1"/>
          <w:numId w:val="1954"/>
        </w:numPr>
        <w:pStyle w:val="Compact"/>
      </w:pPr>
      <w:r>
        <w:t xml:space="preserve">succession of authority and invocation triggers (80);</w:t>
      </w:r>
    </w:p>
    <w:p>
      <w:pPr>
        <w:numPr>
          <w:ilvl w:val="1"/>
          <w:numId w:val="1954"/>
        </w:numPr>
        <w:pStyle w:val="Compact"/>
      </w:pPr>
      <w:r>
        <w:t xml:space="preserve">test results to senior management and the Board (82);</w:t>
      </w:r>
    </w:p>
    <w:p>
      <w:pPr>
        <w:numPr>
          <w:ilvl w:val="1"/>
          <w:numId w:val="1954"/>
        </w:numPr>
        <w:pStyle w:val="Compact"/>
      </w:pPr>
      <w:r>
        <w:t xml:space="preserve">a pandemic plan (83).</w:t>
      </w:r>
    </w:p>
    <w:p>
      <w:pPr>
        <w:numPr>
          <w:ilvl w:val="0"/>
          <w:numId w:val="1951"/>
        </w:numPr>
        <w:pStyle w:val="Compact"/>
      </w:pPr>
      <w:r>
        <w:rPr>
          <w:bCs/>
          <w:b/>
        </w:rPr>
        <w:t xml:space="preserve">Incidents (84–87):</w:t>
      </w:r>
    </w:p>
    <w:p>
      <w:pPr>
        <w:numPr>
          <w:ilvl w:val="1"/>
          <w:numId w:val="1955"/>
        </w:numPr>
        <w:pStyle w:val="Compact"/>
      </w:pPr>
      <w:r>
        <w:t xml:space="preserve">inventory of response resources (84);</w:t>
      </w:r>
    </w:p>
    <w:p>
      <w:pPr>
        <w:numPr>
          <w:ilvl w:val="1"/>
          <w:numId w:val="1955"/>
        </w:numPr>
        <w:pStyle w:val="Compact"/>
      </w:pPr>
      <w:r>
        <w:rPr>
          <w:bCs/>
          <w:b/>
        </w:rPr>
        <w:t xml:space="preserve">severity classification</w:t>
      </w:r>
      <w:r>
        <w:t xml:space="preserve">, procedures and internal/external communication plans with metrics (85);</w:t>
      </w:r>
    </w:p>
    <w:p>
      <w:pPr>
        <w:numPr>
          <w:ilvl w:val="1"/>
          <w:numId w:val="1955"/>
        </w:numPr>
        <w:pStyle w:val="Compact"/>
      </w:pPr>
      <w:r>
        <w:t xml:space="preserve">RCA (86);</w:t>
      </w:r>
    </w:p>
    <w:p>
      <w:pPr>
        <w:numPr>
          <w:ilvl w:val="1"/>
          <w:numId w:val="1955"/>
        </w:numPr>
        <w:pStyle w:val="Compact"/>
      </w:pPr>
      <w:r>
        <w:t xml:space="preserve">lessons from near misses and third-party incidents (87).</w:t>
      </w:r>
    </w:p>
    <w:p>
      <w:pPr>
        <w:numPr>
          <w:ilvl w:val="0"/>
          <w:numId w:val="1951"/>
        </w:numPr>
        <w:pStyle w:val="Compact"/>
      </w:pPr>
      <w:r>
        <w:rPr>
          <w:bCs/>
          <w:b/>
        </w:rPr>
        <w:t xml:space="preserve">ICT (90–94):</w:t>
      </w:r>
    </w:p>
    <w:p>
      <w:pPr>
        <w:numPr>
          <w:ilvl w:val="1"/>
          <w:numId w:val="1956"/>
        </w:numPr>
        <w:pStyle w:val="Compact"/>
      </w:pPr>
      <w:r>
        <w:t xml:space="preserve">an ICT policy (90);</w:t>
      </w:r>
    </w:p>
    <w:p>
      <w:pPr>
        <w:numPr>
          <w:ilvl w:val="1"/>
          <w:numId w:val="1956"/>
        </w:numPr>
        <w:pStyle w:val="Compact"/>
      </w:pPr>
      <w:r>
        <w:t xml:space="preserve">Board oversight (91);</w:t>
      </w:r>
    </w:p>
    <w:p>
      <w:pPr>
        <w:numPr>
          <w:ilvl w:val="1"/>
          <w:numId w:val="1956"/>
        </w:numPr>
        <w:pStyle w:val="Compact"/>
      </w:pPr>
      <w:r>
        <w:t xml:space="preserve">privileged-user management (93(ii));</w:t>
      </w:r>
    </w:p>
    <w:p>
      <w:pPr>
        <w:numPr>
          <w:ilvl w:val="1"/>
          <w:numId w:val="1956"/>
        </w:numPr>
        <w:pStyle w:val="Compact"/>
      </w:pPr>
      <w:r>
        <w:rPr>
          <w:bCs/>
          <w:b/>
        </w:rPr>
        <w:t xml:space="preserve">offline immutable backups of critical data</w:t>
      </w:r>
      <w:r>
        <w:t xml:space="preserve"> </w:t>
      </w:r>
      <w:r>
        <w:t xml:space="preserve">(94).</w:t>
      </w:r>
    </w:p>
    <w:p>
      <w:pPr>
        <w:pStyle w:val="FirstParagraph"/>
      </w:pPr>
      <w:r>
        <w:rPr>
          <w:bCs/>
          <w:b/>
        </w:rPr>
        <w:t xml:space="preserve">Learn and adapt (Principles 15–17; paras 95–107):</w:t>
      </w:r>
    </w:p>
    <w:p>
      <w:pPr>
        <w:numPr>
          <w:ilvl w:val="0"/>
          <w:numId w:val="1957"/>
        </w:numPr>
        <w:pStyle w:val="Compact"/>
      </w:pPr>
      <w:r>
        <w:t xml:space="preserve">Public disclosure of the ORMF and</w:t>
      </w:r>
      <w:r>
        <w:t xml:space="preserve"> </w:t>
      </w:r>
      <w:r>
        <w:rPr>
          <w:bCs/>
          <w:b/>
        </w:rPr>
        <w:t xml:space="preserve">significant operational loss events</w:t>
      </w:r>
      <w:r>
        <w:t xml:space="preserve"> </w:t>
      </w:r>
      <w:r>
        <w:t xml:space="preserve">(96), under a</w:t>
      </w:r>
      <w:r>
        <w:t xml:space="preserve"> </w:t>
      </w:r>
      <w:r>
        <w:rPr>
          <w:bCs/>
          <w:b/>
        </w:rPr>
        <w:t xml:space="preserve">Board-approved disclosure policy</w:t>
      </w:r>
      <w:r>
        <w:t xml:space="preserve"> </w:t>
      </w:r>
      <w:r>
        <w:t xml:space="preserve">(97).</w:t>
      </w:r>
    </w:p>
    <w:p>
      <w:pPr>
        <w:numPr>
          <w:ilvl w:val="0"/>
          <w:numId w:val="1957"/>
        </w:numPr>
        <w:pStyle w:val="Compact"/>
      </w:pPr>
      <w:r>
        <w:rPr>
          <w:bCs/>
          <w:b/>
        </w:rPr>
        <w:t xml:space="preserve">Lessons-learned exercise with RCA after any disruption, including one at a third party</w:t>
      </w:r>
      <w:r>
        <w:t xml:space="preserve"> </w:t>
      </w:r>
      <w:r>
        <w:t xml:space="preserve">(99).</w:t>
      </w:r>
    </w:p>
    <w:p>
      <w:pPr>
        <w:numPr>
          <w:ilvl w:val="0"/>
          <w:numId w:val="1957"/>
        </w:numPr>
        <w:pStyle w:val="Compact"/>
      </w:pPr>
      <w:r>
        <w:rPr>
          <w:bCs/>
          <w:b/>
        </w:rPr>
        <w:t xml:space="preserve">Minimum questions (101):</w:t>
      </w:r>
    </w:p>
    <w:p>
      <w:pPr>
        <w:numPr>
          <w:ilvl w:val="1"/>
          <w:numId w:val="1958"/>
        </w:numPr>
        <w:pStyle w:val="Compact"/>
      </w:pPr>
      <w:r>
        <w:t xml:space="preserve">how and why the incident happened;</w:t>
      </w:r>
    </w:p>
    <w:p>
      <w:pPr>
        <w:numPr>
          <w:ilvl w:val="1"/>
          <w:numId w:val="1958"/>
        </w:numPr>
        <w:pStyle w:val="Compact"/>
      </w:pPr>
      <w:r>
        <w:t xml:space="preserve">the impact on critical operations;</w:t>
      </w:r>
    </w:p>
    <w:p>
      <w:pPr>
        <w:numPr>
          <w:ilvl w:val="1"/>
          <w:numId w:val="1958"/>
        </w:numPr>
        <w:pStyle w:val="Compact"/>
      </w:pPr>
      <w:r>
        <w:t xml:space="preserve">speed and extent of recovery;</w:t>
      </w:r>
    </w:p>
    <w:p>
      <w:pPr>
        <w:numPr>
          <w:ilvl w:val="1"/>
          <w:numId w:val="1958"/>
        </w:numPr>
        <w:pStyle w:val="Compact"/>
      </w:pPr>
      <w:r>
        <w:t xml:space="preserve">whether communication channels were followed;</w:t>
      </w:r>
    </w:p>
    <w:p>
      <w:pPr>
        <w:numPr>
          <w:ilvl w:val="1"/>
          <w:numId w:val="1958"/>
        </w:numPr>
        <w:pStyle w:val="Compact"/>
      </w:pPr>
      <w:r>
        <w:t xml:space="preserve">whether impact tolerances were held;</w:t>
      </w:r>
    </w:p>
    <w:p>
      <w:pPr>
        <w:numPr>
          <w:ilvl w:val="1"/>
          <w:numId w:val="1958"/>
        </w:numPr>
        <w:pStyle w:val="Compact"/>
      </w:pPr>
      <w:r>
        <w:t xml:space="preserve">whether controls, decisions and communications were appropriate and timely.</w:t>
      </w:r>
    </w:p>
    <w:p>
      <w:pPr>
        <w:numPr>
          <w:ilvl w:val="0"/>
          <w:numId w:val="1957"/>
        </w:numPr>
        <w:pStyle w:val="Compact"/>
      </w:pPr>
      <w:r>
        <w:rPr>
          <w:bCs/>
          <w:b/>
        </w:rPr>
        <w:t xml:space="preserve">Post-incident report to the Board</w:t>
      </w:r>
      <w:r>
        <w:t xml:space="preserve"> </w:t>
      </w:r>
      <w:r>
        <w:t xml:space="preserve">(102).</w:t>
      </w:r>
    </w:p>
    <w:p>
      <w:pPr>
        <w:numPr>
          <w:ilvl w:val="0"/>
          <w:numId w:val="1957"/>
        </w:numPr>
        <w:pStyle w:val="Compact"/>
      </w:pPr>
      <w:r>
        <w:t xml:space="preserve">Feedback loop (104–107).</w:t>
      </w:r>
    </w:p>
    <w:p>
      <w:r>
        <w:pict>
          <v:rect style="width:0;height:1.5pt" o:hralign="center" o:hrstd="t" o:hr="t"/>
        </w:pict>
      </w:r>
    </w:p>
    <w:bookmarkEnd w:id="812"/>
    <w:bookmarkStart w:id="813" w:name="X5588c19b1945b694b66207fa195997d0609afb4"/>
    <w:p>
      <w:pPr>
        <w:pStyle w:val="Heading2"/>
      </w:pPr>
      <w:r>
        <w:t xml:space="preserve">8A.31 MFI — Microfinance Institution Directions (371)</w:t>
      </w:r>
    </w:p>
    <w:p>
      <w:pPr>
        <w:pStyle w:val="FirstParagraph"/>
      </w:pPr>
      <w:r>
        <w:rPr>
          <w:bCs/>
          <w:b/>
        </w:rPr>
        <w:t xml:space="preserve">Applicability (paras 3–5, 7–8).</w:t>
      </w:r>
      <w:r>
        <w:t xml:space="preserve"> </w:t>
      </w:r>
      <w:r>
        <w:t xml:space="preserve">Every NBFC-MFI, in addition to (not in substitution of) the Directions listed in para 4, by layer (para 5). Original text of 28 Nov 2025; no</w:t>
      </w:r>
      <w:r>
        <w:t xml:space="preserve"> </w:t>
      </w:r>
      <w:r>
        <w:t xml:space="preserve">“</w:t>
      </w:r>
      <w:r>
        <w:t xml:space="preserve">updated as on</w:t>
      </w:r>
      <w:r>
        <w:t xml:space="preserve">”</w:t>
      </w:r>
      <w:r>
        <w:t xml:space="preserve"> </w:t>
      </w:r>
      <w:r>
        <w:t xml:space="preserve">date.</w:t>
      </w:r>
    </w:p>
    <w:p>
      <w:pPr>
        <w:numPr>
          <w:ilvl w:val="0"/>
          <w:numId w:val="1959"/>
        </w:numPr>
        <w:pStyle w:val="Compact"/>
      </w:pPr>
      <w:r>
        <w:rPr>
          <w:bCs/>
          <w:b/>
        </w:rPr>
        <w:t xml:space="preserve">NBFC-MFI</w:t>
      </w:r>
      <w:r>
        <w:t xml:space="preserve"> </w:t>
      </w:r>
      <w:r>
        <w:t xml:space="preserve">= a non-deposit-taking NBFC with</w:t>
      </w:r>
      <w:r>
        <w:t xml:space="preserve"> </w:t>
      </w:r>
      <w:r>
        <w:rPr>
          <w:bCs/>
          <w:b/>
        </w:rPr>
        <w:t xml:space="preserve">≥ 60% of total assets (netted off by intangible assets) deployed in</w:t>
      </w:r>
      <w:r>
        <w:rPr>
          <w:bCs/>
          <w:b/>
        </w:rPr>
        <w:t xml:space="preserve"> </w:t>
      </w:r>
      <w:r>
        <w:rPr>
          <w:bCs/>
          <w:b/>
        </w:rPr>
        <w:t xml:space="preserve">“</w:t>
      </w:r>
      <w:r>
        <w:rPr>
          <w:bCs/>
          <w:b/>
        </w:rPr>
        <w:t xml:space="preserve">microfinance loans</w:t>
      </w:r>
      <w:r>
        <w:rPr>
          <w:bCs/>
          <w:b/>
        </w:rPr>
        <w:t xml:space="preserve">”</w:t>
      </w:r>
      <w:r>
        <w:rPr>
          <w:bCs/>
          <w:b/>
        </w:rPr>
        <w:t xml:space="preserve"> </w:t>
      </w:r>
      <w:r>
        <w:rPr>
          <w:bCs/>
          <w:b/>
        </w:rPr>
        <w:t xml:space="preserve">on an ongoing basis</w:t>
      </w:r>
      <w:r>
        <w:t xml:space="preserve"> </w:t>
      </w:r>
      <w:r>
        <w:t xml:space="preserve">(para 8(3)).</w:t>
      </w:r>
    </w:p>
    <w:p>
      <w:pPr>
        <w:numPr>
          <w:ilvl w:val="0"/>
          <w:numId w:val="1959"/>
        </w:numPr>
        <w:pStyle w:val="Compact"/>
      </w:pPr>
      <w:r>
        <w:t xml:space="preserve">“</w:t>
      </w:r>
      <w:r>
        <w:t xml:space="preserve">Microfinance loan</w:t>
      </w:r>
      <w:r>
        <w:t xml:space="preserve">”</w:t>
      </w:r>
      <w:r>
        <w:t xml:space="preserve"> </w:t>
      </w:r>
      <w:r>
        <w:t xml:space="preserve">has the CF meaning (para 8(2); CF para 51).</w:t>
      </w:r>
    </w:p>
    <w:p>
      <w:pPr>
        <w:numPr>
          <w:ilvl w:val="0"/>
          <w:numId w:val="1959"/>
        </w:numPr>
        <w:pStyle w:val="Compact"/>
      </w:pPr>
      <w:r>
        <w:t xml:space="preserve">An NBFC-MFI may sit in any SBR layer (para 7).</w:t>
      </w:r>
    </w:p>
    <w:p>
      <w:pPr>
        <w:numPr>
          <w:ilvl w:val="0"/>
          <w:numId w:val="1959"/>
        </w:numPr>
        <w:pStyle w:val="Compact"/>
      </w:pPr>
      <w:r>
        <w:rPr>
          <w:bCs/>
          <w:b/>
        </w:rPr>
        <w:t xml:space="preserve">Para 49 binds every NBFC</w:t>
      </w:r>
      <w:r>
        <w:t xml:space="preserve"> </w:t>
      </w:r>
      <w:r>
        <w:t xml:space="preserve">(see below).</w:t>
      </w:r>
    </w:p>
    <w:p>
      <w:pPr>
        <w:pStyle w:val="FirstParagraph"/>
      </w:pPr>
      <w:r>
        <w:rPr>
          <w:bCs/>
          <w:b/>
        </w:rPr>
        <w:t xml:space="preserve">Qualifying assets (para 12):</w:t>
      </w:r>
    </w:p>
    <w:p>
      <w:pPr>
        <w:numPr>
          <w:ilvl w:val="0"/>
          <w:numId w:val="1960"/>
        </w:numPr>
        <w:pStyle w:val="Compact"/>
      </w:pPr>
      <w:r>
        <w:t xml:space="preserve">Qualifying assets = microfinance loans,</w:t>
      </w:r>
      <w:r>
        <w:t xml:space="preserve"> </w:t>
      </w:r>
      <w:r>
        <w:rPr>
          <w:bCs/>
          <w:b/>
        </w:rPr>
        <w:t xml:space="preserve">minimum 60%</w:t>
      </w:r>
      <w:r>
        <w:t xml:space="preserve"> </w:t>
      </w:r>
      <w:r>
        <w:t xml:space="preserve">of total assets net of intangibles, on an ongoing basis.</w:t>
      </w:r>
    </w:p>
    <w:p>
      <w:pPr>
        <w:numPr>
          <w:ilvl w:val="0"/>
          <w:numId w:val="1960"/>
        </w:numPr>
        <w:pStyle w:val="Compact"/>
      </w:pPr>
      <w:r>
        <w:rPr>
          <w:bCs/>
          <w:b/>
        </w:rPr>
        <w:t xml:space="preserve">Four consecutive quarters</w:t>
      </w:r>
      <w:r>
        <w:t xml:space="preserve"> </w:t>
      </w:r>
      <w:r>
        <w:t xml:space="preserve">below 60%: the NBFC-MFI approaches RBI with a remediation plan.</w:t>
      </w:r>
    </w:p>
    <w:p>
      <w:pPr>
        <w:numPr>
          <w:ilvl w:val="0"/>
          <w:numId w:val="1960"/>
        </w:numPr>
        <w:pStyle w:val="Compact"/>
      </w:pPr>
      <w:r>
        <w:rPr>
          <w:bCs/>
          <w:b/>
        </w:rPr>
        <w:t xml:space="preserve">There is no 75% test in this Direction.</w:t>
      </w:r>
    </w:p>
    <w:p>
      <w:pPr>
        <w:numPr>
          <w:ilvl w:val="0"/>
          <w:numId w:val="1960"/>
        </w:numPr>
        <w:pStyle w:val="Compact"/>
      </w:pPr>
      <w:r>
        <w:t xml:space="preserve">Build: quarterly qualifying-asset test (M12) with a 4-quarter breach counter. Quarters 1–3 raise an M14 alert; quarter 4 opens a remediation-plan task. The result feeds the Workspace L evidence pack (AUD para 8, MFI classification).</w:t>
      </w:r>
    </w:p>
    <w:p>
      <w:pPr>
        <w:pStyle w:val="FirstParagraph"/>
      </w:pPr>
      <w:r>
        <w:rPr>
          <w:bCs/>
          <w:b/>
        </w:rPr>
        <w:t xml:space="preserve">Non-MFI NBFCs (para 49):</w:t>
      </w:r>
    </w:p>
    <w:p>
      <w:pPr>
        <w:numPr>
          <w:ilvl w:val="0"/>
          <w:numId w:val="1961"/>
        </w:numPr>
        <w:pStyle w:val="Compact"/>
      </w:pPr>
      <w:r>
        <w:t xml:space="preserve">Microfinance loans of all NBFCs are governed by CF, RBC and Outsourcing.</w:t>
      </w:r>
    </w:p>
    <w:p>
      <w:pPr>
        <w:numPr>
          <w:ilvl w:val="0"/>
          <w:numId w:val="1961"/>
        </w:numPr>
        <w:pStyle w:val="Compact"/>
      </w:pPr>
      <w:r>
        <w:rPr>
          <w:bCs/>
          <w:b/>
        </w:rPr>
        <w:t xml:space="preserve">An NBFC that is not an NBFC-MFI may hold microfinance loans of at most 25% of its total assets, in aggregate.</w:t>
      </w:r>
    </w:p>
    <w:p>
      <w:pPr>
        <w:numPr>
          <w:ilvl w:val="0"/>
          <w:numId w:val="1961"/>
        </w:numPr>
        <w:pStyle w:val="Compact"/>
      </w:pPr>
      <w:r>
        <w:t xml:space="preserve">Build: M12 limit plus an M4 pre-sanction gate on every loan the CF 51 classifier marks as microfinance.</w:t>
      </w:r>
    </w:p>
    <w:p>
      <w:pPr>
        <w:pStyle w:val="FirstParagraph"/>
      </w:pPr>
      <w:r>
        <w:rPr>
          <w:bCs/>
          <w:b/>
        </w:rPr>
        <w:t xml:space="preserve">Channelising agent for Central/State Government schemes (para 13):</w:t>
      </w:r>
    </w:p>
    <w:p>
      <w:pPr>
        <w:numPr>
          <w:ilvl w:val="0"/>
          <w:numId w:val="1962"/>
        </w:numPr>
        <w:pStyle w:val="Compact"/>
      </w:pPr>
      <w:r>
        <w:t xml:space="preserve">These loans are a</w:t>
      </w:r>
      <w:r>
        <w:t xml:space="preserve"> </w:t>
      </w:r>
      <w:r>
        <w:rPr>
          <w:bCs/>
          <w:b/>
        </w:rPr>
        <w:t xml:space="preserve">separate business segment</w:t>
      </w:r>
      <w:r>
        <w:t xml:space="preserve">, excluded from</w:t>
      </w:r>
      <w:r>
        <w:t xml:space="preserve"> </w:t>
      </w:r>
      <w:r>
        <w:rPr>
          <w:bCs/>
          <w:b/>
        </w:rPr>
        <w:t xml:space="preserve">both</w:t>
      </w:r>
      <w:r>
        <w:t xml:space="preserve"> </w:t>
      </w:r>
      <w:r>
        <w:t xml:space="preserve">the numerator and the denominator of the 60% test (13(1)).</w:t>
      </w:r>
    </w:p>
    <w:p>
      <w:pPr>
        <w:numPr>
          <w:ilvl w:val="0"/>
          <w:numId w:val="1962"/>
        </w:numPr>
        <w:pStyle w:val="Compact"/>
      </w:pPr>
      <w:r>
        <w:t xml:space="preserve">Separate accounts and records, including funds received or receivable from the agency; shown as a separate segment in the financials (13(2)(i)).</w:t>
      </w:r>
    </w:p>
    <w:p>
      <w:pPr>
        <w:numPr>
          <w:ilvl w:val="0"/>
          <w:numId w:val="1962"/>
        </w:numPr>
        <w:pStyle w:val="Compact"/>
      </w:pPr>
      <w:r>
        <w:t xml:space="preserve">IRACP and prudential norms apply unless the MFI bears no credit risk (13(2)(ii)).</w:t>
      </w:r>
    </w:p>
    <w:p>
      <w:pPr>
        <w:numPr>
          <w:ilvl w:val="0"/>
          <w:numId w:val="1962"/>
        </w:numPr>
        <w:pStyle w:val="Compact"/>
      </w:pPr>
      <w:r>
        <w:rPr>
          <w:bCs/>
          <w:b/>
        </w:rPr>
        <w:t xml:space="preserve">All such loans are reported to CICs</w:t>
      </w:r>
      <w:r>
        <w:t xml:space="preserve"> </w:t>
      </w:r>
      <w:r>
        <w:t xml:space="preserve">(13(2)(iii)).</w:t>
      </w:r>
    </w:p>
    <w:p>
      <w:pPr>
        <w:numPr>
          <w:ilvl w:val="0"/>
          <w:numId w:val="1962"/>
        </w:numPr>
        <w:pStyle w:val="Compact"/>
      </w:pPr>
      <w:r>
        <w:t xml:space="preserve">Build:</w:t>
      </w:r>
      <w:r>
        <w:t xml:space="preserve"> </w:t>
      </w:r>
      <w:r>
        <w:rPr>
          <w:rStyle w:val="VerbatimChar"/>
        </w:rPr>
        <w:t xml:space="preserve">channelising_scheme</w:t>
      </w:r>
      <w:r>
        <w:t xml:space="preserve"> </w:t>
      </w:r>
      <w:r>
        <w:t xml:space="preserve">flag on product and loan; segment GL;</w:t>
      </w:r>
      <w:r>
        <w:t xml:space="preserve"> </w:t>
      </w:r>
      <w:r>
        <w:t xml:space="preserve">“</w:t>
      </w:r>
      <w:r>
        <w:t xml:space="preserve">credit risk borne</w:t>
      </w:r>
      <w:r>
        <w:t xml:space="preserve">”</w:t>
      </w:r>
      <w:r>
        <w:t xml:space="preserve"> </w:t>
      </w:r>
      <w:r>
        <w:t xml:space="preserve">flag driving IRACP; CIC reporting cannot be switched off.</w:t>
      </w:r>
    </w:p>
    <w:p>
      <w:pPr>
        <w:pStyle w:val="FirstParagraph"/>
      </w:pPr>
      <w:r>
        <w:rPr>
          <w:bCs/>
          <w:b/>
        </w:rPr>
        <w:t xml:space="preserve">Board (para 10).</w:t>
      </w:r>
      <w:r>
        <w:t xml:space="preserve"> </w:t>
      </w:r>
      <w:r>
        <w:t xml:space="preserve">Board-approved internal exposure limits to avoid geographical concentration (10(1)). Build: state- and district-level limits in M12.</w:t>
      </w:r>
    </w:p>
    <w:p>
      <w:pPr>
        <w:pStyle w:val="BodyText"/>
      </w:pPr>
      <w:r>
        <w:rPr>
          <w:bCs/>
          <w:b/>
        </w:rPr>
        <w:t xml:space="preserve">Capital (paras 16–21):</w:t>
      </w:r>
    </w:p>
    <w:p>
      <w:pPr>
        <w:numPr>
          <w:ilvl w:val="0"/>
          <w:numId w:val="1963"/>
        </w:numPr>
        <w:pStyle w:val="Compact"/>
      </w:pPr>
      <w:r>
        <w:rPr>
          <w:bCs/>
          <w:b/>
        </w:rPr>
        <w:t xml:space="preserve">CRAR ≥ 15%</w:t>
      </w:r>
      <w:r>
        <w:t xml:space="preserve"> </w:t>
      </w:r>
      <w:r>
        <w:t xml:space="preserve">of aggregate RWA, made up of Tier 1 and Tier 2 (16).</w:t>
      </w:r>
    </w:p>
    <w:p>
      <w:pPr>
        <w:numPr>
          <w:ilvl w:val="0"/>
          <w:numId w:val="1963"/>
        </w:numPr>
        <w:pStyle w:val="Compact"/>
      </w:pPr>
      <w:r>
        <w:rPr>
          <w:bCs/>
          <w:b/>
        </w:rPr>
        <w:t xml:space="preserve">Tier 2 ≤ 100% of Tier 1</w:t>
      </w:r>
      <w:r>
        <w:t xml:space="preserve"> </w:t>
      </w:r>
      <w:r>
        <w:t xml:space="preserve">at any time (17).</w:t>
      </w:r>
    </w:p>
    <w:p>
      <w:pPr>
        <w:numPr>
          <w:ilvl w:val="0"/>
          <w:numId w:val="1963"/>
        </w:numPr>
        <w:pStyle w:val="Compact"/>
      </w:pPr>
      <w:r>
        <w:t xml:space="preserve">The Capital Adequacy Directions govern:</w:t>
      </w:r>
    </w:p>
    <w:p>
      <w:pPr>
        <w:numPr>
          <w:ilvl w:val="1"/>
          <w:numId w:val="1964"/>
        </w:numPr>
        <w:pStyle w:val="Compact"/>
      </w:pPr>
      <w:r>
        <w:t xml:space="preserve">on- and off-balance-sheet treatment;</w:t>
      </w:r>
    </w:p>
    <w:p>
      <w:pPr>
        <w:numPr>
          <w:ilvl w:val="1"/>
          <w:numId w:val="1964"/>
        </w:numPr>
        <w:pStyle w:val="Compact"/>
      </w:pPr>
      <w:r>
        <w:t xml:space="preserve">DTA/DTL;</w:t>
      </w:r>
    </w:p>
    <w:p>
      <w:pPr>
        <w:numPr>
          <w:ilvl w:val="1"/>
          <w:numId w:val="1964"/>
        </w:numPr>
        <w:pStyle w:val="Compact"/>
      </w:pPr>
      <w:r>
        <w:t xml:space="preserve">risk weights for CGTMSE/CRGFTLIH/NCGTC-guaranteed loans (18–20).</w:t>
      </w:r>
    </w:p>
    <w:p>
      <w:pPr>
        <w:numPr>
          <w:ilvl w:val="0"/>
          <w:numId w:val="1963"/>
        </w:numPr>
        <w:pStyle w:val="Compact"/>
      </w:pPr>
      <w:r>
        <w:t xml:space="preserve">The rest of the Capital Adequacy Directions applies, except paras 6(1), 6(2) and 17 (21).</w:t>
      </w:r>
    </w:p>
    <w:p>
      <w:pPr>
        <w:pStyle w:val="FirstParagraph"/>
      </w:pPr>
      <w:r>
        <w:rPr>
          <w:bCs/>
          <w:b/>
        </w:rPr>
        <w:t xml:space="preserve">Asset classification and provisioning: the NBFC-MFI’s microfinance loans (paras 22–28):</w:t>
      </w:r>
    </w:p>
    <w:p>
      <w:pPr>
        <w:numPr>
          <w:ilvl w:val="0"/>
          <w:numId w:val="1965"/>
        </w:numPr>
        <w:pStyle w:val="Compact"/>
      </w:pPr>
      <w:r>
        <w:t xml:space="preserve">Standard asset as defined (23).</w:t>
      </w:r>
    </w:p>
    <w:p>
      <w:pPr>
        <w:numPr>
          <w:ilvl w:val="0"/>
          <w:numId w:val="1965"/>
        </w:numPr>
        <w:pStyle w:val="Compact"/>
      </w:pPr>
      <w:r>
        <w:rPr>
          <w:bCs/>
          <w:b/>
        </w:rPr>
        <w:t xml:space="preserve">NPA: interest or principal overdue for more than 90 days</w:t>
      </w:r>
      <w:r>
        <w:t xml:space="preserve"> </w:t>
      </w:r>
      <w:r>
        <w:t xml:space="preserve">(24).</w:t>
      </w:r>
    </w:p>
    <w:p>
      <w:pPr>
        <w:numPr>
          <w:ilvl w:val="0"/>
          <w:numId w:val="1965"/>
        </w:numPr>
        <w:pStyle w:val="Compact"/>
      </w:pPr>
      <w:r>
        <w:rPr>
          <w:bCs/>
          <w:b/>
        </w:rPr>
        <w:t xml:space="preserve">Aggregate provision floor, at any point of time, is the higher of (25(1)):</w:t>
      </w:r>
    </w:p>
    <w:p>
      <w:pPr>
        <w:numPr>
          <w:ilvl w:val="1"/>
          <w:numId w:val="1966"/>
        </w:numPr>
        <w:pStyle w:val="Compact"/>
      </w:pPr>
    </w:p>
    <w:p>
      <w:pPr>
        <w:numPr>
          <w:ilvl w:val="2"/>
          <w:numId w:val="1967"/>
        </w:numPr>
        <w:pStyle w:val="Compact"/>
      </w:pPr>
      <w:r>
        <w:rPr>
          <w:bCs/>
          <w:b/>
        </w:rPr>
        <w:t xml:space="preserve">1% of the outstanding loan portfolio</w:t>
      </w:r>
      <w:r>
        <w:t xml:space="preserve">; or</w:t>
      </w:r>
    </w:p>
    <w:p>
      <w:pPr>
        <w:numPr>
          <w:ilvl w:val="1"/>
          <w:numId w:val="1966"/>
        </w:numPr>
        <w:pStyle w:val="Compact"/>
      </w:pPr>
    </w:p>
    <w:p>
      <w:pPr>
        <w:numPr>
          <w:ilvl w:val="2"/>
          <w:numId w:val="1968"/>
        </w:numPr>
        <w:pStyle w:val="Compact"/>
      </w:pPr>
      <w:r>
        <w:rPr>
          <w:bCs/>
          <w:b/>
        </w:rPr>
        <w:t xml:space="preserve">50% of instalments overdue &gt; 90 and &lt; 180 days, plus 100% of instalments overdue ≥ 180 days</w:t>
      </w:r>
      <w:r>
        <w:t xml:space="preserve">.</w:t>
      </w:r>
    </w:p>
    <w:p>
      <w:pPr>
        <w:numPr>
          <w:ilvl w:val="0"/>
          <w:numId w:val="1965"/>
        </w:numPr>
        <w:pStyle w:val="Compact"/>
      </w:pPr>
      <w:r>
        <w:t xml:space="preserve">Build: compute (ii) on</w:t>
      </w:r>
      <w:r>
        <w:t xml:space="preserve"> </w:t>
      </w:r>
      <w:r>
        <w:rPr>
          <w:bCs/>
          <w:b/>
        </w:rPr>
        <w:t xml:space="preserve">overdue instalment amounts, not loan outstanding</w:t>
      </w:r>
      <w:r>
        <w:t xml:space="preserve">, at portfolio level, at every COB and at period end. Any shortfall against the IRACP/ECL result is booked.</w:t>
      </w:r>
    </w:p>
    <w:p>
      <w:pPr>
        <w:numPr>
          <w:ilvl w:val="0"/>
          <w:numId w:val="1965"/>
        </w:numPr>
        <w:pStyle w:val="Compact"/>
      </w:pPr>
      <w:r>
        <w:t xml:space="preserve">CRGFTLIH-guaranteed NPAs: no provision on the guaranteed portion; the excess follows IRACP (26).</w:t>
      </w:r>
    </w:p>
    <w:p>
      <w:pPr>
        <w:numPr>
          <w:ilvl w:val="0"/>
          <w:numId w:val="1965"/>
        </w:numPr>
        <w:pStyle w:val="Compact"/>
      </w:pPr>
      <w:r>
        <w:t xml:space="preserve">Standard-asset provisioning follows IRACP for the MFI’s layer (27). Other IRACP provisions apply where not contradictory (28).</w:t>
      </w:r>
    </w:p>
    <w:p>
      <w:pPr>
        <w:pStyle w:val="FirstParagraph"/>
      </w:pPr>
      <w:r>
        <w:rPr>
          <w:bCs/>
          <w:b/>
        </w:rPr>
        <w:t xml:space="preserve">Other Directions applied (paras 4, 29–45).</w:t>
      </w:r>
    </w:p>
    <w:p>
      <w:pPr>
        <w:numPr>
          <w:ilvl w:val="0"/>
          <w:numId w:val="1969"/>
        </w:numPr>
        <w:pStyle w:val="Compact"/>
      </w:pPr>
      <w:r>
        <w:t xml:space="preserve">The NBFC-MFI also follows:</w:t>
      </w:r>
    </w:p>
    <w:p>
      <w:pPr>
        <w:numPr>
          <w:ilvl w:val="1"/>
          <w:numId w:val="1970"/>
        </w:numPr>
        <w:pStyle w:val="Compact"/>
      </w:pPr>
      <w:r>
        <w:t xml:space="preserve">Stressed Assets, INV, ALM, Dividends;</w:t>
      </w:r>
    </w:p>
    <w:p>
      <w:pPr>
        <w:numPr>
          <w:ilvl w:val="1"/>
          <w:numId w:val="1970"/>
        </w:numPr>
        <w:pStyle w:val="Compact"/>
      </w:pPr>
      <w:r>
        <w:t xml:space="preserve">Acquisition (except 6(3)–(4)) and Governance;</w:t>
      </w:r>
    </w:p>
    <w:p>
      <w:pPr>
        <w:numPr>
          <w:ilvl w:val="1"/>
          <w:numId w:val="1970"/>
        </w:numPr>
        <w:pStyle w:val="Compact"/>
      </w:pPr>
      <w:r>
        <w:t xml:space="preserve">CRM, Transfer of Credit Risk, CON, Outsourcing;</w:t>
      </w:r>
    </w:p>
    <w:p>
      <w:pPr>
        <w:numPr>
          <w:ilvl w:val="1"/>
          <w:numId w:val="1970"/>
        </w:numPr>
        <w:pStyle w:val="Compact"/>
      </w:pPr>
      <w:r>
        <w:t xml:space="preserve">CF and Undertaking of Financial Services (paras 6–19, 23–33, 50–57);</w:t>
      </w:r>
    </w:p>
    <w:p>
      <w:pPr>
        <w:numPr>
          <w:ilvl w:val="1"/>
          <w:numId w:val="1970"/>
        </w:numPr>
        <w:pStyle w:val="Compact"/>
      </w:pPr>
      <w:r>
        <w:t xml:space="preserve">Credit Cards, RBC, KYC, Securitisation, CIR, Wilful Defaulters;</w:t>
      </w:r>
    </w:p>
    <w:p>
      <w:pPr>
        <w:numPr>
          <w:ilvl w:val="1"/>
          <w:numId w:val="1970"/>
        </w:numPr>
        <w:pStyle w:val="Compact"/>
      </w:pPr>
      <w:r>
        <w:t xml:space="preserve">Miscellaneous Directions Ch II–III, FS, and BR paras 10, 11, 13–15.</w:t>
      </w:r>
    </w:p>
    <w:p>
      <w:pPr>
        <w:numPr>
          <w:ilvl w:val="0"/>
          <w:numId w:val="1969"/>
        </w:numPr>
        <w:pStyle w:val="Compact"/>
      </w:pPr>
      <w:r>
        <w:t xml:space="preserve">Build: the applicability engine maps</w:t>
      </w:r>
      <w:r>
        <w:t xml:space="preserve"> </w:t>
      </w:r>
      <w:r>
        <w:rPr>
          <w:rStyle w:val="VerbatimChar"/>
        </w:rPr>
        <w:t xml:space="preserve">type = MFI</w:t>
      </w:r>
      <w:r>
        <w:t xml:space="preserve"> </w:t>
      </w:r>
      <w:r>
        <w:t xml:space="preserve">to this list.</w:t>
      </w:r>
    </w:p>
    <w:p>
      <w:pPr>
        <w:numPr>
          <w:ilvl w:val="0"/>
          <w:numId w:val="1969"/>
        </w:numPr>
        <w:pStyle w:val="Compact"/>
      </w:pPr>
      <w:r>
        <w:rPr>
          <w:bCs/>
          <w:b/>
        </w:rPr>
        <w:t xml:space="preserve">Pricing:</w:t>
      </w:r>
      <w:r>
        <w:t xml:space="preserve"> </w:t>
      </w:r>
      <w:r>
        <w:t xml:space="preserve">371 sets no pricing, interest-cap or conduct rules of its own. Pricing stays under CF paras 60–61.</w:t>
      </w:r>
    </w:p>
    <w:p>
      <w:pPr>
        <w:pStyle w:val="FirstParagraph"/>
      </w:pPr>
      <w:r>
        <w:rPr>
          <w:bCs/>
          <w:b/>
        </w:rPr>
        <w:t xml:space="preserve">SRO (para 46).</w:t>
      </w:r>
      <w:r>
        <w:t xml:space="preserve"> </w:t>
      </w:r>
      <w:r>
        <w:t xml:space="preserve">Membership of at least one RBI-recognised SRO for NBFC-MFIs, and compliance with its Code of Conduct. Build:</w:t>
      </w:r>
      <w:r>
        <w:t xml:space="preserve"> </w:t>
      </w:r>
      <w:r>
        <w:rPr>
          <w:rStyle w:val="VerbatimChar"/>
        </w:rPr>
        <w:t xml:space="preserve">sro_membership</w:t>
      </w:r>
      <w:r>
        <w:t xml:space="preserve"> </w:t>
      </w:r>
      <w:r>
        <w:t xml:space="preserve">on the entity profile; the SRO Code of Conduct is loaded as an M14 obligation set.</w:t>
      </w:r>
    </w:p>
    <w:p>
      <w:pPr>
        <w:pStyle w:val="BodyText"/>
      </w:pPr>
      <w:r>
        <w:rPr>
          <w:bCs/>
          <w:b/>
        </w:rPr>
        <w:t xml:space="preserve">Not-for-profit microfinance companies (paras 14–15).</w:t>
      </w:r>
      <w:r>
        <w:t xml:space="preserve"> </w:t>
      </w:r>
      <w:r>
        <w:t xml:space="preserve">Those with assets ≥ ₹100 crore must register as NBFC-MFIs. No software impact.</w:t>
      </w:r>
    </w:p>
    <w:p>
      <w:r>
        <w:pict>
          <v:rect style="width:0;height:1.5pt" o:hralign="center" o:hrstd="t" o:hr="t"/>
        </w:pict>
      </w:r>
    </w:p>
    <w:p>
      <w:r>
        <w:pict>
          <v:rect style="width:0;height:1.5pt" o:hralign="center" o:hrstd="t" o:hr="t"/>
        </w:pict>
      </w:r>
    </w:p>
    <w:bookmarkEnd w:id="813"/>
    <w:bookmarkStart w:id="814" w:name="X97c1aaab54bf75e577ae2753cc8dd2fd9ad4ff3"/>
    <w:p>
      <w:pPr>
        <w:pStyle w:val="Heading2"/>
      </w:pPr>
      <w:r>
        <w:t xml:space="preserve">8A.32 IAF — Internal Audit Function Directions (464)</w:t>
      </w:r>
    </w:p>
    <w:p>
      <w:pPr>
        <w:pStyle w:val="FirstParagraph"/>
      </w:pPr>
      <w:r>
        <w:rPr>
          <w:bCs/>
          <w:b/>
        </w:rPr>
        <w:t xml:space="preserve">Applicability (para 3).</w:t>
      </w:r>
      <w:r>
        <w:t xml:space="preserve"> </w:t>
      </w:r>
      <w:r>
        <w:t xml:space="preserve">In scope:</w:t>
      </w:r>
    </w:p>
    <w:p>
      <w:pPr>
        <w:numPr>
          <w:ilvl w:val="0"/>
          <w:numId w:val="1971"/>
        </w:numPr>
        <w:pStyle w:val="Compact"/>
      </w:pPr>
      <w:r>
        <w:t xml:space="preserve">all deposit-taking NBFCs;</w:t>
      </w:r>
    </w:p>
    <w:p>
      <w:pPr>
        <w:numPr>
          <w:ilvl w:val="0"/>
          <w:numId w:val="1971"/>
        </w:numPr>
        <w:pStyle w:val="Compact"/>
      </w:pPr>
      <w:r>
        <w:rPr>
          <w:bCs/>
          <w:b/>
        </w:rPr>
        <w:t xml:space="preserve">non-deposit-taking NBFCs with assets ≥ ₹5,000 crore</w:t>
      </w:r>
      <w:r>
        <w:t xml:space="preserve">;</w:t>
      </w:r>
    </w:p>
    <w:p>
      <w:pPr>
        <w:numPr>
          <w:ilvl w:val="0"/>
          <w:numId w:val="1971"/>
        </w:numPr>
        <w:pStyle w:val="Compact"/>
      </w:pPr>
      <w:r>
        <w:t xml:space="preserve">all deposit-taking HFCs;</w:t>
      </w:r>
    </w:p>
    <w:p>
      <w:pPr>
        <w:numPr>
          <w:ilvl w:val="0"/>
          <w:numId w:val="1971"/>
        </w:numPr>
        <w:pStyle w:val="Compact"/>
      </w:pPr>
      <w:r>
        <w:t xml:space="preserve">non-deposit-taking HFCs with assets ≥ ₹5,000 crore.</w:t>
      </w:r>
    </w:p>
    <w:p>
      <w:pPr>
        <w:pStyle w:val="FirstParagraph"/>
      </w:pPr>
      <w:r>
        <w:t xml:space="preserve">No reference date for asset size is given. Build: test last-audited assets from the entity profile; offer the module to every tenant.</w:t>
      </w:r>
    </w:p>
    <w:p>
      <w:pPr>
        <w:pStyle w:val="BodyText"/>
      </w:pPr>
      <w:r>
        <w:rPr>
          <w:bCs/>
          <w:b/>
        </w:rPr>
        <w:t xml:space="preserve">Board/ACB (paras 5–8):</w:t>
      </w:r>
    </w:p>
    <w:p>
      <w:pPr>
        <w:numPr>
          <w:ilvl w:val="0"/>
          <w:numId w:val="1972"/>
        </w:numPr>
        <w:pStyle w:val="Compact"/>
      </w:pPr>
      <w:r>
        <w:t xml:space="preserve">Approves the</w:t>
      </w:r>
      <w:r>
        <w:t xml:space="preserve"> </w:t>
      </w:r>
      <w:r>
        <w:rPr>
          <w:bCs/>
          <w:b/>
        </w:rPr>
        <w:t xml:space="preserve">RBIA plan</w:t>
      </w:r>
      <w:r>
        <w:t xml:space="preserve">, prioritised by the level and direction of risk (5).</w:t>
      </w:r>
    </w:p>
    <w:p>
      <w:pPr>
        <w:numPr>
          <w:ilvl w:val="0"/>
          <w:numId w:val="1972"/>
        </w:numPr>
        <w:pStyle w:val="Compact"/>
      </w:pPr>
      <w:r>
        <w:t xml:space="preserve">Reviews RBIA performance and keeps a quality assurance and improvement programme, which may include an assessment of the IA function</w:t>
      </w:r>
      <w:r>
        <w:t xml:space="preserve"> </w:t>
      </w:r>
      <w:r>
        <w:rPr>
          <w:bCs/>
          <w:b/>
        </w:rPr>
        <w:t xml:space="preserve">at least once a year</w:t>
      </w:r>
      <w:r>
        <w:t xml:space="preserve"> </w:t>
      </w:r>
      <w:r>
        <w:t xml:space="preserve">(6).</w:t>
      </w:r>
    </w:p>
    <w:p>
      <w:pPr>
        <w:numPr>
          <w:ilvl w:val="0"/>
          <w:numId w:val="1972"/>
        </w:numPr>
        <w:pStyle w:val="Compact"/>
      </w:pPr>
      <w:r>
        <w:t xml:space="preserve">Promotes audit tools that reduce manual monitoring and transaction testing (7).</w:t>
      </w:r>
    </w:p>
    <w:p>
      <w:pPr>
        <w:numPr>
          <w:ilvl w:val="0"/>
          <w:numId w:val="1972"/>
        </w:numPr>
        <w:pStyle w:val="Compact"/>
      </w:pPr>
      <w:r>
        <w:t xml:space="preserve">Sets a minimum period of service for IA staff (8).</w:t>
      </w:r>
    </w:p>
    <w:p>
      <w:pPr>
        <w:pStyle w:val="FirstParagraph"/>
      </w:pPr>
      <w:r>
        <w:rPr>
          <w:bCs/>
          <w:b/>
        </w:rPr>
        <w:t xml:space="preserve">Senior management (paras 9–11):</w:t>
      </w:r>
    </w:p>
    <w:p>
      <w:pPr>
        <w:numPr>
          <w:ilvl w:val="0"/>
          <w:numId w:val="1973"/>
        </w:numPr>
        <w:pStyle w:val="Compact"/>
      </w:pPr>
      <w:r>
        <w:t xml:space="preserve">Ensures action on IA findings</w:t>
      </w:r>
      <w:r>
        <w:t xml:space="preserve"> </w:t>
      </w:r>
      <w:r>
        <w:rPr>
          <w:bCs/>
          <w:b/>
        </w:rPr>
        <w:t xml:space="preserve">within given timelines</w:t>
      </w:r>
      <w:r>
        <w:t xml:space="preserve">;</w:t>
      </w:r>
      <w:r>
        <w:t xml:space="preserve"> </w:t>
      </w:r>
      <w:r>
        <w:rPr>
          <w:bCs/>
          <w:b/>
        </w:rPr>
        <w:t xml:space="preserve">closure status goes to the Board/ACB</w:t>
      </w:r>
      <w:r>
        <w:t xml:space="preserve"> </w:t>
      </w:r>
      <w:r>
        <w:t xml:space="preserve">(9).</w:t>
      </w:r>
    </w:p>
    <w:p>
      <w:pPr>
        <w:numPr>
          <w:ilvl w:val="0"/>
          <w:numId w:val="1973"/>
        </w:numPr>
        <w:pStyle w:val="Compact"/>
      </w:pPr>
      <w:r>
        <w:t xml:space="preserve">Presents a consolidated position of major risks, drawn from all forms of audit,</w:t>
      </w:r>
      <w:r>
        <w:t xml:space="preserve"> </w:t>
      </w:r>
      <w:r>
        <w:rPr>
          <w:bCs/>
          <w:b/>
        </w:rPr>
        <w:t xml:space="preserve">at least annually</w:t>
      </w:r>
      <w:r>
        <w:t xml:space="preserve"> </w:t>
      </w:r>
      <w:r>
        <w:t xml:space="preserve">(11).</w:t>
      </w:r>
    </w:p>
    <w:p>
      <w:pPr>
        <w:pStyle w:val="FirstParagraph"/>
      </w:pPr>
      <w:r>
        <w:rPr>
          <w:bCs/>
          <w:b/>
        </w:rPr>
        <w:t xml:space="preserve">Policy (paras 13–15):</w:t>
      </w:r>
    </w:p>
    <w:p>
      <w:pPr>
        <w:numPr>
          <w:ilvl w:val="0"/>
          <w:numId w:val="1974"/>
        </w:numPr>
        <w:pStyle w:val="Compact"/>
      </w:pPr>
      <w:r>
        <w:t xml:space="preserve">Board-approved, with the Risk Management and RBIA roles demarcated (13).</w:t>
      </w:r>
    </w:p>
    <w:p>
      <w:pPr>
        <w:numPr>
          <w:ilvl w:val="0"/>
          <w:numId w:val="1974"/>
        </w:numPr>
        <w:pStyle w:val="Compact"/>
      </w:pPr>
      <w:r>
        <w:rPr>
          <w:bCs/>
          <w:b/>
        </w:rPr>
        <w:t xml:space="preserve">Sets the maximum period beyond which even low-risk activities or locations cannot remain excluded from audit</w:t>
      </w:r>
      <w:r>
        <w:t xml:space="preserve"> </w:t>
      </w:r>
      <w:r>
        <w:t xml:space="preserve">(14).</w:t>
      </w:r>
    </w:p>
    <w:p>
      <w:pPr>
        <w:numPr>
          <w:ilvl w:val="0"/>
          <w:numId w:val="1974"/>
        </w:numPr>
        <w:pStyle w:val="Compact"/>
      </w:pPr>
      <w:r>
        <w:t xml:space="preserve">Reviewed periodically (15).</w:t>
      </w:r>
    </w:p>
    <w:p>
      <w:pPr>
        <w:numPr>
          <w:ilvl w:val="0"/>
          <w:numId w:val="1974"/>
        </w:numPr>
        <w:pStyle w:val="Compact"/>
      </w:pPr>
      <w:r>
        <w:t xml:space="preserve">Build: an audit universe with a last-audited date per unit and a hard alert when the policy maximum is reached.</w:t>
      </w:r>
    </w:p>
    <w:p>
      <w:pPr>
        <w:pStyle w:val="FirstParagraph"/>
      </w:pPr>
      <w:r>
        <w:rPr>
          <w:bCs/>
          <w:b/>
        </w:rPr>
        <w:t xml:space="preserve">Scope (paras 18–20, 23):</w:t>
      </w:r>
    </w:p>
    <w:p>
      <w:pPr>
        <w:numPr>
          <w:ilvl w:val="0"/>
          <w:numId w:val="1975"/>
        </w:numPr>
        <w:pStyle w:val="Compact"/>
      </w:pPr>
      <w:r>
        <w:t xml:space="preserve">Selective transaction testing</w:t>
      </w:r>
      <w:r>
        <w:t xml:space="preserve"> </w:t>
      </w:r>
      <w:r>
        <w:rPr>
          <w:bCs/>
          <w:b/>
        </w:rPr>
        <w:t xml:space="preserve">plus</w:t>
      </w:r>
      <w:r>
        <w:t xml:space="preserve"> </w:t>
      </w:r>
      <w:r>
        <w:t xml:space="preserve">evaluation of risk management systems and controls (18).</w:t>
      </w:r>
    </w:p>
    <w:p>
      <w:pPr>
        <w:numPr>
          <w:ilvl w:val="0"/>
          <w:numId w:val="1975"/>
        </w:numPr>
        <w:pStyle w:val="Compact"/>
      </w:pPr>
      <w:r>
        <w:rPr>
          <w:bCs/>
          <w:b/>
        </w:rPr>
        <w:t xml:space="preserve">The IA function is kept informed of new products, changes in reporting lines and changes in accounting practices or policies</w:t>
      </w:r>
      <w:r>
        <w:t xml:space="preserve"> </w:t>
      </w:r>
      <w:r>
        <w:t xml:space="preserve">(23).</w:t>
      </w:r>
    </w:p>
    <w:p>
      <w:pPr>
        <w:numPr>
          <w:ilvl w:val="0"/>
          <w:numId w:val="1975"/>
        </w:numPr>
        <w:pStyle w:val="Compact"/>
      </w:pPr>
      <w:r>
        <w:t xml:space="preserve">Build: product-approval, organisation-change and accounting-policy events in M14/M19 auto-notify the IA role.</w:t>
      </w:r>
    </w:p>
    <w:p>
      <w:pPr>
        <w:pStyle w:val="FirstParagraph"/>
      </w:pPr>
      <w:r>
        <w:rPr>
          <w:bCs/>
          <w:b/>
        </w:rPr>
        <w:t xml:space="preserve">Risk assessment (paras 25–31):</w:t>
      </w:r>
    </w:p>
    <w:p>
      <w:pPr>
        <w:numPr>
          <w:ilvl w:val="0"/>
          <w:numId w:val="1976"/>
        </w:numPr>
        <w:pStyle w:val="Compact"/>
      </w:pPr>
      <w:r>
        <w:t xml:space="preserve">Independent,</w:t>
      </w:r>
      <w:r>
        <w:t xml:space="preserve"> </w:t>
      </w:r>
      <w:r>
        <w:rPr>
          <w:bCs/>
          <w:b/>
        </w:rPr>
        <w:t xml:space="preserve">at least annual</w:t>
      </w:r>
      <w:r>
        <w:t xml:space="preserve">, and updated periodically. Covers corporate and branch levels, portfolios, individual transactions and processes (25).</w:t>
      </w:r>
    </w:p>
    <w:p>
      <w:pPr>
        <w:numPr>
          <w:ilvl w:val="0"/>
          <w:numId w:val="1976"/>
        </w:numPr>
        <w:pStyle w:val="Compact"/>
      </w:pPr>
      <w:r>
        <w:rPr>
          <w:bCs/>
          <w:b/>
        </w:rPr>
        <w:t xml:space="preserve">Every activity or location, including Risk Management and Compliance</w:t>
      </w:r>
      <w:r>
        <w:t xml:space="preserve">, is assessed (26). The results focus audit on material risks (27).</w:t>
      </w:r>
    </w:p>
    <w:p>
      <w:pPr>
        <w:numPr>
          <w:ilvl w:val="0"/>
          <w:numId w:val="1976"/>
        </w:numPr>
        <w:pStyle w:val="Compact"/>
      </w:pPr>
      <w:r>
        <w:t xml:space="preserve">Matrix of</w:t>
      </w:r>
      <w:r>
        <w:t xml:space="preserve"> </w:t>
      </w:r>
      <w:r>
        <w:rPr>
          <w:bCs/>
          <w:b/>
        </w:rPr>
        <w:t xml:space="preserve">inherent business risk × control risk</w:t>
      </w:r>
      <w:r>
        <w:t xml:space="preserve"> </w:t>
      </w:r>
      <w:r>
        <w:t xml:space="preserve">(28).</w:t>
      </w:r>
    </w:p>
    <w:p>
      <w:pPr>
        <w:numPr>
          <w:ilvl w:val="0"/>
          <w:numId w:val="1976"/>
        </w:numPr>
        <w:pStyle w:val="Compact"/>
      </w:pPr>
      <w:r>
        <w:rPr>
          <w:bCs/>
          <w:b/>
        </w:rPr>
        <w:t xml:space="preserve">Level (high/medium/low) and trend (increasing/stable/decreasing)</w:t>
      </w:r>
      <w:r>
        <w:t xml:space="preserve">, with the basis documented (29). Quantitative and qualitative inputs (30).</w:t>
      </w:r>
    </w:p>
    <w:p>
      <w:pPr>
        <w:numPr>
          <w:ilvl w:val="0"/>
          <w:numId w:val="1976"/>
        </w:numPr>
        <w:pStyle w:val="Compact"/>
      </w:pPr>
      <w:r>
        <w:rPr>
          <w:bCs/>
          <w:b/>
        </w:rPr>
        <w:t xml:space="preserve">Ten mandatory parameters (31):</w:t>
      </w:r>
    </w:p>
    <w:p>
      <w:pPr>
        <w:numPr>
          <w:ilvl w:val="1"/>
          <w:numId w:val="1977"/>
        </w:numPr>
        <w:pStyle w:val="Compact"/>
      </w:pPr>
      <w:r>
        <w:t xml:space="preserve">previous IA reports and compliance;</w:t>
      </w:r>
    </w:p>
    <w:p>
      <w:pPr>
        <w:numPr>
          <w:ilvl w:val="1"/>
          <w:numId w:val="1977"/>
        </w:numPr>
        <w:pStyle w:val="Compact"/>
      </w:pPr>
      <w:r>
        <w:t xml:space="preserve">business-line changes;</w:t>
      </w:r>
    </w:p>
    <w:p>
      <w:pPr>
        <w:numPr>
          <w:ilvl w:val="1"/>
          <w:numId w:val="1977"/>
        </w:numPr>
        <w:pStyle w:val="Compact"/>
      </w:pPr>
      <w:r>
        <w:t xml:space="preserve">change in management or key personnel;</w:t>
      </w:r>
    </w:p>
    <w:p>
      <w:pPr>
        <w:numPr>
          <w:ilvl w:val="1"/>
          <w:numId w:val="1977"/>
        </w:numPr>
        <w:pStyle w:val="Compact"/>
      </w:pPr>
      <w:r>
        <w:t xml:space="preserve">regulatory examination results;</w:t>
      </w:r>
    </w:p>
    <w:p>
      <w:pPr>
        <w:numPr>
          <w:ilvl w:val="1"/>
          <w:numId w:val="1977"/>
        </w:numPr>
        <w:pStyle w:val="Compact"/>
      </w:pPr>
      <w:r>
        <w:t xml:space="preserve">external auditors’ reports;</w:t>
      </w:r>
    </w:p>
    <w:p>
      <w:pPr>
        <w:numPr>
          <w:ilvl w:val="1"/>
          <w:numId w:val="1977"/>
        </w:numPr>
        <w:pStyle w:val="Compact"/>
      </w:pPr>
      <w:r>
        <w:t xml:space="preserve">industry trends;</w:t>
      </w:r>
    </w:p>
    <w:p>
      <w:pPr>
        <w:numPr>
          <w:ilvl w:val="1"/>
          <w:numId w:val="1977"/>
        </w:numPr>
        <w:pStyle w:val="Compact"/>
      </w:pPr>
      <w:r>
        <w:rPr>
          <w:bCs/>
          <w:b/>
        </w:rPr>
        <w:t xml:space="preserve">time since last audit</w:t>
      </w:r>
      <w:r>
        <w:t xml:space="preserve">;</w:t>
      </w:r>
    </w:p>
    <w:p>
      <w:pPr>
        <w:numPr>
          <w:ilvl w:val="1"/>
          <w:numId w:val="1977"/>
        </w:numPr>
        <w:pStyle w:val="Compact"/>
      </w:pPr>
      <w:r>
        <w:t xml:space="preserve">volume and complexity;</w:t>
      </w:r>
    </w:p>
    <w:p>
      <w:pPr>
        <w:numPr>
          <w:ilvl w:val="1"/>
          <w:numId w:val="1977"/>
        </w:numPr>
        <w:pStyle w:val="Compact"/>
      </w:pPr>
      <w:r>
        <w:t xml:space="preserve">budget variances;</w:t>
      </w:r>
    </w:p>
    <w:p>
      <w:pPr>
        <w:numPr>
          <w:ilvl w:val="1"/>
          <w:numId w:val="1977"/>
        </w:numPr>
        <w:pStyle w:val="Compact"/>
      </w:pPr>
      <w:r>
        <w:t xml:space="preserve">strategy versus risk appetite.</w:t>
      </w:r>
    </w:p>
    <w:p>
      <w:pPr>
        <w:numPr>
          <w:ilvl w:val="0"/>
          <w:numId w:val="1976"/>
        </w:numPr>
        <w:pStyle w:val="Compact"/>
      </w:pPr>
      <w:r>
        <w:t xml:space="preserve">Build: Finbyx pre-fills these parameters from its own data (volumes, DPD, fraud, complaints, variances).</w:t>
      </w:r>
    </w:p>
    <w:p>
      <w:pPr>
        <w:pStyle w:val="FirstParagraph"/>
      </w:pPr>
      <w:r>
        <w:rPr>
          <w:bCs/>
          <w:b/>
        </w:rPr>
        <w:t xml:space="preserve">Audit plan and assignments (paras 32–35):</w:t>
      </w:r>
    </w:p>
    <w:p>
      <w:pPr>
        <w:numPr>
          <w:ilvl w:val="0"/>
          <w:numId w:val="1978"/>
        </w:numPr>
        <w:pStyle w:val="Compact"/>
      </w:pPr>
      <w:r>
        <w:t xml:space="preserve">Risk Audit Matrix of magnitude × frequency.</w:t>
      </w:r>
      <w:r>
        <w:t xml:space="preserve"> </w:t>
      </w:r>
      <w:r>
        <w:rPr>
          <w:bCs/>
          <w:b/>
        </w:rPr>
        <w:t xml:space="preserve">Priority order:</w:t>
      </w:r>
      <w:r>
        <w:t xml:space="preserve"> </w:t>
      </w:r>
      <w:r>
        <w:t xml:space="preserve">H/H, H/M, H/L, M/H, M/M, L/H (32).</w:t>
      </w:r>
    </w:p>
    <w:p>
      <w:pPr>
        <w:numPr>
          <w:ilvl w:val="0"/>
          <w:numId w:val="1978"/>
        </w:numPr>
        <w:pStyle w:val="Compact"/>
      </w:pPr>
      <w:r>
        <w:t xml:space="preserve">Plan, scope, objectives, timelines and resources are set before each assignment (33).</w:t>
      </w:r>
    </w:p>
    <w:p>
      <w:pPr>
        <w:numPr>
          <w:ilvl w:val="0"/>
          <w:numId w:val="1978"/>
        </w:numPr>
        <w:pStyle w:val="Compact"/>
      </w:pPr>
      <w:r>
        <w:t xml:space="preserve">Scope is defined for</w:t>
      </w:r>
      <w:r>
        <w:t xml:space="preserve"> </w:t>
      </w:r>
      <w:r>
        <w:rPr>
          <w:bCs/>
          <w:b/>
        </w:rPr>
        <w:t xml:space="preserve">low, medium, high, very high and extremely high</w:t>
      </w:r>
      <w:r>
        <w:t xml:space="preserve"> </w:t>
      </w:r>
      <w:r>
        <w:t xml:space="preserve">risk areas (34). This 5-level scale differs from the 3 levels in para 29, so make the scale configurable.</w:t>
      </w:r>
    </w:p>
    <w:p>
      <w:pPr>
        <w:numPr>
          <w:ilvl w:val="0"/>
          <w:numId w:val="1978"/>
        </w:numPr>
        <w:pStyle w:val="Compact"/>
      </w:pPr>
      <w:r>
        <w:rPr>
          <w:bCs/>
          <w:b/>
        </w:rPr>
        <w:t xml:space="preserve">System and process audits of all critical processes; system-audit findings also go to the IT Committee of the Board</w:t>
      </w:r>
      <w:r>
        <w:t xml:space="preserve"> </w:t>
      </w:r>
      <w:r>
        <w:t xml:space="preserve">(34).</w:t>
      </w:r>
    </w:p>
    <w:p>
      <w:pPr>
        <w:numPr>
          <w:ilvl w:val="0"/>
          <w:numId w:val="1978"/>
        </w:numPr>
        <w:pStyle w:val="Compact"/>
      </w:pPr>
      <w:r>
        <w:t xml:space="preserve">Report covers objectives, scope, results, recommendations and action plans (35).</w:t>
      </w:r>
    </w:p>
    <w:p>
      <w:pPr>
        <w:pStyle w:val="FirstParagraph"/>
      </w:pPr>
      <w:r>
        <w:rPr>
          <w:bCs/>
          <w:b/>
        </w:rPr>
        <w:t xml:space="preserve">Compliance monitoring (paras 36–38):</w:t>
      </w:r>
    </w:p>
    <w:p>
      <w:pPr>
        <w:numPr>
          <w:ilvl w:val="0"/>
          <w:numId w:val="1979"/>
        </w:numPr>
        <w:pStyle w:val="Compact"/>
      </w:pPr>
      <w:r>
        <w:t xml:space="preserve">A system to monitor compliance with IA observations; compliance status is part of every Board/ACB report (36).</w:t>
      </w:r>
    </w:p>
    <w:p>
      <w:pPr>
        <w:numPr>
          <w:ilvl w:val="0"/>
          <w:numId w:val="1979"/>
        </w:numPr>
        <w:pStyle w:val="Compact"/>
      </w:pPr>
      <w:r>
        <w:rPr>
          <w:bCs/>
          <w:b/>
        </w:rPr>
        <w:t xml:space="preserve">All pending high- and medium-risk paras and persisting irregularities are reported to the Board/ACB</w:t>
      </w:r>
      <w:r>
        <w:t xml:space="preserve"> </w:t>
      </w:r>
      <w:r>
        <w:t xml:space="preserve">(37).</w:t>
      </w:r>
    </w:p>
    <w:p>
      <w:pPr>
        <w:numPr>
          <w:ilvl w:val="0"/>
          <w:numId w:val="1979"/>
        </w:numPr>
        <w:pStyle w:val="Compact"/>
      </w:pPr>
      <w:r>
        <w:rPr>
          <w:bCs/>
          <w:b/>
        </w:rPr>
        <w:t xml:space="preserve">RBIA must have proper MIS and data-integrity arrangements</w:t>
      </w:r>
      <w:r>
        <w:t xml:space="preserve"> </w:t>
      </w:r>
      <w:r>
        <w:t xml:space="preserve">(38).</w:t>
      </w:r>
    </w:p>
    <w:p>
      <w:pPr>
        <w:pStyle w:val="FirstParagraph"/>
      </w:pPr>
      <w:r>
        <w:rPr>
          <w:bCs/>
          <w:b/>
        </w:rPr>
        <w:t xml:space="preserve">Outsourcing (para 39):</w:t>
      </w:r>
    </w:p>
    <w:p>
      <w:pPr>
        <w:numPr>
          <w:ilvl w:val="0"/>
          <w:numId w:val="1980"/>
        </w:numPr>
        <w:pStyle w:val="Compact"/>
      </w:pPr>
      <w:r>
        <w:rPr>
          <w:bCs/>
          <w:b/>
        </w:rPr>
        <w:t xml:space="preserve">The IA function may not be outsourced.</w:t>
      </w:r>
    </w:p>
    <w:p>
      <w:pPr>
        <w:numPr>
          <w:ilvl w:val="0"/>
          <w:numId w:val="1980"/>
        </w:numPr>
        <w:pStyle w:val="Compact"/>
      </w:pPr>
      <w:r>
        <w:t xml:space="preserve">Contract experts, including former employees, only where the Board/ACB is assured the expertise is not available in-house. Conflicts of interest must be addressed.</w:t>
      </w:r>
    </w:p>
    <w:p>
      <w:pPr>
        <w:numPr>
          <w:ilvl w:val="0"/>
          <w:numId w:val="1980"/>
        </w:numPr>
        <w:pStyle w:val="Compact"/>
      </w:pPr>
      <w:r>
        <w:rPr>
          <w:bCs/>
          <w:b/>
        </w:rPr>
        <w:t xml:space="preserve">Ownership of audit reports stays with regular IA staff.</w:t>
      </w:r>
    </w:p>
    <w:p>
      <w:pPr>
        <w:numPr>
          <w:ilvl w:val="0"/>
          <w:numId w:val="1980"/>
        </w:numPr>
        <w:pStyle w:val="Compact"/>
      </w:pPr>
      <w:r>
        <w:t xml:space="preserve">Build: Finbyx supplies tooling only. The report-owner field accepts only IA employees; external experts get a restricted contributor role.</w:t>
      </w:r>
    </w:p>
    <w:p>
      <w:pPr>
        <w:pStyle w:val="FirstParagraph"/>
      </w:pPr>
      <w:r>
        <w:rPr>
          <w:bCs/>
          <w:b/>
        </w:rPr>
        <w:t xml:space="preserve">Head of Internal Audit (paras 40–43):</w:t>
      </w:r>
    </w:p>
    <w:p>
      <w:pPr>
        <w:numPr>
          <w:ilvl w:val="0"/>
          <w:numId w:val="1981"/>
        </w:numPr>
        <w:pStyle w:val="Compact"/>
      </w:pPr>
      <w:r>
        <w:t xml:space="preserve">A senior executive.</w:t>
      </w:r>
      <w:r>
        <w:t xml:space="preserve"> </w:t>
      </w:r>
      <w:r>
        <w:rPr>
          <w:bCs/>
          <w:b/>
        </w:rPr>
        <w:t xml:space="preserve">The HIA and IA staff may communicate with any staff member and access all records</w:t>
      </w:r>
      <w:r>
        <w:t xml:space="preserve"> </w:t>
      </w:r>
      <w:r>
        <w:t xml:space="preserve">(40).</w:t>
      </w:r>
    </w:p>
    <w:p>
      <w:pPr>
        <w:numPr>
          <w:ilvl w:val="1"/>
          <w:numId w:val="1982"/>
        </w:numPr>
        <w:pStyle w:val="Compact"/>
      </w:pPr>
      <w:r>
        <w:t xml:space="preserve">Build: an audit role with tenant-wide read-only access and an access trail.</w:t>
      </w:r>
    </w:p>
    <w:p>
      <w:pPr>
        <w:numPr>
          <w:ilvl w:val="0"/>
          <w:numId w:val="1981"/>
        </w:numPr>
        <w:pStyle w:val="Compact"/>
      </w:pPr>
      <w:r>
        <w:t xml:space="preserve">Tenure preferably</w:t>
      </w:r>
      <w:r>
        <w:t xml:space="preserve"> </w:t>
      </w:r>
      <w:r>
        <w:rPr>
          <w:bCs/>
          <w:b/>
        </w:rPr>
        <w:t xml:space="preserve">at least 3 years</w:t>
      </w:r>
      <w:r>
        <w:t xml:space="preserve">, except where IA is run by career internal auditors (41).</w:t>
      </w:r>
    </w:p>
    <w:p>
      <w:pPr>
        <w:numPr>
          <w:ilvl w:val="0"/>
          <w:numId w:val="1981"/>
        </w:numPr>
        <w:pStyle w:val="Compact"/>
      </w:pPr>
      <w:r>
        <w:t xml:space="preserve">Reports to the Board, ACB, MD &amp; CEO or a WTD. Where the MD &amp; CEO or a WTD is the reporting authority, the</w:t>
      </w:r>
      <w:r>
        <w:t xml:space="preserve"> </w:t>
      </w:r>
      <w:r>
        <w:rPr>
          <w:bCs/>
          <w:b/>
        </w:rPr>
        <w:t xml:space="preserve">ACB/Board meets the HIA at least quarterly without senior management</w:t>
      </w:r>
      <w:r>
        <w:t xml:space="preserve"> </w:t>
      </w:r>
      <w:r>
        <w:t xml:space="preserve">(42).</w:t>
      </w:r>
    </w:p>
    <w:p>
      <w:pPr>
        <w:numPr>
          <w:ilvl w:val="0"/>
          <w:numId w:val="1981"/>
        </w:numPr>
        <w:pStyle w:val="Compact"/>
      </w:pPr>
      <w:r>
        <w:rPr>
          <w:bCs/>
          <w:b/>
        </w:rPr>
        <w:t xml:space="preserve">No reporting line to business verticals and no business targets</w:t>
      </w:r>
      <w:r>
        <w:t xml:space="preserve"> </w:t>
      </w:r>
      <w:r>
        <w:t xml:space="preserve">(43).</w:t>
      </w:r>
    </w:p>
    <w:p>
      <w:pPr>
        <w:numPr>
          <w:ilvl w:val="0"/>
          <w:numId w:val="1981"/>
        </w:numPr>
        <w:pStyle w:val="Compact"/>
      </w:pPr>
      <w:r>
        <w:t xml:space="preserve">Build: HIA register and quarterly meeting tracker.</w:t>
      </w:r>
    </w:p>
    <w:p>
      <w:pPr>
        <w:pStyle w:val="FirstParagraph"/>
      </w:pPr>
      <w:r>
        <w:rPr>
          <w:bCs/>
          <w:b/>
        </w:rPr>
        <w:t xml:space="preserve">Repeal (para 44).</w:t>
      </w:r>
      <w:r>
        <w:t xml:space="preserve"> </w:t>
      </w:r>
      <w:r>
        <w:t xml:space="preserve">Through circular DoS.CO.PPG.66/11.01.005/2026-27 (31 Jul 2026). The repeal list is not supplied.</w:t>
      </w:r>
    </w:p>
    <w:p>
      <w:r>
        <w:pict>
          <v:rect style="width:0;height:1.5pt" o:hralign="center" o:hrstd="t" o:hr="t"/>
        </w:pict>
      </w:r>
    </w:p>
    <w:p>
      <w:r>
        <w:pict>
          <v:rect style="width:0;height:1.5pt" o:hralign="center" o:hrstd="t" o:hr="t"/>
        </w:pict>
      </w:r>
    </w:p>
    <w:bookmarkEnd w:id="814"/>
    <w:bookmarkStart w:id="815" w:name="a.33-sa-statutory-audit-directions-465"/>
    <w:p>
      <w:pPr>
        <w:pStyle w:val="Heading2"/>
      </w:pPr>
      <w:r>
        <w:t xml:space="preserve">8A.33 SA — Statutory Audit Directions (465)</w:t>
      </w:r>
    </w:p>
    <w:p>
      <w:pPr>
        <w:pStyle w:val="FirstParagraph"/>
      </w:pPr>
      <w:r>
        <w:rPr>
          <w:bCs/>
          <w:b/>
        </w:rPr>
        <w:t xml:space="preserve">Applicability (para 3).</w:t>
      </w:r>
      <w:r>
        <w:t xml:space="preserve"> </w:t>
      </w:r>
      <w:r>
        <w:t xml:space="preserve">All NBFCs, including HFCs, for the appointment and reappointment of SCAs/SAs.</w:t>
      </w:r>
    </w:p>
    <w:p>
      <w:pPr>
        <w:numPr>
          <w:ilvl w:val="0"/>
          <w:numId w:val="1983"/>
        </w:numPr>
        <w:pStyle w:val="Compact"/>
      </w:pPr>
      <w:r>
        <w:rPr>
          <w:bCs/>
          <w:b/>
        </w:rPr>
        <w:t xml:space="preserve">Non-deposit-taking NBFCs with assets &lt; ₹1,000 crore may continue their extant procedure.</w:t>
      </w:r>
    </w:p>
    <w:p>
      <w:pPr>
        <w:numPr>
          <w:ilvl w:val="0"/>
          <w:numId w:val="1983"/>
        </w:numPr>
        <w:pStyle w:val="Compact"/>
      </w:pPr>
      <w:r>
        <w:t xml:space="preserve">“</w:t>
      </w:r>
      <w:r>
        <w:t xml:space="preserve">SCA</w:t>
      </w:r>
      <w:r>
        <w:t xml:space="preserve">”</w:t>
      </w:r>
      <w:r>
        <w:t xml:space="preserve"> </w:t>
      </w:r>
      <w:r>
        <w:t xml:space="preserve">applies where separate Statutory Branch Auditors are appointed; otherwise</w:t>
      </w:r>
      <w:r>
        <w:t xml:space="preserve"> </w:t>
      </w:r>
      <w:r>
        <w:t xml:space="preserve">“</w:t>
      </w:r>
      <w:r>
        <w:t xml:space="preserve">SA</w:t>
      </w:r>
      <w:r>
        <w:t xml:space="preserve">”</w:t>
      </w:r>
      <w:r>
        <w:t xml:space="preserve">.</w:t>
      </w:r>
    </w:p>
    <w:p>
      <w:pPr>
        <w:pStyle w:val="FirstParagraph"/>
      </w:pPr>
      <w:r>
        <w:rPr>
          <w:bCs/>
          <w:b/>
        </w:rPr>
        <w:t xml:space="preserve">Governance (paras 6–10):</w:t>
      </w:r>
    </w:p>
    <w:p>
      <w:pPr>
        <w:numPr>
          <w:ilvl w:val="0"/>
          <w:numId w:val="1984"/>
        </w:numPr>
        <w:pStyle w:val="Compact"/>
      </w:pPr>
      <w:r>
        <w:t xml:space="preserve">Board policy on the number of auditors (6).</w:t>
      </w:r>
    </w:p>
    <w:p>
      <w:pPr>
        <w:numPr>
          <w:ilvl w:val="0"/>
          <w:numId w:val="1984"/>
        </w:numPr>
        <w:pStyle w:val="Compact"/>
      </w:pPr>
      <w:r>
        <w:t xml:space="preserve">The ACB (or the Board) monitors auditor independence and flags concerns to the Board</w:t>
      </w:r>
      <w:r>
        <w:t xml:space="preserve"> </w:t>
      </w:r>
      <w:r>
        <w:rPr>
          <w:bCs/>
          <w:b/>
        </w:rPr>
        <w:t xml:space="preserve">and the RBI SSM</w:t>
      </w:r>
      <w:r>
        <w:t xml:space="preserve"> </w:t>
      </w:r>
      <w:r>
        <w:t xml:space="preserve">(7).</w:t>
      </w:r>
    </w:p>
    <w:p>
      <w:pPr>
        <w:numPr>
          <w:ilvl w:val="0"/>
          <w:numId w:val="1984"/>
        </w:numPr>
        <w:pStyle w:val="Compact"/>
      </w:pPr>
      <w:r>
        <w:rPr>
          <w:bCs/>
          <w:b/>
        </w:rPr>
        <w:t xml:space="preserve">Annual performance review. Serious lapses are reported to DoS within two months of completion of the annual audit</w:t>
      </w:r>
      <w:r>
        <w:t xml:space="preserve">, with Board/ACB approval and full details of the firm (8).</w:t>
      </w:r>
    </w:p>
    <w:p>
      <w:pPr>
        <w:numPr>
          <w:ilvl w:val="0"/>
          <w:numId w:val="1984"/>
        </w:numPr>
        <w:pStyle w:val="Compact"/>
      </w:pPr>
      <w:r>
        <w:t xml:space="preserve">Fee recommendation (9).</w:t>
      </w:r>
    </w:p>
    <w:p>
      <w:pPr>
        <w:numPr>
          <w:ilvl w:val="0"/>
          <w:numId w:val="1984"/>
        </w:numPr>
        <w:pStyle w:val="Compact"/>
      </w:pPr>
      <w:r>
        <w:rPr>
          <w:bCs/>
          <w:b/>
        </w:rPr>
        <w:t xml:space="preserve">Appointment policy hosted on the website</w:t>
      </w:r>
      <w:r>
        <w:t xml:space="preserve"> </w:t>
      </w:r>
      <w:r>
        <w:t xml:space="preserve">(10).</w:t>
      </w:r>
    </w:p>
    <w:p>
      <w:pPr>
        <w:pStyle w:val="FirstParagraph"/>
      </w:pPr>
      <w:r>
        <w:rPr>
          <w:bCs/>
          <w:b/>
        </w:rPr>
        <w:t xml:space="preserve">Number of auditors and branch coverage (paras 11–13):</w:t>
      </w:r>
    </w:p>
    <w:p>
      <w:pPr>
        <w:numPr>
          <w:ilvl w:val="0"/>
          <w:numId w:val="1985"/>
        </w:numPr>
        <w:pStyle w:val="Compact"/>
      </w:pPr>
      <w:r>
        <w:rPr>
          <w:bCs/>
          <w:b/>
        </w:rPr>
        <w:t xml:space="preserve">Assets ≥ ₹15,000 crore at the end of the previous year: joint audit by at least two firms.</w:t>
      </w:r>
      <w:r>
        <w:t xml:space="preserve"> </w:t>
      </w:r>
      <w:r>
        <w:t xml:space="preserve">Other NBFCs: at least one firm.</w:t>
      </w:r>
    </w:p>
    <w:p>
      <w:pPr>
        <w:numPr>
          <w:ilvl w:val="0"/>
          <w:numId w:val="1985"/>
        </w:numPr>
        <w:pStyle w:val="Compact"/>
      </w:pPr>
      <w:r>
        <w:t xml:space="preserve">Joint auditors may have no common partners and no shared network (Rule 6(3), Companies (Audit and Auditors) Rules, 2014). Work allocation is finalised before the audit starts (11).</w:t>
      </w:r>
    </w:p>
    <w:p>
      <w:pPr>
        <w:numPr>
          <w:ilvl w:val="0"/>
          <w:numId w:val="1985"/>
        </w:numPr>
        <w:pStyle w:val="Compact"/>
      </w:pPr>
      <w:r>
        <w:rPr>
          <w:bCs/>
          <w:b/>
        </w:rPr>
        <w:t xml:space="preserve">Maximum number of SCAs/SAs, by asset size (12):</w:t>
      </w:r>
    </w:p>
    <w:p>
      <w:pPr>
        <w:numPr>
          <w:ilvl w:val="1"/>
          <w:numId w:val="1986"/>
        </w:numPr>
        <w:pStyle w:val="Compact"/>
      </w:pPr>
      <w:r>
        <w:t xml:space="preserve">up to ₹5,00,000 crore: 4;</w:t>
      </w:r>
    </w:p>
    <w:p>
      <w:pPr>
        <w:numPr>
          <w:ilvl w:val="1"/>
          <w:numId w:val="1986"/>
        </w:numPr>
        <w:pStyle w:val="Compact"/>
      </w:pPr>
      <w:r>
        <w:t xml:space="preserve">up to ₹10,00,000 crore: 6;</w:t>
      </w:r>
    </w:p>
    <w:p>
      <w:pPr>
        <w:numPr>
          <w:ilvl w:val="1"/>
          <w:numId w:val="1986"/>
        </w:numPr>
        <w:pStyle w:val="Compact"/>
      </w:pPr>
      <w:r>
        <w:t xml:space="preserve">up to ₹20,00,000 crore: 8;</w:t>
      </w:r>
    </w:p>
    <w:p>
      <w:pPr>
        <w:numPr>
          <w:ilvl w:val="1"/>
          <w:numId w:val="1986"/>
        </w:numPr>
        <w:pStyle w:val="Compact"/>
      </w:pPr>
      <w:r>
        <w:t xml:space="preserve">above that: 12.</w:t>
      </w:r>
    </w:p>
    <w:p>
      <w:pPr>
        <w:numPr>
          <w:ilvl w:val="0"/>
          <w:numId w:val="1985"/>
        </w:numPr>
        <w:pStyle w:val="Compact"/>
      </w:pPr>
      <w:r>
        <w:rPr>
          <w:bCs/>
          <w:b/>
        </w:rPr>
        <w:t xml:space="preserve">Branch visits (13; not CICs):</w:t>
      </w:r>
      <w:r>
        <w:t xml:space="preserve"> </w:t>
      </w:r>
      <w:r>
        <w:t xml:space="preserve">at least the top 20 branches, or the top 20% where there are fewer than 100 branches. Branches are ranked by outstanding advances and must</w:t>
      </w:r>
      <w:r>
        <w:t xml:space="preserve"> </w:t>
      </w:r>
      <w:r>
        <w:rPr>
          <w:bCs/>
          <w:b/>
        </w:rPr>
        <w:t xml:space="preserve">cover ≥ 15% of total gross advances</w:t>
      </w:r>
      <w:r>
        <w:t xml:space="preserve">. Plus Companies Act s.143(8) for all branches.</w:t>
      </w:r>
    </w:p>
    <w:p>
      <w:pPr>
        <w:numPr>
          <w:ilvl w:val="0"/>
          <w:numId w:val="1985"/>
        </w:numPr>
        <w:pStyle w:val="Compact"/>
      </w:pPr>
      <w:r>
        <w:t xml:space="preserve">Build: branch-coverage report (M17) ranking branches by advances, with cumulative coverage %.</w:t>
      </w:r>
    </w:p>
    <w:p>
      <w:pPr>
        <w:pStyle w:val="FirstParagraph"/>
      </w:pPr>
      <w:r>
        <w:rPr>
          <w:bCs/>
          <w:b/>
        </w:rPr>
        <w:t xml:space="preserve">Eligibility (paras 14–16):</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88"/>
        <w:gridCol w:w="1164"/>
        <w:gridCol w:w="1503"/>
        <w:gridCol w:w="1809"/>
        <w:gridCol w:w="1746"/>
        <w:gridCol w:w="1428"/>
      </w:tblGrid>
      <w:tr>
        <w:trPr>
          <w:tblHeader w:val="true"/>
          <w:tblHeader w:val="true"/>
        </w:trPr>
        <w:tc>
          <w:tcPr>
            <w:tcW w:w="1988" w:type="dxa"/>
            <w:shd w:val="clear" w:color="auto" w:fill="1F3A5F"/>
          </w:tcPr>
          <w:p>
            <w:pPr>
              <w:pStyle w:val="Compact"/>
              <w:spacing w:after="40"/>
              <w:jc w:val="left"/>
            </w:pPr>
            <w:r>
              <w:rPr>
                <w:b/>
                <w:color w:val="FFFFFF"/>
                <w:sz w:val="18"/>
              </w:rPr>
              <w:t xml:space="preserve">Assets on 31 March of previous year</w:t>
            </w:r>
          </w:p>
        </w:tc>
        <w:tc>
          <w:tcPr>
            <w:tcW w:w="1164" w:type="dxa"/>
            <w:shd w:val="clear" w:color="auto" w:fill="1F3A5F"/>
          </w:tcPr>
          <w:p>
            <w:pPr>
              <w:pStyle w:val="Compact"/>
              <w:spacing w:after="40"/>
              <w:jc w:val="left"/>
            </w:pPr>
            <w:r>
              <w:rPr>
                <w:b/>
                <w:color w:val="FFFFFF"/>
                <w:sz w:val="18"/>
              </w:rPr>
              <w:t xml:space="preserve">FTPs (3 yrs)</w:t>
            </w:r>
          </w:p>
        </w:tc>
        <w:tc>
          <w:tcPr>
            <w:tcW w:w="1503" w:type="dxa"/>
            <w:shd w:val="clear" w:color="auto" w:fill="1F3A5F"/>
          </w:tcPr>
          <w:p>
            <w:pPr>
              <w:pStyle w:val="Compact"/>
              <w:spacing w:after="40"/>
              <w:jc w:val="left"/>
            </w:pPr>
            <w:r>
              <w:rPr>
                <w:b/>
                <w:color w:val="FFFFFF"/>
                <w:sz w:val="18"/>
              </w:rPr>
              <w:t xml:space="preserve">FCA partners (3 yrs)</w:t>
            </w:r>
          </w:p>
        </w:tc>
        <w:tc>
          <w:tcPr>
            <w:tcW w:w="1809" w:type="dxa"/>
            <w:shd w:val="clear" w:color="auto" w:fill="1F3A5F"/>
          </w:tcPr>
          <w:p>
            <w:pPr>
              <w:pStyle w:val="Compact"/>
              <w:spacing w:after="40"/>
              <w:jc w:val="left"/>
            </w:pPr>
            <w:r>
              <w:rPr>
                <w:b/>
                <w:color w:val="FFFFFF"/>
                <w:sz w:val="18"/>
              </w:rPr>
              <w:t xml:space="preserve">CISA/ISA partners or paid CAs</w:t>
            </w:r>
          </w:p>
        </w:tc>
        <w:tc>
          <w:tcPr>
            <w:tcW w:w="1746" w:type="dxa"/>
            <w:shd w:val="clear" w:color="auto" w:fill="1F3A5F"/>
          </w:tcPr>
          <w:p>
            <w:pPr>
              <w:pStyle w:val="Compact"/>
              <w:spacing w:after="40"/>
              <w:jc w:val="left"/>
            </w:pPr>
            <w:r>
              <w:rPr>
                <w:b/>
                <w:color w:val="FFFFFF"/>
                <w:sz w:val="18"/>
              </w:rPr>
              <w:t xml:space="preserve">Firm audit experience (yrs)</w:t>
            </w:r>
          </w:p>
        </w:tc>
        <w:tc>
          <w:tcPr>
            <w:tcW w:w="1428" w:type="dxa"/>
            <w:shd w:val="clear" w:color="auto" w:fill="1F3A5F"/>
          </w:tcPr>
          <w:p>
            <w:pPr>
              <w:pStyle w:val="Compact"/>
              <w:spacing w:after="40"/>
              <w:jc w:val="left"/>
            </w:pPr>
            <w:r>
              <w:rPr>
                <w:b/>
                <w:color w:val="FFFFFF"/>
                <w:sz w:val="18"/>
              </w:rPr>
              <w:t xml:space="preserve">Professional staff</w:t>
            </w:r>
          </w:p>
        </w:tc>
      </w:tr>
      <w:tr>
        <w:tc>
          <w:tcPr>
            <w:tcW w:w="1988" w:type="dxa"/>
          </w:tcPr>
          <w:p>
            <w:pPr>
              <w:pStyle w:val="Compact"/>
              <w:spacing w:after="40"/>
              <w:jc w:val="left"/>
            </w:pPr>
            <w:r>
              <w:rPr>
                <w:sz w:val="18"/>
              </w:rPr>
              <w:t xml:space="preserve">&gt; ₹15,000 crore</w:t>
            </w:r>
          </w:p>
        </w:tc>
        <w:tc>
          <w:tcPr>
            <w:tcW w:w="1164" w:type="dxa"/>
          </w:tcPr>
          <w:p>
            <w:pPr>
              <w:pStyle w:val="Compact"/>
              <w:spacing w:after="40"/>
              <w:jc w:val="left"/>
            </w:pPr>
            <w:r>
              <w:rPr>
                <w:sz w:val="18"/>
              </w:rPr>
              <w:t xml:space="preserve">5</w:t>
            </w:r>
          </w:p>
        </w:tc>
        <w:tc>
          <w:tcPr>
            <w:tcW w:w="1503" w:type="dxa"/>
          </w:tcPr>
          <w:p>
            <w:pPr>
              <w:pStyle w:val="Compact"/>
              <w:spacing w:after="40"/>
              <w:jc w:val="left"/>
            </w:pPr>
            <w:r>
              <w:rPr>
                <w:sz w:val="18"/>
              </w:rPr>
              <w:t xml:space="preserve">4</w:t>
            </w:r>
          </w:p>
        </w:tc>
        <w:tc>
          <w:tcPr>
            <w:tcW w:w="1809" w:type="dxa"/>
          </w:tcPr>
          <w:p>
            <w:pPr>
              <w:pStyle w:val="Compact"/>
              <w:spacing w:after="40"/>
              <w:jc w:val="left"/>
            </w:pPr>
            <w:r>
              <w:rPr>
                <w:sz w:val="18"/>
              </w:rPr>
              <w:t xml:space="preserve">2</w:t>
            </w:r>
          </w:p>
        </w:tc>
        <w:tc>
          <w:tcPr>
            <w:tcW w:w="1746" w:type="dxa"/>
          </w:tcPr>
          <w:p>
            <w:pPr>
              <w:pStyle w:val="Compact"/>
              <w:spacing w:after="40"/>
              <w:jc w:val="left"/>
            </w:pPr>
            <w:r>
              <w:rPr>
                <w:sz w:val="18"/>
              </w:rPr>
              <w:t xml:space="preserve">15</w:t>
            </w:r>
          </w:p>
        </w:tc>
        <w:tc>
          <w:tcPr>
            <w:tcW w:w="1428" w:type="dxa"/>
          </w:tcPr>
          <w:p>
            <w:pPr>
              <w:pStyle w:val="Compact"/>
              <w:spacing w:after="40"/>
              <w:jc w:val="left"/>
            </w:pPr>
            <w:r>
              <w:rPr>
                <w:sz w:val="18"/>
              </w:rPr>
              <w:t xml:space="preserve">18</w:t>
            </w:r>
          </w:p>
        </w:tc>
      </w:tr>
      <w:tr>
        <w:tc>
          <w:tcPr>
            <w:tcW w:w="1988" w:type="dxa"/>
          </w:tcPr>
          <w:p>
            <w:pPr>
              <w:pStyle w:val="Compact"/>
              <w:spacing w:after="40"/>
              <w:jc w:val="left"/>
            </w:pPr>
            <w:r>
              <w:rPr>
                <w:sz w:val="18"/>
              </w:rPr>
              <w:t xml:space="preserve">&gt; ₹1,000–15,000 crore</w:t>
            </w:r>
          </w:p>
        </w:tc>
        <w:tc>
          <w:tcPr>
            <w:tcW w:w="1164" w:type="dxa"/>
          </w:tcPr>
          <w:p>
            <w:pPr>
              <w:pStyle w:val="Compact"/>
              <w:spacing w:after="40"/>
              <w:jc w:val="left"/>
            </w:pPr>
            <w:r>
              <w:rPr>
                <w:sz w:val="18"/>
              </w:rPr>
              <w:t xml:space="preserve">3</w:t>
            </w:r>
          </w:p>
        </w:tc>
        <w:tc>
          <w:tcPr>
            <w:tcW w:w="1503" w:type="dxa"/>
          </w:tcPr>
          <w:p>
            <w:pPr>
              <w:pStyle w:val="Compact"/>
              <w:spacing w:after="40"/>
              <w:jc w:val="left"/>
            </w:pPr>
            <w:r>
              <w:rPr>
                <w:sz w:val="18"/>
              </w:rPr>
              <w:t xml:space="preserve">2</w:t>
            </w:r>
          </w:p>
        </w:tc>
        <w:tc>
          <w:tcPr>
            <w:tcW w:w="1809" w:type="dxa"/>
          </w:tcPr>
          <w:p>
            <w:pPr>
              <w:pStyle w:val="Compact"/>
              <w:spacing w:after="40"/>
              <w:jc w:val="left"/>
            </w:pPr>
            <w:r>
              <w:rPr>
                <w:sz w:val="18"/>
              </w:rPr>
              <w:t xml:space="preserve">1</w:t>
            </w:r>
          </w:p>
        </w:tc>
        <w:tc>
          <w:tcPr>
            <w:tcW w:w="1746" w:type="dxa"/>
          </w:tcPr>
          <w:p>
            <w:pPr>
              <w:pStyle w:val="Compact"/>
              <w:spacing w:after="40"/>
              <w:jc w:val="left"/>
            </w:pPr>
            <w:r>
              <w:rPr>
                <w:sz w:val="18"/>
              </w:rPr>
              <w:t xml:space="preserve">8</w:t>
            </w:r>
          </w:p>
        </w:tc>
        <w:tc>
          <w:tcPr>
            <w:tcW w:w="1428" w:type="dxa"/>
          </w:tcPr>
          <w:p>
            <w:pPr>
              <w:pStyle w:val="Compact"/>
              <w:spacing w:after="40"/>
              <w:jc w:val="left"/>
            </w:pPr>
            <w:r>
              <w:rPr>
                <w:sz w:val="18"/>
              </w:rPr>
              <w:t xml:space="preserve">12</w:t>
            </w:r>
          </w:p>
        </w:tc>
      </w:tr>
      <w:tr>
        <w:tc>
          <w:tcPr>
            <w:tcW w:w="1988" w:type="dxa"/>
          </w:tcPr>
          <w:p>
            <w:pPr>
              <w:pStyle w:val="Compact"/>
              <w:spacing w:after="40"/>
              <w:jc w:val="left"/>
            </w:pPr>
            <w:r>
              <w:rPr>
                <w:sz w:val="18"/>
              </w:rPr>
              <w:t xml:space="preserve">≤ ₹1,000 crore</w:t>
            </w:r>
          </w:p>
        </w:tc>
        <w:tc>
          <w:tcPr>
            <w:tcW w:w="1164" w:type="dxa"/>
          </w:tcPr>
          <w:p>
            <w:pPr>
              <w:pStyle w:val="Compact"/>
              <w:spacing w:after="40"/>
              <w:jc w:val="left"/>
            </w:pPr>
            <w:r>
              <w:rPr>
                <w:sz w:val="18"/>
              </w:rPr>
              <w:t xml:space="preserve">2</w:t>
            </w:r>
          </w:p>
        </w:tc>
        <w:tc>
          <w:tcPr>
            <w:tcW w:w="1503" w:type="dxa"/>
          </w:tcPr>
          <w:p>
            <w:pPr>
              <w:pStyle w:val="Compact"/>
              <w:spacing w:after="40"/>
              <w:jc w:val="left"/>
            </w:pPr>
            <w:r>
              <w:rPr>
                <w:sz w:val="18"/>
              </w:rPr>
              <w:t xml:space="preserve">1</w:t>
            </w:r>
          </w:p>
        </w:tc>
        <w:tc>
          <w:tcPr>
            <w:tcW w:w="1809" w:type="dxa"/>
          </w:tcPr>
          <w:p>
            <w:pPr>
              <w:pStyle w:val="Compact"/>
              <w:spacing w:after="40"/>
              <w:jc w:val="left"/>
            </w:pPr>
            <w:r>
              <w:rPr>
                <w:sz w:val="18"/>
              </w:rPr>
              <w:t xml:space="preserve">1 (not mandatory)</w:t>
            </w:r>
          </w:p>
        </w:tc>
        <w:tc>
          <w:tcPr>
            <w:tcW w:w="1746" w:type="dxa"/>
          </w:tcPr>
          <w:p>
            <w:pPr>
              <w:pStyle w:val="Compact"/>
              <w:spacing w:after="40"/>
              <w:jc w:val="left"/>
            </w:pPr>
            <w:r>
              <w:rPr>
                <w:sz w:val="18"/>
              </w:rPr>
              <w:t xml:space="preserve">6</w:t>
            </w:r>
          </w:p>
        </w:tc>
        <w:tc>
          <w:tcPr>
            <w:tcW w:w="1428" w:type="dxa"/>
          </w:tcPr>
          <w:p>
            <w:pPr>
              <w:pStyle w:val="Compact"/>
              <w:spacing w:after="40"/>
              <w:jc w:val="left"/>
            </w:pPr>
            <w:r>
              <w:rPr>
                <w:sz w:val="18"/>
              </w:rPr>
              <w:t xml:space="preserve">8</w:t>
            </w:r>
          </w:p>
        </w:tc>
      </w:tr>
    </w:tbl>
    <w:p>
      <w:pPr>
        <w:numPr>
          <w:ilvl w:val="0"/>
          <w:numId w:val="1987"/>
        </w:numPr>
        <w:pStyle w:val="Compact"/>
      </w:pPr>
      <w:r>
        <w:rPr>
          <w:bCs/>
          <w:b/>
        </w:rPr>
        <w:t xml:space="preserve">Notes 1–4:</w:t>
      </w:r>
    </w:p>
    <w:p>
      <w:pPr>
        <w:numPr>
          <w:ilvl w:val="1"/>
          <w:numId w:val="1988"/>
        </w:numPr>
        <w:pStyle w:val="Compact"/>
      </w:pPr>
      <w:r>
        <w:t xml:space="preserve">FTPs need 1-year continuous association.</w:t>
      </w:r>
    </w:p>
    <w:p>
      <w:pPr>
        <w:numPr>
          <w:ilvl w:val="1"/>
          <w:numId w:val="1988"/>
        </w:numPr>
        <w:pStyle w:val="Compact"/>
      </w:pPr>
      <w:r>
        <w:t xml:space="preserve">Above ₹1,000 crore: two partners with 10 years’ association, and the</w:t>
      </w:r>
      <w:r>
        <w:t xml:space="preserve"> </w:t>
      </w:r>
      <w:r>
        <w:t xml:space="preserve">“</w:t>
      </w:r>
      <w:r>
        <w:t xml:space="preserve">exclusive association</w:t>
      </w:r>
      <w:r>
        <w:t xml:space="preserve">”</w:t>
      </w:r>
      <w:r>
        <w:t xml:space="preserve"> </w:t>
      </w:r>
      <w:r>
        <w:t xml:space="preserve">tests (1)–(4).</w:t>
      </w:r>
    </w:p>
    <w:p>
      <w:pPr>
        <w:numPr>
          <w:ilvl w:val="1"/>
          <w:numId w:val="1988"/>
        </w:numPr>
        <w:pStyle w:val="Compact"/>
      </w:pPr>
      <w:r>
        <w:t xml:space="preserve">CISA/ISA, audit-experience and professional-staff definitions; a merger takes effect after 2 years, a demerger immediately.</w:t>
      </w:r>
    </w:p>
    <w:p>
      <w:pPr>
        <w:numPr>
          <w:ilvl w:val="0"/>
          <w:numId w:val="1987"/>
        </w:numPr>
        <w:pStyle w:val="Compact"/>
      </w:pPr>
      <w:r>
        <w:rPr>
          <w:bCs/>
          <w:b/>
        </w:rPr>
        <w:t xml:space="preserve">Additional conditions (15):</w:t>
      </w:r>
    </w:p>
    <w:p>
      <w:pPr>
        <w:numPr>
          <w:ilvl w:val="1"/>
          <w:numId w:val="1989"/>
        </w:numPr>
        <w:pStyle w:val="Compact"/>
      </w:pPr>
      <w:r>
        <w:t xml:space="preserve">qualified under Companies Act s.141;</w:t>
      </w:r>
    </w:p>
    <w:p>
      <w:pPr>
        <w:numPr>
          <w:ilvl w:val="1"/>
          <w:numId w:val="1989"/>
        </w:numPr>
        <w:pStyle w:val="Compact"/>
      </w:pPr>
      <w:r>
        <w:t xml:space="preserve">not debarred;</w:t>
      </w:r>
    </w:p>
    <w:p>
      <w:pPr>
        <w:numPr>
          <w:ilvl w:val="1"/>
          <w:numId w:val="1989"/>
        </w:numPr>
        <w:pStyle w:val="Compact"/>
      </w:pPr>
      <w:r>
        <w:t xml:space="preserve">ICAI ethics;</w:t>
      </w:r>
    </w:p>
    <w:p>
      <w:pPr>
        <w:numPr>
          <w:ilvl w:val="1"/>
          <w:numId w:val="1989"/>
        </w:numPr>
        <w:pStyle w:val="Compact"/>
      </w:pPr>
      <w:r>
        <w:rPr>
          <w:bCs/>
          <w:b/>
        </w:rPr>
        <w:t xml:space="preserve">no appointment where a partner is a director of an RBI-regulated group entity</w:t>
      </w:r>
      <w:r>
        <w:t xml:space="preserve">;</w:t>
      </w:r>
    </w:p>
    <w:p>
      <w:pPr>
        <w:numPr>
          <w:ilvl w:val="1"/>
          <w:numId w:val="1989"/>
        </w:numPr>
        <w:pStyle w:val="Compact"/>
      </w:pPr>
      <w:r>
        <w:t xml:space="preserve">CAATs/GAS capability preferred above ₹1,000 crore (15(5)).</w:t>
      </w:r>
    </w:p>
    <w:p>
      <w:pPr>
        <w:numPr>
          <w:ilvl w:val="0"/>
          <w:numId w:val="1987"/>
        </w:numPr>
        <w:pStyle w:val="Compact"/>
      </w:pPr>
      <w:r>
        <w:rPr>
          <w:bCs/>
          <w:b/>
        </w:rPr>
        <w:t xml:space="preserve">Continued eligibility (16):</w:t>
      </w:r>
      <w:r>
        <w:t xml:space="preserve"> </w:t>
      </w:r>
      <w:r>
        <w:t xml:space="preserve">the firm reports any lapse, and must comply before the annual audit starts and until it is complete.</w:t>
      </w:r>
    </w:p>
    <w:p>
      <w:pPr>
        <w:pStyle w:val="FirstParagraph"/>
      </w:pPr>
      <w:r>
        <w:rPr>
          <w:bCs/>
          <w:b/>
        </w:rPr>
        <w:t xml:space="preserve">Independence (paras 17–20):</w:t>
      </w:r>
    </w:p>
    <w:p>
      <w:pPr>
        <w:numPr>
          <w:ilvl w:val="0"/>
          <w:numId w:val="1990"/>
        </w:numPr>
        <w:pStyle w:val="Compact"/>
      </w:pPr>
      <w:r>
        <w:t xml:space="preserve">Management non-cooperation goes to the Board/ACB, with intimation to the SSM (17).</w:t>
      </w:r>
    </w:p>
    <w:p>
      <w:pPr>
        <w:numPr>
          <w:ilvl w:val="0"/>
          <w:numId w:val="1990"/>
        </w:numPr>
        <w:pStyle w:val="Compact"/>
      </w:pPr>
      <w:r>
        <w:rPr>
          <w:bCs/>
          <w:b/>
        </w:rPr>
        <w:t xml:space="preserve">Concurrent auditors are not eligible as SCA/SA.</w:t>
      </w:r>
      <w:r>
        <w:t xml:space="preserve"> </w:t>
      </w:r>
      <w:r>
        <w:t xml:space="preserve">Audit of any entity with a Large Exposure to the NBFC is factored into the independence assessment (18).</w:t>
      </w:r>
    </w:p>
    <w:p>
      <w:pPr>
        <w:numPr>
          <w:ilvl w:val="0"/>
          <w:numId w:val="1990"/>
        </w:numPr>
        <w:pStyle w:val="Compact"/>
      </w:pPr>
      <w:r>
        <w:rPr>
          <w:bCs/>
          <w:b/>
        </w:rPr>
        <w:t xml:space="preserve">Non-audit work (s.144, internal or special assignments) needs a 1-year gap either side of the SA tenure</w:t>
      </w:r>
      <w:r>
        <w:t xml:space="preserve">, including work for RBI-regulated group entities. Permitted during tenure: tax audit, interim audit, regulatory certificates and segment reporting (19).</w:t>
      </w:r>
    </w:p>
    <w:p>
      <w:pPr>
        <w:numPr>
          <w:ilvl w:val="0"/>
          <w:numId w:val="1990"/>
        </w:numPr>
        <w:pStyle w:val="Compact"/>
      </w:pPr>
      <w:r>
        <w:t xml:space="preserve">These restrictions extend to network firms and firms with common partners (20).</w:t>
      </w:r>
    </w:p>
    <w:p>
      <w:pPr>
        <w:pStyle w:val="FirstParagraph"/>
      </w:pPr>
      <w:r>
        <w:rPr>
          <w:bCs/>
          <w:b/>
        </w:rPr>
        <w:t xml:space="preserve">Tenure and rotation (paras 23–27):</w:t>
      </w:r>
    </w:p>
    <w:p>
      <w:pPr>
        <w:numPr>
          <w:ilvl w:val="0"/>
          <w:numId w:val="1991"/>
        </w:numPr>
        <w:pStyle w:val="Compact"/>
      </w:pPr>
      <w:r>
        <w:rPr>
          <w:bCs/>
          <w:b/>
        </w:rPr>
        <w:t xml:space="preserve">Continuous 3-year term</w:t>
      </w:r>
      <w:r>
        <w:t xml:space="preserve">, subject to eligibility each year.</w:t>
      </w:r>
    </w:p>
    <w:p>
      <w:pPr>
        <w:numPr>
          <w:ilvl w:val="0"/>
          <w:numId w:val="1991"/>
        </w:numPr>
        <w:pStyle w:val="Compact"/>
      </w:pPr>
      <w:r>
        <w:rPr>
          <w:bCs/>
          <w:b/>
        </w:rPr>
        <w:t xml:space="preserve">Removal before 3 years: intimate the SSM/RO with reasons within one month</w:t>
      </w:r>
      <w:r>
        <w:t xml:space="preserve"> </w:t>
      </w:r>
      <w:r>
        <w:t xml:space="preserve">(23).</w:t>
      </w:r>
    </w:p>
    <w:p>
      <w:pPr>
        <w:numPr>
          <w:ilvl w:val="0"/>
          <w:numId w:val="1991"/>
        </w:numPr>
        <w:pStyle w:val="Compact"/>
      </w:pPr>
      <w:r>
        <w:rPr>
          <w:bCs/>
          <w:b/>
        </w:rPr>
        <w:t xml:space="preserve">Six-year cooling-off</w:t>
      </w:r>
      <w:r>
        <w:t xml:space="preserve"> </w:t>
      </w:r>
      <w:r>
        <w:t xml:space="preserve">(two tenures) after a full or part term (24).</w:t>
      </w:r>
    </w:p>
    <w:p>
      <w:pPr>
        <w:numPr>
          <w:ilvl w:val="0"/>
          <w:numId w:val="1991"/>
        </w:numPr>
        <w:pStyle w:val="Compact"/>
      </w:pPr>
      <w:r>
        <w:t xml:space="preserve">One firm may concurrently audit at most</w:t>
      </w:r>
      <w:r>
        <w:t xml:space="preserve"> </w:t>
      </w:r>
      <w:r>
        <w:rPr>
          <w:bCs/>
          <w:b/>
        </w:rPr>
        <w:t xml:space="preserve">8 NBFCs</w:t>
      </w:r>
      <w:r>
        <w:t xml:space="preserve">, with separate bank/UCB/StCB-CCB caps (25).</w:t>
      </w:r>
    </w:p>
    <w:p>
      <w:pPr>
        <w:numPr>
          <w:ilvl w:val="0"/>
          <w:numId w:val="1991"/>
        </w:numPr>
        <w:pStyle w:val="Compact"/>
      </w:pPr>
      <w:r>
        <w:t xml:space="preserve">A network counts as one entity. Sub-contracting is barred. An incoming firm may not be associated with the outgoing one (26).</w:t>
      </w:r>
    </w:p>
    <w:p>
      <w:pPr>
        <w:numPr>
          <w:ilvl w:val="0"/>
          <w:numId w:val="1991"/>
        </w:numPr>
        <w:pStyle w:val="Compact"/>
      </w:pPr>
      <w:r>
        <w:t xml:space="preserve">CAG-appointed auditors of government companies follow CAG rules (27).</w:t>
      </w:r>
    </w:p>
    <w:p>
      <w:pPr>
        <w:pStyle w:val="FirstParagraph"/>
      </w:pPr>
      <w:r>
        <w:rPr>
          <w:bCs/>
          <w:b/>
        </w:rPr>
        <w:t xml:space="preserve">Fees (paras 28–29).</w:t>
      </w:r>
      <w:r>
        <w:t xml:space="preserve"> </w:t>
      </w:r>
      <w:r>
        <w:t xml:space="preserve">As per statutory and regulatory provisions, commensurate with the scope of the audit.</w:t>
      </w:r>
    </w:p>
    <w:p>
      <w:pPr>
        <w:pStyle w:val="BodyText"/>
      </w:pPr>
      <w:r>
        <w:rPr>
          <w:bCs/>
          <w:b/>
        </w:rPr>
        <w:t xml:space="preserve">Procedure (para 30):</w:t>
      </w:r>
    </w:p>
    <w:p>
      <w:pPr>
        <w:numPr>
          <w:ilvl w:val="0"/>
          <w:numId w:val="1992"/>
        </w:numPr>
        <w:pStyle w:val="Compact"/>
      </w:pPr>
      <w:r>
        <w:t xml:space="preserve">No prior RBI approval is needed.</w:t>
      </w:r>
    </w:p>
    <w:p>
      <w:pPr>
        <w:numPr>
          <w:ilvl w:val="0"/>
          <w:numId w:val="1992"/>
        </w:numPr>
        <w:pStyle w:val="Compact"/>
      </w:pPr>
      <w:r>
        <w:rPr>
          <w:bCs/>
          <w:b/>
        </w:rPr>
        <w:t xml:space="preserve">Form A (Annex I) within one month of appointment:</w:t>
      </w:r>
      <w:r>
        <w:t xml:space="preserve"> </w:t>
      </w:r>
      <w:r>
        <w:t xml:space="preserve">Mumbai Region NBFCs to DoS CO; others to the RO for their Head Office (30(1)).</w:t>
      </w:r>
    </w:p>
    <w:p>
      <w:pPr>
        <w:numPr>
          <w:ilvl w:val="0"/>
          <w:numId w:val="1992"/>
        </w:numPr>
        <w:pStyle w:val="Compact"/>
      </w:pPr>
      <w:r>
        <w:rPr>
          <w:bCs/>
          <w:b/>
        </w:rPr>
        <w:t xml:space="preserve">At least two firms shortlisted per vacancy</w:t>
      </w:r>
      <w:r>
        <w:t xml:space="preserve"> </w:t>
      </w:r>
      <w:r>
        <w:t xml:space="preserve">(30(2)).</w:t>
      </w:r>
    </w:p>
    <w:p>
      <w:pPr>
        <w:numPr>
          <w:ilvl w:val="0"/>
          <w:numId w:val="1992"/>
        </w:numPr>
        <w:pStyle w:val="Compact"/>
      </w:pPr>
      <w:r>
        <w:rPr>
          <w:bCs/>
          <w:b/>
        </w:rPr>
        <w:t xml:space="preserve">Form B (Annex II) eligibility certificate from the firm</w:t>
      </w:r>
      <w:r>
        <w:t xml:space="preserve">, with Part B items (i)–(v) and a wilful-defaulter declaration (30(3)).</w:t>
      </w:r>
    </w:p>
    <w:p>
      <w:pPr>
        <w:numPr>
          <w:ilvl w:val="0"/>
          <w:numId w:val="1992"/>
        </w:numPr>
        <w:pStyle w:val="Compact"/>
      </w:pPr>
      <w:r>
        <w:t xml:space="preserve">The NBFC verifies eligibility before appointing (30(4)).</w:t>
      </w:r>
    </w:p>
    <w:p>
      <w:pPr>
        <w:numPr>
          <w:ilvl w:val="0"/>
          <w:numId w:val="1992"/>
        </w:numPr>
        <w:pStyle w:val="Compact"/>
      </w:pPr>
      <w:r>
        <w:t xml:space="preserve">Build: M14 auditor register covering term number, tenure dates, cooling-off end date, group/network conflict check against the related-party register, non-audit services log, Form A/Form B generation, and a performance-review task. Form A is also a supervisory return (SR para 21 item 20).</w:t>
      </w:r>
    </w:p>
    <w:p>
      <w:r>
        <w:pict>
          <v:rect style="width:0;height:1.5pt" o:hralign="center" o:hrstd="t" o:hr="t"/>
        </w:pict>
      </w:r>
    </w:p>
    <w:p>
      <w:r>
        <w:pict>
          <v:rect style="width:0;height:1.5pt" o:hralign="center" o:hrstd="t" o:hr="t"/>
        </w:pict>
      </w:r>
    </w:p>
    <w:bookmarkEnd w:id="815"/>
    <w:bookmarkStart w:id="816" w:name="X29d88c2b703072c20aa194f302517f55f6d2147"/>
    <w:p>
      <w:pPr>
        <w:pStyle w:val="Heading2"/>
      </w:pPr>
      <w:r>
        <w:t xml:space="preserve">8A.34 SR — Supervisory Returns Directions (466)</w:t>
      </w:r>
    </w:p>
    <w:p>
      <w:pPr>
        <w:pStyle w:val="FirstParagraph"/>
      </w:pPr>
      <w:r>
        <w:rPr>
          <w:bCs/>
          <w:b/>
        </w:rPr>
        <w:t xml:space="preserve">Applicability (para 3).</w:t>
      </w:r>
      <w:r>
        <w:t xml:space="preserve"> </w:t>
      </w:r>
      <w:r>
        <w:t xml:space="preserve">All NBFCs, all layers,</w:t>
      </w:r>
      <w:r>
        <w:t xml:space="preserve"> </w:t>
      </w:r>
      <w:r>
        <w:rPr>
          <w:bCs/>
          <w:b/>
        </w:rPr>
        <w:t xml:space="preserve">excluding HFCs</w:t>
      </w:r>
      <w:r>
        <w:t xml:space="preserve">, unless specified otherwise.</w:t>
      </w:r>
    </w:p>
    <w:p>
      <w:pPr>
        <w:numPr>
          <w:ilvl w:val="0"/>
          <w:numId w:val="1993"/>
        </w:numPr>
        <w:pStyle w:val="Compact"/>
      </w:pPr>
      <w:r>
        <w:rPr>
          <w:bCs/>
          <w:b/>
        </w:rPr>
        <w:t xml:space="preserve">Supervisory Returns</w:t>
      </w:r>
      <w:r>
        <w:t xml:space="preserve"> </w:t>
      </w:r>
      <w:r>
        <w:t xml:space="preserve">= all periodic or ad-hoc data submitted to RBI, whatever the platform or mode (para 4(2)).</w:t>
      </w:r>
    </w:p>
    <w:p>
      <w:pPr>
        <w:numPr>
          <w:ilvl w:val="0"/>
          <w:numId w:val="1993"/>
        </w:numPr>
        <w:pStyle w:val="Compact"/>
      </w:pPr>
      <w:r>
        <w:rPr>
          <w:bCs/>
          <w:b/>
        </w:rPr>
        <w:t xml:space="preserve">CIMS</w:t>
      </w:r>
      <w:r>
        <w:t xml:space="preserve"> </w:t>
      </w:r>
      <w:r>
        <w:t xml:space="preserve">= RBI’s online platform for return submission (para 4(1)).</w:t>
      </w:r>
    </w:p>
    <w:p>
      <w:pPr>
        <w:pStyle w:val="FirstParagraph"/>
      </w:pPr>
      <w:r>
        <w:rPr>
          <w:bCs/>
          <w:b/>
        </w:rPr>
        <w:t xml:space="preserve">Data governance: build requirements (paras 6–17):</w:t>
      </w:r>
    </w:p>
    <w:p>
      <w:pPr>
        <w:numPr>
          <w:ilvl w:val="0"/>
          <w:numId w:val="1994"/>
        </w:numPr>
        <w:pStyle w:val="Compact"/>
      </w:pPr>
      <w:r>
        <w:t xml:space="preserve">Data-quality risk is part of the risk framework, with standards for in-house and outsourced data processes (6).</w:t>
      </w:r>
    </w:p>
    <w:p>
      <w:pPr>
        <w:numPr>
          <w:ilvl w:val="0"/>
          <w:numId w:val="1994"/>
        </w:numPr>
        <w:pStyle w:val="Compact"/>
      </w:pPr>
      <w:r>
        <w:rPr>
          <w:bCs/>
          <w:b/>
        </w:rPr>
        <w:t xml:space="preserve">Risk data aggregation and reporting practices are documented and independently validated by IT, data and reporting staff</w:t>
      </w:r>
      <w:r>
        <w:t xml:space="preserve"> </w:t>
      </w:r>
      <w:r>
        <w:t xml:space="preserve">(7).</w:t>
      </w:r>
    </w:p>
    <w:p>
      <w:pPr>
        <w:numPr>
          <w:ilvl w:val="0"/>
          <w:numId w:val="1994"/>
        </w:numPr>
        <w:pStyle w:val="Compact"/>
      </w:pPr>
      <w:r>
        <w:rPr>
          <w:bCs/>
          <w:b/>
        </w:rPr>
        <w:t xml:space="preserve">Data can be aggregated at consolidated or any other level, unhindered by group structure</w:t>
      </w:r>
      <w:r>
        <w:t xml:space="preserve"> </w:t>
      </w:r>
      <w:r>
        <w:t xml:space="preserve">(8).</w:t>
      </w:r>
    </w:p>
    <w:p>
      <w:pPr>
        <w:numPr>
          <w:ilvl w:val="0"/>
          <w:numId w:val="1994"/>
        </w:numPr>
        <w:pStyle w:val="Compact"/>
      </w:pPr>
      <w:r>
        <w:t xml:space="preserve">The reporting impact of acquisitions, new products and IT changes is assessed (9).</w:t>
      </w:r>
    </w:p>
    <w:p>
      <w:pPr>
        <w:numPr>
          <w:ilvl w:val="0"/>
          <w:numId w:val="1994"/>
        </w:numPr>
        <w:pStyle w:val="Compact"/>
      </w:pPr>
      <w:r>
        <w:rPr>
          <w:bCs/>
          <w:b/>
        </w:rPr>
        <w:t xml:space="preserve">The data architecture delivers complete, accurate and timely aggregation in stress or crisis</w:t>
      </w:r>
      <w:r>
        <w:t xml:space="preserve"> </w:t>
      </w:r>
      <w:r>
        <w:t xml:space="preserve">(10), within the BCP and business impact analysis (11).</w:t>
      </w:r>
    </w:p>
    <w:p>
      <w:pPr>
        <w:numPr>
          <w:ilvl w:val="0"/>
          <w:numId w:val="1994"/>
        </w:numPr>
        <w:pStyle w:val="Compact"/>
      </w:pPr>
      <w:r>
        <w:t xml:space="preserve">Data owners are defined (12).</w:t>
      </w:r>
    </w:p>
    <w:p>
      <w:pPr>
        <w:numPr>
          <w:ilvl w:val="0"/>
          <w:numId w:val="1994"/>
        </w:numPr>
        <w:pStyle w:val="Compact"/>
      </w:pPr>
      <w:r>
        <w:rPr>
          <w:bCs/>
          <w:b/>
        </w:rPr>
        <w:t xml:space="preserve">On-demand ad-hoc subsets</w:t>
      </w:r>
      <w:r>
        <w:t xml:space="preserve">, for example</w:t>
      </w:r>
      <w:r>
        <w:t xml:space="preserve"> </w:t>
      </w:r>
      <w:r>
        <w:t xml:space="preserve">“</w:t>
      </w:r>
      <w:r>
        <w:t xml:space="preserve">exposure for a period for a specific industry cluster in a district</w:t>
      </w:r>
      <w:r>
        <w:t xml:space="preserve">”</w:t>
      </w:r>
      <w:r>
        <w:t xml:space="preserve"> </w:t>
      </w:r>
      <w:r>
        <w:t xml:space="preserve">(13).</w:t>
      </w:r>
    </w:p>
    <w:p>
      <w:pPr>
        <w:numPr>
          <w:ilvl w:val="1"/>
          <w:numId w:val="1995"/>
        </w:numPr>
        <w:pStyle w:val="Compact"/>
      </w:pPr>
      <w:r>
        <w:t xml:space="preserve">Build: a governed query service over the exposure mart with industry, geography and period dimensions.</w:t>
      </w:r>
    </w:p>
    <w:p>
      <w:pPr>
        <w:numPr>
          <w:ilvl w:val="0"/>
          <w:numId w:val="1994"/>
        </w:numPr>
        <w:pStyle w:val="Compact"/>
      </w:pPr>
      <w:r>
        <w:rPr>
          <w:bCs/>
          <w:b/>
        </w:rPr>
        <w:t xml:space="preserve">Every return is reconciled with own sources, including accounting data</w:t>
      </w:r>
      <w:r>
        <w:t xml:space="preserve"> </w:t>
      </w:r>
      <w:r>
        <w:t xml:space="preserve">(14).</w:t>
      </w:r>
    </w:p>
    <w:p>
      <w:pPr>
        <w:numPr>
          <w:ilvl w:val="0"/>
          <w:numId w:val="1994"/>
        </w:numPr>
        <w:pStyle w:val="Compact"/>
      </w:pPr>
      <w:r>
        <w:rPr>
          <w:bCs/>
          <w:b/>
        </w:rPr>
        <w:t xml:space="preserve">Records of sources and aggregation rules</w:t>
      </w:r>
      <w:r>
        <w:t xml:space="preserve"> </w:t>
      </w:r>
      <w:r>
        <w:t xml:space="preserve">are kept (15). This is M13’s cell-level lineage.</w:t>
      </w:r>
    </w:p>
    <w:p>
      <w:pPr>
        <w:numPr>
          <w:ilvl w:val="0"/>
          <w:numId w:val="1994"/>
        </w:numPr>
        <w:pStyle w:val="Compact"/>
      </w:pPr>
      <w:r>
        <w:t xml:space="preserve">Maximum automation (16).</w:t>
      </w:r>
    </w:p>
    <w:p>
      <w:pPr>
        <w:numPr>
          <w:ilvl w:val="0"/>
          <w:numId w:val="1994"/>
        </w:numPr>
        <w:pStyle w:val="Compact"/>
      </w:pPr>
      <w:r>
        <w:rPr>
          <w:bCs/>
          <w:b/>
        </w:rPr>
        <w:t xml:space="preserve">Data accuracy is measured, with escalation and rectification plans</w:t>
      </w:r>
      <w:r>
        <w:t xml:space="preserve"> </w:t>
      </w:r>
      <w:r>
        <w:t xml:space="preserve">(17).</w:t>
      </w:r>
    </w:p>
    <w:p>
      <w:pPr>
        <w:numPr>
          <w:ilvl w:val="1"/>
          <w:numId w:val="1996"/>
        </w:numPr>
        <w:pStyle w:val="Compact"/>
      </w:pPr>
      <w:r>
        <w:t xml:space="preserve">Build: DQ metrics and an issue register.</w:t>
      </w:r>
    </w:p>
    <w:p>
      <w:pPr>
        <w:pStyle w:val="FirstParagraph"/>
      </w:pPr>
      <w:r>
        <w:rPr>
          <w:bCs/>
          <w:b/>
        </w:rPr>
        <w:t xml:space="preserve">Filing mode (paras 18–20):</w:t>
      </w:r>
    </w:p>
    <w:p>
      <w:pPr>
        <w:numPr>
          <w:ilvl w:val="0"/>
          <w:numId w:val="1997"/>
        </w:numPr>
        <w:pStyle w:val="Compact"/>
      </w:pPr>
      <w:r>
        <w:rPr>
          <w:bCs/>
          <w:b/>
        </w:rPr>
        <w:t xml:space="preserve">Online only</w:t>
      </w:r>
      <w:r>
        <w:t xml:space="preserve">, through RBI portals, in the formats communicated.</w:t>
      </w:r>
    </w:p>
    <w:p>
      <w:pPr>
        <w:numPr>
          <w:ilvl w:val="0"/>
          <w:numId w:val="1997"/>
        </w:numPr>
        <w:pStyle w:val="Compact"/>
      </w:pPr>
      <w:r>
        <w:rPr>
          <w:bCs/>
          <w:b/>
        </w:rPr>
        <w:t xml:space="preserve">Hard copy or email is not accepted</w:t>
      </w:r>
      <w:r>
        <w:t xml:space="preserve"> </w:t>
      </w:r>
      <w:r>
        <w:t xml:space="preserve">unless prescribed. Email only as a contingency RBI advises,</w:t>
      </w:r>
      <w:r>
        <w:t xml:space="preserve"> </w:t>
      </w:r>
      <w:r>
        <w:rPr>
          <w:bCs/>
          <w:b/>
        </w:rPr>
        <w:t xml:space="preserve">then resubmit online</w:t>
      </w:r>
      <w:r>
        <w:t xml:space="preserve"> </w:t>
      </w:r>
      <w:r>
        <w:t xml:space="preserve">(18).</w:t>
      </w:r>
    </w:p>
    <w:p>
      <w:pPr>
        <w:numPr>
          <w:ilvl w:val="0"/>
          <w:numId w:val="1997"/>
        </w:numPr>
        <w:pStyle w:val="Compact"/>
      </w:pPr>
      <w:r>
        <w:t xml:space="preserve">A super-user credential creates maker and checker users. Formats, validation rules and guidance notes are on the portals (19).</w:t>
      </w:r>
    </w:p>
    <w:p>
      <w:pPr>
        <w:numPr>
          <w:ilvl w:val="0"/>
          <w:numId w:val="1997"/>
        </w:numPr>
        <w:pStyle w:val="Compact"/>
      </w:pPr>
      <w:r>
        <w:t xml:space="preserve">Domestic and overseas operations are both reported (20).</w:t>
      </w:r>
    </w:p>
    <w:p>
      <w:pPr>
        <w:numPr>
          <w:ilvl w:val="0"/>
          <w:numId w:val="1997"/>
        </w:numPr>
        <w:pStyle w:val="Compact"/>
      </w:pPr>
      <w:r>
        <w:rPr>
          <w:bCs/>
          <w:b/>
        </w:rPr>
        <w:t xml:space="preserve">The Directions do not mention XBRL.</w:t>
      </w:r>
      <w:r>
        <w:t xml:space="preserve"> </w:t>
      </w:r>
      <w:r>
        <w:t xml:space="preserve">Build: a portal format adapter per return, defined in the return spec.</w:t>
      </w:r>
    </w:p>
    <w:p>
      <w:pPr>
        <w:pStyle w:val="FirstParagraph"/>
      </w:pPr>
      <w:r>
        <w:rPr>
          <w:bCs/>
          <w:b/>
        </w:rPr>
        <w:t xml:space="preserve">Return catalogue (para 21; due dates from paras 22–23):</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564"/>
        <w:gridCol w:w="2099"/>
        <w:gridCol w:w="704"/>
        <w:gridCol w:w="953"/>
        <w:gridCol w:w="1626"/>
        <w:gridCol w:w="2382"/>
        <w:gridCol w:w="1310"/>
      </w:tblGrid>
      <w:tr>
        <w:trPr>
          <w:tblHeader w:val="true"/>
          <w:tblHeader w:val="true"/>
        </w:trPr>
        <w:tc>
          <w:tcPr>
            <w:tcW w:w="564" w:type="dxa"/>
            <w:shd w:val="clear" w:color="auto" w:fill="1F3A5F"/>
          </w:tcPr>
          <w:p>
            <w:pPr>
              <w:pStyle w:val="Compact"/>
              <w:spacing w:after="40"/>
              <w:jc w:val="left"/>
            </w:pPr>
            <w:r>
              <w:rPr>
                <w:b/>
                <w:color w:val="FFFFFF"/>
                <w:sz w:val="18"/>
              </w:rPr>
              <w:t xml:space="preserve">#</w:t>
            </w:r>
          </w:p>
        </w:tc>
        <w:tc>
          <w:tcPr>
            <w:tcW w:w="2099" w:type="dxa"/>
            <w:shd w:val="clear" w:color="auto" w:fill="1F3A5F"/>
          </w:tcPr>
          <w:p>
            <w:pPr>
              <w:pStyle w:val="Compact"/>
              <w:spacing w:after="40"/>
              <w:jc w:val="left"/>
            </w:pPr>
            <w:r>
              <w:rPr>
                <w:b/>
                <w:color w:val="FFFFFF"/>
                <w:sz w:val="18"/>
              </w:rPr>
              <w:t xml:space="preserve">Return (code)</w:t>
            </w:r>
          </w:p>
        </w:tc>
        <w:tc>
          <w:tcPr>
            <w:tcW w:w="704" w:type="dxa"/>
            <w:shd w:val="clear" w:color="auto" w:fill="1F3A5F"/>
          </w:tcPr>
          <w:p>
            <w:pPr>
              <w:pStyle w:val="Compact"/>
              <w:spacing w:after="40"/>
              <w:jc w:val="left"/>
            </w:pPr>
            <w:r>
              <w:rPr>
                <w:b/>
                <w:color w:val="FFFFFF"/>
                <w:sz w:val="18"/>
              </w:rPr>
              <w:t xml:space="preserve">Periodicity</w:t>
            </w:r>
          </w:p>
        </w:tc>
        <w:tc>
          <w:tcPr>
            <w:tcW w:w="953" w:type="dxa"/>
            <w:shd w:val="clear" w:color="auto" w:fill="1F3A5F"/>
          </w:tcPr>
          <w:p>
            <w:pPr>
              <w:pStyle w:val="Compact"/>
              <w:spacing w:after="40"/>
              <w:jc w:val="left"/>
            </w:pPr>
            <w:r>
              <w:rPr>
                <w:b/>
                <w:color w:val="FFFFFF"/>
                <w:sz w:val="18"/>
              </w:rPr>
              <w:t xml:space="preserve">Reference date</w:t>
            </w:r>
          </w:p>
        </w:tc>
        <w:tc>
          <w:tcPr>
            <w:tcW w:w="1626" w:type="dxa"/>
            <w:shd w:val="clear" w:color="auto" w:fill="1F3A5F"/>
          </w:tcPr>
          <w:p>
            <w:pPr>
              <w:pStyle w:val="Compact"/>
              <w:spacing w:after="40"/>
              <w:jc w:val="left"/>
            </w:pPr>
            <w:r>
              <w:rPr>
                <w:b/>
                <w:color w:val="FFFFFF"/>
                <w:sz w:val="18"/>
              </w:rPr>
              <w:t xml:space="preserve">Due</w:t>
            </w:r>
          </w:p>
        </w:tc>
        <w:tc>
          <w:tcPr>
            <w:tcW w:w="2382" w:type="dxa"/>
            <w:shd w:val="clear" w:color="auto" w:fill="1F3A5F"/>
          </w:tcPr>
          <w:p>
            <w:pPr>
              <w:pStyle w:val="Compact"/>
              <w:spacing w:after="40"/>
              <w:jc w:val="left"/>
            </w:pPr>
            <w:r>
              <w:rPr>
                <w:b/>
                <w:color w:val="FFFFFF"/>
                <w:sz w:val="18"/>
              </w:rPr>
              <w:t xml:space="preserve">Applicability</w:t>
            </w:r>
          </w:p>
        </w:tc>
        <w:tc>
          <w:tcPr>
            <w:tcW w:w="1310" w:type="dxa"/>
            <w:shd w:val="clear" w:color="auto" w:fill="1F3A5F"/>
          </w:tcPr>
          <w:p>
            <w:pPr>
              <w:pStyle w:val="Compact"/>
              <w:spacing w:after="40"/>
              <w:jc w:val="left"/>
            </w:pPr>
            <w:r>
              <w:rPr>
                <w:b/>
                <w:color w:val="FFFFFF"/>
                <w:sz w:val="18"/>
              </w:rPr>
              <w:t xml:space="preserve">Finbyx priority</w:t>
            </w:r>
          </w:p>
        </w:tc>
      </w:tr>
      <w:tr>
        <w:tc>
          <w:tcPr>
            <w:tcW w:w="564" w:type="dxa"/>
          </w:tcPr>
          <w:p>
            <w:pPr>
              <w:pStyle w:val="Compact"/>
              <w:spacing w:after="40"/>
              <w:jc w:val="left"/>
            </w:pPr>
            <w:r>
              <w:rPr>
                <w:sz w:val="18"/>
              </w:rPr>
              <w:t xml:space="preserve">1</w:t>
            </w:r>
          </w:p>
        </w:tc>
        <w:tc>
          <w:tcPr>
            <w:tcW w:w="2099" w:type="dxa"/>
          </w:tcPr>
          <w:p>
            <w:pPr>
              <w:pStyle w:val="Compact"/>
              <w:spacing w:after="40"/>
              <w:jc w:val="left"/>
            </w:pPr>
            <w:r>
              <w:rPr>
                <w:sz w:val="18"/>
              </w:rPr>
              <w:t xml:space="preserve">DNBS01 – Important Financial Parameters – Quarterly</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31 Mar / 30 Jun / 30 Sep / 31 Dec</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UL (excl. CICs); ML (excl. CICs)</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2</w:t>
            </w:r>
          </w:p>
        </w:tc>
        <w:tc>
          <w:tcPr>
            <w:tcW w:w="2099" w:type="dxa"/>
          </w:tcPr>
          <w:p>
            <w:pPr>
              <w:pStyle w:val="Compact"/>
              <w:spacing w:after="40"/>
              <w:jc w:val="left"/>
            </w:pPr>
            <w:r>
              <w:rPr>
                <w:sz w:val="18"/>
              </w:rPr>
              <w:t xml:space="preserve">DNBS02 – Important Financial Parameters</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BL (excl. P2Ps)</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3</w:t>
            </w:r>
          </w:p>
        </w:tc>
        <w:tc>
          <w:tcPr>
            <w:tcW w:w="2099" w:type="dxa"/>
          </w:tcPr>
          <w:p>
            <w:pPr>
              <w:pStyle w:val="Compact"/>
              <w:spacing w:after="40"/>
              <w:jc w:val="left"/>
            </w:pPr>
            <w:r>
              <w:rPr>
                <w:sz w:val="18"/>
              </w:rPr>
              <w:t xml:space="preserve">DNBS03 – Important Prudential Parameters (CRAR, provisioning)</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UL (excl. CICs); ML (excl. CICs and SPDs)</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4a</w:t>
            </w:r>
          </w:p>
        </w:tc>
        <w:tc>
          <w:tcPr>
            <w:tcW w:w="2099" w:type="dxa"/>
          </w:tcPr>
          <w:p>
            <w:pPr>
              <w:pStyle w:val="Compact"/>
              <w:spacing w:after="40"/>
              <w:jc w:val="left"/>
            </w:pPr>
            <w:r>
              <w:rPr>
                <w:sz w:val="18"/>
              </w:rPr>
              <w:t xml:space="preserve">DNBS04A – Short Term Dynamic Liquidity</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UL; ML (excl. SPDs);</w:t>
            </w:r>
            <w:r>
              <w:rPr>
                <w:sz w:val="18"/>
              </w:rPr>
              <w:t xml:space="preserve"> </w:t>
            </w:r>
            <w:r>
              <w:rPr>
                <w:bCs/>
                <w:b/>
                <w:sz w:val="18"/>
              </w:rPr>
              <w:t xml:space="preserve">BL ≥ ₹100 crore solely or at group level</w:t>
            </w:r>
            <w:r>
              <w:rPr>
                <w:sz w:val="18"/>
              </w:rPr>
              <w:t xml:space="preserve">, excluding NBFCs with no public funds and no customer interface, NOFHCs, P2Ps, AAs and MGCs</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4b</w:t>
            </w:r>
          </w:p>
        </w:tc>
        <w:tc>
          <w:tcPr>
            <w:tcW w:w="2099" w:type="dxa"/>
          </w:tcPr>
          <w:p>
            <w:pPr>
              <w:pStyle w:val="Compact"/>
              <w:spacing w:after="40"/>
              <w:jc w:val="left"/>
            </w:pPr>
            <w:r>
              <w:rPr>
                <w:sz w:val="18"/>
              </w:rPr>
              <w:t xml:space="preserve">DNBS04B – Structural Liquidity and Interest Rate Sensitivity</w:t>
            </w:r>
          </w:p>
        </w:tc>
        <w:tc>
          <w:tcPr>
            <w:tcW w:w="704" w:type="dxa"/>
          </w:tcPr>
          <w:p>
            <w:pPr>
              <w:pStyle w:val="Compact"/>
              <w:spacing w:after="40"/>
              <w:jc w:val="left"/>
            </w:pPr>
            <w:r>
              <w:rPr>
                <w:sz w:val="18"/>
              </w:rPr>
              <w:t xml:space="preserve">Monthly</w:t>
            </w:r>
          </w:p>
        </w:tc>
        <w:tc>
          <w:tcPr>
            <w:tcW w:w="953" w:type="dxa"/>
          </w:tcPr>
          <w:p>
            <w:pPr>
              <w:pStyle w:val="Compact"/>
              <w:spacing w:after="40"/>
              <w:jc w:val="left"/>
            </w:pPr>
            <w:r>
              <w:rPr>
                <w:sz w:val="18"/>
              </w:rPr>
              <w:t xml:space="preserve">Month-end</w:t>
            </w:r>
          </w:p>
        </w:tc>
        <w:tc>
          <w:tcPr>
            <w:tcW w:w="1626" w:type="dxa"/>
          </w:tcPr>
          <w:p>
            <w:pPr>
              <w:pStyle w:val="Compact"/>
              <w:spacing w:after="40"/>
              <w:jc w:val="left"/>
            </w:pPr>
            <w:r>
              <w:rPr>
                <w:sz w:val="18"/>
              </w:rPr>
              <w:t xml:space="preserve">15 days</w:t>
            </w:r>
          </w:p>
        </w:tc>
        <w:tc>
          <w:tcPr>
            <w:tcW w:w="2382" w:type="dxa"/>
          </w:tcPr>
          <w:p>
            <w:pPr>
              <w:pStyle w:val="Compact"/>
              <w:spacing w:after="40"/>
              <w:jc w:val="left"/>
            </w:pPr>
            <w:r>
              <w:rPr>
                <w:sz w:val="18"/>
              </w:rPr>
              <w:t xml:space="preserve">As 4a</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5</w:t>
            </w:r>
          </w:p>
        </w:tc>
        <w:tc>
          <w:tcPr>
            <w:tcW w:w="2099" w:type="dxa"/>
          </w:tcPr>
          <w:p>
            <w:pPr>
              <w:pStyle w:val="Compact"/>
              <w:spacing w:after="40"/>
              <w:jc w:val="left"/>
            </w:pPr>
            <w:r>
              <w:rPr>
                <w:sz w:val="18"/>
              </w:rPr>
              <w:t xml:space="preserve">CRILC – NBFCs (borrowers with aggregate FB + NFB exposure ≥ ₹5 crore;</w:t>
            </w:r>
            <w:r>
              <w:rPr>
                <w:sz w:val="18"/>
              </w:rPr>
              <w:t xml:space="preserve"> </w:t>
            </w:r>
            <w:r>
              <w:rPr>
                <w:bCs/>
                <w:b/>
                <w:sz w:val="18"/>
              </w:rPr>
              <w:t xml:space="preserve">NIL return</w:t>
            </w:r>
            <w:r>
              <w:rPr>
                <w:sz w:val="18"/>
              </w:rPr>
              <w:t xml:space="preserve"> </w:t>
            </w:r>
            <w:r>
              <w:rPr>
                <w:sz w:val="18"/>
              </w:rPr>
              <w:t xml:space="preserve">if none)</w:t>
            </w:r>
          </w:p>
        </w:tc>
        <w:tc>
          <w:tcPr>
            <w:tcW w:w="704" w:type="dxa"/>
          </w:tcPr>
          <w:p>
            <w:pPr>
              <w:pStyle w:val="Compact"/>
              <w:spacing w:after="40"/>
              <w:jc w:val="left"/>
            </w:pPr>
            <w:r>
              <w:rPr>
                <w:sz w:val="18"/>
              </w:rPr>
              <w:t xml:space="preserve">Monthly</w:t>
            </w:r>
          </w:p>
        </w:tc>
        <w:tc>
          <w:tcPr>
            <w:tcW w:w="953" w:type="dxa"/>
          </w:tcPr>
          <w:p>
            <w:pPr>
              <w:pStyle w:val="Compact"/>
              <w:spacing w:after="40"/>
              <w:jc w:val="left"/>
            </w:pPr>
            <w:r>
              <w:rPr>
                <w:sz w:val="18"/>
              </w:rPr>
              <w:t xml:space="preserve">Month-end</w:t>
            </w:r>
          </w:p>
        </w:tc>
        <w:tc>
          <w:tcPr>
            <w:tcW w:w="1626" w:type="dxa"/>
          </w:tcPr>
          <w:p>
            <w:pPr>
              <w:pStyle w:val="Compact"/>
              <w:spacing w:after="40"/>
              <w:jc w:val="left"/>
            </w:pPr>
            <w:r>
              <w:rPr>
                <w:sz w:val="18"/>
              </w:rPr>
              <w:t xml:space="preserve">15 days</w:t>
            </w:r>
          </w:p>
        </w:tc>
        <w:tc>
          <w:tcPr>
            <w:tcW w:w="2382" w:type="dxa"/>
          </w:tcPr>
          <w:p>
            <w:pPr>
              <w:pStyle w:val="Compact"/>
              <w:spacing w:after="40"/>
              <w:jc w:val="left"/>
            </w:pPr>
            <w:r>
              <w:rPr>
                <w:sz w:val="18"/>
              </w:rPr>
              <w:t xml:space="preserve">UL (excl. CICs); ML (excl. CICs); BL: (a) ICCs (excl. no-public-funds and no-customer-interface), (b) MFIs, (c) Factors with assets ≥ ₹500 crore [VERIFY whether the ₹500 crore qualifier also covers (a)–(b)]</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6</w:t>
            </w:r>
          </w:p>
        </w:tc>
        <w:tc>
          <w:tcPr>
            <w:tcW w:w="2099" w:type="dxa"/>
          </w:tcPr>
          <w:p>
            <w:pPr>
              <w:pStyle w:val="Compact"/>
              <w:spacing w:after="40"/>
              <w:jc w:val="left"/>
            </w:pPr>
            <w:r>
              <w:rPr>
                <w:sz w:val="18"/>
              </w:rPr>
              <w:t xml:space="preserve">DNBS09 – Return on Defaulted Borrowers (move-in and move-out sections: PAN, name, date of default, funded, non-funded and total outstanding;</w:t>
            </w:r>
            <w:r>
              <w:rPr>
                <w:sz w:val="18"/>
              </w:rPr>
              <w:t xml:space="preserve"> </w:t>
            </w:r>
            <w:r>
              <w:rPr>
                <w:bCs/>
                <w:b/>
                <w:sz w:val="18"/>
              </w:rPr>
              <w:t xml:space="preserve">NIL return</w:t>
            </w:r>
            <w:r>
              <w:rPr>
                <w:sz w:val="18"/>
              </w:rPr>
              <w:t xml:space="preserve"> </w:t>
            </w:r>
            <w:r>
              <w:rPr>
                <w:sz w:val="18"/>
              </w:rPr>
              <w:t xml:space="preserve">if none)</w:t>
            </w:r>
          </w:p>
        </w:tc>
        <w:tc>
          <w:tcPr>
            <w:tcW w:w="704" w:type="dxa"/>
          </w:tcPr>
          <w:p>
            <w:pPr>
              <w:pStyle w:val="Compact"/>
              <w:spacing w:after="40"/>
              <w:jc w:val="left"/>
            </w:pPr>
            <w:r>
              <w:rPr>
                <w:sz w:val="18"/>
              </w:rPr>
              <w:t xml:space="preserve">Weekly</w:t>
            </w:r>
          </w:p>
        </w:tc>
        <w:tc>
          <w:tcPr>
            <w:tcW w:w="953" w:type="dxa"/>
          </w:tcPr>
          <w:p>
            <w:pPr>
              <w:pStyle w:val="Compact"/>
              <w:spacing w:after="40"/>
              <w:jc w:val="left"/>
            </w:pPr>
            <w:r>
              <w:rPr>
                <w:sz w:val="18"/>
              </w:rPr>
              <w:t xml:space="preserve">Friday (or preceding working day)</w:t>
            </w:r>
          </w:p>
        </w:tc>
        <w:tc>
          <w:tcPr>
            <w:tcW w:w="1626" w:type="dxa"/>
          </w:tcPr>
          <w:p>
            <w:pPr>
              <w:pStyle w:val="Compact"/>
              <w:spacing w:after="40"/>
              <w:jc w:val="left"/>
            </w:pPr>
            <w:r>
              <w:rPr>
                <w:bCs/>
                <w:b/>
                <w:sz w:val="18"/>
              </w:rPr>
              <w:t xml:space="preserve">Wednesday of the following week</w:t>
            </w:r>
          </w:p>
        </w:tc>
        <w:tc>
          <w:tcPr>
            <w:tcW w:w="2382" w:type="dxa"/>
          </w:tcPr>
          <w:p>
            <w:pPr>
              <w:pStyle w:val="Compact"/>
              <w:spacing w:after="40"/>
              <w:jc w:val="left"/>
            </w:pPr>
            <w:r>
              <w:rPr>
                <w:sz w:val="18"/>
              </w:rPr>
              <w:t xml:space="preserve">As CRILC (merged cell)</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7</w:t>
            </w:r>
          </w:p>
        </w:tc>
        <w:tc>
          <w:tcPr>
            <w:tcW w:w="2099" w:type="dxa"/>
          </w:tcPr>
          <w:p>
            <w:pPr>
              <w:pStyle w:val="Compact"/>
              <w:spacing w:after="40"/>
              <w:jc w:val="left"/>
            </w:pPr>
            <w:r>
              <w:rPr>
                <w:sz w:val="18"/>
              </w:rPr>
              <w:t xml:space="preserve">DNBS10 – Statutory Auditor Certificate</w:t>
            </w:r>
          </w:p>
        </w:tc>
        <w:tc>
          <w:tcPr>
            <w:tcW w:w="704" w:type="dxa"/>
          </w:tcPr>
          <w:p>
            <w:pPr>
              <w:pStyle w:val="Compact"/>
              <w:spacing w:after="40"/>
              <w:jc w:val="left"/>
            </w:pPr>
            <w:r>
              <w:rPr>
                <w:sz w:val="18"/>
              </w:rPr>
              <w:t xml:space="preserve">Yearly</w:t>
            </w:r>
          </w:p>
        </w:tc>
        <w:tc>
          <w:tcPr>
            <w:tcW w:w="953" w:type="dxa"/>
          </w:tcPr>
          <w:p>
            <w:pPr>
              <w:pStyle w:val="Compact"/>
              <w:spacing w:after="40"/>
              <w:jc w:val="left"/>
            </w:pPr>
            <w:r>
              <w:rPr>
                <w:sz w:val="18"/>
              </w:rPr>
              <w:t xml:space="preserve">31 Mar</w:t>
            </w:r>
          </w:p>
        </w:tc>
        <w:tc>
          <w:tcPr>
            <w:tcW w:w="1626" w:type="dxa"/>
          </w:tcPr>
          <w:p>
            <w:pPr>
              <w:pStyle w:val="Compact"/>
              <w:spacing w:after="40"/>
              <w:jc w:val="left"/>
            </w:pPr>
            <w:r>
              <w:rPr>
                <w:bCs/>
                <w:b/>
                <w:sz w:val="18"/>
              </w:rPr>
              <w:t xml:space="preserve">5 working days from signing of the auditor’s report (s.134), and not later than 31 Dec</w:t>
            </w:r>
            <w:r>
              <w:rPr>
                <w:sz w:val="18"/>
              </w:rPr>
              <w:t xml:space="preserve"> </w:t>
            </w:r>
            <w:r>
              <w:rPr>
                <w:sz w:val="18"/>
              </w:rPr>
              <w:t xml:space="preserve">(para 23)</w:t>
            </w:r>
          </w:p>
        </w:tc>
        <w:tc>
          <w:tcPr>
            <w:tcW w:w="2382" w:type="dxa"/>
          </w:tcPr>
          <w:p>
            <w:pPr>
              <w:pStyle w:val="Compact"/>
              <w:spacing w:after="40"/>
              <w:jc w:val="left"/>
            </w:pPr>
            <w:r>
              <w:rPr>
                <w:sz w:val="18"/>
              </w:rPr>
              <w:t xml:space="preserve">All NBFCs</w:t>
            </w:r>
          </w:p>
        </w:tc>
        <w:tc>
          <w:tcPr>
            <w:tcW w:w="1310" w:type="dxa"/>
          </w:tcPr>
          <w:p>
            <w:pPr>
              <w:pStyle w:val="Compact"/>
              <w:spacing w:after="40"/>
              <w:jc w:val="left"/>
            </w:pPr>
            <w:r>
              <w:rPr>
                <w:sz w:val="18"/>
              </w:rPr>
              <w:t xml:space="preserve">Core (the auditor files on CIMS with a login the NBFC creates)</w:t>
            </w:r>
          </w:p>
        </w:tc>
      </w:tr>
      <w:tr>
        <w:tc>
          <w:tcPr>
            <w:tcW w:w="564" w:type="dxa"/>
          </w:tcPr>
          <w:p>
            <w:pPr>
              <w:pStyle w:val="Compact"/>
              <w:spacing w:after="40"/>
              <w:jc w:val="left"/>
            </w:pPr>
            <w:r>
              <w:rPr>
                <w:sz w:val="18"/>
              </w:rPr>
              <w:t xml:space="preserve">8</w:t>
            </w:r>
          </w:p>
        </w:tc>
        <w:tc>
          <w:tcPr>
            <w:tcW w:w="2099" w:type="dxa"/>
          </w:tcPr>
          <w:p>
            <w:pPr>
              <w:pStyle w:val="Compact"/>
              <w:spacing w:after="40"/>
              <w:jc w:val="left"/>
            </w:pPr>
            <w:r>
              <w:rPr>
                <w:sz w:val="18"/>
              </w:rPr>
              <w:t xml:space="preserve">DNBS11 – CICs Important Financial Parameters</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CICs</w:t>
            </w:r>
          </w:p>
        </w:tc>
        <w:tc>
          <w:tcPr>
            <w:tcW w:w="1310" w:type="dxa"/>
          </w:tcPr>
          <w:p>
            <w:pPr>
              <w:pStyle w:val="Compact"/>
              <w:spacing w:after="40"/>
              <w:jc w:val="left"/>
            </w:pPr>
            <w:r>
              <w:rPr>
                <w:sz w:val="18"/>
              </w:rPr>
              <w:t xml:space="preserve">Not targeted</w:t>
            </w:r>
          </w:p>
        </w:tc>
      </w:tr>
      <w:tr>
        <w:tc>
          <w:tcPr>
            <w:tcW w:w="564" w:type="dxa"/>
          </w:tcPr>
          <w:p>
            <w:pPr>
              <w:pStyle w:val="Compact"/>
              <w:spacing w:after="40"/>
              <w:jc w:val="left"/>
            </w:pPr>
            <w:r>
              <w:rPr>
                <w:sz w:val="18"/>
              </w:rPr>
              <w:t xml:space="preserve">9</w:t>
            </w:r>
          </w:p>
        </w:tc>
        <w:tc>
          <w:tcPr>
            <w:tcW w:w="2099" w:type="dxa"/>
          </w:tcPr>
          <w:p>
            <w:pPr>
              <w:pStyle w:val="Compact"/>
              <w:spacing w:after="40"/>
              <w:jc w:val="left"/>
            </w:pPr>
            <w:r>
              <w:rPr>
                <w:sz w:val="18"/>
              </w:rPr>
              <w:t xml:space="preserve">DNBS12 – CICs Important Prudential Parameters</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CICs</w:t>
            </w:r>
          </w:p>
        </w:tc>
        <w:tc>
          <w:tcPr>
            <w:tcW w:w="1310" w:type="dxa"/>
          </w:tcPr>
          <w:p>
            <w:pPr>
              <w:pStyle w:val="Compact"/>
              <w:spacing w:after="40"/>
              <w:jc w:val="left"/>
            </w:pPr>
            <w:r>
              <w:rPr>
                <w:sz w:val="18"/>
              </w:rPr>
              <w:t xml:space="preserve">Not targeted</w:t>
            </w:r>
          </w:p>
        </w:tc>
      </w:tr>
      <w:tr>
        <w:tc>
          <w:tcPr>
            <w:tcW w:w="564" w:type="dxa"/>
          </w:tcPr>
          <w:p>
            <w:pPr>
              <w:pStyle w:val="Compact"/>
              <w:spacing w:after="40"/>
              <w:jc w:val="left"/>
            </w:pPr>
            <w:r>
              <w:rPr>
                <w:sz w:val="18"/>
              </w:rPr>
              <w:t xml:space="preserve">10</w:t>
            </w:r>
          </w:p>
        </w:tc>
        <w:tc>
          <w:tcPr>
            <w:tcW w:w="2099" w:type="dxa"/>
          </w:tcPr>
          <w:p>
            <w:pPr>
              <w:pStyle w:val="Compact"/>
              <w:spacing w:after="40"/>
              <w:jc w:val="left"/>
            </w:pPr>
            <w:r>
              <w:rPr>
                <w:sz w:val="18"/>
              </w:rPr>
              <w:t xml:space="preserve">DNBS13 – Overseas Investment Details (</w:t>
            </w:r>
            <w:r>
              <w:rPr>
                <w:bCs/>
                <w:b/>
                <w:sz w:val="18"/>
              </w:rPr>
              <w:t xml:space="preserve">NIL return</w:t>
            </w:r>
            <w:r>
              <w:rPr>
                <w:sz w:val="18"/>
              </w:rPr>
              <w:t xml:space="preserve"> </w:t>
            </w:r>
            <w:r>
              <w:rPr>
                <w:sz w:val="18"/>
              </w:rPr>
              <w:t xml:space="preserve">if none)</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bCs/>
                <w:b/>
                <w:sz w:val="18"/>
              </w:rPr>
              <w:t xml:space="preserve">All NBFCs</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11</w:t>
            </w:r>
          </w:p>
        </w:tc>
        <w:tc>
          <w:tcPr>
            <w:tcW w:w="2099" w:type="dxa"/>
          </w:tcPr>
          <w:p>
            <w:pPr>
              <w:pStyle w:val="Compact"/>
              <w:spacing w:after="40"/>
              <w:jc w:val="left"/>
            </w:pPr>
            <w:r>
              <w:rPr>
                <w:sz w:val="18"/>
              </w:rPr>
              <w:t xml:space="preserve">DNBS14 – P2Ps Financial and Prudential Parameters</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P2Ps</w:t>
            </w:r>
          </w:p>
        </w:tc>
        <w:tc>
          <w:tcPr>
            <w:tcW w:w="1310" w:type="dxa"/>
          </w:tcPr>
          <w:p>
            <w:pPr>
              <w:pStyle w:val="Compact"/>
              <w:spacing w:after="40"/>
              <w:jc w:val="left"/>
            </w:pPr>
            <w:r>
              <w:rPr>
                <w:sz w:val="18"/>
              </w:rPr>
              <w:t xml:space="preserve">Later (P2P)</w:t>
            </w:r>
          </w:p>
        </w:tc>
      </w:tr>
      <w:tr>
        <w:tc>
          <w:tcPr>
            <w:tcW w:w="564" w:type="dxa"/>
          </w:tcPr>
          <w:p>
            <w:pPr>
              <w:pStyle w:val="Compact"/>
              <w:spacing w:after="40"/>
              <w:jc w:val="left"/>
            </w:pPr>
            <w:r>
              <w:rPr>
                <w:sz w:val="18"/>
              </w:rPr>
              <w:t xml:space="preserve">12</w:t>
            </w:r>
          </w:p>
        </w:tc>
        <w:tc>
          <w:tcPr>
            <w:tcW w:w="2099" w:type="dxa"/>
          </w:tcPr>
          <w:p>
            <w:pPr>
              <w:pStyle w:val="Compact"/>
              <w:spacing w:after="40"/>
              <w:jc w:val="left"/>
            </w:pPr>
            <w:r>
              <w:rPr>
                <w:sz w:val="18"/>
              </w:rPr>
              <w:t xml:space="preserve">Large Exposure Framework (20 largest exposures; exposures ≥ 10% of Tier 1; other and exempted exposures)</w:t>
            </w:r>
          </w:p>
        </w:tc>
        <w:tc>
          <w:tcPr>
            <w:tcW w:w="704" w:type="dxa"/>
          </w:tcPr>
          <w:p>
            <w:pPr>
              <w:pStyle w:val="Compact"/>
              <w:spacing w:after="40"/>
              <w:jc w:val="left"/>
            </w:pPr>
            <w:r>
              <w:rPr>
                <w:bCs/>
                <w:b/>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UL</w:t>
            </w:r>
          </w:p>
        </w:tc>
        <w:tc>
          <w:tcPr>
            <w:tcW w:w="1310" w:type="dxa"/>
          </w:tcPr>
          <w:p>
            <w:pPr>
              <w:pStyle w:val="Compact"/>
              <w:spacing w:after="40"/>
              <w:jc w:val="left"/>
            </w:pPr>
            <w:r>
              <w:rPr>
                <w:sz w:val="18"/>
              </w:rPr>
              <w:t xml:space="preserve">Core (UL)</w:t>
            </w:r>
          </w:p>
        </w:tc>
      </w:tr>
      <w:tr>
        <w:tc>
          <w:tcPr>
            <w:tcW w:w="564" w:type="dxa"/>
          </w:tcPr>
          <w:p>
            <w:pPr>
              <w:pStyle w:val="Compact"/>
              <w:spacing w:after="40"/>
              <w:jc w:val="left"/>
            </w:pPr>
            <w:r>
              <w:rPr>
                <w:sz w:val="18"/>
              </w:rPr>
              <w:t xml:space="preserve">13</w:t>
            </w:r>
          </w:p>
        </w:tc>
        <w:tc>
          <w:tcPr>
            <w:tcW w:w="2099" w:type="dxa"/>
          </w:tcPr>
          <w:p>
            <w:pPr>
              <w:pStyle w:val="Compact"/>
              <w:spacing w:after="40"/>
              <w:jc w:val="left"/>
            </w:pPr>
            <w:r>
              <w:rPr>
                <w:sz w:val="18"/>
              </w:rPr>
              <w:t xml:space="preserve">PDR III – Statement on Capital Adequacy</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SPDs</w:t>
            </w:r>
          </w:p>
        </w:tc>
        <w:tc>
          <w:tcPr>
            <w:tcW w:w="1310" w:type="dxa"/>
          </w:tcPr>
          <w:p>
            <w:pPr>
              <w:pStyle w:val="Compact"/>
              <w:spacing w:after="40"/>
              <w:jc w:val="left"/>
            </w:pPr>
            <w:r>
              <w:rPr>
                <w:sz w:val="18"/>
              </w:rPr>
              <w:t xml:space="preserve">Not targeted</w:t>
            </w:r>
          </w:p>
        </w:tc>
      </w:tr>
      <w:tr>
        <w:tc>
          <w:tcPr>
            <w:tcW w:w="564" w:type="dxa"/>
          </w:tcPr>
          <w:p>
            <w:pPr>
              <w:pStyle w:val="Compact"/>
              <w:spacing w:after="40"/>
              <w:jc w:val="left"/>
            </w:pPr>
            <w:r>
              <w:rPr>
                <w:sz w:val="18"/>
              </w:rPr>
              <w:t xml:space="preserve">14</w:t>
            </w:r>
          </w:p>
        </w:tc>
        <w:tc>
          <w:tcPr>
            <w:tcW w:w="2099" w:type="dxa"/>
          </w:tcPr>
          <w:p>
            <w:pPr>
              <w:pStyle w:val="Compact"/>
              <w:spacing w:after="40"/>
              <w:jc w:val="left"/>
            </w:pPr>
            <w:r>
              <w:rPr>
                <w:sz w:val="18"/>
              </w:rPr>
              <w:t xml:space="preserve">PDR IV – Select Financial and Balance Sheet Indicators</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sz w:val="18"/>
              </w:rPr>
              <w:t xml:space="preserve">21 days</w:t>
            </w:r>
          </w:p>
        </w:tc>
        <w:tc>
          <w:tcPr>
            <w:tcW w:w="2382" w:type="dxa"/>
          </w:tcPr>
          <w:p>
            <w:pPr>
              <w:pStyle w:val="Compact"/>
              <w:spacing w:after="40"/>
              <w:jc w:val="left"/>
            </w:pPr>
            <w:r>
              <w:rPr>
                <w:sz w:val="18"/>
              </w:rPr>
              <w:t xml:space="preserve">SPDs</w:t>
            </w:r>
          </w:p>
        </w:tc>
        <w:tc>
          <w:tcPr>
            <w:tcW w:w="1310" w:type="dxa"/>
          </w:tcPr>
          <w:p>
            <w:pPr>
              <w:pStyle w:val="Compact"/>
              <w:spacing w:after="40"/>
              <w:jc w:val="left"/>
            </w:pPr>
            <w:r>
              <w:rPr>
                <w:sz w:val="18"/>
              </w:rPr>
              <w:t xml:space="preserve">Not targeted</w:t>
            </w:r>
          </w:p>
        </w:tc>
      </w:tr>
      <w:tr>
        <w:tc>
          <w:tcPr>
            <w:tcW w:w="564" w:type="dxa"/>
          </w:tcPr>
          <w:p>
            <w:pPr>
              <w:pStyle w:val="Compact"/>
              <w:spacing w:after="40"/>
              <w:jc w:val="left"/>
            </w:pPr>
            <w:r>
              <w:rPr>
                <w:sz w:val="18"/>
              </w:rPr>
              <w:t xml:space="preserve">15</w:t>
            </w:r>
          </w:p>
        </w:tc>
        <w:tc>
          <w:tcPr>
            <w:tcW w:w="2099" w:type="dxa"/>
          </w:tcPr>
          <w:p>
            <w:pPr>
              <w:pStyle w:val="Compact"/>
              <w:spacing w:after="40"/>
              <w:jc w:val="left"/>
            </w:pPr>
            <w:r>
              <w:rPr>
                <w:sz w:val="18"/>
              </w:rPr>
              <w:t xml:space="preserve">Stress Test</w:t>
            </w:r>
          </w:p>
        </w:tc>
        <w:tc>
          <w:tcPr>
            <w:tcW w:w="704" w:type="dxa"/>
          </w:tcPr>
          <w:p>
            <w:pPr>
              <w:pStyle w:val="Compact"/>
              <w:spacing w:after="40"/>
              <w:jc w:val="left"/>
            </w:pPr>
            <w:r>
              <w:rPr>
                <w:sz w:val="18"/>
              </w:rPr>
              <w:t xml:space="preserve">Monthly</w:t>
            </w:r>
          </w:p>
        </w:tc>
        <w:tc>
          <w:tcPr>
            <w:tcW w:w="953" w:type="dxa"/>
          </w:tcPr>
          <w:p>
            <w:pPr>
              <w:pStyle w:val="Compact"/>
              <w:spacing w:after="40"/>
              <w:jc w:val="left"/>
            </w:pPr>
            <w:r>
              <w:rPr>
                <w:sz w:val="18"/>
              </w:rPr>
              <w:t xml:space="preserve">Month-end</w:t>
            </w:r>
          </w:p>
        </w:tc>
        <w:tc>
          <w:tcPr>
            <w:tcW w:w="1626" w:type="dxa"/>
          </w:tcPr>
          <w:p>
            <w:pPr>
              <w:pStyle w:val="Compact"/>
              <w:spacing w:after="40"/>
              <w:jc w:val="left"/>
            </w:pPr>
            <w:r>
              <w:rPr>
                <w:sz w:val="18"/>
              </w:rPr>
              <w:t xml:space="preserve">15 days</w:t>
            </w:r>
          </w:p>
        </w:tc>
        <w:tc>
          <w:tcPr>
            <w:tcW w:w="2382" w:type="dxa"/>
          </w:tcPr>
          <w:p>
            <w:pPr>
              <w:pStyle w:val="Compact"/>
              <w:spacing w:after="40"/>
              <w:jc w:val="left"/>
            </w:pPr>
            <w:r>
              <w:rPr>
                <w:sz w:val="18"/>
              </w:rPr>
              <w:t xml:space="preserve">SPDs</w:t>
            </w:r>
          </w:p>
        </w:tc>
        <w:tc>
          <w:tcPr>
            <w:tcW w:w="1310" w:type="dxa"/>
          </w:tcPr>
          <w:p>
            <w:pPr>
              <w:pStyle w:val="Compact"/>
              <w:spacing w:after="40"/>
              <w:jc w:val="left"/>
            </w:pPr>
            <w:r>
              <w:rPr>
                <w:sz w:val="18"/>
              </w:rPr>
              <w:t xml:space="preserve">Not targeted</w:t>
            </w:r>
          </w:p>
        </w:tc>
      </w:tr>
      <w:tr>
        <w:tc>
          <w:tcPr>
            <w:tcW w:w="564" w:type="dxa"/>
          </w:tcPr>
          <w:p>
            <w:pPr>
              <w:pStyle w:val="Compact"/>
              <w:spacing w:after="40"/>
              <w:jc w:val="left"/>
            </w:pPr>
            <w:r>
              <w:rPr>
                <w:sz w:val="18"/>
              </w:rPr>
              <w:t xml:space="preserve">16</w:t>
            </w:r>
          </w:p>
        </w:tc>
        <w:tc>
          <w:tcPr>
            <w:tcW w:w="2099" w:type="dxa"/>
          </w:tcPr>
          <w:p>
            <w:pPr>
              <w:pStyle w:val="Compact"/>
              <w:spacing w:after="40"/>
              <w:jc w:val="left"/>
            </w:pPr>
            <w:r>
              <w:rPr>
                <w:sz w:val="18"/>
              </w:rPr>
              <w:t xml:space="preserve">IRS Test</w:t>
            </w:r>
          </w:p>
        </w:tc>
        <w:tc>
          <w:tcPr>
            <w:tcW w:w="704" w:type="dxa"/>
          </w:tcPr>
          <w:p>
            <w:pPr>
              <w:pStyle w:val="Compact"/>
              <w:spacing w:after="40"/>
              <w:jc w:val="left"/>
            </w:pPr>
            <w:r>
              <w:rPr>
                <w:sz w:val="18"/>
              </w:rPr>
              <w:t xml:space="preserve">Monthly</w:t>
            </w:r>
          </w:p>
        </w:tc>
        <w:tc>
          <w:tcPr>
            <w:tcW w:w="953" w:type="dxa"/>
          </w:tcPr>
          <w:p>
            <w:pPr>
              <w:pStyle w:val="Compact"/>
              <w:spacing w:after="40"/>
              <w:jc w:val="left"/>
            </w:pPr>
            <w:r>
              <w:rPr>
                <w:sz w:val="18"/>
              </w:rPr>
              <w:t xml:space="preserve">Month-end</w:t>
            </w:r>
          </w:p>
        </w:tc>
        <w:tc>
          <w:tcPr>
            <w:tcW w:w="1626" w:type="dxa"/>
          </w:tcPr>
          <w:p>
            <w:pPr>
              <w:pStyle w:val="Compact"/>
              <w:spacing w:after="40"/>
              <w:jc w:val="left"/>
            </w:pPr>
            <w:r>
              <w:rPr>
                <w:sz w:val="18"/>
              </w:rPr>
              <w:t xml:space="preserve">15 days</w:t>
            </w:r>
          </w:p>
        </w:tc>
        <w:tc>
          <w:tcPr>
            <w:tcW w:w="2382" w:type="dxa"/>
          </w:tcPr>
          <w:p>
            <w:pPr>
              <w:pStyle w:val="Compact"/>
              <w:spacing w:after="40"/>
              <w:jc w:val="left"/>
            </w:pPr>
            <w:r>
              <w:rPr>
                <w:sz w:val="18"/>
              </w:rPr>
              <w:t xml:space="preserve">SPDs</w:t>
            </w:r>
          </w:p>
        </w:tc>
        <w:tc>
          <w:tcPr>
            <w:tcW w:w="1310" w:type="dxa"/>
          </w:tcPr>
          <w:p>
            <w:pPr>
              <w:pStyle w:val="Compact"/>
              <w:spacing w:after="40"/>
              <w:jc w:val="left"/>
            </w:pPr>
            <w:r>
              <w:rPr>
                <w:sz w:val="18"/>
              </w:rPr>
              <w:t xml:space="preserve">Not targeted</w:t>
            </w:r>
          </w:p>
        </w:tc>
      </w:tr>
      <w:tr>
        <w:tc>
          <w:tcPr>
            <w:tcW w:w="564" w:type="dxa"/>
          </w:tcPr>
          <w:p>
            <w:pPr>
              <w:pStyle w:val="Compact"/>
              <w:spacing w:after="40"/>
              <w:jc w:val="left"/>
            </w:pPr>
            <w:r>
              <w:rPr>
                <w:sz w:val="18"/>
              </w:rPr>
              <w:t xml:space="preserve">17</w:t>
            </w:r>
          </w:p>
        </w:tc>
        <w:tc>
          <w:tcPr>
            <w:tcW w:w="2099" w:type="dxa"/>
          </w:tcPr>
          <w:p>
            <w:pPr>
              <w:pStyle w:val="Compact"/>
              <w:spacing w:after="40"/>
              <w:jc w:val="left"/>
            </w:pPr>
            <w:r>
              <w:rPr>
                <w:sz w:val="18"/>
              </w:rPr>
              <w:t xml:space="preserve">FMR – NBFCs</w:t>
            </w:r>
          </w:p>
        </w:tc>
        <w:tc>
          <w:tcPr>
            <w:tcW w:w="704" w:type="dxa"/>
          </w:tcPr>
          <w:p>
            <w:pPr>
              <w:pStyle w:val="Compact"/>
              <w:spacing w:after="40"/>
              <w:jc w:val="left"/>
            </w:pPr>
            <w:r>
              <w:rPr>
                <w:sz w:val="18"/>
              </w:rPr>
              <w:t xml:space="preserve">Per event</w:t>
            </w:r>
          </w:p>
        </w:tc>
        <w:tc>
          <w:tcPr>
            <w:tcW w:w="953" w:type="dxa"/>
          </w:tcPr>
          <w:p>
            <w:pPr>
              <w:pStyle w:val="Compact"/>
              <w:spacing w:after="40"/>
              <w:jc w:val="left"/>
            </w:pPr>
            <w:r>
              <w:rPr>
                <w:sz w:val="18"/>
              </w:rPr>
              <w:t xml:space="preserve">Fraud classification date</w:t>
            </w:r>
          </w:p>
        </w:tc>
        <w:tc>
          <w:tcPr>
            <w:tcW w:w="1626" w:type="dxa"/>
          </w:tcPr>
          <w:p>
            <w:pPr>
              <w:pStyle w:val="Compact"/>
              <w:spacing w:after="40"/>
              <w:jc w:val="left"/>
            </w:pPr>
            <w:r>
              <w:rPr>
                <w:bCs/>
                <w:b/>
                <w:sz w:val="18"/>
              </w:rPr>
              <w:t xml:space="preserve">14 days</w:t>
            </w:r>
          </w:p>
        </w:tc>
        <w:tc>
          <w:tcPr>
            <w:tcW w:w="2382" w:type="dxa"/>
          </w:tcPr>
          <w:p>
            <w:pPr>
              <w:pStyle w:val="Compact"/>
              <w:spacing w:after="40"/>
              <w:jc w:val="left"/>
            </w:pPr>
            <w:r>
              <w:rPr>
                <w:sz w:val="18"/>
              </w:rPr>
              <w:t xml:space="preserve">UL; ML; BL ≥ ₹500 crore</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18</w:t>
            </w:r>
          </w:p>
        </w:tc>
        <w:tc>
          <w:tcPr>
            <w:tcW w:w="2099" w:type="dxa"/>
          </w:tcPr>
          <w:p>
            <w:pPr>
              <w:pStyle w:val="Compact"/>
              <w:spacing w:after="40"/>
              <w:jc w:val="left"/>
            </w:pPr>
            <w:r>
              <w:rPr>
                <w:sz w:val="18"/>
              </w:rPr>
              <w:t xml:space="preserve">FMR Update Application (FUA)</w:t>
            </w:r>
          </w:p>
        </w:tc>
        <w:tc>
          <w:tcPr>
            <w:tcW w:w="704" w:type="dxa"/>
          </w:tcPr>
          <w:p>
            <w:pPr>
              <w:pStyle w:val="Compact"/>
              <w:spacing w:after="40"/>
              <w:jc w:val="left"/>
            </w:pPr>
            <w:r>
              <w:rPr>
                <w:sz w:val="18"/>
              </w:rPr>
              <w:t xml:space="preserve">On any development</w:t>
            </w:r>
          </w:p>
        </w:tc>
        <w:tc>
          <w:tcPr>
            <w:tcW w:w="953" w:type="dxa"/>
          </w:tcPr>
          <w:p>
            <w:pPr>
              <w:pStyle w:val="Compact"/>
              <w:spacing w:after="40"/>
              <w:jc w:val="left"/>
            </w:pPr>
            <w:r>
              <w:rPr>
                <w:sz w:val="18"/>
              </w:rPr>
              <w:t xml:space="preserve">Update / progress date</w:t>
            </w:r>
          </w:p>
        </w:tc>
        <w:tc>
          <w:tcPr>
            <w:tcW w:w="1626" w:type="dxa"/>
          </w:tcPr>
          <w:p>
            <w:pPr>
              <w:pStyle w:val="Compact"/>
              <w:spacing w:after="40"/>
              <w:jc w:val="left"/>
            </w:pPr>
            <w:r>
              <w:rPr>
                <w:bCs/>
                <w:b/>
                <w:sz w:val="18"/>
              </w:rPr>
              <w:t xml:space="preserve">Immediate</w:t>
            </w:r>
          </w:p>
        </w:tc>
        <w:tc>
          <w:tcPr>
            <w:tcW w:w="2382" w:type="dxa"/>
          </w:tcPr>
          <w:p>
            <w:pPr>
              <w:pStyle w:val="Compact"/>
              <w:spacing w:after="40"/>
              <w:jc w:val="left"/>
            </w:pPr>
            <w:r>
              <w:rPr>
                <w:sz w:val="18"/>
              </w:rPr>
              <w:t xml:space="preserve">As FMR (merged cell)</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19</w:t>
            </w:r>
          </w:p>
        </w:tc>
        <w:tc>
          <w:tcPr>
            <w:tcW w:w="2099" w:type="dxa"/>
          </w:tcPr>
          <w:p>
            <w:pPr>
              <w:pStyle w:val="Compact"/>
              <w:spacing w:after="40"/>
              <w:jc w:val="left"/>
            </w:pPr>
            <w:r>
              <w:rPr>
                <w:sz w:val="18"/>
              </w:rPr>
              <w:t xml:space="preserve">FMR4 / RBR (dacoity, robbery, theft, burglary)</w:t>
            </w:r>
          </w:p>
        </w:tc>
        <w:tc>
          <w:tcPr>
            <w:tcW w:w="704" w:type="dxa"/>
          </w:tcPr>
          <w:p>
            <w:pPr>
              <w:pStyle w:val="Compact"/>
              <w:spacing w:after="40"/>
              <w:jc w:val="left"/>
            </w:pPr>
            <w:r>
              <w:rPr>
                <w:sz w:val="18"/>
              </w:rPr>
              <w:t xml:space="preserve">Quarterly</w:t>
            </w:r>
          </w:p>
        </w:tc>
        <w:tc>
          <w:tcPr>
            <w:tcW w:w="953" w:type="dxa"/>
          </w:tcPr>
          <w:p>
            <w:pPr>
              <w:pStyle w:val="Compact"/>
              <w:spacing w:after="40"/>
              <w:jc w:val="left"/>
            </w:pPr>
            <w:r>
              <w:rPr>
                <w:sz w:val="18"/>
              </w:rPr>
              <w:t xml:space="preserve">Quarter-end</w:t>
            </w:r>
          </w:p>
        </w:tc>
        <w:tc>
          <w:tcPr>
            <w:tcW w:w="1626" w:type="dxa"/>
          </w:tcPr>
          <w:p>
            <w:pPr>
              <w:pStyle w:val="Compact"/>
              <w:spacing w:after="40"/>
              <w:jc w:val="left"/>
            </w:pPr>
            <w:r>
              <w:rPr>
                <w:bCs/>
                <w:b/>
                <w:sz w:val="18"/>
              </w:rPr>
              <w:t xml:space="preserve">15 days</w:t>
            </w:r>
          </w:p>
        </w:tc>
        <w:tc>
          <w:tcPr>
            <w:tcW w:w="2382" w:type="dxa"/>
          </w:tcPr>
          <w:p>
            <w:pPr>
              <w:pStyle w:val="Compact"/>
              <w:spacing w:after="40"/>
              <w:jc w:val="left"/>
            </w:pPr>
            <w:r>
              <w:rPr>
                <w:sz w:val="18"/>
              </w:rPr>
              <w:t xml:space="preserve">As FMR (merged cell)</w:t>
            </w:r>
          </w:p>
        </w:tc>
        <w:tc>
          <w:tcPr>
            <w:tcW w:w="1310" w:type="dxa"/>
          </w:tcPr>
          <w:p>
            <w:pPr>
              <w:pStyle w:val="Compact"/>
              <w:spacing w:after="40"/>
              <w:jc w:val="left"/>
            </w:pPr>
            <w:r>
              <w:rPr>
                <w:sz w:val="18"/>
              </w:rPr>
              <w:t xml:space="preserve">Core</w:t>
            </w:r>
          </w:p>
        </w:tc>
      </w:tr>
      <w:tr>
        <w:tc>
          <w:tcPr>
            <w:tcW w:w="564" w:type="dxa"/>
          </w:tcPr>
          <w:p>
            <w:pPr>
              <w:pStyle w:val="Compact"/>
              <w:spacing w:after="40"/>
              <w:jc w:val="left"/>
            </w:pPr>
            <w:r>
              <w:rPr>
                <w:sz w:val="18"/>
              </w:rPr>
              <w:t xml:space="preserve">20</w:t>
            </w:r>
          </w:p>
        </w:tc>
        <w:tc>
          <w:tcPr>
            <w:tcW w:w="2099" w:type="dxa"/>
          </w:tcPr>
          <w:p>
            <w:pPr>
              <w:pStyle w:val="Compact"/>
              <w:spacing w:after="40"/>
              <w:jc w:val="left"/>
            </w:pPr>
            <w:r>
              <w:rPr>
                <w:sz w:val="18"/>
              </w:rPr>
              <w:t xml:space="preserve">Form A Certificate (SCA/SA appointment)</w:t>
            </w:r>
          </w:p>
        </w:tc>
        <w:tc>
          <w:tcPr>
            <w:tcW w:w="704" w:type="dxa"/>
          </w:tcPr>
          <w:p>
            <w:pPr>
              <w:pStyle w:val="Compact"/>
              <w:spacing w:after="40"/>
              <w:jc w:val="left"/>
            </w:pPr>
            <w:r>
              <w:rPr>
                <w:sz w:val="18"/>
              </w:rPr>
              <w:t xml:space="preserve">Yearly</w:t>
            </w:r>
          </w:p>
        </w:tc>
        <w:tc>
          <w:tcPr>
            <w:tcW w:w="953" w:type="dxa"/>
          </w:tcPr>
          <w:p>
            <w:pPr>
              <w:pStyle w:val="Compact"/>
              <w:spacing w:after="40"/>
              <w:jc w:val="left"/>
            </w:pPr>
            <w:r>
              <w:rPr>
                <w:sz w:val="18"/>
              </w:rPr>
              <w:t xml:space="preserve">31 Mar</w:t>
            </w:r>
          </w:p>
        </w:tc>
        <w:tc>
          <w:tcPr>
            <w:tcW w:w="1626" w:type="dxa"/>
          </w:tcPr>
          <w:p>
            <w:pPr>
              <w:pStyle w:val="Compact"/>
              <w:spacing w:after="40"/>
              <w:jc w:val="left"/>
            </w:pPr>
            <w:r>
              <w:rPr>
                <w:bCs/>
                <w:b/>
                <w:sz w:val="18"/>
              </w:rPr>
              <w:t xml:space="preserve">1 month from appointment</w:t>
            </w:r>
          </w:p>
        </w:tc>
        <w:tc>
          <w:tcPr>
            <w:tcW w:w="2382" w:type="dxa"/>
          </w:tcPr>
          <w:p>
            <w:pPr>
              <w:pStyle w:val="Compact"/>
              <w:spacing w:after="40"/>
              <w:jc w:val="left"/>
            </w:pPr>
            <w:r>
              <w:rPr>
                <w:bCs/>
                <w:b/>
                <w:sz w:val="18"/>
              </w:rPr>
              <w:t xml:space="preserve">All NBFCs</w:t>
            </w:r>
          </w:p>
        </w:tc>
        <w:tc>
          <w:tcPr>
            <w:tcW w:w="1310" w:type="dxa"/>
          </w:tcPr>
          <w:p>
            <w:pPr>
              <w:pStyle w:val="Compact"/>
              <w:spacing w:after="40"/>
              <w:jc w:val="left"/>
            </w:pPr>
            <w:r>
              <w:rPr>
                <w:sz w:val="18"/>
              </w:rPr>
              <w:t xml:space="preserve">Core</w:t>
            </w:r>
          </w:p>
        </w:tc>
      </w:tr>
    </w:tbl>
    <w:p>
      <w:pPr>
        <w:pStyle w:val="BodyText"/>
      </w:pPr>
      <w:r>
        <w:rPr>
          <w:bCs/>
          <w:b/>
        </w:rPr>
        <w:t xml:space="preserve">Timeline rules (paras 22–26):</w:t>
      </w:r>
    </w:p>
    <w:p>
      <w:pPr>
        <w:numPr>
          <w:ilvl w:val="0"/>
          <w:numId w:val="1998"/>
        </w:numPr>
        <w:pStyle w:val="Compact"/>
      </w:pPr>
      <w:r>
        <w:rPr>
          <w:bCs/>
          <w:b/>
        </w:rPr>
        <w:t xml:space="preserve">Default due dates (para 22):</w:t>
      </w:r>
    </w:p>
    <w:p>
      <w:pPr>
        <w:numPr>
          <w:ilvl w:val="1"/>
          <w:numId w:val="1999"/>
        </w:numPr>
        <w:pStyle w:val="Compact"/>
      </w:pPr>
      <w:r>
        <w:t xml:space="preserve">weekly: by Wednesday of the following week;</w:t>
      </w:r>
    </w:p>
    <w:p>
      <w:pPr>
        <w:numPr>
          <w:ilvl w:val="1"/>
          <w:numId w:val="1999"/>
        </w:numPr>
        <w:pStyle w:val="Compact"/>
      </w:pPr>
      <w:r>
        <w:t xml:space="preserve">monthly: within 15 days;</w:t>
      </w:r>
    </w:p>
    <w:p>
      <w:pPr>
        <w:numPr>
          <w:ilvl w:val="1"/>
          <w:numId w:val="1999"/>
        </w:numPr>
        <w:pStyle w:val="Compact"/>
      </w:pPr>
      <w:r>
        <w:t xml:space="preserve">quarterly: within 21 days;</w:t>
      </w:r>
    </w:p>
    <w:p>
      <w:pPr>
        <w:numPr>
          <w:ilvl w:val="1"/>
          <w:numId w:val="1999"/>
        </w:numPr>
        <w:pStyle w:val="Compact"/>
      </w:pPr>
      <w:r>
        <w:t xml:space="preserve">yearly: within 21 days.</w:t>
      </w:r>
    </w:p>
    <w:p>
      <w:pPr>
        <w:numPr>
          <w:ilvl w:val="0"/>
          <w:numId w:val="1998"/>
        </w:numPr>
        <w:pStyle w:val="Compact"/>
      </w:pPr>
      <w:r>
        <w:rPr>
          <w:bCs/>
          <w:b/>
        </w:rPr>
        <w:t xml:space="preserve">Audited returns:</w:t>
      </w:r>
      <w:r>
        <w:t xml:space="preserve"> </w:t>
      </w:r>
      <w:r>
        <w:t xml:space="preserve">within</w:t>
      </w:r>
      <w:r>
        <w:t xml:space="preserve"> </w:t>
      </w:r>
      <w:r>
        <w:rPr>
          <w:bCs/>
          <w:b/>
        </w:rPr>
        <w:t xml:space="preserve">5 working days from signing of the auditor’s report</w:t>
      </w:r>
      <w:r>
        <w:t xml:space="preserve">, solo or group level as applicable (Note 1).</w:t>
      </w:r>
    </w:p>
    <w:p>
      <w:pPr>
        <w:numPr>
          <w:ilvl w:val="0"/>
          <w:numId w:val="1998"/>
        </w:numPr>
        <w:pStyle w:val="Compact"/>
      </w:pPr>
      <w:r>
        <w:rPr>
          <w:bCs/>
          <w:b/>
        </w:rPr>
        <w:t xml:space="preserve">Ad-hoc returns:</w:t>
      </w:r>
      <w:r>
        <w:t xml:space="preserve"> </w:t>
      </w:r>
      <w:r>
        <w:t xml:space="preserve">within the timeline in RBI’s communication (Note 2).</w:t>
      </w:r>
    </w:p>
    <w:p>
      <w:pPr>
        <w:numPr>
          <w:ilvl w:val="0"/>
          <w:numId w:val="1998"/>
        </w:numPr>
        <w:pStyle w:val="Compact"/>
      </w:pPr>
      <w:r>
        <w:rPr>
          <w:bCs/>
          <w:b/>
        </w:rPr>
        <w:t xml:space="preserve">Penalties (24):</w:t>
      </w:r>
      <w:r>
        <w:t xml:space="preserve"> </w:t>
      </w:r>
      <w:r>
        <w:t xml:space="preserve">RBI Act action for false information or delay.</w:t>
      </w:r>
    </w:p>
    <w:p>
      <w:pPr>
        <w:numPr>
          <w:ilvl w:val="0"/>
          <w:numId w:val="1998"/>
        </w:numPr>
        <w:pStyle w:val="Compact"/>
      </w:pPr>
      <w:r>
        <w:rPr>
          <w:bCs/>
          <w:b/>
        </w:rPr>
        <w:t xml:space="preserve">RBI may add or withdraw returns (25).</w:t>
      </w:r>
      <w:r>
        <w:t xml:space="preserve"> </w:t>
      </w:r>
      <w:r>
        <w:t xml:space="preserve">Build: the return catalogue is data-driven, not hard-coded.</w:t>
      </w:r>
    </w:p>
    <w:p>
      <w:pPr>
        <w:numPr>
          <w:ilvl w:val="0"/>
          <w:numId w:val="1998"/>
        </w:numPr>
        <w:pStyle w:val="Compact"/>
      </w:pPr>
      <w:r>
        <w:rPr>
          <w:bCs/>
          <w:b/>
        </w:rPr>
        <w:t xml:space="preserve">Returns under other Directions are not affected (26).</w:t>
      </w:r>
      <w:r>
        <w:t xml:space="preserve"> </w:t>
      </w:r>
      <w:r>
        <w:t xml:space="preserve">Examples: CIMS DLA (CF 18), RBR incident emails (FRM 57), IRF (INV 29), CDS (CRM 17(7)), LE breach intimation (CON 45), branch closure (BR 12).</w:t>
      </w:r>
    </w:p>
    <w:p>
      <w:pPr>
        <w:numPr>
          <w:ilvl w:val="0"/>
          <w:numId w:val="1998"/>
        </w:numPr>
        <w:pStyle w:val="Compact"/>
      </w:pPr>
      <w:r>
        <w:rPr>
          <w:bCs/>
          <w:b/>
        </w:rPr>
        <w:t xml:space="preserve">Not in the para 21 list:</w:t>
      </w:r>
      <w:r>
        <w:t xml:space="preserve"> </w:t>
      </w:r>
      <w:r>
        <w:t xml:space="preserve">a</w:t>
      </w:r>
      <w:r>
        <w:t xml:space="preserve"> </w:t>
      </w:r>
      <w:r>
        <w:t xml:space="preserve">“</w:t>
      </w:r>
      <w:r>
        <w:t xml:space="preserve">branch info</w:t>
      </w:r>
      <w:r>
        <w:t xml:space="preserve">”</w:t>
      </w:r>
      <w:r>
        <w:t xml:space="preserve"> </w:t>
      </w:r>
      <w:r>
        <w:t xml:space="preserve">return, a separate</w:t>
      </w:r>
      <w:r>
        <w:t xml:space="preserve"> </w:t>
      </w:r>
      <w:r>
        <w:t xml:space="preserve">“</w:t>
      </w:r>
      <w:r>
        <w:t xml:space="preserve">sectoral</w:t>
      </w:r>
      <w:r>
        <w:t xml:space="preserve">”</w:t>
      </w:r>
      <w:r>
        <w:t xml:space="preserve"> </w:t>
      </w:r>
      <w:r>
        <w:t xml:space="preserve">return, and any XBRL requirement.</w:t>
      </w:r>
    </w:p>
    <w:p>
      <w:r>
        <w:pict>
          <v:rect style="width:0;height:1.5pt" o:hralign="center" o:hrstd="t" o:hr="t"/>
        </w:pict>
      </w:r>
    </w:p>
    <w:p>
      <w:r>
        <w:pict>
          <v:rect style="width:0;height:1.5pt" o:hralign="center" o:hrstd="t" o:hr="t"/>
        </w:pict>
      </w:r>
    </w:p>
    <w:bookmarkEnd w:id="816"/>
    <w:bookmarkStart w:id="817" w:name="X620b83b346388e465857c66c91e334592dc9d2c"/>
    <w:p>
      <w:pPr>
        <w:pStyle w:val="Heading2"/>
      </w:pPr>
      <w:r>
        <w:t xml:space="preserve">8A.35 MSD — Miscellaneous Supervisory Directions (467)</w:t>
      </w:r>
    </w:p>
    <w:p>
      <w:pPr>
        <w:pStyle w:val="FirstParagraph"/>
      </w:pPr>
      <w:r>
        <w:rPr>
          <w:bCs/>
          <w:b/>
        </w:rPr>
        <w:t xml:space="preserve">Applicability (para 3).</w:t>
      </w:r>
      <w:r>
        <w:t xml:space="preserve"> </w:t>
      </w:r>
      <w:r>
        <w:t xml:space="preserve">NBFCs and HFCs, all layers, unless specified otherwise.</w:t>
      </w:r>
    </w:p>
    <w:p>
      <w:pPr>
        <w:numPr>
          <w:ilvl w:val="0"/>
          <w:numId w:val="2000"/>
        </w:numPr>
        <w:pStyle w:val="Compact"/>
      </w:pPr>
      <w:r>
        <w:rPr>
          <w:bCs/>
          <w:b/>
        </w:rPr>
        <w:t xml:space="preserve">Ch III also applies to HFCs and MFIs.</w:t>
      </w:r>
    </w:p>
    <w:p>
      <w:pPr>
        <w:numPr>
          <w:ilvl w:val="0"/>
          <w:numId w:val="2000"/>
        </w:numPr>
        <w:pStyle w:val="Compact"/>
      </w:pPr>
      <w:r>
        <w:rPr>
          <w:bCs/>
          <w:b/>
        </w:rPr>
        <w:t xml:space="preserve">Ch IV applies only to NBFC-D, excluding HFCs.</w:t>
      </w:r>
    </w:p>
    <w:p>
      <w:pPr>
        <w:numPr>
          <w:ilvl w:val="0"/>
          <w:numId w:val="2000"/>
        </w:numPr>
        <w:pStyle w:val="Compact"/>
      </w:pPr>
      <w:r>
        <w:rPr>
          <w:bCs/>
          <w:b/>
        </w:rPr>
        <w:t xml:space="preserve">Ch V applies to NBFC-D, and to NBFC-ND in the ML, UL and TL</w:t>
      </w:r>
      <w:r>
        <w:t xml:space="preserve"> </w:t>
      </w:r>
      <w:r>
        <w:t xml:space="preserve">(ICC, CIC, IDF, IFC, MFI, Factors).</w:t>
      </w:r>
    </w:p>
    <w:p>
      <w:pPr>
        <w:numPr>
          <w:ilvl w:val="1"/>
          <w:numId w:val="2001"/>
        </w:numPr>
        <w:pStyle w:val="Compact"/>
      </w:pPr>
      <w:r>
        <w:rPr>
          <w:bCs/>
          <w:b/>
        </w:rPr>
        <w:t xml:space="preserve">Excluded:</w:t>
      </w:r>
      <w:r>
        <w:t xml:space="preserve"> </w:t>
      </w:r>
      <w:r>
        <w:t xml:space="preserve">NBFCs not accepting or intending to accept public funds, Primary Dealers, and HFCs.</w:t>
      </w:r>
    </w:p>
    <w:p>
      <w:pPr>
        <w:pStyle w:val="FirstParagraph"/>
      </w:pPr>
      <w:r>
        <w:rPr>
          <w:bCs/>
          <w:b/>
        </w:rPr>
        <w:t xml:space="preserve">Ch II: CFSS (paras 5–6):</w:t>
      </w:r>
    </w:p>
    <w:p>
      <w:pPr>
        <w:numPr>
          <w:ilvl w:val="0"/>
          <w:numId w:val="2002"/>
        </w:numPr>
        <w:pStyle w:val="Compact"/>
      </w:pPr>
      <w:r>
        <w:rPr>
          <w:bCs/>
          <w:b/>
        </w:rPr>
        <w:t xml:space="preserve">UL and ML NBFCs with 10 or more</w:t>
      </w:r>
      <w:r>
        <w:rPr>
          <w:bCs/>
          <w:b/>
        </w:rPr>
        <w:t xml:space="preserve"> </w:t>
      </w:r>
      <w:r>
        <w:rPr>
          <w:bCs/>
          <w:b/>
        </w:rPr>
        <w:t xml:space="preserve">“</w:t>
      </w:r>
      <w:r>
        <w:rPr>
          <w:bCs/>
          <w:b/>
        </w:rPr>
        <w:t xml:space="preserve">fixed point service delivery units</w:t>
      </w:r>
      <w:r>
        <w:rPr>
          <w:bCs/>
          <w:b/>
        </w:rPr>
        <w:t xml:space="preserve">”</w:t>
      </w:r>
      <w:r>
        <w:rPr>
          <w:bCs/>
          <w:b/>
        </w:rPr>
        <w:t xml:space="preserve"> </w:t>
      </w:r>
      <w:r>
        <w:rPr>
          <w:bCs/>
          <w:b/>
        </w:rPr>
        <w:t xml:space="preserve">must implement a Core Financial Services Solution</w:t>
      </w:r>
      <w:r>
        <w:t xml:space="preserve">, akin to a bank’s CBS. Others may adopt it voluntarily (5).</w:t>
      </w:r>
    </w:p>
    <w:p>
      <w:pPr>
        <w:numPr>
          <w:ilvl w:val="0"/>
          <w:numId w:val="2002"/>
        </w:numPr>
        <w:pStyle w:val="Compact"/>
      </w:pPr>
      <w:r>
        <w:rPr>
          <w:bCs/>
          <w:b/>
        </w:rPr>
        <w:t xml:space="preserve">Required capabilities (5):</w:t>
      </w:r>
    </w:p>
    <w:p>
      <w:pPr>
        <w:numPr>
          <w:ilvl w:val="1"/>
          <w:numId w:val="2003"/>
        </w:numPr>
        <w:pStyle w:val="Compact"/>
      </w:pPr>
      <w:r>
        <w:t xml:space="preserve">seamless digital customer interface, available anywhere and anytime;</w:t>
      </w:r>
    </w:p>
    <w:p>
      <w:pPr>
        <w:numPr>
          <w:ilvl w:val="1"/>
          <w:numId w:val="2003"/>
        </w:numPr>
        <w:pStyle w:val="Compact"/>
      </w:pPr>
      <w:r>
        <w:t xml:space="preserve">integration of the NBFC’s functions;</w:t>
      </w:r>
    </w:p>
    <w:p>
      <w:pPr>
        <w:numPr>
          <w:ilvl w:val="1"/>
          <w:numId w:val="2003"/>
        </w:numPr>
        <w:pStyle w:val="Compact"/>
      </w:pPr>
      <w:r>
        <w:rPr>
          <w:bCs/>
          <w:b/>
        </w:rPr>
        <w:t xml:space="preserve">centralised database and accounting records</w:t>
      </w:r>
      <w:r>
        <w:t xml:space="preserve">;</w:t>
      </w:r>
    </w:p>
    <w:p>
      <w:pPr>
        <w:numPr>
          <w:ilvl w:val="1"/>
          <w:numId w:val="2003"/>
        </w:numPr>
        <w:pStyle w:val="Compact"/>
      </w:pPr>
      <w:r>
        <w:t xml:space="preserve">MIS for internal purposes and regulatory reporting.</w:t>
      </w:r>
    </w:p>
    <w:p>
      <w:pPr>
        <w:numPr>
          <w:ilvl w:val="0"/>
          <w:numId w:val="2002"/>
        </w:numPr>
        <w:pStyle w:val="Compact"/>
      </w:pPr>
      <w:r>
        <w:rPr>
          <w:bCs/>
          <w:b/>
        </w:rPr>
        <w:t xml:space="preserve">Fixed point unit</w:t>
      </w:r>
      <w:r>
        <w:t xml:space="preserve"> </w:t>
      </w:r>
      <w:r>
        <w:t xml:space="preserve">= a place where non-banking financial intermediation business is carried out:</w:t>
      </w:r>
    </w:p>
    <w:p>
      <w:pPr>
        <w:numPr>
          <w:ilvl w:val="1"/>
          <w:numId w:val="2004"/>
        </w:numPr>
        <w:pStyle w:val="Compact"/>
      </w:pPr>
      <w:r>
        <w:t xml:space="preserve">staffed by own staff</w:t>
      </w:r>
      <w:r>
        <w:t xml:space="preserve"> </w:t>
      </w:r>
      <w:r>
        <w:rPr>
          <w:bCs/>
          <w:b/>
        </w:rPr>
        <w:t xml:space="preserve">or outsourced agents</w:t>
      </w:r>
      <w:r>
        <w:t xml:space="preserve">;</w:t>
      </w:r>
    </w:p>
    <w:p>
      <w:pPr>
        <w:numPr>
          <w:ilvl w:val="1"/>
          <w:numId w:val="2004"/>
        </w:numPr>
        <w:pStyle w:val="Compact"/>
      </w:pPr>
      <w:r>
        <w:t xml:space="preserve">with uniform NBFC signage;</w:t>
      </w:r>
    </w:p>
    <w:p>
      <w:pPr>
        <w:numPr>
          <w:ilvl w:val="1"/>
          <w:numId w:val="2004"/>
        </w:numPr>
        <w:pStyle w:val="Compact"/>
      </w:pPr>
      <w:r>
        <w:t xml:space="preserve">under the NBFC’s administrative control.</w:t>
      </w:r>
    </w:p>
    <w:p>
      <w:pPr>
        <w:numPr>
          <w:ilvl w:val="1"/>
          <w:numId w:val="2004"/>
        </w:numPr>
        <w:pStyle w:val="Compact"/>
      </w:pPr>
      <w:r>
        <w:t xml:space="preserve">Administrative and back offices with no customer interface are excluded (5, Explanation).</w:t>
      </w:r>
    </w:p>
    <w:p>
      <w:pPr>
        <w:numPr>
          <w:ilvl w:val="0"/>
          <w:numId w:val="2002"/>
        </w:numPr>
        <w:pStyle w:val="Compact"/>
      </w:pPr>
      <w:r>
        <w:rPr>
          <w:bCs/>
          <w:b/>
        </w:rPr>
        <w:t xml:space="preserve">Quarterly CFSS implementation progress report to the SSM</w:t>
      </w:r>
      <w:r>
        <w:t xml:space="preserve"> </w:t>
      </w:r>
      <w:r>
        <w:t xml:space="preserve">(6).</w:t>
      </w:r>
    </w:p>
    <w:p>
      <w:pPr>
        <w:numPr>
          <w:ilvl w:val="0"/>
          <w:numId w:val="2002"/>
        </w:numPr>
        <w:pStyle w:val="Compact"/>
      </w:pPr>
      <w:r>
        <w:t xml:space="preserve">No HFC exclusion is made for Ch II.</w:t>
      </w:r>
    </w:p>
    <w:p>
      <w:pPr>
        <w:numPr>
          <w:ilvl w:val="0"/>
          <w:numId w:val="2002"/>
        </w:numPr>
        <w:pStyle w:val="Compact"/>
      </w:pPr>
      <w:r>
        <w:t xml:space="preserve">Build:</w:t>
      </w:r>
    </w:p>
    <w:p>
      <w:pPr>
        <w:numPr>
          <w:ilvl w:val="1"/>
          <w:numId w:val="2005"/>
        </w:numPr>
        <w:pStyle w:val="Compact"/>
      </w:pPr>
      <w:r>
        <w:rPr>
          <w:rStyle w:val="VerbatimChar"/>
        </w:rPr>
        <w:t xml:space="preserve">fixed_point_unit</w:t>
      </w:r>
      <w:r>
        <w:t xml:space="preserve"> </w:t>
      </w:r>
      <w:r>
        <w:t xml:space="preserve">flag on the branch master (M1); a count of ≥ 10 for UL/ML raises an M14 obligation;</w:t>
      </w:r>
    </w:p>
    <w:p>
      <w:pPr>
        <w:numPr>
          <w:ilvl w:val="1"/>
          <w:numId w:val="2005"/>
        </w:numPr>
        <w:pStyle w:val="Compact"/>
      </w:pPr>
      <w:r>
        <w:t xml:space="preserve">CFSS capability conformance document per tenant;</w:t>
      </w:r>
    </w:p>
    <w:p>
      <w:pPr>
        <w:numPr>
          <w:ilvl w:val="1"/>
          <w:numId w:val="2005"/>
        </w:numPr>
        <w:pStyle w:val="Compact"/>
      </w:pPr>
      <w:r>
        <w:t xml:space="preserve">quarterly progress-report template.</w:t>
      </w:r>
    </w:p>
    <w:p>
      <w:pPr>
        <w:pStyle w:val="FirstParagraph"/>
      </w:pPr>
      <w:r>
        <w:rPr>
          <w:bCs/>
          <w:b/>
        </w:rPr>
        <w:t xml:space="preserve">Ch III: Fair Practices Code, charging of interest (paras 7–9).</w:t>
      </w:r>
      <w:r>
        <w:t xml:space="preserve"> </w:t>
      </w:r>
      <w:r>
        <w:t xml:space="preserve">Review practices and make system-level changes against these unfair practices (7):</w:t>
      </w:r>
    </w:p>
    <w:p>
      <w:pPr>
        <w:numPr>
          <w:ilvl w:val="0"/>
          <w:numId w:val="2006"/>
        </w:numPr>
        <w:pStyle w:val="Compact"/>
      </w:pPr>
      <w:r>
        <w:rPr>
          <w:bCs/>
          <w:b/>
        </w:rPr>
        <w:t xml:space="preserve">(1) Wrong interest start date:</w:t>
      </w:r>
    </w:p>
    <w:p>
      <w:pPr>
        <w:numPr>
          <w:ilvl w:val="1"/>
          <w:numId w:val="2007"/>
        </w:numPr>
        <w:pStyle w:val="Compact"/>
      </w:pPr>
      <w:r>
        <w:t xml:space="preserve">interest from the sanction or agreement date instead of actual disbursement;</w:t>
      </w:r>
    </w:p>
    <w:p>
      <w:pPr>
        <w:numPr>
          <w:ilvl w:val="1"/>
          <w:numId w:val="2007"/>
        </w:numPr>
        <w:pStyle w:val="Compact"/>
      </w:pPr>
      <w:r>
        <w:rPr>
          <w:bCs/>
          <w:b/>
        </w:rPr>
        <w:t xml:space="preserve">interest from the cheque date when the cheque is handed over later</w:t>
      </w:r>
      <w:r>
        <w:t xml:space="preserve">.</w:t>
      </w:r>
    </w:p>
    <w:p>
      <w:pPr>
        <w:numPr>
          <w:ilvl w:val="0"/>
          <w:numId w:val="2006"/>
        </w:numPr>
        <w:pStyle w:val="Compact"/>
      </w:pPr>
      <w:r>
        <w:rPr>
          <w:bCs/>
          <w:b/>
        </w:rPr>
        <w:t xml:space="preserve">(2) EMIs on the sanctioned amount rather than the actual disbursed amount</w:t>
      </w:r>
      <w:r>
        <w:t xml:space="preserve">, without the borrower’s knowledge or consent.</w:t>
      </w:r>
    </w:p>
    <w:p>
      <w:pPr>
        <w:numPr>
          <w:ilvl w:val="0"/>
          <w:numId w:val="2006"/>
        </w:numPr>
        <w:pStyle w:val="Compact"/>
      </w:pPr>
      <w:r>
        <w:rPr>
          <w:bCs/>
          <w:b/>
        </w:rPr>
        <w:t xml:space="preserve">(3) Changes to the KFS amortisation schedule with each part-disbursement not communicated to the borrower.</w:t>
      </w:r>
    </w:p>
    <w:p>
      <w:pPr>
        <w:numPr>
          <w:ilvl w:val="0"/>
          <w:numId w:val="2006"/>
        </w:numPr>
        <w:pStyle w:val="Compact"/>
      </w:pPr>
      <w:r>
        <w:rPr>
          <w:bCs/>
          <w:b/>
        </w:rPr>
        <w:t xml:space="preserve">(4) Full-month interest where disbursal or repayment happens during a month</w:t>
      </w:r>
      <w:r>
        <w:t xml:space="preserve">, instead of interest for the period outstanding.</w:t>
      </w:r>
    </w:p>
    <w:p>
      <w:pPr>
        <w:numPr>
          <w:ilvl w:val="0"/>
          <w:numId w:val="2006"/>
        </w:numPr>
        <w:pStyle w:val="Compact"/>
      </w:pPr>
      <w:r>
        <w:rPr>
          <w:bCs/>
          <w:b/>
        </w:rPr>
        <w:t xml:space="preserve">(5) Instalments collected in advance while interest is still charged on the full loan amount.</w:t>
      </w:r>
    </w:p>
    <w:p>
      <w:pPr>
        <w:pStyle w:val="FirstParagraph"/>
      </w:pPr>
      <w:r>
        <w:t xml:space="preserve">Such practices are</w:t>
      </w:r>
      <w:r>
        <w:t xml:space="preserve"> </w:t>
      </w:r>
      <w:r>
        <w:t xml:space="preserve">“</w:t>
      </w:r>
      <w:r>
        <w:t xml:space="preserve">matters of serious concern</w:t>
      </w:r>
      <w:r>
        <w:t xml:space="preserve">”</w:t>
      </w:r>
      <w:r>
        <w:t xml:space="preserve"> </w:t>
      </w:r>
      <w:r>
        <w:t xml:space="preserve">(8). Online transfers may replace cheques (9).</w:t>
      </w:r>
    </w:p>
    <w:p>
      <w:pPr>
        <w:pStyle w:val="BodyText"/>
      </w:pPr>
      <w:r>
        <w:t xml:space="preserve">Build:</w:t>
      </w:r>
    </w:p>
    <w:p>
      <w:pPr>
        <w:numPr>
          <w:ilvl w:val="0"/>
          <w:numId w:val="2008"/>
        </w:numPr>
        <w:pStyle w:val="Compact"/>
      </w:pPr>
      <w:r>
        <w:t xml:space="preserve">accrual starts from the disbursement value date (UTR) or the cheque handover date;</w:t>
      </w:r>
    </w:p>
    <w:p>
      <w:pPr>
        <w:numPr>
          <w:ilvl w:val="0"/>
          <w:numId w:val="2008"/>
        </w:numPr>
        <w:pStyle w:val="Compact"/>
      </w:pPr>
      <w:r>
        <w:t xml:space="preserve">EMI is computed on the disbursed principal only;</w:t>
      </w:r>
    </w:p>
    <w:p>
      <w:pPr>
        <w:numPr>
          <w:ilvl w:val="0"/>
          <w:numId w:val="2008"/>
        </w:numPr>
        <w:pStyle w:val="Compact"/>
      </w:pPr>
      <w:r>
        <w:t xml:space="preserve">each tranche auto-pushes a revised schedule and KFS annex;</w:t>
      </w:r>
    </w:p>
    <w:p>
      <w:pPr>
        <w:numPr>
          <w:ilvl w:val="0"/>
          <w:numId w:val="2008"/>
        </w:numPr>
        <w:pStyle w:val="Compact"/>
      </w:pPr>
      <w:r>
        <w:t xml:space="preserve">broken periods accrue at day level;</w:t>
      </w:r>
    </w:p>
    <w:p>
      <w:pPr>
        <w:numPr>
          <w:ilvl w:val="0"/>
          <w:numId w:val="2008"/>
        </w:numPr>
        <w:pStyle w:val="Compact"/>
      </w:pPr>
      <w:r>
        <w:t xml:space="preserve">advance instalments reduce the interest-bearing principal from the date of receipt;</w:t>
      </w:r>
    </w:p>
    <w:p>
      <w:pPr>
        <w:numPr>
          <w:ilvl w:val="0"/>
          <w:numId w:val="2008"/>
        </w:numPr>
        <w:pStyle w:val="Compact"/>
      </w:pPr>
      <w:r>
        <w:t xml:space="preserve">one M14 control test per sub-para.</w:t>
      </w:r>
    </w:p>
    <w:p>
      <w:pPr>
        <w:pStyle w:val="FirstParagraph"/>
      </w:pPr>
      <w:r>
        <w:rPr>
          <w:bCs/>
          <w:b/>
        </w:rPr>
        <w:t xml:space="preserve">Ch IV: Nomination for NBFC-D deposits (paras 10–14):</w:t>
      </w:r>
    </w:p>
    <w:p>
      <w:pPr>
        <w:numPr>
          <w:ilvl w:val="0"/>
          <w:numId w:val="2009"/>
        </w:numPr>
        <w:pStyle w:val="Compact"/>
      </w:pPr>
      <w:r>
        <w:t xml:space="preserve">Nomination obtained for all existing and new eligible deposit accounts (10).</w:t>
      </w:r>
    </w:p>
    <w:p>
      <w:pPr>
        <w:numPr>
          <w:ilvl w:val="0"/>
          <w:numId w:val="2009"/>
        </w:numPr>
        <w:pStyle w:val="Compact"/>
      </w:pPr>
      <w:r>
        <w:t xml:space="preserve">Board/CSC reviews nomination coverage periodically (11).</w:t>
      </w:r>
    </w:p>
    <w:p>
      <w:pPr>
        <w:numPr>
          <w:ilvl w:val="0"/>
          <w:numId w:val="2009"/>
        </w:numPr>
        <w:pStyle w:val="Compact"/>
      </w:pPr>
      <w:r>
        <w:rPr>
          <w:bCs/>
          <w:b/>
        </w:rPr>
        <w:t xml:space="preserve">Quarterly coverage report to the SSM via DAKSH</w:t>
      </w:r>
      <w:r>
        <w:t xml:space="preserve"> </w:t>
      </w:r>
      <w:r>
        <w:t xml:space="preserve">(12).</w:t>
      </w:r>
    </w:p>
    <w:p>
      <w:pPr>
        <w:numPr>
          <w:ilvl w:val="0"/>
          <w:numId w:val="2009"/>
        </w:numPr>
        <w:pStyle w:val="Compact"/>
      </w:pPr>
      <w:r>
        <w:t xml:space="preserve">Account-opening forms let the customer opt in or out (13).</w:t>
      </w:r>
    </w:p>
    <w:p>
      <w:pPr>
        <w:numPr>
          <w:ilvl w:val="0"/>
          <w:numId w:val="2009"/>
        </w:numPr>
        <w:pStyle w:val="Compact"/>
      </w:pPr>
      <w:r>
        <w:t xml:space="preserve">Publicity drives to reach full coverage (14).</w:t>
      </w:r>
    </w:p>
    <w:p>
      <w:pPr>
        <w:numPr>
          <w:ilvl w:val="0"/>
          <w:numId w:val="2009"/>
        </w:numPr>
        <w:pStyle w:val="Compact"/>
      </w:pPr>
      <w:r>
        <w:t xml:space="preserve">Build (deposits module, later): nomination record, opt-out flag, coverage MIS.</w:t>
      </w:r>
    </w:p>
    <w:p>
      <w:pPr>
        <w:pStyle w:val="FirstParagraph"/>
      </w:pPr>
      <w:r>
        <w:rPr>
          <w:bCs/>
          <w:b/>
        </w:rPr>
        <w:t xml:space="preserve">Ch V: Prompt Corrective Action (paras 15–21):</w:t>
      </w:r>
    </w:p>
    <w:p>
      <w:pPr>
        <w:numPr>
          <w:ilvl w:val="0"/>
          <w:numId w:val="2010"/>
        </w:numPr>
        <w:pStyle w:val="Compact"/>
      </w:pPr>
      <w:r>
        <w:rPr>
          <w:bCs/>
          <w:b/>
        </w:rPr>
        <w:t xml:space="preserve">Indicators (16):</w:t>
      </w:r>
    </w:p>
    <w:p>
      <w:pPr>
        <w:numPr>
          <w:ilvl w:val="1"/>
          <w:numId w:val="2011"/>
        </w:numPr>
        <w:pStyle w:val="Compact"/>
      </w:pPr>
      <w:r>
        <w:t xml:space="preserve">NBFC-D and NBFC-ND:</w:t>
      </w:r>
      <w:r>
        <w:t xml:space="preserve"> </w:t>
      </w:r>
      <w:r>
        <w:rPr>
          <w:bCs/>
          <w:b/>
        </w:rPr>
        <w:t xml:space="preserve">CRAR, Tier 1 ratio and NNPA ratio (incl. NPIs)</w:t>
      </w:r>
      <w:r>
        <w:t xml:space="preserve">;</w:t>
      </w:r>
    </w:p>
    <w:p>
      <w:pPr>
        <w:numPr>
          <w:ilvl w:val="1"/>
          <w:numId w:val="2011"/>
        </w:numPr>
        <w:pStyle w:val="Compact"/>
      </w:pPr>
      <w:r>
        <w:t xml:space="preserve">CICs:</w:t>
      </w:r>
      <w:r>
        <w:t xml:space="preserve"> </w:t>
      </w:r>
      <w:r>
        <w:rPr>
          <w:bCs/>
          <w:b/>
        </w:rPr>
        <w:t xml:space="preserve">ANW/RWA, leverage and NNPA</w:t>
      </w:r>
      <w:r>
        <w:t xml:space="preserve">.</w:t>
      </w:r>
    </w:p>
    <w:p>
      <w:pPr>
        <w:numPr>
          <w:ilvl w:val="0"/>
          <w:numId w:val="2010"/>
        </w:numPr>
        <w:pStyle w:val="Compact"/>
      </w:pPr>
      <w:r>
        <w:t xml:space="preserve">Placement is generally based on audited annual results or supervisory assessment, but RBI may act at any time (17).</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16"/>
        <w:gridCol w:w="3051"/>
        <w:gridCol w:w="2568"/>
        <w:gridCol w:w="2203"/>
      </w:tblGrid>
      <w:tr>
        <w:trPr>
          <w:tblHeader w:val="true"/>
          <w:tblHeader w:val="true"/>
        </w:trPr>
        <w:tc>
          <w:tcPr>
            <w:tcW w:w="1816" w:type="dxa"/>
            <w:shd w:val="clear" w:color="auto" w:fill="1F3A5F"/>
          </w:tcPr>
          <w:p>
            <w:pPr>
              <w:pStyle w:val="Compact"/>
              <w:spacing w:after="40"/>
              <w:jc w:val="left"/>
            </w:pPr>
            <w:r>
              <w:rPr>
                <w:b/>
                <w:color w:val="FFFFFF"/>
                <w:sz w:val="18"/>
              </w:rPr>
              <w:t xml:space="preserve">Indicator</w:t>
            </w:r>
          </w:p>
        </w:tc>
        <w:tc>
          <w:tcPr>
            <w:tcW w:w="3051" w:type="dxa"/>
            <w:shd w:val="clear" w:color="auto" w:fill="1F3A5F"/>
          </w:tcPr>
          <w:p>
            <w:pPr>
              <w:pStyle w:val="Compact"/>
              <w:spacing w:after="40"/>
              <w:jc w:val="left"/>
            </w:pPr>
            <w:r>
              <w:rPr>
                <w:b/>
                <w:color w:val="FFFFFF"/>
                <w:sz w:val="18"/>
              </w:rPr>
              <w:t xml:space="preserve">Risk Threshold 1</w:t>
            </w:r>
          </w:p>
        </w:tc>
        <w:tc>
          <w:tcPr>
            <w:tcW w:w="2568" w:type="dxa"/>
            <w:shd w:val="clear" w:color="auto" w:fill="1F3A5F"/>
          </w:tcPr>
          <w:p>
            <w:pPr>
              <w:pStyle w:val="Compact"/>
              <w:spacing w:after="40"/>
              <w:jc w:val="left"/>
            </w:pPr>
            <w:r>
              <w:rPr>
                <w:b/>
                <w:color w:val="FFFFFF"/>
                <w:sz w:val="18"/>
              </w:rPr>
              <w:t xml:space="preserve">Risk Threshold 2</w:t>
            </w:r>
          </w:p>
        </w:tc>
        <w:tc>
          <w:tcPr>
            <w:tcW w:w="2203" w:type="dxa"/>
            <w:shd w:val="clear" w:color="auto" w:fill="1F3A5F"/>
          </w:tcPr>
          <w:p>
            <w:pPr>
              <w:pStyle w:val="Compact"/>
              <w:spacing w:after="40"/>
              <w:jc w:val="left"/>
            </w:pPr>
            <w:r>
              <w:rPr>
                <w:b/>
                <w:color w:val="FFFFFF"/>
                <w:sz w:val="18"/>
              </w:rPr>
              <w:t xml:space="preserve">Risk Threshold 3</w:t>
            </w:r>
          </w:p>
        </w:tc>
      </w:tr>
      <w:tr>
        <w:tc>
          <w:tcPr>
            <w:tcW w:w="1816" w:type="dxa"/>
          </w:tcPr>
          <w:p>
            <w:pPr>
              <w:pStyle w:val="Compact"/>
              <w:spacing w:after="40"/>
              <w:jc w:val="left"/>
            </w:pPr>
            <w:r>
              <w:rPr>
                <w:sz w:val="18"/>
              </w:rPr>
              <w:t xml:space="preserve">CRAR</w:t>
            </w:r>
          </w:p>
        </w:tc>
        <w:tc>
          <w:tcPr>
            <w:tcW w:w="3051" w:type="dxa"/>
          </w:tcPr>
          <w:p>
            <w:pPr>
              <w:pStyle w:val="Compact"/>
              <w:spacing w:after="40"/>
              <w:jc w:val="left"/>
            </w:pPr>
            <w:r>
              <w:rPr>
                <w:sz w:val="18"/>
              </w:rPr>
              <w:t xml:space="preserve">≤ 300 bps below minimum (currently &lt; 15%, ≥ 12%)</w:t>
            </w:r>
          </w:p>
        </w:tc>
        <w:tc>
          <w:tcPr>
            <w:tcW w:w="2568" w:type="dxa"/>
          </w:tcPr>
          <w:p>
            <w:pPr>
              <w:pStyle w:val="Compact"/>
              <w:spacing w:after="40"/>
              <w:jc w:val="left"/>
            </w:pPr>
            <w:r>
              <w:rPr>
                <w:sz w:val="18"/>
              </w:rPr>
              <w:t xml:space="preserve">300–600 bps below (&lt; 12%, ≥ 9%)</w:t>
            </w:r>
          </w:p>
        </w:tc>
        <w:tc>
          <w:tcPr>
            <w:tcW w:w="2203" w:type="dxa"/>
          </w:tcPr>
          <w:p>
            <w:pPr>
              <w:pStyle w:val="Compact"/>
              <w:spacing w:after="40"/>
              <w:jc w:val="left"/>
            </w:pPr>
            <w:r>
              <w:rPr>
                <w:sz w:val="18"/>
              </w:rPr>
              <w:t xml:space="preserve">&gt; 600 bps below (&lt; 9%)</w:t>
            </w:r>
          </w:p>
        </w:tc>
      </w:tr>
      <w:tr>
        <w:tc>
          <w:tcPr>
            <w:tcW w:w="1816" w:type="dxa"/>
          </w:tcPr>
          <w:p>
            <w:pPr>
              <w:pStyle w:val="Compact"/>
              <w:spacing w:after="40"/>
              <w:jc w:val="left"/>
            </w:pPr>
            <w:r>
              <w:rPr>
                <w:sz w:val="18"/>
              </w:rPr>
              <w:t xml:space="preserve">Tier 1</w:t>
            </w:r>
          </w:p>
        </w:tc>
        <w:tc>
          <w:tcPr>
            <w:tcW w:w="3051" w:type="dxa"/>
          </w:tcPr>
          <w:p>
            <w:pPr>
              <w:pStyle w:val="Compact"/>
              <w:spacing w:after="40"/>
              <w:jc w:val="left"/>
            </w:pPr>
            <w:r>
              <w:rPr>
                <w:sz w:val="18"/>
              </w:rPr>
              <w:t xml:space="preserve">≤ 200 bps below (&lt; 10%, ≥ 8%)</w:t>
            </w:r>
          </w:p>
        </w:tc>
        <w:tc>
          <w:tcPr>
            <w:tcW w:w="2568" w:type="dxa"/>
          </w:tcPr>
          <w:p>
            <w:pPr>
              <w:pStyle w:val="Compact"/>
              <w:spacing w:after="40"/>
              <w:jc w:val="left"/>
            </w:pPr>
            <w:r>
              <w:rPr>
                <w:sz w:val="18"/>
              </w:rPr>
              <w:t xml:space="preserve">200–400 bps below (&lt; 8%, ≥ 6%)</w:t>
            </w:r>
          </w:p>
        </w:tc>
        <w:tc>
          <w:tcPr>
            <w:tcW w:w="2203" w:type="dxa"/>
          </w:tcPr>
          <w:p>
            <w:pPr>
              <w:pStyle w:val="Compact"/>
              <w:spacing w:after="40"/>
              <w:jc w:val="left"/>
            </w:pPr>
            <w:r>
              <w:rPr>
                <w:sz w:val="18"/>
              </w:rPr>
              <w:t xml:space="preserve">&gt; 400 bps below (&lt; 6%)</w:t>
            </w:r>
          </w:p>
        </w:tc>
      </w:tr>
      <w:tr>
        <w:tc>
          <w:tcPr>
            <w:tcW w:w="1816" w:type="dxa"/>
          </w:tcPr>
          <w:p>
            <w:pPr>
              <w:pStyle w:val="Compact"/>
              <w:spacing w:after="40"/>
              <w:jc w:val="left"/>
            </w:pPr>
            <w:r>
              <w:rPr>
                <w:sz w:val="18"/>
              </w:rPr>
              <w:t xml:space="preserve">NNPA (incl. NPIs)</w:t>
            </w:r>
          </w:p>
        </w:tc>
        <w:tc>
          <w:tcPr>
            <w:tcW w:w="3051" w:type="dxa"/>
          </w:tcPr>
          <w:p>
            <w:pPr>
              <w:pStyle w:val="Compact"/>
              <w:spacing w:after="40"/>
              <w:jc w:val="left"/>
            </w:pPr>
            <w:r>
              <w:rPr>
                <w:sz w:val="18"/>
              </w:rPr>
              <w:t xml:space="preserve">&gt; 6%, ≤ 9%</w:t>
            </w:r>
          </w:p>
        </w:tc>
        <w:tc>
          <w:tcPr>
            <w:tcW w:w="2568" w:type="dxa"/>
          </w:tcPr>
          <w:p>
            <w:pPr>
              <w:pStyle w:val="Compact"/>
              <w:spacing w:after="40"/>
              <w:jc w:val="left"/>
            </w:pPr>
            <w:r>
              <w:rPr>
                <w:sz w:val="18"/>
              </w:rPr>
              <w:t xml:space="preserve">&gt; 9%, ≤ 12%</w:t>
            </w:r>
          </w:p>
        </w:tc>
        <w:tc>
          <w:tcPr>
            <w:tcW w:w="2203" w:type="dxa"/>
          </w:tcPr>
          <w:p>
            <w:pPr>
              <w:pStyle w:val="Compact"/>
              <w:spacing w:after="40"/>
              <w:jc w:val="left"/>
            </w:pPr>
            <w:r>
              <w:rPr>
                <w:sz w:val="18"/>
              </w:rPr>
              <w:t xml:space="preserve">&gt; 12%</w:t>
            </w:r>
          </w:p>
        </w:tc>
      </w:tr>
      <w:tr>
        <w:tc>
          <w:tcPr>
            <w:tcW w:w="1816" w:type="dxa"/>
          </w:tcPr>
          <w:p>
            <w:pPr>
              <w:pStyle w:val="Compact"/>
              <w:spacing w:after="40"/>
              <w:jc w:val="left"/>
            </w:pPr>
            <w:r>
              <w:rPr>
                <w:sz w:val="18"/>
              </w:rPr>
              <w:t xml:space="preserve">CIC ANW/RWA</w:t>
            </w:r>
          </w:p>
        </w:tc>
        <w:tc>
          <w:tcPr>
            <w:tcW w:w="3051" w:type="dxa"/>
          </w:tcPr>
          <w:p>
            <w:pPr>
              <w:pStyle w:val="Compact"/>
              <w:spacing w:after="40"/>
              <w:jc w:val="left"/>
            </w:pPr>
            <w:r>
              <w:rPr>
                <w:sz w:val="18"/>
              </w:rPr>
              <w:t xml:space="preserve">≤ 600 bps below (&lt; 30%, ≥ 24%)</w:t>
            </w:r>
          </w:p>
        </w:tc>
        <w:tc>
          <w:tcPr>
            <w:tcW w:w="2568" w:type="dxa"/>
          </w:tcPr>
          <w:p>
            <w:pPr>
              <w:pStyle w:val="Compact"/>
              <w:spacing w:after="40"/>
              <w:jc w:val="left"/>
            </w:pPr>
            <w:r>
              <w:rPr>
                <w:sz w:val="18"/>
              </w:rPr>
              <w:t xml:space="preserve">600–1,200 bps below (&lt; 24%, ≥ 18%)</w:t>
            </w:r>
          </w:p>
        </w:tc>
        <w:tc>
          <w:tcPr>
            <w:tcW w:w="2203" w:type="dxa"/>
          </w:tcPr>
          <w:p>
            <w:pPr>
              <w:pStyle w:val="Compact"/>
              <w:spacing w:after="40"/>
              <w:jc w:val="left"/>
            </w:pPr>
            <w:r>
              <w:rPr>
                <w:sz w:val="18"/>
              </w:rPr>
              <w:t xml:space="preserve">&gt; 1,200 bps below (&lt; 18%)</w:t>
            </w:r>
          </w:p>
        </w:tc>
      </w:tr>
      <w:tr>
        <w:tc>
          <w:tcPr>
            <w:tcW w:w="1816" w:type="dxa"/>
          </w:tcPr>
          <w:p>
            <w:pPr>
              <w:pStyle w:val="Compact"/>
              <w:spacing w:after="40"/>
              <w:jc w:val="left"/>
            </w:pPr>
            <w:r>
              <w:rPr>
                <w:sz w:val="18"/>
              </w:rPr>
              <w:t xml:space="preserve">CIC leverage</w:t>
            </w:r>
          </w:p>
        </w:tc>
        <w:tc>
          <w:tcPr>
            <w:tcW w:w="3051" w:type="dxa"/>
          </w:tcPr>
          <w:p>
            <w:pPr>
              <w:pStyle w:val="Compact"/>
              <w:spacing w:after="40"/>
              <w:jc w:val="left"/>
            </w:pPr>
            <w:r>
              <w:rPr>
                <w:sz w:val="18"/>
              </w:rPr>
              <w:t xml:space="preserve">≥ 2.5x, &lt; 3x</w:t>
            </w:r>
          </w:p>
        </w:tc>
        <w:tc>
          <w:tcPr>
            <w:tcW w:w="2568" w:type="dxa"/>
          </w:tcPr>
          <w:p>
            <w:pPr>
              <w:pStyle w:val="Compact"/>
              <w:spacing w:after="40"/>
              <w:jc w:val="left"/>
            </w:pPr>
            <w:r>
              <w:rPr>
                <w:sz w:val="18"/>
              </w:rPr>
              <w:t xml:space="preserve">≥ 3x, &lt; 3.5x</w:t>
            </w:r>
          </w:p>
        </w:tc>
        <w:tc>
          <w:tcPr>
            <w:tcW w:w="2203" w:type="dxa"/>
          </w:tcPr>
          <w:p>
            <w:pPr>
              <w:pStyle w:val="Compact"/>
              <w:spacing w:after="40"/>
              <w:jc w:val="left"/>
            </w:pPr>
            <w:r>
              <w:rPr>
                <w:sz w:val="18"/>
              </w:rPr>
              <w:t xml:space="preserve">≥ 3.5x</w:t>
            </w:r>
          </w:p>
        </w:tc>
      </w:tr>
    </w:tbl>
    <w:p>
      <w:pPr>
        <w:numPr>
          <w:ilvl w:val="0"/>
          <w:numId w:val="2012"/>
        </w:numPr>
        <w:pStyle w:val="Compact"/>
      </w:pPr>
      <w:r>
        <w:rPr>
          <w:bCs/>
          <w:b/>
        </w:rPr>
        <w:t xml:space="preserve">Exit (18):</w:t>
      </w:r>
      <w:r>
        <w:t xml:space="preserve"> </w:t>
      </w:r>
      <w:r>
        <w:t xml:space="preserve">no breach in four continuous quarterly financial statements, one of them annual audited, plus RBI’s supervisory comfort.</w:t>
      </w:r>
    </w:p>
    <w:p>
      <w:pPr>
        <w:numPr>
          <w:ilvl w:val="0"/>
          <w:numId w:val="2012"/>
        </w:numPr>
        <w:pStyle w:val="Compact"/>
      </w:pPr>
      <w:r>
        <w:rPr>
          <w:bCs/>
          <w:b/>
        </w:rPr>
        <w:t xml:space="preserve">Mandatory actions (19):</w:t>
      </w:r>
    </w:p>
    <w:p>
      <w:pPr>
        <w:numPr>
          <w:ilvl w:val="1"/>
          <w:numId w:val="2013"/>
        </w:numPr>
        <w:pStyle w:val="Compact"/>
      </w:pPr>
      <w:r>
        <w:rPr>
          <w:bCs/>
          <w:b/>
        </w:rPr>
        <w:t xml:space="preserve">RT1:</w:t>
      </w:r>
    </w:p>
    <w:p>
      <w:pPr>
        <w:numPr>
          <w:ilvl w:val="2"/>
          <w:numId w:val="2014"/>
        </w:numPr>
        <w:pStyle w:val="Compact"/>
      </w:pPr>
      <w:r>
        <w:t xml:space="preserve">dividend restriction;</w:t>
      </w:r>
    </w:p>
    <w:p>
      <w:pPr>
        <w:numPr>
          <w:ilvl w:val="2"/>
          <w:numId w:val="2014"/>
        </w:numPr>
        <w:pStyle w:val="Compact"/>
      </w:pPr>
      <w:r>
        <w:t xml:space="preserve">equity infusion and reduction in leverage;</w:t>
      </w:r>
    </w:p>
    <w:p>
      <w:pPr>
        <w:numPr>
          <w:ilvl w:val="2"/>
          <w:numId w:val="2014"/>
        </w:numPr>
        <w:pStyle w:val="Compact"/>
      </w:pPr>
      <w:r>
        <w:t xml:space="preserve">for CICs, a restriction on guarantees.</w:t>
      </w:r>
    </w:p>
    <w:p>
      <w:pPr>
        <w:numPr>
          <w:ilvl w:val="1"/>
          <w:numId w:val="2013"/>
        </w:numPr>
        <w:pStyle w:val="Compact"/>
      </w:pPr>
      <w:r>
        <w:rPr>
          <w:bCs/>
          <w:b/>
        </w:rPr>
        <w:t xml:space="preserve">RT2:</w:t>
      </w:r>
      <w:r>
        <w:t xml:space="preserve"> </w:t>
      </w:r>
      <w:r>
        <w:t xml:space="preserve">adds a</w:t>
      </w:r>
      <w:r>
        <w:t xml:space="preserve"> </w:t>
      </w:r>
      <w:r>
        <w:rPr>
          <w:bCs/>
          <w:b/>
        </w:rPr>
        <w:t xml:space="preserve">branch expansion restriction</w:t>
      </w:r>
      <w:r>
        <w:t xml:space="preserve">.</w:t>
      </w:r>
    </w:p>
    <w:p>
      <w:pPr>
        <w:numPr>
          <w:ilvl w:val="1"/>
          <w:numId w:val="2013"/>
        </w:numPr>
        <w:pStyle w:val="Compact"/>
      </w:pPr>
      <w:r>
        <w:rPr>
          <w:bCs/>
          <w:b/>
        </w:rPr>
        <w:t xml:space="preserve">RT3:</w:t>
      </w:r>
      <w:r>
        <w:t xml:space="preserve"> </w:t>
      </w:r>
      <w:r>
        <w:t xml:space="preserve">adds:</w:t>
      </w:r>
    </w:p>
    <w:p>
      <w:pPr>
        <w:numPr>
          <w:ilvl w:val="2"/>
          <w:numId w:val="2015"/>
        </w:numPr>
        <w:pStyle w:val="Compact"/>
      </w:pPr>
      <w:r>
        <w:t xml:space="preserve">a capex restriction, except Board-approved technology upgrades;</w:t>
      </w:r>
    </w:p>
    <w:p>
      <w:pPr>
        <w:numPr>
          <w:ilvl w:val="2"/>
          <w:numId w:val="2015"/>
        </w:numPr>
        <w:pStyle w:val="Compact"/>
      </w:pPr>
      <w:r>
        <w:t xml:space="preserve">cuts in variable operating costs.</w:t>
      </w:r>
    </w:p>
    <w:p>
      <w:pPr>
        <w:numPr>
          <w:ilvl w:val="0"/>
          <w:numId w:val="2012"/>
        </w:numPr>
        <w:pStyle w:val="Compact"/>
      </w:pPr>
      <w:r>
        <w:t xml:space="preserve">Discretionary menu (20). RBI press release on placement and withdrawal (21).</w:t>
      </w:r>
    </w:p>
    <w:p>
      <w:pPr>
        <w:numPr>
          <w:ilvl w:val="0"/>
          <w:numId w:val="2012"/>
        </w:numPr>
        <w:pStyle w:val="Compact"/>
      </w:pPr>
      <w:r>
        <w:t xml:space="preserve">Build:</w:t>
      </w:r>
    </w:p>
    <w:p>
      <w:pPr>
        <w:numPr>
          <w:ilvl w:val="1"/>
          <w:numId w:val="2016"/>
        </w:numPr>
        <w:pStyle w:val="Compact"/>
      </w:pPr>
      <w:r>
        <w:t xml:space="preserve">M12 PCA monitor that projects threshold positions from quarterly results and flags proximity;</w:t>
      </w:r>
    </w:p>
    <w:p>
      <w:pPr>
        <w:numPr>
          <w:ilvl w:val="1"/>
          <w:numId w:val="2016"/>
        </w:numPr>
        <w:pStyle w:val="Compact"/>
      </w:pPr>
      <w:r>
        <w:rPr>
          <w:rStyle w:val="VerbatimChar"/>
        </w:rPr>
        <w:t xml:space="preserve">pca_status</w:t>
      </w:r>
      <w:r>
        <w:t xml:space="preserve"> </w:t>
      </w:r>
      <w:r>
        <w:t xml:space="preserve">on the entity profile, blocking or warning on branch opening (M1) and dividends;</w:t>
      </w:r>
    </w:p>
    <w:p>
      <w:pPr>
        <w:numPr>
          <w:ilvl w:val="1"/>
          <w:numId w:val="2016"/>
        </w:numPr>
        <w:pStyle w:val="Compact"/>
      </w:pPr>
      <w:r>
        <w:t xml:space="preserve">restriction register in M14.</w:t>
      </w:r>
    </w:p>
    <w:p>
      <w:r>
        <w:pict>
          <v:rect style="width:0;height:1.5pt" o:hralign="center" o:hrstd="t" o:hr="t"/>
        </w:pict>
      </w:r>
    </w:p>
    <w:bookmarkEnd w:id="817"/>
    <w:bookmarkStart w:id="823" w:name="a.36-v1.3-build-additions-consolidated"/>
    <w:p>
      <w:pPr>
        <w:pStyle w:val="Heading2"/>
      </w:pPr>
      <w:r>
        <w:t xml:space="preserve">8A.36 v1.3 build additions (consolidated)</w:t>
      </w:r>
    </w:p>
    <w:p>
      <w:pPr>
        <w:pStyle w:val="FirstParagraph"/>
      </w:pPr>
      <w:r>
        <w:t xml:space="preserve">These tables collect the build items from 8A.17–8A.35 by target. They carry the same weight as 8A.16: the related module, product, return or phase specification must include them, and</w:t>
      </w:r>
      <w:r>
        <w:t xml:space="preserve"> </w:t>
      </w:r>
      <w:r>
        <w:rPr>
          <w:bCs/>
          <w:b/>
        </w:rPr>
        <w:t xml:space="preserve">Part 8A prevails</w:t>
      </w:r>
      <w:r>
        <w:t xml:space="preserve"> </w:t>
      </w:r>
      <w:r>
        <w:t xml:space="preserve">over any conflicting text elsewhere.</w:t>
      </w:r>
    </w:p>
    <w:bookmarkStart w:id="818" w:name="a.36.1-cross-module-additions-part-7"/>
    <w:p>
      <w:pPr>
        <w:pStyle w:val="Heading3"/>
      </w:pPr>
      <w:r>
        <w:t xml:space="preserve">8A.36.1 Cross-module additions (Part 7)</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58"/>
        <w:gridCol w:w="1595"/>
        <w:gridCol w:w="6385"/>
      </w:tblGrid>
      <w:tr>
        <w:trPr>
          <w:tblHeader w:val="true"/>
          <w:tblHeader w:val="true"/>
        </w:trPr>
        <w:tc>
          <w:tcPr>
            <w:tcW w:w="1658" w:type="dxa"/>
            <w:shd w:val="clear" w:color="auto" w:fill="1F3A5F"/>
          </w:tcPr>
          <w:p>
            <w:pPr>
              <w:pStyle w:val="Compact"/>
              <w:spacing w:after="40"/>
              <w:jc w:val="left"/>
            </w:pPr>
            <w:r>
              <w:rPr>
                <w:b/>
                <w:color w:val="FFFFFF"/>
                <w:sz w:val="18"/>
              </w:rPr>
              <w:t xml:space="preserve">Module</w:t>
            </w:r>
          </w:p>
        </w:tc>
        <w:tc>
          <w:tcPr>
            <w:tcW w:w="1595" w:type="dxa"/>
            <w:shd w:val="clear" w:color="auto" w:fill="1F3A5F"/>
          </w:tcPr>
          <w:p>
            <w:pPr>
              <w:pStyle w:val="Compact"/>
              <w:spacing w:after="40"/>
              <w:jc w:val="left"/>
            </w:pPr>
            <w:r>
              <w:rPr>
                <w:b/>
                <w:color w:val="FFFFFF"/>
                <w:sz w:val="18"/>
              </w:rPr>
              <w:t xml:space="preserve">Directions</w:t>
            </w:r>
          </w:p>
        </w:tc>
        <w:tc>
          <w:tcPr>
            <w:tcW w:w="6385" w:type="dxa"/>
            <w:shd w:val="clear" w:color="auto" w:fill="1F3A5F"/>
          </w:tcPr>
          <w:p>
            <w:pPr>
              <w:pStyle w:val="Compact"/>
              <w:spacing w:after="40"/>
              <w:jc w:val="left"/>
            </w:pPr>
            <w:r>
              <w:rPr>
                <w:b/>
                <w:color w:val="FFFFFF"/>
                <w:sz w:val="18"/>
              </w:rPr>
              <w:t xml:space="preserve">Additions</w:t>
            </w:r>
          </w:p>
        </w:tc>
      </w:tr>
      <w:tr>
        <w:tc>
          <w:tcPr>
            <w:tcW w:w="1658" w:type="dxa"/>
          </w:tcPr>
          <w:p>
            <w:pPr>
              <w:pStyle w:val="Compact"/>
              <w:spacing w:after="40"/>
              <w:jc w:val="left"/>
            </w:pPr>
            <w:r>
              <w:rPr>
                <w:sz w:val="18"/>
              </w:rPr>
              <w:t xml:space="preserve">COB (Part 4)</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bCs/>
                <w:b/>
                <w:sz w:val="18"/>
              </w:rPr>
              <w:t xml:space="preserve">Job-level:</w:t>
            </w:r>
            <w:r>
              <w:rPr>
                <w:sz w:val="18"/>
              </w:rPr>
              <w:t xml:space="preserve"> </w:t>
            </w:r>
            <w:r>
              <w:rPr>
                <w:sz w:val="18"/>
              </w:rPr>
              <w:t xml:space="preserve">CLA 15-day booking-clock check and escrow appropriation (TDCR 113, 117). Classification sync file sent by the end of the next working day (TDCR 124)</w:t>
            </w:r>
          </w:p>
        </w:tc>
      </w:tr>
      <w:tr>
        <w:tc>
          <w:tcPr>
            <w:tcW w:w="1658" w:type="dxa"/>
          </w:tcPr>
          <w:p>
            <w:pPr>
              <w:pStyle w:val="Compact"/>
              <w:spacing w:after="40"/>
              <w:jc w:val="left"/>
            </w:pPr>
            <w:r>
              <w:rPr>
                <w:sz w:val="18"/>
              </w:rPr>
              <w:t xml:space="preserve">M1</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Part A/B resolver: NBFC-D or ND ≥ ₹500 crore = Part A, else Part B (RSA 7–8, 157–158); HFC RSA scope limited to paras 86–138 (RSA 5)</w:t>
            </w:r>
          </w:p>
        </w:tc>
      </w:tr>
      <w:tr>
        <w:tc>
          <w:tcPr>
            <w:tcW w:w="1658" w:type="dxa"/>
          </w:tcPr>
          <w:p>
            <w:pPr>
              <w:pStyle w:val="Compact"/>
              <w:spacing w:after="40"/>
              <w:jc w:val="left"/>
            </w:pPr>
            <w:r>
              <w:rPr>
                <w:sz w:val="18"/>
              </w:rPr>
              <w:t xml:space="preserve">M1</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Entity profile flags:</w:t>
            </w:r>
            <w:r>
              <w:rPr>
                <w:sz w:val="18"/>
              </w:rPr>
              <w:t xml:space="preserve"> </w:t>
            </w:r>
            <w:r>
              <w:rPr>
                <w:rStyle w:val="VerbatimChar"/>
                <w:sz w:val="18"/>
              </w:rPr>
              <w:t xml:space="preserve">s11a_notified</w:t>
            </w:r>
            <w:r>
              <w:rPr>
                <w:sz w:val="18"/>
              </w:rPr>
              <w:t xml:space="preserve"> </w:t>
            </w:r>
            <w:r>
              <w:rPr>
                <w:sz w:val="18"/>
              </w:rPr>
              <w:t xml:space="preserve">(gates Aadhaar e-KYC authentication; KYC 23 proviso (i)),</w:t>
            </w:r>
            <w:r>
              <w:rPr>
                <w:sz w:val="18"/>
              </w:rPr>
              <w:t xml:space="preserve"> </w:t>
            </w:r>
            <w:r>
              <w:rPr>
                <w:rStyle w:val="VerbatimChar"/>
                <w:sz w:val="18"/>
              </w:rPr>
              <w:t xml:space="preserve">vcip_enabled</w:t>
            </w:r>
            <w:r>
              <w:rPr>
                <w:sz w:val="18"/>
              </w:rPr>
              <w:t xml:space="preserve">,</w:t>
            </w:r>
            <w:r>
              <w:rPr>
                <w:sz w:val="18"/>
              </w:rPr>
              <w:t xml:space="preserve"> </w:t>
            </w:r>
            <w:r>
              <w:rPr>
                <w:rStyle w:val="VerbatimChar"/>
                <w:sz w:val="18"/>
              </w:rPr>
              <w:t xml:space="preserve">fatca_reporting_fi</w:t>
            </w:r>
            <w:r>
              <w:rPr>
                <w:sz w:val="18"/>
              </w:rPr>
              <w:t xml:space="preserve"> </w:t>
            </w:r>
            <w:r>
              <w:rPr>
                <w:sz w:val="18"/>
              </w:rPr>
              <w:t xml:space="preserve">(KYC 64),</w:t>
            </w:r>
            <w:r>
              <w:rPr>
                <w:sz w:val="18"/>
              </w:rPr>
              <w:t xml:space="preserve"> </w:t>
            </w:r>
            <w:r>
              <w:rPr>
                <w:rStyle w:val="VerbatimChar"/>
                <w:sz w:val="18"/>
              </w:rPr>
              <w:t xml:space="preserve">customer_interface</w:t>
            </w:r>
            <w:r>
              <w:rPr>
                <w:sz w:val="18"/>
              </w:rPr>
              <w:t xml:space="preserve"> </w:t>
            </w:r>
            <w:r>
              <w:rPr>
                <w:sz w:val="18"/>
              </w:rPr>
              <w:t xml:space="preserve">(KYC 3). Designated Director / Principal Officer register with FIU-IND/RBI intimation and a block on the same person holding both roles (KYC 14–15)</w:t>
            </w:r>
          </w:p>
        </w:tc>
      </w:tr>
      <w:tr>
        <w:tc>
          <w:tcPr>
            <w:tcW w:w="1658" w:type="dxa"/>
          </w:tcPr>
          <w:p>
            <w:pPr>
              <w:pStyle w:val="Compact"/>
              <w:spacing w:after="40"/>
              <w:jc w:val="left"/>
            </w:pPr>
            <w:r>
              <w:rPr>
                <w:sz w:val="18"/>
              </w:rPr>
              <w:t xml:space="preserve">M1</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Entity-profile fields listed at the end of 8A.25 (SBR 6, 10–30, 38–47; CAP 4(8), 6(5)). Group master with members’ CoR status and assets (SBR 17–20). Master-data change triggers for 1-month intimations (MISC 6–7)</w:t>
            </w:r>
          </w:p>
        </w:tc>
      </w:tr>
      <w:tr>
        <w:tc>
          <w:tcPr>
            <w:tcW w:w="1658" w:type="dxa"/>
          </w:tcPr>
          <w:p>
            <w:pPr>
              <w:pStyle w:val="Compact"/>
              <w:spacing w:after="40"/>
              <w:jc w:val="left"/>
            </w:pPr>
            <w:r>
              <w:rPr>
                <w:sz w:val="18"/>
              </w:rPr>
              <w:t xml:space="preserve">M1</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Entity profile flags: government_owned (GOV 3(1), 18(1)(ii)); listed (GOV 22); assets_above_5000cr for the CRO rule (GOV 19); ul_identification_date (GOV 43). Website publication of the corporate-governance guidelines (GOV 40)</w:t>
            </w:r>
          </w:p>
        </w:tc>
      </w:tr>
      <w:tr>
        <w:tc>
          <w:tcPr>
            <w:tcW w:w="1658" w:type="dxa"/>
          </w:tcPr>
          <w:p>
            <w:pPr>
              <w:pStyle w:val="Compact"/>
              <w:spacing w:after="40"/>
              <w:jc w:val="left"/>
            </w:pPr>
            <w:r>
              <w:rPr>
                <w:sz w:val="18"/>
              </w:rPr>
              <w:t xml:space="preserve">M1</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Entity profile flags: nbfc_mfi, cic, p2p, spd, factor, aa, mgc (SR 21); group_asset_size (SR 21 item 4); sro_membership (MFI 46); pca_status (MSD 17); mumbai_region for Form A routing (SA 30(1)); ia_applicable (IAF 3); sa_extant_option (SA 3). Branch master:</w:t>
            </w:r>
            <w:r>
              <w:rPr>
                <w:sz w:val="18"/>
              </w:rPr>
              <w:t xml:space="preserve"> </w:t>
            </w:r>
            <w:r>
              <w:rPr>
                <w:rStyle w:val="VerbatimChar"/>
                <w:sz w:val="18"/>
              </w:rPr>
              <w:t xml:space="preserve">fixed_point_unit</w:t>
            </w:r>
            <w:r>
              <w:rPr>
                <w:sz w:val="18"/>
              </w:rPr>
              <w:t xml:space="preserve"> </w:t>
            </w:r>
            <w:r>
              <w:rPr>
                <w:sz w:val="18"/>
              </w:rPr>
              <w:t xml:space="preserve">flag and count (MSD 5). Branch opening blocked or warned under PCA Risk Threshold 2+ (MSD 19)</w:t>
            </w:r>
          </w:p>
        </w:tc>
      </w:tr>
      <w:tr>
        <w:tc>
          <w:tcPr>
            <w:tcW w:w="1658" w:type="dxa"/>
          </w:tcPr>
          <w:p>
            <w:pPr>
              <w:pStyle w:val="Compact"/>
              <w:spacing w:after="40"/>
              <w:jc w:val="left"/>
            </w:pPr>
            <w:r>
              <w:rPr>
                <w:sz w:val="18"/>
              </w:rPr>
              <w:t xml:space="preserve">M2</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DSA/DMA/recovery-agent training and code-of-conduct undertakings (RBC 98–99); telemarketer DoT/TRAI registration register (RBC 101)</w:t>
            </w:r>
          </w:p>
        </w:tc>
      </w:tr>
      <w:tr>
        <w:tc>
          <w:tcPr>
            <w:tcW w:w="1658" w:type="dxa"/>
          </w:tcPr>
          <w:p>
            <w:pPr>
              <w:pStyle w:val="Compact"/>
              <w:spacing w:after="40"/>
              <w:jc w:val="left"/>
            </w:pPr>
            <w:r>
              <w:rPr>
                <w:sz w:val="18"/>
              </w:rPr>
              <w:t xml:space="preserve">M2</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Third-party and outsourcing register (OUT 36, 64(2), 82; ORM 74(5)). DSA/LSP/agency termination publicity: website notice plus notices to affected customers (OUT 44, 89). Product-literature clause stating that service providers may be used (OUT 55)</w:t>
            </w:r>
          </w:p>
        </w:tc>
      </w:tr>
      <w:tr>
        <w:tc>
          <w:tcPr>
            <w:tcW w:w="1658" w:type="dxa"/>
          </w:tcPr>
          <w:p>
            <w:pPr>
              <w:pStyle w:val="Compact"/>
              <w:spacing w:after="40"/>
              <w:jc w:val="left"/>
            </w:pPr>
            <w:r>
              <w:rPr>
                <w:sz w:val="18"/>
              </w:rPr>
              <w:t xml:space="preserve">M3</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Language preference driving all communications (RBC 10); PwD flag and assistance (RBC 28); LWD and large-defaulter screening of borrower, guarantors, directors (DIN) and persons in charge (PAN), identical names resolved through independent sources (WD 19(1))</w:t>
            </w:r>
          </w:p>
        </w:tc>
      </w:tr>
      <w:tr>
        <w:tc>
          <w:tcPr>
            <w:tcW w:w="1658" w:type="dxa"/>
          </w:tcPr>
          <w:p>
            <w:pPr>
              <w:pStyle w:val="Compact"/>
              <w:spacing w:after="40"/>
              <w:jc w:val="left"/>
            </w:pPr>
            <w:r>
              <w:rPr>
                <w:sz w:val="18"/>
              </w:rPr>
              <w:t xml:space="preserve">M3</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KYC mode engine (KYC 23); OVD/deemed-OVD 3-month clock (5(1)(xiv)); BO calculator with company &gt;10%, partnership &gt;10%, unincorporated association/BOI &gt;15%, trust ≥10% thresholds and listed-entity exemption (5(1)(iv), 38); proprietorship 2-of-8 activity proofs (31–32); UCIC (17(6), 66); risk engine with 6-monthly review and reasons hidden from the customer (20(4), 41(1)); updation scheduler with 2/8/10 years, 30 Jun 2026 low-risk grace and 3+3 notice log (42); NFTF EDD state (44); PEP approval workflow (45); para 25 OTP-e-KYC account tracker with 1-year expiry (25); CKYCR 10/7-day clocks and inbound-update handler (63); V-CIP module with concurrent-audit hold (27); daily sanctions batch plus screening at onboarding and in real time, match-case workflow, freeze, 2-working-day unfreeze forwarding (54–57, Annexes I–II); AML alert engine with para 40 typologies and profile-inconsistency rules (40, 53); centralised KYC exception database (23 proviso); rejection-reason capture (18)</w:t>
            </w:r>
          </w:p>
        </w:tc>
      </w:tr>
      <w:tr>
        <w:tc>
          <w:tcPr>
            <w:tcW w:w="1658" w:type="dxa"/>
          </w:tcPr>
          <w:p>
            <w:pPr>
              <w:pStyle w:val="Compact"/>
              <w:spacing w:after="40"/>
              <w:jc w:val="left"/>
            </w:pPr>
            <w:r>
              <w:rPr>
                <w:sz w:val="18"/>
              </w:rPr>
              <w:t xml:space="preserve">M3</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bCs/>
                <w:b/>
                <w:sz w:val="18"/>
              </w:rPr>
              <w:t xml:space="preserve">Counterparty master:</w:t>
            </w:r>
            <w:r>
              <w:rPr>
                <w:sz w:val="18"/>
              </w:rPr>
              <w:t xml:space="preserve"> </w:t>
            </w:r>
            <w:r>
              <w:rPr>
                <w:sz w:val="18"/>
              </w:rPr>
              <w:t xml:space="preserve">lender type, permitted transferee, ARC and regulated facility-provider flags (TDCR 12(4), 12(8); SEC 80). s.29A and promoter-group declarations for transferees, verified by the transferor (TDCR 12(14))</w:t>
            </w:r>
          </w:p>
        </w:tc>
      </w:tr>
      <w:tr>
        <w:tc>
          <w:tcPr>
            <w:tcW w:w="1658" w:type="dxa"/>
          </w:tcPr>
          <w:p>
            <w:pPr>
              <w:pStyle w:val="Compact"/>
              <w:spacing w:after="40"/>
              <w:jc w:val="left"/>
            </w:pPr>
            <w:r>
              <w:rPr>
                <w:sz w:val="18"/>
              </w:rPr>
              <w:t xml:space="preserve">M4</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Agreement clause with computed SMA/NPA example dates and moratorium start date, regenerated on any change of terms (IRACP 15).</w:t>
            </w:r>
            <w:r>
              <w:rPr>
                <w:sz w:val="18"/>
              </w:rPr>
              <w:t xml:space="preserve"> </w:t>
            </w:r>
            <w:r>
              <w:rPr>
                <w:bCs/>
                <w:b/>
                <w:sz w:val="18"/>
              </w:rPr>
              <w:t xml:space="preserve">Cooling-period gate:</w:t>
            </w:r>
            <w:r>
              <w:rPr>
                <w:sz w:val="18"/>
              </w:rPr>
              <w:t xml:space="preserve"> </w:t>
            </w:r>
            <w:r>
              <w:rPr>
                <w:sz w:val="18"/>
              </w:rPr>
              <w:t xml:space="preserve">no fresh exposure for at least 12 months after a compromise settlement, and per policy after a technical write-off (RSA 95–96).</w:t>
            </w:r>
            <w:r>
              <w:rPr>
                <w:sz w:val="18"/>
              </w:rPr>
              <w:t xml:space="preserve"> </w:t>
            </w:r>
            <w:r>
              <w:rPr>
                <w:bCs/>
                <w:b/>
                <w:sz w:val="18"/>
              </w:rPr>
              <w:t xml:space="preserve">Restructuring-definition test:</w:t>
            </w:r>
            <w:r>
              <w:rPr>
                <w:sz w:val="18"/>
              </w:rPr>
              <w:t xml:space="preserve"> </w:t>
            </w:r>
            <w:r>
              <w:rPr>
                <w:sz w:val="18"/>
              </w:rPr>
              <w:t xml:space="preserve">any change of terms, roll-over or additional credit for a borrower flagged with financial difficulty is routed as restructuring (RSA 10(12), 13–15). Fraud/WD restructuring block (RSA 83–85)</w:t>
            </w:r>
          </w:p>
        </w:tc>
      </w:tr>
      <w:tr>
        <w:tc>
          <w:tcPr>
            <w:tcW w:w="1658" w:type="dxa"/>
          </w:tcPr>
          <w:p>
            <w:pPr>
              <w:pStyle w:val="Compact"/>
              <w:spacing w:after="40"/>
              <w:jc w:val="left"/>
            </w:pPr>
            <w:r>
              <w:rPr>
                <w:sz w:val="18"/>
              </w:rPr>
              <w:t xml:space="preserve">M4</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Application acknowledgement with disposal timeline (RBC 12); vernacular sanction letter with annualised rate, method of application and risk-gradation rationale (RBC 13, 22, 24); late-payment penalties in bold in the agreement (RBC 13); agreement and all enclosures delivered (RBC 14); KFS Part 1/Part 2 with proposal number, validity and acknowledgement, and the APR engine (RBC 29, Annex I); vehicle repossession clause contents (RBC 26); wilful-defaulter penal gate at application, renewal, enhancement, top-up and restructuring, with 1-year/5-year clocks and new-venture flag (WD 7(3)); LWD board/management covenant in every credit agreement (WD 7(4)); auditor-mandate covenant (WD 20(4))</w:t>
            </w:r>
          </w:p>
        </w:tc>
      </w:tr>
      <w:tr>
        <w:tc>
          <w:tcPr>
            <w:tcW w:w="1658" w:type="dxa"/>
          </w:tcPr>
          <w:p>
            <w:pPr>
              <w:pStyle w:val="Compact"/>
              <w:spacing w:after="40"/>
              <w:jc w:val="left"/>
            </w:pPr>
            <w:r>
              <w:rPr>
                <w:sz w:val="18"/>
              </w:rPr>
              <w:t xml:space="preserve">M4</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Pre-sanction gate: CDD complete and the KYC decision taken by a tenant user (KYC 13, 17(3)); OTP-e-KYC NFTF customer → term loan only, ≤ ₹60,000 aggregate sanction a year (25(5)); PEP senior-management approval (45); sanctions clear (17(9), 55(2))</w:t>
            </w:r>
          </w:p>
        </w:tc>
      </w:tr>
      <w:tr>
        <w:tc>
          <w:tcPr>
            <w:tcW w:w="1658" w:type="dxa"/>
          </w:tcPr>
          <w:p>
            <w:pPr>
              <w:pStyle w:val="Compact"/>
              <w:spacing w:after="40"/>
              <w:jc w:val="left"/>
            </w:pPr>
            <w:r>
              <w:rPr>
                <w:sz w:val="18"/>
              </w:rPr>
              <w:t xml:space="preserve">M4</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bCs/>
                <w:b/>
                <w:sz w:val="18"/>
              </w:rPr>
              <w:t xml:space="preserve">CLA origination:</w:t>
            </w:r>
            <w:r>
              <w:rPr>
                <w:sz w:val="18"/>
              </w:rPr>
              <w:t xml:space="preserve"> </w:t>
            </w:r>
            <w:r>
              <w:rPr>
                <w:sz w:val="18"/>
              </w:rPr>
              <w:t xml:space="preserve">KFS and loan agreement name the partner, roles and single point of customer interface (TDCR 105–106, 114); blended-rate pricing (108); objective lending-service fees with no CE/DLG element (111)</w:t>
            </w:r>
          </w:p>
        </w:tc>
      </w:tr>
      <w:tr>
        <w:tc>
          <w:tcPr>
            <w:tcW w:w="1658" w:type="dxa"/>
          </w:tcPr>
          <w:p>
            <w:pPr>
              <w:pStyle w:val="Compact"/>
              <w:spacing w:after="40"/>
              <w:jc w:val="left"/>
            </w:pPr>
            <w:r>
              <w:rPr>
                <w:sz w:val="18"/>
              </w:rPr>
              <w:t xml:space="preserve">M4</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bCs/>
                <w:b/>
                <w:sz w:val="18"/>
              </w:rPr>
              <w:t xml:space="preserve">rw_class assigned at sanction</w:t>
            </w:r>
            <w:r>
              <w:rPr>
                <w:sz w:val="18"/>
              </w:rPr>
              <w:t xml:space="preserve">, incl. the consumer-credit 125% classifier (CAP 18(1) Sr (3)(e)(i)). Guarantee-cover capture: scheme, coverage %, first loss, payout cap (CAP 18(2)(iv)). FD-lien and staff-loan flags at 0% (CAP 18(1) Sr (3)(c)–(d)).</w:t>
            </w:r>
            <w:r>
              <w:rPr>
                <w:sz w:val="18"/>
              </w:rPr>
              <w:t xml:space="preserve"> </w:t>
            </w:r>
            <w:r>
              <w:rPr>
                <w:rStyle w:val="VerbatimChar"/>
                <w:sz w:val="18"/>
              </w:rPr>
              <w:t xml:space="preserve">unconditionally_cancellable</w:t>
            </w:r>
            <w:r>
              <w:rPr>
                <w:sz w:val="18"/>
              </w:rPr>
              <w:t xml:space="preserve"> </w:t>
            </w:r>
            <w:r>
              <w:rPr>
                <w:sz w:val="18"/>
              </w:rPr>
              <w:t xml:space="preserve">flag and original maturity of undrawn limits (CAP 18(4)). HQ-infrastructure flag with sanctioned project debt (CAP Sr (2)(e)). Blocks on loans against own PDI or NCDs (CAP 12(14); MISC 11(6)). Cash-disbursal block per ss.269SS/269T (MISC 24). Factoring: invoice genuineness, debtor appraisal, without-recourse Board limit (MISC 49–51)</w:t>
            </w:r>
          </w:p>
        </w:tc>
      </w:tr>
      <w:tr>
        <w:tc>
          <w:tcPr>
            <w:tcW w:w="1658" w:type="dxa"/>
          </w:tcPr>
          <w:p>
            <w:pPr>
              <w:pStyle w:val="Compact"/>
              <w:spacing w:after="40"/>
              <w:jc w:val="left"/>
            </w:pPr>
            <w:r>
              <w:rPr>
                <w:sz w:val="18"/>
              </w:rPr>
              <w:t xml:space="preserve">M4</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Sanction-committee configuration with the CRO as adviser or voter, with votes recorded (GOV 23–24). BRE decisions attributed only to tenant-approved rule versions; no Finbyx or LSP role can sanction (OUT 15)</w:t>
            </w:r>
          </w:p>
        </w:tc>
      </w:tr>
      <w:tr>
        <w:tc>
          <w:tcPr>
            <w:tcW w:w="1658" w:type="dxa"/>
          </w:tcPr>
          <w:p>
            <w:pPr>
              <w:pStyle w:val="Compact"/>
              <w:spacing w:after="40"/>
              <w:jc w:val="left"/>
            </w:pPr>
            <w:r>
              <w:rPr>
                <w:sz w:val="18"/>
              </w:rPr>
              <w:t xml:space="preserve">M4</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Gate enforcing the 25% microfinance cap for non-MFI NBFCs (MFI 49). Channelising-scheme loans tagged (MFI 13)</w:t>
            </w:r>
          </w:p>
        </w:tc>
      </w:tr>
      <w:tr>
        <w:tc>
          <w:tcPr>
            <w:tcW w:w="1658" w:type="dxa"/>
          </w:tcPr>
          <w:p>
            <w:pPr>
              <w:pStyle w:val="Compact"/>
              <w:spacing w:after="40"/>
              <w:jc w:val="left"/>
            </w:pPr>
            <w:r>
              <w:rPr>
                <w:sz w:val="18"/>
              </w:rPr>
              <w:t xml:space="preserve">M5</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Gold assay certificate (paper or e-) with image, borrower present at assay, non-employee witness for illiterate borrowers (RBC 46, 50–51); surprise-verification register with consent clause (RBC 57); release clocks: 30/60 days for property documents and same day/7 working days for gold, with attribution flag and ₹5,000/day compensation (RBC 35–40, 58, 69); legal-heir release (RBC 38); gold auction (notice, public notice + 1 month, two newspapers, 90%/85% reserve, district rule, related-party bar, 7-working-day surplus refund) (RBC 60–66); unclaimed-collateral register after 2 years (RBC 71–72)</w:t>
            </w:r>
          </w:p>
        </w:tc>
      </w:tr>
      <w:tr>
        <w:tc>
          <w:tcPr>
            <w:tcW w:w="1658" w:type="dxa"/>
          </w:tcPr>
          <w:p>
            <w:pPr>
              <w:pStyle w:val="Compact"/>
              <w:spacing w:after="40"/>
              <w:jc w:val="left"/>
            </w:pPr>
            <w:r>
              <w:rPr>
                <w:sz w:val="18"/>
              </w:rPr>
              <w:t xml:space="preserve">M5</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BG confirmation with the issuing bank before acceptance (MISC 29–31). Gold share of financial assets feeds the gold_primary flag (CAP 4(8))</w:t>
            </w:r>
          </w:p>
        </w:tc>
      </w:tr>
      <w:tr>
        <w:tc>
          <w:tcPr>
            <w:tcW w:w="1658" w:type="dxa"/>
          </w:tcPr>
          <w:p>
            <w:pPr>
              <w:pStyle w:val="Compact"/>
              <w:spacing w:after="40"/>
              <w:jc w:val="left"/>
            </w:pPr>
            <w:r>
              <w:rPr>
                <w:sz w:val="18"/>
              </w:rPr>
              <w:t xml:space="preserve">M6</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Classification history per borrower, dated by COB calendar date (IRACP 19); NPI flag pushed to investments (IRACP 23); HP/lease contract type classified on recovery record (IRACP 43(7), 51(7)). Restructuring workbench: plan record (RSA 35); Part B viability benchmarks (171), promoter contribution (179–180), personal guarantee (177), recompense clause (176), 120-day clock from application (178), no back-dating (163), housing tenor/EMI option (185–187); monitoring/specified-period tracker with Part A zero-default test (RSA 10(14)); repeat-restructuring counter (159(4), 194); additional-finance tagging (56–57, 193); FITL creation (RSA 140, 220)</w:t>
            </w:r>
          </w:p>
        </w:tc>
      </w:tr>
      <w:tr>
        <w:tc>
          <w:tcPr>
            <w:tcW w:w="1658" w:type="dxa"/>
          </w:tcPr>
          <w:p>
            <w:pPr>
              <w:pStyle w:val="Compact"/>
              <w:spacing w:after="40"/>
              <w:jc w:val="left"/>
            </w:pPr>
            <w:r>
              <w:rPr>
                <w:sz w:val="18"/>
              </w:rPr>
              <w:t xml:space="preserve">M6</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Penal-charge engine (base = overdue amount, no penal on penal, individual ≤ non-individual check) (RBC 30); reset election workflow, negative-amortisation guard and quarterly statement (RBC 31–32); prepayment engine (RBC 33–34, 81); prospective-only change guard with vernacular notice (RBC 15, 83); account-transfer request with 21-day SLA (RBC 19); set-off notice on retention of securities (RBC 17); nearest-rupee rounding at posting (RBC 103); end-use certificate tracker (WD 19(2))</w:t>
            </w:r>
          </w:p>
        </w:tc>
      </w:tr>
      <w:tr>
        <w:tc>
          <w:tcPr>
            <w:tcW w:w="1658" w:type="dxa"/>
          </w:tcPr>
          <w:p>
            <w:pPr>
              <w:pStyle w:val="Compact"/>
              <w:spacing w:after="40"/>
              <w:jc w:val="left"/>
            </w:pPr>
            <w:r>
              <w:rPr>
                <w:sz w:val="18"/>
              </w:rPr>
              <w:t xml:space="preserve">M6 / M7</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Account modes:</w:t>
            </w:r>
            <w:r>
              <w:rPr>
                <w:sz w:val="18"/>
              </w:rPr>
              <w:t xml:space="preserve"> </w:t>
            </w:r>
            <w:r>
              <w:rPr>
                <w:bCs/>
                <w:b/>
                <w:sz w:val="18"/>
              </w:rPr>
              <w:t xml:space="preserve">credits-only</w:t>
            </w:r>
            <w:r>
              <w:rPr>
                <w:sz w:val="18"/>
              </w:rPr>
              <w:t xml:space="preserve"> </w:t>
            </w:r>
            <w:r>
              <w:rPr>
                <w:sz w:val="18"/>
              </w:rPr>
              <w:t xml:space="preserve">(no PAN/Form 60, KYC 43; OTP-e-KYC expiry, 25(7)); sanctions freeze, allowing interest and pre-listing contractual credits (Annex I 10.2; Annex II 6.2); NFTF first-credit check from the customer’s own KYC-compliant bank account (44(5)); third-party or own-product sales of ₹50,000 or more only by account debit or cheque, with PAN (71)</w:t>
            </w:r>
          </w:p>
        </w:tc>
      </w:tr>
      <w:tr>
        <w:tc>
          <w:tcPr>
            <w:tcW w:w="1658" w:type="dxa"/>
          </w:tcPr>
          <w:p>
            <w:pPr>
              <w:pStyle w:val="Compact"/>
              <w:spacing w:after="40"/>
              <w:jc w:val="left"/>
            </w:pPr>
            <w:r>
              <w:rPr>
                <w:sz w:val="18"/>
              </w:rPr>
              <w:t xml:space="preserve">M6</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bCs/>
                <w:b/>
                <w:sz w:val="18"/>
              </w:rPr>
              <w:t xml:space="preserve">Servicing of sold, participated and securitised loans:</w:t>
            </w:r>
            <w:r>
              <w:rPr>
                <w:sz w:val="18"/>
              </w:rPr>
              <w:t xml:space="preserve"> </w:t>
            </w:r>
            <w:r>
              <w:rPr>
                <w:sz w:val="18"/>
              </w:rPr>
              <w:t xml:space="preserve">collections held in trust, no commingling, remit only after collection (TDCR 30; SEC 95). Dual borrower sub-accounts for CLAs (TDCR 116). CLA escrow appropriation (TDCR 117)</w:t>
            </w:r>
          </w:p>
        </w:tc>
      </w:tr>
      <w:tr>
        <w:tc>
          <w:tcPr>
            <w:tcW w:w="1658" w:type="dxa"/>
          </w:tcPr>
          <w:p>
            <w:pPr>
              <w:pStyle w:val="Compact"/>
              <w:spacing w:after="40"/>
              <w:jc w:val="left"/>
            </w:pPr>
            <w:r>
              <w:rPr>
                <w:sz w:val="18"/>
              </w:rPr>
              <w:t xml:space="preserve">M6</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Rupee rounding at billing and posting (MISC 27). Repayment % of sanctioned project debt for the infrastructure RW step-down and 31 Mar 2027 grandfathering (CAP Sr (2)(e)). Factoring NPA at 90/180 days on the exposure entity (MISC 44–46)</w:t>
            </w:r>
          </w:p>
        </w:tc>
      </w:tr>
      <w:tr>
        <w:tc>
          <w:tcPr>
            <w:tcW w:w="1658" w:type="dxa"/>
          </w:tcPr>
          <w:p>
            <w:pPr>
              <w:pStyle w:val="Compact"/>
              <w:spacing w:after="40"/>
              <w:jc w:val="left"/>
            </w:pPr>
            <w:r>
              <w:rPr>
                <w:sz w:val="18"/>
              </w:rPr>
              <w:t xml:space="preserve">M6 / Part 4 schedule engine</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Interest accrual from the disbursement UTR or cheque handover date; EMI on disbursed principal only; schedule and KFS revision pushed on each tranche; day-level broken-period interest; advance instalments reduce the interest base (MSD 7(1)–(5))</w:t>
            </w:r>
          </w:p>
        </w:tc>
      </w:tr>
      <w:tr>
        <w:tc>
          <w:tcPr>
            <w:tcW w:w="1658" w:type="dxa"/>
          </w:tcPr>
          <w:p>
            <w:pPr>
              <w:pStyle w:val="Compact"/>
              <w:spacing w:after="40"/>
              <w:jc w:val="left"/>
            </w:pPr>
            <w:r>
              <w:rPr>
                <w:sz w:val="18"/>
              </w:rPr>
              <w:t xml:space="preserve">M7</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PDC capture blocked where NACH is available; CTS-2010 cheques only (MISC 22–23; not HFCs)</w:t>
            </w:r>
          </w:p>
        </w:tc>
      </w:tr>
      <w:tr>
        <w:tc>
          <w:tcPr>
            <w:tcW w:w="1658" w:type="dxa"/>
          </w:tcPr>
          <w:p>
            <w:pPr>
              <w:pStyle w:val="Compact"/>
              <w:spacing w:after="40"/>
              <w:jc w:val="left"/>
            </w:pPr>
            <w:r>
              <w:rPr>
                <w:sz w:val="18"/>
              </w:rPr>
              <w:t xml:space="preserve">M7 / M10</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Vendor reconciliation and ageing report for the ACB, covering collection agencies, aggregators and DSA payouts (OUT 12(2)(ii), 39)</w:t>
            </w:r>
          </w:p>
        </w:tc>
      </w:tr>
      <w:tr>
        <w:tc>
          <w:tcPr>
            <w:tcW w:w="1658" w:type="dxa"/>
          </w:tcPr>
          <w:p>
            <w:pPr>
              <w:pStyle w:val="Compact"/>
              <w:spacing w:after="40"/>
              <w:jc w:val="left"/>
            </w:pPr>
            <w:r>
              <w:rPr>
                <w:sz w:val="18"/>
              </w:rPr>
              <w:t xml:space="preserve">M8</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Current contact rules: 08:00–19:00 general (RBC 100), 09:00–18:00 and harsh-practice list for microfinance (RBC 91); microfinance designated-place collection rule (RBC 90); agent notice, authorisation letter and ID before contact; notice of agency change (RBC 95–96); agent antecedent/police-verification register (RBC 94); penal charge shown in every reminder (RBC 30(7)); identification of borrowers in difficulty (RBC 89)</w:t>
            </w:r>
          </w:p>
        </w:tc>
      </w:tr>
      <w:tr>
        <w:tc>
          <w:tcPr>
            <w:tcW w:w="1658" w:type="dxa"/>
          </w:tcPr>
          <w:p>
            <w:pPr>
              <w:pStyle w:val="Compact"/>
              <w:spacing w:after="40"/>
              <w:jc w:val="left"/>
            </w:pPr>
            <w:r>
              <w:rPr>
                <w:sz w:val="18"/>
              </w:rPr>
              <w:t xml:space="preserve">M9</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Settlement policy engine (RSA 16); &gt; 3-month or part settlement switches to restructuring (RSA 89–90); consent-decree checkpoint where a legal_case is pending (RSA 100); fraud/WD Board-approval route (RSA 16(5)(ii)); DRS claim tracker, no Government receivable (RSA 133)</w:t>
            </w:r>
          </w:p>
        </w:tc>
      </w:tr>
      <w:tr>
        <w:tc>
          <w:tcPr>
            <w:tcW w:w="1658" w:type="dxa"/>
          </w:tcPr>
          <w:p>
            <w:pPr>
              <w:pStyle w:val="Compact"/>
              <w:spacing w:after="40"/>
              <w:jc w:val="left"/>
            </w:pPr>
            <w:r>
              <w:rPr>
                <w:sz w:val="18"/>
              </w:rPr>
              <w:t xml:space="preserve">M9</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Wilful-defaulter case management: IC/RC composition validator, 21-day and 15-day timers, 6-month deadline, hearing record, reasoned order naming members (WD 5–6); guarantor and group-company cases (WD 10); penal-bar register (WD 7(3)); LWD logic for compromise settlements (WD 13); IBC/resolution removal (WD 15); pre-transfer wilful-default gate (WD 14); auditor and third-party complaint register with hearing (WD 20–21)</w:t>
            </w:r>
          </w:p>
        </w:tc>
      </w:tr>
      <w:tr>
        <w:tc>
          <w:tcPr>
            <w:tcW w:w="1658" w:type="dxa"/>
          </w:tcPr>
          <w:p>
            <w:pPr>
              <w:pStyle w:val="Compact"/>
              <w:spacing w:after="40"/>
              <w:jc w:val="left"/>
            </w:pPr>
            <w:r>
              <w:rPr>
                <w:sz w:val="18"/>
              </w:rPr>
              <w:t xml:space="preserve">M9</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bCs/>
                <w:b/>
                <w:sz w:val="18"/>
              </w:rPr>
              <w:t xml:space="preserve">Stressed-loan sale workflow:</w:t>
            </w:r>
            <w:r>
              <w:rPr>
                <w:sz w:val="18"/>
              </w:rPr>
              <w:t xml:space="preserve"> </w:t>
            </w:r>
            <w:r>
              <w:rPr>
                <w:sz w:val="18"/>
              </w:rPr>
              <w:t xml:space="preserve">Board NPA review (TDCR 56); valuation, with 2 external reports ≥ ₹100 crore (57); Swiss challenge with 5–15% mark-up and the para 92(5) provision (60, 89–92); 12-month cooling block (61); 3-year exposure block (62(3)(iv)–(v)); no contingent price (65); fraud-to-ARC hand-over (78) together with FRM 54</w:t>
            </w:r>
          </w:p>
        </w:tc>
      </w:tr>
      <w:tr>
        <w:tc>
          <w:tcPr>
            <w:tcW w:w="1658" w:type="dxa"/>
          </w:tcPr>
          <w:p>
            <w:pPr>
              <w:pStyle w:val="Compact"/>
              <w:spacing w:after="40"/>
              <w:jc w:val="left"/>
            </w:pPr>
            <w:r>
              <w:rPr>
                <w:sz w:val="18"/>
              </w:rPr>
              <w:t xml:space="preserve">M10</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Provision engine: layer and UL category rates (IRACP 48, 55, 58); project-finance phase rates (IRACP 30); teaser-rate reset clock (58); doubtful-age tiers on the secured portion (32(2)); HP/lease NBV engine (33); 100% on liquidity facility &gt; 90 days (31);</w:t>
            </w:r>
            <w:r>
              <w:rPr>
                <w:sz w:val="18"/>
              </w:rPr>
              <w:t xml:space="preserve"> </w:t>
            </w:r>
            <w:r>
              <w:rPr>
                <w:sz w:val="18"/>
              </w:rPr>
              <w:t xml:space="preserve">“</w:t>
            </w:r>
            <w:r>
              <w:rPr>
                <w:sz w:val="18"/>
              </w:rPr>
              <w:t xml:space="preserve">Contingent Provisions against Standard Assets</w:t>
            </w:r>
            <w:r>
              <w:rPr>
                <w:sz w:val="18"/>
              </w:rPr>
              <w:t xml:space="preserve">”</w:t>
            </w:r>
            <w:r>
              <w:rPr>
                <w:sz w:val="18"/>
              </w:rPr>
              <w:t xml:space="preserve"> </w:t>
            </w:r>
            <w:r>
              <w:rPr>
                <w:sz w:val="18"/>
              </w:rPr>
              <w:t xml:space="preserve">line (28); DLG-aware ECL recomputed on invocation (36A–36C). Fair-value diminution engine with separate account, recomputed every balance-sheet date, 5% option below ₹1 crore (RSA 198–211); Sundry Liabilities (Interest Capitalisation) (RSA 152–153, 223–227); additional provisions 20% / 15% / 15% (RSA 48, 64); DCCO 0.375% / 0.5625% per quarter (RSA 118); accelerated-provisioning table (RSA 23); DRS 100% after 90 days (RSA 137); 100% cap (RSA 49, 211)</w:t>
            </w:r>
          </w:p>
        </w:tc>
      </w:tr>
      <w:tr>
        <w:tc>
          <w:tcPr>
            <w:tcW w:w="1658" w:type="dxa"/>
          </w:tcPr>
          <w:p>
            <w:pPr>
              <w:pStyle w:val="Compact"/>
              <w:spacing w:after="40"/>
              <w:jc w:val="left"/>
            </w:pPr>
            <w:r>
              <w:rPr>
                <w:sz w:val="18"/>
              </w:rPr>
              <w:t xml:space="preserve">M10</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sz w:val="18"/>
              </w:rPr>
              <w:t xml:space="preserve">Unrealised-profit CET1/NOF deduction (TDCR 45, 107). Premium amortisation (51). ARC shortfall and excess provisioning (80–81). SR valuation incl. ₹1 and 5/8-year loss rule (82–85). Acquired stressed-loan NPV provision (71). Acquired-NPA cash amortisation (76).</w:t>
            </w:r>
            <w:r>
              <w:rPr>
                <w:sz w:val="18"/>
              </w:rPr>
              <w:t xml:space="preserve"> </w:t>
            </w:r>
            <w:r>
              <w:rPr>
                <w:sz w:val="18"/>
              </w:rPr>
              <w:t xml:space="preserve">“</w:t>
            </w:r>
            <w:r>
              <w:rPr>
                <w:sz w:val="18"/>
              </w:rPr>
              <w:t xml:space="preserve">Unrealised Gain on Loan Transfer Transactions</w:t>
            </w:r>
            <w:r>
              <w:rPr>
                <w:sz w:val="18"/>
              </w:rPr>
              <w:t xml:space="preserve">”</w:t>
            </w:r>
            <w:r>
              <w:rPr>
                <w:sz w:val="18"/>
              </w:rPr>
              <w:t xml:space="preserve"> </w:t>
            </w:r>
            <w:r>
              <w:rPr>
                <w:sz w:val="18"/>
              </w:rPr>
              <w:t xml:space="preserve">account (SEC 34). CE drawdown write-off (SEC 83(4)). Liquidity draw NPA after 90 days (SEC 91)</w:t>
            </w:r>
          </w:p>
        </w:tc>
      </w:tr>
      <w:tr>
        <w:tc>
          <w:tcPr>
            <w:tcW w:w="1658" w:type="dxa"/>
          </w:tcPr>
          <w:p>
            <w:pPr>
              <w:pStyle w:val="Compact"/>
              <w:spacing w:after="40"/>
              <w:jc w:val="left"/>
            </w:pPr>
            <w:r>
              <w:rPr>
                <w:sz w:val="18"/>
              </w:rPr>
              <w:t xml:space="preserve">M10</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GL capital-component tags; owned fund, NOF, CET1, Tier 1/2 and EPt with a limited-review flag (CAP 7–16; SBR 45–46). Dividend register and eligibility checker (DIV 8–13). PBC test with bank FDs excluded (SBR 38; MISC 21).</w:t>
            </w:r>
            <w:r>
              <w:rPr>
                <w:sz w:val="18"/>
              </w:rPr>
              <w:t xml:space="preserve"> </w:t>
            </w:r>
            <w:r>
              <w:rPr>
                <w:bCs/>
                <w:b/>
                <w:sz w:val="18"/>
              </w:rPr>
              <w:t xml:space="preserve">Borrowings:</w:t>
            </w:r>
            <w:r>
              <w:rPr>
                <w:sz w:val="18"/>
              </w:rPr>
              <w:t xml:space="preserve"> </w:t>
            </w:r>
            <w:r>
              <w:rPr>
                <w:sz w:val="18"/>
              </w:rPr>
              <w:t xml:space="preserve">PDI (15% cap, call/step-up/lock-in) and sub-debt discount schedule (CAP 12–13); NCD private-placement controls — ₹20,000 minimum, ≤ 200 subscribers per FY below ₹1 crore and fully secured, own-balance-sheet use (MISC 10–11)</w:t>
            </w:r>
          </w:p>
        </w:tc>
      </w:tr>
      <w:tr>
        <w:tc>
          <w:tcPr>
            <w:tcW w:w="1658" w:type="dxa"/>
          </w:tcPr>
          <w:p>
            <w:pPr>
              <w:pStyle w:val="Compact"/>
              <w:spacing w:after="40"/>
              <w:jc w:val="left"/>
            </w:pPr>
            <w:r>
              <w:rPr>
                <w:sz w:val="18"/>
              </w:rPr>
              <w:t xml:space="preserve">M10</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MFI provision floor computed on overdue instalments (MFI 25); CRGFTLIH carve-out (MFI 26); channelising-agent segment GL and disclosure (MFI 13(2)(i))</w:t>
            </w:r>
          </w:p>
        </w:tc>
      </w:tr>
      <w:tr>
        <w:tc>
          <w:tcPr>
            <w:tcW w:w="1658" w:type="dxa"/>
          </w:tcPr>
          <w:p>
            <w:pPr>
              <w:pStyle w:val="Compact"/>
              <w:spacing w:after="40"/>
              <w:jc w:val="left"/>
            </w:pPr>
            <w:r>
              <w:rPr>
                <w:sz w:val="18"/>
              </w:rPr>
              <w:t xml:space="preserve">M11</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Co-lending block in KFS Part 2 item 5 (originating and partner RE, funding shares, blended rate) (RBC Annex I); transferee LWD reporting (WD 14(3), 14(5))</w:t>
            </w:r>
          </w:p>
        </w:tc>
      </w:tr>
      <w:tr>
        <w:tc>
          <w:tcPr>
            <w:tcW w:w="1658" w:type="dxa"/>
          </w:tcPr>
          <w:p>
            <w:pPr>
              <w:pStyle w:val="Compact"/>
              <w:spacing w:after="40"/>
              <w:jc w:val="left"/>
            </w:pPr>
            <w:r>
              <w:rPr>
                <w:sz w:val="18"/>
              </w:rPr>
              <w:t xml:space="preserve">M11</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Securitisation tranches, ratings, A/D/T/MT and derecognition test (CAP 19–51). Gain-on-sale deduction (CAP 19). Co-lending unrealised-profit deduction (CAP 15(2)). DLG deduction (CAP 15(3))</w:t>
            </w:r>
          </w:p>
        </w:tc>
      </w:tr>
      <w:tr>
        <w:tc>
          <w:tcPr>
            <w:tcW w:w="1658" w:type="dxa"/>
          </w:tcPr>
          <w:p>
            <w:pPr>
              <w:pStyle w:val="Compact"/>
              <w:spacing w:after="40"/>
              <w:jc w:val="left"/>
            </w:pPr>
            <w:r>
              <w:rPr>
                <w:sz w:val="18"/>
              </w:rPr>
              <w:t xml:space="preserve">M12</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UL derivative CCE provisioning (IRACP 59–60). Financial-difficulty indicator register (RSA 13–15); ICA/consortium register with 75% value / 60% number voting (RSA 31–33); ICE and rating tracker (RSA 36–41, 60)</w:t>
            </w:r>
          </w:p>
        </w:tc>
      </w:tr>
      <w:tr>
        <w:tc>
          <w:tcPr>
            <w:tcW w:w="1658" w:type="dxa"/>
          </w:tcPr>
          <w:p>
            <w:pPr>
              <w:pStyle w:val="Compact"/>
              <w:spacing w:after="40"/>
              <w:jc w:val="left"/>
            </w:pPr>
            <w:r>
              <w:rPr>
                <w:sz w:val="18"/>
              </w:rPr>
              <w:t xml:space="preserve">M12</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sz w:val="18"/>
              </w:rPr>
              <w:t xml:space="preserve">100% risk weight on acquired NPAs while standard (TDCR 77). Capital fallbacks (TDCR 27, 30; SEC 83, 90, 93, 96). Transferee and investor stress tests (TDCR 41; SEC 103). Securitisation valuation policy (SEC 104). 20% retained-exposure cap (SEC 23)</w:t>
            </w:r>
          </w:p>
        </w:tc>
      </w:tr>
      <w:tr>
        <w:tc>
          <w:tcPr>
            <w:tcW w:w="1658" w:type="dxa"/>
          </w:tcPr>
          <w:p>
            <w:pPr>
              <w:pStyle w:val="Compact"/>
              <w:spacing w:after="40"/>
              <w:jc w:val="left"/>
            </w:pPr>
            <w:r>
              <w:rPr>
                <w:sz w:val="18"/>
              </w:rPr>
              <w:t xml:space="preserve">M12</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bCs/>
                <w:b/>
                <w:sz w:val="18"/>
              </w:rPr>
              <w:t xml:space="preserve">RWA/CRAR engine</w:t>
            </w:r>
            <w:r>
              <w:rPr>
                <w:sz w:val="18"/>
              </w:rPr>
              <w:t xml:space="preserve"> </w:t>
            </w:r>
            <w:r>
              <w:rPr>
                <w:sz w:val="18"/>
              </w:rPr>
              <w:t xml:space="preserve">(Part 8A.24): versioned RW/CCF/add-on/ERBA masters; ratios by profile; BL leverage ≤ 7 (CAP 17); what-if per sanction; lineage; para 48 golden test. CDS mismatch and 667% logic (CAP 53). ICAAP for ML+ (CAP 54)</w:t>
            </w:r>
          </w:p>
        </w:tc>
      </w:tr>
      <w:tr>
        <w:tc>
          <w:tcPr>
            <w:tcW w:w="1658" w:type="dxa"/>
          </w:tcPr>
          <w:p>
            <w:pPr>
              <w:pStyle w:val="Compact"/>
              <w:spacing w:after="40"/>
              <w:jc w:val="left"/>
            </w:pPr>
            <w:r>
              <w:rPr>
                <w:sz w:val="18"/>
              </w:rPr>
              <w:t xml:space="preserve">M12</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bCs/>
                <w:b/>
                <w:sz w:val="18"/>
              </w:rPr>
              <w:t xml:space="preserve">ORM suite:</w:t>
            </w:r>
            <w:r>
              <w:rPr>
                <w:sz w:val="18"/>
              </w:rPr>
              <w:t xml:space="preserve"> </w:t>
            </w:r>
            <w:r>
              <w:rPr>
                <w:sz w:val="18"/>
              </w:rPr>
              <w:t xml:space="preserve">taxonomy and control library (ORM 24); RCSA (42(1)); loss-event database with occurrence/discovery/accounting dates, near misses and root cause (42(2)); KRIs with thresholds (42(5)); scenario analysis per critical operation (42(6)); critical-operations register with Board-approved criteria (31); impact tolerances with time, data-loss and service-level metrics (32–33); dependency map with single points of failure (69–72); action plans (43(3)); annual insurance review (64); lessons-learned workflow with the para 101 questions and a Board report (99–102). Outsourcing concentration risk (OUT 67)</w:t>
            </w:r>
          </w:p>
        </w:tc>
      </w:tr>
      <w:tr>
        <w:tc>
          <w:tcPr>
            <w:tcW w:w="1658" w:type="dxa"/>
          </w:tcPr>
          <w:p>
            <w:pPr>
              <w:pStyle w:val="Compact"/>
              <w:spacing w:after="40"/>
              <w:jc w:val="left"/>
            </w:pPr>
            <w:r>
              <w:rPr>
                <w:sz w:val="18"/>
              </w:rPr>
              <w:t xml:space="preserve">M12</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MFI qualifying-asset monitor with 4-quarter breach counter (MFI 12); geographic exposure limits (MFI 10); PCA indicator monitor and threshold-proximity alerts (MSD 16–17); ad-hoc exposure-subset query service (SR 13)</w:t>
            </w:r>
          </w:p>
        </w:tc>
      </w:tr>
      <w:tr>
        <w:tc>
          <w:tcPr>
            <w:tcW w:w="1658" w:type="dxa"/>
          </w:tcPr>
          <w:p>
            <w:pPr>
              <w:pStyle w:val="Compact"/>
              <w:spacing w:after="40"/>
              <w:jc w:val="left"/>
            </w:pPr>
            <w:r>
              <w:rPr>
                <w:sz w:val="18"/>
              </w:rPr>
              <w:t xml:space="preserve">M13</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Data-driven return catalogue (SR 21, 25); due-date engine (SR 22–23); portal maker-checker log (SR 19); GL reconciliation per return (SR 14); aggregation-rule registry (SR 15); DQ metrics and escalation (SR 17); NIL-return generation for CRILC, DNBS09 and DNBS13 (SR 21)</w:t>
            </w:r>
          </w:p>
        </w:tc>
      </w:tr>
      <w:tr>
        <w:tc>
          <w:tcPr>
            <w:tcW w:w="1658" w:type="dxa"/>
          </w:tcPr>
          <w:p>
            <w:pPr>
              <w:pStyle w:val="Compact"/>
              <w:spacing w:after="40"/>
              <w:jc w:val="left"/>
            </w:pPr>
            <w:r>
              <w:rPr>
                <w:sz w:val="18"/>
              </w:rPr>
              <w:t xml:space="preserve">M14</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Control tests: no charge outside the KFS (RBC 29(5)); no penal on penal or capitalisation (RBC 30); KFS acknowledgement captured (RBC 29(1)); release within 30 days / 7 working days (RBC 35, 58); reminder shows penal charge (RBC 30(7)); no back-dated rate change (RBC 15); WD 6-month completion (WD 6(2)); LWD gate applied (WD 7). Applicability engine: classification only for ML and above; every RE gets the screening gate and large-defaulter provisions (WD 2); stop classifying but keep updating CIC history on reclassification to BL (WD 12(3)). Policy library: RBC 7(1)–(8); WD 4</w:t>
            </w:r>
          </w:p>
        </w:tc>
      </w:tr>
      <w:tr>
        <w:tc>
          <w:tcPr>
            <w:tcW w:w="1658" w:type="dxa"/>
          </w:tcPr>
          <w:p>
            <w:pPr>
              <w:pStyle w:val="Compact"/>
              <w:spacing w:after="40"/>
              <w:jc w:val="left"/>
            </w:pPr>
            <w:r>
              <w:rPr>
                <w:sz w:val="18"/>
              </w:rPr>
              <w:t xml:space="preserve">M14</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KYC policy registry with the para 6 elements (KYC 6); annual ML/TF risk assessment (10); ML/TF assessment step in the product-approval gate (68); control tests: CKYC 10/7 days (63), daily sanctions run (54(2), 56), 6-monthly risk review (41(1)), 3+3 notices (42(7)), V-CIP concurrent audit before activation (27(2)(xiv))</w:t>
            </w:r>
          </w:p>
        </w:tc>
      </w:tr>
      <w:tr>
        <w:tc>
          <w:tcPr>
            <w:tcW w:w="1658" w:type="dxa"/>
          </w:tcPr>
          <w:p>
            <w:pPr>
              <w:pStyle w:val="Compact"/>
              <w:spacing w:after="40"/>
              <w:jc w:val="left"/>
            </w:pPr>
            <w:r>
              <w:rPr>
                <w:sz w:val="18"/>
              </w:rPr>
              <w:t xml:space="preserve">M14</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bCs/>
                <w:b/>
                <w:sz w:val="18"/>
              </w:rPr>
              <w:t xml:space="preserve">Policy registry:</w:t>
            </w:r>
            <w:r>
              <w:rPr>
                <w:sz w:val="18"/>
              </w:rPr>
              <w:t xml:space="preserve"> </w:t>
            </w:r>
            <w:r>
              <w:rPr>
                <w:sz w:val="18"/>
              </w:rPr>
              <w:t xml:space="preserve">transfer/acquisition policy (TDCR 13), stressed-loan policy (55), Swiss challenge (89), ARC take-over (87), CLA credit policy (103), securitisation valuation (SEC 104)</w:t>
            </w:r>
          </w:p>
        </w:tc>
      </w:tr>
      <w:tr>
        <w:tc>
          <w:tcPr>
            <w:tcW w:w="1658" w:type="dxa"/>
          </w:tcPr>
          <w:p>
            <w:pPr>
              <w:pStyle w:val="Compact"/>
              <w:spacing w:after="40"/>
              <w:jc w:val="left"/>
            </w:pPr>
            <w:r>
              <w:rPr>
                <w:sz w:val="18"/>
              </w:rPr>
              <w:t xml:space="preserve">M14</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Applicability engine loads the CAP para 3 and MISC para 3(1) paragraph lists per entity type. FATF investor register (SBR 47). Partnership/LLP/AOP prohibition control (MISC 16–19). UL milestones and NOF glide-path calendar (SBR 27–29, 42–43)</w:t>
            </w:r>
          </w:p>
        </w:tc>
      </w:tr>
      <w:tr>
        <w:tc>
          <w:tcPr>
            <w:tcW w:w="1658" w:type="dxa"/>
          </w:tcPr>
          <w:p>
            <w:pPr>
              <w:pStyle w:val="Compact"/>
              <w:spacing w:after="40"/>
              <w:jc w:val="left"/>
            </w:pPr>
            <w:r>
              <w:rPr>
                <w:sz w:val="18"/>
              </w:rPr>
              <w:t xml:space="preserve">M14</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bCs/>
                <w:b/>
                <w:sz w:val="18"/>
              </w:rPr>
              <w:t xml:space="preserve">Governance register:</w:t>
            </w:r>
            <w:r>
              <w:rPr>
                <w:sz w:val="18"/>
              </w:rPr>
              <w:t xml:space="preserve"> </w:t>
            </w:r>
            <w:r>
              <w:rPr>
                <w:sz w:val="18"/>
              </w:rPr>
              <w:t xml:space="preserve">directors, KMP, CRO and CCO; Annex I/II/III e-forms; NRC decisions; 31 March declarations; 30% change calculator and PRAVAAH pack; independent-director and KMP directorship-limit checks; CRO tenure and closed-session tracker (GOV 10–14, 19–28).</w:t>
            </w:r>
            <w:r>
              <w:rPr>
                <w:sz w:val="18"/>
              </w:rPr>
              <w:t xml:space="preserve"> </w:t>
            </w:r>
            <w:r>
              <w:rPr>
                <w:bCs/>
                <w:b/>
                <w:sz w:val="18"/>
              </w:rPr>
              <w:t xml:space="preserve">Policy registry</w:t>
            </w:r>
            <w:r>
              <w:rPr>
                <w:sz w:val="18"/>
              </w:rPr>
              <w:t xml:space="preserve"> </w:t>
            </w:r>
            <w:r>
              <w:rPr>
                <w:sz w:val="18"/>
              </w:rPr>
              <w:t xml:space="preserve">for GOV 7, 38, 40, 43; OUT 10, 20, 45, 62, 97(v); ORM 16, 23, 30, 74, 97, with approval and review dates. Whistle-blower case module (GOV 38; FRM 10). Code-of-conduct attestation (ORM 16). Mandatory-leave register for sensitive positions (ORM 60). The product-approval gate adds CRO vetting (GOV 23) and the ORM 47 risk heads</w:t>
            </w:r>
          </w:p>
        </w:tc>
      </w:tr>
      <w:tr>
        <w:tc>
          <w:tcPr>
            <w:tcW w:w="1658" w:type="dxa"/>
          </w:tcPr>
          <w:p>
            <w:pPr>
              <w:pStyle w:val="Compact"/>
              <w:spacing w:after="40"/>
              <w:jc w:val="left"/>
            </w:pPr>
            <w:r>
              <w:rPr>
                <w:sz w:val="18"/>
              </w:rPr>
              <w:t xml:space="preserve">M14</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RBIA suite (IAF 5–43); statutory-auditor register with Form A/B, tenure, cooling-off and non-audit-services log (SA 6–30); CFSS obligation and quarterly SSM report (MSD 5–6); PCA restriction register (MSD 19); SRO Code of Conduct obligations (MFI 46); control tests for MSD 7(1)–(5)</w:t>
            </w:r>
          </w:p>
        </w:tc>
      </w:tr>
      <w:tr>
        <w:tc>
          <w:tcPr>
            <w:tcW w:w="1658" w:type="dxa"/>
          </w:tcPr>
          <w:p>
            <w:pPr>
              <w:pStyle w:val="Compact"/>
              <w:spacing w:after="40"/>
              <w:jc w:val="left"/>
            </w:pPr>
            <w:r>
              <w:rPr>
                <w:sz w:val="18"/>
              </w:rPr>
              <w:t xml:space="preserve">M15 / portal</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Consumer-education web page on overdue, SMA, NPA and upgrade with the day-end process (IRACP 17)</w:t>
            </w:r>
          </w:p>
        </w:tc>
      </w:tr>
      <w:tr>
        <w:tc>
          <w:tcPr>
            <w:tcW w:w="1658" w:type="dxa"/>
          </w:tcPr>
          <w:p>
            <w:pPr>
              <w:pStyle w:val="Compact"/>
              <w:spacing w:after="40"/>
              <w:jc w:val="left"/>
            </w:pPr>
            <w:r>
              <w:rPr>
                <w:sz w:val="18"/>
              </w:rPr>
              <w:t xml:space="preserve">M15</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Disputes decided at least at the next higher level (RBC 7(2)); generic GRO email only with a 1-working-day response (RBC Annex I Part 2(3)); microfinance recovery-grievance details given at disbursal (RBC 92); PwD grievances (RBC 28)</w:t>
            </w:r>
          </w:p>
        </w:tc>
      </w:tr>
      <w:tr>
        <w:tc>
          <w:tcPr>
            <w:tcW w:w="1658" w:type="dxa"/>
          </w:tcPr>
          <w:p>
            <w:pPr>
              <w:pStyle w:val="Compact"/>
              <w:spacing w:after="40"/>
              <w:jc w:val="left"/>
            </w:pPr>
            <w:r>
              <w:rPr>
                <w:sz w:val="18"/>
              </w:rPr>
              <w:t xml:space="preserve">M15</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GRO display text covering outsourced agencies (OUT 57(2)). MFI accountability declaration in the loan agreement and FPC (OUT 56). Complaints received by Finbyx or Udofin are routed to the tenant’s GRO (OUT 54, 98)</w:t>
            </w:r>
          </w:p>
        </w:tc>
      </w:tr>
      <w:tr>
        <w:tc>
          <w:tcPr>
            <w:tcW w:w="1658" w:type="dxa"/>
          </w:tcPr>
          <w:p>
            <w:pPr>
              <w:pStyle w:val="Compact"/>
              <w:spacing w:after="40"/>
              <w:jc w:val="left"/>
            </w:pPr>
            <w:r>
              <w:rPr>
                <w:sz w:val="18"/>
              </w:rPr>
              <w:t xml:space="preserve">M16</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Retention: transactions 5 years from date; ID records 5 years after relationship end (KYC 47); V-CIP recordings in India with timestamps and official credentials (27(3)); DARPAN records (48)</w:t>
            </w:r>
          </w:p>
        </w:tc>
      </w:tr>
      <w:tr>
        <w:tc>
          <w:tcPr>
            <w:tcW w:w="1658" w:type="dxa"/>
          </w:tcPr>
          <w:p>
            <w:pPr>
              <w:pStyle w:val="Compact"/>
              <w:spacing w:after="40"/>
              <w:jc w:val="left"/>
            </w:pPr>
            <w:r>
              <w:rPr>
                <w:sz w:val="18"/>
              </w:rPr>
              <w:t xml:space="preserve">M17</w:t>
            </w:r>
          </w:p>
        </w:tc>
        <w:tc>
          <w:tcPr>
            <w:tcW w:w="1595" w:type="dxa"/>
          </w:tcPr>
          <w:p>
            <w:pPr>
              <w:pStyle w:val="Compact"/>
              <w:spacing w:after="40"/>
              <w:jc w:val="left"/>
            </w:pPr>
            <w:r>
              <w:rPr>
                <w:sz w:val="18"/>
              </w:rPr>
              <w:t xml:space="preserve">IRACP / RSA</w:t>
            </w:r>
          </w:p>
        </w:tc>
        <w:tc>
          <w:tcPr>
            <w:tcW w:w="6385" w:type="dxa"/>
          </w:tcPr>
          <w:p>
            <w:pPr>
              <w:pStyle w:val="Compact"/>
              <w:spacing w:after="40"/>
              <w:jc w:val="left"/>
            </w:pPr>
            <w:r>
              <w:rPr>
                <w:sz w:val="18"/>
              </w:rPr>
              <w:t xml:space="preserve">Quarterly settlement/technical write-off report with the RSA 94 cuts; Board report for MD &amp; CEO / Board-committee approvals (RSA 93)</w:t>
            </w:r>
          </w:p>
        </w:tc>
      </w:tr>
      <w:tr>
        <w:tc>
          <w:tcPr>
            <w:tcW w:w="1658" w:type="dxa"/>
          </w:tcPr>
          <w:p>
            <w:pPr>
              <w:pStyle w:val="Compact"/>
              <w:spacing w:after="40"/>
              <w:jc w:val="left"/>
            </w:pPr>
            <w:r>
              <w:rPr>
                <w:sz w:val="18"/>
              </w:rPr>
              <w:t xml:space="preserve">M17</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Board/committee packs: FPC and grievance-redressal consolidated review (RBC 8); half-yearly unclaimed gold/silver report (RBC 72); Audit Committee wilful-default review with root causes (WD 9(2))</w:t>
            </w:r>
          </w:p>
        </w:tc>
      </w:tr>
      <w:tr>
        <w:tc>
          <w:tcPr>
            <w:tcW w:w="1658" w:type="dxa"/>
          </w:tcPr>
          <w:p>
            <w:pPr>
              <w:pStyle w:val="Compact"/>
              <w:spacing w:after="40"/>
              <w:jc w:val="left"/>
            </w:pPr>
            <w:r>
              <w:rPr>
                <w:sz w:val="18"/>
              </w:rPr>
              <w:t xml:space="preserve">M17</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Quarterly KYC audit notes to the Audit Committee (KYC 12(5)); annual ML/TF assessment to the Board (10(4))</w:t>
            </w:r>
          </w:p>
        </w:tc>
      </w:tr>
      <w:tr>
        <w:tc>
          <w:tcPr>
            <w:tcW w:w="1658" w:type="dxa"/>
          </w:tcPr>
          <w:p>
            <w:pPr>
              <w:pStyle w:val="Compact"/>
              <w:spacing w:after="40"/>
              <w:jc w:val="left"/>
            </w:pPr>
            <w:r>
              <w:rPr>
                <w:sz w:val="18"/>
              </w:rPr>
              <w:t xml:space="preserve">M17</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sz w:val="18"/>
              </w:rPr>
              <w:t xml:space="preserve">Board/committee periodic review of NPAs above the threshold, with documented transfer rationale (TDCR 56)</w:t>
            </w:r>
          </w:p>
        </w:tc>
      </w:tr>
      <w:tr>
        <w:tc>
          <w:tcPr>
            <w:tcW w:w="1658" w:type="dxa"/>
          </w:tcPr>
          <w:p>
            <w:pPr>
              <w:pStyle w:val="Compact"/>
              <w:spacing w:after="40"/>
              <w:jc w:val="left"/>
            </w:pPr>
            <w:r>
              <w:rPr>
                <w:sz w:val="18"/>
              </w:rPr>
              <w:t xml:space="preserve">M17</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Board packs: capital adequacy; dividend proposal with eligibility test (DIV 6–9); UL transition roadmap (SBR 27); ICAAP (CAP 54); NCD resource-planning policy (MISC 10); PDI policy and disclosures (CAP 12(15))</w:t>
            </w:r>
          </w:p>
        </w:tc>
      </w:tr>
      <w:tr>
        <w:tc>
          <w:tcPr>
            <w:tcW w:w="1658" w:type="dxa"/>
          </w:tcPr>
          <w:p>
            <w:pPr>
              <w:pStyle w:val="Compact"/>
              <w:spacing w:after="40"/>
              <w:jc w:val="left"/>
            </w:pPr>
            <w:r>
              <w:rPr>
                <w:sz w:val="18"/>
              </w:rPr>
              <w:t xml:space="preserve">M17</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Half-yearly material-outsourcing review (OUT 12(1)(vii), 36); GOV 15 reviews; ORM Board reports (ORM 31–32, 55, 82, 102)</w:t>
            </w:r>
          </w:p>
        </w:tc>
      </w:tr>
      <w:tr>
        <w:tc>
          <w:tcPr>
            <w:tcW w:w="1658" w:type="dxa"/>
          </w:tcPr>
          <w:p>
            <w:pPr>
              <w:pStyle w:val="Compact"/>
              <w:spacing w:after="40"/>
              <w:jc w:val="left"/>
            </w:pPr>
            <w:r>
              <w:rPr>
                <w:sz w:val="18"/>
              </w:rPr>
              <w:t xml:space="preserve">M17</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Board/ACB packs: RBIA plan approval and annual QA (IAF 5–6); closure status and pending high/medium paras (IAF 9, 37); annual consolidated risk position (IAF 11); system-audit findings to the IT Committee (IAF 34); HIA quarterly meeting (IAF 42); auditor annual performance review (SA 8). Branch-coverage report (SA 13). PCA dashboard (MSD 16–19)</w:t>
            </w:r>
          </w:p>
        </w:tc>
      </w:tr>
      <w:tr>
        <w:tc>
          <w:tcPr>
            <w:tcW w:w="1658" w:type="dxa"/>
          </w:tcPr>
          <w:p>
            <w:pPr>
              <w:pStyle w:val="Compact"/>
              <w:spacing w:after="40"/>
              <w:jc w:val="left"/>
            </w:pPr>
            <w:r>
              <w:rPr>
                <w:sz w:val="18"/>
              </w:rPr>
              <w:t xml:space="preserve">M18</w:t>
            </w:r>
          </w:p>
        </w:tc>
        <w:tc>
          <w:tcPr>
            <w:tcW w:w="1595" w:type="dxa"/>
          </w:tcPr>
          <w:p>
            <w:pPr>
              <w:pStyle w:val="Compact"/>
              <w:spacing w:after="40"/>
              <w:jc w:val="left"/>
            </w:pPr>
            <w:r>
              <w:rPr>
                <w:sz w:val="18"/>
              </w:rPr>
              <w:t xml:space="preserve">RBC / WD</w:t>
            </w:r>
          </w:p>
        </w:tc>
        <w:tc>
          <w:tcPr>
            <w:tcW w:w="6385" w:type="dxa"/>
          </w:tcPr>
          <w:p>
            <w:pPr>
              <w:pStyle w:val="Compact"/>
              <w:spacing w:after="40"/>
              <w:jc w:val="left"/>
            </w:pPr>
            <w:r>
              <w:rPr>
                <w:sz w:val="18"/>
              </w:rPr>
              <w:t xml:space="preserve">Vernacular template coverage with dispatch block (RBC 10); website disclosure publisher: FPC, rates and risk gradation, penal-charge schedule, reset/switch charges, gold valuation methodology, legal-heir procedure, recovery-agency list, microfinance min/max/average rates (RBC 21, 23, 30(6), 31(4), 38, 45, 82, 97); branch-closure notices (RBC 102)</w:t>
            </w:r>
          </w:p>
        </w:tc>
      </w:tr>
      <w:tr>
        <w:tc>
          <w:tcPr>
            <w:tcW w:w="1658" w:type="dxa"/>
          </w:tcPr>
          <w:p>
            <w:pPr>
              <w:pStyle w:val="Compact"/>
              <w:spacing w:after="40"/>
              <w:jc w:val="left"/>
            </w:pPr>
            <w:r>
              <w:rPr>
                <w:sz w:val="18"/>
              </w:rPr>
              <w:t xml:space="preserve">M18</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Periodic-updation letters and reminders; acknowledgement and updation intimation (KYC 42(5)(iii), 42(7)); KYC Identifier communication (63(6))</w:t>
            </w:r>
          </w:p>
        </w:tc>
      </w:tr>
      <w:tr>
        <w:tc>
          <w:tcPr>
            <w:tcW w:w="1658" w:type="dxa"/>
          </w:tcPr>
          <w:p>
            <w:pPr>
              <w:pStyle w:val="Compact"/>
              <w:spacing w:after="40"/>
              <w:jc w:val="left"/>
            </w:pPr>
            <w:r>
              <w:rPr>
                <w:sz w:val="18"/>
              </w:rPr>
              <w:t xml:space="preserve">M19</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SoD: the CRO and CCO cannot hold business or target roles (GOV 21(3)–(4); CMP 27). Finbyx-staff break-glass access provisioned by the tenant, with logs visible to the tenant (OUT 24, 70). MFA and a role-conflict matrix for cloud access (OUT 97(viii))</w:t>
            </w:r>
          </w:p>
        </w:tc>
      </w:tr>
      <w:tr>
        <w:tc>
          <w:tcPr>
            <w:tcW w:w="1658" w:type="dxa"/>
          </w:tcPr>
          <w:p>
            <w:pPr>
              <w:pStyle w:val="Compact"/>
              <w:spacing w:after="40"/>
              <w:jc w:val="left"/>
            </w:pPr>
            <w:r>
              <w:rPr>
                <w:sz w:val="18"/>
              </w:rPr>
              <w:t xml:space="preserve">M21</w:t>
            </w:r>
          </w:p>
        </w:tc>
        <w:tc>
          <w:tcPr>
            <w:tcW w:w="1595" w:type="dxa"/>
          </w:tcPr>
          <w:p>
            <w:pPr>
              <w:pStyle w:val="Compact"/>
              <w:spacing w:after="40"/>
              <w:jc w:val="left"/>
            </w:pPr>
            <w:r>
              <w:rPr>
                <w:sz w:val="18"/>
              </w:rPr>
              <w:t xml:space="preserve">GOV / OUT / ORM</w:t>
            </w:r>
          </w:p>
        </w:tc>
        <w:tc>
          <w:tcPr>
            <w:tcW w:w="6385" w:type="dxa"/>
          </w:tcPr>
          <w:p>
            <w:pPr>
              <w:pStyle w:val="Compact"/>
              <w:spacing w:after="40"/>
              <w:jc w:val="left"/>
            </w:pPr>
            <w:r>
              <w:rPr>
                <w:sz w:val="18"/>
              </w:rPr>
              <w:t xml:space="preserve">Per-tenant SIEM/SOC log feed (OUT 97(xi)). Full tenant export API covering ledger, loans, documents, audit trail and configuration (OUT 42, 97(xvi))</w:t>
            </w:r>
          </w:p>
        </w:tc>
      </w:tr>
      <w:tr>
        <w:tc>
          <w:tcPr>
            <w:tcW w:w="1658" w:type="dxa"/>
          </w:tcPr>
          <w:p>
            <w:pPr>
              <w:pStyle w:val="Compact"/>
              <w:spacing w:after="40"/>
              <w:jc w:val="left"/>
            </w:pPr>
            <w:r>
              <w:rPr>
                <w:sz w:val="18"/>
              </w:rPr>
              <w:t xml:space="preserve">M22</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Para 24 digital KYC: live-only capture, watermark fields, white-background guidance, QR auto-fill, customer OTP with the fixed text, officer-mobile block, officer OTP declaration with photo, digitally signed CAF upload (KYC 24)</w:t>
            </w:r>
          </w:p>
        </w:tc>
      </w:tr>
      <w:tr>
        <w:tc>
          <w:tcPr>
            <w:tcW w:w="1658" w:type="dxa"/>
          </w:tcPr>
          <w:p>
            <w:pPr>
              <w:pStyle w:val="Compact"/>
              <w:spacing w:after="40"/>
              <w:jc w:val="left"/>
            </w:pPr>
            <w:r>
              <w:rPr>
                <w:sz w:val="18"/>
              </w:rPr>
              <w:t xml:space="preserve">M23 / Udofin</w:t>
            </w:r>
          </w:p>
        </w:tc>
        <w:tc>
          <w:tcPr>
            <w:tcW w:w="1595" w:type="dxa"/>
          </w:tcPr>
          <w:p>
            <w:pPr>
              <w:pStyle w:val="Compact"/>
              <w:spacing w:after="40"/>
              <w:jc w:val="left"/>
            </w:pPr>
            <w:r>
              <w:rPr>
                <w:sz w:val="18"/>
              </w:rPr>
              <w:t xml:space="preserve">KYC</w:t>
            </w:r>
          </w:p>
        </w:tc>
        <w:tc>
          <w:tcPr>
            <w:tcW w:w="6385" w:type="dxa"/>
          </w:tcPr>
          <w:p>
            <w:pPr>
              <w:pStyle w:val="Compact"/>
              <w:spacing w:after="40"/>
              <w:jc w:val="left"/>
            </w:pPr>
            <w:r>
              <w:rPr>
                <w:sz w:val="18"/>
              </w:rPr>
              <w:t xml:space="preserve">NFTF EDD (KYC 44); Aadhaar OTP alerts only to the Aadhaar mobile (25(2)); registered-mobile change process (6(3)(v), 44(2))</w:t>
            </w:r>
          </w:p>
        </w:tc>
      </w:tr>
      <w:tr>
        <w:tc>
          <w:tcPr>
            <w:tcW w:w="1658" w:type="dxa"/>
          </w:tcPr>
          <w:p>
            <w:pPr>
              <w:pStyle w:val="Compact"/>
              <w:spacing w:after="40"/>
              <w:jc w:val="left"/>
            </w:pPr>
            <w:r>
              <w:rPr>
                <w:sz w:val="18"/>
              </w:rPr>
              <w:t xml:space="preserve">Website / M15</w:t>
            </w:r>
          </w:p>
        </w:tc>
        <w:tc>
          <w:tcPr>
            <w:tcW w:w="1595" w:type="dxa"/>
          </w:tcPr>
          <w:p>
            <w:pPr>
              <w:pStyle w:val="Compact"/>
              <w:spacing w:after="40"/>
              <w:jc w:val="left"/>
            </w:pPr>
            <w:r>
              <w:rPr>
                <w:sz w:val="18"/>
              </w:rPr>
              <w:t xml:space="preserve">TDCR / SEC</w:t>
            </w:r>
          </w:p>
        </w:tc>
        <w:tc>
          <w:tcPr>
            <w:tcW w:w="6385" w:type="dxa"/>
          </w:tcPr>
          <w:p>
            <w:pPr>
              <w:pStyle w:val="Compact"/>
              <w:spacing w:after="40"/>
              <w:jc w:val="left"/>
            </w:pPr>
            <w:r>
              <w:rPr>
                <w:sz w:val="18"/>
              </w:rPr>
              <w:t xml:space="preserve">Active CLA partner list (TDCR 126). CLA grievance under the FPC (TDCR 121)</w:t>
            </w:r>
          </w:p>
        </w:tc>
      </w:tr>
      <w:tr>
        <w:tc>
          <w:tcPr>
            <w:tcW w:w="1658" w:type="dxa"/>
          </w:tcPr>
          <w:p>
            <w:pPr>
              <w:pStyle w:val="Compact"/>
              <w:spacing w:after="40"/>
              <w:jc w:val="left"/>
            </w:pPr>
            <w:r>
              <w:rPr>
                <w:sz w:val="18"/>
              </w:rPr>
              <w:t xml:space="preserve">Workspace L</w:t>
            </w:r>
          </w:p>
        </w:tc>
        <w:tc>
          <w:tcPr>
            <w:tcW w:w="1595" w:type="dxa"/>
          </w:tcPr>
          <w:p>
            <w:pPr>
              <w:pStyle w:val="Compact"/>
              <w:spacing w:after="40"/>
              <w:jc w:val="left"/>
            </w:pPr>
            <w:r>
              <w:rPr>
                <w:sz w:val="18"/>
              </w:rPr>
              <w:t xml:space="preserve">CAP / SBR / DIV / MISC</w:t>
            </w:r>
          </w:p>
        </w:tc>
        <w:tc>
          <w:tcPr>
            <w:tcW w:w="6385" w:type="dxa"/>
          </w:tcPr>
          <w:p>
            <w:pPr>
              <w:pStyle w:val="Compact"/>
              <w:spacing w:after="40"/>
              <w:jc w:val="left"/>
            </w:pPr>
            <w:r>
              <w:rPr>
                <w:sz w:val="18"/>
              </w:rPr>
              <w:t xml:space="preserve">Group asset-size certificate (SBR 20); PBC/NOF workings (SBR 38–46; MISC 21); CRAR lineage (CAP)</w:t>
            </w:r>
          </w:p>
        </w:tc>
      </w:tr>
      <w:tr>
        <w:tc>
          <w:tcPr>
            <w:tcW w:w="1658" w:type="dxa"/>
          </w:tcPr>
          <w:p>
            <w:pPr>
              <w:pStyle w:val="Compact"/>
              <w:spacing w:after="40"/>
              <w:jc w:val="left"/>
            </w:pPr>
            <w:r>
              <w:rPr>
                <w:sz w:val="18"/>
              </w:rPr>
              <w:t xml:space="preserve">Workspace L</w:t>
            </w:r>
          </w:p>
        </w:tc>
        <w:tc>
          <w:tcPr>
            <w:tcW w:w="1595" w:type="dxa"/>
          </w:tcPr>
          <w:p>
            <w:pPr>
              <w:pStyle w:val="Compact"/>
              <w:spacing w:after="40"/>
              <w:jc w:val="left"/>
            </w:pPr>
            <w:r>
              <w:rPr>
                <w:sz w:val="18"/>
              </w:rPr>
              <w:t xml:space="preserve">MFI / IAF / SA / SR / MSD</w:t>
            </w:r>
          </w:p>
        </w:tc>
        <w:tc>
          <w:tcPr>
            <w:tcW w:w="6385" w:type="dxa"/>
          </w:tcPr>
          <w:p>
            <w:pPr>
              <w:pStyle w:val="Compact"/>
              <w:spacing w:after="40"/>
              <w:jc w:val="left"/>
            </w:pPr>
            <w:r>
              <w:rPr>
                <w:sz w:val="18"/>
              </w:rPr>
              <w:t xml:space="preserve">IA role with tenant-wide read-only access and an access trail (IAF 40); external-expert contributor role; report ownership limited to IA staff (IAF 39); CAATs/GAS data export (SA 15(5))</w:t>
            </w:r>
          </w:p>
        </w:tc>
      </w:tr>
    </w:tbl>
    <w:bookmarkEnd w:id="818"/>
    <w:bookmarkStart w:id="819" w:name="X0a197539193ff7b4f0a322ce0b9458b9a360808"/>
    <w:p>
      <w:pPr>
        <w:pStyle w:val="Heading3"/>
      </w:pPr>
      <w:r>
        <w:t xml:space="preserve">8A.36.2 New and corrected returns and reports (M13)</w:t>
      </w:r>
    </w:p>
    <w:p>
      <w:pPr>
        <w:pStyle w:val="FirstParagraph"/>
      </w:pPr>
      <w:r>
        <w:t xml:space="preserve">Add these to the M13 return catalogue. Applicability is resolved from the entity regulatory profile (M1). Where SR and an earlier Direction differ on periodicity, the Large Exposures return defaults to</w:t>
      </w:r>
      <w:r>
        <w:t xml:space="preserve"> </w:t>
      </w:r>
      <w:r>
        <w:rPr>
          <w:bCs/>
          <w:b/>
        </w:rPr>
        <w:t xml:space="preserve">quarterly</w:t>
      </w:r>
      <w:r>
        <w:t xml:space="preserve"> </w:t>
      </w:r>
      <w:r>
        <w:t xml:space="preserve">per SR, with a [VERIFY] against CON Annex I (</w:t>
      </w:r>
      <w:r>
        <w:t xml:space="preserve">“</w:t>
      </w:r>
      <w:r>
        <w:t xml:space="preserve">Return for the Month</w:t>
      </w:r>
      <w:r>
        <w:t xml:space="preserve">”</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616"/>
        <w:gridCol w:w="4107"/>
        <w:gridCol w:w="1915"/>
      </w:tblGrid>
      <w:tr>
        <w:trPr>
          <w:tblHeader w:val="true"/>
          <w:tblHeader w:val="true"/>
        </w:trPr>
        <w:tc>
          <w:tcPr>
            <w:tcW w:w="3616" w:type="dxa"/>
            <w:shd w:val="clear" w:color="auto" w:fill="1F3A5F"/>
          </w:tcPr>
          <w:p>
            <w:pPr>
              <w:pStyle w:val="Compact"/>
              <w:spacing w:after="40"/>
              <w:jc w:val="left"/>
            </w:pPr>
            <w:r>
              <w:rPr>
                <w:b/>
                <w:color w:val="FFFFFF"/>
                <w:sz w:val="18"/>
              </w:rPr>
              <w:t xml:space="preserve">Return / report</w:t>
            </w:r>
          </w:p>
        </w:tc>
        <w:tc>
          <w:tcPr>
            <w:tcW w:w="4107" w:type="dxa"/>
            <w:shd w:val="clear" w:color="auto" w:fill="1F3A5F"/>
          </w:tcPr>
          <w:p>
            <w:pPr>
              <w:pStyle w:val="Compact"/>
              <w:spacing w:after="40"/>
              <w:jc w:val="left"/>
            </w:pPr>
            <w:r>
              <w:rPr>
                <w:b/>
                <w:color w:val="FFFFFF"/>
                <w:sz w:val="18"/>
              </w:rPr>
              <w:t xml:space="preserve">Timeline</w:t>
            </w:r>
          </w:p>
        </w:tc>
        <w:tc>
          <w:tcPr>
            <w:tcW w:w="1915" w:type="dxa"/>
            <w:shd w:val="clear" w:color="auto" w:fill="1F3A5F"/>
          </w:tcPr>
          <w:p>
            <w:pPr>
              <w:pStyle w:val="Compact"/>
              <w:spacing w:after="40"/>
              <w:jc w:val="left"/>
            </w:pPr>
            <w:r>
              <w:rPr>
                <w:b/>
                <w:color w:val="FFFFFF"/>
                <w:sz w:val="18"/>
              </w:rPr>
              <w:t xml:space="preserve">Source</w:t>
            </w:r>
          </w:p>
        </w:tc>
      </w:tr>
      <w:tr>
        <w:tc>
          <w:tcPr>
            <w:tcW w:w="3616" w:type="dxa"/>
          </w:tcPr>
          <w:p>
            <w:pPr>
              <w:pStyle w:val="Compact"/>
              <w:spacing w:after="40"/>
              <w:jc w:val="left"/>
            </w:pPr>
            <w:r>
              <w:rPr>
                <w:sz w:val="18"/>
              </w:rPr>
              <w:t xml:space="preserve">CRILC credit information incl. SMA status, borrowers with aggregate exposure ≥ ₹5 crore</w:t>
            </w:r>
          </w:p>
        </w:tc>
        <w:tc>
          <w:tcPr>
            <w:tcW w:w="4107" w:type="dxa"/>
          </w:tcPr>
          <w:p>
            <w:pPr>
              <w:pStyle w:val="Compact"/>
              <w:spacing w:after="40"/>
              <w:jc w:val="left"/>
            </w:pPr>
            <w:r>
              <w:rPr>
                <w:sz w:val="18"/>
              </w:rPr>
              <w:t xml:space="preserve">Monthly</w:t>
            </w:r>
          </w:p>
        </w:tc>
        <w:tc>
          <w:tcPr>
            <w:tcW w:w="1915" w:type="dxa"/>
          </w:tcPr>
          <w:p>
            <w:pPr>
              <w:pStyle w:val="Compact"/>
              <w:spacing w:after="40"/>
              <w:jc w:val="left"/>
            </w:pPr>
            <w:r>
              <w:rPr>
                <w:sz w:val="18"/>
              </w:rPr>
              <w:t xml:space="preserve">RSA 20, 158</w:t>
            </w:r>
          </w:p>
        </w:tc>
      </w:tr>
      <w:tr>
        <w:tc>
          <w:tcPr>
            <w:tcW w:w="3616" w:type="dxa"/>
          </w:tcPr>
          <w:p>
            <w:pPr>
              <w:pStyle w:val="Compact"/>
              <w:spacing w:after="40"/>
              <w:jc w:val="left"/>
            </w:pPr>
            <w:r>
              <w:rPr>
                <w:sz w:val="18"/>
              </w:rPr>
              <w:t xml:space="preserve">Weekly default report (borrowers ≥ ₹5 crore)</w:t>
            </w:r>
          </w:p>
        </w:tc>
        <w:tc>
          <w:tcPr>
            <w:tcW w:w="4107" w:type="dxa"/>
          </w:tcPr>
          <w:p>
            <w:pPr>
              <w:pStyle w:val="Compact"/>
              <w:spacing w:after="40"/>
              <w:jc w:val="left"/>
            </w:pPr>
            <w:r>
              <w:rPr>
                <w:sz w:val="18"/>
              </w:rPr>
              <w:t xml:space="preserve">Close of business every Friday (or preceding working day)</w:t>
            </w:r>
          </w:p>
        </w:tc>
        <w:tc>
          <w:tcPr>
            <w:tcW w:w="1915" w:type="dxa"/>
          </w:tcPr>
          <w:p>
            <w:pPr>
              <w:pStyle w:val="Compact"/>
              <w:spacing w:after="40"/>
              <w:jc w:val="left"/>
            </w:pPr>
            <w:r>
              <w:rPr>
                <w:sz w:val="18"/>
              </w:rPr>
              <w:t xml:space="preserve">RSA 21</w:t>
            </w:r>
          </w:p>
        </w:tc>
      </w:tr>
      <w:tr>
        <w:tc>
          <w:tcPr>
            <w:tcW w:w="3616" w:type="dxa"/>
          </w:tcPr>
          <w:p>
            <w:pPr>
              <w:pStyle w:val="Compact"/>
              <w:spacing w:after="40"/>
              <w:jc w:val="left"/>
            </w:pPr>
            <w:r>
              <w:rPr>
                <w:sz w:val="18"/>
              </w:rPr>
              <w:t xml:space="preserve">Project credit-event reporting to CRILC; intimation to consortium members</w:t>
            </w:r>
          </w:p>
        </w:tc>
        <w:tc>
          <w:tcPr>
            <w:tcW w:w="4107" w:type="dxa"/>
          </w:tcPr>
          <w:p>
            <w:pPr>
              <w:pStyle w:val="Compact"/>
              <w:spacing w:after="40"/>
              <w:jc w:val="left"/>
            </w:pPr>
            <w:r>
              <w:rPr>
                <w:sz w:val="18"/>
              </w:rPr>
              <w:t xml:space="preserve">Weekly and CRILC-Main; on occurrence</w:t>
            </w:r>
          </w:p>
        </w:tc>
        <w:tc>
          <w:tcPr>
            <w:tcW w:w="1915" w:type="dxa"/>
          </w:tcPr>
          <w:p>
            <w:pPr>
              <w:pStyle w:val="Compact"/>
              <w:spacing w:after="40"/>
              <w:jc w:val="left"/>
            </w:pPr>
            <w:r>
              <w:rPr>
                <w:sz w:val="18"/>
              </w:rPr>
              <w:t xml:space="preserve">RSA 106–107</w:t>
            </w:r>
          </w:p>
        </w:tc>
      </w:tr>
      <w:tr>
        <w:tc>
          <w:tcPr>
            <w:tcW w:w="3616" w:type="dxa"/>
          </w:tcPr>
          <w:p>
            <w:pPr>
              <w:pStyle w:val="Compact"/>
              <w:spacing w:after="40"/>
              <w:jc w:val="left"/>
            </w:pPr>
            <w:r>
              <w:rPr>
                <w:sz w:val="18"/>
              </w:rPr>
              <w:t xml:space="preserve">Information-utility (NeSL) financial-information submission</w:t>
            </w:r>
          </w:p>
        </w:tc>
        <w:tc>
          <w:tcPr>
            <w:tcW w:w="4107" w:type="dxa"/>
          </w:tcPr>
          <w:p>
            <w:pPr>
              <w:pStyle w:val="Compact"/>
              <w:spacing w:after="40"/>
              <w:jc w:val="left"/>
            </w:pPr>
            <w:r>
              <w:rPr>
                <w:sz w:val="18"/>
              </w:rPr>
              <w:t xml:space="preserve">Per IBC and IU Regulations</w:t>
            </w:r>
          </w:p>
        </w:tc>
        <w:tc>
          <w:tcPr>
            <w:tcW w:w="1915" w:type="dxa"/>
          </w:tcPr>
          <w:p>
            <w:pPr>
              <w:pStyle w:val="Compact"/>
              <w:spacing w:after="40"/>
              <w:jc w:val="left"/>
            </w:pPr>
            <w:r>
              <w:rPr>
                <w:sz w:val="18"/>
              </w:rPr>
              <w:t xml:space="preserve">RSA 24</w:t>
            </w:r>
          </w:p>
        </w:tc>
      </w:tr>
      <w:tr>
        <w:tc>
          <w:tcPr>
            <w:tcW w:w="3616" w:type="dxa"/>
          </w:tcPr>
          <w:p>
            <w:pPr>
              <w:pStyle w:val="Compact"/>
              <w:spacing w:after="40"/>
              <w:jc w:val="left"/>
            </w:pPr>
            <w:r>
              <w:rPr>
                <w:sz w:val="18"/>
              </w:rPr>
              <w:t xml:space="preserve">Settlement / technical write-off report to next higher authority; Board for MD &amp; CEO / BLC approvals</w:t>
            </w:r>
          </w:p>
        </w:tc>
        <w:tc>
          <w:tcPr>
            <w:tcW w:w="4107" w:type="dxa"/>
          </w:tcPr>
          <w:p>
            <w:pPr>
              <w:pStyle w:val="Compact"/>
              <w:spacing w:after="40"/>
              <w:jc w:val="left"/>
            </w:pPr>
            <w:r>
              <w:rPr>
                <w:sz w:val="18"/>
              </w:rPr>
              <w:t xml:space="preserve">At least quarterly</w:t>
            </w:r>
          </w:p>
        </w:tc>
        <w:tc>
          <w:tcPr>
            <w:tcW w:w="1915" w:type="dxa"/>
          </w:tcPr>
          <w:p>
            <w:pPr>
              <w:pStyle w:val="Compact"/>
              <w:spacing w:after="40"/>
              <w:jc w:val="left"/>
            </w:pPr>
            <w:r>
              <w:rPr>
                <w:sz w:val="18"/>
              </w:rPr>
              <w:t xml:space="preserve">RSA 93–94</w:t>
            </w:r>
          </w:p>
        </w:tc>
      </w:tr>
      <w:tr>
        <w:tc>
          <w:tcPr>
            <w:tcW w:w="3616" w:type="dxa"/>
          </w:tcPr>
          <w:p>
            <w:pPr>
              <w:pStyle w:val="Compact"/>
              <w:spacing w:after="40"/>
              <w:jc w:val="left"/>
            </w:pPr>
            <w:r>
              <w:rPr>
                <w:sz w:val="18"/>
              </w:rPr>
              <w:t xml:space="preserve">List of large defaulters (≥ ₹1 crore), Annex I, to all CICs</w:t>
            </w:r>
          </w:p>
        </w:tc>
        <w:tc>
          <w:tcPr>
            <w:tcW w:w="4107" w:type="dxa"/>
          </w:tcPr>
          <w:p>
            <w:pPr>
              <w:pStyle w:val="Compact"/>
              <w:spacing w:after="40"/>
              <w:jc w:val="left"/>
            </w:pPr>
            <w:r>
              <w:rPr>
                <w:sz w:val="18"/>
              </w:rPr>
              <w:t xml:space="preserve">Monthly; separate suit-filed and non-suit-filed files</w:t>
            </w:r>
          </w:p>
        </w:tc>
        <w:tc>
          <w:tcPr>
            <w:tcW w:w="1915" w:type="dxa"/>
          </w:tcPr>
          <w:p>
            <w:pPr>
              <w:pStyle w:val="Compact"/>
              <w:spacing w:after="40"/>
              <w:jc w:val="left"/>
            </w:pPr>
            <w:r>
              <w:rPr>
                <w:sz w:val="18"/>
              </w:rPr>
              <w:t xml:space="preserve">WD 11, Annex I</w:t>
            </w:r>
          </w:p>
        </w:tc>
      </w:tr>
      <w:tr>
        <w:tc>
          <w:tcPr>
            <w:tcW w:w="3616" w:type="dxa"/>
          </w:tcPr>
          <w:p>
            <w:pPr>
              <w:pStyle w:val="Compact"/>
              <w:spacing w:after="40"/>
              <w:jc w:val="left"/>
            </w:pPr>
            <w:r>
              <w:rPr>
                <w:sz w:val="18"/>
              </w:rPr>
              <w:t xml:space="preserve">List of wilful defaulters (LWD), Annex II, to all CICs</w:t>
            </w:r>
          </w:p>
        </w:tc>
        <w:tc>
          <w:tcPr>
            <w:tcW w:w="4107" w:type="dxa"/>
          </w:tcPr>
          <w:p>
            <w:pPr>
              <w:pStyle w:val="Compact"/>
              <w:spacing w:after="40"/>
              <w:jc w:val="left"/>
            </w:pPr>
            <w:r>
              <w:rPr>
                <w:sz w:val="18"/>
              </w:rPr>
              <w:t xml:space="preserve">Monthly; separate files; SFTP</w:t>
            </w:r>
          </w:p>
        </w:tc>
        <w:tc>
          <w:tcPr>
            <w:tcW w:w="1915" w:type="dxa"/>
          </w:tcPr>
          <w:p>
            <w:pPr>
              <w:pStyle w:val="Compact"/>
              <w:spacing w:after="40"/>
              <w:jc w:val="left"/>
            </w:pPr>
            <w:r>
              <w:rPr>
                <w:sz w:val="18"/>
              </w:rPr>
              <w:t xml:space="preserve">WD 12(1), Annex II</w:t>
            </w:r>
          </w:p>
        </w:tc>
      </w:tr>
      <w:tr>
        <w:tc>
          <w:tcPr>
            <w:tcW w:w="3616" w:type="dxa"/>
          </w:tcPr>
          <w:p>
            <w:pPr>
              <w:pStyle w:val="Compact"/>
              <w:spacing w:after="40"/>
              <w:jc w:val="left"/>
            </w:pPr>
            <w:r>
              <w:rPr>
                <w:sz w:val="18"/>
              </w:rPr>
              <w:t xml:space="preserve">LWD removal intimation to all CICs</w:t>
            </w:r>
          </w:p>
        </w:tc>
        <w:tc>
          <w:tcPr>
            <w:tcW w:w="4107" w:type="dxa"/>
          </w:tcPr>
          <w:p>
            <w:pPr>
              <w:pStyle w:val="Compact"/>
              <w:spacing w:after="40"/>
              <w:jc w:val="left"/>
            </w:pPr>
            <w:r>
              <w:rPr>
                <w:sz w:val="18"/>
              </w:rPr>
              <w:t xml:space="preserve">Within 30 days of the outstanding falling below ₹25 lakh; for settlements, only after full payment</w:t>
            </w:r>
          </w:p>
        </w:tc>
        <w:tc>
          <w:tcPr>
            <w:tcW w:w="1915" w:type="dxa"/>
          </w:tcPr>
          <w:p>
            <w:pPr>
              <w:pStyle w:val="Compact"/>
              <w:spacing w:after="40"/>
              <w:jc w:val="left"/>
            </w:pPr>
            <w:r>
              <w:rPr>
                <w:sz w:val="18"/>
              </w:rPr>
              <w:t xml:space="preserve">WD 12(2), 13</w:t>
            </w:r>
          </w:p>
        </w:tc>
      </w:tr>
      <w:tr>
        <w:tc>
          <w:tcPr>
            <w:tcW w:w="3616" w:type="dxa"/>
          </w:tcPr>
          <w:p>
            <w:pPr>
              <w:pStyle w:val="Compact"/>
              <w:spacing w:after="40"/>
              <w:jc w:val="left"/>
            </w:pPr>
            <w:r>
              <w:rPr>
                <w:sz w:val="18"/>
              </w:rPr>
              <w:t xml:space="preserve">LWD reporting before transfer of a defaulted loan; details to the transferee</w:t>
            </w:r>
          </w:p>
        </w:tc>
        <w:tc>
          <w:tcPr>
            <w:tcW w:w="4107" w:type="dxa"/>
          </w:tcPr>
          <w:p>
            <w:pPr>
              <w:pStyle w:val="Compact"/>
              <w:spacing w:after="40"/>
              <w:jc w:val="left"/>
            </w:pPr>
            <w:r>
              <w:rPr>
                <w:sz w:val="18"/>
              </w:rPr>
              <w:t xml:space="preserve">Before transfer</w:t>
            </w:r>
          </w:p>
        </w:tc>
        <w:tc>
          <w:tcPr>
            <w:tcW w:w="1915" w:type="dxa"/>
          </w:tcPr>
          <w:p>
            <w:pPr>
              <w:pStyle w:val="Compact"/>
              <w:spacing w:after="40"/>
              <w:jc w:val="left"/>
            </w:pPr>
            <w:r>
              <w:rPr>
                <w:sz w:val="18"/>
              </w:rPr>
              <w:t xml:space="preserve">WD 14(2)–(3)</w:t>
            </w:r>
          </w:p>
        </w:tc>
      </w:tr>
      <w:tr>
        <w:tc>
          <w:tcPr>
            <w:tcW w:w="3616" w:type="dxa"/>
          </w:tcPr>
          <w:p>
            <w:pPr>
              <w:pStyle w:val="Compact"/>
              <w:spacing w:after="40"/>
              <w:jc w:val="left"/>
            </w:pPr>
            <w:r>
              <w:rPr>
                <w:sz w:val="18"/>
              </w:rPr>
              <w:t xml:space="preserve">Auditor complaint to NFRA/ICAI, forwarded to RBI (DoS, CO) and IBA</w:t>
            </w:r>
          </w:p>
        </w:tc>
        <w:tc>
          <w:tcPr>
            <w:tcW w:w="4107" w:type="dxa"/>
          </w:tcPr>
          <w:p>
            <w:pPr>
              <w:pStyle w:val="Compact"/>
              <w:spacing w:after="40"/>
              <w:jc w:val="left"/>
            </w:pPr>
            <w:r>
              <w:rPr>
                <w:sz w:val="18"/>
              </w:rPr>
              <w:t xml:space="preserve">Event-based, after a hearing</w:t>
            </w:r>
          </w:p>
        </w:tc>
        <w:tc>
          <w:tcPr>
            <w:tcW w:w="1915" w:type="dxa"/>
          </w:tcPr>
          <w:p>
            <w:pPr>
              <w:pStyle w:val="Compact"/>
              <w:spacing w:after="40"/>
              <w:jc w:val="left"/>
            </w:pPr>
            <w:r>
              <w:rPr>
                <w:sz w:val="18"/>
              </w:rPr>
              <w:t xml:space="preserve">WD 20(1)–(2)</w:t>
            </w:r>
          </w:p>
        </w:tc>
      </w:tr>
      <w:tr>
        <w:tc>
          <w:tcPr>
            <w:tcW w:w="3616" w:type="dxa"/>
          </w:tcPr>
          <w:p>
            <w:pPr>
              <w:pStyle w:val="Compact"/>
              <w:spacing w:after="40"/>
              <w:jc w:val="left"/>
            </w:pPr>
            <w:r>
              <w:rPr>
                <w:sz w:val="18"/>
              </w:rPr>
              <w:t xml:space="preserve">Third-party details to IBA</w:t>
            </w:r>
          </w:p>
        </w:tc>
        <w:tc>
          <w:tcPr>
            <w:tcW w:w="4107" w:type="dxa"/>
          </w:tcPr>
          <w:p>
            <w:pPr>
              <w:pStyle w:val="Compact"/>
              <w:spacing w:after="40"/>
              <w:jc w:val="left"/>
            </w:pPr>
            <w:r>
              <w:rPr>
                <w:sz w:val="18"/>
              </w:rPr>
              <w:t xml:space="preserve">Event-based, after a hearing</w:t>
            </w:r>
          </w:p>
        </w:tc>
        <w:tc>
          <w:tcPr>
            <w:tcW w:w="1915" w:type="dxa"/>
          </w:tcPr>
          <w:p>
            <w:pPr>
              <w:pStyle w:val="Compact"/>
              <w:spacing w:after="40"/>
              <w:jc w:val="left"/>
            </w:pPr>
            <w:r>
              <w:rPr>
                <w:sz w:val="18"/>
              </w:rPr>
              <w:t xml:space="preserve">WD 21(2)</w:t>
            </w:r>
          </w:p>
        </w:tc>
      </w:tr>
      <w:tr>
        <w:tc>
          <w:tcPr>
            <w:tcW w:w="3616" w:type="dxa"/>
          </w:tcPr>
          <w:p>
            <w:pPr>
              <w:pStyle w:val="Compact"/>
              <w:spacing w:after="40"/>
              <w:jc w:val="left"/>
            </w:pPr>
            <w:r>
              <w:rPr>
                <w:sz w:val="18"/>
              </w:rPr>
              <w:t xml:space="preserve">Microfinance minimum/maximum/average interest rates in supervisory returns</w:t>
            </w:r>
          </w:p>
        </w:tc>
        <w:tc>
          <w:tcPr>
            <w:tcW w:w="4107" w:type="dxa"/>
          </w:tcPr>
          <w:p>
            <w:pPr>
              <w:pStyle w:val="Compact"/>
              <w:spacing w:after="40"/>
              <w:jc w:val="left"/>
            </w:pPr>
            <w:r>
              <w:rPr>
                <w:sz w:val="18"/>
              </w:rPr>
              <w:t xml:space="preserve">Per the Supervisory Returns Directions</w:t>
            </w:r>
          </w:p>
        </w:tc>
        <w:tc>
          <w:tcPr>
            <w:tcW w:w="1915" w:type="dxa"/>
          </w:tcPr>
          <w:p>
            <w:pPr>
              <w:pStyle w:val="Compact"/>
              <w:spacing w:after="40"/>
              <w:jc w:val="left"/>
            </w:pPr>
            <w:r>
              <w:rPr>
                <w:sz w:val="18"/>
              </w:rPr>
              <w:t xml:space="preserve">RBC 82</w:t>
            </w:r>
          </w:p>
        </w:tc>
      </w:tr>
      <w:tr>
        <w:tc>
          <w:tcPr>
            <w:tcW w:w="3616" w:type="dxa"/>
          </w:tcPr>
          <w:p>
            <w:pPr>
              <w:pStyle w:val="Compact"/>
              <w:spacing w:after="40"/>
              <w:jc w:val="left"/>
            </w:pPr>
            <w:r>
              <w:rPr>
                <w:sz w:val="18"/>
              </w:rPr>
              <w:t xml:space="preserve">Telemarketer list with registered numbers to TRAI</w:t>
            </w:r>
          </w:p>
        </w:tc>
        <w:tc>
          <w:tcPr>
            <w:tcW w:w="4107" w:type="dxa"/>
          </w:tcPr>
          <w:p>
            <w:pPr>
              <w:pStyle w:val="Compact"/>
              <w:spacing w:after="40"/>
              <w:jc w:val="left"/>
            </w:pPr>
            <w:r>
              <w:rPr>
                <w:sz w:val="18"/>
              </w:rPr>
              <w:t xml:space="preserve">On engagement or change</w:t>
            </w:r>
          </w:p>
        </w:tc>
        <w:tc>
          <w:tcPr>
            <w:tcW w:w="1915" w:type="dxa"/>
          </w:tcPr>
          <w:p>
            <w:pPr>
              <w:pStyle w:val="Compact"/>
              <w:spacing w:after="40"/>
              <w:jc w:val="left"/>
            </w:pPr>
            <w:r>
              <w:rPr>
                <w:sz w:val="18"/>
              </w:rPr>
              <w:t xml:space="preserve">RBC 101(2)</w:t>
            </w:r>
          </w:p>
        </w:tc>
      </w:tr>
      <w:tr>
        <w:tc>
          <w:tcPr>
            <w:tcW w:w="3616" w:type="dxa"/>
          </w:tcPr>
          <w:p>
            <w:pPr>
              <w:pStyle w:val="Compact"/>
              <w:spacing w:after="40"/>
              <w:jc w:val="left"/>
            </w:pPr>
            <w:r>
              <w:rPr>
                <w:sz w:val="18"/>
              </w:rPr>
              <w:t xml:space="preserve">Unclaimed gold/silver collateral report to the Customer Service Committee/Board</w:t>
            </w:r>
          </w:p>
        </w:tc>
        <w:tc>
          <w:tcPr>
            <w:tcW w:w="4107" w:type="dxa"/>
          </w:tcPr>
          <w:p>
            <w:pPr>
              <w:pStyle w:val="Compact"/>
              <w:spacing w:after="40"/>
              <w:jc w:val="left"/>
            </w:pPr>
            <w:r>
              <w:rPr>
                <w:sz w:val="18"/>
              </w:rPr>
              <w:t xml:space="preserve">Half-yearly</w:t>
            </w:r>
          </w:p>
        </w:tc>
        <w:tc>
          <w:tcPr>
            <w:tcW w:w="1915" w:type="dxa"/>
          </w:tcPr>
          <w:p>
            <w:pPr>
              <w:pStyle w:val="Compact"/>
              <w:spacing w:after="40"/>
              <w:jc w:val="left"/>
            </w:pPr>
            <w:r>
              <w:rPr>
                <w:sz w:val="18"/>
              </w:rPr>
              <w:t xml:space="preserve">RBC 72</w:t>
            </w:r>
          </w:p>
        </w:tc>
      </w:tr>
      <w:tr>
        <w:tc>
          <w:tcPr>
            <w:tcW w:w="3616" w:type="dxa"/>
          </w:tcPr>
          <w:p>
            <w:pPr>
              <w:pStyle w:val="Compact"/>
              <w:spacing w:after="40"/>
              <w:jc w:val="left"/>
            </w:pPr>
            <w:r>
              <w:rPr>
                <w:sz w:val="18"/>
              </w:rPr>
              <w:t xml:space="preserve">FPC and grievance-redressal consolidated review to the Board</w:t>
            </w:r>
          </w:p>
        </w:tc>
        <w:tc>
          <w:tcPr>
            <w:tcW w:w="4107" w:type="dxa"/>
          </w:tcPr>
          <w:p>
            <w:pPr>
              <w:pStyle w:val="Compact"/>
              <w:spacing w:after="40"/>
              <w:jc w:val="left"/>
            </w:pPr>
            <w:r>
              <w:rPr>
                <w:sz w:val="18"/>
              </w:rPr>
              <w:t xml:space="preserve">At regular intervals</w:t>
            </w:r>
          </w:p>
        </w:tc>
        <w:tc>
          <w:tcPr>
            <w:tcW w:w="1915" w:type="dxa"/>
          </w:tcPr>
          <w:p>
            <w:pPr>
              <w:pStyle w:val="Compact"/>
              <w:spacing w:after="40"/>
              <w:jc w:val="left"/>
            </w:pPr>
            <w:r>
              <w:rPr>
                <w:sz w:val="18"/>
              </w:rPr>
              <w:t xml:space="preserve">RBC 8</w:t>
            </w:r>
          </w:p>
        </w:tc>
      </w:tr>
      <w:tr>
        <w:tc>
          <w:tcPr>
            <w:tcW w:w="3616" w:type="dxa"/>
          </w:tcPr>
          <w:p>
            <w:pPr>
              <w:pStyle w:val="Compact"/>
              <w:spacing w:after="40"/>
              <w:jc w:val="left"/>
            </w:pPr>
            <w:r>
              <w:rPr>
                <w:sz w:val="18"/>
              </w:rPr>
              <w:t xml:space="preserve">FIU-IND STR / CTR / NTR / CCR</w:t>
            </w:r>
          </w:p>
        </w:tc>
        <w:tc>
          <w:tcPr>
            <w:tcW w:w="4107" w:type="dxa"/>
          </w:tcPr>
          <w:p>
            <w:pPr>
              <w:pStyle w:val="Compact"/>
              <w:spacing w:after="40"/>
              <w:jc w:val="left"/>
            </w:pPr>
            <w:r>
              <w:rPr>
                <w:sz w:val="18"/>
              </w:rPr>
              <w:t xml:space="preserve">Per PML Rules r.8 [VERIFY: not stated in the KYC Directions]</w:t>
            </w:r>
          </w:p>
        </w:tc>
        <w:tc>
          <w:tcPr>
            <w:tcW w:w="1915" w:type="dxa"/>
          </w:tcPr>
          <w:p>
            <w:pPr>
              <w:pStyle w:val="Compact"/>
              <w:spacing w:after="40"/>
              <w:jc w:val="left"/>
            </w:pPr>
            <w:r>
              <w:rPr>
                <w:sz w:val="18"/>
              </w:rPr>
              <w:t xml:space="preserve">KYC 49–51</w:t>
            </w:r>
          </w:p>
        </w:tc>
      </w:tr>
      <w:tr>
        <w:tc>
          <w:tcPr>
            <w:tcW w:w="3616" w:type="dxa"/>
          </w:tcPr>
          <w:p>
            <w:pPr>
              <w:pStyle w:val="Compact"/>
              <w:spacing w:after="40"/>
              <w:jc w:val="left"/>
            </w:pPr>
            <w:r>
              <w:rPr>
                <w:sz w:val="18"/>
              </w:rPr>
              <w:t xml:space="preserve">UAPA match report (CNO-UAPA, FIU-IND, MHA, State nodal officer, RBI)</w:t>
            </w:r>
          </w:p>
        </w:tc>
        <w:tc>
          <w:tcPr>
            <w:tcW w:w="4107" w:type="dxa"/>
          </w:tcPr>
          <w:p>
            <w:pPr>
              <w:pStyle w:val="Compact"/>
              <w:spacing w:after="40"/>
              <w:jc w:val="left"/>
            </w:pPr>
            <w:r>
              <w:rPr>
                <w:sz w:val="18"/>
              </w:rPr>
              <w:t xml:space="preserve">Immediately / without delay</w:t>
            </w:r>
          </w:p>
        </w:tc>
        <w:tc>
          <w:tcPr>
            <w:tcW w:w="1915" w:type="dxa"/>
          </w:tcPr>
          <w:p>
            <w:pPr>
              <w:pStyle w:val="Compact"/>
              <w:spacing w:after="40"/>
              <w:jc w:val="left"/>
            </w:pPr>
            <w:r>
              <w:rPr>
                <w:sz w:val="18"/>
              </w:rPr>
              <w:t xml:space="preserve">KYC 54(3); Annex I 5.1</w:t>
            </w:r>
          </w:p>
        </w:tc>
      </w:tr>
      <w:tr>
        <w:tc>
          <w:tcPr>
            <w:tcW w:w="3616" w:type="dxa"/>
          </w:tcPr>
          <w:p>
            <w:pPr>
              <w:pStyle w:val="Compact"/>
              <w:spacing w:after="40"/>
              <w:jc w:val="left"/>
            </w:pPr>
            <w:r>
              <w:rPr>
                <w:sz w:val="18"/>
              </w:rPr>
              <w:t xml:space="preserve">WMD match report (CNO = Director FIU-IND; copy to State Nodal Officer and RBI)</w:t>
            </w:r>
          </w:p>
        </w:tc>
        <w:tc>
          <w:tcPr>
            <w:tcW w:w="4107" w:type="dxa"/>
          </w:tcPr>
          <w:p>
            <w:pPr>
              <w:pStyle w:val="Compact"/>
              <w:spacing w:after="40"/>
              <w:jc w:val="left"/>
            </w:pPr>
            <w:r>
              <w:rPr>
                <w:sz w:val="18"/>
              </w:rPr>
              <w:t xml:space="preserve">Immediately</w:t>
            </w:r>
          </w:p>
        </w:tc>
        <w:tc>
          <w:tcPr>
            <w:tcW w:w="1915" w:type="dxa"/>
          </w:tcPr>
          <w:p>
            <w:pPr>
              <w:pStyle w:val="Compact"/>
              <w:spacing w:after="40"/>
              <w:jc w:val="left"/>
            </w:pPr>
            <w:r>
              <w:rPr>
                <w:sz w:val="18"/>
              </w:rPr>
              <w:t xml:space="preserve">KYC 55(4)</w:t>
            </w:r>
          </w:p>
        </w:tc>
      </w:tr>
      <w:tr>
        <w:tc>
          <w:tcPr>
            <w:tcW w:w="3616" w:type="dxa"/>
          </w:tcPr>
          <w:p>
            <w:pPr>
              <w:pStyle w:val="Compact"/>
              <w:spacing w:after="40"/>
              <w:jc w:val="left"/>
            </w:pPr>
            <w:r>
              <w:rPr>
                <w:sz w:val="18"/>
              </w:rPr>
              <w:t xml:space="preserve">Forwarding of unfreeze applications</w:t>
            </w:r>
          </w:p>
        </w:tc>
        <w:tc>
          <w:tcPr>
            <w:tcW w:w="4107" w:type="dxa"/>
          </w:tcPr>
          <w:p>
            <w:pPr>
              <w:pStyle w:val="Compact"/>
              <w:spacing w:after="40"/>
              <w:jc w:val="left"/>
            </w:pPr>
            <w:r>
              <w:rPr>
                <w:sz w:val="18"/>
              </w:rPr>
              <w:t xml:space="preserve">Within 2 working days</w:t>
            </w:r>
          </w:p>
        </w:tc>
        <w:tc>
          <w:tcPr>
            <w:tcW w:w="1915" w:type="dxa"/>
          </w:tcPr>
          <w:p>
            <w:pPr>
              <w:pStyle w:val="Compact"/>
              <w:spacing w:after="40"/>
              <w:jc w:val="left"/>
            </w:pPr>
            <w:r>
              <w:rPr>
                <w:sz w:val="18"/>
              </w:rPr>
              <w:t xml:space="preserve">KYC 55(9); Annex I 11.2, 11A</w:t>
            </w:r>
          </w:p>
        </w:tc>
      </w:tr>
      <w:tr>
        <w:tc>
          <w:tcPr>
            <w:tcW w:w="3616" w:type="dxa"/>
          </w:tcPr>
          <w:p>
            <w:pPr>
              <w:pStyle w:val="Compact"/>
              <w:spacing w:after="40"/>
              <w:jc w:val="left"/>
            </w:pPr>
            <w:r>
              <w:rPr>
                <w:sz w:val="18"/>
              </w:rPr>
              <w:t xml:space="preserve">CKYCR upload / update</w:t>
            </w:r>
          </w:p>
        </w:tc>
        <w:tc>
          <w:tcPr>
            <w:tcW w:w="4107" w:type="dxa"/>
          </w:tcPr>
          <w:p>
            <w:pPr>
              <w:pStyle w:val="Compact"/>
              <w:spacing w:after="40"/>
              <w:jc w:val="left"/>
            </w:pPr>
            <w:r>
              <w:rPr>
                <w:sz w:val="18"/>
              </w:rPr>
              <w:t xml:space="preserve">10 days from commencement / 7 days from receipt of updated information</w:t>
            </w:r>
          </w:p>
        </w:tc>
        <w:tc>
          <w:tcPr>
            <w:tcW w:w="1915" w:type="dxa"/>
          </w:tcPr>
          <w:p>
            <w:pPr>
              <w:pStyle w:val="Compact"/>
              <w:spacing w:after="40"/>
              <w:jc w:val="left"/>
            </w:pPr>
            <w:r>
              <w:rPr>
                <w:sz w:val="18"/>
              </w:rPr>
              <w:t xml:space="preserve">KYC 63(1), 63(7)</w:t>
            </w:r>
          </w:p>
        </w:tc>
      </w:tr>
      <w:tr>
        <w:tc>
          <w:tcPr>
            <w:tcW w:w="3616" w:type="dxa"/>
          </w:tcPr>
          <w:p>
            <w:pPr>
              <w:pStyle w:val="Compact"/>
              <w:spacing w:after="40"/>
              <w:jc w:val="left"/>
            </w:pPr>
            <w:r>
              <w:rPr>
                <w:sz w:val="18"/>
              </w:rPr>
              <w:t xml:space="preserve">Designated Director and Principal Officer details to FIU-IND and RBI</w:t>
            </w:r>
          </w:p>
        </w:tc>
        <w:tc>
          <w:tcPr>
            <w:tcW w:w="4107" w:type="dxa"/>
          </w:tcPr>
          <w:p>
            <w:pPr>
              <w:pStyle w:val="Compact"/>
              <w:spacing w:after="40"/>
              <w:jc w:val="left"/>
            </w:pPr>
            <w:r>
              <w:rPr>
                <w:sz w:val="18"/>
              </w:rPr>
              <w:t xml:space="preserve">On appointment or change</w:t>
            </w:r>
          </w:p>
        </w:tc>
        <w:tc>
          <w:tcPr>
            <w:tcW w:w="1915" w:type="dxa"/>
          </w:tcPr>
          <w:p>
            <w:pPr>
              <w:pStyle w:val="Compact"/>
              <w:spacing w:after="40"/>
              <w:jc w:val="left"/>
            </w:pPr>
            <w:r>
              <w:rPr>
                <w:sz w:val="18"/>
              </w:rPr>
              <w:t xml:space="preserve">KYC 14(2), 15(2)</w:t>
            </w:r>
          </w:p>
        </w:tc>
      </w:tr>
      <w:tr>
        <w:tc>
          <w:tcPr>
            <w:tcW w:w="3616" w:type="dxa"/>
          </w:tcPr>
          <w:p>
            <w:pPr>
              <w:pStyle w:val="Compact"/>
              <w:spacing w:after="40"/>
              <w:jc w:val="left"/>
            </w:pPr>
            <w:r>
              <w:rPr>
                <w:sz w:val="18"/>
              </w:rPr>
              <w:t xml:space="preserve">FATCA/CRS Form 61B or NIL (Reporting FIs only)</w:t>
            </w:r>
          </w:p>
        </w:tc>
        <w:tc>
          <w:tcPr>
            <w:tcW w:w="4107" w:type="dxa"/>
          </w:tcPr>
          <w:p>
            <w:pPr>
              <w:pStyle w:val="Compact"/>
              <w:spacing w:after="40"/>
              <w:jc w:val="left"/>
            </w:pPr>
            <w:r>
              <w:rPr>
                <w:sz w:val="18"/>
              </w:rPr>
              <w:t xml:space="preserve">Per IT Rules [VERIFY]</w:t>
            </w:r>
          </w:p>
        </w:tc>
        <w:tc>
          <w:tcPr>
            <w:tcW w:w="1915" w:type="dxa"/>
          </w:tcPr>
          <w:p>
            <w:pPr>
              <w:pStyle w:val="Compact"/>
              <w:spacing w:after="40"/>
              <w:jc w:val="left"/>
            </w:pPr>
            <w:r>
              <w:rPr>
                <w:sz w:val="18"/>
              </w:rPr>
              <w:t xml:space="preserve">KYC 64</w:t>
            </w:r>
          </w:p>
        </w:tc>
      </w:tr>
      <w:tr>
        <w:tc>
          <w:tcPr>
            <w:tcW w:w="3616" w:type="dxa"/>
          </w:tcPr>
          <w:p>
            <w:pPr>
              <w:pStyle w:val="Compact"/>
              <w:spacing w:after="40"/>
              <w:jc w:val="left"/>
            </w:pPr>
            <w:r>
              <w:rPr>
                <w:sz w:val="18"/>
              </w:rPr>
              <w:t xml:space="preserve">V-CIP forged-identity case reported as a cyber event</w:t>
            </w:r>
          </w:p>
        </w:tc>
        <w:tc>
          <w:tcPr>
            <w:tcW w:w="4107" w:type="dxa"/>
          </w:tcPr>
          <w:p>
            <w:pPr>
              <w:pStyle w:val="Compact"/>
              <w:spacing w:after="40"/>
              <w:jc w:val="left"/>
            </w:pPr>
            <w:r>
              <w:rPr>
                <w:sz w:val="18"/>
              </w:rPr>
              <w:t xml:space="preserve">Per CYB incident rules</w:t>
            </w:r>
          </w:p>
        </w:tc>
        <w:tc>
          <w:tcPr>
            <w:tcW w:w="1915" w:type="dxa"/>
          </w:tcPr>
          <w:p>
            <w:pPr>
              <w:pStyle w:val="Compact"/>
              <w:spacing w:after="40"/>
              <w:jc w:val="left"/>
            </w:pPr>
            <w:r>
              <w:rPr>
                <w:sz w:val="18"/>
              </w:rPr>
              <w:t xml:space="preserve">KYC 27(1)(vii)</w:t>
            </w:r>
          </w:p>
        </w:tc>
      </w:tr>
      <w:tr>
        <w:tc>
          <w:tcPr>
            <w:tcW w:w="3616" w:type="dxa"/>
          </w:tcPr>
          <w:p>
            <w:pPr>
              <w:pStyle w:val="Compact"/>
              <w:spacing w:after="40"/>
              <w:jc w:val="left"/>
            </w:pPr>
            <w:r>
              <w:rPr>
                <w:sz w:val="18"/>
              </w:rPr>
              <w:t xml:space="preserve">Quarterly KYC audit notes to the Audit Committee</w:t>
            </w:r>
          </w:p>
        </w:tc>
        <w:tc>
          <w:tcPr>
            <w:tcW w:w="4107" w:type="dxa"/>
          </w:tcPr>
          <w:p>
            <w:pPr>
              <w:pStyle w:val="Compact"/>
              <w:spacing w:after="40"/>
              <w:jc w:val="left"/>
            </w:pPr>
            <w:r>
              <w:rPr>
                <w:sz w:val="18"/>
              </w:rPr>
              <w:t xml:space="preserve">Quarterly</w:t>
            </w:r>
          </w:p>
        </w:tc>
        <w:tc>
          <w:tcPr>
            <w:tcW w:w="1915" w:type="dxa"/>
          </w:tcPr>
          <w:p>
            <w:pPr>
              <w:pStyle w:val="Compact"/>
              <w:spacing w:after="40"/>
              <w:jc w:val="left"/>
            </w:pPr>
            <w:r>
              <w:rPr>
                <w:sz w:val="18"/>
              </w:rPr>
              <w:t xml:space="preserve">KYC 12(5)</w:t>
            </w:r>
          </w:p>
        </w:tc>
      </w:tr>
      <w:tr>
        <w:tc>
          <w:tcPr>
            <w:tcW w:w="3616" w:type="dxa"/>
          </w:tcPr>
          <w:p>
            <w:pPr>
              <w:pStyle w:val="Compact"/>
              <w:spacing w:after="40"/>
              <w:jc w:val="left"/>
            </w:pPr>
            <w:r>
              <w:rPr>
                <w:sz w:val="18"/>
              </w:rPr>
              <w:t xml:space="preserve">Loan-transfer trade report</w:t>
            </w:r>
          </w:p>
        </w:tc>
        <w:tc>
          <w:tcPr>
            <w:tcW w:w="4107" w:type="dxa"/>
          </w:tcPr>
          <w:p>
            <w:pPr>
              <w:pStyle w:val="Compact"/>
              <w:spacing w:after="40"/>
              <w:jc w:val="left"/>
            </w:pPr>
            <w:r>
              <w:rPr>
                <w:sz w:val="18"/>
              </w:rPr>
              <w:t xml:space="preserve">Each transaction, to the RBI-notified platform; keep a transaction database until it is notified</w:t>
            </w:r>
          </w:p>
        </w:tc>
        <w:tc>
          <w:tcPr>
            <w:tcW w:w="1915" w:type="dxa"/>
          </w:tcPr>
          <w:p>
            <w:pPr>
              <w:pStyle w:val="Compact"/>
              <w:spacing w:after="40"/>
              <w:jc w:val="left"/>
            </w:pPr>
            <w:r>
              <w:rPr>
                <w:sz w:val="18"/>
              </w:rPr>
              <w:t xml:space="preserve">TDCR 94</w:t>
            </w:r>
          </w:p>
        </w:tc>
      </w:tr>
      <w:tr>
        <w:tc>
          <w:tcPr>
            <w:tcW w:w="3616" w:type="dxa"/>
          </w:tcPr>
          <w:p>
            <w:pPr>
              <w:pStyle w:val="Compact"/>
              <w:spacing w:after="40"/>
              <w:jc w:val="left"/>
            </w:pPr>
            <w:r>
              <w:rPr>
                <w:sz w:val="18"/>
              </w:rPr>
              <w:t xml:space="preserve">Notice to RBI DoS of replacement or damages under reps and warranties</w:t>
            </w:r>
          </w:p>
        </w:tc>
        <w:tc>
          <w:tcPr>
            <w:tcW w:w="4107" w:type="dxa"/>
          </w:tcPr>
          <w:p>
            <w:pPr>
              <w:pStyle w:val="Compact"/>
              <w:spacing w:after="40"/>
              <w:jc w:val="left"/>
            </w:pPr>
            <w:r>
              <w:rPr>
                <w:sz w:val="18"/>
              </w:rPr>
              <w:t xml:space="preserve">Each instance</w:t>
            </w:r>
          </w:p>
        </w:tc>
        <w:tc>
          <w:tcPr>
            <w:tcW w:w="1915" w:type="dxa"/>
          </w:tcPr>
          <w:p>
            <w:pPr>
              <w:pStyle w:val="Compact"/>
              <w:spacing w:after="40"/>
              <w:jc w:val="left"/>
            </w:pPr>
            <w:r>
              <w:rPr>
                <w:sz w:val="18"/>
              </w:rPr>
              <w:t xml:space="preserve">TDCR 24; SEC 30(7)</w:t>
            </w:r>
          </w:p>
        </w:tc>
      </w:tr>
      <w:tr>
        <w:tc>
          <w:tcPr>
            <w:tcW w:w="3616" w:type="dxa"/>
          </w:tcPr>
          <w:p>
            <w:pPr>
              <w:pStyle w:val="Compact"/>
              <w:spacing w:after="40"/>
              <w:jc w:val="left"/>
            </w:pPr>
            <w:r>
              <w:rPr>
                <w:sz w:val="18"/>
              </w:rPr>
              <w:t xml:space="preserve">CLA classification sharing with partner RE</w:t>
            </w:r>
          </w:p>
        </w:tc>
        <w:tc>
          <w:tcPr>
            <w:tcW w:w="4107" w:type="dxa"/>
          </w:tcPr>
          <w:p>
            <w:pPr>
              <w:pStyle w:val="Compact"/>
              <w:spacing w:after="40"/>
              <w:jc w:val="left"/>
            </w:pPr>
            <w:r>
              <w:rPr>
                <w:sz w:val="18"/>
              </w:rPr>
              <w:t xml:space="preserve">Near-real time; end of the next working day at the latest</w:t>
            </w:r>
          </w:p>
        </w:tc>
        <w:tc>
          <w:tcPr>
            <w:tcW w:w="1915" w:type="dxa"/>
          </w:tcPr>
          <w:p>
            <w:pPr>
              <w:pStyle w:val="Compact"/>
              <w:spacing w:after="40"/>
              <w:jc w:val="left"/>
            </w:pPr>
            <w:r>
              <w:rPr>
                <w:sz w:val="18"/>
              </w:rPr>
              <w:t xml:space="preserve">TDCR 124</w:t>
            </w:r>
          </w:p>
        </w:tc>
      </w:tr>
      <w:tr>
        <w:tc>
          <w:tcPr>
            <w:tcW w:w="3616" w:type="dxa"/>
          </w:tcPr>
          <w:p>
            <w:pPr>
              <w:pStyle w:val="Compact"/>
              <w:spacing w:after="40"/>
              <w:jc w:val="left"/>
            </w:pPr>
            <w:r>
              <w:rPr>
                <w:sz w:val="18"/>
              </w:rPr>
              <w:t xml:space="preserve">CLA disclosure in notes to accounts</w:t>
            </w:r>
          </w:p>
        </w:tc>
        <w:tc>
          <w:tcPr>
            <w:tcW w:w="4107" w:type="dxa"/>
          </w:tcPr>
          <w:p>
            <w:pPr>
              <w:pStyle w:val="Compact"/>
              <w:spacing w:after="40"/>
              <w:jc w:val="left"/>
            </w:pPr>
            <w:r>
              <w:rPr>
                <w:sz w:val="18"/>
              </w:rPr>
              <w:t xml:space="preserve">Annual</w:t>
            </w:r>
          </w:p>
        </w:tc>
        <w:tc>
          <w:tcPr>
            <w:tcW w:w="1915" w:type="dxa"/>
          </w:tcPr>
          <w:p>
            <w:pPr>
              <w:pStyle w:val="Compact"/>
              <w:spacing w:after="40"/>
              <w:jc w:val="left"/>
            </w:pPr>
            <w:r>
              <w:rPr>
                <w:sz w:val="18"/>
              </w:rPr>
              <w:t xml:space="preserve">TDCR 127</w:t>
            </w:r>
          </w:p>
        </w:tc>
      </w:tr>
      <w:tr>
        <w:tc>
          <w:tcPr>
            <w:tcW w:w="3616" w:type="dxa"/>
          </w:tcPr>
          <w:p>
            <w:pPr>
              <w:pStyle w:val="Compact"/>
              <w:spacing w:after="40"/>
              <w:jc w:val="left"/>
            </w:pPr>
            <w:r>
              <w:rPr>
                <w:sz w:val="18"/>
              </w:rPr>
              <w:t xml:space="preserve">Website list of active CLA partners</w:t>
            </w:r>
          </w:p>
        </w:tc>
        <w:tc>
          <w:tcPr>
            <w:tcW w:w="4107" w:type="dxa"/>
          </w:tcPr>
          <w:p>
            <w:pPr>
              <w:pStyle w:val="Compact"/>
              <w:spacing w:after="40"/>
              <w:jc w:val="left"/>
            </w:pPr>
            <w:r>
              <w:rPr>
                <w:sz w:val="18"/>
              </w:rPr>
              <w:t xml:space="preserve">Ongoing</w:t>
            </w:r>
          </w:p>
        </w:tc>
        <w:tc>
          <w:tcPr>
            <w:tcW w:w="1915" w:type="dxa"/>
          </w:tcPr>
          <w:p>
            <w:pPr>
              <w:pStyle w:val="Compact"/>
              <w:spacing w:after="40"/>
              <w:jc w:val="left"/>
            </w:pPr>
            <w:r>
              <w:rPr>
                <w:sz w:val="18"/>
              </w:rPr>
              <w:t xml:space="preserve">TDCR 126</w:t>
            </w:r>
          </w:p>
        </w:tc>
      </w:tr>
      <w:tr>
        <w:tc>
          <w:tcPr>
            <w:tcW w:w="3616" w:type="dxa"/>
          </w:tcPr>
          <w:p>
            <w:pPr>
              <w:pStyle w:val="Compact"/>
              <w:spacing w:after="40"/>
              <w:jc w:val="left"/>
            </w:pPr>
            <w:r>
              <w:rPr>
                <w:sz w:val="18"/>
              </w:rPr>
              <w:t xml:space="preserve">Securitisation transaction report to RBI</w:t>
            </w:r>
          </w:p>
        </w:tc>
        <w:tc>
          <w:tcPr>
            <w:tcW w:w="4107" w:type="dxa"/>
          </w:tcPr>
          <w:p>
            <w:pPr>
              <w:pStyle w:val="Compact"/>
              <w:spacing w:after="40"/>
              <w:jc w:val="left"/>
            </w:pPr>
            <w:r>
              <w:rPr>
                <w:sz w:val="18"/>
              </w:rPr>
              <w:t xml:space="preserve">Quarterly; format to be advised [VERIFY: format not issued]</w:t>
            </w:r>
          </w:p>
        </w:tc>
        <w:tc>
          <w:tcPr>
            <w:tcW w:w="1915" w:type="dxa"/>
          </w:tcPr>
          <w:p>
            <w:pPr>
              <w:pStyle w:val="Compact"/>
              <w:spacing w:after="40"/>
              <w:jc w:val="left"/>
            </w:pPr>
            <w:r>
              <w:rPr>
                <w:sz w:val="18"/>
              </w:rPr>
              <w:t xml:space="preserve">SEC 115</w:t>
            </w:r>
          </w:p>
        </w:tc>
      </w:tr>
      <w:tr>
        <w:tc>
          <w:tcPr>
            <w:tcW w:w="3616" w:type="dxa"/>
          </w:tcPr>
          <w:p>
            <w:pPr>
              <w:pStyle w:val="Compact"/>
              <w:spacing w:after="40"/>
              <w:jc w:val="left"/>
            </w:pPr>
            <w:r>
              <w:rPr>
                <w:sz w:val="18"/>
              </w:rPr>
              <w:t xml:space="preserve">MHP/MRR disclosure per transaction (Annex I)</w:t>
            </w:r>
          </w:p>
        </w:tc>
        <w:tc>
          <w:tcPr>
            <w:tcW w:w="4107" w:type="dxa"/>
          </w:tcPr>
          <w:p>
            <w:pPr>
              <w:pStyle w:val="Compact"/>
              <w:spacing w:after="40"/>
              <w:jc w:val="left"/>
            </w:pPr>
            <w:r>
              <w:rPr>
                <w:sz w:val="18"/>
              </w:rPr>
              <w:t xml:space="preserve">At origination, half-yearly (September and March), and on any breach</w:t>
            </w:r>
          </w:p>
        </w:tc>
        <w:tc>
          <w:tcPr>
            <w:tcW w:w="1915" w:type="dxa"/>
          </w:tcPr>
          <w:p>
            <w:pPr>
              <w:pStyle w:val="Compact"/>
              <w:spacing w:after="40"/>
              <w:jc w:val="left"/>
            </w:pPr>
            <w:r>
              <w:rPr>
                <w:sz w:val="18"/>
              </w:rPr>
              <w:t xml:space="preserve">SEC 112–113</w:t>
            </w:r>
          </w:p>
        </w:tc>
      </w:tr>
      <w:tr>
        <w:tc>
          <w:tcPr>
            <w:tcW w:w="3616" w:type="dxa"/>
          </w:tcPr>
          <w:p>
            <w:pPr>
              <w:pStyle w:val="Compact"/>
              <w:spacing w:after="40"/>
              <w:jc w:val="left"/>
            </w:pPr>
            <w:r>
              <w:rPr>
                <w:sz w:val="18"/>
              </w:rPr>
              <w:t xml:space="preserve">Material risk-profile change notice to investors, CRAs and service providers</w:t>
            </w:r>
          </w:p>
        </w:tc>
        <w:tc>
          <w:tcPr>
            <w:tcW w:w="4107" w:type="dxa"/>
          </w:tcPr>
          <w:p>
            <w:pPr>
              <w:pStyle w:val="Compact"/>
              <w:spacing w:after="40"/>
              <w:jc w:val="left"/>
            </w:pPr>
            <w:r>
              <w:rPr>
                <w:sz w:val="18"/>
              </w:rPr>
              <w:t xml:space="preserve">Within 14 calendar days</w:t>
            </w:r>
          </w:p>
        </w:tc>
        <w:tc>
          <w:tcPr>
            <w:tcW w:w="1915" w:type="dxa"/>
          </w:tcPr>
          <w:p>
            <w:pPr>
              <w:pStyle w:val="Compact"/>
              <w:spacing w:after="40"/>
              <w:jc w:val="left"/>
            </w:pPr>
            <w:r>
              <w:rPr>
                <w:sz w:val="18"/>
              </w:rPr>
              <w:t xml:space="preserve">SEC 22</w:t>
            </w:r>
          </w:p>
        </w:tc>
      </w:tr>
      <w:tr>
        <w:tc>
          <w:tcPr>
            <w:tcW w:w="3616" w:type="dxa"/>
          </w:tcPr>
          <w:p>
            <w:pPr>
              <w:pStyle w:val="Compact"/>
              <w:spacing w:after="40"/>
              <w:jc w:val="left"/>
            </w:pPr>
            <w:r>
              <w:rPr>
                <w:sz w:val="18"/>
              </w:rPr>
              <w:t xml:space="preserve">STC investor data (loan-level or stratified)</w:t>
            </w:r>
          </w:p>
        </w:tc>
        <w:tc>
          <w:tcPr>
            <w:tcW w:w="4107" w:type="dxa"/>
          </w:tcPr>
          <w:p>
            <w:pPr>
              <w:pStyle w:val="Compact"/>
              <w:spacing w:after="40"/>
              <w:jc w:val="left"/>
            </w:pPr>
            <w:r>
              <w:rPr>
                <w:sz w:val="18"/>
              </w:rPr>
              <w:t xml:space="preserve">At least quarterly</w:t>
            </w:r>
          </w:p>
        </w:tc>
        <w:tc>
          <w:tcPr>
            <w:tcW w:w="1915" w:type="dxa"/>
          </w:tcPr>
          <w:p>
            <w:pPr>
              <w:pStyle w:val="Compact"/>
              <w:spacing w:after="40"/>
              <w:jc w:val="left"/>
            </w:pPr>
            <w:r>
              <w:rPr>
                <w:sz w:val="18"/>
              </w:rPr>
              <w:t xml:space="preserve">SEC 52</w:t>
            </w:r>
          </w:p>
        </w:tc>
      </w:tr>
      <w:tr>
        <w:tc>
          <w:tcPr>
            <w:tcW w:w="3616" w:type="dxa"/>
          </w:tcPr>
          <w:p>
            <w:pPr>
              <w:pStyle w:val="Compact"/>
              <w:spacing w:after="40"/>
              <w:jc w:val="left"/>
            </w:pPr>
            <w:r>
              <w:rPr>
                <w:sz w:val="18"/>
              </w:rPr>
              <w:t xml:space="preserve">Third-party servicer data certified by auditors</w:t>
            </w:r>
          </w:p>
        </w:tc>
        <w:tc>
          <w:tcPr>
            <w:tcW w:w="4107" w:type="dxa"/>
          </w:tcPr>
          <w:p>
            <w:pPr>
              <w:pStyle w:val="Compact"/>
              <w:spacing w:after="40"/>
              <w:jc w:val="left"/>
            </w:pPr>
            <w:r>
              <w:rPr>
                <w:sz w:val="18"/>
              </w:rPr>
              <w:t xml:space="preserve">Preferably at least annually</w:t>
            </w:r>
          </w:p>
        </w:tc>
        <w:tc>
          <w:tcPr>
            <w:tcW w:w="1915" w:type="dxa"/>
          </w:tcPr>
          <w:p>
            <w:pPr>
              <w:pStyle w:val="Compact"/>
              <w:spacing w:after="40"/>
              <w:jc w:val="left"/>
            </w:pPr>
            <w:r>
              <w:rPr>
                <w:sz w:val="18"/>
              </w:rPr>
              <w:t xml:space="preserve">SEC 109</w:t>
            </w:r>
          </w:p>
        </w:tc>
      </w:tr>
      <w:tr>
        <w:tc>
          <w:tcPr>
            <w:tcW w:w="3616" w:type="dxa"/>
          </w:tcPr>
          <w:p>
            <w:pPr>
              <w:pStyle w:val="Compact"/>
              <w:spacing w:after="40"/>
              <w:jc w:val="left"/>
            </w:pPr>
            <w:r>
              <w:rPr>
                <w:sz w:val="18"/>
              </w:rPr>
              <w:t xml:space="preserve">Dividend declaration (Annex I; HFC to NHB; SPD Annex II with Board resolution to IDMD)</w:t>
            </w:r>
          </w:p>
        </w:tc>
        <w:tc>
          <w:tcPr>
            <w:tcW w:w="4107" w:type="dxa"/>
          </w:tcPr>
          <w:p>
            <w:pPr>
              <w:pStyle w:val="Compact"/>
              <w:spacing w:after="40"/>
              <w:jc w:val="left"/>
            </w:pPr>
            <w:r>
              <w:rPr>
                <w:sz w:val="18"/>
              </w:rPr>
              <w:t xml:space="preserve">Within a fortnight of declaration</w:t>
            </w:r>
          </w:p>
        </w:tc>
        <w:tc>
          <w:tcPr>
            <w:tcW w:w="1915" w:type="dxa"/>
          </w:tcPr>
          <w:p>
            <w:pPr>
              <w:pStyle w:val="Compact"/>
              <w:spacing w:after="40"/>
              <w:jc w:val="left"/>
            </w:pPr>
            <w:r>
              <w:rPr>
                <w:sz w:val="18"/>
              </w:rPr>
              <w:t xml:space="preserve">DIV 13–15</w:t>
            </w:r>
          </w:p>
        </w:tc>
      </w:tr>
      <w:tr>
        <w:tc>
          <w:tcPr>
            <w:tcW w:w="3616" w:type="dxa"/>
          </w:tcPr>
          <w:p>
            <w:pPr>
              <w:pStyle w:val="Compact"/>
              <w:spacing w:after="40"/>
              <w:jc w:val="left"/>
            </w:pPr>
            <w:r>
              <w:rPr>
                <w:sz w:val="18"/>
              </w:rPr>
              <w:t xml:space="preserve">PDI issue report with offer document</w:t>
            </w:r>
          </w:p>
        </w:tc>
        <w:tc>
          <w:tcPr>
            <w:tcW w:w="4107" w:type="dxa"/>
          </w:tcPr>
          <w:p>
            <w:pPr>
              <w:pStyle w:val="Compact"/>
              <w:spacing w:after="40"/>
              <w:jc w:val="left"/>
            </w:pPr>
            <w:r>
              <w:rPr>
                <w:sz w:val="18"/>
              </w:rPr>
              <w:t xml:space="preserve">Soon after issue</w:t>
            </w:r>
          </w:p>
        </w:tc>
        <w:tc>
          <w:tcPr>
            <w:tcW w:w="1915" w:type="dxa"/>
          </w:tcPr>
          <w:p>
            <w:pPr>
              <w:pStyle w:val="Compact"/>
              <w:spacing w:after="40"/>
              <w:jc w:val="left"/>
            </w:pPr>
            <w:r>
              <w:rPr>
                <w:sz w:val="18"/>
              </w:rPr>
              <w:t xml:space="preserve">CAP 12(12)</w:t>
            </w:r>
          </w:p>
        </w:tc>
      </w:tr>
      <w:tr>
        <w:tc>
          <w:tcPr>
            <w:tcW w:w="3616" w:type="dxa"/>
          </w:tcPr>
          <w:p>
            <w:pPr>
              <w:pStyle w:val="Compact"/>
              <w:spacing w:after="40"/>
              <w:jc w:val="left"/>
            </w:pPr>
            <w:r>
              <w:rPr>
                <w:sz w:val="18"/>
              </w:rPr>
              <w:t xml:space="preserve">PDI interest lock-in notification</w:t>
            </w:r>
          </w:p>
        </w:tc>
        <w:tc>
          <w:tcPr>
            <w:tcW w:w="4107" w:type="dxa"/>
          </w:tcPr>
          <w:p>
            <w:pPr>
              <w:pStyle w:val="Compact"/>
              <w:spacing w:after="40"/>
              <w:jc w:val="left"/>
            </w:pPr>
            <w:r>
              <w:rPr>
                <w:sz w:val="18"/>
              </w:rPr>
              <w:t xml:space="preserve">On each invocation</w:t>
            </w:r>
          </w:p>
        </w:tc>
        <w:tc>
          <w:tcPr>
            <w:tcW w:w="1915" w:type="dxa"/>
          </w:tcPr>
          <w:p>
            <w:pPr>
              <w:pStyle w:val="Compact"/>
              <w:spacing w:after="40"/>
              <w:jc w:val="left"/>
            </w:pPr>
            <w:r>
              <w:rPr>
                <w:sz w:val="18"/>
              </w:rPr>
              <w:t xml:space="preserve">CAP 12(8)(iv)</w:t>
            </w:r>
          </w:p>
        </w:tc>
      </w:tr>
      <w:tr>
        <w:tc>
          <w:tcPr>
            <w:tcW w:w="3616" w:type="dxa"/>
          </w:tcPr>
          <w:p>
            <w:pPr>
              <w:pStyle w:val="Compact"/>
              <w:spacing w:after="40"/>
              <w:jc w:val="left"/>
            </w:pPr>
            <w:r>
              <w:rPr>
                <w:sz w:val="18"/>
              </w:rPr>
              <w:t xml:space="preserve">Exposures above single/group limits due to CDS/CRT</w:t>
            </w:r>
          </w:p>
        </w:tc>
        <w:tc>
          <w:tcPr>
            <w:tcW w:w="4107" w:type="dxa"/>
          </w:tcPr>
          <w:p>
            <w:pPr>
              <w:pStyle w:val="Compact"/>
              <w:spacing w:after="40"/>
              <w:jc w:val="left"/>
            </w:pPr>
            <w:r>
              <w:rPr>
                <w:sz w:val="18"/>
              </w:rPr>
              <w:t xml:space="preserve">Quarterly</w:t>
            </w:r>
          </w:p>
        </w:tc>
        <w:tc>
          <w:tcPr>
            <w:tcW w:w="1915" w:type="dxa"/>
          </w:tcPr>
          <w:p>
            <w:pPr>
              <w:pStyle w:val="Compact"/>
              <w:spacing w:after="40"/>
              <w:jc w:val="left"/>
            </w:pPr>
            <w:r>
              <w:rPr>
                <w:sz w:val="18"/>
              </w:rPr>
              <w:t xml:space="preserve">CAP 53(7) (= CRM 17(7))</w:t>
            </w:r>
          </w:p>
        </w:tc>
      </w:tr>
      <w:tr>
        <w:tc>
          <w:tcPr>
            <w:tcW w:w="3616" w:type="dxa"/>
          </w:tcPr>
          <w:p>
            <w:pPr>
              <w:pStyle w:val="Compact"/>
              <w:spacing w:after="40"/>
              <w:jc w:val="left"/>
            </w:pPr>
            <w:r>
              <w:rPr>
                <w:sz w:val="18"/>
              </w:rPr>
              <w:t xml:space="preserve">Group asset-size statutory auditor certificate</w:t>
            </w:r>
          </w:p>
        </w:tc>
        <w:tc>
          <w:tcPr>
            <w:tcW w:w="4107" w:type="dxa"/>
          </w:tcPr>
          <w:p>
            <w:pPr>
              <w:pStyle w:val="Compact"/>
              <w:spacing w:after="40"/>
              <w:jc w:val="left"/>
            </w:pPr>
            <w:r>
              <w:rPr>
                <w:sz w:val="18"/>
              </w:rPr>
              <w:t xml:space="preserve">Annually, as on 31 March</w:t>
            </w:r>
          </w:p>
        </w:tc>
        <w:tc>
          <w:tcPr>
            <w:tcW w:w="1915" w:type="dxa"/>
          </w:tcPr>
          <w:p>
            <w:pPr>
              <w:pStyle w:val="Compact"/>
              <w:spacing w:after="40"/>
              <w:jc w:val="left"/>
            </w:pPr>
            <w:r>
              <w:rPr>
                <w:sz w:val="18"/>
              </w:rPr>
              <w:t xml:space="preserve">SBR 20</w:t>
            </w:r>
          </w:p>
        </w:tc>
      </w:tr>
      <w:tr>
        <w:tc>
          <w:tcPr>
            <w:tcW w:w="3616" w:type="dxa"/>
          </w:tcPr>
          <w:p>
            <w:pPr>
              <w:pStyle w:val="Compact"/>
              <w:spacing w:after="40"/>
              <w:jc w:val="left"/>
            </w:pPr>
            <w:r>
              <w:rPr>
                <w:sz w:val="18"/>
              </w:rPr>
              <w:t xml:space="preserve">UL Board policy, implementation plan and roadmap</w:t>
            </w:r>
          </w:p>
        </w:tc>
        <w:tc>
          <w:tcPr>
            <w:tcW w:w="4107" w:type="dxa"/>
          </w:tcPr>
          <w:p>
            <w:pPr>
              <w:pStyle w:val="Compact"/>
              <w:spacing w:after="40"/>
              <w:jc w:val="left"/>
            </w:pPr>
            <w:r>
              <w:rPr>
                <w:sz w:val="18"/>
              </w:rPr>
              <w:t xml:space="preserve">Within 3 months of RBI advice</w:t>
            </w:r>
          </w:p>
        </w:tc>
        <w:tc>
          <w:tcPr>
            <w:tcW w:w="1915" w:type="dxa"/>
          </w:tcPr>
          <w:p>
            <w:pPr>
              <w:pStyle w:val="Compact"/>
              <w:spacing w:after="40"/>
              <w:jc w:val="left"/>
            </w:pPr>
            <w:r>
              <w:rPr>
                <w:sz w:val="18"/>
              </w:rPr>
              <w:t xml:space="preserve">SBR 27</w:t>
            </w:r>
          </w:p>
        </w:tc>
      </w:tr>
      <w:tr>
        <w:tc>
          <w:tcPr>
            <w:tcW w:w="3616" w:type="dxa"/>
          </w:tcPr>
          <w:p>
            <w:pPr>
              <w:pStyle w:val="Compact"/>
              <w:spacing w:after="40"/>
              <w:jc w:val="left"/>
            </w:pPr>
            <w:r>
              <w:rPr>
                <w:sz w:val="18"/>
              </w:rPr>
              <w:t xml:space="preserve">Change of registered/corporate office address, phone, fax</w:t>
            </w:r>
          </w:p>
        </w:tc>
        <w:tc>
          <w:tcPr>
            <w:tcW w:w="4107" w:type="dxa"/>
          </w:tcPr>
          <w:p>
            <w:pPr>
              <w:pStyle w:val="Compact"/>
              <w:spacing w:after="40"/>
              <w:jc w:val="left"/>
            </w:pPr>
            <w:r>
              <w:rPr>
                <w:sz w:val="18"/>
              </w:rPr>
              <w:t xml:space="preserve">Within 1 month</w:t>
            </w:r>
          </w:p>
        </w:tc>
        <w:tc>
          <w:tcPr>
            <w:tcW w:w="1915" w:type="dxa"/>
          </w:tcPr>
          <w:p>
            <w:pPr>
              <w:pStyle w:val="Compact"/>
              <w:spacing w:after="40"/>
              <w:jc w:val="left"/>
            </w:pPr>
            <w:r>
              <w:rPr>
                <w:sz w:val="18"/>
              </w:rPr>
              <w:t xml:space="preserve">MISC 6</w:t>
            </w:r>
          </w:p>
        </w:tc>
      </w:tr>
      <w:tr>
        <w:tc>
          <w:tcPr>
            <w:tcW w:w="3616" w:type="dxa"/>
          </w:tcPr>
          <w:p>
            <w:pPr>
              <w:pStyle w:val="Compact"/>
              <w:spacing w:after="40"/>
              <w:jc w:val="left"/>
            </w:pPr>
            <w:r>
              <w:rPr>
                <w:sz w:val="18"/>
              </w:rPr>
              <w:t xml:space="preserve">Change in directors, principal officers, auditors, specimen signatures</w:t>
            </w:r>
          </w:p>
        </w:tc>
        <w:tc>
          <w:tcPr>
            <w:tcW w:w="4107" w:type="dxa"/>
          </w:tcPr>
          <w:p>
            <w:pPr>
              <w:pStyle w:val="Compact"/>
              <w:spacing w:after="40"/>
              <w:jc w:val="left"/>
            </w:pPr>
            <w:r>
              <w:rPr>
                <w:sz w:val="18"/>
              </w:rPr>
              <w:t xml:space="preserve">Within 1 month</w:t>
            </w:r>
          </w:p>
        </w:tc>
        <w:tc>
          <w:tcPr>
            <w:tcW w:w="1915" w:type="dxa"/>
          </w:tcPr>
          <w:p>
            <w:pPr>
              <w:pStyle w:val="Compact"/>
              <w:spacing w:after="40"/>
              <w:jc w:val="left"/>
            </w:pPr>
            <w:r>
              <w:rPr>
                <w:sz w:val="18"/>
              </w:rPr>
              <w:t xml:space="preserve">MISC 7</w:t>
            </w:r>
          </w:p>
        </w:tc>
      </w:tr>
      <w:tr>
        <w:tc>
          <w:tcPr>
            <w:tcW w:w="3616" w:type="dxa"/>
          </w:tcPr>
          <w:p>
            <w:pPr>
              <w:pStyle w:val="Compact"/>
              <w:spacing w:after="40"/>
              <w:jc w:val="left"/>
            </w:pPr>
            <w:r>
              <w:rPr>
                <w:sz w:val="18"/>
              </w:rPr>
              <w:t xml:space="preserve">Rating upgrade/downgrade of any financial product (assets ≥ ₹100 crore)</w:t>
            </w:r>
          </w:p>
        </w:tc>
        <w:tc>
          <w:tcPr>
            <w:tcW w:w="4107" w:type="dxa"/>
          </w:tcPr>
          <w:p>
            <w:pPr>
              <w:pStyle w:val="Compact"/>
              <w:spacing w:after="40"/>
              <w:jc w:val="left"/>
            </w:pPr>
            <w:r>
              <w:rPr>
                <w:sz w:val="18"/>
              </w:rPr>
              <w:t xml:space="preserve">Within 15 days</w:t>
            </w:r>
          </w:p>
        </w:tc>
        <w:tc>
          <w:tcPr>
            <w:tcW w:w="1915" w:type="dxa"/>
          </w:tcPr>
          <w:p>
            <w:pPr>
              <w:pStyle w:val="Compact"/>
              <w:spacing w:after="40"/>
              <w:jc w:val="left"/>
            </w:pPr>
            <w:r>
              <w:rPr>
                <w:sz w:val="18"/>
              </w:rPr>
              <w:t xml:space="preserve">MISC 20</w:t>
            </w:r>
          </w:p>
        </w:tc>
      </w:tr>
      <w:tr>
        <w:tc>
          <w:tcPr>
            <w:tcW w:w="3616" w:type="dxa"/>
          </w:tcPr>
          <w:p>
            <w:pPr>
              <w:pStyle w:val="Compact"/>
              <w:spacing w:after="40"/>
              <w:jc w:val="left"/>
            </w:pPr>
            <w:r>
              <w:rPr>
                <w:sz w:val="18"/>
              </w:rPr>
              <w:t xml:space="preserve">Statement on change of directors + MD/CEO fit-and-proper certificate (ML/UL)</w:t>
            </w:r>
          </w:p>
        </w:tc>
        <w:tc>
          <w:tcPr>
            <w:tcW w:w="4107" w:type="dxa"/>
          </w:tcPr>
          <w:p>
            <w:pPr>
              <w:pStyle w:val="Compact"/>
              <w:spacing w:after="40"/>
              <w:jc w:val="left"/>
            </w:pPr>
            <w:r>
              <w:rPr>
                <w:sz w:val="18"/>
              </w:rPr>
              <w:t xml:space="preserve">Quarterly, within 15 days of quarter-end, to the RBI DoS Regional Office (NHB for HFCs); the March statement is auditor-certified</w:t>
            </w:r>
          </w:p>
        </w:tc>
        <w:tc>
          <w:tcPr>
            <w:tcW w:w="1915" w:type="dxa"/>
          </w:tcPr>
          <w:p>
            <w:pPr>
              <w:pStyle w:val="Compact"/>
              <w:spacing w:after="40"/>
              <w:jc w:val="left"/>
            </w:pPr>
            <w:r>
              <w:rPr>
                <w:sz w:val="18"/>
              </w:rPr>
              <w:t xml:space="preserve">GOV 14</w:t>
            </w:r>
          </w:p>
        </w:tc>
      </w:tr>
      <w:tr>
        <w:tc>
          <w:tcPr>
            <w:tcW w:w="3616" w:type="dxa"/>
          </w:tcPr>
          <w:p>
            <w:pPr>
              <w:pStyle w:val="Compact"/>
              <w:spacing w:after="40"/>
              <w:jc w:val="left"/>
            </w:pPr>
            <w:r>
              <w:rPr>
                <w:sz w:val="18"/>
              </w:rPr>
              <w:t xml:space="preserve">Prior-approval application for a change of more than 30% of directors (excl. IDs)</w:t>
            </w:r>
          </w:p>
        </w:tc>
        <w:tc>
          <w:tcPr>
            <w:tcW w:w="4107" w:type="dxa"/>
          </w:tcPr>
          <w:p>
            <w:pPr>
              <w:pStyle w:val="Compact"/>
              <w:spacing w:after="40"/>
              <w:jc w:val="left"/>
            </w:pPr>
            <w:r>
              <w:rPr>
                <w:sz w:val="18"/>
              </w:rPr>
              <w:t xml:space="preserve">Before the change, via PRAVAAH with Annex I</w:t>
            </w:r>
          </w:p>
        </w:tc>
        <w:tc>
          <w:tcPr>
            <w:tcW w:w="1915" w:type="dxa"/>
          </w:tcPr>
          <w:p>
            <w:pPr>
              <w:pStyle w:val="Compact"/>
              <w:spacing w:after="40"/>
              <w:jc w:val="left"/>
            </w:pPr>
            <w:r>
              <w:rPr>
                <w:sz w:val="18"/>
              </w:rPr>
              <w:t xml:space="preserve">GOV 10–11</w:t>
            </w:r>
          </w:p>
        </w:tc>
      </w:tr>
      <w:tr>
        <w:tc>
          <w:tcPr>
            <w:tcW w:w="3616" w:type="dxa"/>
          </w:tcPr>
          <w:p>
            <w:pPr>
              <w:pStyle w:val="Compact"/>
              <w:spacing w:after="40"/>
              <w:jc w:val="left"/>
            </w:pPr>
            <w:r>
              <w:rPr>
                <w:sz w:val="18"/>
              </w:rPr>
              <w:t xml:space="preserve">Intimation of any change in directors or management</w:t>
            </w:r>
          </w:p>
        </w:tc>
        <w:tc>
          <w:tcPr>
            <w:tcW w:w="4107" w:type="dxa"/>
          </w:tcPr>
          <w:p>
            <w:pPr>
              <w:pStyle w:val="Compact"/>
              <w:spacing w:after="40"/>
              <w:jc w:val="left"/>
            </w:pPr>
            <w:r>
              <w:rPr>
                <w:sz w:val="18"/>
              </w:rPr>
              <w:t xml:space="preserve">Event-driven; no timeline in the text</w:t>
            </w:r>
          </w:p>
        </w:tc>
        <w:tc>
          <w:tcPr>
            <w:tcW w:w="1915" w:type="dxa"/>
          </w:tcPr>
          <w:p>
            <w:pPr>
              <w:pStyle w:val="Compact"/>
              <w:spacing w:after="40"/>
              <w:jc w:val="left"/>
            </w:pPr>
            <w:r>
              <w:rPr>
                <w:sz w:val="18"/>
              </w:rPr>
              <w:t xml:space="preserve">GOV 10 Explanation</w:t>
            </w:r>
          </w:p>
        </w:tc>
      </w:tr>
      <w:tr>
        <w:tc>
          <w:tcPr>
            <w:tcW w:w="3616" w:type="dxa"/>
          </w:tcPr>
          <w:p>
            <w:pPr>
              <w:pStyle w:val="Compact"/>
              <w:spacing w:after="40"/>
              <w:jc w:val="left"/>
            </w:pPr>
            <w:r>
              <w:rPr>
                <w:sz w:val="18"/>
              </w:rPr>
              <w:t xml:space="preserve">CRO premature transfer or removal</w:t>
            </w:r>
          </w:p>
        </w:tc>
        <w:tc>
          <w:tcPr>
            <w:tcW w:w="4107" w:type="dxa"/>
          </w:tcPr>
          <w:p>
            <w:pPr>
              <w:pStyle w:val="Compact"/>
              <w:spacing w:after="40"/>
              <w:jc w:val="left"/>
            </w:pPr>
            <w:r>
              <w:rPr>
                <w:sz w:val="18"/>
              </w:rPr>
              <w:t xml:space="preserve">Event-driven, to the DoS Regional Office (NHB for HFCs); any CRO change to the stock exchanges if listed</w:t>
            </w:r>
          </w:p>
        </w:tc>
        <w:tc>
          <w:tcPr>
            <w:tcW w:w="1915" w:type="dxa"/>
          </w:tcPr>
          <w:p>
            <w:pPr>
              <w:pStyle w:val="Compact"/>
              <w:spacing w:after="40"/>
              <w:jc w:val="left"/>
            </w:pPr>
            <w:r>
              <w:rPr>
                <w:sz w:val="18"/>
              </w:rPr>
              <w:t xml:space="preserve">GOV 22</w:t>
            </w:r>
          </w:p>
        </w:tc>
      </w:tr>
      <w:tr>
        <w:tc>
          <w:tcPr>
            <w:tcW w:w="3616" w:type="dxa"/>
          </w:tcPr>
          <w:p>
            <w:pPr>
              <w:pStyle w:val="Compact"/>
              <w:spacing w:after="40"/>
              <w:jc w:val="left"/>
            </w:pPr>
            <w:r>
              <w:rPr>
                <w:sz w:val="18"/>
              </w:rPr>
              <w:t xml:space="preserve">Premature exit of an independent director (UL)</w:t>
            </w:r>
          </w:p>
        </w:tc>
        <w:tc>
          <w:tcPr>
            <w:tcW w:w="4107" w:type="dxa"/>
          </w:tcPr>
          <w:p>
            <w:pPr>
              <w:pStyle w:val="Compact"/>
              <w:spacing w:after="40"/>
              <w:jc w:val="left"/>
            </w:pPr>
            <w:r>
              <w:rPr>
                <w:sz w:val="18"/>
              </w:rPr>
              <w:t xml:space="preserve">Event-driven, to supervisors</w:t>
            </w:r>
          </w:p>
        </w:tc>
        <w:tc>
          <w:tcPr>
            <w:tcW w:w="1915" w:type="dxa"/>
          </w:tcPr>
          <w:p>
            <w:pPr>
              <w:pStyle w:val="Compact"/>
              <w:spacing w:after="40"/>
              <w:jc w:val="left"/>
            </w:pPr>
            <w:r>
              <w:rPr>
                <w:sz w:val="18"/>
              </w:rPr>
              <w:t xml:space="preserve">GOV 42</w:t>
            </w:r>
          </w:p>
        </w:tc>
      </w:tr>
      <w:tr>
        <w:tc>
          <w:tcPr>
            <w:tcW w:w="3616" w:type="dxa"/>
          </w:tcPr>
          <w:p>
            <w:pPr>
              <w:pStyle w:val="Compact"/>
              <w:spacing w:after="40"/>
              <w:jc w:val="left"/>
            </w:pPr>
            <w:r>
              <w:rPr>
                <w:sz w:val="18"/>
              </w:rPr>
              <w:t xml:space="preserve">Security breach or leakage of customer data at a service provider</w:t>
            </w:r>
          </w:p>
        </w:tc>
        <w:tc>
          <w:tcPr>
            <w:tcW w:w="4107" w:type="dxa"/>
          </w:tcPr>
          <w:p>
            <w:pPr>
              <w:pStyle w:val="Compact"/>
              <w:spacing w:after="40"/>
              <w:jc w:val="left"/>
            </w:pPr>
            <w:r>
              <w:rPr>
                <w:sz w:val="18"/>
              </w:rPr>
              <w:t xml:space="preserve">Immediately, to RBI</w:t>
            </w:r>
          </w:p>
        </w:tc>
        <w:tc>
          <w:tcPr>
            <w:tcW w:w="1915" w:type="dxa"/>
          </w:tcPr>
          <w:p>
            <w:pPr>
              <w:pStyle w:val="Compact"/>
              <w:spacing w:after="40"/>
              <w:jc w:val="left"/>
            </w:pPr>
            <w:r>
              <w:rPr>
                <w:sz w:val="18"/>
              </w:rPr>
              <w:t xml:space="preserve">OUT 28, 69(iii)</w:t>
            </w:r>
          </w:p>
        </w:tc>
      </w:tr>
      <w:tr>
        <w:tc>
          <w:tcPr>
            <w:tcW w:w="3616" w:type="dxa"/>
          </w:tcPr>
          <w:p>
            <w:pPr>
              <w:pStyle w:val="Compact"/>
              <w:spacing w:after="40"/>
              <w:jc w:val="left"/>
            </w:pPr>
            <w:r>
              <w:rPr>
                <w:sz w:val="18"/>
              </w:rPr>
              <w:t xml:space="preserve">Cyber incident at a service provider</w:t>
            </w:r>
          </w:p>
        </w:tc>
        <w:tc>
          <w:tcPr>
            <w:tcW w:w="4107" w:type="dxa"/>
          </w:tcPr>
          <w:p>
            <w:pPr>
              <w:pStyle w:val="Compact"/>
              <w:spacing w:after="40"/>
              <w:jc w:val="left"/>
            </w:pPr>
            <w:r>
              <w:rPr>
                <w:sz w:val="18"/>
              </w:rPr>
              <w:t xml:space="preserve">To RBI within 6 hours of detection by the service provider</w:t>
            </w:r>
          </w:p>
        </w:tc>
        <w:tc>
          <w:tcPr>
            <w:tcW w:w="1915" w:type="dxa"/>
          </w:tcPr>
          <w:p>
            <w:pPr>
              <w:pStyle w:val="Compact"/>
              <w:spacing w:after="40"/>
              <w:jc w:val="left"/>
            </w:pPr>
            <w:r>
              <w:rPr>
                <w:sz w:val="18"/>
              </w:rPr>
              <w:t xml:space="preserve">OUT 61</w:t>
            </w:r>
          </w:p>
        </w:tc>
      </w:tr>
      <w:tr>
        <w:tc>
          <w:tcPr>
            <w:tcW w:w="3616" w:type="dxa"/>
          </w:tcPr>
          <w:p>
            <w:pPr>
              <w:pStyle w:val="Compact"/>
              <w:spacing w:after="40"/>
              <w:jc w:val="left"/>
            </w:pPr>
            <w:r>
              <w:rPr>
                <w:sz w:val="18"/>
              </w:rPr>
              <w:t xml:space="preserve">DNBS01 (UL/ML excl. CICs)</w:t>
            </w:r>
          </w:p>
        </w:tc>
        <w:tc>
          <w:tcPr>
            <w:tcW w:w="4107" w:type="dxa"/>
          </w:tcPr>
          <w:p>
            <w:pPr>
              <w:pStyle w:val="Compact"/>
              <w:spacing w:after="40"/>
              <w:jc w:val="left"/>
            </w:pPr>
            <w:r>
              <w:rPr>
                <w:sz w:val="18"/>
              </w:rPr>
              <w:t xml:space="preserve">Quarterly, within 21 days</w:t>
            </w:r>
          </w:p>
        </w:tc>
        <w:tc>
          <w:tcPr>
            <w:tcW w:w="1915" w:type="dxa"/>
          </w:tcPr>
          <w:p>
            <w:pPr>
              <w:pStyle w:val="Compact"/>
              <w:spacing w:after="40"/>
              <w:jc w:val="left"/>
            </w:pPr>
            <w:r>
              <w:rPr>
                <w:sz w:val="18"/>
              </w:rPr>
              <w:t xml:space="preserve">SR 21 item 1, 22</w:t>
            </w:r>
          </w:p>
        </w:tc>
      </w:tr>
      <w:tr>
        <w:tc>
          <w:tcPr>
            <w:tcW w:w="3616" w:type="dxa"/>
          </w:tcPr>
          <w:p>
            <w:pPr>
              <w:pStyle w:val="Compact"/>
              <w:spacing w:after="40"/>
              <w:jc w:val="left"/>
            </w:pPr>
            <w:r>
              <w:rPr>
                <w:sz w:val="18"/>
              </w:rPr>
              <w:t xml:space="preserve">DNBS02 (BL excl. P2Ps)</w:t>
            </w:r>
          </w:p>
        </w:tc>
        <w:tc>
          <w:tcPr>
            <w:tcW w:w="4107" w:type="dxa"/>
          </w:tcPr>
          <w:p>
            <w:pPr>
              <w:pStyle w:val="Compact"/>
              <w:spacing w:after="40"/>
              <w:jc w:val="left"/>
            </w:pPr>
            <w:r>
              <w:rPr>
                <w:sz w:val="18"/>
              </w:rPr>
              <w:t xml:space="preserve">Quarterly, within 21 days</w:t>
            </w:r>
          </w:p>
        </w:tc>
        <w:tc>
          <w:tcPr>
            <w:tcW w:w="1915" w:type="dxa"/>
          </w:tcPr>
          <w:p>
            <w:pPr>
              <w:pStyle w:val="Compact"/>
              <w:spacing w:after="40"/>
              <w:jc w:val="left"/>
            </w:pPr>
            <w:r>
              <w:rPr>
                <w:sz w:val="18"/>
              </w:rPr>
              <w:t xml:space="preserve">SR 21 item 2, 22</w:t>
            </w:r>
          </w:p>
        </w:tc>
      </w:tr>
      <w:tr>
        <w:tc>
          <w:tcPr>
            <w:tcW w:w="3616" w:type="dxa"/>
          </w:tcPr>
          <w:p>
            <w:pPr>
              <w:pStyle w:val="Compact"/>
              <w:spacing w:after="40"/>
              <w:jc w:val="left"/>
            </w:pPr>
            <w:r>
              <w:rPr>
                <w:sz w:val="18"/>
              </w:rPr>
              <w:t xml:space="preserve">DNBS03 (UL excl. CICs; ML excl. CICs/SPDs)</w:t>
            </w:r>
          </w:p>
        </w:tc>
        <w:tc>
          <w:tcPr>
            <w:tcW w:w="4107" w:type="dxa"/>
          </w:tcPr>
          <w:p>
            <w:pPr>
              <w:pStyle w:val="Compact"/>
              <w:spacing w:after="40"/>
              <w:jc w:val="left"/>
            </w:pPr>
            <w:r>
              <w:rPr>
                <w:sz w:val="18"/>
              </w:rPr>
              <w:t xml:space="preserve">Quarterly, within 21 days</w:t>
            </w:r>
          </w:p>
        </w:tc>
        <w:tc>
          <w:tcPr>
            <w:tcW w:w="1915" w:type="dxa"/>
          </w:tcPr>
          <w:p>
            <w:pPr>
              <w:pStyle w:val="Compact"/>
              <w:spacing w:after="40"/>
              <w:jc w:val="left"/>
            </w:pPr>
            <w:r>
              <w:rPr>
                <w:sz w:val="18"/>
              </w:rPr>
              <w:t xml:space="preserve">SR 21 item 3, 22</w:t>
            </w:r>
          </w:p>
        </w:tc>
      </w:tr>
      <w:tr>
        <w:tc>
          <w:tcPr>
            <w:tcW w:w="3616" w:type="dxa"/>
          </w:tcPr>
          <w:p>
            <w:pPr>
              <w:pStyle w:val="Compact"/>
              <w:spacing w:after="40"/>
              <w:jc w:val="left"/>
            </w:pPr>
            <w:r>
              <w:rPr>
                <w:sz w:val="18"/>
              </w:rPr>
              <w:t xml:space="preserve">DNBS04A / DNBS04B</w:t>
            </w:r>
          </w:p>
        </w:tc>
        <w:tc>
          <w:tcPr>
            <w:tcW w:w="4107" w:type="dxa"/>
          </w:tcPr>
          <w:p>
            <w:pPr>
              <w:pStyle w:val="Compact"/>
              <w:spacing w:after="40"/>
              <w:jc w:val="left"/>
            </w:pPr>
            <w:r>
              <w:rPr>
                <w:sz w:val="18"/>
              </w:rPr>
              <w:t xml:space="preserve">Quarterly within 21 days / monthly within 15 days</w:t>
            </w:r>
          </w:p>
        </w:tc>
        <w:tc>
          <w:tcPr>
            <w:tcW w:w="1915" w:type="dxa"/>
          </w:tcPr>
          <w:p>
            <w:pPr>
              <w:pStyle w:val="Compact"/>
              <w:spacing w:after="40"/>
              <w:jc w:val="left"/>
            </w:pPr>
            <w:r>
              <w:rPr>
                <w:sz w:val="18"/>
              </w:rPr>
              <w:t xml:space="preserve">SR 21 item 4, 22; ALM 57</w:t>
            </w:r>
          </w:p>
        </w:tc>
      </w:tr>
      <w:tr>
        <w:tc>
          <w:tcPr>
            <w:tcW w:w="3616" w:type="dxa"/>
          </w:tcPr>
          <w:p>
            <w:pPr>
              <w:pStyle w:val="Compact"/>
              <w:spacing w:after="40"/>
              <w:jc w:val="left"/>
            </w:pPr>
            <w:r>
              <w:rPr>
                <w:sz w:val="18"/>
              </w:rPr>
              <w:t xml:space="preserve">CRILC (≥ ₹5 crore borrowers; NIL return)</w:t>
            </w:r>
          </w:p>
        </w:tc>
        <w:tc>
          <w:tcPr>
            <w:tcW w:w="4107" w:type="dxa"/>
          </w:tcPr>
          <w:p>
            <w:pPr>
              <w:pStyle w:val="Compact"/>
              <w:spacing w:after="40"/>
              <w:jc w:val="left"/>
            </w:pPr>
            <w:r>
              <w:rPr>
                <w:sz w:val="18"/>
              </w:rPr>
              <w:t xml:space="preserve">Monthly, within 15 days</w:t>
            </w:r>
          </w:p>
        </w:tc>
        <w:tc>
          <w:tcPr>
            <w:tcW w:w="1915" w:type="dxa"/>
          </w:tcPr>
          <w:p>
            <w:pPr>
              <w:pStyle w:val="Compact"/>
              <w:spacing w:after="40"/>
              <w:jc w:val="left"/>
            </w:pPr>
            <w:r>
              <w:rPr>
                <w:sz w:val="18"/>
              </w:rPr>
              <w:t xml:space="preserve">SR 21 item 5, 22</w:t>
            </w:r>
          </w:p>
        </w:tc>
      </w:tr>
      <w:tr>
        <w:tc>
          <w:tcPr>
            <w:tcW w:w="3616" w:type="dxa"/>
          </w:tcPr>
          <w:p>
            <w:pPr>
              <w:pStyle w:val="Compact"/>
              <w:spacing w:after="40"/>
              <w:jc w:val="left"/>
            </w:pPr>
            <w:r>
              <w:rPr>
                <w:sz w:val="18"/>
              </w:rPr>
              <w:t xml:space="preserve">DNBS09 Defaulted Borrowers (NIL return)</w:t>
            </w:r>
          </w:p>
        </w:tc>
        <w:tc>
          <w:tcPr>
            <w:tcW w:w="4107" w:type="dxa"/>
          </w:tcPr>
          <w:p>
            <w:pPr>
              <w:pStyle w:val="Compact"/>
              <w:spacing w:after="40"/>
              <w:jc w:val="left"/>
            </w:pPr>
            <w:r>
              <w:rPr>
                <w:sz w:val="18"/>
              </w:rPr>
              <w:t xml:space="preserve">Weekly as on Friday; by Wednesday of the following week</w:t>
            </w:r>
          </w:p>
        </w:tc>
        <w:tc>
          <w:tcPr>
            <w:tcW w:w="1915" w:type="dxa"/>
          </w:tcPr>
          <w:p>
            <w:pPr>
              <w:pStyle w:val="Compact"/>
              <w:spacing w:after="40"/>
              <w:jc w:val="left"/>
            </w:pPr>
            <w:r>
              <w:rPr>
                <w:sz w:val="18"/>
              </w:rPr>
              <w:t xml:space="preserve">SR 21 item 6, 22</w:t>
            </w:r>
          </w:p>
        </w:tc>
      </w:tr>
      <w:tr>
        <w:tc>
          <w:tcPr>
            <w:tcW w:w="3616" w:type="dxa"/>
          </w:tcPr>
          <w:p>
            <w:pPr>
              <w:pStyle w:val="Compact"/>
              <w:spacing w:after="40"/>
              <w:jc w:val="left"/>
            </w:pPr>
            <w:r>
              <w:rPr>
                <w:sz w:val="18"/>
              </w:rPr>
              <w:t xml:space="preserve">DNBS10 SAC</w:t>
            </w:r>
          </w:p>
        </w:tc>
        <w:tc>
          <w:tcPr>
            <w:tcW w:w="4107" w:type="dxa"/>
          </w:tcPr>
          <w:p>
            <w:pPr>
              <w:pStyle w:val="Compact"/>
              <w:spacing w:after="40"/>
              <w:jc w:val="left"/>
            </w:pPr>
            <w:r>
              <w:rPr>
                <w:sz w:val="18"/>
              </w:rPr>
              <w:t xml:space="preserve">5 working days from auditor’s report; by 31 Dec</w:t>
            </w:r>
          </w:p>
        </w:tc>
        <w:tc>
          <w:tcPr>
            <w:tcW w:w="1915" w:type="dxa"/>
          </w:tcPr>
          <w:p>
            <w:pPr>
              <w:pStyle w:val="Compact"/>
              <w:spacing w:after="40"/>
              <w:jc w:val="left"/>
            </w:pPr>
            <w:r>
              <w:rPr>
                <w:sz w:val="18"/>
              </w:rPr>
              <w:t xml:space="preserve">SR 21 item 7, 23</w:t>
            </w:r>
          </w:p>
        </w:tc>
      </w:tr>
      <w:tr>
        <w:tc>
          <w:tcPr>
            <w:tcW w:w="3616" w:type="dxa"/>
          </w:tcPr>
          <w:p>
            <w:pPr>
              <w:pStyle w:val="Compact"/>
              <w:spacing w:after="40"/>
              <w:jc w:val="left"/>
            </w:pPr>
            <w:r>
              <w:rPr>
                <w:sz w:val="18"/>
              </w:rPr>
              <w:t xml:space="preserve">DNBS13 Overseas Investment (all NBFCs; NIL return)</w:t>
            </w:r>
          </w:p>
        </w:tc>
        <w:tc>
          <w:tcPr>
            <w:tcW w:w="4107" w:type="dxa"/>
          </w:tcPr>
          <w:p>
            <w:pPr>
              <w:pStyle w:val="Compact"/>
              <w:spacing w:after="40"/>
              <w:jc w:val="left"/>
            </w:pPr>
            <w:r>
              <w:rPr>
                <w:sz w:val="18"/>
              </w:rPr>
              <w:t xml:space="preserve">Quarterly, within 21 days</w:t>
            </w:r>
          </w:p>
        </w:tc>
        <w:tc>
          <w:tcPr>
            <w:tcW w:w="1915" w:type="dxa"/>
          </w:tcPr>
          <w:p>
            <w:pPr>
              <w:pStyle w:val="Compact"/>
              <w:spacing w:after="40"/>
              <w:jc w:val="left"/>
            </w:pPr>
            <w:r>
              <w:rPr>
                <w:sz w:val="18"/>
              </w:rPr>
              <w:t xml:space="preserve">SR 21 item 10, 22</w:t>
            </w:r>
          </w:p>
        </w:tc>
      </w:tr>
      <w:tr>
        <w:tc>
          <w:tcPr>
            <w:tcW w:w="3616" w:type="dxa"/>
          </w:tcPr>
          <w:p>
            <w:pPr>
              <w:pStyle w:val="Compact"/>
              <w:spacing w:after="40"/>
              <w:jc w:val="left"/>
            </w:pPr>
            <w:r>
              <w:rPr>
                <w:sz w:val="18"/>
              </w:rPr>
              <w:t xml:space="preserve">Large Exposure Framework (UL)</w:t>
            </w:r>
          </w:p>
        </w:tc>
        <w:tc>
          <w:tcPr>
            <w:tcW w:w="4107" w:type="dxa"/>
          </w:tcPr>
          <w:p>
            <w:pPr>
              <w:pStyle w:val="Compact"/>
              <w:spacing w:after="40"/>
              <w:jc w:val="left"/>
            </w:pPr>
            <w:r>
              <w:rPr>
                <w:sz w:val="18"/>
              </w:rPr>
              <w:t xml:space="preserve">Quarterly, within 21 days</w:t>
            </w:r>
          </w:p>
        </w:tc>
        <w:tc>
          <w:tcPr>
            <w:tcW w:w="1915" w:type="dxa"/>
          </w:tcPr>
          <w:p>
            <w:pPr>
              <w:pStyle w:val="Compact"/>
              <w:spacing w:after="40"/>
              <w:jc w:val="left"/>
            </w:pPr>
            <w:r>
              <w:rPr>
                <w:sz w:val="18"/>
              </w:rPr>
              <w:t xml:space="preserve">SR 21 item 12, 22</w:t>
            </w:r>
          </w:p>
        </w:tc>
      </w:tr>
      <w:tr>
        <w:tc>
          <w:tcPr>
            <w:tcW w:w="3616" w:type="dxa"/>
          </w:tcPr>
          <w:p>
            <w:pPr>
              <w:pStyle w:val="Compact"/>
              <w:spacing w:after="40"/>
              <w:jc w:val="left"/>
            </w:pPr>
            <w:r>
              <w:rPr>
                <w:sz w:val="18"/>
              </w:rPr>
              <w:t xml:space="preserve">FMR / FUA / FMR4-RBR (UL, ML, BL ≥ ₹500 crore)</w:t>
            </w:r>
          </w:p>
        </w:tc>
        <w:tc>
          <w:tcPr>
            <w:tcW w:w="4107" w:type="dxa"/>
          </w:tcPr>
          <w:p>
            <w:pPr>
              <w:pStyle w:val="Compact"/>
              <w:spacing w:after="40"/>
              <w:jc w:val="left"/>
            </w:pPr>
            <w:r>
              <w:rPr>
                <w:sz w:val="18"/>
              </w:rPr>
              <w:t xml:space="preserve">14 days / immediate / quarterly within 15 days</w:t>
            </w:r>
          </w:p>
        </w:tc>
        <w:tc>
          <w:tcPr>
            <w:tcW w:w="1915" w:type="dxa"/>
          </w:tcPr>
          <w:p>
            <w:pPr>
              <w:pStyle w:val="Compact"/>
              <w:spacing w:after="40"/>
              <w:jc w:val="left"/>
            </w:pPr>
            <w:r>
              <w:rPr>
                <w:sz w:val="18"/>
              </w:rPr>
              <w:t xml:space="preserve">SR 21 items 17–19, 23</w:t>
            </w:r>
          </w:p>
        </w:tc>
      </w:tr>
      <w:tr>
        <w:tc>
          <w:tcPr>
            <w:tcW w:w="3616" w:type="dxa"/>
          </w:tcPr>
          <w:p>
            <w:pPr>
              <w:pStyle w:val="Compact"/>
              <w:spacing w:after="40"/>
              <w:jc w:val="left"/>
            </w:pPr>
            <w:r>
              <w:rPr>
                <w:sz w:val="18"/>
              </w:rPr>
              <w:t xml:space="preserve">Form A Certificate (all NBFCs)</w:t>
            </w:r>
          </w:p>
        </w:tc>
        <w:tc>
          <w:tcPr>
            <w:tcW w:w="4107" w:type="dxa"/>
          </w:tcPr>
          <w:p>
            <w:pPr>
              <w:pStyle w:val="Compact"/>
              <w:spacing w:after="40"/>
              <w:jc w:val="left"/>
            </w:pPr>
            <w:r>
              <w:rPr>
                <w:sz w:val="18"/>
              </w:rPr>
              <w:t xml:space="preserve">Within 1 month of SCA/SA appointment</w:t>
            </w:r>
          </w:p>
        </w:tc>
        <w:tc>
          <w:tcPr>
            <w:tcW w:w="1915" w:type="dxa"/>
          </w:tcPr>
          <w:p>
            <w:pPr>
              <w:pStyle w:val="Compact"/>
              <w:spacing w:after="40"/>
              <w:jc w:val="left"/>
            </w:pPr>
            <w:r>
              <w:rPr>
                <w:sz w:val="18"/>
              </w:rPr>
              <w:t xml:space="preserve">SR 21 item 20, 23; SA 30(1)</w:t>
            </w:r>
          </w:p>
        </w:tc>
      </w:tr>
      <w:tr>
        <w:tc>
          <w:tcPr>
            <w:tcW w:w="3616" w:type="dxa"/>
          </w:tcPr>
          <w:p>
            <w:pPr>
              <w:pStyle w:val="Compact"/>
              <w:spacing w:after="40"/>
              <w:jc w:val="left"/>
            </w:pPr>
            <w:r>
              <w:rPr>
                <w:sz w:val="18"/>
              </w:rPr>
              <w:t xml:space="preserve">Audited returns (generic)</w:t>
            </w:r>
          </w:p>
        </w:tc>
        <w:tc>
          <w:tcPr>
            <w:tcW w:w="4107" w:type="dxa"/>
          </w:tcPr>
          <w:p>
            <w:pPr>
              <w:pStyle w:val="Compact"/>
              <w:spacing w:after="40"/>
              <w:jc w:val="left"/>
            </w:pPr>
            <w:r>
              <w:rPr>
                <w:sz w:val="18"/>
              </w:rPr>
              <w:t xml:space="preserve">Within 5 working days of signing of auditor’s report</w:t>
            </w:r>
          </w:p>
        </w:tc>
        <w:tc>
          <w:tcPr>
            <w:tcW w:w="1915" w:type="dxa"/>
          </w:tcPr>
          <w:p>
            <w:pPr>
              <w:pStyle w:val="Compact"/>
              <w:spacing w:after="40"/>
              <w:jc w:val="left"/>
            </w:pPr>
            <w:r>
              <w:rPr>
                <w:sz w:val="18"/>
              </w:rPr>
              <w:t xml:space="preserve">SR 22 Note 1</w:t>
            </w:r>
          </w:p>
        </w:tc>
      </w:tr>
      <w:tr>
        <w:tc>
          <w:tcPr>
            <w:tcW w:w="3616" w:type="dxa"/>
          </w:tcPr>
          <w:p>
            <w:pPr>
              <w:pStyle w:val="Compact"/>
              <w:spacing w:after="40"/>
              <w:jc w:val="left"/>
            </w:pPr>
            <w:r>
              <w:rPr>
                <w:sz w:val="18"/>
              </w:rPr>
              <w:t xml:space="preserve">Ad-hoc returns</w:t>
            </w:r>
          </w:p>
        </w:tc>
        <w:tc>
          <w:tcPr>
            <w:tcW w:w="4107" w:type="dxa"/>
          </w:tcPr>
          <w:p>
            <w:pPr>
              <w:pStyle w:val="Compact"/>
              <w:spacing w:after="40"/>
              <w:jc w:val="left"/>
            </w:pPr>
            <w:r>
              <w:rPr>
                <w:sz w:val="18"/>
              </w:rPr>
              <w:t xml:space="preserve">As per RBI communication</w:t>
            </w:r>
          </w:p>
        </w:tc>
        <w:tc>
          <w:tcPr>
            <w:tcW w:w="1915" w:type="dxa"/>
          </w:tcPr>
          <w:p>
            <w:pPr>
              <w:pStyle w:val="Compact"/>
              <w:spacing w:after="40"/>
              <w:jc w:val="left"/>
            </w:pPr>
            <w:r>
              <w:rPr>
                <w:sz w:val="18"/>
              </w:rPr>
              <w:t xml:space="preserve">SR 22 Note 2, 25</w:t>
            </w:r>
          </w:p>
        </w:tc>
      </w:tr>
      <w:tr>
        <w:tc>
          <w:tcPr>
            <w:tcW w:w="3616" w:type="dxa"/>
          </w:tcPr>
          <w:p>
            <w:pPr>
              <w:pStyle w:val="Compact"/>
              <w:spacing w:after="40"/>
              <w:jc w:val="left"/>
            </w:pPr>
            <w:r>
              <w:rPr>
                <w:sz w:val="18"/>
              </w:rPr>
              <w:t xml:space="preserve">CFSS implementation progress report to SSM</w:t>
            </w:r>
          </w:p>
        </w:tc>
        <w:tc>
          <w:tcPr>
            <w:tcW w:w="4107" w:type="dxa"/>
          </w:tcPr>
          <w:p>
            <w:pPr>
              <w:pStyle w:val="Compact"/>
              <w:spacing w:after="40"/>
              <w:jc w:val="left"/>
            </w:pPr>
            <w:r>
              <w:rPr>
                <w:sz w:val="18"/>
              </w:rPr>
              <w:t xml:space="preserve">Quarterly</w:t>
            </w:r>
          </w:p>
        </w:tc>
        <w:tc>
          <w:tcPr>
            <w:tcW w:w="1915" w:type="dxa"/>
          </w:tcPr>
          <w:p>
            <w:pPr>
              <w:pStyle w:val="Compact"/>
              <w:spacing w:after="40"/>
              <w:jc w:val="left"/>
            </w:pPr>
            <w:r>
              <w:rPr>
                <w:sz w:val="18"/>
              </w:rPr>
              <w:t xml:space="preserve">MSD 6</w:t>
            </w:r>
          </w:p>
        </w:tc>
      </w:tr>
      <w:tr>
        <w:tc>
          <w:tcPr>
            <w:tcW w:w="3616" w:type="dxa"/>
          </w:tcPr>
          <w:p>
            <w:pPr>
              <w:pStyle w:val="Compact"/>
              <w:spacing w:after="40"/>
              <w:jc w:val="left"/>
            </w:pPr>
            <w:r>
              <w:rPr>
                <w:sz w:val="18"/>
              </w:rPr>
              <w:t xml:space="preserve">Nomination coverage via DAKSH (NBFC-D)</w:t>
            </w:r>
          </w:p>
        </w:tc>
        <w:tc>
          <w:tcPr>
            <w:tcW w:w="4107" w:type="dxa"/>
          </w:tcPr>
          <w:p>
            <w:pPr>
              <w:pStyle w:val="Compact"/>
              <w:spacing w:after="40"/>
              <w:jc w:val="left"/>
            </w:pPr>
            <w:r>
              <w:rPr>
                <w:sz w:val="18"/>
              </w:rPr>
              <w:t xml:space="preserve">Quarterly</w:t>
            </w:r>
          </w:p>
        </w:tc>
        <w:tc>
          <w:tcPr>
            <w:tcW w:w="1915" w:type="dxa"/>
          </w:tcPr>
          <w:p>
            <w:pPr>
              <w:pStyle w:val="Compact"/>
              <w:spacing w:after="40"/>
              <w:jc w:val="left"/>
            </w:pPr>
            <w:r>
              <w:rPr>
                <w:sz w:val="18"/>
              </w:rPr>
              <w:t xml:space="preserve">MSD 12</w:t>
            </w:r>
          </w:p>
        </w:tc>
      </w:tr>
      <w:tr>
        <w:tc>
          <w:tcPr>
            <w:tcW w:w="3616" w:type="dxa"/>
          </w:tcPr>
          <w:p>
            <w:pPr>
              <w:pStyle w:val="Compact"/>
              <w:spacing w:after="40"/>
              <w:jc w:val="left"/>
            </w:pPr>
            <w:r>
              <w:rPr>
                <w:sz w:val="18"/>
              </w:rPr>
              <w:t xml:space="preserve">Serious auditor lapses report to DoS</w:t>
            </w:r>
          </w:p>
        </w:tc>
        <w:tc>
          <w:tcPr>
            <w:tcW w:w="4107" w:type="dxa"/>
          </w:tcPr>
          <w:p>
            <w:pPr>
              <w:pStyle w:val="Compact"/>
              <w:spacing w:after="40"/>
              <w:jc w:val="left"/>
            </w:pPr>
            <w:r>
              <w:rPr>
                <w:sz w:val="18"/>
              </w:rPr>
              <w:t xml:space="preserve">Within 2 months of completion of annual audit</w:t>
            </w:r>
          </w:p>
        </w:tc>
        <w:tc>
          <w:tcPr>
            <w:tcW w:w="1915" w:type="dxa"/>
          </w:tcPr>
          <w:p>
            <w:pPr>
              <w:pStyle w:val="Compact"/>
              <w:spacing w:after="40"/>
              <w:jc w:val="left"/>
            </w:pPr>
            <w:r>
              <w:rPr>
                <w:sz w:val="18"/>
              </w:rPr>
              <w:t xml:space="preserve">SA 8</w:t>
            </w:r>
          </w:p>
        </w:tc>
      </w:tr>
      <w:tr>
        <w:tc>
          <w:tcPr>
            <w:tcW w:w="3616" w:type="dxa"/>
          </w:tcPr>
          <w:p>
            <w:pPr>
              <w:pStyle w:val="Compact"/>
              <w:spacing w:after="40"/>
              <w:jc w:val="left"/>
            </w:pPr>
            <w:r>
              <w:rPr>
                <w:sz w:val="18"/>
              </w:rPr>
              <w:t xml:space="preserve">Early removal of SCA/SA to SSM/RO</w:t>
            </w:r>
          </w:p>
        </w:tc>
        <w:tc>
          <w:tcPr>
            <w:tcW w:w="4107" w:type="dxa"/>
          </w:tcPr>
          <w:p>
            <w:pPr>
              <w:pStyle w:val="Compact"/>
              <w:spacing w:after="40"/>
              <w:jc w:val="left"/>
            </w:pPr>
            <w:r>
              <w:rPr>
                <w:sz w:val="18"/>
              </w:rPr>
              <w:t xml:space="preserve">Within 1 month of decision</w:t>
            </w:r>
          </w:p>
        </w:tc>
        <w:tc>
          <w:tcPr>
            <w:tcW w:w="1915" w:type="dxa"/>
          </w:tcPr>
          <w:p>
            <w:pPr>
              <w:pStyle w:val="Compact"/>
              <w:spacing w:after="40"/>
              <w:jc w:val="left"/>
            </w:pPr>
            <w:r>
              <w:rPr>
                <w:sz w:val="18"/>
              </w:rPr>
              <w:t xml:space="preserve">SA 23</w:t>
            </w:r>
          </w:p>
        </w:tc>
      </w:tr>
      <w:tr>
        <w:tc>
          <w:tcPr>
            <w:tcW w:w="3616" w:type="dxa"/>
          </w:tcPr>
          <w:p>
            <w:pPr>
              <w:pStyle w:val="Compact"/>
              <w:spacing w:after="40"/>
              <w:jc w:val="left"/>
            </w:pPr>
            <w:r>
              <w:rPr>
                <w:sz w:val="18"/>
              </w:rPr>
              <w:t xml:space="preserve">MFI remediation plan to RBI</w:t>
            </w:r>
          </w:p>
        </w:tc>
        <w:tc>
          <w:tcPr>
            <w:tcW w:w="4107" w:type="dxa"/>
          </w:tcPr>
          <w:p>
            <w:pPr>
              <w:pStyle w:val="Compact"/>
              <w:spacing w:after="40"/>
              <w:jc w:val="left"/>
            </w:pPr>
            <w:r>
              <w:rPr>
                <w:sz w:val="18"/>
              </w:rPr>
              <w:t xml:space="preserve">After 4 consecutive quarters below 60%</w:t>
            </w:r>
          </w:p>
        </w:tc>
        <w:tc>
          <w:tcPr>
            <w:tcW w:w="1915" w:type="dxa"/>
          </w:tcPr>
          <w:p>
            <w:pPr>
              <w:pStyle w:val="Compact"/>
              <w:spacing w:after="40"/>
              <w:jc w:val="left"/>
            </w:pPr>
            <w:r>
              <w:rPr>
                <w:sz w:val="18"/>
              </w:rPr>
              <w:t xml:space="preserve">MFI 12</w:t>
            </w:r>
          </w:p>
        </w:tc>
      </w:tr>
      <w:tr>
        <w:tc>
          <w:tcPr>
            <w:tcW w:w="3616" w:type="dxa"/>
          </w:tcPr>
          <w:p>
            <w:pPr>
              <w:pStyle w:val="Compact"/>
              <w:spacing w:after="40"/>
              <w:jc w:val="left"/>
            </w:pPr>
            <w:r>
              <w:rPr>
                <w:sz w:val="18"/>
              </w:rPr>
              <w:t xml:space="preserve">DNBS11/12 (CICs), DNBS14 (P2P), PDR III/IV, Stress Test, IRS Test (SPDs)</w:t>
            </w:r>
          </w:p>
        </w:tc>
        <w:tc>
          <w:tcPr>
            <w:tcW w:w="4107" w:type="dxa"/>
          </w:tcPr>
          <w:p>
            <w:pPr>
              <w:pStyle w:val="Compact"/>
              <w:spacing w:after="40"/>
              <w:jc w:val="left"/>
            </w:pPr>
            <w:r>
              <w:rPr>
                <w:sz w:val="18"/>
              </w:rPr>
              <w:t xml:space="preserve">Catalogue entries only (not targeted)</w:t>
            </w:r>
          </w:p>
        </w:tc>
        <w:tc>
          <w:tcPr>
            <w:tcW w:w="1915" w:type="dxa"/>
          </w:tcPr>
          <w:p>
            <w:pPr>
              <w:pStyle w:val="Compact"/>
              <w:spacing w:after="40"/>
              <w:jc w:val="left"/>
            </w:pPr>
            <w:r>
              <w:rPr>
                <w:sz w:val="18"/>
              </w:rPr>
              <w:t xml:space="preserve">SR 21 items 8–9, 11, 13–16</w:t>
            </w:r>
          </w:p>
        </w:tc>
      </w:tr>
    </w:tbl>
    <w:bookmarkEnd w:id="819"/>
    <w:bookmarkStart w:id="820" w:name="a.36.3-product-rules-part-6"/>
    <w:p>
      <w:pPr>
        <w:pStyle w:val="Heading3"/>
      </w:pPr>
      <w:r>
        <w:t xml:space="preserve">8A.36.3 Product rules (Part 6)</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65"/>
        <w:gridCol w:w="1474"/>
        <w:gridCol w:w="5899"/>
      </w:tblGrid>
      <w:tr>
        <w:trPr>
          <w:tblHeader w:val="true"/>
          <w:tblHeader w:val="true"/>
        </w:trPr>
        <w:tc>
          <w:tcPr>
            <w:tcW w:w="2265" w:type="dxa"/>
            <w:shd w:val="clear" w:color="auto" w:fill="1F3A5F"/>
          </w:tcPr>
          <w:p>
            <w:pPr>
              <w:pStyle w:val="Compact"/>
              <w:spacing w:after="40"/>
              <w:jc w:val="left"/>
            </w:pPr>
            <w:r>
              <w:rPr>
                <w:b/>
                <w:color w:val="FFFFFF"/>
                <w:sz w:val="18"/>
              </w:rPr>
              <w:t xml:space="preserve">Product</w:t>
            </w:r>
          </w:p>
        </w:tc>
        <w:tc>
          <w:tcPr>
            <w:tcW w:w="1474" w:type="dxa"/>
            <w:shd w:val="clear" w:color="auto" w:fill="1F3A5F"/>
          </w:tcPr>
          <w:p>
            <w:pPr>
              <w:pStyle w:val="Compact"/>
              <w:spacing w:after="40"/>
              <w:jc w:val="left"/>
            </w:pPr>
            <w:r>
              <w:rPr>
                <w:b/>
                <w:color w:val="FFFFFF"/>
                <w:sz w:val="18"/>
              </w:rPr>
              <w:t xml:space="preserve">Directions</w:t>
            </w:r>
          </w:p>
        </w:tc>
        <w:tc>
          <w:tcPr>
            <w:tcW w:w="5899" w:type="dxa"/>
            <w:shd w:val="clear" w:color="auto" w:fill="1F3A5F"/>
          </w:tcPr>
          <w:p>
            <w:pPr>
              <w:pStyle w:val="Compact"/>
              <w:spacing w:after="40"/>
              <w:jc w:val="left"/>
            </w:pPr>
            <w:r>
              <w:rPr>
                <w:b/>
                <w:color w:val="FFFFFF"/>
                <w:sz w:val="18"/>
              </w:rPr>
              <w:t xml:space="preserve">Rule (cite)</w:t>
            </w:r>
          </w:p>
        </w:tc>
      </w:tr>
      <w:tr>
        <w:tc>
          <w:tcPr>
            <w:tcW w:w="2265" w:type="dxa"/>
          </w:tcPr>
          <w:p>
            <w:pPr>
              <w:pStyle w:val="Compact"/>
              <w:spacing w:after="40"/>
              <w:jc w:val="left"/>
            </w:pPr>
            <w:r>
              <w:rPr>
                <w:sz w:val="18"/>
              </w:rPr>
              <w:t xml:space="preserve">All products (Part 6 item 4,</w:t>
            </w:r>
            <w:r>
              <w:rPr>
                <w:sz w:val="18"/>
              </w:rPr>
              <w:t xml:space="preserve"> </w:t>
            </w:r>
            <w:r>
              <w:rPr>
                <w:sz w:val="18"/>
              </w:rPr>
              <w:t xml:space="preserve">“</w:t>
            </w:r>
            <w:r>
              <w:rPr>
                <w:sz w:val="18"/>
              </w:rPr>
              <w:t xml:space="preserve">KYC level</w:t>
            </w:r>
            <w:r>
              <w:rPr>
                <w:sz w:val="18"/>
              </w:rPr>
              <w:t xml:space="preserve">”</w:t>
            </w:r>
            <w:r>
              <w:rPr>
                <w:sz w:val="18"/>
              </w:rPr>
              <w:t xml:space="preserve">)</w:t>
            </w:r>
          </w:p>
        </w:tc>
        <w:tc>
          <w:tcPr>
            <w:tcW w:w="1474" w:type="dxa"/>
          </w:tcPr>
          <w:p>
            <w:pPr>
              <w:pStyle w:val="Compact"/>
              <w:spacing w:after="40"/>
              <w:jc w:val="left"/>
            </w:pPr>
            <w:r>
              <w:rPr>
                <w:sz w:val="18"/>
              </w:rPr>
              <w:t xml:space="preserve">KYC</w:t>
            </w:r>
          </w:p>
        </w:tc>
        <w:tc>
          <w:tcPr>
            <w:tcW w:w="5899" w:type="dxa"/>
          </w:tcPr>
          <w:p>
            <w:pPr>
              <w:pStyle w:val="Compact"/>
              <w:spacing w:after="40"/>
              <w:jc w:val="left"/>
            </w:pPr>
            <w:r>
              <w:rPr>
                <w:sz w:val="18"/>
              </w:rPr>
              <w:t xml:space="preserve">OTP-e-KYC NFTF onboarding is permitted only for term loans, with ≤ ₹60,000 aggregate sanction a year and full CDD within 1 year, after which no further debits are allowed (KYC 25(5)–(7))</w:t>
            </w:r>
          </w:p>
        </w:tc>
      </w:tr>
      <w:tr>
        <w:tc>
          <w:tcPr>
            <w:tcW w:w="2265" w:type="dxa"/>
          </w:tcPr>
          <w:p>
            <w:pPr>
              <w:pStyle w:val="Compact"/>
              <w:spacing w:after="40"/>
              <w:jc w:val="left"/>
            </w:pPr>
            <w:r>
              <w:rPr>
                <w:sz w:val="18"/>
              </w:rPr>
              <w:t xml:space="preserve">All</w:t>
            </w:r>
          </w:p>
        </w:tc>
        <w:tc>
          <w:tcPr>
            <w:tcW w:w="1474" w:type="dxa"/>
          </w:tcPr>
          <w:p>
            <w:pPr>
              <w:pStyle w:val="Compact"/>
              <w:spacing w:after="40"/>
              <w:jc w:val="left"/>
            </w:pPr>
            <w:r>
              <w:rPr>
                <w:sz w:val="18"/>
              </w:rPr>
              <w:t xml:space="preserve">TDCR / SEC</w:t>
            </w:r>
          </w:p>
        </w:tc>
        <w:tc>
          <w:tcPr>
            <w:tcW w:w="5899" w:type="dxa"/>
          </w:tcPr>
          <w:p>
            <w:pPr>
              <w:pStyle w:val="Compact"/>
              <w:spacing w:after="40"/>
              <w:jc w:val="left"/>
            </w:pPr>
            <w:r>
              <w:rPr>
                <w:sz w:val="18"/>
              </w:rPr>
              <w:t xml:space="preserve">Computed flags</w:t>
            </w:r>
            <w:r>
              <w:rPr>
                <w:sz w:val="18"/>
              </w:rPr>
              <w:t xml:space="preserve"> </w:t>
            </w:r>
            <w:r>
              <w:rPr>
                <w:rStyle w:val="VerbatimChar"/>
                <w:sz w:val="18"/>
              </w:rPr>
              <w:t xml:space="preserve">securitisation_eligible</w:t>
            </w:r>
            <w:r>
              <w:rPr>
                <w:sz w:val="18"/>
              </w:rPr>
              <w:t xml:space="preserve"> </w:t>
            </w:r>
            <w:r>
              <w:rPr>
                <w:sz w:val="18"/>
              </w:rPr>
              <w:t xml:space="preserve">(SEC 5–8) and</w:t>
            </w:r>
            <w:r>
              <w:rPr>
                <w:sz w:val="18"/>
              </w:rPr>
              <w:t xml:space="preserve"> </w:t>
            </w:r>
            <w:r>
              <w:rPr>
                <w:rStyle w:val="VerbatimChar"/>
                <w:sz w:val="18"/>
              </w:rPr>
              <w:t xml:space="preserve">transfer_eligible_from</w:t>
            </w:r>
            <w:r>
              <w:rPr>
                <w:sz w:val="18"/>
              </w:rPr>
              <w:t xml:space="preserve">, the MHP date (TDCR 43)</w:t>
            </w:r>
          </w:p>
        </w:tc>
      </w:tr>
      <w:tr>
        <w:tc>
          <w:tcPr>
            <w:tcW w:w="2265" w:type="dxa"/>
          </w:tcPr>
          <w:p>
            <w:pPr>
              <w:pStyle w:val="Compact"/>
              <w:spacing w:after="40"/>
              <w:jc w:val="left"/>
            </w:pPr>
            <w:r>
              <w:rPr>
                <w:sz w:val="18"/>
              </w:rPr>
              <w:t xml:space="preserve">All products</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Loans fully secured by deposits held 0% (CAP Sr (3)(c)); rupee rounding (MISC 27); cash disbursal per ss.269SS/269T (MISC 24); no fresh PDCs (MISC 23)</w:t>
            </w:r>
          </w:p>
        </w:tc>
      </w:tr>
      <w:tr>
        <w:tc>
          <w:tcPr>
            <w:tcW w:w="2265" w:type="dxa"/>
          </w:tcPr>
          <w:p>
            <w:pPr>
              <w:pStyle w:val="Compact"/>
              <w:spacing w:after="40"/>
              <w:jc w:val="left"/>
            </w:pPr>
            <w:r>
              <w:rPr>
                <w:sz w:val="18"/>
              </w:rPr>
              <w:t xml:space="preserve">All products</w:t>
            </w:r>
          </w:p>
        </w:tc>
        <w:tc>
          <w:tcPr>
            <w:tcW w:w="1474" w:type="dxa"/>
          </w:tcPr>
          <w:p>
            <w:pPr>
              <w:pStyle w:val="Compact"/>
              <w:spacing w:after="40"/>
              <w:jc w:val="left"/>
            </w:pPr>
            <w:r>
              <w:rPr>
                <w:sz w:val="18"/>
              </w:rPr>
              <w:t xml:space="preserve">GOV / OUT / ORM</w:t>
            </w:r>
          </w:p>
        </w:tc>
        <w:tc>
          <w:tcPr>
            <w:tcW w:w="5899" w:type="dxa"/>
          </w:tcPr>
          <w:p>
            <w:pPr>
              <w:pStyle w:val="Compact"/>
              <w:spacing w:after="40"/>
              <w:jc w:val="left"/>
            </w:pPr>
            <w:r>
              <w:rPr>
                <w:sz w:val="18"/>
              </w:rPr>
              <w:t xml:space="preserve">Literature states that service providers (including for sales and marketing) may be used (OUT 55). Group cross-sell discloses the offering entity (OUT 46, 49). Tenants with a CRO: every product version needs CRO vetting before activation (GOV 23)</w:t>
            </w:r>
          </w:p>
        </w:tc>
      </w:tr>
      <w:tr>
        <w:tc>
          <w:tcPr>
            <w:tcW w:w="2265" w:type="dxa"/>
          </w:tcPr>
          <w:p>
            <w:pPr>
              <w:pStyle w:val="Compact"/>
              <w:spacing w:after="40"/>
              <w:jc w:val="left"/>
            </w:pPr>
            <w:r>
              <w:rPr>
                <w:sz w:val="18"/>
              </w:rPr>
              <w:t xml:space="preserve">All products</w:t>
            </w:r>
          </w:p>
        </w:tc>
        <w:tc>
          <w:tcPr>
            <w:tcW w:w="1474" w:type="dxa"/>
          </w:tcPr>
          <w:p>
            <w:pPr>
              <w:pStyle w:val="Compact"/>
              <w:spacing w:after="40"/>
              <w:jc w:val="left"/>
            </w:pPr>
            <w:r>
              <w:rPr>
                <w:sz w:val="18"/>
              </w:rPr>
              <w:t xml:space="preserve">MFI / IAF / SA / SR / MSD</w:t>
            </w:r>
          </w:p>
        </w:tc>
        <w:tc>
          <w:tcPr>
            <w:tcW w:w="5899" w:type="dxa"/>
          </w:tcPr>
          <w:p>
            <w:pPr>
              <w:pStyle w:val="Compact"/>
              <w:spacing w:after="40"/>
              <w:jc w:val="left"/>
            </w:pPr>
            <w:r>
              <w:rPr>
                <w:sz w:val="18"/>
              </w:rPr>
              <w:t xml:space="preserve">Interest from actual disbursement or cheque handover; no full-month interest for part months; advance instalments reduce the interest base (MSD 7(1), (4), (5)); online transfer preferred to cheques (MSD 9)</w:t>
            </w:r>
          </w:p>
        </w:tc>
      </w:tr>
      <w:tr>
        <w:tc>
          <w:tcPr>
            <w:tcW w:w="2265" w:type="dxa"/>
          </w:tcPr>
          <w:p>
            <w:pPr>
              <w:pStyle w:val="Compact"/>
              <w:spacing w:after="40"/>
              <w:jc w:val="left"/>
            </w:pPr>
            <w:r>
              <w:rPr>
                <w:sz w:val="18"/>
              </w:rPr>
              <w:t xml:space="preserve">1, 3, 7, 12 (revolving / credit-line structures)</w:t>
            </w:r>
          </w:p>
        </w:tc>
        <w:tc>
          <w:tcPr>
            <w:tcW w:w="1474" w:type="dxa"/>
          </w:tcPr>
          <w:p>
            <w:pPr>
              <w:pStyle w:val="Compact"/>
              <w:spacing w:after="40"/>
              <w:jc w:val="left"/>
            </w:pPr>
            <w:r>
              <w:rPr>
                <w:sz w:val="18"/>
              </w:rPr>
              <w:t xml:space="preserve">KYC</w:t>
            </w:r>
          </w:p>
        </w:tc>
        <w:tc>
          <w:tcPr>
            <w:tcW w:w="5899" w:type="dxa"/>
          </w:tcPr>
          <w:p>
            <w:pPr>
              <w:pStyle w:val="Compact"/>
              <w:spacing w:after="40"/>
              <w:jc w:val="left"/>
            </w:pPr>
            <w:r>
              <w:rPr>
                <w:sz w:val="18"/>
              </w:rPr>
              <w:t xml:space="preserve">Must not be offered to customers onboarded through OTP-e-KYC in non-face-to-face mode (KYC 25(5))</w:t>
            </w:r>
          </w:p>
        </w:tc>
      </w:tr>
      <w:tr>
        <w:tc>
          <w:tcPr>
            <w:tcW w:w="2265" w:type="dxa"/>
          </w:tcPr>
          <w:p>
            <w:pPr>
              <w:pStyle w:val="Compact"/>
              <w:spacing w:after="40"/>
              <w:jc w:val="left"/>
            </w:pPr>
            <w:r>
              <w:rPr>
                <w:sz w:val="18"/>
              </w:rPr>
              <w:t xml:space="preserve">1 Personal Loan; 2 Payday; 10 Consumer Durable</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125% RW as retail consumer credit (CAP 18(1) Sr (3)(e)(i))</w:t>
            </w:r>
          </w:p>
        </w:tc>
      </w:tr>
      <w:tr>
        <w:tc>
          <w:tcPr>
            <w:tcW w:w="2265" w:type="dxa"/>
          </w:tcPr>
          <w:p>
            <w:pPr>
              <w:pStyle w:val="Compact"/>
              <w:spacing w:after="40"/>
              <w:jc w:val="left"/>
            </w:pPr>
            <w:r>
              <w:rPr>
                <w:sz w:val="18"/>
              </w:rPr>
              <w:t xml:space="preserve">2 Payday / Short-tenure</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KFS validity ≥ 1 working day for tenor &lt; 7 days; APR on net disbursed amount by IRR (RBC 29(2)–(3))</w:t>
            </w:r>
          </w:p>
        </w:tc>
      </w:tr>
      <w:tr>
        <w:tc>
          <w:tcPr>
            <w:tcW w:w="2265" w:type="dxa"/>
          </w:tcPr>
          <w:p>
            <w:pPr>
              <w:pStyle w:val="Compact"/>
              <w:spacing w:after="40"/>
              <w:jc w:val="left"/>
            </w:pPr>
            <w:r>
              <w:rPr>
                <w:sz w:val="18"/>
              </w:rPr>
              <w:t xml:space="preserve">2 Payday / Short-tenure</w:t>
            </w:r>
          </w:p>
        </w:tc>
        <w:tc>
          <w:tcPr>
            <w:tcW w:w="1474" w:type="dxa"/>
          </w:tcPr>
          <w:p>
            <w:pPr>
              <w:pStyle w:val="Compact"/>
              <w:spacing w:after="40"/>
              <w:jc w:val="left"/>
            </w:pPr>
            <w:r>
              <w:rPr>
                <w:sz w:val="18"/>
              </w:rPr>
              <w:t xml:space="preserve">TDCR / SEC</w:t>
            </w:r>
          </w:p>
        </w:tc>
        <w:tc>
          <w:tcPr>
            <w:tcW w:w="5899" w:type="dxa"/>
          </w:tcPr>
          <w:p>
            <w:pPr>
              <w:pStyle w:val="Compact"/>
              <w:spacing w:after="40"/>
              <w:jc w:val="left"/>
            </w:pPr>
            <w:r>
              <w:rPr>
                <w:sz w:val="18"/>
              </w:rPr>
              <w:t xml:space="preserve">Not securitisable: bullet repayment and residual maturity &lt; 365 days (SEC 5(4)(v)–(vi))</w:t>
            </w:r>
          </w:p>
        </w:tc>
      </w:tr>
      <w:tr>
        <w:tc>
          <w:tcPr>
            <w:tcW w:w="2265" w:type="dxa"/>
          </w:tcPr>
          <w:p>
            <w:pPr>
              <w:pStyle w:val="Compact"/>
              <w:spacing w:after="40"/>
              <w:jc w:val="left"/>
            </w:pPr>
            <w:r>
              <w:rPr>
                <w:sz w:val="18"/>
              </w:rPr>
              <w:t xml:space="preserve">3 Business / MSME Term Loan</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Floating-rate business loans to individuals and MSEs: no prepayment charge for UL, or for ML up to ₹50 lakh; BL per policy (RBC 34(2)); director/guarantor LWD check and covenant (WD 7(4), 19(1))</w:t>
            </w:r>
          </w:p>
        </w:tc>
      </w:tr>
      <w:tr>
        <w:tc>
          <w:tcPr>
            <w:tcW w:w="2265" w:type="dxa"/>
          </w:tcPr>
          <w:p>
            <w:pPr>
              <w:pStyle w:val="Compact"/>
              <w:spacing w:after="40"/>
              <w:jc w:val="left"/>
            </w:pPr>
            <w:r>
              <w:rPr>
                <w:sz w:val="18"/>
              </w:rPr>
              <w:t xml:space="preserve">3 Business / MSME Term Loan</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CGTMSE/NCGTC-guaranteed portion 0% up to the maximum permissible claim; residual at counterparty RW (CAP 18(2)(iv))</w:t>
            </w:r>
          </w:p>
        </w:tc>
      </w:tr>
      <w:tr>
        <w:tc>
          <w:tcPr>
            <w:tcW w:w="2265" w:type="dxa"/>
          </w:tcPr>
          <w:p>
            <w:pPr>
              <w:pStyle w:val="Compact"/>
              <w:spacing w:after="40"/>
              <w:jc w:val="left"/>
            </w:pPr>
            <w:r>
              <w:rPr>
                <w:sz w:val="18"/>
              </w:rPr>
              <w:t xml:space="preserve">4 LAP / 5 Home Loan</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Document release in 30 days with ₹5,000/day and the 60-day lost-document clock; reset rules (RBC 31–32, 35–41) apply where the loan is a personal loan (para 6(11)); otherwise apply by policy</w:t>
            </w:r>
          </w:p>
        </w:tc>
      </w:tr>
      <w:tr>
        <w:tc>
          <w:tcPr>
            <w:tcW w:w="2265" w:type="dxa"/>
          </w:tcPr>
          <w:p>
            <w:pPr>
              <w:pStyle w:val="Compact"/>
              <w:spacing w:after="40"/>
              <w:jc w:val="left"/>
            </w:pPr>
            <w:r>
              <w:rPr>
                <w:sz w:val="18"/>
              </w:rPr>
              <w:t xml:space="preserve">4 LAP; 7 LAS</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100% by default; consumer-credit classification for loans to individuals per tenant policy [VERIFY:</w:t>
            </w:r>
            <w:r>
              <w:rPr>
                <w:sz w:val="18"/>
              </w:rPr>
              <w:t xml:space="preserve"> </w:t>
            </w:r>
            <w:r>
              <w:rPr>
                <w:sz w:val="18"/>
              </w:rPr>
              <w:t xml:space="preserve">“</w:t>
            </w:r>
            <w:r>
              <w:rPr>
                <w:sz w:val="18"/>
              </w:rPr>
              <w:t xml:space="preserve">consumer credit</w:t>
            </w:r>
            <w:r>
              <w:rPr>
                <w:sz w:val="18"/>
              </w:rPr>
              <w:t xml:space="preserve">”</w:t>
            </w:r>
            <w:r>
              <w:rPr>
                <w:sz w:val="18"/>
              </w:rPr>
              <w:t xml:space="preserve"> </w:t>
            </w:r>
            <w:r>
              <w:rPr>
                <w:sz w:val="18"/>
              </w:rPr>
              <w:t xml:space="preserve">undefined in CAP] (CAP 18(1)). No loans against own PDI or NCDs (CAP 12(14); MISC 11(6))</w:t>
            </w:r>
          </w:p>
        </w:tc>
      </w:tr>
      <w:tr>
        <w:tc>
          <w:tcPr>
            <w:tcW w:w="2265" w:type="dxa"/>
          </w:tcPr>
          <w:p>
            <w:pPr>
              <w:pStyle w:val="Compact"/>
              <w:spacing w:after="40"/>
              <w:jc w:val="left"/>
            </w:pPr>
            <w:r>
              <w:rPr>
                <w:sz w:val="18"/>
              </w:rPr>
              <w:t xml:space="preserve">5 Home Loan</w:t>
            </w:r>
          </w:p>
        </w:tc>
        <w:tc>
          <w:tcPr>
            <w:tcW w:w="1474" w:type="dxa"/>
          </w:tcPr>
          <w:p>
            <w:pPr>
              <w:pStyle w:val="Compact"/>
              <w:spacing w:after="40"/>
              <w:jc w:val="left"/>
            </w:pPr>
            <w:r>
              <w:rPr>
                <w:sz w:val="18"/>
              </w:rPr>
              <w:t xml:space="preserve">IRACP / RSA</w:t>
            </w:r>
          </w:p>
        </w:tc>
        <w:tc>
          <w:tcPr>
            <w:tcW w:w="5899" w:type="dxa"/>
          </w:tcPr>
          <w:p>
            <w:pPr>
              <w:pStyle w:val="Compact"/>
              <w:spacing w:after="40"/>
              <w:jc w:val="left"/>
            </w:pPr>
            <w:r>
              <w:rPr>
                <w:sz w:val="18"/>
              </w:rPr>
              <w:t xml:space="preserve">UL teaser-rate housing 2% standard provision, falling to 0.40% one year after reset (IRACP 58); tenure extension to keep EMI unchanged only where repayment capacity holds; offer higher-EMI option (RSA 185–187)</w:t>
            </w:r>
          </w:p>
        </w:tc>
      </w:tr>
      <w:tr>
        <w:tc>
          <w:tcPr>
            <w:tcW w:w="2265" w:type="dxa"/>
          </w:tcPr>
          <w:p>
            <w:pPr>
              <w:pStyle w:val="Compact"/>
              <w:spacing w:after="40"/>
              <w:jc w:val="left"/>
            </w:pPr>
            <w:r>
              <w:rPr>
                <w:sz w:val="18"/>
              </w:rPr>
              <w:t xml:space="preserve">5 Home Loan</w:t>
            </w:r>
          </w:p>
        </w:tc>
        <w:tc>
          <w:tcPr>
            <w:tcW w:w="1474" w:type="dxa"/>
          </w:tcPr>
          <w:p>
            <w:pPr>
              <w:pStyle w:val="Compact"/>
              <w:spacing w:after="40"/>
              <w:jc w:val="left"/>
            </w:pPr>
            <w:r>
              <w:rPr>
                <w:sz w:val="18"/>
              </w:rPr>
              <w:t xml:space="preserve">TDCR / SEC</w:t>
            </w:r>
          </w:p>
        </w:tc>
        <w:tc>
          <w:tcPr>
            <w:tcW w:w="5899" w:type="dxa"/>
          </w:tcPr>
          <w:p>
            <w:pPr>
              <w:pStyle w:val="Compact"/>
              <w:spacing w:after="40"/>
              <w:jc w:val="left"/>
            </w:pPr>
            <w:r>
              <w:rPr>
                <w:sz w:val="18"/>
              </w:rPr>
              <w:t xml:space="preserve">RMBS MRR 5% (SEC 11). Securitisation MHP from the later of full disbursement and CERSAI registration (SEC 7)</w:t>
            </w:r>
          </w:p>
        </w:tc>
      </w:tr>
      <w:tr>
        <w:tc>
          <w:tcPr>
            <w:tcW w:w="2265" w:type="dxa"/>
          </w:tcPr>
          <w:p>
            <w:pPr>
              <w:pStyle w:val="Compact"/>
              <w:spacing w:after="40"/>
              <w:jc w:val="left"/>
            </w:pPr>
            <w:r>
              <w:rPr>
                <w:sz w:val="18"/>
              </w:rPr>
              <w:t xml:space="preserve">5 Home Loan</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NBFC tenants 100% (excluded from 125%); HFC tenants use HFC Directions RWs (CAP 3(2)). Undrawn tranches: CCF 20% / 50% / 0% (CAP 18(4) Sr 9–10)</w:t>
            </w:r>
          </w:p>
        </w:tc>
      </w:tr>
      <w:tr>
        <w:tc>
          <w:tcPr>
            <w:tcW w:w="2265" w:type="dxa"/>
          </w:tcPr>
          <w:p>
            <w:pPr>
              <w:pStyle w:val="Compact"/>
              <w:spacing w:after="40"/>
              <w:jc w:val="left"/>
            </w:pPr>
            <w:r>
              <w:rPr>
                <w:sz w:val="18"/>
              </w:rPr>
              <w:t xml:space="preserve">5 Home Loan, 21 Project Finance, all multi-tranche products</w:t>
            </w:r>
          </w:p>
        </w:tc>
        <w:tc>
          <w:tcPr>
            <w:tcW w:w="1474" w:type="dxa"/>
          </w:tcPr>
          <w:p>
            <w:pPr>
              <w:pStyle w:val="Compact"/>
              <w:spacing w:after="40"/>
              <w:jc w:val="left"/>
            </w:pPr>
            <w:r>
              <w:rPr>
                <w:sz w:val="18"/>
              </w:rPr>
              <w:t xml:space="preserve">MFI / IAF / SA / SR / MSD</w:t>
            </w:r>
          </w:p>
        </w:tc>
        <w:tc>
          <w:tcPr>
            <w:tcW w:w="5899" w:type="dxa"/>
          </w:tcPr>
          <w:p>
            <w:pPr>
              <w:pStyle w:val="Compact"/>
              <w:spacing w:after="40"/>
              <w:jc w:val="left"/>
            </w:pPr>
            <w:r>
              <w:rPr>
                <w:sz w:val="18"/>
              </w:rPr>
              <w:t xml:space="preserve">EMI on disbursed amount only; revised amortisation schedule communicated on every part-disbursement (MSD 7(2)–(3))</w:t>
            </w:r>
          </w:p>
        </w:tc>
      </w:tr>
      <w:tr>
        <w:tc>
          <w:tcPr>
            <w:tcW w:w="2265" w:type="dxa"/>
          </w:tcPr>
          <w:p>
            <w:pPr>
              <w:pStyle w:val="Compact"/>
              <w:spacing w:after="40"/>
              <w:jc w:val="left"/>
            </w:pPr>
            <w:r>
              <w:rPr>
                <w:sz w:val="18"/>
              </w:rPr>
              <w:t xml:space="preserve">6 Vehicle Loan</w:t>
            </w:r>
          </w:p>
        </w:tc>
        <w:tc>
          <w:tcPr>
            <w:tcW w:w="1474" w:type="dxa"/>
          </w:tcPr>
          <w:p>
            <w:pPr>
              <w:pStyle w:val="Compact"/>
              <w:spacing w:after="40"/>
              <w:jc w:val="left"/>
            </w:pPr>
            <w:r>
              <w:rPr>
                <w:sz w:val="18"/>
              </w:rPr>
              <w:t xml:space="preserve">IRACP / RSA</w:t>
            </w:r>
          </w:p>
        </w:tc>
        <w:tc>
          <w:tcPr>
            <w:tcW w:w="5899" w:type="dxa"/>
          </w:tcPr>
          <w:p>
            <w:pPr>
              <w:pStyle w:val="Compact"/>
              <w:spacing w:after="40"/>
              <w:jc w:val="left"/>
            </w:pPr>
            <w:r>
              <w:rPr>
                <w:sz w:val="18"/>
              </w:rPr>
              <w:t xml:space="preserve">If written as HP or lease, IRACP para 33 provisioning and recovery-record classification apply (IRACP 33, 43(7), 51(7))</w:t>
            </w:r>
          </w:p>
        </w:tc>
      </w:tr>
      <w:tr>
        <w:tc>
          <w:tcPr>
            <w:tcW w:w="2265" w:type="dxa"/>
          </w:tcPr>
          <w:p>
            <w:pPr>
              <w:pStyle w:val="Compact"/>
              <w:spacing w:after="40"/>
              <w:jc w:val="left"/>
            </w:pPr>
            <w:r>
              <w:rPr>
                <w:sz w:val="18"/>
              </w:rPr>
              <w:t xml:space="preserve">6 Vehicle Loan</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Repossession clause: notice period, waiver, procedure, final chance to repay, return, sale/auction; copy to borrower (RBC 26–27)</w:t>
            </w:r>
          </w:p>
        </w:tc>
      </w:tr>
      <w:tr>
        <w:tc>
          <w:tcPr>
            <w:tcW w:w="2265" w:type="dxa"/>
          </w:tcPr>
          <w:p>
            <w:pPr>
              <w:pStyle w:val="Compact"/>
              <w:spacing w:after="40"/>
              <w:jc w:val="left"/>
            </w:pPr>
            <w:r>
              <w:rPr>
                <w:sz w:val="18"/>
              </w:rPr>
              <w:t xml:space="preserve">6 Vehicle; 9 Education; 11 Microfinance</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100% (excluded from 125%) (CAP 18(1) Sr (3)(e)(i))</w:t>
            </w:r>
          </w:p>
        </w:tc>
      </w:tr>
      <w:tr>
        <w:tc>
          <w:tcPr>
            <w:tcW w:w="2265" w:type="dxa"/>
          </w:tcPr>
          <w:p>
            <w:pPr>
              <w:pStyle w:val="Compact"/>
              <w:spacing w:after="40"/>
              <w:jc w:val="left"/>
            </w:pPr>
            <w:r>
              <w:rPr>
                <w:sz w:val="18"/>
              </w:rPr>
              <w:t xml:space="preserve">8 Gold Loan</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Full RBC Ch III.G conduct (paras 43–75): assay certificate, custody, release, auction, compensation, unclaimed</w:t>
            </w:r>
          </w:p>
        </w:tc>
      </w:tr>
      <w:tr>
        <w:tc>
          <w:tcPr>
            <w:tcW w:w="2265" w:type="dxa"/>
          </w:tcPr>
          <w:p>
            <w:pPr>
              <w:pStyle w:val="Compact"/>
              <w:spacing w:after="40"/>
              <w:jc w:val="left"/>
            </w:pPr>
            <w:r>
              <w:rPr>
                <w:sz w:val="18"/>
              </w:rPr>
              <w:t xml:space="preserve">8 Gold Loan (bullet)</w:t>
            </w:r>
          </w:p>
        </w:tc>
        <w:tc>
          <w:tcPr>
            <w:tcW w:w="1474" w:type="dxa"/>
          </w:tcPr>
          <w:p>
            <w:pPr>
              <w:pStyle w:val="Compact"/>
              <w:spacing w:after="40"/>
              <w:jc w:val="left"/>
            </w:pPr>
            <w:r>
              <w:rPr>
                <w:sz w:val="18"/>
              </w:rPr>
              <w:t xml:space="preserve">TDCR / SEC</w:t>
            </w:r>
          </w:p>
        </w:tc>
        <w:tc>
          <w:tcPr>
            <w:tcW w:w="5899" w:type="dxa"/>
          </w:tcPr>
          <w:p>
            <w:pPr>
              <w:pStyle w:val="Compact"/>
              <w:spacing w:after="40"/>
              <w:jc w:val="left"/>
            </w:pPr>
            <w:r>
              <w:rPr>
                <w:sz w:val="18"/>
              </w:rPr>
              <w:t xml:space="preserve">Not securitisable (SEC 5(4)(v))</w:t>
            </w:r>
          </w:p>
        </w:tc>
      </w:tr>
      <w:tr>
        <w:tc>
          <w:tcPr>
            <w:tcW w:w="2265" w:type="dxa"/>
          </w:tcPr>
          <w:p>
            <w:pPr>
              <w:pStyle w:val="Compact"/>
              <w:spacing w:after="40"/>
              <w:jc w:val="left"/>
            </w:pPr>
            <w:r>
              <w:rPr>
                <w:sz w:val="18"/>
              </w:rPr>
              <w:t xml:space="preserve">8 Gold Loan</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100%. Gold loans ≥ 50% of financial assets → gold_primary: Tier 1 ≥ 12%, CRAR ≥ 15% (CAP 4(8), 6(1))</w:t>
            </w:r>
          </w:p>
        </w:tc>
      </w:tr>
      <w:tr>
        <w:tc>
          <w:tcPr>
            <w:tcW w:w="2265" w:type="dxa"/>
          </w:tcPr>
          <w:p>
            <w:pPr>
              <w:pStyle w:val="Compact"/>
              <w:spacing w:after="40"/>
              <w:jc w:val="left"/>
            </w:pPr>
            <w:r>
              <w:rPr>
                <w:sz w:val="18"/>
              </w:rPr>
              <w:t xml:space="preserve">11 Microfinance</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FPC display, loan card, no prepayment charge, overdue-only delay charges, rate display, designated-place collection, 09:00–18:00 window, harsh-practice list, recovery-grievance details (RBC 76–92)</w:t>
            </w:r>
          </w:p>
        </w:tc>
      </w:tr>
      <w:tr>
        <w:tc>
          <w:tcPr>
            <w:tcW w:w="2265" w:type="dxa"/>
          </w:tcPr>
          <w:p>
            <w:pPr>
              <w:pStyle w:val="Compact"/>
              <w:spacing w:after="40"/>
              <w:jc w:val="left"/>
            </w:pPr>
            <w:r>
              <w:rPr>
                <w:sz w:val="18"/>
              </w:rPr>
              <w:t xml:space="preserve">11 Microfinance</w:t>
            </w:r>
          </w:p>
        </w:tc>
        <w:tc>
          <w:tcPr>
            <w:tcW w:w="1474" w:type="dxa"/>
          </w:tcPr>
          <w:p>
            <w:pPr>
              <w:pStyle w:val="Compact"/>
              <w:spacing w:after="40"/>
              <w:jc w:val="left"/>
            </w:pPr>
            <w:r>
              <w:rPr>
                <w:sz w:val="18"/>
              </w:rPr>
              <w:t xml:space="preserve">GOV / OUT / ORM</w:t>
            </w:r>
          </w:p>
        </w:tc>
        <w:tc>
          <w:tcPr>
            <w:tcW w:w="5899" w:type="dxa"/>
          </w:tcPr>
          <w:p>
            <w:pPr>
              <w:pStyle w:val="Compact"/>
              <w:spacing w:after="40"/>
              <w:jc w:val="left"/>
            </w:pPr>
            <w:r>
              <w:rPr>
                <w:sz w:val="18"/>
              </w:rPr>
              <w:t xml:space="preserve">The loan agreement and the FPC (office, branch, website) carry a declaration that the NBFC is accountable for inappropriate behaviour of the service provider’s staff and will provide timely grievance redressal (OUT 56)</w:t>
            </w:r>
          </w:p>
        </w:tc>
      </w:tr>
      <w:tr>
        <w:tc>
          <w:tcPr>
            <w:tcW w:w="2265" w:type="dxa"/>
          </w:tcPr>
          <w:p>
            <w:pPr>
              <w:pStyle w:val="Compact"/>
              <w:spacing w:after="40"/>
              <w:jc w:val="left"/>
            </w:pPr>
            <w:r>
              <w:rPr>
                <w:sz w:val="18"/>
              </w:rPr>
              <w:t xml:space="preserve">11 Microfinance</w:t>
            </w:r>
          </w:p>
        </w:tc>
        <w:tc>
          <w:tcPr>
            <w:tcW w:w="1474" w:type="dxa"/>
          </w:tcPr>
          <w:p>
            <w:pPr>
              <w:pStyle w:val="Compact"/>
              <w:spacing w:after="40"/>
              <w:jc w:val="left"/>
            </w:pPr>
            <w:r>
              <w:rPr>
                <w:sz w:val="18"/>
              </w:rPr>
              <w:t xml:space="preserve">MFI / IAF / SA / SR / MSD</w:t>
            </w:r>
          </w:p>
        </w:tc>
        <w:tc>
          <w:tcPr>
            <w:tcW w:w="5899" w:type="dxa"/>
          </w:tcPr>
          <w:p>
            <w:pPr>
              <w:pStyle w:val="Compact"/>
              <w:spacing w:after="40"/>
              <w:jc w:val="left"/>
            </w:pPr>
            <w:r>
              <w:rPr>
                <w:sz w:val="18"/>
              </w:rPr>
              <w:t xml:space="preserve">NBFC-MFI tenants: qualifying assets ≥ 60% of total assets net of intangibles, 4-quarter rule (MFI 8(3), 12); NPA &gt; 90 days; provision floor = higher of 1% of portfolio, or 50% of instalments overdue 90–180 days plus 100% of instalments overdue ≥ 180 days (MFI 24–25); channelising-agent loans segregated, excluded from the test, CIC-reported (MFI 13). Non-MFI NBFCs: microfinance ≤ 25% of total assets (MFI 49). No pricing rules in 371; pricing stays under CF 60–61</w:t>
            </w:r>
          </w:p>
        </w:tc>
      </w:tr>
      <w:tr>
        <w:tc>
          <w:tcPr>
            <w:tcW w:w="2265" w:type="dxa"/>
          </w:tcPr>
          <w:p>
            <w:pPr>
              <w:pStyle w:val="Compact"/>
              <w:spacing w:after="40"/>
              <w:jc w:val="left"/>
            </w:pPr>
            <w:r>
              <w:rPr>
                <w:sz w:val="18"/>
              </w:rPr>
              <w:t xml:space="preserve">12 Supply-chain / Invoice</w:t>
            </w:r>
          </w:p>
        </w:tc>
        <w:tc>
          <w:tcPr>
            <w:tcW w:w="1474" w:type="dxa"/>
          </w:tcPr>
          <w:p>
            <w:pPr>
              <w:pStyle w:val="Compact"/>
              <w:spacing w:after="40"/>
              <w:jc w:val="left"/>
            </w:pPr>
            <w:r>
              <w:rPr>
                <w:sz w:val="18"/>
              </w:rPr>
              <w:t xml:space="preserve">TDCR / SEC</w:t>
            </w:r>
          </w:p>
        </w:tc>
        <w:tc>
          <w:tcPr>
            <w:tcW w:w="5899" w:type="dxa"/>
          </w:tcPr>
          <w:p>
            <w:pPr>
              <w:pStyle w:val="Compact"/>
              <w:spacing w:after="40"/>
              <w:jc w:val="left"/>
            </w:pPr>
            <w:r>
              <w:rPr>
                <w:sz w:val="18"/>
              </w:rPr>
              <w:t xml:space="preserve">Revolving lines not securitisable (SEC 5(4)(i)). Trade receivables ≤ 12 months are eligible if the drawee repaid the last two within 90 days of due date (SEC 5 proviso). Factoring receivables are MHP-exempt for transfer if residual maturity ≤ 90 days (TDCR 43)</w:t>
            </w:r>
          </w:p>
        </w:tc>
      </w:tr>
      <w:tr>
        <w:tc>
          <w:tcPr>
            <w:tcW w:w="2265" w:type="dxa"/>
          </w:tcPr>
          <w:p>
            <w:pPr>
              <w:pStyle w:val="Compact"/>
              <w:spacing w:after="40"/>
              <w:jc w:val="left"/>
            </w:pPr>
            <w:r>
              <w:rPr>
                <w:sz w:val="18"/>
              </w:rPr>
              <w:t xml:space="preserve">12 Supply-chain / Channel; 20 Demand / Call</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Undrawn limits CCF 20% (≤ 1 year) / 50% (&gt; 1 year) / 0% if unconditionally cancellable (CAP 18(4)); bills discounted 100% (CAP 18(1) Sr (3)(f)). Factoring tenants follow MISC Ch IV (35–54)</w:t>
            </w:r>
          </w:p>
        </w:tc>
      </w:tr>
      <w:tr>
        <w:tc>
          <w:tcPr>
            <w:tcW w:w="2265" w:type="dxa"/>
          </w:tcPr>
          <w:p>
            <w:pPr>
              <w:pStyle w:val="Compact"/>
              <w:spacing w:after="40"/>
              <w:jc w:val="left"/>
            </w:pPr>
            <w:r>
              <w:rPr>
                <w:sz w:val="18"/>
              </w:rPr>
              <w:t xml:space="preserve">15 Resolution Finance</w:t>
            </w:r>
          </w:p>
        </w:tc>
        <w:tc>
          <w:tcPr>
            <w:tcW w:w="1474" w:type="dxa"/>
          </w:tcPr>
          <w:p>
            <w:pPr>
              <w:pStyle w:val="Compact"/>
              <w:spacing w:after="40"/>
              <w:jc w:val="left"/>
            </w:pPr>
            <w:r>
              <w:rPr>
                <w:sz w:val="18"/>
              </w:rPr>
              <w:t xml:space="preserve">IRACP / RSA</w:t>
            </w:r>
          </w:p>
        </w:tc>
        <w:tc>
          <w:tcPr>
            <w:tcW w:w="5899" w:type="dxa"/>
          </w:tcPr>
          <w:p>
            <w:pPr>
              <w:pStyle w:val="Compact"/>
              <w:spacing w:after="40"/>
              <w:jc w:val="left"/>
            </w:pPr>
            <w:r>
              <w:rPr>
                <w:sz w:val="18"/>
              </w:rPr>
              <w:t xml:space="preserve">See correction: tenant’s own account = restructuring/evergreening (RSA 10(12), 169); own settlement &gt; 3 months = restructuring (89); consent decree (100); cooling period ≥ 12 months (95)</w:t>
            </w:r>
          </w:p>
        </w:tc>
      </w:tr>
      <w:tr>
        <w:tc>
          <w:tcPr>
            <w:tcW w:w="2265" w:type="dxa"/>
          </w:tcPr>
          <w:p>
            <w:pPr>
              <w:pStyle w:val="Compact"/>
              <w:spacing w:after="40"/>
              <w:jc w:val="left"/>
            </w:pPr>
            <w:r>
              <w:rPr>
                <w:sz w:val="18"/>
              </w:rPr>
              <w:t xml:space="preserve">16 Debt Reset / Consolidation</w:t>
            </w:r>
          </w:p>
        </w:tc>
        <w:tc>
          <w:tcPr>
            <w:tcW w:w="1474" w:type="dxa"/>
          </w:tcPr>
          <w:p>
            <w:pPr>
              <w:pStyle w:val="Compact"/>
              <w:spacing w:after="40"/>
              <w:jc w:val="left"/>
            </w:pPr>
            <w:r>
              <w:rPr>
                <w:sz w:val="18"/>
              </w:rPr>
              <w:t xml:space="preserve">IRACP / RSA</w:t>
            </w:r>
          </w:p>
        </w:tc>
        <w:tc>
          <w:tcPr>
            <w:tcW w:w="5899" w:type="dxa"/>
          </w:tcPr>
          <w:p>
            <w:pPr>
              <w:pStyle w:val="Compact"/>
              <w:spacing w:after="40"/>
              <w:jc w:val="left"/>
            </w:pPr>
            <w:r>
              <w:rPr>
                <w:sz w:val="18"/>
              </w:rPr>
              <w:t xml:space="preserve">See correction: refinancing own stressed account = restructuring, sub-standard (RSA 10(12), 53, 189); viability test or evergreening (169, 188)</w:t>
            </w:r>
          </w:p>
        </w:tc>
      </w:tr>
      <w:tr>
        <w:tc>
          <w:tcPr>
            <w:tcW w:w="2265" w:type="dxa"/>
          </w:tcPr>
          <w:p>
            <w:pPr>
              <w:pStyle w:val="Compact"/>
              <w:spacing w:after="40"/>
              <w:jc w:val="left"/>
            </w:pPr>
            <w:r>
              <w:rPr>
                <w:sz w:val="18"/>
              </w:rPr>
              <w:t xml:space="preserve">17 Co-lending</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KFS Part 2 item 5: originating and partner RE, funding shares, blended rate (RBC Annex I)</w:t>
            </w:r>
          </w:p>
        </w:tc>
      </w:tr>
      <w:tr>
        <w:tc>
          <w:tcPr>
            <w:tcW w:w="2265" w:type="dxa"/>
          </w:tcPr>
          <w:p>
            <w:pPr>
              <w:pStyle w:val="Compact"/>
              <w:spacing w:after="40"/>
              <w:jc w:val="left"/>
            </w:pPr>
            <w:r>
              <w:rPr>
                <w:sz w:val="18"/>
              </w:rPr>
              <w:t xml:space="preserve">17 Co-lending</w:t>
            </w:r>
          </w:p>
        </w:tc>
        <w:tc>
          <w:tcPr>
            <w:tcW w:w="1474" w:type="dxa"/>
          </w:tcPr>
          <w:p>
            <w:pPr>
              <w:pStyle w:val="Compact"/>
              <w:spacing w:after="40"/>
              <w:jc w:val="left"/>
            </w:pPr>
            <w:r>
              <w:rPr>
                <w:sz w:val="18"/>
              </w:rPr>
              <w:t xml:space="preserve">TDCR / SEC</w:t>
            </w:r>
          </w:p>
        </w:tc>
        <w:tc>
          <w:tcPr>
            <w:tcW w:w="5899" w:type="dxa"/>
          </w:tcPr>
          <w:p>
            <w:pPr>
              <w:pStyle w:val="Compact"/>
              <w:spacing w:after="40"/>
              <w:jc w:val="left"/>
            </w:pPr>
            <w:r>
              <w:rPr>
                <w:sz w:val="18"/>
              </w:rPr>
              <w:t xml:space="preserve">NBFC share ≥ 10% (TDCR 102); blended rate (108); bank escrow (117); 15-day booking (113, 115); originator-only DLG ≤ 5% of CLA outstanding (123); next-working-day sync (124)</w:t>
            </w:r>
          </w:p>
        </w:tc>
      </w:tr>
      <w:tr>
        <w:tc>
          <w:tcPr>
            <w:tcW w:w="2265" w:type="dxa"/>
          </w:tcPr>
          <w:p>
            <w:pPr>
              <w:pStyle w:val="Compact"/>
              <w:spacing w:after="40"/>
              <w:jc w:val="left"/>
            </w:pPr>
            <w:r>
              <w:rPr>
                <w:sz w:val="18"/>
              </w:rPr>
              <w:t xml:space="preserve">17 Co-lending</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Unrealised profit deducted from CET1/NOF until maturity (CAP 15(2))</w:t>
            </w:r>
          </w:p>
        </w:tc>
      </w:tr>
      <w:tr>
        <w:tc>
          <w:tcPr>
            <w:tcW w:w="2265" w:type="dxa"/>
          </w:tcPr>
          <w:p>
            <w:pPr>
              <w:pStyle w:val="Compact"/>
              <w:spacing w:after="40"/>
              <w:jc w:val="left"/>
            </w:pPr>
            <w:r>
              <w:rPr>
                <w:sz w:val="18"/>
              </w:rPr>
              <w:t xml:space="preserve">18 Loans to entities</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Penal bars and new-venture bar (WD 7(3)); LWD board covenant (WD 7(4)); end-use monitoring measures (WD 19(2))</w:t>
            </w:r>
          </w:p>
        </w:tc>
      </w:tr>
      <w:tr>
        <w:tc>
          <w:tcPr>
            <w:tcW w:w="2265" w:type="dxa"/>
          </w:tcPr>
          <w:p>
            <w:pPr>
              <w:pStyle w:val="Compact"/>
              <w:spacing w:after="40"/>
              <w:jc w:val="left"/>
            </w:pPr>
            <w:r>
              <w:rPr>
                <w:sz w:val="18"/>
              </w:rPr>
              <w:t xml:space="preserve">18 Loans to NBFCs / corporates</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100% (CAP 18(1) Sr (3)(b), (e), (g)); NBFC-share and group exposures above 10% of owned fund deducted (CAP 8(3), 10(i))</w:t>
            </w:r>
          </w:p>
        </w:tc>
      </w:tr>
      <w:tr>
        <w:tc>
          <w:tcPr>
            <w:tcW w:w="2265" w:type="dxa"/>
          </w:tcPr>
          <w:p>
            <w:pPr>
              <w:pStyle w:val="Compact"/>
              <w:spacing w:after="40"/>
              <w:jc w:val="left"/>
            </w:pPr>
            <w:r>
              <w:rPr>
                <w:sz w:val="18"/>
              </w:rPr>
              <w:t xml:space="preserve">19 Staff loans</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0% RW (CAP 18(1) Sr (3)(d))</w:t>
            </w:r>
          </w:p>
        </w:tc>
      </w:tr>
      <w:tr>
        <w:tc>
          <w:tcPr>
            <w:tcW w:w="2265" w:type="dxa"/>
          </w:tcPr>
          <w:p>
            <w:pPr>
              <w:pStyle w:val="Compact"/>
              <w:spacing w:after="40"/>
              <w:jc w:val="left"/>
            </w:pPr>
            <w:r>
              <w:rPr>
                <w:sz w:val="18"/>
              </w:rPr>
              <w:t xml:space="preserve">20 Demand / Call Loan; CC/OD variants</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Prepayment rules cover demand loans (RBC 34); CC/OD charge base ≤ sanctioned limit; no charge on intimated non-renewal (RBC 34(5)–(6))</w:t>
            </w:r>
          </w:p>
        </w:tc>
      </w:tr>
      <w:tr>
        <w:tc>
          <w:tcPr>
            <w:tcW w:w="2265" w:type="dxa"/>
          </w:tcPr>
          <w:p>
            <w:pPr>
              <w:pStyle w:val="Compact"/>
              <w:spacing w:after="40"/>
              <w:jc w:val="left"/>
            </w:pPr>
            <w:r>
              <w:rPr>
                <w:sz w:val="18"/>
              </w:rPr>
              <w:t xml:space="preserve">21 Project Finance</w:t>
            </w:r>
          </w:p>
        </w:tc>
        <w:tc>
          <w:tcPr>
            <w:tcW w:w="1474" w:type="dxa"/>
          </w:tcPr>
          <w:p>
            <w:pPr>
              <w:pStyle w:val="Compact"/>
              <w:spacing w:after="40"/>
              <w:jc w:val="left"/>
            </w:pPr>
            <w:r>
              <w:rPr>
                <w:sz w:val="18"/>
              </w:rPr>
              <w:t xml:space="preserve">IRACP / RSA</w:t>
            </w:r>
          </w:p>
        </w:tc>
        <w:tc>
          <w:tcPr>
            <w:tcW w:w="5899" w:type="dxa"/>
          </w:tcPr>
          <w:p>
            <w:pPr>
              <w:pStyle w:val="Compact"/>
              <w:spacing w:after="40"/>
              <w:jc w:val="left"/>
            </w:pPr>
            <w:r>
              <w:rPr>
                <w:sz w:val="18"/>
              </w:rPr>
              <w:t xml:space="preserve">General provision by phase (IRACP 30); DCCO deferment ≤ 3 years infra / 2 years non-infra, cost overrun ≤ 10%, scope change ≥ 25% once, implementation within 180 days or immediate NPA, 0.375% / 0.5625% per quarter (RSA 111–119); credit-event CRILC reporting (RSA 106)</w:t>
            </w:r>
          </w:p>
        </w:tc>
      </w:tr>
      <w:tr>
        <w:tc>
          <w:tcPr>
            <w:tcW w:w="2265" w:type="dxa"/>
          </w:tcPr>
          <w:p>
            <w:pPr>
              <w:pStyle w:val="Compact"/>
              <w:spacing w:after="40"/>
              <w:jc w:val="left"/>
            </w:pPr>
            <w:r>
              <w:rPr>
                <w:sz w:val="18"/>
              </w:rPr>
              <w:t xml:space="preserve">21 Project Finance</w:t>
            </w:r>
          </w:p>
        </w:tc>
        <w:tc>
          <w:tcPr>
            <w:tcW w:w="1474" w:type="dxa"/>
          </w:tcPr>
          <w:p>
            <w:pPr>
              <w:pStyle w:val="Compact"/>
              <w:spacing w:after="40"/>
              <w:jc w:val="left"/>
            </w:pPr>
            <w:r>
              <w:rPr>
                <w:sz w:val="18"/>
              </w:rPr>
              <w:t xml:space="preserve">RBC / WD</w:t>
            </w:r>
          </w:p>
        </w:tc>
        <w:tc>
          <w:tcPr>
            <w:tcW w:w="5899" w:type="dxa"/>
          </w:tcPr>
          <w:p>
            <w:pPr>
              <w:pStyle w:val="Compact"/>
              <w:spacing w:after="40"/>
              <w:jc w:val="left"/>
            </w:pPr>
            <w:r>
              <w:rPr>
                <w:sz w:val="18"/>
              </w:rPr>
              <w:t xml:space="preserve">End-use certification by CAs plus own due diligence (WD 19(2)(iii))</w:t>
            </w:r>
          </w:p>
        </w:tc>
      </w:tr>
      <w:tr>
        <w:tc>
          <w:tcPr>
            <w:tcW w:w="2265" w:type="dxa"/>
          </w:tcPr>
          <w:p>
            <w:pPr>
              <w:pStyle w:val="Compact"/>
              <w:spacing w:after="40"/>
              <w:jc w:val="left"/>
            </w:pPr>
            <w:r>
              <w:rPr>
                <w:sz w:val="18"/>
              </w:rPr>
              <w:t xml:space="preserve">21 Project Finance</w:t>
            </w:r>
          </w:p>
        </w:tc>
        <w:tc>
          <w:tcPr>
            <w:tcW w:w="1474" w:type="dxa"/>
          </w:tcPr>
          <w:p>
            <w:pPr>
              <w:pStyle w:val="Compact"/>
              <w:spacing w:after="40"/>
              <w:jc w:val="left"/>
            </w:pPr>
            <w:r>
              <w:rPr>
                <w:sz w:val="18"/>
              </w:rPr>
              <w:t xml:space="preserve">TDCR / SEC</w:t>
            </w:r>
          </w:p>
        </w:tc>
        <w:tc>
          <w:tcPr>
            <w:tcW w:w="5899" w:type="dxa"/>
          </w:tcPr>
          <w:p>
            <w:pPr>
              <w:pStyle w:val="Compact"/>
              <w:spacing w:after="40"/>
              <w:jc w:val="left"/>
            </w:pPr>
            <w:r>
              <w:rPr>
                <w:sz w:val="18"/>
              </w:rPr>
              <w:t xml:space="preserve">Transfer MHP runs from COD (TDCR 43)</w:t>
            </w:r>
          </w:p>
        </w:tc>
      </w:tr>
      <w:tr>
        <w:tc>
          <w:tcPr>
            <w:tcW w:w="2265" w:type="dxa"/>
          </w:tcPr>
          <w:p>
            <w:pPr>
              <w:pStyle w:val="Compact"/>
              <w:spacing w:after="40"/>
              <w:jc w:val="left"/>
            </w:pPr>
            <w:r>
              <w:rPr>
                <w:sz w:val="18"/>
              </w:rPr>
              <w:t xml:space="preserve">21 Project Finance</w:t>
            </w:r>
          </w:p>
        </w:tc>
        <w:tc>
          <w:tcPr>
            <w:tcW w:w="1474" w:type="dxa"/>
          </w:tcPr>
          <w:p>
            <w:pPr>
              <w:pStyle w:val="Compact"/>
              <w:spacing w:after="40"/>
              <w:jc w:val="left"/>
            </w:pPr>
            <w:r>
              <w:rPr>
                <w:sz w:val="18"/>
              </w:rPr>
              <w:t xml:space="preserve">CAP / SBR / DIV / MISC</w:t>
            </w:r>
          </w:p>
        </w:tc>
        <w:tc>
          <w:tcPr>
            <w:tcW w:w="5899" w:type="dxa"/>
          </w:tcPr>
          <w:p>
            <w:pPr>
              <w:pStyle w:val="Compact"/>
              <w:spacing w:after="40"/>
              <w:jc w:val="left"/>
            </w:pPr>
            <w:r>
              <w:rPr>
                <w:sz w:val="18"/>
              </w:rPr>
              <w:t xml:space="preserve">High-quality infrastructure: 75% after 2% / 50% after 5% of sanctioned project debt repaid, from 1 Apr 2026; grandfathering to next review/renewal or 31 Mar 2027 (CAP Sr (2)(e))</w:t>
            </w:r>
          </w:p>
        </w:tc>
      </w:tr>
      <w:tr>
        <w:tc>
          <w:tcPr>
            <w:tcW w:w="2265" w:type="dxa"/>
          </w:tcPr>
          <w:p>
            <w:pPr>
              <w:pStyle w:val="Compact"/>
              <w:spacing w:after="40"/>
              <w:jc w:val="left"/>
            </w:pPr>
            <w:r>
              <w:rPr>
                <w:sz w:val="18"/>
              </w:rPr>
              <w:t xml:space="preserve">MSME / business loans to proprietorships</w:t>
            </w:r>
          </w:p>
        </w:tc>
        <w:tc>
          <w:tcPr>
            <w:tcW w:w="1474" w:type="dxa"/>
          </w:tcPr>
          <w:p>
            <w:pPr>
              <w:pStyle w:val="Compact"/>
              <w:spacing w:after="40"/>
              <w:jc w:val="left"/>
            </w:pPr>
            <w:r>
              <w:rPr>
                <w:sz w:val="18"/>
              </w:rPr>
              <w:t xml:space="preserve">KYC</w:t>
            </w:r>
          </w:p>
        </w:tc>
        <w:tc>
          <w:tcPr>
            <w:tcW w:w="5899" w:type="dxa"/>
          </w:tcPr>
          <w:p>
            <w:pPr>
              <w:pStyle w:val="Compact"/>
              <w:spacing w:after="40"/>
              <w:jc w:val="left"/>
            </w:pPr>
            <w:r>
              <w:rPr>
                <w:sz w:val="18"/>
              </w:rPr>
              <w:t xml:space="preserve">Proprietor CDD plus two activity proofs, or one with contact-point verification (KYC 30–32)</w:t>
            </w:r>
          </w:p>
        </w:tc>
      </w:tr>
    </w:tbl>
    <w:bookmarkEnd w:id="820"/>
    <w:bookmarkStart w:id="821" w:name="a.36.4-phase-additions-part-12"/>
    <w:p>
      <w:pPr>
        <w:pStyle w:val="Heading3"/>
      </w:pPr>
      <w:r>
        <w:t xml:space="preserve">8A.36.4 Phase additions (Part 12)</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99"/>
        <w:gridCol w:w="1910"/>
        <w:gridCol w:w="6429"/>
      </w:tblGrid>
      <w:tr>
        <w:trPr>
          <w:tblHeader w:val="true"/>
          <w:tblHeader w:val="true"/>
        </w:trPr>
        <w:tc>
          <w:tcPr>
            <w:tcW w:w="1299" w:type="dxa"/>
            <w:shd w:val="clear" w:color="auto" w:fill="1F3A5F"/>
          </w:tcPr>
          <w:p>
            <w:pPr>
              <w:pStyle w:val="Compact"/>
              <w:spacing w:after="40"/>
              <w:jc w:val="left"/>
            </w:pPr>
            <w:r>
              <w:rPr>
                <w:b/>
                <w:color w:val="FFFFFF"/>
                <w:sz w:val="18"/>
              </w:rPr>
              <w:t xml:space="preserve">Phase</w:t>
            </w:r>
          </w:p>
        </w:tc>
        <w:tc>
          <w:tcPr>
            <w:tcW w:w="1910" w:type="dxa"/>
            <w:shd w:val="clear" w:color="auto" w:fill="1F3A5F"/>
          </w:tcPr>
          <w:p>
            <w:pPr>
              <w:pStyle w:val="Compact"/>
              <w:spacing w:after="40"/>
              <w:jc w:val="left"/>
            </w:pPr>
            <w:r>
              <w:rPr>
                <w:b/>
                <w:color w:val="FFFFFF"/>
                <w:sz w:val="18"/>
              </w:rPr>
              <w:t xml:space="preserve">Directions</w:t>
            </w:r>
          </w:p>
        </w:tc>
        <w:tc>
          <w:tcPr>
            <w:tcW w:w="6429" w:type="dxa"/>
            <w:shd w:val="clear" w:color="auto" w:fill="1F3A5F"/>
          </w:tcPr>
          <w:p>
            <w:pPr>
              <w:pStyle w:val="Compact"/>
              <w:spacing w:after="40"/>
              <w:jc w:val="left"/>
            </w:pPr>
            <w:r>
              <w:rPr>
                <w:b/>
                <w:color w:val="FFFFFF"/>
                <w:sz w:val="18"/>
              </w:rPr>
              <w:t xml:space="preserve">Addition</w:t>
            </w:r>
          </w:p>
        </w:tc>
      </w:tr>
      <w:tr>
        <w:tc>
          <w:tcPr>
            <w:tcW w:w="1299" w:type="dxa"/>
          </w:tcPr>
          <w:p>
            <w:pPr>
              <w:pStyle w:val="Compact"/>
              <w:spacing w:after="40"/>
              <w:jc w:val="left"/>
            </w:pPr>
            <w:r>
              <w:rPr>
                <w:sz w:val="18"/>
              </w:rPr>
              <w:t xml:space="preserve">0</w:t>
            </w:r>
          </w:p>
        </w:tc>
        <w:tc>
          <w:tcPr>
            <w:tcW w:w="1910" w:type="dxa"/>
          </w:tcPr>
          <w:p>
            <w:pPr>
              <w:pStyle w:val="Compact"/>
              <w:spacing w:after="40"/>
              <w:jc w:val="left"/>
            </w:pPr>
            <w:r>
              <w:rPr>
                <w:sz w:val="18"/>
              </w:rPr>
              <w:t xml:space="preserve">KYC</w:t>
            </w:r>
          </w:p>
        </w:tc>
        <w:tc>
          <w:tcPr>
            <w:tcW w:w="6429" w:type="dxa"/>
          </w:tcPr>
          <w:p>
            <w:pPr>
              <w:pStyle w:val="Compact"/>
              <w:spacing w:after="40"/>
              <w:jc w:val="left"/>
            </w:pPr>
            <w:r>
              <w:rPr>
                <w:sz w:val="18"/>
              </w:rPr>
              <w:t xml:space="preserve">ADR on V-CIP hosting: tenant-exclusive owned/leased storage (cloud allowed), immediate transfer of recordings, vendor retains no data (KYC 27(1)(i)). Add the tenant’s s.11A PML Act notification status (Aadhaar e-KYC authentication) to the Appendix B item 4 decision</w:t>
            </w:r>
          </w:p>
        </w:tc>
      </w:tr>
      <w:tr>
        <w:tc>
          <w:tcPr>
            <w:tcW w:w="1299" w:type="dxa"/>
          </w:tcPr>
          <w:p>
            <w:pPr>
              <w:pStyle w:val="Compact"/>
              <w:spacing w:after="40"/>
              <w:jc w:val="left"/>
            </w:pPr>
            <w:r>
              <w:rPr>
                <w:sz w:val="18"/>
              </w:rPr>
              <w:t xml:space="preserve">0</w:t>
            </w:r>
          </w:p>
        </w:tc>
        <w:tc>
          <w:tcPr>
            <w:tcW w:w="1910" w:type="dxa"/>
          </w:tcPr>
          <w:p>
            <w:pPr>
              <w:pStyle w:val="Compact"/>
              <w:spacing w:after="40"/>
              <w:jc w:val="left"/>
            </w:pPr>
            <w:r>
              <w:rPr>
                <w:sz w:val="18"/>
              </w:rPr>
              <w:t xml:space="preserve">GOV / OUT / ORM</w:t>
            </w:r>
          </w:p>
        </w:tc>
        <w:tc>
          <w:tcPr>
            <w:tcW w:w="6429" w:type="dxa"/>
          </w:tcPr>
          <w:p>
            <w:pPr>
              <w:pStyle w:val="Compact"/>
              <w:spacing w:after="40"/>
              <w:jc w:val="left"/>
            </w:pPr>
            <w:r>
              <w:rPr>
                <w:sz w:val="18"/>
              </w:rPr>
              <w:t xml:space="preserve">ADR classifying Finbyx under OUT for each deployment model and each tenant layer (BL → CYB Ch III/IV; CYB 117 residual) (OUT 3(2), 5, 58). Standard MSA/DPA clause matrix against OUT 34, 74, 87–88 and 97(xvi). Add GOV, OUT and ORM to regulatory register v1, with ORM marked</w:t>
            </w:r>
            <w:r>
              <w:rPr>
                <w:sz w:val="18"/>
              </w:rPr>
              <w:t xml:space="preserve"> </w:t>
            </w:r>
            <w:r>
              <w:rPr>
                <w:sz w:val="18"/>
              </w:rPr>
              <w:t xml:space="preserve">“</w:t>
            </w:r>
            <w:r>
              <w:rPr>
                <w:sz w:val="18"/>
              </w:rPr>
              <w:t xml:space="preserve">guidance</w:t>
            </w:r>
            <w:r>
              <w:rPr>
                <w:sz w:val="18"/>
              </w:rPr>
              <w:t xml:space="preserve">”</w:t>
            </w:r>
          </w:p>
        </w:tc>
      </w:tr>
      <w:tr>
        <w:tc>
          <w:tcPr>
            <w:tcW w:w="1299" w:type="dxa"/>
          </w:tcPr>
          <w:p>
            <w:pPr>
              <w:pStyle w:val="Compact"/>
              <w:spacing w:after="40"/>
              <w:jc w:val="left"/>
            </w:pPr>
            <w:r>
              <w:rPr>
                <w:sz w:val="18"/>
              </w:rPr>
              <w:t xml:space="preserve">2</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Extended entity_regulatory_profile and group tables (Part 8A.25)</w:t>
            </w:r>
          </w:p>
        </w:tc>
      </w:tr>
      <w:tr>
        <w:tc>
          <w:tcPr>
            <w:tcW w:w="1299" w:type="dxa"/>
          </w:tcPr>
          <w:p>
            <w:pPr>
              <w:pStyle w:val="Compact"/>
              <w:spacing w:after="40"/>
              <w:jc w:val="left"/>
            </w:pPr>
            <w:r>
              <w:rPr>
                <w:sz w:val="18"/>
              </w:rPr>
              <w:t xml:space="preserve">2</w:t>
            </w:r>
          </w:p>
        </w:tc>
        <w:tc>
          <w:tcPr>
            <w:tcW w:w="1910" w:type="dxa"/>
          </w:tcPr>
          <w:p>
            <w:pPr>
              <w:pStyle w:val="Compact"/>
              <w:spacing w:after="40"/>
              <w:jc w:val="left"/>
            </w:pPr>
            <w:r>
              <w:rPr>
                <w:sz w:val="18"/>
              </w:rPr>
              <w:t xml:space="preserve">GOV / OUT / ORM</w:t>
            </w:r>
          </w:p>
        </w:tc>
        <w:tc>
          <w:tcPr>
            <w:tcW w:w="6429" w:type="dxa"/>
          </w:tcPr>
          <w:p>
            <w:pPr>
              <w:pStyle w:val="Compact"/>
              <w:spacing w:after="40"/>
              <w:jc w:val="left"/>
            </w:pPr>
            <w:r>
              <w:rPr>
                <w:sz w:val="18"/>
              </w:rPr>
              <w:t xml:space="preserve">Tenant-controlled keys (BYOK/HYOK, KMS/HSM) (OUT 97(vii)(b)). Break-glass access workflow with tenant-visible logs (OUT 24, 70). Tenant-isolation test suite (OUT 70, 97(vii)(c)). MFA and role-conflict matrix (OUT 97(viii))</w:t>
            </w:r>
          </w:p>
        </w:tc>
      </w:tr>
      <w:tr>
        <w:tc>
          <w:tcPr>
            <w:tcW w:w="1299" w:type="dxa"/>
          </w:tcPr>
          <w:p>
            <w:pPr>
              <w:pStyle w:val="Compact"/>
              <w:spacing w:after="40"/>
              <w:jc w:val="left"/>
            </w:pPr>
            <w:r>
              <w:rPr>
                <w:sz w:val="18"/>
              </w:rPr>
              <w:t xml:space="preserve">3</w:t>
            </w:r>
          </w:p>
        </w:tc>
        <w:tc>
          <w:tcPr>
            <w:tcW w:w="1910" w:type="dxa"/>
          </w:tcPr>
          <w:p>
            <w:pPr>
              <w:pStyle w:val="Compact"/>
              <w:spacing w:after="40"/>
              <w:jc w:val="left"/>
            </w:pPr>
            <w:r>
              <w:rPr>
                <w:sz w:val="18"/>
              </w:rPr>
              <w:t xml:space="preserve">GOV / OUT / ORM</w:t>
            </w:r>
          </w:p>
        </w:tc>
        <w:tc>
          <w:tcPr>
            <w:tcW w:w="6429" w:type="dxa"/>
          </w:tcPr>
          <w:p>
            <w:pPr>
              <w:pStyle w:val="Compact"/>
              <w:spacing w:after="40"/>
              <w:jc w:val="left"/>
            </w:pPr>
            <w:r>
              <w:rPr>
                <w:sz w:val="18"/>
              </w:rPr>
              <w:t xml:space="preserve">CRO vetting step in the product factory (GOV 23). ORM 47 heads in product approval. Service-provider and MFI declarations in templates (OUT 55–56)</w:t>
            </w:r>
          </w:p>
        </w:tc>
      </w:tr>
      <w:tr>
        <w:tc>
          <w:tcPr>
            <w:tcW w:w="1299" w:type="dxa"/>
          </w:tcPr>
          <w:p>
            <w:pPr>
              <w:pStyle w:val="Compact"/>
              <w:spacing w:after="40"/>
              <w:jc w:val="left"/>
            </w:pPr>
            <w:r>
              <w:rPr>
                <w:sz w:val="18"/>
              </w:rPr>
              <w:t xml:space="preserve">3b</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Language preference store; block dispatch when no approved vernacular template exists (RBC 10)</w:t>
            </w:r>
          </w:p>
        </w:tc>
      </w:tr>
      <w:tr>
        <w:tc>
          <w:tcPr>
            <w:tcW w:w="1299" w:type="dxa"/>
          </w:tcPr>
          <w:p>
            <w:pPr>
              <w:pStyle w:val="Compact"/>
              <w:spacing w:after="40"/>
              <w:jc w:val="left"/>
            </w:pPr>
            <w:r>
              <w:rPr>
                <w:sz w:val="18"/>
              </w:rPr>
              <w:t xml:space="preserve">4</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Capital-component tags in the chart of accounts (CAP 7–16)</w:t>
            </w:r>
          </w:p>
        </w:tc>
      </w:tr>
      <w:tr>
        <w:tc>
          <w:tcPr>
            <w:tcW w:w="1299" w:type="dxa"/>
          </w:tcPr>
          <w:p>
            <w:pPr>
              <w:pStyle w:val="Compact"/>
              <w:spacing w:after="40"/>
              <w:jc w:val="left"/>
            </w:pPr>
            <w:r>
              <w:rPr>
                <w:sz w:val="18"/>
              </w:rPr>
              <w:t xml:space="preserve">5</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Rupee-rounding policy at billing/posting (MISC 27)</w:t>
            </w:r>
          </w:p>
        </w:tc>
      </w:tr>
      <w:tr>
        <w:tc>
          <w:tcPr>
            <w:tcW w:w="1299" w:type="dxa"/>
          </w:tcPr>
          <w:p>
            <w:pPr>
              <w:pStyle w:val="Compact"/>
              <w:spacing w:after="40"/>
              <w:jc w:val="left"/>
            </w:pPr>
            <w:r>
              <w:rPr>
                <w:sz w:val="18"/>
              </w:rPr>
              <w:t xml:space="preserve">5</w:t>
            </w:r>
          </w:p>
        </w:tc>
        <w:tc>
          <w:tcPr>
            <w:tcW w:w="1910" w:type="dxa"/>
          </w:tcPr>
          <w:p>
            <w:pPr>
              <w:pStyle w:val="Compact"/>
              <w:spacing w:after="40"/>
              <w:jc w:val="left"/>
            </w:pPr>
            <w:r>
              <w:rPr>
                <w:sz w:val="18"/>
              </w:rPr>
              <w:t xml:space="preserve">MFI / IAF / SA / SR / MSD</w:t>
            </w:r>
          </w:p>
        </w:tc>
        <w:tc>
          <w:tcPr>
            <w:tcW w:w="6429" w:type="dxa"/>
          </w:tcPr>
          <w:p>
            <w:pPr>
              <w:pStyle w:val="Compact"/>
              <w:spacing w:after="40"/>
              <w:jc w:val="left"/>
            </w:pPr>
            <w:r>
              <w:rPr>
                <w:sz w:val="18"/>
              </w:rPr>
              <w:t xml:space="preserve">Golden cases for each MSD para 7(1)–(5) scenario: cheque handover later than cheque date, EMI on a partially disbursed tranche, mid-month disbursal and repayment, advance EMI</w:t>
            </w:r>
          </w:p>
        </w:tc>
      </w:tr>
      <w:tr>
        <w:tc>
          <w:tcPr>
            <w:tcW w:w="1299" w:type="dxa"/>
          </w:tcPr>
          <w:p>
            <w:pPr>
              <w:pStyle w:val="Compact"/>
              <w:spacing w:after="40"/>
              <w:jc w:val="left"/>
            </w:pPr>
            <w:r>
              <w:rPr>
                <w:sz w:val="18"/>
              </w:rPr>
              <w:t xml:space="preserve">6</w:t>
            </w:r>
          </w:p>
        </w:tc>
        <w:tc>
          <w:tcPr>
            <w:tcW w:w="1910" w:type="dxa"/>
          </w:tcPr>
          <w:p>
            <w:pPr>
              <w:pStyle w:val="Compact"/>
              <w:spacing w:after="40"/>
              <w:jc w:val="left"/>
            </w:pPr>
            <w:r>
              <w:rPr>
                <w:sz w:val="18"/>
              </w:rPr>
              <w:t xml:space="preserve">KYC</w:t>
            </w:r>
          </w:p>
        </w:tc>
        <w:tc>
          <w:tcPr>
            <w:tcW w:w="6429" w:type="dxa"/>
          </w:tcPr>
          <w:p>
            <w:pPr>
              <w:pStyle w:val="Compact"/>
              <w:spacing w:after="40"/>
              <w:jc w:val="left"/>
            </w:pPr>
            <w:r>
              <w:rPr>
                <w:iCs/>
                <w:i/>
                <w:sz w:val="18"/>
              </w:rPr>
              <w:t xml:space="preserve">Applied in the Phase 6 instruction.</w:t>
            </w:r>
            <w:r>
              <w:rPr>
                <w:sz w:val="18"/>
              </w:rPr>
              <w:t xml:space="preserve"> </w:t>
            </w:r>
            <w:r>
              <w:rPr>
                <w:sz w:val="18"/>
              </w:rPr>
              <w:t xml:space="preserve">KYC flows per Part 8A.21; KYC REQ-IDs loaded into the register</w:t>
            </w:r>
          </w:p>
        </w:tc>
      </w:tr>
      <w:tr>
        <w:tc>
          <w:tcPr>
            <w:tcW w:w="1299" w:type="dxa"/>
          </w:tcPr>
          <w:p>
            <w:pPr>
              <w:pStyle w:val="Compact"/>
              <w:spacing w:after="40"/>
              <w:jc w:val="left"/>
            </w:pPr>
            <w:r>
              <w:rPr>
                <w:sz w:val="18"/>
              </w:rPr>
              <w:t xml:space="preserve">7</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KFS unique proposal number, acknowledgement, Annex I Part 2 disclosures and the APR golden test (₹20,000 / 24 months / 15% / ₹400 fees → 17.07%) (RBC 29); vernacular sanction letter (RBC 13); LWD/large-defaulter gate (WD 7, 19)</w:t>
            </w:r>
          </w:p>
        </w:tc>
      </w:tr>
      <w:tr>
        <w:tc>
          <w:tcPr>
            <w:tcW w:w="1299" w:type="dxa"/>
          </w:tcPr>
          <w:p>
            <w:pPr>
              <w:pStyle w:val="Compact"/>
              <w:spacing w:after="40"/>
              <w:jc w:val="left"/>
            </w:pPr>
            <w:r>
              <w:rPr>
                <w:sz w:val="18"/>
              </w:rPr>
              <w:t xml:space="preserve">7</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rw_class, guarantee cover, cancellability flag and HQ-infrastructure data captured at sanction (CAP 18)</w:t>
            </w:r>
          </w:p>
        </w:tc>
      </w:tr>
      <w:tr>
        <w:tc>
          <w:tcPr>
            <w:tcW w:w="1299" w:type="dxa"/>
          </w:tcPr>
          <w:p>
            <w:pPr>
              <w:pStyle w:val="Compact"/>
              <w:spacing w:after="40"/>
              <w:jc w:val="left"/>
            </w:pPr>
            <w:r>
              <w:rPr>
                <w:sz w:val="18"/>
              </w:rPr>
              <w:t xml:space="preserve">8b</w:t>
            </w:r>
          </w:p>
        </w:tc>
        <w:tc>
          <w:tcPr>
            <w:tcW w:w="1910" w:type="dxa"/>
          </w:tcPr>
          <w:p>
            <w:pPr>
              <w:pStyle w:val="Compact"/>
              <w:spacing w:after="40"/>
              <w:jc w:val="left"/>
            </w:pPr>
            <w:r>
              <w:rPr>
                <w:sz w:val="18"/>
              </w:rPr>
              <w:t xml:space="preserve">KYC</w:t>
            </w:r>
          </w:p>
        </w:tc>
        <w:tc>
          <w:tcPr>
            <w:tcW w:w="6429" w:type="dxa"/>
          </w:tcPr>
          <w:p>
            <w:pPr>
              <w:pStyle w:val="Compact"/>
              <w:spacing w:after="40"/>
              <w:jc w:val="left"/>
            </w:pPr>
            <w:r>
              <w:rPr>
                <w:iCs/>
                <w:i/>
                <w:sz w:val="18"/>
              </w:rPr>
              <w:t xml:space="preserve">Applied in the Phase 8b instruction.</w:t>
            </w:r>
            <w:r>
              <w:rPr>
                <w:sz w:val="18"/>
              </w:rPr>
              <w:t xml:space="preserve"> </w:t>
            </w:r>
            <w:r>
              <w:rPr>
                <w:sz w:val="18"/>
              </w:rPr>
              <w:t xml:space="preserve">Digital-KYC flow under KYC para 24</w:t>
            </w:r>
          </w:p>
        </w:tc>
      </w:tr>
      <w:tr>
        <w:tc>
          <w:tcPr>
            <w:tcW w:w="1299" w:type="dxa"/>
          </w:tcPr>
          <w:p>
            <w:pPr>
              <w:pStyle w:val="Compact"/>
              <w:spacing w:after="40"/>
              <w:jc w:val="left"/>
            </w:pPr>
            <w:r>
              <w:rPr>
                <w:sz w:val="18"/>
              </w:rPr>
              <w:t xml:space="preserve">9</w:t>
            </w:r>
          </w:p>
        </w:tc>
        <w:tc>
          <w:tcPr>
            <w:tcW w:w="1910" w:type="dxa"/>
          </w:tcPr>
          <w:p>
            <w:pPr>
              <w:pStyle w:val="Compact"/>
              <w:spacing w:after="40"/>
              <w:jc w:val="left"/>
            </w:pPr>
            <w:r>
              <w:rPr>
                <w:sz w:val="18"/>
              </w:rPr>
              <w:t xml:space="preserve">IRACP / RSA</w:t>
            </w:r>
          </w:p>
        </w:tc>
        <w:tc>
          <w:tcPr>
            <w:tcW w:w="6429" w:type="dxa"/>
          </w:tcPr>
          <w:p>
            <w:pPr>
              <w:pStyle w:val="Compact"/>
              <w:spacing w:after="40"/>
              <w:jc w:val="left"/>
            </w:pPr>
            <w:r>
              <w:rPr>
                <w:sz w:val="18"/>
              </w:rPr>
              <w:t xml:space="preserve">Illustration I golden test and +1 DPD convention (IRACP 19); Part A/B restructuring workbench and monitoring/specified-period tests (RSA 53–62, 159, 189–194)</w:t>
            </w:r>
          </w:p>
        </w:tc>
      </w:tr>
      <w:tr>
        <w:tc>
          <w:tcPr>
            <w:tcW w:w="1299" w:type="dxa"/>
          </w:tcPr>
          <w:p>
            <w:pPr>
              <w:pStyle w:val="Compact"/>
              <w:spacing w:after="40"/>
              <w:jc w:val="left"/>
            </w:pPr>
            <w:r>
              <w:rPr>
                <w:sz w:val="18"/>
              </w:rPr>
              <w:t xml:space="preserve">9</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Prepayment engine incl. RBC 34(3)–(9) and 81; penal rules RBC 30; reset elections and quarterly statement (RBC 31); account-transfer request (RBC 19); rounding (RBC 103); release clocks 30/60 days (RBC 35–40)</w:t>
            </w:r>
          </w:p>
        </w:tc>
      </w:tr>
      <w:tr>
        <w:tc>
          <w:tcPr>
            <w:tcW w:w="1299" w:type="dxa"/>
          </w:tcPr>
          <w:p>
            <w:pPr>
              <w:pStyle w:val="Compact"/>
              <w:spacing w:after="40"/>
              <w:jc w:val="left"/>
            </w:pPr>
            <w:r>
              <w:rPr>
                <w:sz w:val="18"/>
              </w:rPr>
              <w:t xml:space="preserve">10</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PDC capture block where NACH is available (MISC 23)</w:t>
            </w:r>
          </w:p>
        </w:tc>
      </w:tr>
      <w:tr>
        <w:tc>
          <w:tcPr>
            <w:tcW w:w="1299" w:type="dxa"/>
          </w:tcPr>
          <w:p>
            <w:pPr>
              <w:pStyle w:val="Compact"/>
              <w:spacing w:after="40"/>
              <w:jc w:val="left"/>
            </w:pPr>
            <w:r>
              <w:rPr>
                <w:sz w:val="18"/>
              </w:rPr>
              <w:t xml:space="preserve">11</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Contact engine for current RBC paras 89–100 (microfinance window under 91(2); para 100 excludes microfinance); Third Amendment rules (RBI/2026-27/230, effective 1 Jan 2027; official text not in the supplied set)</w:t>
            </w:r>
          </w:p>
        </w:tc>
      </w:tr>
      <w:tr>
        <w:tc>
          <w:tcPr>
            <w:tcW w:w="1299" w:type="dxa"/>
          </w:tcPr>
          <w:p>
            <w:pPr>
              <w:pStyle w:val="Compact"/>
              <w:spacing w:after="40"/>
              <w:jc w:val="left"/>
            </w:pPr>
            <w:r>
              <w:rPr>
                <w:sz w:val="18"/>
              </w:rPr>
              <w:t xml:space="preserve">12b</w:t>
            </w:r>
          </w:p>
        </w:tc>
        <w:tc>
          <w:tcPr>
            <w:tcW w:w="1910" w:type="dxa"/>
          </w:tcPr>
          <w:p>
            <w:pPr>
              <w:pStyle w:val="Compact"/>
              <w:spacing w:after="40"/>
              <w:jc w:val="left"/>
            </w:pPr>
            <w:r>
              <w:rPr>
                <w:sz w:val="18"/>
              </w:rPr>
              <w:t xml:space="preserve">IRACP / RSA</w:t>
            </w:r>
          </w:p>
        </w:tc>
        <w:tc>
          <w:tcPr>
            <w:tcW w:w="6429" w:type="dxa"/>
          </w:tcPr>
          <w:p>
            <w:pPr>
              <w:pStyle w:val="Compact"/>
              <w:spacing w:after="40"/>
              <w:jc w:val="left"/>
            </w:pPr>
            <w:r>
              <w:rPr>
                <w:sz w:val="18"/>
              </w:rPr>
              <w:t xml:space="preserve">Settlement rules (RSA 16, 86–100), cooling-period gate (95), consent decree (100), fraud/WD Board approval (16(5)(ii))</w:t>
            </w:r>
          </w:p>
        </w:tc>
      </w:tr>
      <w:tr>
        <w:tc>
          <w:tcPr>
            <w:tcW w:w="1299" w:type="dxa"/>
          </w:tcPr>
          <w:p>
            <w:pPr>
              <w:pStyle w:val="Compact"/>
              <w:spacing w:after="40"/>
              <w:jc w:val="left"/>
            </w:pPr>
            <w:r>
              <w:rPr>
                <w:sz w:val="18"/>
              </w:rPr>
              <w:t xml:space="preserve">12</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Wilful-defaulter workflow per WD paras 5–7, 10, 13–15, gated to ML+ tenants; pre-transfer gate (WD 14)</w:t>
            </w:r>
          </w:p>
        </w:tc>
      </w:tr>
      <w:tr>
        <w:tc>
          <w:tcPr>
            <w:tcW w:w="1299" w:type="dxa"/>
          </w:tcPr>
          <w:p>
            <w:pPr>
              <w:pStyle w:val="Compact"/>
              <w:spacing w:after="40"/>
              <w:jc w:val="left"/>
            </w:pPr>
            <w:r>
              <w:rPr>
                <w:sz w:val="18"/>
              </w:rPr>
              <w:t xml:space="preserve">13</w:t>
            </w:r>
          </w:p>
        </w:tc>
        <w:tc>
          <w:tcPr>
            <w:tcW w:w="1910" w:type="dxa"/>
          </w:tcPr>
          <w:p>
            <w:pPr>
              <w:pStyle w:val="Compact"/>
              <w:spacing w:after="40"/>
              <w:jc w:val="left"/>
            </w:pPr>
            <w:r>
              <w:rPr>
                <w:sz w:val="18"/>
              </w:rPr>
              <w:t xml:space="preserve">IRACP / RSA</w:t>
            </w:r>
          </w:p>
        </w:tc>
        <w:tc>
          <w:tcPr>
            <w:tcW w:w="6429" w:type="dxa"/>
          </w:tcPr>
          <w:p>
            <w:pPr>
              <w:pStyle w:val="Compact"/>
              <w:spacing w:after="40"/>
              <w:jc w:val="left"/>
            </w:pPr>
            <w:r>
              <w:rPr>
                <w:sz w:val="18"/>
              </w:rPr>
              <w:t xml:space="preserve">IRACP rate tables (30, 32, 33, 48, 55, 58) and DLG ECL recompute (36A–36C); fair-value diminution, Sundry Liabilities account and RSA provisions (RSA 23, 48, 64, 118, 137, 198–211)</w:t>
            </w:r>
          </w:p>
        </w:tc>
      </w:tr>
      <w:tr>
        <w:tc>
          <w:tcPr>
            <w:tcW w:w="1299" w:type="dxa"/>
          </w:tcPr>
          <w:p>
            <w:pPr>
              <w:pStyle w:val="Compact"/>
              <w:spacing w:after="40"/>
              <w:jc w:val="left"/>
            </w:pPr>
            <w:r>
              <w:rPr>
                <w:sz w:val="18"/>
              </w:rPr>
              <w:t xml:space="preserve">13</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Owned fund / NOF / EPt computation; dividend eligibility checker; PDI, sub-debt and NCD private-placement controls (CAP 9–13; DIV; MISC 9–11)</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IRACP / RSA</w:t>
            </w:r>
          </w:p>
        </w:tc>
        <w:tc>
          <w:tcPr>
            <w:tcW w:w="6429" w:type="dxa"/>
          </w:tcPr>
          <w:p>
            <w:pPr>
              <w:pStyle w:val="Compact"/>
              <w:spacing w:after="40"/>
              <w:jc w:val="left"/>
            </w:pPr>
            <w:r>
              <w:rPr>
                <w:iCs/>
                <w:i/>
                <w:sz w:val="18"/>
              </w:rPr>
              <w:t xml:space="preserve">Applied in the Phase 14 instruction.</w:t>
            </w:r>
            <w:r>
              <w:rPr>
                <w:sz w:val="18"/>
              </w:rPr>
              <w:t xml:space="preserve"> </w:t>
            </w:r>
            <w:r>
              <w:rPr>
                <w:sz w:val="18"/>
              </w:rPr>
              <w:t xml:space="preserve">CRILC monthly and the weekly Friday default report (RSA 20–21, 106)</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Monthly Annex I and Annex II CIC files with 30-day removal logic (WD 11–13, 18)</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KYC</w:t>
            </w:r>
          </w:p>
        </w:tc>
        <w:tc>
          <w:tcPr>
            <w:tcW w:w="6429" w:type="dxa"/>
          </w:tcPr>
          <w:p>
            <w:pPr>
              <w:pStyle w:val="Compact"/>
              <w:spacing w:after="40"/>
              <w:jc w:val="left"/>
            </w:pPr>
            <w:r>
              <w:rPr>
                <w:iCs/>
                <w:i/>
                <w:sz w:val="18"/>
              </w:rPr>
              <w:t xml:space="preserve">Applied in the Phase 14 instruction.</w:t>
            </w:r>
            <w:r>
              <w:rPr>
                <w:sz w:val="18"/>
              </w:rPr>
              <w:t xml:space="preserve"> </w:t>
            </w:r>
            <w:r>
              <w:rPr>
                <w:sz w:val="18"/>
              </w:rPr>
              <w:t xml:space="preserve">FIU-IND, transaction-monitoring and sanctions-match reporting</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w:t>
            </w:r>
            <w:r>
              <w:rPr>
                <w:sz w:val="18"/>
              </w:rPr>
              <w:t xml:space="preserve">the RWA/CRAR and leverage engine (Part 8A.24) with lineage and the para 48 golden test; SBR applicability and group/UL calendar (Part 8A.25); MISC intimation clocks (Part 8A.27)</w:t>
            </w:r>
            <w:r>
              <w:rPr>
                <w:sz w:val="18"/>
              </w:rPr>
              <w:t xml:space="preserve">”</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GOV / OUT / ORM</w:t>
            </w:r>
          </w:p>
        </w:tc>
        <w:tc>
          <w:tcPr>
            <w:tcW w:w="6429" w:type="dxa"/>
          </w:tcPr>
          <w:p>
            <w:pPr>
              <w:pStyle w:val="Compact"/>
              <w:spacing w:after="40"/>
              <w:jc w:val="left"/>
            </w:pPr>
            <w:r>
              <w:rPr>
                <w:sz w:val="18"/>
              </w:rPr>
              <w:t xml:space="preserve">Governance register and its returns (8A.28). Third-party and outsourcing register with half-yearly Board/RMC packs and ACB vendor-reconciliation ageing (8A.29). ORM suite (8A.30)</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MFI / IAF / SA / SR / MSD</w:t>
            </w:r>
          </w:p>
        </w:tc>
        <w:tc>
          <w:tcPr>
            <w:tcW w:w="6429" w:type="dxa"/>
          </w:tcPr>
          <w:p>
            <w:pPr>
              <w:pStyle w:val="Compact"/>
              <w:spacing w:after="40"/>
              <w:jc w:val="left"/>
            </w:pPr>
            <w:r>
              <w:rPr>
                <w:iCs/>
                <w:i/>
                <w:sz w:val="18"/>
              </w:rPr>
              <w:t xml:space="preserve">Applied in the Phase 14 instruction.</w:t>
            </w:r>
            <w:r>
              <w:rPr>
                <w:sz w:val="18"/>
              </w:rPr>
              <w:t xml:space="preserve"> </w:t>
            </w:r>
            <w:r>
              <w:rPr>
                <w:sz w:val="18"/>
              </w:rPr>
              <w:t xml:space="preserve">Supervisory-return framework driven by the Part 8A.34 catalogue (SR 13–19)</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MFI / IAF / SA / SR / MSD</w:t>
            </w:r>
          </w:p>
        </w:tc>
        <w:tc>
          <w:tcPr>
            <w:tcW w:w="6429" w:type="dxa"/>
          </w:tcPr>
          <w:p>
            <w:pPr>
              <w:pStyle w:val="Compact"/>
              <w:spacing w:after="40"/>
              <w:jc w:val="left"/>
            </w:pPr>
            <w:r>
              <w:rPr>
                <w:iCs/>
                <w:i/>
                <w:sz w:val="18"/>
              </w:rPr>
              <w:t xml:space="preserve">Applied in the Phase 14 instruction.</w:t>
            </w:r>
            <w:r>
              <w:rPr>
                <w:sz w:val="18"/>
              </w:rPr>
              <w:t xml:space="preserve"> </w:t>
            </w:r>
            <w:r>
              <w:rPr>
                <w:sz w:val="18"/>
              </w:rPr>
              <w:t xml:space="preserve">Applicability, periodicity and due dates from Part 8A.34</w:t>
            </w:r>
          </w:p>
        </w:tc>
      </w:tr>
      <w:tr>
        <w:tc>
          <w:tcPr>
            <w:tcW w:w="1299" w:type="dxa"/>
          </w:tcPr>
          <w:p>
            <w:pPr>
              <w:pStyle w:val="Compact"/>
              <w:spacing w:after="40"/>
              <w:jc w:val="left"/>
            </w:pPr>
            <w:r>
              <w:rPr>
                <w:sz w:val="18"/>
              </w:rPr>
              <w:t xml:space="preserve">14</w:t>
            </w:r>
          </w:p>
        </w:tc>
        <w:tc>
          <w:tcPr>
            <w:tcW w:w="1910" w:type="dxa"/>
          </w:tcPr>
          <w:p>
            <w:pPr>
              <w:pStyle w:val="Compact"/>
              <w:spacing w:after="40"/>
              <w:jc w:val="left"/>
            </w:pPr>
            <w:r>
              <w:rPr>
                <w:sz w:val="18"/>
              </w:rPr>
              <w:t xml:space="preserve">MFI / IAF / SA / SR / MSD</w:t>
            </w:r>
          </w:p>
        </w:tc>
        <w:tc>
          <w:tcPr>
            <w:tcW w:w="6429" w:type="dxa"/>
          </w:tcPr>
          <w:p>
            <w:pPr>
              <w:pStyle w:val="Compact"/>
              <w:spacing w:after="40"/>
              <w:jc w:val="left"/>
            </w:pPr>
            <w:r>
              <w:rPr>
                <w:sz w:val="18"/>
              </w:rPr>
              <w:t xml:space="preserve">Add bullets: the RBIA module (Part 8A.32); statutory-auditor register with Form A/B and branch-coverage report (Part 8A.33); PCA monitor and CFSS progress reporting (Part 8A.35); MFI qualifying-asset monitor and provision floor (Part 8A.31)</w:t>
            </w:r>
          </w:p>
        </w:tc>
      </w:tr>
      <w:tr>
        <w:tc>
          <w:tcPr>
            <w:tcW w:w="1299" w:type="dxa"/>
          </w:tcPr>
          <w:p>
            <w:pPr>
              <w:pStyle w:val="Compact"/>
              <w:spacing w:after="40"/>
              <w:jc w:val="left"/>
            </w:pPr>
            <w:r>
              <w:rPr>
                <w:sz w:val="18"/>
              </w:rPr>
              <w:t xml:space="preserve">15</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Next-higher-level grievance disposal (RBC 7(2)); Second Amendment para 101Y feedback behind [VERIFY: amendment text not supplied]</w:t>
            </w:r>
          </w:p>
        </w:tc>
      </w:tr>
      <w:tr>
        <w:tc>
          <w:tcPr>
            <w:tcW w:w="1299" w:type="dxa"/>
          </w:tcPr>
          <w:p>
            <w:pPr>
              <w:pStyle w:val="Compact"/>
              <w:spacing w:after="40"/>
              <w:jc w:val="left"/>
            </w:pPr>
            <w:r>
              <w:rPr>
                <w:sz w:val="18"/>
              </w:rPr>
              <w:t xml:space="preserve">P</w:t>
            </w:r>
          </w:p>
        </w:tc>
        <w:tc>
          <w:tcPr>
            <w:tcW w:w="1910" w:type="dxa"/>
          </w:tcPr>
          <w:p>
            <w:pPr>
              <w:pStyle w:val="Compact"/>
              <w:spacing w:after="40"/>
              <w:jc w:val="left"/>
            </w:pPr>
            <w:r>
              <w:rPr>
                <w:sz w:val="18"/>
              </w:rPr>
              <w:t xml:space="preserve">GOV / OUT / ORM</w:t>
            </w:r>
          </w:p>
        </w:tc>
        <w:tc>
          <w:tcPr>
            <w:tcW w:w="6429" w:type="dxa"/>
          </w:tcPr>
          <w:p>
            <w:pPr>
              <w:pStyle w:val="Compact"/>
              <w:spacing w:after="40"/>
              <w:jc w:val="left"/>
            </w:pPr>
            <w:r>
              <w:rPr>
                <w:iCs/>
                <w:i/>
                <w:sz w:val="18"/>
              </w:rPr>
              <w:t xml:space="preserve">Incident-drill timing applied in the Phase P instruction (OUT para 61).</w:t>
            </w:r>
            <w:r>
              <w:rPr>
                <w:sz w:val="18"/>
              </w:rPr>
              <w:t xml:space="preserve"> </w:t>
            </w:r>
            <w:r>
              <w:rPr>
                <w:sz w:val="18"/>
              </w:rPr>
              <w:t xml:space="preserve">Add: an exit drill (full tenant export, re-import into a clean instance, purge certificate) (OUT 87–88, 97(xvi)); vendor assurance pack issued (OUT 30, 71; ORM 73); SOC log feed live (OUT 97(xi))</w:t>
            </w:r>
          </w:p>
        </w:tc>
      </w:tr>
      <w:tr>
        <w:tc>
          <w:tcPr>
            <w:tcW w:w="1299" w:type="dxa"/>
          </w:tcPr>
          <w:p>
            <w:pPr>
              <w:pStyle w:val="Compact"/>
              <w:spacing w:after="40"/>
              <w:jc w:val="left"/>
            </w:pPr>
            <w:r>
              <w:rPr>
                <w:sz w:val="18"/>
              </w:rPr>
              <w:t xml:space="preserve">16</w:t>
            </w:r>
          </w:p>
        </w:tc>
        <w:tc>
          <w:tcPr>
            <w:tcW w:w="1910" w:type="dxa"/>
          </w:tcPr>
          <w:p>
            <w:pPr>
              <w:pStyle w:val="Compact"/>
              <w:spacing w:after="40"/>
              <w:jc w:val="left"/>
            </w:pPr>
            <w:r>
              <w:rPr>
                <w:sz w:val="18"/>
              </w:rPr>
              <w:t xml:space="preserve">TDCR / SEC</w:t>
            </w:r>
          </w:p>
        </w:tc>
        <w:tc>
          <w:tcPr>
            <w:tcW w:w="6429" w:type="dxa"/>
          </w:tcPr>
          <w:p>
            <w:pPr>
              <w:pStyle w:val="Compact"/>
              <w:spacing w:after="40"/>
              <w:jc w:val="left"/>
            </w:pPr>
            <w:r>
              <w:rPr>
                <w:iCs/>
                <w:i/>
                <w:sz w:val="18"/>
              </w:rPr>
              <w:t xml:space="preserve">Applied in the Phase 16 instruction.</w:t>
            </w:r>
            <w:r>
              <w:rPr>
                <w:sz w:val="18"/>
              </w:rPr>
              <w:t xml:space="preserve"> </w:t>
            </w:r>
            <w:r>
              <w:rPr>
                <w:sz w:val="18"/>
              </w:rPr>
              <w:t xml:space="preserve">Phase renamed</w:t>
            </w:r>
            <w:r>
              <w:rPr>
                <w:sz w:val="18"/>
              </w:rPr>
              <w:t xml:space="preserve"> </w:t>
            </w:r>
            <w:r>
              <w:rPr>
                <w:sz w:val="18"/>
              </w:rPr>
              <w:t xml:space="preserve">“</w:t>
            </w:r>
            <w:r>
              <w:rPr>
                <w:sz w:val="18"/>
              </w:rPr>
              <w:t xml:space="preserve">Partner connectors, co-lending, loan transfers and securitisation</w:t>
            </w:r>
            <w:r>
              <w:rPr>
                <w:sz w:val="18"/>
              </w:rPr>
              <w:t xml:space="preserve">”</w:t>
            </w:r>
          </w:p>
        </w:tc>
      </w:tr>
      <w:tr>
        <w:tc>
          <w:tcPr>
            <w:tcW w:w="1299" w:type="dxa"/>
          </w:tcPr>
          <w:p>
            <w:pPr>
              <w:pStyle w:val="Compact"/>
              <w:spacing w:after="40"/>
              <w:jc w:val="left"/>
            </w:pPr>
            <w:r>
              <w:rPr>
                <w:sz w:val="18"/>
              </w:rPr>
              <w:t xml:space="preserve">16</w:t>
            </w:r>
          </w:p>
        </w:tc>
        <w:tc>
          <w:tcPr>
            <w:tcW w:w="1910" w:type="dxa"/>
          </w:tcPr>
          <w:p>
            <w:pPr>
              <w:pStyle w:val="Compact"/>
              <w:spacing w:after="40"/>
              <w:jc w:val="left"/>
            </w:pPr>
            <w:r>
              <w:rPr>
                <w:sz w:val="18"/>
              </w:rPr>
              <w:t xml:space="preserve">TDCR / SEC</w:t>
            </w:r>
          </w:p>
        </w:tc>
        <w:tc>
          <w:tcPr>
            <w:tcW w:w="6429" w:type="dxa"/>
          </w:tcPr>
          <w:p>
            <w:pPr>
              <w:pStyle w:val="Compact"/>
              <w:spacing w:after="40"/>
              <w:jc w:val="left"/>
            </w:pPr>
            <w:r>
              <w:rPr>
                <w:iCs/>
                <w:i/>
                <w:sz w:val="18"/>
              </w:rPr>
              <w:t xml:space="preserve">Applied in the Phase 16 instruction.</w:t>
            </w:r>
            <w:r>
              <w:rPr>
                <w:sz w:val="18"/>
              </w:rPr>
              <w:t xml:space="preserve"> </w:t>
            </w:r>
            <w:r>
              <w:rPr>
                <w:sz w:val="18"/>
              </w:rPr>
              <w:t xml:space="preserve">Originator-only DLG ≤ 5% of CLA outstanding (TDCR 123); website partner list (TDCR 126)</w:t>
            </w:r>
          </w:p>
        </w:tc>
      </w:tr>
      <w:tr>
        <w:tc>
          <w:tcPr>
            <w:tcW w:w="1299" w:type="dxa"/>
          </w:tcPr>
          <w:p>
            <w:pPr>
              <w:pStyle w:val="Compact"/>
              <w:spacing w:after="40"/>
              <w:jc w:val="left"/>
            </w:pPr>
            <w:r>
              <w:rPr>
                <w:sz w:val="18"/>
              </w:rPr>
              <w:t xml:space="preserve">16</w:t>
            </w:r>
          </w:p>
        </w:tc>
        <w:tc>
          <w:tcPr>
            <w:tcW w:w="1910" w:type="dxa"/>
          </w:tcPr>
          <w:p>
            <w:pPr>
              <w:pStyle w:val="Compact"/>
              <w:spacing w:after="40"/>
              <w:jc w:val="left"/>
            </w:pPr>
            <w:r>
              <w:rPr>
                <w:sz w:val="18"/>
              </w:rPr>
              <w:t xml:space="preserve">TDCR / SEC</w:t>
            </w:r>
          </w:p>
        </w:tc>
        <w:tc>
          <w:tcPr>
            <w:tcW w:w="6429" w:type="dxa"/>
          </w:tcPr>
          <w:p>
            <w:pPr>
              <w:pStyle w:val="Compact"/>
              <w:spacing w:after="40"/>
              <w:jc w:val="left"/>
            </w:pPr>
            <w:r>
              <w:rPr>
                <w:iCs/>
                <w:i/>
                <w:sz w:val="18"/>
              </w:rPr>
              <w:t xml:space="preserve">Applied in the Phase 16 instruction.</w:t>
            </w:r>
            <w:r>
              <w:rPr>
                <w:sz w:val="18"/>
              </w:rPr>
              <w:t xml:space="preserve"> </w:t>
            </w:r>
            <w:r>
              <w:rPr>
                <w:sz w:val="18"/>
              </w:rPr>
              <w:t xml:space="preserve">Loan-transfer engine (TDCR Part A)</w:t>
            </w:r>
          </w:p>
        </w:tc>
      </w:tr>
      <w:tr>
        <w:tc>
          <w:tcPr>
            <w:tcW w:w="1299" w:type="dxa"/>
          </w:tcPr>
          <w:p>
            <w:pPr>
              <w:pStyle w:val="Compact"/>
              <w:spacing w:after="40"/>
              <w:jc w:val="left"/>
            </w:pPr>
            <w:r>
              <w:rPr>
                <w:sz w:val="18"/>
              </w:rPr>
              <w:t xml:space="preserve">16</w:t>
            </w:r>
          </w:p>
        </w:tc>
        <w:tc>
          <w:tcPr>
            <w:tcW w:w="1910" w:type="dxa"/>
          </w:tcPr>
          <w:p>
            <w:pPr>
              <w:pStyle w:val="Compact"/>
              <w:spacing w:after="40"/>
              <w:jc w:val="left"/>
            </w:pPr>
            <w:r>
              <w:rPr>
                <w:sz w:val="18"/>
              </w:rPr>
              <w:t xml:space="preserve">TDCR / SEC</w:t>
            </w:r>
          </w:p>
        </w:tc>
        <w:tc>
          <w:tcPr>
            <w:tcW w:w="6429" w:type="dxa"/>
          </w:tcPr>
          <w:p>
            <w:pPr>
              <w:pStyle w:val="Compact"/>
              <w:spacing w:after="40"/>
              <w:jc w:val="left"/>
            </w:pPr>
            <w:r>
              <w:rPr>
                <w:iCs/>
                <w:i/>
                <w:sz w:val="18"/>
              </w:rPr>
              <w:t xml:space="preserve">Applied in the Phase 16 instruction.</w:t>
            </w:r>
            <w:r>
              <w:rPr>
                <w:sz w:val="18"/>
              </w:rPr>
              <w:t xml:space="preserve"> </w:t>
            </w:r>
            <w:r>
              <w:rPr>
                <w:sz w:val="18"/>
              </w:rPr>
              <w:t xml:space="preserve">Securitisation engine (SEC)</w:t>
            </w:r>
          </w:p>
        </w:tc>
      </w:tr>
      <w:tr>
        <w:tc>
          <w:tcPr>
            <w:tcW w:w="1299" w:type="dxa"/>
          </w:tcPr>
          <w:p>
            <w:pPr>
              <w:pStyle w:val="Compact"/>
              <w:spacing w:after="40"/>
              <w:jc w:val="left"/>
            </w:pPr>
            <w:r>
              <w:rPr>
                <w:sz w:val="18"/>
              </w:rPr>
              <w:t xml:space="preserve">16</w:t>
            </w:r>
          </w:p>
        </w:tc>
        <w:tc>
          <w:tcPr>
            <w:tcW w:w="1910" w:type="dxa"/>
          </w:tcPr>
          <w:p>
            <w:pPr>
              <w:pStyle w:val="Compact"/>
              <w:spacing w:after="40"/>
              <w:jc w:val="left"/>
            </w:pPr>
            <w:r>
              <w:rPr>
                <w:sz w:val="18"/>
              </w:rPr>
              <w:t xml:space="preserve">TDCR / SEC</w:t>
            </w:r>
          </w:p>
        </w:tc>
        <w:tc>
          <w:tcPr>
            <w:tcW w:w="6429" w:type="dxa"/>
          </w:tcPr>
          <w:p>
            <w:pPr>
              <w:pStyle w:val="Compact"/>
              <w:spacing w:after="40"/>
              <w:jc w:val="left"/>
            </w:pPr>
            <w:r>
              <w:rPr>
                <w:iCs/>
                <w:i/>
                <w:sz w:val="18"/>
              </w:rPr>
              <w:t xml:space="preserve">Applied in the Phase 16 instruction.</w:t>
            </w:r>
            <w:r>
              <w:rPr>
                <w:sz w:val="18"/>
              </w:rPr>
              <w:t xml:space="preserve"> </w:t>
            </w:r>
            <w:r>
              <w:rPr>
                <w:sz w:val="18"/>
              </w:rPr>
              <w:t xml:space="preserve">Investor-side securitisation module (SEC Ch V, 97–107)</w:t>
            </w:r>
          </w:p>
        </w:tc>
      </w:tr>
      <w:tr>
        <w:tc>
          <w:tcPr>
            <w:tcW w:w="1299" w:type="dxa"/>
          </w:tcPr>
          <w:p>
            <w:pPr>
              <w:pStyle w:val="Compact"/>
              <w:spacing w:after="40"/>
              <w:jc w:val="left"/>
            </w:pPr>
            <w:r>
              <w:rPr>
                <w:sz w:val="18"/>
              </w:rPr>
              <w:t xml:space="preserve">16</w:t>
            </w:r>
          </w:p>
        </w:tc>
        <w:tc>
          <w:tcPr>
            <w:tcW w:w="1910" w:type="dxa"/>
          </w:tcPr>
          <w:p>
            <w:pPr>
              <w:pStyle w:val="Compact"/>
              <w:spacing w:after="40"/>
              <w:jc w:val="left"/>
            </w:pPr>
            <w:r>
              <w:rPr>
                <w:sz w:val="18"/>
              </w:rPr>
              <w:t xml:space="preserve">CAP / SBR / DIV / MISC</w:t>
            </w:r>
          </w:p>
        </w:tc>
        <w:tc>
          <w:tcPr>
            <w:tcW w:w="6429" w:type="dxa"/>
          </w:tcPr>
          <w:p>
            <w:pPr>
              <w:pStyle w:val="Compact"/>
              <w:spacing w:after="40"/>
              <w:jc w:val="left"/>
            </w:pPr>
            <w:r>
              <w:rPr>
                <w:sz w:val="18"/>
              </w:rPr>
              <w:t xml:space="preserve">Securitisation SEC-ERBA capital; DLG and co-lending capital deductions (CAP 15, 19–51)</w:t>
            </w:r>
          </w:p>
        </w:tc>
      </w:tr>
      <w:tr>
        <w:tc>
          <w:tcPr>
            <w:tcW w:w="1299" w:type="dxa"/>
          </w:tcPr>
          <w:p>
            <w:pPr>
              <w:pStyle w:val="Compact"/>
              <w:spacing w:after="40"/>
              <w:jc w:val="left"/>
            </w:pPr>
            <w:r>
              <w:rPr>
                <w:sz w:val="18"/>
              </w:rPr>
              <w:t xml:space="preserve">17</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Gold conduct module (RBC 43–59 and 67–75; the auction rules in paras 60–66 are built in Phase 17b); vehicle repossession clause in the agreement (RBC 26–27)</w:t>
            </w:r>
          </w:p>
        </w:tc>
      </w:tr>
      <w:tr>
        <w:tc>
          <w:tcPr>
            <w:tcW w:w="1299" w:type="dxa"/>
          </w:tcPr>
          <w:p>
            <w:pPr>
              <w:pStyle w:val="Compact"/>
              <w:spacing w:after="40"/>
              <w:jc w:val="left"/>
            </w:pPr>
            <w:r>
              <w:rPr>
                <w:sz w:val="18"/>
              </w:rPr>
              <w:t xml:space="preserve">17b</w:t>
            </w:r>
          </w:p>
        </w:tc>
        <w:tc>
          <w:tcPr>
            <w:tcW w:w="1910" w:type="dxa"/>
          </w:tcPr>
          <w:p>
            <w:pPr>
              <w:pStyle w:val="Compact"/>
              <w:spacing w:after="40"/>
              <w:jc w:val="left"/>
            </w:pPr>
            <w:r>
              <w:rPr>
                <w:sz w:val="18"/>
              </w:rPr>
              <w:t xml:space="preserve">RBC / WD</w:t>
            </w:r>
          </w:p>
        </w:tc>
        <w:tc>
          <w:tcPr>
            <w:tcW w:w="6429" w:type="dxa"/>
          </w:tcPr>
          <w:p>
            <w:pPr>
              <w:pStyle w:val="Compact"/>
              <w:spacing w:after="40"/>
              <w:jc w:val="left"/>
            </w:pPr>
            <w:r>
              <w:rPr>
                <w:sz w:val="18"/>
              </w:rPr>
              <w:t xml:space="preserve">Gold auction rules (RBC 60–66: notice, two newspapers, reserve ≥ 90% of current value or 85% after two failures, first auction in the district, no related-party bids, surplus within 7 working days); vehicle repossession conduct (RBC 26)</w:t>
            </w:r>
          </w:p>
        </w:tc>
      </w:tr>
    </w:tbl>
    <w:bookmarkEnd w:id="821"/>
    <w:bookmarkStart w:id="822" w:name="X59ebd883bf6560f3624359261a6ba9d6af0e67a"/>
    <w:p>
      <w:pPr>
        <w:pStyle w:val="Heading3"/>
      </w:pPr>
      <w:r>
        <w:t xml:space="preserve">8A.36.5 Decisions taken in v1.3 where the texts conflict or are silent</w:t>
      </w:r>
    </w:p>
    <w:p>
      <w:pPr>
        <w:numPr>
          <w:ilvl w:val="0"/>
          <w:numId w:val="2017"/>
        </w:numPr>
        <w:pStyle w:val="Compact"/>
      </w:pPr>
      <w:r>
        <w:rPr>
          <w:bCs/>
          <w:b/>
        </w:rPr>
        <w:t xml:space="preserve">CRILC / DNBS09 applicability:</w:t>
      </w:r>
      <w:r>
        <w:t xml:space="preserve"> </w:t>
      </w:r>
      <w:r>
        <w:t xml:space="preserve">union of SR para 21 and RSA paras 7, 20–21 and 158, with a tenant toggle (M13 row).</w:t>
      </w:r>
    </w:p>
    <w:p>
      <w:pPr>
        <w:numPr>
          <w:ilvl w:val="0"/>
          <w:numId w:val="2017"/>
        </w:numPr>
        <w:pStyle w:val="Compact"/>
      </w:pPr>
      <w:r>
        <w:rPr>
          <w:bCs/>
          <w:b/>
        </w:rPr>
        <w:t xml:space="preserve">Form A certificate:</w:t>
      </w:r>
      <w:r>
        <w:t xml:space="preserve"> </w:t>
      </w:r>
      <w:r>
        <w:t xml:space="preserve">mandatory for all NBFCs (SR para 21 item 20), even where SA para 3 lets NBFC-ND &lt; ₹1,000 crore keep their extant auditor-appointment procedure.</w:t>
      </w:r>
    </w:p>
    <w:p>
      <w:pPr>
        <w:numPr>
          <w:ilvl w:val="0"/>
          <w:numId w:val="2017"/>
        </w:numPr>
        <w:pStyle w:val="Compact"/>
      </w:pPr>
      <w:r>
        <w:rPr>
          <w:bCs/>
          <w:b/>
        </w:rPr>
        <w:t xml:space="preserve">CFSS:</w:t>
      </w:r>
      <w:r>
        <w:t xml:space="preserve"> </w:t>
      </w:r>
      <w:r>
        <w:t xml:space="preserve">MSD para 3 includes HFCs and Chapter II makes no HFC exclusion, so CFSS is built for UL/ML HFCs with ≥ 10 units unless the HFC Directions say otherwise [VERIFY].</w:t>
      </w:r>
    </w:p>
    <w:p>
      <w:pPr>
        <w:numPr>
          <w:ilvl w:val="0"/>
          <w:numId w:val="2017"/>
        </w:numPr>
        <w:pStyle w:val="Compact"/>
      </w:pPr>
      <w:r>
        <w:rPr>
          <w:bCs/>
          <w:b/>
        </w:rPr>
        <w:t xml:space="preserve">Debarment registers:</w:t>
      </w:r>
      <w:r>
        <w:t xml:space="preserve"> </w:t>
      </w:r>
      <w:r>
        <w:t xml:space="preserve">WD 7(3) bars (1 year and 5 years after LWD removal) and FRM para 35 (5 years from full repayment) are evaluated separately at the M4 gate.</w:t>
      </w:r>
    </w:p>
    <w:p>
      <w:pPr>
        <w:numPr>
          <w:ilvl w:val="0"/>
          <w:numId w:val="2017"/>
        </w:numPr>
        <w:pStyle w:val="Compact"/>
      </w:pPr>
      <w:r>
        <w:rPr>
          <w:bCs/>
          <w:b/>
        </w:rPr>
        <w:t xml:space="preserve">Loan transfer of fraud accounts:</w:t>
      </w:r>
      <w:r>
        <w:t xml:space="preserve"> </w:t>
      </w:r>
      <w:r>
        <w:t xml:space="preserve">TDCR paras 28 and 78 and FRM para 54 apply as cumulative gates.</w:t>
      </w:r>
    </w:p>
    <w:p>
      <w:pPr>
        <w:numPr>
          <w:ilvl w:val="0"/>
          <w:numId w:val="2017"/>
        </w:numPr>
        <w:pStyle w:val="Compact"/>
      </w:pPr>
      <w:r>
        <w:rPr>
          <w:bCs/>
          <w:b/>
        </w:rPr>
        <w:t xml:space="preserve">DLG caps:</w:t>
      </w:r>
      <w:r>
        <w:t xml:space="preserve"> </w:t>
      </w:r>
      <w:r>
        <w:t xml:space="preserve">TDCR para 123 (CLA loans outstanding) and CF para 24 (amount disbursed) use different bases; keep separate ledgers.</w:t>
      </w:r>
    </w:p>
    <w:p>
      <w:pPr>
        <w:numPr>
          <w:ilvl w:val="0"/>
          <w:numId w:val="2017"/>
        </w:numPr>
        <w:pStyle w:val="Compact"/>
      </w:pPr>
      <w:r>
        <w:rPr>
          <w:bCs/>
          <w:b/>
        </w:rPr>
        <w:t xml:space="preserve">IT outsourcing:</w:t>
      </w:r>
      <w:r>
        <w:t xml:space="preserve"> </w:t>
      </w:r>
      <w:r>
        <w:t xml:space="preserve">BL tenants with assets ≥ ₹500 crore follow CYB paras 60–64 (OUT Chapter IV does not apply to BL, OUT 3(2)); ML/UL tenants follow OUT Chapter IV alongside CYB Chapter V.</w:t>
      </w:r>
    </w:p>
    <w:p>
      <w:pPr>
        <w:numPr>
          <w:ilvl w:val="0"/>
          <w:numId w:val="2017"/>
        </w:numPr>
        <w:pStyle w:val="Compact"/>
      </w:pPr>
      <w:r>
        <w:rPr>
          <w:bCs/>
          <w:b/>
        </w:rPr>
        <w:t xml:space="preserve">Grievance timelines:</w:t>
      </w:r>
      <w:r>
        <w:t xml:space="preserve"> </w:t>
      </w:r>
      <w:r>
        <w:t xml:space="preserve">OUT 57(3)–(4) cites the superseded 2021 scheme; M15 follows RBC and RB-IOS 2026.</w:t>
      </w:r>
    </w:p>
    <w:p>
      <w:pPr>
        <w:numPr>
          <w:ilvl w:val="0"/>
          <w:numId w:val="2017"/>
        </w:numPr>
        <w:pStyle w:val="Compact"/>
      </w:pPr>
      <w:r>
        <w:rPr>
          <w:bCs/>
          <w:b/>
        </w:rPr>
        <w:t xml:space="preserve">KYC interpretations (label as interpretation in the register):</w:t>
      </w:r>
      <w:r>
        <w:t xml:space="preserve"> </w:t>
      </w:r>
      <w:r>
        <w:t xml:space="preserve">KYC 44(5) (first credit from the customer’s own KYC-compliant account) is a configurable check for loan accounts, e.g. the first fee or EMI credit or penny-drop proof; KYC 71(5) (₹50,000 and above only by debit or cheque) is not read as covering loan-repayment collections, so cash EMI receipts are not blocked on that basis.</w:t>
      </w:r>
    </w:p>
    <w:p>
      <w:pPr>
        <w:numPr>
          <w:ilvl w:val="0"/>
          <w:numId w:val="2017"/>
        </w:numPr>
        <w:pStyle w:val="Compact"/>
      </w:pPr>
      <w:r>
        <w:rPr>
          <w:bCs/>
          <w:b/>
        </w:rPr>
        <w:t xml:space="preserve">V-CIP hosting:</w:t>
      </w:r>
      <w:r>
        <w:t xml:space="preserve"> </w:t>
      </w:r>
      <w:r>
        <w:t xml:space="preserve">KYC 27(1)(i) (</w:t>
      </w:r>
      <w:r>
        <w:t xml:space="preserve">“</w:t>
      </w:r>
      <w:r>
        <w:t xml:space="preserve">own premises / own secured network</w:t>
      </w:r>
      <w:r>
        <w:t xml:space="preserve">”</w:t>
      </w:r>
      <w:r>
        <w:t xml:space="preserve">) must be addressed by a Phase 0 ADR describing how tenant-exclusive storage on Finbyx SaaS hosting meets it.</w:t>
      </w:r>
    </w:p>
    <w:p>
      <w:pPr>
        <w:numPr>
          <w:ilvl w:val="0"/>
          <w:numId w:val="2017"/>
        </w:numPr>
        <w:pStyle w:val="Compact"/>
      </w:pPr>
      <w:r>
        <w:rPr>
          <w:bCs/>
          <w:b/>
        </w:rPr>
        <w:t xml:space="preserve">Capital charges for securitisation:</w:t>
      </w:r>
      <w:r>
        <w:t xml:space="preserve"> </w:t>
      </w:r>
      <w:r>
        <w:t xml:space="preserve">SEC capital charges, the SRT test and clean-up call conditions rely on CAP; HFC risk weights come from the HFC Directions (not supplied) [VERIFY].</w:t>
      </w:r>
    </w:p>
    <w:bookmarkEnd w:id="822"/>
    <w:bookmarkEnd w:id="823"/>
    <w:bookmarkStart w:id="828" w:name="X13b1dac931df4f6d76edc3c55498f864cba2abe"/>
    <w:p>
      <w:pPr>
        <w:pStyle w:val="Heading2"/>
      </w:pPr>
      <w:r>
        <w:t xml:space="preserve">8A.37 v1.5 sources and requirement codes (non-RBI and later RBI instruments)</w:t>
      </w:r>
    </w:p>
    <w:p>
      <w:pPr>
        <w:pStyle w:val="FirstParagraph"/>
      </w:pPr>
      <w:r>
        <w:t xml:space="preserve">Parts 7B–7L rely on instruments that are not among the 33 Directions and 1 guidance note in Part 8A.0.2: RBI Directions for commercial banks, co-operative banks, HFCs, ARCs, CICs, AIF investments, e-mandates and payment aggregators; the RBI Ombudsman and Internal Ombudsman instruments of 2026; and non-RBI statutes, regulations, self-regulatory codes and professional standards. Each gets a code below and uses the Part 8A.0.1 ID format</w:t>
      </w:r>
      <w:r>
        <w:t xml:space="preserve"> </w:t>
      </w:r>
      <w:r>
        <w:rPr>
          <w:rStyle w:val="VerbatimChar"/>
        </w:rPr>
        <w:t xml:space="preserve">REQ-[code]-[para]</w:t>
      </w:r>
      <w:r>
        <w:t xml:space="preserve"> </w:t>
      </w:r>
      <w:r>
        <w:t xml:space="preserve">(for example</w:t>
      </w:r>
      <w:r>
        <w:t xml:space="preserve"> </w:t>
      </w:r>
      <w:r>
        <w:rPr>
          <w:rStyle w:val="VerbatimChar"/>
        </w:rPr>
        <w:t xml:space="preserve">REQ-CA13-173(1)</w:t>
      </w:r>
      <w:r>
        <w:t xml:space="preserve">,</w:t>
      </w:r>
      <w:r>
        <w:t xml:space="preserve"> </w:t>
      </w:r>
      <w:r>
        <w:rPr>
          <w:rStyle w:val="VerbatimChar"/>
        </w:rPr>
        <w:t xml:space="preserve">REQ-ICSI-SS1-7</w:t>
      </w:r>
      <w:r>
        <w:t xml:space="preserve">,</w:t>
      </w:r>
      <w:r>
        <w:t xml:space="preserve"> </w:t>
      </w:r>
      <w:r>
        <w:rPr>
          <w:rStyle w:val="VerbatimChar"/>
        </w:rPr>
        <w:t xml:space="preserve">REQ-LODR-23(2)</w:t>
      </w:r>
      <w:r>
        <w:t xml:space="preserve">,</w:t>
      </w:r>
      <w:r>
        <w:t xml:space="preserve"> </w:t>
      </w:r>
      <w:r>
        <w:rPr>
          <w:rStyle w:val="VerbatimChar"/>
        </w:rPr>
        <w:t xml:space="preserve">REQ-LC-CoW-17(2)</w:t>
      </w:r>
      <w:r>
        <w:t xml:space="preserve">,</w:t>
      </w:r>
      <w:r>
        <w:t xml:space="preserve"> </w:t>
      </w:r>
      <w:r>
        <w:rPr>
          <w:rStyle w:val="VerbatimChar"/>
        </w:rPr>
        <w:t xml:space="preserve">REQ-ITA25-393</w:t>
      </w:r>
      <w:r>
        <w:t xml:space="preserve">,</w:t>
      </w:r>
      <w:r>
        <w:t xml:space="preserve"> </w:t>
      </w:r>
      <w:r>
        <w:rPr>
          <w:rStyle w:val="VerbatimChar"/>
        </w:rPr>
        <w:t xml:space="preserve">REQ-CB-IA-3</w:t>
      </w:r>
      <w:r>
        <w:t xml:space="preserve">,</w:t>
      </w:r>
      <w:r>
        <w:t xml:space="preserve"> </w:t>
      </w:r>
      <w:r>
        <w:rPr>
          <w:rStyle w:val="VerbatimChar"/>
        </w:rPr>
        <w:t xml:space="preserve">REQ-RBIOS26-10(1)(g)</w:t>
      </w:r>
      <w:r>
        <w:t xml:space="preserve">).</w:t>
      </w:r>
    </w:p>
    <w:p>
      <w:pPr>
        <w:pStyle w:val="BodyText"/>
      </w:pPr>
      <w:r>
        <w:rPr>
          <w:bCs/>
          <w:b/>
        </w:rPr>
        <w:t xml:space="preserve">Status of these rows.</w:t>
      </w:r>
      <w:r>
        <w:t xml:space="preserve"> </w:t>
      </w:r>
      <w:r>
        <w:t xml:space="preserve">None of these texts was supplied by the project owner. Rows were checked on 23 October 2026 against the regulator’s own web page where it could be fetched, otherwise against a reputable secondary reproduction; the status column says which. Before the related module goes live, Claude Code stores the official text under</w:t>
      </w:r>
      <w:r>
        <w:t xml:space="preserve"> </w:t>
      </w:r>
      <w:r>
        <w:rPr>
          <w:rStyle w:val="VerbatimChar"/>
        </w:rPr>
        <w:t xml:space="preserve">docs/regulations/[issuer]/</w:t>
      </w:r>
      <w:r>
        <w:t xml:space="preserve">, records its SHA-256 and</w:t>
      </w:r>
      <w:r>
        <w:t xml:space="preserve"> </w:t>
      </w:r>
      <w:r>
        <w:t xml:space="preserve">“</w:t>
      </w:r>
      <w:r>
        <w:t xml:space="preserve">as amended</w:t>
      </w:r>
      <w:r>
        <w:t xml:space="preserve">”</w:t>
      </w:r>
      <w:r>
        <w:t xml:space="preserve"> </w:t>
      </w:r>
      <w:r>
        <w:t xml:space="preserve">date in</w:t>
      </w:r>
      <w:r>
        <w:t xml:space="preserve"> </w:t>
      </w:r>
      <w:r>
        <w:rPr>
          <w:rStyle w:val="VerbatimChar"/>
        </w:rPr>
        <w:t xml:space="preserve">docs/regulations/index.md</w:t>
      </w:r>
      <w:r>
        <w:t xml:space="preserve">, re-checks every paragraph citation, and clears the matching</w:t>
      </w:r>
      <w:r>
        <w:t xml:space="preserve"> </w:t>
      </w:r>
      <w:r>
        <w:rPr>
          <w:rStyle w:val="VerbatimChar"/>
        </w:rPr>
        <w:t xml:space="preserve">[VERIFY]</w:t>
      </w:r>
      <w:r>
        <w:t xml:space="preserve"> </w:t>
      </w:r>
      <w:r>
        <w:t xml:space="preserve">items (Part 8A.37.2). Professional standards (ICAI, ICSI) and self-regulatory codes carry the register strength flag</w:t>
      </w:r>
      <w:r>
        <w:t xml:space="preserve"> </w:t>
      </w:r>
      <w:r>
        <w:t xml:space="preserve">“</w:t>
      </w:r>
      <w:r>
        <w:t xml:space="preserve">professional</w:t>
      </w:r>
      <w:r>
        <w:t xml:space="preserve">”</w:t>
      </w:r>
      <w:r>
        <w:t xml:space="preserve"> </w:t>
      </w:r>
      <w:r>
        <w:t xml:space="preserve">or</w:t>
      </w:r>
      <w:r>
        <w:t xml:space="preserve"> </w:t>
      </w:r>
      <w:r>
        <w:t xml:space="preserve">“</w:t>
      </w:r>
      <w:r>
        <w:t xml:space="preserve">SRO</w:t>
      </w:r>
      <w:r>
        <w:t xml:space="preserve">”</w:t>
      </w:r>
      <w:r>
        <w:t xml:space="preserve">; they are reported as statutory breaches only where a statute or regulator makes them binding (for example ICSI SS-1 and SS-2 under CA13 s.118(10); ICAI Standards on Auditing for auditors).</w:t>
      </w:r>
    </w:p>
    <w:p>
      <w:pPr>
        <w:pStyle w:val="BodyText"/>
      </w:pPr>
      <w:r>
        <w:rPr>
          <w:bCs/>
          <w:b/>
        </w:rPr>
        <w:t xml:space="preserve">Part references.</w:t>
      </w:r>
      <w:r>
        <w:t xml:space="preserve"> </w:t>
      </w:r>
      <w:r>
        <w:t xml:space="preserve">“</w:t>
      </w:r>
      <w:r>
        <w:t xml:space="preserve">F</w:t>
      </w:r>
      <w:r>
        <w:t xml:space="preserve">”</w:t>
      </w:r>
      <w:r>
        <w:t xml:space="preserve"> </w:t>
      </w:r>
      <w:r>
        <w:t xml:space="preserve">= this prompt;</w:t>
      </w:r>
      <w:r>
        <w:t xml:space="preserve"> </w:t>
      </w:r>
      <w:r>
        <w:t xml:space="preserve">“</w:t>
      </w:r>
      <w:r>
        <w:t xml:space="preserve">U</w:t>
      </w:r>
      <w:r>
        <w:t xml:space="preserve">”</w:t>
      </w:r>
      <w:r>
        <w:t xml:space="preserve"> </w:t>
      </w:r>
      <w:r>
        <w:t xml:space="preserve">= Udofin master prompt v1.2;</w:t>
      </w:r>
      <w:r>
        <w:t xml:space="preserve"> </w:t>
      </w:r>
      <w:r>
        <w:t xml:space="preserve">“</w:t>
      </w:r>
      <w:r>
        <w:t xml:space="preserve">OH</w:t>
      </w:r>
      <w:r>
        <w:t xml:space="preserve">”</w:t>
      </w:r>
      <w:r>
        <w:t xml:space="preserve"> </w:t>
      </w:r>
      <w:r>
        <w:t xml:space="preserve">= Infrabyx Operations Hub master prompt v1.0.</w:t>
      </w:r>
    </w:p>
    <w:bookmarkStart w:id="824" w:name="rbi-instruments-not-in-part-8a.0.2"/>
    <w:p>
      <w:pPr>
        <w:pStyle w:val="Heading3"/>
      </w:pPr>
      <w:r>
        <w:t xml:space="preserve">RBI instruments not in Part 8A.0.2</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39"/>
        <w:gridCol w:w="2334"/>
        <w:gridCol w:w="1890"/>
        <w:gridCol w:w="3257"/>
        <w:gridCol w:w="1518"/>
      </w:tblGrid>
      <w:tr>
        <w:trPr>
          <w:tblHeader w:val="true"/>
          <w:tblHeader w:val="true"/>
        </w:trPr>
        <w:tc>
          <w:tcPr>
            <w:tcW w:w="639" w:type="dxa"/>
            <w:shd w:val="clear" w:color="auto" w:fill="1F3A5F"/>
          </w:tcPr>
          <w:p>
            <w:pPr>
              <w:pStyle w:val="Compact"/>
              <w:spacing w:after="40"/>
              <w:jc w:val="left"/>
            </w:pPr>
            <w:r>
              <w:rPr>
                <w:b/>
                <w:color w:val="FFFFFF"/>
                <w:sz w:val="18"/>
              </w:rPr>
              <w:t xml:space="preserve">Code</w:t>
            </w:r>
          </w:p>
        </w:tc>
        <w:tc>
          <w:tcPr>
            <w:tcW w:w="2334" w:type="dxa"/>
            <w:shd w:val="clear" w:color="auto" w:fill="1F3A5F"/>
          </w:tcPr>
          <w:p>
            <w:pPr>
              <w:pStyle w:val="Compact"/>
              <w:spacing w:after="40"/>
              <w:jc w:val="left"/>
            </w:pPr>
            <w:r>
              <w:rPr>
                <w:b/>
                <w:color w:val="FFFFFF"/>
                <w:sz w:val="18"/>
              </w:rPr>
              <w:t xml:space="preserve">Instrument</w:t>
            </w:r>
          </w:p>
        </w:tc>
        <w:tc>
          <w:tcPr>
            <w:tcW w:w="1890" w:type="dxa"/>
            <w:shd w:val="clear" w:color="auto" w:fill="1F3A5F"/>
          </w:tcPr>
          <w:p>
            <w:pPr>
              <w:pStyle w:val="Compact"/>
              <w:spacing w:after="40"/>
              <w:jc w:val="left"/>
            </w:pPr>
            <w:r>
              <w:rPr>
                <w:b/>
                <w:color w:val="FFFFFF"/>
                <w:sz w:val="18"/>
              </w:rPr>
              <w:t xml:space="preserve">Issuer, number and date</w:t>
            </w:r>
          </w:p>
        </w:tc>
        <w:tc>
          <w:tcPr>
            <w:tcW w:w="3257" w:type="dxa"/>
            <w:shd w:val="clear" w:color="auto" w:fill="1F3A5F"/>
          </w:tcPr>
          <w:p>
            <w:pPr>
              <w:pStyle w:val="Compact"/>
              <w:spacing w:after="40"/>
              <w:jc w:val="left"/>
            </w:pPr>
            <w:r>
              <w:rPr>
                <w:b/>
                <w:color w:val="FFFFFF"/>
                <w:sz w:val="18"/>
              </w:rPr>
              <w:t xml:space="preserve">Status / effective date</w:t>
            </w:r>
          </w:p>
        </w:tc>
        <w:tc>
          <w:tcPr>
            <w:tcW w:w="1518" w:type="dxa"/>
            <w:shd w:val="clear" w:color="auto" w:fill="1F3A5F"/>
          </w:tcPr>
          <w:p>
            <w:pPr>
              <w:pStyle w:val="Compact"/>
              <w:spacing w:after="40"/>
              <w:jc w:val="left"/>
            </w:pPr>
            <w:r>
              <w:rPr>
                <w:b/>
                <w:color w:val="FFFFFF"/>
                <w:sz w:val="18"/>
              </w:rPr>
              <w:t xml:space="preserve">Where used (Parts)</w:t>
            </w:r>
          </w:p>
        </w:tc>
      </w:tr>
      <w:tr>
        <w:tc>
          <w:tcPr>
            <w:tcW w:w="639" w:type="dxa"/>
          </w:tcPr>
          <w:p>
            <w:pPr>
              <w:pStyle w:val="Compact"/>
              <w:spacing w:after="40"/>
              <w:jc w:val="left"/>
            </w:pPr>
            <w:r>
              <w:rPr>
                <w:rStyle w:val="VerbatimChar"/>
                <w:sz w:val="18"/>
              </w:rPr>
              <w:t xml:space="preserve">CB-IA</w:t>
            </w:r>
          </w:p>
        </w:tc>
        <w:tc>
          <w:tcPr>
            <w:tcW w:w="2334" w:type="dxa"/>
          </w:tcPr>
          <w:p>
            <w:pPr>
              <w:pStyle w:val="Compact"/>
              <w:spacing w:after="40"/>
              <w:jc w:val="left"/>
            </w:pPr>
            <w:r>
              <w:rPr>
                <w:sz w:val="18"/>
              </w:rPr>
              <w:t xml:space="preserve">Commercial Banks – Internal Audit Function Directions, 2026</w:t>
            </w:r>
          </w:p>
        </w:tc>
        <w:tc>
          <w:tcPr>
            <w:tcW w:w="1890" w:type="dxa"/>
          </w:tcPr>
          <w:p>
            <w:pPr>
              <w:pStyle w:val="Compact"/>
              <w:spacing w:after="40"/>
              <w:jc w:val="left"/>
            </w:pPr>
            <w:r>
              <w:rPr>
                <w:sz w:val="18"/>
              </w:rPr>
              <w:t xml:space="preserve">RBI; RBI/DoS/2026-27/413; 31 Jul 2026</w:t>
            </w:r>
          </w:p>
        </w:tc>
        <w:tc>
          <w:tcPr>
            <w:tcW w:w="3257" w:type="dxa"/>
          </w:tcPr>
          <w:p>
            <w:pPr>
              <w:pStyle w:val="Compact"/>
              <w:spacing w:after="40"/>
              <w:jc w:val="left"/>
            </w:pPr>
            <w:r>
              <w:rPr>
                <w:sz w:val="18"/>
              </w:rPr>
              <w:t xml:space="preserve">In force; updated 1 Oct 2026; mandates RBIA; excludes SFBs, payments banks and LABs (para 3); RBI web page read</w:t>
            </w:r>
          </w:p>
        </w:tc>
        <w:tc>
          <w:tcPr>
            <w:tcW w:w="1518" w:type="dxa"/>
          </w:tcPr>
          <w:p>
            <w:pPr>
              <w:pStyle w:val="Compact"/>
              <w:spacing w:after="40"/>
              <w:jc w:val="left"/>
            </w:pPr>
            <w:r>
              <w:rPr>
                <w:sz w:val="18"/>
              </w:rPr>
              <w:t xml:space="preserve">F 7D (AU1, AU3)</w:t>
            </w:r>
          </w:p>
        </w:tc>
      </w:tr>
      <w:tr>
        <w:tc>
          <w:tcPr>
            <w:tcW w:w="639" w:type="dxa"/>
          </w:tcPr>
          <w:p>
            <w:pPr>
              <w:pStyle w:val="Compact"/>
              <w:spacing w:after="40"/>
              <w:jc w:val="left"/>
            </w:pPr>
            <w:r>
              <w:rPr>
                <w:rStyle w:val="VerbatimChar"/>
                <w:sz w:val="18"/>
              </w:rPr>
              <w:t xml:space="preserve">CB-CA</w:t>
            </w:r>
          </w:p>
        </w:tc>
        <w:tc>
          <w:tcPr>
            <w:tcW w:w="2334" w:type="dxa"/>
          </w:tcPr>
          <w:p>
            <w:pPr>
              <w:pStyle w:val="Compact"/>
              <w:spacing w:after="40"/>
              <w:jc w:val="left"/>
            </w:pPr>
            <w:r>
              <w:rPr>
                <w:sz w:val="18"/>
              </w:rPr>
              <w:t xml:space="preserve">Commercial Banks – Concurrent Audit Directions, 2026</w:t>
            </w:r>
          </w:p>
        </w:tc>
        <w:tc>
          <w:tcPr>
            <w:tcW w:w="1890" w:type="dxa"/>
          </w:tcPr>
          <w:p>
            <w:pPr>
              <w:pStyle w:val="Compact"/>
              <w:spacing w:after="40"/>
              <w:jc w:val="left"/>
            </w:pPr>
            <w:r>
              <w:rPr>
                <w:sz w:val="18"/>
              </w:rPr>
              <w:t xml:space="preserve">RBI; 31 Jul 2026 (RBI MD index id 13644) [VERIFY: RBI number]</w:t>
            </w:r>
          </w:p>
        </w:tc>
        <w:tc>
          <w:tcPr>
            <w:tcW w:w="3257" w:type="dxa"/>
          </w:tcPr>
          <w:p>
            <w:pPr>
              <w:pStyle w:val="Compact"/>
              <w:spacing w:after="40"/>
              <w:jc w:val="left"/>
            </w:pPr>
            <w:r>
              <w:rPr>
                <w:sz w:val="18"/>
              </w:rPr>
              <w:t xml:space="preserve">In force; updated 1 Oct 2026; official PDF not read (captcha) [VERIFY: coverage, branch selection, appointment, rotation, reporting]</w:t>
            </w:r>
          </w:p>
        </w:tc>
        <w:tc>
          <w:tcPr>
            <w:tcW w:w="1518" w:type="dxa"/>
          </w:tcPr>
          <w:p>
            <w:pPr>
              <w:pStyle w:val="Compact"/>
              <w:spacing w:after="40"/>
              <w:jc w:val="left"/>
            </w:pPr>
            <w:r>
              <w:rPr>
                <w:sz w:val="18"/>
              </w:rPr>
              <w:t xml:space="preserve">F 7D (AU3.5)</w:t>
            </w:r>
          </w:p>
        </w:tc>
      </w:tr>
      <w:tr>
        <w:tc>
          <w:tcPr>
            <w:tcW w:w="639" w:type="dxa"/>
          </w:tcPr>
          <w:p>
            <w:pPr>
              <w:pStyle w:val="Compact"/>
              <w:spacing w:after="40"/>
              <w:jc w:val="left"/>
            </w:pPr>
            <w:r>
              <w:rPr>
                <w:rStyle w:val="VerbatimChar"/>
                <w:sz w:val="18"/>
              </w:rPr>
              <w:t xml:space="preserve">CB-SR</w:t>
            </w:r>
          </w:p>
        </w:tc>
        <w:tc>
          <w:tcPr>
            <w:tcW w:w="2334" w:type="dxa"/>
          </w:tcPr>
          <w:p>
            <w:pPr>
              <w:pStyle w:val="Compact"/>
              <w:spacing w:after="40"/>
              <w:jc w:val="left"/>
            </w:pPr>
            <w:r>
              <w:rPr>
                <w:sz w:val="18"/>
              </w:rPr>
              <w:t xml:space="preserve">Commercial Banks – Supervisory Returns Directions, 2026</w:t>
            </w:r>
          </w:p>
        </w:tc>
        <w:tc>
          <w:tcPr>
            <w:tcW w:w="1890" w:type="dxa"/>
          </w:tcPr>
          <w:p>
            <w:pPr>
              <w:pStyle w:val="Compact"/>
              <w:spacing w:after="40"/>
              <w:jc w:val="left"/>
            </w:pPr>
            <w:r>
              <w:rPr>
                <w:sz w:val="18"/>
              </w:rPr>
              <w:t xml:space="preserve">RBI; RBI/DoS/2026-27/415; 31 Jul 2026</w:t>
            </w:r>
          </w:p>
        </w:tc>
        <w:tc>
          <w:tcPr>
            <w:tcW w:w="3257" w:type="dxa"/>
          </w:tcPr>
          <w:p>
            <w:pPr>
              <w:pStyle w:val="Compact"/>
              <w:spacing w:after="40"/>
              <w:jc w:val="left"/>
            </w:pPr>
            <w:r>
              <w:rPr>
                <w:sz w:val="18"/>
              </w:rPr>
              <w:t xml:space="preserve">In force; 37 returns; fortnightly and other timelines in para 22 [VERIFY: each return row]</w:t>
            </w:r>
          </w:p>
        </w:tc>
        <w:tc>
          <w:tcPr>
            <w:tcW w:w="1518" w:type="dxa"/>
          </w:tcPr>
          <w:p>
            <w:pPr>
              <w:pStyle w:val="Compact"/>
              <w:spacing w:after="40"/>
              <w:jc w:val="left"/>
            </w:pPr>
            <w:r>
              <w:rPr>
                <w:sz w:val="18"/>
              </w:rPr>
              <w:t xml:space="preserve">F 7B (RR1.5, RR8.6)</w:t>
            </w:r>
          </w:p>
        </w:tc>
      </w:tr>
      <w:tr>
        <w:tc>
          <w:tcPr>
            <w:tcW w:w="639" w:type="dxa"/>
          </w:tcPr>
          <w:p>
            <w:pPr>
              <w:pStyle w:val="Compact"/>
              <w:spacing w:after="40"/>
              <w:jc w:val="left"/>
            </w:pPr>
            <w:r>
              <w:rPr>
                <w:rStyle w:val="VerbatimChar"/>
                <w:sz w:val="18"/>
              </w:rPr>
              <w:t xml:space="preserve">CB-CAP</w:t>
            </w:r>
          </w:p>
        </w:tc>
        <w:tc>
          <w:tcPr>
            <w:tcW w:w="2334" w:type="dxa"/>
          </w:tcPr>
          <w:p>
            <w:pPr>
              <w:pStyle w:val="Compact"/>
              <w:spacing w:after="40"/>
              <w:jc w:val="left"/>
            </w:pPr>
            <w:r>
              <w:rPr>
                <w:sz w:val="18"/>
              </w:rPr>
              <w:t xml:space="preserve">Commercial Banks – Prudential Norms on Capital Adequacy Directions, 2025</w:t>
            </w:r>
          </w:p>
        </w:tc>
        <w:tc>
          <w:tcPr>
            <w:tcW w:w="1890" w:type="dxa"/>
          </w:tcPr>
          <w:p>
            <w:pPr>
              <w:pStyle w:val="Compact"/>
              <w:spacing w:after="40"/>
              <w:jc w:val="left"/>
            </w:pPr>
            <w:r>
              <w:rPr>
                <w:sz w:val="18"/>
              </w:rPr>
              <w:t xml:space="preserve">RBI; 28 Nov 2025 (RBI MD index id 13159) [VERIFY: RBI number and paragraphs]</w:t>
            </w:r>
          </w:p>
        </w:tc>
        <w:tc>
          <w:tcPr>
            <w:tcW w:w="3257" w:type="dxa"/>
          </w:tcPr>
          <w:p>
            <w:pPr>
              <w:pStyle w:val="Compact"/>
              <w:spacing w:after="40"/>
              <w:jc w:val="left"/>
            </w:pPr>
            <w:r>
              <w:rPr>
                <w:sz w:val="18"/>
              </w:rPr>
              <w:t xml:space="preserve">In force; CET1 5.5%, Tier 1 7%, total 9% plus CCB 2.5%; leverage ratio 4% (D-SIBs) and 3.5% (others); draft Eleventh Amendment aligns leverage to Basel 2017 from 1 Apr 2027</w:t>
            </w:r>
          </w:p>
        </w:tc>
        <w:tc>
          <w:tcPr>
            <w:tcW w:w="1518" w:type="dxa"/>
          </w:tcPr>
          <w:p>
            <w:pPr>
              <w:pStyle w:val="Compact"/>
              <w:spacing w:after="40"/>
              <w:jc w:val="left"/>
            </w:pPr>
            <w:r>
              <w:rPr>
                <w:sz w:val="18"/>
              </w:rPr>
              <w:t xml:space="preserve">F 7E (RK3.1, RK3.6, RK6)</w:t>
            </w:r>
          </w:p>
        </w:tc>
      </w:tr>
      <w:tr>
        <w:tc>
          <w:tcPr>
            <w:tcW w:w="639" w:type="dxa"/>
          </w:tcPr>
          <w:p>
            <w:pPr>
              <w:pStyle w:val="Compact"/>
              <w:spacing w:after="40"/>
              <w:jc w:val="left"/>
            </w:pPr>
            <w:r>
              <w:rPr>
                <w:rStyle w:val="VerbatimChar"/>
                <w:sz w:val="18"/>
              </w:rPr>
              <w:t xml:space="preserve">CB-CRSA</w:t>
            </w:r>
          </w:p>
        </w:tc>
        <w:tc>
          <w:tcPr>
            <w:tcW w:w="2334" w:type="dxa"/>
          </w:tcPr>
          <w:p>
            <w:pPr>
              <w:pStyle w:val="Compact"/>
              <w:spacing w:after="40"/>
              <w:jc w:val="left"/>
            </w:pPr>
            <w:r>
              <w:rPr>
                <w:sz w:val="18"/>
              </w:rPr>
              <w:t xml:space="preserve">Commercial Banks – Capital Charge for Credit Risk – Standardised Approach Directions, 2026</w:t>
            </w:r>
          </w:p>
        </w:tc>
        <w:tc>
          <w:tcPr>
            <w:tcW w:w="1890" w:type="dxa"/>
          </w:tcPr>
          <w:p>
            <w:pPr>
              <w:pStyle w:val="Compact"/>
              <w:spacing w:after="40"/>
              <w:jc w:val="left"/>
            </w:pPr>
            <w:r>
              <w:rPr>
                <w:sz w:val="18"/>
              </w:rPr>
              <w:t xml:space="preserve">RBI; 2026 [VERIFY: number and date]</w:t>
            </w:r>
          </w:p>
        </w:tc>
        <w:tc>
          <w:tcPr>
            <w:tcW w:w="3257" w:type="dxa"/>
          </w:tcPr>
          <w:p>
            <w:pPr>
              <w:pStyle w:val="Compact"/>
              <w:spacing w:after="40"/>
              <w:jc w:val="left"/>
            </w:pPr>
            <w:r>
              <w:rPr>
                <w:sz w:val="18"/>
              </w:rPr>
              <w:t xml:space="preserve">Effective 1 Apr 2027; excludes SFBs, payments banks and LABs (secondary: KPMG)</w:t>
            </w:r>
          </w:p>
        </w:tc>
        <w:tc>
          <w:tcPr>
            <w:tcW w:w="1518" w:type="dxa"/>
          </w:tcPr>
          <w:p>
            <w:pPr>
              <w:pStyle w:val="Compact"/>
              <w:spacing w:after="40"/>
              <w:jc w:val="left"/>
            </w:pPr>
            <w:r>
              <w:rPr>
                <w:sz w:val="18"/>
              </w:rPr>
              <w:t xml:space="preserve">F 7E (RK3.6)</w:t>
            </w:r>
          </w:p>
        </w:tc>
      </w:tr>
      <w:tr>
        <w:tc>
          <w:tcPr>
            <w:tcW w:w="639" w:type="dxa"/>
          </w:tcPr>
          <w:p>
            <w:pPr>
              <w:pStyle w:val="Compact"/>
              <w:spacing w:after="40"/>
              <w:jc w:val="left"/>
            </w:pPr>
            <w:r>
              <w:rPr>
                <w:rStyle w:val="VerbatimChar"/>
                <w:sz w:val="18"/>
              </w:rPr>
              <w:t xml:space="preserve">CB-ECL</w:t>
            </w:r>
          </w:p>
        </w:tc>
        <w:tc>
          <w:tcPr>
            <w:tcW w:w="2334" w:type="dxa"/>
          </w:tcPr>
          <w:p>
            <w:pPr>
              <w:pStyle w:val="Compact"/>
              <w:spacing w:after="40"/>
              <w:jc w:val="left"/>
            </w:pPr>
            <w:r>
              <w:rPr>
                <w:sz w:val="18"/>
              </w:rPr>
              <w:t xml:space="preserve">Commercial Banks – Asset Classification, Provisioning and Income Recognition Directions, 2026</w:t>
            </w:r>
          </w:p>
        </w:tc>
        <w:tc>
          <w:tcPr>
            <w:tcW w:w="1890" w:type="dxa"/>
          </w:tcPr>
          <w:p>
            <w:pPr>
              <w:pStyle w:val="Compact"/>
              <w:spacing w:after="40"/>
              <w:jc w:val="left"/>
            </w:pPr>
            <w:r>
              <w:rPr>
                <w:sz w:val="18"/>
              </w:rPr>
              <w:t xml:space="preserve">RBI; RBI/DOR/2026-27/398</w:t>
            </w:r>
          </w:p>
        </w:tc>
        <w:tc>
          <w:tcPr>
            <w:tcW w:w="3257" w:type="dxa"/>
          </w:tcPr>
          <w:p>
            <w:pPr>
              <w:pStyle w:val="Compact"/>
              <w:spacing w:after="40"/>
              <w:jc w:val="left"/>
            </w:pPr>
            <w:r>
              <w:rPr>
                <w:sz w:val="18"/>
              </w:rPr>
              <w:t xml:space="preserve">Effective 1 Apr 2027; scheduled commercial banks only [VERIFY: SFB, PB, LAB, RRB exclusion]; optional CET1 add-back FY 2027-28 to FY 2030-31 (secondary: TaxGuru, KS&amp;K)</w:t>
            </w:r>
          </w:p>
        </w:tc>
        <w:tc>
          <w:tcPr>
            <w:tcW w:w="1518" w:type="dxa"/>
          </w:tcPr>
          <w:p>
            <w:pPr>
              <w:pStyle w:val="Compact"/>
              <w:spacing w:after="40"/>
              <w:jc w:val="left"/>
            </w:pPr>
            <w:r>
              <w:rPr>
                <w:sz w:val="18"/>
              </w:rPr>
              <w:t xml:space="preserve">F 7C (AC2.6), 7E (RK3.6)</w:t>
            </w:r>
          </w:p>
        </w:tc>
      </w:tr>
      <w:tr>
        <w:tc>
          <w:tcPr>
            <w:tcW w:w="639" w:type="dxa"/>
          </w:tcPr>
          <w:p>
            <w:pPr>
              <w:pStyle w:val="Compact"/>
              <w:spacing w:after="40"/>
              <w:jc w:val="left"/>
            </w:pPr>
            <w:r>
              <w:rPr>
                <w:rStyle w:val="VerbatimChar"/>
                <w:sz w:val="18"/>
              </w:rPr>
              <w:t xml:space="preserve">HFC</w:t>
            </w:r>
          </w:p>
        </w:tc>
        <w:tc>
          <w:tcPr>
            <w:tcW w:w="2334" w:type="dxa"/>
          </w:tcPr>
          <w:p>
            <w:pPr>
              <w:pStyle w:val="Compact"/>
              <w:spacing w:after="40"/>
              <w:jc w:val="left"/>
            </w:pPr>
            <w:r>
              <w:rPr>
                <w:sz w:val="18"/>
              </w:rPr>
              <w:t xml:space="preserve">Housing Finance Companies Directions, 2025</w:t>
            </w:r>
          </w:p>
        </w:tc>
        <w:tc>
          <w:tcPr>
            <w:tcW w:w="1890" w:type="dxa"/>
          </w:tcPr>
          <w:p>
            <w:pPr>
              <w:pStyle w:val="Compact"/>
              <w:spacing w:after="40"/>
              <w:jc w:val="left"/>
            </w:pPr>
            <w:r>
              <w:rPr>
                <w:sz w:val="18"/>
              </w:rPr>
              <w:t xml:space="preserve">RBI; RBI/DoR/2025-26/365; 28 Nov 2025</w:t>
            </w:r>
          </w:p>
        </w:tc>
        <w:tc>
          <w:tcPr>
            <w:tcW w:w="3257" w:type="dxa"/>
          </w:tcPr>
          <w:p>
            <w:pPr>
              <w:pStyle w:val="Compact"/>
              <w:spacing w:after="40"/>
              <w:jc w:val="left"/>
            </w:pPr>
            <w:r>
              <w:rPr>
                <w:sz w:val="18"/>
              </w:rPr>
              <w:t xml:space="preserve">Updated 1 Oct 2026 (RBI MD index id 12939); HFCs excluded from NBFC SR and report to NHB [VERIFY: HFC paragraph numbers against the PDF]</w:t>
            </w:r>
          </w:p>
        </w:tc>
        <w:tc>
          <w:tcPr>
            <w:tcW w:w="1518" w:type="dxa"/>
          </w:tcPr>
          <w:p>
            <w:pPr>
              <w:pStyle w:val="Compact"/>
              <w:spacing w:after="40"/>
              <w:jc w:val="left"/>
            </w:pPr>
            <w:r>
              <w:rPr>
                <w:sz w:val="18"/>
              </w:rPr>
              <w:t xml:space="preserve">F 7B (RR1), 7E (RK3.1, RK6)</w:t>
            </w:r>
          </w:p>
        </w:tc>
      </w:tr>
      <w:tr>
        <w:tc>
          <w:tcPr>
            <w:tcW w:w="639" w:type="dxa"/>
          </w:tcPr>
          <w:p>
            <w:pPr>
              <w:pStyle w:val="Compact"/>
              <w:spacing w:after="40"/>
              <w:jc w:val="left"/>
            </w:pPr>
            <w:r>
              <w:rPr>
                <w:rStyle w:val="VerbatimChar"/>
                <w:sz w:val="18"/>
              </w:rPr>
              <w:t xml:space="preserve">UCB</w:t>
            </w:r>
          </w:p>
        </w:tc>
        <w:tc>
          <w:tcPr>
            <w:tcW w:w="2334" w:type="dxa"/>
          </w:tcPr>
          <w:p>
            <w:pPr>
              <w:pStyle w:val="Compact"/>
              <w:spacing w:after="40"/>
              <w:jc w:val="left"/>
            </w:pPr>
            <w:r>
              <w:rPr>
                <w:sz w:val="18"/>
              </w:rPr>
              <w:t xml:space="preserve">Urban Co-operative Banks Directions, 2025 (consolidated set, including concentration risk, IRACP and capital) and UCB Supervisory Returns Directions, 2026</w:t>
            </w:r>
          </w:p>
        </w:tc>
        <w:tc>
          <w:tcPr>
            <w:tcW w:w="1890" w:type="dxa"/>
          </w:tcPr>
          <w:p>
            <w:pPr>
              <w:pStyle w:val="Compact"/>
              <w:spacing w:after="40"/>
              <w:jc w:val="left"/>
            </w:pPr>
            <w:r>
              <w:rPr>
                <w:sz w:val="18"/>
              </w:rPr>
              <w:t xml:space="preserve">RBI; 28 Nov 2025 set; SR 31 Jul 2026 [VERIFY: numbers]</w:t>
            </w:r>
          </w:p>
        </w:tc>
        <w:tc>
          <w:tcPr>
            <w:tcW w:w="3257" w:type="dxa"/>
          </w:tcPr>
          <w:p>
            <w:pPr>
              <w:pStyle w:val="Compact"/>
              <w:spacing w:after="40"/>
              <w:jc w:val="left"/>
            </w:pPr>
            <w:r>
              <w:rPr>
                <w:sz w:val="18"/>
              </w:rPr>
              <w:t xml:space="preserve">In force; four-tier framework (circular of 1 Dec 2022); Tier 1 CRAR 9%, Tiers 2–4 12% (glide path completed FY 2025-26); PSL 60% from 1 Apr 2025 [VERIFY: consolidated text]</w:t>
            </w:r>
          </w:p>
        </w:tc>
        <w:tc>
          <w:tcPr>
            <w:tcW w:w="1518" w:type="dxa"/>
          </w:tcPr>
          <w:p>
            <w:pPr>
              <w:pStyle w:val="Compact"/>
              <w:spacing w:after="40"/>
              <w:jc w:val="left"/>
            </w:pPr>
            <w:r>
              <w:rPr>
                <w:sz w:val="18"/>
              </w:rPr>
              <w:t xml:space="preserve">F 7B (RR1.5), 7E (RK3, RK4.7), 7G (IP3)</w:t>
            </w:r>
          </w:p>
        </w:tc>
      </w:tr>
      <w:tr>
        <w:tc>
          <w:tcPr>
            <w:tcW w:w="639" w:type="dxa"/>
          </w:tcPr>
          <w:p>
            <w:pPr>
              <w:pStyle w:val="Compact"/>
              <w:spacing w:after="40"/>
              <w:jc w:val="left"/>
            </w:pPr>
            <w:r>
              <w:rPr>
                <w:rStyle w:val="VerbatimChar"/>
                <w:sz w:val="18"/>
              </w:rPr>
              <w:t xml:space="preserve">ARC</w:t>
            </w:r>
          </w:p>
        </w:tc>
        <w:tc>
          <w:tcPr>
            <w:tcW w:w="2334" w:type="dxa"/>
          </w:tcPr>
          <w:p>
            <w:pPr>
              <w:pStyle w:val="Compact"/>
              <w:spacing w:after="40"/>
              <w:jc w:val="left"/>
            </w:pPr>
            <w:r>
              <w:rPr>
                <w:sz w:val="18"/>
              </w:rPr>
              <w:t xml:space="preserve">Asset Reconstruction Companies Directions, 2025; ARC Supervisory Returns Directions, 2026</w:t>
            </w:r>
          </w:p>
        </w:tc>
        <w:tc>
          <w:tcPr>
            <w:tcW w:w="1890" w:type="dxa"/>
          </w:tcPr>
          <w:p>
            <w:pPr>
              <w:pStyle w:val="Compact"/>
              <w:spacing w:after="40"/>
              <w:jc w:val="left"/>
            </w:pPr>
            <w:r>
              <w:rPr>
                <w:sz w:val="18"/>
              </w:rPr>
              <w:t xml:space="preserve">RBI; DoR.FIN.REC.No.293/26.03.001/2025-26; 28 Nov 2025; ARC SR 2026 [VERIFY: number and return table]</w:t>
            </w:r>
          </w:p>
        </w:tc>
        <w:tc>
          <w:tcPr>
            <w:tcW w:w="3257" w:type="dxa"/>
          </w:tcPr>
          <w:p>
            <w:pPr>
              <w:pStyle w:val="Compact"/>
              <w:spacing w:after="40"/>
              <w:jc w:val="left"/>
            </w:pPr>
            <w:r>
              <w:rPr>
                <w:sz w:val="18"/>
              </w:rPr>
              <w:t xml:space="preserve">In force; updated 10 Mar 2026 (RBI MD index id 12930); surplus-fund cap 10% of NOF (para 21); management-fee rules paras 142–144 [VERIFY: paragraph numbers]</w:t>
            </w:r>
          </w:p>
        </w:tc>
        <w:tc>
          <w:tcPr>
            <w:tcW w:w="1518" w:type="dxa"/>
          </w:tcPr>
          <w:p>
            <w:pPr>
              <w:pStyle w:val="Compact"/>
              <w:spacing w:after="40"/>
              <w:jc w:val="left"/>
            </w:pPr>
            <w:r>
              <w:rPr>
                <w:sz w:val="18"/>
              </w:rPr>
              <w:t xml:space="preserve">F 7B (RR1.5, RR8.6), 7C (AC1, AC2.7), 7G (IP5), 7H (IV4.5)</w:t>
            </w:r>
          </w:p>
        </w:tc>
      </w:tr>
      <w:tr>
        <w:tc>
          <w:tcPr>
            <w:tcW w:w="639" w:type="dxa"/>
          </w:tcPr>
          <w:p>
            <w:pPr>
              <w:pStyle w:val="Compact"/>
              <w:spacing w:after="40"/>
              <w:jc w:val="left"/>
            </w:pPr>
            <w:r>
              <w:rPr>
                <w:rStyle w:val="VerbatimChar"/>
                <w:sz w:val="18"/>
              </w:rPr>
              <w:t xml:space="preserve">RBI-AIF</w:t>
            </w:r>
          </w:p>
        </w:tc>
        <w:tc>
          <w:tcPr>
            <w:tcW w:w="2334" w:type="dxa"/>
          </w:tcPr>
          <w:p>
            <w:pPr>
              <w:pStyle w:val="Compact"/>
              <w:spacing w:after="40"/>
              <w:jc w:val="left"/>
            </w:pPr>
            <w:r>
              <w:rPr>
                <w:sz w:val="18"/>
              </w:rPr>
              <w:t xml:space="preserve">Investment in AIF Directions, 2025 (consolidated for NBFCs into the Undertaking of Financial Services Directions, 2025)</w:t>
            </w:r>
          </w:p>
        </w:tc>
        <w:tc>
          <w:tcPr>
            <w:tcW w:w="1890" w:type="dxa"/>
          </w:tcPr>
          <w:p>
            <w:pPr>
              <w:pStyle w:val="Compact"/>
              <w:spacing w:after="40"/>
              <w:jc w:val="left"/>
            </w:pPr>
            <w:r>
              <w:rPr>
                <w:sz w:val="18"/>
              </w:rPr>
              <w:t xml:space="preserve">RBI; RBI/DOR/2025-26/138; 29 Jul 2025</w:t>
            </w:r>
          </w:p>
        </w:tc>
        <w:tc>
          <w:tcPr>
            <w:tcW w:w="3257" w:type="dxa"/>
          </w:tcPr>
          <w:p>
            <w:pPr>
              <w:pStyle w:val="Compact"/>
              <w:spacing w:after="40"/>
              <w:jc w:val="left"/>
            </w:pPr>
            <w:r>
              <w:rPr>
                <w:sz w:val="18"/>
              </w:rPr>
              <w:t xml:space="preserve">Effective 1 Jan 2026 or earlier by internal policy; 10% individual and 20% collective caps; 100% look-through provision above 5% with downstream non-equity in a debtor; consolidated text updated 5 Oct 2026 [VERIFY: final paragraph numbers and look-through base]</w:t>
            </w:r>
          </w:p>
        </w:tc>
        <w:tc>
          <w:tcPr>
            <w:tcW w:w="1518" w:type="dxa"/>
          </w:tcPr>
          <w:p>
            <w:pPr>
              <w:pStyle w:val="Compact"/>
              <w:spacing w:after="40"/>
              <w:jc w:val="left"/>
            </w:pPr>
            <w:r>
              <w:rPr>
                <w:sz w:val="18"/>
              </w:rPr>
              <w:t xml:space="preserve">F 8A.5 (v1.5 note), 7G (IP1.3), 7H (IV4.1)</w:t>
            </w:r>
          </w:p>
        </w:tc>
      </w:tr>
      <w:tr>
        <w:tc>
          <w:tcPr>
            <w:tcW w:w="639" w:type="dxa"/>
          </w:tcPr>
          <w:p>
            <w:pPr>
              <w:pStyle w:val="Compact"/>
              <w:spacing w:after="40"/>
              <w:jc w:val="left"/>
            </w:pPr>
            <w:r>
              <w:rPr>
                <w:rStyle w:val="VerbatimChar"/>
                <w:sz w:val="18"/>
              </w:rPr>
              <w:t xml:space="preserve">CICD</w:t>
            </w:r>
          </w:p>
        </w:tc>
        <w:tc>
          <w:tcPr>
            <w:tcW w:w="2334" w:type="dxa"/>
          </w:tcPr>
          <w:p>
            <w:pPr>
              <w:pStyle w:val="Compact"/>
              <w:spacing w:after="40"/>
              <w:jc w:val="left"/>
            </w:pPr>
            <w:r>
              <w:rPr>
                <w:sz w:val="18"/>
              </w:rPr>
              <w:t xml:space="preserve">Core Investment Companies Directions, 2025</w:t>
            </w:r>
          </w:p>
        </w:tc>
        <w:tc>
          <w:tcPr>
            <w:tcW w:w="1890" w:type="dxa"/>
          </w:tcPr>
          <w:p>
            <w:pPr>
              <w:pStyle w:val="Compact"/>
              <w:spacing w:after="40"/>
              <w:jc w:val="left"/>
            </w:pPr>
            <w:r>
              <w:rPr>
                <w:sz w:val="18"/>
              </w:rPr>
              <w:t xml:space="preserve">RBI; RBI/DOR/2025-26/367; 28 Nov 2025</w:t>
            </w:r>
          </w:p>
        </w:tc>
        <w:tc>
          <w:tcPr>
            <w:tcW w:w="3257" w:type="dxa"/>
          </w:tcPr>
          <w:p>
            <w:pPr>
              <w:pStyle w:val="Compact"/>
              <w:spacing w:after="40"/>
              <w:jc w:val="left"/>
            </w:pPr>
            <w:r>
              <w:rPr>
                <w:sz w:val="18"/>
              </w:rPr>
              <w:t xml:space="preserve">Updated 10 Mar 2026 (RBI MD index id 12937); CICs are always ML or UL (SBR para 15(2)); ANW/RWA ≥ 30% and outside liabilities ≤ 2.5 × ANW [VERIFY]</w:t>
            </w:r>
          </w:p>
        </w:tc>
        <w:tc>
          <w:tcPr>
            <w:tcW w:w="1518" w:type="dxa"/>
          </w:tcPr>
          <w:p>
            <w:pPr>
              <w:pStyle w:val="Compact"/>
              <w:spacing w:after="40"/>
              <w:jc w:val="left"/>
            </w:pPr>
            <w:r>
              <w:rPr>
                <w:sz w:val="18"/>
              </w:rPr>
              <w:t xml:space="preserve">F 7B (RR4.3 registration), 7E (RK3.1), 7H (IV5.6)</w:t>
            </w:r>
          </w:p>
        </w:tc>
      </w:tr>
      <w:tr>
        <w:tc>
          <w:tcPr>
            <w:tcW w:w="639" w:type="dxa"/>
          </w:tcPr>
          <w:p>
            <w:pPr>
              <w:pStyle w:val="Compact"/>
              <w:spacing w:after="40"/>
              <w:jc w:val="left"/>
            </w:pPr>
            <w:r>
              <w:rPr>
                <w:rStyle w:val="VerbatimChar"/>
                <w:sz w:val="18"/>
              </w:rPr>
              <w:t xml:space="preserve">EMD</w:t>
            </w:r>
          </w:p>
        </w:tc>
        <w:tc>
          <w:tcPr>
            <w:tcW w:w="2334" w:type="dxa"/>
          </w:tcPr>
          <w:p>
            <w:pPr>
              <w:pStyle w:val="Compact"/>
              <w:spacing w:after="40"/>
              <w:jc w:val="left"/>
            </w:pPr>
            <w:r>
              <w:rPr>
                <w:sz w:val="18"/>
              </w:rPr>
              <w:t xml:space="preserve">E-mandate Directions, 2026 (cards, PPIs and UPI)</w:t>
            </w:r>
          </w:p>
        </w:tc>
        <w:tc>
          <w:tcPr>
            <w:tcW w:w="1890" w:type="dxa"/>
          </w:tcPr>
          <w:p>
            <w:pPr>
              <w:pStyle w:val="Compact"/>
              <w:spacing w:after="40"/>
              <w:jc w:val="left"/>
            </w:pPr>
            <w:r>
              <w:rPr>
                <w:sz w:val="18"/>
              </w:rPr>
              <w:t xml:space="preserve">RBI; RBI/DPSS/2026-27/396; 21 Apr 2026</w:t>
            </w:r>
          </w:p>
        </w:tc>
        <w:tc>
          <w:tcPr>
            <w:tcW w:w="3257" w:type="dxa"/>
          </w:tcPr>
          <w:p>
            <w:pPr>
              <w:pStyle w:val="Compact"/>
              <w:spacing w:after="40"/>
              <w:jc w:val="left"/>
            </w:pPr>
            <w:r>
              <w:rPr>
                <w:sz w:val="18"/>
              </w:rPr>
              <w:t xml:space="preserve">In force immediately; earlier e-mandate circulars repealed; no charge to the customer; eNACH stays under NPCI rules</w:t>
            </w:r>
          </w:p>
        </w:tc>
        <w:tc>
          <w:tcPr>
            <w:tcW w:w="1518" w:type="dxa"/>
          </w:tcPr>
          <w:p>
            <w:pPr>
              <w:pStyle w:val="Compact"/>
              <w:spacing w:after="40"/>
              <w:jc w:val="left"/>
            </w:pPr>
            <w:r>
              <w:rPr>
                <w:sz w:val="18"/>
              </w:rPr>
              <w:t xml:space="preserve">F 7K (CM4.2); U 7F, 7G</w:t>
            </w:r>
          </w:p>
        </w:tc>
      </w:tr>
      <w:tr>
        <w:tc>
          <w:tcPr>
            <w:tcW w:w="639" w:type="dxa"/>
          </w:tcPr>
          <w:p>
            <w:pPr>
              <w:pStyle w:val="Compact"/>
              <w:spacing w:after="40"/>
              <w:jc w:val="left"/>
            </w:pPr>
            <w:r>
              <w:rPr>
                <w:rStyle w:val="VerbatimChar"/>
                <w:sz w:val="18"/>
              </w:rPr>
              <w:t xml:space="preserve">PA</w:t>
            </w:r>
          </w:p>
        </w:tc>
        <w:tc>
          <w:tcPr>
            <w:tcW w:w="2334" w:type="dxa"/>
          </w:tcPr>
          <w:p>
            <w:pPr>
              <w:pStyle w:val="Compact"/>
              <w:spacing w:after="40"/>
              <w:jc w:val="left"/>
            </w:pPr>
            <w:r>
              <w:rPr>
                <w:sz w:val="18"/>
              </w:rPr>
              <w:t xml:space="preserve">Regulation of Payment Aggregators Directions, 2025</w:t>
            </w:r>
          </w:p>
        </w:tc>
        <w:tc>
          <w:tcPr>
            <w:tcW w:w="1890" w:type="dxa"/>
          </w:tcPr>
          <w:p>
            <w:pPr>
              <w:pStyle w:val="Compact"/>
              <w:spacing w:after="40"/>
              <w:jc w:val="left"/>
            </w:pPr>
            <w:r>
              <w:rPr>
                <w:sz w:val="18"/>
              </w:rPr>
              <w:t xml:space="preserve">RBI; 15 Sep 2025 [VERIFY: RBI number]</w:t>
            </w:r>
          </w:p>
        </w:tc>
        <w:tc>
          <w:tcPr>
            <w:tcW w:w="3257" w:type="dxa"/>
          </w:tcPr>
          <w:p>
            <w:pPr>
              <w:pStyle w:val="Compact"/>
              <w:spacing w:after="40"/>
              <w:jc w:val="left"/>
            </w:pPr>
            <w:r>
              <w:rPr>
                <w:sz w:val="18"/>
              </w:rPr>
              <w:t xml:space="preserve">In force; applies to Razorpay as the aggregator, not to Finbyx [VERIFY: Razorpay’s current authorisation reference]</w:t>
            </w:r>
          </w:p>
        </w:tc>
        <w:tc>
          <w:tcPr>
            <w:tcW w:w="1518" w:type="dxa"/>
          </w:tcPr>
          <w:p>
            <w:pPr>
              <w:pStyle w:val="Compact"/>
              <w:spacing w:after="40"/>
              <w:jc w:val="left"/>
            </w:pPr>
            <w:r>
              <w:rPr>
                <w:sz w:val="18"/>
              </w:rPr>
              <w:t xml:space="preserve">F 7K (CM4.1); U 7G (RV3)</w:t>
            </w:r>
          </w:p>
        </w:tc>
      </w:tr>
      <w:tr>
        <w:tc>
          <w:tcPr>
            <w:tcW w:w="639" w:type="dxa"/>
          </w:tcPr>
          <w:p>
            <w:pPr>
              <w:pStyle w:val="Compact"/>
              <w:spacing w:after="40"/>
              <w:jc w:val="left"/>
            </w:pPr>
            <w:r>
              <w:rPr>
                <w:rStyle w:val="VerbatimChar"/>
                <w:sz w:val="18"/>
              </w:rPr>
              <w:t xml:space="preserve">RBIOS26</w:t>
            </w:r>
          </w:p>
        </w:tc>
        <w:tc>
          <w:tcPr>
            <w:tcW w:w="2334" w:type="dxa"/>
          </w:tcPr>
          <w:p>
            <w:pPr>
              <w:pStyle w:val="Compact"/>
              <w:spacing w:after="40"/>
              <w:jc w:val="left"/>
            </w:pPr>
            <w:r>
              <w:rPr>
                <w:sz w:val="18"/>
              </w:rPr>
              <w:t xml:space="preserve">Reserve Bank – Integrated Ombudsman Scheme, 2026</w:t>
            </w:r>
          </w:p>
        </w:tc>
        <w:tc>
          <w:tcPr>
            <w:tcW w:w="1890" w:type="dxa"/>
          </w:tcPr>
          <w:p>
            <w:pPr>
              <w:pStyle w:val="Compact"/>
              <w:spacing w:after="40"/>
              <w:jc w:val="left"/>
            </w:pPr>
            <w:r>
              <w:rPr>
                <w:sz w:val="18"/>
              </w:rPr>
              <w:t xml:space="preserve">RBI; notified 16 Jan 2026 (press release 2025-2026/1936)</w:t>
            </w:r>
          </w:p>
        </w:tc>
        <w:tc>
          <w:tcPr>
            <w:tcW w:w="3257" w:type="dxa"/>
          </w:tcPr>
          <w:p>
            <w:pPr>
              <w:pStyle w:val="Compact"/>
              <w:spacing w:after="40"/>
              <w:jc w:val="left"/>
            </w:pPr>
            <w:r>
              <w:rPr>
                <w:sz w:val="18"/>
              </w:rPr>
              <w:t xml:space="preserve">Effective 1 Jul 2026; complaint to the RE first and a 30-day RE reply period; Ombudsman complaint within 90 days thereafter (cl.10(1)(g)); RE reply to the Ombudsman within 15 days (cl.14(2)); 2021 Scheme for earlier complaints (cl.20) [VERIFY: clause numbers; text read from a secondary reproduction]</w:t>
            </w:r>
          </w:p>
        </w:tc>
        <w:tc>
          <w:tcPr>
            <w:tcW w:w="1518" w:type="dxa"/>
          </w:tcPr>
          <w:p>
            <w:pPr>
              <w:pStyle w:val="Compact"/>
              <w:spacing w:after="40"/>
              <w:jc w:val="left"/>
            </w:pPr>
            <w:r>
              <w:rPr>
                <w:sz w:val="18"/>
              </w:rPr>
              <w:t xml:space="preserve">F M15, 7G (IP3.5), 7J (DP1.2), 7K (CM1.4); U 7B, 7C (UB3), 7E, 7H</w:t>
            </w:r>
          </w:p>
        </w:tc>
      </w:tr>
      <w:tr>
        <w:tc>
          <w:tcPr>
            <w:tcW w:w="639" w:type="dxa"/>
          </w:tcPr>
          <w:p>
            <w:pPr>
              <w:pStyle w:val="Compact"/>
              <w:spacing w:after="40"/>
              <w:jc w:val="left"/>
            </w:pPr>
            <w:r>
              <w:rPr>
                <w:rStyle w:val="VerbatimChar"/>
                <w:sz w:val="18"/>
              </w:rPr>
              <w:t xml:space="preserve">IO26</w:t>
            </w:r>
          </w:p>
        </w:tc>
        <w:tc>
          <w:tcPr>
            <w:tcW w:w="2334" w:type="dxa"/>
          </w:tcPr>
          <w:p>
            <w:pPr>
              <w:pStyle w:val="Compact"/>
              <w:spacing w:after="40"/>
              <w:jc w:val="left"/>
            </w:pPr>
            <w:r>
              <w:rPr>
                <w:sz w:val="18"/>
              </w:rPr>
              <w:t xml:space="preserve">NBFC – Internal Ombudsman Directions, 2026</w:t>
            </w:r>
          </w:p>
        </w:tc>
        <w:tc>
          <w:tcPr>
            <w:tcW w:w="1890" w:type="dxa"/>
          </w:tcPr>
          <w:p>
            <w:pPr>
              <w:pStyle w:val="Compact"/>
              <w:spacing w:after="40"/>
              <w:jc w:val="left"/>
            </w:pPr>
            <w:r>
              <w:rPr>
                <w:sz w:val="18"/>
              </w:rPr>
              <w:t xml:space="preserve">RBI; 14 Jan 2026 [VERIFY: RBI number]</w:t>
            </w:r>
          </w:p>
        </w:tc>
        <w:tc>
          <w:tcPr>
            <w:tcW w:w="3257" w:type="dxa"/>
          </w:tcPr>
          <w:p>
            <w:pPr>
              <w:pStyle w:val="Compact"/>
              <w:spacing w:after="40"/>
              <w:jc w:val="left"/>
            </w:pPr>
            <w:r>
              <w:rPr>
                <w:sz w:val="18"/>
              </w:rPr>
              <w:t xml:space="preserve">In force; replaces the 2023 Directions; automatic escalation of wholly or partly rejected complaints; HFCs excluded</w:t>
            </w:r>
          </w:p>
        </w:tc>
        <w:tc>
          <w:tcPr>
            <w:tcW w:w="1518" w:type="dxa"/>
          </w:tcPr>
          <w:p>
            <w:pPr>
              <w:pStyle w:val="Compact"/>
              <w:spacing w:after="40"/>
              <w:jc w:val="left"/>
            </w:pPr>
            <w:r>
              <w:rPr>
                <w:sz w:val="18"/>
              </w:rPr>
              <w:t xml:space="preserve">F M15, 7B (RR7.4), 7F, 7J, 7K; U 7C (UB3)</w:t>
            </w:r>
          </w:p>
        </w:tc>
      </w:tr>
      <w:tr>
        <w:tc>
          <w:tcPr>
            <w:tcW w:w="639" w:type="dxa"/>
          </w:tcPr>
          <w:p>
            <w:pPr>
              <w:pStyle w:val="Compact"/>
              <w:spacing w:after="40"/>
              <w:jc w:val="left"/>
            </w:pPr>
            <w:r>
              <w:rPr>
                <w:rStyle w:val="VerbatimChar"/>
                <w:sz w:val="18"/>
              </w:rPr>
              <w:t xml:space="preserve">CIC-AMD</w:t>
            </w:r>
          </w:p>
        </w:tc>
        <w:tc>
          <w:tcPr>
            <w:tcW w:w="2334" w:type="dxa"/>
          </w:tcPr>
          <w:p>
            <w:pPr>
              <w:pStyle w:val="Compact"/>
              <w:spacing w:after="40"/>
              <w:jc w:val="left"/>
            </w:pPr>
            <w:r>
              <w:rPr>
                <w:sz w:val="18"/>
              </w:rPr>
              <w:t xml:space="preserve">Credit Information Companies (Amendment) Directions, 2025</w:t>
            </w:r>
          </w:p>
        </w:tc>
        <w:tc>
          <w:tcPr>
            <w:tcW w:w="1890" w:type="dxa"/>
          </w:tcPr>
          <w:p>
            <w:pPr>
              <w:pStyle w:val="Compact"/>
              <w:spacing w:after="40"/>
              <w:jc w:val="left"/>
            </w:pPr>
            <w:r>
              <w:rPr>
                <w:sz w:val="18"/>
              </w:rPr>
              <w:t xml:space="preserve">RBI; RBI/DOR/2025-26/119; DoR.FIN.REC.No.326/20.16.056/2025-26; 4 Dec 2025</w:t>
            </w:r>
          </w:p>
        </w:tc>
        <w:tc>
          <w:tcPr>
            <w:tcW w:w="3257" w:type="dxa"/>
          </w:tcPr>
          <w:p>
            <w:pPr>
              <w:pStyle w:val="Compact"/>
              <w:spacing w:after="40"/>
              <w:jc w:val="left"/>
            </w:pPr>
            <w:r>
              <w:rPr>
                <w:sz w:val="18"/>
              </w:rPr>
              <w:t xml:space="preserve">In force 1 Jul 2026; CIC-side counterpart of the CIR amendment (RBI/DOR/2025-26/117, DOR.FIN.REC.No.324, already in the CIR row of Part 8A.0.2); CICs report CIs that miss submission timelines on DAKSH half-yearly; CIC Directions 2025 updated 1 Jul 2026</w:t>
            </w:r>
          </w:p>
        </w:tc>
        <w:tc>
          <w:tcPr>
            <w:tcW w:w="1518" w:type="dxa"/>
          </w:tcPr>
          <w:p>
            <w:pPr>
              <w:pStyle w:val="Compact"/>
              <w:spacing w:after="40"/>
              <w:jc w:val="left"/>
            </w:pPr>
            <w:r>
              <w:rPr>
                <w:sz w:val="18"/>
              </w:rPr>
              <w:t xml:space="preserve">F 7B (RR6.1, RR6.2); U 7D (FW1)</w:t>
            </w:r>
          </w:p>
        </w:tc>
      </w:tr>
      <w:tr>
        <w:tc>
          <w:tcPr>
            <w:tcW w:w="639" w:type="dxa"/>
          </w:tcPr>
          <w:p>
            <w:pPr>
              <w:pStyle w:val="Compact"/>
              <w:spacing w:after="40"/>
              <w:jc w:val="left"/>
            </w:pPr>
            <w:r>
              <w:rPr>
                <w:rStyle w:val="VerbatimChar"/>
                <w:sz w:val="18"/>
              </w:rPr>
              <w:t xml:space="preserve">PSL</w:t>
            </w:r>
          </w:p>
        </w:tc>
        <w:tc>
          <w:tcPr>
            <w:tcW w:w="2334" w:type="dxa"/>
          </w:tcPr>
          <w:p>
            <w:pPr>
              <w:pStyle w:val="Compact"/>
              <w:spacing w:after="40"/>
              <w:jc w:val="left"/>
            </w:pPr>
            <w:r>
              <w:rPr>
                <w:sz w:val="18"/>
              </w:rPr>
              <w:t xml:space="preserve">Priority Sector Lending – Targets and Classification Directions for commercial banks, SFBs and UCBs</w:t>
            </w:r>
          </w:p>
        </w:tc>
        <w:tc>
          <w:tcPr>
            <w:tcW w:w="1890" w:type="dxa"/>
          </w:tcPr>
          <w:p>
            <w:pPr>
              <w:pStyle w:val="Compact"/>
              <w:spacing w:after="40"/>
              <w:jc w:val="left"/>
            </w:pPr>
            <w:r>
              <w:rPr>
                <w:sz w:val="18"/>
              </w:rPr>
              <w:t xml:space="preserve">RBI [VERIFY: current number, date and UCB sub-targets]</w:t>
            </w:r>
          </w:p>
        </w:tc>
        <w:tc>
          <w:tcPr>
            <w:tcW w:w="3257" w:type="dxa"/>
          </w:tcPr>
          <w:p>
            <w:pPr>
              <w:pStyle w:val="Compact"/>
              <w:spacing w:after="40"/>
              <w:jc w:val="left"/>
            </w:pPr>
            <w:r>
              <w:rPr>
                <w:sz w:val="18"/>
              </w:rPr>
              <w:t xml:space="preserve">In force; UCB target 60% of ANBC or CEOBE from 1 Apr 2025</w:t>
            </w:r>
          </w:p>
        </w:tc>
        <w:tc>
          <w:tcPr>
            <w:tcW w:w="1518" w:type="dxa"/>
          </w:tcPr>
          <w:p>
            <w:pPr>
              <w:pStyle w:val="Compact"/>
              <w:spacing w:after="40"/>
              <w:jc w:val="left"/>
            </w:pPr>
            <w:r>
              <w:rPr>
                <w:sz w:val="18"/>
              </w:rPr>
              <w:t xml:space="preserve">F 7E (RK6 R43), 7G (IP3.3)</w:t>
            </w:r>
          </w:p>
        </w:tc>
      </w:tr>
      <w:tr>
        <w:tc>
          <w:tcPr>
            <w:tcW w:w="639" w:type="dxa"/>
          </w:tcPr>
          <w:p>
            <w:pPr>
              <w:pStyle w:val="Compact"/>
              <w:spacing w:after="40"/>
              <w:jc w:val="left"/>
            </w:pPr>
            <w:r>
              <w:rPr>
                <w:rStyle w:val="VerbatimChar"/>
                <w:sz w:val="18"/>
              </w:rPr>
              <w:t xml:space="preserve">FREE-AI</w:t>
            </w:r>
          </w:p>
        </w:tc>
        <w:tc>
          <w:tcPr>
            <w:tcW w:w="2334" w:type="dxa"/>
          </w:tcPr>
          <w:p>
            <w:pPr>
              <w:pStyle w:val="Compact"/>
              <w:spacing w:after="40"/>
              <w:jc w:val="left"/>
            </w:pPr>
            <w:r>
              <w:rPr>
                <w:sz w:val="18"/>
              </w:rPr>
              <w:t xml:space="preserve">Report of the Committee on the Framework for Responsible and Ethical Enablement of AI (FREE-AI)</w:t>
            </w:r>
          </w:p>
        </w:tc>
        <w:tc>
          <w:tcPr>
            <w:tcW w:w="1890" w:type="dxa"/>
          </w:tcPr>
          <w:p>
            <w:pPr>
              <w:pStyle w:val="Compact"/>
              <w:spacing w:after="40"/>
              <w:jc w:val="left"/>
            </w:pPr>
            <w:r>
              <w:rPr>
                <w:sz w:val="18"/>
              </w:rPr>
              <w:t xml:space="preserve">RBI; 13 Aug 2025</w:t>
            </w:r>
          </w:p>
        </w:tc>
        <w:tc>
          <w:tcPr>
            <w:tcW w:w="3257" w:type="dxa"/>
          </w:tcPr>
          <w:p>
            <w:pPr>
              <w:pStyle w:val="Compact"/>
              <w:spacing w:after="40"/>
              <w:jc w:val="left"/>
            </w:pPr>
            <w:r>
              <w:rPr>
                <w:sz w:val="18"/>
              </w:rPr>
              <w:t xml:space="preserve">Guidance (strength flag</w:t>
            </w:r>
            <w:r>
              <w:rPr>
                <w:sz w:val="18"/>
              </w:rPr>
              <w:t xml:space="preserve"> </w:t>
            </w:r>
            <w:r>
              <w:rPr>
                <w:sz w:val="18"/>
              </w:rPr>
              <w:t xml:space="preserve">“</w:t>
            </w:r>
            <w:r>
              <w:rPr>
                <w:sz w:val="18"/>
              </w:rPr>
              <w:t xml:space="preserve">guidance</w:t>
            </w:r>
            <w:r>
              <w:rPr>
                <w:sz w:val="18"/>
              </w:rPr>
              <w:t xml:space="preserve">”</w:t>
            </w:r>
            <w:r>
              <w:rPr>
                <w:sz w:val="18"/>
              </w:rPr>
              <w:t xml:space="preserve">, like ORM); never reported as a statutory breach</w:t>
            </w:r>
          </w:p>
        </w:tc>
        <w:tc>
          <w:tcPr>
            <w:tcW w:w="1518" w:type="dxa"/>
          </w:tcPr>
          <w:p>
            <w:pPr>
              <w:pStyle w:val="Compact"/>
              <w:spacing w:after="40"/>
              <w:jc w:val="left"/>
            </w:pPr>
            <w:r>
              <w:rPr>
                <w:sz w:val="18"/>
              </w:rPr>
              <w:t xml:space="preserve">F M20, 7L (EO6.4)</w:t>
            </w:r>
          </w:p>
        </w:tc>
      </w:tr>
    </w:tbl>
    <w:bookmarkEnd w:id="824"/>
    <w:bookmarkStart w:id="825" w:name="X08101c0e0a6aff72c436b6fbf9c40a9cc2a9704"/>
    <w:p>
      <w:pPr>
        <w:pStyle w:val="Heading3"/>
      </w:pPr>
      <w:r>
        <w:t xml:space="preserve">Statutes, regulations and standards outside RBI</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92"/>
        <w:gridCol w:w="3096"/>
        <w:gridCol w:w="1844"/>
        <w:gridCol w:w="2645"/>
        <w:gridCol w:w="1361"/>
      </w:tblGrid>
      <w:tr>
        <w:trPr>
          <w:tblHeader w:val="true"/>
          <w:tblHeader w:val="true"/>
        </w:trPr>
        <w:tc>
          <w:tcPr>
            <w:tcW w:w="692" w:type="dxa"/>
            <w:shd w:val="clear" w:color="auto" w:fill="1F3A5F"/>
          </w:tcPr>
          <w:p>
            <w:pPr>
              <w:pStyle w:val="Compact"/>
              <w:spacing w:after="40"/>
              <w:jc w:val="left"/>
            </w:pPr>
            <w:r>
              <w:rPr>
                <w:b/>
                <w:color w:val="FFFFFF"/>
                <w:sz w:val="18"/>
              </w:rPr>
              <w:t xml:space="preserve">Code</w:t>
            </w:r>
          </w:p>
        </w:tc>
        <w:tc>
          <w:tcPr>
            <w:tcW w:w="3096" w:type="dxa"/>
            <w:shd w:val="clear" w:color="auto" w:fill="1F3A5F"/>
          </w:tcPr>
          <w:p>
            <w:pPr>
              <w:pStyle w:val="Compact"/>
              <w:spacing w:after="40"/>
              <w:jc w:val="left"/>
            </w:pPr>
            <w:r>
              <w:rPr>
                <w:b/>
                <w:color w:val="FFFFFF"/>
                <w:sz w:val="18"/>
              </w:rPr>
              <w:t xml:space="preserve">Instrument</w:t>
            </w:r>
          </w:p>
        </w:tc>
        <w:tc>
          <w:tcPr>
            <w:tcW w:w="1844" w:type="dxa"/>
            <w:shd w:val="clear" w:color="auto" w:fill="1F3A5F"/>
          </w:tcPr>
          <w:p>
            <w:pPr>
              <w:pStyle w:val="Compact"/>
              <w:spacing w:after="40"/>
              <w:jc w:val="left"/>
            </w:pPr>
            <w:r>
              <w:rPr>
                <w:b/>
                <w:color w:val="FFFFFF"/>
                <w:sz w:val="18"/>
              </w:rPr>
              <w:t xml:space="preserve">Issuer, number and date</w:t>
            </w:r>
          </w:p>
        </w:tc>
        <w:tc>
          <w:tcPr>
            <w:tcW w:w="2645" w:type="dxa"/>
            <w:shd w:val="clear" w:color="auto" w:fill="1F3A5F"/>
          </w:tcPr>
          <w:p>
            <w:pPr>
              <w:pStyle w:val="Compact"/>
              <w:spacing w:after="40"/>
              <w:jc w:val="left"/>
            </w:pPr>
            <w:r>
              <w:rPr>
                <w:b/>
                <w:color w:val="FFFFFF"/>
                <w:sz w:val="18"/>
              </w:rPr>
              <w:t xml:space="preserve">Status / effective date</w:t>
            </w:r>
          </w:p>
        </w:tc>
        <w:tc>
          <w:tcPr>
            <w:tcW w:w="1361" w:type="dxa"/>
            <w:shd w:val="clear" w:color="auto" w:fill="1F3A5F"/>
          </w:tcPr>
          <w:p>
            <w:pPr>
              <w:pStyle w:val="Compact"/>
              <w:spacing w:after="40"/>
              <w:jc w:val="left"/>
            </w:pPr>
            <w:r>
              <w:rPr>
                <w:b/>
                <w:color w:val="FFFFFF"/>
                <w:sz w:val="18"/>
              </w:rPr>
              <w:t xml:space="preserve">Where used (Parts)</w:t>
            </w:r>
          </w:p>
        </w:tc>
      </w:tr>
      <w:tr>
        <w:tc>
          <w:tcPr>
            <w:tcW w:w="692" w:type="dxa"/>
          </w:tcPr>
          <w:p>
            <w:pPr>
              <w:pStyle w:val="Compact"/>
              <w:spacing w:after="40"/>
              <w:jc w:val="left"/>
            </w:pPr>
            <w:r>
              <w:rPr>
                <w:rStyle w:val="VerbatimChar"/>
                <w:sz w:val="18"/>
              </w:rPr>
              <w:t xml:space="preserve">CA13</w:t>
            </w:r>
          </w:p>
        </w:tc>
        <w:tc>
          <w:tcPr>
            <w:tcW w:w="3096" w:type="dxa"/>
          </w:tcPr>
          <w:p>
            <w:pPr>
              <w:pStyle w:val="Compact"/>
              <w:spacing w:after="40"/>
              <w:jc w:val="left"/>
            </w:pPr>
            <w:r>
              <w:rPr>
                <w:sz w:val="18"/>
              </w:rPr>
              <w:t xml:space="preserve">Companies Act, 2013 and rules: Accounts Rules 2014 (r.3 books and daily India backup; r.11(g) audit trail), Meetings of Board Rules 2014, Management and Administration Rules 2014, Appointment and Remuneration of Managerial Personnel Rules 2014 (s.204 secretarial audit), CARO 2020</w:t>
            </w:r>
          </w:p>
        </w:tc>
        <w:tc>
          <w:tcPr>
            <w:tcW w:w="1844" w:type="dxa"/>
          </w:tcPr>
          <w:p>
            <w:pPr>
              <w:pStyle w:val="Compact"/>
              <w:spacing w:after="40"/>
              <w:jc w:val="left"/>
            </w:pPr>
            <w:r>
              <w:rPr>
                <w:sz w:val="18"/>
              </w:rPr>
              <w:t xml:space="preserve">Parliament; MCA</w:t>
            </w:r>
          </w:p>
        </w:tc>
        <w:tc>
          <w:tcPr>
            <w:tcW w:w="2645" w:type="dxa"/>
          </w:tcPr>
          <w:p>
            <w:pPr>
              <w:pStyle w:val="Compact"/>
              <w:spacing w:after="40"/>
              <w:jc w:val="left"/>
            </w:pPr>
            <w:r>
              <w:rPr>
                <w:sz w:val="18"/>
              </w:rPr>
              <w:t xml:space="preserve">In force; Companies (Accounts) Second Amendment Rules 2025 (30 May 2025) add POSH and maternity-benefit statements to the Board’s report</w:t>
            </w:r>
          </w:p>
        </w:tc>
        <w:tc>
          <w:tcPr>
            <w:tcW w:w="1361" w:type="dxa"/>
          </w:tcPr>
          <w:p>
            <w:pPr>
              <w:pStyle w:val="Compact"/>
              <w:spacing w:after="40"/>
              <w:jc w:val="left"/>
            </w:pPr>
            <w:r>
              <w:rPr>
                <w:sz w:val="18"/>
              </w:rPr>
              <w:t xml:space="preserve">F 7C (AC3, AC7), 7D (AU5, AU6), 7E, 7F (GV1–GV5), 7J</w:t>
            </w:r>
          </w:p>
        </w:tc>
      </w:tr>
      <w:tr>
        <w:tc>
          <w:tcPr>
            <w:tcW w:w="692" w:type="dxa"/>
          </w:tcPr>
          <w:p>
            <w:pPr>
              <w:pStyle w:val="Compact"/>
              <w:spacing w:after="40"/>
              <w:jc w:val="left"/>
            </w:pPr>
            <w:r>
              <w:rPr>
                <w:rStyle w:val="VerbatimChar"/>
                <w:sz w:val="18"/>
              </w:rPr>
              <w:t xml:space="preserve">IND-AS</w:t>
            </w:r>
          </w:p>
        </w:tc>
        <w:tc>
          <w:tcPr>
            <w:tcW w:w="3096" w:type="dxa"/>
          </w:tcPr>
          <w:p>
            <w:pPr>
              <w:pStyle w:val="Compact"/>
              <w:spacing w:after="40"/>
              <w:jc w:val="left"/>
            </w:pPr>
            <w:r>
              <w:rPr>
                <w:sz w:val="18"/>
              </w:rPr>
              <w:t xml:space="preserve">Companies (Indian Accounting Standards) Rules, 2015 as amended (including the Amendment Rules 2026)</w:t>
            </w:r>
          </w:p>
        </w:tc>
        <w:tc>
          <w:tcPr>
            <w:tcW w:w="1844" w:type="dxa"/>
          </w:tcPr>
          <w:p>
            <w:pPr>
              <w:pStyle w:val="Compact"/>
              <w:spacing w:after="40"/>
              <w:jc w:val="left"/>
            </w:pPr>
            <w:r>
              <w:rPr>
                <w:sz w:val="18"/>
              </w:rPr>
              <w:t xml:space="preserve">MCA</w:t>
            </w:r>
          </w:p>
        </w:tc>
        <w:tc>
          <w:tcPr>
            <w:tcW w:w="2645" w:type="dxa"/>
          </w:tcPr>
          <w:p>
            <w:pPr>
              <w:pStyle w:val="Compact"/>
              <w:spacing w:after="40"/>
              <w:jc w:val="left"/>
            </w:pPr>
            <w:r>
              <w:rPr>
                <w:sz w:val="18"/>
              </w:rPr>
              <w:t xml:space="preserve">In force; NBFC phasing under Rule 4; ARCs not in the Rule 2(g) NBFC list; Ind AS 118 (IFRS 18) under formulation</w:t>
            </w:r>
          </w:p>
        </w:tc>
        <w:tc>
          <w:tcPr>
            <w:tcW w:w="1361" w:type="dxa"/>
          </w:tcPr>
          <w:p>
            <w:pPr>
              <w:pStyle w:val="Compact"/>
              <w:spacing w:after="40"/>
              <w:jc w:val="left"/>
            </w:pPr>
            <w:r>
              <w:rPr>
                <w:sz w:val="18"/>
              </w:rPr>
              <w:t xml:space="preserve">F 7B, 7C (AC1–AC3), 7D, 7E, 7F, 7G, 7H (IV5), 7K</w:t>
            </w:r>
          </w:p>
        </w:tc>
      </w:tr>
      <w:tr>
        <w:tc>
          <w:tcPr>
            <w:tcW w:w="692" w:type="dxa"/>
          </w:tcPr>
          <w:p>
            <w:pPr>
              <w:pStyle w:val="Compact"/>
              <w:spacing w:after="40"/>
              <w:jc w:val="left"/>
            </w:pPr>
            <w:r>
              <w:rPr>
                <w:rStyle w:val="VerbatimChar"/>
                <w:sz w:val="18"/>
              </w:rPr>
              <w:t xml:space="preserve">ICAI</w:t>
            </w:r>
          </w:p>
        </w:tc>
        <w:tc>
          <w:tcPr>
            <w:tcW w:w="3096" w:type="dxa"/>
          </w:tcPr>
          <w:p>
            <w:pPr>
              <w:pStyle w:val="Compact"/>
              <w:spacing w:after="40"/>
              <w:jc w:val="left"/>
            </w:pPr>
            <w:r>
              <w:rPr>
                <w:sz w:val="18"/>
              </w:rPr>
              <w:t xml:space="preserve">ICAI Accounting Standards; Standards on Auditing (SA 230, SA 530 and others); Standards on Internal Audit; Guidance Notes and Technical Guides (Technical Guide on Risk-Based Internal Audit of NBFCs, 2024; Technical Guide on Audit of NBFCs, revised Sep 2023; Guidance Note on Audit of Banks, 2026 Edition; Implementation Guide on Reporting on Audit Trail, revised 2024; Guidance Note on Audit of Internal Financial Controls)</w:t>
            </w:r>
          </w:p>
        </w:tc>
        <w:tc>
          <w:tcPr>
            <w:tcW w:w="1844" w:type="dxa"/>
          </w:tcPr>
          <w:p>
            <w:pPr>
              <w:pStyle w:val="Compact"/>
              <w:spacing w:after="40"/>
              <w:jc w:val="left"/>
            </w:pPr>
            <w:r>
              <w:rPr>
                <w:sz w:val="18"/>
              </w:rPr>
              <w:t xml:space="preserve">Institute of Chartered Accountants of India</w:t>
            </w:r>
          </w:p>
        </w:tc>
        <w:tc>
          <w:tcPr>
            <w:tcW w:w="2645" w:type="dxa"/>
          </w:tcPr>
          <w:p>
            <w:pPr>
              <w:pStyle w:val="Compact"/>
              <w:spacing w:after="40"/>
              <w:jc w:val="left"/>
            </w:pPr>
            <w:r>
              <w:rPr>
                <w:sz w:val="18"/>
              </w:rPr>
              <w:t xml:space="preserve">SAs bind auditors; Guidance Notes and Technical Guides are recommendatory; SIA phasing per the preface of 24 Sep 2025 [VERIFY: editions]</w:t>
            </w:r>
          </w:p>
        </w:tc>
        <w:tc>
          <w:tcPr>
            <w:tcW w:w="1361" w:type="dxa"/>
          </w:tcPr>
          <w:p>
            <w:pPr>
              <w:pStyle w:val="Compact"/>
              <w:spacing w:after="40"/>
              <w:jc w:val="left"/>
            </w:pPr>
            <w:r>
              <w:rPr>
                <w:sz w:val="18"/>
              </w:rPr>
              <w:t xml:space="preserve">F 7C, 7D (AU2–AU5), 7G, 7H, 7L</w:t>
            </w:r>
          </w:p>
        </w:tc>
      </w:tr>
      <w:tr>
        <w:tc>
          <w:tcPr>
            <w:tcW w:w="692" w:type="dxa"/>
          </w:tcPr>
          <w:p>
            <w:pPr>
              <w:pStyle w:val="Compact"/>
              <w:spacing w:after="40"/>
              <w:jc w:val="left"/>
            </w:pPr>
            <w:r>
              <w:rPr>
                <w:rStyle w:val="VerbatimChar"/>
                <w:sz w:val="18"/>
              </w:rPr>
              <w:t xml:space="preserve">ICSI</w:t>
            </w:r>
          </w:p>
        </w:tc>
        <w:tc>
          <w:tcPr>
            <w:tcW w:w="3096" w:type="dxa"/>
          </w:tcPr>
          <w:p>
            <w:pPr>
              <w:pStyle w:val="Compact"/>
              <w:spacing w:after="40"/>
              <w:jc w:val="left"/>
            </w:pPr>
            <w:r>
              <w:rPr>
                <w:sz w:val="18"/>
              </w:rPr>
              <w:t xml:space="preserve">Secretarial Standards SS-1 (Board meetings) and SS-2 (general meetings), revised, effective 1 Apr 2024; ICSI Auditing Standards CSAS-1 to CSAS-4</w:t>
            </w:r>
          </w:p>
        </w:tc>
        <w:tc>
          <w:tcPr>
            <w:tcW w:w="1844" w:type="dxa"/>
          </w:tcPr>
          <w:p>
            <w:pPr>
              <w:pStyle w:val="Compact"/>
              <w:spacing w:after="40"/>
              <w:jc w:val="left"/>
            </w:pPr>
            <w:r>
              <w:rPr>
                <w:sz w:val="18"/>
              </w:rPr>
              <w:t xml:space="preserve">Institute of Company Secretaries of India</w:t>
            </w:r>
          </w:p>
        </w:tc>
        <w:tc>
          <w:tcPr>
            <w:tcW w:w="2645" w:type="dxa"/>
          </w:tcPr>
          <w:p>
            <w:pPr>
              <w:pStyle w:val="Compact"/>
              <w:spacing w:after="40"/>
              <w:jc w:val="left"/>
            </w:pPr>
            <w:r>
              <w:rPr>
                <w:sz w:val="18"/>
              </w:rPr>
              <w:t xml:space="preserve">SS-1 and SS-2 mandatory under CA13 s.118(10); CSAS Revised Edition 2026 approved 28 Aug 2026, effective date not stated [VERIFY]</w:t>
            </w:r>
          </w:p>
        </w:tc>
        <w:tc>
          <w:tcPr>
            <w:tcW w:w="1361" w:type="dxa"/>
          </w:tcPr>
          <w:p>
            <w:pPr>
              <w:pStyle w:val="Compact"/>
              <w:spacing w:after="40"/>
              <w:jc w:val="left"/>
            </w:pPr>
            <w:r>
              <w:rPr>
                <w:sz w:val="18"/>
              </w:rPr>
              <w:t xml:space="preserve">F 7C, 7D (AU6), 7F (GV2)</w:t>
            </w:r>
          </w:p>
        </w:tc>
      </w:tr>
      <w:tr>
        <w:tc>
          <w:tcPr>
            <w:tcW w:w="692" w:type="dxa"/>
          </w:tcPr>
          <w:p>
            <w:pPr>
              <w:pStyle w:val="Compact"/>
              <w:spacing w:after="40"/>
              <w:jc w:val="left"/>
            </w:pPr>
            <w:r>
              <w:rPr>
                <w:rStyle w:val="VerbatimChar"/>
                <w:sz w:val="18"/>
              </w:rPr>
              <w:t xml:space="preserve">LODR</w:t>
            </w:r>
          </w:p>
        </w:tc>
        <w:tc>
          <w:tcPr>
            <w:tcW w:w="3096" w:type="dxa"/>
          </w:tcPr>
          <w:p>
            <w:pPr>
              <w:pStyle w:val="Compact"/>
              <w:spacing w:after="40"/>
              <w:jc w:val="left"/>
            </w:pPr>
            <w:r>
              <w:rPr>
                <w:sz w:val="18"/>
              </w:rPr>
              <w:t xml:space="preserve">SEBI (Listing Obligations and Disclosure Requirements) Regulations, 2015</w:t>
            </w:r>
          </w:p>
        </w:tc>
        <w:tc>
          <w:tcPr>
            <w:tcW w:w="1844" w:type="dxa"/>
          </w:tcPr>
          <w:p>
            <w:pPr>
              <w:pStyle w:val="Compact"/>
              <w:spacing w:after="40"/>
              <w:jc w:val="left"/>
            </w:pPr>
            <w:r>
              <w:rPr>
                <w:sz w:val="18"/>
              </w:rPr>
              <w:t xml:space="preserve">SEBI</w:t>
            </w:r>
          </w:p>
        </w:tc>
        <w:tc>
          <w:tcPr>
            <w:tcW w:w="2645" w:type="dxa"/>
          </w:tcPr>
          <w:p>
            <w:pPr>
              <w:pStyle w:val="Compact"/>
              <w:spacing w:after="40"/>
              <w:jc w:val="left"/>
            </w:pPr>
            <w:r>
              <w:rPr>
                <w:sz w:val="18"/>
              </w:rPr>
              <w:t xml:space="preserve">In force as amended, including the Fifth Amendment 2025 (RPT materiality, effective 18 Nov 2025) and the HVDLE amendment (effective 22 Jan 2026); Reg 24A secretarial compliance report signed only by the secretarial auditor or a qualifying peer-reviewed CS from 1 Apr 2025</w:t>
            </w:r>
          </w:p>
        </w:tc>
        <w:tc>
          <w:tcPr>
            <w:tcW w:w="1361" w:type="dxa"/>
          </w:tcPr>
          <w:p>
            <w:pPr>
              <w:pStyle w:val="Compact"/>
              <w:spacing w:after="40"/>
              <w:jc w:val="left"/>
            </w:pPr>
            <w:r>
              <w:rPr>
                <w:sz w:val="18"/>
              </w:rPr>
              <w:t xml:space="preserve">F 7D (AU6), 7E (RK1), 7F (GV4), 7H</w:t>
            </w:r>
          </w:p>
        </w:tc>
      </w:tr>
      <w:tr>
        <w:tc>
          <w:tcPr>
            <w:tcW w:w="692" w:type="dxa"/>
          </w:tcPr>
          <w:p>
            <w:pPr>
              <w:pStyle w:val="Compact"/>
              <w:spacing w:after="40"/>
              <w:jc w:val="left"/>
            </w:pPr>
            <w:r>
              <w:rPr>
                <w:rStyle w:val="VerbatimChar"/>
                <w:sz w:val="18"/>
              </w:rPr>
              <w:t xml:space="preserve">PIT</w:t>
            </w:r>
          </w:p>
        </w:tc>
        <w:tc>
          <w:tcPr>
            <w:tcW w:w="3096" w:type="dxa"/>
          </w:tcPr>
          <w:p>
            <w:pPr>
              <w:pStyle w:val="Compact"/>
              <w:spacing w:after="40"/>
              <w:jc w:val="left"/>
            </w:pPr>
            <w:r>
              <w:rPr>
                <w:sz w:val="18"/>
              </w:rPr>
              <w:t xml:space="preserve">SEBI (Prohibition of Insider Trading) Regulations, 2015</w:t>
            </w:r>
          </w:p>
        </w:tc>
        <w:tc>
          <w:tcPr>
            <w:tcW w:w="1844" w:type="dxa"/>
          </w:tcPr>
          <w:p>
            <w:pPr>
              <w:pStyle w:val="Compact"/>
              <w:spacing w:after="40"/>
              <w:jc w:val="left"/>
            </w:pPr>
            <w:r>
              <w:rPr>
                <w:sz w:val="18"/>
              </w:rPr>
              <w:t xml:space="preserve">SEBI</w:t>
            </w:r>
          </w:p>
        </w:tc>
        <w:tc>
          <w:tcPr>
            <w:tcW w:w="2645" w:type="dxa"/>
          </w:tcPr>
          <w:p>
            <w:pPr>
              <w:pStyle w:val="Compact"/>
              <w:spacing w:after="40"/>
              <w:jc w:val="left"/>
            </w:pPr>
            <w:r>
              <w:rPr>
                <w:sz w:val="18"/>
              </w:rPr>
              <w:t xml:space="preserve">In force; amendment notified 11 Mar 2025, effective 9 Jun 2025</w:t>
            </w:r>
          </w:p>
        </w:tc>
        <w:tc>
          <w:tcPr>
            <w:tcW w:w="1361" w:type="dxa"/>
          </w:tcPr>
          <w:p>
            <w:pPr>
              <w:pStyle w:val="Compact"/>
              <w:spacing w:after="40"/>
              <w:jc w:val="left"/>
            </w:pPr>
            <w:r>
              <w:rPr>
                <w:sz w:val="18"/>
              </w:rPr>
              <w:t xml:space="preserve">F 7D, 7F (GV4.4), 7H (restricted list)</w:t>
            </w:r>
          </w:p>
        </w:tc>
      </w:tr>
      <w:tr>
        <w:tc>
          <w:tcPr>
            <w:tcW w:w="692" w:type="dxa"/>
          </w:tcPr>
          <w:p>
            <w:pPr>
              <w:pStyle w:val="Compact"/>
              <w:spacing w:after="40"/>
              <w:jc w:val="left"/>
            </w:pPr>
            <w:r>
              <w:rPr>
                <w:rStyle w:val="VerbatimChar"/>
                <w:sz w:val="18"/>
              </w:rPr>
              <w:t xml:space="preserve">ICDR</w:t>
            </w:r>
          </w:p>
        </w:tc>
        <w:tc>
          <w:tcPr>
            <w:tcW w:w="3096" w:type="dxa"/>
          </w:tcPr>
          <w:p>
            <w:pPr>
              <w:pStyle w:val="Compact"/>
              <w:spacing w:after="40"/>
              <w:jc w:val="left"/>
            </w:pPr>
            <w:r>
              <w:rPr>
                <w:sz w:val="18"/>
              </w:rPr>
              <w:t xml:space="preserve">SEBI (Issue of Capital and Disclosure Requirements) Regulations, 2018</w:t>
            </w:r>
          </w:p>
        </w:tc>
        <w:tc>
          <w:tcPr>
            <w:tcW w:w="1844" w:type="dxa"/>
          </w:tcPr>
          <w:p>
            <w:pPr>
              <w:pStyle w:val="Compact"/>
              <w:spacing w:after="40"/>
              <w:jc w:val="left"/>
            </w:pPr>
            <w:r>
              <w:rPr>
                <w:sz w:val="18"/>
              </w:rPr>
              <w:t xml:space="preserve">SEBI</w:t>
            </w:r>
          </w:p>
        </w:tc>
        <w:tc>
          <w:tcPr>
            <w:tcW w:w="2645" w:type="dxa"/>
          </w:tcPr>
          <w:p>
            <w:pPr>
              <w:pStyle w:val="Compact"/>
              <w:spacing w:after="40"/>
              <w:jc w:val="left"/>
            </w:pPr>
            <w:r>
              <w:rPr>
                <w:sz w:val="18"/>
              </w:rPr>
              <w:t xml:space="preserve">In force; SME IPO amendments of 4 Mar 2025 [VERIFY: all ICDR values on sebi.gov.in]</w:t>
            </w:r>
          </w:p>
        </w:tc>
        <w:tc>
          <w:tcPr>
            <w:tcW w:w="1361" w:type="dxa"/>
          </w:tcPr>
          <w:p>
            <w:pPr>
              <w:pStyle w:val="Compact"/>
              <w:spacing w:after="40"/>
              <w:jc w:val="left"/>
            </w:pPr>
            <w:r>
              <w:rPr>
                <w:sz w:val="18"/>
              </w:rPr>
              <w:t xml:space="preserve">F 7D, 7F (GV4.6), 7H (IV3)</w:t>
            </w:r>
          </w:p>
        </w:tc>
      </w:tr>
      <w:tr>
        <w:tc>
          <w:tcPr>
            <w:tcW w:w="692" w:type="dxa"/>
          </w:tcPr>
          <w:p>
            <w:pPr>
              <w:pStyle w:val="Compact"/>
              <w:spacing w:after="40"/>
              <w:jc w:val="left"/>
            </w:pPr>
            <w:r>
              <w:rPr>
                <w:rStyle w:val="VerbatimChar"/>
                <w:sz w:val="18"/>
              </w:rPr>
              <w:t xml:space="preserve">AIF</w:t>
            </w:r>
          </w:p>
        </w:tc>
        <w:tc>
          <w:tcPr>
            <w:tcW w:w="3096" w:type="dxa"/>
          </w:tcPr>
          <w:p>
            <w:pPr>
              <w:pStyle w:val="Compact"/>
              <w:spacing w:after="40"/>
              <w:jc w:val="left"/>
            </w:pPr>
            <w:r>
              <w:rPr>
                <w:sz w:val="18"/>
              </w:rPr>
              <w:t xml:space="preserve">SEBI (Alternative Investment Funds) Regulations, 2012 and master circular</w:t>
            </w:r>
          </w:p>
        </w:tc>
        <w:tc>
          <w:tcPr>
            <w:tcW w:w="1844" w:type="dxa"/>
          </w:tcPr>
          <w:p>
            <w:pPr>
              <w:pStyle w:val="Compact"/>
              <w:spacing w:after="40"/>
              <w:jc w:val="left"/>
            </w:pPr>
            <w:r>
              <w:rPr>
                <w:sz w:val="18"/>
              </w:rPr>
              <w:t xml:space="preserve">SEBI</w:t>
            </w:r>
          </w:p>
        </w:tc>
        <w:tc>
          <w:tcPr>
            <w:tcW w:w="2645" w:type="dxa"/>
          </w:tcPr>
          <w:p>
            <w:pPr>
              <w:pStyle w:val="Compact"/>
              <w:spacing w:after="40"/>
              <w:jc w:val="left"/>
            </w:pPr>
            <w:r>
              <w:rPr>
                <w:sz w:val="18"/>
              </w:rPr>
              <w:t xml:space="preserve">In force; investments from 1 Jul 2025 held in demat; 2025–26 amendments [VERIFY: current circulars]</w:t>
            </w:r>
          </w:p>
        </w:tc>
        <w:tc>
          <w:tcPr>
            <w:tcW w:w="1361" w:type="dxa"/>
          </w:tcPr>
          <w:p>
            <w:pPr>
              <w:pStyle w:val="Compact"/>
              <w:spacing w:after="40"/>
              <w:jc w:val="left"/>
            </w:pPr>
            <w:r>
              <w:rPr>
                <w:sz w:val="18"/>
              </w:rPr>
              <w:t xml:space="preserve">F 7G, 7H (IV4, IV6)</w:t>
            </w:r>
          </w:p>
        </w:tc>
      </w:tr>
      <w:tr>
        <w:tc>
          <w:tcPr>
            <w:tcW w:w="692" w:type="dxa"/>
          </w:tcPr>
          <w:p>
            <w:pPr>
              <w:pStyle w:val="Compact"/>
              <w:spacing w:after="40"/>
              <w:jc w:val="left"/>
            </w:pPr>
            <w:r>
              <w:rPr>
                <w:rStyle w:val="VerbatimChar"/>
                <w:sz w:val="18"/>
              </w:rPr>
              <w:t xml:space="preserve">SEBI-MF</w:t>
            </w:r>
          </w:p>
        </w:tc>
        <w:tc>
          <w:tcPr>
            <w:tcW w:w="3096" w:type="dxa"/>
          </w:tcPr>
          <w:p>
            <w:pPr>
              <w:pStyle w:val="Compact"/>
              <w:spacing w:after="40"/>
              <w:jc w:val="left"/>
            </w:pPr>
            <w:r>
              <w:rPr>
                <w:sz w:val="18"/>
              </w:rPr>
              <w:t xml:space="preserve">SEBI circular on categorisation and rationalisation of mutual fund schemes, HO/24/13/15(2)2026-IMD-RAC4/I/5764/2026</w:t>
            </w:r>
          </w:p>
        </w:tc>
        <w:tc>
          <w:tcPr>
            <w:tcW w:w="1844" w:type="dxa"/>
          </w:tcPr>
          <w:p>
            <w:pPr>
              <w:pStyle w:val="Compact"/>
              <w:spacing w:after="40"/>
              <w:jc w:val="left"/>
            </w:pPr>
            <w:r>
              <w:rPr>
                <w:sz w:val="18"/>
              </w:rPr>
              <w:t xml:space="preserve">SEBI; 26 Feb 2026</w:t>
            </w:r>
          </w:p>
        </w:tc>
        <w:tc>
          <w:tcPr>
            <w:tcW w:w="2645" w:type="dxa"/>
          </w:tcPr>
          <w:p>
            <w:pPr>
              <w:pStyle w:val="Compact"/>
              <w:spacing w:after="40"/>
              <w:jc w:val="left"/>
            </w:pPr>
            <w:r>
              <w:rPr>
                <w:sz w:val="18"/>
              </w:rPr>
              <w:t xml:space="preserve">In force; market-cap ranks applied through the AMFI half-yearly list [VERIFY: whether the 100/250 cut-offs are unchanged]</w:t>
            </w:r>
          </w:p>
        </w:tc>
        <w:tc>
          <w:tcPr>
            <w:tcW w:w="1361" w:type="dxa"/>
          </w:tcPr>
          <w:p>
            <w:pPr>
              <w:pStyle w:val="Compact"/>
              <w:spacing w:after="40"/>
              <w:jc w:val="left"/>
            </w:pPr>
            <w:r>
              <w:rPr>
                <w:sz w:val="18"/>
              </w:rPr>
              <w:t xml:space="preserve">F 7H (IV1.4)</w:t>
            </w:r>
          </w:p>
        </w:tc>
      </w:tr>
      <w:tr>
        <w:tc>
          <w:tcPr>
            <w:tcW w:w="692" w:type="dxa"/>
          </w:tcPr>
          <w:p>
            <w:pPr>
              <w:pStyle w:val="Compact"/>
              <w:spacing w:after="40"/>
              <w:jc w:val="left"/>
            </w:pPr>
            <w:r>
              <w:rPr>
                <w:rStyle w:val="VerbatimChar"/>
                <w:sz w:val="18"/>
              </w:rPr>
              <w:t xml:space="preserve">SEBI-PM</w:t>
            </w:r>
          </w:p>
        </w:tc>
        <w:tc>
          <w:tcPr>
            <w:tcW w:w="3096" w:type="dxa"/>
          </w:tcPr>
          <w:p>
            <w:pPr>
              <w:pStyle w:val="Compact"/>
              <w:spacing w:after="40"/>
              <w:jc w:val="left"/>
            </w:pPr>
            <w:r>
              <w:rPr>
                <w:sz w:val="18"/>
              </w:rPr>
              <w:t xml:space="preserve">SEBI (Portfolio Managers) Regulations, 2020</w:t>
            </w:r>
          </w:p>
        </w:tc>
        <w:tc>
          <w:tcPr>
            <w:tcW w:w="1844" w:type="dxa"/>
          </w:tcPr>
          <w:p>
            <w:pPr>
              <w:pStyle w:val="Compact"/>
              <w:spacing w:after="40"/>
              <w:jc w:val="left"/>
            </w:pPr>
            <w:r>
              <w:rPr>
                <w:sz w:val="18"/>
              </w:rPr>
              <w:t xml:space="preserve">SEBI</w:t>
            </w:r>
          </w:p>
        </w:tc>
        <w:tc>
          <w:tcPr>
            <w:tcW w:w="2645" w:type="dxa"/>
          </w:tcPr>
          <w:p>
            <w:pPr>
              <w:pStyle w:val="Compact"/>
              <w:spacing w:after="40"/>
              <w:jc w:val="left"/>
            </w:pPr>
            <w:r>
              <w:rPr>
                <w:sz w:val="18"/>
              </w:rPr>
              <w:t xml:space="preserve">In force</w:t>
            </w:r>
          </w:p>
        </w:tc>
        <w:tc>
          <w:tcPr>
            <w:tcW w:w="1361" w:type="dxa"/>
          </w:tcPr>
          <w:p>
            <w:pPr>
              <w:pStyle w:val="Compact"/>
              <w:spacing w:after="40"/>
              <w:jc w:val="left"/>
            </w:pPr>
            <w:r>
              <w:rPr>
                <w:sz w:val="18"/>
              </w:rPr>
              <w:t xml:space="preserve">F 7G, 7H (IV6.6)</w:t>
            </w:r>
          </w:p>
        </w:tc>
      </w:tr>
      <w:tr>
        <w:tc>
          <w:tcPr>
            <w:tcW w:w="692" w:type="dxa"/>
          </w:tcPr>
          <w:p>
            <w:pPr>
              <w:pStyle w:val="Compact"/>
              <w:spacing w:after="40"/>
              <w:jc w:val="left"/>
            </w:pPr>
            <w:r>
              <w:rPr>
                <w:rStyle w:val="VerbatimChar"/>
                <w:sz w:val="18"/>
              </w:rPr>
              <w:t xml:space="preserve">SEBI-IA</w:t>
            </w:r>
          </w:p>
        </w:tc>
        <w:tc>
          <w:tcPr>
            <w:tcW w:w="3096" w:type="dxa"/>
          </w:tcPr>
          <w:p>
            <w:pPr>
              <w:pStyle w:val="Compact"/>
              <w:spacing w:after="40"/>
              <w:jc w:val="left"/>
            </w:pPr>
            <w:r>
              <w:rPr>
                <w:sz w:val="18"/>
              </w:rPr>
              <w:t xml:space="preserve">SEBI (Investment Advisers) Regulations, 2013</w:t>
            </w:r>
          </w:p>
        </w:tc>
        <w:tc>
          <w:tcPr>
            <w:tcW w:w="1844" w:type="dxa"/>
          </w:tcPr>
          <w:p>
            <w:pPr>
              <w:pStyle w:val="Compact"/>
              <w:spacing w:after="40"/>
              <w:jc w:val="left"/>
            </w:pPr>
            <w:r>
              <w:rPr>
                <w:sz w:val="18"/>
              </w:rPr>
              <w:t xml:space="preserve">SEBI</w:t>
            </w:r>
          </w:p>
        </w:tc>
        <w:tc>
          <w:tcPr>
            <w:tcW w:w="2645" w:type="dxa"/>
          </w:tcPr>
          <w:p>
            <w:pPr>
              <w:pStyle w:val="Compact"/>
              <w:spacing w:after="40"/>
              <w:jc w:val="left"/>
            </w:pPr>
            <w:r>
              <w:rPr>
                <w:sz w:val="18"/>
              </w:rPr>
              <w:t xml:space="preserve">In force; Finbyx and Udofin give no investment advice</w:t>
            </w:r>
          </w:p>
        </w:tc>
        <w:tc>
          <w:tcPr>
            <w:tcW w:w="1361" w:type="dxa"/>
          </w:tcPr>
          <w:p>
            <w:pPr>
              <w:pStyle w:val="Compact"/>
              <w:spacing w:after="40"/>
              <w:jc w:val="left"/>
            </w:pPr>
            <w:r>
              <w:rPr>
                <w:sz w:val="18"/>
              </w:rPr>
              <w:t xml:space="preserve">F 7H (module guard-rails); U 7D</w:t>
            </w:r>
          </w:p>
        </w:tc>
      </w:tr>
      <w:tr>
        <w:tc>
          <w:tcPr>
            <w:tcW w:w="692" w:type="dxa"/>
          </w:tcPr>
          <w:p>
            <w:pPr>
              <w:pStyle w:val="Compact"/>
              <w:spacing w:after="40"/>
              <w:jc w:val="left"/>
            </w:pPr>
            <w:r>
              <w:rPr>
                <w:rStyle w:val="VerbatimChar"/>
                <w:sz w:val="18"/>
              </w:rPr>
              <w:t xml:space="preserve">IFSCA-FC</w:t>
            </w:r>
          </w:p>
        </w:tc>
        <w:tc>
          <w:tcPr>
            <w:tcW w:w="3096" w:type="dxa"/>
          </w:tcPr>
          <w:p>
            <w:pPr>
              <w:pStyle w:val="Compact"/>
              <w:spacing w:after="40"/>
              <w:jc w:val="left"/>
            </w:pPr>
            <w:r>
              <w:rPr>
                <w:sz w:val="18"/>
              </w:rPr>
              <w:t xml:space="preserve">IFSCA (Finance Company) Regulations, 2021 (consolidated as the 2026 text)</w:t>
            </w:r>
          </w:p>
        </w:tc>
        <w:tc>
          <w:tcPr>
            <w:tcW w:w="1844" w:type="dxa"/>
          </w:tcPr>
          <w:p>
            <w:pPr>
              <w:pStyle w:val="Compact"/>
              <w:spacing w:after="40"/>
              <w:jc w:val="left"/>
            </w:pPr>
            <w:r>
              <w:rPr>
                <w:sz w:val="18"/>
              </w:rPr>
              <w:t xml:space="preserve">IFSCA; Amendment Regulations 2026 notified 5 May 2026 (F.No. IFSCA/GN/2026/009); consolidated text as amended to 7 May 2026, issued 9 Jul 2026</w:t>
            </w:r>
          </w:p>
        </w:tc>
        <w:tc>
          <w:tcPr>
            <w:tcW w:w="2645" w:type="dxa"/>
          </w:tcPr>
          <w:p>
            <w:pPr>
              <w:pStyle w:val="Compact"/>
              <w:spacing w:after="40"/>
              <w:jc w:val="left"/>
            </w:pPr>
            <w:r>
              <w:rPr>
                <w:sz w:val="18"/>
              </w:rPr>
              <w:t xml:space="preserve">In force; reporting in USD (reg 9) [VERIFY: return list, frequency and portal]</w:t>
            </w:r>
          </w:p>
        </w:tc>
        <w:tc>
          <w:tcPr>
            <w:tcW w:w="1361" w:type="dxa"/>
          </w:tcPr>
          <w:p>
            <w:pPr>
              <w:pStyle w:val="Compact"/>
              <w:spacing w:after="40"/>
              <w:jc w:val="left"/>
            </w:pPr>
            <w:r>
              <w:rPr>
                <w:sz w:val="18"/>
              </w:rPr>
              <w:t xml:space="preserve">F 7B (RR4.5), 7C (AC1), 7G (IP6), 7H</w:t>
            </w:r>
          </w:p>
        </w:tc>
      </w:tr>
      <w:tr>
        <w:tc>
          <w:tcPr>
            <w:tcW w:w="692" w:type="dxa"/>
          </w:tcPr>
          <w:p>
            <w:pPr>
              <w:pStyle w:val="Compact"/>
              <w:spacing w:after="40"/>
              <w:jc w:val="left"/>
            </w:pPr>
            <w:r>
              <w:rPr>
                <w:rStyle w:val="VerbatimChar"/>
                <w:sz w:val="18"/>
              </w:rPr>
              <w:t xml:space="preserve">IFSCA-FM</w:t>
            </w:r>
          </w:p>
        </w:tc>
        <w:tc>
          <w:tcPr>
            <w:tcW w:w="3096" w:type="dxa"/>
          </w:tcPr>
          <w:p>
            <w:pPr>
              <w:pStyle w:val="Compact"/>
              <w:spacing w:after="40"/>
              <w:jc w:val="left"/>
            </w:pPr>
            <w:r>
              <w:rPr>
                <w:sz w:val="18"/>
              </w:rPr>
              <w:t xml:space="preserve">IFSCA (Fund Management) Regulations, 2025</w:t>
            </w:r>
          </w:p>
        </w:tc>
        <w:tc>
          <w:tcPr>
            <w:tcW w:w="1844" w:type="dxa"/>
          </w:tcPr>
          <w:p>
            <w:pPr>
              <w:pStyle w:val="Compact"/>
              <w:spacing w:after="40"/>
              <w:jc w:val="left"/>
            </w:pPr>
            <w:r>
              <w:rPr>
                <w:sz w:val="18"/>
              </w:rPr>
              <w:t xml:space="preserve">IFSCA; gazetted 19 Feb 2025</w:t>
            </w:r>
          </w:p>
        </w:tc>
        <w:tc>
          <w:tcPr>
            <w:tcW w:w="2645" w:type="dxa"/>
          </w:tcPr>
          <w:p>
            <w:pPr>
              <w:pStyle w:val="Compact"/>
              <w:spacing w:after="40"/>
              <w:jc w:val="left"/>
            </w:pPr>
            <w:r>
              <w:rPr>
                <w:sz w:val="18"/>
              </w:rPr>
              <w:t xml:space="preserve">In force; replaced the 2022 Regulations</w:t>
            </w:r>
          </w:p>
        </w:tc>
        <w:tc>
          <w:tcPr>
            <w:tcW w:w="1361" w:type="dxa"/>
          </w:tcPr>
          <w:p>
            <w:pPr>
              <w:pStyle w:val="Compact"/>
              <w:spacing w:after="40"/>
              <w:jc w:val="left"/>
            </w:pPr>
            <w:r>
              <w:rPr>
                <w:sz w:val="18"/>
              </w:rPr>
              <w:t xml:space="preserve">F 7G, 7H (IV6.6)</w:t>
            </w:r>
          </w:p>
        </w:tc>
      </w:tr>
      <w:tr>
        <w:tc>
          <w:tcPr>
            <w:tcW w:w="692" w:type="dxa"/>
          </w:tcPr>
          <w:p>
            <w:pPr>
              <w:pStyle w:val="Compact"/>
              <w:spacing w:after="40"/>
              <w:jc w:val="left"/>
            </w:pPr>
            <w:r>
              <w:rPr>
                <w:rStyle w:val="VerbatimChar"/>
                <w:sz w:val="18"/>
              </w:rPr>
              <w:t xml:space="preserve">MSCS</w:t>
            </w:r>
          </w:p>
        </w:tc>
        <w:tc>
          <w:tcPr>
            <w:tcW w:w="3096" w:type="dxa"/>
          </w:tcPr>
          <w:p>
            <w:pPr>
              <w:pStyle w:val="Compact"/>
              <w:spacing w:after="40"/>
              <w:jc w:val="left"/>
            </w:pPr>
            <w:r>
              <w:rPr>
                <w:sz w:val="18"/>
              </w:rPr>
              <w:t xml:space="preserve">Multi-State Co-operative Societies Act, 2002 (as amended 2023); MSCS Rules, 2023; CRCS orders (prudential norms, Order L-11012/01/2023-Reg, 22 Jan 2024; branch-expansion order, Jul 2025); CRCS model bye-laws for thrift and credit societies</w:t>
            </w:r>
          </w:p>
        </w:tc>
        <w:tc>
          <w:tcPr>
            <w:tcW w:w="1844" w:type="dxa"/>
          </w:tcPr>
          <w:p>
            <w:pPr>
              <w:pStyle w:val="Compact"/>
              <w:spacing w:after="40"/>
              <w:jc w:val="left"/>
            </w:pPr>
            <w:r>
              <w:rPr>
                <w:sz w:val="18"/>
              </w:rPr>
              <w:t xml:space="preserve">Parliament; Ministry of Cooperation; Central Registrar of Co-operative Societies</w:t>
            </w:r>
          </w:p>
        </w:tc>
        <w:tc>
          <w:tcPr>
            <w:tcW w:w="2645" w:type="dxa"/>
          </w:tcPr>
          <w:p>
            <w:pPr>
              <w:pStyle w:val="Compact"/>
              <w:spacing w:after="40"/>
              <w:jc w:val="left"/>
            </w:pPr>
            <w:r>
              <w:rPr>
                <w:sz w:val="18"/>
              </w:rPr>
              <w:t xml:space="preserve">In force [VERIFY: sections and rules before loading packs]</w:t>
            </w:r>
          </w:p>
        </w:tc>
        <w:tc>
          <w:tcPr>
            <w:tcW w:w="1361" w:type="dxa"/>
          </w:tcPr>
          <w:p>
            <w:pPr>
              <w:pStyle w:val="Compact"/>
              <w:spacing w:after="40"/>
              <w:jc w:val="left"/>
            </w:pPr>
            <w:r>
              <w:rPr>
                <w:sz w:val="18"/>
              </w:rPr>
              <w:t xml:space="preserve">F 7B, 7C, 7D, 7E, 7F, 7G (IP2), 7J; U 7B (UP4), 7C, 7E, 7F</w:t>
            </w:r>
          </w:p>
        </w:tc>
      </w:tr>
      <w:tr>
        <w:tc>
          <w:tcPr>
            <w:tcW w:w="692" w:type="dxa"/>
          </w:tcPr>
          <w:p>
            <w:pPr>
              <w:pStyle w:val="Compact"/>
              <w:spacing w:after="40"/>
              <w:jc w:val="left"/>
            </w:pPr>
            <w:r>
              <w:rPr>
                <w:rStyle w:val="VerbatimChar"/>
                <w:sz w:val="18"/>
              </w:rPr>
              <w:t xml:space="preserve">SCS</w:t>
            </w:r>
          </w:p>
        </w:tc>
        <w:tc>
          <w:tcPr>
            <w:tcW w:w="3096" w:type="dxa"/>
          </w:tcPr>
          <w:p>
            <w:pPr>
              <w:pStyle w:val="Compact"/>
              <w:spacing w:after="40"/>
              <w:jc w:val="left"/>
            </w:pPr>
            <w:r>
              <w:rPr>
                <w:sz w:val="18"/>
              </w:rPr>
              <w:t xml:space="preserve">State co-operative societies Acts and Rules; one sub-code per State, for example</w:t>
            </w:r>
            <w:r>
              <w:rPr>
                <w:sz w:val="18"/>
              </w:rPr>
              <w:t xml:space="preserve"> </w:t>
            </w:r>
            <w:r>
              <w:rPr>
                <w:rStyle w:val="VerbatimChar"/>
                <w:sz w:val="18"/>
              </w:rPr>
              <w:t xml:space="preserve">SCS-MH</w:t>
            </w:r>
            <w:r>
              <w:rPr>
                <w:sz w:val="18"/>
              </w:rPr>
              <w:t xml:space="preserve"> </w:t>
            </w:r>
            <w:r>
              <w:rPr>
                <w:sz w:val="18"/>
              </w:rPr>
              <w:t xml:space="preserve">(Maharashtra Co-operative Societies Act, 1960 and Rules, 1961)</w:t>
            </w:r>
          </w:p>
        </w:tc>
        <w:tc>
          <w:tcPr>
            <w:tcW w:w="1844" w:type="dxa"/>
          </w:tcPr>
          <w:p>
            <w:pPr>
              <w:pStyle w:val="Compact"/>
              <w:spacing w:after="40"/>
              <w:jc w:val="left"/>
            </w:pPr>
            <w:r>
              <w:rPr>
                <w:sz w:val="18"/>
              </w:rPr>
              <w:t xml:space="preserve">State legislatures; State Registrars</w:t>
            </w:r>
          </w:p>
        </w:tc>
        <w:tc>
          <w:tcPr>
            <w:tcW w:w="2645" w:type="dxa"/>
          </w:tcPr>
          <w:p>
            <w:pPr>
              <w:pStyle w:val="Compact"/>
              <w:spacing w:after="40"/>
              <w:jc w:val="left"/>
            </w:pPr>
            <w:r>
              <w:rPr>
                <w:sz w:val="18"/>
              </w:rPr>
              <w:t xml:space="preserve">Per State; v1.5 packs MSCS and Maharashtra first [VERIFY: each State]</w:t>
            </w:r>
          </w:p>
        </w:tc>
        <w:tc>
          <w:tcPr>
            <w:tcW w:w="1361" w:type="dxa"/>
          </w:tcPr>
          <w:p>
            <w:pPr>
              <w:pStyle w:val="Compact"/>
              <w:spacing w:after="40"/>
              <w:jc w:val="left"/>
            </w:pPr>
            <w:r>
              <w:rPr>
                <w:sz w:val="18"/>
              </w:rPr>
              <w:t xml:space="preserve">F 7B, 7C, 7D, 7E, 7F, 7G (IP2); U 7B, 7C, 7E</w:t>
            </w:r>
          </w:p>
        </w:tc>
      </w:tr>
      <w:tr>
        <w:tc>
          <w:tcPr>
            <w:tcW w:w="692" w:type="dxa"/>
          </w:tcPr>
          <w:p>
            <w:pPr>
              <w:pStyle w:val="Compact"/>
              <w:spacing w:after="40"/>
              <w:jc w:val="left"/>
            </w:pPr>
            <w:r>
              <w:rPr>
                <w:rStyle w:val="VerbatimChar"/>
                <w:sz w:val="18"/>
              </w:rPr>
              <w:t xml:space="preserve">CICRA</w:t>
            </w:r>
          </w:p>
        </w:tc>
        <w:tc>
          <w:tcPr>
            <w:tcW w:w="3096" w:type="dxa"/>
          </w:tcPr>
          <w:p>
            <w:pPr>
              <w:pStyle w:val="Compact"/>
              <w:spacing w:after="40"/>
              <w:jc w:val="left"/>
            </w:pPr>
            <w:r>
              <w:rPr>
                <w:sz w:val="18"/>
              </w:rPr>
              <w:t xml:space="preserve">Credit Information Companies (Regulation) Act, 2005; CIC Rules, 2006; CIC Regulations, 2006</w:t>
            </w:r>
          </w:p>
        </w:tc>
        <w:tc>
          <w:tcPr>
            <w:tcW w:w="1844" w:type="dxa"/>
          </w:tcPr>
          <w:p>
            <w:pPr>
              <w:pStyle w:val="Compact"/>
              <w:spacing w:after="40"/>
              <w:jc w:val="left"/>
            </w:pPr>
            <w:r>
              <w:rPr>
                <w:sz w:val="18"/>
              </w:rPr>
              <w:t xml:space="preserve">Parliament; RBI</w:t>
            </w:r>
          </w:p>
        </w:tc>
        <w:tc>
          <w:tcPr>
            <w:tcW w:w="2645" w:type="dxa"/>
          </w:tcPr>
          <w:p>
            <w:pPr>
              <w:pStyle w:val="Compact"/>
              <w:spacing w:after="40"/>
              <w:jc w:val="left"/>
            </w:pPr>
            <w:r>
              <w:rPr>
                <w:sz w:val="18"/>
              </w:rPr>
              <w:t xml:space="preserve">In force; CIR is issued under s.11</w:t>
            </w:r>
          </w:p>
        </w:tc>
        <w:tc>
          <w:tcPr>
            <w:tcW w:w="1361" w:type="dxa"/>
          </w:tcPr>
          <w:p>
            <w:pPr>
              <w:pStyle w:val="Compact"/>
              <w:spacing w:after="40"/>
              <w:jc w:val="left"/>
            </w:pPr>
            <w:r>
              <w:rPr>
                <w:sz w:val="18"/>
              </w:rPr>
              <w:t xml:space="preserve">F 7B (RR6–RR7), 7C, 7G, 7K; U 7B, 7C, 7D, 7E, 7G</w:t>
            </w:r>
          </w:p>
        </w:tc>
      </w:tr>
      <w:tr>
        <w:tc>
          <w:tcPr>
            <w:tcW w:w="692" w:type="dxa"/>
          </w:tcPr>
          <w:p>
            <w:pPr>
              <w:pStyle w:val="Compact"/>
              <w:spacing w:after="40"/>
              <w:jc w:val="left"/>
            </w:pPr>
            <w:r>
              <w:rPr>
                <w:rStyle w:val="VerbatimChar"/>
                <w:sz w:val="18"/>
              </w:rPr>
              <w:t xml:space="preserve">GST</w:t>
            </w:r>
          </w:p>
        </w:tc>
        <w:tc>
          <w:tcPr>
            <w:tcW w:w="3096" w:type="dxa"/>
          </w:tcPr>
          <w:p>
            <w:pPr>
              <w:pStyle w:val="Compact"/>
              <w:spacing w:after="40"/>
              <w:jc w:val="left"/>
            </w:pPr>
            <w:r>
              <w:rPr>
                <w:sz w:val="18"/>
              </w:rPr>
              <w:t xml:space="preserve">CGST Act, 2017 and CGST Rules; IGST Act; Notification 12/2017-CT(Rate) (interest exemption); Circular 245/02/2025-GST (penal charges)</w:t>
            </w:r>
          </w:p>
        </w:tc>
        <w:tc>
          <w:tcPr>
            <w:tcW w:w="1844" w:type="dxa"/>
          </w:tcPr>
          <w:p>
            <w:pPr>
              <w:pStyle w:val="Compact"/>
              <w:spacing w:after="40"/>
              <w:jc w:val="left"/>
            </w:pPr>
            <w:r>
              <w:rPr>
                <w:sz w:val="18"/>
              </w:rPr>
              <w:t xml:space="preserve">Parliament; CBIC; GST Council</w:t>
            </w:r>
          </w:p>
        </w:tc>
        <w:tc>
          <w:tcPr>
            <w:tcW w:w="2645" w:type="dxa"/>
          </w:tcPr>
          <w:p>
            <w:pPr>
              <w:pStyle w:val="Compact"/>
              <w:spacing w:after="40"/>
              <w:jc w:val="left"/>
            </w:pPr>
            <w:r>
              <w:rPr>
                <w:sz w:val="18"/>
              </w:rPr>
              <w:t xml:space="preserve">In force; GSTR-1 HSN and IMS changes from 2025</w:t>
            </w:r>
          </w:p>
        </w:tc>
        <w:tc>
          <w:tcPr>
            <w:tcW w:w="1361" w:type="dxa"/>
          </w:tcPr>
          <w:p>
            <w:pPr>
              <w:pStyle w:val="Compact"/>
              <w:spacing w:after="40"/>
              <w:jc w:val="left"/>
            </w:pPr>
            <w:r>
              <w:rPr>
                <w:sz w:val="18"/>
              </w:rPr>
              <w:t xml:space="preserve">F 7B, 7C (AC4), 7D, 7G, 7H, 7J, 7K (CM4.4); U 7B–7G</w:t>
            </w:r>
          </w:p>
        </w:tc>
      </w:tr>
      <w:tr>
        <w:tc>
          <w:tcPr>
            <w:tcW w:w="692" w:type="dxa"/>
          </w:tcPr>
          <w:p>
            <w:pPr>
              <w:pStyle w:val="Compact"/>
              <w:spacing w:after="40"/>
              <w:jc w:val="left"/>
            </w:pPr>
            <w:r>
              <w:rPr>
                <w:rStyle w:val="VerbatimChar"/>
                <w:sz w:val="18"/>
              </w:rPr>
              <w:t xml:space="preserve">ITA25</w:t>
            </w:r>
          </w:p>
        </w:tc>
        <w:tc>
          <w:tcPr>
            <w:tcW w:w="3096" w:type="dxa"/>
          </w:tcPr>
          <w:p>
            <w:pPr>
              <w:pStyle w:val="Compact"/>
              <w:spacing w:after="40"/>
              <w:jc w:val="left"/>
            </w:pPr>
            <w:r>
              <w:rPr>
                <w:sz w:val="18"/>
              </w:rPr>
              <w:t xml:space="preserve">Income-tax Act, 2025 and Income-tax Rules, 2026</w:t>
            </w:r>
          </w:p>
        </w:tc>
        <w:tc>
          <w:tcPr>
            <w:tcW w:w="1844" w:type="dxa"/>
          </w:tcPr>
          <w:p>
            <w:pPr>
              <w:pStyle w:val="Compact"/>
              <w:spacing w:after="40"/>
              <w:jc w:val="left"/>
            </w:pPr>
            <w:r>
              <w:rPr>
                <w:sz w:val="18"/>
              </w:rPr>
              <w:t xml:space="preserve">Parliament; CBDT</w:t>
            </w:r>
          </w:p>
        </w:tc>
        <w:tc>
          <w:tcPr>
            <w:tcW w:w="2645" w:type="dxa"/>
          </w:tcPr>
          <w:p>
            <w:pPr>
              <w:pStyle w:val="Compact"/>
              <w:spacing w:after="40"/>
              <w:jc w:val="left"/>
            </w:pPr>
            <w:r>
              <w:rPr>
                <w:sz w:val="18"/>
              </w:rPr>
              <w:t xml:space="preserve">In force 1 Apr 2026 for tax year 2026-27 onwards: TDS s.393 (statement Form 140; certificate Form 131), salary s.392 (Form 130), SFT s.508 (Form 165), tax audit s.63 (Form 26), borrower deductions s.22, s.123, s.129, default regime s.202 [VERIFY: form, serial and code numbers before go-live]</w:t>
            </w:r>
          </w:p>
        </w:tc>
        <w:tc>
          <w:tcPr>
            <w:tcW w:w="1361" w:type="dxa"/>
          </w:tcPr>
          <w:p>
            <w:pPr>
              <w:pStyle w:val="Compact"/>
              <w:spacing w:after="40"/>
              <w:jc w:val="left"/>
            </w:pPr>
            <w:r>
              <w:rPr>
                <w:sz w:val="18"/>
              </w:rPr>
              <w:t xml:space="preserve">F 7B (RR4.9), 7C (AC5), 7F (GV6), 7G, 7H, 7K; U 7C (UB2), 7E, 7G</w:t>
            </w:r>
          </w:p>
        </w:tc>
      </w:tr>
      <w:tr>
        <w:tc>
          <w:tcPr>
            <w:tcW w:w="692" w:type="dxa"/>
          </w:tcPr>
          <w:p>
            <w:pPr>
              <w:pStyle w:val="Compact"/>
              <w:spacing w:after="40"/>
              <w:jc w:val="left"/>
            </w:pPr>
            <w:r>
              <w:rPr>
                <w:rStyle w:val="VerbatimChar"/>
                <w:sz w:val="18"/>
              </w:rPr>
              <w:t xml:space="preserve">ITA61</w:t>
            </w:r>
          </w:p>
        </w:tc>
        <w:tc>
          <w:tcPr>
            <w:tcW w:w="3096" w:type="dxa"/>
          </w:tcPr>
          <w:p>
            <w:pPr>
              <w:pStyle w:val="Compact"/>
              <w:spacing w:after="40"/>
              <w:jc w:val="left"/>
            </w:pPr>
            <w:r>
              <w:rPr>
                <w:sz w:val="18"/>
              </w:rPr>
              <w:t xml:space="preserve">Income-tax Act, 1961</w:t>
            </w:r>
          </w:p>
        </w:tc>
        <w:tc>
          <w:tcPr>
            <w:tcW w:w="1844" w:type="dxa"/>
          </w:tcPr>
          <w:p>
            <w:pPr>
              <w:pStyle w:val="Compact"/>
              <w:spacing w:after="40"/>
              <w:jc w:val="left"/>
            </w:pPr>
            <w:r>
              <w:rPr>
                <w:sz w:val="18"/>
              </w:rPr>
              <w:t xml:space="preserve">Parliament; CBDT</w:t>
            </w:r>
          </w:p>
        </w:tc>
        <w:tc>
          <w:tcPr>
            <w:tcW w:w="2645" w:type="dxa"/>
          </w:tcPr>
          <w:p>
            <w:pPr>
              <w:pStyle w:val="Compact"/>
              <w:spacing w:after="40"/>
              <w:jc w:val="left"/>
            </w:pPr>
            <w:r>
              <w:rPr>
                <w:sz w:val="18"/>
              </w:rPr>
              <w:t xml:space="preserve">Applies to tax years up to 2025-26 and to the transition (CBDT FAQs) [VERIFY: transition FAQs]</w:t>
            </w:r>
          </w:p>
        </w:tc>
        <w:tc>
          <w:tcPr>
            <w:tcW w:w="1361" w:type="dxa"/>
          </w:tcPr>
          <w:p>
            <w:pPr>
              <w:pStyle w:val="Compact"/>
              <w:spacing w:after="40"/>
              <w:jc w:val="left"/>
            </w:pPr>
            <w:r>
              <w:rPr>
                <w:sz w:val="18"/>
              </w:rPr>
              <w:t xml:space="preserve">F 7C (AC5.1); U 7C</w:t>
            </w:r>
          </w:p>
        </w:tc>
      </w:tr>
      <w:tr>
        <w:tc>
          <w:tcPr>
            <w:tcW w:w="692" w:type="dxa"/>
          </w:tcPr>
          <w:p>
            <w:pPr>
              <w:pStyle w:val="Compact"/>
              <w:spacing w:after="40"/>
              <w:jc w:val="left"/>
            </w:pPr>
            <w:r>
              <w:rPr>
                <w:rStyle w:val="VerbatimChar"/>
                <w:sz w:val="18"/>
              </w:rPr>
              <w:t xml:space="preserve">LC</w:t>
            </w:r>
          </w:p>
        </w:tc>
        <w:tc>
          <w:tcPr>
            <w:tcW w:w="3096" w:type="dxa"/>
          </w:tcPr>
          <w:p>
            <w:pPr>
              <w:pStyle w:val="Compact"/>
              <w:spacing w:after="40"/>
              <w:jc w:val="left"/>
            </w:pPr>
            <w:r>
              <w:rPr>
                <w:sz w:val="18"/>
              </w:rPr>
              <w:t xml:space="preserve">Labour Codes, with sub-codes</w:t>
            </w:r>
            <w:r>
              <w:rPr>
                <w:sz w:val="18"/>
              </w:rPr>
              <w:t xml:space="preserve"> </w:t>
            </w:r>
            <w:r>
              <w:rPr>
                <w:rStyle w:val="VerbatimChar"/>
                <w:sz w:val="18"/>
              </w:rPr>
              <w:t xml:space="preserve">LC-CoW</w:t>
            </w:r>
            <w:r>
              <w:rPr>
                <w:sz w:val="18"/>
              </w:rPr>
              <w:t xml:space="preserve"> </w:t>
            </w:r>
            <w:r>
              <w:rPr>
                <w:sz w:val="18"/>
              </w:rPr>
              <w:t xml:space="preserve">(Code on Wages, 2019),</w:t>
            </w:r>
            <w:r>
              <w:rPr>
                <w:sz w:val="18"/>
              </w:rPr>
              <w:t xml:space="preserve"> </w:t>
            </w:r>
            <w:r>
              <w:rPr>
                <w:rStyle w:val="VerbatimChar"/>
                <w:sz w:val="18"/>
              </w:rPr>
              <w:t xml:space="preserve">LC-IRC</w:t>
            </w:r>
            <w:r>
              <w:rPr>
                <w:sz w:val="18"/>
              </w:rPr>
              <w:t xml:space="preserve"> </w:t>
            </w:r>
            <w:r>
              <w:rPr>
                <w:sz w:val="18"/>
              </w:rPr>
              <w:t xml:space="preserve">(Industrial Relations Code, 2020),</w:t>
            </w:r>
            <w:r>
              <w:rPr>
                <w:sz w:val="18"/>
              </w:rPr>
              <w:t xml:space="preserve"> </w:t>
            </w:r>
            <w:r>
              <w:rPr>
                <w:rStyle w:val="VerbatimChar"/>
                <w:sz w:val="18"/>
              </w:rPr>
              <w:t xml:space="preserve">LC-SS</w:t>
            </w:r>
            <w:r>
              <w:rPr>
                <w:sz w:val="18"/>
              </w:rPr>
              <w:t xml:space="preserve"> </w:t>
            </w:r>
            <w:r>
              <w:rPr>
                <w:sz w:val="18"/>
              </w:rPr>
              <w:t xml:space="preserve">(Code on Social Security, 2020) and</w:t>
            </w:r>
            <w:r>
              <w:rPr>
                <w:sz w:val="18"/>
              </w:rPr>
              <w:t xml:space="preserve"> </w:t>
            </w:r>
            <w:r>
              <w:rPr>
                <w:rStyle w:val="VerbatimChar"/>
                <w:sz w:val="18"/>
              </w:rPr>
              <w:t xml:space="preserve">LC-OSHWC</w:t>
            </w:r>
            <w:r>
              <w:rPr>
                <w:sz w:val="18"/>
              </w:rPr>
              <w:t xml:space="preserve"> </w:t>
            </w:r>
            <w:r>
              <w:rPr>
                <w:sz w:val="18"/>
              </w:rPr>
              <w:t xml:space="preserve">(Occupational Safety, Health and Working Conditions Code, 2020)</w:t>
            </w:r>
          </w:p>
        </w:tc>
        <w:tc>
          <w:tcPr>
            <w:tcW w:w="1844" w:type="dxa"/>
          </w:tcPr>
          <w:p>
            <w:pPr>
              <w:pStyle w:val="Compact"/>
              <w:spacing w:after="40"/>
              <w:jc w:val="left"/>
            </w:pPr>
            <w:r>
              <w:rPr>
                <w:sz w:val="18"/>
              </w:rPr>
              <w:t xml:space="preserve">Parliament; Ministry of Labour and Employment</w:t>
            </w:r>
          </w:p>
        </w:tc>
        <w:tc>
          <w:tcPr>
            <w:tcW w:w="2645" w:type="dxa"/>
          </w:tcPr>
          <w:p>
            <w:pPr>
              <w:pStyle w:val="Compact"/>
              <w:spacing w:after="40"/>
              <w:jc w:val="left"/>
            </w:pPr>
            <w:r>
              <w:rPr>
                <w:sz w:val="18"/>
              </w:rPr>
              <w:t xml:space="preserve">In force 21 Nov 2025 (S.O. 5319(E)–5322(E)); Central Rules 8 May 2026 (G.S.R. 342(E)–345(E)); most State rules pending; EPF wage ceiling ₹15,000 re-notified 29 May 2026</w:t>
            </w:r>
          </w:p>
        </w:tc>
        <w:tc>
          <w:tcPr>
            <w:tcW w:w="1361" w:type="dxa"/>
          </w:tcPr>
          <w:p>
            <w:pPr>
              <w:pStyle w:val="Compact"/>
              <w:spacing w:after="40"/>
              <w:jc w:val="left"/>
            </w:pPr>
            <w:r>
              <w:rPr>
                <w:sz w:val="18"/>
              </w:rPr>
              <w:t xml:space="preserve">F 7F (GV6); OH10 (shared Labour Code rule pack)</w:t>
            </w:r>
          </w:p>
        </w:tc>
      </w:tr>
      <w:tr>
        <w:tc>
          <w:tcPr>
            <w:tcW w:w="692" w:type="dxa"/>
          </w:tcPr>
          <w:p>
            <w:pPr>
              <w:pStyle w:val="Compact"/>
              <w:spacing w:after="40"/>
              <w:jc w:val="left"/>
            </w:pPr>
            <w:r>
              <w:rPr>
                <w:rStyle w:val="VerbatimChar"/>
                <w:sz w:val="18"/>
              </w:rPr>
              <w:t xml:space="preserve">DPDP</w:t>
            </w:r>
          </w:p>
        </w:tc>
        <w:tc>
          <w:tcPr>
            <w:tcW w:w="3096" w:type="dxa"/>
          </w:tcPr>
          <w:p>
            <w:pPr>
              <w:pStyle w:val="Compact"/>
              <w:spacing w:after="40"/>
              <w:jc w:val="left"/>
            </w:pPr>
            <w:r>
              <w:rPr>
                <w:sz w:val="18"/>
              </w:rPr>
              <w:t xml:space="preserve">Digital Personal Data Protection Act, 2023 and DPDP Rules, 2025</w:t>
            </w:r>
          </w:p>
        </w:tc>
        <w:tc>
          <w:tcPr>
            <w:tcW w:w="1844" w:type="dxa"/>
          </w:tcPr>
          <w:p>
            <w:pPr>
              <w:pStyle w:val="Compact"/>
              <w:spacing w:after="40"/>
              <w:jc w:val="left"/>
            </w:pPr>
            <w:r>
              <w:rPr>
                <w:sz w:val="18"/>
              </w:rPr>
              <w:t xml:space="preserve">Parliament; MeitY</w:t>
            </w:r>
          </w:p>
        </w:tc>
        <w:tc>
          <w:tcPr>
            <w:tcW w:w="2645" w:type="dxa"/>
          </w:tcPr>
          <w:p>
            <w:pPr>
              <w:pStyle w:val="Compact"/>
              <w:spacing w:after="40"/>
              <w:jc w:val="left"/>
            </w:pPr>
            <w:r>
              <w:rPr>
                <w:sz w:val="18"/>
              </w:rPr>
              <w:t xml:space="preserve">Rules notified 13 Nov 2025; Consent Manager provisions 13 Nov 2026; substantive duties 13 May 2027 [VERIFY: any acceleration]</w:t>
            </w:r>
          </w:p>
        </w:tc>
        <w:tc>
          <w:tcPr>
            <w:tcW w:w="1361" w:type="dxa"/>
          </w:tcPr>
          <w:p>
            <w:pPr>
              <w:pStyle w:val="Compact"/>
              <w:spacing w:after="40"/>
              <w:jc w:val="left"/>
            </w:pPr>
            <w:r>
              <w:rPr>
                <w:sz w:val="18"/>
              </w:rPr>
              <w:t xml:space="preserve">F 7B–7L; U 7B–7H</w:t>
            </w:r>
          </w:p>
        </w:tc>
      </w:tr>
      <w:tr>
        <w:tc>
          <w:tcPr>
            <w:tcW w:w="692" w:type="dxa"/>
          </w:tcPr>
          <w:p>
            <w:pPr>
              <w:pStyle w:val="Compact"/>
              <w:spacing w:after="40"/>
              <w:jc w:val="left"/>
            </w:pPr>
            <w:r>
              <w:rPr>
                <w:rStyle w:val="VerbatimChar"/>
                <w:sz w:val="18"/>
              </w:rPr>
              <w:t xml:space="preserve">TRAI</w:t>
            </w:r>
          </w:p>
        </w:tc>
        <w:tc>
          <w:tcPr>
            <w:tcW w:w="3096" w:type="dxa"/>
          </w:tcPr>
          <w:p>
            <w:pPr>
              <w:pStyle w:val="Compact"/>
              <w:spacing w:after="40"/>
              <w:jc w:val="left"/>
            </w:pPr>
            <w:r>
              <w:rPr>
                <w:sz w:val="18"/>
              </w:rPr>
              <w:t xml:space="preserve">Telecom Commercial Communications Customer Preference Regulations, 2018 (as amended 12 Feb 2025); TRAI Direction of 19 Nov 2025 (1600-series for service and transactional calls); Direction of 16 Dec 2025; clarification of 10 Jul 2026</w:t>
            </w:r>
          </w:p>
        </w:tc>
        <w:tc>
          <w:tcPr>
            <w:tcW w:w="1844" w:type="dxa"/>
          </w:tcPr>
          <w:p>
            <w:pPr>
              <w:pStyle w:val="Compact"/>
              <w:spacing w:after="40"/>
              <w:jc w:val="left"/>
            </w:pPr>
            <w:r>
              <w:rPr>
                <w:sz w:val="18"/>
              </w:rPr>
              <w:t xml:space="preserve">TRAI</w:t>
            </w:r>
          </w:p>
        </w:tc>
        <w:tc>
          <w:tcPr>
            <w:tcW w:w="2645" w:type="dxa"/>
          </w:tcPr>
          <w:p>
            <w:pPr>
              <w:pStyle w:val="Compact"/>
              <w:spacing w:after="40"/>
              <w:jc w:val="left"/>
            </w:pPr>
            <w:r>
              <w:rPr>
                <w:sz w:val="18"/>
              </w:rPr>
              <w:t xml:space="preserve">In force; NBFC deadlines 1 Feb 2026 (above ₹5,000 crore) and 1 Mar 2026 (others and co-operative banks); 140-series for promotions</w:t>
            </w:r>
          </w:p>
        </w:tc>
        <w:tc>
          <w:tcPr>
            <w:tcW w:w="1361" w:type="dxa"/>
          </w:tcPr>
          <w:p>
            <w:pPr>
              <w:pStyle w:val="Compact"/>
              <w:spacing w:after="40"/>
              <w:jc w:val="left"/>
            </w:pPr>
            <w:r>
              <w:rPr>
                <w:sz w:val="18"/>
              </w:rPr>
              <w:t xml:space="preserve">F M18, 7B, 7C, 7G, 7L (EO6); U 7B, 7E, 7F, 7H (RA5)</w:t>
            </w:r>
          </w:p>
        </w:tc>
      </w:tr>
      <w:tr>
        <w:tc>
          <w:tcPr>
            <w:tcW w:w="692" w:type="dxa"/>
          </w:tcPr>
          <w:p>
            <w:pPr>
              <w:pStyle w:val="Compact"/>
              <w:spacing w:after="40"/>
              <w:jc w:val="left"/>
            </w:pPr>
            <w:r>
              <w:rPr>
                <w:rStyle w:val="VerbatimChar"/>
                <w:sz w:val="18"/>
              </w:rPr>
              <w:t xml:space="preserve">CERTIN</w:t>
            </w:r>
          </w:p>
        </w:tc>
        <w:tc>
          <w:tcPr>
            <w:tcW w:w="3096" w:type="dxa"/>
          </w:tcPr>
          <w:p>
            <w:pPr>
              <w:pStyle w:val="Compact"/>
              <w:spacing w:after="40"/>
              <w:jc w:val="left"/>
            </w:pPr>
            <w:r>
              <w:rPr>
                <w:sz w:val="18"/>
              </w:rPr>
              <w:t xml:space="preserve">CERT-In Directions under IT Act s.70B(6)</w:t>
            </w:r>
          </w:p>
        </w:tc>
        <w:tc>
          <w:tcPr>
            <w:tcW w:w="1844" w:type="dxa"/>
          </w:tcPr>
          <w:p>
            <w:pPr>
              <w:pStyle w:val="Compact"/>
              <w:spacing w:after="40"/>
              <w:jc w:val="left"/>
            </w:pPr>
            <w:r>
              <w:rPr>
                <w:sz w:val="18"/>
              </w:rPr>
              <w:t xml:space="preserve">CERT-In (MeitY); 28 Apr 2022</w:t>
            </w:r>
          </w:p>
        </w:tc>
        <w:tc>
          <w:tcPr>
            <w:tcW w:w="2645" w:type="dxa"/>
          </w:tcPr>
          <w:p>
            <w:pPr>
              <w:pStyle w:val="Compact"/>
              <w:spacing w:after="40"/>
              <w:jc w:val="left"/>
            </w:pPr>
            <w:r>
              <w:rPr>
                <w:sz w:val="18"/>
              </w:rPr>
              <w:t xml:space="preserve">In force: incident reporting within 6 hours; ICT logs kept for 180 days within India</w:t>
            </w:r>
          </w:p>
        </w:tc>
        <w:tc>
          <w:tcPr>
            <w:tcW w:w="1361" w:type="dxa"/>
          </w:tcPr>
          <w:p>
            <w:pPr>
              <w:pStyle w:val="Compact"/>
              <w:spacing w:after="40"/>
              <w:jc w:val="left"/>
            </w:pPr>
            <w:r>
              <w:rPr>
                <w:sz w:val="18"/>
              </w:rPr>
              <w:t xml:space="preserve">F 7B, 7F, 7L; U 7B, 7H</w:t>
            </w:r>
          </w:p>
        </w:tc>
      </w:tr>
      <w:tr>
        <w:tc>
          <w:tcPr>
            <w:tcW w:w="692" w:type="dxa"/>
          </w:tcPr>
          <w:p>
            <w:pPr>
              <w:pStyle w:val="Compact"/>
              <w:spacing w:after="40"/>
              <w:jc w:val="left"/>
            </w:pPr>
            <w:r>
              <w:rPr>
                <w:rStyle w:val="VerbatimChar"/>
                <w:sz w:val="18"/>
              </w:rPr>
              <w:t xml:space="preserve">IRDAI</w:t>
            </w:r>
          </w:p>
        </w:tc>
        <w:tc>
          <w:tcPr>
            <w:tcW w:w="3096" w:type="dxa"/>
          </w:tcPr>
          <w:p>
            <w:pPr>
              <w:pStyle w:val="Compact"/>
              <w:spacing w:after="40"/>
              <w:jc w:val="left"/>
            </w:pPr>
            <w:r>
              <w:rPr>
                <w:sz w:val="18"/>
              </w:rPr>
              <w:t xml:space="preserve">Insurance Act, 1938; IRDAI (Insurance Intermediaries) (Amendment) Regulations, 2026; corporate-agent and point-of-sales rules</w:t>
            </w:r>
          </w:p>
        </w:tc>
        <w:tc>
          <w:tcPr>
            <w:tcW w:w="1844" w:type="dxa"/>
          </w:tcPr>
          <w:p>
            <w:pPr>
              <w:pStyle w:val="Compact"/>
              <w:spacing w:after="40"/>
              <w:jc w:val="left"/>
            </w:pPr>
            <w:r>
              <w:rPr>
                <w:sz w:val="18"/>
              </w:rPr>
              <w:t xml:space="preserve">IRDAI; amendment notified 30 Jul 2026 (F. No. IRDAI/Reg/8/222/2026)</w:t>
            </w:r>
          </w:p>
        </w:tc>
        <w:tc>
          <w:tcPr>
            <w:tcW w:w="2645" w:type="dxa"/>
          </w:tcPr>
          <w:p>
            <w:pPr>
              <w:pStyle w:val="Compact"/>
              <w:spacing w:after="40"/>
              <w:jc w:val="left"/>
            </w:pPr>
            <w:r>
              <w:rPr>
                <w:sz w:val="18"/>
              </w:rPr>
              <w:t xml:space="preserve">In force; corporate agents may tie up with up to 9 insurers per line [VERIFY: current regulation numbers]</w:t>
            </w:r>
          </w:p>
        </w:tc>
        <w:tc>
          <w:tcPr>
            <w:tcW w:w="1361" w:type="dxa"/>
          </w:tcPr>
          <w:p>
            <w:pPr>
              <w:pStyle w:val="Compact"/>
              <w:spacing w:after="40"/>
              <w:jc w:val="left"/>
            </w:pPr>
            <w:r>
              <w:rPr>
                <w:sz w:val="18"/>
              </w:rPr>
              <w:t xml:space="preserve">U 7C, 7D, 7F (XP2), 7G, 7H</w:t>
            </w:r>
          </w:p>
        </w:tc>
      </w:tr>
      <w:tr>
        <w:tc>
          <w:tcPr>
            <w:tcW w:w="692" w:type="dxa"/>
          </w:tcPr>
          <w:p>
            <w:pPr>
              <w:pStyle w:val="Compact"/>
              <w:spacing w:after="40"/>
              <w:jc w:val="left"/>
            </w:pPr>
            <w:r>
              <w:rPr>
                <w:rStyle w:val="VerbatimChar"/>
                <w:sz w:val="18"/>
              </w:rPr>
              <w:t xml:space="preserve">PMLA</w:t>
            </w:r>
          </w:p>
        </w:tc>
        <w:tc>
          <w:tcPr>
            <w:tcW w:w="3096" w:type="dxa"/>
          </w:tcPr>
          <w:p>
            <w:pPr>
              <w:pStyle w:val="Compact"/>
              <w:spacing w:after="40"/>
              <w:jc w:val="left"/>
            </w:pPr>
            <w:r>
              <w:rPr>
                <w:sz w:val="18"/>
              </w:rPr>
              <w:t xml:space="preserve">Prevention of Money-laundering Act, 2002; PML (Maintenance of Records) Rules, 2005</w:t>
            </w:r>
          </w:p>
        </w:tc>
        <w:tc>
          <w:tcPr>
            <w:tcW w:w="1844" w:type="dxa"/>
          </w:tcPr>
          <w:p>
            <w:pPr>
              <w:pStyle w:val="Compact"/>
              <w:spacing w:after="40"/>
              <w:jc w:val="left"/>
            </w:pPr>
            <w:r>
              <w:rPr>
                <w:sz w:val="18"/>
              </w:rPr>
              <w:t xml:space="preserve">Parliament; FIU-IND</w:t>
            </w:r>
          </w:p>
        </w:tc>
        <w:tc>
          <w:tcPr>
            <w:tcW w:w="2645" w:type="dxa"/>
          </w:tcPr>
          <w:p>
            <w:pPr>
              <w:pStyle w:val="Compact"/>
              <w:spacing w:after="40"/>
              <w:jc w:val="left"/>
            </w:pPr>
            <w:r>
              <w:rPr>
                <w:sz w:val="18"/>
              </w:rPr>
              <w:t xml:space="preserve">In force; FINGate 2.0 reporting [VERIFY: r.8 timelines]</w:t>
            </w:r>
          </w:p>
        </w:tc>
        <w:tc>
          <w:tcPr>
            <w:tcW w:w="1361" w:type="dxa"/>
          </w:tcPr>
          <w:p>
            <w:pPr>
              <w:pStyle w:val="Compact"/>
              <w:spacing w:after="40"/>
              <w:jc w:val="left"/>
            </w:pPr>
            <w:r>
              <w:rPr>
                <w:sz w:val="18"/>
              </w:rPr>
              <w:t xml:space="preserve">F 7B (RR4.6), 7D, 7F, 7G, 7H; U 7B, 7C, 7E</w:t>
            </w:r>
          </w:p>
        </w:tc>
      </w:tr>
      <w:tr>
        <w:tc>
          <w:tcPr>
            <w:tcW w:w="692" w:type="dxa"/>
          </w:tcPr>
          <w:p>
            <w:pPr>
              <w:pStyle w:val="Compact"/>
              <w:spacing w:after="40"/>
              <w:jc w:val="left"/>
            </w:pPr>
            <w:r>
              <w:rPr>
                <w:rStyle w:val="VerbatimChar"/>
                <w:sz w:val="18"/>
              </w:rPr>
              <w:t xml:space="preserve">SARFAESI</w:t>
            </w:r>
          </w:p>
        </w:tc>
        <w:tc>
          <w:tcPr>
            <w:tcW w:w="3096" w:type="dxa"/>
          </w:tcPr>
          <w:p>
            <w:pPr>
              <w:pStyle w:val="Compact"/>
              <w:spacing w:after="40"/>
              <w:jc w:val="left"/>
            </w:pPr>
            <w:r>
              <w:rPr>
                <w:sz w:val="18"/>
              </w:rPr>
              <w:t xml:space="preserve">SARFAESI Act, 2002; Security Interest (Enforcement) Rules, 2002; Central Registry Rules, 2011</w:t>
            </w:r>
          </w:p>
        </w:tc>
        <w:tc>
          <w:tcPr>
            <w:tcW w:w="1844" w:type="dxa"/>
          </w:tcPr>
          <w:p>
            <w:pPr>
              <w:pStyle w:val="Compact"/>
              <w:spacing w:after="40"/>
              <w:jc w:val="left"/>
            </w:pPr>
            <w:r>
              <w:rPr>
                <w:sz w:val="18"/>
              </w:rPr>
              <w:t xml:space="preserve">Parliament; Ministry of Finance</w:t>
            </w:r>
          </w:p>
        </w:tc>
        <w:tc>
          <w:tcPr>
            <w:tcW w:w="2645" w:type="dxa"/>
          </w:tcPr>
          <w:p>
            <w:pPr>
              <w:pStyle w:val="Compact"/>
              <w:spacing w:after="40"/>
              <w:jc w:val="left"/>
            </w:pPr>
            <w:r>
              <w:rPr>
                <w:sz w:val="18"/>
              </w:rPr>
              <w:t xml:space="preserve">In force (NBFC threshold per S.O. 652(E), 12 Feb 2021; Part 7A R4)</w:t>
            </w:r>
          </w:p>
        </w:tc>
        <w:tc>
          <w:tcPr>
            <w:tcW w:w="1361" w:type="dxa"/>
          </w:tcPr>
          <w:p>
            <w:pPr>
              <w:pStyle w:val="Compact"/>
              <w:spacing w:after="40"/>
              <w:jc w:val="left"/>
            </w:pPr>
            <w:r>
              <w:rPr>
                <w:sz w:val="18"/>
              </w:rPr>
              <w:t xml:space="preserve">F 7B (RR4.8), 7D, 7G (IP5), 7H (IV4.5)</w:t>
            </w:r>
          </w:p>
        </w:tc>
      </w:tr>
      <w:tr>
        <w:tc>
          <w:tcPr>
            <w:tcW w:w="692" w:type="dxa"/>
          </w:tcPr>
          <w:p>
            <w:pPr>
              <w:pStyle w:val="Compact"/>
              <w:spacing w:after="40"/>
              <w:jc w:val="left"/>
            </w:pPr>
            <w:r>
              <w:rPr>
                <w:rStyle w:val="VerbatimChar"/>
                <w:sz w:val="18"/>
              </w:rPr>
              <w:t xml:space="preserve">BUDS</w:t>
            </w:r>
          </w:p>
        </w:tc>
        <w:tc>
          <w:tcPr>
            <w:tcW w:w="3096" w:type="dxa"/>
          </w:tcPr>
          <w:p>
            <w:pPr>
              <w:pStyle w:val="Compact"/>
              <w:spacing w:after="40"/>
              <w:jc w:val="left"/>
            </w:pPr>
            <w:r>
              <w:rPr>
                <w:sz w:val="18"/>
              </w:rPr>
              <w:t xml:space="preserve">Banning of Unregulated Deposit Schemes Act, 2019 (Act 21 of 2019)</w:t>
            </w:r>
          </w:p>
        </w:tc>
        <w:tc>
          <w:tcPr>
            <w:tcW w:w="1844" w:type="dxa"/>
          </w:tcPr>
          <w:p>
            <w:pPr>
              <w:pStyle w:val="Compact"/>
              <w:spacing w:after="40"/>
              <w:jc w:val="left"/>
            </w:pPr>
            <w:r>
              <w:rPr>
                <w:sz w:val="18"/>
              </w:rPr>
              <w:t xml:space="preserve">Parliament</w:t>
            </w:r>
          </w:p>
        </w:tc>
        <w:tc>
          <w:tcPr>
            <w:tcW w:w="2645" w:type="dxa"/>
          </w:tcPr>
          <w:p>
            <w:pPr>
              <w:pStyle w:val="Compact"/>
              <w:spacing w:after="40"/>
              <w:jc w:val="left"/>
            </w:pPr>
            <w:r>
              <w:rPr>
                <w:sz w:val="18"/>
              </w:rPr>
              <w:t xml:space="preserve">In force</w:t>
            </w:r>
          </w:p>
        </w:tc>
        <w:tc>
          <w:tcPr>
            <w:tcW w:w="1361" w:type="dxa"/>
          </w:tcPr>
          <w:p>
            <w:pPr>
              <w:pStyle w:val="Compact"/>
              <w:spacing w:after="40"/>
              <w:jc w:val="left"/>
            </w:pPr>
            <w:r>
              <w:rPr>
                <w:sz w:val="18"/>
              </w:rPr>
              <w:t xml:space="preserve">F 7G (IP1.6, IP2.1); U 7B, 7C, 7E, 7F</w:t>
            </w:r>
          </w:p>
        </w:tc>
      </w:tr>
      <w:tr>
        <w:tc>
          <w:tcPr>
            <w:tcW w:w="692" w:type="dxa"/>
          </w:tcPr>
          <w:p>
            <w:pPr>
              <w:pStyle w:val="Compact"/>
              <w:spacing w:after="40"/>
              <w:jc w:val="left"/>
            </w:pPr>
            <w:r>
              <w:rPr>
                <w:rStyle w:val="VerbatimChar"/>
                <w:sz w:val="18"/>
              </w:rPr>
              <w:t xml:space="preserve">NABARD</w:t>
            </w:r>
          </w:p>
        </w:tc>
        <w:tc>
          <w:tcPr>
            <w:tcW w:w="3096" w:type="dxa"/>
          </w:tcPr>
          <w:p>
            <w:pPr>
              <w:pStyle w:val="Compact"/>
              <w:spacing w:after="40"/>
              <w:jc w:val="left"/>
            </w:pPr>
            <w:r>
              <w:rPr>
                <w:sz w:val="18"/>
              </w:rPr>
              <w:t xml:space="preserve">NABARD Act, 1981; Banking Regulation Act s.35(6) inspection of StCBs and DCCBs; NABARD supervisory instructions and ENSURE returns</w:t>
            </w:r>
          </w:p>
        </w:tc>
        <w:tc>
          <w:tcPr>
            <w:tcW w:w="1844" w:type="dxa"/>
          </w:tcPr>
          <w:p>
            <w:pPr>
              <w:pStyle w:val="Compact"/>
              <w:spacing w:after="40"/>
              <w:jc w:val="left"/>
            </w:pPr>
            <w:r>
              <w:rPr>
                <w:sz w:val="18"/>
              </w:rPr>
              <w:t xml:space="preserve">NABARD</w:t>
            </w:r>
          </w:p>
        </w:tc>
        <w:tc>
          <w:tcPr>
            <w:tcW w:w="2645" w:type="dxa"/>
          </w:tcPr>
          <w:p>
            <w:pPr>
              <w:pStyle w:val="Compact"/>
              <w:spacing w:after="40"/>
              <w:jc w:val="left"/>
            </w:pPr>
            <w:r>
              <w:rPr>
                <w:sz w:val="18"/>
              </w:rPr>
              <w:t xml:space="preserve">In force [VERIFY: current ENSURE return list and formats]</w:t>
            </w:r>
          </w:p>
        </w:tc>
        <w:tc>
          <w:tcPr>
            <w:tcW w:w="1361" w:type="dxa"/>
          </w:tcPr>
          <w:p>
            <w:pPr>
              <w:pStyle w:val="Compact"/>
              <w:spacing w:after="40"/>
              <w:jc w:val="left"/>
            </w:pPr>
            <w:r>
              <w:rPr>
                <w:sz w:val="18"/>
              </w:rPr>
              <w:t xml:space="preserve">F 7B (RR4.4), 7C, 7D, 7E, 7G (IP3), 7H; U 7E</w:t>
            </w:r>
          </w:p>
        </w:tc>
      </w:tr>
      <w:tr>
        <w:tc>
          <w:tcPr>
            <w:tcW w:w="692" w:type="dxa"/>
          </w:tcPr>
          <w:p>
            <w:pPr>
              <w:pStyle w:val="Compact"/>
              <w:spacing w:after="40"/>
              <w:jc w:val="left"/>
            </w:pPr>
            <w:r>
              <w:rPr>
                <w:rStyle w:val="VerbatimChar"/>
                <w:sz w:val="18"/>
              </w:rPr>
              <w:t xml:space="preserve">SRO-MFIN</w:t>
            </w:r>
            <w:r>
              <w:rPr>
                <w:sz w:val="18"/>
              </w:rPr>
              <w:t xml:space="preserve"> </w:t>
            </w:r>
            <w:r>
              <w:rPr>
                <w:sz w:val="18"/>
              </w:rPr>
              <w:t xml:space="preserve">(also</w:t>
            </w:r>
            <w:r>
              <w:rPr>
                <w:sz w:val="18"/>
              </w:rPr>
              <w:t xml:space="preserve"> </w:t>
            </w:r>
            <w:r>
              <w:rPr>
                <w:rStyle w:val="VerbatimChar"/>
                <w:sz w:val="18"/>
              </w:rPr>
              <w:t xml:space="preserve">MFIN</w:t>
            </w:r>
            <w:r>
              <w:rPr>
                <w:sz w:val="18"/>
              </w:rPr>
              <w:t xml:space="preserve">)</w:t>
            </w:r>
          </w:p>
        </w:tc>
        <w:tc>
          <w:tcPr>
            <w:tcW w:w="3096" w:type="dxa"/>
          </w:tcPr>
          <w:p>
            <w:pPr>
              <w:pStyle w:val="Compact"/>
              <w:spacing w:after="40"/>
              <w:jc w:val="left"/>
            </w:pPr>
            <w:r>
              <w:rPr>
                <w:sz w:val="18"/>
              </w:rPr>
              <w:t xml:space="preserve">MFIN Guardrails 2.0 (Directive #14, 25 Nov 2024); Compendium of MFIN Directives and Advisories (Jan 2025)</w:t>
            </w:r>
          </w:p>
        </w:tc>
        <w:tc>
          <w:tcPr>
            <w:tcW w:w="1844" w:type="dxa"/>
          </w:tcPr>
          <w:p>
            <w:pPr>
              <w:pStyle w:val="Compact"/>
              <w:spacing w:after="40"/>
              <w:jc w:val="left"/>
            </w:pPr>
            <w:r>
              <w:rPr>
                <w:sz w:val="18"/>
              </w:rPr>
              <w:t xml:space="preserve">Microfinance Industry Network (RBI-recognised SRO)</w:t>
            </w:r>
          </w:p>
        </w:tc>
        <w:tc>
          <w:tcPr>
            <w:tcW w:w="2645" w:type="dxa"/>
          </w:tcPr>
          <w:p>
            <w:pPr>
              <w:pStyle w:val="Compact"/>
              <w:spacing w:after="40"/>
              <w:jc w:val="left"/>
            </w:pPr>
            <w:r>
              <w:rPr>
                <w:sz w:val="18"/>
              </w:rPr>
              <w:t xml:space="preserve">Current (CARE Ratings, Aug 2026); binding on MFIN members through membership</w:t>
            </w:r>
          </w:p>
        </w:tc>
        <w:tc>
          <w:tcPr>
            <w:tcW w:w="1361" w:type="dxa"/>
          </w:tcPr>
          <w:p>
            <w:pPr>
              <w:pStyle w:val="Compact"/>
              <w:spacing w:after="40"/>
              <w:jc w:val="left"/>
            </w:pPr>
            <w:r>
              <w:rPr>
                <w:sz w:val="18"/>
              </w:rPr>
              <w:t xml:space="preserve">F 7B (RR6), 7G (IP4.3); U 7E, 7F</w:t>
            </w:r>
          </w:p>
        </w:tc>
      </w:tr>
      <w:tr>
        <w:tc>
          <w:tcPr>
            <w:tcW w:w="692" w:type="dxa"/>
          </w:tcPr>
          <w:p>
            <w:pPr>
              <w:pStyle w:val="Compact"/>
              <w:spacing w:after="40"/>
              <w:jc w:val="left"/>
            </w:pPr>
            <w:r>
              <w:rPr>
                <w:rStyle w:val="VerbatimChar"/>
                <w:sz w:val="18"/>
              </w:rPr>
              <w:t xml:space="preserve">KA15</w:t>
            </w:r>
          </w:p>
        </w:tc>
        <w:tc>
          <w:tcPr>
            <w:tcW w:w="3096" w:type="dxa"/>
          </w:tcPr>
          <w:p>
            <w:pPr>
              <w:pStyle w:val="Compact"/>
              <w:spacing w:after="40"/>
              <w:jc w:val="left"/>
            </w:pPr>
            <w:r>
              <w:rPr>
                <w:sz w:val="18"/>
              </w:rPr>
              <w:t xml:space="preserve">Karnataka Act 15 of 2025 on coercive recovery of micro and small loans [VERIFY: short title]</w:t>
            </w:r>
          </w:p>
        </w:tc>
        <w:tc>
          <w:tcPr>
            <w:tcW w:w="1844" w:type="dxa"/>
          </w:tcPr>
          <w:p>
            <w:pPr>
              <w:pStyle w:val="Compact"/>
              <w:spacing w:after="40"/>
              <w:jc w:val="left"/>
            </w:pPr>
            <w:r>
              <w:rPr>
                <w:sz w:val="18"/>
              </w:rPr>
              <w:t xml:space="preserve">Karnataka Legislature</w:t>
            </w:r>
          </w:p>
        </w:tc>
        <w:tc>
          <w:tcPr>
            <w:tcW w:w="2645" w:type="dxa"/>
          </w:tcPr>
          <w:p>
            <w:pPr>
              <w:pStyle w:val="Compact"/>
              <w:spacing w:after="40"/>
              <w:jc w:val="left"/>
            </w:pPr>
            <w:r>
              <w:rPr>
                <w:sz w:val="18"/>
              </w:rPr>
              <w:t xml:space="preserve">In force 12 Feb 2025; banks, NBFCs, co-operative banks and KCS/Souharda societies exempt from registration</w:t>
            </w:r>
          </w:p>
        </w:tc>
        <w:tc>
          <w:tcPr>
            <w:tcW w:w="1361" w:type="dxa"/>
          </w:tcPr>
          <w:p>
            <w:pPr>
              <w:pStyle w:val="Compact"/>
              <w:spacing w:after="40"/>
              <w:jc w:val="left"/>
            </w:pPr>
            <w:r>
              <w:rPr>
                <w:sz w:val="18"/>
              </w:rPr>
              <w:t xml:space="preserve">F 7G (IP2.12, IP4.8); U 7E</w:t>
            </w:r>
          </w:p>
        </w:tc>
      </w:tr>
      <w:tr>
        <w:tc>
          <w:tcPr>
            <w:tcW w:w="692" w:type="dxa"/>
          </w:tcPr>
          <w:p>
            <w:pPr>
              <w:pStyle w:val="Compact"/>
              <w:spacing w:after="40"/>
              <w:jc w:val="left"/>
            </w:pPr>
            <w:r>
              <w:rPr>
                <w:rStyle w:val="VerbatimChar"/>
                <w:sz w:val="18"/>
              </w:rPr>
              <w:t xml:space="preserve">TN40</w:t>
            </w:r>
          </w:p>
        </w:tc>
        <w:tc>
          <w:tcPr>
            <w:tcW w:w="3096" w:type="dxa"/>
          </w:tcPr>
          <w:p>
            <w:pPr>
              <w:pStyle w:val="Compact"/>
              <w:spacing w:after="40"/>
              <w:jc w:val="left"/>
            </w:pPr>
            <w:r>
              <w:rPr>
                <w:sz w:val="18"/>
              </w:rPr>
              <w:t xml:space="preserve">Tamil Nadu Act 40 of 2025 on coercive actions by money-lending entities [VERIFY: short title]</w:t>
            </w:r>
          </w:p>
        </w:tc>
        <w:tc>
          <w:tcPr>
            <w:tcW w:w="1844" w:type="dxa"/>
          </w:tcPr>
          <w:p>
            <w:pPr>
              <w:pStyle w:val="Compact"/>
              <w:spacing w:after="40"/>
              <w:jc w:val="left"/>
            </w:pPr>
            <w:r>
              <w:rPr>
                <w:sz w:val="18"/>
              </w:rPr>
              <w:t xml:space="preserve">Tamil Nadu Legislature</w:t>
            </w:r>
          </w:p>
        </w:tc>
        <w:tc>
          <w:tcPr>
            <w:tcW w:w="2645" w:type="dxa"/>
          </w:tcPr>
          <w:p>
            <w:pPr>
              <w:pStyle w:val="Compact"/>
              <w:spacing w:after="40"/>
              <w:jc w:val="left"/>
            </w:pPr>
            <w:r>
              <w:rPr>
                <w:sz w:val="18"/>
              </w:rPr>
              <w:t xml:space="preserve">Assent 9 Jun 2025; REs and co-operative societies exempt from registration, but the s.20 coercion provisions apply to them</w:t>
            </w:r>
          </w:p>
        </w:tc>
        <w:tc>
          <w:tcPr>
            <w:tcW w:w="1361" w:type="dxa"/>
          </w:tcPr>
          <w:p>
            <w:pPr>
              <w:pStyle w:val="Compact"/>
              <w:spacing w:after="40"/>
              <w:jc w:val="left"/>
            </w:pPr>
            <w:r>
              <w:rPr>
                <w:sz w:val="18"/>
              </w:rPr>
              <w:t xml:space="preserve">F 7G (IP2.12, IP4.8); U 7E</w:t>
            </w:r>
          </w:p>
        </w:tc>
      </w:tr>
      <w:tr>
        <w:tc>
          <w:tcPr>
            <w:tcW w:w="692" w:type="dxa"/>
          </w:tcPr>
          <w:p>
            <w:pPr>
              <w:pStyle w:val="Compact"/>
              <w:spacing w:after="40"/>
              <w:jc w:val="left"/>
            </w:pPr>
            <w:r>
              <w:rPr>
                <w:rStyle w:val="VerbatimChar"/>
                <w:sz w:val="18"/>
              </w:rPr>
              <w:t xml:space="preserve">FEMA</w:t>
            </w:r>
          </w:p>
        </w:tc>
        <w:tc>
          <w:tcPr>
            <w:tcW w:w="3096" w:type="dxa"/>
          </w:tcPr>
          <w:p>
            <w:pPr>
              <w:pStyle w:val="Compact"/>
              <w:spacing w:after="40"/>
              <w:jc w:val="left"/>
            </w:pPr>
            <w:r>
              <w:rPr>
                <w:sz w:val="18"/>
              </w:rPr>
              <w:t xml:space="preserve">Foreign Exchange Management Act, 1999 and regulations (ECB, overseas investment, FIRMS reporting)</w:t>
            </w:r>
          </w:p>
        </w:tc>
        <w:tc>
          <w:tcPr>
            <w:tcW w:w="1844" w:type="dxa"/>
          </w:tcPr>
          <w:p>
            <w:pPr>
              <w:pStyle w:val="Compact"/>
              <w:spacing w:after="40"/>
              <w:jc w:val="left"/>
            </w:pPr>
            <w:r>
              <w:rPr>
                <w:sz w:val="18"/>
              </w:rPr>
              <w:t xml:space="preserve">Parliament; RBI</w:t>
            </w:r>
          </w:p>
        </w:tc>
        <w:tc>
          <w:tcPr>
            <w:tcW w:w="2645" w:type="dxa"/>
          </w:tcPr>
          <w:p>
            <w:pPr>
              <w:pStyle w:val="Compact"/>
              <w:spacing w:after="40"/>
              <w:jc w:val="left"/>
            </w:pPr>
            <w:r>
              <w:rPr>
                <w:sz w:val="18"/>
              </w:rPr>
              <w:t xml:space="preserve">In force</w:t>
            </w:r>
          </w:p>
        </w:tc>
        <w:tc>
          <w:tcPr>
            <w:tcW w:w="1361" w:type="dxa"/>
          </w:tcPr>
          <w:p>
            <w:pPr>
              <w:pStyle w:val="Compact"/>
              <w:spacing w:after="40"/>
              <w:jc w:val="left"/>
            </w:pPr>
            <w:r>
              <w:rPr>
                <w:sz w:val="18"/>
              </w:rPr>
              <w:t xml:space="preserve">F 7B, 7D, 7G (IP6), 7H</w:t>
            </w:r>
          </w:p>
        </w:tc>
      </w:tr>
      <w:tr>
        <w:tc>
          <w:tcPr>
            <w:tcW w:w="692" w:type="dxa"/>
          </w:tcPr>
          <w:p>
            <w:pPr>
              <w:pStyle w:val="Compact"/>
              <w:spacing w:after="40"/>
              <w:jc w:val="left"/>
            </w:pPr>
            <w:r>
              <w:rPr>
                <w:rStyle w:val="VerbatimChar"/>
                <w:sz w:val="18"/>
              </w:rPr>
              <w:t xml:space="preserve">CCPA</w:t>
            </w:r>
          </w:p>
        </w:tc>
        <w:tc>
          <w:tcPr>
            <w:tcW w:w="3096" w:type="dxa"/>
          </w:tcPr>
          <w:p>
            <w:pPr>
              <w:pStyle w:val="Compact"/>
              <w:spacing w:after="40"/>
              <w:jc w:val="left"/>
            </w:pPr>
            <w:r>
              <w:rPr>
                <w:sz w:val="18"/>
              </w:rPr>
              <w:t xml:space="preserve">Guidelines for Prevention and Regulation of Dark Patterns, 2023; Guidelines for Prevention of Misleading Advertisements, 2022</w:t>
            </w:r>
          </w:p>
        </w:tc>
        <w:tc>
          <w:tcPr>
            <w:tcW w:w="1844" w:type="dxa"/>
          </w:tcPr>
          <w:p>
            <w:pPr>
              <w:pStyle w:val="Compact"/>
              <w:spacing w:after="40"/>
              <w:jc w:val="left"/>
            </w:pPr>
            <w:r>
              <w:rPr>
                <w:sz w:val="18"/>
              </w:rPr>
              <w:t xml:space="preserve">Central Consumer Protection Authority</w:t>
            </w:r>
          </w:p>
        </w:tc>
        <w:tc>
          <w:tcPr>
            <w:tcW w:w="2645" w:type="dxa"/>
          </w:tcPr>
          <w:p>
            <w:pPr>
              <w:pStyle w:val="Compact"/>
              <w:spacing w:after="40"/>
              <w:jc w:val="left"/>
            </w:pPr>
            <w:r>
              <w:rPr>
                <w:sz w:val="18"/>
              </w:rPr>
              <w:t xml:space="preserve">In force</w:t>
            </w:r>
          </w:p>
        </w:tc>
        <w:tc>
          <w:tcPr>
            <w:tcW w:w="1361" w:type="dxa"/>
          </w:tcPr>
          <w:p>
            <w:pPr>
              <w:pStyle w:val="Compact"/>
              <w:spacing w:after="40"/>
              <w:jc w:val="left"/>
            </w:pPr>
            <w:r>
              <w:rPr>
                <w:sz w:val="18"/>
              </w:rPr>
              <w:t xml:space="preserve">F 7K (CM2.3, CM5.4); U 7B, 7D, 7F, 7G (RV4), 7H</w:t>
            </w:r>
          </w:p>
        </w:tc>
      </w:tr>
      <w:tr>
        <w:tc>
          <w:tcPr>
            <w:tcW w:w="692" w:type="dxa"/>
          </w:tcPr>
          <w:p>
            <w:pPr>
              <w:pStyle w:val="Compact"/>
              <w:spacing w:after="40"/>
              <w:jc w:val="left"/>
            </w:pPr>
            <w:r>
              <w:rPr>
                <w:rStyle w:val="VerbatimChar"/>
                <w:sz w:val="18"/>
              </w:rPr>
              <w:t xml:space="preserve">CPA19</w:t>
            </w:r>
          </w:p>
        </w:tc>
        <w:tc>
          <w:tcPr>
            <w:tcW w:w="3096" w:type="dxa"/>
          </w:tcPr>
          <w:p>
            <w:pPr>
              <w:pStyle w:val="Compact"/>
              <w:spacing w:after="40"/>
              <w:jc w:val="left"/>
            </w:pPr>
            <w:r>
              <w:rPr>
                <w:sz w:val="18"/>
              </w:rPr>
              <w:t xml:space="preserve">Consumer Protection Act, 2019 (with the E-Commerce Rules, 2020)</w:t>
            </w:r>
          </w:p>
        </w:tc>
        <w:tc>
          <w:tcPr>
            <w:tcW w:w="1844" w:type="dxa"/>
          </w:tcPr>
          <w:p>
            <w:pPr>
              <w:pStyle w:val="Compact"/>
              <w:spacing w:after="40"/>
              <w:jc w:val="left"/>
            </w:pPr>
            <w:r>
              <w:rPr>
                <w:sz w:val="18"/>
              </w:rPr>
              <w:t xml:space="preserve">Parliament</w:t>
            </w:r>
          </w:p>
        </w:tc>
        <w:tc>
          <w:tcPr>
            <w:tcW w:w="2645" w:type="dxa"/>
          </w:tcPr>
          <w:p>
            <w:pPr>
              <w:pStyle w:val="Compact"/>
              <w:spacing w:after="40"/>
              <w:jc w:val="left"/>
            </w:pPr>
            <w:r>
              <w:rPr>
                <w:sz w:val="18"/>
              </w:rPr>
              <w:t xml:space="preserve">In force</w:t>
            </w:r>
          </w:p>
        </w:tc>
        <w:tc>
          <w:tcPr>
            <w:tcW w:w="1361" w:type="dxa"/>
          </w:tcPr>
          <w:p>
            <w:pPr>
              <w:pStyle w:val="Compact"/>
              <w:spacing w:after="40"/>
              <w:jc w:val="left"/>
            </w:pPr>
            <w:r>
              <w:rPr>
                <w:sz w:val="18"/>
              </w:rPr>
              <w:t xml:space="preserve">U 7C, 7F</w:t>
            </w:r>
          </w:p>
        </w:tc>
      </w:tr>
      <w:tr>
        <w:tc>
          <w:tcPr>
            <w:tcW w:w="692" w:type="dxa"/>
          </w:tcPr>
          <w:p>
            <w:pPr>
              <w:pStyle w:val="Compact"/>
              <w:spacing w:after="40"/>
              <w:jc w:val="left"/>
            </w:pPr>
            <w:r>
              <w:rPr>
                <w:rStyle w:val="VerbatimChar"/>
                <w:sz w:val="18"/>
              </w:rPr>
              <w:t xml:space="preserve">ASCI</w:t>
            </w:r>
          </w:p>
        </w:tc>
        <w:tc>
          <w:tcPr>
            <w:tcW w:w="3096" w:type="dxa"/>
          </w:tcPr>
          <w:p>
            <w:pPr>
              <w:pStyle w:val="Compact"/>
              <w:spacing w:after="40"/>
              <w:jc w:val="left"/>
            </w:pPr>
            <w:r>
              <w:rPr>
                <w:sz w:val="18"/>
              </w:rPr>
              <w:t xml:space="preserve">ASCI Code for Self-Regulation of Advertising Content, including financial-influencer guidelines</w:t>
            </w:r>
          </w:p>
        </w:tc>
        <w:tc>
          <w:tcPr>
            <w:tcW w:w="1844" w:type="dxa"/>
          </w:tcPr>
          <w:p>
            <w:pPr>
              <w:pStyle w:val="Compact"/>
              <w:spacing w:after="40"/>
              <w:jc w:val="left"/>
            </w:pPr>
            <w:r>
              <w:rPr>
                <w:sz w:val="18"/>
              </w:rPr>
              <w:t xml:space="preserve">Advertising Standards Council of India (self-regulatory)</w:t>
            </w:r>
          </w:p>
        </w:tc>
        <w:tc>
          <w:tcPr>
            <w:tcW w:w="2645" w:type="dxa"/>
          </w:tcPr>
          <w:p>
            <w:pPr>
              <w:pStyle w:val="Compact"/>
              <w:spacing w:after="40"/>
              <w:jc w:val="left"/>
            </w:pPr>
            <w:r>
              <w:rPr>
                <w:sz w:val="18"/>
              </w:rPr>
              <w:t xml:space="preserve">In force</w:t>
            </w:r>
          </w:p>
        </w:tc>
        <w:tc>
          <w:tcPr>
            <w:tcW w:w="1361" w:type="dxa"/>
          </w:tcPr>
          <w:p>
            <w:pPr>
              <w:pStyle w:val="Compact"/>
              <w:spacing w:after="40"/>
              <w:jc w:val="left"/>
            </w:pPr>
            <w:r>
              <w:rPr>
                <w:sz w:val="18"/>
              </w:rPr>
              <w:t xml:space="preserve">F 7K; U 7G (RV4)</w:t>
            </w:r>
          </w:p>
        </w:tc>
      </w:tr>
      <w:tr>
        <w:tc>
          <w:tcPr>
            <w:tcW w:w="692" w:type="dxa"/>
          </w:tcPr>
          <w:p>
            <w:pPr>
              <w:pStyle w:val="Compact"/>
              <w:spacing w:after="40"/>
              <w:jc w:val="left"/>
            </w:pPr>
            <w:r>
              <w:rPr>
                <w:rStyle w:val="VerbatimChar"/>
                <w:sz w:val="18"/>
              </w:rPr>
              <w:t xml:space="preserve">AMFI</w:t>
            </w:r>
          </w:p>
        </w:tc>
        <w:tc>
          <w:tcPr>
            <w:tcW w:w="3096" w:type="dxa"/>
          </w:tcPr>
          <w:p>
            <w:pPr>
              <w:pStyle w:val="Compact"/>
              <w:spacing w:after="40"/>
              <w:jc w:val="left"/>
            </w:pPr>
            <w:r>
              <w:rPr>
                <w:sz w:val="18"/>
              </w:rPr>
              <w:t xml:space="preserve">AMFI half-yearly stock categorisation list and NAV publication</w:t>
            </w:r>
          </w:p>
        </w:tc>
        <w:tc>
          <w:tcPr>
            <w:tcW w:w="1844" w:type="dxa"/>
          </w:tcPr>
          <w:p>
            <w:pPr>
              <w:pStyle w:val="Compact"/>
              <w:spacing w:after="40"/>
              <w:jc w:val="left"/>
            </w:pPr>
            <w:r>
              <w:rPr>
                <w:sz w:val="18"/>
              </w:rPr>
              <w:t xml:space="preserve">Association of Mutual Funds in India</w:t>
            </w:r>
          </w:p>
        </w:tc>
        <w:tc>
          <w:tcPr>
            <w:tcW w:w="2645" w:type="dxa"/>
          </w:tcPr>
          <w:p>
            <w:pPr>
              <w:pStyle w:val="Compact"/>
              <w:spacing w:after="40"/>
              <w:jc w:val="left"/>
            </w:pPr>
            <w:r>
              <w:rPr>
                <w:sz w:val="18"/>
              </w:rPr>
              <w:t xml:space="preserve">Half-yearly list</w:t>
            </w:r>
          </w:p>
        </w:tc>
        <w:tc>
          <w:tcPr>
            <w:tcW w:w="1361" w:type="dxa"/>
          </w:tcPr>
          <w:p>
            <w:pPr>
              <w:pStyle w:val="Compact"/>
              <w:spacing w:after="40"/>
              <w:jc w:val="left"/>
            </w:pPr>
            <w:r>
              <w:rPr>
                <w:sz w:val="18"/>
              </w:rPr>
              <w:t xml:space="preserve">F 7H (IV1.4); U 7F, 7G</w:t>
            </w:r>
          </w:p>
        </w:tc>
      </w:tr>
      <w:tr>
        <w:tc>
          <w:tcPr>
            <w:tcW w:w="692" w:type="dxa"/>
          </w:tcPr>
          <w:p>
            <w:pPr>
              <w:pStyle w:val="Compact"/>
              <w:spacing w:after="40"/>
              <w:jc w:val="left"/>
            </w:pPr>
            <w:r>
              <w:rPr>
                <w:rStyle w:val="VerbatimChar"/>
                <w:sz w:val="18"/>
              </w:rPr>
              <w:t xml:space="preserve">NPCI-BBPS</w:t>
            </w:r>
          </w:p>
        </w:tc>
        <w:tc>
          <w:tcPr>
            <w:tcW w:w="3096" w:type="dxa"/>
          </w:tcPr>
          <w:p>
            <w:pPr>
              <w:pStyle w:val="Compact"/>
              <w:spacing w:after="40"/>
              <w:jc w:val="left"/>
            </w:pPr>
            <w:r>
              <w:rPr>
                <w:sz w:val="18"/>
              </w:rPr>
              <w:t xml:space="preserve">NPCI Bharat Connect (BBPS) procedural guidelines</w:t>
            </w:r>
          </w:p>
        </w:tc>
        <w:tc>
          <w:tcPr>
            <w:tcW w:w="1844" w:type="dxa"/>
          </w:tcPr>
          <w:p>
            <w:pPr>
              <w:pStyle w:val="Compact"/>
              <w:spacing w:after="40"/>
              <w:jc w:val="left"/>
            </w:pPr>
            <w:r>
              <w:rPr>
                <w:sz w:val="18"/>
              </w:rPr>
              <w:t xml:space="preserve">NPCI; RBI</w:t>
            </w:r>
          </w:p>
        </w:tc>
        <w:tc>
          <w:tcPr>
            <w:tcW w:w="2645" w:type="dxa"/>
          </w:tcPr>
          <w:p>
            <w:pPr>
              <w:pStyle w:val="Compact"/>
              <w:spacing w:after="40"/>
              <w:jc w:val="left"/>
            </w:pPr>
            <w:r>
              <w:rPr>
                <w:sz w:val="18"/>
              </w:rPr>
              <w:t xml:space="preserve">In force</w:t>
            </w:r>
          </w:p>
        </w:tc>
        <w:tc>
          <w:tcPr>
            <w:tcW w:w="1361" w:type="dxa"/>
          </w:tcPr>
          <w:p>
            <w:pPr>
              <w:pStyle w:val="Compact"/>
              <w:spacing w:after="40"/>
              <w:jc w:val="left"/>
            </w:pPr>
            <w:r>
              <w:rPr>
                <w:sz w:val="18"/>
              </w:rPr>
              <w:t xml:space="preserve">U 7F, 7G</w:t>
            </w:r>
          </w:p>
        </w:tc>
      </w:tr>
      <w:tr>
        <w:tc>
          <w:tcPr>
            <w:tcW w:w="692" w:type="dxa"/>
          </w:tcPr>
          <w:p>
            <w:pPr>
              <w:pStyle w:val="Compact"/>
              <w:spacing w:after="40"/>
              <w:jc w:val="left"/>
            </w:pPr>
            <w:r>
              <w:rPr>
                <w:rStyle w:val="VerbatimChar"/>
                <w:sz w:val="18"/>
              </w:rPr>
              <w:t xml:space="preserve">PCI</w:t>
            </w:r>
          </w:p>
        </w:tc>
        <w:tc>
          <w:tcPr>
            <w:tcW w:w="3096" w:type="dxa"/>
          </w:tcPr>
          <w:p>
            <w:pPr>
              <w:pStyle w:val="Compact"/>
              <w:spacing w:after="40"/>
              <w:jc w:val="left"/>
            </w:pPr>
            <w:r>
              <w:rPr>
                <w:sz w:val="18"/>
              </w:rPr>
              <w:t xml:space="preserve">PCI DSS v4.0.1 (SAQ A revised 31 Jan 2025)</w:t>
            </w:r>
          </w:p>
        </w:tc>
        <w:tc>
          <w:tcPr>
            <w:tcW w:w="1844" w:type="dxa"/>
          </w:tcPr>
          <w:p>
            <w:pPr>
              <w:pStyle w:val="Compact"/>
              <w:spacing w:after="40"/>
              <w:jc w:val="left"/>
            </w:pPr>
            <w:r>
              <w:rPr>
                <w:sz w:val="18"/>
              </w:rPr>
              <w:t xml:space="preserve">PCI Security Standards Council</w:t>
            </w:r>
          </w:p>
        </w:tc>
        <w:tc>
          <w:tcPr>
            <w:tcW w:w="2645" w:type="dxa"/>
          </w:tcPr>
          <w:p>
            <w:pPr>
              <w:pStyle w:val="Compact"/>
              <w:spacing w:after="40"/>
              <w:jc w:val="left"/>
            </w:pPr>
            <w:r>
              <w:rPr>
                <w:sz w:val="18"/>
              </w:rPr>
              <w:t xml:space="preserve">Current</w:t>
            </w:r>
          </w:p>
        </w:tc>
        <w:tc>
          <w:tcPr>
            <w:tcW w:w="1361" w:type="dxa"/>
          </w:tcPr>
          <w:p>
            <w:pPr>
              <w:pStyle w:val="Compact"/>
              <w:spacing w:after="40"/>
              <w:jc w:val="left"/>
            </w:pPr>
            <w:r>
              <w:rPr>
                <w:sz w:val="18"/>
              </w:rPr>
              <w:t xml:space="preserve">F 7K (CM4.3), 7L (EO5); U 7G, 7H</w:t>
            </w:r>
          </w:p>
        </w:tc>
      </w:tr>
      <w:tr>
        <w:tc>
          <w:tcPr>
            <w:tcW w:w="692" w:type="dxa"/>
          </w:tcPr>
          <w:p>
            <w:pPr>
              <w:pStyle w:val="Compact"/>
              <w:spacing w:after="40"/>
              <w:jc w:val="left"/>
            </w:pPr>
            <w:r>
              <w:rPr>
                <w:rStyle w:val="VerbatimChar"/>
                <w:sz w:val="18"/>
              </w:rPr>
              <w:t xml:space="preserve">SOC2</w:t>
            </w:r>
          </w:p>
        </w:tc>
        <w:tc>
          <w:tcPr>
            <w:tcW w:w="3096" w:type="dxa"/>
          </w:tcPr>
          <w:p>
            <w:pPr>
              <w:pStyle w:val="Compact"/>
              <w:spacing w:after="40"/>
              <w:jc w:val="left"/>
            </w:pPr>
            <w:r>
              <w:rPr>
                <w:sz w:val="18"/>
              </w:rPr>
              <w:t xml:space="preserve">AICPA Trust Services Criteria, 2017 (revised points of focus, 2022); SOC 2 Type 1 and Type 2</w:t>
            </w:r>
          </w:p>
        </w:tc>
        <w:tc>
          <w:tcPr>
            <w:tcW w:w="1844" w:type="dxa"/>
          </w:tcPr>
          <w:p>
            <w:pPr>
              <w:pStyle w:val="Compact"/>
              <w:spacing w:after="40"/>
              <w:jc w:val="left"/>
            </w:pPr>
            <w:r>
              <w:rPr>
                <w:sz w:val="18"/>
              </w:rPr>
              <w:t xml:space="preserve">AICPA</w:t>
            </w:r>
          </w:p>
        </w:tc>
        <w:tc>
          <w:tcPr>
            <w:tcW w:w="2645" w:type="dxa"/>
          </w:tcPr>
          <w:p>
            <w:pPr>
              <w:pStyle w:val="Compact"/>
              <w:spacing w:after="40"/>
              <w:jc w:val="left"/>
            </w:pPr>
            <w:r>
              <w:rPr>
                <w:sz w:val="18"/>
              </w:rPr>
              <w:t xml:space="preserve">Current; report issued only by a licensed CPA firm</w:t>
            </w:r>
          </w:p>
        </w:tc>
        <w:tc>
          <w:tcPr>
            <w:tcW w:w="1361" w:type="dxa"/>
          </w:tcPr>
          <w:p>
            <w:pPr>
              <w:pStyle w:val="Compact"/>
              <w:spacing w:after="40"/>
              <w:jc w:val="left"/>
            </w:pPr>
            <w:r>
              <w:rPr>
                <w:sz w:val="18"/>
              </w:rPr>
              <w:t xml:space="preserve">F 7C (AC7.3), 7D, 7J, 7L (EO5); U 7B, 7H</w:t>
            </w:r>
          </w:p>
        </w:tc>
      </w:tr>
      <w:tr>
        <w:tc>
          <w:tcPr>
            <w:tcW w:w="692" w:type="dxa"/>
          </w:tcPr>
          <w:p>
            <w:pPr>
              <w:pStyle w:val="Compact"/>
              <w:spacing w:after="40"/>
              <w:jc w:val="left"/>
            </w:pPr>
            <w:r>
              <w:rPr>
                <w:rStyle w:val="VerbatimChar"/>
                <w:sz w:val="18"/>
              </w:rPr>
              <w:t xml:space="preserve">ISO</w:t>
            </w:r>
          </w:p>
        </w:tc>
        <w:tc>
          <w:tcPr>
            <w:tcW w:w="3096" w:type="dxa"/>
          </w:tcPr>
          <w:p>
            <w:pPr>
              <w:pStyle w:val="Compact"/>
              <w:spacing w:after="40"/>
              <w:jc w:val="left"/>
            </w:pPr>
            <w:r>
              <w:rPr>
                <w:sz w:val="18"/>
              </w:rPr>
              <w:t xml:space="preserve">ISO/IEC 27001:2022; ISO/IEC 27701:2025 (stand-alone privacy management system, published 14 Oct 2025); ISO 22301; ISO/IEC 27017 and 27018; ISO/IEC 42001 (decision)</w:t>
            </w:r>
          </w:p>
        </w:tc>
        <w:tc>
          <w:tcPr>
            <w:tcW w:w="1844" w:type="dxa"/>
          </w:tcPr>
          <w:p>
            <w:pPr>
              <w:pStyle w:val="Compact"/>
              <w:spacing w:after="40"/>
              <w:jc w:val="left"/>
            </w:pPr>
            <w:r>
              <w:rPr>
                <w:sz w:val="18"/>
              </w:rPr>
              <w:t xml:space="preserve">ISO and IEC</w:t>
            </w:r>
          </w:p>
        </w:tc>
        <w:tc>
          <w:tcPr>
            <w:tcW w:w="2645" w:type="dxa"/>
          </w:tcPr>
          <w:p>
            <w:pPr>
              <w:pStyle w:val="Compact"/>
              <w:spacing w:after="40"/>
              <w:jc w:val="left"/>
            </w:pPr>
            <w:r>
              <w:rPr>
                <w:sz w:val="18"/>
              </w:rPr>
              <w:t xml:space="preserve">Current; certificate issued only by an accredited certification body</w:t>
            </w:r>
          </w:p>
        </w:tc>
        <w:tc>
          <w:tcPr>
            <w:tcW w:w="1361" w:type="dxa"/>
          </w:tcPr>
          <w:p>
            <w:pPr>
              <w:pStyle w:val="Compact"/>
              <w:spacing w:after="40"/>
              <w:jc w:val="left"/>
            </w:pPr>
            <w:r>
              <w:rPr>
                <w:sz w:val="18"/>
              </w:rPr>
              <w:t xml:space="preserve">F 7J, 7L (EO5); U 7B, 7H</w:t>
            </w:r>
          </w:p>
        </w:tc>
      </w:tr>
      <w:tr>
        <w:tc>
          <w:tcPr>
            <w:tcW w:w="692" w:type="dxa"/>
          </w:tcPr>
          <w:p>
            <w:pPr>
              <w:pStyle w:val="Compact"/>
              <w:spacing w:after="40"/>
              <w:jc w:val="left"/>
            </w:pPr>
            <w:r>
              <w:rPr>
                <w:rStyle w:val="VerbatimChar"/>
                <w:sz w:val="18"/>
              </w:rPr>
              <w:t xml:space="preserve">RBIA</w:t>
            </w:r>
          </w:p>
        </w:tc>
        <w:tc>
          <w:tcPr>
            <w:tcW w:w="3096" w:type="dxa"/>
          </w:tcPr>
          <w:p>
            <w:pPr>
              <w:pStyle w:val="Compact"/>
              <w:spacing w:after="40"/>
              <w:jc w:val="left"/>
            </w:pPr>
            <w:r>
              <w:rPr>
                <w:sz w:val="18"/>
              </w:rPr>
              <w:t xml:space="preserve">Reserve Bank of India Act, 1934 (ss.42, 45-IA, 45N, 45NAA, 45NB, 58B, 58G)</w:t>
            </w:r>
          </w:p>
        </w:tc>
        <w:tc>
          <w:tcPr>
            <w:tcW w:w="1844" w:type="dxa"/>
          </w:tcPr>
          <w:p>
            <w:pPr>
              <w:pStyle w:val="Compact"/>
              <w:spacing w:after="40"/>
              <w:jc w:val="left"/>
            </w:pPr>
            <w:r>
              <w:rPr>
                <w:sz w:val="18"/>
              </w:rPr>
              <w:t xml:space="preserve">Parliament</w:t>
            </w:r>
          </w:p>
        </w:tc>
        <w:tc>
          <w:tcPr>
            <w:tcW w:w="2645" w:type="dxa"/>
          </w:tcPr>
          <w:p>
            <w:pPr>
              <w:pStyle w:val="Compact"/>
              <w:spacing w:after="40"/>
              <w:jc w:val="left"/>
            </w:pPr>
            <w:r>
              <w:rPr>
                <w:sz w:val="18"/>
              </w:rPr>
              <w:t xml:space="preserve">In force [VERIFY: text of ss.45N, 45NB before AU7 goes live]</w:t>
            </w:r>
          </w:p>
        </w:tc>
        <w:tc>
          <w:tcPr>
            <w:tcW w:w="1361" w:type="dxa"/>
          </w:tcPr>
          <w:p>
            <w:pPr>
              <w:pStyle w:val="Compact"/>
              <w:spacing w:after="40"/>
              <w:jc w:val="left"/>
            </w:pPr>
            <w:r>
              <w:rPr>
                <w:sz w:val="18"/>
              </w:rPr>
              <w:t xml:space="preserve">F 7B (RR1.5, RR4), 7C, 7D (AU7), 7G</w:t>
            </w:r>
          </w:p>
        </w:tc>
      </w:tr>
      <w:tr>
        <w:tc>
          <w:tcPr>
            <w:tcW w:w="692" w:type="dxa"/>
          </w:tcPr>
          <w:p>
            <w:pPr>
              <w:pStyle w:val="Compact"/>
              <w:spacing w:after="40"/>
              <w:jc w:val="left"/>
            </w:pPr>
            <w:r>
              <w:rPr>
                <w:rStyle w:val="VerbatimChar"/>
                <w:sz w:val="18"/>
              </w:rPr>
              <w:t xml:space="preserve">BRA</w:t>
            </w:r>
          </w:p>
        </w:tc>
        <w:tc>
          <w:tcPr>
            <w:tcW w:w="3096" w:type="dxa"/>
          </w:tcPr>
          <w:p>
            <w:pPr>
              <w:pStyle w:val="Compact"/>
              <w:spacing w:after="40"/>
              <w:jc w:val="left"/>
            </w:pPr>
            <w:r>
              <w:rPr>
                <w:sz w:val="18"/>
              </w:rPr>
              <w:t xml:space="preserve">Banking Regulation Act, 1949 (including Part V for co-operative banks; ss.24, 26, 35(6)); never abbreviated</w:t>
            </w:r>
            <w:r>
              <w:rPr>
                <w:sz w:val="18"/>
              </w:rPr>
              <w:t xml:space="preserve"> </w:t>
            </w:r>
            <w:r>
              <w:rPr>
                <w:rStyle w:val="VerbatimChar"/>
                <w:sz w:val="18"/>
              </w:rPr>
              <w:t xml:space="preserve">BR</w:t>
            </w:r>
            <w:r>
              <w:rPr>
                <w:sz w:val="18"/>
              </w:rPr>
              <w:t xml:space="preserve">, which is the Branch Authorisation code</w:t>
            </w:r>
          </w:p>
        </w:tc>
        <w:tc>
          <w:tcPr>
            <w:tcW w:w="1844" w:type="dxa"/>
          </w:tcPr>
          <w:p>
            <w:pPr>
              <w:pStyle w:val="Compact"/>
              <w:spacing w:after="40"/>
              <w:jc w:val="left"/>
            </w:pPr>
            <w:r>
              <w:rPr>
                <w:sz w:val="18"/>
              </w:rPr>
              <w:t xml:space="preserve">Parliament</w:t>
            </w:r>
          </w:p>
        </w:tc>
        <w:tc>
          <w:tcPr>
            <w:tcW w:w="2645" w:type="dxa"/>
          </w:tcPr>
          <w:p>
            <w:pPr>
              <w:pStyle w:val="Compact"/>
              <w:spacing w:after="40"/>
              <w:jc w:val="left"/>
            </w:pPr>
            <w:r>
              <w:rPr>
                <w:sz w:val="18"/>
              </w:rPr>
              <w:t xml:space="preserve">In force</w:t>
            </w:r>
          </w:p>
        </w:tc>
        <w:tc>
          <w:tcPr>
            <w:tcW w:w="1361" w:type="dxa"/>
          </w:tcPr>
          <w:p>
            <w:pPr>
              <w:pStyle w:val="Compact"/>
              <w:spacing w:after="40"/>
              <w:jc w:val="left"/>
            </w:pPr>
            <w:r>
              <w:rPr>
                <w:sz w:val="18"/>
              </w:rPr>
              <w:t xml:space="preserve">F 7B (RR1.5), 7C (AC3 Third Schedule), 7D, 7F, 7G (IP3)</w:t>
            </w:r>
          </w:p>
        </w:tc>
      </w:tr>
      <w:tr>
        <w:tc>
          <w:tcPr>
            <w:tcW w:w="692" w:type="dxa"/>
          </w:tcPr>
          <w:p>
            <w:pPr>
              <w:pStyle w:val="Compact"/>
              <w:spacing w:after="40"/>
              <w:jc w:val="left"/>
            </w:pPr>
            <w:r>
              <w:rPr>
                <w:rStyle w:val="VerbatimChar"/>
                <w:sz w:val="18"/>
              </w:rPr>
              <w:t xml:space="preserve">NHB</w:t>
            </w:r>
          </w:p>
        </w:tc>
        <w:tc>
          <w:tcPr>
            <w:tcW w:w="3096" w:type="dxa"/>
          </w:tcPr>
          <w:p>
            <w:pPr>
              <w:pStyle w:val="Compact"/>
              <w:spacing w:after="40"/>
              <w:jc w:val="left"/>
            </w:pPr>
            <w:r>
              <w:rPr>
                <w:sz w:val="18"/>
              </w:rPr>
              <w:t xml:space="preserve">National Housing Bank Act, 1987; NHB returns and supervisory instructions for HFCs</w:t>
            </w:r>
          </w:p>
        </w:tc>
        <w:tc>
          <w:tcPr>
            <w:tcW w:w="1844" w:type="dxa"/>
          </w:tcPr>
          <w:p>
            <w:pPr>
              <w:pStyle w:val="Compact"/>
              <w:spacing w:after="40"/>
              <w:jc w:val="left"/>
            </w:pPr>
            <w:r>
              <w:rPr>
                <w:sz w:val="18"/>
              </w:rPr>
              <w:t xml:space="preserve">Parliament; NHB</w:t>
            </w:r>
          </w:p>
        </w:tc>
        <w:tc>
          <w:tcPr>
            <w:tcW w:w="2645" w:type="dxa"/>
          </w:tcPr>
          <w:p>
            <w:pPr>
              <w:pStyle w:val="Compact"/>
              <w:spacing w:after="40"/>
              <w:jc w:val="left"/>
            </w:pPr>
            <w:r>
              <w:rPr>
                <w:sz w:val="18"/>
              </w:rPr>
              <w:t xml:space="preserve">In force [VERIFY: NHB return list and portal]</w:t>
            </w:r>
          </w:p>
        </w:tc>
        <w:tc>
          <w:tcPr>
            <w:tcW w:w="1361" w:type="dxa"/>
          </w:tcPr>
          <w:p>
            <w:pPr>
              <w:pStyle w:val="Compact"/>
              <w:spacing w:after="40"/>
              <w:jc w:val="left"/>
            </w:pPr>
            <w:r>
              <w:rPr>
                <w:sz w:val="18"/>
              </w:rPr>
              <w:t xml:space="preserve">F 7B (RR1.5), 7D (AU7), 7E, 7F, 7G, 7H</w:t>
            </w:r>
          </w:p>
        </w:tc>
      </w:tr>
      <w:tr>
        <w:tc>
          <w:tcPr>
            <w:tcW w:w="692" w:type="dxa"/>
          </w:tcPr>
          <w:p>
            <w:pPr>
              <w:pStyle w:val="Compact"/>
              <w:spacing w:after="40"/>
              <w:jc w:val="left"/>
            </w:pPr>
            <w:r>
              <w:rPr>
                <w:rStyle w:val="VerbatimChar"/>
                <w:sz w:val="18"/>
              </w:rPr>
              <w:t xml:space="preserve">SEBI-SAST</w:t>
            </w:r>
          </w:p>
        </w:tc>
        <w:tc>
          <w:tcPr>
            <w:tcW w:w="3096" w:type="dxa"/>
          </w:tcPr>
          <w:p>
            <w:pPr>
              <w:pStyle w:val="Compact"/>
              <w:spacing w:after="40"/>
              <w:jc w:val="left"/>
            </w:pPr>
            <w:r>
              <w:rPr>
                <w:sz w:val="18"/>
              </w:rPr>
              <w:t xml:space="preserve">SEBI (Substantial Acquisition of Shares and Takeovers) Regulations, 2011 (the bare abbreviation SAST in Part 7L means static application security testing)</w:t>
            </w:r>
          </w:p>
        </w:tc>
        <w:tc>
          <w:tcPr>
            <w:tcW w:w="1844" w:type="dxa"/>
          </w:tcPr>
          <w:p>
            <w:pPr>
              <w:pStyle w:val="Compact"/>
              <w:spacing w:after="40"/>
              <w:jc w:val="left"/>
            </w:pPr>
            <w:r>
              <w:rPr>
                <w:sz w:val="18"/>
              </w:rPr>
              <w:t xml:space="preserve">SEBI</w:t>
            </w:r>
          </w:p>
        </w:tc>
        <w:tc>
          <w:tcPr>
            <w:tcW w:w="2645" w:type="dxa"/>
          </w:tcPr>
          <w:p>
            <w:pPr>
              <w:pStyle w:val="Compact"/>
              <w:spacing w:after="40"/>
              <w:jc w:val="left"/>
            </w:pPr>
            <w:r>
              <w:rPr>
                <w:sz w:val="18"/>
              </w:rPr>
              <w:t xml:space="preserve">In force</w:t>
            </w:r>
          </w:p>
        </w:tc>
        <w:tc>
          <w:tcPr>
            <w:tcW w:w="1361" w:type="dxa"/>
          </w:tcPr>
          <w:p>
            <w:pPr>
              <w:pStyle w:val="Compact"/>
              <w:spacing w:after="40"/>
              <w:jc w:val="left"/>
            </w:pPr>
            <w:r>
              <w:rPr>
                <w:sz w:val="18"/>
              </w:rPr>
              <w:t xml:space="preserve">F 7D (AU6), 7F (GV4)</w:t>
            </w:r>
          </w:p>
        </w:tc>
      </w:tr>
      <w:tr>
        <w:tc>
          <w:tcPr>
            <w:tcW w:w="692" w:type="dxa"/>
          </w:tcPr>
          <w:p>
            <w:pPr>
              <w:pStyle w:val="Compact"/>
              <w:spacing w:after="40"/>
              <w:jc w:val="left"/>
            </w:pPr>
            <w:r>
              <w:rPr>
                <w:rStyle w:val="VerbatimChar"/>
                <w:sz w:val="18"/>
              </w:rPr>
              <w:t xml:space="preserve">IBC</w:t>
            </w:r>
          </w:p>
        </w:tc>
        <w:tc>
          <w:tcPr>
            <w:tcW w:w="3096" w:type="dxa"/>
          </w:tcPr>
          <w:p>
            <w:pPr>
              <w:pStyle w:val="Compact"/>
              <w:spacing w:after="40"/>
              <w:jc w:val="left"/>
            </w:pPr>
            <w:r>
              <w:rPr>
                <w:sz w:val="18"/>
              </w:rPr>
              <w:t xml:space="preserve">Insolvency and Bankruptcy Code, 2016 and IBBI regulations</w:t>
            </w:r>
          </w:p>
        </w:tc>
        <w:tc>
          <w:tcPr>
            <w:tcW w:w="1844" w:type="dxa"/>
          </w:tcPr>
          <w:p>
            <w:pPr>
              <w:pStyle w:val="Compact"/>
              <w:spacing w:after="40"/>
              <w:jc w:val="left"/>
            </w:pPr>
            <w:r>
              <w:rPr>
                <w:sz w:val="18"/>
              </w:rPr>
              <w:t xml:space="preserve">Parliament; IBBI</w:t>
            </w:r>
          </w:p>
        </w:tc>
        <w:tc>
          <w:tcPr>
            <w:tcW w:w="2645" w:type="dxa"/>
          </w:tcPr>
          <w:p>
            <w:pPr>
              <w:pStyle w:val="Compact"/>
              <w:spacing w:after="40"/>
              <w:jc w:val="left"/>
            </w:pPr>
            <w:r>
              <w:rPr>
                <w:sz w:val="18"/>
              </w:rPr>
              <w:t xml:space="preserve">In force as amended (Part 7A R6)</w:t>
            </w:r>
          </w:p>
        </w:tc>
        <w:tc>
          <w:tcPr>
            <w:tcW w:w="1361" w:type="dxa"/>
          </w:tcPr>
          <w:p>
            <w:pPr>
              <w:pStyle w:val="Compact"/>
              <w:spacing w:after="40"/>
              <w:jc w:val="left"/>
            </w:pPr>
            <w:r>
              <w:rPr>
                <w:sz w:val="18"/>
              </w:rPr>
              <w:t xml:space="preserve">F 7B (RR6.6), 7G, 7H</w:t>
            </w:r>
          </w:p>
        </w:tc>
      </w:tr>
      <w:tr>
        <w:tc>
          <w:tcPr>
            <w:tcW w:w="692" w:type="dxa"/>
          </w:tcPr>
          <w:p>
            <w:pPr>
              <w:pStyle w:val="Compact"/>
              <w:spacing w:after="40"/>
              <w:jc w:val="left"/>
            </w:pPr>
            <w:r>
              <w:rPr>
                <w:rStyle w:val="VerbatimChar"/>
                <w:sz w:val="18"/>
              </w:rPr>
              <w:t xml:space="preserve">NI</w:t>
            </w:r>
          </w:p>
        </w:tc>
        <w:tc>
          <w:tcPr>
            <w:tcW w:w="3096" w:type="dxa"/>
          </w:tcPr>
          <w:p>
            <w:pPr>
              <w:pStyle w:val="Compact"/>
              <w:spacing w:after="40"/>
              <w:jc w:val="left"/>
            </w:pPr>
            <w:r>
              <w:rPr>
                <w:sz w:val="18"/>
              </w:rPr>
              <w:t xml:space="preserve">Negotiable Instruments Act, 1881 (s.138)</w:t>
            </w:r>
          </w:p>
        </w:tc>
        <w:tc>
          <w:tcPr>
            <w:tcW w:w="1844" w:type="dxa"/>
          </w:tcPr>
          <w:p>
            <w:pPr>
              <w:pStyle w:val="Compact"/>
              <w:spacing w:after="40"/>
              <w:jc w:val="left"/>
            </w:pPr>
            <w:r>
              <w:rPr>
                <w:sz w:val="18"/>
              </w:rPr>
              <w:t xml:space="preserve">Parliament</w:t>
            </w:r>
          </w:p>
        </w:tc>
        <w:tc>
          <w:tcPr>
            <w:tcW w:w="2645" w:type="dxa"/>
          </w:tcPr>
          <w:p>
            <w:pPr>
              <w:pStyle w:val="Compact"/>
              <w:spacing w:after="40"/>
              <w:jc w:val="left"/>
            </w:pPr>
            <w:r>
              <w:rPr>
                <w:sz w:val="18"/>
              </w:rPr>
              <w:t xml:space="preserve">In force (Part 7A R7)</w:t>
            </w:r>
          </w:p>
        </w:tc>
        <w:tc>
          <w:tcPr>
            <w:tcW w:w="1361" w:type="dxa"/>
          </w:tcPr>
          <w:p>
            <w:pPr>
              <w:pStyle w:val="Compact"/>
              <w:spacing w:after="40"/>
              <w:jc w:val="left"/>
            </w:pPr>
            <w:r>
              <w:rPr>
                <w:sz w:val="18"/>
              </w:rPr>
              <w:t xml:space="preserve">F 7G (IP2.11)</w:t>
            </w:r>
          </w:p>
        </w:tc>
      </w:tr>
      <w:tr>
        <w:tc>
          <w:tcPr>
            <w:tcW w:w="692" w:type="dxa"/>
          </w:tcPr>
          <w:p>
            <w:pPr>
              <w:pStyle w:val="Compact"/>
              <w:spacing w:after="40"/>
              <w:jc w:val="left"/>
            </w:pPr>
            <w:r>
              <w:rPr>
                <w:rStyle w:val="VerbatimChar"/>
                <w:sz w:val="18"/>
              </w:rPr>
              <w:t xml:space="preserve">BNS</w:t>
            </w:r>
          </w:p>
        </w:tc>
        <w:tc>
          <w:tcPr>
            <w:tcW w:w="3096" w:type="dxa"/>
          </w:tcPr>
          <w:p>
            <w:pPr>
              <w:pStyle w:val="Compact"/>
              <w:spacing w:after="40"/>
              <w:jc w:val="left"/>
            </w:pPr>
            <w:r>
              <w:rPr>
                <w:sz w:val="18"/>
              </w:rPr>
              <w:t xml:space="preserve">Bharatiya Nyaya Sanhita, 2023</w:t>
            </w:r>
          </w:p>
        </w:tc>
        <w:tc>
          <w:tcPr>
            <w:tcW w:w="1844" w:type="dxa"/>
          </w:tcPr>
          <w:p>
            <w:pPr>
              <w:pStyle w:val="Compact"/>
              <w:spacing w:after="40"/>
              <w:jc w:val="left"/>
            </w:pPr>
            <w:r>
              <w:rPr>
                <w:sz w:val="18"/>
              </w:rPr>
              <w:t xml:space="preserve">Parliament</w:t>
            </w:r>
          </w:p>
        </w:tc>
        <w:tc>
          <w:tcPr>
            <w:tcW w:w="2645" w:type="dxa"/>
          </w:tcPr>
          <w:p>
            <w:pPr>
              <w:pStyle w:val="Compact"/>
              <w:spacing w:after="40"/>
              <w:jc w:val="left"/>
            </w:pPr>
            <w:r>
              <w:rPr>
                <w:sz w:val="18"/>
              </w:rPr>
              <w:t xml:space="preserve">In force 1 Jul 2024</w:t>
            </w:r>
          </w:p>
        </w:tc>
        <w:tc>
          <w:tcPr>
            <w:tcW w:w="1361" w:type="dxa"/>
          </w:tcPr>
          <w:p>
            <w:pPr>
              <w:pStyle w:val="Compact"/>
              <w:spacing w:after="40"/>
              <w:jc w:val="left"/>
            </w:pPr>
            <w:r>
              <w:rPr>
                <w:sz w:val="18"/>
              </w:rPr>
              <w:t xml:space="preserve">F 7G (IP2.12, IP4.8)</w:t>
            </w:r>
          </w:p>
        </w:tc>
      </w:tr>
      <w:tr>
        <w:tc>
          <w:tcPr>
            <w:tcW w:w="692" w:type="dxa"/>
          </w:tcPr>
          <w:p>
            <w:pPr>
              <w:pStyle w:val="Compact"/>
              <w:spacing w:after="40"/>
              <w:jc w:val="left"/>
            </w:pPr>
            <w:r>
              <w:rPr>
                <w:rStyle w:val="VerbatimChar"/>
                <w:sz w:val="18"/>
              </w:rPr>
              <w:t xml:space="preserve">IFSCA-ACT</w:t>
            </w:r>
          </w:p>
        </w:tc>
        <w:tc>
          <w:tcPr>
            <w:tcW w:w="3096" w:type="dxa"/>
          </w:tcPr>
          <w:p>
            <w:pPr>
              <w:pStyle w:val="Compact"/>
              <w:spacing w:after="40"/>
              <w:jc w:val="left"/>
            </w:pPr>
            <w:r>
              <w:rPr>
                <w:sz w:val="18"/>
              </w:rPr>
              <w:t xml:space="preserve">International Financial Services Centres Authority Act, 2019</w:t>
            </w:r>
          </w:p>
        </w:tc>
        <w:tc>
          <w:tcPr>
            <w:tcW w:w="1844" w:type="dxa"/>
          </w:tcPr>
          <w:p>
            <w:pPr>
              <w:pStyle w:val="Compact"/>
              <w:spacing w:after="40"/>
              <w:jc w:val="left"/>
            </w:pPr>
            <w:r>
              <w:rPr>
                <w:sz w:val="18"/>
              </w:rPr>
              <w:t xml:space="preserve">Parliament</w:t>
            </w:r>
          </w:p>
        </w:tc>
        <w:tc>
          <w:tcPr>
            <w:tcW w:w="2645" w:type="dxa"/>
          </w:tcPr>
          <w:p>
            <w:pPr>
              <w:pStyle w:val="Compact"/>
              <w:spacing w:after="40"/>
              <w:jc w:val="left"/>
            </w:pPr>
            <w:r>
              <w:rPr>
                <w:sz w:val="18"/>
              </w:rPr>
              <w:t xml:space="preserve">In force</w:t>
            </w:r>
          </w:p>
        </w:tc>
        <w:tc>
          <w:tcPr>
            <w:tcW w:w="1361" w:type="dxa"/>
          </w:tcPr>
          <w:p>
            <w:pPr>
              <w:pStyle w:val="Compact"/>
              <w:spacing w:after="40"/>
              <w:jc w:val="left"/>
            </w:pPr>
            <w:r>
              <w:rPr>
                <w:sz w:val="18"/>
              </w:rPr>
              <w:t xml:space="preserve">F 7G (IP1, IP6)</w:t>
            </w:r>
          </w:p>
        </w:tc>
      </w:tr>
      <w:tr>
        <w:tc>
          <w:tcPr>
            <w:tcW w:w="692" w:type="dxa"/>
          </w:tcPr>
          <w:p>
            <w:pPr>
              <w:pStyle w:val="Compact"/>
              <w:spacing w:after="40"/>
              <w:jc w:val="left"/>
            </w:pPr>
            <w:r>
              <w:rPr>
                <w:rStyle w:val="VerbatimChar"/>
                <w:sz w:val="18"/>
              </w:rPr>
              <w:t xml:space="preserve">DICGC</w:t>
            </w:r>
          </w:p>
        </w:tc>
        <w:tc>
          <w:tcPr>
            <w:tcW w:w="3096" w:type="dxa"/>
          </w:tcPr>
          <w:p>
            <w:pPr>
              <w:pStyle w:val="Compact"/>
              <w:spacing w:after="40"/>
              <w:jc w:val="left"/>
            </w:pPr>
            <w:r>
              <w:rPr>
                <w:sz w:val="18"/>
              </w:rPr>
              <w:t xml:space="preserve">Deposit Insurance and Credit Guarantee Corporation Act, 1961</w:t>
            </w:r>
          </w:p>
        </w:tc>
        <w:tc>
          <w:tcPr>
            <w:tcW w:w="1844" w:type="dxa"/>
          </w:tcPr>
          <w:p>
            <w:pPr>
              <w:pStyle w:val="Compact"/>
              <w:spacing w:after="40"/>
              <w:jc w:val="left"/>
            </w:pPr>
            <w:r>
              <w:rPr>
                <w:sz w:val="18"/>
              </w:rPr>
              <w:t xml:space="preserve">Parliament; DICGC</w:t>
            </w:r>
          </w:p>
        </w:tc>
        <w:tc>
          <w:tcPr>
            <w:tcW w:w="2645" w:type="dxa"/>
          </w:tcPr>
          <w:p>
            <w:pPr>
              <w:pStyle w:val="Compact"/>
              <w:spacing w:after="40"/>
              <w:jc w:val="left"/>
            </w:pPr>
            <w:r>
              <w:rPr>
                <w:sz w:val="18"/>
              </w:rPr>
              <w:t xml:space="preserve">In force; no cover for deposits with credit co-operative societies</w:t>
            </w:r>
          </w:p>
        </w:tc>
        <w:tc>
          <w:tcPr>
            <w:tcW w:w="1361" w:type="dxa"/>
          </w:tcPr>
          <w:p>
            <w:pPr>
              <w:pStyle w:val="Compact"/>
              <w:spacing w:after="40"/>
              <w:jc w:val="left"/>
            </w:pPr>
            <w:r>
              <w:rPr>
                <w:sz w:val="18"/>
              </w:rPr>
              <w:t xml:space="preserve">F 7G (IP2.1, IP2.5)</w:t>
            </w:r>
          </w:p>
        </w:tc>
      </w:tr>
      <w:tr>
        <w:tc>
          <w:tcPr>
            <w:tcW w:w="692" w:type="dxa"/>
          </w:tcPr>
          <w:p>
            <w:pPr>
              <w:pStyle w:val="Compact"/>
              <w:spacing w:after="40"/>
              <w:jc w:val="left"/>
            </w:pPr>
            <w:r>
              <w:rPr>
                <w:rStyle w:val="VerbatimChar"/>
                <w:sz w:val="18"/>
              </w:rPr>
              <w:t xml:space="preserve">POSH</w:t>
            </w:r>
          </w:p>
        </w:tc>
        <w:tc>
          <w:tcPr>
            <w:tcW w:w="3096" w:type="dxa"/>
          </w:tcPr>
          <w:p>
            <w:pPr>
              <w:pStyle w:val="Compact"/>
              <w:spacing w:after="40"/>
              <w:jc w:val="left"/>
            </w:pPr>
            <w:r>
              <w:rPr>
                <w:sz w:val="18"/>
              </w:rPr>
              <w:t xml:space="preserve">Sexual Harassment of Women at Workplace (Prevention, Prohibition and Redressal) Act, 2013</w:t>
            </w:r>
          </w:p>
        </w:tc>
        <w:tc>
          <w:tcPr>
            <w:tcW w:w="1844" w:type="dxa"/>
          </w:tcPr>
          <w:p>
            <w:pPr>
              <w:pStyle w:val="Compact"/>
              <w:spacing w:after="40"/>
              <w:jc w:val="left"/>
            </w:pPr>
            <w:r>
              <w:rPr>
                <w:sz w:val="18"/>
              </w:rPr>
              <w:t xml:space="preserve">Parliament</w:t>
            </w:r>
          </w:p>
        </w:tc>
        <w:tc>
          <w:tcPr>
            <w:tcW w:w="2645" w:type="dxa"/>
          </w:tcPr>
          <w:p>
            <w:pPr>
              <w:pStyle w:val="Compact"/>
              <w:spacing w:after="40"/>
              <w:jc w:val="left"/>
            </w:pPr>
            <w:r>
              <w:rPr>
                <w:sz w:val="18"/>
              </w:rPr>
              <w:t xml:space="preserve">In force; Board’s-report disclosure under the Accounts Rules as amended 2025</w:t>
            </w:r>
          </w:p>
        </w:tc>
        <w:tc>
          <w:tcPr>
            <w:tcW w:w="1361" w:type="dxa"/>
          </w:tcPr>
          <w:p>
            <w:pPr>
              <w:pStyle w:val="Compact"/>
              <w:spacing w:after="40"/>
              <w:jc w:val="left"/>
            </w:pPr>
            <w:r>
              <w:rPr>
                <w:sz w:val="18"/>
              </w:rPr>
              <w:t xml:space="preserve">F 7C (AC3), 7F (GV6.6)</w:t>
            </w:r>
          </w:p>
        </w:tc>
      </w:tr>
      <w:tr>
        <w:tc>
          <w:tcPr>
            <w:tcW w:w="692" w:type="dxa"/>
          </w:tcPr>
          <w:p>
            <w:pPr>
              <w:pStyle w:val="Compact"/>
              <w:spacing w:after="40"/>
              <w:jc w:val="left"/>
            </w:pPr>
            <w:r>
              <w:rPr>
                <w:rStyle w:val="VerbatimChar"/>
                <w:sz w:val="18"/>
              </w:rPr>
              <w:t xml:space="preserve">PCA88</w:t>
            </w:r>
          </w:p>
        </w:tc>
        <w:tc>
          <w:tcPr>
            <w:tcW w:w="3096" w:type="dxa"/>
          </w:tcPr>
          <w:p>
            <w:pPr>
              <w:pStyle w:val="Compact"/>
              <w:spacing w:after="40"/>
              <w:jc w:val="left"/>
            </w:pPr>
            <w:r>
              <w:rPr>
                <w:sz w:val="18"/>
              </w:rPr>
              <w:t xml:space="preserve">Prevention of Corruption Act, 1988 (as amended 2018), incl. s.9 (offence by commercial organisation; adequate-procedures defence)</w:t>
            </w:r>
          </w:p>
        </w:tc>
        <w:tc>
          <w:tcPr>
            <w:tcW w:w="1844" w:type="dxa"/>
          </w:tcPr>
          <w:p>
            <w:pPr>
              <w:pStyle w:val="Compact"/>
              <w:spacing w:after="40"/>
              <w:jc w:val="left"/>
            </w:pPr>
            <w:r>
              <w:rPr>
                <w:sz w:val="18"/>
              </w:rPr>
              <w:t xml:space="preserve">Parliament</w:t>
            </w:r>
          </w:p>
        </w:tc>
        <w:tc>
          <w:tcPr>
            <w:tcW w:w="2645" w:type="dxa"/>
          </w:tcPr>
          <w:p>
            <w:pPr>
              <w:pStyle w:val="Compact"/>
              <w:spacing w:after="40"/>
              <w:jc w:val="left"/>
            </w:pPr>
            <w:r>
              <w:rPr>
                <w:sz w:val="18"/>
              </w:rPr>
              <w:t xml:space="preserve">In force</w:t>
            </w:r>
          </w:p>
        </w:tc>
        <w:tc>
          <w:tcPr>
            <w:tcW w:w="1361" w:type="dxa"/>
          </w:tcPr>
          <w:p>
            <w:pPr>
              <w:pStyle w:val="Compact"/>
              <w:spacing w:after="40"/>
              <w:jc w:val="left"/>
            </w:pPr>
            <w:r>
              <w:rPr>
                <w:sz w:val="18"/>
              </w:rPr>
              <w:t xml:space="preserve">Operations Hub OH7 gifts and hospitality register, OH11 anti-bribery controls</w:t>
            </w:r>
          </w:p>
        </w:tc>
      </w:tr>
      <w:tr>
        <w:tc>
          <w:tcPr>
            <w:tcW w:w="692" w:type="dxa"/>
          </w:tcPr>
          <w:p>
            <w:pPr>
              <w:pStyle w:val="Compact"/>
              <w:spacing w:after="40"/>
              <w:jc w:val="left"/>
            </w:pPr>
            <w:r>
              <w:rPr>
                <w:rStyle w:val="VerbatimChar"/>
                <w:sz w:val="18"/>
              </w:rPr>
              <w:t xml:space="preserve">BCI</w:t>
            </w:r>
          </w:p>
        </w:tc>
        <w:tc>
          <w:tcPr>
            <w:tcW w:w="3096" w:type="dxa"/>
          </w:tcPr>
          <w:p>
            <w:pPr>
              <w:pStyle w:val="Compact"/>
              <w:spacing w:after="40"/>
              <w:jc w:val="left"/>
            </w:pPr>
            <w:r>
              <w:rPr>
                <w:sz w:val="18"/>
              </w:rPr>
              <w:t xml:space="preserve">Bar Council of India Rules, Part VI Chapter II (rule 36: no advertising or solicitation by advocates)</w:t>
            </w:r>
          </w:p>
        </w:tc>
        <w:tc>
          <w:tcPr>
            <w:tcW w:w="1844" w:type="dxa"/>
          </w:tcPr>
          <w:p>
            <w:pPr>
              <w:pStyle w:val="Compact"/>
              <w:spacing w:after="40"/>
              <w:jc w:val="left"/>
            </w:pPr>
            <w:r>
              <w:rPr>
                <w:sz w:val="18"/>
              </w:rPr>
              <w:t xml:space="preserve">Bar Council of India</w:t>
            </w:r>
          </w:p>
        </w:tc>
        <w:tc>
          <w:tcPr>
            <w:tcW w:w="2645" w:type="dxa"/>
          </w:tcPr>
          <w:p>
            <w:pPr>
              <w:pStyle w:val="Compact"/>
              <w:spacing w:after="40"/>
              <w:jc w:val="left"/>
            </w:pPr>
            <w:r>
              <w:rPr>
                <w:sz w:val="18"/>
              </w:rPr>
              <w:t xml:space="preserve">In force</w:t>
            </w:r>
          </w:p>
        </w:tc>
        <w:tc>
          <w:tcPr>
            <w:tcW w:w="1361" w:type="dxa"/>
          </w:tcPr>
          <w:p>
            <w:pPr>
              <w:pStyle w:val="Compact"/>
              <w:spacing w:after="40"/>
              <w:jc w:val="left"/>
            </w:pPr>
            <w:r>
              <w:rPr>
                <w:sz w:val="18"/>
              </w:rPr>
              <w:t xml:space="preserve">F 7K (CM5.2); OH9</w:t>
            </w:r>
          </w:p>
        </w:tc>
      </w:tr>
    </w:tbl>
    <w:bookmarkEnd w:id="825"/>
    <w:bookmarkStart w:id="826" w:name="a.37.1-superseded-owner-references"/>
    <w:p>
      <w:pPr>
        <w:pStyle w:val="Heading3"/>
      </w:pPr>
      <w:r>
        <w:t xml:space="preserve">8A.37.1 Superseded owner references</w:t>
      </w:r>
    </w:p>
    <w:p>
      <w:pPr>
        <w:pStyle w:val="FirstParagraph"/>
      </w:pPr>
      <w:r>
        <w:t xml:space="preserve">Record each row in</w:t>
      </w:r>
      <w:r>
        <w:t xml:space="preserve"> </w:t>
      </w:r>
      <w:r>
        <w:rPr>
          <w:rStyle w:val="VerbatimChar"/>
        </w:rPr>
        <w:t xml:space="preserve">docs/regulations/errata.md</w:t>
      </w:r>
      <w:r>
        <w:t xml:space="preserve"> </w:t>
      </w:r>
      <w:r>
        <w:t xml:space="preserve">(Part 8A.0.1 rule 5) with the source of the correction. Claude Code builds to the right-hand column.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42"/>
        <w:gridCol w:w="2175"/>
        <w:gridCol w:w="4957"/>
        <w:gridCol w:w="1664"/>
      </w:tblGrid>
      <w:tr>
        <w:trPr>
          <w:tblHeader w:val="true"/>
          <w:tblHeader w:val="true"/>
        </w:trPr>
        <w:tc>
          <w:tcPr>
            <w:tcW w:w="842" w:type="dxa"/>
            <w:shd w:val="clear" w:color="auto" w:fill="1F3A5F"/>
          </w:tcPr>
          <w:p>
            <w:pPr>
              <w:pStyle w:val="Compact"/>
              <w:spacing w:after="40"/>
              <w:jc w:val="left"/>
            </w:pPr>
            <w:r>
              <w:rPr>
                <w:b/>
                <w:color w:val="FFFFFF"/>
                <w:sz w:val="18"/>
              </w:rPr>
              <w:t xml:space="preserve">#</w:t>
            </w:r>
          </w:p>
        </w:tc>
        <w:tc>
          <w:tcPr>
            <w:tcW w:w="2175" w:type="dxa"/>
            <w:shd w:val="clear" w:color="auto" w:fill="1F3A5F"/>
          </w:tcPr>
          <w:p>
            <w:pPr>
              <w:pStyle w:val="Compact"/>
              <w:spacing w:after="40"/>
              <w:jc w:val="left"/>
            </w:pPr>
            <w:r>
              <w:rPr>
                <w:b/>
                <w:color w:val="FFFFFF"/>
                <w:sz w:val="18"/>
              </w:rPr>
              <w:t xml:space="preserve">Owner reference (or reference in the owner’s inputs)</w:t>
            </w:r>
          </w:p>
        </w:tc>
        <w:tc>
          <w:tcPr>
            <w:tcW w:w="4957" w:type="dxa"/>
            <w:shd w:val="clear" w:color="auto" w:fill="1F3A5F"/>
          </w:tcPr>
          <w:p>
            <w:pPr>
              <w:pStyle w:val="Compact"/>
              <w:spacing w:after="40"/>
              <w:jc w:val="left"/>
            </w:pPr>
            <w:r>
              <w:rPr>
                <w:b/>
                <w:color w:val="FFFFFF"/>
                <w:sz w:val="18"/>
              </w:rPr>
              <w:t xml:space="preserve">Position adopted in v1.5 (source)</w:t>
            </w:r>
          </w:p>
        </w:tc>
        <w:tc>
          <w:tcPr>
            <w:tcW w:w="1664" w:type="dxa"/>
            <w:shd w:val="clear" w:color="auto" w:fill="1F3A5F"/>
          </w:tcPr>
          <w:p>
            <w:pPr>
              <w:pStyle w:val="Compact"/>
              <w:spacing w:after="40"/>
              <w:jc w:val="left"/>
            </w:pPr>
            <w:r>
              <w:rPr>
                <w:b/>
                <w:color w:val="FFFFFF"/>
                <w:sz w:val="18"/>
              </w:rPr>
              <w:t xml:space="preserve">Where applied</w:t>
            </w:r>
          </w:p>
        </w:tc>
      </w:tr>
      <w:tr>
        <w:tc>
          <w:tcPr>
            <w:tcW w:w="842" w:type="dxa"/>
          </w:tcPr>
          <w:p>
            <w:pPr>
              <w:pStyle w:val="Compact"/>
              <w:spacing w:after="40"/>
              <w:jc w:val="left"/>
            </w:pPr>
            <w:r>
              <w:rPr>
                <w:sz w:val="18"/>
              </w:rPr>
              <w:t xml:space="preserve">1</w:t>
            </w:r>
          </w:p>
        </w:tc>
        <w:tc>
          <w:tcPr>
            <w:tcW w:w="2175" w:type="dxa"/>
          </w:tcPr>
          <w:p>
            <w:pPr>
              <w:pStyle w:val="Compact"/>
              <w:spacing w:after="40"/>
              <w:jc w:val="left"/>
            </w:pPr>
            <w:r>
              <w:rPr>
                <w:sz w:val="18"/>
              </w:rPr>
              <w:t xml:space="preserve">“</w:t>
            </w:r>
            <w:r>
              <w:rPr>
                <w:sz w:val="18"/>
              </w:rPr>
              <w:t xml:space="preserve">Supervisory Returns Master Directions, 28 Nov 2025</w:t>
            </w:r>
            <w:r>
              <w:rPr>
                <w:sz w:val="18"/>
              </w:rPr>
              <w:t xml:space="preserve">”</w:t>
            </w:r>
          </w:p>
        </w:tc>
        <w:tc>
          <w:tcPr>
            <w:tcW w:w="4957" w:type="dxa"/>
          </w:tcPr>
          <w:p>
            <w:pPr>
              <w:pStyle w:val="Compact"/>
              <w:spacing w:after="40"/>
              <w:jc w:val="left"/>
            </w:pPr>
            <w:r>
              <w:rPr>
                <w:sz w:val="18"/>
              </w:rPr>
              <w:t xml:space="preserve">RBI (NBFC – Supervisory Returns) Directions, 2026, RBI/DoS/2026-27/466, DoS.CO.DSG.60/33.01.001/2026-27,</w:t>
            </w:r>
            <w:r>
              <w:rPr>
                <w:sz w:val="18"/>
              </w:rPr>
              <w:t xml:space="preserve"> </w:t>
            </w:r>
            <w:r>
              <w:rPr>
                <w:bCs/>
                <w:b/>
                <w:sz w:val="18"/>
              </w:rPr>
              <w:t xml:space="preserve">31 Jul 2026</w:t>
            </w:r>
            <w:r>
              <w:rPr>
                <w:sz w:val="18"/>
              </w:rPr>
              <w:t xml:space="preserve">. The 28 Nov 2025 date belongs to the DoR prudential set; the DoS supervisory set (CMP, CYB, DPS, FRM, IAF, SA, SR, MSD) was issued on 31 Jul 2026 (supplied text</w:t>
            </w:r>
            <w:r>
              <w:rPr>
                <w:sz w:val="18"/>
              </w:rPr>
              <w:t xml:space="preserve"> </w:t>
            </w:r>
            <w:r>
              <w:rPr>
                <w:rStyle w:val="VerbatimChar"/>
                <w:sz w:val="18"/>
              </w:rPr>
              <w:t xml:space="preserve">466</w:t>
            </w:r>
            <w:r>
              <w:rPr>
                <w:sz w:val="18"/>
              </w:rPr>
              <w:t xml:space="preserve">; RBI list of returns)</w:t>
            </w:r>
          </w:p>
        </w:tc>
        <w:tc>
          <w:tcPr>
            <w:tcW w:w="1664" w:type="dxa"/>
          </w:tcPr>
          <w:p>
            <w:pPr>
              <w:pStyle w:val="Compact"/>
              <w:spacing w:after="40"/>
              <w:jc w:val="left"/>
            </w:pPr>
            <w:r>
              <w:rPr>
                <w:sz w:val="18"/>
              </w:rPr>
              <w:t xml:space="preserve">Part 7B (7B intro, RR1.2); Part 8A.34</w:t>
            </w:r>
          </w:p>
        </w:tc>
      </w:tr>
      <w:tr>
        <w:tc>
          <w:tcPr>
            <w:tcW w:w="842" w:type="dxa"/>
          </w:tcPr>
          <w:p>
            <w:pPr>
              <w:pStyle w:val="Compact"/>
              <w:spacing w:after="40"/>
              <w:jc w:val="left"/>
            </w:pPr>
            <w:r>
              <w:rPr>
                <w:sz w:val="18"/>
              </w:rPr>
              <w:t xml:space="preserve">2</w:t>
            </w:r>
          </w:p>
        </w:tc>
        <w:tc>
          <w:tcPr>
            <w:tcW w:w="2175" w:type="dxa"/>
          </w:tcPr>
          <w:p>
            <w:pPr>
              <w:pStyle w:val="Compact"/>
              <w:spacing w:after="40"/>
              <w:jc w:val="left"/>
            </w:pPr>
            <w:r>
              <w:rPr>
                <w:sz w:val="18"/>
              </w:rPr>
              <w:t xml:space="preserve">Microsoft 365</w:t>
            </w:r>
            <w:r>
              <w:rPr>
                <w:sz w:val="18"/>
              </w:rPr>
              <w:t xml:space="preserve"> </w:t>
            </w:r>
            <w:r>
              <w:rPr>
                <w:sz w:val="18"/>
              </w:rPr>
              <w:t xml:space="preserve">“</w:t>
            </w:r>
            <w:r>
              <w:rPr>
                <w:sz w:val="18"/>
              </w:rPr>
              <w:t xml:space="preserve">Business Starter</w:t>
            </w:r>
            <w:r>
              <w:rPr>
                <w:sz w:val="18"/>
              </w:rPr>
              <w:t xml:space="preserve">”</w:t>
            </w:r>
          </w:p>
        </w:tc>
        <w:tc>
          <w:tcPr>
            <w:tcW w:w="4957" w:type="dxa"/>
          </w:tcPr>
          <w:p>
            <w:pPr>
              <w:pStyle w:val="Compact"/>
              <w:spacing w:after="40"/>
              <w:jc w:val="left"/>
            </w:pPr>
            <w:r>
              <w:rPr>
                <w:sz w:val="18"/>
              </w:rPr>
              <w:t xml:space="preserve">Microsoft 365 has no Business Starter plan; its SMB plans are Business Basic, Standard and Premium.</w:t>
            </w:r>
            <w:r>
              <w:rPr>
                <w:sz w:val="18"/>
              </w:rPr>
              <w:t xml:space="preserve"> </w:t>
            </w:r>
            <w:r>
              <w:rPr>
                <w:sz w:val="18"/>
              </w:rPr>
              <w:t xml:space="preserve">“</w:t>
            </w:r>
            <w:r>
              <w:rPr>
                <w:sz w:val="18"/>
              </w:rPr>
              <w:t xml:space="preserve">Business Starter</w:t>
            </w:r>
            <w:r>
              <w:rPr>
                <w:sz w:val="18"/>
              </w:rPr>
              <w:t xml:space="preserve">”</w:t>
            </w:r>
            <w:r>
              <w:rPr>
                <w:sz w:val="18"/>
              </w:rPr>
              <w:t xml:space="preserve"> </w:t>
            </w:r>
            <w:r>
              <w:rPr>
                <w:sz w:val="18"/>
              </w:rPr>
              <w:t xml:space="preserve">is a Google Workspace edition. Both are supported through one</w:t>
            </w:r>
            <w:r>
              <w:rPr>
                <w:sz w:val="18"/>
              </w:rPr>
              <w:t xml:space="preserve"> </w:t>
            </w:r>
            <w:r>
              <w:rPr>
                <w:rStyle w:val="VerbatimChar"/>
                <w:sz w:val="18"/>
              </w:rPr>
              <w:t xml:space="preserve">WorkplaceProvider</w:t>
            </w:r>
            <w:r>
              <w:rPr>
                <w:sz w:val="18"/>
              </w:rPr>
              <w:t xml:space="preserve"> </w:t>
            </w:r>
            <w:r>
              <w:rPr>
                <w:sz w:val="18"/>
              </w:rPr>
              <w:t xml:space="preserve">adapter; the suite actually held is an owner decision (Appendix B). Google Workspace offers data regions only in the US or Europe, so Workspace and Google Drive hold only non-regulated data — no personal data, books of account, returns, loan or HR data (Microsoft and Google documentation)</w:t>
            </w:r>
          </w:p>
        </w:tc>
        <w:tc>
          <w:tcPr>
            <w:tcW w:w="1664" w:type="dxa"/>
          </w:tcPr>
          <w:p>
            <w:pPr>
              <w:pStyle w:val="Compact"/>
              <w:spacing w:after="40"/>
              <w:jc w:val="left"/>
            </w:pPr>
            <w:r>
              <w:rPr>
                <w:sz w:val="18"/>
              </w:rPr>
              <w:t xml:space="preserve">Part 7F GV7; Part 7J DP3; Operations Hub OH12</w:t>
            </w:r>
          </w:p>
        </w:tc>
      </w:tr>
      <w:tr>
        <w:tc>
          <w:tcPr>
            <w:tcW w:w="842" w:type="dxa"/>
          </w:tcPr>
          <w:p>
            <w:pPr>
              <w:pStyle w:val="Compact"/>
              <w:spacing w:after="40"/>
              <w:jc w:val="left"/>
            </w:pPr>
            <w:r>
              <w:rPr>
                <w:sz w:val="18"/>
              </w:rPr>
              <w:t xml:space="preserve">3</w:t>
            </w:r>
          </w:p>
        </w:tc>
        <w:tc>
          <w:tcPr>
            <w:tcW w:w="2175" w:type="dxa"/>
          </w:tcPr>
          <w:p>
            <w:pPr>
              <w:pStyle w:val="Compact"/>
              <w:spacing w:after="40"/>
              <w:jc w:val="left"/>
            </w:pPr>
            <w:r>
              <w:rPr>
                <w:sz w:val="18"/>
              </w:rPr>
              <w:t xml:space="preserve">ICAI PDFs said to have been uploaded</w:t>
            </w:r>
          </w:p>
        </w:tc>
        <w:tc>
          <w:tcPr>
            <w:tcW w:w="4957" w:type="dxa"/>
          </w:tcPr>
          <w:p>
            <w:pPr>
              <w:pStyle w:val="Compact"/>
              <w:spacing w:after="40"/>
              <w:jc w:val="left"/>
            </w:pPr>
            <w:r>
              <w:rPr>
                <w:sz w:val="18"/>
              </w:rPr>
              <w:t xml:space="preserve">None arrived with the v1.5 inputs. Obtain and commit to</w:t>
            </w:r>
            <w:r>
              <w:rPr>
                <w:sz w:val="18"/>
              </w:rPr>
              <w:t xml:space="preserve"> </w:t>
            </w:r>
            <w:r>
              <w:rPr>
                <w:rStyle w:val="VerbatimChar"/>
                <w:sz w:val="18"/>
              </w:rPr>
              <w:t xml:space="preserve">docs/regulations/icai/</w:t>
            </w:r>
            <w:r>
              <w:rPr>
                <w:sz w:val="18"/>
              </w:rPr>
              <w:t xml:space="preserve"> </w:t>
            </w:r>
            <w:r>
              <w:rPr>
                <w:sz w:val="18"/>
              </w:rPr>
              <w:t xml:space="preserve">the latest editions: Technical Guide on Risk-Based Internal Audit of NBFCs (2024); Technical Guide on Audit of NBFCs (revised Sep 2023); Guidance Note on Audit of Banks (2026 Edition); Implementation Guide on Reporting on Audit Trail (revised 2024); preface to the Standards on Internal Audit (24 Sep 2025); ICAI scheme of applicability of AS to non-company entities (from 1 Apr 2024); Guidance Note on Audit of Internal Financial Controls; Manual on Concurrent Audit of Banks; and, from ICSI, SS-1, SS-2 and the CSAS Revised Edition 2026. Until then every [ICAI] and [ICSI] row stays</w:t>
            </w:r>
            <w:r>
              <w:rPr>
                <w:sz w:val="18"/>
              </w:rPr>
              <w:t xml:space="preserve"> </w:t>
            </w:r>
            <w:r>
              <w:rPr>
                <w:rStyle w:val="VerbatimChar"/>
                <w:sz w:val="18"/>
              </w:rPr>
              <w:t xml:space="preserve">[VERIFY: edition]</w:t>
            </w:r>
          </w:p>
        </w:tc>
        <w:tc>
          <w:tcPr>
            <w:tcW w:w="1664" w:type="dxa"/>
          </w:tcPr>
          <w:p>
            <w:pPr>
              <w:pStyle w:val="Compact"/>
              <w:spacing w:after="40"/>
              <w:jc w:val="left"/>
            </w:pPr>
            <w:r>
              <w:rPr>
                <w:sz w:val="18"/>
              </w:rPr>
              <w:t xml:space="preserve">Parts 7C, 7D, 7F</w:t>
            </w:r>
          </w:p>
        </w:tc>
      </w:tr>
      <w:tr>
        <w:tc>
          <w:tcPr>
            <w:tcW w:w="842" w:type="dxa"/>
          </w:tcPr>
          <w:p>
            <w:pPr>
              <w:pStyle w:val="Compact"/>
              <w:spacing w:after="40"/>
              <w:jc w:val="left"/>
            </w:pPr>
            <w:r>
              <w:rPr>
                <w:sz w:val="18"/>
              </w:rPr>
              <w:t xml:space="preserve">4</w:t>
            </w:r>
          </w:p>
        </w:tc>
        <w:tc>
          <w:tcPr>
            <w:tcW w:w="2175" w:type="dxa"/>
          </w:tcPr>
          <w:p>
            <w:pPr>
              <w:pStyle w:val="Compact"/>
              <w:spacing w:after="40"/>
              <w:jc w:val="left"/>
            </w:pPr>
            <w:r>
              <w:rPr>
                <w:sz w:val="18"/>
              </w:rPr>
              <w:t xml:space="preserve">Co-lending for credit co-operative societies</w:t>
            </w:r>
          </w:p>
        </w:tc>
        <w:tc>
          <w:tcPr>
            <w:tcW w:w="4957" w:type="dxa"/>
          </w:tcPr>
          <w:p>
            <w:pPr>
              <w:pStyle w:val="Compact"/>
              <w:spacing w:after="40"/>
              <w:jc w:val="left"/>
            </w:pPr>
            <w:r>
              <w:rPr>
                <w:sz w:val="18"/>
              </w:rPr>
              <w:t xml:space="preserve">Not permitted: a credit society is neither a</w:t>
            </w:r>
            <w:r>
              <w:rPr>
                <w:sz w:val="18"/>
              </w:rPr>
              <w:t xml:space="preserve"> </w:t>
            </w:r>
            <w:r>
              <w:rPr>
                <w:sz w:val="18"/>
              </w:rPr>
              <w:t xml:space="preserve">“</w:t>
            </w:r>
            <w:r>
              <w:rPr>
                <w:sz w:val="18"/>
              </w:rPr>
              <w:t xml:space="preserve">lender</w:t>
            </w:r>
            <w:r>
              <w:rPr>
                <w:sz w:val="18"/>
              </w:rPr>
              <w:t xml:space="preserve">”</w:t>
            </w:r>
            <w:r>
              <w:rPr>
                <w:sz w:val="18"/>
              </w:rPr>
              <w:t xml:space="preserve"> </w:t>
            </w:r>
            <w:r>
              <w:rPr>
                <w:sz w:val="18"/>
              </w:rPr>
              <w:t xml:space="preserve">for loan transfers (TDCR para 12(4)) nor an eligible co-lending partner (para 97). Lawful alternatives are wholesale lending to the society, the society as sourcing agent of an NBFC, independent parallel loans and the Udofin member-only track [REC; counsel to confirm]</w:t>
            </w:r>
          </w:p>
        </w:tc>
        <w:tc>
          <w:tcPr>
            <w:tcW w:w="1664" w:type="dxa"/>
          </w:tcPr>
          <w:p>
            <w:pPr>
              <w:pStyle w:val="Compact"/>
              <w:spacing w:after="40"/>
              <w:jc w:val="left"/>
            </w:pPr>
            <w:r>
              <w:rPr>
                <w:sz w:val="18"/>
              </w:rPr>
              <w:t xml:space="preserve">Part 7G IP2.13; M11 pointer</w:t>
            </w:r>
          </w:p>
        </w:tc>
      </w:tr>
      <w:tr>
        <w:tc>
          <w:tcPr>
            <w:tcW w:w="842" w:type="dxa"/>
          </w:tcPr>
          <w:p>
            <w:pPr>
              <w:pStyle w:val="Compact"/>
              <w:spacing w:after="40"/>
              <w:jc w:val="left"/>
            </w:pPr>
            <w:r>
              <w:rPr>
                <w:sz w:val="18"/>
              </w:rPr>
              <w:t xml:space="preserve">5</w:t>
            </w:r>
          </w:p>
        </w:tc>
        <w:tc>
          <w:tcPr>
            <w:tcW w:w="2175" w:type="dxa"/>
          </w:tcPr>
          <w:p>
            <w:pPr>
              <w:pStyle w:val="Compact"/>
              <w:spacing w:after="40"/>
              <w:jc w:val="left"/>
            </w:pPr>
            <w:r>
              <w:rPr>
                <w:sz w:val="18"/>
              </w:rPr>
              <w:t xml:space="preserve">Attaching the client’s</w:t>
            </w:r>
            <w:r>
              <w:rPr>
                <w:sz w:val="18"/>
              </w:rPr>
              <w:t xml:space="preserve"> </w:t>
            </w:r>
            <w:r>
              <w:rPr>
                <w:sz w:val="18"/>
              </w:rPr>
              <w:t xml:space="preserve">“</w:t>
            </w:r>
            <w:r>
              <w:rPr>
                <w:sz w:val="18"/>
              </w:rPr>
              <w:t xml:space="preserve">own disks</w:t>
            </w:r>
            <w:r>
              <w:rPr>
                <w:sz w:val="18"/>
              </w:rPr>
              <w:t xml:space="preserve">”</w:t>
            </w:r>
            <w:r>
              <w:rPr>
                <w:sz w:val="18"/>
              </w:rPr>
              <w:t xml:space="preserve"> </w:t>
            </w:r>
            <w:r>
              <w:rPr>
                <w:sz w:val="18"/>
              </w:rPr>
              <w:t xml:space="preserve">to Finbyx for storage</w:t>
            </w:r>
          </w:p>
        </w:tc>
        <w:tc>
          <w:tcPr>
            <w:tcW w:w="4957" w:type="dxa"/>
          </w:tcPr>
          <w:p>
            <w:pPr>
              <w:pStyle w:val="Compact"/>
              <w:spacing w:after="40"/>
              <w:jc w:val="left"/>
            </w:pPr>
            <w:r>
              <w:rPr>
                <w:sz w:val="18"/>
              </w:rPr>
              <w:t xml:space="preserve">No arbitrary disk attachment in Finbyx’s cloud. Customer-held copies go to the tenant’s cloud bucket, SharePoint or OneDrive, SFTP, or on-premises storage through the outbound-only Connector Agent</w:t>
            </w:r>
          </w:p>
        </w:tc>
        <w:tc>
          <w:tcPr>
            <w:tcW w:w="1664" w:type="dxa"/>
          </w:tcPr>
          <w:p>
            <w:pPr>
              <w:pStyle w:val="Compact"/>
              <w:spacing w:after="40"/>
              <w:jc w:val="left"/>
            </w:pPr>
            <w:r>
              <w:rPr>
                <w:sz w:val="18"/>
              </w:rPr>
              <w:t xml:space="preserve">Part 7J DP3.1</w:t>
            </w:r>
          </w:p>
        </w:tc>
      </w:tr>
      <w:tr>
        <w:tc>
          <w:tcPr>
            <w:tcW w:w="842" w:type="dxa"/>
          </w:tcPr>
          <w:p>
            <w:pPr>
              <w:pStyle w:val="Compact"/>
              <w:spacing w:after="40"/>
              <w:jc w:val="left"/>
            </w:pPr>
            <w:r>
              <w:rPr>
                <w:sz w:val="18"/>
              </w:rPr>
              <w:t xml:space="preserve">6</w:t>
            </w:r>
          </w:p>
        </w:tc>
        <w:tc>
          <w:tcPr>
            <w:tcW w:w="2175" w:type="dxa"/>
          </w:tcPr>
          <w:p>
            <w:pPr>
              <w:pStyle w:val="Compact"/>
              <w:spacing w:after="40"/>
              <w:jc w:val="left"/>
            </w:pPr>
            <w:r>
              <w:rPr>
                <w:sz w:val="18"/>
              </w:rPr>
              <w:t xml:space="preserve">Self-serve</w:t>
            </w:r>
            <w:r>
              <w:rPr>
                <w:sz w:val="18"/>
              </w:rPr>
              <w:t xml:space="preserve"> </w:t>
            </w:r>
            <w:r>
              <w:rPr>
                <w:sz w:val="18"/>
              </w:rPr>
              <w:t xml:space="preserve">“</w:t>
            </w:r>
            <w:r>
              <w:rPr>
                <w:sz w:val="18"/>
              </w:rPr>
              <w:t xml:space="preserve">autopilot</w:t>
            </w:r>
            <w:r>
              <w:rPr>
                <w:sz w:val="18"/>
              </w:rPr>
              <w:t xml:space="preserve">”</w:t>
            </w:r>
            <w:r>
              <w:rPr>
                <w:sz w:val="18"/>
              </w:rPr>
              <w:t xml:space="preserve"> </w:t>
            </w:r>
            <w:r>
              <w:rPr>
                <w:sz w:val="18"/>
              </w:rPr>
              <w:t xml:space="preserve">funnel modelled on the ptstdm page</w:t>
            </w:r>
          </w:p>
        </w:tc>
        <w:tc>
          <w:tcPr>
            <w:tcW w:w="4957" w:type="dxa"/>
          </w:tcPr>
          <w:p>
            <w:pPr>
              <w:pStyle w:val="Compact"/>
              <w:spacing w:after="40"/>
              <w:jc w:val="left"/>
            </w:pPr>
            <w:r>
              <w:rPr>
                <w:sz w:val="18"/>
              </w:rPr>
              <w:t xml:space="preserve">The page is a coaching video sales letter; only legitimate automation is adopted (transparent trials, plan explainers, lifecycle email with consent), with no dark patterns or misleading claims (CCPA guidelines; ASCI)</w:t>
            </w:r>
          </w:p>
        </w:tc>
        <w:tc>
          <w:tcPr>
            <w:tcW w:w="1664" w:type="dxa"/>
          </w:tcPr>
          <w:p>
            <w:pPr>
              <w:pStyle w:val="Compact"/>
              <w:spacing w:after="40"/>
              <w:jc w:val="left"/>
            </w:pPr>
            <w:r>
              <w:rPr>
                <w:sz w:val="18"/>
              </w:rPr>
              <w:t xml:space="preserve">Part 7K CM5.4; Operations Hub OH7–OH8</w:t>
            </w:r>
          </w:p>
        </w:tc>
      </w:tr>
      <w:tr>
        <w:tc>
          <w:tcPr>
            <w:tcW w:w="842" w:type="dxa"/>
          </w:tcPr>
          <w:p>
            <w:pPr>
              <w:pStyle w:val="Compact"/>
              <w:spacing w:after="40"/>
              <w:jc w:val="left"/>
            </w:pPr>
            <w:r>
              <w:rPr>
                <w:sz w:val="18"/>
              </w:rPr>
              <w:t xml:space="preserve">7</w:t>
            </w:r>
          </w:p>
        </w:tc>
        <w:tc>
          <w:tcPr>
            <w:tcW w:w="2175" w:type="dxa"/>
          </w:tcPr>
          <w:p>
            <w:pPr>
              <w:pStyle w:val="Compact"/>
              <w:spacing w:after="40"/>
              <w:jc w:val="left"/>
            </w:pPr>
            <w:r>
              <w:rPr>
                <w:sz w:val="18"/>
              </w:rPr>
              <w:t xml:space="preserve">Credit-score tracking, expense tracking and other paid features for borrowers</w:t>
            </w:r>
          </w:p>
        </w:tc>
        <w:tc>
          <w:tcPr>
            <w:tcW w:w="4957" w:type="dxa"/>
          </w:tcPr>
          <w:p>
            <w:pPr>
              <w:pStyle w:val="Compact"/>
              <w:spacing w:after="40"/>
              <w:jc w:val="left"/>
            </w:pPr>
            <w:r>
              <w:rPr>
                <w:sz w:val="18"/>
              </w:rPr>
              <w:t xml:space="preserve">Udofin never charges borrowers anything loan-related (CF para 10(4)); paid wellness add-ons only if fully separate from any loan, after an owner decision and legal opinion</w:t>
            </w:r>
          </w:p>
        </w:tc>
        <w:tc>
          <w:tcPr>
            <w:tcW w:w="1664" w:type="dxa"/>
          </w:tcPr>
          <w:p>
            <w:pPr>
              <w:pStyle w:val="Compact"/>
              <w:spacing w:after="40"/>
              <w:jc w:val="left"/>
            </w:pPr>
            <w:r>
              <w:rPr>
                <w:sz w:val="18"/>
              </w:rPr>
              <w:t xml:space="preserve">Udofin Part 7D FW4, Part 7G RV1</w:t>
            </w:r>
          </w:p>
        </w:tc>
      </w:tr>
    </w:tbl>
    <w:p>
      <w:pPr>
        <w:pStyle w:val="BodyText"/>
      </w:pPr>
      <w:r>
        <w:rPr>
          <w:bCs/>
          <w:b/>
        </w:rPr>
        <w:t xml:space="preserve">Other references corrected in v1.5</w:t>
      </w:r>
      <w:r>
        <w:t xml:space="preserve"> </w:t>
      </w:r>
      <w:r>
        <w:t xml:space="preserve">(secondary sources or earlier texts; record in errata where a module cites them):</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33"/>
        <w:gridCol w:w="3700"/>
        <w:gridCol w:w="4705"/>
      </w:tblGrid>
      <w:tr>
        <w:trPr>
          <w:tblHeader w:val="true"/>
          <w:tblHeader w:val="true"/>
        </w:trPr>
        <w:tc>
          <w:tcPr>
            <w:tcW w:w="1233" w:type="dxa"/>
            <w:shd w:val="clear" w:color="auto" w:fill="1F3A5F"/>
          </w:tcPr>
          <w:p>
            <w:pPr>
              <w:pStyle w:val="Compact"/>
              <w:spacing w:after="40"/>
              <w:jc w:val="left"/>
            </w:pPr>
            <w:r>
              <w:rPr>
                <w:b/>
                <w:color w:val="FFFFFF"/>
                <w:sz w:val="18"/>
              </w:rPr>
              <w:t xml:space="preserve">#</w:t>
            </w:r>
          </w:p>
        </w:tc>
        <w:tc>
          <w:tcPr>
            <w:tcW w:w="3700" w:type="dxa"/>
            <w:shd w:val="clear" w:color="auto" w:fill="1F3A5F"/>
          </w:tcPr>
          <w:p>
            <w:pPr>
              <w:pStyle w:val="Compact"/>
              <w:spacing w:after="40"/>
              <w:jc w:val="left"/>
            </w:pPr>
            <w:r>
              <w:rPr>
                <w:b/>
                <w:color w:val="FFFFFF"/>
                <w:sz w:val="18"/>
              </w:rPr>
              <w:t xml:space="preserve">Reference</w:t>
            </w:r>
          </w:p>
        </w:tc>
        <w:tc>
          <w:tcPr>
            <w:tcW w:w="4705" w:type="dxa"/>
            <w:shd w:val="clear" w:color="auto" w:fill="1F3A5F"/>
          </w:tcPr>
          <w:p>
            <w:pPr>
              <w:pStyle w:val="Compact"/>
              <w:spacing w:after="40"/>
              <w:jc w:val="left"/>
            </w:pPr>
            <w:r>
              <w:rPr>
                <w:b/>
                <w:color w:val="FFFFFF"/>
                <w:sz w:val="18"/>
              </w:rPr>
              <w:t xml:space="preserve">Position adopted in v1.5 (source)</w:t>
            </w:r>
          </w:p>
        </w:tc>
      </w:tr>
      <w:tr>
        <w:tc>
          <w:tcPr>
            <w:tcW w:w="1233" w:type="dxa"/>
          </w:tcPr>
          <w:p>
            <w:pPr>
              <w:pStyle w:val="Compact"/>
              <w:spacing w:after="40"/>
              <w:jc w:val="left"/>
            </w:pPr>
            <w:r>
              <w:rPr>
                <w:sz w:val="18"/>
              </w:rPr>
              <w:t xml:space="preserve">1</w:t>
            </w:r>
          </w:p>
        </w:tc>
        <w:tc>
          <w:tcPr>
            <w:tcW w:w="3700" w:type="dxa"/>
          </w:tcPr>
          <w:p>
            <w:pPr>
              <w:pStyle w:val="Compact"/>
              <w:spacing w:after="40"/>
              <w:jc w:val="left"/>
            </w:pPr>
            <w:r>
              <w:rPr>
                <w:sz w:val="18"/>
              </w:rPr>
              <w:t xml:space="preserve">CIC reporting</w:t>
            </w:r>
            <w:r>
              <w:rPr>
                <w:sz w:val="18"/>
              </w:rPr>
              <w:t xml:space="preserve"> </w:t>
            </w:r>
            <w:r>
              <w:rPr>
                <w:sz w:val="18"/>
              </w:rPr>
              <w:t xml:space="preserve">“</w:t>
            </w:r>
            <w:r>
              <w:rPr>
                <w:sz w:val="18"/>
              </w:rPr>
              <w:t xml:space="preserve">from 1 April 2026</w:t>
            </w:r>
            <w:r>
              <w:rPr>
                <w:sz w:val="18"/>
              </w:rPr>
              <w:t xml:space="preserve">”</w:t>
            </w:r>
            <w:r>
              <w:rPr>
                <w:sz w:val="18"/>
              </w:rPr>
              <w:t xml:space="preserve"> </w:t>
            </w:r>
            <w:r>
              <w:rPr>
                <w:sz w:val="18"/>
              </w:rPr>
              <w:t xml:space="preserve">(press) or the draft 7th/14th/21st cadence</w:t>
            </w:r>
          </w:p>
        </w:tc>
        <w:tc>
          <w:tcPr>
            <w:tcW w:w="4705" w:type="dxa"/>
          </w:tcPr>
          <w:p>
            <w:pPr>
              <w:pStyle w:val="Compact"/>
              <w:spacing w:after="40"/>
              <w:jc w:val="left"/>
            </w:pPr>
            <w:r>
              <w:rPr>
                <w:sz w:val="18"/>
              </w:rPr>
              <w:t xml:space="preserve">9th, 16th and 23rd incremental files within 4 calendar days and a month-end full file by the 5th, from 1 Jul 2026 (CIR para 10(2) as substituted by RBI/DOR/2025-26/117)</w:t>
            </w:r>
          </w:p>
        </w:tc>
      </w:tr>
      <w:tr>
        <w:tc>
          <w:tcPr>
            <w:tcW w:w="1233" w:type="dxa"/>
          </w:tcPr>
          <w:p>
            <w:pPr>
              <w:pStyle w:val="Compact"/>
              <w:spacing w:after="40"/>
              <w:jc w:val="left"/>
            </w:pPr>
            <w:r>
              <w:rPr>
                <w:sz w:val="18"/>
              </w:rPr>
              <w:t xml:space="preserve">2</w:t>
            </w:r>
          </w:p>
        </w:tc>
        <w:tc>
          <w:tcPr>
            <w:tcW w:w="3700" w:type="dxa"/>
          </w:tcPr>
          <w:p>
            <w:pPr>
              <w:pStyle w:val="Compact"/>
              <w:spacing w:after="40"/>
              <w:jc w:val="left"/>
            </w:pPr>
            <w:r>
              <w:rPr>
                <w:sz w:val="18"/>
              </w:rPr>
              <w:t xml:space="preserve">NBFC-MFI qualifying assets of 75% (pre-2025 rule in some summaries)</w:t>
            </w:r>
          </w:p>
        </w:tc>
        <w:tc>
          <w:tcPr>
            <w:tcW w:w="4705" w:type="dxa"/>
          </w:tcPr>
          <w:p>
            <w:pPr>
              <w:pStyle w:val="Compact"/>
              <w:spacing w:after="40"/>
              <w:jc w:val="left"/>
            </w:pPr>
            <w:r>
              <w:rPr>
                <w:sz w:val="18"/>
              </w:rPr>
              <w:t xml:space="preserve">60% of total assets net of intangibles (MFI paras 8(3), 12)</w:t>
            </w:r>
          </w:p>
        </w:tc>
      </w:tr>
      <w:tr>
        <w:tc>
          <w:tcPr>
            <w:tcW w:w="1233" w:type="dxa"/>
          </w:tcPr>
          <w:p>
            <w:pPr>
              <w:pStyle w:val="Compact"/>
              <w:spacing w:after="40"/>
              <w:jc w:val="left"/>
            </w:pPr>
            <w:r>
              <w:rPr>
                <w:sz w:val="18"/>
              </w:rPr>
              <w:t xml:space="preserve">3</w:t>
            </w:r>
          </w:p>
        </w:tc>
        <w:tc>
          <w:tcPr>
            <w:tcW w:w="3700" w:type="dxa"/>
          </w:tcPr>
          <w:p>
            <w:pPr>
              <w:pStyle w:val="Compact"/>
              <w:spacing w:after="40"/>
              <w:jc w:val="left"/>
            </w:pPr>
            <w:r>
              <w:rPr>
                <w:sz w:val="18"/>
              </w:rPr>
              <w:t xml:space="preserve">Microfinance loans in the 125% consumer-credit risk weight</w:t>
            </w:r>
          </w:p>
        </w:tc>
        <w:tc>
          <w:tcPr>
            <w:tcW w:w="4705" w:type="dxa"/>
          </w:tcPr>
          <w:p>
            <w:pPr>
              <w:pStyle w:val="Compact"/>
              <w:spacing w:after="40"/>
              <w:jc w:val="left"/>
            </w:pPr>
            <w:r>
              <w:rPr>
                <w:sz w:val="18"/>
              </w:rPr>
              <w:t xml:space="preserve">Removed from the 125% class by RBI’s notification of 25 Feb 2025</w:t>
            </w:r>
          </w:p>
        </w:tc>
      </w:tr>
      <w:tr>
        <w:tc>
          <w:tcPr>
            <w:tcW w:w="1233" w:type="dxa"/>
          </w:tcPr>
          <w:p>
            <w:pPr>
              <w:pStyle w:val="Compact"/>
              <w:spacing w:after="40"/>
              <w:jc w:val="left"/>
            </w:pPr>
            <w:r>
              <w:rPr>
                <w:sz w:val="18"/>
              </w:rPr>
              <w:t xml:space="preserve">4</w:t>
            </w:r>
          </w:p>
        </w:tc>
        <w:tc>
          <w:tcPr>
            <w:tcW w:w="3700" w:type="dxa"/>
          </w:tcPr>
          <w:p>
            <w:pPr>
              <w:pStyle w:val="Compact"/>
              <w:spacing w:after="40"/>
              <w:jc w:val="left"/>
            </w:pPr>
            <w:r>
              <w:rPr>
                <w:sz w:val="18"/>
              </w:rPr>
              <w:t xml:space="preserve">RBI Integrated Ombudsman Scheme, 2021 (OUT para 57(4))</w:t>
            </w:r>
          </w:p>
        </w:tc>
        <w:tc>
          <w:tcPr>
            <w:tcW w:w="4705" w:type="dxa"/>
          </w:tcPr>
          <w:p>
            <w:pPr>
              <w:pStyle w:val="Compact"/>
              <w:spacing w:after="40"/>
              <w:jc w:val="left"/>
            </w:pPr>
            <w:r>
              <w:rPr>
                <w:sz w:val="18"/>
              </w:rPr>
              <w:t xml:space="preserve">RB-IOS 2026 for complaints received from 1 Jul 2026 (</w:t>
            </w:r>
            <w:r>
              <w:rPr>
                <w:rStyle w:val="VerbatimChar"/>
                <w:sz w:val="18"/>
              </w:rPr>
              <w:t xml:space="preserve">RBIOS26</w:t>
            </w:r>
            <w:r>
              <w:rPr>
                <w:sz w:val="18"/>
              </w:rPr>
              <w:t xml:space="preserve">)</w:t>
            </w:r>
          </w:p>
        </w:tc>
      </w:tr>
      <w:tr>
        <w:tc>
          <w:tcPr>
            <w:tcW w:w="1233" w:type="dxa"/>
          </w:tcPr>
          <w:p>
            <w:pPr>
              <w:pStyle w:val="Compact"/>
              <w:spacing w:after="40"/>
              <w:jc w:val="left"/>
            </w:pPr>
            <w:r>
              <w:rPr>
                <w:sz w:val="18"/>
              </w:rPr>
              <w:t xml:space="preserve">5</w:t>
            </w:r>
          </w:p>
        </w:tc>
        <w:tc>
          <w:tcPr>
            <w:tcW w:w="3700" w:type="dxa"/>
          </w:tcPr>
          <w:p>
            <w:pPr>
              <w:pStyle w:val="Compact"/>
              <w:spacing w:after="40"/>
              <w:jc w:val="left"/>
            </w:pPr>
            <w:r>
              <w:rPr>
                <w:sz w:val="18"/>
              </w:rPr>
              <w:t xml:space="preserve">Income-tax Act 1961 sections and forms (194A, 194J, 26Q, Form 16, 26AS, 61A) for periods from 1 Apr 2026</w:t>
            </w:r>
          </w:p>
        </w:tc>
        <w:tc>
          <w:tcPr>
            <w:tcW w:w="4705" w:type="dxa"/>
          </w:tcPr>
          <w:p>
            <w:pPr>
              <w:pStyle w:val="Compact"/>
              <w:spacing w:after="40"/>
              <w:jc w:val="left"/>
            </w:pPr>
            <w:r>
              <w:rPr>
                <w:sz w:val="18"/>
              </w:rPr>
              <w:t xml:space="preserve">Income-tax Act 2025 equivalents (</w:t>
            </w:r>
            <w:r>
              <w:rPr>
                <w:rStyle w:val="VerbatimChar"/>
                <w:sz w:val="18"/>
              </w:rPr>
              <w:t xml:space="preserve">ITA25</w:t>
            </w:r>
            <w:r>
              <w:rPr>
                <w:sz w:val="18"/>
              </w:rPr>
              <w:t xml:space="preserve">; Part 7C AC5.1 concordance)</w:t>
            </w:r>
          </w:p>
        </w:tc>
      </w:tr>
      <w:tr>
        <w:tc>
          <w:tcPr>
            <w:tcW w:w="1233" w:type="dxa"/>
          </w:tcPr>
          <w:p>
            <w:pPr>
              <w:pStyle w:val="Compact"/>
              <w:spacing w:after="40"/>
              <w:jc w:val="left"/>
            </w:pPr>
            <w:r>
              <w:rPr>
                <w:sz w:val="18"/>
              </w:rPr>
              <w:t xml:space="preserve">6</w:t>
            </w:r>
          </w:p>
        </w:tc>
        <w:tc>
          <w:tcPr>
            <w:tcW w:w="3700" w:type="dxa"/>
          </w:tcPr>
          <w:p>
            <w:pPr>
              <w:pStyle w:val="Compact"/>
              <w:spacing w:after="40"/>
              <w:jc w:val="left"/>
            </w:pPr>
            <w:r>
              <w:rPr>
                <w:sz w:val="18"/>
              </w:rPr>
              <w:t xml:space="preserve">Old AIF circulars of 19 Dec 2023 and 27 Mar 2024 (INV paras 25–27)</w:t>
            </w:r>
          </w:p>
        </w:tc>
        <w:tc>
          <w:tcPr>
            <w:tcW w:w="4705" w:type="dxa"/>
          </w:tcPr>
          <w:p>
            <w:pPr>
              <w:pStyle w:val="Compact"/>
              <w:spacing w:after="40"/>
              <w:jc w:val="left"/>
            </w:pPr>
            <w:r>
              <w:rPr>
                <w:sz w:val="18"/>
              </w:rPr>
              <w:t xml:space="preserve">RBI (Investment in AIF) Directions, 2025 from 1 Jan 2026 (</w:t>
            </w:r>
            <w:r>
              <w:rPr>
                <w:rStyle w:val="VerbatimChar"/>
                <w:sz w:val="18"/>
              </w:rPr>
              <w:t xml:space="preserve">RBI-AIF</w:t>
            </w:r>
            <w:r>
              <w:rPr>
                <w:sz w:val="18"/>
              </w:rPr>
              <w:t xml:space="preserve">; Part 8A.5 v1.5 note)</w:t>
            </w:r>
          </w:p>
        </w:tc>
      </w:tr>
    </w:tbl>
    <w:bookmarkEnd w:id="826"/>
    <w:bookmarkStart w:id="827" w:name="a.37.2-v1.5-verify-register"/>
    <w:p>
      <w:pPr>
        <w:pStyle w:val="Heading3"/>
      </w:pPr>
      <w:r>
        <w:t xml:space="preserve">8A.37.2 v1.5 [VERIFY] register</w:t>
      </w:r>
    </w:p>
    <w:p>
      <w:pPr>
        <w:pStyle w:val="FirstParagraph"/>
      </w:pPr>
      <w:r>
        <w:t xml:space="preserve">Count the</w:t>
      </w:r>
      <w:r>
        <w:t xml:space="preserve"> </w:t>
      </w:r>
      <w:r>
        <w:rPr>
          <w:rStyle w:val="VerbatimChar"/>
        </w:rPr>
        <w:t xml:space="preserve">[VERIFY]</w:t>
      </w:r>
      <w:r>
        <w:t xml:space="preserve"> </w:t>
      </w:r>
      <w:r>
        <w:t xml:space="preserve">markers in Parts 7B–7L at Phase 0 (most sit in 7G, 7F and 7B). Load each into</w:t>
      </w:r>
      <w:r>
        <w:t xml:space="preserve"> </w:t>
      </w:r>
      <w:r>
        <w:rPr>
          <w:rStyle w:val="VerbatimChar"/>
        </w:rPr>
        <w:t xml:space="preserve">docs/compliance/regulatory-register.md</w:t>
      </w:r>
      <w:r>
        <w:t xml:space="preserve"> </w:t>
      </w:r>
      <w:r>
        <w:t xml:space="preserve">as an unresolved question with its Part, section and the source to check; no rule pack or output that depends on it is marked</w:t>
      </w:r>
      <w:r>
        <w:t xml:space="preserve"> </w:t>
      </w:r>
      <w:r>
        <w:t xml:space="preserve">“</w:t>
      </w:r>
      <w:r>
        <w:t xml:space="preserve">verified</w:t>
      </w:r>
      <w:r>
        <w:t xml:space="preserve">”</w:t>
      </w:r>
      <w:r>
        <w:t xml:space="preserve"> </w:t>
      </w:r>
      <w:r>
        <w:t xml:space="preserve">until it is cleared. The main themes: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72"/>
        <w:gridCol w:w="7566"/>
      </w:tblGrid>
      <w:tr>
        <w:trPr>
          <w:tblHeader w:val="true"/>
          <w:tblHeader w:val="true"/>
        </w:trPr>
        <w:tc>
          <w:tcPr>
            <w:tcW w:w="2072" w:type="dxa"/>
            <w:shd w:val="clear" w:color="auto" w:fill="1F3A5F"/>
          </w:tcPr>
          <w:p>
            <w:pPr>
              <w:pStyle w:val="Compact"/>
              <w:spacing w:after="40"/>
              <w:jc w:val="left"/>
            </w:pPr>
            <w:r>
              <w:rPr>
                <w:b/>
                <w:color w:val="FFFFFF"/>
                <w:sz w:val="18"/>
              </w:rPr>
              <w:t xml:space="preserve">Part</w:t>
            </w:r>
          </w:p>
        </w:tc>
        <w:tc>
          <w:tcPr>
            <w:tcW w:w="7566" w:type="dxa"/>
            <w:shd w:val="clear" w:color="auto" w:fill="1F3A5F"/>
          </w:tcPr>
          <w:p>
            <w:pPr>
              <w:pStyle w:val="Compact"/>
              <w:spacing w:after="40"/>
              <w:jc w:val="left"/>
            </w:pPr>
            <w:r>
              <w:rPr>
                <w:b/>
                <w:color w:val="FFFFFF"/>
                <w:sz w:val="18"/>
              </w:rPr>
              <w:t xml:space="preserve">Main open themes</w:t>
            </w:r>
          </w:p>
        </w:tc>
      </w:tr>
      <w:tr>
        <w:tc>
          <w:tcPr>
            <w:tcW w:w="2072" w:type="dxa"/>
          </w:tcPr>
          <w:p>
            <w:pPr>
              <w:pStyle w:val="Compact"/>
              <w:spacing w:after="40"/>
              <w:jc w:val="left"/>
            </w:pPr>
            <w:r>
              <w:rPr>
                <w:sz w:val="18"/>
              </w:rPr>
              <w:t xml:space="preserve">7B Returns and bureaus</w:t>
            </w:r>
          </w:p>
        </w:tc>
        <w:tc>
          <w:tcPr>
            <w:tcW w:w="7566" w:type="dxa"/>
          </w:tcPr>
          <w:p>
            <w:pPr>
              <w:pStyle w:val="Compact"/>
              <w:spacing w:after="40"/>
              <w:jc w:val="left"/>
            </w:pPr>
            <w:r>
              <w:rPr>
                <w:sz w:val="18"/>
              </w:rPr>
              <w:t xml:space="preserve">NHB return list and portal for HFCs; row-by-row return lists for commercial banks (</w:t>
            </w:r>
            <w:r>
              <w:rPr>
                <w:rStyle w:val="VerbatimChar"/>
                <w:sz w:val="18"/>
              </w:rPr>
              <w:t xml:space="preserve">CB-SR</w:t>
            </w:r>
            <w:r>
              <w:rPr>
                <w:sz w:val="18"/>
              </w:rPr>
              <w:t xml:space="preserve">), UCBs, ARCs, StCBs and DCCBs (NABARD ENSURE), IFSCA entities and co-operative Registrars; CIMS system-to-system (ADF) availability for NBFCs, the DSC requirement and the resubmission procedure; the ₹500 crore CRILC qualifier for ICCs and MFIs (seek RBI DoS clarification); LEF template and periodicity; Form A filing channel; PML Rules r.8 timelines and the FIU-IND format-guide version; CERSAI late fees; SFT and FATCA forms under the Income-tax Rules 2026; CIC rejection dates in February, validator availability and full UCRF code lists; penalty quantum under RBI Act ss.58B and 58G</w:t>
            </w:r>
          </w:p>
        </w:tc>
      </w:tr>
      <w:tr>
        <w:tc>
          <w:tcPr>
            <w:tcW w:w="2072" w:type="dxa"/>
          </w:tcPr>
          <w:p>
            <w:pPr>
              <w:pStyle w:val="Compact"/>
              <w:spacing w:after="40"/>
              <w:jc w:val="left"/>
            </w:pPr>
            <w:r>
              <w:rPr>
                <w:sz w:val="18"/>
              </w:rPr>
              <w:t xml:space="preserve">7C Accounting and tax</w:t>
            </w:r>
          </w:p>
        </w:tc>
        <w:tc>
          <w:tcPr>
            <w:tcW w:w="7566" w:type="dxa"/>
          </w:tcPr>
          <w:p>
            <w:pPr>
              <w:pStyle w:val="Compact"/>
              <w:spacing w:after="40"/>
              <w:jc w:val="left"/>
            </w:pPr>
            <w:r>
              <w:rPr>
                <w:sz w:val="18"/>
              </w:rPr>
              <w:t xml:space="preserve">Ind AS applicability to ARCs (Rule 4 limb) and to IFSC finance companies (Ind AS or IFRS); bar on voluntary Ind AS adoption by NBFCs; 2025 consolidated FS Directions for banks and UCBs; co-operative statement formats per State and under MSCS; whether the AOC-4 NBFC (Ind AS) form takes XBRL or structured data; GST SAC per fee after Circular 245, IMS cut-off, GSTR-9C threshold and GSTN API terms; Income-tax Act 2025 serials, codes and forms (Form 168, s.31 NBFC cap, s.56 re-notification, s.129 lender condition, Form 140 utility) and CBDT transition FAQs; any 2025–26 Schedule III amendment</w:t>
            </w:r>
          </w:p>
        </w:tc>
      </w:tr>
      <w:tr>
        <w:tc>
          <w:tcPr>
            <w:tcW w:w="2072" w:type="dxa"/>
          </w:tcPr>
          <w:p>
            <w:pPr>
              <w:pStyle w:val="Compact"/>
              <w:spacing w:after="40"/>
              <w:jc w:val="left"/>
            </w:pPr>
            <w:r>
              <w:rPr>
                <w:sz w:val="18"/>
              </w:rPr>
              <w:t xml:space="preserve">7D Audit</w:t>
            </w:r>
          </w:p>
        </w:tc>
        <w:tc>
          <w:tcPr>
            <w:tcW w:w="7566" w:type="dxa"/>
          </w:tcPr>
          <w:p>
            <w:pPr>
              <w:pStyle w:val="Compact"/>
              <w:spacing w:after="40"/>
              <w:jc w:val="left"/>
            </w:pPr>
            <w:r>
              <w:rPr>
                <w:rStyle w:val="VerbatimChar"/>
                <w:sz w:val="18"/>
              </w:rPr>
              <w:t xml:space="preserve">CB-CA</w:t>
            </w:r>
            <w:r>
              <w:rPr>
                <w:sz w:val="18"/>
              </w:rPr>
              <w:t xml:space="preserve"> </w:t>
            </w:r>
            <w:r>
              <w:rPr>
                <w:sz w:val="18"/>
              </w:rPr>
              <w:t xml:space="preserve">coverage (PDF not read); ICAI editions (SA 230 retention, concurrent-audit manual, IFC guidance note, LFAR chapters); CARO applicability and thresholds; the PBC test treatment of bank deposits (AUD para 6(2)); secretarial-audit thresholds and the CSAS Revised Edition 2026 effective date; SS-1 and SS-2 clocks; texts of RBI Act ss.45N and 45NB, the NHB inspection section, CA13 s.143(1) and DPDP s.7(c)–(d); counsel opinion on legally compelled access; RBI SupTech developments</w:t>
            </w:r>
          </w:p>
        </w:tc>
      </w:tr>
      <w:tr>
        <w:tc>
          <w:tcPr>
            <w:tcW w:w="2072" w:type="dxa"/>
          </w:tcPr>
          <w:p>
            <w:pPr>
              <w:pStyle w:val="Compact"/>
              <w:spacing w:after="40"/>
              <w:jc w:val="left"/>
            </w:pPr>
            <w:r>
              <w:rPr>
                <w:sz w:val="18"/>
              </w:rPr>
              <w:t xml:space="preserve">7E Risk and capital</w:t>
            </w:r>
          </w:p>
        </w:tc>
        <w:tc>
          <w:tcPr>
            <w:tcW w:w="7566" w:type="dxa"/>
          </w:tcPr>
          <w:p>
            <w:pPr>
              <w:pStyle w:val="Compact"/>
              <w:spacing w:after="40"/>
              <w:jc w:val="left"/>
            </w:pPr>
            <w:r>
              <w:rPr>
                <w:sz w:val="18"/>
              </w:rPr>
              <w:t xml:space="preserve">Capital, ICAAP, LCR, RMC and CRO applicability for SFBs, UCBs, StCBs, DCCBs, CICs and ARCs; bank capital paragraphs, leverage, NSFR and the operational-risk standardised-approach effective date; UCB tier thresholds, Supervisory Action Framework and PSL sub-targets; HFC risk weights and LTV paragraphs; CIC ANW/RWA and leverage; LODR Reg 21 RMC scope; MSCS reserve-fund clause; SMA-0 definition; complaint-rate paragraph</w:t>
            </w:r>
          </w:p>
        </w:tc>
      </w:tr>
      <w:tr>
        <w:tc>
          <w:tcPr>
            <w:tcW w:w="2072" w:type="dxa"/>
          </w:tcPr>
          <w:p>
            <w:pPr>
              <w:pStyle w:val="Compact"/>
              <w:spacing w:after="40"/>
              <w:jc w:val="left"/>
            </w:pPr>
            <w:r>
              <w:rPr>
                <w:sz w:val="18"/>
              </w:rPr>
              <w:t xml:space="preserve">7F Governance, HRMS, workplace</w:t>
            </w:r>
          </w:p>
        </w:tc>
        <w:tc>
          <w:tcPr>
            <w:tcW w:w="7566" w:type="dxa"/>
          </w:tcPr>
          <w:p>
            <w:pPr>
              <w:pStyle w:val="Compact"/>
              <w:spacing w:after="40"/>
              <w:jc w:val="left"/>
            </w:pPr>
            <w:r>
              <w:rPr>
                <w:sz w:val="18"/>
              </w:rPr>
              <w:t xml:space="preserve">LODR, PIT and ICDR thresholds and timelines; MCA form names and Accounts Rules r.3 text; scope of the s.117(3)(g) proviso for NBFC lending resolutions; director KYC cycle; bank governance Directions; Labour Code State rules (Delhi, Uttar Pradesh, Rajasthan, Karnataka, Maharashtra, Gujarat), percentages, ceilings and Central Rules r.27–28; Income-tax Act 2025 Form 138 and the Form 12BB successor; Microsoft 365 Default Geography evidence and the</w:t>
            </w:r>
            <w:r>
              <w:rPr>
                <w:sz w:val="18"/>
              </w:rPr>
              <w:t xml:space="preserve"> </w:t>
            </w:r>
            <w:r>
              <w:rPr>
                <w:rStyle w:val="VerbatimChar"/>
                <w:sz w:val="18"/>
              </w:rPr>
              <w:t xml:space="preserve">usageLocation</w:t>
            </w:r>
            <w:r>
              <w:rPr>
                <w:sz w:val="18"/>
              </w:rPr>
              <w:t xml:space="preserve"> </w:t>
            </w:r>
            <w:r>
              <w:rPr>
                <w:sz w:val="18"/>
              </w:rPr>
              <w:t xml:space="preserve">prerequisite; suite edition limits and entitlements</w:t>
            </w:r>
          </w:p>
        </w:tc>
      </w:tr>
      <w:tr>
        <w:tc>
          <w:tcPr>
            <w:tcW w:w="2072" w:type="dxa"/>
          </w:tcPr>
          <w:p>
            <w:pPr>
              <w:pStyle w:val="Compact"/>
              <w:spacing w:after="40"/>
              <w:jc w:val="left"/>
            </w:pPr>
            <w:r>
              <w:rPr>
                <w:sz w:val="18"/>
              </w:rPr>
              <w:t xml:space="preserve">7G Institution profiles</w:t>
            </w:r>
          </w:p>
        </w:tc>
        <w:tc>
          <w:tcPr>
            <w:tcW w:w="7566" w:type="dxa"/>
          </w:tcPr>
          <w:p>
            <w:pPr>
              <w:pStyle w:val="Compact"/>
              <w:spacing w:after="40"/>
              <w:jc w:val="left"/>
            </w:pPr>
            <w:r>
              <w:rPr>
                <w:sz w:val="18"/>
              </w:rPr>
              <w:t xml:space="preserve">MSCS and State Act sections, rules and notifications (recovery certificates, Souharda societies, other States); deposit and lending norms for societies; UCB tier caps; NABARD and PACS rules; MFIN Guardrails sub-targets; whether a separate microfinance contact window survives 1 Jan 2027; Karnataka and Tamil Nadu Act hooks; every ARC paragraph number, SR rules and CIR text for ARCs; IFSCA return list and rates; PSL targets; rating scales</w:t>
            </w:r>
          </w:p>
        </w:tc>
      </w:tr>
      <w:tr>
        <w:tc>
          <w:tcPr>
            <w:tcW w:w="2072" w:type="dxa"/>
          </w:tcPr>
          <w:p>
            <w:pPr>
              <w:pStyle w:val="Compact"/>
              <w:spacing w:after="40"/>
              <w:jc w:val="left"/>
            </w:pPr>
            <w:r>
              <w:rPr>
                <w:sz w:val="18"/>
              </w:rPr>
              <w:t xml:space="preserve">7H Investments</w:t>
            </w:r>
          </w:p>
        </w:tc>
        <w:tc>
          <w:tcPr>
            <w:tcW w:w="7566" w:type="dxa"/>
          </w:tcPr>
          <w:p>
            <w:pPr>
              <w:pStyle w:val="Compact"/>
              <w:spacing w:after="40"/>
              <w:jc w:val="left"/>
            </w:pPr>
            <w:r>
              <w:rPr>
                <w:sz w:val="18"/>
              </w:rPr>
              <w:t xml:space="preserve">Final</w:t>
            </w:r>
            <w:r>
              <w:rPr>
                <w:sz w:val="18"/>
              </w:rPr>
              <w:t xml:space="preserve"> </w:t>
            </w:r>
            <w:r>
              <w:rPr>
                <w:rStyle w:val="VerbatimChar"/>
                <w:sz w:val="18"/>
              </w:rPr>
              <w:t xml:space="preserve">RBI-AIF</w:t>
            </w:r>
            <w:r>
              <w:rPr>
                <w:sz w:val="18"/>
              </w:rPr>
              <w:t xml:space="preserve"> </w:t>
            </w:r>
            <w:r>
              <w:rPr>
                <w:sz w:val="18"/>
              </w:rPr>
              <w:t xml:space="preserve">paragraph numbers and the look-through base; SEBI MF categorisation cut-offs and current AIF circulars; the NBFC position on derivatives and arbitrage (FMRD and DoR); market-data providers and licence terms; settlement cycles by segment; Ind AS 109 paragraph numbers; Income-tax Act 2025 treatment; IFSC fund rules; ICAI position on AS 13</w:t>
            </w:r>
          </w:p>
        </w:tc>
      </w:tr>
      <w:tr>
        <w:tc>
          <w:tcPr>
            <w:tcW w:w="2072" w:type="dxa"/>
          </w:tcPr>
          <w:p>
            <w:pPr>
              <w:pStyle w:val="Compact"/>
              <w:spacing w:after="40"/>
              <w:jc w:val="left"/>
            </w:pPr>
            <w:r>
              <w:rPr>
                <w:sz w:val="18"/>
              </w:rPr>
              <w:t xml:space="preserve">7J Portability</w:t>
            </w:r>
          </w:p>
        </w:tc>
        <w:tc>
          <w:tcPr>
            <w:tcW w:w="7566" w:type="dxa"/>
          </w:tcPr>
          <w:p>
            <w:pPr>
              <w:pStyle w:val="Compact"/>
              <w:spacing w:after="40"/>
              <w:jc w:val="left"/>
            </w:pPr>
            <w:r>
              <w:rPr>
                <w:sz w:val="18"/>
              </w:rPr>
              <w:t xml:space="preserve">None; the Part relies on OUT and CYB paragraphs already verified in Part 8A</w:t>
            </w:r>
          </w:p>
        </w:tc>
      </w:tr>
      <w:tr>
        <w:tc>
          <w:tcPr>
            <w:tcW w:w="2072" w:type="dxa"/>
          </w:tcPr>
          <w:p>
            <w:pPr>
              <w:pStyle w:val="Compact"/>
              <w:spacing w:after="40"/>
              <w:jc w:val="left"/>
            </w:pPr>
            <w:r>
              <w:rPr>
                <w:sz w:val="18"/>
              </w:rPr>
              <w:t xml:space="preserve">7K Billing</w:t>
            </w:r>
          </w:p>
        </w:tc>
        <w:tc>
          <w:tcPr>
            <w:tcW w:w="7566" w:type="dxa"/>
          </w:tcPr>
          <w:p>
            <w:pPr>
              <w:pStyle w:val="Compact"/>
              <w:spacing w:after="40"/>
              <w:jc w:val="left"/>
            </w:pPr>
            <w:r>
              <w:rPr>
                <w:sz w:val="18"/>
              </w:rPr>
              <w:t xml:space="preserve">GST SAC for SaaS and IT services; TDS section and rate on software and technical services under the 2025 Act; Razorpay’s payment-aggregator authorisation reference; invoicing of IFSC tenants</w:t>
            </w:r>
          </w:p>
        </w:tc>
      </w:tr>
      <w:tr>
        <w:tc>
          <w:tcPr>
            <w:tcW w:w="2072" w:type="dxa"/>
          </w:tcPr>
          <w:p>
            <w:pPr>
              <w:pStyle w:val="Compact"/>
              <w:spacing w:after="40"/>
              <w:jc w:val="left"/>
            </w:pPr>
            <w:r>
              <w:rPr>
                <w:sz w:val="18"/>
              </w:rPr>
              <w:t xml:space="preserve">7L Engineering and voice</w:t>
            </w:r>
          </w:p>
        </w:tc>
        <w:tc>
          <w:tcPr>
            <w:tcW w:w="7566" w:type="dxa"/>
          </w:tcPr>
          <w:p>
            <w:pPr>
              <w:pStyle w:val="Compact"/>
              <w:spacing w:after="40"/>
              <w:jc w:val="left"/>
            </w:pPr>
            <w:r>
              <w:rPr>
                <w:sz w:val="18"/>
              </w:rPr>
              <w:t xml:space="preserve">1601 sub-series for RBI-regulated entities; each voice provider’s DLT, 1600-series and residency position; GitHub plan packaging and price; ISO editions and certification-body practice; JioCX contract terms; details of the TCCCPR amendment</w:t>
            </w:r>
          </w:p>
        </w:tc>
      </w:tr>
      <w:tr>
        <w:tc>
          <w:tcPr>
            <w:tcW w:w="2072" w:type="dxa"/>
          </w:tcPr>
          <w:p>
            <w:pPr>
              <w:pStyle w:val="Compact"/>
              <w:spacing w:after="40"/>
              <w:jc w:val="left"/>
            </w:pPr>
            <w:r>
              <w:rPr>
                <w:sz w:val="18"/>
              </w:rPr>
              <w:t xml:space="preserve">Edits elsewhere (v1.5)</w:t>
            </w:r>
          </w:p>
        </w:tc>
        <w:tc>
          <w:tcPr>
            <w:tcW w:w="7566" w:type="dxa"/>
          </w:tcPr>
          <w:p>
            <w:pPr>
              <w:pStyle w:val="Compact"/>
              <w:spacing w:after="40"/>
              <w:jc w:val="left"/>
            </w:pPr>
            <w:r>
              <w:rPr>
                <w:sz w:val="18"/>
              </w:rPr>
              <w:t xml:space="preserve">RB-IOS 2026 clause numbers (M15); whether the consolidated INV text amends paras 25–27 (Part 8A.5); each regulatory portal and bureau channel in Part 9.2; market-data licence terms; JioCX contract and API terms</w:t>
            </w:r>
          </w:p>
        </w:tc>
      </w:tr>
    </w:tbl>
    <w:p>
      <w:r>
        <w:pict>
          <v:rect style="width:0;height:1.5pt" o:hralign="center" o:hrstd="t" o:hr="t"/>
        </w:pict>
      </w:r>
    </w:p>
    <w:bookmarkEnd w:id="827"/>
    <w:bookmarkEnd w:id="828"/>
    <w:bookmarkEnd w:id="829"/>
    <w:bookmarkStart w:id="832" w:name="part-9-integrations-provider-adapters"/>
    <w:p>
      <w:pPr>
        <w:pStyle w:val="Heading1"/>
      </w:pPr>
      <w:r>
        <w:t xml:space="preserve">PART 9 — INTEGRATIONS (PROVIDER ADAPTERS)</w:t>
      </w:r>
    </w:p>
    <w:bookmarkStart w:id="830" w:name="design-rules"/>
    <w:p>
      <w:pPr>
        <w:pStyle w:val="Heading2"/>
      </w:pPr>
      <w:r>
        <w:t xml:space="preserve">9.1 Design rules</w:t>
      </w:r>
    </w:p>
    <w:p>
      <w:pPr>
        <w:numPr>
          <w:ilvl w:val="0"/>
          <w:numId w:val="2018"/>
        </w:numPr>
        <w:pStyle w:val="Compact"/>
      </w:pPr>
      <w:r>
        <w:t xml:space="preserve">Keep provider-specific operations behind domain interfaces, for example:</w:t>
      </w:r>
    </w:p>
    <w:p>
      <w:pPr>
        <w:numPr>
          <w:ilvl w:val="1"/>
          <w:numId w:val="2019"/>
        </w:numPr>
        <w:pStyle w:val="Compact"/>
      </w:pPr>
      <w:r>
        <w:rPr>
          <w:rStyle w:val="VerbatimChar"/>
        </w:rPr>
        <w:t xml:space="preserve">KycProvider</w:t>
      </w:r>
      <w:r>
        <w:t xml:space="preserve">,</w:t>
      </w:r>
      <w:r>
        <w:t xml:space="preserve"> </w:t>
      </w:r>
      <w:r>
        <w:rPr>
          <w:rStyle w:val="VerbatimChar"/>
        </w:rPr>
        <w:t xml:space="preserve">BureauProvider</w:t>
      </w:r>
      <w:r>
        <w:t xml:space="preserve">,</w:t>
      </w:r>
      <w:r>
        <w:t xml:space="preserve"> </w:t>
      </w:r>
      <w:r>
        <w:rPr>
          <w:rStyle w:val="VerbatimChar"/>
        </w:rPr>
        <w:t xml:space="preserve">AccountAggregatorFIU</w:t>
      </w:r>
      <w:r>
        <w:t xml:space="preserve">,</w:t>
      </w:r>
      <w:r>
        <w:t xml:space="preserve"> </w:t>
      </w:r>
      <w:r>
        <w:rPr>
          <w:rStyle w:val="VerbatimChar"/>
        </w:rPr>
        <w:t xml:space="preserve">BankStatementAnalyser</w:t>
      </w:r>
      <w:r>
        <w:t xml:space="preserve">;</w:t>
      </w:r>
    </w:p>
    <w:p>
      <w:pPr>
        <w:numPr>
          <w:ilvl w:val="1"/>
          <w:numId w:val="2019"/>
        </w:numPr>
        <w:pStyle w:val="Compact"/>
      </w:pPr>
      <w:r>
        <w:rPr>
          <w:rStyle w:val="VerbatimChar"/>
        </w:rPr>
        <w:t xml:space="preserve">ESignProvider</w:t>
      </w:r>
      <w:r>
        <w:t xml:space="preserve">,</w:t>
      </w:r>
      <w:r>
        <w:t xml:space="preserve"> </w:t>
      </w:r>
      <w:r>
        <w:rPr>
          <w:rStyle w:val="VerbatimChar"/>
        </w:rPr>
        <w:t xml:space="preserve">EStampProvider</w:t>
      </w:r>
      <w:r>
        <w:t xml:space="preserve">;</w:t>
      </w:r>
    </w:p>
    <w:p>
      <w:pPr>
        <w:numPr>
          <w:ilvl w:val="1"/>
          <w:numId w:val="2019"/>
        </w:numPr>
        <w:pStyle w:val="Compact"/>
      </w:pPr>
      <w:r>
        <w:rPr>
          <w:rStyle w:val="VerbatimChar"/>
        </w:rPr>
        <w:t xml:space="preserve">MandateProvider</w:t>
      </w:r>
      <w:r>
        <w:t xml:space="preserve">,</w:t>
      </w:r>
      <w:r>
        <w:t xml:space="preserve"> </w:t>
      </w:r>
      <w:r>
        <w:rPr>
          <w:rStyle w:val="VerbatimChar"/>
        </w:rPr>
        <w:t xml:space="preserve">PaymentGateway</w:t>
      </w:r>
      <w:r>
        <w:t xml:space="preserve">,</w:t>
      </w:r>
      <w:r>
        <w:t xml:space="preserve"> </w:t>
      </w:r>
      <w:r>
        <w:rPr>
          <w:rStyle w:val="VerbatimChar"/>
        </w:rPr>
        <w:t xml:space="preserve">PayoutProvider</w:t>
      </w:r>
      <w:r>
        <w:t xml:space="preserve">;</w:t>
      </w:r>
    </w:p>
    <w:p>
      <w:pPr>
        <w:numPr>
          <w:ilvl w:val="1"/>
          <w:numId w:val="2019"/>
        </w:numPr>
        <w:pStyle w:val="Compact"/>
      </w:pPr>
      <w:r>
        <w:rPr>
          <w:rStyle w:val="VerbatimChar"/>
        </w:rPr>
        <w:t xml:space="preserve">DepositoryPledgeProvider</w:t>
      </w:r>
      <w:r>
        <w:t xml:space="preserve">,</w:t>
      </w:r>
      <w:r>
        <w:t xml:space="preserve"> </w:t>
      </w:r>
      <w:r>
        <w:rPr>
          <w:rStyle w:val="VerbatimChar"/>
        </w:rPr>
        <w:t xml:space="preserve">MfLienProvider</w:t>
      </w:r>
      <w:r>
        <w:t xml:space="preserve">;</w:t>
      </w:r>
    </w:p>
    <w:p>
      <w:pPr>
        <w:numPr>
          <w:ilvl w:val="1"/>
          <w:numId w:val="2019"/>
        </w:numPr>
        <w:pStyle w:val="Compact"/>
      </w:pPr>
      <w:r>
        <w:rPr>
          <w:rStyle w:val="VerbatimChar"/>
        </w:rPr>
        <w:t xml:space="preserve">NotificationProvider</w:t>
      </w:r>
      <w:r>
        <w:t xml:space="preserve">,</w:t>
      </w:r>
      <w:r>
        <w:t xml:space="preserve"> </w:t>
      </w:r>
      <w:r>
        <w:rPr>
          <w:rStyle w:val="VerbatimChar"/>
        </w:rPr>
        <w:t xml:space="preserve">AccountingSink</w:t>
      </w:r>
      <w:r>
        <w:t xml:space="preserve">;</w:t>
      </w:r>
    </w:p>
    <w:p>
      <w:pPr>
        <w:numPr>
          <w:ilvl w:val="1"/>
          <w:numId w:val="2019"/>
        </w:numPr>
        <w:pStyle w:val="Compact"/>
      </w:pPr>
      <w:r>
        <w:rPr>
          <w:rStyle w:val="VerbatimChar"/>
        </w:rPr>
        <w:t xml:space="preserve">LspConnector</w:t>
      </w:r>
      <w:r>
        <w:t xml:space="preserve">,</w:t>
      </w:r>
      <w:r>
        <w:t xml:space="preserve"> </w:t>
      </w:r>
      <w:r>
        <w:rPr>
          <w:rStyle w:val="VerbatimChar"/>
        </w:rPr>
        <w:t xml:space="preserve">OdrProvider</w:t>
      </w:r>
      <w:r>
        <w:t xml:space="preserve">,</w:t>
      </w:r>
      <w:r>
        <w:t xml:space="preserve"> </w:t>
      </w:r>
      <w:r>
        <w:rPr>
          <w:rStyle w:val="VerbatimChar"/>
        </w:rPr>
        <w:t xml:space="preserve">GrcSink</w:t>
      </w:r>
      <w:r>
        <w:t xml:space="preserve"> </w:t>
      </w:r>
      <w:r>
        <w:t xml:space="preserve">(generalised in v1.4 to</w:t>
      </w:r>
      <w:r>
        <w:t xml:space="preserve"> </w:t>
      </w:r>
      <w:r>
        <w:rPr>
          <w:rStyle w:val="VerbatimChar"/>
        </w:rPr>
        <w:t xml:space="preserve">GrcConnector</w:t>
      </w:r>
      <w:r>
        <w:t xml:space="preserve">);</w:t>
      </w:r>
    </w:p>
    <w:p>
      <w:pPr>
        <w:numPr>
          <w:ilvl w:val="1"/>
          <w:numId w:val="2019"/>
        </w:numPr>
        <w:pStyle w:val="Compact"/>
      </w:pPr>
      <w:r>
        <w:rPr>
          <w:rStyle w:val="VerbatimChar"/>
        </w:rPr>
        <w:t xml:space="preserve">NoticeDispatchProvider</w:t>
      </w:r>
      <w:r>
        <w:t xml:space="preserve">,</w:t>
      </w:r>
      <w:r>
        <w:t xml:space="preserve"> </w:t>
      </w:r>
      <w:r>
        <w:rPr>
          <w:rStyle w:val="VerbatimChar"/>
        </w:rPr>
        <w:t xml:space="preserve">CourtDataProvider</w:t>
      </w:r>
      <w:r>
        <w:t xml:space="preserve">,</w:t>
      </w:r>
      <w:r>
        <w:t xml:space="preserve"> </w:t>
      </w:r>
      <w:r>
        <w:rPr>
          <w:rStyle w:val="VerbatimChar"/>
        </w:rPr>
        <w:t xml:space="preserve">AuctionPlatform</w:t>
      </w:r>
      <w:r>
        <w:t xml:space="preserve">,</w:t>
      </w:r>
      <w:r>
        <w:t xml:space="preserve"> </w:t>
      </w:r>
      <w:r>
        <w:rPr>
          <w:rStyle w:val="VerbatimChar"/>
        </w:rPr>
        <w:t xml:space="preserve">CollectionAgencyConnector</w:t>
      </w:r>
      <w:r>
        <w:t xml:space="preserve">,</w:t>
      </w:r>
      <w:r>
        <w:t xml:space="preserve"> </w:t>
      </w:r>
      <w:r>
        <w:rPr>
          <w:rStyle w:val="VerbatimChar"/>
        </w:rPr>
        <w:t xml:space="preserve">DiallerProvider</w:t>
      </w:r>
      <w:r>
        <w:t xml:space="preserve">,</w:t>
      </w:r>
      <w:r>
        <w:t xml:space="preserve"> </w:t>
      </w:r>
      <w:r>
        <w:rPr>
          <w:rStyle w:val="VerbatimChar"/>
        </w:rPr>
        <w:t xml:space="preserve">LosLmsConnector</w:t>
      </w:r>
      <w:r>
        <w:t xml:space="preserve"> </w:t>
      </w:r>
      <w:r>
        <w:t xml:space="preserve">(v1.4; Part 7A and Phase 16b);</w:t>
      </w:r>
    </w:p>
    <w:p>
      <w:pPr>
        <w:numPr>
          <w:ilvl w:val="1"/>
          <w:numId w:val="2019"/>
        </w:numPr>
        <w:pStyle w:val="Compact"/>
      </w:pPr>
      <w:r>
        <w:rPr>
          <w:rStyle w:val="VerbatimChar"/>
        </w:rPr>
        <w:t xml:space="preserve">StorageProvider</w:t>
      </w:r>
      <w:r>
        <w:t xml:space="preserve">,</w:t>
      </w:r>
      <w:r>
        <w:t xml:space="preserve"> </w:t>
      </w:r>
      <w:r>
        <w:rPr>
          <w:rStyle w:val="VerbatimChar"/>
        </w:rPr>
        <w:t xml:space="preserve">LlmProvider</w:t>
      </w:r>
      <w:r>
        <w:t xml:space="preserve">;</w:t>
      </w:r>
    </w:p>
    <w:p>
      <w:pPr>
        <w:numPr>
          <w:ilvl w:val="1"/>
          <w:numId w:val="2019"/>
        </w:numPr>
        <w:pStyle w:val="Compact"/>
      </w:pPr>
      <w:r>
        <w:rPr>
          <w:rStyle w:val="VerbatimChar"/>
        </w:rPr>
        <w:t xml:space="preserve">StorageTarget</w:t>
      </w:r>
      <w:r>
        <w:t xml:space="preserve"> </w:t>
      </w:r>
      <w:r>
        <w:t xml:space="preserve">(Part 7J DP3),</w:t>
      </w:r>
      <w:r>
        <w:t xml:space="preserve"> </w:t>
      </w:r>
      <w:r>
        <w:rPr>
          <w:rStyle w:val="VerbatimChar"/>
        </w:rPr>
        <w:t xml:space="preserve">WorkplaceProvider</w:t>
      </w:r>
      <w:r>
        <w:t xml:space="preserve"> </w:t>
      </w:r>
      <w:r>
        <w:t xml:space="preserve">(Part 7F GV7),</w:t>
      </w:r>
      <w:r>
        <w:t xml:space="preserve"> </w:t>
      </w:r>
      <w:r>
        <w:rPr>
          <w:rStyle w:val="VerbatimChar"/>
        </w:rPr>
        <w:t xml:space="preserve">VoiceProvider</w:t>
      </w:r>
      <w:r>
        <w:t xml:space="preserve">,</w:t>
      </w:r>
      <w:r>
        <w:t xml:space="preserve"> </w:t>
      </w:r>
      <w:r>
        <w:rPr>
          <w:rStyle w:val="VerbatimChar"/>
        </w:rPr>
        <w:t xml:space="preserve">MessagingProvider</w:t>
      </w:r>
      <w:r>
        <w:t xml:space="preserve">,</w:t>
      </w:r>
      <w:r>
        <w:t xml:space="preserve"> </w:t>
      </w:r>
      <w:r>
        <w:rPr>
          <w:rStyle w:val="VerbatimChar"/>
        </w:rPr>
        <w:t xml:space="preserve">SpeechProvider</w:t>
      </w:r>
      <w:r>
        <w:t xml:space="preserve"> </w:t>
      </w:r>
      <w:r>
        <w:t xml:space="preserve">and</w:t>
      </w:r>
      <w:r>
        <w:t xml:space="preserve"> </w:t>
      </w:r>
      <w:r>
        <w:rPr>
          <w:rStyle w:val="VerbatimChar"/>
        </w:rPr>
        <w:t xml:space="preserve">JioCxAdapter</w:t>
      </w:r>
      <w:r>
        <w:t xml:space="preserve"> </w:t>
      </w:r>
      <w:r>
        <w:t xml:space="preserve">(Part 7L EO6) (v1.5).</w:t>
      </w:r>
    </w:p>
    <w:p>
      <w:pPr>
        <w:numPr>
          <w:ilvl w:val="0"/>
          <w:numId w:val="2018"/>
        </w:numPr>
        <w:pStyle w:val="Compact"/>
      </w:pPr>
      <w:r>
        <w:t xml:space="preserve">Do not try to make every infrastructure component interchangeable from day one.</w:t>
      </w:r>
    </w:p>
    <w:p>
      <w:pPr>
        <w:numPr>
          <w:ilvl w:val="0"/>
          <w:numId w:val="2018"/>
        </w:numPr>
        <w:pStyle w:val="Compact"/>
      </w:pPr>
      <w:r>
        <w:t xml:space="preserve">Build mock and sandbox adapters first. Clearly label mock/sandbox vs production in the UI, in logs and in config.</w:t>
      </w:r>
    </w:p>
    <w:p>
      <w:pPr>
        <w:numPr>
          <w:ilvl w:val="0"/>
          <w:numId w:val="2018"/>
        </w:numPr>
        <w:pStyle w:val="Compact"/>
      </w:pPr>
      <w:r>
        <w:t xml:space="preserve">For each adapter, document:</w:t>
      </w:r>
    </w:p>
    <w:p>
      <w:pPr>
        <w:numPr>
          <w:ilvl w:val="1"/>
          <w:numId w:val="2020"/>
        </w:numPr>
        <w:pStyle w:val="Compact"/>
      </w:pPr>
      <w:r>
        <w:t xml:space="preserve">authentication;</w:t>
      </w:r>
    </w:p>
    <w:p>
      <w:pPr>
        <w:numPr>
          <w:ilvl w:val="1"/>
          <w:numId w:val="2020"/>
        </w:numPr>
        <w:pStyle w:val="Compact"/>
      </w:pPr>
      <w:r>
        <w:t xml:space="preserve">request validation;</w:t>
      </w:r>
    </w:p>
    <w:p>
      <w:pPr>
        <w:numPr>
          <w:ilvl w:val="1"/>
          <w:numId w:val="2020"/>
        </w:numPr>
        <w:pStyle w:val="Compact"/>
      </w:pPr>
      <w:r>
        <w:t xml:space="preserve">response mapping;</w:t>
      </w:r>
    </w:p>
    <w:p>
      <w:pPr>
        <w:numPr>
          <w:ilvl w:val="1"/>
          <w:numId w:val="2020"/>
        </w:numPr>
        <w:pStyle w:val="Compact"/>
      </w:pPr>
      <w:r>
        <w:t xml:space="preserve">timeouts;</w:t>
      </w:r>
    </w:p>
    <w:p>
      <w:pPr>
        <w:numPr>
          <w:ilvl w:val="1"/>
          <w:numId w:val="2020"/>
        </w:numPr>
        <w:pStyle w:val="Compact"/>
      </w:pPr>
      <w:r>
        <w:t xml:space="preserve">retries with idempotency;</w:t>
      </w:r>
    </w:p>
    <w:p>
      <w:pPr>
        <w:numPr>
          <w:ilvl w:val="1"/>
          <w:numId w:val="2020"/>
        </w:numPr>
        <w:pStyle w:val="Compact"/>
      </w:pPr>
      <w:r>
        <w:t xml:space="preserve">duplicate handling;</w:t>
      </w:r>
    </w:p>
    <w:p>
      <w:pPr>
        <w:numPr>
          <w:ilvl w:val="1"/>
          <w:numId w:val="2020"/>
        </w:numPr>
        <w:pStyle w:val="Compact"/>
      </w:pPr>
      <w:r>
        <w:t xml:space="preserve">error taxonomy;</w:t>
      </w:r>
    </w:p>
    <w:p>
      <w:pPr>
        <w:numPr>
          <w:ilvl w:val="1"/>
          <w:numId w:val="2020"/>
        </w:numPr>
        <w:pStyle w:val="Compact"/>
      </w:pPr>
      <w:r>
        <w:t xml:space="preserve">reconciliation;</w:t>
      </w:r>
    </w:p>
    <w:p>
      <w:pPr>
        <w:numPr>
          <w:ilvl w:val="1"/>
          <w:numId w:val="2020"/>
        </w:numPr>
        <w:pStyle w:val="Compact"/>
      </w:pPr>
      <w:r>
        <w:t xml:space="preserve">credential rotation;</w:t>
      </w:r>
    </w:p>
    <w:p>
      <w:pPr>
        <w:numPr>
          <w:ilvl w:val="1"/>
          <w:numId w:val="2020"/>
        </w:numPr>
        <w:pStyle w:val="Compact"/>
      </w:pPr>
      <w:r>
        <w:t xml:space="preserve">cost per call (feeds the unit-economics reports).</w:t>
      </w:r>
    </w:p>
    <w:p>
      <w:pPr>
        <w:numPr>
          <w:ilvl w:val="0"/>
          <w:numId w:val="2018"/>
        </w:numPr>
        <w:pStyle w:val="Compact"/>
      </w:pPr>
      <w:r>
        <w:t xml:space="preserve">Do not assume every named provider offers an API or that access is automatically available. Verify current documentation, eligibility, commercial terms and authorisation requirements, and record them in</w:t>
      </w:r>
      <w:r>
        <w:t xml:space="preserve"> </w:t>
      </w:r>
      <w:r>
        <w:rPr>
          <w:rStyle w:val="VerbatimChar"/>
        </w:rPr>
        <w:t xml:space="preserve">docs/integrations/register.md</w:t>
      </w:r>
      <w:r>
        <w:t xml:space="preserve">.</w:t>
      </w:r>
    </w:p>
    <w:p>
      <w:pPr>
        <w:numPr>
          <w:ilvl w:val="0"/>
          <w:numId w:val="2018"/>
        </w:numPr>
        <w:pStyle w:val="Compact"/>
      </w:pPr>
      <w:r>
        <w:rPr>
          <w:bCs/>
          <w:b/>
        </w:rPr>
        <w:t xml:space="preserve">I (the project owner) will procure and connect live credentials.</w:t>
      </w:r>
      <w:r>
        <w:t xml:space="preserve"> </w:t>
      </w:r>
      <w:r>
        <w:t xml:space="preserve">These include Surepass (already contacted, for PAN, Aadhaar OKYC, DigiLocker, CKYC, bank verification, multi-bureau, GST, MCA, Udyam, Vahan, face match, V-CIP, eSign/eStamp and other APIs), the bureaus, eSign/eStamp providers, NSDL/CDSL, payment gateways, sponsor banks and Tally/SAP. You build the adapters, contract tests and sandbox mocks.</w:t>
      </w:r>
    </w:p>
    <w:bookmarkEnd w:id="830"/>
    <w:bookmarkStart w:id="831" w:name="integration-catalogue"/>
    <w:p>
      <w:pPr>
        <w:pStyle w:val="Heading2"/>
      </w:pPr>
      <w:r>
        <w:t xml:space="preserve">9.2 Integration catalogue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89"/>
        <w:gridCol w:w="7049"/>
      </w:tblGrid>
      <w:tr>
        <w:trPr>
          <w:tblHeader w:val="true"/>
          <w:tblHeader w:val="true"/>
        </w:trPr>
        <w:tc>
          <w:tcPr>
            <w:tcW w:w="2589" w:type="dxa"/>
            <w:shd w:val="clear" w:color="auto" w:fill="1F3A5F"/>
          </w:tcPr>
          <w:p>
            <w:pPr>
              <w:pStyle w:val="Compact"/>
              <w:spacing w:after="40"/>
              <w:jc w:val="left"/>
            </w:pPr>
            <w:r>
              <w:rPr>
                <w:b/>
                <w:color w:val="FFFFFF"/>
                <w:sz w:val="18"/>
              </w:rPr>
              <w:t xml:space="preserve">Category</w:t>
            </w:r>
          </w:p>
        </w:tc>
        <w:tc>
          <w:tcPr>
            <w:tcW w:w="7049" w:type="dxa"/>
            <w:shd w:val="clear" w:color="auto" w:fill="1F3A5F"/>
          </w:tcPr>
          <w:p>
            <w:pPr>
              <w:pStyle w:val="Compact"/>
              <w:spacing w:after="40"/>
              <w:jc w:val="left"/>
            </w:pPr>
            <w:r>
              <w:rPr>
                <w:b/>
                <w:color w:val="FFFFFF"/>
                <w:sz w:val="18"/>
              </w:rPr>
              <w:t xml:space="preserve">Candidates to support (verify each)</w:t>
            </w:r>
          </w:p>
        </w:tc>
      </w:tr>
      <w:tr>
        <w:tc>
          <w:tcPr>
            <w:tcW w:w="2589" w:type="dxa"/>
          </w:tcPr>
          <w:p>
            <w:pPr>
              <w:pStyle w:val="Compact"/>
              <w:spacing w:after="40"/>
              <w:jc w:val="left"/>
            </w:pPr>
            <w:r>
              <w:rPr>
                <w:sz w:val="18"/>
              </w:rPr>
              <w:t xml:space="preserve">KYC and identity</w:t>
            </w:r>
          </w:p>
        </w:tc>
        <w:tc>
          <w:tcPr>
            <w:tcW w:w="7049" w:type="dxa"/>
          </w:tcPr>
          <w:p>
            <w:pPr>
              <w:pStyle w:val="Compact"/>
              <w:spacing w:after="40"/>
              <w:jc w:val="left"/>
            </w:pPr>
            <w:r>
              <w:rPr>
                <w:sz w:val="18"/>
              </w:rPr>
              <w:t xml:space="preserve">Surepass (primary), Signzy, IDfy, HyperVerge, Digio, Decentro; CKYCR (CERSAI / CKYCRR 2.0); DigiLocker; UIDAI OKYC; Protean (formerly NSDL e-Gov) / UTIITSL PAN; V-CIP</w:t>
            </w:r>
          </w:p>
        </w:tc>
      </w:tr>
      <w:tr>
        <w:tc>
          <w:tcPr>
            <w:tcW w:w="2589" w:type="dxa"/>
          </w:tcPr>
          <w:p>
            <w:pPr>
              <w:pStyle w:val="Compact"/>
              <w:spacing w:after="40"/>
              <w:jc w:val="left"/>
            </w:pPr>
            <w:r>
              <w:rPr>
                <w:sz w:val="18"/>
              </w:rPr>
              <w:t xml:space="preserve">Credit bureaus</w:t>
            </w:r>
          </w:p>
        </w:tc>
        <w:tc>
          <w:tcPr>
            <w:tcW w:w="7049" w:type="dxa"/>
          </w:tcPr>
          <w:p>
            <w:pPr>
              <w:pStyle w:val="Compact"/>
              <w:spacing w:after="40"/>
              <w:jc w:val="left"/>
            </w:pPr>
            <w:r>
              <w:rPr>
                <w:sz w:val="18"/>
              </w:rPr>
              <w:t xml:space="preserve">TransUnion CIBIL, Experian, Equifax, CRIF High Mark (pull APIs and UCRF submission)</w:t>
            </w:r>
          </w:p>
        </w:tc>
      </w:tr>
      <w:tr>
        <w:tc>
          <w:tcPr>
            <w:tcW w:w="2589" w:type="dxa"/>
          </w:tcPr>
          <w:p>
            <w:pPr>
              <w:pStyle w:val="Compact"/>
              <w:spacing w:after="40"/>
              <w:jc w:val="left"/>
            </w:pPr>
            <w:r>
              <w:rPr>
                <w:sz w:val="18"/>
              </w:rPr>
              <w:t xml:space="preserve">Financial data</w:t>
            </w:r>
          </w:p>
        </w:tc>
        <w:tc>
          <w:tcPr>
            <w:tcW w:w="7049" w:type="dxa"/>
          </w:tcPr>
          <w:p>
            <w:pPr>
              <w:pStyle w:val="Compact"/>
              <w:spacing w:after="40"/>
              <w:jc w:val="left"/>
            </w:pPr>
            <w:r>
              <w:rPr>
                <w:sz w:val="18"/>
              </w:rPr>
              <w:t xml:space="preserve">Account Aggregator: the tenant (FIU) connects to licensed NBFC-AAs (e.g. Finvu, Anumati) directly or through an FIU gateway/technology provider (e.g. Setu, FinBox). Record the AA and the gateway separately [VERIFY licences]. Deposit-taking tenants also need an FIP endpoint (AA para 29); bank-statement analysers (Perfios, FinBox, Scoreme); GSTN; ITR/AIS; EPFO; MCA; Udyam; ULI (RBIH Unified Lending Interface) where the tenant is onboarded</w:t>
            </w:r>
          </w:p>
        </w:tc>
      </w:tr>
      <w:tr>
        <w:tc>
          <w:tcPr>
            <w:tcW w:w="2589" w:type="dxa"/>
          </w:tcPr>
          <w:p>
            <w:pPr>
              <w:pStyle w:val="Compact"/>
              <w:spacing w:after="40"/>
              <w:jc w:val="left"/>
            </w:pPr>
            <w:r>
              <w:rPr>
                <w:sz w:val="18"/>
              </w:rPr>
              <w:t xml:space="preserve">Collateral</w:t>
            </w:r>
          </w:p>
        </w:tc>
        <w:tc>
          <w:tcPr>
            <w:tcW w:w="7049" w:type="dxa"/>
          </w:tcPr>
          <w:p>
            <w:pPr>
              <w:pStyle w:val="Compact"/>
              <w:spacing w:after="40"/>
              <w:jc w:val="left"/>
            </w:pPr>
            <w:r>
              <w:rPr>
                <w:sz w:val="18"/>
              </w:rPr>
              <w:t xml:space="preserve">NSDL and CDSL pledge/eLAS APIs; CAMS/KFintech/MF Central lien (verify current access terms); Vahan; CERSAI; state land records (through ULI or vendors); gold-rate feeds; valuer and legal-vendor portals</w:t>
            </w:r>
          </w:p>
        </w:tc>
      </w:tr>
      <w:tr>
        <w:tc>
          <w:tcPr>
            <w:tcW w:w="2589" w:type="dxa"/>
          </w:tcPr>
          <w:p>
            <w:pPr>
              <w:pStyle w:val="Compact"/>
              <w:spacing w:after="40"/>
              <w:jc w:val="left"/>
            </w:pPr>
            <w:r>
              <w:rPr>
                <w:sz w:val="18"/>
              </w:rPr>
              <w:t xml:space="preserve">eSign and eStamp</w:t>
            </w:r>
          </w:p>
        </w:tc>
        <w:tc>
          <w:tcPr>
            <w:tcW w:w="7049" w:type="dxa"/>
          </w:tcPr>
          <w:p>
            <w:pPr>
              <w:pStyle w:val="Compact"/>
              <w:spacing w:after="40"/>
              <w:jc w:val="left"/>
            </w:pPr>
            <w:r>
              <w:rPr>
                <w:sz w:val="18"/>
              </w:rPr>
              <w:t xml:space="preserve">Leegality, Digio, eMudhra, Protean eSign, Surepass; SHCIL e-stamping; NeSL DDE</w:t>
            </w:r>
          </w:p>
        </w:tc>
      </w:tr>
      <w:tr>
        <w:tc>
          <w:tcPr>
            <w:tcW w:w="2589" w:type="dxa"/>
          </w:tcPr>
          <w:p>
            <w:pPr>
              <w:pStyle w:val="Compact"/>
              <w:spacing w:after="40"/>
              <w:jc w:val="left"/>
            </w:pPr>
            <w:r>
              <w:rPr>
                <w:sz w:val="18"/>
              </w:rPr>
              <w:t xml:space="preserve">Mandates and payments</w:t>
            </w:r>
          </w:p>
        </w:tc>
        <w:tc>
          <w:tcPr>
            <w:tcW w:w="7049" w:type="dxa"/>
          </w:tcPr>
          <w:p>
            <w:pPr>
              <w:pStyle w:val="Compact"/>
              <w:spacing w:after="40"/>
              <w:jc w:val="left"/>
            </w:pPr>
            <w:r>
              <w:rPr>
                <w:sz w:val="18"/>
              </w:rPr>
              <w:t xml:space="preserve">NPCI eNACH through sponsor banks or aggregators (Razorpay, Cashfree, Digio, Decentro, PayU); UPI AutoPay; Bharat Connect (BBPS) through a BBPOU; virtual accounts (Razorpay Smart Collect, Cashfree, bank VANs); payouts (RazorpayX, Cashfree, bank corporate APIs); Stripe/PayPal adapters for cross-border/SaaS billing only</w:t>
            </w:r>
          </w:p>
        </w:tc>
      </w:tr>
      <w:tr>
        <w:tc>
          <w:tcPr>
            <w:tcW w:w="2589" w:type="dxa"/>
          </w:tcPr>
          <w:p>
            <w:pPr>
              <w:pStyle w:val="Compact"/>
              <w:spacing w:after="40"/>
              <w:jc w:val="left"/>
            </w:pPr>
            <w:r>
              <w:rPr>
                <w:sz w:val="18"/>
              </w:rPr>
              <w:t xml:space="preserve">Communications</w:t>
            </w:r>
          </w:p>
        </w:tc>
        <w:tc>
          <w:tcPr>
            <w:tcW w:w="7049" w:type="dxa"/>
          </w:tcPr>
          <w:p>
            <w:pPr>
              <w:pStyle w:val="Compact"/>
              <w:spacing w:after="40"/>
              <w:jc w:val="left"/>
            </w:pPr>
            <w:r>
              <w:rPr>
                <w:sz w:val="18"/>
              </w:rPr>
              <w:t xml:space="preserve">DLT-compliant SMS gateways; WhatsApp Business Cloud API; email (SES/SendGrid/Resend); push (FCM/APNs); IVR/dialer; India Post tracking</w:t>
            </w:r>
          </w:p>
        </w:tc>
      </w:tr>
      <w:tr>
        <w:tc>
          <w:tcPr>
            <w:tcW w:w="2589" w:type="dxa"/>
          </w:tcPr>
          <w:p>
            <w:pPr>
              <w:pStyle w:val="Compact"/>
              <w:spacing w:after="40"/>
              <w:jc w:val="left"/>
            </w:pPr>
            <w:r>
              <w:rPr>
                <w:sz w:val="18"/>
              </w:rPr>
              <w:t xml:space="preserve">Accounting</w:t>
            </w:r>
          </w:p>
        </w:tc>
        <w:tc>
          <w:tcPr>
            <w:tcW w:w="7049" w:type="dxa"/>
          </w:tcPr>
          <w:p>
            <w:pPr>
              <w:pStyle w:val="Compact"/>
              <w:spacing w:after="40"/>
              <w:jc w:val="left"/>
            </w:pPr>
            <w:r>
              <w:rPr>
                <w:sz w:val="18"/>
              </w:rPr>
              <w:t xml:space="preserve">TallyPrime (JSON/XML through a local connector); SAP S/4HANA, SAP B1; Zoho Books; generic CSV/Excel/XML</w:t>
            </w:r>
          </w:p>
        </w:tc>
      </w:tr>
      <w:tr>
        <w:tc>
          <w:tcPr>
            <w:tcW w:w="2589" w:type="dxa"/>
          </w:tcPr>
          <w:p>
            <w:pPr>
              <w:pStyle w:val="Compact"/>
              <w:spacing w:after="40"/>
              <w:jc w:val="left"/>
            </w:pPr>
            <w:r>
              <w:rPr>
                <w:sz w:val="18"/>
              </w:rPr>
              <w:t xml:space="preserve">ODR and ADR</w:t>
            </w:r>
          </w:p>
        </w:tc>
        <w:tc>
          <w:tcPr>
            <w:tcW w:w="7049" w:type="dxa"/>
          </w:tcPr>
          <w:p>
            <w:pPr>
              <w:pStyle w:val="Compact"/>
              <w:spacing w:after="40"/>
              <w:jc w:val="left"/>
            </w:pPr>
            <w:r>
              <w:rPr>
                <w:sz w:val="18"/>
              </w:rPr>
              <w:t xml:space="preserve">Equator Resolution (primary, through the Ecosystem Integration Specification); other ODR providers through the same</w:t>
            </w:r>
            <w:r>
              <w:rPr>
                <w:sz w:val="18"/>
              </w:rPr>
              <w:t xml:space="preserve"> </w:t>
            </w:r>
            <w:r>
              <w:rPr>
                <w:rStyle w:val="VerbatimChar"/>
                <w:sz w:val="18"/>
              </w:rPr>
              <w:t xml:space="preserve">OdrProvider</w:t>
            </w:r>
            <w:r>
              <w:rPr>
                <w:sz w:val="18"/>
              </w:rPr>
              <w:t xml:space="preserve"> </w:t>
            </w:r>
            <w:r>
              <w:rPr>
                <w:sz w:val="18"/>
              </w:rPr>
              <w:t xml:space="preserve">contract: Presolv360, Sama, Jupitice, CADRE (no public lender API found; CSV fallback) [VERIFY APIs]; DLSA and SLSA Lok Adalat list formats</w:t>
            </w:r>
          </w:p>
        </w:tc>
      </w:tr>
      <w:tr>
        <w:tc>
          <w:tcPr>
            <w:tcW w:w="2589" w:type="dxa"/>
          </w:tcPr>
          <w:p>
            <w:pPr>
              <w:pStyle w:val="Compact"/>
              <w:spacing w:after="40"/>
              <w:jc w:val="left"/>
            </w:pPr>
            <w:r>
              <w:rPr>
                <w:sz w:val="18"/>
              </w:rPr>
              <w:t xml:space="preserve">Court data and legal tech</w:t>
            </w:r>
          </w:p>
        </w:tc>
        <w:tc>
          <w:tcPr>
            <w:tcW w:w="7049" w:type="dxa"/>
          </w:tcPr>
          <w:p>
            <w:pPr>
              <w:pStyle w:val="Compact"/>
              <w:spacing w:after="40"/>
              <w:jc w:val="left"/>
            </w:pPr>
            <w:r>
              <w:rPr>
                <w:sz w:val="18"/>
              </w:rPr>
              <w:t xml:space="preserve">eCourts open APIs for institutional litigants [VERIFY: NBFC eligibility]; aggregators (eCourtsIndia, Surepass CNR; Vakeel360 has no DRT coverage); e-DRT (filing only, no API); e-Jagriti (consumer); NeSL information utility (IBC)</w:t>
            </w:r>
          </w:p>
        </w:tc>
      </w:tr>
      <w:tr>
        <w:tc>
          <w:tcPr>
            <w:tcW w:w="2589" w:type="dxa"/>
          </w:tcPr>
          <w:p>
            <w:pPr>
              <w:pStyle w:val="Compact"/>
              <w:spacing w:after="40"/>
              <w:jc w:val="left"/>
            </w:pPr>
            <w:r>
              <w:rPr>
                <w:sz w:val="18"/>
              </w:rPr>
              <w:t xml:space="preserve">E-auction</w:t>
            </w:r>
          </w:p>
        </w:tc>
        <w:tc>
          <w:tcPr>
            <w:tcW w:w="7049" w:type="dxa"/>
          </w:tcPr>
          <w:p>
            <w:pPr>
              <w:pStyle w:val="Compact"/>
              <w:spacing w:after="40"/>
              <w:jc w:val="left"/>
            </w:pPr>
            <w:r>
              <w:rPr>
                <w:sz w:val="18"/>
              </w:rPr>
              <w:t xml:space="preserve">BAANKNET (mandatory for IBC liquidation auctions; DFS/PSB portal) [VERIFY: NBFC listing and API]; C1 India; auctiontiger; MSTC; Shriram Automall (vehicles and gold)</w:t>
            </w:r>
          </w:p>
        </w:tc>
      </w:tr>
      <w:tr>
        <w:tc>
          <w:tcPr>
            <w:tcW w:w="2589" w:type="dxa"/>
          </w:tcPr>
          <w:p>
            <w:pPr>
              <w:pStyle w:val="Compact"/>
              <w:spacing w:after="40"/>
              <w:jc w:val="left"/>
            </w:pPr>
            <w:r>
              <w:rPr>
                <w:sz w:val="18"/>
              </w:rPr>
              <w:t xml:space="preserve">Notice dispatch</w:t>
            </w:r>
          </w:p>
        </w:tc>
        <w:tc>
          <w:tcPr>
            <w:tcW w:w="7049" w:type="dxa"/>
          </w:tcPr>
          <w:p>
            <w:pPr>
              <w:pStyle w:val="Compact"/>
              <w:spacing w:after="40"/>
              <w:jc w:val="left"/>
            </w:pPr>
            <w:r>
              <w:rPr>
                <w:sz w:val="18"/>
              </w:rPr>
              <w:t xml:space="preserve">India Post Speed Post with proof of delivery (Registered Post merged into Speed Post on 1 Sep 2025; bulk API needs a DoP contract and CEPT onboarding); couriers; print-to-post vendors; DLT SMS and email with delivery logs</w:t>
            </w:r>
          </w:p>
        </w:tc>
      </w:tr>
      <w:tr>
        <w:tc>
          <w:tcPr>
            <w:tcW w:w="2589" w:type="dxa"/>
          </w:tcPr>
          <w:p>
            <w:pPr>
              <w:pStyle w:val="Compact"/>
              <w:spacing w:after="40"/>
              <w:jc w:val="left"/>
            </w:pPr>
            <w:r>
              <w:rPr>
                <w:sz w:val="18"/>
              </w:rPr>
              <w:t xml:space="preserve">Collection agencies and diallers</w:t>
            </w:r>
          </w:p>
        </w:tc>
        <w:tc>
          <w:tcPr>
            <w:tcW w:w="7049" w:type="dxa"/>
          </w:tcPr>
          <w:p>
            <w:pPr>
              <w:pStyle w:val="Compact"/>
              <w:spacing w:after="40"/>
              <w:jc w:val="left"/>
            </w:pPr>
            <w:r>
              <w:rPr>
                <w:sz w:val="18"/>
              </w:rPr>
              <w:t xml:space="preserve">Agency allocation and recall files or APIs; predictive diallers with call recording [VERIFY vendors]; field-agency apps; IIBF certificate data</w:t>
            </w:r>
          </w:p>
        </w:tc>
      </w:tr>
      <w:tr>
        <w:tc>
          <w:tcPr>
            <w:tcW w:w="2589" w:type="dxa"/>
          </w:tcPr>
          <w:p>
            <w:pPr>
              <w:pStyle w:val="Compact"/>
              <w:spacing w:after="40"/>
              <w:jc w:val="left"/>
            </w:pPr>
            <w:r>
              <w:rPr>
                <w:sz w:val="18"/>
              </w:rPr>
              <w:t xml:space="preserve">GRC tools</w:t>
            </w:r>
          </w:p>
        </w:tc>
        <w:tc>
          <w:tcPr>
            <w:tcW w:w="7049" w:type="dxa"/>
          </w:tcPr>
          <w:p>
            <w:pPr>
              <w:pStyle w:val="Compact"/>
              <w:spacing w:after="40"/>
              <w:jc w:val="left"/>
            </w:pPr>
            <w:r>
              <w:rPr>
                <w:sz w:val="18"/>
              </w:rPr>
              <w:t xml:space="preserve">LawDocsComply; MetricStream; IBM OpenPages; ServiceNow IRM; Archer; Indian tools such as Komrisk, Compfie and TeamLease RegTech [VERIFY APIs]; OSCAL export</w:t>
            </w:r>
          </w:p>
        </w:tc>
      </w:tr>
      <w:tr>
        <w:tc>
          <w:tcPr>
            <w:tcW w:w="2589" w:type="dxa"/>
          </w:tcPr>
          <w:p>
            <w:pPr>
              <w:pStyle w:val="Compact"/>
              <w:spacing w:after="40"/>
              <w:jc w:val="left"/>
            </w:pPr>
            <w:r>
              <w:rPr>
                <w:sz w:val="18"/>
              </w:rPr>
              <w:t xml:space="preserve">Regulatory and statutory portals (guided filing; v1.5)</w:t>
            </w:r>
          </w:p>
        </w:tc>
        <w:tc>
          <w:tcPr>
            <w:tcW w:w="7049" w:type="dxa"/>
          </w:tcPr>
          <w:p>
            <w:pPr>
              <w:pStyle w:val="Compact"/>
              <w:spacing w:after="40"/>
              <w:jc w:val="left"/>
            </w:pPr>
            <w:r>
              <w:rPr>
                <w:sz w:val="18"/>
              </w:rPr>
              <w:t xml:space="preserve">RBI CIMS (Sankalan template upload or web form; system-to-system ADF only where RBI documents it for the entity class), DAKSH, PRAVAAH; NHB; NABARD ENSURE; IFSCA; FIU-IND FINGate 2.0; CKYCR; CERSAI; income-tax reporting portal (SFT, Form 140); GST portal or the tenant’s GSP; MCA V3; LODR filings on the stock-exchange portals [VERIFY each]. Finbyx produces validated upload files and a guided checklist; an authorised human files; acknowledgements are captured. No portal credential, OTP or DSC is stored (Part 7B RR4; Part 7C AC4–AC5; Part 7F GV3–GV4)</w:t>
            </w:r>
          </w:p>
        </w:tc>
      </w:tr>
      <w:tr>
        <w:tc>
          <w:tcPr>
            <w:tcW w:w="2589" w:type="dxa"/>
          </w:tcPr>
          <w:p>
            <w:pPr>
              <w:pStyle w:val="Compact"/>
              <w:spacing w:after="40"/>
              <w:jc w:val="left"/>
            </w:pPr>
            <w:r>
              <w:rPr>
                <w:sz w:val="18"/>
              </w:rPr>
              <w:t xml:space="preserve">Credit bureau submission (v1.5)</w:t>
            </w:r>
          </w:p>
        </w:tc>
        <w:tc>
          <w:tcPr>
            <w:tcW w:w="7049" w:type="dxa"/>
          </w:tcPr>
          <w:p>
            <w:pPr>
              <w:pStyle w:val="Compact"/>
              <w:spacing w:after="40"/>
              <w:jc w:val="left"/>
            </w:pPr>
            <w:r>
              <w:rPr>
                <w:sz w:val="18"/>
              </w:rPr>
              <w:t xml:space="preserve">TransUnion CIBIL, CRIF High Mark, Experian, Equifax: consumer UCRF v3.74, commercial UCRF v3.10 by SFTP, MFI v3.3.1; per-bureau SFTP or portal upload and rejection files (Part 7B RR6–RR7) [VERIFY: each bureau’s channel and validator]</w:t>
            </w:r>
          </w:p>
        </w:tc>
      </w:tr>
      <w:tr>
        <w:tc>
          <w:tcPr>
            <w:tcW w:w="2589" w:type="dxa"/>
          </w:tcPr>
          <w:p>
            <w:pPr>
              <w:pStyle w:val="Compact"/>
              <w:spacing w:after="40"/>
              <w:jc w:val="left"/>
            </w:pPr>
            <w:r>
              <w:rPr>
                <w:sz w:val="18"/>
              </w:rPr>
              <w:t xml:space="preserve">Accounting agent (v1.5)</w:t>
            </w:r>
          </w:p>
        </w:tc>
        <w:tc>
          <w:tcPr>
            <w:tcW w:w="7049" w:type="dxa"/>
          </w:tcPr>
          <w:p>
            <w:pPr>
              <w:pStyle w:val="Compact"/>
              <w:spacing w:after="40"/>
              <w:jc w:val="left"/>
            </w:pPr>
            <w:r>
              <w:rPr>
                <w:sz w:val="18"/>
              </w:rPr>
              <w:t xml:space="preserve">Tally Prime through the signed, outbound-only Finbyx Connector Agent posting to the local Tally listener (</w:t>
            </w:r>
            <w:r>
              <w:rPr>
                <w:rStyle w:val="VerbatimChar"/>
                <w:sz w:val="18"/>
              </w:rPr>
              <w:t xml:space="preserve">apps/agent</w:t>
            </w:r>
            <w:r>
              <w:rPr>
                <w:sz w:val="18"/>
              </w:rPr>
              <w:t xml:space="preserve">; Part 7C AC6.1); SAP, Zoho Books and other ERPs through signed export batches (AC6.3)</w:t>
            </w:r>
          </w:p>
        </w:tc>
      </w:tr>
      <w:tr>
        <w:tc>
          <w:tcPr>
            <w:tcW w:w="2589" w:type="dxa"/>
          </w:tcPr>
          <w:p>
            <w:pPr>
              <w:pStyle w:val="Compact"/>
              <w:spacing w:after="40"/>
              <w:jc w:val="left"/>
            </w:pPr>
            <w:r>
              <w:rPr>
                <w:sz w:val="18"/>
              </w:rPr>
              <w:t xml:space="preserve">Workplace suites (v1.5)</w:t>
            </w:r>
          </w:p>
        </w:tc>
        <w:tc>
          <w:tcPr>
            <w:tcW w:w="7049" w:type="dxa"/>
          </w:tcPr>
          <w:p>
            <w:pPr>
              <w:pStyle w:val="Compact"/>
              <w:spacing w:after="40"/>
              <w:jc w:val="left"/>
            </w:pPr>
            <w:r>
              <w:rPr>
                <w:sz w:val="18"/>
              </w:rPr>
              <w:t xml:space="preserve">Microsoft 365 Business Basic, Standard or Premium through Microsoft Graph (Entra ID sign-in, SCIM,</w:t>
            </w:r>
            <w:r>
              <w:rPr>
                <w:sz w:val="18"/>
              </w:rPr>
              <w:t xml:space="preserve"> </w:t>
            </w:r>
            <w:r>
              <w:rPr>
                <w:rStyle w:val="VerbatimChar"/>
                <w:sz w:val="18"/>
              </w:rPr>
              <w:t xml:space="preserve">Sites.Selected</w:t>
            </w:r>
            <w:r>
              <w:rPr>
                <w:sz w:val="18"/>
              </w:rPr>
              <w:t xml:space="preserve"> </w:t>
            </w:r>
            <w:r>
              <w:rPr>
                <w:sz w:val="18"/>
              </w:rPr>
              <w:t xml:space="preserve">for SharePoint and OneDrive, Teams notifications, optional mailbox and licence assignment); Google Workspace through the Admin SDK and Drive API, for non-regulated data only (no personal data, books of account, returns, loan or HR data) because Workspace offers no India data region (Part 7F GV7; Part 7J DP3)</w:t>
            </w:r>
          </w:p>
        </w:tc>
      </w:tr>
      <w:tr>
        <w:tc>
          <w:tcPr>
            <w:tcW w:w="2589" w:type="dxa"/>
          </w:tcPr>
          <w:p>
            <w:pPr>
              <w:pStyle w:val="Compact"/>
              <w:spacing w:after="40"/>
              <w:jc w:val="left"/>
            </w:pPr>
            <w:r>
              <w:rPr>
                <w:sz w:val="18"/>
              </w:rPr>
              <w:t xml:space="preserve">Customer-controlled storage (v1.5)</w:t>
            </w:r>
          </w:p>
        </w:tc>
        <w:tc>
          <w:tcPr>
            <w:tcW w:w="7049" w:type="dxa"/>
          </w:tcPr>
          <w:p>
            <w:pPr>
              <w:pStyle w:val="Compact"/>
              <w:spacing w:after="40"/>
              <w:jc w:val="left"/>
            </w:pPr>
            <w:r>
              <w:rPr>
                <w:sz w:val="18"/>
              </w:rPr>
              <w:t xml:space="preserve">Amazon S3, Azure Blob, Google Cloud Storage, SharePoint and OneDrive, Google Drive (non-regulated data only), SFTP, on-premises through the Connector Agent; tenant KMS for BYOK and HYOK (Part 7J DP3–DP4)</w:t>
            </w:r>
          </w:p>
        </w:tc>
      </w:tr>
      <w:tr>
        <w:tc>
          <w:tcPr>
            <w:tcW w:w="2589" w:type="dxa"/>
          </w:tcPr>
          <w:p>
            <w:pPr>
              <w:pStyle w:val="Compact"/>
              <w:spacing w:after="40"/>
              <w:jc w:val="left"/>
            </w:pPr>
            <w:r>
              <w:rPr>
                <w:sz w:val="18"/>
              </w:rPr>
              <w:t xml:space="preserve">Billing and payments to Infrabyx (v1.5)</w:t>
            </w:r>
          </w:p>
        </w:tc>
        <w:tc>
          <w:tcPr>
            <w:tcW w:w="7049" w:type="dxa"/>
          </w:tcPr>
          <w:p>
            <w:pPr>
              <w:pStyle w:val="Compact"/>
              <w:spacing w:after="40"/>
              <w:jc w:val="left"/>
            </w:pPr>
            <w:r>
              <w:rPr>
                <w:sz w:val="18"/>
              </w:rPr>
              <w:t xml:space="preserve">Razorpay (cards, UPI, netbanking, UPI AutoPay and eNACH subscriptions; signature-verified webhooks) operated by the Operations Hub (OH8); Finbyx consumes plan, entitlement and payment-status events (Part 7K CM4). Never used for borrower loan collections, which stay in M7</w:t>
            </w:r>
          </w:p>
        </w:tc>
      </w:tr>
      <w:tr>
        <w:tc>
          <w:tcPr>
            <w:tcW w:w="2589" w:type="dxa"/>
          </w:tcPr>
          <w:p>
            <w:pPr>
              <w:pStyle w:val="Compact"/>
              <w:spacing w:after="40"/>
              <w:jc w:val="left"/>
            </w:pPr>
            <w:r>
              <w:rPr>
                <w:sz w:val="18"/>
              </w:rPr>
              <w:t xml:space="preserve">Voice, messaging and AI contact centre (v1.5)</w:t>
            </w:r>
          </w:p>
        </w:tc>
        <w:tc>
          <w:tcPr>
            <w:tcW w:w="7049" w:type="dxa"/>
          </w:tcPr>
          <w:p>
            <w:pPr>
              <w:pStyle w:val="Compact"/>
              <w:spacing w:after="40"/>
              <w:jc w:val="left"/>
            </w:pPr>
            <w:r>
              <w:rPr>
                <w:sz w:val="18"/>
              </w:rPr>
              <w:t xml:space="preserve">JioCX and Jio Business services through</w:t>
            </w:r>
            <w:r>
              <w:rPr>
                <w:sz w:val="18"/>
              </w:rPr>
              <w:t xml:space="preserve"> </w:t>
            </w:r>
            <w:r>
              <w:rPr>
                <w:rStyle w:val="VerbatimChar"/>
                <w:sz w:val="18"/>
              </w:rPr>
              <w:t xml:space="preserve">JioCxAdapter</w:t>
            </w:r>
            <w:r>
              <w:rPr>
                <w:sz w:val="18"/>
              </w:rPr>
              <w:t xml:space="preserve"> </w:t>
            </w:r>
            <w:r>
              <w:rPr>
                <w:sz w:val="18"/>
              </w:rPr>
              <w:t xml:space="preserve">[VERIFY: contract and API terms]; other CPaaS, IVR and dialler vendors [VERIFY each]; DLT SMS and WhatsApp Business; 1600-series numbers for service and recovery calls, 140-series for promotions (Part 7L EO6)</w:t>
            </w:r>
          </w:p>
        </w:tc>
      </w:tr>
      <w:tr>
        <w:tc>
          <w:tcPr>
            <w:tcW w:w="2589" w:type="dxa"/>
          </w:tcPr>
          <w:p>
            <w:pPr>
              <w:pStyle w:val="Compact"/>
              <w:spacing w:after="40"/>
              <w:jc w:val="left"/>
            </w:pPr>
            <w:r>
              <w:rPr>
                <w:sz w:val="18"/>
              </w:rPr>
              <w:t xml:space="preserve">Market data and depositories (v1.5)</w:t>
            </w:r>
          </w:p>
        </w:tc>
        <w:tc>
          <w:tcPr>
            <w:tcW w:w="7049" w:type="dxa"/>
          </w:tcPr>
          <w:p>
            <w:pPr>
              <w:pStyle w:val="Compact"/>
              <w:spacing w:after="40"/>
              <w:jc w:val="left"/>
            </w:pPr>
            <w:r>
              <w:rPr>
                <w:sz w:val="18"/>
              </w:rPr>
              <w:t xml:space="preserve">Licensed exchange and index data through licensed vendors, AMFI NAVs and stock categorisation, reference rates and bond valuations; NSDL and CDSL holding statements for demat reconciliation; RTAs for mutual-fund units (Part 7H IV1.3, IV2.5) [VERIFY: licence terms]</w:t>
            </w:r>
          </w:p>
        </w:tc>
      </w:tr>
      <w:tr>
        <w:tc>
          <w:tcPr>
            <w:tcW w:w="2589" w:type="dxa"/>
          </w:tcPr>
          <w:p>
            <w:pPr>
              <w:pStyle w:val="Compact"/>
              <w:spacing w:after="40"/>
              <w:jc w:val="left"/>
            </w:pPr>
            <w:r>
              <w:rPr>
                <w:sz w:val="18"/>
              </w:rPr>
              <w:t xml:space="preserve">Operations Hub (v1.5)</w:t>
            </w:r>
          </w:p>
        </w:tc>
        <w:tc>
          <w:tcPr>
            <w:tcW w:w="7049" w:type="dxa"/>
          </w:tcPr>
          <w:p>
            <w:pPr>
              <w:pStyle w:val="Compact"/>
              <w:spacing w:after="40"/>
              <w:jc w:val="left"/>
            </w:pPr>
            <w:r>
              <w:rPr>
                <w:sz w:val="18"/>
              </w:rPr>
              <w:t xml:space="preserve">Infrabyx Operations Hub:</w:t>
            </w:r>
            <w:r>
              <w:rPr>
                <w:sz w:val="18"/>
              </w:rPr>
              <w:t xml:space="preserve"> </w:t>
            </w:r>
            <w:r>
              <w:rPr>
                <w:rStyle w:val="VerbatimChar"/>
                <w:sz w:val="18"/>
              </w:rPr>
              <w:t xml:space="preserve">TenantProvisioned</w:t>
            </w:r>
            <w:r>
              <w:rPr>
                <w:sz w:val="18"/>
              </w:rPr>
              <w:t xml:space="preserve">,</w:t>
            </w:r>
            <w:r>
              <w:rPr>
                <w:sz w:val="18"/>
              </w:rPr>
              <w:t xml:space="preserve"> </w:t>
            </w:r>
            <w:r>
              <w:rPr>
                <w:rStyle w:val="VerbatimChar"/>
                <w:sz w:val="18"/>
              </w:rPr>
              <w:t xml:space="preserve">PlanChanged</w:t>
            </w:r>
            <w:r>
              <w:rPr>
                <w:sz w:val="18"/>
              </w:rPr>
              <w:t xml:space="preserve"> </w:t>
            </w:r>
            <w:r>
              <w:rPr>
                <w:sz w:val="18"/>
              </w:rPr>
              <w:t xml:space="preserve">and</w:t>
            </w:r>
            <w:r>
              <w:rPr>
                <w:sz w:val="18"/>
              </w:rPr>
              <w:t xml:space="preserve"> </w:t>
            </w:r>
            <w:r>
              <w:rPr>
                <w:rStyle w:val="VerbatimChar"/>
                <w:sz w:val="18"/>
              </w:rPr>
              <w:t xml:space="preserve">EntitlementChanged</w:t>
            </w:r>
            <w:r>
              <w:rPr>
                <w:sz w:val="18"/>
              </w:rPr>
              <w:t xml:space="preserve"> </w:t>
            </w:r>
            <w:r>
              <w:rPr>
                <w:sz w:val="18"/>
              </w:rPr>
              <w:t xml:space="preserve">in; aggregated</w:t>
            </w:r>
            <w:r>
              <w:rPr>
                <w:sz w:val="18"/>
              </w:rPr>
              <w:t xml:space="preserve"> </w:t>
            </w:r>
            <w:r>
              <w:rPr>
                <w:rStyle w:val="VerbatimChar"/>
                <w:sz w:val="18"/>
              </w:rPr>
              <w:t xml:space="preserve">UsageRecorded</w:t>
            </w:r>
            <w:r>
              <w:rPr>
                <w:sz w:val="18"/>
              </w:rPr>
              <w:t xml:space="preserve">,</w:t>
            </w:r>
            <w:r>
              <w:rPr>
                <w:sz w:val="18"/>
              </w:rPr>
              <w:t xml:space="preserve"> </w:t>
            </w:r>
            <w:r>
              <w:rPr>
                <w:rStyle w:val="VerbatimChar"/>
                <w:sz w:val="18"/>
              </w:rPr>
              <w:t xml:space="preserve">ReleasePublished</w:t>
            </w:r>
            <w:r>
              <w:rPr>
                <w:sz w:val="18"/>
              </w:rPr>
              <w:t xml:space="preserve">,</w:t>
            </w:r>
            <w:r>
              <w:rPr>
                <w:sz w:val="18"/>
              </w:rPr>
              <w:t xml:space="preserve"> </w:t>
            </w:r>
            <w:r>
              <w:rPr>
                <w:rStyle w:val="VerbatimChar"/>
                <w:sz w:val="18"/>
              </w:rPr>
              <w:t xml:space="preserve">ChangeApproved</w:t>
            </w:r>
            <w:r>
              <w:rPr>
                <w:sz w:val="18"/>
              </w:rPr>
              <w:t xml:space="preserve">,</w:t>
            </w:r>
            <w:r>
              <w:rPr>
                <w:sz w:val="18"/>
              </w:rPr>
              <w:t xml:space="preserve"> </w:t>
            </w:r>
            <w:r>
              <w:rPr>
                <w:rStyle w:val="VerbatimChar"/>
                <w:sz w:val="18"/>
              </w:rPr>
              <w:t xml:space="preserve">ControlEvidenceCollected</w:t>
            </w:r>
            <w:r>
              <w:rPr>
                <w:sz w:val="18"/>
              </w:rPr>
              <w:t xml:space="preserve">, export and backup status, and return-calendar status out (Integration Specification v1.1; Parts 7J, 7K, 7L)</w:t>
            </w:r>
          </w:p>
        </w:tc>
      </w:tr>
      <w:tr>
        <w:tc>
          <w:tcPr>
            <w:tcW w:w="2589" w:type="dxa"/>
          </w:tcPr>
          <w:p>
            <w:pPr>
              <w:pStyle w:val="Compact"/>
              <w:spacing w:after="40"/>
              <w:jc w:val="left"/>
            </w:pPr>
            <w:r>
              <w:rPr>
                <w:sz w:val="18"/>
              </w:rPr>
              <w:t xml:space="preserve">Ecosystem</w:t>
            </w:r>
          </w:p>
        </w:tc>
        <w:tc>
          <w:tcPr>
            <w:tcW w:w="7049" w:type="dxa"/>
          </w:tcPr>
          <w:p>
            <w:pPr>
              <w:pStyle w:val="Compact"/>
              <w:spacing w:after="40"/>
              <w:jc w:val="left"/>
            </w:pPr>
            <w:r>
              <w:rPr>
                <w:sz w:val="18"/>
              </w:rPr>
              <w:t xml:space="preserve">Udofin (LSP connector, all products), LawDocsComply (GRC connector), Equator (ODR), Recovery Suite standalone deployment (for example Udolex), future ecosystem apps (for example a field-investigation app), third-party and legacy LOS/LMS; all through the Ecosystem Integration Specification</w:t>
            </w:r>
          </w:p>
        </w:tc>
      </w:tr>
    </w:tbl>
    <w:p>
      <w:r>
        <w:pict>
          <v:rect style="width:0;height:1.5pt" o:hralign="center" o:hrstd="t" o:hr="t"/>
        </w:pict>
      </w:r>
    </w:p>
    <w:bookmarkEnd w:id="831"/>
    <w:bookmarkEnd w:id="832"/>
    <w:bookmarkStart w:id="839" w:name="X652be82d7dbef231e759e69f10bf1d873403a8b"/>
    <w:p>
      <w:pPr>
        <w:pStyle w:val="Heading1"/>
      </w:pPr>
      <w:r>
        <w:t xml:space="preserve">PART 10 — TECHNOLOGY, ARCHITECTURE AND NON-FUNCTIONAL REQUIREMENTS</w:t>
      </w:r>
    </w:p>
    <w:bookmarkStart w:id="833" w:name="recommended-stack"/>
    <w:p>
      <w:pPr>
        <w:pStyle w:val="Heading2"/>
      </w:pPr>
      <w:r>
        <w:t xml:space="preserve">10.1 Recommended stack</w:t>
      </w:r>
    </w:p>
    <w:p>
      <w:pPr>
        <w:pStyle w:val="FirstParagraph"/>
      </w:pPr>
      <w:r>
        <w:t xml:space="preserve">Validate current versions in Phase 0. Propose changes through an ADR.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43"/>
        <w:gridCol w:w="5444"/>
        <w:gridCol w:w="2451"/>
      </w:tblGrid>
      <w:tr>
        <w:trPr>
          <w:tblHeader w:val="true"/>
          <w:tblHeader w:val="true"/>
        </w:trPr>
        <w:tc>
          <w:tcPr>
            <w:tcW w:w="1743" w:type="dxa"/>
            <w:shd w:val="clear" w:color="auto" w:fill="1F3A5F"/>
          </w:tcPr>
          <w:p>
            <w:pPr>
              <w:pStyle w:val="Compact"/>
              <w:spacing w:after="40"/>
              <w:jc w:val="left"/>
            </w:pPr>
            <w:r>
              <w:rPr>
                <w:b/>
                <w:color w:val="FFFFFF"/>
                <w:sz w:val="18"/>
              </w:rPr>
              <w:t xml:space="preserve">Layer</w:t>
            </w:r>
          </w:p>
        </w:tc>
        <w:tc>
          <w:tcPr>
            <w:tcW w:w="5444" w:type="dxa"/>
            <w:shd w:val="clear" w:color="auto" w:fill="1F3A5F"/>
          </w:tcPr>
          <w:p>
            <w:pPr>
              <w:pStyle w:val="Compact"/>
              <w:spacing w:after="40"/>
              <w:jc w:val="left"/>
            </w:pPr>
            <w:r>
              <w:rPr>
                <w:b/>
                <w:color w:val="FFFFFF"/>
                <w:sz w:val="18"/>
              </w:rPr>
              <w:t xml:space="preserve">Recommendation</w:t>
            </w:r>
          </w:p>
        </w:tc>
        <w:tc>
          <w:tcPr>
            <w:tcW w:w="2451" w:type="dxa"/>
            <w:shd w:val="clear" w:color="auto" w:fill="1F3A5F"/>
          </w:tcPr>
          <w:p>
            <w:pPr>
              <w:pStyle w:val="Compact"/>
              <w:spacing w:after="40"/>
              <w:jc w:val="left"/>
            </w:pPr>
            <w:r>
              <w:rPr>
                <w:b/>
                <w:color w:val="FFFFFF"/>
                <w:sz w:val="18"/>
              </w:rPr>
              <w:t xml:space="preserve">Reason</w:t>
            </w:r>
          </w:p>
        </w:tc>
      </w:tr>
      <w:tr>
        <w:tc>
          <w:tcPr>
            <w:tcW w:w="1743" w:type="dxa"/>
          </w:tcPr>
          <w:p>
            <w:pPr>
              <w:pStyle w:val="Compact"/>
              <w:spacing w:after="40"/>
              <w:jc w:val="left"/>
            </w:pPr>
            <w:r>
              <w:rPr>
                <w:sz w:val="18"/>
              </w:rPr>
              <w:t xml:space="preserve">Monorepo</w:t>
            </w:r>
          </w:p>
        </w:tc>
        <w:tc>
          <w:tcPr>
            <w:tcW w:w="5444" w:type="dxa"/>
          </w:tcPr>
          <w:p>
            <w:pPr>
              <w:pStyle w:val="Compact"/>
              <w:spacing w:after="40"/>
              <w:jc w:val="left"/>
            </w:pPr>
            <w:r>
              <w:rPr>
                <w:sz w:val="18"/>
              </w:rPr>
              <w:t xml:space="preserve">pnpm workspaces + Turborepo; TypeScript strict</w:t>
            </w:r>
          </w:p>
        </w:tc>
        <w:tc>
          <w:tcPr>
            <w:tcW w:w="2451" w:type="dxa"/>
          </w:tcPr>
          <w:p>
            <w:pPr>
              <w:pStyle w:val="Compact"/>
              <w:spacing w:after="40"/>
              <w:jc w:val="left"/>
            </w:pPr>
            <w:r>
              <w:rPr>
                <w:sz w:val="18"/>
              </w:rPr>
              <w:t xml:space="preserve">Shared types, contracts and design system</w:t>
            </w:r>
          </w:p>
        </w:tc>
      </w:tr>
      <w:tr>
        <w:tc>
          <w:tcPr>
            <w:tcW w:w="1743" w:type="dxa"/>
          </w:tcPr>
          <w:p>
            <w:pPr>
              <w:pStyle w:val="Compact"/>
              <w:spacing w:after="40"/>
              <w:jc w:val="left"/>
            </w:pPr>
            <w:r>
              <w:rPr>
                <w:sz w:val="18"/>
              </w:rPr>
              <w:t xml:space="preserve">Internal web app (all workspaces)</w:t>
            </w:r>
          </w:p>
        </w:tc>
        <w:tc>
          <w:tcPr>
            <w:tcW w:w="5444" w:type="dxa"/>
          </w:tcPr>
          <w:p>
            <w:pPr>
              <w:pStyle w:val="Compact"/>
              <w:spacing w:after="40"/>
              <w:jc w:val="left"/>
            </w:pPr>
            <w:r>
              <w:rPr>
                <w:sz w:val="18"/>
              </w:rPr>
              <w:t xml:space="preserve">Next.js 16 (App Router) + React 19 + TypeScript; shadcn/ui + Tailwind with design tokens; TanStack Query; TanStack Table v9 or AG Grid Community (MIT) for data-dense grids. AG Grid Enterprise (paid: grouping, server-side row model, Excel export) only after a licence ADR</w:t>
            </w:r>
          </w:p>
        </w:tc>
        <w:tc>
          <w:tcPr>
            <w:tcW w:w="2451" w:type="dxa"/>
          </w:tcPr>
          <w:p>
            <w:pPr>
              <w:pStyle w:val="Compact"/>
              <w:spacing w:after="40"/>
              <w:jc w:val="left"/>
            </w:pPr>
            <w:r>
              <w:rPr>
                <w:sz w:val="18"/>
              </w:rPr>
              <w:t xml:space="preserve">Complex workflows, large tables, theming</w:t>
            </w:r>
          </w:p>
        </w:tc>
      </w:tr>
      <w:tr>
        <w:tc>
          <w:tcPr>
            <w:tcW w:w="1743" w:type="dxa"/>
          </w:tcPr>
          <w:p>
            <w:pPr>
              <w:pStyle w:val="Compact"/>
              <w:spacing w:after="40"/>
              <w:jc w:val="left"/>
            </w:pPr>
            <w:r>
              <w:rPr>
                <w:sz w:val="18"/>
              </w:rPr>
              <w:t xml:space="preserve">Backend</w:t>
            </w:r>
          </w:p>
        </w:tc>
        <w:tc>
          <w:tcPr>
            <w:tcW w:w="5444" w:type="dxa"/>
          </w:tcPr>
          <w:p>
            <w:pPr>
              <w:pStyle w:val="Compact"/>
              <w:spacing w:after="40"/>
              <w:jc w:val="left"/>
            </w:pPr>
            <w:r>
              <w:rPr>
                <w:sz w:val="18"/>
              </w:rPr>
              <w:t xml:space="preserve">Node.js LTS + TypeScript;</w:t>
            </w:r>
            <w:r>
              <w:rPr>
                <w:sz w:val="18"/>
              </w:rPr>
              <w:t xml:space="preserve"> </w:t>
            </w:r>
            <w:r>
              <w:rPr>
                <w:bCs/>
                <w:b/>
                <w:sz w:val="18"/>
              </w:rPr>
              <w:t xml:space="preserve">NestJS 11 modular monolith</w:t>
            </w:r>
            <w:r>
              <w:rPr>
                <w:sz w:val="18"/>
              </w:rPr>
              <w:t xml:space="preserve"> </w:t>
            </w:r>
            <w:r>
              <w:rPr>
                <w:sz w:val="18"/>
              </w:rPr>
              <w:t xml:space="preserve">(or Fastify with explicit modules), with strict domain boundaries; OpenAPI 3.1 via Zod schemas</w:t>
            </w:r>
          </w:p>
        </w:tc>
        <w:tc>
          <w:tcPr>
            <w:tcW w:w="2451" w:type="dxa"/>
          </w:tcPr>
          <w:p>
            <w:pPr>
              <w:pStyle w:val="Compact"/>
              <w:spacing w:after="40"/>
              <w:jc w:val="left"/>
            </w:pPr>
            <w:r>
              <w:rPr>
                <w:sz w:val="18"/>
              </w:rPr>
              <w:t xml:space="preserve">Business rules, integrations, controlled access</w:t>
            </w:r>
          </w:p>
        </w:tc>
      </w:tr>
      <w:tr>
        <w:tc>
          <w:tcPr>
            <w:tcW w:w="1743" w:type="dxa"/>
          </w:tcPr>
          <w:p>
            <w:pPr>
              <w:pStyle w:val="Compact"/>
              <w:spacing w:after="40"/>
              <w:jc w:val="left"/>
            </w:pPr>
            <w:r>
              <w:rPr>
                <w:sz w:val="18"/>
              </w:rPr>
              <w:t xml:space="preserve">Database</w:t>
            </w:r>
          </w:p>
        </w:tc>
        <w:tc>
          <w:tcPr>
            <w:tcW w:w="5444" w:type="dxa"/>
          </w:tcPr>
          <w:p>
            <w:pPr>
              <w:pStyle w:val="Compact"/>
              <w:spacing w:after="40"/>
              <w:jc w:val="left"/>
            </w:pPr>
            <w:r>
              <w:rPr>
                <w:sz w:val="18"/>
              </w:rPr>
              <w:t xml:space="preserve">PostgreSQL 16+ (Supabase now; Amazon RDS/Aurora PostgreSQL later);</w:t>
            </w:r>
            <w:r>
              <w:rPr>
                <w:sz w:val="18"/>
              </w:rPr>
              <w:t xml:space="preserve"> </w:t>
            </w:r>
            <w:r>
              <w:rPr>
                <w:bCs/>
                <w:b/>
                <w:sz w:val="18"/>
              </w:rPr>
              <w:t xml:space="preserve">Drizzle ORM or Kysely</w:t>
            </w:r>
            <w:r>
              <w:rPr>
                <w:sz w:val="18"/>
              </w:rPr>
              <w:t xml:space="preserve"> </w:t>
            </w:r>
            <w:r>
              <w:rPr>
                <w:sz w:val="18"/>
              </w:rPr>
              <w:t xml:space="preserve">for SQL control; versioned SQL migrations</w:t>
            </w:r>
          </w:p>
        </w:tc>
        <w:tc>
          <w:tcPr>
            <w:tcW w:w="2451" w:type="dxa"/>
          </w:tcPr>
          <w:p>
            <w:pPr>
              <w:pStyle w:val="Compact"/>
              <w:spacing w:after="40"/>
              <w:jc w:val="left"/>
            </w:pPr>
            <w:r>
              <w:rPr>
                <w:sz w:val="18"/>
              </w:rPr>
              <w:t xml:space="preserve">Relational, transactional ledger; portable</w:t>
            </w:r>
          </w:p>
        </w:tc>
      </w:tr>
      <w:tr>
        <w:tc>
          <w:tcPr>
            <w:tcW w:w="1743" w:type="dxa"/>
          </w:tcPr>
          <w:p>
            <w:pPr>
              <w:pStyle w:val="Compact"/>
              <w:spacing w:after="40"/>
              <w:jc w:val="left"/>
            </w:pPr>
            <w:r>
              <w:rPr>
                <w:sz w:val="18"/>
              </w:rPr>
              <w:t xml:space="preserve">Money and maths</w:t>
            </w:r>
          </w:p>
        </w:tc>
        <w:tc>
          <w:tcPr>
            <w:tcW w:w="5444" w:type="dxa"/>
          </w:tcPr>
          <w:p>
            <w:pPr>
              <w:pStyle w:val="Compact"/>
              <w:spacing w:after="40"/>
              <w:jc w:val="left"/>
            </w:pPr>
            <w:r>
              <w:rPr>
                <w:rStyle w:val="VerbatimChar"/>
                <w:sz w:val="18"/>
              </w:rPr>
              <w:t xml:space="preserve">NUMERIC</w:t>
            </w:r>
            <w:r>
              <w:rPr>
                <w:sz w:val="18"/>
              </w:rPr>
              <w:t xml:space="preserve"> </w:t>
            </w:r>
            <w:r>
              <w:rPr>
                <w:sz w:val="18"/>
              </w:rPr>
              <w:t xml:space="preserve">columns;</w:t>
            </w:r>
            <w:r>
              <w:rPr>
                <w:sz w:val="18"/>
              </w:rPr>
              <w:t xml:space="preserve"> </w:t>
            </w:r>
            <w:r>
              <w:rPr>
                <w:rStyle w:val="VerbatimChar"/>
                <w:sz w:val="18"/>
              </w:rPr>
              <w:t xml:space="preserve">decimal.js</w:t>
            </w:r>
            <w:r>
              <w:rPr>
                <w:sz w:val="18"/>
              </w:rPr>
              <w:t xml:space="preserve"> </w:t>
            </w:r>
            <w:r>
              <w:rPr>
                <w:sz w:val="18"/>
              </w:rPr>
              <w:t xml:space="preserve">(precision ≥ 40); property-based tests (fast-check) for schedule/allocation invariants</w:t>
            </w:r>
          </w:p>
        </w:tc>
        <w:tc>
          <w:tcPr>
            <w:tcW w:w="2451" w:type="dxa"/>
          </w:tcPr>
          <w:p>
            <w:pPr>
              <w:pStyle w:val="Compact"/>
              <w:spacing w:after="40"/>
              <w:jc w:val="left"/>
            </w:pPr>
            <w:r>
              <w:rPr>
                <w:sz w:val="18"/>
              </w:rPr>
              <w:t xml:space="preserve">Paisa-exact accuracy</w:t>
            </w:r>
          </w:p>
        </w:tc>
      </w:tr>
      <w:tr>
        <w:tc>
          <w:tcPr>
            <w:tcW w:w="1743" w:type="dxa"/>
          </w:tcPr>
          <w:p>
            <w:pPr>
              <w:pStyle w:val="Compact"/>
              <w:spacing w:after="40"/>
              <w:jc w:val="left"/>
            </w:pPr>
            <w:r>
              <w:rPr>
                <w:sz w:val="18"/>
              </w:rPr>
              <w:t xml:space="preserve">Workflow orchestration</w:t>
            </w:r>
          </w:p>
        </w:tc>
        <w:tc>
          <w:tcPr>
            <w:tcW w:w="5444" w:type="dxa"/>
          </w:tcPr>
          <w:p>
            <w:pPr>
              <w:pStyle w:val="Compact"/>
              <w:spacing w:after="40"/>
              <w:jc w:val="left"/>
            </w:pPr>
            <w:r>
              <w:rPr>
                <w:bCs/>
                <w:b/>
                <w:sz w:val="18"/>
              </w:rPr>
              <w:t xml:space="preserve">Temporal</w:t>
            </w:r>
            <w:r>
              <w:rPr>
                <w:sz w:val="18"/>
              </w:rPr>
              <w:t xml:space="preserve"> </w:t>
            </w:r>
            <w:r>
              <w:rPr>
                <w:sz w:val="18"/>
              </w:rPr>
              <w:t xml:space="preserve">(TypeScript SDK; Temporal Cloud has AWS Mumbai/Hyderabad regions, or self-host) for long-running sagas: origination, disbursement, mandate presentation and retries, legal timelines, COB orchestration. Encrypt workflow payloads with a client-side codec so no PII sits in Temporal history. pg-boss or Graphile Worker for simple jobs</w:t>
            </w:r>
          </w:p>
        </w:tc>
        <w:tc>
          <w:tcPr>
            <w:tcW w:w="2451" w:type="dxa"/>
          </w:tcPr>
          <w:p>
            <w:pPr>
              <w:pStyle w:val="Compact"/>
              <w:spacing w:after="40"/>
              <w:jc w:val="left"/>
            </w:pPr>
            <w:r>
              <w:rPr>
                <w:sz w:val="18"/>
              </w:rPr>
              <w:t xml:space="preserve">Durable, retry-safe, auditable workflows</w:t>
            </w:r>
          </w:p>
        </w:tc>
      </w:tr>
      <w:tr>
        <w:tc>
          <w:tcPr>
            <w:tcW w:w="1743" w:type="dxa"/>
          </w:tcPr>
          <w:p>
            <w:pPr>
              <w:pStyle w:val="Compact"/>
              <w:spacing w:after="40"/>
              <w:jc w:val="left"/>
            </w:pPr>
            <w:r>
              <w:rPr>
                <w:sz w:val="18"/>
              </w:rPr>
              <w:t xml:space="preserve">Rules / BRE</w:t>
            </w:r>
          </w:p>
        </w:tc>
        <w:tc>
          <w:tcPr>
            <w:tcW w:w="5444" w:type="dxa"/>
          </w:tcPr>
          <w:p>
            <w:pPr>
              <w:pStyle w:val="Compact"/>
              <w:spacing w:after="40"/>
              <w:jc w:val="left"/>
            </w:pPr>
            <w:r>
              <w:rPr>
                <w:bCs/>
                <w:b/>
                <w:sz w:val="18"/>
              </w:rPr>
              <w:t xml:space="preserve">GoRules ZEN engine</w:t>
            </w:r>
            <w:r>
              <w:rPr>
                <w:sz w:val="18"/>
              </w:rPr>
              <w:t xml:space="preserve"> </w:t>
            </w:r>
            <w:r>
              <w:rPr>
                <w:sz w:val="18"/>
              </w:rPr>
              <w:t xml:space="preserve">(JDM decision tables/graphs; MIT licence; Node bindings) with versioned rules stored in Postgres and the open-source JDM editor component for business users (the hosted GoRules BRMS is commercial)</w:t>
            </w:r>
          </w:p>
        </w:tc>
        <w:tc>
          <w:tcPr>
            <w:tcW w:w="2451" w:type="dxa"/>
          </w:tcPr>
          <w:p>
            <w:pPr>
              <w:pStyle w:val="Compact"/>
              <w:spacing w:after="40"/>
              <w:jc w:val="left"/>
            </w:pPr>
            <w:r>
              <w:rPr>
                <w:sz w:val="18"/>
              </w:rPr>
              <w:t xml:space="preserve">Credit policy, pricing grids, deviations, eligibility</w:t>
            </w:r>
          </w:p>
        </w:tc>
      </w:tr>
      <w:tr>
        <w:tc>
          <w:tcPr>
            <w:tcW w:w="1743" w:type="dxa"/>
          </w:tcPr>
          <w:p>
            <w:pPr>
              <w:pStyle w:val="Compact"/>
              <w:spacing w:after="40"/>
              <w:jc w:val="left"/>
            </w:pPr>
            <w:r>
              <w:rPr>
                <w:sz w:val="18"/>
              </w:rPr>
              <w:t xml:space="preserve">Events</w:t>
            </w:r>
          </w:p>
        </w:tc>
        <w:tc>
          <w:tcPr>
            <w:tcW w:w="5444" w:type="dxa"/>
          </w:tcPr>
          <w:p>
            <w:pPr>
              <w:pStyle w:val="Compact"/>
              <w:spacing w:after="40"/>
              <w:jc w:val="left"/>
            </w:pPr>
            <w:r>
              <w:rPr>
                <w:sz w:val="18"/>
              </w:rPr>
              <w:t xml:space="preserve">Transactional outbox → queue/stream (start with Postgres-backed queue or Redis Streams; move to Amazon MSK/Redpanda + Debezium CDC on AWS)</w:t>
            </w:r>
          </w:p>
        </w:tc>
        <w:tc>
          <w:tcPr>
            <w:tcW w:w="2451" w:type="dxa"/>
          </w:tcPr>
          <w:p>
            <w:pPr>
              <w:pStyle w:val="Compact"/>
              <w:spacing w:after="40"/>
              <w:jc w:val="left"/>
            </w:pPr>
            <w:r>
              <w:rPr>
                <w:sz w:val="18"/>
              </w:rPr>
              <w:t xml:space="preserve">Reliable integration events</w:t>
            </w:r>
          </w:p>
        </w:tc>
      </w:tr>
      <w:tr>
        <w:tc>
          <w:tcPr>
            <w:tcW w:w="1743" w:type="dxa"/>
          </w:tcPr>
          <w:p>
            <w:pPr>
              <w:pStyle w:val="Compact"/>
              <w:spacing w:after="40"/>
              <w:jc w:val="left"/>
            </w:pPr>
            <w:r>
              <w:rPr>
                <w:sz w:val="18"/>
              </w:rPr>
              <w:t xml:space="preserve">Authentication</w:t>
            </w:r>
          </w:p>
        </w:tc>
        <w:tc>
          <w:tcPr>
            <w:tcW w:w="5444" w:type="dxa"/>
          </w:tcPr>
          <w:p>
            <w:pPr>
              <w:pStyle w:val="Compact"/>
              <w:spacing w:after="40"/>
              <w:jc w:val="left"/>
            </w:pPr>
            <w:r>
              <w:rPr>
                <w:sz w:val="18"/>
              </w:rPr>
              <w:t xml:space="preserve">Supabase Auth now,</w:t>
            </w:r>
            <w:r>
              <w:rPr>
                <w:sz w:val="18"/>
              </w:rPr>
              <w:t xml:space="preserve"> </w:t>
            </w:r>
            <w:r>
              <w:rPr>
                <w:bCs/>
                <w:b/>
                <w:sz w:val="18"/>
              </w:rPr>
              <w:t xml:space="preserve">behind an OIDC abstraction</w:t>
            </w:r>
            <w:r>
              <w:rPr>
                <w:sz w:val="18"/>
              </w:rPr>
              <w:t xml:space="preserve">; Keycloak or Amazon Cognito later; SSO/SAML for bank tenants; MFA mandatory for staff</w:t>
            </w:r>
          </w:p>
        </w:tc>
        <w:tc>
          <w:tcPr>
            <w:tcW w:w="2451" w:type="dxa"/>
          </w:tcPr>
          <w:p>
            <w:pPr>
              <w:pStyle w:val="Compact"/>
              <w:spacing w:after="40"/>
              <w:jc w:val="left"/>
            </w:pPr>
            <w:r>
              <w:rPr>
                <w:sz w:val="18"/>
              </w:rPr>
              <w:t xml:space="preserve">Portability</w:t>
            </w:r>
          </w:p>
        </w:tc>
      </w:tr>
      <w:tr>
        <w:tc>
          <w:tcPr>
            <w:tcW w:w="1743" w:type="dxa"/>
          </w:tcPr>
          <w:p>
            <w:pPr>
              <w:pStyle w:val="Compact"/>
              <w:spacing w:after="40"/>
              <w:jc w:val="left"/>
            </w:pPr>
            <w:r>
              <w:rPr>
                <w:sz w:val="18"/>
              </w:rPr>
              <w:t xml:space="preserve">Authorisation</w:t>
            </w:r>
          </w:p>
        </w:tc>
        <w:tc>
          <w:tcPr>
            <w:tcW w:w="5444" w:type="dxa"/>
          </w:tcPr>
          <w:p>
            <w:pPr>
              <w:pStyle w:val="Compact"/>
              <w:spacing w:after="40"/>
              <w:jc w:val="left"/>
            </w:pPr>
            <w:r>
              <w:rPr>
                <w:sz w:val="18"/>
              </w:rPr>
              <w:t xml:space="preserve">Server-side policy layer: RBAC + ABAC (Cedar or OpenFGA for hierarchy/amount limits)</w:t>
            </w:r>
            <w:r>
              <w:rPr>
                <w:sz w:val="18"/>
              </w:rPr>
              <w:t xml:space="preserve"> </w:t>
            </w:r>
            <w:r>
              <w:rPr>
                <w:bCs/>
                <w:b/>
                <w:sz w:val="18"/>
              </w:rPr>
              <w:t xml:space="preserve">plus Postgres Row-Level Security</w:t>
            </w:r>
            <w:r>
              <w:rPr>
                <w:sz w:val="18"/>
              </w:rPr>
              <w:t xml:space="preserve"> </w:t>
            </w:r>
            <w:r>
              <w:rPr>
                <w:sz w:val="18"/>
              </w:rPr>
              <w:t xml:space="preserve">as defence-in-depth for tenant/entity/branch isolation</w:t>
            </w:r>
          </w:p>
        </w:tc>
        <w:tc>
          <w:tcPr>
            <w:tcW w:w="2451" w:type="dxa"/>
          </w:tcPr>
          <w:p>
            <w:pPr>
              <w:pStyle w:val="Compact"/>
              <w:spacing w:after="40"/>
              <w:jc w:val="left"/>
            </w:pPr>
            <w:r>
              <w:rPr>
                <w:sz w:val="18"/>
              </w:rPr>
              <w:t xml:space="preserve">Least privilege; Supabase must not be the only security boundary</w:t>
            </w:r>
          </w:p>
        </w:tc>
      </w:tr>
      <w:tr>
        <w:tc>
          <w:tcPr>
            <w:tcW w:w="1743" w:type="dxa"/>
          </w:tcPr>
          <w:p>
            <w:pPr>
              <w:pStyle w:val="Compact"/>
              <w:spacing w:after="40"/>
              <w:jc w:val="left"/>
            </w:pPr>
            <w:r>
              <w:rPr>
                <w:sz w:val="18"/>
              </w:rPr>
              <w:t xml:space="preserve">Documents</w:t>
            </w:r>
          </w:p>
        </w:tc>
        <w:tc>
          <w:tcPr>
            <w:tcW w:w="5444" w:type="dxa"/>
          </w:tcPr>
          <w:p>
            <w:pPr>
              <w:pStyle w:val="Compact"/>
              <w:spacing w:after="40"/>
              <w:jc w:val="left"/>
            </w:pPr>
            <w:r>
              <w:rPr>
                <w:sz w:val="18"/>
              </w:rPr>
              <w:t xml:space="preserve">S3-compatible private storage (Supabase Storage → Amazon S3) with SSE-KMS; docxtemplater/Handlebars templates → Gotenberg (HTML/DOCX → PDF)</w:t>
            </w:r>
          </w:p>
        </w:tc>
        <w:tc>
          <w:tcPr>
            <w:tcW w:w="2451" w:type="dxa"/>
          </w:tcPr>
          <w:p>
            <w:pPr>
              <w:pStyle w:val="Compact"/>
              <w:spacing w:after="40"/>
              <w:jc w:val="left"/>
            </w:pPr>
            <w:r>
              <w:rPr>
                <w:sz w:val="18"/>
              </w:rPr>
              <w:t xml:space="preserve">Agreements, KFS, CAM, letters</w:t>
            </w:r>
          </w:p>
        </w:tc>
      </w:tr>
      <w:tr>
        <w:tc>
          <w:tcPr>
            <w:tcW w:w="1743" w:type="dxa"/>
          </w:tcPr>
          <w:p>
            <w:pPr>
              <w:pStyle w:val="Compact"/>
              <w:spacing w:after="40"/>
              <w:jc w:val="left"/>
            </w:pPr>
            <w:r>
              <w:rPr>
                <w:sz w:val="18"/>
              </w:rPr>
              <w:t xml:space="preserve">Search</w:t>
            </w:r>
          </w:p>
        </w:tc>
        <w:tc>
          <w:tcPr>
            <w:tcW w:w="5444" w:type="dxa"/>
          </w:tcPr>
          <w:p>
            <w:pPr>
              <w:pStyle w:val="Compact"/>
              <w:spacing w:after="40"/>
              <w:jc w:val="left"/>
            </w:pPr>
            <w:r>
              <w:rPr>
                <w:sz w:val="18"/>
              </w:rPr>
              <w:t xml:space="preserve">PostgreSQL FTS + pg_trgm first; OpenSearch later</w:t>
            </w:r>
          </w:p>
        </w:tc>
        <w:tc>
          <w:tcPr>
            <w:tcW w:w="2451" w:type="dxa"/>
          </w:tcPr>
          <w:p>
            <w:pPr>
              <w:pStyle w:val="Compact"/>
              <w:spacing w:after="40"/>
              <w:jc w:val="left"/>
            </w:pPr>
            <w:r>
              <w:rPr>
                <w:sz w:val="18"/>
              </w:rPr>
              <w:t xml:space="preserve">Customer and loan search</w:t>
            </w:r>
          </w:p>
        </w:tc>
      </w:tr>
      <w:tr>
        <w:tc>
          <w:tcPr>
            <w:tcW w:w="1743" w:type="dxa"/>
          </w:tcPr>
          <w:p>
            <w:pPr>
              <w:pStyle w:val="Compact"/>
              <w:spacing w:after="40"/>
              <w:jc w:val="left"/>
            </w:pPr>
            <w:r>
              <w:rPr>
                <w:sz w:val="18"/>
              </w:rPr>
              <w:t xml:space="preserve">Reporting/BI</w:t>
            </w:r>
          </w:p>
        </w:tc>
        <w:tc>
          <w:tcPr>
            <w:tcW w:w="5444" w:type="dxa"/>
          </w:tcPr>
          <w:p>
            <w:pPr>
              <w:pStyle w:val="Compact"/>
              <w:spacing w:after="40"/>
              <w:jc w:val="left"/>
            </w:pPr>
            <w:r>
              <w:rPr>
                <w:sz w:val="18"/>
              </w:rPr>
              <w:t xml:space="preserve">Regulatory returns in code. Apache Superset (Apache-2.0; guest-token row-level security) for embedded MIS. Metabase only if its paid embedding/sandboxing tier is licensed. Cube semantic layer optional</w:t>
            </w:r>
          </w:p>
        </w:tc>
        <w:tc>
          <w:tcPr>
            <w:tcW w:w="2451" w:type="dxa"/>
          </w:tcPr>
          <w:p>
            <w:pPr>
              <w:pStyle w:val="Compact"/>
              <w:spacing w:after="40"/>
              <w:jc w:val="left"/>
            </w:pPr>
            <w:r>
              <w:rPr>
                <w:sz w:val="18"/>
              </w:rPr>
              <w:t xml:space="preserve">Self-service MIS</w:t>
            </w:r>
          </w:p>
        </w:tc>
      </w:tr>
      <w:tr>
        <w:tc>
          <w:tcPr>
            <w:tcW w:w="1743" w:type="dxa"/>
          </w:tcPr>
          <w:p>
            <w:pPr>
              <w:pStyle w:val="Compact"/>
              <w:spacing w:after="40"/>
              <w:jc w:val="left"/>
            </w:pPr>
            <w:r>
              <w:rPr>
                <w:sz w:val="18"/>
              </w:rPr>
              <w:t xml:space="preserve">Observability</w:t>
            </w:r>
          </w:p>
        </w:tc>
        <w:tc>
          <w:tcPr>
            <w:tcW w:w="5444" w:type="dxa"/>
          </w:tcPr>
          <w:p>
            <w:pPr>
              <w:pStyle w:val="Compact"/>
              <w:spacing w:after="40"/>
              <w:jc w:val="left"/>
            </w:pPr>
            <w:r>
              <w:rPr>
                <w:sz w:val="18"/>
              </w:rPr>
              <w:t xml:space="preserve">OpenTelemetry → Grafana (Loki/Tempo/Mimir, self-hosted in India) or AWS-native; Sentry self-hosted, or SaaS with no PII (Sentry SaaS stores data in the US/EU); PII-scrubbing log processors; security audit events</w:t>
            </w:r>
          </w:p>
        </w:tc>
        <w:tc>
          <w:tcPr>
            <w:tcW w:w="2451" w:type="dxa"/>
          </w:tcPr>
          <w:p>
            <w:pPr>
              <w:pStyle w:val="Compact"/>
              <w:spacing w:after="40"/>
              <w:jc w:val="left"/>
            </w:pPr>
            <w:r>
              <w:rPr>
                <w:sz w:val="18"/>
              </w:rPr>
              <w:t xml:space="preserve">Production support and traceability</w:t>
            </w:r>
          </w:p>
        </w:tc>
      </w:tr>
      <w:tr>
        <w:tc>
          <w:tcPr>
            <w:tcW w:w="1743" w:type="dxa"/>
          </w:tcPr>
          <w:p>
            <w:pPr>
              <w:pStyle w:val="Compact"/>
              <w:spacing w:after="40"/>
              <w:jc w:val="left"/>
            </w:pPr>
            <w:r>
              <w:rPr>
                <w:sz w:val="18"/>
              </w:rPr>
              <w:t xml:space="preserve">Infrastructure</w:t>
            </w:r>
          </w:p>
        </w:tc>
        <w:tc>
          <w:tcPr>
            <w:tcW w:w="5444" w:type="dxa"/>
          </w:tcPr>
          <w:p>
            <w:pPr>
              <w:pStyle w:val="Compact"/>
              <w:spacing w:after="40"/>
              <w:jc w:val="left"/>
            </w:pPr>
            <w:r>
              <w:rPr>
                <w:sz w:val="18"/>
              </w:rPr>
              <w:t xml:space="preserve">Docker.</w:t>
            </w:r>
            <w:r>
              <w:rPr>
                <w:sz w:val="18"/>
              </w:rPr>
              <w:t xml:space="preserve"> </w:t>
            </w:r>
            <w:r>
              <w:rPr>
                <w:bCs/>
                <w:b/>
                <w:sz w:val="18"/>
              </w:rPr>
              <w:t xml:space="preserve">Development and staging (synthetic data only):</w:t>
            </w:r>
            <w:r>
              <w:rPr>
                <w:sz w:val="18"/>
              </w:rPr>
              <w:t xml:space="preserve"> </w:t>
            </w:r>
            <w:r>
              <w:rPr>
                <w:sz w:val="18"/>
              </w:rPr>
              <w:t xml:space="preserve">Railway (no India region; nearest is Singapore) + Supabase.</w:t>
            </w:r>
            <w:r>
              <w:rPr>
                <w:sz w:val="18"/>
              </w:rPr>
              <w:t xml:space="preserve"> </w:t>
            </w:r>
            <w:r>
              <w:rPr>
                <w:bCs/>
                <w:b/>
                <w:sz w:val="18"/>
              </w:rPr>
              <w:t xml:space="preserve">Any environment holding real borrower data:</w:t>
            </w:r>
            <w:r>
              <w:rPr>
                <w:sz w:val="18"/>
              </w:rPr>
              <w:t xml:space="preserve"> </w:t>
            </w:r>
            <w:r>
              <w:rPr>
                <w:sz w:val="18"/>
              </w:rPr>
              <w:t xml:space="preserve">India-region hosting only — Supabase ap-south-1 with an India-region compute host, or directly AWS ap-south-1 (primary) and ap-south-2 (DR) on ECS/EKS — provisioned with OpenTofu/Terraform or AWS CDK. KMS/CloudHSM for signing and field-encryption keys. Aadhaar vault per UIDAI Circular 14 of 2025. Secrets Manager; WAF</w:t>
            </w:r>
          </w:p>
        </w:tc>
        <w:tc>
          <w:tcPr>
            <w:tcW w:w="2451" w:type="dxa"/>
          </w:tcPr>
          <w:p>
            <w:pPr>
              <w:pStyle w:val="Compact"/>
              <w:spacing w:after="40"/>
              <w:jc w:val="left"/>
            </w:pPr>
            <w:r>
              <w:rPr>
                <w:sz w:val="18"/>
              </w:rPr>
              <w:t xml:space="preserve">Data localisation, scalable, portable</w:t>
            </w:r>
          </w:p>
        </w:tc>
      </w:tr>
      <w:tr>
        <w:tc>
          <w:tcPr>
            <w:tcW w:w="1743" w:type="dxa"/>
          </w:tcPr>
          <w:p>
            <w:pPr>
              <w:pStyle w:val="Compact"/>
              <w:spacing w:after="40"/>
              <w:jc w:val="left"/>
            </w:pPr>
            <w:r>
              <w:rPr>
                <w:sz w:val="18"/>
              </w:rPr>
              <w:t xml:space="preserve">Testing</w:t>
            </w:r>
          </w:p>
        </w:tc>
        <w:tc>
          <w:tcPr>
            <w:tcW w:w="5444" w:type="dxa"/>
          </w:tcPr>
          <w:p>
            <w:pPr>
              <w:pStyle w:val="Compact"/>
              <w:spacing w:after="40"/>
              <w:jc w:val="left"/>
            </w:pPr>
            <w:r>
              <w:rPr>
                <w:sz w:val="18"/>
              </w:rPr>
              <w:t xml:space="preserve">Vitest/Jest, Testcontainers (Postgres), Playwright (E2E), Pact (contract tests with Udofin/partners), k6 (load), OWASP ZAP and Semgrep/CodeQL (security), Fineract differential harness</w:t>
            </w:r>
          </w:p>
        </w:tc>
        <w:tc>
          <w:tcPr>
            <w:tcW w:w="2451" w:type="dxa"/>
          </w:tcPr>
          <w:p>
            <w:pPr>
              <w:pStyle w:val="Compact"/>
              <w:spacing w:after="40"/>
              <w:jc w:val="left"/>
            </w:pPr>
            <w:r>
              <w:rPr>
                <w:sz w:val="18"/>
              </w:rPr>
              <w:t xml:space="preserve">Release gates</w:t>
            </w:r>
          </w:p>
        </w:tc>
      </w:tr>
      <w:tr>
        <w:tc>
          <w:tcPr>
            <w:tcW w:w="1743" w:type="dxa"/>
          </w:tcPr>
          <w:p>
            <w:pPr>
              <w:pStyle w:val="Compact"/>
              <w:spacing w:after="40"/>
              <w:jc w:val="left"/>
            </w:pPr>
            <w:r>
              <w:rPr>
                <w:sz w:val="18"/>
              </w:rPr>
              <w:t xml:space="preserve">Field app</w:t>
            </w:r>
          </w:p>
        </w:tc>
        <w:tc>
          <w:tcPr>
            <w:tcW w:w="5444" w:type="dxa"/>
          </w:tcPr>
          <w:p>
            <w:pPr>
              <w:pStyle w:val="Compact"/>
              <w:spacing w:after="40"/>
              <w:jc w:val="left"/>
            </w:pPr>
            <w:r>
              <w:rPr>
                <w:sz w:val="18"/>
              </w:rPr>
              <w:t xml:space="preserve">Expo React Native + TypeScript (offline-first, SQLite + sync)</w:t>
            </w:r>
          </w:p>
        </w:tc>
        <w:tc>
          <w:tcPr>
            <w:tcW w:w="2451" w:type="dxa"/>
          </w:tcPr>
          <w:p>
            <w:pPr>
              <w:pStyle w:val="Compact"/>
              <w:spacing w:after="40"/>
              <w:jc w:val="left"/>
            </w:pPr>
            <w:r>
              <w:rPr>
                <w:sz w:val="18"/>
              </w:rPr>
              <w:t xml:space="preserve">Field ops</w:t>
            </w:r>
          </w:p>
        </w:tc>
      </w:tr>
      <w:tr>
        <w:tc>
          <w:tcPr>
            <w:tcW w:w="1743" w:type="dxa"/>
          </w:tcPr>
          <w:p>
            <w:pPr>
              <w:pStyle w:val="Compact"/>
              <w:spacing w:after="40"/>
              <w:jc w:val="left"/>
            </w:pPr>
            <w:r>
              <w:rPr>
                <w:sz w:val="18"/>
              </w:rPr>
              <w:t xml:space="preserve">Rule and expression language (v1.5)</w:t>
            </w:r>
          </w:p>
        </w:tc>
        <w:tc>
          <w:tcPr>
            <w:tcW w:w="5444" w:type="dxa"/>
          </w:tcPr>
          <w:p>
            <w:pPr>
              <w:pStyle w:val="Compact"/>
              <w:spacing w:after="40"/>
              <w:jc w:val="left"/>
            </w:pPr>
            <w:r>
              <w:rPr>
                <w:sz w:val="18"/>
              </w:rPr>
              <w:t xml:space="preserve">CEL (Common Expression Language) for return applicability, validation and guard-rail expressions inside versioned YAML rule packs (Part 7B RR1.3, RR3.3); GoRules ZEN remains the BRE for credit decisions</w:t>
            </w:r>
          </w:p>
        </w:tc>
        <w:tc>
          <w:tcPr>
            <w:tcW w:w="2451" w:type="dxa"/>
          </w:tcPr>
          <w:p>
            <w:pPr>
              <w:pStyle w:val="Compact"/>
              <w:spacing w:after="40"/>
              <w:jc w:val="left"/>
            </w:pPr>
            <w:r>
              <w:rPr>
                <w:sz w:val="18"/>
              </w:rPr>
              <w:t xml:space="preserve">Side-effect-free, typed and portable evaluation [REC; owner decision, Appendix B]</w:t>
            </w:r>
          </w:p>
        </w:tc>
      </w:tr>
      <w:tr>
        <w:tc>
          <w:tcPr>
            <w:tcW w:w="1743" w:type="dxa"/>
          </w:tcPr>
          <w:p>
            <w:pPr>
              <w:pStyle w:val="Compact"/>
              <w:spacing w:after="40"/>
              <w:jc w:val="left"/>
            </w:pPr>
            <w:r>
              <w:rPr>
                <w:sz w:val="18"/>
              </w:rPr>
              <w:t xml:space="preserve">Archives and exports (v1.5)</w:t>
            </w:r>
          </w:p>
        </w:tc>
        <w:tc>
          <w:tcPr>
            <w:tcW w:w="5444" w:type="dxa"/>
          </w:tcPr>
          <w:p>
            <w:pPr>
              <w:pStyle w:val="Compact"/>
              <w:spacing w:after="40"/>
              <w:jc w:val="left"/>
            </w:pPr>
            <w:r>
              <w:rPr>
                <w:sz w:val="18"/>
              </w:rPr>
              <w:t xml:space="preserve">Part 7J DP1 archive standard: folder tree, XLSX and CSV registers, DOCX letters, PDF/A renditions, JSON manifest with SHA-256, data dictionary and README, built by workers with a rendering check in CI</w:t>
            </w:r>
          </w:p>
        </w:tc>
        <w:tc>
          <w:tcPr>
            <w:tcW w:w="2451" w:type="dxa"/>
          </w:tcPr>
          <w:p>
            <w:pPr>
              <w:pStyle w:val="Compact"/>
              <w:spacing w:after="40"/>
              <w:jc w:val="left"/>
            </w:pPr>
            <w:r>
              <w:rPr>
                <w:sz w:val="18"/>
              </w:rPr>
              <w:t xml:space="preserve">Readable without Finbyx (OUT paras 87, 97(xvi))</w:t>
            </w:r>
          </w:p>
        </w:tc>
      </w:tr>
      <w:tr>
        <w:tc>
          <w:tcPr>
            <w:tcW w:w="1743" w:type="dxa"/>
          </w:tcPr>
          <w:p>
            <w:pPr>
              <w:pStyle w:val="Compact"/>
              <w:spacing w:after="40"/>
              <w:jc w:val="left"/>
            </w:pPr>
            <w:r>
              <w:rPr>
                <w:sz w:val="18"/>
              </w:rPr>
              <w:t xml:space="preserve">Customer-controlled storage (BYOS) (v1.5)</w:t>
            </w:r>
          </w:p>
        </w:tc>
        <w:tc>
          <w:tcPr>
            <w:tcW w:w="5444" w:type="dxa"/>
          </w:tcPr>
          <w:p>
            <w:pPr>
              <w:pStyle w:val="Compact"/>
              <w:spacing w:after="40"/>
              <w:jc w:val="left"/>
            </w:pPr>
            <w:r>
              <w:rPr>
                <w:rStyle w:val="VerbatimChar"/>
                <w:sz w:val="18"/>
              </w:rPr>
              <w:t xml:space="preserve">StorageTarget</w:t>
            </w:r>
            <w:r>
              <w:rPr>
                <w:sz w:val="18"/>
              </w:rPr>
              <w:t xml:space="preserve"> </w:t>
            </w:r>
            <w:r>
              <w:rPr>
                <w:sz w:val="18"/>
              </w:rPr>
              <w:t xml:space="preserve">connectors to S3, Azure Blob, GCS, SharePoint and OneDrive, Google Drive (non-regulated data only), SFTP and on-premises stores; tenant KMS for BYOK and HYOK</w:t>
            </w:r>
          </w:p>
        </w:tc>
        <w:tc>
          <w:tcPr>
            <w:tcW w:w="2451" w:type="dxa"/>
          </w:tcPr>
          <w:p>
            <w:pPr>
              <w:pStyle w:val="Compact"/>
              <w:spacing w:after="40"/>
              <w:jc w:val="left"/>
            </w:pPr>
            <w:r>
              <w:rPr>
                <w:sz w:val="18"/>
              </w:rPr>
              <w:t xml:space="preserve">Tenant control of copies and keys (OUT para 97(vii)(b))</w:t>
            </w:r>
          </w:p>
        </w:tc>
      </w:tr>
      <w:tr>
        <w:tc>
          <w:tcPr>
            <w:tcW w:w="1743" w:type="dxa"/>
          </w:tcPr>
          <w:p>
            <w:pPr>
              <w:pStyle w:val="Compact"/>
              <w:spacing w:after="40"/>
              <w:jc w:val="left"/>
            </w:pPr>
            <w:r>
              <w:rPr>
                <w:sz w:val="18"/>
              </w:rPr>
              <w:t xml:space="preserve">Connector agent (v1.5)</w:t>
            </w:r>
          </w:p>
        </w:tc>
        <w:tc>
          <w:tcPr>
            <w:tcW w:w="5444" w:type="dxa"/>
          </w:tcPr>
          <w:p>
            <w:pPr>
              <w:pStyle w:val="Compact"/>
              <w:spacing w:after="40"/>
              <w:jc w:val="left"/>
            </w:pPr>
            <w:r>
              <w:rPr>
                <w:sz w:val="18"/>
              </w:rPr>
              <w:t xml:space="preserve">Signed, outbound-only Finbyx Connector Agent (</w:t>
            </w:r>
            <w:r>
              <w:rPr>
                <w:rStyle w:val="VerbatimChar"/>
                <w:sz w:val="18"/>
              </w:rPr>
              <w:t xml:space="preserve">apps/agent</w:t>
            </w:r>
            <w:r>
              <w:rPr>
                <w:sz w:val="18"/>
              </w:rPr>
              <w:t xml:space="preserve">) with an mTLS device certificate and signature-verified auto-update, for Tally Prime and on-premises storage</w:t>
            </w:r>
          </w:p>
        </w:tc>
        <w:tc>
          <w:tcPr>
            <w:tcW w:w="2451" w:type="dxa"/>
          </w:tcPr>
          <w:p>
            <w:pPr>
              <w:pStyle w:val="Compact"/>
              <w:spacing w:after="40"/>
              <w:jc w:val="left"/>
            </w:pPr>
            <w:r>
              <w:rPr>
                <w:sz w:val="18"/>
              </w:rPr>
              <w:t xml:space="preserve">No inbound port at the tenant site</w:t>
            </w:r>
          </w:p>
        </w:tc>
      </w:tr>
    </w:tbl>
    <w:bookmarkEnd w:id="833"/>
    <w:bookmarkStart w:id="834" w:name="architecture-principles"/>
    <w:p>
      <w:pPr>
        <w:pStyle w:val="Heading2"/>
      </w:pPr>
      <w:r>
        <w:t xml:space="preserve">10.2 Architecture principles</w:t>
      </w:r>
    </w:p>
    <w:p>
      <w:pPr>
        <w:pStyle w:val="FirstParagraph"/>
      </w:pPr>
      <w:r>
        <w:t xml:space="preserve">These are mandatory. Principles 1–17 are carried over from the Udofin prompt, and 18–30 are added for a core-lending system.</w:t>
      </w:r>
    </w:p>
    <w:p>
      <w:pPr>
        <w:numPr>
          <w:ilvl w:val="0"/>
          <w:numId w:val="2021"/>
        </w:numPr>
        <w:pStyle w:val="Compact"/>
      </w:pPr>
      <w:r>
        <w:t xml:space="preserve">Use a modular architecture with explicit domain boundaries. Start with a modular monolith, not microservices.</w:t>
      </w:r>
    </w:p>
    <w:p>
      <w:pPr>
        <w:numPr>
          <w:ilvl w:val="0"/>
          <w:numId w:val="2021"/>
        </w:numPr>
        <w:pStyle w:val="Compact"/>
      </w:pPr>
      <w:r>
        <w:t xml:space="preserve">Define an owner for every important data entity.</w:t>
      </w:r>
    </w:p>
    <w:p>
      <w:pPr>
        <w:numPr>
          <w:ilvl w:val="0"/>
          <w:numId w:val="2021"/>
        </w:numPr>
        <w:pStyle w:val="Compact"/>
      </w:pPr>
      <w:r>
        <w:t xml:space="preserve">Enforce tenant and legal-entity isolation in the API, the service layer and the database (RLS), and test it.</w:t>
      </w:r>
    </w:p>
    <w:p>
      <w:pPr>
        <w:numPr>
          <w:ilvl w:val="0"/>
          <w:numId w:val="2021"/>
        </w:numPr>
        <w:pStyle w:val="Compact"/>
      </w:pPr>
      <w:r>
        <w:t xml:space="preserve">Apply least-privilege access control.</w:t>
      </w:r>
    </w:p>
    <w:p>
      <w:pPr>
        <w:numPr>
          <w:ilvl w:val="0"/>
          <w:numId w:val="2021"/>
        </w:numPr>
        <w:pStyle w:val="Compact"/>
      </w:pPr>
      <w:r>
        <w:t xml:space="preserve">Validate all sensitive operations on trusted backend services. The browser and the mobile app never hold privileged keys.</w:t>
      </w:r>
    </w:p>
    <w:p>
      <w:pPr>
        <w:numPr>
          <w:ilvl w:val="0"/>
          <w:numId w:val="2021"/>
        </w:numPr>
        <w:pStyle w:val="Compact"/>
      </w:pPr>
      <w:r>
        <w:t xml:space="preserve">Use database transactions for operations that must be atomic.</w:t>
      </w:r>
    </w:p>
    <w:p>
      <w:pPr>
        <w:numPr>
          <w:ilvl w:val="0"/>
          <w:numId w:val="2021"/>
        </w:numPr>
        <w:pStyle w:val="Compact"/>
      </w:pPr>
      <w:r>
        <w:t xml:space="preserve">Make financial operations idempotent and safely retryable (idempotency keys stored and enforced).</w:t>
      </w:r>
    </w:p>
    <w:p>
      <w:pPr>
        <w:numPr>
          <w:ilvl w:val="0"/>
          <w:numId w:val="2021"/>
        </w:numPr>
        <w:pStyle w:val="Compact"/>
      </w:pPr>
      <w:r>
        <w:t xml:space="preserve">Keep traceable state transitions for leads, applications, loans, payments, mandates, collateral, collections, legal cases and complaints. Use explicit state machines with allowed transitions, failure states, retries and human overrides. For example, an application must not move to</w:t>
      </w:r>
      <w:r>
        <w:t xml:space="preserve"> </w:t>
      </w:r>
      <w:r>
        <w:t xml:space="preserve">“</w:t>
      </w:r>
      <w:r>
        <w:t xml:space="preserve">disbursed</w:t>
      </w:r>
      <w:r>
        <w:t xml:space="preserve">”</w:t>
      </w:r>
      <w:r>
        <w:t xml:space="preserve"> </w:t>
      </w:r>
      <w:r>
        <w:t xml:space="preserve">just because it was sanctioned.</w:t>
      </w:r>
    </w:p>
    <w:p>
      <w:pPr>
        <w:numPr>
          <w:ilvl w:val="0"/>
          <w:numId w:val="2021"/>
        </w:numPr>
        <w:pStyle w:val="Compact"/>
      </w:pPr>
      <w:r>
        <w:t xml:space="preserve">Record critical operations as immutable or tamper-evident (hash-chained) audit events.</w:t>
      </w:r>
    </w:p>
    <w:p>
      <w:pPr>
        <w:numPr>
          <w:ilvl w:val="0"/>
          <w:numId w:val="2021"/>
        </w:numPr>
        <w:pStyle w:val="Compact"/>
      </w:pPr>
      <w:r>
        <w:t xml:space="preserve">Keep configuration separate from code.</w:t>
      </w:r>
    </w:p>
    <w:p>
      <w:pPr>
        <w:numPr>
          <w:ilvl w:val="0"/>
          <w:numId w:val="2021"/>
        </w:numPr>
        <w:pStyle w:val="Compact"/>
      </w:pPr>
      <w:r>
        <w:t xml:space="preserve">Keep secrets outside source control.</w:t>
      </w:r>
    </w:p>
    <w:p>
      <w:pPr>
        <w:numPr>
          <w:ilvl w:val="0"/>
          <w:numId w:val="2021"/>
        </w:numPr>
        <w:pStyle w:val="Compact"/>
      </w:pPr>
      <w:r>
        <w:t xml:space="preserve">Keep database migrations versioned and reviewed for locking, data loss, backward compatibility and rollback/forward recovery.</w:t>
      </w:r>
    </w:p>
    <w:p>
      <w:pPr>
        <w:numPr>
          <w:ilvl w:val="0"/>
          <w:numId w:val="2021"/>
        </w:numPr>
        <w:pStyle w:val="Compact"/>
      </w:pPr>
      <w:r>
        <w:t xml:space="preserve">Use asynchronous processing for suitable long-running tasks.</w:t>
      </w:r>
    </w:p>
    <w:p>
      <w:pPr>
        <w:numPr>
          <w:ilvl w:val="0"/>
          <w:numId w:val="2021"/>
        </w:numPr>
        <w:pStyle w:val="Compact"/>
      </w:pPr>
      <w:r>
        <w:t xml:space="preserve">Implement structured logging, monitoring, error handling and alerting, with</w:t>
      </w:r>
      <w:r>
        <w:t xml:space="preserve"> </w:t>
      </w:r>
      <w:r>
        <w:rPr>
          <w:bCs/>
          <w:b/>
        </w:rPr>
        <w:t xml:space="preserve">no Aadhaar, PAN, OTP, account numbers or sensitive personal data in logs.</w:t>
      </w:r>
    </w:p>
    <w:p>
      <w:pPr>
        <w:numPr>
          <w:ilvl w:val="0"/>
          <w:numId w:val="2021"/>
        </w:numPr>
        <w:pStyle w:val="Compact"/>
      </w:pPr>
      <w:r>
        <w:t xml:space="preserve">Document API contracts, data models and material architecture decisions (ADRs).</w:t>
      </w:r>
    </w:p>
    <w:p>
      <w:pPr>
        <w:numPr>
          <w:ilvl w:val="0"/>
          <w:numId w:val="2021"/>
        </w:numPr>
        <w:pStyle w:val="Compact"/>
      </w:pPr>
      <w:r>
        <w:t xml:space="preserve">Avoid unnecessary duplication between web, field-app and backend.</w:t>
      </w:r>
    </w:p>
    <w:p>
      <w:pPr>
        <w:numPr>
          <w:ilvl w:val="0"/>
          <w:numId w:val="2021"/>
        </w:numPr>
        <w:pStyle w:val="Compact"/>
      </w:pPr>
      <w:r>
        <w:t xml:space="preserve">Build reusable components only when their behaviour is clear.</w:t>
      </w:r>
    </w:p>
    <w:p>
      <w:pPr>
        <w:numPr>
          <w:ilvl w:val="0"/>
          <w:numId w:val="2021"/>
        </w:numPr>
        <w:pStyle w:val="Compact"/>
      </w:pPr>
      <w:r>
        <w:rPr>
          <w:bCs/>
          <w:b/>
        </w:rPr>
        <w:t xml:space="preserve">Single authoritative financial record.</w:t>
      </w:r>
      <w:r>
        <w:t xml:space="preserve"> </w:t>
      </w:r>
      <w:r>
        <w:t xml:space="preserve">The loan ledger and the GL are the only sources of financial truth. Balances are derived, never edited.</w:t>
      </w:r>
    </w:p>
    <w:p>
      <w:pPr>
        <w:numPr>
          <w:ilvl w:val="0"/>
          <w:numId w:val="2021"/>
        </w:numPr>
        <w:pStyle w:val="Compact"/>
      </w:pPr>
      <w:r>
        <w:rPr>
          <w:bCs/>
          <w:b/>
        </w:rPr>
        <w:t xml:space="preserve">No hard deletes of financial or regulatory data.</w:t>
      </w:r>
      <w:r>
        <w:t xml:space="preserve"> </w:t>
      </w:r>
      <w:r>
        <w:t xml:space="preserve">Use reversals, cancellations and legal-hold-aware retention.</w:t>
      </w:r>
    </w:p>
    <w:p>
      <w:pPr>
        <w:numPr>
          <w:ilvl w:val="0"/>
          <w:numId w:val="2021"/>
        </w:numPr>
        <w:pStyle w:val="Compact"/>
      </w:pPr>
      <w:r>
        <w:rPr>
          <w:bCs/>
          <w:b/>
        </w:rPr>
        <w:t xml:space="preserve">Business date ≠ system date.</w:t>
      </w:r>
      <w:r>
        <w:t xml:space="preserve"> </w:t>
      </w:r>
      <w:r>
        <w:t xml:space="preserve">Every financial posting carries a value date, a business date and a system timestamp.</w:t>
      </w:r>
    </w:p>
    <w:p>
      <w:pPr>
        <w:numPr>
          <w:ilvl w:val="0"/>
          <w:numId w:val="2021"/>
        </w:numPr>
        <w:pStyle w:val="Compact"/>
      </w:pPr>
      <w:r>
        <w:rPr>
          <w:bCs/>
          <w:b/>
        </w:rPr>
        <w:t xml:space="preserve">Back-dated transactions</w:t>
      </w:r>
      <w:r>
        <w:t xml:space="preserve"> </w:t>
      </w:r>
      <w:r>
        <w:t xml:space="preserve">replay deterministically from the affected date. Period locks block posting into closed periods, except through an authorised adjustment workflow.</w:t>
      </w:r>
    </w:p>
    <w:p>
      <w:pPr>
        <w:numPr>
          <w:ilvl w:val="0"/>
          <w:numId w:val="2021"/>
        </w:numPr>
        <w:pStyle w:val="Compact"/>
      </w:pPr>
      <w:r>
        <w:rPr>
          <w:bCs/>
          <w:b/>
        </w:rPr>
        <w:t xml:space="preserve">Duplicate prevention.</w:t>
      </w:r>
      <w:r>
        <w:t xml:space="preserve"> </w:t>
      </w:r>
      <w:r>
        <w:t xml:space="preserve">Prevent duplicate disbursements, duplicate receipt allocation and duplicate mandate presentation (unique constraints + idempotency + reconciliation).</w:t>
      </w:r>
    </w:p>
    <w:p>
      <w:pPr>
        <w:numPr>
          <w:ilvl w:val="0"/>
          <w:numId w:val="2021"/>
        </w:numPr>
        <w:pStyle w:val="Compact"/>
      </w:pPr>
      <w:r>
        <w:rPr>
          <w:bCs/>
          <w:b/>
        </w:rPr>
        <w:t xml:space="preserve">Reconcile provider records against internal records.</w:t>
      </w:r>
      <w:r>
        <w:t xml:space="preserve"> </w:t>
      </w:r>
      <w:r>
        <w:t xml:space="preserve">Never trust a successful API response alone.</w:t>
      </w:r>
    </w:p>
    <w:p>
      <w:pPr>
        <w:numPr>
          <w:ilvl w:val="0"/>
          <w:numId w:val="2021"/>
        </w:numPr>
        <w:pStyle w:val="Compact"/>
      </w:pPr>
      <w:r>
        <w:rPr>
          <w:bCs/>
          <w:b/>
        </w:rPr>
        <w:t xml:space="preserve">Regulation as configuration.</w:t>
      </w:r>
      <w:r>
        <w:t xml:space="preserve"> </w:t>
      </w:r>
      <w:r>
        <w:t xml:space="preserve">Regulatory parameters (classification days, provision rates, contact hours, cooling-off, KFS rules, prepayment rules) live in versioned, effective-dated rule packs with platform guard-rails and tests.</w:t>
      </w:r>
    </w:p>
    <w:p>
      <w:pPr>
        <w:numPr>
          <w:ilvl w:val="0"/>
          <w:numId w:val="2021"/>
        </w:numPr>
        <w:pStyle w:val="Compact"/>
      </w:pPr>
      <w:r>
        <w:rPr>
          <w:bCs/>
          <w:b/>
        </w:rPr>
        <w:t xml:space="preserve">Explainability.</w:t>
      </w:r>
      <w:r>
        <w:t xml:space="preserve"> </w:t>
      </w:r>
      <w:r>
        <w:t xml:space="preserve">Every credit decision, deviation approval, charge, waiver and classification stores the inputs, rule version and approver.</w:t>
      </w:r>
    </w:p>
    <w:p>
      <w:pPr>
        <w:numPr>
          <w:ilvl w:val="0"/>
          <w:numId w:val="2021"/>
        </w:numPr>
        <w:pStyle w:val="Compact"/>
      </w:pPr>
      <w:r>
        <w:rPr>
          <w:bCs/>
          <w:b/>
        </w:rPr>
        <w:t xml:space="preserve">Maker-checker</w:t>
      </w:r>
      <w:r>
        <w:t xml:space="preserve"> </w:t>
      </w:r>
      <w:r>
        <w:t xml:space="preserve">on every configurable sensitive action.</w:t>
      </w:r>
    </w:p>
    <w:p>
      <w:pPr>
        <w:numPr>
          <w:ilvl w:val="0"/>
          <w:numId w:val="2021"/>
        </w:numPr>
        <w:pStyle w:val="Compact"/>
      </w:pPr>
      <w:r>
        <w:rPr>
          <w:bCs/>
          <w:b/>
        </w:rPr>
        <w:t xml:space="preserve">Data localisation.</w:t>
      </w:r>
      <w:r>
        <w:t xml:space="preserve"> </w:t>
      </w:r>
      <w:r>
        <w:t xml:space="preserve">All production data, backups and logs stay in India. For digital lending, data processed abroad must be deleted there and repatriated within 24 hours (CF para 14(4)). The Cyber Directions themselves contain no localisation clause. Every SaaS sub-processor must be confirmed India-resident in an ADR; otherwise, self-host it or send it no personal data. This covers Supabase, the compute host, Temporal Cloud, Sentry/Grafana, LLM endpoints, and email/SMS/WhatsApp vendors.</w:t>
      </w:r>
    </w:p>
    <w:p>
      <w:pPr>
        <w:numPr>
          <w:ilvl w:val="0"/>
          <w:numId w:val="2021"/>
        </w:numPr>
        <w:pStyle w:val="Compact"/>
      </w:pPr>
      <w:r>
        <w:rPr>
          <w:bCs/>
          <w:b/>
        </w:rPr>
        <w:t xml:space="preserve">Privacy by design.</w:t>
      </w:r>
      <w:r>
        <w:t xml:space="preserve"> </w:t>
      </w:r>
      <w:r>
        <w:t xml:space="preserve">Consent lineage, purpose limitation, minimisation, masking in UI by role, and a retention engine.</w:t>
      </w:r>
    </w:p>
    <w:p>
      <w:pPr>
        <w:numPr>
          <w:ilvl w:val="0"/>
          <w:numId w:val="2021"/>
        </w:numPr>
        <w:pStyle w:val="Compact"/>
      </w:pPr>
      <w:r>
        <w:rPr>
          <w:bCs/>
          <w:b/>
        </w:rPr>
        <w:t xml:space="preserve">Scalability.</w:t>
      </w:r>
      <w:r>
        <w:t xml:space="preserve"> </w:t>
      </w:r>
      <w:r>
        <w:t xml:space="preserve">Design for at least 100 lender tenants, 10 million+ loan accounts and tens of millions of ledger entries a month, with partitioned tables (by tenant and date), read replicas for reporting, and horizontally scalable COB workers.</w:t>
      </w:r>
    </w:p>
    <w:p>
      <w:pPr>
        <w:numPr>
          <w:ilvl w:val="0"/>
          <w:numId w:val="2021"/>
        </w:numPr>
        <w:pStyle w:val="Compact"/>
      </w:pPr>
      <w:r>
        <w:rPr>
          <w:bCs/>
          <w:b/>
        </w:rPr>
        <w:t xml:space="preserve">Portability.</w:t>
      </w:r>
      <w:r>
        <w:t xml:space="preserve"> </w:t>
      </w:r>
      <w:r>
        <w:t xml:space="preserve">Containerised, environment-based config, storage and auth abstractions, IaC. Do not build an elaborate cloud-neutral platform before the product is validated.</w:t>
      </w:r>
    </w:p>
    <w:p>
      <w:pPr>
        <w:numPr>
          <w:ilvl w:val="0"/>
          <w:numId w:val="2021"/>
        </w:numPr>
        <w:pStyle w:val="Compact"/>
      </w:pPr>
      <w:r>
        <w:rPr>
          <w:bCs/>
          <w:b/>
        </w:rPr>
        <w:t xml:space="preserve">Straight-through processing.</w:t>
      </w:r>
      <w:r>
        <w:t xml:space="preserve"> </w:t>
      </w:r>
      <w:r>
        <w:t xml:space="preserve">No manual editing of data passed between Finbyx and other applications: CIC/CIMS files, GL/Tally, co-lender files, payment files. Generated files are hashed and signed, and the hash is verified on upload. Exceptions go through maker-checker with an audit trail (CYB paras 119–120).</w:t>
      </w:r>
    </w:p>
    <w:p>
      <w:pPr>
        <w:numPr>
          <w:ilvl w:val="0"/>
          <w:numId w:val="2021"/>
        </w:numPr>
        <w:pStyle w:val="Compact"/>
      </w:pPr>
      <w:r>
        <w:rPr>
          <w:bCs/>
          <w:b/>
        </w:rPr>
        <w:t xml:space="preserve">Regulator and auditor access.</w:t>
      </w:r>
      <w:r>
        <w:t xml:space="preserve"> </w:t>
      </w:r>
      <w:r>
        <w:t xml:space="preserve">Built-in, time-boxed, read-only roles over MIS, audit trails and evidence (CYB paras 46, 57).</w:t>
      </w:r>
    </w:p>
    <w:p>
      <w:pPr>
        <w:numPr>
          <w:ilvl w:val="0"/>
          <w:numId w:val="2021"/>
        </w:numPr>
        <w:pStyle w:val="Compact"/>
      </w:pPr>
      <w:r>
        <w:rPr>
          <w:bCs/>
          <w:b/>
        </w:rPr>
        <w:t xml:space="preserve">IPv6.</w:t>
      </w:r>
      <w:r>
        <w:t xml:space="preserve"> </w:t>
      </w:r>
      <w:r>
        <w:t xml:space="preserve">All public endpoints are dual-stack IPv4/IPv6 (CYB para 18(4)).</w:t>
      </w:r>
    </w:p>
    <w:p>
      <w:pPr>
        <w:numPr>
          <w:ilvl w:val="0"/>
          <w:numId w:val="2021"/>
        </w:numPr>
        <w:pStyle w:val="Compact"/>
      </w:pPr>
      <w:r>
        <w:rPr>
          <w:bCs/>
          <w:b/>
        </w:rPr>
        <w:t xml:space="preserve">System-driven regulatory outputs.</w:t>
      </w:r>
      <w:r>
        <w:t xml:space="preserve"> </w:t>
      </w:r>
      <w:r>
        <w:t xml:space="preserve">SMA/NPA identification, fraud reporting and returns are system-generated, never spreadsheet-compiled (CYB paras 44, 46).</w:t>
      </w:r>
    </w:p>
    <w:p>
      <w:pPr>
        <w:numPr>
          <w:ilvl w:val="0"/>
          <w:numId w:val="2021"/>
        </w:numPr>
        <w:pStyle w:val="Compact"/>
      </w:pPr>
      <w:r>
        <w:rPr>
          <w:bCs/>
          <w:b/>
        </w:rPr>
        <w:t xml:space="preserve">Attachable modules and entitlements.</w:t>
      </w:r>
      <w:r>
        <w:t xml:space="preserve"> </w:t>
      </w:r>
      <w:r>
        <w:t xml:space="preserve">Optional module packs (first, the Recovery Suite of Part 7A) carry a manifest, are registered in a module registry and are enabled per tenant, product and branch by licence entitlement plus a feature flag checked on the server for every call (OpenFeature-compatible provider; flag keys</w:t>
      </w:r>
      <w:r>
        <w:t xml:space="preserve"> </w:t>
      </w:r>
      <w:r>
        <w:rPr>
          <w:rStyle w:val="VerbatimChar"/>
        </w:rPr>
        <w:t xml:space="preserve">mod.[module].[capability]</w:t>
      </w:r>
      <w:r>
        <w:t xml:space="preserve">). Lifecycle: AVAILABLE → LICENSED → INSTALLED → CONFIGURED → CERTIFIED → ENABLED → READ_ONLY → DETACHED (Part 7A.0.3). Detaching turns off writes and UI and produces an export pack; regulated, legal and recovery records are never deleted. Plug-ins run out of process and reach data only through APIs and events with tenant-scoped tokens.</w:t>
      </w:r>
    </w:p>
    <w:p>
      <w:pPr>
        <w:numPr>
          <w:ilvl w:val="0"/>
          <w:numId w:val="2021"/>
        </w:numPr>
        <w:pStyle w:val="Compact"/>
      </w:pPr>
      <w:r>
        <w:rPr>
          <w:bCs/>
          <w:b/>
        </w:rPr>
        <w:t xml:space="preserve">Prepare, validate, human files (v1.5).</w:t>
      </w:r>
      <w:r>
        <w:t xml:space="preserve"> </w:t>
      </w:r>
      <w:r>
        <w:t xml:space="preserve">Finbyx prepares, validates, reconciles, packages and evidences every regulatory, bureau, MCA, GST, income-tax and exchange filing; an authorised human in the tenant approves and files. Portal credentials, OTPs, DSC tokens and PINs are never stored or scripted, and machine-to-machine channels are used only where the regulator documents them for that entity class (Part 7B 7B.0).</w:t>
      </w:r>
    </w:p>
    <w:p>
      <w:pPr>
        <w:numPr>
          <w:ilvl w:val="0"/>
          <w:numId w:val="2021"/>
        </w:numPr>
        <w:pStyle w:val="Compact"/>
      </w:pPr>
      <w:r>
        <w:rPr>
          <w:bCs/>
          <w:b/>
        </w:rPr>
        <w:t xml:space="preserve">Institution profile, not NBFC hard-coding (v1.5).</w:t>
      </w:r>
      <w:r>
        <w:t xml:space="preserve"> </w:t>
      </w:r>
      <w:r>
        <w:t xml:space="preserve">Law, vocabulary, capital rules, returns, accounting framework and permitted products load from the legal entity’s institution profile (Part 7G IP1) and accounting-framework decision (Part 7C AC1).</w:t>
      </w:r>
    </w:p>
    <w:p>
      <w:pPr>
        <w:numPr>
          <w:ilvl w:val="0"/>
          <w:numId w:val="2021"/>
        </w:numPr>
        <w:pStyle w:val="Compact"/>
      </w:pPr>
      <w:r>
        <w:rPr>
          <w:bCs/>
          <w:b/>
        </w:rPr>
        <w:t xml:space="preserve">Archive standard (v1.5).</w:t>
      </w:r>
      <w:r>
        <w:t xml:space="preserve"> </w:t>
      </w:r>
      <w:r>
        <w:t xml:space="preserve">Every export follows Part 7J DP1 — a self-explanatory folder tree of Excel, Word, PDF/A and CSV files with a manifest (SHA-256), data dictionary, relationship map and README — and opens without Finbyx. Export and read access are never suspended for non-payment (Part 7K CM1.4, CM4.5).</w:t>
      </w:r>
    </w:p>
    <w:p>
      <w:pPr>
        <w:numPr>
          <w:ilvl w:val="0"/>
          <w:numId w:val="2021"/>
        </w:numPr>
        <w:pStyle w:val="Compact"/>
      </w:pPr>
      <w:r>
        <w:rPr>
          <w:bCs/>
          <w:b/>
        </w:rPr>
        <w:t xml:space="preserve">Bring your own storage (v1.5).</w:t>
      </w:r>
      <w:r>
        <w:t xml:space="preserve"> </w:t>
      </w:r>
      <w:r>
        <w:t xml:space="preserve">Tenants may hold exports and backups in storage they control (cloud bucket, SharePoint or OneDrive, Google Drive for non-regulated data only (no personal data, books of account, returns, loan or HR data), SFTP or on-premises) through certified</w:t>
      </w:r>
      <w:r>
        <w:t xml:space="preserve"> </w:t>
      </w:r>
      <w:r>
        <w:rPr>
          <w:rStyle w:val="VerbatimChar"/>
        </w:rPr>
        <w:t xml:space="preserve">StorageTarget</w:t>
      </w:r>
      <w:r>
        <w:t xml:space="preserve"> </w:t>
      </w:r>
      <w:r>
        <w:t xml:space="preserve">connectors with residency checks and a data-class policy; borrower and loan data go only to India-resident targets (Part 7J DP3–DP4; CF para 14(4)).</w:t>
      </w:r>
    </w:p>
    <w:p>
      <w:pPr>
        <w:numPr>
          <w:ilvl w:val="0"/>
          <w:numId w:val="2021"/>
        </w:numPr>
        <w:pStyle w:val="Compact"/>
      </w:pPr>
      <w:r>
        <w:rPr>
          <w:bCs/>
          <w:b/>
        </w:rPr>
        <w:t xml:space="preserve">Rule language (v1.5).</w:t>
      </w:r>
      <w:r>
        <w:t xml:space="preserve"> </w:t>
      </w:r>
      <w:r>
        <w:t xml:space="preserve">Applicability, validation and guard-rail expressions are written in CEL inside versioned, effective-dated YAML rule packs with citations; rule packs contain no executable code (Part 7B RR1.3, RR3.3). Credit-decision rules stay in the GoRules BRE.</w:t>
      </w:r>
    </w:p>
    <w:p>
      <w:pPr>
        <w:numPr>
          <w:ilvl w:val="0"/>
          <w:numId w:val="2021"/>
        </w:numPr>
        <w:pStyle w:val="Compact"/>
      </w:pPr>
      <w:r>
        <w:rPr>
          <w:bCs/>
          <w:b/>
        </w:rPr>
        <w:t xml:space="preserve">Commercial events never interrupt regulated functions (v1.5).</w:t>
      </w:r>
      <w:r>
        <w:t xml:space="preserve"> </w:t>
      </w:r>
      <w:r>
        <w:t xml:space="preserve">Plan changes, dunning or termination never stop COB, regulatory outputs, grievance handling, read access or export (Part 7K CM1.4).</w:t>
      </w:r>
    </w:p>
    <w:p>
      <w:pPr>
        <w:numPr>
          <w:ilvl w:val="0"/>
          <w:numId w:val="2021"/>
        </w:numPr>
        <w:pStyle w:val="Compact"/>
      </w:pPr>
      <w:r>
        <w:rPr>
          <w:bCs/>
          <w:b/>
        </w:rPr>
        <w:t xml:space="preserve">Menus and settings from registries (v1.5).</w:t>
      </w:r>
      <w:r>
        <w:t xml:space="preserve"> </w:t>
      </w:r>
      <w:r>
        <w:t xml:space="preserve">Navigation is generated from the module registry, roles and entitlements, never hand-coded per tenant; every setting is defined once with scope, default, effective date, owner and class — a cited regulatory floor that no role can relax (</w:t>
      </w:r>
      <w:r>
        <w:rPr>
          <w:rStyle w:val="VerbatimChar"/>
        </w:rPr>
        <w:t xml:space="preserve">floor_violation</w:t>
      </w:r>
      <w:r>
        <w:t xml:space="preserve">) or a commercial choice under maker-checker — and resolved server-side to the strictest applicable value; each module’s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and Appendix G are the specification.</w:t>
      </w:r>
    </w:p>
    <w:bookmarkEnd w:id="834"/>
    <w:bookmarkStart w:id="835" w:name="Xb0cb80b3e860e0ede99a243f78f17b7537c6add"/>
    <w:p>
      <w:pPr>
        <w:pStyle w:val="Heading2"/>
      </w:pPr>
      <w:r>
        <w:t xml:space="preserve">10.3 Non-functional targets (initial — confirm in Phase 0)</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47"/>
        <w:gridCol w:w="7691"/>
      </w:tblGrid>
      <w:tr>
        <w:trPr>
          <w:tblHeader w:val="true"/>
          <w:tblHeader w:val="true"/>
        </w:trPr>
        <w:tc>
          <w:tcPr>
            <w:tcW w:w="1947" w:type="dxa"/>
            <w:shd w:val="clear" w:color="auto" w:fill="1F3A5F"/>
          </w:tcPr>
          <w:p>
            <w:pPr>
              <w:pStyle w:val="Compact"/>
              <w:spacing w:after="40"/>
              <w:jc w:val="left"/>
            </w:pPr>
            <w:r>
              <w:rPr>
                <w:b/>
                <w:color w:val="FFFFFF"/>
                <w:sz w:val="18"/>
              </w:rPr>
              <w:t xml:space="preserve">Area</w:t>
            </w:r>
          </w:p>
        </w:tc>
        <w:tc>
          <w:tcPr>
            <w:tcW w:w="7691" w:type="dxa"/>
            <w:shd w:val="clear" w:color="auto" w:fill="1F3A5F"/>
          </w:tcPr>
          <w:p>
            <w:pPr>
              <w:pStyle w:val="Compact"/>
              <w:spacing w:after="40"/>
              <w:jc w:val="left"/>
            </w:pPr>
            <w:r>
              <w:rPr>
                <w:b/>
                <w:color w:val="FFFFFF"/>
                <w:sz w:val="18"/>
              </w:rPr>
              <w:t xml:space="preserve">Target</w:t>
            </w:r>
          </w:p>
        </w:tc>
      </w:tr>
      <w:tr>
        <w:tc>
          <w:tcPr>
            <w:tcW w:w="1947" w:type="dxa"/>
          </w:tcPr>
          <w:p>
            <w:pPr>
              <w:pStyle w:val="Compact"/>
              <w:spacing w:after="40"/>
              <w:jc w:val="left"/>
            </w:pPr>
            <w:r>
              <w:rPr>
                <w:sz w:val="18"/>
              </w:rPr>
              <w:t xml:space="preserve">Availability (production)</w:t>
            </w:r>
          </w:p>
        </w:tc>
        <w:tc>
          <w:tcPr>
            <w:tcW w:w="7691" w:type="dxa"/>
          </w:tcPr>
          <w:p>
            <w:pPr>
              <w:pStyle w:val="Compact"/>
              <w:spacing w:after="40"/>
              <w:jc w:val="left"/>
            </w:pPr>
            <w:r>
              <w:rPr>
                <w:sz w:val="18"/>
              </w:rPr>
              <w:t xml:space="preserve">99.9% monthly for staff app and APIs; COB must not block branch operations</w:t>
            </w:r>
          </w:p>
        </w:tc>
      </w:tr>
      <w:tr>
        <w:tc>
          <w:tcPr>
            <w:tcW w:w="1947" w:type="dxa"/>
          </w:tcPr>
          <w:p>
            <w:pPr>
              <w:pStyle w:val="Compact"/>
              <w:spacing w:after="40"/>
              <w:jc w:val="left"/>
            </w:pPr>
            <w:r>
              <w:rPr>
                <w:sz w:val="18"/>
              </w:rPr>
              <w:t xml:space="preserve">Latency</w:t>
            </w:r>
          </w:p>
        </w:tc>
        <w:tc>
          <w:tcPr>
            <w:tcW w:w="7691" w:type="dxa"/>
          </w:tcPr>
          <w:p>
            <w:pPr>
              <w:pStyle w:val="Compact"/>
              <w:spacing w:after="40"/>
              <w:jc w:val="left"/>
            </w:pPr>
            <w:r>
              <w:rPr>
                <w:sz w:val="18"/>
              </w:rPr>
              <w:t xml:space="preserve">p95 &lt; 300 ms for reads, &lt; 800 ms for standard writes, excluding third-party calls</w:t>
            </w:r>
          </w:p>
        </w:tc>
      </w:tr>
      <w:tr>
        <w:tc>
          <w:tcPr>
            <w:tcW w:w="1947" w:type="dxa"/>
          </w:tcPr>
          <w:p>
            <w:pPr>
              <w:pStyle w:val="Compact"/>
              <w:spacing w:after="40"/>
              <w:jc w:val="left"/>
            </w:pPr>
            <w:r>
              <w:rPr>
                <w:sz w:val="18"/>
              </w:rPr>
              <w:t xml:space="preserve">COB</w:t>
            </w:r>
          </w:p>
        </w:tc>
        <w:tc>
          <w:tcPr>
            <w:tcW w:w="7691" w:type="dxa"/>
          </w:tcPr>
          <w:p>
            <w:pPr>
              <w:pStyle w:val="Compact"/>
              <w:spacing w:after="40"/>
              <w:jc w:val="left"/>
            </w:pPr>
            <w:r>
              <w:rPr>
                <w:sz w:val="18"/>
              </w:rPr>
              <w:t xml:space="preserve">1 million active loans processed in &lt; 60 minutes on reference infrastructure, with linear scale-out</w:t>
            </w:r>
          </w:p>
        </w:tc>
      </w:tr>
      <w:tr>
        <w:tc>
          <w:tcPr>
            <w:tcW w:w="1947" w:type="dxa"/>
          </w:tcPr>
          <w:p>
            <w:pPr>
              <w:pStyle w:val="Compact"/>
              <w:spacing w:after="40"/>
              <w:jc w:val="left"/>
            </w:pPr>
            <w:r>
              <w:rPr>
                <w:sz w:val="18"/>
              </w:rPr>
              <w:t xml:space="preserve">RPO / RTO</w:t>
            </w:r>
          </w:p>
        </w:tc>
        <w:tc>
          <w:tcPr>
            <w:tcW w:w="7691" w:type="dxa"/>
          </w:tcPr>
          <w:p>
            <w:pPr>
              <w:pStyle w:val="Compact"/>
              <w:spacing w:after="40"/>
              <w:jc w:val="left"/>
            </w:pPr>
            <w:r>
              <w:rPr>
                <w:sz w:val="18"/>
              </w:rPr>
              <w:t xml:space="preserve">Near-zero RPO for the ledger (synchronous replica / PITR). The Cyber Directions set no numeric RTO: Ch V requires a minimal RTO approved by each NBFC’s ITSC, a near-zero RPO for critical systems, and a reconciliation method where RPO ≠ 0 (CYB paras 134–136). Finbyx default RTO ≤ 4 hours, with a tighter per-tenant tier so each ML+ tenant’s ITSC-approved RTO is met contractually (para 138)</w:t>
            </w:r>
          </w:p>
        </w:tc>
      </w:tr>
      <w:tr>
        <w:tc>
          <w:tcPr>
            <w:tcW w:w="1947" w:type="dxa"/>
          </w:tcPr>
          <w:p>
            <w:pPr>
              <w:pStyle w:val="Compact"/>
              <w:spacing w:after="40"/>
              <w:jc w:val="left"/>
            </w:pPr>
            <w:r>
              <w:rPr>
                <w:sz w:val="18"/>
              </w:rPr>
              <w:t xml:space="preserve">DR drills</w:t>
            </w:r>
          </w:p>
        </w:tc>
        <w:tc>
          <w:tcPr>
            <w:tcW w:w="7691" w:type="dxa"/>
          </w:tcPr>
          <w:p>
            <w:pPr>
              <w:pStyle w:val="Compact"/>
              <w:spacing w:after="40"/>
              <w:jc w:val="left"/>
            </w:pPr>
            <w:r>
              <w:rPr>
                <w:sz w:val="18"/>
              </w:rPr>
              <w:t xml:space="preserve">Half-yearly for critical systems for Chapter V entities (Cyber Directions para 129); annual BCP test for Chapter IV; restore tests at least quarterly</w:t>
            </w:r>
          </w:p>
        </w:tc>
      </w:tr>
      <w:tr>
        <w:tc>
          <w:tcPr>
            <w:tcW w:w="1947" w:type="dxa"/>
          </w:tcPr>
          <w:p>
            <w:pPr>
              <w:pStyle w:val="Compact"/>
              <w:spacing w:after="40"/>
              <w:jc w:val="left"/>
            </w:pPr>
            <w:r>
              <w:rPr>
                <w:sz w:val="18"/>
              </w:rPr>
              <w:t xml:space="preserve">DR architecture</w:t>
            </w:r>
          </w:p>
        </w:tc>
        <w:tc>
          <w:tcPr>
            <w:tcW w:w="7691" w:type="dxa"/>
          </w:tcPr>
          <w:p>
            <w:pPr>
              <w:pStyle w:val="Compact"/>
              <w:spacing w:after="40"/>
              <w:jc w:val="left"/>
            </w:pPr>
            <w:r>
              <w:rPr>
                <w:sz w:val="18"/>
              </w:rPr>
              <w:t xml:space="preserve">DC and DR geographically separated, e.g. ap-south-1 / ap-south-2 (CYB para 102); identical configuration and patches through IaC, with a drift check (para 137). A single-region deployment is not acceptable for Ch V tenants in production</w:t>
            </w:r>
          </w:p>
        </w:tc>
      </w:tr>
      <w:tr>
        <w:tc>
          <w:tcPr>
            <w:tcW w:w="1947" w:type="dxa"/>
          </w:tcPr>
          <w:p>
            <w:pPr>
              <w:pStyle w:val="Compact"/>
              <w:spacing w:after="40"/>
              <w:jc w:val="left"/>
            </w:pPr>
            <w:r>
              <w:rPr>
                <w:sz w:val="18"/>
              </w:rPr>
              <w:t xml:space="preserve">DR switchover</w:t>
            </w:r>
          </w:p>
        </w:tc>
        <w:tc>
          <w:tcPr>
            <w:tcW w:w="7691" w:type="dxa"/>
          </w:tcPr>
          <w:p>
            <w:pPr>
              <w:pStyle w:val="Compact"/>
              <w:spacing w:after="40"/>
              <w:jc w:val="left"/>
            </w:pPr>
            <w:r>
              <w:rPr>
                <w:sz w:val="18"/>
              </w:rPr>
              <w:t xml:space="preserve">Half-yearly platform drill running production on DR for one full business day, BOD to EOD including COB, with a tenant evidence pack; failures re-tested (CYB paras 129–131, 138)</w:t>
            </w:r>
          </w:p>
        </w:tc>
      </w:tr>
      <w:tr>
        <w:tc>
          <w:tcPr>
            <w:tcW w:w="1947" w:type="dxa"/>
          </w:tcPr>
          <w:p>
            <w:pPr>
              <w:pStyle w:val="Compact"/>
              <w:spacing w:after="40"/>
              <w:jc w:val="left"/>
            </w:pPr>
            <w:r>
              <w:rPr>
                <w:sz w:val="18"/>
              </w:rPr>
              <w:t xml:space="preserve">Backup</w:t>
            </w:r>
          </w:p>
        </w:tc>
        <w:tc>
          <w:tcPr>
            <w:tcW w:w="7691" w:type="dxa"/>
          </w:tcPr>
          <w:p>
            <w:pPr>
              <w:pStyle w:val="Compact"/>
              <w:spacing w:after="40"/>
              <w:jc w:val="left"/>
            </w:pPr>
            <w:r>
              <w:rPr>
                <w:sz w:val="18"/>
              </w:rPr>
              <w:t xml:space="preserve">Encrypted, immutable backups; quarterly restore test; half-yearly recovery test without loss of transactions or audit trails (DPS para 20 baseline)</w:t>
            </w:r>
          </w:p>
        </w:tc>
      </w:tr>
      <w:tr>
        <w:tc>
          <w:tcPr>
            <w:tcW w:w="1947" w:type="dxa"/>
          </w:tcPr>
          <w:p>
            <w:pPr>
              <w:pStyle w:val="Compact"/>
              <w:spacing w:after="40"/>
              <w:jc w:val="left"/>
            </w:pPr>
            <w:r>
              <w:rPr>
                <w:sz w:val="18"/>
              </w:rPr>
              <w:t xml:space="preserve">Log retention</w:t>
            </w:r>
          </w:p>
        </w:tc>
        <w:tc>
          <w:tcPr>
            <w:tcW w:w="7691" w:type="dxa"/>
          </w:tcPr>
          <w:p>
            <w:pPr>
              <w:pStyle w:val="Compact"/>
              <w:spacing w:after="40"/>
              <w:jc w:val="left"/>
            </w:pPr>
            <w:r>
              <w:rPr>
                <w:sz w:val="18"/>
              </w:rPr>
              <w:t xml:space="preserve">Configurable per tenant; the longest of the applicable legal and tenant-policy periods [VERIFY each]. The Cyber Directions prescribe none (CYB para 110)</w:t>
            </w:r>
          </w:p>
        </w:tc>
      </w:tr>
      <w:tr>
        <w:tc>
          <w:tcPr>
            <w:tcW w:w="1947" w:type="dxa"/>
          </w:tcPr>
          <w:p>
            <w:pPr>
              <w:pStyle w:val="Compact"/>
              <w:spacing w:after="40"/>
              <w:jc w:val="left"/>
            </w:pPr>
            <w:r>
              <w:rPr>
                <w:sz w:val="18"/>
              </w:rPr>
              <w:t xml:space="preserve">Concurrency</w:t>
            </w:r>
          </w:p>
        </w:tc>
        <w:tc>
          <w:tcPr>
            <w:tcW w:w="7691" w:type="dxa"/>
          </w:tcPr>
          <w:p>
            <w:pPr>
              <w:pStyle w:val="Compact"/>
              <w:spacing w:after="40"/>
              <w:jc w:val="left"/>
            </w:pPr>
            <w:r>
              <w:rPr>
                <w:sz w:val="18"/>
              </w:rPr>
              <w:t xml:space="preserve">1 million+ borrower-portal users; 50,000 concurrent staff and field sessions across tenants (validate in Phase 0)</w:t>
            </w:r>
          </w:p>
        </w:tc>
      </w:tr>
      <w:tr>
        <w:tc>
          <w:tcPr>
            <w:tcW w:w="1947" w:type="dxa"/>
          </w:tcPr>
          <w:p>
            <w:pPr>
              <w:pStyle w:val="Compact"/>
              <w:spacing w:after="40"/>
              <w:jc w:val="left"/>
            </w:pPr>
            <w:r>
              <w:rPr>
                <w:sz w:val="18"/>
              </w:rPr>
              <w:t xml:space="preserve">Security</w:t>
            </w:r>
          </w:p>
        </w:tc>
        <w:tc>
          <w:tcPr>
            <w:tcW w:w="7691" w:type="dxa"/>
          </w:tcPr>
          <w:p>
            <w:pPr>
              <w:pStyle w:val="Compact"/>
              <w:spacing w:after="40"/>
              <w:jc w:val="left"/>
            </w:pPr>
            <w:r>
              <w:rPr>
                <w:sz w:val="18"/>
              </w:rPr>
              <w:t xml:space="preserve">OWASP ASVS Level 2 baseline. VA at least every 6 months and PT at least every 12 months on production by an independent CERT-In-empanelled firm, plus pre- and post-go-live and after major change (CYB paras 121–124; DPS para 32). Incident notice to the tenant fast enough for its DAKSH filing within 6 hours of detection by Finbyx (CYB paras 28, 141; OUT para 61)</w:t>
            </w:r>
          </w:p>
        </w:tc>
      </w:tr>
      <w:tr>
        <w:tc>
          <w:tcPr>
            <w:tcW w:w="1947" w:type="dxa"/>
          </w:tcPr>
          <w:p>
            <w:pPr>
              <w:pStyle w:val="Compact"/>
              <w:spacing w:after="40"/>
              <w:jc w:val="left"/>
            </w:pPr>
            <w:r>
              <w:rPr>
                <w:sz w:val="18"/>
              </w:rPr>
              <w:t xml:space="preserve">Accessibility</w:t>
            </w:r>
          </w:p>
        </w:tc>
        <w:tc>
          <w:tcPr>
            <w:tcW w:w="7691" w:type="dxa"/>
          </w:tcPr>
          <w:p>
            <w:pPr>
              <w:pStyle w:val="Compact"/>
              <w:spacing w:after="40"/>
              <w:jc w:val="left"/>
            </w:pPr>
            <w:r>
              <w:rPr>
                <w:sz w:val="18"/>
              </w:rPr>
              <w:t xml:space="preserve">WCAG 2.2 AA for portals</w:t>
            </w:r>
          </w:p>
        </w:tc>
      </w:tr>
      <w:tr>
        <w:tc>
          <w:tcPr>
            <w:tcW w:w="1947" w:type="dxa"/>
          </w:tcPr>
          <w:p>
            <w:pPr>
              <w:pStyle w:val="Compact"/>
              <w:spacing w:after="40"/>
              <w:jc w:val="left"/>
            </w:pPr>
            <w:r>
              <w:rPr>
                <w:sz w:val="18"/>
              </w:rPr>
              <w:t xml:space="preserve">Localisation</w:t>
            </w:r>
          </w:p>
        </w:tc>
        <w:tc>
          <w:tcPr>
            <w:tcW w:w="7691" w:type="dxa"/>
          </w:tcPr>
          <w:p>
            <w:pPr>
              <w:pStyle w:val="Compact"/>
              <w:spacing w:after="40"/>
              <w:jc w:val="left"/>
            </w:pPr>
            <w:r>
              <w:rPr>
                <w:sz w:val="18"/>
              </w:rPr>
              <w:t xml:space="preserve">English + Hindi at launch; framework for regional languages; INR formatting (lakh/crore), DD-MM-YYYY</w:t>
            </w:r>
          </w:p>
        </w:tc>
      </w:tr>
    </w:tbl>
    <w:bookmarkEnd w:id="835"/>
    <w:bookmarkStart w:id="836" w:name="Xf5614c5dc33a43bce4955e3270fd8c00fcde617"/>
    <w:p>
      <w:pPr>
        <w:pStyle w:val="Heading2"/>
      </w:pPr>
      <w:r>
        <w:t xml:space="preserve">10.4 Security and cyber controls (map to the 2026 Cyber Directions)</w:t>
      </w:r>
    </w:p>
    <w:p>
      <w:pPr>
        <w:numPr>
          <w:ilvl w:val="0"/>
          <w:numId w:val="2022"/>
        </w:numPr>
        <w:pStyle w:val="Compact"/>
      </w:pPr>
      <w:r>
        <w:rPr>
          <w:bCs/>
          <w:b/>
        </w:rPr>
        <w:t xml:space="preserve">Encryption:</w:t>
      </w:r>
      <w:r>
        <w:t xml:space="preserve"> </w:t>
      </w:r>
      <w:r>
        <w:t xml:space="preserve">TLS 1.2+ (prefer 1.3) in transit; AES-256 at rest; field-level encryption for PAN, Aadhaar reference, bank account and DOB; KMS envelope keys per tenant; HSM for vault and signing keys.</w:t>
      </w:r>
      <w:r>
        <w:t xml:space="preserve"> </w:t>
      </w:r>
      <w:r>
        <w:rPr>
          <w:bCs/>
          <w:b/>
        </w:rPr>
        <w:t xml:space="preserve">Tenant-controlled keys (BYOK/HYOK: tenant-owned KMS key or HSM partition, with revocation) available to every ML/UL tenant</w:t>
      </w:r>
      <w:r>
        <w:t xml:space="preserve">, because OUT para 97(vii)(b) requires encryption keys and HSMs under the NBFC’s control for cloud services.</w:t>
      </w:r>
    </w:p>
    <w:p>
      <w:pPr>
        <w:numPr>
          <w:ilvl w:val="0"/>
          <w:numId w:val="2022"/>
        </w:numPr>
        <w:pStyle w:val="Compact"/>
      </w:pPr>
      <w:r>
        <w:rPr>
          <w:bCs/>
          <w:b/>
        </w:rPr>
        <w:t xml:space="preserve">Identity and access:</w:t>
      </w:r>
    </w:p>
    <w:p>
      <w:pPr>
        <w:numPr>
          <w:ilvl w:val="1"/>
          <w:numId w:val="2023"/>
        </w:numPr>
        <w:pStyle w:val="Compact"/>
      </w:pPr>
      <w:r>
        <w:t xml:space="preserve">MFA for all staff and privileged users;</w:t>
      </w:r>
    </w:p>
    <w:p>
      <w:pPr>
        <w:numPr>
          <w:ilvl w:val="1"/>
          <w:numId w:val="2023"/>
        </w:numPr>
        <w:pStyle w:val="Compact"/>
      </w:pPr>
      <w:r>
        <w:t xml:space="preserve">privileged access management;</w:t>
      </w:r>
    </w:p>
    <w:p>
      <w:pPr>
        <w:numPr>
          <w:ilvl w:val="1"/>
          <w:numId w:val="2023"/>
        </w:numPr>
        <w:pStyle w:val="Compact"/>
      </w:pPr>
      <w:r>
        <w:t xml:space="preserve">session timeouts;</w:t>
      </w:r>
    </w:p>
    <w:p>
      <w:pPr>
        <w:numPr>
          <w:ilvl w:val="1"/>
          <w:numId w:val="2023"/>
        </w:numPr>
        <w:pStyle w:val="Compact"/>
      </w:pPr>
      <w:r>
        <w:t xml:space="preserve">IP and device restrictions;</w:t>
      </w:r>
    </w:p>
    <w:p>
      <w:pPr>
        <w:numPr>
          <w:ilvl w:val="1"/>
          <w:numId w:val="2023"/>
        </w:numPr>
        <w:pStyle w:val="Compact"/>
      </w:pPr>
      <w:r>
        <w:t xml:space="preserve">quarterly access reviews (system-generated);</w:t>
      </w:r>
    </w:p>
    <w:p>
      <w:pPr>
        <w:numPr>
          <w:ilvl w:val="1"/>
          <w:numId w:val="2023"/>
        </w:numPr>
        <w:pStyle w:val="Compact"/>
      </w:pPr>
      <w:r>
        <w:t xml:space="preserve">joiner-mover-leaver automation;</w:t>
      </w:r>
    </w:p>
    <w:p>
      <w:pPr>
        <w:numPr>
          <w:ilvl w:val="1"/>
          <w:numId w:val="2023"/>
        </w:numPr>
        <w:pStyle w:val="Compact"/>
      </w:pPr>
      <w:r>
        <w:t xml:space="preserve">MFA mandatory for privileged users and critical actions — disbursement approval, rate/parameter change, user-rights change, bulk export (CYB para 115);</w:t>
      </w:r>
    </w:p>
    <w:p>
      <w:pPr>
        <w:numPr>
          <w:ilvl w:val="1"/>
          <w:numId w:val="2023"/>
        </w:numPr>
        <w:pStyle w:val="Compact"/>
      </w:pPr>
      <w:r>
        <w:t xml:space="preserve">PAM with session recording;</w:t>
      </w:r>
    </w:p>
    <w:p>
      <w:pPr>
        <w:numPr>
          <w:ilvl w:val="1"/>
          <w:numId w:val="2023"/>
        </w:numPr>
        <w:pStyle w:val="Compact"/>
      </w:pPr>
      <w:r>
        <w:t xml:space="preserve">monthly review of elevated-user activity (CYB para 114);</w:t>
      </w:r>
    </w:p>
    <w:p>
      <w:pPr>
        <w:numPr>
          <w:ilvl w:val="1"/>
          <w:numId w:val="2023"/>
        </w:numPr>
        <w:pStyle w:val="Compact"/>
      </w:pPr>
      <w:r>
        <w:t xml:space="preserve">SoD between sysadmin, DBA and transaction roles (CYB para 21(2)).</w:t>
      </w:r>
    </w:p>
    <w:p>
      <w:pPr>
        <w:numPr>
          <w:ilvl w:val="0"/>
          <w:numId w:val="2022"/>
        </w:numPr>
        <w:pStyle w:val="Compact"/>
      </w:pPr>
      <w:r>
        <w:rPr>
          <w:bCs/>
          <w:b/>
        </w:rPr>
        <w:t xml:space="preserve">Application security:</w:t>
      </w:r>
    </w:p>
    <w:p>
      <w:pPr>
        <w:numPr>
          <w:ilvl w:val="1"/>
          <w:numId w:val="2024"/>
        </w:numPr>
        <w:pStyle w:val="Compact"/>
      </w:pPr>
      <w:r>
        <w:t xml:space="preserve">input validation (Zod);</w:t>
      </w:r>
    </w:p>
    <w:p>
      <w:pPr>
        <w:numPr>
          <w:ilvl w:val="1"/>
          <w:numId w:val="2024"/>
        </w:numPr>
        <w:pStyle w:val="Compact"/>
      </w:pPr>
      <w:r>
        <w:t xml:space="preserve">output encoding;</w:t>
      </w:r>
    </w:p>
    <w:p>
      <w:pPr>
        <w:numPr>
          <w:ilvl w:val="1"/>
          <w:numId w:val="2024"/>
        </w:numPr>
        <w:pStyle w:val="Compact"/>
      </w:pPr>
      <w:r>
        <w:t xml:space="preserve">CSRF protection;</w:t>
      </w:r>
    </w:p>
    <w:p>
      <w:pPr>
        <w:numPr>
          <w:ilvl w:val="1"/>
          <w:numId w:val="2024"/>
        </w:numPr>
        <w:pStyle w:val="Compact"/>
      </w:pPr>
      <w:r>
        <w:t xml:space="preserve">rate limiting;</w:t>
      </w:r>
    </w:p>
    <w:p>
      <w:pPr>
        <w:numPr>
          <w:ilvl w:val="1"/>
          <w:numId w:val="2024"/>
        </w:numPr>
        <w:pStyle w:val="Compact"/>
      </w:pPr>
      <w:r>
        <w:t xml:space="preserve">signed short-lived document URLs;</w:t>
      </w:r>
    </w:p>
    <w:p>
      <w:pPr>
        <w:numPr>
          <w:ilvl w:val="1"/>
          <w:numId w:val="2024"/>
        </w:numPr>
        <w:pStyle w:val="Compact"/>
      </w:pPr>
      <w:r>
        <w:t xml:space="preserve">IDOR/BOLA tests on every endpoint;</w:t>
      </w:r>
    </w:p>
    <w:p>
      <w:pPr>
        <w:numPr>
          <w:ilvl w:val="1"/>
          <w:numId w:val="2024"/>
        </w:numPr>
        <w:pStyle w:val="Compact"/>
      </w:pPr>
      <w:r>
        <w:t xml:space="preserve">webhook signature verification and replay protection;</w:t>
      </w:r>
    </w:p>
    <w:p>
      <w:pPr>
        <w:numPr>
          <w:ilvl w:val="1"/>
          <w:numId w:val="2024"/>
        </w:numPr>
        <w:pStyle w:val="Compact"/>
      </w:pPr>
      <w:r>
        <w:t xml:space="preserve">file-upload scanning (antivirus, type and size checks);</w:t>
      </w:r>
    </w:p>
    <w:p>
      <w:pPr>
        <w:numPr>
          <w:ilvl w:val="1"/>
          <w:numId w:val="2024"/>
        </w:numPr>
        <w:pStyle w:val="Compact"/>
      </w:pPr>
      <w:r>
        <w:t xml:space="preserve">WAF and DDoS protection on every internet endpoint (DPS para 23);</w:t>
      </w:r>
    </w:p>
    <w:p>
      <w:pPr>
        <w:numPr>
          <w:ilvl w:val="1"/>
          <w:numId w:val="2024"/>
        </w:numPr>
        <w:pStyle w:val="Compact"/>
      </w:pPr>
      <w:r>
        <w:t xml:space="preserve">no sensitive data in cookies, hidden fields or client storage (DPS para 22);</w:t>
      </w:r>
    </w:p>
    <w:p>
      <w:pPr>
        <w:numPr>
          <w:ilvl w:val="1"/>
          <w:numId w:val="2024"/>
        </w:numPr>
        <w:pStyle w:val="Compact"/>
      </w:pPr>
      <w:r>
        <w:t xml:space="preserve">masked account and card numbers in SMS/email (DPS para 40);</w:t>
      </w:r>
    </w:p>
    <w:p>
      <w:pPr>
        <w:numPr>
          <w:ilvl w:val="1"/>
          <w:numId w:val="2024"/>
        </w:numPr>
        <w:pStyle w:val="Compact"/>
      </w:pPr>
      <w:r>
        <w:t xml:space="preserve">threat model per module; SAST and source review per release; authenticated scanning (DPS paras 29–35);</w:t>
      </w:r>
    </w:p>
    <w:p>
      <w:pPr>
        <w:numPr>
          <w:ilvl w:val="1"/>
          <w:numId w:val="2024"/>
        </w:numPr>
        <w:pStyle w:val="Compact"/>
      </w:pPr>
      <w:r>
        <w:t xml:space="preserve">CVSS-based remediation SLAs, with no recurrence of known CVEs (CYB paras 125–126).</w:t>
      </w:r>
    </w:p>
    <w:p>
      <w:pPr>
        <w:numPr>
          <w:ilvl w:val="0"/>
          <w:numId w:val="2022"/>
        </w:numPr>
        <w:pStyle w:val="Compact"/>
      </w:pPr>
      <w:r>
        <w:rPr>
          <w:bCs/>
          <w:b/>
        </w:rPr>
        <w:t xml:space="preserve">Supply chain:</w:t>
      </w:r>
    </w:p>
    <w:p>
      <w:pPr>
        <w:numPr>
          <w:ilvl w:val="1"/>
          <w:numId w:val="2025"/>
        </w:numPr>
        <w:pStyle w:val="Compact"/>
      </w:pPr>
      <w:r>
        <w:t xml:space="preserve">SBOM;</w:t>
      </w:r>
    </w:p>
    <w:p>
      <w:pPr>
        <w:numPr>
          <w:ilvl w:val="1"/>
          <w:numId w:val="2025"/>
        </w:numPr>
        <w:pStyle w:val="Compact"/>
      </w:pPr>
      <w:r>
        <w:t xml:space="preserve">dependency scanning;</w:t>
      </w:r>
    </w:p>
    <w:p>
      <w:pPr>
        <w:numPr>
          <w:ilvl w:val="1"/>
          <w:numId w:val="2025"/>
        </w:numPr>
        <w:pStyle w:val="Compact"/>
      </w:pPr>
      <w:r>
        <w:t xml:space="preserve">signed builds;</w:t>
      </w:r>
    </w:p>
    <w:p>
      <w:pPr>
        <w:numPr>
          <w:ilvl w:val="1"/>
          <w:numId w:val="2025"/>
        </w:numPr>
        <w:pStyle w:val="Compact"/>
      </w:pPr>
      <w:r>
        <w:t xml:space="preserve">pinned versions;</w:t>
      </w:r>
    </w:p>
    <w:p>
      <w:pPr>
        <w:numPr>
          <w:ilvl w:val="1"/>
          <w:numId w:val="2025"/>
        </w:numPr>
        <w:pStyle w:val="Compact"/>
      </w:pPr>
      <w:r>
        <w:t xml:space="preserve">secret scanning in CI;</w:t>
      </w:r>
    </w:p>
    <w:p>
      <w:pPr>
        <w:numPr>
          <w:ilvl w:val="1"/>
          <w:numId w:val="2025"/>
        </w:numPr>
        <w:pStyle w:val="Compact"/>
      </w:pPr>
      <w:r>
        <w:t xml:space="preserve">a source-code-escrow deposit of every production release (CYB para 105; DPS para 31);</w:t>
      </w:r>
    </w:p>
    <w:p>
      <w:pPr>
        <w:numPr>
          <w:ilvl w:val="1"/>
          <w:numId w:val="2025"/>
        </w:numPr>
        <w:pStyle w:val="Compact"/>
      </w:pPr>
      <w:r>
        <w:t xml:space="preserve">a signed certificate per material change that the software is free of known vulnerabilities, malware and covert channels (CYB para 106);</w:t>
      </w:r>
    </w:p>
    <w:p>
      <w:pPr>
        <w:numPr>
          <w:ilvl w:val="1"/>
          <w:numId w:val="2025"/>
        </w:numPr>
        <w:pStyle w:val="Compact"/>
      </w:pPr>
      <w:r>
        <w:t xml:space="preserve">an EOS register and technology refresh plan (CYB paras 92–93).</w:t>
      </w:r>
    </w:p>
    <w:p>
      <w:pPr>
        <w:numPr>
          <w:ilvl w:val="0"/>
          <w:numId w:val="2022"/>
        </w:numPr>
        <w:pStyle w:val="Compact"/>
      </w:pPr>
      <w:r>
        <w:rPr>
          <w:bCs/>
          <w:b/>
        </w:rPr>
        <w:t xml:space="preserve">Monitoring:</w:t>
      </w:r>
    </w:p>
    <w:p>
      <w:pPr>
        <w:numPr>
          <w:ilvl w:val="1"/>
          <w:numId w:val="2026"/>
        </w:numPr>
        <w:pStyle w:val="Compact"/>
      </w:pPr>
      <w:r>
        <w:t xml:space="preserve">SIEM-ready security audit stream;</w:t>
      </w:r>
    </w:p>
    <w:p>
      <w:pPr>
        <w:numPr>
          <w:ilvl w:val="1"/>
          <w:numId w:val="2026"/>
        </w:numPr>
        <w:pStyle w:val="Compact"/>
      </w:pPr>
      <w:r>
        <w:t xml:space="preserve">anomaly alerts (bulk export, off-hours privileged access, mass status changes);</w:t>
      </w:r>
    </w:p>
    <w:p>
      <w:pPr>
        <w:numPr>
          <w:ilvl w:val="1"/>
          <w:numId w:val="2026"/>
        </w:numPr>
        <w:pStyle w:val="Compact"/>
      </w:pPr>
      <w:r>
        <w:t xml:space="preserve">an incident response runbook with severity matrix and regulatory/CERT-In reporting templates.</w:t>
      </w:r>
    </w:p>
    <w:p>
      <w:pPr>
        <w:numPr>
          <w:ilvl w:val="0"/>
          <w:numId w:val="2022"/>
        </w:numPr>
        <w:pStyle w:val="Compact"/>
      </w:pPr>
      <w:r>
        <w:rPr>
          <w:bCs/>
          <w:b/>
        </w:rPr>
        <w:t xml:space="preserve">Independent security review:</w:t>
      </w:r>
      <w:r>
        <w:t xml:space="preserve"> </w:t>
      </w:r>
      <w:r>
        <w:t xml:space="preserve">in each phase, try to break your own implementation, not merely confirm that it works. Test:</w:t>
      </w:r>
    </w:p>
    <w:p>
      <w:pPr>
        <w:numPr>
          <w:ilvl w:val="1"/>
          <w:numId w:val="2027"/>
        </w:numPr>
        <w:pStyle w:val="Compact"/>
      </w:pPr>
      <w:r>
        <w:t xml:space="preserve">cross-tenant and cross-entity access;</w:t>
      </w:r>
    </w:p>
    <w:p>
      <w:pPr>
        <w:numPr>
          <w:ilvl w:val="1"/>
          <w:numId w:val="2027"/>
        </w:numPr>
        <w:pStyle w:val="Compact"/>
      </w:pPr>
      <w:r>
        <w:t xml:space="preserve">cross-branch access;</w:t>
      </w:r>
    </w:p>
    <w:p>
      <w:pPr>
        <w:numPr>
          <w:ilvl w:val="1"/>
          <w:numId w:val="2027"/>
        </w:numPr>
        <w:pStyle w:val="Compact"/>
      </w:pPr>
      <w:r>
        <w:t xml:space="preserve">privilege escalation;</w:t>
      </w:r>
    </w:p>
    <w:p>
      <w:pPr>
        <w:numPr>
          <w:ilvl w:val="1"/>
          <w:numId w:val="2027"/>
        </w:numPr>
        <w:pStyle w:val="Compact"/>
      </w:pPr>
      <w:r>
        <w:t xml:space="preserve">insecure document links;</w:t>
      </w:r>
    </w:p>
    <w:p>
      <w:pPr>
        <w:numPr>
          <w:ilvl w:val="1"/>
          <w:numId w:val="2027"/>
        </w:numPr>
        <w:pStyle w:val="Compact"/>
      </w:pPr>
      <w:r>
        <w:t xml:space="preserve">IDOR;</w:t>
      </w:r>
    </w:p>
    <w:p>
      <w:pPr>
        <w:numPr>
          <w:ilvl w:val="1"/>
          <w:numId w:val="2027"/>
        </w:numPr>
        <w:pStyle w:val="Compact"/>
      </w:pPr>
      <w:r>
        <w:t xml:space="preserve">replayed requests;</w:t>
      </w:r>
    </w:p>
    <w:p>
      <w:pPr>
        <w:numPr>
          <w:ilvl w:val="1"/>
          <w:numId w:val="2027"/>
        </w:numPr>
        <w:pStyle w:val="Compact"/>
      </w:pPr>
      <w:r>
        <w:t xml:space="preserve">webhook forgery;</w:t>
      </w:r>
    </w:p>
    <w:p>
      <w:pPr>
        <w:numPr>
          <w:ilvl w:val="1"/>
          <w:numId w:val="2027"/>
        </w:numPr>
        <w:pStyle w:val="Compact"/>
      </w:pPr>
      <w:r>
        <w:t xml:space="preserve">mass assignment;</w:t>
      </w:r>
    </w:p>
    <w:p>
      <w:pPr>
        <w:numPr>
          <w:ilvl w:val="1"/>
          <w:numId w:val="2027"/>
        </w:numPr>
        <w:pStyle w:val="Compact"/>
      </w:pPr>
      <w:r>
        <w:t xml:space="preserve">unauthorised admin actions;</w:t>
      </w:r>
    </w:p>
    <w:p>
      <w:pPr>
        <w:numPr>
          <w:ilvl w:val="1"/>
          <w:numId w:val="2027"/>
        </w:numPr>
        <w:pStyle w:val="Compact"/>
      </w:pPr>
      <w:r>
        <w:t xml:space="preserve">maker-checker bypass;</w:t>
      </w:r>
    </w:p>
    <w:p>
      <w:pPr>
        <w:numPr>
          <w:ilvl w:val="1"/>
          <w:numId w:val="2027"/>
        </w:numPr>
        <w:pStyle w:val="Compact"/>
      </w:pPr>
      <w:r>
        <w:t xml:space="preserve">back-dated posting into closed periods.</w:t>
      </w:r>
    </w:p>
    <w:bookmarkEnd w:id="836"/>
    <w:bookmarkStart w:id="837" w:name="uiux-principles-for-internal-teams"/>
    <w:p>
      <w:pPr>
        <w:pStyle w:val="Heading2"/>
      </w:pPr>
      <w:r>
        <w:t xml:space="preserve">10.5 UI/UX principles for internal teams</w:t>
      </w:r>
    </w:p>
    <w:p>
      <w:pPr>
        <w:numPr>
          <w:ilvl w:val="0"/>
          <w:numId w:val="2028"/>
        </w:numPr>
        <w:pStyle w:val="Compact"/>
      </w:pPr>
      <w:r>
        <w:t xml:space="preserve">Clean, professional, non-cluttered,</w:t>
      </w:r>
      <w:r>
        <w:t xml:space="preserve"> </w:t>
      </w:r>
      <w:r>
        <w:rPr>
          <w:bCs/>
          <w:b/>
        </w:rPr>
        <w:t xml:space="preserve">data-dense without visual noise</w:t>
      </w:r>
      <w:r>
        <w:t xml:space="preserve">.</w:t>
      </w:r>
    </w:p>
    <w:p>
      <w:pPr>
        <w:numPr>
          <w:ilvl w:val="0"/>
          <w:numId w:val="2028"/>
        </w:numPr>
        <w:pStyle w:val="Compact"/>
      </w:pPr>
      <w:r>
        <w:t xml:space="preserve">Role-based workspaces with:</w:t>
      </w:r>
    </w:p>
    <w:p>
      <w:pPr>
        <w:numPr>
          <w:ilvl w:val="1"/>
          <w:numId w:val="2029"/>
        </w:numPr>
        <w:pStyle w:val="Compact"/>
      </w:pPr>
      <w:r>
        <w:rPr>
          <w:bCs/>
          <w:b/>
        </w:rPr>
        <w:t xml:space="preserve">My Queue</w:t>
      </w:r>
      <w:r>
        <w:t xml:space="preserve"> </w:t>
      </w:r>
      <w:r>
        <w:t xml:space="preserve">(SLA-sorted);</w:t>
      </w:r>
    </w:p>
    <w:p>
      <w:pPr>
        <w:numPr>
          <w:ilvl w:val="1"/>
          <w:numId w:val="2029"/>
        </w:numPr>
        <w:pStyle w:val="Compact"/>
      </w:pPr>
      <w:r>
        <w:t xml:space="preserve">global search (customer, loan, PAN-masked, mobile, application ID);</w:t>
      </w:r>
    </w:p>
    <w:p>
      <w:pPr>
        <w:numPr>
          <w:ilvl w:val="1"/>
          <w:numId w:val="2029"/>
        </w:numPr>
        <w:pStyle w:val="Compact"/>
      </w:pPr>
      <w:r>
        <w:t xml:space="preserve">a 360° customer/loan view with tabs;</w:t>
      </w:r>
    </w:p>
    <w:p>
      <w:pPr>
        <w:numPr>
          <w:ilvl w:val="1"/>
          <w:numId w:val="2029"/>
        </w:numPr>
        <w:pStyle w:val="Compact"/>
      </w:pPr>
      <w:r>
        <w:t xml:space="preserve">keyboard shortcuts for power users;</w:t>
      </w:r>
    </w:p>
    <w:p>
      <w:pPr>
        <w:numPr>
          <w:ilvl w:val="1"/>
          <w:numId w:val="2029"/>
        </w:numPr>
        <w:pStyle w:val="Compact"/>
      </w:pPr>
      <w:r>
        <w:t xml:space="preserve">bulk actions with maker-checker;</w:t>
      </w:r>
    </w:p>
    <w:p>
      <w:pPr>
        <w:numPr>
          <w:ilvl w:val="1"/>
          <w:numId w:val="2029"/>
        </w:numPr>
        <w:pStyle w:val="Compact"/>
      </w:pPr>
      <w:r>
        <w:t xml:space="preserve">saved filters;</w:t>
      </w:r>
    </w:p>
    <w:p>
      <w:pPr>
        <w:numPr>
          <w:ilvl w:val="1"/>
          <w:numId w:val="2029"/>
        </w:numPr>
        <w:pStyle w:val="Compact"/>
      </w:pPr>
      <w:r>
        <w:t xml:space="preserve">export controls by permission;</w:t>
      </w:r>
    </w:p>
    <w:p>
      <w:pPr>
        <w:numPr>
          <w:ilvl w:val="1"/>
          <w:numId w:val="2029"/>
        </w:numPr>
        <w:pStyle w:val="Compact"/>
      </w:pPr>
      <w:r>
        <w:t xml:space="preserve">inline explanations of why data is requested;</w:t>
      </w:r>
    </w:p>
    <w:p>
      <w:pPr>
        <w:numPr>
          <w:ilvl w:val="1"/>
          <w:numId w:val="2029"/>
        </w:numPr>
        <w:pStyle w:val="Compact"/>
      </w:pPr>
      <w:r>
        <w:t xml:space="preserve">clear error messages and recovery steps;</w:t>
      </w:r>
    </w:p>
    <w:p>
      <w:pPr>
        <w:numPr>
          <w:ilvl w:val="1"/>
          <w:numId w:val="2029"/>
        </w:numPr>
        <w:pStyle w:val="Compact"/>
      </w:pPr>
      <w:r>
        <w:t xml:space="preserve">timeline views of every account.</w:t>
      </w:r>
    </w:p>
    <w:p>
      <w:pPr>
        <w:numPr>
          <w:ilvl w:val="0"/>
          <w:numId w:val="2028"/>
        </w:numPr>
        <w:pStyle w:val="Compact"/>
      </w:pPr>
      <w:r>
        <w:rPr>
          <w:bCs/>
          <w:b/>
        </w:rPr>
        <w:t xml:space="preserve">Theming and white-labelling</w:t>
      </w:r>
      <w:r>
        <w:t xml:space="preserve"> </w:t>
      </w:r>
      <w:r>
        <w:t xml:space="preserve">through design tokens (colours, typography, spacing, radius, logo, density). I must be able to change the look without code changes.</w:t>
      </w:r>
    </w:p>
    <w:p>
      <w:pPr>
        <w:numPr>
          <w:ilvl w:val="0"/>
          <w:numId w:val="2028"/>
        </w:numPr>
        <w:pStyle w:val="Compact"/>
      </w:pPr>
      <w:r>
        <w:t xml:space="preserve">Maximum automation:</w:t>
      </w:r>
    </w:p>
    <w:p>
      <w:pPr>
        <w:numPr>
          <w:ilvl w:val="1"/>
          <w:numId w:val="2030"/>
        </w:numPr>
        <w:pStyle w:val="Compact"/>
      </w:pPr>
      <w:r>
        <w:t xml:space="preserve">pre-fill from data pulls;</w:t>
      </w:r>
    </w:p>
    <w:p>
      <w:pPr>
        <w:numPr>
          <w:ilvl w:val="1"/>
          <w:numId w:val="2030"/>
        </w:numPr>
        <w:pStyle w:val="Compact"/>
      </w:pPr>
      <w:r>
        <w:t xml:space="preserve">auto-generated documents;</w:t>
      </w:r>
    </w:p>
    <w:p>
      <w:pPr>
        <w:numPr>
          <w:ilvl w:val="1"/>
          <w:numId w:val="2030"/>
        </w:numPr>
        <w:pStyle w:val="Compact"/>
      </w:pPr>
      <w:r>
        <w:t xml:space="preserve">auto-allocation;</w:t>
      </w:r>
    </w:p>
    <w:p>
      <w:pPr>
        <w:numPr>
          <w:ilvl w:val="1"/>
          <w:numId w:val="2030"/>
        </w:numPr>
        <w:pStyle w:val="Compact"/>
      </w:pPr>
      <w:r>
        <w:t xml:space="preserve">auto-reconciliation;</w:t>
      </w:r>
    </w:p>
    <w:p>
      <w:pPr>
        <w:numPr>
          <w:ilvl w:val="1"/>
          <w:numId w:val="2030"/>
        </w:numPr>
        <w:pStyle w:val="Compact"/>
      </w:pPr>
      <w:r>
        <w:t xml:space="preserve">auto-reminders;</w:t>
      </w:r>
    </w:p>
    <w:p>
      <w:pPr>
        <w:numPr>
          <w:ilvl w:val="1"/>
          <w:numId w:val="2030"/>
        </w:numPr>
        <w:pStyle w:val="Compact"/>
      </w:pPr>
      <w:r>
        <w:t xml:space="preserve">auto-escalation;</w:t>
      </w:r>
    </w:p>
    <w:p>
      <w:pPr>
        <w:numPr>
          <w:ilvl w:val="1"/>
          <w:numId w:val="2030"/>
        </w:numPr>
        <w:pStyle w:val="Compact"/>
      </w:pPr>
      <w:r>
        <w:t xml:space="preserve">straight-through processing where rules allow, with human review where rules or regulation require it.</w:t>
      </w:r>
    </w:p>
    <w:p>
      <w:pPr>
        <w:numPr>
          <w:ilvl w:val="0"/>
          <w:numId w:val="2028"/>
        </w:numPr>
        <w:pStyle w:val="Compact"/>
      </w:pPr>
      <w:r>
        <w:rPr>
          <w:bCs/>
          <w:b/>
        </w:rPr>
        <w:t xml:space="preserve">Consistent component library and Storybook. Every screen must have</w:t>
      </w:r>
      <w:r>
        <w:t xml:space="preserve"> </w:t>
      </w:r>
      <w:r>
        <w:t xml:space="preserve">empty, loading, error and permission-denied states.</w:t>
      </w:r>
    </w:p>
    <w:p>
      <w:pPr>
        <w:numPr>
          <w:ilvl w:val="0"/>
          <w:numId w:val="2028"/>
        </w:numPr>
        <w:pStyle w:val="Compact"/>
      </w:pPr>
      <w:r>
        <w:rPr>
          <w:bCs/>
          <w:b/>
        </w:rPr>
        <w:t xml:space="preserve">Menus, screens and settings (v1.5):</w:t>
      </w:r>
      <w:r>
        <w:t xml:space="preserve"> </w:t>
      </w:r>
      <w:r>
        <w:t xml:space="preserve">menus are generated from the module registry, roles and entitlements, and every module’s screens and settings follow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consolidated in Appendix G. Standard patterns: list (saved views, filters, bulk actions under maker-checker, exports by permission), detail with timeline, create or edit wizard with inline validation, approval queue with SLA countdown, and dashboard with drill-down. Every block or refusal explains why (rule, citation, the screen that fixes it). Heavy back-office queues have keyboard shortcuts, and every action also has a button. Screens meet WCAG 2.2 AA; borrower-facing screens are vernacular. A setting classed as a regulatory floor can be tightened but never relaxed (</w:t>
      </w:r>
      <w:r>
        <w:rPr>
          <w:rStyle w:val="VerbatimChar"/>
        </w:rPr>
        <w:t xml:space="preserve">floor_violation</w:t>
      </w:r>
      <w:r>
        <w:t xml:space="preserve">, Part 10.2 principle 42), and automation never takes a regulated decision without human approval.</w:t>
      </w:r>
    </w:p>
    <w:bookmarkEnd w:id="837"/>
    <w:bookmarkStart w:id="838" w:name="X846d5ea41f8786f351370df75bd4796cd43cc33"/>
    <w:p>
      <w:pPr>
        <w:pStyle w:val="Heading2"/>
      </w:pPr>
      <w:r>
        <w:t xml:space="preserve">10.6 Vendor obligations Finbyx must meet as a service provider to regulated lenders</w:t>
      </w:r>
    </w:p>
    <w:p>
      <w:pPr>
        <w:pStyle w:val="FirstParagraph"/>
      </w:pPr>
      <w:r>
        <w:t xml:space="preserve">Finbyx is an IT service provider to its tenants. Build these obligations into the product, the contracts and the evidence packs:</w:t>
      </w:r>
    </w:p>
    <w:p>
      <w:pPr>
        <w:numPr>
          <w:ilvl w:val="0"/>
          <w:numId w:val="2031"/>
        </w:numPr>
        <w:pStyle w:val="Compact"/>
      </w:pPr>
      <w:r>
        <w:rPr>
          <w:bCs/>
          <w:b/>
        </w:rPr>
        <w:t xml:space="preserve">Contract clauses</w:t>
      </w:r>
      <w:r>
        <w:t xml:space="preserve"> </w:t>
      </w:r>
      <w:r>
        <w:t xml:space="preserve">(OUT paras 33–34, 74(i)–(xix), 87–88, 97(xvi); CYB para 62 for BL tenants ≥ ₹500 crore). The standard Finbyx MSA/DPA carries all of them, with a clause matrix per tenant:</w:t>
      </w:r>
    </w:p>
    <w:p>
      <w:pPr>
        <w:numPr>
          <w:ilvl w:val="1"/>
          <w:numId w:val="2032"/>
        </w:numPr>
        <w:pStyle w:val="Compact"/>
      </w:pPr>
      <w:r>
        <w:t xml:space="preserve">continuous monitoring by the NBFC;</w:t>
      </w:r>
    </w:p>
    <w:p>
      <w:pPr>
        <w:numPr>
          <w:ilvl w:val="1"/>
          <w:numId w:val="2032"/>
        </w:numPr>
        <w:pStyle w:val="Compact"/>
      </w:pPr>
      <w:r>
        <w:t xml:space="preserve">data-protection systems;</w:t>
      </w:r>
    </w:p>
    <w:p>
      <w:pPr>
        <w:numPr>
          <w:ilvl w:val="1"/>
          <w:numId w:val="2032"/>
        </w:numPr>
        <w:pStyle w:val="Compact"/>
      </w:pPr>
      <w:r>
        <w:t xml:space="preserve">access to books, records and information;</w:t>
      </w:r>
    </w:p>
    <w:p>
      <w:pPr>
        <w:numPr>
          <w:ilvl w:val="1"/>
          <w:numId w:val="2032"/>
        </w:numPr>
        <w:pStyle w:val="Compact"/>
      </w:pPr>
      <w:r>
        <w:rPr>
          <w:bCs/>
          <w:b/>
        </w:rPr>
        <w:t xml:space="preserve">retention of administrative audit trails and logs</w:t>
      </w:r>
      <w:r>
        <w:t xml:space="preserve">, accessible on approved request;</w:t>
      </w:r>
    </w:p>
    <w:p>
      <w:pPr>
        <w:numPr>
          <w:ilvl w:val="1"/>
          <w:numId w:val="2032"/>
        </w:numPr>
        <w:pStyle w:val="Compact"/>
      </w:pPr>
      <w:r>
        <w:t xml:space="preserve">audit rights for internal or external auditors;</w:t>
      </w:r>
    </w:p>
    <w:p>
      <w:pPr>
        <w:numPr>
          <w:ilvl w:val="1"/>
          <w:numId w:val="2032"/>
        </w:numPr>
        <w:pStyle w:val="Compact"/>
      </w:pPr>
      <w:r>
        <w:t xml:space="preserve">copies of Finbyx’s audit reports;</w:t>
      </w:r>
    </w:p>
    <w:p>
      <w:pPr>
        <w:numPr>
          <w:ilvl w:val="1"/>
          <w:numId w:val="2032"/>
        </w:numPr>
        <w:pStyle w:val="Compact"/>
      </w:pPr>
      <w:r>
        <w:t xml:space="preserve">RBI access to data within reasonable time.</w:t>
      </w:r>
    </w:p>
    <w:p>
      <w:pPr>
        <w:numPr>
          <w:ilvl w:val="0"/>
          <w:numId w:val="2031"/>
        </w:numPr>
        <w:pStyle w:val="Compact"/>
      </w:pPr>
      <w:r>
        <w:t xml:space="preserve">Maintenance and support under a formal agreement and SLA (CYB para 104).</w:t>
      </w:r>
    </w:p>
    <w:p>
      <w:pPr>
        <w:numPr>
          <w:ilvl w:val="0"/>
          <w:numId w:val="2031"/>
        </w:numPr>
        <w:pStyle w:val="Compact"/>
      </w:pPr>
      <w:r>
        <w:rPr>
          <w:bCs/>
          <w:b/>
        </w:rPr>
        <w:t xml:space="preserve">Source code of critical applications, or source-code escrow</w:t>
      </w:r>
      <w:r>
        <w:t xml:space="preserve"> </w:t>
      </w:r>
      <w:r>
        <w:t xml:space="preserve">with an independent agent. Deposit every release including fixes, with a verified build (CYB para 105; DPS para 31).</w:t>
      </w:r>
    </w:p>
    <w:p>
      <w:pPr>
        <w:numPr>
          <w:ilvl w:val="0"/>
          <w:numId w:val="2031"/>
        </w:numPr>
        <w:pStyle w:val="Compact"/>
      </w:pPr>
      <w:r>
        <w:rPr>
          <w:bCs/>
          <w:b/>
        </w:rPr>
        <w:t xml:space="preserve">Security certificate:</w:t>
      </w:r>
      <w:r>
        <w:t xml:space="preserve"> </w:t>
      </w:r>
      <w:r>
        <w:t xml:space="preserve">a written certificate that the software is free of known vulnerabilities, malware and covert channels.</w:t>
      </w:r>
    </w:p>
    <w:p>
      <w:pPr>
        <w:numPr>
          <w:ilvl w:val="1"/>
          <w:numId w:val="2033"/>
        </w:numPr>
        <w:pStyle w:val="Compact"/>
      </w:pPr>
      <w:r>
        <w:t xml:space="preserve">Issue it at onboarding and on each material change, using an agreed materiality definition (CYB para 106).</w:t>
      </w:r>
    </w:p>
    <w:p>
      <w:pPr>
        <w:numPr>
          <w:ilvl w:val="1"/>
          <w:numId w:val="2033"/>
        </w:numPr>
        <w:pStyle w:val="Compact"/>
      </w:pPr>
      <w:r>
        <w:t xml:space="preserve">For card issuers, issue it annually if the application changed.</w:t>
      </w:r>
    </w:p>
    <w:p>
      <w:pPr>
        <w:numPr>
          <w:ilvl w:val="1"/>
          <w:numId w:val="2033"/>
        </w:numPr>
        <w:pStyle w:val="Compact"/>
      </w:pPr>
      <w:r>
        <w:t xml:space="preserve">Accept penal clauses (DPS para 32).</w:t>
      </w:r>
    </w:p>
    <w:p>
      <w:pPr>
        <w:numPr>
          <w:ilvl w:val="0"/>
          <w:numId w:val="2031"/>
        </w:numPr>
        <w:pStyle w:val="Compact"/>
      </w:pPr>
      <w:r>
        <w:rPr>
          <w:bCs/>
          <w:b/>
        </w:rPr>
        <w:t xml:space="preserve">Testing:</w:t>
      </w:r>
      <w:r>
        <w:t xml:space="preserve"> </w:t>
      </w:r>
      <w:r>
        <w:t xml:space="preserve">independent VA every 6 months and PT annually, and on major change. Share the reports and remediation status (CYB paras 121–126).</w:t>
      </w:r>
    </w:p>
    <w:p>
      <w:pPr>
        <w:numPr>
          <w:ilvl w:val="0"/>
          <w:numId w:val="2031"/>
        </w:numPr>
        <w:pStyle w:val="Compact"/>
      </w:pPr>
      <w:r>
        <w:rPr>
          <w:bCs/>
          <w:b/>
        </w:rPr>
        <w:t xml:space="preserve">Incidents:</w:t>
      </w:r>
      <w:r>
        <w:t xml:space="preserve"> </w:t>
      </w:r>
      <w:r>
        <w:t xml:space="preserve">the tenant’s 6-hour RBI clock runs from</w:t>
      </w:r>
      <w:r>
        <w:t xml:space="preserve"> </w:t>
      </w:r>
      <w:r>
        <w:rPr>
          <w:bCs/>
          <w:b/>
        </w:rPr>
        <w:t xml:space="preserve">detection by Finbyx</w:t>
      </w:r>
      <w:r>
        <w:t xml:space="preserve"> </w:t>
      </w:r>
      <w:r>
        <w:t xml:space="preserve">(OUT para 61). Notify the tenant without undue delay (target ≤ 2 hours from Finbyx detection) for the contractually listed material adverse events (OUT 74(iii)); support forensics and RCA; take part in crisis drills; supply lessons-learned input (CYB paras 28, 140–146; ORM 99–101).</w:t>
      </w:r>
    </w:p>
    <w:p>
      <w:pPr>
        <w:numPr>
          <w:ilvl w:val="0"/>
          <w:numId w:val="2031"/>
        </w:numPr>
        <w:pStyle w:val="Compact"/>
      </w:pPr>
      <w:r>
        <w:rPr>
          <w:bCs/>
          <w:b/>
        </w:rPr>
        <w:t xml:space="preserve">BCP and DR:</w:t>
      </w:r>
      <w:r>
        <w:t xml:space="preserve"> </w:t>
      </w:r>
      <w:r>
        <w:t xml:space="preserve">geographically separated sites; half-yearly full-day DR drills; collaborative resilience tests against each tenant’s RTO; proactive BCP assurance (CYB paras 59(5), 64, 102, 129–138).</w:t>
      </w:r>
    </w:p>
    <w:p>
      <w:pPr>
        <w:numPr>
          <w:ilvl w:val="0"/>
          <w:numId w:val="2031"/>
        </w:numPr>
        <w:pStyle w:val="Compact"/>
      </w:pPr>
      <w:r>
        <w:rPr>
          <w:bCs/>
          <w:b/>
        </w:rPr>
        <w:t xml:space="preserve">Staff and policy:</w:t>
      </w:r>
      <w:r>
        <w:t xml:space="preserve"> </w:t>
      </w:r>
      <w:r>
        <w:t xml:space="preserve">comply with tenant InfoSec and acceptable-use policies; background-screen privileged staff (CYB paras 21(4), 97).</w:t>
      </w:r>
    </w:p>
    <w:p>
      <w:pPr>
        <w:numPr>
          <w:ilvl w:val="0"/>
          <w:numId w:val="2031"/>
        </w:numPr>
        <w:pStyle w:val="Compact"/>
      </w:pPr>
      <w:r>
        <w:rPr>
          <w:bCs/>
          <w:b/>
        </w:rPr>
        <w:t xml:space="preserve">Disclosures to tenants:</w:t>
      </w:r>
    </w:p>
    <w:p>
      <w:pPr>
        <w:numPr>
          <w:ilvl w:val="1"/>
          <w:numId w:val="2034"/>
        </w:numPr>
        <w:pStyle w:val="Compact"/>
      </w:pPr>
      <w:r>
        <w:t xml:space="preserve">RCSA;</w:t>
      </w:r>
    </w:p>
    <w:p>
      <w:pPr>
        <w:numPr>
          <w:ilvl w:val="1"/>
          <w:numId w:val="2034"/>
        </w:numPr>
        <w:pStyle w:val="Compact"/>
      </w:pPr>
      <w:r>
        <w:t xml:space="preserve">sub-processor list for concentration and supply-chain assessment;</w:t>
      </w:r>
    </w:p>
    <w:p>
      <w:pPr>
        <w:numPr>
          <w:ilvl w:val="1"/>
          <w:numId w:val="2034"/>
        </w:numPr>
        <w:pStyle w:val="Compact"/>
      </w:pPr>
      <w:r>
        <w:t xml:space="preserve">SBOM;</w:t>
      </w:r>
    </w:p>
    <w:p>
      <w:pPr>
        <w:numPr>
          <w:ilvl w:val="1"/>
          <w:numId w:val="2034"/>
        </w:numPr>
        <w:pStyle w:val="Compact"/>
      </w:pPr>
      <w:r>
        <w:t xml:space="preserve">EOS dates;</w:t>
      </w:r>
    </w:p>
    <w:p>
      <w:pPr>
        <w:numPr>
          <w:ilvl w:val="1"/>
          <w:numId w:val="2034"/>
        </w:numPr>
        <w:pStyle w:val="Compact"/>
      </w:pPr>
      <w:r>
        <w:t xml:space="preserve">asset inventory and CIA classification for Finbyx-hosted assets (CYB paras 21(1), 91–92, 117; DPS para 16).</w:t>
      </w:r>
    </w:p>
    <w:p>
      <w:pPr>
        <w:numPr>
          <w:ilvl w:val="0"/>
          <w:numId w:val="2031"/>
        </w:numPr>
        <w:pStyle w:val="Compact"/>
      </w:pPr>
      <w:r>
        <w:rPr>
          <w:bCs/>
          <w:b/>
        </w:rPr>
        <w:t xml:space="preserve">Card data:</w:t>
      </w:r>
      <w:r>
        <w:t xml:space="preserve"> </w:t>
      </w:r>
      <w:r>
        <w:t xml:space="preserve">none stored in plain text; PCI confirmations where in scope (DPS para 69).</w:t>
      </w:r>
    </w:p>
    <w:p>
      <w:pPr>
        <w:numPr>
          <w:ilvl w:val="0"/>
          <w:numId w:val="2031"/>
        </w:numPr>
        <w:pStyle w:val="Compact"/>
      </w:pPr>
      <w:r>
        <w:rPr>
          <w:bCs/>
          <w:b/>
        </w:rPr>
        <w:t xml:space="preserve">Regulator and auditor access:</w:t>
      </w:r>
      <w:r>
        <w:t xml:space="preserve"> </w:t>
      </w:r>
      <w:r>
        <w:t xml:space="preserve">read-only RBI and auditor access to tenant data and MIS on request (CYB paras 46, 57, 62).</w:t>
      </w:r>
    </w:p>
    <w:p>
      <w:pPr>
        <w:numPr>
          <w:ilvl w:val="0"/>
          <w:numId w:val="2031"/>
        </w:numPr>
        <w:pStyle w:val="Compact"/>
      </w:pPr>
      <w:r>
        <w:rPr>
          <w:bCs/>
          <w:b/>
        </w:rPr>
        <w:t xml:space="preserve">Certifications:</w:t>
      </w:r>
      <w:r>
        <w:t xml:space="preserve"> </w:t>
      </w:r>
      <w:r>
        <w:t xml:space="preserve">pursue ISO/IEC 27001, SOC 2 (Type 1, then Type 2) and the other schemes per Part 7L EO5; never claim a certification, attestation or compliance status before the report or certificate is issued, and describe work in progress only as a readiness programme. They are not mandated, but a tenant may rely on globally recognised third-party certifications instead of its own audit, subject to its risk assessment (OUT para 79). Their scope must cover the OUT 97(xvii) heads. Offer pooled audits (OUT para 77).</w:t>
      </w:r>
    </w:p>
    <w:p>
      <w:pPr>
        <w:pStyle w:val="FirstParagraph"/>
      </w:pPr>
      <w:r>
        <w:rPr>
          <w:bCs/>
          <w:b/>
        </w:rPr>
        <w:t xml:space="preserve">Finbyx’s status under the Outsourcing Directions.</w:t>
      </w:r>
      <w:r>
        <w:t xml:space="preserve"> </w:t>
      </w:r>
      <w:r>
        <w:t xml:space="preserve">Hosted multi-tenant Finbyx is a cloud SaaS (OUT 96(1)(i)(c)) that delivers ASP, data-centre and cloud services (5(1)(iii)–(v)) and holds borrower data. For ML/UL tenants it is therefore</w:t>
      </w:r>
      <w:r>
        <w:t xml:space="preserve"> </w:t>
      </w:r>
      <w:r>
        <w:rPr>
          <w:bCs/>
          <w:b/>
        </w:rPr>
        <w:t xml:space="preserve">material IT outsourcing</w:t>
      </w:r>
      <w:r>
        <w:t xml:space="preserve"> </w:t>
      </w:r>
      <w:r>
        <w:t xml:space="preserve">(58(2)(i)–(ii)). The licence/subscription and OEM-maintenance exclusions (5(2)(v)–(vi)) can at most cover a dedicated deployment in the tenant’s own account where Finbyx neither operates the system nor accesses its data; the tenant decides that (62(iii)) [interpretation]. BL tenants fall under CYB Ch III/IV instead of OUT Ch IV, and CYB 117 covers what OUT does not.</w:t>
      </w:r>
      <w:r>
        <w:t xml:space="preserve"> </w:t>
      </w:r>
      <w:r>
        <w:rPr>
          <w:bCs/>
          <w:b/>
        </w:rPr>
        <w:t xml:space="preserve">Design every deployment to the in-scope standard.</w:t>
      </w:r>
      <w:r>
        <w:t xml:space="preserve"> </w:t>
      </w:r>
      <w:r>
        <w:t xml:space="preserve">Existing contracts had to comply by renewal or 10 Apr 2026 (OUT 2), so all tenant contracts must comply now.</w:t>
      </w:r>
    </w:p>
    <w:p>
      <w:pPr>
        <w:numPr>
          <w:ilvl w:val="0"/>
          <w:numId w:val="2035"/>
        </w:numPr>
        <w:pStyle w:val="Compact"/>
      </w:pPr>
      <w:r>
        <w:rPr>
          <w:bCs/>
          <w:b/>
        </w:rPr>
        <w:t xml:space="preserve">Ownership/conflict declaration:</w:t>
      </w:r>
    </w:p>
    <w:p>
      <w:pPr>
        <w:numPr>
          <w:ilvl w:val="0"/>
          <w:numId w:val="2036"/>
        </w:numPr>
        <w:pStyle w:val="Compact"/>
      </w:pPr>
      <w:r>
        <w:t xml:space="preserve">Finbyx is not owned or controlled by a tenant’s director, KMP, arrangement approver or their relatives, unless it is a group company or the tenant’s Board grants an exception with disclosure (OUT 59, 13(iv)).</w:t>
      </w:r>
    </w:p>
    <w:p>
      <w:pPr>
        <w:numPr>
          <w:ilvl w:val="0"/>
          <w:numId w:val="2036"/>
        </w:numPr>
        <w:pStyle w:val="Compact"/>
      </w:pPr>
      <w:r>
        <w:t xml:space="preserve">Infrabyx group tenants: Board policy, SLA, objective selection, arm’s length and identical risk practice (90–92).</w:t>
      </w:r>
    </w:p>
    <w:p>
      <w:pPr>
        <w:numPr>
          <w:ilvl w:val="0"/>
          <w:numId w:val="2037"/>
        </w:numPr>
        <w:pStyle w:val="Compact"/>
      </w:pPr>
      <w:r>
        <w:rPr>
          <w:bCs/>
          <w:b/>
        </w:rPr>
        <w:t xml:space="preserve">Vendor assurance pack</w:t>
      </w:r>
      <w:r>
        <w:t xml:space="preserve">, refreshed at least annually (OUT 30, 38, 71, 80):</w:t>
      </w:r>
    </w:p>
    <w:p>
      <w:pPr>
        <w:numPr>
          <w:ilvl w:val="0"/>
          <w:numId w:val="2038"/>
        </w:numPr>
        <w:pStyle w:val="Compact"/>
      </w:pPr>
      <w:r>
        <w:t xml:space="preserve">financials, track record, reputation, litigation and complaints;</w:t>
      </w:r>
    </w:p>
    <w:p>
      <w:pPr>
        <w:numPr>
          <w:ilvl w:val="0"/>
          <w:numId w:val="2038"/>
        </w:numPr>
        <w:pStyle w:val="Compact"/>
      </w:pPr>
      <w:r>
        <w:t xml:space="preserve">staff and subcontractor vetting;</w:t>
      </w:r>
    </w:p>
    <w:p>
      <w:pPr>
        <w:numPr>
          <w:ilvl w:val="0"/>
          <w:numId w:val="2038"/>
        </w:numPr>
        <w:pStyle w:val="Compact"/>
      </w:pPr>
      <w:r>
        <w:t xml:space="preserve">security and internal controls, audit coverage and BCM;</w:t>
      </w:r>
    </w:p>
    <w:p>
      <w:pPr>
        <w:numPr>
          <w:ilvl w:val="0"/>
          <w:numId w:val="2038"/>
        </w:numPr>
        <w:pStyle w:val="Compact"/>
      </w:pPr>
      <w:r>
        <w:t xml:space="preserve">infrastructure and DR;</w:t>
      </w:r>
    </w:p>
    <w:p>
      <w:pPr>
        <w:numPr>
          <w:ilvl w:val="0"/>
          <w:numId w:val="2038"/>
        </w:numPr>
        <w:pStyle w:val="Compact"/>
      </w:pPr>
      <w:r>
        <w:t xml:space="preserve">conflicts and data-segregation capability;</w:t>
      </w:r>
    </w:p>
    <w:p>
      <w:pPr>
        <w:numPr>
          <w:ilvl w:val="0"/>
          <w:numId w:val="2038"/>
        </w:numPr>
        <w:pStyle w:val="Compact"/>
      </w:pPr>
      <w:r>
        <w:t xml:space="preserve">cyber risk assessment;</w:t>
      </w:r>
    </w:p>
    <w:p>
      <w:pPr>
        <w:numPr>
          <w:ilvl w:val="0"/>
          <w:numId w:val="2038"/>
        </w:numPr>
        <w:pStyle w:val="Compact"/>
      </w:pPr>
      <w:r>
        <w:t xml:space="preserve">enforceability;</w:t>
      </w:r>
    </w:p>
    <w:p>
      <w:pPr>
        <w:numPr>
          <w:ilvl w:val="0"/>
          <w:numId w:val="2038"/>
        </w:numPr>
        <w:pStyle w:val="Compact"/>
      </w:pPr>
      <w:r>
        <w:t xml:space="preserve">evidence of operational resilience at least equivalent to the tenant’s (ORM 73).</w:t>
      </w:r>
    </w:p>
    <w:p>
      <w:pPr>
        <w:numPr>
          <w:ilvl w:val="0"/>
          <w:numId w:val="2039"/>
        </w:numPr>
        <w:pStyle w:val="Compact"/>
      </w:pPr>
      <w:r>
        <w:rPr>
          <w:bCs/>
          <w:b/>
        </w:rPr>
        <w:t xml:space="preserve">Sub-processors and supply chain:</w:t>
      </w:r>
    </w:p>
    <w:p>
      <w:pPr>
        <w:numPr>
          <w:ilvl w:val="0"/>
          <w:numId w:val="2040"/>
        </w:numPr>
        <w:pStyle w:val="Compact"/>
      </w:pPr>
      <w:r>
        <w:t xml:space="preserve">tenant prior consent before appointing or changing a sub-processor, with the full supply-chain list (OUT 34(iv), 74(xi), 82);</w:t>
      </w:r>
    </w:p>
    <w:p>
      <w:pPr>
        <w:numPr>
          <w:ilvl w:val="0"/>
          <w:numId w:val="2040"/>
        </w:numPr>
        <w:pStyle w:val="Compact"/>
      </w:pPr>
      <w:r>
        <w:t xml:space="preserve">Finbyx contractually liable for subcontractors and nth parties (74(xiii); ORM 76);</w:t>
      </w:r>
    </w:p>
    <w:p>
      <w:pPr>
        <w:numPr>
          <w:ilvl w:val="0"/>
          <w:numId w:val="2040"/>
        </w:numPr>
        <w:pStyle w:val="Compact"/>
      </w:pPr>
      <w:r>
        <w:t xml:space="preserve">back-to-back terms with cloud providers and OEMs (74(xviii));</w:t>
      </w:r>
    </w:p>
    <w:p>
      <w:pPr>
        <w:numPr>
          <w:ilvl w:val="0"/>
          <w:numId w:val="2040"/>
        </w:numPr>
        <w:pStyle w:val="Compact"/>
      </w:pPr>
      <w:r>
        <w:t xml:space="preserve">CIA assessment of subcontractors (97(x)(d)).</w:t>
      </w:r>
    </w:p>
    <w:p>
      <w:pPr>
        <w:numPr>
          <w:ilvl w:val="0"/>
          <w:numId w:val="2041"/>
        </w:numPr>
        <w:pStyle w:val="Compact"/>
      </w:pPr>
      <w:r>
        <w:rPr>
          <w:bCs/>
          <w:b/>
        </w:rPr>
        <w:t xml:space="preserve">Access:</w:t>
      </w:r>
      <w:r>
        <w:t xml:space="preserve"> </w:t>
      </w:r>
      <w:r>
        <w:t xml:space="preserve">unrestricted access to data, logs, alerts and premises, including subcontractors, for the tenant, its auditors, RBI and competent authorities (OUT 34(ii), (vii), 74(ii), (xii), 81). Support pooled audits (77).</w:t>
      </w:r>
    </w:p>
    <w:p>
      <w:pPr>
        <w:numPr>
          <w:ilvl w:val="0"/>
          <w:numId w:val="2041"/>
        </w:numPr>
        <w:pStyle w:val="Compact"/>
      </w:pPr>
      <w:r>
        <w:rPr>
          <w:bCs/>
          <w:b/>
        </w:rPr>
        <w:t xml:space="preserve">Data:</w:t>
      </w:r>
    </w:p>
    <w:p>
      <w:pPr>
        <w:numPr>
          <w:ilvl w:val="0"/>
          <w:numId w:val="2042"/>
        </w:numPr>
        <w:pStyle w:val="Compact"/>
      </w:pPr>
      <w:r>
        <w:t xml:space="preserve">India-only storage (OUT 74(vi));</w:t>
      </w:r>
    </w:p>
    <w:p>
      <w:pPr>
        <w:numPr>
          <w:ilvl w:val="0"/>
          <w:numId w:val="2042"/>
        </w:numPr>
        <w:pStyle w:val="Compact"/>
      </w:pPr>
      <w:r>
        <w:t xml:space="preserve">data inventory of what is captured, processed and stored (74(vii));</w:t>
      </w:r>
    </w:p>
    <w:p>
      <w:pPr>
        <w:numPr>
          <w:ilvl w:val="0"/>
          <w:numId w:val="2042"/>
        </w:numPr>
        <w:pStyle w:val="Compact"/>
      </w:pPr>
      <w:r>
        <w:t xml:space="preserve">permitted-sharing list (74(viii));</w:t>
      </w:r>
    </w:p>
    <w:p>
      <w:pPr>
        <w:numPr>
          <w:ilvl w:val="0"/>
          <w:numId w:val="2042"/>
        </w:numPr>
        <w:pStyle w:val="Compact"/>
      </w:pPr>
      <w:r>
        <w:t xml:space="preserve">lifecycle through to permanent erasure (97(ii));</w:t>
      </w:r>
    </w:p>
    <w:p>
      <w:pPr>
        <w:numPr>
          <w:ilvl w:val="0"/>
          <w:numId w:val="2042"/>
        </w:numPr>
        <w:pStyle w:val="Compact"/>
      </w:pPr>
      <w:r>
        <w:t xml:space="preserve">NDA, with confidentiality surviving termination (34(xi), 74(xix));</w:t>
      </w:r>
    </w:p>
    <w:p>
      <w:pPr>
        <w:numPr>
          <w:ilvl w:val="0"/>
          <w:numId w:val="2042"/>
        </w:numPr>
        <w:pStyle w:val="Compact"/>
      </w:pPr>
      <w:r>
        <w:t xml:space="preserve">preservation per the tenant’s legal obligations (34(xii)).</w:t>
      </w:r>
    </w:p>
    <w:p>
      <w:pPr>
        <w:numPr>
          <w:ilvl w:val="0"/>
          <w:numId w:val="2043"/>
        </w:numPr>
        <w:pStyle w:val="Compact"/>
      </w:pPr>
      <w:r>
        <w:rPr>
          <w:bCs/>
          <w:b/>
        </w:rPr>
        <w:t xml:space="preserve">Multi-tenant isolation:</w:t>
      </w:r>
      <w:r>
        <w:t xml:space="preserve"> </w:t>
      </w:r>
      <w:r>
        <w:t xml:space="preserve">only tenant-authorised personnel access tenant data (OUT 26–27, 70, 97(vii)(c)). Finbyx staff use break-glass, need-to-know access only, every access logged and visible to the tenant (24, 69(i)).</w:t>
      </w:r>
    </w:p>
    <w:p>
      <w:pPr>
        <w:numPr>
          <w:ilvl w:val="0"/>
          <w:numId w:val="2043"/>
        </w:numPr>
        <w:pStyle w:val="Compact"/>
      </w:pPr>
      <w:r>
        <w:rPr>
          <w:bCs/>
          <w:b/>
        </w:rPr>
        <w:t xml:space="preserve">Keys and access:</w:t>
      </w:r>
    </w:p>
    <w:p>
      <w:pPr>
        <w:numPr>
          <w:ilvl w:val="0"/>
          <w:numId w:val="2044"/>
        </w:numPr>
        <w:pStyle w:val="Compact"/>
      </w:pPr>
      <w:r>
        <w:t xml:space="preserve">tenant-controlled keys/HSM (OUT 97(vii)(b));</w:t>
      </w:r>
    </w:p>
    <w:p>
      <w:pPr>
        <w:numPr>
          <w:ilvl w:val="0"/>
          <w:numId w:val="2044"/>
        </w:numPr>
        <w:pStyle w:val="Compact"/>
      </w:pPr>
      <w:r>
        <w:t xml:space="preserve">IAM with RBAC for user and privileged access, an SoD role-conflict matrix and least privilege;</w:t>
      </w:r>
    </w:p>
    <w:p>
      <w:pPr>
        <w:numPr>
          <w:ilvl w:val="0"/>
          <w:numId w:val="2044"/>
        </w:numPr>
        <w:pStyle w:val="Compact"/>
      </w:pPr>
      <w:r>
        <w:rPr>
          <w:bCs/>
          <w:b/>
        </w:rPr>
        <w:t xml:space="preserve">MFA</w:t>
      </w:r>
      <w:r>
        <w:t xml:space="preserve"> </w:t>
      </w:r>
      <w:r>
        <w:t xml:space="preserve">(97(viii)).</w:t>
      </w:r>
    </w:p>
    <w:p>
      <w:pPr>
        <w:numPr>
          <w:ilvl w:val="0"/>
          <w:numId w:val="2045"/>
        </w:numPr>
        <w:pStyle w:val="Compact"/>
      </w:pPr>
      <w:r>
        <w:rPr>
          <w:bCs/>
          <w:b/>
        </w:rPr>
        <w:t xml:space="preserve">SOC:</w:t>
      </w:r>
      <w:r>
        <w:t xml:space="preserve"> </w:t>
      </w:r>
      <w:r>
        <w:t xml:space="preserve">log and event export to the tenant’s SOC (SIEM feed), with log retention (OUT 97(xi)). If Infrabyx offers a SOC service, meet para 95.</w:t>
      </w:r>
    </w:p>
    <w:p>
      <w:pPr>
        <w:numPr>
          <w:ilvl w:val="0"/>
          <w:numId w:val="2045"/>
        </w:numPr>
        <w:pStyle w:val="Compact"/>
      </w:pPr>
      <w:r>
        <w:rPr>
          <w:bCs/>
          <w:b/>
        </w:rPr>
        <w:t xml:space="preserve">SLAs:</w:t>
      </w:r>
      <w:r>
        <w:t xml:space="preserve"> </w:t>
      </w:r>
      <w:r>
        <w:t xml:space="preserve">a monitoring dashboard covering uptime, availability, performance and incident response, plus KRIs (OUT 74(v), 75, 64(4)).</w:t>
      </w:r>
    </w:p>
    <w:p>
      <w:pPr>
        <w:numPr>
          <w:ilvl w:val="0"/>
          <w:numId w:val="2045"/>
        </w:numPr>
        <w:pStyle w:val="Compact"/>
      </w:pPr>
      <w:r>
        <w:rPr>
          <w:bCs/>
          <w:b/>
        </w:rPr>
        <w:t xml:space="preserve">Incidents:</w:t>
      </w:r>
      <w:r>
        <w:t xml:space="preserve"> </w:t>
      </w:r>
      <w:r>
        <w:t xml:space="preserve">contractual list of material adverse events (OUT 74(iii)); notice measured from Finbyx detection (61); breach/leakage disclosure (25, 28, 69(iii)).</w:t>
      </w:r>
    </w:p>
    <w:p>
      <w:pPr>
        <w:numPr>
          <w:ilvl w:val="0"/>
          <w:numId w:val="2045"/>
        </w:numPr>
        <w:pStyle w:val="Compact"/>
      </w:pPr>
      <w:r>
        <w:rPr>
          <w:bCs/>
          <w:b/>
        </w:rPr>
        <w:t xml:space="preserve">BCP/DR:</w:t>
      </w:r>
    </w:p>
    <w:p>
      <w:pPr>
        <w:numPr>
          <w:ilvl w:val="0"/>
          <w:numId w:val="2046"/>
        </w:numPr>
        <w:pStyle w:val="Compact"/>
      </w:pPr>
      <w:r>
        <w:t xml:space="preserve">documented and tested, with joint tests (OUT 40, 83; ORM 79, 82);</w:t>
      </w:r>
    </w:p>
    <w:p>
      <w:pPr>
        <w:numPr>
          <w:ilvl w:val="0"/>
          <w:numId w:val="2046"/>
        </w:numPr>
        <w:pStyle w:val="Compact"/>
      </w:pPr>
      <w:r>
        <w:t xml:space="preserve">CSP-level DR drills (97(xv));</w:t>
      </w:r>
    </w:p>
    <w:p>
      <w:pPr>
        <w:numPr>
          <w:ilvl w:val="0"/>
          <w:numId w:val="2046"/>
        </w:numPr>
        <w:pStyle w:val="Compact"/>
      </w:pPr>
      <w:r>
        <w:t xml:space="preserve">“</w:t>
      </w:r>
      <w:r>
        <w:t xml:space="preserve">essential personnel</w:t>
      </w:r>
      <w:r>
        <w:t xml:space="preserve">”</w:t>
      </w:r>
      <w:r>
        <w:t xml:space="preserve"> </w:t>
      </w:r>
      <w:r>
        <w:t xml:space="preserve">on site during exigencies (74(xvii)).</w:t>
      </w:r>
    </w:p>
    <w:p>
      <w:pPr>
        <w:numPr>
          <w:ilvl w:val="0"/>
          <w:numId w:val="2047"/>
        </w:numPr>
        <w:pStyle w:val="Compact"/>
      </w:pPr>
      <w:r>
        <w:rPr>
          <w:bCs/>
          <w:b/>
        </w:rPr>
        <w:t xml:space="preserve">Exit:</w:t>
      </w:r>
    </w:p>
    <w:p>
      <w:pPr>
        <w:numPr>
          <w:ilvl w:val="0"/>
          <w:numId w:val="2048"/>
        </w:numPr>
        <w:pStyle w:val="Compact"/>
      </w:pPr>
      <w:r>
        <w:t xml:space="preserve">orderly transfer (OUT 74(xv)) and full cooperation with the incoming provider (88);</w:t>
      </w:r>
    </w:p>
    <w:p>
      <w:pPr>
        <w:numPr>
          <w:ilvl w:val="0"/>
          <w:numId w:val="2048"/>
        </w:numPr>
        <w:pStyle w:val="Compact"/>
      </w:pPr>
      <w:r>
        <w:rPr>
          <w:bCs/>
          <w:b/>
        </w:rPr>
        <w:t xml:space="preserve">no erasure or alteration of data during the transition</w:t>
      </w:r>
      <w:r>
        <w:t xml:space="preserve"> </w:t>
      </w:r>
      <w:r>
        <w:t xml:space="preserve">(87);</w:t>
      </w:r>
    </w:p>
    <w:p>
      <w:pPr>
        <w:numPr>
          <w:ilvl w:val="0"/>
          <w:numId w:val="2048"/>
        </w:numPr>
        <w:pStyle w:val="Compact"/>
      </w:pPr>
      <w:r>
        <w:rPr>
          <w:bCs/>
          <w:b/>
        </w:rPr>
        <w:t xml:space="preserve">complete export in documented formats</w:t>
      </w:r>
      <w:r>
        <w:t xml:space="preserve"> </w:t>
      </w:r>
      <w:r>
        <w:t xml:space="preserve">(ledger, loans, documents, audit trail, configuration) within agreed turnaround times;</w:t>
      </w:r>
    </w:p>
    <w:p>
      <w:pPr>
        <w:numPr>
          <w:ilvl w:val="0"/>
          <w:numId w:val="2048"/>
        </w:numPr>
        <w:pStyle w:val="Compact"/>
      </w:pPr>
      <w:r>
        <w:t xml:space="preserve">secure purge with an independent-assurance certificate (42, 97(xvi)(d)); the export, exit states and turnarounds are in Part 7J DP1–DP5.</w:t>
      </w:r>
    </w:p>
    <w:p>
      <w:pPr>
        <w:numPr>
          <w:ilvl w:val="0"/>
          <w:numId w:val="2049"/>
        </w:numPr>
        <w:pStyle w:val="Compact"/>
      </w:pPr>
      <w:r>
        <w:rPr>
          <w:bCs/>
          <w:b/>
        </w:rPr>
        <w:t xml:space="preserve">Continuity:</w:t>
      </w:r>
      <w:r>
        <w:t xml:space="preserve"> </w:t>
      </w:r>
      <w:r>
        <w:t xml:space="preserve">cooperation in the tenant’s insolvency or resolution (OUT 74(xvi)). Records stay available even if Finbyx is liquidated (43, 53(iii); CYB 105 escrow).</w:t>
      </w:r>
    </w:p>
    <w:p>
      <w:pPr>
        <w:numPr>
          <w:ilvl w:val="0"/>
          <w:numId w:val="2049"/>
        </w:numPr>
        <w:pStyle w:val="Compact"/>
      </w:pPr>
      <w:r>
        <w:rPr>
          <w:bCs/>
          <w:b/>
        </w:rPr>
        <w:t xml:space="preserve">RBI directions:</w:t>
      </w:r>
      <w:r>
        <w:t xml:space="preserve"> </w:t>
      </w:r>
      <w:r>
        <w:t xml:space="preserve">comply with RBI directions on the outsourced service (OUT 74(xiv), 47(v)).</w:t>
      </w:r>
    </w:p>
    <w:p>
      <w:pPr>
        <w:numPr>
          <w:ilvl w:val="0"/>
          <w:numId w:val="2049"/>
        </w:numPr>
        <w:pStyle w:val="Compact"/>
      </w:pPr>
      <w:r>
        <w:rPr>
          <w:bCs/>
          <w:b/>
        </w:rPr>
        <w:t xml:space="preserve">No core management functions for tenants</w:t>
      </w:r>
      <w:r>
        <w:t xml:space="preserve"> </w:t>
      </w:r>
      <w:r>
        <w:t xml:space="preserve">(OUT 15):</w:t>
      </w:r>
    </w:p>
    <w:p>
      <w:pPr>
        <w:numPr>
          <w:ilvl w:val="0"/>
          <w:numId w:val="2050"/>
        </w:numPr>
        <w:pStyle w:val="Compact"/>
      </w:pPr>
      <w:r>
        <w:t xml:space="preserve">no Finbyx-staff role can sanction loans, decide KYC compliance, perform internal audit or compliance, or manage investments;</w:t>
      </w:r>
    </w:p>
    <w:p>
      <w:pPr>
        <w:numPr>
          <w:ilvl w:val="0"/>
          <w:numId w:val="2050"/>
        </w:numPr>
        <w:pStyle w:val="Compact"/>
      </w:pPr>
      <w:r>
        <w:t xml:space="preserve">BRE and auto-decisions run only on tenant-approved rule versions, attributed to the tenant’s authority;</w:t>
      </w:r>
    </w:p>
    <w:p>
      <w:pPr>
        <w:numPr>
          <w:ilvl w:val="0"/>
          <w:numId w:val="2050"/>
        </w:numPr>
        <w:pStyle w:val="Compact"/>
      </w:pPr>
      <w:r>
        <w:t xml:space="preserve">Udofin is bound by the same limits.</w:t>
      </w:r>
    </w:p>
    <w:p>
      <w:pPr>
        <w:numPr>
          <w:ilvl w:val="0"/>
          <w:numId w:val="2051"/>
        </w:numPr>
        <w:pStyle w:val="Compact"/>
      </w:pPr>
      <w:r>
        <w:rPr>
          <w:bCs/>
          <w:b/>
        </w:rPr>
        <w:t xml:space="preserve">Grievances:</w:t>
      </w:r>
      <w:r>
        <w:t xml:space="preserve"> </w:t>
      </w:r>
      <w:r>
        <w:t xml:space="preserve">Finbyx and Udofin route customer complaints to the tenant’s GRO and never close them (OUT 54–57, 98–99).</w:t>
      </w:r>
    </w:p>
    <w:p>
      <w:pPr>
        <w:numPr>
          <w:ilvl w:val="0"/>
          <w:numId w:val="2051"/>
        </w:numPr>
        <w:pStyle w:val="Compact"/>
      </w:pPr>
      <w:r>
        <w:rPr>
          <w:bCs/>
          <w:b/>
        </w:rPr>
        <w:t xml:space="preserve">ORM inputs for tenants:</w:t>
      </w:r>
    </w:p>
    <w:p>
      <w:pPr>
        <w:numPr>
          <w:ilvl w:val="0"/>
          <w:numId w:val="2052"/>
        </w:numPr>
        <w:pStyle w:val="Compact"/>
      </w:pPr>
      <w:r>
        <w:t xml:space="preserve">RTO, RPO, data-loss and service-level metrics for each Finbyx-supported critical operation (ORM 33);</w:t>
      </w:r>
    </w:p>
    <w:p>
      <w:pPr>
        <w:numPr>
          <w:ilvl w:val="0"/>
          <w:numId w:val="2052"/>
        </w:numPr>
        <w:pStyle w:val="Compact"/>
      </w:pPr>
      <w:r>
        <w:t xml:space="preserve">Finbyx RCSA;</w:t>
      </w:r>
    </w:p>
    <w:p>
      <w:pPr>
        <w:numPr>
          <w:ilvl w:val="0"/>
          <w:numId w:val="2052"/>
        </w:numPr>
        <w:pStyle w:val="Compact"/>
      </w:pPr>
      <w:r>
        <w:t xml:space="preserve">post-incident lessons-learned reports (ORM 99–101).</w:t>
      </w:r>
    </w:p>
    <w:p>
      <w:pPr>
        <w:numPr>
          <w:ilvl w:val="0"/>
          <w:numId w:val="2053"/>
        </w:numPr>
        <w:pStyle w:val="Compact"/>
      </w:pPr>
      <w:r>
        <w:rPr>
          <w:bCs/>
          <w:b/>
        </w:rPr>
        <w:t xml:space="preserve">Certification scope</w:t>
      </w:r>
      <w:r>
        <w:t xml:space="preserve"> </w:t>
      </w:r>
      <w:r>
        <w:t xml:space="preserve">covers OUT 97(xvii) (OUT 79).</w:t>
      </w:r>
    </w:p>
    <w:p>
      <w:r>
        <w:pict>
          <v:rect style="width:0;height:1.5pt" o:hralign="center" o:hrstd="t" o:hr="t"/>
        </w:pict>
      </w:r>
    </w:p>
    <w:bookmarkEnd w:id="838"/>
    <w:bookmarkEnd w:id="839"/>
    <w:bookmarkStart w:id="846" w:name="Xfd61f29d05875baf6e4959fee94778d35f7c469"/>
    <w:p>
      <w:pPr>
        <w:pStyle w:val="Heading1"/>
      </w:pPr>
      <w:r>
        <w:t xml:space="preserve">PART 11 — WORKING METHOD, GIT DISCIPLINE AND DEFINITION OF DONE</w:t>
      </w:r>
    </w:p>
    <w:bookmarkStart w:id="840" w:name="for-each-module-or-sub-module"/>
    <w:p>
      <w:pPr>
        <w:pStyle w:val="Heading2"/>
      </w:pPr>
      <w:r>
        <w:t xml:space="preserve">11.1 For each module or sub-module</w:t>
      </w:r>
    </w:p>
    <w:p>
      <w:pPr>
        <w:pStyle w:val="FirstParagraph"/>
      </w:pPr>
      <w:r>
        <w:t xml:space="preserve">Work through these steps in order:</w:t>
      </w:r>
    </w:p>
    <w:p>
      <w:pPr>
        <w:numPr>
          <w:ilvl w:val="0"/>
          <w:numId w:val="2054"/>
        </w:numPr>
        <w:pStyle w:val="Compact"/>
      </w:pPr>
      <w:r>
        <w:t xml:space="preserve">Explain the business objective in plain English.</w:t>
      </w:r>
    </w:p>
    <w:p>
      <w:pPr>
        <w:numPr>
          <w:ilvl w:val="0"/>
          <w:numId w:val="2054"/>
        </w:numPr>
        <w:pStyle w:val="Compact"/>
      </w:pPr>
      <w:r>
        <w:t xml:space="preserve">Identify assumptions and ask only material unresolved questions.</w:t>
      </w:r>
    </w:p>
    <w:p>
      <w:pPr>
        <w:numPr>
          <w:ilvl w:val="0"/>
          <w:numId w:val="2054"/>
        </w:numPr>
        <w:pStyle w:val="Compact"/>
      </w:pPr>
      <w:r>
        <w:t xml:space="preserve">Research the relevant legal, provider and technical requirements, and update the regulatory register and integration register.</w:t>
      </w:r>
    </w:p>
    <w:p>
      <w:pPr>
        <w:numPr>
          <w:ilvl w:val="0"/>
          <w:numId w:val="2054"/>
        </w:numPr>
        <w:pStyle w:val="Compact"/>
      </w:pPr>
      <w:r>
        <w:t xml:space="preserve">Produce the functional specification and acceptance criteria (Given/When/Then), including negative cases. Save it to</w:t>
      </w:r>
      <w:r>
        <w:t xml:space="preserve"> </w:t>
      </w:r>
      <w:r>
        <w:rPr>
          <w:rStyle w:val="VerbatimChar"/>
        </w:rPr>
        <w:t xml:space="preserve">docs/specs/&lt;module&gt;.md</w:t>
      </w:r>
      <w:r>
        <w:t xml:space="preserve">.</w:t>
      </w:r>
    </w:p>
    <w:p>
      <w:pPr>
        <w:numPr>
          <w:ilvl w:val="0"/>
          <w:numId w:val="2054"/>
        </w:numPr>
        <w:pStyle w:val="Compact"/>
      </w:pPr>
      <w:r>
        <w:t xml:space="preserve">Describe the data model, APIs, events, permissions, state machine and workflows.</w:t>
      </w:r>
    </w:p>
    <w:p>
      <w:pPr>
        <w:numPr>
          <w:ilvl w:val="0"/>
          <w:numId w:val="2054"/>
        </w:numPr>
        <w:pStyle w:val="Compact"/>
      </w:pPr>
      <w:r>
        <w:t xml:space="preserve">Identify security, privacy, failure, performance and migration risks.</w:t>
      </w:r>
    </w:p>
    <w:p>
      <w:pPr>
        <w:numPr>
          <w:ilvl w:val="0"/>
          <w:numId w:val="2054"/>
        </w:numPr>
        <w:pStyle w:val="Compact"/>
      </w:pPr>
      <w:r>
        <w:rPr>
          <w:bCs/>
          <w:b/>
        </w:rPr>
        <w:t xml:space="preserve">Stop for my approval.</w:t>
      </w:r>
    </w:p>
    <w:p>
      <w:pPr>
        <w:numPr>
          <w:ilvl w:val="0"/>
          <w:numId w:val="2054"/>
        </w:numPr>
        <w:pStyle w:val="Compact"/>
      </w:pPr>
      <w:r>
        <w:t xml:space="preserve">Explain the logic in plain English, then implement only the approved scope, in small, reviewable commits.</w:t>
      </w:r>
    </w:p>
    <w:p>
      <w:pPr>
        <w:numPr>
          <w:ilvl w:val="0"/>
          <w:numId w:val="2054"/>
        </w:numPr>
        <w:pStyle w:val="Compact"/>
      </w:pPr>
      <w:r>
        <w:t xml:space="preserve">Write and run the tests that apply:</w:t>
      </w:r>
    </w:p>
    <w:p>
      <w:pPr>
        <w:numPr>
          <w:ilvl w:val="1"/>
          <w:numId w:val="2055"/>
        </w:numPr>
        <w:pStyle w:val="Compact"/>
      </w:pPr>
      <w:r>
        <w:t xml:space="preserve">unit;</w:t>
      </w:r>
    </w:p>
    <w:p>
      <w:pPr>
        <w:numPr>
          <w:ilvl w:val="1"/>
          <w:numId w:val="2055"/>
        </w:numPr>
        <w:pStyle w:val="Compact"/>
      </w:pPr>
      <w:r>
        <w:t xml:space="preserve">property-based (money);</w:t>
      </w:r>
    </w:p>
    <w:p>
      <w:pPr>
        <w:numPr>
          <w:ilvl w:val="1"/>
          <w:numId w:val="2055"/>
        </w:numPr>
        <w:pStyle w:val="Compact"/>
      </w:pPr>
      <w:r>
        <w:t xml:space="preserve">integration;</w:t>
      </w:r>
    </w:p>
    <w:p>
      <w:pPr>
        <w:numPr>
          <w:ilvl w:val="1"/>
          <w:numId w:val="2055"/>
        </w:numPr>
        <w:pStyle w:val="Compact"/>
      </w:pPr>
      <w:r>
        <w:t xml:space="preserve">contract;</w:t>
      </w:r>
    </w:p>
    <w:p>
      <w:pPr>
        <w:numPr>
          <w:ilvl w:val="1"/>
          <w:numId w:val="2055"/>
        </w:numPr>
        <w:pStyle w:val="Compact"/>
      </w:pPr>
      <w:r>
        <w:t xml:space="preserve">E2E;</w:t>
      </w:r>
    </w:p>
    <w:p>
      <w:pPr>
        <w:numPr>
          <w:ilvl w:val="1"/>
          <w:numId w:val="2055"/>
        </w:numPr>
        <w:pStyle w:val="Compact"/>
      </w:pPr>
      <w:r>
        <w:t xml:space="preserve">tenant-isolation;</w:t>
      </w:r>
    </w:p>
    <w:p>
      <w:pPr>
        <w:numPr>
          <w:ilvl w:val="1"/>
          <w:numId w:val="2055"/>
        </w:numPr>
        <w:pStyle w:val="Compact"/>
      </w:pPr>
      <w:r>
        <w:t xml:space="preserve">security;</w:t>
      </w:r>
    </w:p>
    <w:p>
      <w:pPr>
        <w:numPr>
          <w:ilvl w:val="1"/>
          <w:numId w:val="2055"/>
        </w:numPr>
        <w:pStyle w:val="Compact"/>
      </w:pPr>
      <w:r>
        <w:t xml:space="preserve">Fineract differential tests.</w:t>
      </w:r>
    </w:p>
    <w:p>
      <w:pPr>
        <w:numPr>
          <w:ilvl w:val="0"/>
          <w:numId w:val="2054"/>
        </w:numPr>
        <w:pStyle w:val="Compact"/>
      </w:pPr>
      <w:r>
        <w:t xml:space="preserve">Run linting, type checks, build checks, migration validation and security scans.</w:t>
      </w:r>
    </w:p>
    <w:p>
      <w:pPr>
        <w:numPr>
          <w:ilvl w:val="0"/>
          <w:numId w:val="2054"/>
        </w:numPr>
        <w:pStyle w:val="Compact"/>
      </w:pPr>
      <w:r>
        <w:t xml:space="preserve">Review the diff for unrelated changes, secrets, PII in logs and security defects.</w:t>
      </w:r>
    </w:p>
    <w:p>
      <w:pPr>
        <w:numPr>
          <w:ilvl w:val="0"/>
          <w:numId w:val="2054"/>
        </w:numPr>
        <w:pStyle w:val="Compact"/>
      </w:pPr>
      <w:r>
        <w:t xml:space="preserve">Update the docs: setup, configuration, migration, deployment and runbooks.</w:t>
      </w:r>
    </w:p>
    <w:p>
      <w:pPr>
        <w:numPr>
          <w:ilvl w:val="0"/>
          <w:numId w:val="2054"/>
        </w:numPr>
        <w:pStyle w:val="Compact"/>
      </w:pPr>
      <w:r>
        <w:t xml:space="preserve">Summarise:</w:t>
      </w:r>
    </w:p>
    <w:p>
      <w:pPr>
        <w:numPr>
          <w:ilvl w:val="1"/>
          <w:numId w:val="2056"/>
        </w:numPr>
        <w:pStyle w:val="Compact"/>
      </w:pPr>
      <w:r>
        <w:t xml:space="preserve">what changed;</w:t>
      </w:r>
    </w:p>
    <w:p>
      <w:pPr>
        <w:numPr>
          <w:ilvl w:val="1"/>
          <w:numId w:val="2056"/>
        </w:numPr>
        <w:pStyle w:val="Compact"/>
      </w:pPr>
      <w:r>
        <w:t xml:space="preserve">the actual test results;</w:t>
      </w:r>
    </w:p>
    <w:p>
      <w:pPr>
        <w:numPr>
          <w:ilvl w:val="1"/>
          <w:numId w:val="2056"/>
        </w:numPr>
        <w:pStyle w:val="Compact"/>
      </w:pPr>
      <w:r>
        <w:t xml:space="preserve">known limitations;</w:t>
      </w:r>
    </w:p>
    <w:p>
      <w:pPr>
        <w:numPr>
          <w:ilvl w:val="1"/>
          <w:numId w:val="2056"/>
        </w:numPr>
        <w:pStyle w:val="Compact"/>
      </w:pPr>
      <w:r>
        <w:t xml:space="preserve">mock vs live integrations;</w:t>
      </w:r>
    </w:p>
    <w:p>
      <w:pPr>
        <w:numPr>
          <w:ilvl w:val="1"/>
          <w:numId w:val="2056"/>
        </w:numPr>
        <w:pStyle w:val="Compact"/>
      </w:pPr>
      <w:r>
        <w:t xml:space="preserve">next steps.</w:t>
      </w:r>
    </w:p>
    <w:p>
      <w:pPr>
        <w:numPr>
          <w:ilvl w:val="0"/>
          <w:numId w:val="2054"/>
        </w:numPr>
        <w:pStyle w:val="Compact"/>
      </w:pPr>
      <w:r>
        <w:t xml:space="preserve">Commit with a meaningful message on the feature branch, open a pull request, and merge only after my approval.</w:t>
      </w:r>
    </w:p>
    <w:bookmarkEnd w:id="840"/>
    <w:bookmarkStart w:id="841" w:name="X3b56a2ce15562bcc8914e858ca50e809231d113"/>
    <w:p>
      <w:pPr>
        <w:pStyle w:val="Heading2"/>
      </w:pPr>
      <w:r>
        <w:t xml:space="preserve">11.2 Financial integrity before financial features</w:t>
      </w:r>
    </w:p>
    <w:p>
      <w:pPr>
        <w:pStyle w:val="FirstParagraph"/>
      </w:pPr>
      <w:r>
        <w:t xml:space="preserve">Do not implement live financial operations until their transaction rules and acceptance tests are approved. This covers:</w:t>
      </w:r>
    </w:p>
    <w:p>
      <w:pPr>
        <w:numPr>
          <w:ilvl w:val="0"/>
          <w:numId w:val="2057"/>
        </w:numPr>
        <w:pStyle w:val="Compact"/>
      </w:pPr>
      <w:r>
        <w:t xml:space="preserve">schedules;</w:t>
      </w:r>
    </w:p>
    <w:p>
      <w:pPr>
        <w:numPr>
          <w:ilvl w:val="0"/>
          <w:numId w:val="2057"/>
        </w:numPr>
        <w:pStyle w:val="Compact"/>
      </w:pPr>
      <w:r>
        <w:t xml:space="preserve">allocation;</w:t>
      </w:r>
    </w:p>
    <w:p>
      <w:pPr>
        <w:numPr>
          <w:ilvl w:val="0"/>
          <w:numId w:val="2057"/>
        </w:numPr>
        <w:pStyle w:val="Compact"/>
      </w:pPr>
      <w:r>
        <w:t xml:space="preserve">accruals;</w:t>
      </w:r>
    </w:p>
    <w:p>
      <w:pPr>
        <w:numPr>
          <w:ilvl w:val="0"/>
          <w:numId w:val="2057"/>
        </w:numPr>
        <w:pStyle w:val="Compact"/>
      </w:pPr>
      <w:r>
        <w:t xml:space="preserve">reversals;</w:t>
      </w:r>
    </w:p>
    <w:p>
      <w:pPr>
        <w:numPr>
          <w:ilvl w:val="0"/>
          <w:numId w:val="2057"/>
        </w:numPr>
        <w:pStyle w:val="Compact"/>
      </w:pPr>
      <w:r>
        <w:t xml:space="preserve">reconciliation;</w:t>
      </w:r>
    </w:p>
    <w:p>
      <w:pPr>
        <w:numPr>
          <w:ilvl w:val="0"/>
          <w:numId w:val="2057"/>
        </w:numPr>
        <w:pStyle w:val="Compact"/>
      </w:pPr>
      <w:r>
        <w:t xml:space="preserve">accounting entries;</w:t>
      </w:r>
    </w:p>
    <w:p>
      <w:pPr>
        <w:numPr>
          <w:ilvl w:val="0"/>
          <w:numId w:val="2057"/>
        </w:numPr>
        <w:pStyle w:val="Compact"/>
      </w:pPr>
      <w:r>
        <w:t xml:space="preserve">classification;</w:t>
      </w:r>
    </w:p>
    <w:p>
      <w:pPr>
        <w:numPr>
          <w:ilvl w:val="0"/>
          <w:numId w:val="2057"/>
        </w:numPr>
        <w:pStyle w:val="Compact"/>
      </w:pPr>
      <w:r>
        <w:t xml:space="preserve">provisioning.</w:t>
      </w:r>
    </w:p>
    <w:p>
      <w:pPr>
        <w:pStyle w:val="FirstParagraph"/>
      </w:pPr>
      <w:r>
        <w:t xml:space="preserve">Maintain a</w:t>
      </w:r>
      <w:r>
        <w:t xml:space="preserve"> </w:t>
      </w:r>
      <w:r>
        <w:rPr>
          <w:bCs/>
          <w:b/>
        </w:rPr>
        <w:t xml:space="preserve">golden test-case library</w:t>
      </w:r>
      <w:r>
        <w:t xml:space="preserve">, approved by me and our finance/compliance reviewers, of worked numerical examples (EMI, broken-period interest, prepayment, bounce, IRACP Illustration I day-end dates, NPA upgrade, borrower-level contagion, HP/lease provisioning, restructuring downgrade/upgrade, EIR, GST). Every release must pass it.</w:t>
      </w:r>
    </w:p>
    <w:bookmarkEnd w:id="841"/>
    <w:bookmarkStart w:id="842" w:name="git-and-environment-rules"/>
    <w:p>
      <w:pPr>
        <w:pStyle w:val="Heading2"/>
      </w:pPr>
      <w:r>
        <w:t xml:space="preserve">11.3 Git and environment rules</w:t>
      </w:r>
    </w:p>
    <w:p>
      <w:pPr>
        <w:numPr>
          <w:ilvl w:val="0"/>
          <w:numId w:val="2058"/>
        </w:numPr>
        <w:pStyle w:val="Compact"/>
      </w:pPr>
      <w:r>
        <w:t xml:space="preserve">First inspect the connected repository: current branch, existing files, Git status and available tooling.</w:t>
      </w:r>
    </w:p>
    <w:p>
      <w:pPr>
        <w:numPr>
          <w:ilvl w:val="0"/>
          <w:numId w:val="2058"/>
        </w:numPr>
        <w:pStyle w:val="Compact"/>
      </w:pPr>
      <w:r>
        <w:t xml:space="preserve">Do not overwrite existing work without understanding its purpose.</w:t>
      </w:r>
    </w:p>
    <w:p>
      <w:pPr>
        <w:numPr>
          <w:ilvl w:val="0"/>
          <w:numId w:val="2058"/>
        </w:numPr>
        <w:pStyle w:val="Compact"/>
      </w:pPr>
      <w:r>
        <w:t xml:space="preserve">Work on feature branches.</w:t>
      </w:r>
      <w:r>
        <w:t xml:space="preserve"> </w:t>
      </w:r>
      <w:r>
        <w:rPr>
          <w:bCs/>
          <w:b/>
        </w:rPr>
        <w:t xml:space="preserve">Never push directly to</w:t>
      </w:r>
      <w:r>
        <w:rPr>
          <w:bCs/>
          <w:b/>
        </w:rPr>
        <w:t xml:space="preserve"> </w:t>
      </w:r>
      <w:r>
        <w:rPr>
          <w:rStyle w:val="VerbatimChar"/>
          <w:bCs/>
          <w:b/>
        </w:rPr>
        <w:t xml:space="preserve">main</w:t>
      </w:r>
      <w:r>
        <w:rPr>
          <w:bCs/>
          <w:b/>
        </w:rPr>
        <w:t xml:space="preserve">.</w:t>
      </w:r>
      <w:r>
        <w:t xml:space="preserve"> </w:t>
      </w:r>
      <w:r>
        <w:t xml:space="preserve">Never deploy to production, rotate live credentials or modify production data without my explicit authorisation.</w:t>
      </w:r>
    </w:p>
    <w:p>
      <w:pPr>
        <w:numPr>
          <w:ilvl w:val="1"/>
          <w:numId w:val="2059"/>
        </w:numPr>
        <w:pStyle w:val="Compact"/>
      </w:pPr>
      <w:r>
        <w:t xml:space="preserve">The original Udofin prompt asked for a direct commit to main in one place. For Finbyx we use pull requests only. Branch protection on</w:t>
      </w:r>
      <w:r>
        <w:t xml:space="preserve"> </w:t>
      </w:r>
      <w:r>
        <w:rPr>
          <w:rStyle w:val="VerbatimChar"/>
        </w:rPr>
        <w:t xml:space="preserve">main</w:t>
      </w:r>
      <w:r>
        <w:t xml:space="preserve"> </w:t>
      </w:r>
      <w:r>
        <w:t xml:space="preserve">must be enabled.</w:t>
      </w:r>
    </w:p>
    <w:p>
      <w:pPr>
        <w:numPr>
          <w:ilvl w:val="0"/>
          <w:numId w:val="2058"/>
        </w:numPr>
        <w:pStyle w:val="Compact"/>
      </w:pPr>
      <w:r>
        <w:t xml:space="preserve">Never commit API keys, service-role secrets, private certificates, production credentials or real borrower data. Use</w:t>
      </w:r>
      <w:r>
        <w:t xml:space="preserve"> </w:t>
      </w:r>
      <w:r>
        <w:rPr>
          <w:rStyle w:val="VerbatimChar"/>
        </w:rPr>
        <w:t xml:space="preserve">.env.example</w:t>
      </w:r>
      <w:r>
        <w:t xml:space="preserve"> </w:t>
      </w:r>
      <w:r>
        <w:t xml:space="preserve">files with placeholders. Keep local, test, staging and production configuration separate. Use synthetic test data only.</w:t>
      </w:r>
    </w:p>
    <w:p>
      <w:pPr>
        <w:numPr>
          <w:ilvl w:val="0"/>
          <w:numId w:val="2058"/>
        </w:numPr>
        <w:pStyle w:val="Compact"/>
      </w:pPr>
      <w:r>
        <w:t xml:space="preserve">If repository write access or commit capability is unavailable, provide the exact files and commands. Do not claim to have committed.</w:t>
      </w:r>
    </w:p>
    <w:p>
      <w:pPr>
        <w:numPr>
          <w:ilvl w:val="0"/>
          <w:numId w:val="2058"/>
        </w:numPr>
        <w:pStyle w:val="Compact"/>
      </w:pPr>
      <w:r>
        <w:t xml:space="preserve">Do not claim a test passed unless it was actually run and its output is available.</w:t>
      </w:r>
    </w:p>
    <w:p>
      <w:pPr>
        <w:numPr>
          <w:ilvl w:val="0"/>
          <w:numId w:val="2058"/>
        </w:numPr>
        <w:pStyle w:val="Compact"/>
      </w:pPr>
      <w:r>
        <w:t xml:space="preserve">Do not implement large unapproved features or silently expand scope. Do not create placeholder business logic that pretends to work. Mark mocks clearly.</w:t>
      </w:r>
    </w:p>
    <w:bookmarkEnd w:id="842"/>
    <w:bookmarkStart w:id="843" w:name="project-documents-to-maintain"/>
    <w:p>
      <w:pPr>
        <w:pStyle w:val="Heading2"/>
      </w:pPr>
      <w:r>
        <w:t xml:space="preserve">11.4 Project documents to maintain</w:t>
      </w:r>
    </w:p>
    <w:p>
      <w:pPr>
        <w:pStyle w:val="FirstParagraph"/>
      </w:pPr>
      <w:r>
        <w:t xml:space="preserve">Keep these documents current:</w:t>
      </w:r>
    </w:p>
    <w:p>
      <w:pPr>
        <w:numPr>
          <w:ilvl w:val="0"/>
          <w:numId w:val="2060"/>
        </w:numPr>
        <w:pStyle w:val="Compact"/>
      </w:pPr>
      <w:r>
        <w:rPr>
          <w:rStyle w:val="VerbatimChar"/>
        </w:rPr>
        <w:t xml:space="preserve">README.md</w:t>
      </w:r>
    </w:p>
    <w:p>
      <w:pPr>
        <w:numPr>
          <w:ilvl w:val="0"/>
          <w:numId w:val="2060"/>
        </w:numPr>
        <w:pStyle w:val="Compact"/>
      </w:pPr>
      <w:r>
        <w:rPr>
          <w:rStyle w:val="VerbatimChar"/>
        </w:rPr>
        <w:t xml:space="preserve">CLAUDE.md</w:t>
      </w:r>
      <w:r>
        <w:t xml:space="preserve"> </w:t>
      </w:r>
      <w:r>
        <w:t xml:space="preserve">(concise, stable; links to detail)</w:t>
      </w:r>
    </w:p>
    <w:p>
      <w:pPr>
        <w:numPr>
          <w:ilvl w:val="0"/>
          <w:numId w:val="2060"/>
        </w:numPr>
        <w:pStyle w:val="Compact"/>
      </w:pPr>
      <w:r>
        <w:rPr>
          <w:rStyle w:val="VerbatimChar"/>
        </w:rPr>
        <w:t xml:space="preserve">docs/00-master-prompt.md</w:t>
      </w:r>
    </w:p>
    <w:p>
      <w:pPr>
        <w:numPr>
          <w:ilvl w:val="0"/>
          <w:numId w:val="2060"/>
        </w:numPr>
        <w:pStyle w:val="Compact"/>
      </w:pPr>
      <w:r>
        <w:rPr>
          <w:rStyle w:val="VerbatimChar"/>
        </w:rPr>
        <w:t xml:space="preserve">docs/architecture/</w:t>
      </w:r>
      <w:r>
        <w:t xml:space="preserve"> </w:t>
      </w:r>
      <w:r>
        <w:t xml:space="preserve">(system context, C4 diagrams, module map, data ownership)</w:t>
      </w:r>
    </w:p>
    <w:p>
      <w:pPr>
        <w:numPr>
          <w:ilvl w:val="0"/>
          <w:numId w:val="2060"/>
        </w:numPr>
        <w:pStyle w:val="Compact"/>
      </w:pPr>
      <w:r>
        <w:rPr>
          <w:rStyle w:val="VerbatimChar"/>
        </w:rPr>
        <w:t xml:space="preserve">docs/adr/</w:t>
      </w:r>
    </w:p>
    <w:p>
      <w:pPr>
        <w:numPr>
          <w:ilvl w:val="0"/>
          <w:numId w:val="2060"/>
        </w:numPr>
        <w:pStyle w:val="Compact"/>
      </w:pPr>
      <w:r>
        <w:rPr>
          <w:rStyle w:val="VerbatimChar"/>
        </w:rPr>
        <w:t xml:space="preserve">docs/specs/</w:t>
      </w:r>
    </w:p>
    <w:p>
      <w:pPr>
        <w:numPr>
          <w:ilvl w:val="0"/>
          <w:numId w:val="2060"/>
        </w:numPr>
        <w:pStyle w:val="Compact"/>
      </w:pPr>
      <w:r>
        <w:rPr>
          <w:rStyle w:val="VerbatimChar"/>
        </w:rPr>
        <w:t xml:space="preserve">docs/products/</w:t>
      </w:r>
    </w:p>
    <w:p>
      <w:pPr>
        <w:numPr>
          <w:ilvl w:val="0"/>
          <w:numId w:val="2060"/>
        </w:numPr>
        <w:pStyle w:val="Compact"/>
      </w:pPr>
      <w:r>
        <w:rPr>
          <w:rStyle w:val="VerbatimChar"/>
        </w:rPr>
        <w:t xml:space="preserve">docs/data-model/</w:t>
      </w:r>
      <w:r>
        <w:t xml:space="preserve"> </w:t>
      </w:r>
      <w:r>
        <w:t xml:space="preserve">(ERD, migrations log)</w:t>
      </w:r>
    </w:p>
    <w:p>
      <w:pPr>
        <w:numPr>
          <w:ilvl w:val="0"/>
          <w:numId w:val="2060"/>
        </w:numPr>
        <w:pStyle w:val="Compact"/>
      </w:pPr>
      <w:r>
        <w:rPr>
          <w:rStyle w:val="VerbatimChar"/>
        </w:rPr>
        <w:t xml:space="preserve">docs/api/</w:t>
      </w:r>
      <w:r>
        <w:t xml:space="preserve"> </w:t>
      </w:r>
      <w:r>
        <w:t xml:space="preserve">(OpenAPI, AsyncAPI)</w:t>
      </w:r>
    </w:p>
    <w:p>
      <w:pPr>
        <w:numPr>
          <w:ilvl w:val="0"/>
          <w:numId w:val="2060"/>
        </w:numPr>
        <w:pStyle w:val="Compact"/>
      </w:pPr>
      <w:r>
        <w:rPr>
          <w:rStyle w:val="VerbatimChar"/>
        </w:rPr>
        <w:t xml:space="preserve">docs/integrations/register.md</w:t>
      </w:r>
    </w:p>
    <w:p>
      <w:pPr>
        <w:numPr>
          <w:ilvl w:val="0"/>
          <w:numId w:val="2060"/>
        </w:numPr>
        <w:pStyle w:val="Compact"/>
      </w:pPr>
      <w:r>
        <w:rPr>
          <w:rStyle w:val="VerbatimChar"/>
        </w:rPr>
        <w:t xml:space="preserve">docs/compliance/requirements-to-controls.md</w:t>
      </w:r>
      <w:r>
        <w:t xml:space="preserve"> </w:t>
      </w:r>
      <w:r>
        <w:t xml:space="preserve">and</w:t>
      </w:r>
      <w:r>
        <w:t xml:space="preserve"> </w:t>
      </w:r>
      <w:r>
        <w:rPr>
          <w:rStyle w:val="VerbatimChar"/>
        </w:rPr>
        <w:t xml:space="preserve">docs/compliance/regulatory-register.md</w:t>
      </w:r>
      <w:r>
        <w:t xml:space="preserve"> </w:t>
      </w:r>
      <w:r>
        <w:t xml:space="preserve">(dated)</w:t>
      </w:r>
    </w:p>
    <w:p>
      <w:pPr>
        <w:numPr>
          <w:ilvl w:val="0"/>
          <w:numId w:val="2060"/>
        </w:numPr>
        <w:pStyle w:val="Compact"/>
      </w:pPr>
      <w:r>
        <w:rPr>
          <w:rStyle w:val="VerbatimChar"/>
        </w:rPr>
        <w:t xml:space="preserve">docs/security/threat-model.md</w:t>
      </w:r>
      <w:r>
        <w:t xml:space="preserve"> </w:t>
      </w:r>
      <w:r>
        <w:t xml:space="preserve">and</w:t>
      </w:r>
      <w:r>
        <w:t xml:space="preserve"> </w:t>
      </w:r>
      <w:r>
        <w:rPr>
          <w:rStyle w:val="VerbatimChar"/>
        </w:rPr>
        <w:t xml:space="preserve">docs/security/checklist.md</w:t>
      </w:r>
    </w:p>
    <w:p>
      <w:pPr>
        <w:numPr>
          <w:ilvl w:val="0"/>
          <w:numId w:val="2060"/>
        </w:numPr>
        <w:pStyle w:val="Compact"/>
      </w:pPr>
      <w:r>
        <w:rPr>
          <w:rStyle w:val="VerbatimChar"/>
        </w:rPr>
        <w:t xml:space="preserve">docs/testing/strategy.md</w:t>
      </w:r>
      <w:r>
        <w:t xml:space="preserve"> </w:t>
      </w:r>
      <w:r>
        <w:t xml:space="preserve">and</w:t>
      </w:r>
      <w:r>
        <w:t xml:space="preserve"> </w:t>
      </w:r>
      <w:r>
        <w:rPr>
          <w:rStyle w:val="VerbatimChar"/>
        </w:rPr>
        <w:t xml:space="preserve">docs/testing/golden-cases/</w:t>
      </w:r>
    </w:p>
    <w:p>
      <w:pPr>
        <w:numPr>
          <w:ilvl w:val="0"/>
          <w:numId w:val="2060"/>
        </w:numPr>
        <w:pStyle w:val="Compact"/>
      </w:pPr>
      <w:r>
        <w:rPr>
          <w:rStyle w:val="VerbatimChar"/>
        </w:rPr>
        <w:t xml:space="preserve">docs/ops/</w:t>
      </w:r>
      <w:r>
        <w:t xml:space="preserve"> </w:t>
      </w:r>
      <w:r>
        <w:t xml:space="preserve">(deployment, rollback, DR, runbooks, SLOs)</w:t>
      </w:r>
    </w:p>
    <w:p>
      <w:pPr>
        <w:numPr>
          <w:ilvl w:val="0"/>
          <w:numId w:val="2060"/>
        </w:numPr>
        <w:pStyle w:val="Compact"/>
      </w:pPr>
      <w:r>
        <w:rPr>
          <w:rStyle w:val="VerbatimChar"/>
        </w:rPr>
        <w:t xml:space="preserve">docs/legal/third-party-notices.md</w:t>
      </w:r>
      <w:r>
        <w:t xml:space="preserve"> </w:t>
      </w:r>
      <w:r>
        <w:t xml:space="preserve">(including Apache Fineract attribution if any code is derived)</w:t>
      </w:r>
    </w:p>
    <w:p>
      <w:pPr>
        <w:numPr>
          <w:ilvl w:val="0"/>
          <w:numId w:val="2060"/>
        </w:numPr>
        <w:pStyle w:val="Compact"/>
      </w:pPr>
      <w:r>
        <w:rPr>
          <w:rStyle w:val="VerbatimChar"/>
        </w:rPr>
        <w:t xml:space="preserve">docs/status/modules.md</w:t>
      </w:r>
      <w:r>
        <w:t xml:space="preserve"> </w:t>
      </w:r>
      <w:r>
        <w:t xml:space="preserve">(module status and outstanding decisions)</w:t>
      </w:r>
    </w:p>
    <w:p>
      <w:pPr>
        <w:numPr>
          <w:ilvl w:val="0"/>
          <w:numId w:val="2060"/>
        </w:numPr>
        <w:pStyle w:val="Compact"/>
      </w:pPr>
      <w:r>
        <w:rPr>
          <w:rStyle w:val="VerbatimChar"/>
        </w:rPr>
        <w:t xml:space="preserve">docs/economics/unit-costs.md</w:t>
      </w:r>
    </w:p>
    <w:p>
      <w:pPr>
        <w:numPr>
          <w:ilvl w:val="0"/>
          <w:numId w:val="2060"/>
        </w:numPr>
        <w:pStyle w:val="Compact"/>
      </w:pPr>
      <w:r>
        <w:rPr>
          <w:rStyle w:val="VerbatimChar"/>
        </w:rPr>
        <w:t xml:space="preserve">docs/regulations/return-registry/</w:t>
      </w:r>
      <w:r>
        <w:t xml:space="preserve"> </w:t>
      </w:r>
      <w:r>
        <w:t xml:space="preserve">(v1.5: return definitions and versions, cell maps, CEL validation packs, the RBI-list conflict log and filing acknowledgements index; Part 7B RR1–RR5)</w:t>
      </w:r>
    </w:p>
    <w:p>
      <w:pPr>
        <w:numPr>
          <w:ilvl w:val="0"/>
          <w:numId w:val="2060"/>
        </w:numPr>
        <w:pStyle w:val="Compact"/>
      </w:pPr>
      <w:r>
        <w:rPr>
          <w:rStyle w:val="VerbatimChar"/>
        </w:rPr>
        <w:t xml:space="preserve">docs/compliance/control-library.md</w:t>
      </w:r>
      <w:r>
        <w:t xml:space="preserve"> </w:t>
      </w:r>
      <w:r>
        <w:t xml:space="preserve">(v1.5: common control framework mapping each Finbyx control to CYB, OUT, DPS, CERT-In, DPDP, ISO/IEC 27001 and 27701, SOC 2 and PCI DSS; Part 7L EO5.3)</w:t>
      </w:r>
    </w:p>
    <w:p>
      <w:pPr>
        <w:numPr>
          <w:ilvl w:val="0"/>
          <w:numId w:val="2060"/>
        </w:numPr>
        <w:pStyle w:val="Compact"/>
      </w:pPr>
      <w:r>
        <w:rPr>
          <w:rStyle w:val="VerbatimChar"/>
        </w:rPr>
        <w:t xml:space="preserve">docs/compliance/certification-evidence-register.md</w:t>
      </w:r>
      <w:r>
        <w:t xml:space="preserve"> </w:t>
      </w:r>
      <w:r>
        <w:t xml:space="preserve">(v1.5: evidence item, control, period, collector, SHA-256, auditor request and status; Part 7L EO5)</w:t>
      </w:r>
    </w:p>
    <w:p>
      <w:pPr>
        <w:numPr>
          <w:ilvl w:val="0"/>
          <w:numId w:val="2060"/>
        </w:numPr>
        <w:pStyle w:val="Compact"/>
      </w:pPr>
      <w:r>
        <w:rPr>
          <w:rStyle w:val="VerbatimChar"/>
        </w:rPr>
        <w:t xml:space="preserve">docs/portability/archive-standard.md</w:t>
      </w:r>
      <w:r>
        <w:t xml:space="preserve"> </w:t>
      </w:r>
      <w:r>
        <w:t xml:space="preserve">(v1.5: folder tree, naming rules, formats, manifest schema and README template; Part 7J DP1)</w:t>
      </w:r>
    </w:p>
    <w:p>
      <w:pPr>
        <w:numPr>
          <w:ilvl w:val="0"/>
          <w:numId w:val="2060"/>
        </w:numPr>
        <w:pStyle w:val="Compact"/>
      </w:pPr>
      <w:r>
        <w:rPr>
          <w:rStyle w:val="VerbatimChar"/>
        </w:rPr>
        <w:t xml:space="preserve">docs/profiles/institution-catalogue.md</w:t>
      </w:r>
      <w:r>
        <w:t xml:space="preserve"> </w:t>
      </w:r>
      <w:r>
        <w:t xml:space="preserve">(v1.5: institution types, rule-pack bindings and guard-rail registry; Part 7G IP1)</w:t>
      </w:r>
    </w:p>
    <w:bookmarkEnd w:id="843"/>
    <w:bookmarkStart w:id="844" w:name="definition-of-done"/>
    <w:p>
      <w:pPr>
        <w:pStyle w:val="Heading2"/>
      </w:pPr>
      <w:r>
        <w:t xml:space="preserve">11.5 Definition of done</w:t>
      </w:r>
    </w:p>
    <w:p>
      <w:pPr>
        <w:numPr>
          <w:ilvl w:val="0"/>
          <w:numId w:val="2061"/>
        </w:numPr>
        <w:pStyle w:val="Compact"/>
      </w:pPr>
      <w:r>
        <w:t xml:space="preserve">A module is not complete just because its screen renders.</w:t>
      </w:r>
    </w:p>
    <w:p>
      <w:pPr>
        <w:numPr>
          <w:ilvl w:val="0"/>
          <w:numId w:val="2061"/>
        </w:numPr>
        <w:pStyle w:val="Compact"/>
      </w:pPr>
      <w:r>
        <w:t xml:space="preserve">It is complete only when all of the following are true:</w:t>
      </w:r>
    </w:p>
    <w:p>
      <w:pPr>
        <w:numPr>
          <w:ilvl w:val="1"/>
          <w:numId w:val="2062"/>
        </w:numPr>
        <w:pStyle w:val="Compact"/>
      </w:pPr>
      <w:r>
        <w:t xml:space="preserve">its approved acceptance criteria are met;</w:t>
      </w:r>
    </w:p>
    <w:p>
      <w:pPr>
        <w:numPr>
          <w:ilvl w:val="1"/>
          <w:numId w:val="2062"/>
        </w:numPr>
        <w:pStyle w:val="Compact"/>
      </w:pPr>
      <w:r>
        <w:t xml:space="preserve">the relevant tests (including negative and tenant-isolation tests) have passed and their output is recorded;</w:t>
      </w:r>
    </w:p>
    <w:p>
      <w:pPr>
        <w:numPr>
          <w:ilvl w:val="1"/>
          <w:numId w:val="2062"/>
        </w:numPr>
        <w:pStyle w:val="Compact"/>
      </w:pPr>
      <w:r>
        <w:t xml:space="preserve">authorisation and maker-checker have been checked;</w:t>
      </w:r>
    </w:p>
    <w:p>
      <w:pPr>
        <w:numPr>
          <w:ilvl w:val="1"/>
          <w:numId w:val="2062"/>
        </w:numPr>
        <w:pStyle w:val="Compact"/>
      </w:pPr>
      <w:r>
        <w:t xml:space="preserve">failures, retries and reconciliation are handled;</w:t>
      </w:r>
    </w:p>
    <w:p>
      <w:pPr>
        <w:numPr>
          <w:ilvl w:val="1"/>
          <w:numId w:val="2062"/>
        </w:numPr>
        <w:pStyle w:val="Compact"/>
      </w:pPr>
      <w:r>
        <w:t xml:space="preserve">accounting entries balance and reconcile;</w:t>
      </w:r>
    </w:p>
    <w:p>
      <w:pPr>
        <w:numPr>
          <w:ilvl w:val="1"/>
          <w:numId w:val="2062"/>
        </w:numPr>
        <w:pStyle w:val="Compact"/>
      </w:pPr>
      <w:r>
        <w:t xml:space="preserve">audit events are emitted;</w:t>
      </w:r>
    </w:p>
    <w:p>
      <w:pPr>
        <w:numPr>
          <w:ilvl w:val="1"/>
          <w:numId w:val="2062"/>
        </w:numPr>
        <w:pStyle w:val="Compact"/>
      </w:pPr>
      <w:r>
        <w:t xml:space="preserve">documentation and registers are updated;</w:t>
      </w:r>
    </w:p>
    <w:p>
      <w:pPr>
        <w:numPr>
          <w:ilvl w:val="1"/>
          <w:numId w:val="2062"/>
        </w:numPr>
        <w:pStyle w:val="Compact"/>
      </w:pPr>
      <w:r>
        <w:t xml:space="preserve">the change is reviewable.</w:t>
      </w:r>
    </w:p>
    <w:p>
      <w:pPr>
        <w:numPr>
          <w:ilvl w:val="0"/>
          <w:numId w:val="2061"/>
        </w:numPr>
        <w:pStyle w:val="Compact"/>
      </w:pPr>
      <w:r>
        <w:t xml:space="preserve">A mock or sandbox integration is always clearly distinguished from a production integration.</w:t>
      </w:r>
    </w:p>
    <w:p>
      <w:pPr>
        <w:numPr>
          <w:ilvl w:val="0"/>
          <w:numId w:val="2061"/>
        </w:numPr>
        <w:pStyle w:val="Compact"/>
      </w:pPr>
      <w:r>
        <w:t xml:space="preserve">Our goal is a secure, maintainable, configurable, regulator-ready and commercially viable lending platform, not the largest number of features or files.</w:t>
      </w:r>
    </w:p>
    <w:bookmarkEnd w:id="844"/>
    <w:bookmarkStart w:id="845" w:name="additional-quality-gates"/>
    <w:p>
      <w:pPr>
        <w:pStyle w:val="Heading2"/>
      </w:pPr>
      <w:r>
        <w:t xml:space="preserve">11.6 Additional quality gates</w:t>
      </w:r>
    </w:p>
    <w:p>
      <w:pPr>
        <w:pStyle w:val="FirstParagraph"/>
      </w:pPr>
      <w:r>
        <w:t xml:space="preserve">These come from the Udofin prompt and are extended here:</w:t>
      </w:r>
    </w:p>
    <w:p>
      <w:pPr>
        <w:numPr>
          <w:ilvl w:val="0"/>
          <w:numId w:val="2063"/>
        </w:numPr>
        <w:pStyle w:val="Compact"/>
      </w:pPr>
      <w:r>
        <w:rPr>
          <w:bCs/>
          <w:b/>
        </w:rPr>
        <w:t xml:space="preserve">Independent security review</w:t>
      </w:r>
      <w:r>
        <w:t xml:space="preserve"> </w:t>
      </w:r>
      <w:r>
        <w:t xml:space="preserve">each phase (see 10.4).</w:t>
      </w:r>
    </w:p>
    <w:p>
      <w:pPr>
        <w:numPr>
          <w:ilvl w:val="0"/>
          <w:numId w:val="2063"/>
        </w:numPr>
        <w:pStyle w:val="Compact"/>
      </w:pPr>
      <w:r>
        <w:rPr>
          <w:bCs/>
          <w:b/>
        </w:rPr>
        <w:t xml:space="preserve">Borrower consent and data lifecycle:</w:t>
      </w:r>
      <w:r>
        <w:t xml:space="preserve"> </w:t>
      </w:r>
      <w:r>
        <w:t xml:space="preserve">record what was consented to, why, when, for which lender and purpose, and the exact wording shown. Handle withdrawal, retention, deletion, correction and access logging, with legally required exceptions.</w:t>
      </w:r>
    </w:p>
    <w:p>
      <w:pPr>
        <w:numPr>
          <w:ilvl w:val="0"/>
          <w:numId w:val="2063"/>
        </w:numPr>
        <w:pStyle w:val="Compact"/>
      </w:pPr>
      <w:r>
        <w:rPr>
          <w:bCs/>
          <w:b/>
        </w:rPr>
        <w:t xml:space="preserve">Disaster recovery:</w:t>
      </w:r>
      <w:r>
        <w:t xml:space="preserve"> </w:t>
      </w:r>
      <w:r>
        <w:t xml:space="preserve">test restoration of the database, documents, queues/workflows, and post-outage reconciliation. A backup is not proven useful until a restore has been tested.</w:t>
      </w:r>
    </w:p>
    <w:p>
      <w:pPr>
        <w:numPr>
          <w:ilvl w:val="0"/>
          <w:numId w:val="2063"/>
        </w:numPr>
        <w:pStyle w:val="Compact"/>
      </w:pPr>
      <w:r>
        <w:rPr>
          <w:bCs/>
          <w:b/>
        </w:rPr>
        <w:t xml:space="preserve">Change and migration safety:</w:t>
      </w:r>
      <w:r>
        <w:t xml:space="preserve"> </w:t>
      </w:r>
      <w:r>
        <w:t xml:space="preserve">no deployment may leave web, field app, workers and database on incompatible versions. Use expand-and-contract migrations.</w:t>
      </w:r>
    </w:p>
    <w:p>
      <w:pPr>
        <w:numPr>
          <w:ilvl w:val="0"/>
          <w:numId w:val="2063"/>
        </w:numPr>
        <w:pStyle w:val="Compact"/>
      </w:pPr>
      <w:r>
        <w:rPr>
          <w:bCs/>
          <w:b/>
        </w:rPr>
        <w:t xml:space="preserve">Regulatory change management:</w:t>
      </w:r>
      <w:r>
        <w:t xml:space="preserve"> </w:t>
      </w:r>
      <w:r>
        <w:t xml:space="preserve">keep a dated register. When a rule changes, assess the affected products, configurations, disclosures, workflows, tests and evidence.</w:t>
      </w:r>
    </w:p>
    <w:p>
      <w:pPr>
        <w:numPr>
          <w:ilvl w:val="0"/>
          <w:numId w:val="2063"/>
        </w:numPr>
        <w:pStyle w:val="Compact"/>
      </w:pPr>
      <w:r>
        <w:rPr>
          <w:bCs/>
          <w:b/>
        </w:rPr>
        <w:t xml:space="preserve">Production monitoring:</w:t>
      </w:r>
      <w:r>
        <w:t xml:space="preserve"> </w:t>
      </w:r>
      <w:r>
        <w:t xml:space="preserve">SLOs for availability, latency, integration failure rates, queue delays, COB duration, reconciliation breaks and recovery. Alerts carry no sensitive data.</w:t>
      </w:r>
    </w:p>
    <w:p>
      <w:pPr>
        <w:numPr>
          <w:ilvl w:val="0"/>
          <w:numId w:val="2063"/>
        </w:numPr>
        <w:pStyle w:val="Compact"/>
      </w:pPr>
      <w:r>
        <w:rPr>
          <w:bCs/>
          <w:b/>
        </w:rPr>
        <w:t xml:space="preserve">Commercial viability:</w:t>
      </w:r>
      <w:r>
        <w:t xml:space="preserve"> </w:t>
      </w:r>
      <w:r>
        <w:t xml:space="preserve">track per-application costs (verification, bureau, AA, eSign/eStamp, messaging, cloud, support) and revenue per tenant. A technically working product may still be commercially unviable.</w:t>
      </w:r>
    </w:p>
    <w:p>
      <w:r>
        <w:pict>
          <v:rect style="width:0;height:1.5pt" o:hralign="center" o:hrstd="t" o:hr="t"/>
        </w:pict>
      </w:r>
    </w:p>
    <w:bookmarkEnd w:id="845"/>
    <w:bookmarkEnd w:id="846"/>
    <w:bookmarkStart w:id="887" w:name="Xae1e2dda7682176cd043b8a218fa0c58009f3c8"/>
    <w:p>
      <w:pPr>
        <w:pStyle w:val="Heading1"/>
      </w:pPr>
      <w:r>
        <w:t xml:space="preserve">PART 12 — PHASED ROADMAP WITH CLAUDE CODE INSTRUCTIONS</w:t>
      </w:r>
    </w:p>
    <w:p>
      <w:pPr>
        <w:pStyle w:val="FirstParagraph"/>
      </w:pPr>
      <w:r>
        <w:t xml:space="preserve">Build a common platform first, then launch a</w:t>
      </w:r>
      <w:r>
        <w:t xml:space="preserve"> </w:t>
      </w:r>
      <w:r>
        <w:rPr>
          <w:bCs/>
          <w:b/>
        </w:rPr>
        <w:t xml:space="preserve">narrow MVP pilot</w:t>
      </w:r>
      <w:r>
        <w:t xml:space="preserve"> </w:t>
      </w:r>
      <w:r>
        <w:t xml:space="preserve">before expanding:</w:t>
      </w:r>
    </w:p>
    <w:p>
      <w:pPr>
        <w:numPr>
          <w:ilvl w:val="0"/>
          <w:numId w:val="2064"/>
        </w:numPr>
        <w:pStyle w:val="Compact"/>
      </w:pPr>
      <w:r>
        <w:rPr>
          <w:bCs/>
          <w:b/>
        </w:rPr>
        <w:t xml:space="preserve">MVP product scope:</w:t>
      </w:r>
      <w:r>
        <w:t xml:space="preserve"> </w:t>
      </w:r>
      <w:r>
        <w:t xml:space="preserve">an unsecured Personal Loan + an unsecured MSME Term Loan, branch-assisted, for a single NBFC pilot tenant.</w:t>
      </w:r>
    </w:p>
    <w:p>
      <w:pPr>
        <w:numPr>
          <w:ilvl w:val="1"/>
          <w:numId w:val="2065"/>
        </w:numPr>
        <w:pStyle w:val="Compact"/>
      </w:pPr>
      <w:r>
        <w:t xml:space="preserve">Development and staging use synthetic data only.</w:t>
      </w:r>
    </w:p>
    <w:p>
      <w:pPr>
        <w:numPr>
          <w:ilvl w:val="1"/>
          <w:numId w:val="2065"/>
        </w:numPr>
        <w:pStyle w:val="Compact"/>
      </w:pPr>
      <w:r>
        <w:t xml:space="preserve">The pilot goes live only on India-region hosting (Part 10.1).</w:t>
      </w:r>
    </w:p>
    <w:p>
      <w:pPr>
        <w:numPr>
          <w:ilvl w:val="0"/>
          <w:numId w:val="2064"/>
        </w:numPr>
        <w:pStyle w:val="Compact"/>
      </w:pPr>
      <w:r>
        <w:rPr>
          <w:bCs/>
          <w:b/>
        </w:rPr>
        <w:t xml:space="preserve">Next:</w:t>
      </w:r>
      <w:r>
        <w:t xml:space="preserve"> </w:t>
      </w:r>
      <w:r>
        <w:t xml:space="preserve">LAP/Home (secured property), Vehicle, Gold, LAS and co-lending.</w:t>
      </w:r>
    </w:p>
    <w:p>
      <w:pPr>
        <w:numPr>
          <w:ilvl w:val="0"/>
          <w:numId w:val="2064"/>
        </w:numPr>
        <w:pStyle w:val="Compact"/>
      </w:pPr>
      <w:r>
        <w:rPr>
          <w:bCs/>
          <w:b/>
        </w:rPr>
        <w:t xml:space="preserve">Last:</w:t>
      </w:r>
      <w:r>
        <w:t xml:space="preserve"> </w:t>
      </w:r>
      <w:r>
        <w:t xml:space="preserve">the specialist products (13–16), after feasibility approval.</w:t>
      </w:r>
    </w:p>
    <w:p>
      <w:pPr>
        <w:pStyle w:val="FirstParagraph"/>
      </w:pPr>
      <w:r>
        <w:t xml:space="preserve">How to run the phases:</w:t>
      </w:r>
    </w:p>
    <w:p>
      <w:pPr>
        <w:numPr>
          <w:ilvl w:val="0"/>
          <w:numId w:val="2066"/>
        </w:numPr>
        <w:pStyle w:val="Compact"/>
      </w:pPr>
      <w:r>
        <w:t xml:space="preserve">Each phase ends with a review gate.</w:t>
      </w:r>
    </w:p>
    <w:p>
      <w:pPr>
        <w:numPr>
          <w:ilvl w:val="0"/>
          <w:numId w:val="2066"/>
        </w:numPr>
        <w:pStyle w:val="Compact"/>
      </w:pPr>
      <w:r>
        <w:t xml:space="preserve">Copy one</w:t>
      </w:r>
      <w:r>
        <w:t xml:space="preserve"> </w:t>
      </w:r>
      <w:r>
        <w:rPr>
          <w:bCs/>
          <w:b/>
        </w:rPr>
        <w:t xml:space="preserve">“</w:t>
      </w:r>
      <w:r>
        <w:rPr>
          <w:bCs/>
          <w:b/>
        </w:rPr>
        <w:t xml:space="preserve">Instruction to Claude</w:t>
      </w:r>
      <w:r>
        <w:rPr>
          <w:bCs/>
          <w:b/>
        </w:rPr>
        <w:t xml:space="preserve">”</w:t>
      </w:r>
      <w:r>
        <w:t xml:space="preserve"> </w:t>
      </w:r>
      <w:r>
        <w:t xml:space="preserve">block into Claude Code when you start that phase. Do not paste several phases at once.</w:t>
      </w:r>
    </w:p>
    <w:p>
      <w:pPr>
        <w:numPr>
          <w:ilvl w:val="0"/>
          <w:numId w:val="2066"/>
        </w:numPr>
        <w:pStyle w:val="Compact"/>
      </w:pPr>
      <w:r>
        <w:t xml:space="preserve">Split large phases into sub-modules.</w:t>
      </w:r>
    </w:p>
    <w:p>
      <w:pPr>
        <w:numPr>
          <w:ilvl w:val="0"/>
          <w:numId w:val="2066"/>
        </w:numPr>
        <w:pStyle w:val="Compact"/>
      </w:pPr>
      <w:r>
        <w:rPr>
          <w:bCs/>
          <w:b/>
        </w:rPr>
        <w:t xml:space="preserve">Phase P (pilot go-live)</w:t>
      </w:r>
      <w:r>
        <w:t xml:space="preserve"> </w:t>
      </w:r>
      <w:r>
        <w:t xml:space="preserve">comes before the expansion phases (16–20, including 16b–16e, 17b–17d, 18b and 20b).</w:t>
      </w:r>
    </w:p>
    <w:p>
      <w:pPr>
        <w:numPr>
          <w:ilvl w:val="0"/>
          <w:numId w:val="2066"/>
        </w:numPr>
        <w:pStyle w:val="Compact"/>
      </w:pPr>
      <w:r>
        <w:rPr>
          <w:bCs/>
          <w:b/>
        </w:rPr>
        <w:t xml:space="preserve">v1.4 phases:</w:t>
      </w:r>
      <w:r>
        <w:t xml:space="preserve"> </w:t>
      </w:r>
      <w:r>
        <w:t xml:space="preserve">12 (Recovery Suite core), 12b (settlement and ADR with Equator) and 17b (secured enforcement and shared-exposure recovery) build Part 7A; 16b implements the Ecosystem Integration Specification. These phases are built once for the product; whether a tenant uses the suite is decided at runtime by licence and feature flag (Part 7A.0), so no phase is skipped.</w:t>
      </w:r>
    </w:p>
    <w:p>
      <w:pPr>
        <w:numPr>
          <w:ilvl w:val="0"/>
          <w:numId w:val="2066"/>
        </w:numPr>
        <w:pStyle w:val="Compact"/>
      </w:pPr>
      <w:r>
        <w:rPr>
          <w:bCs/>
          <w:b/>
        </w:rPr>
        <w:t xml:space="preserve">v1.5 phases:</w:t>
      </w:r>
      <w:r>
        <w:t xml:space="preserve"> </w:t>
      </w:r>
      <w:r>
        <w:t xml:space="preserve">13b (accounting frameworks, financial statements, GST and Income-tax Act 2025 outputs, the Tally agent and the statutory audit trail; Part 7C), 14b (RBI returns engine and supervisory portal workflows; Part 7B RR1–RR5 and RR8), 14c (credit bureau submissions; RR6–RR7), 14d (risk function, capital adequacy, ratio library, ICAAP, stress testing, PCA and leadership dashboards; Part 7E), 15b (data portability, archives, customer-controlled storage, customer-held backups and exit; Part 7J), 16c (audit and assurance suite with auditor and supervisor workspaces; Part 7D), 16d (corporate governance, listed-company compliance, client HRMS and workplace integration; Part 7F), 16e (plans, entitlements, billing and payments; Part 7K), 17c (institution profiles for credit co-operative societies, co-operative banks and microfinance; Part 7G IP1–IP4), 17d (ARCs, IFSC entities, the investment module and securitisation servicing; Part 7G IP5–IP6 and Part 7H), 18b (voice, AI contact-centre and Jio adapters; Part 7L EO6) and 20b (engineering-operations evidence and certification readiness; Part 7L EO1–EO5). Like the v1.4 phases, they are built once for the product and switched per tenant at runtime by institution profile (Part 7G IP1), licence and feature flag (Part 7K CM1), so no phase is skipped. Phases 13b, 14b, 14c, 14d and 15b come before Phase P because the pilot needs its books, returns, bureau files, capital and liquidity runs and exportable archive; 14b and 14c are built first for the returns and bureaus that apply to the pilot tenant. Phase 16e needs Operations Hub phase O6 (revenue catalogue, billing and Razorpay) to be live, because the Hub owns the catalogue, invoices and the Razorpay account; Phase 20b needs Operations Hub phase O12 (engineering console and control library). The Part 7L EO1 repository controls (rulesets, signed commits, CODEOWNERS, SBOM, pinned Actions) start in Phase 1, the statutory audit log and external-access role skeleton in Phase 2; Phase 20b completes and evidences them. Phase 16d’s payroll needs the signed Labour Code rule pack 1.0 (Integration Spec 12.3). Order: 0 → 1 → 2 → 3 → 3b → 4 → 5 → 6 → 7 → 8 → 8b → 8c → 9 → 10 → 11 → 12 → 12b → 13 → 13b → 14 → 14b → 14c → 14d → 15 → 15b → P → 16 → 16b → 16c → 16d → 16e → 17 → 17b → 17c → 17d → 18 → 18b → 19 → 20 → 20b.</w:t>
      </w:r>
    </w:p>
    <w:p>
      <w:pPr>
        <w:numPr>
          <w:ilvl w:val="0"/>
          <w:numId w:val="2066"/>
        </w:numPr>
        <w:pStyle w:val="Compact"/>
      </w:pPr>
      <w:r>
        <w:rPr>
          <w:bCs/>
          <w:b/>
        </w:rPr>
        <w:t xml:space="preserve">Menus, screens and settings (every v1.5 phase, and v1.4 modules when next touched):</w:t>
      </w:r>
      <w:r>
        <w:t xml:space="preserve"> </w:t>
      </w:r>
      <w:r>
        <w:t xml:space="preserve">each phase builds the navigation, screens and settings that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its Part specify, inside the Part 3.2 workspaces, and registers them in</w:t>
      </w:r>
      <w:r>
        <w:t xml:space="preserve"> </w:t>
      </w:r>
      <w:r>
        <w:rPr>
          <w:bCs/>
          <w:b/>
        </w:rPr>
        <w:t xml:space="preserve">Appendix G — Navigation, menus, screens and settings map</w:t>
      </w:r>
      <w:r>
        <w:t xml:space="preserve">, so the menu is generated from the module registry and entitlements (Part 7K CM1) rather than hand-coded. Every setting carries its scope (tenant, legal entity, product or role), default, effective date, owner and class: a</w:t>
      </w:r>
      <w:r>
        <w:t xml:space="preserve"> </w:t>
      </w:r>
      <w:r>
        <w:rPr>
          <w:bCs/>
          <w:b/>
        </w:rPr>
        <w:t xml:space="preserve">regulatory floor</w:t>
      </w:r>
      <w:r>
        <w:t xml:space="preserve"> </w:t>
      </w:r>
      <w:r>
        <w:t xml:space="preserve">(cited; enforced server-side; any attempt to relax it fails</w:t>
      </w:r>
      <w:r>
        <w:t xml:space="preserve"> </w:t>
      </w:r>
      <w:r>
        <w:rPr>
          <w:rStyle w:val="VerbatimChar"/>
        </w:rPr>
        <w:t xml:space="preserve">floor_violation</w:t>
      </w:r>
      <w:r>
        <w:t xml:space="preserve">, or</w:t>
      </w:r>
      <w:r>
        <w:t xml:space="preserve"> </w:t>
      </w:r>
      <w:r>
        <w:rPr>
          <w:rStyle w:val="VerbatimChar"/>
        </w:rPr>
        <w:t xml:space="preserve">RULE_LOOSENING_BLOCKED</w:t>
      </w:r>
      <w:r>
        <w:t xml:space="preserve"> </w:t>
      </w:r>
      <w:r>
        <w:t xml:space="preserve">for institution rule packs) or a</w:t>
      </w:r>
      <w:r>
        <w:t xml:space="preserve"> </w:t>
      </w:r>
      <w:r>
        <w:rPr>
          <w:bCs/>
          <w:b/>
        </w:rPr>
        <w:t xml:space="preserve">commercial choice</w:t>
      </w:r>
      <w:r>
        <w:t xml:space="preserve"> </w:t>
      </w:r>
      <w:r>
        <w:t xml:space="preserve">(effective-dated, maker-checked, audited). Screens follow Part 10.5: list, detail, create or edit wizard, approval queue and dashboard patterns; saved views, bulk actions with maker-checker, exports by permission, keyboard shortcuts on heavy back-office screens, explain-why messages, empty, loading, error and permission-denied states, and WCAG 2.2 AA; borrower-facing screens are vernacular. Automation may prepare, pre-fill, remind and route, but a regulated decision always waits for a human approval.</w:t>
      </w:r>
    </w:p>
    <w:p>
      <w:pPr>
        <w:numPr>
          <w:ilvl w:val="0"/>
          <w:numId w:val="2066"/>
        </w:numPr>
        <w:pStyle w:val="Compact"/>
      </w:pPr>
      <w:r>
        <w:t xml:space="preserve">Each phase also includes the v1.3 additions listed for it in</w:t>
      </w:r>
      <w:r>
        <w:t xml:space="preserve"> </w:t>
      </w:r>
      <w:r>
        <w:rPr>
          <w:bCs/>
          <w:b/>
        </w:rPr>
        <w:t xml:space="preserve">Part 8A.36.4</w:t>
      </w:r>
      <w:r>
        <w:t xml:space="preserve">. Add them to the phase specification before approval.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78"/>
        <w:gridCol w:w="4474"/>
        <w:gridCol w:w="2786"/>
      </w:tblGrid>
      <w:tr>
        <w:trPr>
          <w:tblHeader w:val="true"/>
          <w:tblHeader w:val="true"/>
        </w:trPr>
        <w:tc>
          <w:tcPr>
            <w:tcW w:w="2378" w:type="dxa"/>
            <w:shd w:val="clear" w:color="auto" w:fill="1F3A5F"/>
          </w:tcPr>
          <w:p>
            <w:pPr>
              <w:pStyle w:val="Compact"/>
              <w:spacing w:after="40"/>
              <w:jc w:val="left"/>
            </w:pPr>
            <w:r>
              <w:rPr>
                <w:b/>
                <w:color w:val="FFFFFF"/>
                <w:sz w:val="18"/>
              </w:rPr>
              <w:t xml:space="preserve">Phase</w:t>
            </w:r>
          </w:p>
        </w:tc>
        <w:tc>
          <w:tcPr>
            <w:tcW w:w="4474" w:type="dxa"/>
            <w:shd w:val="clear" w:color="auto" w:fill="1F3A5F"/>
          </w:tcPr>
          <w:p>
            <w:pPr>
              <w:pStyle w:val="Compact"/>
              <w:spacing w:after="40"/>
              <w:jc w:val="left"/>
            </w:pPr>
            <w:r>
              <w:rPr>
                <w:b/>
                <w:color w:val="FFFFFF"/>
                <w:sz w:val="18"/>
              </w:rPr>
              <w:t xml:space="preserve">Primary outcome</w:t>
            </w:r>
          </w:p>
        </w:tc>
        <w:tc>
          <w:tcPr>
            <w:tcW w:w="2786" w:type="dxa"/>
            <w:shd w:val="clear" w:color="auto" w:fill="1F3A5F"/>
          </w:tcPr>
          <w:p>
            <w:pPr>
              <w:pStyle w:val="Compact"/>
              <w:spacing w:after="40"/>
              <w:jc w:val="left"/>
            </w:pPr>
            <w:r>
              <w:rPr>
                <w:b/>
                <w:color w:val="FFFFFF"/>
                <w:sz w:val="18"/>
              </w:rPr>
              <w:t xml:space="preserve">Depends on</w:t>
            </w:r>
          </w:p>
        </w:tc>
      </w:tr>
      <w:tr>
        <w:tc>
          <w:tcPr>
            <w:tcW w:w="2378" w:type="dxa"/>
          </w:tcPr>
          <w:p>
            <w:pPr>
              <w:pStyle w:val="Compact"/>
              <w:spacing w:after="40"/>
              <w:jc w:val="left"/>
            </w:pPr>
            <w:r>
              <w:rPr>
                <w:sz w:val="18"/>
              </w:rPr>
              <w:t xml:space="preserve">0. Repository audit and architecture</w:t>
            </w:r>
          </w:p>
        </w:tc>
        <w:tc>
          <w:tcPr>
            <w:tcW w:w="4474" w:type="dxa"/>
          </w:tcPr>
          <w:p>
            <w:pPr>
              <w:pStyle w:val="Compact"/>
              <w:spacing w:after="40"/>
              <w:jc w:val="left"/>
            </w:pPr>
            <w:r>
              <w:rPr>
                <w:sz w:val="18"/>
              </w:rPr>
              <w:t xml:space="preserve">Verified repo facts; audit of the current Finbyx product; competitor benchmark; architecture proposal; ADRs; Fineract adoption decision; regulatory register v1</w:t>
            </w:r>
          </w:p>
        </w:tc>
        <w:tc>
          <w:tcPr>
            <w:tcW w:w="2786" w:type="dxa"/>
          </w:tcPr>
          <w:p>
            <w:pPr>
              <w:pStyle w:val="Compact"/>
              <w:spacing w:after="40"/>
              <w:jc w:val="left"/>
            </w:pPr>
            <w:r>
              <w:rPr>
                <w:sz w:val="18"/>
              </w:rPr>
              <w:t xml:space="preserve">—</w:t>
            </w:r>
          </w:p>
        </w:tc>
      </w:tr>
      <w:tr>
        <w:tc>
          <w:tcPr>
            <w:tcW w:w="2378" w:type="dxa"/>
          </w:tcPr>
          <w:p>
            <w:pPr>
              <w:pStyle w:val="Compact"/>
              <w:spacing w:after="40"/>
              <w:jc w:val="left"/>
            </w:pPr>
            <w:r>
              <w:rPr>
                <w:sz w:val="18"/>
              </w:rPr>
              <w:t xml:space="preserve">1. Platform foundation</w:t>
            </w:r>
          </w:p>
        </w:tc>
        <w:tc>
          <w:tcPr>
            <w:tcW w:w="4474" w:type="dxa"/>
          </w:tcPr>
          <w:p>
            <w:pPr>
              <w:pStyle w:val="Compact"/>
              <w:spacing w:after="40"/>
              <w:jc w:val="left"/>
            </w:pPr>
            <w:r>
              <w:rPr>
                <w:sz w:val="18"/>
              </w:rPr>
              <w:t xml:space="preserve">Monorepo, CI/CD, environments, auth abstraction, design system, observability; GitHub rulesets, signed commits, CODEOWNERS, SBOM and supply-chain controls from the first commit (Part 7L EO1)</w:t>
            </w:r>
          </w:p>
        </w:tc>
        <w:tc>
          <w:tcPr>
            <w:tcW w:w="2786" w:type="dxa"/>
          </w:tcPr>
          <w:p>
            <w:pPr>
              <w:pStyle w:val="Compact"/>
              <w:spacing w:after="40"/>
              <w:jc w:val="left"/>
            </w:pPr>
            <w:r>
              <w:rPr>
                <w:sz w:val="18"/>
              </w:rPr>
              <w:t xml:space="preserve">0</w:t>
            </w:r>
          </w:p>
        </w:tc>
      </w:tr>
      <w:tr>
        <w:tc>
          <w:tcPr>
            <w:tcW w:w="2378" w:type="dxa"/>
          </w:tcPr>
          <w:p>
            <w:pPr>
              <w:pStyle w:val="Compact"/>
              <w:spacing w:after="40"/>
              <w:jc w:val="left"/>
            </w:pPr>
            <w:r>
              <w:rPr>
                <w:sz w:val="18"/>
              </w:rPr>
              <w:t xml:space="preserve">2. Database, tenancy and security foundation</w:t>
            </w:r>
          </w:p>
        </w:tc>
        <w:tc>
          <w:tcPr>
            <w:tcW w:w="4474" w:type="dxa"/>
          </w:tcPr>
          <w:p>
            <w:pPr>
              <w:pStyle w:val="Compact"/>
              <w:spacing w:after="40"/>
              <w:jc w:val="left"/>
            </w:pPr>
            <w:r>
              <w:rPr>
                <w:sz w:val="18"/>
              </w:rPr>
              <w:t xml:space="preserve">Tenant/entity/branch model, RBAC/ABAC, enforced RLS, audit events and the statutory audit log that cannot be disabled (Part 7C AC7), maker-checker framework, external-access role skeleton (Part 7D AU7), isolation tests</w:t>
            </w:r>
          </w:p>
        </w:tc>
        <w:tc>
          <w:tcPr>
            <w:tcW w:w="2786" w:type="dxa"/>
          </w:tcPr>
          <w:p>
            <w:pPr>
              <w:pStyle w:val="Compact"/>
              <w:spacing w:after="40"/>
              <w:jc w:val="left"/>
            </w:pPr>
            <w:r>
              <w:rPr>
                <w:sz w:val="18"/>
              </w:rPr>
              <w:t xml:space="preserve">1</w:t>
            </w:r>
          </w:p>
        </w:tc>
      </w:tr>
      <w:tr>
        <w:tc>
          <w:tcPr>
            <w:tcW w:w="2378" w:type="dxa"/>
          </w:tcPr>
          <w:p>
            <w:pPr>
              <w:pStyle w:val="Compact"/>
              <w:spacing w:after="40"/>
              <w:jc w:val="left"/>
            </w:pPr>
            <w:r>
              <w:rPr>
                <w:sz w:val="18"/>
              </w:rPr>
              <w:t xml:space="preserve">3. Masters, configuration and product factory</w:t>
            </w:r>
          </w:p>
        </w:tc>
        <w:tc>
          <w:tcPr>
            <w:tcW w:w="4474" w:type="dxa"/>
          </w:tcPr>
          <w:p>
            <w:pPr>
              <w:pStyle w:val="Compact"/>
              <w:spacing w:after="40"/>
              <w:jc w:val="left"/>
            </w:pPr>
            <w:r>
              <w:rPr>
                <w:sz w:val="18"/>
              </w:rPr>
              <w:t xml:space="preserve">Org hierarchy, calendars, masters, product factory, charges, rule packs, workflow designer v1</w:t>
            </w:r>
          </w:p>
        </w:tc>
        <w:tc>
          <w:tcPr>
            <w:tcW w:w="2786" w:type="dxa"/>
          </w:tcPr>
          <w:p>
            <w:pPr>
              <w:pStyle w:val="Compact"/>
              <w:spacing w:after="40"/>
              <w:jc w:val="left"/>
            </w:pPr>
            <w:r>
              <w:rPr>
                <w:sz w:val="18"/>
              </w:rPr>
              <w:t xml:space="preserve">2</w:t>
            </w:r>
          </w:p>
        </w:tc>
      </w:tr>
      <w:tr>
        <w:tc>
          <w:tcPr>
            <w:tcW w:w="2378" w:type="dxa"/>
          </w:tcPr>
          <w:p>
            <w:pPr>
              <w:pStyle w:val="Compact"/>
              <w:spacing w:after="40"/>
              <w:jc w:val="left"/>
            </w:pPr>
            <w:r>
              <w:rPr>
                <w:sz w:val="18"/>
              </w:rPr>
              <w:t xml:space="preserve">3b. Communications foundation</w:t>
            </w:r>
          </w:p>
        </w:tc>
        <w:tc>
          <w:tcPr>
            <w:tcW w:w="4474" w:type="dxa"/>
          </w:tcPr>
          <w:p>
            <w:pPr>
              <w:pStyle w:val="Compact"/>
              <w:spacing w:after="40"/>
              <w:jc w:val="left"/>
            </w:pPr>
            <w:r>
              <w:rPr>
                <w:sz w:val="18"/>
              </w:rPr>
              <w:t xml:space="preserve">M18 templates, DLT/WhatsApp/email channels, consent and preference store, contact-policy engine skeleton</w:t>
            </w:r>
          </w:p>
        </w:tc>
        <w:tc>
          <w:tcPr>
            <w:tcW w:w="2786" w:type="dxa"/>
          </w:tcPr>
          <w:p>
            <w:pPr>
              <w:pStyle w:val="Compact"/>
              <w:spacing w:after="40"/>
              <w:jc w:val="left"/>
            </w:pPr>
            <w:r>
              <w:rPr>
                <w:sz w:val="18"/>
              </w:rPr>
              <w:t xml:space="preserve">2</w:t>
            </w:r>
          </w:p>
        </w:tc>
      </w:tr>
      <w:tr>
        <w:tc>
          <w:tcPr>
            <w:tcW w:w="2378" w:type="dxa"/>
          </w:tcPr>
          <w:p>
            <w:pPr>
              <w:pStyle w:val="Compact"/>
              <w:spacing w:after="40"/>
              <w:jc w:val="left"/>
            </w:pPr>
            <w:r>
              <w:rPr>
                <w:sz w:val="18"/>
              </w:rPr>
              <w:t xml:space="preserve">4. Ledger and accounting core</w:t>
            </w:r>
          </w:p>
        </w:tc>
        <w:tc>
          <w:tcPr>
            <w:tcW w:w="4474" w:type="dxa"/>
          </w:tcPr>
          <w:p>
            <w:pPr>
              <w:pStyle w:val="Compact"/>
              <w:spacing w:after="40"/>
              <w:jc w:val="left"/>
            </w:pPr>
            <w:r>
              <w:rPr>
                <w:sz w:val="18"/>
              </w:rPr>
              <w:t xml:space="preserve">CoA, journal engine, posting rules (including Ind AS deferred-fee postings), period close, trial balance —</w:t>
            </w:r>
            <w:r>
              <w:rPr>
                <w:sz w:val="18"/>
              </w:rPr>
              <w:t xml:space="preserve"> </w:t>
            </w:r>
            <w:r>
              <w:rPr>
                <w:bCs/>
                <w:b/>
                <w:sz w:val="18"/>
              </w:rPr>
              <w:t xml:space="preserve">before</w:t>
            </w:r>
            <w:r>
              <w:rPr>
                <w:sz w:val="18"/>
              </w:rPr>
              <w:t xml:space="preserve"> </w:t>
            </w:r>
            <w:r>
              <w:rPr>
                <w:sz w:val="18"/>
              </w:rPr>
              <w:t xml:space="preserve">any loan money moves</w:t>
            </w:r>
          </w:p>
        </w:tc>
        <w:tc>
          <w:tcPr>
            <w:tcW w:w="2786" w:type="dxa"/>
          </w:tcPr>
          <w:p>
            <w:pPr>
              <w:pStyle w:val="Compact"/>
              <w:spacing w:after="40"/>
              <w:jc w:val="left"/>
            </w:pPr>
            <w:r>
              <w:rPr>
                <w:sz w:val="18"/>
              </w:rPr>
              <w:t xml:space="preserve">2</w:t>
            </w:r>
          </w:p>
        </w:tc>
      </w:tr>
      <w:tr>
        <w:tc>
          <w:tcPr>
            <w:tcW w:w="2378" w:type="dxa"/>
          </w:tcPr>
          <w:p>
            <w:pPr>
              <w:pStyle w:val="Compact"/>
              <w:spacing w:after="40"/>
              <w:jc w:val="left"/>
            </w:pPr>
            <w:r>
              <w:rPr>
                <w:sz w:val="18"/>
              </w:rPr>
              <w:t xml:space="preserve">5. Schedule and allocation engine</w:t>
            </w:r>
          </w:p>
        </w:tc>
        <w:tc>
          <w:tcPr>
            <w:tcW w:w="4474" w:type="dxa"/>
          </w:tcPr>
          <w:p>
            <w:pPr>
              <w:pStyle w:val="Compact"/>
              <w:spacing w:after="40"/>
              <w:jc w:val="left"/>
            </w:pPr>
            <w:r>
              <w:rPr>
                <w:sz w:val="18"/>
              </w:rPr>
              <w:t xml:space="preserve">Fineract-equivalent schedules and allocation strategies, replay, Fineract oracle fixtures, golden cases</w:t>
            </w:r>
          </w:p>
        </w:tc>
        <w:tc>
          <w:tcPr>
            <w:tcW w:w="2786" w:type="dxa"/>
          </w:tcPr>
          <w:p>
            <w:pPr>
              <w:pStyle w:val="Compact"/>
              <w:spacing w:after="40"/>
              <w:jc w:val="left"/>
            </w:pPr>
            <w:r>
              <w:rPr>
                <w:sz w:val="18"/>
              </w:rPr>
              <w:t xml:space="preserve">3, 4</w:t>
            </w:r>
          </w:p>
        </w:tc>
      </w:tr>
      <w:tr>
        <w:tc>
          <w:tcPr>
            <w:tcW w:w="2378" w:type="dxa"/>
          </w:tcPr>
          <w:p>
            <w:pPr>
              <w:pStyle w:val="Compact"/>
              <w:spacing w:after="40"/>
              <w:jc w:val="left"/>
            </w:pPr>
            <w:r>
              <w:rPr>
                <w:sz w:val="18"/>
              </w:rPr>
              <w:t xml:space="preserve">6. Customer, KYC and consent</w:t>
            </w:r>
          </w:p>
        </w:tc>
        <w:tc>
          <w:tcPr>
            <w:tcW w:w="4474" w:type="dxa"/>
          </w:tcPr>
          <w:p>
            <w:pPr>
              <w:pStyle w:val="Compact"/>
              <w:spacing w:after="40"/>
              <w:jc w:val="left"/>
            </w:pPr>
            <w:r>
              <w:rPr>
                <w:sz w:val="18"/>
              </w:rPr>
              <w:t xml:space="preserve">CIF, de-dupe, KYC adapters (mock → Surepass sandbox), consent ledger, AML screening</w:t>
            </w:r>
          </w:p>
        </w:tc>
        <w:tc>
          <w:tcPr>
            <w:tcW w:w="2786" w:type="dxa"/>
          </w:tcPr>
          <w:p>
            <w:pPr>
              <w:pStyle w:val="Compact"/>
              <w:spacing w:after="40"/>
              <w:jc w:val="left"/>
            </w:pPr>
            <w:r>
              <w:rPr>
                <w:sz w:val="18"/>
              </w:rPr>
              <w:t xml:space="preserve">2</w:t>
            </w:r>
          </w:p>
        </w:tc>
      </w:tr>
      <w:tr>
        <w:tc>
          <w:tcPr>
            <w:tcW w:w="2378" w:type="dxa"/>
          </w:tcPr>
          <w:p>
            <w:pPr>
              <w:pStyle w:val="Compact"/>
              <w:spacing w:after="40"/>
              <w:jc w:val="left"/>
            </w:pPr>
            <w:r>
              <w:rPr>
                <w:sz w:val="18"/>
              </w:rPr>
              <w:t xml:space="preserve">7. Origination (LOS)</w:t>
            </w:r>
          </w:p>
        </w:tc>
        <w:tc>
          <w:tcPr>
            <w:tcW w:w="4474" w:type="dxa"/>
          </w:tcPr>
          <w:p>
            <w:pPr>
              <w:pStyle w:val="Compact"/>
              <w:spacing w:after="40"/>
              <w:jc w:val="left"/>
            </w:pPr>
            <w:r>
              <w:rPr>
                <w:sz w:val="18"/>
              </w:rPr>
              <w:t xml:space="preserve">Leads, applications, bureau/AA, BRE, verifications, deviations/DoA, CAM, sanction, KFS</w:t>
            </w:r>
          </w:p>
        </w:tc>
        <w:tc>
          <w:tcPr>
            <w:tcW w:w="2786" w:type="dxa"/>
          </w:tcPr>
          <w:p>
            <w:pPr>
              <w:pStyle w:val="Compact"/>
              <w:spacing w:after="40"/>
              <w:jc w:val="left"/>
            </w:pPr>
            <w:r>
              <w:rPr>
                <w:sz w:val="18"/>
              </w:rPr>
              <w:t xml:space="preserve">3b, 5, 6</w:t>
            </w:r>
          </w:p>
        </w:tc>
      </w:tr>
      <w:tr>
        <w:tc>
          <w:tcPr>
            <w:tcW w:w="2378" w:type="dxa"/>
          </w:tcPr>
          <w:p>
            <w:pPr>
              <w:pStyle w:val="Compact"/>
              <w:spacing w:after="40"/>
              <w:jc w:val="left"/>
            </w:pPr>
            <w:r>
              <w:rPr>
                <w:sz w:val="18"/>
              </w:rPr>
              <w:t xml:space="preserve">8. Documentation, eSign/eStamp, DMS, disbursement</w:t>
            </w:r>
          </w:p>
        </w:tc>
        <w:tc>
          <w:tcPr>
            <w:tcW w:w="4474" w:type="dxa"/>
          </w:tcPr>
          <w:p>
            <w:pPr>
              <w:pStyle w:val="Compact"/>
              <w:spacing w:after="40"/>
              <w:jc w:val="left"/>
            </w:pPr>
            <w:r>
              <w:rPr>
                <w:sz w:val="18"/>
              </w:rPr>
              <w:t xml:space="preserve">Templates, signing evidence, physical-execution path, OTC/PDD, mandate registration, payout, loan booking</w:t>
            </w:r>
          </w:p>
        </w:tc>
        <w:tc>
          <w:tcPr>
            <w:tcW w:w="2786" w:type="dxa"/>
          </w:tcPr>
          <w:p>
            <w:pPr>
              <w:pStyle w:val="Compact"/>
              <w:spacing w:after="40"/>
              <w:jc w:val="left"/>
            </w:pPr>
            <w:r>
              <w:rPr>
                <w:sz w:val="18"/>
              </w:rPr>
              <w:t xml:space="preserve">7</w:t>
            </w:r>
          </w:p>
        </w:tc>
      </w:tr>
      <w:tr>
        <w:tc>
          <w:tcPr>
            <w:tcW w:w="2378" w:type="dxa"/>
          </w:tcPr>
          <w:p>
            <w:pPr>
              <w:pStyle w:val="Compact"/>
              <w:spacing w:after="40"/>
              <w:jc w:val="left"/>
            </w:pPr>
            <w:r>
              <w:rPr>
                <w:sz w:val="18"/>
              </w:rPr>
              <w:t xml:space="preserve">8b. Field app foundation</w:t>
            </w:r>
          </w:p>
        </w:tc>
        <w:tc>
          <w:tcPr>
            <w:tcW w:w="4474" w:type="dxa"/>
          </w:tcPr>
          <w:p>
            <w:pPr>
              <w:pStyle w:val="Compact"/>
              <w:spacing w:after="40"/>
              <w:jc w:val="left"/>
            </w:pPr>
            <w:r>
              <w:rPr>
                <w:sz w:val="18"/>
              </w:rPr>
              <w:t xml:space="preserve">Expo app shell, offline sync, device binding, assisted KYC/document capture</w:t>
            </w:r>
          </w:p>
        </w:tc>
        <w:tc>
          <w:tcPr>
            <w:tcW w:w="2786" w:type="dxa"/>
          </w:tcPr>
          <w:p>
            <w:pPr>
              <w:pStyle w:val="Compact"/>
              <w:spacing w:after="40"/>
              <w:jc w:val="left"/>
            </w:pPr>
            <w:r>
              <w:rPr>
                <w:sz w:val="18"/>
              </w:rPr>
              <w:t xml:space="preserve">2, 6</w:t>
            </w:r>
          </w:p>
        </w:tc>
      </w:tr>
      <w:tr>
        <w:tc>
          <w:tcPr>
            <w:tcW w:w="2378" w:type="dxa"/>
          </w:tcPr>
          <w:p>
            <w:pPr>
              <w:pStyle w:val="Compact"/>
              <w:spacing w:after="40"/>
              <w:jc w:val="left"/>
            </w:pPr>
            <w:r>
              <w:rPr>
                <w:sz w:val="18"/>
              </w:rPr>
              <w:t xml:space="preserve">8c. Udofin / LSP inbound connector (minimal)</w:t>
            </w:r>
          </w:p>
        </w:tc>
        <w:tc>
          <w:tcPr>
            <w:tcW w:w="4474" w:type="dxa"/>
          </w:tcPr>
          <w:p>
            <w:pPr>
              <w:pStyle w:val="Compact"/>
              <w:spacing w:after="40"/>
              <w:jc w:val="left"/>
            </w:pPr>
            <w:r>
              <w:rPr>
                <w:sz w:val="18"/>
              </w:rPr>
              <w:t xml:space="preserve">LSP contract v1, application intake, status callbacks, signing-evidence intake, disbursement and repayment events</w:t>
            </w:r>
          </w:p>
        </w:tc>
        <w:tc>
          <w:tcPr>
            <w:tcW w:w="2786" w:type="dxa"/>
          </w:tcPr>
          <w:p>
            <w:pPr>
              <w:pStyle w:val="Compact"/>
              <w:spacing w:after="40"/>
              <w:jc w:val="left"/>
            </w:pPr>
            <w:r>
              <w:rPr>
                <w:sz w:val="18"/>
              </w:rPr>
              <w:t xml:space="preserve">7, 8</w:t>
            </w:r>
          </w:p>
        </w:tc>
      </w:tr>
      <w:tr>
        <w:tc>
          <w:tcPr>
            <w:tcW w:w="2378" w:type="dxa"/>
          </w:tcPr>
          <w:p>
            <w:pPr>
              <w:pStyle w:val="Compact"/>
              <w:spacing w:after="40"/>
              <w:jc w:val="left"/>
            </w:pPr>
            <w:r>
              <w:rPr>
                <w:sz w:val="18"/>
              </w:rPr>
              <w:t xml:space="preserve">9. Servicing (LMS) and COB</w:t>
            </w:r>
          </w:p>
        </w:tc>
        <w:tc>
          <w:tcPr>
            <w:tcW w:w="4474" w:type="dxa"/>
          </w:tcPr>
          <w:p>
            <w:pPr>
              <w:pStyle w:val="Compact"/>
              <w:spacing w:after="40"/>
              <w:jc w:val="left"/>
            </w:pPr>
            <w:r>
              <w:rPr>
                <w:sz w:val="18"/>
              </w:rPr>
              <w:t xml:space="preserve">Accruals, EIR amortisation stub, repayments, prepayment/foreclosure, resets, restructuring, service requests, COB with classification</w:t>
            </w:r>
          </w:p>
        </w:tc>
        <w:tc>
          <w:tcPr>
            <w:tcW w:w="2786" w:type="dxa"/>
          </w:tcPr>
          <w:p>
            <w:pPr>
              <w:pStyle w:val="Compact"/>
              <w:spacing w:after="40"/>
              <w:jc w:val="left"/>
            </w:pPr>
            <w:r>
              <w:rPr>
                <w:sz w:val="18"/>
              </w:rPr>
              <w:t xml:space="preserve">5, 8</w:t>
            </w:r>
          </w:p>
        </w:tc>
      </w:tr>
      <w:tr>
        <w:tc>
          <w:tcPr>
            <w:tcW w:w="2378" w:type="dxa"/>
          </w:tcPr>
          <w:p>
            <w:pPr>
              <w:pStyle w:val="Compact"/>
              <w:spacing w:after="40"/>
              <w:jc w:val="left"/>
            </w:pPr>
            <w:r>
              <w:rPr>
                <w:sz w:val="18"/>
              </w:rPr>
              <w:t xml:space="preserve">10. Payments and reconciliation</w:t>
            </w:r>
          </w:p>
        </w:tc>
        <w:tc>
          <w:tcPr>
            <w:tcW w:w="4474" w:type="dxa"/>
          </w:tcPr>
          <w:p>
            <w:pPr>
              <w:pStyle w:val="Compact"/>
              <w:spacing w:after="40"/>
              <w:jc w:val="left"/>
            </w:pPr>
            <w:r>
              <w:rPr>
                <w:sz w:val="18"/>
              </w:rPr>
              <w:t xml:space="preserve">eNACH/UPI AutoPay presentation, bounces, virtual accounts, BBPS, payment-gateway links, three-way reconciliation</w:t>
            </w:r>
          </w:p>
        </w:tc>
        <w:tc>
          <w:tcPr>
            <w:tcW w:w="2786" w:type="dxa"/>
          </w:tcPr>
          <w:p>
            <w:pPr>
              <w:pStyle w:val="Compact"/>
              <w:spacing w:after="40"/>
              <w:jc w:val="left"/>
            </w:pPr>
            <w:r>
              <w:rPr>
                <w:sz w:val="18"/>
              </w:rPr>
              <w:t xml:space="preserve">9</w:t>
            </w:r>
          </w:p>
        </w:tc>
      </w:tr>
      <w:tr>
        <w:tc>
          <w:tcPr>
            <w:tcW w:w="2378" w:type="dxa"/>
          </w:tcPr>
          <w:p>
            <w:pPr>
              <w:pStyle w:val="Compact"/>
              <w:spacing w:after="40"/>
              <w:jc w:val="left"/>
            </w:pPr>
            <w:r>
              <w:rPr>
                <w:sz w:val="18"/>
              </w:rPr>
              <w:t xml:space="preserve">11. Collections</w:t>
            </w:r>
          </w:p>
        </w:tc>
        <w:tc>
          <w:tcPr>
            <w:tcW w:w="4474" w:type="dxa"/>
          </w:tcPr>
          <w:p>
            <w:pPr>
              <w:pStyle w:val="Compact"/>
              <w:spacing w:after="40"/>
              <w:jc w:val="left"/>
            </w:pPr>
            <w:r>
              <w:rPr>
                <w:sz w:val="18"/>
              </w:rPr>
              <w:t xml:space="preserve">Strategies, allocation, telecalling, field collections, agencies, contact-policy engine, call recording</w:t>
            </w:r>
          </w:p>
        </w:tc>
        <w:tc>
          <w:tcPr>
            <w:tcW w:w="2786" w:type="dxa"/>
          </w:tcPr>
          <w:p>
            <w:pPr>
              <w:pStyle w:val="Compact"/>
              <w:spacing w:after="40"/>
              <w:jc w:val="left"/>
            </w:pPr>
            <w:r>
              <w:rPr>
                <w:sz w:val="18"/>
              </w:rPr>
              <w:t xml:space="preserve">3b, 8b, 9, 10</w:t>
            </w:r>
          </w:p>
        </w:tc>
      </w:tr>
      <w:tr>
        <w:tc>
          <w:tcPr>
            <w:tcW w:w="2378" w:type="dxa"/>
          </w:tcPr>
          <w:p>
            <w:pPr>
              <w:pStyle w:val="Compact"/>
              <w:spacing w:after="40"/>
              <w:jc w:val="left"/>
            </w:pPr>
            <w:r>
              <w:rPr>
                <w:sz w:val="18"/>
              </w:rPr>
              <w:t xml:space="preserve">12. Recovery Suite core (attachable)</w:t>
            </w:r>
          </w:p>
        </w:tc>
        <w:tc>
          <w:tcPr>
            <w:tcW w:w="4474" w:type="dxa"/>
          </w:tcPr>
          <w:p>
            <w:pPr>
              <w:pStyle w:val="Compact"/>
              <w:spacing w:after="40"/>
              <w:jc w:val="left"/>
            </w:pPr>
            <w:r>
              <w:rPr>
                <w:sz w:val="18"/>
              </w:rPr>
              <w:t xml:space="preserve">Part 7A.0 attach/detach framework; R1 case and strategy engine with mechanism-selection and limitation engines; R2 pre-legal; R3 notices with dispatch and proof of service; R7 s.138 and s.25 PSS; R9 litigation tracker; R11 counsel and agencies; R12 recovery accounting; R14 registers and exports; R15 conduct controls; wilful defaulters; write-off</w:t>
            </w:r>
          </w:p>
        </w:tc>
        <w:tc>
          <w:tcPr>
            <w:tcW w:w="2786" w:type="dxa"/>
          </w:tcPr>
          <w:p>
            <w:pPr>
              <w:pStyle w:val="Compact"/>
              <w:spacing w:after="40"/>
              <w:jc w:val="left"/>
            </w:pPr>
            <w:r>
              <w:rPr>
                <w:sz w:val="18"/>
              </w:rPr>
              <w:t xml:space="preserve">4, 11</w:t>
            </w:r>
          </w:p>
        </w:tc>
      </w:tr>
      <w:tr>
        <w:tc>
          <w:tcPr>
            <w:tcW w:w="2378" w:type="dxa"/>
          </w:tcPr>
          <w:p>
            <w:pPr>
              <w:pStyle w:val="Compact"/>
              <w:spacing w:after="40"/>
              <w:jc w:val="left"/>
            </w:pPr>
            <w:r>
              <w:rPr>
                <w:sz w:val="18"/>
              </w:rPr>
              <w:t xml:space="preserve">12b. Settlement and ADR with Equator</w:t>
            </w:r>
          </w:p>
        </w:tc>
        <w:tc>
          <w:tcPr>
            <w:tcW w:w="4474" w:type="dxa"/>
          </w:tcPr>
          <w:p>
            <w:pPr>
              <w:pStyle w:val="Compact"/>
              <w:spacing w:after="40"/>
              <w:jc w:val="left"/>
            </w:pPr>
            <w:r>
              <w:rPr>
                <w:sz w:val="18"/>
              </w:rPr>
              <w:t xml:space="preserve">R8: compromise settlement, conciliation (s.73/74), mediation, arbitration via Equator or other providers, Lok Adalat; ADR and settlement events</w:t>
            </w:r>
          </w:p>
        </w:tc>
        <w:tc>
          <w:tcPr>
            <w:tcW w:w="2786" w:type="dxa"/>
          </w:tcPr>
          <w:p>
            <w:pPr>
              <w:pStyle w:val="Compact"/>
              <w:spacing w:after="40"/>
              <w:jc w:val="left"/>
            </w:pPr>
            <w:r>
              <w:rPr>
                <w:sz w:val="18"/>
              </w:rPr>
              <w:t xml:space="preserve">12</w:t>
            </w:r>
          </w:p>
        </w:tc>
      </w:tr>
      <w:tr>
        <w:tc>
          <w:tcPr>
            <w:tcW w:w="2378" w:type="dxa"/>
          </w:tcPr>
          <w:p>
            <w:pPr>
              <w:pStyle w:val="Compact"/>
              <w:spacing w:after="40"/>
              <w:jc w:val="left"/>
            </w:pPr>
            <w:r>
              <w:rPr>
                <w:sz w:val="18"/>
              </w:rPr>
              <w:t xml:space="preserve">13. Finance: Ind AS 109, IRACP, GST/TDS, borrowings, Tally/SAP</w:t>
            </w:r>
          </w:p>
        </w:tc>
        <w:tc>
          <w:tcPr>
            <w:tcW w:w="4474" w:type="dxa"/>
          </w:tcPr>
          <w:p>
            <w:pPr>
              <w:pStyle w:val="Compact"/>
              <w:spacing w:after="40"/>
              <w:jc w:val="left"/>
            </w:pPr>
            <w:r>
              <w:rPr>
                <w:sz w:val="18"/>
              </w:rPr>
              <w:t xml:space="preserve">EIR, ECL, provisioning, tax, liabilities, accounting integrations, financial statements (completed in Phase 13b)</w:t>
            </w:r>
          </w:p>
        </w:tc>
        <w:tc>
          <w:tcPr>
            <w:tcW w:w="2786" w:type="dxa"/>
          </w:tcPr>
          <w:p>
            <w:pPr>
              <w:pStyle w:val="Compact"/>
              <w:spacing w:after="40"/>
              <w:jc w:val="left"/>
            </w:pPr>
            <w:r>
              <w:rPr>
                <w:sz w:val="18"/>
              </w:rPr>
              <w:t xml:space="preserve">4, 9</w:t>
            </w:r>
          </w:p>
        </w:tc>
      </w:tr>
      <w:tr>
        <w:tc>
          <w:tcPr>
            <w:tcW w:w="2378" w:type="dxa"/>
          </w:tcPr>
          <w:p>
            <w:pPr>
              <w:pStyle w:val="Compact"/>
              <w:spacing w:after="40"/>
              <w:jc w:val="left"/>
            </w:pPr>
            <w:r>
              <w:rPr>
                <w:sz w:val="18"/>
              </w:rPr>
              <w:t xml:space="preserve">13b. Accounting frameworks, financial statements, tax and statutory audit trail</w:t>
            </w:r>
          </w:p>
        </w:tc>
        <w:tc>
          <w:tcPr>
            <w:tcW w:w="4474" w:type="dxa"/>
          </w:tcPr>
          <w:p>
            <w:pPr>
              <w:pStyle w:val="Compact"/>
              <w:spacing w:after="40"/>
              <w:jc w:val="left"/>
            </w:pPr>
            <w:r>
              <w:rPr>
                <w:sz w:val="18"/>
              </w:rPr>
              <w:t xml:space="preserve">Part 7C: AC1 framework applicability engine; STAT, PRUD, TAX and PARALLEL books; Impairment Reserve job; bank ECL; statements, disclosures, CARO and AOC-4 NBFC (Ind AS) payload; GST engine and return exports; Income-tax Act 2025 TDS, SFT data and borrower certificates; Tally local agent; Rule 11(g) audit trail, daily India books backup and retention schedule</w:t>
            </w:r>
          </w:p>
        </w:tc>
        <w:tc>
          <w:tcPr>
            <w:tcW w:w="2786" w:type="dxa"/>
          </w:tcPr>
          <w:p>
            <w:pPr>
              <w:pStyle w:val="Compact"/>
              <w:spacing w:after="40"/>
              <w:jc w:val="left"/>
            </w:pPr>
            <w:r>
              <w:rPr>
                <w:sz w:val="18"/>
              </w:rPr>
              <w:t xml:space="preserve">2, 4, 9, 13</w:t>
            </w:r>
          </w:p>
        </w:tc>
      </w:tr>
      <w:tr>
        <w:tc>
          <w:tcPr>
            <w:tcW w:w="2378" w:type="dxa"/>
          </w:tcPr>
          <w:p>
            <w:pPr>
              <w:pStyle w:val="Compact"/>
              <w:spacing w:after="40"/>
              <w:jc w:val="left"/>
            </w:pPr>
            <w:r>
              <w:rPr>
                <w:sz w:val="18"/>
              </w:rPr>
              <w:t xml:space="preserve">14. Regulatory reporting, risk and compliance</w:t>
            </w:r>
          </w:p>
        </w:tc>
        <w:tc>
          <w:tcPr>
            <w:tcW w:w="4474" w:type="dxa"/>
          </w:tcPr>
          <w:p>
            <w:pPr>
              <w:pStyle w:val="Compact"/>
              <w:spacing w:after="40"/>
              <w:jc w:val="left"/>
            </w:pPr>
            <w:r>
              <w:rPr>
                <w:sz w:val="18"/>
              </w:rPr>
              <w:t xml:space="preserve">Source engines and marts for returns, CIC files and risk (exposure, ALM and daily LCR, fraud, FIU-IND, AA store, ICAAP mart, model inventory), compliance module, LawDocsComply bridge; reporting layers built in 14b, 14c and 14d</w:t>
            </w:r>
          </w:p>
        </w:tc>
        <w:tc>
          <w:tcPr>
            <w:tcW w:w="2786" w:type="dxa"/>
          </w:tcPr>
          <w:p>
            <w:pPr>
              <w:pStyle w:val="Compact"/>
              <w:spacing w:after="40"/>
              <w:jc w:val="left"/>
            </w:pPr>
            <w:r>
              <w:rPr>
                <w:sz w:val="18"/>
              </w:rPr>
              <w:t xml:space="preserve">9, 13</w:t>
            </w:r>
          </w:p>
        </w:tc>
      </w:tr>
      <w:tr>
        <w:tc>
          <w:tcPr>
            <w:tcW w:w="2378" w:type="dxa"/>
          </w:tcPr>
          <w:p>
            <w:pPr>
              <w:pStyle w:val="Compact"/>
              <w:spacing w:after="40"/>
              <w:jc w:val="left"/>
            </w:pPr>
            <w:r>
              <w:rPr>
                <w:sz w:val="18"/>
              </w:rPr>
              <w:t xml:space="preserve">14b. RBI returns engine and supervisory portal workflows</w:t>
            </w:r>
          </w:p>
        </w:tc>
        <w:tc>
          <w:tcPr>
            <w:tcW w:w="4474" w:type="dxa"/>
          </w:tcPr>
          <w:p>
            <w:pPr>
              <w:pStyle w:val="Compact"/>
              <w:spacing w:after="40"/>
              <w:jc w:val="left"/>
            </w:pPr>
            <w:r>
              <w:rPr>
                <w:sz w:val="18"/>
              </w:rPr>
              <w:t xml:space="preserve">Part 7B RR1–RR5, RR8: return registry and CEL applicability engine; element dictionary and cell lineage; generation, validation rule packs, TB reconciliation and sign-off; guided CIMS, DAKSH, PRAVAAH, ENSURE, IFSCA, FIU-IND, CKYCR, CERSAI and SFT filing with acknowledgement capture; filing calendar, evidence vault and revisions; CRILC, DNBS09, LEF, WD/LD files and FMR</w:t>
            </w:r>
          </w:p>
        </w:tc>
        <w:tc>
          <w:tcPr>
            <w:tcW w:w="2786" w:type="dxa"/>
          </w:tcPr>
          <w:p>
            <w:pPr>
              <w:pStyle w:val="Compact"/>
              <w:spacing w:after="40"/>
              <w:jc w:val="left"/>
            </w:pPr>
            <w:r>
              <w:rPr>
                <w:sz w:val="18"/>
              </w:rPr>
              <w:t xml:space="preserve">13b, 14</w:t>
            </w:r>
          </w:p>
        </w:tc>
      </w:tr>
      <w:tr>
        <w:tc>
          <w:tcPr>
            <w:tcW w:w="2378" w:type="dxa"/>
          </w:tcPr>
          <w:p>
            <w:pPr>
              <w:pStyle w:val="Compact"/>
              <w:spacing w:after="40"/>
              <w:jc w:val="left"/>
            </w:pPr>
            <w:r>
              <w:rPr>
                <w:sz w:val="18"/>
              </w:rPr>
              <w:t xml:space="preserve">14c. Credit bureau submissions</w:t>
            </w:r>
          </w:p>
        </w:tc>
        <w:tc>
          <w:tcPr>
            <w:tcW w:w="4474" w:type="dxa"/>
          </w:tcPr>
          <w:p>
            <w:pPr>
              <w:pStyle w:val="Compact"/>
              <w:spacing w:after="40"/>
              <w:jc w:val="left"/>
            </w:pPr>
            <w:r>
              <w:rPr>
                <w:sz w:val="18"/>
              </w:rPr>
              <w:t xml:space="preserve">Part 7B RR6–RR7: UCRF Consumer v3.74, Commercial v3.10 and MFI v3.3.1 format packs; 9th, 16th, 23rd and month-end cadence from 1 Jul 2026; SFTP transmission with tenant-held keys; rejection repair, DQI and half-yearly review; borrower alerts; disputes with CIR para 35 compensation</w:t>
            </w:r>
          </w:p>
        </w:tc>
        <w:tc>
          <w:tcPr>
            <w:tcW w:w="2786" w:type="dxa"/>
          </w:tcPr>
          <w:p>
            <w:pPr>
              <w:pStyle w:val="Compact"/>
              <w:spacing w:after="40"/>
              <w:jc w:val="left"/>
            </w:pPr>
            <w:r>
              <w:rPr>
                <w:sz w:val="18"/>
              </w:rPr>
              <w:t xml:space="preserve">3b, 9, 14b</w:t>
            </w:r>
          </w:p>
        </w:tc>
      </w:tr>
      <w:tr>
        <w:tc>
          <w:tcPr>
            <w:tcW w:w="2378" w:type="dxa"/>
          </w:tcPr>
          <w:p>
            <w:pPr>
              <w:pStyle w:val="Compact"/>
              <w:spacing w:after="40"/>
              <w:jc w:val="left"/>
            </w:pPr>
            <w:r>
              <w:rPr>
                <w:sz w:val="18"/>
              </w:rPr>
              <w:t xml:space="preserve">14d. Risk management, capital adequacy, ICAAP and leadership dashboards</w:t>
            </w:r>
          </w:p>
        </w:tc>
        <w:tc>
          <w:tcPr>
            <w:tcW w:w="4474" w:type="dxa"/>
          </w:tcPr>
          <w:p>
            <w:pPr>
              <w:pStyle w:val="Compact"/>
              <w:spacing w:after="40"/>
              <w:jc w:val="left"/>
            </w:pPr>
            <w:r>
              <w:rPr>
                <w:sz w:val="18"/>
              </w:rPr>
              <w:t xml:space="preserve">Part 7E: risk-governance resolver, CRO and RAS controls; risk register, KRIs, loss events, RCSA and the LawDocsComply risk feed; capital engine by profile; SLS, LCR and IRS limits; concentration and related-party limits; R1–R57 governed metric layer; ICAAP, stress testing and PCA monitor; 12 role dashboards and certified Board packs</w:t>
            </w:r>
          </w:p>
        </w:tc>
        <w:tc>
          <w:tcPr>
            <w:tcW w:w="2786" w:type="dxa"/>
          </w:tcPr>
          <w:p>
            <w:pPr>
              <w:pStyle w:val="Compact"/>
              <w:spacing w:after="40"/>
              <w:jc w:val="left"/>
            </w:pPr>
            <w:r>
              <w:rPr>
                <w:sz w:val="18"/>
              </w:rPr>
              <w:t xml:space="preserve">13b, 14, 14b</w:t>
            </w:r>
          </w:p>
        </w:tc>
      </w:tr>
      <w:tr>
        <w:tc>
          <w:tcPr>
            <w:tcW w:w="2378" w:type="dxa"/>
          </w:tcPr>
          <w:p>
            <w:pPr>
              <w:pStyle w:val="Compact"/>
              <w:spacing w:after="40"/>
              <w:jc w:val="left"/>
            </w:pPr>
            <w:r>
              <w:rPr>
                <w:sz w:val="18"/>
              </w:rPr>
              <w:t xml:space="preserve">15. Grievance, borrower portal and feedback</w:t>
            </w:r>
          </w:p>
        </w:tc>
        <w:tc>
          <w:tcPr>
            <w:tcW w:w="4474" w:type="dxa"/>
          </w:tcPr>
          <w:p>
            <w:pPr>
              <w:pStyle w:val="Compact"/>
              <w:spacing w:after="40"/>
              <w:jc w:val="left"/>
            </w:pPr>
            <w:r>
              <w:rPr>
                <w:sz w:val="18"/>
              </w:rPr>
              <w:t xml:space="preserve">Complaints, Internal Ombudsman, RB-IOS 2026, Equator referral (re-using the Phase 12b ODR adapter), borrower portal, feedback</w:t>
            </w:r>
          </w:p>
        </w:tc>
        <w:tc>
          <w:tcPr>
            <w:tcW w:w="2786" w:type="dxa"/>
          </w:tcPr>
          <w:p>
            <w:pPr>
              <w:pStyle w:val="Compact"/>
              <w:spacing w:after="40"/>
              <w:jc w:val="left"/>
            </w:pPr>
            <w:r>
              <w:rPr>
                <w:sz w:val="18"/>
              </w:rPr>
              <w:t xml:space="preserve">3b, 9, 12b</w:t>
            </w:r>
          </w:p>
        </w:tc>
      </w:tr>
      <w:tr>
        <w:tc>
          <w:tcPr>
            <w:tcW w:w="2378" w:type="dxa"/>
          </w:tcPr>
          <w:p>
            <w:pPr>
              <w:pStyle w:val="Compact"/>
              <w:spacing w:after="40"/>
              <w:jc w:val="left"/>
            </w:pPr>
            <w:r>
              <w:rPr>
                <w:sz w:val="18"/>
              </w:rPr>
              <w:t xml:space="preserve">15b. Data portability, archives and customer-controlled storage</w:t>
            </w:r>
          </w:p>
        </w:tc>
        <w:tc>
          <w:tcPr>
            <w:tcW w:w="4474" w:type="dxa"/>
          </w:tcPr>
          <w:p>
            <w:pPr>
              <w:pStyle w:val="Compact"/>
              <w:spacing w:after="40"/>
              <w:jc w:val="left"/>
            </w:pPr>
            <w:r>
              <w:rPr>
                <w:sz w:val="18"/>
              </w:rPr>
              <w:t xml:space="preserve">Part 7J: archive standard v1.0 with manifest, dictionary, README and offline verifier; scoped, scheduled, incremental and full exports; storage connectors with residency checks, BYOK and HYOK; customer-held backups and rehydration tests; exit state machine, purge certificate and partial exits</w:t>
            </w:r>
          </w:p>
        </w:tc>
        <w:tc>
          <w:tcPr>
            <w:tcW w:w="2786" w:type="dxa"/>
          </w:tcPr>
          <w:p>
            <w:pPr>
              <w:pStyle w:val="Compact"/>
              <w:spacing w:after="40"/>
              <w:jc w:val="left"/>
            </w:pPr>
            <w:r>
              <w:rPr>
                <w:sz w:val="18"/>
              </w:rPr>
              <w:t xml:space="preserve">12, 13b, 14b, 14c, 15</w:t>
            </w:r>
          </w:p>
        </w:tc>
      </w:tr>
      <w:tr>
        <w:tc>
          <w:tcPr>
            <w:tcW w:w="2378" w:type="dxa"/>
          </w:tcPr>
          <w:p>
            <w:pPr>
              <w:pStyle w:val="Compact"/>
              <w:spacing w:after="40"/>
              <w:jc w:val="left"/>
            </w:pPr>
            <w:r>
              <w:rPr>
                <w:bCs/>
                <w:b/>
                <w:sz w:val="18"/>
              </w:rPr>
              <w:t xml:space="preserve">P. MVP hardening and pilot go-live</w:t>
            </w:r>
          </w:p>
        </w:tc>
        <w:tc>
          <w:tcPr>
            <w:tcW w:w="4474" w:type="dxa"/>
          </w:tcPr>
          <w:p>
            <w:pPr>
              <w:pStyle w:val="Compact"/>
              <w:spacing w:after="40"/>
              <w:jc w:val="left"/>
            </w:pPr>
            <w:r>
              <w:rPr>
                <w:sz w:val="18"/>
              </w:rPr>
              <w:t xml:space="preserve">E2E, independent VAPT, COB load test, DR restore drill, India-region production cut-over for the two MVP products, with v1.5 pilot evidence (returns and bureau dry runs, Rule 11(g) pack, verified archive and rehydration, certified capital and liquidity runs)</w:t>
            </w:r>
          </w:p>
        </w:tc>
        <w:tc>
          <w:tcPr>
            <w:tcW w:w="2786" w:type="dxa"/>
          </w:tcPr>
          <w:p>
            <w:pPr>
              <w:pStyle w:val="Compact"/>
              <w:spacing w:after="40"/>
              <w:jc w:val="left"/>
            </w:pPr>
            <w:r>
              <w:rPr>
                <w:sz w:val="18"/>
              </w:rPr>
              <w:t xml:space="preserve">0–15, including 3b, 8b, 8c, 12b, 13b, 14b, 14c, 14d and 15b (Phases 14 and 14b only for the returns, and 14c only for the bureaus, that apply to the pilot)</w:t>
            </w:r>
          </w:p>
        </w:tc>
      </w:tr>
      <w:tr>
        <w:tc>
          <w:tcPr>
            <w:tcW w:w="2378" w:type="dxa"/>
          </w:tcPr>
          <w:p>
            <w:pPr>
              <w:pStyle w:val="Compact"/>
              <w:spacing w:after="40"/>
              <w:jc w:val="left"/>
            </w:pPr>
            <w:r>
              <w:rPr>
                <w:sz w:val="18"/>
              </w:rPr>
              <w:t xml:space="preserve">16. Partner connectors, co-lending, loan transfers and securitisation</w:t>
            </w:r>
          </w:p>
        </w:tc>
        <w:tc>
          <w:tcPr>
            <w:tcW w:w="4474" w:type="dxa"/>
          </w:tcPr>
          <w:p>
            <w:pPr>
              <w:pStyle w:val="Compact"/>
              <w:spacing w:after="40"/>
              <w:jc w:val="left"/>
            </w:pPr>
            <w:r>
              <w:rPr>
                <w:sz w:val="18"/>
              </w:rPr>
              <w:t xml:space="preserve">Full LSP framework, DLG ledger, co-lending/DA/securitisation engine, partner portals</w:t>
            </w:r>
          </w:p>
        </w:tc>
        <w:tc>
          <w:tcPr>
            <w:tcW w:w="2786" w:type="dxa"/>
          </w:tcPr>
          <w:p>
            <w:pPr>
              <w:pStyle w:val="Compact"/>
              <w:spacing w:after="40"/>
              <w:jc w:val="left"/>
            </w:pPr>
            <w:r>
              <w:rPr>
                <w:sz w:val="18"/>
              </w:rPr>
              <w:t xml:space="preserve">8c, 9, 10, 13, 14</w:t>
            </w:r>
          </w:p>
        </w:tc>
      </w:tr>
      <w:tr>
        <w:tc>
          <w:tcPr>
            <w:tcW w:w="2378" w:type="dxa"/>
          </w:tcPr>
          <w:p>
            <w:pPr>
              <w:pStyle w:val="Compact"/>
              <w:spacing w:after="40"/>
              <w:jc w:val="left"/>
            </w:pPr>
            <w:r>
              <w:rPr>
                <w:sz w:val="18"/>
              </w:rPr>
              <w:t xml:space="preserve">16b. Ecosystem integration hub v2</w:t>
            </w:r>
          </w:p>
        </w:tc>
        <w:tc>
          <w:tcPr>
            <w:tcW w:w="4474" w:type="dxa"/>
          </w:tcPr>
          <w:p>
            <w:pPr>
              <w:pStyle w:val="Compact"/>
              <w:spacing w:after="40"/>
              <w:jc w:val="left"/>
            </w:pPr>
            <w:r>
              <w:rPr>
                <w:sz w:val="18"/>
              </w:rPr>
              <w:t xml:space="preserve">Ecosystem Integration Specification implemented: Udofin for all products, Equator, LawDocsComply and third-party GRC (OSCAL), court data, e-auction, notice dispatch, agencies and diallers, third-party LOS/LMS; module registry; connector certification</w:t>
            </w:r>
          </w:p>
        </w:tc>
        <w:tc>
          <w:tcPr>
            <w:tcW w:w="2786" w:type="dxa"/>
          </w:tcPr>
          <w:p>
            <w:pPr>
              <w:pStyle w:val="Compact"/>
              <w:spacing w:after="40"/>
              <w:jc w:val="left"/>
            </w:pPr>
            <w:r>
              <w:rPr>
                <w:sz w:val="18"/>
              </w:rPr>
              <w:t xml:space="preserve">12b, 14, 16</w:t>
            </w:r>
          </w:p>
        </w:tc>
      </w:tr>
      <w:tr>
        <w:tc>
          <w:tcPr>
            <w:tcW w:w="2378" w:type="dxa"/>
          </w:tcPr>
          <w:p>
            <w:pPr>
              <w:pStyle w:val="Compact"/>
              <w:spacing w:after="40"/>
              <w:jc w:val="left"/>
            </w:pPr>
            <w:r>
              <w:rPr>
                <w:sz w:val="18"/>
              </w:rPr>
              <w:t xml:space="preserve">16c. Audit and assurance suite with auditor and supervisor workspaces</w:t>
            </w:r>
          </w:p>
        </w:tc>
        <w:tc>
          <w:tcPr>
            <w:tcW w:w="4474" w:type="dxa"/>
          </w:tcPr>
          <w:p>
            <w:pPr>
              <w:pStyle w:val="Compact"/>
              <w:spacing w:after="40"/>
              <w:jc w:val="left"/>
            </w:pPr>
            <w:r>
              <w:rPr>
                <w:sz w:val="18"/>
              </w:rPr>
              <w:t xml:space="preserve">Part 7D: audit universe, IAF risk assessment and RBIA plan; engagements, workpapers, reproducible sampling and hashed evidence; findings, ATRs, concurrent audit; IS audit, ITGC and VAPT tracker; statutory-audit eligibility, PBC, AUD checklists, DNBS10 and branch coverage; secretarial audit; time-bound read-only auditor and supervisor workspaces</w:t>
            </w:r>
          </w:p>
        </w:tc>
        <w:tc>
          <w:tcPr>
            <w:tcW w:w="2786" w:type="dxa"/>
          </w:tcPr>
          <w:p>
            <w:pPr>
              <w:pStyle w:val="Compact"/>
              <w:spacing w:after="40"/>
              <w:jc w:val="left"/>
            </w:pPr>
            <w:r>
              <w:rPr>
                <w:sz w:val="18"/>
              </w:rPr>
              <w:t xml:space="preserve">P, 13b, 14b, 14d, 15b</w:t>
            </w:r>
          </w:p>
        </w:tc>
      </w:tr>
      <w:tr>
        <w:tc>
          <w:tcPr>
            <w:tcW w:w="2378" w:type="dxa"/>
          </w:tcPr>
          <w:p>
            <w:pPr>
              <w:pStyle w:val="Compact"/>
              <w:spacing w:after="40"/>
              <w:jc w:val="left"/>
            </w:pPr>
            <w:r>
              <w:rPr>
                <w:sz w:val="18"/>
              </w:rPr>
              <w:t xml:space="preserve">16d. Corporate governance, listed-company compliance, client HRMS and workplace integration</w:t>
            </w:r>
          </w:p>
        </w:tc>
        <w:tc>
          <w:tcPr>
            <w:tcW w:w="4474" w:type="dxa"/>
          </w:tcPr>
          <w:p>
            <w:pPr>
              <w:pStyle w:val="Compact"/>
              <w:spacing w:after="40"/>
              <w:jc w:val="left"/>
            </w:pPr>
            <w:r>
              <w:rPr>
                <w:sz w:val="18"/>
              </w:rPr>
              <w:t xml:space="preserve">Part 7F: directors, KMPs and committees with the RBI change gate; Board and general meetings under SS-1 and SS-2; registers, MCA form engine and compliance calendar; LODR, PIT and ICDR packs and the restricted list; departments, DoA and tasks; optional Workforce HRMS and Labour Code payroll; Microsoft 365, Google Workspace and data-centre integration with residency guard-rails</w:t>
            </w:r>
          </w:p>
        </w:tc>
        <w:tc>
          <w:tcPr>
            <w:tcW w:w="2786" w:type="dxa"/>
          </w:tcPr>
          <w:p>
            <w:pPr>
              <w:pStyle w:val="Compact"/>
              <w:spacing w:after="40"/>
              <w:jc w:val="left"/>
            </w:pPr>
            <w:r>
              <w:rPr>
                <w:sz w:val="18"/>
              </w:rPr>
              <w:t xml:space="preserve">P, 3b, 13b, 14b, 14d, 15b; Labour Code rule pack 1.0 (Integration Spec 12.3) for GV6</w:t>
            </w:r>
          </w:p>
        </w:tc>
      </w:tr>
      <w:tr>
        <w:tc>
          <w:tcPr>
            <w:tcW w:w="2378" w:type="dxa"/>
          </w:tcPr>
          <w:p>
            <w:pPr>
              <w:pStyle w:val="Compact"/>
              <w:spacing w:after="40"/>
              <w:jc w:val="left"/>
            </w:pPr>
            <w:r>
              <w:rPr>
                <w:sz w:val="18"/>
              </w:rPr>
              <w:t xml:space="preserve">16e. Plans, entitlements, billing and payments</w:t>
            </w:r>
          </w:p>
        </w:tc>
        <w:tc>
          <w:tcPr>
            <w:tcW w:w="4474" w:type="dxa"/>
          </w:tcPr>
          <w:p>
            <w:pPr>
              <w:pStyle w:val="Compact"/>
              <w:spacing w:after="40"/>
              <w:jc w:val="left"/>
            </w:pPr>
            <w:r>
              <w:rPr>
                <w:sz w:val="18"/>
              </w:rPr>
              <w:t xml:space="preserve">Part 7K: signed catalogue consumption and server-side entitlements; regulatory-continuity guard-rail; billing, membership and settings pages with plain-language explainers; usage metering with aggregate-only UsageRecorded; Razorpay redirect payments and mandates via the Hub; dunning that ends in DP5 exit; switchable revenue streams with legality gate</w:t>
            </w:r>
          </w:p>
        </w:tc>
        <w:tc>
          <w:tcPr>
            <w:tcW w:w="2786" w:type="dxa"/>
          </w:tcPr>
          <w:p>
            <w:pPr>
              <w:pStyle w:val="Compact"/>
              <w:spacing w:after="40"/>
              <w:jc w:val="left"/>
            </w:pPr>
            <w:r>
              <w:rPr>
                <w:sz w:val="18"/>
              </w:rPr>
              <w:t xml:space="preserve">P, 12, 15b, 16b; Operations Hub phase O6</w:t>
            </w:r>
          </w:p>
        </w:tc>
      </w:tr>
      <w:tr>
        <w:tc>
          <w:tcPr>
            <w:tcW w:w="2378" w:type="dxa"/>
          </w:tcPr>
          <w:p>
            <w:pPr>
              <w:pStyle w:val="Compact"/>
              <w:spacing w:after="40"/>
              <w:jc w:val="left"/>
            </w:pPr>
            <w:r>
              <w:rPr>
                <w:sz w:val="18"/>
              </w:rPr>
              <w:t xml:space="preserve">17. Secured products expansion</w:t>
            </w:r>
          </w:p>
        </w:tc>
        <w:tc>
          <w:tcPr>
            <w:tcW w:w="4474" w:type="dxa"/>
          </w:tcPr>
          <w:p>
            <w:pPr>
              <w:pStyle w:val="Compact"/>
              <w:spacing w:after="40"/>
              <w:jc w:val="left"/>
            </w:pPr>
            <w:r>
              <w:rPr>
                <w:sz w:val="18"/>
              </w:rPr>
              <w:t xml:space="preserve">LAP/Home, Vehicle, Gold, LAS/LAMF templates (Part 6.3); collateral flows; LAS/LAMF margin engine (Part 6.4); gold custody, release and compensation (enforcement in Phase 17b)</w:t>
            </w:r>
          </w:p>
        </w:tc>
        <w:tc>
          <w:tcPr>
            <w:tcW w:w="2786" w:type="dxa"/>
          </w:tcPr>
          <w:p>
            <w:pPr>
              <w:pStyle w:val="Compact"/>
              <w:spacing w:after="40"/>
              <w:jc w:val="left"/>
            </w:pPr>
            <w:r>
              <w:rPr>
                <w:sz w:val="18"/>
              </w:rPr>
              <w:t xml:space="preserve">P, 12, 16b</w:t>
            </w:r>
          </w:p>
        </w:tc>
      </w:tr>
      <w:tr>
        <w:tc>
          <w:tcPr>
            <w:tcW w:w="2378" w:type="dxa"/>
          </w:tcPr>
          <w:p>
            <w:pPr>
              <w:pStyle w:val="Compact"/>
              <w:spacing w:after="40"/>
              <w:jc w:val="left"/>
            </w:pPr>
            <w:r>
              <w:rPr>
                <w:sz w:val="18"/>
              </w:rPr>
              <w:t xml:space="preserve">17b. Secured enforcement and shared-exposure recovery</w:t>
            </w:r>
          </w:p>
        </w:tc>
        <w:tc>
          <w:tcPr>
            <w:tcW w:w="4474" w:type="dxa"/>
          </w:tcPr>
          <w:p>
            <w:pPr>
              <w:pStyle w:val="Compact"/>
              <w:spacing w:after="40"/>
              <w:jc w:val="left"/>
            </w:pPr>
            <w:r>
              <w:rPr>
                <w:sz w:val="18"/>
              </w:rPr>
              <w:t xml:space="preserve">R4 SARFAESI, R5 civil and DRT where eligible, R6 IBC, R10 repossession and auction, R13 co-lending, transfer, securitisation, ARC and consortium recovery, R16 product playbooks</w:t>
            </w:r>
          </w:p>
        </w:tc>
        <w:tc>
          <w:tcPr>
            <w:tcW w:w="2786" w:type="dxa"/>
          </w:tcPr>
          <w:p>
            <w:pPr>
              <w:pStyle w:val="Compact"/>
              <w:spacing w:after="40"/>
              <w:jc w:val="left"/>
            </w:pPr>
            <w:r>
              <w:rPr>
                <w:sz w:val="18"/>
              </w:rPr>
              <w:t xml:space="preserve">16b, 17</w:t>
            </w:r>
          </w:p>
        </w:tc>
      </w:tr>
      <w:tr>
        <w:tc>
          <w:tcPr>
            <w:tcW w:w="2378" w:type="dxa"/>
          </w:tcPr>
          <w:p>
            <w:pPr>
              <w:pStyle w:val="Compact"/>
              <w:spacing w:after="40"/>
              <w:jc w:val="left"/>
            </w:pPr>
            <w:r>
              <w:rPr>
                <w:sz w:val="18"/>
              </w:rPr>
              <w:t xml:space="preserve">17c. Institution profiles I: credit co-operative societies, co-operative banks and microfinance</w:t>
            </w:r>
          </w:p>
        </w:tc>
        <w:tc>
          <w:tcPr>
            <w:tcW w:w="4474" w:type="dxa"/>
          </w:tcPr>
          <w:p>
            <w:pPr>
              <w:pStyle w:val="Compact"/>
              <w:spacing w:after="40"/>
              <w:jc w:val="left"/>
            </w:pPr>
            <w:r>
              <w:rPr>
                <w:sz w:val="18"/>
              </w:rPr>
              <w:t xml:space="preserve">Part 7G IP1–IP4: institution profile engine, layered rule packs and guard-rail registry; credit co-operative membership, share ledger, Deposit Ledger Adapter, COOP loan overlay, appropriation, Registrar returns and statutory disputes; UCB, StCB and DCCB packs; microfinance household affordability, MFIN pack, JLG and SHG lifecycles and centre cash reconciliation; member and group events for Udofin</w:t>
            </w:r>
          </w:p>
        </w:tc>
        <w:tc>
          <w:tcPr>
            <w:tcW w:w="2786" w:type="dxa"/>
          </w:tcPr>
          <w:p>
            <w:pPr>
              <w:pStyle w:val="Compact"/>
              <w:spacing w:after="40"/>
              <w:jc w:val="left"/>
            </w:pPr>
            <w:r>
              <w:rPr>
                <w:sz w:val="18"/>
              </w:rPr>
              <w:t xml:space="preserve">P, 8b, 13b, 14b, 14c, 14d, 16b</w:t>
            </w:r>
          </w:p>
        </w:tc>
      </w:tr>
      <w:tr>
        <w:tc>
          <w:tcPr>
            <w:tcW w:w="2378" w:type="dxa"/>
          </w:tcPr>
          <w:p>
            <w:pPr>
              <w:pStyle w:val="Compact"/>
              <w:spacing w:after="40"/>
              <w:jc w:val="left"/>
            </w:pPr>
            <w:r>
              <w:rPr>
                <w:sz w:val="18"/>
              </w:rPr>
              <w:t xml:space="preserve">17d. Institution profiles II and investments: ARCs, IFSC entities, investment module and securitisation servicing</w:t>
            </w:r>
          </w:p>
        </w:tc>
        <w:tc>
          <w:tcPr>
            <w:tcW w:w="4474" w:type="dxa"/>
          </w:tcPr>
          <w:p>
            <w:pPr>
              <w:pStyle w:val="Compact"/>
              <w:spacing w:after="40"/>
              <w:jc w:val="left"/>
            </w:pPr>
            <w:r>
              <w:rPr>
                <w:sz w:val="18"/>
              </w:rPr>
              <w:t xml:space="preserve">Part 7G IP5–IP6 and Part 7H: ARC trusts, SR register, NAV and settlement routing; NBFC stressed-asset limits; IFSC USD tenant and activity whitelist; instrument and issuer masters, licensed market data, order capture without execution, demat and corporate actions, IPOs, AIF, REIT, InvIT and SR holdings, Ind AS and AS valuation, limits and CIC tests; securitisation servicing, trust ledger, waterfall, replenishment and partner validators</w:t>
            </w:r>
          </w:p>
        </w:tc>
        <w:tc>
          <w:tcPr>
            <w:tcW w:w="2786" w:type="dxa"/>
          </w:tcPr>
          <w:p>
            <w:pPr>
              <w:pStyle w:val="Compact"/>
              <w:spacing w:after="40"/>
              <w:jc w:val="left"/>
            </w:pPr>
            <w:r>
              <w:rPr>
                <w:sz w:val="18"/>
              </w:rPr>
              <w:t xml:space="preserve">16, 16d, 17b, 17c</w:t>
            </w:r>
          </w:p>
        </w:tc>
      </w:tr>
      <w:tr>
        <w:tc>
          <w:tcPr>
            <w:tcW w:w="2378" w:type="dxa"/>
          </w:tcPr>
          <w:p>
            <w:pPr>
              <w:pStyle w:val="Compact"/>
              <w:spacing w:after="40"/>
              <w:jc w:val="left"/>
            </w:pPr>
            <w:r>
              <w:rPr>
                <w:sz w:val="18"/>
              </w:rPr>
              <w:t xml:space="preserve">18. Analytics, AI layer and MCP</w:t>
            </w:r>
          </w:p>
        </w:tc>
        <w:tc>
          <w:tcPr>
            <w:tcW w:w="4474" w:type="dxa"/>
          </w:tcPr>
          <w:p>
            <w:pPr>
              <w:pStyle w:val="Compact"/>
              <w:spacing w:after="40"/>
              <w:jc w:val="left"/>
            </w:pPr>
            <w:r>
              <w:rPr>
                <w:sz w:val="18"/>
              </w:rPr>
              <w:t xml:space="preserve">MIS catalogue, BI embedding, governed AI copilots, read-only MCP server</w:t>
            </w:r>
          </w:p>
        </w:tc>
        <w:tc>
          <w:tcPr>
            <w:tcW w:w="2786" w:type="dxa"/>
          </w:tcPr>
          <w:p>
            <w:pPr>
              <w:pStyle w:val="Compact"/>
              <w:spacing w:after="40"/>
              <w:jc w:val="left"/>
            </w:pPr>
            <w:r>
              <w:rPr>
                <w:sz w:val="18"/>
              </w:rPr>
              <w:t xml:space="preserve">P</w:t>
            </w:r>
          </w:p>
        </w:tc>
      </w:tr>
      <w:tr>
        <w:tc>
          <w:tcPr>
            <w:tcW w:w="2378" w:type="dxa"/>
          </w:tcPr>
          <w:p>
            <w:pPr>
              <w:pStyle w:val="Compact"/>
              <w:spacing w:after="40"/>
              <w:jc w:val="left"/>
            </w:pPr>
            <w:r>
              <w:rPr>
                <w:sz w:val="18"/>
              </w:rPr>
              <w:t xml:space="preserve">18b. Voice, AI contact-centre and Jio adapters</w:t>
            </w:r>
          </w:p>
        </w:tc>
        <w:tc>
          <w:tcPr>
            <w:tcW w:w="4474" w:type="dxa"/>
          </w:tcPr>
          <w:p>
            <w:pPr>
              <w:pStyle w:val="Compact"/>
              <w:spacing w:after="40"/>
              <w:jc w:val="left"/>
            </w:pPr>
            <w:r>
              <w:rPr>
                <w:sz w:val="18"/>
              </w:rPr>
              <w:t xml:space="preserve">Part 7L EO6: provider-neutral messaging, voice, speech and LLM interfaces; JioCX stub adapter with certification; 1600-series, 140-series, consent and time-window checks; governed AI contact-centre assistant with human handover; India residency gate; pass-through metering</w:t>
            </w:r>
          </w:p>
        </w:tc>
        <w:tc>
          <w:tcPr>
            <w:tcW w:w="2786" w:type="dxa"/>
          </w:tcPr>
          <w:p>
            <w:pPr>
              <w:pStyle w:val="Compact"/>
              <w:spacing w:after="40"/>
              <w:jc w:val="left"/>
            </w:pPr>
            <w:r>
              <w:rPr>
                <w:sz w:val="18"/>
              </w:rPr>
              <w:t xml:space="preserve">3b, 11, 12, 15, 16b, 16e, 18</w:t>
            </w:r>
          </w:p>
        </w:tc>
      </w:tr>
      <w:tr>
        <w:tc>
          <w:tcPr>
            <w:tcW w:w="2378" w:type="dxa"/>
          </w:tcPr>
          <w:p>
            <w:pPr>
              <w:pStyle w:val="Compact"/>
              <w:spacing w:after="40"/>
              <w:jc w:val="left"/>
            </w:pPr>
            <w:r>
              <w:rPr>
                <w:sz w:val="18"/>
              </w:rPr>
              <w:t xml:space="preserve">19. Migration tooling</w:t>
            </w:r>
          </w:p>
        </w:tc>
        <w:tc>
          <w:tcPr>
            <w:tcW w:w="4474" w:type="dxa"/>
          </w:tcPr>
          <w:p>
            <w:pPr>
              <w:pStyle w:val="Compact"/>
              <w:spacing w:after="40"/>
              <w:jc w:val="left"/>
            </w:pPr>
            <w:r>
              <w:rPr>
                <w:sz w:val="18"/>
              </w:rPr>
              <w:t xml:space="preserve">Legacy loan boarding and reconciliation sign-off; opening balances by book, legacy bureau and return history, member, share and group registers, investment positions and archive import (Part 7J DP4 importer)</w:t>
            </w:r>
          </w:p>
        </w:tc>
        <w:tc>
          <w:tcPr>
            <w:tcW w:w="2786" w:type="dxa"/>
          </w:tcPr>
          <w:p>
            <w:pPr>
              <w:pStyle w:val="Compact"/>
              <w:spacing w:after="40"/>
              <w:jc w:val="left"/>
            </w:pPr>
            <w:r>
              <w:rPr>
                <w:sz w:val="18"/>
              </w:rPr>
              <w:t xml:space="preserve">9, 13, 13b, 14b, 14c, 15b; 17c and 17d for co-operative, microfinance, ARC and investment tenants</w:t>
            </w:r>
          </w:p>
        </w:tc>
      </w:tr>
      <w:tr>
        <w:tc>
          <w:tcPr>
            <w:tcW w:w="2378" w:type="dxa"/>
          </w:tcPr>
          <w:p>
            <w:pPr>
              <w:pStyle w:val="Compact"/>
              <w:spacing w:after="40"/>
              <w:jc w:val="left"/>
            </w:pPr>
            <w:r>
              <w:rPr>
                <w:sz w:val="18"/>
              </w:rPr>
              <w:t xml:space="preserve">20. Scale hardening and AWS migration</w:t>
            </w:r>
          </w:p>
        </w:tc>
        <w:tc>
          <w:tcPr>
            <w:tcW w:w="4474" w:type="dxa"/>
          </w:tcPr>
          <w:p>
            <w:pPr>
              <w:pStyle w:val="Compact"/>
              <w:spacing w:after="40"/>
              <w:jc w:val="left"/>
            </w:pPr>
            <w:r>
              <w:rPr>
                <w:sz w:val="18"/>
              </w:rPr>
              <w:t xml:space="preserve">Multi-tenant scale tests, AWS ap-south-1 / ap-south-2 migration, DR at scale, performance tuning</w:t>
            </w:r>
          </w:p>
        </w:tc>
        <w:tc>
          <w:tcPr>
            <w:tcW w:w="2786" w:type="dxa"/>
          </w:tcPr>
          <w:p>
            <w:pPr>
              <w:pStyle w:val="Compact"/>
              <w:spacing w:after="40"/>
              <w:jc w:val="left"/>
            </w:pPr>
            <w:r>
              <w:rPr>
                <w:sz w:val="18"/>
              </w:rPr>
              <w:t xml:space="preserve">P, 16–19 (including 16b–16e, 17b–17d and 18b)</w:t>
            </w:r>
          </w:p>
        </w:tc>
      </w:tr>
      <w:tr>
        <w:tc>
          <w:tcPr>
            <w:tcW w:w="2378" w:type="dxa"/>
          </w:tcPr>
          <w:p>
            <w:pPr>
              <w:pStyle w:val="Compact"/>
              <w:spacing w:after="40"/>
              <w:jc w:val="left"/>
            </w:pPr>
            <w:r>
              <w:rPr>
                <w:sz w:val="18"/>
              </w:rPr>
              <w:t xml:space="preserve">20b. Engineering operations evidence and certification readiness</w:t>
            </w:r>
          </w:p>
        </w:tc>
        <w:tc>
          <w:tcPr>
            <w:tcW w:w="4474" w:type="dxa"/>
          </w:tcPr>
          <w:p>
            <w:pPr>
              <w:pStyle w:val="Compact"/>
              <w:spacing w:after="40"/>
              <w:jc w:val="left"/>
            </w:pPr>
            <w:r>
              <w:rPr>
                <w:sz w:val="18"/>
              </w:rPr>
              <w:t xml:space="preserve">Part 7L EO1–EO5: release rulesets, freeze windows and patch SLAs; change classes and CAB; CYB para 106 certificates and escrow; backup, restore, DR and ransomware drills; VAPT programme and tenant audit-evidence packs; common control framework, evidence collectors and claims gate; certification roadmap</w:t>
            </w:r>
          </w:p>
        </w:tc>
        <w:tc>
          <w:tcPr>
            <w:tcW w:w="2786" w:type="dxa"/>
          </w:tcPr>
          <w:p>
            <w:pPr>
              <w:pStyle w:val="Compact"/>
              <w:spacing w:after="40"/>
              <w:jc w:val="left"/>
            </w:pPr>
            <w:r>
              <w:rPr>
                <w:sz w:val="18"/>
              </w:rPr>
              <w:t xml:space="preserve">1, 15b, 16c, 20; Operations Hub phase O12</w:t>
            </w:r>
          </w:p>
        </w:tc>
      </w:tr>
    </w:tbl>
    <w:bookmarkStart w:id="847" w:name="X9c0ddc9339227ee95af308bbf94e6e6f57e199a"/>
    <w:p>
      <w:pPr>
        <w:pStyle w:val="Heading3"/>
      </w:pPr>
      <w:r>
        <w:t xml:space="preserve">Phase 0 — Repository audit and architecture</w:t>
      </w:r>
    </w:p>
    <w:p>
      <w:pPr>
        <w:pStyle w:val="BlockText"/>
      </w:pPr>
      <w:r>
        <w:rPr>
          <w:bCs/>
          <w:b/>
        </w:rPr>
        <w:t xml:space="preserve">Instruction to Claude:</w:t>
      </w:r>
      <w:r>
        <w:t xml:space="preserve"> </w:t>
      </w:r>
      <w:r>
        <w:t xml:space="preserve">“Read docs/00-master-prompt.md in full (Parts 1–13 including Parts 7A–7L, Appendices A–G and Sources) and docs/ecosystem/infrabyx-integration-spec.md, the canonical ecosystem contract. Inspect the connected repository, branch, files, Git status and tooling, and report them. Do not write application code and do not modify the repository yet. Produce:</w:t>
      </w:r>
    </w:p>
    <w:p>
      <w:pPr>
        <w:numPr>
          <w:ilvl w:val="0"/>
          <w:numId w:val="2067"/>
        </w:numPr>
        <w:pStyle w:val="Compact"/>
      </w:pPr>
      <w:r>
        <w:t xml:space="preserve">An audit of the</w:t>
      </w:r>
      <w:r>
        <w:t xml:space="preserve"> </w:t>
      </w:r>
      <w:r>
        <w:rPr>
          <w:bCs/>
          <w:b/>
        </w:rPr>
        <w:t xml:space="preserve">current Finbyx product and website</w:t>
      </w:r>
      <w:r>
        <w:t xml:space="preserve">: features, data model, known defects and loopholes, and the customers or data that will need migration.</w:t>
      </w:r>
    </w:p>
    <w:p>
      <w:pPr>
        <w:numPr>
          <w:ilvl w:val="0"/>
          <w:numId w:val="2067"/>
        </w:numPr>
        <w:pStyle w:val="Compact"/>
      </w:pPr>
      <w:r>
        <w:t xml:space="preserve">The architecture proposal: system context, the modular-monolith module map with data ownership, and the tenancy and authorisation strategy (API + service + enforced RLS).</w:t>
      </w:r>
    </w:p>
    <w:p>
      <w:pPr>
        <w:numPr>
          <w:ilvl w:val="0"/>
          <w:numId w:val="2067"/>
        </w:numPr>
        <w:pStyle w:val="Compact"/>
      </w:pPr>
      <w:r>
        <w:t xml:space="preserve">The Apache Fineract adoption ADR, comparing headless Fineract, a TypeScript re-implementation, and a hybrid with Fineract as test oracle. Give a recommendation and the licence approach.</w:t>
      </w:r>
    </w:p>
    <w:p>
      <w:pPr>
        <w:numPr>
          <w:ilvl w:val="0"/>
          <w:numId w:val="2067"/>
        </w:numPr>
        <w:pStyle w:val="Compact"/>
      </w:pPr>
      <w:r>
        <w:t xml:space="preserve">Technology ADRs, after checking the current stable version and licence of each proposed tool. Include an</w:t>
      </w:r>
      <w:r>
        <w:t xml:space="preserve"> </w:t>
      </w:r>
      <w:r>
        <w:rPr>
          <w:bCs/>
          <w:b/>
        </w:rPr>
        <w:t xml:space="preserve">India data-residency check for every hosting and SaaS sub-processor</w:t>
      </w:r>
      <w:r>
        <w:t xml:space="preserve">.</w:t>
      </w:r>
    </w:p>
    <w:p>
      <w:pPr>
        <w:numPr>
          <w:ilvl w:val="0"/>
          <w:numId w:val="2067"/>
        </w:numPr>
        <w:pStyle w:val="Compact"/>
      </w:pPr>
      <w:r>
        <w:t xml:space="preserve">The proposed repository structure, using Appendix C as the starting point.</w:t>
      </w:r>
    </w:p>
    <w:p>
      <w:pPr>
        <w:numPr>
          <w:ilvl w:val="0"/>
          <w:numId w:val="2067"/>
        </w:numPr>
        <w:pStyle w:val="Compact"/>
      </w:pPr>
      <w:r>
        <w:t xml:space="preserve">The initial entity model, using Appendix D.</w:t>
      </w:r>
    </w:p>
    <w:p>
      <w:pPr>
        <w:numPr>
          <w:ilvl w:val="0"/>
          <w:numId w:val="2067"/>
        </w:numPr>
        <w:pStyle w:val="Compact"/>
      </w:pPr>
      <w:r>
        <w:t xml:space="preserve">API boundaries and the outline of the Udofin/LSP integration contract, taken from the Ecosystem Integration Specification (canonical event names; anything missing goes to its proposal process, Integration Spec Part 14.2).</w:t>
      </w:r>
    </w:p>
    <w:p>
      <w:pPr>
        <w:numPr>
          <w:ilvl w:val="0"/>
          <w:numId w:val="2067"/>
        </w:numPr>
        <w:pStyle w:val="Compact"/>
      </w:pPr>
      <w:r>
        <w:t xml:space="preserve">Regulatory register v1:</w:t>
      </w:r>
    </w:p>
    <w:p>
      <w:pPr>
        <w:numPr>
          <w:ilvl w:val="1"/>
          <w:numId w:val="2068"/>
        </w:numPr>
        <w:pStyle w:val="Compact"/>
      </w:pPr>
      <w:r>
        <w:t xml:space="preserve">load every Part 8A requirement with its REQ-ID (these paragraphs are already verified against the official texts in docs/regulations/rbi/);</w:t>
      </w:r>
    </w:p>
    <w:p>
      <w:pPr>
        <w:numPr>
          <w:ilvl w:val="1"/>
          <w:numId w:val="2068"/>
        </w:numPr>
        <w:pStyle w:val="Compact"/>
      </w:pPr>
      <w:r>
        <w:t xml:space="preserve">confirm that every other instrument in Part 8.2 exists, with its title, number, date and current status;</w:t>
      </w:r>
    </w:p>
    <w:p>
      <w:pPr>
        <w:numPr>
          <w:ilvl w:val="1"/>
          <w:numId w:val="2068"/>
        </w:numPr>
        <w:pStyle w:val="Compact"/>
      </w:pPr>
      <w:r>
        <w:t xml:space="preserve">list every [VERIFY] item in Parts 4–10, with the phase in which it will be verified in depth;</w:t>
      </w:r>
    </w:p>
    <w:p>
      <w:pPr>
        <w:numPr>
          <w:ilvl w:val="1"/>
          <w:numId w:val="2068"/>
        </w:numPr>
        <w:pStyle w:val="Compact"/>
      </w:pPr>
      <w:r>
        <w:t xml:space="preserve">load the Part 8A.37 non-RBI requirement codes and list every [VERIFY] item in Parts 7B–7L with the phase (13b–20b) in which it will be verified;</w:t>
      </w:r>
    </w:p>
    <w:p>
      <w:pPr>
        <w:numPr>
          <w:ilvl w:val="1"/>
          <w:numId w:val="2068"/>
        </w:numPr>
        <w:pStyle w:val="Compact"/>
      </w:pPr>
      <w:r>
        <w:t xml:space="preserve">fully verify now only the items that Phases 1–5 depend on.</w:t>
      </w:r>
    </w:p>
    <w:p>
      <w:pPr>
        <w:numPr>
          <w:ilvl w:val="0"/>
          <w:numId w:val="2067"/>
        </w:numPr>
        <w:pStyle w:val="Compact"/>
      </w:pPr>
      <w:r>
        <w:t xml:space="preserve">The phased roadmap, with dependencies and acceptance criteria.</w:t>
      </w:r>
    </w:p>
    <w:p>
      <w:pPr>
        <w:numPr>
          <w:ilvl w:val="0"/>
          <w:numId w:val="2067"/>
        </w:numPr>
        <w:pStyle w:val="Compact"/>
      </w:pPr>
      <w:r>
        <w:t xml:space="preserve">The minimum security, testing and code-review gates.</w:t>
      </w:r>
    </w:p>
    <w:p>
      <w:pPr>
        <w:numPr>
          <w:ilvl w:val="0"/>
          <w:numId w:val="2067"/>
        </w:numPr>
        <w:pStyle w:val="Compact"/>
      </w:pPr>
      <w:r>
        <w:t xml:space="preserve">The list of business decisions you need from me (Appendix B).</w:t>
      </w:r>
    </w:p>
    <w:p>
      <w:pPr>
        <w:numPr>
          <w:ilvl w:val="0"/>
          <w:numId w:val="2067"/>
        </w:numPr>
        <w:pStyle w:val="Compact"/>
      </w:pPr>
      <w:r>
        <w:t xml:space="preserve">A competitor benchmark of Indian and global LOS/LMS/collections platforms (features, UX, pricing signals), with the gaps Finbyx should close.</w:t>
      </w:r>
    </w:p>
    <w:p>
      <w:pPr>
        <w:numPr>
          <w:ilvl w:val="0"/>
          <w:numId w:val="2067"/>
        </w:numPr>
        <w:pStyle w:val="Compact"/>
      </w:pPr>
      <w:r>
        <w:t xml:space="preserve">An institution-profile and applicability inventory (Part 7G IP1): for each target customer type in Part 3.1 (NBFC layers and categories, HFC, CIC, State and multi-State credit co-operative societies, UCB, StCB and DCCB, ARC, AIF and PMS, IFSCA Finance Company and Finance Unit, listed entities), the rule packs, return packs (Part 7B RR1), accounting framework (Part 7C AC1), capital engine (Part 7E RK3), permitted products and guard-rails, with each pack’s status (in force, stub, [VERIFY]) and the phase that builds it.</w:t>
      </w:r>
    </w:p>
    <w:p>
      <w:pPr>
        <w:numPr>
          <w:ilvl w:val="0"/>
          <w:numId w:val="2067"/>
        </w:numPr>
        <w:pStyle w:val="Compact"/>
      </w:pPr>
      <w:r>
        <w:t xml:space="preserve">The owner’s office-suite decision, recorded as an ADR:</w:t>
      </w:r>
      <w:r>
        <w:t xml:space="preserve"> </w:t>
      </w:r>
      <w:r>
        <w:t xml:space="preserve">‘</w:t>
      </w:r>
      <w:r>
        <w:t xml:space="preserve">Business Starter</w:t>
      </w:r>
      <w:r>
        <w:t xml:space="preserve">’</w:t>
      </w:r>
      <w:r>
        <w:t xml:space="preserve"> </w:t>
      </w:r>
      <w:r>
        <w:t xml:space="preserve">is a Google Workspace edition, while Microsoft’s SMB plans are Business Basic, Standard and Premium; record which suite Infrabyx and each pilot tenant actually hold and the Microsoft 365 data-residency evidence, and note that Google Workspace has no India data region, so only non-regulated data (no personal data, books of account, returns, loan or HR data) may be stored there (Part 7F GV7.1; Operations Hub OH12).</w:t>
      </w:r>
    </w:p>
    <w:p>
      <w:pPr>
        <w:numPr>
          <w:ilvl w:val="0"/>
          <w:numId w:val="2067"/>
        </w:numPr>
        <w:pStyle w:val="Compact"/>
      </w:pPr>
      <w:r>
        <w:t xml:space="preserve">The navigation and settings map (Appendix G): one menu tree per Part 3.2 workspace built from the</w:t>
      </w:r>
      <w:r>
        <w:t xml:space="preserve"> </w:t>
      </w:r>
      <w:r>
        <w:rPr>
          <w:rStyle w:val="VerbatimChar"/>
        </w:rPr>
        <w:t xml:space="preserve">Menu and screens</w:t>
      </w:r>
      <w:r>
        <w:t xml:space="preserve"> </w:t>
      </w:r>
      <w:r>
        <w:t xml:space="preserve">subsections of Parts 7B–7L and the v1.4 modules, with role visibility, and one settings catalogue built from the</w:t>
      </w:r>
      <w:r>
        <w:t xml:space="preserve"> </w:t>
      </w:r>
      <w:r>
        <w:rPr>
          <w:rStyle w:val="VerbatimChar"/>
        </w:rPr>
        <w:t xml:space="preserve">Settings and options</w:t>
      </w:r>
      <w:r>
        <w:t xml:space="preserve"> </w:t>
      </w:r>
      <w:r>
        <w:t xml:space="preserve">subsections, each setting classed as a regulatory floor (with citation) or a commercial choice, with its scope and default; list the gaps you find for my decision.</w:t>
      </w:r>
    </w:p>
    <w:p>
      <w:pPr>
        <w:pStyle w:val="BlockText"/>
      </w:pPr>
      <w:r>
        <w:t xml:space="preserve">Present all of this for my approval before modifying the repository.”</w:t>
      </w:r>
    </w:p>
    <w:bookmarkEnd w:id="847"/>
    <w:bookmarkStart w:id="848" w:name="phase-1-platform-foundation"/>
    <w:p>
      <w:pPr>
        <w:pStyle w:val="Heading3"/>
      </w:pPr>
      <w:r>
        <w:t xml:space="preserve">Phase 1 — Platform foundation</w:t>
      </w:r>
    </w:p>
    <w:p>
      <w:pPr>
        <w:pStyle w:val="BlockText"/>
      </w:pPr>
      <w:r>
        <w:rPr>
          <w:bCs/>
          <w:b/>
        </w:rPr>
        <w:t xml:space="preserve">Instruction to Claude:</w:t>
      </w:r>
      <w:r>
        <w:t xml:space="preserve"> </w:t>
      </w:r>
      <w:r>
        <w:t xml:space="preserve">“On branch</w:t>
      </w:r>
      <w:r>
        <w:t xml:space="preserve"> </w:t>
      </w:r>
      <w:r>
        <w:rPr>
          <w:rStyle w:val="VerbatimChar"/>
        </w:rPr>
        <w:t xml:space="preserve">feat/platform-foundation</w:t>
      </w:r>
      <w:r>
        <w:t xml:space="preserve">, initialise the approved monorepo. Set up:</w:t>
      </w:r>
    </w:p>
    <w:p>
      <w:pPr>
        <w:numPr>
          <w:ilvl w:val="0"/>
          <w:numId w:val="2069"/>
        </w:numPr>
        <w:pStyle w:val="Compact"/>
      </w:pPr>
      <w:r>
        <w:t xml:space="preserve">pnpm + Turborepo, TypeScript strict, ESLint/Prettier;</w:t>
      </w:r>
    </w:p>
    <w:p>
      <w:pPr>
        <w:numPr>
          <w:ilvl w:val="0"/>
          <w:numId w:val="2069"/>
        </w:numPr>
        <w:pStyle w:val="Compact"/>
      </w:pPr>
      <w:r>
        <w:t xml:space="preserve">the</w:t>
      </w:r>
      <w:r>
        <w:t xml:space="preserve"> </w:t>
      </w:r>
      <w:r>
        <w:rPr>
          <w:rStyle w:val="VerbatimChar"/>
        </w:rPr>
        <w:t xml:space="preserve">apps/web</w:t>
      </w:r>
      <w:r>
        <w:t xml:space="preserve"> </w:t>
      </w:r>
      <w:r>
        <w:t xml:space="preserve">(Next.js),</w:t>
      </w:r>
      <w:r>
        <w:t xml:space="preserve"> </w:t>
      </w:r>
      <w:r>
        <w:rPr>
          <w:rStyle w:val="VerbatimChar"/>
        </w:rPr>
        <w:t xml:space="preserve">apps/api</w:t>
      </w:r>
      <w:r>
        <w:t xml:space="preserve"> </w:t>
      </w:r>
      <w:r>
        <w:t xml:space="preserve">(NestJS) and</w:t>
      </w:r>
      <w:r>
        <w:t xml:space="preserve"> </w:t>
      </w:r>
      <w:r>
        <w:rPr>
          <w:rStyle w:val="VerbatimChar"/>
        </w:rPr>
        <w:t xml:space="preserve">apps/worker</w:t>
      </w:r>
      <w:r>
        <w:t xml:space="preserve"> </w:t>
      </w:r>
      <w:r>
        <w:t xml:space="preserve">skeletons;</w:t>
      </w:r>
    </w:p>
    <w:p>
      <w:pPr>
        <w:numPr>
          <w:ilvl w:val="0"/>
          <w:numId w:val="2069"/>
        </w:numPr>
        <w:pStyle w:val="Compact"/>
      </w:pPr>
      <w:r>
        <w:t xml:space="preserve">the</w:t>
      </w:r>
      <w:r>
        <w:t xml:space="preserve"> </w:t>
      </w:r>
      <w:r>
        <w:rPr>
          <w:rStyle w:val="VerbatimChar"/>
        </w:rPr>
        <w:t xml:space="preserve">packages/</w:t>
      </w:r>
      <w:r>
        <w:t xml:space="preserve"> </w:t>
      </w:r>
      <w:r>
        <w:t xml:space="preserve">for contracts, domain-kernel (money, dates, IDs), ui (design tokens + shadcn), config and testing;</w:t>
      </w:r>
    </w:p>
    <w:p>
      <w:pPr>
        <w:numPr>
          <w:ilvl w:val="0"/>
          <w:numId w:val="2069"/>
        </w:numPr>
        <w:pStyle w:val="Compact"/>
      </w:pPr>
      <w:r>
        <w:t xml:space="preserve">Docker Compose for local Postgres, Temporal and Gotenberg;</w:t>
      </w:r>
    </w:p>
    <w:p>
      <w:pPr>
        <w:numPr>
          <w:ilvl w:val="0"/>
          <w:numId w:val="2069"/>
        </w:numPr>
        <w:pStyle w:val="Compact"/>
      </w:pPr>
      <w:r>
        <w:t xml:space="preserve">GitHub Actions CI (lint, typecheck, test, build, secret scan, dependency scan, CodeQL or an open-source equivalent, SBOM generation, PII-in-logs and card-pattern scan, workflow lint);</w:t>
      </w:r>
    </w:p>
    <w:p>
      <w:pPr>
        <w:numPr>
          <w:ilvl w:val="0"/>
          <w:numId w:val="2069"/>
        </w:numPr>
        <w:pStyle w:val="Compact"/>
      </w:pPr>
      <w:r>
        <w:t xml:space="preserve">from the first commit, the Part 7L EO1 repository controls: organisation SSO and 2FA; a</w:t>
      </w:r>
      <w:r>
        <w:t xml:space="preserve"> </w:t>
      </w:r>
      <w:r>
        <w:rPr>
          <w:rStyle w:val="VerbatimChar"/>
        </w:rPr>
        <w:t xml:space="preserve">main</w:t>
      </w:r>
      <w:r>
        <w:t xml:space="preserve"> </w:t>
      </w:r>
      <w:r>
        <w:t xml:space="preserve">ruleset (no deletion or force push, linear history,</w:t>
      </w:r>
      <w:r>
        <w:t xml:space="preserve"> </w:t>
      </w:r>
      <w:r>
        <w:rPr>
          <w:bCs/>
          <w:b/>
        </w:rPr>
        <w:t xml:space="preserve">signed commits required</w:t>
      </w:r>
      <w:r>
        <w:t xml:space="preserve">, pull request with code-owner review and approval of the latest push by someone other than the pusher, conversation resolution, required status checks, empty bypass list); signed</w:t>
      </w:r>
      <w:r>
        <w:t xml:space="preserve"> </w:t>
      </w:r>
      <w:r>
        <w:rPr>
          <w:rStyle w:val="VerbatimChar"/>
        </w:rPr>
        <w:t xml:space="preserve">v*</w:t>
      </w:r>
      <w:r>
        <w:t xml:space="preserve"> </w:t>
      </w:r>
      <w:r>
        <w:t xml:space="preserve">tags restricted to the release workflow; CODEOWNERS with the uncovered-path check and the</w:t>
      </w:r>
      <w:r>
        <w:t xml:space="preserve"> </w:t>
      </w:r>
      <w:r>
        <w:rPr>
          <w:rStyle w:val="VerbatimChar"/>
        </w:rPr>
        <w:t xml:space="preserve">sensitive-path-approvals</w:t>
      </w:r>
      <w:r>
        <w:t xml:space="preserve"> </w:t>
      </w:r>
      <w:r>
        <w:t xml:space="preserve">check (two owners for ledger, migrations, auth, billing, rule-pack, audit-trail and infrastructure paths); Actions pinned to full commit SHAs with read-only default permissions, no</w:t>
      </w:r>
      <w:r>
        <w:t xml:space="preserve"> </w:t>
      </w:r>
      <w:r>
        <w:rPr>
          <w:rStyle w:val="VerbatimChar"/>
        </w:rPr>
        <w:t xml:space="preserve">pull_request_target</w:t>
      </w:r>
      <w:r>
        <w:t xml:space="preserve"> </w:t>
      </w:r>
      <w:r>
        <w:t xml:space="preserve">checkout of pull-request code and GitHub OIDC to AWS (no long-lived cloud keys); Dependabot; secret scanning with push protection; SPDX and CycloneDX SBOMs per build; cosign image signing with a KMS-held key; the</w:t>
      </w:r>
      <w:r>
        <w:t xml:space="preserve"> </w:t>
      </w:r>
      <w:r>
        <w:rPr>
          <w:rStyle w:val="VerbatimChar"/>
        </w:rPr>
        <w:t xml:space="preserve">dev</w:t>
      </w:r>
      <w:r>
        <w:t xml:space="preserve"> </w:t>
      </w:r>
      <w:r>
        <w:t xml:space="preserve">and</w:t>
      </w:r>
      <w:r>
        <w:t xml:space="preserve"> </w:t>
      </w:r>
      <w:r>
        <w:rPr>
          <w:rStyle w:val="VerbatimChar"/>
        </w:rPr>
        <w:t xml:space="preserve">staging</w:t>
      </w:r>
      <w:r>
        <w:t xml:space="preserve"> </w:t>
      </w:r>
      <w:r>
        <w:t xml:space="preserve">environments of EO1.4; and a nightly ruleset-drift export kept as control evidence;</w:t>
      </w:r>
    </w:p>
    <w:p>
      <w:pPr>
        <w:numPr>
          <w:ilvl w:val="0"/>
          <w:numId w:val="2069"/>
        </w:numPr>
        <w:pStyle w:val="Compact"/>
      </w:pPr>
      <w:r>
        <w:rPr>
          <w:rStyle w:val="VerbatimChar"/>
        </w:rPr>
        <w:t xml:space="preserve">.env.example</w:t>
      </w:r>
      <w:r>
        <w:t xml:space="preserve"> </w:t>
      </w:r>
      <w:r>
        <w:t xml:space="preserve">files;</w:t>
      </w:r>
    </w:p>
    <w:p>
      <w:pPr>
        <w:numPr>
          <w:ilvl w:val="0"/>
          <w:numId w:val="2069"/>
        </w:numPr>
        <w:pStyle w:val="Compact"/>
      </w:pPr>
      <w:r>
        <w:t xml:space="preserve">an OpenTelemetry baseline, with PII scrubbing and India-resident error tracking per the ADR;</w:t>
      </w:r>
    </w:p>
    <w:p>
      <w:pPr>
        <w:numPr>
          <w:ilvl w:val="0"/>
          <w:numId w:val="2069"/>
        </w:numPr>
        <w:pStyle w:val="Compact"/>
      </w:pPr>
      <w:r>
        <w:t xml:space="preserve">Storybook;</w:t>
      </w:r>
    </w:p>
    <w:p>
      <w:pPr>
        <w:numPr>
          <w:ilvl w:val="0"/>
          <w:numId w:val="2069"/>
        </w:numPr>
        <w:pStyle w:val="Compact"/>
      </w:pPr>
      <w:r>
        <w:t xml:space="preserve">the application shell: the Part 3.2 workspace switcher; a menu generated from a navigation registry that each module’s</w:t>
      </w:r>
      <w:r>
        <w:t xml:space="preserve"> </w:t>
      </w:r>
      <w:r>
        <w:rPr>
          <w:rStyle w:val="VerbatimChar"/>
        </w:rPr>
        <w:t xml:space="preserve">module.yaml</w:t>
      </w:r>
      <w:r>
        <w:t xml:space="preserve"> </w:t>
      </w:r>
      <w:r>
        <w:t xml:space="preserve">populates and that roles and entitlements filter server-side (Appendix G; Part 7K CM1), so an unentitled or unauthorised entry is never rendered; global search; My Queue; saved views; a keyboard-shortcut framework; a notification centre; and the standard list, detail, create or edit wizard, approval-queue and dashboard page templates with empty, loading, error and permission-denied states, checked against WCAG 2.2 AA in CI.</w:t>
      </w:r>
    </w:p>
    <w:p>
      <w:pPr>
        <w:pStyle w:val="BlockText"/>
      </w:pPr>
      <w:r>
        <w:t xml:space="preserve">Implement the domain-kernel</w:t>
      </w:r>
      <w:r>
        <w:t xml:space="preserve"> </w:t>
      </w:r>
      <w:r>
        <w:rPr>
          <w:rStyle w:val="VerbatimChar"/>
        </w:rPr>
        <w:t xml:space="preserve">Money</w:t>
      </w:r>
      <w:r>
        <w:t xml:space="preserve"> </w:t>
      </w:r>
      <w:r>
        <w:t xml:space="preserve">and</w:t>
      </w:r>
      <w:r>
        <w:t xml:space="preserve"> </w:t>
      </w:r>
      <w:r>
        <w:rPr>
          <w:rStyle w:val="VerbatimChar"/>
        </w:rPr>
        <w:t xml:space="preserve">Rate</w:t>
      </w:r>
      <w:r>
        <w:t xml:space="preserve"> </w:t>
      </w:r>
      <w:r>
        <w:t xml:space="preserve">types on decimal.js (precision ≥ 40, explicit rounding policies), with property-based tests. Build no business features yet. Open a PR with the test output and the ruleset export, and show that a direct push to</w:t>
      </w:r>
      <w:r>
        <w:t xml:space="preserve"> </w:t>
      </w:r>
      <w:r>
        <w:rPr>
          <w:rStyle w:val="VerbatimChar"/>
        </w:rPr>
        <w:t xml:space="preserve">main</w:t>
      </w:r>
      <w:r>
        <w:t xml:space="preserve">, a force push and an unsigned commit are each rejected.”</w:t>
      </w:r>
    </w:p>
    <w:bookmarkEnd w:id="848"/>
    <w:bookmarkStart w:id="849" w:name="phase-2-database-tenancy-and-security"/>
    <w:p>
      <w:pPr>
        <w:pStyle w:val="Heading3"/>
      </w:pPr>
      <w:r>
        <w:t xml:space="preserve">Phase 2 — Database, tenancy and security</w:t>
      </w:r>
    </w:p>
    <w:p>
      <w:pPr>
        <w:pStyle w:val="BlockText"/>
      </w:pPr>
      <w:r>
        <w:rPr>
          <w:bCs/>
          <w:b/>
        </w:rPr>
        <w:t xml:space="preserve">Instruction to Claude:</w:t>
      </w:r>
      <w:r>
        <w:t xml:space="preserve"> </w:t>
      </w:r>
      <w:r>
        <w:t xml:space="preserve">“Design and create the migrations for:</w:t>
      </w:r>
    </w:p>
    <w:p>
      <w:pPr>
        <w:numPr>
          <w:ilvl w:val="0"/>
          <w:numId w:val="2070"/>
        </w:numPr>
        <w:pStyle w:val="Compact"/>
      </w:pPr>
      <w:r>
        <w:t xml:space="preserve">tenants, legal_entities, branches (hierarchy), users, roles, permissions, role_permissions, user_scopes (entity/branch/product/amount limits);</w:t>
      </w:r>
    </w:p>
    <w:p>
      <w:pPr>
        <w:numPr>
          <w:ilvl w:val="0"/>
          <w:numId w:val="2070"/>
        </w:numPr>
        <w:pStyle w:val="Compact"/>
      </w:pPr>
      <w:r>
        <w:t xml:space="preserve">maker_checker_requests;</w:t>
      </w:r>
    </w:p>
    <w:p>
      <w:pPr>
        <w:numPr>
          <w:ilvl w:val="0"/>
          <w:numId w:val="2070"/>
        </w:numPr>
        <w:pStyle w:val="Compact"/>
      </w:pPr>
      <w:r>
        <w:t xml:space="preserve">audit_events (hash-chained) and the statutory</w:t>
      </w:r>
      <w:r>
        <w:t xml:space="preserve"> </w:t>
      </w:r>
      <w:r>
        <w:rPr>
          <w:rStyle w:val="VerbatimChar"/>
        </w:rPr>
        <w:t xml:space="preserve">audit_log</w:t>
      </w:r>
      <w:r>
        <w:t xml:space="preserve">: database-level capture (triggers or CDC) of every books-of-account table with before and after values, transaction, database user, application user and reason; append-only, with a per-tenant hash chain and a daily signed seal to WORM storage; capture objects owned by a dedicated database role;</w:t>
      </w:r>
      <w:r>
        <w:t xml:space="preserve"> </w:t>
      </w:r>
      <w:r>
        <w:rPr>
          <w:bCs/>
          <w:b/>
        </w:rPr>
        <w:t xml:space="preserve">no configuration flag can disable it</w:t>
      </w:r>
      <w:r>
        <w:t xml:space="preserve">; DDL event triggers raise a P1 on any attempt to drop or alter capture (Part 7C AC7; Companies (Accounts) Rules r.3(1) proviso; CYB paras 109–111);</w:t>
      </w:r>
    </w:p>
    <w:p>
      <w:pPr>
        <w:numPr>
          <w:ilvl w:val="0"/>
          <w:numId w:val="2070"/>
        </w:numPr>
        <w:pStyle w:val="Compact"/>
      </w:pPr>
      <w:r>
        <w:t xml:space="preserve">consent_records;</w:t>
      </w:r>
    </w:p>
    <w:p>
      <w:pPr>
        <w:numPr>
          <w:ilvl w:val="0"/>
          <w:numId w:val="2070"/>
        </w:numPr>
        <w:pStyle w:val="Compact"/>
      </w:pPr>
      <w:r>
        <w:t xml:space="preserve">idempotency_keys;</w:t>
      </w:r>
    </w:p>
    <w:p>
      <w:pPr>
        <w:numPr>
          <w:ilvl w:val="0"/>
          <w:numId w:val="2070"/>
        </w:numPr>
        <w:pStyle w:val="Compact"/>
      </w:pPr>
      <w:r>
        <w:t xml:space="preserve">outbox_events.</w:t>
      </w:r>
    </w:p>
    <w:p>
      <w:pPr>
        <w:pStyle w:val="BlockText"/>
      </w:pPr>
      <w:r>
        <w:t xml:space="preserve">Implement:</w:t>
      </w:r>
    </w:p>
    <w:p>
      <w:pPr>
        <w:numPr>
          <w:ilvl w:val="0"/>
          <w:numId w:val="2071"/>
        </w:numPr>
        <w:pStyle w:val="Compact"/>
      </w:pPr>
      <w:r>
        <w:t xml:space="preserve">server-side authorisation (RBAC + ABAC);</w:t>
      </w:r>
    </w:p>
    <w:p>
      <w:pPr>
        <w:numPr>
          <w:ilvl w:val="0"/>
          <w:numId w:val="2071"/>
        </w:numPr>
        <w:pStyle w:val="Compact"/>
      </w:pPr>
      <w:r>
        <w:t xml:space="preserve">Postgres RLS on every tenant-scoped table,</w:t>
      </w:r>
      <w:r>
        <w:t xml:space="preserve"> </w:t>
      </w:r>
      <w:r>
        <w:rPr>
          <w:bCs/>
          <w:b/>
        </w:rPr>
        <w:t xml:space="preserve">enforced</w:t>
      </w:r>
      <w:r>
        <w:t xml:space="preserve">:</w:t>
      </w:r>
    </w:p>
    <w:p>
      <w:pPr>
        <w:numPr>
          <w:ilvl w:val="1"/>
          <w:numId w:val="2072"/>
        </w:numPr>
        <w:pStyle w:val="Compact"/>
      </w:pPr>
      <w:r>
        <w:t xml:space="preserve">the API connects as a non-owner role without BYPASSRLS;</w:t>
      </w:r>
    </w:p>
    <w:p>
      <w:pPr>
        <w:numPr>
          <w:ilvl w:val="1"/>
          <w:numId w:val="2072"/>
        </w:numPr>
        <w:pStyle w:val="Compact"/>
      </w:pPr>
      <w:r>
        <w:t xml:space="preserve">every tenant table uses</w:t>
      </w:r>
      <w:r>
        <w:t xml:space="preserve"> </w:t>
      </w:r>
      <w:r>
        <w:rPr>
          <w:rStyle w:val="VerbatimChar"/>
        </w:rPr>
        <w:t xml:space="preserve">ALTER TABLE … FORCE ROW LEVEL SECURITY</w:t>
      </w:r>
      <w:r>
        <w:t xml:space="preserve">;</w:t>
      </w:r>
    </w:p>
    <w:p>
      <w:pPr>
        <w:numPr>
          <w:ilvl w:val="1"/>
          <w:numId w:val="2072"/>
        </w:numPr>
        <w:pStyle w:val="Compact"/>
      </w:pPr>
      <w:r>
        <w:t xml:space="preserve">tenant, entity and branch context is set with</w:t>
      </w:r>
      <w:r>
        <w:t xml:space="preserve"> </w:t>
      </w:r>
      <w:r>
        <w:rPr>
          <w:rStyle w:val="VerbatimChar"/>
        </w:rPr>
        <w:t xml:space="preserve">SET LOCAL</w:t>
      </w:r>
      <w:r>
        <w:t xml:space="preserve"> </w:t>
      </w:r>
      <w:r>
        <w:t xml:space="preserve">/</w:t>
      </w:r>
      <w:r>
        <w:t xml:space="preserve"> </w:t>
      </w:r>
      <w:r>
        <w:rPr>
          <w:rStyle w:val="VerbatimChar"/>
        </w:rPr>
        <w:t xml:space="preserve">set_config(…, true)</w:t>
      </w:r>
      <w:r>
        <w:t xml:space="preserve"> </w:t>
      </w:r>
      <w:r>
        <w:t xml:space="preserve">inside every transaction, so it works with transaction pooling;</w:t>
      </w:r>
    </w:p>
    <w:p>
      <w:pPr>
        <w:numPr>
          <w:ilvl w:val="0"/>
          <w:numId w:val="2071"/>
        </w:numPr>
        <w:pStyle w:val="Compact"/>
      </w:pPr>
      <w:r>
        <w:t xml:space="preserve">the auth abstraction over Supabase Auth, with MFA for staff;</w:t>
      </w:r>
    </w:p>
    <w:p>
      <w:pPr>
        <w:numPr>
          <w:ilvl w:val="0"/>
          <w:numId w:val="2071"/>
        </w:numPr>
        <w:pStyle w:val="Compact"/>
      </w:pPr>
      <w:r>
        <w:t xml:space="preserve">the generic maker-checker framework;</w:t>
      </w:r>
    </w:p>
    <w:p>
      <w:pPr>
        <w:numPr>
          <w:ilvl w:val="0"/>
          <w:numId w:val="2071"/>
        </w:numPr>
        <w:pStyle w:val="Compact"/>
      </w:pPr>
      <w:r>
        <w:t xml:space="preserve">the external-access skeleton for Part 7D AU7: a SELECT-only database role and</w:t>
      </w:r>
      <w:r>
        <w:t xml:space="preserve"> </w:t>
      </w:r>
      <w:r>
        <w:rPr>
          <w:rStyle w:val="VerbatimChar"/>
        </w:rPr>
        <w:t xml:space="preserve">external.workspace:read</w:t>
      </w:r>
      <w:r>
        <w:t xml:space="preserve"> </w:t>
      </w:r>
      <w:r>
        <w:t xml:space="preserve">API scope with no write path,</w:t>
      </w:r>
      <w:r>
        <w:t xml:space="preserve"> </w:t>
      </w:r>
      <w:r>
        <w:rPr>
          <w:rStyle w:val="VerbatimChar"/>
        </w:rPr>
        <w:t xml:space="preserve">external_access_grant</w:t>
      </w:r>
      <w:r>
        <w:t xml:space="preserve"> </w:t>
      </w:r>
      <w:r>
        <w:t xml:space="preserve">records (requester type, legal basis code, scope, expiry of at most 90 days, approvers), named-user accounts with mandatory MFA, field masking by default and logging of every read; the auditor and supervisor workspaces are built in Phase 16c.</w:t>
      </w:r>
    </w:p>
    <w:p>
      <w:pPr>
        <w:pStyle w:val="BlockText"/>
      </w:pPr>
      <w:r>
        <w:t xml:space="preserve">Write tenant-isolation and privilege-escalation tests that try to read and write across tenants, entities and branches, and prove they fail. Include a test proving that a query run without tenant context returns zero rows. Prove also that no application or support role can update or delete an</w:t>
      </w:r>
      <w:r>
        <w:t xml:space="preserve"> </w:t>
      </w:r>
      <w:r>
        <w:rPr>
          <w:rStyle w:val="VerbatimChar"/>
        </w:rPr>
        <w:t xml:space="preserve">audit_log</w:t>
      </w:r>
      <w:r>
        <w:t xml:space="preserve"> </w:t>
      </w:r>
      <w:r>
        <w:t xml:space="preserve">row or disable capture, and that the external-access role cannot write. Report results.”</w:t>
      </w:r>
    </w:p>
    <w:bookmarkEnd w:id="849"/>
    <w:bookmarkStart w:id="850" w:name="Xea000e7460edf905a4ad3293ca7fd6ff6f227b2"/>
    <w:p>
      <w:pPr>
        <w:pStyle w:val="Heading3"/>
      </w:pPr>
      <w:r>
        <w:t xml:space="preserve">Phase 3 — Masters, configuration and product factory</w:t>
      </w:r>
    </w:p>
    <w:p>
      <w:pPr>
        <w:pStyle w:val="BlockText"/>
      </w:pPr>
      <w:r>
        <w:rPr>
          <w:bCs/>
          <w:b/>
        </w:rPr>
        <w:t xml:space="preserve">Instruction to Claude:</w:t>
      </w:r>
      <w:r>
        <w:t xml:space="preserve"> </w:t>
      </w:r>
      <w:r>
        <w:t xml:space="preserve">“Build:</w:t>
      </w:r>
    </w:p>
    <w:p>
      <w:pPr>
        <w:numPr>
          <w:ilvl w:val="0"/>
          <w:numId w:val="2073"/>
        </w:numPr>
        <w:pStyle w:val="Compact"/>
      </w:pPr>
      <w:r>
        <w:t xml:space="preserve">org hierarchy, holiday calendars and business-date management;</w:t>
      </w:r>
    </w:p>
    <w:p>
      <w:pPr>
        <w:numPr>
          <w:ilvl w:val="0"/>
          <w:numId w:val="2073"/>
        </w:numPr>
        <w:pStyle w:val="Compact"/>
      </w:pPr>
      <w:r>
        <w:t xml:space="preserve">masters (pincode, IFSC, purpose and sector codes, reason codes, NACH return codes as configurable data);</w:t>
      </w:r>
    </w:p>
    <w:p>
      <w:pPr>
        <w:numPr>
          <w:ilvl w:val="0"/>
          <w:numId w:val="2073"/>
        </w:numPr>
        <w:pStyle w:val="Compact"/>
      </w:pPr>
      <w:r>
        <w:t xml:space="preserve">the product factory implementing every Fineract-equivalent parameter in Part 4.2A, with validation guard-rails from the regulatory rule packs (Part 10.2 #24);</w:t>
      </w:r>
    </w:p>
    <w:p>
      <w:pPr>
        <w:numPr>
          <w:ilvl w:val="0"/>
          <w:numId w:val="2073"/>
        </w:numPr>
        <w:pStyle w:val="Compact"/>
      </w:pPr>
      <w:r>
        <w:t xml:space="preserve">the charges engine with GST profiles, including the penal-charge GST flag;</w:t>
      </w:r>
    </w:p>
    <w:p>
      <w:pPr>
        <w:numPr>
          <w:ilvl w:val="0"/>
          <w:numId w:val="2073"/>
        </w:numPr>
        <w:pStyle w:val="Compact"/>
      </w:pPr>
      <w:r>
        <w:t xml:space="preserve">effective-dated versioning and maker-checker for all configuration;</w:t>
      </w:r>
    </w:p>
    <w:p>
      <w:pPr>
        <w:numPr>
          <w:ilvl w:val="0"/>
          <w:numId w:val="2073"/>
        </w:numPr>
        <w:pStyle w:val="Compact"/>
      </w:pPr>
      <w:r>
        <w:t xml:space="preserve">the settings framework used by every later phase:</w:t>
      </w:r>
      <w:r>
        <w:t xml:space="preserve"> </w:t>
      </w:r>
      <w:r>
        <w:rPr>
          <w:rStyle w:val="VerbatimChar"/>
        </w:rPr>
        <w:t xml:space="preserve">setting_definition</w:t>
      </w:r>
      <w:r>
        <w:t xml:space="preserve"> </w:t>
      </w:r>
      <w:r>
        <w:t xml:space="preserve">(key, module, scope — tenant, legal entity, product or role — type, default, allowed range, class</w:t>
      </w:r>
      <w:r>
        <w:t xml:space="preserve"> </w:t>
      </w:r>
      <w:r>
        <w:rPr>
          <w:rStyle w:val="VerbatimChar"/>
        </w:rPr>
        <w:t xml:space="preserve">REGULATORY_FLOOR</w:t>
      </w:r>
      <w:r>
        <w:t xml:space="preserve"> </w:t>
      </w:r>
      <w:r>
        <w:t xml:space="preserve">or</w:t>
      </w:r>
      <w:r>
        <w:t xml:space="preserve"> </w:t>
      </w:r>
      <w:r>
        <w:rPr>
          <w:rStyle w:val="VerbatimChar"/>
        </w:rPr>
        <w:t xml:space="preserve">COMMERCIAL</w:t>
      </w:r>
      <w:r>
        <w:t xml:space="preserve">, citation, owner) and</w:t>
      </w:r>
      <w:r>
        <w:t xml:space="preserve"> </w:t>
      </w:r>
      <w:r>
        <w:rPr>
          <w:rStyle w:val="VerbatimChar"/>
        </w:rPr>
        <w:t xml:space="preserve">setting_value</w:t>
      </w:r>
      <w:r>
        <w:t xml:space="preserve"> </w:t>
      </w:r>
      <w:r>
        <w:t xml:space="preserve">(scope, value, effective from, maker, checker, reason), resolved server-side to the strictest applicable value; relaxing a regulatory floor fails</w:t>
      </w:r>
      <w:r>
        <w:t xml:space="preserve"> </w:t>
      </w:r>
      <w:r>
        <w:rPr>
          <w:rStyle w:val="VerbatimChar"/>
        </w:rPr>
        <w:t xml:space="preserve">floor_violation</w:t>
      </w:r>
      <w:r>
        <w:t xml:space="preserve">; settings screens are generated from the definitions and listed in Appendix G.</w:t>
      </w:r>
    </w:p>
    <w:p>
      <w:pPr>
        <w:pStyle w:val="BlockText"/>
      </w:pPr>
      <w:r>
        <w:t xml:space="preserve">Produce the product specification template</w:t>
      </w:r>
      <w:r>
        <w:t xml:space="preserve"> </w:t>
      </w:r>
      <w:r>
        <w:rPr>
          <w:rStyle w:val="VerbatimChar"/>
        </w:rPr>
        <w:t xml:space="preserve">docs/products/_template.md</w:t>
      </w:r>
      <w:r>
        <w:t xml:space="preserve"> </w:t>
      </w:r>
      <w:r>
        <w:t xml:space="preserve">and the first two product specs (Personal Loan, MSME Term Loan) for my approval.”</w:t>
      </w:r>
    </w:p>
    <w:bookmarkEnd w:id="850"/>
    <w:bookmarkStart w:id="851" w:name="phase-3b-communications-foundation"/>
    <w:p>
      <w:pPr>
        <w:pStyle w:val="Heading3"/>
      </w:pPr>
      <w:r>
        <w:t xml:space="preserve">Phase 3b — Communications foundation</w:t>
      </w:r>
    </w:p>
    <w:p>
      <w:pPr>
        <w:pStyle w:val="BlockText"/>
      </w:pPr>
      <w:r>
        <w:rPr>
          <w:bCs/>
          <w:b/>
        </w:rPr>
        <w:t xml:space="preserve">Instruction to Claude:</w:t>
      </w:r>
      <w:r>
        <w:t xml:space="preserve"> </w:t>
      </w:r>
      <w:r>
        <w:t xml:space="preserve">“Build the M18 foundation:</w:t>
      </w:r>
    </w:p>
    <w:p>
      <w:pPr>
        <w:numPr>
          <w:ilvl w:val="0"/>
          <w:numId w:val="2074"/>
        </w:numPr>
        <w:pStyle w:val="Compact"/>
      </w:pPr>
      <w:r>
        <w:t xml:space="preserve">multilingual, versioned template management with approval workflow and DLT template IDs;</w:t>
      </w:r>
    </w:p>
    <w:p>
      <w:pPr>
        <w:numPr>
          <w:ilvl w:val="0"/>
          <w:numId w:val="2074"/>
        </w:numPr>
        <w:pStyle w:val="Compact"/>
      </w:pPr>
      <w:r>
        <w:t xml:space="preserve">SMS (DLT), WhatsApp Business Cloud API and email adapters (mock + sandbox);</w:t>
      </w:r>
    </w:p>
    <w:p>
      <w:pPr>
        <w:numPr>
          <w:ilvl w:val="0"/>
          <w:numId w:val="2074"/>
        </w:numPr>
        <w:pStyle w:val="Compact"/>
      </w:pPr>
      <w:r>
        <w:t xml:space="preserve">consent, preference and DND store;</w:t>
      </w:r>
    </w:p>
    <w:p>
      <w:pPr>
        <w:numPr>
          <w:ilvl w:val="0"/>
          <w:numId w:val="2074"/>
        </w:numPr>
        <w:pStyle w:val="Compact"/>
      </w:pPr>
      <w:r>
        <w:t xml:space="preserve">the effective-dated</w:t>
      </w:r>
      <w:r>
        <w:t xml:space="preserve"> </w:t>
      </w:r>
      <w:r>
        <w:rPr>
          <w:bCs/>
          <w:b/>
        </w:rPr>
        <w:t xml:space="preserve">contact-policy engine</w:t>
      </w:r>
      <w:r>
        <w:t xml:space="preserve">, with separate recovery and sales/marketing windows (Part 7, M8 and M18).</w:t>
      </w:r>
    </w:p>
    <w:p>
      <w:pPr>
        <w:pStyle w:val="BlockText"/>
      </w:pPr>
      <w:r>
        <w:t xml:space="preserve">Later phases (KFS delivery, reminders, default intimation, collections) must use this module, not their own messaging code.”</w:t>
      </w:r>
    </w:p>
    <w:bookmarkEnd w:id="851"/>
    <w:bookmarkStart w:id="852" w:name="phase-4-ledger-and-accounting-core"/>
    <w:p>
      <w:pPr>
        <w:pStyle w:val="Heading3"/>
      </w:pPr>
      <w:r>
        <w:t xml:space="preserve">Phase 4 — Ledger and accounting core</w:t>
      </w:r>
    </w:p>
    <w:p>
      <w:pPr>
        <w:pStyle w:val="BlockText"/>
      </w:pPr>
      <w:r>
        <w:rPr>
          <w:bCs/>
          <w:b/>
        </w:rPr>
        <w:t xml:space="preserve">Instruction to Claude:</w:t>
      </w:r>
      <w:r>
        <w:t xml:space="preserve"> </w:t>
      </w:r>
      <w:r>
        <w:t xml:space="preserve">“Before any loan money moves, build the double-entry ledger:</w:t>
      </w:r>
    </w:p>
    <w:p>
      <w:pPr>
        <w:numPr>
          <w:ilvl w:val="0"/>
          <w:numId w:val="2075"/>
        </w:numPr>
        <w:pStyle w:val="Compact"/>
      </w:pPr>
      <w:r>
        <w:t xml:space="preserve">chart of accounts with the NBFC Ind AS template;</w:t>
      </w:r>
    </w:p>
    <w:p>
      <w:pPr>
        <w:numPr>
          <w:ilvl w:val="0"/>
          <w:numId w:val="2075"/>
        </w:numPr>
        <w:pStyle w:val="Compact"/>
      </w:pPr>
      <w:r>
        <w:t xml:space="preserve">append-only journals with database-enforced balance;</w:t>
      </w:r>
    </w:p>
    <w:p>
      <w:pPr>
        <w:numPr>
          <w:ilvl w:val="0"/>
          <w:numId w:val="2075"/>
        </w:numPr>
        <w:pStyle w:val="Compact"/>
      </w:pPr>
      <w:r>
        <w:t xml:space="preserve">reversal-only corrections;</w:t>
      </w:r>
    </w:p>
    <w:p>
      <w:pPr>
        <w:numPr>
          <w:ilvl w:val="0"/>
          <w:numId w:val="2075"/>
        </w:numPr>
        <w:pStyle w:val="Compact"/>
      </w:pPr>
      <w:r>
        <w:t xml:space="preserve">value, business and system dates;</w:t>
      </w:r>
    </w:p>
    <w:p>
      <w:pPr>
        <w:numPr>
          <w:ilvl w:val="0"/>
          <w:numId w:val="2075"/>
        </w:numPr>
        <w:pStyle w:val="Compact"/>
      </w:pPr>
      <w:r>
        <w:t xml:space="preserve">period locks;</w:t>
      </w:r>
    </w:p>
    <w:p>
      <w:pPr>
        <w:numPr>
          <w:ilvl w:val="0"/>
          <w:numId w:val="2075"/>
        </w:numPr>
        <w:pStyle w:val="Compact"/>
      </w:pPr>
      <w:r>
        <w:t xml:space="preserve">materialised balances;</w:t>
      </w:r>
    </w:p>
    <w:p>
      <w:pPr>
        <w:numPr>
          <w:ilvl w:val="0"/>
          <w:numId w:val="2075"/>
        </w:numPr>
        <w:pStyle w:val="Compact"/>
      </w:pPr>
      <w:r>
        <w:t xml:space="preserve">trial balance;</w:t>
      </w:r>
    </w:p>
    <w:p>
      <w:pPr>
        <w:numPr>
          <w:ilvl w:val="0"/>
          <w:numId w:val="2075"/>
        </w:numPr>
        <w:pStyle w:val="Compact"/>
      </w:pPr>
      <w:r>
        <w:t xml:space="preserve">accounting rule mapping (Fineract mapping keys + India extensions);</w:t>
      </w:r>
    </w:p>
    <w:p>
      <w:pPr>
        <w:numPr>
          <w:ilvl w:val="0"/>
          <w:numId w:val="2075"/>
        </w:numPr>
        <w:pStyle w:val="Compact"/>
      </w:pPr>
      <w:r>
        <w:t xml:space="preserve">sub-ledger framework;</w:t>
      </w:r>
    </w:p>
    <w:p>
      <w:pPr>
        <w:numPr>
          <w:ilvl w:val="0"/>
          <w:numId w:val="2075"/>
        </w:numPr>
        <w:pStyle w:val="Compact"/>
      </w:pPr>
      <w:r>
        <w:t xml:space="preserve">reconciliation checks.</w:t>
      </w:r>
    </w:p>
    <w:p>
      <w:pPr>
        <w:pStyle w:val="BlockText"/>
      </w:pPr>
      <w:r>
        <w:t xml:space="preserve">For Ind AS entities, the posting matrix must defer processing fees and directly attributable costs at disbursement (deferred-fee/cost accounts), so nothing has to be re-posted when EIR amortisation arrives. Write golden test cases for every posting rule, and property tests proving the ledger always balances. Show me the posting matrix for approval.”</w:t>
      </w:r>
    </w:p>
    <w:bookmarkEnd w:id="852"/>
    <w:bookmarkStart w:id="853" w:name="phase-5-schedule-and-allocation-engine"/>
    <w:p>
      <w:pPr>
        <w:pStyle w:val="Heading3"/>
      </w:pPr>
      <w:r>
        <w:t xml:space="preserve">Phase 5 — Schedule and allocation engine</w:t>
      </w:r>
    </w:p>
    <w:p>
      <w:pPr>
        <w:pStyle w:val="BlockText"/>
      </w:pPr>
      <w:r>
        <w:rPr>
          <w:bCs/>
          <w:b/>
        </w:rPr>
        <w:t xml:space="preserve">Instruction to Claude:</w:t>
      </w:r>
      <w:r>
        <w:t xml:space="preserve"> </w:t>
      </w:r>
      <w:r>
        <w:t xml:space="preserve">“Implement the loan calculation engine as pure functions over an immutable loan event log. Cover:</w:t>
      </w:r>
    </w:p>
    <w:p>
      <w:pPr>
        <w:numPr>
          <w:ilvl w:val="0"/>
          <w:numId w:val="2076"/>
        </w:numPr>
        <w:pStyle w:val="Compact"/>
      </w:pPr>
      <w:r>
        <w:t xml:space="preserve">EMI and equal-principal;</w:t>
      </w:r>
    </w:p>
    <w:p>
      <w:pPr>
        <w:numPr>
          <w:ilvl w:val="0"/>
          <w:numId w:val="2076"/>
        </w:numPr>
        <w:pStyle w:val="Compact"/>
      </w:pPr>
      <w:r>
        <w:t xml:space="preserve">declining and flat;</w:t>
      </w:r>
    </w:p>
    <w:p>
      <w:pPr>
        <w:numPr>
          <w:ilvl w:val="0"/>
          <w:numId w:val="2076"/>
        </w:numPr>
        <w:pStyle w:val="Compact"/>
      </w:pPr>
      <w:r>
        <w:t xml:space="preserve">daily and period interest;</w:t>
      </w:r>
    </w:p>
    <w:p>
      <w:pPr>
        <w:numPr>
          <w:ilvl w:val="0"/>
          <w:numId w:val="2076"/>
        </w:numPr>
        <w:pStyle w:val="Compact"/>
      </w:pPr>
      <w:r>
        <w:t xml:space="preserve">day-count conventions;</w:t>
      </w:r>
    </w:p>
    <w:p>
      <w:pPr>
        <w:numPr>
          <w:ilvl w:val="0"/>
          <w:numId w:val="2076"/>
        </w:numPr>
        <w:pStyle w:val="Compact"/>
      </w:pPr>
      <w:r>
        <w:t xml:space="preserve">broken period;</w:t>
      </w:r>
    </w:p>
    <w:p>
      <w:pPr>
        <w:numPr>
          <w:ilvl w:val="0"/>
          <w:numId w:val="2076"/>
        </w:numPr>
        <w:pStyle w:val="Compact"/>
      </w:pPr>
      <w:r>
        <w:t xml:space="preserve">grace and moratorium;</w:t>
      </w:r>
    </w:p>
    <w:p>
      <w:pPr>
        <w:numPr>
          <w:ilvl w:val="0"/>
          <w:numId w:val="2076"/>
        </w:numPr>
        <w:pStyle w:val="Compact"/>
      </w:pPr>
      <w:r>
        <w:t xml:space="preserve">tranches;</w:t>
      </w:r>
    </w:p>
    <w:p>
      <w:pPr>
        <w:numPr>
          <w:ilvl w:val="0"/>
          <w:numId w:val="2076"/>
        </w:numPr>
        <w:pStyle w:val="Compact"/>
      </w:pPr>
      <w:r>
        <w:t xml:space="preserve">step-up/down and balloon;</w:t>
      </w:r>
    </w:p>
    <w:p>
      <w:pPr>
        <w:numPr>
          <w:ilvl w:val="0"/>
          <w:numId w:val="2076"/>
        </w:numPr>
        <w:pStyle w:val="Compact"/>
      </w:pPr>
      <w:r>
        <w:t xml:space="preserve">interest recalculation and all four prepayment outcomes;</w:t>
      </w:r>
    </w:p>
    <w:p>
      <w:pPr>
        <w:numPr>
          <w:ilvl w:val="0"/>
          <w:numId w:val="2076"/>
        </w:numPr>
        <w:pStyle w:val="Compact"/>
      </w:pPr>
      <w:r>
        <w:t xml:space="preserve">all allocation strategies, including the RBI-order rule set (Part 4.2B);</w:t>
      </w:r>
    </w:p>
    <w:p>
      <w:pPr>
        <w:numPr>
          <w:ilvl w:val="0"/>
          <w:numId w:val="2076"/>
        </w:numPr>
        <w:pStyle w:val="Compact"/>
      </w:pPr>
      <w:r>
        <w:t xml:space="preserve">back-dated replay with snapshots.</w:t>
      </w:r>
    </w:p>
    <w:p>
      <w:pPr>
        <w:pStyle w:val="BlockText"/>
      </w:pPr>
      <w:r>
        <w:t xml:space="preserve">Run Fineract 1.15.0 (PostgreSQL 18, large runner) as a</w:t>
      </w:r>
      <w:r>
        <w:t xml:space="preserve"> </w:t>
      </w:r>
      <w:r>
        <w:rPr>
          <w:bCs/>
          <w:b/>
        </w:rPr>
        <w:t xml:space="preserve">nightly or on-demand oracle job</w:t>
      </w:r>
      <w:r>
        <w:t xml:space="preserve">, not on every PR. Generate versioned golden fixtures (JSON) across a scenario matrix that uses the correct Fineract engine (CUMULATIVE or PROGRESSIVE) for each scenario. PR CI compares Finbyx output against these fixtures. Report paisa-level differences and classify each as a bug or an approved deviation.”</w:t>
      </w:r>
    </w:p>
    <w:bookmarkEnd w:id="853"/>
    <w:bookmarkStart w:id="854" w:name="phase-6-customer-kyc-and-consent"/>
    <w:p>
      <w:pPr>
        <w:pStyle w:val="Heading3"/>
      </w:pPr>
      <w:r>
        <w:t xml:space="preserve">Phase 6 — Customer, KYC and consent</w:t>
      </w:r>
    </w:p>
    <w:p>
      <w:pPr>
        <w:pStyle w:val="BlockText"/>
      </w:pPr>
      <w:r>
        <w:rPr>
          <w:bCs/>
          <w:b/>
        </w:rPr>
        <w:t xml:space="preserve">Instruction to Claude:</w:t>
      </w:r>
      <w:r>
        <w:t xml:space="preserve"> </w:t>
      </w:r>
      <w:r>
        <w:t xml:space="preserve">“Build:</w:t>
      </w:r>
    </w:p>
    <w:p>
      <w:pPr>
        <w:numPr>
          <w:ilvl w:val="0"/>
          <w:numId w:val="2077"/>
        </w:numPr>
        <w:pStyle w:val="Compact"/>
      </w:pPr>
      <w:r>
        <w:t xml:space="preserve">the CIF with relationships;</w:t>
      </w:r>
    </w:p>
    <w:p>
      <w:pPr>
        <w:numPr>
          <w:ilvl w:val="0"/>
          <w:numId w:val="2077"/>
        </w:numPr>
        <w:pStyle w:val="Compact"/>
      </w:pPr>
      <w:r>
        <w:t xml:space="preserve">de-dupe;</w:t>
      </w:r>
    </w:p>
    <w:p>
      <w:pPr>
        <w:numPr>
          <w:ilvl w:val="0"/>
          <w:numId w:val="2077"/>
        </w:numPr>
        <w:pStyle w:val="Compact"/>
      </w:pPr>
      <w:r>
        <w:t xml:space="preserve">risk categorisation;</w:t>
      </w:r>
    </w:p>
    <w:p>
      <w:pPr>
        <w:numPr>
          <w:ilvl w:val="0"/>
          <w:numId w:val="2077"/>
        </w:numPr>
        <w:pStyle w:val="Compact"/>
      </w:pPr>
      <w:r>
        <w:t xml:space="preserve">the consent ledger with exact notice versions;</w:t>
      </w:r>
    </w:p>
    <w:p>
      <w:pPr>
        <w:numPr>
          <w:ilvl w:val="0"/>
          <w:numId w:val="2077"/>
        </w:numPr>
        <w:pStyle w:val="Compact"/>
      </w:pPr>
      <w:r>
        <w:t xml:space="preserve">KYC flows per Part 8A.21 (CKYC search/download/upload with 10/7-day clocks, Aadhaar mode selection by s.11A status, OKYC/DigiLocker, PAN/Form 60, V-CIP, OVD and deemed-OVD capture, BO thresholds, NFTF EDD, para 25 limits);</w:t>
      </w:r>
    </w:p>
    <w:p>
      <w:pPr>
        <w:numPr>
          <w:ilvl w:val="0"/>
          <w:numId w:val="2077"/>
        </w:numPr>
        <w:pStyle w:val="Compact"/>
      </w:pPr>
      <w:r>
        <w:t xml:space="preserve">sanctions and PEP screening;</w:t>
      </w:r>
    </w:p>
    <w:p>
      <w:pPr>
        <w:numPr>
          <w:ilvl w:val="0"/>
          <w:numId w:val="2077"/>
        </w:numPr>
        <w:pStyle w:val="Compact"/>
      </w:pPr>
      <w:r>
        <w:t xml:space="preserve">the periodic-updation scheduler.</w:t>
      </w:r>
    </w:p>
    <w:p>
      <w:pPr>
        <w:pStyle w:val="BlockText"/>
      </w:pPr>
      <w:r>
        <w:t xml:space="preserve">Adapters: mock first, then a Surepass sandbox adapter behind</w:t>
      </w:r>
      <w:r>
        <w:t xml:space="preserve"> </w:t>
      </w:r>
      <w:r>
        <w:rPr>
          <w:rStyle w:val="VerbatimChar"/>
        </w:rPr>
        <w:t xml:space="preserve">KycProvider</w:t>
      </w:r>
      <w:r>
        <w:t xml:space="preserve">. Never store the full Aadhaar number unless the vault design approved in Phase 0 meets UIDAI Circular No. 14 of 2025. Prefer OKYC/DigiLocker flows that avoid storage. Load the KYC REQ-IDs from Part 8A.21 into the register.”</w:t>
      </w:r>
    </w:p>
    <w:bookmarkEnd w:id="854"/>
    <w:bookmarkStart w:id="855" w:name="phase-7-origination-los"/>
    <w:p>
      <w:pPr>
        <w:pStyle w:val="Heading3"/>
      </w:pPr>
      <w:r>
        <w:t xml:space="preserve">Phase 7 — Origination (LOS)</w:t>
      </w:r>
    </w:p>
    <w:p>
      <w:pPr>
        <w:pStyle w:val="BlockText"/>
      </w:pPr>
      <w:r>
        <w:rPr>
          <w:bCs/>
          <w:b/>
        </w:rPr>
        <w:t xml:space="preserve">Instruction to Claude:</w:t>
      </w:r>
      <w:r>
        <w:t xml:space="preserve"> </w:t>
      </w:r>
      <w:r>
        <w:t xml:space="preserve">“Implement:</w:t>
      </w:r>
    </w:p>
    <w:p>
      <w:pPr>
        <w:numPr>
          <w:ilvl w:val="0"/>
          <w:numId w:val="2078"/>
        </w:numPr>
        <w:pStyle w:val="Compact"/>
      </w:pPr>
      <w:r>
        <w:t xml:space="preserve">leads, and DSA/connector management with payouts;</w:t>
      </w:r>
    </w:p>
    <w:p>
      <w:pPr>
        <w:numPr>
          <w:ilvl w:val="0"/>
          <w:numId w:val="2078"/>
        </w:numPr>
        <w:pStyle w:val="Compact"/>
      </w:pPr>
      <w:r>
        <w:t xml:space="preserve">dynamic application forms from product templates;</w:t>
      </w:r>
    </w:p>
    <w:p>
      <w:pPr>
        <w:numPr>
          <w:ilvl w:val="0"/>
          <w:numId w:val="2078"/>
        </w:numPr>
        <w:pStyle w:val="Compact"/>
      </w:pPr>
      <w:r>
        <w:t xml:space="preserve">bureau and AA adapters (mock + sandbox);</w:t>
      </w:r>
    </w:p>
    <w:p>
      <w:pPr>
        <w:numPr>
          <w:ilvl w:val="0"/>
          <w:numId w:val="2078"/>
        </w:numPr>
        <w:pStyle w:val="Compact"/>
      </w:pPr>
      <w:r>
        <w:t xml:space="preserve">the GoRules-based BRE with simulation;</w:t>
      </w:r>
    </w:p>
    <w:p>
      <w:pPr>
        <w:numPr>
          <w:ilvl w:val="0"/>
          <w:numId w:val="2078"/>
        </w:numPr>
        <w:pStyle w:val="Compact"/>
      </w:pPr>
      <w:r>
        <w:t xml:space="preserve">verification management (FI/PD/technical/legal/RCU) with vendor allocation;</w:t>
      </w:r>
    </w:p>
    <w:p>
      <w:pPr>
        <w:numPr>
          <w:ilvl w:val="0"/>
          <w:numId w:val="2078"/>
        </w:numPr>
        <w:pStyle w:val="Compact"/>
      </w:pPr>
      <w:r>
        <w:t xml:space="preserve">the deviation matrix and DoA routing;</w:t>
      </w:r>
    </w:p>
    <w:p>
      <w:pPr>
        <w:numPr>
          <w:ilvl w:val="0"/>
          <w:numId w:val="2078"/>
        </w:numPr>
        <w:pStyle w:val="Compact"/>
      </w:pPr>
      <w:r>
        <w:t xml:space="preserve">the CAM generator (template + AI-drafted narrative with citations, edited by a human, locked at sanction);</w:t>
      </w:r>
    </w:p>
    <w:p>
      <w:pPr>
        <w:numPr>
          <w:ilvl w:val="0"/>
          <w:numId w:val="2078"/>
        </w:numPr>
        <w:pStyle w:val="Compact"/>
      </w:pPr>
      <w:r>
        <w:t xml:space="preserve">sanction;</w:t>
      </w:r>
    </w:p>
    <w:p>
      <w:pPr>
        <w:numPr>
          <w:ilvl w:val="0"/>
          <w:numId w:val="2078"/>
        </w:numPr>
        <w:pStyle w:val="Compact"/>
      </w:pPr>
      <w:r>
        <w:t xml:space="preserve">the KFS/APR engine per RBC para 29 and Annex I, with the KFS</w:t>
      </w:r>
      <w:r>
        <w:t xml:space="preserve"> </w:t>
      </w:r>
      <w:r>
        <w:rPr>
          <w:bCs/>
          <w:b/>
        </w:rPr>
        <w:t xml:space="preserve">validity period</w:t>
      </w:r>
      <w:r>
        <w:t xml:space="preserve"> </w:t>
      </w:r>
      <w:r>
        <w:t xml:space="preserve">(≥ 3 working days, or ≥ 1 for tenor &lt; 7 days). This is not a waiting period. Include the unique proposal number, the Part 2 disclosures and the APR golden test (₹20,000 / 24 months / 15% / ₹400 fees → 17.07%; RBC para 29(3)).</w:t>
      </w:r>
    </w:p>
    <w:p>
      <w:pPr>
        <w:pStyle w:val="BlockText"/>
      </w:pPr>
      <w:r>
        <w:t xml:space="preserve">Model the application state machine explicitly. Include a full E2E test from lead to sanction for the two MVP products.”</w:t>
      </w:r>
    </w:p>
    <w:bookmarkEnd w:id="855"/>
    <w:bookmarkStart w:id="856" w:name="X32a943d3d0ab653faeab9540007f18be7db9563"/>
    <w:p>
      <w:pPr>
        <w:pStyle w:val="Heading3"/>
      </w:pPr>
      <w:r>
        <w:t xml:space="preserve">Phase 8 — Documentation, execution, DMS and disbursement</w:t>
      </w:r>
    </w:p>
    <w:p>
      <w:pPr>
        <w:pStyle w:val="BlockText"/>
      </w:pPr>
      <w:r>
        <w:rPr>
          <w:bCs/>
          <w:b/>
        </w:rPr>
        <w:t xml:space="preserve">Instruction to Claude:</w:t>
      </w:r>
      <w:r>
        <w:t xml:space="preserve"> </w:t>
      </w:r>
      <w:r>
        <w:t xml:space="preserve">“Build:</w:t>
      </w:r>
    </w:p>
    <w:p>
      <w:pPr>
        <w:numPr>
          <w:ilvl w:val="0"/>
          <w:numId w:val="2079"/>
        </w:numPr>
        <w:pStyle w:val="Compact"/>
      </w:pPr>
      <w:r>
        <w:t xml:space="preserve">document templates and generation (Gotenberg);</w:t>
      </w:r>
    </w:p>
    <w:p>
      <w:pPr>
        <w:numPr>
          <w:ilvl w:val="0"/>
          <w:numId w:val="2079"/>
        </w:numPr>
        <w:pStyle w:val="Compact"/>
      </w:pPr>
      <w:r>
        <w:t xml:space="preserve">eSign, eStamp and NeSL DDE adapters that store verifiable signing evidence;</w:t>
      </w:r>
    </w:p>
    <w:p>
      <w:pPr>
        <w:numPr>
          <w:ilvl w:val="0"/>
          <w:numId w:val="2079"/>
        </w:numPr>
        <w:pStyle w:val="Compact"/>
      </w:pPr>
      <w:r>
        <w:t xml:space="preserve">the physical-execution path for instruments the IT Act First Schedule excludes (DP notes and other negotiable instruments except cheques, powers of attorney, immovable-property conveyances);</w:t>
      </w:r>
    </w:p>
    <w:p>
      <w:pPr>
        <w:numPr>
          <w:ilvl w:val="0"/>
          <w:numId w:val="2079"/>
        </w:numPr>
        <w:pStyle w:val="Compact"/>
      </w:pPr>
      <w:r>
        <w:t xml:space="preserve">the DMS with hashes, versions, retention and access logs;</w:t>
      </w:r>
    </w:p>
    <w:p>
      <w:pPr>
        <w:numPr>
          <w:ilvl w:val="0"/>
          <w:numId w:val="2079"/>
        </w:numPr>
        <w:pStyle w:val="Compact"/>
      </w:pPr>
      <w:r>
        <w:t xml:space="preserve">OTC/PDD tracking;</w:t>
      </w:r>
    </w:p>
    <w:p>
      <w:pPr>
        <w:numPr>
          <w:ilvl w:val="0"/>
          <w:numId w:val="2079"/>
        </w:numPr>
        <w:pStyle w:val="Compact"/>
      </w:pPr>
      <w:r>
        <w:t xml:space="preserve">mandate registration (eNACH/UPI AutoPay);</w:t>
      </w:r>
    </w:p>
    <w:p>
      <w:pPr>
        <w:numPr>
          <w:ilvl w:val="0"/>
          <w:numId w:val="2079"/>
        </w:numPr>
        <w:pStyle w:val="Compact"/>
      </w:pPr>
      <w:r>
        <w:t xml:space="preserve">the disbursement memo with pre-disbursement checks;</w:t>
      </w:r>
    </w:p>
    <w:p>
      <w:pPr>
        <w:numPr>
          <w:ilvl w:val="0"/>
          <w:numId w:val="2079"/>
        </w:numPr>
        <w:pStyle w:val="Compact"/>
      </w:pPr>
      <w:r>
        <w:t xml:space="preserve">penny-drop and payout adapters with duplicate-payment prevention;</w:t>
      </w:r>
    </w:p>
    <w:p>
      <w:pPr>
        <w:numPr>
          <w:ilvl w:val="0"/>
          <w:numId w:val="2079"/>
        </w:numPr>
        <w:pStyle w:val="Compact"/>
      </w:pPr>
      <w:r>
        <w:t xml:space="preserve">atomic loan booking with opening entries, including Ind AS deferred fees.</w:t>
      </w:r>
    </w:p>
    <w:p>
      <w:pPr>
        <w:pStyle w:val="BlockText"/>
      </w:pPr>
      <w:r>
        <w:t xml:space="preserve">Interest starts from the actual disbursement date. Include cooling-off handling for digital loans.”</w:t>
      </w:r>
    </w:p>
    <w:bookmarkEnd w:id="856"/>
    <w:bookmarkStart w:id="857" w:name="phase-8b-field-app-foundation"/>
    <w:p>
      <w:pPr>
        <w:pStyle w:val="Heading3"/>
      </w:pPr>
      <w:r>
        <w:t xml:space="preserve">Phase 8b — Field app foundation</w:t>
      </w:r>
    </w:p>
    <w:p>
      <w:pPr>
        <w:pStyle w:val="BlockText"/>
      </w:pPr>
      <w:r>
        <w:rPr>
          <w:bCs/>
          <w:b/>
        </w:rPr>
        <w:t xml:space="preserve">Instruction to Claude:</w:t>
      </w:r>
      <w:r>
        <w:t xml:space="preserve"> </w:t>
      </w:r>
      <w:r>
        <w:t xml:space="preserve">“Scaffold</w:t>
      </w:r>
      <w:r>
        <w:t xml:space="preserve"> </w:t>
      </w:r>
      <w:r>
        <w:rPr>
          <w:rStyle w:val="VerbatimChar"/>
        </w:rPr>
        <w:t xml:space="preserve">apps/field</w:t>
      </w:r>
      <w:r>
        <w:t xml:space="preserve"> </w:t>
      </w:r>
      <w:r>
        <w:t xml:space="preserve">(Expo React Native + TypeScript). Build:</w:t>
      </w:r>
    </w:p>
    <w:p>
      <w:pPr>
        <w:numPr>
          <w:ilvl w:val="0"/>
          <w:numId w:val="2080"/>
        </w:numPr>
        <w:pStyle w:val="Compact"/>
      </w:pPr>
      <w:r>
        <w:t xml:space="preserve">offline-first storage and sync with conflict resolution;</w:t>
      </w:r>
    </w:p>
    <w:p>
      <w:pPr>
        <w:numPr>
          <w:ilvl w:val="0"/>
          <w:numId w:val="2080"/>
        </w:numPr>
        <w:pStyle w:val="Compact"/>
      </w:pPr>
      <w:r>
        <w:t xml:space="preserve">device binding and remote wipe;</w:t>
      </w:r>
    </w:p>
    <w:p>
      <w:pPr>
        <w:numPr>
          <w:ilvl w:val="0"/>
          <w:numId w:val="2080"/>
        </w:numPr>
        <w:pStyle w:val="Compact"/>
      </w:pPr>
      <w:r>
        <w:t xml:space="preserve">just-in-time permissions (camera and location only when needed; never contacts, SMS or call logs);</w:t>
      </w:r>
    </w:p>
    <w:p>
      <w:pPr>
        <w:numPr>
          <w:ilvl w:val="0"/>
          <w:numId w:val="2080"/>
        </w:numPr>
        <w:pStyle w:val="Compact"/>
      </w:pPr>
      <w:r>
        <w:t xml:space="preserve">assisted KYC and document capture, including the KYC para 24 digital-KYC flow (live photo with watermark, officer-mobile block, dual OTP; Part 8A.21);</w:t>
      </w:r>
    </w:p>
    <w:p>
      <w:pPr>
        <w:numPr>
          <w:ilvl w:val="0"/>
          <w:numId w:val="2080"/>
        </w:numPr>
        <w:pStyle w:val="Compact"/>
      </w:pPr>
      <w:r>
        <w:t xml:space="preserve">FI/PD report capture.</w:t>
      </w:r>
    </w:p>
    <w:p>
      <w:pPr>
        <w:pStyle w:val="BlockText"/>
      </w:pPr>
      <w:r>
        <w:t xml:space="preserve">Plan distribution through managed Play Store/App Store or MDM, with a forced-update policy for incompatible versions.”</w:t>
      </w:r>
    </w:p>
    <w:bookmarkEnd w:id="857"/>
    <w:bookmarkStart w:id="858" w:name="Xb083a816e815b199027778856994b4dc6be2dc1"/>
    <w:p>
      <w:pPr>
        <w:pStyle w:val="Heading3"/>
      </w:pPr>
      <w:r>
        <w:t xml:space="preserve">Phase 8c — Udofin / LSP inbound connector (minimal)</w:t>
      </w:r>
    </w:p>
    <w:p>
      <w:pPr>
        <w:pStyle w:val="BlockText"/>
      </w:pPr>
      <w:r>
        <w:rPr>
          <w:bCs/>
          <w:b/>
        </w:rPr>
        <w:t xml:space="preserve">Instruction to Claude:</w:t>
      </w:r>
      <w:r>
        <w:t xml:space="preserve"> </w:t>
      </w:r>
      <w:r>
        <w:t xml:space="preserve">“Implement LSP contract v1 per Part 5 and the Ecosystem Integration Specification (Part 3 core and Parts 6.2–6.4, as sequenced in Integration Spec Part 15), using its canonical event names:</w:t>
      </w:r>
    </w:p>
    <w:p>
      <w:pPr>
        <w:numPr>
          <w:ilvl w:val="0"/>
          <w:numId w:val="2081"/>
        </w:numPr>
        <w:pStyle w:val="Compact"/>
      </w:pPr>
      <w:r>
        <w:t xml:space="preserve">OpenAPI/AsyncAPI;</w:t>
      </w:r>
    </w:p>
    <w:p>
      <w:pPr>
        <w:numPr>
          <w:ilvl w:val="0"/>
          <w:numId w:val="2081"/>
        </w:numPr>
        <w:pStyle w:val="Compact"/>
      </w:pPr>
      <w:r>
        <w:t xml:space="preserve">signed webhooks;</w:t>
      </w:r>
    </w:p>
    <w:p>
      <w:pPr>
        <w:numPr>
          <w:ilvl w:val="0"/>
          <w:numId w:val="2081"/>
        </w:numPr>
        <w:pStyle w:val="Compact"/>
      </w:pPr>
      <w:r>
        <w:t xml:space="preserve">idempotency;</w:t>
      </w:r>
    </w:p>
    <w:p>
      <w:pPr>
        <w:numPr>
          <w:ilvl w:val="0"/>
          <w:numId w:val="2081"/>
        </w:numPr>
        <w:pStyle w:val="Compact"/>
      </w:pPr>
      <w:r>
        <w:t xml:space="preserve">application intake with consent artefacts;</w:t>
      </w:r>
    </w:p>
    <w:p>
      <w:pPr>
        <w:numPr>
          <w:ilvl w:val="0"/>
          <w:numId w:val="2081"/>
        </w:numPr>
        <w:pStyle w:val="Compact"/>
      </w:pPr>
      <w:r>
        <w:t xml:space="preserve">status and decision callbacks;</w:t>
      </w:r>
    </w:p>
    <w:p>
      <w:pPr>
        <w:numPr>
          <w:ilvl w:val="0"/>
          <w:numId w:val="2081"/>
        </w:numPr>
        <w:pStyle w:val="Compact"/>
      </w:pPr>
      <w:r>
        <w:t xml:space="preserve">KFS and sanction publication;</w:t>
      </w:r>
    </w:p>
    <w:p>
      <w:pPr>
        <w:numPr>
          <w:ilvl w:val="0"/>
          <w:numId w:val="2081"/>
        </w:numPr>
        <w:pStyle w:val="Compact"/>
      </w:pPr>
      <w:r>
        <w:t xml:space="preserve">intake of signing evidence;</w:t>
      </w:r>
    </w:p>
    <w:p>
      <w:pPr>
        <w:numPr>
          <w:ilvl w:val="0"/>
          <w:numId w:val="2081"/>
        </w:numPr>
        <w:pStyle w:val="Compact"/>
      </w:pPr>
      <w:r>
        <w:t xml:space="preserve">disbursement and repayment events;</w:t>
      </w:r>
    </w:p>
    <w:p>
      <w:pPr>
        <w:numPr>
          <w:ilvl w:val="0"/>
          <w:numId w:val="2081"/>
        </w:numPr>
        <w:pStyle w:val="Compact"/>
      </w:pPr>
      <w:r>
        <w:t xml:space="preserve">daily reconciliation file.</w:t>
      </w:r>
    </w:p>
    <w:p>
      <w:pPr>
        <w:pStyle w:val="BlockText"/>
      </w:pPr>
      <w:r>
        <w:t xml:space="preserve">Add Pact contract tests with Udofin. Prove that Finbyx keeps operating when Udofin is unavailable.”</w:t>
      </w:r>
    </w:p>
    <w:bookmarkEnd w:id="858"/>
    <w:bookmarkStart w:id="859" w:name="phase-9-servicing-lms-and-cob"/>
    <w:p>
      <w:pPr>
        <w:pStyle w:val="Heading3"/>
      </w:pPr>
      <w:r>
        <w:t xml:space="preserve">Phase 9 — Servicing (LMS) and COB</w:t>
      </w:r>
    </w:p>
    <w:p>
      <w:pPr>
        <w:pStyle w:val="BlockText"/>
      </w:pPr>
      <w:r>
        <w:rPr>
          <w:bCs/>
          <w:b/>
        </w:rPr>
        <w:t xml:space="preserve">Instruction to Claude:</w:t>
      </w:r>
      <w:r>
        <w:t xml:space="preserve"> </w:t>
      </w:r>
      <w:r>
        <w:t xml:space="preserve">“Build:</w:t>
      </w:r>
    </w:p>
    <w:p>
      <w:pPr>
        <w:numPr>
          <w:ilvl w:val="0"/>
          <w:numId w:val="2082"/>
        </w:numPr>
        <w:pStyle w:val="Compact"/>
      </w:pPr>
      <w:r>
        <w:t xml:space="preserve">the loan 360 view;</w:t>
      </w:r>
    </w:p>
    <w:p>
      <w:pPr>
        <w:numPr>
          <w:ilvl w:val="0"/>
          <w:numId w:val="2082"/>
        </w:numPr>
        <w:pStyle w:val="Compact"/>
      </w:pPr>
      <w:r>
        <w:t xml:space="preserve">daily accrual;</w:t>
      </w:r>
    </w:p>
    <w:p>
      <w:pPr>
        <w:numPr>
          <w:ilvl w:val="0"/>
          <w:numId w:val="2082"/>
        </w:numPr>
        <w:pStyle w:val="Compact"/>
      </w:pPr>
      <w:r>
        <w:t xml:space="preserve">an EIR amortisation stub driven by the Phase 4 rules;</w:t>
      </w:r>
    </w:p>
    <w:p>
      <w:pPr>
        <w:numPr>
          <w:ilvl w:val="0"/>
          <w:numId w:val="2082"/>
        </w:numPr>
        <w:pStyle w:val="Compact"/>
      </w:pPr>
      <w:r>
        <w:t xml:space="preserve">penal charges as charges;</w:t>
      </w:r>
    </w:p>
    <w:p>
      <w:pPr>
        <w:numPr>
          <w:ilvl w:val="0"/>
          <w:numId w:val="2082"/>
        </w:numPr>
        <w:pStyle w:val="Compact"/>
      </w:pPr>
      <w:r>
        <w:t xml:space="preserve">repayments with allocation;</w:t>
      </w:r>
    </w:p>
    <w:p>
      <w:pPr>
        <w:numPr>
          <w:ilvl w:val="0"/>
          <w:numId w:val="2082"/>
        </w:numPr>
        <w:pStyle w:val="Compact"/>
      </w:pPr>
      <w:r>
        <w:t xml:space="preserve">part-prepayment and foreclosure quotes with the prepayment-charge engine (RBC paras 33–34, 81);</w:t>
      </w:r>
    </w:p>
    <w:p>
      <w:pPr>
        <w:numPr>
          <w:ilvl w:val="0"/>
          <w:numId w:val="2082"/>
        </w:numPr>
        <w:pStyle w:val="Compact"/>
      </w:pPr>
      <w:r>
        <w:t xml:space="preserve">floating-rate resets with borrower options;</w:t>
      </w:r>
    </w:p>
    <w:p>
      <w:pPr>
        <w:numPr>
          <w:ilvl w:val="0"/>
          <w:numId w:val="2082"/>
        </w:numPr>
        <w:pStyle w:val="Compact"/>
      </w:pPr>
      <w:r>
        <w:t xml:space="preserve">restructuring and rescheduling with classification impact;</w:t>
      </w:r>
    </w:p>
    <w:p>
      <w:pPr>
        <w:numPr>
          <w:ilvl w:val="0"/>
          <w:numId w:val="2082"/>
        </w:numPr>
        <w:pStyle w:val="Compact"/>
      </w:pPr>
      <w:r>
        <w:t xml:space="preserve">top-up and balance transfer;</w:t>
      </w:r>
    </w:p>
    <w:p>
      <w:pPr>
        <w:numPr>
          <w:ilvl w:val="0"/>
          <w:numId w:val="2082"/>
        </w:numPr>
        <w:pStyle w:val="Compact"/>
      </w:pPr>
      <w:r>
        <w:t xml:space="preserve">service requests and certificates;</w:t>
      </w:r>
    </w:p>
    <w:p>
      <w:pPr>
        <w:numPr>
          <w:ilvl w:val="0"/>
          <w:numId w:val="2082"/>
        </w:numPr>
        <w:pStyle w:val="Compact"/>
      </w:pPr>
      <w:r>
        <w:t xml:space="preserve">closure, NOC, and the document-release SLA with compensation;</w:t>
      </w:r>
    </w:p>
    <w:p>
      <w:pPr>
        <w:numPr>
          <w:ilvl w:val="0"/>
          <w:numId w:val="2082"/>
        </w:numPr>
        <w:pStyle w:val="Compact"/>
      </w:pPr>
      <w:r>
        <w:t xml:space="preserve">write-off.</w:t>
      </w:r>
    </w:p>
    <w:p>
      <w:pPr>
        <w:pStyle w:val="BlockText"/>
      </w:pPr>
      <w:r>
        <w:t xml:space="preserve">Build the COB orchestrator using the two-pass design in Part 4.2E:</w:t>
      </w:r>
    </w:p>
    <w:p>
      <w:pPr>
        <w:numPr>
          <w:ilvl w:val="0"/>
          <w:numId w:val="2083"/>
        </w:numPr>
        <w:pStyle w:val="Compact"/>
      </w:pPr>
      <w:r>
        <w:t xml:space="preserve">per-loan pass A;</w:t>
      </w:r>
    </w:p>
    <w:p>
      <w:pPr>
        <w:numPr>
          <w:ilvl w:val="0"/>
          <w:numId w:val="2083"/>
        </w:numPr>
        <w:pStyle w:val="Compact"/>
      </w:pPr>
      <w:r>
        <w:t xml:space="preserve">a cross-loan barrier for borrower-level SMA/NPA classification and upgrade;</w:t>
      </w:r>
    </w:p>
    <w:p>
      <w:pPr>
        <w:numPr>
          <w:ilvl w:val="0"/>
          <w:numId w:val="2083"/>
        </w:numPr>
        <w:pStyle w:val="Compact"/>
      </w:pPr>
      <w:r>
        <w:t xml:space="preserve">per-loan pass B for income recognition and derecognition, EIR and provisioning.</w:t>
      </w:r>
    </w:p>
    <w:p>
      <w:pPr>
        <w:pStyle w:val="BlockText"/>
      </w:pPr>
      <w:r>
        <w:t xml:space="preserve">Add catch-up, inline COB, partitioned workers and the EOD exceptions dashboard. Load-test COB at 1 million loans.”</w:t>
      </w:r>
    </w:p>
    <w:bookmarkEnd w:id="859"/>
    <w:bookmarkStart w:id="860" w:name="phase-10-payments-and-reconciliation"/>
    <w:p>
      <w:pPr>
        <w:pStyle w:val="Heading3"/>
      </w:pPr>
      <w:r>
        <w:t xml:space="preserve">Phase 10 — Payments and reconciliation</w:t>
      </w:r>
    </w:p>
    <w:p>
      <w:pPr>
        <w:pStyle w:val="BlockText"/>
      </w:pPr>
      <w:r>
        <w:rPr>
          <w:bCs/>
          <w:b/>
        </w:rPr>
        <w:t xml:space="preserve">Instruction to Claude:</w:t>
      </w:r>
      <w:r>
        <w:t xml:space="preserve"> </w:t>
      </w:r>
      <w:r>
        <w:t xml:space="preserve">“Build:</w:t>
      </w:r>
    </w:p>
    <w:p>
      <w:pPr>
        <w:numPr>
          <w:ilvl w:val="0"/>
          <w:numId w:val="2084"/>
        </w:numPr>
        <w:pStyle w:val="Compact"/>
      </w:pPr>
      <w:r>
        <w:t xml:space="preserve">the mandate lifecycle;</w:t>
      </w:r>
    </w:p>
    <w:p>
      <w:pPr>
        <w:numPr>
          <w:ilvl w:val="0"/>
          <w:numId w:val="2084"/>
        </w:numPr>
        <w:pStyle w:val="Compact"/>
      </w:pPr>
      <w:r>
        <w:t xml:space="preserve">the presentation engine per sponsor bank, with cut-offs;</w:t>
      </w:r>
    </w:p>
    <w:p>
      <w:pPr>
        <w:numPr>
          <w:ilvl w:val="0"/>
          <w:numId w:val="2084"/>
        </w:numPr>
        <w:pStyle w:val="Compact"/>
      </w:pPr>
      <w:r>
        <w:t xml:space="preserve">re-presentation, and bounce processing with charges;</w:t>
      </w:r>
    </w:p>
    <w:p>
      <w:pPr>
        <w:numPr>
          <w:ilvl w:val="0"/>
          <w:numId w:val="2084"/>
        </w:numPr>
        <w:pStyle w:val="Compact"/>
      </w:pPr>
      <w:r>
        <w:t xml:space="preserve">UPI intent, QR and payment links;</w:t>
      </w:r>
    </w:p>
    <w:p>
      <w:pPr>
        <w:numPr>
          <w:ilvl w:val="0"/>
          <w:numId w:val="2084"/>
        </w:numPr>
        <w:pStyle w:val="Compact"/>
      </w:pPr>
      <w:r>
        <w:t xml:space="preserve">virtual accounts;</w:t>
      </w:r>
    </w:p>
    <w:p>
      <w:pPr>
        <w:numPr>
          <w:ilvl w:val="0"/>
          <w:numId w:val="2084"/>
        </w:numPr>
        <w:pStyle w:val="Compact"/>
      </w:pPr>
      <w:r>
        <w:t xml:space="preserve">the BBPS biller adapter;</w:t>
      </w:r>
    </w:p>
    <w:p>
      <w:pPr>
        <w:numPr>
          <w:ilvl w:val="0"/>
          <w:numId w:val="2084"/>
        </w:numPr>
        <w:pStyle w:val="Compact"/>
      </w:pPr>
      <w:r>
        <w:t xml:space="preserve">branch cash and cheque deposit tracking;</w:t>
      </w:r>
    </w:p>
    <w:p>
      <w:pPr>
        <w:numPr>
          <w:ilvl w:val="0"/>
          <w:numId w:val="2084"/>
        </w:numPr>
        <w:pStyle w:val="Compact"/>
      </w:pPr>
      <w:r>
        <w:t xml:space="preserve">three-way reconciliation with exception queues and suspense ageing.</w:t>
      </w:r>
    </w:p>
    <w:p>
      <w:pPr>
        <w:pStyle w:val="BlockText"/>
      </w:pPr>
      <w:r>
        <w:t xml:space="preserve">A provider success response never finalises a payment without settlement confirmation. Add Stripe/PayPal adapters only for cross-border or SaaS billing, with an ADR.”</w:t>
      </w:r>
    </w:p>
    <w:bookmarkEnd w:id="860"/>
    <w:bookmarkStart w:id="861" w:name="phase-11-collections"/>
    <w:p>
      <w:pPr>
        <w:pStyle w:val="Heading3"/>
      </w:pPr>
      <w:r>
        <w:t xml:space="preserve">Phase 11 — Collections</w:t>
      </w:r>
    </w:p>
    <w:p>
      <w:pPr>
        <w:pStyle w:val="BlockText"/>
      </w:pPr>
      <w:r>
        <w:rPr>
          <w:bCs/>
          <w:b/>
        </w:rPr>
        <w:t xml:space="preserve">Instruction to Claude:</w:t>
      </w:r>
      <w:r>
        <w:t xml:space="preserve"> </w:t>
      </w:r>
      <w:r>
        <w:t xml:space="preserve">“Verify the RBC Third Amendment Directions, 2026 text first. Then build:</w:t>
      </w:r>
    </w:p>
    <w:p>
      <w:pPr>
        <w:numPr>
          <w:ilvl w:val="0"/>
          <w:numId w:val="2085"/>
        </w:numPr>
        <w:pStyle w:val="Compact"/>
      </w:pPr>
      <w:r>
        <w:t xml:space="preserve">segmentation and bucket strategies triggered by COB DPD changes;</w:t>
      </w:r>
    </w:p>
    <w:p>
      <w:pPr>
        <w:numPr>
          <w:ilvl w:val="0"/>
          <w:numId w:val="2085"/>
        </w:numPr>
        <w:pStyle w:val="Compact"/>
      </w:pPr>
      <w:r>
        <w:t xml:space="preserve">rule-based allocation;</w:t>
      </w:r>
    </w:p>
    <w:p>
      <w:pPr>
        <w:numPr>
          <w:ilvl w:val="0"/>
          <w:numId w:val="2085"/>
        </w:numPr>
        <w:pStyle w:val="Compact"/>
      </w:pPr>
      <w:r>
        <w:t xml:space="preserve">the telecalling workspace with dispositions and PTP;</w:t>
      </w:r>
    </w:p>
    <w:p>
      <w:pPr>
        <w:numPr>
          <w:ilvl w:val="0"/>
          <w:numId w:val="2085"/>
        </w:numPr>
        <w:pStyle w:val="Compact"/>
      </w:pPr>
      <w:r>
        <w:t xml:space="preserve">field collections in the field app (offline, geo-tag, digital receipts, cash limits, same-day deposit);</w:t>
      </w:r>
    </w:p>
    <w:p>
      <w:pPr>
        <w:numPr>
          <w:ilvl w:val="0"/>
          <w:numId w:val="2085"/>
        </w:numPr>
        <w:pStyle w:val="Compact"/>
      </w:pPr>
      <w:r>
        <w:t xml:space="preserve">agency management with the IIBF certification register;</w:t>
      </w:r>
    </w:p>
    <w:p>
      <w:pPr>
        <w:numPr>
          <w:ilvl w:val="0"/>
          <w:numId w:val="2085"/>
        </w:numPr>
        <w:pStyle w:val="Compact"/>
      </w:pPr>
      <w:r>
        <w:t xml:space="preserve">the effective-dated contact-policy engine from Phase 3b (current RBC paras 89–100; paras 100A–100AB from 1 Jan 2027 under RBI/2026-27/230 of 6 Aug 2026 (confirmed; the official text is not in the supplied set, so re-check paragraph numbers when it is));</w:t>
      </w:r>
    </w:p>
    <w:p>
      <w:pPr>
        <w:numPr>
          <w:ilvl w:val="0"/>
          <w:numId w:val="2085"/>
        </w:numPr>
        <w:pStyle w:val="Compact"/>
      </w:pPr>
      <w:r>
        <w:t xml:space="preserve">mandatory call recording and retention (para 100P);</w:t>
      </w:r>
    </w:p>
    <w:p>
      <w:pPr>
        <w:numPr>
          <w:ilvl w:val="0"/>
          <w:numId w:val="2085"/>
        </w:numPr>
        <w:pStyle w:val="Compact"/>
      </w:pPr>
      <w:r>
        <w:t xml:space="preserve">pre-visit intimation (para 100L) and visit conditions (para 100Y(5));</w:t>
      </w:r>
    </w:p>
    <w:p>
      <w:pPr>
        <w:numPr>
          <w:ilvl w:val="0"/>
          <w:numId w:val="2085"/>
        </w:numPr>
        <w:pStyle w:val="Compact"/>
      </w:pPr>
      <w:r>
        <w:t xml:space="preserve">borrower default/DPD alerts sent with each CIC submission (CIR para 34(1)(i)), and recovery-agent particulars sent before first contact on digital loans (CF para 9(6)).”</w:t>
      </w:r>
    </w:p>
    <w:bookmarkEnd w:id="861"/>
    <w:bookmarkStart w:id="862" w:name="phase-12-recovery-suite-core-attachable"/>
    <w:p>
      <w:pPr>
        <w:pStyle w:val="Heading3"/>
      </w:pPr>
      <w:r>
        <w:t xml:space="preserve">Phase 12 — Recovery Suite core (attachable)</w:t>
      </w:r>
    </w:p>
    <w:p>
      <w:pPr>
        <w:pStyle w:val="BlockText"/>
      </w:pPr>
      <w:r>
        <w:rPr>
          <w:bCs/>
          <w:b/>
        </w:rPr>
        <w:t xml:space="preserve">Instruction to Claude:</w:t>
      </w:r>
      <w:r>
        <w:t xml:space="preserve"> </w:t>
      </w:r>
      <w:r>
        <w:t xml:space="preserve">“Before writing the specification, verify: (i) the RBC Third Amendment Directions, 2026 (RBI/2026-27/230, 6 Aug 2026, effective 1 Jan 2027) against the contact-policy rule pack built in Phases 3b and 11, recording that the official text is not yet in docs/regulations/rbi/; (ii) the current version of docs/ecosystem/infrabyx-integration-spec.md; (iii) the Part 7A module boundaries. Then build the Recovery Suite core as an attachable module pack, in the</w:t>
      </w:r>
      <w:r>
        <w:t xml:space="preserve"> </w:t>
      </w:r>
      <w:r>
        <w:rPr>
          <w:rStyle w:val="VerbatimChar"/>
        </w:rPr>
        <w:t xml:space="preserve">packages/recovery-*</w:t>
      </w:r>
      <w:r>
        <w:t xml:space="preserve"> </w:t>
      </w:r>
      <w:r>
        <w:t xml:space="preserve">domain packages behind the stable contract of 7A.0:</w:t>
      </w:r>
    </w:p>
    <w:p>
      <w:pPr>
        <w:numPr>
          <w:ilvl w:val="0"/>
          <w:numId w:val="2086"/>
        </w:numPr>
        <w:pStyle w:val="Compact"/>
      </w:pPr>
      <w:r>
        <w:rPr>
          <w:bCs/>
          <w:b/>
        </w:rPr>
        <w:t xml:space="preserve">7A.0 attach and detach:</w:t>
      </w:r>
      <w:r>
        <w:t xml:space="preserve"> </w:t>
      </w:r>
      <w:r>
        <w:t xml:space="preserve">a</w:t>
      </w:r>
      <w:r>
        <w:t xml:space="preserve"> </w:t>
      </w:r>
      <w:r>
        <w:rPr>
          <w:rStyle w:val="VerbatimChar"/>
        </w:rPr>
        <w:t xml:space="preserve">module.yaml</w:t>
      </w:r>
      <w:r>
        <w:t xml:space="preserve"> </w:t>
      </w:r>
      <w:r>
        <w:t xml:space="preserve">manifest per module (id, version, requires, capabilities, events produced and consumed, APIs, permissions, data categories, regulatory refs, retention class, licence SKU, UI slots, migrations); the lifecycle AVAILABLE → LICENSED → INSTALLED → CONFIGURED (maker-checker) → CERTIFIED → ENABLED → READ_ONLY → DETACHED (7A.0.3); entitlement and flag checks on the server for every call (flag keys</w:t>
      </w:r>
      <w:r>
        <w:t xml:space="preserve"> </w:t>
      </w:r>
      <w:r>
        <w:rPr>
          <w:rStyle w:val="VerbatimChar"/>
        </w:rPr>
        <w:t xml:space="preserve">mod.[module].[capability]</w:t>
      </w:r>
      <w:r>
        <w:t xml:space="preserve">);</w:t>
      </w:r>
      <w:r>
        <w:t xml:space="preserve"> </w:t>
      </w:r>
      <w:r>
        <w:rPr>
          <w:rStyle w:val="VerbatimChar"/>
        </w:rPr>
        <w:t xml:space="preserve">ModuleAttached</w:t>
      </w:r>
      <w:r>
        <w:t xml:space="preserve"> </w:t>
      </w:r>
      <w:r>
        <w:t xml:space="preserve">and</w:t>
      </w:r>
      <w:r>
        <w:t xml:space="preserve"> </w:t>
      </w:r>
      <w:r>
        <w:rPr>
          <w:rStyle w:val="VerbatimChar"/>
        </w:rPr>
        <w:t xml:space="preserve">ModuleDetached</w:t>
      </w:r>
      <w:r>
        <w:t xml:space="preserve"> </w:t>
      </w:r>
      <w:r>
        <w:t xml:space="preserve">events (Integration Spec Part 6.16, Platform). Detaching turns off writes and UI, produces a hashed export pack and keeps every record read-only under legal hold until closure plus the retention period.</w:t>
      </w:r>
      <w:r>
        <w:t xml:space="preserve"> </w:t>
      </w:r>
      <w:r>
        <w:rPr>
          <w:bCs/>
          <w:b/>
        </w:rPr>
        <w:t xml:space="preserve">Nothing is deleted on detach.</w:t>
      </w:r>
    </w:p>
    <w:p>
      <w:pPr>
        <w:numPr>
          <w:ilvl w:val="0"/>
          <w:numId w:val="2086"/>
        </w:numPr>
        <w:pStyle w:val="Compact"/>
      </w:pPr>
      <w:r>
        <w:rPr>
          <w:bCs/>
          <w:b/>
        </w:rPr>
        <w:t xml:space="preserve">R1 case management and strategy engine:</w:t>
      </w:r>
      <w:r>
        <w:t xml:space="preserve"> </w:t>
      </w:r>
      <w:r>
        <w:t xml:space="preserve">case opening from M8 hand-off rules; strategy per product playbook key (Part 6.3); the</w:t>
      </w:r>
      <w:r>
        <w:t xml:space="preserve"> </w:t>
      </w:r>
      <w:r>
        <w:rPr>
          <w:bCs/>
          <w:b/>
        </w:rPr>
        <w:t xml:space="preserve">mechanism-selection engine</w:t>
      </w:r>
      <w:r>
        <w:t xml:space="preserve">, which evaluates every mechanism on every material event and logs the permitted set with blocking reasons (for example SARFAESI blocked below the NBFC threshold or without CERSAI registration, s.26D; DRT blocked for an NBFC not notified under RDB s.2(h)(ii); arbitration blocked without a pre-named institution or post-dispute consent); the</w:t>
      </w:r>
      <w:r>
        <w:t xml:space="preserve"> </w:t>
      </w:r>
      <w:r>
        <w:rPr>
          <w:bCs/>
          <w:b/>
        </w:rPr>
        <w:t xml:space="preserve">limitation engine</w:t>
      </w:r>
      <w:r>
        <w:t xml:space="preserve"> </w:t>
      </w:r>
      <w:r>
        <w:t xml:space="preserve">(Limitation Act Arts. 19, 21, 55, 62, 136 and 137; rebase only on a written signed acknowledgment, s.18, or a documented part-payment, s.19; no reset on death, s.9; alerts at T−180, T−90 and T−30 days).</w:t>
      </w:r>
    </w:p>
    <w:p>
      <w:pPr>
        <w:numPr>
          <w:ilvl w:val="0"/>
          <w:numId w:val="2086"/>
        </w:numPr>
        <w:pStyle w:val="Compact"/>
      </w:pPr>
      <w:r>
        <w:rPr>
          <w:bCs/>
          <w:b/>
        </w:rPr>
        <w:t xml:space="preserve">R2 pre-legal recovery, field investigation and skip tracing:</w:t>
      </w:r>
      <w:r>
        <w:t xml:space="preserve"> </w:t>
      </w:r>
      <w:r>
        <w:t xml:space="preserve">lawful sources only, no disclosure of the debt to third parties, purpose LOCATE logged (DPDP Act s.17(1)(f) basis [VERIFY: wording and commencement]).</w:t>
      </w:r>
    </w:p>
    <w:p>
      <w:pPr>
        <w:numPr>
          <w:ilvl w:val="0"/>
          <w:numId w:val="2086"/>
        </w:numPr>
        <w:pStyle w:val="Compact"/>
      </w:pPr>
      <w:r>
        <w:rPr>
          <w:bCs/>
          <w:b/>
        </w:rPr>
        <w:t xml:space="preserve">R3 legal notices, letters and document automation:</w:t>
      </w:r>
      <w:r>
        <w:t xml:space="preserve"> </w:t>
      </w:r>
      <w:r>
        <w:t xml:space="preserve">clause library with statute citations; vernacular templates with human check (RBC 10); PDF/A with QR hash; DSC or eSign; outward register; dispatch adapters for India Post Speed Post with proof of delivery (Registered Post merged into Speed Post on 1 Sep 2025), couriers, email, DLT SMS and print-to-post; no WhatsApp channel for recovery or statutory notices (WhatsApp Business Messaging Policy prohibits debt-collection use; guard-rail 7A.0.6); a proof-of-service register per party per mode;</w:t>
      </w:r>
      <w:r>
        <w:t xml:space="preserve"> </w:t>
      </w:r>
      <w:r>
        <w:rPr>
          <w:bCs/>
          <w:b/>
        </w:rPr>
        <w:t xml:space="preserve">no deemed-served state without evidence</w:t>
      </w:r>
      <w:r>
        <w:t xml:space="preserve"> </w:t>
      </w:r>
      <w:r>
        <w:t xml:space="preserve">(</w:t>
      </w:r>
      <w:r>
        <w:rPr>
          <w:iCs/>
          <w:i/>
        </w:rPr>
        <w:t xml:space="preserve">Sedhram Nilkanth Muglikar v M.R. Makhare</w:t>
      </w:r>
      <w:r>
        <w:t xml:space="preserve">, Bom HC, 2026).</w:t>
      </w:r>
    </w:p>
    <w:p>
      <w:pPr>
        <w:numPr>
          <w:ilvl w:val="0"/>
          <w:numId w:val="2086"/>
        </w:numPr>
        <w:pStyle w:val="Compact"/>
      </w:pPr>
      <w:r>
        <w:rPr>
          <w:bCs/>
          <w:b/>
        </w:rPr>
        <w:t xml:space="preserve">R7 cheque and mandate dishonour:</w:t>
      </w:r>
      <w:r>
        <w:t xml:space="preserve"> </w:t>
      </w:r>
      <w:r>
        <w:t xml:space="preserve">NI Act s.138 and PSS Act s.25 — notice within 30 days of receiving information of dishonour, 15 days for payment, complaint within one month of the cause of action with a condonation flag (s.142(1)(b)), filed where the payee’s bank branch is (s.142(2)); summons by electronic modes and payment link, early s.143A, compounding-cost tiers (</w:t>
      </w:r>
      <w:r>
        <w:rPr>
          <w:iCs/>
          <w:i/>
        </w:rPr>
        <w:t xml:space="preserve">Sanjabij Tari v Kishore S. Borcar</w:t>
      </w:r>
      <w:r>
        <w:t xml:space="preserve">, 2025 INSC 1158, 25 Sep 2025); if the drawer company is under moratorium, proceed against its officers.</w:t>
      </w:r>
    </w:p>
    <w:p>
      <w:pPr>
        <w:numPr>
          <w:ilvl w:val="0"/>
          <w:numId w:val="2086"/>
        </w:numPr>
        <w:pStyle w:val="Compact"/>
      </w:pPr>
      <w:r>
        <w:rPr>
          <w:bCs/>
          <w:b/>
        </w:rPr>
        <w:t xml:space="preserve">R9 litigation and proceedings tracker:</w:t>
      </w:r>
      <w:r>
        <w:t xml:space="preserve"> </w:t>
      </w:r>
      <w:r>
        <w:t xml:space="preserve">offensive and defensive matters in every forum (magistrate, civil and commercial courts, DRT and DRAT, NCLT and NCLAT, High Courts, Supreme Court, consumer commissions, arbitral tribunals, Lok Adalat and Permanent Lok Adalat, RB-IOS); CNR sync through the court-data adapter and daily cause-list matching; hearings, orders, directions as tasks, stays as holds on R1 actions; borrower-initiated matters (s.17 SARFAESI, Permanent Lok Adalat, writs) as a separate stream. SARFAESI, DRT and IBC matters are tracked manually here until Phase 17b.</w:t>
      </w:r>
    </w:p>
    <w:p>
      <w:pPr>
        <w:numPr>
          <w:ilvl w:val="0"/>
          <w:numId w:val="2086"/>
        </w:numPr>
        <w:pStyle w:val="Compact"/>
      </w:pPr>
      <w:r>
        <w:rPr>
          <w:bCs/>
          <w:b/>
        </w:rPr>
        <w:t xml:space="preserve">R11 counsel, agency and vendor management:</w:t>
      </w:r>
      <w:r>
        <w:t xml:space="preserve"> </w:t>
      </w:r>
      <w:r>
        <w:t xml:space="preserve">empanelment with outsourcing due diligence (OUT 30, 34) and conflict checks; agent police verification and IIBF certificate register (RBC 100I from 1 Jan 2027); agency list on the website updated within 7 days (RBC 100K); counsel portal limited to assigned matters; bills with RCM GST and TDS.</w:t>
      </w:r>
    </w:p>
    <w:p>
      <w:pPr>
        <w:numPr>
          <w:ilvl w:val="0"/>
          <w:numId w:val="2086"/>
        </w:numPr>
        <w:pStyle w:val="Compact"/>
      </w:pPr>
      <w:r>
        <w:rPr>
          <w:bCs/>
          <w:b/>
        </w:rPr>
        <w:t xml:space="preserve">R12 recovery accounting and finance:</w:t>
      </w:r>
      <w:r>
        <w:t xml:space="preserve"> </w:t>
      </w:r>
      <w:r>
        <w:t xml:space="preserve">versioned appropriation policy objects (contract first, else Indian Contract Act ss.59–61); legal-cost memo ledger, never a receivable on an NPA; post-write-off and technical write-off sub-ledgers (RSA 10(18), 91–94); RCM GST on advocate and recovery-agent fees (Notification 13/2017-CT(Rate)); TDS on professional fees [VERIFY: Income-tax Act 2025 s.393 table entry]; postings through M10 and exports to Tally Prime and SAP.</w:t>
      </w:r>
    </w:p>
    <w:p>
      <w:pPr>
        <w:numPr>
          <w:ilvl w:val="0"/>
          <w:numId w:val="2086"/>
        </w:numPr>
        <w:pStyle w:val="Compact"/>
      </w:pPr>
      <w:r>
        <w:rPr>
          <w:bCs/>
          <w:b/>
        </w:rPr>
        <w:t xml:space="preserve">R14 analytics, registers, reporting and exports:</w:t>
      </w:r>
      <w:r>
        <w:t xml:space="preserve"> </w:t>
      </w:r>
      <w:r>
        <w:t xml:space="preserve">NPA, notice, litigation, agent, settlement, write-off and possessed-asset registers; CSV, XLSX, JSON (schema-versioned), XML, PDF/A, Tally Prime XML, SAP and API exports.</w:t>
      </w:r>
    </w:p>
    <w:p>
      <w:pPr>
        <w:numPr>
          <w:ilvl w:val="0"/>
          <w:numId w:val="2086"/>
        </w:numPr>
        <w:pStyle w:val="Compact"/>
      </w:pPr>
      <w:r>
        <w:rPr>
          <w:bCs/>
          <w:b/>
        </w:rPr>
        <w:t xml:space="preserve">R15 conduct, compliance and evidence controls:</w:t>
      </w:r>
      <w:r>
        <w:t xml:space="preserve"> </w:t>
      </w:r>
      <w:r>
        <w:t xml:space="preserve">the contact-policy pre-check on every outbound recovery action (08:00–19:00, microfinance 09:00–18:00 until 31 Dec 2026, Third Amendment rule pack from 1 Jan 2027); call recording retention of at least 6 months, longer while sub judice (RBC 100P); grievance-officer block on every recovery communication (RBC 100AA); control results and evidence published as</w:t>
      </w:r>
      <w:r>
        <w:t xml:space="preserve"> </w:t>
      </w:r>
      <w:r>
        <w:rPr>
          <w:rStyle w:val="VerbatimChar"/>
        </w:rPr>
        <w:t xml:space="preserve">ControlTestResultPublished</w:t>
      </w:r>
      <w:r>
        <w:t xml:space="preserve"> </w:t>
      </w:r>
      <w:r>
        <w:t xml:space="preserve">and</w:t>
      </w:r>
      <w:r>
        <w:t xml:space="preserve"> </w:t>
      </w:r>
      <w:r>
        <w:rPr>
          <w:rStyle w:val="VerbatimChar"/>
        </w:rPr>
        <w:t xml:space="preserve">EvidenceSubmitted</w:t>
      </w:r>
      <w:r>
        <w:t xml:space="preserve"> </w:t>
      </w:r>
      <w:r>
        <w:t xml:space="preserve">through the outbox; delivery to the embedded M14 or the LawDocsComply bridge is wired in Phase 14, and to third-party GRC tools in Phase 16b.</w:t>
      </w:r>
    </w:p>
    <w:p>
      <w:pPr>
        <w:numPr>
          <w:ilvl w:val="0"/>
          <w:numId w:val="2086"/>
        </w:numPr>
        <w:pStyle w:val="Compact"/>
      </w:pPr>
      <w:r>
        <w:t xml:space="preserve">Carried over from v1.3: the wilful-defaulter workflow (R15.6; WD paras 5–7, 10, 13–15; ML and above) with monthly Annex I/II CIC files and the pre-transfer gate (WD 14); write-off and post-write-off recovery (R12).</w:t>
      </w:r>
    </w:p>
    <w:p>
      <w:pPr>
        <w:pStyle w:val="BlockText"/>
      </w:pPr>
      <w:r>
        <w:t xml:space="preserve">Publish, with JSON Schemas in the registry and Pact tests, the events of Integration Spec Parts 6.7 (Collections:</w:t>
      </w:r>
      <w:r>
        <w:t xml:space="preserve"> </w:t>
      </w:r>
      <w:r>
        <w:rPr>
          <w:rStyle w:val="VerbatimChar"/>
        </w:rPr>
        <w:t xml:space="preserve">RecoveryAgentNoticeSent</w:t>
      </w:r>
      <w:r>
        <w:t xml:space="preserve">), 6.8 (Recovery) and 6.10 (Litigation) that these modules own:</w:t>
      </w:r>
      <w:r>
        <w:t xml:space="preserve"> </w:t>
      </w:r>
      <w:r>
        <w:rPr>
          <w:rStyle w:val="VerbatimChar"/>
        </w:rPr>
        <w:t xml:space="preserve">RecoveryCaseOpened</w:t>
      </w:r>
      <w:r>
        <w:t xml:space="preserve">,</w:t>
      </w:r>
      <w:r>
        <w:t xml:space="preserve"> </w:t>
      </w:r>
      <w:r>
        <w:rPr>
          <w:rStyle w:val="VerbatimChar"/>
        </w:rPr>
        <w:t xml:space="preserve">RecoveryStrategyChanged</w:t>
      </w:r>
      <w:r>
        <w:t xml:space="preserve">,</w:t>
      </w:r>
      <w:r>
        <w:t xml:space="preserve"> </w:t>
      </w:r>
      <w:r>
        <w:rPr>
          <w:rStyle w:val="VerbatimChar"/>
        </w:rPr>
        <w:t xml:space="preserve">LegalNoticeIssued</w:t>
      </w:r>
      <w:r>
        <w:t xml:space="preserve">,</w:t>
      </w:r>
      <w:r>
        <w:t xml:space="preserve"> </w:t>
      </w:r>
      <w:r>
        <w:rPr>
          <w:rStyle w:val="VerbatimChar"/>
        </w:rPr>
        <w:t xml:space="preserve">NoticeServiceUpdated</w:t>
      </w:r>
      <w:r>
        <w:t xml:space="preserve">,</w:t>
      </w:r>
      <w:r>
        <w:t xml:space="preserve"> </w:t>
      </w:r>
      <w:r>
        <w:rPr>
          <w:rStyle w:val="VerbatimChar"/>
        </w:rPr>
        <w:t xml:space="preserve">RecoveryReceiptPosted</w:t>
      </w:r>
      <w:r>
        <w:t xml:space="preserve">,</w:t>
      </w:r>
      <w:r>
        <w:t xml:space="preserve"> </w:t>
      </w:r>
      <w:r>
        <w:rPr>
          <w:rStyle w:val="VerbatimChar"/>
        </w:rPr>
        <w:t xml:space="preserve">RecoveryCaseClosed</w:t>
      </w:r>
      <w:r>
        <w:t xml:space="preserve">,</w:t>
      </w:r>
      <w:r>
        <w:t xml:space="preserve"> </w:t>
      </w:r>
      <w:r>
        <w:rPr>
          <w:rStyle w:val="VerbatimChar"/>
        </w:rPr>
        <w:t xml:space="preserve">LitigationCaseOpened</w:t>
      </w:r>
      <w:r>
        <w:t xml:space="preserve">,</w:t>
      </w:r>
      <w:r>
        <w:t xml:space="preserve"> </w:t>
      </w:r>
      <w:r>
        <w:rPr>
          <w:rStyle w:val="VerbatimChar"/>
        </w:rPr>
        <w:t xml:space="preserve">LitigationCaseUpdated</w:t>
      </w:r>
      <w:r>
        <w:t xml:space="preserve">,</w:t>
      </w:r>
      <w:r>
        <w:t xml:space="preserve"> </w:t>
      </w:r>
      <w:r>
        <w:rPr>
          <w:rStyle w:val="VerbatimChar"/>
        </w:rPr>
        <w:t xml:space="preserve">HearingScheduled</w:t>
      </w:r>
      <w:r>
        <w:t xml:space="preserve">,</w:t>
      </w:r>
      <w:r>
        <w:t xml:space="preserve"> </w:t>
      </w:r>
      <w:r>
        <w:rPr>
          <w:rStyle w:val="VerbatimChar"/>
        </w:rPr>
        <w:t xml:space="preserve">OrderRecorded</w:t>
      </w:r>
      <w:r>
        <w:t xml:space="preserve">,</w:t>
      </w:r>
      <w:r>
        <w:t xml:space="preserve"> </w:t>
      </w:r>
      <w:r>
        <w:rPr>
          <w:rStyle w:val="VerbatimChar"/>
        </w:rPr>
        <w:t xml:space="preserve">LitigationCaseClosed</w:t>
      </w:r>
      <w:r>
        <w:t xml:space="preserve">; and</w:t>
      </w:r>
      <w:r>
        <w:t xml:space="preserve"> </w:t>
      </w:r>
      <w:r>
        <w:rPr>
          <w:rStyle w:val="VerbatimChar"/>
        </w:rPr>
        <w:t xml:space="preserve">LegalHoldChanged</w:t>
      </w:r>
      <w:r>
        <w:t xml:space="preserve"> </w:t>
      </w:r>
      <w:r>
        <w:t xml:space="preserve">(Integration Spec Part 6.14), which the detach and retention controls of 7A.0 produce. Udofin receives only status events scoped to its recovery-agent appointment.</w:t>
      </w:r>
    </w:p>
    <w:p>
      <w:pPr>
        <w:pStyle w:val="BlockText"/>
      </w:pPr>
      <w:r>
        <w:t xml:space="preserve">Settlement and ADR (R8) follow in Phase 12b. SARFAESI, civil and tribunal remedies, IBC, repossession and auction, shared-exposure recovery and the product playbooks (R4–R6, R10, R13, R16) follow in Phase 17b.</w:t>
      </w:r>
    </w:p>
    <w:p>
      <w:pPr>
        <w:pStyle w:val="BlockText"/>
      </w:pPr>
      <w:r>
        <w:t xml:space="preserve">Tests and acceptance evidence:</w:t>
      </w:r>
    </w:p>
    <w:p>
      <w:pPr>
        <w:numPr>
          <w:ilvl w:val="0"/>
          <w:numId w:val="2087"/>
        </w:numPr>
        <w:pStyle w:val="Compact"/>
      </w:pPr>
      <w:r>
        <w:t xml:space="preserve">detach test on a tenant with open cases: writes and UI off, reads intact, export pack hashed, row counts identical before and after;</w:t>
      </w:r>
    </w:p>
    <w:p>
      <w:pPr>
        <w:numPr>
          <w:ilvl w:val="0"/>
          <w:numId w:val="2087"/>
        </w:numPr>
        <w:pStyle w:val="Compact"/>
      </w:pPr>
      <w:r>
        <w:t xml:space="preserve">mechanism-selection golden cases (NBFC below ₹100 crore of assets; secured debt below ₹20 lakh; pledge collateral, s.31(b); un-notified NBFC at DRT; IBC moratorium holding all actions), each returning the expected blocking reason;</w:t>
      </w:r>
    </w:p>
    <w:p>
      <w:pPr>
        <w:numPr>
          <w:ilvl w:val="0"/>
          <w:numId w:val="2087"/>
        </w:numPr>
        <w:pStyle w:val="Compact"/>
      </w:pPr>
      <w:r>
        <w:t xml:space="preserve">limitation golden cases (demand loan from the loan date, Art. 21; a signed acknowledgment rebases; a death does not);</w:t>
      </w:r>
    </w:p>
    <w:p>
      <w:pPr>
        <w:numPr>
          <w:ilvl w:val="0"/>
          <w:numId w:val="2087"/>
        </w:numPr>
        <w:pStyle w:val="Compact"/>
      </w:pPr>
      <w:r>
        <w:t xml:space="preserve">s.138 clock cases computed on calendar months and the General Clauses Act s.9 first-day exclusion;</w:t>
      </w:r>
    </w:p>
    <w:p>
      <w:pPr>
        <w:numPr>
          <w:ilvl w:val="0"/>
          <w:numId w:val="2087"/>
        </w:numPr>
        <w:pStyle w:val="Compact"/>
      </w:pPr>
      <w:r>
        <w:t xml:space="preserve">no notice reaches SERVED without an evidence record; every borrower and guarantor gets a separate service row;</w:t>
      </w:r>
    </w:p>
    <w:p>
      <w:pPr>
        <w:numPr>
          <w:ilvl w:val="0"/>
          <w:numId w:val="2087"/>
        </w:numPr>
        <w:pStyle w:val="Compact"/>
      </w:pPr>
      <w:r>
        <w:t xml:space="preserve">a recovery contact attempted at 19:01 is denied and logged;</w:t>
      </w:r>
    </w:p>
    <w:p>
      <w:pPr>
        <w:numPr>
          <w:ilvl w:val="0"/>
          <w:numId w:val="2087"/>
        </w:numPr>
        <w:pStyle w:val="Compact"/>
      </w:pPr>
      <w:r>
        <w:t xml:space="preserve">recovery postings balance, and an NPA receipt follows the configured appropriation;</w:t>
      </w:r>
    </w:p>
    <w:p>
      <w:pPr>
        <w:numPr>
          <w:ilvl w:val="0"/>
          <w:numId w:val="2087"/>
        </w:numPr>
        <w:pStyle w:val="Compact"/>
      </w:pPr>
      <w:r>
        <w:t xml:space="preserve">a Tally Prime XML export imports into a test company; PDF/A files pass validation.</w:t>
      </w:r>
    </w:p>
    <w:p>
      <w:pPr>
        <w:pStyle w:val="BlockText"/>
      </w:pPr>
      <w:r>
        <w:t xml:space="preserve">Show me the module manifests, the mechanism-selection table and the posting matrix for approval before coding.”</w:t>
      </w:r>
    </w:p>
    <w:bookmarkEnd w:id="862"/>
    <w:bookmarkStart w:id="863" w:name="X3350bb678944ff14ca00ea33b4343aecb7bc654"/>
    <w:p>
      <w:pPr>
        <w:pStyle w:val="Heading3"/>
      </w:pPr>
      <w:r>
        <w:t xml:space="preserve">Phase 12b — Settlement and ADR with Equator</w:t>
      </w:r>
    </w:p>
    <w:p>
      <w:pPr>
        <w:pStyle w:val="BlockText"/>
      </w:pPr>
      <w:r>
        <w:rPr>
          <w:bCs/>
          <w:b/>
        </w:rPr>
        <w:t xml:space="preserve">Instruction to Claude:</w:t>
      </w:r>
      <w:r>
        <w:t xml:space="preserve"> </w:t>
      </w:r>
      <w:r>
        <w:t xml:space="preserve">“Before writing the specification, verify: (i) the Mediation Act 2023 commencement status (only ss.1, 3, 26, 31–38, 45–47, 50–54 and 56–57 in force by S.O. 4384(E) of 9 Oct 2023; Mediation Council of India established 27 Aug 2026; ss.4–25, 27–30 and 39–44 not yet notified); (ii) any RBI direction following</w:t>
      </w:r>
      <w:r>
        <w:t xml:space="preserve"> </w:t>
      </w:r>
      <w:r>
        <w:rPr>
          <w:iCs/>
          <w:i/>
        </w:rPr>
        <w:t xml:space="preserve">Shikha Ghosh v Axis Bank</w:t>
      </w:r>
      <w:r>
        <w:t xml:space="preserve"> </w:t>
      </w:r>
      <w:r>
        <w:t xml:space="preserve">(Del HC DB, 30 Sep 2026; next date 17 Nov 2026); (iii) the Equator API version, Integration Spec Part 6.9 (ADR) and Part 8 (Equator Resolution and other ODR/ADR providers). Then build R8, Settlement and ADR:</w:t>
      </w:r>
    </w:p>
    <w:p>
      <w:pPr>
        <w:numPr>
          <w:ilvl w:val="0"/>
          <w:numId w:val="2088"/>
        </w:numPr>
        <w:pStyle w:val="Compact"/>
      </w:pPr>
      <w:r>
        <w:rPr>
          <w:bCs/>
          <w:b/>
        </w:rPr>
        <w:t xml:space="preserve">Negotiation and compromise settlement:</w:t>
      </w:r>
      <w:r>
        <w:t xml:space="preserve"> </w:t>
      </w:r>
      <w:r>
        <w:t xml:space="preserve">NPV calculator; the Board settlement policy as a versioned object; approver at least one level above the sanctioning authority with sanctioning officials excluded (RSA 16(5)(i)); Board approval for fraud and wilful-defaulter cases, without prejudice to criminal proceedings and penal measures (RSA 16(5)(ii), 97–98); payment over more than 3 months, or a part settlement, treated as restructuring until paid (RSA 89–90); consent decree where judicial proceedings are pending (RSA 100); cooling period of at least 12 months (RSA 95); quarterly reporting (RSA 93–94); applies to NBFCs below ₹500 crore too (RSA 157); CIC</w:t>
      </w:r>
      <w:r>
        <w:t xml:space="preserve"> </w:t>
      </w:r>
      <w:r>
        <w:t xml:space="preserve">“</w:t>
      </w:r>
      <w:r>
        <w:t xml:space="preserve">settled</w:t>
      </w:r>
      <w:r>
        <w:t xml:space="preserve">”</w:t>
      </w:r>
      <w:r>
        <w:t xml:space="preserve"> </w:t>
      </w:r>
      <w:r>
        <w:t xml:space="preserve">only where a waiver was given for financial inability (CIR 12(2), 12(4)); LWD removal only on full payment of the compromise amount (WD 13). AI or agent offers only inside the pre-approved band; anything else goes to a human approver.</w:t>
      </w:r>
    </w:p>
    <w:p>
      <w:pPr>
        <w:numPr>
          <w:ilvl w:val="0"/>
          <w:numId w:val="2088"/>
        </w:numPr>
        <w:pStyle w:val="Compact"/>
      </w:pPr>
      <w:r>
        <w:rPr>
          <w:bCs/>
          <w:b/>
        </w:rPr>
        <w:t xml:space="preserve">Forum-selection rules,</w:t>
      </w:r>
      <w:r>
        <w:t xml:space="preserve"> </w:t>
      </w:r>
      <w:r>
        <w:t xml:space="preserve">logged with overrides: arbitration blocked for in-rem mortgage enforcement (</w:t>
      </w:r>
      <w:r>
        <w:rPr>
          <w:iCs/>
          <w:i/>
        </w:rPr>
        <w:t xml:space="preserve">Booz Allen</w:t>
      </w:r>
      <w:r>
        <w:t xml:space="preserve">, (2011) 5 SCC 532) and for claims within the RDB Act by banks and notified institutions (</w:t>
      </w:r>
      <w:r>
        <w:rPr>
          <w:iCs/>
          <w:i/>
        </w:rPr>
        <w:t xml:space="preserve">Vidya Drolia</w:t>
      </w:r>
      <w:r>
        <w:t xml:space="preserve">, 14 Dec 2020); all ADR on hold during an IBC moratorium; a pending consumer complaint cannot be forced into arbitration (</w:t>
      </w:r>
      <w:r>
        <w:rPr>
          <w:iCs/>
          <w:i/>
        </w:rPr>
        <w:t xml:space="preserve">Emaar MGF v Aftab Singh</w:t>
      </w:r>
      <w:r>
        <w:t xml:space="preserve">, (2019) 12 SCC 751); s.12A pre-institution mediation (3 + 2 months) before any commercial suit of ₹3 lakh or more without urgent relief (</w:t>
      </w:r>
      <w:r>
        <w:rPr>
          <w:iCs/>
          <w:i/>
        </w:rPr>
        <w:t xml:space="preserve">Patil Automation</w:t>
      </w:r>
      <w:r>
        <w:t xml:space="preserve">, 2022;</w:t>
      </w:r>
      <w:r>
        <w:t xml:space="preserve"> </w:t>
      </w:r>
      <w:r>
        <w:rPr>
          <w:iCs/>
          <w:i/>
        </w:rPr>
        <w:t xml:space="preserve">Dhanbad Fuels</w:t>
      </w:r>
      <w:r>
        <w:t xml:space="preserve">, SC, 15 May 2025).</w:t>
      </w:r>
    </w:p>
    <w:p>
      <w:pPr>
        <w:numPr>
          <w:ilvl w:val="0"/>
          <w:numId w:val="2088"/>
        </w:numPr>
        <w:pStyle w:val="Compact"/>
      </w:pPr>
      <w:r>
        <w:rPr>
          <w:bCs/>
          <w:b/>
        </w:rPr>
        <w:t xml:space="preserve">Conciliation (default enforceable route today):</w:t>
      </w:r>
      <w:r>
        <w:t xml:space="preserve"> </w:t>
      </w:r>
      <w:r>
        <w:t xml:space="preserve">invitation under A&amp;C Act s.62 (no reply in 30 days is a rejection); online sessions; s.73 settlement signed by the parties and authenticated by the conciliator; s.74 status of an arbitral award, enforceable under s.36.</w:t>
      </w:r>
    </w:p>
    <w:p>
      <w:pPr>
        <w:numPr>
          <w:ilvl w:val="0"/>
          <w:numId w:val="2088"/>
        </w:numPr>
        <w:pStyle w:val="Compact"/>
      </w:pPr>
      <w:r>
        <w:rPr>
          <w:bCs/>
          <w:b/>
        </w:rPr>
        <w:t xml:space="preserve">Mediation:</w:t>
      </w:r>
      <w:r>
        <w:t xml:space="preserve"> </w:t>
      </w:r>
      <w:r>
        <w:t xml:space="preserve">written consent to online mediation (Mediation Act s.30, once in force); recording hard-disabled (ss.22–23). Until s.27 is notified, a mediated settlement is only a contract, so the workflow converts it into a s.73 settlement or a consent decree.</w:t>
      </w:r>
    </w:p>
    <w:p>
      <w:pPr>
        <w:numPr>
          <w:ilvl w:val="0"/>
          <w:numId w:val="2088"/>
        </w:numPr>
        <w:pStyle w:val="Compact"/>
      </w:pPr>
      <w:r>
        <w:rPr>
          <w:bCs/>
          <w:b/>
        </w:rPr>
        <w:t xml:space="preserve">Arbitration:</w:t>
      </w:r>
      <w:r>
        <w:t xml:space="preserve"> </w:t>
      </w:r>
      <w:r>
        <w:t xml:space="preserve">only where the loan agreement pre-names Equator or another independent institution, or the borrower gives written consent after the dispute arises; otherwise a s.11 petition. Never a lender-selected or lender-vetoed arbitrator, and never a forced choice from the lender’s panel (</w:t>
      </w:r>
      <w:r>
        <w:rPr>
          <w:iCs/>
          <w:i/>
        </w:rPr>
        <w:t xml:space="preserve">CORE v ECI-SPIC-SMO-MCML (JV)</w:t>
      </w:r>
      <w:r>
        <w:t xml:space="preserve">, SC Constitution Bench, 8 Nov 2024;</w:t>
      </w:r>
      <w:r>
        <w:t xml:space="preserve"> </w:t>
      </w:r>
      <w:r>
        <w:rPr>
          <w:iCs/>
          <w:i/>
        </w:rPr>
        <w:t xml:space="preserve">Perkins Eastman v HSCC</w:t>
      </w:r>
      <w:r>
        <w:t xml:space="preserve">, (2020) 20 SCC 760;</w:t>
      </w:r>
      <w:r>
        <w:t xml:space="preserve"> </w:t>
      </w:r>
      <w:r>
        <w:rPr>
          <w:iCs/>
          <w:i/>
        </w:rPr>
        <w:t xml:space="preserve">L&amp;T Finance v Jai Paras Material Store</w:t>
      </w:r>
      <w:r>
        <w:t xml:space="preserve">, Cal HC, 14 May 2026). s.21 notice to every known address with delivery evidence; Sixth Schedule disclosure before acceptance; per-neutral, per-lender counts against Fifth Schedule items 22 and 24 (</w:t>
      </w:r>
      <w:r>
        <w:rPr>
          <w:iCs/>
          <w:i/>
        </w:rPr>
        <w:t xml:space="preserve">Shikha Ghosh</w:t>
      </w:r>
      <w:r>
        <w:t xml:space="preserve">); clocks for s.23(4), s.29A, s.29B, s.33 and s.34(3); award stamped at signing (</w:t>
      </w:r>
      <w:r>
        <w:rPr>
          <w:iCs/>
          <w:i/>
        </w:rPr>
        <w:t xml:space="preserve">URC Construction v AAI</w:t>
      </w:r>
      <w:r>
        <w:t xml:space="preserve">, Del HC, 1 Sep 2026); execution in the civil court where assets lie (</w:t>
      </w:r>
      <w:r>
        <w:rPr>
          <w:iCs/>
          <w:i/>
        </w:rPr>
        <w:t xml:space="preserve">Sundaram Finance v Abdul Samad</w:t>
      </w:r>
      <w:r>
        <w:t xml:space="preserve">, (2018) 3 SCC 622).</w:t>
      </w:r>
    </w:p>
    <w:p>
      <w:pPr>
        <w:numPr>
          <w:ilvl w:val="0"/>
          <w:numId w:val="2088"/>
        </w:numPr>
        <w:pStyle w:val="Compact"/>
      </w:pPr>
      <w:r>
        <w:rPr>
          <w:bCs/>
          <w:b/>
        </w:rPr>
        <w:t xml:space="preserve">Lok Adalat:</w:t>
      </w:r>
      <w:r>
        <w:t xml:space="preserve"> </w:t>
      </w:r>
      <w:r>
        <w:t xml:space="preserve">pre-litigation bulk referral under LSA Act ss.19–21 (next National Lok Adalat 12 Dec 2026), DLSA list export and award import, instalment awards over 3 months flagged as restructuring; Permanent Lok Adalat (ss.22A–22E) handled as borrower-initiated defensive matters in R9. The RBI ₹20 lakh Lok Adalat ceiling applies to banks and AIFIs only.</w:t>
      </w:r>
    </w:p>
    <w:p>
      <w:pPr>
        <w:numPr>
          <w:ilvl w:val="0"/>
          <w:numId w:val="2088"/>
        </w:numPr>
        <w:pStyle w:val="Compact"/>
      </w:pPr>
      <w:r>
        <w:rPr>
          <w:bCs/>
          <w:b/>
        </w:rPr>
        <w:t xml:space="preserve">Connectors:</w:t>
      </w:r>
      <w:r>
        <w:t xml:space="preserve"> </w:t>
      </w:r>
      <w:r>
        <w:t xml:space="preserve">the Equator connector and the generic</w:t>
      </w:r>
      <w:r>
        <w:t xml:space="preserve"> </w:t>
      </w:r>
      <w:r>
        <w:rPr>
          <w:rStyle w:val="VerbatimChar"/>
        </w:rPr>
        <w:t xml:space="preserve">OdrProvider</w:t>
      </w:r>
      <w:r>
        <w:t xml:space="preserve"> </w:t>
      </w:r>
      <w:r>
        <w:t xml:space="preserve">adapter for other providers (Presolv360, Sama, Jupitice, CADRE; CSV fallback where no API exists), both implementing Integration Spec Parts 6.9 and 8:</w:t>
      </w:r>
      <w:r>
        <w:t xml:space="preserve"> </w:t>
      </w:r>
      <w:r>
        <w:rPr>
          <w:rStyle w:val="VerbatimChar"/>
        </w:rPr>
        <w:t xml:space="preserve">ADRReferralCreated</w:t>
      </w:r>
      <w:r>
        <w:t xml:space="preserve">,</w:t>
      </w:r>
      <w:r>
        <w:t xml:space="preserve"> </w:t>
      </w:r>
      <w:r>
        <w:rPr>
          <w:rStyle w:val="VerbatimChar"/>
        </w:rPr>
        <w:t xml:space="preserve">ADRConsentRecorded</w:t>
      </w:r>
      <w:r>
        <w:t xml:space="preserve">,</w:t>
      </w:r>
      <w:r>
        <w:t xml:space="preserve"> </w:t>
      </w:r>
      <w:r>
        <w:rPr>
          <w:rStyle w:val="VerbatimChar"/>
        </w:rPr>
        <w:t xml:space="preserve">ADRNeutralAppointed</w:t>
      </w:r>
      <w:r>
        <w:t xml:space="preserve">,</w:t>
      </w:r>
      <w:r>
        <w:t xml:space="preserve"> </w:t>
      </w:r>
      <w:r>
        <w:rPr>
          <w:rStyle w:val="VerbatimChar"/>
        </w:rPr>
        <w:t xml:space="preserve">ADRHearingScheduled</w:t>
      </w:r>
      <w:r>
        <w:t xml:space="preserve">,</w:t>
      </w:r>
      <w:r>
        <w:t xml:space="preserve"> </w:t>
      </w:r>
      <w:r>
        <w:rPr>
          <w:rStyle w:val="VerbatimChar"/>
        </w:rPr>
        <w:t xml:space="preserve">ADRCaseStatusChanged</w:t>
      </w:r>
      <w:r>
        <w:t xml:space="preserve">,</w:t>
      </w:r>
      <w:r>
        <w:t xml:space="preserve"> </w:t>
      </w:r>
      <w:r>
        <w:rPr>
          <w:rStyle w:val="VerbatimChar"/>
        </w:rPr>
        <w:t xml:space="preserve">ADROutcomeRecorded</w:t>
      </w:r>
      <w:r>
        <w:t xml:space="preserve">,</w:t>
      </w:r>
      <w:r>
        <w:t xml:space="preserve"> </w:t>
      </w:r>
      <w:r>
        <w:rPr>
          <w:rStyle w:val="VerbatimChar"/>
        </w:rPr>
        <w:t xml:space="preserve">ADROutcomeComplianceUpdated</w:t>
      </w:r>
      <w:r>
        <w:t xml:space="preserve">; and the settlement events</w:t>
      </w:r>
      <w:r>
        <w:t xml:space="preserve"> </w:t>
      </w:r>
      <w:r>
        <w:rPr>
          <w:rStyle w:val="VerbatimChar"/>
        </w:rPr>
        <w:t xml:space="preserve">SettlementRequested</w:t>
      </w:r>
      <w:r>
        <w:t xml:space="preserve">,</w:t>
      </w:r>
      <w:r>
        <w:t xml:space="preserve"> </w:t>
      </w:r>
      <w:r>
        <w:rPr>
          <w:rStyle w:val="VerbatimChar"/>
        </w:rPr>
        <w:t xml:space="preserve">SettlementOfferIssued</w:t>
      </w:r>
      <w:r>
        <w:t xml:space="preserve">,</w:t>
      </w:r>
      <w:r>
        <w:t xml:space="preserve"> </w:t>
      </w:r>
      <w:r>
        <w:rPr>
          <w:rStyle w:val="VerbatimChar"/>
        </w:rPr>
        <w:t xml:space="preserve">SettlementOfferAccepted</w:t>
      </w:r>
      <w:r>
        <w:t xml:space="preserve">,</w:t>
      </w:r>
      <w:r>
        <w:t xml:space="preserve"> </w:t>
      </w:r>
      <w:r>
        <w:rPr>
          <w:rStyle w:val="VerbatimChar"/>
        </w:rPr>
        <w:t xml:space="preserve">SettlementApproved</w:t>
      </w:r>
      <w:r>
        <w:t xml:space="preserve">,</w:t>
      </w:r>
      <w:r>
        <w:t xml:space="preserve"> </w:t>
      </w:r>
      <w:r>
        <w:rPr>
          <w:rStyle w:val="VerbatimChar"/>
        </w:rPr>
        <w:t xml:space="preserve">SettlementBreached</w:t>
      </w:r>
      <w:r>
        <w:t xml:space="preserve"> </w:t>
      </w:r>
      <w:r>
        <w:t xml:space="preserve">(Part 6.8). Outcomes create an R1 settlement record or an R9 execution matter.</w:t>
      </w:r>
    </w:p>
    <w:p>
      <w:pPr>
        <w:numPr>
          <w:ilvl w:val="0"/>
          <w:numId w:val="2088"/>
        </w:numPr>
        <w:pStyle w:val="Compact"/>
      </w:pPr>
      <w:r>
        <w:rPr>
          <w:bCs/>
          <w:b/>
        </w:rPr>
        <w:t xml:space="preserve">Udofin (LSP scope):</w:t>
      </w:r>
      <w:r>
        <w:t xml:space="preserve"> </w:t>
      </w:r>
      <w:r>
        <w:t xml:space="preserve">relays</w:t>
      </w:r>
      <w:r>
        <w:t xml:space="preserve"> </w:t>
      </w:r>
      <w:r>
        <w:rPr>
          <w:rStyle w:val="VerbatimChar"/>
        </w:rPr>
        <w:t xml:space="preserve">SettlementRequested</w:t>
      </w:r>
      <w:r>
        <w:t xml:space="preserve">, shows RE-approved offers and Equator links (no separate app), and shows payment links to the RE’s account only (CF 10(2)–(3)). Udofin never approves a settlement, never refers a dispute to arbitration and never holds funds.</w:t>
      </w:r>
    </w:p>
    <w:p>
      <w:pPr>
        <w:pStyle w:val="BlockText"/>
      </w:pPr>
      <w:r>
        <w:t xml:space="preserve">Tests and acceptance evidence:</w:t>
      </w:r>
    </w:p>
    <w:p>
      <w:pPr>
        <w:numPr>
          <w:ilvl w:val="0"/>
          <w:numId w:val="2089"/>
        </w:numPr>
        <w:pStyle w:val="Compact"/>
      </w:pPr>
      <w:r>
        <w:t xml:space="preserve">a settlement proposed by the sanctioning officer cannot be approved by that officer or anyone below the next level;</w:t>
      </w:r>
    </w:p>
    <w:p>
      <w:pPr>
        <w:numPr>
          <w:ilvl w:val="0"/>
          <w:numId w:val="2089"/>
        </w:numPr>
        <w:pStyle w:val="Compact"/>
      </w:pPr>
      <w:r>
        <w:t xml:space="preserve">a fraud-tagged settlement routes to the Board;</w:t>
      </w:r>
    </w:p>
    <w:p>
      <w:pPr>
        <w:numPr>
          <w:ilvl w:val="0"/>
          <w:numId w:val="2089"/>
        </w:numPr>
        <w:pStyle w:val="Compact"/>
      </w:pPr>
      <w:r>
        <w:t xml:space="preserve">a 4-month instalment plan flags restructuring and blocks the closed-settled status until paid;</w:t>
      </w:r>
    </w:p>
    <w:p>
      <w:pPr>
        <w:numPr>
          <w:ilvl w:val="0"/>
          <w:numId w:val="2089"/>
        </w:numPr>
        <w:pStyle w:val="Compact"/>
      </w:pPr>
      <w:r>
        <w:t xml:space="preserve">a fresh-exposure request inside 12 months of settlement is blocked;</w:t>
      </w:r>
    </w:p>
    <w:p>
      <w:pPr>
        <w:numPr>
          <w:ilvl w:val="0"/>
          <w:numId w:val="2089"/>
        </w:numPr>
        <w:pStyle w:val="Compact"/>
      </w:pPr>
      <w:r>
        <w:t xml:space="preserve">referral without a pre-named institution or recorded post-dispute consent is rejected by the API;</w:t>
      </w:r>
    </w:p>
    <w:p>
      <w:pPr>
        <w:numPr>
          <w:ilvl w:val="0"/>
          <w:numId w:val="2089"/>
        </w:numPr>
        <w:pStyle w:val="Compact"/>
      </w:pPr>
      <w:r>
        <w:t xml:space="preserve">the lender role has no endpoint to choose, rank or veto a neutral;</w:t>
      </w:r>
    </w:p>
    <w:p>
      <w:pPr>
        <w:numPr>
          <w:ilvl w:val="0"/>
          <w:numId w:val="2089"/>
        </w:numPr>
        <w:pStyle w:val="Compact"/>
      </w:pPr>
      <w:r>
        <w:t xml:space="preserve">a mediation session cannot be recorded;</w:t>
      </w:r>
    </w:p>
    <w:p>
      <w:pPr>
        <w:numPr>
          <w:ilvl w:val="0"/>
          <w:numId w:val="2089"/>
        </w:numPr>
        <w:pStyle w:val="Compact"/>
      </w:pPr>
      <w:r>
        <w:t xml:space="preserve">Pact tests pass against the Equator stub, and Equator outage leaves Finbyx operating.</w:t>
      </w:r>
    </w:p>
    <w:p>
      <w:pPr>
        <w:pStyle w:val="BlockText"/>
      </w:pPr>
      <w:r>
        <w:t xml:space="preserve">Show me the settlement policy object, the forum-selection table and the ADR state machine for approval before coding.”</w:t>
      </w:r>
    </w:p>
    <w:bookmarkEnd w:id="863"/>
    <w:bookmarkStart w:id="864" w:name="X2d5da1e9561c6430b6e8df3ab9ed9816ba9ec65"/>
    <w:p>
      <w:pPr>
        <w:pStyle w:val="Heading3"/>
      </w:pPr>
      <w:r>
        <w:t xml:space="preserve">Phase 13 — Finance, Ind AS 109 and accounting integrations</w:t>
      </w:r>
    </w:p>
    <w:p>
      <w:pPr>
        <w:pStyle w:val="BlockText"/>
      </w:pPr>
      <w:r>
        <w:rPr>
          <w:bCs/>
          <w:b/>
        </w:rPr>
        <w:t xml:space="preserve">Instruction to Claude:</w:t>
      </w:r>
      <w:r>
        <w:t xml:space="preserve"> </w:t>
      </w:r>
      <w:r>
        <w:t xml:space="preserve">“Implement:</w:t>
      </w:r>
    </w:p>
    <w:p>
      <w:pPr>
        <w:numPr>
          <w:ilvl w:val="0"/>
          <w:numId w:val="2090"/>
        </w:numPr>
        <w:pStyle w:val="Compact"/>
      </w:pPr>
      <w:r>
        <w:t xml:space="preserve">EIR (IRR-based) and amortisation;</w:t>
      </w:r>
    </w:p>
    <w:p>
      <w:pPr>
        <w:numPr>
          <w:ilvl w:val="0"/>
          <w:numId w:val="2090"/>
        </w:numPr>
        <w:pStyle w:val="Compact"/>
      </w:pPr>
      <w:r>
        <w:t xml:space="preserve">ECL staging with a pluggable model and a default provision matrix;</w:t>
      </w:r>
    </w:p>
    <w:p>
      <w:pPr>
        <w:numPr>
          <w:ilvl w:val="0"/>
          <w:numId w:val="2090"/>
        </w:numPr>
        <w:pStyle w:val="Compact"/>
      </w:pPr>
      <w:r>
        <w:t xml:space="preserve">parallel IRACP provisioning by layer, with Impairment Reserve logic;</w:t>
      </w:r>
    </w:p>
    <w:p>
      <w:pPr>
        <w:numPr>
          <w:ilvl w:val="0"/>
          <w:numId w:val="2090"/>
        </w:numPr>
        <w:pStyle w:val="Compact"/>
      </w:pPr>
      <w:r>
        <w:t xml:space="preserve">GST invoicing and extracts (NBFCs are exempt from e-invoicing), and TDS under the Income-tax Act 2025 (s.393; statement Form 140) from tax year 2026-27, with the Income-tax Act 1961 (s.194A and others; Form 26Q) only for FY 2025-26 and earlier (Part 7C AC5.1);</w:t>
      </w:r>
    </w:p>
    <w:p>
      <w:pPr>
        <w:numPr>
          <w:ilvl w:val="0"/>
          <w:numId w:val="2090"/>
        </w:numPr>
        <w:pStyle w:val="Compact"/>
      </w:pPr>
      <w:r>
        <w:t xml:space="preserve">bank reconciliation;</w:t>
      </w:r>
    </w:p>
    <w:p>
      <w:pPr>
        <w:numPr>
          <w:ilvl w:val="0"/>
          <w:numId w:val="2090"/>
        </w:numPr>
        <w:pStyle w:val="Compact"/>
      </w:pPr>
      <w:r>
        <w:t xml:space="preserve">the borrowings/liabilities module;</w:t>
      </w:r>
    </w:p>
    <w:p>
      <w:pPr>
        <w:numPr>
          <w:ilvl w:val="0"/>
          <w:numId w:val="2090"/>
        </w:numPr>
        <w:pStyle w:val="Compact"/>
      </w:pPr>
      <w:r>
        <w:t xml:space="preserve">month-end close;</w:t>
      </w:r>
    </w:p>
    <w:p>
      <w:pPr>
        <w:numPr>
          <w:ilvl w:val="0"/>
          <w:numId w:val="2090"/>
        </w:numPr>
        <w:pStyle w:val="Compact"/>
      </w:pPr>
      <w:r>
        <w:t xml:space="preserve">financial statements per Schedule III (Division III for Ind AS, Division I otherwise) and the FS Directions disclosure engine (Part 8A.8), including the Impairment Reserve, the IRACP-vs-Ind AS table, and the SICR-rebuttal and &gt; 90 DPD-not-impaired registers;</w:t>
      </w:r>
    </w:p>
    <w:p>
      <w:pPr>
        <w:numPr>
          <w:ilvl w:val="0"/>
          <w:numId w:val="2090"/>
        </w:numPr>
        <w:pStyle w:val="Compact"/>
      </w:pPr>
      <w:r>
        <w:t xml:space="preserve">the investment portfolio module (Part 8A.5);</w:t>
      </w:r>
    </w:p>
    <w:p>
      <w:pPr>
        <w:numPr>
          <w:ilvl w:val="0"/>
          <w:numId w:val="2090"/>
        </w:numPr>
        <w:pStyle w:val="Compact"/>
      </w:pPr>
      <w:r>
        <w:t xml:space="preserve">TallyPrime (local connector, JSON), SAP and Zoho adapters, with reconciliation.</w:t>
      </w:r>
    </w:p>
    <w:p>
      <w:pPr>
        <w:pStyle w:val="BlockText"/>
      </w:pPr>
      <w:r>
        <w:t xml:space="preserve">Build these on interfaces that Phase 13b (Part 7C) extends rather than rewrites, and do not build anything twice: the framework applicability engine (AC1); the</w:t>
      </w:r>
      <w:r>
        <w:t xml:space="preserve"> </w:t>
      </w:r>
      <w:r>
        <w:rPr>
          <w:rStyle w:val="VerbatimChar"/>
        </w:rPr>
        <w:t xml:space="preserve">STAT</w:t>
      </w:r>
      <w:r>
        <w:t xml:space="preserve">,</w:t>
      </w:r>
      <w:r>
        <w:t xml:space="preserve"> </w:t>
      </w:r>
      <w:r>
        <w:rPr>
          <w:rStyle w:val="VerbatimChar"/>
        </w:rPr>
        <w:t xml:space="preserve">PRUD</w:t>
      </w:r>
      <w:r>
        <w:t xml:space="preserve"> </w:t>
      </w:r>
      <w:r>
        <w:t xml:space="preserve">and</w:t>
      </w:r>
      <w:r>
        <w:t xml:space="preserve"> </w:t>
      </w:r>
      <w:r>
        <w:rPr>
          <w:rStyle w:val="VerbatimChar"/>
        </w:rPr>
        <w:t xml:space="preserve">TAX</w:t>
      </w:r>
      <w:r>
        <w:t xml:space="preserve"> </w:t>
      </w:r>
      <w:r>
        <w:t xml:space="preserve">book model, the Impairment Reserve job and bank ECL (AC2); complete statements, disclosures, CARO data and the AOC-4 NBFC (Ind AS) payload (AC3); the GST engine and return exports (AC4); Income-tax Act 2025 TDS, SFT data and borrower certificates (AC5); the Tally local agent (AC6); and the statutory audit-trail evidence and retention schedule (AC7) are completed in Phase 13b. The investment portfolio module here becomes the Part 7H book of record in Phase 17d.</w:t>
      </w:r>
    </w:p>
    <w:p>
      <w:pPr>
        <w:pStyle w:val="BlockText"/>
      </w:pPr>
      <w:r>
        <w:t xml:space="preserve">Our finance reviewer must approve the golden cases.”</w:t>
      </w:r>
    </w:p>
    <w:bookmarkEnd w:id="864"/>
    <w:bookmarkStart w:id="865" w:name="Xaeac2bfdfc0a4791b5df093dfac3f16d903f729"/>
    <w:p>
      <w:pPr>
        <w:pStyle w:val="Heading3"/>
      </w:pPr>
      <w:r>
        <w:t xml:space="preserve">Phase 13b — Accounting frameworks, financial statements, tax and statutory audit trail</w:t>
      </w:r>
    </w:p>
    <w:p>
      <w:pPr>
        <w:pStyle w:val="BlockText"/>
      </w:pPr>
      <w:r>
        <w:rPr>
          <w:bCs/>
          <w:b/>
        </w:rPr>
        <w:t xml:space="preserve">Instruction to Claude:</w:t>
      </w:r>
      <w:r>
        <w:t xml:space="preserve"> </w:t>
      </w:r>
      <w:r>
        <w:t xml:space="preserve">“Before writing the specification, verify: (i) the Companies (Ind AS) Rules 2015 r.4 roadmap and r.2(g) for each pilot and target tenant and the open [VERIFY] items of Part 7C AC1 (ARC r.4 limb, IFSCA FC/FU framework, no voluntary adoption for NBFCs); (ii) the Companies (Ind AS) Amendment Rules 2026 (G.S.R. 725(E), 12 Aug 2026) and the AOC-4 NBFC (Ind AS) form as substituted from 14 Jul 2025, including whether it takes structured web-form data; (iii) CBIC Circular 245/02/2025-GST, the Notification 12/2017-CT(Rate) exemption entry and the GSTN offline-tool schemas for GSTR-1, 1A, 3B, 9 and 9C; (iv) every row of the AC5.1 Income-tax Act 2025 concordance (s.393 table serials, Form 140 due dates, Forms 131, 165 and 168, the s.56 notification for NBFC classes, the s.31 NBFC cap) against the official Act and Income-tax Rules 2026, recording each confirmed row in docs/regulations/register.md; (v) the TallyPrime 7.0 JSON integration notes. Then build Part 7C on the Phase 4 ledger and the Phase 13 finance engines:</w:t>
      </w:r>
    </w:p>
    <w:p>
      <w:pPr>
        <w:numPr>
          <w:ilvl w:val="0"/>
          <w:numId w:val="2091"/>
        </w:numPr>
        <w:pStyle w:val="Compact"/>
      </w:pPr>
      <w:r>
        <w:rPr>
          <w:bCs/>
          <w:b/>
        </w:rPr>
        <w:t xml:space="preserve">AC1 framework applicability engine:</w:t>
      </w:r>
      <w:r>
        <w:t xml:space="preserve"> </w:t>
      </w:r>
      <w:r>
        <w:t xml:space="preserve">rules over legal form, regulator class, layer, listing, net worth and group links; outputs framework, currency, statement set, disclosure packs, loss engines, CARO and MCA route;</w:t>
      </w:r>
      <w:r>
        <w:t xml:space="preserve"> </w:t>
      </w:r>
      <w:r>
        <w:rPr>
          <w:rStyle w:val="VerbatimChar"/>
        </w:rPr>
        <w:t xml:space="preserve">first_ind_as_year</w:t>
      </w:r>
      <w:r>
        <w:t xml:space="preserve"> </w:t>
      </w:r>
      <w:r>
        <w:t xml:space="preserve">is sticky; a CFO-approved decision log stores inputs hash, rule-pack version and citations; a mid-year framework change is blocked and a move to Ind AS opens an Ind AS 101 transition project.</w:t>
      </w:r>
    </w:p>
    <w:p>
      <w:pPr>
        <w:numPr>
          <w:ilvl w:val="0"/>
          <w:numId w:val="2091"/>
        </w:numPr>
        <w:pStyle w:val="Compact"/>
      </w:pPr>
      <w:r>
        <w:rPr>
          <w:bCs/>
          <w:b/>
        </w:rPr>
        <w:t xml:space="preserve">AC2 multi-framework books:</w:t>
      </w:r>
      <w:r>
        <w:t xml:space="preserve"> </w:t>
      </w:r>
      <w:r>
        <w:rPr>
          <w:rStyle w:val="VerbatimChar"/>
        </w:rPr>
        <w:t xml:space="preserve">STAT</w:t>
      </w:r>
      <w:r>
        <w:t xml:space="preserve">,</w:t>
      </w:r>
      <w:r>
        <w:t xml:space="preserve"> </w:t>
      </w:r>
      <w:r>
        <w:rPr>
          <w:rStyle w:val="VerbatimChar"/>
        </w:rPr>
        <w:t xml:space="preserve">PRUD</w:t>
      </w:r>
      <w:r>
        <w:t xml:space="preserve">,</w:t>
      </w:r>
      <w:r>
        <w:t xml:space="preserve"> </w:t>
      </w:r>
      <w:r>
        <w:rPr>
          <w:rStyle w:val="VerbatimChar"/>
        </w:rPr>
        <w:t xml:space="preserve">TAX</w:t>
      </w:r>
      <w:r>
        <w:t xml:space="preserve"> </w:t>
      </w:r>
      <w:r>
        <w:t xml:space="preserve">and optional</w:t>
      </w:r>
      <w:r>
        <w:t xml:space="preserve"> </w:t>
      </w:r>
      <w:r>
        <w:rPr>
          <w:rStyle w:val="VerbatimChar"/>
        </w:rPr>
        <w:t xml:space="preserve">PARALLEL</w:t>
      </w:r>
      <w:r>
        <w:t xml:space="preserve"> </w:t>
      </w:r>
      <w:r>
        <w:t xml:space="preserve">books on one journal; the AC2.8 close state machine per legal entity, period and book (server-side commands under maker-checker, idempotent on legal entity, period, book and command), with its failure and reopen paths; with adjustment layers and per-book period locks (a back-dated correction after close posts in the open period with a prior-period flag unless the CFO reopens the period, and a reopening revokes dependent certifications and return runs); the book-difference report that feeds FS para 21(15) and DNBS03; Ind AS 109 governance gates (SICR rebuttal impossible above 60 DPD; &gt; 90 DPD not impaired needs an Audit Committee reference); the quarterly Impairment Reserve job (appropriation = max(0, IRACP − ECL) − existing reserve, posted below PAT, release blocked without a DoS permission reference; IRACP paras 34–36); DLG in ECL (IRACP paras 36A–36C); bank ECL floors and the transition add-back for SCB tenants from 1 Apr 2027 (RBI/DOR/2026-27/398) after at least two quarters of parallel run;</w:t>
      </w:r>
      <w:r>
        <w:t xml:space="preserve"> </w:t>
      </w:r>
      <w:r>
        <w:rPr>
          <w:rStyle w:val="VerbatimChar"/>
        </w:rPr>
        <w:t xml:space="preserve">PeriodClosed</w:t>
      </w:r>
      <w:r>
        <w:t xml:space="preserve"> </w:t>
      </w:r>
      <w:r>
        <w:t xml:space="preserve">with the TB hashes.</w:t>
      </w:r>
    </w:p>
    <w:p>
      <w:pPr>
        <w:numPr>
          <w:ilvl w:val="0"/>
          <w:numId w:val="2091"/>
        </w:numPr>
        <w:pStyle w:val="Compact"/>
      </w:pPr>
      <w:r>
        <w:rPr>
          <w:bCs/>
          <w:b/>
        </w:rPr>
        <w:t xml:space="preserve">AC3 statements and disclosures:</w:t>
      </w:r>
      <w:r>
        <w:t xml:space="preserve"> </w:t>
      </w:r>
      <w:r>
        <w:t xml:space="preserve">the AC3.1 statement-run state machine from locked trial balance to approved statements; a versioned</w:t>
      </w:r>
      <w:r>
        <w:t xml:space="preserve"> </w:t>
      </w:r>
      <w:r>
        <w:rPr>
          <w:rStyle w:val="VerbatimChar"/>
        </w:rPr>
        <w:t xml:space="preserve">gl_line_map</w:t>
      </w:r>
      <w:r>
        <w:t xml:space="preserve"> </w:t>
      </w:r>
      <w:r>
        <w:t xml:space="preserve">with no orphan accounts; Schedule III Divisions I–III, BR Act Third Schedule, co-operative and ICAI formats, IFRS in USD; the 2021 Schedule III datasets with evidenced nil; CARO 2020 clause packs; the AOC-4 NBFC (Ind AS) payload and</w:t>
      </w:r>
      <w:r>
        <w:t xml:space="preserve"> </w:t>
      </w:r>
      <w:r>
        <w:rPr>
          <w:bCs/>
          <w:b/>
        </w:rPr>
        <w:t xml:space="preserve">never an XBRL file for an NBFC</w:t>
      </w:r>
      <w:r>
        <w:t xml:space="preserve">; consolidation with eliminations; blocking validations (CRAR in the notes equals DNBS03 and the capital run);</w:t>
      </w:r>
      <w:r>
        <w:t xml:space="preserve"> </w:t>
      </w:r>
      <w:r>
        <w:rPr>
          <w:rStyle w:val="VerbatimChar"/>
        </w:rPr>
        <w:t xml:space="preserve">FinancialStatementsApproved</w:t>
      </w:r>
      <w:r>
        <w:t xml:space="preserve"> </w:t>
      </w:r>
      <w:r>
        <w:t xml:space="preserve">with the Board date.</w:t>
      </w:r>
    </w:p>
    <w:p>
      <w:pPr>
        <w:numPr>
          <w:ilvl w:val="0"/>
          <w:numId w:val="2091"/>
        </w:numPr>
        <w:pStyle w:val="Compact"/>
      </w:pPr>
      <w:r>
        <w:rPr>
          <w:bCs/>
          <w:b/>
        </w:rPr>
        <w:t xml:space="preserve">AC4 GST:</w:t>
      </w:r>
      <w:r>
        <w:t xml:space="preserve"> </w:t>
      </w:r>
      <w:r>
        <w:t xml:space="preserve">a treatment on every charge (</w:t>
      </w:r>
      <w:r>
        <w:rPr>
          <w:rStyle w:val="VerbatimChar"/>
        </w:rPr>
        <w:t xml:space="preserve">EXEMPT_INTEREST</w:t>
      </w:r>
      <w:r>
        <w:t xml:space="preserve">,</w:t>
      </w:r>
      <w:r>
        <w:t xml:space="preserve"> </w:t>
      </w:r>
      <w:r>
        <w:rPr>
          <w:rStyle w:val="VerbatimChar"/>
        </w:rPr>
        <w:t xml:space="preserve">TAXABLE_18</w:t>
      </w:r>
      <w:r>
        <w:t xml:space="preserve">,</w:t>
      </w:r>
      <w:r>
        <w:t xml:space="preserve"> </w:t>
      </w:r>
      <w:r>
        <w:rPr>
          <w:rStyle w:val="VerbatimChar"/>
        </w:rPr>
        <w:t xml:space="preserve">PENAL_NO_GST</w:t>
      </w:r>
      <w:r>
        <w:t xml:space="preserve"> </w:t>
      </w:r>
      <w:r>
        <w:t xml:space="preserve">only for RBC para 30 penal charges,</w:t>
      </w:r>
      <w:r>
        <w:t xml:space="preserve"> </w:t>
      </w:r>
      <w:r>
        <w:rPr>
          <w:rStyle w:val="VerbatimChar"/>
        </w:rPr>
        <w:t xml:space="preserve">PURE_AGENT</w:t>
      </w:r>
      <w:r>
        <w:t xml:space="preserve">,</w:t>
      </w:r>
      <w:r>
        <w:t xml:space="preserve"> </w:t>
      </w:r>
      <w:r>
        <w:rPr>
          <w:rStyle w:val="VerbatimChar"/>
        </w:rPr>
        <w:t xml:space="preserve">CO_LENDING_SPREAD</w:t>
      </w:r>
      <w:r>
        <w:t xml:space="preserve"> </w:t>
      </w:r>
      <w:r>
        <w:t xml:space="preserve">at 18% unless a written tax opinion is recorded); no IRN request for an NBFC GSTIN (CGST Rules r.48(4)); the annual ITC election (50% option under s.17(4) or Rules 42–43) locked for the year; IMS actions under maker-checker; GSTR-1, 1A, 3B, 9 and 9C exports (</w:t>
      </w:r>
      <w:r>
        <w:rPr>
          <w:rStyle w:val="VerbatimChar"/>
        </w:rPr>
        <w:t xml:space="preserve">gst_export_v1</w:t>
      </w:r>
      <w:r>
        <w:t xml:space="preserve">); the 3-year time bar;</w:t>
      </w:r>
      <w:r>
        <w:t xml:space="preserve"> </w:t>
      </w:r>
      <w:r>
        <w:rPr>
          <w:rStyle w:val="VerbatimChar"/>
        </w:rPr>
        <w:t xml:space="preserve">GstReturnPrepared</w:t>
      </w:r>
      <w:r>
        <w:t xml:space="preserve">. No GST portal credentials or OTPs.</w:t>
      </w:r>
    </w:p>
    <w:p>
      <w:pPr>
        <w:numPr>
          <w:ilvl w:val="0"/>
          <w:numId w:val="2091"/>
        </w:numPr>
        <w:pStyle w:val="Compact"/>
      </w:pPr>
      <w:r>
        <w:rPr>
          <w:bCs/>
          <w:b/>
        </w:rPr>
        <w:t xml:space="preserve">AC5 Income-tax Act 2025:</w:t>
      </w:r>
      <w:r>
        <w:t xml:space="preserve"> </w:t>
      </w:r>
      <w:r>
        <w:t xml:space="preserve">regime chosen by payment or credit date (1961 Act forms for FY 2025-26 and earlier); TDS deducted (s.393; Form 140 due 31 Jul, 31 Oct, 31 Jan and 31 May; Form 131); TDS suffered matched to Form 168, a short credit keeping interest receivable open; the</w:t>
      </w:r>
      <w:r>
        <w:t xml:space="preserve"> </w:t>
      </w:r>
      <w:r>
        <w:rPr>
          <w:rStyle w:val="VerbatimChar"/>
        </w:rPr>
        <w:t xml:space="preserve">TAX</w:t>
      </w:r>
      <w:r>
        <w:t xml:space="preserve"> </w:t>
      </w:r>
      <w:r>
        <w:t xml:space="preserve">memo book (s.56 receipt basis only for notified classes; s.31; s.37); Form 26 tax-audit data; RE-signed borrower certificates (s.22, s.123, ss.129–132, the s.202 note) emitting</w:t>
      </w:r>
      <w:r>
        <w:t xml:space="preserve"> </w:t>
      </w:r>
      <w:r>
        <w:rPr>
          <w:rStyle w:val="VerbatimChar"/>
        </w:rPr>
        <w:t xml:space="preserve">InterestCertificateIssued</w:t>
      </w:r>
      <w:r>
        <w:t xml:space="preserve">, which Udofin displays and never issues and which never reaches the Operations Hub;</w:t>
      </w:r>
      <w:r>
        <w:t xml:space="preserve"> </w:t>
      </w:r>
      <w:r>
        <w:rPr>
          <w:rStyle w:val="VerbatimChar"/>
        </w:rPr>
        <w:t xml:space="preserve">TdsStatementPrepared</w:t>
      </w:r>
      <w:r>
        <w:t xml:space="preserve"> </w:t>
      </w:r>
      <w:r>
        <w:t xml:space="preserve">with</w:t>
      </w:r>
      <w:r>
        <w:t xml:space="preserve"> </w:t>
      </w:r>
      <w:r>
        <w:rPr>
          <w:rStyle w:val="VerbatimChar"/>
        </w:rPr>
        <w:t xml:space="preserve">tds_export_v1</w:t>
      </w:r>
      <w:r>
        <w:t xml:space="preserve">.</w:t>
      </w:r>
    </w:p>
    <w:p>
      <w:pPr>
        <w:numPr>
          <w:ilvl w:val="0"/>
          <w:numId w:val="2091"/>
        </w:numPr>
        <w:pStyle w:val="Compact"/>
      </w:pPr>
      <w:r>
        <w:rPr>
          <w:bCs/>
          <w:b/>
        </w:rPr>
        <w:t xml:space="preserve">AC6 Tally local agent:</w:t>
      </w:r>
      <w:r>
        <w:t xml:space="preserve"> </w:t>
      </w:r>
      <w:r>
        <w:t xml:space="preserve">signed Windows service, outbound-only mTLS, posting only to a loopback TallyPrime endpoint (port 9000 has no authentication),</w:t>
      </w:r>
      <w:r>
        <w:t xml:space="preserve"> </w:t>
      </w:r>
      <w:r>
        <w:rPr>
          <w:rStyle w:val="VerbatimChar"/>
        </w:rPr>
        <w:t xml:space="preserve">svCurrentCompany</w:t>
      </w:r>
      <w:r>
        <w:t xml:space="preserve"> </w:t>
      </w:r>
      <w:r>
        <w:t xml:space="preserve">always set, GUID or REMOTEID idempotency, a dead-letter queue and a daily TB reconciliation whose breaks never flow back. Finbyx stays the book of record.</w:t>
      </w:r>
    </w:p>
    <w:p>
      <w:pPr>
        <w:numPr>
          <w:ilvl w:val="0"/>
          <w:numId w:val="2091"/>
        </w:numPr>
        <w:pStyle w:val="Compact"/>
      </w:pPr>
      <w:r>
        <w:rPr>
          <w:bCs/>
          <w:b/>
        </w:rPr>
        <w:t xml:space="preserve">AC7 statutory audit trail:</w:t>
      </w:r>
      <w:r>
        <w:t xml:space="preserve"> </w:t>
      </w:r>
      <w:r>
        <w:t xml:space="preserve">extend the Phase 2 capture to every book-holding table and sub-system (payroll, connector batches); daily signed seal and gap detector; the Rule 11(g) exception register and evidence pack; the daily India backup log (Accounts Rules r.3(5)); Rule 3(6) statement data; the AC7.4 retention schedule with legal hold, and processing restriction instead of erasure where law requires retention (DPDP).</w:t>
      </w:r>
    </w:p>
    <w:p>
      <w:pPr>
        <w:numPr>
          <w:ilvl w:val="0"/>
          <w:numId w:val="2091"/>
        </w:numPr>
        <w:pStyle w:val="Compact"/>
      </w:pPr>
      <w:r>
        <w:rPr>
          <w:bCs/>
          <w:b/>
        </w:rPr>
        <w:t xml:space="preserve">Menus, screens and settings:</w:t>
      </w:r>
      <w:r>
        <w:t xml:space="preserve"> </w:t>
      </w:r>
      <w:r>
        <w:t xml:space="preserve">build workspace I (Finance and Accounts) and the audit-trail evidence views in workspace L exactly as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7C (AC8) specify (navigation paths, list, detail, wizard, approval-queue and dashboard screens, actions, bulk actions, filters, exports, empty and error states, role visibility, and each setting with its scope, default and floor), and register every entry in Appendix G; settings that change a statutory output (framework,</w:t>
      </w:r>
      <w:r>
        <w:t xml:space="preserve"> </w:t>
      </w:r>
      <w:r>
        <w:rPr>
          <w:rStyle w:val="VerbatimChar"/>
        </w:rPr>
        <w:t xml:space="preserve">first_ind_as_year</w:t>
      </w:r>
      <w:r>
        <w:t xml:space="preserve">, book set, GST treatment, ITC election, TDS section map) take effect only from the next open period after CFO approval and never rewrite a closed period.</w:t>
      </w:r>
    </w:p>
    <w:p>
      <w:pPr>
        <w:pStyle w:val="BlockText"/>
      </w:pPr>
      <w:r>
        <w:t xml:space="preserve">Tests and acceptance evidence:</w:t>
      </w:r>
    </w:p>
    <w:p>
      <w:pPr>
        <w:numPr>
          <w:ilvl w:val="0"/>
          <w:numId w:val="2092"/>
        </w:numPr>
        <w:pStyle w:val="Compact"/>
      </w:pPr>
      <w:r>
        <w:t xml:space="preserve">AC1 golden cases: unlisted NBFC with ₹320 crore net worth → Ind AS from FY 2019-20, Division III; unlisted ₹40 crore with no group link → AS 2021; SCB → IRACP in FY 2026-27 and bank ECL in FY 2027-28;</w:t>
      </w:r>
    </w:p>
    <w:p>
      <w:pPr>
        <w:numPr>
          <w:ilvl w:val="0"/>
          <w:numId w:val="2092"/>
        </w:numPr>
        <w:pStyle w:val="Compact"/>
      </w:pPr>
      <w:r>
        <w:t xml:space="preserve">ECL ₹42 crore, IRACP ₹50 crore and an existing reserve of ₹5 crore → appropriation ₹3 crore below PAT; a release without a DoS reference fails;</w:t>
      </w:r>
    </w:p>
    <w:p>
      <w:pPr>
        <w:numPr>
          <w:ilvl w:val="0"/>
          <w:numId w:val="2092"/>
        </w:numPr>
        <w:pStyle w:val="Compact"/>
      </w:pPr>
      <w:r>
        <w:t xml:space="preserve">a bank unsecured retail Stage 2 facility at 3% modelled ECL is floored to 5%; an Ind AS NBFC produces Division III statements, the AOC-4 NBFC (Ind AS) payload and no XBRL; an unmapped GL account blocks the run;</w:t>
      </w:r>
    </w:p>
    <w:p>
      <w:pPr>
        <w:numPr>
          <w:ilvl w:val="0"/>
          <w:numId w:val="2092"/>
        </w:numPr>
        <w:pStyle w:val="Compact"/>
      </w:pPr>
      <w:r>
        <w:t xml:space="preserve">₹10,000 interest, ₹2,000 processing fee and a ₹500 RBC-compliant penal charge → GST on ₹2,000 only; GSTR-1 JSON passes the GSTN schema;</w:t>
      </w:r>
    </w:p>
    <w:p>
      <w:pPr>
        <w:numPr>
          <w:ilvl w:val="0"/>
          <w:numId w:val="2092"/>
        </w:numPr>
        <w:pStyle w:val="Compact"/>
      </w:pPr>
      <w:r>
        <w:t xml:space="preserve">a vendor payment dated 25 Mar 2026 uses the Income-tax Act 1961 and Form 26Q; one dated 2 Apr 2026 uses ITA25 s.393 and Form 140;</w:t>
      </w:r>
    </w:p>
    <w:p>
      <w:pPr>
        <w:numPr>
          <w:ilvl w:val="0"/>
          <w:numId w:val="2092"/>
        </w:numPr>
        <w:pStyle w:val="Compact"/>
      </w:pPr>
      <w:r>
        <w:t xml:space="preserve">a Tally batch sent twice alters and never duplicates; the agent refuses a non-loopback endpoint;</w:t>
      </w:r>
    </w:p>
    <w:p>
      <w:pPr>
        <w:numPr>
          <w:ilvl w:val="0"/>
          <w:numId w:val="2092"/>
        </w:numPr>
        <w:pStyle w:val="Compact"/>
      </w:pPr>
      <w:r>
        <w:t xml:space="preserve">updating a posted journal row fails for every database role; dropping a capture trigger raises a P1 within 5 minutes and a Rule 11(g) exception; altering one</w:t>
      </w:r>
      <w:r>
        <w:t xml:space="preserve"> </w:t>
      </w:r>
      <w:r>
        <w:rPr>
          <w:rStyle w:val="VerbatimChar"/>
        </w:rPr>
        <w:t xml:space="preserve">audit_log</w:t>
      </w:r>
      <w:r>
        <w:t xml:space="preserve"> </w:t>
      </w:r>
      <w:r>
        <w:t xml:space="preserve">row breaks the chain at that row;</w:t>
      </w:r>
    </w:p>
    <w:p>
      <w:pPr>
        <w:numPr>
          <w:ilvl w:val="0"/>
          <w:numId w:val="2092"/>
        </w:numPr>
        <w:pStyle w:val="Compact"/>
      </w:pPr>
      <w:r>
        <w:t xml:space="preserve">a navigation test walks each role through the Appendix G entries for this phase and finds every screen, action and setting with the stated visibility and nothing more; changing the ITC election in the middle of a year is refused.</w:t>
      </w:r>
    </w:p>
    <w:p>
      <w:pPr>
        <w:pStyle w:val="BlockText"/>
      </w:pPr>
      <w:r>
        <w:t xml:space="preserve">Show me the applicability matrix with its decision log, the book model and posting layers, the GST fee-treatment master, the ITA25 concordance with its verification status and the audit-trail capture design, with the menu tree and settings catalogue of this phase (Appendix G), for approval before coding.”</w:t>
      </w:r>
    </w:p>
    <w:bookmarkEnd w:id="865"/>
    <w:bookmarkStart w:id="866" w:name="X4c04bfd09c8c57653dbbc0040d1f3fa4f10e6a6"/>
    <w:p>
      <w:pPr>
        <w:pStyle w:val="Heading3"/>
      </w:pPr>
      <w:r>
        <w:t xml:space="preserve">Phase 14 — Regulatory reporting, risk and compliance</w:t>
      </w:r>
    </w:p>
    <w:p>
      <w:pPr>
        <w:pStyle w:val="BlockText"/>
      </w:pPr>
      <w:r>
        <w:rPr>
          <w:bCs/>
          <w:b/>
        </w:rPr>
        <w:t xml:space="preserve">Instruction to Claude:</w:t>
      </w:r>
      <w:r>
        <w:t xml:space="preserve"> </w:t>
      </w:r>
      <w:r>
        <w:t xml:space="preserve">“Build:</w:t>
      </w:r>
    </w:p>
    <w:p>
      <w:pPr>
        <w:numPr>
          <w:ilvl w:val="0"/>
          <w:numId w:val="2093"/>
        </w:numPr>
        <w:pStyle w:val="Compact"/>
      </w:pPr>
      <w:r>
        <w:t xml:space="preserve">the CIC reporting source data (borrower, account, DPD and classification snapshots per reference date); file generation, transmission, rejections, DQI and disputes are built in Phase 14c (Part 7B RR6–RR7);</w:t>
      </w:r>
    </w:p>
    <w:p>
      <w:pPr>
        <w:numPr>
          <w:ilvl w:val="0"/>
          <w:numId w:val="2093"/>
        </w:numPr>
        <w:pStyle w:val="Compact"/>
      </w:pPr>
      <w:r>
        <w:t xml:space="preserve">the source marts for supervisory returns (GL period balances, loan, exposure, liquidity, investment and fraud snapshots); the return registry, element dictionary, generation, validation, reconciliation, sign-off, portal workflows and evidence vault are built in Phase 14b (Part 7B RR1–RR5);</w:t>
      </w:r>
    </w:p>
    <w:p>
      <w:pPr>
        <w:numPr>
          <w:ilvl w:val="0"/>
          <w:numId w:val="2093"/>
        </w:numPr>
        <w:pStyle w:val="Compact"/>
      </w:pPr>
      <w:r>
        <w:t xml:space="preserve">the borrower-level exposure (≥ ₹5 crore) and SMA-event feeds for CRILC and DNBS09 (RSA paras 20–21, 106); the returns are generated in Phase 14b (RR8);</w:t>
      </w:r>
    </w:p>
    <w:p>
      <w:pPr>
        <w:numPr>
          <w:ilvl w:val="0"/>
          <w:numId w:val="2093"/>
        </w:numPr>
        <w:pStyle w:val="Compact"/>
      </w:pPr>
      <w:r>
        <w:t xml:space="preserve">the fraud module’s per-case workflow, law-enforcement reporting, closure and RBR (Part 8A.14), with FMR, FUA and FMR4-RBR generated through the Phase 14b pipeline (RR8.5);</w:t>
      </w:r>
    </w:p>
    <w:p>
      <w:pPr>
        <w:numPr>
          <w:ilvl w:val="0"/>
          <w:numId w:val="2093"/>
        </w:numPr>
        <w:pStyle w:val="Compact"/>
      </w:pPr>
      <w:r>
        <w:t xml:space="preserve">FIU-IND transaction-monitoring alerts, AML cases and sanctions-match handling (Part 8A.21); report XML generation and the FINGate 2.0 filing workflow are built in Phase 14b (RR4.6);</w:t>
      </w:r>
    </w:p>
    <w:p>
      <w:pPr>
        <w:numPr>
          <w:ilvl w:val="0"/>
          <w:numId w:val="2093"/>
        </w:numPr>
        <w:pStyle w:val="Compact"/>
      </w:pPr>
      <w:r>
        <w:t xml:space="preserve">the ALM engine and daily LCR (Part 8A.7), feeding DNBS04A/04B in Phase 14b and the Part 7E RK4 limits and disclosures in Phase 14d;</w:t>
      </w:r>
    </w:p>
    <w:p>
      <w:pPr>
        <w:numPr>
          <w:ilvl w:val="0"/>
          <w:numId w:val="2093"/>
        </w:numPr>
        <w:pStyle w:val="Compact"/>
      </w:pPr>
      <w:r>
        <w:t xml:space="preserve">the exposure engine and breach block (Part 8A.4), feeding the LEF return in Phase 14b and the Part 7E RK5 limits in Phase 14d;</w:t>
      </w:r>
    </w:p>
    <w:p>
      <w:pPr>
        <w:numPr>
          <w:ilvl w:val="0"/>
          <w:numId w:val="2093"/>
        </w:numPr>
        <w:pStyle w:val="Compact"/>
      </w:pPr>
      <w:r>
        <w:t xml:space="preserve">the Compliance Function suite (Part 8A.11);</w:t>
      </w:r>
    </w:p>
    <w:p>
      <w:pPr>
        <w:numPr>
          <w:ilvl w:val="0"/>
          <w:numId w:val="2093"/>
        </w:numPr>
        <w:pStyle w:val="Compact"/>
      </w:pPr>
      <w:r>
        <w:t xml:space="preserve">Auditor’s Report evidence data (Part 8A.15); the DNBS10 clock is built in Phase 14b and the auditor checklists and workspace in Phase 16c (Part 7D AU5, AU7);</w:t>
      </w:r>
    </w:p>
    <w:p>
      <w:pPr>
        <w:numPr>
          <w:ilvl w:val="0"/>
          <w:numId w:val="2093"/>
        </w:numPr>
        <w:pStyle w:val="Compact"/>
      </w:pPr>
      <w:r>
        <w:t xml:space="preserve">the AA consent-artefact store (Part 8A.10);</w:t>
      </w:r>
    </w:p>
    <w:p>
      <w:pPr>
        <w:numPr>
          <w:ilvl w:val="0"/>
          <w:numId w:val="2093"/>
        </w:numPr>
        <w:pStyle w:val="Compact"/>
      </w:pPr>
      <w:r>
        <w:t xml:space="preserve">the ICAAP data mart (the capital engine, ICAAP, stress testing and PCA monitoring on top of it are built in Phase 14d);</w:t>
      </w:r>
    </w:p>
    <w:p>
      <w:pPr>
        <w:numPr>
          <w:ilvl w:val="0"/>
          <w:numId w:val="2093"/>
        </w:numPr>
        <w:pStyle w:val="Compact"/>
      </w:pPr>
      <w:r>
        <w:t xml:space="preserve">the model inventory;</w:t>
      </w:r>
    </w:p>
    <w:p>
      <w:pPr>
        <w:numPr>
          <w:ilvl w:val="0"/>
          <w:numId w:val="2093"/>
        </w:numPr>
        <w:pStyle w:val="Compact"/>
      </w:pPr>
      <w:r>
        <w:t xml:space="preserve">the embedded compliance module (register, controls testing, calendar, product approval);</w:t>
      </w:r>
    </w:p>
    <w:p>
      <w:pPr>
        <w:numPr>
          <w:ilvl w:val="0"/>
          <w:numId w:val="2093"/>
        </w:numPr>
        <w:pStyle w:val="Compact"/>
      </w:pPr>
      <w:r>
        <w:t xml:space="preserve">the LawDocsComply bridge, with the compliance-mode and grievance-host switches.</w:t>
      </w:r>
    </w:p>
    <w:p>
      <w:pPr>
        <w:pStyle w:val="BlockText"/>
      </w:pPr>
      <w:r>
        <w:t xml:space="preserve">Do not build the reporting, bureau or risk layers twice: Phases 14b, 14c and 14d build on these engines. Take return applicability, periodicity and due dates from Part 8A.34 (loaded into the Part 7B RR1 registry in Phase 14b), and formats and validation rules from the RBI portal for each return.”</w:t>
      </w:r>
    </w:p>
    <w:bookmarkEnd w:id="866"/>
    <w:bookmarkStart w:id="867" w:name="X3c5a7a5f9bdab481d042842548ddf11db8223fc"/>
    <w:p>
      <w:pPr>
        <w:pStyle w:val="Heading3"/>
      </w:pPr>
      <w:r>
        <w:t xml:space="preserve">Phase 14b — RBI returns engine and supervisory portal workflows</w:t>
      </w:r>
    </w:p>
    <w:p>
      <w:pPr>
        <w:pStyle w:val="BlockText"/>
      </w:pPr>
      <w:r>
        <w:rPr>
          <w:bCs/>
          <w:b/>
        </w:rPr>
        <w:t xml:space="preserve">Instruction to Claude:</w:t>
      </w:r>
      <w:r>
        <w:t xml:space="preserve"> </w:t>
      </w:r>
      <w:r>
        <w:t xml:space="preserve">“Before writing the specification, verify: (i) the RBI (NBFC – Supervisory Returns) Directions, 2026, RBI/DoS/2026-27/466 of</w:t>
      </w:r>
      <w:r>
        <w:t xml:space="preserve"> </w:t>
      </w:r>
      <w:r>
        <w:rPr>
          <w:bCs/>
          <w:b/>
        </w:rPr>
        <w:t xml:space="preserve">31 Jul 2026</w:t>
      </w:r>
      <w:r>
        <w:t xml:space="preserve"> </w:t>
      </w:r>
      <w:r>
        <w:t xml:space="preserve">(SR) paras 4, 7 and 12–26 against docs/regulations/rbi/, and log the owner’s superseded</w:t>
      </w:r>
      <w:r>
        <w:t xml:space="preserve"> </w:t>
      </w:r>
      <w:r>
        <w:t xml:space="preserve">‘</w:t>
      </w:r>
      <w:r>
        <w:t xml:space="preserve">28 Nov 2025</w:t>
      </w:r>
      <w:r>
        <w:t xml:space="preserve">’</w:t>
      </w:r>
      <w:r>
        <w:t xml:space="preserve"> </w:t>
      </w:r>
      <w:r>
        <w:t xml:space="preserve">reference in docs/regulations/errata.md; (ii) the RBI list of returns and, for each pilot return, the current template, record cap and channel on CIMS/Sankalan (fetch date and template hash), recording every difference from SR as a</w:t>
      </w:r>
      <w:r>
        <w:t xml:space="preserve"> </w:t>
      </w:r>
      <w:r>
        <w:rPr>
          <w:rStyle w:val="VerbatimChar"/>
        </w:rPr>
        <w:t xml:space="preserve">registry_variance</w:t>
      </w:r>
      <w:r>
        <w:t xml:space="preserve"> </w:t>
      </w:r>
      <w:r>
        <w:t xml:space="preserve">(RR1.4: the DNBS04A/04B ₹100 crore BL test, the DNBS08/09 qualifier, ARC rows, the Form A channel); (iii) that CIMS system-to-system (ADF) collection is not confirmed for NBFCs, so that adapter stays flagged off; (iv) FIU-IND formats and PML Rules r.8 clocks, the CKYCR 10/7-day and CERSAI 30-day clocks and ITA25 s.508 Forms 165 and 166; (v) the HFC, bank, UCB, StCB/DCCB, ARC and IFSCA rows, which load as</w:t>
      </w:r>
      <w:r>
        <w:t xml:space="preserve"> </w:t>
      </w:r>
      <w:r>
        <w:rPr>
          <w:rStyle w:val="VerbatimChar"/>
        </w:rPr>
        <w:t xml:space="preserve">ACTIVE_UNVERIFIED</w:t>
      </w:r>
      <w:r>
        <w:t xml:space="preserve">. Then build Part 7B 7B.0, RR1–RR5 and RR8 (bureau files follow in Phase 14c):</w:t>
      </w:r>
    </w:p>
    <w:p>
      <w:pPr>
        <w:numPr>
          <w:ilvl w:val="0"/>
          <w:numId w:val="2094"/>
        </w:numPr>
        <w:pStyle w:val="Compact"/>
      </w:pPr>
      <w:r>
        <w:rPr>
          <w:bCs/>
          <w:b/>
        </w:rPr>
        <w:t xml:space="preserve">7B.0 boundaries:</w:t>
      </w:r>
      <w:r>
        <w:t xml:space="preserve"> </w:t>
      </w:r>
      <w:r>
        <w:t xml:space="preserve">prepare, never file; no field for any regulator user ID, password, OTP, DSC PIN, cookie or token, and no RPA or scraping (a static scan fails the build if an HTTP client targets a regulator domain); a portal-user alias register only; email filing only as an RBI-advised contingency, followed by</w:t>
      </w:r>
      <w:r>
        <w:t xml:space="preserve"> </w:t>
      </w:r>
      <w:r>
        <w:rPr>
          <w:rStyle w:val="VerbatimChar"/>
        </w:rPr>
        <w:t xml:space="preserve">ONLINE_RESUBMISSION_PENDING</w:t>
      </w:r>
      <w:r>
        <w:t xml:space="preserve"> </w:t>
      </w:r>
      <w:r>
        <w:t xml:space="preserve">(SR para 18).</w:t>
      </w:r>
    </w:p>
    <w:p>
      <w:pPr>
        <w:numPr>
          <w:ilvl w:val="0"/>
          <w:numId w:val="2094"/>
        </w:numPr>
        <w:pStyle w:val="Compact"/>
      </w:pPr>
      <w:r>
        <w:rPr>
          <w:bCs/>
          <w:b/>
        </w:rPr>
        <w:t xml:space="preserve">RR1 registry and applicability:</w:t>
      </w:r>
      <w:r>
        <w:t xml:space="preserve"> </w:t>
      </w:r>
      <w:r>
        <w:t xml:space="preserve">regulator → portal → definition → version → due instance → run; 21 return definitions (the 20 items of SR para 21, with item 4 split into DNBS04A and DNBS04B), with due rules</w:t>
      </w:r>
      <w:r>
        <w:t xml:space="preserve"> </w:t>
      </w:r>
      <w:r>
        <w:rPr>
          <w:rStyle w:val="VerbatimChar"/>
        </w:rPr>
        <w:t xml:space="preserve">+21D</w:t>
      </w:r>
      <w:r>
        <w:t xml:space="preserve">,</w:t>
      </w:r>
      <w:r>
        <w:t xml:space="preserve"> </w:t>
      </w:r>
      <w:r>
        <w:rPr>
          <w:rStyle w:val="VerbatimChar"/>
        </w:rPr>
        <w:t xml:space="preserve">+15D</w:t>
      </w:r>
      <w:r>
        <w:t xml:space="preserve">,</w:t>
      </w:r>
      <w:r>
        <w:t xml:space="preserve"> </w:t>
      </w:r>
      <w:r>
        <w:rPr>
          <w:rStyle w:val="VerbatimChar"/>
        </w:rPr>
        <w:t xml:space="preserve">WED_NEXT_WEEK</w:t>
      </w:r>
      <w:r>
        <w:t xml:space="preserve">,</w:t>
      </w:r>
      <w:r>
        <w:t xml:space="preserve"> </w:t>
      </w:r>
      <w:r>
        <w:rPr>
          <w:rStyle w:val="VerbatimChar"/>
        </w:rPr>
        <w:t xml:space="preserve">+5WD_FROM_AUDIT_REPORT_CAP_31DEC</w:t>
      </w:r>
      <w:r>
        <w:t xml:space="preserve">,</w:t>
      </w:r>
      <w:r>
        <w:t xml:space="preserve"> </w:t>
      </w:r>
      <w:r>
        <w:rPr>
          <w:rStyle w:val="VerbatimChar"/>
        </w:rPr>
        <w:t xml:space="preserve">+14D_FROM_CLASSIFICATION</w:t>
      </w:r>
      <w:r>
        <w:t xml:space="preserve"> </w:t>
      </w:r>
      <w:r>
        <w:t xml:space="preserve">and</w:t>
      </w:r>
      <w:r>
        <w:t xml:space="preserve"> </w:t>
      </w:r>
      <w:r>
        <w:rPr>
          <w:rStyle w:val="VerbatimChar"/>
        </w:rPr>
        <w:t xml:space="preserve">+6H_FROM_DETECTION</w:t>
      </w:r>
      <w:r>
        <w:t xml:space="preserve">; CEL applicability rules with citations and a decision log; an applicability change closes future instances with</w:t>
      </w:r>
      <w:r>
        <w:t xml:space="preserve"> </w:t>
      </w:r>
      <w:r>
        <w:rPr>
          <w:rStyle w:val="VerbatimChar"/>
        </w:rPr>
        <w:t xml:space="preserve">APPLICABILITY_CHANGED</w:t>
      </w:r>
      <w:r>
        <w:t xml:space="preserve"> </w:t>
      </w:r>
      <w:r>
        <w:t xml:space="preserve">and never deletes past ones; no other-institution row can generate a filing until a named reviewer verifies it.</w:t>
      </w:r>
    </w:p>
    <w:p>
      <w:pPr>
        <w:numPr>
          <w:ilvl w:val="0"/>
          <w:numId w:val="2094"/>
        </w:numPr>
        <w:pStyle w:val="Compact"/>
      </w:pPr>
      <w:r>
        <w:rPr>
          <w:bCs/>
          <w:b/>
        </w:rPr>
        <w:t xml:space="preserve">RR2 elements and lineage:</w:t>
      </w:r>
      <w:r>
        <w:t xml:space="preserve"> </w:t>
      </w:r>
      <w:r>
        <w:t xml:space="preserve">data elements with RBI harmonised-definition references, dimensions, unit and scale; source mapping to GL, loan, exposure, liquidity, capital, investment, fraud and DLA stores; a frozen</w:t>
      </w:r>
      <w:r>
        <w:t xml:space="preserve"> </w:t>
      </w:r>
      <w:r>
        <w:rPr>
          <w:rStyle w:val="VerbatimChar"/>
        </w:rPr>
        <w:t xml:space="preserve">reporting_snapshot</w:t>
      </w:r>
      <w:r>
        <w:t xml:space="preserve">; cell maps; per-cell lineage with masked drill-down (SR para 15); ad hoc subset queries (para 13); DQ metrics (para 17); independent approval of each cell-map version (para 7). DNBS03 and DNBS04A/04B map to the Phase 14 capital and ALM runs; Phase 14d swaps the source runs without changing the cell maps.</w:t>
      </w:r>
    </w:p>
    <w:p>
      <w:pPr>
        <w:numPr>
          <w:ilvl w:val="0"/>
          <w:numId w:val="2094"/>
        </w:numPr>
        <w:pStyle w:val="Compact"/>
      </w:pPr>
      <w:r>
        <w:rPr>
          <w:bCs/>
          <w:b/>
        </w:rPr>
        <w:t xml:space="preserve">RR3 generation and sign-off:</w:t>
      </w:r>
      <w:r>
        <w:t xml:space="preserve"> </w:t>
      </w:r>
      <w:r>
        <w:t xml:space="preserve">the RR3.1 state table (entry condition, owner, allowed actions, exit, failure and rollback for every state) with REPAIR, PORTAL_REJECTED, REVISION_REQUESTED and contingency branches; template hash check, only unprotected cells filled; versioned YAML/CEL validation rules (ERROR blocks; WARNING needs a maker comment and checker acceptance), including cross-return and portal rule packs; TB reconciliation with tolerance equal to the template rounding unit and an explained-variance register; the RR3.5 maker-checker-signatory matrix (the CRO and CCO are never makers; GOV para 21; CMP para 27); a signed package (</w:t>
      </w:r>
      <w:r>
        <w:rPr>
          <w:rStyle w:val="VerbatimChar"/>
        </w:rPr>
        <w:t xml:space="preserve">manifest.json</w:t>
      </w:r>
      <w:r>
        <w:t xml:space="preserve">, detached JWS with the tenant KMS key); NIL returns with the same approvals.</w:t>
      </w:r>
    </w:p>
    <w:p>
      <w:pPr>
        <w:numPr>
          <w:ilvl w:val="0"/>
          <w:numId w:val="2094"/>
        </w:numPr>
        <w:pStyle w:val="Compact"/>
      </w:pPr>
      <w:r>
        <w:rPr>
          <w:bCs/>
          <w:b/>
        </w:rPr>
        <w:t xml:space="preserve">RR4 portal workflows:</w:t>
      </w:r>
      <w:r>
        <w:t xml:space="preserve"> </w:t>
      </w:r>
      <w:r>
        <w:t xml:space="preserve">guided checklists and acknowledgement capture for CIMS (above 2,000 records the web form is refused and file upload forced), DAKSH (6-hour cyber timer from detection; nomination coverage), PRAVAAH (application pack builder with a Board-resolution gate), NABARD ENSURE, IFSCA (USD), FIU-IND FINGate 2.0 (STRs hidden from non-AML roles; no tipping off), CKYCR, CERSAI satisfaction on closure and income-tax SFT.</w:t>
      </w:r>
    </w:p>
    <w:p>
      <w:pPr>
        <w:numPr>
          <w:ilvl w:val="0"/>
          <w:numId w:val="2094"/>
        </w:numPr>
        <w:pStyle w:val="Compact"/>
      </w:pPr>
      <w:r>
        <w:rPr>
          <w:bCs/>
          <w:b/>
        </w:rPr>
        <w:t xml:space="preserve">RR5:</w:t>
      </w:r>
      <w:r>
        <w:t xml:space="preserve"> </w:t>
      </w:r>
      <w:r>
        <w:t xml:space="preserve">the RR5.3 revision assessment (each trigger — RBI query, audit adjustment, back-dated posting into a filed period, DQ finding, re-approved statements — assessed as</w:t>
      </w:r>
      <w:r>
        <w:t xml:space="preserve"> </w:t>
      </w:r>
      <w:r>
        <w:rPr>
          <w:rStyle w:val="VerbatimChar"/>
        </w:rPr>
        <w:t xml:space="preserve">REVISE</w:t>
      </w:r>
      <w:r>
        <w:t xml:space="preserve"> </w:t>
      </w:r>
      <w:r>
        <w:t xml:space="preserve">or</w:t>
      </w:r>
      <w:r>
        <w:t xml:space="preserve"> </w:t>
      </w:r>
      <w:r>
        <w:rPr>
          <w:rStyle w:val="VerbatimChar"/>
        </w:rPr>
        <w:t xml:space="preserve">NO_REVISION</w:t>
      </w:r>
      <w:r>
        <w:t xml:space="preserve"> </w:t>
      </w:r>
      <w:r>
        <w:t xml:space="preserve">by the CCO with reasons); due instances 13 months ahead plus event-driven instances; alerts at T−7, T−3, T−1 and on breach; evidence vault in the Part 7J folder paths;</w:t>
      </w:r>
      <w:r>
        <w:t xml:space="preserve"> </w:t>
      </w:r>
      <w:r>
        <w:rPr>
          <w:rStyle w:val="VerbatimChar"/>
        </w:rPr>
        <w:t xml:space="preserve">ACKNOWLEDGED</w:t>
      </w:r>
      <w:r>
        <w:t xml:space="preserve"> </w:t>
      </w:r>
      <w:r>
        <w:t xml:space="preserve">needs the uploaded acknowledgement and the confirmed reference; revisions as run n+1 with a cell diff, version n preserved; the</w:t>
      </w:r>
      <w:r>
        <w:t xml:space="preserve"> </w:t>
      </w:r>
      <w:r>
        <w:rPr>
          <w:rStyle w:val="VerbatimChar"/>
        </w:rPr>
        <w:t xml:space="preserve">supervisory_item</w:t>
      </w:r>
      <w:r>
        <w:t xml:space="preserve"> </w:t>
      </w:r>
      <w:r>
        <w:t xml:space="preserve">register; retention 10 years from filing.</w:t>
      </w:r>
    </w:p>
    <w:p>
      <w:pPr>
        <w:numPr>
          <w:ilvl w:val="0"/>
          <w:numId w:val="2094"/>
        </w:numPr>
        <w:pStyle w:val="Compact"/>
      </w:pPr>
      <w:r>
        <w:rPr>
          <w:bCs/>
          <w:b/>
        </w:rPr>
        <w:t xml:space="preserve">RR8:</w:t>
      </w:r>
      <w:r>
        <w:t xml:space="preserve"> </w:t>
      </w:r>
      <w:r>
        <w:t xml:space="preserve">CRILC Main for borrowers with aggregate fund and non-fund exposure of ₹5 crore or more (union of SR para 21 item 5 and RSA para 20, tenant toggle and variance row); DNBS09 move-in and move-out from SMA-0 events reconciled to M6; LEF with immediate breach intimation; monthly WD/LD files to all four CICs (suit-filed and non-suit-filed separate; removal within 30 days below ₹25 lakh); FMR, FUA and FMR4-RBR from the fraud module (FRM paras 42, 45–49); no RFA category for NBFCs.</w:t>
      </w:r>
    </w:p>
    <w:p>
      <w:pPr>
        <w:numPr>
          <w:ilvl w:val="0"/>
          <w:numId w:val="2094"/>
        </w:numPr>
        <w:pStyle w:val="Compact"/>
      </w:pPr>
      <w:r>
        <w:rPr>
          <w:bCs/>
          <w:b/>
        </w:rPr>
        <w:t xml:space="preserve">Menus, screens and settings:</w:t>
      </w:r>
      <w:r>
        <w:t xml:space="preserve"> </w:t>
      </w:r>
      <w:r>
        <w:t xml:space="preserve">build workspace K (Compliance and Regulatory Reporting), with the signatory queue for workspace M exactly as the returns rows of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7B (RR9) specify (navigation paths, list, detail, wizard, approval-queue and dashboard screens, actions, bulk actions, filters, exports, empty and error states, role visibility, and each setting with its scope, default and floor), and register every entry in Appendix G; the filing calendar is the landing screen of workspace K; due rules, validation packs and the sign-off matrix are versioned settings that can add checks or signatories but never loosen an SR timeline or remove a required signatory.</w:t>
      </w:r>
    </w:p>
    <w:p>
      <w:pPr>
        <w:pStyle w:val="BlockText"/>
      </w:pPr>
      <w:r>
        <w:t xml:space="preserve">Emit</w:t>
      </w:r>
      <w:r>
        <w:t xml:space="preserve"> </w:t>
      </w:r>
      <w:r>
        <w:rPr>
          <w:rStyle w:val="VerbatimChar"/>
        </w:rPr>
        <w:t xml:space="preserve">ReturnDue</w:t>
      </w:r>
      <w:r>
        <w:t xml:space="preserve">,</w:t>
      </w:r>
      <w:r>
        <w:t xml:space="preserve"> </w:t>
      </w:r>
      <w:r>
        <w:rPr>
          <w:rStyle w:val="VerbatimChar"/>
        </w:rPr>
        <w:t xml:space="preserve">ReturnGenerated</w:t>
      </w:r>
      <w:r>
        <w:t xml:space="preserve">,</w:t>
      </w:r>
      <w:r>
        <w:t xml:space="preserve"> </w:t>
      </w:r>
      <w:r>
        <w:rPr>
          <w:rStyle w:val="VerbatimChar"/>
        </w:rPr>
        <w:t xml:space="preserve">ReturnValidated</w:t>
      </w:r>
      <w:r>
        <w:t xml:space="preserve">,</w:t>
      </w:r>
      <w:r>
        <w:t xml:space="preserve"> </w:t>
      </w:r>
      <w:r>
        <w:rPr>
          <w:rStyle w:val="VerbatimChar"/>
        </w:rPr>
        <w:t xml:space="preserve">ReturnApproved</w:t>
      </w:r>
      <w:r>
        <w:t xml:space="preserve">,</w:t>
      </w:r>
      <w:r>
        <w:t xml:space="preserve"> </w:t>
      </w:r>
      <w:r>
        <w:rPr>
          <w:rStyle w:val="VerbatimChar"/>
        </w:rPr>
        <w:t xml:space="preserve">ReturnFiled</w:t>
      </w:r>
      <w:r>
        <w:t xml:space="preserve">,</w:t>
      </w:r>
      <w:r>
        <w:t xml:space="preserve"> </w:t>
      </w:r>
      <w:r>
        <w:rPr>
          <w:rStyle w:val="VerbatimChar"/>
        </w:rPr>
        <w:t xml:space="preserve">ReturnRevised</w:t>
      </w:r>
      <w:r>
        <w:t xml:space="preserve"> </w:t>
      </w:r>
      <w:r>
        <w:t xml:space="preserve">and</w:t>
      </w:r>
      <w:r>
        <w:t xml:space="preserve"> </w:t>
      </w:r>
      <w:r>
        <w:rPr>
          <w:rStyle w:val="VerbatimChar"/>
        </w:rPr>
        <w:t xml:space="preserve">ReturnStatusUpdated</w:t>
      </w:r>
      <w:r>
        <w:t xml:space="preserve"> </w:t>
      </w:r>
      <w:r>
        <w:t xml:space="preserve">through the outbox; consume</w:t>
      </w:r>
      <w:r>
        <w:t xml:space="preserve"> </w:t>
      </w:r>
      <w:r>
        <w:rPr>
          <w:rStyle w:val="VerbatimChar"/>
        </w:rPr>
        <w:t xml:space="preserve">PeriodClosed</w:t>
      </w:r>
      <w:r>
        <w:t xml:space="preserve"> </w:t>
      </w:r>
      <w:r>
        <w:t xml:space="preserve">and</w:t>
      </w:r>
      <w:r>
        <w:t xml:space="preserve"> </w:t>
      </w:r>
      <w:r>
        <w:rPr>
          <w:rStyle w:val="VerbatimChar"/>
        </w:rPr>
        <w:t xml:space="preserve">FinancialStatementsApproved</w:t>
      </w:r>
      <w:r>
        <w:t xml:space="preserve"> </w:t>
      </w:r>
      <w:r>
        <w:t xml:space="preserve">from Phase 13b; package returns as</w:t>
      </w:r>
      <w:r>
        <w:t xml:space="preserve"> </w:t>
      </w:r>
      <w:r>
        <w:rPr>
          <w:rStyle w:val="VerbatimChar"/>
        </w:rPr>
        <w:t xml:space="preserve">return_package_v1</w:t>
      </w:r>
      <w:r>
        <w:t xml:space="preserve"> </w:t>
      </w:r>
      <w:r>
        <w:t xml:space="preserve">(Integration Spec v1.1 Part 15). Return status metadata reaches the Operations Hub only where the tenant opts in, and never amounts.</w:t>
      </w:r>
    </w:p>
    <w:p>
      <w:pPr>
        <w:pStyle w:val="BlockText"/>
      </w:pPr>
      <w:r>
        <w:t xml:space="preserve">Tests and acceptance evidence:</w:t>
      </w:r>
    </w:p>
    <w:p>
      <w:pPr>
        <w:numPr>
          <w:ilvl w:val="0"/>
          <w:numId w:val="2095"/>
        </w:numPr>
        <w:pStyle w:val="Compact"/>
      </w:pPr>
      <w:r>
        <w:t xml:space="preserve">loading SR yields exactly 21 return definitions (the 20 items of SR para 21, with item 4 split into DNBS04A and DNBS04B), each resolving to the paragraph text of the SR Directions stored in docs/regulations/rbi/;</w:t>
      </w:r>
    </w:p>
    <w:p>
      <w:pPr>
        <w:numPr>
          <w:ilvl w:val="0"/>
          <w:numId w:val="2095"/>
        </w:numPr>
        <w:pStyle w:val="Compact"/>
      </w:pPr>
      <w:r>
        <w:t xml:space="preserve">a BL ICC with ₹80 crore solo and ₹120 crore group assets and public funds gets DNBS04A/04B; with no public funds and no customer interface it does not;</w:t>
      </w:r>
    </w:p>
    <w:p>
      <w:pPr>
        <w:numPr>
          <w:ilvl w:val="0"/>
          <w:numId w:val="2095"/>
        </w:numPr>
        <w:pStyle w:val="Compact"/>
      </w:pPr>
      <w:r>
        <w:t xml:space="preserve">an unbalanced DNBS02 cannot leave VALIDATED; a ₹2 lakh TB variance blocks RECONCILED until explained, a ₹40,000 variance passes as rounding;</w:t>
      </w:r>
    </w:p>
    <w:p>
      <w:pPr>
        <w:numPr>
          <w:ilvl w:val="0"/>
          <w:numId w:val="2095"/>
        </w:numPr>
        <w:pStyle w:val="Compact"/>
      </w:pPr>
      <w:r>
        <w:t xml:space="preserve">the same user as maker and checker gets 403</w:t>
      </w:r>
      <w:r>
        <w:t xml:space="preserve"> </w:t>
      </w:r>
      <w:r>
        <w:rPr>
          <w:rStyle w:val="VerbatimChar"/>
        </w:rPr>
        <w:t xml:space="preserve">sod_conflict</w:t>
      </w:r>
      <w:r>
        <w:t xml:space="preserve">; a CIMS web-form run with 2,001 records is refused;</w:t>
      </w:r>
    </w:p>
    <w:p>
      <w:pPr>
        <w:numPr>
          <w:ilvl w:val="0"/>
          <w:numId w:val="2095"/>
        </w:numPr>
        <w:pStyle w:val="Compact"/>
      </w:pPr>
      <w:r>
        <w:t xml:space="preserve">DNBS10 for an audit report signed on Friday 25 Sep 2026 is due Monday 5 Oct 2026; one signed on 24 Dec 2026 is due 31 Dec 2026; an FMR classified on 1 November is due 15 November;</w:t>
      </w:r>
    </w:p>
    <w:p>
      <w:pPr>
        <w:numPr>
          <w:ilvl w:val="0"/>
          <w:numId w:val="2095"/>
        </w:numPr>
        <w:pStyle w:val="Compact"/>
      </w:pPr>
      <w:r>
        <w:t xml:space="preserve">a ₹3.2 crore term loan plus a ₹2 crore guarantee appears in CRILC, ₹4.99 crore does not, and a NIL CRILC still needs CRO sign-off;</w:t>
      </w:r>
    </w:p>
    <w:p>
      <w:pPr>
        <w:numPr>
          <w:ilvl w:val="0"/>
          <w:numId w:val="2095"/>
        </w:numPr>
        <w:pStyle w:val="Compact"/>
      </w:pPr>
      <w:r>
        <w:t xml:space="preserve">the static scan finds no regulator credential field and no portal HTTP client;</w:t>
      </w:r>
    </w:p>
    <w:p>
      <w:pPr>
        <w:numPr>
          <w:ilvl w:val="0"/>
          <w:numId w:val="2095"/>
        </w:numPr>
        <w:pStyle w:val="Compact"/>
      </w:pPr>
      <w:r>
        <w:t xml:space="preserve">a navigation test walks each role through the Appendix G entries for this phase and finds every screen, action and setting with the stated visibility and nothing more; a sign-off matrix without the required CRO or CCO signatory cannot be saved, and a due rule later than the SR timeline fails</w:t>
      </w:r>
      <w:r>
        <w:t xml:space="preserve"> </w:t>
      </w:r>
      <w:r>
        <w:rPr>
          <w:rStyle w:val="VerbatimChar"/>
        </w:rPr>
        <w:t xml:space="preserve">floor_violation</w:t>
      </w:r>
      <w:r>
        <w:t xml:space="preserve">.</w:t>
      </w:r>
    </w:p>
    <w:p>
      <w:pPr>
        <w:pStyle w:val="BlockText"/>
      </w:pPr>
      <w:r>
        <w:t xml:space="preserve">Show me the registry with the SR rows, the variance log, the element dictionary for the pilot returns, the validation rule pack and the sign-off matrix, with the menu tree and settings catalogue of this phase (Appendix G), for approval before coding.”</w:t>
      </w:r>
    </w:p>
    <w:bookmarkEnd w:id="867"/>
    <w:bookmarkStart w:id="868" w:name="phase-14c-credit-bureau-submissions"/>
    <w:p>
      <w:pPr>
        <w:pStyle w:val="Heading3"/>
      </w:pPr>
      <w:r>
        <w:t xml:space="preserve">Phase 14c — Credit bureau submissions</w:t>
      </w:r>
    </w:p>
    <w:p>
      <w:pPr>
        <w:pStyle w:val="BlockText"/>
      </w:pPr>
      <w:r>
        <w:rPr>
          <w:bCs/>
          <w:b/>
        </w:rPr>
        <w:t xml:space="preserve">Instruction to Claude:</w:t>
      </w:r>
      <w:r>
        <w:t xml:space="preserve"> </w:t>
      </w:r>
      <w:r>
        <w:t xml:space="preserve">“Before writing the specification, verify: (i) CIR (Part 8A.2) as amended by RBI/DOR/2025-26/117 (DOR.FIN.REC.No.324/20.16.056/2025-26) of 4 Dec 2025, in force</w:t>
      </w:r>
      <w:r>
        <w:t xml:space="preserve"> </w:t>
      </w:r>
      <w:r>
        <w:rPr>
          <w:bCs/>
          <w:b/>
        </w:rPr>
        <w:t xml:space="preserve">1 Jul 2026</w:t>
      </w:r>
      <w:r>
        <w:t xml:space="preserve">, including the Annex VI timetable, and the credit information companies’ counterpart, the CIC Amendment Directions RBI/DOR/2025-26/119 (DoR.FIN.REC.No.326) (</w:t>
      </w:r>
      <w:r>
        <w:rPr>
          <w:rStyle w:val="VerbatimChar"/>
        </w:rPr>
        <w:t xml:space="preserve">CIC-AMD</w:t>
      </w:r>
      <w:r>
        <w:t xml:space="preserve">); (ii) the current specifications obtained from each CIC under the tenant’s membership agreement — UCRF Consumer v3.74 (4 Feb 2026), Commercial v3.10 delimited (13 Apr 2026; SFTP only) and MFI v3.3.1 (April 2026) — and whether each CIC publishes a validator; log spec inconsistencies (TH occurrences, the status-17 rule, the v3.74 PIN-length note, S18) as</w:t>
      </w:r>
      <w:r>
        <w:t xml:space="preserve"> </w:t>
      </w:r>
      <w:r>
        <w:rPr>
          <w:rStyle w:val="VerbatimChar"/>
        </w:rPr>
        <w:t xml:space="preserve">format_issue</w:t>
      </w:r>
      <w:r>
        <w:t xml:space="preserve"> </w:t>
      </w:r>
      <w:r>
        <w:t xml:space="preserve">rows resolved in writing with the bureau, never coded around; (iii) MFIN Guardrails 2.0 daily submission for MFIN members; (iv) for co-operative tenants, whether a CIC admits the society as a member under CICRA, otherwise the module stays off.</w:t>
      </w:r>
      <w:r>
        <w:t xml:space="preserve"> </w:t>
      </w:r>
      <w:r>
        <w:rPr>
          <w:bCs/>
          <w:b/>
        </w:rPr>
        <w:t xml:space="preserve">Do not build to the draft cadence</w:t>
      </w:r>
      <w:r>
        <w:t xml:space="preserve"> </w:t>
      </w:r>
      <w:r>
        <w:t xml:space="preserve">(7th/14th/21st/28th and a 3rd-of-month full file). Then build Part 7B RR6–RR7:</w:t>
      </w:r>
    </w:p>
    <w:p>
      <w:pPr>
        <w:numPr>
          <w:ilvl w:val="0"/>
          <w:numId w:val="2096"/>
        </w:numPr>
        <w:pStyle w:val="Compact"/>
      </w:pPr>
      <w:r>
        <w:rPr>
          <w:bCs/>
          <w:b/>
        </w:rPr>
        <w:t xml:space="preserve">RR6.2 cadence engine (effective-dated):</w:t>
      </w:r>
      <w:r>
        <w:t xml:space="preserve"> </w:t>
      </w:r>
      <w:r>
        <w:t xml:space="preserve">until 30 Jun 2026 the 15th and month-end within 7 days; from 1 Jul 2026 incremental W1 (9th), W2 (16th) and W3 (23rd) files within 4 calendar days (13th, 20th, 27th) and the month-end full file by the 5th; daily DL for MFIN members; rejection and correction dates per Annex VI (corrections by the 20th, 27th, 5th and 13th).</w:t>
      </w:r>
    </w:p>
    <w:p>
      <w:pPr>
        <w:numPr>
          <w:ilvl w:val="0"/>
          <w:numId w:val="2096"/>
        </w:numPr>
        <w:pStyle w:val="Compact"/>
      </w:pPr>
      <w:r>
        <w:rPr>
          <w:bCs/>
          <w:b/>
        </w:rPr>
        <w:t xml:space="preserve">RR6.3 population:</w:t>
      </w:r>
      <w:r>
        <w:t xml:space="preserve"> </w:t>
      </w:r>
      <w:r>
        <w:t xml:space="preserve">month-end = all active accounts plus accounts ended since the last reference date; W1–W3 = opened ∪ ended ∪ changed by borrower action or transaction ∪ any overdue, implemented as</w:t>
      </w:r>
      <w:r>
        <w:t xml:space="preserve"> </w:t>
      </w:r>
      <w:r>
        <w:rPr>
          <w:rStyle w:val="VerbatimChar"/>
        </w:rPr>
        <w:t xml:space="preserve">changed_since(last_ref) OR amount_overdue &gt; 0</w:t>
      </w:r>
      <w:r>
        <w:t xml:space="preserve"> </w:t>
      </w:r>
      <w:r>
        <w:t xml:space="preserve">over a canonical record hash per account and bureau;</w:t>
      </w:r>
      <w:r>
        <w:t xml:space="preserve"> </w:t>
      </w:r>
      <w:r>
        <w:rPr>
          <w:bCs/>
          <w:b/>
        </w:rPr>
        <w:t xml:space="preserve">DPD-only changes are reported</w:t>
      </w:r>
      <w:r>
        <w:t xml:space="preserve">; closure always produces a category-B record; reporting continues after CoR cancellation until run-off.</w:t>
      </w:r>
    </w:p>
    <w:p>
      <w:pPr>
        <w:numPr>
          <w:ilvl w:val="0"/>
          <w:numId w:val="2096"/>
        </w:numPr>
        <w:pStyle w:val="Compact"/>
      </w:pPr>
      <w:r>
        <w:rPr>
          <w:bCs/>
          <w:b/>
        </w:rPr>
        <w:t xml:space="preserve">RR6.4–RR6.6 routing, packs and mapping:</w:t>
      </w:r>
      <w:r>
        <w:t xml:space="preserve"> </w:t>
      </w:r>
      <w:r>
        <w:t xml:space="preserve">individuals → Consumer; non-individuals and guarantors → Commercial with the Relationship segment; microfinance → MFI only, never also Consumer; each co-borrower in its own format; format packs as versioned data (segments, tag-length-value, catalogues, validations, file names, cycle codes DL/W1/W2/W3/ME/DC/AH/RR,</w:t>
      </w:r>
      <w:r>
        <w:t xml:space="preserve"> </w:t>
      </w:r>
      <w:r>
        <w:rPr>
          <w:rStyle w:val="VerbatimChar"/>
        </w:rPr>
        <w:t xml:space="preserve">FINBYX</w:t>
      </w:r>
      <w:r>
        <w:t xml:space="preserve"> </w:t>
      </w:r>
      <w:r>
        <w:t xml:space="preserve">and the release version as MFI vendor identifier); generator-enforced mapping (</w:t>
      </w:r>
      <w:r>
        <w:t xml:space="preserve">‘</w:t>
      </w:r>
      <w:r>
        <w:t xml:space="preserve">settled</w:t>
      </w:r>
      <w:r>
        <w:t xml:space="preserve">’</w:t>
      </w:r>
      <w:r>
        <w:t xml:space="preserve"> </w:t>
      </w:r>
      <w:r>
        <w:t xml:space="preserve">only for a waiver for financial inability, CIR para 12(4); IBC admission as suit-filed 01 or 05 NCLT/NCLAT; wilful default only ML and above; DPD cap 900 consumer and 999 MFI; CKYC number as ID type 09; commercial written-off and settled amounts enforced from 1 Apr 2027).</w:t>
      </w:r>
    </w:p>
    <w:p>
      <w:pPr>
        <w:numPr>
          <w:ilvl w:val="0"/>
          <w:numId w:val="2096"/>
        </w:numPr>
        <w:pStyle w:val="Compact"/>
      </w:pPr>
      <w:r>
        <w:rPr>
          <w:bCs/>
          <w:b/>
        </w:rPr>
        <w:t xml:space="preserve">RR6.7 build and transmit:</w:t>
      </w:r>
      <w:r>
        <w:t xml:space="preserve"> </w:t>
      </w:r>
      <w:r>
        <w:t xml:space="preserve">freeze → extract → route → validate against the pack and the CICs’ uniform data-acceptance rules (ERROR records to a repair queue, never silently dropped) → four outputs from one dataset → nodal-officer approval of counts by segment, status and DPD bucket → SFTP from a lender-controlled host or tenant agent, with SFTP and PGP keys in the tenant vault (BYOK; unreadable by Finbyx staff; CIBIL correction uploads unencrypted, other CICs per their own specification) → acknowledgement; the RR6.7 state machine with its exception paths (a nodal-officer rejection rebuilds all four outputs together; transmission failures retry with back-off for 2 hours, then alert bureau operations and the nodal officer, and escalate to the CCO at due − 1 day; a late file raises a compliance issue);</w:t>
      </w:r>
      <w:r>
        <w:t xml:space="preserve"> </w:t>
      </w:r>
      <w:r>
        <w:rPr>
          <w:rStyle w:val="VerbatimChar"/>
        </w:rPr>
        <w:t xml:space="preserve">BureauFileGenerated</w:t>
      </w:r>
      <w:r>
        <w:t xml:space="preserve">,</w:t>
      </w:r>
      <w:r>
        <w:t xml:space="preserve"> </w:t>
      </w:r>
      <w:r>
        <w:rPr>
          <w:rStyle w:val="VerbatimChar"/>
        </w:rPr>
        <w:t xml:space="preserve">BureauFileSubmitted</w:t>
      </w:r>
      <w:r>
        <w:t xml:space="preserve">.</w:t>
      </w:r>
    </w:p>
    <w:p>
      <w:pPr>
        <w:numPr>
          <w:ilvl w:val="0"/>
          <w:numId w:val="2096"/>
        </w:numPr>
        <w:pStyle w:val="Compact"/>
      </w:pPr>
      <w:r>
        <w:rPr>
          <w:bCs/>
          <w:b/>
        </w:rPr>
        <w:t xml:space="preserve">RR7 rejections, data quality and disputes:</w:t>
      </w:r>
      <w:r>
        <w:t xml:space="preserve"> </w:t>
      </w:r>
      <w:r>
        <w:t xml:space="preserve">rejection reports and file-level DQI ingested within 3 days into</w:t>
      </w:r>
      <w:r>
        <w:t xml:space="preserve"> </w:t>
      </w:r>
      <w:r>
        <w:rPr>
          <w:rStyle w:val="VerbatimChar"/>
        </w:rPr>
        <w:t xml:space="preserve">bureau_rejection</w:t>
      </w:r>
      <w:r>
        <w:t xml:space="preserve"> </w:t>
      </w:r>
      <w:r>
        <w:t xml:space="preserve">keyed by uniform reason code; repair at source, never a hand-edited file; resubmission as cycle</w:t>
      </w:r>
      <w:r>
        <w:t xml:space="preserve"> </w:t>
      </w:r>
      <w:r>
        <w:rPr>
          <w:rStyle w:val="VerbatimChar"/>
        </w:rPr>
        <w:t xml:space="preserve">RR</w:t>
      </w:r>
      <w:r>
        <w:t xml:space="preserve"> </w:t>
      </w:r>
      <w:r>
        <w:t xml:space="preserve">before or with the next reference-date file; ageing escalation to the nodal officer and the CCO; monthly CI-level DQI and the half-yearly review to top management within two months (CIR para 17); an SMS or email alert at submission of default data on 1600-series service headers that never delays the file (CIR para 34(1)(i)); the dispute state machine with the 21-day CI clock and 30-day overall clock (CICRA s.21(3); CIR para 35), ₹100 a day compensation apportioned per CIR para 35(4) by the RR7.4 formula, rounded to the paisa by largest remainder so that the shares sum to the total [owner to confirm the paisa rounding], and paid within 5 working days (CIR para 35(9));</w:t>
      </w:r>
      <w:r>
        <w:t xml:space="preserve"> </w:t>
      </w:r>
      <w:r>
        <w:rPr>
          <w:rStyle w:val="VerbatimChar"/>
        </w:rPr>
        <w:t xml:space="preserve">BureauRejectionReceived</w:t>
      </w:r>
      <w:r>
        <w:t xml:space="preserve">,</w:t>
      </w:r>
      <w:r>
        <w:t xml:space="preserve"> </w:t>
      </w:r>
      <w:r>
        <w:rPr>
          <w:rStyle w:val="VerbatimChar"/>
        </w:rPr>
        <w:t xml:space="preserve">BureauCorrectionRequested</w:t>
      </w:r>
      <w:r>
        <w:t xml:space="preserve">,</w:t>
      </w:r>
      <w:r>
        <w:t xml:space="preserve"> </w:t>
      </w:r>
      <w:r>
        <w:rPr>
          <w:rStyle w:val="VerbatimChar"/>
        </w:rPr>
        <w:t xml:space="preserve">BureauCorrectionCompleted</w:t>
      </w:r>
      <w:r>
        <w:t xml:space="preserve">; nodal-officer changes notified to every CIC within 5 days. Disputes link to M15 grievances when Phase 15 delivers them; until then they run in their own register.</w:t>
      </w:r>
    </w:p>
    <w:p>
      <w:pPr>
        <w:numPr>
          <w:ilvl w:val="0"/>
          <w:numId w:val="2096"/>
        </w:numPr>
        <w:pStyle w:val="Compact"/>
      </w:pPr>
      <w:r>
        <w:rPr>
          <w:bCs/>
          <w:b/>
        </w:rPr>
        <w:t xml:space="preserve">Menus, screens and settings:</w:t>
      </w:r>
      <w:r>
        <w:t xml:space="preserve"> </w:t>
      </w:r>
      <w:r>
        <w:t xml:space="preserve">build workspace K (Compliance and Regulatory Reporting), with the bureau-dispute queue shared with workspace F exactly as the credit-bureau rows of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7B (RR9) specify (navigation paths, list, detail, wizard, approval-queue and dashboard screens, actions, bulk actions, filters, exports, empty and error states, role visibility, and each setting with its scope, default and floor), and register every entry in Appendix G; cadence, format-pack version, nodal officer and SFTP target are effective-dated settings under maker-checker; the cadence can never be set slower than CIR para 10(2) as substituted.</w:t>
      </w:r>
    </w:p>
    <w:p>
      <w:pPr>
        <w:pStyle w:val="BlockText"/>
      </w:pPr>
      <w:r>
        <w:t xml:space="preserve">Tests and acceptance evidence:</w:t>
      </w:r>
    </w:p>
    <w:p>
      <w:pPr>
        <w:numPr>
          <w:ilvl w:val="0"/>
          <w:numId w:val="2097"/>
        </w:numPr>
        <w:pStyle w:val="Compact"/>
      </w:pPr>
      <w:r>
        <w:t xml:space="preserve">byte-level golden fixtures for one consumer, one commercial and one MFI file per cycle code, passing each bureau’s validator where one is published;</w:t>
      </w:r>
    </w:p>
    <w:p>
      <w:pPr>
        <w:numPr>
          <w:ilvl w:val="0"/>
          <w:numId w:val="2097"/>
        </w:numPr>
        <w:pStyle w:val="Compact"/>
      </w:pPr>
      <w:r>
        <w:t xml:space="preserve">an account whose only change since the 9th is DPD 31 → 38 appears in W2; a loan closed on the 20th appears in W3 as category B;</w:t>
      </w:r>
    </w:p>
    <w:p>
      <w:pPr>
        <w:numPr>
          <w:ilvl w:val="0"/>
          <w:numId w:val="2097"/>
        </w:numPr>
        <w:pStyle w:val="Compact"/>
      </w:pPr>
      <w:r>
        <w:t xml:space="preserve">a microfinance loan never appears in the consumer file; a commercial field containing</w:t>
      </w:r>
      <w:r>
        <w:t xml:space="preserve"> </w:t>
      </w:r>
      <w:r>
        <w:rPr>
          <w:rStyle w:val="VerbatimChar"/>
        </w:rPr>
        <w:t xml:space="preserve">~</w:t>
      </w:r>
      <w:r>
        <w:t xml:space="preserve"> </w:t>
      </w:r>
      <w:r>
        <w:t xml:space="preserve">is cleaned at source or held back;</w:t>
      </w:r>
    </w:p>
    <w:p>
      <w:pPr>
        <w:numPr>
          <w:ilvl w:val="0"/>
          <w:numId w:val="2097"/>
        </w:numPr>
        <w:pStyle w:val="Compact"/>
      </w:pPr>
      <w:r>
        <w:t xml:space="preserve">the July month-end file is due 5 August, and transmission on 6 August raises a compliance issue;</w:t>
      </w:r>
    </w:p>
    <w:p>
      <w:pPr>
        <w:numPr>
          <w:ilvl w:val="0"/>
          <w:numId w:val="2097"/>
        </w:numPr>
        <w:pStyle w:val="Compact"/>
      </w:pPr>
      <w:r>
        <w:t xml:space="preserve">CIR para 35 Case 7: ₹300 payable by the CI; the variant with the CIC a day later gives ₹400 split ₹100 CIC and ₹300 CI; a split that does not divide evenly (CIR para 35 Case 4) sums exactly to the total after largest-remainder rounding;</w:t>
      </w:r>
    </w:p>
    <w:p>
      <w:pPr>
        <w:numPr>
          <w:ilvl w:val="0"/>
          <w:numId w:val="2097"/>
        </w:numPr>
        <w:pStyle w:val="Compact"/>
      </w:pPr>
      <w:r>
        <w:t xml:space="preserve">a rejection from the 9th cycle not resubmitted by the 20th appears in the 16th-cycle file as</w:t>
      </w:r>
      <w:r>
        <w:t xml:space="preserve"> </w:t>
      </w:r>
      <w:r>
        <w:rPr>
          <w:rStyle w:val="VerbatimChar"/>
        </w:rPr>
        <w:t xml:space="preserve">RR</w:t>
      </w:r>
      <w:r>
        <w:t xml:space="preserve">;</w:t>
      </w:r>
    </w:p>
    <w:p>
      <w:pPr>
        <w:numPr>
          <w:ilvl w:val="0"/>
          <w:numId w:val="2097"/>
        </w:numPr>
        <w:pStyle w:val="Compact"/>
      </w:pPr>
      <w:r>
        <w:t xml:space="preserve">no SFTP or PGP private key is readable through any Finbyx admin API or log;</w:t>
      </w:r>
    </w:p>
    <w:p>
      <w:pPr>
        <w:numPr>
          <w:ilvl w:val="0"/>
          <w:numId w:val="2097"/>
        </w:numPr>
        <w:pStyle w:val="Compact"/>
      </w:pPr>
      <w:r>
        <w:t xml:space="preserve">a navigation test walks each role through the Appendix G entries for this phase and finds every screen, action and setting with the stated visibility and nothing more; a cadence slower than the CIR para 10(2) cycle fails</w:t>
      </w:r>
      <w:r>
        <w:t xml:space="preserve"> </w:t>
      </w:r>
      <w:r>
        <w:rPr>
          <w:rStyle w:val="VerbatimChar"/>
        </w:rPr>
        <w:t xml:space="preserve">floor_violation</w:t>
      </w:r>
      <w:r>
        <w:t xml:space="preserve">.</w:t>
      </w:r>
    </w:p>
    <w:p>
      <w:pPr>
        <w:pStyle w:val="BlockText"/>
      </w:pPr>
      <w:r>
        <w:t xml:space="preserve">Show me the 2026-27 cadence calendar, the three format packs with their open</w:t>
      </w:r>
      <w:r>
        <w:t xml:space="preserve"> </w:t>
      </w:r>
      <w:r>
        <w:rPr>
          <w:rStyle w:val="VerbatimChar"/>
        </w:rPr>
        <w:t xml:space="preserve">format_issue</w:t>
      </w:r>
      <w:r>
        <w:t xml:space="preserve"> </w:t>
      </w:r>
      <w:r>
        <w:t xml:space="preserve">list, the mapping table and the dispute compensation calculator, with the menu tree and settings catalogue of this phase (Appendix G), for approval before coding.”</w:t>
      </w:r>
    </w:p>
    <w:bookmarkEnd w:id="868"/>
    <w:bookmarkStart w:id="869" w:name="Xb71aebac657d282d1b3f46373a7a38c2e6e43b2"/>
    <w:p>
      <w:pPr>
        <w:pStyle w:val="Heading3"/>
      </w:pPr>
      <w:r>
        <w:t xml:space="preserve">Phase 14d — Risk management, capital adequacy, ICAAP and leadership dashboards</w:t>
      </w:r>
    </w:p>
    <w:p>
      <w:pPr>
        <w:pStyle w:val="BlockText"/>
      </w:pPr>
      <w:r>
        <w:rPr>
          <w:bCs/>
          <w:b/>
        </w:rPr>
        <w:t xml:space="preserve">Instruction to Claude:</w:t>
      </w:r>
      <w:r>
        <w:t xml:space="preserve"> </w:t>
      </w:r>
      <w:r>
        <w:t xml:space="preserve">“Before writing the specification, verify: (i) the Part 7E build rules against docs/regulations/rbi/: no Pillar 1 operational- or market-risk charge and no insisted Pillar 2 capital for NBFCs (CAP para 54); leverage ≤ 7 for BL only (CAP para 17); CRO mandatory only above ₹5,000 crore (GOV para 19); LCR for NBFC-ND from ₹5,000 crore (ALM Ch III); MFI qualifying assets 60% (MFI paras 8(3), 12); PCA thresholds and scope (MSD paras 3, 16–19); (ii) the [VERIFY] rows of RK3.1 and RK6.2 (HFC paras 20, 22 and 58; CIC ANW/RWA and leverage; SFB, UCB and bank packs including CB-CAP, CB-CRSA and the 1 Apr 2027 changes), loading unverified packs as non-regulatory; (iii) the LawDocsComply GRC connector version and the Integration Spec v1.1 risk events (</w:t>
      </w:r>
      <w:r>
        <w:rPr>
          <w:rStyle w:val="VerbatimChar"/>
        </w:rPr>
        <w:t xml:space="preserve">LimitBreached</w:t>
      </w:r>
      <w:r>
        <w:t xml:space="preserve"> </w:t>
      </w:r>
      <w:r>
        <w:t xml:space="preserve">carries</w:t>
      </w:r>
      <w:r>
        <w:t xml:space="preserve"> </w:t>
      </w:r>
      <w:r>
        <w:rPr>
          <w:rStyle w:val="VerbatimChar"/>
        </w:rPr>
        <w:t xml:space="preserve">limit_type</w:t>
      </w:r>
      <w:r>
        <w:t xml:space="preserve">, including</w:t>
      </w:r>
      <w:r>
        <w:t xml:space="preserve"> </w:t>
      </w:r>
      <w:r>
        <w:rPr>
          <w:rStyle w:val="VerbatimChar"/>
        </w:rPr>
        <w:t xml:space="preserve">PCA_RT1</w:t>
      </w:r>
      <w:r>
        <w:t xml:space="preserve">–</w:t>
      </w:r>
      <w:r>
        <w:rPr>
          <w:rStyle w:val="VerbatimChar"/>
        </w:rPr>
        <w:t xml:space="preserve">PCA_RT3</w:t>
      </w:r>
      <w:r>
        <w:t xml:space="preserve">, and</w:t>
      </w:r>
      <w:r>
        <w:t xml:space="preserve"> </w:t>
      </w:r>
      <w:r>
        <w:rPr>
          <w:rStyle w:val="VerbatimChar"/>
        </w:rPr>
        <w:t xml:space="preserve">status</w:t>
      </w:r>
      <w:r>
        <w:t xml:space="preserve"> </w:t>
      </w:r>
      <w:r>
        <w:t xml:space="preserve">OPEN or CURED with a higher</w:t>
      </w:r>
      <w:r>
        <w:t xml:space="preserve"> </w:t>
      </w:r>
      <w:r>
        <w:rPr>
          <w:rStyle w:val="VerbatimChar"/>
        </w:rPr>
        <w:t xml:space="preserve">update_seq</w:t>
      </w:r>
      <w:r>
        <w:t xml:space="preserve"> </w:t>
      </w:r>
      <w:r>
        <w:t xml:space="preserve">for a cure). Then build Part 7E on the Phase 14 exposure, ALM, RWA and ICAAP-mart engines:</w:t>
      </w:r>
    </w:p>
    <w:p>
      <w:pPr>
        <w:numPr>
          <w:ilvl w:val="0"/>
          <w:numId w:val="2098"/>
        </w:numPr>
        <w:pStyle w:val="Compact"/>
      </w:pPr>
      <w:r>
        <w:rPr>
          <w:bCs/>
          <w:b/>
        </w:rPr>
        <w:t xml:space="preserve">RK1:</w:t>
      </w:r>
      <w:r>
        <w:t xml:space="preserve"> </w:t>
      </w:r>
      <w:r>
        <w:t xml:space="preserve">the risk-governance resolver (RMC for all layers; CRO for ML and above with assets &gt; ₹5,000 crore; ALCO; ITSC); CRO guard-rails (no business role or targets; quarterly in-camera meeting where the CRO reports to the MD &amp; CEO; premature removal needs a Board reference and drafts the DoS RO intimation); the product-vetting gate (GOV para 23); the RAS with appetite, tolerance and limit (never looser than regulation) and cascaded limits whose children cannot exceed the parent.</w:t>
      </w:r>
    </w:p>
    <w:p>
      <w:pPr>
        <w:numPr>
          <w:ilvl w:val="0"/>
          <w:numId w:val="2098"/>
        </w:numPr>
        <w:pStyle w:val="Compact"/>
      </w:pPr>
      <w:r>
        <w:rPr>
          <w:bCs/>
          <w:b/>
        </w:rPr>
        <w:t xml:space="preserve">RK2:</w:t>
      </w:r>
      <w:r>
        <w:t xml:space="preserve"> </w:t>
      </w:r>
      <w:r>
        <w:t xml:space="preserve">risk register and taxonomy; RCSA campaigns with second-line challenge; KRIs only on governed metrics; loss events with occurrence, discovery and accounting dates; system-of-record split by M14 compliance mode; the LawDocsComply feed as CloudEvents with a per-tenant</w:t>
      </w:r>
      <w:r>
        <w:t xml:space="preserve"> </w:t>
      </w:r>
      <w:r>
        <w:rPr>
          <w:rStyle w:val="VerbatimChar"/>
        </w:rPr>
        <w:t xml:space="preserve">prevhash</w:t>
      </w:r>
      <w:r>
        <w:t xml:space="preserve"> </w:t>
      </w:r>
      <w:r>
        <w:t xml:space="preserve">chain, HMAC-SHA256 pseudonyms keyed in the tenant KMS, banded individual amounts and no raw PII; inbound KRI and Obligation pull plus</w:t>
      </w:r>
      <w:r>
        <w:t xml:space="preserve"> </w:t>
      </w:r>
      <w:r>
        <w:rPr>
          <w:rStyle w:val="VerbatimChar"/>
        </w:rPr>
        <w:t xml:space="preserve">ObligationPublished</w:t>
      </w:r>
      <w:r>
        <w:t xml:space="preserve">, rejecting any KRI whose metric is not in RK6; daily count-and-hash reconciliation.</w:t>
      </w:r>
    </w:p>
    <w:p>
      <w:pPr>
        <w:numPr>
          <w:ilvl w:val="0"/>
          <w:numId w:val="2098"/>
        </w:numPr>
        <w:pStyle w:val="Compact"/>
      </w:pPr>
      <w:r>
        <w:rPr>
          <w:bCs/>
          <w:b/>
        </w:rPr>
        <w:t xml:space="preserve">RK3 capital:</w:t>
      </w:r>
      <w:r>
        <w:t xml:space="preserve"> </w:t>
      </w:r>
      <w:r>
        <w:t xml:space="preserve">effective-dated minimums by profile; risk-weight deltas (125% consumer credit fixed at sanction; microfinance out of 125% from 25 Feb 2025; infrastructure 75%/50% and grandfathering to 31 Mar 2027; HFC LTV weights; guarantee-scheme cover at 0%; Ind AS filters); daily shadow, monthly, quarterly regulatory and annual audited runs with the RWA walk and three-click lineage; certification blocked if unclassified exposure exceeds 0.1% of EAD, the TB is unlocked or ECL is unapproved; headroom bands; BL leverage alert at 6.5; gold-primary detector; pre-sanction what-if pinned to the sanction; bank parallel run of the 2027 packs;</w:t>
      </w:r>
      <w:r>
        <w:t xml:space="preserve"> </w:t>
      </w:r>
      <w:r>
        <w:rPr>
          <w:rStyle w:val="VerbatimChar"/>
        </w:rPr>
        <w:t xml:space="preserve">CapitalRatioComputed</w:t>
      </w:r>
      <w:r>
        <w:t xml:space="preserve">.</w:t>
      </w:r>
    </w:p>
    <w:p>
      <w:pPr>
        <w:numPr>
          <w:ilvl w:val="0"/>
          <w:numId w:val="2098"/>
        </w:numPr>
        <w:pStyle w:val="Compact"/>
      </w:pPr>
      <w:r>
        <w:rPr>
          <w:bCs/>
          <w:b/>
        </w:rPr>
        <w:t xml:space="preserve">RK4–RK5:</w:t>
      </w:r>
      <w:r>
        <w:t xml:space="preserve"> </w:t>
      </w:r>
      <w:r>
        <w:t xml:space="preserve">SLS limits 10%/10%/20% solo and consolidated with an 80% early warning; LCR ≥ 100% with the 75% inflow cap and the HQLA register; IRS gap, EaR, DGAP and ΔEVE; CFP triggers and drills; behavioural assumptions only with ALCO approval; concentration limits by profile with a hard stop on an LE breach until cured (CON paras 45–46); group workbench with link evidence; related-party materiality ₹10/₹5/₹1 crore with Board or non-ACB committee approval and recusal (CRM paras 13G–13J); LEI gate.</w:t>
      </w:r>
    </w:p>
    <w:p>
      <w:pPr>
        <w:numPr>
          <w:ilvl w:val="0"/>
          <w:numId w:val="2098"/>
        </w:numPr>
        <w:pStyle w:val="Compact"/>
      </w:pPr>
      <w:r>
        <w:rPr>
          <w:bCs/>
          <w:b/>
        </w:rPr>
        <w:t xml:space="preserve">RK6:</w:t>
      </w:r>
      <w:r>
        <w:t xml:space="preserve"> </w:t>
      </w:r>
      <w:r>
        <w:t xml:space="preserve">metric definitions and versions (DRAFT → VALIDATED → APPROVED → RETIRED), restatement series that never overwrite certified values, OpenLineage, and the R1–R57 seed library; a value shows</w:t>
      </w:r>
      <w:r>
        <w:t xml:space="preserve"> </w:t>
      </w:r>
      <w:r>
        <w:t xml:space="preserve">‘</w:t>
      </w:r>
      <w:r>
        <w:t xml:space="preserve">compliant</w:t>
      </w:r>
      <w:r>
        <w:t xml:space="preserve">’</w:t>
      </w:r>
      <w:r>
        <w:t xml:space="preserve"> </w:t>
      </w:r>
      <w:r>
        <w:t xml:space="preserve">only after applicability, completeness, data-quality and owner certification, otherwise</w:t>
      </w:r>
      <w:r>
        <w:t xml:space="preserve"> </w:t>
      </w:r>
      <w:r>
        <w:t xml:space="preserve">‘</w:t>
      </w:r>
      <w:r>
        <w:t xml:space="preserve">indicative</w:t>
      </w:r>
      <w:r>
        <w:t xml:space="preserve">’</w:t>
      </w:r>
      <w:r>
        <w:t xml:space="preserve">.</w:t>
      </w:r>
    </w:p>
    <w:p>
      <w:pPr>
        <w:numPr>
          <w:ilvl w:val="0"/>
          <w:numId w:val="2098"/>
        </w:numPr>
        <w:pStyle w:val="Compact"/>
      </w:pPr>
      <w:r>
        <w:rPr>
          <w:bCs/>
          <w:b/>
        </w:rPr>
        <w:t xml:space="preserve">RK7:</w:t>
      </w:r>
      <w:r>
        <w:t xml:space="preserve"> </w:t>
      </w:r>
      <w:r>
        <w:t xml:space="preserve">the nine-part ICAAP with the RK7.3 workflow and frozen snapshot; the stress engine (sensitivity, macro, liquidity, reverse stress by bisection) reproducible bit-for-bit; operational-risk capital only as</w:t>
      </w:r>
      <w:r>
        <w:t xml:space="preserve"> </w:t>
      </w:r>
      <w:r>
        <w:t xml:space="preserve">‘</w:t>
      </w:r>
      <w:r>
        <w:t xml:space="preserve">ICAAP internal</w:t>
      </w:r>
      <w:r>
        <w:t xml:space="preserve">’</w:t>
      </w:r>
      <w:r>
        <w:t xml:space="preserve">; the PCA monitor with 150 bps proximity, forecast alerts,</w:t>
      </w:r>
      <w:r>
        <w:t xml:space="preserve"> </w:t>
      </w:r>
      <w:r>
        <w:rPr>
          <w:rStyle w:val="VerbatimChar"/>
        </w:rPr>
        <w:t xml:space="preserve">PCA_RTn</w:t>
      </w:r>
      <w:r>
        <w:t xml:space="preserve"> </w:t>
      </w:r>
      <w:r>
        <w:t xml:space="preserve">breaches, MSD para 19 restrictions (RT2 blocks branch creation) and the exit tracker.</w:t>
      </w:r>
    </w:p>
    <w:p>
      <w:pPr>
        <w:numPr>
          <w:ilvl w:val="0"/>
          <w:numId w:val="2098"/>
        </w:numPr>
        <w:pStyle w:val="Compact"/>
      </w:pPr>
      <w:r>
        <w:rPr>
          <w:bCs/>
          <w:b/>
        </w:rPr>
        <w:t xml:space="preserve">RK8:</w:t>
      </w:r>
      <w:r>
        <w:t xml:space="preserve"> </w:t>
      </w:r>
      <w:r>
        <w:t xml:space="preserve">the 12 role dashboards; personal thresholds only tighter than the RAS; an uncertified sandbox with watermark; certification COMPUTED → VALIDATED → REVIEWED → CERTIFIED → PUBLISHED, revoked automatically on restatement; hash-frozen Board packs.</w:t>
      </w:r>
    </w:p>
    <w:p>
      <w:pPr>
        <w:numPr>
          <w:ilvl w:val="0"/>
          <w:numId w:val="2098"/>
        </w:numPr>
        <w:pStyle w:val="Compact"/>
      </w:pPr>
      <w:r>
        <w:rPr>
          <w:bCs/>
          <w:b/>
        </w:rPr>
        <w:t xml:space="preserve">Menus, screens and settings:</w:t>
      </w:r>
      <w:r>
        <w:t xml:space="preserve"> </w:t>
      </w:r>
      <w:r>
        <w:t xml:space="preserve">build workspace J (Risk) and the role dashboards of workspace M exactly as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7E specify (navigation paths, list, detail, wizard, approval-queue and dashboard screens, actions, bulk actions, filters, exports, empty and error states, role visibility, and each setting with its scope, default and floor), and register every entry in Appendix G; RAS limits can only be tighter than regulation and personal dashboard thresholds only tighter than the RAS; a pending limit change shows its effective date and approver.</w:t>
      </w:r>
    </w:p>
    <w:p>
      <w:pPr>
        <w:pStyle w:val="BlockText"/>
      </w:pPr>
      <w:r>
        <w:t xml:space="preserve">Emit</w:t>
      </w:r>
      <w:r>
        <w:t xml:space="preserve"> </w:t>
      </w:r>
      <w:r>
        <w:rPr>
          <w:rStyle w:val="VerbatimChar"/>
        </w:rPr>
        <w:t xml:space="preserve">KriBreached</w:t>
      </w:r>
      <w:r>
        <w:t xml:space="preserve">,</w:t>
      </w:r>
      <w:r>
        <w:t xml:space="preserve"> </w:t>
      </w:r>
      <w:r>
        <w:rPr>
          <w:rStyle w:val="VerbatimChar"/>
        </w:rPr>
        <w:t xml:space="preserve">LossEventRecorded</w:t>
      </w:r>
      <w:r>
        <w:t xml:space="preserve">,</w:t>
      </w:r>
      <w:r>
        <w:t xml:space="preserve"> </w:t>
      </w:r>
      <w:r>
        <w:rPr>
          <w:rStyle w:val="VerbatimChar"/>
        </w:rPr>
        <w:t xml:space="preserve">CapitalRatioComputed</w:t>
      </w:r>
      <w:r>
        <w:t xml:space="preserve">,</w:t>
      </w:r>
      <w:r>
        <w:t xml:space="preserve"> </w:t>
      </w:r>
      <w:r>
        <w:rPr>
          <w:rStyle w:val="VerbatimChar"/>
        </w:rPr>
        <w:t xml:space="preserve">LimitBreached</w:t>
      </w:r>
      <w:r>
        <w:t xml:space="preserve">,</w:t>
      </w:r>
      <w:r>
        <w:t xml:space="preserve"> </w:t>
      </w:r>
      <w:r>
        <w:rPr>
          <w:rStyle w:val="VerbatimChar"/>
        </w:rPr>
        <w:t xml:space="preserve">StressTestCompleted</w:t>
      </w:r>
      <w:r>
        <w:t xml:space="preserve"> </w:t>
      </w:r>
      <w:r>
        <w:t xml:space="preserve">and</w:t>
      </w:r>
      <w:r>
        <w:t xml:space="preserve"> </w:t>
      </w:r>
      <w:r>
        <w:rPr>
          <w:rStyle w:val="VerbatimChar"/>
        </w:rPr>
        <w:t xml:space="preserve">RiskSnapshotPublished</w:t>
      </w:r>
      <w:r>
        <w:t xml:space="preserve">; repoint the Phase 14b DNBS03 and DNBS04A/04B elements to the RK3 and RK4 runs. Udofin never computes or shows RE prudential ratios.</w:t>
      </w:r>
    </w:p>
    <w:p>
      <w:pPr>
        <w:pStyle w:val="BlockText"/>
      </w:pPr>
      <w:r>
        <w:t xml:space="preserve">Tests and acceptance evidence:</w:t>
      </w:r>
    </w:p>
    <w:p>
      <w:pPr>
        <w:numPr>
          <w:ilvl w:val="0"/>
          <w:numId w:val="2099"/>
        </w:numPr>
        <w:pStyle w:val="Compact"/>
      </w:pPr>
      <w:r>
        <w:t xml:space="preserve">an ML tenant with ₹5,050 crore assets shows</w:t>
      </w:r>
      <w:r>
        <w:t xml:space="preserve"> </w:t>
      </w:r>
      <w:r>
        <w:t xml:space="preserve">‘</w:t>
      </w:r>
      <w:r>
        <w:t xml:space="preserve">CRO mandatory</w:t>
      </w:r>
      <w:r>
        <w:t xml:space="preserve">’</w:t>
      </w:r>
      <w:r>
        <w:t xml:space="preserve">, and giving the CRO a business role is rejected (GOV para 21(3));</w:t>
      </w:r>
    </w:p>
    <w:p>
      <w:pPr>
        <w:numPr>
          <w:ilvl w:val="0"/>
          <w:numId w:val="2099"/>
        </w:numPr>
        <w:pStyle w:val="Compact"/>
      </w:pPr>
      <w:r>
        <w:t xml:space="preserve">a consumer-credit personal loan attracts 125%, a JLG loan sanctioned after 25 Feb 2025 attracts 100%, and a run dated earlier reproduces the old treatment;</w:t>
      </w:r>
    </w:p>
    <w:p>
      <w:pPr>
        <w:numPr>
          <w:ilvl w:val="0"/>
          <w:numId w:val="2099"/>
        </w:numPr>
        <w:pStyle w:val="Compact"/>
      </w:pPr>
      <w:r>
        <w:t xml:space="preserve">a BL tenant shows leverage and no CRAR; no NBFC shows an operational-risk RWA line;</w:t>
      </w:r>
    </w:p>
    <w:p>
      <w:pPr>
        <w:numPr>
          <w:ilvl w:val="0"/>
          <w:numId w:val="2099"/>
        </w:numPr>
        <w:pStyle w:val="Compact"/>
      </w:pPr>
      <w:r>
        <w:t xml:space="preserve">LCR with contractual outflows 100 and inflows 120 gives net outflows 28.75 (inflow cap applied); a UL counterparty at 25.1% is blocked regardless of Board approval;</w:t>
      </w:r>
    </w:p>
    <w:p>
      <w:pPr>
        <w:numPr>
          <w:ilvl w:val="0"/>
          <w:numId w:val="2099"/>
        </w:numPr>
        <w:pStyle w:val="Compact"/>
      </w:pPr>
      <w:r>
        <w:t xml:space="preserve">a ₹6 crore related-party loan at an ML tenant cannot be approved by the Audit Committee;</w:t>
      </w:r>
    </w:p>
    <w:p>
      <w:pPr>
        <w:numPr>
          <w:ilvl w:val="0"/>
          <w:numId w:val="2099"/>
        </w:numPr>
        <w:pStyle w:val="Compact"/>
      </w:pPr>
      <w:r>
        <w:t xml:space="preserve">projected NNPA of 6.3% raises a PCA forecast alert; an HFC has no PCA screen; RT2 blocks a new branch;</w:t>
      </w:r>
    </w:p>
    <w:p>
      <w:pPr>
        <w:numPr>
          <w:ilvl w:val="0"/>
          <w:numId w:val="2099"/>
        </w:numPr>
        <w:pStyle w:val="Compact"/>
      </w:pPr>
      <w:r>
        <w:t xml:space="preserve">replaying the LawDocsComply feed for a month reproduces identical hashes, and an LE breach carries an HMAC reference LawDocsComply cannot resolve;</w:t>
      </w:r>
    </w:p>
    <w:p>
      <w:pPr>
        <w:numPr>
          <w:ilvl w:val="0"/>
          <w:numId w:val="2099"/>
        </w:numPr>
        <w:pStyle w:val="Compact"/>
      </w:pPr>
      <w:r>
        <w:t xml:space="preserve">restating a closed-month GL entry revokes dependent certifications and marks the frozen Board pack</w:t>
      </w:r>
      <w:r>
        <w:t xml:space="preserve"> </w:t>
      </w:r>
      <w:r>
        <w:t xml:space="preserve">‘</w:t>
      </w:r>
      <w:r>
        <w:t xml:space="preserve">superseded by restatement</w:t>
      </w:r>
      <w:r>
        <w:t xml:space="preserve">’</w:t>
      </w:r>
      <w:r>
        <w:t xml:space="preserve"> </w:t>
      </w:r>
      <w:r>
        <w:t xml:space="preserve">while keeping its hash;</w:t>
      </w:r>
    </w:p>
    <w:p>
      <w:pPr>
        <w:numPr>
          <w:ilvl w:val="0"/>
          <w:numId w:val="2099"/>
        </w:numPr>
        <w:pStyle w:val="Compact"/>
      </w:pPr>
      <w:r>
        <w:t xml:space="preserve">a navigation test walks each role through the Appendix G entries for this phase and finds every screen, action and setting with the stated visibility and nothing more; a RAS limit looser than the regulatory limit fails</w:t>
      </w:r>
      <w:r>
        <w:t xml:space="preserve"> </w:t>
      </w:r>
      <w:r>
        <w:rPr>
          <w:rStyle w:val="VerbatimChar"/>
        </w:rPr>
        <w:t xml:space="preserve">floor_violation</w:t>
      </w:r>
      <w:r>
        <w:t xml:space="preserve">.</w:t>
      </w:r>
    </w:p>
    <w:p>
      <w:pPr>
        <w:pStyle w:val="BlockText"/>
      </w:pPr>
      <w:r>
        <w:t xml:space="preserve">Show me the risk-governance resolver, the capital rule pack per profile, the R1–R57 metric definitions with owners, the LawDocsComply feed schema and the PCA rule pack, with the menu tree and settings catalogue of this phase (Appendix G), for approval before coding.”</w:t>
      </w:r>
    </w:p>
    <w:bookmarkEnd w:id="869"/>
    <w:bookmarkStart w:id="870" w:name="X4ec9c2b3575add66ecd97fcc988ed3b5ce6b048"/>
    <w:p>
      <w:pPr>
        <w:pStyle w:val="Heading3"/>
      </w:pPr>
      <w:r>
        <w:t xml:space="preserve">Phase 15 — Grievance, borrower portal and feedback</w:t>
      </w:r>
    </w:p>
    <w:p>
      <w:pPr>
        <w:pStyle w:val="BlockText"/>
      </w:pPr>
      <w:r>
        <w:rPr>
          <w:bCs/>
          <w:b/>
        </w:rPr>
        <w:t xml:space="preserve">Instruction to Claude:</w:t>
      </w:r>
      <w:r>
        <w:t xml:space="preserve"> </w:t>
      </w:r>
      <w:r>
        <w:t xml:space="preserve">“Build:</w:t>
      </w:r>
    </w:p>
    <w:p>
      <w:pPr>
        <w:numPr>
          <w:ilvl w:val="0"/>
          <w:numId w:val="2100"/>
        </w:numPr>
        <w:pStyle w:val="Compact"/>
      </w:pPr>
      <w:r>
        <w:t xml:space="preserve">the complaint management system, with automated Internal Ombudsman escalation where applicable, and RB-IOS 2026 support;</w:t>
      </w:r>
    </w:p>
    <w:p>
      <w:pPr>
        <w:numPr>
          <w:ilvl w:val="0"/>
          <w:numId w:val="2100"/>
        </w:numPr>
        <w:pStyle w:val="Compact"/>
      </w:pPr>
      <w:r>
        <w:t xml:space="preserve">Equator referral, re-using the Phase 12b ODR adapter (R8);</w:t>
      </w:r>
    </w:p>
    <w:p>
      <w:pPr>
        <w:numPr>
          <w:ilvl w:val="0"/>
          <w:numId w:val="2100"/>
        </w:numPr>
        <w:pStyle w:val="Compact"/>
      </w:pPr>
      <w:r>
        <w:t xml:space="preserve">the AI support assistant, restricted to approved sources;</w:t>
      </w:r>
    </w:p>
    <w:p>
      <w:pPr>
        <w:numPr>
          <w:ilvl w:val="0"/>
          <w:numId w:val="2100"/>
        </w:numPr>
        <w:pStyle w:val="Compact"/>
      </w:pPr>
      <w:r>
        <w:t xml:space="preserve">the optional borrower self-service portal;</w:t>
      </w:r>
    </w:p>
    <w:p>
      <w:pPr>
        <w:numPr>
          <w:ilvl w:val="0"/>
          <w:numId w:val="2100"/>
        </w:numPr>
        <w:pStyle w:val="Compact"/>
      </w:pPr>
      <w:r>
        <w:t xml:space="preserve">feedback (CSAT/NPS, plus sales feedback within 30 days under RBC para 101Y [VERIFY: amendment text not supplied]);</w:t>
      </w:r>
    </w:p>
    <w:p>
      <w:pPr>
        <w:numPr>
          <w:ilvl w:val="0"/>
          <w:numId w:val="2100"/>
        </w:numPr>
        <w:pStyle w:val="Compact"/>
      </w:pPr>
      <w:r>
        <w:t xml:space="preserve">the v1.5 grievance escalation chain v2 (M15):</w:t>
      </w:r>
      <w:r>
        <w:t xml:space="preserve"> </w:t>
      </w:r>
      <w:r>
        <w:rPr>
          <w:rStyle w:val="VerbatimChar"/>
        </w:rPr>
        <w:t xml:space="preserve">OmbudsmanReferralRecorded</w:t>
      </w:r>
      <w:r>
        <w:t xml:space="preserve">,</w:t>
      </w:r>
      <w:r>
        <w:t xml:space="preserve"> </w:t>
      </w:r>
      <w:r>
        <w:rPr>
          <w:rStyle w:val="VerbatimChar"/>
        </w:rPr>
        <w:t xml:space="preserve">GrievanceReopened</w:t>
      </w:r>
      <w:r>
        <w:t xml:space="preserve"> </w:t>
      </w:r>
      <w:r>
        <w:t xml:space="preserve">and</w:t>
      </w:r>
      <w:r>
        <w:t xml:space="preserve"> </w:t>
      </w:r>
      <w:r>
        <w:rPr>
          <w:rStyle w:val="VerbatimChar"/>
        </w:rPr>
        <w:t xml:space="preserve">GrievanceRated</w:t>
      </w:r>
      <w:r>
        <w:t xml:space="preserve"> </w:t>
      </w:r>
      <w:r>
        <w:t xml:space="preserve">from Udofin and other channels (Integration Spec v1.1 Part 6.12), the RB-IOS 2026 window computed as 90 days after the RE’s 30-day reply period or its last reply (cl.10(1)(g)) and the 15-day reply to the Ombudsman (cl.14(2)) [VERIFY: clause numbers], with the RE’s Grievance Redressal Officer and Internal Ombudsman always owning the case.</w:t>
      </w:r>
    </w:p>
    <w:p>
      <w:pPr>
        <w:pStyle w:val="BlockText"/>
      </w:pPr>
      <w:r>
        <w:t xml:space="preserve">Use the Phase 3b communications module for all messages.”</w:t>
      </w:r>
    </w:p>
    <w:bookmarkEnd w:id="870"/>
    <w:bookmarkStart w:id="871" w:name="X93500b4d8e18f7ac99d09a1cfbbedd4f4c0c10d"/>
    <w:p>
      <w:pPr>
        <w:pStyle w:val="Heading3"/>
      </w:pPr>
      <w:r>
        <w:t xml:space="preserve">Phase 15b — Data portability, archives and customer-controlled storage</w:t>
      </w:r>
    </w:p>
    <w:p>
      <w:pPr>
        <w:pStyle w:val="BlockText"/>
      </w:pPr>
      <w:r>
        <w:rPr>
          <w:bCs/>
          <w:b/>
        </w:rPr>
        <w:t xml:space="preserve">Instruction to Claude:</w:t>
      </w:r>
      <w:r>
        <w:t xml:space="preserve"> </w:t>
      </w:r>
      <w:r>
        <w:t xml:space="preserve">“Before writing the specification, verify: (i) OUT paras 34(xii), 74(vi), 87, 88, 97(ii), 97(vii)(b) and 97(xvi), CYB paras 8(9), 105 and 129–133, and CF para 14(4) against docs/regulations/rbi/; (ii) Companies (Accounts) Rules r.3(1) and 3(5) and the s.128(5) retention; (iii) residency evidence per storage provider (S3</w:t>
      </w:r>
      <w:r>
        <w:t xml:space="preserve"> </w:t>
      </w:r>
      <w:r>
        <w:rPr>
          <w:rStyle w:val="VerbatimChar"/>
        </w:rPr>
        <w:t xml:space="preserve">GetBucketLocation</w:t>
      </w:r>
      <w:r>
        <w:t xml:space="preserve"> </w:t>
      </w:r>
      <w:r>
        <w:t xml:space="preserve">ap-south-1 or ap-south-2; Azure Central, South or West India; GCS asia-south1 or asia-south2; Microsoft 365 Default Geography India; Google Drive has no India region, so it takes only non-regulated classes — never personal data, books of account, returns, loan or HR data — with no override); (iv) the AWS KMS External Key Store constraints for HYOK; (v) Integration Spec v1.1 Part 12 layouts, the Part 13.2 data classes and the portability events. Then build Part 7J, reusing the Part 7A.0.5 detach export, R14</w:t>
      </w:r>
      <w:r>
        <w:t xml:space="preserve"> </w:t>
      </w:r>
      <w:r>
        <w:rPr>
          <w:rStyle w:val="VerbatimChar"/>
        </w:rPr>
        <w:t xml:space="preserve">export_job</w:t>
      </w:r>
      <w:r>
        <w:t xml:space="preserve"> </w:t>
      </w:r>
      <w:r>
        <w:t xml:space="preserve">and</w:t>
      </w:r>
      <w:r>
        <w:t xml:space="preserve"> </w:t>
      </w:r>
      <w:r>
        <w:rPr>
          <w:rStyle w:val="VerbatimChar"/>
        </w:rPr>
        <w:t xml:space="preserve">export_manifest</w:t>
      </w:r>
      <w:r>
        <w:t xml:space="preserve">, M16 hashes and AC7:</w:t>
      </w:r>
    </w:p>
    <w:p>
      <w:pPr>
        <w:numPr>
          <w:ilvl w:val="0"/>
          <w:numId w:val="2101"/>
        </w:numPr>
        <w:pStyle w:val="Compact"/>
      </w:pPr>
      <w:r>
        <w:rPr>
          <w:bCs/>
          <w:b/>
        </w:rPr>
        <w:t xml:space="preserve">DP1 archive standard v1.0:</w:t>
      </w:r>
      <w:r>
        <w:t xml:space="preserve"> </w:t>
      </w:r>
      <w:r>
        <w:t xml:space="preserve">the folder tree from 00 Start Here to 14 System Audit Trail with a versioned</w:t>
      </w:r>
      <w:r>
        <w:t xml:space="preserve"> </w:t>
      </w:r>
      <w:r>
        <w:rPr>
          <w:rStyle w:val="VerbatimChar"/>
        </w:rPr>
        <w:t xml:space="preserve">folder_policy</w:t>
      </w:r>
      <w:r>
        <w:t xml:space="preserve">; Windows-safe names ≤ 240 characters and</w:t>
      </w:r>
      <w:r>
        <w:t xml:space="preserve"> </w:t>
      </w:r>
      <w:r>
        <w:rPr>
          <w:rStyle w:val="VerbatimChar"/>
        </w:rPr>
        <w:t xml:space="preserve">ids_only</w:t>
      </w:r>
      <w:r>
        <w:t xml:space="preserve"> </w:t>
      </w:r>
      <w:r>
        <w:t xml:space="preserve">labels by default (no customer names in paths); per dataset CSV (RFC 4180, UTF-8 with BOM, ISO 8601, 2-decimal INR strings), XLSX (Read me sheet, typed columns, split at 1,000,000 rows) and JSON Schema; originals byte-identical to the M16 hash; PDF/A-2b plus DOCX renditions and a per-loan summary; regulatory and bureau files byte-identical to submission;</w:t>
      </w:r>
      <w:r>
        <w:t xml:space="preserve"> </w:t>
      </w:r>
      <w:r>
        <w:rPr>
          <w:rStyle w:val="VerbatimChar"/>
        </w:rPr>
        <w:t xml:space="preserve">export-manifest.csv</w:t>
      </w:r>
      <w:r>
        <w:t xml:space="preserve">,</w:t>
      </w:r>
      <w:r>
        <w:t xml:space="preserve"> </w:t>
      </w:r>
      <w:r>
        <w:rPr>
          <w:rStyle w:val="VerbatimChar"/>
        </w:rPr>
        <w:t xml:space="preserve">manifest.json</w:t>
      </w:r>
      <w:r>
        <w:t xml:space="preserve"> </w:t>
      </w:r>
      <w:r>
        <w:t xml:space="preserve">with control totals and a detached JWS; data dictionary, relationship map, README (PDF, DOCX, TXT) and the Apache-2.0 offline verifier; restricted HR and legal folders as separately encrypted inner archives only with the restricted permission, a second approver and the DPO; never Aadhaar numbers or card data.</w:t>
      </w:r>
    </w:p>
    <w:p>
      <w:pPr>
        <w:numPr>
          <w:ilvl w:val="0"/>
          <w:numId w:val="2101"/>
        </w:numPr>
        <w:pStyle w:val="Compact"/>
      </w:pPr>
      <w:r>
        <w:rPr>
          <w:bCs/>
          <w:b/>
        </w:rPr>
        <w:t xml:space="preserve">DP2 exports:</w:t>
      </w:r>
      <w:r>
        <w:t xml:space="preserve"> </w:t>
      </w:r>
      <w:r>
        <w:t xml:space="preserve">scopes from a dataset to the full tenant (full tenant needs a second approver and MFA); REQUESTED → APPROVED → SNAPSHOT → RENDER → PACKAGE → SIGN → DELIVER → CONFIRMED; a consistent point-in-time snapshot; control totals reconciled before signing; single-use download links valid 7 days; daily and weekly incremental chains with</w:t>
      </w:r>
      <w:r>
        <w:t xml:space="preserve"> </w:t>
      </w:r>
      <w:r>
        <w:rPr>
          <w:rStyle w:val="VerbatimChar"/>
        </w:rPr>
        <w:t xml:space="preserve">changes/</w:t>
      </w:r>
      <w:r>
        <w:t xml:space="preserve">,</w:t>
      </w:r>
      <w:r>
        <w:t xml:space="preserve"> </w:t>
      </w:r>
      <w:r>
        <w:rPr>
          <w:rStyle w:val="VerbatimChar"/>
        </w:rPr>
        <w:t xml:space="preserve">reversals/</w:t>
      </w:r>
      <w:r>
        <w:t xml:space="preserve"> </w:t>
      </w:r>
      <w:r>
        <w:t xml:space="preserve">and the predecessor</w:t>
      </w:r>
      <w:r>
        <w:t xml:space="preserve"> </w:t>
      </w:r>
      <w:r>
        <w:rPr>
          <w:rStyle w:val="VerbatimChar"/>
        </w:rPr>
        <w:t xml:space="preserve">archive_id</w:t>
      </w:r>
      <w:r>
        <w:t xml:space="preserve">;</w:t>
      </w:r>
      <w:r>
        <w:t xml:space="preserve"> </w:t>
      </w:r>
      <w:r>
        <w:rPr>
          <w:rStyle w:val="VerbatimChar"/>
        </w:rPr>
        <w:t xml:space="preserve">ExportRequested</w:t>
      </w:r>
      <w:r>
        <w:t xml:space="preserve"> </w:t>
      </w:r>
      <w:r>
        <w:t xml:space="preserve">and</w:t>
      </w:r>
      <w:r>
        <w:t xml:space="preserve"> </w:t>
      </w:r>
      <w:r>
        <w:rPr>
          <w:rStyle w:val="VerbatimChar"/>
        </w:rPr>
        <w:t xml:space="preserve">ExportCompleted</w:t>
      </w:r>
      <w:r>
        <w:t xml:space="preserve"> </w:t>
      </w:r>
      <w:r>
        <w:t xml:space="preserve">without customer data.</w:t>
      </w:r>
    </w:p>
    <w:p>
      <w:pPr>
        <w:numPr>
          <w:ilvl w:val="0"/>
          <w:numId w:val="2101"/>
        </w:numPr>
        <w:pStyle w:val="Compact"/>
      </w:pPr>
      <w:r>
        <w:rPr>
          <w:bCs/>
          <w:b/>
        </w:rPr>
        <w:t xml:space="preserve">DP3 storage connectors:</w:t>
      </w:r>
      <w:r>
        <w:t xml:space="preserve"> </w:t>
      </w:r>
      <w:r>
        <w:t xml:space="preserve">the</w:t>
      </w:r>
      <w:r>
        <w:t xml:space="preserve"> </w:t>
      </w:r>
      <w:r>
        <w:rPr>
          <w:rStyle w:val="VerbatimChar"/>
        </w:rPr>
        <w:t xml:space="preserve">StorageTarget</w:t>
      </w:r>
      <w:r>
        <w:t xml:space="preserve"> </w:t>
      </w:r>
      <w:r>
        <w:t xml:space="preserve">SPI (</w:t>
      </w:r>
      <w:r>
        <w:rPr>
          <w:rStyle w:val="VerbatimChar"/>
        </w:rPr>
        <w:t xml:space="preserve">describe</w:t>
      </w:r>
      <w:r>
        <w:t xml:space="preserve">,</w:t>
      </w:r>
      <w:r>
        <w:t xml:space="preserve"> </w:t>
      </w:r>
      <w:r>
        <w:rPr>
          <w:rStyle w:val="VerbatimChar"/>
        </w:rPr>
        <w:t xml:space="preserve">verifyResidency</w:t>
      </w:r>
      <w:r>
        <w:t xml:space="preserve">,</w:t>
      </w:r>
      <w:r>
        <w:t xml:space="preserve"> </w:t>
      </w:r>
      <w:r>
        <w:rPr>
          <w:rStyle w:val="VerbatimChar"/>
        </w:rPr>
        <w:t xml:space="preserve">testWrite</w:t>
      </w:r>
      <w:r>
        <w:t xml:space="preserve">,</w:t>
      </w:r>
      <w:r>
        <w:t xml:space="preserve"> </w:t>
      </w:r>
      <w:r>
        <w:rPr>
          <w:rStyle w:val="VerbatimChar"/>
        </w:rPr>
        <w:t xml:space="preserve">put</w:t>
      </w:r>
      <w:r>
        <w:t xml:space="preserve">,</w:t>
      </w:r>
      <w:r>
        <w:t xml:space="preserve"> </w:t>
      </w:r>
      <w:r>
        <w:rPr>
          <w:rStyle w:val="VerbatimChar"/>
        </w:rPr>
        <w:t xml:space="preserve">head</w:t>
      </w:r>
      <w:r>
        <w:t xml:space="preserve">,</w:t>
      </w:r>
      <w:r>
        <w:t xml:space="preserve"> </w:t>
      </w:r>
      <w:r>
        <w:rPr>
          <w:rStyle w:val="VerbatimChar"/>
        </w:rPr>
        <w:t xml:space="preserve">list</w:t>
      </w:r>
      <w:r>
        <w:t xml:space="preserve">,</w:t>
      </w:r>
      <w:r>
        <w:t xml:space="preserve"> </w:t>
      </w:r>
      <w:r>
        <w:rPr>
          <w:rStyle w:val="VerbatimChar"/>
        </w:rPr>
        <w:t xml:space="preserve">retentionInfo</w:t>
      </w:r>
      <w:r>
        <w:t xml:space="preserve">,</w:t>
      </w:r>
      <w:r>
        <w:t xml:space="preserve"> </w:t>
      </w:r>
      <w:r>
        <w:rPr>
          <w:rStyle w:val="VerbatimChar"/>
        </w:rPr>
        <w:t xml:space="preserve">healthCheck</w:t>
      </w:r>
      <w:r>
        <w:t xml:space="preserve">) for S3, Azure Blob, GCS, SharePoint or OneDrive (</w:t>
      </w:r>
      <w:r>
        <w:rPr>
          <w:rStyle w:val="VerbatimChar"/>
        </w:rPr>
        <w:t xml:space="preserve">Sites.Selected</w:t>
      </w:r>
      <w:r>
        <w:t xml:space="preserve">), Google Drive (non-regulated classes only), SFTP and the outbound-only Connector Agent; the per-target data-class policy enforced before upload; federation instead of long-lived secrets; certification before production; platform-managed keys, BYOK (grant or imported material), HYOK only with a signed CISO and CTO risk acceptance, and client-side archive encryption; ML and UL tenants offered tenant-controlled keys (OUT para 97(vii)(b));</w:t>
      </w:r>
      <w:r>
        <w:t xml:space="preserve"> </w:t>
      </w:r>
      <w:r>
        <w:rPr>
          <w:rStyle w:val="VerbatimChar"/>
        </w:rPr>
        <w:t xml:space="preserve">StorageTargetConnected</w:t>
      </w:r>
      <w:r>
        <w:t xml:space="preserve">.</w:t>
      </w:r>
    </w:p>
    <w:p>
      <w:pPr>
        <w:numPr>
          <w:ilvl w:val="0"/>
          <w:numId w:val="2101"/>
        </w:numPr>
        <w:pStyle w:val="Compact"/>
      </w:pPr>
      <w:r>
        <w:rPr>
          <w:bCs/>
          <w:b/>
        </w:rPr>
        <w:t xml:space="preserve">DP4 customer-held backups:</w:t>
      </w:r>
      <w:r>
        <w:t xml:space="preserve"> </w:t>
      </w:r>
      <w:r>
        <w:t xml:space="preserve">default daily incremental at 02:00 IST, monthly full and FY full after audit; logical dumps only for dedicated deployments; P2 on one missed run, P1 and a tenant notice on two; integrity check on every backup, a monthly readability sample of 50 files, and quarterly rehydration into a sandbox through the archive importer (TB, DPD and classification of 100 loans, audit hash chain);</w:t>
      </w:r>
      <w:r>
        <w:t xml:space="preserve"> </w:t>
      </w:r>
      <w:r>
        <w:rPr>
          <w:rStyle w:val="VerbatimChar"/>
        </w:rPr>
        <w:t xml:space="preserve">BackupCompleted</w:t>
      </w:r>
      <w:r>
        <w:t xml:space="preserve">,</w:t>
      </w:r>
      <w:r>
        <w:t xml:space="preserve"> </w:t>
      </w:r>
      <w:r>
        <w:rPr>
          <w:rStyle w:val="VerbatimChar"/>
        </w:rPr>
        <w:t xml:space="preserve">RestoreTested</w:t>
      </w:r>
      <w:r>
        <w:t xml:space="preserve">.</w:t>
      </w:r>
    </w:p>
    <w:p>
      <w:pPr>
        <w:numPr>
          <w:ilvl w:val="0"/>
          <w:numId w:val="2101"/>
        </w:numPr>
        <w:pStyle w:val="Compact"/>
      </w:pPr>
      <w:r>
        <w:rPr>
          <w:bCs/>
          <w:b/>
        </w:rPr>
        <w:t xml:space="preserve">DP6 settings, menus and screens:</w:t>
      </w:r>
      <w:r>
        <w:t xml:space="preserve"> </w:t>
      </w:r>
      <w:r>
        <w:t xml:space="preserve">the Part 7J DP6 settings and the</w:t>
      </w:r>
      <w:r>
        <w:t xml:space="preserve"> </w:t>
      </w:r>
      <w:r>
        <w:rPr>
          <w:rStyle w:val="VerbatimChar"/>
        </w:rPr>
        <w:t xml:space="preserve">Data</w:t>
      </w:r>
      <w:r>
        <w:t xml:space="preserve"> </w:t>
      </w:r>
      <w:r>
        <w:t xml:space="preserve">menu of workspace N (exports, schedules, storage targets, backups, restore tests, exit).</w:t>
      </w:r>
    </w:p>
    <w:p>
      <w:pPr>
        <w:numPr>
          <w:ilvl w:val="0"/>
          <w:numId w:val="2101"/>
        </w:numPr>
        <w:pStyle w:val="Compact"/>
      </w:pPr>
      <w:r>
        <w:rPr>
          <w:bCs/>
          <w:b/>
        </w:rPr>
        <w:t xml:space="preserve">DP5 exit:</w:t>
      </w:r>
      <w:r>
        <w:t xml:space="preserve"> </w:t>
      </w:r>
      <w:r>
        <w:t xml:space="preserve">EXIT_NOTICE → … → CLOSED with default turnarounds (plan 10 working days; final export 5 working days after cut-over for ≤ 1 million loans; successor support up to 60 days; read-only 90 days); purge and retention-deletion jobs suspended from notice (OUT para 87); purge only after a written PURGE_APPROVED; crypto-shredding of the tenant key; a purge certificate with independent assurance; partial exits by legal entity and module; insolvency-professional access through the Phase 2 external-access grant (</w:t>
      </w:r>
      <w:r>
        <w:rPr>
          <w:rStyle w:val="VerbatimChar"/>
        </w:rPr>
        <w:t xml:space="preserve">ExternalAccessGranted</w:t>
      </w:r>
      <w:r>
        <w:t xml:space="preserve">; at most 90 days per grant). Read and export never depend on payment for an RE tenant.</w:t>
      </w:r>
    </w:p>
    <w:p>
      <w:pPr>
        <w:numPr>
          <w:ilvl w:val="0"/>
          <w:numId w:val="2101"/>
        </w:numPr>
        <w:pStyle w:val="Compact"/>
      </w:pPr>
      <w:r>
        <w:rPr>
          <w:bCs/>
          <w:b/>
        </w:rPr>
        <w:t xml:space="preserve">Menus, screens and settings:</w:t>
      </w:r>
      <w:r>
        <w:t xml:space="preserve"> </w:t>
      </w:r>
      <w:r>
        <w:t xml:space="preserve">build workspace N (Tenant Administration: Data, exports and storage) exactly as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7J specify (navigation paths, list, detail, wizard, approval-queue and dashboard screens, actions, bulk actions, filters, exports, empty and error states, role visibility, and each setting with its scope, default and floor), and register every entry in Appendix G; storage targets, backup schedules, label policy and key mode are settings under maker-checker; on-demand and exit exports are never placed behind a plan or payment setting.</w:t>
      </w:r>
    </w:p>
    <w:p>
      <w:pPr>
        <w:pStyle w:val="BlockText"/>
      </w:pPr>
      <w:r>
        <w:t xml:space="preserve">Tests and acceptance evidence:</w:t>
      </w:r>
    </w:p>
    <w:p>
      <w:pPr>
        <w:numPr>
          <w:ilvl w:val="0"/>
          <w:numId w:val="2102"/>
        </w:numPr>
        <w:pStyle w:val="Compact"/>
      </w:pPr>
      <w:r>
        <w:t xml:space="preserve">a full synthetic archive opens in LibreOffice and Microsoft Office in CI, validates as PDF/A, and the verifier reports zero errors; one changed byte fails that file;</w:t>
      </w:r>
    </w:p>
    <w:p>
      <w:pPr>
        <w:numPr>
          <w:ilvl w:val="0"/>
          <w:numId w:val="2102"/>
        </w:numPr>
        <w:pStyle w:val="Compact"/>
      </w:pPr>
      <w:r>
        <w:t xml:space="preserve">a seeded control-total discrepancy fails the job before signing; a posting one second after the as-of instant is absent;</w:t>
      </w:r>
    </w:p>
    <w:p>
      <w:pPr>
        <w:numPr>
          <w:ilvl w:val="0"/>
          <w:numId w:val="2102"/>
        </w:numPr>
        <w:pStyle w:val="Compact"/>
      </w:pPr>
      <w:r>
        <w:t xml:space="preserve">an S3 bucket in us-east-1 is refused for Loans with</w:t>
      </w:r>
      <w:r>
        <w:t xml:space="preserve"> </w:t>
      </w:r>
      <w:r>
        <w:rPr>
          <w:rStyle w:val="VerbatimChar"/>
        </w:rPr>
        <w:t xml:space="preserve">residency_not_india</w:t>
      </w:r>
      <w:r>
        <w:t xml:space="preserve">; a Google Drive target can never accept personal-data, books, returns, loan or HR classes (</w:t>
      </w:r>
      <w:r>
        <w:rPr>
          <w:rStyle w:val="VerbatimChar"/>
        </w:rPr>
        <w:t xml:space="preserve">residency_blocked_borrower_data</w:t>
      </w:r>
      <w:r>
        <w:t xml:space="preserve">);</w:t>
      </w:r>
    </w:p>
    <w:p>
      <w:pPr>
        <w:numPr>
          <w:ilvl w:val="0"/>
          <w:numId w:val="2102"/>
        </w:numPr>
        <w:pStyle w:val="Compact"/>
      </w:pPr>
      <w:r>
        <w:t xml:space="preserve">revoking the BYOK grant makes the next export fail closed with</w:t>
      </w:r>
      <w:r>
        <w:t xml:space="preserve"> </w:t>
      </w:r>
      <w:r>
        <w:rPr>
          <w:rStyle w:val="VerbatimChar"/>
        </w:rPr>
        <w:t xml:space="preserve">key_unavailable</w:t>
      </w:r>
      <w:r>
        <w:t xml:space="preserve">, and restoring it resumes without loss;</w:t>
      </w:r>
    </w:p>
    <w:p>
      <w:pPr>
        <w:numPr>
          <w:ilvl w:val="0"/>
          <w:numId w:val="2102"/>
        </w:numPr>
        <w:pStyle w:val="Compact"/>
      </w:pPr>
      <w:r>
        <w:t xml:space="preserve">quarterly rehydration reproduces the TB and 100 sampled DPDs; a missing incremental fails the chain check;</w:t>
      </w:r>
    </w:p>
    <w:p>
      <w:pPr>
        <w:numPr>
          <w:ilvl w:val="0"/>
          <w:numId w:val="2102"/>
        </w:numPr>
        <w:pStyle w:val="Compact"/>
      </w:pPr>
      <w:r>
        <w:t xml:space="preserve">after EXIT_NOTICE a purge returns</w:t>
      </w:r>
      <w:r>
        <w:t xml:space="preserve"> </w:t>
      </w:r>
      <w:r>
        <w:rPr>
          <w:rStyle w:val="VerbatimChar"/>
        </w:rPr>
        <w:t xml:space="preserve">exit_transition_hold</w:t>
      </w:r>
      <w:r>
        <w:t xml:space="preserve">; after purge a backup restore fails because the key is deleted, and the certificate lists that event;</w:t>
      </w:r>
    </w:p>
    <w:p>
      <w:pPr>
        <w:numPr>
          <w:ilvl w:val="0"/>
          <w:numId w:val="2102"/>
        </w:numPr>
        <w:pStyle w:val="Compact"/>
      </w:pPr>
      <w:r>
        <w:t xml:space="preserve">no folder or file name contains a customer name under the default label policy;</w:t>
      </w:r>
    </w:p>
    <w:p>
      <w:pPr>
        <w:numPr>
          <w:ilvl w:val="0"/>
          <w:numId w:val="2102"/>
        </w:numPr>
        <w:pStyle w:val="Compact"/>
      </w:pPr>
      <w:r>
        <w:t xml:space="preserve">a navigation test walks each role through the Appendix G entries for this phase and finds every screen, action and setting with the stated visibility and nothing more; no plan, role or billing state hides the on-demand export or exit screens for an RE tenant.</w:t>
      </w:r>
    </w:p>
    <w:p>
      <w:pPr>
        <w:pStyle w:val="BlockText"/>
      </w:pPr>
      <w:r>
        <w:t xml:space="preserve">Show me the folder tree with the dataset-to-folder map, the manifest and data-dictionary schemas, the README template, the connector certification checklist and the exit runbook with turnarounds, with the menu tree and settings catalogue of this phase (Appendix G), for approval before coding.”</w:t>
      </w:r>
    </w:p>
    <w:bookmarkEnd w:id="871"/>
    <w:bookmarkStart w:id="872" w:name="phase-p-mvp-hardening-and-pilot-go-live"/>
    <w:p>
      <w:pPr>
        <w:pStyle w:val="Heading3"/>
      </w:pPr>
      <w:r>
        <w:t xml:space="preserve">Phase P — MVP hardening and pilot go-live</w:t>
      </w:r>
    </w:p>
    <w:p>
      <w:pPr>
        <w:pStyle w:val="BlockText"/>
      </w:pPr>
      <w:r>
        <w:rPr>
          <w:bCs/>
          <w:b/>
        </w:rPr>
        <w:t xml:space="preserve">Instruction to Claude:</w:t>
      </w:r>
      <w:r>
        <w:t xml:space="preserve"> </w:t>
      </w:r>
      <w:r>
        <w:t xml:space="preserve">“For the two MVP products and the pilot tenant, deliver:</w:t>
      </w:r>
    </w:p>
    <w:p>
      <w:pPr>
        <w:numPr>
          <w:ilvl w:val="0"/>
          <w:numId w:val="2103"/>
        </w:numPr>
        <w:pStyle w:val="Compact"/>
      </w:pPr>
      <w:r>
        <w:t xml:space="preserve">a full E2E regression;</w:t>
      </w:r>
    </w:p>
    <w:p>
      <w:pPr>
        <w:numPr>
          <w:ilvl w:val="0"/>
          <w:numId w:val="2103"/>
        </w:numPr>
        <w:pStyle w:val="Compact"/>
      </w:pPr>
      <w:r>
        <w:t xml:space="preserve">independent VA and PT on production by a CERT-In-empanelled firm, CVSS-scored, with all Critical/High findings closed and re-tested (CYB paras 121–126);</w:t>
      </w:r>
    </w:p>
    <w:p>
      <w:pPr>
        <w:numPr>
          <w:ilvl w:val="0"/>
          <w:numId w:val="2103"/>
        </w:numPr>
        <w:pStyle w:val="Compact"/>
      </w:pPr>
      <w:r>
        <w:t xml:space="preserve">a source-code-escrow deposit and the vendor security certificate for the release (CYB paras 105–106);</w:t>
      </w:r>
    </w:p>
    <w:p>
      <w:pPr>
        <w:numPr>
          <w:ilvl w:val="0"/>
          <w:numId w:val="2103"/>
        </w:numPr>
        <w:pStyle w:val="Compact"/>
      </w:pPr>
      <w:r>
        <w:t xml:space="preserve">a COB load test;</w:t>
      </w:r>
    </w:p>
    <w:p>
      <w:pPr>
        <w:numPr>
          <w:ilvl w:val="0"/>
          <w:numId w:val="2103"/>
        </w:numPr>
        <w:pStyle w:val="Compact"/>
      </w:pPr>
      <w:r>
        <w:t xml:space="preserve">a DR switchover drill running production on the DR site for one full business day including COB, with post-drill reconciliation (CYB paras 129–137);</w:t>
      </w:r>
    </w:p>
    <w:p>
      <w:pPr>
        <w:numPr>
          <w:ilvl w:val="0"/>
          <w:numId w:val="2103"/>
        </w:numPr>
        <w:pStyle w:val="Compact"/>
      </w:pPr>
      <w:r>
        <w:t xml:space="preserve">an incident drill proving that tenant notification fits a 6-hour RBI/DAKSH filing measured from Finbyx’s own detection timestamp (CYB paras 28, 141, 146; OUT para 61);</w:t>
      </w:r>
    </w:p>
    <w:p>
      <w:pPr>
        <w:numPr>
          <w:ilvl w:val="0"/>
          <w:numId w:val="2103"/>
        </w:numPr>
        <w:pStyle w:val="Compact"/>
      </w:pPr>
      <w:r>
        <w:t xml:space="preserve">a data-residency check of every environment and sub-processor;</w:t>
      </w:r>
    </w:p>
    <w:p>
      <w:pPr>
        <w:numPr>
          <w:ilvl w:val="0"/>
          <w:numId w:val="2103"/>
        </w:numPr>
        <w:pStyle w:val="Compact"/>
      </w:pPr>
      <w:r>
        <w:t xml:space="preserve">a production runbook;</w:t>
      </w:r>
    </w:p>
    <w:p>
      <w:pPr>
        <w:numPr>
          <w:ilvl w:val="0"/>
          <w:numId w:val="2103"/>
        </w:numPr>
        <w:pStyle w:val="Compact"/>
      </w:pPr>
      <w:r>
        <w:t xml:space="preserve">a migration and cut-over plan;</w:t>
      </w:r>
    </w:p>
    <w:p>
      <w:pPr>
        <w:numPr>
          <w:ilvl w:val="0"/>
          <w:numId w:val="2103"/>
        </w:numPr>
        <w:pStyle w:val="Compact"/>
      </w:pPr>
      <w:r>
        <w:t xml:space="preserve">for the pilot’s applicable returns and bureaus, one full dry-run cycle through Phases 14b and 14c (returns reconciled and signed off; a W1 or month-end CIC file validated and its rejections ingested), with no regulator credentials stored;</w:t>
      </w:r>
    </w:p>
    <w:p>
      <w:pPr>
        <w:numPr>
          <w:ilvl w:val="0"/>
          <w:numId w:val="2103"/>
        </w:numPr>
        <w:pStyle w:val="Compact"/>
      </w:pPr>
      <w:r>
        <w:t xml:space="preserve">the Rule 11(g) audit-trail evidence pack, the Rule 3(6) statement data and the daily India books-backup log for the pilot entity (Part 7C AC7);</w:t>
      </w:r>
    </w:p>
    <w:p>
      <w:pPr>
        <w:numPr>
          <w:ilvl w:val="0"/>
          <w:numId w:val="2103"/>
        </w:numPr>
        <w:pStyle w:val="Compact"/>
      </w:pPr>
      <w:r>
        <w:t xml:space="preserve">a full Part 7J archive of the pilot tenant verified offline and rehydrated into a sandbox (DP4.3), with the exit runbook (DP5) attached to the contract;</w:t>
      </w:r>
    </w:p>
    <w:p>
      <w:pPr>
        <w:numPr>
          <w:ilvl w:val="0"/>
          <w:numId w:val="2103"/>
        </w:numPr>
        <w:pStyle w:val="Compact"/>
      </w:pPr>
      <w:r>
        <w:t xml:space="preserve">capital, liquidity and PCA runs certified for the pilot’s layer (Part 7E RK3, RK4, RK7);</w:t>
      </w:r>
    </w:p>
    <w:p>
      <w:pPr>
        <w:numPr>
          <w:ilvl w:val="0"/>
          <w:numId w:val="2103"/>
        </w:numPr>
        <w:pStyle w:val="Compact"/>
      </w:pPr>
      <w:r>
        <w:t xml:space="preserve">a controlled go-live checklist for my approval.</w:t>
      </w:r>
    </w:p>
    <w:p>
      <w:pPr>
        <w:pStyle w:val="BlockText"/>
      </w:pPr>
      <w:r>
        <w:t xml:space="preserve">Do not deploy to production without my explicit authorisation.”</w:t>
      </w:r>
    </w:p>
    <w:bookmarkEnd w:id="872"/>
    <w:bookmarkStart w:id="873" w:name="X4c1ff946f17dc1fb38b579d5f30ab681b22e462"/>
    <w:p>
      <w:pPr>
        <w:pStyle w:val="Heading3"/>
      </w:pPr>
      <w:r>
        <w:t xml:space="preserve">Phase 16 — Partner connectors, co-lending, loan transfers and securitisation</w:t>
      </w:r>
    </w:p>
    <w:p>
      <w:pPr>
        <w:pStyle w:val="BlockText"/>
      </w:pPr>
      <w:r>
        <w:rPr>
          <w:bCs/>
          <w:b/>
        </w:rPr>
        <w:t xml:space="preserve">Instruction to Claude:</w:t>
      </w:r>
      <w:r>
        <w:t xml:space="preserve"> </w:t>
      </w:r>
      <w:r>
        <w:t xml:space="preserve">“Extend the Phase 8c connector into the full LSP/channel-partner framework (Part 5). Add:</w:t>
      </w:r>
    </w:p>
    <w:p>
      <w:pPr>
        <w:numPr>
          <w:ilvl w:val="0"/>
          <w:numId w:val="2104"/>
        </w:numPr>
        <w:pStyle w:val="Compact"/>
      </w:pPr>
      <w:r>
        <w:t xml:space="preserve">the DLG ledger (≤ 5% of the amount disbursed out of the covered portfolio, invoked within 120 days overdue), emitting</w:t>
      </w:r>
      <w:r>
        <w:t xml:space="preserve"> </w:t>
      </w:r>
      <w:r>
        <w:rPr>
          <w:rStyle w:val="VerbatimChar"/>
        </w:rPr>
        <w:t xml:space="preserve">DLGRecoveryShared</w:t>
      </w:r>
      <w:r>
        <w:t xml:space="preserve"> </w:t>
      </w:r>
      <w:r>
        <w:t xml:space="preserve">for post-invocation recoveries shared under the contract (CF 25(3); never credited to the loan, CF 25(2)) and consuming the LSP’s</w:t>
      </w:r>
      <w:r>
        <w:t xml:space="preserve"> </w:t>
      </w:r>
      <w:r>
        <w:rPr>
          <w:rStyle w:val="VerbatimChar"/>
        </w:rPr>
        <w:t xml:space="preserve">DLGDisclosurePublished</w:t>
      </w:r>
      <w:r>
        <w:t xml:space="preserve"> </w:t>
      </w:r>
      <w:r>
        <w:t xml:space="preserve">(CF 28);</w:t>
      </w:r>
    </w:p>
    <w:p>
      <w:pPr>
        <w:numPr>
          <w:ilvl w:val="0"/>
          <w:numId w:val="2104"/>
        </w:numPr>
        <w:pStyle w:val="Compact"/>
      </w:pPr>
      <w:r>
        <w:t xml:space="preserve">the collection-agent appointment model, kept separate from DLG;</w:t>
      </w:r>
    </w:p>
    <w:p>
      <w:pPr>
        <w:numPr>
          <w:ilvl w:val="0"/>
          <w:numId w:val="2104"/>
        </w:numPr>
        <w:pStyle w:val="Compact"/>
      </w:pPr>
      <w:r>
        <w:t xml:space="preserve">the CIMS DLA register;</w:t>
      </w:r>
    </w:p>
    <w:p>
      <w:pPr>
        <w:numPr>
          <w:ilvl w:val="0"/>
          <w:numId w:val="2104"/>
        </w:numPr>
        <w:pStyle w:val="Compact"/>
      </w:pPr>
      <w:r>
        <w:t xml:space="preserve">the co-lending engine (10% retention, 15-day booking, bank escrow, blended rate, next-working-day classification sync, each lender’s own CIC reporting, originator-only DLG ≤ 5% of CLA outstanding (TDCR 123), website partner list (TDCR 126));</w:t>
      </w:r>
    </w:p>
    <w:p>
      <w:pPr>
        <w:numPr>
          <w:ilvl w:val="0"/>
          <w:numId w:val="2104"/>
        </w:numPr>
        <w:pStyle w:val="Compact"/>
      </w:pPr>
      <w:r>
        <w:t xml:space="preserve">the loan-transfer engine (TDCR Part A): MHP, one-third DD/10% retention, no re-acquisition, 30-day replacement, stressed-loan sale with valuation and Swiss challenge, ARC/SR accounting, trade-reporting database;</w:t>
      </w:r>
    </w:p>
    <w:p>
      <w:pPr>
        <w:numPr>
          <w:ilvl w:val="0"/>
          <w:numId w:val="2104"/>
        </w:numPr>
        <w:pStyle w:val="Compact"/>
      </w:pPr>
      <w:r>
        <w:t xml:space="preserve">the securitisation engine (SEC): eligibility, MRR, 20% cap, SPE checks, CE/liquidity/servicing facilities, STC checker, Annex I and quarterly RBI report;</w:t>
      </w:r>
    </w:p>
    <w:p>
      <w:pPr>
        <w:numPr>
          <w:ilvl w:val="0"/>
          <w:numId w:val="2104"/>
        </w:numPr>
        <w:pStyle w:val="Compact"/>
      </w:pPr>
      <w:r>
        <w:t xml:space="preserve">the investor-side securitisation module (SEC Ch V, paras 97–107);</w:t>
      </w:r>
    </w:p>
    <w:p>
      <w:pPr>
        <w:numPr>
          <w:ilvl w:val="0"/>
          <w:numId w:val="2104"/>
        </w:numPr>
        <w:pStyle w:val="Compact"/>
      </w:pPr>
      <w:r>
        <w:t xml:space="preserve">partner portals.</w:t>
      </w:r>
    </w:p>
    <w:p>
      <w:pPr>
        <w:pStyle w:val="BlockText"/>
      </w:pPr>
      <w:r>
        <w:t xml:space="preserve">Model transactions, pools and partners so that Phase 17d (Part 7H IV7) adds securitisation servicing without re-modelling: the trust sub-ledger and sweep, the remittance waterfall, servicer and investor reports, replenishment and the recycling rule (only the upfront sale consideration may be re-lent; SEC paras 14(2), 21; CAP para 27(9)), the clean-up call gate, servicer replacement, the loan-transfer validator additions and the co-lending partner validator with evidence (GR-7H-10). From this phase the co-lending and transfer engines already refuse counterparties outside TDCR paras 12(4) and 97 (no co-operative banks, credit co-operative societies, SFBs, LABs or RRBs as co-lending partners; Part 7G GR-7G-03, GR-7G-04).”</w:t>
      </w:r>
    </w:p>
    <w:bookmarkEnd w:id="873"/>
    <w:bookmarkStart w:id="874" w:name="phase-16b-ecosystem-integration-hub-v2"/>
    <w:p>
      <w:pPr>
        <w:pStyle w:val="Heading3"/>
      </w:pPr>
      <w:r>
        <w:t xml:space="preserve">Phase 16b — Ecosystem integration hub v2</w:t>
      </w:r>
    </w:p>
    <w:p>
      <w:pPr>
        <w:pStyle w:val="BlockText"/>
      </w:pPr>
      <w:r>
        <w:rPr>
          <w:bCs/>
          <w:b/>
        </w:rPr>
        <w:t xml:space="preserve">Instruction to Claude:</w:t>
      </w:r>
      <w:r>
        <w:t xml:space="preserve"> </w:t>
      </w:r>
      <w:r>
        <w:t xml:space="preserve">“Before writing the specification, verify: (i) the version of docs/ecosystem/infrabyx-integration-spec.md and that the same version (v1.1 from Finbyx v1.5) is committed in the Udofin, Equator, LawDocsComply and Infrabyx Operations Hub repositories; (ii) the standards it pins (CloudEvents 1.0.2, OpenAPI 3.1 with 3.2 for streaming, AsyncAPI 3.0, JSON Schema 2020-12, Standard Webhooks, RFC 9421, RFC 8705, FAPI 2.0; the Idempotency-Key header and OAuth 2.1 are still IETF drafts); (iii) the access position for each external connector listed below, recorded in docs/integrations/register.md. Then implement the Integration Spec in Finbyx (Parts 3–14, sequenced by Part 15):</w:t>
      </w:r>
    </w:p>
    <w:p>
      <w:pPr>
        <w:numPr>
          <w:ilvl w:val="0"/>
          <w:numId w:val="2105"/>
        </w:numPr>
        <w:pStyle w:val="Compact"/>
      </w:pPr>
      <w:r>
        <w:rPr>
          <w:bCs/>
          <w:b/>
        </w:rPr>
        <w:t xml:space="preserve">Platform (Integration Spec Part 3):</w:t>
      </w:r>
      <w:r>
        <w:t xml:space="preserve"> </w:t>
      </w:r>
      <w:r>
        <w:t xml:space="preserve">schema registry with BACKWARD compatibility (a breaking change publishes a new</w:t>
      </w:r>
      <w:r>
        <w:t xml:space="preserve"> </w:t>
      </w:r>
      <w:r>
        <w:rPr>
          <w:rStyle w:val="VerbatimChar"/>
        </w:rPr>
        <w:t xml:space="preserve">vN</w:t>
      </w:r>
      <w:r>
        <w:t xml:space="preserve">, dual-published for at least 90 days); transactional outbox and inbox with idempotent writes and a dead-letter queue; Standard Webhooks with a 5-minute tolerance;</w:t>
      </w:r>
      <w:r>
        <w:t xml:space="preserve"> </w:t>
      </w:r>
      <w:r>
        <w:rPr>
          <w:rStyle w:val="VerbatimChar"/>
        </w:rPr>
        <w:t xml:space="preserve">Idempotency-Key</w:t>
      </w:r>
      <w:r>
        <w:t xml:space="preserve"> </w:t>
      </w:r>
      <w:r>
        <w:t xml:space="preserve">(UUIDv7; stored response kept at least 24 hours, 7 days for money movements; Integration Spec Part 3.4); mTLS on every connection plus sender-constrained OAuth client credentials; RFC 9421 signatures or detached JWS on regulated messages; FAPI 2.0 for any API acting on a borrower’s behalf; a consent reference on every PII payload, rejected without one unless a statutory basis is flagged (CF 13(4)); India-only residency; the</w:t>
      </w:r>
      <w:r>
        <w:t xml:space="preserve"> </w:t>
      </w:r>
      <w:r>
        <w:rPr>
          <w:bCs/>
          <w:b/>
        </w:rPr>
        <w:t xml:space="preserve">module registry and entitlements</w:t>
      </w:r>
      <w:r>
        <w:t xml:space="preserve"> </w:t>
      </w:r>
      <w:r>
        <w:t xml:space="preserve">built in Phase 12 (7A.0), extended to connectors, product templates and ecosystem apps (Integration Spec Part 11.1); and the</w:t>
      </w:r>
      <w:r>
        <w:t xml:space="preserve"> </w:t>
      </w:r>
      <w:r>
        <w:rPr>
          <w:bCs/>
          <w:b/>
        </w:rPr>
        <w:t xml:space="preserve">connector certification suite</w:t>
      </w:r>
      <w:r>
        <w:t xml:space="preserve">, which emits</w:t>
      </w:r>
      <w:r>
        <w:t xml:space="preserve"> </w:t>
      </w:r>
      <w:r>
        <w:rPr>
          <w:rStyle w:val="VerbatimChar"/>
        </w:rPr>
        <w:t xml:space="preserve">ConnectorCertified</w:t>
      </w:r>
      <w:r>
        <w:t xml:space="preserve">.</w:t>
      </w:r>
    </w:p>
    <w:p>
      <w:pPr>
        <w:numPr>
          <w:ilvl w:val="0"/>
          <w:numId w:val="2105"/>
        </w:numPr>
        <w:pStyle w:val="Compact"/>
      </w:pPr>
      <w:r>
        <w:rPr>
          <w:bCs/>
          <w:b/>
        </w:rPr>
        <w:t xml:space="preserve">Udofin, all products:</w:t>
      </w:r>
      <w:r>
        <w:t xml:space="preserve"> </w:t>
      </w:r>
      <w:r>
        <w:t xml:space="preserve">the product × lifecycle matrix (Part 6.3 of this prompt; Integration Spec Part 7.2), including the LAS and LAMF collateral events and APIs, registered and Pact-tested here against stubs and taken live with the Phase 17 margin engine (Part 6.4; Integration Spec Parts 6.5, 7.3 and 15:</w:t>
      </w:r>
      <w:r>
        <w:t xml:space="preserve"> </w:t>
      </w:r>
      <w:r>
        <w:rPr>
          <w:rStyle w:val="VerbatimChar"/>
        </w:rPr>
        <w:t xml:space="preserve">CollateralHoldingsShared</w:t>
      </w:r>
      <w:r>
        <w:t xml:space="preserve">,</w:t>
      </w:r>
      <w:r>
        <w:t xml:space="preserve"> </w:t>
      </w:r>
      <w:r>
        <w:rPr>
          <w:rStyle w:val="VerbatimChar"/>
        </w:rPr>
        <w:t xml:space="preserve">CollateralPledgeRequested</w:t>
      </w:r>
      <w:r>
        <w:t xml:space="preserve">,</w:t>
      </w:r>
      <w:r>
        <w:t xml:space="preserve"> </w:t>
      </w:r>
      <w:r>
        <w:rPr>
          <w:rStyle w:val="VerbatimChar"/>
        </w:rPr>
        <w:t xml:space="preserve">CollateralPledgeCreated</w:t>
      </w:r>
      <w:r>
        <w:t xml:space="preserve">,</w:t>
      </w:r>
      <w:r>
        <w:t xml:space="preserve"> </w:t>
      </w:r>
      <w:r>
        <w:rPr>
          <w:rStyle w:val="VerbatimChar"/>
        </w:rPr>
        <w:t xml:space="preserve">CollateralPledgeFailed</w:t>
      </w:r>
      <w:r>
        <w:t xml:space="preserve">,</w:t>
      </w:r>
      <w:r>
        <w:t xml:space="preserve"> </w:t>
      </w:r>
      <w:r>
        <w:rPr>
          <w:rStyle w:val="VerbatimChar"/>
        </w:rPr>
        <w:t xml:space="preserve">CollateralChargeRegistered</w:t>
      </w:r>
      <w:r>
        <w:t xml:space="preserve">,</w:t>
      </w:r>
      <w:r>
        <w:t xml:space="preserve"> </w:t>
      </w:r>
      <w:r>
        <w:rPr>
          <w:rStyle w:val="VerbatimChar"/>
        </w:rPr>
        <w:t xml:space="preserve">CollateralValuationUpdated</w:t>
      </w:r>
      <w:r>
        <w:t xml:space="preserve">,</w:t>
      </w:r>
      <w:r>
        <w:t xml:space="preserve"> </w:t>
      </w:r>
      <w:r>
        <w:rPr>
          <w:rStyle w:val="VerbatimChar"/>
        </w:rPr>
        <w:t xml:space="preserve">MarginCallRaised</w:t>
      </w:r>
      <w:r>
        <w:t xml:space="preserve">,</w:t>
      </w:r>
      <w:r>
        <w:t xml:space="preserve"> </w:t>
      </w:r>
      <w:r>
        <w:rPr>
          <w:rStyle w:val="VerbatimChar"/>
        </w:rPr>
        <w:t xml:space="preserve">MarginCallCured</w:t>
      </w:r>
      <w:r>
        <w:t xml:space="preserve">,</w:t>
      </w:r>
      <w:r>
        <w:t xml:space="preserve"> </w:t>
      </w:r>
      <w:r>
        <w:rPr>
          <w:rStyle w:val="VerbatimChar"/>
        </w:rPr>
        <w:t xml:space="preserve">MarginCallLapsed</w:t>
      </w:r>
      <w:r>
        <w:t xml:space="preserve">,</w:t>
      </w:r>
      <w:r>
        <w:t xml:space="preserve"> </w:t>
      </w:r>
      <w:r>
        <w:rPr>
          <w:rStyle w:val="VerbatimChar"/>
        </w:rPr>
        <w:t xml:space="preserve">CollateralInvoked</w:t>
      </w:r>
      <w:r>
        <w:t xml:space="preserve">,</w:t>
      </w:r>
      <w:r>
        <w:t xml:space="preserve"> </w:t>
      </w:r>
      <w:r>
        <w:rPr>
          <w:rStyle w:val="VerbatimChar"/>
        </w:rPr>
        <w:t xml:space="preserve">CollateralReleased</w:t>
      </w:r>
      <w:r>
        <w:t xml:space="preserve">); co-lending and transfer events (Part 6.6:</w:t>
      </w:r>
      <w:r>
        <w:t xml:space="preserve"> </w:t>
      </w:r>
      <w:r>
        <w:rPr>
          <w:rStyle w:val="VerbatimChar"/>
        </w:rPr>
        <w:t xml:space="preserve">CoLendingSplitConfirmed</w:t>
      </w:r>
      <w:r>
        <w:t xml:space="preserve">,</w:t>
      </w:r>
      <w:r>
        <w:t xml:space="preserve"> </w:t>
      </w:r>
      <w:r>
        <w:rPr>
          <w:rStyle w:val="VerbatimChar"/>
        </w:rPr>
        <w:t xml:space="preserve">CoLendingReceiptAllocated</w:t>
      </w:r>
      <w:r>
        <w:t xml:space="preserve">,</w:t>
      </w:r>
      <w:r>
        <w:t xml:space="preserve"> </w:t>
      </w:r>
      <w:r>
        <w:rPr>
          <w:rStyle w:val="VerbatimChar"/>
        </w:rPr>
        <w:t xml:space="preserve">ClassificationSynced</w:t>
      </w:r>
      <w:r>
        <w:t xml:space="preserve">,</w:t>
      </w:r>
      <w:r>
        <w:t xml:space="preserve"> </w:t>
      </w:r>
      <w:r>
        <w:rPr>
          <w:rStyle w:val="VerbatimChar"/>
        </w:rPr>
        <w:t xml:space="preserve">LoanTransferred</w:t>
      </w:r>
      <w:r>
        <w:t xml:space="preserve">,</w:t>
      </w:r>
      <w:r>
        <w:t xml:space="preserve"> </w:t>
      </w:r>
      <w:r>
        <w:rPr>
          <w:rStyle w:val="VerbatimChar"/>
        </w:rPr>
        <w:t xml:space="preserve">ServicerChanged</w:t>
      </w:r>
      <w:r>
        <w:t xml:space="preserve">); recovery and ADR status events scoped to Udofin’s appointment and the borrower’s consent; and the six events proposed by Udofin v1.0 (</w:t>
      </w:r>
      <w:r>
        <w:rPr>
          <w:rStyle w:val="VerbatimChar"/>
        </w:rPr>
        <w:t xml:space="preserve">ConsentWithdrawn</w:t>
      </w:r>
      <w:r>
        <w:t xml:space="preserve">,</w:t>
      </w:r>
      <w:r>
        <w:t xml:space="preserve"> </w:t>
      </w:r>
      <w:r>
        <w:rPr>
          <w:rStyle w:val="VerbatimChar"/>
        </w:rPr>
        <w:t xml:space="preserve">DataPrincipalRequest</w:t>
      </w:r>
      <w:r>
        <w:t xml:space="preserve">,</w:t>
      </w:r>
      <w:r>
        <w:t xml:space="preserve"> </w:t>
      </w:r>
      <w:r>
        <w:rPr>
          <w:rStyle w:val="VerbatimChar"/>
        </w:rPr>
        <w:t xml:space="preserve">SecurityIncidentNotified</w:t>
      </w:r>
      <w:r>
        <w:t xml:space="preserve">,</w:t>
      </w:r>
      <w:r>
        <w:t xml:space="preserve"> </w:t>
      </w:r>
      <w:r>
        <w:rPr>
          <w:rStyle w:val="VerbatimChar"/>
        </w:rPr>
        <w:t xml:space="preserve">DLGDisclosurePublished</w:t>
      </w:r>
      <w:r>
        <w:t xml:space="preserve">,</w:t>
      </w:r>
      <w:r>
        <w:t xml:space="preserve"> </w:t>
      </w:r>
      <w:r>
        <w:rPr>
          <w:rStyle w:val="VerbatimChar"/>
        </w:rPr>
        <w:t xml:space="preserve">RiskSignalRaised</w:t>
      </w:r>
      <w:r>
        <w:t xml:space="preserve">,</w:t>
      </w:r>
      <w:r>
        <w:t xml:space="preserve"> </w:t>
      </w:r>
      <w:r>
        <w:rPr>
          <w:rStyle w:val="VerbatimChar"/>
        </w:rPr>
        <w:t xml:space="preserve">SettlementRequested</w:t>
      </w:r>
      <w:r>
        <w:t xml:space="preserve">).</w:t>
      </w:r>
    </w:p>
    <w:p>
      <w:pPr>
        <w:numPr>
          <w:ilvl w:val="0"/>
          <w:numId w:val="2105"/>
        </w:numPr>
        <w:pStyle w:val="Compact"/>
      </w:pPr>
      <w:r>
        <w:rPr>
          <w:bCs/>
          <w:b/>
        </w:rPr>
        <w:t xml:space="preserve">Equator:</w:t>
      </w:r>
      <w:r>
        <w:t xml:space="preserve"> </w:t>
      </w:r>
      <w:r>
        <w:t xml:space="preserve">the full ADR contract from Phase 12b (Integration Spec Part 8), certified, with SLA monitors (screening, first notice, delivery status, appointment, webhook latency).</w:t>
      </w:r>
    </w:p>
    <w:p>
      <w:pPr>
        <w:numPr>
          <w:ilvl w:val="0"/>
          <w:numId w:val="2105"/>
        </w:numPr>
        <w:pStyle w:val="Compact"/>
      </w:pPr>
      <w:r>
        <w:rPr>
          <w:bCs/>
          <w:b/>
        </w:rPr>
        <w:t xml:space="preserve">LawDocsComply and third-party GRC:</w:t>
      </w:r>
      <w:r>
        <w:t xml:space="preserve"> </w:t>
      </w:r>
      <w:r>
        <w:t xml:space="preserve">the generic GRC connector (Obligation, Control, ControlTestResult, Issue, Incident, RegulatoryReturn, PolicyAttestation, OutsourcingArrangement, KRI); REST pull with cursor pagination, CloudEvents push, and a periodic OSCAL package (catalog, component-definition, assessment-results, POA&amp;M; OSCAL 1.2.x); adapters for MetricStream (REST), IBM OpenPages (GRC REST), ServiceNow IRM (staging tables) and Archer (REST and Content API); the Compliance/GRC events (Integration Spec Parts 6.15 and 9)</w:t>
      </w:r>
      <w:r>
        <w:t xml:space="preserve"> </w:t>
      </w:r>
      <w:r>
        <w:rPr>
          <w:rStyle w:val="VerbatimChar"/>
        </w:rPr>
        <w:t xml:space="preserve">ObligationPublished</w:t>
      </w:r>
      <w:r>
        <w:t xml:space="preserve">,</w:t>
      </w:r>
      <w:r>
        <w:t xml:space="preserve"> </w:t>
      </w:r>
      <w:r>
        <w:rPr>
          <w:rStyle w:val="VerbatimChar"/>
        </w:rPr>
        <w:t xml:space="preserve">ControlTestResultPublished</w:t>
      </w:r>
      <w:r>
        <w:t xml:space="preserve">,</w:t>
      </w:r>
      <w:r>
        <w:t xml:space="preserve"> </w:t>
      </w:r>
      <w:r>
        <w:rPr>
          <w:rStyle w:val="VerbatimChar"/>
        </w:rPr>
        <w:t xml:space="preserve">EvidenceSubmitted</w:t>
      </w:r>
      <w:r>
        <w:t xml:space="preserve">,</w:t>
      </w:r>
      <w:r>
        <w:t xml:space="preserve"> </w:t>
      </w:r>
      <w:r>
        <w:rPr>
          <w:rStyle w:val="VerbatimChar"/>
        </w:rPr>
        <w:t xml:space="preserve">ComplianceIssueRaised</w:t>
      </w:r>
      <w:r>
        <w:t xml:space="preserve">,</w:t>
      </w:r>
      <w:r>
        <w:t xml:space="preserve"> </w:t>
      </w:r>
      <w:r>
        <w:rPr>
          <w:rStyle w:val="VerbatimChar"/>
        </w:rPr>
        <w:t xml:space="preserve">ReturnStatusUpdated</w:t>
      </w:r>
      <w:r>
        <w:t xml:space="preserve">,</w:t>
      </w:r>
      <w:r>
        <w:t xml:space="preserve"> </w:t>
      </w:r>
      <w:r>
        <w:rPr>
          <w:rStyle w:val="VerbatimChar"/>
        </w:rPr>
        <w:t xml:space="preserve">PolicyAttested</w:t>
      </w:r>
      <w:r>
        <w:t xml:space="preserve">. Evidence is hash-chained and carries aggregate counts and masked sample IDs, never raw PII. [VERIFY: LawDocsComply public API]</w:t>
      </w:r>
    </w:p>
    <w:p>
      <w:pPr>
        <w:numPr>
          <w:ilvl w:val="0"/>
          <w:numId w:val="2105"/>
        </w:numPr>
        <w:pStyle w:val="Compact"/>
      </w:pPr>
      <w:r>
        <w:rPr>
          <w:bCs/>
          <w:b/>
        </w:rPr>
        <w:t xml:space="preserve">Court data and legal tech:</w:t>
      </w:r>
      <w:r>
        <w:t xml:space="preserve"> </w:t>
      </w:r>
      <w:r>
        <w:t xml:space="preserve">official eCourts open APIs where the tenant obtains institutional-litigant credentials [VERIFY: NBFC eligibility], otherwise licensed aggregators (CNR, cause lists, orders); e-DRT is a filing portal with no API; e-Jagriti for consumer matters.</w:t>
      </w:r>
    </w:p>
    <w:p>
      <w:pPr>
        <w:numPr>
          <w:ilvl w:val="0"/>
          <w:numId w:val="2105"/>
        </w:numPr>
        <w:pStyle w:val="Compact"/>
      </w:pPr>
      <w:r>
        <w:rPr>
          <w:bCs/>
          <w:b/>
        </w:rPr>
        <w:t xml:space="preserve">E-auction:</w:t>
      </w:r>
      <w:r>
        <w:t xml:space="preserve"> </w:t>
      </w:r>
      <w:r>
        <w:t xml:space="preserve">listing export and bid-log import for BAANKNET [VERIFY: NBFC listing and API], C1 India, auctiontiger, MSTC and Shriram Automall.</w:t>
      </w:r>
    </w:p>
    <w:p>
      <w:pPr>
        <w:numPr>
          <w:ilvl w:val="0"/>
          <w:numId w:val="2105"/>
        </w:numPr>
        <w:pStyle w:val="Compact"/>
      </w:pPr>
      <w:r>
        <w:rPr>
          <w:bCs/>
          <w:b/>
        </w:rPr>
        <w:t xml:space="preserve">Notice dispatch:</w:t>
      </w:r>
      <w:r>
        <w:t xml:space="preserve"> </w:t>
      </w:r>
      <w:r>
        <w:t xml:space="preserve">India Post bulk booking and tracking (DoP contract and CEPT onboarding; XML manifests; tracking events), couriers and print-to-post vendors behind</w:t>
      </w:r>
      <w:r>
        <w:t xml:space="preserve"> </w:t>
      </w:r>
      <w:r>
        <w:rPr>
          <w:rStyle w:val="VerbatimChar"/>
        </w:rPr>
        <w:t xml:space="preserve">NoticeDispatchProvider</w:t>
      </w:r>
      <w:r>
        <w:t xml:space="preserve">.</w:t>
      </w:r>
    </w:p>
    <w:p>
      <w:pPr>
        <w:numPr>
          <w:ilvl w:val="0"/>
          <w:numId w:val="2105"/>
        </w:numPr>
        <w:pStyle w:val="Compact"/>
      </w:pPr>
      <w:r>
        <w:rPr>
          <w:bCs/>
          <w:b/>
        </w:rPr>
        <w:t xml:space="preserve">Collection agencies and diallers:</w:t>
      </w:r>
      <w:r>
        <w:t xml:space="preserve"> </w:t>
      </w:r>
      <w:r>
        <w:t xml:space="preserve">allocation and recall, activity and recording ingestion, agent certificate sync, behind</w:t>
      </w:r>
      <w:r>
        <w:t xml:space="preserve"> </w:t>
      </w:r>
      <w:r>
        <w:rPr>
          <w:rStyle w:val="VerbatimChar"/>
        </w:rPr>
        <w:t xml:space="preserve">CollectionAgencyConnector</w:t>
      </w:r>
      <w:r>
        <w:t xml:space="preserve"> </w:t>
      </w:r>
      <w:r>
        <w:t xml:space="preserve">and</w:t>
      </w:r>
      <w:r>
        <w:t xml:space="preserve"> </w:t>
      </w:r>
      <w:r>
        <w:rPr>
          <w:rStyle w:val="VerbatimChar"/>
        </w:rPr>
        <w:t xml:space="preserve">DiallerProvider</w:t>
      </w:r>
      <w:r>
        <w:t xml:space="preserve">; every attempt passes the R15 contact-policy check.</w:t>
      </w:r>
    </w:p>
    <w:p>
      <w:pPr>
        <w:numPr>
          <w:ilvl w:val="0"/>
          <w:numId w:val="2105"/>
        </w:numPr>
        <w:pStyle w:val="Compact"/>
      </w:pPr>
      <w:r>
        <w:rPr>
          <w:bCs/>
          <w:b/>
        </w:rPr>
        <w:t xml:space="preserve">Third-party LOS and LMS:</w:t>
      </w:r>
      <w:r>
        <w:t xml:space="preserve"> </w:t>
      </w:r>
      <w:r>
        <w:t xml:space="preserve">inbound loan boarding for LMS-only tenants, outbound booking for LOS-only tenants, and legacy migration feeds, on the same contract.</w:t>
      </w:r>
    </w:p>
    <w:p>
      <w:pPr>
        <w:numPr>
          <w:ilvl w:val="0"/>
          <w:numId w:val="2105"/>
        </w:numPr>
        <w:pStyle w:val="Compact"/>
      </w:pPr>
      <w:r>
        <w:rPr>
          <w:bCs/>
          <w:b/>
        </w:rPr>
        <w:t xml:space="preserve">Future ecosystem apps:</w:t>
      </w:r>
      <w:r>
        <w:t xml:space="preserve"> </w:t>
      </w:r>
      <w:r>
        <w:t xml:space="preserve">the onboarding checklist (legal role and materiality under OUT, group-outsourcing policy (OUT 45–51), DPIA and India residency, need-to-know data, OIDC and SCIM, contracts in the registry with Pact tests, VAPT and SBOM, manifest and SKU, BCP and exit plan, certification), demonstrated with a field-investigation app stub that consumes</w:t>
      </w:r>
      <w:r>
        <w:t xml:space="preserve"> </w:t>
      </w:r>
      <w:r>
        <w:rPr>
          <w:rStyle w:val="VerbatimChar"/>
        </w:rPr>
        <w:t xml:space="preserve">VerificationRequested</w:t>
      </w:r>
      <w:r>
        <w:t xml:space="preserve"> </w:t>
      </w:r>
      <w:r>
        <w:t xml:space="preserve">and produces</w:t>
      </w:r>
      <w:r>
        <w:t xml:space="preserve"> </w:t>
      </w:r>
      <w:r>
        <w:rPr>
          <w:rStyle w:val="VerbatimChar"/>
        </w:rPr>
        <w:t xml:space="preserve">VerificationCompleted</w:t>
      </w:r>
      <w:r>
        <w:t xml:space="preserve"> </w:t>
      </w:r>
      <w:r>
        <w:t xml:space="preserve">(Integration Spec Part 6); any further event goes to the specification’s proposal process, never invented locally.</w:t>
      </w:r>
    </w:p>
    <w:p>
      <w:pPr>
        <w:numPr>
          <w:ilvl w:val="0"/>
          <w:numId w:val="2105"/>
        </w:numPr>
        <w:pStyle w:val="Compact"/>
      </w:pPr>
      <w:r>
        <w:rPr>
          <w:bCs/>
          <w:b/>
        </w:rPr>
        <w:t xml:space="preserve">Daily reconciliation framework (Integration Spec Part 7.4; breaks as</w:t>
      </w:r>
      <w:r>
        <w:rPr>
          <w:bCs/>
          <w:b/>
        </w:rPr>
        <w:t xml:space="preserve"> </w:t>
      </w:r>
      <w:r>
        <w:rPr>
          <w:rStyle w:val="VerbatimChar"/>
          <w:bCs/>
          <w:b/>
        </w:rPr>
        <w:t xml:space="preserve">ReconciliationBreakRaised</w:t>
      </w:r>
      <w:r>
        <w:rPr>
          <w:bCs/>
          <w:b/>
        </w:rPr>
        <w:t xml:space="preserve">):</w:t>
      </w:r>
      <w:r>
        <w:t xml:space="preserve"> </w:t>
      </w:r>
      <w:r>
        <w:t xml:space="preserve">applications, KFS acceptance, disbursement UTRs, collections, collateral registers (depository, RTA, Vahan, CERSAI, gold vault), co-lending escrow (three-way), DLG, LSP fees, classification-sync timestamps, servicer remittances, and legal and ADR status versus Equator and court feeds.</w:t>
      </w:r>
    </w:p>
    <w:p>
      <w:pPr>
        <w:pStyle w:val="BlockText"/>
      </w:pPr>
      <w:r>
        <w:t xml:space="preserve">Tests and acceptance evidence:</w:t>
      </w:r>
    </w:p>
    <w:p>
      <w:pPr>
        <w:numPr>
          <w:ilvl w:val="0"/>
          <w:numId w:val="2106"/>
        </w:numPr>
        <w:pStyle w:val="Compact"/>
      </w:pPr>
      <w:r>
        <w:t xml:space="preserve">schema-compatibility check blocks a breaking change without a new version;</w:t>
      </w:r>
    </w:p>
    <w:p>
      <w:pPr>
        <w:numPr>
          <w:ilvl w:val="0"/>
          <w:numId w:val="2106"/>
        </w:numPr>
        <w:pStyle w:val="Compact"/>
      </w:pPr>
      <w:r>
        <w:t xml:space="preserve">replayed webhooks and duplicate</w:t>
      </w:r>
      <w:r>
        <w:t xml:space="preserve"> </w:t>
      </w:r>
      <w:r>
        <w:rPr>
          <w:rStyle w:val="VerbatimChar"/>
        </w:rPr>
        <w:t xml:space="preserve">Idempotency-Key</w:t>
      </w:r>
      <w:r>
        <w:t xml:space="preserve"> </w:t>
      </w:r>
      <w:r>
        <w:t xml:space="preserve">requests produce no second effect;</w:t>
      </w:r>
    </w:p>
    <w:p>
      <w:pPr>
        <w:numPr>
          <w:ilvl w:val="0"/>
          <w:numId w:val="2106"/>
        </w:numPr>
        <w:pStyle w:val="Compact"/>
      </w:pPr>
      <w:r>
        <w:t xml:space="preserve">a PII payload without a consent reference is rejected;</w:t>
      </w:r>
    </w:p>
    <w:p>
      <w:pPr>
        <w:numPr>
          <w:ilvl w:val="0"/>
          <w:numId w:val="2106"/>
        </w:numPr>
        <w:pStyle w:val="Compact"/>
      </w:pPr>
      <w:r>
        <w:t xml:space="preserve">each certified connector has a passing certification report (Integration Spec Part 14) and a</w:t>
      </w:r>
      <w:r>
        <w:t xml:space="preserve"> </w:t>
      </w:r>
      <w:r>
        <w:rPr>
          <w:rStyle w:val="VerbatimChar"/>
        </w:rPr>
        <w:t xml:space="preserve">ConnectorCertified</w:t>
      </w:r>
      <w:r>
        <w:t xml:space="preserve"> </w:t>
      </w:r>
      <w:r>
        <w:t xml:space="preserve">event;</w:t>
      </w:r>
    </w:p>
    <w:p>
      <w:pPr>
        <w:numPr>
          <w:ilvl w:val="0"/>
          <w:numId w:val="2106"/>
        </w:numPr>
        <w:pStyle w:val="Compact"/>
      </w:pPr>
      <w:r>
        <w:t xml:space="preserve">an OSCAL export validates against the NIST schema;</w:t>
      </w:r>
    </w:p>
    <w:p>
      <w:pPr>
        <w:numPr>
          <w:ilvl w:val="0"/>
          <w:numId w:val="2106"/>
        </w:numPr>
        <w:pStyle w:val="Compact"/>
      </w:pPr>
      <w:r>
        <w:t xml:space="preserve">every product template live in Finbyx passes the Udofin Pact suite for its lifecycle events (secured templates join when Phase 17 delivers them);</w:t>
      </w:r>
    </w:p>
    <w:p>
      <w:pPr>
        <w:numPr>
          <w:ilvl w:val="0"/>
          <w:numId w:val="2106"/>
        </w:numPr>
        <w:pStyle w:val="Compact"/>
      </w:pPr>
      <w:r>
        <w:t xml:space="preserve">reconciliation breaks open cases by T+1;</w:t>
      </w:r>
    </w:p>
    <w:p>
      <w:pPr>
        <w:numPr>
          <w:ilvl w:val="0"/>
          <w:numId w:val="2106"/>
        </w:numPr>
        <w:pStyle w:val="Compact"/>
      </w:pPr>
      <w:r>
        <w:t xml:space="preserve">outage of any connector leaves Finbyx operating, with queued retries and dead-letter handling.</w:t>
      </w:r>
    </w:p>
    <w:p>
      <w:pPr>
        <w:pStyle w:val="BlockText"/>
      </w:pPr>
      <w:r>
        <w:t xml:space="preserve">Register the v1.1 event groups (Integration Spec Parts 6.18–6.30 and 12) as schemas here; each is built and certified in the phase that owns it (13b–20b; Integration Spec Part 15).</w:t>
      </w:r>
    </w:p>
    <w:p>
      <w:pPr>
        <w:pStyle w:val="BlockText"/>
      </w:pPr>
      <w:r>
        <w:t xml:space="preserve">Show me the connector list with access status, the event matrix and the certification suite for approval before coding.”</w:t>
      </w:r>
    </w:p>
    <w:bookmarkEnd w:id="874"/>
    <w:bookmarkStart w:id="875" w:name="Xd85dc5e9e30af592e7ce06434ec20c5b27c74ff"/>
    <w:p>
      <w:pPr>
        <w:pStyle w:val="Heading3"/>
      </w:pPr>
      <w:r>
        <w:t xml:space="preserve">Phase 16c — Audit and assurance suite with auditor and supervisor workspaces</w:t>
      </w:r>
    </w:p>
    <w:p>
      <w:pPr>
        <w:pStyle w:val="BlockText"/>
      </w:pPr>
      <w:r>
        <w:rPr>
          <w:bCs/>
          <w:b/>
        </w:rPr>
        <w:t xml:space="preserve">Instruction to Claude:</w:t>
      </w:r>
      <w:r>
        <w:t xml:space="preserve"> </w:t>
      </w:r>
      <w:r>
        <w:t xml:space="preserve">“Before writing the specification, verify: (i) IAF (8A.32), SA (8A.33), AUD (8A.15) and CYB paras 46–58, 121–126 and 149–154 against docs/regulations/rbi/; (ii) the commercial-bank Internal Audit Function (RBI/DoS/2026-27/413) and Concurrent Audit Directions 2026 and the UCB, StCB and DCCB instructions, keeping their parameters as configuration until verified; (iii) ICAI SA 230, SA 530 and SA 402, the ICAI Technical Guide on RBIA of NBFCs (2024), ICSI CSAS-1 to CSAS-3 (Revised Edition 2026), the SS-1 and SS-2 clocks, CA13 s.204 with Rule 9 thresholds and LODR Reg 24A; (iv) the legal basis for each external-access grant type (RBI Act ss.45N, 45NAA, 45NB; OUT paras 34(vii)–(ix), 74(ii), 74(xii); CYB paras 46 and 57, mandatory only for BL ≥ ₹500 crore and a supervisory expectation for ML/UL, logged for DoS CSITE clarification). Then build Part 7D as tooling only — Finbyx and Infrabyx staff never perform a tenant’s internal audit (OUT para 15; IAF para 39):</w:t>
      </w:r>
    </w:p>
    <w:p>
      <w:pPr>
        <w:numPr>
          <w:ilvl w:val="0"/>
          <w:numId w:val="2107"/>
        </w:numPr>
        <w:pStyle w:val="Compact"/>
      </w:pPr>
      <w:r>
        <w:rPr>
          <w:bCs/>
          <w:b/>
        </w:rPr>
        <w:t xml:space="preserve">AU1:</w:t>
      </w:r>
      <w:r>
        <w:t xml:space="preserve"> </w:t>
      </w:r>
      <w:r>
        <w:t xml:space="preserve">the audit universe auto-populated from masters (Risk Management and Compliance units (IAF para 26) and critical IT systems (IAF para 34) mandatory and non-archivable; a universe-change task to the HIA within 1 working day); risk assessment with the ten locked IAF para 31 parameters pre-filled and confirmed with basis text; the Risk Audit Matrix with the locked order H/H, H/M, H/L, M/H, M/M, L/H; a coverage clock forcing units past the policy maximum into the plan; the plan builder with capacity gaps; ACB approval and immutable plan versions.</w:t>
      </w:r>
    </w:p>
    <w:p>
      <w:pPr>
        <w:numPr>
          <w:ilvl w:val="0"/>
          <w:numId w:val="2107"/>
        </w:numPr>
        <w:pStyle w:val="Compact"/>
      </w:pPr>
      <w:r>
        <w:rPr>
          <w:bCs/>
          <w:b/>
        </w:rPr>
        <w:t xml:space="preserve">AU2:</w:t>
      </w:r>
      <w:r>
        <w:t xml:space="preserve"> </w:t>
      </w:r>
      <w:r>
        <w:t xml:space="preserve">engagement types and lifecycle with</w:t>
      </w:r>
      <w:r>
        <w:t xml:space="preserve"> </w:t>
      </w:r>
      <w:r>
        <w:rPr>
          <w:rStyle w:val="VerbatimChar"/>
        </w:rPr>
        <w:t xml:space="preserve">AuditEngagementOpened</w:t>
      </w:r>
      <w:r>
        <w:t xml:space="preserve">; independence declarations before fieldwork; workpapers with review hierarchy, eSign sign-off, file lock and append-only addenda; sampling with population hash, seed and reproducibility, attribute and MUS calculators; full-population CAATs; evidence links pinning a hashed JSON snapshot and audit-trail position with drift detection; PII masked;</w:t>
      </w:r>
      <w:r>
        <w:t xml:space="preserve"> </w:t>
      </w:r>
      <w:r>
        <w:t xml:space="preserve">‘</w:t>
      </w:r>
      <w:r>
        <w:t xml:space="preserve">verify file</w:t>
      </w:r>
      <w:r>
        <w:t xml:space="preserve">’</w:t>
      </w:r>
      <w:r>
        <w:t xml:space="preserve">.</w:t>
      </w:r>
    </w:p>
    <w:p>
      <w:pPr>
        <w:numPr>
          <w:ilvl w:val="0"/>
          <w:numId w:val="2107"/>
        </w:numPr>
        <w:pStyle w:val="Compact"/>
      </w:pPr>
      <w:r>
        <w:rPr>
          <w:bCs/>
          <w:b/>
        </w:rPr>
        <w:t xml:space="preserve">AU3:</w:t>
      </w:r>
      <w:r>
        <w:t xml:space="preserve"> </w:t>
      </w:r>
      <w:r>
        <w:t xml:space="preserve">HIA controls (only employees own reports; external experts as</w:t>
      </w:r>
      <w:r>
        <w:t xml:space="preserve"> </w:t>
      </w:r>
      <w:r>
        <w:rPr>
          <w:rStyle w:val="VerbatimChar"/>
        </w:rPr>
        <w:t xml:space="preserve">ia_contributor</w:t>
      </w:r>
      <w:r>
        <w:t xml:space="preserve">; no business targets; quarterly in-camera ACB meeting); findings with retest by a different user, risk acceptance by delegated authority,</w:t>
      </w:r>
      <w:r>
        <w:t xml:space="preserve"> </w:t>
      </w:r>
      <w:r>
        <w:rPr>
          <w:rStyle w:val="VerbatimChar"/>
        </w:rPr>
        <w:t xml:space="preserve">AuditFindingRaised</w:t>
      </w:r>
      <w:r>
        <w:t xml:space="preserve">,</w:t>
      </w:r>
      <w:r>
        <w:t xml:space="preserve"> </w:t>
      </w:r>
      <w:r>
        <w:rPr>
          <w:rStyle w:val="VerbatimChar"/>
        </w:rPr>
        <w:t xml:space="preserve">AuditFindingClosed</w:t>
      </w:r>
      <w:r>
        <w:t xml:space="preserve"> </w:t>
      </w:r>
      <w:r>
        <w:t xml:space="preserve">and</w:t>
      </w:r>
      <w:r>
        <w:t xml:space="preserve"> </w:t>
      </w:r>
      <w:r>
        <w:rPr>
          <w:rStyle w:val="VerbatimChar"/>
        </w:rPr>
        <w:t xml:space="preserve">ComplianceIssueRaised</w:t>
      </w:r>
      <w:r>
        <w:t xml:space="preserve"> </w:t>
      </w:r>
      <w:r>
        <w:t xml:space="preserve">for regulatory breaches; suspected fraud opens an FRM signal (auditors never classify fraud); the ATR register and ACB pack with ageing; the quarterly related-party engagement (CRM para 13M); concurrent audit with a real-time transaction queue.</w:t>
      </w:r>
    </w:p>
    <w:p>
      <w:pPr>
        <w:numPr>
          <w:ilvl w:val="0"/>
          <w:numId w:val="2107"/>
        </w:numPr>
        <w:pStyle w:val="Compact"/>
      </w:pPr>
      <w:r>
        <w:rPr>
          <w:bCs/>
          <w:b/>
        </w:rPr>
        <w:t xml:space="preserve">AU4:</w:t>
      </w:r>
      <w:r>
        <w:t xml:space="preserve"> </w:t>
      </w:r>
      <w:r>
        <w:t xml:space="preserve">IS audit policy and scope library mapped to CYB families, with the report due before statutory fieldwork; the ITGC library and Finbyx provider evidence (EO1–EO3; SOC report or bridge letter); the VAPT tracker with 6-month VA and 12-month PT clocks for critical systems of ML+ tenants, severity SLAs (defaults 15/30/90/180 days, owner decision; where the EO1.6 platform SLAs also cover a finding, the stricter applies), recurrence as a High finding and the</w:t>
      </w:r>
      <w:r>
        <w:t xml:space="preserve"> </w:t>
      </w:r>
      <w:r>
        <w:rPr>
          <w:rStyle w:val="VerbatimChar"/>
        </w:rPr>
        <w:t xml:space="preserve">requires_vapt</w:t>
      </w:r>
      <w:r>
        <w:t xml:space="preserve"> </w:t>
      </w:r>
      <w:r>
        <w:t xml:space="preserve">release gate.</w:t>
      </w:r>
    </w:p>
    <w:p>
      <w:pPr>
        <w:numPr>
          <w:ilvl w:val="0"/>
          <w:numId w:val="2107"/>
        </w:numPr>
        <w:pStyle w:val="Compact"/>
      </w:pPr>
      <w:r>
        <w:rPr>
          <w:bCs/>
          <w:b/>
        </w:rPr>
        <w:t xml:space="preserve">AU5:</w:t>
      </w:r>
      <w:r>
        <w:t xml:space="preserve"> </w:t>
      </w:r>
      <w:r>
        <w:t xml:space="preserve">the SA eligibility engine (joint audit at ≥ ₹15,000 crore; Forms A and B; SA paras 15, 18–20 and 23–25; group-wide checks against the Operations Hub group register, or a tenant-maintained list until that register is reachable); PBC lists by profile generated from Phases 13b, 14b and 14d; AUD paras 6–9 checklist runs with linked computations; the DNBS10 timer (5 working days from signing, capped at 31 December), filed by the auditor on CIMS with credentials the NBFC creates; the exception-report register; CARO 2020 packs; the branch-coverage calculator (top 20 or top 20% and ≥ 15% of gross advances).</w:t>
      </w:r>
    </w:p>
    <w:p>
      <w:pPr>
        <w:numPr>
          <w:ilvl w:val="0"/>
          <w:numId w:val="2107"/>
        </w:numPr>
        <w:pStyle w:val="Compact"/>
      </w:pPr>
      <w:r>
        <w:rPr>
          <w:bCs/>
          <w:b/>
        </w:rPr>
        <w:t xml:space="preserve">AU6:</w:t>
      </w:r>
      <w:r>
        <w:t xml:space="preserve"> </w:t>
      </w:r>
      <w:r>
        <w:t xml:space="preserve">s.204 and Reg 24A applicability; peer-review, term and cooling-off tracker; the prohibited-services conflict check, including the group rule (Appendix B item 24 default) that an Infrabyx-linked PCS cannot audit a listed tenant whose compliance system the group supplies; automated SS-1 and SS-2 checks per meeting (full data from Phase 16d); MR-3 and the Secretarial Compliance Report within 60 days of FY end.</w:t>
      </w:r>
    </w:p>
    <w:p>
      <w:pPr>
        <w:numPr>
          <w:ilvl w:val="0"/>
          <w:numId w:val="2107"/>
        </w:numPr>
        <w:pStyle w:val="Compact"/>
      </w:pPr>
      <w:r>
        <w:rPr>
          <w:bCs/>
          <w:b/>
        </w:rPr>
        <w:t xml:space="preserve">AU7 workspaces</w:t>
      </w:r>
      <w:r>
        <w:t xml:space="preserve"> </w:t>
      </w:r>
      <w:r>
        <w:t xml:space="preserve">on the Phase 2 role skeleton: REQUESTED → BASIS_RECORDED → SCOPE_DEFINED → RE_APPROVED → PROVIDER_APPROVED → PROVISIONED → ACTIVE ⇄ EXTENDED → EXPIRED or REVOKED → ARCHIVED (Integration Spec 4.7); the RE authorises every grant; named accounts with MFA and a</w:t>
      </w:r>
      <w:r>
        <w:t xml:space="preserve"> </w:t>
      </w:r>
      <w:r>
        <w:rPr>
          <w:rStyle w:val="VerbatimChar"/>
        </w:rPr>
        <w:t xml:space="preserve">rbi.org.in</w:t>
      </w:r>
      <w:r>
        <w:t xml:space="preserve"> </w:t>
      </w:r>
      <w:r>
        <w:t xml:space="preserve">domain check for RBI grants; a hard maximum of 90 days per grant, defaulting to the engagement window; an extension needs a fresh RE approval and runs at most 90 days from that approval, and a scope change is a new grant; SELECT-only replica or snapshot, the</w:t>
      </w:r>
      <w:r>
        <w:t xml:space="preserve"> </w:t>
      </w:r>
      <w:r>
        <w:rPr>
          <w:rStyle w:val="VerbatimChar"/>
        </w:rPr>
        <w:t xml:space="preserve">external.workspace:read</w:t>
      </w:r>
      <w:r>
        <w:t xml:space="preserve"> </w:t>
      </w:r>
      <w:r>
        <w:t xml:space="preserve">scope and no write route; masking by default with reasoned per-record unmasking; watermarked, hashed and capped exports; 15-minute idle and 8-hour absolute sessions; anomaly alerts and a daily activity report; inspection room and provider-assurance room;</w:t>
      </w:r>
      <w:r>
        <w:t xml:space="preserve"> </w:t>
      </w:r>
      <w:r>
        <w:rPr>
          <w:rStyle w:val="VerbatimChar"/>
        </w:rPr>
        <w:t xml:space="preserve">ExternalAccessGranted</w:t>
      </w:r>
      <w:r>
        <w:t xml:space="preserve">,</w:t>
      </w:r>
      <w:r>
        <w:t xml:space="preserve"> </w:t>
      </w:r>
      <w:r>
        <w:rPr>
          <w:rStyle w:val="VerbatimChar"/>
        </w:rPr>
        <w:t xml:space="preserve">ExternalAccessUsed</w:t>
      </w:r>
      <w:r>
        <w:t xml:space="preserve"> </w:t>
      </w:r>
      <w:r>
        <w:t xml:space="preserve">(daily counts) and</w:t>
      </w:r>
      <w:r>
        <w:t xml:space="preserve"> </w:t>
      </w:r>
      <w:r>
        <w:rPr>
          <w:rStyle w:val="VerbatimChar"/>
        </w:rPr>
        <w:t xml:space="preserve">ExternalAccessRevoked</w:t>
      </w:r>
      <w:r>
        <w:t xml:space="preserve">; the Operations Hub sees counts only.</w:t>
      </w:r>
    </w:p>
    <w:p>
      <w:pPr>
        <w:numPr>
          <w:ilvl w:val="0"/>
          <w:numId w:val="2107"/>
        </w:numPr>
        <w:pStyle w:val="Compact"/>
      </w:pPr>
      <w:r>
        <w:rPr>
          <w:bCs/>
          <w:b/>
        </w:rPr>
        <w:t xml:space="preserve">Menus, screens and settings:</w:t>
      </w:r>
      <w:r>
        <w:t xml:space="preserve"> </w:t>
      </w:r>
      <w:r>
        <w:t xml:space="preserve">build workspaces L (Internal Audit), V (External Auditor Workspace) and W (Supervisor Workspace) exactly as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7D specify (navigation paths, list, detail, wizard, approval-queue and dashboard screens, actions, bulk actions, filters, exports, empty and error states, role visibility, and each setting with its scope, default and floor), and register every entry in Appendix G; locked methodology parameters (the ten IAF para 31 parameters and the Risk Audit Matrix order) are shown but not editable; grant duration defaults to the engagement window and cannot exceed 90 days.</w:t>
      </w:r>
    </w:p>
    <w:p>
      <w:pPr>
        <w:pStyle w:val="BlockText"/>
      </w:pPr>
      <w:r>
        <w:t xml:space="preserve">Tests and acceptance evidence:</w:t>
      </w:r>
    </w:p>
    <w:p>
      <w:pPr>
        <w:numPr>
          <w:ilvl w:val="0"/>
          <w:numId w:val="2108"/>
        </w:numPr>
        <w:pStyle w:val="Compact"/>
      </w:pPr>
      <w:r>
        <w:t xml:space="preserve">a risk assessment with any IAF para 31 parameter blank cannot be approved; 40 seeded units are ordered H/H, H/M, H/L, M/H, M/M, L/H;</w:t>
      </w:r>
    </w:p>
    <w:p>
      <w:pPr>
        <w:numPr>
          <w:ilvl w:val="0"/>
          <w:numId w:val="2108"/>
        </w:numPr>
        <w:pStyle w:val="Compact"/>
      </w:pPr>
      <w:r>
        <w:t xml:space="preserve">re-running a sample with the same snapshot and seed returns identical items; adding one row changes the population hash;</w:t>
      </w:r>
    </w:p>
    <w:p>
      <w:pPr>
        <w:numPr>
          <w:ilvl w:val="0"/>
          <w:numId w:val="2108"/>
        </w:numPr>
        <w:pStyle w:val="Compact"/>
      </w:pPr>
      <w:r>
        <w:t xml:space="preserve">a finding cannot close without retest by a different user, and</w:t>
      </w:r>
      <w:r>
        <w:t xml:space="preserve"> </w:t>
      </w:r>
      <w:r>
        <w:rPr>
          <w:rStyle w:val="VerbatimChar"/>
        </w:rPr>
        <w:t xml:space="preserve">AuditFindingClosed</w:t>
      </w:r>
      <w:r>
        <w:t xml:space="preserve"> </w:t>
      </w:r>
      <w:r>
        <w:t xml:space="preserve">is not emitted;</w:t>
      </w:r>
    </w:p>
    <w:p>
      <w:pPr>
        <w:numPr>
          <w:ilvl w:val="0"/>
          <w:numId w:val="2108"/>
        </w:numPr>
        <w:pStyle w:val="Compact"/>
      </w:pPr>
      <w:r>
        <w:t xml:space="preserve">a concurrent-audit firm proposed as statutory auditor is blocked (SA para 18); a ₹15,200 crore tenant cannot finalise with one firm;</w:t>
      </w:r>
    </w:p>
    <w:p>
      <w:pPr>
        <w:numPr>
          <w:ilvl w:val="0"/>
          <w:numId w:val="2108"/>
        </w:numPr>
        <w:pStyle w:val="Compact"/>
      </w:pPr>
      <w:r>
        <w:t xml:space="preserve">with 60 branches whose top 12 cover 11% of advances, selection extends until coverage reaches 15%;</w:t>
      </w:r>
    </w:p>
    <w:p>
      <w:pPr>
        <w:numPr>
          <w:ilvl w:val="0"/>
          <w:numId w:val="2108"/>
        </w:numPr>
        <w:pStyle w:val="Compact"/>
      </w:pPr>
      <w:r>
        <w:t xml:space="preserve">a listed tenant whose compliance system LawDocsComply implements cannot appoint an Infrabyx-linked PCS (Reg 24A);</w:t>
      </w:r>
    </w:p>
    <w:p>
      <w:pPr>
        <w:numPr>
          <w:ilvl w:val="0"/>
          <w:numId w:val="2108"/>
        </w:numPr>
        <w:pStyle w:val="Compact"/>
      </w:pPr>
      <w:r>
        <w:t xml:space="preserve">INSERT, UPDATE or DELETE through the workspace role fails; expiry ends sessions within 60 seconds and emits</w:t>
      </w:r>
      <w:r>
        <w:t xml:space="preserve"> </w:t>
      </w:r>
      <w:r>
        <w:rPr>
          <w:rStyle w:val="VerbatimChar"/>
        </w:rPr>
        <w:t xml:space="preserve">ExternalAccessRevoked</w:t>
      </w:r>
      <w:r>
        <w:t xml:space="preserve">; no event payload contains a PAN;</w:t>
      </w:r>
    </w:p>
    <w:p>
      <w:pPr>
        <w:numPr>
          <w:ilvl w:val="0"/>
          <w:numId w:val="2108"/>
        </w:numPr>
        <w:pStyle w:val="Compact"/>
      </w:pPr>
      <w:r>
        <w:t xml:space="preserve">code search finds no CIMS credential or OTP handling;</w:t>
      </w:r>
    </w:p>
    <w:p>
      <w:pPr>
        <w:numPr>
          <w:ilvl w:val="0"/>
          <w:numId w:val="2108"/>
        </w:numPr>
        <w:pStyle w:val="Compact"/>
      </w:pPr>
      <w:r>
        <w:t xml:space="preserve">a navigation test walks each role through the Appendix G entries for this phase and finds every screen, action and setting with the stated visibility and nothing more; a grant of 91 days is refused.</w:t>
      </w:r>
    </w:p>
    <w:p>
      <w:pPr>
        <w:pStyle w:val="BlockText"/>
      </w:pPr>
      <w:r>
        <w:t xml:space="preserve">Show me the methodology configuration with locked parameters, the engagement and finding state machines, the PBC templates, the AU7 grant model with legal-basis codes and the supervisor-access interpretation note, with the menu tree and settings catalogue of this phase (Appendix G), for approval before coding.”</w:t>
      </w:r>
    </w:p>
    <w:bookmarkEnd w:id="875"/>
    <w:bookmarkStart w:id="876" w:name="Xf488860b1c5661a69d40fa06b48ae0bc6ee3942"/>
    <w:p>
      <w:pPr>
        <w:pStyle w:val="Heading3"/>
      </w:pPr>
      <w:r>
        <w:t xml:space="preserve">Phase 16d — Corporate governance, listed-company compliance, client HRMS and workplace integration</w:t>
      </w:r>
    </w:p>
    <w:p>
      <w:pPr>
        <w:pStyle w:val="BlockText"/>
      </w:pPr>
      <w:r>
        <w:rPr>
          <w:bCs/>
          <w:b/>
        </w:rPr>
        <w:t xml:space="preserve">Instruction to Claude:</w:t>
      </w:r>
      <w:r>
        <w:t xml:space="preserve"> </w:t>
      </w:r>
      <w:r>
        <w:t xml:space="preserve">“Before writing the specification, verify: (i) every value in the</w:t>
      </w:r>
      <w:r>
        <w:t xml:space="preserve"> </w:t>
      </w:r>
      <w:r>
        <w:rPr>
          <w:rStyle w:val="VerbatimChar"/>
        </w:rPr>
        <w:t xml:space="preserve">ca13_threshold_pack</w:t>
      </w:r>
      <w:r>
        <w:t xml:space="preserve">, the SS-1/SS-2 rule pack, the MCA form catalogue and the GV1.5 change matrix against the current Companies Act 2013 Rules, the ICSI Secretarial Standards (revised, effective 1 Apr 2024) and MCA V3; (ii) every LODR, PIT and ICDR clock on sebi.gov.in (HVDLE at ₹5,000 crore from 22 Jan 2026; RPT materiality slabs from 18 Nov 2025; external UPSI entry within 2 days from 9 Jun 2025); (iii) the Labour Codes in force from 21 Nov 2025, the Central Rules of 8 May 2026 (G.S.R. 342(E)–345(E); corrigendum G.S.R. 629(E)) and the</w:t>
      </w:r>
      <w:r>
        <w:t xml:space="preserve"> </w:t>
      </w:r>
      <w:r>
        <w:rPr>
          <w:rStyle w:val="VerbatimChar"/>
        </w:rPr>
        <w:t xml:space="preserve">state_rule_status</w:t>
      </w:r>
      <w:r>
        <w:t xml:space="preserve"> </w:t>
      </w:r>
      <w:r>
        <w:t xml:space="preserve">of each pilot State; (iv) ITA25 s.392 salary TDS and Forms 130 and 138; (v) the office-suite decision recorded in Phase 0 and the Microsoft 365 Default Geography India or ADR evidence (Google Workspace has no India data region); (vi) that the signed Labour Code rule pack</w:t>
      </w:r>
      <w:r>
        <w:t xml:space="preserve"> </w:t>
      </w:r>
      <w:r>
        <w:rPr>
          <w:rStyle w:val="VerbatimChar"/>
        </w:rPr>
        <w:t xml:space="preserve">infrabyx-labour-rulepack</w:t>
      </w:r>
      <w:r>
        <w:t xml:space="preserve"> </w:t>
      </w:r>
      <w:r>
        <w:t xml:space="preserve">1.0 (Integration Spec v1.1 Part 12.3) is published and pinned in</w:t>
      </w:r>
      <w:r>
        <w:t xml:space="preserve"> </w:t>
      </w:r>
      <w:r>
        <w:rPr>
          <w:rStyle w:val="VerbatimChar"/>
        </w:rPr>
        <w:t xml:space="preserve">contracts.lock</w:t>
      </w:r>
      <w:r>
        <w:t xml:space="preserve"> </w:t>
      </w:r>
      <w:r>
        <w:t xml:space="preserve">— GV6 payroll stays disabled until it is. Then build Part 7F. No MCA, exchange, EPFO, ESIC, TRACES or labour-portal credential, DSC token or OTP is stored:</w:t>
      </w:r>
    </w:p>
    <w:p>
      <w:pPr>
        <w:numPr>
          <w:ilvl w:val="0"/>
          <w:numId w:val="2109"/>
        </w:numPr>
        <w:pStyle w:val="Compact"/>
      </w:pPr>
      <w:r>
        <w:rPr>
          <w:bCs/>
          <w:b/>
        </w:rPr>
        <w:t xml:space="preserve">GV1:</w:t>
      </w:r>
      <w:r>
        <w:t xml:space="preserve"> </w:t>
      </w:r>
      <w:r>
        <w:t xml:space="preserve">governance profile; director master with DIN status and DIR-3 KYC from uploaded MCA extracts; appointment states with the RBI gate (a change above 30% of non-independent directors blocks EFFECTIVE until a PRAVAAH approval is attached; GOV paras 10–11), declarations, an independent director on at most 3 ML/UL boards (GOV para 27) and the 30-day DIR-12 timer; KMP master with reporting-line guards for the CRO, CISO and HIA; committee composition packs validated on every change;</w:t>
      </w:r>
      <w:r>
        <w:t xml:space="preserve"> </w:t>
      </w:r>
      <w:r>
        <w:rPr>
          <w:rStyle w:val="VerbatimChar"/>
        </w:rPr>
        <w:t xml:space="preserve">KmpChanged</w:t>
      </w:r>
      <w:r>
        <w:t xml:space="preserve"> </w:t>
      </w:r>
      <w:r>
        <w:t xml:space="preserve">without PAN or date of birth.</w:t>
      </w:r>
    </w:p>
    <w:p>
      <w:pPr>
        <w:numPr>
          <w:ilvl w:val="0"/>
          <w:numId w:val="2109"/>
        </w:numPr>
        <w:pStyle w:val="Compact"/>
      </w:pPr>
      <w:r>
        <w:rPr>
          <w:bCs/>
          <w:b/>
        </w:rPr>
        <w:t xml:space="preserve">GV2:</w:t>
      </w:r>
      <w:r>
        <w:t xml:space="preserve"> </w:t>
      </w:r>
      <w:r>
        <w:t xml:space="preserve">meeting state machine; s.173 frequency and 7-day notice (urgent meetings only with an independent director present, else pending ratification); per-item quorum with recusals and DIN status; circular resolutions; minutes on 15/7/30-day timers, then locked; general meetings with 21 clear days or 95% short-notice consent; board packs as watermarked PDF/A carrying the frozen RK8 metric pack;</w:t>
      </w:r>
      <w:r>
        <w:t xml:space="preserve"> </w:t>
      </w:r>
      <w:r>
        <w:rPr>
          <w:rStyle w:val="VerbatimChar"/>
        </w:rPr>
        <w:t xml:space="preserve">BoardMeetingScheduled</w:t>
      </w:r>
      <w:r>
        <w:t xml:space="preserve">,</w:t>
      </w:r>
      <w:r>
        <w:t xml:space="preserve"> </w:t>
      </w:r>
      <w:r>
        <w:rPr>
          <w:rStyle w:val="VerbatimChar"/>
        </w:rPr>
        <w:t xml:space="preserve">ResolutionPassed</w:t>
      </w:r>
      <w:r>
        <w:t xml:space="preserve">.</w:t>
      </w:r>
    </w:p>
    <w:p>
      <w:pPr>
        <w:numPr>
          <w:ilvl w:val="0"/>
          <w:numId w:val="2109"/>
        </w:numPr>
        <w:pStyle w:val="Compact"/>
      </w:pPr>
      <w:r>
        <w:rPr>
          <w:bCs/>
          <w:b/>
        </w:rPr>
        <w:t xml:space="preserve">GV3:</w:t>
      </w:r>
      <w:r>
        <w:t xml:space="preserve"> </w:t>
      </w:r>
      <w:r>
        <w:t xml:space="preserve">registers generated from source events (MBP-2 excludes NBFC ordinary-course lending, s.186(11)); MCA form engine (AOC-4 NBFC (Ind AS) payload from Phase 13b, never XBRL for an NBFC; CHG-1, DIR-12, MGT-7, MGT-14) with SRN evidence; the integrated compliance calendar and quarterly Board compliance certificate.</w:t>
      </w:r>
    </w:p>
    <w:p>
      <w:pPr>
        <w:numPr>
          <w:ilvl w:val="0"/>
          <w:numId w:val="2109"/>
        </w:numPr>
        <w:pStyle w:val="Compact"/>
      </w:pPr>
      <w:r>
        <w:rPr>
          <w:bCs/>
          <w:b/>
        </w:rPr>
        <w:t xml:space="preserve">GV4 listed packs:</w:t>
      </w:r>
      <w:r>
        <w:t xml:space="preserve"> </w:t>
      </w:r>
      <w:r>
        <w:t xml:space="preserve">HVDLE detector; Reg 17–21 governance; RPT workflow with the Schedule XII slab formula, lending RPTs routed through the credit DoA and CRM para 13 recusal; the PIT structured digital database (append-only, hash-chained, external-UPSI lateness from two timestamps), designated persons, trading window and contra-trade checks; lender-side UPSI marking that adds viewers to the insider list and puts the issuer on the Part 7H restricted list; disclosure clocks from event timestamps.</w:t>
      </w:r>
    </w:p>
    <w:p>
      <w:pPr>
        <w:numPr>
          <w:ilvl w:val="0"/>
          <w:numId w:val="2109"/>
        </w:numPr>
        <w:pStyle w:val="Compact"/>
      </w:pPr>
      <w:r>
        <w:rPr>
          <w:bCs/>
          <w:b/>
        </w:rPr>
        <w:t xml:space="preserve">GV5:</w:t>
      </w:r>
      <w:r>
        <w:t xml:space="preserve"> </w:t>
      </w:r>
      <w:r>
        <w:t xml:space="preserve">departments and positions; one DoA service with enabling-resolution links, statutory caps (s.180(1)(c)), substitutes confined to the delegator’s band and no self-approval; tasks closed only on checker acceptance;</w:t>
      </w:r>
      <w:r>
        <w:t xml:space="preserve"> </w:t>
      </w:r>
      <w:r>
        <w:rPr>
          <w:rStyle w:val="VerbatimChar"/>
        </w:rPr>
        <w:t xml:space="preserve">TaskAssigned</w:t>
      </w:r>
      <w:r>
        <w:t xml:space="preserve">.</w:t>
      </w:r>
    </w:p>
    <w:p>
      <w:pPr>
        <w:numPr>
          <w:ilvl w:val="0"/>
          <w:numId w:val="2109"/>
        </w:numPr>
        <w:pStyle w:val="Compact"/>
      </w:pPr>
      <w:r>
        <w:rPr>
          <w:bCs/>
          <w:b/>
        </w:rPr>
        <w:t xml:space="preserve">GV6 (optional</w:t>
      </w:r>
      <w:r>
        <w:rPr>
          <w:bCs/>
          <w:b/>
        </w:rPr>
        <w:t xml:space="preserve"> </w:t>
      </w:r>
      <w:r>
        <w:rPr>
          <w:rStyle w:val="VerbatimChar"/>
          <w:bCs/>
          <w:b/>
        </w:rPr>
        <w:t xml:space="preserve">Workforce</w:t>
      </w:r>
      <w:r>
        <w:rPr>
          <w:bCs/>
          <w:b/>
        </w:rPr>
        <w:t xml:space="preserve"> </w:t>
      </w:r>
      <w:r>
        <w:rPr>
          <w:bCs/>
          <w:b/>
        </w:rPr>
        <w:t xml:space="preserve">SKU):</w:t>
      </w:r>
      <w:r>
        <w:t xml:space="preserve"> </w:t>
      </w:r>
      <w:r>
        <w:t xml:space="preserve">final wages within 2 working days of the last working day (CoW s.17(2)), never held for clearance; prohibited monitoring (keystrokes, screenshots, webcam, off-duty location, AI productivity scores) with no override; overtime only with consent, at 2×, capped at 144 hours a quarter; the payroll engine with the CoW s.2(y) 50% add-back, PF, ESI, State PT and LWF tables, s.392 TDS and the 50% deduction cap; no one approves a run containing his own pay line; payroll as a books sub-system under AC7; ghost-employee tests; the shared signed Labour Code rule pack also used by Operations Hub OH10.</w:t>
      </w:r>
    </w:p>
    <w:p>
      <w:pPr>
        <w:numPr>
          <w:ilvl w:val="0"/>
          <w:numId w:val="2109"/>
        </w:numPr>
        <w:pStyle w:val="Compact"/>
      </w:pPr>
      <w:r>
        <w:rPr>
          <w:bCs/>
          <w:b/>
        </w:rPr>
        <w:t xml:space="preserve">GV7:</w:t>
      </w:r>
      <w:r>
        <w:t xml:space="preserve"> </w:t>
      </w:r>
      <w:r>
        <w:rPr>
          <w:rStyle w:val="VerbatimChar"/>
        </w:rPr>
        <w:t xml:space="preserve">WorkplaceProvider</w:t>
      </w:r>
      <w:r>
        <w:t xml:space="preserve"> </w:t>
      </w:r>
      <w:r>
        <w:t xml:space="preserve">for Microsoft 365 and Google Workspace plus the data-centre agent; the residency matrix per data class (Google Workspace: personal data, books of account, returns, loan and HR data blocked with no override; Microsoft 365 only after Default Geography India attestation); SSO and SCIM (groups map to positions, never directly to privileged roles; deactivation within 15 minutes); optional mailbox provisioning; SharePoint</w:t>
      </w:r>
      <w:r>
        <w:t xml:space="preserve"> </w:t>
      </w:r>
      <w:r>
        <w:rPr>
          <w:rStyle w:val="VerbatimChar"/>
        </w:rPr>
        <w:t xml:space="preserve">Sites.Selected</w:t>
      </w:r>
      <w:r>
        <w:t xml:space="preserve">; Teams and Google Chat notices carrying only category, count and a deep link.</w:t>
      </w:r>
    </w:p>
    <w:p>
      <w:pPr>
        <w:numPr>
          <w:ilvl w:val="0"/>
          <w:numId w:val="2109"/>
        </w:numPr>
        <w:pStyle w:val="Compact"/>
      </w:pPr>
      <w:r>
        <w:rPr>
          <w:bCs/>
          <w:b/>
        </w:rPr>
        <w:t xml:space="preserve">Menus, screens and settings:</w:t>
      </w:r>
      <w:r>
        <w:t xml:space="preserve"> </w:t>
      </w:r>
      <w:r>
        <w:t xml:space="preserve">build workspaces S (Company Secretarial and Governance, including the board portal for directors and committee members), T (HR and Payroll) and the workplace-integration pages of workspace N exactly as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7F specify (navigation paths, list, detail, wizard, approval-queue and dashboard screens, actions, bulk actions, filters, exports, empty and error states, role visibility, and each setting with its scope, default and floor), and register every entry in Appendix G; prohibited monitoring never appears as a setting; statutory clocks can only be made stricter (a longer notice period, a shorter minutes, DIR-12 or final-wages timer).</w:t>
      </w:r>
    </w:p>
    <w:p>
      <w:pPr>
        <w:pStyle w:val="BlockText"/>
      </w:pPr>
      <w:r>
        <w:t xml:space="preserve">Governance, task and workforce events (</w:t>
      </w:r>
      <w:r>
        <w:rPr>
          <w:rStyle w:val="VerbatimChar"/>
        </w:rPr>
        <w:t xml:space="preserve">KmpChanged</w:t>
      </w:r>
      <w:r>
        <w:t xml:space="preserve">,</w:t>
      </w:r>
      <w:r>
        <w:t xml:space="preserve"> </w:t>
      </w:r>
      <w:r>
        <w:rPr>
          <w:rStyle w:val="VerbatimChar"/>
        </w:rPr>
        <w:t xml:space="preserve">ResolutionPassed</w:t>
      </w:r>
      <w:r>
        <w:t xml:space="preserve">,</w:t>
      </w:r>
      <w:r>
        <w:t xml:space="preserve"> </w:t>
      </w:r>
      <w:r>
        <w:rPr>
          <w:rStyle w:val="VerbatimChar"/>
        </w:rPr>
        <w:t xml:space="preserve">BoardMeetingScheduled</w:t>
      </w:r>
      <w:r>
        <w:t xml:space="preserve">,</w:t>
      </w:r>
      <w:r>
        <w:t xml:space="preserve"> </w:t>
      </w:r>
      <w:r>
        <w:rPr>
          <w:rStyle w:val="VerbatimChar"/>
        </w:rPr>
        <w:t xml:space="preserve">TaskAssigned</w:t>
      </w:r>
      <w:r>
        <w:t xml:space="preserve">,</w:t>
      </w:r>
      <w:r>
        <w:t xml:space="preserve"> </w:t>
      </w:r>
      <w:r>
        <w:rPr>
          <w:rStyle w:val="VerbatimChar"/>
        </w:rPr>
        <w:t xml:space="preserve">EmployeeOnboarded</w:t>
      </w:r>
      <w:r>
        <w:t xml:space="preserve">,</w:t>
      </w:r>
      <w:r>
        <w:t xml:space="preserve"> </w:t>
      </w:r>
      <w:r>
        <w:rPr>
          <w:rStyle w:val="VerbatimChar"/>
        </w:rPr>
        <w:t xml:space="preserve">EmployeeOffboarded</w:t>
      </w:r>
      <w:r>
        <w:t xml:space="preserve">,</w:t>
      </w:r>
      <w:r>
        <w:t xml:space="preserve"> </w:t>
      </w:r>
      <w:r>
        <w:rPr>
          <w:rStyle w:val="VerbatimChar"/>
        </w:rPr>
        <w:t xml:space="preserve">MailboxProvisioned</w:t>
      </w:r>
      <w:r>
        <w:t xml:space="preserve"> </w:t>
      </w:r>
      <w:r>
        <w:t xml:space="preserve">and</w:t>
      </w:r>
      <w:r>
        <w:t xml:space="preserve"> </w:t>
      </w:r>
      <w:r>
        <w:rPr>
          <w:rStyle w:val="VerbatimChar"/>
        </w:rPr>
        <w:t xml:space="preserve">AccessReviewCompleted</w:t>
      </w:r>
      <w:r>
        <w:t xml:space="preserve"> </w:t>
      </w:r>
      <w:r>
        <w:t xml:space="preserve">with</w:t>
      </w:r>
      <w:r>
        <w:t xml:space="preserve"> </w:t>
      </w:r>
      <w:r>
        <w:rPr>
          <w:rStyle w:val="VerbatimChar"/>
        </w:rPr>
        <w:t xml:space="preserve">review_scope</w:t>
      </w:r>
      <w:r>
        <w:t xml:space="preserve"> </w:t>
      </w:r>
      <w:r>
        <w:t xml:space="preserve">TENANT) go only to the tenant’s compliance destination (embedded M14 or LawDocsComply) and never reach the Operations Hub.</w:t>
      </w:r>
    </w:p>
    <w:p>
      <w:pPr>
        <w:pStyle w:val="BlockText"/>
      </w:pPr>
      <w:r>
        <w:t xml:space="preserve">Tests and acceptance evidence:</w:t>
      </w:r>
    </w:p>
    <w:p>
      <w:pPr>
        <w:numPr>
          <w:ilvl w:val="0"/>
          <w:numId w:val="2110"/>
        </w:numPr>
        <w:pStyle w:val="Compact"/>
      </w:pPr>
      <w:r>
        <w:t xml:space="preserve">an appointment changing 4 of 10 non-independent directors stays in RBI_GATE until the PRAVAAH approval is attached;</w:t>
      </w:r>
    </w:p>
    <w:p>
      <w:pPr>
        <w:numPr>
          <w:ilvl w:val="0"/>
          <w:numId w:val="2110"/>
        </w:numPr>
        <w:pStyle w:val="Compact"/>
      </w:pPr>
      <w:r>
        <w:t xml:space="preserve">a Board meeting on 6 days’ notice is blocked unless urgent; quorum is recomputed for an item with a recusal;</w:t>
      </w:r>
    </w:p>
    <w:p>
      <w:pPr>
        <w:numPr>
          <w:ilvl w:val="0"/>
          <w:numId w:val="2110"/>
        </w:numPr>
        <w:pStyle w:val="Compact"/>
      </w:pPr>
      <w:r>
        <w:t xml:space="preserve">turnover of ₹30,000 crore gives an RPT threshold of ₹2,500 crore; ₹1,00,000 crore caps at ₹5,000 crore;</w:t>
      </w:r>
    </w:p>
    <w:p>
      <w:pPr>
        <w:numPr>
          <w:ilvl w:val="0"/>
          <w:numId w:val="2110"/>
        </w:numPr>
        <w:pStyle w:val="Compact"/>
      </w:pPr>
      <w:r>
        <w:t xml:space="preserve">external UPSI entered 3 days after receipt is flagged late; opening a listed borrower’s restructuring file adds the viewer to the insider list and the issuer to the 7H restricted list;</w:t>
      </w:r>
    </w:p>
    <w:p>
      <w:pPr>
        <w:numPr>
          <w:ilvl w:val="0"/>
          <w:numId w:val="2110"/>
        </w:numPr>
        <w:pStyle w:val="Compact"/>
      </w:pPr>
      <w:r>
        <w:t xml:space="preserve">₹76,000 remuneration with ₹40,000 allowances and ₹20,000 basic plus DA gives CoW wages of ₹22,000; a last working day of Friday 4 Dec 2026 sets final wages by Tuesday 8 Dec 2026; a notice-pay deduction fails</w:t>
      </w:r>
      <w:r>
        <w:t xml:space="preserve"> </w:t>
      </w:r>
      <w:r>
        <w:rPr>
          <w:rStyle w:val="VerbatimChar"/>
        </w:rPr>
        <w:t xml:space="preserve">not_permitted_deduction_s18</w:t>
      </w:r>
      <w:r>
        <w:t xml:space="preserve">;</w:t>
      </w:r>
    </w:p>
    <w:p>
      <w:pPr>
        <w:numPr>
          <w:ilvl w:val="0"/>
          <w:numId w:val="2110"/>
        </w:numPr>
        <w:pStyle w:val="Compact"/>
      </w:pPr>
      <w:r>
        <w:t xml:space="preserve">no API enables screenshots (</w:t>
      </w:r>
      <w:r>
        <w:rPr>
          <w:rStyle w:val="VerbatimChar"/>
        </w:rPr>
        <w:t xml:space="preserve">prohibited_monitoring</w:t>
      </w:r>
      <w:r>
        <w:t xml:space="preserve">); a Google Workspace target receiving Loans or payroll data fails</w:t>
      </w:r>
      <w:r>
        <w:t xml:space="preserve"> </w:t>
      </w:r>
      <w:r>
        <w:rPr>
          <w:rStyle w:val="VerbatimChar"/>
        </w:rPr>
        <w:t xml:space="preserve">residency_blocked_borrower_data</w:t>
      </w:r>
      <w:r>
        <w:t xml:space="preserve">;</w:t>
      </w:r>
    </w:p>
    <w:p>
      <w:pPr>
        <w:numPr>
          <w:ilvl w:val="0"/>
          <w:numId w:val="2110"/>
        </w:numPr>
        <w:pStyle w:val="Compact"/>
      </w:pPr>
      <w:r>
        <w:t xml:space="preserve">CI fails if a notification payload or</w:t>
      </w:r>
      <w:r>
        <w:t xml:space="preserve"> </w:t>
      </w:r>
      <w:r>
        <w:rPr>
          <w:rStyle w:val="VerbatimChar"/>
        </w:rPr>
        <w:t xml:space="preserve">KmpChanged</w:t>
      </w:r>
      <w:r>
        <w:t xml:space="preserve"> </w:t>
      </w:r>
      <w:r>
        <w:t xml:space="preserve">contains PAN, account-number or amount patterns;</w:t>
      </w:r>
    </w:p>
    <w:p>
      <w:pPr>
        <w:numPr>
          <w:ilvl w:val="0"/>
          <w:numId w:val="2110"/>
        </w:numPr>
        <w:pStyle w:val="Compact"/>
      </w:pPr>
      <w:r>
        <w:t xml:space="preserve">a navigation test walks each role through the Appendix G entries for this phase and finds every screen, action and setting with the stated visibility and nothing more; the settings catalogue contains no screenshot, keystroke, webcam or off-duty location option, and a Board-meeting notice period set below 7 days fails</w:t>
      </w:r>
      <w:r>
        <w:t xml:space="preserve"> </w:t>
      </w:r>
      <w:r>
        <w:rPr>
          <w:rStyle w:val="VerbatimChar"/>
        </w:rPr>
        <w:t xml:space="preserve">floor_violation</w:t>
      </w:r>
      <w:r>
        <w:t xml:space="preserve">.</w:t>
      </w:r>
    </w:p>
    <w:p>
      <w:pPr>
        <w:pStyle w:val="BlockText"/>
      </w:pPr>
      <w:r>
        <w:t xml:space="preserve">Show me the threshold and SS-1/SS-2 rule packs with verification status, the appointment and meeting state machines, the RPT and PIT designs, the payroll formula pack and the workplace residency matrix, with the menu tree and settings catalogue of this phase (Appendix G), for approval before coding.”</w:t>
      </w:r>
    </w:p>
    <w:bookmarkEnd w:id="876"/>
    <w:bookmarkStart w:id="877" w:name="X9ba12bc57f4bca28165b38b76fed7e320aa1b90"/>
    <w:p>
      <w:pPr>
        <w:pStyle w:val="Heading3"/>
      </w:pPr>
      <w:r>
        <w:t xml:space="preserve">Phase 16e — Plans, entitlements, billing and payments</w:t>
      </w:r>
    </w:p>
    <w:p>
      <w:pPr>
        <w:pStyle w:val="BlockText"/>
      </w:pPr>
      <w:r>
        <w:rPr>
          <w:bCs/>
          <w:b/>
        </w:rPr>
        <w:t xml:space="preserve">Instruction to Claude:</w:t>
      </w:r>
      <w:r>
        <w:t xml:space="preserve"> </w:t>
      </w:r>
      <w:r>
        <w:t xml:space="preserve">“This phase needs</w:t>
      </w:r>
      <w:r>
        <w:t xml:space="preserve"> </w:t>
      </w:r>
      <w:r>
        <w:rPr>
          <w:bCs/>
          <w:b/>
        </w:rPr>
        <w:t xml:space="preserve">Operations Hub phase O6</w:t>
      </w:r>
      <w:r>
        <w:t xml:space="preserve"> </w:t>
      </w:r>
      <w:r>
        <w:t xml:space="preserve">(revenue catalogue, billing and Razorpay) live at least in staging. The Hub owns the catalogue, prices, invoices, the Razorpay account and webhook secrets, and revenue accounting (OH8); Finbyx owns the tenant pages, server-side entitlement enforcement, metering at source and the regulatory-continuity rules. Before writing the specification, verify: (i) the Hub catalogue schema, signing key and billing API version, and the Integration Spec v1.1 billing events (</w:t>
      </w:r>
      <w:r>
        <w:rPr>
          <w:rStyle w:val="VerbatimChar"/>
        </w:rPr>
        <w:t xml:space="preserve">PlanChanged</w:t>
      </w:r>
      <w:r>
        <w:t xml:space="preserve">,</w:t>
      </w:r>
      <w:r>
        <w:t xml:space="preserve"> </w:t>
      </w:r>
      <w:r>
        <w:rPr>
          <w:rStyle w:val="VerbatimChar"/>
        </w:rPr>
        <w:t xml:space="preserve">EntitlementChanged</w:t>
      </w:r>
      <w:r>
        <w:t xml:space="preserve">,</w:t>
      </w:r>
      <w:r>
        <w:t xml:space="preserve"> </w:t>
      </w:r>
      <w:r>
        <w:rPr>
          <w:rStyle w:val="VerbatimChar"/>
        </w:rPr>
        <w:t xml:space="preserve">UsageRecorded</w:t>
      </w:r>
      <w:r>
        <w:t xml:space="preserve">,</w:t>
      </w:r>
      <w:r>
        <w:t xml:space="preserve"> </w:t>
      </w:r>
      <w:r>
        <w:rPr>
          <w:rStyle w:val="VerbatimChar"/>
        </w:rPr>
        <w:t xml:space="preserve">InvoiceIssued</w:t>
      </w:r>
      <w:r>
        <w:t xml:space="preserve">,</w:t>
      </w:r>
      <w:r>
        <w:t xml:space="preserve"> </w:t>
      </w:r>
      <w:r>
        <w:rPr>
          <w:rStyle w:val="VerbatimChar"/>
        </w:rPr>
        <w:t xml:space="preserve">SubscriptionPaymentReceived</w:t>
      </w:r>
      <w:r>
        <w:t xml:space="preserve">,</w:t>
      </w:r>
      <w:r>
        <w:t xml:space="preserve"> </w:t>
      </w:r>
      <w:r>
        <w:rPr>
          <w:rStyle w:val="VerbatimChar"/>
        </w:rPr>
        <w:t xml:space="preserve">SubscriptionPaymentFailed</w:t>
      </w:r>
      <w:r>
        <w:t xml:space="preserve">,</w:t>
      </w:r>
      <w:r>
        <w:t xml:space="preserve"> </w:t>
      </w:r>
      <w:r>
        <w:rPr>
          <w:rStyle w:val="VerbatimChar"/>
        </w:rPr>
        <w:t xml:space="preserve">SubscriptionCancelled</w:t>
      </w:r>
      <w:r>
        <w:t xml:space="preserve">); (ii) the RBI E-mandate Directions 2026 (RBI/DPSS/2026-27/396, 21 Apr 2026: AFA at registration, ₹15,000 ceiling for debits without AFA, pre-debit notice at least 24 hours before, mandatory validity, no charge to the customer), the Payment Aggregator Directions 2025 and Razorpay’s current PA authorisation and PCI DSS AoC; (iii) PCI DSS v4.0.1 SAQ A (revised 31 Jan 2025) for a redirect-only design; (iv) the owner decisions on the merchant-of-record entity, plan tiers and SKUs (Appendix B). Then build Part 7K:</w:t>
      </w:r>
    </w:p>
    <w:p>
      <w:pPr>
        <w:numPr>
          <w:ilvl w:val="0"/>
          <w:numId w:val="2111"/>
        </w:numPr>
        <w:pStyle w:val="Compact"/>
      </w:pPr>
      <w:r>
        <w:rPr>
          <w:bCs/>
          <w:b/>
        </w:rPr>
        <w:t xml:space="preserve">CM1 entitlements:</w:t>
      </w:r>
      <w:r>
        <w:t xml:space="preserve"> </w:t>
      </w:r>
      <w:r>
        <w:t xml:space="preserve">fetch the signed catalogue, verify its JWS against the pinned Hub key and its schema, store it read-only, and keep the previous version live on failure; every SKU maps to modules whose</w:t>
      </w:r>
      <w:r>
        <w:t xml:space="preserve"> </w:t>
      </w:r>
      <w:r>
        <w:rPr>
          <w:rStyle w:val="VerbatimChar"/>
        </w:rPr>
        <w:t xml:space="preserve">module.yaml</w:t>
      </w:r>
      <w:r>
        <w:t xml:space="preserve"> </w:t>
      </w:r>
      <w:r>
        <w:t xml:space="preserve">carries</w:t>
      </w:r>
      <w:r>
        <w:t xml:space="preserve"> </w:t>
      </w:r>
      <w:r>
        <w:rPr>
          <w:rStyle w:val="VerbatimChar"/>
        </w:rPr>
        <w:t xml:space="preserve">licence_sku</w:t>
      </w:r>
      <w:r>
        <w:t xml:space="preserve">; entitlements come only from the Hub; capacity, rate and environment limits with hard, soft or informational behaviour; server-side checks on every API call, workflow step, worker and UI slot returning</w:t>
      </w:r>
      <w:r>
        <w:t xml:space="preserve"> </w:t>
      </w:r>
      <w:r>
        <w:rPr>
          <w:rStyle w:val="VerbatimChar"/>
        </w:rPr>
        <w:t xml:space="preserve">not_entitled</w:t>
      </w:r>
      <w:r>
        <w:t xml:space="preserve">,</w:t>
      </w:r>
      <w:r>
        <w:t xml:space="preserve"> </w:t>
      </w:r>
      <w:r>
        <w:rPr>
          <w:rStyle w:val="VerbatimChar"/>
        </w:rPr>
        <w:t xml:space="preserve">limit_reached</w:t>
      </w:r>
      <w:r>
        <w:t xml:space="preserve">,</w:t>
      </w:r>
      <w:r>
        <w:t xml:space="preserve"> </w:t>
      </w:r>
      <w:r>
        <w:rPr>
          <w:rStyle w:val="VerbatimChar"/>
        </w:rPr>
        <w:t xml:space="preserve">not_enabled</w:t>
      </w:r>
      <w:r>
        <w:t xml:space="preserve">,</w:t>
      </w:r>
      <w:r>
        <w:t xml:space="preserve"> </w:t>
      </w:r>
      <w:r>
        <w:rPr>
          <w:rStyle w:val="VerbatimChar"/>
        </w:rPr>
        <w:t xml:space="preserve">dependency_missing</w:t>
      </w:r>
      <w:r>
        <w:t xml:space="preserve"> </w:t>
      </w:r>
      <w:r>
        <w:t xml:space="preserve">or</w:t>
      </w:r>
      <w:r>
        <w:t xml:space="preserve"> </w:t>
      </w:r>
      <w:r>
        <w:rPr>
          <w:rStyle w:val="VerbatimChar"/>
        </w:rPr>
        <w:t xml:space="preserve">read_only</w:t>
      </w:r>
      <w:r>
        <w:t xml:space="preserve">; tenant flags only narrow; downgrades go through the Part 7A.0.5 detach workflow; a signed offline licence file for dedicated deployments; the last valid entitlement kept 30 days if the Hub is unreachable;</w:t>
      </w:r>
      <w:r>
        <w:t xml:space="preserve"> </w:t>
      </w:r>
      <w:r>
        <w:rPr>
          <w:bCs/>
          <w:b/>
        </w:rPr>
        <w:t xml:space="preserve">no kill switch and no remote deletion</w:t>
      </w:r>
      <w:r>
        <w:t xml:space="preserve">.</w:t>
      </w:r>
    </w:p>
    <w:p>
      <w:pPr>
        <w:numPr>
          <w:ilvl w:val="0"/>
          <w:numId w:val="2111"/>
        </w:numPr>
        <w:pStyle w:val="Compact"/>
      </w:pPr>
      <w:r>
        <w:rPr>
          <w:bCs/>
          <w:b/>
        </w:rPr>
        <w:t xml:space="preserve">CM1.4 regulatory-continuity guard-rail:</w:t>
      </w:r>
      <w:r>
        <w:t xml:space="preserve"> </w:t>
      </w:r>
      <w:r>
        <w:t xml:space="preserve">no commercial state stops COB, accruals, classification, provisioning, close, already-sanctioned disbursement, servicing, receipts, refunds, document release, CIC files, returns, FIU-IND and incident notices, grievance and RB-IOS workflows, borrower statements, contact-policy controls, the audit trail, read access, export, or auditor and supervisor access; hard limits apply only to new non-regulated units.</w:t>
      </w:r>
    </w:p>
    <w:p>
      <w:pPr>
        <w:numPr>
          <w:ilvl w:val="0"/>
          <w:numId w:val="2111"/>
        </w:numPr>
        <w:pStyle w:val="Compact"/>
      </w:pPr>
      <w:r>
        <w:rPr>
          <w:bCs/>
          <w:b/>
        </w:rPr>
        <w:t xml:space="preserve">CM2 pages:</w:t>
      </w:r>
      <w:r>
        <w:t xml:space="preserve"> </w:t>
      </w:r>
      <w:r>
        <w:t xml:space="preserve">the CM2.2 menu</w:t>
      </w:r>
      <w:r>
        <w:t xml:space="preserve"> </w:t>
      </w:r>
      <w:r>
        <w:rPr>
          <w:rStyle w:val="VerbatimChar"/>
        </w:rPr>
        <w:t xml:space="preserve">Settings › Plan and billing</w:t>
      </w:r>
      <w:r>
        <w:t xml:space="preserve"> </w:t>
      </w:r>
      <w:r>
        <w:t xml:space="preserve">(Overview, Compare plans, Add-ons, Usage with dispute, Invoices, Payment methods and mandates on hosted pages only, Billing contacts, Cancel or downgrade) and</w:t>
      </w:r>
      <w:r>
        <w:t xml:space="preserve"> </w:t>
      </w:r>
      <w:r>
        <w:rPr>
          <w:rStyle w:val="VerbatimChar"/>
        </w:rPr>
        <w:t xml:space="preserve">Settings › Users and roles › Seats</w:t>
      </w:r>
      <w:r>
        <w:t xml:space="preserve">; the CM2.4 plan-change workflow (DRAFT → PREVIEWED → SUBMITTED → APPROVED → ORDERED → SCHEDULED → EFFECTIVE) with a Hub-priced proration preview, the entitlement diff, a second approver for increases above threshold and every downgrade, and entitlements changed only on the signed</w:t>
      </w:r>
      <w:r>
        <w:t xml:space="preserve"> </w:t>
      </w:r>
      <w:r>
        <w:rPr>
          <w:rStyle w:val="VerbatimChar"/>
        </w:rPr>
        <w:t xml:space="preserve">EntitlementChanged</w:t>
      </w:r>
      <w:r>
        <w:t xml:space="preserve">;</w:t>
      </w:r>
      <w:r>
        <w:t xml:space="preserve"> </w:t>
      </w:r>
      <w:r>
        <w:rPr>
          <w:rStyle w:val="VerbatimChar"/>
        </w:rPr>
        <w:t xml:space="preserve">billing_admin</w:t>
      </w:r>
      <w:r>
        <w:t xml:space="preserve"> </w:t>
      </w:r>
      <w:r>
        <w:t xml:space="preserve">(MFA on every change),</w:t>
      </w:r>
      <w:r>
        <w:t xml:space="preserve"> </w:t>
      </w:r>
      <w:r>
        <w:rPr>
          <w:rStyle w:val="VerbatimChar"/>
        </w:rPr>
        <w:t xml:space="preserve">billing_viewer</w:t>
      </w:r>
      <w:r>
        <w:t xml:space="preserve"> </w:t>
      </w:r>
      <w:r>
        <w:t xml:space="preserve">and</w:t>
      </w:r>
      <w:r>
        <w:t xml:space="preserve"> </w:t>
      </w:r>
      <w:r>
        <w:rPr>
          <w:rStyle w:val="VerbatimChar"/>
        </w:rPr>
        <w:t xml:space="preserve">tenant_admin</w:t>
      </w:r>
      <w:r>
        <w:t xml:space="preserve">; plain-language explainers from the catalogue, with a downgrade explainer on every item; a CI content check rejecting</w:t>
      </w:r>
      <w:r>
        <w:t xml:space="preserve"> </w:t>
      </w:r>
      <w:r>
        <w:t xml:space="preserve">‘</w:t>
      </w:r>
      <w:r>
        <w:t xml:space="preserve">guarantees compliance</w:t>
      </w:r>
      <w:r>
        <w:t xml:space="preserve">’</w:t>
      </w:r>
      <w:r>
        <w:t xml:space="preserve"> </w:t>
      </w:r>
      <w:r>
        <w:t xml:space="preserve">or any certification claim without an EO5 issued-report or certificate record (the EO5 claims register is created empty in this phase and completed in Phase 20b); no dark patterns; cancellation no harder than purchase.</w:t>
      </w:r>
    </w:p>
    <w:p>
      <w:pPr>
        <w:numPr>
          <w:ilvl w:val="0"/>
          <w:numId w:val="2111"/>
        </w:numPr>
        <w:pStyle w:val="Compact"/>
      </w:pPr>
      <w:r>
        <w:rPr>
          <w:bCs/>
          <w:b/>
        </w:rPr>
        <w:t xml:space="preserve">CM3 metering:</w:t>
      </w:r>
      <w:r>
        <w:t xml:space="preserve"> </w:t>
      </w:r>
      <w:r>
        <w:rPr>
          <w:rStyle w:val="VerbatimChar"/>
        </w:rPr>
        <w:t xml:space="preserve">active_loans</w:t>
      </w:r>
      <w:r>
        <w:t xml:space="preserve">,</w:t>
      </w:r>
      <w:r>
        <w:t xml:space="preserve"> </w:t>
      </w:r>
      <w:r>
        <w:rPr>
          <w:rStyle w:val="VerbatimChar"/>
        </w:rPr>
        <w:t xml:space="preserve">aum_band</w:t>
      </w:r>
      <w:r>
        <w:t xml:space="preserve"> </w:t>
      </w:r>
      <w:r>
        <w:t xml:space="preserve">(own share only for co-lent loans), users, branches,</w:t>
      </w:r>
      <w:r>
        <w:t xml:space="preserve"> </w:t>
      </w:r>
      <w:r>
        <w:rPr>
          <w:rStyle w:val="VerbatimChar"/>
        </w:rPr>
        <w:t xml:space="preserve">regulatory_runs</w:t>
      </w:r>
      <w:r>
        <w:t xml:space="preserve"> </w:t>
      </w:r>
      <w:r>
        <w:t xml:space="preserve">(re-runs not billed),</w:t>
      </w:r>
      <w:r>
        <w:t xml:space="preserve"> </w:t>
      </w:r>
      <w:r>
        <w:rPr>
          <w:rStyle w:val="VerbatimChar"/>
        </w:rPr>
        <w:t xml:space="preserve">api_calls</w:t>
      </w:r>
      <w:r>
        <w:t xml:space="preserve">,</w:t>
      </w:r>
      <w:r>
        <w:t xml:space="preserve"> </w:t>
      </w:r>
      <w:r>
        <w:rPr>
          <w:rStyle w:val="VerbatimChar"/>
        </w:rPr>
        <w:t xml:space="preserve">storage_gb</w:t>
      </w:r>
      <w:r>
        <w:t xml:space="preserve"> </w:t>
      </w:r>
      <w:r>
        <w:t xml:space="preserve">and pass-through meters, computed from ledgers, idempotent on</w:t>
      </w:r>
      <w:r>
        <w:t xml:space="preserve"> </w:t>
      </w:r>
      <w:r>
        <w:rPr>
          <w:rStyle w:val="VerbatimChar"/>
        </w:rPr>
        <w:t xml:space="preserve">(tenant, meter, source_ref, period)</w:t>
      </w:r>
      <w:r>
        <w:t xml:space="preserve"> </w:t>
      </w:r>
      <w:r>
        <w:t xml:space="preserve">and reconciled nightly;</w:t>
      </w:r>
      <w:r>
        <w:t xml:space="preserve"> </w:t>
      </w:r>
      <w:r>
        <w:rPr>
          <w:rStyle w:val="VerbatimChar"/>
        </w:rPr>
        <w:t xml:space="preserve">UsageRecorded</w:t>
      </w:r>
      <w:r>
        <w:t xml:space="preserve"> </w:t>
      </w:r>
      <w:r>
        <w:t xml:space="preserve">carries aggregates and a statement hash only, never a loan, borrower, member or user identifier; a 7-day dispute window; no meter priced per recovered rupee, notice or connected call.</w:t>
      </w:r>
    </w:p>
    <w:p>
      <w:pPr>
        <w:numPr>
          <w:ilvl w:val="0"/>
          <w:numId w:val="2111"/>
        </w:numPr>
        <w:pStyle w:val="Compact"/>
      </w:pPr>
      <w:r>
        <w:rPr>
          <w:bCs/>
          <w:b/>
        </w:rPr>
        <w:t xml:space="preserve">CM4 payments:</w:t>
      </w:r>
      <w:r>
        <w:t xml:space="preserve"> </w:t>
      </w:r>
      <w:r>
        <w:t xml:space="preserve">redirect or payment links only, with no Razorpay script on Finbyx pages, plus CSP and a script inventory; Finbyx holds no Razorpay keys and never treats a browser return as proof of payment; strict separation from tenant loan-money rails (M7; CF paras 10(1)–(3)); recurring debits above ₹15,000 go to eNACH or bank transfer; a T−48-hour courtesy notice; GST invoices and TDS certificate upload; dunning ACTIVE → PAST_DUE → RETRY → GRACE → RESTRICTED (D+30 after 7 days’ notice) → TERMINATION_NOTICE (D+45) → EXIT (Part 7J DP5), never a hard cancel.</w:t>
      </w:r>
    </w:p>
    <w:p>
      <w:pPr>
        <w:numPr>
          <w:ilvl w:val="0"/>
          <w:numId w:val="2111"/>
        </w:numPr>
        <w:pStyle w:val="Compact"/>
      </w:pPr>
      <w:r>
        <w:rPr>
          <w:bCs/>
          <w:b/>
        </w:rPr>
        <w:t xml:space="preserve">CM5 revenue streams:</w:t>
      </w:r>
      <w:r>
        <w:t xml:space="preserve"> </w:t>
      </w:r>
      <w:r>
        <w:t xml:space="preserve">read</w:t>
      </w:r>
      <w:r>
        <w:t xml:space="preserve"> </w:t>
      </w:r>
      <w:r>
        <w:rPr>
          <w:rStyle w:val="VerbatimChar"/>
        </w:rPr>
        <w:t xml:space="preserve">revenue_stream_flags</w:t>
      </w:r>
      <w:r>
        <w:t xml:space="preserve">; show a purchase option only if its stream has an approved legality-gate record; the vendor-announcements panel never appears inside lending workflows or borrower surfaces; sandbox self-serve rejects PAN- or Aadhaar-like uploads; a production tenant only after a signed MSA, DPA and customer due diligence. No fee from borrowers, no data monetisation, no paid ranking.</w:t>
      </w:r>
    </w:p>
    <w:p>
      <w:pPr>
        <w:numPr>
          <w:ilvl w:val="0"/>
          <w:numId w:val="2111"/>
        </w:numPr>
        <w:pStyle w:val="Compact"/>
      </w:pPr>
      <w:r>
        <w:rPr>
          <w:bCs/>
          <w:b/>
        </w:rPr>
        <w:t xml:space="preserve">Menus, screens and settings:</w:t>
      </w:r>
      <w:r>
        <w:t xml:space="preserve"> </w:t>
      </w:r>
      <w:r>
        <w:t xml:space="preserve">build workspace N (Tenant Administration: Plans, billing and membership) exactly as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7K specify (navigation paths, list, detail, wizard, approval-queue and dashboard screens, actions, bulk actions, filters, exports, empty and error states, role visibility, and each setting with its scope, default and floor), and register every entry in Appendix G; downgrade, cancellation and exit are reachable in no more steps than purchase, and every plan item links to its plain-language explainer.</w:t>
      </w:r>
    </w:p>
    <w:p>
      <w:pPr>
        <w:pStyle w:val="BlockText"/>
      </w:pPr>
      <w:r>
        <w:t xml:space="preserve">Tests and acceptance evidence:</w:t>
      </w:r>
    </w:p>
    <w:p>
      <w:pPr>
        <w:numPr>
          <w:ilvl w:val="0"/>
          <w:numId w:val="2112"/>
        </w:numPr>
        <w:pStyle w:val="Compact"/>
      </w:pPr>
      <w:r>
        <w:t xml:space="preserve">a catalogue signed with an unknown key is rejected and the previous version stays live; a SKU naming an unknown module fails import;</w:t>
      </w:r>
    </w:p>
    <w:p>
      <w:pPr>
        <w:numPr>
          <w:ilvl w:val="0"/>
          <w:numId w:val="2112"/>
        </w:numPr>
        <w:pStyle w:val="Compact"/>
      </w:pPr>
      <w:r>
        <w:t xml:space="preserve">a tenant without the Investments SKU gets</w:t>
      </w:r>
      <w:r>
        <w:t xml:space="preserve"> </w:t>
      </w:r>
      <w:r>
        <w:rPr>
          <w:rStyle w:val="VerbatimChar"/>
        </w:rPr>
        <w:t xml:space="preserve">403 not_entitled</w:t>
      </w:r>
      <w:r>
        <w:t xml:space="preserve"> </w:t>
      </w:r>
      <w:r>
        <w:t xml:space="preserve">on every Part 7H API even with the tenant flag on;</w:t>
      </w:r>
    </w:p>
    <w:p>
      <w:pPr>
        <w:numPr>
          <w:ilvl w:val="0"/>
          <w:numId w:val="2112"/>
        </w:numPr>
        <w:pStyle w:val="Compact"/>
      </w:pPr>
      <w:r>
        <w:t xml:space="preserve">an expired subscription with an overdue invoice still runs COB, files the CIC file due on the 16th and lets a borrower download a statement; a RESTRICTED tenant still disburses a sanctioned loan but cannot create a user;</w:t>
      </w:r>
    </w:p>
    <w:p>
      <w:pPr>
        <w:numPr>
          <w:ilvl w:val="0"/>
          <w:numId w:val="2112"/>
        </w:numPr>
        <w:pStyle w:val="Compact"/>
      </w:pPr>
      <w:r>
        <w:t xml:space="preserve">replaying a disbursement event three times yields one usage record;</w:t>
      </w:r>
      <w:r>
        <w:t xml:space="preserve"> </w:t>
      </w:r>
      <w:r>
        <w:rPr>
          <w:rStyle w:val="VerbatimChar"/>
        </w:rPr>
        <w:t xml:space="preserve">UsageRecorded</w:t>
      </w:r>
      <w:r>
        <w:t xml:space="preserve"> </w:t>
      </w:r>
      <w:r>
        <w:t xml:space="preserve">passes the schema test forbidding identifiers;</w:t>
      </w:r>
    </w:p>
    <w:p>
      <w:pPr>
        <w:numPr>
          <w:ilvl w:val="0"/>
          <w:numId w:val="2112"/>
        </w:numPr>
        <w:pStyle w:val="Compact"/>
      </w:pPr>
      <w:r>
        <w:t xml:space="preserve">the billing page HTML contains no third-party script; a</w:t>
      </w:r>
      <w:r>
        <w:t xml:space="preserve"> </w:t>
      </w:r>
      <w:r>
        <w:t xml:space="preserve">‘</w:t>
      </w:r>
      <w:r>
        <w:t xml:space="preserve">success</w:t>
      </w:r>
      <w:r>
        <w:t xml:space="preserve">’</w:t>
      </w:r>
      <w:r>
        <w:t xml:space="preserve"> </w:t>
      </w:r>
      <w:r>
        <w:t xml:space="preserve">redirect without Hub confirmation leaves the invoice unpaid;</w:t>
      </w:r>
    </w:p>
    <w:p>
      <w:pPr>
        <w:numPr>
          <w:ilvl w:val="0"/>
          <w:numId w:val="2112"/>
        </w:numPr>
        <w:pStyle w:val="Compact"/>
      </w:pPr>
      <w:r>
        <w:t xml:space="preserve">an ₹18,000 recurring card debit is not set up as a no-AFA mandate;</w:t>
      </w:r>
    </w:p>
    <w:p>
      <w:pPr>
        <w:numPr>
          <w:ilvl w:val="0"/>
          <w:numId w:val="2112"/>
        </w:numPr>
        <w:pStyle w:val="Compact"/>
      </w:pPr>
      <w:r>
        <w:t xml:space="preserve">an explainer claiming</w:t>
      </w:r>
      <w:r>
        <w:t xml:space="preserve"> </w:t>
      </w:r>
      <w:r>
        <w:t xml:space="preserve">‘</w:t>
      </w:r>
      <w:r>
        <w:t xml:space="preserve">certified</w:t>
      </w:r>
      <w:r>
        <w:t xml:space="preserve">’</w:t>
      </w:r>
      <w:r>
        <w:t xml:space="preserve"> </w:t>
      </w:r>
      <w:r>
        <w:t xml:space="preserve">without an EO5 record fails CI;</w:t>
      </w:r>
    </w:p>
    <w:p>
      <w:pPr>
        <w:numPr>
          <w:ilvl w:val="0"/>
          <w:numId w:val="2112"/>
        </w:numPr>
        <w:pStyle w:val="Compact"/>
      </w:pPr>
      <w:r>
        <w:t xml:space="preserve">a navigation test walks each role through the Appendix G entries for this phase and finds every screen, action and setting with the stated visibility and nothing more; the cancellation path has no more steps than the purchase path.</w:t>
      </w:r>
    </w:p>
    <w:p>
      <w:pPr>
        <w:pStyle w:val="BlockText"/>
      </w:pPr>
      <w:r>
        <w:t xml:space="preserve">Show me the SKU-to-module map, the entitlement check matrix, the regulatory-continuity list written as tests, the meter definitions and the dunning timeline, with the menu tree and settings catalogue of this phase (Appendix G), for approval before coding.”</w:t>
      </w:r>
    </w:p>
    <w:bookmarkEnd w:id="877"/>
    <w:bookmarkStart w:id="878" w:name="phase-17-secured-products-expansion"/>
    <w:p>
      <w:pPr>
        <w:pStyle w:val="Heading3"/>
      </w:pPr>
      <w:r>
        <w:t xml:space="preserve">Phase 17 — Secured products expansion</w:t>
      </w:r>
    </w:p>
    <w:p>
      <w:pPr>
        <w:pStyle w:val="BlockText"/>
      </w:pPr>
      <w:r>
        <w:rPr>
          <w:bCs/>
          <w:b/>
        </w:rPr>
        <w:t xml:space="preserve">Instruction to Claude:</w:t>
      </w:r>
      <w:r>
        <w:t xml:space="preserve"> </w:t>
      </w:r>
      <w:r>
        <w:t xml:space="preserve">“For each secured product (LAP/Home, Vehicle, Gold, LAS/LAMF):</w:t>
      </w:r>
    </w:p>
    <w:p>
      <w:pPr>
        <w:numPr>
          <w:ilvl w:val="0"/>
          <w:numId w:val="2113"/>
        </w:numPr>
        <w:pStyle w:val="Compact"/>
      </w:pPr>
      <w:r>
        <w:t xml:space="preserve">produce the product spec and feasibility notes;</w:t>
      </w:r>
    </w:p>
    <w:p>
      <w:pPr>
        <w:numPr>
          <w:ilvl w:val="0"/>
          <w:numId w:val="2113"/>
        </w:numPr>
        <w:pStyle w:val="Compact"/>
      </w:pPr>
      <w:r>
        <w:t xml:space="preserve">implement the collateral workflows (M5), integrations and regulatory checks;</w:t>
      </w:r>
    </w:p>
    <w:p>
      <w:pPr>
        <w:numPr>
          <w:ilvl w:val="0"/>
          <w:numId w:val="2113"/>
        </w:numPr>
        <w:pStyle w:val="Compact"/>
      </w:pPr>
      <w:r>
        <w:t xml:space="preserve">build the collateral-side rules these products need before enforcement: gold release, compensation and unclaimed-collateral rules (RBC paras 58, 69, 71–72), the vehicle repossession clause contents in the agreement template (RBC paras 26–27), and the LAS/LAMF margin engine (Part 6.4), publishing the collateral events through the Phase 16b hub (Integration Spec Parts 6.5 and 7.3). SARFAESI, repossession, auctions, pledge invocation and sale are built in Phase 17b.”</w:t>
      </w:r>
    </w:p>
    <w:bookmarkEnd w:id="878"/>
    <w:bookmarkStart w:id="879" w:name="X06a6a059c1a7b32db1d65ad291f5f7d119d6eb8"/>
    <w:p>
      <w:pPr>
        <w:pStyle w:val="Heading3"/>
      </w:pPr>
      <w:r>
        <w:t xml:space="preserve">Phase 17b — Secured enforcement and shared-exposure recovery</w:t>
      </w:r>
    </w:p>
    <w:p>
      <w:pPr>
        <w:pStyle w:val="BlockText"/>
      </w:pPr>
      <w:r>
        <w:rPr>
          <w:bCs/>
          <w:b/>
        </w:rPr>
        <w:t xml:space="preserve">Instruction to Claude:</w:t>
      </w:r>
      <w:r>
        <w:t xml:space="preserve"> </w:t>
      </w:r>
      <w:r>
        <w:t xml:space="preserve">“Before writing the specification, verify: (i) each pilot tenant’s SARFAESI eligibility evidence (last audited assets and the NBFC thresholds of ₹100 crore of assets and ₹20 lakh of debt under S.O. 652(E), 12 Feb 2021) and any RDB s.2(h)(ii) notification for the tenant; (ii) IBC commencement notices after S.O. 2625(E) of 22 May 2026 (CIIRP, group insolvency and cross-border provisions not in force as of 19 Oct 2026); (iii) access to BAANKNET and to the Vahan financier services. Then build:</w:t>
      </w:r>
    </w:p>
    <w:p>
      <w:pPr>
        <w:numPr>
          <w:ilvl w:val="0"/>
          <w:numId w:val="2114"/>
        </w:numPr>
        <w:pStyle w:val="Compact"/>
      </w:pPr>
      <w:r>
        <w:rPr>
          <w:bCs/>
          <w:b/>
        </w:rPr>
        <w:t xml:space="preserve">R4 SARFAESI enforcement:</w:t>
      </w:r>
      <w:r>
        <w:t xml:space="preserve"> </w:t>
      </w:r>
      <w:r>
        <w:t xml:space="preserve">eligibility gate (NBFC thresholds; HFCs as notified financial institutions; s.31 exclusions including pledges, agricultural land and claims of ₹1 lakh or less or below 20% of principal plus interest); CERSAI registration gate (s.26D); limitation gate (s.36); state machine 13(2) notice → 13(3A) reply within 15 days → 60-day cure → possession notice and publication within 7 days (Rule 8(1)–(2)) → s.14 application → valuation and reserve → sale notice (Rule 8(6)) → auction no earlier than 30 days (15 for a re-sale; Rule 9(1)) → 25% deposit the same or next working day → balance within 15 days of confirmation, or up to 3 months by written extension (Rule 9(3)–(4);</w:t>
      </w:r>
      <w:r>
        <w:t xml:space="preserve"> </w:t>
      </w:r>
      <w:r>
        <w:rPr>
          <w:iCs/>
          <w:i/>
        </w:rPr>
        <w:t xml:space="preserve">M.R. Vasumathi v Authorized Officer</w:t>
      </w:r>
      <w:r>
        <w:t xml:space="preserve">, SC, 9 Jun 2026) → sale certificate → s.13(7) appropriation → surplus or shortfall; redemption closing on publication of the sale notice (s.13(8);</w:t>
      </w:r>
      <w:r>
        <w:t xml:space="preserve"> </w:t>
      </w:r>
      <w:r>
        <w:rPr>
          <w:iCs/>
          <w:i/>
        </w:rPr>
        <w:t xml:space="preserve">Celir LLP v Bafna Motors</w:t>
      </w:r>
      <w:r>
        <w:t xml:space="preserve">, SC, 21 Sep 2023;</w:t>
      </w:r>
      <w:r>
        <w:t xml:space="preserve"> </w:t>
      </w:r>
      <w:r>
        <w:rPr>
          <w:iCs/>
          <w:i/>
        </w:rPr>
        <w:t xml:space="preserve">M. Rajendran v KPK Oils</w:t>
      </w:r>
      <w:r>
        <w:t xml:space="preserve">, 2025 INSC 1144); borrower’s s.17 window of 45 days tracked in R9; possessed-asset website feed updated monthly (CIR 21).</w:t>
      </w:r>
    </w:p>
    <w:p>
      <w:pPr>
        <w:numPr>
          <w:ilvl w:val="0"/>
          <w:numId w:val="2114"/>
        </w:numPr>
        <w:pStyle w:val="Compact"/>
      </w:pPr>
      <w:r>
        <w:rPr>
          <w:bCs/>
          <w:b/>
        </w:rPr>
        <w:t xml:space="preserve">R5 civil and tribunal remedies:</w:t>
      </w:r>
      <w:r>
        <w:t xml:space="preserve"> </w:t>
      </w:r>
      <w:r>
        <w:t xml:space="preserve">DRT original applications only for RDB-eligible lenders (₹20 lakh threshold, S.O. 4312(E) of 6 Sep 2018); an NBFC is not eligible unless notified under s.2(h)(ii) (</w:t>
      </w:r>
      <w:r>
        <w:rPr>
          <w:iCs/>
          <w:i/>
        </w:rPr>
        <w:t xml:space="preserve">Tata Motors Finance v Naushad Khan</w:t>
      </w:r>
      <w:r>
        <w:t xml:space="preserve">, Bom HC, 2023;</w:t>
      </w:r>
      <w:r>
        <w:t xml:space="preserve"> </w:t>
      </w:r>
      <w:r>
        <w:rPr>
          <w:iCs/>
          <w:i/>
        </w:rPr>
        <w:t xml:space="preserve">Aditya Birla Finance v Anjali Nag</w:t>
      </w:r>
      <w:r>
        <w:t xml:space="preserve">, Del HC, 2024); e-DRT filing for all pleadings from 23 Jun 2025; Order XXXVII summary suits; commercial suits with the s.12A gate from R8; execution under Order XXI; the forum for an un-notified NBFC’s s.13(10) shortfall application [VERIFY].</w:t>
      </w:r>
    </w:p>
    <w:p>
      <w:pPr>
        <w:numPr>
          <w:ilvl w:val="0"/>
          <w:numId w:val="2114"/>
        </w:numPr>
        <w:pStyle w:val="Compact"/>
      </w:pPr>
      <w:r>
        <w:rPr>
          <w:bCs/>
          <w:b/>
        </w:rPr>
        <w:t xml:space="preserve">R6 insolvency (IBC):</w:t>
      </w:r>
      <w:r>
        <w:t xml:space="preserve"> </w:t>
      </w:r>
      <w:r>
        <w:t xml:space="preserve">NeSL information-utility record of default; s.7 applications for defaults of ₹1 crore or more within Art. 137 limitation, with admission tracked against s.7(5) as amended (14 days, from 26 May 2026); Form C claims by the public-announcement date and late-claim rules; CoC vote log; personal-guarantor applications at the NCLT (s.95; no interim moratorium against personal guarantors to corporate debtors, s.96(4) as amended); moratorium watcher that freezes R4, R7 and R10 actions against the corporate debtor; liquidation auctions on BAANKNET; CIIRP kept off in the rule pack until notified.</w:t>
      </w:r>
    </w:p>
    <w:p>
      <w:pPr>
        <w:numPr>
          <w:ilvl w:val="0"/>
          <w:numId w:val="2114"/>
        </w:numPr>
        <w:pStyle w:val="Compact"/>
      </w:pPr>
      <w:r>
        <w:rPr>
          <w:bCs/>
          <w:b/>
        </w:rPr>
        <w:t xml:space="preserve">R10 repossession, valuation, auction and sale:</w:t>
      </w:r>
      <w:r>
        <w:t xml:space="preserve"> </w:t>
      </w:r>
      <w:r>
        <w:t xml:space="preserve">vehicles (contractual notice period elapsed, daytime repossession by an authorised agent with ID and authorisation, signed possession memo and inventory, no force; RBC 26;</w:t>
      </w:r>
      <w:r>
        <w:t xml:space="preserve"> </w:t>
      </w:r>
      <w:r>
        <w:rPr>
          <w:iCs/>
          <w:i/>
        </w:rPr>
        <w:t xml:space="preserve">Hari Dutta Sharma v State of UP</w:t>
      </w:r>
      <w:r>
        <w:t xml:space="preserve">, SC, 16 Sep 2026; Form 36 re-registration under MV Act s.51(5)); gold (RBC 60–66; reserve from the IBJA or exchange feed; surplus within 7 working days); LAS and LAMF invocation and sale (Part 6.4.7); SARFAESI immovable and movable sales; valuer panel and reserve worksheet; e-auction listings through the Phase 16b connectors;</w:t>
      </w:r>
      <w:r>
        <w:t xml:space="preserve"> </w:t>
      </w:r>
      <w:r>
        <w:rPr>
          <w:rStyle w:val="VerbatimChar"/>
        </w:rPr>
        <w:t xml:space="preserve">AssetRepossessed</w:t>
      </w:r>
      <w:r>
        <w:t xml:space="preserve">,</w:t>
      </w:r>
      <w:r>
        <w:t xml:space="preserve"> </w:t>
      </w:r>
      <w:r>
        <w:rPr>
          <w:rStyle w:val="VerbatimChar"/>
        </w:rPr>
        <w:t xml:space="preserve">AuctionScheduled</w:t>
      </w:r>
      <w:r>
        <w:t xml:space="preserve">,</w:t>
      </w:r>
      <w:r>
        <w:t xml:space="preserve"> </w:t>
      </w:r>
      <w:r>
        <w:rPr>
          <w:rStyle w:val="VerbatimChar"/>
        </w:rPr>
        <w:t xml:space="preserve">AuctionConcluded</w:t>
      </w:r>
      <w:r>
        <w:t xml:space="preserve">,</w:t>
      </w:r>
      <w:r>
        <w:t xml:space="preserve"> </w:t>
      </w:r>
      <w:r>
        <w:rPr>
          <w:rStyle w:val="VerbatimChar"/>
        </w:rPr>
        <w:t xml:space="preserve">CollateralInvoked</w:t>
      </w:r>
      <w:r>
        <w:t xml:space="preserve">,</w:t>
      </w:r>
      <w:r>
        <w:t xml:space="preserve"> </w:t>
      </w:r>
      <w:r>
        <w:rPr>
          <w:rStyle w:val="VerbatimChar"/>
        </w:rPr>
        <w:t xml:space="preserve">SurplusRefunded</w:t>
      </w:r>
      <w:r>
        <w:t xml:space="preserve"> </w:t>
      </w:r>
      <w:r>
        <w:t xml:space="preserve">(Integration Spec Parts 6.5 and 6.8).</w:t>
      </w:r>
    </w:p>
    <w:p>
      <w:pPr>
        <w:numPr>
          <w:ilvl w:val="0"/>
          <w:numId w:val="2114"/>
        </w:numPr>
        <w:pStyle w:val="Compact"/>
      </w:pPr>
      <w:r>
        <w:rPr>
          <w:bCs/>
          <w:b/>
        </w:rPr>
        <w:t xml:space="preserve">R13 shared-exposure recovery:</w:t>
      </w:r>
      <w:r>
        <w:t xml:space="preserve"> </w:t>
      </w:r>
      <w:r>
        <w:t xml:space="preserve">co-lending decision matrix (servicer RE decides contact; each RE settles its own share under its own Board policy; joint SARFAESI needs secured creditors holding at least 60% by value, s.13(9)); classification sync by the end of the next working day (TDCR 124,</w:t>
      </w:r>
      <w:r>
        <w:t xml:space="preserve"> </w:t>
      </w:r>
      <w:r>
        <w:rPr>
          <w:rStyle w:val="VerbatimChar"/>
        </w:rPr>
        <w:t xml:space="preserve">ClassificationSynced</w:t>
      </w:r>
      <w:r>
        <w:t xml:space="preserve">); recoveries after DLG invocation kept off the loan account (CF 25(2)); transferred loans (each party resolves its own economic interest, TDCR 19(2); binding invocation mechanism for security held in trust, TDCR 21; servicer trust accounts and certified data, TDCR 29–30, 41–42); securitisation servicing (remit all cash flows, no commingling, SEC 95–96; servicer replacement, SEC 70); stressed-loan sale and ARC transfer (Board review, valuations, Swiss challenge, permitted transferees, s.29A check, cash only, cooling period; TDCR 56–94; substitution of the assignee in pending cases); consortium and ICA vote engine (75% by value and 60% by number; dissenters at least liquidation value; RSA 31–33, 45–48);</w:t>
      </w:r>
      <w:r>
        <w:t xml:space="preserve"> </w:t>
      </w:r>
      <w:r>
        <w:rPr>
          <w:rStyle w:val="VerbatimChar"/>
        </w:rPr>
        <w:t xml:space="preserve">LoanTransferred</w:t>
      </w:r>
      <w:r>
        <w:t xml:space="preserve"> </w:t>
      </w:r>
      <w:r>
        <w:t xml:space="preserve">and</w:t>
      </w:r>
      <w:r>
        <w:t xml:space="preserve"> </w:t>
      </w:r>
      <w:r>
        <w:rPr>
          <w:rStyle w:val="VerbatimChar"/>
        </w:rPr>
        <w:t xml:space="preserve">ServicerChanged</w:t>
      </w:r>
      <w:r>
        <w:t xml:space="preserve"> </w:t>
      </w:r>
      <w:r>
        <w:t xml:space="preserve">(Integration Spec Part 6.6).</w:t>
      </w:r>
    </w:p>
    <w:p>
      <w:pPr>
        <w:numPr>
          <w:ilvl w:val="0"/>
          <w:numId w:val="2114"/>
        </w:numPr>
        <w:pStyle w:val="Compact"/>
      </w:pPr>
      <w:r>
        <w:rPr>
          <w:bCs/>
          <w:b/>
        </w:rPr>
        <w:t xml:space="preserve">R16 product recovery playbooks:</w:t>
      </w:r>
      <w:r>
        <w:t xml:space="preserve"> </w:t>
      </w:r>
      <w:r>
        <w:t xml:space="preserve">one playbook per product code in Part 6.3 (and the co-lending overlay), each binding the mechanism profile, notice templates, clocks, conduct overlay and accounting map; tenant-editable within guard-rails.</w:t>
      </w:r>
    </w:p>
    <w:p>
      <w:pPr>
        <w:pStyle w:val="BlockText"/>
      </w:pPr>
      <w:r>
        <w:t xml:space="preserve">Tests and acceptance evidence:</w:t>
      </w:r>
    </w:p>
    <w:p>
      <w:pPr>
        <w:numPr>
          <w:ilvl w:val="0"/>
          <w:numId w:val="2115"/>
        </w:numPr>
        <w:pStyle w:val="Compact"/>
      </w:pPr>
      <w:r>
        <w:t xml:space="preserve">SARFAESI is blocked for a tenant below the threshold, for a debt below ₹20 lakh and for a charge not on CERSAI;</w:t>
      </w:r>
    </w:p>
    <w:p>
      <w:pPr>
        <w:numPr>
          <w:ilvl w:val="0"/>
          <w:numId w:val="2115"/>
        </w:numPr>
        <w:pStyle w:val="Compact"/>
      </w:pPr>
      <w:r>
        <w:t xml:space="preserve">a sale balance received on day 16 with no written extension blocks the sale certificate and opens the forfeiture workflow;</w:t>
      </w:r>
    </w:p>
    <w:p>
      <w:pPr>
        <w:numPr>
          <w:ilvl w:val="0"/>
          <w:numId w:val="2115"/>
        </w:numPr>
        <w:pStyle w:val="Compact"/>
      </w:pPr>
      <w:r>
        <w:t xml:space="preserve">a vehicle repossession task cannot start before the notice period ends or without an authorised agent;</w:t>
      </w:r>
    </w:p>
    <w:p>
      <w:pPr>
        <w:numPr>
          <w:ilvl w:val="0"/>
          <w:numId w:val="2115"/>
        </w:numPr>
        <w:pStyle w:val="Compact"/>
      </w:pPr>
      <w:r>
        <w:t xml:space="preserve">a gold auction reserve below 90% (85% after two failed auctions) is rejected;</w:t>
      </w:r>
    </w:p>
    <w:p>
      <w:pPr>
        <w:numPr>
          <w:ilvl w:val="0"/>
          <w:numId w:val="2115"/>
        </w:numPr>
        <w:pStyle w:val="Compact"/>
      </w:pPr>
      <w:r>
        <w:t xml:space="preserve">an IBC admission for a corporate debtor freezes SARFAESI and invocation actions against it;</w:t>
      </w:r>
    </w:p>
    <w:p>
      <w:pPr>
        <w:numPr>
          <w:ilvl w:val="0"/>
          <w:numId w:val="2115"/>
        </w:numPr>
        <w:pStyle w:val="Compact"/>
      </w:pPr>
      <w:r>
        <w:t xml:space="preserve">a 90:10 co-lent account cannot start SARFAESI on the 10% lender’s vote alone;</w:t>
      </w:r>
    </w:p>
    <w:p>
      <w:pPr>
        <w:numPr>
          <w:ilvl w:val="0"/>
          <w:numId w:val="2115"/>
        </w:numPr>
        <w:pStyle w:val="Compact"/>
      </w:pPr>
      <w:r>
        <w:t xml:space="preserve">an ICA decision with 76% by value but 55% by number fails;</w:t>
      </w:r>
    </w:p>
    <w:p>
      <w:pPr>
        <w:numPr>
          <w:ilvl w:val="0"/>
          <w:numId w:val="2115"/>
        </w:numPr>
        <w:pStyle w:val="Compact"/>
      </w:pPr>
      <w:r>
        <w:t xml:space="preserve">every product code has an approved R16 playbook.</w:t>
      </w:r>
    </w:p>
    <w:p>
      <w:pPr>
        <w:pStyle w:val="BlockText"/>
      </w:pPr>
      <w:r>
        <w:t xml:space="preserve">Show me the SARFAESI state machine, the R13 decision matrix and the playbook list for approval before coding.”</w:t>
      </w:r>
    </w:p>
    <w:bookmarkEnd w:id="879"/>
    <w:bookmarkStart w:id="880" w:name="Xc61f67901d4a4ff5637edf89612080eb5102823"/>
    <w:p>
      <w:pPr>
        <w:pStyle w:val="Heading3"/>
      </w:pPr>
      <w:r>
        <w:t xml:space="preserve">Phase 17c — Institution profiles I: credit co-operative societies, co-operative banks and microfinance</w:t>
      </w:r>
    </w:p>
    <w:p>
      <w:pPr>
        <w:pStyle w:val="BlockText"/>
      </w:pPr>
      <w:r>
        <w:rPr>
          <w:bCs/>
          <w:b/>
        </w:rPr>
        <w:t xml:space="preserve">Instruction to Claude:</w:t>
      </w:r>
      <w:r>
        <w:t xml:space="preserve"> </w:t>
      </w:r>
      <w:r>
        <w:t xml:space="preserve">“Before writing the specification, verify with counsel and record sign-off per rule pack (stub packs cannot drive live decisions): (i) the MSCS Act 2002 as amended 2023, MSCS Rules 2023 and the CRCS orders of 22 Jan 2024 and July 2025; the Maharashtra MCS Act 1960 Ch XI-1A and Rules; the BUDS Act First Schedule; the RBI press release of 22 Nov 2021; TDCR paras 7, 12(4) and 97; (ii) the RBI UCB Directions 2025 set, the UCB Supervisory Returns Directions 2026, rural co-operative bank directions and NABARD ENSURE returns; (iii) CF paras 51–61, MFI paras 12–13, 46 and 49, RBC paras 76–94, MFIN Guardrails 2.0 (Directive #14, 25 Nov 2024), TN40 and KA15; (iv) the microfinance call window of 09:00–18:00 (RBC para 91(2)) until 31 Dec 2026 and the RBC Third Amendment pack (RBI/2026-27/230) from 1 Jan 2027; (v) the Integration Spec v1.1 member and group contract (</w:t>
      </w:r>
      <w:r>
        <w:rPr>
          <w:rStyle w:val="VerbatimChar"/>
        </w:rPr>
        <w:t xml:space="preserve">MemberAdmitted</w:t>
      </w:r>
      <w:r>
        <w:t xml:space="preserve">,</w:t>
      </w:r>
      <w:r>
        <w:t xml:space="preserve"> </w:t>
      </w:r>
      <w:r>
        <w:rPr>
          <w:rStyle w:val="VerbatimChar"/>
        </w:rPr>
        <w:t xml:space="preserve">ShareCapitalPosted</w:t>
      </w:r>
      <w:r>
        <w:t xml:space="preserve">,</w:t>
      </w:r>
      <w:r>
        <w:t xml:space="preserve"> </w:t>
      </w:r>
      <w:r>
        <w:rPr>
          <w:rStyle w:val="VerbatimChar"/>
        </w:rPr>
        <w:t xml:space="preserve">GroupFormed</w:t>
      </w:r>
      <w:r>
        <w:t xml:space="preserve"> </w:t>
      </w:r>
      <w:r>
        <w:t xml:space="preserve">and</w:t>
      </w:r>
      <w:r>
        <w:t xml:space="preserve"> </w:t>
      </w:r>
      <w:r>
        <w:rPr>
          <w:rStyle w:val="VerbatimChar"/>
        </w:rPr>
        <w:t xml:space="preserve">GroupCollectionPosted</w:t>
      </w:r>
      <w:r>
        <w:t xml:space="preserve"> </w:t>
      </w:r>
      <w:r>
        <w:t xml:space="preserve">produced by the lender’s system;</w:t>
      </w:r>
      <w:r>
        <w:t xml:space="preserve"> </w:t>
      </w:r>
      <w:r>
        <w:rPr>
          <w:rStyle w:val="VerbatimChar"/>
        </w:rPr>
        <w:t xml:space="preserve">CentreMeetingHeld</w:t>
      </w:r>
      <w:r>
        <w:t xml:space="preserve"> </w:t>
      </w:r>
      <w:r>
        <w:t xml:space="preserve">by whichever system closes the meeting; the membership-verification and membership-application APIs). Then build Part 7G IP1–IP4:</w:t>
      </w:r>
    </w:p>
    <w:p>
      <w:pPr>
        <w:numPr>
          <w:ilvl w:val="0"/>
          <w:numId w:val="2116"/>
        </w:numPr>
        <w:pStyle w:val="Compact"/>
      </w:pPr>
      <w:r>
        <w:rPr>
          <w:bCs/>
          <w:b/>
        </w:rPr>
        <w:t xml:space="preserve">IP1 profile engine:</w:t>
      </w:r>
      <w:r>
        <w:t xml:space="preserve"> </w:t>
      </w:r>
      <w:r>
        <w:t xml:space="preserve">the type catalogue as versioned manifests; the profile record; rule-pack layers L0–L4 where the strictest wins and loosening fails</w:t>
      </w:r>
      <w:r>
        <w:t xml:space="preserve"> </w:t>
      </w:r>
      <w:r>
        <w:rPr>
          <w:rStyle w:val="VerbatimChar"/>
        </w:rPr>
        <w:t xml:space="preserve">RULE_LOOSENING_BLOCKED</w:t>
      </w:r>
      <w:r>
        <w:t xml:space="preserve">; the capability matrix; vocabulary packs (labels only; statutory and CIC field names unchanged); guard-rails GR-7G-01 to GR-7G-07, GR-7G-13 and GR-7G-14 with fixed error codes that no role can disable; the profile-change workflow with glide paths; historic returns bound to their period’s profile version.</w:t>
      </w:r>
    </w:p>
    <w:p>
      <w:pPr>
        <w:numPr>
          <w:ilvl w:val="0"/>
          <w:numId w:val="2116"/>
        </w:numPr>
        <w:pStyle w:val="Compact"/>
      </w:pPr>
      <w:r>
        <w:rPr>
          <w:bCs/>
          <w:b/>
        </w:rPr>
        <w:t xml:space="preserve">IP2 credit co-operative societies (not REs):</w:t>
      </w:r>
      <w:r>
        <w:t xml:space="preserve"> </w:t>
      </w:r>
      <w:r>
        <w:t xml:space="preserve">the membership register, where only active voting members may deposit (GR-7G-01, hard block); the MSCS 4-month decision timer and DEEMED_REFUSED; the share ledger (holding ≤ 20%, no loan on own shares, top-up</w:t>
      </w:r>
      <w:r>
        <w:t xml:space="preserve"> </w:t>
      </w:r>
      <w:r>
        <w:rPr>
          <w:rStyle w:val="VerbatimChar"/>
        </w:rPr>
        <w:t xml:space="preserve">ceil(loan × link_pct ÷ face_value)</w:t>
      </w:r>
      <w:r>
        <w:t xml:space="preserve">); the v1.5 Deposit Ledger Adapter (a non-member or non-voting deposit raises an exception and blocks every Finbyx use of it; leverage multiple; FD loan ≤ 90%; DICGC disclaimer); the COOP loan overlay (ceiling formula, member sureties only, director and relative loans ≤ 10%, unsecured ≤ 15%, MSCS housing caps); CRCS prudential and branch-expansion packs (GNPA &lt; 7%, NNPA &lt; 3%); appropriation and dividend validation; AGM, elections and Co-operative Ombudsman; Registrar returns into Phase 14b; statutory dispute routes (s.91 Co-operative Court, s.101 certificate, MSCS s.84) with private arbitration through Equator blocked (GR-7G-05); the RBI Ombudsman never shown.</w:t>
      </w:r>
      <w:r>
        <w:t xml:space="preserve"> </w:t>
      </w:r>
      <w:r>
        <w:rPr>
          <w:bCs/>
          <w:b/>
        </w:rPr>
        <w:t xml:space="preserve">No co-lending, DA, loan sale or DLG with an NBFC</w:t>
      </w:r>
      <w:r>
        <w:t xml:space="preserve"> </w:t>
      </w:r>
      <w:r>
        <w:t xml:space="preserve">(GR-7G-03, -04, -13): show the lawful-alternatives panel instead (wholesale on-lending loan, sourcing agent, BC, independent parallel loans, Udofin member-only track). No</w:t>
      </w:r>
      <w:r>
        <w:t xml:space="preserve"> </w:t>
      </w:r>
      <w:r>
        <w:t xml:space="preserve">‘</w:t>
      </w:r>
      <w:r>
        <w:t xml:space="preserve">bank</w:t>
      </w:r>
      <w:r>
        <w:t xml:space="preserve">’</w:t>
      </w:r>
      <w:r>
        <w:t xml:space="preserve"> </w:t>
      </w:r>
      <w:r>
        <w:t xml:space="preserve">in a society’s name (GR-7G-02).</w:t>
      </w:r>
    </w:p>
    <w:p>
      <w:pPr>
        <w:numPr>
          <w:ilvl w:val="0"/>
          <w:numId w:val="2116"/>
        </w:numPr>
        <w:pStyle w:val="Compact"/>
      </w:pPr>
      <w:r>
        <w:rPr>
          <w:bCs/>
          <w:b/>
        </w:rPr>
        <w:t xml:space="preserve">IP3 co-operative banks:</w:t>
      </w:r>
      <w:r>
        <w:t xml:space="preserve"> </w:t>
      </w:r>
      <w:r>
        <w:t xml:space="preserve">tiers and CRAR with the 3-year glide; the UCB lending pack (PSL 60%, 2025 gold rules); stressed-loan sales as transferor only and no co-lending with NBFCs; UCB CIMS and NABARD ENSURE returns into Phase 14b; CRILC for UCBs with assets ≥ ₹500 crore; bank ECL floors refused; the CBS stays system of record for deposits and GL unless licensed.</w:t>
      </w:r>
    </w:p>
    <w:p>
      <w:pPr>
        <w:numPr>
          <w:ilvl w:val="0"/>
          <w:numId w:val="2116"/>
        </w:numPr>
        <w:pStyle w:val="Compact"/>
      </w:pPr>
      <w:r>
        <w:rPr>
          <w:bCs/>
          <w:b/>
        </w:rPr>
        <w:t xml:space="preserve">IP4 microfinance:</w:t>
      </w:r>
      <w:r>
        <w:t xml:space="preserve"> </w:t>
      </w:r>
      <w:r>
        <w:t xml:space="preserve">household affordability (household income ≤ ₹3 lakh; obligations ÷ monthly income ≤ min(50%, Board cap), excluding income from the financed activity); the MFIN pack (≤ 3 lenders, ≤ ₹2 lakh indebtedness, no new loan if a loan above ₹3,000 is &gt; 60 DPD, fee ≤ 1.5%); JLG member and group state machines with CGT, GRT by a different supervisor and a designated centre place;</w:t>
      </w:r>
      <w:r>
        <w:t xml:space="preserve"> </w:t>
      </w:r>
      <w:r>
        <w:rPr>
          <w:bCs/>
          <w:b/>
        </w:rPr>
        <w:t xml:space="preserve">joint liability is voluntary</w:t>
      </w:r>
      <w:r>
        <w:t xml:space="preserve"> </w:t>
      </w:r>
      <w:r>
        <w:t xml:space="preserve">— never apply one member’s money to another without an explicit, revocable instruction (GR-7G-06); centre cash and cash-in-transit reconciliation with shortfall kept apart from cash variance; a UPI QR per member per instalment as default (cash at centre meetings on Udofin-sourced loans only with the RE’s legal opinion, and LSP staff collect cash only as the RE’s appointed recovery agent on overdue loans; GR-7G-14; CF paras 10(2), 10(5)); the SHG lifecycle; MFI-only bureau routing through Phase 14c; home visits only after two non-appearances; death claims stopping demand the same business day; R47 and R48 monitors.</w:t>
      </w:r>
    </w:p>
    <w:p>
      <w:pPr>
        <w:numPr>
          <w:ilvl w:val="0"/>
          <w:numId w:val="2116"/>
        </w:numPr>
        <w:pStyle w:val="Compact"/>
      </w:pPr>
      <w:r>
        <w:rPr>
          <w:bCs/>
          <w:b/>
        </w:rPr>
        <w:t xml:space="preserve">Menus, screens and settings:</w:t>
      </w:r>
      <w:r>
        <w:t xml:space="preserve"> </w:t>
      </w:r>
      <w:r>
        <w:t xml:space="preserve">build workspace N (institution-profile set-up) and the profile-specific menus, labels and screens the IP1 vocabulary pack adds to workspaces A, C, F, G, I, K and the field app P exactly as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7G specify (navigation paths, list, detail, wizard, approval-queue and dashboard screens, actions, bulk actions, filters, exports, empty and error states, role visibility, and each setting with its scope, default and floor), and register every entry in Appendix G; the institution profile decides which menus appear and the vocabulary they use; guard-rails GR-7G-01 to GR-7G-07, GR-7G-13 and GR-7G-14 are never listed as editable settings.</w:t>
      </w:r>
    </w:p>
    <w:p>
      <w:pPr>
        <w:pStyle w:val="BlockText"/>
      </w:pPr>
      <w:r>
        <w:t xml:space="preserve">Tests and acceptance evidence:</w:t>
      </w:r>
    </w:p>
    <w:p>
      <w:pPr>
        <w:numPr>
          <w:ilvl w:val="0"/>
          <w:numId w:val="2117"/>
        </w:numPr>
        <w:pStyle w:val="Compact"/>
      </w:pPr>
      <w:r>
        <w:t xml:space="preserve">an MSCS tenant creating a co-lending partner, DA pool or SR investment is blocked with the guard-rail code; a Board household cap of 55% fails</w:t>
      </w:r>
      <w:r>
        <w:t xml:space="preserve"> </w:t>
      </w:r>
      <w:r>
        <w:rPr>
          <w:rStyle w:val="VerbatimChar"/>
        </w:rPr>
        <w:t xml:space="preserve">RULE_LOOSENING_BLOCKED</w:t>
      </w:r>
      <w:r>
        <w:t xml:space="preserve">;</w:t>
      </w:r>
    </w:p>
    <w:p>
      <w:pPr>
        <w:numPr>
          <w:ilvl w:val="0"/>
          <w:numId w:val="2117"/>
        </w:numPr>
        <w:pStyle w:val="Compact"/>
      </w:pPr>
      <w:r>
        <w:t xml:space="preserve">an FD held by a</w:t>
      </w:r>
      <w:r>
        <w:t xml:space="preserve"> </w:t>
      </w:r>
      <w:r>
        <w:rPr>
          <w:rStyle w:val="VerbatimChar"/>
        </w:rPr>
        <w:t xml:space="preserve">NOMINAL</w:t>
      </w:r>
      <w:r>
        <w:t xml:space="preserve"> </w:t>
      </w:r>
      <w:r>
        <w:t xml:space="preserve">member raises GR-7G-01 and cannot back a lien or loan until closed with evidence;</w:t>
      </w:r>
    </w:p>
    <w:p>
      <w:pPr>
        <w:numPr>
          <w:ilvl w:val="0"/>
          <w:numId w:val="2117"/>
        </w:numPr>
        <w:pStyle w:val="Compact"/>
      </w:pPr>
      <w:r>
        <w:t xml:space="preserve">50 shares of ₹100 with a 10× multiple give a ₹50,000 ceiling; a non-member surety is rejected (MSCS s.66(1));</w:t>
      </w:r>
    </w:p>
    <w:p>
      <w:pPr>
        <w:numPr>
          <w:ilvl w:val="0"/>
          <w:numId w:val="2117"/>
        </w:numPr>
        <w:pStyle w:val="Compact"/>
      </w:pPr>
      <w:r>
        <w:t xml:space="preserve">a member dispute referred to Equator arbitration is blocked; conciliation is allowed;</w:t>
      </w:r>
    </w:p>
    <w:p>
      <w:pPr>
        <w:numPr>
          <w:ilvl w:val="0"/>
          <w:numId w:val="2117"/>
        </w:numPr>
        <w:pStyle w:val="Compact"/>
      </w:pPr>
      <w:r>
        <w:t xml:space="preserve">a Tier 2 UCB at 11.6% CRAR on 31 Mar 2026 is in breach; a UCB buying a standard pool from an NBFC is blocked;</w:t>
      </w:r>
    </w:p>
    <w:p>
      <w:pPr>
        <w:numPr>
          <w:ilvl w:val="0"/>
          <w:numId w:val="2117"/>
        </w:numPr>
        <w:pStyle w:val="Compact"/>
      </w:pPr>
      <w:r>
        <w:t xml:space="preserve">income ₹2,40,000, EMIs ₹7,000 and a new EMI of ₹3,500 (52.5%) is blocked; ₹2,900 (49.5%) is allowed;</w:t>
      </w:r>
    </w:p>
    <w:p>
      <w:pPr>
        <w:numPr>
          <w:ilvl w:val="0"/>
          <w:numId w:val="2117"/>
        </w:numPr>
        <w:pStyle w:val="Compact"/>
      </w:pPr>
      <w:r>
        <w:t xml:space="preserve">member A paying ₹1,000 towards B’s instalment without consent is refused; GRT by the CGT trainer is rejected;</w:t>
      </w:r>
    </w:p>
    <w:p>
      <w:pPr>
        <w:numPr>
          <w:ilvl w:val="0"/>
          <w:numId w:val="2117"/>
        </w:numPr>
        <w:pStyle w:val="Compact"/>
      </w:pPr>
      <w:r>
        <w:t xml:space="preserve">a microfinance account in a consumer bureau file fails validation; a microfinance recovery call at 18:15 is refused;</w:t>
      </w:r>
    </w:p>
    <w:p>
      <w:pPr>
        <w:numPr>
          <w:ilvl w:val="0"/>
          <w:numId w:val="2117"/>
        </w:numPr>
        <w:pStyle w:val="Compact"/>
      </w:pPr>
      <w:r>
        <w:t xml:space="preserve">a cash receipt for a regular instalment on a Udofin-sourced loan at a centre meeting is blocked with GR-7G-14 unless the RE’s legal opinion is recorded for that product, and the collection sheet defaults to a UPI QR per member;</w:t>
      </w:r>
    </w:p>
    <w:p>
      <w:pPr>
        <w:numPr>
          <w:ilvl w:val="0"/>
          <w:numId w:val="2117"/>
        </w:numPr>
        <w:pStyle w:val="Compact"/>
      </w:pPr>
      <w:r>
        <w:t xml:space="preserve">a navigation test walks each role through the Appendix G entries for this phase and finds every screen, action and setting with the stated visibility and nothing more; a credit co-operative society’s menus and settings catalogue show no co-lending, DA, loan-sale or DLG option, and a looser Board value fails</w:t>
      </w:r>
      <w:r>
        <w:t xml:space="preserve"> </w:t>
      </w:r>
      <w:r>
        <w:rPr>
          <w:rStyle w:val="VerbatimChar"/>
        </w:rPr>
        <w:t xml:space="preserve">RULE_LOOSENING_BLOCKED</w:t>
      </w:r>
      <w:r>
        <w:t xml:space="preserve">.</w:t>
      </w:r>
    </w:p>
    <w:p>
      <w:pPr>
        <w:pStyle w:val="BlockText"/>
      </w:pPr>
      <w:r>
        <w:t xml:space="preserve">Show me the type catalogue, the rule-pack layer model with counsel sign-off status, the guard-rail registry, the deposit-adapter exception flow and the JLG state machines, with the menu tree and settings catalogue of this phase (Appendix G), for approval before coding.”</w:t>
      </w:r>
    </w:p>
    <w:bookmarkEnd w:id="880"/>
    <w:bookmarkStart w:id="881" w:name="X3651d3b973c525f6540c84186ea89d658c8a884"/>
    <w:p>
      <w:pPr>
        <w:pStyle w:val="Heading3"/>
      </w:pPr>
      <w:r>
        <w:t xml:space="preserve">Phase 17d — Institution profiles II and investments: ARCs, IFSC entities, investment module and securitisation servicing</w:t>
      </w:r>
    </w:p>
    <w:p>
      <w:pPr>
        <w:pStyle w:val="BlockText"/>
      </w:pPr>
      <w:r>
        <w:rPr>
          <w:bCs/>
          <w:b/>
        </w:rPr>
        <w:t xml:space="preserve">Instruction to Claude:</w:t>
      </w:r>
      <w:r>
        <w:t xml:space="preserve"> </w:t>
      </w:r>
      <w:r>
        <w:t xml:space="preserve">“Before writing the specification, verify: (i) every paragraph number of the RBI (Asset Reconstruction Companies) Directions 2025 (DoR.FIN.REC.No.293/26.03.001/2025-26, updated 10 Mar 2026) and the ARC returns set; (ii) the consolidated IFSCA (Finance Company) Regulations 2026 (issued 9 Jul 2026) against the 2021 regulation numbers used in IP6, the FC/FU accounting framework with the statutory auditor, and the IFSCA return list; (iii) the RBI (Investment in AIF) Directions 2025 as consolidated, the CIC Directions 2025 (RBI/DOR/2025-26/367), INV paras 6–34, SBR paras 45–46 and the SBR Amendment Directions 2026 (Type I; PRAVAAH by 31 Dec 2026); (iv) SEBI ICDR and AIF values and the 26 Feb 2026 market-cap circular; (v) market-data licence terms per source; (vi) SEC paras 14, 21, 30–31, 70, 80, 95–96 and 109–115, CAP para 27 and TDCR paras 7, 12(4), 36–43, 74, 82–88 and 97. Then build Part 7G IP5–IP6 and Part 7H:</w:t>
      </w:r>
    </w:p>
    <w:p>
      <w:pPr>
        <w:numPr>
          <w:ilvl w:val="0"/>
          <w:numId w:val="2118"/>
        </w:numPr>
        <w:pStyle w:val="Compact"/>
      </w:pPr>
      <w:r>
        <w:rPr>
          <w:bCs/>
          <w:b/>
        </w:rPr>
        <w:t xml:space="preserve">IP5 ARCs:</w:t>
      </w:r>
      <w:r>
        <w:t xml:space="preserve"> </w:t>
      </w:r>
      <w:r>
        <w:t xml:space="preserve">NOF ≥ ₹300 crore gate, CRAR 15%, surplus funds ≤ 10% of NOF; acquisition states with ≥ 2-week due diligence and auction-only purchases from sponsor-linked sellers; one trust per scheme with its own ledger, never mixed with ARC funds; the SR register (QB holders only) with self-investment ≥ max(15% of transferors’ SRs, 2.5% of total); planning 6 months, realisation 5 years (8 with Board approval); NAV on 30 June and 31 December; fee caps with 180-day reversal; settlements above ₹1 crore or involving fraud or wilful default via IAC and Board;</w:t>
      </w:r>
      <w:r>
        <w:t xml:space="preserve"> </w:t>
      </w:r>
      <w:r>
        <w:rPr>
          <w:rStyle w:val="VerbatimChar"/>
        </w:rPr>
        <w:t xml:space="preserve">AssetAcquired</w:t>
      </w:r>
      <w:r>
        <w:t xml:space="preserve">,</w:t>
      </w:r>
      <w:r>
        <w:t xml:space="preserve"> </w:t>
      </w:r>
      <w:r>
        <w:rPr>
          <w:rStyle w:val="VerbatimChar"/>
        </w:rPr>
        <w:t xml:space="preserve">SecurityReceiptIssued</w:t>
      </w:r>
      <w:r>
        <w:t xml:space="preserve">,</w:t>
      </w:r>
      <w:r>
        <w:t xml:space="preserve"> </w:t>
      </w:r>
      <w:r>
        <w:rPr>
          <w:rStyle w:val="VerbatimChar"/>
        </w:rPr>
        <w:t xml:space="preserve">SrNavPublished</w:t>
      </w:r>
      <w:r>
        <w:t xml:space="preserve">. NBFC side: sell, buy (6-month hold) and invest in SRs as QB with a no-related-party declaration; trusts, SR issue and s.9 measures blocked (GR-7G-08 to -10).</w:t>
      </w:r>
    </w:p>
    <w:p>
      <w:pPr>
        <w:numPr>
          <w:ilvl w:val="0"/>
          <w:numId w:val="2118"/>
        </w:numPr>
        <w:pStyle w:val="Compact"/>
      </w:pPr>
      <w:r>
        <w:rPr>
          <w:bCs/>
          <w:b/>
        </w:rPr>
        <w:t xml:space="preserve">IP6 IFSC:</w:t>
      </w:r>
      <w:r>
        <w:t xml:space="preserve"> </w:t>
      </w:r>
      <w:r>
        <w:t xml:space="preserve">always a separate USD tenant (GR-7G-12); INR account only for administrative and statutory expenses; activity whitelist with non-core firewalls; no public deposits or speculation; derivatives need a</w:t>
      </w:r>
      <w:r>
        <w:t xml:space="preserve"> </w:t>
      </w:r>
      <w:r>
        <w:rPr>
          <w:rStyle w:val="VerbatimChar"/>
        </w:rPr>
        <w:t xml:space="preserve">hedge_link</w:t>
      </w:r>
      <w:r>
        <w:t xml:space="preserve"> </w:t>
      </w:r>
      <w:r>
        <w:t xml:space="preserve">where non-core activities run; a FEMA basis and legal sign-off for every resident counterparty; capital 8% and single or group exposure ≤ 25%; activation blocked until the framework is recorded with auditor confirmation.</w:t>
      </w:r>
    </w:p>
    <w:p>
      <w:pPr>
        <w:numPr>
          <w:ilvl w:val="0"/>
          <w:numId w:val="2118"/>
        </w:numPr>
        <w:pStyle w:val="Compact"/>
      </w:pPr>
      <w:r>
        <w:rPr>
          <w:bCs/>
          <w:b/>
        </w:rPr>
        <w:t xml:space="preserve">IV1–IV3:</w:t>
      </w:r>
      <w:r>
        <w:t xml:space="preserve"> </w:t>
      </w:r>
      <w:r>
        <w:t xml:space="preserve">shared security master (with Part 6.4); issuer master with the daily debtor-company flag; licence register (unlicensed imports refused); price waterfall and staleness rule; AMFI lists as effective-dated versions; classification locked after first posting; order capture with</w:t>
      </w:r>
      <w:r>
        <w:t xml:space="preserve"> </w:t>
      </w:r>
      <w:r>
        <w:rPr>
          <w:bCs/>
          <w:b/>
        </w:rPr>
        <w:t xml:space="preserve">no execution, routing or advice</w:t>
      </w:r>
      <w:r>
        <w:t xml:space="preserve"> </w:t>
      </w:r>
      <w:r>
        <w:t xml:space="preserve">(GR-7H-01, -02) and segregated dealer, approver, back and mid office; pre-trade checks including</w:t>
      </w:r>
      <w:r>
        <w:t xml:space="preserve"> </w:t>
      </w:r>
      <w:r>
        <w:rPr>
          <w:bCs/>
          <w:b/>
        </w:rPr>
        <w:t xml:space="preserve">the Part 7F GV4.4 restricted list</w:t>
      </w:r>
      <w:r>
        <w:t xml:space="preserve"> </w:t>
      </w:r>
      <w:r>
        <w:t xml:space="preserve">(GR-7H-12: no own-account order, IPO bid or corporate-action election in a restricted issuer) and PIT pre-clearance; contract notes and</w:t>
      </w:r>
      <w:r>
        <w:t xml:space="preserve"> </w:t>
      </w:r>
      <w:r>
        <w:rPr>
          <w:rStyle w:val="VerbatimChar"/>
        </w:rPr>
        <w:t xml:space="preserve">TradeBooked</w:t>
      </w:r>
      <w:r>
        <w:t xml:space="preserve">; OTC bond reporting within 15 minutes; demat reconciliation keeping LAS pledges out of own positions; corporate actions; IPOs with QIB only on a current attestation (GR-7H-11), the SME two-lot minimum and the lock-in tracker.</w:t>
      </w:r>
    </w:p>
    <w:p>
      <w:pPr>
        <w:numPr>
          <w:ilvl w:val="0"/>
          <w:numId w:val="2118"/>
        </w:numPr>
        <w:pStyle w:val="Compact"/>
      </w:pPr>
      <w:r>
        <w:rPr>
          <w:bCs/>
          <w:b/>
        </w:rPr>
        <w:t xml:space="preserve">IV4–IV6:</w:t>
      </w:r>
      <w:r>
        <w:t xml:space="preserve"> </w:t>
      </w:r>
      <w:r>
        <w:t xml:space="preserve">AIF commitments ≤ 10% of corpus (hard block), RE-aggregate attestation, an irrevocable</w:t>
      </w:r>
      <w:r>
        <w:t xml:space="preserve"> </w:t>
      </w:r>
      <w:r>
        <w:rPr>
          <w:rStyle w:val="VerbatimChar"/>
        </w:rPr>
        <w:t xml:space="preserve">LEGACY_2023</w:t>
      </w:r>
      <w:r>
        <w:t xml:space="preserve"> </w:t>
      </w:r>
      <w:r>
        <w:t xml:space="preserve">or</w:t>
      </w:r>
      <w:r>
        <w:t xml:space="preserve"> </w:t>
      </w:r>
      <w:r>
        <w:rPr>
          <w:rStyle w:val="VerbatimChar"/>
        </w:rPr>
        <w:t xml:space="preserve">AIF_DIR_2025</w:t>
      </w:r>
      <w:r>
        <w:t xml:space="preserve"> </w:t>
      </w:r>
      <w:r>
        <w:t xml:space="preserve">tag and quarterly look-through provisioning; REIT and InvIT units non-CME by default; SR valuation per TDCR paras 82–86; Ind AS 109 and AS 13 engines (inter-class transfers only on 1 April or 1 October);</w:t>
      </w:r>
      <w:r>
        <w:t xml:space="preserve"> </w:t>
      </w:r>
      <w:r>
        <w:rPr>
          <w:rStyle w:val="VerbatimChar"/>
        </w:rPr>
        <w:t xml:space="preserve">PositionValued</w:t>
      </w:r>
      <w:r>
        <w:t xml:space="preserve">; the limits engine emitting</w:t>
      </w:r>
      <w:r>
        <w:t xml:space="preserve"> </w:t>
      </w:r>
      <w:r>
        <w:rPr>
          <w:rStyle w:val="VerbatimChar"/>
        </w:rPr>
        <w:t xml:space="preserve">InvestmentLimitBreached</w:t>
      </w:r>
      <w:r>
        <w:t xml:space="preserve"> </w:t>
      </w:r>
      <w:r>
        <w:t xml:space="preserve">and</w:t>
      </w:r>
      <w:r>
        <w:t xml:space="preserve"> </w:t>
      </w:r>
      <w:r>
        <w:rPr>
          <w:rStyle w:val="VerbatimChar"/>
        </w:rPr>
        <w:t xml:space="preserve">LimitBreached</w:t>
      </w:r>
      <w:r>
        <w:t xml:space="preserve">; equity F&amp;O and arbitrage OFF by default; CIC tests (90%, 60%, 10%, ANW/RWA 30%, leverage 2.5×, ≤ 2 layers); the Type I helper; AIF, PMS and IFSC-fund customer profiles.</w:t>
      </w:r>
    </w:p>
    <w:p>
      <w:pPr>
        <w:numPr>
          <w:ilvl w:val="0"/>
          <w:numId w:val="2118"/>
        </w:numPr>
        <w:pStyle w:val="Compact"/>
      </w:pPr>
      <w:r>
        <w:rPr>
          <w:bCs/>
          <w:b/>
        </w:rPr>
        <w:t xml:space="preserve">IV7 securitisation servicing (completes Phase 16):</w:t>
      </w:r>
      <w:r>
        <w:t xml:space="preserve"> </w:t>
      </w:r>
      <w:r>
        <w:t xml:space="preserve">collections to a</w:t>
      </w:r>
      <w:r>
        <w:t xml:space="preserve"> </w:t>
      </w:r>
      <w:r>
        <w:t xml:space="preserve">‘</w:t>
      </w:r>
      <w:r>
        <w:t xml:space="preserve">Held in trust</w:t>
      </w:r>
      <w:r>
        <w:t xml:space="preserve">’</w:t>
      </w:r>
      <w:r>
        <w:t xml:space="preserve"> </w:t>
      </w:r>
      <w:r>
        <w:t xml:space="preserve">liability sub-ledger swept per the servicing agreement (GR-7H-07; SEC para 95) with a commingling monitor and the SEC para 96 capital consequence; the waterfall to a trustee payout instruction;</w:t>
      </w:r>
      <w:r>
        <w:t xml:space="preserve"> </w:t>
      </w:r>
      <w:r>
        <w:rPr>
          <w:rStyle w:val="VerbatimChar"/>
        </w:rPr>
        <w:t xml:space="preserve">ServicerRemittanceMade</w:t>
      </w:r>
      <w:r>
        <w:t xml:space="preserve">,</w:t>
      </w:r>
      <w:r>
        <w:t xml:space="preserve"> </w:t>
      </w:r>
      <w:r>
        <w:rPr>
          <w:rStyle w:val="VerbatimChar"/>
        </w:rPr>
        <w:t xml:space="preserve">InvestorReportPublished</w:t>
      </w:r>
      <w:r>
        <w:t xml:space="preserve">;</w:t>
      </w:r>
      <w:r>
        <w:t xml:space="preserve"> </w:t>
      </w:r>
      <w:r>
        <w:rPr>
          <w:bCs/>
          <w:b/>
        </w:rPr>
        <w:t xml:space="preserve">only the upfront sale consideration may be re-lent</w:t>
      </w:r>
      <w:r>
        <w:t xml:space="preserve"> </w:t>
      </w:r>
      <w:r>
        <w:t xml:space="preserve">— post-sale collections never fund lending; replenishment only in the documented period with early-amortisation triggers (GR-7H-08); clean-up call ≤ 10% and never as support (GR-7H-09); dual derecognition flags; servicer replacement; the transfer validator and the co-lending partner validator (GR-7H-10).</w:t>
      </w:r>
    </w:p>
    <w:p>
      <w:pPr>
        <w:numPr>
          <w:ilvl w:val="0"/>
          <w:numId w:val="2118"/>
        </w:numPr>
        <w:pStyle w:val="Compact"/>
      </w:pPr>
      <w:r>
        <w:rPr>
          <w:bCs/>
          <w:b/>
        </w:rPr>
        <w:t xml:space="preserve">Menus, screens and settings:</w:t>
      </w:r>
      <w:r>
        <w:t xml:space="preserve"> </w:t>
      </w:r>
      <w:r>
        <w:t xml:space="preserve">build workspace U (Treasury and Investments), the ARC trust and SR screens, the IFSC USD tenant and the servicer and investor screens of workspace R exactly as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7G (IP5–IP6) and Part 7H specify (navigation paths, list, detail, wizard, approval-queue and dashboard screens, actions, bulk actions, filters, exports, empty and error states, role visibility, and each setting with its scope, default and floor), and register every entry in Appendix G; equity F&amp;O and arbitrage stay hidden until the owner records the legal position (Appendix B); no screen offers order transmission to a broker or exchange.</w:t>
      </w:r>
    </w:p>
    <w:p>
      <w:pPr>
        <w:pStyle w:val="BlockText"/>
      </w:pPr>
      <w:r>
        <w:t xml:space="preserve">Tests and acceptance evidence:</w:t>
      </w:r>
    </w:p>
    <w:p>
      <w:pPr>
        <w:numPr>
          <w:ilvl w:val="0"/>
          <w:numId w:val="2119"/>
        </w:numPr>
        <w:pStyle w:val="Compact"/>
      </w:pPr>
      <w:r>
        <w:t xml:space="preserve">an ARC with NOF of ₹280 crore on 1 Apr 2026 cannot acquire; transferors holding 70% of ₹100 crore SRs require ARC holdings of ₹10.5 crore;</w:t>
      </w:r>
    </w:p>
    <w:p>
      <w:pPr>
        <w:numPr>
          <w:ilvl w:val="0"/>
          <w:numId w:val="2119"/>
        </w:numPr>
        <w:pStyle w:val="Compact"/>
      </w:pPr>
      <w:r>
        <w:t xml:space="preserve">an NBFC creating a trust or reselling a purchased stressed loan to another NBFC after 4 months is blocked;</w:t>
      </w:r>
    </w:p>
    <w:p>
      <w:pPr>
        <w:numPr>
          <w:ilvl w:val="0"/>
          <w:numId w:val="2119"/>
        </w:numPr>
        <w:pStyle w:val="Compact"/>
      </w:pPr>
      <w:r>
        <w:t xml:space="preserve">an IFSC FC inside an onshore tenant is refused; a resident borrower without FEMA basis is blocked;</w:t>
      </w:r>
    </w:p>
    <w:p>
      <w:pPr>
        <w:numPr>
          <w:ilvl w:val="0"/>
          <w:numId w:val="2119"/>
        </w:numPr>
        <w:pStyle w:val="Compact"/>
      </w:pPr>
      <w:r>
        <w:t xml:space="preserve">an order for an issuer on the restricted list, or by a dealer approving his own order, is refused;</w:t>
      </w:r>
    </w:p>
    <w:p>
      <w:pPr>
        <w:numPr>
          <w:ilvl w:val="0"/>
          <w:numId w:val="2119"/>
        </w:numPr>
        <w:pStyle w:val="Compact"/>
      </w:pPr>
      <w:r>
        <w:t xml:space="preserve">a ₹55 crore commitment to a ₹500 crore AIF scheme is blocked; an 8% holding with a ₹40 crore debtor NCD and ₹2 crore direct exposure provides ₹2 crore;</w:t>
      </w:r>
    </w:p>
    <w:p>
      <w:pPr>
        <w:numPr>
          <w:ilvl w:val="0"/>
          <w:numId w:val="2119"/>
        </w:numPr>
        <w:pStyle w:val="Compact"/>
      </w:pPr>
      <w:r>
        <w:t xml:space="preserve">an EMI on a securitised loan posted to operating income is refused; post-sale collections funding a disbursal are blocked; a clean-up call at 12% is blocked;</w:t>
      </w:r>
    </w:p>
    <w:p>
      <w:pPr>
        <w:numPr>
          <w:ilvl w:val="0"/>
          <w:numId w:val="2119"/>
        </w:numPr>
        <w:pStyle w:val="Compact"/>
      </w:pPr>
      <w:r>
        <w:t xml:space="preserve">adding an SFB or a UCB as co-lending partner is blocked; an SCB with licence evidence is allowed;</w:t>
      </w:r>
    </w:p>
    <w:p>
      <w:pPr>
        <w:numPr>
          <w:ilvl w:val="0"/>
          <w:numId w:val="2119"/>
        </w:numPr>
        <w:pStyle w:val="Compact"/>
      </w:pPr>
      <w:r>
        <w:t xml:space="preserve">a navigation test walks each role through the Appendix G entries for this phase and finds every screen, action and setting with the stated visibility and nothing more; the order-ticket screen offers no send-to-broker or execute action.</w:t>
      </w:r>
    </w:p>
    <w:p>
      <w:pPr>
        <w:pStyle w:val="BlockText"/>
      </w:pPr>
      <w:r>
        <w:t xml:space="preserve">Show me the ARC trust and SR ledgers, the IFSC tenant model, the instrument classification table, the pre-trade check matrix with the restricted-list link, the AIF look-through algorithm and the securitisation trust postings, with the menu tree and settings catalogue of this phase (Appendix G), for approval before coding.”</w:t>
      </w:r>
    </w:p>
    <w:bookmarkEnd w:id="881"/>
    <w:bookmarkStart w:id="882" w:name="phase-18-analytics-ai-layer-and-mcp"/>
    <w:p>
      <w:pPr>
        <w:pStyle w:val="Heading3"/>
      </w:pPr>
      <w:r>
        <w:t xml:space="preserve">Phase 18 — Analytics, AI layer and MCP</w:t>
      </w:r>
    </w:p>
    <w:p>
      <w:pPr>
        <w:pStyle w:val="BlockText"/>
      </w:pPr>
      <w:r>
        <w:rPr>
          <w:bCs/>
          <w:b/>
        </w:rPr>
        <w:t xml:space="preserve">Instruction to Claude:</w:t>
      </w:r>
      <w:r>
        <w:t xml:space="preserve"> </w:t>
      </w:r>
      <w:r>
        <w:t xml:space="preserve">“Build:</w:t>
      </w:r>
    </w:p>
    <w:p>
      <w:pPr>
        <w:numPr>
          <w:ilvl w:val="0"/>
          <w:numId w:val="2120"/>
        </w:numPr>
        <w:pStyle w:val="Compact"/>
      </w:pPr>
      <w:r>
        <w:t xml:space="preserve">the MIS catalogue;</w:t>
      </w:r>
    </w:p>
    <w:p>
      <w:pPr>
        <w:numPr>
          <w:ilvl w:val="0"/>
          <w:numId w:val="2120"/>
        </w:numPr>
        <w:pStyle w:val="Compact"/>
      </w:pPr>
      <w:r>
        <w:t xml:space="preserve">embedded BI with row-level security;</w:t>
      </w:r>
    </w:p>
    <w:p>
      <w:pPr>
        <w:numPr>
          <w:ilvl w:val="0"/>
          <w:numId w:val="2120"/>
        </w:numPr>
        <w:pStyle w:val="Compact"/>
      </w:pPr>
      <w:r>
        <w:t xml:space="preserve">governed AI copilots (M20), with an AI model inventory;</w:t>
      </w:r>
    </w:p>
    <w:p>
      <w:pPr>
        <w:numPr>
          <w:ilvl w:val="0"/>
          <w:numId w:val="2120"/>
        </w:numPr>
        <w:pStyle w:val="Compact"/>
      </w:pPr>
      <w:r>
        <w:t xml:space="preserve">the read-only, tenant-scoped MCP server.</w:t>
      </w:r>
    </w:p>
    <w:p>
      <w:pPr>
        <w:pStyle w:val="BlockText"/>
      </w:pPr>
      <w:r>
        <w:t xml:space="preserve">The governed metric layer and certified dashboards already exist from Phase 14d (Part 7E RK6, RK8); the MIS catalogue and BI reuse them and never redefine a regulatory metric. Voice, AI contact-centre and Jio adapters (Part 7L EO6) follow in Phase 18b; copilots in this phase never place calls or send messages.”</w:t>
      </w:r>
    </w:p>
    <w:bookmarkEnd w:id="882"/>
    <w:bookmarkStart w:id="883" w:name="X4d9e63297702566daf95b196abb37db636d46d2"/>
    <w:p>
      <w:pPr>
        <w:pStyle w:val="Heading3"/>
      </w:pPr>
      <w:r>
        <w:t xml:space="preserve">Phase 18b — Voice, AI contact-centre and Jio adapters</w:t>
      </w:r>
    </w:p>
    <w:p>
      <w:pPr>
        <w:pStyle w:val="BlockText"/>
      </w:pPr>
      <w:r>
        <w:rPr>
          <w:bCs/>
          <w:b/>
        </w:rPr>
        <w:t xml:space="preserve">Instruction to Claude:</w:t>
      </w:r>
      <w:r>
        <w:t xml:space="preserve"> </w:t>
      </w:r>
      <w:r>
        <w:t xml:space="preserve">“Before writing the specification, verify: (i) the TRAI Direction of 19 Nov 2025 and clarification of 10 Jul 2026 on 1600-series numbers (from 1 Jan 2026 for banks; 1 Feb 2026 for NBFCs above ₹5,000 crore, payments banks and SFBs; 1 Mar 2026 for other NBFCs, co-operative banks and RRBs; the 1601 sub-series), TCCCPR 2018 as amended 12 Feb 2025 (140-series, DND, auto-dialler notice), and whether credit co-operative societies can obtain 1600-series numbers; (ii) RBC paras 91(2), 100 and 100P, the Second Amendment para 101I (consent default</w:t>
      </w:r>
      <w:r>
        <w:t xml:space="preserve"> </w:t>
      </w:r>
      <w:r>
        <w:t xml:space="preserve">‘</w:t>
      </w:r>
      <w:r>
        <w:t xml:space="preserve">No</w:t>
      </w:r>
      <w:r>
        <w:t xml:space="preserve">’</w:t>
      </w:r>
      <w:r>
        <w:t xml:space="preserve"> </w:t>
      </w:r>
      <w:r>
        <w:t xml:space="preserve">from 1 Jan 2027) and the RBC Third Amendment pack (RBI/2026-27/230) already in Phases 3b, 11 and 12; (iii) RBI FREE-AI (13 Aug 2025) and the M20 controls; (iv) for each candidate provider (JioCX, Jio Business SIP and toll-free, Exotel, Ozonetel, Gupshup, Knowlarity; Sarvam AI or Bhashini for speech): DLT principal-entity support, 1600-series support, India residency for recordings, transcripts and call records, India inference, DPA and API documentation. JioCX publishes no API documentation, rates, residency statement or AI voice-agent product, and reports of a</w:t>
      </w:r>
      <w:r>
        <w:t xml:space="preserve"> </w:t>
      </w:r>
      <w:r>
        <w:t xml:space="preserve">‘</w:t>
      </w:r>
      <w:r>
        <w:t xml:space="preserve">JioBrain</w:t>
      </w:r>
      <w:r>
        <w:t xml:space="preserve">’</w:t>
      </w:r>
      <w:r>
        <w:t xml:space="preserve"> </w:t>
      </w:r>
      <w:r>
        <w:t xml:space="preserve">API are uncorroborated — do not rely on them. Then build Part 7L EO6 on M18 and R15:</w:t>
      </w:r>
    </w:p>
    <w:p>
      <w:pPr>
        <w:numPr>
          <w:ilvl w:val="0"/>
          <w:numId w:val="2121"/>
        </w:numPr>
        <w:pStyle w:val="Compact"/>
      </w:pPr>
      <w:r>
        <w:rPr>
          <w:bCs/>
          <w:b/>
        </w:rPr>
        <w:t xml:space="preserve">Interfaces:</w:t>
      </w:r>
      <w:r>
        <w:t xml:space="preserve"> </w:t>
      </w:r>
      <w:r>
        <w:rPr>
          <w:rStyle w:val="VerbatimChar"/>
        </w:rPr>
        <w:t xml:space="preserve">MessagingProvider</w:t>
      </w:r>
      <w:r>
        <w:t xml:space="preserve"> </w:t>
      </w:r>
      <w:r>
        <w:t xml:space="preserve">(SMS with DLT ids, RCS, email; WhatsApp never for collection, recovery or legal notices),</w:t>
      </w:r>
      <w:r>
        <w:t xml:space="preserve"> </w:t>
      </w:r>
      <w:r>
        <w:rPr>
          <w:rStyle w:val="VerbatimChar"/>
        </w:rPr>
        <w:t xml:space="preserve">VoiceProvider</w:t>
      </w:r>
      <w:r>
        <w:t xml:space="preserve"> </w:t>
      </w:r>
      <w:r>
        <w:t xml:space="preserve">(number pools by series and circle, IVR, dialler and OBD, click-to-call with masking, recording, CDR webhooks),</w:t>
      </w:r>
      <w:r>
        <w:t xml:space="preserve"> </w:t>
      </w:r>
      <w:r>
        <w:rPr>
          <w:rStyle w:val="VerbatimChar"/>
        </w:rPr>
        <w:t xml:space="preserve">SpeechProvider</w:t>
      </w:r>
      <w:r>
        <w:t xml:space="preserve"> </w:t>
      </w:r>
      <w:r>
        <w:t xml:space="preserve">(Indic ASR and TTS) and</w:t>
      </w:r>
      <w:r>
        <w:t xml:space="preserve"> </w:t>
      </w:r>
      <w:r>
        <w:rPr>
          <w:rStyle w:val="VerbatimChar"/>
        </w:rPr>
        <w:t xml:space="preserve">LLMProvider</w:t>
      </w:r>
      <w:r>
        <w:t xml:space="preserve"> </w:t>
      </w:r>
      <w:r>
        <w:t xml:space="preserve">(the M20 India-region endpoint only); each passes connector certification (Integration Spec Parts 10.1 and 14.3) before production.</w:t>
      </w:r>
    </w:p>
    <w:p>
      <w:pPr>
        <w:numPr>
          <w:ilvl w:val="0"/>
          <w:numId w:val="2121"/>
        </w:numPr>
        <w:pStyle w:val="Compact"/>
      </w:pPr>
      <w:r>
        <w:rPr>
          <w:bCs/>
          <w:b/>
        </w:rPr>
        <w:t xml:space="preserve">Jio plan:</w:t>
      </w:r>
      <w:r>
        <w:t xml:space="preserve"> </w:t>
      </w:r>
      <w:r>
        <w:t xml:space="preserve">a stub</w:t>
      </w:r>
      <w:r>
        <w:t xml:space="preserve"> </w:t>
      </w:r>
      <w:r>
        <w:rPr>
          <w:rStyle w:val="VerbatimChar"/>
        </w:rPr>
        <w:t xml:space="preserve">JioCxAdapter</w:t>
      </w:r>
      <w:r>
        <w:t xml:space="preserve"> </w:t>
      </w:r>
      <w:r>
        <w:t xml:space="preserve">with certification tests, and a request list to JioCX (API documentation, DPA, residency proof, DLT and 1600-series support, AI roadmap, rates); production enablement only after contract, residency proof and certification; other certified adapters serve tenants meanwhile. The owner’s Jio requirement is met by the adapter, not by a dependency on Jio.</w:t>
      </w:r>
    </w:p>
    <w:p>
      <w:pPr>
        <w:numPr>
          <w:ilvl w:val="0"/>
          <w:numId w:val="2121"/>
        </w:numPr>
        <w:pStyle w:val="Compact"/>
      </w:pPr>
      <w:r>
        <w:rPr>
          <w:bCs/>
          <w:b/>
        </w:rPr>
        <w:t xml:space="preserve">Contact-policy checks (fail closed with a reason):</w:t>
      </w:r>
      <w:r>
        <w:t xml:space="preserve"> </w:t>
      </w:r>
      <w:r>
        <w:t xml:space="preserve">purpose category; the tenant as DLT principal entity and number holder, never Infrabyx; RE service, transactional and recovery voice only from the tenant’s 1600-series numbers — no other number even with consent; promotional voice only through a 140-series registered telemarketer with DND scrub and explicit consent; non-RE tenants through telemarketer routes until 1600 eligibility is confirmed; consent default</w:t>
      </w:r>
      <w:r>
        <w:t xml:space="preserve"> </w:t>
      </w:r>
      <w:r>
        <w:t xml:space="preserve">‘</w:t>
      </w:r>
      <w:r>
        <w:t xml:space="preserve">No</w:t>
      </w:r>
      <w:r>
        <w:t xml:space="preserve">’</w:t>
      </w:r>
      <w:r>
        <w:t xml:space="preserve"> </w:t>
      </w:r>
      <w:r>
        <w:t xml:space="preserve">from 1 Jan 2027 and 90 days before re-seeking after opt-out; recovery 08:00–19:00, microfinance 09:00–18:00 until 31 Dec 2026 then the Third Amendment pack; a stricter borrower preference prevails; by default ≤ 3 attempts and 1 connected recovery call a day; auto-diallers pre-notified; a DLT template id on every SMS.</w:t>
      </w:r>
    </w:p>
    <w:p>
      <w:pPr>
        <w:numPr>
          <w:ilvl w:val="0"/>
          <w:numId w:val="2121"/>
        </w:numPr>
        <w:pStyle w:val="Compact"/>
      </w:pPr>
      <w:r>
        <w:rPr>
          <w:bCs/>
          <w:b/>
        </w:rPr>
        <w:t xml:space="preserve">AI contact centre:</w:t>
      </w:r>
      <w:r>
        <w:t xml:space="preserve"> </w:t>
      </w:r>
      <w:r>
        <w:t xml:space="preserve">the inbound assistant authenticates (registered mobile plus OTP, or IVR PIN) before disclosing anything, answers balance, due date, receipt and document-release status, raises service requests and M15 complaints and hands over to a human on request; outbound AI voice for reminders and receipt confirmations, and for recovery only under a Board-approved policy with CCO-approved scripts; AI never negotiates or approves settlements or waivers, changes terms, closes or rejects complaints, threatens, misstates dues, discloses to third parties or takes card data; it states that it is an automated assistant; each interaction logs model, model and prompt versions and the transcript reference; monthly QA and bias sampling; a recording announcement on every recorded call; recordings, transcripts and call records stay in India, and recovery recordings are kept at least 6 months and longer while sub judice (RBC para 100P).</w:t>
      </w:r>
    </w:p>
    <w:p>
      <w:pPr>
        <w:numPr>
          <w:ilvl w:val="0"/>
          <w:numId w:val="2121"/>
        </w:numPr>
        <w:pStyle w:val="Compact"/>
      </w:pPr>
      <w:r>
        <w:rPr>
          <w:bCs/>
          <w:b/>
        </w:rPr>
        <w:t xml:space="preserve">Residency gate and metering:</w:t>
      </w:r>
      <w:r>
        <w:t xml:space="preserve"> </w:t>
      </w:r>
      <w:r>
        <w:t xml:space="preserve">no adapter is enabled for a production tenant without proof of India storage and India inference; voice, SMS, WhatsApp and AI minutes are metered as CM3 pass-through with cost per call; records use the existing R15 entities, with no new ecosystem events.</w:t>
      </w:r>
    </w:p>
    <w:p>
      <w:pPr>
        <w:numPr>
          <w:ilvl w:val="0"/>
          <w:numId w:val="2121"/>
        </w:numPr>
        <w:pStyle w:val="Compact"/>
      </w:pPr>
      <w:r>
        <w:rPr>
          <w:bCs/>
          <w:b/>
        </w:rPr>
        <w:t xml:space="preserve">Menus, screens and settings:</w:t>
      </w:r>
      <w:r>
        <w:t xml:space="preserve"> </w:t>
      </w:r>
      <w:r>
        <w:t xml:space="preserve">build workspaces G (Collections) and F (Servicing and Customer Service) for calling and the assistant, and N for provider settings exactly as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7L (EO6) specify (navigation paths, list, detail, wizard, approval-queue and dashboard screens, actions, bulk actions, filters, exports, empty and error states, role visibility, and each setting with its scope, default and floor), and register every entry in Appendix G; contact windows and attempt caps can only be tightened; the provider screen shows certification and residency-proof status before the production toggle is enabled.</w:t>
      </w:r>
    </w:p>
    <w:p>
      <w:pPr>
        <w:pStyle w:val="BlockText"/>
      </w:pPr>
      <w:r>
        <w:t xml:space="preserve">Tests and acceptance evidence:</w:t>
      </w:r>
    </w:p>
    <w:p>
      <w:pPr>
        <w:numPr>
          <w:ilvl w:val="0"/>
          <w:numId w:val="2122"/>
        </w:numPr>
        <w:pStyle w:val="Compact"/>
      </w:pPr>
      <w:r>
        <w:t xml:space="preserve">a recovery call from a 10-digit number is refused with</w:t>
      </w:r>
      <w:r>
        <w:t xml:space="preserve"> </w:t>
      </w:r>
      <w:r>
        <w:rPr>
          <w:rStyle w:val="VerbatimChar"/>
        </w:rPr>
        <w:t xml:space="preserve">series_not_permitted</w:t>
      </w:r>
      <w:r>
        <w:t xml:space="preserve">; from the tenant’s 1600-series number it proceeds at 18:30 and is refused at 19:05;</w:t>
      </w:r>
    </w:p>
    <w:p>
      <w:pPr>
        <w:numPr>
          <w:ilvl w:val="0"/>
          <w:numId w:val="2122"/>
        </w:numPr>
        <w:pStyle w:val="Compact"/>
      </w:pPr>
      <w:r>
        <w:t xml:space="preserve">a microfinance recovery call at 18:15 in December 2026 is refused;</w:t>
      </w:r>
    </w:p>
    <w:p>
      <w:pPr>
        <w:numPr>
          <w:ilvl w:val="0"/>
          <w:numId w:val="2122"/>
        </w:numPr>
        <w:pStyle w:val="Compact"/>
      </w:pPr>
      <w:r>
        <w:t xml:space="preserve">a promotional call to a DND number without consent is refused; with consent it routes only through the 140-series;</w:t>
      </w:r>
    </w:p>
    <w:p>
      <w:pPr>
        <w:numPr>
          <w:ilvl w:val="0"/>
          <w:numId w:val="2122"/>
        </w:numPr>
        <w:pStyle w:val="Compact"/>
      </w:pPr>
      <w:r>
        <w:t xml:space="preserve">the assistant discloses no balance before OTP, hands over on</w:t>
      </w:r>
      <w:r>
        <w:t xml:space="preserve"> </w:t>
      </w:r>
      <w:r>
        <w:t xml:space="preserve">‘</w:t>
      </w:r>
      <w:r>
        <w:t xml:space="preserve">agent</w:t>
      </w:r>
      <w:r>
        <w:t xml:space="preserve">’</w:t>
      </w:r>
      <w:r>
        <w:t xml:space="preserve">, and routes a settlement attempt to a human with the transcript;</w:t>
      </w:r>
    </w:p>
    <w:p>
      <w:pPr>
        <w:numPr>
          <w:ilvl w:val="0"/>
          <w:numId w:val="2122"/>
        </w:numPr>
        <w:pStyle w:val="Compact"/>
      </w:pPr>
      <w:r>
        <w:t xml:space="preserve">a recorded call without the announcement in the transcript fails QA and raises a conduct exception;</w:t>
      </w:r>
    </w:p>
    <w:p>
      <w:pPr>
        <w:numPr>
          <w:ilvl w:val="0"/>
          <w:numId w:val="2122"/>
        </w:numPr>
        <w:pStyle w:val="Compact"/>
      </w:pPr>
      <w:r>
        <w:t xml:space="preserve">a WhatsApp template for recovery or a legal notice cannot be created;</w:t>
      </w:r>
    </w:p>
    <w:p>
      <w:pPr>
        <w:numPr>
          <w:ilvl w:val="0"/>
          <w:numId w:val="2122"/>
        </w:numPr>
        <w:pStyle w:val="Compact"/>
      </w:pPr>
      <w:r>
        <w:t xml:space="preserve">the JioCX stub passes certification in sandbox and cannot be enabled for production while the residency-proof record is missing;</w:t>
      </w:r>
    </w:p>
    <w:p>
      <w:pPr>
        <w:numPr>
          <w:ilvl w:val="0"/>
          <w:numId w:val="2122"/>
        </w:numPr>
        <w:pStyle w:val="Compact"/>
      </w:pPr>
      <w:r>
        <w:t xml:space="preserve">a navigation test walks each role through the Appendix G entries for this phase and finds every screen, action and setting with the stated visibility and nothing more; a recovery window ending after 19:00 fails</w:t>
      </w:r>
      <w:r>
        <w:t xml:space="preserve"> </w:t>
      </w:r>
      <w:r>
        <w:rPr>
          <w:rStyle w:val="VerbatimChar"/>
        </w:rPr>
        <w:t xml:space="preserve">floor_violation</w:t>
      </w:r>
      <w:r>
        <w:t xml:space="preserve">.</w:t>
      </w:r>
    </w:p>
    <w:p>
      <w:pPr>
        <w:pStyle w:val="BlockText"/>
      </w:pPr>
      <w:r>
        <w:t xml:space="preserve">Show me the provider-interface contracts, the provider due-diligence matrix with residency evidence, the contact-policy rule table and the AI assistant’s permitted and prohibited intents, with the menu tree and settings catalogue of this phase (Appendix G), for approval before coding.”</w:t>
      </w:r>
    </w:p>
    <w:bookmarkEnd w:id="883"/>
    <w:bookmarkStart w:id="884" w:name="phase-19-migration-tooling"/>
    <w:p>
      <w:pPr>
        <w:pStyle w:val="Heading3"/>
      </w:pPr>
      <w:r>
        <w:t xml:space="preserve">Phase 19 — Migration tooling</w:t>
      </w:r>
    </w:p>
    <w:p>
      <w:pPr>
        <w:pStyle w:val="BlockText"/>
      </w:pPr>
      <w:r>
        <w:rPr>
          <w:bCs/>
          <w:b/>
        </w:rPr>
        <w:t xml:space="preserve">Instruction to Claude:</w:t>
      </w:r>
      <w:r>
        <w:t xml:space="preserve"> </w:t>
      </w:r>
      <w:r>
        <w:t xml:space="preserve">“</w:t>
      </w:r>
      <w:r>
        <w:t xml:space="preserve">Build the legacy loan-boarding toolkit, with history, opening balances, DPD reconstruction and reconciliation sign-off reports. For v1.5 tenants it must also: load opening balances into each book (</w:t>
      </w:r>
      <w:r>
        <w:rPr>
          <w:rStyle w:val="VerbatimChar"/>
        </w:rPr>
        <w:t xml:space="preserve">STAT</w:t>
      </w:r>
      <w:r>
        <w:t xml:space="preserve">,</w:t>
      </w:r>
      <w:r>
        <w:t xml:space="preserve"> </w:t>
      </w:r>
      <w:r>
        <w:rPr>
          <w:rStyle w:val="VerbatimChar"/>
        </w:rPr>
        <w:t xml:space="preserve">PRUD</w:t>
      </w:r>
      <w:r>
        <w:t xml:space="preserve">,</w:t>
      </w:r>
      <w:r>
        <w:t xml:space="preserve"> </w:t>
      </w:r>
      <w:r>
        <w:rPr>
          <w:rStyle w:val="VerbatimChar"/>
        </w:rPr>
        <w:t xml:space="preserve">TAX</w:t>
      </w:r>
      <w:r>
        <w:t xml:space="preserve">) with the framework and</w:t>
      </w:r>
      <w:r>
        <w:t xml:space="preserve"> </w:t>
      </w:r>
      <w:r>
        <w:rPr>
          <w:rStyle w:val="VerbatimChar"/>
        </w:rPr>
        <w:t xml:space="preserve">first_ind_as_year</w:t>
      </w:r>
      <w:r>
        <w:t xml:space="preserve"> </w:t>
      </w:r>
      <w:r>
        <w:t xml:space="preserve">resolved by Part 7C AC1; mark every migration batch in the statutory</w:t>
      </w:r>
      <w:r>
        <w:t xml:space="preserve"> </w:t>
      </w:r>
      <w:r>
        <w:rPr>
          <w:rStyle w:val="VerbatimChar"/>
        </w:rPr>
        <w:t xml:space="preserve">audit_log</w:t>
      </w:r>
      <w:r>
        <w:t xml:space="preserve"> </w:t>
      </w:r>
      <w:r>
        <w:t xml:space="preserve">(AC7); carry the legacy CIC account and member identifiers so the first Finbyx bureau file updates, never duplicates, existing tradelines (Part 7B RR6); import filed returns and acknowledgements as read-only evidence (RR5); board member, share and JLG or SHG group registers for co-operative and microfinance tenants (Part 7G IP2, IP4) and investment positions with classification locked (Part 7H IV1); accept a Part 7J archive as an input through the DP4 importer; and run as a guided wizard (map → dry run → reconcile → sign-off → cut-over) with a reconciliation dashboard, coordinated with the Operations Hub migration factory (OH4). Nothing is cut over until the trial balance, loan count and principal reconcile exactly, every DPD or classification difference is explained and approved, and the tenant’s CFO signs off.</w:t>
      </w:r>
      <w:r>
        <w:t xml:space="preserve">”</w:t>
      </w:r>
    </w:p>
    <w:bookmarkEnd w:id="884"/>
    <w:bookmarkStart w:id="885" w:name="X5dc0d2542a1a959311b733ef08dd364d01e2c9f"/>
    <w:p>
      <w:pPr>
        <w:pStyle w:val="Heading3"/>
      </w:pPr>
      <w:r>
        <w:t xml:space="preserve">Phase 20 — Scale hardening and AWS migration</w:t>
      </w:r>
    </w:p>
    <w:p>
      <w:pPr>
        <w:pStyle w:val="BlockText"/>
      </w:pPr>
      <w:r>
        <w:rPr>
          <w:bCs/>
          <w:b/>
        </w:rPr>
        <w:t xml:space="preserve">Instruction to Claude:</w:t>
      </w:r>
      <w:r>
        <w:t xml:space="preserve"> </w:t>
      </w:r>
      <w:r>
        <w:t xml:space="preserve">“Run multi-tenant scale tests. Then:</w:t>
      </w:r>
    </w:p>
    <w:p>
      <w:pPr>
        <w:numPr>
          <w:ilvl w:val="0"/>
          <w:numId w:val="2123"/>
        </w:numPr>
        <w:pStyle w:val="Compact"/>
      </w:pPr>
      <w:r>
        <w:t xml:space="preserve">write and rehearse the AWS ap-south-1 / ap-south-2 migration runbook;</w:t>
      </w:r>
    </w:p>
    <w:p>
      <w:pPr>
        <w:numPr>
          <w:ilvl w:val="0"/>
          <w:numId w:val="2123"/>
        </w:numPr>
        <w:pStyle w:val="Compact"/>
      </w:pPr>
      <w:r>
        <w:t xml:space="preserve">run DR at scale;</w:t>
      </w:r>
    </w:p>
    <w:p>
      <w:pPr>
        <w:numPr>
          <w:ilvl w:val="0"/>
          <w:numId w:val="2123"/>
        </w:numPr>
        <w:pStyle w:val="Compact"/>
      </w:pPr>
      <w:r>
        <w:t xml:space="preserve">do performance tuning;</w:t>
      </w:r>
    </w:p>
    <w:p>
      <w:pPr>
        <w:numPr>
          <w:ilvl w:val="0"/>
          <w:numId w:val="2123"/>
        </w:numPr>
        <w:pStyle w:val="Compact"/>
      </w:pPr>
      <w:r>
        <w:t xml:space="preserve">repeat independent VAPT.</w:t>
      </w:r>
    </w:p>
    <w:p>
      <w:pPr>
        <w:pStyle w:val="BlockText"/>
      </w:pPr>
      <w:r>
        <w:t xml:space="preserve">The migration must keep the Part 7L controls continuous: EO1 release controls and signed artefacts, EO3 backups, the immutable vault and restore evidence, the AC7 daily India books backup and audit-trail seals, and customer-held backups (Part 7J DP4). Engineering-operations evidence and certification readiness (EO1–EO5) are completed in Phase 20b.</w:t>
      </w:r>
    </w:p>
    <w:p>
      <w:pPr>
        <w:pStyle w:val="BlockText"/>
      </w:pPr>
      <w:r>
        <w:t xml:space="preserve">Present a controlled migration plan for my approval.”</w:t>
      </w:r>
    </w:p>
    <w:bookmarkEnd w:id="885"/>
    <w:bookmarkStart w:id="886" w:name="X227de6a3cf988608b8f57ce9d6abc59248d8654"/>
    <w:p>
      <w:pPr>
        <w:pStyle w:val="Heading3"/>
      </w:pPr>
      <w:r>
        <w:t xml:space="preserve">Phase 20b — Engineering operations evidence and certification readiness</w:t>
      </w:r>
    </w:p>
    <w:p>
      <w:pPr>
        <w:pStyle w:val="BlockText"/>
      </w:pPr>
      <w:r>
        <w:rPr>
          <w:bCs/>
          <w:b/>
        </w:rPr>
        <w:t xml:space="preserve">Instruction to Claude:</w:t>
      </w:r>
      <w:r>
        <w:t xml:space="preserve"> </w:t>
      </w:r>
      <w:r>
        <w:t xml:space="preserve">“The EO1 repository controls have run since Phase 1 and platform backups and drills since Phase P; this phase completes and evidences the programme across Part 7L EO1–EO5. Before writing the specification, verify: (i) the current GitHub plan and packaging (Team or Enterprise Cloud; Secret Protection and Code Security for private repositories; artifact attestations need Enterprise Cloud) and record the decision gate; (ii) CYB paras 39, 41–42, 92–93 and 102–147 (Ch V), 15–64 (Ch IV) and 8 (Ch III), OUT paras 34, 61, 74, 76–83 and 97(xvii), the CERT-In Directions of 28 Apr 2022 (6-hour reporting, 180-day logs in India, NTP) and DPDP Rules r.8(3); (iii) the current editions of PCI DSS v4.0.1 SAQ A (revised 31 Jan 2025), the AICPA Trust Services Criteria (2017, 2022 points of focus), ISO/IEC 27001:2022 with Amendment 1:2024, ISO/IEC 27701:2025, ISO 22301:2019, ISO/IEC 42001:2023, 27017 and 27018; (iv) the owner’s choice of certification order, certification body, CPA firm and the SOC 1 Type 2 offer (Appendix B); (v) Operations Hub phase O12 (OH13 console and OH14 control library). Then build:</w:t>
      </w:r>
    </w:p>
    <w:p>
      <w:pPr>
        <w:numPr>
          <w:ilvl w:val="0"/>
          <w:numId w:val="2124"/>
        </w:numPr>
        <w:pStyle w:val="Compact"/>
      </w:pPr>
      <w:r>
        <w:rPr>
          <w:bCs/>
          <w:b/>
        </w:rPr>
        <w:t xml:space="preserve">EO1 completion:</w:t>
      </w:r>
      <w:r>
        <w:t xml:space="preserve"> </w:t>
      </w:r>
      <w:r>
        <w:rPr>
          <w:rStyle w:val="VerbatimChar"/>
        </w:rPr>
        <w:t xml:space="preserve">release/*</w:t>
      </w:r>
      <w:r>
        <w:t xml:space="preserve"> </w:t>
      </w:r>
      <w:r>
        <w:t xml:space="preserve">rulesets with 2 approvals and hotfix-only merges; tag rules; a weekly release train with regulatory-impact notes 5 working days ahead; freeze windows (last 2 and first 3 working days of each month, quarter and FY close, CIC days 9th, 16th, 23rd and the month-end file); patch SLAs (critical, KEV-listed or exploited 72 hours; High 7 days; Medium 30; Low 90) with CISO exceptions expiring within 90 days; tenant and internal audit findings keep the AU4.3 defaults (15/30/90/180 days) and the stricter applies where both cover a finding;</w:t>
      </w:r>
      <w:r>
        <w:t xml:space="preserve"> </w:t>
      </w:r>
      <w:r>
        <w:rPr>
          <w:rStyle w:val="VerbatimChar"/>
        </w:rPr>
        <w:t xml:space="preserve">ReleasePublished</w:t>
      </w:r>
      <w:r>
        <w:t xml:space="preserve"> </w:t>
      </w:r>
      <w:r>
        <w:t xml:space="preserve">with SBOM hash and signature digest.</w:t>
      </w:r>
    </w:p>
    <w:p>
      <w:pPr>
        <w:numPr>
          <w:ilvl w:val="0"/>
          <w:numId w:val="2124"/>
        </w:numPr>
        <w:pStyle w:val="Compact"/>
      </w:pPr>
      <w:r>
        <w:rPr>
          <w:bCs/>
          <w:b/>
        </w:rPr>
        <w:t xml:space="preserve">EO2:</w:t>
      </w:r>
      <w:r>
        <w:t xml:space="preserve"> </w:t>
      </w:r>
      <w:r>
        <w:t xml:space="preserve">change classes (standard, normal, regulated with a compliance reviewer and golden-case pass, emergency); change records and a weekly CAB (quorum 4 including security) recorded in OH13 with</w:t>
      </w:r>
      <w:r>
        <w:t xml:space="preserve"> </w:t>
      </w:r>
      <w:r>
        <w:rPr>
          <w:rStyle w:val="VerbatimChar"/>
        </w:rPr>
        <w:t xml:space="preserve">ChangeApproved</w:t>
      </w:r>
      <w:r>
        <w:t xml:space="preserve">; vulnerability intake including</w:t>
      </w:r>
      <w:r>
        <w:t xml:space="preserve"> </w:t>
      </w:r>
      <w:r>
        <w:rPr>
          <w:rStyle w:val="VerbatimChar"/>
        </w:rPr>
        <w:t xml:space="preserve">security.txt</w:t>
      </w:r>
      <w:r>
        <w:t xml:space="preserve"> </w:t>
      </w:r>
      <w:r>
        <w:t xml:space="preserve">(RFC 9116); 24-hour critical triage with EPSS and KEV; an end-of-support register (CYB paras 92–93); a CYB para 106 certificate per material release and an escrow deposit (para 105) as deploy blockers; emergency change by two of CTO, CISO and on-call lead, a retrospective CAB within 2 working days and tenant notice within 2 hours of detection.</w:t>
      </w:r>
    </w:p>
    <w:p>
      <w:pPr>
        <w:numPr>
          <w:ilvl w:val="0"/>
          <w:numId w:val="2124"/>
        </w:numPr>
        <w:pStyle w:val="Compact"/>
      </w:pPr>
      <w:r>
        <w:rPr>
          <w:bCs/>
          <w:b/>
        </w:rPr>
        <w:t xml:space="preserve">EO3:</w:t>
      </w:r>
      <w:r>
        <w:t xml:space="preserve"> </w:t>
      </w:r>
      <w:r>
        <w:t xml:space="preserve">backup design (PITR 35 days, monthly copies 13 months, FY-end 8 years for books; cross-region to ap-south-2; immutable vault account in compliance mode); daily backup verification; quarterly full restore into an isolated India environment (TB, loan counts and audit hash chain equal); a half-yearly DR day including COB with measured RTO and RPO; yearly ransomware recovery from the vault; joint tenant tests; NTP drift alarms; drill reports as</w:t>
      </w:r>
      <w:r>
        <w:t xml:space="preserve"> </w:t>
      </w:r>
      <w:r>
        <w:rPr>
          <w:rStyle w:val="VerbatimChar"/>
        </w:rPr>
        <w:t xml:space="preserve">ControlEvidenceCollected</w:t>
      </w:r>
      <w:r>
        <w:t xml:space="preserve">.</w:t>
      </w:r>
    </w:p>
    <w:p>
      <w:pPr>
        <w:numPr>
          <w:ilvl w:val="0"/>
          <w:numId w:val="2124"/>
        </w:numPr>
        <w:pStyle w:val="Compact"/>
      </w:pPr>
      <w:r>
        <w:rPr>
          <w:bCs/>
          <w:b/>
        </w:rPr>
        <w:t xml:space="preserve">EO4:</w:t>
      </w:r>
      <w:r>
        <w:t xml:space="preserve"> </w:t>
      </w:r>
      <w:r>
        <w:t xml:space="preserve">independent CERT-In-empanelled testers rotated every 3 years; VAPT cadence per layer (internet-facing VA every 6 months and PT every 12 months for all tenants; mobile per OWASP MASVS; cloud posture; manual review of auth, ledger, payments and exports; agents and connectors); findings on the EO1.6 SLAs with retest; a one-action tenant IS-audit evidence pack through AU7; the SOC 1 Type 2 offer and the Rule 11(g) pack for statutory auditors; quarterly independent control testing; incident clocks (CERT-In 6 hours; tenant ≤ 2 hours).</w:t>
      </w:r>
    </w:p>
    <w:p>
      <w:pPr>
        <w:numPr>
          <w:ilvl w:val="0"/>
          <w:numId w:val="2124"/>
        </w:numPr>
        <w:pStyle w:val="Compact"/>
      </w:pPr>
      <w:r>
        <w:rPr>
          <w:bCs/>
          <w:b/>
        </w:rPr>
        <w:t xml:space="preserve">EO5:</w:t>
      </w:r>
      <w:r>
        <w:t xml:space="preserve"> </w:t>
      </w:r>
      <w:r>
        <w:t xml:space="preserve">the common control framework in OH14 with many-to-many mappings (CYB, OUT, CF, DPS, CERT-In, DPDP, ISO 27001 Annex A, 27701, 22301, SOC 2 TSC, PCI SAQ A, CA13 ss.134(5)(e) and 143(3)(i), the Rule 11(g) guide); Finbyx-side collectors (ruleset drift, CODEOWNERS coverage, CI results, SBOM and signatures, vulnerability SLA metrics, MFA coverage, quarterly access reviews with</w:t>
      </w:r>
      <w:r>
        <w:t xml:space="preserve"> </w:t>
      </w:r>
      <w:r>
        <w:rPr>
          <w:rStyle w:val="VerbatimChar"/>
        </w:rPr>
        <w:t xml:space="preserve">AccessReviewCompleted</w:t>
      </w:r>
      <w:r>
        <w:t xml:space="preserve"> </w:t>
      </w:r>
      <w:r>
        <w:t xml:space="preserve">(</w:t>
      </w:r>
      <w:r>
        <w:rPr>
          <w:rStyle w:val="VerbatimChar"/>
        </w:rPr>
        <w:t xml:space="preserve">review_scope</w:t>
      </w:r>
      <w:r>
        <w:t xml:space="preserve"> </w:t>
      </w:r>
      <w:r>
        <w:t xml:space="preserve">PLATFORM to OH13 and OH14; TENANT reviews stay with the tenant), change and CAB records, backup and DR reports, VAPT, incidents, KMS policies, isolation tests, hash-chain verification, log retention); evidence freshness; and the claims gate — certification is a programme, so no text may say</w:t>
      </w:r>
      <w:r>
        <w:t xml:space="preserve"> </w:t>
      </w:r>
      <w:r>
        <w:t xml:space="preserve">‘</w:t>
      </w:r>
      <w:r>
        <w:t xml:space="preserve">certified</w:t>
      </w:r>
      <w:r>
        <w:t xml:space="preserve">’</w:t>
      </w:r>
      <w:r>
        <w:t xml:space="preserve"> </w:t>
      </w:r>
      <w:r>
        <w:t xml:space="preserve">before the report or certificate is issued (Part 10.6 item 12 as reworded). Policies are drafted later as a separate workstream.</w:t>
      </w:r>
    </w:p>
    <w:p>
      <w:pPr>
        <w:numPr>
          <w:ilvl w:val="0"/>
          <w:numId w:val="2124"/>
        </w:numPr>
        <w:pStyle w:val="Compact"/>
      </w:pPr>
      <w:r>
        <w:rPr>
          <w:bCs/>
          <w:b/>
        </w:rPr>
        <w:t xml:space="preserve">Menus, screens and settings:</w:t>
      </w:r>
      <w:r>
        <w:t xml:space="preserve"> </w:t>
      </w:r>
      <w:r>
        <w:t xml:space="preserve">build workspace O (Platform Administration) for Infrabyx and the evidence-pack screens of workspace N for tenants; the cross-product console stays in Operations Hub OH13 exactly as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7L (EO1–EO5) specify (navigation paths, list, detail, wizard, approval-queue and dashboard screens, actions, bulk actions, filters, exports, empty and error states, role visibility, and each setting with its scope, default and floor), and register every entry in Appendix G; freeze windows, patch SLAs and release gates can only be tightened per tenant contract.</w:t>
      </w:r>
    </w:p>
    <w:p>
      <w:pPr>
        <w:pStyle w:val="BlockText"/>
      </w:pPr>
      <w:r>
        <w:t xml:space="preserve">Tests and acceptance evidence:</w:t>
      </w:r>
    </w:p>
    <w:p>
      <w:pPr>
        <w:numPr>
          <w:ilvl w:val="0"/>
          <w:numId w:val="2125"/>
        </w:numPr>
        <w:pStyle w:val="Compact"/>
      </w:pPr>
      <w:r>
        <w:t xml:space="preserve">the nightly ruleset export shows direct pushes, force pushes and unsigned commits rejected; a pull request touching</w:t>
      </w:r>
      <w:r>
        <w:t xml:space="preserve"> </w:t>
      </w:r>
      <w:r>
        <w:rPr>
          <w:rStyle w:val="VerbatimChar"/>
        </w:rPr>
        <w:t xml:space="preserve">/migrations/</w:t>
      </w:r>
      <w:r>
        <w:t xml:space="preserve"> </w:t>
      </w:r>
      <w:r>
        <w:t xml:space="preserve">with one owner approval fails</w:t>
      </w:r>
      <w:r>
        <w:t xml:space="preserve"> </w:t>
      </w:r>
      <w:r>
        <w:rPr>
          <w:rStyle w:val="VerbatimChar"/>
        </w:rPr>
        <w:t xml:space="preserve">sensitive-path-approvals</w:t>
      </w:r>
      <w:r>
        <w:t xml:space="preserve">;</w:t>
      </w:r>
    </w:p>
    <w:p>
      <w:pPr>
        <w:numPr>
          <w:ilvl w:val="0"/>
          <w:numId w:val="2125"/>
        </w:numPr>
        <w:pStyle w:val="Compact"/>
      </w:pPr>
      <w:r>
        <w:t xml:space="preserve">a deployment to</w:t>
      </w:r>
      <w:r>
        <w:t xml:space="preserve"> </w:t>
      </w:r>
      <w:r>
        <w:rPr>
          <w:rStyle w:val="VerbatimChar"/>
        </w:rPr>
        <w:t xml:space="preserve">prod-in</w:t>
      </w:r>
      <w:r>
        <w:t xml:space="preserve"> </w:t>
      </w:r>
      <w:r>
        <w:t xml:space="preserve">from an untagged commit or with an unsigned image is refused; a material release without a CYB para 106 certificate and escrow receipt cannot be published;</w:t>
      </w:r>
    </w:p>
    <w:p>
      <w:pPr>
        <w:numPr>
          <w:ilvl w:val="0"/>
          <w:numId w:val="2125"/>
        </w:numPr>
        <w:pStyle w:val="Compact"/>
      </w:pPr>
      <w:r>
        <w:t xml:space="preserve">an emergency change with one approver cannot deploy, and a missing retrospective CAB after 2 working days raises an OH14 exception;</w:t>
      </w:r>
    </w:p>
    <w:p>
      <w:pPr>
        <w:numPr>
          <w:ilvl w:val="0"/>
          <w:numId w:val="2125"/>
        </w:numPr>
        <w:pStyle w:val="Compact"/>
      </w:pPr>
      <w:r>
        <w:t xml:space="preserve">a quarterly restore reproduces the source TB and audit hash chain; deleting a vault recovery point from the production account is denied;</w:t>
      </w:r>
    </w:p>
    <w:p>
      <w:pPr>
        <w:numPr>
          <w:ilvl w:val="0"/>
          <w:numId w:val="2125"/>
        </w:numPr>
        <w:pStyle w:val="Compact"/>
      </w:pPr>
      <w:r>
        <w:t xml:space="preserve">a VAPT critical finding closed without retest fails the evidence check; a Chapter V tenant’s pack flags a PT older than 12 months 30 days ahead;</w:t>
      </w:r>
    </w:p>
    <w:p>
      <w:pPr>
        <w:numPr>
          <w:ilvl w:val="0"/>
          <w:numId w:val="2125"/>
        </w:numPr>
        <w:pStyle w:val="Compact"/>
      </w:pPr>
      <w:r>
        <w:t xml:space="preserve">‘</w:t>
      </w:r>
      <w:r>
        <w:t xml:space="preserve">SOC 2 certified</w:t>
      </w:r>
      <w:r>
        <w:t xml:space="preserve">’</w:t>
      </w:r>
      <w:r>
        <w:t xml:space="preserve"> </w:t>
      </w:r>
      <w:r>
        <w:t xml:space="preserve">text without an issued-report record fails the claims gate; every CCF control has an owner, a mapping and a collector or documented manual procedure;</w:t>
      </w:r>
    </w:p>
    <w:p>
      <w:pPr>
        <w:numPr>
          <w:ilvl w:val="0"/>
          <w:numId w:val="2125"/>
        </w:numPr>
        <w:pStyle w:val="Compact"/>
      </w:pPr>
      <w:r>
        <w:t xml:space="preserve">a navigation test walks each role through the Appendix G entries for this phase and finds every screen, action and setting with the stated visibility and nothing more; a patch-SLA setting looser than EO1.6 fails</w:t>
      </w:r>
      <w:r>
        <w:t xml:space="preserve"> </w:t>
      </w:r>
      <w:r>
        <w:rPr>
          <w:rStyle w:val="VerbatimChar"/>
        </w:rPr>
        <w:t xml:space="preserve">floor_violation</w:t>
      </w:r>
      <w:r>
        <w:t xml:space="preserve">.</w:t>
      </w:r>
    </w:p>
    <w:p>
      <w:pPr>
        <w:pStyle w:val="BlockText"/>
      </w:pPr>
      <w:r>
        <w:t xml:space="preserve">Show me the control framework with mappings, the collector list, the change-class policy, the drill calendar, the VAPT scope and the certification roadmap with the owner’s decisions, with the menu tree and settings catalogue of this phase (Appendix G), for approval before coding.”</w:t>
      </w:r>
    </w:p>
    <w:p>
      <w:r>
        <w:pict>
          <v:rect style="width:0;height:1.5pt" o:hralign="center" o:hrstd="t" o:hr="t"/>
        </w:pict>
      </w:r>
    </w:p>
    <w:bookmarkEnd w:id="886"/>
    <w:bookmarkEnd w:id="887"/>
    <w:bookmarkStart w:id="888" w:name="part-13-start-now"/>
    <w:p>
      <w:pPr>
        <w:pStyle w:val="Heading1"/>
      </w:pPr>
      <w:r>
        <w:t xml:space="preserve">PART 13 — START NOW</w:t>
      </w:r>
    </w:p>
    <w:p>
      <w:pPr>
        <w:pStyle w:val="FirstParagraph"/>
      </w:pPr>
      <w:r>
        <w:t xml:space="preserve">I have connected my GitHub repository for Finbyx, and this file is committed at</w:t>
      </w:r>
      <w:r>
        <w:t xml:space="preserve"> </w:t>
      </w:r>
      <w:r>
        <w:rPr>
          <w:rStyle w:val="VerbatimChar"/>
        </w:rPr>
        <w:t xml:space="preserve">docs/00-master-prompt.md</w:t>
      </w:r>
      <w:r>
        <w:t xml:space="preserve">. Do</w:t>
      </w:r>
      <w:r>
        <w:t xml:space="preserve"> </w:t>
      </w:r>
      <w:r>
        <w:rPr>
          <w:bCs/>
          <w:b/>
        </w:rPr>
        <w:t xml:space="preserve">not</w:t>
      </w:r>
      <w:r>
        <w:t xml:space="preserve"> </w:t>
      </w:r>
      <w:r>
        <w:t xml:space="preserve">begin by implementing the complete lending system.</w:t>
      </w:r>
    </w:p>
    <w:p>
      <w:pPr>
        <w:pStyle w:val="BodyText"/>
      </w:pPr>
      <w:r>
        <w:t xml:space="preserve">First, execute</w:t>
      </w:r>
      <w:r>
        <w:t xml:space="preserve"> </w:t>
      </w:r>
      <w:r>
        <w:rPr>
          <w:bCs/>
          <w:b/>
        </w:rPr>
        <w:t xml:space="preserve">Phase 0 only</w:t>
      </w:r>
      <w:r>
        <w:t xml:space="preserve">:</w:t>
      </w:r>
    </w:p>
    <w:p>
      <w:pPr>
        <w:numPr>
          <w:ilvl w:val="0"/>
          <w:numId w:val="2126"/>
        </w:numPr>
        <w:pStyle w:val="Compact"/>
      </w:pPr>
      <w:r>
        <w:t xml:space="preserve">Read this whole file, including Parts 7A–7L, Part 8A.37 and the appendices, and docs/ecosystem/infrabyx-integration-spec.md (v1.1). Note which Parts depend on the separate Infrabyx Operations Hub (Parts 7K and 7L, R11) and list those integration points.</w:t>
      </w:r>
    </w:p>
    <w:p>
      <w:pPr>
        <w:numPr>
          <w:ilvl w:val="0"/>
          <w:numId w:val="2126"/>
        </w:numPr>
        <w:pStyle w:val="Compact"/>
      </w:pPr>
      <w:r>
        <w:t xml:space="preserve">Inspect the repository and report its current state: files, branch, tooling and constraints.</w:t>
      </w:r>
    </w:p>
    <w:p>
      <w:pPr>
        <w:numPr>
          <w:ilvl w:val="0"/>
          <w:numId w:val="2126"/>
        </w:numPr>
        <w:pStyle w:val="Compact"/>
      </w:pPr>
      <w:r>
        <w:t xml:space="preserve">Audit the current Finbyx product.</w:t>
      </w:r>
    </w:p>
    <w:p>
      <w:pPr>
        <w:numPr>
          <w:ilvl w:val="0"/>
          <w:numId w:val="2126"/>
        </w:numPr>
        <w:pStyle w:val="Compact"/>
      </w:pPr>
      <w:r>
        <w:t xml:space="preserve">Identify missing business decisions and the major architecture, regulatory, data-residency and financial-integrity risks.</w:t>
      </w:r>
    </w:p>
    <w:p>
      <w:pPr>
        <w:numPr>
          <w:ilvl w:val="0"/>
          <w:numId w:val="2126"/>
        </w:numPr>
        <w:pStyle w:val="Compact"/>
      </w:pPr>
      <w:r>
        <w:t xml:space="preserve">Propose, as ADRs:</w:t>
      </w:r>
    </w:p>
    <w:p>
      <w:pPr>
        <w:numPr>
          <w:ilvl w:val="1"/>
          <w:numId w:val="2127"/>
        </w:numPr>
        <w:pStyle w:val="Compact"/>
      </w:pPr>
      <w:r>
        <w:t xml:space="preserve">the repository structure;</w:t>
      </w:r>
    </w:p>
    <w:p>
      <w:pPr>
        <w:numPr>
          <w:ilvl w:val="1"/>
          <w:numId w:val="2127"/>
        </w:numPr>
        <w:pStyle w:val="Compact"/>
      </w:pPr>
      <w:r>
        <w:t xml:space="preserve">the tenancy and authorisation strategy;</w:t>
      </w:r>
    </w:p>
    <w:p>
      <w:pPr>
        <w:numPr>
          <w:ilvl w:val="1"/>
          <w:numId w:val="2127"/>
        </w:numPr>
        <w:pStyle w:val="Compact"/>
      </w:pPr>
      <w:r>
        <w:t xml:space="preserve">the Fineract adoption approach;</w:t>
      </w:r>
    </w:p>
    <w:p>
      <w:pPr>
        <w:numPr>
          <w:ilvl w:val="1"/>
          <w:numId w:val="2127"/>
        </w:numPr>
        <w:pStyle w:val="Compact"/>
      </w:pPr>
      <w:r>
        <w:t xml:space="preserve">the technology choices, with current versions.</w:t>
      </w:r>
    </w:p>
    <w:p>
      <w:pPr>
        <w:numPr>
          <w:ilvl w:val="0"/>
          <w:numId w:val="2126"/>
        </w:numPr>
        <w:pStyle w:val="Compact"/>
      </w:pPr>
      <w:r>
        <w:t xml:space="preserve">Prepare the initial entity model and the API/integration boundaries, including the outline of the Udofin contract and the Operations Hub boundary (plans, entitlements, aggregated usage, releases and evidence only).</w:t>
      </w:r>
    </w:p>
    <w:p>
      <w:pPr>
        <w:numPr>
          <w:ilvl w:val="0"/>
          <w:numId w:val="2126"/>
        </w:numPr>
        <w:pStyle w:val="Compact"/>
      </w:pPr>
      <w:r>
        <w:t xml:space="preserve">Prepare regulatory register v1, as described in the Phase 0 instruction, item 7, including the Part 8A.37 codes and the return-registry seed (Part 7B RR1.2), so that returns and bureau files are planned from day one.</w:t>
      </w:r>
    </w:p>
    <w:p>
      <w:pPr>
        <w:numPr>
          <w:ilvl w:val="0"/>
          <w:numId w:val="2126"/>
        </w:numPr>
        <w:pStyle w:val="Compact"/>
      </w:pPr>
      <w:r>
        <w:t xml:space="preserve">Prepare:</w:t>
      </w:r>
    </w:p>
    <w:p>
      <w:pPr>
        <w:numPr>
          <w:ilvl w:val="1"/>
          <w:numId w:val="2128"/>
        </w:numPr>
        <w:pStyle w:val="Compact"/>
      </w:pPr>
      <w:r>
        <w:t xml:space="preserve">the phased roadmap, with dependencies and acceptance criteria;</w:t>
      </w:r>
    </w:p>
    <w:p>
      <w:pPr>
        <w:numPr>
          <w:ilvl w:val="1"/>
          <w:numId w:val="2128"/>
        </w:numPr>
        <w:pStyle w:val="Compact"/>
      </w:pPr>
      <w:r>
        <w:t xml:space="preserve">the minimum security, testing and review gates;</w:t>
      </w:r>
    </w:p>
    <w:p>
      <w:pPr>
        <w:numPr>
          <w:ilvl w:val="1"/>
          <w:numId w:val="2128"/>
        </w:numPr>
        <w:pStyle w:val="Compact"/>
      </w:pPr>
      <w:r>
        <w:t xml:space="preserve">the competitor benchmark.</w:t>
      </w:r>
    </w:p>
    <w:p>
      <w:pPr>
        <w:numPr>
          <w:ilvl w:val="0"/>
          <w:numId w:val="2126"/>
        </w:numPr>
        <w:pStyle w:val="Compact"/>
      </w:pPr>
      <w:r>
        <w:t xml:space="preserve">Present the proposed baseline and your questions for my approval</w:t>
      </w:r>
      <w:r>
        <w:t xml:space="preserve"> </w:t>
      </w:r>
      <w:r>
        <w:rPr>
          <w:bCs/>
          <w:b/>
        </w:rPr>
        <w:t xml:space="preserve">before</w:t>
      </w:r>
      <w:r>
        <w:t xml:space="preserve"> </w:t>
      </w:r>
      <w:r>
        <w:t xml:space="preserve">modifying the repository.</w:t>
      </w:r>
    </w:p>
    <w:p>
      <w:pPr>
        <w:pStyle w:val="FirstParagraph"/>
      </w:pPr>
      <w:r>
        <w:t xml:space="preserve">After approval:</w:t>
      </w:r>
    </w:p>
    <w:p>
      <w:pPr>
        <w:numPr>
          <w:ilvl w:val="0"/>
          <w:numId w:val="2129"/>
        </w:numPr>
        <w:pStyle w:val="Compact"/>
      </w:pPr>
      <w:r>
        <w:t xml:space="preserve">Create the</w:t>
      </w:r>
      <w:r>
        <w:t xml:space="preserve"> </w:t>
      </w:r>
      <w:r>
        <w:rPr>
          <w:rStyle w:val="VerbatimChar"/>
        </w:rPr>
        <w:t xml:space="preserve">feat/repo-baseline</w:t>
      </w:r>
      <w:r>
        <w:t xml:space="preserve"> </w:t>
      </w:r>
      <w:r>
        <w:t xml:space="preserve">branch.</w:t>
      </w:r>
    </w:p>
    <w:p>
      <w:pPr>
        <w:numPr>
          <w:ilvl w:val="0"/>
          <w:numId w:val="2129"/>
        </w:numPr>
        <w:pStyle w:val="Compact"/>
      </w:pPr>
      <w:r>
        <w:t xml:space="preserve">Commit only</w:t>
      </w:r>
      <w:r>
        <w:t xml:space="preserve"> </w:t>
      </w:r>
      <w:r>
        <w:rPr>
          <w:rStyle w:val="VerbatimChar"/>
        </w:rPr>
        <w:t xml:space="preserve">CLAUDE.md</w:t>
      </w:r>
      <w:r>
        <w:t xml:space="preserve"> </w:t>
      </w:r>
      <w:r>
        <w:t xml:space="preserve">(from Appendix A), the ADRs,</w:t>
      </w:r>
      <w:r>
        <w:t xml:space="preserve"> </w:t>
      </w:r>
      <w:r>
        <w:rPr>
          <w:rStyle w:val="VerbatimChar"/>
        </w:rPr>
        <w:t xml:space="preserve">docs/</w:t>
      </w:r>
      <w:r>
        <w:t xml:space="preserve">, the registers and</w:t>
      </w:r>
      <w:r>
        <w:t xml:space="preserve"> </w:t>
      </w:r>
      <w:r>
        <w:rPr>
          <w:rStyle w:val="VerbatimChar"/>
        </w:rPr>
        <w:t xml:space="preserve">docs/regulations/errata.md</w:t>
      </w:r>
      <w:r>
        <w:t xml:space="preserve"> </w:t>
      </w:r>
      <w:r>
        <w:t xml:space="preserve">(seeded from Appendix F and the superseded owner references in Part 8A.37.1). Application scaffolding belongs to Phase 1.</w:t>
      </w:r>
    </w:p>
    <w:p>
      <w:pPr>
        <w:numPr>
          <w:ilvl w:val="0"/>
          <w:numId w:val="2129"/>
        </w:numPr>
        <w:pStyle w:val="Compact"/>
      </w:pPr>
      <w:r>
        <w:t xml:space="preserve">Open a pull request.</w:t>
      </w:r>
    </w:p>
    <w:p>
      <w:pPr>
        <w:pStyle w:val="FirstParagraph"/>
      </w:pPr>
      <w:r>
        <w:t xml:space="preserve">Throughout development you may ask me as many questions as you need. I will act as project manager; you will architect and build Finbyx.</w:t>
      </w:r>
    </w:p>
    <w:p>
      <w:r>
        <w:pict>
          <v:rect style="width:0;height:1.5pt" o:hralign="center" o:hrstd="t" o:hr="t"/>
        </w:pict>
      </w:r>
    </w:p>
    <w:bookmarkEnd w:id="888"/>
    <w:bookmarkStart w:id="889" w:name="X11b3f370b9f93ad9156339ef3d6d9bb1687f372"/>
    <w:p>
      <w:pPr>
        <w:pStyle w:val="Heading1"/>
      </w:pPr>
      <w:r>
        <w:t xml:space="preserve">APPENDIX A — CLAUDE.md SEED (keep concise and stable)</w:t>
      </w:r>
    </w:p>
    <w:p>
      <w:pPr>
        <w:pStyle w:val="SourceCode"/>
      </w:pPr>
      <w:r>
        <w:rPr>
          <w:rStyle w:val="FunctionTok"/>
        </w:rPr>
        <w:t xml:space="preserve"># Finbyx — Claude Code Project Instructions</w:t>
      </w:r>
      <w:r>
        <w:br/>
      </w:r>
      <w:r>
        <w:br/>
      </w:r>
      <w:r>
        <w:rPr>
          <w:rStyle w:val="FunctionTok"/>
        </w:rPr>
        <w:t xml:space="preserve">## What this is</w:t>
      </w:r>
      <w:r>
        <w:br/>
      </w:r>
      <w:r>
        <w:rPr>
          <w:rStyle w:val="NormalTok"/>
        </w:rPr>
        <w:t xml:space="preserve">Finbyx: multi-tenant web LOS + LMS + accounting + collections/recovery + risk +</w:t>
      </w:r>
      <w:r>
        <w:br/>
      </w:r>
      <w:r>
        <w:rPr>
          <w:rStyle w:val="NormalTok"/>
        </w:rPr>
        <w:t xml:space="preserve">regulatory reporting + compliance + audit + governance for Indian lenders (NBFC/HFC/UCB/banks,</w:t>
      </w:r>
      <w:r>
        <w:br/>
      </w:r>
      <w:r>
        <w:rPr>
          <w:rStyle w:val="NormalTok"/>
        </w:rPr>
        <w:t xml:space="preserve">co-operatives, ARCs, CICs and investment companies, IFSC entities).</w:t>
      </w:r>
      <w:r>
        <w:br/>
      </w:r>
      <w:r>
        <w:rPr>
          <w:rStyle w:val="NormalTok"/>
        </w:rPr>
        <w:t xml:space="preserve">Part of the Infrabyx ecosystem (Udofin LSP, LawDocsComply GRC, Equator ODR, Operations Hub) — integrate</w:t>
      </w:r>
      <w:r>
        <w:br/>
      </w:r>
      <w:r>
        <w:rPr>
          <w:rStyle w:val="NormalTok"/>
        </w:rPr>
        <w:t xml:space="preserve">only via versioned contracts. Full brief: docs/00-master-prompt.md.</w:t>
      </w:r>
      <w:r>
        <w:br/>
      </w:r>
      <w:r>
        <w:br/>
      </w:r>
      <w:r>
        <w:rPr>
          <w:rStyle w:val="FunctionTok"/>
        </w:rPr>
        <w:t xml:space="preserve">## Non-negotiables</w:t>
      </w:r>
      <w:r>
        <w:br/>
      </w:r>
      <w:r>
        <w:rPr>
          <w:rStyle w:val="SpecialStringTok"/>
        </w:rPr>
        <w:t xml:space="preserve">- </w:t>
      </w:r>
      <w:r>
        <w:rPr>
          <w:rStyle w:val="NormalTok"/>
        </w:rPr>
        <w:t xml:space="preserve">Feature branches + PRs only. Never push to main, deploy to prod, touch prod data or</w:t>
      </w:r>
      <w:r>
        <w:br/>
      </w:r>
      <w:r>
        <w:rPr>
          <w:rStyle w:val="NormalTok"/>
        </w:rPr>
        <w:t xml:space="preserve">  rotate live credentials without explicit owner approval.</w:t>
      </w:r>
      <w:r>
        <w:br/>
      </w:r>
      <w:r>
        <w:rPr>
          <w:rStyle w:val="SpecialStringTok"/>
        </w:rPr>
        <w:t xml:space="preserve">- </w:t>
      </w:r>
      <w:r>
        <w:rPr>
          <w:rStyle w:val="NormalTok"/>
        </w:rPr>
        <w:t xml:space="preserve">Spec → approval → code. Explain logic in plain English before code. Small commits.</w:t>
      </w:r>
      <w:r>
        <w:br/>
      </w:r>
      <w:r>
        <w:rPr>
          <w:rStyle w:val="SpecialStringTok"/>
        </w:rPr>
        <w:t xml:space="preserve">- </w:t>
      </w:r>
      <w:r>
        <w:rPr>
          <w:rStyle w:val="NormalTok"/>
        </w:rPr>
        <w:t xml:space="preserve">Never claim a test passed unless run; paste results. Mark mocks vs live clearly.</w:t>
      </w:r>
      <w:r>
        <w:br/>
      </w:r>
      <w:r>
        <w:rPr>
          <w:rStyle w:val="SpecialStringTok"/>
        </w:rPr>
        <w:t xml:space="preserve">- </w:t>
      </w:r>
      <w:r>
        <w:rPr>
          <w:rStyle w:val="NormalTok"/>
        </w:rPr>
        <w:t xml:space="preserve">No secrets, real borrower data, Aadhaar/PAN/OTP/account numbers in code, logs or fixtures.</w:t>
      </w:r>
      <w:r>
        <w:br/>
      </w:r>
      <w:r>
        <w:rPr>
          <w:rStyle w:val="SpecialStringTok"/>
        </w:rPr>
        <w:t xml:space="preserve">- </w:t>
      </w:r>
      <w:r>
        <w:rPr>
          <w:rStyle w:val="NormalTok"/>
        </w:rPr>
        <w:t xml:space="preserve">Money: NUMERIC in DB, decimal.js in TS, strings in APIs. Never floats.</w:t>
      </w:r>
      <w:r>
        <w:br/>
      </w:r>
      <w:r>
        <w:rPr>
          <w:rStyle w:val="SpecialStringTok"/>
        </w:rPr>
        <w:t xml:space="preserve">- </w:t>
      </w:r>
      <w:r>
        <w:rPr>
          <w:rStyle w:val="NormalTok"/>
        </w:rPr>
        <w:t xml:space="preserve">Ledger is append-only and always balanced; corrections by reversal only.</w:t>
      </w:r>
      <w:r>
        <w:br/>
      </w:r>
      <w:r>
        <w:rPr>
          <w:rStyle w:val="SpecialStringTok"/>
        </w:rPr>
        <w:t xml:space="preserve">- </w:t>
      </w:r>
      <w:r>
        <w:rPr>
          <w:rStyle w:val="NormalTok"/>
        </w:rPr>
        <w:t xml:space="preserve">Every financial write is idempotent; state machines govern all lifecycle changes.</w:t>
      </w:r>
      <w:r>
        <w:br/>
      </w:r>
      <w:r>
        <w:rPr>
          <w:rStyle w:val="SpecialStringTok"/>
        </w:rPr>
        <w:t xml:space="preserve">- </w:t>
      </w:r>
      <w:r>
        <w:rPr>
          <w:rStyle w:val="NormalTok"/>
        </w:rPr>
        <w:t xml:space="preserve">Tenant/entity/branch isolation enforced in API, services AND Postgres RLS — and tested.</w:t>
      </w:r>
      <w:r>
        <w:br/>
      </w:r>
      <w:r>
        <w:rPr>
          <w:rStyle w:val="SpecialStringTok"/>
        </w:rPr>
        <w:t xml:space="preserve">- </w:t>
      </w:r>
      <w:r>
        <w:rPr>
          <w:rStyle w:val="NormalTok"/>
        </w:rPr>
        <w:t xml:space="preserve">Regulatory parameters live in versioned rule packs with guard-rails; tenants cannot</w:t>
      </w:r>
      <w:r>
        <w:br/>
      </w:r>
      <w:r>
        <w:rPr>
          <w:rStyle w:val="NormalTok"/>
        </w:rPr>
        <w:t xml:space="preserve">  override regulatory safeguards.</w:t>
      </w:r>
      <w:r>
        <w:br/>
      </w:r>
      <w:r>
        <w:rPr>
          <w:rStyle w:val="SpecialStringTok"/>
        </w:rPr>
        <w:t xml:space="preserve">- </w:t>
      </w:r>
      <w:r>
        <w:rPr>
          <w:rStyle w:val="NormalTok"/>
        </w:rPr>
        <w:t xml:space="preserve">Before any regulated workflow: verify the current RBI/other source and update</w:t>
      </w:r>
      <w:r>
        <w:br/>
      </w:r>
      <w:r>
        <w:rPr>
          <w:rStyle w:val="NormalTok"/>
        </w:rPr>
        <w:t xml:space="preserve">  docs/compliance/requirements-to-controls.md. Distinguish law vs interpretation.</w:t>
      </w:r>
      <w:r>
        <w:br/>
      </w:r>
      <w:r>
        <w:rPr>
          <w:rStyle w:val="SpecialStringTok"/>
        </w:rPr>
        <w:t xml:space="preserve">- </w:t>
      </w:r>
      <w:r>
        <w:rPr>
          <w:rStyle w:val="NormalTok"/>
        </w:rPr>
        <w:t xml:space="preserve">AI never approves/rejects/prices loans, moves money, rejects complaints or alters terms.</w:t>
      </w:r>
      <w:r>
        <w:br/>
      </w:r>
      <w:r>
        <w:rPr>
          <w:rStyle w:val="SpecialStringTok"/>
        </w:rPr>
        <w:t xml:space="preserve">- </w:t>
      </w:r>
      <w:r>
        <w:rPr>
          <w:rStyle w:val="NormalTok"/>
        </w:rPr>
        <w:t xml:space="preserve">Data stays in India (prod data, backups, logs, SaaS sub-processors). Railway or any non-India host:</w:t>
      </w:r>
      <w:r>
        <w:br/>
      </w:r>
      <w:r>
        <w:rPr>
          <w:rStyle w:val="NormalTok"/>
        </w:rPr>
        <w:t xml:space="preserve">  synthetic data only.</w:t>
      </w:r>
      <w:r>
        <w:br/>
      </w:r>
      <w:r>
        <w:rPr>
          <w:rStyle w:val="SpecialStringTok"/>
        </w:rPr>
        <w:t xml:space="preserve">- </w:t>
      </w:r>
      <w:r>
        <w:rPr>
          <w:rStyle w:val="NormalTok"/>
        </w:rPr>
        <w:t xml:space="preserve">KFS validity is not a waiting period; COB never accrues income on an account turning NPA.</w:t>
      </w:r>
      <w:r>
        <w:br/>
      </w:r>
      <w:r>
        <w:rPr>
          <w:rStyle w:val="SpecialStringTok"/>
        </w:rPr>
        <w:t xml:space="preserve">- </w:t>
      </w:r>
      <w:r>
        <w:rPr>
          <w:rStyle w:val="NormalTok"/>
        </w:rPr>
        <w:t xml:space="preserve">Part 8A citations are verified against the official RBI texts in docs/regulations/rbi/; prefer them</w:t>
      </w:r>
      <w:r>
        <w:br/>
      </w:r>
      <w:r>
        <w:rPr>
          <w:rStyle w:val="NormalTok"/>
        </w:rPr>
        <w:t xml:space="preserve">  over any other citation. ORM IDs are guidance, not Directions. Drafting slips: docs/regulations/errata.md.</w:t>
      </w:r>
      <w:r>
        <w:br/>
      </w:r>
      <w:r>
        <w:rPr>
          <w:rStyle w:val="SpecialStringTok"/>
        </w:rPr>
        <w:t xml:space="preserve">- </w:t>
      </w:r>
      <w:r>
        <w:rPr>
          <w:rStyle w:val="NormalTok"/>
        </w:rPr>
        <w:t xml:space="preserve">Ecosystem contracts: docs/ecosystem/infrabyx-integration-spec.md is canonical; propose new events,</w:t>
      </w:r>
      <w:r>
        <w:br/>
      </w:r>
      <w:r>
        <w:rPr>
          <w:rStyle w:val="NormalTok"/>
        </w:rPr>
        <w:t xml:space="preserve">  never invent them locally.</w:t>
      </w:r>
      <w:r>
        <w:br/>
      </w:r>
      <w:r>
        <w:rPr>
          <w:rStyle w:val="SpecialStringTok"/>
        </w:rPr>
        <w:t xml:space="preserve">- </w:t>
      </w:r>
      <w:r>
        <w:rPr>
          <w:rStyle w:val="NormalTok"/>
        </w:rPr>
        <w:t xml:space="preserve">Recovery Suite (Part 7A) is attachable: entitlement + flag checked server-side; detach =</w:t>
      </w:r>
      <w:r>
        <w:br/>
      </w:r>
      <w:r>
        <w:rPr>
          <w:rStyle w:val="NormalTok"/>
        </w:rPr>
        <w:t xml:space="preserve">  read-only + export pack; never delete regulated, legal or recovery records.</w:t>
      </w:r>
      <w:r>
        <w:br/>
      </w:r>
      <w:r>
        <w:rPr>
          <w:rStyle w:val="SpecialStringTok"/>
        </w:rPr>
        <w:t xml:space="preserve">- </w:t>
      </w:r>
      <w:r>
        <w:rPr>
          <w:rStyle w:val="NormalTok"/>
        </w:rPr>
        <w:t xml:space="preserve">Recovery: hard statutory gates before irreversible steps (SARFAESI eligibility and CERSAI,</w:t>
      </w:r>
      <w:r>
        <w:br/>
      </w:r>
      <w:r>
        <w:rPr>
          <w:rStyle w:val="NormalTok"/>
        </w:rPr>
        <w:t xml:space="preserve">  limitation, IBC moratorium, notice served with evidence); contact only in permitted hours;</w:t>
      </w:r>
      <w:r>
        <w:br/>
      </w:r>
      <w:r>
        <w:rPr>
          <w:rStyle w:val="NormalTok"/>
        </w:rPr>
        <w:t xml:space="preserve">  no one-sided arbitration (institution pre-named or written post-dispute consent); LSPs never</w:t>
      </w:r>
      <w:r>
        <w:br/>
      </w:r>
      <w:r>
        <w:rPr>
          <w:rStyle w:val="NormalTok"/>
        </w:rPr>
        <w:t xml:space="preserve">  approve settlements, issue legal notices in their own name or hold funds.</w:t>
      </w:r>
      <w:r>
        <w:br/>
      </w:r>
      <w:r>
        <w:rPr>
          <w:rStyle w:val="SpecialStringTok"/>
        </w:rPr>
        <w:t xml:space="preserve">- </w:t>
      </w:r>
      <w:r>
        <w:rPr>
          <w:rStyle w:val="NormalTok"/>
        </w:rPr>
        <w:t xml:space="preserve">Filings (RBI, NHB, NABARD, IFSCA, CICs, MCA, GST, income tax, exchanges): prepare → validate →</w:t>
      </w:r>
      <w:r>
        <w:br/>
      </w:r>
      <w:r>
        <w:rPr>
          <w:rStyle w:val="NormalTok"/>
        </w:rPr>
        <w:t xml:space="preserve">  reconcile → evidence; an authorised human approves and files. Never store or script portal</w:t>
      </w:r>
      <w:r>
        <w:br/>
      </w:r>
      <w:r>
        <w:rPr>
          <w:rStyle w:val="NormalTok"/>
        </w:rPr>
        <w:t xml:space="preserve">  credentials, OTPs, DSC tokens or PINs.</w:t>
      </w:r>
      <w:r>
        <w:br/>
      </w:r>
      <w:r>
        <w:rPr>
          <w:rStyle w:val="SpecialStringTok"/>
        </w:rPr>
        <w:t xml:space="preserve">- </w:t>
      </w:r>
      <w:r>
        <w:rPr>
          <w:rStyle w:val="NormalTok"/>
        </w:rPr>
        <w:t xml:space="preserve">Co-operative societies: no deposits from nominal/non-voting members (hard block); no co-lending</w:t>
      </w:r>
      <w:r>
        <w:br/>
      </w:r>
      <w:r>
        <w:rPr>
          <w:rStyle w:val="NormalTok"/>
        </w:rPr>
        <w:t xml:space="preserve">  with, or loan sale to, NBFCs (not REs).</w:t>
      </w:r>
      <w:r>
        <w:br/>
      </w:r>
      <w:r>
        <w:rPr>
          <w:rStyle w:val="SpecialStringTok"/>
        </w:rPr>
        <w:t xml:space="preserve">- </w:t>
      </w:r>
      <w:r>
        <w:rPr>
          <w:rStyle w:val="NormalTok"/>
        </w:rPr>
        <w:t xml:space="preserve">Investments: record, check, value, account and report. Never execute trades or give advice.</w:t>
      </w:r>
      <w:r>
        <w:br/>
      </w:r>
      <w:r>
        <w:rPr>
          <w:rStyle w:val="SpecialStringTok"/>
        </w:rPr>
        <w:t xml:space="preserve">- </w:t>
      </w:r>
      <w:r>
        <w:rPr>
          <w:rStyle w:val="NormalTok"/>
        </w:rPr>
        <w:t xml:space="preserve">Certifications are a readiness programme: never claim ISO/SOC 2/PCI status before issue.</w:t>
      </w:r>
      <w:r>
        <w:br/>
      </w:r>
      <w:r>
        <w:rPr>
          <w:rStyle w:val="SpecialStringTok"/>
        </w:rPr>
        <w:t xml:space="preserve">- </w:t>
      </w:r>
      <w:r>
        <w:rPr>
          <w:rStyle w:val="NormalTok"/>
        </w:rPr>
        <w:t xml:space="preserve">Archive exports must open without Finbyx (folders, XLSX/DOCX/PDF-A, manifest, README); export</w:t>
      </w:r>
      <w:r>
        <w:br/>
      </w:r>
      <w:r>
        <w:rPr>
          <w:rStyle w:val="NormalTok"/>
        </w:rPr>
        <w:t xml:space="preserve">  and read access never stop for non-payment.</w:t>
      </w:r>
      <w:r>
        <w:br/>
      </w:r>
      <w:r>
        <w:rPr>
          <w:rStyle w:val="SpecialStringTok"/>
        </w:rPr>
        <w:t xml:space="preserve">- </w:t>
      </w:r>
      <w:r>
        <w:rPr>
          <w:rStyle w:val="NormalTok"/>
        </w:rPr>
        <w:t xml:space="preserve">Menus and settings come from registries (Appendix G): no hand-coded tenant menus; regulatory-floor</w:t>
      </w:r>
      <w:r>
        <w:br/>
      </w:r>
      <w:r>
        <w:rPr>
          <w:rStyle w:val="NormalTok"/>
        </w:rPr>
        <w:t xml:space="preserve">  settings are enforced server-side and can never be relaxed; regulated decisions always need a human.</w:t>
      </w:r>
      <w:r>
        <w:br/>
      </w:r>
      <w:r>
        <w:rPr>
          <w:rStyle w:val="SpecialStringTok"/>
        </w:rPr>
        <w:t xml:space="preserve">- </w:t>
      </w:r>
      <w:r>
        <w:rPr>
          <w:rStyle w:val="NormalTok"/>
        </w:rPr>
        <w:t xml:space="preserve">v1.5 Parts 7B–7L and Part 8A.37; group operations live in the Operations Hub, not in Finbyx.</w:t>
      </w:r>
      <w:r>
        <w:br/>
      </w:r>
      <w:r>
        <w:br/>
      </w:r>
      <w:r>
        <w:rPr>
          <w:rStyle w:val="FunctionTok"/>
        </w:rPr>
        <w:t xml:space="preserve">## Commands</w:t>
      </w:r>
      <w:r>
        <w:br/>
      </w:r>
      <w:r>
        <w:rPr>
          <w:rStyle w:val="NormalTok"/>
        </w:rPr>
        <w:t xml:space="preserve">(pnpm install / dev / test / lint / typecheck / db:migrate / db:test — fill in Phase 1)</w:t>
      </w:r>
      <w:r>
        <w:br/>
      </w:r>
      <w:r>
        <w:br/>
      </w:r>
      <w:r>
        <w:rPr>
          <w:rStyle w:val="FunctionTok"/>
        </w:rPr>
        <w:t xml:space="preserve">## Where things live</w:t>
      </w:r>
      <w:r>
        <w:br/>
      </w:r>
      <w:r>
        <w:rPr>
          <w:rStyle w:val="NormalTok"/>
        </w:rPr>
        <w:t xml:space="preserve">docs/00-master-prompt.md (full brief), docs/architecture, docs/adr, docs/specs, docs/products,</w:t>
      </w:r>
      <w:r>
        <w:br/>
      </w:r>
      <w:r>
        <w:rPr>
          <w:rStyle w:val="NormalTok"/>
        </w:rPr>
        <w:t xml:space="preserve">docs/data-model, docs/api, docs/integrations, docs/compliance, docs/security,</w:t>
      </w:r>
      <w:r>
        <w:br/>
      </w:r>
      <w:r>
        <w:rPr>
          <w:rStyle w:val="NormalTok"/>
        </w:rPr>
        <w:t xml:space="preserve">docs/testing (golden-cases), docs/ops, docs/legal, docs/economics, docs/status.</w:t>
      </w:r>
      <w:r>
        <w:br/>
      </w:r>
      <w:r>
        <w:br/>
      </w:r>
      <w:r>
        <w:rPr>
          <w:rStyle w:val="FunctionTok"/>
        </w:rPr>
        <w:t xml:space="preserve">## Definition of done</w:t>
      </w:r>
      <w:r>
        <w:br/>
      </w:r>
      <w:r>
        <w:rPr>
          <w:rStyle w:val="NormalTok"/>
        </w:rPr>
        <w:t xml:space="preserve">Acceptance criteria met; unit/integration/E2E/tenant-isolation/security tests run and</w:t>
      </w:r>
      <w:r>
        <w:br/>
      </w:r>
      <w:r>
        <w:rPr>
          <w:rStyle w:val="NormalTok"/>
        </w:rPr>
        <w:t xml:space="preserve">passed; ledger balances &amp; reconciles; audit events emitted; docs and registers updated;</w:t>
      </w:r>
      <w:r>
        <w:br/>
      </w:r>
      <w:r>
        <w:rPr>
          <w:rStyle w:val="NormalTok"/>
        </w:rPr>
        <w:t xml:space="preserve">diff reviewed for secrets/PII/unrelated changes.</w:t>
      </w:r>
    </w:p>
    <w:p>
      <w:r>
        <w:pict>
          <v:rect style="width:0;height:1.5pt" o:hralign="center" o:hrstd="t" o:hr="t"/>
        </w:pict>
      </w:r>
    </w:p>
    <w:bookmarkEnd w:id="889"/>
    <w:bookmarkStart w:id="890" w:name="X38ee4b5d407247791d42e1805a1fbd38f0215e2"/>
    <w:p>
      <w:pPr>
        <w:pStyle w:val="Heading1"/>
      </w:pPr>
      <w:r>
        <w:t xml:space="preserve">APPENDIX B — BUSINESS DECISIONS THE PROJECT OWNER MUST TAKE</w:t>
      </w:r>
    </w:p>
    <w:p>
      <w:pPr>
        <w:pStyle w:val="FirstParagraph"/>
      </w:pPr>
      <w:r>
        <w:t xml:space="preserve">Claude Code should confirm these in Phase 0:</w:t>
      </w:r>
    </w:p>
    <w:p>
      <w:pPr>
        <w:numPr>
          <w:ilvl w:val="0"/>
          <w:numId w:val="2130"/>
        </w:numPr>
        <w:pStyle w:val="Compact"/>
      </w:pPr>
      <w:r>
        <w:rPr>
          <w:bCs/>
          <w:b/>
        </w:rPr>
        <w:t xml:space="preserve">First pilot tenant profile:</w:t>
      </w:r>
      <w:r>
        <w:t xml:space="preserve"> </w:t>
      </w:r>
      <w:r>
        <w:t xml:space="preserve">entity type, layer, Ind AS or not, products, branch count, existing systems to migrate from.</w:t>
      </w:r>
    </w:p>
    <w:p>
      <w:pPr>
        <w:numPr>
          <w:ilvl w:val="0"/>
          <w:numId w:val="2130"/>
        </w:numPr>
        <w:pStyle w:val="Compact"/>
      </w:pPr>
      <w:r>
        <w:rPr>
          <w:bCs/>
          <w:b/>
        </w:rPr>
        <w:t xml:space="preserve">MVP product set and launch geography</w:t>
      </w:r>
      <w:r>
        <w:t xml:space="preserve"> </w:t>
      </w:r>
      <w:r>
        <w:t xml:space="preserve">(state stamp duty and e-stamp coverage).</w:t>
      </w:r>
    </w:p>
    <w:p>
      <w:pPr>
        <w:numPr>
          <w:ilvl w:val="0"/>
          <w:numId w:val="2130"/>
        </w:numPr>
        <w:pStyle w:val="Compact"/>
      </w:pPr>
      <w:r>
        <w:rPr>
          <w:bCs/>
          <w:b/>
        </w:rPr>
        <w:t xml:space="preserve">Fineract approach:</w:t>
      </w:r>
      <w:r>
        <w:t xml:space="preserve"> </w:t>
      </w:r>
      <w:r>
        <w:t xml:space="preserve">port vs headless engine vs hybrid oracle, after the ADR.</w:t>
      </w:r>
    </w:p>
    <w:p>
      <w:pPr>
        <w:numPr>
          <w:ilvl w:val="0"/>
          <w:numId w:val="2130"/>
        </w:numPr>
        <w:pStyle w:val="Compact"/>
      </w:pPr>
      <w:r>
        <w:rPr>
          <w:bCs/>
          <w:b/>
        </w:rPr>
        <w:t xml:space="preserve">Hosting and data:</w:t>
      </w:r>
      <w:r>
        <w:t xml:space="preserve"> </w:t>
      </w:r>
      <w:r>
        <w:t xml:space="preserve">the India-region host for any environment holding real data (Railway has no India region); AWS timeline; dedicated-deployment offer for banks; Aadhaar vault route (ADV-as-a-service vs OKYC/DigiLocker only).</w:t>
      </w:r>
    </w:p>
    <w:p>
      <w:pPr>
        <w:numPr>
          <w:ilvl w:val="0"/>
          <w:numId w:val="2130"/>
        </w:numPr>
        <w:pStyle w:val="Compact"/>
      </w:pPr>
      <w:r>
        <w:rPr>
          <w:bCs/>
          <w:b/>
        </w:rPr>
        <w:t xml:space="preserve">Commercial model:</w:t>
      </w:r>
      <w:r>
        <w:t xml:space="preserve"> </w:t>
      </w:r>
      <w:r>
        <w:t xml:space="preserve">per-loan, per-user, per-module or AUM-based pricing. This affects metering design.</w:t>
      </w:r>
    </w:p>
    <w:p>
      <w:pPr>
        <w:numPr>
          <w:ilvl w:val="0"/>
          <w:numId w:val="2130"/>
        </w:numPr>
        <w:pStyle w:val="Compact"/>
      </w:pPr>
      <w:r>
        <w:rPr>
          <w:bCs/>
          <w:b/>
        </w:rPr>
        <w:t xml:space="preserve">Vendor shortlist and contracts:</w:t>
      </w:r>
      <w:r>
        <w:t xml:space="preserve"> </w:t>
      </w:r>
      <w:r>
        <w:t xml:space="preserve">Surepass scope; membership of all four CICs (mandatory under CIR para 6); eSign/eStamp; sponsor bank for NACH; payout bank; WhatsApp BSP; SMS DLT entity (the lender’s).</w:t>
      </w:r>
    </w:p>
    <w:p>
      <w:pPr>
        <w:numPr>
          <w:ilvl w:val="0"/>
          <w:numId w:val="2130"/>
        </w:numPr>
        <w:pStyle w:val="Compact"/>
      </w:pPr>
      <w:r>
        <w:rPr>
          <w:bCs/>
          <w:b/>
        </w:rPr>
        <w:t xml:space="preserve">Field app:</w:t>
      </w:r>
      <w:r>
        <w:t xml:space="preserve"> </w:t>
      </w:r>
      <w:r>
        <w:t xml:space="preserve">Expo native vs PWA.</w:t>
      </w:r>
    </w:p>
    <w:p>
      <w:pPr>
        <w:numPr>
          <w:ilvl w:val="0"/>
          <w:numId w:val="2130"/>
        </w:numPr>
        <w:pStyle w:val="Compact"/>
      </w:pPr>
      <w:r>
        <w:rPr>
          <w:bCs/>
          <w:b/>
        </w:rPr>
        <w:t xml:space="preserve">Compliance mode default:</w:t>
      </w:r>
      <w:r>
        <w:t xml:space="preserve"> </w:t>
      </w:r>
      <w:r>
        <w:t xml:space="preserve">embedded vs LawDocsComply.</w:t>
      </w:r>
    </w:p>
    <w:p>
      <w:pPr>
        <w:numPr>
          <w:ilvl w:val="0"/>
          <w:numId w:val="2130"/>
        </w:numPr>
        <w:pStyle w:val="Compact"/>
      </w:pPr>
      <w:r>
        <w:rPr>
          <w:bCs/>
          <w:b/>
        </w:rPr>
        <w:t xml:space="preserve">Borrower portal:</w:t>
      </w:r>
      <w:r>
        <w:t xml:space="preserve"> </w:t>
      </w:r>
      <w:r>
        <w:t xml:space="preserve">included for non-Udofin lenders or not.</w:t>
      </w:r>
    </w:p>
    <w:p>
      <w:pPr>
        <w:numPr>
          <w:ilvl w:val="0"/>
          <w:numId w:val="2130"/>
        </w:numPr>
        <w:pStyle w:val="Compact"/>
      </w:pPr>
      <w:r>
        <w:rPr>
          <w:bCs/>
          <w:b/>
        </w:rPr>
        <w:t xml:space="preserve">Specialist products (13–16):</w:t>
      </w:r>
      <w:r>
        <w:t xml:space="preserve"> </w:t>
      </w:r>
      <w:r>
        <w:t xml:space="preserve">who owns the feasibility notes, and the legal-review budget.</w:t>
      </w:r>
    </w:p>
    <w:p>
      <w:pPr>
        <w:numPr>
          <w:ilvl w:val="0"/>
          <w:numId w:val="2130"/>
        </w:numPr>
        <w:pStyle w:val="Compact"/>
      </w:pPr>
      <w:r>
        <w:rPr>
          <w:bCs/>
          <w:b/>
        </w:rPr>
        <w:t xml:space="preserve">Reviewers:</w:t>
      </w:r>
      <w:r>
        <w:t xml:space="preserve"> </w:t>
      </w:r>
      <w:r>
        <w:t xml:space="preserve">finance reviewer (CA) for golden accounting cases; compliance reviewer for the regulatory register; independent VAPT firm (CERT-In empanelled).</w:t>
      </w:r>
    </w:p>
    <w:p>
      <w:pPr>
        <w:numPr>
          <w:ilvl w:val="0"/>
          <w:numId w:val="2130"/>
        </w:numPr>
        <w:pStyle w:val="Compact"/>
      </w:pPr>
      <w:r>
        <w:rPr>
          <w:bCs/>
          <w:b/>
        </w:rPr>
        <w:t xml:space="preserve">Data retention periods by document class</w:t>
      </w:r>
      <w:r>
        <w:t xml:space="preserve"> </w:t>
      </w:r>
      <w:r>
        <w:t xml:space="preserve">(Board-policy inputs from pilot lenders).</w:t>
      </w:r>
    </w:p>
    <w:p>
      <w:pPr>
        <w:numPr>
          <w:ilvl w:val="0"/>
          <w:numId w:val="2130"/>
        </w:numPr>
        <w:pStyle w:val="Compact"/>
      </w:pPr>
      <w:r>
        <w:rPr>
          <w:bCs/>
          <w:b/>
        </w:rPr>
        <w:t xml:space="preserve">Recovery Suite packaging:</w:t>
      </w:r>
      <w:r>
        <w:t xml:space="preserve"> </w:t>
      </w:r>
      <w:r>
        <w:t xml:space="preserve">licence SKUs and the R-modules in each; whether and when the suite is also sold standalone (Udolex).</w:t>
      </w:r>
    </w:p>
    <w:p>
      <w:pPr>
        <w:numPr>
          <w:ilvl w:val="0"/>
          <w:numId w:val="2130"/>
        </w:numPr>
        <w:pStyle w:val="Compact"/>
      </w:pPr>
      <w:r>
        <w:rPr>
          <w:bCs/>
          <w:b/>
        </w:rPr>
        <w:t xml:space="preserve">Equator governance:</w:t>
      </w:r>
      <w:r>
        <w:t xml:space="preserve"> </w:t>
      </w:r>
      <w:r>
        <w:t xml:space="preserve">structural separation from Finbyx and Udofin, disclosure of common Infrabyx ownership, neutral panel and per-lender concentration caps, and whether Equator seeks recognition as a mediation service provider (Mediation Act s.40) once notified.</w:t>
      </w:r>
    </w:p>
    <w:p>
      <w:pPr>
        <w:numPr>
          <w:ilvl w:val="0"/>
          <w:numId w:val="2130"/>
        </w:numPr>
        <w:pStyle w:val="Compact"/>
      </w:pPr>
      <w:r>
        <w:rPr>
          <w:bCs/>
          <w:b/>
        </w:rPr>
        <w:t xml:space="preserve">Arbitration clause and seat:</w:t>
      </w:r>
      <w:r>
        <w:t xml:space="preserve"> </w:t>
      </w:r>
      <w:r>
        <w:t xml:space="preserve">the model clause naming Equator and an alternate institution; the seat (borrower’s state or a national seat); the approach for legacy books with unilateral or no-institution clauses (post-dispute consent or s.11).</w:t>
      </w:r>
    </w:p>
    <w:p>
      <w:pPr>
        <w:numPr>
          <w:ilvl w:val="0"/>
          <w:numId w:val="2130"/>
        </w:numPr>
        <w:pStyle w:val="Compact"/>
      </w:pPr>
      <w:r>
        <w:rPr>
          <w:bCs/>
          <w:b/>
        </w:rPr>
        <w:t xml:space="preserve">Pilot tenant recovery profile:</w:t>
      </w:r>
      <w:r>
        <w:t xml:space="preserve"> </w:t>
      </w:r>
      <w:r>
        <w:t xml:space="preserve">SARFAESI eligibility evidence, any RDB s.2(h)(ii) notification, state revenue-recovery access, CGTMSE membership.</w:t>
      </w:r>
    </w:p>
    <w:p>
      <w:pPr>
        <w:numPr>
          <w:ilvl w:val="0"/>
          <w:numId w:val="2130"/>
        </w:numPr>
        <w:pStyle w:val="Compact"/>
      </w:pPr>
      <w:r>
        <w:rPr>
          <w:bCs/>
          <w:b/>
        </w:rPr>
        <w:t xml:space="preserve">Dispatch, court-data and auction vendors:</w:t>
      </w:r>
      <w:r>
        <w:t xml:space="preserve"> </w:t>
      </w:r>
      <w:r>
        <w:t xml:space="preserve">India Post contract, courier and print-to-post vendors, court-data aggregator, e-auction platforms; no WhatsApp for collection, recovery or legal notices (WhatsApp Business Messaging Policy bars debt collection; Part 7A.0.6); WhatsApp only for opt-in servicing messages.</w:t>
      </w:r>
    </w:p>
    <w:p>
      <w:pPr>
        <w:numPr>
          <w:ilvl w:val="0"/>
          <w:numId w:val="2130"/>
        </w:numPr>
        <w:pStyle w:val="Compact"/>
      </w:pPr>
      <w:r>
        <w:rPr>
          <w:bCs/>
          <w:b/>
        </w:rPr>
        <w:t xml:space="preserve">Retention after detach:</w:t>
      </w:r>
      <w:r>
        <w:t xml:space="preserve"> </w:t>
      </w:r>
      <w:r>
        <w:t xml:space="preserve">one schedule reconciling PMLA/KYC (5 years), call recordings (RBC 100P: 6 months, longer while sub judice), DPDP logs, limitation periods (3–12 years) and legal holds.</w:t>
      </w:r>
    </w:p>
    <w:p>
      <w:pPr>
        <w:numPr>
          <w:ilvl w:val="0"/>
          <w:numId w:val="2130"/>
        </w:numPr>
        <w:pStyle w:val="Compact"/>
      </w:pPr>
      <w:r>
        <w:rPr>
          <w:bCs/>
          <w:b/>
        </w:rPr>
        <w:t xml:space="preserve">LAS operating model:</w:t>
      </w:r>
      <w:r>
        <w:t xml:space="preserve"> </w:t>
      </w:r>
      <w:r>
        <w:t xml:space="preserve">term loan or OD (pending the revolving-credit draft); who contracts with CDSL, NSDL and the RTAs (RE or aggregator); haircut schedule; pre-invocation notice period.</w:t>
      </w:r>
    </w:p>
    <w:p>
      <w:pPr>
        <w:numPr>
          <w:ilvl w:val="0"/>
          <w:numId w:val="2130"/>
        </w:numPr>
        <w:pStyle w:val="Compact"/>
      </w:pPr>
      <w:r>
        <w:rPr>
          <w:bCs/>
          <w:b/>
        </w:rPr>
        <w:t xml:space="preserve">Ecosystem specification ownership:</w:t>
      </w:r>
      <w:r>
        <w:t xml:space="preserve"> </w:t>
      </w:r>
      <w:r>
        <w:t xml:space="preserve">who owns</w:t>
      </w:r>
      <w:r>
        <w:t xml:space="preserve"> </w:t>
      </w:r>
      <w:r>
        <w:rPr>
          <w:rStyle w:val="VerbatimChar"/>
        </w:rPr>
        <w:t xml:space="preserve">docs/ecosystem/infrabyx-integration-spec.md</w:t>
      </w:r>
      <w:r>
        <w:t xml:space="preserve">, its versioning and change approval across the four products.</w:t>
      </w:r>
    </w:p>
    <w:p>
      <w:pPr>
        <w:pStyle w:val="FirstParagraph"/>
      </w:pPr>
      <w:r>
        <w:rPr>
          <w:bCs/>
          <w:b/>
        </w:rPr>
        <w:t xml:space="preserve">Added in v1.5 (Parts 7B–7L)</w:t>
      </w:r>
      <w:r>
        <w:t xml:space="preserve"> </w:t>
      </w:r>
      <w:r>
        <w:t xml:space="preserve">— confirm before the phase named in brackets; each default below applies until the owner decides.</w:t>
      </w:r>
    </w:p>
    <w:p>
      <w:pPr>
        <w:numPr>
          <w:ilvl w:val="0"/>
          <w:numId w:val="2131"/>
        </w:numPr>
        <w:pStyle w:val="Compact"/>
      </w:pPr>
      <w:r>
        <w:rPr>
          <w:bCs/>
          <w:b/>
        </w:rPr>
        <w:t xml:space="preserve">Office suite actually held</w:t>
      </w:r>
      <w:r>
        <w:t xml:space="preserve"> </w:t>
      </w:r>
      <w:r>
        <w:t xml:space="preserve">(Phase 16d; Operations Hub O11): Microsoft 365 Business Basic, Standard or Premium, or Google Workspace (Business Starter is a Workspace edition; Microsoft has no</w:t>
      </w:r>
      <w:r>
        <w:t xml:space="preserve"> </w:t>
      </w:r>
      <w:r>
        <w:t xml:space="preserve">“</w:t>
      </w:r>
      <w:r>
        <w:t xml:space="preserve">Business Starter</w:t>
      </w:r>
      <w:r>
        <w:t xml:space="preserve">”</w:t>
      </w:r>
      <w:r>
        <w:t xml:space="preserve">). Confirm whether the Microsoft 365 Default Geography is India and whether Advanced Data Residency is bought. Default: build one</w:t>
      </w:r>
      <w:r>
        <w:t xml:space="preserve"> </w:t>
      </w:r>
      <w:r>
        <w:rPr>
          <w:rStyle w:val="VerbatimChar"/>
        </w:rPr>
        <w:t xml:space="preserve">WorkplaceProvider</w:t>
      </w:r>
      <w:r>
        <w:t xml:space="preserve"> </w:t>
      </w:r>
      <w:r>
        <w:t xml:space="preserve">adapter for both; Google Workspace (no India data region) holds only non-regulated data — no personal data, books of account, returns, loan or HR data (Part 7F GV7.1; Part 8A.37.1).</w:t>
      </w:r>
    </w:p>
    <w:p>
      <w:pPr>
        <w:numPr>
          <w:ilvl w:val="0"/>
          <w:numId w:val="2131"/>
        </w:numPr>
        <w:pStyle w:val="Compact"/>
      </w:pPr>
      <w:r>
        <w:rPr>
          <w:bCs/>
          <w:b/>
        </w:rPr>
        <w:t xml:space="preserve">Supervisor-access scope</w:t>
      </w:r>
      <w:r>
        <w:t xml:space="preserve"> </w:t>
      </w:r>
      <w:r>
        <w:t xml:space="preserve">(Phase 16c): CYB paras 46 and 57 sit in Chapter IV (BL ≥ ₹500 crore). Default: build the read-only supervisor and auditor workspaces for every tenant and seek RBI DoS clarification on the scope (Part 7D AU7.1).</w:t>
      </w:r>
    </w:p>
    <w:p>
      <w:pPr>
        <w:numPr>
          <w:ilvl w:val="0"/>
          <w:numId w:val="2131"/>
        </w:numPr>
        <w:pStyle w:val="Compact"/>
      </w:pPr>
      <w:r>
        <w:rPr>
          <w:bCs/>
          <w:b/>
        </w:rPr>
        <w:t xml:space="preserve">Finbyx legally compelled access policy</w:t>
      </w:r>
      <w:r>
        <w:t xml:space="preserve"> </w:t>
      </w:r>
      <w:r>
        <w:t xml:space="preserve">(Phase 16c): how Infrabyx responds if a regulator or court compels Finbyx itself to give access to tenant data; default notify the tenant unless legally barred, subject to counsel’s opinion (Part 7D AU7.1).</w:t>
      </w:r>
    </w:p>
    <w:p>
      <w:pPr>
        <w:numPr>
          <w:ilvl w:val="0"/>
          <w:numId w:val="2131"/>
        </w:numPr>
        <w:pStyle w:val="Compact"/>
      </w:pPr>
      <w:r>
        <w:rPr>
          <w:bCs/>
          <w:b/>
        </w:rPr>
        <w:t xml:space="preserve">Infrabyx-linked secretarial auditor</w:t>
      </w:r>
      <w:r>
        <w:t xml:space="preserve"> </w:t>
      </w:r>
      <w:r>
        <w:t xml:space="preserve">(Phase 16d): group rule on whether a company secretary linked to Infrabyx or LawDocsComply may act as secretarial auditor of a tenant. Default: blocked for listed tenants whose compliance system LawDocsComply implements (LODR Reg 24A prohibited services) and disclosed for others (Part 7D AU6.2).</w:t>
      </w:r>
    </w:p>
    <w:p>
      <w:pPr>
        <w:numPr>
          <w:ilvl w:val="0"/>
          <w:numId w:val="2131"/>
        </w:numPr>
        <w:pStyle w:val="Compact"/>
      </w:pPr>
      <w:r>
        <w:rPr>
          <w:bCs/>
          <w:b/>
        </w:rPr>
        <w:t xml:space="preserve">Vulnerability remediation SLAs</w:t>
      </w:r>
      <w:r>
        <w:t xml:space="preserve"> </w:t>
      </w:r>
      <w:r>
        <w:t xml:space="preserve">(Phases 16c, 20b): default tenant-finding SLAs in the audit suite of 15, 30, 90 and 180 days for critical, high, medium and low (Part 7D AU4.3), separate from the Finbyx platform patch SLAs of 72 hours, 7, 30 and 90 days (Part 7L EO1.6); where both cover a finding, the stricter applies.</w:t>
      </w:r>
    </w:p>
    <w:p>
      <w:pPr>
        <w:numPr>
          <w:ilvl w:val="0"/>
          <w:numId w:val="2131"/>
        </w:numPr>
        <w:pStyle w:val="Compact"/>
      </w:pPr>
      <w:r>
        <w:rPr>
          <w:bCs/>
          <w:b/>
        </w:rPr>
        <w:t xml:space="preserve">External-access grants</w:t>
      </w:r>
      <w:r>
        <w:t xml:space="preserve"> </w:t>
      </w:r>
      <w:r>
        <w:t xml:space="preserve">(Phase 16c): duration of one auditor or supervisor grant (hard maximum 90 days; default the engagement window; an extension needs a fresh approval and runs at most 90 days from it) and the retention of external-access logs (default the inspection cycle plus 8 years) (Part 7D AU7.2).</w:t>
      </w:r>
    </w:p>
    <w:p>
      <w:pPr>
        <w:numPr>
          <w:ilvl w:val="0"/>
          <w:numId w:val="2131"/>
        </w:numPr>
        <w:pStyle w:val="Compact"/>
      </w:pPr>
      <w:r>
        <w:rPr>
          <w:bCs/>
          <w:b/>
        </w:rPr>
        <w:t xml:space="preserve">PCA proximity warning</w:t>
      </w:r>
      <w:r>
        <w:t xml:space="preserve"> </w:t>
      </w:r>
      <w:r>
        <w:t xml:space="preserve">(Phase 14d): default amber alert within 150 bps of a PCA risk threshold (Part 7E RK7.5).</w:t>
      </w:r>
    </w:p>
    <w:p>
      <w:pPr>
        <w:numPr>
          <w:ilvl w:val="0"/>
          <w:numId w:val="2131"/>
        </w:numPr>
        <w:pStyle w:val="Compact"/>
      </w:pPr>
      <w:r>
        <w:rPr>
          <w:bCs/>
          <w:b/>
        </w:rPr>
        <w:t xml:space="preserve">Bank capital parallel run</w:t>
      </w:r>
      <w:r>
        <w:t xml:space="preserve"> </w:t>
      </w:r>
      <w:r>
        <w:t xml:space="preserve">(Phase 14d; bank tenants only): whether to run the current and the 1 April 2027 capital and ECL packs in parallel from 1 Oct 2026, with only the effective pack producing regulatory output (Part 7E RK3.6; Part 7C AC2.6).</w:t>
      </w:r>
    </w:p>
    <w:p>
      <w:pPr>
        <w:numPr>
          <w:ilvl w:val="0"/>
          <w:numId w:val="2131"/>
        </w:numPr>
        <w:pStyle w:val="Compact"/>
      </w:pPr>
      <w:r>
        <w:rPr>
          <w:bCs/>
          <w:b/>
        </w:rPr>
        <w:t xml:space="preserve">Co-operative deposit scope</w:t>
      </w:r>
      <w:r>
        <w:t xml:space="preserve"> </w:t>
      </w:r>
      <w:r>
        <w:t xml:space="preserve">(Phase 17c): v1.5 provides the Deposit Ledger Adapter for societies that hold deposits; the deposit module (accounts, interest, maturity, deposit insurance where applicable) is deferred to v1.6. Confirm the deferral (Part 7G IP2.5).</w:t>
      </w:r>
    </w:p>
    <w:p>
      <w:pPr>
        <w:numPr>
          <w:ilvl w:val="0"/>
          <w:numId w:val="2131"/>
        </w:numPr>
        <w:pStyle w:val="Compact"/>
      </w:pPr>
      <w:r>
        <w:rPr>
          <w:bCs/>
          <w:b/>
        </w:rPr>
        <w:t xml:space="preserve">Co-operative State packs</w:t>
      </w:r>
      <w:r>
        <w:t xml:space="preserve"> </w:t>
      </w:r>
      <w:r>
        <w:t xml:space="preserve">(Phase 17c): MSCS and Maharashtra first; choose the next States (proposed Rajasthan and Karnataka, including Souharda societies), each after counsel review (Part 7G IP2.2).</w:t>
      </w:r>
    </w:p>
    <w:p>
      <w:pPr>
        <w:numPr>
          <w:ilvl w:val="0"/>
          <w:numId w:val="2131"/>
        </w:numPr>
        <w:pStyle w:val="Compact"/>
      </w:pPr>
      <w:r>
        <w:rPr>
          <w:bCs/>
          <w:b/>
        </w:rPr>
        <w:t xml:space="preserve">NBFC derivatives and arbitrage</w:t>
      </w:r>
      <w:r>
        <w:t xml:space="preserve"> </w:t>
      </w:r>
      <w:r>
        <w:t xml:space="preserve">(Phase 17d): obtain a legal position on equity F&amp;O and cash-futures arbitrage for NBFC and CIC investment books; default off (GR-7H-05) (Part 7H IV5.5).</w:t>
      </w:r>
    </w:p>
    <w:p>
      <w:pPr>
        <w:numPr>
          <w:ilvl w:val="0"/>
          <w:numId w:val="2131"/>
        </w:numPr>
        <w:pStyle w:val="Compact"/>
      </w:pPr>
      <w:r>
        <w:rPr>
          <w:bCs/>
          <w:b/>
        </w:rPr>
        <w:t xml:space="preserve">IFSC entities as co-lending partners</w:t>
      </w:r>
      <w:r>
        <w:t xml:space="preserve"> </w:t>
      </w:r>
      <w:r>
        <w:t xml:space="preserve">(Phase 17d): default blocked by the partner validator pending counsel’s view (Part 7H IV7.10).</w:t>
      </w:r>
    </w:p>
    <w:p>
      <w:pPr>
        <w:numPr>
          <w:ilvl w:val="0"/>
          <w:numId w:val="2131"/>
        </w:numPr>
        <w:pStyle w:val="Compact"/>
      </w:pPr>
      <w:r>
        <w:rPr>
          <w:bCs/>
          <w:b/>
        </w:rPr>
        <w:t xml:space="preserve">Market-data licences</w:t>
      </w:r>
      <w:r>
        <w:t xml:space="preserve"> </w:t>
      </w:r>
      <w:r>
        <w:t xml:space="preserve">(Phase 17d): which exchange, index, NAV and bond-valuation data Infrabyx or each tenant licenses, and redistribution rights in reports (Part 7H IV1.3).</w:t>
      </w:r>
    </w:p>
    <w:p>
      <w:pPr>
        <w:numPr>
          <w:ilvl w:val="0"/>
          <w:numId w:val="2131"/>
        </w:numPr>
        <w:pStyle w:val="Compact"/>
      </w:pPr>
      <w:r>
        <w:rPr>
          <w:bCs/>
          <w:b/>
        </w:rPr>
        <w:t xml:space="preserve">Merchant of record</w:t>
      </w:r>
      <w:r>
        <w:t xml:space="preserve"> </w:t>
      </w:r>
      <w:r>
        <w:t xml:space="preserve">(Phase 16e; Operations Hub O6): which Infrabyx legal entity sells Finbyx and holds the Razorpay account (Part 7K CM4.1).</w:t>
      </w:r>
    </w:p>
    <w:p>
      <w:pPr>
        <w:numPr>
          <w:ilvl w:val="0"/>
          <w:numId w:val="2131"/>
        </w:numPr>
        <w:pStyle w:val="Compact"/>
      </w:pPr>
      <w:r>
        <w:rPr>
          <w:bCs/>
          <w:b/>
        </w:rPr>
        <w:t xml:space="preserve">Plan tiers and SKUs</w:t>
      </w:r>
      <w:r>
        <w:t xml:space="preserve"> </w:t>
      </w:r>
      <w:r>
        <w:t xml:space="preserve">(Phase 16e): final packaging of the CM1.2 SKU families, price metrics (per entity, per user, per loan, per AUM) and what each tier includes; on-demand and exit exports stay in every plan (Part 7K CM1.2, CM5).</w:t>
      </w:r>
    </w:p>
    <w:p>
      <w:pPr>
        <w:numPr>
          <w:ilvl w:val="0"/>
          <w:numId w:val="2131"/>
        </w:numPr>
        <w:pStyle w:val="Compact"/>
      </w:pPr>
      <w:r>
        <w:rPr>
          <w:bCs/>
          <w:b/>
        </w:rPr>
        <w:t xml:space="preserve">Infrabyx revenue recognition</w:t>
      </w:r>
      <w:r>
        <w:t xml:space="preserve"> </w:t>
      </w:r>
      <w:r>
        <w:t xml:space="preserve">(Operations Hub O6): whether Infrabyx reports under AS (AS 9) or Ind AS (Ind AS 115); this drives the Hub’s revenue schedules (Part 7K CM5.3; OH8).</w:t>
      </w:r>
    </w:p>
    <w:p>
      <w:pPr>
        <w:numPr>
          <w:ilvl w:val="0"/>
          <w:numId w:val="2131"/>
        </w:numPr>
        <w:pStyle w:val="Compact"/>
      </w:pPr>
      <w:r>
        <w:rPr>
          <w:bCs/>
          <w:b/>
        </w:rPr>
        <w:t xml:space="preserve">GitHub plan</w:t>
      </w:r>
      <w:r>
        <w:t xml:space="preserve"> </w:t>
      </w:r>
      <w:r>
        <w:t xml:space="preserve">(Phase 1): GitHub Team now, with the decision gate to Enterprise Cloud before the SOC 2 Type 2 window if artifact attestations, audit-log streaming or enterprise rulesets are needed for evidence (Part 7L EO1.1, EO1.5).</w:t>
      </w:r>
    </w:p>
    <w:p>
      <w:pPr>
        <w:numPr>
          <w:ilvl w:val="0"/>
          <w:numId w:val="2131"/>
        </w:numPr>
        <w:pStyle w:val="Compact"/>
      </w:pPr>
      <w:r>
        <w:rPr>
          <w:bCs/>
          <w:b/>
        </w:rPr>
        <w:t xml:space="preserve">Certification order and providers</w:t>
      </w:r>
      <w:r>
        <w:t xml:space="preserve"> </w:t>
      </w:r>
      <w:r>
        <w:t xml:space="preserve">(Phase 20b): sequence (default ISO/IEC 27001 and SOC 2 Type 1, then SOC 2 Type 2, then ISO/IEC 27701 and 22301, with PCI DSS SAQ A for hosted payment pages), the certification body and the CPA firm (Part 7L EO5.4).</w:t>
      </w:r>
    </w:p>
    <w:p>
      <w:pPr>
        <w:numPr>
          <w:ilvl w:val="0"/>
          <w:numId w:val="2131"/>
        </w:numPr>
        <w:pStyle w:val="Compact"/>
      </w:pPr>
      <w:r>
        <w:rPr>
          <w:bCs/>
          <w:b/>
        </w:rPr>
        <w:t xml:space="preserve">SOC 1 Type 2 offer</w:t>
      </w:r>
      <w:r>
        <w:t xml:space="preserve"> </w:t>
      </w:r>
      <w:r>
        <w:t xml:space="preserve">(Phase 20b): whether to offer a SOC 1 Type 2 (or ISAE 3402) report for tenants’ statutory auditors, given that Finbyx holds tenants’ books of account (Part 7L EO4.2).</w:t>
      </w:r>
    </w:p>
    <w:p>
      <w:pPr>
        <w:numPr>
          <w:ilvl w:val="0"/>
          <w:numId w:val="2131"/>
        </w:numPr>
        <w:pStyle w:val="Compact"/>
      </w:pPr>
      <w:r>
        <w:rPr>
          <w:bCs/>
          <w:b/>
        </w:rPr>
        <w:t xml:space="preserve">JioCX contract</w:t>
      </w:r>
      <w:r>
        <w:t xml:space="preserve"> </w:t>
      </w:r>
      <w:r>
        <w:t xml:space="preserve">(Phase 18b): commercial and API terms, data residency, DLT and 1600-series support; other voice providers as fall-backs (Part 7L EO6.2).</w:t>
      </w:r>
    </w:p>
    <w:p>
      <w:pPr>
        <w:numPr>
          <w:ilvl w:val="0"/>
          <w:numId w:val="2131"/>
        </w:numPr>
        <w:pStyle w:val="Compact"/>
      </w:pPr>
      <w:r>
        <w:rPr>
          <w:bCs/>
          <w:b/>
        </w:rPr>
        <w:t xml:space="preserve">Client HRMS</w:t>
      </w:r>
      <w:r>
        <w:t xml:space="preserve"> </w:t>
      </w:r>
      <w:r>
        <w:t xml:space="preserve">(Phase 16d): go or no-go for the optional</w:t>
      </w:r>
      <w:r>
        <w:t xml:space="preserve"> </w:t>
      </w:r>
      <w:r>
        <w:rPr>
          <w:rStyle w:val="VerbatimChar"/>
        </w:rPr>
        <w:t xml:space="preserve">Workforce</w:t>
      </w:r>
      <w:r>
        <w:t xml:space="preserve"> </w:t>
      </w:r>
      <w:r>
        <w:t xml:space="preserve">SKU (Part 7F GV6), its data-processing addendum, and the States covered at launch.</w:t>
      </w:r>
    </w:p>
    <w:p>
      <w:pPr>
        <w:numPr>
          <w:ilvl w:val="0"/>
          <w:numId w:val="2131"/>
        </w:numPr>
        <w:pStyle w:val="Compact"/>
      </w:pPr>
      <w:r>
        <w:rPr>
          <w:bCs/>
          <w:b/>
        </w:rPr>
        <w:t xml:space="preserve">Tenant exit</w:t>
      </w:r>
      <w:r>
        <w:t xml:space="preserve"> </w:t>
      </w:r>
      <w:r>
        <w:t xml:space="preserve">(Phase 15b): default turnarounds (exit plan within 10 working days of notice; final export within 5 working days of cut-over for up to 1 million loans; successor support up to 60 days) and the read-only retention window (default 90 days after cut-over, extendable by contract) (Part 7J DP5.2).</w:t>
      </w:r>
    </w:p>
    <w:p>
      <w:pPr>
        <w:numPr>
          <w:ilvl w:val="0"/>
          <w:numId w:val="2131"/>
        </w:numPr>
        <w:pStyle w:val="Compact"/>
      </w:pPr>
      <w:r>
        <w:rPr>
          <w:bCs/>
          <w:b/>
        </w:rPr>
        <w:t xml:space="preserve">Rule language</w:t>
      </w:r>
      <w:r>
        <w:t xml:space="preserve"> </w:t>
      </w:r>
      <w:r>
        <w:t xml:space="preserve">(Phase 14b): adopt CEL for applicability, validation and guard-rail expressions in rule packs, with GoRules ZEN kept for credit decisions (Part 10.1; Part 10.2 principle 40).</w:t>
      </w:r>
    </w:p>
    <w:p>
      <w:pPr>
        <w:numPr>
          <w:ilvl w:val="0"/>
          <w:numId w:val="2131"/>
        </w:numPr>
        <w:pStyle w:val="Compact"/>
      </w:pPr>
      <w:r>
        <w:rPr>
          <w:bCs/>
          <w:b/>
        </w:rPr>
        <w:t xml:space="preserve">Retention of return and bureau evidence</w:t>
      </w:r>
      <w:r>
        <w:t xml:space="preserve"> </w:t>
      </w:r>
      <w:r>
        <w:t xml:space="preserve">(Phase 14b): default 10 years from filing for regulatory-return evidence and CIC submission files, never below the statutory period (Part 7B RR5.2; Part 7C AC7.4).</w:t>
      </w:r>
    </w:p>
    <w:p>
      <w:pPr>
        <w:numPr>
          <w:ilvl w:val="0"/>
          <w:numId w:val="2131"/>
        </w:numPr>
        <w:pStyle w:val="Compact"/>
      </w:pPr>
      <w:r>
        <w:rPr>
          <w:bCs/>
          <w:b/>
        </w:rPr>
        <w:t xml:space="preserve">GST on the co-lending spread</w:t>
      </w:r>
      <w:r>
        <w:t xml:space="preserve"> </w:t>
      </w:r>
      <w:r>
        <w:t xml:space="preserve">(Phase 13b): treatment of the spread or servicing fee retained under a CLA (the Department of Revenue declined to remove 18% GST in Feb 2025); default invoice at 18% unless a tax opinion is attached (Part 7C AC4.1).</w:t>
      </w:r>
    </w:p>
    <w:p>
      <w:pPr>
        <w:numPr>
          <w:ilvl w:val="0"/>
          <w:numId w:val="2131"/>
        </w:numPr>
        <w:pStyle w:val="Compact"/>
      </w:pPr>
      <w:r>
        <w:rPr>
          <w:bCs/>
          <w:b/>
        </w:rPr>
        <w:t xml:space="preserve">CRILC applicability default</w:t>
      </w:r>
      <w:r>
        <w:t xml:space="preserve"> </w:t>
      </w:r>
      <w:r>
        <w:t xml:space="preserve">(Phase 14b): until RBI DoS clarifies, apply the union of the SR para 21 catalogue and the RSA test with a ₹500 crore default for BL ICCs, MFIs and Factors, and a tenant toggle (Part 7B RR1.4, RR8.1).</w:t>
      </w:r>
    </w:p>
    <w:p>
      <w:pPr>
        <w:numPr>
          <w:ilvl w:val="0"/>
          <w:numId w:val="2131"/>
        </w:numPr>
        <w:pStyle w:val="Compact"/>
      </w:pPr>
      <w:r>
        <w:rPr>
          <w:bCs/>
          <w:b/>
        </w:rPr>
        <w:t xml:space="preserve">ICAI and ICSI publications</w:t>
      </w:r>
      <w:r>
        <w:t xml:space="preserve"> </w:t>
      </w:r>
      <w:r>
        <w:t xml:space="preserve">(Phases 13b, 16c, 16d): the ICAI PDFs mentioned by the owner did not arrive; nominate who obtains the latest editions listed in Part 8A.37.1 row 3 and the reviewer who signs off the [ICAI] and [ICSI] rows.</w:t>
      </w:r>
    </w:p>
    <w:p>
      <w:pPr>
        <w:numPr>
          <w:ilvl w:val="0"/>
          <w:numId w:val="2131"/>
        </w:numPr>
        <w:pStyle w:val="Compact"/>
      </w:pPr>
      <w:r>
        <w:rPr>
          <w:bCs/>
          <w:b/>
        </w:rPr>
        <w:t xml:space="preserve">Navigation and default settings</w:t>
      </w:r>
      <w:r>
        <w:t xml:space="preserve"> </w:t>
      </w:r>
      <w:r>
        <w:t xml:space="preserve">(Phase 0, then each v1.5 phase): approve the Appendix G menu tree per workspace and the defaults of every commercial setting in the</w:t>
      </w:r>
      <w:r>
        <w:t xml:space="preserve"> </w:t>
      </w:r>
      <w:r>
        <w:rPr>
          <w:rStyle w:val="VerbatimChar"/>
        </w:rPr>
        <w:t xml:space="preserve">Settings and options</w:t>
      </w:r>
      <w:r>
        <w:t xml:space="preserve"> </w:t>
      </w:r>
      <w:r>
        <w:t xml:space="preserve">subsections; regulatory floors are not owner choices and cannot be relaxed (Part 10.2 principle 42).</w:t>
      </w:r>
    </w:p>
    <w:p>
      <w:pPr>
        <w:numPr>
          <w:ilvl w:val="0"/>
          <w:numId w:val="2131"/>
        </w:numPr>
        <w:pStyle w:val="Compact"/>
      </w:pPr>
      <w:r>
        <w:rPr>
          <w:bCs/>
          <w:b/>
        </w:rPr>
        <w:t xml:space="preserve">Restricted-list wall exception</w:t>
      </w:r>
      <w:r>
        <w:t xml:space="preserve"> </w:t>
      </w:r>
      <w:r>
        <w:t xml:space="preserve">(Phase 17d): whether a tenant may switch on</w:t>
      </w:r>
      <w:r>
        <w:t xml:space="preserve"> </w:t>
      </w:r>
      <w:r>
        <w:rPr>
          <w:rStyle w:val="VerbatimChar"/>
        </w:rPr>
        <w:t xml:space="preserve">chinese_wall_exception</w:t>
      </w:r>
      <w:r>
        <w:t xml:space="preserve">, allowing an own-account order in a restricted issuer where an information barrier separates the lending team holding the UPSI; default off, and on only with a recorded counsel opinion and CCO approval per order (Part 7H</w:t>
      </w:r>
      <w:r>
        <w:t xml:space="preserve"> </w:t>
      </w:r>
      <w:r>
        <w:rPr>
          <w:rStyle w:val="VerbatimChar"/>
        </w:rPr>
        <w:t xml:space="preserve">Settings and options</w:t>
      </w:r>
      <w:r>
        <w:t xml:space="preserve">; GV4.4; PIT Reg 4(1) proviso [VERIFY wording]).</w:t>
      </w:r>
    </w:p>
    <w:p>
      <w:r>
        <w:pict>
          <v:rect style="width:0;height:1.5pt" o:hralign="center" o:hrstd="t" o:hr="t"/>
        </w:pict>
      </w:r>
    </w:p>
    <w:bookmarkEnd w:id="890"/>
    <w:bookmarkStart w:id="891" w:name="Xc14ccfce25d3236708c426a0fc4cfab528ea011"/>
    <w:p>
      <w:pPr>
        <w:pStyle w:val="Heading1"/>
      </w:pPr>
      <w:r>
        <w:t xml:space="preserve">APPENDIX C — STARTING REPOSITORY STRUCTURE (to be refined in Phase 0)</w:t>
      </w:r>
    </w:p>
    <w:p>
      <w:pPr>
        <w:pStyle w:val="SourceCode"/>
      </w:pPr>
      <w:r>
        <w:rPr>
          <w:rStyle w:val="VerbatimChar"/>
        </w:rPr>
        <w:t xml:space="preserve">finbyx/</w:t>
      </w:r>
      <w:r>
        <w:br/>
      </w:r>
      <w:r>
        <w:rPr>
          <w:rStyle w:val="VerbatimChar"/>
        </w:rPr>
        <w:t xml:space="preserve">├─ apps/</w:t>
      </w:r>
      <w:r>
        <w:br/>
      </w:r>
      <w:r>
        <w:rPr>
          <w:rStyle w:val="VerbatimChar"/>
        </w:rPr>
        <w:t xml:space="preserve">│  ├─ web/                 # Next.js internal workspaces + tenant admin + partner portals</w:t>
      </w:r>
      <w:r>
        <w:br/>
      </w:r>
      <w:r>
        <w:rPr>
          <w:rStyle w:val="VerbatimChar"/>
        </w:rPr>
        <w:t xml:space="preserve">│  ├─ borrower-portal/     # optional lean borrower portal (Next.js)</w:t>
      </w:r>
      <w:r>
        <w:br/>
      </w:r>
      <w:r>
        <w:rPr>
          <w:rStyle w:val="VerbatimChar"/>
        </w:rPr>
        <w:t xml:space="preserve">│  ├─ field/               # Expo React Native field app</w:t>
      </w:r>
      <w:r>
        <w:br/>
      </w:r>
      <w:r>
        <w:rPr>
          <w:rStyle w:val="VerbatimChar"/>
        </w:rPr>
        <w:t xml:space="preserve">│  ├─ api/                 # NestJS modular monolith (HTTP + webhooks)</w:t>
      </w:r>
      <w:r>
        <w:br/>
      </w:r>
      <w:r>
        <w:rPr>
          <w:rStyle w:val="VerbatimChar"/>
        </w:rPr>
        <w:t xml:space="preserve">│  ├─ worker/              # Temporal workers, COB, schedulers, outbox relay</w:t>
      </w:r>
      <w:r>
        <w:br/>
      </w:r>
      <w:r>
        <w:rPr>
          <w:rStyle w:val="VerbatimChar"/>
        </w:rPr>
        <w:t xml:space="preserve">│  └─ agent/               # v1.5 signed outbound-only Connector Agent (Tally Prime, on-premises storage)</w:t>
      </w:r>
      <w:r>
        <w:br/>
      </w:r>
      <w:r>
        <w:rPr>
          <w:rStyle w:val="VerbatimChar"/>
        </w:rPr>
        <w:t xml:space="preserve">├─ modules/                # domain modules (each: domain/, application/, infra/, api/, tests/)</w:t>
      </w:r>
      <w:r>
        <w:br/>
      </w:r>
      <w:r>
        <w:rPr>
          <w:rStyle w:val="VerbatimChar"/>
        </w:rPr>
        <w:t xml:space="preserve">│  ├─ identity-access/  ├─ organisation/   ├─ configuration/  ├─ product-factory/</w:t>
      </w:r>
      <w:r>
        <w:br/>
      </w:r>
      <w:r>
        <w:rPr>
          <w:rStyle w:val="VerbatimChar"/>
        </w:rPr>
        <w:t xml:space="preserve">│  ├─ customer-kyc/     ├─ consent/        ├─ origination/    ├─ decisioning-bre/</w:t>
      </w:r>
      <w:r>
        <w:br/>
      </w:r>
      <w:r>
        <w:rPr>
          <w:rStyle w:val="VerbatimChar"/>
        </w:rPr>
        <w:t xml:space="preserve">│  ├─ verification/     ├─ collateral/     ├─ documents-dms/  ├─ loan-servicing/</w:t>
      </w:r>
      <w:r>
        <w:br/>
      </w:r>
      <w:r>
        <w:rPr>
          <w:rStyle w:val="VerbatimChar"/>
        </w:rPr>
        <w:t xml:space="preserve">│  ├─ schedule-engine/  ├─ cob/            ├─ payments/       ├─ mandates/</w:t>
      </w:r>
      <w:r>
        <w:br/>
      </w:r>
      <w:r>
        <w:rPr>
          <w:rStyle w:val="VerbatimChar"/>
        </w:rPr>
        <w:t xml:space="preserve">│  ├─ reconciliation/   ├─ collections/    ├─ recovery-*/ (one per R-module, Part 7A.0.1) ├─ ledger-gl/</w:t>
      </w:r>
      <w:r>
        <w:br/>
      </w:r>
      <w:r>
        <w:rPr>
          <w:rStyle w:val="VerbatimChar"/>
        </w:rPr>
        <w:t xml:space="preserve">│  ├─ indas-ecl-iracp/  ├─ tax-gst-tds/    ├─ treasury-borrowings/</w:t>
      </w:r>
      <w:r>
        <w:br/>
      </w:r>
      <w:r>
        <w:rPr>
          <w:rStyle w:val="VerbatimChar"/>
        </w:rPr>
        <w:t xml:space="preserve">│  ├─ colending-da/     ├─ risk/           ├─ regulatory-reporting/</w:t>
      </w:r>
      <w:r>
        <w:br/>
      </w:r>
      <w:r>
        <w:rPr>
          <w:rStyle w:val="VerbatimChar"/>
        </w:rPr>
        <w:t xml:space="preserve">│  ├─ compliance/       ├─ grievance/      ├─ communications/ ├─ partners-lsp/</w:t>
      </w:r>
      <w:r>
        <w:br/>
      </w:r>
      <w:r>
        <w:rPr>
          <w:rStyle w:val="VerbatimChar"/>
        </w:rPr>
        <w:t xml:space="preserve">│  ├─ analytics/        └─ ai-assist/</w:t>
      </w:r>
      <w:r>
        <w:br/>
      </w:r>
      <w:r>
        <w:rPr>
          <w:rStyle w:val="VerbatimChar"/>
        </w:rPr>
        <w:t xml:space="preserve">├─ packages/</w:t>
      </w:r>
      <w:r>
        <w:br/>
      </w:r>
      <w:r>
        <w:rPr>
          <w:rStyle w:val="VerbatimChar"/>
        </w:rPr>
        <w:t xml:space="preserve">│  ├─ contracts/  (OpenAPI, AsyncAPI, zod schemas, event catalogue)</w:t>
      </w:r>
      <w:r>
        <w:br/>
      </w:r>
      <w:r>
        <w:rPr>
          <w:rStyle w:val="VerbatimChar"/>
        </w:rPr>
        <w:t xml:space="preserve">│  ├─ recovery-*/  (Recovery Suite domain packages behind the 7A.0 contract: recovery-kernel, recovery-rules, recovery-contracts, recovery-documents, recovery-connectors; Part 7A.0.1)</w:t>
      </w:r>
      <w:r>
        <w:br/>
      </w:r>
      <w:r>
        <w:rPr>
          <w:rStyle w:val="VerbatimChar"/>
        </w:rPr>
        <w:t xml:space="preserve">│  ├─ returns/  bureau/  (v1.5 Part 7B: return registry, CEL rule packs, package builder; CIC format packs)</w:t>
      </w:r>
      <w:r>
        <w:br/>
      </w:r>
      <w:r>
        <w:rPr>
          <w:rStyle w:val="VerbatimChar"/>
        </w:rPr>
        <w:t xml:space="preserve">│  ├─ accounting-frameworks/  (v1.5 Part 7C: framework engine, statement formats, GST, ITA25)</w:t>
      </w:r>
      <w:r>
        <w:br/>
      </w:r>
      <w:r>
        <w:rPr>
          <w:rStyle w:val="VerbatimChar"/>
        </w:rPr>
        <w:t xml:space="preserve">│  ├─ audit/  risk/  governance/  hrms/  (v1.5 Parts 7D, 7E, 7F)</w:t>
      </w:r>
      <w:r>
        <w:br/>
      </w:r>
      <w:r>
        <w:rPr>
          <w:rStyle w:val="VerbatimChar"/>
        </w:rPr>
        <w:t xml:space="preserve">│  ├─ profiles/  investments/  (v1.5 Parts 7G, 7H)</w:t>
      </w:r>
      <w:r>
        <w:br/>
      </w:r>
      <w:r>
        <w:rPr>
          <w:rStyle w:val="VerbatimChar"/>
        </w:rPr>
        <w:t xml:space="preserve">│  ├─ portability/  (v1.5 Part 7J: archive builder, manifest, StorageTarget connectors)</w:t>
      </w:r>
      <w:r>
        <w:br/>
      </w:r>
      <w:r>
        <w:rPr>
          <w:rStyle w:val="VerbatimChar"/>
        </w:rPr>
        <w:t xml:space="preserve">│  ├─ billing-client/  (v1.5 Part 7K: entitlement cache, usage meters, Operations Hub client)</w:t>
      </w:r>
      <w:r>
        <w:br/>
      </w:r>
      <w:r>
        <w:rPr>
          <w:rStyle w:val="VerbatimChar"/>
        </w:rPr>
        <w:t xml:space="preserve">│  ├─ voice/  (v1.5 Part 7L EO6: voice, messaging and speech adapters)</w:t>
      </w:r>
      <w:r>
        <w:br/>
      </w:r>
      <w:r>
        <w:rPr>
          <w:rStyle w:val="VerbatimChar"/>
        </w:rPr>
        <w:t xml:space="preserve">│  ├─ domain-kernel/ (Money, Rate, BusinessDate, IDs, Result types)</w:t>
      </w:r>
      <w:r>
        <w:br/>
      </w:r>
      <w:r>
        <w:rPr>
          <w:rStyle w:val="VerbatimChar"/>
        </w:rPr>
        <w:t xml:space="preserve">│  ├─ adapters/  (kyc, bureau, aa, esign, estamp, nach, pg, payout, depository, tally, sap, odr, grc, llm …)</w:t>
      </w:r>
      <w:r>
        <w:br/>
      </w:r>
      <w:r>
        <w:rPr>
          <w:rStyle w:val="VerbatimChar"/>
        </w:rPr>
        <w:t xml:space="preserve">│  ├─ rule-packs/ (regulatory parameters, versioned)</w:t>
      </w:r>
      <w:r>
        <w:br/>
      </w:r>
      <w:r>
        <w:rPr>
          <w:rStyle w:val="VerbatimChar"/>
        </w:rPr>
        <w:t xml:space="preserve">│  ├─ ui/  (design tokens, components, Storybook)</w:t>
      </w:r>
      <w:r>
        <w:br/>
      </w:r>
      <w:r>
        <w:rPr>
          <w:rStyle w:val="VerbatimChar"/>
        </w:rPr>
        <w:t xml:space="preserve">│  ├─ config/  ├─ observability/  └─ testing/ (fixtures, synthetic data, fineract-oracle harness)</w:t>
      </w:r>
      <w:r>
        <w:br/>
      </w:r>
      <w:r>
        <w:rPr>
          <w:rStyle w:val="VerbatimChar"/>
        </w:rPr>
        <w:t xml:space="preserve">├─ db/</w:t>
      </w:r>
      <w:r>
        <w:br/>
      </w:r>
      <w:r>
        <w:rPr>
          <w:rStyle w:val="VerbatimChar"/>
        </w:rPr>
        <w:t xml:space="preserve">│  ├─ migrations/  ├─ rls-policies/  └─ seeds/ (synthetic only)</w:t>
      </w:r>
      <w:r>
        <w:br/>
      </w:r>
      <w:r>
        <w:rPr>
          <w:rStyle w:val="VerbatimChar"/>
        </w:rPr>
        <w:t xml:space="preserve">├─ infra/ (docker, compose, opentofu/terraform, railway, aws)</w:t>
      </w:r>
      <w:r>
        <w:br/>
      </w:r>
      <w:r>
        <w:rPr>
          <w:rStyle w:val="VerbatimChar"/>
        </w:rPr>
        <w:t xml:space="preserve">├─ docs/ (see Part 11.4; docs/ecosystem/infrabyx-integration-spec.md is the canonical ecosystem contract)</w:t>
      </w:r>
      <w:r>
        <w:br/>
      </w:r>
      <w:r>
        <w:rPr>
          <w:rStyle w:val="VerbatimChar"/>
        </w:rPr>
        <w:t xml:space="preserve">└─ CLAUDE.md</w:t>
      </w:r>
    </w:p>
    <w:p>
      <w:r>
        <w:pict>
          <v:rect style="width:0;height:1.5pt" o:hralign="center" o:hrstd="t" o:hr="t"/>
        </w:pict>
      </w:r>
    </w:p>
    <w:bookmarkEnd w:id="891"/>
    <w:bookmarkStart w:id="892" w:name="Xbada43b0de9df090e749b472cbf40f00d4fa911"/>
    <w:p>
      <w:pPr>
        <w:pStyle w:val="Heading1"/>
      </w:pPr>
      <w:r>
        <w:t xml:space="preserve">APPENDIX D — INITIAL ENTITY MODEL (starting list)</w:t>
      </w:r>
    </w:p>
    <w:p>
      <w:pPr>
        <w:numPr>
          <w:ilvl w:val="0"/>
          <w:numId w:val="2132"/>
        </w:numPr>
        <w:pStyle w:val="Compact"/>
      </w:pPr>
      <w:r>
        <w:rPr>
          <w:bCs/>
          <w:b/>
        </w:rPr>
        <w:t xml:space="preserve">Platform and organisation:</w:t>
      </w:r>
    </w:p>
    <w:p>
      <w:pPr>
        <w:numPr>
          <w:ilvl w:val="1"/>
          <w:numId w:val="2133"/>
        </w:numPr>
        <w:pStyle w:val="Compact"/>
      </w:pPr>
      <w:r>
        <w:t xml:space="preserve">tenant, legal_entity, entity_regulatory_profile (category, layer and source, standalone/last-audited/group assets, ₹1,000 crore crossing date, public_funds, customer_interface, government_company, gold_primary, UL advice and milestones, NOF and glide path, PBC result, Ind AS flag; Part 8A.25);</w:t>
      </w:r>
    </w:p>
    <w:p>
      <w:pPr>
        <w:numPr>
          <w:ilvl w:val="1"/>
          <w:numId w:val="2133"/>
        </w:numPr>
        <w:pStyle w:val="Compact"/>
      </w:pPr>
      <w:r>
        <w:t xml:space="preserve">branch/hierarchy_node, holiday_calendar, business_date;</w:t>
      </w:r>
    </w:p>
    <w:p>
      <w:pPr>
        <w:numPr>
          <w:ilvl w:val="1"/>
          <w:numId w:val="2133"/>
        </w:numPr>
        <w:pStyle w:val="Compact"/>
      </w:pPr>
      <w:r>
        <w:t xml:space="preserve">user, role, permission, user_scope, maker_checker_request, audit_event, feature_flag, config_version.</w:t>
      </w:r>
    </w:p>
    <w:p>
      <w:pPr>
        <w:numPr>
          <w:ilvl w:val="0"/>
          <w:numId w:val="2132"/>
        </w:numPr>
        <w:pStyle w:val="Compact"/>
      </w:pPr>
      <w:r>
        <w:rPr>
          <w:bCs/>
          <w:b/>
        </w:rPr>
        <w:t xml:space="preserve">Parties:</w:t>
      </w:r>
      <w:r>
        <w:t xml:space="preserve"> </w:t>
      </w:r>
      <w:r>
        <w:t xml:space="preserve">customer (individual/non-individual), customer_relationship, kyc_record, ckyc_record, consent_record, consent_artefact, screening_result, risk_category_history.</w:t>
      </w:r>
    </w:p>
    <w:p>
      <w:pPr>
        <w:numPr>
          <w:ilvl w:val="0"/>
          <w:numId w:val="2132"/>
        </w:numPr>
        <w:pStyle w:val="Compact"/>
      </w:pPr>
      <w:r>
        <w:rPr>
          <w:bCs/>
          <w:b/>
        </w:rPr>
        <w:t xml:space="preserve">Origination:</w:t>
      </w:r>
    </w:p>
    <w:p>
      <w:pPr>
        <w:numPr>
          <w:ilvl w:val="1"/>
          <w:numId w:val="2134"/>
        </w:numPr>
        <w:pStyle w:val="Compact"/>
      </w:pPr>
      <w:r>
        <w:t xml:space="preserve">lead, dsa/connector, payout_rule, payout_statement;</w:t>
      </w:r>
    </w:p>
    <w:p>
      <w:pPr>
        <w:numPr>
          <w:ilvl w:val="1"/>
          <w:numId w:val="2134"/>
        </w:numPr>
        <w:pStyle w:val="Compact"/>
      </w:pPr>
      <w:r>
        <w:t xml:space="preserve">application, applicant_role, data_pull (bureau/AA/GST/…), bre_decision (inputs, rule version, outputs);</w:t>
      </w:r>
    </w:p>
    <w:p>
      <w:pPr>
        <w:numPr>
          <w:ilvl w:val="1"/>
          <w:numId w:val="2134"/>
        </w:numPr>
        <w:pStyle w:val="Compact"/>
      </w:pPr>
      <w:r>
        <w:t xml:space="preserve">deviation, approval (authority, limit used), verification_task/report, cam_version;</w:t>
      </w:r>
    </w:p>
    <w:p>
      <w:pPr>
        <w:numPr>
          <w:ilvl w:val="1"/>
          <w:numId w:val="2134"/>
        </w:numPr>
        <w:pStyle w:val="Compact"/>
      </w:pPr>
      <w:r>
        <w:t xml:space="preserve">sanction, kfs_version, offer.</w:t>
      </w:r>
    </w:p>
    <w:p>
      <w:pPr>
        <w:numPr>
          <w:ilvl w:val="0"/>
          <w:numId w:val="2132"/>
        </w:numPr>
        <w:pStyle w:val="Compact"/>
      </w:pPr>
      <w:r>
        <w:rPr>
          <w:bCs/>
          <w:b/>
        </w:rPr>
        <w:t xml:space="preserve">Products and pricing:</w:t>
      </w:r>
      <w:r>
        <w:t xml:space="preserve"> </w:t>
      </w:r>
      <w:r>
        <w:t xml:space="preserve">product, product_version, charge_definition, gst_profile, rule_pack_version, accounting_rule_map, benchmark_rate.</w:t>
      </w:r>
    </w:p>
    <w:p>
      <w:pPr>
        <w:numPr>
          <w:ilvl w:val="0"/>
          <w:numId w:val="2132"/>
        </w:numPr>
        <w:pStyle w:val="Compact"/>
      </w:pPr>
      <w:r>
        <w:rPr>
          <w:bCs/>
          <w:b/>
        </w:rPr>
        <w:t xml:space="preserve">Collateral:</w:t>
      </w:r>
      <w:r>
        <w:t xml:space="preserve"> </w:t>
      </w:r>
      <w:r>
        <w:t xml:space="preserve">collateral, collateral_owner, valuation, charge_registration (CERSAI/RTO/depository), insurance_policy, custody_record, ltv_snapshot, release_record.</w:t>
      </w:r>
    </w:p>
    <w:p>
      <w:pPr>
        <w:numPr>
          <w:ilvl w:val="0"/>
          <w:numId w:val="2132"/>
        </w:numPr>
        <w:pStyle w:val="Compact"/>
      </w:pPr>
      <w:r>
        <w:rPr>
          <w:bCs/>
          <w:b/>
        </w:rPr>
        <w:t xml:space="preserve">Loans:</w:t>
      </w:r>
      <w:r>
        <w:t xml:space="preserve"> </w:t>
      </w:r>
      <w:r>
        <w:t xml:space="preserve">loan_account, tranche, loan_event (immutable), schedule_version, installment, loan_balance_snapshot, classification_history, restructuring_record, mandate, presentation, payment, receipt_allocation, suspense_item.</w:t>
      </w:r>
    </w:p>
    <w:p>
      <w:pPr>
        <w:numPr>
          <w:ilvl w:val="0"/>
          <w:numId w:val="2132"/>
        </w:numPr>
        <w:pStyle w:val="Compact"/>
      </w:pPr>
      <w:r>
        <w:rPr>
          <w:bCs/>
          <w:b/>
        </w:rPr>
        <w:t xml:space="preserve">Collections and legal:</w:t>
      </w:r>
      <w:r>
        <w:t xml:space="preserve"> </w:t>
      </w:r>
      <w:r>
        <w:t xml:space="preserve">strategy, allocation, contact_attempt (recording ref), ptp, field_visit, agency, agent (IIBF cert), legal_case, legal_event, repossession, auction, settlement.</w:t>
      </w:r>
    </w:p>
    <w:p>
      <w:pPr>
        <w:numPr>
          <w:ilvl w:val="0"/>
          <w:numId w:val="2132"/>
        </w:numPr>
        <w:pStyle w:val="Compact"/>
      </w:pPr>
      <w:r>
        <w:rPr>
          <w:bCs/>
          <w:b/>
        </w:rPr>
        <w:t xml:space="preserve">Accounting:</w:t>
      </w:r>
      <w:r>
        <w:t xml:space="preserve"> </w:t>
      </w:r>
      <w:r>
        <w:t xml:space="preserve">gl_account, journal, posting, sub_ledger_account, period, reconciliation_run/break, gst_invoice, tds_entry, borrowing, borrowing_schedule, ecl_run, provision_run.</w:t>
      </w:r>
    </w:p>
    <w:p>
      <w:pPr>
        <w:numPr>
          <w:ilvl w:val="0"/>
          <w:numId w:val="2132"/>
        </w:numPr>
        <w:pStyle w:val="Compact"/>
      </w:pPr>
      <w:r>
        <w:rPr>
          <w:bCs/>
          <w:b/>
        </w:rPr>
        <w:t xml:space="preserve">Risk and compliance:</w:t>
      </w:r>
      <w:r>
        <w:t xml:space="preserve"> </w:t>
      </w:r>
      <w:r>
        <w:t xml:space="preserve">exposure_snapshot, limit, ews_signal, fraud_case, model_inventory, regulatory_obligation, control, control_test, evidence, return_definition, return_run, cic_submission.</w:t>
      </w:r>
    </w:p>
    <w:p>
      <w:pPr>
        <w:numPr>
          <w:ilvl w:val="0"/>
          <w:numId w:val="2132"/>
        </w:numPr>
        <w:pStyle w:val="Compact"/>
      </w:pPr>
      <w:r>
        <w:rPr>
          <w:bCs/>
          <w:b/>
        </w:rPr>
        <w:t xml:space="preserve">Service:</w:t>
      </w:r>
      <w:r>
        <w:t xml:space="preserve"> </w:t>
      </w:r>
      <w:r>
        <w:t xml:space="preserve">service_request, complaint, complaint_escalation, odr_referral, communication, template_version, feedback.</w:t>
      </w:r>
    </w:p>
    <w:p>
      <w:pPr>
        <w:numPr>
          <w:ilvl w:val="0"/>
          <w:numId w:val="2132"/>
        </w:numPr>
        <w:pStyle w:val="Compact"/>
      </w:pPr>
      <w:r>
        <w:rPr>
          <w:bCs/>
          <w:b/>
        </w:rPr>
        <w:t xml:space="preserve">Integration:</w:t>
      </w:r>
      <w:r>
        <w:t xml:space="preserve"> </w:t>
      </w:r>
      <w:r>
        <w:t xml:space="preserve">integration_config, provider_call_log (redacted, with cost), webhook_delivery, outbox_event, idempotency_key, partner (LSP/co-lender/investor), dlg_arrangement, dlg_invocation, colending_split, pool.</w:t>
      </w:r>
    </w:p>
    <w:p>
      <w:pPr>
        <w:numPr>
          <w:ilvl w:val="0"/>
          <w:numId w:val="2132"/>
        </w:numPr>
        <w:pStyle w:val="Compact"/>
      </w:pPr>
      <w:r>
        <w:rPr>
          <w:bCs/>
          <w:b/>
        </w:rPr>
        <w:t xml:space="preserve">Added in v1.2 (Part 8A):</w:t>
      </w:r>
      <w:r>
        <w:t xml:space="preserve"> </w:t>
      </w:r>
      <w:r>
        <w:t xml:space="preserve">entity_regulatory_profile flags (layer, last-audited assets, deposit_taking, public_funds, customer_interface, notified_nbfc, ifc, nofhc_held, card_issuer, ind_as, cyber_chapter); branch_regulatory_event; related_party, related_party_link, counterparty_group, group_assessment, lei_record; investment_security, investment_holding, investment_valuation, interclass_transfer, aif_lookthrough; large_exposure_return; alm_bucket, alm_slotting_rule, behavioural_assumption, liquidity_run, lcr_daily, hqla_holding, cfp_source, stress_scenario; disclosure_template, disclosure_run; dlg_set, dla_register; cic_reference_calendar, cic_rejection, cic_dqi_review, cic_nodal_contact, cir_complaint_compensation, sarfaesi_display_entry; fraud_case, show_cause_notice, fraud_debarment, rbr_report; compliance_risk_assessment, product_approval, rmp_map_item, cco_register; aa_consent_artefact; green_allocation.</w:t>
      </w:r>
    </w:p>
    <w:p>
      <w:pPr>
        <w:numPr>
          <w:ilvl w:val="0"/>
          <w:numId w:val="2132"/>
        </w:numPr>
        <w:pStyle w:val="Compact"/>
      </w:pPr>
      <w:r>
        <w:rPr>
          <w:bCs/>
          <w:b/>
        </w:rPr>
        <w:t xml:space="preserve">Added in v1.3 (Part 8A.17–8A.36):</w:t>
      </w:r>
    </w:p>
    <w:p>
      <w:pPr>
        <w:numPr>
          <w:ilvl w:val="1"/>
          <w:numId w:val="2135"/>
        </w:numPr>
        <w:pStyle w:val="Compact"/>
      </w:pPr>
      <w:r>
        <w:t xml:space="preserve">IRACP: classification_event (borrower, COB date, from/to class), npi_flag, impairment_reserve_appropriation, hp_lease_nbv_snapshot, teaser_reset_record</w:t>
      </w:r>
    </w:p>
    <w:p>
      <w:pPr>
        <w:numPr>
          <w:ilvl w:val="1"/>
          <w:numId w:val="2135"/>
        </w:numPr>
        <w:pStyle w:val="Compact"/>
      </w:pPr>
      <w:r>
        <w:t xml:space="preserve">RSA: resolution_plan, ica_record, ice_rating, monitoring_period_tracker, financial_difficulty_flag, fair_value_diminution, fitl_instrument, sundry_liability_interest_cap, settlement_policy_version, cooling_period, technical_write_off, consent_decree, dcco_deferment, drs_claim</w:t>
      </w:r>
    </w:p>
    <w:p>
      <w:pPr>
        <w:numPr>
          <w:ilvl w:val="1"/>
          <w:numId w:val="2135"/>
        </w:numPr>
        <w:pStyle w:val="Compact"/>
      </w:pPr>
      <w:r>
        <w:t xml:space="preserve">RBC: kfs_version (proposal_no, validity_expiry, acknowledgement), kfs_charge_line, apr_computation, penal_levy, rate_reset_event, reset_election, quarterly_statement, prepayment_decision, document_release_case, gold_assay_certificate, surprise_verification, auction_notice, gold_auction, unclaimed_collateral, mfi_loan_card, agent_authorisation, agent_verification, telemarketer_registration, account_transfer_request, language_preference</w:t>
      </w:r>
    </w:p>
    <w:p>
      <w:pPr>
        <w:numPr>
          <w:ilvl w:val="1"/>
          <w:numId w:val="2135"/>
        </w:numPr>
        <w:pStyle w:val="Compact"/>
      </w:pPr>
      <w:r>
        <w:t xml:space="preserve">WD: wd_case, wd_committee, wd_committee_member, wd_notice (show-cause / proposal / order), wd_hearing, lwd_entry, large_defaulter_entry, wd_cic_file, wd_penal_bar, end_use_certificate, auditor_complaint, third_party_report</w:t>
      </w:r>
    </w:p>
    <w:p>
      <w:pPr>
        <w:numPr>
          <w:ilvl w:val="1"/>
          <w:numId w:val="2135"/>
        </w:numPr>
        <w:pStyle w:val="Compact"/>
      </w:pPr>
      <w:r>
        <w:t xml:space="preserve">KYC: ucic, kyc_mode_evidence, digital_kyc_session, vcip_session (recording ref, geo, IP check, auditor sign-off), beneficial_owner_link, pep_approval, kyc_exception, periodic_updation_notice, ckycr_upload_job, ckycr_inbound_update, sanctions_list_version, sanctions_match_case, asset_freeze_order, aml_alert, fiu_report, ml_tf_risk_assessment, pmla_officer_register, darpan_registration, fatca_crs_status</w:t>
      </w:r>
    </w:p>
    <w:p>
      <w:pPr>
        <w:numPr>
          <w:ilvl w:val="1"/>
          <w:numId w:val="2135"/>
        </w:numPr>
        <w:pStyle w:val="Compact"/>
      </w:pPr>
      <w:r>
        <w:rPr>
          <w:bCs/>
          <w:b/>
        </w:rPr>
        <w:t xml:space="preserve">TDCR:</w:t>
      </w:r>
      <w:r>
        <w:t xml:space="preserve"> </w:t>
      </w:r>
      <w:r>
        <w:t xml:space="preserve">loan_transfer (assignment/novation/participation, stressed flag), transfer_item, retained_interest, mhp_check, dd_record (loan-level/portfolio-level), transferee_declaration, rep_warranty_claim, regulator_notice, valuation_report, swiss_challenge, bid, arc_transfer, security_receipt, sr_valuation, trade_report, cla_agreement, cla_share, cla_booking_clock, cla_escrow, cla_classification_sync, cla_dlg</w:t>
      </w:r>
    </w:p>
    <w:p>
      <w:pPr>
        <w:numPr>
          <w:ilvl w:val="1"/>
          <w:numId w:val="2135"/>
        </w:numPr>
        <w:pStyle w:val="Compact"/>
      </w:pPr>
      <w:r>
        <w:rPr>
          <w:bCs/>
          <w:b/>
        </w:rPr>
        <w:t xml:space="preserve">SEC:</w:t>
      </w:r>
      <w:r>
        <w:t xml:space="preserve"> </w:t>
      </w:r>
      <w:r>
        <w:t xml:space="preserve">securitisation_txn, spe, tranche, mrr_position, credit_enhancement, ce_reset, liquidity_draw, underwriting_devolvement, investor_report, annex1_disclosure, securitisation_investment</w:t>
      </w:r>
    </w:p>
    <w:p>
      <w:pPr>
        <w:numPr>
          <w:ilvl w:val="1"/>
          <w:numId w:val="2135"/>
        </w:numPr>
        <w:pStyle w:val="Compact"/>
      </w:pPr>
      <w:r>
        <w:rPr>
          <w:bCs/>
          <w:b/>
        </w:rPr>
        <w:t xml:space="preserve">CAP:</w:t>
      </w:r>
      <w:r>
        <w:t xml:space="preserve"> </w:t>
      </w:r>
      <w:r>
        <w:t xml:space="preserve">capital_component_map, capital_run, rwa_exposure_line, rw_class_master, ccf_master, guarantee_scheme_cover, offbs_commitment, securitisation_tranche, tranche_rating, derivative_contract, netting_set, cds_position, pdi_instrument, subdebt_instrument</w:t>
      </w:r>
    </w:p>
    <w:p>
      <w:pPr>
        <w:numPr>
          <w:ilvl w:val="1"/>
          <w:numId w:val="2135"/>
        </w:numPr>
        <w:pStyle w:val="Compact"/>
      </w:pPr>
      <w:r>
        <w:rPr>
          <w:bCs/>
          <w:b/>
        </w:rPr>
        <w:t xml:space="preserve">SBR:</w:t>
      </w:r>
      <w:r>
        <w:t xml:space="preserve"> </w:t>
      </w:r>
      <w:r>
        <w:t xml:space="preserve">group_entity, group_asset_certificate, ul_classification_event, nof_glidepath_check, pbc_test_run, fatf_investor_holding; entity_regulatory_profile fields per 8A.25 (category, layer and source, standalone/last-audited/group assets, ₹1,000 crore crossing date, public_funds, customer_interface, government_company, gold_primary, UL advice and milestones, NOF and glide path, PBC result)</w:t>
      </w:r>
    </w:p>
    <w:p>
      <w:pPr>
        <w:numPr>
          <w:ilvl w:val="1"/>
          <w:numId w:val="2135"/>
        </w:numPr>
        <w:pStyle w:val="Compact"/>
      </w:pPr>
      <w:r>
        <w:rPr>
          <w:bCs/>
          <w:b/>
        </w:rPr>
        <w:t xml:space="preserve">DIV:</w:t>
      </w:r>
      <w:r>
        <w:t xml:space="preserve"> </w:t>
      </w:r>
      <w:r>
        <w:t xml:space="preserve">dividend_declaration, dividend_eligibility_check</w:t>
      </w:r>
    </w:p>
    <w:p>
      <w:pPr>
        <w:numPr>
          <w:ilvl w:val="1"/>
          <w:numId w:val="2135"/>
        </w:numPr>
        <w:pStyle w:val="Compact"/>
      </w:pPr>
      <w:r>
        <w:rPr>
          <w:bCs/>
          <w:b/>
        </w:rPr>
        <w:t xml:space="preserve">MISC:</w:t>
      </w:r>
      <w:r>
        <w:t xml:space="preserve"> </w:t>
      </w:r>
      <w:r>
        <w:t xml:space="preserve">regulatory_intimation, rating_event, ncd_issue, ncd_subscriber, factoring_receivable</w:t>
      </w:r>
    </w:p>
    <w:p>
      <w:pPr>
        <w:numPr>
          <w:ilvl w:val="1"/>
          <w:numId w:val="2135"/>
        </w:numPr>
        <w:pStyle w:val="Compact"/>
      </w:pPr>
      <w:r>
        <w:rPr>
          <w:bCs/>
          <w:b/>
        </w:rPr>
        <w:t xml:space="preserve">GOV:</w:t>
      </w:r>
      <w:r>
        <w:t xml:space="preserve"> </w:t>
      </w:r>
      <w:r>
        <w:t xml:space="preserve">director, director_declaration (annex_i / annex_ii / annual), deed_of_covenant, nrc_decision, director_change_event, management_change_application, kmp_record, cro_appointment, governance_return, policy_document, whistleblower_case</w:t>
      </w:r>
    </w:p>
    <w:p>
      <w:pPr>
        <w:numPr>
          <w:ilvl w:val="1"/>
          <w:numId w:val="2135"/>
        </w:numPr>
        <w:pStyle w:val="Compact"/>
      </w:pPr>
      <w:r>
        <w:rPr>
          <w:bCs/>
          <w:b/>
        </w:rPr>
        <w:t xml:space="preserve">OUT:</w:t>
      </w:r>
      <w:r>
        <w:t xml:space="preserve"> </w:t>
      </w:r>
      <w:r>
        <w:t xml:space="preserve">third_party, outsourcing_arrangement, materiality_assessment, due_diligence_review, contract_clause_check, sp_audit, sp_certification, sp_incident, supply_chain_entity, exit_plan, termination_notice, conflict_declaration</w:t>
      </w:r>
    </w:p>
    <w:p>
      <w:pPr>
        <w:numPr>
          <w:ilvl w:val="1"/>
          <w:numId w:val="2135"/>
        </w:numPr>
        <w:pStyle w:val="Compact"/>
      </w:pPr>
      <w:r>
        <w:rPr>
          <w:bCs/>
          <w:b/>
        </w:rPr>
        <w:t xml:space="preserve">ORM:</w:t>
      </w:r>
      <w:r>
        <w:t xml:space="preserve"> </w:t>
      </w:r>
      <w:r>
        <w:t xml:space="preserve">orm_taxonomy, risk, control, rcsa, kri, kri_observation, op_loss_event, critical_operation, impact_tolerance, dependency_node, dependency_edge, scenario_test, bcp_plan, bcp_exercise, incident, lessons_learned, action_plan, sensitive_position_leave, conduct_attestation</w:t>
      </w:r>
    </w:p>
    <w:p>
      <w:pPr>
        <w:numPr>
          <w:ilvl w:val="1"/>
          <w:numId w:val="2135"/>
        </w:numPr>
        <w:pStyle w:val="Compact"/>
      </w:pPr>
      <w:r>
        <w:t xml:space="preserve">MFI: mfi_qualifying_asset_test, channelising_scheme, sro_membership</w:t>
      </w:r>
    </w:p>
    <w:p>
      <w:pPr>
        <w:numPr>
          <w:ilvl w:val="1"/>
          <w:numId w:val="2135"/>
        </w:numPr>
        <w:pStyle w:val="Compact"/>
      </w:pPr>
      <w:r>
        <w:t xml:space="preserve">IAF: audit_universe_unit, ia_risk_assessment (inherent, control, level, trend, parameters), audit_plan, audit_assignment, audit_report, audit_observation, observation_compliance, hia_register, acb_hia_meeting</w:t>
      </w:r>
    </w:p>
    <w:p>
      <w:pPr>
        <w:numPr>
          <w:ilvl w:val="1"/>
          <w:numId w:val="2135"/>
        </w:numPr>
        <w:pStyle w:val="Compact"/>
      </w:pPr>
      <w:r>
        <w:t xml:space="preserve">SA: audit_firm, auditor_appointment (term_no, start, end, cooling_off_until), auditor_eligibility_check, form_a_certificate, form_b_certificate, non_audit_service_log, auditor_performance_review, branch_coverage_run</w:t>
      </w:r>
    </w:p>
    <w:p>
      <w:pPr>
        <w:numPr>
          <w:ilvl w:val="1"/>
          <w:numId w:val="2135"/>
        </w:numPr>
        <w:pStyle w:val="Compact"/>
      </w:pPr>
      <w:r>
        <w:t xml:space="preserve">SR: return_catalogue_entry (code, periodicity, reference_rule, due_rule, applicability_rule, mode), return_due_instance, return_submission, return_reconciliation, aggregation_rule, dq_metric, dq_issue, adhoc_data_request</w:t>
      </w:r>
    </w:p>
    <w:p>
      <w:pPr>
        <w:numPr>
          <w:ilvl w:val="1"/>
          <w:numId w:val="2135"/>
        </w:numPr>
        <w:pStyle w:val="Compact"/>
      </w:pPr>
      <w:r>
        <w:t xml:space="preserve">MSD: pca_indicator_snapshot, pca_restriction, cfss_progress_report, deposit_nomination; entity_regulatory_profile flags nbfc_mfi, cic, p2p, spd, factor, aa, mgc, group_asset_size, pca_status, sro_membership, mumbai_region; branch flag fixed_point_unit</w:t>
      </w:r>
    </w:p>
    <w:p>
      <w:pPr>
        <w:numPr>
          <w:ilvl w:val="0"/>
          <w:numId w:val="2132"/>
        </w:numPr>
        <w:pStyle w:val="Compact"/>
      </w:pPr>
      <w:r>
        <w:rPr>
          <w:bCs/>
          <w:b/>
        </w:rPr>
        <w:t xml:space="preserve">Added in v1.4 (Part 7A: 7A.0, R1, R2, R3, R9, R11, R14, R15):</w:t>
      </w:r>
    </w:p>
    <w:p>
      <w:pPr>
        <w:numPr>
          <w:ilvl w:val="1"/>
          <w:numId w:val="2136"/>
        </w:numPr>
        <w:pStyle w:val="Compact"/>
      </w:pPr>
      <w:r>
        <w:rPr>
          <w:bCs/>
          <w:b/>
        </w:rPr>
        <w:t xml:space="preserve">Suite platform (7A.0):</w:t>
      </w:r>
      <w:r>
        <w:t xml:space="preserve"> </w:t>
      </w:r>
      <w:r>
        <w:t xml:space="preserve">module_manifest (id, version, requires, capabilities, events_produced, events_consumed, regulatory_refs, retention_class, licence_sku), module_installation (tenant, state AVAILABLE/LICENSED/INSTALLED/CONFIGURED/CERTIFIED/ENABLED/READ_ONLY/DETACHED, state history), licence_entitlement (tenant, sku, start, end), feature_flag_scope (flag key, entity/product/branch scope), certification_run (module, test pack version, results, CCO sign-off evidence), backfill_job (dry-run flag, counts, reject file), detach_request (open-deadline list, acknowledgements, named owners), export_bundle (manifest SHA-256, signature, delivery receipt), retention_class, legal_hold (scope, reason, owner, released_at), extension_hook (transition, mode pre/post, endpoint, timeout, veto flag), task_queue, external_task (queue, claimant app, status), connector_registration (connector type, capabilities, config version, certified_at)</w:t>
      </w:r>
    </w:p>
    <w:p>
      <w:pPr>
        <w:numPr>
          <w:ilvl w:val="1"/>
          <w:numId w:val="2136"/>
        </w:numPr>
        <w:pStyle w:val="Compact"/>
      </w:pPr>
      <w:r>
        <w:rPr>
          <w:bCs/>
          <w:b/>
        </w:rPr>
        <w:t xml:space="preserve">Recovery case and strategy (R1):</w:t>
      </w:r>
      <w:r>
        <w:t xml:space="preserve"> </w:t>
      </w:r>
      <w:r>
        <w:t xml:space="preserve">recovery_case (borrower-level; state; flags fraud/wd/ibc_state/moratorium/deceased/litigation_hold/co_lent/transferred/securitised/dlg_covered), recovery_case_facility, recovery_case_party (role borrower/co-borrower/guarantor/mortgagor/legal_heir), claim_snapshot (as-of date, principal, interest, penal charges, costs), recovery_track (mechanism, state, stay scope), mechanism_evaluation (inputs hash, rule-pack versions, outputs permitted/blocked/recommended with reasons), mechanism_override (reason, approver), lender_eligibility_profile (sarfaesi_notified, rdb_notified with gazette reference, revenue_recovery_states, cgtmse_mli), limitation_record (claim type, article, base date, period, end date, status incl. UNKNOWN_REVIEW), acknowledgment_event (type s.18/s.19, document, signed_by, date, accepted flag), deadline (source rule/order/manual, due, owner, escalation chain, status), recovery_strategy (version, approver), doa_rule (action, band, product, mechanism, approver level), case_cost_budget, case_cost_line (recoverable flag, clause reference), heir_record (document type, verification, share), deceased_event</w:t>
      </w:r>
    </w:p>
    <w:p>
      <w:pPr>
        <w:numPr>
          <w:ilvl w:val="1"/>
          <w:numId w:val="2136"/>
        </w:numPr>
        <w:pStyle w:val="Compact"/>
      </w:pPr>
      <w:r>
        <w:rPr>
          <w:bCs/>
          <w:b/>
        </w:rPr>
        <w:t xml:space="preserve">Pre-legal and field (R2):</w:t>
      </w:r>
      <w:r>
        <w:t xml:space="preserve"> </w:t>
      </w:r>
      <w:r>
        <w:t xml:space="preserve">handoff_package (contents checklist, completed_at), prelegal_step (sequence, status), fi_request (case, address, purpose, deadline, permitted data), fi_report (address status, occupancy, security status, tenancy observed, assets, willingness/capacity, fraud indicators, recommendation), fi_evidence (geo, timestamp, photo hash, geo-fence match), asset_search_result (source, reference, result), skip_trace_log (source, purpose LOCATE/ASSET, basis DPDP s.17(1)(f), result, operator), negotiation_log (offer, counter-offer, negotiator band, NPV floor ref), hardship_evidence, state_conduct_overlay (state, act, rule pack)</w:t>
      </w:r>
    </w:p>
    <w:p>
      <w:pPr>
        <w:numPr>
          <w:ilvl w:val="1"/>
          <w:numId w:val="2136"/>
        </w:numPr>
        <w:pStyle w:val="Compact"/>
      </w:pPr>
      <w:r>
        <w:rPr>
          <w:bCs/>
          <w:b/>
        </w:rPr>
        <w:t xml:space="preserve">Notices and documents (R3):</w:t>
      </w:r>
      <w:r>
        <w:t xml:space="preserve"> </w:t>
      </w:r>
      <w:r>
        <w:t xml:space="preserve">notice_template (instrument, statute_ref, version, language, approval chain, locked), template_clause (text by language, condition, mandatory, citation), translation_certificate (language, translator, template version), notice_instrument_catalogue, notice (case, party, template version, dues snapshot, content hash, signatory, outward number), notice_batch (selection rule, approvers), signature_evidence (method eSign/DSC/wet-ink, certificate, transaction id), stamp_evidence (state, e-stamp id, duty), dispatch_order (channel, vendor, booking number/message id), tracking_event (code, timestamp, raw payload), service_record (party, mode, status, evidence URIs, SHA-256, deemed-service rule and date, computed deadlines), substituted_service (affixture photos, newspapers, publication dates), newspaper_publication (paper, language, edition, date, cutting), channel_policy (instrument, mandatory/permitted/blocked channels), outward_register_entry</w:t>
      </w:r>
    </w:p>
    <w:p>
      <w:pPr>
        <w:numPr>
          <w:ilvl w:val="1"/>
          <w:numId w:val="2136"/>
        </w:numPr>
        <w:pStyle w:val="Compact"/>
      </w:pPr>
      <w:r>
        <w:rPr>
          <w:bCs/>
          <w:b/>
        </w:rPr>
        <w:t xml:space="preserve">Litigation (R9):</w:t>
      </w:r>
      <w:r>
        <w:t xml:space="preserve"> </w:t>
      </w:r>
      <w:r>
        <w:t xml:space="preserve">forum_master (type, state, district, bench, court number), matter (role, mechanism, case type/number, CNR/diary/filing number, claim, relief, stage, stay, outcome, recovery to date), matter_link (counter-litigation, award-to-execution), hearing (bench, item no., purpose, minutes, next date, adjournment party, costs), court_order (type, PDF, OCR text, AI summary, human_verified), order_direction (task link), stay_order (scope, expiry), court_deposit (basis s.18/s.21/s.143A/s.148, amount, interest, refund status), certified_copy_request, efiling_bundle, court_data_source_sync (source official/vendor/counsel/manual, CNR, last sync, conflict flag), cause_list_match, contingent_liability_assessment (quarter, probability, amount), matter_fee_budget, instruction_record (instruction type, approver)</w:t>
      </w:r>
    </w:p>
    <w:p>
      <w:pPr>
        <w:numPr>
          <w:ilvl w:val="1"/>
          <w:numId w:val="2136"/>
        </w:numPr>
        <w:pStyle w:val="Compact"/>
      </w:pPr>
      <w:r>
        <w:rPr>
          <w:bCs/>
          <w:b/>
        </w:rPr>
        <w:t xml:space="preserve">Vendors (R11):</w:t>
      </w:r>
      <w:r>
        <w:t xml:space="preserve"> </w:t>
      </w:r>
      <w:r>
        <w:t xml:space="preserve">vendor (type advocate/agency/agent/valuer/auctioneer/investigator/dispatch/odr_provider/yard), vendor_empanelment (checklist, approval, review date), vendor_certificate (IIBF DRA number, issue, expiry), police_verification (date, re-verification due), conflict_check (subject, result), fee_schedule (forum, stage, basis), vendor_invoice (matter, stage, GST RCM, TDS s.393, approval), vendor_allocation (rule version, eligibility snapshot), vendor_scorecard (period, metrics, weights), vendor_audit (scope, findings, closure), agency_website_listing (published_at, removed_at), borrower_agency_intimation (agency, channel, sent_at, first-contact or first-visit gate), odr_provider_profile (rules version, fee table, concentration caps)</w:t>
      </w:r>
    </w:p>
    <w:p>
      <w:pPr>
        <w:numPr>
          <w:ilvl w:val="1"/>
          <w:numId w:val="2136"/>
        </w:numPr>
        <w:pStyle w:val="Compact"/>
      </w:pPr>
      <w:r>
        <w:rPr>
          <w:bCs/>
          <w:b/>
        </w:rPr>
        <w:t xml:space="preserve">Registers, analytics and exports (R14):</w:t>
      </w:r>
      <w:r>
        <w:t xml:space="preserve"> </w:t>
      </w:r>
      <w:r>
        <w:t xml:space="preserve">register_definition (columns, source query, format), register_snapshot (as-of, row count, hash), kpi_definition (formula, segments), kpi_value (period, segment, value, target), board_pack_run, rsa_quarterly_report_run, cgtmse_claim (lock-in end, legal-action date, claim lodged, first instalment, recoveries remitted), surplus_refund (entitled persons, CERSAI check, paid date), export_job (format, filter, schedule, recipient, masking profile), export_manifest (row count, SHA-256, requester), report_definition (designer layout, RLS scope)</w:t>
      </w:r>
    </w:p>
    <w:p>
      <w:pPr>
        <w:numPr>
          <w:ilvl w:val="1"/>
          <w:numId w:val="2136"/>
        </w:numPr>
        <w:pStyle w:val="Compact"/>
      </w:pPr>
      <w:r>
        <w:rPr>
          <w:bCs/>
          <w:b/>
        </w:rPr>
        <w:t xml:space="preserve">Conduct and evidence (R15):</w:t>
      </w:r>
      <w:r>
        <w:t xml:space="preserve"> </w:t>
      </w:r>
      <w:r>
        <w:t xml:space="preserve">contact_policy_pack (version, effective dates, source), contact_evaluation (inputs, rule version, decision, denial reason), blackout_calendar (state, festival dates, borrower-declared events), call_recording (retention end, sub-judice hold), qa_review (score, reviewer), ai_interaction_log (transcript ref, disclosure played, human handover), prohibited_phrase_list, purpose_tag (data element, purpose, legal basis), evidence_pack (type s.14/s.17/s.138/RB-IOS/ADR/inspection, contents, hash), grc_event_log (canonical event, destination, delivery status), control_test_definition (obligation ref, population query, frequency), control_test_run (population, exceptions, evidence hash), rule_pack_change (impact list, CCO sign-off, activation date), regulatory_watch_item (subject, review date, status)</w:t>
      </w:r>
    </w:p>
    <w:p>
      <w:pPr>
        <w:numPr>
          <w:ilvl w:val="1"/>
          <w:numId w:val="2136"/>
        </w:numPr>
        <w:pStyle w:val="Compact"/>
      </w:pPr>
      <w:r>
        <w:rPr>
          <w:bCs/>
          <w:b/>
        </w:rPr>
        <w:t xml:space="preserve">Supersedes or extends existing entities:</w:t>
      </w:r>
      <w:r>
        <w:t xml:space="preserve"> </w:t>
      </w:r>
      <w:r>
        <w:t xml:space="preserve">legal_case → matter; legal_event → hearing and court_order; contact_attempt gains contact_evaluation and call_recording links; agent (IIBF cert) moves to vendor plus vendor_certificate; agent_authorisation and agent_verification (v1.3) are kept and linked to vendor; settlement, consent_decree, cooling_period, technical_write_off (v1.3) are kept and referenced by R8 and R14; sarfaesi_display_entry (v1.2) feeds the R14 possessed-assets register; fraud_case, show_cause_notice and wd_case (v1.2/v1.3) are driven by R15.6.</w:t>
      </w:r>
    </w:p>
    <w:p>
      <w:pPr>
        <w:numPr>
          <w:ilvl w:val="0"/>
          <w:numId w:val="2132"/>
        </w:numPr>
        <w:pStyle w:val="Compact"/>
      </w:pPr>
      <w:r>
        <w:rPr>
          <w:bCs/>
          <w:b/>
        </w:rPr>
        <w:t xml:space="preserve">Added in v1.4 (Part 7A: R4, R5, R6, R7, R8, R10, R12, R13, R16):</w:t>
      </w:r>
    </w:p>
    <w:p>
      <w:pPr>
        <w:numPr>
          <w:ilvl w:val="1"/>
          <w:numId w:val="2137"/>
        </w:numPr>
        <w:pStyle w:val="Compact"/>
      </w:pPr>
      <w:r>
        <w:rPr>
          <w:bCs/>
          <w:b/>
        </w:rPr>
        <w:t xml:space="preserve">SARFAESI (R4):</w:t>
      </w:r>
      <w:r>
        <w:t xml:space="preserve"> </w:t>
      </w:r>
      <w:r>
        <w:t xml:space="preserve">sarfaesi_case (recovery_track link, secured asset, authorised officer, cure-timer basis last-service/dispatch, state, redemption_closed_at), sarfaesi_eligibility_check (tests 1–10 with result, rule-pack version, citation, override flag, approver, opinion ref), s13_9_consent (record date, secured creditors, value share, decision, binding flag; shared with R13), representation_13_3a (received_at, reply_due, reply notice link, dispatched_at), possession_record (mode symbolic/physical, date, appendix, panchnama, inventory items, witnesses, media hashes, publication due and done, website entry), reserve_price_decision (valuation refs, reserve, attempt no., rationale, approver), sale_notice (service dates per party, publication date, papers, affixation, website and platform listing, earliest_auction_date, resale flag), auction extended (platform, listing id, attempt no., EMD %, bid-log hash, result sold/failed/forfeited), sale_confirmation (confirmed_at, deposit_25_due/paid, balance_due, written_extension doc and expiry, forfeited_at), sale_certificate (appendix III/V, registration and stamp evidence, delivery memo), proceeds_appropriation (costs, dues, residue, rule version, CERSAI check ref)</w:t>
      </w:r>
    </w:p>
    <w:p>
      <w:pPr>
        <w:numPr>
          <w:ilvl w:val="1"/>
          <w:numId w:val="2137"/>
        </w:numPr>
        <w:pStyle w:val="Compact"/>
      </w:pPr>
      <w:r>
        <w:rPr>
          <w:bCs/>
          <w:b/>
        </w:rPr>
        <w:t xml:space="preserve">Civil and tribunal remedies (R5):</w:t>
      </w:r>
      <w:r>
        <w:t xml:space="preserve"> </w:t>
      </w:r>
      <w:r>
        <w:t xml:space="preserve">suit_preparation (cause of action, jurisdiction basis, suit valuation, court fee, urgency note, Novenco factors), s12a_mediation (DLSA ref, start, extension, end, outcome, days excluded from limitation), executable_title (type decree/consent decree/award/s.74 settlement/s.12A settlement/Lok Adalat award/RC, amount, interest terms, costs, enforceable_from, limitation end), execution_proceeding (title, court, transfer under CPC s.39, modes, status), attachment_order (type immovable/movable/debt/garnishee/salary/bank, target, amount, order ref, status), out_of_court_payment (amount, date, O.XXI r.2 certification status), guarantee_invocation (guarantor, demand date, limitation link, WD referral flag), revenue_recovery_request (state, statute, notification ref, requisition, certificate, status)</w:t>
      </w:r>
    </w:p>
    <w:p>
      <w:pPr>
        <w:numPr>
          <w:ilvl w:val="1"/>
          <w:numId w:val="2137"/>
        </w:numPr>
        <w:pStyle w:val="Compact"/>
      </w:pPr>
      <w:r>
        <w:rPr>
          <w:bCs/>
          <w:b/>
        </w:rPr>
        <w:t xml:space="preserve">IBC (R6):</w:t>
      </w:r>
      <w:r>
        <w:t xml:space="preserve"> </w:t>
      </w:r>
      <w:r>
        <w:t xml:space="preserve">ibc_proceeding (type S7/S95/CIRP_CLAIM/LIQUIDATION_CLAIM/PPIRP, corporate debtor or guarantor, bench, filed_on, admission target, ICD, IRP/RP/liquidator, CIRP clock), ibc_rule_status (provision, status in force/enacted-not-notified, effective_from, notification ref), iu_record (NeSL reference, authentication status, date), ibc_claim (form C/CA/liquidation, version, components, security, guarantees, admitted amount, status, late-claim reason), coc_meeting (notice, agenda, minutes, voting window), coc_vote (agenda item, voting share, decision, rationale, DoA approval, recusal check, e-vote evidence), ibc_resolution_plan (applicant, s.29A declaration, upfront/deferred amounts, instruments, tenant share, s.30(2) floor check, milestones, breach flag), s52_election (choice, date, cost contribution), liquidation_distribution (rank, amount, receipt link), moratorium_order (provision s.14/s.54E/s.101/s.33(5), protected party, scope, from, to), cause_list_hit (CIN, forum, item, acknowledged_by)</w:t>
      </w:r>
    </w:p>
    <w:p>
      <w:pPr>
        <w:numPr>
          <w:ilvl w:val="1"/>
          <w:numId w:val="2137"/>
        </w:numPr>
        <w:pStyle w:val="Compact"/>
      </w:pPr>
      <w:r>
        <w:rPr>
          <w:bCs/>
          <w:b/>
        </w:rPr>
        <w:t xml:space="preserve">Cheque and mandate dishonour (R7):</w:t>
      </w:r>
      <w:r>
        <w:t xml:space="preserve"> </w:t>
      </w:r>
      <w:r>
        <w:t xml:space="preserve">negotiable_instrument (type cheque/NACH/ECS, number or UMRN, date, amount, drawer account, drawee and payee branches, purpose, custody status, validity end), instrument_return (return memo or NPCI code, information received date, qualification result, mapping version), dishonour_track (notice link, service date, payment window end, cause of action date, complaint last date, condonation flag, jurisdiction court), accused_person (name, role, s.141 basis, DIN, MCA snapshot date), compounding_cost_calc (stage, percentage, amount)</w:t>
      </w:r>
    </w:p>
    <w:p>
      <w:pPr>
        <w:numPr>
          <w:ilvl w:val="1"/>
          <w:numId w:val="2137"/>
        </w:numPr>
        <w:pStyle w:val="Compact"/>
      </w:pPr>
      <w:r>
        <w:rPr>
          <w:bCs/>
          <w:b/>
        </w:rPr>
        <w:t xml:space="preserve">Settlement and ADR (R8):</w:t>
      </w:r>
      <w:r>
        <w:t xml:space="preserve"> </w:t>
      </w:r>
      <w:r>
        <w:t xml:space="preserve">settlement_proposal (dues snapshot, offer, sacrifice by component, NPV and realisable value, policy version, band check, restructuring flag, contingent-claim flag), settlement_approval (approver, level, sanctioner-exclusion check, Board flag for fraud/WD, decision), settlement_schedule (instalments, due dates, paid), settlement_breach (detected_at, cure end, revived_at), arbitration_clause_version (institution, alternate, seat, online hearings, fast-track option, consumer carve-out, stamp proof), adr_case (RE-side referral record keyed by adr_case_id as in the Integration Specification: provider, process, basis pre-named institution/post-dispute consent/conciliation invitation, state, clocks), adr_consent (type post-dispute arbitration/s.62 conciliation/s.30 online mediation/s.29B fast track, method, evidence hash, decision), neutral_appointment (neutral, selection-log ref, random seed, 3-year count for the tenant, Sixth Schedule disclosure ref, challenge window end), adr_outcome (type s.73 settlement/award/non-settlement, signed_at, stamp evidence, receipt date per party, s.34 window end, enforcement-risk flag), lok_adalat_batch (sitting, DLSA, submission format, delegation letters), lok_adalat_entry (account, offer band, outcome, award ref); v1.3 settlement, consent_decree, cooling_period and Part 7A odr_provider_profile are reused</w:t>
      </w:r>
    </w:p>
    <w:p>
      <w:pPr>
        <w:numPr>
          <w:ilvl w:val="1"/>
          <w:numId w:val="2137"/>
        </w:numPr>
        <w:pStyle w:val="Compact"/>
      </w:pPr>
      <w:r>
        <w:rPr>
          <w:bCs/>
          <w:b/>
        </w:rPr>
        <w:t xml:space="preserve">Repossession, valuation and sale (R10):</w:t>
      </w:r>
      <w:r>
        <w:t xml:space="preserve"> </w:t>
      </w:r>
      <w:r>
        <w:t xml:space="preserve">repossession extended (notice delivered_at, notice period end, agent and authorisation refs, possession memo, inventory items, media hashes, redelivery), vehicle_reregistration (Form 36 application, Form 37 notice, new RC, buyer transfer forms), custody_location (yard/vault/warehouse, insurer, capacity), custody_movement (asset, from, to, by, time, condition), gold_auction extended (30-day average and previous close inputs, purity, current value, reserve %, attempt no., venue district, mode physical/online, related-party screen result), pledge_invocation (pledge ref, notice log ref, DP or RTA, quantity, invocation id, sale method, proceeds), setoff_action (deposit ref, joint-holder consent, notice ref, amount applied), account_debtor_notice (debtor, receivable ref, notice, payments redirected), liquidation_auction_watch (BAANKNET listing, EMD, bidder introduced, result), valuer_assignment (valuer, asset, conflict declaration, report, market/realisable/distress values, report date), shortfall_statement (computation, sent_at); margin_call (M5 additions) is reused</w:t>
      </w:r>
    </w:p>
    <w:p>
      <w:pPr>
        <w:numPr>
          <w:ilvl w:val="1"/>
          <w:numId w:val="2137"/>
        </w:numPr>
        <w:pStyle w:val="Compact"/>
      </w:pPr>
      <w:r>
        <w:rPr>
          <w:bCs/>
          <w:b/>
        </w:rPr>
        <w:t xml:space="preserve">Recovery accounting (R12):</w:t>
      </w:r>
      <w:r>
        <w:t xml:space="preserve"> </w:t>
      </w:r>
      <w:r>
        <w:t xml:space="preserve">appropriation_policy (context, order, version, Board approval, effective dates), posting_rule (event type, debit and credit templates, sub-ledger, notes, version, approver), memo_claim_entry (contractual interest and charges on NPAs), recoverable_cost_entry (shadow ledger, clause ref, realised flag), two_ledger_entry (technical write-off dues by component, recoveries), post_writeoff_recovery (amount, shares to DLG provider or CGTMSE), dlg_recovery_share (invocation, recovery, share, payable), interim_compensation_holding (s.143A amount, status refundable/applied/refunded), export_batch (target Tally/SAP/Zoho/file, batch no., idempotency key, hash, status)</w:t>
      </w:r>
    </w:p>
    <w:p>
      <w:pPr>
        <w:numPr>
          <w:ilvl w:val="1"/>
          <w:numId w:val="2137"/>
        </w:numPr>
        <w:pStyle w:val="Compact"/>
      </w:pPr>
      <w:r>
        <w:rPr>
          <w:bCs/>
          <w:b/>
        </w:rPr>
        <w:t xml:space="preserve">Shared-exposure recovery (R13):</w:t>
      </w:r>
      <w:r>
        <w:t xml:space="preserve"> </w:t>
      </w:r>
      <w:r>
        <w:t xml:space="preserve">shared_exposure (type CLA/assignment/novation/participation/securitisation/ARC transfer/ARC agent/consortium/multiple banking, parties and shares, lender of record, servicer, security trustee, agreement version, cla_regime), recovery_matrix_rule (action, decides, executes, gate), share_approval (lender, action, decision, policy version), servicer_remittance (transferee or SPE, collected, remitted, trust account, date), trust_account (bank, beneficiary, purpose), ica_vote (agenda item, lender, value share, decision, record date), substitution_task (matter, transferee, filed_at, order); v1.3 cla_*, loan_transfer, arc_transfer, swiss_challenge, security_receipt, sr_valuation and ica_record are reused</w:t>
      </w:r>
    </w:p>
    <w:p>
      <w:pPr>
        <w:numPr>
          <w:ilvl w:val="1"/>
          <w:numId w:val="2137"/>
        </w:numPr>
        <w:pStyle w:val="Compact"/>
      </w:pPr>
      <w:r>
        <w:rPr>
          <w:bCs/>
          <w:b/>
        </w:rPr>
        <w:t xml:space="preserve">Product playbooks (R16):</w:t>
      </w:r>
      <w:r>
        <w:t xml:space="preserve"> </w:t>
      </w:r>
      <w:r>
        <w:t xml:space="preserve">recovery_playbook (product code, version, effective dates, approval), playbook_step (order, trigger DPD/event, action, mechanism, template, owner, SLA, gates), playbook_lint_result (rule, result, version); linked from the Part 6.3 recovery_hook</w:t>
      </w:r>
    </w:p>
    <w:p>
      <w:pPr>
        <w:numPr>
          <w:ilvl w:val="0"/>
          <w:numId w:val="2132"/>
        </w:numPr>
        <w:pStyle w:val="Compact"/>
      </w:pPr>
      <w:r>
        <w:rPr>
          <w:bCs/>
          <w:b/>
        </w:rPr>
        <w:t xml:space="preserve">Added in v1.4 (Parts 6.3–6.4, M5, M11, M14, M21 and the Ecosystem Integration Specification; Part 7A entities are listed separately):</w:t>
      </w:r>
    </w:p>
    <w:p>
      <w:pPr>
        <w:numPr>
          <w:ilvl w:val="1"/>
          <w:numId w:val="2138"/>
        </w:numPr>
        <w:pStyle w:val="Compact"/>
      </w:pPr>
      <w:r>
        <w:rPr>
          <w:bCs/>
          <w:b/>
        </w:rPr>
        <w:t xml:space="preserve">Product workflow templates (Part 6.3):</w:t>
      </w:r>
      <w:r>
        <w:t xml:space="preserve"> </w:t>
      </w:r>
      <w:r>
        <w:t xml:space="preserve">workflow_template (product_code, version, effective_from/to, channels, status, approver), workflow_stage (stage code, order), workflow_step_def (step code, actor, gate rule ref, SLA, evidence type, events emitted, locked flag), step_dependency, channel_overlay (channel BR/FA/DSA/LSP/CLO/API, pre-fill map, actor substitutions), step_library_entry (code, description, regulatory refs, locked_by_rule), template_validation_run (guard-rail results), application_workflow_instance (application, template version, channel), step_instance (state, actor, started/completed, evidence refs, gate decision ref), recovery_hook (product_code, r16_playbook, mechanism_profile: secured, security type, instrument held, arbitration clause version, CGTMSE cover)</w:t>
      </w:r>
    </w:p>
    <w:p>
      <w:pPr>
        <w:numPr>
          <w:ilvl w:val="1"/>
          <w:numId w:val="2138"/>
        </w:numPr>
        <w:pStyle w:val="Compact"/>
      </w:pPr>
      <w:r>
        <w:rPr>
          <w:bCs/>
          <w:b/>
        </w:rPr>
        <w:t xml:space="preserve">Disbursement routing:</w:t>
      </w:r>
      <w:r>
        <w:t xml:space="preserve"> </w:t>
      </w:r>
      <w:r>
        <w:t xml:space="preserve">disbursement_route (DISB-B / DISB-E / DISB-ESC, beneficiary account, end-use reference, CF 10 basis), end_beneficiary (type seller/builder/dealer/merchant/institution/provider/creditor, verified account, penny-drop result)</w:t>
      </w:r>
    </w:p>
    <w:p>
      <w:pPr>
        <w:numPr>
          <w:ilvl w:val="1"/>
          <w:numId w:val="2138"/>
        </w:numPr>
        <w:pStyle w:val="Compact"/>
      </w:pPr>
      <w:r>
        <w:rPr>
          <w:bCs/>
          <w:b/>
        </w:rPr>
        <w:t xml:space="preserve">Collateral perfection (M5):</w:t>
      </w:r>
      <w:r>
        <w:t xml:space="preserve"> </w:t>
      </w:r>
      <w:r>
        <w:t xml:space="preserve">charge_registration extended with registry (CERSAI, VAHAN, TREDS, CGTMSE, ROC evidence), registry_ref, filed_on, satisfied_on, filing deadline; mortgage_record (type equitable/MODT/registered, sub-registrar, document number, deed custody ref); title_search_report (period searched, advocate, encumbrances, opinion); vahan_endorsement (RC number, Form 34/35/36 refs, e-NOC ref); guarantee_cover (scheme, cover %, lock-in end, fee schedule); factoring_unit (TReDS platform, unit id, buyer, seller, due date, acceptance ref, CERSAI ref, recourse flag)</w:t>
      </w:r>
    </w:p>
    <w:p>
      <w:pPr>
        <w:numPr>
          <w:ilvl w:val="1"/>
          <w:numId w:val="2138"/>
        </w:numPr>
        <w:pStyle w:val="Compact"/>
      </w:pPr>
      <w:r>
        <w:rPr>
          <w:bCs/>
          <w:b/>
        </w:rPr>
        <w:t xml:space="preserve">LAS and LAMF (Part 6.4):</w:t>
      </w:r>
      <w:r>
        <w:t xml:space="preserve"> </w:t>
      </w:r>
      <w:r>
        <w:t xml:space="preserve">security_master (ISIN or scheme code, issuer, exchange group, Group 1 flag, lock-in, own-share flag, primary-gold-backed flag), eligible_security_list (variant, version, Board approval), haircut_schedule (security or class, haircut, volatility buffer, version), concentration_limit (scrip/issuer/borrower), price_snapshot (source bhavcopy/AMFI/bond valuer, as_of, file hash, stale flag), holdings_snapshot (consent ref, source, positions), pledge_record (rail NSDL/CDSL/RTA/MF Central, pledge ref, ISIN or folio, quantity, state, evidence hash), drawing_power_snapshot (eligible value, DP, LTV, regulatory LTV test result, freeze flag), drawdown_request (idempotency key, state, payout ref), margin_call (number, shortfall, options, deadline, basis CF 106(1) or Board policy, state OPEN/CURE_IN_PROGRESS/CURED/LAPSED/INVOCATION_REVIEW/INVOKED/WAIVED), cure_intent, invocation_order (notice ref, served date, broker, quantities, proceeds), exchange_pledge_report (quarter, Annex-III file hash, submission ref), corporate_action_credit</w:t>
      </w:r>
    </w:p>
    <w:p>
      <w:pPr>
        <w:numPr>
          <w:ilvl w:val="1"/>
          <w:numId w:val="2138"/>
        </w:numPr>
        <w:pStyle w:val="Compact"/>
      </w:pPr>
      <w:r>
        <w:rPr>
          <w:bCs/>
          <w:b/>
        </w:rPr>
        <w:t xml:space="preserve">Co-lending and transfer integration (M11):</w:t>
      </w:r>
      <w:r>
        <w:t xml:space="preserve"> </w:t>
      </w:r>
      <w:r>
        <w:t xml:space="preserve">cla_agreement extended with cla_regime (pre-6 Aug 2025 / pre-28 Nov 2025 / Part B), customer_interface_re, servicer_re, escrow_signatories (REs only), info_sla, recovery_matrix version; cla_receipt_allocation (UTR, waterfall, shares, partner acknowledgement); classification_sync_record (as_of, sent_at, acknowledged_at, deadline met); servicer_mandate (servicer, transferee, trust account, remittance rule, certification due)</w:t>
      </w:r>
    </w:p>
    <w:p>
      <w:pPr>
        <w:numPr>
          <w:ilvl w:val="1"/>
          <w:numId w:val="2138"/>
        </w:numPr>
        <w:pStyle w:val="Compact"/>
      </w:pPr>
      <w:r>
        <w:rPr>
          <w:bCs/>
          <w:b/>
        </w:rPr>
        <w:t xml:space="preserve">Ecosystem integration hub (M21; Integration Spec Parts 3, 6, 14):</w:t>
      </w:r>
      <w:r>
        <w:t xml:space="preserve"> </w:t>
      </w:r>
      <w:r>
        <w:t xml:space="preserve">contract_version (spec version, SHA-256, adopted_on), schema_registry_entry (subject, version, compatibility mode, deprecation date), event_type_binding (canonical name, owning product, direction, signed flag), event_subscription (consumer, filters, endpoint, secret ref), inbox_event (source, event id, dedupe key, processed_at, outcome), dlq_item (event, error, retries, resolution), idempotency_record (key, request hash, stored response, expiry), message_signature_evidence (algorithm, key id, signature, verified_at), consent_ref_link (payload id, consent artefact, statutory-basis flag), partner_credential (mTLS certificate, OAuth client, rotation due), connector_certification (connector, version, suite version, result, report hash, valid_to; complements 7A connector_registration), reconciliation_point_definition (point code, sources, tolerance, owner), integration_sla_metric (connector, period, latency p95, failures)</w:t>
      </w:r>
    </w:p>
    <w:p>
      <w:pPr>
        <w:numPr>
          <w:ilvl w:val="1"/>
          <w:numId w:val="2138"/>
        </w:numPr>
        <w:pStyle w:val="Compact"/>
      </w:pPr>
      <w:r>
        <w:rPr>
          <w:bCs/>
          <w:b/>
        </w:rPr>
        <w:t xml:space="preserve">GRC connector (M14):</w:t>
      </w:r>
      <w:r>
        <w:t xml:space="preserve"> </w:t>
      </w:r>
      <w:r>
        <w:t xml:space="preserve">grc_destination (LawDocsComply or third-party tool, adapter type, field map version), obligation_map (obligation ref such as</w:t>
      </w:r>
      <w:r>
        <w:t xml:space="preserve"> </w:t>
      </w:r>
      <w:r>
        <w:rPr>
          <w:rStyle w:val="VerbatimChar"/>
        </w:rPr>
        <w:t xml:space="preserve">RBI/DOR/2025-26/352#124</w:t>
      </w:r>
      <w:r>
        <w:t xml:space="preserve">, control ids, component), oscal_export_run (model catalog/component-definition/assessment-results/POA&amp;M, OSCAL version, file hash, schema validation result), grc_issue_link (internal issue, external id, status sync)</w:t>
      </w:r>
    </w:p>
    <w:p>
      <w:pPr>
        <w:numPr>
          <w:ilvl w:val="1"/>
          <w:numId w:val="2138"/>
        </w:numPr>
        <w:pStyle w:val="Compact"/>
      </w:pPr>
      <w:r>
        <w:rPr>
          <w:bCs/>
          <w:b/>
        </w:rPr>
        <w:t xml:space="preserve">Third-party systems and future apps:</w:t>
      </w:r>
      <w:r>
        <w:t xml:space="preserve"> </w:t>
      </w:r>
      <w:r>
        <w:t xml:space="preserve">external_system (type LOS/LMS/court-data/e-auction/dispatch/agency/dialler/GRC/ODR, vendor, contract, data residency, OUT classification), external_loan_ref (external system, external loan id, boarding batch), boarding_batch (source, counts, reconciliation sign-off), auction_platform_listing (platform, listing id, asset ref, status), dispatch_provider_account (DoP customer id, courier account, CEPT onboarding status), app_onboarding_checklist (app, legal role, DPIA, group-outsourcing check, identity, contracts, security, manifest, resilience, certification status)</w:t>
      </w:r>
    </w:p>
    <w:p>
      <w:pPr>
        <w:numPr>
          <w:ilvl w:val="0"/>
          <w:numId w:val="2132"/>
        </w:numPr>
        <w:pStyle w:val="Compact"/>
      </w:pPr>
      <w:r>
        <w:rPr>
          <w:bCs/>
          <w:b/>
        </w:rPr>
        <w:t xml:space="preserve">Added in v1.5 (Part 7B: 7B.0, RR1–RR8):</w:t>
      </w:r>
    </w:p>
    <w:p>
      <w:pPr>
        <w:numPr>
          <w:ilvl w:val="1"/>
          <w:numId w:val="2139"/>
        </w:numPr>
        <w:pStyle w:val="Compact"/>
      </w:pPr>
      <w:r>
        <w:rPr>
          <w:bCs/>
          <w:b/>
        </w:rPr>
        <w:t xml:space="preserve">Registry and applicability (RR1):</w:t>
      </w:r>
      <w:r>
        <w:t xml:space="preserve"> </w:t>
      </w:r>
      <w:r>
        <w:t xml:space="preserve">regulator (code, name, jurisdiction), portal (code, URL, channels, help-document URL, fetched_at), return_definition (code, name, rbi_return_id, legal_basis[], department, institution_profile), return_version (format_version, template SHA-256, schema ref, channel, record_limit, effective_from/to, status ACTIVE/ACTIVE_UNVERIFIED/WITHDRAWN/SUPERSEDED, verified_by, verified_at, change_log), applicability_rule (CEL expression, version, citation), applicability_decision (entity, return, rule version, inputs hash, result, decided_at), registry_variance (return, field, Direction text and citation, web text and URL, fetched_at, decision, approver, review date), channel_confirmation (entity, portal, channel S2S/XML, regulator evidence, enabled_by, enabled_at)</w:t>
      </w:r>
    </w:p>
    <w:p>
      <w:pPr>
        <w:numPr>
          <w:ilvl w:val="1"/>
          <w:numId w:val="2139"/>
        </w:numPr>
        <w:pStyle w:val="Compact"/>
      </w:pPr>
      <w:r>
        <w:rPr>
          <w:bCs/>
          <w:b/>
        </w:rPr>
        <w:t xml:space="preserve">Data dictionary and lineage (RR2):</w:t>
      </w:r>
      <w:r>
        <w:t xml:space="preserve"> </w:t>
      </w:r>
      <w:r>
        <w:t xml:space="preserve">data_element (label, definition, RBI definition ref, unit, sign, scale, rounding, owner, effective dates), element_dimension, element_source (store, query, filter, aggregation), cell_map (return version, sheet, cell or XML path or UCRF field, element, aggregation, scale), cell_map_validation (reviewer, independence check, evidence), reporting_snapshot (entity, reference date, content hash, frozen_at), cell_lineage (run, cell, element, query hash, snapshot id, row count), dq_rule, dq_result</w:t>
      </w:r>
    </w:p>
    <w:p>
      <w:pPr>
        <w:numPr>
          <w:ilvl w:val="1"/>
          <w:numId w:val="2139"/>
        </w:numPr>
        <w:pStyle w:val="Compact"/>
      </w:pPr>
      <w:r>
        <w:rPr>
          <w:bCs/>
          <w:b/>
        </w:rPr>
        <w:t xml:space="preserve">Generation and sign-off (RR3):</w:t>
      </w:r>
      <w:r>
        <w:t xml:space="preserve"> </w:t>
      </w:r>
      <w:r>
        <w:t xml:space="preserve">return_run (definition version, period, run version n, state, NIL flag, overdue flag), return_run_transition (run, from state, to state, command, actor, idempotency key, reason, at), validation_rule_pack (return, version, source internal/portal), validation_rule (id, severity, CEL assert, refs), validation_result (run, rule, outcome, maker comment, checker acceptance), tb_reconciliation (run, element, return value, TB value, variance, tolerance), explained_variance (reason code, amount, evidence, approver), signoff_matrix (return family, maker, checker, signatory roles), return_package (manifest JSON, file SHA-256, JWS signature, key id)</w:t>
      </w:r>
    </w:p>
    <w:p>
      <w:pPr>
        <w:numPr>
          <w:ilvl w:val="1"/>
          <w:numId w:val="2139"/>
        </w:numPr>
        <w:pStyle w:val="Compact"/>
      </w:pPr>
      <w:r>
        <w:rPr>
          <w:bCs/>
          <w:b/>
        </w:rPr>
        <w:t xml:space="preserve">Portals (RR4):</w:t>
      </w:r>
      <w:r>
        <w:t xml:space="preserve"> </w:t>
      </w:r>
      <w:r>
        <w:t xml:space="preserve">portal_user_alias (portal, portal role, employee, alias, valid from/to, last confirmed; no credential fields), filing_checklist_run (steps, completed_by, timestamps), daksh_item (type incident/nomination/RMP/letter, reference, due, owner), pravaah_application (form, entity, pack hash, state, PRAVAAH reference, queries, decision, conditions), fiu_batch (report type, XML hash, Principal Officer approval, FINGate ack), ckycr_batch (file, response file, KYC identifiers, errors), cersai_filing_due (charge, event create/modify/satisfy, due, filed_at, ack), sft_report (form 165/166, year, reportable rule version, data file hash, ack), contingency_filing (RBI advice evidence, email sent_at, online_resubmitted_at)</w:t>
      </w:r>
    </w:p>
    <w:p>
      <w:pPr>
        <w:numPr>
          <w:ilvl w:val="1"/>
          <w:numId w:val="2139"/>
        </w:numPr>
        <w:pStyle w:val="Compact"/>
      </w:pPr>
      <w:r>
        <w:rPr>
          <w:bCs/>
          <w:b/>
        </w:rPr>
        <w:t xml:space="preserve">Calendar, evidence and queries (RR5):</w:t>
      </w:r>
      <w:r>
        <w:t xml:space="preserve"> </w:t>
      </w:r>
      <w:r>
        <w:t xml:space="preserve">return_due_instance extended (trigger event, due_rule result, alert stages, escalation), return_acknowledgement (portal reference, timestamp, status, PDF or image hash, confirmed_by), return_revision (from run, to run, reason code, trigger ref, cell diff hash, RBI-held version flag), supervisory_item (source, type, linked returns, owner, due, response ref, closure), revision_assessment (trigger type and ref, affected returns and periods, draft cell-diff hash, proposal REVISE/NO_REVISION, reasons, CCO decision, resulting run), penalty_exposure_note (filing, delay, basis, assessment)</w:t>
      </w:r>
    </w:p>
    <w:p>
      <w:pPr>
        <w:numPr>
          <w:ilvl w:val="1"/>
          <w:numId w:val="2139"/>
        </w:numPr>
        <w:pStyle w:val="Compact"/>
      </w:pPr>
      <w:r>
        <w:rPr>
          <w:bCs/>
          <w:b/>
        </w:rPr>
        <w:t xml:space="preserve">Bureau submissions (RR6):</w:t>
      </w:r>
      <w:r>
        <w:t xml:space="preserve"> </w:t>
      </w:r>
      <w:r>
        <w:t xml:space="preserve">bureau (CIC code, member ID, short name, SFTP endpoint ref, key refs in tenant vault), bureau_format_pack (format consumer/commercial/MFI, version, effective dates, catalogue versions, validation pack), bureau_catalogue (code set, version, values), format_issue (spec reference, description, bureau response, resolution), bureau_cycle (CIC, format, reference date, cycle code DL/W1/W2/W3/ME/DC/AH/RR, due, state incl. FILE_REJECTED, nodal decision and reason), bureau_population_item (account, category A/B/C/D/DPD-only, record hash), bureau_file (bureau, format, file name, file_seq, size, SHA-256, encrypted flag, segment counts), bureau_transmission (sent_at, attempt count, failure reason, server ack, status file ref), mfin_daily_submission</w:t>
      </w:r>
    </w:p>
    <w:p>
      <w:pPr>
        <w:numPr>
          <w:ilvl w:val="1"/>
          <w:numId w:val="2139"/>
        </w:numPr>
        <w:pStyle w:val="Compact"/>
      </w:pPr>
      <w:r>
        <w:rPr>
          <w:bCs/>
          <w:b/>
        </w:rPr>
        <w:t xml:space="preserve">Rejections, DQI and disputes (RR7):</w:t>
      </w:r>
      <w:r>
        <w:t xml:space="preserve"> </w:t>
      </w:r>
      <w:r>
        <w:t xml:space="preserve">bureau_rejection (bureau, cycle, account, uniform reason code, owner, repaired_at, resubmitted in cycle), bureau_correction (channel DC file/online maintenance, evidence), bureau_dqi (level file/CI, segment, period, score, received_at), dqi_review_report (half-year, issues, actions, top-management date), credit_info_dispute (t0, channel, CI 21-day due, overall 30-day due, decision, standard reason code, correction sent, CIC confirmed, rectified CIR sent), cir_compensation (days late, per-party delay days for each CI, the CIC and CI forwarding, CI share, CIC share, amount, pay-by, paid_at, exclusion reason), compensation_payout_batch (items, maker, checker, posted journal, paid_at), borrower_cic_alert (account, cycle, channel, template version, header series, delivery status), cic_nodal_change (old, new, changed_at, notified per bureau)</w:t>
      </w:r>
    </w:p>
    <w:p>
      <w:pPr>
        <w:numPr>
          <w:ilvl w:val="1"/>
          <w:numId w:val="2139"/>
        </w:numPr>
        <w:pStyle w:val="Compact"/>
      </w:pPr>
      <w:r>
        <w:rPr>
          <w:bCs/>
          <w:b/>
        </w:rPr>
        <w:t xml:space="preserve">Settings and screens (RR9):</w:t>
      </w:r>
      <w:r>
        <w:t xml:space="preserve"> </w:t>
      </w:r>
      <w:r>
        <w:t xml:space="preserve">reporting_setting (scope tenant/entity/return family/format, key, value, effective_from, floor value and citation, maker, checker), hub_sharing_consent (tenant, setting, enabled_by, enabled_at), user_saved_view (user, screen, filters, sort)</w:t>
      </w:r>
    </w:p>
    <w:p>
      <w:pPr>
        <w:numPr>
          <w:ilvl w:val="1"/>
          <w:numId w:val="2139"/>
        </w:numPr>
        <w:pStyle w:val="Compact"/>
      </w:pPr>
      <w:r>
        <w:rPr>
          <w:bCs/>
          <w:b/>
        </w:rPr>
        <w:t xml:space="preserve">CRILC, LEF, WD/LD and fraud outputs (RR8):</w:t>
      </w:r>
      <w:r>
        <w:t xml:space="preserve"> </w:t>
      </w:r>
      <w:r>
        <w:t xml:space="preserve">crilc_population (month-end, borrower, fund and non-fund exposure, SMA status), dnbs09_movement (week, borrower, move-in/move-out, amounts), lef_return_line (quarter, counterparty, exposure, % of Tier 1, exempted flag), le_breach_intimation, fmr_package (case, category, perpetrator list check, due); v1.2/v1.3 wd_cic_file, large_defaulter_entry, lwd_entry, fraud_case, rbr_report reused</w:t>
      </w:r>
    </w:p>
    <w:p>
      <w:pPr>
        <w:numPr>
          <w:ilvl w:val="1"/>
          <w:numId w:val="2139"/>
        </w:numPr>
        <w:pStyle w:val="Compact"/>
      </w:pPr>
      <w:r>
        <w:rPr>
          <w:bCs/>
          <w:b/>
        </w:rPr>
        <w:t xml:space="preserve">Supersedes or extends existing entities:</w:t>
      </w:r>
      <w:r>
        <w:t xml:space="preserve"> </w:t>
      </w:r>
      <w:r>
        <w:t xml:space="preserve">return_definition (v0) and return_catalogue_entry (v1.3) → return_definition + return_version; return_submission (v1.3) → return_run + return_acknowledgement; aggregation_rule (v1.3) → cell_map + cell_lineage; adhoc_data_request (v1.3) → supervisory_item with an ad hoc return_run; cic_submission (v0) → bureau_cycle + bureau_file; cic_reference_calendar, cic_rejection, cic_dqi_review, cic_nodal_contact and cir_complaint_compensation (v1.2) → bureau_cycle, bureau_rejection, dqi_review_report, cic_nodal_change and cir_compensation; dq_metric, dq_issue, fiu_report and ckycr_upload_job (v1.3) are kept and linked to the new records</w:t>
      </w:r>
    </w:p>
    <w:p>
      <w:pPr>
        <w:numPr>
          <w:ilvl w:val="0"/>
          <w:numId w:val="2132"/>
        </w:numPr>
        <w:pStyle w:val="Compact"/>
      </w:pPr>
      <w:r>
        <w:rPr>
          <w:bCs/>
          <w:b/>
        </w:rPr>
        <w:t xml:space="preserve">Added in v1.5 (Part 7C: AC1–AC7):</w:t>
      </w:r>
    </w:p>
    <w:p>
      <w:pPr>
        <w:numPr>
          <w:ilvl w:val="1"/>
          <w:numId w:val="2140"/>
        </w:numPr>
        <w:pStyle w:val="Compact"/>
      </w:pPr>
      <w:r>
        <w:rPr>
          <w:bCs/>
          <w:b/>
        </w:rPr>
        <w:t xml:space="preserve">Framework engine (AC1):</w:t>
      </w:r>
      <w:r>
        <w:t xml:space="preserve"> </w:t>
      </w:r>
      <w:r>
        <w:t xml:space="preserve">framework_profile (entity, FY, framework IND_AS/AS_2021/AS_BANK/ICAI_AS_MSME/ICAI_AS_LARGE/COOP_ACT/IFRS, currency, statement format, loss engines, CARO flag, MCA route, s.204 flag, IAF flag, cyber chapter, SA band), framework_decision (inputs hash, rule-pack version, citations, approver), ind_as_transition_project (opening balance sheet, Ind AS 101 elections, comparatives status), period_lock (entity, period, book, state OPEN/SOFT_CLOSE/LOCK_PENDING/LOCKED/REOPEN_REQUESTED, lock_version, TB hash, approver), period_reopen_request (reason, impact list, CFO decision, CCO concurrence), back_dated_posting_item (journal, intended period, posted period, return elements touched)</w:t>
      </w:r>
    </w:p>
    <w:p>
      <w:pPr>
        <w:numPr>
          <w:ilvl w:val="1"/>
          <w:numId w:val="2140"/>
        </w:numPr>
        <w:pStyle w:val="Compact"/>
      </w:pPr>
      <w:r>
        <w:rPr>
          <w:bCs/>
          <w:b/>
        </w:rPr>
        <w:t xml:space="preserve">Multi-book ledger and overlay (AC2):</w:t>
      </w:r>
      <w:r>
        <w:t xml:space="preserve"> </w:t>
      </w:r>
      <w:r>
        <w:t xml:space="preserve">book (code STAT/PRUD/TAX/PARALLEL, basis, entity), book_adjustment_layer, book_difference_item (cause, amount, period), ias109_policy_record (business-model, sale-from-AC, ECL methodology; version, Board date), sppi_assessment (product, questionnaire version, result), policy_election (standard, option, effective FY, approver), impairment_reserve_run (ECL total, IRACP total, shortfall, existing balance, proposed JE, approver, DoS permission ref for release), dlg_integral_assessment (arrangement, integral flag, legal review ref), bank_ecl_run (stage, floor applied, vintage clock), eir_migration_tracker (legacy loan, migrated_at), cet1_addback_schedule (FY, factor f), arc_sr_valuation_run, coop_appropriation_rule (Act, fund, percentage, by-law ref)</w:t>
      </w:r>
    </w:p>
    <w:p>
      <w:pPr>
        <w:numPr>
          <w:ilvl w:val="1"/>
          <w:numId w:val="2140"/>
        </w:numPr>
        <w:pStyle w:val="Compact"/>
      </w:pPr>
      <w:r>
        <w:rPr>
          <w:bCs/>
          <w:b/>
        </w:rPr>
        <w:t xml:space="preserve">Statements and disclosures (AC3):</w:t>
      </w:r>
      <w:r>
        <w:t xml:space="preserve"> </w:t>
      </w:r>
      <w:r>
        <w:t xml:space="preserve">statement_format (code, basis, version), gl_line_map (format version, GL account, line, sign), statement_run (entity, period, book, format, version, state DRAFT to MCA_FILED_BY_HUMAN, Board date and resolution ref, audit report date, UDIN, outputs hashes), schedule3_dataset (dataset code, source query, nil evidence), disclosure_dataset (FS item, source run, tie-out rule, result), caro_evidence_item (clause, data source, evidence hash), mca_payload (form AOC-4/AOC-4 CFS/AOC-4 NBFC (Ind AS)/AOC-4 CFS NBFC (Ind AS), FY, payload hash, SRN recorded by filer), consolidation_run (subsidiaries, omission log, eliminations, break report)</w:t>
      </w:r>
    </w:p>
    <w:p>
      <w:pPr>
        <w:numPr>
          <w:ilvl w:val="1"/>
          <w:numId w:val="2140"/>
        </w:numPr>
        <w:pStyle w:val="Compact"/>
      </w:pPr>
      <w:r>
        <w:rPr>
          <w:bCs/>
          <w:b/>
        </w:rPr>
        <w:t xml:space="preserve">GST (AC4):</w:t>
      </w:r>
      <w:r>
        <w:t xml:space="preserve"> </w:t>
      </w:r>
      <w:r>
        <w:t xml:space="preserve">charge_definition extended (gst_treatment EXEMPT_INTEREST/TAXABLE_18/PENAL_NO_GST/PURE_AGENT/CO_LENDING_SPREAD, SAC, place-of-supply rule, treatment evidence), gst_registration (GSTIN, state, AATO, e-invoice applicable flag), gst_tax_opinion (subject, opinion doc, owner decision), itc_election (FY, option proportionate/50%, approved_by, locked_at), ims_action (invoice, action accept/reject/pending, maker, checker, acted_at), gst_return_package (return GSTR-1/1A/3B/9/9C, period, state, JSON hash, schema validation result, ARN recorded by filer, amendment link), gst_reconciliation (type, period, differences)</w:t>
      </w:r>
    </w:p>
    <w:p>
      <w:pPr>
        <w:numPr>
          <w:ilvl w:val="1"/>
          <w:numId w:val="2140"/>
        </w:numPr>
        <w:pStyle w:val="Compact"/>
      </w:pPr>
      <w:r>
        <w:rPr>
          <w:bCs/>
          <w:b/>
        </w:rPr>
        <w:t xml:space="preserve">Income tax (AC5):</w:t>
      </w:r>
      <w:r>
        <w:t xml:space="preserve"> </w:t>
      </w:r>
      <w:r>
        <w:t xml:space="preserve">ita_regime_map (old section/form, new section/form, effective date, source, verified flag), tds_section_code (table serial, code, rate, threshold, version), tds_declaration (Form 121, validity year), lower_deduction_certificate (Form 128), tds_challan, tds_statement (form 140/138/143/144, quarter, state, file hash, validation result, token or ack recorded by filer, processing result, correction-of link), tds_certificate (form 130/131/133), tds_receivable (borrower, TAN, period, amount, Form 168 match status, chase status), tax_memo_adjustment (s.56/s.31/s.37 item), tax_audit_schedule (Form 26 clause, data hash), borrower_tax_certificate (loan, type home/education/EV, FY, provisional/final, co-borrower shares, principal s.123, interest s.22/s.129, legacy flags s.130/s.131/s.132, signature ref)</w:t>
      </w:r>
    </w:p>
    <w:p>
      <w:pPr>
        <w:numPr>
          <w:ilvl w:val="1"/>
          <w:numId w:val="2140"/>
        </w:numPr>
        <w:pStyle w:val="Compact"/>
      </w:pPr>
      <w:r>
        <w:rPr>
          <w:bCs/>
          <w:b/>
        </w:rPr>
        <w:t xml:space="preserve">Connectors (AC6):</w:t>
      </w:r>
      <w:r>
        <w:t xml:space="preserve"> </w:t>
      </w:r>
      <w:r>
        <w:t xml:space="preserve">connector_agent (tenant, host, device certificate, version, last heartbeat, revoked_at), tally_company_binding (entity, Tally company name, svCurrentCompany value), tally_map (version, Finbyx account or dimension, Tally group or ledger or cost centre or voucher type), connector_batch (target, mode detailed/summarised, sequence, signature, size, created/altered/errors counts, status), connector_dead_letter (item, error, retries), erp_tb_reconciliation (date, ledger, Finbyx balance, target balance, break task)</w:t>
      </w:r>
    </w:p>
    <w:p>
      <w:pPr>
        <w:numPr>
          <w:ilvl w:val="1"/>
          <w:numId w:val="2140"/>
        </w:numPr>
        <w:pStyle w:val="Compact"/>
      </w:pPr>
      <w:r>
        <w:rPr>
          <w:bCs/>
          <w:b/>
        </w:rPr>
        <w:t xml:space="preserve">Audit trail, backup and retention (AC7):</w:t>
      </w:r>
      <w:r>
        <w:t xml:space="preserve"> </w:t>
      </w:r>
      <w:r>
        <w:t xml:space="preserve">books_scope_item (table or sub-system, owner, in scope from), audit_log (tenant, table, key, operation, before, after, transaction id, db user, app user, session, channel, reason, UTC and IST time, prev hash, row hash), audit_daily_seal (tenant, date, Merkle root, KMS key id, WORM object ref, verified_at), audit_capture_gap (detected_at, range, root cause, incident ref), rule11g_exception (entity, FY, description, impact, auditor visibility), backup_record (scope, region, location, timestamp, size, hash), restore_test (date, scope, result, evidence), rule3_6_statement (entity, FY, provider, provider IP address and location, server and backup locations, cloud address, India contact), rule11g_evidence_pack (entity, FY, contents hash), retention_rule (record class, minimum period, basis, trigger event), destruction_batch (rule, records, approval, certificate); v1.4 retention_class and legal_hold reused</w:t>
      </w:r>
    </w:p>
    <w:p>
      <w:pPr>
        <w:numPr>
          <w:ilvl w:val="1"/>
          <w:numId w:val="2140"/>
        </w:numPr>
        <w:pStyle w:val="Compact"/>
      </w:pPr>
      <w:r>
        <w:rPr>
          <w:bCs/>
          <w:b/>
        </w:rPr>
        <w:t xml:space="preserve">Settings (AC8):</w:t>
      </w:r>
      <w:r>
        <w:t xml:space="preserve"> </w:t>
      </w:r>
      <w:r>
        <w:t xml:space="preserve">finance_setting (scope, key, value, effective_from, floor value and citation, maker, checker)</w:t>
      </w:r>
    </w:p>
    <w:p>
      <w:pPr>
        <w:numPr>
          <w:ilvl w:val="1"/>
          <w:numId w:val="2140"/>
        </w:numPr>
        <w:pStyle w:val="Compact"/>
      </w:pPr>
      <w:r>
        <w:rPr>
          <w:bCs/>
          <w:b/>
        </w:rPr>
        <w:t xml:space="preserve">Supersedes or extends existing entities:</w:t>
      </w:r>
      <w:r>
        <w:t xml:space="preserve"> </w:t>
      </w:r>
      <w:r>
        <w:t xml:space="preserve">gst_invoice and tds_entry (v0) are kept and linked to gst_return_package and tds_statement; ecl_run and provision_run (v0) feed impairment_reserve_run; impairment_reserve_appropriation (v1.3) becomes the posting record of impairment_reserve_run; disclosure_template and disclosure_run (v1.2) are kept and linked to disclosure_dataset; export_batch (v1.4 R12) is the parent of connector_batch; audit_event (v0) remains the application-level event and links to audit_log rows</w:t>
      </w:r>
    </w:p>
    <w:p>
      <w:pPr>
        <w:numPr>
          <w:ilvl w:val="0"/>
          <w:numId w:val="2132"/>
        </w:numPr>
        <w:pStyle w:val="Compact"/>
      </w:pPr>
      <w:r>
        <w:rPr>
          <w:bCs/>
          <w:b/>
        </w:rPr>
        <w:t xml:space="preserve">Added in v1.5 (Part 7D: AU1–AU7).</w:t>
      </w:r>
      <w:r>
        <w:t xml:space="preserve"> </w:t>
      </w:r>
      <w:r>
        <w:t xml:space="preserve">Reused and extended from v1.3: audit_universe_unit (adds unit_type, line_of_defence, policy_max_interval, next_audit_due, regulatory_refs, linked_kri_ids), ia_risk_assessment (adds methodology_version, inherent_score, control_score, matrix_cell, scope_tier, trigger), audit_plan (adds version, capacity_snapshot, deferred_units, acb_minute_ref), audit_assignment (now a child of audit_engagement for RBIA units), audit_report (adds content_hash, distribution, itsc_routed), audit_observation (superseded by audit_finding; migrate), observation_compliance, hia_register, acb_hia_meeting, audit_firm, auditor_appointment, auditor_eligibility_check, form_a_certificate, form_b_certificate, non_audit_service_log, auditor_performance_review, branch_coverage_run, policy_document.</w:t>
      </w:r>
    </w:p>
    <w:p>
      <w:pPr>
        <w:numPr>
          <w:ilvl w:val="1"/>
          <w:numId w:val="2141"/>
        </w:numPr>
        <w:pStyle w:val="Compact"/>
      </w:pPr>
      <w:r>
        <w:rPr>
          <w:bCs/>
          <w:b/>
        </w:rPr>
        <w:t xml:space="preserve">Universe, risk and plan (AU1):</w:t>
      </w:r>
      <w:r>
        <w:t xml:space="preserve"> </w:t>
      </w:r>
      <w:r>
        <w:t xml:space="preserve">audit_methodology_version (scales, weights, parameter set with locked flags, scope-tier mapping, rating definitions, sample-size tables, templates, effective_from, acb_approval_ref), audit_module_setting (module AU1–AU7, key, value, floor flag, maker, checker, effective_from), risk_parameter_score (assessment, parameter code, value, prefill source, override reason, evidence link), universe_change_task (cause product/branch/system/outsourcing, due), audit_capacity_plan (auditor, skill, available days, period), plan_amendment (reason, acb_noting_ref)</w:t>
      </w:r>
    </w:p>
    <w:p>
      <w:pPr>
        <w:numPr>
          <w:ilvl w:val="1"/>
          <w:numId w:val="2141"/>
        </w:numPr>
        <w:pStyle w:val="Compact"/>
      </w:pPr>
      <w:r>
        <w:rPr>
          <w:bCs/>
          <w:b/>
        </w:rPr>
        <w:t xml:space="preserve">Engagements and workpapers (AU2):</w:t>
      </w:r>
      <w:r>
        <w:t xml:space="preserve"> </w:t>
      </w:r>
      <w:r>
        <w:t xml:space="preserve">audit_engagement (type RBIA_UNIT/RBIA_THEMATIC/CONCURRENT/IS_AUDIT/IT_GENERAL_CONTROLS/VAPT_REVIEW/STATUTORY_SUPPORT/TAX_AUDIT_SUPPORT/RULE_11G/IFC_ICFR/SECRETARIAL/SPECIAL_INVESTIGATION/REGULATORY_INSPECTION/OUTSOURCED_PROVIDER_AUDIT/QAIP_REVIEW, event_type INTERNAL/RBIA/CONCURRENT/IS/IT/STATUTORY/SECRETARIAL/TAX/VAPT, state PLANNED/SCOPED/APPROVED/FIELDWORK/ON_HOLD/DRAFT_REPORT/MANAGEMENT_RESPONSE/FINAL_REPORT/ISSUED/FOLLOW_UP/CLOSED/CANCELLED, period, scope, criteria refs, methodology_version, budget_days, engagement_letter_ref), engagement_hold (engagement, reason, prior_state, started_at, resumed_at, escalated_at), engagement_team_member (role lead/member/reviewer/external_expert, access expiry), independence_declaration (member, engagement, answers, signed_at), audit_programme_template (type, version, steps with obligation refs), workpaper (index ref, area, procedure, objective, conclusion, preparer, reviewer, status, version, content_hash, locked_at), review_note (workpaper, author, text, cleared_by, cleared_at), workpaper_addendum (reason, author, created_at), engagement_file_lock (locked_at, assembly_deadline, manifest_hash), analytic_test (CAAT definition, version, query, parameters), analytic_test_run (snapshot ref, population count, exceptions count, run hash)</w:t>
      </w:r>
    </w:p>
    <w:p>
      <w:pPr>
        <w:numPr>
          <w:ilvl w:val="1"/>
          <w:numId w:val="2141"/>
        </w:numPr>
        <w:pStyle w:val="Compact"/>
      </w:pPr>
      <w:r>
        <w:rPr>
          <w:bCs/>
          <w:b/>
        </w:rPr>
        <w:t xml:space="preserve">Sampling and evidence (AU2):</w:t>
      </w:r>
      <w:r>
        <w:t xml:space="preserve"> </w:t>
      </w:r>
      <w:r>
        <w:t xml:space="preserve">population_snapshot (query text, parameters, as_of, row_count, control_total, population_hash), sample_definition (method random/systematic/stratified/MUS/attribute/top_n/judgemental, parameters, confidence, tolerable rate, seed), sample_item (sample, source_type, source_id, selection reason, result, deviation amount), sample_evaluation (projected misstatement, upper deviation limit, conclusion), evidence_item (DMS ref, sha256, uploader, classification, pii_tag, malware_scan), evidence_link (workpaper or finding, source_type, source_id, source_version or event_seq, snapshot_json, snapshot_sha256, audit_chain_position, drift_flag), evidence_verification_run (engagement, checked count, failures, run hash)</w:t>
      </w:r>
    </w:p>
    <w:p>
      <w:pPr>
        <w:numPr>
          <w:ilvl w:val="1"/>
          <w:numId w:val="2141"/>
        </w:numPr>
        <w:pStyle w:val="Compact"/>
      </w:pPr>
      <w:r>
        <w:rPr>
          <w:bCs/>
          <w:b/>
        </w:rPr>
        <w:t xml:space="preserve">Findings and ATR (AU3):</w:t>
      </w:r>
      <w:r>
        <w:t xml:space="preserve"> </w:t>
      </w:r>
      <w:r>
        <w:t xml:space="preserve">audit_finding (engagement, unit, rating, root cause category, regulatory_breach_flag, obligation refs, financial impact, repeat_flag, repeat_count, version, state DRAFT/DISCUSSED/ISSUED/RESPONSE_RECEIVED/ACTION_AGREED/IN_REMEDIATION/CLOSURE_SUBMITTED/RETEST/CLOSED/REOPENED/RISK_ACCEPTED/WITHDRAWN, due date, timestamps of each transition), finding_version (finding, version, changed fields, reason, approver), management_response (agreement level, text, responder, date), audit_action_item (finding, owner, due date, evidence required, status, extension count), due_date_extension (old, new, approver, acb_noting_ref), closure_pack (finding, evidence item hashes per action item, owner attestation, submitted_at, returned_reason), retest_record (tester, independence check, sample ref, result PASS/FAIL/PARTIAL, validator role), risk_acceptance (authority, rationale, compensating controls, expiry, rmc_noting_ref, cco_concurrence_ref), atr_register (source internal/concurrent/IS/statutory/secretarial/RBI inspection/NHB/NABARD/IFSCA/customer-service), atr_item (observation ref, status, ageing bucket, auditor_validated flag), atr_pack (meeting, generated_at, hash), qaip_assessment (year, checklist version, scores, external assessor, actions), ia_contributor_grant (expert, basis_ref, conflict declaration, expiry), standing_review_schedule (type related_party_quarterly etc., next run)</w:t>
      </w:r>
    </w:p>
    <w:p>
      <w:pPr>
        <w:numPr>
          <w:ilvl w:val="1"/>
          <w:numId w:val="2141"/>
        </w:numPr>
        <w:pStyle w:val="Compact"/>
      </w:pPr>
      <w:r>
        <w:rPr>
          <w:bCs/>
          <w:b/>
        </w:rPr>
        <w:t xml:space="preserve">Concurrent audit (AU3.5):</w:t>
      </w:r>
      <w:r>
        <w:t xml:space="preserve"> </w:t>
      </w:r>
      <w:r>
        <w:t xml:space="preserve">concurrent_audit_unit (unit, periodicity, firm, coverage basis), concurrent_review_queue_item (transaction ref, rule, reviewed_by, outcome), concurrent_audit_report (period, irregularities summary, rectification status)</w:t>
      </w:r>
    </w:p>
    <w:p>
      <w:pPr>
        <w:numPr>
          <w:ilvl w:val="1"/>
          <w:numId w:val="2141"/>
        </w:numPr>
        <w:pStyle w:val="Compact"/>
      </w:pPr>
      <w:r>
        <w:rPr>
          <w:bCs/>
          <w:b/>
        </w:rPr>
        <w:t xml:space="preserve">IS, IT and VAPT (AU4):</w:t>
      </w:r>
      <w:r>
        <w:t xml:space="preserve"> </w:t>
      </w:r>
      <w:r>
        <w:t xml:space="preserve">is_audit_scope_item (CYB control family, para refs), itgc_control (domain access/change/operations/development, design, owner, frequency, test steps, population query), itgc_test (control, period, sample ref, result), provider_evidence_item (SOC report, bridge letter, change record, backup test; shared from Finbyx), vapt_engagement (scope assets, test type VA/PT, pre/post-implementation flag, tester, independence declaration, start, end, report hash, provider_vapt flag), vulnerability_finding (CVE/CWE, CVSS base and environmental, asset, severity, first_seen, sla_due, fixed_at, retest result, recurrence flag), vapt_due_schedule (asset, next_va_due, next_pt_due), release_vapt_gate (change ref, requires_vapt, test or acceptance ref)</w:t>
      </w:r>
    </w:p>
    <w:p>
      <w:pPr>
        <w:numPr>
          <w:ilvl w:val="1"/>
          <w:numId w:val="2141"/>
        </w:numPr>
        <w:pStyle w:val="Compact"/>
      </w:pPr>
      <w:r>
        <w:rPr>
          <w:bCs/>
          <w:b/>
        </w:rPr>
        <w:t xml:space="preserve">Statutory and external audit (AU5):</w:t>
      </w:r>
      <w:r>
        <w:t xml:space="preserve"> </w:t>
      </w:r>
      <w:r>
        <w:t xml:space="preserve">pbc_list (engagement, profile template, version), pbc_item (description, owner, source auto/upload, due, status, file hash, auditor comment), auditor_query (area, text, owner, due, resolution), aud_checklist_run (para 6/7/8/9 profile, FY, lines with result favourable/unfavourable/qualified and reasons, evidence links), dnbs10_tracker (audit report signed date, due date, reminders sent, filed date, acknowledgement evidence), auditor_exception_report (date, addressee SSM/RO, items, linked finding, compliance issue ref), caro_clause_response (clause, FY, data pack ref, auditor remark), principal_business_test (financial assets share, financial income share, inputs lineage), joint_audit_allocation (firms, work split, agreed_at), lfar_item (bank; question bank version, response)</w:t>
      </w:r>
    </w:p>
    <w:p>
      <w:pPr>
        <w:numPr>
          <w:ilvl w:val="1"/>
          <w:numId w:val="2141"/>
        </w:numPr>
        <w:pStyle w:val="Compact"/>
      </w:pPr>
      <w:r>
        <w:rPr>
          <w:bCs/>
          <w:b/>
        </w:rPr>
        <w:t xml:space="preserve">Secretarial (AU6):</w:t>
      </w:r>
      <w:r>
        <w:t xml:space="preserve"> </w:t>
      </w:r>
      <w:r>
        <w:t xml:space="preserve">secretarial_audit_engagement (type s204_MR3/reg24A_SCR/internal, entity, FY, auditor, peer_review_cert), secretarial_auditor_tenure (individual or firm, term_no, start, end, cooling_off_until), csas_engagement_check (eligibility, previous-auditor letter date, 7-day wait end, audit count), prohibited_service_check (service provider, service type, result, group register ref), ss_compliance_check (meeting ref, standard SS-1/SS-2, clause, result, evidence link), secretarial_opinion (modified flag, observations, signed_at), mr3_report (FY, hash), secretarial_compliance_report (FY, due date, signed_at, hash)</w:t>
      </w:r>
    </w:p>
    <w:p>
      <w:pPr>
        <w:numPr>
          <w:ilvl w:val="1"/>
          <w:numId w:val="2141"/>
        </w:numPr>
        <w:pStyle w:val="Compact"/>
      </w:pPr>
      <w:r>
        <w:rPr>
          <w:bCs/>
          <w:b/>
        </w:rPr>
        <w:t xml:space="preserve">External access (AU7):</w:t>
      </w:r>
      <w:r>
        <w:t xml:space="preserve"> </w:t>
      </w:r>
      <w:r>
        <w:t xml:space="preserve">external_access_request (grantee_type per Integration Specification 4.7, organisation, request document ref, contact), access_basis (basis_code per Integration Specification 4.7, for example RBI_S45N, OUT_34_VIII, CYB_57, CA13_S143_1, IAF_40, CONTRACT; inspection or engagement id), access_scope (entities, periods, datasets, row filters, pii_level MASKED/UNMASK_ON_REQUEST/FULL, export_level NONE/AGGREGATE/CAPPED_RECORDS/FULL, query_level DASHBOARDS/REPORT_CATALOGUE/ADHOC_READONLY), access_approval (maker, checkers, decision, timestamps), access_grant (reid, state REQUESTED/BASIS_RECORDED/SCOPE_DEFINED/RE_APPROVED/PROVIDER_APPROVED/PROVISIONED/ACTIVE/EXTENDED/EXPIRED/REVOKED/ARCHIVED/REJECTED, valid_from, valid_to (≤ 90 days), named user, domain check result, mfa_enrolled, ip_allowlist, snapshot ref, federation targets), access_extension (grant, new valid_to, approvals), provider_scope_check (grant, result, reason), access_session (grant, login, logout, device, ip), access_view_log (session, object type, object ids or row counts, fields returned, query text hash), unmask_event (record ref, field, reason), access_export (grant, file hash, row count, watermark text, size, downloaded_at), access_anomaly_alert (rule, value, notified roles), access_activity_report (date, recipients, counts), compelled_access_notice (authority, officer authority verified, legal bar flag, counsel ref, tenant notified_at, within_1h flag)</w:t>
      </w:r>
    </w:p>
    <w:p>
      <w:pPr>
        <w:numPr>
          <w:ilvl w:val="0"/>
          <w:numId w:val="2132"/>
        </w:numPr>
        <w:pStyle w:val="Compact"/>
      </w:pPr>
      <w:r>
        <w:rPr>
          <w:bCs/>
          <w:b/>
        </w:rPr>
        <w:t xml:space="preserve">Added in v1.5 (Part 7E: RK1–RK8).</w:t>
      </w:r>
      <w:r>
        <w:t xml:space="preserve"> </w:t>
      </w:r>
      <w:r>
        <w:t xml:space="preserve">Reused and extended from v1.2–v1.3: entity_regulatory_profile (adds layer_effective vs layer_computed, capital_profile, pca_scope flag), cro_appointment (adds fixed_tenure_end, removal_board_ref, intimation refs), exposure_snapshot, limit, ews_signal, model_inventory, risk, control, rcsa, kri, kri_observation, op_loss_event, critical_operation, impact_tolerance, scenario_test, capital_run, rwa_exposure_line, rw_class_master, ccf_master, guarantee_scheme_cover, offbs_commitment, alm_bucket, alm_slotting_rule, behavioural_assumption, liquidity_run, lcr_daily, hqla_holding, cfp_source, stress_scenario, counterparty_group, group_assessment, related_party, related_party_link, lei_record, large_exposure_return, pca_indicator_snapshot, pca_restriction.</w:t>
      </w:r>
    </w:p>
    <w:p>
      <w:pPr>
        <w:numPr>
          <w:ilvl w:val="1"/>
          <w:numId w:val="2142"/>
        </w:numPr>
        <w:pStyle w:val="Compact"/>
      </w:pPr>
      <w:r>
        <w:rPr>
          <w:bCs/>
          <w:b/>
        </w:rPr>
        <w:t xml:space="preserve">Risk function (RK1):</w:t>
      </w:r>
      <w:r>
        <w:t xml:space="preserve"> </w:t>
      </w:r>
      <w:r>
        <w:t xml:space="preserve">governance_rule (key CRO/CCO/RMC/ALCO/ITSC/HIA, condition, citation, effective dates), control_function_meeting (function CRO/CCO/HIA, committee, quarter, held_at, without_md_ceo flag, minute ref), product_risk_vetting (product version, inherent risks, control risks, mitigants, new KRIs, RAS impact, cro_signed_at), sanction_committee_cro_mode (committee, mode advisor/voter, liability_ack ref), governance_readiness_task (threshold, projected crossing quarter, action)</w:t>
      </w:r>
    </w:p>
    <w:p>
      <w:pPr>
        <w:numPr>
          <w:ilvl w:val="1"/>
          <w:numId w:val="2142"/>
        </w:numPr>
        <w:pStyle w:val="Compact"/>
      </w:pPr>
      <w:r>
        <w:rPr>
          <w:bCs/>
          <w:b/>
        </w:rPr>
        <w:t xml:space="preserve">Risk appetite (RK1.4):</w:t>
      </w:r>
      <w:r>
        <w:t xml:space="preserve"> </w:t>
      </w:r>
      <w:r>
        <w:t xml:space="preserve">risk_appetite_statement (version, board_ref, effective dates, LDC source ref), ras_metric (metric id, direction, appetite, tolerance, limit, qualitative text), ras_limit_cascade (parent, child, dimension, amount, approver), limit_breach_episode (limit, first_breach_at, peak value, cured_at, escalation level, remediation plan)</w:t>
      </w:r>
    </w:p>
    <w:p>
      <w:pPr>
        <w:numPr>
          <w:ilvl w:val="1"/>
          <w:numId w:val="2142"/>
        </w:numPr>
        <w:pStyle w:val="Compact"/>
      </w:pPr>
      <w:r>
        <w:rPr>
          <w:bCs/>
          <w:b/>
        </w:rPr>
        <w:t xml:space="preserve">Register and LDC feed (RK2):</w:t>
      </w:r>
      <w:r>
        <w:t xml:space="preserve"> </w:t>
      </w:r>
      <w:r>
        <w:t xml:space="preserve">risk_taxonomy_node (level, code, parent), rcsa_campaign (scope, questionnaire version, due), rcsa_response (unit, inherent, control self-rating, evidence link, residual, challenge status), kri_breach_episode (kri, state OPEN/NOTIFIED/ACTION_PLANNED/CRO_REVIEWED/IN_REMEDIATION/CURED/ACCEPTED/INVALIDATED, start, end, peak, update_seq), kri_action_plan (episode, root cause, actions, expected cure date, submitted_at), kri_cro_review (episode, decision accept/send_back/escalate, comments), kri_acceptance (episode, rmc_ref, expiry), loss_event_recovery (event, source insurance/other, amount, date), loss_gl_reconciliation (quarter, unreconciled items), risk_feed_message (canonical event type, subject, contenthash, prevhash, idempotency key, update_seq, sent_at, acked_at), risk_module_setting (module RK1–RK8, key, value, floor flag, maker, checker, effective_from), feed_pseudonym_key_epoch (tenant KMS key ref, epoch, rotated_at), feed_reconciliation_run (period, sent, acked, breaks), ldc_inbound_definition (resource KRI/Obligation, LDC ref, version, mapped metric id, status)</w:t>
      </w:r>
    </w:p>
    <w:p>
      <w:pPr>
        <w:numPr>
          <w:ilvl w:val="1"/>
          <w:numId w:val="2142"/>
        </w:numPr>
        <w:pStyle w:val="Compact"/>
      </w:pPr>
      <w:r>
        <w:rPr>
          <w:bCs/>
          <w:b/>
        </w:rPr>
        <w:t xml:space="preserve">Capital (RK3):</w:t>
      </w:r>
      <w:r>
        <w:t xml:space="preserve"> </w:t>
      </w:r>
      <w:r>
        <w:t xml:space="preserve">capital_minimum_rule (profile, metric, minimum, Board minimum, effective dates, citation), rw_rule_pack (jurisdiction NBFC/HFC/bank_current/bank_2027/UCB, version, effective dates), exposure_rw_assignment (exposure, rw_class, rw_rule_version, rw_reason, grandfather_end), capital_run_state (run, run_no, state DRAFT/COMPUTED/VALIDATED/CERTIFIED/FILED, correction_of, diff ref, failure reason), capital_headroom_snapshot (run, metric, value, minimum, buffer, band), rwa_walk (run, opening, new business, run-off, migration, rule change, closing), capital_whatif (sanction ref, incremental RWA, CRAR impact bps, concentration impact), gold_primary_test (quarter, ratio, profile switch task), leverage_ratio_run (BL or bank; numerator, denominator, ratio), bank_capital_buffer (CCB, D-SIB, CCyB, effective dates), op_risk_bic_run (bank; BI components, BIC, ILM), parallel_run_reconciliation (pack A, pack B, differences), disclosure_template_run (Pillar 3 or FS note template, period, hash)</w:t>
      </w:r>
    </w:p>
    <w:p>
      <w:pPr>
        <w:numPr>
          <w:ilvl w:val="1"/>
          <w:numId w:val="2142"/>
        </w:numPr>
        <w:pStyle w:val="Compact"/>
      </w:pPr>
      <w:r>
        <w:rPr>
          <w:bCs/>
          <w:b/>
        </w:rPr>
        <w:t xml:space="preserve">Liquidity (RK4):</w:t>
      </w:r>
      <w:r>
        <w:t xml:space="preserve"> </w:t>
      </w:r>
      <w:r>
        <w:t xml:space="preserve">sls_run (solo or consolidated, buckets, cumulative mismatch %, limit status), irs_run (gaps, EaR by shock, DGAP, delta EVE), stock_ratio_snapshot, hqla_operational_test (holding, unencumbered, monetisation test date), lcr_forecast (date, projected LCR), funding_plan_item (lender, instrument, amount, planned date), maturity_wall_snapshot, cfp_trigger (KRI ref, threshold, action), cfp_drill (date, scenario, evidence), cfp_activation (trigger ref, state MONITORING/TRIGGERED/ACTIVATED/STAND_DOWN, decision, decided_by, actions, reasons), nsfr_run (bank), liquidity_stress_result (scenario, survival horizon days)</w:t>
      </w:r>
    </w:p>
    <w:p>
      <w:pPr>
        <w:numPr>
          <w:ilvl w:val="1"/>
          <w:numId w:val="2142"/>
        </w:numPr>
        <w:pStyle w:val="Compact"/>
      </w:pPr>
      <w:r>
        <w:rPr>
          <w:bCs/>
          <w:b/>
        </w:rPr>
        <w:t xml:space="preserve">Concentration (RK5):</w:t>
      </w:r>
      <w:r>
        <w:t xml:space="preserve"> </w:t>
      </w:r>
      <w:r>
        <w:t xml:space="preserve">exposure_limit_check (exposure, limit type single/group/LE/SSE/IPO, value, limit, decision allow/block/board_route, add-on evidence), group_link_evidence (link type control/common_director/economic_interdependence, criterion, source, document ref), group_override (reason, approver), le_breach (counterparty, limit_type, passive flag, state OPEN/REMEDIATION_PLAN/CURED, detected_at, dos_intimation ref, plan ref, cured_at, update_seq), breach_exposure_exception (breach, committed line ref, CRO approval), board_exception_record (counterparty, from 20% to 25%, reasons, board_ref), related_party_sanction (loan, materiality threshold, approving body, recusal list), recusal_record (decision ref, person, reason), hhi_snapshot (dimension, value)</w:t>
      </w:r>
    </w:p>
    <w:p>
      <w:pPr>
        <w:numPr>
          <w:ilvl w:val="1"/>
          <w:numId w:val="2142"/>
        </w:numPr>
        <w:pStyle w:val="Compact"/>
      </w:pPr>
      <w:r>
        <w:rPr>
          <w:bCs/>
          <w:b/>
        </w:rPr>
        <w:t xml:space="preserve">Ratio library (RK6):</w:t>
      </w:r>
      <w:r>
        <w:t xml:space="preserve"> </w:t>
      </w:r>
      <w:r>
        <w:t xml:space="preserve">metric_definition (id, name, category, owner role, citation), metric_version (formula AST, plain text, sources, grain, filters, applicability rule, status, effective dates), metric_threshold (version, profile, type regulatory/Board/management, levels), metric_fixture (inputs, expected output), metric_value (metric version, entity, grain key, as_of, value, completeness flag, dq status, certification state), metric_lineage_edge (from source field or metric, to metric version, transform ref), metric_restatement_series (metric, new version, reason), metric_certification (value, state COMPUTED/VALIDATED/REVIEWED/CERTIFIED/PUBLISHED/REVOKED, actor, eSign ref), metric_change_request (metric, proposed version, reason, requester, validator, approvers, effective date, state), metric_impact_item (change request, consumer type tile/KRI/RAS/return cell/ICAAP table/pack, consumer ref, value difference), metric_parallel_run (change request, period, old value, new value)</w:t>
      </w:r>
    </w:p>
    <w:p>
      <w:pPr>
        <w:numPr>
          <w:ilvl w:val="1"/>
          <w:numId w:val="2142"/>
        </w:numPr>
        <w:pStyle w:val="Compact"/>
      </w:pPr>
      <w:r>
        <w:rPr>
          <w:bCs/>
          <w:b/>
        </w:rPr>
        <w:t xml:space="preserve">ICAAP, stress and PCA (RK7):</w:t>
      </w:r>
      <w:r>
        <w:t xml:space="preserve"> </w:t>
      </w:r>
      <w:r>
        <w:t xml:space="preserve">icaap_cycle (year, state, as_of, snapshot_hash, trigger type), icaap_section (part 1–9, template version, narrative, bound tables), material_risk_assessment (risk, materiality score, rationale), icaap_capital_line (risk, method, amount, internal label), capital_plan (scenario, projected ratios by period, management actions, internal target), stress_scenario_version (type, horizon, approval), stress_shock (factor, segment, magnitude, path), stress_run (scenario version, snapshot hash, model versions, status), stress_result (period, metric, value), reverse_stress_result (target metric, threshold, converged multiplier, narrative), pca_projection (indicator, horizon, scenario, projected value, threshold crossed), pca_alert (indicator, level proximity/forecast/crossed, notified roles), pca_state (entity, state NOT_UNDER_PCA/PROXIMITY/PROJECTED/THRESHOLD_CROSSED/UNDER_PCA_RT1/RT2/RT3/EXIT_ELIGIBLE, rbi_letter ref, effective date), pca_restriction_item (restriction, mandatory or discretionary, owner, due, evidence), pca_exit_tracker (clean quarters count, audited flag)</w:t>
      </w:r>
    </w:p>
    <w:p>
      <w:pPr>
        <w:numPr>
          <w:ilvl w:val="1"/>
          <w:numId w:val="2142"/>
        </w:numPr>
        <w:pStyle w:val="Compact"/>
      </w:pPr>
      <w:r>
        <w:rPr>
          <w:bCs/>
          <w:b/>
        </w:rPr>
        <w:t xml:space="preserve">Dashboards and Board packs (RK8):</w:t>
      </w:r>
      <w:r>
        <w:t xml:space="preserve"> </w:t>
      </w:r>
      <w:r>
        <w:t xml:space="preserve">dashboard_template (role, version, tiles), dashboard_template_change (template, change, maker, checker), dashboard_tile (metric version, visual, filters), user_dashboard (user, customisation version, personal thresholds), saved_view (user, filters, default flag), view_as_grant (role holder, delegate, expiry), alert_subscription (user, metric, channel in-app/email/Teams/Google Chat, threshold, quiet hours), alert_item (user, source episode, severity, acknowledged_at, snoozed_until), board_pack_template (committee, sections), board_pack (meeting, state DRAFT/IN_REVIEW/FROZEN/DISTRIBUTED/SUPERSEDED, freeze hash, addendum_of), board_pack_read_receipt (pack, director, read_at), board_pack_item (pack, metric value or narrative, certifier, metric version, as_of), sandbox_query (user, text, created_at, uncertified flag)</w:t>
      </w:r>
    </w:p>
    <w:p>
      <w:pPr>
        <w:numPr>
          <w:ilvl w:val="0"/>
          <w:numId w:val="2132"/>
        </w:numPr>
        <w:pStyle w:val="Compact"/>
      </w:pPr>
      <w:r>
        <w:rPr>
          <w:bCs/>
          <w:b/>
        </w:rPr>
        <w:t xml:space="preserve">Added in v1.5 (Part 7F: GV1–GV7).</w:t>
      </w:r>
      <w:r>
        <w:t xml:space="preserve"> </w:t>
      </w:r>
      <w:r>
        <w:t xml:space="preserve">Reused and extended from v1.3 GOV: director (adds din, din_status with evidence and as_of, category, nominating_institution, residency_days, term_start, term_end, rotation_flag, id_databank_no), director_declaration (adds types dir2, dir8, mbp1, independence, annual_fit_proper), deed_of_covenant, nrc_decision, director_change_event, management_change_application (PRAVAAH ref), kmp_record (adds role CISO/HIA/PO/DD/GRO/IO/nodal, appointing resolution, reporting line, other-office check), cro_appointment, governance_return, policy_document, whistleblower_case; v1.2 related_party (adds lodr_flag, ca13_flag, indas24_flag).</w:t>
      </w:r>
    </w:p>
    <w:p>
      <w:pPr>
        <w:numPr>
          <w:ilvl w:val="1"/>
          <w:numId w:val="2143"/>
        </w:numPr>
        <w:pStyle w:val="Compact"/>
      </w:pPr>
      <w:r>
        <w:rPr>
          <w:bCs/>
          <w:b/>
        </w:rPr>
        <w:t xml:space="preserve">Governance profile and directors (GV1):</w:t>
      </w:r>
      <w:r>
        <w:t xml:space="preserve"> </w:t>
      </w:r>
      <w:r>
        <w:t xml:space="preserve">governance_profile (entity, company_class, gov_chapter_set, listing_status, paid_up_capital, turnover, borrowings, members_count, security_holders_count, market_cap_rank, outstanding_listed_debt, source document refs, as_of), ca13_threshold_pack (version, thresholds, effective dates, source), dir3_kyc_record (din, cycle, due, filed_on, srn), director_appointment (state PROPOSED/NRC_SCRUTINY/RBI_GATE/BOARD_APPROVED/CONSENT_AND_DECLARATIONS/MEMBERS_APPROVAL/EFFECTIVE/FILED/NRC_REJECTED/RBI_REFUSED/WITHDRAWN, terminal reason, change_of_management_result, pravaah_approval_ref, members_resolution_ref), directorship_position (director, other CIN, role, other entity layer, listed flag, committee memberships and chairs), disqualification_check (source list, checked_on, result), reporting_line_check (role, rule, result), cro_closed_session (quarter, held_on, minutes ref)</w:t>
      </w:r>
    </w:p>
    <w:p>
      <w:pPr>
        <w:numPr>
          <w:ilvl w:val="1"/>
          <w:numId w:val="2143"/>
        </w:numPr>
        <w:pStyle w:val="Compact"/>
      </w:pPr>
      <w:r>
        <w:rPr>
          <w:bCs/>
          <w:b/>
        </w:rPr>
        <w:t xml:space="preserve">Committees and change reporting (GV1):</w:t>
      </w:r>
      <w:r>
        <w:t xml:space="preserve"> </w:t>
      </w:r>
      <w:r>
        <w:t xml:space="preserve">committee (type, legal basis, mandatory flag, charter document ref and version), committee_member (role chair/member/invitee/adviser, voting flag, independence status, from, to), composition_rule_pack (committee type, rules, source, version), composition_check (committee, run_at, result, breach, cure_due), mandatory_agenda_item (committee, item, frequency, basis), change_obligation (trigger event, obligation type DIR-12/RBI intimation/GOV 14 statement/LODR 30/FIU-IND, due, status, evidence, SRN or acknowledgement)</w:t>
      </w:r>
    </w:p>
    <w:p>
      <w:pPr>
        <w:numPr>
          <w:ilvl w:val="1"/>
          <w:numId w:val="2143"/>
        </w:numPr>
        <w:pStyle w:val="Compact"/>
      </w:pPr>
      <w:r>
        <w:rPr>
          <w:bCs/>
          <w:b/>
        </w:rPr>
        <w:t xml:space="preserve">Meetings and resolutions (GV2):</w:t>
      </w:r>
      <w:r>
        <w:t xml:space="preserve"> </w:t>
      </w:r>
      <w:r>
        <w:t xml:space="preserve">meeting (type, entity, committee, state DRAFT/SCHEDULED/NOTICE_SENT/AGENDA_CIRCULATED/IN_SESSION/ADJOURNED/CONCLUDED/DRAFT_MINUTES_CIRCULATED/COMMENTS_CLOSED/MINUTES_SIGNED/ENTERED/ARCHIVED/POSTPONED/CANCELLED, mode, scheduled_at, notice_sent_at, dispatch mode, short_notice_reason, ratification status, adjourned_from meeting ref), meeting_rule_pack (version, timers, sources), agenda_item (meeting, source, counterparties, upsi_flag, rpt_flag, recusal list), board_pack_issue (meeting, recipient, RK8 board_pack ref, watermark id, hash, circulated_at), attendance (director, mode physical/VC, location declaration, roll-call, join and leave times), vc_declaration (director, calendar year), quorum_snapshot (item, present, recused, required, result), vote (item, director, choice for/against/abstain/recused), resolution (type ordinary/special/board/circular/committee, subject code, text hash, effective date, filings started), circular_resolution (circulated_at, responses, meeting-demand count, outcome), minutes (meeting, draft_circulated_at, comments_due, signed_by, signed_at, entered_at, signature evidence, hash, locked), minutes_correction (later meeting, item), ctc_issue (resolution, requested_by, issued_at), general_meeting_detail (cut-off date, members snapshot ref, e-voting agency, window, scrutiniser, results_at), proxy_lodgement (member, proxy, lodged_at), short_notice_consent (member, holding %, consent ref), postal_ballot (dispatch evidence, window, result)</w:t>
      </w:r>
    </w:p>
    <w:p>
      <w:pPr>
        <w:numPr>
          <w:ilvl w:val="1"/>
          <w:numId w:val="2143"/>
        </w:numPr>
        <w:pStyle w:val="Compact"/>
      </w:pPr>
      <w:r>
        <w:rPr>
          <w:bCs/>
          <w:b/>
        </w:rPr>
        <w:t xml:space="preserve">Registers, MCA filings and calendar (GV3):</w:t>
      </w:r>
      <w:r>
        <w:t xml:space="preserve"> </w:t>
      </w:r>
      <w:r>
        <w:t xml:space="preserve">statutory_register (type, form, entity), register_entry (register, source event, data, hash), mca_form (code, trigger, due rule, attachments, certifier type, fee reference, applicability rule, version), mca_filing (form, entity, trigger ref, due, state DUE/DATA_READY/CERTIFIED/FILED/APPROVED/RESUBMISSION_REQUIRED/CLOSED, SRN, challan, certifier, filed_by, filed_at, late-fee band, reason), compliance_calendar_instance (entity, obligation source, due, owner, checker, evidence requirement, escalation state), board_compliance_certificate (quarter, exceptions, signed_by, hash)</w:t>
      </w:r>
    </w:p>
    <w:p>
      <w:pPr>
        <w:numPr>
          <w:ilvl w:val="1"/>
          <w:numId w:val="2143"/>
        </w:numPr>
        <w:pStyle w:val="Compact"/>
      </w:pPr>
      <w:r>
        <w:rPr>
          <w:bCs/>
          <w:b/>
        </w:rPr>
        <w:t xml:space="preserve">Listed-company compliance (GV4):</w:t>
      </w:r>
      <w:r>
        <w:t xml:space="preserve"> </w:t>
      </w:r>
      <w:r>
        <w:t xml:space="preserve">listing_profile (exchange, segment, equity and debt ISINs, hvdle flag, hvdle_from), hvdle_detection (date, outstanding listed debt, threshold version, result), lodr_obligation (regulation, clock rule, version, source), rpt_proposal (party, nature, value, ordinary-course and arm’s-length flags, state, ac_approval_ref, board_ref, shareholder_ref, omnibus ref, materiality result, threshold version, M4 application link), rpt_omnibus_approval (limit, validity_end, utilised), rpt_materiality_calc (FY, consolidated turnover, slab, threshold), upsi_item (taxonomy code, nature, origin internal/external, occurred_or_received_at, entered_at, late flag, closed_at), sdd_entry (upsi item, discloser, recipient, identifier, purpose, confidentiality notice sent, prev_hash, hash), designated_person (person, relatives, material financial relationships, identifiers), trading_window (from, to, reason, upsi ref), preclearance_request (DP, security, quantity, decision, valid_to), dp_trade_disclosure (DP, trade, value, quarter cumulative, disclosed_at), restricted_list_entry (issuer, reason, from, to; shared with Part 7H), disclosure_event (type, event_time, quantitative test, judgement by authorised KMP, decision, disclosed_at, delay reason, exchange acknowledgement), exchange_filing (rail NEAPS/BSE, filing type, XBRL or PDF hash, acknowledgement), issue_data_room (issue type, members, external access grants), sast_disclosure_received (filer, regulation, received_at)</w:t>
      </w:r>
    </w:p>
    <w:p>
      <w:pPr>
        <w:numPr>
          <w:ilvl w:val="1"/>
          <w:numId w:val="2143"/>
        </w:numPr>
        <w:pStyle w:val="Compact"/>
      </w:pPr>
      <w:r>
        <w:rPr>
          <w:bCs/>
          <w:b/>
        </w:rPr>
        <w:t xml:space="preserve">Departments, DoA and tasks (GV5):</w:t>
      </w:r>
      <w:r>
        <w:t xml:space="preserve"> </w:t>
      </w:r>
      <w:r>
        <w:t xml:space="preserve">department (code, name, parent, entity, cost centre, head, function type, control-function flag, status), position (department, title, role set, holder, from, to), position_assignment (position, user, from, to, access-review task ref), doa_rule (entity, domain, action, product, amount_from, amount_to, approver positions, approvals_required, sequence, exclusions, enabling_resolution_id, valid_from, valid_to, version), doa_decision (request, rule version, approvers, reason code, inputs hash), doa_simulation (rule draft, period, requests re-routed, run_at), statutory_limit (type s.180/s.186, amount, resolution ref, utilised, as_of), task (source type and ref, entity, department, assignee, checker, priority, due, calendar rule, SLA, evidence requirement, confidentiality, state OPEN/IN_PROGRESS/BLOCKED/SUBMITTED/CHECKED/CLOSED/REOPENED/CANCELLED, reassignment log), task_evidence (task, document ref, hash), task_check (checker, decision, comments), task_escalation (level, at, to)</w:t>
      </w:r>
    </w:p>
    <w:p>
      <w:pPr>
        <w:numPr>
          <w:ilvl w:val="1"/>
          <w:numId w:val="2143"/>
        </w:numPr>
        <w:pStyle w:val="Compact"/>
      </w:pPr>
      <w:r>
        <w:rPr>
          <w:bCs/>
          <w:b/>
        </w:rPr>
        <w:t xml:space="preserve">Client HRMS and payroll (GV6; RESTRICTED class):</w:t>
      </w:r>
      <w:r>
        <w:t xml:space="preserve"> </w:t>
      </w:r>
      <w:r>
        <w:t xml:space="preserve">establishment (entity, state, address, appropriate government, S&amp;E registration, headcounts by worker type), state_rule_status (state, code, status draft/final/old-rules-continuing, notification, effective), labour_rule_pack (version, signed artefact digest; shared with Operations Hub OH10), employee (identity, worker type, wage band, UAN, ESI IP number, masked PAN, bank account token), employment_event (state transition, actor, at), appointment_letter (version, components with CoW class, WFH clause, eSign evidence), background_check (type, result, restricted), wage_component (code, CoW class, tax treatment), salary_structure (employee, components, effective dates), attendance_record (date, source SSO/timesheet, in, out, correction trail), timesheet_entry (project or task, hours), monitoring_notice_ack (employee, notice version, at), overtime_consent (employee, period, consent ref), overtime_ledger (employee, quarter, hours), leave_policy (type, accrual rule, carry cap, encashment rule), leave_balance, leave_request (state DRAFT/SUBMITTED/APPROVED/REJECTED/TAKEN/CANCELLED/CURTAILED, decision, reason), attendance_regularisation (record, reason, evidence, approver, arrears flag), payroll_run (period, type regular/off-cycle/final-wage, state DRAFT/INPUTS_LOCKED/COMPUTED/VARIANCE_REVIEWED/APPROVED/BANK_FILE_RELEASED/PAID/STATUTORY_FILES_READY/CLOSED, preparer, approvers, bank file hash, variance report), payment_reissue (run, line, reason, new bank ref), arrears_line (employee, period from, period to, reason), payroll_line (components, cow_wages, add-back, statutory contributions, TDS, deductions, carry-forward), payslip (Form V ref), lc_register_entry (Form I/IV/IX), lc_return (EPF ECR/ESI/PT/LWF, period, file hash, filed evidence), tds_salary_projection (regime, projection), form130_certificate (employee, tax year, parts, hash), variable_pay_award (deferral schedule, malus, clawback, policy version), clawback_event, gratuity_calc (years, wages, amount, cap applied), fnf_case (exit type, last working day, wage deadline, gratuity deadline, paid_at values), service_certificate, posh_committee (office, members, valid_to), posh_case (restricted), training_record (course, completion, evidence), ghost_test_run (tests, flags, reviewer), appraisal_cycle (period, scale, state), appraisal (employee, goals, self rating, manager rating, calibrated rating with reason, state GOALS_SET/MID_YEAR_CHECK_IN/SELF_REVIEW/MANAGER_REVIEW/CALIBRATION/HR_APPROVED/COMMUNICATED/APPEAL/DECIDED), reward_change (employee, component, amount, effective_from, approval ref)</w:t>
      </w:r>
    </w:p>
    <w:p>
      <w:pPr>
        <w:numPr>
          <w:ilvl w:val="1"/>
          <w:numId w:val="2143"/>
        </w:numPr>
        <w:pStyle w:val="Compact"/>
      </w:pPr>
      <w:r>
        <w:rPr>
          <w:bCs/>
          <w:b/>
        </w:rPr>
        <w:t xml:space="preserve">Workplace integration (GV7):</w:t>
      </w:r>
      <w:r>
        <w:t xml:space="preserve"> </w:t>
      </w:r>
      <w:r>
        <w:t xml:space="preserve">workplace_connection (provider M365/Google/agent, tenant id or domain, scopes granted, admin-consent evidence, status), residency_attestation (connection, geography, ADR flag, evidence, attested_by, valid_to), data_class_policy (target, allowed classes, override approvals and risk acceptances), scim_group_mapping (IdP group, position, maker-checker ref), provisioning_job (employee, provider, action, idempotency key, status, attempts), mailbox_record (address, provider, created_at, quarantine_until), address_rule (pattern, collision order, reserved names), graph_subscription (resource, expires_at, renewal_due, client_state, last lifecycle event), delta_cursor (resource, delta link), calendar_event_link (meeting, provider, event id, join URL), notification_delivery (channel Teams/Google Chat, category, deep link, status), migration_import_batch (source, counts, reject file, dry-run flag)</w:t>
      </w:r>
    </w:p>
    <w:p>
      <w:pPr>
        <w:numPr>
          <w:ilvl w:val="1"/>
          <w:numId w:val="2143"/>
        </w:numPr>
        <w:pStyle w:val="Compact"/>
      </w:pPr>
      <w:r>
        <w:rPr>
          <w:bCs/>
          <w:b/>
        </w:rPr>
        <w:t xml:space="preserve">Supersedes or extends existing entities:</w:t>
      </w:r>
      <w:r>
        <w:t xml:space="preserve"> </w:t>
      </w:r>
      <w:r>
        <w:t xml:space="preserve">connector_agent (Part 7C AC6) gains capabilities storage and directory_sync and a certificate_expiry field (one agent for Tally, storage and directory sync); RK8 board_pack is referenced by board_pack_issue (RK8 owns metric content); maker_checker_request (v0) backs doa_decision and task_check; approval (v0, M4) records reference doa_rule versions; R1.7 recovery DoA and R8 settlement_approval call doa_rule.</w:t>
      </w:r>
    </w:p>
    <w:p>
      <w:pPr>
        <w:numPr>
          <w:ilvl w:val="0"/>
          <w:numId w:val="2132"/>
        </w:numPr>
        <w:pStyle w:val="Compact"/>
      </w:pPr>
      <w:r>
        <w:rPr>
          <w:bCs/>
          <w:b/>
        </w:rPr>
        <w:t xml:space="preserve">Added in v1.5 (Part 7J: DP1–DP5).</w:t>
      </w:r>
      <w:r>
        <w:t xml:space="preserve"> </w:t>
      </w:r>
      <w:r>
        <w:t xml:space="preserve">Reused and extended from v1.4 R14: export_job (adds scope type DATASET/LEGAL_ENTITY/MODULE/AUDIT_PACK/FULL_TENANT/EXIT with FY and data-principal sub-types, scope definition, approvals, as_of, state REQUESTED/APPROVED/SNAPSHOT/RENDER/PACKAGE/SIGN/DELIVER/CONFIRMED/REJECTED/CANCELLED/FAILED/EXPIRED, destination, restricted inclusion, label policy, encryption choice), export_manifest (adds archive_id, archive_standard_version, control totals, JWS, signing key id, predecessor archive id); from Part 7C AC7: backup_record and restore_test.</w:t>
      </w:r>
    </w:p>
    <w:p>
      <w:pPr>
        <w:numPr>
          <w:ilvl w:val="1"/>
          <w:numId w:val="2144"/>
        </w:numPr>
        <w:pStyle w:val="Compact"/>
      </w:pPr>
      <w:r>
        <w:rPr>
          <w:bCs/>
          <w:b/>
        </w:rPr>
        <w:t xml:space="preserve">Archive standard (DP1):</w:t>
      </w:r>
      <w:r>
        <w:t xml:space="preserve"> </w:t>
      </w:r>
      <w:r>
        <w:t xml:space="preserve">archive_standard_version (version, changes, converter ref), folder_policy (version, dataset-to-path mapping, approver), label_policy (ids_only/id_and_masked_name), archive_file (archive, path, sha256, bytes, media type, record count, dataset, schema version, restricted flag, retention class, legal hold), control_total (archive, entity, metric, archive value, source value, match), data_dictionary_version (archive standard version, hash), relationship_map_version (hash), restricted_bundle (archive, type HR/legal, encryption method, recipient, out-of-band delivery evidence)</w:t>
      </w:r>
    </w:p>
    <w:p>
      <w:pPr>
        <w:numPr>
          <w:ilvl w:val="1"/>
          <w:numId w:val="2144"/>
        </w:numPr>
        <w:pStyle w:val="Compact"/>
      </w:pPr>
      <w:r>
        <w:rPr>
          <w:bCs/>
          <w:b/>
        </w:rPr>
        <w:t xml:space="preserve">Exports (DP2):</w:t>
      </w:r>
      <w:r>
        <w:t xml:space="preserve"> </w:t>
      </w:r>
      <w:r>
        <w:t xml:space="preserve">download_link (archive, recipient, expires_at, used_at, IP, geolocation flag), incremental_watermark (tenant, dataset, position, archive id), export_schedule (scope, cadence, target, next run), export_job_part (job, dataset, part, attempts, checkpoint, status), export_wizard_draft (user, steps, expires_at)</w:t>
      </w:r>
    </w:p>
    <w:p>
      <w:pPr>
        <w:numPr>
          <w:ilvl w:val="1"/>
          <w:numId w:val="2144"/>
        </w:numPr>
        <w:pStyle w:val="Compact"/>
      </w:pPr>
      <w:r>
        <w:rPr>
          <w:bCs/>
          <w:b/>
        </w:rPr>
        <w:t xml:space="preserve">Storage connectors and keys (DP3):</w:t>
      </w:r>
      <w:r>
        <w:t xml:space="preserve"> </w:t>
      </w:r>
      <w:r>
        <w:t xml:space="preserve">storage_target (provider S3/S3-compatible/Azure Blob/GCS/SharePoint/Google Drive/SFTP/agent, region, auth mode, allowed data classes, key mode, write_once flag, residency_verified_at, last_health_at, certification version, status), storage_target_test (type residency/write, result, evidence), storage_credential_ref (vault ref, rotation due), storage_raci (mode, responsibilities, contract annex ref), key_configuration (mode platform/BYOK cross-account/BYOK import/HYOK/client-side, key identifier or fingerprint, grants, risk acceptance document), key_event (create/grant/revoke/rotate/schedule-deletion, at, actor)</w:t>
      </w:r>
    </w:p>
    <w:p>
      <w:pPr>
        <w:numPr>
          <w:ilvl w:val="1"/>
          <w:numId w:val="2144"/>
        </w:numPr>
        <w:pStyle w:val="Compact"/>
      </w:pPr>
      <w:r>
        <w:rPr>
          <w:bCs/>
          <w:b/>
        </w:rPr>
        <w:t xml:space="preserve">Customer-held backups and restore tests (DP4):</w:t>
      </w:r>
      <w:r>
        <w:t xml:space="preserve"> </w:t>
      </w:r>
      <w:r>
        <w:t xml:space="preserve">customer_backup_schedule (target, cadence, last run, consecutive misses); backup_record extended (target, archive id, type incremental/full/db-dump, chain link); restore_test extended (test type integrity/readability/rehydration, sandbox tenant, archive ids, discrepancies, approver)</w:t>
      </w:r>
    </w:p>
    <w:p>
      <w:pPr>
        <w:numPr>
          <w:ilvl w:val="1"/>
          <w:numId w:val="2144"/>
        </w:numPr>
        <w:pStyle w:val="Compact"/>
      </w:pPr>
      <w:r>
        <w:rPr>
          <w:bCs/>
          <w:b/>
        </w:rPr>
        <w:t xml:space="preserve">Exit (DP5):</w:t>
      </w:r>
      <w:r>
        <w:t xml:space="preserve"> </w:t>
      </w:r>
      <w:r>
        <w:t xml:space="preserve">exit_case (scope tenant/legal entity/module, withdrawal ref, state EXIT_NOTICE/EXIT_PLAN_AGREED/CONFIG_FREEZE/PARALLEL_RUN/CUT_OVER/FINAL_EXPORT/TENANT_VERIFICATION/SUCCESSOR_SUPPORT/READ_ONLY_RETENTION/PURGE_APPROVED/PURGED/PURGE_CERTIFIED/CLOSED, notice date, cut-over, successor, TATs), exit_plan_item (item, owner, due, status; includes open statutory clocks), retention_hold (tenant, reason exit_transition, from, to), cooperation_log_entry (successor, request, response, at), read_only_window (from, to, extensions), purge_approval (signatory, date, document hash), purge_record (systems, method, KMS key deletion id, retained items with reason, completed_at), purge_certificate (hash, assurance provider, issued_at)</w:t>
      </w:r>
    </w:p>
    <w:p>
      <w:pPr>
        <w:numPr>
          <w:ilvl w:val="1"/>
          <w:numId w:val="2144"/>
        </w:numPr>
        <w:pStyle w:val="Compact"/>
      </w:pPr>
      <w:r>
        <w:rPr>
          <w:bCs/>
          <w:b/>
        </w:rPr>
        <w:t xml:space="preserve">Supersedes or extends existing entities:</w:t>
      </w:r>
      <w:r>
        <w:t xml:space="preserve"> </w:t>
      </w:r>
      <w:r>
        <w:t xml:space="preserve">detach_request (v1.4 7A.0) reuses export_job with scope type module; retention_class and legal_hold (v1.4) drive archive_file flags and the exit retention hold.</w:t>
      </w:r>
    </w:p>
    <w:p>
      <w:pPr>
        <w:numPr>
          <w:ilvl w:val="0"/>
          <w:numId w:val="2132"/>
        </w:numPr>
        <w:pStyle w:val="Compact"/>
      </w:pPr>
      <w:r>
        <w:rPr>
          <w:bCs/>
          <w:b/>
        </w:rPr>
        <w:t xml:space="preserve">Added in v1.5 (Part 7K: CM1–CM5).</w:t>
      </w:r>
      <w:r>
        <w:t xml:space="preserve"> </w:t>
      </w:r>
      <w:r>
        <w:t xml:space="preserve">Reused and extended from v1.4 7A.0: module_manifest (licence_sku now mandatory for every optional module), licence_entitlement (adds limits, behaviour, contract ref, signature, source catalogue version), feature_flag_scope, module_installation.</w:t>
      </w:r>
    </w:p>
    <w:p>
      <w:pPr>
        <w:numPr>
          <w:ilvl w:val="1"/>
          <w:numId w:val="2145"/>
        </w:numPr>
        <w:pStyle w:val="Compact"/>
      </w:pPr>
      <w:r>
        <w:rPr>
          <w:bCs/>
          <w:b/>
        </w:rPr>
        <w:t xml:space="preserve">Catalogue and entitlements (CM1):</w:t>
      </w:r>
      <w:r>
        <w:t xml:space="preserve"> </w:t>
      </w:r>
      <w:r>
        <w:t xml:space="preserve">catalogue_version (version, signature, imported_at, status, import report), catalogue_sku_map (SKU, module ids), entitlement_limit (entitlement, type module/capacity/rate/environment/support_tier, value, behaviour hard/soft/informational, grace), entitlement_denial_log (capability, reason not_entitled/limit_reached/not_enabled/dependency_missing/read_only, count per day), offline_licence (file hash, SKUs, limits, valid_to, grace), quota_alert (limit, threshold 80/100, sent_at)</w:t>
      </w:r>
    </w:p>
    <w:p>
      <w:pPr>
        <w:numPr>
          <w:ilvl w:val="1"/>
          <w:numId w:val="2145"/>
        </w:numPr>
        <w:pStyle w:val="Compact"/>
      </w:pPr>
      <w:r>
        <w:rPr>
          <w:bCs/>
          <w:b/>
        </w:rPr>
        <w:t xml:space="preserve">Pages and profile (CM2):</w:t>
      </w:r>
      <w:r>
        <w:t xml:space="preserve"> </w:t>
      </w:r>
      <w:r>
        <w:t xml:space="preserve">billing_profile (legal name, CIN, PAN, GSTINs by place of supply, addresses, PO numbers, e-invoice details, LUT ref, SEZ or IFSC flag), billing_contact (role, events, channels), explainer_cache (catalogue item, fields, approval ref, readability score), plan_change_request (type upgrade/downgrade/switch/add-on/seats, Hub quote ref, proration preview, entitlement diff, state DRAFT/PREVIEWED/SUBMITTED/APPROVED/ORDERED/PAYMENT_PENDING/PAID/SCHEDULED/EFFECTIVE/REJECTED/CANCELLED/EXPIRED, maker, approver, effective_at), cancellation_request (reason, effective_at, approver, state, withdrawn_at), billing_profile_change (field, old, new, maker, checker, effective_from), billing_setting (approval threshold, alert thresholds, courtesy notice, PO required)</w:t>
      </w:r>
    </w:p>
    <w:p>
      <w:pPr>
        <w:numPr>
          <w:ilvl w:val="1"/>
          <w:numId w:val="2145"/>
        </w:numPr>
        <w:pStyle w:val="Compact"/>
      </w:pPr>
      <w:r>
        <w:rPr>
          <w:bCs/>
          <w:b/>
        </w:rPr>
        <w:t xml:space="preserve">Metering (CM3):</w:t>
      </w:r>
      <w:r>
        <w:t xml:space="preserve"> </w:t>
      </w:r>
      <w:r>
        <w:t xml:space="preserve">usage_record (tenant, entity, meter, quantity, source_ref, occurred_at, idempotency key), usage_aggregate (meter, period, quantity, reconciled flag, meter code version), usage_statement (period, meters, version, hash, issued_at, state OPEN/DISPUTED/FINAL), usage_dispute (statement, meter, reason, outcome), usage_adjustment (statement, line, amount)</w:t>
      </w:r>
    </w:p>
    <w:p>
      <w:pPr>
        <w:numPr>
          <w:ilvl w:val="1"/>
          <w:numId w:val="2145"/>
        </w:numPr>
        <w:pStyle w:val="Compact"/>
      </w:pPr>
      <w:r>
        <w:rPr>
          <w:bCs/>
          <w:b/>
        </w:rPr>
        <w:t xml:space="preserve">Payments mirror (CM4; no card data):</w:t>
      </w:r>
      <w:r>
        <w:t xml:space="preserve"> </w:t>
      </w:r>
      <w:r>
        <w:t xml:space="preserve">invoice_view (Hub invoice id, number, amounts, tax lines, status, PDF ref), payment_view (Hub payment id, method type, status, at), mandate_view (type card/UPI/eNACH, maximum amount, frequency, validity, status, last-4 and issuer only), tds_certificate_upload (invoice, Form 131 file hash, amount, reconciliation status), dunning_state (state ACTIVE/PAST_DUE/RETRY/GRACE/RESTRICTED/TERMINATION_NOTICE/EXIT, since, notices sent, retries used, dispute pause)</w:t>
      </w:r>
    </w:p>
    <w:p>
      <w:pPr>
        <w:numPr>
          <w:ilvl w:val="1"/>
          <w:numId w:val="2145"/>
        </w:numPr>
        <w:pStyle w:val="Compact"/>
      </w:pPr>
      <w:r>
        <w:rPr>
          <w:bCs/>
          <w:b/>
        </w:rPr>
        <w:t xml:space="preserve">Revenue streams and funnel (CM5):</w:t>
      </w:r>
      <w:r>
        <w:t xml:space="preserve"> </w:t>
      </w:r>
      <w:r>
        <w:t xml:space="preserve">revenue_stream_flag (stream code, scope, enabled, gate status mirror, legality gate ref; catalogue cache), vendor_announcement_pref (tenant, enabled), sandbox_upload_block (sandbox tenant, rejected file, pattern, at)</w:t>
      </w:r>
    </w:p>
    <w:p>
      <w:pPr>
        <w:numPr>
          <w:ilvl w:val="0"/>
          <w:numId w:val="2132"/>
        </w:numPr>
        <w:pStyle w:val="Compact"/>
      </w:pPr>
      <w:r>
        <w:rPr>
          <w:bCs/>
          <w:b/>
        </w:rPr>
        <w:t xml:space="preserve">Added in v1.5 (Part 7L: EO1–EO6).</w:t>
      </w:r>
      <w:r>
        <w:t xml:space="preserve"> </w:t>
      </w:r>
      <w:r>
        <w:t xml:space="preserve">Reused and extended: from Part 7D AU4, vapt_engagement (provider_vapt true for platform tests; adds layer, empanelment ref, firm rotation due) and vulnerability_finding (adds source Dependabot/CodeQL/scan/VAPT/advisory/VDP, EPSS, KEV flag, reachability, exception ref); from v1.3, policy_document (adds ISMS policy types); from v1.4 R15, contact_policy_pack, contact_evaluation, call_recording, ai_interaction_log.</w:t>
      </w:r>
    </w:p>
    <w:p>
      <w:pPr>
        <w:numPr>
          <w:ilvl w:val="1"/>
          <w:numId w:val="2146"/>
        </w:numPr>
        <w:pStyle w:val="Compact"/>
      </w:pPr>
      <w:r>
        <w:rPr>
          <w:bCs/>
          <w:b/>
        </w:rPr>
        <w:t xml:space="preserve">Repository and release (EO1):</w:t>
      </w:r>
      <w:r>
        <w:t xml:space="preserve"> </w:t>
      </w:r>
      <w:r>
        <w:t xml:space="preserve">repo_ruleset_snapshot (repo, target, JSON hash, captured_at, drift flag), codeowners_coverage_run (unowned paths), release (version, signed tag, image signature digest, SBOM refs, release notes, regulatory-impact section, published_at), sbom_artifact (format SPDX/CycloneDX, scope app/image, hash), ci_evidence (release, check, result, log hash), freeze_window (type, from, to, exception ref)</w:t>
      </w:r>
    </w:p>
    <w:p>
      <w:pPr>
        <w:numPr>
          <w:ilvl w:val="1"/>
          <w:numId w:val="2146"/>
        </w:numPr>
        <w:pStyle w:val="Compact"/>
      </w:pPr>
      <w:r>
        <w:rPr>
          <w:bCs/>
          <w:b/>
        </w:rPr>
        <w:t xml:space="preserve">Change and vulnerability (EO2):</w:t>
      </w:r>
      <w:r>
        <w:t xml:space="preserve"> </w:t>
      </w:r>
      <w:r>
        <w:t xml:space="preserve">change_record (class standard/normal/regulated/emergency, risk score, PRs, migration plan, rollback plan, test evidence, tenant communication, window, approvers, PIR result), cab_meeting (date, members, quorum, decisions), emergency_change (approvers, retro_due, retro_done), vuln_exception (finding, approver, expiry), eos_register_item (component, version, end-of-support date, refresh plan), cyb106_certificate (release, materiality basis, signed_by, evidence refs, distributed_at), escrow_deposit (release, agent, receipt, verified_build_at), vdp_report (received_at, triage, outcome), change_approval_ref (change id, OH13</w:t>
      </w:r>
      <w:r>
        <w:t xml:space="preserve"> </w:t>
      </w:r>
      <w:r>
        <w:rPr>
          <w:rStyle w:val="VerbatimChar"/>
        </w:rPr>
        <w:t xml:space="preserve">ChangeApproved</w:t>
      </w:r>
      <w:r>
        <w:t xml:space="preserve"> </w:t>
      </w:r>
      <w:r>
        <w:t xml:space="preserve">id, class, window; read by the deploy gate)</w:t>
      </w:r>
    </w:p>
    <w:p>
      <w:pPr>
        <w:numPr>
          <w:ilvl w:val="1"/>
          <w:numId w:val="2146"/>
        </w:numPr>
        <w:pStyle w:val="Compact"/>
      </w:pPr>
      <w:r>
        <w:rPr>
          <w:bCs/>
          <w:b/>
        </w:rPr>
        <w:t xml:space="preserve">Backups and drills (EO3):</w:t>
      </w:r>
      <w:r>
        <w:t xml:space="preserve"> </w:t>
      </w:r>
      <w:r>
        <w:t xml:space="preserve">platform_backup_job (asset, type PITR/snapshot/replication/vault copy, region, status), recovery_point (asset, immutable flag, region, expires_at), restore_exercise (type daily verification/quarterly full/ransomware, scope, reconciliation results, report hash), dr_drill (date, duration, measured RTO and RPO, issues, tenant evidence-pack refs), time_sync_check (host, drift, alert)</w:t>
      </w:r>
    </w:p>
    <w:p>
      <w:pPr>
        <w:numPr>
          <w:ilvl w:val="1"/>
          <w:numId w:val="2146"/>
        </w:numPr>
        <w:pStyle w:val="Compact"/>
      </w:pPr>
      <w:r>
        <w:rPr>
          <w:bCs/>
          <w:b/>
        </w:rPr>
        <w:t xml:space="preserve">Assurance and certification (EO4–EO5):</w:t>
      </w:r>
      <w:r>
        <w:t xml:space="preserve"> </w:t>
      </w:r>
      <w:r>
        <w:t xml:space="preserve">tenant_evidence_pack (tenant, contents, hash, generated_at), service_org_report (type SOC 1/SOC 2, Type 1/2, period, auditor, bridge letters), certification (scheme, scope, certificate or report id, body, issued, expiry, status planned/in_progress/issued/lapsed), claims_gate_check (text source, claim, result), ccf_control (id, objective, owner, frequency, test, automation hook), control_mapping (control, framework, requirement ref), control_evidence (control, period, collector, artefact hash, reviewer, status), incident_clock_record (incident, detected_at, tenant_notified_at, certin_reported_at, missed flags), access_review (review_scope TENANT/PLATFORM, system, period, population count, exceptions, revocations, reviewer roles, evidence hash)</w:t>
      </w:r>
    </w:p>
    <w:p>
      <w:pPr>
        <w:numPr>
          <w:ilvl w:val="1"/>
          <w:numId w:val="2146"/>
        </w:numPr>
        <w:pStyle w:val="Compact"/>
      </w:pPr>
      <w:r>
        <w:rPr>
          <w:bCs/>
          <w:b/>
        </w:rPr>
        <w:t xml:space="preserve">Voice, AI and Jio (EO6):</w:t>
      </w:r>
      <w:r>
        <w:t xml:space="preserve"> </w:t>
      </w:r>
      <w:r>
        <w:t xml:space="preserve">comms_provider_account (tenant, provider, channels, contract, DPA, residency proof and date, certification, state PROPOSED/DUE_DILIGENCE/CONTRACTED/SANDBOX_CERTIFIED/PRODUCTION_ENABLED/SUSPENDED/RETIRED), tenant_number (number, series 1600/1601/140/other, circle, purpose, principal entity, DLT entity id), dlt_registration (entity id, headers, templates, categories), autodialler_notification (provider, purpose, notified_at), ai_assistant_config (use case, script version, prompt version, model, CCO approval, Board policy ref, disclosure text, state DRAFT/LEGAL_REVIEW/CCO_APPROVED/LIVE/RETIRED), jio_onboarding_checklist (API docs, DPA, residency proof, DLT support, 1600 support, AI roadmap, rates, status)</w:t>
      </w:r>
    </w:p>
    <w:p>
      <w:pPr>
        <w:numPr>
          <w:ilvl w:val="1"/>
          <w:numId w:val="2146"/>
        </w:numPr>
        <w:pStyle w:val="Compact"/>
      </w:pPr>
      <w:r>
        <w:rPr>
          <w:bCs/>
          <w:b/>
        </w:rPr>
        <w:t xml:space="preserve">Supersedes or extends existing entities:</w:t>
      </w:r>
      <w:r>
        <w:t xml:space="preserve"> </w:t>
      </w:r>
      <w:r>
        <w:t xml:space="preserve">contact_policy_pack gains series rules and TRAI deadlines by entity type; call_recording gains announcement_played and notice_sms_ref; ai_interaction_log gains model_version, prompt_version and handover; telemarketer_registration (v1.3 RBC) links to tenant_number; release_vapt_gate (Part 7D AU4) reads change_record.</w:t>
      </w:r>
    </w:p>
    <w:p>
      <w:pPr>
        <w:numPr>
          <w:ilvl w:val="0"/>
          <w:numId w:val="2132"/>
        </w:numPr>
        <w:pStyle w:val="Compact"/>
      </w:pPr>
      <w:r>
        <w:rPr>
          <w:bCs/>
          <w:b/>
        </w:rPr>
        <w:t xml:space="preserve">Added in v1.5 (Part 7G — institution profiles):</w:t>
      </w:r>
    </w:p>
    <w:p>
      <w:pPr>
        <w:numPr>
          <w:ilvl w:val="1"/>
          <w:numId w:val="2147"/>
        </w:numPr>
        <w:pStyle w:val="Compact"/>
      </w:pPr>
      <w:r>
        <w:rPr>
          <w:bCs/>
          <w:b/>
        </w:rPr>
        <w:t xml:space="preserve">Profile engine (IP1):</w:t>
      </w:r>
      <w:r>
        <w:t xml:space="preserve"> </w:t>
      </w:r>
      <w:r>
        <w:t xml:space="preserve">institution_type (code, legal basis, manifest version, status), institution_profile (extends entity_regulatory_profile: type, sub-type, governing Act, State, registrar or regulator, registration number and date, area of operation, MSCS size class, UCB tier, ARC NOF band, IFSC activity class, flags rbi_re/deposit_taking/sro_member/cic_member/qb_attested/mh_regulatory_board/fema_basis_required, audit class by year), rule_pack (key, layer L0–L4, Act and State, version, effective_from/to, status in force/enacted-not-notified/draft/stub, source_url, counsel_signoff), rule_pack_binding (profile, pack, version, bound_at), rule_loosening_rejection (parameter, attempted value, governing layer and value, actor), capability_entitlement (profile type, capability, allowed, guard-rail id), vocabulary_pack (code, concept key, label, language), guardrail (id GR-7G-nn/GR-7H-nn, rule, evaluation points, basis, error code), guardrail_evaluation (guard-rail, subject, inputs hash, result), profile_change (trigger, state incl. REJECTED/ROLLED_BACK, impact assessment, due date, approvals, effective date, glide-path end), rule_pack_lifecycle_event (pack, from and to state, maker, checker, counsel sign-off), rule_pack_impact_report (corrected pack, back-dated window, affected decisions, remediation task ids), profile_setting (key, level, value, nature regulatory-floor/commercial, effective_from, approved_by)</w:t>
      </w:r>
    </w:p>
    <w:p>
      <w:pPr>
        <w:numPr>
          <w:ilvl w:val="1"/>
          <w:numId w:val="2147"/>
        </w:numPr>
        <w:pStyle w:val="Compact"/>
      </w:pPr>
      <w:r>
        <w:rPr>
          <w:bCs/>
          <w:b/>
        </w:rPr>
        <w:t xml:space="preserve">Credit co-operative societies (IP2):</w:t>
      </w:r>
      <w:r>
        <w:t xml:space="preserve"> </w:t>
      </w:r>
      <w:r>
        <w:t xml:space="preserve">bylaw_version (document, clause map, conflicts flagged, approval), coop_member (member number, class ORDINARY_VOTING/NOMINAL/ASSOCIATE/NON_VOTING_SHAREHOLDER/INSTITUTIONAL, rights flags can_vote/can_deposit/can_borrow/can_stand_surety/can_attend_gb/dividend_eligible, state, area-of-operation evidence, admission resolution, Form I and J-1 refs, Rule 45 declaration, liability_tail_end, expulsion_bar_end), membership_application (source BRANCH/UDOFIN, idempotency key, received_at, consent ref, decision and resolution ref, reasons), member_application_timer (decision due, communication due, deemed-refusal date), member_status_event, share_account, share_transaction (allotment/instalment/transfer/redemption/forfeiture/non-voting issue/lien, quantity, face value, approval), share_linkage_rule (product, mode MULTIPLE/LINKAGE, value), deposit_ledger_import (source, as-of, file hash, row counts, state RECEIVED/VALIDATED/MATCHED/PUBLISHED/REJECTED/STALE, version, stale_since), deposit_account_projection (depositor, member link, product, balance, rate, maturity, lien), deposit_eligibility_exception (GR-7G-01, depositor, class, owner, due, evidence, closed_at), leverage_test_run (deposits, borrowings, capital, reserves, losses, multiple, result), surety (member, loan, consent artefact), surety_liability_ledger, director_loan_ratio_check, coop_prudential_snapshot (CRAR, cash %, liquid investments %, leverage, single and group exposure, unsecured %, SLR %, pack version), branch_expansion_pack (tests, results, lineage, Registrar certificate ref), appropriation_run (net profit, items, minimum checks, General Body resolution), dividend_run (rate, cap, register date, TDS, forfeiture date), agm_record (notice date, quorum, agenda pack, minutes due), election_term (term end, Election Authority notice due), coop_audit (auditor, panel, appointment filing date, consecutive-year count, report date, Form O due, audit class and marks), audit_para (para, rectification status, evidence), coop_dispute (forum Co-operative Court s.91 or Registrar arbitrator s.84, case number, limitation end), recovery_certificate_case (s.101 states, authority, certificate number, execution steps), encumbrance_flag (property, s.99 basis), coop_ombudsman_case (received, decision due, appeal due), information_request (Information Officer log)</w:t>
      </w:r>
    </w:p>
    <w:p>
      <w:pPr>
        <w:numPr>
          <w:ilvl w:val="1"/>
          <w:numId w:val="2147"/>
        </w:numPr>
        <w:pStyle w:val="Compact"/>
      </w:pPr>
      <w:r>
        <w:rPr>
          <w:bCs/>
          <w:b/>
        </w:rPr>
        <w:t xml:space="preserve">Co-operative banks (IP3):</w:t>
      </w:r>
      <w:r>
        <w:t xml:space="preserve"> </w:t>
      </w:r>
      <w:r>
        <w:t xml:space="preserve">ucb_tier_assessment (deposits, tier, CRAR target, glide end), psl_target_run (ANBC or CEOBSE, PSL amount, %, sub-targets), camelsc_rating (year, grade), cbs_gl_interface_batch (direction, period, hash, reconciliation result)</w:t>
      </w:r>
    </w:p>
    <w:p>
      <w:pPr>
        <w:numPr>
          <w:ilvl w:val="1"/>
          <w:numId w:val="2147"/>
        </w:numPr>
        <w:pStyle w:val="Compact"/>
      </w:pPr>
      <w:r>
        <w:rPr>
          <w:bCs/>
          <w:b/>
        </w:rPr>
        <w:t xml:space="preserve">Microfinance (IP4):</w:t>
      </w:r>
      <w:r>
        <w:t xml:space="preserve"> </w:t>
      </w:r>
      <w:r>
        <w:t xml:space="preserve">household (applicant, annual income, assessment method, evidence, assessed_at), household_member (relationship, earner flag, identifiers), household_obligation_test (inputs, bureau report ids, monthly obligations, income, ratio, cap, result, rule version), mfin_guardrail_check (lender count, indebtedness, 60-DPD test, result), jlg_group (state, centre, leaders), jlg_group_member, centre (designated place with geo, day, time, frequency), cgt_session (day, trainer, attendance, geo-photo), grt_assessment (supervisor, score, coercion screen, house-visit evidence), centre_meeting (state SCHEDULED/OPENED/CLOSED_IN_FIELD/SYNCED/RECONCILED/VARIANCE_OPEN/POSTED/CLOSED/NOT_HELD, closing_system FINBYX/UDOFIN, check-in geo and fence result, not-held reason, attendance), collection_sheet (expected per member, frozen_at), field_receipt (serial, previous hash, device signature, payer, amount, mode UPI/CASH, time, geo), field_device_batch (device, signature, serial range, clock drift, status), sync_conflict (record, field value, server value, rule applied), receipt_cancellation (receipt, reason, supervisor, before-handover flag), non_appearance_counter (member, consecutive misses, last meeting), lsp_cash_collection_opinion (RE, product, opinion document hash, recorded_by, valid_from; GR-7G-14), cash_in_transit_balance (officer, amount), cash_handover (dual sign-off, receipted, handed over, cash variance), cash_variance_exception (reviewer, closure), upi_instalment_qr (loan, instalment, reference, status), third_party_payment_consent (payer, beneficiary loan, amount, revoked_at), shg (members, bank account, office bearers, state, promoting institution), shg_member_attribution, shg_grading (parameters, score, grade), shg_register_entry (meeting/savings/internal loan), death_claim (states, intimation time, insurer, claim number, settled amount, excess, refund due and paid), field_event_checklist (State law, items, result, agent); mfi_loan_card (v1.3) reused</w:t>
      </w:r>
    </w:p>
    <w:p>
      <w:pPr>
        <w:numPr>
          <w:ilvl w:val="1"/>
          <w:numId w:val="2147"/>
        </w:numPr>
        <w:pStyle w:val="Compact"/>
      </w:pPr>
      <w:r>
        <w:rPr>
          <w:bCs/>
          <w:b/>
        </w:rPr>
        <w:t xml:space="preserve">ARCs (IP5):</w:t>
      </w:r>
      <w:r>
        <w:t xml:space="preserve"> </w:t>
      </w:r>
      <w:r>
        <w:t xml:space="preserve">arc_acquisition (state incl. DROPPED/LOST, seller, sponsor-link flag, due-diligence start and end, route auction/bilateral, price), arc_trust (scheme, trustee, bank account, offer-document waterfall), trust_ledger_entry, security_receipt extended (ISIN, scheme, class, face value, units), sr_holding (QB holder, units), sr_transfer (QB check), sr_rating (agency, date, recovery range), sr_nav (as-of, range low and high, NAV), arc_self_investment_check (transferors’ holding, total SRs, required, actual), arc_fee_accrual (NAV base, rate, accrual, reversal date), arc_clock (planning end, realisation end, extension resolution), arc_resolution_measure (type, debt-to-assets %, SR-holder consent %, IAC review), iac_review, arc_settlement (amount, NPV, realisable value, fraud or wilful-default flag, route, approvals, Board quarterly report), possession_disclosure (month, published_at), qb_attestation (basis, date, per-purchase related-party declaration)</w:t>
      </w:r>
    </w:p>
    <w:p>
      <w:pPr>
        <w:numPr>
          <w:ilvl w:val="1"/>
          <w:numId w:val="2147"/>
        </w:numPr>
        <w:pStyle w:val="Compact"/>
      </w:pPr>
      <w:r>
        <w:rPr>
          <w:bCs/>
          <w:b/>
        </w:rPr>
        <w:t xml:space="preserve">IFSC (IP6):</w:t>
      </w:r>
      <w:r>
        <w:t xml:space="preserve"> </w:t>
      </w:r>
      <w:r>
        <w:t xml:space="preserve">ifsc_activity_registration (class core/non-core/GRCTC, activities, SPV permission), ifsc_department (firewall group, users), fx_revaluation_run (date, rates, result), fema_basis (counterparty, basis ECB/LRS/ODI/other, legal sign-off), accounting_framework_confirmation (framework IFRS/Ind AS, auditor confirmation evidence)</w:t>
      </w:r>
    </w:p>
    <w:p>
      <w:pPr>
        <w:numPr>
          <w:ilvl w:val="0"/>
          <w:numId w:val="2132"/>
        </w:numPr>
        <w:pStyle w:val="Compact"/>
      </w:pPr>
      <w:r>
        <w:rPr>
          <w:bCs/>
          <w:b/>
        </w:rPr>
        <w:t xml:space="preserve">Added in v1.5 (Part 7H — investments, treasury and capital markets):</w:t>
      </w:r>
    </w:p>
    <w:p>
      <w:pPr>
        <w:numPr>
          <w:ilvl w:val="1"/>
          <w:numId w:val="2148"/>
        </w:numPr>
        <w:pStyle w:val="Compact"/>
      </w:pPr>
      <w:r>
        <w:rPr>
          <w:bCs/>
          <w:b/>
        </w:rPr>
        <w:t xml:space="preserve">Masters and data (IV1):</w:t>
      </w:r>
      <w:r>
        <w:t xml:space="preserve"> </w:t>
      </w:r>
      <w:r>
        <w:t xml:space="preserve">security_master extended (debt terms, fund terms, AIF category and unit class, REIT/InvIT trust, INV category, CME line, market-cap bucket), issuer (CIN, LEI, PAN, group, related-party, sponsor link, debtor_company_flag with computed_at), market_data_licence (source, scope view/internal/redistribution, start, expiry, evidence), price_snapshot extended (source rank, stale flag, override approver), market_cap_list_version (period, effective date, file hash), market_cap_assignment, business_model_assessment (portfolio, model, evidence), sppi_assessment (checklist answers, result), investment_classification (regime Ind AS/AS, class, FVOCI election, purpose, approver, locked_at)</w:t>
      </w:r>
    </w:p>
    <w:p>
      <w:pPr>
        <w:numPr>
          <w:ilvl w:val="1"/>
          <w:numId w:val="2148"/>
        </w:numPr>
        <w:pStyle w:val="Compact"/>
      </w:pPr>
      <w:r>
        <w:rPr>
          <w:bCs/>
          <w:b/>
        </w:rPr>
        <w:t xml:space="preserve">Trading and operations (IV2):</w:t>
      </w:r>
      <w:r>
        <w:t xml:space="preserve"> </w:t>
      </w:r>
      <w:r>
        <w:t xml:space="preserve">order_ticket (state incl. PENDING_APPROVAL/REJECTED_BY_CHECK/EXPIRED, dealer, approver, DoA ref, validity, price limit, purpose, snapshot time), pre_trade_check_result (check, type hard/soft, inputs, rule version, result, override), restricted_list_check (order, issuer, list-entry reference hash only, result, checked_at; no UPSI content), wall_exception_approval (order, counsel opinion ref, CCO approval), broker (master, empanelment, channels), broker_release_record (channel, recording ref, broker order number, time), contract_note (file hash, version, supersedes, charges), contract_note_match (order, method, tolerance result), broker_error_exception (excess quantity, price breach, resolution CFO-accepted/broker-reversed), trade_reversal (original trade, reason, update_seq), trade (TradeBooked ref), settlement_obligation, settlement_exception, tax_lot, otc_bond_report (execution time, report time, reference, late flag), demat_statement_import, holding_recon_break (type, owner, ageing), corporate_action_event (type, ex, record and payment dates, source), ca_entitlement, ca_exception</w:t>
      </w:r>
    </w:p>
    <w:p>
      <w:pPr>
        <w:numPr>
          <w:ilvl w:val="1"/>
          <w:numId w:val="2148"/>
        </w:numPr>
        <w:pStyle w:val="Compact"/>
      </w:pPr>
      <w:r>
        <w:rPr>
          <w:bCs/>
          <w:b/>
        </w:rPr>
        <w:t xml:space="preserve">IPO (IV3):</w:t>
      </w:r>
      <w:r>
        <w:t xml:space="preserve"> </w:t>
      </w:r>
      <w:r>
        <w:t xml:space="preserve">ipo_issue (segment, exchange, price band, lot, quotas, dates), qib_attestation (test, audited net worth, legal sign-off, valid_to), ipo_application (category, amount, ASBA reference, state incl. WITHDRAWN/ISSUE_WITHDRAWN/ISSUE_FAILED), ipo_allotment, lock_in_record (type anchor/pre-IPO, quantity, end date), sme_diligence_checklist</w:t>
      </w:r>
    </w:p>
    <w:p>
      <w:pPr>
        <w:numPr>
          <w:ilvl w:val="1"/>
          <w:numId w:val="2148"/>
        </w:numPr>
        <w:pStyle w:val="Compact"/>
      </w:pPr>
      <w:r>
        <w:rPr>
          <w:bCs/>
          <w:b/>
        </w:rPr>
        <w:t xml:space="preserve">Funds, REIT/InvIT and SRs (IV4):</w:t>
      </w:r>
      <w:r>
        <w:t xml:space="preserve"> </w:t>
      </w:r>
      <w:r>
        <w:t xml:space="preserve">aif_commitment (scheme, corpus, commitment, regime LEGACY_2023/AIF_DIR_2025, elected_at, unit class), re_aggregate_attestation (date, RE share %), aif_drawdown, aif_distribution (income and capital components), aif_capital_account_statement, aif_portfolio_file (quarter, hash, verified flag), aif_lookthrough_result (debtor, own share, base, direct exposure, provision), aif_exit_clock (legacy), reit_invit_holding, unit_distribution (components, tax tags), sr_investment (holding, own-transfer link, carrying-value method), sr_valuation extended (NAV value, NBV at transfer, notional-provision floor, Government-guarantee flag, result)</w:t>
      </w:r>
    </w:p>
    <w:p>
      <w:pPr>
        <w:numPr>
          <w:ilvl w:val="1"/>
          <w:numId w:val="2148"/>
        </w:numPr>
        <w:pStyle w:val="Compact"/>
      </w:pPr>
      <w:r>
        <w:rPr>
          <w:bCs/>
          <w:b/>
        </w:rPr>
        <w:t xml:space="preserve">Valuation, accounting and limits (IV5):</w:t>
      </w:r>
      <w:r>
        <w:t xml:space="preserve"> </w:t>
      </w:r>
      <w:r>
        <w:t xml:space="preserve">valuation_run, position_valuation (method, price source, fair-value level, value; PositionValued ref), category_depreciation (INV category, cost, market, depreciation), fair_value_input (level 3 model, inputs, valuer), investment_ecl_stage, investment_limit (type, formula, basis), investment_limit_result (InvestmentLimitBreached ref), derivative_permission (instrument, entity condition, purpose, basis), hedge_link, arbitrage_enablement (Board policy, legal opinion, CCO approval, RBI position ref), margin_ledger, cic_test_run (tests, values, results), cic_registration_trigger, grmc_meeting, type_i_test_run, deregistration_pack (documents, PRAVAAH reference, CoR surrender)</w:t>
      </w:r>
    </w:p>
    <w:p>
      <w:pPr>
        <w:numPr>
          <w:ilvl w:val="1"/>
          <w:numId w:val="2148"/>
        </w:numPr>
        <w:pStyle w:val="Compact"/>
      </w:pPr>
      <w:r>
        <w:rPr>
          <w:bCs/>
          <w:b/>
        </w:rPr>
        <w:t xml:space="preserve">Fund customers (IV6):</w:t>
      </w:r>
      <w:r>
        <w:t xml:space="preserve"> </w:t>
      </w:r>
      <w:r>
        <w:t xml:space="preserve">fund_vehicle (structure, AIF category, LVF, AI-only), fund_scheme, fund_investor (KYC reference, accreditation), fund_commitment, capital_call, fund_distribution, carry_waterfall, nav_record (ISIN, valuation date, depository upload due and done), aif_concentration_check, fund_leverage_check, demat_exception, sebi_filing_instance (type, period, due, SI Portal acknowledgement), re_investor_share_tracker, re_lookthrough_file</w:t>
      </w:r>
    </w:p>
    <w:p>
      <w:pPr>
        <w:numPr>
          <w:ilvl w:val="1"/>
          <w:numId w:val="2148"/>
        </w:numPr>
        <w:pStyle w:val="Compact"/>
      </w:pPr>
      <w:r>
        <w:rPr>
          <w:bCs/>
          <w:b/>
        </w:rPr>
        <w:t xml:space="preserve">Securitisation servicing and transfers (IV7):</w:t>
      </w:r>
      <w:r>
        <w:t xml:space="preserve"> </w:t>
      </w:r>
      <w:r>
        <w:t xml:space="preserve">securitisation_txn extended (state incl. ELIGIBILITY_FAILED/ABANDONED, replenishment period end, trigger set, CAP para 28 legal opinion ref), trust_collection_ledger (held-in-trust balances), sweep_instruction, commingling_alert, waterfall_definition (version, priority list), waterfall_run (inputs, outputs, deficiency ledgers), payout_instruction (ServicerRemittanceMade ref), servicer_report, investor_report (InvestorReportPublished ref), replenishment_purchase (eligibility result, funding source), early_amortisation_trigger (definition, threshold, status), clean_up_call_request (outstanding %, valuation evidence, approval), derecognition_assessment (CAP 27 conditions, capital flag, Ind AS flag), servicer_replacement_pack, transfer_counterparty_check (lender type, para 12(4) result), co_lending_partner_validation (partner type, licence evidence, valid_to)</w:t>
      </w:r>
    </w:p>
    <w:p>
      <w:pPr>
        <w:numPr>
          <w:ilvl w:val="1"/>
          <w:numId w:val="2148"/>
        </w:numPr>
        <w:pStyle w:val="Compact"/>
      </w:pPr>
      <w:r>
        <w:rPr>
          <w:bCs/>
          <w:b/>
        </w:rPr>
        <w:t xml:space="preserve">Supersedes or extends existing entities:</w:t>
      </w:r>
      <w:r>
        <w:t xml:space="preserve"> </w:t>
      </w:r>
      <w:r>
        <w:t xml:space="preserve">entity_regulatory_profile becomes the NBFC sub-profile of institution_profile; v1.2 investment_security, investment_holding, investment_valuation and aif_lookthrough migrate to security_master, tax_lot, position_valuation and aif_lookthrough_result; v1.3 security_receipt, sr_valuation and securitisation_txn are extended, not replaced; loan_transfer (v1.3) is reused for stressed-loan purchases with role transferee and the 6-month lock; cla_agreement (v1.3/v1.4) gains a co_lending_partner_validation link; servicer_remittance and trust_account (R13) are fed by payout_instruction and trust_collection_ledger.</w:t>
      </w:r>
    </w:p>
    <w:p>
      <w:r>
        <w:pict>
          <v:rect style="width:0;height:1.5pt" o:hralign="center" o:hrstd="t" o:hr="t"/>
        </w:pict>
      </w:r>
    </w:p>
    <w:bookmarkEnd w:id="892"/>
    <w:bookmarkStart w:id="898" w:name="appendix-e-revision-log"/>
    <w:p>
      <w:pPr>
        <w:pStyle w:val="Heading1"/>
      </w:pPr>
      <w:r>
        <w:t xml:space="preserve">APPENDIX E — REVISION LOG</w:t>
      </w:r>
    </w:p>
    <w:bookmarkStart w:id="893" w:name="e.1-v1.0-v1.1-18-october-2026"/>
    <w:p>
      <w:pPr>
        <w:pStyle w:val="Heading2"/>
      </w:pPr>
      <w:r>
        <w:t xml:space="preserve">E.1 v1.0 → v1.1 (18 October 2026)</w:t>
      </w:r>
    </w:p>
    <w:p>
      <w:pPr>
        <w:pStyle w:val="FirstParagraph"/>
      </w:pPr>
      <w:r>
        <w:t xml:space="preserve">v1.1 corrects the errors found in an independent regulatory and technical review of v1.0. Claude Code must follow v1.1. The v1.0 statements listed below are withdrawn.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62"/>
        <w:gridCol w:w="1242"/>
        <w:gridCol w:w="3676"/>
        <w:gridCol w:w="3858"/>
      </w:tblGrid>
      <w:tr>
        <w:trPr>
          <w:tblHeader w:val="true"/>
          <w:tblHeader w:val="true"/>
        </w:trPr>
        <w:tc>
          <w:tcPr>
            <w:tcW w:w="862" w:type="dxa"/>
            <w:shd w:val="clear" w:color="auto" w:fill="1F3A5F"/>
          </w:tcPr>
          <w:p>
            <w:pPr>
              <w:pStyle w:val="Compact"/>
              <w:spacing w:after="40"/>
              <w:jc w:val="left"/>
            </w:pPr>
            <w:r>
              <w:rPr>
                <w:b/>
                <w:color w:val="FFFFFF"/>
                <w:sz w:val="18"/>
              </w:rPr>
              <w:t xml:space="preserve">#</w:t>
            </w:r>
          </w:p>
        </w:tc>
        <w:tc>
          <w:tcPr>
            <w:tcW w:w="1242" w:type="dxa"/>
            <w:shd w:val="clear" w:color="auto" w:fill="1F3A5F"/>
          </w:tcPr>
          <w:p>
            <w:pPr>
              <w:pStyle w:val="Compact"/>
              <w:spacing w:after="40"/>
              <w:jc w:val="left"/>
            </w:pPr>
            <w:r>
              <w:rPr>
                <w:b/>
                <w:color w:val="FFFFFF"/>
                <w:sz w:val="18"/>
              </w:rPr>
              <w:t xml:space="preserve">Area</w:t>
            </w:r>
          </w:p>
        </w:tc>
        <w:tc>
          <w:tcPr>
            <w:tcW w:w="3676" w:type="dxa"/>
            <w:shd w:val="clear" w:color="auto" w:fill="1F3A5F"/>
          </w:tcPr>
          <w:p>
            <w:pPr>
              <w:pStyle w:val="Compact"/>
              <w:spacing w:after="40"/>
              <w:jc w:val="left"/>
            </w:pPr>
            <w:r>
              <w:rPr>
                <w:b/>
                <w:color w:val="FFFFFF"/>
                <w:sz w:val="18"/>
              </w:rPr>
              <w:t xml:space="preserve">v1.0 statement (withdrawn)</w:t>
            </w:r>
          </w:p>
        </w:tc>
        <w:tc>
          <w:tcPr>
            <w:tcW w:w="3858" w:type="dxa"/>
            <w:shd w:val="clear" w:color="auto" w:fill="1F3A5F"/>
          </w:tcPr>
          <w:p>
            <w:pPr>
              <w:pStyle w:val="Compact"/>
              <w:spacing w:after="40"/>
              <w:jc w:val="left"/>
            </w:pPr>
            <w:r>
              <w:rPr>
                <w:b/>
                <w:color w:val="FFFFFF"/>
                <w:sz w:val="18"/>
              </w:rPr>
              <w:t xml:space="preserve">v1.1 correction</w:t>
            </w:r>
          </w:p>
        </w:tc>
      </w:tr>
      <w:tr>
        <w:tc>
          <w:tcPr>
            <w:tcW w:w="862" w:type="dxa"/>
          </w:tcPr>
          <w:p>
            <w:pPr>
              <w:pStyle w:val="Compact"/>
              <w:spacing w:after="40"/>
              <w:jc w:val="left"/>
            </w:pPr>
            <w:r>
              <w:rPr>
                <w:sz w:val="18"/>
              </w:rPr>
              <w:t xml:space="preserve">1</w:t>
            </w:r>
          </w:p>
        </w:tc>
        <w:tc>
          <w:tcPr>
            <w:tcW w:w="1242" w:type="dxa"/>
          </w:tcPr>
          <w:p>
            <w:pPr>
              <w:pStyle w:val="Compact"/>
              <w:spacing w:after="40"/>
              <w:jc w:val="left"/>
            </w:pPr>
            <w:r>
              <w:rPr>
                <w:sz w:val="18"/>
              </w:rPr>
              <w:t xml:space="preserve">Usage</w:t>
            </w:r>
          </w:p>
        </w:tc>
        <w:tc>
          <w:tcPr>
            <w:tcW w:w="3676" w:type="dxa"/>
          </w:tcPr>
          <w:p>
            <w:pPr>
              <w:pStyle w:val="Compact"/>
              <w:spacing w:after="40"/>
              <w:jc w:val="left"/>
            </w:pPr>
            <w:r>
              <w:rPr>
                <w:sz w:val="18"/>
              </w:rPr>
              <w:t xml:space="preserve">Paste Parts 1–13; save the prompt after approval</w:t>
            </w:r>
          </w:p>
        </w:tc>
        <w:tc>
          <w:tcPr>
            <w:tcW w:w="3858" w:type="dxa"/>
          </w:tcPr>
          <w:p>
            <w:pPr>
              <w:pStyle w:val="Compact"/>
              <w:spacing w:after="40"/>
              <w:jc w:val="left"/>
            </w:pPr>
            <w:r>
              <w:rPr>
                <w:sz w:val="18"/>
              </w:rPr>
              <w:t xml:space="preserve">Commit the whole file (including the appendices) as</w:t>
            </w:r>
            <w:r>
              <w:rPr>
                <w:sz w:val="18"/>
              </w:rPr>
              <w:t xml:space="preserve"> </w:t>
            </w:r>
            <w:r>
              <w:rPr>
                <w:rStyle w:val="VerbatimChar"/>
                <w:sz w:val="18"/>
              </w:rPr>
              <w:t xml:space="preserve">docs/00-master-prompt.md</w:t>
            </w:r>
            <w:r>
              <w:rPr>
                <w:sz w:val="18"/>
              </w:rPr>
              <w:t xml:space="preserve"> </w:t>
            </w:r>
            <w:r>
              <w:rPr>
                <w:sz w:val="18"/>
              </w:rPr>
              <w:t xml:space="preserve">before Session 1. Phase 0 reads it from the repository</w:t>
            </w:r>
          </w:p>
        </w:tc>
      </w:tr>
      <w:tr>
        <w:tc>
          <w:tcPr>
            <w:tcW w:w="862" w:type="dxa"/>
          </w:tcPr>
          <w:p>
            <w:pPr>
              <w:pStyle w:val="Compact"/>
              <w:spacing w:after="40"/>
              <w:jc w:val="left"/>
            </w:pPr>
            <w:r>
              <w:rPr>
                <w:sz w:val="18"/>
              </w:rPr>
              <w:t xml:space="preserve">2</w:t>
            </w:r>
          </w:p>
        </w:tc>
        <w:tc>
          <w:tcPr>
            <w:tcW w:w="1242" w:type="dxa"/>
          </w:tcPr>
          <w:p>
            <w:pPr>
              <w:pStyle w:val="Compact"/>
              <w:spacing w:after="40"/>
              <w:jc w:val="left"/>
            </w:pPr>
            <w:r>
              <w:rPr>
                <w:sz w:val="18"/>
              </w:rPr>
              <w:t xml:space="preserve">KFS</w:t>
            </w:r>
          </w:p>
        </w:tc>
        <w:tc>
          <w:tcPr>
            <w:tcW w:w="3676" w:type="dxa"/>
          </w:tcPr>
          <w:p>
            <w:pPr>
              <w:pStyle w:val="Compact"/>
              <w:spacing w:after="40"/>
              <w:jc w:val="left"/>
            </w:pPr>
            <w:r>
              <w:rPr>
                <w:sz w:val="18"/>
              </w:rPr>
              <w:t xml:space="preserve">3/1 working-day</w:t>
            </w:r>
            <w:r>
              <w:rPr>
                <w:sz w:val="18"/>
              </w:rPr>
              <w:t xml:space="preserve"> </w:t>
            </w:r>
            <w:r>
              <w:rPr>
                <w:sz w:val="18"/>
              </w:rPr>
              <w:t xml:space="preserve">“</w:t>
            </w:r>
            <w:r>
              <w:rPr>
                <w:sz w:val="18"/>
              </w:rPr>
              <w:t xml:space="preserve">consideration period before execution</w:t>
            </w:r>
            <w:r>
              <w:rPr>
                <w:sz w:val="18"/>
              </w:rPr>
              <w:t xml:space="preserve">”</w:t>
            </w:r>
          </w:p>
        </w:tc>
        <w:tc>
          <w:tcPr>
            <w:tcW w:w="3858" w:type="dxa"/>
          </w:tcPr>
          <w:p>
            <w:pPr>
              <w:pStyle w:val="Compact"/>
              <w:spacing w:after="40"/>
              <w:jc w:val="left"/>
            </w:pPr>
            <w:r>
              <w:rPr>
                <w:sz w:val="18"/>
              </w:rPr>
              <w:t xml:space="preserve">KFS</w:t>
            </w:r>
            <w:r>
              <w:rPr>
                <w:sz w:val="18"/>
              </w:rPr>
              <w:t xml:space="preserve"> </w:t>
            </w:r>
            <w:r>
              <w:rPr>
                <w:bCs/>
                <w:b/>
                <w:sz w:val="18"/>
              </w:rPr>
              <w:t xml:space="preserve">validity</w:t>
            </w:r>
            <w:r>
              <w:rPr>
                <w:sz w:val="18"/>
              </w:rPr>
              <w:t xml:space="preserve"> </w:t>
            </w:r>
            <w:r>
              <w:rPr>
                <w:sz w:val="18"/>
              </w:rPr>
              <w:t xml:space="preserve">period under RBC para 29(2): the lender is bound for ≥ 3 working days (≥ 1 if tenor &lt; 7 days). It is not a waiting period</w:t>
            </w:r>
          </w:p>
        </w:tc>
      </w:tr>
      <w:tr>
        <w:tc>
          <w:tcPr>
            <w:tcW w:w="862" w:type="dxa"/>
          </w:tcPr>
          <w:p>
            <w:pPr>
              <w:pStyle w:val="Compact"/>
              <w:spacing w:after="40"/>
              <w:jc w:val="left"/>
            </w:pPr>
            <w:r>
              <w:rPr>
                <w:sz w:val="18"/>
              </w:rPr>
              <w:t xml:space="preserve">3</w:t>
            </w:r>
          </w:p>
        </w:tc>
        <w:tc>
          <w:tcPr>
            <w:tcW w:w="1242" w:type="dxa"/>
          </w:tcPr>
          <w:p>
            <w:pPr>
              <w:pStyle w:val="Compact"/>
              <w:spacing w:after="40"/>
              <w:jc w:val="left"/>
            </w:pPr>
            <w:r>
              <w:rPr>
                <w:sz w:val="18"/>
              </w:rPr>
              <w:t xml:space="preserve">COB</w:t>
            </w:r>
          </w:p>
        </w:tc>
        <w:tc>
          <w:tcPr>
            <w:tcW w:w="3676" w:type="dxa"/>
          </w:tcPr>
          <w:p>
            <w:pPr>
              <w:pStyle w:val="Compact"/>
              <w:spacing w:after="40"/>
              <w:jc w:val="left"/>
            </w:pPr>
            <w:r>
              <w:rPr>
                <w:sz w:val="18"/>
              </w:rPr>
              <w:t xml:space="preserve">Accruals before borrower-level NPA classification; interest recalculation after accruals</w:t>
            </w:r>
          </w:p>
        </w:tc>
        <w:tc>
          <w:tcPr>
            <w:tcW w:w="3858" w:type="dxa"/>
          </w:tcPr>
          <w:p>
            <w:pPr>
              <w:pStyle w:val="Compact"/>
              <w:spacing w:after="40"/>
              <w:jc w:val="left"/>
            </w:pPr>
            <w:r>
              <w:rPr>
                <w:sz w:val="18"/>
              </w:rPr>
              <w:t xml:space="preserve">Two-pass COB with a cross-loan classification barrier. Income derecognition happens before accrual on accounts that turn NPA</w:t>
            </w:r>
          </w:p>
        </w:tc>
      </w:tr>
      <w:tr>
        <w:tc>
          <w:tcPr>
            <w:tcW w:w="862" w:type="dxa"/>
          </w:tcPr>
          <w:p>
            <w:pPr>
              <w:pStyle w:val="Compact"/>
              <w:spacing w:after="40"/>
              <w:jc w:val="left"/>
            </w:pPr>
            <w:r>
              <w:rPr>
                <w:sz w:val="18"/>
              </w:rPr>
              <w:t xml:space="preserve">4</w:t>
            </w:r>
          </w:p>
        </w:tc>
        <w:tc>
          <w:tcPr>
            <w:tcW w:w="1242" w:type="dxa"/>
          </w:tcPr>
          <w:p>
            <w:pPr>
              <w:pStyle w:val="Compact"/>
              <w:spacing w:after="40"/>
              <w:jc w:val="left"/>
            </w:pPr>
            <w:r>
              <w:rPr>
                <w:sz w:val="18"/>
              </w:rPr>
              <w:t xml:space="preserve">Hosting</w:t>
            </w:r>
          </w:p>
        </w:tc>
        <w:tc>
          <w:tcPr>
            <w:tcW w:w="3676" w:type="dxa"/>
          </w:tcPr>
          <w:p>
            <w:pPr>
              <w:pStyle w:val="Compact"/>
              <w:spacing w:after="40"/>
              <w:jc w:val="left"/>
            </w:pPr>
            <w:r>
              <w:rPr>
                <w:sz w:val="18"/>
              </w:rPr>
              <w:t xml:space="preserve">Railway</w:t>
            </w:r>
            <w:r>
              <w:rPr>
                <w:sz w:val="18"/>
              </w:rPr>
              <w:t xml:space="preserve"> </w:t>
            </w:r>
            <w:r>
              <w:rPr>
                <w:sz w:val="18"/>
              </w:rPr>
              <w:t xml:space="preserve">“</w:t>
            </w:r>
            <w:r>
              <w:rPr>
                <w:sz w:val="18"/>
              </w:rPr>
              <w:t xml:space="preserve">Mumbai region</w:t>
            </w:r>
            <w:r>
              <w:rPr>
                <w:sz w:val="18"/>
              </w:rPr>
              <w:t xml:space="preserve">”</w:t>
            </w:r>
          </w:p>
        </w:tc>
        <w:tc>
          <w:tcPr>
            <w:tcW w:w="3858" w:type="dxa"/>
          </w:tcPr>
          <w:p>
            <w:pPr>
              <w:pStyle w:val="Compact"/>
              <w:spacing w:after="40"/>
              <w:jc w:val="left"/>
            </w:pPr>
            <w:r>
              <w:rPr>
                <w:sz w:val="18"/>
              </w:rPr>
              <w:t xml:space="preserve">Railway has no India region: synthetic data only. Real data only on India-region hosts. All SaaS sub-processors must pass a residency check</w:t>
            </w:r>
          </w:p>
        </w:tc>
      </w:tr>
      <w:tr>
        <w:tc>
          <w:tcPr>
            <w:tcW w:w="862" w:type="dxa"/>
          </w:tcPr>
          <w:p>
            <w:pPr>
              <w:pStyle w:val="Compact"/>
              <w:spacing w:after="40"/>
              <w:jc w:val="left"/>
            </w:pPr>
            <w:r>
              <w:rPr>
                <w:sz w:val="18"/>
              </w:rPr>
              <w:t xml:space="preserve">5</w:t>
            </w:r>
          </w:p>
        </w:tc>
        <w:tc>
          <w:tcPr>
            <w:tcW w:w="1242" w:type="dxa"/>
          </w:tcPr>
          <w:p>
            <w:pPr>
              <w:pStyle w:val="Compact"/>
              <w:spacing w:after="40"/>
              <w:jc w:val="left"/>
            </w:pPr>
            <w:r>
              <w:rPr>
                <w:sz w:val="18"/>
              </w:rPr>
              <w:t xml:space="preserve">Aadhaar vault</w:t>
            </w:r>
          </w:p>
        </w:tc>
        <w:tc>
          <w:tcPr>
            <w:tcW w:w="3676" w:type="dxa"/>
          </w:tcPr>
          <w:p>
            <w:pPr>
              <w:pStyle w:val="Compact"/>
              <w:spacing w:after="40"/>
              <w:jc w:val="left"/>
            </w:pPr>
            <w:r>
              <w:rPr>
                <w:sz w:val="18"/>
              </w:rPr>
              <w:t xml:space="preserve">UIDAI Circular 8 of 2025</w:t>
            </w:r>
          </w:p>
        </w:tc>
        <w:tc>
          <w:tcPr>
            <w:tcW w:w="3858" w:type="dxa"/>
          </w:tcPr>
          <w:p>
            <w:pPr>
              <w:pStyle w:val="Compact"/>
              <w:spacing w:after="40"/>
              <w:jc w:val="left"/>
            </w:pPr>
            <w:r>
              <w:rPr>
                <w:sz w:val="18"/>
              </w:rPr>
              <w:t xml:space="preserve">UIDAI Circular No. 14 of 2025 (4 Nov 2025): on-premises, GCC or ADV-as-a-service only; FIPS 140-2 L3+ HSM</w:t>
            </w:r>
          </w:p>
        </w:tc>
      </w:tr>
      <w:tr>
        <w:tc>
          <w:tcPr>
            <w:tcW w:w="862" w:type="dxa"/>
          </w:tcPr>
          <w:p>
            <w:pPr>
              <w:pStyle w:val="Compact"/>
              <w:spacing w:after="40"/>
              <w:jc w:val="left"/>
            </w:pPr>
            <w:r>
              <w:rPr>
                <w:sz w:val="18"/>
              </w:rPr>
              <w:t xml:space="preserve">6</w:t>
            </w:r>
          </w:p>
        </w:tc>
        <w:tc>
          <w:tcPr>
            <w:tcW w:w="1242" w:type="dxa"/>
          </w:tcPr>
          <w:p>
            <w:pPr>
              <w:pStyle w:val="Compact"/>
              <w:spacing w:after="40"/>
              <w:jc w:val="left"/>
            </w:pPr>
            <w:r>
              <w:rPr>
                <w:sz w:val="18"/>
              </w:rPr>
              <w:t xml:space="preserve">Recovery agents</w:t>
            </w:r>
          </w:p>
        </w:tc>
        <w:tc>
          <w:tcPr>
            <w:tcW w:w="3676" w:type="dxa"/>
          </w:tcPr>
          <w:p>
            <w:pPr>
              <w:pStyle w:val="Compact"/>
              <w:spacing w:after="40"/>
              <w:jc w:val="left"/>
            </w:pPr>
            <w:r>
              <w:rPr>
                <w:sz w:val="18"/>
              </w:rPr>
              <w:t xml:space="preserve">“</w:t>
            </w:r>
            <w:r>
              <w:rPr>
                <w:sz w:val="18"/>
              </w:rPr>
              <w:t xml:space="preserve">Recovery-agent amendment</w:t>
            </w:r>
            <w:r>
              <w:rPr>
                <w:sz w:val="18"/>
              </w:rPr>
              <w:t xml:space="preserve">”</w:t>
            </w:r>
            <w:r>
              <w:rPr>
                <w:sz w:val="18"/>
              </w:rPr>
              <w:t xml:space="preserve">; visits only after failed contact attempts; MFI window 09:00–18:00 shown as permanent</w:t>
            </w:r>
          </w:p>
        </w:tc>
        <w:tc>
          <w:tcPr>
            <w:tcW w:w="3858" w:type="dxa"/>
          </w:tcPr>
          <w:p>
            <w:pPr>
              <w:pStyle w:val="Compact"/>
              <w:spacing w:after="40"/>
              <w:jc w:val="left"/>
            </w:pPr>
            <w:r>
              <w:rPr>
                <w:sz w:val="18"/>
              </w:rPr>
              <w:t xml:space="preserve">RBC Third Amendment Directions, 2026 (paras 100A–100AB, from 1 Jan 2027). Visit conditions per para 100Y(5). Call recording per para 100P. Effective-dated MFI window. Separate marketing window 09:00–19:00 (para 101N(4))</w:t>
            </w:r>
          </w:p>
        </w:tc>
      </w:tr>
      <w:tr>
        <w:tc>
          <w:tcPr>
            <w:tcW w:w="862" w:type="dxa"/>
          </w:tcPr>
          <w:p>
            <w:pPr>
              <w:pStyle w:val="Compact"/>
              <w:spacing w:after="40"/>
              <w:jc w:val="left"/>
            </w:pPr>
            <w:r>
              <w:rPr>
                <w:sz w:val="18"/>
              </w:rPr>
              <w:t xml:space="preserve">7</w:t>
            </w:r>
          </w:p>
        </w:tc>
        <w:tc>
          <w:tcPr>
            <w:tcW w:w="1242" w:type="dxa"/>
          </w:tcPr>
          <w:p>
            <w:pPr>
              <w:pStyle w:val="Compact"/>
              <w:spacing w:after="40"/>
              <w:jc w:val="left"/>
            </w:pPr>
            <w:r>
              <w:rPr>
                <w:sz w:val="18"/>
              </w:rPr>
              <w:t xml:space="preserve">Gold loans</w:t>
            </w:r>
          </w:p>
        </w:tc>
        <w:tc>
          <w:tcPr>
            <w:tcW w:w="3676" w:type="dxa"/>
          </w:tcPr>
          <w:p>
            <w:pPr>
              <w:pStyle w:val="Compact"/>
              <w:spacing w:after="40"/>
              <w:jc w:val="left"/>
            </w:pPr>
            <w:r>
              <w:rPr>
                <w:sz w:val="18"/>
              </w:rPr>
              <w:t xml:space="preserve">Release and auction cited to Credit Facilities Ch IV; release cited to RBC 35–41</w:t>
            </w:r>
          </w:p>
        </w:tc>
        <w:tc>
          <w:tcPr>
            <w:tcW w:w="3858" w:type="dxa"/>
          </w:tcPr>
          <w:p>
            <w:pPr>
              <w:pStyle w:val="Compact"/>
              <w:spacing w:after="40"/>
              <w:jc w:val="left"/>
            </w:pPr>
            <w:r>
              <w:rPr>
                <w:sz w:val="18"/>
              </w:rPr>
              <w:t xml:space="preserve">LTV, caps and bullet loans: CF Ch IV. Release and auction: RBC Ch III.G (paras 58, 60–66)</w:t>
            </w:r>
          </w:p>
        </w:tc>
      </w:tr>
      <w:tr>
        <w:tc>
          <w:tcPr>
            <w:tcW w:w="862" w:type="dxa"/>
          </w:tcPr>
          <w:p>
            <w:pPr>
              <w:pStyle w:val="Compact"/>
              <w:spacing w:after="40"/>
              <w:jc w:val="left"/>
            </w:pPr>
            <w:r>
              <w:rPr>
                <w:sz w:val="18"/>
              </w:rPr>
              <w:t xml:space="preserve">8</w:t>
            </w:r>
          </w:p>
        </w:tc>
        <w:tc>
          <w:tcPr>
            <w:tcW w:w="1242" w:type="dxa"/>
          </w:tcPr>
          <w:p>
            <w:pPr>
              <w:pStyle w:val="Compact"/>
              <w:spacing w:after="40"/>
              <w:jc w:val="left"/>
            </w:pPr>
            <w:r>
              <w:rPr>
                <w:sz w:val="18"/>
              </w:rPr>
              <w:t xml:space="preserve">Loans against securities</w:t>
            </w:r>
          </w:p>
        </w:tc>
        <w:tc>
          <w:tcPr>
            <w:tcW w:w="3676" w:type="dxa"/>
          </w:tcPr>
          <w:p>
            <w:pPr>
              <w:pStyle w:val="Compact"/>
              <w:spacing w:after="40"/>
              <w:jc w:val="left"/>
            </w:pPr>
            <w:r>
              <w:rPr>
                <w:sz w:val="18"/>
              </w:rPr>
              <w:t xml:space="preserve">50% LTV and Group 1 for all NBFC LAS (shares, bonds, MF)</w:t>
            </w:r>
          </w:p>
        </w:tc>
        <w:tc>
          <w:tcPr>
            <w:tcW w:w="3858" w:type="dxa"/>
          </w:tcPr>
          <w:p>
            <w:pPr>
              <w:pStyle w:val="Compact"/>
              <w:spacing w:after="40"/>
              <w:jc w:val="left"/>
            </w:pPr>
            <w:r>
              <w:rPr>
                <w:sz w:val="18"/>
              </w:rPr>
              <w:t xml:space="preserve">Applies only to loans against shares by NBFCs with assets ≥ ₹100 crore (CF para 106), with conditions. Para 105 prohibits loans against own shares</w:t>
            </w:r>
          </w:p>
        </w:tc>
      </w:tr>
      <w:tr>
        <w:tc>
          <w:tcPr>
            <w:tcW w:w="862" w:type="dxa"/>
          </w:tcPr>
          <w:p>
            <w:pPr>
              <w:pStyle w:val="Compact"/>
              <w:spacing w:after="40"/>
              <w:jc w:val="left"/>
            </w:pPr>
            <w:r>
              <w:rPr>
                <w:sz w:val="18"/>
              </w:rPr>
              <w:t xml:space="preserve">9</w:t>
            </w:r>
          </w:p>
        </w:tc>
        <w:tc>
          <w:tcPr>
            <w:tcW w:w="1242" w:type="dxa"/>
          </w:tcPr>
          <w:p>
            <w:pPr>
              <w:pStyle w:val="Compact"/>
              <w:spacing w:after="40"/>
              <w:jc w:val="left"/>
            </w:pPr>
            <w:r>
              <w:rPr>
                <w:sz w:val="18"/>
              </w:rPr>
              <w:t xml:space="preserve">CIC</w:t>
            </w:r>
          </w:p>
        </w:tc>
        <w:tc>
          <w:tcPr>
            <w:tcW w:w="3676" w:type="dxa"/>
          </w:tcPr>
          <w:p>
            <w:pPr>
              <w:pStyle w:val="Compact"/>
              <w:spacing w:after="40"/>
              <w:jc w:val="left"/>
            </w:pPr>
            <w:r>
              <w:rPr>
                <w:sz w:val="18"/>
              </w:rPr>
              <w:t xml:space="preserve">Rework rejected data</w:t>
            </w:r>
            <w:r>
              <w:rPr>
                <w:sz w:val="18"/>
              </w:rPr>
              <w:t xml:space="preserve"> </w:t>
            </w:r>
            <w:r>
              <w:rPr>
                <w:sz w:val="18"/>
              </w:rPr>
              <w:t xml:space="preserve">“</w:t>
            </w:r>
            <w:r>
              <w:rPr>
                <w:sz w:val="18"/>
              </w:rPr>
              <w:t xml:space="preserve">within 7 days</w:t>
            </w:r>
            <w:r>
              <w:rPr>
                <w:sz w:val="18"/>
              </w:rPr>
              <w:t xml:space="preserve">”</w:t>
            </w:r>
            <w:r>
              <w:rPr>
                <w:sz w:val="18"/>
              </w:rPr>
              <w:t xml:space="preserve">; dates marked as unverified</w:t>
            </w:r>
          </w:p>
        </w:tc>
        <w:tc>
          <w:tcPr>
            <w:tcW w:w="3858" w:type="dxa"/>
          </w:tcPr>
          <w:p>
            <w:pPr>
              <w:pStyle w:val="Compact"/>
              <w:spacing w:after="40"/>
              <w:jc w:val="left"/>
            </w:pPr>
            <w:r>
              <w:rPr>
                <w:sz w:val="18"/>
              </w:rPr>
              <w:t xml:space="preserve">Effective-dated: fortnightly with 7-day rejection rework until 30 Jun 2026; reference dates 9/16/23/month-end and rework by the next submission from 1 Jul 2026 (RBI/DOR/2025-26/117). ₹100/day after 30 days, with a 21-day lender leg</w:t>
            </w:r>
          </w:p>
        </w:tc>
      </w:tr>
      <w:tr>
        <w:tc>
          <w:tcPr>
            <w:tcW w:w="862" w:type="dxa"/>
          </w:tcPr>
          <w:p>
            <w:pPr>
              <w:pStyle w:val="Compact"/>
              <w:spacing w:after="40"/>
              <w:jc w:val="left"/>
            </w:pPr>
            <w:r>
              <w:rPr>
                <w:sz w:val="18"/>
              </w:rPr>
              <w:t xml:space="preserve">10</w:t>
            </w:r>
          </w:p>
        </w:tc>
        <w:tc>
          <w:tcPr>
            <w:tcW w:w="1242" w:type="dxa"/>
          </w:tcPr>
          <w:p>
            <w:pPr>
              <w:pStyle w:val="Compact"/>
              <w:spacing w:after="40"/>
              <w:jc w:val="left"/>
            </w:pPr>
            <w:r>
              <w:rPr>
                <w:sz w:val="18"/>
              </w:rPr>
              <w:t xml:space="preserve">eSign</w:t>
            </w:r>
          </w:p>
        </w:tc>
        <w:tc>
          <w:tcPr>
            <w:tcW w:w="3676" w:type="dxa"/>
          </w:tcPr>
          <w:p>
            <w:pPr>
              <w:pStyle w:val="Compact"/>
              <w:spacing w:after="40"/>
              <w:jc w:val="left"/>
            </w:pPr>
            <w:r>
              <w:rPr>
                <w:sz w:val="18"/>
              </w:rPr>
              <w:t xml:space="preserve">DP note listed as eSign-capable</w:t>
            </w:r>
          </w:p>
        </w:tc>
        <w:tc>
          <w:tcPr>
            <w:tcW w:w="3858" w:type="dxa"/>
          </w:tcPr>
          <w:p>
            <w:pPr>
              <w:pStyle w:val="Compact"/>
              <w:spacing w:after="40"/>
              <w:jc w:val="left"/>
            </w:pPr>
            <w:r>
              <w:rPr>
                <w:sz w:val="18"/>
              </w:rPr>
              <w:t xml:space="preserve">DP notes (negotiable instruments) and powers of attorney go to the physical-execution path (IT Act First Schedule)</w:t>
            </w:r>
          </w:p>
        </w:tc>
      </w:tr>
      <w:tr>
        <w:tc>
          <w:tcPr>
            <w:tcW w:w="862" w:type="dxa"/>
          </w:tcPr>
          <w:p>
            <w:pPr>
              <w:pStyle w:val="Compact"/>
              <w:spacing w:after="40"/>
              <w:jc w:val="left"/>
            </w:pPr>
            <w:r>
              <w:rPr>
                <w:sz w:val="18"/>
              </w:rPr>
              <w:t xml:space="preserve">11</w:t>
            </w:r>
          </w:p>
        </w:tc>
        <w:tc>
          <w:tcPr>
            <w:tcW w:w="1242" w:type="dxa"/>
          </w:tcPr>
          <w:p>
            <w:pPr>
              <w:pStyle w:val="Compact"/>
              <w:spacing w:after="40"/>
              <w:jc w:val="left"/>
            </w:pPr>
            <w:r>
              <w:rPr>
                <w:sz w:val="18"/>
              </w:rPr>
              <w:t xml:space="preserve">GST</w:t>
            </w:r>
          </w:p>
        </w:tc>
        <w:tc>
          <w:tcPr>
            <w:tcW w:w="3676" w:type="dxa"/>
          </w:tcPr>
          <w:p>
            <w:pPr>
              <w:pStyle w:val="Compact"/>
              <w:spacing w:after="40"/>
              <w:jc w:val="left"/>
            </w:pPr>
            <w:r>
              <w:rPr>
                <w:sz w:val="18"/>
              </w:rPr>
              <w:t xml:space="preserve">Penal charges</w:t>
            </w:r>
            <w:r>
              <w:rPr>
                <w:sz w:val="18"/>
              </w:rPr>
              <w:t xml:space="preserve"> </w:t>
            </w:r>
            <w:r>
              <w:rPr>
                <w:sz w:val="18"/>
              </w:rPr>
              <w:t xml:space="preserve">“</w:t>
            </w:r>
            <w:r>
              <w:rPr>
                <w:sz w:val="18"/>
              </w:rPr>
              <w:t xml:space="preserve">CBIC circular Jan 2025 [VERIFY]</w:t>
            </w:r>
            <w:r>
              <w:rPr>
                <w:sz w:val="18"/>
              </w:rPr>
              <w:t xml:space="preserve">”</w:t>
            </w:r>
            <w:r>
              <w:rPr>
                <w:sz w:val="18"/>
              </w:rPr>
              <w:t xml:space="preserve">; e-invoicing unclear</w:t>
            </w:r>
          </w:p>
        </w:tc>
        <w:tc>
          <w:tcPr>
            <w:tcW w:w="3858" w:type="dxa"/>
          </w:tcPr>
          <w:p>
            <w:pPr>
              <w:pStyle w:val="Compact"/>
              <w:spacing w:after="40"/>
              <w:jc w:val="left"/>
            </w:pPr>
            <w:r>
              <w:rPr>
                <w:sz w:val="18"/>
              </w:rPr>
              <w:t xml:space="preserve">No GST on penal charges: CBIC Circular 245/02/2025-GST, 28 Jan 2025. NBFCs are exempt from e-invoicing (Notification 13/2020-CT)</w:t>
            </w:r>
          </w:p>
        </w:tc>
      </w:tr>
      <w:tr>
        <w:tc>
          <w:tcPr>
            <w:tcW w:w="862" w:type="dxa"/>
          </w:tcPr>
          <w:p>
            <w:pPr>
              <w:pStyle w:val="Compact"/>
              <w:spacing w:after="40"/>
              <w:jc w:val="left"/>
            </w:pPr>
            <w:r>
              <w:rPr>
                <w:sz w:val="18"/>
              </w:rPr>
              <w:t xml:space="preserve">12</w:t>
            </w:r>
          </w:p>
        </w:tc>
        <w:tc>
          <w:tcPr>
            <w:tcW w:w="1242" w:type="dxa"/>
          </w:tcPr>
          <w:p>
            <w:pPr>
              <w:pStyle w:val="Compact"/>
              <w:spacing w:after="40"/>
              <w:jc w:val="left"/>
            </w:pPr>
            <w:r>
              <w:rPr>
                <w:sz w:val="18"/>
              </w:rPr>
              <w:t xml:space="preserve">Fraud</w:t>
            </w:r>
          </w:p>
        </w:tc>
        <w:tc>
          <w:tcPr>
            <w:tcW w:w="3676" w:type="dxa"/>
          </w:tcPr>
          <w:p>
            <w:pPr>
              <w:pStyle w:val="Compact"/>
              <w:spacing w:after="40"/>
              <w:jc w:val="left"/>
            </w:pPr>
            <w:r>
              <w:rPr>
                <w:sz w:val="18"/>
              </w:rPr>
              <w:t xml:space="preserve">“</w:t>
            </w:r>
            <w:r>
              <w:rPr>
                <w:sz w:val="18"/>
              </w:rPr>
              <w:t xml:space="preserve">EWS/RFA</w:t>
            </w:r>
            <w:r>
              <w:rPr>
                <w:sz w:val="18"/>
              </w:rPr>
              <w:t xml:space="preserve">”</w:t>
            </w:r>
          </w:p>
        </w:tc>
        <w:tc>
          <w:tcPr>
            <w:tcW w:w="3858" w:type="dxa"/>
          </w:tcPr>
          <w:p>
            <w:pPr>
              <w:pStyle w:val="Compact"/>
              <w:spacing w:after="40"/>
              <w:jc w:val="left"/>
            </w:pPr>
            <w:r>
              <w:rPr>
                <w:sz w:val="18"/>
              </w:rPr>
              <w:t xml:space="preserve">NBFC Directions use EWS (UL/ML) and have no RFA. Applies to UL, ML and BL ≥ ₹500 crore. Show-cause ≥ 21 days. FMR within 14 days</w:t>
            </w:r>
          </w:p>
        </w:tc>
      </w:tr>
      <w:tr>
        <w:tc>
          <w:tcPr>
            <w:tcW w:w="862" w:type="dxa"/>
          </w:tcPr>
          <w:p>
            <w:pPr>
              <w:pStyle w:val="Compact"/>
              <w:spacing w:after="40"/>
              <w:jc w:val="left"/>
            </w:pPr>
            <w:r>
              <w:rPr>
                <w:sz w:val="18"/>
              </w:rPr>
              <w:t xml:space="preserve">13</w:t>
            </w:r>
          </w:p>
        </w:tc>
        <w:tc>
          <w:tcPr>
            <w:tcW w:w="1242" w:type="dxa"/>
          </w:tcPr>
          <w:p>
            <w:pPr>
              <w:pStyle w:val="Compact"/>
              <w:spacing w:after="40"/>
              <w:jc w:val="left"/>
            </w:pPr>
            <w:r>
              <w:rPr>
                <w:sz w:val="18"/>
              </w:rPr>
              <w:t xml:space="preserve">CFSS</w:t>
            </w:r>
          </w:p>
        </w:tc>
        <w:tc>
          <w:tcPr>
            <w:tcW w:w="3676" w:type="dxa"/>
          </w:tcPr>
          <w:p>
            <w:pPr>
              <w:pStyle w:val="Compact"/>
              <w:spacing w:after="40"/>
              <w:jc w:val="left"/>
            </w:pPr>
            <w:r>
              <w:rPr>
                <w:sz w:val="18"/>
              </w:rPr>
              <w:t xml:space="preserve">Not mentioned</w:t>
            </w:r>
          </w:p>
        </w:tc>
        <w:tc>
          <w:tcPr>
            <w:tcW w:w="3858" w:type="dxa"/>
          </w:tcPr>
          <w:p>
            <w:pPr>
              <w:pStyle w:val="Compact"/>
              <w:spacing w:after="40"/>
              <w:jc w:val="left"/>
            </w:pPr>
            <w:r>
              <w:rPr>
                <w:sz w:val="18"/>
              </w:rPr>
              <w:t xml:space="preserve">Core Financial Services Solution mandate (Misc. Supervisory Directions 2026, Ch II) added as a product requirement</w:t>
            </w:r>
          </w:p>
        </w:tc>
      </w:tr>
      <w:tr>
        <w:tc>
          <w:tcPr>
            <w:tcW w:w="862" w:type="dxa"/>
          </w:tcPr>
          <w:p>
            <w:pPr>
              <w:pStyle w:val="Compact"/>
              <w:spacing w:after="40"/>
              <w:jc w:val="left"/>
            </w:pPr>
            <w:r>
              <w:rPr>
                <w:sz w:val="18"/>
              </w:rPr>
              <w:t xml:space="preserve">14</w:t>
            </w:r>
          </w:p>
        </w:tc>
        <w:tc>
          <w:tcPr>
            <w:tcW w:w="1242" w:type="dxa"/>
          </w:tcPr>
          <w:p>
            <w:pPr>
              <w:pStyle w:val="Compact"/>
              <w:spacing w:after="40"/>
              <w:jc w:val="left"/>
            </w:pPr>
            <w:r>
              <w:rPr>
                <w:sz w:val="18"/>
              </w:rPr>
              <w:t xml:space="preserve">Revolving credit</w:t>
            </w:r>
          </w:p>
        </w:tc>
        <w:tc>
          <w:tcPr>
            <w:tcW w:w="3676" w:type="dxa"/>
          </w:tcPr>
          <w:p>
            <w:pPr>
              <w:pStyle w:val="Compact"/>
              <w:spacing w:after="40"/>
              <w:jc w:val="left"/>
            </w:pPr>
            <w:r>
              <w:rPr>
                <w:sz w:val="18"/>
              </w:rPr>
              <w:t xml:space="preserve">Flagged for Product 12 only</w:t>
            </w:r>
          </w:p>
        </w:tc>
        <w:tc>
          <w:tcPr>
            <w:tcW w:w="3858" w:type="dxa"/>
          </w:tcPr>
          <w:p>
            <w:pPr>
              <w:pStyle w:val="Compact"/>
              <w:spacing w:after="40"/>
              <w:jc w:val="left"/>
            </w:pPr>
            <w:r>
              <w:rPr>
                <w:sz w:val="18"/>
              </w:rPr>
              <w:t xml:space="preserve">The Aug 2026 draft affects Products 1, 3, 7 and 12. Build term-loan structures by default</w:t>
            </w:r>
          </w:p>
        </w:tc>
      </w:tr>
      <w:tr>
        <w:tc>
          <w:tcPr>
            <w:tcW w:w="862" w:type="dxa"/>
          </w:tcPr>
          <w:p>
            <w:pPr>
              <w:pStyle w:val="Compact"/>
              <w:spacing w:after="40"/>
              <w:jc w:val="left"/>
            </w:pPr>
            <w:r>
              <w:rPr>
                <w:sz w:val="18"/>
              </w:rPr>
              <w:t xml:space="preserve">15</w:t>
            </w:r>
          </w:p>
        </w:tc>
        <w:tc>
          <w:tcPr>
            <w:tcW w:w="1242" w:type="dxa"/>
          </w:tcPr>
          <w:p>
            <w:pPr>
              <w:pStyle w:val="Compact"/>
              <w:spacing w:after="40"/>
              <w:jc w:val="left"/>
            </w:pPr>
            <w:r>
              <w:rPr>
                <w:sz w:val="18"/>
              </w:rPr>
              <w:t xml:space="preserve">Co-lending</w:t>
            </w:r>
          </w:p>
        </w:tc>
        <w:tc>
          <w:tcPr>
            <w:tcW w:w="3676" w:type="dxa"/>
          </w:tcPr>
          <w:p>
            <w:pPr>
              <w:pStyle w:val="Compact"/>
              <w:spacing w:after="40"/>
              <w:jc w:val="left"/>
            </w:pPr>
            <w:r>
              <w:rPr>
                <w:sz w:val="18"/>
              </w:rPr>
              <w:t xml:space="preserve">“</w:t>
            </w:r>
            <w:r>
              <w:rPr>
                <w:sz w:val="18"/>
              </w:rPr>
              <w:t xml:space="preserve">Interest split by hurdle rate</w:t>
            </w:r>
            <w:r>
              <w:rPr>
                <w:sz w:val="18"/>
              </w:rPr>
              <w:t xml:space="preserve">”</w:t>
            </w:r>
            <w:r>
              <w:rPr>
                <w:sz w:val="18"/>
              </w:rPr>
              <w:t xml:space="preserve">; escrow unspecified</w:t>
            </w:r>
          </w:p>
        </w:tc>
        <w:tc>
          <w:tcPr>
            <w:tcW w:w="3858" w:type="dxa"/>
          </w:tcPr>
          <w:p>
            <w:pPr>
              <w:pStyle w:val="Compact"/>
              <w:spacing w:after="40"/>
              <w:jc w:val="left"/>
            </w:pPr>
            <w:r>
              <w:rPr>
                <w:sz w:val="18"/>
              </w:rPr>
              <w:t xml:space="preserve">Single blended (funding-share-weighted) rate. Escrow held with a bank</w:t>
            </w:r>
          </w:p>
        </w:tc>
      </w:tr>
      <w:tr>
        <w:tc>
          <w:tcPr>
            <w:tcW w:w="862" w:type="dxa"/>
          </w:tcPr>
          <w:p>
            <w:pPr>
              <w:pStyle w:val="Compact"/>
              <w:spacing w:after="40"/>
              <w:jc w:val="left"/>
            </w:pPr>
            <w:r>
              <w:rPr>
                <w:sz w:val="18"/>
              </w:rPr>
              <w:t xml:space="preserve">16</w:t>
            </w:r>
          </w:p>
        </w:tc>
        <w:tc>
          <w:tcPr>
            <w:tcW w:w="1242" w:type="dxa"/>
          </w:tcPr>
          <w:p>
            <w:pPr>
              <w:pStyle w:val="Compact"/>
              <w:spacing w:after="40"/>
              <w:jc w:val="left"/>
            </w:pPr>
            <w:r>
              <w:rPr>
                <w:sz w:val="18"/>
              </w:rPr>
              <w:t xml:space="preserve">Prepayment</w:t>
            </w:r>
          </w:p>
        </w:tc>
        <w:tc>
          <w:tcPr>
            <w:tcW w:w="3676" w:type="dxa"/>
          </w:tcPr>
          <w:p>
            <w:pPr>
              <w:pStyle w:val="Compact"/>
              <w:spacing w:after="40"/>
              <w:jc w:val="left"/>
            </w:pPr>
            <w:r>
              <w:rPr>
                <w:sz w:val="18"/>
              </w:rPr>
              <w:t xml:space="preserve">Para 34 only; layer rules unspecified</w:t>
            </w:r>
          </w:p>
        </w:tc>
        <w:tc>
          <w:tcPr>
            <w:tcW w:w="3858" w:type="dxa"/>
          </w:tcPr>
          <w:p>
            <w:pPr>
              <w:pStyle w:val="Compact"/>
              <w:spacing w:after="40"/>
              <w:jc w:val="left"/>
            </w:pPr>
            <w:r>
              <w:rPr>
                <w:sz w:val="18"/>
              </w:rPr>
              <w:t xml:space="preserve">Paras 33–34, with rules for all NBFCs, the Upper Layer and the Middle Layer (₹50 lakh)</w:t>
            </w:r>
          </w:p>
        </w:tc>
      </w:tr>
      <w:tr>
        <w:tc>
          <w:tcPr>
            <w:tcW w:w="862" w:type="dxa"/>
          </w:tcPr>
          <w:p>
            <w:pPr>
              <w:pStyle w:val="Compact"/>
              <w:spacing w:after="40"/>
              <w:jc w:val="left"/>
            </w:pPr>
            <w:r>
              <w:rPr>
                <w:sz w:val="18"/>
              </w:rPr>
              <w:t xml:space="preserve">17</w:t>
            </w:r>
          </w:p>
        </w:tc>
        <w:tc>
          <w:tcPr>
            <w:tcW w:w="1242" w:type="dxa"/>
          </w:tcPr>
          <w:p>
            <w:pPr>
              <w:pStyle w:val="Compact"/>
              <w:spacing w:after="40"/>
              <w:jc w:val="left"/>
            </w:pPr>
            <w:r>
              <w:rPr>
                <w:sz w:val="18"/>
              </w:rPr>
              <w:t xml:space="preserve">DLG</w:t>
            </w:r>
          </w:p>
        </w:tc>
        <w:tc>
          <w:tcPr>
            <w:tcW w:w="3676" w:type="dxa"/>
          </w:tcPr>
          <w:p>
            <w:pPr>
              <w:pStyle w:val="Compact"/>
              <w:spacing w:after="40"/>
              <w:jc w:val="left"/>
            </w:pPr>
            <w:r>
              <w:rPr>
                <w:sz w:val="18"/>
              </w:rPr>
              <w:t xml:space="preserve">5%</w:t>
            </w:r>
            <w:r>
              <w:rPr>
                <w:sz w:val="18"/>
              </w:rPr>
              <w:t xml:space="preserve"> </w:t>
            </w:r>
            <w:r>
              <w:rPr>
                <w:sz w:val="18"/>
              </w:rPr>
              <w:t xml:space="preserve">“</w:t>
            </w:r>
            <w:r>
              <w:rPr>
                <w:sz w:val="18"/>
              </w:rPr>
              <w:t xml:space="preserve">of covered portfolio</w:t>
            </w:r>
            <w:r>
              <w:rPr>
                <w:sz w:val="18"/>
              </w:rPr>
              <w:t xml:space="preserve">”</w:t>
            </w:r>
            <w:r>
              <w:rPr>
                <w:sz w:val="18"/>
              </w:rPr>
              <w:t xml:space="preserve">; paras unverified</w:t>
            </w:r>
          </w:p>
        </w:tc>
        <w:tc>
          <w:tcPr>
            <w:tcW w:w="3858" w:type="dxa"/>
          </w:tcPr>
          <w:p>
            <w:pPr>
              <w:pStyle w:val="Compact"/>
              <w:spacing w:after="40"/>
              <w:jc w:val="left"/>
            </w:pPr>
            <w:r>
              <w:rPr>
                <w:sz w:val="18"/>
              </w:rPr>
              <w:t xml:space="preserve">≤ 5% of the amount disbursed out of the portfolio (para 24). Invocation within 120 days (para 27). DLG term ≥ longest tenor</w:t>
            </w:r>
          </w:p>
        </w:tc>
      </w:tr>
      <w:tr>
        <w:tc>
          <w:tcPr>
            <w:tcW w:w="862" w:type="dxa"/>
          </w:tcPr>
          <w:p>
            <w:pPr>
              <w:pStyle w:val="Compact"/>
              <w:spacing w:after="40"/>
              <w:jc w:val="left"/>
            </w:pPr>
            <w:r>
              <w:rPr>
                <w:sz w:val="18"/>
              </w:rPr>
              <w:t xml:space="preserve">18</w:t>
            </w:r>
          </w:p>
        </w:tc>
        <w:tc>
          <w:tcPr>
            <w:tcW w:w="1242" w:type="dxa"/>
          </w:tcPr>
          <w:p>
            <w:pPr>
              <w:pStyle w:val="Compact"/>
              <w:spacing w:after="40"/>
              <w:jc w:val="left"/>
            </w:pPr>
            <w:r>
              <w:rPr>
                <w:sz w:val="18"/>
              </w:rPr>
              <w:t xml:space="preserve">Fineract</w:t>
            </w:r>
          </w:p>
        </w:tc>
        <w:tc>
          <w:tcPr>
            <w:tcW w:w="3676" w:type="dxa"/>
          </w:tcPr>
          <w:p>
            <w:pPr>
              <w:pStyle w:val="Compact"/>
              <w:spacing w:after="40"/>
              <w:jc w:val="left"/>
            </w:pPr>
            <w:r>
              <w:rPr>
                <w:sz w:val="18"/>
              </w:rPr>
              <w:t xml:space="preserve">Wrong strategy codes;</w:t>
            </w:r>
            <w:r>
              <w:rPr>
                <w:sz w:val="18"/>
              </w:rPr>
              <w:t xml:space="preserve"> </w:t>
            </w:r>
            <w:r>
              <w:rPr>
                <w:rStyle w:val="VerbatimChar"/>
                <w:sz w:val="18"/>
              </w:rPr>
              <w:t xml:space="preserve">rbi-india-strategy</w:t>
            </w:r>
            <w:r>
              <w:rPr>
                <w:sz w:val="18"/>
              </w:rPr>
              <w:t xml:space="preserve"> </w:t>
            </w:r>
            <w:r>
              <w:rPr>
                <w:sz w:val="18"/>
              </w:rPr>
              <w:t xml:space="preserve">as universal default; all reschedule strategies on all engines; partially disbursed ≠ Active; technical write-off = Closed;</w:t>
            </w:r>
            <w:r>
              <w:rPr>
                <w:sz w:val="18"/>
              </w:rPr>
              <w:t xml:space="preserve"> </w:t>
            </w:r>
            <w:r>
              <w:rPr>
                <w:sz w:val="18"/>
              </w:rPr>
              <w:t xml:space="preserve">“</w:t>
            </w:r>
            <w:r>
              <w:rPr>
                <w:sz w:val="18"/>
              </w:rPr>
              <w:t xml:space="preserve">reset</w:t>
            </w:r>
            <w:r>
              <w:rPr>
                <w:sz w:val="18"/>
              </w:rPr>
              <w:t xml:space="preserve">”</w:t>
            </w:r>
            <w:r>
              <w:rPr>
                <w:sz w:val="18"/>
              </w:rPr>
              <w:t xml:space="preserve"> </w:t>
            </w:r>
            <w:r>
              <w:rPr>
                <w:sz w:val="18"/>
              </w:rPr>
              <w:t xml:space="preserve">delinquency action; schema-per-tenant</w:t>
            </w:r>
          </w:p>
        </w:tc>
        <w:tc>
          <w:tcPr>
            <w:tcW w:w="3858" w:type="dxa"/>
          </w:tcPr>
          <w:p>
            <w:pPr>
              <w:pStyle w:val="Compact"/>
              <w:spacing w:after="40"/>
              <w:jc w:val="left"/>
            </w:pPr>
            <w:r>
              <w:rPr>
                <w:sz w:val="18"/>
              </w:rPr>
              <w:t xml:space="preserve">Codes corrected. RBI order also expressed as an advanced-allocation rule set. Engine constraints stated. Lifecycle corrected. Database-per-tenant. PostgreSQL 18</w:t>
            </w:r>
          </w:p>
        </w:tc>
      </w:tr>
      <w:tr>
        <w:tc>
          <w:tcPr>
            <w:tcW w:w="862" w:type="dxa"/>
          </w:tcPr>
          <w:p>
            <w:pPr>
              <w:pStyle w:val="Compact"/>
              <w:spacing w:after="40"/>
              <w:jc w:val="left"/>
            </w:pPr>
            <w:r>
              <w:rPr>
                <w:sz w:val="18"/>
              </w:rPr>
              <w:t xml:space="preserve">19</w:t>
            </w:r>
          </w:p>
        </w:tc>
        <w:tc>
          <w:tcPr>
            <w:tcW w:w="1242" w:type="dxa"/>
          </w:tcPr>
          <w:p>
            <w:pPr>
              <w:pStyle w:val="Compact"/>
              <w:spacing w:after="40"/>
              <w:jc w:val="left"/>
            </w:pPr>
            <w:r>
              <w:rPr>
                <w:sz w:val="18"/>
              </w:rPr>
              <w:t xml:space="preserve">Fineract oracle</w:t>
            </w:r>
          </w:p>
        </w:tc>
        <w:tc>
          <w:tcPr>
            <w:tcW w:w="3676" w:type="dxa"/>
          </w:tcPr>
          <w:p>
            <w:pPr>
              <w:pStyle w:val="Compact"/>
              <w:spacing w:after="40"/>
              <w:jc w:val="left"/>
            </w:pPr>
            <w:r>
              <w:rPr>
                <w:sz w:val="18"/>
              </w:rPr>
              <w:t xml:space="preserve">Run in CI on every PR</w:t>
            </w:r>
          </w:p>
        </w:tc>
        <w:tc>
          <w:tcPr>
            <w:tcW w:w="3858" w:type="dxa"/>
          </w:tcPr>
          <w:p>
            <w:pPr>
              <w:pStyle w:val="Compact"/>
              <w:spacing w:after="40"/>
              <w:jc w:val="left"/>
            </w:pPr>
            <w:r>
              <w:rPr>
                <w:sz w:val="18"/>
              </w:rPr>
              <w:t xml:space="preserve">Nightly or on-demand on a large runner. PR CI uses golden fixtures</w:t>
            </w:r>
          </w:p>
        </w:tc>
      </w:tr>
      <w:tr>
        <w:tc>
          <w:tcPr>
            <w:tcW w:w="862" w:type="dxa"/>
          </w:tcPr>
          <w:p>
            <w:pPr>
              <w:pStyle w:val="Compact"/>
              <w:spacing w:after="40"/>
              <w:jc w:val="left"/>
            </w:pPr>
            <w:r>
              <w:rPr>
                <w:sz w:val="18"/>
              </w:rPr>
              <w:t xml:space="preserve">20</w:t>
            </w:r>
          </w:p>
        </w:tc>
        <w:tc>
          <w:tcPr>
            <w:tcW w:w="1242" w:type="dxa"/>
          </w:tcPr>
          <w:p>
            <w:pPr>
              <w:pStyle w:val="Compact"/>
              <w:spacing w:after="40"/>
              <w:jc w:val="left"/>
            </w:pPr>
            <w:r>
              <w:rPr>
                <w:sz w:val="18"/>
              </w:rPr>
              <w:t xml:space="preserve">Money precision</w:t>
            </w:r>
          </w:p>
        </w:tc>
        <w:tc>
          <w:tcPr>
            <w:tcW w:w="3676" w:type="dxa"/>
          </w:tcPr>
          <w:p>
            <w:pPr>
              <w:pStyle w:val="Compact"/>
              <w:spacing w:after="40"/>
              <w:jc w:val="left"/>
            </w:pPr>
            <w:r>
              <w:rPr>
                <w:rStyle w:val="VerbatimChar"/>
                <w:sz w:val="18"/>
              </w:rPr>
              <w:t xml:space="preserve">NUMERIC(9,6)</w:t>
            </w:r>
            <w:r>
              <w:rPr>
                <w:sz w:val="18"/>
              </w:rPr>
              <w:t xml:space="preserve"> </w:t>
            </w:r>
            <w:r>
              <w:rPr>
                <w:sz w:val="18"/>
              </w:rPr>
              <w:t xml:space="preserve">rates; decimal.js defaults</w:t>
            </w:r>
          </w:p>
        </w:tc>
        <w:tc>
          <w:tcPr>
            <w:tcW w:w="3858" w:type="dxa"/>
          </w:tcPr>
          <w:p>
            <w:pPr>
              <w:pStyle w:val="Compact"/>
              <w:spacing w:after="40"/>
              <w:jc w:val="left"/>
            </w:pPr>
            <w:r>
              <w:rPr>
                <w:sz w:val="18"/>
              </w:rPr>
              <w:t xml:space="preserve">Rates</w:t>
            </w:r>
            <w:r>
              <w:rPr>
                <w:sz w:val="18"/>
              </w:rPr>
              <w:t xml:space="preserve"> </w:t>
            </w:r>
            <w:r>
              <w:rPr>
                <w:rStyle w:val="VerbatimChar"/>
                <w:sz w:val="18"/>
              </w:rPr>
              <w:t xml:space="preserve">NUMERIC(12,8)</w:t>
            </w:r>
            <w:r>
              <w:rPr>
                <w:sz w:val="18"/>
              </w:rPr>
              <w:t xml:space="preserve">; APR/EIR</w:t>
            </w:r>
            <w:r>
              <w:rPr>
                <w:sz w:val="18"/>
              </w:rPr>
              <w:t xml:space="preserve"> </w:t>
            </w:r>
            <w:r>
              <w:rPr>
                <w:rStyle w:val="VerbatimChar"/>
                <w:sz w:val="18"/>
              </w:rPr>
              <w:t xml:space="preserve">NUMERIC(14,10)</w:t>
            </w:r>
            <w:r>
              <w:rPr>
                <w:sz w:val="18"/>
              </w:rPr>
              <w:t xml:space="preserve">; decimal.js precision ≥ 40</w:t>
            </w:r>
          </w:p>
        </w:tc>
      </w:tr>
      <w:tr>
        <w:tc>
          <w:tcPr>
            <w:tcW w:w="862" w:type="dxa"/>
          </w:tcPr>
          <w:p>
            <w:pPr>
              <w:pStyle w:val="Compact"/>
              <w:spacing w:after="40"/>
              <w:jc w:val="left"/>
            </w:pPr>
            <w:r>
              <w:rPr>
                <w:sz w:val="18"/>
              </w:rPr>
              <w:t xml:space="preserve">21</w:t>
            </w:r>
          </w:p>
        </w:tc>
        <w:tc>
          <w:tcPr>
            <w:tcW w:w="1242" w:type="dxa"/>
          </w:tcPr>
          <w:p>
            <w:pPr>
              <w:pStyle w:val="Compact"/>
              <w:spacing w:after="40"/>
              <w:jc w:val="left"/>
            </w:pPr>
            <w:r>
              <w:rPr>
                <w:sz w:val="18"/>
              </w:rPr>
              <w:t xml:space="preserve">RLS</w:t>
            </w:r>
          </w:p>
        </w:tc>
        <w:tc>
          <w:tcPr>
            <w:tcW w:w="3676" w:type="dxa"/>
          </w:tcPr>
          <w:p>
            <w:pPr>
              <w:pStyle w:val="Compact"/>
              <w:spacing w:after="40"/>
              <w:jc w:val="left"/>
            </w:pPr>
            <w:r>
              <w:rPr>
                <w:sz w:val="18"/>
              </w:rPr>
              <w:t xml:space="preserve">RLS stated without enforcement details</w:t>
            </w:r>
          </w:p>
        </w:tc>
        <w:tc>
          <w:tcPr>
            <w:tcW w:w="3858" w:type="dxa"/>
          </w:tcPr>
          <w:p>
            <w:pPr>
              <w:pStyle w:val="Compact"/>
              <w:spacing w:after="40"/>
              <w:jc w:val="left"/>
            </w:pPr>
            <w:r>
              <w:rPr>
                <w:sz w:val="18"/>
              </w:rPr>
              <w:t xml:space="preserve">Non-owner role,</w:t>
            </w:r>
            <w:r>
              <w:rPr>
                <w:sz w:val="18"/>
              </w:rPr>
              <w:t xml:space="preserve"> </w:t>
            </w:r>
            <w:r>
              <w:rPr>
                <w:rStyle w:val="VerbatimChar"/>
                <w:sz w:val="18"/>
              </w:rPr>
              <w:t xml:space="preserve">FORCE ROW LEVEL SECURITY</w:t>
            </w:r>
            <w:r>
              <w:rPr>
                <w:sz w:val="18"/>
              </w:rPr>
              <w:t xml:space="preserve">,</w:t>
            </w:r>
            <w:r>
              <w:rPr>
                <w:sz w:val="18"/>
              </w:rPr>
              <w:t xml:space="preserve"> </w:t>
            </w:r>
            <w:r>
              <w:rPr>
                <w:rStyle w:val="VerbatimChar"/>
                <w:sz w:val="18"/>
              </w:rPr>
              <w:t xml:space="preserve">SET LOCAL</w:t>
            </w:r>
            <w:r>
              <w:rPr>
                <w:sz w:val="18"/>
              </w:rPr>
              <w:t xml:space="preserve"> </w:t>
            </w:r>
            <w:r>
              <w:rPr>
                <w:sz w:val="18"/>
              </w:rPr>
              <w:t xml:space="preserve">context, zero-rows test</w:t>
            </w:r>
          </w:p>
        </w:tc>
      </w:tr>
      <w:tr>
        <w:tc>
          <w:tcPr>
            <w:tcW w:w="862" w:type="dxa"/>
          </w:tcPr>
          <w:p>
            <w:pPr>
              <w:pStyle w:val="Compact"/>
              <w:spacing w:after="40"/>
              <w:jc w:val="left"/>
            </w:pPr>
            <w:r>
              <w:rPr>
                <w:sz w:val="18"/>
              </w:rPr>
              <w:t xml:space="preserve">22</w:t>
            </w:r>
          </w:p>
        </w:tc>
        <w:tc>
          <w:tcPr>
            <w:tcW w:w="1242" w:type="dxa"/>
          </w:tcPr>
          <w:p>
            <w:pPr>
              <w:pStyle w:val="Compact"/>
              <w:spacing w:after="40"/>
              <w:jc w:val="left"/>
            </w:pPr>
            <w:r>
              <w:rPr>
                <w:sz w:val="18"/>
              </w:rPr>
              <w:t xml:space="preserve">Roadmap</w:t>
            </w:r>
          </w:p>
        </w:tc>
        <w:tc>
          <w:tcPr>
            <w:tcW w:w="3676" w:type="dxa"/>
          </w:tcPr>
          <w:p>
            <w:pPr>
              <w:pStyle w:val="Compact"/>
              <w:spacing w:after="40"/>
              <w:jc w:val="left"/>
            </w:pPr>
            <w:r>
              <w:rPr>
                <w:sz w:val="18"/>
              </w:rPr>
              <w:t xml:space="preserve">Pilot launch depended on all 20 phases; field app and communications had no phase; Udofin connector late; SARFAESI before secured products</w:t>
            </w:r>
          </w:p>
        </w:tc>
        <w:tc>
          <w:tcPr>
            <w:tcW w:w="3858" w:type="dxa"/>
          </w:tcPr>
          <w:p>
            <w:pPr>
              <w:pStyle w:val="Compact"/>
              <w:spacing w:after="40"/>
              <w:jc w:val="left"/>
            </w:pPr>
            <w:r>
              <w:rPr>
                <w:sz w:val="18"/>
              </w:rPr>
              <w:t xml:space="preserve">Added Phases 3b, 8b, 8c and P (pilot go-live). SARFAESI, repossession and auction moved to Phase 17. Phases 17–20 split into separate instructions</w:t>
            </w:r>
          </w:p>
        </w:tc>
      </w:tr>
      <w:tr>
        <w:tc>
          <w:tcPr>
            <w:tcW w:w="862" w:type="dxa"/>
          </w:tcPr>
          <w:p>
            <w:pPr>
              <w:pStyle w:val="Compact"/>
              <w:spacing w:after="40"/>
              <w:jc w:val="left"/>
            </w:pPr>
            <w:r>
              <w:rPr>
                <w:sz w:val="18"/>
              </w:rPr>
              <w:t xml:space="preserve">23</w:t>
            </w:r>
          </w:p>
        </w:tc>
        <w:tc>
          <w:tcPr>
            <w:tcW w:w="1242" w:type="dxa"/>
          </w:tcPr>
          <w:p>
            <w:pPr>
              <w:pStyle w:val="Compact"/>
              <w:spacing w:after="40"/>
              <w:jc w:val="left"/>
            </w:pPr>
            <w:r>
              <w:rPr>
                <w:sz w:val="18"/>
              </w:rPr>
              <w:t xml:space="preserve">Licences</w:t>
            </w:r>
          </w:p>
        </w:tc>
        <w:tc>
          <w:tcPr>
            <w:tcW w:w="3676" w:type="dxa"/>
          </w:tcPr>
          <w:p>
            <w:pPr>
              <w:pStyle w:val="Compact"/>
              <w:spacing w:after="40"/>
              <w:jc w:val="left"/>
            </w:pPr>
            <w:r>
              <w:rPr>
                <w:sz w:val="18"/>
              </w:rPr>
              <w:t xml:space="preserve">AG Grid and Metabase embedding unqualified</w:t>
            </w:r>
          </w:p>
        </w:tc>
        <w:tc>
          <w:tcPr>
            <w:tcW w:w="3858" w:type="dxa"/>
          </w:tcPr>
          <w:p>
            <w:pPr>
              <w:pStyle w:val="Compact"/>
              <w:spacing w:after="40"/>
              <w:jc w:val="left"/>
            </w:pPr>
            <w:r>
              <w:rPr>
                <w:sz w:val="18"/>
              </w:rPr>
              <w:t xml:space="preserve">AG Grid Community or TanStack by default; Superset for embedded MIS; open-source JDM editor (not the GoRules BRMS)</w:t>
            </w:r>
          </w:p>
        </w:tc>
      </w:tr>
      <w:tr>
        <w:tc>
          <w:tcPr>
            <w:tcW w:w="862" w:type="dxa"/>
          </w:tcPr>
          <w:p>
            <w:pPr>
              <w:pStyle w:val="Compact"/>
              <w:spacing w:after="40"/>
              <w:jc w:val="left"/>
            </w:pPr>
            <w:r>
              <w:rPr>
                <w:sz w:val="18"/>
              </w:rPr>
              <w:t xml:space="preserve">24</w:t>
            </w:r>
          </w:p>
        </w:tc>
        <w:tc>
          <w:tcPr>
            <w:tcW w:w="1242" w:type="dxa"/>
          </w:tcPr>
          <w:p>
            <w:pPr>
              <w:pStyle w:val="Compact"/>
              <w:spacing w:after="40"/>
              <w:jc w:val="left"/>
            </w:pPr>
            <w:r>
              <w:rPr>
                <w:sz w:val="18"/>
              </w:rPr>
              <w:t xml:space="preserve">Coverage</w:t>
            </w:r>
          </w:p>
        </w:tc>
        <w:tc>
          <w:tcPr>
            <w:tcW w:w="3676" w:type="dxa"/>
          </w:tcPr>
          <w:p>
            <w:pPr>
              <w:pStyle w:val="Compact"/>
              <w:spacing w:after="40"/>
              <w:jc w:val="left"/>
            </w:pPr>
            <w:r>
              <w:rPr>
                <w:sz w:val="18"/>
              </w:rPr>
              <w:t xml:space="preserve">No audit of the current Finbyx product; no competitor benchmark; grievance host switch missing; no SSO or app distribution</w:t>
            </w:r>
          </w:p>
        </w:tc>
        <w:tc>
          <w:tcPr>
            <w:tcW w:w="3858" w:type="dxa"/>
          </w:tcPr>
          <w:p>
            <w:pPr>
              <w:pStyle w:val="Compact"/>
              <w:spacing w:after="40"/>
              <w:jc w:val="left"/>
            </w:pPr>
            <w:r>
              <w:rPr>
                <w:sz w:val="18"/>
              </w:rPr>
              <w:t xml:space="preserve">Added to Phase 0, M14, M19 and M22, with a concurrency target</w:t>
            </w:r>
          </w:p>
        </w:tc>
      </w:tr>
      <w:tr>
        <w:tc>
          <w:tcPr>
            <w:tcW w:w="862" w:type="dxa"/>
          </w:tcPr>
          <w:p>
            <w:pPr>
              <w:pStyle w:val="Compact"/>
              <w:spacing w:after="40"/>
              <w:jc w:val="left"/>
            </w:pPr>
            <w:r>
              <w:rPr>
                <w:sz w:val="18"/>
              </w:rPr>
              <w:t xml:space="preserve">25</w:t>
            </w:r>
          </w:p>
        </w:tc>
        <w:tc>
          <w:tcPr>
            <w:tcW w:w="1242" w:type="dxa"/>
          </w:tcPr>
          <w:p>
            <w:pPr>
              <w:pStyle w:val="Compact"/>
              <w:spacing w:after="40"/>
              <w:jc w:val="left"/>
            </w:pPr>
            <w:r>
              <w:rPr>
                <w:sz w:val="18"/>
              </w:rPr>
              <w:t xml:space="preserve">Other</w:t>
            </w:r>
          </w:p>
        </w:tc>
        <w:tc>
          <w:tcPr>
            <w:tcW w:w="3676" w:type="dxa"/>
          </w:tcPr>
          <w:p>
            <w:pPr>
              <w:pStyle w:val="Compact"/>
              <w:spacing w:after="40"/>
              <w:jc w:val="left"/>
            </w:pPr>
            <w:r>
              <w:rPr>
                <w:sz w:val="18"/>
              </w:rPr>
              <w:t xml:space="preserve">DPDP breach</w:t>
            </w:r>
            <w:r>
              <w:rPr>
                <w:sz w:val="18"/>
              </w:rPr>
              <w:t xml:space="preserve"> </w:t>
            </w:r>
            <w:r>
              <w:rPr>
                <w:sz w:val="18"/>
              </w:rPr>
              <w:t xml:space="preserve">“</w:t>
            </w:r>
            <w:r>
              <w:rPr>
                <w:sz w:val="18"/>
              </w:rPr>
              <w:t xml:space="preserve">Board within 72 hours</w:t>
            </w:r>
            <w:r>
              <w:rPr>
                <w:sz w:val="18"/>
              </w:rPr>
              <w:t xml:space="preserve">”</w:t>
            </w:r>
            <w:r>
              <w:rPr>
                <w:sz w:val="18"/>
              </w:rPr>
              <w:t xml:space="preserve">; Schedule III Div III only; Cyber VAPT/DR shown for all NBFCs; NSDL e-Gov naming</w:t>
            </w:r>
          </w:p>
        </w:tc>
        <w:tc>
          <w:tcPr>
            <w:tcW w:w="3858" w:type="dxa"/>
          </w:tcPr>
          <w:p>
            <w:pPr>
              <w:pStyle w:val="Compact"/>
              <w:spacing w:after="40"/>
              <w:jc w:val="left"/>
            </w:pPr>
            <w:r>
              <w:rPr>
                <w:sz w:val="18"/>
              </w:rPr>
              <w:t xml:space="preserve">Intimation without delay, then the 72-hour report. Division I for non-Ind AS entities. Cyber obligations by chapter. Protean naming</w:t>
            </w:r>
          </w:p>
        </w:tc>
      </w:tr>
    </w:tbl>
    <w:p>
      <w:r>
        <w:pict>
          <v:rect style="width:0;height:1.5pt" o:hralign="center" o:hrstd="t" o:hr="t"/>
        </w:pict>
      </w:r>
    </w:p>
    <w:bookmarkEnd w:id="893"/>
    <w:bookmarkStart w:id="894" w:name="X03dc552fd23cd7c60426d7a3f83737b71bd87e9"/>
    <w:p>
      <w:pPr>
        <w:pStyle w:val="Heading2"/>
      </w:pPr>
      <w:r>
        <w:t xml:space="preserve">E.2 v1.1 → v1.2 (18 October 2026): official RBI texts supplied by the project owner</w:t>
      </w:r>
    </w:p>
    <w:p>
      <w:pPr>
        <w:pStyle w:val="FirstParagraph"/>
      </w:pPr>
      <w:r>
        <w:t xml:space="preserve">v1.2 checks the prompt against the official text of 15 Directions: CF 347, CIR 349, CRM 350, CON 351, INV 354, BR 342, ALM 355, FS 359, CLM 364, AA 368, CMP 460, CYB 461, DPS 462, FRM 463 and AUD 468. Part 8A is new and holds the paragraph-level requirements. The corrections to earlier text are: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82"/>
        <w:gridCol w:w="1458"/>
        <w:gridCol w:w="2527"/>
        <w:gridCol w:w="4571"/>
      </w:tblGrid>
      <w:tr>
        <w:trPr>
          <w:tblHeader w:val="true"/>
          <w:tblHeader w:val="true"/>
        </w:trPr>
        <w:tc>
          <w:tcPr>
            <w:tcW w:w="1082" w:type="dxa"/>
            <w:shd w:val="clear" w:color="auto" w:fill="1F3A5F"/>
          </w:tcPr>
          <w:p>
            <w:pPr>
              <w:pStyle w:val="Compact"/>
              <w:spacing w:after="40"/>
              <w:jc w:val="left"/>
            </w:pPr>
            <w:r>
              <w:rPr>
                <w:b/>
                <w:color w:val="FFFFFF"/>
                <w:sz w:val="18"/>
              </w:rPr>
              <w:t xml:space="preserve">#</w:t>
            </w:r>
          </w:p>
        </w:tc>
        <w:tc>
          <w:tcPr>
            <w:tcW w:w="1458" w:type="dxa"/>
            <w:shd w:val="clear" w:color="auto" w:fill="1F3A5F"/>
          </w:tcPr>
          <w:p>
            <w:pPr>
              <w:pStyle w:val="Compact"/>
              <w:spacing w:after="40"/>
              <w:jc w:val="left"/>
            </w:pPr>
            <w:r>
              <w:rPr>
                <w:b/>
                <w:color w:val="FFFFFF"/>
                <w:sz w:val="18"/>
              </w:rPr>
              <w:t xml:space="preserve">Area</w:t>
            </w:r>
          </w:p>
        </w:tc>
        <w:tc>
          <w:tcPr>
            <w:tcW w:w="2527" w:type="dxa"/>
            <w:shd w:val="clear" w:color="auto" w:fill="1F3A5F"/>
          </w:tcPr>
          <w:p>
            <w:pPr>
              <w:pStyle w:val="Compact"/>
              <w:spacing w:after="40"/>
              <w:jc w:val="left"/>
            </w:pPr>
            <w:r>
              <w:rPr>
                <w:b/>
                <w:color w:val="FFFFFF"/>
                <w:sz w:val="18"/>
              </w:rPr>
              <w:t xml:space="preserve">v1.1 statement (withdrawn)</w:t>
            </w:r>
          </w:p>
        </w:tc>
        <w:tc>
          <w:tcPr>
            <w:tcW w:w="4571" w:type="dxa"/>
            <w:shd w:val="clear" w:color="auto" w:fill="1F3A5F"/>
          </w:tcPr>
          <w:p>
            <w:pPr>
              <w:pStyle w:val="Compact"/>
              <w:spacing w:after="40"/>
              <w:jc w:val="left"/>
            </w:pPr>
            <w:r>
              <w:rPr>
                <w:b/>
                <w:color w:val="FFFFFF"/>
                <w:sz w:val="18"/>
              </w:rPr>
              <w:t xml:space="preserve">v1.2 correction (source)</w:t>
            </w:r>
          </w:p>
        </w:tc>
      </w:tr>
      <w:tr>
        <w:tc>
          <w:tcPr>
            <w:tcW w:w="1082" w:type="dxa"/>
          </w:tcPr>
          <w:p>
            <w:pPr>
              <w:pStyle w:val="Compact"/>
              <w:spacing w:after="40"/>
              <w:jc w:val="left"/>
            </w:pPr>
            <w:r>
              <w:rPr>
                <w:sz w:val="18"/>
              </w:rPr>
              <w:t xml:space="preserve">1</w:t>
            </w:r>
          </w:p>
        </w:tc>
        <w:tc>
          <w:tcPr>
            <w:tcW w:w="1458" w:type="dxa"/>
          </w:tcPr>
          <w:p>
            <w:pPr>
              <w:pStyle w:val="Compact"/>
              <w:spacing w:after="40"/>
              <w:jc w:val="left"/>
            </w:pPr>
            <w:r>
              <w:rPr>
                <w:sz w:val="18"/>
              </w:rPr>
              <w:t xml:space="preserve">Cash recovery</w:t>
            </w:r>
          </w:p>
        </w:tc>
        <w:tc>
          <w:tcPr>
            <w:tcW w:w="2527" w:type="dxa"/>
          </w:tcPr>
          <w:p>
            <w:pPr>
              <w:pStyle w:val="Compact"/>
              <w:spacing w:after="40"/>
              <w:jc w:val="left"/>
            </w:pPr>
            <w:r>
              <w:rPr>
                <w:sz w:val="18"/>
              </w:rPr>
              <w:t xml:space="preserve">Cash</w:t>
            </w:r>
            <w:r>
              <w:rPr>
                <w:sz w:val="18"/>
              </w:rPr>
              <w:t xml:space="preserve"> </w:t>
            </w:r>
            <w:r>
              <w:rPr>
                <w:sz w:val="18"/>
              </w:rPr>
              <w:t xml:space="preserve">“</w:t>
            </w:r>
            <w:r>
              <w:rPr>
                <w:sz w:val="18"/>
              </w:rPr>
              <w:t xml:space="preserve">must reach the lender’s account the same day</w:t>
            </w:r>
            <w:r>
              <w:rPr>
                <w:sz w:val="18"/>
              </w:rPr>
              <w:t xml:space="preserve">”</w:t>
            </w:r>
          </w:p>
        </w:tc>
        <w:tc>
          <w:tcPr>
            <w:tcW w:w="4571" w:type="dxa"/>
          </w:tcPr>
          <w:p>
            <w:pPr>
              <w:pStyle w:val="Compact"/>
              <w:spacing w:after="40"/>
              <w:jc w:val="left"/>
            </w:pPr>
            <w:r>
              <w:rPr>
                <w:sz w:val="18"/>
              </w:rPr>
              <w:t xml:space="preserve">Must be reflected in full</w:t>
            </w:r>
            <w:r>
              <w:rPr>
                <w:sz w:val="18"/>
              </w:rPr>
              <w:t xml:space="preserve"> </w:t>
            </w:r>
            <w:r>
              <w:rPr>
                <w:bCs/>
                <w:b/>
                <w:sz w:val="18"/>
              </w:rPr>
              <w:t xml:space="preserve">in the borrower’s loan account</w:t>
            </w:r>
            <w:r>
              <w:rPr>
                <w:sz w:val="18"/>
              </w:rPr>
              <w:t xml:space="preserve"> </w:t>
            </w:r>
            <w:r>
              <w:rPr>
                <w:sz w:val="18"/>
              </w:rPr>
              <w:t xml:space="preserve">on the same day, with no LSP fee deducted (CF 10(5))</w:t>
            </w:r>
          </w:p>
        </w:tc>
      </w:tr>
      <w:tr>
        <w:tc>
          <w:tcPr>
            <w:tcW w:w="1082" w:type="dxa"/>
          </w:tcPr>
          <w:p>
            <w:pPr>
              <w:pStyle w:val="Compact"/>
              <w:spacing w:after="40"/>
              <w:jc w:val="left"/>
            </w:pPr>
            <w:r>
              <w:rPr>
                <w:sz w:val="18"/>
              </w:rPr>
              <w:t xml:space="preserve">2</w:t>
            </w:r>
          </w:p>
        </w:tc>
        <w:tc>
          <w:tcPr>
            <w:tcW w:w="1458" w:type="dxa"/>
          </w:tcPr>
          <w:p>
            <w:pPr>
              <w:pStyle w:val="Compact"/>
              <w:spacing w:after="40"/>
              <w:jc w:val="left"/>
            </w:pPr>
            <w:r>
              <w:rPr>
                <w:sz w:val="18"/>
              </w:rPr>
              <w:t xml:space="preserve">CIC default alerts</w:t>
            </w:r>
          </w:p>
        </w:tc>
        <w:tc>
          <w:tcPr>
            <w:tcW w:w="2527" w:type="dxa"/>
          </w:tcPr>
          <w:p>
            <w:pPr>
              <w:pStyle w:val="Compact"/>
              <w:spacing w:after="40"/>
              <w:jc w:val="left"/>
            </w:pPr>
            <w:r>
              <w:rPr>
                <w:sz w:val="18"/>
              </w:rPr>
              <w:t xml:space="preserve">“</w:t>
            </w:r>
            <w:r>
              <w:rPr>
                <w:sz w:val="18"/>
              </w:rPr>
              <w:t xml:space="preserve">Intimation</w:t>
            </w:r>
            <w:r>
              <w:rPr>
                <w:sz w:val="18"/>
              </w:rPr>
              <w:t xml:space="preserve"> </w:t>
            </w:r>
            <w:r>
              <w:rPr>
                <w:bCs/>
                <w:b/>
                <w:sz w:val="18"/>
              </w:rPr>
              <w:t xml:space="preserve">before</w:t>
            </w:r>
            <w:r>
              <w:rPr>
                <w:sz w:val="18"/>
              </w:rPr>
              <w:t xml:space="preserve"> </w:t>
            </w:r>
            <w:r>
              <w:rPr>
                <w:sz w:val="18"/>
              </w:rPr>
              <w:t xml:space="preserve">reporting default to CICs</w:t>
            </w:r>
            <w:r>
              <w:rPr>
                <w:sz w:val="18"/>
              </w:rPr>
              <w:t xml:space="preserve">”</w:t>
            </w:r>
          </w:p>
        </w:tc>
        <w:tc>
          <w:tcPr>
            <w:tcW w:w="4571" w:type="dxa"/>
          </w:tcPr>
          <w:p>
            <w:pPr>
              <w:pStyle w:val="Compact"/>
              <w:spacing w:after="40"/>
              <w:jc w:val="left"/>
            </w:pPr>
            <w:r>
              <w:rPr>
                <w:sz w:val="18"/>
              </w:rPr>
              <w:t xml:space="preserve">SMS/email alerts sent</w:t>
            </w:r>
            <w:r>
              <w:rPr>
                <w:sz w:val="18"/>
              </w:rPr>
              <w:t xml:space="preserve"> </w:t>
            </w:r>
            <w:r>
              <w:rPr>
                <w:bCs/>
                <w:b/>
                <w:sz w:val="18"/>
              </w:rPr>
              <w:t xml:space="preserve">while submitting</w:t>
            </w:r>
            <w:r>
              <w:rPr>
                <w:sz w:val="18"/>
              </w:rPr>
              <w:t xml:space="preserve"> </w:t>
            </w:r>
            <w:r>
              <w:rPr>
                <w:sz w:val="18"/>
              </w:rPr>
              <w:t xml:space="preserve">default/DPD data (CIR 34(1)(i))</w:t>
            </w:r>
          </w:p>
        </w:tc>
      </w:tr>
      <w:tr>
        <w:tc>
          <w:tcPr>
            <w:tcW w:w="1082" w:type="dxa"/>
          </w:tcPr>
          <w:p>
            <w:pPr>
              <w:pStyle w:val="Compact"/>
              <w:spacing w:after="40"/>
              <w:jc w:val="left"/>
            </w:pPr>
            <w:r>
              <w:rPr>
                <w:sz w:val="18"/>
              </w:rPr>
              <w:t xml:space="preserve">3</w:t>
            </w:r>
          </w:p>
        </w:tc>
        <w:tc>
          <w:tcPr>
            <w:tcW w:w="1458" w:type="dxa"/>
          </w:tcPr>
          <w:p>
            <w:pPr>
              <w:pStyle w:val="Compact"/>
              <w:spacing w:after="40"/>
              <w:jc w:val="left"/>
            </w:pPr>
            <w:r>
              <w:rPr>
                <w:sz w:val="18"/>
              </w:rPr>
              <w:t xml:space="preserve">CIC timelines</w:t>
            </w:r>
          </w:p>
        </w:tc>
        <w:tc>
          <w:tcPr>
            <w:tcW w:w="2527" w:type="dxa"/>
          </w:tcPr>
          <w:p>
            <w:pPr>
              <w:pStyle w:val="Compact"/>
              <w:spacing w:after="40"/>
              <w:jc w:val="left"/>
            </w:pPr>
            <w:r>
              <w:rPr>
                <w:sz w:val="18"/>
              </w:rPr>
              <w:t xml:space="preserve">Single regime</w:t>
            </w:r>
          </w:p>
        </w:tc>
        <w:tc>
          <w:tcPr>
            <w:tcW w:w="4571" w:type="dxa"/>
          </w:tcPr>
          <w:p>
            <w:pPr>
              <w:pStyle w:val="Compact"/>
              <w:spacing w:after="40"/>
              <w:jc w:val="left"/>
            </w:pPr>
            <w:r>
              <w:rPr>
                <w:sz w:val="18"/>
              </w:rPr>
              <w:t xml:space="preserve">Effective-dated: fortnightly and 7-day rejection rework until 30 Jun 2026; 9/16/23/month-end and next-file rework from 1 Jul 2026 (CIR 10(2), 15). Sources link corrected to Id=13187</w:t>
            </w:r>
          </w:p>
        </w:tc>
      </w:tr>
      <w:tr>
        <w:tc>
          <w:tcPr>
            <w:tcW w:w="1082" w:type="dxa"/>
          </w:tcPr>
          <w:p>
            <w:pPr>
              <w:pStyle w:val="Compact"/>
              <w:spacing w:after="40"/>
              <w:jc w:val="left"/>
            </w:pPr>
            <w:r>
              <w:rPr>
                <w:sz w:val="18"/>
              </w:rPr>
              <w:t xml:space="preserve">4</w:t>
            </w:r>
          </w:p>
        </w:tc>
        <w:tc>
          <w:tcPr>
            <w:tcW w:w="1458" w:type="dxa"/>
          </w:tcPr>
          <w:p>
            <w:pPr>
              <w:pStyle w:val="Compact"/>
              <w:spacing w:after="40"/>
              <w:jc w:val="left"/>
            </w:pPr>
            <w:r>
              <w:rPr>
                <w:sz w:val="18"/>
              </w:rPr>
              <w:t xml:space="preserve">Compliance function</w:t>
            </w:r>
          </w:p>
        </w:tc>
        <w:tc>
          <w:tcPr>
            <w:tcW w:w="2527" w:type="dxa"/>
          </w:tcPr>
          <w:p>
            <w:pPr>
              <w:pStyle w:val="Compact"/>
              <w:spacing w:after="40"/>
              <w:jc w:val="left"/>
            </w:pPr>
            <w:r>
              <w:rPr>
                <w:sz w:val="18"/>
              </w:rPr>
              <w:t xml:space="preserve">“</w:t>
            </w:r>
            <w:r>
              <w:rPr>
                <w:sz w:val="18"/>
              </w:rPr>
              <w:t xml:space="preserve">CCO certification</w:t>
            </w:r>
            <w:r>
              <w:rPr>
                <w:sz w:val="18"/>
              </w:rPr>
              <w:t xml:space="preserve">”</w:t>
            </w:r>
            <w:r>
              <w:rPr>
                <w:sz w:val="18"/>
              </w:rPr>
              <w:t xml:space="preserve">; CCO approval only for the payday template</w:t>
            </w:r>
          </w:p>
        </w:tc>
        <w:tc>
          <w:tcPr>
            <w:tcW w:w="4571" w:type="dxa"/>
          </w:tcPr>
          <w:p>
            <w:pPr>
              <w:pStyle w:val="Compact"/>
              <w:spacing w:after="40"/>
              <w:jc w:val="left"/>
            </w:pPr>
            <w:r>
              <w:rPr>
                <w:sz w:val="18"/>
              </w:rPr>
              <w:t xml:space="preserve">No CCO certification is prescribed. Approval before launch applies to</w:t>
            </w:r>
            <w:r>
              <w:rPr>
                <w:sz w:val="18"/>
              </w:rPr>
              <w:t xml:space="preserve"> </w:t>
            </w:r>
            <w:r>
              <w:rPr>
                <w:bCs/>
                <w:b/>
                <w:sz w:val="18"/>
              </w:rPr>
              <w:t xml:space="preserve">every</w:t>
            </w:r>
            <w:r>
              <w:rPr>
                <w:sz w:val="18"/>
              </w:rPr>
              <w:t xml:space="preserve"> </w:t>
            </w:r>
            <w:r>
              <w:rPr>
                <w:sz w:val="18"/>
              </w:rPr>
              <w:t xml:space="preserve">new product and process for ML/UL, with 6-month monitoring (CMP 9(7), 15(2), 31). Applies to ML/UL only</w:t>
            </w:r>
          </w:p>
        </w:tc>
      </w:tr>
      <w:tr>
        <w:tc>
          <w:tcPr>
            <w:tcW w:w="1082" w:type="dxa"/>
          </w:tcPr>
          <w:p>
            <w:pPr>
              <w:pStyle w:val="Compact"/>
              <w:spacing w:after="40"/>
              <w:jc w:val="left"/>
            </w:pPr>
            <w:r>
              <w:rPr>
                <w:sz w:val="18"/>
              </w:rPr>
              <w:t xml:space="preserve">5</w:t>
            </w:r>
          </w:p>
        </w:tc>
        <w:tc>
          <w:tcPr>
            <w:tcW w:w="1458" w:type="dxa"/>
          </w:tcPr>
          <w:p>
            <w:pPr>
              <w:pStyle w:val="Compact"/>
              <w:spacing w:after="40"/>
              <w:jc w:val="left"/>
            </w:pPr>
            <w:r>
              <w:rPr>
                <w:sz w:val="18"/>
              </w:rPr>
              <w:t xml:space="preserve">Fraud</w:t>
            </w:r>
          </w:p>
        </w:tc>
        <w:tc>
          <w:tcPr>
            <w:tcW w:w="2527" w:type="dxa"/>
          </w:tcPr>
          <w:p>
            <w:pPr>
              <w:pStyle w:val="Compact"/>
              <w:spacing w:after="40"/>
              <w:jc w:val="left"/>
            </w:pPr>
            <w:r>
              <w:rPr>
                <w:sz w:val="18"/>
              </w:rPr>
              <w:t xml:space="preserve">Summary only</w:t>
            </w:r>
          </w:p>
        </w:tc>
        <w:tc>
          <w:tcPr>
            <w:tcW w:w="4571" w:type="dxa"/>
          </w:tcPr>
          <w:p>
            <w:pPr>
              <w:pStyle w:val="Compact"/>
              <w:spacing w:after="40"/>
              <w:jc w:val="left"/>
            </w:pPr>
            <w:r>
              <w:rPr>
                <w:sz w:val="18"/>
              </w:rPr>
              <w:t xml:space="preserve">Full lifecycle: three dates, natural justice, SCBMF, EWS (UL/ML), FMR per case, debarment, closure, legal audit, transfer gate, RBR (FRM 4–58). No RFA, no red-flag annex, no CIC reporting of fraud</w:t>
            </w:r>
          </w:p>
        </w:tc>
      </w:tr>
      <w:tr>
        <w:tc>
          <w:tcPr>
            <w:tcW w:w="1082" w:type="dxa"/>
          </w:tcPr>
          <w:p>
            <w:pPr>
              <w:pStyle w:val="Compact"/>
              <w:spacing w:after="40"/>
              <w:jc w:val="left"/>
            </w:pPr>
            <w:r>
              <w:rPr>
                <w:sz w:val="18"/>
              </w:rPr>
              <w:t xml:space="preserve">6</w:t>
            </w:r>
          </w:p>
        </w:tc>
        <w:tc>
          <w:tcPr>
            <w:tcW w:w="1458" w:type="dxa"/>
          </w:tcPr>
          <w:p>
            <w:pPr>
              <w:pStyle w:val="Compact"/>
              <w:spacing w:after="40"/>
              <w:jc w:val="left"/>
            </w:pPr>
            <w:r>
              <w:rPr>
                <w:sz w:val="18"/>
              </w:rPr>
              <w:t xml:space="preserve">DLG</w:t>
            </w:r>
          </w:p>
        </w:tc>
        <w:tc>
          <w:tcPr>
            <w:tcW w:w="2527" w:type="dxa"/>
          </w:tcPr>
          <w:p>
            <w:pPr>
              <w:pStyle w:val="Compact"/>
              <w:spacing w:after="40"/>
              <w:jc w:val="left"/>
            </w:pPr>
            <w:r>
              <w:rPr>
                <w:sz w:val="18"/>
              </w:rPr>
              <w:t xml:space="preserve">Generic forms;</w:t>
            </w:r>
            <w:r>
              <w:rPr>
                <w:sz w:val="18"/>
              </w:rPr>
              <w:t xml:space="preserve"> </w:t>
            </w:r>
            <w:r>
              <w:rPr>
                <w:sz w:val="18"/>
              </w:rPr>
              <w:t xml:space="preserve">“</w:t>
            </w:r>
            <w:r>
              <w:rPr>
                <w:sz w:val="18"/>
              </w:rPr>
              <w:t xml:space="preserve">classification not affected</w:t>
            </w:r>
            <w:r>
              <w:rPr>
                <w:sz w:val="18"/>
              </w:rPr>
              <w:t xml:space="preserve">”</w:t>
            </w:r>
          </w:p>
        </w:tc>
        <w:tc>
          <w:tcPr>
            <w:tcW w:w="4571" w:type="dxa"/>
          </w:tcPr>
          <w:p>
            <w:pPr>
              <w:pStyle w:val="Compact"/>
              <w:spacing w:after="40"/>
              <w:jc w:val="left"/>
            </w:pPr>
            <w:r>
              <w:rPr>
                <w:sz w:val="18"/>
              </w:rPr>
              <w:t xml:space="preserve">Provider eligibility, precise forms, fixed DLG set, auditor-certified declaration, IRACP treatment, no set-off, no reinstatement, monthly LSP disclosure (CF 19–29)</w:t>
            </w:r>
          </w:p>
        </w:tc>
      </w:tr>
      <w:tr>
        <w:tc>
          <w:tcPr>
            <w:tcW w:w="1082" w:type="dxa"/>
          </w:tcPr>
          <w:p>
            <w:pPr>
              <w:pStyle w:val="Compact"/>
              <w:spacing w:after="40"/>
              <w:jc w:val="left"/>
            </w:pPr>
            <w:r>
              <w:rPr>
                <w:sz w:val="18"/>
              </w:rPr>
              <w:t xml:space="preserve">7</w:t>
            </w:r>
          </w:p>
        </w:tc>
        <w:tc>
          <w:tcPr>
            <w:tcW w:w="1458" w:type="dxa"/>
          </w:tcPr>
          <w:p>
            <w:pPr>
              <w:pStyle w:val="Compact"/>
              <w:spacing w:after="40"/>
              <w:jc w:val="left"/>
            </w:pPr>
            <w:r>
              <w:rPr>
                <w:sz w:val="18"/>
              </w:rPr>
              <w:t xml:space="preserve">Gold loans</w:t>
            </w:r>
          </w:p>
        </w:tc>
        <w:tc>
          <w:tcPr>
            <w:tcW w:w="2527" w:type="dxa"/>
          </w:tcPr>
          <w:p>
            <w:pPr>
              <w:pStyle w:val="Compact"/>
              <w:spacing w:after="40"/>
              <w:jc w:val="left"/>
            </w:pPr>
            <w:r>
              <w:rPr>
                <w:sz w:val="18"/>
              </w:rPr>
              <w:t xml:space="preserve">Partial rules</w:t>
            </w:r>
          </w:p>
        </w:tc>
        <w:tc>
          <w:tcPr>
            <w:tcW w:w="4571" w:type="dxa"/>
          </w:tcPr>
          <w:p>
            <w:pPr>
              <w:pStyle w:val="Compact"/>
              <w:spacing w:after="40"/>
              <w:jc w:val="left"/>
            </w:pPr>
            <w:r>
              <w:rPr>
                <w:sz w:val="18"/>
              </w:rPr>
              <w:t xml:space="preserve">Eligible collateral, prohibitions, valuation source and purity, slab basis, renewal/top-up, weight caps, para 47 money flows (CF 32–50)</w:t>
            </w:r>
          </w:p>
        </w:tc>
      </w:tr>
      <w:tr>
        <w:tc>
          <w:tcPr>
            <w:tcW w:w="1082" w:type="dxa"/>
          </w:tcPr>
          <w:p>
            <w:pPr>
              <w:pStyle w:val="Compact"/>
              <w:spacing w:after="40"/>
              <w:jc w:val="left"/>
            </w:pPr>
            <w:r>
              <w:rPr>
                <w:sz w:val="18"/>
              </w:rPr>
              <w:t xml:space="preserve">8</w:t>
            </w:r>
          </w:p>
        </w:tc>
        <w:tc>
          <w:tcPr>
            <w:tcW w:w="1458" w:type="dxa"/>
          </w:tcPr>
          <w:p>
            <w:pPr>
              <w:pStyle w:val="Compact"/>
              <w:spacing w:after="40"/>
              <w:jc w:val="left"/>
            </w:pPr>
            <w:r>
              <w:rPr>
                <w:sz w:val="18"/>
              </w:rPr>
              <w:t xml:space="preserve">Microfinance</w:t>
            </w:r>
          </w:p>
        </w:tc>
        <w:tc>
          <w:tcPr>
            <w:tcW w:w="2527" w:type="dxa"/>
          </w:tcPr>
          <w:p>
            <w:pPr>
              <w:pStyle w:val="Compact"/>
              <w:spacing w:after="40"/>
              <w:jc w:val="left"/>
            </w:pPr>
            <w:r>
              <w:rPr>
                <w:sz w:val="18"/>
              </w:rPr>
              <w:t xml:space="preserve">“</w:t>
            </w:r>
            <w:r>
              <w:rPr>
                <w:sz w:val="18"/>
              </w:rPr>
              <w:t xml:space="preserve">Unsecured</w:t>
            </w:r>
            <w:r>
              <w:rPr>
                <w:sz w:val="18"/>
              </w:rPr>
              <w:t xml:space="preserve">”</w:t>
            </w:r>
            <w:r>
              <w:rPr>
                <w:sz w:val="18"/>
              </w:rPr>
              <w:t xml:space="preserve"> </w:t>
            </w:r>
            <w:r>
              <w:rPr>
                <w:sz w:val="18"/>
              </w:rPr>
              <w:t xml:space="preserve">product</w:t>
            </w:r>
          </w:p>
        </w:tc>
        <w:tc>
          <w:tcPr>
            <w:tcW w:w="4571" w:type="dxa"/>
          </w:tcPr>
          <w:p>
            <w:pPr>
              <w:pStyle w:val="Compact"/>
              <w:spacing w:after="40"/>
              <w:jc w:val="left"/>
            </w:pPr>
            <w:r>
              <w:rPr>
                <w:sz w:val="18"/>
              </w:rPr>
              <w:t xml:space="preserve">Every collateral-free loan to a household with income ≤ ₹3 lakh is microfinance, with a 50% household repayment cap and a block on new loans while above it (CF 51–62)</w:t>
            </w:r>
          </w:p>
        </w:tc>
      </w:tr>
      <w:tr>
        <w:tc>
          <w:tcPr>
            <w:tcW w:w="1082" w:type="dxa"/>
          </w:tcPr>
          <w:p>
            <w:pPr>
              <w:pStyle w:val="Compact"/>
              <w:spacing w:after="40"/>
              <w:jc w:val="left"/>
            </w:pPr>
            <w:r>
              <w:rPr>
                <w:sz w:val="18"/>
              </w:rPr>
              <w:t xml:space="preserve">9</w:t>
            </w:r>
          </w:p>
        </w:tc>
        <w:tc>
          <w:tcPr>
            <w:tcW w:w="1458" w:type="dxa"/>
          </w:tcPr>
          <w:p>
            <w:pPr>
              <w:pStyle w:val="Compact"/>
              <w:spacing w:after="40"/>
              <w:jc w:val="left"/>
            </w:pPr>
            <w:r>
              <w:rPr>
                <w:sz w:val="18"/>
              </w:rPr>
              <w:t xml:space="preserve">LAS</w:t>
            </w:r>
          </w:p>
        </w:tc>
        <w:tc>
          <w:tcPr>
            <w:tcW w:w="2527" w:type="dxa"/>
          </w:tcPr>
          <w:p>
            <w:pPr>
              <w:pStyle w:val="Compact"/>
              <w:spacing w:after="40"/>
              <w:jc w:val="left"/>
            </w:pPr>
            <w:r>
              <w:rPr>
                <w:sz w:val="18"/>
              </w:rPr>
              <w:t xml:space="preserve">“</w:t>
            </w:r>
            <w:r>
              <w:rPr>
                <w:sz w:val="18"/>
              </w:rPr>
              <w:t xml:space="preserve">Shares</w:t>
            </w:r>
            <w:r>
              <w:rPr>
                <w:sz w:val="18"/>
              </w:rPr>
              <w:t xml:space="preserve">”</w:t>
            </w:r>
          </w:p>
        </w:tc>
        <w:tc>
          <w:tcPr>
            <w:tcW w:w="4571" w:type="dxa"/>
          </w:tcPr>
          <w:p>
            <w:pPr>
              <w:pStyle w:val="Compact"/>
              <w:spacing w:after="40"/>
              <w:jc w:val="left"/>
            </w:pPr>
            <w:r>
              <w:rPr>
                <w:sz w:val="18"/>
              </w:rPr>
              <w:t xml:space="preserve">Listed shares only; Annex-III reporting; block on gold/silver ETF/MF collateral (CF 35(2), 106)</w:t>
            </w:r>
          </w:p>
        </w:tc>
      </w:tr>
      <w:tr>
        <w:tc>
          <w:tcPr>
            <w:tcW w:w="1082" w:type="dxa"/>
          </w:tcPr>
          <w:p>
            <w:pPr>
              <w:pStyle w:val="Compact"/>
              <w:spacing w:after="40"/>
              <w:jc w:val="left"/>
            </w:pPr>
            <w:r>
              <w:rPr>
                <w:sz w:val="18"/>
              </w:rPr>
              <w:t xml:space="preserve">10</w:t>
            </w:r>
          </w:p>
        </w:tc>
        <w:tc>
          <w:tcPr>
            <w:tcW w:w="1458" w:type="dxa"/>
          </w:tcPr>
          <w:p>
            <w:pPr>
              <w:pStyle w:val="Compact"/>
              <w:spacing w:after="40"/>
              <w:jc w:val="left"/>
            </w:pPr>
            <w:r>
              <w:rPr>
                <w:sz w:val="18"/>
              </w:rPr>
              <w:t xml:space="preserve">Products</w:t>
            </w:r>
          </w:p>
        </w:tc>
        <w:tc>
          <w:tcPr>
            <w:tcW w:w="2527" w:type="dxa"/>
          </w:tcPr>
          <w:p>
            <w:pPr>
              <w:pStyle w:val="Compact"/>
              <w:spacing w:after="40"/>
              <w:jc w:val="left"/>
            </w:pPr>
            <w:r>
              <w:rPr>
                <w:sz w:val="18"/>
              </w:rPr>
              <w:t xml:space="preserve">No project finance or demand/call loans</w:t>
            </w:r>
          </w:p>
        </w:tc>
        <w:tc>
          <w:tcPr>
            <w:tcW w:w="4571" w:type="dxa"/>
          </w:tcPr>
          <w:p>
            <w:pPr>
              <w:pStyle w:val="Compact"/>
              <w:spacing w:after="40"/>
              <w:jc w:val="left"/>
            </w:pPr>
            <w:r>
              <w:rPr>
                <w:sz w:val="18"/>
              </w:rPr>
              <w:t xml:space="preserve">Products 20 and 21 added; housing/CRE classification; PCE rules (CF 63–111)</w:t>
            </w:r>
          </w:p>
        </w:tc>
      </w:tr>
      <w:tr>
        <w:tc>
          <w:tcPr>
            <w:tcW w:w="1082" w:type="dxa"/>
          </w:tcPr>
          <w:p>
            <w:pPr>
              <w:pStyle w:val="Compact"/>
              <w:spacing w:after="40"/>
              <w:jc w:val="left"/>
            </w:pPr>
            <w:r>
              <w:rPr>
                <w:sz w:val="18"/>
              </w:rPr>
              <w:t xml:space="preserve">11</w:t>
            </w:r>
          </w:p>
        </w:tc>
        <w:tc>
          <w:tcPr>
            <w:tcW w:w="1458" w:type="dxa"/>
          </w:tcPr>
          <w:p>
            <w:pPr>
              <w:pStyle w:val="Compact"/>
              <w:spacing w:after="40"/>
              <w:jc w:val="left"/>
            </w:pPr>
            <w:r>
              <w:rPr>
                <w:sz w:val="18"/>
              </w:rPr>
              <w:t xml:space="preserve">Concentration</w:t>
            </w:r>
          </w:p>
        </w:tc>
        <w:tc>
          <w:tcPr>
            <w:tcW w:w="2527" w:type="dxa"/>
          </w:tcPr>
          <w:p>
            <w:pPr>
              <w:pStyle w:val="Compact"/>
              <w:spacing w:after="40"/>
              <w:jc w:val="left"/>
            </w:pPr>
            <w:r>
              <w:rPr>
                <w:sz w:val="18"/>
              </w:rPr>
              <w:t xml:space="preserve">Generic limits [VERIFY]</w:t>
            </w:r>
          </w:p>
        </w:tc>
        <w:tc>
          <w:tcPr>
            <w:tcW w:w="4571" w:type="dxa"/>
          </w:tcPr>
          <w:p>
            <w:pPr>
              <w:pStyle w:val="Compact"/>
              <w:spacing w:after="40"/>
              <w:jc w:val="left"/>
            </w:pPr>
            <w:r>
              <w:rPr>
                <w:sz w:val="18"/>
              </w:rPr>
              <w:t xml:space="preserve">Layer-wise limits, exposure computation, UL LEF with breach block and monthly return (CON)</w:t>
            </w:r>
          </w:p>
        </w:tc>
      </w:tr>
      <w:tr>
        <w:tc>
          <w:tcPr>
            <w:tcW w:w="1082" w:type="dxa"/>
          </w:tcPr>
          <w:p>
            <w:pPr>
              <w:pStyle w:val="Compact"/>
              <w:spacing w:after="40"/>
              <w:jc w:val="left"/>
            </w:pPr>
            <w:r>
              <w:rPr>
                <w:sz w:val="18"/>
              </w:rPr>
              <w:t xml:space="preserve">12</w:t>
            </w:r>
          </w:p>
        </w:tc>
        <w:tc>
          <w:tcPr>
            <w:tcW w:w="1458" w:type="dxa"/>
          </w:tcPr>
          <w:p>
            <w:pPr>
              <w:pStyle w:val="Compact"/>
              <w:spacing w:after="40"/>
              <w:jc w:val="left"/>
            </w:pPr>
            <w:r>
              <w:rPr>
                <w:sz w:val="18"/>
              </w:rPr>
              <w:t xml:space="preserve">Credit risk</w:t>
            </w:r>
          </w:p>
        </w:tc>
        <w:tc>
          <w:tcPr>
            <w:tcW w:w="2527" w:type="dxa"/>
          </w:tcPr>
          <w:p>
            <w:pPr>
              <w:pStyle w:val="Compact"/>
              <w:spacing w:after="40"/>
              <w:jc w:val="left"/>
            </w:pPr>
            <w:r>
              <w:rPr>
                <w:sz w:val="18"/>
              </w:rPr>
              <w:t xml:space="preserve">Absent</w:t>
            </w:r>
          </w:p>
        </w:tc>
        <w:tc>
          <w:tcPr>
            <w:tcW w:w="4571" w:type="dxa"/>
          </w:tcPr>
          <w:p>
            <w:pPr>
              <w:pStyle w:val="Compact"/>
              <w:spacing w:after="40"/>
              <w:jc w:val="left"/>
            </w:pPr>
            <w:r>
              <w:rPr>
                <w:sz w:val="18"/>
              </w:rPr>
              <w:t xml:space="preserve">Related-party lending (thresholds, routing, recusal), LEI gate, CDS, CERSAI types, own-debenture block (CRM)</w:t>
            </w:r>
          </w:p>
        </w:tc>
      </w:tr>
      <w:tr>
        <w:tc>
          <w:tcPr>
            <w:tcW w:w="1082" w:type="dxa"/>
          </w:tcPr>
          <w:p>
            <w:pPr>
              <w:pStyle w:val="Compact"/>
              <w:spacing w:after="40"/>
              <w:jc w:val="left"/>
            </w:pPr>
            <w:r>
              <w:rPr>
                <w:sz w:val="18"/>
              </w:rPr>
              <w:t xml:space="preserve">13</w:t>
            </w:r>
          </w:p>
        </w:tc>
        <w:tc>
          <w:tcPr>
            <w:tcW w:w="1458" w:type="dxa"/>
          </w:tcPr>
          <w:p>
            <w:pPr>
              <w:pStyle w:val="Compact"/>
              <w:spacing w:after="40"/>
              <w:jc w:val="left"/>
            </w:pPr>
            <w:r>
              <w:rPr>
                <w:sz w:val="18"/>
              </w:rPr>
              <w:t xml:space="preserve">CERSAI</w:t>
            </w:r>
          </w:p>
        </w:tc>
        <w:tc>
          <w:tcPr>
            <w:tcW w:w="2527" w:type="dxa"/>
          </w:tcPr>
          <w:p>
            <w:pPr>
              <w:pStyle w:val="Compact"/>
              <w:spacing w:after="40"/>
              <w:jc w:val="left"/>
            </w:pPr>
            <w:r>
              <w:rPr>
                <w:sz w:val="18"/>
              </w:rPr>
              <w:t xml:space="preserve">“</w:t>
            </w:r>
            <w:r>
              <w:rPr>
                <w:sz w:val="18"/>
              </w:rPr>
              <w:t xml:space="preserve">Within 30 days (s.23)</w:t>
            </w:r>
            <w:r>
              <w:rPr>
                <w:sz w:val="18"/>
              </w:rPr>
              <w:t xml:space="preserve">”</w:t>
            </w:r>
            <w:r>
              <w:rPr>
                <w:sz w:val="18"/>
              </w:rPr>
              <w:t xml:space="preserve"> </w:t>
            </w:r>
            <w:r>
              <w:rPr>
                <w:sz w:val="18"/>
              </w:rPr>
              <w:t xml:space="preserve">only</w:t>
            </w:r>
          </w:p>
        </w:tc>
        <w:tc>
          <w:tcPr>
            <w:tcW w:w="4571" w:type="dxa"/>
          </w:tcPr>
          <w:p>
            <w:pPr>
              <w:pStyle w:val="Compact"/>
              <w:spacing w:after="40"/>
              <w:jc w:val="left"/>
            </w:pPr>
            <w:r>
              <w:rPr>
                <w:sz w:val="18"/>
              </w:rPr>
              <w:t xml:space="preserve">Four charge types filed on an ongoing basis (CRM 27–28); the 30-day period comes from SARFAESI/CERSAI Rules [VERIFY]</w:t>
            </w:r>
          </w:p>
        </w:tc>
      </w:tr>
      <w:tr>
        <w:tc>
          <w:tcPr>
            <w:tcW w:w="1082" w:type="dxa"/>
          </w:tcPr>
          <w:p>
            <w:pPr>
              <w:pStyle w:val="Compact"/>
              <w:spacing w:after="40"/>
              <w:jc w:val="left"/>
            </w:pPr>
            <w:r>
              <w:rPr>
                <w:sz w:val="18"/>
              </w:rPr>
              <w:t xml:space="preserve">14</w:t>
            </w:r>
          </w:p>
        </w:tc>
        <w:tc>
          <w:tcPr>
            <w:tcW w:w="1458" w:type="dxa"/>
          </w:tcPr>
          <w:p>
            <w:pPr>
              <w:pStyle w:val="Compact"/>
              <w:spacing w:after="40"/>
              <w:jc w:val="left"/>
            </w:pPr>
            <w:r>
              <w:rPr>
                <w:sz w:val="18"/>
              </w:rPr>
              <w:t xml:space="preserve">ALM</w:t>
            </w:r>
          </w:p>
        </w:tc>
        <w:tc>
          <w:tcPr>
            <w:tcW w:w="2527" w:type="dxa"/>
          </w:tcPr>
          <w:p>
            <w:pPr>
              <w:pStyle w:val="Compact"/>
              <w:spacing w:after="40"/>
              <w:jc w:val="left"/>
            </w:pPr>
            <w:r>
              <w:rPr>
                <w:sz w:val="18"/>
              </w:rPr>
              <w:t xml:space="preserve">Generic</w:t>
            </w:r>
          </w:p>
        </w:tc>
        <w:tc>
          <w:tcPr>
            <w:tcW w:w="4571" w:type="dxa"/>
          </w:tcPr>
          <w:p>
            <w:pPr>
              <w:pStyle w:val="Compact"/>
              <w:spacing w:after="40"/>
              <w:jc w:val="left"/>
            </w:pPr>
            <w:r>
              <w:rPr>
                <w:sz w:val="18"/>
              </w:rPr>
              <w:t xml:space="preserve">Buckets, tolerance limits, slotting rules, stock ratios, IRS, DNBS04A (quarterly) / 04B (monthly), daily LCR engine (ALM).</w:t>
            </w:r>
            <w:r>
              <w:rPr>
                <w:sz w:val="18"/>
              </w:rPr>
              <w:t xml:space="preserve"> </w:t>
            </w:r>
            <w:r>
              <w:rPr>
                <w:sz w:val="18"/>
              </w:rPr>
              <w:t xml:space="preserve">“</w:t>
            </w:r>
            <w:r>
              <w:rPr>
                <w:sz w:val="18"/>
              </w:rPr>
              <w:t xml:space="preserve">DNBS04A for BL ≥ ₹100 crore</w:t>
            </w:r>
            <w:r>
              <w:rPr>
                <w:sz w:val="18"/>
              </w:rPr>
              <w:t xml:space="preserve">”</w:t>
            </w:r>
            <w:r>
              <w:rPr>
                <w:sz w:val="18"/>
              </w:rPr>
              <w:t xml:space="preserve"> </w:t>
            </w:r>
            <w:r>
              <w:rPr>
                <w:sz w:val="18"/>
              </w:rPr>
              <w:t xml:space="preserve">withdrawn: the ₹100 crore test applies to every layer</w:t>
            </w:r>
          </w:p>
        </w:tc>
      </w:tr>
      <w:tr>
        <w:tc>
          <w:tcPr>
            <w:tcW w:w="1082" w:type="dxa"/>
          </w:tcPr>
          <w:p>
            <w:pPr>
              <w:pStyle w:val="Compact"/>
              <w:spacing w:after="40"/>
              <w:jc w:val="left"/>
            </w:pPr>
            <w:r>
              <w:rPr>
                <w:sz w:val="18"/>
              </w:rPr>
              <w:t xml:space="preserve">15</w:t>
            </w:r>
          </w:p>
        </w:tc>
        <w:tc>
          <w:tcPr>
            <w:tcW w:w="1458" w:type="dxa"/>
          </w:tcPr>
          <w:p>
            <w:pPr>
              <w:pStyle w:val="Compact"/>
              <w:spacing w:after="40"/>
              <w:jc w:val="left"/>
            </w:pPr>
            <w:r>
              <w:rPr>
                <w:sz w:val="18"/>
              </w:rPr>
              <w:t xml:space="preserve">Financial statements</w:t>
            </w:r>
          </w:p>
        </w:tc>
        <w:tc>
          <w:tcPr>
            <w:tcW w:w="2527" w:type="dxa"/>
          </w:tcPr>
          <w:p>
            <w:pPr>
              <w:pStyle w:val="Compact"/>
              <w:spacing w:after="40"/>
              <w:jc w:val="left"/>
            </w:pPr>
            <w:r>
              <w:rPr>
                <w:sz w:val="18"/>
              </w:rPr>
              <w:t xml:space="preserve">Generic notes-to-accounts packs</w:t>
            </w:r>
          </w:p>
        </w:tc>
        <w:tc>
          <w:tcPr>
            <w:tcW w:w="4571" w:type="dxa"/>
          </w:tcPr>
          <w:p>
            <w:pPr>
              <w:pStyle w:val="Compact"/>
              <w:spacing w:after="40"/>
              <w:jc w:val="left"/>
            </w:pPr>
            <w:r>
              <w:rPr>
                <w:sz w:val="18"/>
              </w:rPr>
              <w:t xml:space="preserve">FS disclosure engine (C.1/C.2/C.3), Impairment Reserve rules, Ind AS governance registers, LCR disclosure from daily values</w:t>
            </w:r>
          </w:p>
        </w:tc>
      </w:tr>
      <w:tr>
        <w:tc>
          <w:tcPr>
            <w:tcW w:w="1082" w:type="dxa"/>
          </w:tcPr>
          <w:p>
            <w:pPr>
              <w:pStyle w:val="Compact"/>
              <w:spacing w:after="40"/>
              <w:jc w:val="left"/>
            </w:pPr>
            <w:r>
              <w:rPr>
                <w:sz w:val="18"/>
              </w:rPr>
              <w:t xml:space="preserve">16</w:t>
            </w:r>
          </w:p>
        </w:tc>
        <w:tc>
          <w:tcPr>
            <w:tcW w:w="1458" w:type="dxa"/>
          </w:tcPr>
          <w:p>
            <w:pPr>
              <w:pStyle w:val="Compact"/>
              <w:spacing w:after="40"/>
              <w:jc w:val="left"/>
            </w:pPr>
            <w:r>
              <w:rPr>
                <w:sz w:val="18"/>
              </w:rPr>
              <w:t xml:space="preserve">Climate</w:t>
            </w:r>
          </w:p>
        </w:tc>
        <w:tc>
          <w:tcPr>
            <w:tcW w:w="2527" w:type="dxa"/>
          </w:tcPr>
          <w:p>
            <w:pPr>
              <w:pStyle w:val="Compact"/>
              <w:spacing w:after="40"/>
              <w:jc w:val="left"/>
            </w:pPr>
            <w:r>
              <w:rPr>
                <w:sz w:val="18"/>
              </w:rPr>
              <w:t xml:space="preserve">Not covered</w:t>
            </w:r>
          </w:p>
        </w:tc>
        <w:tc>
          <w:tcPr>
            <w:tcW w:w="4571" w:type="dxa"/>
          </w:tcPr>
          <w:p>
            <w:pPr>
              <w:pStyle w:val="Compact"/>
              <w:spacing w:after="40"/>
              <w:jc w:val="left"/>
            </w:pPr>
            <w:r>
              <w:rPr>
                <w:sz w:val="18"/>
              </w:rPr>
              <w:t xml:space="preserve">CLM is a green-deposit framework for NBFC-D and deposit-taking HFCs only</w:t>
            </w:r>
          </w:p>
        </w:tc>
      </w:tr>
      <w:tr>
        <w:tc>
          <w:tcPr>
            <w:tcW w:w="1082" w:type="dxa"/>
          </w:tcPr>
          <w:p>
            <w:pPr>
              <w:pStyle w:val="Compact"/>
              <w:spacing w:after="40"/>
              <w:jc w:val="left"/>
            </w:pPr>
            <w:r>
              <w:rPr>
                <w:sz w:val="18"/>
              </w:rPr>
              <w:t xml:space="preserve">17</w:t>
            </w:r>
          </w:p>
        </w:tc>
        <w:tc>
          <w:tcPr>
            <w:tcW w:w="1458" w:type="dxa"/>
          </w:tcPr>
          <w:p>
            <w:pPr>
              <w:pStyle w:val="Compact"/>
              <w:spacing w:after="40"/>
              <w:jc w:val="left"/>
            </w:pPr>
            <w:r>
              <w:rPr>
                <w:sz w:val="18"/>
              </w:rPr>
              <w:t xml:space="preserve">Investments; branches</w:t>
            </w:r>
          </w:p>
        </w:tc>
        <w:tc>
          <w:tcPr>
            <w:tcW w:w="2527" w:type="dxa"/>
          </w:tcPr>
          <w:p>
            <w:pPr>
              <w:pStyle w:val="Compact"/>
              <w:spacing w:after="40"/>
              <w:jc w:val="left"/>
            </w:pPr>
            <w:r>
              <w:rPr>
                <w:sz w:val="18"/>
              </w:rPr>
              <w:t xml:space="preserve">Not covered</w:t>
            </w:r>
          </w:p>
        </w:tc>
        <w:tc>
          <w:tcPr>
            <w:tcW w:w="4571" w:type="dxa"/>
          </w:tcPr>
          <w:p>
            <w:pPr>
              <w:pStyle w:val="Compact"/>
              <w:spacing w:after="40"/>
              <w:jc w:val="left"/>
            </w:pPr>
            <w:r>
              <w:rPr>
                <w:sz w:val="18"/>
              </w:rPr>
              <w:t xml:space="preserve">INV and BR requirements added (M10 item 7A; M1)</w:t>
            </w:r>
          </w:p>
        </w:tc>
      </w:tr>
      <w:tr>
        <w:tc>
          <w:tcPr>
            <w:tcW w:w="1082" w:type="dxa"/>
          </w:tcPr>
          <w:p>
            <w:pPr>
              <w:pStyle w:val="Compact"/>
              <w:spacing w:after="40"/>
              <w:jc w:val="left"/>
            </w:pPr>
            <w:r>
              <w:rPr>
                <w:sz w:val="18"/>
              </w:rPr>
              <w:t xml:space="preserve">18</w:t>
            </w:r>
          </w:p>
        </w:tc>
        <w:tc>
          <w:tcPr>
            <w:tcW w:w="1458" w:type="dxa"/>
          </w:tcPr>
          <w:p>
            <w:pPr>
              <w:pStyle w:val="Compact"/>
              <w:spacing w:after="40"/>
              <w:jc w:val="left"/>
            </w:pPr>
            <w:r>
              <w:rPr>
                <w:sz w:val="18"/>
              </w:rPr>
              <w:t xml:space="preserve">Cyber</w:t>
            </w:r>
          </w:p>
        </w:tc>
        <w:tc>
          <w:tcPr>
            <w:tcW w:w="2527" w:type="dxa"/>
          </w:tcPr>
          <w:p>
            <w:pPr>
              <w:pStyle w:val="Compact"/>
              <w:spacing w:after="40"/>
              <w:jc w:val="left"/>
            </w:pPr>
            <w:r>
              <w:rPr>
                <w:sz w:val="18"/>
              </w:rPr>
              <w:t xml:space="preserve">Chapter thresholds partly right; repeal of the 2023 MD asserted</w:t>
            </w:r>
          </w:p>
        </w:tc>
        <w:tc>
          <w:tcPr>
            <w:tcW w:w="4571" w:type="dxa"/>
          </w:tcPr>
          <w:p>
            <w:pPr>
              <w:pStyle w:val="Compact"/>
              <w:spacing w:after="40"/>
              <w:jc w:val="left"/>
            </w:pPr>
            <w:r>
              <w:rPr>
                <w:sz w:val="18"/>
              </w:rPr>
              <w:t xml:space="preserve">Ch III also covers all CICs; Ch V excludes CICs. Para 155 repeals via PPG.66 without naming the 2023 MD. Numeric RTO not prescribed. Vendor obligations (new Part 10.6), STP, regulator/auditor access, IPv6</w:t>
            </w:r>
          </w:p>
        </w:tc>
      </w:tr>
      <w:tr>
        <w:tc>
          <w:tcPr>
            <w:tcW w:w="1082" w:type="dxa"/>
          </w:tcPr>
          <w:p>
            <w:pPr>
              <w:pStyle w:val="Compact"/>
              <w:spacing w:after="40"/>
              <w:jc w:val="left"/>
            </w:pPr>
            <w:r>
              <w:rPr>
                <w:sz w:val="18"/>
              </w:rPr>
              <w:t xml:space="preserve">19</w:t>
            </w:r>
          </w:p>
        </w:tc>
        <w:tc>
          <w:tcPr>
            <w:tcW w:w="1458" w:type="dxa"/>
          </w:tcPr>
          <w:p>
            <w:pPr>
              <w:pStyle w:val="Compact"/>
              <w:spacing w:after="40"/>
              <w:jc w:val="left"/>
            </w:pPr>
            <w:r>
              <w:rPr>
                <w:sz w:val="18"/>
              </w:rPr>
              <w:t xml:space="preserve">Digital payments</w:t>
            </w:r>
          </w:p>
        </w:tc>
        <w:tc>
          <w:tcPr>
            <w:tcW w:w="2527" w:type="dxa"/>
          </w:tcPr>
          <w:p>
            <w:pPr>
              <w:pStyle w:val="Compact"/>
              <w:spacing w:after="40"/>
              <w:jc w:val="left"/>
            </w:pPr>
            <w:r>
              <w:rPr>
                <w:sz w:val="18"/>
              </w:rPr>
              <w:t xml:space="preserve">Not covered</w:t>
            </w:r>
          </w:p>
        </w:tc>
        <w:tc>
          <w:tcPr>
            <w:tcW w:w="4571" w:type="dxa"/>
          </w:tcPr>
          <w:p>
            <w:pPr>
              <w:pStyle w:val="Compact"/>
              <w:spacing w:after="40"/>
              <w:jc w:val="left"/>
            </w:pPr>
            <w:r>
              <w:rPr>
                <w:sz w:val="18"/>
              </w:rPr>
              <w:t xml:space="preserve">DPS applies only to card-issuing NBFCs; adopted as the voluntary baseline for M7/M22/M23</w:t>
            </w:r>
          </w:p>
        </w:tc>
      </w:tr>
      <w:tr>
        <w:tc>
          <w:tcPr>
            <w:tcW w:w="1082" w:type="dxa"/>
          </w:tcPr>
          <w:p>
            <w:pPr>
              <w:pStyle w:val="Compact"/>
              <w:spacing w:after="40"/>
              <w:jc w:val="left"/>
            </w:pPr>
            <w:r>
              <w:rPr>
                <w:sz w:val="18"/>
              </w:rPr>
              <w:t xml:space="preserve">20</w:t>
            </w:r>
          </w:p>
        </w:tc>
        <w:tc>
          <w:tcPr>
            <w:tcW w:w="1458" w:type="dxa"/>
          </w:tcPr>
          <w:p>
            <w:pPr>
              <w:pStyle w:val="Compact"/>
              <w:spacing w:after="40"/>
              <w:jc w:val="left"/>
            </w:pPr>
            <w:r>
              <w:rPr>
                <w:sz w:val="18"/>
              </w:rPr>
              <w:t xml:space="preserve">Account Aggregator</w:t>
            </w:r>
          </w:p>
        </w:tc>
        <w:tc>
          <w:tcPr>
            <w:tcW w:w="2527" w:type="dxa"/>
          </w:tcPr>
          <w:p>
            <w:pPr>
              <w:pStyle w:val="Compact"/>
              <w:spacing w:after="40"/>
              <w:jc w:val="left"/>
            </w:pPr>
            <w:r>
              <w:rPr>
                <w:sz w:val="18"/>
              </w:rPr>
              <w:t xml:space="preserve">“</w:t>
            </w:r>
            <w:r>
              <w:rPr>
                <w:sz w:val="18"/>
              </w:rPr>
              <w:t xml:space="preserve">TSP</w:t>
            </w:r>
            <w:r>
              <w:rPr>
                <w:sz w:val="18"/>
              </w:rPr>
              <w:t xml:space="preserve">”</w:t>
            </w:r>
            <w:r>
              <w:rPr>
                <w:sz w:val="18"/>
              </w:rPr>
              <w:t xml:space="preserve"> </w:t>
            </w:r>
            <w:r>
              <w:rPr>
                <w:sz w:val="18"/>
              </w:rPr>
              <w:t xml:space="preserve">list</w:t>
            </w:r>
          </w:p>
        </w:tc>
        <w:tc>
          <w:tcPr>
            <w:tcW w:w="4571" w:type="dxa"/>
          </w:tcPr>
          <w:p>
            <w:pPr>
              <w:pStyle w:val="Compact"/>
              <w:spacing w:after="40"/>
              <w:jc w:val="left"/>
            </w:pPr>
            <w:r>
              <w:rPr>
                <w:sz w:val="18"/>
              </w:rPr>
              <w:t xml:space="preserve">Tenant is the FIU; AA and gateway recorded separately; FIP obligation for deposit-takers (AA 29); Finbyx is never an AA</w:t>
            </w:r>
          </w:p>
        </w:tc>
      </w:tr>
      <w:tr>
        <w:tc>
          <w:tcPr>
            <w:tcW w:w="1082" w:type="dxa"/>
          </w:tcPr>
          <w:p>
            <w:pPr>
              <w:pStyle w:val="Compact"/>
              <w:spacing w:after="40"/>
              <w:jc w:val="left"/>
            </w:pPr>
            <w:r>
              <w:rPr>
                <w:sz w:val="18"/>
              </w:rPr>
              <w:t xml:space="preserve">21</w:t>
            </w:r>
          </w:p>
        </w:tc>
        <w:tc>
          <w:tcPr>
            <w:tcW w:w="1458" w:type="dxa"/>
          </w:tcPr>
          <w:p>
            <w:pPr>
              <w:pStyle w:val="Compact"/>
              <w:spacing w:after="40"/>
              <w:jc w:val="left"/>
            </w:pPr>
            <w:r>
              <w:rPr>
                <w:sz w:val="18"/>
              </w:rPr>
              <w:t xml:space="preserve">Auditor’s report</w:t>
            </w:r>
          </w:p>
        </w:tc>
        <w:tc>
          <w:tcPr>
            <w:tcW w:w="2527" w:type="dxa"/>
          </w:tcPr>
          <w:p>
            <w:pPr>
              <w:pStyle w:val="Compact"/>
              <w:spacing w:after="40"/>
              <w:jc w:val="left"/>
            </w:pPr>
            <w:r>
              <w:rPr>
                <w:sz w:val="18"/>
              </w:rPr>
              <w:t xml:space="preserve">Not covered</w:t>
            </w:r>
          </w:p>
        </w:tc>
        <w:tc>
          <w:tcPr>
            <w:tcW w:w="4571" w:type="dxa"/>
          </w:tcPr>
          <w:p>
            <w:pPr>
              <w:pStyle w:val="Compact"/>
              <w:spacing w:after="40"/>
              <w:jc w:val="left"/>
            </w:pPr>
            <w:r>
              <w:rPr>
                <w:sz w:val="18"/>
              </w:rPr>
              <w:t xml:space="preserve">Auditor evidence packs and DNBS10 support (AUD 6–11)</w:t>
            </w:r>
          </w:p>
        </w:tc>
      </w:tr>
    </w:tbl>
    <w:bookmarkEnd w:id="894"/>
    <w:bookmarkStart w:id="895" w:name="X4f81241976a0443bedf300b0f8fba9c54cc34e1"/>
    <w:p>
      <w:pPr>
        <w:pStyle w:val="Heading2"/>
      </w:pPr>
      <w:r>
        <w:t xml:space="preserve">E.3 v1.2 → v1.3 (18 October 2026): further official RBI texts supplied by the project owner</w:t>
      </w:r>
    </w:p>
    <w:p>
      <w:pPr>
        <w:pStyle w:val="FirstParagraph"/>
      </w:pPr>
      <w:r>
        <w:t xml:space="preserve">v1.3 checks the prompt against the official text of 18 further Directions and 1 guidance note: IRACP 356, RSA 357, RBC 362, WD 358, KYC 361, TDCR 352, SEC 353, CAP 345, SBR 339, DIV 360, MISC 373, GOV 344, OUT 363, ORM (guidance note), MFI 371, IAF 464, SA 465, SR 466 and MSD 467. Part 8A.17–8A.35 hold the paragraph-level requirements; 8A.36 holds the consolidated build additions; Appendix F lists the drafting slips. The corrections to earlier text are: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66"/>
        <w:gridCol w:w="1314"/>
        <w:gridCol w:w="3049"/>
        <w:gridCol w:w="4509"/>
      </w:tblGrid>
      <w:tr>
        <w:trPr>
          <w:tblHeader w:val="true"/>
          <w:tblHeader w:val="true"/>
        </w:trPr>
        <w:tc>
          <w:tcPr>
            <w:tcW w:w="766" w:type="dxa"/>
            <w:shd w:val="clear" w:color="auto" w:fill="1F3A5F"/>
          </w:tcPr>
          <w:p>
            <w:pPr>
              <w:pStyle w:val="Compact"/>
              <w:spacing w:after="40"/>
              <w:jc w:val="left"/>
            </w:pPr>
            <w:r>
              <w:rPr>
                <w:b/>
                <w:color w:val="FFFFFF"/>
                <w:sz w:val="18"/>
              </w:rPr>
              <w:t xml:space="preserve">#</w:t>
            </w:r>
          </w:p>
        </w:tc>
        <w:tc>
          <w:tcPr>
            <w:tcW w:w="1314" w:type="dxa"/>
            <w:shd w:val="clear" w:color="auto" w:fill="1F3A5F"/>
          </w:tcPr>
          <w:p>
            <w:pPr>
              <w:pStyle w:val="Compact"/>
              <w:spacing w:after="40"/>
              <w:jc w:val="left"/>
            </w:pPr>
            <w:r>
              <w:rPr>
                <w:b/>
                <w:color w:val="FFFFFF"/>
                <w:sz w:val="18"/>
              </w:rPr>
              <w:t xml:space="preserve">Area</w:t>
            </w:r>
          </w:p>
        </w:tc>
        <w:tc>
          <w:tcPr>
            <w:tcW w:w="3049" w:type="dxa"/>
            <w:shd w:val="clear" w:color="auto" w:fill="1F3A5F"/>
          </w:tcPr>
          <w:p>
            <w:pPr>
              <w:pStyle w:val="Compact"/>
              <w:spacing w:after="40"/>
              <w:jc w:val="left"/>
            </w:pPr>
            <w:r>
              <w:rPr>
                <w:b/>
                <w:color w:val="FFFFFF"/>
                <w:sz w:val="18"/>
              </w:rPr>
              <w:t xml:space="preserve">v1.2 statement (withdrawn)</w:t>
            </w:r>
          </w:p>
        </w:tc>
        <w:tc>
          <w:tcPr>
            <w:tcW w:w="4509" w:type="dxa"/>
            <w:shd w:val="clear" w:color="auto" w:fill="1F3A5F"/>
          </w:tcPr>
          <w:p>
            <w:pPr>
              <w:pStyle w:val="Compact"/>
              <w:spacing w:after="40"/>
              <w:jc w:val="left"/>
            </w:pPr>
            <w:r>
              <w:rPr>
                <w:b/>
                <w:color w:val="FFFFFF"/>
                <w:sz w:val="18"/>
              </w:rPr>
              <w:t xml:space="preserve">v1.3 correction (source)</w:t>
            </w:r>
          </w:p>
        </w:tc>
      </w:tr>
      <w:tr>
        <w:tc>
          <w:tcPr>
            <w:tcW w:w="766" w:type="dxa"/>
          </w:tcPr>
          <w:p>
            <w:pPr>
              <w:pStyle w:val="Compact"/>
              <w:spacing w:after="40"/>
              <w:jc w:val="left"/>
            </w:pPr>
            <w:r>
              <w:rPr>
                <w:sz w:val="18"/>
              </w:rPr>
              <w:t xml:space="preserve">1</w:t>
            </w:r>
          </w:p>
        </w:tc>
        <w:tc>
          <w:tcPr>
            <w:tcW w:w="1314" w:type="dxa"/>
          </w:tcPr>
          <w:p>
            <w:pPr>
              <w:pStyle w:val="Compact"/>
              <w:spacing w:after="40"/>
              <w:jc w:val="left"/>
            </w:pPr>
            <w:r>
              <w:rPr>
                <w:sz w:val="18"/>
              </w:rPr>
              <w:t xml:space="preserve">DPD</w:t>
            </w:r>
          </w:p>
        </w:tc>
        <w:tc>
          <w:tcPr>
            <w:tcW w:w="3049" w:type="dxa"/>
          </w:tcPr>
          <w:p>
            <w:pPr>
              <w:pStyle w:val="Compact"/>
              <w:spacing w:after="40"/>
              <w:jc w:val="left"/>
            </w:pPr>
            <w:r>
              <w:rPr>
                <w:sz w:val="18"/>
              </w:rPr>
              <w:t xml:space="preserve">DPD = business date − oldest overdue due date</w:t>
            </w:r>
          </w:p>
        </w:tc>
        <w:tc>
          <w:tcPr>
            <w:tcW w:w="4509" w:type="dxa"/>
          </w:tcPr>
          <w:p>
            <w:pPr>
              <w:pStyle w:val="Compact"/>
              <w:spacing w:after="40"/>
              <w:jc w:val="left"/>
            </w:pPr>
            <w:r>
              <w:rPr>
                <w:sz w:val="18"/>
              </w:rPr>
              <w:t xml:space="preserve">DPD = COB date − oldest unpaid due date + 1 (IRACP 19, Illustration I)</w:t>
            </w:r>
          </w:p>
        </w:tc>
      </w:tr>
      <w:tr>
        <w:tc>
          <w:tcPr>
            <w:tcW w:w="766" w:type="dxa"/>
          </w:tcPr>
          <w:p>
            <w:pPr>
              <w:pStyle w:val="Compact"/>
              <w:spacing w:after="40"/>
              <w:jc w:val="left"/>
            </w:pPr>
            <w:r>
              <w:rPr>
                <w:sz w:val="18"/>
              </w:rPr>
              <w:t xml:space="preserve">2</w:t>
            </w:r>
          </w:p>
        </w:tc>
        <w:tc>
          <w:tcPr>
            <w:tcW w:w="1314" w:type="dxa"/>
          </w:tcPr>
          <w:p>
            <w:pPr>
              <w:pStyle w:val="Compact"/>
              <w:spacing w:after="40"/>
              <w:jc w:val="left"/>
            </w:pPr>
            <w:r>
              <w:rPr>
                <w:sz w:val="18"/>
              </w:rPr>
              <w:t xml:space="preserve">COB classification</w:t>
            </w:r>
          </w:p>
        </w:tc>
        <w:tc>
          <w:tcPr>
            <w:tcW w:w="3049" w:type="dxa"/>
          </w:tcPr>
          <w:p>
            <w:pPr>
              <w:pStyle w:val="Compact"/>
              <w:spacing w:after="40"/>
              <w:jc w:val="left"/>
            </w:pPr>
            <w:r>
              <w:rPr>
                <w:sz w:val="18"/>
              </w:rPr>
              <w:t xml:space="preserve">Borrower-level classification across co-lending partners and group entities</w:t>
            </w:r>
          </w:p>
        </w:tc>
        <w:tc>
          <w:tcPr>
            <w:tcW w:w="4509" w:type="dxa"/>
          </w:tcPr>
          <w:p>
            <w:pPr>
              <w:pStyle w:val="Compact"/>
              <w:spacing w:after="40"/>
              <w:jc w:val="left"/>
            </w:pPr>
            <w:r>
              <w:rPr>
                <w:sz w:val="18"/>
              </w:rPr>
              <w:t xml:space="preserve">Borrower-wise within the tenant, including NPI; co-lending sync per M11 (IRACP 23)</w:t>
            </w:r>
          </w:p>
        </w:tc>
      </w:tr>
      <w:tr>
        <w:tc>
          <w:tcPr>
            <w:tcW w:w="766" w:type="dxa"/>
          </w:tcPr>
          <w:p>
            <w:pPr>
              <w:pStyle w:val="Compact"/>
              <w:spacing w:after="40"/>
              <w:jc w:val="left"/>
            </w:pPr>
            <w:r>
              <w:rPr>
                <w:sz w:val="18"/>
              </w:rPr>
              <w:t xml:space="preserve">3</w:t>
            </w:r>
          </w:p>
        </w:tc>
        <w:tc>
          <w:tcPr>
            <w:tcW w:w="1314" w:type="dxa"/>
          </w:tcPr>
          <w:p>
            <w:pPr>
              <w:pStyle w:val="Compact"/>
              <w:spacing w:after="40"/>
              <w:jc w:val="left"/>
            </w:pPr>
            <w:r>
              <w:rPr>
                <w:sz w:val="18"/>
              </w:rPr>
              <w:t xml:space="preserve">Settlements with wilful defaulters</w:t>
            </w:r>
          </w:p>
        </w:tc>
        <w:tc>
          <w:tcPr>
            <w:tcW w:w="3049" w:type="dxa"/>
          </w:tcPr>
          <w:p>
            <w:pPr>
              <w:pStyle w:val="Compact"/>
              <w:spacing w:after="40"/>
              <w:jc w:val="left"/>
            </w:pPr>
            <w:r>
              <w:rPr>
                <w:sz w:val="18"/>
              </w:rPr>
              <w:t xml:space="preserve">“</w:t>
            </w:r>
            <w:r>
              <w:rPr>
                <w:sz w:val="18"/>
              </w:rPr>
              <w:t xml:space="preserve">Settlement restrictions for wilful defaulters</w:t>
            </w:r>
            <w:r>
              <w:rPr>
                <w:sz w:val="18"/>
              </w:rPr>
              <w:t xml:space="preserve">”</w:t>
            </w:r>
            <w:r>
              <w:rPr>
                <w:sz w:val="18"/>
              </w:rPr>
              <w:t xml:space="preserve"> </w:t>
            </w:r>
            <w:r>
              <w:rPr>
                <w:sz w:val="18"/>
              </w:rPr>
              <w:t xml:space="preserve">[VERIFY]</w:t>
            </w:r>
          </w:p>
        </w:tc>
        <w:tc>
          <w:tcPr>
            <w:tcW w:w="4509" w:type="dxa"/>
          </w:tcPr>
          <w:p>
            <w:pPr>
              <w:pStyle w:val="Compact"/>
              <w:spacing w:after="40"/>
              <w:jc w:val="left"/>
            </w:pPr>
            <w:r>
              <w:rPr>
                <w:sz w:val="18"/>
              </w:rPr>
              <w:t xml:space="preserve">Permitted, with Board approval in every case; criminal proceedings and penal measures continue; restructuring is barred (RSA 16(5)(ii), 83–85, 97–98)</w:t>
            </w:r>
          </w:p>
        </w:tc>
      </w:tr>
      <w:tr>
        <w:tc>
          <w:tcPr>
            <w:tcW w:w="766" w:type="dxa"/>
          </w:tcPr>
          <w:p>
            <w:pPr>
              <w:pStyle w:val="Compact"/>
              <w:spacing w:after="40"/>
              <w:jc w:val="left"/>
            </w:pPr>
            <w:r>
              <w:rPr>
                <w:sz w:val="18"/>
              </w:rPr>
              <w:t xml:space="preserve">4</w:t>
            </w:r>
          </w:p>
        </w:tc>
        <w:tc>
          <w:tcPr>
            <w:tcW w:w="1314" w:type="dxa"/>
          </w:tcPr>
          <w:p>
            <w:pPr>
              <w:pStyle w:val="Compact"/>
              <w:spacing w:after="40"/>
              <w:jc w:val="left"/>
            </w:pPr>
            <w:r>
              <w:rPr>
                <w:sz w:val="18"/>
              </w:rPr>
              <w:t xml:space="preserve">CRILC scope</w:t>
            </w:r>
          </w:p>
        </w:tc>
        <w:tc>
          <w:tcPr>
            <w:tcW w:w="3049" w:type="dxa"/>
          </w:tcPr>
          <w:p>
            <w:pPr>
              <w:pStyle w:val="Compact"/>
              <w:spacing w:after="40"/>
              <w:jc w:val="left"/>
            </w:pPr>
            <w:r>
              <w:rPr>
                <w:sz w:val="18"/>
              </w:rPr>
              <w:t xml:space="preserve">UL/ML and BL ICC/MFI/Factor ≥ ₹500 crore</w:t>
            </w:r>
          </w:p>
        </w:tc>
        <w:tc>
          <w:tcPr>
            <w:tcW w:w="4509" w:type="dxa"/>
          </w:tcPr>
          <w:p>
            <w:pPr>
              <w:pStyle w:val="Compact"/>
              <w:spacing w:after="40"/>
              <w:jc w:val="left"/>
            </w:pPr>
            <w:r>
              <w:rPr>
                <w:sz w:val="18"/>
              </w:rPr>
              <w:t xml:space="preserve">NBFC-D and NBFC-ND ≥ ₹500 crore, and any NBFC-Factor; monthly ≥ ₹5 crore plus weekly Friday report (RSA 7, 20–21, 158)</w:t>
            </w:r>
          </w:p>
        </w:tc>
      </w:tr>
      <w:tr>
        <w:tc>
          <w:tcPr>
            <w:tcW w:w="766" w:type="dxa"/>
          </w:tcPr>
          <w:p>
            <w:pPr>
              <w:pStyle w:val="Compact"/>
              <w:spacing w:after="40"/>
              <w:jc w:val="left"/>
            </w:pPr>
            <w:r>
              <w:rPr>
                <w:sz w:val="18"/>
              </w:rPr>
              <w:t xml:space="preserve">5</w:t>
            </w:r>
          </w:p>
        </w:tc>
        <w:tc>
          <w:tcPr>
            <w:tcW w:w="1314" w:type="dxa"/>
          </w:tcPr>
          <w:p>
            <w:pPr>
              <w:pStyle w:val="Compact"/>
              <w:spacing w:after="40"/>
              <w:jc w:val="left"/>
            </w:pPr>
            <w:r>
              <w:rPr>
                <w:sz w:val="18"/>
              </w:rPr>
              <w:t xml:space="preserve">HFC scope</w:t>
            </w:r>
          </w:p>
        </w:tc>
        <w:tc>
          <w:tcPr>
            <w:tcW w:w="3049" w:type="dxa"/>
          </w:tcPr>
          <w:p>
            <w:pPr>
              <w:pStyle w:val="Compact"/>
              <w:spacing w:after="40"/>
              <w:jc w:val="left"/>
            </w:pPr>
            <w:r>
              <w:rPr>
                <w:sz w:val="18"/>
              </w:rPr>
              <w:t xml:space="preserve">Restructuring for all tenants per RSA</w:t>
            </w:r>
          </w:p>
        </w:tc>
        <w:tc>
          <w:tcPr>
            <w:tcW w:w="4509" w:type="dxa"/>
          </w:tcPr>
          <w:p>
            <w:pPr>
              <w:pStyle w:val="Compact"/>
              <w:spacing w:after="40"/>
              <w:jc w:val="left"/>
            </w:pPr>
            <w:r>
              <w:rPr>
                <w:sz w:val="18"/>
              </w:rPr>
              <w:t xml:space="preserve">HFCs: only RSA paras 86–138; HFC restructuring per HFC Directions [VERIFY] (RSA 5)</w:t>
            </w:r>
          </w:p>
        </w:tc>
      </w:tr>
      <w:tr>
        <w:tc>
          <w:tcPr>
            <w:tcW w:w="766" w:type="dxa"/>
          </w:tcPr>
          <w:p>
            <w:pPr>
              <w:pStyle w:val="Compact"/>
              <w:spacing w:after="40"/>
              <w:jc w:val="left"/>
            </w:pPr>
            <w:r>
              <w:rPr>
                <w:sz w:val="18"/>
              </w:rPr>
              <w:t xml:space="preserve">6</w:t>
            </w:r>
          </w:p>
        </w:tc>
        <w:tc>
          <w:tcPr>
            <w:tcW w:w="1314" w:type="dxa"/>
          </w:tcPr>
          <w:p>
            <w:pPr>
              <w:pStyle w:val="Compact"/>
              <w:spacing w:after="40"/>
              <w:jc w:val="left"/>
            </w:pPr>
            <w:r>
              <w:rPr>
                <w:sz w:val="18"/>
              </w:rPr>
              <w:t xml:space="preserve">OTS closure</w:t>
            </w:r>
          </w:p>
        </w:tc>
        <w:tc>
          <w:tcPr>
            <w:tcW w:w="3049" w:type="dxa"/>
          </w:tcPr>
          <w:p>
            <w:pPr>
              <w:pStyle w:val="Compact"/>
              <w:spacing w:after="40"/>
              <w:jc w:val="left"/>
            </w:pPr>
            <w:r>
              <w:rPr>
                <w:sz w:val="18"/>
              </w:rPr>
              <w:t xml:space="preserve">“</w:t>
            </w:r>
            <w:r>
              <w:rPr>
                <w:sz w:val="18"/>
              </w:rPr>
              <w:t xml:space="preserve">Closed: settled (OTS)</w:t>
            </w:r>
            <w:r>
              <w:rPr>
                <w:sz w:val="18"/>
              </w:rPr>
              <w:t xml:space="preserve">”</w:t>
            </w:r>
          </w:p>
        </w:tc>
        <w:tc>
          <w:tcPr>
            <w:tcW w:w="4509" w:type="dxa"/>
          </w:tcPr>
          <w:p>
            <w:pPr>
              <w:pStyle w:val="Compact"/>
              <w:spacing w:after="40"/>
              <w:jc w:val="left"/>
            </w:pPr>
            <w:r>
              <w:rPr>
                <w:sz w:val="18"/>
              </w:rPr>
              <w:t xml:space="preserve">Settlement paid over more than 3 months, or part settlement, is restructuring until paid (RSA 89–90)</w:t>
            </w:r>
          </w:p>
        </w:tc>
      </w:tr>
      <w:tr>
        <w:tc>
          <w:tcPr>
            <w:tcW w:w="766" w:type="dxa"/>
          </w:tcPr>
          <w:p>
            <w:pPr>
              <w:pStyle w:val="Compact"/>
              <w:spacing w:after="40"/>
              <w:jc w:val="left"/>
            </w:pPr>
            <w:r>
              <w:rPr>
                <w:sz w:val="18"/>
              </w:rPr>
              <w:t xml:space="preserve">7</w:t>
            </w:r>
          </w:p>
        </w:tc>
        <w:tc>
          <w:tcPr>
            <w:tcW w:w="1314" w:type="dxa"/>
          </w:tcPr>
          <w:p>
            <w:pPr>
              <w:pStyle w:val="Compact"/>
              <w:spacing w:after="40"/>
              <w:jc w:val="left"/>
            </w:pPr>
            <w:r>
              <w:rPr>
                <w:sz w:val="18"/>
              </w:rPr>
              <w:t xml:space="preserve">Gold release compensation</w:t>
            </w:r>
          </w:p>
        </w:tc>
        <w:tc>
          <w:tcPr>
            <w:tcW w:w="3049" w:type="dxa"/>
          </w:tcPr>
          <w:p>
            <w:pPr>
              <w:pStyle w:val="Compact"/>
              <w:spacing w:after="40"/>
              <w:jc w:val="left"/>
            </w:pPr>
            <w:r>
              <w:rPr>
                <w:sz w:val="18"/>
              </w:rPr>
              <w:t xml:space="preserve">“</w:t>
            </w:r>
            <w:r>
              <w:rPr>
                <w:sz w:val="18"/>
              </w:rPr>
              <w:t xml:space="preserve">delay compensation [VERIFY amount and para]</w:t>
            </w:r>
            <w:r>
              <w:rPr>
                <w:sz w:val="18"/>
              </w:rPr>
              <w:t xml:space="preserve">”</w:t>
            </w:r>
            <w:r>
              <w:rPr>
                <w:sz w:val="18"/>
              </w:rPr>
              <w:t xml:space="preserve">; Ch III.G</w:t>
            </w:r>
            <w:r>
              <w:rPr>
                <w:sz w:val="18"/>
              </w:rPr>
              <w:t xml:space="preserve"> </w:t>
            </w:r>
            <w:r>
              <w:rPr>
                <w:sz w:val="18"/>
              </w:rPr>
              <w:t xml:space="preserve">“</w:t>
            </w:r>
            <w:r>
              <w:rPr>
                <w:sz w:val="18"/>
              </w:rPr>
              <w:t xml:space="preserve">paras 42–75</w:t>
            </w:r>
            <w:r>
              <w:rPr>
                <w:sz w:val="18"/>
              </w:rPr>
              <w:t xml:space="preserve">”</w:t>
            </w:r>
          </w:p>
        </w:tc>
        <w:tc>
          <w:tcPr>
            <w:tcW w:w="4509" w:type="dxa"/>
          </w:tcPr>
          <w:p>
            <w:pPr>
              <w:pStyle w:val="Compact"/>
              <w:spacing w:after="40"/>
              <w:jc w:val="left"/>
            </w:pPr>
            <w:r>
              <w:rPr>
                <w:sz w:val="18"/>
              </w:rPr>
              <w:t xml:space="preserve">₹5,000/day beyond the 7-working-day timeline if attributable to the lender (RBC 69); para 42 deleted w.e.f. 1 Apr 2026; assay certificate, auction district rule, related-party bar, surplus refund within 7 working days, unclaimed after 2 years (RBC 43–75)</w:t>
            </w:r>
          </w:p>
        </w:tc>
      </w:tr>
      <w:tr>
        <w:tc>
          <w:tcPr>
            <w:tcW w:w="766" w:type="dxa"/>
          </w:tcPr>
          <w:p>
            <w:pPr>
              <w:pStyle w:val="Compact"/>
              <w:spacing w:after="40"/>
              <w:jc w:val="left"/>
            </w:pPr>
            <w:r>
              <w:rPr>
                <w:sz w:val="18"/>
              </w:rPr>
              <w:t xml:space="preserve">8</w:t>
            </w:r>
          </w:p>
        </w:tc>
        <w:tc>
          <w:tcPr>
            <w:tcW w:w="1314" w:type="dxa"/>
          </w:tcPr>
          <w:p>
            <w:pPr>
              <w:pStyle w:val="Compact"/>
              <w:spacing w:after="40"/>
              <w:jc w:val="left"/>
            </w:pPr>
            <w:r>
              <w:rPr>
                <w:sz w:val="18"/>
              </w:rPr>
              <w:t xml:space="preserve">Penal charges</w:t>
            </w:r>
          </w:p>
        </w:tc>
        <w:tc>
          <w:tcPr>
            <w:tcW w:w="3049" w:type="dxa"/>
          </w:tcPr>
          <w:p>
            <w:pPr>
              <w:pStyle w:val="Compact"/>
              <w:spacing w:after="40"/>
              <w:jc w:val="left"/>
            </w:pPr>
            <w:r>
              <w:rPr>
                <w:sz w:val="18"/>
              </w:rPr>
              <w:t xml:space="preserve">“</w:t>
            </w:r>
            <w:r>
              <w:rPr>
                <w:sz w:val="18"/>
              </w:rPr>
              <w:t xml:space="preserve">RBC para 30 [VERIFY]</w:t>
            </w:r>
            <w:r>
              <w:rPr>
                <w:sz w:val="18"/>
              </w:rPr>
              <w:t xml:space="preserve">”</w:t>
            </w:r>
          </w:p>
        </w:tc>
        <w:tc>
          <w:tcPr>
            <w:tcW w:w="4509" w:type="dxa"/>
          </w:tcPr>
          <w:p>
            <w:pPr>
              <w:pStyle w:val="Compact"/>
              <w:spacing w:after="40"/>
              <w:jc w:val="left"/>
            </w:pPr>
            <w:r>
              <w:rPr>
                <w:sz w:val="18"/>
              </w:rPr>
              <w:t xml:space="preserve">Verified: only on the amount under default, no penal on penal, individual ≤ non-individual, shown in reminders (RBC 30)</w:t>
            </w:r>
          </w:p>
        </w:tc>
      </w:tr>
      <w:tr>
        <w:tc>
          <w:tcPr>
            <w:tcW w:w="766" w:type="dxa"/>
          </w:tcPr>
          <w:p>
            <w:pPr>
              <w:pStyle w:val="Compact"/>
              <w:spacing w:after="40"/>
              <w:jc w:val="left"/>
            </w:pPr>
            <w:r>
              <w:rPr>
                <w:sz w:val="18"/>
              </w:rPr>
              <w:t xml:space="preserve">9</w:t>
            </w:r>
          </w:p>
        </w:tc>
        <w:tc>
          <w:tcPr>
            <w:tcW w:w="1314" w:type="dxa"/>
          </w:tcPr>
          <w:p>
            <w:pPr>
              <w:pStyle w:val="Compact"/>
              <w:spacing w:after="40"/>
              <w:jc w:val="left"/>
            </w:pPr>
            <w:r>
              <w:rPr>
                <w:sz w:val="18"/>
              </w:rPr>
              <w:t xml:space="preserve">Resets</w:t>
            </w:r>
          </w:p>
        </w:tc>
        <w:tc>
          <w:tcPr>
            <w:tcW w:w="3049" w:type="dxa"/>
          </w:tcPr>
          <w:p>
            <w:pPr>
              <w:pStyle w:val="Compact"/>
              <w:spacing w:after="40"/>
              <w:jc w:val="left"/>
            </w:pPr>
            <w:r>
              <w:rPr>
                <w:sz w:val="18"/>
              </w:rPr>
              <w:t xml:space="preserve">Applies to EMI personal loans only</w:t>
            </w:r>
          </w:p>
        </w:tc>
        <w:tc>
          <w:tcPr>
            <w:tcW w:w="4509" w:type="dxa"/>
          </w:tcPr>
          <w:p>
            <w:pPr>
              <w:pStyle w:val="Compact"/>
              <w:spacing w:after="40"/>
              <w:jc w:val="left"/>
            </w:pPr>
            <w:r>
              <w:rPr>
                <w:sz w:val="18"/>
              </w:rPr>
              <w:t xml:space="preserve">Also equated-instalment loans of any periodicity, external or internal benchmark; switch to fixed only where the Board policy offers it; quarterly statement contents (RBC 31–32)</w:t>
            </w:r>
          </w:p>
        </w:tc>
      </w:tr>
      <w:tr>
        <w:tc>
          <w:tcPr>
            <w:tcW w:w="766" w:type="dxa"/>
          </w:tcPr>
          <w:p>
            <w:pPr>
              <w:pStyle w:val="Compact"/>
              <w:spacing w:after="40"/>
              <w:jc w:val="left"/>
            </w:pPr>
            <w:r>
              <w:rPr>
                <w:sz w:val="18"/>
              </w:rPr>
              <w:t xml:space="preserve">10</w:t>
            </w:r>
          </w:p>
        </w:tc>
        <w:tc>
          <w:tcPr>
            <w:tcW w:w="1314" w:type="dxa"/>
          </w:tcPr>
          <w:p>
            <w:pPr>
              <w:pStyle w:val="Compact"/>
              <w:spacing w:after="40"/>
              <w:jc w:val="left"/>
            </w:pPr>
            <w:r>
              <w:rPr>
                <w:sz w:val="18"/>
              </w:rPr>
              <w:t xml:space="preserve">Prepayment</w:t>
            </w:r>
          </w:p>
        </w:tc>
        <w:tc>
          <w:tcPr>
            <w:tcW w:w="3049" w:type="dxa"/>
          </w:tcPr>
          <w:p>
            <w:pPr>
              <w:pStyle w:val="Compact"/>
              <w:spacing w:after="40"/>
              <w:jc w:val="left"/>
            </w:pPr>
            <w:r>
              <w:rPr>
                <w:sz w:val="18"/>
              </w:rPr>
              <w:t xml:space="preserve">Based on the 2 Jul 2025 Pre-payment Charges Directions; layer rules only</w:t>
            </w:r>
          </w:p>
        </w:tc>
        <w:tc>
          <w:tcPr>
            <w:tcW w:w="4509" w:type="dxa"/>
          </w:tcPr>
          <w:p>
            <w:pPr>
              <w:pStyle w:val="Compact"/>
              <w:spacing w:after="40"/>
              <w:jc w:val="left"/>
            </w:pPr>
            <w:r>
              <w:rPr>
                <w:sz w:val="18"/>
              </w:rPr>
              <w:t xml:space="preserve">RBC 33–34 and 81 incl. source of funds, dual-rate, CC/OD, lender-initiated, undisclosed and waived charges</w:t>
            </w:r>
          </w:p>
        </w:tc>
      </w:tr>
      <w:tr>
        <w:tc>
          <w:tcPr>
            <w:tcW w:w="766" w:type="dxa"/>
          </w:tcPr>
          <w:p>
            <w:pPr>
              <w:pStyle w:val="Compact"/>
              <w:spacing w:after="40"/>
              <w:jc w:val="left"/>
            </w:pPr>
            <w:r>
              <w:rPr>
                <w:sz w:val="18"/>
              </w:rPr>
              <w:t xml:space="preserve">11</w:t>
            </w:r>
          </w:p>
        </w:tc>
        <w:tc>
          <w:tcPr>
            <w:tcW w:w="1314" w:type="dxa"/>
          </w:tcPr>
          <w:p>
            <w:pPr>
              <w:pStyle w:val="Compact"/>
              <w:spacing w:after="40"/>
              <w:jc w:val="left"/>
            </w:pPr>
            <w:r>
              <w:rPr>
                <w:sz w:val="18"/>
              </w:rPr>
              <w:t xml:space="preserve">Document release</w:t>
            </w:r>
          </w:p>
        </w:tc>
        <w:tc>
          <w:tcPr>
            <w:tcW w:w="3049" w:type="dxa"/>
          </w:tcPr>
          <w:p>
            <w:pPr>
              <w:pStyle w:val="Compact"/>
              <w:spacing w:after="40"/>
              <w:jc w:val="left"/>
            </w:pPr>
            <w:r>
              <w:rPr>
                <w:sz w:val="18"/>
              </w:rPr>
              <w:t xml:space="preserve">30 days and ₹5,000/day for all loans</w:t>
            </w:r>
          </w:p>
        </w:tc>
        <w:tc>
          <w:tcPr>
            <w:tcW w:w="4509" w:type="dxa"/>
          </w:tcPr>
          <w:p>
            <w:pPr>
              <w:pStyle w:val="Compact"/>
              <w:spacing w:after="40"/>
              <w:jc w:val="left"/>
            </w:pPr>
            <w:r>
              <w:rPr>
                <w:sz w:val="18"/>
              </w:rPr>
              <w:t xml:space="preserve">Personal loans (RBC 6(11)); 60-day clock for lost documents; choice of office; legal-heir procedure (RBC 35–41)</w:t>
            </w:r>
          </w:p>
        </w:tc>
      </w:tr>
      <w:tr>
        <w:tc>
          <w:tcPr>
            <w:tcW w:w="766" w:type="dxa"/>
          </w:tcPr>
          <w:p>
            <w:pPr>
              <w:pStyle w:val="Compact"/>
              <w:spacing w:after="40"/>
              <w:jc w:val="left"/>
            </w:pPr>
            <w:r>
              <w:rPr>
                <w:sz w:val="18"/>
              </w:rPr>
              <w:t xml:space="preserve">12</w:t>
            </w:r>
          </w:p>
        </w:tc>
        <w:tc>
          <w:tcPr>
            <w:tcW w:w="1314" w:type="dxa"/>
          </w:tcPr>
          <w:p>
            <w:pPr>
              <w:pStyle w:val="Compact"/>
              <w:spacing w:after="40"/>
              <w:jc w:val="left"/>
            </w:pPr>
            <w:r>
              <w:rPr>
                <w:sz w:val="18"/>
              </w:rPr>
              <w:t xml:space="preserve">Recovery agents</w:t>
            </w:r>
          </w:p>
        </w:tc>
        <w:tc>
          <w:tcPr>
            <w:tcW w:w="3049" w:type="dxa"/>
          </w:tcPr>
          <w:p>
            <w:pPr>
              <w:pStyle w:val="Compact"/>
              <w:spacing w:after="40"/>
              <w:jc w:val="left"/>
            </w:pPr>
            <w:r>
              <w:rPr>
                <w:sz w:val="18"/>
              </w:rPr>
              <w:t xml:space="preserve">Paras 89–100 shown as one general set</w:t>
            </w:r>
          </w:p>
        </w:tc>
        <w:tc>
          <w:tcPr>
            <w:tcW w:w="4509" w:type="dxa"/>
          </w:tcPr>
          <w:p>
            <w:pPr>
              <w:pStyle w:val="Compact"/>
              <w:spacing w:after="40"/>
              <w:jc w:val="left"/>
            </w:pPr>
            <w:r>
              <w:rPr>
                <w:sz w:val="18"/>
              </w:rPr>
              <w:t xml:space="preserve">Para 100 excludes microfinance; paras 93–97 sit in the microfinance section; paras 98–100 bind P2P too (RBC 4, 93–100)</w:t>
            </w:r>
          </w:p>
        </w:tc>
      </w:tr>
      <w:tr>
        <w:tc>
          <w:tcPr>
            <w:tcW w:w="766" w:type="dxa"/>
          </w:tcPr>
          <w:p>
            <w:pPr>
              <w:pStyle w:val="Compact"/>
              <w:spacing w:after="40"/>
              <w:jc w:val="left"/>
            </w:pPr>
            <w:r>
              <w:rPr>
                <w:sz w:val="18"/>
              </w:rPr>
              <w:t xml:space="preserve">13</w:t>
            </w:r>
          </w:p>
        </w:tc>
        <w:tc>
          <w:tcPr>
            <w:tcW w:w="1314" w:type="dxa"/>
          </w:tcPr>
          <w:p>
            <w:pPr>
              <w:pStyle w:val="Compact"/>
              <w:spacing w:after="40"/>
              <w:jc w:val="left"/>
            </w:pPr>
            <w:r>
              <w:rPr>
                <w:sz w:val="18"/>
              </w:rPr>
              <w:t xml:space="preserve">RBC amendments</w:t>
            </w:r>
          </w:p>
        </w:tc>
        <w:tc>
          <w:tcPr>
            <w:tcW w:w="3049" w:type="dxa"/>
          </w:tcPr>
          <w:p>
            <w:pPr>
              <w:pStyle w:val="Compact"/>
              <w:spacing w:after="40"/>
              <w:jc w:val="left"/>
            </w:pPr>
            <w:r>
              <w:rPr>
                <w:sz w:val="18"/>
              </w:rPr>
              <w:t xml:space="preserve">Second and Third Amendment cited as verified</w:t>
            </w:r>
          </w:p>
        </w:tc>
        <w:tc>
          <w:tcPr>
            <w:tcW w:w="4509" w:type="dxa"/>
          </w:tcPr>
          <w:p>
            <w:pPr>
              <w:pStyle w:val="Compact"/>
              <w:spacing w:after="40"/>
              <w:jc w:val="left"/>
            </w:pPr>
            <w:r>
              <w:rPr>
                <w:sz w:val="18"/>
              </w:rPr>
              <w:t xml:space="preserve">Not in the supplied copy (updated to 1 Apr 2026) [VERIFY: amendment text not supplied]</w:t>
            </w:r>
          </w:p>
        </w:tc>
      </w:tr>
      <w:tr>
        <w:tc>
          <w:tcPr>
            <w:tcW w:w="766" w:type="dxa"/>
          </w:tcPr>
          <w:p>
            <w:pPr>
              <w:pStyle w:val="Compact"/>
              <w:spacing w:after="40"/>
              <w:jc w:val="left"/>
            </w:pPr>
            <w:r>
              <w:rPr>
                <w:sz w:val="18"/>
              </w:rPr>
              <w:t xml:space="preserve">14</w:t>
            </w:r>
          </w:p>
        </w:tc>
        <w:tc>
          <w:tcPr>
            <w:tcW w:w="1314" w:type="dxa"/>
          </w:tcPr>
          <w:p>
            <w:pPr>
              <w:pStyle w:val="Compact"/>
              <w:spacing w:after="40"/>
              <w:jc w:val="left"/>
            </w:pPr>
            <w:r>
              <w:rPr>
                <w:sz w:val="18"/>
              </w:rPr>
              <w:t xml:space="preserve">Wilful defaulters</w:t>
            </w:r>
          </w:p>
        </w:tc>
        <w:tc>
          <w:tcPr>
            <w:tcW w:w="3049" w:type="dxa"/>
          </w:tcPr>
          <w:p>
            <w:pPr>
              <w:pStyle w:val="Compact"/>
              <w:spacing w:after="40"/>
              <w:jc w:val="left"/>
            </w:pPr>
            <w:r>
              <w:rPr>
                <w:sz w:val="18"/>
              </w:rPr>
              <w:t xml:space="preserve">“</w:t>
            </w:r>
            <w:r>
              <w:rPr>
                <w:sz w:val="18"/>
              </w:rPr>
              <w:t xml:space="preserve">Directions, 2025 [VERIFY]</w:t>
            </w:r>
            <w:r>
              <w:rPr>
                <w:sz w:val="18"/>
              </w:rPr>
              <w:t xml:space="preserve">”</w:t>
            </w:r>
            <w:r>
              <w:rPr>
                <w:sz w:val="18"/>
              </w:rPr>
              <w:t xml:space="preserve">; generic workflow</w:t>
            </w:r>
          </w:p>
        </w:tc>
        <w:tc>
          <w:tcPr>
            <w:tcW w:w="4509" w:type="dxa"/>
          </w:tcPr>
          <w:p>
            <w:pPr>
              <w:pStyle w:val="Compact"/>
              <w:spacing w:after="40"/>
              <w:jc w:val="left"/>
            </w:pPr>
            <w:r>
              <w:rPr>
                <w:sz w:val="18"/>
              </w:rPr>
              <w:t xml:space="preserve">Verified: ML+ only, all-RE gate, ₹25 lakh/₹1 crore thresholds, 6-month deadline, 21/15-day windows, hearing without lawyers, monthly Annex I/II, 30-day removal, settlements, transfer gate (WD 2–21)</w:t>
            </w:r>
          </w:p>
        </w:tc>
      </w:tr>
      <w:tr>
        <w:tc>
          <w:tcPr>
            <w:tcW w:w="766" w:type="dxa"/>
          </w:tcPr>
          <w:p>
            <w:pPr>
              <w:pStyle w:val="Compact"/>
              <w:spacing w:after="40"/>
              <w:jc w:val="left"/>
            </w:pPr>
            <w:r>
              <w:rPr>
                <w:sz w:val="18"/>
              </w:rPr>
              <w:t xml:space="preserve">15</w:t>
            </w:r>
          </w:p>
        </w:tc>
        <w:tc>
          <w:tcPr>
            <w:tcW w:w="1314" w:type="dxa"/>
          </w:tcPr>
          <w:p>
            <w:pPr>
              <w:pStyle w:val="Compact"/>
              <w:spacing w:after="40"/>
              <w:jc w:val="left"/>
            </w:pPr>
            <w:r>
              <w:rPr>
                <w:sz w:val="18"/>
              </w:rPr>
              <w:t xml:space="preserve">Wilful-defaulter settlements</w:t>
            </w:r>
          </w:p>
        </w:tc>
        <w:tc>
          <w:tcPr>
            <w:tcW w:w="3049" w:type="dxa"/>
          </w:tcPr>
          <w:p>
            <w:pPr>
              <w:pStyle w:val="Compact"/>
              <w:spacing w:after="40"/>
              <w:jc w:val="left"/>
            </w:pPr>
            <w:r>
              <w:rPr>
                <w:sz w:val="18"/>
              </w:rPr>
              <w:t xml:space="preserve">“</w:t>
            </w:r>
            <w:r>
              <w:rPr>
                <w:sz w:val="18"/>
              </w:rPr>
              <w:t xml:space="preserve">settlement restrictions … [VERIFY]</w:t>
            </w:r>
            <w:r>
              <w:rPr>
                <w:sz w:val="18"/>
              </w:rPr>
              <w:t xml:space="preserve">”</w:t>
            </w:r>
          </w:p>
        </w:tc>
        <w:tc>
          <w:tcPr>
            <w:tcW w:w="4509" w:type="dxa"/>
          </w:tcPr>
          <w:p>
            <w:pPr>
              <w:pStyle w:val="Compact"/>
              <w:spacing w:after="40"/>
              <w:jc w:val="left"/>
            </w:pPr>
            <w:r>
              <w:rPr>
                <w:sz w:val="18"/>
              </w:rPr>
              <w:t xml:space="preserve">LWD removal only on full payment of the compromise amount; RSA conditions apply (WD 13) [VERIFY RSA text]</w:t>
            </w:r>
          </w:p>
        </w:tc>
      </w:tr>
      <w:tr>
        <w:tc>
          <w:tcPr>
            <w:tcW w:w="766" w:type="dxa"/>
          </w:tcPr>
          <w:p>
            <w:pPr>
              <w:pStyle w:val="Compact"/>
              <w:spacing w:after="40"/>
              <w:jc w:val="left"/>
            </w:pPr>
            <w:r>
              <w:rPr>
                <w:sz w:val="18"/>
              </w:rPr>
              <w:t xml:space="preserve">16</w:t>
            </w:r>
          </w:p>
        </w:tc>
        <w:tc>
          <w:tcPr>
            <w:tcW w:w="1314" w:type="dxa"/>
          </w:tcPr>
          <w:p>
            <w:pPr>
              <w:pStyle w:val="Compact"/>
              <w:spacing w:after="40"/>
              <w:jc w:val="left"/>
            </w:pPr>
            <w:r>
              <w:rPr>
                <w:sz w:val="18"/>
              </w:rPr>
              <w:t xml:space="preserve">KYC/AML</w:t>
            </w:r>
          </w:p>
        </w:tc>
        <w:tc>
          <w:tcPr>
            <w:tcW w:w="3049" w:type="dxa"/>
          </w:tcPr>
          <w:p>
            <w:pPr>
              <w:pStyle w:val="Compact"/>
              <w:spacing w:after="40"/>
              <w:jc w:val="left"/>
            </w:pPr>
            <w:r>
              <w:rPr>
                <w:sz w:val="18"/>
              </w:rPr>
              <w:t xml:space="preserve">“</w:t>
            </w:r>
            <w:r>
              <w:rPr>
                <w:sz w:val="18"/>
              </w:rPr>
              <w:t xml:space="preserve">KYC Directions and 29 Dec 2025 amendment [VERIFY]</w:t>
            </w:r>
            <w:r>
              <w:rPr>
                <w:sz w:val="18"/>
              </w:rPr>
              <w:t xml:space="preserve">”</w:t>
            </w:r>
            <w:r>
              <w:rPr>
                <w:sz w:val="18"/>
              </w:rPr>
              <w:t xml:space="preserve">;</w:t>
            </w:r>
            <w:r>
              <w:rPr>
                <w:sz w:val="18"/>
              </w:rPr>
              <w:t xml:space="preserve"> </w:t>
            </w:r>
            <w:r>
              <w:rPr>
                <w:sz w:val="18"/>
              </w:rPr>
              <w:t xml:space="preserve">“</w:t>
            </w:r>
            <w:r>
              <w:rPr>
                <w:sz w:val="18"/>
              </w:rPr>
              <w:t xml:space="preserve">STR within 7 working days; CTR/CCR/NTR monthly</w:t>
            </w:r>
            <w:r>
              <w:rPr>
                <w:sz w:val="18"/>
              </w:rPr>
              <w:t xml:space="preserve">”</w:t>
            </w:r>
            <w:r>
              <w:rPr>
                <w:sz w:val="18"/>
              </w:rPr>
              <w:t xml:space="preserve">; generic V-CIP, CKYC and updation bullets;</w:t>
            </w:r>
            <w:r>
              <w:rPr>
                <w:sz w:val="18"/>
              </w:rPr>
              <w:t xml:space="preserve"> </w:t>
            </w:r>
            <w:r>
              <w:rPr>
                <w:sz w:val="18"/>
              </w:rPr>
              <w:t xml:space="preserve">“</w:t>
            </w:r>
            <w:r>
              <w:rPr>
                <w:sz w:val="18"/>
              </w:rPr>
              <w:t xml:space="preserve">PMLA: 5 years after relationship end</w:t>
            </w:r>
            <w:r>
              <w:rPr>
                <w:sz w:val="18"/>
              </w:rPr>
              <w:t xml:space="preserve">”</w:t>
            </w:r>
          </w:p>
        </w:tc>
        <w:tc>
          <w:tcPr>
            <w:tcW w:w="4509" w:type="dxa"/>
          </w:tcPr>
          <w:p>
            <w:pPr>
              <w:pStyle w:val="Compact"/>
              <w:spacing w:after="40"/>
              <w:jc w:val="left"/>
            </w:pPr>
            <w:r>
              <w:rPr>
                <w:sz w:val="18"/>
              </w:rPr>
              <w:t xml:space="preserve">Paragraph-level KYC requirements (Part 8A.21): CKYCR upload in 10 days, updates in 7 days, and the reliance Explanation (KYC 63); 2/8/10-year updation with 3+3 notices (42); 6-monthly risk review (41); OTP-e-KYC NFTF loans: term loans only, ≤ ₹60,000 a year (25); full V-CIP standard (27); daily sanctions screening and freeze (54–57); retention split between transaction and identification records (47). FIU-IND timelines are in the PML Rules, not the Directions [VERIFY]</w:t>
            </w:r>
          </w:p>
        </w:tc>
      </w:tr>
      <w:tr>
        <w:tc>
          <w:tcPr>
            <w:tcW w:w="766" w:type="dxa"/>
          </w:tcPr>
          <w:p>
            <w:pPr>
              <w:pStyle w:val="Compact"/>
              <w:spacing w:after="40"/>
              <w:jc w:val="left"/>
            </w:pPr>
            <w:r>
              <w:rPr>
                <w:sz w:val="18"/>
              </w:rPr>
              <w:t xml:space="preserve">17</w:t>
            </w:r>
          </w:p>
        </w:tc>
        <w:tc>
          <w:tcPr>
            <w:tcW w:w="1314" w:type="dxa"/>
          </w:tcPr>
          <w:p>
            <w:pPr>
              <w:pStyle w:val="Compact"/>
              <w:spacing w:after="40"/>
              <w:jc w:val="left"/>
            </w:pPr>
            <w:r>
              <w:rPr>
                <w:sz w:val="18"/>
              </w:rPr>
              <w:t xml:space="preserve">M11 co-lending DLG</w:t>
            </w:r>
          </w:p>
        </w:tc>
        <w:tc>
          <w:tcPr>
            <w:tcW w:w="3049" w:type="dxa"/>
          </w:tcPr>
          <w:p>
            <w:pPr>
              <w:pStyle w:val="Compact"/>
              <w:spacing w:after="40"/>
              <w:jc w:val="left"/>
            </w:pPr>
            <w:r>
              <w:rPr>
                <w:sz w:val="18"/>
              </w:rPr>
              <w:t xml:space="preserve">“</w:t>
            </w:r>
            <w:r>
              <w:rPr>
                <w:sz w:val="18"/>
              </w:rPr>
              <w:t xml:space="preserve">DLG only by the originator, capped at 5% [VERIFY …]</w:t>
            </w:r>
            <w:r>
              <w:rPr>
                <w:sz w:val="18"/>
              </w:rPr>
              <w:t xml:space="preserve">”</w:t>
            </w:r>
          </w:p>
        </w:tc>
        <w:tc>
          <w:tcPr>
            <w:tcW w:w="4509" w:type="dxa"/>
          </w:tcPr>
          <w:p>
            <w:pPr>
              <w:pStyle w:val="Compact"/>
              <w:spacing w:after="40"/>
              <w:jc w:val="left"/>
            </w:pPr>
            <w:r>
              <w:rPr>
                <w:sz w:val="18"/>
              </w:rPr>
              <w:t xml:space="preserve">Originating NBFC only, ≤ 5% of loans outstanding under the CLA, mutatis mutandis CF (TDCR 123)</w:t>
            </w:r>
          </w:p>
        </w:tc>
      </w:tr>
      <w:tr>
        <w:tc>
          <w:tcPr>
            <w:tcW w:w="766" w:type="dxa"/>
          </w:tcPr>
          <w:p>
            <w:pPr>
              <w:pStyle w:val="Compact"/>
              <w:spacing w:after="40"/>
              <w:jc w:val="left"/>
            </w:pPr>
            <w:r>
              <w:rPr>
                <w:sz w:val="18"/>
              </w:rPr>
              <w:t xml:space="preserve">18</w:t>
            </w:r>
          </w:p>
        </w:tc>
        <w:tc>
          <w:tcPr>
            <w:tcW w:w="1314" w:type="dxa"/>
          </w:tcPr>
          <w:p>
            <w:pPr>
              <w:pStyle w:val="Compact"/>
              <w:spacing w:after="40"/>
              <w:jc w:val="left"/>
            </w:pPr>
            <w:r>
              <w:rPr>
                <w:sz w:val="18"/>
              </w:rPr>
              <w:t xml:space="preserve">M11 / Product 17 retention</w:t>
            </w:r>
          </w:p>
        </w:tc>
        <w:tc>
          <w:tcPr>
            <w:tcW w:w="3049" w:type="dxa"/>
          </w:tcPr>
          <w:p>
            <w:pPr>
              <w:pStyle w:val="Compact"/>
              <w:spacing w:after="40"/>
              <w:jc w:val="left"/>
            </w:pPr>
            <w:r>
              <w:rPr>
                <w:sz w:val="18"/>
              </w:rPr>
              <w:t xml:space="preserve">“</w:t>
            </w:r>
            <w:r>
              <w:rPr>
                <w:sz w:val="18"/>
              </w:rPr>
              <w:t xml:space="preserve">minimum 10% retention by each lender</w:t>
            </w:r>
            <w:r>
              <w:rPr>
                <w:sz w:val="18"/>
              </w:rPr>
              <w:t xml:space="preserve">”</w:t>
            </w:r>
          </w:p>
        </w:tc>
        <w:tc>
          <w:tcPr>
            <w:tcW w:w="4509" w:type="dxa"/>
          </w:tcPr>
          <w:p>
            <w:pPr>
              <w:pStyle w:val="Compact"/>
              <w:spacing w:after="40"/>
              <w:jc w:val="left"/>
            </w:pPr>
            <w:r>
              <w:rPr>
                <w:sz w:val="18"/>
              </w:rPr>
              <w:t xml:space="preserve">Each NBFC party retains ≥ 10% of each individual loan (TDCR 102)</w:t>
            </w:r>
          </w:p>
        </w:tc>
      </w:tr>
      <w:tr>
        <w:tc>
          <w:tcPr>
            <w:tcW w:w="766" w:type="dxa"/>
          </w:tcPr>
          <w:p>
            <w:pPr>
              <w:pStyle w:val="Compact"/>
              <w:spacing w:after="40"/>
              <w:jc w:val="left"/>
            </w:pPr>
            <w:r>
              <w:rPr>
                <w:sz w:val="18"/>
              </w:rPr>
              <w:t xml:space="preserve">19</w:t>
            </w:r>
          </w:p>
        </w:tc>
        <w:tc>
          <w:tcPr>
            <w:tcW w:w="1314" w:type="dxa"/>
          </w:tcPr>
          <w:p>
            <w:pPr>
              <w:pStyle w:val="Compact"/>
              <w:spacing w:after="40"/>
              <w:jc w:val="left"/>
            </w:pPr>
            <w:r>
              <w:rPr>
                <w:sz w:val="18"/>
              </w:rPr>
              <w:t xml:space="preserve">M11 DA</w:t>
            </w:r>
          </w:p>
        </w:tc>
        <w:tc>
          <w:tcPr>
            <w:tcW w:w="3049" w:type="dxa"/>
          </w:tcPr>
          <w:p>
            <w:pPr>
              <w:pStyle w:val="Compact"/>
              <w:spacing w:after="40"/>
              <w:jc w:val="left"/>
            </w:pPr>
            <w:r>
              <w:rPr>
                <w:sz w:val="18"/>
              </w:rPr>
              <w:t xml:space="preserve">“</w:t>
            </w:r>
            <w:r>
              <w:rPr>
                <w:sz w:val="18"/>
              </w:rPr>
              <w:t xml:space="preserve">buy-back and clean-up</w:t>
            </w:r>
            <w:r>
              <w:rPr>
                <w:sz w:val="18"/>
              </w:rPr>
              <w:t xml:space="preserve">”</w:t>
            </w:r>
          </w:p>
        </w:tc>
        <w:tc>
          <w:tcPr>
            <w:tcW w:w="4509" w:type="dxa"/>
          </w:tcPr>
          <w:p>
            <w:pPr>
              <w:pStyle w:val="Compact"/>
              <w:spacing w:after="40"/>
              <w:jc w:val="left"/>
            </w:pPr>
            <w:r>
              <w:rPr>
                <w:sz w:val="18"/>
              </w:rPr>
              <w:t xml:space="preserve">No re-acquisition except under a resolution plan; replacement only for reps/warranties within 30 days (DA) or 120 days (securitisation) (TDCR 17, 52; SEC 30)</w:t>
            </w:r>
          </w:p>
        </w:tc>
      </w:tr>
      <w:tr>
        <w:tc>
          <w:tcPr>
            <w:tcW w:w="766" w:type="dxa"/>
          </w:tcPr>
          <w:p>
            <w:pPr>
              <w:pStyle w:val="Compact"/>
              <w:spacing w:after="40"/>
              <w:jc w:val="left"/>
            </w:pPr>
            <w:r>
              <w:rPr>
                <w:sz w:val="18"/>
              </w:rPr>
              <w:t xml:space="preserve">20</w:t>
            </w:r>
          </w:p>
        </w:tc>
        <w:tc>
          <w:tcPr>
            <w:tcW w:w="1314" w:type="dxa"/>
          </w:tcPr>
          <w:p>
            <w:pPr>
              <w:pStyle w:val="Compact"/>
              <w:spacing w:after="40"/>
              <w:jc w:val="left"/>
            </w:pPr>
            <w:r>
              <w:rPr>
                <w:sz w:val="18"/>
              </w:rPr>
              <w:t xml:space="preserve">M11 DA source</w:t>
            </w:r>
          </w:p>
        </w:tc>
        <w:tc>
          <w:tcPr>
            <w:tcW w:w="3049" w:type="dxa"/>
          </w:tcPr>
          <w:p>
            <w:pPr>
              <w:pStyle w:val="Compact"/>
              <w:spacing w:after="40"/>
              <w:jc w:val="left"/>
            </w:pPr>
            <w:r>
              <w:rPr>
                <w:sz w:val="18"/>
              </w:rPr>
              <w:t xml:space="preserve">“</w:t>
            </w:r>
            <w:r>
              <w:rPr>
                <w:sz w:val="18"/>
              </w:rPr>
              <w:t xml:space="preserve">Securitisation Transactions Directions … and the transfer provisions [VERIFY]</w:t>
            </w:r>
            <w:r>
              <w:rPr>
                <w:sz w:val="18"/>
              </w:rPr>
              <w:t xml:space="preserve">”</w:t>
            </w:r>
          </w:p>
        </w:tc>
        <w:tc>
          <w:tcPr>
            <w:tcW w:w="4509" w:type="dxa"/>
          </w:tcPr>
          <w:p>
            <w:pPr>
              <w:pStyle w:val="Compact"/>
              <w:spacing w:after="40"/>
              <w:jc w:val="left"/>
            </w:pPr>
            <w:r>
              <w:rPr>
                <w:sz w:val="18"/>
              </w:rPr>
              <w:t xml:space="preserve">DA is under TDCR Part A (352); securitisation under SEC (353)</w:t>
            </w:r>
          </w:p>
        </w:tc>
      </w:tr>
      <w:tr>
        <w:tc>
          <w:tcPr>
            <w:tcW w:w="766" w:type="dxa"/>
          </w:tcPr>
          <w:p>
            <w:pPr>
              <w:pStyle w:val="Compact"/>
              <w:spacing w:after="40"/>
              <w:jc w:val="left"/>
            </w:pPr>
            <w:r>
              <w:rPr>
                <w:sz w:val="18"/>
              </w:rPr>
              <w:t xml:space="preserve">21</w:t>
            </w:r>
          </w:p>
        </w:tc>
        <w:tc>
          <w:tcPr>
            <w:tcW w:w="1314" w:type="dxa"/>
          </w:tcPr>
          <w:p>
            <w:pPr>
              <w:pStyle w:val="Compact"/>
              <w:spacing w:after="40"/>
              <w:jc w:val="left"/>
            </w:pPr>
            <w:r>
              <w:rPr>
                <w:sz w:val="18"/>
              </w:rPr>
              <w:t xml:space="preserve">M11 accounting</w:t>
            </w:r>
          </w:p>
        </w:tc>
        <w:tc>
          <w:tcPr>
            <w:tcW w:w="3049" w:type="dxa"/>
          </w:tcPr>
          <w:p>
            <w:pPr>
              <w:pStyle w:val="Compact"/>
              <w:spacing w:after="40"/>
              <w:jc w:val="left"/>
            </w:pPr>
            <w:r>
              <w:rPr>
                <w:sz w:val="18"/>
              </w:rPr>
              <w:t xml:space="preserve">“</w:t>
            </w:r>
            <w:r>
              <w:rPr>
                <w:sz w:val="18"/>
              </w:rPr>
              <w:t xml:space="preserve">de-recognition tests under Ind AS 109</w:t>
            </w:r>
            <w:r>
              <w:rPr>
                <w:sz w:val="18"/>
              </w:rPr>
              <w:t xml:space="preserve">”</w:t>
            </w:r>
          </w:p>
        </w:tc>
        <w:tc>
          <w:tcPr>
            <w:tcW w:w="4509" w:type="dxa"/>
          </w:tcPr>
          <w:p>
            <w:pPr>
              <w:pStyle w:val="Compact"/>
              <w:spacing w:after="40"/>
              <w:jc w:val="left"/>
            </w:pPr>
            <w:r>
              <w:rPr>
                <w:sz w:val="18"/>
              </w:rPr>
              <w:t xml:space="preserve">Cash sale; Ind AS and ICAI advisories; unrealised profit off CET1/NOF; non-Ind AS unrealised-gain account (TDCR 38, 45, 72; SEC 31–34)</w:t>
            </w:r>
          </w:p>
        </w:tc>
      </w:tr>
      <w:tr>
        <w:tc>
          <w:tcPr>
            <w:tcW w:w="766" w:type="dxa"/>
          </w:tcPr>
          <w:p>
            <w:pPr>
              <w:pStyle w:val="Compact"/>
              <w:spacing w:after="40"/>
              <w:jc w:val="left"/>
            </w:pPr>
            <w:r>
              <w:rPr>
                <w:sz w:val="18"/>
              </w:rPr>
              <w:t xml:space="preserve">22</w:t>
            </w:r>
          </w:p>
        </w:tc>
        <w:tc>
          <w:tcPr>
            <w:tcW w:w="1314" w:type="dxa"/>
          </w:tcPr>
          <w:p>
            <w:pPr>
              <w:pStyle w:val="Compact"/>
              <w:spacing w:after="40"/>
              <w:jc w:val="left"/>
            </w:pPr>
            <w:r>
              <w:rPr>
                <w:sz w:val="18"/>
              </w:rPr>
              <w:t xml:space="preserve">Part 8.2</w:t>
            </w:r>
          </w:p>
        </w:tc>
        <w:tc>
          <w:tcPr>
            <w:tcW w:w="3049" w:type="dxa"/>
          </w:tcPr>
          <w:p>
            <w:pPr>
              <w:pStyle w:val="Compact"/>
              <w:spacing w:after="40"/>
              <w:jc w:val="left"/>
            </w:pPr>
            <w:r>
              <w:rPr>
                <w:sz w:val="18"/>
              </w:rPr>
              <w:t xml:space="preserve">Co-lending row citing the 6 Aug 2025 Directions only</w:t>
            </w:r>
          </w:p>
        </w:tc>
        <w:tc>
          <w:tcPr>
            <w:tcW w:w="4509" w:type="dxa"/>
          </w:tcPr>
          <w:p>
            <w:pPr>
              <w:pStyle w:val="Compact"/>
              <w:spacing w:after="40"/>
              <w:jc w:val="left"/>
            </w:pPr>
            <w:r>
              <w:rPr>
                <w:sz w:val="18"/>
              </w:rPr>
              <w:t xml:space="preserve">Full TDCR Part A + Part B row (352)</w:t>
            </w:r>
          </w:p>
        </w:tc>
      </w:tr>
      <w:tr>
        <w:tc>
          <w:tcPr>
            <w:tcW w:w="766" w:type="dxa"/>
          </w:tcPr>
          <w:p>
            <w:pPr>
              <w:pStyle w:val="Compact"/>
              <w:spacing w:after="40"/>
              <w:jc w:val="left"/>
            </w:pPr>
            <w:r>
              <w:rPr>
                <w:sz w:val="18"/>
              </w:rPr>
              <w:t xml:space="preserve">23</w:t>
            </w:r>
          </w:p>
        </w:tc>
        <w:tc>
          <w:tcPr>
            <w:tcW w:w="1314" w:type="dxa"/>
          </w:tcPr>
          <w:p>
            <w:pPr>
              <w:pStyle w:val="Compact"/>
              <w:spacing w:after="40"/>
              <w:jc w:val="left"/>
            </w:pPr>
            <w:r>
              <w:rPr>
                <w:sz w:val="18"/>
              </w:rPr>
              <w:t xml:space="preserve">Part 8.2</w:t>
            </w:r>
          </w:p>
        </w:tc>
        <w:tc>
          <w:tcPr>
            <w:tcW w:w="3049" w:type="dxa"/>
          </w:tcPr>
          <w:p>
            <w:pPr>
              <w:pStyle w:val="Compact"/>
              <w:spacing w:after="40"/>
              <w:jc w:val="left"/>
            </w:pPr>
            <w:r>
              <w:rPr>
                <w:sz w:val="18"/>
              </w:rPr>
              <w:t xml:space="preserve">Securitisation row</w:t>
            </w:r>
            <w:r>
              <w:rPr>
                <w:sz w:val="18"/>
              </w:rPr>
              <w:t xml:space="preserve"> </w:t>
            </w:r>
            <w:r>
              <w:rPr>
                <w:sz w:val="18"/>
              </w:rPr>
              <w:t xml:space="preserve">“</w:t>
            </w:r>
            <w:r>
              <w:rPr>
                <w:sz w:val="18"/>
              </w:rPr>
              <w:t xml:space="preserve">MHP/MRR, pools, servicing</w:t>
            </w:r>
            <w:r>
              <w:rPr>
                <w:sz w:val="18"/>
              </w:rPr>
              <w:t xml:space="preserve">”</w:t>
            </w:r>
          </w:p>
        </w:tc>
        <w:tc>
          <w:tcPr>
            <w:tcW w:w="4509" w:type="dxa"/>
          </w:tcPr>
          <w:p>
            <w:pPr>
              <w:pStyle w:val="Compact"/>
              <w:spacing w:after="40"/>
              <w:jc w:val="left"/>
            </w:pPr>
            <w:r>
              <w:rPr>
                <w:sz w:val="18"/>
              </w:rPr>
              <w:t xml:space="preserve">Full SEC control list (353)</w:t>
            </w:r>
          </w:p>
        </w:tc>
      </w:tr>
      <w:tr>
        <w:tc>
          <w:tcPr>
            <w:tcW w:w="766" w:type="dxa"/>
          </w:tcPr>
          <w:p>
            <w:pPr>
              <w:pStyle w:val="Compact"/>
              <w:spacing w:after="40"/>
              <w:jc w:val="left"/>
            </w:pPr>
            <w:r>
              <w:rPr>
                <w:sz w:val="18"/>
              </w:rPr>
              <w:t xml:space="preserve">24</w:t>
            </w:r>
          </w:p>
        </w:tc>
        <w:tc>
          <w:tcPr>
            <w:tcW w:w="1314" w:type="dxa"/>
          </w:tcPr>
          <w:p>
            <w:pPr>
              <w:pStyle w:val="Compact"/>
              <w:spacing w:after="40"/>
              <w:jc w:val="left"/>
            </w:pPr>
            <w:r>
              <w:rPr>
                <w:sz w:val="18"/>
              </w:rPr>
              <w:t xml:space="preserve">Scale-based regulation</w:t>
            </w:r>
          </w:p>
        </w:tc>
        <w:tc>
          <w:tcPr>
            <w:tcW w:w="3049" w:type="dxa"/>
          </w:tcPr>
          <w:p>
            <w:pPr>
              <w:pStyle w:val="Compact"/>
              <w:spacing w:after="40"/>
              <w:jc w:val="left"/>
            </w:pPr>
            <w:r>
              <w:rPr>
                <w:sz w:val="18"/>
              </w:rPr>
              <w:t xml:space="preserve">“</w:t>
            </w:r>
            <w:r>
              <w:rPr>
                <w:sz w:val="18"/>
              </w:rPr>
              <w:t xml:space="preserve">as amended 2026 (Upper Layer threshold of ₹1 lakh crore assets; Unregistered Type I NBFC category)</w:t>
            </w:r>
            <w:r>
              <w:rPr>
                <w:sz w:val="18"/>
              </w:rPr>
              <w:t xml:space="preserve">”</w:t>
            </w:r>
          </w:p>
        </w:tc>
        <w:tc>
          <w:tcPr>
            <w:tcW w:w="4509" w:type="dxa"/>
          </w:tcPr>
          <w:p>
            <w:pPr>
              <w:pStyle w:val="Compact"/>
              <w:spacing w:after="40"/>
              <w:jc w:val="left"/>
            </w:pPr>
            <w:r>
              <w:rPr>
                <w:sz w:val="18"/>
              </w:rPr>
              <w:t xml:space="preserve">Supplied copy is the original 28 Nov 2025 text: UL by parametric scoring plus top-10 rule; no Type I category. Any 2026 amendment [VERIFY] (SBR 24–26)</w:t>
            </w:r>
          </w:p>
        </w:tc>
      </w:tr>
      <w:tr>
        <w:tc>
          <w:tcPr>
            <w:tcW w:w="766" w:type="dxa"/>
          </w:tcPr>
          <w:p>
            <w:pPr>
              <w:pStyle w:val="Compact"/>
              <w:spacing w:after="40"/>
              <w:jc w:val="left"/>
            </w:pPr>
            <w:r>
              <w:rPr>
                <w:sz w:val="18"/>
              </w:rPr>
              <w:t xml:space="preserve">25</w:t>
            </w:r>
          </w:p>
        </w:tc>
        <w:tc>
          <w:tcPr>
            <w:tcW w:w="1314" w:type="dxa"/>
          </w:tcPr>
          <w:p>
            <w:pPr>
              <w:pStyle w:val="Compact"/>
              <w:spacing w:after="40"/>
              <w:jc w:val="left"/>
            </w:pPr>
            <w:r>
              <w:rPr>
                <w:sz w:val="18"/>
              </w:rPr>
              <w:t xml:space="preserve">Capital</w:t>
            </w:r>
          </w:p>
        </w:tc>
        <w:tc>
          <w:tcPr>
            <w:tcW w:w="3049" w:type="dxa"/>
          </w:tcPr>
          <w:p>
            <w:pPr>
              <w:pStyle w:val="Compact"/>
              <w:spacing w:after="40"/>
              <w:jc w:val="left"/>
            </w:pPr>
            <w:r>
              <w:rPr>
                <w:sz w:val="18"/>
              </w:rPr>
              <w:t xml:space="preserve">CRAR, Tier 1/Tier 2 and RWAs</w:t>
            </w:r>
            <w:r>
              <w:rPr>
                <w:sz w:val="18"/>
              </w:rPr>
              <w:t xml:space="preserve"> </w:t>
            </w:r>
            <w:r>
              <w:rPr>
                <w:sz w:val="18"/>
              </w:rPr>
              <w:t xml:space="preserve">“</w:t>
            </w:r>
            <w:r>
              <w:rPr>
                <w:sz w:val="18"/>
              </w:rPr>
              <w:t xml:space="preserve">[VERIFY — not yet supplied]</w:t>
            </w:r>
            <w:r>
              <w:rPr>
                <w:sz w:val="18"/>
              </w:rPr>
              <w:t xml:space="preserve">”</w:t>
            </w:r>
          </w:p>
        </w:tc>
        <w:tc>
          <w:tcPr>
            <w:tcW w:w="4509" w:type="dxa"/>
          </w:tcPr>
          <w:p>
            <w:pPr>
              <w:pStyle w:val="Compact"/>
              <w:spacing w:after="40"/>
              <w:jc w:val="left"/>
            </w:pPr>
            <w:r>
              <w:rPr>
                <w:sz w:val="18"/>
              </w:rPr>
              <w:t xml:space="preserve">Full RWA/CRAR engine: minimums by profile, capital elements and deductions, RW/CCF tables, guarantee schemes, CEM, SEC-ERBA, BL leverage ≤ 7; no CCB or Pillar 1 op/market risk charge (CAP 6–54)</w:t>
            </w:r>
          </w:p>
        </w:tc>
      </w:tr>
      <w:tr>
        <w:tc>
          <w:tcPr>
            <w:tcW w:w="766" w:type="dxa"/>
          </w:tcPr>
          <w:p>
            <w:pPr>
              <w:pStyle w:val="Compact"/>
              <w:spacing w:after="40"/>
              <w:jc w:val="left"/>
            </w:pPr>
            <w:r>
              <w:rPr>
                <w:sz w:val="18"/>
              </w:rPr>
              <w:t xml:space="preserve">26</w:t>
            </w:r>
          </w:p>
        </w:tc>
        <w:tc>
          <w:tcPr>
            <w:tcW w:w="1314" w:type="dxa"/>
          </w:tcPr>
          <w:p>
            <w:pPr>
              <w:pStyle w:val="Compact"/>
              <w:spacing w:after="40"/>
              <w:jc w:val="left"/>
            </w:pPr>
            <w:r>
              <w:rPr>
                <w:sz w:val="18"/>
              </w:rPr>
              <w:t xml:space="preserve">ICAAP</w:t>
            </w:r>
          </w:p>
        </w:tc>
        <w:tc>
          <w:tcPr>
            <w:tcW w:w="3049" w:type="dxa"/>
          </w:tcPr>
          <w:p>
            <w:pPr>
              <w:pStyle w:val="Compact"/>
              <w:spacing w:after="40"/>
              <w:jc w:val="left"/>
            </w:pPr>
            <w:r>
              <w:rPr>
                <w:sz w:val="18"/>
              </w:rPr>
              <w:t xml:space="preserve">Generic ICAAP mart</w:t>
            </w:r>
          </w:p>
        </w:tc>
        <w:tc>
          <w:tcPr>
            <w:tcW w:w="4509" w:type="dxa"/>
          </w:tcPr>
          <w:p>
            <w:pPr>
              <w:pStyle w:val="Compact"/>
              <w:spacing w:after="40"/>
              <w:jc w:val="left"/>
            </w:pPr>
            <w:r>
              <w:rPr>
                <w:sz w:val="18"/>
              </w:rPr>
              <w:t xml:space="preserve">ML and above only; Pillar 2 capital not insisted upon (CAP 54)</w:t>
            </w:r>
          </w:p>
        </w:tc>
      </w:tr>
      <w:tr>
        <w:tc>
          <w:tcPr>
            <w:tcW w:w="766" w:type="dxa"/>
          </w:tcPr>
          <w:p>
            <w:pPr>
              <w:pStyle w:val="Compact"/>
              <w:spacing w:after="40"/>
              <w:jc w:val="left"/>
            </w:pPr>
            <w:r>
              <w:rPr>
                <w:sz w:val="18"/>
              </w:rPr>
              <w:t xml:space="preserve">27</w:t>
            </w:r>
          </w:p>
        </w:tc>
        <w:tc>
          <w:tcPr>
            <w:tcW w:w="1314" w:type="dxa"/>
          </w:tcPr>
          <w:p>
            <w:pPr>
              <w:pStyle w:val="Compact"/>
              <w:spacing w:after="40"/>
              <w:jc w:val="left"/>
            </w:pPr>
            <w:r>
              <w:rPr>
                <w:sz w:val="18"/>
              </w:rPr>
              <w:t xml:space="preserve">Post-dated cheques</w:t>
            </w:r>
          </w:p>
        </w:tc>
        <w:tc>
          <w:tcPr>
            <w:tcW w:w="3049" w:type="dxa"/>
          </w:tcPr>
          <w:p>
            <w:pPr>
              <w:pStyle w:val="Compact"/>
              <w:spacing w:after="40"/>
              <w:jc w:val="left"/>
            </w:pPr>
            <w:r>
              <w:rPr>
                <w:sz w:val="18"/>
              </w:rPr>
              <w:t xml:space="preserve">Fineract PDC pattern unqualified</w:t>
            </w:r>
          </w:p>
        </w:tc>
        <w:tc>
          <w:tcPr>
            <w:tcW w:w="4509" w:type="dxa"/>
          </w:tcPr>
          <w:p>
            <w:pPr>
              <w:pStyle w:val="Compact"/>
              <w:spacing w:after="40"/>
              <w:jc w:val="left"/>
            </w:pPr>
            <w:r>
              <w:rPr>
                <w:sz w:val="18"/>
              </w:rPr>
              <w:t xml:space="preserve">No fresh PDCs/EMI cheques alongside NACH; CTS-2010 only where NACH is unavailable (MISC 23)</w:t>
            </w:r>
          </w:p>
        </w:tc>
      </w:tr>
      <w:tr>
        <w:tc>
          <w:tcPr>
            <w:tcW w:w="766" w:type="dxa"/>
          </w:tcPr>
          <w:p>
            <w:pPr>
              <w:pStyle w:val="Compact"/>
              <w:spacing w:after="40"/>
              <w:jc w:val="left"/>
            </w:pPr>
            <w:r>
              <w:rPr>
                <w:sz w:val="18"/>
              </w:rPr>
              <w:t xml:space="preserve">28</w:t>
            </w:r>
          </w:p>
        </w:tc>
        <w:tc>
          <w:tcPr>
            <w:tcW w:w="1314" w:type="dxa"/>
          </w:tcPr>
          <w:p>
            <w:pPr>
              <w:pStyle w:val="Compact"/>
              <w:spacing w:after="40"/>
              <w:jc w:val="left"/>
            </w:pPr>
            <w:r>
              <w:rPr>
                <w:sz w:val="18"/>
              </w:rPr>
              <w:t xml:space="preserve">Rounding</w:t>
            </w:r>
          </w:p>
        </w:tc>
        <w:tc>
          <w:tcPr>
            <w:tcW w:w="3049" w:type="dxa"/>
          </w:tcPr>
          <w:p>
            <w:pPr>
              <w:pStyle w:val="Compact"/>
              <w:spacing w:after="40"/>
              <w:jc w:val="left"/>
            </w:pPr>
            <w:r>
              <w:rPr>
                <w:sz w:val="18"/>
              </w:rPr>
              <w:t xml:space="preserve">Nearest-rupee rounding</w:t>
            </w:r>
            <w:r>
              <w:rPr>
                <w:sz w:val="18"/>
              </w:rPr>
              <w:t xml:space="preserve"> </w:t>
            </w:r>
            <w:r>
              <w:rPr>
                <w:sz w:val="18"/>
              </w:rPr>
              <w:t xml:space="preserve">“</w:t>
            </w:r>
            <w:r>
              <w:rPr>
                <w:sz w:val="18"/>
              </w:rPr>
              <w:t xml:space="preserve">where RBC para 103 requires it [VERIFY scope]</w:t>
            </w:r>
            <w:r>
              <w:rPr>
                <w:sz w:val="18"/>
              </w:rPr>
              <w:t xml:space="preserve">”</w:t>
            </w:r>
          </w:p>
        </w:tc>
        <w:tc>
          <w:tcPr>
            <w:tcW w:w="4509" w:type="dxa"/>
          </w:tcPr>
          <w:p>
            <w:pPr>
              <w:pStyle w:val="Compact"/>
              <w:spacing w:after="40"/>
              <w:jc w:val="left"/>
            </w:pPr>
            <w:r>
              <w:rPr>
                <w:sz w:val="18"/>
              </w:rPr>
              <w:t xml:space="preserve">All transactions, all layers incl. HFC and CIC (MISC 27; RBC 103)</w:t>
            </w:r>
          </w:p>
        </w:tc>
      </w:tr>
      <w:tr>
        <w:tc>
          <w:tcPr>
            <w:tcW w:w="766" w:type="dxa"/>
          </w:tcPr>
          <w:p>
            <w:pPr>
              <w:pStyle w:val="Compact"/>
              <w:spacing w:after="40"/>
              <w:jc w:val="left"/>
            </w:pPr>
            <w:r>
              <w:rPr>
                <w:sz w:val="18"/>
              </w:rPr>
              <w:t xml:space="preserve">29</w:t>
            </w:r>
          </w:p>
        </w:tc>
        <w:tc>
          <w:tcPr>
            <w:tcW w:w="1314" w:type="dxa"/>
          </w:tcPr>
          <w:p>
            <w:pPr>
              <w:pStyle w:val="Compact"/>
              <w:spacing w:after="40"/>
              <w:jc w:val="left"/>
            </w:pPr>
            <w:r>
              <w:rPr>
                <w:sz w:val="18"/>
              </w:rPr>
              <w:t xml:space="preserve">Dividends; Miscellaneous</w:t>
            </w:r>
          </w:p>
        </w:tc>
        <w:tc>
          <w:tcPr>
            <w:tcW w:w="3049" w:type="dxa"/>
          </w:tcPr>
          <w:p>
            <w:pPr>
              <w:pStyle w:val="Compact"/>
              <w:spacing w:after="40"/>
              <w:jc w:val="left"/>
            </w:pPr>
            <w:r>
              <w:rPr>
                <w:sz w:val="18"/>
              </w:rPr>
              <w:t xml:space="preserve">Not covered</w:t>
            </w:r>
          </w:p>
        </w:tc>
        <w:tc>
          <w:tcPr>
            <w:tcW w:w="4509" w:type="dxa"/>
          </w:tcPr>
          <w:p>
            <w:pPr>
              <w:pStyle w:val="Compact"/>
              <w:spacing w:after="40"/>
              <w:jc w:val="left"/>
            </w:pPr>
            <w:r>
              <w:rPr>
                <w:sz w:val="18"/>
              </w:rPr>
              <w:t xml:space="preserve">DIV and MISC added (Parts 8A.26–8A.27)</w:t>
            </w:r>
          </w:p>
        </w:tc>
      </w:tr>
      <w:tr>
        <w:tc>
          <w:tcPr>
            <w:tcW w:w="766" w:type="dxa"/>
          </w:tcPr>
          <w:p>
            <w:pPr>
              <w:pStyle w:val="Compact"/>
              <w:spacing w:after="40"/>
              <w:jc w:val="left"/>
            </w:pPr>
            <w:r>
              <w:rPr>
                <w:sz w:val="18"/>
              </w:rPr>
              <w:t xml:space="preserve">30</w:t>
            </w:r>
          </w:p>
        </w:tc>
        <w:tc>
          <w:tcPr>
            <w:tcW w:w="1314" w:type="dxa"/>
          </w:tcPr>
          <w:p>
            <w:pPr>
              <w:pStyle w:val="Compact"/>
              <w:spacing w:after="40"/>
              <w:jc w:val="left"/>
            </w:pPr>
            <w:r>
              <w:rPr>
                <w:sz w:val="18"/>
              </w:rPr>
              <w:t xml:space="preserve">Outsourcing</w:t>
            </w:r>
          </w:p>
        </w:tc>
        <w:tc>
          <w:tcPr>
            <w:tcW w:w="3049" w:type="dxa"/>
          </w:tcPr>
          <w:p>
            <w:pPr>
              <w:pStyle w:val="Compact"/>
              <w:spacing w:after="40"/>
              <w:jc w:val="left"/>
            </w:pPr>
            <w:r>
              <w:rPr>
                <w:sz w:val="18"/>
              </w:rPr>
              <w:t xml:space="preserve">Register</w:t>
            </w:r>
            <w:r>
              <w:rPr>
                <w:sz w:val="18"/>
              </w:rPr>
              <w:t xml:space="preserve"> </w:t>
            </w:r>
            <w:r>
              <w:rPr>
                <w:sz w:val="18"/>
              </w:rPr>
              <w:t xml:space="preserve">“</w:t>
            </w:r>
            <w:r>
              <w:rPr>
                <w:sz w:val="18"/>
              </w:rPr>
              <w:t xml:space="preserve">as required by the Outsourcing Directions [VERIFY]</w:t>
            </w:r>
            <w:r>
              <w:rPr>
                <w:sz w:val="18"/>
              </w:rPr>
              <w:t xml:space="preserve">”</w:t>
            </w:r>
            <w:r>
              <w:rPr>
                <w:sz w:val="18"/>
              </w:rPr>
              <w:t xml:space="preserve">; contract clauses</w:t>
            </w:r>
            <w:r>
              <w:rPr>
                <w:sz w:val="18"/>
              </w:rPr>
              <w:t xml:space="preserve"> </w:t>
            </w:r>
            <w:r>
              <w:rPr>
                <w:sz w:val="18"/>
              </w:rPr>
              <w:t xml:space="preserve">“</w:t>
            </w:r>
            <w:r>
              <w:rPr>
                <w:sz w:val="18"/>
              </w:rPr>
              <w:t xml:space="preserve">[VERIFY]</w:t>
            </w:r>
            <w:r>
              <w:rPr>
                <w:sz w:val="18"/>
              </w:rPr>
              <w:t xml:space="preserve">”</w:t>
            </w:r>
          </w:p>
        </w:tc>
        <w:tc>
          <w:tcPr>
            <w:tcW w:w="4509" w:type="dxa"/>
          </w:tcPr>
          <w:p>
            <w:pPr>
              <w:pStyle w:val="Compact"/>
              <w:spacing w:after="40"/>
              <w:jc w:val="left"/>
            </w:pPr>
            <w:r>
              <w:rPr>
                <w:sz w:val="18"/>
              </w:rPr>
              <w:t xml:space="preserve">OUT 363 verified: 10 Apr 2026 deadline for existing IT contracts; non-outsourceable functions; clause lists 34/74; 6-hour clock from provider detection; NBFC-controlled keys; exit and purge; Finbyx obligations (Part 10.6 items 13–30) (OUT 2, 15, 34, 61, 74, 97)</w:t>
            </w:r>
          </w:p>
        </w:tc>
      </w:tr>
      <w:tr>
        <w:tc>
          <w:tcPr>
            <w:tcW w:w="766" w:type="dxa"/>
          </w:tcPr>
          <w:p>
            <w:pPr>
              <w:pStyle w:val="Compact"/>
              <w:spacing w:after="40"/>
              <w:jc w:val="left"/>
            </w:pPr>
            <w:r>
              <w:rPr>
                <w:sz w:val="18"/>
              </w:rPr>
              <w:t xml:space="preserve">31</w:t>
            </w:r>
          </w:p>
        </w:tc>
        <w:tc>
          <w:tcPr>
            <w:tcW w:w="1314" w:type="dxa"/>
          </w:tcPr>
          <w:p>
            <w:pPr>
              <w:pStyle w:val="Compact"/>
              <w:spacing w:after="40"/>
              <w:jc w:val="left"/>
            </w:pPr>
            <w:r>
              <w:rPr>
                <w:sz w:val="18"/>
              </w:rPr>
              <w:t xml:space="preserve">CF third-party reference</w:t>
            </w:r>
          </w:p>
        </w:tc>
        <w:tc>
          <w:tcPr>
            <w:tcW w:w="3049" w:type="dxa"/>
          </w:tcPr>
          <w:p>
            <w:pPr>
              <w:pStyle w:val="Compact"/>
              <w:spacing w:after="40"/>
              <w:jc w:val="left"/>
            </w:pPr>
            <w:r>
              <w:rPr>
                <w:sz w:val="18"/>
              </w:rPr>
              <w:t xml:space="preserve">“</w:t>
            </w:r>
            <w:r>
              <w:rPr>
                <w:sz w:val="18"/>
              </w:rPr>
              <w:t xml:space="preserve">[VERIFY which is current]</w:t>
            </w:r>
            <w:r>
              <w:rPr>
                <w:sz w:val="18"/>
              </w:rPr>
              <w:t xml:space="preserve">”</w:t>
            </w:r>
            <w:r>
              <w:rPr>
                <w:sz w:val="18"/>
              </w:rPr>
              <w:t xml:space="preserve"> </w:t>
            </w:r>
            <w:r>
              <w:rPr>
                <w:sz w:val="18"/>
              </w:rPr>
              <w:t xml:space="preserve">(CF 6(6) vs 62(2))</w:t>
            </w:r>
          </w:p>
        </w:tc>
        <w:tc>
          <w:tcPr>
            <w:tcW w:w="4509" w:type="dxa"/>
          </w:tcPr>
          <w:p>
            <w:pPr>
              <w:pStyle w:val="Compact"/>
              <w:spacing w:after="40"/>
              <w:jc w:val="left"/>
            </w:pPr>
            <w:r>
              <w:rPr>
                <w:sz w:val="18"/>
              </w:rPr>
              <w:t xml:space="preserve">No</w:t>
            </w:r>
            <w:r>
              <w:rPr>
                <w:sz w:val="18"/>
              </w:rPr>
              <w:t xml:space="preserve"> </w:t>
            </w:r>
            <w:r>
              <w:rPr>
                <w:sz w:val="18"/>
              </w:rPr>
              <w:t xml:space="preserve">“</w:t>
            </w:r>
            <w:r>
              <w:rPr>
                <w:sz w:val="18"/>
              </w:rPr>
              <w:t xml:space="preserve">Third-Party Dependencies</w:t>
            </w:r>
            <w:r>
              <w:rPr>
                <w:sz w:val="18"/>
              </w:rPr>
              <w:t xml:space="preserve">”</w:t>
            </w:r>
            <w:r>
              <w:rPr>
                <w:sz w:val="18"/>
              </w:rPr>
              <w:t xml:space="preserve"> </w:t>
            </w:r>
            <w:r>
              <w:rPr>
                <w:sz w:val="18"/>
              </w:rPr>
              <w:t xml:space="preserve">Direction; 62(2) is a slip; OUT 363 applies (OUT 1)</w:t>
            </w:r>
          </w:p>
        </w:tc>
      </w:tr>
      <w:tr>
        <w:tc>
          <w:tcPr>
            <w:tcW w:w="766" w:type="dxa"/>
          </w:tcPr>
          <w:p>
            <w:pPr>
              <w:pStyle w:val="Compact"/>
              <w:spacing w:after="40"/>
              <w:jc w:val="left"/>
            </w:pPr>
            <w:r>
              <w:rPr>
                <w:sz w:val="18"/>
              </w:rPr>
              <w:t xml:space="preserve">32</w:t>
            </w:r>
          </w:p>
        </w:tc>
        <w:tc>
          <w:tcPr>
            <w:tcW w:w="1314" w:type="dxa"/>
          </w:tcPr>
          <w:p>
            <w:pPr>
              <w:pStyle w:val="Compact"/>
              <w:spacing w:after="40"/>
              <w:jc w:val="left"/>
            </w:pPr>
            <w:r>
              <w:rPr>
                <w:sz w:val="18"/>
              </w:rPr>
              <w:t xml:space="preserve">Governance</w:t>
            </w:r>
          </w:p>
        </w:tc>
        <w:tc>
          <w:tcPr>
            <w:tcW w:w="3049" w:type="dxa"/>
          </w:tcPr>
          <w:p>
            <w:pPr>
              <w:pStyle w:val="Compact"/>
              <w:spacing w:after="40"/>
              <w:jc w:val="left"/>
            </w:pPr>
            <w:r>
              <w:rPr>
                <w:sz w:val="18"/>
              </w:rPr>
              <w:t xml:space="preserve">Not covered</w:t>
            </w:r>
          </w:p>
        </w:tc>
        <w:tc>
          <w:tcPr>
            <w:tcW w:w="4509" w:type="dxa"/>
          </w:tcPr>
          <w:p>
            <w:pPr>
              <w:pStyle w:val="Compact"/>
              <w:spacing w:after="40"/>
              <w:jc w:val="left"/>
            </w:pPr>
            <w:r>
              <w:rPr>
                <w:sz w:val="18"/>
              </w:rPr>
              <w:t xml:space="preserve">GOV 344: director fit and proper, quarterly statement, 30% change approval, CRO, KMP and independent-director limits, governance register (GOV 8–43)</w:t>
            </w:r>
          </w:p>
        </w:tc>
      </w:tr>
      <w:tr>
        <w:tc>
          <w:tcPr>
            <w:tcW w:w="766" w:type="dxa"/>
          </w:tcPr>
          <w:p>
            <w:pPr>
              <w:pStyle w:val="Compact"/>
              <w:spacing w:after="40"/>
              <w:jc w:val="left"/>
            </w:pPr>
            <w:r>
              <w:rPr>
                <w:sz w:val="18"/>
              </w:rPr>
              <w:t xml:space="preserve">33</w:t>
            </w:r>
          </w:p>
        </w:tc>
        <w:tc>
          <w:tcPr>
            <w:tcW w:w="1314" w:type="dxa"/>
          </w:tcPr>
          <w:p>
            <w:pPr>
              <w:pStyle w:val="Compact"/>
              <w:spacing w:after="40"/>
              <w:jc w:val="left"/>
            </w:pPr>
            <w:r>
              <w:rPr>
                <w:sz w:val="18"/>
              </w:rPr>
              <w:t xml:space="preserve">Operational risk</w:t>
            </w:r>
          </w:p>
        </w:tc>
        <w:tc>
          <w:tcPr>
            <w:tcW w:w="3049" w:type="dxa"/>
          </w:tcPr>
          <w:p>
            <w:pPr>
              <w:pStyle w:val="Compact"/>
              <w:spacing w:after="40"/>
              <w:jc w:val="left"/>
            </w:pPr>
            <w:r>
              <w:rPr>
                <w:sz w:val="18"/>
              </w:rPr>
              <w:t xml:space="preserve">“</w:t>
            </w:r>
            <w:r>
              <w:rPr>
                <w:sz w:val="18"/>
              </w:rPr>
              <w:t xml:space="preserve">Guidance Note … [VERIFY 2025 version]</w:t>
            </w:r>
            <w:r>
              <w:rPr>
                <w:sz w:val="18"/>
              </w:rPr>
              <w:t xml:space="preserve">”</w:t>
            </w:r>
          </w:p>
        </w:tc>
        <w:tc>
          <w:tcPr>
            <w:tcW w:w="4509" w:type="dxa"/>
          </w:tcPr>
          <w:p>
            <w:pPr>
              <w:pStyle w:val="Compact"/>
              <w:spacing w:after="40"/>
              <w:jc w:val="left"/>
            </w:pPr>
            <w:r>
              <w:rPr>
                <w:sz w:val="18"/>
              </w:rPr>
              <w:t xml:space="preserve">Guidance Note of 28 Nov 2025 (DOR.ORG.REC.301), guidance status: critical operations, impact tolerances, mapping, scenario testing, lessons learned (ORM 31–33, 42, 69, 101)</w:t>
            </w:r>
          </w:p>
        </w:tc>
      </w:tr>
      <w:tr>
        <w:tc>
          <w:tcPr>
            <w:tcW w:w="766" w:type="dxa"/>
          </w:tcPr>
          <w:p>
            <w:pPr>
              <w:pStyle w:val="Compact"/>
              <w:spacing w:after="40"/>
              <w:jc w:val="left"/>
            </w:pPr>
            <w:r>
              <w:rPr>
                <w:sz w:val="18"/>
              </w:rPr>
              <w:t xml:space="preserve">34</w:t>
            </w:r>
          </w:p>
        </w:tc>
        <w:tc>
          <w:tcPr>
            <w:tcW w:w="1314" w:type="dxa"/>
          </w:tcPr>
          <w:p>
            <w:pPr>
              <w:pStyle w:val="Compact"/>
              <w:spacing w:after="40"/>
              <w:jc w:val="left"/>
            </w:pPr>
            <w:r>
              <w:rPr>
                <w:sz w:val="18"/>
              </w:rPr>
              <w:t xml:space="preserve">Incident notice</w:t>
            </w:r>
          </w:p>
        </w:tc>
        <w:tc>
          <w:tcPr>
            <w:tcW w:w="3049" w:type="dxa"/>
          </w:tcPr>
          <w:p>
            <w:pPr>
              <w:pStyle w:val="Compact"/>
              <w:spacing w:after="40"/>
              <w:jc w:val="left"/>
            </w:pPr>
            <w:r>
              <w:rPr>
                <w:sz w:val="18"/>
              </w:rPr>
              <w:t xml:space="preserve">Tenant notice</w:t>
            </w:r>
            <w:r>
              <w:rPr>
                <w:sz w:val="18"/>
              </w:rPr>
              <w:t xml:space="preserve"> </w:t>
            </w:r>
            <w:r>
              <w:rPr>
                <w:sz w:val="18"/>
              </w:rPr>
              <w:t xml:space="preserve">“</w:t>
            </w:r>
            <w:r>
              <w:rPr>
                <w:sz w:val="18"/>
              </w:rPr>
              <w:t xml:space="preserve">fast enough for its DAKSH filing within 6 hours</w:t>
            </w:r>
            <w:r>
              <w:rPr>
                <w:sz w:val="18"/>
              </w:rPr>
              <w:t xml:space="preserve">”</w:t>
            </w:r>
          </w:p>
        </w:tc>
        <w:tc>
          <w:tcPr>
            <w:tcW w:w="4509" w:type="dxa"/>
          </w:tcPr>
          <w:p>
            <w:pPr>
              <w:pStyle w:val="Compact"/>
              <w:spacing w:after="40"/>
              <w:jc w:val="left"/>
            </w:pPr>
            <w:r>
              <w:rPr>
                <w:sz w:val="18"/>
              </w:rPr>
              <w:t xml:space="preserve">The 6-hour clock runs from detection by the service provider (Finbyx) (OUT 61)</w:t>
            </w:r>
          </w:p>
        </w:tc>
      </w:tr>
      <w:tr>
        <w:tc>
          <w:tcPr>
            <w:tcW w:w="766" w:type="dxa"/>
          </w:tcPr>
          <w:p>
            <w:pPr>
              <w:pStyle w:val="Compact"/>
              <w:spacing w:after="40"/>
              <w:jc w:val="left"/>
            </w:pPr>
            <w:r>
              <w:rPr>
                <w:sz w:val="18"/>
              </w:rPr>
              <w:t xml:space="preserve">35</w:t>
            </w:r>
          </w:p>
        </w:tc>
        <w:tc>
          <w:tcPr>
            <w:tcW w:w="1314" w:type="dxa"/>
          </w:tcPr>
          <w:p>
            <w:pPr>
              <w:pStyle w:val="Compact"/>
              <w:spacing w:after="40"/>
              <w:jc w:val="left"/>
            </w:pPr>
            <w:r>
              <w:rPr>
                <w:sz w:val="18"/>
              </w:rPr>
              <w:t xml:space="preserve">Supervisory returns</w:t>
            </w:r>
          </w:p>
        </w:tc>
        <w:tc>
          <w:tcPr>
            <w:tcW w:w="3049" w:type="dxa"/>
          </w:tcPr>
          <w:p>
            <w:pPr>
              <w:pStyle w:val="Compact"/>
              <w:spacing w:after="40"/>
              <w:jc w:val="left"/>
            </w:pPr>
            <w:r>
              <w:rPr>
                <w:sz w:val="18"/>
              </w:rPr>
              <w:t xml:space="preserve">“</w:t>
            </w:r>
            <w:r>
              <w:rPr>
                <w:sz w:val="18"/>
              </w:rPr>
              <w:t xml:space="preserve">CIMS / XBRL returns … sectoral, branch info … [VERIFY the full return list]</w:t>
            </w:r>
            <w:r>
              <w:rPr>
                <w:sz w:val="18"/>
              </w:rPr>
              <w:t xml:space="preserve">”</w:t>
            </w:r>
          </w:p>
        </w:tc>
        <w:tc>
          <w:tcPr>
            <w:tcW w:w="4509" w:type="dxa"/>
          </w:tcPr>
          <w:p>
            <w:pPr>
              <w:pStyle w:val="Compact"/>
              <w:spacing w:after="40"/>
              <w:jc w:val="left"/>
            </w:pPr>
            <w:r>
              <w:rPr>
                <w:sz w:val="18"/>
              </w:rPr>
              <w:t xml:space="preserve">20-item catalogue from SR para 21, no branch-info or sectoral return, no XBRL in the Directions; due dates per paras 22–23 (SR)</w:t>
            </w:r>
          </w:p>
        </w:tc>
      </w:tr>
      <w:tr>
        <w:tc>
          <w:tcPr>
            <w:tcW w:w="766" w:type="dxa"/>
          </w:tcPr>
          <w:p>
            <w:pPr>
              <w:pStyle w:val="Compact"/>
              <w:spacing w:after="40"/>
              <w:jc w:val="left"/>
            </w:pPr>
            <w:r>
              <w:rPr>
                <w:sz w:val="18"/>
              </w:rPr>
              <w:t xml:space="preserve">36</w:t>
            </w:r>
          </w:p>
        </w:tc>
        <w:tc>
          <w:tcPr>
            <w:tcW w:w="1314" w:type="dxa"/>
          </w:tcPr>
          <w:p>
            <w:pPr>
              <w:pStyle w:val="Compact"/>
              <w:spacing w:after="40"/>
              <w:jc w:val="left"/>
            </w:pPr>
            <w:r>
              <w:rPr>
                <w:sz w:val="18"/>
              </w:rPr>
              <w:t xml:space="preserve">ALM returns</w:t>
            </w:r>
          </w:p>
        </w:tc>
        <w:tc>
          <w:tcPr>
            <w:tcW w:w="3049" w:type="dxa"/>
          </w:tcPr>
          <w:p>
            <w:pPr>
              <w:pStyle w:val="Compact"/>
              <w:spacing w:after="40"/>
              <w:jc w:val="left"/>
            </w:pPr>
            <w:r>
              <w:rPr>
                <w:sz w:val="18"/>
              </w:rPr>
              <w:t xml:space="preserve">“</w:t>
            </w:r>
            <w:r>
              <w:rPr>
                <w:sz w:val="18"/>
              </w:rPr>
              <w:t xml:space="preserve">para 58 still cites the 2024 Directions [VERIFY against 2026]</w:t>
            </w:r>
            <w:r>
              <w:rPr>
                <w:sz w:val="18"/>
              </w:rPr>
              <w:t xml:space="preserve">”</w:t>
            </w:r>
          </w:p>
        </w:tc>
        <w:tc>
          <w:tcPr>
            <w:tcW w:w="4509" w:type="dxa"/>
          </w:tcPr>
          <w:p>
            <w:pPr>
              <w:pStyle w:val="Compact"/>
              <w:spacing w:after="40"/>
              <w:jc w:val="left"/>
            </w:pPr>
            <w:r>
              <w:rPr>
                <w:sz w:val="18"/>
              </w:rPr>
              <w:t xml:space="preserve">SR 2026 timelines apply: DNBS04A 21 days, DNBS04B 15 days (SR 21–22)</w:t>
            </w:r>
          </w:p>
        </w:tc>
      </w:tr>
      <w:tr>
        <w:tc>
          <w:tcPr>
            <w:tcW w:w="766" w:type="dxa"/>
          </w:tcPr>
          <w:p>
            <w:pPr>
              <w:pStyle w:val="Compact"/>
              <w:spacing w:after="40"/>
              <w:jc w:val="left"/>
            </w:pPr>
            <w:r>
              <w:rPr>
                <w:sz w:val="18"/>
              </w:rPr>
              <w:t xml:space="preserve">37</w:t>
            </w:r>
          </w:p>
        </w:tc>
        <w:tc>
          <w:tcPr>
            <w:tcW w:w="1314" w:type="dxa"/>
          </w:tcPr>
          <w:p>
            <w:pPr>
              <w:pStyle w:val="Compact"/>
              <w:spacing w:after="40"/>
              <w:jc w:val="left"/>
            </w:pPr>
            <w:r>
              <w:rPr>
                <w:sz w:val="18"/>
              </w:rPr>
              <w:t xml:space="preserve">DNBS04A/04B applicability</w:t>
            </w:r>
          </w:p>
        </w:tc>
        <w:tc>
          <w:tcPr>
            <w:tcW w:w="3049" w:type="dxa"/>
          </w:tcPr>
          <w:p>
            <w:pPr>
              <w:pStyle w:val="Compact"/>
              <w:spacing w:after="40"/>
              <w:jc w:val="left"/>
            </w:pPr>
            <w:r>
              <w:rPr>
                <w:sz w:val="18"/>
              </w:rPr>
              <w:t xml:space="preserve">“</w:t>
            </w:r>
            <w:r>
              <w:rPr>
                <w:sz w:val="18"/>
              </w:rPr>
              <w:t xml:space="preserve">the ₹100 crore test applies to every layer</w:t>
            </w:r>
            <w:r>
              <w:rPr>
                <w:sz w:val="18"/>
              </w:rPr>
              <w:t xml:space="preserve">”</w:t>
            </w:r>
          </w:p>
        </w:tc>
        <w:tc>
          <w:tcPr>
            <w:tcW w:w="4509" w:type="dxa"/>
          </w:tcPr>
          <w:p>
            <w:pPr>
              <w:pStyle w:val="Compact"/>
              <w:spacing w:after="40"/>
              <w:jc w:val="left"/>
            </w:pPr>
            <w:r>
              <w:rPr>
                <w:sz w:val="18"/>
              </w:rPr>
              <w:t xml:space="preserve">UL; ML except SPDs; BL ≥ ₹100 crore solely or at group level, excluding no-public-funds/no-customer-interface NBFCs, NOFHCs, P2Ps, AAs, MGCs (SR 21 item 4)</w:t>
            </w:r>
          </w:p>
        </w:tc>
      </w:tr>
      <w:tr>
        <w:tc>
          <w:tcPr>
            <w:tcW w:w="766" w:type="dxa"/>
          </w:tcPr>
          <w:p>
            <w:pPr>
              <w:pStyle w:val="Compact"/>
              <w:spacing w:after="40"/>
              <w:jc w:val="left"/>
            </w:pPr>
            <w:r>
              <w:rPr>
                <w:sz w:val="18"/>
              </w:rPr>
              <w:t xml:space="preserve">38</w:t>
            </w:r>
          </w:p>
        </w:tc>
        <w:tc>
          <w:tcPr>
            <w:tcW w:w="1314" w:type="dxa"/>
          </w:tcPr>
          <w:p>
            <w:pPr>
              <w:pStyle w:val="Compact"/>
              <w:spacing w:after="40"/>
              <w:jc w:val="left"/>
            </w:pPr>
            <w:r>
              <w:rPr>
                <w:sz w:val="18"/>
              </w:rPr>
              <w:t xml:space="preserve">Large Exposure return</w:t>
            </w:r>
          </w:p>
        </w:tc>
        <w:tc>
          <w:tcPr>
            <w:tcW w:w="3049" w:type="dxa"/>
          </w:tcPr>
          <w:p>
            <w:pPr>
              <w:pStyle w:val="Compact"/>
              <w:spacing w:after="40"/>
              <w:jc w:val="left"/>
            </w:pPr>
            <w:r>
              <w:rPr>
                <w:sz w:val="18"/>
              </w:rPr>
              <w:t xml:space="preserve">“</w:t>
            </w:r>
            <w:r>
              <w:rPr>
                <w:sz w:val="18"/>
              </w:rPr>
              <w:t xml:space="preserve">monthly Return on Large Exposures</w:t>
            </w:r>
            <w:r>
              <w:rPr>
                <w:sz w:val="18"/>
              </w:rPr>
              <w:t xml:space="preserve">”</w:t>
            </w:r>
          </w:p>
        </w:tc>
        <w:tc>
          <w:tcPr>
            <w:tcW w:w="4509" w:type="dxa"/>
          </w:tcPr>
          <w:p>
            <w:pPr>
              <w:pStyle w:val="Compact"/>
              <w:spacing w:after="40"/>
              <w:jc w:val="left"/>
            </w:pPr>
            <w:r>
              <w:rPr>
                <w:sz w:val="18"/>
              </w:rPr>
              <w:t xml:space="preserve">Quarterly within 21 days (SR 21 item 12) [VERIFY vs CON Annex I]</w:t>
            </w:r>
          </w:p>
        </w:tc>
      </w:tr>
      <w:tr>
        <w:tc>
          <w:tcPr>
            <w:tcW w:w="766" w:type="dxa"/>
          </w:tcPr>
          <w:p>
            <w:pPr>
              <w:pStyle w:val="Compact"/>
              <w:spacing w:after="40"/>
              <w:jc w:val="left"/>
            </w:pPr>
            <w:r>
              <w:rPr>
                <w:sz w:val="18"/>
              </w:rPr>
              <w:t xml:space="preserve">39</w:t>
            </w:r>
          </w:p>
        </w:tc>
        <w:tc>
          <w:tcPr>
            <w:tcW w:w="1314" w:type="dxa"/>
          </w:tcPr>
          <w:p>
            <w:pPr>
              <w:pStyle w:val="Compact"/>
              <w:spacing w:after="40"/>
              <w:jc w:val="left"/>
            </w:pPr>
            <w:r>
              <w:rPr>
                <w:sz w:val="18"/>
              </w:rPr>
              <w:t xml:space="preserve">Interest charging</w:t>
            </w:r>
          </w:p>
        </w:tc>
        <w:tc>
          <w:tcPr>
            <w:tcW w:w="3049" w:type="dxa"/>
          </w:tcPr>
          <w:p>
            <w:pPr>
              <w:pStyle w:val="Compact"/>
              <w:spacing w:after="40"/>
              <w:jc w:val="left"/>
            </w:pPr>
            <w:r>
              <w:rPr>
                <w:sz w:val="18"/>
              </w:rPr>
              <w:t xml:space="preserve">“</w:t>
            </w:r>
            <w:r>
              <w:rPr>
                <w:sz w:val="18"/>
              </w:rPr>
              <w:t xml:space="preserve">No EMI on undisbursed amounts (Finbyx design rule)</w:t>
            </w:r>
            <w:r>
              <w:rPr>
                <w:sz w:val="18"/>
              </w:rPr>
              <w:t xml:space="preserve">”</w:t>
            </w:r>
            <w:r>
              <w:rPr>
                <w:sz w:val="18"/>
              </w:rPr>
              <w:t xml:space="preserve">;</w:t>
            </w:r>
            <w:r>
              <w:rPr>
                <w:sz w:val="18"/>
              </w:rPr>
              <w:t xml:space="preserve"> </w:t>
            </w:r>
            <w:r>
              <w:rPr>
                <w:sz w:val="18"/>
              </w:rPr>
              <w:t xml:space="preserve">“</w:t>
            </w:r>
            <w:r>
              <w:rPr>
                <w:sz w:val="18"/>
              </w:rPr>
              <w:t xml:space="preserve">Design rules beyond para 7</w:t>
            </w:r>
            <w:r>
              <w:rPr>
                <w:sz w:val="18"/>
              </w:rPr>
              <w:t xml:space="preserve">”</w:t>
            </w:r>
          </w:p>
        </w:tc>
        <w:tc>
          <w:tcPr>
            <w:tcW w:w="4509" w:type="dxa"/>
          </w:tcPr>
          <w:p>
            <w:pPr>
              <w:pStyle w:val="Compact"/>
              <w:spacing w:after="40"/>
              <w:jc w:val="left"/>
            </w:pPr>
            <w:r>
              <w:rPr>
                <w:sz w:val="18"/>
              </w:rPr>
              <w:t xml:space="preserve">Regulatory requirements: MSD para 7(2) (EMI on disbursed amount) and 7(3) (schedule change communicated on each part-disbursement)</w:t>
            </w:r>
          </w:p>
        </w:tc>
      </w:tr>
      <w:tr>
        <w:tc>
          <w:tcPr>
            <w:tcW w:w="766" w:type="dxa"/>
          </w:tcPr>
          <w:p>
            <w:pPr>
              <w:pStyle w:val="Compact"/>
              <w:spacing w:after="40"/>
              <w:jc w:val="left"/>
            </w:pPr>
            <w:r>
              <w:rPr>
                <w:sz w:val="18"/>
              </w:rPr>
              <w:t xml:space="preserve">40</w:t>
            </w:r>
          </w:p>
        </w:tc>
        <w:tc>
          <w:tcPr>
            <w:tcW w:w="1314" w:type="dxa"/>
          </w:tcPr>
          <w:p>
            <w:pPr>
              <w:pStyle w:val="Compact"/>
              <w:spacing w:after="40"/>
              <w:jc w:val="left"/>
            </w:pPr>
            <w:r>
              <w:rPr>
                <w:sz w:val="18"/>
              </w:rPr>
              <w:t xml:space="preserve">MFI</w:t>
            </w:r>
          </w:p>
        </w:tc>
        <w:tc>
          <w:tcPr>
            <w:tcW w:w="3049" w:type="dxa"/>
          </w:tcPr>
          <w:p>
            <w:pPr>
              <w:pStyle w:val="Compact"/>
              <w:spacing w:after="40"/>
              <w:jc w:val="left"/>
            </w:pPr>
            <w:r>
              <w:rPr>
                <w:sz w:val="18"/>
              </w:rPr>
              <w:t xml:space="preserve">No NBFC-MFI prudential rules</w:t>
            </w:r>
          </w:p>
        </w:tc>
        <w:tc>
          <w:tcPr>
            <w:tcW w:w="4509" w:type="dxa"/>
          </w:tcPr>
          <w:p>
            <w:pPr>
              <w:pStyle w:val="Compact"/>
              <w:spacing w:after="40"/>
              <w:jc w:val="left"/>
            </w:pPr>
            <w:r>
              <w:rPr>
                <w:sz w:val="18"/>
              </w:rPr>
              <w:t xml:space="preserve">60% qualifying assets, 4-quarter rule, CRAR 15%, provision floor, 25% cap for non-MFIs (MFI 8(3), 12, 16–17, 24–25, 49)</w:t>
            </w:r>
          </w:p>
        </w:tc>
      </w:tr>
      <w:tr>
        <w:tc>
          <w:tcPr>
            <w:tcW w:w="766" w:type="dxa"/>
          </w:tcPr>
          <w:p>
            <w:pPr>
              <w:pStyle w:val="Compact"/>
              <w:spacing w:after="40"/>
              <w:jc w:val="left"/>
            </w:pPr>
            <w:r>
              <w:rPr>
                <w:sz w:val="18"/>
              </w:rPr>
              <w:t xml:space="preserve">41</w:t>
            </w:r>
          </w:p>
        </w:tc>
        <w:tc>
          <w:tcPr>
            <w:tcW w:w="1314" w:type="dxa"/>
          </w:tcPr>
          <w:p>
            <w:pPr>
              <w:pStyle w:val="Compact"/>
              <w:spacing w:after="40"/>
              <w:jc w:val="left"/>
            </w:pPr>
            <w:r>
              <w:rPr>
                <w:sz w:val="18"/>
              </w:rPr>
              <w:t xml:space="preserve">Internal and statutory audit, PCA</w:t>
            </w:r>
          </w:p>
        </w:tc>
        <w:tc>
          <w:tcPr>
            <w:tcW w:w="3049" w:type="dxa"/>
          </w:tcPr>
          <w:p>
            <w:pPr>
              <w:pStyle w:val="Compact"/>
              <w:spacing w:after="40"/>
              <w:jc w:val="left"/>
            </w:pPr>
            <w:r>
              <w:rPr>
                <w:sz w:val="18"/>
              </w:rPr>
              <w:t xml:space="preserve">Not covered</w:t>
            </w:r>
          </w:p>
        </w:tc>
        <w:tc>
          <w:tcPr>
            <w:tcW w:w="4509" w:type="dxa"/>
          </w:tcPr>
          <w:p>
            <w:pPr>
              <w:pStyle w:val="Compact"/>
              <w:spacing w:after="40"/>
              <w:jc w:val="left"/>
            </w:pPr>
            <w:r>
              <w:rPr>
                <w:sz w:val="18"/>
              </w:rPr>
              <w:t xml:space="preserve">IAF, SA and MSD Ch V added (Parts 8A.32, 8A.33, 8A.35)</w:t>
            </w:r>
          </w:p>
        </w:tc>
      </w:tr>
    </w:tbl>
    <w:p>
      <w:pPr>
        <w:pStyle w:val="BodyText"/>
      </w:pPr>
      <w:r>
        <w:rPr>
          <w:bCs/>
          <w:b/>
        </w:rPr>
        <w:t xml:space="preserve">Still unverified after v1.3:</w:t>
      </w:r>
    </w:p>
    <w:p>
      <w:pPr>
        <w:numPr>
          <w:ilvl w:val="0"/>
          <w:numId w:val="2149"/>
        </w:numPr>
        <w:pStyle w:val="Compact"/>
      </w:pPr>
      <w:r>
        <w:t xml:space="preserve">RBC Second and Third Amendment Directions, 2026 (including paras 100A–100AB, 100P, 100Y(5), 101N(4) and 101Y cited in E.1 row 6 and Part 12): the supplied RBC copy is dated 1 Apr 2026, so these remain [VERIFY].</w:t>
      </w:r>
    </w:p>
    <w:p>
      <w:pPr>
        <w:numPr>
          <w:ilvl w:val="0"/>
          <w:numId w:val="2149"/>
        </w:numPr>
        <w:pStyle w:val="Compact"/>
      </w:pPr>
      <w:r>
        <w:t xml:space="preserve">SBR: the ₹1 lakh crore UL threshold and the</w:t>
      </w:r>
      <w:r>
        <w:t xml:space="preserve"> </w:t>
      </w:r>
      <w:r>
        <w:t xml:space="preserve">“</w:t>
      </w:r>
      <w:r>
        <w:t xml:space="preserve">Type I NBFC</w:t>
      </w:r>
      <w:r>
        <w:t xml:space="preserve">”</w:t>
      </w:r>
      <w:r>
        <w:t xml:space="preserve"> </w:t>
      </w:r>
      <w:r>
        <w:t xml:space="preserve">category are not in the supplied 339 copy.</w:t>
      </w:r>
    </w:p>
    <w:p>
      <w:pPr>
        <w:numPr>
          <w:ilvl w:val="0"/>
          <w:numId w:val="2149"/>
        </w:numPr>
        <w:pStyle w:val="Compact"/>
      </w:pPr>
      <w:r>
        <w:t xml:space="preserve">HFC Directions, Internal Ombudsman Directions, RB-IOS 2026, the PPG.66 repeal circular and PML Rules rule 8 (FIU-IND timelines) have not been supplied.</w:t>
      </w:r>
    </w:p>
    <w:bookmarkEnd w:id="895"/>
    <w:bookmarkStart w:id="896" w:name="Xd2f07afea61607af52fc9472f6c85da62635cd4"/>
    <w:p>
      <w:pPr>
        <w:pStyle w:val="Heading2"/>
      </w:pPr>
      <w:r>
        <w:t xml:space="preserve">E.4 v1.3 → v1.4 (19 October 2026): NPA and debt recovery suite, ADR, litigation and ecosystem integration</w:t>
      </w:r>
    </w:p>
    <w:p>
      <w:pPr>
        <w:pStyle w:val="FirstParagraph"/>
      </w:pPr>
      <w:r>
        <w:t xml:space="preserve">v1.4 adds Part 7A (the attachable Recovery Suite: 7A.0 and R1–R16), product-wise origination workflows (Part 6.3), the lender-side LAS and LAMF lifecycle (Part 6.4), Phases 12b, 16b and 17b, and the Infrabyx Ecosystem Integration Specification (</w:t>
      </w:r>
      <w:r>
        <w:rPr>
          <w:rStyle w:val="VerbatimChar"/>
        </w:rPr>
        <w:t xml:space="preserve">docs/ecosystem/infrabyx-integration-spec.md</w:t>
      </w:r>
      <w:r>
        <w:t xml:space="preserve">) as the canonical cross-product contract. The research behind it was checked against the supplied RBI texts and primary or reputable secondary sources dated up to 19 October 2026. Claude Code must follow v1.4; the v1.3 statements below are withdrawn.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14"/>
        <w:gridCol w:w="1267"/>
        <w:gridCol w:w="2763"/>
        <w:gridCol w:w="4794"/>
      </w:tblGrid>
      <w:tr>
        <w:trPr>
          <w:tblHeader w:val="true"/>
          <w:tblHeader w:val="true"/>
        </w:trPr>
        <w:tc>
          <w:tcPr>
            <w:tcW w:w="814" w:type="dxa"/>
            <w:shd w:val="clear" w:color="auto" w:fill="1F3A5F"/>
          </w:tcPr>
          <w:p>
            <w:pPr>
              <w:pStyle w:val="Compact"/>
              <w:spacing w:after="40"/>
              <w:jc w:val="left"/>
            </w:pPr>
            <w:r>
              <w:rPr>
                <w:b/>
                <w:color w:val="FFFFFF"/>
                <w:sz w:val="18"/>
              </w:rPr>
              <w:t xml:space="preserve">#</w:t>
            </w:r>
          </w:p>
        </w:tc>
        <w:tc>
          <w:tcPr>
            <w:tcW w:w="1267" w:type="dxa"/>
            <w:shd w:val="clear" w:color="auto" w:fill="1F3A5F"/>
          </w:tcPr>
          <w:p>
            <w:pPr>
              <w:pStyle w:val="Compact"/>
              <w:spacing w:after="40"/>
              <w:jc w:val="left"/>
            </w:pPr>
            <w:r>
              <w:rPr>
                <w:b/>
                <w:color w:val="FFFFFF"/>
                <w:sz w:val="18"/>
              </w:rPr>
              <w:t xml:space="preserve">Area</w:t>
            </w:r>
          </w:p>
        </w:tc>
        <w:tc>
          <w:tcPr>
            <w:tcW w:w="2763" w:type="dxa"/>
            <w:shd w:val="clear" w:color="auto" w:fill="1F3A5F"/>
          </w:tcPr>
          <w:p>
            <w:pPr>
              <w:pStyle w:val="Compact"/>
              <w:spacing w:after="40"/>
              <w:jc w:val="left"/>
            </w:pPr>
            <w:r>
              <w:rPr>
                <w:b/>
                <w:color w:val="FFFFFF"/>
                <w:sz w:val="18"/>
              </w:rPr>
              <w:t xml:space="preserve">v1.3 statement (withdrawn)</w:t>
            </w:r>
          </w:p>
        </w:tc>
        <w:tc>
          <w:tcPr>
            <w:tcW w:w="4794" w:type="dxa"/>
            <w:shd w:val="clear" w:color="auto" w:fill="1F3A5F"/>
          </w:tcPr>
          <w:p>
            <w:pPr>
              <w:pStyle w:val="Compact"/>
              <w:spacing w:after="40"/>
              <w:jc w:val="left"/>
            </w:pPr>
            <w:r>
              <w:rPr>
                <w:b/>
                <w:color w:val="FFFFFF"/>
                <w:sz w:val="18"/>
              </w:rPr>
              <w:t xml:space="preserve">v1.4 position (source)</w:t>
            </w:r>
          </w:p>
        </w:tc>
      </w:tr>
      <w:tr>
        <w:tc>
          <w:tcPr>
            <w:tcW w:w="814" w:type="dxa"/>
          </w:tcPr>
          <w:p>
            <w:pPr>
              <w:pStyle w:val="Compact"/>
              <w:spacing w:after="40"/>
              <w:jc w:val="left"/>
            </w:pPr>
            <w:r>
              <w:rPr>
                <w:sz w:val="18"/>
              </w:rPr>
              <w:t xml:space="preserve">1</w:t>
            </w:r>
          </w:p>
        </w:tc>
        <w:tc>
          <w:tcPr>
            <w:tcW w:w="1267" w:type="dxa"/>
          </w:tcPr>
          <w:p>
            <w:pPr>
              <w:pStyle w:val="Compact"/>
              <w:spacing w:after="40"/>
              <w:jc w:val="left"/>
            </w:pPr>
            <w:r>
              <w:rPr>
                <w:sz w:val="18"/>
              </w:rPr>
              <w:t xml:space="preserve">Structure</w:t>
            </w:r>
          </w:p>
        </w:tc>
        <w:tc>
          <w:tcPr>
            <w:tcW w:w="2763" w:type="dxa"/>
          </w:tcPr>
          <w:p>
            <w:pPr>
              <w:pStyle w:val="Compact"/>
              <w:spacing w:after="40"/>
              <w:jc w:val="left"/>
            </w:pPr>
            <w:r>
              <w:rPr>
                <w:sz w:val="18"/>
              </w:rPr>
              <w:t xml:space="preserve">Recovery and legal as one module (M9) built in one phase</w:t>
            </w:r>
          </w:p>
        </w:tc>
        <w:tc>
          <w:tcPr>
            <w:tcW w:w="4794" w:type="dxa"/>
          </w:tcPr>
          <w:p>
            <w:pPr>
              <w:pStyle w:val="Compact"/>
              <w:spacing w:after="40"/>
              <w:jc w:val="left"/>
            </w:pPr>
            <w:r>
              <w:rPr>
                <w:sz w:val="18"/>
              </w:rPr>
              <w:t xml:space="preserve">Part 7A Recovery Suite: 7A.0 and R1–R16 as an attachable and detachable module pack (</w:t>
            </w:r>
            <w:r>
              <w:rPr>
                <w:rStyle w:val="VerbatimChar"/>
                <w:sz w:val="18"/>
              </w:rPr>
              <w:t xml:space="preserve">packages/recovery-*</w:t>
            </w:r>
            <w:r>
              <w:rPr>
                <w:sz w:val="18"/>
              </w:rPr>
              <w:t xml:space="preserve">); M9 is a pointer; detaching is read-only and never deletes records</w:t>
            </w:r>
          </w:p>
        </w:tc>
      </w:tr>
      <w:tr>
        <w:tc>
          <w:tcPr>
            <w:tcW w:w="814" w:type="dxa"/>
          </w:tcPr>
          <w:p>
            <w:pPr>
              <w:pStyle w:val="Compact"/>
              <w:spacing w:after="40"/>
              <w:jc w:val="left"/>
            </w:pPr>
            <w:r>
              <w:rPr>
                <w:sz w:val="18"/>
              </w:rPr>
              <w:t xml:space="preserve">2</w:t>
            </w:r>
          </w:p>
        </w:tc>
        <w:tc>
          <w:tcPr>
            <w:tcW w:w="1267" w:type="dxa"/>
          </w:tcPr>
          <w:p>
            <w:pPr>
              <w:pStyle w:val="Compact"/>
              <w:spacing w:after="40"/>
              <w:jc w:val="left"/>
            </w:pPr>
            <w:r>
              <w:rPr>
                <w:sz w:val="18"/>
              </w:rPr>
              <w:t xml:space="preserve">Roadmap</w:t>
            </w:r>
          </w:p>
        </w:tc>
        <w:tc>
          <w:tcPr>
            <w:tcW w:w="2763" w:type="dxa"/>
          </w:tcPr>
          <w:p>
            <w:pPr>
              <w:pStyle w:val="Compact"/>
              <w:spacing w:after="40"/>
              <w:jc w:val="left"/>
            </w:pPr>
            <w:r>
              <w:rPr>
                <w:sz w:val="18"/>
              </w:rPr>
              <w:t xml:space="preserve">Phase 12</w:t>
            </w:r>
            <w:r>
              <w:rPr>
                <w:sz w:val="18"/>
              </w:rPr>
              <w:t xml:space="preserve"> </w:t>
            </w:r>
            <w:r>
              <w:rPr>
                <w:sz w:val="18"/>
              </w:rPr>
              <w:t xml:space="preserve">“</w:t>
            </w:r>
            <w:r>
              <w:rPr>
                <w:sz w:val="18"/>
              </w:rPr>
              <w:t xml:space="preserve">Recovery and legal (unsecured) + Equator</w:t>
            </w:r>
            <w:r>
              <w:rPr>
                <w:sz w:val="18"/>
              </w:rPr>
              <w:t xml:space="preserve">”</w:t>
            </w:r>
            <w:r>
              <w:rPr>
                <w:sz w:val="18"/>
              </w:rPr>
              <w:t xml:space="preserve"> </w:t>
            </w:r>
            <w:r>
              <w:rPr>
                <w:sz w:val="18"/>
              </w:rPr>
              <w:t xml:space="preserve">including IBC, Lok Adalat and OTS; SARFAESI, repossession and auction in Phase 17</w:t>
            </w:r>
          </w:p>
        </w:tc>
        <w:tc>
          <w:tcPr>
            <w:tcW w:w="4794" w:type="dxa"/>
          </w:tcPr>
          <w:p>
            <w:pPr>
              <w:pStyle w:val="Compact"/>
              <w:spacing w:after="40"/>
              <w:jc w:val="left"/>
            </w:pPr>
            <w:r>
              <w:rPr>
                <w:sz w:val="18"/>
              </w:rPr>
              <w:t xml:space="preserve">Phase 12 Recovery Suite core; Phase 12b settlement and ADR (R8); Phase 16b ecosystem integration hub v2; Phase 17b secured enforcement and shared-exposure recovery (R4–R6, R10, R13, R16); Phase 17 keeps product templates, collateral flows and the LAS margin engine</w:t>
            </w:r>
          </w:p>
        </w:tc>
      </w:tr>
      <w:tr>
        <w:tc>
          <w:tcPr>
            <w:tcW w:w="814" w:type="dxa"/>
          </w:tcPr>
          <w:p>
            <w:pPr>
              <w:pStyle w:val="Compact"/>
              <w:spacing w:after="40"/>
              <w:jc w:val="left"/>
            </w:pPr>
            <w:r>
              <w:rPr>
                <w:sz w:val="18"/>
              </w:rPr>
              <w:t xml:space="preserve">3</w:t>
            </w:r>
          </w:p>
        </w:tc>
        <w:tc>
          <w:tcPr>
            <w:tcW w:w="1267" w:type="dxa"/>
          </w:tcPr>
          <w:p>
            <w:pPr>
              <w:pStyle w:val="Compact"/>
              <w:spacing w:after="40"/>
              <w:jc w:val="left"/>
            </w:pPr>
            <w:r>
              <w:rPr>
                <w:sz w:val="18"/>
              </w:rPr>
              <w:t xml:space="preserve">Integration contract</w:t>
            </w:r>
          </w:p>
        </w:tc>
        <w:tc>
          <w:tcPr>
            <w:tcW w:w="2763" w:type="dxa"/>
          </w:tcPr>
          <w:p>
            <w:pPr>
              <w:pStyle w:val="Compact"/>
              <w:spacing w:after="40"/>
              <w:jc w:val="left"/>
            </w:pPr>
            <w:r>
              <w:rPr>
                <w:sz w:val="18"/>
              </w:rPr>
              <w:t xml:space="preserve">Part 5 tables as the Finbyx–LSP contract</w:t>
            </w:r>
          </w:p>
        </w:tc>
        <w:tc>
          <w:tcPr>
            <w:tcW w:w="4794" w:type="dxa"/>
          </w:tcPr>
          <w:p>
            <w:pPr>
              <w:pStyle w:val="Compact"/>
              <w:spacing w:after="40"/>
              <w:jc w:val="left"/>
            </w:pPr>
            <w:r>
              <w:rPr>
                <w:sz w:val="18"/>
              </w:rPr>
              <w:t xml:space="preserve">The Ecosystem Integration Specification is canonical for events, APIs, data ownership and connectors; Part 5 summarises it; new event domains for collateral, co-lending and transfer, recovery, ADR, litigation, compliance and GRC, and platform</w:t>
            </w:r>
          </w:p>
        </w:tc>
      </w:tr>
      <w:tr>
        <w:tc>
          <w:tcPr>
            <w:tcW w:w="814" w:type="dxa"/>
          </w:tcPr>
          <w:p>
            <w:pPr>
              <w:pStyle w:val="Compact"/>
              <w:spacing w:after="40"/>
              <w:jc w:val="left"/>
            </w:pPr>
            <w:r>
              <w:rPr>
                <w:sz w:val="18"/>
              </w:rPr>
              <w:t xml:space="preserve">4</w:t>
            </w:r>
          </w:p>
        </w:tc>
        <w:tc>
          <w:tcPr>
            <w:tcW w:w="1267" w:type="dxa"/>
          </w:tcPr>
          <w:p>
            <w:pPr>
              <w:pStyle w:val="Compact"/>
              <w:spacing w:after="40"/>
              <w:jc w:val="left"/>
            </w:pPr>
            <w:r>
              <w:rPr>
                <w:sz w:val="18"/>
              </w:rPr>
              <w:t xml:space="preserve">Udofin data sharing</w:t>
            </w:r>
          </w:p>
        </w:tc>
        <w:tc>
          <w:tcPr>
            <w:tcW w:w="2763" w:type="dxa"/>
          </w:tcPr>
          <w:p>
            <w:pPr>
              <w:pStyle w:val="Compact"/>
              <w:spacing w:after="40"/>
              <w:jc w:val="left"/>
            </w:pPr>
            <w:r>
              <w:rPr>
                <w:sz w:val="18"/>
              </w:rPr>
              <w:t xml:space="preserve">LSP connector focused on origination, servicing, collections and DLG</w:t>
            </w:r>
          </w:p>
        </w:tc>
        <w:tc>
          <w:tcPr>
            <w:tcW w:w="4794" w:type="dxa"/>
          </w:tcPr>
          <w:p>
            <w:pPr>
              <w:pStyle w:val="Compact"/>
              <w:spacing w:after="40"/>
              <w:jc w:val="left"/>
            </w:pPr>
            <w:r>
              <w:rPr>
                <w:sz w:val="18"/>
              </w:rPr>
              <w:t xml:space="preserve">Full data sharing for every product through the product × lifecycle matrix (Part 6.3; Integration Spec Part 7.2), recovery data only as an RE-approved status projection</w:t>
            </w:r>
          </w:p>
        </w:tc>
      </w:tr>
      <w:tr>
        <w:tc>
          <w:tcPr>
            <w:tcW w:w="814" w:type="dxa"/>
          </w:tcPr>
          <w:p>
            <w:pPr>
              <w:pStyle w:val="Compact"/>
              <w:spacing w:after="40"/>
              <w:jc w:val="left"/>
            </w:pPr>
            <w:r>
              <w:rPr>
                <w:sz w:val="18"/>
              </w:rPr>
              <w:t xml:space="preserve">5</w:t>
            </w:r>
          </w:p>
        </w:tc>
        <w:tc>
          <w:tcPr>
            <w:tcW w:w="1267" w:type="dxa"/>
          </w:tcPr>
          <w:p>
            <w:pPr>
              <w:pStyle w:val="Compact"/>
              <w:spacing w:after="40"/>
              <w:jc w:val="left"/>
            </w:pPr>
            <w:r>
              <w:rPr>
                <w:sz w:val="18"/>
              </w:rPr>
              <w:t xml:space="preserve">Equator arbitration</w:t>
            </w:r>
          </w:p>
        </w:tc>
        <w:tc>
          <w:tcPr>
            <w:tcW w:w="2763" w:type="dxa"/>
          </w:tcPr>
          <w:p>
            <w:pPr>
              <w:pStyle w:val="Compact"/>
              <w:spacing w:after="40"/>
              <w:jc w:val="left"/>
            </w:pPr>
            <w:r>
              <w:rPr>
                <w:sz w:val="18"/>
              </w:rPr>
              <w:t xml:space="preserve">Referral</w:t>
            </w:r>
            <w:r>
              <w:rPr>
                <w:sz w:val="18"/>
              </w:rPr>
              <w:t xml:space="preserve"> </w:t>
            </w:r>
            <w:r>
              <w:rPr>
                <w:sz w:val="18"/>
              </w:rPr>
              <w:t xml:space="preserve">“</w:t>
            </w:r>
            <w:r>
              <w:rPr>
                <w:sz w:val="18"/>
              </w:rPr>
              <w:t xml:space="preserve">when the contract provides for ODR/arbitration</w:t>
            </w:r>
            <w:r>
              <w:rPr>
                <w:sz w:val="18"/>
              </w:rPr>
              <w:t xml:space="preserve">”</w:t>
            </w:r>
          </w:p>
        </w:tc>
        <w:tc>
          <w:tcPr>
            <w:tcW w:w="4794" w:type="dxa"/>
          </w:tcPr>
          <w:p>
            <w:pPr>
              <w:pStyle w:val="Compact"/>
              <w:spacing w:after="40"/>
              <w:jc w:val="left"/>
            </w:pPr>
            <w:r>
              <w:rPr>
                <w:sz w:val="18"/>
              </w:rPr>
              <w:t xml:space="preserve">Arbitration only where the agreement pre-names Equator or another independent institution, or on written post-dispute consent; never a lender-chosen or lender-vetoed arbitrator (</w:t>
            </w:r>
            <w:r>
              <w:rPr>
                <w:iCs/>
                <w:i/>
                <w:sz w:val="18"/>
              </w:rPr>
              <w:t xml:space="preserve">CORE v ECI-SPIC-SMO-MCML (JV)</w:t>
            </w:r>
            <w:r>
              <w:rPr>
                <w:sz w:val="18"/>
              </w:rPr>
              <w:t xml:space="preserve">, SC Constitution Bench, 8 Nov 2024;</w:t>
            </w:r>
            <w:r>
              <w:rPr>
                <w:sz w:val="18"/>
              </w:rPr>
              <w:t xml:space="preserve"> </w:t>
            </w:r>
            <w:r>
              <w:rPr>
                <w:iCs/>
                <w:i/>
                <w:sz w:val="18"/>
              </w:rPr>
              <w:t xml:space="preserve">L&amp;T Finance v Jai Paras Material Store</w:t>
            </w:r>
            <w:r>
              <w:rPr>
                <w:sz w:val="18"/>
              </w:rPr>
              <w:t xml:space="preserve">, Cal HC, 14 May 2026;</w:t>
            </w:r>
            <w:r>
              <w:rPr>
                <w:sz w:val="18"/>
              </w:rPr>
              <w:t xml:space="preserve"> </w:t>
            </w:r>
            <w:r>
              <w:rPr>
                <w:iCs/>
                <w:i/>
                <w:sz w:val="18"/>
              </w:rPr>
              <w:t xml:space="preserve">Shikha Ghosh v Axis Bank</w:t>
            </w:r>
            <w:r>
              <w:rPr>
                <w:sz w:val="18"/>
              </w:rPr>
              <w:t xml:space="preserve">, Del HC DB, 30 Sep 2026)</w:t>
            </w:r>
          </w:p>
        </w:tc>
      </w:tr>
      <w:tr>
        <w:tc>
          <w:tcPr>
            <w:tcW w:w="814" w:type="dxa"/>
          </w:tcPr>
          <w:p>
            <w:pPr>
              <w:pStyle w:val="Compact"/>
              <w:spacing w:after="40"/>
              <w:jc w:val="left"/>
            </w:pPr>
            <w:r>
              <w:rPr>
                <w:sz w:val="18"/>
              </w:rPr>
              <w:t xml:space="preserve">6</w:t>
            </w:r>
          </w:p>
        </w:tc>
        <w:tc>
          <w:tcPr>
            <w:tcW w:w="1267" w:type="dxa"/>
          </w:tcPr>
          <w:p>
            <w:pPr>
              <w:pStyle w:val="Compact"/>
              <w:spacing w:after="40"/>
              <w:jc w:val="left"/>
            </w:pPr>
            <w:r>
              <w:rPr>
                <w:sz w:val="18"/>
              </w:rPr>
              <w:t xml:space="preserve">Enforceable settlement route</w:t>
            </w:r>
          </w:p>
        </w:tc>
        <w:tc>
          <w:tcPr>
            <w:tcW w:w="2763" w:type="dxa"/>
          </w:tcPr>
          <w:p>
            <w:pPr>
              <w:pStyle w:val="Compact"/>
              <w:spacing w:after="40"/>
              <w:jc w:val="left"/>
            </w:pPr>
            <w:r>
              <w:rPr>
                <w:sz w:val="18"/>
              </w:rPr>
              <w:t xml:space="preserve">“</w:t>
            </w:r>
            <w:r>
              <w:rPr>
                <w:sz w:val="18"/>
              </w:rPr>
              <w:t xml:space="preserve">Arbitration and conciliation through Equator</w:t>
            </w:r>
            <w:r>
              <w:rPr>
                <w:sz w:val="18"/>
              </w:rPr>
              <w:t xml:space="preserve">”</w:t>
            </w:r>
            <w:r>
              <w:rPr>
                <w:sz w:val="18"/>
              </w:rPr>
              <w:t xml:space="preserve">; mediation unqualified</w:t>
            </w:r>
          </w:p>
        </w:tc>
        <w:tc>
          <w:tcPr>
            <w:tcW w:w="4794" w:type="dxa"/>
          </w:tcPr>
          <w:p>
            <w:pPr>
              <w:pStyle w:val="Compact"/>
              <w:spacing w:after="40"/>
              <w:jc w:val="left"/>
            </w:pPr>
            <w:r>
              <w:rPr>
                <w:sz w:val="18"/>
              </w:rPr>
              <w:t xml:space="preserve">Conciliation settlements under A&amp;C Act s.73 have the status of an arbitral award (s.74) and are the default enforceable route; Mediation Act s.27 is not in force (only ss.1, 3, 26, 31–38, 45–47, 50–54, 56–57 by S.O. 4384(E), 9 Oct 2023; Council established 27 Aug 2026), so a mediated settlement is only a contract until notified</w:t>
            </w:r>
          </w:p>
        </w:tc>
      </w:tr>
      <w:tr>
        <w:tc>
          <w:tcPr>
            <w:tcW w:w="814" w:type="dxa"/>
          </w:tcPr>
          <w:p>
            <w:pPr>
              <w:pStyle w:val="Compact"/>
              <w:spacing w:after="40"/>
              <w:jc w:val="left"/>
            </w:pPr>
            <w:r>
              <w:rPr>
                <w:sz w:val="18"/>
              </w:rPr>
              <w:t xml:space="preserve">7</w:t>
            </w:r>
          </w:p>
        </w:tc>
        <w:tc>
          <w:tcPr>
            <w:tcW w:w="1267" w:type="dxa"/>
          </w:tcPr>
          <w:p>
            <w:pPr>
              <w:pStyle w:val="Compact"/>
              <w:spacing w:after="40"/>
              <w:jc w:val="left"/>
            </w:pPr>
            <w:r>
              <w:rPr>
                <w:sz w:val="18"/>
              </w:rPr>
              <w:t xml:space="preserve">LAS margin calls</w:t>
            </w:r>
          </w:p>
        </w:tc>
        <w:tc>
          <w:tcPr>
            <w:tcW w:w="2763" w:type="dxa"/>
          </w:tcPr>
          <w:p>
            <w:pPr>
              <w:pStyle w:val="Compact"/>
              <w:spacing w:after="40"/>
              <w:jc w:val="left"/>
            </w:pPr>
            <w:r>
              <w:rPr>
                <w:sz w:val="18"/>
              </w:rPr>
              <w:t xml:space="preserve">“</w:t>
            </w:r>
            <w:r>
              <w:rPr>
                <w:sz w:val="18"/>
              </w:rPr>
              <w:t xml:space="preserve">auto-invocation rules</w:t>
            </w:r>
            <w:r>
              <w:rPr>
                <w:sz w:val="18"/>
              </w:rPr>
              <w:t xml:space="preserve">”</w:t>
            </w:r>
            <w:r>
              <w:rPr>
                <w:sz w:val="18"/>
              </w:rPr>
              <w:t xml:space="preserve"> </w:t>
            </w:r>
            <w:r>
              <w:rPr>
                <w:sz w:val="18"/>
              </w:rPr>
              <w:t xml:space="preserve">(M5)</w:t>
            </w:r>
          </w:p>
        </w:tc>
        <w:tc>
          <w:tcPr>
            <w:tcW w:w="4794" w:type="dxa"/>
          </w:tcPr>
          <w:p>
            <w:pPr>
              <w:pStyle w:val="Compact"/>
              <w:spacing w:after="40"/>
              <w:jc w:val="left"/>
            </w:pPr>
            <w:r>
              <w:rPr>
                <w:sz w:val="18"/>
              </w:rPr>
              <w:t xml:space="preserve">Invocation only after a served pre-invocation notice and the notice period (ICA ss.176–177; SEBI rule of 5 Feb 2026 on the pledgee’s reasonable-notice undertaking) [VERIFY: SEBI circular number]</w:t>
            </w:r>
          </w:p>
        </w:tc>
      </w:tr>
      <w:tr>
        <w:tc>
          <w:tcPr>
            <w:tcW w:w="814" w:type="dxa"/>
          </w:tcPr>
          <w:p>
            <w:pPr>
              <w:pStyle w:val="Compact"/>
              <w:spacing w:after="40"/>
              <w:jc w:val="left"/>
            </w:pPr>
            <w:r>
              <w:rPr>
                <w:sz w:val="18"/>
              </w:rPr>
              <w:t xml:space="preserve">8</w:t>
            </w:r>
          </w:p>
        </w:tc>
        <w:tc>
          <w:tcPr>
            <w:tcW w:w="1267" w:type="dxa"/>
          </w:tcPr>
          <w:p>
            <w:pPr>
              <w:pStyle w:val="Compact"/>
              <w:spacing w:after="40"/>
              <w:jc w:val="left"/>
            </w:pPr>
            <w:r>
              <w:rPr>
                <w:sz w:val="18"/>
              </w:rPr>
              <w:t xml:space="preserve">LAS engine location</w:t>
            </w:r>
          </w:p>
        </w:tc>
        <w:tc>
          <w:tcPr>
            <w:tcW w:w="2763" w:type="dxa"/>
          </w:tcPr>
          <w:p>
            <w:pPr>
              <w:pStyle w:val="Compact"/>
              <w:spacing w:after="40"/>
              <w:jc w:val="left"/>
            </w:pPr>
            <w:r>
              <w:rPr>
                <w:sz w:val="18"/>
              </w:rPr>
              <w:t xml:space="preserve">Not stated; the owner’s LAS proposal placed the drawing-power engine in Udofin</w:t>
            </w:r>
          </w:p>
        </w:tc>
        <w:tc>
          <w:tcPr>
            <w:tcW w:w="4794" w:type="dxa"/>
          </w:tcPr>
          <w:p>
            <w:pPr>
              <w:pStyle w:val="Compact"/>
              <w:spacing w:after="40"/>
              <w:jc w:val="left"/>
            </w:pPr>
            <w:r>
              <w:rPr>
                <w:sz w:val="18"/>
              </w:rPr>
              <w:t xml:space="preserve">Security master, haircuts, drawing power, LTV, margin calls, invocation and release live in Finbyx (OUT 15); Udofin shows indicative values and orchestrates OTPs only (Part 6.4)</w:t>
            </w:r>
          </w:p>
        </w:tc>
      </w:tr>
      <w:tr>
        <w:tc>
          <w:tcPr>
            <w:tcW w:w="814" w:type="dxa"/>
          </w:tcPr>
          <w:p>
            <w:pPr>
              <w:pStyle w:val="Compact"/>
              <w:spacing w:after="40"/>
              <w:jc w:val="left"/>
            </w:pPr>
            <w:r>
              <w:rPr>
                <w:sz w:val="18"/>
              </w:rPr>
              <w:t xml:space="preserve">9</w:t>
            </w:r>
          </w:p>
        </w:tc>
        <w:tc>
          <w:tcPr>
            <w:tcW w:w="1267" w:type="dxa"/>
          </w:tcPr>
          <w:p>
            <w:pPr>
              <w:pStyle w:val="Compact"/>
              <w:spacing w:after="40"/>
              <w:jc w:val="left"/>
            </w:pPr>
            <w:r>
              <w:rPr>
                <w:sz w:val="18"/>
              </w:rPr>
              <w:t xml:space="preserve">RBC Third Amendment</w:t>
            </w:r>
          </w:p>
        </w:tc>
        <w:tc>
          <w:tcPr>
            <w:tcW w:w="2763" w:type="dxa"/>
          </w:tcPr>
          <w:p>
            <w:pPr>
              <w:pStyle w:val="Compact"/>
              <w:spacing w:after="40"/>
              <w:jc w:val="left"/>
            </w:pPr>
            <w:r>
              <w:rPr>
                <w:sz w:val="18"/>
              </w:rPr>
              <w:t xml:space="preserve">Cited with</w:t>
            </w:r>
            <w:r>
              <w:rPr>
                <w:sz w:val="18"/>
              </w:rPr>
              <w:t xml:space="preserve"> </w:t>
            </w:r>
            <w:r>
              <w:rPr>
                <w:sz w:val="18"/>
              </w:rPr>
              <w:t xml:space="preserve">“</w:t>
            </w:r>
            <w:r>
              <w:rPr>
                <w:sz w:val="18"/>
              </w:rPr>
              <w:t xml:space="preserve">[VERIFY: amendment text not supplied]</w:t>
            </w:r>
            <w:r>
              <w:rPr>
                <w:sz w:val="18"/>
              </w:rPr>
              <w:t xml:space="preserve">”</w:t>
            </w:r>
          </w:p>
        </w:tc>
        <w:tc>
          <w:tcPr>
            <w:tcW w:w="4794" w:type="dxa"/>
          </w:tcPr>
          <w:p>
            <w:pPr>
              <w:pStyle w:val="Compact"/>
              <w:spacing w:after="40"/>
              <w:jc w:val="left"/>
            </w:pPr>
            <w:r>
              <w:rPr>
                <w:sz w:val="18"/>
              </w:rPr>
              <w:t xml:space="preserve">Confirmed as RBI/2026-27/230, DOR.MCS.REC.No.199/01-01-039/2026-27, 6 Aug 2026, effective 1 Jan 2027: IIBF certificate (100I), website list within 7 days (100K), agency details ≥ 1 day before the first visit (100L), minimum data (100O), call recording 6 months (100P), device-lock gates of 30/60 DPD and unlock within 1 hour or ₹250 an hour (100S–100U), 08:00–19:00 (100Y(4)), pre-approved letters (100Y(8)), grievance-officer details (100AA). The official text is still not in the supplied set; the MFI window after 1 Jan 2027 remains [VERIFY]</w:t>
            </w:r>
          </w:p>
        </w:tc>
      </w:tr>
      <w:tr>
        <w:tc>
          <w:tcPr>
            <w:tcW w:w="814" w:type="dxa"/>
          </w:tcPr>
          <w:p>
            <w:pPr>
              <w:pStyle w:val="Compact"/>
              <w:spacing w:after="40"/>
              <w:jc w:val="left"/>
            </w:pPr>
            <w:r>
              <w:rPr>
                <w:sz w:val="18"/>
              </w:rPr>
              <w:t xml:space="preserve">10</w:t>
            </w:r>
          </w:p>
        </w:tc>
        <w:tc>
          <w:tcPr>
            <w:tcW w:w="1267" w:type="dxa"/>
          </w:tcPr>
          <w:p>
            <w:pPr>
              <w:pStyle w:val="Compact"/>
              <w:spacing w:after="40"/>
              <w:jc w:val="left"/>
            </w:pPr>
            <w:r>
              <w:rPr>
                <w:sz w:val="18"/>
              </w:rPr>
              <w:t xml:space="preserve">Notice dispatch</w:t>
            </w:r>
          </w:p>
        </w:tc>
        <w:tc>
          <w:tcPr>
            <w:tcW w:w="2763" w:type="dxa"/>
          </w:tcPr>
          <w:p>
            <w:pPr>
              <w:pStyle w:val="Compact"/>
              <w:spacing w:after="40"/>
              <w:jc w:val="left"/>
            </w:pPr>
            <w:r>
              <w:rPr>
                <w:sz w:val="18"/>
              </w:rPr>
              <w:t xml:space="preserve">“</w:t>
            </w:r>
            <w:r>
              <w:rPr>
                <w:sz w:val="18"/>
              </w:rPr>
              <w:t xml:space="preserve">India Post tracking</w:t>
            </w:r>
            <w:r>
              <w:rPr>
                <w:sz w:val="18"/>
              </w:rPr>
              <w:t xml:space="preserve">”</w:t>
            </w:r>
          </w:p>
        </w:tc>
        <w:tc>
          <w:tcPr>
            <w:tcW w:w="4794" w:type="dxa"/>
          </w:tcPr>
          <w:p>
            <w:pPr>
              <w:pStyle w:val="Compact"/>
              <w:spacing w:after="40"/>
              <w:jc w:val="left"/>
            </w:pPr>
            <w:r>
              <w:rPr>
                <w:sz w:val="18"/>
              </w:rPr>
              <w:t xml:space="preserve">Registered Post merged into Speed Post on 1 Sep 2025; proof of delivery is a paid add-on; no deemed-served state without evidence (</w:t>
            </w:r>
            <w:r>
              <w:rPr>
                <w:iCs/>
                <w:i/>
                <w:sz w:val="18"/>
              </w:rPr>
              <w:t xml:space="preserve">Sedhram Nilkanth Muglikar v M.R. Makhare</w:t>
            </w:r>
            <w:r>
              <w:rPr>
                <w:sz w:val="18"/>
              </w:rPr>
              <w:t xml:space="preserve">, Bom HC, 2026); WhatsApp never the primary mode for statutory notices (WhatsApp Business Messaging Policy)</w:t>
            </w:r>
          </w:p>
        </w:tc>
      </w:tr>
      <w:tr>
        <w:tc>
          <w:tcPr>
            <w:tcW w:w="814" w:type="dxa"/>
          </w:tcPr>
          <w:p>
            <w:pPr>
              <w:pStyle w:val="Compact"/>
              <w:spacing w:after="40"/>
              <w:jc w:val="left"/>
            </w:pPr>
            <w:r>
              <w:rPr>
                <w:sz w:val="18"/>
              </w:rPr>
              <w:t xml:space="preserve">11</w:t>
            </w:r>
          </w:p>
        </w:tc>
        <w:tc>
          <w:tcPr>
            <w:tcW w:w="1267" w:type="dxa"/>
          </w:tcPr>
          <w:p>
            <w:pPr>
              <w:pStyle w:val="Compact"/>
              <w:spacing w:after="40"/>
              <w:jc w:val="left"/>
            </w:pPr>
            <w:r>
              <w:rPr>
                <w:sz w:val="18"/>
              </w:rPr>
              <w:t xml:space="preserve">DRT and civil remedies</w:t>
            </w:r>
          </w:p>
        </w:tc>
        <w:tc>
          <w:tcPr>
            <w:tcW w:w="2763" w:type="dxa"/>
          </w:tcPr>
          <w:p>
            <w:pPr>
              <w:pStyle w:val="Compact"/>
              <w:spacing w:after="40"/>
              <w:jc w:val="left"/>
            </w:pPr>
            <w:r>
              <w:rPr>
                <w:sz w:val="18"/>
              </w:rPr>
              <w:t xml:space="preserve">“</w:t>
            </w:r>
            <w:r>
              <w:rPr>
                <w:sz w:val="18"/>
              </w:rPr>
              <w:t xml:space="preserve">DRT/civil suits and execution</w:t>
            </w:r>
            <w:r>
              <w:rPr>
                <w:sz w:val="18"/>
              </w:rPr>
              <w:t xml:space="preserve">”</w:t>
            </w:r>
            <w:r>
              <w:rPr>
                <w:sz w:val="18"/>
              </w:rPr>
              <w:t xml:space="preserve"> </w:t>
            </w:r>
            <w:r>
              <w:rPr>
                <w:sz w:val="18"/>
              </w:rPr>
              <w:t xml:space="preserve">for every tenant</w:t>
            </w:r>
          </w:p>
        </w:tc>
        <w:tc>
          <w:tcPr>
            <w:tcW w:w="4794" w:type="dxa"/>
          </w:tcPr>
          <w:p>
            <w:pPr>
              <w:pStyle w:val="Compact"/>
              <w:spacing w:after="40"/>
              <w:jc w:val="left"/>
            </w:pPr>
            <w:r>
              <w:rPr>
                <w:sz w:val="18"/>
              </w:rPr>
              <w:t xml:space="preserve">DRT only for RDB-eligible lenders; an NBFC is not a financial institution under RDB s.2(h) unless notified (</w:t>
            </w:r>
            <w:r>
              <w:rPr>
                <w:iCs/>
                <w:i/>
                <w:sz w:val="18"/>
              </w:rPr>
              <w:t xml:space="preserve">Tata Motors Finance v Naushad Khan</w:t>
            </w:r>
            <w:r>
              <w:rPr>
                <w:sz w:val="18"/>
              </w:rPr>
              <w:t xml:space="preserve">, Bom HC, 2023;</w:t>
            </w:r>
            <w:r>
              <w:rPr>
                <w:sz w:val="18"/>
              </w:rPr>
              <w:t xml:space="preserve"> </w:t>
            </w:r>
            <w:r>
              <w:rPr>
                <w:iCs/>
                <w:i/>
                <w:sz w:val="18"/>
              </w:rPr>
              <w:t xml:space="preserve">Aditya Birla Finance v Anjali Nag</w:t>
            </w:r>
            <w:r>
              <w:rPr>
                <w:sz w:val="18"/>
              </w:rPr>
              <w:t xml:space="preserve">, Del HC, 2024); e-DRT filing for all pleadings from 23 Jun 2025</w:t>
            </w:r>
          </w:p>
        </w:tc>
      </w:tr>
      <w:tr>
        <w:tc>
          <w:tcPr>
            <w:tcW w:w="814" w:type="dxa"/>
          </w:tcPr>
          <w:p>
            <w:pPr>
              <w:pStyle w:val="Compact"/>
              <w:spacing w:after="40"/>
              <w:jc w:val="left"/>
            </w:pPr>
            <w:r>
              <w:rPr>
                <w:sz w:val="18"/>
              </w:rPr>
              <w:t xml:space="preserve">12</w:t>
            </w:r>
          </w:p>
        </w:tc>
        <w:tc>
          <w:tcPr>
            <w:tcW w:w="1267" w:type="dxa"/>
          </w:tcPr>
          <w:p>
            <w:pPr>
              <w:pStyle w:val="Compact"/>
              <w:spacing w:after="40"/>
              <w:jc w:val="left"/>
            </w:pPr>
            <w:r>
              <w:rPr>
                <w:sz w:val="18"/>
              </w:rPr>
              <w:t xml:space="preserve">IBC</w:t>
            </w:r>
          </w:p>
        </w:tc>
        <w:tc>
          <w:tcPr>
            <w:tcW w:w="2763" w:type="dxa"/>
          </w:tcPr>
          <w:p>
            <w:pPr>
              <w:pStyle w:val="Compact"/>
              <w:spacing w:after="40"/>
              <w:jc w:val="left"/>
            </w:pPr>
            <w:r>
              <w:rPr>
                <w:sz w:val="18"/>
              </w:rPr>
              <w:t xml:space="preserve">“</w:t>
            </w:r>
            <w:r>
              <w:rPr>
                <w:sz w:val="18"/>
              </w:rPr>
              <w:t xml:space="preserve">claims in CIRP/liquidation; personal-guarantor proceedings</w:t>
            </w:r>
            <w:r>
              <w:rPr>
                <w:sz w:val="18"/>
              </w:rPr>
              <w:t xml:space="preserve">”</w:t>
            </w:r>
          </w:p>
        </w:tc>
        <w:tc>
          <w:tcPr>
            <w:tcW w:w="4794" w:type="dxa"/>
          </w:tcPr>
          <w:p>
            <w:pPr>
              <w:pStyle w:val="Compact"/>
              <w:spacing w:after="40"/>
              <w:jc w:val="left"/>
            </w:pPr>
            <w:r>
              <w:rPr>
                <w:sz w:val="18"/>
              </w:rPr>
              <w:t xml:space="preserve">IBC (Amendment) Act 2026 (Act 6 of 2026) in force from 26 May 2026 (S.O. 2625(E)) except CIIRP, group and cross-border provisions; s.7(5) admission within 14 days; no interim moratorium against personal guarantors to corporate debtors (s.96(4)); personal-guarantor applications always at the NCLT (</w:t>
            </w:r>
            <w:r>
              <w:rPr>
                <w:iCs/>
                <w:i/>
                <w:sz w:val="18"/>
              </w:rPr>
              <w:t xml:space="preserve">SBI v Mahendra Kumar Jajodia</w:t>
            </w:r>
            <w:r>
              <w:rPr>
                <w:sz w:val="18"/>
              </w:rPr>
              <w:t xml:space="preserve">, SC, 2022)</w:t>
            </w:r>
          </w:p>
        </w:tc>
      </w:tr>
      <w:tr>
        <w:tc>
          <w:tcPr>
            <w:tcW w:w="814" w:type="dxa"/>
          </w:tcPr>
          <w:p>
            <w:pPr>
              <w:pStyle w:val="Compact"/>
              <w:spacing w:after="40"/>
              <w:jc w:val="left"/>
            </w:pPr>
            <w:r>
              <w:rPr>
                <w:sz w:val="18"/>
              </w:rPr>
              <w:t xml:space="preserve">13</w:t>
            </w:r>
          </w:p>
        </w:tc>
        <w:tc>
          <w:tcPr>
            <w:tcW w:w="1267" w:type="dxa"/>
          </w:tcPr>
          <w:p>
            <w:pPr>
              <w:pStyle w:val="Compact"/>
              <w:spacing w:after="40"/>
              <w:jc w:val="left"/>
            </w:pPr>
            <w:r>
              <w:rPr>
                <w:sz w:val="18"/>
              </w:rPr>
              <w:t xml:space="preserve">s.138 / s.25 PSS</w:t>
            </w:r>
          </w:p>
        </w:tc>
        <w:tc>
          <w:tcPr>
            <w:tcW w:w="2763" w:type="dxa"/>
          </w:tcPr>
          <w:p>
            <w:pPr>
              <w:pStyle w:val="Compact"/>
              <w:spacing w:after="40"/>
              <w:jc w:val="left"/>
            </w:pPr>
            <w:r>
              <w:rPr>
                <w:sz w:val="18"/>
              </w:rPr>
              <w:t xml:space="preserve">“</w:t>
            </w:r>
            <w:r>
              <w:rPr>
                <w:sz w:val="18"/>
              </w:rPr>
              <w:t xml:space="preserve">complaint within the limitation period</w:t>
            </w:r>
            <w:r>
              <w:rPr>
                <w:sz w:val="18"/>
              </w:rPr>
              <w:t xml:space="preserve">”</w:t>
            </w:r>
          </w:p>
        </w:tc>
        <w:tc>
          <w:tcPr>
            <w:tcW w:w="4794" w:type="dxa"/>
          </w:tcPr>
          <w:p>
            <w:pPr>
              <w:pStyle w:val="Compact"/>
              <w:spacing w:after="40"/>
              <w:jc w:val="left"/>
            </w:pPr>
            <w:r>
              <w:rPr>
                <w:sz w:val="18"/>
              </w:rPr>
              <w:t xml:space="preserve">Complaint within one month of the cause of action, condonable (s.142(1)(b)); court where the payee’s bank branch is (s.142(2)); electronic summons and compounding tiers (</w:t>
            </w:r>
            <w:r>
              <w:rPr>
                <w:iCs/>
                <w:i/>
                <w:sz w:val="18"/>
              </w:rPr>
              <w:t xml:space="preserve">Sanjabij Tari v Kishore S. Borcar</w:t>
            </w:r>
            <w:r>
              <w:rPr>
                <w:sz w:val="18"/>
              </w:rPr>
              <w:t xml:space="preserve">, 2025 INSC 1158, 25 Sep 2025)</w:t>
            </w:r>
          </w:p>
        </w:tc>
      </w:tr>
      <w:tr>
        <w:tc>
          <w:tcPr>
            <w:tcW w:w="814" w:type="dxa"/>
          </w:tcPr>
          <w:p>
            <w:pPr>
              <w:pStyle w:val="Compact"/>
              <w:spacing w:after="40"/>
              <w:jc w:val="left"/>
            </w:pPr>
            <w:r>
              <w:rPr>
                <w:sz w:val="18"/>
              </w:rPr>
              <w:t xml:space="preserve">14</w:t>
            </w:r>
          </w:p>
        </w:tc>
        <w:tc>
          <w:tcPr>
            <w:tcW w:w="1267" w:type="dxa"/>
          </w:tcPr>
          <w:p>
            <w:pPr>
              <w:pStyle w:val="Compact"/>
              <w:spacing w:after="40"/>
              <w:jc w:val="left"/>
            </w:pPr>
            <w:r>
              <w:rPr>
                <w:sz w:val="18"/>
              </w:rPr>
              <w:t xml:space="preserve">Lok Adalat</w:t>
            </w:r>
          </w:p>
        </w:tc>
        <w:tc>
          <w:tcPr>
            <w:tcW w:w="2763" w:type="dxa"/>
          </w:tcPr>
          <w:p>
            <w:pPr>
              <w:pStyle w:val="Compact"/>
              <w:spacing w:after="40"/>
              <w:jc w:val="left"/>
            </w:pPr>
            <w:r>
              <w:rPr>
                <w:sz w:val="18"/>
              </w:rPr>
              <w:t xml:space="preserve">“</w:t>
            </w:r>
            <w:r>
              <w:rPr>
                <w:sz w:val="18"/>
              </w:rPr>
              <w:t xml:space="preserve">Lok Adalat and pre-litigation settlement</w:t>
            </w:r>
            <w:r>
              <w:rPr>
                <w:sz w:val="18"/>
              </w:rPr>
              <w:t xml:space="preserve">”</w:t>
            </w:r>
          </w:p>
        </w:tc>
        <w:tc>
          <w:tcPr>
            <w:tcW w:w="4794" w:type="dxa"/>
          </w:tcPr>
          <w:p>
            <w:pPr>
              <w:pStyle w:val="Compact"/>
              <w:spacing w:after="40"/>
              <w:jc w:val="left"/>
            </w:pPr>
            <w:r>
              <w:rPr>
                <w:sz w:val="18"/>
              </w:rPr>
              <w:t xml:space="preserve">LSA Act ss.19–21 awards are final decrees; no statutory pecuniary cap; the RBI ₹20 lakh ceiling (RBI/2004-05/95) applies to banks and AIFIs only; Permanent Lok Adalat is a borrower-usable forum (ss.22A–22E)</w:t>
            </w:r>
          </w:p>
        </w:tc>
      </w:tr>
      <w:tr>
        <w:tc>
          <w:tcPr>
            <w:tcW w:w="814" w:type="dxa"/>
          </w:tcPr>
          <w:p>
            <w:pPr>
              <w:pStyle w:val="Compact"/>
              <w:spacing w:after="40"/>
              <w:jc w:val="left"/>
            </w:pPr>
            <w:r>
              <w:rPr>
                <w:sz w:val="18"/>
              </w:rPr>
              <w:t xml:space="preserve">15</w:t>
            </w:r>
          </w:p>
        </w:tc>
        <w:tc>
          <w:tcPr>
            <w:tcW w:w="1267" w:type="dxa"/>
          </w:tcPr>
          <w:p>
            <w:pPr>
              <w:pStyle w:val="Compact"/>
              <w:spacing w:after="40"/>
              <w:jc w:val="left"/>
            </w:pPr>
            <w:r>
              <w:rPr>
                <w:sz w:val="18"/>
              </w:rPr>
              <w:t xml:space="preserve">Vehicle repossession</w:t>
            </w:r>
          </w:p>
        </w:tc>
        <w:tc>
          <w:tcPr>
            <w:tcW w:w="2763" w:type="dxa"/>
          </w:tcPr>
          <w:p>
            <w:pPr>
              <w:pStyle w:val="Compact"/>
              <w:spacing w:after="40"/>
              <w:jc w:val="left"/>
            </w:pPr>
            <w:r>
              <w:rPr>
                <w:sz w:val="18"/>
              </w:rPr>
              <w:t xml:space="preserve">Pre-repossession notice and kit</w:t>
            </w:r>
          </w:p>
        </w:tc>
        <w:tc>
          <w:tcPr>
            <w:tcW w:w="4794" w:type="dxa"/>
          </w:tcPr>
          <w:p>
            <w:pPr>
              <w:pStyle w:val="Compact"/>
              <w:spacing w:after="40"/>
              <w:jc w:val="left"/>
            </w:pPr>
            <w:r>
              <w:rPr>
                <w:sz w:val="18"/>
              </w:rPr>
              <w:t xml:space="preserve">Repossession only after the contractual notice period, by an authorised agent in daytime, with a signed possession memo and no force (RBC 26;</w:t>
            </w:r>
            <w:r>
              <w:rPr>
                <w:sz w:val="18"/>
              </w:rPr>
              <w:t xml:space="preserve"> </w:t>
            </w:r>
            <w:r>
              <w:rPr>
                <w:iCs/>
                <w:i/>
                <w:sz w:val="18"/>
              </w:rPr>
              <w:t xml:space="preserve">Hari Dutta Sharma v State of UP</w:t>
            </w:r>
            <w:r>
              <w:rPr>
                <w:sz w:val="18"/>
              </w:rPr>
              <w:t xml:space="preserve">, SC, 16 Sep 2026); re-registration by Form 36 under MV Act s.51(5)</w:t>
            </w:r>
          </w:p>
        </w:tc>
      </w:tr>
      <w:tr>
        <w:tc>
          <w:tcPr>
            <w:tcW w:w="814" w:type="dxa"/>
          </w:tcPr>
          <w:p>
            <w:pPr>
              <w:pStyle w:val="Compact"/>
              <w:spacing w:after="40"/>
              <w:jc w:val="left"/>
            </w:pPr>
            <w:r>
              <w:rPr>
                <w:sz w:val="18"/>
              </w:rPr>
              <w:t xml:space="preserve">16</w:t>
            </w:r>
          </w:p>
        </w:tc>
        <w:tc>
          <w:tcPr>
            <w:tcW w:w="1267" w:type="dxa"/>
          </w:tcPr>
          <w:p>
            <w:pPr>
              <w:pStyle w:val="Compact"/>
              <w:spacing w:after="40"/>
              <w:jc w:val="left"/>
            </w:pPr>
            <w:r>
              <w:rPr>
                <w:sz w:val="18"/>
              </w:rPr>
              <w:t xml:space="preserve">GRC</w:t>
            </w:r>
          </w:p>
        </w:tc>
        <w:tc>
          <w:tcPr>
            <w:tcW w:w="2763" w:type="dxa"/>
          </w:tcPr>
          <w:p>
            <w:pPr>
              <w:pStyle w:val="Compact"/>
              <w:spacing w:after="40"/>
              <w:jc w:val="left"/>
            </w:pPr>
            <w:r>
              <w:rPr>
                <w:sz w:val="18"/>
              </w:rPr>
              <w:t xml:space="preserve">LawDocsComply bridge only</w:t>
            </w:r>
          </w:p>
        </w:tc>
        <w:tc>
          <w:tcPr>
            <w:tcW w:w="4794" w:type="dxa"/>
          </w:tcPr>
          <w:p>
            <w:pPr>
              <w:pStyle w:val="Compact"/>
              <w:spacing w:after="40"/>
              <w:jc w:val="left"/>
            </w:pPr>
            <w:r>
              <w:rPr>
                <w:sz w:val="18"/>
              </w:rPr>
              <w:t xml:space="preserve">Generic GRC connector for LawDocsComply and third-party tools (MetricStream, IBM OpenPages, ServiceNow IRM, Archer) with an OSCAL export</w:t>
            </w:r>
          </w:p>
        </w:tc>
      </w:tr>
      <w:tr>
        <w:tc>
          <w:tcPr>
            <w:tcW w:w="814" w:type="dxa"/>
          </w:tcPr>
          <w:p>
            <w:pPr>
              <w:pStyle w:val="Compact"/>
              <w:spacing w:after="40"/>
              <w:jc w:val="left"/>
            </w:pPr>
            <w:r>
              <w:rPr>
                <w:sz w:val="18"/>
              </w:rPr>
              <w:t xml:space="preserve">17</w:t>
            </w:r>
          </w:p>
        </w:tc>
        <w:tc>
          <w:tcPr>
            <w:tcW w:w="1267" w:type="dxa"/>
          </w:tcPr>
          <w:p>
            <w:pPr>
              <w:pStyle w:val="Compact"/>
              <w:spacing w:after="40"/>
              <w:jc w:val="left"/>
            </w:pPr>
            <w:r>
              <w:rPr>
                <w:sz w:val="18"/>
              </w:rPr>
              <w:t xml:space="preserve">Integrations catalogue</w:t>
            </w:r>
          </w:p>
        </w:tc>
        <w:tc>
          <w:tcPr>
            <w:tcW w:w="2763" w:type="dxa"/>
          </w:tcPr>
          <w:p>
            <w:pPr>
              <w:pStyle w:val="Compact"/>
              <w:spacing w:after="40"/>
              <w:jc w:val="left"/>
            </w:pPr>
            <w:r>
              <w:rPr>
                <w:sz w:val="18"/>
              </w:rPr>
              <w:t xml:space="preserve">“</w:t>
            </w:r>
            <w:r>
              <w:rPr>
                <w:sz w:val="18"/>
              </w:rPr>
              <w:t xml:space="preserve">Legal: eCourts; Equator; e-auction service providers</w:t>
            </w:r>
            <w:r>
              <w:rPr>
                <w:sz w:val="18"/>
              </w:rPr>
              <w:t xml:space="preserve">”</w:t>
            </w:r>
          </w:p>
        </w:tc>
        <w:tc>
          <w:tcPr>
            <w:tcW w:w="4794" w:type="dxa"/>
          </w:tcPr>
          <w:p>
            <w:pPr>
              <w:pStyle w:val="Compact"/>
              <w:spacing w:after="40"/>
              <w:jc w:val="left"/>
            </w:pPr>
            <w:r>
              <w:rPr>
                <w:sz w:val="18"/>
              </w:rPr>
              <w:t xml:space="preserve">ODR providers, court-data and legal-tech, e-auction (BAANKNET mandatory for IBC liquidation auctions), notice dispatch, agencies and diallers, GRC tools (Part 9.2)</w:t>
            </w:r>
          </w:p>
        </w:tc>
      </w:tr>
      <w:tr>
        <w:tc>
          <w:tcPr>
            <w:tcW w:w="814" w:type="dxa"/>
          </w:tcPr>
          <w:p>
            <w:pPr>
              <w:pStyle w:val="Compact"/>
              <w:spacing w:after="40"/>
              <w:jc w:val="left"/>
            </w:pPr>
            <w:r>
              <w:rPr>
                <w:sz w:val="18"/>
              </w:rPr>
              <w:t xml:space="preserve">18</w:t>
            </w:r>
          </w:p>
        </w:tc>
        <w:tc>
          <w:tcPr>
            <w:tcW w:w="1267" w:type="dxa"/>
          </w:tcPr>
          <w:p>
            <w:pPr>
              <w:pStyle w:val="Compact"/>
              <w:spacing w:after="40"/>
              <w:jc w:val="left"/>
            </w:pPr>
            <w:r>
              <w:rPr>
                <w:sz w:val="18"/>
              </w:rPr>
              <w:t xml:space="preserve">Platform</w:t>
            </w:r>
          </w:p>
        </w:tc>
        <w:tc>
          <w:tcPr>
            <w:tcW w:w="2763" w:type="dxa"/>
          </w:tcPr>
          <w:p>
            <w:pPr>
              <w:pStyle w:val="Compact"/>
              <w:spacing w:after="40"/>
              <w:jc w:val="left"/>
            </w:pPr>
            <w:r>
              <w:rPr>
                <w:sz w:val="18"/>
              </w:rPr>
              <w:t xml:space="preserve">Feature flags only</w:t>
            </w:r>
          </w:p>
        </w:tc>
        <w:tc>
          <w:tcPr>
            <w:tcW w:w="4794" w:type="dxa"/>
          </w:tcPr>
          <w:p>
            <w:pPr>
              <w:pStyle w:val="Compact"/>
              <w:spacing w:after="40"/>
              <w:jc w:val="left"/>
            </w:pPr>
            <w:r>
              <w:rPr>
                <w:sz w:val="18"/>
              </w:rPr>
              <w:t xml:space="preserve">Module registry, manifests, server-side entitlements and connector certification (Part 10.2 principle 35; Integration Spec Part 14)</w:t>
            </w:r>
          </w:p>
        </w:tc>
      </w:tr>
    </w:tbl>
    <w:p>
      <w:pPr>
        <w:pStyle w:val="BodyText"/>
      </w:pPr>
      <w:r>
        <w:rPr>
          <w:bCs/>
          <w:b/>
        </w:rPr>
        <w:t xml:space="preserve">Corrections to the owner’s Udolex reference file that v1.4 relies on.</w:t>
      </w:r>
      <w:r>
        <w:t xml:space="preserve"> </w:t>
      </w:r>
      <w:r>
        <w:t xml:space="preserve">The Udolex file was used as a knowledge base only. Where it conflicts with the positions below, the positions below apply.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32"/>
        <w:gridCol w:w="1690"/>
        <w:gridCol w:w="2644"/>
        <w:gridCol w:w="4372"/>
      </w:tblGrid>
      <w:tr>
        <w:trPr>
          <w:tblHeader w:val="true"/>
          <w:tblHeader w:val="true"/>
        </w:trPr>
        <w:tc>
          <w:tcPr>
            <w:tcW w:w="932" w:type="dxa"/>
            <w:shd w:val="clear" w:color="auto" w:fill="1F3A5F"/>
          </w:tcPr>
          <w:p>
            <w:pPr>
              <w:pStyle w:val="Compact"/>
              <w:spacing w:after="40"/>
              <w:jc w:val="left"/>
            </w:pPr>
            <w:r>
              <w:rPr>
                <w:b/>
                <w:color w:val="FFFFFF"/>
                <w:sz w:val="18"/>
              </w:rPr>
              <w:t xml:space="preserve">#</w:t>
            </w:r>
          </w:p>
        </w:tc>
        <w:tc>
          <w:tcPr>
            <w:tcW w:w="1690" w:type="dxa"/>
            <w:shd w:val="clear" w:color="auto" w:fill="1F3A5F"/>
          </w:tcPr>
          <w:p>
            <w:pPr>
              <w:pStyle w:val="Compact"/>
              <w:spacing w:after="40"/>
              <w:jc w:val="left"/>
            </w:pPr>
            <w:r>
              <w:rPr>
                <w:b/>
                <w:color w:val="FFFFFF"/>
                <w:sz w:val="18"/>
              </w:rPr>
              <w:t xml:space="preserve">Topic</w:t>
            </w:r>
          </w:p>
        </w:tc>
        <w:tc>
          <w:tcPr>
            <w:tcW w:w="2644" w:type="dxa"/>
            <w:shd w:val="clear" w:color="auto" w:fill="1F3A5F"/>
          </w:tcPr>
          <w:p>
            <w:pPr>
              <w:pStyle w:val="Compact"/>
              <w:spacing w:after="40"/>
              <w:jc w:val="left"/>
            </w:pPr>
            <w:r>
              <w:rPr>
                <w:b/>
                <w:color w:val="FFFFFF"/>
                <w:sz w:val="18"/>
              </w:rPr>
              <w:t xml:space="preserve">Udolex statement</w:t>
            </w:r>
          </w:p>
        </w:tc>
        <w:tc>
          <w:tcPr>
            <w:tcW w:w="4372" w:type="dxa"/>
            <w:shd w:val="clear" w:color="auto" w:fill="1F3A5F"/>
          </w:tcPr>
          <w:p>
            <w:pPr>
              <w:pStyle w:val="Compact"/>
              <w:spacing w:after="40"/>
              <w:jc w:val="left"/>
            </w:pPr>
            <w:r>
              <w:rPr>
                <w:b/>
                <w:color w:val="FFFFFF"/>
                <w:sz w:val="18"/>
              </w:rPr>
              <w:t xml:space="preserve">Position adopted in v1.4 (source)</w:t>
            </w:r>
          </w:p>
        </w:tc>
      </w:tr>
      <w:tr>
        <w:tc>
          <w:tcPr>
            <w:tcW w:w="932" w:type="dxa"/>
          </w:tcPr>
          <w:p>
            <w:pPr>
              <w:pStyle w:val="Compact"/>
              <w:spacing w:after="40"/>
              <w:jc w:val="left"/>
            </w:pPr>
            <w:r>
              <w:rPr>
                <w:sz w:val="18"/>
              </w:rPr>
              <w:t xml:space="preserve">1</w:t>
            </w:r>
          </w:p>
        </w:tc>
        <w:tc>
          <w:tcPr>
            <w:tcW w:w="1690" w:type="dxa"/>
          </w:tcPr>
          <w:p>
            <w:pPr>
              <w:pStyle w:val="Compact"/>
              <w:spacing w:after="40"/>
              <w:jc w:val="left"/>
            </w:pPr>
            <w:r>
              <w:rPr>
                <w:sz w:val="18"/>
              </w:rPr>
              <w:t xml:space="preserve">SARFAESI threshold for NBFCs</w:t>
            </w:r>
          </w:p>
        </w:tc>
        <w:tc>
          <w:tcPr>
            <w:tcW w:w="2644" w:type="dxa"/>
          </w:tcPr>
          <w:p>
            <w:pPr>
              <w:pStyle w:val="Compact"/>
              <w:spacing w:after="40"/>
              <w:jc w:val="left"/>
            </w:pPr>
            <w:r>
              <w:rPr>
                <w:sz w:val="18"/>
              </w:rPr>
              <w:t xml:space="preserve">₹100 crore of assets and debt of ₹50 lakh (S.O. 856(E), 2020)</w:t>
            </w:r>
          </w:p>
        </w:tc>
        <w:tc>
          <w:tcPr>
            <w:tcW w:w="4372" w:type="dxa"/>
          </w:tcPr>
          <w:p>
            <w:pPr>
              <w:pStyle w:val="Compact"/>
              <w:spacing w:after="40"/>
              <w:jc w:val="left"/>
            </w:pPr>
            <w:r>
              <w:rPr>
                <w:sz w:val="18"/>
              </w:rPr>
              <w:t xml:space="preserve">Debt of ₹20 lakh or more (S.O. 652(E), 12 Feb 2021), with assets ≥ ₹100 crore</w:t>
            </w:r>
          </w:p>
        </w:tc>
      </w:tr>
      <w:tr>
        <w:tc>
          <w:tcPr>
            <w:tcW w:w="932" w:type="dxa"/>
          </w:tcPr>
          <w:p>
            <w:pPr>
              <w:pStyle w:val="Compact"/>
              <w:spacing w:after="40"/>
              <w:jc w:val="left"/>
            </w:pPr>
            <w:r>
              <w:rPr>
                <w:sz w:val="18"/>
              </w:rPr>
              <w:t xml:space="preserve">2</w:t>
            </w:r>
          </w:p>
        </w:tc>
        <w:tc>
          <w:tcPr>
            <w:tcW w:w="1690" w:type="dxa"/>
          </w:tcPr>
          <w:p>
            <w:pPr>
              <w:pStyle w:val="Compact"/>
              <w:spacing w:after="40"/>
              <w:jc w:val="left"/>
            </w:pPr>
            <w:r>
              <w:rPr>
                <w:sz w:val="18"/>
              </w:rPr>
              <w:t xml:space="preserve">HFCs under SARFAESI</w:t>
            </w:r>
          </w:p>
        </w:tc>
        <w:tc>
          <w:tcPr>
            <w:tcW w:w="2644" w:type="dxa"/>
          </w:tcPr>
          <w:p>
            <w:pPr>
              <w:pStyle w:val="Compact"/>
              <w:spacing w:after="40"/>
              <w:jc w:val="left"/>
            </w:pPr>
            <w:r>
              <w:rPr>
                <w:sz w:val="18"/>
              </w:rPr>
              <w:t xml:space="preserve">₹50 lakh minimum</w:t>
            </w:r>
          </w:p>
        </w:tc>
        <w:tc>
          <w:tcPr>
            <w:tcW w:w="4372" w:type="dxa"/>
          </w:tcPr>
          <w:p>
            <w:pPr>
              <w:pStyle w:val="Compact"/>
              <w:spacing w:after="40"/>
              <w:jc w:val="left"/>
            </w:pPr>
            <w:r>
              <w:rPr>
                <w:sz w:val="18"/>
              </w:rPr>
              <w:t xml:space="preserve">Notified financial institutions (s.2(1)(m)(iv)); the NBFC floor does not apply (</w:t>
            </w:r>
            <w:r>
              <w:rPr>
                <w:iCs/>
                <w:i/>
                <w:sz w:val="18"/>
              </w:rPr>
              <w:t xml:space="preserve">Virendra Rathore v Tehsildar</w:t>
            </w:r>
            <w:r>
              <w:rPr>
                <w:sz w:val="18"/>
              </w:rPr>
              <w:t xml:space="preserve">, MP HC, 22 May 2024)</w:t>
            </w:r>
          </w:p>
        </w:tc>
      </w:tr>
      <w:tr>
        <w:tc>
          <w:tcPr>
            <w:tcW w:w="932" w:type="dxa"/>
          </w:tcPr>
          <w:p>
            <w:pPr>
              <w:pStyle w:val="Compact"/>
              <w:spacing w:after="40"/>
              <w:jc w:val="left"/>
            </w:pPr>
            <w:r>
              <w:rPr>
                <w:sz w:val="18"/>
              </w:rPr>
              <w:t xml:space="preserve">3</w:t>
            </w:r>
          </w:p>
        </w:tc>
        <w:tc>
          <w:tcPr>
            <w:tcW w:w="1690" w:type="dxa"/>
          </w:tcPr>
          <w:p>
            <w:pPr>
              <w:pStyle w:val="Compact"/>
              <w:spacing w:after="40"/>
              <w:jc w:val="left"/>
            </w:pPr>
            <w:r>
              <w:rPr>
                <w:sz w:val="18"/>
              </w:rPr>
              <w:t xml:space="preserve">NBFCs at the DRT</w:t>
            </w:r>
          </w:p>
        </w:tc>
        <w:tc>
          <w:tcPr>
            <w:tcW w:w="2644" w:type="dxa"/>
          </w:tcPr>
          <w:p>
            <w:pPr>
              <w:pStyle w:val="Compact"/>
              <w:spacing w:after="40"/>
              <w:jc w:val="left"/>
            </w:pPr>
            <w:r>
              <w:rPr>
                <w:sz w:val="18"/>
              </w:rPr>
              <w:t xml:space="preserve">NBFCs may file an OA for ₹20 lakh or more</w:t>
            </w:r>
          </w:p>
        </w:tc>
        <w:tc>
          <w:tcPr>
            <w:tcW w:w="4372" w:type="dxa"/>
          </w:tcPr>
          <w:p>
            <w:pPr>
              <w:pStyle w:val="Compact"/>
              <w:spacing w:after="40"/>
              <w:jc w:val="left"/>
            </w:pPr>
            <w:r>
              <w:rPr>
                <w:sz w:val="18"/>
              </w:rPr>
              <w:t xml:space="preserve">Not unless notified under RDB s.2(h)(ii); a SARFAESI notification does not carry over</w:t>
            </w:r>
          </w:p>
        </w:tc>
      </w:tr>
      <w:tr>
        <w:tc>
          <w:tcPr>
            <w:tcW w:w="932" w:type="dxa"/>
          </w:tcPr>
          <w:p>
            <w:pPr>
              <w:pStyle w:val="Compact"/>
              <w:spacing w:after="40"/>
              <w:jc w:val="left"/>
            </w:pPr>
            <w:r>
              <w:rPr>
                <w:sz w:val="18"/>
              </w:rPr>
              <w:t xml:space="preserve">4</w:t>
            </w:r>
          </w:p>
        </w:tc>
        <w:tc>
          <w:tcPr>
            <w:tcW w:w="1690" w:type="dxa"/>
          </w:tcPr>
          <w:p>
            <w:pPr>
              <w:pStyle w:val="Compact"/>
              <w:spacing w:after="40"/>
              <w:jc w:val="left"/>
            </w:pPr>
            <w:r>
              <w:rPr>
                <w:sz w:val="18"/>
              </w:rPr>
              <w:t xml:space="preserve">SARFAESI timelines</w:t>
            </w:r>
          </w:p>
        </w:tc>
        <w:tc>
          <w:tcPr>
            <w:tcW w:w="2644" w:type="dxa"/>
          </w:tcPr>
          <w:p>
            <w:pPr>
              <w:pStyle w:val="Compact"/>
              <w:spacing w:after="40"/>
              <w:jc w:val="left"/>
            </w:pPr>
            <w:r>
              <w:rPr>
                <w:sz w:val="18"/>
              </w:rPr>
              <w:t xml:space="preserve">3A reply in 7 days; s.17 has no limitation; DRT decides in 4 months under</w:t>
            </w:r>
            <w:r>
              <w:rPr>
                <w:sz w:val="18"/>
              </w:rPr>
              <w:t xml:space="preserve"> </w:t>
            </w:r>
            <w:r>
              <w:rPr>
                <w:sz w:val="18"/>
              </w:rPr>
              <w:t xml:space="preserve">“</w:t>
            </w:r>
            <w:r>
              <w:rPr>
                <w:sz w:val="18"/>
              </w:rPr>
              <w:t xml:space="preserve">s.17(7)</w:t>
            </w:r>
            <w:r>
              <w:rPr>
                <w:sz w:val="18"/>
              </w:rPr>
              <w:t xml:space="preserve">”</w:t>
            </w:r>
          </w:p>
        </w:tc>
        <w:tc>
          <w:tcPr>
            <w:tcW w:w="4372" w:type="dxa"/>
          </w:tcPr>
          <w:p>
            <w:pPr>
              <w:pStyle w:val="Compact"/>
              <w:spacing w:after="40"/>
              <w:jc w:val="left"/>
            </w:pPr>
            <w:r>
              <w:rPr>
                <w:sz w:val="18"/>
              </w:rPr>
              <w:t xml:space="preserve">15 days (s.13(3A)); 45 days (s.17(1)); 60 days, up to 4 months (s.17(5))</w:t>
            </w:r>
          </w:p>
        </w:tc>
      </w:tr>
      <w:tr>
        <w:tc>
          <w:tcPr>
            <w:tcW w:w="932" w:type="dxa"/>
          </w:tcPr>
          <w:p>
            <w:pPr>
              <w:pStyle w:val="Compact"/>
              <w:spacing w:after="40"/>
              <w:jc w:val="left"/>
            </w:pPr>
            <w:r>
              <w:rPr>
                <w:sz w:val="18"/>
              </w:rPr>
              <w:t xml:space="preserve">5</w:t>
            </w:r>
          </w:p>
        </w:tc>
        <w:tc>
          <w:tcPr>
            <w:tcW w:w="1690" w:type="dxa"/>
          </w:tcPr>
          <w:p>
            <w:pPr>
              <w:pStyle w:val="Compact"/>
              <w:spacing w:after="40"/>
              <w:jc w:val="left"/>
            </w:pPr>
            <w:r>
              <w:rPr>
                <w:sz w:val="18"/>
              </w:rPr>
              <w:t xml:space="preserve">SARFAESI sale</w:t>
            </w:r>
          </w:p>
        </w:tc>
        <w:tc>
          <w:tcPr>
            <w:tcW w:w="2644" w:type="dxa"/>
          </w:tcPr>
          <w:p>
            <w:pPr>
              <w:pStyle w:val="Compact"/>
              <w:spacing w:after="40"/>
              <w:jc w:val="left"/>
            </w:pPr>
            <w:r>
              <w:rPr>
                <w:sz w:val="18"/>
              </w:rPr>
              <w:t xml:space="preserve">Balance in 15 days</w:t>
            </w:r>
            <w:r>
              <w:rPr>
                <w:sz w:val="18"/>
              </w:rPr>
              <w:t xml:space="preserve"> </w:t>
            </w:r>
            <w:r>
              <w:rPr>
                <w:sz w:val="18"/>
              </w:rPr>
              <w:t xml:space="preserve">“</w:t>
            </w:r>
            <w:r>
              <w:rPr>
                <w:sz w:val="18"/>
              </w:rPr>
              <w:t xml:space="preserve">from auction</w:t>
            </w:r>
            <w:r>
              <w:rPr>
                <w:sz w:val="18"/>
              </w:rPr>
              <w:t xml:space="preserve">”</w:t>
            </w:r>
            <w:r>
              <w:rPr>
                <w:sz w:val="18"/>
              </w:rPr>
              <w:t xml:space="preserve">; below-reserve sale with Board approval</w:t>
            </w:r>
          </w:p>
        </w:tc>
        <w:tc>
          <w:tcPr>
            <w:tcW w:w="4372" w:type="dxa"/>
          </w:tcPr>
          <w:p>
            <w:pPr>
              <w:pStyle w:val="Compact"/>
              <w:spacing w:after="40"/>
              <w:jc w:val="left"/>
            </w:pPr>
            <w:r>
              <w:rPr>
                <w:sz w:val="18"/>
              </w:rPr>
              <w:t xml:space="preserve">Balance within 15 days of confirmation, or up to 3 months by written extension (Rule 9(4)); mandatory (</w:t>
            </w:r>
            <w:r>
              <w:rPr>
                <w:iCs/>
                <w:i/>
                <w:sz w:val="18"/>
              </w:rPr>
              <w:t xml:space="preserve">M.R. Vasumathi v Authorized Officer</w:t>
            </w:r>
            <w:r>
              <w:rPr>
                <w:sz w:val="18"/>
              </w:rPr>
              <w:t xml:space="preserve">, SC, 9 Jun 2026); below reserve only with borrower and creditor consent (Rule 9(2))</w:t>
            </w:r>
          </w:p>
        </w:tc>
      </w:tr>
      <w:tr>
        <w:tc>
          <w:tcPr>
            <w:tcW w:w="932" w:type="dxa"/>
          </w:tcPr>
          <w:p>
            <w:pPr>
              <w:pStyle w:val="Compact"/>
              <w:spacing w:after="40"/>
              <w:jc w:val="left"/>
            </w:pPr>
            <w:r>
              <w:rPr>
                <w:sz w:val="18"/>
              </w:rPr>
              <w:t xml:space="preserve">6</w:t>
            </w:r>
          </w:p>
        </w:tc>
        <w:tc>
          <w:tcPr>
            <w:tcW w:w="1690" w:type="dxa"/>
          </w:tcPr>
          <w:p>
            <w:pPr>
              <w:pStyle w:val="Compact"/>
              <w:spacing w:after="40"/>
              <w:jc w:val="left"/>
            </w:pPr>
            <w:r>
              <w:rPr>
                <w:sz w:val="18"/>
              </w:rPr>
              <w:t xml:space="preserve">CERSAI</w:t>
            </w:r>
          </w:p>
        </w:tc>
        <w:tc>
          <w:tcPr>
            <w:tcW w:w="2644" w:type="dxa"/>
          </w:tcPr>
          <w:p>
            <w:pPr>
              <w:pStyle w:val="Compact"/>
              <w:spacing w:after="40"/>
              <w:jc w:val="left"/>
            </w:pPr>
            <w:r>
              <w:rPr>
                <w:sz w:val="18"/>
              </w:rPr>
              <w:t xml:space="preserve">Affects only priority</w:t>
            </w:r>
          </w:p>
        </w:tc>
        <w:tc>
          <w:tcPr>
            <w:tcW w:w="4372" w:type="dxa"/>
          </w:tcPr>
          <w:p>
            <w:pPr>
              <w:pStyle w:val="Compact"/>
              <w:spacing w:after="40"/>
              <w:jc w:val="left"/>
            </w:pPr>
            <w:r>
              <w:rPr>
                <w:sz w:val="18"/>
              </w:rPr>
              <w:t xml:space="preserve">No enforcement under Chapter III without registration (SARFAESI s.26D)</w:t>
            </w:r>
          </w:p>
        </w:tc>
      </w:tr>
      <w:tr>
        <w:tc>
          <w:tcPr>
            <w:tcW w:w="932" w:type="dxa"/>
          </w:tcPr>
          <w:p>
            <w:pPr>
              <w:pStyle w:val="Compact"/>
              <w:spacing w:after="40"/>
              <w:jc w:val="left"/>
            </w:pPr>
            <w:r>
              <w:rPr>
                <w:sz w:val="18"/>
              </w:rPr>
              <w:t xml:space="preserve">7</w:t>
            </w:r>
          </w:p>
        </w:tc>
        <w:tc>
          <w:tcPr>
            <w:tcW w:w="1690" w:type="dxa"/>
          </w:tcPr>
          <w:p>
            <w:pPr>
              <w:pStyle w:val="Compact"/>
              <w:spacing w:after="40"/>
              <w:jc w:val="left"/>
            </w:pPr>
            <w:r>
              <w:rPr>
                <w:sz w:val="18"/>
              </w:rPr>
              <w:t xml:space="preserve">IBC 2026</w:t>
            </w:r>
          </w:p>
        </w:tc>
        <w:tc>
          <w:tcPr>
            <w:tcW w:w="2644" w:type="dxa"/>
          </w:tcPr>
          <w:p>
            <w:pPr>
              <w:pStyle w:val="Compact"/>
              <w:spacing w:after="40"/>
              <w:jc w:val="left"/>
            </w:pPr>
            <w:r>
              <w:rPr>
                <w:sz w:val="18"/>
              </w:rPr>
              <w:t xml:space="preserve">CIIRP treated as operative; PG applications at the DRT; PPIRP threshold</w:t>
            </w:r>
            <w:r>
              <w:rPr>
                <w:sz w:val="18"/>
              </w:rPr>
              <w:t xml:space="preserve"> </w:t>
            </w:r>
            <w:r>
              <w:rPr>
                <w:sz w:val="18"/>
              </w:rPr>
              <w:t xml:space="preserve">“</w:t>
            </w:r>
            <w:r>
              <w:rPr>
                <w:sz w:val="18"/>
              </w:rPr>
              <w:t xml:space="preserve">66%</w:t>
            </w:r>
            <w:r>
              <w:rPr>
                <w:sz w:val="18"/>
              </w:rPr>
              <w:t xml:space="preserve">”</w:t>
            </w:r>
          </w:p>
        </w:tc>
        <w:tc>
          <w:tcPr>
            <w:tcW w:w="4372" w:type="dxa"/>
          </w:tcPr>
          <w:p>
            <w:pPr>
              <w:pStyle w:val="Compact"/>
              <w:spacing w:after="40"/>
              <w:jc w:val="left"/>
            </w:pPr>
            <w:r>
              <w:rPr>
                <w:sz w:val="18"/>
              </w:rPr>
              <w:t xml:space="preserve">CIIRP, group and cross-border provisions not in force; PG applications at the NCLT; PPIRP approval 51% (s.54A(2)(e))</w:t>
            </w:r>
          </w:p>
        </w:tc>
      </w:tr>
      <w:tr>
        <w:tc>
          <w:tcPr>
            <w:tcW w:w="932" w:type="dxa"/>
          </w:tcPr>
          <w:p>
            <w:pPr>
              <w:pStyle w:val="Compact"/>
              <w:spacing w:after="40"/>
              <w:jc w:val="left"/>
            </w:pPr>
            <w:r>
              <w:rPr>
                <w:sz w:val="18"/>
              </w:rPr>
              <w:t xml:space="preserve">8</w:t>
            </w:r>
          </w:p>
        </w:tc>
        <w:tc>
          <w:tcPr>
            <w:tcW w:w="1690" w:type="dxa"/>
          </w:tcPr>
          <w:p>
            <w:pPr>
              <w:pStyle w:val="Compact"/>
              <w:spacing w:after="40"/>
              <w:jc w:val="left"/>
            </w:pPr>
            <w:r>
              <w:rPr>
                <w:sz w:val="18"/>
              </w:rPr>
              <w:t xml:space="preserve">Gold auction</w:t>
            </w:r>
          </w:p>
        </w:tc>
        <w:tc>
          <w:tcPr>
            <w:tcW w:w="2644" w:type="dxa"/>
          </w:tcPr>
          <w:p>
            <w:pPr>
              <w:pStyle w:val="Compact"/>
              <w:spacing w:after="40"/>
              <w:jc w:val="left"/>
            </w:pPr>
            <w:r>
              <w:rPr>
                <w:sz w:val="18"/>
              </w:rPr>
              <w:t xml:space="preserve">3 days’ notice; two auctions the same day; LBMA-based reserve; ₹5,000 a day for surplus delay</w:t>
            </w:r>
          </w:p>
        </w:tc>
        <w:tc>
          <w:tcPr>
            <w:tcW w:w="4372" w:type="dxa"/>
          </w:tcPr>
          <w:p>
            <w:pPr>
              <w:pStyle w:val="Compact"/>
              <w:spacing w:after="40"/>
              <w:jc w:val="left"/>
            </w:pPr>
            <w:r>
              <w:rPr>
                <w:sz w:val="18"/>
              </w:rPr>
              <w:t xml:space="preserve">Adequate notice (public notice plus 1 month if untraceable); reserve ≥ 90% (85% after two failures) of IBJA or exchange value; first auction physical in the district; surplus within 7 working days; ₹5,000 a day applies to late release (RBC 58, 60–66, 69)</w:t>
            </w:r>
          </w:p>
        </w:tc>
      </w:tr>
      <w:tr>
        <w:tc>
          <w:tcPr>
            <w:tcW w:w="932" w:type="dxa"/>
          </w:tcPr>
          <w:p>
            <w:pPr>
              <w:pStyle w:val="Compact"/>
              <w:spacing w:after="40"/>
              <w:jc w:val="left"/>
            </w:pPr>
            <w:r>
              <w:rPr>
                <w:sz w:val="18"/>
              </w:rPr>
              <w:t xml:space="preserve">9</w:t>
            </w:r>
          </w:p>
        </w:tc>
        <w:tc>
          <w:tcPr>
            <w:tcW w:w="1690" w:type="dxa"/>
          </w:tcPr>
          <w:p>
            <w:pPr>
              <w:pStyle w:val="Compact"/>
              <w:spacing w:after="40"/>
              <w:jc w:val="left"/>
            </w:pPr>
            <w:r>
              <w:rPr>
                <w:sz w:val="18"/>
              </w:rPr>
              <w:t xml:space="preserve">s.138 jurisdiction and timing</w:t>
            </w:r>
          </w:p>
        </w:tc>
        <w:tc>
          <w:tcPr>
            <w:tcW w:w="2644" w:type="dxa"/>
          </w:tcPr>
          <w:p>
            <w:pPr>
              <w:pStyle w:val="Compact"/>
              <w:spacing w:after="40"/>
              <w:jc w:val="left"/>
            </w:pPr>
            <w:r>
              <w:rPr>
                <w:sz w:val="18"/>
              </w:rPr>
              <w:t xml:space="preserve">Drawee’s branch; 30 days</w:t>
            </w:r>
            <w:r>
              <w:rPr>
                <w:sz w:val="18"/>
              </w:rPr>
              <w:t xml:space="preserve"> </w:t>
            </w:r>
            <w:r>
              <w:rPr>
                <w:sz w:val="18"/>
              </w:rPr>
              <w:t xml:space="preserve">“</w:t>
            </w:r>
            <w:r>
              <w:rPr>
                <w:sz w:val="18"/>
              </w:rPr>
              <w:t xml:space="preserve">absolute</w:t>
            </w:r>
            <w:r>
              <w:rPr>
                <w:sz w:val="18"/>
              </w:rPr>
              <w:t xml:space="preserve">”</w:t>
            </w:r>
            <w:r>
              <w:rPr>
                <w:sz w:val="18"/>
              </w:rPr>
              <w:t xml:space="preserve">; summary trial capped</w:t>
            </w:r>
          </w:p>
        </w:tc>
        <w:tc>
          <w:tcPr>
            <w:tcW w:w="4372" w:type="dxa"/>
          </w:tcPr>
          <w:p>
            <w:pPr>
              <w:pStyle w:val="Compact"/>
              <w:spacing w:after="40"/>
              <w:jc w:val="left"/>
            </w:pPr>
            <w:r>
              <w:rPr>
                <w:sz w:val="18"/>
              </w:rPr>
              <w:t xml:space="preserve">Payee’s branch (s.142(2)); one month, condonable; s.143 has no value cap; add PSS Act s.25 for mandate returns</w:t>
            </w:r>
          </w:p>
        </w:tc>
      </w:tr>
      <w:tr>
        <w:tc>
          <w:tcPr>
            <w:tcW w:w="932" w:type="dxa"/>
          </w:tcPr>
          <w:p>
            <w:pPr>
              <w:pStyle w:val="Compact"/>
              <w:spacing w:after="40"/>
              <w:jc w:val="left"/>
            </w:pPr>
            <w:r>
              <w:rPr>
                <w:sz w:val="18"/>
              </w:rPr>
              <w:t xml:space="preserve">10</w:t>
            </w:r>
          </w:p>
        </w:tc>
        <w:tc>
          <w:tcPr>
            <w:tcW w:w="1690" w:type="dxa"/>
          </w:tcPr>
          <w:p>
            <w:pPr>
              <w:pStyle w:val="Compact"/>
              <w:spacing w:after="40"/>
              <w:jc w:val="left"/>
            </w:pPr>
            <w:r>
              <w:rPr>
                <w:sz w:val="18"/>
              </w:rPr>
              <w:t xml:space="preserve">Mediation</w:t>
            </w:r>
          </w:p>
        </w:tc>
        <w:tc>
          <w:tcPr>
            <w:tcW w:w="2644" w:type="dxa"/>
          </w:tcPr>
          <w:p>
            <w:pPr>
              <w:pStyle w:val="Compact"/>
              <w:spacing w:after="40"/>
              <w:jc w:val="left"/>
            </w:pPr>
            <w:r>
              <w:rPr>
                <w:sz w:val="18"/>
              </w:rPr>
              <w:t xml:space="preserve">Mediation Act</w:t>
            </w:r>
            <w:r>
              <w:rPr>
                <w:sz w:val="18"/>
              </w:rPr>
              <w:t xml:space="preserve"> </w:t>
            </w:r>
            <w:r>
              <w:rPr>
                <w:sz w:val="18"/>
              </w:rPr>
              <w:t xml:space="preserve">“</w:t>
            </w:r>
            <w:r>
              <w:rPr>
                <w:sz w:val="18"/>
              </w:rPr>
              <w:t xml:space="preserve">mandates pre-litigation mediation</w:t>
            </w:r>
            <w:r>
              <w:rPr>
                <w:sz w:val="18"/>
              </w:rPr>
              <w:t xml:space="preserve">”</w:t>
            </w:r>
            <w:r>
              <w:rPr>
                <w:sz w:val="18"/>
              </w:rPr>
              <w:t xml:space="preserve">; settlement enforceable once registered</w:t>
            </w:r>
          </w:p>
        </w:tc>
        <w:tc>
          <w:tcPr>
            <w:tcW w:w="4372" w:type="dxa"/>
          </w:tcPr>
          <w:p>
            <w:pPr>
              <w:pStyle w:val="Compact"/>
              <w:spacing w:after="40"/>
              <w:jc w:val="left"/>
            </w:pPr>
            <w:r>
              <w:rPr>
                <w:sz w:val="18"/>
              </w:rPr>
              <w:t xml:space="preserve">s.5 is voluntary and not in force; only Commercial Courts Act s.12A mandates pre-institution mediation (3 + 2 months); s.27 enforcement not in force; registration optional</w:t>
            </w:r>
          </w:p>
        </w:tc>
      </w:tr>
      <w:tr>
        <w:tc>
          <w:tcPr>
            <w:tcW w:w="932" w:type="dxa"/>
          </w:tcPr>
          <w:p>
            <w:pPr>
              <w:pStyle w:val="Compact"/>
              <w:spacing w:after="40"/>
              <w:jc w:val="left"/>
            </w:pPr>
            <w:r>
              <w:rPr>
                <w:sz w:val="18"/>
              </w:rPr>
              <w:t xml:space="preserve">11</w:t>
            </w:r>
          </w:p>
        </w:tc>
        <w:tc>
          <w:tcPr>
            <w:tcW w:w="1690" w:type="dxa"/>
          </w:tcPr>
          <w:p>
            <w:pPr>
              <w:pStyle w:val="Compact"/>
              <w:spacing w:after="40"/>
              <w:jc w:val="left"/>
            </w:pPr>
            <w:r>
              <w:rPr>
                <w:sz w:val="18"/>
              </w:rPr>
              <w:t xml:space="preserve">Conciliation</w:t>
            </w:r>
          </w:p>
        </w:tc>
        <w:tc>
          <w:tcPr>
            <w:tcW w:w="2644" w:type="dxa"/>
          </w:tcPr>
          <w:p>
            <w:pPr>
              <w:pStyle w:val="Compact"/>
              <w:spacing w:after="40"/>
              <w:jc w:val="left"/>
            </w:pPr>
            <w:r>
              <w:rPr>
                <w:sz w:val="18"/>
              </w:rPr>
              <w:t xml:space="preserve">Settlement</w:t>
            </w:r>
            <w:r>
              <w:rPr>
                <w:sz w:val="18"/>
              </w:rPr>
              <w:t xml:space="preserve"> </w:t>
            </w:r>
            <w:r>
              <w:rPr>
                <w:sz w:val="18"/>
              </w:rPr>
              <w:t xml:space="preserve">“</w:t>
            </w:r>
            <w:r>
              <w:rPr>
                <w:sz w:val="18"/>
              </w:rPr>
              <w:t xml:space="preserve">enforceable as a judgment</w:t>
            </w:r>
            <w:r>
              <w:rPr>
                <w:sz w:val="18"/>
              </w:rPr>
              <w:t xml:space="preserve">”</w:t>
            </w:r>
          </w:p>
        </w:tc>
        <w:tc>
          <w:tcPr>
            <w:tcW w:w="4372" w:type="dxa"/>
          </w:tcPr>
          <w:p>
            <w:pPr>
              <w:pStyle w:val="Compact"/>
              <w:spacing w:after="40"/>
              <w:jc w:val="left"/>
            </w:pPr>
            <w:r>
              <w:rPr>
                <w:sz w:val="18"/>
              </w:rPr>
              <w:t xml:space="preserve">Status of an arbitral award (A&amp;C Act s.74)</w:t>
            </w:r>
          </w:p>
        </w:tc>
      </w:tr>
      <w:tr>
        <w:tc>
          <w:tcPr>
            <w:tcW w:w="932" w:type="dxa"/>
          </w:tcPr>
          <w:p>
            <w:pPr>
              <w:pStyle w:val="Compact"/>
              <w:spacing w:after="40"/>
              <w:jc w:val="left"/>
            </w:pPr>
            <w:r>
              <w:rPr>
                <w:sz w:val="18"/>
              </w:rPr>
              <w:t xml:space="preserve">12</w:t>
            </w:r>
          </w:p>
        </w:tc>
        <w:tc>
          <w:tcPr>
            <w:tcW w:w="1690" w:type="dxa"/>
          </w:tcPr>
          <w:p>
            <w:pPr>
              <w:pStyle w:val="Compact"/>
              <w:spacing w:after="40"/>
              <w:jc w:val="left"/>
            </w:pPr>
            <w:r>
              <w:rPr>
                <w:sz w:val="18"/>
              </w:rPr>
              <w:t xml:space="preserve">Unilateral appointment</w:t>
            </w:r>
          </w:p>
        </w:tc>
        <w:tc>
          <w:tcPr>
            <w:tcW w:w="2644" w:type="dxa"/>
          </w:tcPr>
          <w:p>
            <w:pPr>
              <w:pStyle w:val="Compact"/>
              <w:spacing w:after="40"/>
              <w:jc w:val="left"/>
            </w:pPr>
            <w:r>
              <w:rPr>
                <w:sz w:val="18"/>
              </w:rPr>
              <w:t xml:space="preserve">Omitted</w:t>
            </w:r>
          </w:p>
        </w:tc>
        <w:tc>
          <w:tcPr>
            <w:tcW w:w="4372" w:type="dxa"/>
          </w:tcPr>
          <w:p>
            <w:pPr>
              <w:pStyle w:val="Compact"/>
              <w:spacing w:after="40"/>
              <w:jc w:val="left"/>
            </w:pPr>
            <w:r>
              <w:rPr>
                <w:iCs/>
                <w:i/>
                <w:sz w:val="18"/>
              </w:rPr>
              <w:t xml:space="preserve">TRF v Energo</w:t>
            </w:r>
            <w:r>
              <w:rPr>
                <w:sz w:val="18"/>
              </w:rPr>
              <w:t xml:space="preserve"> </w:t>
            </w:r>
            <w:r>
              <w:rPr>
                <w:sz w:val="18"/>
              </w:rPr>
              <w:t xml:space="preserve">(2017);</w:t>
            </w:r>
            <w:r>
              <w:rPr>
                <w:sz w:val="18"/>
              </w:rPr>
              <w:t xml:space="preserve"> </w:t>
            </w:r>
            <w:r>
              <w:rPr>
                <w:iCs/>
                <w:i/>
                <w:sz w:val="18"/>
              </w:rPr>
              <w:t xml:space="preserve">Perkins Eastman</w:t>
            </w:r>
            <w:r>
              <w:rPr>
                <w:sz w:val="18"/>
              </w:rPr>
              <w:t xml:space="preserve"> </w:t>
            </w:r>
            <w:r>
              <w:rPr>
                <w:sz w:val="18"/>
              </w:rPr>
              <w:t xml:space="preserve">(2020);</w:t>
            </w:r>
            <w:r>
              <w:rPr>
                <w:sz w:val="18"/>
              </w:rPr>
              <w:t xml:space="preserve"> </w:t>
            </w:r>
            <w:r>
              <w:rPr>
                <w:iCs/>
                <w:i/>
                <w:sz w:val="18"/>
              </w:rPr>
              <w:t xml:space="preserve">CORE</w:t>
            </w:r>
            <w:r>
              <w:rPr>
                <w:sz w:val="18"/>
              </w:rPr>
              <w:t xml:space="preserve"> </w:t>
            </w:r>
            <w:r>
              <w:rPr>
                <w:sz w:val="18"/>
              </w:rPr>
              <w:t xml:space="preserve">(8 Nov 2024);</w:t>
            </w:r>
            <w:r>
              <w:rPr>
                <w:sz w:val="18"/>
              </w:rPr>
              <w:t xml:space="preserve"> </w:t>
            </w:r>
            <w:r>
              <w:rPr>
                <w:iCs/>
                <w:i/>
                <w:sz w:val="18"/>
              </w:rPr>
              <w:t xml:space="preserve">L&amp;T Finance</w:t>
            </w:r>
            <w:r>
              <w:rPr>
                <w:sz w:val="18"/>
              </w:rPr>
              <w:t xml:space="preserve"> </w:t>
            </w:r>
            <w:r>
              <w:rPr>
                <w:sz w:val="18"/>
              </w:rPr>
              <w:t xml:space="preserve">(14 May 2026);</w:t>
            </w:r>
            <w:r>
              <w:rPr>
                <w:sz w:val="18"/>
              </w:rPr>
              <w:t xml:space="preserve"> </w:t>
            </w:r>
            <w:r>
              <w:rPr>
                <w:iCs/>
                <w:i/>
                <w:sz w:val="18"/>
              </w:rPr>
              <w:t xml:space="preserve">Shikha Ghosh</w:t>
            </w:r>
            <w:r>
              <w:rPr>
                <w:sz w:val="18"/>
              </w:rPr>
              <w:t xml:space="preserve"> </w:t>
            </w:r>
            <w:r>
              <w:rPr>
                <w:sz w:val="18"/>
              </w:rPr>
              <w:t xml:space="preserve">(30 Sep 2026)</w:t>
            </w:r>
          </w:p>
        </w:tc>
      </w:tr>
      <w:tr>
        <w:tc>
          <w:tcPr>
            <w:tcW w:w="932" w:type="dxa"/>
          </w:tcPr>
          <w:p>
            <w:pPr>
              <w:pStyle w:val="Compact"/>
              <w:spacing w:after="40"/>
              <w:jc w:val="left"/>
            </w:pPr>
            <w:r>
              <w:rPr>
                <w:sz w:val="18"/>
              </w:rPr>
              <w:t xml:space="preserve">13</w:t>
            </w:r>
          </w:p>
        </w:tc>
        <w:tc>
          <w:tcPr>
            <w:tcW w:w="1690" w:type="dxa"/>
          </w:tcPr>
          <w:p>
            <w:pPr>
              <w:pStyle w:val="Compact"/>
              <w:spacing w:after="40"/>
              <w:jc w:val="left"/>
            </w:pPr>
            <w:r>
              <w:rPr>
                <w:sz w:val="18"/>
              </w:rPr>
              <w:t xml:space="preserve">Arbitration procedure</w:t>
            </w:r>
          </w:p>
        </w:tc>
        <w:tc>
          <w:tcPr>
            <w:tcW w:w="2644" w:type="dxa"/>
          </w:tcPr>
          <w:p>
            <w:pPr>
              <w:pStyle w:val="Compact"/>
              <w:spacing w:after="40"/>
              <w:jc w:val="left"/>
            </w:pPr>
            <w:r>
              <w:rPr>
                <w:sz w:val="18"/>
              </w:rPr>
              <w:t xml:space="preserve">Emergency arbitrator since 2015; s.29A runs from constitution; awards executable at the DRT</w:t>
            </w:r>
          </w:p>
        </w:tc>
        <w:tc>
          <w:tcPr>
            <w:tcW w:w="4372" w:type="dxa"/>
          </w:tcPr>
          <w:p>
            <w:pPr>
              <w:pStyle w:val="Compact"/>
              <w:spacing w:after="40"/>
              <w:jc w:val="left"/>
            </w:pPr>
            <w:r>
              <w:rPr>
                <w:sz w:val="18"/>
              </w:rPr>
              <w:t xml:space="preserve">No emergency-arbitrator provision in the Act; s.29A runs from completion of pleadings; execution in the civil court where assets lie</w:t>
            </w:r>
          </w:p>
        </w:tc>
      </w:tr>
      <w:tr>
        <w:tc>
          <w:tcPr>
            <w:tcW w:w="932" w:type="dxa"/>
          </w:tcPr>
          <w:p>
            <w:pPr>
              <w:pStyle w:val="Compact"/>
              <w:spacing w:after="40"/>
              <w:jc w:val="left"/>
            </w:pPr>
            <w:r>
              <w:rPr>
                <w:sz w:val="18"/>
              </w:rPr>
              <w:t xml:space="preserve">14</w:t>
            </w:r>
          </w:p>
        </w:tc>
        <w:tc>
          <w:tcPr>
            <w:tcW w:w="1690" w:type="dxa"/>
          </w:tcPr>
          <w:p>
            <w:pPr>
              <w:pStyle w:val="Compact"/>
              <w:spacing w:after="40"/>
              <w:jc w:val="left"/>
            </w:pPr>
            <w:r>
              <w:rPr>
                <w:sz w:val="18"/>
              </w:rPr>
              <w:t xml:space="preserve">Lok Adalat</w:t>
            </w:r>
          </w:p>
        </w:tc>
        <w:tc>
          <w:tcPr>
            <w:tcW w:w="2644" w:type="dxa"/>
          </w:tcPr>
          <w:p>
            <w:pPr>
              <w:pStyle w:val="Compact"/>
              <w:spacing w:after="40"/>
              <w:jc w:val="left"/>
            </w:pPr>
            <w:r>
              <w:rPr>
                <w:sz w:val="18"/>
              </w:rPr>
              <w:t xml:space="preserve">“</w:t>
            </w:r>
            <w:r>
              <w:rPr>
                <w:sz w:val="18"/>
              </w:rPr>
              <w:t xml:space="preserve">DRT-Lok Adalat (s.22B RDB Act)</w:t>
            </w:r>
            <w:r>
              <w:rPr>
                <w:sz w:val="18"/>
              </w:rPr>
              <w:t xml:space="preserve">”</w:t>
            </w:r>
            <w:r>
              <w:rPr>
                <w:sz w:val="18"/>
              </w:rPr>
              <w:t xml:space="preserve">;</w:t>
            </w:r>
            <w:r>
              <w:rPr>
                <w:sz w:val="18"/>
              </w:rPr>
              <w:t xml:space="preserve"> </w:t>
            </w:r>
            <w:r>
              <w:rPr>
                <w:sz w:val="18"/>
              </w:rPr>
              <w:t xml:space="preserve">“</w:t>
            </w:r>
            <w:r>
              <w:rPr>
                <w:sz w:val="18"/>
              </w:rPr>
              <w:t xml:space="preserve">₹5–20 lakh per RBI</w:t>
            </w:r>
            <w:r>
              <w:rPr>
                <w:sz w:val="18"/>
              </w:rPr>
              <w:t xml:space="preserve">”</w:t>
            </w:r>
          </w:p>
        </w:tc>
        <w:tc>
          <w:tcPr>
            <w:tcW w:w="4372" w:type="dxa"/>
          </w:tcPr>
          <w:p>
            <w:pPr>
              <w:pStyle w:val="Compact"/>
              <w:spacing w:after="40"/>
              <w:jc w:val="left"/>
            </w:pPr>
            <w:r>
              <w:rPr>
                <w:sz w:val="18"/>
              </w:rPr>
              <w:t xml:space="preserve">s.22B is the LSA Act Permanent Lok Adalat provision; no statutory cap; RBI ceiling for banks and AIFIs only</w:t>
            </w:r>
          </w:p>
        </w:tc>
      </w:tr>
      <w:tr>
        <w:tc>
          <w:tcPr>
            <w:tcW w:w="932" w:type="dxa"/>
          </w:tcPr>
          <w:p>
            <w:pPr>
              <w:pStyle w:val="Compact"/>
              <w:spacing w:after="40"/>
              <w:jc w:val="left"/>
            </w:pPr>
            <w:r>
              <w:rPr>
                <w:sz w:val="18"/>
              </w:rPr>
              <w:t xml:space="preserve">15</w:t>
            </w:r>
          </w:p>
        </w:tc>
        <w:tc>
          <w:tcPr>
            <w:tcW w:w="1690" w:type="dxa"/>
          </w:tcPr>
          <w:p>
            <w:pPr>
              <w:pStyle w:val="Compact"/>
              <w:spacing w:after="40"/>
              <w:jc w:val="left"/>
            </w:pPr>
            <w:r>
              <w:rPr>
                <w:sz w:val="18"/>
              </w:rPr>
              <w:t xml:space="preserve">Fraud and wilful-defaulter settlements</w:t>
            </w:r>
          </w:p>
        </w:tc>
        <w:tc>
          <w:tcPr>
            <w:tcW w:w="2644" w:type="dxa"/>
          </w:tcPr>
          <w:p>
            <w:pPr>
              <w:pStyle w:val="Compact"/>
              <w:spacing w:after="40"/>
              <w:jc w:val="left"/>
            </w:pPr>
            <w:r>
              <w:rPr>
                <w:sz w:val="18"/>
              </w:rPr>
              <w:t xml:space="preserve">Only after criminal proceedings close</w:t>
            </w:r>
          </w:p>
        </w:tc>
        <w:tc>
          <w:tcPr>
            <w:tcW w:w="4372" w:type="dxa"/>
          </w:tcPr>
          <w:p>
            <w:pPr>
              <w:pStyle w:val="Compact"/>
              <w:spacing w:after="40"/>
              <w:jc w:val="left"/>
            </w:pPr>
            <w:r>
              <w:rPr>
                <w:sz w:val="18"/>
              </w:rPr>
              <w:t xml:space="preserve">Permitted with Board approval, without prejudice to criminal proceedings (RSA 16(5)(ii), 97–98)</w:t>
            </w:r>
          </w:p>
        </w:tc>
      </w:tr>
      <w:tr>
        <w:tc>
          <w:tcPr>
            <w:tcW w:w="932" w:type="dxa"/>
          </w:tcPr>
          <w:p>
            <w:pPr>
              <w:pStyle w:val="Compact"/>
              <w:spacing w:after="40"/>
              <w:jc w:val="left"/>
            </w:pPr>
            <w:r>
              <w:rPr>
                <w:sz w:val="18"/>
              </w:rPr>
              <w:t xml:space="preserve">16</w:t>
            </w:r>
          </w:p>
        </w:tc>
        <w:tc>
          <w:tcPr>
            <w:tcW w:w="1690" w:type="dxa"/>
          </w:tcPr>
          <w:p>
            <w:pPr>
              <w:pStyle w:val="Compact"/>
              <w:spacing w:after="40"/>
              <w:jc w:val="left"/>
            </w:pPr>
            <w:r>
              <w:rPr>
                <w:sz w:val="18"/>
              </w:rPr>
              <w:t xml:space="preserve">DLG</w:t>
            </w:r>
          </w:p>
        </w:tc>
        <w:tc>
          <w:tcPr>
            <w:tcW w:w="2644" w:type="dxa"/>
          </w:tcPr>
          <w:p>
            <w:pPr>
              <w:pStyle w:val="Compact"/>
              <w:spacing w:after="40"/>
              <w:jc w:val="left"/>
            </w:pPr>
            <w:r>
              <w:rPr>
                <w:sz w:val="18"/>
              </w:rPr>
              <w:t xml:space="preserve">5% of the outstanding pool; invocation 6–12 months after NPA; proceeds credited to the loan</w:t>
            </w:r>
          </w:p>
        </w:tc>
        <w:tc>
          <w:tcPr>
            <w:tcW w:w="4372" w:type="dxa"/>
          </w:tcPr>
          <w:p>
            <w:pPr>
              <w:pStyle w:val="Compact"/>
              <w:spacing w:after="40"/>
              <w:jc w:val="left"/>
            </w:pPr>
            <w:r>
              <w:rPr>
                <w:sz w:val="18"/>
              </w:rPr>
              <w:t xml:space="preserve">5% of the amount disbursed from a fixed set (CF 24); invoke within 120 days overdue (CF 27(1)); never set off against the loan (CF 25(2))</w:t>
            </w:r>
          </w:p>
        </w:tc>
      </w:tr>
      <w:tr>
        <w:tc>
          <w:tcPr>
            <w:tcW w:w="932" w:type="dxa"/>
          </w:tcPr>
          <w:p>
            <w:pPr>
              <w:pStyle w:val="Compact"/>
              <w:spacing w:after="40"/>
              <w:jc w:val="left"/>
            </w:pPr>
            <w:r>
              <w:rPr>
                <w:sz w:val="18"/>
              </w:rPr>
              <w:t xml:space="preserve">17</w:t>
            </w:r>
          </w:p>
        </w:tc>
        <w:tc>
          <w:tcPr>
            <w:tcW w:w="1690" w:type="dxa"/>
          </w:tcPr>
          <w:p>
            <w:pPr>
              <w:pStyle w:val="Compact"/>
              <w:spacing w:after="40"/>
              <w:jc w:val="left"/>
            </w:pPr>
            <w:r>
              <w:rPr>
                <w:sz w:val="18"/>
              </w:rPr>
              <w:t xml:space="preserve">LSP settlements</w:t>
            </w:r>
          </w:p>
        </w:tc>
        <w:tc>
          <w:tcPr>
            <w:tcW w:w="2644" w:type="dxa"/>
          </w:tcPr>
          <w:p>
            <w:pPr>
              <w:pStyle w:val="Compact"/>
              <w:spacing w:after="40"/>
              <w:jc w:val="left"/>
            </w:pPr>
            <w:r>
              <w:rPr>
                <w:sz w:val="18"/>
              </w:rPr>
              <w:t xml:space="preserve">LSP may execute OTS without the RE</w:t>
            </w:r>
          </w:p>
        </w:tc>
        <w:tc>
          <w:tcPr>
            <w:tcW w:w="4372" w:type="dxa"/>
          </w:tcPr>
          <w:p>
            <w:pPr>
              <w:pStyle w:val="Compact"/>
              <w:spacing w:after="40"/>
              <w:jc w:val="left"/>
            </w:pPr>
            <w:r>
              <w:rPr>
                <w:sz w:val="18"/>
              </w:rPr>
              <w:t xml:space="preserve">Not permitted: settlement is an RE decision (RSA 16(5); OUT 15); proceeds to the RE’s account (CF 10)</w:t>
            </w:r>
          </w:p>
        </w:tc>
      </w:tr>
      <w:tr>
        <w:tc>
          <w:tcPr>
            <w:tcW w:w="932" w:type="dxa"/>
          </w:tcPr>
          <w:p>
            <w:pPr>
              <w:pStyle w:val="Compact"/>
              <w:spacing w:after="40"/>
              <w:jc w:val="left"/>
            </w:pPr>
            <w:r>
              <w:rPr>
                <w:sz w:val="18"/>
              </w:rPr>
              <w:t xml:space="preserve">18</w:t>
            </w:r>
          </w:p>
        </w:tc>
        <w:tc>
          <w:tcPr>
            <w:tcW w:w="1690" w:type="dxa"/>
          </w:tcPr>
          <w:p>
            <w:pPr>
              <w:pStyle w:val="Compact"/>
              <w:spacing w:after="40"/>
              <w:jc w:val="left"/>
            </w:pPr>
            <w:r>
              <w:rPr>
                <w:sz w:val="18"/>
              </w:rPr>
              <w:t xml:space="preserve">Co-lending</w:t>
            </w:r>
          </w:p>
        </w:tc>
        <w:tc>
          <w:tcPr>
            <w:tcW w:w="2644" w:type="dxa"/>
          </w:tcPr>
          <w:p>
            <w:pPr>
              <w:pStyle w:val="Compact"/>
              <w:spacing w:after="40"/>
              <w:jc w:val="left"/>
            </w:pPr>
            <w:r>
              <w:rPr>
                <w:sz w:val="18"/>
              </w:rPr>
              <w:t xml:space="preserve">NPA classified independently by each lender</w:t>
            </w:r>
          </w:p>
        </w:tc>
        <w:tc>
          <w:tcPr>
            <w:tcW w:w="4372" w:type="dxa"/>
          </w:tcPr>
          <w:p>
            <w:pPr>
              <w:pStyle w:val="Compact"/>
              <w:spacing w:after="40"/>
              <w:jc w:val="left"/>
            </w:pPr>
            <w:r>
              <w:rPr>
                <w:sz w:val="18"/>
              </w:rPr>
              <w:t xml:space="preserve">Borrower-level classification shared by the next working day (TDCR 124)</w:t>
            </w:r>
          </w:p>
        </w:tc>
      </w:tr>
      <w:tr>
        <w:tc>
          <w:tcPr>
            <w:tcW w:w="932" w:type="dxa"/>
          </w:tcPr>
          <w:p>
            <w:pPr>
              <w:pStyle w:val="Compact"/>
              <w:spacing w:after="40"/>
              <w:jc w:val="left"/>
            </w:pPr>
            <w:r>
              <w:rPr>
                <w:sz w:val="18"/>
              </w:rPr>
              <w:t xml:space="preserve">19</w:t>
            </w:r>
          </w:p>
        </w:tc>
        <w:tc>
          <w:tcPr>
            <w:tcW w:w="1690" w:type="dxa"/>
          </w:tcPr>
          <w:p>
            <w:pPr>
              <w:pStyle w:val="Compact"/>
              <w:spacing w:after="40"/>
              <w:jc w:val="left"/>
            </w:pPr>
            <w:r>
              <w:rPr>
                <w:sz w:val="18"/>
              </w:rPr>
              <w:t xml:space="preserve">Stressed-loan sales</w:t>
            </w:r>
          </w:p>
        </w:tc>
        <w:tc>
          <w:tcPr>
            <w:tcW w:w="2644" w:type="dxa"/>
          </w:tcPr>
          <w:p>
            <w:pPr>
              <w:pStyle w:val="Compact"/>
              <w:spacing w:after="40"/>
              <w:jc w:val="left"/>
            </w:pPr>
            <w:r>
              <w:rPr>
                <w:sz w:val="18"/>
              </w:rPr>
              <w:t xml:space="preserve">Swiss challenge for any NPA above ₹100 crore, typically 5%</w:t>
            </w:r>
          </w:p>
        </w:tc>
        <w:tc>
          <w:tcPr>
            <w:tcW w:w="4372" w:type="dxa"/>
          </w:tcPr>
          <w:p>
            <w:pPr>
              <w:pStyle w:val="Compact"/>
              <w:spacing w:after="40"/>
              <w:jc w:val="left"/>
            </w:pPr>
            <w:r>
              <w:rPr>
                <w:sz w:val="18"/>
              </w:rPr>
              <w:t xml:space="preserve">After bilateral negotiation where aggregate exposure is ≥ ₹100 crore, and for ICA exits; mark-up per Board policy (TDCR 60, 89–92)</w:t>
            </w:r>
          </w:p>
        </w:tc>
      </w:tr>
      <w:tr>
        <w:tc>
          <w:tcPr>
            <w:tcW w:w="932" w:type="dxa"/>
          </w:tcPr>
          <w:p>
            <w:pPr>
              <w:pStyle w:val="Compact"/>
              <w:spacing w:after="40"/>
              <w:jc w:val="left"/>
            </w:pPr>
            <w:r>
              <w:rPr>
                <w:sz w:val="18"/>
              </w:rPr>
              <w:t xml:space="preserve">20</w:t>
            </w:r>
          </w:p>
        </w:tc>
        <w:tc>
          <w:tcPr>
            <w:tcW w:w="1690" w:type="dxa"/>
          </w:tcPr>
          <w:p>
            <w:pPr>
              <w:pStyle w:val="Compact"/>
              <w:spacing w:after="40"/>
              <w:jc w:val="left"/>
            </w:pPr>
            <w:r>
              <w:rPr>
                <w:sz w:val="18"/>
              </w:rPr>
              <w:t xml:space="preserve">Contact rules</w:t>
            </w:r>
          </w:p>
        </w:tc>
        <w:tc>
          <w:tcPr>
            <w:tcW w:w="2644" w:type="dxa"/>
          </w:tcPr>
          <w:p>
            <w:pPr>
              <w:pStyle w:val="Compact"/>
              <w:spacing w:after="40"/>
              <w:jc w:val="left"/>
            </w:pPr>
            <w:r>
              <w:rPr>
                <w:sz w:val="18"/>
              </w:rPr>
              <w:t xml:space="preserve">“</w:t>
            </w:r>
            <w:r>
              <w:rPr>
                <w:sz w:val="18"/>
              </w:rPr>
              <w:t xml:space="preserve">Max 3 attempts a week</w:t>
            </w:r>
            <w:r>
              <w:rPr>
                <w:sz w:val="18"/>
              </w:rPr>
              <w:t xml:space="preserve">”</w:t>
            </w:r>
            <w:r>
              <w:rPr>
                <w:sz w:val="18"/>
              </w:rPr>
              <w:t xml:space="preserve"> </w:t>
            </w:r>
            <w:r>
              <w:rPr>
                <w:sz w:val="18"/>
              </w:rPr>
              <w:t xml:space="preserve">as an RBI rule; RBC</w:t>
            </w:r>
            <w:r>
              <w:rPr>
                <w:sz w:val="18"/>
              </w:rPr>
              <w:t xml:space="preserve"> </w:t>
            </w:r>
            <w:r>
              <w:rPr>
                <w:sz w:val="18"/>
              </w:rPr>
              <w:t xml:space="preserve">“</w:t>
            </w:r>
            <w:r>
              <w:rPr>
                <w:sz w:val="18"/>
              </w:rPr>
              <w:t xml:space="preserve">not notified</w:t>
            </w:r>
            <w:r>
              <w:rPr>
                <w:sz w:val="18"/>
              </w:rPr>
              <w:t xml:space="preserve">”</w:t>
            </w:r>
          </w:p>
        </w:tc>
        <w:tc>
          <w:tcPr>
            <w:tcW w:w="4372" w:type="dxa"/>
          </w:tcPr>
          <w:p>
            <w:pPr>
              <w:pStyle w:val="Compact"/>
              <w:spacing w:after="40"/>
              <w:jc w:val="left"/>
            </w:pPr>
            <w:r>
              <w:rPr>
                <w:sz w:val="18"/>
              </w:rPr>
              <w:t xml:space="preserve">No numeric cap in RBI text (the test is excessive or persistent contact); RBC issued 28 Nov 2025 and amended by RBI/2026-27/230 from 1 Jan 2027</w:t>
            </w:r>
          </w:p>
        </w:tc>
      </w:tr>
      <w:tr>
        <w:tc>
          <w:tcPr>
            <w:tcW w:w="932" w:type="dxa"/>
          </w:tcPr>
          <w:p>
            <w:pPr>
              <w:pStyle w:val="Compact"/>
              <w:spacing w:after="40"/>
              <w:jc w:val="left"/>
            </w:pPr>
            <w:r>
              <w:rPr>
                <w:sz w:val="18"/>
              </w:rPr>
              <w:t xml:space="preserve">21</w:t>
            </w:r>
          </w:p>
        </w:tc>
        <w:tc>
          <w:tcPr>
            <w:tcW w:w="1690" w:type="dxa"/>
          </w:tcPr>
          <w:p>
            <w:pPr>
              <w:pStyle w:val="Compact"/>
              <w:spacing w:after="40"/>
              <w:jc w:val="left"/>
            </w:pPr>
            <w:r>
              <w:rPr>
                <w:sz w:val="18"/>
              </w:rPr>
              <w:t xml:space="preserve">e-auction</w:t>
            </w:r>
          </w:p>
        </w:tc>
        <w:tc>
          <w:tcPr>
            <w:tcW w:w="2644" w:type="dxa"/>
          </w:tcPr>
          <w:p>
            <w:pPr>
              <w:pStyle w:val="Compact"/>
              <w:spacing w:after="40"/>
              <w:jc w:val="left"/>
            </w:pPr>
            <w:r>
              <w:rPr>
                <w:sz w:val="18"/>
              </w:rPr>
              <w:t xml:space="preserve">A SARFAESI amendment mandates BAANKNET</w:t>
            </w:r>
          </w:p>
        </w:tc>
        <w:tc>
          <w:tcPr>
            <w:tcW w:w="4372" w:type="dxa"/>
          </w:tcPr>
          <w:p>
            <w:pPr>
              <w:pStyle w:val="Compact"/>
              <w:spacing w:after="40"/>
              <w:jc w:val="left"/>
            </w:pPr>
            <w:r>
              <w:rPr>
                <w:sz w:val="18"/>
              </w:rPr>
              <w:t xml:space="preserve">IBBI circulars mandate BAANKNET for IBC liquidation auctions only (notices from 1 Apr 2025)</w:t>
            </w:r>
          </w:p>
        </w:tc>
      </w:tr>
      <w:tr>
        <w:tc>
          <w:tcPr>
            <w:tcW w:w="932" w:type="dxa"/>
          </w:tcPr>
          <w:p>
            <w:pPr>
              <w:pStyle w:val="Compact"/>
              <w:spacing w:after="40"/>
              <w:jc w:val="left"/>
            </w:pPr>
            <w:r>
              <w:rPr>
                <w:sz w:val="18"/>
              </w:rPr>
              <w:t xml:space="preserve">22</w:t>
            </w:r>
          </w:p>
        </w:tc>
        <w:tc>
          <w:tcPr>
            <w:tcW w:w="1690" w:type="dxa"/>
          </w:tcPr>
          <w:p>
            <w:pPr>
              <w:pStyle w:val="Compact"/>
              <w:spacing w:after="40"/>
              <w:jc w:val="left"/>
            </w:pPr>
            <w:r>
              <w:rPr>
                <w:sz w:val="18"/>
              </w:rPr>
              <w:t xml:space="preserve">Vehicle re-registration</w:t>
            </w:r>
          </w:p>
        </w:tc>
        <w:tc>
          <w:tcPr>
            <w:tcW w:w="2644" w:type="dxa"/>
          </w:tcPr>
          <w:p>
            <w:pPr>
              <w:pStyle w:val="Compact"/>
              <w:spacing w:after="40"/>
              <w:jc w:val="left"/>
            </w:pPr>
            <w:r>
              <w:rPr>
                <w:sz w:val="18"/>
              </w:rPr>
              <w:t xml:space="preserve">Form 35 after repossession</w:t>
            </w:r>
          </w:p>
        </w:tc>
        <w:tc>
          <w:tcPr>
            <w:tcW w:w="4372" w:type="dxa"/>
          </w:tcPr>
          <w:p>
            <w:pPr>
              <w:pStyle w:val="Compact"/>
              <w:spacing w:after="40"/>
              <w:jc w:val="left"/>
            </w:pPr>
            <w:r>
              <w:rPr>
                <w:sz w:val="18"/>
              </w:rPr>
              <w:t xml:space="preserve">Form 36 under MV Act s.51(5); Form 35 only on closure</w:t>
            </w:r>
          </w:p>
        </w:tc>
      </w:tr>
      <w:tr>
        <w:tc>
          <w:tcPr>
            <w:tcW w:w="932" w:type="dxa"/>
          </w:tcPr>
          <w:p>
            <w:pPr>
              <w:pStyle w:val="Compact"/>
              <w:spacing w:after="40"/>
              <w:jc w:val="left"/>
            </w:pPr>
            <w:r>
              <w:rPr>
                <w:sz w:val="18"/>
              </w:rPr>
              <w:t xml:space="preserve">23</w:t>
            </w:r>
          </w:p>
        </w:tc>
        <w:tc>
          <w:tcPr>
            <w:tcW w:w="1690" w:type="dxa"/>
          </w:tcPr>
          <w:p>
            <w:pPr>
              <w:pStyle w:val="Compact"/>
              <w:spacing w:after="40"/>
              <w:jc w:val="left"/>
            </w:pPr>
            <w:r>
              <w:rPr>
                <w:sz w:val="18"/>
              </w:rPr>
              <w:t xml:space="preserve">Limitation</w:t>
            </w:r>
          </w:p>
        </w:tc>
        <w:tc>
          <w:tcPr>
            <w:tcW w:w="2644" w:type="dxa"/>
          </w:tcPr>
          <w:p>
            <w:pPr>
              <w:pStyle w:val="Compact"/>
              <w:spacing w:after="40"/>
              <w:jc w:val="left"/>
            </w:pPr>
            <w:r>
              <w:rPr>
                <w:sz w:val="18"/>
              </w:rPr>
              <w:t xml:space="preserve">Demand loan runs from demand; SARFAESI has no limitation</w:t>
            </w:r>
          </w:p>
        </w:tc>
        <w:tc>
          <w:tcPr>
            <w:tcW w:w="4372" w:type="dxa"/>
          </w:tcPr>
          <w:p>
            <w:pPr>
              <w:pStyle w:val="Compact"/>
              <w:spacing w:after="40"/>
              <w:jc w:val="left"/>
            </w:pPr>
            <w:r>
              <w:rPr>
                <w:sz w:val="18"/>
              </w:rPr>
              <w:t xml:space="preserve">Art. 21 runs from the date of the loan; SARFAESI s.36 applies, with Art. 62 (12 years) for mortgages [VERIFY: Supreme Court position]</w:t>
            </w:r>
          </w:p>
        </w:tc>
      </w:tr>
    </w:tbl>
    <w:p>
      <w:pPr>
        <w:pStyle w:val="BodyText"/>
      </w:pPr>
      <w:r>
        <w:rPr>
          <w:bCs/>
          <w:b/>
        </w:rPr>
        <w:t xml:space="preserve">Still unverified after v1.4</w:t>
      </w:r>
      <w:r>
        <w:t xml:space="preserve"> </w:t>
      </w:r>
      <w:r>
        <w:t xml:space="preserve">(each is marked [VERIFY] where used): the official text of the RBC Second and Third Amendment Directions, 2026, and whether a separate microfinance contact window survives 1 Jan 2027; the SEBI 5 Feb 2026 circular number; the CERSAI filing window; any commencement notice for the remaining IBC 2026 provisions; Mediation Act commencement of ss.4–25, 27–30 and 39–44; the RBI response in</w:t>
      </w:r>
      <w:r>
        <w:t xml:space="preserve"> </w:t>
      </w:r>
      <w:r>
        <w:rPr>
          <w:iCs/>
          <w:i/>
        </w:rPr>
        <w:t xml:space="preserve">Shikha Ghosh</w:t>
      </w:r>
      <w:r>
        <w:t xml:space="preserve"> </w:t>
      </w:r>
      <w:r>
        <w:t xml:space="preserve">(hearing 17 Nov 2026); NBFC eligibility for eCourts open APIs and BAANKNET listing; Vahan financier-side services by state; the final status of the August 2026 draft CF amendment on revolving credit; LawDocsComply public API.</w:t>
      </w:r>
    </w:p>
    <w:bookmarkEnd w:id="896"/>
    <w:bookmarkStart w:id="897" w:name="X81618596e6a2f847e2cf0783de2c6e07888f28c"/>
    <w:p>
      <w:pPr>
        <w:pStyle w:val="Heading2"/>
      </w:pPr>
      <w:r>
        <w:t xml:space="preserve">E.5 v1.4 → v1.5 (23–24 October 2026): regulatory filing, CIC, accounting, audit, risk, governance, institution profiles, investments, portability, billing, engineering assurance, menus and settings</w:t>
      </w:r>
    </w:p>
    <w:p>
      <w:pPr>
        <w:pStyle w:val="FirstParagraph"/>
      </w:pPr>
      <w:r>
        <w:t xml:space="preserve">v1.5 adds Parts 7B–7L (there is no Part 7I): regulatory returns, supervisory portals and credit bureau submissions (7B: RR1–RR8); accounting frameworks, financial statements, taxation and the statutory audit trail (7C: AC1–AC7); the audit and assurance suite (7D: AU1–AU7); risk management, capital adequacy, ICAAP and leadership dashboards (7E: RK1–RK8); corporate governance, listed-company compliance, client HRMS and workplace integration (7F: GV1–GV7); institution profiles for co-operatives, microfinance, ARCs and IFSC entities (7G: IP1–IP6); the investments, treasury and capital-markets module (7H: IV1–IV7); data portability, archives and customer-controlled storage (7J: DP1–DP5); tenant-side plans, entitlements, billing and payments (7K: CM1–CM5); and engineering operations, assurance readiness, certifications and voice adapters (7L: EO1–EO6). It adds Phases 13b, 14b, 14c, 14d, 15b, 16c, 16d, 16e, 17c, 17d, 18b and 20b; Part 8A.37 (non-RBI and later RBI sources, superseded owner references and the v1.5 [VERIFY] register); pointers from M10–M21 and R11; Part 2, 3.1 and 3.2 updates (Operations Hub, new customer types, workspaces S–W); new rows in Parts 9.2 and 10.1; Part 10.2 principles 36–42; the reworded Part 10.6 item 12; and Appendix G (navigation, menus, screens and settings map). It moves the cross-product contract to Integration Specification v1.1 and introduces the</w:t>
      </w:r>
      <w:r>
        <w:t xml:space="preserve"> </w:t>
      </w:r>
      <w:r>
        <w:rPr>
          <w:bCs/>
          <w:b/>
        </w:rPr>
        <w:t xml:space="preserve">Infrabyx Operations Hub — Master Build Prompt</w:t>
      </w:r>
      <w:r>
        <w:t xml:space="preserve"> </w:t>
      </w:r>
      <w:r>
        <w:t xml:space="preserve">(product code</w:t>
      </w:r>
      <w:r>
        <w:t xml:space="preserve"> </w:t>
      </w:r>
      <w:r>
        <w:rPr>
          <w:rStyle w:val="VerbatimChar"/>
        </w:rPr>
        <w:t xml:space="preserve">OH</w:t>
      </w:r>
      <w:r>
        <w:t xml:space="preserve">) as the companion platform for group operations; Udofin moves to v1.2 in parallel. Every v1.5 position was checked against the supplied RBI texts and against primary or reputable secondary sources dated up to 23 October 2026. On 24 October 2026 the owner asked for better logic, workflows, options and menus; v1.5 therefore also gives every Part 7B–7L module a</w:t>
      </w:r>
      <w:r>
        <w:t xml:space="preserve"> </w:t>
      </w:r>
      <w:r>
        <w:rPr>
          <w:rStyle w:val="VerbatimChar"/>
        </w:rPr>
        <w:t xml:space="preserve">Settings and options</w:t>
      </w:r>
      <w:r>
        <w:t xml:space="preserve"> </w:t>
      </w:r>
      <w:r>
        <w:t xml:space="preserve">and a</w:t>
      </w:r>
      <w:r>
        <w:t xml:space="preserve"> </w:t>
      </w:r>
      <w:r>
        <w:rPr>
          <w:rStyle w:val="VerbatimChar"/>
        </w:rPr>
        <w:t xml:space="preserve">Menu and screens</w:t>
      </w:r>
      <w:r>
        <w:t xml:space="preserve"> </w:t>
      </w:r>
      <w:r>
        <w:t xml:space="preserve">subsection, consolidated in Appendix G (row 19 and request 38). Claude Code must follow v1.5; the v1.4 statements below are withdrawn or completed.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24"/>
        <w:gridCol w:w="1413"/>
        <w:gridCol w:w="2553"/>
        <w:gridCol w:w="4848"/>
      </w:tblGrid>
      <w:tr>
        <w:trPr>
          <w:tblHeader w:val="true"/>
          <w:tblHeader w:val="true"/>
        </w:trPr>
        <w:tc>
          <w:tcPr>
            <w:tcW w:w="824" w:type="dxa"/>
            <w:shd w:val="clear" w:color="auto" w:fill="1F3A5F"/>
          </w:tcPr>
          <w:p>
            <w:pPr>
              <w:pStyle w:val="Compact"/>
              <w:spacing w:after="40"/>
              <w:jc w:val="left"/>
            </w:pPr>
            <w:r>
              <w:rPr>
                <w:b/>
                <w:color w:val="FFFFFF"/>
                <w:sz w:val="18"/>
              </w:rPr>
              <w:t xml:space="preserve">#</w:t>
            </w:r>
          </w:p>
        </w:tc>
        <w:tc>
          <w:tcPr>
            <w:tcW w:w="1413" w:type="dxa"/>
            <w:shd w:val="clear" w:color="auto" w:fill="1F3A5F"/>
          </w:tcPr>
          <w:p>
            <w:pPr>
              <w:pStyle w:val="Compact"/>
              <w:spacing w:after="40"/>
              <w:jc w:val="left"/>
            </w:pPr>
            <w:r>
              <w:rPr>
                <w:b/>
                <w:color w:val="FFFFFF"/>
                <w:sz w:val="18"/>
              </w:rPr>
              <w:t xml:space="preserve">Area</w:t>
            </w:r>
          </w:p>
        </w:tc>
        <w:tc>
          <w:tcPr>
            <w:tcW w:w="2553" w:type="dxa"/>
            <w:shd w:val="clear" w:color="auto" w:fill="1F3A5F"/>
          </w:tcPr>
          <w:p>
            <w:pPr>
              <w:pStyle w:val="Compact"/>
              <w:spacing w:after="40"/>
              <w:jc w:val="left"/>
            </w:pPr>
            <w:r>
              <w:rPr>
                <w:b/>
                <w:color w:val="FFFFFF"/>
                <w:sz w:val="18"/>
              </w:rPr>
              <w:t xml:space="preserve">v1.4 statement (withdrawn or incomplete)</w:t>
            </w:r>
          </w:p>
        </w:tc>
        <w:tc>
          <w:tcPr>
            <w:tcW w:w="4848" w:type="dxa"/>
            <w:shd w:val="clear" w:color="auto" w:fill="1F3A5F"/>
          </w:tcPr>
          <w:p>
            <w:pPr>
              <w:pStyle w:val="Compact"/>
              <w:spacing w:after="40"/>
              <w:jc w:val="left"/>
            </w:pPr>
            <w:r>
              <w:rPr>
                <w:b/>
                <w:color w:val="FFFFFF"/>
                <w:sz w:val="18"/>
              </w:rPr>
              <w:t xml:space="preserve">v1.5 position (source)</w:t>
            </w:r>
          </w:p>
        </w:tc>
      </w:tr>
      <w:tr>
        <w:tc>
          <w:tcPr>
            <w:tcW w:w="824" w:type="dxa"/>
          </w:tcPr>
          <w:p>
            <w:pPr>
              <w:pStyle w:val="Compact"/>
              <w:spacing w:after="40"/>
              <w:jc w:val="left"/>
            </w:pPr>
            <w:r>
              <w:rPr>
                <w:sz w:val="18"/>
              </w:rPr>
              <w:t xml:space="preserve">1</w:t>
            </w:r>
          </w:p>
        </w:tc>
        <w:tc>
          <w:tcPr>
            <w:tcW w:w="1413" w:type="dxa"/>
          </w:tcPr>
          <w:p>
            <w:pPr>
              <w:pStyle w:val="Compact"/>
              <w:spacing w:after="40"/>
              <w:jc w:val="left"/>
            </w:pPr>
            <w:r>
              <w:rPr>
                <w:sz w:val="18"/>
              </w:rPr>
              <w:t xml:space="preserve">Structure</w:t>
            </w:r>
          </w:p>
        </w:tc>
        <w:tc>
          <w:tcPr>
            <w:tcW w:w="2553" w:type="dxa"/>
          </w:tcPr>
          <w:p>
            <w:pPr>
              <w:pStyle w:val="Compact"/>
              <w:spacing w:after="40"/>
              <w:jc w:val="left"/>
            </w:pPr>
            <w:r>
              <w:rPr>
                <w:sz w:val="18"/>
              </w:rPr>
              <w:t xml:space="preserve">Returns, risk, accounting, governance and audit spread across M10–M19 and Part 8A build lists</w:t>
            </w:r>
          </w:p>
        </w:tc>
        <w:tc>
          <w:tcPr>
            <w:tcW w:w="4848" w:type="dxa"/>
          </w:tcPr>
          <w:p>
            <w:pPr>
              <w:pStyle w:val="Compact"/>
              <w:spacing w:after="40"/>
              <w:jc w:val="left"/>
            </w:pPr>
            <w:r>
              <w:rPr>
                <w:sz w:val="18"/>
              </w:rPr>
              <w:t xml:space="preserve">Parts 7B–7L specify them; M13 is a pointer to Part 7B and its table remains the source list loaded by RR1; M10, M11, M12, M14, M16, M17, M18, M19, M21 and R11 carry v1.5 pointers; every optional pack is a SKU (Part 7K CM1.2, generalising Part 7A.0.1)</w:t>
            </w:r>
          </w:p>
        </w:tc>
      </w:tr>
      <w:tr>
        <w:tc>
          <w:tcPr>
            <w:tcW w:w="824" w:type="dxa"/>
          </w:tcPr>
          <w:p>
            <w:pPr>
              <w:pStyle w:val="Compact"/>
              <w:spacing w:after="40"/>
              <w:jc w:val="left"/>
            </w:pPr>
            <w:r>
              <w:rPr>
                <w:sz w:val="18"/>
              </w:rPr>
              <w:t xml:space="preserve">2</w:t>
            </w:r>
          </w:p>
        </w:tc>
        <w:tc>
          <w:tcPr>
            <w:tcW w:w="1413" w:type="dxa"/>
          </w:tcPr>
          <w:p>
            <w:pPr>
              <w:pStyle w:val="Compact"/>
              <w:spacing w:after="40"/>
              <w:jc w:val="left"/>
            </w:pPr>
            <w:r>
              <w:rPr>
                <w:sz w:val="18"/>
              </w:rPr>
              <w:t xml:space="preserve">Roadmap</w:t>
            </w:r>
          </w:p>
        </w:tc>
        <w:tc>
          <w:tcPr>
            <w:tcW w:w="2553" w:type="dxa"/>
          </w:tcPr>
          <w:p>
            <w:pPr>
              <w:pStyle w:val="Compact"/>
              <w:spacing w:after="40"/>
              <w:jc w:val="left"/>
            </w:pPr>
            <w:r>
              <w:rPr>
                <w:sz w:val="18"/>
              </w:rPr>
              <w:t xml:space="preserve">0 → … → 20 with 12b, 16b and 17b</w:t>
            </w:r>
          </w:p>
        </w:tc>
        <w:tc>
          <w:tcPr>
            <w:tcW w:w="4848" w:type="dxa"/>
          </w:tcPr>
          <w:p>
            <w:pPr>
              <w:pStyle w:val="Compact"/>
              <w:spacing w:after="40"/>
              <w:jc w:val="left"/>
            </w:pPr>
            <w:r>
              <w:rPr>
                <w:sz w:val="18"/>
              </w:rPr>
              <w:t xml:space="preserve">Adds 13b (7C), 14b (7B RR1–RR5, RR8), 14c (RR6–RR7), 14d (7E), 15b (7J), 16c (7D), 16d (7F), 16e (7K; needs Operations Hub phase O6), 17c (7G IP1–IP4), 17d (7G IP5–IP6, 7H), 18b (EO6), 20b (7L EO1–EO5); Phase P also depends on 13b, 14b, 14c, 14d and 15b; 16d payroll needs the shared Labour Code rule pack 1.0; Phases 19 and 20 depend on the new phases; EO1 repository controls start in Phase 1</w:t>
            </w:r>
          </w:p>
        </w:tc>
      </w:tr>
      <w:tr>
        <w:tc>
          <w:tcPr>
            <w:tcW w:w="824" w:type="dxa"/>
          </w:tcPr>
          <w:p>
            <w:pPr>
              <w:pStyle w:val="Compact"/>
              <w:spacing w:after="40"/>
              <w:jc w:val="left"/>
            </w:pPr>
            <w:r>
              <w:rPr>
                <w:sz w:val="18"/>
              </w:rPr>
              <w:t xml:space="preserve">3</w:t>
            </w:r>
          </w:p>
        </w:tc>
        <w:tc>
          <w:tcPr>
            <w:tcW w:w="1413" w:type="dxa"/>
          </w:tcPr>
          <w:p>
            <w:pPr>
              <w:pStyle w:val="Compact"/>
              <w:spacing w:after="40"/>
              <w:jc w:val="left"/>
            </w:pPr>
            <w:r>
              <w:rPr>
                <w:sz w:val="18"/>
              </w:rPr>
              <w:t xml:space="preserve">Supervisory Returns date</w:t>
            </w:r>
          </w:p>
        </w:tc>
        <w:tc>
          <w:tcPr>
            <w:tcW w:w="2553" w:type="dxa"/>
          </w:tcPr>
          <w:p>
            <w:pPr>
              <w:pStyle w:val="Compact"/>
              <w:spacing w:after="40"/>
              <w:jc w:val="left"/>
            </w:pPr>
            <w:r>
              <w:rPr>
                <w:sz w:val="18"/>
              </w:rPr>
              <w:t xml:space="preserve">Correct in v1.4 (31 Jul 2026), but the owner’s brief cites</w:t>
            </w:r>
            <w:r>
              <w:rPr>
                <w:sz w:val="18"/>
              </w:rPr>
              <w:t xml:space="preserve"> </w:t>
            </w:r>
            <w:r>
              <w:rPr>
                <w:sz w:val="18"/>
              </w:rPr>
              <w:t xml:space="preserve">“</w:t>
            </w:r>
            <w:r>
              <w:rPr>
                <w:sz w:val="18"/>
              </w:rPr>
              <w:t xml:space="preserve">Supervisory Returns Master Directions, 28 Nov 2025</w:t>
            </w:r>
            <w:r>
              <w:rPr>
                <w:sz w:val="18"/>
              </w:rPr>
              <w:t xml:space="preserve">”</w:t>
            </w:r>
          </w:p>
        </w:tc>
        <w:tc>
          <w:tcPr>
            <w:tcW w:w="4848" w:type="dxa"/>
          </w:tcPr>
          <w:p>
            <w:pPr>
              <w:pStyle w:val="Compact"/>
              <w:spacing w:after="40"/>
              <w:jc w:val="left"/>
            </w:pPr>
            <w:r>
              <w:rPr>
                <w:sz w:val="18"/>
              </w:rPr>
              <w:t xml:space="preserve">RBI/DoS/2026-27/466, DoS.CO.DSG.60/33.01.001/2026-27, 31 Jul 2026; 28 Nov 2025 is the DoR prudential set. The owner’s reference is logged as superseded (Part 8A.37.1;</w:t>
            </w:r>
            <w:r>
              <w:rPr>
                <w:sz w:val="18"/>
              </w:rPr>
              <w:t xml:space="preserve"> </w:t>
            </w:r>
            <w:r>
              <w:rPr>
                <w:rStyle w:val="VerbatimChar"/>
                <w:sz w:val="18"/>
              </w:rPr>
              <w:t xml:space="preserve">docs/regulations/errata.md</w:t>
            </w:r>
            <w:r>
              <w:rPr>
                <w:sz w:val="18"/>
              </w:rPr>
              <w:t xml:space="preserve">)</w:t>
            </w:r>
          </w:p>
        </w:tc>
      </w:tr>
      <w:tr>
        <w:tc>
          <w:tcPr>
            <w:tcW w:w="824" w:type="dxa"/>
          </w:tcPr>
          <w:p>
            <w:pPr>
              <w:pStyle w:val="Compact"/>
              <w:spacing w:after="40"/>
              <w:jc w:val="left"/>
            </w:pPr>
            <w:r>
              <w:rPr>
                <w:sz w:val="18"/>
              </w:rPr>
              <w:t xml:space="preserve">4</w:t>
            </w:r>
          </w:p>
        </w:tc>
        <w:tc>
          <w:tcPr>
            <w:tcW w:w="1413" w:type="dxa"/>
          </w:tcPr>
          <w:p>
            <w:pPr>
              <w:pStyle w:val="Compact"/>
              <w:spacing w:after="40"/>
              <w:jc w:val="left"/>
            </w:pPr>
            <w:r>
              <w:rPr>
                <w:sz w:val="18"/>
              </w:rPr>
              <w:t xml:space="preserve">Filing mode</w:t>
            </w:r>
          </w:p>
        </w:tc>
        <w:tc>
          <w:tcPr>
            <w:tcW w:w="2553" w:type="dxa"/>
          </w:tcPr>
          <w:p>
            <w:pPr>
              <w:pStyle w:val="Compact"/>
              <w:spacing w:after="40"/>
              <w:jc w:val="left"/>
            </w:pPr>
            <w:r>
              <w:rPr>
                <w:sz w:val="18"/>
              </w:rPr>
              <w:t xml:space="preserve">“</w:t>
            </w:r>
            <w:r>
              <w:rPr>
                <w:sz w:val="18"/>
              </w:rPr>
              <w:t xml:space="preserve">Online submission only</w:t>
            </w:r>
            <w:r>
              <w:rPr>
                <w:sz w:val="18"/>
              </w:rPr>
              <w:t xml:space="preserve">”</w:t>
            </w:r>
            <w:r>
              <w:rPr>
                <w:sz w:val="18"/>
              </w:rPr>
              <w:t xml:space="preserve"> </w:t>
            </w:r>
            <w:r>
              <w:rPr>
                <w:sz w:val="18"/>
              </w:rPr>
              <w:t xml:space="preserve">and</w:t>
            </w:r>
            <w:r>
              <w:rPr>
                <w:sz w:val="18"/>
              </w:rPr>
              <w:t xml:space="preserve"> </w:t>
            </w:r>
            <w:r>
              <w:rPr>
                <w:sz w:val="18"/>
              </w:rPr>
              <w:t xml:space="preserve">“</w:t>
            </w:r>
            <w:r>
              <w:rPr>
                <w:sz w:val="18"/>
              </w:rPr>
              <w:t xml:space="preserve">CIMS</w:t>
            </w:r>
            <w:r>
              <w:rPr>
                <w:sz w:val="18"/>
              </w:rPr>
              <w:t xml:space="preserve">”</w:t>
            </w:r>
            <w:r>
              <w:rPr>
                <w:sz w:val="18"/>
              </w:rPr>
              <w:t xml:space="preserve"> </w:t>
            </w:r>
            <w:r>
              <w:rPr>
                <w:sz w:val="18"/>
              </w:rPr>
              <w:t xml:space="preserve">without a channel model</w:t>
            </w:r>
          </w:p>
        </w:tc>
        <w:tc>
          <w:tcPr>
            <w:tcW w:w="4848" w:type="dxa"/>
          </w:tcPr>
          <w:p>
            <w:pPr>
              <w:pStyle w:val="Compact"/>
              <w:spacing w:after="40"/>
              <w:jc w:val="left"/>
            </w:pPr>
            <w:r>
              <w:rPr>
                <w:sz w:val="18"/>
              </w:rPr>
              <w:t xml:space="preserve">Finbyx prepares, validates, reconciles and evidences; an authorised human files. CIMS (Sankalan) by template upload or web form; system-to-system ADF is documented for banks and is not assumed for NBFCs; DAKSH for cyber incidents (6 hours), NBFC-D nomination coverage and supervisory items; PRAVAAH for applications (mandatory from 1 May 2025). No portal credentials, OTPs or DSC tokens stored (Part 7B 7B.0, RR4; RBI portal list and press releases of 6 Oct 2022, 28 May 2024 and 11 Apr 2025)</w:t>
            </w:r>
          </w:p>
        </w:tc>
      </w:tr>
      <w:tr>
        <w:tc>
          <w:tcPr>
            <w:tcW w:w="824" w:type="dxa"/>
          </w:tcPr>
          <w:p>
            <w:pPr>
              <w:pStyle w:val="Compact"/>
              <w:spacing w:after="40"/>
              <w:jc w:val="left"/>
            </w:pPr>
            <w:r>
              <w:rPr>
                <w:sz w:val="18"/>
              </w:rPr>
              <w:t xml:space="preserve">5</w:t>
            </w:r>
          </w:p>
        </w:tc>
        <w:tc>
          <w:tcPr>
            <w:tcW w:w="1413" w:type="dxa"/>
          </w:tcPr>
          <w:p>
            <w:pPr>
              <w:pStyle w:val="Compact"/>
              <w:spacing w:after="40"/>
              <w:jc w:val="left"/>
            </w:pPr>
            <w:r>
              <w:rPr>
                <w:sz w:val="18"/>
              </w:rPr>
              <w:t xml:space="preserve">CIC cadence and formats</w:t>
            </w:r>
          </w:p>
        </w:tc>
        <w:tc>
          <w:tcPr>
            <w:tcW w:w="2553" w:type="dxa"/>
          </w:tcPr>
          <w:p>
            <w:pPr>
              <w:pStyle w:val="Compact"/>
              <w:spacing w:after="40"/>
              <w:jc w:val="left"/>
            </w:pPr>
            <w:r>
              <w:rPr>
                <w:sz w:val="18"/>
              </w:rPr>
              <w:t xml:space="preserve">Cadence correct; formats</w:t>
            </w:r>
            <w:r>
              <w:rPr>
                <w:sz w:val="18"/>
              </w:rPr>
              <w:t xml:space="preserve"> </w:t>
            </w:r>
            <w:r>
              <w:rPr>
                <w:sz w:val="18"/>
              </w:rPr>
              <w:t xml:space="preserve">“</w:t>
            </w:r>
            <w:r>
              <w:rPr>
                <w:sz w:val="18"/>
              </w:rPr>
              <w:t xml:space="preserve">UCRF (consumer, commercial, MFI)</w:t>
            </w:r>
            <w:r>
              <w:rPr>
                <w:sz w:val="18"/>
              </w:rPr>
              <w:t xml:space="preserve">”</w:t>
            </w:r>
            <w:r>
              <w:rPr>
                <w:sz w:val="18"/>
              </w:rPr>
              <w:t xml:space="preserve"> </w:t>
            </w:r>
            <w:r>
              <w:rPr>
                <w:sz w:val="18"/>
              </w:rPr>
              <w:t xml:space="preserve">without versions or channel</w:t>
            </w:r>
          </w:p>
        </w:tc>
        <w:tc>
          <w:tcPr>
            <w:tcW w:w="4848" w:type="dxa"/>
          </w:tcPr>
          <w:p>
            <w:pPr>
              <w:pStyle w:val="Compact"/>
              <w:spacing w:after="40"/>
              <w:jc w:val="left"/>
            </w:pPr>
            <w:r>
              <w:rPr>
                <w:sz w:val="18"/>
              </w:rPr>
              <w:t xml:space="preserve">9th, 16th and 23rd incremental files within 4 calendar days and a month-end full file by the 5th from 1 Jul 2026 (CIR para 10(2) as substituted by RBI/DOR/2025-26/117); never the draft 7th/14th/21st cadence or press reports of</w:t>
            </w:r>
            <w:r>
              <w:rPr>
                <w:sz w:val="18"/>
              </w:rPr>
              <w:t xml:space="preserve"> </w:t>
            </w:r>
            <w:r>
              <w:rPr>
                <w:sz w:val="18"/>
              </w:rPr>
              <w:t xml:space="preserve">“</w:t>
            </w:r>
            <w:r>
              <w:rPr>
                <w:sz w:val="18"/>
              </w:rPr>
              <w:t xml:space="preserve">1 April 2026</w:t>
            </w:r>
            <w:r>
              <w:rPr>
                <w:sz w:val="18"/>
              </w:rPr>
              <w:t xml:space="preserve">”</w:t>
            </w:r>
            <w:r>
              <w:rPr>
                <w:sz w:val="18"/>
              </w:rPr>
              <w:t xml:space="preserve">; consumer UCRF v3.74, commercial UCRF v3.10 by SFTP, MFI v3.3.1 including SHG; CIC-side amendment RBI/DOR/2025-26/119 (CICs report late CIs on DAKSH half-yearly) (Part 7B RR6; bureau specifications)</w:t>
            </w:r>
          </w:p>
        </w:tc>
      </w:tr>
      <w:tr>
        <w:tc>
          <w:tcPr>
            <w:tcW w:w="824" w:type="dxa"/>
          </w:tcPr>
          <w:p>
            <w:pPr>
              <w:pStyle w:val="Compact"/>
              <w:spacing w:after="40"/>
              <w:jc w:val="left"/>
            </w:pPr>
            <w:r>
              <w:rPr>
                <w:sz w:val="18"/>
              </w:rPr>
              <w:t xml:space="preserve">6</w:t>
            </w:r>
          </w:p>
        </w:tc>
        <w:tc>
          <w:tcPr>
            <w:tcW w:w="1413" w:type="dxa"/>
          </w:tcPr>
          <w:p>
            <w:pPr>
              <w:pStyle w:val="Compact"/>
              <w:spacing w:after="40"/>
              <w:jc w:val="left"/>
            </w:pPr>
            <w:r>
              <w:rPr>
                <w:sz w:val="18"/>
              </w:rPr>
              <w:t xml:space="preserve">Microfinance</w:t>
            </w:r>
          </w:p>
        </w:tc>
        <w:tc>
          <w:tcPr>
            <w:tcW w:w="2553" w:type="dxa"/>
          </w:tcPr>
          <w:p>
            <w:pPr>
              <w:pStyle w:val="Compact"/>
              <w:spacing w:after="40"/>
              <w:jc w:val="left"/>
            </w:pPr>
            <w:r>
              <w:rPr>
                <w:sz w:val="18"/>
              </w:rPr>
              <w:t xml:space="preserve">60% qualifying-asset test present; risk weight, SRO rules and call hours incomplete</w:t>
            </w:r>
          </w:p>
        </w:tc>
        <w:tc>
          <w:tcPr>
            <w:tcW w:w="4848" w:type="dxa"/>
          </w:tcPr>
          <w:p>
            <w:pPr>
              <w:pStyle w:val="Compact"/>
              <w:spacing w:after="40"/>
              <w:jc w:val="left"/>
            </w:pPr>
            <w:r>
              <w:rPr>
                <w:sz w:val="18"/>
              </w:rPr>
              <w:t xml:space="preserve">60% of total assets net of intangibles confirmed (MFI paras 8(3), 12), not the pre-2025 75%; microfinance out of the 125% consumer-credit risk weight since 25 Feb 2025; MFIN Guardrails 2.0 as an SRO pack; Karnataka Act 15 and Tamil Nadu Act 40 of 2025 overlays; microfinance calls 09:00–18:00 until 31 Dec 2026, then the RBC Third Amendment pack (RBI/2026-27/230) from 1 Jan 2027 [VERIFY: separate microfinance window] (Part 7G IP4)</w:t>
            </w:r>
          </w:p>
        </w:tc>
      </w:tr>
      <w:tr>
        <w:tc>
          <w:tcPr>
            <w:tcW w:w="824" w:type="dxa"/>
          </w:tcPr>
          <w:p>
            <w:pPr>
              <w:pStyle w:val="Compact"/>
              <w:spacing w:after="40"/>
              <w:jc w:val="left"/>
            </w:pPr>
            <w:r>
              <w:rPr>
                <w:sz w:val="18"/>
              </w:rPr>
              <w:t xml:space="preserve">7</w:t>
            </w:r>
          </w:p>
        </w:tc>
        <w:tc>
          <w:tcPr>
            <w:tcW w:w="1413" w:type="dxa"/>
          </w:tcPr>
          <w:p>
            <w:pPr>
              <w:pStyle w:val="Compact"/>
              <w:spacing w:after="40"/>
              <w:jc w:val="left"/>
            </w:pPr>
            <w:r>
              <w:rPr>
                <w:sz w:val="18"/>
              </w:rPr>
              <w:t xml:space="preserve">AIF investments</w:t>
            </w:r>
          </w:p>
        </w:tc>
        <w:tc>
          <w:tcPr>
            <w:tcW w:w="2553" w:type="dxa"/>
          </w:tcPr>
          <w:p>
            <w:pPr>
              <w:pStyle w:val="Compact"/>
              <w:spacing w:after="40"/>
              <w:jc w:val="left"/>
            </w:pPr>
            <w:r>
              <w:rPr>
                <w:sz w:val="18"/>
              </w:rPr>
              <w:t xml:space="preserve">INV paras 25–27: no investment in a scheme with downstream debtor exposure; 30-day exit or 100% provision</w:t>
            </w:r>
          </w:p>
        </w:tc>
        <w:tc>
          <w:tcPr>
            <w:tcW w:w="4848" w:type="dxa"/>
          </w:tcPr>
          <w:p>
            <w:pPr>
              <w:pStyle w:val="Compact"/>
              <w:spacing w:after="40"/>
              <w:jc w:val="left"/>
            </w:pPr>
            <w:r>
              <w:rPr>
                <w:sz w:val="18"/>
              </w:rPr>
              <w:t xml:space="preserve">RBI (Investment in AIF) Directions, 2025 (RBI/DOR/2025-26/138, 29 Jul 2025) from 1 Jan 2026: 10% individual and 20% collective caps; 100% look-through provision above a 5% holding where the scheme has downstream non-equity investment in a debtor; subordinated units deducted; legacy commitments follow one regime in full (Part 8A.5 note; Part 7H IV4.1)</w:t>
            </w:r>
          </w:p>
        </w:tc>
      </w:tr>
      <w:tr>
        <w:tc>
          <w:tcPr>
            <w:tcW w:w="824" w:type="dxa"/>
          </w:tcPr>
          <w:p>
            <w:pPr>
              <w:pStyle w:val="Compact"/>
              <w:spacing w:after="40"/>
              <w:jc w:val="left"/>
            </w:pPr>
            <w:r>
              <w:rPr>
                <w:sz w:val="18"/>
              </w:rPr>
              <w:t xml:space="preserve">8</w:t>
            </w:r>
          </w:p>
        </w:tc>
        <w:tc>
          <w:tcPr>
            <w:tcW w:w="1413" w:type="dxa"/>
          </w:tcPr>
          <w:p>
            <w:pPr>
              <w:pStyle w:val="Compact"/>
              <w:spacing w:after="40"/>
              <w:jc w:val="left"/>
            </w:pPr>
            <w:r>
              <w:rPr>
                <w:sz w:val="18"/>
              </w:rPr>
              <w:t xml:space="preserve">Clean-up call</w:t>
            </w:r>
          </w:p>
        </w:tc>
        <w:tc>
          <w:tcPr>
            <w:tcW w:w="2553" w:type="dxa"/>
          </w:tcPr>
          <w:p>
            <w:pPr>
              <w:pStyle w:val="Compact"/>
              <w:spacing w:after="40"/>
              <w:jc w:val="left"/>
            </w:pPr>
            <w:r>
              <w:rPr>
                <w:sz w:val="18"/>
              </w:rPr>
              <w:t xml:space="preserve">“</w:t>
            </w:r>
            <w:r>
              <w:rPr>
                <w:sz w:val="18"/>
              </w:rPr>
              <w:t xml:space="preserve">[VERIFY: conditions not in SEC; see Capital Adequacy Directions]</w:t>
            </w:r>
            <w:r>
              <w:rPr>
                <w:sz w:val="18"/>
              </w:rPr>
              <w:t xml:space="preserve">”</w:t>
            </w:r>
            <w:r>
              <w:rPr>
                <w:sz w:val="18"/>
              </w:rPr>
              <w:t xml:space="preserve"> </w:t>
            </w:r>
            <w:r>
              <w:rPr>
                <w:sz w:val="18"/>
              </w:rPr>
              <w:t xml:space="preserve">(M11)</w:t>
            </w:r>
          </w:p>
        </w:tc>
        <w:tc>
          <w:tcPr>
            <w:tcW w:w="4848" w:type="dxa"/>
          </w:tcPr>
          <w:p>
            <w:pPr>
              <w:pStyle w:val="Compact"/>
              <w:spacing w:after="40"/>
              <w:jc w:val="left"/>
            </w:pPr>
            <w:r>
              <w:rPr>
                <w:sz w:val="18"/>
              </w:rPr>
              <w:t xml:space="preserve">Resolved from CAP para 27: discretionary, at arm’s length, only when ≤ 10% of the original value remains, never as credit enhancement; retained servicing rights are not effective control (Part 7H IV7.7; gate GR-7H-09)</w:t>
            </w:r>
          </w:p>
        </w:tc>
      </w:tr>
      <w:tr>
        <w:tc>
          <w:tcPr>
            <w:tcW w:w="824" w:type="dxa"/>
          </w:tcPr>
          <w:p>
            <w:pPr>
              <w:pStyle w:val="Compact"/>
              <w:spacing w:after="40"/>
              <w:jc w:val="left"/>
            </w:pPr>
            <w:r>
              <w:rPr>
                <w:sz w:val="18"/>
              </w:rPr>
              <w:t xml:space="preserve">9</w:t>
            </w:r>
          </w:p>
        </w:tc>
        <w:tc>
          <w:tcPr>
            <w:tcW w:w="1413" w:type="dxa"/>
          </w:tcPr>
          <w:p>
            <w:pPr>
              <w:pStyle w:val="Compact"/>
              <w:spacing w:after="40"/>
              <w:jc w:val="left"/>
            </w:pPr>
            <w:r>
              <w:rPr>
                <w:sz w:val="18"/>
              </w:rPr>
              <w:t xml:space="preserve">Co-operatives</w:t>
            </w:r>
          </w:p>
        </w:tc>
        <w:tc>
          <w:tcPr>
            <w:tcW w:w="2553" w:type="dxa"/>
          </w:tcPr>
          <w:p>
            <w:pPr>
              <w:pStyle w:val="Compact"/>
              <w:spacing w:after="40"/>
              <w:jc w:val="left"/>
            </w:pPr>
            <w:r>
              <w:rPr>
                <w:sz w:val="18"/>
              </w:rPr>
              <w:t xml:space="preserve">UCBs listed as customers; credit societies, co-operative deposits and co-lending not addressed</w:t>
            </w:r>
          </w:p>
        </w:tc>
        <w:tc>
          <w:tcPr>
            <w:tcW w:w="4848" w:type="dxa"/>
          </w:tcPr>
          <w:p>
            <w:pPr>
              <w:pStyle w:val="Compact"/>
              <w:spacing w:after="40"/>
              <w:jc w:val="left"/>
            </w:pPr>
            <w:r>
              <w:rPr>
                <w:sz w:val="18"/>
              </w:rPr>
              <w:t xml:space="preserve">Credit co-operative societies are customers through institution profiles but are not REs: no co-lending with, or loan sale to, NBFCs (TDCR paras 12(4), 97); lawful alternatives in IP2.13 [REC; counsel to confirm]; no deposits from nominal or non-voting members (hard block GR-7G-01); deposit ledger adapter in v1.5 and deposit module deferred to v1.6 (Part 7G IP2)</w:t>
            </w:r>
          </w:p>
        </w:tc>
      </w:tr>
      <w:tr>
        <w:tc>
          <w:tcPr>
            <w:tcW w:w="824" w:type="dxa"/>
          </w:tcPr>
          <w:p>
            <w:pPr>
              <w:pStyle w:val="Compact"/>
              <w:spacing w:after="40"/>
              <w:jc w:val="left"/>
            </w:pPr>
            <w:r>
              <w:rPr>
                <w:sz w:val="18"/>
              </w:rPr>
              <w:t xml:space="preserve">10</w:t>
            </w:r>
          </w:p>
        </w:tc>
        <w:tc>
          <w:tcPr>
            <w:tcW w:w="1413" w:type="dxa"/>
          </w:tcPr>
          <w:p>
            <w:pPr>
              <w:pStyle w:val="Compact"/>
              <w:spacing w:after="40"/>
              <w:jc w:val="left"/>
            </w:pPr>
            <w:r>
              <w:rPr>
                <w:sz w:val="18"/>
              </w:rPr>
              <w:t xml:space="preserve">Labour law</w:t>
            </w:r>
          </w:p>
        </w:tc>
        <w:tc>
          <w:tcPr>
            <w:tcW w:w="2553" w:type="dxa"/>
          </w:tcPr>
          <w:p>
            <w:pPr>
              <w:pStyle w:val="Compact"/>
              <w:spacing w:after="40"/>
              <w:jc w:val="left"/>
            </w:pPr>
            <w:r>
              <w:rPr>
                <w:sz w:val="18"/>
              </w:rPr>
              <w:t xml:space="preserve">Not covered</w:t>
            </w:r>
          </w:p>
        </w:tc>
        <w:tc>
          <w:tcPr>
            <w:tcW w:w="4848" w:type="dxa"/>
          </w:tcPr>
          <w:p>
            <w:pPr>
              <w:pStyle w:val="Compact"/>
              <w:spacing w:after="40"/>
              <w:jc w:val="left"/>
            </w:pPr>
            <w:r>
              <w:rPr>
                <w:sz w:val="18"/>
              </w:rPr>
              <w:t xml:space="preserve">Code on Wages 2019, IR Code 2020, Code on Social Security 2020 and OSHWC Code 2020 in force 21 Nov 2025; Central Rules 8 May 2026; most State rules pending, so State tables are versioned data; one signed Labour Code rule pack shared by Part 7F GV6 and Operations Hub OH10</w:t>
            </w:r>
          </w:p>
        </w:tc>
      </w:tr>
      <w:tr>
        <w:tc>
          <w:tcPr>
            <w:tcW w:w="824" w:type="dxa"/>
          </w:tcPr>
          <w:p>
            <w:pPr>
              <w:pStyle w:val="Compact"/>
              <w:spacing w:after="40"/>
              <w:jc w:val="left"/>
            </w:pPr>
            <w:r>
              <w:rPr>
                <w:sz w:val="18"/>
              </w:rPr>
              <w:t xml:space="preserve">11</w:t>
            </w:r>
          </w:p>
        </w:tc>
        <w:tc>
          <w:tcPr>
            <w:tcW w:w="1413" w:type="dxa"/>
          </w:tcPr>
          <w:p>
            <w:pPr>
              <w:pStyle w:val="Compact"/>
              <w:spacing w:after="40"/>
              <w:jc w:val="left"/>
            </w:pPr>
            <w:r>
              <w:rPr>
                <w:sz w:val="18"/>
              </w:rPr>
              <w:t xml:space="preserve">Income tax</w:t>
            </w:r>
          </w:p>
        </w:tc>
        <w:tc>
          <w:tcPr>
            <w:tcW w:w="2553" w:type="dxa"/>
          </w:tcPr>
          <w:p>
            <w:pPr>
              <w:pStyle w:val="Compact"/>
              <w:spacing w:after="40"/>
              <w:jc w:val="left"/>
            </w:pPr>
            <w:r>
              <w:rPr>
                <w:sz w:val="18"/>
              </w:rPr>
              <w:t xml:space="preserve">1961 Act references in M13 (</w:t>
            </w:r>
            <w:r>
              <w:rPr>
                <w:sz w:val="18"/>
              </w:rPr>
              <w:t xml:space="preserve">“</w:t>
            </w:r>
            <w:r>
              <w:rPr>
                <w:sz w:val="18"/>
              </w:rPr>
              <w:t xml:space="preserve">Form 26AS</w:t>
            </w:r>
            <w:r>
              <w:rPr>
                <w:sz w:val="18"/>
              </w:rPr>
              <w:t xml:space="preserve">”</w:t>
            </w:r>
            <w:r>
              <w:rPr>
                <w:sz w:val="18"/>
              </w:rPr>
              <w:t xml:space="preserve">) and partial 2025 Act references in R11</w:t>
            </w:r>
          </w:p>
        </w:tc>
        <w:tc>
          <w:tcPr>
            <w:tcW w:w="4848" w:type="dxa"/>
          </w:tcPr>
          <w:p>
            <w:pPr>
              <w:pStyle w:val="Compact"/>
              <w:spacing w:after="40"/>
              <w:jc w:val="left"/>
            </w:pPr>
            <w:r>
              <w:rPr>
                <w:sz w:val="18"/>
              </w:rPr>
              <w:t xml:space="preserve">Income-tax Act 2025 in force 1 Apr 2026 for tax year 2026-27 onwards: TDS s.393 (statement Form 140, certificate Form 131), salary s.392 (Form 130), SFT s.508 (Form 165), tax audit s.63 (Form 26), borrower deductions s.22, s.123 and s.129, default regime s.202; the 1961 Act governs earlier years; section, form and serial numbers are data and remain [VERIFY] until checked against the official text (Part 7C AC5; Udofin UB2)</w:t>
            </w:r>
          </w:p>
        </w:tc>
      </w:tr>
      <w:tr>
        <w:tc>
          <w:tcPr>
            <w:tcW w:w="824" w:type="dxa"/>
          </w:tcPr>
          <w:p>
            <w:pPr>
              <w:pStyle w:val="Compact"/>
              <w:spacing w:after="40"/>
              <w:jc w:val="left"/>
            </w:pPr>
            <w:r>
              <w:rPr>
                <w:sz w:val="18"/>
              </w:rPr>
              <w:t xml:space="preserve">12</w:t>
            </w:r>
          </w:p>
        </w:tc>
        <w:tc>
          <w:tcPr>
            <w:tcW w:w="1413" w:type="dxa"/>
          </w:tcPr>
          <w:p>
            <w:pPr>
              <w:pStyle w:val="Compact"/>
              <w:spacing w:after="40"/>
              <w:jc w:val="left"/>
            </w:pPr>
            <w:r>
              <w:rPr>
                <w:sz w:val="18"/>
              </w:rPr>
              <w:t xml:space="preserve">RBI Ombudsman</w:t>
            </w:r>
          </w:p>
        </w:tc>
        <w:tc>
          <w:tcPr>
            <w:tcW w:w="2553" w:type="dxa"/>
          </w:tcPr>
          <w:p>
            <w:pPr>
              <w:pStyle w:val="Compact"/>
              <w:spacing w:after="40"/>
              <w:jc w:val="left"/>
            </w:pPr>
            <w:r>
              <w:rPr>
                <w:sz w:val="18"/>
              </w:rPr>
              <w:t xml:space="preserve">RB-IOS 2026</w:t>
            </w:r>
            <w:r>
              <w:rPr>
                <w:sz w:val="18"/>
              </w:rPr>
              <w:t xml:space="preserve"> </w:t>
            </w:r>
            <w:r>
              <w:rPr>
                <w:sz w:val="18"/>
              </w:rPr>
              <w:t xml:space="preserve">“</w:t>
            </w:r>
            <w:r>
              <w:rPr>
                <w:sz w:val="18"/>
              </w:rPr>
              <w:t xml:space="preserve">effective 1 Jul 2026</w:t>
            </w:r>
            <w:r>
              <w:rPr>
                <w:sz w:val="18"/>
              </w:rPr>
              <w:t xml:space="preserve">”</w:t>
            </w:r>
            <w:r>
              <w:rPr>
                <w:sz w:val="18"/>
              </w:rPr>
              <w:t xml:space="preserve"> </w:t>
            </w:r>
            <w:r>
              <w:rPr>
                <w:sz w:val="18"/>
              </w:rPr>
              <w:t xml:space="preserve">with escalation information only</w:t>
            </w:r>
          </w:p>
        </w:tc>
        <w:tc>
          <w:tcPr>
            <w:tcW w:w="4848" w:type="dxa"/>
          </w:tcPr>
          <w:p>
            <w:pPr>
              <w:pStyle w:val="Compact"/>
              <w:spacing w:after="40"/>
              <w:jc w:val="left"/>
            </w:pPr>
            <w:r>
              <w:rPr>
                <w:sz w:val="18"/>
              </w:rPr>
              <w:t xml:space="preserve">Notified 16 Jan 2026, effective 1 Jul 2026; Ombudsman complaint within 90 days after the RE’s 30-day reply period or last reply (cl.10(1)(g)); RE reply to the Ombudsman within 15 days (cl.14(2)); the 2021 Scheme for earlier complaints (cl.20); NBFC Internal Ombudsman Directions 2026 (14 Jan 2026); grievance escalation chain v2 events</w:t>
            </w:r>
            <w:r>
              <w:rPr>
                <w:sz w:val="18"/>
              </w:rPr>
              <w:t xml:space="preserve"> </w:t>
            </w:r>
            <w:r>
              <w:rPr>
                <w:rStyle w:val="VerbatimChar"/>
                <w:sz w:val="18"/>
              </w:rPr>
              <w:t xml:space="preserve">OmbudsmanReferralRecorded</w:t>
            </w:r>
            <w:r>
              <w:rPr>
                <w:sz w:val="18"/>
              </w:rPr>
              <w:t xml:space="preserve">,</w:t>
            </w:r>
            <w:r>
              <w:rPr>
                <w:sz w:val="18"/>
              </w:rPr>
              <w:t xml:space="preserve"> </w:t>
            </w:r>
            <w:r>
              <w:rPr>
                <w:rStyle w:val="VerbatimChar"/>
                <w:sz w:val="18"/>
              </w:rPr>
              <w:t xml:space="preserve">GrievanceReopened</w:t>
            </w:r>
            <w:r>
              <w:rPr>
                <w:sz w:val="18"/>
              </w:rPr>
              <w:t xml:space="preserve">,</w:t>
            </w:r>
            <w:r>
              <w:rPr>
                <w:sz w:val="18"/>
              </w:rPr>
              <w:t xml:space="preserve"> </w:t>
            </w:r>
            <w:r>
              <w:rPr>
                <w:rStyle w:val="VerbatimChar"/>
                <w:sz w:val="18"/>
              </w:rPr>
              <w:t xml:space="preserve">GrievanceRated</w:t>
            </w:r>
            <w:r>
              <w:rPr>
                <w:sz w:val="18"/>
              </w:rPr>
              <w:t xml:space="preserve"> </w:t>
            </w:r>
            <w:r>
              <w:rPr>
                <w:sz w:val="18"/>
              </w:rPr>
              <w:t xml:space="preserve">(M15; Udofin UB3–UB4)</w:t>
            </w:r>
          </w:p>
        </w:tc>
      </w:tr>
      <w:tr>
        <w:tc>
          <w:tcPr>
            <w:tcW w:w="824" w:type="dxa"/>
          </w:tcPr>
          <w:p>
            <w:pPr>
              <w:pStyle w:val="Compact"/>
              <w:spacing w:after="40"/>
              <w:jc w:val="left"/>
            </w:pPr>
            <w:r>
              <w:rPr>
                <w:sz w:val="18"/>
              </w:rPr>
              <w:t xml:space="preserve">13</w:t>
            </w:r>
          </w:p>
        </w:tc>
        <w:tc>
          <w:tcPr>
            <w:tcW w:w="1413" w:type="dxa"/>
          </w:tcPr>
          <w:p>
            <w:pPr>
              <w:pStyle w:val="Compact"/>
              <w:spacing w:after="40"/>
              <w:jc w:val="left"/>
            </w:pPr>
            <w:r>
              <w:rPr>
                <w:sz w:val="18"/>
              </w:rPr>
              <w:t xml:space="preserve">Certifications (Part 10.6 item 12)</w:t>
            </w:r>
          </w:p>
        </w:tc>
        <w:tc>
          <w:tcPr>
            <w:tcW w:w="2553" w:type="dxa"/>
          </w:tcPr>
          <w:p>
            <w:pPr>
              <w:pStyle w:val="Compact"/>
              <w:spacing w:after="40"/>
              <w:jc w:val="left"/>
            </w:pPr>
            <w:r>
              <w:rPr>
                <w:sz w:val="18"/>
              </w:rPr>
              <w:t xml:space="preserve">“</w:t>
            </w:r>
            <w:r>
              <w:rPr>
                <w:sz w:val="18"/>
              </w:rPr>
              <w:t xml:space="preserve">Keep ISO 27001 and SOC 2 Type II</w:t>
            </w:r>
            <w:r>
              <w:rPr>
                <w:sz w:val="18"/>
              </w:rPr>
              <w:t xml:space="preserve">”</w:t>
            </w:r>
          </w:p>
        </w:tc>
        <w:tc>
          <w:tcPr>
            <w:tcW w:w="4848" w:type="dxa"/>
          </w:tcPr>
          <w:p>
            <w:pPr>
              <w:pStyle w:val="Compact"/>
              <w:spacing w:after="40"/>
              <w:jc w:val="left"/>
            </w:pPr>
            <w:r>
              <w:rPr>
                <w:sz w:val="18"/>
              </w:rPr>
              <w:t xml:space="preserve">Pursue ISO/IEC 27001, SOC 2 Type 1 then Type 2 and other schemes per Part 7L EO5; never claim a certification before the report or certificate is issued; ISO/IEC 27701:2025 is a stand-alone privacy standard; PCI DSS v4.0.1 SAQ A for hosted payment pages</w:t>
            </w:r>
          </w:p>
        </w:tc>
      </w:tr>
      <w:tr>
        <w:tc>
          <w:tcPr>
            <w:tcW w:w="824" w:type="dxa"/>
          </w:tcPr>
          <w:p>
            <w:pPr>
              <w:pStyle w:val="Compact"/>
              <w:spacing w:after="40"/>
              <w:jc w:val="left"/>
            </w:pPr>
            <w:r>
              <w:rPr>
                <w:sz w:val="18"/>
              </w:rPr>
              <w:t xml:space="preserve">14</w:t>
            </w:r>
          </w:p>
        </w:tc>
        <w:tc>
          <w:tcPr>
            <w:tcW w:w="1413" w:type="dxa"/>
          </w:tcPr>
          <w:p>
            <w:pPr>
              <w:pStyle w:val="Compact"/>
              <w:spacing w:after="40"/>
              <w:jc w:val="left"/>
            </w:pPr>
            <w:r>
              <w:rPr>
                <w:sz w:val="18"/>
              </w:rPr>
              <w:t xml:space="preserve">Office suite</w:t>
            </w:r>
          </w:p>
        </w:tc>
        <w:tc>
          <w:tcPr>
            <w:tcW w:w="2553" w:type="dxa"/>
          </w:tcPr>
          <w:p>
            <w:pPr>
              <w:pStyle w:val="Compact"/>
              <w:spacing w:after="40"/>
              <w:jc w:val="left"/>
            </w:pPr>
            <w:r>
              <w:rPr>
                <w:sz w:val="18"/>
              </w:rPr>
              <w:t xml:space="preserve">Not covered</w:t>
            </w:r>
          </w:p>
        </w:tc>
        <w:tc>
          <w:tcPr>
            <w:tcW w:w="4848" w:type="dxa"/>
          </w:tcPr>
          <w:p>
            <w:pPr>
              <w:pStyle w:val="Compact"/>
              <w:spacing w:after="40"/>
              <w:jc w:val="left"/>
            </w:pPr>
            <w:r>
              <w:rPr>
                <w:sz w:val="18"/>
              </w:rPr>
              <w:t xml:space="preserve">Microsoft 365 has no</w:t>
            </w:r>
            <w:r>
              <w:rPr>
                <w:sz w:val="18"/>
              </w:rPr>
              <w:t xml:space="preserve"> </w:t>
            </w:r>
            <w:r>
              <w:rPr>
                <w:sz w:val="18"/>
              </w:rPr>
              <w:t xml:space="preserve">“</w:t>
            </w:r>
            <w:r>
              <w:rPr>
                <w:sz w:val="18"/>
              </w:rPr>
              <w:t xml:space="preserve">Business Starter</w:t>
            </w:r>
            <w:r>
              <w:rPr>
                <w:sz w:val="18"/>
              </w:rPr>
              <w:t xml:space="preserve">”</w:t>
            </w:r>
            <w:r>
              <w:rPr>
                <w:sz w:val="18"/>
              </w:rPr>
              <w:t xml:space="preserve"> </w:t>
            </w:r>
            <w:r>
              <w:rPr>
                <w:sz w:val="18"/>
              </w:rPr>
              <w:t xml:space="preserve">(a Google Workspace edition); M365 Business Basic, Standard and Premium support an India Default Geography and Advanced Data Residency; Google Workspace has no India data region, so Workspace and Google Drive hold only non-regulated data — no personal data, books of account, returns, loan or HR data (Part 7F GV7.1; Part 7J DP3)</w:t>
            </w:r>
          </w:p>
        </w:tc>
      </w:tr>
      <w:tr>
        <w:tc>
          <w:tcPr>
            <w:tcW w:w="824" w:type="dxa"/>
          </w:tcPr>
          <w:p>
            <w:pPr>
              <w:pStyle w:val="Compact"/>
              <w:spacing w:after="40"/>
              <w:jc w:val="left"/>
            </w:pPr>
            <w:r>
              <w:rPr>
                <w:sz w:val="18"/>
              </w:rPr>
              <w:t xml:space="preserve">15</w:t>
            </w:r>
          </w:p>
        </w:tc>
        <w:tc>
          <w:tcPr>
            <w:tcW w:w="1413" w:type="dxa"/>
          </w:tcPr>
          <w:p>
            <w:pPr>
              <w:pStyle w:val="Compact"/>
              <w:spacing w:after="40"/>
              <w:jc w:val="left"/>
            </w:pPr>
            <w:r>
              <w:rPr>
                <w:sz w:val="18"/>
              </w:rPr>
              <w:t xml:space="preserve">Telecom</w:t>
            </w:r>
          </w:p>
        </w:tc>
        <w:tc>
          <w:tcPr>
            <w:tcW w:w="2553" w:type="dxa"/>
          </w:tcPr>
          <w:p>
            <w:pPr>
              <w:pStyle w:val="Compact"/>
              <w:spacing w:after="40"/>
              <w:jc w:val="left"/>
            </w:pPr>
            <w:r>
              <w:rPr>
                <w:sz w:val="18"/>
              </w:rPr>
              <w:t xml:space="preserve">Contact windows and DLT only</w:t>
            </w:r>
          </w:p>
        </w:tc>
        <w:tc>
          <w:tcPr>
            <w:tcW w:w="4848" w:type="dxa"/>
          </w:tcPr>
          <w:p>
            <w:pPr>
              <w:pStyle w:val="Compact"/>
              <w:spacing w:after="40"/>
              <w:jc w:val="left"/>
            </w:pPr>
            <w:r>
              <w:rPr>
                <w:sz w:val="18"/>
              </w:rPr>
              <w:t xml:space="preserve">Service, transactional and recovery calls only from the tenant’s 1600-series numbers (TRAI Direction 19 Nov 2025; NBFC deadlines 1 Feb and 1 Mar 2026; clarification 10 Jul 2026); promotions only from the 140-series (M18; Part 7L EO6)</w:t>
            </w:r>
          </w:p>
        </w:tc>
      </w:tr>
      <w:tr>
        <w:tc>
          <w:tcPr>
            <w:tcW w:w="824" w:type="dxa"/>
          </w:tcPr>
          <w:p>
            <w:pPr>
              <w:pStyle w:val="Compact"/>
              <w:spacing w:after="40"/>
              <w:jc w:val="left"/>
            </w:pPr>
            <w:r>
              <w:rPr>
                <w:sz w:val="18"/>
              </w:rPr>
              <w:t xml:space="preserve">16</w:t>
            </w:r>
          </w:p>
        </w:tc>
        <w:tc>
          <w:tcPr>
            <w:tcW w:w="1413" w:type="dxa"/>
          </w:tcPr>
          <w:p>
            <w:pPr>
              <w:pStyle w:val="Compact"/>
              <w:spacing w:after="40"/>
              <w:jc w:val="left"/>
            </w:pPr>
            <w:r>
              <w:rPr>
                <w:sz w:val="18"/>
              </w:rPr>
              <w:t xml:space="preserve">Bank capital and ECL</w:t>
            </w:r>
          </w:p>
        </w:tc>
        <w:tc>
          <w:tcPr>
            <w:tcW w:w="2553" w:type="dxa"/>
          </w:tcPr>
          <w:p>
            <w:pPr>
              <w:pStyle w:val="Compact"/>
              <w:spacing w:after="40"/>
              <w:jc w:val="left"/>
            </w:pPr>
            <w:r>
              <w:rPr>
                <w:sz w:val="18"/>
              </w:rPr>
              <w:t xml:space="preserve">Banks mentioned as customers without their prudential rules</w:t>
            </w:r>
          </w:p>
        </w:tc>
        <w:tc>
          <w:tcPr>
            <w:tcW w:w="4848" w:type="dxa"/>
          </w:tcPr>
          <w:p>
            <w:pPr>
              <w:pStyle w:val="Compact"/>
              <w:spacing w:after="40"/>
              <w:jc w:val="left"/>
            </w:pPr>
            <w:r>
              <w:rPr>
                <w:sz w:val="18"/>
              </w:rPr>
              <w:t xml:space="preserve">Commercial-bank ECL Directions (RBI/DOR/2026-27/398) and the standardised-approach credit-risk Directions take effect on 1 Apr 2027 for scheduled commercial banks; parallel runs before then (Part 7C AC2.6; Part 7E RK3.6)</w:t>
            </w:r>
          </w:p>
        </w:tc>
      </w:tr>
      <w:tr>
        <w:tc>
          <w:tcPr>
            <w:tcW w:w="824" w:type="dxa"/>
          </w:tcPr>
          <w:p>
            <w:pPr>
              <w:pStyle w:val="Compact"/>
              <w:spacing w:after="40"/>
              <w:jc w:val="left"/>
            </w:pPr>
            <w:r>
              <w:rPr>
                <w:sz w:val="18"/>
              </w:rPr>
              <w:t xml:space="preserve">17</w:t>
            </w:r>
          </w:p>
        </w:tc>
        <w:tc>
          <w:tcPr>
            <w:tcW w:w="1413" w:type="dxa"/>
          </w:tcPr>
          <w:p>
            <w:pPr>
              <w:pStyle w:val="Compact"/>
              <w:spacing w:after="40"/>
              <w:jc w:val="left"/>
            </w:pPr>
            <w:r>
              <w:rPr>
                <w:sz w:val="18"/>
              </w:rPr>
              <w:t xml:space="preserve">Data protection timeline</w:t>
            </w:r>
          </w:p>
        </w:tc>
        <w:tc>
          <w:tcPr>
            <w:tcW w:w="2553" w:type="dxa"/>
          </w:tcPr>
          <w:p>
            <w:pPr>
              <w:pStyle w:val="Compact"/>
              <w:spacing w:after="40"/>
              <w:jc w:val="left"/>
            </w:pPr>
            <w:r>
              <w:rPr>
                <w:sz w:val="18"/>
              </w:rPr>
              <w:t xml:space="preserve">DPDP referred to generally</w:t>
            </w:r>
          </w:p>
        </w:tc>
        <w:tc>
          <w:tcPr>
            <w:tcW w:w="4848" w:type="dxa"/>
          </w:tcPr>
          <w:p>
            <w:pPr>
              <w:pStyle w:val="Compact"/>
              <w:spacing w:after="40"/>
              <w:jc w:val="left"/>
            </w:pPr>
            <w:r>
              <w:rPr>
                <w:sz w:val="18"/>
              </w:rPr>
              <w:t xml:space="preserve">DPDP Rules 2025 notified 13 Nov 2025; Consent Manager provisions 13 Nov 2026; substantive duties 13 May 2027 [VERIFY: any acceleration]</w:t>
            </w:r>
          </w:p>
        </w:tc>
      </w:tr>
      <w:tr>
        <w:tc>
          <w:tcPr>
            <w:tcW w:w="824" w:type="dxa"/>
          </w:tcPr>
          <w:p>
            <w:pPr>
              <w:pStyle w:val="Compact"/>
              <w:spacing w:after="40"/>
              <w:jc w:val="left"/>
            </w:pPr>
            <w:r>
              <w:rPr>
                <w:sz w:val="18"/>
              </w:rPr>
              <w:t xml:space="preserve">18</w:t>
            </w:r>
          </w:p>
        </w:tc>
        <w:tc>
          <w:tcPr>
            <w:tcW w:w="1413" w:type="dxa"/>
          </w:tcPr>
          <w:p>
            <w:pPr>
              <w:pStyle w:val="Compact"/>
              <w:spacing w:after="40"/>
              <w:jc w:val="left"/>
            </w:pPr>
            <w:r>
              <w:rPr>
                <w:sz w:val="18"/>
              </w:rPr>
              <w:t xml:space="preserve">Group operations</w:t>
            </w:r>
          </w:p>
        </w:tc>
        <w:tc>
          <w:tcPr>
            <w:tcW w:w="2553" w:type="dxa"/>
          </w:tcPr>
          <w:p>
            <w:pPr>
              <w:pStyle w:val="Compact"/>
              <w:spacing w:after="40"/>
              <w:jc w:val="left"/>
            </w:pPr>
            <w:r>
              <w:rPr>
                <w:sz w:val="18"/>
              </w:rPr>
              <w:t xml:space="preserve">Workspace O</w:t>
            </w:r>
            <w:r>
              <w:rPr>
                <w:sz w:val="18"/>
              </w:rPr>
              <w:t xml:space="preserve"> </w:t>
            </w:r>
            <w:r>
              <w:rPr>
                <w:sz w:val="18"/>
              </w:rPr>
              <w:t xml:space="preserve">“</w:t>
            </w:r>
            <w:r>
              <w:rPr>
                <w:sz w:val="18"/>
              </w:rPr>
              <w:t xml:space="preserve">Platform Administration (Infrabyx only)</w:t>
            </w:r>
            <w:r>
              <w:rPr>
                <w:sz w:val="18"/>
              </w:rPr>
              <w:t xml:space="preserve">”</w:t>
            </w:r>
            <w:r>
              <w:rPr>
                <w:sz w:val="18"/>
              </w:rPr>
              <w:t xml:space="preserve"> </w:t>
            </w:r>
            <w:r>
              <w:rPr>
                <w:sz w:val="18"/>
              </w:rPr>
              <w:t xml:space="preserve">as the only Infrabyx surface</w:t>
            </w:r>
          </w:p>
        </w:tc>
        <w:tc>
          <w:tcPr>
            <w:tcW w:w="4848" w:type="dxa"/>
          </w:tcPr>
          <w:p>
            <w:pPr>
              <w:pStyle w:val="Compact"/>
              <w:spacing w:after="40"/>
              <w:jc w:val="left"/>
            </w:pPr>
            <w:r>
              <w:rPr>
                <w:sz w:val="18"/>
              </w:rPr>
              <w:t xml:space="preserve">Group operations (CRM, onboarding, customer success, billing, staff HRMS, engineering console, certification control library) move to the separate Infrabyx Operations Hub; only aggregated data with no borrower, loan or member identifiers crosses to it (Part 2 boundaries; Integration Specification v1.1)</w:t>
            </w:r>
          </w:p>
        </w:tc>
      </w:tr>
      <w:tr>
        <w:tc>
          <w:tcPr>
            <w:tcW w:w="824" w:type="dxa"/>
          </w:tcPr>
          <w:p>
            <w:pPr>
              <w:pStyle w:val="Compact"/>
              <w:spacing w:after="40"/>
              <w:jc w:val="left"/>
            </w:pPr>
            <w:r>
              <w:rPr>
                <w:sz w:val="18"/>
              </w:rPr>
              <w:t xml:space="preserve">19</w:t>
            </w:r>
          </w:p>
        </w:tc>
        <w:tc>
          <w:tcPr>
            <w:tcW w:w="1413" w:type="dxa"/>
          </w:tcPr>
          <w:p>
            <w:pPr>
              <w:pStyle w:val="Compact"/>
              <w:spacing w:after="40"/>
              <w:jc w:val="left"/>
            </w:pPr>
            <w:r>
              <w:rPr>
                <w:sz w:val="18"/>
              </w:rPr>
              <w:t xml:space="preserve">Menus, screens and settings</w:t>
            </w:r>
          </w:p>
        </w:tc>
        <w:tc>
          <w:tcPr>
            <w:tcW w:w="2553" w:type="dxa"/>
          </w:tcPr>
          <w:p>
            <w:pPr>
              <w:pStyle w:val="Compact"/>
              <w:spacing w:after="40"/>
              <w:jc w:val="left"/>
            </w:pPr>
            <w:r>
              <w:rPr>
                <w:sz w:val="18"/>
              </w:rPr>
              <w:t xml:space="preserve">Modules specified by function; menus and settings left to the Part 3.2 workspaces and Part 10.5 principles</w:t>
            </w:r>
          </w:p>
        </w:tc>
        <w:tc>
          <w:tcPr>
            <w:tcW w:w="4848" w:type="dxa"/>
          </w:tcPr>
          <w:p>
            <w:pPr>
              <w:pStyle w:val="Compact"/>
              <w:spacing w:after="40"/>
              <w:jc w:val="left"/>
            </w:pPr>
            <w:r>
              <w:rPr>
                <w:sz w:val="18"/>
              </w:rPr>
              <w:t xml:space="preserve">Every Part 7B–7L module has a</w:t>
            </w:r>
            <w:r>
              <w:rPr>
                <w:sz w:val="18"/>
              </w:rPr>
              <w:t xml:space="preserve"> </w:t>
            </w:r>
            <w:r>
              <w:rPr>
                <w:rStyle w:val="VerbatimChar"/>
                <w:sz w:val="18"/>
              </w:rPr>
              <w:t xml:space="preserve">Settings and options</w:t>
            </w:r>
            <w:r>
              <w:rPr>
                <w:sz w:val="18"/>
              </w:rPr>
              <w:t xml:space="preserve"> </w:t>
            </w:r>
            <w:r>
              <w:rPr>
                <w:sz w:val="18"/>
              </w:rPr>
              <w:t xml:space="preserve">subsection (scope, default, regulatory floor or commercial choice, basis) and a</w:t>
            </w:r>
            <w:r>
              <w:rPr>
                <w:sz w:val="18"/>
              </w:rPr>
              <w:t xml:space="preserve"> </w:t>
            </w:r>
            <w:r>
              <w:rPr>
                <w:rStyle w:val="VerbatimChar"/>
                <w:sz w:val="18"/>
              </w:rPr>
              <w:t xml:space="preserve">Menu and screens</w:t>
            </w:r>
            <w:r>
              <w:rPr>
                <w:sz w:val="18"/>
              </w:rPr>
              <w:t xml:space="preserve"> </w:t>
            </w:r>
            <w:r>
              <w:rPr>
                <w:sz w:val="18"/>
              </w:rPr>
              <w:t xml:space="preserve">subsection (paths, screens, actions, bulk actions, filters, exports, empty and error states, role visibility); Appendix G consolidates them by workspace; the application shell and menu registry are built in Phase 1 and the settings framework in Phase 3; relaxing a floor fails</w:t>
            </w:r>
            <w:r>
              <w:rPr>
                <w:sz w:val="18"/>
              </w:rPr>
              <w:t xml:space="preserve"> </w:t>
            </w:r>
            <w:r>
              <w:rPr>
                <w:rStyle w:val="VerbatimChar"/>
                <w:sz w:val="18"/>
              </w:rPr>
              <w:t xml:space="preserve">floor_violation</w:t>
            </w:r>
            <w:r>
              <w:rPr>
                <w:sz w:val="18"/>
              </w:rPr>
              <w:t xml:space="preserve"> </w:t>
            </w:r>
            <w:r>
              <w:rPr>
                <w:sz w:val="18"/>
              </w:rPr>
              <w:t xml:space="preserve">(Part 10.2 principle 42)</w:t>
            </w:r>
          </w:p>
        </w:tc>
      </w:tr>
    </w:tbl>
    <w:p>
      <w:pPr>
        <w:pStyle w:val="BodyText"/>
      </w:pPr>
      <w:r>
        <w:rPr>
          <w:bCs/>
          <w:b/>
        </w:rPr>
        <w:t xml:space="preserve">Owner’s v1.5 requests and where each is implemented.</w:t>
      </w:r>
      <w:r>
        <w:t xml:space="preserve"> </w:t>
      </w:r>
      <w:r>
        <w:t xml:space="preserve">Numbers are the owner’s; request 35 repeats request 5; request 38 is the owner’s instruction of 24 October 2026.</w:t>
      </w:r>
      <w:r>
        <w:t xml:space="preserve"> </w:t>
      </w:r>
      <w:r>
        <w:t xml:space="preserve">“</w:t>
      </w:r>
      <w:r>
        <w:t xml:space="preserve">F</w:t>
      </w:r>
      <w:r>
        <w:t xml:space="preserve">”</w:t>
      </w:r>
      <w:r>
        <w:t xml:space="preserve"> </w:t>
      </w:r>
      <w:r>
        <w:t xml:space="preserve">= this prompt;</w:t>
      </w:r>
      <w:r>
        <w:t xml:space="preserve"> </w:t>
      </w:r>
      <w:r>
        <w:t xml:space="preserve">“</w:t>
      </w:r>
      <w:r>
        <w:t xml:space="preserve">U</w:t>
      </w:r>
      <w:r>
        <w:t xml:space="preserve">”</w:t>
      </w:r>
      <w:r>
        <w:t xml:space="preserve"> </w:t>
      </w:r>
      <w:r>
        <w:t xml:space="preserve">= Udofin v1.2;</w:t>
      </w:r>
      <w:r>
        <w:t xml:space="preserve"> </w:t>
      </w:r>
      <w:r>
        <w:t xml:space="preserve">“</w:t>
      </w:r>
      <w:r>
        <w:t xml:space="preserve">OH</w:t>
      </w:r>
      <w:r>
        <w:t xml:space="preserve">”</w:t>
      </w:r>
      <w:r>
        <w:t xml:space="preserve"> </w:t>
      </w:r>
      <w:r>
        <w:t xml:space="preserve">= Infrabyx Operations Hub v1.0;</w:t>
      </w:r>
      <w:r>
        <w:t xml:space="preserve"> </w:t>
      </w:r>
      <w:r>
        <w:t xml:space="preserve">“</w:t>
      </w:r>
      <w:r>
        <w:t xml:space="preserve">Spec</w:t>
      </w:r>
      <w:r>
        <w:t xml:space="preserve">”</w:t>
      </w:r>
      <w:r>
        <w:t xml:space="preserve"> </w:t>
      </w:r>
      <w:r>
        <w:t xml:space="preserve">= Integration Specification v1.1.</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27"/>
        <w:gridCol w:w="3087"/>
        <w:gridCol w:w="4044"/>
        <w:gridCol w:w="1780"/>
      </w:tblGrid>
      <w:tr>
        <w:trPr>
          <w:tblHeader w:val="true"/>
          <w:tblHeader w:val="true"/>
        </w:trPr>
        <w:tc>
          <w:tcPr>
            <w:tcW w:w="727" w:type="dxa"/>
            <w:shd w:val="clear" w:color="auto" w:fill="1F3A5F"/>
          </w:tcPr>
          <w:p>
            <w:pPr>
              <w:pStyle w:val="Compact"/>
              <w:spacing w:after="40"/>
              <w:jc w:val="left"/>
            </w:pPr>
            <w:r>
              <w:rPr>
                <w:b/>
                <w:color w:val="FFFFFF"/>
                <w:sz w:val="18"/>
              </w:rPr>
              <w:t xml:space="preserve">#</w:t>
            </w:r>
          </w:p>
        </w:tc>
        <w:tc>
          <w:tcPr>
            <w:tcW w:w="3087" w:type="dxa"/>
            <w:shd w:val="clear" w:color="auto" w:fill="1F3A5F"/>
          </w:tcPr>
          <w:p>
            <w:pPr>
              <w:pStyle w:val="Compact"/>
              <w:spacing w:after="40"/>
              <w:jc w:val="left"/>
            </w:pPr>
            <w:r>
              <w:rPr>
                <w:b/>
                <w:color w:val="FFFFFF"/>
                <w:sz w:val="18"/>
              </w:rPr>
              <w:t xml:space="preserve">Owner request (summary)</w:t>
            </w:r>
          </w:p>
        </w:tc>
        <w:tc>
          <w:tcPr>
            <w:tcW w:w="4044" w:type="dxa"/>
            <w:shd w:val="clear" w:color="auto" w:fill="1F3A5F"/>
          </w:tcPr>
          <w:p>
            <w:pPr>
              <w:pStyle w:val="Compact"/>
              <w:spacing w:after="40"/>
              <w:jc w:val="left"/>
            </w:pPr>
            <w:r>
              <w:rPr>
                <w:b/>
                <w:color w:val="FFFFFF"/>
                <w:sz w:val="18"/>
              </w:rPr>
              <w:t xml:space="preserve">Where implemented</w:t>
            </w:r>
          </w:p>
        </w:tc>
        <w:tc>
          <w:tcPr>
            <w:tcW w:w="1780" w:type="dxa"/>
            <w:shd w:val="clear" w:color="auto" w:fill="1F3A5F"/>
          </w:tcPr>
          <w:p>
            <w:pPr>
              <w:pStyle w:val="Compact"/>
              <w:spacing w:after="40"/>
              <w:jc w:val="left"/>
            </w:pPr>
            <w:r>
              <w:rPr>
                <w:b/>
                <w:color w:val="FFFFFF"/>
                <w:sz w:val="18"/>
              </w:rPr>
              <w:t xml:space="preserve">Phase(s)</w:t>
            </w:r>
          </w:p>
        </w:tc>
      </w:tr>
      <w:tr>
        <w:tc>
          <w:tcPr>
            <w:tcW w:w="727" w:type="dxa"/>
          </w:tcPr>
          <w:p>
            <w:pPr>
              <w:pStyle w:val="Compact"/>
              <w:spacing w:after="40"/>
              <w:jc w:val="left"/>
            </w:pPr>
            <w:r>
              <w:rPr>
                <w:sz w:val="18"/>
              </w:rPr>
              <w:t xml:space="preserve">1</w:t>
            </w:r>
          </w:p>
        </w:tc>
        <w:tc>
          <w:tcPr>
            <w:tcW w:w="3087" w:type="dxa"/>
          </w:tcPr>
          <w:p>
            <w:pPr>
              <w:pStyle w:val="Compact"/>
              <w:spacing w:after="40"/>
              <w:jc w:val="left"/>
            </w:pPr>
            <w:r>
              <w:rPr>
                <w:sz w:val="18"/>
              </w:rPr>
              <w:t xml:space="preserve">RBI portal filing support (CIMS, DAKSH, PRAVAAH) and automated generation of all applicable returns by entity type</w:t>
            </w:r>
          </w:p>
        </w:tc>
        <w:tc>
          <w:tcPr>
            <w:tcW w:w="4044" w:type="dxa"/>
          </w:tcPr>
          <w:p>
            <w:pPr>
              <w:pStyle w:val="Compact"/>
              <w:spacing w:after="40"/>
              <w:jc w:val="left"/>
            </w:pPr>
            <w:r>
              <w:rPr>
                <w:sz w:val="18"/>
              </w:rPr>
              <w:t xml:space="preserve">F 7B RR1–RR5, RR8 (RR4 portal workflows; RR1.5 bank, UCB, ARC, IFSC and co-operative packs); U 7B UP3 (DLA facts and CIMS export packs for REs)</w:t>
            </w:r>
          </w:p>
        </w:tc>
        <w:tc>
          <w:tcPr>
            <w:tcW w:w="1780" w:type="dxa"/>
          </w:tcPr>
          <w:p>
            <w:pPr>
              <w:pStyle w:val="Compact"/>
              <w:spacing w:after="40"/>
              <w:jc w:val="left"/>
            </w:pPr>
            <w:r>
              <w:rPr>
                <w:sz w:val="18"/>
              </w:rPr>
              <w:t xml:space="preserve">F 14b; U 3c</w:t>
            </w:r>
          </w:p>
        </w:tc>
      </w:tr>
      <w:tr>
        <w:tc>
          <w:tcPr>
            <w:tcW w:w="727" w:type="dxa"/>
          </w:tcPr>
          <w:p>
            <w:pPr>
              <w:pStyle w:val="Compact"/>
              <w:spacing w:after="40"/>
              <w:jc w:val="left"/>
            </w:pPr>
            <w:r>
              <w:rPr>
                <w:sz w:val="18"/>
              </w:rPr>
              <w:t xml:space="preserve">2</w:t>
            </w:r>
          </w:p>
        </w:tc>
        <w:tc>
          <w:tcPr>
            <w:tcW w:w="3087" w:type="dxa"/>
          </w:tcPr>
          <w:p>
            <w:pPr>
              <w:pStyle w:val="Compact"/>
              <w:spacing w:after="40"/>
              <w:jc w:val="left"/>
            </w:pPr>
            <w:r>
              <w:rPr>
                <w:sz w:val="18"/>
              </w:rPr>
              <w:t xml:space="preserve">CIC submissions (consumer, commercial, MFI) to all four bureaus in the correct formats</w:t>
            </w:r>
          </w:p>
        </w:tc>
        <w:tc>
          <w:tcPr>
            <w:tcW w:w="4044" w:type="dxa"/>
          </w:tcPr>
          <w:p>
            <w:pPr>
              <w:pStyle w:val="Compact"/>
              <w:spacing w:after="40"/>
              <w:jc w:val="left"/>
            </w:pPr>
            <w:r>
              <w:rPr>
                <w:sz w:val="18"/>
              </w:rPr>
              <w:t xml:space="preserve">F 7B RR6–RR7</w:t>
            </w:r>
          </w:p>
        </w:tc>
        <w:tc>
          <w:tcPr>
            <w:tcW w:w="1780" w:type="dxa"/>
          </w:tcPr>
          <w:p>
            <w:pPr>
              <w:pStyle w:val="Compact"/>
              <w:spacing w:after="40"/>
              <w:jc w:val="left"/>
            </w:pPr>
            <w:r>
              <w:rPr>
                <w:sz w:val="18"/>
              </w:rPr>
              <w:t xml:space="preserve">F 14c</w:t>
            </w:r>
          </w:p>
        </w:tc>
      </w:tr>
      <w:tr>
        <w:tc>
          <w:tcPr>
            <w:tcW w:w="727" w:type="dxa"/>
          </w:tcPr>
          <w:p>
            <w:pPr>
              <w:pStyle w:val="Compact"/>
              <w:spacing w:after="40"/>
              <w:jc w:val="left"/>
            </w:pPr>
            <w:r>
              <w:rPr>
                <w:sz w:val="18"/>
              </w:rPr>
              <w:t xml:space="preserve">3</w:t>
            </w:r>
          </w:p>
        </w:tc>
        <w:tc>
          <w:tcPr>
            <w:tcW w:w="3087" w:type="dxa"/>
          </w:tcPr>
          <w:p>
            <w:pPr>
              <w:pStyle w:val="Compact"/>
              <w:spacing w:after="40"/>
              <w:jc w:val="left"/>
            </w:pPr>
            <w:r>
              <w:rPr>
                <w:sz w:val="18"/>
              </w:rPr>
              <w:t xml:space="preserve">Ind AS and AS applicability by entity type and phase; ICAI guides; ICSI Secretarial Standards</w:t>
            </w:r>
          </w:p>
        </w:tc>
        <w:tc>
          <w:tcPr>
            <w:tcW w:w="4044" w:type="dxa"/>
          </w:tcPr>
          <w:p>
            <w:pPr>
              <w:pStyle w:val="Compact"/>
              <w:spacing w:after="40"/>
              <w:jc w:val="left"/>
            </w:pPr>
            <w:r>
              <w:rPr>
                <w:sz w:val="18"/>
              </w:rPr>
              <w:t xml:space="preserve">F 7C AC1–AC3; F 7D AU2–AU6; F 7F GV2 (SS-1, SS-2); Part 8A.37 (</w:t>
            </w:r>
            <w:r>
              <w:rPr>
                <w:rStyle w:val="VerbatimChar"/>
                <w:sz w:val="18"/>
              </w:rPr>
              <w:t xml:space="preserve">IND-AS</w:t>
            </w:r>
            <w:r>
              <w:rPr>
                <w:sz w:val="18"/>
              </w:rPr>
              <w:t xml:space="preserve">,</w:t>
            </w:r>
            <w:r>
              <w:rPr>
                <w:sz w:val="18"/>
              </w:rPr>
              <w:t xml:space="preserve"> </w:t>
            </w:r>
            <w:r>
              <w:rPr>
                <w:rStyle w:val="VerbatimChar"/>
                <w:sz w:val="18"/>
              </w:rPr>
              <w:t xml:space="preserve">ICAI</w:t>
            </w:r>
            <w:r>
              <w:rPr>
                <w:sz w:val="18"/>
              </w:rPr>
              <w:t xml:space="preserve">,</w:t>
            </w:r>
            <w:r>
              <w:rPr>
                <w:sz w:val="18"/>
              </w:rPr>
              <w:t xml:space="preserve"> </w:t>
            </w:r>
            <w:r>
              <w:rPr>
                <w:rStyle w:val="VerbatimChar"/>
                <w:sz w:val="18"/>
              </w:rPr>
              <w:t xml:space="preserve">ICSI</w:t>
            </w:r>
            <w:r>
              <w:rPr>
                <w:sz w:val="18"/>
              </w:rPr>
              <w:t xml:space="preserve">)</w:t>
            </w:r>
          </w:p>
        </w:tc>
        <w:tc>
          <w:tcPr>
            <w:tcW w:w="1780" w:type="dxa"/>
          </w:tcPr>
          <w:p>
            <w:pPr>
              <w:pStyle w:val="Compact"/>
              <w:spacing w:after="40"/>
              <w:jc w:val="left"/>
            </w:pPr>
            <w:r>
              <w:rPr>
                <w:sz w:val="18"/>
              </w:rPr>
              <w:t xml:space="preserve">F 13b, 16c, 16d</w:t>
            </w:r>
          </w:p>
        </w:tc>
      </w:tr>
      <w:tr>
        <w:tc>
          <w:tcPr>
            <w:tcW w:w="727" w:type="dxa"/>
          </w:tcPr>
          <w:p>
            <w:pPr>
              <w:pStyle w:val="Compact"/>
              <w:spacing w:after="40"/>
              <w:jc w:val="left"/>
            </w:pPr>
            <w:r>
              <w:rPr>
                <w:sz w:val="18"/>
              </w:rPr>
              <w:t xml:space="preserve">4</w:t>
            </w:r>
          </w:p>
        </w:tc>
        <w:tc>
          <w:tcPr>
            <w:tcW w:w="3087" w:type="dxa"/>
          </w:tcPr>
          <w:p>
            <w:pPr>
              <w:pStyle w:val="Compact"/>
              <w:spacing w:after="40"/>
              <w:jc w:val="left"/>
            </w:pPr>
            <w:r>
              <w:rPr>
                <w:sz w:val="18"/>
              </w:rPr>
              <w:t xml:space="preserve">Audit ecosystem (internal, RBIA, concurrent, IS, IT, statutory, secretarial) with data from Finbyx and Udofin</w:t>
            </w:r>
          </w:p>
        </w:tc>
        <w:tc>
          <w:tcPr>
            <w:tcW w:w="4044" w:type="dxa"/>
          </w:tcPr>
          <w:p>
            <w:pPr>
              <w:pStyle w:val="Compact"/>
              <w:spacing w:after="40"/>
              <w:jc w:val="left"/>
            </w:pPr>
            <w:r>
              <w:rPr>
                <w:sz w:val="18"/>
              </w:rPr>
              <w:t xml:space="preserve">F 7D AU1–AU7; U 7H RA2 and 7B UP3 (RE audit packs)</w:t>
            </w:r>
          </w:p>
        </w:tc>
        <w:tc>
          <w:tcPr>
            <w:tcW w:w="1780" w:type="dxa"/>
          </w:tcPr>
          <w:p>
            <w:pPr>
              <w:pStyle w:val="Compact"/>
              <w:spacing w:after="40"/>
              <w:jc w:val="left"/>
            </w:pPr>
            <w:r>
              <w:rPr>
                <w:sz w:val="18"/>
              </w:rPr>
              <w:t xml:space="preserve">F 16c; U 16c</w:t>
            </w:r>
          </w:p>
        </w:tc>
      </w:tr>
      <w:tr>
        <w:tc>
          <w:tcPr>
            <w:tcW w:w="727" w:type="dxa"/>
          </w:tcPr>
          <w:p>
            <w:pPr>
              <w:pStyle w:val="Compact"/>
              <w:spacing w:after="40"/>
              <w:jc w:val="left"/>
            </w:pPr>
            <w:r>
              <w:rPr>
                <w:sz w:val="18"/>
              </w:rPr>
              <w:t xml:space="preserve">5</w:t>
            </w:r>
          </w:p>
        </w:tc>
        <w:tc>
          <w:tcPr>
            <w:tcW w:w="3087" w:type="dxa"/>
          </w:tcPr>
          <w:p>
            <w:pPr>
              <w:pStyle w:val="Compact"/>
              <w:spacing w:after="40"/>
              <w:jc w:val="left"/>
            </w:pPr>
            <w:r>
              <w:rPr>
                <w:sz w:val="18"/>
              </w:rPr>
              <w:t xml:space="preserve">Separate Infrabyx operations dashboard (delivery, after-sales, onboarding, customer success, marketing, social media, PR, grievances and tickets); open CRM portable to Brevo; revenue and business-model review</w:t>
            </w:r>
          </w:p>
        </w:tc>
        <w:tc>
          <w:tcPr>
            <w:tcW w:w="4044" w:type="dxa"/>
          </w:tcPr>
          <w:p>
            <w:pPr>
              <w:pStyle w:val="Compact"/>
              <w:spacing w:after="40"/>
              <w:jc w:val="left"/>
            </w:pPr>
            <w:r>
              <w:rPr>
                <w:sz w:val="18"/>
              </w:rPr>
              <w:t xml:space="preserve">OH2–OH8 (OH3 CRM with Brevo adapter; OH8 revenue-model review); F Part 2 boundaries and workspace O</w:t>
            </w:r>
          </w:p>
        </w:tc>
        <w:tc>
          <w:tcPr>
            <w:tcW w:w="1780" w:type="dxa"/>
          </w:tcPr>
          <w:p>
            <w:pPr>
              <w:pStyle w:val="Compact"/>
              <w:spacing w:after="40"/>
              <w:jc w:val="left"/>
            </w:pPr>
            <w:r>
              <w:rPr>
                <w:sz w:val="18"/>
              </w:rPr>
              <w:t xml:space="preserve">OH O3–O7, O13</w:t>
            </w:r>
          </w:p>
        </w:tc>
      </w:tr>
      <w:tr>
        <w:tc>
          <w:tcPr>
            <w:tcW w:w="727" w:type="dxa"/>
          </w:tcPr>
          <w:p>
            <w:pPr>
              <w:pStyle w:val="Compact"/>
              <w:spacing w:after="40"/>
              <w:jc w:val="left"/>
            </w:pPr>
            <w:r>
              <w:rPr>
                <w:sz w:val="18"/>
              </w:rPr>
              <w:t xml:space="preserve">6</w:t>
            </w:r>
          </w:p>
        </w:tc>
        <w:tc>
          <w:tcPr>
            <w:tcW w:w="3087" w:type="dxa"/>
          </w:tcPr>
          <w:p>
            <w:pPr>
              <w:pStyle w:val="Compact"/>
              <w:spacing w:after="40"/>
              <w:jc w:val="left"/>
            </w:pPr>
            <w:r>
              <w:rPr>
                <w:sz w:val="18"/>
              </w:rPr>
              <w:t xml:space="preserve">Infrabyx staff HRMS: lifecycle, email IDs, appraisal, leave, Labour Code payroll, lawful WFH measurement, maker-checker, anti-fraud, decentralised decisions, staff ROI</w:t>
            </w:r>
          </w:p>
        </w:tc>
        <w:tc>
          <w:tcPr>
            <w:tcW w:w="4044" w:type="dxa"/>
          </w:tcPr>
          <w:p>
            <w:pPr>
              <w:pStyle w:val="Compact"/>
              <w:spacing w:after="40"/>
              <w:jc w:val="left"/>
            </w:pPr>
            <w:r>
              <w:rPr>
                <w:sz w:val="18"/>
              </w:rPr>
              <w:t xml:space="preserve">OH10, OH11, OH12; shared Labour Code rule pack with F 7F GV6</w:t>
            </w:r>
          </w:p>
        </w:tc>
        <w:tc>
          <w:tcPr>
            <w:tcW w:w="1780" w:type="dxa"/>
          </w:tcPr>
          <w:p>
            <w:pPr>
              <w:pStyle w:val="Compact"/>
              <w:spacing w:after="40"/>
              <w:jc w:val="left"/>
            </w:pPr>
            <w:r>
              <w:rPr>
                <w:sz w:val="18"/>
              </w:rPr>
              <w:t xml:space="preserve">OH O9–O11</w:t>
            </w:r>
          </w:p>
        </w:tc>
      </w:tr>
      <w:tr>
        <w:tc>
          <w:tcPr>
            <w:tcW w:w="727" w:type="dxa"/>
          </w:tcPr>
          <w:p>
            <w:pPr>
              <w:pStyle w:val="Compact"/>
              <w:spacing w:after="40"/>
              <w:jc w:val="left"/>
            </w:pPr>
            <w:r>
              <w:rPr>
                <w:sz w:val="18"/>
              </w:rPr>
              <w:t xml:space="preserve">7</w:t>
            </w:r>
          </w:p>
        </w:tc>
        <w:tc>
          <w:tcPr>
            <w:tcW w:w="3087" w:type="dxa"/>
          </w:tcPr>
          <w:p>
            <w:pPr>
              <w:pStyle w:val="Compact"/>
              <w:spacing w:after="40"/>
              <w:jc w:val="left"/>
            </w:pPr>
            <w:r>
              <w:rPr>
                <w:sz w:val="18"/>
              </w:rPr>
              <w:t xml:space="preserve">Microsoft 365 (and Google Workspace) incl. Teams, SharePoint and OneDrive; migration for staff and clients</w:t>
            </w:r>
          </w:p>
        </w:tc>
        <w:tc>
          <w:tcPr>
            <w:tcW w:w="4044" w:type="dxa"/>
          </w:tcPr>
          <w:p>
            <w:pPr>
              <w:pStyle w:val="Compact"/>
              <w:spacing w:after="40"/>
              <w:jc w:val="left"/>
            </w:pPr>
            <w:r>
              <w:rPr>
                <w:sz w:val="18"/>
              </w:rPr>
              <w:t xml:space="preserve">OH12 (Infrabyx staff); F 7F GV7 (tenant workplace); F 7J DP3 (SharePoint and OneDrive storage); OH4 (client migration factory); suite choice in Appendix B</w:t>
            </w:r>
          </w:p>
        </w:tc>
        <w:tc>
          <w:tcPr>
            <w:tcW w:w="1780" w:type="dxa"/>
          </w:tcPr>
          <w:p>
            <w:pPr>
              <w:pStyle w:val="Compact"/>
              <w:spacing w:after="40"/>
              <w:jc w:val="left"/>
            </w:pPr>
            <w:r>
              <w:rPr>
                <w:sz w:val="18"/>
              </w:rPr>
              <w:t xml:space="preserve">F 16d; OH O4, O11</w:t>
            </w:r>
          </w:p>
        </w:tc>
      </w:tr>
      <w:tr>
        <w:tc>
          <w:tcPr>
            <w:tcW w:w="727" w:type="dxa"/>
          </w:tcPr>
          <w:p>
            <w:pPr>
              <w:pStyle w:val="Compact"/>
              <w:spacing w:after="40"/>
              <w:jc w:val="left"/>
            </w:pPr>
            <w:r>
              <w:rPr>
                <w:sz w:val="18"/>
              </w:rPr>
              <w:t xml:space="preserve">8</w:t>
            </w:r>
          </w:p>
        </w:tc>
        <w:tc>
          <w:tcPr>
            <w:tcW w:w="3087" w:type="dxa"/>
          </w:tcPr>
          <w:p>
            <w:pPr>
              <w:pStyle w:val="Compact"/>
              <w:spacing w:after="40"/>
              <w:jc w:val="left"/>
            </w:pPr>
            <w:r>
              <w:rPr>
                <w:sz w:val="18"/>
              </w:rPr>
              <w:t xml:space="preserve">Self-explanatory export archives readable without Finbyx; client-attached storage and backups</w:t>
            </w:r>
          </w:p>
        </w:tc>
        <w:tc>
          <w:tcPr>
            <w:tcW w:w="4044" w:type="dxa"/>
          </w:tcPr>
          <w:p>
            <w:pPr>
              <w:pStyle w:val="Compact"/>
              <w:spacing w:after="40"/>
              <w:jc w:val="left"/>
            </w:pPr>
            <w:r>
              <w:rPr>
                <w:sz w:val="18"/>
              </w:rPr>
              <w:t xml:space="preserve">F 7J DP1–DP5; U 7H RA3</w:t>
            </w:r>
          </w:p>
        </w:tc>
        <w:tc>
          <w:tcPr>
            <w:tcW w:w="1780" w:type="dxa"/>
          </w:tcPr>
          <w:p>
            <w:pPr>
              <w:pStyle w:val="Compact"/>
              <w:spacing w:after="40"/>
              <w:jc w:val="left"/>
            </w:pPr>
            <w:r>
              <w:rPr>
                <w:sz w:val="18"/>
              </w:rPr>
              <w:t xml:space="preserve">F 15b; U 16c</w:t>
            </w:r>
          </w:p>
        </w:tc>
      </w:tr>
      <w:tr>
        <w:tc>
          <w:tcPr>
            <w:tcW w:w="727" w:type="dxa"/>
          </w:tcPr>
          <w:p>
            <w:pPr>
              <w:pStyle w:val="Compact"/>
              <w:spacing w:after="40"/>
              <w:jc w:val="left"/>
            </w:pPr>
            <w:r>
              <w:rPr>
                <w:sz w:val="18"/>
              </w:rPr>
              <w:t xml:space="preserve">9</w:t>
            </w:r>
          </w:p>
        </w:tc>
        <w:tc>
          <w:tcPr>
            <w:tcW w:w="3087" w:type="dxa"/>
          </w:tcPr>
          <w:p>
            <w:pPr>
              <w:pStyle w:val="Compact"/>
              <w:spacing w:after="40"/>
              <w:jc w:val="left"/>
            </w:pPr>
            <w:r>
              <w:rPr>
                <w:sz w:val="18"/>
              </w:rPr>
              <w:t xml:space="preserve">Switchable revenue streams, legitimate self-serve funnel, billing, membership and settings pages, Razorpay with gateway security</w:t>
            </w:r>
          </w:p>
        </w:tc>
        <w:tc>
          <w:tcPr>
            <w:tcW w:w="4044" w:type="dxa"/>
          </w:tcPr>
          <w:p>
            <w:pPr>
              <w:pStyle w:val="Compact"/>
              <w:spacing w:after="40"/>
              <w:jc w:val="left"/>
            </w:pPr>
            <w:r>
              <w:rPr>
                <w:sz w:val="18"/>
              </w:rPr>
              <w:t xml:space="preserve">F 7K CM1–CM5; U 7G RV1–RV4; OH8 (catalogue, invoices, Razorpay)</w:t>
            </w:r>
          </w:p>
        </w:tc>
        <w:tc>
          <w:tcPr>
            <w:tcW w:w="1780" w:type="dxa"/>
          </w:tcPr>
          <w:p>
            <w:pPr>
              <w:pStyle w:val="Compact"/>
              <w:spacing w:after="40"/>
              <w:jc w:val="left"/>
            </w:pPr>
            <w:r>
              <w:rPr>
                <w:sz w:val="18"/>
              </w:rPr>
              <w:t xml:space="preserve">F 16e; U 20b; OH O6</w:t>
            </w:r>
          </w:p>
        </w:tc>
      </w:tr>
      <w:tr>
        <w:tc>
          <w:tcPr>
            <w:tcW w:w="727" w:type="dxa"/>
          </w:tcPr>
          <w:p>
            <w:pPr>
              <w:pStyle w:val="Compact"/>
              <w:spacing w:after="40"/>
              <w:jc w:val="left"/>
            </w:pPr>
            <w:r>
              <w:rPr>
                <w:sz w:val="18"/>
              </w:rPr>
              <w:t xml:space="preserve">10</w:t>
            </w:r>
          </w:p>
        </w:tc>
        <w:tc>
          <w:tcPr>
            <w:tcW w:w="3087" w:type="dxa"/>
          </w:tcPr>
          <w:p>
            <w:pPr>
              <w:pStyle w:val="Compact"/>
              <w:spacing w:after="40"/>
              <w:jc w:val="left"/>
            </w:pPr>
            <w:r>
              <w:rPr>
                <w:sz w:val="18"/>
              </w:rPr>
              <w:t xml:space="preserve">Group-wide advocate and professional directory for litigation when recovery fails</w:t>
            </w:r>
          </w:p>
        </w:tc>
        <w:tc>
          <w:tcPr>
            <w:tcW w:w="4044" w:type="dxa"/>
          </w:tcPr>
          <w:p>
            <w:pPr>
              <w:pStyle w:val="Compact"/>
              <w:spacing w:after="40"/>
              <w:jc w:val="left"/>
            </w:pPr>
            <w:r>
              <w:rPr>
                <w:sz w:val="18"/>
              </w:rPr>
              <w:t xml:space="preserve">OH9 (BCI Rule 36 limits); F R11 (v1.5 directory bullet); Spec directory domain</w:t>
            </w:r>
          </w:p>
        </w:tc>
        <w:tc>
          <w:tcPr>
            <w:tcW w:w="1780" w:type="dxa"/>
          </w:tcPr>
          <w:p>
            <w:pPr>
              <w:pStyle w:val="Compact"/>
              <w:spacing w:after="40"/>
              <w:jc w:val="left"/>
            </w:pPr>
            <w:r>
              <w:rPr>
                <w:sz w:val="18"/>
              </w:rPr>
              <w:t xml:space="preserve">OH O8; F R11 consumption once O8 is live</w:t>
            </w:r>
          </w:p>
        </w:tc>
      </w:tr>
      <w:tr>
        <w:tc>
          <w:tcPr>
            <w:tcW w:w="727" w:type="dxa"/>
          </w:tcPr>
          <w:p>
            <w:pPr>
              <w:pStyle w:val="Compact"/>
              <w:spacing w:after="40"/>
              <w:jc w:val="left"/>
            </w:pPr>
            <w:r>
              <w:rPr>
                <w:sz w:val="18"/>
              </w:rPr>
              <w:t xml:space="preserve">11</w:t>
            </w:r>
          </w:p>
        </w:tc>
        <w:tc>
          <w:tcPr>
            <w:tcW w:w="3087" w:type="dxa"/>
          </w:tcPr>
          <w:p>
            <w:pPr>
              <w:pStyle w:val="Compact"/>
              <w:spacing w:after="40"/>
              <w:jc w:val="left"/>
            </w:pPr>
            <w:r>
              <w:rPr>
                <w:sz w:val="18"/>
              </w:rPr>
              <w:t xml:space="preserve">Patch and change management with GitHub branches, backups, VAPT, IS, internal and external audit readiness</w:t>
            </w:r>
          </w:p>
        </w:tc>
        <w:tc>
          <w:tcPr>
            <w:tcW w:w="4044" w:type="dxa"/>
          </w:tcPr>
          <w:p>
            <w:pPr>
              <w:pStyle w:val="Compact"/>
              <w:spacing w:after="40"/>
              <w:jc w:val="left"/>
            </w:pPr>
            <w:r>
              <w:rPr>
                <w:sz w:val="18"/>
              </w:rPr>
              <w:t xml:space="preserve">F 7L EO1–EO4 (EO1 from Phase 1); OH13; U 7H RA4</w:t>
            </w:r>
          </w:p>
        </w:tc>
        <w:tc>
          <w:tcPr>
            <w:tcW w:w="1780" w:type="dxa"/>
          </w:tcPr>
          <w:p>
            <w:pPr>
              <w:pStyle w:val="Compact"/>
              <w:spacing w:after="40"/>
              <w:jc w:val="left"/>
            </w:pPr>
            <w:r>
              <w:rPr>
                <w:sz w:val="18"/>
              </w:rPr>
              <w:t xml:space="preserve">F 1, 20b; U 16c; OH O12</w:t>
            </w:r>
          </w:p>
        </w:tc>
      </w:tr>
      <w:tr>
        <w:tc>
          <w:tcPr>
            <w:tcW w:w="727" w:type="dxa"/>
          </w:tcPr>
          <w:p>
            <w:pPr>
              <w:pStyle w:val="Compact"/>
              <w:spacing w:after="40"/>
              <w:jc w:val="left"/>
            </w:pPr>
            <w:r>
              <w:rPr>
                <w:sz w:val="18"/>
              </w:rPr>
              <w:t xml:space="preserve">12</w:t>
            </w:r>
          </w:p>
        </w:tc>
        <w:tc>
          <w:tcPr>
            <w:tcW w:w="3087" w:type="dxa"/>
          </w:tcPr>
          <w:p>
            <w:pPr>
              <w:pStyle w:val="Compact"/>
              <w:spacing w:after="40"/>
              <w:jc w:val="left"/>
            </w:pPr>
            <w:r>
              <w:rPr>
                <w:sz w:val="18"/>
              </w:rPr>
              <w:t xml:space="preserve">Cross-group roles, shared operations users, dashboards and data with Equator, LawDocsComply and other group companies</w:t>
            </w:r>
          </w:p>
        </w:tc>
        <w:tc>
          <w:tcPr>
            <w:tcW w:w="4044" w:type="dxa"/>
          </w:tcPr>
          <w:p>
            <w:pPr>
              <w:pStyle w:val="Compact"/>
              <w:spacing w:after="40"/>
              <w:jc w:val="left"/>
            </w:pPr>
            <w:r>
              <w:rPr>
                <w:sz w:val="18"/>
              </w:rPr>
              <w:t xml:space="preserve">F Part 2 boundaries; OH1, OH2; Spec cross-group identity and roles; F 7E RK2.4 (LawDocsComply feed)</w:t>
            </w:r>
          </w:p>
        </w:tc>
        <w:tc>
          <w:tcPr>
            <w:tcW w:w="1780" w:type="dxa"/>
          </w:tcPr>
          <w:p>
            <w:pPr>
              <w:pStyle w:val="Compact"/>
              <w:spacing w:after="40"/>
              <w:jc w:val="left"/>
            </w:pPr>
            <w:r>
              <w:rPr>
                <w:sz w:val="18"/>
              </w:rPr>
              <w:t xml:space="preserve">OH O1, O2, O13; F 14d</w:t>
            </w:r>
          </w:p>
        </w:tc>
      </w:tr>
      <w:tr>
        <w:tc>
          <w:tcPr>
            <w:tcW w:w="727" w:type="dxa"/>
          </w:tcPr>
          <w:p>
            <w:pPr>
              <w:pStyle w:val="Compact"/>
              <w:spacing w:after="40"/>
              <w:jc w:val="left"/>
            </w:pPr>
            <w:r>
              <w:rPr>
                <w:sz w:val="18"/>
              </w:rPr>
              <w:t xml:space="preserve">13</w:t>
            </w:r>
          </w:p>
        </w:tc>
        <w:tc>
          <w:tcPr>
            <w:tcW w:w="3087" w:type="dxa"/>
          </w:tcPr>
          <w:p>
            <w:pPr>
              <w:pStyle w:val="Compact"/>
              <w:spacing w:after="40"/>
              <w:jc w:val="left"/>
            </w:pPr>
            <w:r>
              <w:rPr>
                <w:sz w:val="18"/>
              </w:rPr>
              <w:t xml:space="preserve">Client HRMS on Finbyx: KMPs, directors, departments, governance aligned to RBI Directions, task assignment, M365, Google or own data centre</w:t>
            </w:r>
          </w:p>
        </w:tc>
        <w:tc>
          <w:tcPr>
            <w:tcW w:w="4044" w:type="dxa"/>
          </w:tcPr>
          <w:p>
            <w:pPr>
              <w:pStyle w:val="Compact"/>
              <w:spacing w:after="40"/>
              <w:jc w:val="left"/>
            </w:pPr>
            <w:r>
              <w:rPr>
                <w:sz w:val="18"/>
              </w:rPr>
              <w:t xml:space="preserve">F 7F GV1–GV3, GV5–GV7</w:t>
            </w:r>
          </w:p>
        </w:tc>
        <w:tc>
          <w:tcPr>
            <w:tcW w:w="1780" w:type="dxa"/>
          </w:tcPr>
          <w:p>
            <w:pPr>
              <w:pStyle w:val="Compact"/>
              <w:spacing w:after="40"/>
              <w:jc w:val="left"/>
            </w:pPr>
            <w:r>
              <w:rPr>
                <w:sz w:val="18"/>
              </w:rPr>
              <w:t xml:space="preserve">F 16d</w:t>
            </w:r>
          </w:p>
        </w:tc>
      </w:tr>
      <w:tr>
        <w:tc>
          <w:tcPr>
            <w:tcW w:w="727" w:type="dxa"/>
          </w:tcPr>
          <w:p>
            <w:pPr>
              <w:pStyle w:val="Compact"/>
              <w:spacing w:after="40"/>
              <w:jc w:val="left"/>
            </w:pPr>
            <w:r>
              <w:rPr>
                <w:sz w:val="18"/>
              </w:rPr>
              <w:t xml:space="preserve">14</w:t>
            </w:r>
          </w:p>
        </w:tc>
        <w:tc>
          <w:tcPr>
            <w:tcW w:w="3087" w:type="dxa"/>
          </w:tcPr>
          <w:p>
            <w:pPr>
              <w:pStyle w:val="Compact"/>
              <w:spacing w:after="40"/>
              <w:jc w:val="left"/>
            </w:pPr>
            <w:r>
              <w:rPr>
                <w:sz w:val="18"/>
              </w:rPr>
              <w:t xml:space="preserve">Read-only access for RBI supervisors and auditors</w:t>
            </w:r>
          </w:p>
        </w:tc>
        <w:tc>
          <w:tcPr>
            <w:tcW w:w="4044" w:type="dxa"/>
          </w:tcPr>
          <w:p>
            <w:pPr>
              <w:pStyle w:val="Compact"/>
              <w:spacing w:after="40"/>
              <w:jc w:val="left"/>
            </w:pPr>
            <w:r>
              <w:rPr>
                <w:sz w:val="18"/>
              </w:rPr>
              <w:t xml:space="preserve">F 7D AU7 (workspaces V and W); U 7H RA2</w:t>
            </w:r>
          </w:p>
        </w:tc>
        <w:tc>
          <w:tcPr>
            <w:tcW w:w="1780" w:type="dxa"/>
          </w:tcPr>
          <w:p>
            <w:pPr>
              <w:pStyle w:val="Compact"/>
              <w:spacing w:after="40"/>
              <w:jc w:val="left"/>
            </w:pPr>
            <w:r>
              <w:rPr>
                <w:sz w:val="18"/>
              </w:rPr>
              <w:t xml:space="preserve">F 16c; U 16c</w:t>
            </w:r>
          </w:p>
        </w:tc>
      </w:tr>
      <w:tr>
        <w:tc>
          <w:tcPr>
            <w:tcW w:w="727" w:type="dxa"/>
          </w:tcPr>
          <w:p>
            <w:pPr>
              <w:pStyle w:val="Compact"/>
              <w:spacing w:after="40"/>
              <w:jc w:val="left"/>
            </w:pPr>
            <w:r>
              <w:rPr>
                <w:sz w:val="18"/>
              </w:rPr>
              <w:t xml:space="preserve">15</w:t>
            </w:r>
          </w:p>
        </w:tc>
        <w:tc>
          <w:tcPr>
            <w:tcW w:w="3087" w:type="dxa"/>
          </w:tcPr>
          <w:p>
            <w:pPr>
              <w:pStyle w:val="Compact"/>
              <w:spacing w:after="40"/>
              <w:jc w:val="left"/>
            </w:pPr>
            <w:r>
              <w:rPr>
                <w:sz w:val="18"/>
              </w:rPr>
              <w:t xml:space="preserve">Risk management function in both products; data to LawDocsComply</w:t>
            </w:r>
          </w:p>
        </w:tc>
        <w:tc>
          <w:tcPr>
            <w:tcW w:w="4044" w:type="dxa"/>
          </w:tcPr>
          <w:p>
            <w:pPr>
              <w:pStyle w:val="Compact"/>
              <w:spacing w:after="40"/>
              <w:jc w:val="left"/>
            </w:pPr>
            <w:r>
              <w:rPr>
                <w:sz w:val="18"/>
              </w:rPr>
              <w:t xml:space="preserve">F 7E RK1–RK2 (RK2.4 feed); U 7H RA1</w:t>
            </w:r>
          </w:p>
        </w:tc>
        <w:tc>
          <w:tcPr>
            <w:tcW w:w="1780" w:type="dxa"/>
          </w:tcPr>
          <w:p>
            <w:pPr>
              <w:pStyle w:val="Compact"/>
              <w:spacing w:after="40"/>
              <w:jc w:val="left"/>
            </w:pPr>
            <w:r>
              <w:rPr>
                <w:sz w:val="18"/>
              </w:rPr>
              <w:t xml:space="preserve">F 14d; U 16c</w:t>
            </w:r>
          </w:p>
        </w:tc>
      </w:tr>
      <w:tr>
        <w:tc>
          <w:tcPr>
            <w:tcW w:w="727" w:type="dxa"/>
          </w:tcPr>
          <w:p>
            <w:pPr>
              <w:pStyle w:val="Compact"/>
              <w:spacing w:after="40"/>
              <w:jc w:val="left"/>
            </w:pPr>
            <w:r>
              <w:rPr>
                <w:sz w:val="18"/>
              </w:rPr>
              <w:t xml:space="preserve">16</w:t>
            </w:r>
          </w:p>
        </w:tc>
        <w:tc>
          <w:tcPr>
            <w:tcW w:w="3087" w:type="dxa"/>
          </w:tcPr>
          <w:p>
            <w:pPr>
              <w:pStyle w:val="Compact"/>
              <w:spacing w:after="40"/>
              <w:jc w:val="left"/>
            </w:pPr>
            <w:r>
              <w:rPr>
                <w:sz w:val="18"/>
              </w:rPr>
              <w:t xml:space="preserve">Basel Pillar 2 and 3 where applicable, all ratios, capital adequacy, ICAAP, stress tests, customisable KMP dashboards</w:t>
            </w:r>
          </w:p>
        </w:tc>
        <w:tc>
          <w:tcPr>
            <w:tcW w:w="4044" w:type="dxa"/>
          </w:tcPr>
          <w:p>
            <w:pPr>
              <w:pStyle w:val="Compact"/>
              <w:spacing w:after="40"/>
              <w:jc w:val="left"/>
            </w:pPr>
            <w:r>
              <w:rPr>
                <w:sz w:val="18"/>
              </w:rPr>
              <w:t xml:space="preserve">F 7E RK3–RK8</w:t>
            </w:r>
          </w:p>
        </w:tc>
        <w:tc>
          <w:tcPr>
            <w:tcW w:w="1780" w:type="dxa"/>
          </w:tcPr>
          <w:p>
            <w:pPr>
              <w:pStyle w:val="Compact"/>
              <w:spacing w:after="40"/>
              <w:jc w:val="left"/>
            </w:pPr>
            <w:r>
              <w:rPr>
                <w:sz w:val="18"/>
              </w:rPr>
              <w:t xml:space="preserve">F 14d</w:t>
            </w:r>
          </w:p>
        </w:tc>
      </w:tr>
      <w:tr>
        <w:tc>
          <w:tcPr>
            <w:tcW w:w="727" w:type="dxa"/>
          </w:tcPr>
          <w:p>
            <w:pPr>
              <w:pStyle w:val="Compact"/>
              <w:spacing w:after="40"/>
              <w:jc w:val="left"/>
            </w:pPr>
            <w:r>
              <w:rPr>
                <w:sz w:val="18"/>
              </w:rPr>
              <w:t xml:space="preserve">17</w:t>
            </w:r>
          </w:p>
        </w:tc>
        <w:tc>
          <w:tcPr>
            <w:tcW w:w="3087" w:type="dxa"/>
          </w:tcPr>
          <w:p>
            <w:pPr>
              <w:pStyle w:val="Compact"/>
              <w:spacing w:after="40"/>
              <w:jc w:val="left"/>
            </w:pPr>
            <w:r>
              <w:rPr>
                <w:sz w:val="18"/>
              </w:rPr>
              <w:t xml:space="preserve">Credit co-operative societies as customers, with members borrowing and repaying through Udofin</w:t>
            </w:r>
          </w:p>
        </w:tc>
        <w:tc>
          <w:tcPr>
            <w:tcW w:w="4044" w:type="dxa"/>
          </w:tcPr>
          <w:p>
            <w:pPr>
              <w:pStyle w:val="Compact"/>
              <w:spacing w:after="40"/>
              <w:jc w:val="left"/>
            </w:pPr>
            <w:r>
              <w:rPr>
                <w:sz w:val="18"/>
              </w:rPr>
              <w:t xml:space="preserve">F 7G IP1–IP2; U 7B UP4, 7E MG1, MG4; Spec member and group lending domain</w:t>
            </w:r>
          </w:p>
        </w:tc>
        <w:tc>
          <w:tcPr>
            <w:tcW w:w="1780" w:type="dxa"/>
          </w:tcPr>
          <w:p>
            <w:pPr>
              <w:pStyle w:val="Compact"/>
              <w:spacing w:after="40"/>
              <w:jc w:val="left"/>
            </w:pPr>
            <w:r>
              <w:rPr>
                <w:sz w:val="18"/>
              </w:rPr>
              <w:t xml:space="preserve">F 17c; U 18c</w:t>
            </w:r>
          </w:p>
        </w:tc>
      </w:tr>
      <w:tr>
        <w:tc>
          <w:tcPr>
            <w:tcW w:w="727" w:type="dxa"/>
          </w:tcPr>
          <w:p>
            <w:pPr>
              <w:pStyle w:val="Compact"/>
              <w:spacing w:after="40"/>
              <w:jc w:val="left"/>
            </w:pPr>
            <w:r>
              <w:rPr>
                <w:sz w:val="18"/>
              </w:rPr>
              <w:t xml:space="preserve">18</w:t>
            </w:r>
          </w:p>
        </w:tc>
        <w:tc>
          <w:tcPr>
            <w:tcW w:w="3087" w:type="dxa"/>
          </w:tcPr>
          <w:p>
            <w:pPr>
              <w:pStyle w:val="Compact"/>
              <w:spacing w:after="40"/>
              <w:jc w:val="left"/>
            </w:pPr>
            <w:r>
              <w:rPr>
                <w:sz w:val="18"/>
              </w:rPr>
              <w:t xml:space="preserve">Microfinance JLG and SHG workflow</w:t>
            </w:r>
          </w:p>
        </w:tc>
        <w:tc>
          <w:tcPr>
            <w:tcW w:w="4044" w:type="dxa"/>
          </w:tcPr>
          <w:p>
            <w:pPr>
              <w:pStyle w:val="Compact"/>
              <w:spacing w:after="40"/>
              <w:jc w:val="left"/>
            </w:pPr>
            <w:r>
              <w:rPr>
                <w:sz w:val="18"/>
              </w:rPr>
              <w:t xml:space="preserve">F 7G IP4; U 7E MG2–MG4</w:t>
            </w:r>
          </w:p>
        </w:tc>
        <w:tc>
          <w:tcPr>
            <w:tcW w:w="1780" w:type="dxa"/>
          </w:tcPr>
          <w:p>
            <w:pPr>
              <w:pStyle w:val="Compact"/>
              <w:spacing w:after="40"/>
              <w:jc w:val="left"/>
            </w:pPr>
            <w:r>
              <w:rPr>
                <w:sz w:val="18"/>
              </w:rPr>
              <w:t xml:space="preserve">F 17c; U 18c</w:t>
            </w:r>
          </w:p>
        </w:tc>
      </w:tr>
      <w:tr>
        <w:tc>
          <w:tcPr>
            <w:tcW w:w="727" w:type="dxa"/>
          </w:tcPr>
          <w:p>
            <w:pPr>
              <w:pStyle w:val="Compact"/>
              <w:spacing w:after="40"/>
              <w:jc w:val="left"/>
            </w:pPr>
            <w:r>
              <w:rPr>
                <w:sz w:val="18"/>
              </w:rPr>
              <w:t xml:space="preserve">19</w:t>
            </w:r>
          </w:p>
        </w:tc>
        <w:tc>
          <w:tcPr>
            <w:tcW w:w="3087" w:type="dxa"/>
          </w:tcPr>
          <w:p>
            <w:pPr>
              <w:pStyle w:val="Compact"/>
              <w:spacing w:after="40"/>
              <w:jc w:val="left"/>
            </w:pPr>
            <w:r>
              <w:rPr>
                <w:sz w:val="18"/>
              </w:rPr>
              <w:t xml:space="preserve">Extensible product framework (future insurance distribution: buy, pay, claim and complaint support)</w:t>
            </w:r>
          </w:p>
        </w:tc>
        <w:tc>
          <w:tcPr>
            <w:tcW w:w="4044" w:type="dxa"/>
          </w:tcPr>
          <w:p>
            <w:pPr>
              <w:pStyle w:val="Compact"/>
              <w:spacing w:after="40"/>
              <w:jc w:val="left"/>
            </w:pPr>
            <w:r>
              <w:rPr>
                <w:sz w:val="18"/>
              </w:rPr>
              <w:t xml:space="preserve">U 7F XP1–XP4; F 7K CM1.2 module registry and 7G IP1.4</w:t>
            </w:r>
          </w:p>
        </w:tc>
        <w:tc>
          <w:tcPr>
            <w:tcW w:w="1780" w:type="dxa"/>
          </w:tcPr>
          <w:p>
            <w:pPr>
              <w:pStyle w:val="Compact"/>
              <w:spacing w:after="40"/>
              <w:jc w:val="left"/>
            </w:pPr>
            <w:r>
              <w:rPr>
                <w:sz w:val="18"/>
              </w:rPr>
              <w:t xml:space="preserve">U 20c</w:t>
            </w:r>
          </w:p>
        </w:tc>
      </w:tr>
      <w:tr>
        <w:tc>
          <w:tcPr>
            <w:tcW w:w="727" w:type="dxa"/>
          </w:tcPr>
          <w:p>
            <w:pPr>
              <w:pStyle w:val="Compact"/>
              <w:spacing w:after="40"/>
              <w:jc w:val="left"/>
            </w:pPr>
            <w:r>
              <w:rPr>
                <w:sz w:val="18"/>
              </w:rPr>
              <w:t xml:space="preserve">20</w:t>
            </w:r>
          </w:p>
        </w:tc>
        <w:tc>
          <w:tcPr>
            <w:tcW w:w="3087" w:type="dxa"/>
          </w:tcPr>
          <w:p>
            <w:pPr>
              <w:pStyle w:val="Compact"/>
              <w:spacing w:after="40"/>
              <w:jc w:val="left"/>
            </w:pPr>
            <w:r>
              <w:rPr>
                <w:sz w:val="18"/>
              </w:rPr>
              <w:t xml:space="preserve">Jio Business AI, voice and customer-service integration</w:t>
            </w:r>
          </w:p>
        </w:tc>
        <w:tc>
          <w:tcPr>
            <w:tcW w:w="4044" w:type="dxa"/>
          </w:tcPr>
          <w:p>
            <w:pPr>
              <w:pStyle w:val="Compact"/>
              <w:spacing w:after="40"/>
              <w:jc w:val="left"/>
            </w:pPr>
            <w:r>
              <w:rPr>
                <w:sz w:val="18"/>
              </w:rPr>
              <w:t xml:space="preserve">F 7L EO6; U 7H RA5</w:t>
            </w:r>
          </w:p>
        </w:tc>
        <w:tc>
          <w:tcPr>
            <w:tcW w:w="1780" w:type="dxa"/>
          </w:tcPr>
          <w:p>
            <w:pPr>
              <w:pStyle w:val="Compact"/>
              <w:spacing w:after="40"/>
              <w:jc w:val="left"/>
            </w:pPr>
            <w:r>
              <w:rPr>
                <w:sz w:val="18"/>
              </w:rPr>
              <w:t xml:space="preserve">F 18b; U 20d</w:t>
            </w:r>
          </w:p>
        </w:tc>
      </w:tr>
      <w:tr>
        <w:tc>
          <w:tcPr>
            <w:tcW w:w="727" w:type="dxa"/>
          </w:tcPr>
          <w:p>
            <w:pPr>
              <w:pStyle w:val="Compact"/>
              <w:spacing w:after="40"/>
              <w:jc w:val="left"/>
            </w:pPr>
            <w:r>
              <w:rPr>
                <w:sz w:val="18"/>
              </w:rPr>
              <w:t xml:space="preserve">21</w:t>
            </w:r>
          </w:p>
        </w:tc>
        <w:tc>
          <w:tcPr>
            <w:tcW w:w="3087" w:type="dxa"/>
          </w:tcPr>
          <w:p>
            <w:pPr>
              <w:pStyle w:val="Compact"/>
              <w:spacing w:after="40"/>
              <w:jc w:val="left"/>
            </w:pPr>
            <w:r>
              <w:rPr>
                <w:sz w:val="18"/>
              </w:rPr>
              <w:t xml:space="preserve">Investment module (equities, AIFs, REITs and InvITs, arbitrage, IPOs, caps, SEBI and RBI rules, accounting) offerable to AIFs</w:t>
            </w:r>
          </w:p>
        </w:tc>
        <w:tc>
          <w:tcPr>
            <w:tcW w:w="4044" w:type="dxa"/>
          </w:tcPr>
          <w:p>
            <w:pPr>
              <w:pStyle w:val="Compact"/>
              <w:spacing w:after="40"/>
              <w:jc w:val="left"/>
            </w:pPr>
            <w:r>
              <w:rPr>
                <w:sz w:val="18"/>
              </w:rPr>
              <w:t xml:space="preserve">F 7H IV1–IV6</w:t>
            </w:r>
          </w:p>
        </w:tc>
        <w:tc>
          <w:tcPr>
            <w:tcW w:w="1780" w:type="dxa"/>
          </w:tcPr>
          <w:p>
            <w:pPr>
              <w:pStyle w:val="Compact"/>
              <w:spacing w:after="40"/>
              <w:jc w:val="left"/>
            </w:pPr>
            <w:r>
              <w:rPr>
                <w:sz w:val="18"/>
              </w:rPr>
              <w:t xml:space="preserve">F 17d</w:t>
            </w:r>
          </w:p>
        </w:tc>
      </w:tr>
      <w:tr>
        <w:tc>
          <w:tcPr>
            <w:tcW w:w="727" w:type="dxa"/>
          </w:tcPr>
          <w:p>
            <w:pPr>
              <w:pStyle w:val="Compact"/>
              <w:spacing w:after="40"/>
              <w:jc w:val="left"/>
            </w:pPr>
            <w:r>
              <w:rPr>
                <w:sz w:val="18"/>
              </w:rPr>
              <w:t xml:space="preserve">22</w:t>
            </w:r>
          </w:p>
        </w:tc>
        <w:tc>
          <w:tcPr>
            <w:tcW w:w="3087" w:type="dxa"/>
          </w:tcPr>
          <w:p>
            <w:pPr>
              <w:pStyle w:val="Compact"/>
              <w:spacing w:after="40"/>
              <w:jc w:val="left"/>
            </w:pPr>
            <w:r>
              <w:rPr>
                <w:sz w:val="18"/>
              </w:rPr>
              <w:t xml:space="preserve">ARCs as customers; NBFCs in the stressed-asset domain without issuing SRs</w:t>
            </w:r>
          </w:p>
        </w:tc>
        <w:tc>
          <w:tcPr>
            <w:tcW w:w="4044" w:type="dxa"/>
          </w:tcPr>
          <w:p>
            <w:pPr>
              <w:pStyle w:val="Compact"/>
              <w:spacing w:after="40"/>
              <w:jc w:val="left"/>
            </w:pPr>
            <w:r>
              <w:rPr>
                <w:sz w:val="18"/>
              </w:rPr>
              <w:t xml:space="preserve">F 7G IP5; F 7H IV4.5</w:t>
            </w:r>
          </w:p>
        </w:tc>
        <w:tc>
          <w:tcPr>
            <w:tcW w:w="1780" w:type="dxa"/>
          </w:tcPr>
          <w:p>
            <w:pPr>
              <w:pStyle w:val="Compact"/>
              <w:spacing w:after="40"/>
              <w:jc w:val="left"/>
            </w:pPr>
            <w:r>
              <w:rPr>
                <w:sz w:val="18"/>
              </w:rPr>
              <w:t xml:space="preserve">F 17d</w:t>
            </w:r>
          </w:p>
        </w:tc>
      </w:tr>
      <w:tr>
        <w:tc>
          <w:tcPr>
            <w:tcW w:w="727" w:type="dxa"/>
          </w:tcPr>
          <w:p>
            <w:pPr>
              <w:pStyle w:val="Compact"/>
              <w:spacing w:after="40"/>
              <w:jc w:val="left"/>
            </w:pPr>
            <w:r>
              <w:rPr>
                <w:sz w:val="18"/>
              </w:rPr>
              <w:t xml:space="preserve">23</w:t>
            </w:r>
          </w:p>
        </w:tc>
        <w:tc>
          <w:tcPr>
            <w:tcW w:w="3087" w:type="dxa"/>
          </w:tcPr>
          <w:p>
            <w:pPr>
              <w:pStyle w:val="Compact"/>
              <w:spacing w:after="40"/>
              <w:jc w:val="left"/>
            </w:pPr>
            <w:r>
              <w:rPr>
                <w:sz w:val="18"/>
              </w:rPr>
              <w:t xml:space="preserve">Listed-company functions (LODR, PIT)</w:t>
            </w:r>
          </w:p>
        </w:tc>
        <w:tc>
          <w:tcPr>
            <w:tcW w:w="4044" w:type="dxa"/>
          </w:tcPr>
          <w:p>
            <w:pPr>
              <w:pStyle w:val="Compact"/>
              <w:spacing w:after="40"/>
              <w:jc w:val="left"/>
            </w:pPr>
            <w:r>
              <w:rPr>
                <w:sz w:val="18"/>
              </w:rPr>
              <w:t xml:space="preserve">F 7F GV4; F 7H restricted list</w:t>
            </w:r>
          </w:p>
        </w:tc>
        <w:tc>
          <w:tcPr>
            <w:tcW w:w="1780" w:type="dxa"/>
          </w:tcPr>
          <w:p>
            <w:pPr>
              <w:pStyle w:val="Compact"/>
              <w:spacing w:after="40"/>
              <w:jc w:val="left"/>
            </w:pPr>
            <w:r>
              <w:rPr>
                <w:sz w:val="18"/>
              </w:rPr>
              <w:t xml:space="preserve">F 16d</w:t>
            </w:r>
          </w:p>
        </w:tc>
      </w:tr>
      <w:tr>
        <w:tc>
          <w:tcPr>
            <w:tcW w:w="727" w:type="dxa"/>
          </w:tcPr>
          <w:p>
            <w:pPr>
              <w:pStyle w:val="Compact"/>
              <w:spacing w:after="40"/>
              <w:jc w:val="left"/>
            </w:pPr>
            <w:r>
              <w:rPr>
                <w:sz w:val="18"/>
              </w:rPr>
              <w:t xml:space="preserve">24</w:t>
            </w:r>
          </w:p>
        </w:tc>
        <w:tc>
          <w:tcPr>
            <w:tcW w:w="3087" w:type="dxa"/>
          </w:tcPr>
          <w:p>
            <w:pPr>
              <w:pStyle w:val="Compact"/>
              <w:spacing w:after="40"/>
              <w:jc w:val="left"/>
            </w:pPr>
            <w:r>
              <w:rPr>
                <w:sz w:val="18"/>
              </w:rPr>
              <w:t xml:space="preserve">Securitisation to SPVs with the NBFC as servicer and lawful recycling; loan transfers; co-lending (co-operatives cannot co-lend)</w:t>
            </w:r>
          </w:p>
        </w:tc>
        <w:tc>
          <w:tcPr>
            <w:tcW w:w="4044" w:type="dxa"/>
          </w:tcPr>
          <w:p>
            <w:pPr>
              <w:pStyle w:val="Compact"/>
              <w:spacing w:after="40"/>
              <w:jc w:val="left"/>
            </w:pPr>
            <w:r>
              <w:rPr>
                <w:sz w:val="18"/>
              </w:rPr>
              <w:t xml:space="preserve">F 7H IV7; F 7G IP2.13; M11 pointer</w:t>
            </w:r>
          </w:p>
        </w:tc>
        <w:tc>
          <w:tcPr>
            <w:tcW w:w="1780" w:type="dxa"/>
          </w:tcPr>
          <w:p>
            <w:pPr>
              <w:pStyle w:val="Compact"/>
              <w:spacing w:after="40"/>
              <w:jc w:val="left"/>
            </w:pPr>
            <w:r>
              <w:rPr>
                <w:sz w:val="18"/>
              </w:rPr>
              <w:t xml:space="preserve">F 16 (base), 17d</w:t>
            </w:r>
          </w:p>
        </w:tc>
      </w:tr>
      <w:tr>
        <w:tc>
          <w:tcPr>
            <w:tcW w:w="727" w:type="dxa"/>
          </w:tcPr>
          <w:p>
            <w:pPr>
              <w:pStyle w:val="Compact"/>
              <w:spacing w:after="40"/>
              <w:jc w:val="left"/>
            </w:pPr>
            <w:r>
              <w:rPr>
                <w:sz w:val="18"/>
              </w:rPr>
              <w:t xml:space="preserve">25</w:t>
            </w:r>
          </w:p>
        </w:tc>
        <w:tc>
          <w:tcPr>
            <w:tcW w:w="3087" w:type="dxa"/>
          </w:tcPr>
          <w:p>
            <w:pPr>
              <w:pStyle w:val="Compact"/>
              <w:spacing w:after="40"/>
              <w:jc w:val="left"/>
            </w:pPr>
            <w:r>
              <w:rPr>
                <w:sz w:val="18"/>
              </w:rPr>
              <w:t xml:space="preserve">Full audit trail</w:t>
            </w:r>
          </w:p>
        </w:tc>
        <w:tc>
          <w:tcPr>
            <w:tcW w:w="4044" w:type="dxa"/>
          </w:tcPr>
          <w:p>
            <w:pPr>
              <w:pStyle w:val="Compact"/>
              <w:spacing w:after="40"/>
              <w:jc w:val="left"/>
            </w:pPr>
            <w:r>
              <w:rPr>
                <w:sz w:val="18"/>
              </w:rPr>
              <w:t xml:space="preserve">F 7C AC7 (Rule 11(g), daily India backup); M19 audit trail; F 7D AU2.4; F 7L EO1</w:t>
            </w:r>
          </w:p>
        </w:tc>
        <w:tc>
          <w:tcPr>
            <w:tcW w:w="1780" w:type="dxa"/>
          </w:tcPr>
          <w:p>
            <w:pPr>
              <w:pStyle w:val="Compact"/>
              <w:spacing w:after="40"/>
              <w:jc w:val="left"/>
            </w:pPr>
            <w:r>
              <w:rPr>
                <w:sz w:val="18"/>
              </w:rPr>
              <w:t xml:space="preserve">F 13b, 16c, 20b</w:t>
            </w:r>
          </w:p>
        </w:tc>
      </w:tr>
      <w:tr>
        <w:tc>
          <w:tcPr>
            <w:tcW w:w="727" w:type="dxa"/>
          </w:tcPr>
          <w:p>
            <w:pPr>
              <w:pStyle w:val="Compact"/>
              <w:spacing w:after="40"/>
              <w:jc w:val="left"/>
            </w:pPr>
            <w:r>
              <w:rPr>
                <w:sz w:val="18"/>
              </w:rPr>
              <w:t xml:space="preserve">26</w:t>
            </w:r>
          </w:p>
        </w:tc>
        <w:tc>
          <w:tcPr>
            <w:tcW w:w="3087" w:type="dxa"/>
          </w:tcPr>
          <w:p>
            <w:pPr>
              <w:pStyle w:val="Compact"/>
              <w:spacing w:after="40"/>
              <w:jc w:val="left"/>
            </w:pPr>
            <w:r>
              <w:rPr>
                <w:sz w:val="18"/>
              </w:rPr>
              <w:t xml:space="preserve">More phases</w:t>
            </w:r>
          </w:p>
        </w:tc>
        <w:tc>
          <w:tcPr>
            <w:tcW w:w="4044" w:type="dxa"/>
          </w:tcPr>
          <w:p>
            <w:pPr>
              <w:pStyle w:val="Compact"/>
              <w:spacing w:after="40"/>
              <w:jc w:val="left"/>
            </w:pPr>
            <w:r>
              <w:rPr>
                <w:sz w:val="18"/>
              </w:rPr>
              <w:t xml:space="preserve">F Part 12 (12 new phases); U 8 new phases; OH O0–O13 and OP</w:t>
            </w:r>
          </w:p>
        </w:tc>
        <w:tc>
          <w:tcPr>
            <w:tcW w:w="1780" w:type="dxa"/>
          </w:tcPr>
          <w:p>
            <w:pPr>
              <w:pStyle w:val="Compact"/>
              <w:spacing w:after="40"/>
              <w:jc w:val="left"/>
            </w:pPr>
            <w:r>
              <w:rPr>
                <w:sz w:val="18"/>
              </w:rPr>
              <w:t xml:space="preserve">All</w:t>
            </w:r>
          </w:p>
        </w:tc>
      </w:tr>
      <w:tr>
        <w:tc>
          <w:tcPr>
            <w:tcW w:w="727" w:type="dxa"/>
          </w:tcPr>
          <w:p>
            <w:pPr>
              <w:pStyle w:val="Compact"/>
              <w:spacing w:after="40"/>
              <w:jc w:val="left"/>
            </w:pPr>
            <w:r>
              <w:rPr>
                <w:sz w:val="18"/>
              </w:rPr>
              <w:t xml:space="preserve">27</w:t>
            </w:r>
          </w:p>
        </w:tc>
        <w:tc>
          <w:tcPr>
            <w:tcW w:w="3087" w:type="dxa"/>
          </w:tcPr>
          <w:p>
            <w:pPr>
              <w:pStyle w:val="Compact"/>
              <w:spacing w:after="40"/>
              <w:jc w:val="left"/>
            </w:pPr>
            <w:r>
              <w:rPr>
                <w:sz w:val="18"/>
              </w:rPr>
              <w:t xml:space="preserve">Udofin users download their own documents and data</w:t>
            </w:r>
          </w:p>
        </w:tc>
        <w:tc>
          <w:tcPr>
            <w:tcW w:w="4044" w:type="dxa"/>
          </w:tcPr>
          <w:p>
            <w:pPr>
              <w:pStyle w:val="Compact"/>
              <w:spacing w:after="40"/>
              <w:jc w:val="left"/>
            </w:pPr>
            <w:r>
              <w:rPr>
                <w:sz w:val="18"/>
              </w:rPr>
              <w:t xml:space="preserve">U 7C UB1</w:t>
            </w:r>
          </w:p>
        </w:tc>
        <w:tc>
          <w:tcPr>
            <w:tcW w:w="1780" w:type="dxa"/>
          </w:tcPr>
          <w:p>
            <w:pPr>
              <w:pStyle w:val="Compact"/>
              <w:spacing w:after="40"/>
              <w:jc w:val="left"/>
            </w:pPr>
            <w:r>
              <w:rPr>
                <w:sz w:val="18"/>
              </w:rPr>
              <w:t xml:space="preserve">U 11b</w:t>
            </w:r>
          </w:p>
        </w:tc>
      </w:tr>
      <w:tr>
        <w:tc>
          <w:tcPr>
            <w:tcW w:w="727" w:type="dxa"/>
          </w:tcPr>
          <w:p>
            <w:pPr>
              <w:pStyle w:val="Compact"/>
              <w:spacing w:after="40"/>
              <w:jc w:val="left"/>
            </w:pPr>
            <w:r>
              <w:rPr>
                <w:sz w:val="18"/>
              </w:rPr>
              <w:t xml:space="preserve">28</w:t>
            </w:r>
          </w:p>
        </w:tc>
        <w:tc>
          <w:tcPr>
            <w:tcW w:w="3087" w:type="dxa"/>
          </w:tcPr>
          <w:p>
            <w:pPr>
              <w:pStyle w:val="Compact"/>
              <w:spacing w:after="40"/>
              <w:jc w:val="left"/>
            </w:pPr>
            <w:r>
              <w:rPr>
                <w:sz w:val="18"/>
              </w:rPr>
              <w:t xml:space="preserve">NBFC partnership onboarding on Udofin, customisable per deal, with RE audit exports</w:t>
            </w:r>
          </w:p>
        </w:tc>
        <w:tc>
          <w:tcPr>
            <w:tcW w:w="4044" w:type="dxa"/>
          </w:tcPr>
          <w:p>
            <w:pPr>
              <w:pStyle w:val="Compact"/>
              <w:spacing w:after="40"/>
              <w:jc w:val="left"/>
            </w:pPr>
            <w:r>
              <w:rPr>
                <w:sz w:val="18"/>
              </w:rPr>
              <w:t xml:space="preserve">U 7B UP1–UP3, UP5; F LSP register consumes</w:t>
            </w:r>
            <w:r>
              <w:rPr>
                <w:sz w:val="18"/>
              </w:rPr>
              <w:t xml:space="preserve"> </w:t>
            </w:r>
            <w:r>
              <w:rPr>
                <w:rStyle w:val="VerbatimChar"/>
                <w:sz w:val="18"/>
              </w:rPr>
              <w:t xml:space="preserve">LenderDeal*</w:t>
            </w:r>
            <w:r>
              <w:rPr>
                <w:sz w:val="18"/>
              </w:rPr>
              <w:t xml:space="preserve"> </w:t>
            </w:r>
            <w:r>
              <w:rPr>
                <w:sz w:val="18"/>
              </w:rPr>
              <w:t xml:space="preserve">events (Spec)</w:t>
            </w:r>
          </w:p>
        </w:tc>
        <w:tc>
          <w:tcPr>
            <w:tcW w:w="1780" w:type="dxa"/>
          </w:tcPr>
          <w:p>
            <w:pPr>
              <w:pStyle w:val="Compact"/>
              <w:spacing w:after="40"/>
              <w:jc w:val="left"/>
            </w:pPr>
            <w:r>
              <w:rPr>
                <w:sz w:val="18"/>
              </w:rPr>
              <w:t xml:space="preserve">U 3c</w:t>
            </w:r>
          </w:p>
        </w:tc>
      </w:tr>
      <w:tr>
        <w:tc>
          <w:tcPr>
            <w:tcW w:w="727" w:type="dxa"/>
          </w:tcPr>
          <w:p>
            <w:pPr>
              <w:pStyle w:val="Compact"/>
              <w:spacing w:after="40"/>
              <w:jc w:val="left"/>
            </w:pPr>
            <w:r>
              <w:rPr>
                <w:sz w:val="18"/>
              </w:rPr>
              <w:t xml:space="preserve">29</w:t>
            </w:r>
          </w:p>
        </w:tc>
        <w:tc>
          <w:tcPr>
            <w:tcW w:w="3087" w:type="dxa"/>
          </w:tcPr>
          <w:p>
            <w:pPr>
              <w:pStyle w:val="Compact"/>
              <w:spacing w:after="40"/>
              <w:jc w:val="left"/>
            </w:pPr>
            <w:r>
              <w:rPr>
                <w:sz w:val="18"/>
              </w:rPr>
              <w:t xml:space="preserve">IFSCA Finance Companies and Finance Units</w:t>
            </w:r>
          </w:p>
        </w:tc>
        <w:tc>
          <w:tcPr>
            <w:tcW w:w="4044" w:type="dxa"/>
          </w:tcPr>
          <w:p>
            <w:pPr>
              <w:pStyle w:val="Compact"/>
              <w:spacing w:after="40"/>
              <w:jc w:val="left"/>
            </w:pPr>
            <w:r>
              <w:rPr>
                <w:sz w:val="18"/>
              </w:rPr>
              <w:t xml:space="preserve">F 7G IP6; F 7B RR4.5; F 7C AC1</w:t>
            </w:r>
          </w:p>
        </w:tc>
        <w:tc>
          <w:tcPr>
            <w:tcW w:w="1780" w:type="dxa"/>
          </w:tcPr>
          <w:p>
            <w:pPr>
              <w:pStyle w:val="Compact"/>
              <w:spacing w:after="40"/>
              <w:jc w:val="left"/>
            </w:pPr>
            <w:r>
              <w:rPr>
                <w:sz w:val="18"/>
              </w:rPr>
              <w:t xml:space="preserve">F 17d</w:t>
            </w:r>
          </w:p>
        </w:tc>
      </w:tr>
      <w:tr>
        <w:tc>
          <w:tcPr>
            <w:tcW w:w="727" w:type="dxa"/>
          </w:tcPr>
          <w:p>
            <w:pPr>
              <w:pStyle w:val="Compact"/>
              <w:spacing w:after="40"/>
              <w:jc w:val="left"/>
            </w:pPr>
            <w:r>
              <w:rPr>
                <w:sz w:val="18"/>
              </w:rPr>
              <w:t xml:space="preserve">30</w:t>
            </w:r>
          </w:p>
        </w:tc>
        <w:tc>
          <w:tcPr>
            <w:tcW w:w="3087" w:type="dxa"/>
          </w:tcPr>
          <w:p>
            <w:pPr>
              <w:pStyle w:val="Compact"/>
              <w:spacing w:after="40"/>
              <w:jc w:val="left"/>
            </w:pPr>
            <w:r>
              <w:rPr>
                <w:sz w:val="18"/>
              </w:rPr>
              <w:t xml:space="preserve">GST data exports for financial companies (Tally Prime kept); borrower tax features on Udofin</w:t>
            </w:r>
          </w:p>
        </w:tc>
        <w:tc>
          <w:tcPr>
            <w:tcW w:w="4044" w:type="dxa"/>
          </w:tcPr>
          <w:p>
            <w:pPr>
              <w:pStyle w:val="Compact"/>
              <w:spacing w:after="40"/>
              <w:jc w:val="left"/>
            </w:pPr>
            <w:r>
              <w:rPr>
                <w:sz w:val="18"/>
              </w:rPr>
              <w:t xml:space="preserve">F 7C AC4, AC6; U 7C UB2</w:t>
            </w:r>
          </w:p>
        </w:tc>
        <w:tc>
          <w:tcPr>
            <w:tcW w:w="1780" w:type="dxa"/>
          </w:tcPr>
          <w:p>
            <w:pPr>
              <w:pStyle w:val="Compact"/>
              <w:spacing w:after="40"/>
              <w:jc w:val="left"/>
            </w:pPr>
            <w:r>
              <w:rPr>
                <w:sz w:val="18"/>
              </w:rPr>
              <w:t xml:space="preserve">F 13b; U 11b</w:t>
            </w:r>
          </w:p>
        </w:tc>
      </w:tr>
      <w:tr>
        <w:tc>
          <w:tcPr>
            <w:tcW w:w="727" w:type="dxa"/>
          </w:tcPr>
          <w:p>
            <w:pPr>
              <w:pStyle w:val="Compact"/>
              <w:spacing w:after="40"/>
              <w:jc w:val="left"/>
            </w:pPr>
            <w:r>
              <w:rPr>
                <w:sz w:val="18"/>
              </w:rPr>
              <w:t xml:space="preserve">31</w:t>
            </w:r>
          </w:p>
        </w:tc>
        <w:tc>
          <w:tcPr>
            <w:tcW w:w="3087" w:type="dxa"/>
          </w:tcPr>
          <w:p>
            <w:pPr>
              <w:pStyle w:val="Compact"/>
              <w:spacing w:after="40"/>
              <w:jc w:val="left"/>
            </w:pPr>
            <w:r>
              <w:rPr>
                <w:sz w:val="18"/>
              </w:rPr>
              <w:t xml:space="preserve">Credit-score tracking and simulator on Udofin</w:t>
            </w:r>
          </w:p>
        </w:tc>
        <w:tc>
          <w:tcPr>
            <w:tcW w:w="4044" w:type="dxa"/>
          </w:tcPr>
          <w:p>
            <w:pPr>
              <w:pStyle w:val="Compact"/>
              <w:spacing w:after="40"/>
              <w:jc w:val="left"/>
            </w:pPr>
            <w:r>
              <w:rPr>
                <w:sz w:val="18"/>
              </w:rPr>
              <w:t xml:space="preserve">U 7D FW1, FW2, FW4</w:t>
            </w:r>
          </w:p>
        </w:tc>
        <w:tc>
          <w:tcPr>
            <w:tcW w:w="1780" w:type="dxa"/>
          </w:tcPr>
          <w:p>
            <w:pPr>
              <w:pStyle w:val="Compact"/>
              <w:spacing w:after="40"/>
              <w:jc w:val="left"/>
            </w:pPr>
            <w:r>
              <w:rPr>
                <w:sz w:val="18"/>
              </w:rPr>
              <w:t xml:space="preserve">U 20b</w:t>
            </w:r>
          </w:p>
        </w:tc>
      </w:tr>
      <w:tr>
        <w:tc>
          <w:tcPr>
            <w:tcW w:w="727" w:type="dxa"/>
          </w:tcPr>
          <w:p>
            <w:pPr>
              <w:pStyle w:val="Compact"/>
              <w:spacing w:after="40"/>
              <w:jc w:val="left"/>
            </w:pPr>
            <w:r>
              <w:rPr>
                <w:sz w:val="18"/>
              </w:rPr>
              <w:t xml:space="preserve">32</w:t>
            </w:r>
          </w:p>
        </w:tc>
        <w:tc>
          <w:tcPr>
            <w:tcW w:w="3087" w:type="dxa"/>
          </w:tcPr>
          <w:p>
            <w:pPr>
              <w:pStyle w:val="Compact"/>
              <w:spacing w:after="40"/>
              <w:jc w:val="left"/>
            </w:pPr>
            <w:r>
              <w:rPr>
                <w:sz w:val="18"/>
              </w:rPr>
              <w:t xml:space="preserve">Expense tracker and budget planner on Udofin</w:t>
            </w:r>
          </w:p>
        </w:tc>
        <w:tc>
          <w:tcPr>
            <w:tcW w:w="4044" w:type="dxa"/>
          </w:tcPr>
          <w:p>
            <w:pPr>
              <w:pStyle w:val="Compact"/>
              <w:spacing w:after="40"/>
              <w:jc w:val="left"/>
            </w:pPr>
            <w:r>
              <w:rPr>
                <w:sz w:val="18"/>
              </w:rPr>
              <w:t xml:space="preserve">U 7D FW3, FW4</w:t>
            </w:r>
          </w:p>
        </w:tc>
        <w:tc>
          <w:tcPr>
            <w:tcW w:w="1780" w:type="dxa"/>
          </w:tcPr>
          <w:p>
            <w:pPr>
              <w:pStyle w:val="Compact"/>
              <w:spacing w:after="40"/>
              <w:jc w:val="left"/>
            </w:pPr>
            <w:r>
              <w:rPr>
                <w:sz w:val="18"/>
              </w:rPr>
              <w:t xml:space="preserve">U 20b</w:t>
            </w:r>
          </w:p>
        </w:tc>
      </w:tr>
      <w:tr>
        <w:tc>
          <w:tcPr>
            <w:tcW w:w="727" w:type="dxa"/>
          </w:tcPr>
          <w:p>
            <w:pPr>
              <w:pStyle w:val="Compact"/>
              <w:spacing w:after="40"/>
              <w:jc w:val="left"/>
            </w:pPr>
            <w:r>
              <w:rPr>
                <w:sz w:val="18"/>
              </w:rPr>
              <w:t xml:space="preserve">33</w:t>
            </w:r>
          </w:p>
        </w:tc>
        <w:tc>
          <w:tcPr>
            <w:tcW w:w="3087" w:type="dxa"/>
          </w:tcPr>
          <w:p>
            <w:pPr>
              <w:pStyle w:val="Compact"/>
              <w:spacing w:after="40"/>
              <w:jc w:val="left"/>
            </w:pPr>
            <w:r>
              <w:rPr>
                <w:sz w:val="18"/>
              </w:rPr>
              <w:t xml:space="preserve">Grievance escalation chain from the help section of the RE, Finbyx or Udofin, with track, escalate, download case pack, reopen and rate</w:t>
            </w:r>
          </w:p>
        </w:tc>
        <w:tc>
          <w:tcPr>
            <w:tcW w:w="4044" w:type="dxa"/>
          </w:tcPr>
          <w:p>
            <w:pPr>
              <w:pStyle w:val="Compact"/>
              <w:spacing w:after="40"/>
              <w:jc w:val="left"/>
            </w:pPr>
            <w:r>
              <w:rPr>
                <w:sz w:val="18"/>
              </w:rPr>
              <w:t xml:space="preserve">U 7C UB3–UB4; F M15 (v1.5 events); Spec grievance additions</w:t>
            </w:r>
          </w:p>
        </w:tc>
        <w:tc>
          <w:tcPr>
            <w:tcW w:w="1780" w:type="dxa"/>
          </w:tcPr>
          <w:p>
            <w:pPr>
              <w:pStyle w:val="Compact"/>
              <w:spacing w:after="40"/>
              <w:jc w:val="left"/>
            </w:pPr>
            <w:r>
              <w:rPr>
                <w:sz w:val="18"/>
              </w:rPr>
              <w:t xml:space="preserve">U 14b; F 15</w:t>
            </w:r>
          </w:p>
        </w:tc>
      </w:tr>
      <w:tr>
        <w:tc>
          <w:tcPr>
            <w:tcW w:w="727" w:type="dxa"/>
          </w:tcPr>
          <w:p>
            <w:pPr>
              <w:pStyle w:val="Compact"/>
              <w:spacing w:after="40"/>
              <w:jc w:val="left"/>
            </w:pPr>
            <w:r>
              <w:rPr>
                <w:sz w:val="18"/>
              </w:rPr>
              <w:t xml:space="preserve">34</w:t>
            </w:r>
          </w:p>
        </w:tc>
        <w:tc>
          <w:tcPr>
            <w:tcW w:w="3087" w:type="dxa"/>
          </w:tcPr>
          <w:p>
            <w:pPr>
              <w:pStyle w:val="Compact"/>
              <w:spacing w:after="40"/>
              <w:jc w:val="left"/>
            </w:pPr>
            <w:r>
              <w:rPr>
                <w:sz w:val="18"/>
              </w:rPr>
              <w:t xml:space="preserve">Full data download for NBFCs and co-operative societies with own-server backups</w:t>
            </w:r>
          </w:p>
        </w:tc>
        <w:tc>
          <w:tcPr>
            <w:tcW w:w="4044" w:type="dxa"/>
          </w:tcPr>
          <w:p>
            <w:pPr>
              <w:pStyle w:val="Compact"/>
              <w:spacing w:after="40"/>
              <w:jc w:val="left"/>
            </w:pPr>
            <w:r>
              <w:rPr>
                <w:sz w:val="18"/>
              </w:rPr>
              <w:t xml:space="preserve">F 7J DP2–DP5</w:t>
            </w:r>
          </w:p>
        </w:tc>
        <w:tc>
          <w:tcPr>
            <w:tcW w:w="1780" w:type="dxa"/>
          </w:tcPr>
          <w:p>
            <w:pPr>
              <w:pStyle w:val="Compact"/>
              <w:spacing w:after="40"/>
              <w:jc w:val="left"/>
            </w:pPr>
            <w:r>
              <w:rPr>
                <w:sz w:val="18"/>
              </w:rPr>
              <w:t xml:space="preserve">F 15b</w:t>
            </w:r>
          </w:p>
        </w:tc>
      </w:tr>
      <w:tr>
        <w:tc>
          <w:tcPr>
            <w:tcW w:w="727" w:type="dxa"/>
          </w:tcPr>
          <w:p>
            <w:pPr>
              <w:pStyle w:val="Compact"/>
              <w:spacing w:after="40"/>
              <w:jc w:val="left"/>
            </w:pPr>
            <w:r>
              <w:rPr>
                <w:sz w:val="18"/>
              </w:rPr>
              <w:t xml:space="preserve">35</w:t>
            </w:r>
          </w:p>
        </w:tc>
        <w:tc>
          <w:tcPr>
            <w:tcW w:w="3087" w:type="dxa"/>
          </w:tcPr>
          <w:p>
            <w:pPr>
              <w:pStyle w:val="Compact"/>
              <w:spacing w:after="40"/>
              <w:jc w:val="left"/>
            </w:pPr>
            <w:r>
              <w:rPr>
                <w:sz w:val="18"/>
              </w:rPr>
              <w:t xml:space="preserve">Same as request 5</w:t>
            </w:r>
          </w:p>
        </w:tc>
        <w:tc>
          <w:tcPr>
            <w:tcW w:w="4044" w:type="dxa"/>
          </w:tcPr>
          <w:p>
            <w:pPr>
              <w:pStyle w:val="Compact"/>
              <w:spacing w:after="40"/>
              <w:jc w:val="left"/>
            </w:pPr>
            <w:r>
              <w:rPr>
                <w:sz w:val="18"/>
              </w:rPr>
              <w:t xml:space="preserve">See request 5</w:t>
            </w:r>
          </w:p>
        </w:tc>
        <w:tc>
          <w:tcPr>
            <w:tcW w:w="1780" w:type="dxa"/>
          </w:tcPr>
          <w:p>
            <w:pPr>
              <w:pStyle w:val="Compact"/>
              <w:spacing w:after="40"/>
              <w:jc w:val="left"/>
            </w:pPr>
            <w:r>
              <w:rPr>
                <w:sz w:val="18"/>
              </w:rPr>
              <w:t xml:space="preserve">—</w:t>
            </w:r>
          </w:p>
        </w:tc>
      </w:tr>
      <w:tr>
        <w:tc>
          <w:tcPr>
            <w:tcW w:w="727" w:type="dxa"/>
          </w:tcPr>
          <w:p>
            <w:pPr>
              <w:pStyle w:val="Compact"/>
              <w:spacing w:after="40"/>
              <w:jc w:val="left"/>
            </w:pPr>
            <w:r>
              <w:rPr>
                <w:sz w:val="18"/>
              </w:rPr>
              <w:t xml:space="preserve">36</w:t>
            </w:r>
          </w:p>
        </w:tc>
        <w:tc>
          <w:tcPr>
            <w:tcW w:w="3087" w:type="dxa"/>
          </w:tcPr>
          <w:p>
            <w:pPr>
              <w:pStyle w:val="Compact"/>
              <w:spacing w:after="40"/>
              <w:jc w:val="left"/>
            </w:pPr>
            <w:r>
              <w:rPr>
                <w:sz w:val="18"/>
              </w:rPr>
              <w:t xml:space="preserve">PCI DSS, SOC 2 Type 1 and Type 2 and ISO readiness (policies later)</w:t>
            </w:r>
          </w:p>
        </w:tc>
        <w:tc>
          <w:tcPr>
            <w:tcW w:w="4044" w:type="dxa"/>
          </w:tcPr>
          <w:p>
            <w:pPr>
              <w:pStyle w:val="Compact"/>
              <w:spacing w:after="40"/>
              <w:jc w:val="left"/>
            </w:pPr>
            <w:r>
              <w:rPr>
                <w:sz w:val="18"/>
              </w:rPr>
              <w:t xml:space="preserve">F 7L EO5; F Part 10.6 item 12; OH14; U 7H RA4</w:t>
            </w:r>
          </w:p>
        </w:tc>
        <w:tc>
          <w:tcPr>
            <w:tcW w:w="1780" w:type="dxa"/>
          </w:tcPr>
          <w:p>
            <w:pPr>
              <w:pStyle w:val="Compact"/>
              <w:spacing w:after="40"/>
              <w:jc w:val="left"/>
            </w:pPr>
            <w:r>
              <w:rPr>
                <w:sz w:val="18"/>
              </w:rPr>
              <w:t xml:space="preserve">F 20b; OH O12; U 16c</w:t>
            </w:r>
          </w:p>
        </w:tc>
      </w:tr>
      <w:tr>
        <w:tc>
          <w:tcPr>
            <w:tcW w:w="727" w:type="dxa"/>
          </w:tcPr>
          <w:p>
            <w:pPr>
              <w:pStyle w:val="Compact"/>
              <w:spacing w:after="40"/>
              <w:jc w:val="left"/>
            </w:pPr>
            <w:r>
              <w:rPr>
                <w:sz w:val="18"/>
              </w:rPr>
              <w:t xml:space="preserve">37</w:t>
            </w:r>
          </w:p>
        </w:tc>
        <w:tc>
          <w:tcPr>
            <w:tcW w:w="3087" w:type="dxa"/>
          </w:tcPr>
          <w:p>
            <w:pPr>
              <w:pStyle w:val="Compact"/>
              <w:spacing w:after="40"/>
              <w:jc w:val="left"/>
            </w:pPr>
            <w:r>
              <w:rPr>
                <w:sz w:val="18"/>
              </w:rPr>
              <w:t xml:space="preserve">Recurring-revenue architecture with user-facing plan explanations</w:t>
            </w:r>
          </w:p>
        </w:tc>
        <w:tc>
          <w:tcPr>
            <w:tcW w:w="4044" w:type="dxa"/>
          </w:tcPr>
          <w:p>
            <w:pPr>
              <w:pStyle w:val="Compact"/>
              <w:spacing w:after="40"/>
              <w:jc w:val="left"/>
            </w:pPr>
            <w:r>
              <w:rPr>
                <w:sz w:val="18"/>
              </w:rPr>
              <w:t xml:space="preserve">F 7K CM2–CM3, CM5; U 7G RV2; OH8</w:t>
            </w:r>
          </w:p>
        </w:tc>
        <w:tc>
          <w:tcPr>
            <w:tcW w:w="1780" w:type="dxa"/>
          </w:tcPr>
          <w:p>
            <w:pPr>
              <w:pStyle w:val="Compact"/>
              <w:spacing w:after="40"/>
              <w:jc w:val="left"/>
            </w:pPr>
            <w:r>
              <w:rPr>
                <w:sz w:val="18"/>
              </w:rPr>
              <w:t xml:space="preserve">F 16e; U 20b; OH O6</w:t>
            </w:r>
          </w:p>
        </w:tc>
      </w:tr>
      <w:tr>
        <w:tc>
          <w:tcPr>
            <w:tcW w:w="727" w:type="dxa"/>
          </w:tcPr>
          <w:p>
            <w:pPr>
              <w:pStyle w:val="Compact"/>
              <w:spacing w:after="40"/>
              <w:jc w:val="left"/>
            </w:pPr>
            <w:r>
              <w:rPr>
                <w:sz w:val="18"/>
              </w:rPr>
              <w:t xml:space="preserve">38</w:t>
            </w:r>
          </w:p>
        </w:tc>
        <w:tc>
          <w:tcPr>
            <w:tcW w:w="3087" w:type="dxa"/>
          </w:tcPr>
          <w:p>
            <w:pPr>
              <w:pStyle w:val="Compact"/>
              <w:spacing w:after="40"/>
              <w:jc w:val="left"/>
            </w:pPr>
            <w:r>
              <w:rPr>
                <w:sz w:val="18"/>
              </w:rPr>
              <w:t xml:space="preserve">Improve the logic, workflows, options and menus wherever possible, so that better software can be built (24 Oct 2026)</w:t>
            </w:r>
          </w:p>
        </w:tc>
        <w:tc>
          <w:tcPr>
            <w:tcW w:w="4044" w:type="dxa"/>
          </w:tcPr>
          <w:p>
            <w:pPr>
              <w:pStyle w:val="Compact"/>
              <w:spacing w:after="40"/>
              <w:jc w:val="left"/>
            </w:pPr>
            <w:r>
              <w:rPr>
                <w:sz w:val="18"/>
              </w:rPr>
              <w:t xml:space="preserve">F</w:t>
            </w:r>
            <w:r>
              <w:rPr>
                <w:sz w:val="18"/>
              </w:rPr>
              <w:t xml:space="preserve"> </w:t>
            </w:r>
            <w:r>
              <w:rPr>
                <w:rStyle w:val="VerbatimChar"/>
                <w:sz w:val="18"/>
              </w:rPr>
              <w:t xml:space="preserve">Settings and options</w:t>
            </w:r>
            <w:r>
              <w:rPr>
                <w:sz w:val="18"/>
              </w:rPr>
              <w:t xml:space="preserve"> </w:t>
            </w:r>
            <w:r>
              <w:rPr>
                <w:sz w:val="18"/>
              </w:rPr>
              <w:t xml:space="preserve">and</w:t>
            </w:r>
            <w:r>
              <w:rPr>
                <w:sz w:val="18"/>
              </w:rPr>
              <w:t xml:space="preserve"> </w:t>
            </w:r>
            <w:r>
              <w:rPr>
                <w:rStyle w:val="VerbatimChar"/>
                <w:sz w:val="18"/>
              </w:rPr>
              <w:t xml:space="preserve">Menu and screens</w:t>
            </w:r>
            <w:r>
              <w:rPr>
                <w:sz w:val="18"/>
              </w:rPr>
              <w:t xml:space="preserve"> </w:t>
            </w:r>
            <w:r>
              <w:rPr>
                <w:sz w:val="18"/>
              </w:rPr>
              <w:t xml:space="preserve">subsections in every Part 7B–7L module;</w:t>
            </w:r>
            <w:r>
              <w:rPr>
                <w:sz w:val="18"/>
              </w:rPr>
              <w:t xml:space="preserve"> </w:t>
            </w:r>
            <w:r>
              <w:rPr>
                <w:bCs/>
                <w:b/>
                <w:sz w:val="18"/>
              </w:rPr>
              <w:t xml:space="preserve">Appendix G — Navigation, menus, screens and settings map</w:t>
            </w:r>
            <w:r>
              <w:rPr>
                <w:sz w:val="18"/>
              </w:rPr>
              <w:t xml:space="preserve">; tightened state machines and exception paths in Parts 7B–7L; application shell and menu registry (Phase 1), settings framework (Phase 3), Part 10.2 principle 42 and Part 10.5; U and OH equivalents in their own Parts</w:t>
            </w:r>
          </w:p>
        </w:tc>
        <w:tc>
          <w:tcPr>
            <w:tcW w:w="1780" w:type="dxa"/>
          </w:tcPr>
          <w:p>
            <w:pPr>
              <w:pStyle w:val="Compact"/>
              <w:spacing w:after="40"/>
              <w:jc w:val="left"/>
            </w:pPr>
            <w:r>
              <w:rPr>
                <w:sz w:val="18"/>
              </w:rPr>
              <w:t xml:space="preserve">F 0, 1, 3 and every v1.5 phase (13b–20b); U and OH per their roadmaps</w:t>
            </w:r>
          </w:p>
        </w:tc>
      </w:tr>
    </w:tbl>
    <w:p>
      <w:pPr>
        <w:pStyle w:val="BodyText"/>
      </w:pPr>
      <w:r>
        <w:rPr>
          <w:bCs/>
          <w:b/>
        </w:rPr>
        <w:t xml:space="preserve">Still unverified after v1.5</w:t>
      </w:r>
      <w:r>
        <w:t xml:space="preserve"> </w:t>
      </w:r>
      <w:r>
        <w:t xml:space="preserve">(each is marked [VERIFY] where used; summary in Part 8A.37.2): return lists and portals for HFCs (NHB), commercial banks, UCBs, ARCs, StCBs and DCCBs, IFSCA entities and co-operative Registrars; CIMS system-to-system availability for NBFCs and any DSC requirement; the official texts of the Commercial Banks Concurrent Audit Directions and the RB-IOS 2026 clause numbers; Income-tax Act 2025 form, section and serial numbers; Labour Code State rules; co-operative State Acts other than MSCS and Maharashtra; final paragraph numbers of the RBI AIF and ARC Directions; ICAI and ICSI editions (no ICAI PDFs were received); market-data and JioCX contract terms; and the RBC Second Amendment text, still not supplied.</w:t>
      </w:r>
    </w:p>
    <w:p>
      <w:r>
        <w:pict>
          <v:rect style="width:0;height:1.5pt" o:hralign="center" o:hrstd="t" o:hr="t"/>
        </w:pict>
      </w:r>
    </w:p>
    <w:bookmarkEnd w:id="897"/>
    <w:bookmarkEnd w:id="898"/>
    <w:bookmarkStart w:id="899" w:name="X353f88d5f68d48963bc6b2e99c9c3628ee188dd"/>
    <w:p>
      <w:pPr>
        <w:pStyle w:val="Heading1"/>
      </w:pPr>
      <w:r>
        <w:t xml:space="preserve">APPENDIX F — DRAFTING SLIPS FOUND IN THE SUPPLIED RBI TEXTS</w:t>
      </w:r>
    </w:p>
    <w:p>
      <w:pPr>
        <w:pStyle w:val="FirstParagraph"/>
      </w:pPr>
      <w:r>
        <w:t xml:space="preserve">Seed</w:t>
      </w:r>
      <w:r>
        <w:t xml:space="preserve"> </w:t>
      </w:r>
      <w:r>
        <w:rPr>
          <w:rStyle w:val="VerbatimChar"/>
        </w:rPr>
        <w:t xml:space="preserve">docs/regulations/errata.md</w:t>
      </w:r>
      <w:r>
        <w:t xml:space="preserve"> </w:t>
      </w:r>
      <w:r>
        <w:t xml:space="preserve">from this list (Part 8A.0.1 rule 5). For each slip, implement the evident intent, record the interpretation, and re-check it when RBI issues a corrected or amended text. The v1.2 examples are in Part 8A.0.1 rule 5.</w:t>
      </w:r>
    </w:p>
    <w:p>
      <w:pPr>
        <w:pStyle w:val="BodyText"/>
      </w:pPr>
      <w:r>
        <w:rPr>
          <w:bCs/>
          <w:b/>
        </w:rPr>
        <w:t xml:space="preserve">IRACP / RSA</w:t>
      </w:r>
    </w:p>
    <w:p>
      <w:pPr>
        <w:numPr>
          <w:ilvl w:val="0"/>
          <w:numId w:val="2150"/>
        </w:numPr>
        <w:pStyle w:val="Compact"/>
      </w:pPr>
      <w:r>
        <w:t xml:space="preserve">IRACP para 32(2)(i) says</w:t>
      </w:r>
      <w:r>
        <w:t xml:space="preserve"> </w:t>
      </w:r>
      <w:r>
        <w:t xml:space="preserve">“</w:t>
      </w:r>
      <w:r>
        <w:t xml:space="preserve">NBFC-BL</w:t>
      </w:r>
      <w:r>
        <w:t xml:space="preserve">”</w:t>
      </w:r>
      <w:r>
        <w:t xml:space="preserve"> </w:t>
      </w:r>
      <w:r>
        <w:t xml:space="preserve">in a Chapter II (all-NBFC) rule.</w:t>
      </w:r>
    </w:p>
    <w:p>
      <w:pPr>
        <w:numPr>
          <w:ilvl w:val="0"/>
          <w:numId w:val="2150"/>
        </w:numPr>
        <w:pStyle w:val="Compact"/>
      </w:pPr>
      <w:r>
        <w:t xml:space="preserve">IRACP para 5 repeats</w:t>
      </w:r>
      <w:r>
        <w:t xml:space="preserve"> </w:t>
      </w:r>
      <w:r>
        <w:t xml:space="preserve">“</w:t>
      </w:r>
      <w:r>
        <w:t xml:space="preserve">with these Directions</w:t>
      </w:r>
      <w:r>
        <w:t xml:space="preserve">”</w:t>
      </w:r>
      <w:r>
        <w:t xml:space="preserve">.</w:t>
      </w:r>
    </w:p>
    <w:p>
      <w:pPr>
        <w:numPr>
          <w:ilvl w:val="0"/>
          <w:numId w:val="2150"/>
        </w:numPr>
        <w:pStyle w:val="Compact"/>
      </w:pPr>
      <w:r>
        <w:t xml:space="preserve">RSA para 23 table: the last row repeats</w:t>
      </w:r>
      <w:r>
        <w:t xml:space="preserve"> </w:t>
      </w:r>
      <w:r>
        <w:t xml:space="preserve">“</w:t>
      </w:r>
      <w:r>
        <w:t xml:space="preserve">secured portion</w:t>
      </w:r>
      <w:r>
        <w:t xml:space="preserve">”</w:t>
      </w:r>
      <w:r>
        <w:t xml:space="preserve"> </w:t>
      </w:r>
      <w:r>
        <w:t xml:space="preserve">(evidently</w:t>
      </w:r>
      <w:r>
        <w:t xml:space="preserve"> </w:t>
      </w:r>
      <w:r>
        <w:t xml:space="preserve">“</w:t>
      </w:r>
      <w:r>
        <w:t xml:space="preserve">unsecured portion</w:t>
      </w:r>
      <w:r>
        <w:t xml:space="preserve">”</w:t>
      </w:r>
      <w:r>
        <w:t xml:space="preserve">).</w:t>
      </w:r>
    </w:p>
    <w:p>
      <w:pPr>
        <w:numPr>
          <w:ilvl w:val="0"/>
          <w:numId w:val="2150"/>
        </w:numPr>
        <w:pStyle w:val="Compact"/>
      </w:pPr>
      <w:r>
        <w:t xml:space="preserve">RSA para 66 cites para 63 for the additional specific provisions (evidently para 64).</w:t>
      </w:r>
    </w:p>
    <w:p>
      <w:pPr>
        <w:numPr>
          <w:ilvl w:val="0"/>
          <w:numId w:val="2150"/>
        </w:numPr>
        <w:pStyle w:val="Compact"/>
      </w:pPr>
      <w:r>
        <w:t xml:space="preserve">RSA para 72 cites para 70 for the freeze period, which is set in para 69.</w:t>
      </w:r>
    </w:p>
    <w:p>
      <w:pPr>
        <w:numPr>
          <w:ilvl w:val="0"/>
          <w:numId w:val="2150"/>
        </w:numPr>
        <w:pStyle w:val="Compact"/>
      </w:pPr>
      <w:r>
        <w:t xml:space="preserve">RSA para 84 contains the artefact “_bookmark20”.</w:t>
      </w:r>
    </w:p>
    <w:p>
      <w:pPr>
        <w:numPr>
          <w:ilvl w:val="0"/>
          <w:numId w:val="2150"/>
        </w:numPr>
        <w:pStyle w:val="Compact"/>
      </w:pPr>
      <w:r>
        <w:t xml:space="preserve">RSA para 108 says CRILC instructions</w:t>
      </w:r>
      <w:r>
        <w:t xml:space="preserve"> </w:t>
      </w:r>
      <w:r>
        <w:t xml:space="preserve">“</w:t>
      </w:r>
      <w:r>
        <w:t xml:space="preserve">as per paragraph 107</w:t>
      </w:r>
      <w:r>
        <w:t xml:space="preserve">”</w:t>
      </w:r>
      <w:r>
        <w:t xml:space="preserve">, which covers consortium intimation.</w:t>
      </w:r>
    </w:p>
    <w:p>
      <w:pPr>
        <w:numPr>
          <w:ilvl w:val="0"/>
          <w:numId w:val="2150"/>
        </w:numPr>
        <w:pStyle w:val="Compact"/>
      </w:pPr>
      <w:r>
        <w:t xml:space="preserve">RSA para 138 is truncated in the official PDF (text reads only</w:t>
      </w:r>
      <w:r>
        <w:t xml:space="preserve"> </w:t>
      </w:r>
      <w:r>
        <w:t xml:space="preserve">“</w:t>
      </w:r>
      <w:r>
        <w:t xml:space="preserve">A</w:t>
      </w:r>
      <w:r>
        <w:t xml:space="preserve">”</w:t>
      </w:r>
      <w:r>
        <w:t xml:space="preserve">).</w:t>
      </w:r>
    </w:p>
    <w:p>
      <w:pPr>
        <w:numPr>
          <w:ilvl w:val="0"/>
          <w:numId w:val="2150"/>
        </w:numPr>
        <w:pStyle w:val="Compact"/>
      </w:pPr>
      <w:r>
        <w:t xml:space="preserve">RSA Part B uses</w:t>
      </w:r>
      <w:r>
        <w:t xml:space="preserve"> </w:t>
      </w:r>
      <w:r>
        <w:t xml:space="preserve">“</w:t>
      </w:r>
      <w:r>
        <w:t xml:space="preserve">compromise settlement</w:t>
      </w:r>
      <w:r>
        <w:t xml:space="preserve">”</w:t>
      </w:r>
      <w:r>
        <w:t xml:space="preserve"> </w:t>
      </w:r>
      <w:r>
        <w:t xml:space="preserve">without defining it (definition is Part A para 10(2), not applied by para 157).</w:t>
      </w:r>
    </w:p>
    <w:p>
      <w:pPr>
        <w:pStyle w:val="FirstParagraph"/>
      </w:pPr>
      <w:r>
        <w:rPr>
          <w:bCs/>
          <w:b/>
        </w:rPr>
        <w:t xml:space="preserve">RBC / WD</w:t>
      </w:r>
    </w:p>
    <w:p>
      <w:pPr>
        <w:numPr>
          <w:ilvl w:val="0"/>
          <w:numId w:val="2151"/>
        </w:numPr>
        <w:pStyle w:val="Compact"/>
      </w:pPr>
      <w:r>
        <w:t xml:space="preserve">RBC para 37:</w:t>
      </w:r>
      <w:r>
        <w:t xml:space="preserve"> </w:t>
      </w:r>
      <w:r>
        <w:t xml:space="preserve">“</w:t>
      </w:r>
      <w:r>
        <w:t xml:space="preserve">sanction letters issued on or December 1, 2023</w:t>
      </w:r>
      <w:r>
        <w:t xml:space="preserve">”</w:t>
      </w:r>
      <w:r>
        <w:t xml:space="preserve"> </w:t>
      </w:r>
      <w:r>
        <w:t xml:space="preserve">(word</w:t>
      </w:r>
      <w:r>
        <w:t xml:space="preserve"> </w:t>
      </w:r>
      <w:r>
        <w:t xml:space="preserve">“</w:t>
      </w:r>
      <w:r>
        <w:t xml:space="preserve">after</w:t>
      </w:r>
      <w:r>
        <w:t xml:space="preserve">”</w:t>
      </w:r>
      <w:r>
        <w:t xml:space="preserve"> </w:t>
      </w:r>
      <w:r>
        <w:t xml:space="preserve">missing).</w:t>
      </w:r>
    </w:p>
    <w:p>
      <w:pPr>
        <w:numPr>
          <w:ilvl w:val="0"/>
          <w:numId w:val="2151"/>
        </w:numPr>
        <w:pStyle w:val="Compact"/>
      </w:pPr>
      <w:r>
        <w:t xml:space="preserve">RBC para 31(3) Note:</w:t>
      </w:r>
      <w:r>
        <w:t xml:space="preserve"> </w:t>
      </w:r>
      <w:r>
        <w:t xml:space="preserve">“</w:t>
      </w:r>
      <w:r>
        <w:t xml:space="preserve">where such an option is provided by the bank</w:t>
      </w:r>
      <w:r>
        <w:t xml:space="preserve">”</w:t>
      </w:r>
      <w:r>
        <w:t xml:space="preserve"> </w:t>
      </w:r>
      <w:r>
        <w:t xml:space="preserve">(should read NBFC).</w:t>
      </w:r>
    </w:p>
    <w:p>
      <w:pPr>
        <w:numPr>
          <w:ilvl w:val="0"/>
          <w:numId w:val="2151"/>
        </w:numPr>
        <w:pStyle w:val="Compact"/>
      </w:pPr>
      <w:r>
        <w:t xml:space="preserve">RBC para 43: unclosed parenthesis</w:t>
      </w:r>
      <w:r>
        <w:t xml:space="preserve"> </w:t>
      </w:r>
      <w:r>
        <w:t xml:space="preserve">“</w:t>
      </w:r>
      <w:r>
        <w:t xml:space="preserve">(and timeline for serving an auction notice…</w:t>
      </w:r>
      <w:r>
        <w:t xml:space="preserve">”</w:t>
      </w:r>
      <w:r>
        <w:t xml:space="preserve">.</w:t>
      </w:r>
    </w:p>
    <w:p>
      <w:pPr>
        <w:numPr>
          <w:ilvl w:val="0"/>
          <w:numId w:val="2151"/>
        </w:numPr>
        <w:pStyle w:val="Compact"/>
      </w:pPr>
      <w:r>
        <w:t xml:space="preserve">RBC para 6(9): defines microfinance loan by reference to an</w:t>
      </w:r>
      <w:r>
        <w:t xml:space="preserve"> </w:t>
      </w:r>
      <w:r>
        <w:t xml:space="preserve">“</w:t>
      </w:r>
      <w:r>
        <w:t xml:space="preserve">NBFC – Microfinance Institution Directions, 2025</w:t>
      </w:r>
      <w:r>
        <w:t xml:space="preserve">”</w:t>
      </w:r>
      <w:r>
        <w:t xml:space="preserve">, whereas microfinance rules sit in CF Ch V [VERIFY].</w:t>
      </w:r>
    </w:p>
    <w:p>
      <w:pPr>
        <w:numPr>
          <w:ilvl w:val="0"/>
          <w:numId w:val="2151"/>
        </w:numPr>
        <w:pStyle w:val="Compact"/>
      </w:pPr>
      <w:r>
        <w:t xml:space="preserve">RBC paras 89–97 (recovery and agent rules) sit under Section H (microfinance), while para 100 excludes microfinance loans; the general agent rules are in paras 98–100 only.</w:t>
      </w:r>
    </w:p>
    <w:p>
      <w:pPr>
        <w:numPr>
          <w:ilvl w:val="0"/>
          <w:numId w:val="2151"/>
        </w:numPr>
        <w:pStyle w:val="Compact"/>
      </w:pPr>
      <w:r>
        <w:t xml:space="preserve">WD Annex I field 10: valid values list</w:t>
      </w:r>
      <w:r>
        <w:t xml:space="preserve"> </w:t>
      </w:r>
      <w:r>
        <w:t xml:space="preserve">“</w:t>
      </w:r>
      <w:r>
        <w:t xml:space="preserve">01 - Suit filed</w:t>
      </w:r>
      <w:r>
        <w:t xml:space="preserve">”</w:t>
      </w:r>
      <w:r>
        <w:t xml:space="preserve"> </w:t>
      </w:r>
      <w:r>
        <w:t xml:space="preserve">and</w:t>
      </w:r>
      <w:r>
        <w:t xml:space="preserve"> </w:t>
      </w:r>
      <w:r>
        <w:t xml:space="preserve">“</w:t>
      </w:r>
      <w:r>
        <w:t xml:space="preserve">– Non-Suit Filed</w:t>
      </w:r>
      <w:r>
        <w:t xml:space="preserve">”</w:t>
      </w:r>
      <w:r>
        <w:t xml:space="preserve"> </w:t>
      </w:r>
      <w:r>
        <w:t xml:space="preserve">without the code</w:t>
      </w:r>
      <w:r>
        <w:t xml:space="preserve"> </w:t>
      </w:r>
      <w:r>
        <w:t xml:space="preserve">“</w:t>
      </w:r>
      <w:r>
        <w:t xml:space="preserve">02</w:t>
      </w:r>
      <w:r>
        <w:t xml:space="preserve">”</w:t>
      </w:r>
      <w:r>
        <w:t xml:space="preserve"> </w:t>
      </w:r>
      <w:r>
        <w:t xml:space="preserve">(Annex II shows 02).</w:t>
      </w:r>
    </w:p>
    <w:p>
      <w:pPr>
        <w:numPr>
          <w:ilvl w:val="0"/>
          <w:numId w:val="2151"/>
        </w:numPr>
        <w:pStyle w:val="Compact"/>
      </w:pPr>
      <w:r>
        <w:t xml:space="preserve">WD Annex I: field 11 uses</w:t>
      </w:r>
      <w:r>
        <w:t xml:space="preserve"> </w:t>
      </w:r>
      <w:r>
        <w:t xml:space="preserve">“</w:t>
      </w:r>
      <w:r>
        <w:t xml:space="preserve">SUBST</w:t>
      </w:r>
      <w:r>
        <w:t xml:space="preserve">”</w:t>
      </w:r>
      <w:r>
        <w:t xml:space="preserve"> </w:t>
      </w:r>
      <w:r>
        <w:t xml:space="preserve">and field 12 uses</w:t>
      </w:r>
      <w:r>
        <w:t xml:space="preserve"> </w:t>
      </w:r>
      <w:r>
        <w:t xml:space="preserve">“</w:t>
      </w:r>
      <w:r>
        <w:t xml:space="preserve">SUBSTD</w:t>
      </w:r>
      <w:r>
        <w:t xml:space="preserve">”</w:t>
      </w:r>
      <w:r>
        <w:t xml:space="preserve">.</w:t>
      </w:r>
    </w:p>
    <w:p>
      <w:pPr>
        <w:numPr>
          <w:ilvl w:val="0"/>
          <w:numId w:val="2151"/>
        </w:numPr>
        <w:pStyle w:val="Compact"/>
      </w:pPr>
      <w:r>
        <w:t xml:space="preserve">WD Annex II: field numbering skips 17 (16 → 18).</w:t>
      </w:r>
    </w:p>
    <w:p>
      <w:pPr>
        <w:numPr>
          <w:ilvl w:val="0"/>
          <w:numId w:val="2151"/>
        </w:numPr>
        <w:pStyle w:val="Compact"/>
      </w:pPr>
      <w:r>
        <w:t xml:space="preserve">WD para 5(15) requires non-whole-time/independent/nominee directors to be flagged in Annex II, but Annex II has no such field, and the Annex I note excludes them.</w:t>
      </w:r>
    </w:p>
    <w:p>
      <w:pPr>
        <w:numPr>
          <w:ilvl w:val="0"/>
          <w:numId w:val="2151"/>
        </w:numPr>
        <w:pStyle w:val="Compact"/>
      </w:pPr>
      <w:r>
        <w:t xml:space="preserve">WD para 3(1)(xii)(e): cites the SBR</w:t>
      </w:r>
      <w:r>
        <w:t xml:space="preserve"> </w:t>
      </w:r>
      <w:r>
        <w:t xml:space="preserve">“</w:t>
      </w:r>
      <w:r>
        <w:t xml:space="preserve">Guidelines, 2025</w:t>
      </w:r>
      <w:r>
        <w:t xml:space="preserve">”</w:t>
      </w:r>
      <w:r>
        <w:t xml:space="preserve"> </w:t>
      </w:r>
      <w:r>
        <w:t xml:space="preserve">(the instrument is a Directions).</w:t>
      </w:r>
    </w:p>
    <w:p>
      <w:pPr>
        <w:numPr>
          <w:ilvl w:val="0"/>
          <w:numId w:val="2151"/>
        </w:numPr>
        <w:pStyle w:val="Compact"/>
      </w:pPr>
      <w:r>
        <w:t xml:space="preserve">WD para 21(1): cites the</w:t>
      </w:r>
      <w:r>
        <w:t xml:space="preserve"> </w:t>
      </w:r>
      <w:r>
        <w:t xml:space="preserve">“</w:t>
      </w:r>
      <w:r>
        <w:t xml:space="preserve">Fraud Risk Management in NBFCs Directions, 2024</w:t>
      </w:r>
      <w:r>
        <w:t xml:space="preserve">”</w:t>
      </w:r>
      <w:r>
        <w:t xml:space="preserve"> </w:t>
      </w:r>
      <w:r>
        <w:t xml:space="preserve">(now RBI/DoS/2026-27/463, 2026).</w:t>
      </w:r>
    </w:p>
    <w:p>
      <w:pPr>
        <w:pStyle w:val="FirstParagraph"/>
      </w:pPr>
      <w:r>
        <w:rPr>
          <w:bCs/>
          <w:b/>
        </w:rPr>
        <w:t xml:space="preserve">KYC</w:t>
      </w:r>
    </w:p>
    <w:p>
      <w:pPr>
        <w:numPr>
          <w:ilvl w:val="0"/>
          <w:numId w:val="2152"/>
        </w:numPr>
        <w:pStyle w:val="Compact"/>
      </w:pPr>
      <w:r>
        <w:t xml:space="preserve">KYC para 23 proviso (v) and para 27(2)(vi)(c) refer to</w:t>
      </w:r>
      <w:r>
        <w:t xml:space="preserve"> </w:t>
      </w:r>
      <w:r>
        <w:t xml:space="preserve">“</w:t>
      </w:r>
      <w:r>
        <w:t xml:space="preserve">paragraph 62</w:t>
      </w:r>
      <w:r>
        <w:t xml:space="preserve">”</w:t>
      </w:r>
      <w:r>
        <w:t xml:space="preserve"> </w:t>
      </w:r>
      <w:r>
        <w:t xml:space="preserve">for CKYCR. CKYCR is para 63; para 62 is FCRA.</w:t>
      </w:r>
    </w:p>
    <w:p>
      <w:pPr>
        <w:numPr>
          <w:ilvl w:val="0"/>
          <w:numId w:val="2152"/>
        </w:numPr>
        <w:pStyle w:val="Compact"/>
      </w:pPr>
      <w:r>
        <w:t xml:space="preserve">KYC para 63(7) refers to</w:t>
      </w:r>
      <w:r>
        <w:t xml:space="preserve"> </w:t>
      </w:r>
      <w:r>
        <w:t xml:space="preserve">“</w:t>
      </w:r>
      <w:r>
        <w:t xml:space="preserve">clauses (5) and (6)</w:t>
      </w:r>
      <w:r>
        <w:t xml:space="preserve">”</w:t>
      </w:r>
      <w:r>
        <w:t xml:space="preserve"> </w:t>
      </w:r>
      <w:r>
        <w:t xml:space="preserve">for the 1 Apr 2017 / 1 Apr 2021 cut-off dates; they are in clauses (4) and (5). It also cites a</w:t>
      </w:r>
      <w:r>
        <w:t xml:space="preserve"> </w:t>
      </w:r>
      <w:r>
        <w:t xml:space="preserve">“</w:t>
      </w:r>
      <w:r>
        <w:t xml:space="preserve">clause (10)</w:t>
      </w:r>
      <w:r>
        <w:t xml:space="preserve">”</w:t>
      </w:r>
      <w:r>
        <w:t xml:space="preserve"> </w:t>
      </w:r>
      <w:r>
        <w:t xml:space="preserve">that does not exist (para 63 has nine clauses).</w:t>
      </w:r>
    </w:p>
    <w:p>
      <w:pPr>
        <w:numPr>
          <w:ilvl w:val="0"/>
          <w:numId w:val="2152"/>
        </w:numPr>
        <w:pStyle w:val="Compact"/>
      </w:pPr>
      <w:r>
        <w:t xml:space="preserve">KYC para 28(vi)–(vii) say</w:t>
      </w:r>
      <w:r>
        <w:t xml:space="preserve"> </w:t>
      </w:r>
      <w:r>
        <w:t xml:space="preserve">“</w:t>
      </w:r>
      <w:r>
        <w:t xml:space="preserve">Directions (4) and (5)</w:t>
      </w:r>
      <w:r>
        <w:t xml:space="preserve">”</w:t>
      </w:r>
      <w:r>
        <w:t xml:space="preserve"> </w:t>
      </w:r>
      <w:r>
        <w:t xml:space="preserve">where they mean clauses (iv) and (v) of para 28.</w:t>
      </w:r>
    </w:p>
    <w:p>
      <w:pPr>
        <w:numPr>
          <w:ilvl w:val="0"/>
          <w:numId w:val="2152"/>
        </w:numPr>
        <w:pStyle w:val="Compact"/>
      </w:pPr>
      <w:r>
        <w:t xml:space="preserve">Annex I (MHA UAPA Order) numbering skips para 3.3; the Order also cites</w:t>
      </w:r>
      <w:r>
        <w:t xml:space="preserve"> </w:t>
      </w:r>
      <w:r>
        <w:t xml:space="preserve">“</w:t>
      </w:r>
      <w:r>
        <w:t xml:space="preserve">Para 4(i)</w:t>
      </w:r>
      <w:r>
        <w:t xml:space="preserve">”</w:t>
      </w:r>
      <w:r>
        <w:t xml:space="preserve"> </w:t>
      </w:r>
      <w:r>
        <w:t xml:space="preserve">and</w:t>
      </w:r>
      <w:r>
        <w:t xml:space="preserve"> </w:t>
      </w:r>
      <w:r>
        <w:t xml:space="preserve">“</w:t>
      </w:r>
      <w:r>
        <w:t xml:space="preserve">Paragraph 5 (i)</w:t>
      </w:r>
      <w:r>
        <w:t xml:space="preserve">”</w:t>
      </w:r>
      <w:r>
        <w:t xml:space="preserve">, which do not exist in that form. These are reproduced Government text; no software impact.</w:t>
      </w:r>
    </w:p>
    <w:p>
      <w:pPr>
        <w:pStyle w:val="FirstParagraph"/>
      </w:pPr>
      <w:r>
        <w:rPr>
          <w:bCs/>
          <w:b/>
        </w:rPr>
        <w:t xml:space="preserve">TDCR / SEC</w:t>
      </w:r>
    </w:p>
    <w:p>
      <w:pPr>
        <w:numPr>
          <w:ilvl w:val="0"/>
          <w:numId w:val="2153"/>
        </w:numPr>
        <w:pStyle w:val="Compact"/>
      </w:pPr>
      <w:r>
        <w:rPr>
          <w:bCs/>
          <w:b/>
        </w:rPr>
        <w:t xml:space="preserve">TDCR para 2, second proviso vs para 96:</w:t>
      </w:r>
      <w:r>
        <w:t xml:space="preserve"> </w:t>
      </w:r>
      <w:r>
        <w:t xml:space="preserve">para 2 defines existing CLAs as those</w:t>
      </w:r>
      <w:r>
        <w:t xml:space="preserve"> </w:t>
      </w:r>
      <w:r>
        <w:t xml:space="preserve">“</w:t>
      </w:r>
      <w:r>
        <w:t xml:space="preserve">executed before August 06, 2025</w:t>
      </w:r>
      <w:r>
        <w:t xml:space="preserve">”</w:t>
      </w:r>
      <w:r>
        <w:t xml:space="preserve">; para 96 says</w:t>
      </w:r>
      <w:r>
        <w:t xml:space="preserve"> </w:t>
      </w:r>
      <w:r>
        <w:t xml:space="preserve">“</w:t>
      </w:r>
      <w:r>
        <w:t xml:space="preserve">executed before the date of issuance of these Directions</w:t>
      </w:r>
      <w:r>
        <w:t xml:space="preserve">”</w:t>
      </w:r>
      <w:r>
        <w:t xml:space="preserve"> </w:t>
      </w:r>
      <w:r>
        <w:t xml:space="preserve">(28 Nov 2025). Implement: CLAs entered into before the effective date follow the earlier rules, and record both dates.</w:t>
      </w:r>
    </w:p>
    <w:p>
      <w:pPr>
        <w:numPr>
          <w:ilvl w:val="0"/>
          <w:numId w:val="2153"/>
        </w:numPr>
        <w:pStyle w:val="Compact"/>
      </w:pPr>
      <w:r>
        <w:rPr>
          <w:bCs/>
          <w:b/>
        </w:rPr>
        <w:t xml:space="preserve">TDCR para 83 proviso:</w:t>
      </w:r>
      <w:r>
        <w:t xml:space="preserve"> </w:t>
      </w:r>
      <w:r>
        <w:t xml:space="preserve">cross-refers to</w:t>
      </w:r>
      <w:r>
        <w:t xml:space="preserve"> </w:t>
      </w:r>
      <w:r>
        <w:t xml:space="preserve">“</w:t>
      </w:r>
      <w:r>
        <w:t xml:space="preserve">sub-clause (a)</w:t>
      </w:r>
      <w:r>
        <w:t xml:space="preserve">”</w:t>
      </w:r>
      <w:r>
        <w:t xml:space="preserve">, but the items are numbered (i)–(iv). It is a legacy 2021 transition running to FY 2025-26.</w:t>
      </w:r>
    </w:p>
    <w:p>
      <w:pPr>
        <w:numPr>
          <w:ilvl w:val="0"/>
          <w:numId w:val="2153"/>
        </w:numPr>
        <w:pStyle w:val="Compact"/>
      </w:pPr>
      <w:r>
        <w:rPr>
          <w:bCs/>
          <w:b/>
        </w:rPr>
        <w:t xml:space="preserve">TDCR:</w:t>
      </w:r>
      <w:r>
        <w:t xml:space="preserve"> </w:t>
      </w:r>
      <w:r>
        <w:t xml:space="preserve">paras 1–2 read</w:t>
      </w:r>
      <w:r>
        <w:t xml:space="preserve"> </w:t>
      </w:r>
      <w:r>
        <w:t xml:space="preserve">“</w:t>
      </w:r>
      <w:r>
        <w:t xml:space="preserve">Reserve Bank of India of India</w:t>
      </w:r>
      <w:r>
        <w:t xml:space="preserve">”</w:t>
      </w:r>
      <w:r>
        <w:t xml:space="preserve">; para 95 refers to</w:t>
      </w:r>
      <w:r>
        <w:t xml:space="preserve"> </w:t>
      </w:r>
      <w:r>
        <w:t xml:space="preserve">“</w:t>
      </w:r>
      <w:r>
        <w:t xml:space="preserve">a RE</w:t>
      </w:r>
      <w:r>
        <w:t xml:space="preserve">”</w:t>
      </w:r>
      <w:r>
        <w:t xml:space="preserve">; para 92(2) has</w:t>
      </w:r>
      <w:r>
        <w:t xml:space="preserve"> </w:t>
      </w:r>
      <w:r>
        <w:t xml:space="preserve">“</w:t>
      </w:r>
      <w:r>
        <w:t xml:space="preserve">perspective buyers</w:t>
      </w:r>
      <w:r>
        <w:t xml:space="preserve">”</w:t>
      </w:r>
      <w:r>
        <w:t xml:space="preserve">.</w:t>
      </w:r>
    </w:p>
    <w:p>
      <w:pPr>
        <w:numPr>
          <w:ilvl w:val="0"/>
          <w:numId w:val="2153"/>
        </w:numPr>
        <w:pStyle w:val="Compact"/>
      </w:pPr>
      <w:r>
        <w:rPr>
          <w:bCs/>
          <w:b/>
        </w:rPr>
        <w:t xml:space="preserve">SEC para 84(3):</w:t>
      </w:r>
      <w:r>
        <w:t xml:space="preserve"> </w:t>
      </w:r>
      <w:r>
        <w:t xml:space="preserve">reads</w:t>
      </w:r>
      <w:r>
        <w:t xml:space="preserve"> </w:t>
      </w:r>
      <w:r>
        <w:t xml:space="preserve">“</w:t>
      </w:r>
      <w:r>
        <w:t xml:space="preserve">rest</w:t>
      </w:r>
      <w:r>
        <w:t xml:space="preserve">”</w:t>
      </w:r>
      <w:r>
        <w:t xml:space="preserve"> </w:t>
      </w:r>
      <w:r>
        <w:t xml:space="preserve">for</w:t>
      </w:r>
      <w:r>
        <w:t xml:space="preserve"> </w:t>
      </w:r>
      <w:r>
        <w:t xml:space="preserve">“</w:t>
      </w:r>
      <w:r>
        <w:t xml:space="preserve">reset</w:t>
      </w:r>
      <w:r>
        <w:t xml:space="preserve">”</w:t>
      </w:r>
      <w:r>
        <w:t xml:space="preserve">.</w:t>
      </w:r>
    </w:p>
    <w:p>
      <w:pPr>
        <w:numPr>
          <w:ilvl w:val="0"/>
          <w:numId w:val="2153"/>
        </w:numPr>
        <w:pStyle w:val="Compact"/>
      </w:pPr>
      <w:r>
        <w:rPr>
          <w:bCs/>
          <w:b/>
        </w:rPr>
        <w:t xml:space="preserve">SEC para 114:</w:t>
      </w:r>
      <w:r>
        <w:t xml:space="preserve"> </w:t>
      </w:r>
      <w:r>
        <w:t xml:space="preserve">omits</w:t>
      </w:r>
      <w:r>
        <w:t xml:space="preserve"> </w:t>
      </w:r>
      <w:r>
        <w:t xml:space="preserve">“</w:t>
      </w:r>
      <w:r>
        <w:t xml:space="preserve">2025</w:t>
      </w:r>
      <w:r>
        <w:t xml:space="preserve">”</w:t>
      </w:r>
      <w:r>
        <w:t xml:space="preserve"> </w:t>
      </w:r>
      <w:r>
        <w:t xml:space="preserve">from the FS Directions title.</w:t>
      </w:r>
    </w:p>
    <w:p>
      <w:pPr>
        <w:numPr>
          <w:ilvl w:val="0"/>
          <w:numId w:val="2153"/>
        </w:numPr>
        <w:pStyle w:val="Compact"/>
      </w:pPr>
      <w:r>
        <w:rPr>
          <w:bCs/>
          <w:b/>
        </w:rPr>
        <w:t xml:space="preserve">SEC para 4(10) vs TDCR para 12(4):</w:t>
      </w:r>
      <w:r>
        <w:t xml:space="preserve"> </w:t>
      </w:r>
      <w:r>
        <w:t xml:space="preserve">the SEC AIFI list omits NaBFID; TDCR includes it. Treat as intended; do not harmonise.</w:t>
      </w:r>
    </w:p>
    <w:p>
      <w:pPr>
        <w:pStyle w:val="FirstParagraph"/>
      </w:pPr>
      <w:r>
        <w:rPr>
          <w:bCs/>
          <w:b/>
        </w:rPr>
        <w:t xml:space="preserve">CAP / SBR / DIV / MISC</w:t>
      </w:r>
    </w:p>
    <w:p>
      <w:pPr>
        <w:numPr>
          <w:ilvl w:val="0"/>
          <w:numId w:val="2154"/>
        </w:numPr>
        <w:pStyle w:val="Compact"/>
      </w:pPr>
      <w:r>
        <w:t xml:space="preserve">CAP 12(8)(iii) refers to</w:t>
      </w:r>
      <w:r>
        <w:t xml:space="preserve"> </w:t>
      </w:r>
      <w:r>
        <w:t xml:space="preserve">“</w:t>
      </w:r>
      <w:r>
        <w:t xml:space="preserve">paragraph 8(i)</w:t>
      </w:r>
      <w:r>
        <w:t xml:space="preserve">”</w:t>
      </w:r>
      <w:r>
        <w:t xml:space="preserve"> </w:t>
      </w:r>
      <w:r>
        <w:t xml:space="preserve">(para 8 is CET1 deductions); the intended cross-reference is within 12(8).</w:t>
      </w:r>
    </w:p>
    <w:p>
      <w:pPr>
        <w:numPr>
          <w:ilvl w:val="0"/>
          <w:numId w:val="2154"/>
        </w:numPr>
        <w:pStyle w:val="Compact"/>
      </w:pPr>
      <w:r>
        <w:t xml:space="preserve">CAP 18(9)(iii) refers to</w:t>
      </w:r>
      <w:r>
        <w:t xml:space="preserve"> </w:t>
      </w:r>
      <w:r>
        <w:t xml:space="preserve">“</w:t>
      </w:r>
      <w:r>
        <w:t xml:space="preserve">8(i) and 8(ii)</w:t>
      </w:r>
      <w:r>
        <w:t xml:space="preserve">”</w:t>
      </w:r>
      <w:r>
        <w:t xml:space="preserve">; it means 18(9)(i)–(ii).</w:t>
      </w:r>
    </w:p>
    <w:p>
      <w:pPr>
        <w:numPr>
          <w:ilvl w:val="0"/>
          <w:numId w:val="2154"/>
        </w:numPr>
        <w:pStyle w:val="Compact"/>
      </w:pPr>
      <w:r>
        <w:t xml:space="preserve">CAP 50 refers to</w:t>
      </w:r>
      <w:r>
        <w:t xml:space="preserve"> </w:t>
      </w:r>
      <w:r>
        <w:t xml:space="preserve">“</w:t>
      </w:r>
      <w:r>
        <w:t xml:space="preserve">paragraph 44</w:t>
      </w:r>
      <w:r>
        <w:t xml:space="preserve">”</w:t>
      </w:r>
      <w:r>
        <w:t xml:space="preserve"> </w:t>
      </w:r>
      <w:r>
        <w:t xml:space="preserve">for the thickness adjustment; the formula is in para 45.</w:t>
      </w:r>
    </w:p>
    <w:p>
      <w:pPr>
        <w:numPr>
          <w:ilvl w:val="0"/>
          <w:numId w:val="2154"/>
        </w:numPr>
        <w:pStyle w:val="Compact"/>
      </w:pPr>
      <w:r>
        <w:t xml:space="preserve">CAP 18(1) places the Sr (2)(e) infrastructure loans under the</w:t>
      </w:r>
      <w:r>
        <w:t xml:space="preserve"> </w:t>
      </w:r>
      <w:r>
        <w:t xml:space="preserve">“</w:t>
      </w:r>
      <w:r>
        <w:t xml:space="preserve">Investments</w:t>
      </w:r>
      <w:r>
        <w:t xml:space="preserve">”</w:t>
      </w:r>
      <w:r>
        <w:t xml:space="preserve"> </w:t>
      </w:r>
      <w:r>
        <w:t xml:space="preserve">heading.</w:t>
      </w:r>
    </w:p>
    <w:p>
      <w:pPr>
        <w:numPr>
          <w:ilvl w:val="0"/>
          <w:numId w:val="2154"/>
        </w:numPr>
        <w:pStyle w:val="Compact"/>
      </w:pPr>
      <w:r>
        <w:t xml:space="preserve">DIV para 3 numbers item (x) twice; para 11 numbers item (i) twice; para 7 says</w:t>
      </w:r>
      <w:r>
        <w:t xml:space="preserve"> </w:t>
      </w:r>
      <w:r>
        <w:t xml:space="preserve">“</w:t>
      </w:r>
      <w:r>
        <w:t xml:space="preserve">this Master Direction</w:t>
      </w:r>
      <w:r>
        <w:t xml:space="preserve">”</w:t>
      </w:r>
      <w:r>
        <w:t xml:space="preserve">.</w:t>
      </w:r>
    </w:p>
    <w:p>
      <w:pPr>
        <w:pStyle w:val="FirstParagraph"/>
      </w:pPr>
      <w:r>
        <w:rPr>
          <w:bCs/>
          <w:b/>
        </w:rPr>
        <w:t xml:space="preserve">GOV / OUT / ORM</w:t>
      </w:r>
    </w:p>
    <w:p>
      <w:pPr>
        <w:numPr>
          <w:ilvl w:val="0"/>
          <w:numId w:val="2155"/>
        </w:numPr>
        <w:pStyle w:val="Compact"/>
      </w:pPr>
      <w:r>
        <w:t xml:space="preserve">CF para 62(2) cites a</w:t>
      </w:r>
      <w:r>
        <w:t xml:space="preserve"> </w:t>
      </w:r>
      <w:r>
        <w:t xml:space="preserve">“</w:t>
      </w:r>
      <w:r>
        <w:t xml:space="preserve">Reserve Bank of India (NBFCs – Management of Third-Party Dependencies) Directions, 2025</w:t>
      </w:r>
      <w:r>
        <w:t xml:space="preserve">”</w:t>
      </w:r>
      <w:r>
        <w:t xml:space="preserve">. No such Direction exists; the correct reference is OUT 363 (</w:t>
      </w:r>
      <w:r>
        <w:t xml:space="preserve">“</w:t>
      </w:r>
      <w:r>
        <w:t xml:space="preserve">Managing Risks in Outsourcing</w:t>
      </w:r>
      <w:r>
        <w:t xml:space="preserve">”</w:t>
      </w:r>
      <w:r>
        <w:t xml:space="preserve">; para 1), which CF para 6(6) cites correctly.</w:t>
      </w:r>
    </w:p>
    <w:p>
      <w:pPr>
        <w:numPr>
          <w:ilvl w:val="0"/>
          <w:numId w:val="2155"/>
        </w:numPr>
        <w:pStyle w:val="Compact"/>
      </w:pPr>
      <w:r>
        <w:t xml:space="preserve">GOV para 17(2) takes the IS audit periodicity from the Outsourcing Directions, which prescribe none. Use CYB para 56 for BL ≥ ₹500 crore (at least once a year, preferably before the statutory audit); ML and above set the periodicity in their IS Audit Policy (CYB para 150).</w:t>
      </w:r>
    </w:p>
    <w:p>
      <w:pPr>
        <w:numPr>
          <w:ilvl w:val="0"/>
          <w:numId w:val="2155"/>
        </w:numPr>
        <w:pStyle w:val="Compact"/>
      </w:pPr>
      <w:r>
        <w:t xml:space="preserve">OUT para 4(2)(i) and para 5(1) cross-refer to para 58(1)/(2)</w:t>
      </w:r>
      <w:r>
        <w:t xml:space="preserve"> </w:t>
      </w:r>
      <w:r>
        <w:t xml:space="preserve">“</w:t>
      </w:r>
      <w:r>
        <w:t xml:space="preserve">above</w:t>
      </w:r>
      <w:r>
        <w:t xml:space="preserve">”</w:t>
      </w:r>
      <w:r>
        <w:t xml:space="preserve">; para 58 comes later.</w:t>
      </w:r>
    </w:p>
    <w:p>
      <w:pPr>
        <w:numPr>
          <w:ilvl w:val="0"/>
          <w:numId w:val="2155"/>
        </w:numPr>
        <w:pStyle w:val="Compact"/>
      </w:pPr>
      <w:r>
        <w:t xml:space="preserve">OUT para 6(2) defines</w:t>
      </w:r>
      <w:r>
        <w:t xml:space="preserve"> </w:t>
      </w:r>
      <w:r>
        <w:t xml:space="preserve">“</w:t>
      </w:r>
      <w:r>
        <w:t xml:space="preserve">Group</w:t>
      </w:r>
      <w:r>
        <w:t xml:space="preserve">”</w:t>
      </w:r>
      <w:r>
        <w:t xml:space="preserve"> </w:t>
      </w:r>
      <w:r>
        <w:t xml:space="preserve">by reference to the Reserve Bank of India (Commercial Banks – Concentration Risk Management) Directions, 2025, not the NBFC Directions. NBFC CON 351 contains no</w:t>
      </w:r>
      <w:r>
        <w:t xml:space="preserve"> </w:t>
      </w:r>
      <w:r>
        <w:t xml:space="preserve">“</w:t>
      </w:r>
      <w:r>
        <w:t xml:space="preserve">group</w:t>
      </w:r>
      <w:r>
        <w:t xml:space="preserve">”</w:t>
      </w:r>
      <w:r>
        <w:t xml:space="preserve"> </w:t>
      </w:r>
      <w:r>
        <w:t xml:space="preserve">definition [VERIFY the Commercial Banks text].</w:t>
      </w:r>
    </w:p>
    <w:p>
      <w:pPr>
        <w:numPr>
          <w:ilvl w:val="0"/>
          <w:numId w:val="2155"/>
        </w:numPr>
        <w:pStyle w:val="Compact"/>
      </w:pPr>
      <w:r>
        <w:t xml:space="preserve">OUT para 57(4) cites the RBI Integrated Ombudsman Scheme, 2021, which RB-IOS 2026 has superseded (effective 1 Jul 2026) [VERIFY: RB-IOS 2026 text not supplied].</w:t>
      </w:r>
    </w:p>
    <w:p>
      <w:pPr>
        <w:numPr>
          <w:ilvl w:val="0"/>
          <w:numId w:val="2155"/>
        </w:numPr>
        <w:pStyle w:val="Compact"/>
      </w:pPr>
      <w:r>
        <w:t xml:space="preserve">The ORM Guidance Note’s RBI number is printed blank (</w:t>
      </w:r>
      <w:r>
        <w:t xml:space="preserve">“</w:t>
      </w:r>
      <w:r>
        <w:t xml:space="preserve">RBI/2025-26/</w:t>
      </w:r>
      <w:r>
        <w:t xml:space="preserve">”</w:t>
      </w:r>
      <w:r>
        <w:t xml:space="preserve">) in the supplied copy.</w:t>
      </w:r>
    </w:p>
    <w:p>
      <w:pPr>
        <w:pStyle w:val="FirstParagraph"/>
      </w:pPr>
      <w:r>
        <w:rPr>
          <w:bCs/>
          <w:b/>
        </w:rPr>
        <w:t xml:space="preserve">MFI / IAF / SA / SR / MSD</w:t>
      </w:r>
    </w:p>
    <w:p>
      <w:pPr>
        <w:numPr>
          <w:ilvl w:val="0"/>
          <w:numId w:val="2156"/>
        </w:numPr>
        <w:pStyle w:val="Compact"/>
      </w:pPr>
      <w:r>
        <w:t xml:space="preserve">SA para 23:</w:t>
      </w:r>
      <w:r>
        <w:t xml:space="preserve"> </w:t>
      </w:r>
      <w:r>
        <w:t xml:space="preserve">“</w:t>
      </w:r>
      <w:r>
        <w:t xml:space="preserve">the outgoing SCAs / SAs</w:t>
      </w:r>
      <w:r>
        <w:t xml:space="preserve"> </w:t>
      </w:r>
      <w:r>
        <w:rPr>
          <w:bCs/>
          <w:b/>
        </w:rPr>
        <w:t xml:space="preserve">of the bank</w:t>
      </w:r>
      <w:r>
        <w:t xml:space="preserve">”</w:t>
      </w:r>
      <w:r>
        <w:t xml:space="preserve"> </w:t>
      </w:r>
      <w:r>
        <w:t xml:space="preserve">in NBFC Directions.</w:t>
      </w:r>
    </w:p>
    <w:p>
      <w:pPr>
        <w:numPr>
          <w:ilvl w:val="0"/>
          <w:numId w:val="2156"/>
        </w:numPr>
        <w:pStyle w:val="Compact"/>
      </w:pPr>
      <w:r>
        <w:t xml:space="preserve">IAF para 29 uses a 3-level risk scale (high, medium, low). Para 34 uses 5 levels (low, medium, high, very high, extremely high). Make the scale configurable.</w:t>
      </w:r>
    </w:p>
    <w:p>
      <w:pPr>
        <w:numPr>
          <w:ilvl w:val="0"/>
          <w:numId w:val="2156"/>
        </w:numPr>
        <w:pStyle w:val="Compact"/>
      </w:pPr>
      <w:r>
        <w:t xml:space="preserve">ALM para 58 cites the</w:t>
      </w:r>
      <w:r>
        <w:t xml:space="preserve"> </w:t>
      </w:r>
      <w:r>
        <w:t xml:space="preserve">“</w:t>
      </w:r>
      <w:r>
        <w:t xml:space="preserve">Reserve Bank of India (Filing of Supervisory Returns) Directions, 2024</w:t>
      </w:r>
      <w:r>
        <w:t xml:space="preserve">”</w:t>
      </w:r>
      <w:r>
        <w:t xml:space="preserve">. Use SR 2026 instead.</w:t>
      </w:r>
    </w:p>
    <w:p>
      <w:pPr>
        <w:numPr>
          <w:ilvl w:val="0"/>
          <w:numId w:val="2156"/>
        </w:numPr>
        <w:pStyle w:val="Compact"/>
      </w:pPr>
      <w:r>
        <w:t xml:space="preserve">CON Annex I is headed</w:t>
      </w:r>
      <w:r>
        <w:t xml:space="preserve"> </w:t>
      </w:r>
      <w:r>
        <w:t xml:space="preserve">“</w:t>
      </w:r>
      <w:r>
        <w:t xml:space="preserve">Return for the Month</w:t>
      </w:r>
      <w:r>
        <w:t xml:space="preserve">”</w:t>
      </w:r>
      <w:r>
        <w:t xml:space="preserve"> </w:t>
      </w:r>
      <w:r>
        <w:t xml:space="preserve">and para 48(4) says</w:t>
      </w:r>
      <w:r>
        <w:t xml:space="preserve"> </w:t>
      </w:r>
      <w:r>
        <w:t xml:space="preserve">“</w:t>
      </w:r>
      <w:r>
        <w:t xml:space="preserve">10 largest exposures</w:t>
      </w:r>
      <w:r>
        <w:t xml:space="preserve">”</w:t>
      </w:r>
      <w:r>
        <w:t xml:space="preserve">. SR para 21 item 12 lists the LE Framework return as quarterly, with the</w:t>
      </w:r>
      <w:r>
        <w:t xml:space="preserve"> </w:t>
      </w:r>
      <w:r>
        <w:t xml:space="preserve">“</w:t>
      </w:r>
      <w:r>
        <w:t xml:space="preserve">20 largest exposures</w:t>
      </w:r>
      <w:r>
        <w:t xml:space="preserve">”</w:t>
      </w:r>
      <w:r>
        <w:t xml:space="preserve">.</w:t>
      </w:r>
    </w:p>
    <w:p>
      <w:pPr>
        <w:numPr>
          <w:ilvl w:val="0"/>
          <w:numId w:val="2156"/>
        </w:numPr>
        <w:pStyle w:val="Compact"/>
      </w:pPr>
      <w:r>
        <w:t xml:space="preserve">SR para 21 table: DNBS09 shares CRILC’s merged applicability cell, and FUA and FMR4/RBR share FMR’s merged cell. Plain-text extraction loses this; confirmed from the PDF (pp. 8, 10–11).</w:t>
      </w:r>
    </w:p>
    <w:p>
      <w:r>
        <w:pict>
          <v:rect style="width:0;height:1.5pt" o:hralign="center" o:hrstd="t" o:hr="t"/>
        </w:pict>
      </w:r>
    </w:p>
    <w:bookmarkEnd w:id="899"/>
    <w:bookmarkStart w:id="943" w:name="X0cd05e9faf3c697269bf4fe313f1d62c3b4c8aa"/>
    <w:p>
      <w:pPr>
        <w:pStyle w:val="Heading1"/>
      </w:pPr>
      <w:r>
        <w:t xml:space="preserve">APPENDIX G — NAVIGATION, MENUS, SCREENS AND SETTINGS MAP</w:t>
      </w:r>
    </w:p>
    <w:p>
      <w:pPr>
        <w:pStyle w:val="FirstParagraph"/>
      </w:pPr>
      <w:r>
        <w:t xml:space="preserve">This Appendix consolidates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Parts 7B–7L, designs menus for the v1.4 modules that have none (M1–M23, Part 7A R1–R16), and fixes the shell, screen patterns, settings hierarchy and notifications that every phase uses. Phase 0 confirms it (item 14); Phases 1 and 3 build the shell and settings framework; later phases register their entries here. A Part governs module behaviour; this Appendix governs menu keys, paths, placement and shared patterns (canonical paths in G.3.20). The owner approves the tree and commercial defaults (Appendix B item 48); regulatory floors are not owner choices.</w:t>
      </w:r>
    </w:p>
    <w:bookmarkStart w:id="904" w:name="g.1-design-rules"/>
    <w:p>
      <w:pPr>
        <w:pStyle w:val="Heading2"/>
      </w:pPr>
      <w:r>
        <w:t xml:space="preserve">G.1 Design rules</w:t>
      </w:r>
    </w:p>
    <w:bookmarkStart w:id="900" w:name="g.1.1-navigation-registry"/>
    <w:p>
      <w:pPr>
        <w:pStyle w:val="Heading3"/>
      </w:pPr>
      <w:r>
        <w:t xml:space="preserve">G.1.1 Navigation registry</w:t>
      </w:r>
    </w:p>
    <w:p>
      <w:pPr>
        <w:numPr>
          <w:ilvl w:val="0"/>
          <w:numId w:val="2157"/>
        </w:numPr>
        <w:pStyle w:val="Compact"/>
      </w:pPr>
      <w:r>
        <w:t xml:space="preserve">Each</w:t>
      </w:r>
      <w:r>
        <w:t xml:space="preserve"> </w:t>
      </w:r>
      <w:r>
        <w:rPr>
          <w:rStyle w:val="VerbatimChar"/>
        </w:rPr>
        <w:t xml:space="preserve">module.yaml</w:t>
      </w:r>
      <w:r>
        <w:t xml:space="preserve"> </w:t>
      </w:r>
      <w:r>
        <w:t xml:space="preserve">(Part 7A.0.1) declares its</w:t>
      </w:r>
      <w:r>
        <w:t xml:space="preserve"> </w:t>
      </w:r>
      <w:r>
        <w:rPr>
          <w:rStyle w:val="VerbatimChar"/>
        </w:rPr>
        <w:t xml:space="preserve">ui_slots</w:t>
      </w:r>
      <w:r>
        <w:t xml:space="preserve"> </w:t>
      </w:r>
      <w:r>
        <w:t xml:space="preserve">as</w:t>
      </w:r>
      <w:r>
        <w:t xml:space="preserve"> </w:t>
      </w:r>
      <w:r>
        <w:rPr>
          <w:rStyle w:val="VerbatimChar"/>
        </w:rPr>
        <w:t xml:space="preserve">nav_item</w:t>
      </w:r>
      <w:r>
        <w:t xml:space="preserve"> </w:t>
      </w:r>
      <w:r>
        <w:t xml:space="preserve">records:</w:t>
      </w:r>
      <w:r>
        <w:t xml:space="preserve"> </w:t>
      </w:r>
      <w:r>
        <w:rPr>
          <w:rStyle w:val="VerbatimChar"/>
        </w:rPr>
        <w:t xml:space="preserve">menu_key</w:t>
      </w:r>
      <w:r>
        <w:t xml:space="preserve"> </w:t>
      </w:r>
      <w:r>
        <w:t xml:space="preserve">(stable, never renamed, e.g. </w:t>
      </w:r>
      <w:r>
        <w:rPr>
          <w:rStyle w:val="VerbatimChar"/>
        </w:rPr>
        <w:t xml:space="preserve">compliance.returns.calendar</w:t>
      </w:r>
      <w:r>
        <w:t xml:space="preserve">),</w:t>
      </w:r>
      <w:r>
        <w:t xml:space="preserve"> </w:t>
      </w:r>
      <w:r>
        <w:rPr>
          <w:rStyle w:val="VerbatimChar"/>
        </w:rPr>
        <w:t xml:space="preserve">parent</w:t>
      </w:r>
      <w:r>
        <w:t xml:space="preserve">,</w:t>
      </w:r>
      <w:r>
        <w:t xml:space="preserve"> </w:t>
      </w:r>
      <w:r>
        <w:rPr>
          <w:rStyle w:val="VerbatimChar"/>
        </w:rPr>
        <w:t xml:space="preserve">label_key</w:t>
      </w:r>
      <w:r>
        <w:t xml:space="preserve">,</w:t>
      </w:r>
      <w:r>
        <w:t xml:space="preserve"> </w:t>
      </w:r>
      <w:r>
        <w:rPr>
          <w:rStyle w:val="VerbatimChar"/>
        </w:rPr>
        <w:t xml:space="preserve">route</w:t>
      </w:r>
      <w:r>
        <w:t xml:space="preserve">,</w:t>
      </w:r>
      <w:r>
        <w:t xml:space="preserve"> </w:t>
      </w:r>
      <w:r>
        <w:rPr>
          <w:rStyle w:val="VerbatimChar"/>
        </w:rPr>
        <w:t xml:space="preserve">workspaces[]</w:t>
      </w:r>
      <w:r>
        <w:t xml:space="preserve">,</w:t>
      </w:r>
      <w:r>
        <w:t xml:space="preserve"> </w:t>
      </w:r>
      <w:r>
        <w:rPr>
          <w:rStyle w:val="VerbatimChar"/>
        </w:rPr>
        <w:t xml:space="preserve">permission</w:t>
      </w:r>
      <w:r>
        <w:t xml:space="preserve">,</w:t>
      </w:r>
      <w:r>
        <w:t xml:space="preserve"> </w:t>
      </w:r>
      <w:r>
        <w:rPr>
          <w:rStyle w:val="VerbatimChar"/>
        </w:rPr>
        <w:t xml:space="preserve">capability</w:t>
      </w:r>
      <w:r>
        <w:t xml:space="preserve">,</w:t>
      </w:r>
      <w:r>
        <w:t xml:space="preserve"> </w:t>
      </w:r>
      <w:r>
        <w:rPr>
          <w:rStyle w:val="VerbatimChar"/>
        </w:rPr>
        <w:t xml:space="preserve">licence_sku</w:t>
      </w:r>
      <w:r>
        <w:t xml:space="preserve">,</w:t>
      </w:r>
      <w:r>
        <w:t xml:space="preserve"> </w:t>
      </w:r>
      <w:r>
        <w:rPr>
          <w:rStyle w:val="VerbatimChar"/>
        </w:rPr>
        <w:t xml:space="preserve">profile_condition</w:t>
      </w:r>
      <w:r>
        <w:t xml:space="preserve"> </w:t>
      </w:r>
      <w:r>
        <w:t xml:space="preserve">(IP1.4),</w:t>
      </w:r>
      <w:r>
        <w:t xml:space="preserve"> </w:t>
      </w:r>
      <w:r>
        <w:rPr>
          <w:rStyle w:val="VerbatimChar"/>
        </w:rPr>
        <w:t xml:space="preserve">regulated</w:t>
      </w:r>
      <w:r>
        <w:t xml:space="preserve"> </w:t>
      </w:r>
      <w:r>
        <w:t xml:space="preserve">(carries a CM1.4 function),</w:t>
      </w:r>
      <w:r>
        <w:t xml:space="preserve"> </w:t>
      </w:r>
      <w:r>
        <w:rPr>
          <w:rStyle w:val="VerbatimChar"/>
        </w:rPr>
        <w:t xml:space="preserve">order</w:t>
      </w:r>
      <w:r>
        <w:t xml:space="preserve">,</w:t>
      </w:r>
      <w:r>
        <w:t xml:space="preserve"> </w:t>
      </w:r>
      <w:r>
        <w:rPr>
          <w:rStyle w:val="VerbatimChar"/>
        </w:rPr>
        <w:t xml:space="preserve">phase</w:t>
      </w:r>
      <w:r>
        <w:t xml:space="preserve">,</w:t>
      </w:r>
      <w:r>
        <w:t xml:space="preserve"> </w:t>
      </w:r>
      <w:r>
        <w:rPr>
          <w:rStyle w:val="VerbatimChar"/>
        </w:rPr>
        <w:t xml:space="preserve">shortcut</w:t>
      </w:r>
      <w:r>
        <w:t xml:space="preserve">.</w:t>
      </w:r>
    </w:p>
    <w:p>
      <w:pPr>
        <w:numPr>
          <w:ilvl w:val="0"/>
          <w:numId w:val="2157"/>
        </w:numPr>
        <w:pStyle w:val="Compact"/>
      </w:pPr>
      <w:r>
        <w:t xml:space="preserve">The server builds the tree per user, workspace and legal entity (</w:t>
      </w:r>
      <w:r>
        <w:rPr>
          <w:rStyle w:val="VerbatimChar"/>
        </w:rPr>
        <w:t xml:space="preserve">GET /me/navigation</w:t>
      </w:r>
      <w:r>
        <w:t xml:space="preserve">), cached per session and invalidated on any role, entitlement, flag, profile or module-state change. The client never filters; an omitted item is never rendered, and a deep link to it opens the permission-denied or not-entitled page with the reason code.</w:t>
      </w:r>
    </w:p>
    <w:p>
      <w:pPr>
        <w:numPr>
          <w:ilvl w:val="0"/>
          <w:numId w:val="2157"/>
        </w:numPr>
        <w:pStyle w:val="Compact"/>
      </w:pPr>
      <w:r>
        <w:t xml:space="preserve">One canonical route per screen; a workspace (Part 3.2) is a curated view (landing page, pinned menus, queues). Three levels at most (sidebar › section › screen); deeper structure is tabs.</w:t>
      </w:r>
    </w:p>
    <w:p>
      <w:pPr>
        <w:numPr>
          <w:ilvl w:val="0"/>
          <w:numId w:val="2157"/>
        </w:numPr>
        <w:pStyle w:val="Compact"/>
      </w:pPr>
      <w:r>
        <w:t xml:space="preserve">CI fails on a</w:t>
      </w:r>
      <w:r>
        <w:t xml:space="preserve"> </w:t>
      </w:r>
      <w:r>
        <w:rPr>
          <w:rStyle w:val="VerbatimChar"/>
        </w:rPr>
        <w:t xml:space="preserve">nav_item</w:t>
      </w:r>
      <w:r>
        <w:t xml:space="preserve"> </w:t>
      </w:r>
      <w:r>
        <w:t xml:space="preserve">without page test, permission or SKU, on an undeclared route, or on a</w:t>
      </w:r>
      <w:r>
        <w:t xml:space="preserve"> </w:t>
      </w:r>
      <w:r>
        <w:rPr>
          <w:rStyle w:val="VerbatimChar"/>
        </w:rPr>
        <w:t xml:space="preserve">regulated</w:t>
      </w:r>
      <w:r>
        <w:t xml:space="preserve"> </w:t>
      </w:r>
      <w:r>
        <w:t xml:space="preserve">item unreachable in any commercial state.</w:t>
      </w:r>
    </w:p>
    <w:bookmarkEnd w:id="900"/>
    <w:bookmarkStart w:id="901" w:name="g.1.2-visibility-rules"/>
    <w:p>
      <w:pPr>
        <w:pStyle w:val="Heading3"/>
      </w:pPr>
      <w:r>
        <w:t xml:space="preserve">G.1.2 Visibility rules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980"/>
        <w:gridCol w:w="4281"/>
        <w:gridCol w:w="2377"/>
      </w:tblGrid>
      <w:tr>
        <w:trPr>
          <w:tblHeader w:val="true"/>
          <w:tblHeader w:val="true"/>
        </w:trPr>
        <w:tc>
          <w:tcPr>
            <w:tcW w:w="2980" w:type="dxa"/>
            <w:shd w:val="clear" w:color="auto" w:fill="1F3A5F"/>
          </w:tcPr>
          <w:p>
            <w:pPr>
              <w:pStyle w:val="Compact"/>
              <w:spacing w:after="40"/>
              <w:jc w:val="left"/>
            </w:pPr>
            <w:r>
              <w:rPr>
                <w:b/>
                <w:color w:val="FFFFFF"/>
                <w:sz w:val="18"/>
              </w:rPr>
              <w:t xml:space="preserve">Condition</w:t>
            </w:r>
          </w:p>
        </w:tc>
        <w:tc>
          <w:tcPr>
            <w:tcW w:w="4281" w:type="dxa"/>
            <w:shd w:val="clear" w:color="auto" w:fill="1F3A5F"/>
          </w:tcPr>
          <w:p>
            <w:pPr>
              <w:pStyle w:val="Compact"/>
              <w:spacing w:after="40"/>
              <w:jc w:val="left"/>
            </w:pPr>
            <w:r>
              <w:rPr>
                <w:b/>
                <w:color w:val="FFFFFF"/>
                <w:sz w:val="18"/>
              </w:rPr>
              <w:t xml:space="preserve">Menu</w:t>
            </w:r>
          </w:p>
        </w:tc>
        <w:tc>
          <w:tcPr>
            <w:tcW w:w="2377" w:type="dxa"/>
            <w:shd w:val="clear" w:color="auto" w:fill="1F3A5F"/>
          </w:tcPr>
          <w:p>
            <w:pPr>
              <w:pStyle w:val="Compact"/>
              <w:spacing w:after="40"/>
              <w:jc w:val="left"/>
            </w:pPr>
            <w:r>
              <w:rPr>
                <w:b/>
                <w:color w:val="FFFFFF"/>
                <w:sz w:val="18"/>
              </w:rPr>
              <w:t xml:space="preserve">API</w:t>
            </w:r>
          </w:p>
        </w:tc>
      </w:tr>
      <w:tr>
        <w:tc>
          <w:tcPr>
            <w:tcW w:w="2980" w:type="dxa"/>
          </w:tcPr>
          <w:p>
            <w:pPr>
              <w:pStyle w:val="Compact"/>
              <w:spacing w:after="40"/>
              <w:jc w:val="left"/>
            </w:pPr>
            <w:r>
              <w:rPr>
                <w:sz w:val="18"/>
              </w:rPr>
              <w:t xml:space="preserve">No SKU</w:t>
            </w:r>
          </w:p>
        </w:tc>
        <w:tc>
          <w:tcPr>
            <w:tcW w:w="4281" w:type="dxa"/>
          </w:tcPr>
          <w:p>
            <w:pPr>
              <w:pStyle w:val="Compact"/>
              <w:spacing w:after="40"/>
              <w:jc w:val="left"/>
            </w:pPr>
            <w:r>
              <w:rPr>
                <w:sz w:val="18"/>
              </w:rPr>
              <w:t xml:space="preserve">Hidden; offered in</w:t>
            </w:r>
            <w:r>
              <w:rPr>
                <w:sz w:val="18"/>
              </w:rPr>
              <w:t xml:space="preserve"> </w:t>
            </w:r>
            <w:r>
              <w:rPr>
                <w:rStyle w:val="VerbatimChar"/>
                <w:sz w:val="18"/>
              </w:rPr>
              <w:t xml:space="preserve">Settings › Plan and billing › Add-ons</w:t>
            </w:r>
          </w:p>
        </w:tc>
        <w:tc>
          <w:tcPr>
            <w:tcW w:w="2377" w:type="dxa"/>
          </w:tcPr>
          <w:p>
            <w:pPr>
              <w:pStyle w:val="Compact"/>
              <w:spacing w:after="40"/>
              <w:jc w:val="left"/>
            </w:pPr>
            <w:r>
              <w:rPr>
                <w:sz w:val="18"/>
              </w:rPr>
              <w:t xml:space="preserve">403</w:t>
            </w:r>
            <w:r>
              <w:rPr>
                <w:sz w:val="18"/>
              </w:rPr>
              <w:t xml:space="preserve"> </w:t>
            </w:r>
            <w:r>
              <w:rPr>
                <w:rStyle w:val="VerbatimChar"/>
                <w:sz w:val="18"/>
              </w:rPr>
              <w:t xml:space="preserve">not_entitled</w:t>
            </w:r>
          </w:p>
        </w:tc>
      </w:tr>
      <w:tr>
        <w:tc>
          <w:tcPr>
            <w:tcW w:w="2980" w:type="dxa"/>
          </w:tcPr>
          <w:p>
            <w:pPr>
              <w:pStyle w:val="Compact"/>
              <w:spacing w:after="40"/>
              <w:jc w:val="left"/>
            </w:pPr>
            <w:r>
              <w:rPr>
                <w:sz w:val="18"/>
              </w:rPr>
              <w:t xml:space="preserve">Flag off for the entity, product or branch</w:t>
            </w:r>
          </w:p>
        </w:tc>
        <w:tc>
          <w:tcPr>
            <w:tcW w:w="4281" w:type="dxa"/>
          </w:tcPr>
          <w:p>
            <w:pPr>
              <w:pStyle w:val="Compact"/>
              <w:spacing w:after="40"/>
              <w:jc w:val="left"/>
            </w:pPr>
            <w:r>
              <w:rPr>
                <w:sz w:val="18"/>
              </w:rPr>
              <w:t xml:space="preserve">Hidden there; tenant admin sees</w:t>
            </w:r>
            <w:r>
              <w:rPr>
                <w:sz w:val="18"/>
              </w:rPr>
              <w:t xml:space="preserve"> </w:t>
            </w:r>
            <w:r>
              <w:rPr>
                <w:sz w:val="18"/>
              </w:rPr>
              <w:t xml:space="preserve">“</w:t>
            </w:r>
            <w:r>
              <w:rPr>
                <w:sz w:val="18"/>
              </w:rPr>
              <w:t xml:space="preserve">Not enabled</w:t>
            </w:r>
            <w:r>
              <w:rPr>
                <w:sz w:val="18"/>
              </w:rPr>
              <w:t xml:space="preserve">”</w:t>
            </w:r>
            <w:r>
              <w:rPr>
                <w:sz w:val="18"/>
              </w:rPr>
              <w:t xml:space="preserve"> </w:t>
            </w:r>
            <w:r>
              <w:rPr>
                <w:sz w:val="18"/>
              </w:rPr>
              <w:t xml:space="preserve">in</w:t>
            </w:r>
            <w:r>
              <w:rPr>
                <w:sz w:val="18"/>
              </w:rPr>
              <w:t xml:space="preserve"> </w:t>
            </w:r>
            <w:r>
              <w:rPr>
                <w:rStyle w:val="VerbatimChar"/>
                <w:sz w:val="18"/>
              </w:rPr>
              <w:t xml:space="preserve">Settings › Modules</w:t>
            </w:r>
          </w:p>
        </w:tc>
        <w:tc>
          <w:tcPr>
            <w:tcW w:w="2377" w:type="dxa"/>
          </w:tcPr>
          <w:p>
            <w:pPr>
              <w:pStyle w:val="Compact"/>
              <w:spacing w:after="40"/>
              <w:jc w:val="left"/>
            </w:pPr>
            <w:r>
              <w:rPr>
                <w:sz w:val="18"/>
              </w:rPr>
              <w:t xml:space="preserve">403</w:t>
            </w:r>
            <w:r>
              <w:rPr>
                <w:sz w:val="18"/>
              </w:rPr>
              <w:t xml:space="preserve"> </w:t>
            </w:r>
            <w:r>
              <w:rPr>
                <w:rStyle w:val="VerbatimChar"/>
                <w:sz w:val="18"/>
              </w:rPr>
              <w:t xml:space="preserve">not_enabled</w:t>
            </w:r>
          </w:p>
        </w:tc>
      </w:tr>
      <w:tr>
        <w:tc>
          <w:tcPr>
            <w:tcW w:w="2980" w:type="dxa"/>
          </w:tcPr>
          <w:p>
            <w:pPr>
              <w:pStyle w:val="Compact"/>
              <w:spacing w:after="40"/>
              <w:jc w:val="left"/>
            </w:pPr>
            <w:r>
              <w:rPr>
                <w:sz w:val="18"/>
              </w:rPr>
              <w:t xml:space="preserve">Required module missing</w:t>
            </w:r>
          </w:p>
        </w:tc>
        <w:tc>
          <w:tcPr>
            <w:tcW w:w="4281" w:type="dxa"/>
          </w:tcPr>
          <w:p>
            <w:pPr>
              <w:pStyle w:val="Compact"/>
              <w:spacing w:after="40"/>
              <w:jc w:val="left"/>
            </w:pPr>
            <w:r>
              <w:rPr>
                <w:sz w:val="18"/>
              </w:rPr>
              <w:t xml:space="preserve">Hidden; tenant admin sees</w:t>
            </w:r>
            <w:r>
              <w:rPr>
                <w:sz w:val="18"/>
              </w:rPr>
              <w:t xml:space="preserve"> </w:t>
            </w:r>
            <w:r>
              <w:rPr>
                <w:sz w:val="18"/>
              </w:rPr>
              <w:t xml:space="preserve">“</w:t>
            </w:r>
            <w:r>
              <w:rPr>
                <w:sz w:val="18"/>
              </w:rPr>
              <w:t xml:space="preserve">Needs</w:t>
            </w:r>
            <w:r>
              <w:rPr>
                <w:sz w:val="18"/>
              </w:rPr>
              <w:t xml:space="preserve">”</w:t>
            </w:r>
            <w:r>
              <w:rPr>
                <w:sz w:val="18"/>
              </w:rPr>
              <w:t xml:space="preserve"> </w:t>
            </w:r>
            <w:r>
              <w:rPr>
                <w:sz w:val="18"/>
              </w:rPr>
              <w:t xml:space="preserve">and the module</w:t>
            </w:r>
          </w:p>
        </w:tc>
        <w:tc>
          <w:tcPr>
            <w:tcW w:w="2377" w:type="dxa"/>
          </w:tcPr>
          <w:p>
            <w:pPr>
              <w:pStyle w:val="Compact"/>
              <w:spacing w:after="40"/>
              <w:jc w:val="left"/>
            </w:pPr>
            <w:r>
              <w:rPr>
                <w:sz w:val="18"/>
              </w:rPr>
              <w:t xml:space="preserve">403</w:t>
            </w:r>
            <w:r>
              <w:rPr>
                <w:sz w:val="18"/>
              </w:rPr>
              <w:t xml:space="preserve"> </w:t>
            </w:r>
            <w:r>
              <w:rPr>
                <w:rStyle w:val="VerbatimChar"/>
                <w:sz w:val="18"/>
              </w:rPr>
              <w:t xml:space="preserve">dependency_missing</w:t>
            </w:r>
          </w:p>
        </w:tc>
      </w:tr>
      <w:tr>
        <w:tc>
          <w:tcPr>
            <w:tcW w:w="2980" w:type="dxa"/>
          </w:tcPr>
          <w:p>
            <w:pPr>
              <w:pStyle w:val="Compact"/>
              <w:spacing w:after="40"/>
              <w:jc w:val="left"/>
            </w:pPr>
            <w:r>
              <w:rPr>
                <w:rStyle w:val="VerbatimChar"/>
                <w:sz w:val="18"/>
              </w:rPr>
              <w:t xml:space="preserve">CONFIGURED</w:t>
            </w:r>
            <w:r>
              <w:rPr>
                <w:sz w:val="18"/>
              </w:rPr>
              <w:t xml:space="preserve"> </w:t>
            </w:r>
            <w:r>
              <w:rPr>
                <w:sz w:val="18"/>
              </w:rPr>
              <w:t xml:space="preserve">or</w:t>
            </w:r>
            <w:r>
              <w:rPr>
                <w:sz w:val="18"/>
              </w:rPr>
              <w:t xml:space="preserve"> </w:t>
            </w:r>
            <w:r>
              <w:rPr>
                <w:rStyle w:val="VerbatimChar"/>
                <w:sz w:val="18"/>
              </w:rPr>
              <w:t xml:space="preserve">CERTIFIED</w:t>
            </w:r>
            <w:r>
              <w:rPr>
                <w:sz w:val="18"/>
              </w:rPr>
              <w:t xml:space="preserve">, not</w:t>
            </w:r>
            <w:r>
              <w:rPr>
                <w:sz w:val="18"/>
              </w:rPr>
              <w:t xml:space="preserve"> </w:t>
            </w:r>
            <w:r>
              <w:rPr>
                <w:rStyle w:val="VerbatimChar"/>
                <w:sz w:val="18"/>
              </w:rPr>
              <w:t xml:space="preserve">ENABLED</w:t>
            </w:r>
          </w:p>
        </w:tc>
        <w:tc>
          <w:tcPr>
            <w:tcW w:w="4281" w:type="dxa"/>
          </w:tcPr>
          <w:p>
            <w:pPr>
              <w:pStyle w:val="Compact"/>
              <w:spacing w:after="40"/>
              <w:jc w:val="left"/>
            </w:pPr>
            <w:r>
              <w:rPr>
                <w:sz w:val="18"/>
              </w:rPr>
              <w:t xml:space="preserve">Tenant admin and certifiers only, badge</w:t>
            </w:r>
            <w:r>
              <w:rPr>
                <w:sz w:val="18"/>
              </w:rPr>
              <w:t xml:space="preserve"> </w:t>
            </w:r>
            <w:r>
              <w:rPr>
                <w:sz w:val="18"/>
              </w:rPr>
              <w:t xml:space="preserve">“</w:t>
            </w:r>
            <w:r>
              <w:rPr>
                <w:sz w:val="18"/>
              </w:rPr>
              <w:t xml:space="preserve">Certification</w:t>
            </w:r>
            <w:r>
              <w:rPr>
                <w:sz w:val="18"/>
              </w:rPr>
              <w:t xml:space="preserve">”</w:t>
            </w:r>
          </w:p>
        </w:tc>
        <w:tc>
          <w:tcPr>
            <w:tcW w:w="2377" w:type="dxa"/>
          </w:tcPr>
          <w:p>
            <w:pPr>
              <w:pStyle w:val="Compact"/>
              <w:spacing w:after="40"/>
              <w:jc w:val="left"/>
            </w:pPr>
            <w:r>
              <w:rPr>
                <w:sz w:val="18"/>
              </w:rPr>
              <w:t xml:space="preserve">Writes refused except certification runs</w:t>
            </w:r>
          </w:p>
        </w:tc>
      </w:tr>
      <w:tr>
        <w:tc>
          <w:tcPr>
            <w:tcW w:w="2980" w:type="dxa"/>
          </w:tcPr>
          <w:p>
            <w:pPr>
              <w:pStyle w:val="Compact"/>
              <w:spacing w:after="40"/>
              <w:jc w:val="left"/>
            </w:pPr>
            <w:r>
              <w:rPr>
                <w:rStyle w:val="VerbatimChar"/>
                <w:sz w:val="18"/>
              </w:rPr>
              <w:t xml:space="preserve">READ_ONLY</w:t>
            </w:r>
            <w:r>
              <w:rPr>
                <w:sz w:val="18"/>
              </w:rPr>
              <w:t xml:space="preserve"> </w:t>
            </w:r>
            <w:r>
              <w:rPr>
                <w:sz w:val="18"/>
              </w:rPr>
              <w:t xml:space="preserve">(detach, downgrade, cancellation; Part 7A.0.5, CM1.4)</w:t>
            </w:r>
          </w:p>
        </w:tc>
        <w:tc>
          <w:tcPr>
            <w:tcW w:w="4281" w:type="dxa"/>
          </w:tcPr>
          <w:p>
            <w:pPr>
              <w:pStyle w:val="Compact"/>
              <w:spacing w:after="40"/>
              <w:jc w:val="left"/>
            </w:pPr>
            <w:r>
              <w:rPr>
                <w:sz w:val="18"/>
              </w:rPr>
              <w:t xml:space="preserve">Grey</w:t>
            </w:r>
            <w:r>
              <w:rPr>
                <w:sz w:val="18"/>
              </w:rPr>
              <w:t xml:space="preserve"> </w:t>
            </w:r>
            <w:r>
              <w:rPr>
                <w:bCs/>
                <w:b/>
                <w:sz w:val="18"/>
              </w:rPr>
              <w:t xml:space="preserve">Read-only</w:t>
            </w:r>
            <w:r>
              <w:rPr>
                <w:sz w:val="18"/>
              </w:rPr>
              <w:t xml:space="preserve"> </w:t>
            </w:r>
            <w:r>
              <w:rPr>
                <w:sz w:val="18"/>
              </w:rPr>
              <w:t xml:space="preserve">badge with date, reason and export link; create, edit and bulk actions removed; registers, reports and exports stay</w:t>
            </w:r>
          </w:p>
        </w:tc>
        <w:tc>
          <w:tcPr>
            <w:tcW w:w="2377" w:type="dxa"/>
          </w:tcPr>
          <w:p>
            <w:pPr>
              <w:pStyle w:val="Compact"/>
              <w:spacing w:after="40"/>
              <w:jc w:val="left"/>
            </w:pPr>
            <w:r>
              <w:rPr>
                <w:sz w:val="18"/>
              </w:rPr>
              <w:t xml:space="preserve">Writes 403</w:t>
            </w:r>
            <w:r>
              <w:rPr>
                <w:sz w:val="18"/>
              </w:rPr>
              <w:t xml:space="preserve"> </w:t>
            </w:r>
            <w:r>
              <w:rPr>
                <w:rStyle w:val="VerbatimChar"/>
                <w:sz w:val="18"/>
              </w:rPr>
              <w:t xml:space="preserve">read_only</w:t>
            </w:r>
          </w:p>
        </w:tc>
      </w:tr>
      <w:tr>
        <w:tc>
          <w:tcPr>
            <w:tcW w:w="2980" w:type="dxa"/>
          </w:tcPr>
          <w:p>
            <w:pPr>
              <w:pStyle w:val="Compact"/>
              <w:spacing w:after="40"/>
              <w:jc w:val="left"/>
            </w:pPr>
            <w:r>
              <w:rPr>
                <w:rStyle w:val="VerbatimChar"/>
                <w:sz w:val="18"/>
              </w:rPr>
              <w:t xml:space="preserve">DETACHED</w:t>
            </w:r>
          </w:p>
        </w:tc>
        <w:tc>
          <w:tcPr>
            <w:tcW w:w="4281" w:type="dxa"/>
          </w:tcPr>
          <w:p>
            <w:pPr>
              <w:pStyle w:val="Compact"/>
              <w:spacing w:after="40"/>
              <w:jc w:val="left"/>
            </w:pPr>
            <w:r>
              <w:rPr>
                <w:sz w:val="18"/>
              </w:rPr>
              <w:t xml:space="preserve">Hidden except registers and export bundle in</w:t>
            </w:r>
            <w:r>
              <w:rPr>
                <w:sz w:val="18"/>
              </w:rPr>
              <w:t xml:space="preserve"> </w:t>
            </w:r>
            <w:r>
              <w:rPr>
                <w:rStyle w:val="VerbatimChar"/>
                <w:sz w:val="18"/>
              </w:rPr>
              <w:t xml:space="preserve">Data › Exports</w:t>
            </w:r>
          </w:p>
        </w:tc>
        <w:tc>
          <w:tcPr>
            <w:tcW w:w="2377" w:type="dxa"/>
          </w:tcPr>
          <w:p>
            <w:pPr>
              <w:pStyle w:val="Compact"/>
              <w:spacing w:after="40"/>
              <w:jc w:val="left"/>
            </w:pPr>
            <w:r>
              <w:rPr>
                <w:sz w:val="18"/>
              </w:rPr>
              <w:t xml:space="preserve">Export only</w:t>
            </w:r>
          </w:p>
        </w:tc>
      </w:tr>
      <w:tr>
        <w:tc>
          <w:tcPr>
            <w:tcW w:w="2980" w:type="dxa"/>
          </w:tcPr>
          <w:p>
            <w:pPr>
              <w:pStyle w:val="Compact"/>
              <w:spacing w:after="40"/>
              <w:jc w:val="left"/>
            </w:pPr>
            <w:r>
              <w:rPr>
                <w:sz w:val="18"/>
              </w:rPr>
              <w:t xml:space="preserve">No permission</w:t>
            </w:r>
          </w:p>
        </w:tc>
        <w:tc>
          <w:tcPr>
            <w:tcW w:w="4281" w:type="dxa"/>
          </w:tcPr>
          <w:p>
            <w:pPr>
              <w:pStyle w:val="Compact"/>
              <w:spacing w:after="40"/>
              <w:jc w:val="left"/>
            </w:pPr>
            <w:r>
              <w:rPr>
                <w:sz w:val="18"/>
              </w:rPr>
              <w:t xml:space="preserve">Hidden, never shown disabled</w:t>
            </w:r>
          </w:p>
        </w:tc>
        <w:tc>
          <w:tcPr>
            <w:tcW w:w="2377" w:type="dxa"/>
          </w:tcPr>
          <w:p>
            <w:pPr>
              <w:pStyle w:val="Compact"/>
              <w:spacing w:after="40"/>
              <w:jc w:val="left"/>
            </w:pPr>
            <w:r>
              <w:rPr>
                <w:sz w:val="18"/>
              </w:rPr>
              <w:t xml:space="preserve">403</w:t>
            </w:r>
            <w:r>
              <w:rPr>
                <w:sz w:val="18"/>
              </w:rPr>
              <w:t xml:space="preserve"> </w:t>
            </w:r>
            <w:r>
              <w:rPr>
                <w:rStyle w:val="VerbatimChar"/>
                <w:sz w:val="18"/>
              </w:rPr>
              <w:t xml:space="preserve">forbidden</w:t>
            </w:r>
          </w:p>
        </w:tc>
      </w:tr>
      <w:tr>
        <w:tc>
          <w:tcPr>
            <w:tcW w:w="2980" w:type="dxa"/>
          </w:tcPr>
          <w:p>
            <w:pPr>
              <w:pStyle w:val="Compact"/>
              <w:spacing w:after="40"/>
              <w:jc w:val="left"/>
            </w:pPr>
            <w:r>
              <w:rPr>
                <w:sz w:val="18"/>
              </w:rPr>
              <w:t xml:space="preserve">ABAC scope (entity, branch, product, assignment, amount band)</w:t>
            </w:r>
          </w:p>
        </w:tc>
        <w:tc>
          <w:tcPr>
            <w:tcW w:w="4281" w:type="dxa"/>
          </w:tcPr>
          <w:p>
            <w:pPr>
              <w:pStyle w:val="Compact"/>
              <w:spacing w:after="40"/>
              <w:jc w:val="left"/>
            </w:pPr>
            <w:r>
              <w:rPr>
                <w:sz w:val="18"/>
              </w:rPr>
              <w:t xml:space="preserve">Lists, counts and search filtered</w:t>
            </w:r>
          </w:p>
        </w:tc>
        <w:tc>
          <w:tcPr>
            <w:tcW w:w="2377" w:type="dxa"/>
          </w:tcPr>
          <w:p>
            <w:pPr>
              <w:pStyle w:val="Compact"/>
              <w:spacing w:after="40"/>
              <w:jc w:val="left"/>
            </w:pPr>
            <w:r>
              <w:rPr>
                <w:sz w:val="18"/>
              </w:rPr>
              <w:t xml:space="preserve">Row-level security</w:t>
            </w:r>
          </w:p>
        </w:tc>
      </w:tr>
      <w:tr>
        <w:tc>
          <w:tcPr>
            <w:tcW w:w="2980" w:type="dxa"/>
          </w:tcPr>
          <w:p>
            <w:pPr>
              <w:pStyle w:val="Compact"/>
              <w:spacing w:after="40"/>
              <w:jc w:val="left"/>
            </w:pPr>
            <w:r>
              <w:rPr>
                <w:sz w:val="18"/>
              </w:rPr>
              <w:t xml:space="preserve">Segregation of duties</w:t>
            </w:r>
          </w:p>
        </w:tc>
        <w:tc>
          <w:tcPr>
            <w:tcW w:w="4281" w:type="dxa"/>
          </w:tcPr>
          <w:p>
            <w:pPr>
              <w:pStyle w:val="Compact"/>
              <w:spacing w:after="40"/>
              <w:jc w:val="left"/>
            </w:pPr>
            <w:r>
              <w:rPr>
                <w:sz w:val="18"/>
              </w:rPr>
              <w:t xml:space="preserve">Conflicting button absent; status line explains why</w:t>
            </w:r>
          </w:p>
        </w:tc>
        <w:tc>
          <w:tcPr>
            <w:tcW w:w="2377" w:type="dxa"/>
          </w:tcPr>
          <w:p>
            <w:pPr>
              <w:pStyle w:val="Compact"/>
              <w:spacing w:after="40"/>
              <w:jc w:val="left"/>
            </w:pPr>
            <w:r>
              <w:rPr>
                <w:sz w:val="18"/>
              </w:rPr>
              <w:t xml:space="preserve">403</w:t>
            </w:r>
            <w:r>
              <w:rPr>
                <w:sz w:val="18"/>
              </w:rPr>
              <w:t xml:space="preserve"> </w:t>
            </w:r>
            <w:r>
              <w:rPr>
                <w:rStyle w:val="VerbatimChar"/>
                <w:sz w:val="18"/>
              </w:rPr>
              <w:t xml:space="preserve">sod_conflict</w:t>
            </w:r>
          </w:p>
        </w:tc>
      </w:tr>
      <w:tr>
        <w:tc>
          <w:tcPr>
            <w:tcW w:w="2980" w:type="dxa"/>
          </w:tcPr>
          <w:p>
            <w:pPr>
              <w:pStyle w:val="Compact"/>
              <w:spacing w:after="40"/>
              <w:jc w:val="left"/>
            </w:pPr>
            <w:r>
              <w:rPr>
                <w:sz w:val="18"/>
              </w:rPr>
              <w:t xml:space="preserve">Quota, dunning or suspension</w:t>
            </w:r>
          </w:p>
        </w:tc>
        <w:tc>
          <w:tcPr>
            <w:tcW w:w="4281" w:type="dxa"/>
          </w:tcPr>
          <w:p>
            <w:pPr>
              <w:pStyle w:val="Compact"/>
              <w:spacing w:after="40"/>
              <w:jc w:val="left"/>
            </w:pPr>
            <w:r>
              <w:rPr>
                <w:sz w:val="18"/>
              </w:rPr>
              <w:t xml:space="preserve">Never hides a</w:t>
            </w:r>
            <w:r>
              <w:rPr>
                <w:sz w:val="18"/>
              </w:rPr>
              <w:t xml:space="preserve"> </w:t>
            </w:r>
            <w:r>
              <w:rPr>
                <w:rStyle w:val="VerbatimChar"/>
                <w:sz w:val="18"/>
              </w:rPr>
              <w:t xml:space="preserve">regulated</w:t>
            </w:r>
            <w:r>
              <w:rPr>
                <w:sz w:val="18"/>
              </w:rPr>
              <w:t xml:space="preserve"> </w:t>
            </w:r>
            <w:r>
              <w:rPr>
                <w:sz w:val="18"/>
              </w:rPr>
              <w:t xml:space="preserve">item (CM1.4); banner on new non-regulated units</w:t>
            </w:r>
          </w:p>
        </w:tc>
        <w:tc>
          <w:tcPr>
            <w:tcW w:w="2377" w:type="dxa"/>
          </w:tcPr>
          <w:p>
            <w:pPr>
              <w:pStyle w:val="Compact"/>
              <w:spacing w:after="40"/>
              <w:jc w:val="left"/>
            </w:pPr>
            <w:r>
              <w:rPr>
                <w:rStyle w:val="VerbatimChar"/>
                <w:sz w:val="18"/>
              </w:rPr>
              <w:t xml:space="preserve">limit_reached</w:t>
            </w:r>
            <w:r>
              <w:rPr>
                <w:sz w:val="18"/>
              </w:rPr>
              <w:t xml:space="preserve"> </w:t>
            </w:r>
            <w:r>
              <w:rPr>
                <w:sz w:val="18"/>
              </w:rPr>
              <w:t xml:space="preserve">on creation only</w:t>
            </w:r>
          </w:p>
        </w:tc>
      </w:tr>
      <w:tr>
        <w:tc>
          <w:tcPr>
            <w:tcW w:w="2980" w:type="dxa"/>
          </w:tcPr>
          <w:p>
            <w:pPr>
              <w:pStyle w:val="Compact"/>
              <w:spacing w:after="40"/>
              <w:jc w:val="left"/>
            </w:pPr>
            <w:r>
              <w:rPr>
                <w:sz w:val="18"/>
              </w:rPr>
              <w:t xml:space="preserve">Institution profile</w:t>
            </w:r>
          </w:p>
        </w:tc>
        <w:tc>
          <w:tcPr>
            <w:tcW w:w="4281" w:type="dxa"/>
          </w:tcPr>
          <w:p>
            <w:pPr>
              <w:pStyle w:val="Compact"/>
              <w:spacing w:after="40"/>
              <w:jc w:val="left"/>
            </w:pPr>
            <w:r>
              <w:rPr>
                <w:sz w:val="18"/>
              </w:rPr>
              <w:t xml:space="preserve">Members, Microfinance, ARC, IFSC and Funds menus only where IP1 binds them to the selected entity</w:t>
            </w:r>
          </w:p>
        </w:tc>
        <w:tc>
          <w:tcPr>
            <w:tcW w:w="2377" w:type="dxa"/>
          </w:tcPr>
          <w:p>
            <w:pPr>
              <w:pStyle w:val="Compact"/>
              <w:spacing w:after="40"/>
              <w:jc w:val="left"/>
            </w:pPr>
            <w:r>
              <w:rPr>
                <w:sz w:val="18"/>
              </w:rPr>
              <w:t xml:space="preserve">Guard-rail codes (IP1.6)</w:t>
            </w:r>
          </w:p>
        </w:tc>
      </w:tr>
    </w:tbl>
    <w:bookmarkEnd w:id="901"/>
    <w:bookmarkStart w:id="902" w:name="g.1.3-vocabulary-language-and-locale"/>
    <w:p>
      <w:pPr>
        <w:pStyle w:val="Heading3"/>
      </w:pPr>
      <w:r>
        <w:t xml:space="preserve">G.1.3 Vocabulary, language and locale</w:t>
      </w:r>
    </w:p>
    <w:p>
      <w:pPr>
        <w:numPr>
          <w:ilvl w:val="0"/>
          <w:numId w:val="2158"/>
        </w:numPr>
        <w:pStyle w:val="Compact"/>
      </w:pPr>
      <w:r>
        <w:t xml:space="preserve">Labels resolve</w:t>
      </w:r>
      <w:r>
        <w:t xml:space="preserve"> </w:t>
      </w:r>
      <w:r>
        <w:rPr>
          <w:rStyle w:val="VerbatimChar"/>
        </w:rPr>
        <w:t xml:space="preserve">label_key</w:t>
      </w:r>
      <w:r>
        <w:t xml:space="preserve"> </w:t>
      </w:r>
      <w:r>
        <w:t xml:space="preserve">→ vocabulary pack (IP1.5:</w:t>
      </w:r>
      <w:r>
        <w:t xml:space="preserve"> </w:t>
      </w:r>
      <w:r>
        <w:rPr>
          <w:rStyle w:val="VerbatimChar"/>
        </w:rPr>
        <w:t xml:space="preserve">NBFC</w:t>
      </w:r>
      <w:r>
        <w:t xml:space="preserve">,</w:t>
      </w:r>
      <w:r>
        <w:t xml:space="preserve"> </w:t>
      </w:r>
      <w:r>
        <w:rPr>
          <w:rStyle w:val="VerbatimChar"/>
        </w:rPr>
        <w:t xml:space="preserve">COOP</w:t>
      </w:r>
      <w:r>
        <w:t xml:space="preserve">,</w:t>
      </w:r>
      <w:r>
        <w:t xml:space="preserve"> </w:t>
      </w:r>
      <w:r>
        <w:rPr>
          <w:rStyle w:val="VerbatimChar"/>
        </w:rPr>
        <w:t xml:space="preserve">COOPBANK</w:t>
      </w:r>
      <w:r>
        <w:t xml:space="preserve">, MFI overlay,</w:t>
      </w:r>
      <w:r>
        <w:t xml:space="preserve"> </w:t>
      </w:r>
      <w:r>
        <w:rPr>
          <w:rStyle w:val="VerbatimChar"/>
        </w:rPr>
        <w:t xml:space="preserve">ARC</w:t>
      </w:r>
      <w:r>
        <w:t xml:space="preserve">,</w:t>
      </w:r>
      <w:r>
        <w:t xml:space="preserve"> </w:t>
      </w:r>
      <w:r>
        <w:rPr>
          <w:rStyle w:val="VerbatimChar"/>
        </w:rPr>
        <w:t xml:space="preserve">IFSC</w:t>
      </w:r>
      <w:r>
        <w:t xml:space="preserve">,</w:t>
      </w:r>
      <w:r>
        <w:t xml:space="preserve"> </w:t>
      </w:r>
      <w:r>
        <w:rPr>
          <w:rStyle w:val="VerbatimChar"/>
        </w:rPr>
        <w:t xml:space="preserve">FUND</w:t>
      </w:r>
      <w:r>
        <w:t xml:space="preserve">) → language pack; keys, routes, API fields, statutory documents, returns and CIC files never change.</w:t>
      </w:r>
    </w:p>
    <w:p>
      <w:pPr>
        <w:numPr>
          <w:ilvl w:val="0"/>
          <w:numId w:val="2158"/>
        </w:numPr>
        <w:pStyle w:val="Compact"/>
      </w:pPr>
      <w:r>
        <w:rPr>
          <w:bCs/>
          <w:b/>
        </w:rPr>
        <w:t xml:space="preserve">Co-operative fold rule:</w:t>
      </w:r>
      <w:r>
        <w:t xml:space="preserve"> </w:t>
      </w:r>
      <w:r>
        <w:t xml:space="preserve">for</w:t>
      </w:r>
      <w:r>
        <w:t xml:space="preserve"> </w:t>
      </w:r>
      <w:r>
        <w:rPr>
          <w:rStyle w:val="VerbatimChar"/>
        </w:rPr>
        <w:t xml:space="preserve">COOP</w:t>
      </w:r>
      <w:r>
        <w:t xml:space="preserve"> </w:t>
      </w:r>
      <w:r>
        <w:t xml:space="preserve">entities the</w:t>
      </w:r>
      <w:r>
        <w:t xml:space="preserve"> </w:t>
      </w:r>
      <w:r>
        <w:rPr>
          <w:rStyle w:val="VerbatimChar"/>
        </w:rPr>
        <w:t xml:space="preserve">customers</w:t>
      </w:r>
      <w:r>
        <w:t xml:space="preserve"> </w:t>
      </w:r>
      <w:r>
        <w:t xml:space="preserve">menu is labelled</w:t>
      </w:r>
      <w:r>
        <w:t xml:space="preserve"> </w:t>
      </w:r>
      <w:r>
        <w:rPr>
          <w:bCs/>
          <w:b/>
        </w:rPr>
        <w:t xml:space="preserve">Members</w:t>
      </w:r>
      <w:r>
        <w:t xml:space="preserve"> </w:t>
      </w:r>
      <w:r>
        <w:t xml:space="preserve">and merged into</w:t>
      </w:r>
      <w:r>
        <w:t xml:space="preserve"> </w:t>
      </w:r>
      <w:r>
        <w:rPr>
          <w:rStyle w:val="VerbatimChar"/>
        </w:rPr>
        <w:t xml:space="preserve">members</w:t>
      </w:r>
      <w:r>
        <w:t xml:space="preserve"> </w:t>
      </w:r>
      <w:r>
        <w:t xml:space="preserve">(CIF tabs inside member 360);</w:t>
      </w:r>
      <w:r>
        <w:t xml:space="preserve"> </w:t>
      </w:r>
      <w:r>
        <w:rPr>
          <w:rStyle w:val="VerbatimChar"/>
        </w:rPr>
        <w:t xml:space="preserve">COOPBANK</w:t>
      </w:r>
      <w:r>
        <w:t xml:space="preserve"> </w:t>
      </w:r>
      <w:r>
        <w:t xml:space="preserve">shows both</w:t>
      </w:r>
      <w:r>
        <w:t xml:space="preserve"> </w:t>
      </w:r>
      <w:r>
        <w:rPr>
          <w:bCs/>
          <w:b/>
        </w:rPr>
        <w:t xml:space="preserve">Customers</w:t>
      </w:r>
      <w:r>
        <w:t xml:space="preserve"> </w:t>
      </w:r>
      <w:r>
        <w:t xml:space="preserve">and</w:t>
      </w:r>
      <w:r>
        <w:t xml:space="preserve"> </w:t>
      </w:r>
      <w:r>
        <w:rPr>
          <w:bCs/>
          <w:b/>
        </w:rPr>
        <w:t xml:space="preserve">Members</w:t>
      </w:r>
      <w:r>
        <w:t xml:space="preserve">; the MFI overlay labels</w:t>
      </w:r>
      <w:r>
        <w:t xml:space="preserve"> </w:t>
      </w:r>
      <w:r>
        <w:rPr>
          <w:rStyle w:val="VerbatimChar"/>
        </w:rPr>
        <w:t xml:space="preserve">customers</w:t>
      </w:r>
      <w:r>
        <w:t xml:space="preserve"> </w:t>
      </w:r>
      <w:r>
        <w:rPr>
          <w:bCs/>
          <w:b/>
        </w:rPr>
        <w:t xml:space="preserve">Members</w:t>
      </w:r>
      <w:r>
        <w:t xml:space="preserve">. No other menu may use</w:t>
      </w:r>
      <w:r>
        <w:t xml:space="preserve"> </w:t>
      </w:r>
      <w:r>
        <w:t xml:space="preserve">“</w:t>
      </w:r>
      <w:r>
        <w:t xml:space="preserve">Members</w:t>
      </w:r>
      <w:r>
        <w:t xml:space="preserve">”</w:t>
      </w:r>
      <w:r>
        <w:t xml:space="preserve"> </w:t>
      </w:r>
      <w:r>
        <w:t xml:space="preserve">(G.3.20).</w:t>
      </w:r>
    </w:p>
    <w:p>
      <w:pPr>
        <w:numPr>
          <w:ilvl w:val="0"/>
          <w:numId w:val="2158"/>
        </w:numPr>
        <w:pStyle w:val="Compact"/>
      </w:pPr>
      <w:r>
        <w:rPr>
          <w:bCs/>
          <w:b/>
        </w:rPr>
        <w:t xml:space="preserve">Numbers:</w:t>
      </w:r>
      <w:r>
        <w:t xml:space="preserve"> </w:t>
      </w:r>
      <w:r>
        <w:t xml:space="preserve">Indian grouping (₹12,34,56,789.50); dashboards may show</w:t>
      </w:r>
      <w:r>
        <w:t xml:space="preserve"> </w:t>
      </w:r>
      <w:r>
        <w:t xml:space="preserve">“</w:t>
      </w:r>
      <w:r>
        <w:t xml:space="preserve">₹12.35 lakh</w:t>
      </w:r>
      <w:r>
        <w:t xml:space="preserve">”</w:t>
      </w:r>
      <w:r>
        <w:t xml:space="preserve"> </w:t>
      </w:r>
      <w:r>
        <w:t xml:space="preserve">or</w:t>
      </w:r>
      <w:r>
        <w:t xml:space="preserve"> </w:t>
      </w:r>
      <w:r>
        <w:t xml:space="preserve">“</w:t>
      </w:r>
      <w:r>
        <w:t xml:space="preserve">₹1,234.56 crore</w:t>
      </w:r>
      <w:r>
        <w:t xml:space="preserve">”</w:t>
      </w:r>
      <w:r>
        <w:t xml:space="preserve"> </w:t>
      </w:r>
      <w:r>
        <w:t xml:space="preserve">with the exact amount in the tooltip and accessible name; never million or billion for INR; USD tenants (IFSC) use international grouping and the currency code; 2-decimal percentages, rate moves in bps; negatives in parentheses in financial statements.</w:t>
      </w:r>
    </w:p>
    <w:p>
      <w:pPr>
        <w:numPr>
          <w:ilvl w:val="0"/>
          <w:numId w:val="2158"/>
        </w:numPr>
        <w:pStyle w:val="Compact"/>
      </w:pPr>
      <w:r>
        <w:rPr>
          <w:bCs/>
          <w:b/>
        </w:rPr>
        <w:t xml:space="preserve">Dates:</w:t>
      </w:r>
      <w:r>
        <w:t xml:space="preserve"> </w:t>
      </w:r>
      <w:r>
        <w:t xml:space="preserve">DD-MM-YYYY on screens and user exports (30-09-2026);</w:t>
      </w:r>
      <w:r>
        <w:t xml:space="preserve"> </w:t>
      </w:r>
      <w:r>
        <w:t xml:space="preserve">“</w:t>
      </w:r>
      <w:r>
        <w:t xml:space="preserve">30 September 2026</w:t>
      </w:r>
      <w:r>
        <w:t xml:space="preserve">”</w:t>
      </w:r>
      <w:r>
        <w:t xml:space="preserve"> </w:t>
      </w:r>
      <w:r>
        <w:t xml:space="preserve">in letters; ISO 8601 in APIs and files;</w:t>
      </w:r>
      <w:r>
        <w:t xml:space="preserve"> </w:t>
      </w:r>
      <w:r>
        <w:t xml:space="preserve">“</w:t>
      </w:r>
      <w:r>
        <w:t xml:space="preserve">FY 2026-27</w:t>
      </w:r>
      <w:r>
        <w:t xml:space="preserve">”</w:t>
      </w:r>
      <w:r>
        <w:t xml:space="preserve">;</w:t>
      </w:r>
      <w:r>
        <w:t xml:space="preserve"> </w:t>
      </w:r>
      <w:r>
        <w:t xml:space="preserve">“</w:t>
      </w:r>
      <w:r>
        <w:t xml:space="preserve">tax year 2026-27</w:t>
      </w:r>
      <w:r>
        <w:t xml:space="preserve">”</w:t>
      </w:r>
      <w:r>
        <w:t xml:space="preserve"> </w:t>
      </w:r>
      <w:r>
        <w:t xml:space="preserve">under the Income-tax Act 2025.</w:t>
      </w:r>
    </w:p>
    <w:p>
      <w:pPr>
        <w:numPr>
          <w:ilvl w:val="0"/>
          <w:numId w:val="2158"/>
        </w:numPr>
        <w:pStyle w:val="Compact"/>
      </w:pPr>
      <w:r>
        <w:rPr>
          <w:bCs/>
          <w:b/>
        </w:rPr>
        <w:t xml:space="preserve">Time:</w:t>
      </w:r>
      <w:r>
        <w:t xml:space="preserve"> </w:t>
      </w:r>
      <w:r>
        <w:t xml:space="preserve">24-hour with</w:t>
      </w:r>
      <w:r>
        <w:t xml:space="preserve"> </w:t>
      </w:r>
      <w:r>
        <w:t xml:space="preserve">“</w:t>
      </w:r>
      <w:r>
        <w:t xml:space="preserve">IST</w:t>
      </w:r>
      <w:r>
        <w:t xml:space="preserve">”</w:t>
      </w:r>
      <w:r>
        <w:t xml:space="preserve"> </w:t>
      </w:r>
      <w:r>
        <w:t xml:space="preserve">(UTC+05:30) on every displayed timestamp; stored in UTC; cut-offs, contact windows, COB and SLA clocks run in IST on the entity’s holiday calendar (M1).</w:t>
      </w:r>
    </w:p>
    <w:bookmarkEnd w:id="902"/>
    <w:bookmarkStart w:id="903" w:name="g.1.4-refusal-codes"/>
    <w:p>
      <w:pPr>
        <w:pStyle w:val="Heading3"/>
      </w:pPr>
      <w:r>
        <w:t xml:space="preserve">G.1.4 Refusal codes</w:t>
      </w:r>
    </w:p>
    <w:p>
      <w:pPr>
        <w:pStyle w:val="FirstParagraph"/>
      </w:pPr>
      <w:r>
        <w:t xml:space="preserve">Every refusal returns a stable code, a plain reason, the rule or REQ-ID with citation and a link to the screen that fixes it.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293"/>
        <w:gridCol w:w="5345"/>
      </w:tblGrid>
      <w:tr>
        <w:trPr>
          <w:tblHeader w:val="true"/>
          <w:tblHeader w:val="true"/>
        </w:trPr>
        <w:tc>
          <w:tcPr>
            <w:tcW w:w="4293" w:type="dxa"/>
            <w:shd w:val="clear" w:color="auto" w:fill="1F3A5F"/>
          </w:tcPr>
          <w:p>
            <w:pPr>
              <w:pStyle w:val="Compact"/>
              <w:spacing w:after="40"/>
              <w:jc w:val="left"/>
            </w:pPr>
            <w:r>
              <w:rPr>
                <w:b/>
                <w:color w:val="FFFFFF"/>
                <w:sz w:val="18"/>
              </w:rPr>
              <w:t xml:space="preserve">Code</w:t>
            </w:r>
          </w:p>
        </w:tc>
        <w:tc>
          <w:tcPr>
            <w:tcW w:w="5345" w:type="dxa"/>
            <w:shd w:val="clear" w:color="auto" w:fill="1F3A5F"/>
          </w:tcPr>
          <w:p>
            <w:pPr>
              <w:pStyle w:val="Compact"/>
              <w:spacing w:after="40"/>
              <w:jc w:val="left"/>
            </w:pPr>
            <w:r>
              <w:rPr>
                <w:b/>
                <w:color w:val="FFFFFF"/>
                <w:sz w:val="18"/>
              </w:rPr>
              <w:t xml:space="preserve">Raised when</w:t>
            </w:r>
          </w:p>
        </w:tc>
      </w:tr>
      <w:tr>
        <w:tc>
          <w:tcPr>
            <w:tcW w:w="4293" w:type="dxa"/>
          </w:tcPr>
          <w:p>
            <w:pPr>
              <w:pStyle w:val="Compact"/>
              <w:spacing w:after="40"/>
              <w:jc w:val="left"/>
            </w:pPr>
            <w:r>
              <w:rPr>
                <w:rStyle w:val="VerbatimChar"/>
                <w:sz w:val="18"/>
              </w:rPr>
              <w:t xml:space="preserve">floor_violation</w:t>
            </w:r>
            <w:r>
              <w:rPr>
                <w:sz w:val="18"/>
              </w:rPr>
              <w:t xml:space="preserve"> </w:t>
            </w:r>
            <w:r>
              <w:rPr>
                <w:sz w:val="18"/>
              </w:rPr>
              <w:t xml:space="preserve">(403)</w:t>
            </w:r>
          </w:p>
        </w:tc>
        <w:tc>
          <w:tcPr>
            <w:tcW w:w="5345" w:type="dxa"/>
          </w:tcPr>
          <w:p>
            <w:pPr>
              <w:pStyle w:val="Compact"/>
              <w:spacing w:after="40"/>
              <w:jc w:val="left"/>
            </w:pPr>
            <w:r>
              <w:rPr>
                <w:sz w:val="18"/>
              </w:rPr>
              <w:t xml:space="preserve">A setting change relaxes a regulatory floor (Part 10.2 principle 42); replaces</w:t>
            </w:r>
            <w:r>
              <w:rPr>
                <w:sz w:val="18"/>
              </w:rPr>
              <w:t xml:space="preserve"> </w:t>
            </w:r>
            <w:r>
              <w:rPr>
                <w:rStyle w:val="VerbatimChar"/>
                <w:sz w:val="18"/>
              </w:rPr>
              <w:t xml:space="preserve">regulatory_floor</w:t>
            </w:r>
            <w:r>
              <w:rPr>
                <w:sz w:val="18"/>
              </w:rPr>
              <w:t xml:space="preserve"> </w:t>
            </w:r>
            <w:r>
              <w:rPr>
                <w:sz w:val="18"/>
              </w:rPr>
              <w:t xml:space="preserve">in RR9 and AC8</w:t>
            </w:r>
          </w:p>
        </w:tc>
      </w:tr>
      <w:tr>
        <w:tc>
          <w:tcPr>
            <w:tcW w:w="4293" w:type="dxa"/>
          </w:tcPr>
          <w:p>
            <w:pPr>
              <w:pStyle w:val="Compact"/>
              <w:spacing w:after="40"/>
              <w:jc w:val="left"/>
            </w:pPr>
            <w:r>
              <w:rPr>
                <w:rStyle w:val="VerbatimChar"/>
                <w:sz w:val="18"/>
              </w:rPr>
              <w:t xml:space="preserve">RULE_LOOSENING_BLOCKED</w:t>
            </w:r>
          </w:p>
        </w:tc>
        <w:tc>
          <w:tcPr>
            <w:tcW w:w="5345" w:type="dxa"/>
          </w:tcPr>
          <w:p>
            <w:pPr>
              <w:pStyle w:val="Compact"/>
              <w:spacing w:after="40"/>
              <w:jc w:val="left"/>
            </w:pPr>
            <w:r>
              <w:rPr>
                <w:sz w:val="18"/>
              </w:rPr>
              <w:t xml:space="preserve">A rule-pack layer L2–L4 loosens a higher layer (IP1.3)</w:t>
            </w:r>
          </w:p>
        </w:tc>
      </w:tr>
      <w:tr>
        <w:tc>
          <w:tcPr>
            <w:tcW w:w="4293" w:type="dxa"/>
          </w:tcPr>
          <w:p>
            <w:pPr>
              <w:pStyle w:val="Compact"/>
              <w:spacing w:after="40"/>
              <w:jc w:val="left"/>
            </w:pPr>
            <w:r>
              <w:rPr>
                <w:rStyle w:val="VerbatimChar"/>
                <w:sz w:val="18"/>
              </w:rPr>
              <w:t xml:space="preserve">not_entitled</w:t>
            </w:r>
            <w:r>
              <w:rPr>
                <w:sz w:val="18"/>
              </w:rPr>
              <w:t xml:space="preserve">,</w:t>
            </w:r>
            <w:r>
              <w:rPr>
                <w:sz w:val="18"/>
              </w:rPr>
              <w:t xml:space="preserve"> </w:t>
            </w:r>
            <w:r>
              <w:rPr>
                <w:rStyle w:val="VerbatimChar"/>
                <w:sz w:val="18"/>
              </w:rPr>
              <w:t xml:space="preserve">not_enabled</w:t>
            </w:r>
            <w:r>
              <w:rPr>
                <w:sz w:val="18"/>
              </w:rPr>
              <w:t xml:space="preserve">,</w:t>
            </w:r>
            <w:r>
              <w:rPr>
                <w:sz w:val="18"/>
              </w:rPr>
              <w:t xml:space="preserve"> </w:t>
            </w:r>
            <w:r>
              <w:rPr>
                <w:rStyle w:val="VerbatimChar"/>
                <w:sz w:val="18"/>
              </w:rPr>
              <w:t xml:space="preserve">dependency_missing</w:t>
            </w:r>
            <w:r>
              <w:rPr>
                <w:sz w:val="18"/>
              </w:rPr>
              <w:t xml:space="preserve">,</w:t>
            </w:r>
            <w:r>
              <w:rPr>
                <w:sz w:val="18"/>
              </w:rPr>
              <w:t xml:space="preserve"> </w:t>
            </w:r>
            <w:r>
              <w:rPr>
                <w:rStyle w:val="VerbatimChar"/>
                <w:sz w:val="18"/>
              </w:rPr>
              <w:t xml:space="preserve">read_only</w:t>
            </w:r>
            <w:r>
              <w:rPr>
                <w:sz w:val="18"/>
              </w:rPr>
              <w:t xml:space="preserve">,</w:t>
            </w:r>
            <w:r>
              <w:rPr>
                <w:sz w:val="18"/>
              </w:rPr>
              <w:t xml:space="preserve"> </w:t>
            </w:r>
            <w:r>
              <w:rPr>
                <w:rStyle w:val="VerbatimChar"/>
                <w:sz w:val="18"/>
              </w:rPr>
              <w:t xml:space="preserve">limit_reached</w:t>
            </w:r>
          </w:p>
        </w:tc>
        <w:tc>
          <w:tcPr>
            <w:tcW w:w="5345" w:type="dxa"/>
          </w:tcPr>
          <w:p>
            <w:pPr>
              <w:pStyle w:val="Compact"/>
              <w:spacing w:after="40"/>
              <w:jc w:val="left"/>
            </w:pPr>
            <w:r>
              <w:rPr>
                <w:sz w:val="18"/>
              </w:rPr>
              <w:t xml:space="preserve">Entitlement and module state (7A.0.2, CM1.3)</w:t>
            </w:r>
          </w:p>
        </w:tc>
      </w:tr>
      <w:tr>
        <w:tc>
          <w:tcPr>
            <w:tcW w:w="4293" w:type="dxa"/>
          </w:tcPr>
          <w:p>
            <w:pPr>
              <w:pStyle w:val="Compact"/>
              <w:spacing w:after="40"/>
              <w:jc w:val="left"/>
            </w:pPr>
            <w:r>
              <w:rPr>
                <w:rStyle w:val="VerbatimChar"/>
                <w:sz w:val="18"/>
              </w:rPr>
              <w:t xml:space="preserve">forbidden</w:t>
            </w:r>
            <w:r>
              <w:rPr>
                <w:sz w:val="18"/>
              </w:rPr>
              <w:t xml:space="preserve">,</w:t>
            </w:r>
            <w:r>
              <w:rPr>
                <w:sz w:val="18"/>
              </w:rPr>
              <w:t xml:space="preserve"> </w:t>
            </w:r>
            <w:r>
              <w:rPr>
                <w:rStyle w:val="VerbatimChar"/>
                <w:sz w:val="18"/>
              </w:rPr>
              <w:t xml:space="preserve">sod_conflict</w:t>
            </w:r>
            <w:r>
              <w:rPr>
                <w:sz w:val="18"/>
              </w:rPr>
              <w:t xml:space="preserve">,</w:t>
            </w:r>
            <w:r>
              <w:rPr>
                <w:sz w:val="18"/>
              </w:rPr>
              <w:t xml:space="preserve"> </w:t>
            </w:r>
            <w:r>
              <w:rPr>
                <w:rStyle w:val="VerbatimChar"/>
                <w:sz w:val="18"/>
              </w:rPr>
              <w:t xml:space="preserve">step_up_required</w:t>
            </w:r>
          </w:p>
        </w:tc>
        <w:tc>
          <w:tcPr>
            <w:tcW w:w="5345" w:type="dxa"/>
          </w:tcPr>
          <w:p>
            <w:pPr>
              <w:pStyle w:val="Compact"/>
              <w:spacing w:after="40"/>
              <w:jc w:val="left"/>
            </w:pPr>
            <w:r>
              <w:rPr>
                <w:sz w:val="18"/>
              </w:rPr>
              <w:t xml:space="preserve">Permission, segregation of duties, fresh MFA</w:t>
            </w:r>
          </w:p>
        </w:tc>
      </w:tr>
      <w:tr>
        <w:tc>
          <w:tcPr>
            <w:tcW w:w="4293" w:type="dxa"/>
          </w:tcPr>
          <w:p>
            <w:pPr>
              <w:pStyle w:val="Compact"/>
              <w:spacing w:after="40"/>
              <w:jc w:val="left"/>
            </w:pPr>
            <w:r>
              <w:rPr>
                <w:rStyle w:val="VerbatimChar"/>
                <w:sz w:val="18"/>
              </w:rPr>
              <w:t xml:space="preserve">GR-7G-nn</w:t>
            </w:r>
            <w:r>
              <w:rPr>
                <w:sz w:val="18"/>
              </w:rPr>
              <w:t xml:space="preserve">,</w:t>
            </w:r>
            <w:r>
              <w:rPr>
                <w:sz w:val="18"/>
              </w:rPr>
              <w:t xml:space="preserve"> </w:t>
            </w:r>
            <w:r>
              <w:rPr>
                <w:rStyle w:val="VerbatimChar"/>
                <w:sz w:val="18"/>
              </w:rPr>
              <w:t xml:space="preserve">GR-7H-nn</w:t>
            </w:r>
          </w:p>
        </w:tc>
        <w:tc>
          <w:tcPr>
            <w:tcW w:w="5345" w:type="dxa"/>
          </w:tcPr>
          <w:p>
            <w:pPr>
              <w:pStyle w:val="Compact"/>
              <w:spacing w:after="40"/>
              <w:jc w:val="left"/>
            </w:pPr>
            <w:r>
              <w:rPr>
                <w:sz w:val="18"/>
              </w:rPr>
              <w:t xml:space="preserve">Guard-rails (IP1.6, Part 7H)</w:t>
            </w:r>
          </w:p>
        </w:tc>
      </w:tr>
      <w:tr>
        <w:tc>
          <w:tcPr>
            <w:tcW w:w="4293" w:type="dxa"/>
          </w:tcPr>
          <w:p>
            <w:pPr>
              <w:pStyle w:val="Compact"/>
              <w:spacing w:after="40"/>
              <w:jc w:val="left"/>
            </w:pPr>
            <w:r>
              <w:rPr>
                <w:rStyle w:val="VerbatimChar"/>
                <w:sz w:val="18"/>
              </w:rPr>
              <w:t xml:space="preserve">stale_version</w:t>
            </w:r>
          </w:p>
        </w:tc>
        <w:tc>
          <w:tcPr>
            <w:tcW w:w="5345" w:type="dxa"/>
          </w:tcPr>
          <w:p>
            <w:pPr>
              <w:pStyle w:val="Compact"/>
              <w:spacing w:after="40"/>
              <w:jc w:val="left"/>
            </w:pPr>
            <w:r>
              <w:rPr>
                <w:sz w:val="18"/>
              </w:rPr>
              <w:t xml:space="preserve">Record or setting changed after submission; re-base required</w:t>
            </w:r>
          </w:p>
        </w:tc>
      </w:tr>
    </w:tbl>
    <w:bookmarkEnd w:id="903"/>
    <w:bookmarkEnd w:id="904"/>
    <w:bookmarkStart w:id="908" w:name="g.2-global-shell"/>
    <w:p>
      <w:pPr>
        <w:pStyle w:val="Heading2"/>
      </w:pPr>
      <w:r>
        <w:t xml:space="preserve">G.2 Global shell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82"/>
        <w:gridCol w:w="7256"/>
      </w:tblGrid>
      <w:tr>
        <w:trPr>
          <w:tblHeader w:val="true"/>
          <w:tblHeader w:val="true"/>
        </w:trPr>
        <w:tc>
          <w:tcPr>
            <w:tcW w:w="2382" w:type="dxa"/>
            <w:shd w:val="clear" w:color="auto" w:fill="1F3A5F"/>
          </w:tcPr>
          <w:p>
            <w:pPr>
              <w:pStyle w:val="Compact"/>
              <w:spacing w:after="40"/>
              <w:jc w:val="left"/>
            </w:pPr>
            <w:r>
              <w:rPr>
                <w:b/>
                <w:color w:val="FFFFFF"/>
                <w:sz w:val="18"/>
              </w:rPr>
              <w:t xml:space="preserve">Element</w:t>
            </w:r>
          </w:p>
        </w:tc>
        <w:tc>
          <w:tcPr>
            <w:tcW w:w="7256" w:type="dxa"/>
            <w:shd w:val="clear" w:color="auto" w:fill="1F3A5F"/>
          </w:tcPr>
          <w:p>
            <w:pPr>
              <w:pStyle w:val="Compact"/>
              <w:spacing w:after="40"/>
              <w:jc w:val="left"/>
            </w:pPr>
            <w:r>
              <w:rPr>
                <w:b/>
                <w:color w:val="FFFFFF"/>
                <w:sz w:val="18"/>
              </w:rPr>
              <w:t xml:space="preserve">Behaviour and rules</w:t>
            </w:r>
          </w:p>
        </w:tc>
      </w:tr>
      <w:tr>
        <w:tc>
          <w:tcPr>
            <w:tcW w:w="2382" w:type="dxa"/>
          </w:tcPr>
          <w:p>
            <w:pPr>
              <w:pStyle w:val="Compact"/>
              <w:spacing w:after="40"/>
              <w:jc w:val="left"/>
            </w:pPr>
            <w:r>
              <w:rPr>
                <w:sz w:val="18"/>
              </w:rPr>
              <w:t xml:space="preserve">Workspace switcher</w:t>
            </w:r>
          </w:p>
        </w:tc>
        <w:tc>
          <w:tcPr>
            <w:tcW w:w="7256" w:type="dxa"/>
          </w:tcPr>
          <w:p>
            <w:pPr>
              <w:pStyle w:val="Compact"/>
              <w:spacing w:after="40"/>
              <w:jc w:val="left"/>
            </w:pPr>
            <w:r>
              <w:rPr>
                <w:sz w:val="18"/>
              </w:rPr>
              <w:t xml:space="preserve">Assigned workspaces only; last one remembered per device; external users (B, Q, R, V, W) have one workspace</w:t>
            </w:r>
          </w:p>
        </w:tc>
      </w:tr>
      <w:tr>
        <w:tc>
          <w:tcPr>
            <w:tcW w:w="2382" w:type="dxa"/>
          </w:tcPr>
          <w:p>
            <w:pPr>
              <w:pStyle w:val="Compact"/>
              <w:spacing w:after="40"/>
              <w:jc w:val="left"/>
            </w:pPr>
            <w:r>
              <w:rPr>
                <w:sz w:val="18"/>
              </w:rPr>
              <w:t xml:space="preserve">Entity and branch switcher</w:t>
            </w:r>
          </w:p>
        </w:tc>
        <w:tc>
          <w:tcPr>
            <w:tcW w:w="7256" w:type="dxa"/>
          </w:tcPr>
          <w:p>
            <w:pPr>
              <w:pStyle w:val="Compact"/>
              <w:spacing w:after="40"/>
              <w:jc w:val="left"/>
            </w:pPr>
            <w:r>
              <w:rPr>
                <w:sz w:val="18"/>
              </w:rPr>
              <w:t xml:space="preserve">Legal entity and branch set;</w:t>
            </w:r>
            <w:r>
              <w:rPr>
                <w:sz w:val="18"/>
              </w:rPr>
              <w:t xml:space="preserve"> </w:t>
            </w:r>
            <w:r>
              <w:rPr>
                <w:sz w:val="18"/>
              </w:rPr>
              <w:t xml:space="preserve">“</w:t>
            </w:r>
            <w:r>
              <w:rPr>
                <w:sz w:val="18"/>
              </w:rPr>
              <w:t xml:space="preserve">All entities</w:t>
            </w:r>
            <w:r>
              <w:rPr>
                <w:sz w:val="18"/>
              </w:rPr>
              <w:t xml:space="preserve">”</w:t>
            </w:r>
            <w:r>
              <w:rPr>
                <w:sz w:val="18"/>
              </w:rPr>
              <w:t xml:space="preserve"> </w:t>
            </w:r>
            <w:r>
              <w:rPr>
                <w:sz w:val="18"/>
              </w:rPr>
              <w:t xml:space="preserve">only with consolidated-view permission (Part 3.1 item 2); changing entity recomputes the menu (one profile per entity); IFSC and INR entities never share a view</w:t>
            </w:r>
          </w:p>
        </w:tc>
      </w:tr>
      <w:tr>
        <w:tc>
          <w:tcPr>
            <w:tcW w:w="2382" w:type="dxa"/>
          </w:tcPr>
          <w:p>
            <w:pPr>
              <w:pStyle w:val="Compact"/>
              <w:spacing w:after="40"/>
              <w:jc w:val="left"/>
            </w:pPr>
            <w:r>
              <w:rPr>
                <w:sz w:val="18"/>
              </w:rPr>
              <w:t xml:space="preserve">Business-date chip</w:t>
            </w:r>
          </w:p>
        </w:tc>
        <w:tc>
          <w:tcPr>
            <w:tcW w:w="7256" w:type="dxa"/>
          </w:tcPr>
          <w:p>
            <w:pPr>
              <w:pStyle w:val="Compact"/>
              <w:spacing w:after="40"/>
              <w:jc w:val="left"/>
            </w:pPr>
            <w:r>
              <w:rPr>
                <w:sz w:val="18"/>
              </w:rPr>
              <w:t xml:space="preserve">Business date and COB state; amber when it differs from the calendar date, red during COB (posting screens read-only)</w:t>
            </w:r>
          </w:p>
        </w:tc>
      </w:tr>
      <w:tr>
        <w:tc>
          <w:tcPr>
            <w:tcW w:w="2382" w:type="dxa"/>
          </w:tcPr>
          <w:p>
            <w:pPr>
              <w:pStyle w:val="Compact"/>
              <w:spacing w:after="40"/>
              <w:jc w:val="left"/>
            </w:pPr>
            <w:r>
              <w:rPr>
                <w:sz w:val="18"/>
              </w:rPr>
              <w:t xml:space="preserve">Global search</w:t>
            </w:r>
          </w:p>
        </w:tc>
        <w:tc>
          <w:tcPr>
            <w:tcW w:w="7256" w:type="dxa"/>
          </w:tcPr>
          <w:p>
            <w:pPr>
              <w:pStyle w:val="Compact"/>
              <w:spacing w:after="40"/>
              <w:jc w:val="left"/>
            </w:pPr>
            <w:r>
              <w:rPr>
                <w:sz w:val="18"/>
              </w:rPr>
              <w:t xml:space="preserve">Customers, loans, applications, cases, matters, documents, returns, tasks, users, settings (G.2.1)</w:t>
            </w:r>
          </w:p>
        </w:tc>
      </w:tr>
      <w:tr>
        <w:tc>
          <w:tcPr>
            <w:tcW w:w="2382" w:type="dxa"/>
          </w:tcPr>
          <w:p>
            <w:pPr>
              <w:pStyle w:val="Compact"/>
              <w:spacing w:after="40"/>
              <w:jc w:val="left"/>
            </w:pPr>
            <w:r>
              <w:rPr>
                <w:sz w:val="18"/>
              </w:rPr>
              <w:t xml:space="preserve">Create (</w:t>
            </w:r>
            <w:r>
              <w:rPr>
                <w:rStyle w:val="VerbatimChar"/>
                <w:sz w:val="18"/>
              </w:rPr>
              <w:t xml:space="preserve">c</w:t>
            </w:r>
            <w:r>
              <w:rPr>
                <w:sz w:val="18"/>
              </w:rPr>
              <w:t xml:space="preserve">)</w:t>
            </w:r>
          </w:p>
        </w:tc>
        <w:tc>
          <w:tcPr>
            <w:tcW w:w="7256" w:type="dxa"/>
          </w:tcPr>
          <w:p>
            <w:pPr>
              <w:pStyle w:val="Compact"/>
              <w:spacing w:after="40"/>
              <w:jc w:val="left"/>
            </w:pPr>
            <w:r>
              <w:rPr>
                <w:sz w:val="18"/>
              </w:rPr>
              <w:t xml:space="preserve">Only the create actions the user holds in this workspace and entity; opens the module wizard; drafts autosave</w:t>
            </w:r>
          </w:p>
        </w:tc>
      </w:tr>
      <w:tr>
        <w:tc>
          <w:tcPr>
            <w:tcW w:w="2382" w:type="dxa"/>
          </w:tcPr>
          <w:p>
            <w:pPr>
              <w:pStyle w:val="Compact"/>
              <w:spacing w:after="40"/>
              <w:jc w:val="left"/>
            </w:pPr>
            <w:r>
              <w:rPr>
                <w:sz w:val="18"/>
              </w:rPr>
              <w:t xml:space="preserve">Inbox (</w:t>
            </w:r>
            <w:r>
              <w:rPr>
                <w:rStyle w:val="VerbatimChar"/>
                <w:sz w:val="18"/>
              </w:rPr>
              <w:t xml:space="preserve">g i</w:t>
            </w:r>
            <w:r>
              <w:rPr>
                <w:sz w:val="18"/>
              </w:rPr>
              <w:t xml:space="preserve">)</w:t>
            </w:r>
          </w:p>
        </w:tc>
        <w:tc>
          <w:tcPr>
            <w:tcW w:w="7256" w:type="dxa"/>
          </w:tcPr>
          <w:p>
            <w:pPr>
              <w:pStyle w:val="Compact"/>
              <w:spacing w:after="40"/>
              <w:jc w:val="left"/>
            </w:pPr>
            <w:r>
              <w:rPr>
                <w:sz w:val="18"/>
              </w:rPr>
              <w:t xml:space="preserve">My tasks, Approvals, Team, Escalations, Mentions, Submitted by me (G.2.2)</w:t>
            </w:r>
          </w:p>
        </w:tc>
      </w:tr>
      <w:tr>
        <w:tc>
          <w:tcPr>
            <w:tcW w:w="2382" w:type="dxa"/>
          </w:tcPr>
          <w:p>
            <w:pPr>
              <w:pStyle w:val="Compact"/>
              <w:spacing w:after="40"/>
              <w:jc w:val="left"/>
            </w:pPr>
            <w:r>
              <w:rPr>
                <w:sz w:val="18"/>
              </w:rPr>
              <w:t xml:space="preserve">Notifications</w:t>
            </w:r>
          </w:p>
        </w:tc>
        <w:tc>
          <w:tcPr>
            <w:tcW w:w="7256" w:type="dxa"/>
          </w:tcPr>
          <w:p>
            <w:pPr>
              <w:pStyle w:val="Compact"/>
              <w:spacing w:after="40"/>
              <w:jc w:val="left"/>
            </w:pPr>
            <w:r>
              <w:rPr>
                <w:sz w:val="18"/>
              </w:rPr>
              <w:t xml:space="preserve">Unread count, filters, snooze of non-breach items for 24 hours at most (G.8)</w:t>
            </w:r>
          </w:p>
        </w:tc>
      </w:tr>
      <w:tr>
        <w:tc>
          <w:tcPr>
            <w:tcW w:w="2382" w:type="dxa"/>
          </w:tcPr>
          <w:p>
            <w:pPr>
              <w:pStyle w:val="Compact"/>
              <w:spacing w:after="40"/>
              <w:jc w:val="left"/>
            </w:pPr>
            <w:r>
              <w:rPr>
                <w:sz w:val="18"/>
              </w:rPr>
              <w:t xml:space="preserve">Help</w:t>
            </w:r>
          </w:p>
        </w:tc>
        <w:tc>
          <w:tcPr>
            <w:tcW w:w="7256" w:type="dxa"/>
          </w:tcPr>
          <w:p>
            <w:pPr>
              <w:pStyle w:val="Compact"/>
              <w:spacing w:after="40"/>
              <w:jc w:val="left"/>
            </w:pPr>
            <w:r>
              <w:rPr>
                <w:sz w:val="18"/>
              </w:rPr>
              <w:t xml:space="preserve">Context help in one fixed place;</w:t>
            </w:r>
            <w:r>
              <w:rPr>
                <w:sz w:val="18"/>
              </w:rPr>
              <w:t xml:space="preserve"> </w:t>
            </w:r>
            <w:r>
              <w:rPr>
                <w:bCs/>
                <w:b/>
                <w:sz w:val="18"/>
              </w:rPr>
              <w:t xml:space="preserve">Regulatory references</w:t>
            </w:r>
            <w:r>
              <w:rPr>
                <w:sz w:val="18"/>
              </w:rPr>
              <w:t xml:space="preserve"> </w:t>
            </w:r>
            <w:r>
              <w:rPr>
                <w:sz w:val="18"/>
              </w:rPr>
              <w:t xml:space="preserve">panel (REQ-IDs, citations, sources, last-verified dates from M14); release notes; support ticket with screen and correlation ID, never record data unless attached</w:t>
            </w:r>
          </w:p>
        </w:tc>
      </w:tr>
      <w:tr>
        <w:tc>
          <w:tcPr>
            <w:tcW w:w="2382" w:type="dxa"/>
          </w:tcPr>
          <w:p>
            <w:pPr>
              <w:pStyle w:val="Compact"/>
              <w:spacing w:after="40"/>
              <w:jc w:val="left"/>
            </w:pPr>
            <w:r>
              <w:rPr>
                <w:sz w:val="18"/>
              </w:rPr>
              <w:t xml:space="preserve">User menu</w:t>
            </w:r>
          </w:p>
        </w:tc>
        <w:tc>
          <w:tcPr>
            <w:tcW w:w="7256" w:type="dxa"/>
          </w:tcPr>
          <w:p>
            <w:pPr>
              <w:pStyle w:val="Compact"/>
              <w:spacing w:after="40"/>
              <w:jc w:val="left"/>
            </w:pPr>
            <w:r>
              <w:rPr>
                <w:sz w:val="18"/>
              </w:rPr>
              <w:t xml:space="preserve">Profile, language, theme (light, dark, high contrast), density, delegation and leave substitute (M19; never beyond the delegate’s own limits), notification preferences, sessions and devices, MFA,</w:t>
            </w:r>
            <w:r>
              <w:rPr>
                <w:sz w:val="18"/>
              </w:rPr>
              <w:t xml:space="preserve"> </w:t>
            </w:r>
            <w:r>
              <w:rPr>
                <w:sz w:val="18"/>
              </w:rPr>
              <w:t xml:space="preserve">“</w:t>
            </w:r>
            <w:r>
              <w:rPr>
                <w:sz w:val="18"/>
              </w:rPr>
              <w:t xml:space="preserve">view as</w:t>
            </w:r>
            <w:r>
              <w:rPr>
                <w:sz w:val="18"/>
              </w:rPr>
              <w:t xml:space="preserve">”</w:t>
            </w:r>
            <w:r>
              <w:rPr>
                <w:sz w:val="18"/>
              </w:rPr>
              <w:t xml:space="preserve"> </w:t>
            </w:r>
            <w:r>
              <w:rPr>
                <w:sz w:val="18"/>
              </w:rPr>
              <w:t xml:space="preserve">grants (RK8),</w:t>
            </w:r>
            <w:r>
              <w:rPr>
                <w:sz w:val="18"/>
              </w:rPr>
              <w:t xml:space="preserve"> </w:t>
            </w:r>
            <w:r>
              <w:rPr>
                <w:bCs/>
                <w:b/>
                <w:sz w:val="18"/>
              </w:rPr>
              <w:t xml:space="preserve">My HR</w:t>
            </w:r>
            <w:r>
              <w:rPr>
                <w:sz w:val="18"/>
              </w:rPr>
              <w:t xml:space="preserve"> </w:t>
            </w:r>
            <w:r>
              <w:rPr>
                <w:sz w:val="18"/>
              </w:rPr>
              <w:t xml:space="preserve">(GV6), sign out</w:t>
            </w:r>
          </w:p>
        </w:tc>
      </w:tr>
      <w:tr>
        <w:tc>
          <w:tcPr>
            <w:tcW w:w="2382" w:type="dxa"/>
          </w:tcPr>
          <w:p>
            <w:pPr>
              <w:pStyle w:val="Compact"/>
              <w:spacing w:after="40"/>
              <w:jc w:val="left"/>
            </w:pPr>
            <w:r>
              <w:rPr>
                <w:sz w:val="18"/>
              </w:rPr>
              <w:t xml:space="preserve">Banners</w:t>
            </w:r>
          </w:p>
        </w:tc>
        <w:tc>
          <w:tcPr>
            <w:tcW w:w="7256" w:type="dxa"/>
          </w:tcPr>
          <w:p>
            <w:pPr>
              <w:pStyle w:val="Compact"/>
              <w:spacing w:after="40"/>
              <w:jc w:val="left"/>
            </w:pPr>
            <w:r>
              <w:rPr>
                <w:sz w:val="18"/>
              </w:rPr>
              <w:t xml:space="preserve">SANDBOX or STAGING watermark, open break-glass session,</w:t>
            </w:r>
            <w:r>
              <w:rPr>
                <w:sz w:val="18"/>
              </w:rPr>
              <w:t xml:space="preserve"> </w:t>
            </w:r>
            <w:r>
              <w:rPr>
                <w:sz w:val="18"/>
              </w:rPr>
              <w:t xml:space="preserve">“</w:t>
            </w:r>
            <w:r>
              <w:rPr>
                <w:sz w:val="18"/>
              </w:rPr>
              <w:t xml:space="preserve">viewing as</w:t>
            </w:r>
            <w:r>
              <w:rPr>
                <w:sz w:val="18"/>
              </w:rPr>
              <w:t xml:space="preserve">”</w:t>
            </w:r>
            <w:r>
              <w:rPr>
                <w:sz w:val="18"/>
              </w:rPr>
              <w:t xml:space="preserve">, maintenance, offline; not dismissible while true</w:t>
            </w:r>
          </w:p>
        </w:tc>
      </w:tr>
    </w:tbl>
    <w:bookmarkStart w:id="905" w:name="g.2.1-global-search"/>
    <w:p>
      <w:pPr>
        <w:pStyle w:val="Heading3"/>
      </w:pPr>
      <w:r>
        <w:t xml:space="preserve">G.2.1 Global search</w:t>
      </w:r>
    </w:p>
    <w:p>
      <w:pPr>
        <w:numPr>
          <w:ilvl w:val="0"/>
          <w:numId w:val="2159"/>
        </w:numPr>
        <w:pStyle w:val="Compact"/>
      </w:pPr>
      <w:r>
        <w:t xml:space="preserve">Same row-level security and ABAC as list screens; unauthorised matches are neither counted nor hinted. Minimum 3 characters; mobile matches on the last 10 digits; PAN and mobile shown masked.</w:t>
      </w:r>
    </w:p>
    <w:p>
      <w:pPr>
        <w:numPr>
          <w:ilvl w:val="0"/>
          <w:numId w:val="2159"/>
        </w:numPr>
        <w:pStyle w:val="Compact"/>
      </w:pPr>
      <w:r>
        <w:rPr>
          <w:bCs/>
          <w:b/>
        </w:rPr>
        <w:t xml:space="preserve">Pattern refusals</w:t>
      </w:r>
      <w:r>
        <w:t xml:space="preserve"> </w:t>
      </w:r>
      <w:r>
        <w:t xml:space="preserve">(browser and server): a Verhoeff-valid 12-digit number (Aadhaar) or 16-digit VID is refused with</w:t>
      </w:r>
      <w:r>
        <w:t xml:space="preserve"> </w:t>
      </w:r>
      <w:r>
        <w:t xml:space="preserve">“</w:t>
      </w:r>
      <w:r>
        <w:t xml:space="preserve">Aadhaar numbers cannot be searched; use customer ID, mobile or Aadhaar reference</w:t>
      </w:r>
      <w:r>
        <w:t xml:space="preserve">”</w:t>
      </w:r>
      <w:r>
        <w:t xml:space="preserve">; a Luhn-valid 13–19-digit number (card) is refused; a PAN (</w:t>
      </w:r>
      <w:r>
        <w:rPr>
          <w:rStyle w:val="VerbatimChar"/>
        </w:rPr>
        <w:t xml:space="preserve">[A-Z]{5}[0-9]{4}[A-Z]</w:t>
      </w:r>
      <w:r>
        <w:t xml:space="preserve">) is matched only as a keyed hash and only for roles holding</w:t>
      </w:r>
      <w:r>
        <w:t xml:space="preserve"> </w:t>
      </w:r>
      <w:r>
        <w:rPr>
          <w:rStyle w:val="VerbatimChar"/>
        </w:rPr>
        <w:t xml:space="preserve">kyc.search_by_pan</w:t>
      </w:r>
      <w:r>
        <w:t xml:space="preserve">. Such queries never enter history, analytics or logs (</w:t>
      </w:r>
      <w:r>
        <w:rPr>
          <w:rStyle w:val="VerbatimChar"/>
        </w:rPr>
        <w:t xml:space="preserve">[REDACTED_PATTERN]</w:t>
      </w:r>
      <w:r>
        <w:t xml:space="preserve">).</w:t>
      </w:r>
    </w:p>
    <w:bookmarkEnd w:id="905"/>
    <w:bookmarkStart w:id="906" w:name="g.2.2-inbox-and-maker-checker-queue"/>
    <w:p>
      <w:pPr>
        <w:pStyle w:val="Heading3"/>
      </w:pPr>
      <w:r>
        <w:t xml:space="preserve">G.2.2 Inbox and maker-checker queue</w:t>
      </w:r>
    </w:p>
    <w:p>
      <w:pPr>
        <w:numPr>
          <w:ilvl w:val="0"/>
          <w:numId w:val="2160"/>
        </w:numPr>
        <w:pStyle w:val="Compact"/>
      </w:pPr>
      <w:r>
        <w:t xml:space="preserve">One queue fed by every module’s</w:t>
      </w:r>
      <w:r>
        <w:t xml:space="preserve"> </w:t>
      </w:r>
      <w:r>
        <w:rPr>
          <w:rStyle w:val="VerbatimChar"/>
        </w:rPr>
        <w:t xml:space="preserve">approval_request</w:t>
      </w:r>
      <w:r>
        <w:t xml:space="preserve"> </w:t>
      </w:r>
      <w:r>
        <w:t xml:space="preserve">(module, action, record, maker, reason, diff link, risk flags, SLA, step-up flag); module queues such as</w:t>
      </w:r>
      <w:r>
        <w:t xml:space="preserve"> </w:t>
      </w:r>
      <w:r>
        <w:rPr>
          <w:rStyle w:val="VerbatimChar"/>
        </w:rPr>
        <w:t xml:space="preserve">Compliance › Returns › Approvals</w:t>
      </w:r>
      <w:r>
        <w:t xml:space="preserve"> </w:t>
      </w:r>
      <w:r>
        <w:t xml:space="preserve">show the same requests.</w:t>
      </w:r>
    </w:p>
    <w:p>
      <w:pPr>
        <w:numPr>
          <w:ilvl w:val="0"/>
          <w:numId w:val="2160"/>
        </w:numPr>
        <w:pStyle w:val="Compact"/>
      </w:pPr>
      <w:r>
        <w:t xml:space="preserve">A maker sees own requests only under</w:t>
      </w:r>
      <w:r>
        <w:t xml:space="preserve"> </w:t>
      </w:r>
      <w:r>
        <w:rPr>
          <w:bCs/>
          <w:b/>
        </w:rPr>
        <w:t xml:space="preserve">Submitted by me</w:t>
      </w:r>
      <w:r>
        <w:t xml:space="preserve"> </w:t>
      </w:r>
      <w:r>
        <w:t xml:space="preserve">(withdrawable before decision) and can never approve them (</w:t>
      </w:r>
      <w:r>
        <w:rPr>
          <w:rStyle w:val="VerbatimChar"/>
        </w:rPr>
        <w:t xml:space="preserve">sod_conflict</w:t>
      </w:r>
      <w:r>
        <w:t xml:space="preserve">).</w:t>
      </w:r>
    </w:p>
    <w:p>
      <w:pPr>
        <w:numPr>
          <w:ilvl w:val="0"/>
          <w:numId w:val="2160"/>
        </w:numPr>
        <w:pStyle w:val="Compact"/>
      </w:pPr>
      <w:r>
        <w:t xml:space="preserve">Inline decisions only for items marked</w:t>
      </w:r>
      <w:r>
        <w:t xml:space="preserve"> </w:t>
      </w:r>
      <w:r>
        <w:rPr>
          <w:rStyle w:val="VerbatimChar"/>
        </w:rPr>
        <w:t xml:space="preserve">inline_ok</w:t>
      </w:r>
      <w:r>
        <w:t xml:space="preserve">; sanctions, settlements, sign-offs, filings, payouts and floor-class settings open the approval screen (G.6). Bulk approval only where the module allows it (e.g. NIL returns), each item logged.</w:t>
      </w:r>
    </w:p>
    <w:p>
      <w:pPr>
        <w:numPr>
          <w:ilvl w:val="0"/>
          <w:numId w:val="2160"/>
        </w:numPr>
        <w:pStyle w:val="Compact"/>
      </w:pPr>
      <w:r>
        <w:t xml:space="preserve">Requests expire after 10 working days by default (maker notified); a changed base version blocks approval as</w:t>
      </w:r>
      <w:r>
        <w:t xml:space="preserve"> </w:t>
      </w:r>
      <w:r>
        <w:rPr>
          <w:rStyle w:val="VerbatimChar"/>
        </w:rPr>
        <w:t xml:space="preserve">stale_version</w:t>
      </w:r>
      <w:r>
        <w:t xml:space="preserve">.</w:t>
      </w:r>
    </w:p>
    <w:bookmarkEnd w:id="906"/>
    <w:bookmarkStart w:id="907" w:name="g.2.3-command-palette-and-shortcuts"/>
    <w:p>
      <w:pPr>
        <w:pStyle w:val="Heading3"/>
      </w:pPr>
      <w:r>
        <w:t xml:space="preserve">G.2.3 Command palette and shortcuts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423"/>
        <w:gridCol w:w="6215"/>
      </w:tblGrid>
      <w:tr>
        <w:trPr>
          <w:tblHeader w:val="true"/>
          <w:tblHeader w:val="true"/>
        </w:trPr>
        <w:tc>
          <w:tcPr>
            <w:tcW w:w="3423" w:type="dxa"/>
            <w:shd w:val="clear" w:color="auto" w:fill="1F3A5F"/>
          </w:tcPr>
          <w:p>
            <w:pPr>
              <w:pStyle w:val="Compact"/>
              <w:spacing w:after="40"/>
              <w:jc w:val="left"/>
            </w:pPr>
            <w:r>
              <w:rPr>
                <w:b/>
                <w:color w:val="FFFFFF"/>
                <w:sz w:val="18"/>
              </w:rPr>
              <w:t xml:space="preserve">Keys</w:t>
            </w:r>
          </w:p>
        </w:tc>
        <w:tc>
          <w:tcPr>
            <w:tcW w:w="6215" w:type="dxa"/>
            <w:shd w:val="clear" w:color="auto" w:fill="1F3A5F"/>
          </w:tcPr>
          <w:p>
            <w:pPr>
              <w:pStyle w:val="Compact"/>
              <w:spacing w:after="40"/>
              <w:jc w:val="left"/>
            </w:pPr>
            <w:r>
              <w:rPr>
                <w:b/>
                <w:color w:val="FFFFFF"/>
                <w:sz w:val="18"/>
              </w:rPr>
              <w:t xml:space="preserve">Action</w:t>
            </w:r>
          </w:p>
        </w:tc>
      </w:tr>
      <w:tr>
        <w:tc>
          <w:tcPr>
            <w:tcW w:w="3423" w:type="dxa"/>
          </w:tcPr>
          <w:p>
            <w:pPr>
              <w:pStyle w:val="Compact"/>
              <w:spacing w:after="40"/>
              <w:jc w:val="left"/>
            </w:pPr>
            <w:r>
              <w:rPr>
                <w:rStyle w:val="VerbatimChar"/>
                <w:sz w:val="18"/>
              </w:rPr>
              <w:t xml:space="preserve">Ctrl+K</w:t>
            </w:r>
            <w:r>
              <w:rPr>
                <w:sz w:val="18"/>
              </w:rPr>
              <w:t xml:space="preserve"> </w:t>
            </w:r>
            <w:r>
              <w:rPr>
                <w:sz w:val="18"/>
              </w:rPr>
              <w:t xml:space="preserve">or</w:t>
            </w:r>
            <w:r>
              <w:rPr>
                <w:sz w:val="18"/>
              </w:rPr>
              <w:t xml:space="preserve"> </w:t>
            </w:r>
            <w:r>
              <w:rPr>
                <w:rStyle w:val="VerbatimChar"/>
                <w:sz w:val="18"/>
              </w:rPr>
              <w:t xml:space="preserve">Cmd+K</w:t>
            </w:r>
          </w:p>
        </w:tc>
        <w:tc>
          <w:tcPr>
            <w:tcW w:w="6215" w:type="dxa"/>
          </w:tcPr>
          <w:p>
            <w:pPr>
              <w:pStyle w:val="Compact"/>
              <w:spacing w:after="40"/>
              <w:jc w:val="left"/>
            </w:pPr>
            <w:r>
              <w:rPr>
                <w:sz w:val="18"/>
              </w:rPr>
              <w:t xml:space="preserve">Palette: any permitted screen, create action, workspace or entity switch, recent record</w:t>
            </w:r>
          </w:p>
        </w:tc>
      </w:tr>
      <w:tr>
        <w:tc>
          <w:tcPr>
            <w:tcW w:w="3423" w:type="dxa"/>
          </w:tcPr>
          <w:p>
            <w:pPr>
              <w:pStyle w:val="Compact"/>
              <w:spacing w:after="40"/>
              <w:jc w:val="left"/>
            </w:pPr>
            <w:r>
              <w:rPr>
                <w:rStyle w:val="VerbatimChar"/>
                <w:sz w:val="18"/>
              </w:rPr>
              <w:t xml:space="preserve">/</w:t>
            </w:r>
            <w:r>
              <w:rPr>
                <w:sz w:val="18"/>
              </w:rPr>
              <w:t xml:space="preserve">;</w:t>
            </w:r>
            <w:r>
              <w:rPr>
                <w:sz w:val="18"/>
              </w:rPr>
              <w:t xml:space="preserve"> </w:t>
            </w:r>
            <w:r>
              <w:rPr>
                <w:rStyle w:val="VerbatimChar"/>
                <w:sz w:val="18"/>
              </w:rPr>
              <w:t xml:space="preserve">g h</w:t>
            </w:r>
            <w:r>
              <w:rPr>
                <w:sz w:val="18"/>
              </w:rPr>
              <w:t xml:space="preserve">,</w:t>
            </w:r>
            <w:r>
              <w:rPr>
                <w:sz w:val="18"/>
              </w:rPr>
              <w:t xml:space="preserve"> </w:t>
            </w:r>
            <w:r>
              <w:rPr>
                <w:rStyle w:val="VerbatimChar"/>
                <w:sz w:val="18"/>
              </w:rPr>
              <w:t xml:space="preserve">g i</w:t>
            </w:r>
            <w:r>
              <w:rPr>
                <w:sz w:val="18"/>
              </w:rPr>
              <w:t xml:space="preserve">,</w:t>
            </w:r>
            <w:r>
              <w:rPr>
                <w:sz w:val="18"/>
              </w:rPr>
              <w:t xml:space="preserve"> </w:t>
            </w:r>
            <w:r>
              <w:rPr>
                <w:rStyle w:val="VerbatimChar"/>
                <w:sz w:val="18"/>
              </w:rPr>
              <w:t xml:space="preserve">g n</w:t>
            </w:r>
            <w:r>
              <w:rPr>
                <w:sz w:val="18"/>
              </w:rPr>
              <w:t xml:space="preserve">,</w:t>
            </w:r>
            <w:r>
              <w:rPr>
                <w:sz w:val="18"/>
              </w:rPr>
              <w:t xml:space="preserve"> </w:t>
            </w:r>
            <w:r>
              <w:rPr>
                <w:rStyle w:val="VerbatimChar"/>
                <w:sz w:val="18"/>
              </w:rPr>
              <w:t xml:space="preserve">g s</w:t>
            </w:r>
            <w:r>
              <w:rPr>
                <w:sz w:val="18"/>
              </w:rPr>
              <w:t xml:space="preserve">;</w:t>
            </w:r>
            <w:r>
              <w:rPr>
                <w:sz w:val="18"/>
              </w:rPr>
              <w:t xml:space="preserve"> </w:t>
            </w:r>
            <w:r>
              <w:rPr>
                <w:rStyle w:val="VerbatimChar"/>
                <w:sz w:val="18"/>
              </w:rPr>
              <w:t xml:space="preserve">c</w:t>
            </w:r>
            <w:r>
              <w:rPr>
                <w:sz w:val="18"/>
              </w:rPr>
              <w:t xml:space="preserve">;</w:t>
            </w:r>
            <w:r>
              <w:rPr>
                <w:sz w:val="18"/>
              </w:rPr>
              <w:t xml:space="preserve"> </w:t>
            </w:r>
            <w:r>
              <w:rPr>
                <w:rStyle w:val="VerbatimChar"/>
                <w:sz w:val="18"/>
              </w:rPr>
              <w:t xml:space="preserve">?</w:t>
            </w:r>
          </w:p>
        </w:tc>
        <w:tc>
          <w:tcPr>
            <w:tcW w:w="6215" w:type="dxa"/>
          </w:tcPr>
          <w:p>
            <w:pPr>
              <w:pStyle w:val="Compact"/>
              <w:spacing w:after="40"/>
              <w:jc w:val="left"/>
            </w:pPr>
            <w:r>
              <w:rPr>
                <w:sz w:val="18"/>
              </w:rPr>
              <w:t xml:space="preserve">Search; Home, Inbox, Notifications, Settings; Create; keyboard help</w:t>
            </w:r>
          </w:p>
        </w:tc>
      </w:tr>
      <w:tr>
        <w:tc>
          <w:tcPr>
            <w:tcW w:w="3423" w:type="dxa"/>
          </w:tcPr>
          <w:p>
            <w:pPr>
              <w:pStyle w:val="Compact"/>
              <w:spacing w:after="40"/>
              <w:jc w:val="left"/>
            </w:pPr>
            <w:r>
              <w:rPr>
                <w:rStyle w:val="VerbatimChar"/>
                <w:sz w:val="18"/>
              </w:rPr>
              <w:t xml:space="preserve">j</w:t>
            </w:r>
            <w:r>
              <w:rPr>
                <w:sz w:val="18"/>
              </w:rPr>
              <w:t xml:space="preserve">,</w:t>
            </w:r>
            <w:r>
              <w:rPr>
                <w:sz w:val="18"/>
              </w:rPr>
              <w:t xml:space="preserve"> </w:t>
            </w:r>
            <w:r>
              <w:rPr>
                <w:rStyle w:val="VerbatimChar"/>
                <w:sz w:val="18"/>
              </w:rPr>
              <w:t xml:space="preserve">k</w:t>
            </w:r>
            <w:r>
              <w:rPr>
                <w:sz w:val="18"/>
              </w:rPr>
              <w:t xml:space="preserve">,</w:t>
            </w:r>
            <w:r>
              <w:rPr>
                <w:sz w:val="18"/>
              </w:rPr>
              <w:t xml:space="preserve"> </w:t>
            </w:r>
            <w:r>
              <w:rPr>
                <w:rStyle w:val="VerbatimChar"/>
                <w:sz w:val="18"/>
              </w:rPr>
              <w:t xml:space="preserve">x</w:t>
            </w:r>
            <w:r>
              <w:rPr>
                <w:sz w:val="18"/>
              </w:rPr>
              <w:t xml:space="preserve">,</w:t>
            </w:r>
            <w:r>
              <w:rPr>
                <w:sz w:val="18"/>
              </w:rPr>
              <w:t xml:space="preserve"> </w:t>
            </w:r>
            <w:r>
              <w:rPr>
                <w:rStyle w:val="VerbatimChar"/>
                <w:sz w:val="18"/>
              </w:rPr>
              <w:t xml:space="preserve">Enter</w:t>
            </w:r>
          </w:p>
        </w:tc>
        <w:tc>
          <w:tcPr>
            <w:tcW w:w="6215" w:type="dxa"/>
          </w:tcPr>
          <w:p>
            <w:pPr>
              <w:pStyle w:val="Compact"/>
              <w:spacing w:after="40"/>
              <w:jc w:val="left"/>
            </w:pPr>
            <w:r>
              <w:rPr>
                <w:sz w:val="18"/>
              </w:rPr>
              <w:t xml:space="preserve">Next, previous, select, open (lists and queues)</w:t>
            </w:r>
          </w:p>
        </w:tc>
      </w:tr>
      <w:tr>
        <w:tc>
          <w:tcPr>
            <w:tcW w:w="3423" w:type="dxa"/>
          </w:tcPr>
          <w:p>
            <w:pPr>
              <w:pStyle w:val="Compact"/>
              <w:spacing w:after="40"/>
              <w:jc w:val="left"/>
            </w:pPr>
            <w:r>
              <w:rPr>
                <w:rStyle w:val="VerbatimChar"/>
                <w:sz w:val="18"/>
              </w:rPr>
              <w:t xml:space="preserve">a</w:t>
            </w:r>
            <w:r>
              <w:rPr>
                <w:sz w:val="18"/>
              </w:rPr>
              <w:t xml:space="preserve">,</w:t>
            </w:r>
            <w:r>
              <w:rPr>
                <w:sz w:val="18"/>
              </w:rPr>
              <w:t xml:space="preserve"> </w:t>
            </w:r>
            <w:r>
              <w:rPr>
                <w:rStyle w:val="VerbatimChar"/>
                <w:sz w:val="18"/>
              </w:rPr>
              <w:t xml:space="preserve">r</w:t>
            </w:r>
            <w:r>
              <w:rPr>
                <w:sz w:val="18"/>
              </w:rPr>
              <w:t xml:space="preserve">,</w:t>
            </w:r>
            <w:r>
              <w:rPr>
                <w:sz w:val="18"/>
              </w:rPr>
              <w:t xml:space="preserve"> </w:t>
            </w:r>
            <w:r>
              <w:rPr>
                <w:rStyle w:val="VerbatimChar"/>
                <w:sz w:val="18"/>
              </w:rPr>
              <w:t xml:space="preserve">e</w:t>
            </w:r>
            <w:r>
              <w:rPr>
                <w:sz w:val="18"/>
              </w:rPr>
              <w:t xml:space="preserve">,</w:t>
            </w:r>
            <w:r>
              <w:rPr>
                <w:sz w:val="18"/>
              </w:rPr>
              <w:t xml:space="preserve"> </w:t>
            </w:r>
            <w:r>
              <w:rPr>
                <w:rStyle w:val="VerbatimChar"/>
                <w:sz w:val="18"/>
              </w:rPr>
              <w:t xml:space="preserve">n</w:t>
            </w:r>
            <w:r>
              <w:rPr>
                <w:sz w:val="18"/>
              </w:rPr>
              <w:t xml:space="preserve">,</w:t>
            </w:r>
            <w:r>
              <w:rPr>
                <w:sz w:val="18"/>
              </w:rPr>
              <w:t xml:space="preserve"> </w:t>
            </w:r>
            <w:r>
              <w:rPr>
                <w:rStyle w:val="VerbatimChar"/>
                <w:sz w:val="18"/>
              </w:rPr>
              <w:t xml:space="preserve">Shift+S</w:t>
            </w:r>
          </w:p>
        </w:tc>
        <w:tc>
          <w:tcPr>
            <w:tcW w:w="6215" w:type="dxa"/>
          </w:tcPr>
          <w:p>
            <w:pPr>
              <w:pStyle w:val="Compact"/>
              <w:spacing w:after="40"/>
              <w:jc w:val="left"/>
            </w:pPr>
            <w:r>
              <w:rPr>
                <w:sz w:val="18"/>
              </w:rPr>
              <w:t xml:space="preserve">Approve, reject with reason, export, new, save view (only where permitted)</w:t>
            </w:r>
          </w:p>
        </w:tc>
      </w:tr>
      <w:tr>
        <w:tc>
          <w:tcPr>
            <w:tcW w:w="3423" w:type="dxa"/>
          </w:tcPr>
          <w:p>
            <w:pPr>
              <w:pStyle w:val="Compact"/>
              <w:spacing w:after="40"/>
              <w:jc w:val="left"/>
            </w:pPr>
            <w:r>
              <w:rPr>
                <w:sz w:val="18"/>
              </w:rPr>
              <w:t xml:space="preserve">Screen keys</w:t>
            </w:r>
          </w:p>
        </w:tc>
        <w:tc>
          <w:tcPr>
            <w:tcW w:w="6215" w:type="dxa"/>
          </w:tcPr>
          <w:p>
            <w:pPr>
              <w:pStyle w:val="Compact"/>
              <w:spacing w:after="40"/>
              <w:jc w:val="left"/>
            </w:pPr>
            <w:r>
              <w:rPr>
                <w:sz w:val="18"/>
              </w:rPr>
              <w:t xml:space="preserve">Declared in</w:t>
            </w:r>
            <w:r>
              <w:rPr>
                <w:sz w:val="18"/>
              </w:rPr>
              <w:t xml:space="preserve"> </w:t>
            </w:r>
            <w:r>
              <w:rPr>
                <w:rStyle w:val="VerbatimChar"/>
                <w:sz w:val="18"/>
              </w:rPr>
              <w:t xml:space="preserve">nav_item.shortcut</w:t>
            </w:r>
            <w:r>
              <w:rPr>
                <w:sz w:val="18"/>
              </w:rPr>
              <w:t xml:space="preserve"> </w:t>
            </w:r>
            <w:r>
              <w:rPr>
                <w:sz w:val="18"/>
              </w:rPr>
              <w:t xml:space="preserve">(</w:t>
            </w:r>
            <w:r>
              <w:rPr>
                <w:rStyle w:val="VerbatimChar"/>
                <w:sz w:val="18"/>
              </w:rPr>
              <w:t xml:space="preserve">g c</w:t>
            </w:r>
            <w:r>
              <w:rPr>
                <w:sz w:val="18"/>
              </w:rPr>
              <w:t xml:space="preserve"> </w:t>
            </w:r>
            <w:r>
              <w:rPr>
                <w:sz w:val="18"/>
              </w:rPr>
              <w:t xml:space="preserve">returns calendar, GV2 vote keys, Part 7H blotter keys)</w:t>
            </w:r>
          </w:p>
        </w:tc>
      </w:tr>
    </w:tbl>
    <w:p>
      <w:pPr>
        <w:pStyle w:val="BodyText"/>
      </w:pPr>
      <w:r>
        <w:t xml:space="preserve">Single-key shortcuts never fire in text fields, can be switched off or remapped per user (WCAG 2.2 SC 2.1.4), and every action also has a button.</w:t>
      </w:r>
    </w:p>
    <w:bookmarkEnd w:id="907"/>
    <w:bookmarkEnd w:id="908"/>
    <w:bookmarkStart w:id="929" w:name="g.3-sidebar-and-menu-tree"/>
    <w:p>
      <w:pPr>
        <w:pStyle w:val="Heading2"/>
      </w:pPr>
      <w:r>
        <w:t xml:space="preserve">G.3 Sidebar and menu tree</w:t>
      </w:r>
    </w:p>
    <w:p>
      <w:pPr>
        <w:pStyle w:val="FirstParagraph"/>
      </w:pPr>
      <w:r>
        <w:t xml:space="preserve">Sidebar order is G.3.1–G.3.18; each workspace pins its subset (G.5). Keys in brackets; labels come from vocabulary and language packs.</w:t>
      </w:r>
      <w:r>
        <w:t xml:space="preserve"> </w:t>
      </w:r>
      <w:r>
        <w:t xml:space="preserve">“</w:t>
      </w:r>
      <w:r>
        <w:t xml:space="preserve">As</w:t>
      </w:r>
      <w:r>
        <w:t xml:space="preserve">”</w:t>
      </w:r>
      <w:r>
        <w:t xml:space="preserve"> </w:t>
      </w:r>
      <w:r>
        <w:t xml:space="preserve">rows repeat a Part’s paths; the Part holds the detail.</w:t>
      </w:r>
    </w:p>
    <w:bookmarkStart w:id="909" w:name="g.3.1-home-home"/>
    <w:p>
      <w:pPr>
        <w:pStyle w:val="Heading3"/>
      </w:pPr>
      <w:r>
        <w:t xml:space="preserve">G.3.1 Home (</w:t>
      </w:r>
      <w:r>
        <w:rPr>
          <w:rStyle w:val="VerbatimChar"/>
        </w:rPr>
        <w:t xml:space="preserve">home</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04"/>
        <w:gridCol w:w="3547"/>
        <w:gridCol w:w="1182"/>
        <w:gridCol w:w="1205"/>
        <w:gridCol w:w="2000"/>
      </w:tblGrid>
      <w:tr>
        <w:trPr>
          <w:tblHeader w:val="true"/>
          <w:tblHeader w:val="true"/>
        </w:trPr>
        <w:tc>
          <w:tcPr>
            <w:tcW w:w="1704" w:type="dxa"/>
            <w:shd w:val="clear" w:color="auto" w:fill="1F3A5F"/>
          </w:tcPr>
          <w:p>
            <w:pPr>
              <w:pStyle w:val="Compact"/>
              <w:spacing w:after="40"/>
              <w:jc w:val="left"/>
            </w:pPr>
            <w:r>
              <w:rPr>
                <w:b/>
                <w:color w:val="FFFFFF"/>
                <w:sz w:val="18"/>
              </w:rPr>
              <w:t xml:space="preserve">Path</w:t>
            </w:r>
          </w:p>
        </w:tc>
        <w:tc>
          <w:tcPr>
            <w:tcW w:w="3547" w:type="dxa"/>
            <w:shd w:val="clear" w:color="auto" w:fill="1F3A5F"/>
          </w:tcPr>
          <w:p>
            <w:pPr>
              <w:pStyle w:val="Compact"/>
              <w:spacing w:after="40"/>
              <w:jc w:val="left"/>
            </w:pPr>
            <w:r>
              <w:rPr>
                <w:b/>
                <w:color w:val="FFFFFF"/>
                <w:sz w:val="18"/>
              </w:rPr>
              <w:t xml:space="preserve">Screens and key actions</w:t>
            </w:r>
          </w:p>
        </w:tc>
        <w:tc>
          <w:tcPr>
            <w:tcW w:w="1182" w:type="dxa"/>
            <w:shd w:val="clear" w:color="auto" w:fill="1F3A5F"/>
          </w:tcPr>
          <w:p>
            <w:pPr>
              <w:pStyle w:val="Compact"/>
              <w:spacing w:after="40"/>
              <w:jc w:val="left"/>
            </w:pPr>
            <w:r>
              <w:rPr>
                <w:b/>
                <w:color w:val="FFFFFF"/>
                <w:sz w:val="18"/>
              </w:rPr>
              <w:t xml:space="preserve">Owner</w:t>
            </w:r>
          </w:p>
        </w:tc>
        <w:tc>
          <w:tcPr>
            <w:tcW w:w="1205" w:type="dxa"/>
            <w:shd w:val="clear" w:color="auto" w:fill="1F3A5F"/>
          </w:tcPr>
          <w:p>
            <w:pPr>
              <w:pStyle w:val="Compact"/>
              <w:spacing w:after="40"/>
              <w:jc w:val="left"/>
            </w:pPr>
            <w:r>
              <w:rPr>
                <w:b/>
                <w:color w:val="FFFFFF"/>
                <w:sz w:val="18"/>
              </w:rPr>
              <w:t xml:space="preserve">Phase</w:t>
            </w:r>
          </w:p>
        </w:tc>
        <w:tc>
          <w:tcPr>
            <w:tcW w:w="2000" w:type="dxa"/>
            <w:shd w:val="clear" w:color="auto" w:fill="1F3A5F"/>
          </w:tcPr>
          <w:p>
            <w:pPr>
              <w:pStyle w:val="Compact"/>
              <w:spacing w:after="40"/>
              <w:jc w:val="left"/>
            </w:pPr>
            <w:r>
              <w:rPr>
                <w:b/>
                <w:color w:val="FFFFFF"/>
                <w:sz w:val="18"/>
              </w:rPr>
              <w:t xml:space="preserve">Roles</w:t>
            </w:r>
          </w:p>
        </w:tc>
      </w:tr>
      <w:tr>
        <w:tc>
          <w:tcPr>
            <w:tcW w:w="1704" w:type="dxa"/>
          </w:tcPr>
          <w:p>
            <w:pPr>
              <w:pStyle w:val="Compact"/>
              <w:spacing w:after="40"/>
              <w:jc w:val="left"/>
            </w:pPr>
            <w:r>
              <w:rPr>
                <w:rStyle w:val="VerbatimChar"/>
                <w:sz w:val="18"/>
              </w:rPr>
              <w:t xml:space="preserve">Home</w:t>
            </w:r>
          </w:p>
        </w:tc>
        <w:tc>
          <w:tcPr>
            <w:tcW w:w="3547" w:type="dxa"/>
          </w:tcPr>
          <w:p>
            <w:pPr>
              <w:pStyle w:val="Compact"/>
              <w:spacing w:after="40"/>
              <w:jc w:val="left"/>
            </w:pPr>
            <w:r>
              <w:rPr>
                <w:sz w:val="18"/>
              </w:rPr>
              <w:t xml:space="preserve">Landing of every workspace; renders</w:t>
            </w:r>
            <w:r>
              <w:rPr>
                <w:sz w:val="18"/>
              </w:rPr>
              <w:t xml:space="preserve"> </w:t>
            </w:r>
            <w:r>
              <w:rPr>
                <w:rStyle w:val="VerbatimChar"/>
                <w:sz w:val="18"/>
              </w:rPr>
              <w:t xml:space="preserve">Dashboards › My dashboard</w:t>
            </w:r>
            <w:r>
              <w:rPr>
                <w:sz w:val="18"/>
              </w:rPr>
              <w:t xml:space="preserve"> </w:t>
            </w:r>
            <w:r>
              <w:rPr>
                <w:sz w:val="18"/>
              </w:rPr>
              <w:t xml:space="preserve">(G.4) with queue counts, due today, alerts</w:t>
            </w:r>
          </w:p>
        </w:tc>
        <w:tc>
          <w:tcPr>
            <w:tcW w:w="1182" w:type="dxa"/>
          </w:tcPr>
          <w:p>
            <w:pPr>
              <w:pStyle w:val="Compact"/>
              <w:spacing w:after="40"/>
              <w:jc w:val="left"/>
            </w:pPr>
            <w:r>
              <w:rPr>
                <w:sz w:val="18"/>
              </w:rPr>
              <w:t xml:space="preserve">RK8, M17</w:t>
            </w:r>
          </w:p>
        </w:tc>
        <w:tc>
          <w:tcPr>
            <w:tcW w:w="1205" w:type="dxa"/>
          </w:tcPr>
          <w:p>
            <w:pPr>
              <w:pStyle w:val="Compact"/>
              <w:spacing w:after="40"/>
              <w:jc w:val="left"/>
            </w:pPr>
            <w:r>
              <w:rPr>
                <w:sz w:val="18"/>
              </w:rPr>
              <w:t xml:space="preserve">1; tiles 14d</w:t>
            </w:r>
          </w:p>
        </w:tc>
        <w:tc>
          <w:tcPr>
            <w:tcW w:w="2000" w:type="dxa"/>
          </w:tcPr>
          <w:p>
            <w:pPr>
              <w:pStyle w:val="Compact"/>
              <w:spacing w:after="40"/>
              <w:jc w:val="left"/>
            </w:pPr>
            <w:r>
              <w:rPr>
                <w:sz w:val="18"/>
              </w:rPr>
              <w:t xml:space="preserve">All internal</w:t>
            </w:r>
          </w:p>
        </w:tc>
      </w:tr>
      <w:tr>
        <w:tc>
          <w:tcPr>
            <w:tcW w:w="1704" w:type="dxa"/>
          </w:tcPr>
          <w:p>
            <w:pPr>
              <w:pStyle w:val="Compact"/>
              <w:spacing w:after="40"/>
              <w:jc w:val="left"/>
            </w:pPr>
            <w:r>
              <w:rPr>
                <w:rStyle w:val="VerbatimChar"/>
                <w:sz w:val="18"/>
              </w:rPr>
              <w:t xml:space="preserve">Home › My queue</w:t>
            </w:r>
          </w:p>
        </w:tc>
        <w:tc>
          <w:tcPr>
            <w:tcW w:w="3547" w:type="dxa"/>
          </w:tcPr>
          <w:p>
            <w:pPr>
              <w:pStyle w:val="Compact"/>
              <w:spacing w:after="40"/>
              <w:jc w:val="left"/>
            </w:pPr>
            <w:r>
              <w:rPr>
                <w:sz w:val="18"/>
              </w:rPr>
              <w:t xml:space="preserve">SLA-sorted work items (Part 10.5)</w:t>
            </w:r>
          </w:p>
        </w:tc>
        <w:tc>
          <w:tcPr>
            <w:tcW w:w="1182" w:type="dxa"/>
          </w:tcPr>
          <w:p>
            <w:pPr>
              <w:pStyle w:val="Compact"/>
              <w:spacing w:after="40"/>
              <w:jc w:val="left"/>
            </w:pPr>
            <w:r>
              <w:rPr>
                <w:sz w:val="18"/>
              </w:rPr>
              <w:t xml:space="preserve">M19</w:t>
            </w:r>
          </w:p>
        </w:tc>
        <w:tc>
          <w:tcPr>
            <w:tcW w:w="1205" w:type="dxa"/>
          </w:tcPr>
          <w:p>
            <w:pPr>
              <w:pStyle w:val="Compact"/>
              <w:spacing w:after="40"/>
              <w:jc w:val="left"/>
            </w:pPr>
            <w:r>
              <w:rPr>
                <w:sz w:val="18"/>
              </w:rPr>
              <w:t xml:space="preserve">1</w:t>
            </w:r>
          </w:p>
        </w:tc>
        <w:tc>
          <w:tcPr>
            <w:tcW w:w="2000" w:type="dxa"/>
          </w:tcPr>
          <w:p>
            <w:pPr>
              <w:pStyle w:val="Compact"/>
              <w:spacing w:after="40"/>
              <w:jc w:val="left"/>
            </w:pPr>
            <w:r>
              <w:rPr>
                <w:sz w:val="18"/>
              </w:rPr>
              <w:t xml:space="preserve">All internal</w:t>
            </w:r>
          </w:p>
        </w:tc>
      </w:tr>
      <w:tr>
        <w:tc>
          <w:tcPr>
            <w:tcW w:w="1704" w:type="dxa"/>
          </w:tcPr>
          <w:p>
            <w:pPr>
              <w:pStyle w:val="Compact"/>
              <w:spacing w:after="40"/>
              <w:jc w:val="left"/>
            </w:pPr>
            <w:r>
              <w:rPr>
                <w:rStyle w:val="VerbatimChar"/>
                <w:sz w:val="18"/>
              </w:rPr>
              <w:t xml:space="preserve">Home › Pinned and recent</w:t>
            </w:r>
          </w:p>
        </w:tc>
        <w:tc>
          <w:tcPr>
            <w:tcW w:w="3547" w:type="dxa"/>
          </w:tcPr>
          <w:p>
            <w:pPr>
              <w:pStyle w:val="Compact"/>
              <w:spacing w:after="40"/>
              <w:jc w:val="left"/>
            </w:pPr>
            <w:r>
              <w:rPr>
                <w:sz w:val="18"/>
              </w:rPr>
              <w:t xml:space="preserve">Pinned records, saved views, recent records</w:t>
            </w:r>
          </w:p>
        </w:tc>
        <w:tc>
          <w:tcPr>
            <w:tcW w:w="1182" w:type="dxa"/>
          </w:tcPr>
          <w:p>
            <w:pPr>
              <w:pStyle w:val="Compact"/>
              <w:spacing w:after="40"/>
              <w:jc w:val="left"/>
            </w:pPr>
            <w:r>
              <w:rPr>
                <w:sz w:val="18"/>
              </w:rPr>
              <w:t xml:space="preserve">Shell</w:t>
            </w:r>
          </w:p>
        </w:tc>
        <w:tc>
          <w:tcPr>
            <w:tcW w:w="1205" w:type="dxa"/>
          </w:tcPr>
          <w:p>
            <w:pPr>
              <w:pStyle w:val="Compact"/>
              <w:spacing w:after="40"/>
              <w:jc w:val="left"/>
            </w:pPr>
            <w:r>
              <w:rPr>
                <w:sz w:val="18"/>
              </w:rPr>
              <w:t xml:space="preserve">1</w:t>
            </w:r>
          </w:p>
        </w:tc>
        <w:tc>
          <w:tcPr>
            <w:tcW w:w="2000" w:type="dxa"/>
          </w:tcPr>
          <w:p>
            <w:pPr>
              <w:pStyle w:val="Compact"/>
              <w:spacing w:after="40"/>
              <w:jc w:val="left"/>
            </w:pPr>
            <w:r>
              <w:rPr>
                <w:sz w:val="18"/>
              </w:rPr>
              <w:t xml:space="preserve">All</w:t>
            </w:r>
          </w:p>
        </w:tc>
      </w:tr>
      <w:tr>
        <w:tc>
          <w:tcPr>
            <w:tcW w:w="1704" w:type="dxa"/>
          </w:tcPr>
          <w:p>
            <w:pPr>
              <w:pStyle w:val="Compact"/>
              <w:spacing w:after="40"/>
              <w:jc w:val="left"/>
            </w:pPr>
            <w:r>
              <w:rPr>
                <w:rStyle w:val="VerbatimChar"/>
                <w:sz w:val="18"/>
              </w:rPr>
              <w:t xml:space="preserve">Home › Announcements</w:t>
            </w:r>
          </w:p>
        </w:tc>
        <w:tc>
          <w:tcPr>
            <w:tcW w:w="3547" w:type="dxa"/>
          </w:tcPr>
          <w:p>
            <w:pPr>
              <w:pStyle w:val="Compact"/>
              <w:spacing w:after="40"/>
              <w:jc w:val="left"/>
            </w:pPr>
            <w:r>
              <w:rPr>
                <w:sz w:val="18"/>
              </w:rPr>
              <w:t xml:space="preserve">Notices needing a read receipt; publish under maker-checker</w:t>
            </w:r>
          </w:p>
        </w:tc>
        <w:tc>
          <w:tcPr>
            <w:tcW w:w="1182" w:type="dxa"/>
          </w:tcPr>
          <w:p>
            <w:pPr>
              <w:pStyle w:val="Compact"/>
              <w:spacing w:after="40"/>
              <w:jc w:val="left"/>
            </w:pPr>
            <w:r>
              <w:rPr>
                <w:sz w:val="18"/>
              </w:rPr>
              <w:t xml:space="preserve">M14, M19</w:t>
            </w:r>
          </w:p>
        </w:tc>
        <w:tc>
          <w:tcPr>
            <w:tcW w:w="1205" w:type="dxa"/>
          </w:tcPr>
          <w:p>
            <w:pPr>
              <w:pStyle w:val="Compact"/>
              <w:spacing w:after="40"/>
              <w:jc w:val="left"/>
            </w:pPr>
            <w:r>
              <w:rPr>
                <w:sz w:val="18"/>
              </w:rPr>
              <w:t xml:space="preserve">3</w:t>
            </w:r>
          </w:p>
        </w:tc>
        <w:tc>
          <w:tcPr>
            <w:tcW w:w="2000" w:type="dxa"/>
          </w:tcPr>
          <w:p>
            <w:pPr>
              <w:pStyle w:val="Compact"/>
              <w:spacing w:after="40"/>
              <w:jc w:val="left"/>
            </w:pPr>
            <w:r>
              <w:rPr>
                <w:sz w:val="18"/>
              </w:rPr>
              <w:t xml:space="preserve">All; CCO and tenant admin publish</w:t>
            </w:r>
          </w:p>
        </w:tc>
      </w:tr>
    </w:tbl>
    <w:bookmarkEnd w:id="909"/>
    <w:bookmarkStart w:id="910" w:name="g.3.2-leads-and-sourcing-leads"/>
    <w:p>
      <w:pPr>
        <w:pStyle w:val="Heading3"/>
      </w:pPr>
      <w:r>
        <w:t xml:space="preserve">G.3.2 Leads and Sourcing (</w:t>
      </w:r>
      <w:r>
        <w:rPr>
          <w:rStyle w:val="VerbatimChar"/>
        </w:rPr>
        <w:t xml:space="preserve">leads</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48"/>
        <w:gridCol w:w="3821"/>
        <w:gridCol w:w="1143"/>
        <w:gridCol w:w="1143"/>
        <w:gridCol w:w="1783"/>
      </w:tblGrid>
      <w:tr>
        <w:trPr>
          <w:tblHeader w:val="true"/>
          <w:tblHeader w:val="true"/>
        </w:trPr>
        <w:tc>
          <w:tcPr>
            <w:tcW w:w="1748" w:type="dxa"/>
            <w:shd w:val="clear" w:color="auto" w:fill="1F3A5F"/>
          </w:tcPr>
          <w:p>
            <w:pPr>
              <w:pStyle w:val="Compact"/>
              <w:spacing w:after="40"/>
              <w:jc w:val="left"/>
            </w:pPr>
            <w:r>
              <w:rPr>
                <w:b/>
                <w:color w:val="FFFFFF"/>
                <w:sz w:val="18"/>
              </w:rPr>
              <w:t xml:space="preserve">Path</w:t>
            </w:r>
          </w:p>
        </w:tc>
        <w:tc>
          <w:tcPr>
            <w:tcW w:w="3821" w:type="dxa"/>
            <w:shd w:val="clear" w:color="auto" w:fill="1F3A5F"/>
          </w:tcPr>
          <w:p>
            <w:pPr>
              <w:pStyle w:val="Compact"/>
              <w:spacing w:after="40"/>
              <w:jc w:val="left"/>
            </w:pPr>
            <w:r>
              <w:rPr>
                <w:b/>
                <w:color w:val="FFFFFF"/>
                <w:sz w:val="18"/>
              </w:rPr>
              <w:t xml:space="preserve">Screens and key actions</w:t>
            </w:r>
          </w:p>
        </w:tc>
        <w:tc>
          <w:tcPr>
            <w:tcW w:w="1143" w:type="dxa"/>
            <w:shd w:val="clear" w:color="auto" w:fill="1F3A5F"/>
          </w:tcPr>
          <w:p>
            <w:pPr>
              <w:pStyle w:val="Compact"/>
              <w:spacing w:after="40"/>
              <w:jc w:val="left"/>
            </w:pPr>
            <w:r>
              <w:rPr>
                <w:b/>
                <w:color w:val="FFFFFF"/>
                <w:sz w:val="18"/>
              </w:rPr>
              <w:t xml:space="preserve">Owner</w:t>
            </w:r>
          </w:p>
        </w:tc>
        <w:tc>
          <w:tcPr>
            <w:tcW w:w="1143" w:type="dxa"/>
            <w:shd w:val="clear" w:color="auto" w:fill="1F3A5F"/>
          </w:tcPr>
          <w:p>
            <w:pPr>
              <w:pStyle w:val="Compact"/>
              <w:spacing w:after="40"/>
              <w:jc w:val="left"/>
            </w:pPr>
            <w:r>
              <w:rPr>
                <w:b/>
                <w:color w:val="FFFFFF"/>
                <w:sz w:val="18"/>
              </w:rPr>
              <w:t xml:space="preserve">Phase</w:t>
            </w:r>
          </w:p>
        </w:tc>
        <w:tc>
          <w:tcPr>
            <w:tcW w:w="1783" w:type="dxa"/>
            <w:shd w:val="clear" w:color="auto" w:fill="1F3A5F"/>
          </w:tcPr>
          <w:p>
            <w:pPr>
              <w:pStyle w:val="Compact"/>
              <w:spacing w:after="40"/>
              <w:jc w:val="left"/>
            </w:pPr>
            <w:r>
              <w:rPr>
                <w:b/>
                <w:color w:val="FFFFFF"/>
                <w:sz w:val="18"/>
              </w:rPr>
              <w:t xml:space="preserve">Roles</w:t>
            </w:r>
          </w:p>
        </w:tc>
      </w:tr>
      <w:tr>
        <w:tc>
          <w:tcPr>
            <w:tcW w:w="1748" w:type="dxa"/>
          </w:tcPr>
          <w:p>
            <w:pPr>
              <w:pStyle w:val="Compact"/>
              <w:spacing w:after="40"/>
              <w:jc w:val="left"/>
            </w:pPr>
            <w:r>
              <w:rPr>
                <w:rStyle w:val="VerbatimChar"/>
                <w:sz w:val="18"/>
              </w:rPr>
              <w:t xml:space="preserve">Leads › Pipeline</w:t>
            </w:r>
          </w:p>
        </w:tc>
        <w:tc>
          <w:tcPr>
            <w:tcW w:w="3821" w:type="dxa"/>
          </w:tcPr>
          <w:p>
            <w:pPr>
              <w:pStyle w:val="Compact"/>
              <w:spacing w:after="40"/>
              <w:jc w:val="left"/>
            </w:pPr>
            <w:r>
              <w:rPr>
                <w:sz w:val="18"/>
              </w:rPr>
              <w:t xml:space="preserve">List and board; de-dupe; allocation by pincode, product, branch; bulk upload with reject file; bulk reassign; TAT</w:t>
            </w:r>
          </w:p>
        </w:tc>
        <w:tc>
          <w:tcPr>
            <w:tcW w:w="1143" w:type="dxa"/>
          </w:tcPr>
          <w:p>
            <w:pPr>
              <w:pStyle w:val="Compact"/>
              <w:spacing w:after="40"/>
              <w:jc w:val="left"/>
            </w:pPr>
            <w:r>
              <w:rPr>
                <w:sz w:val="18"/>
              </w:rPr>
              <w:t xml:space="preserve">M2</w:t>
            </w:r>
          </w:p>
        </w:tc>
        <w:tc>
          <w:tcPr>
            <w:tcW w:w="1143" w:type="dxa"/>
          </w:tcPr>
          <w:p>
            <w:pPr>
              <w:pStyle w:val="Compact"/>
              <w:spacing w:after="40"/>
              <w:jc w:val="left"/>
            </w:pPr>
            <w:r>
              <w:rPr>
                <w:sz w:val="18"/>
              </w:rPr>
              <w:t xml:space="preserve">7</w:t>
            </w:r>
          </w:p>
        </w:tc>
        <w:tc>
          <w:tcPr>
            <w:tcW w:w="1783" w:type="dxa"/>
          </w:tcPr>
          <w:p>
            <w:pPr>
              <w:pStyle w:val="Compact"/>
              <w:spacing w:after="40"/>
              <w:jc w:val="left"/>
            </w:pPr>
            <w:r>
              <w:rPr>
                <w:sz w:val="18"/>
              </w:rPr>
              <w:t xml:space="preserve">Sales, RMs, branch manager</w:t>
            </w:r>
          </w:p>
        </w:tc>
      </w:tr>
      <w:tr>
        <w:tc>
          <w:tcPr>
            <w:tcW w:w="1748" w:type="dxa"/>
          </w:tcPr>
          <w:p>
            <w:pPr>
              <w:pStyle w:val="Compact"/>
              <w:spacing w:after="40"/>
              <w:jc w:val="left"/>
            </w:pPr>
            <w:r>
              <w:rPr>
                <w:rStyle w:val="VerbatimChar"/>
                <w:sz w:val="18"/>
              </w:rPr>
              <w:t xml:space="preserve">Leads › Campaigns</w:t>
            </w:r>
          </w:p>
        </w:tc>
        <w:tc>
          <w:tcPr>
            <w:tcW w:w="3821" w:type="dxa"/>
          </w:tcPr>
          <w:p>
            <w:pPr>
              <w:pStyle w:val="Compact"/>
              <w:spacing w:after="40"/>
              <w:jc w:val="left"/>
            </w:pPr>
            <w:r>
              <w:rPr>
                <w:sz w:val="18"/>
              </w:rPr>
              <w:t xml:space="preserve">Intake, consent check before contact, attribution</w:t>
            </w:r>
          </w:p>
        </w:tc>
        <w:tc>
          <w:tcPr>
            <w:tcW w:w="1143" w:type="dxa"/>
          </w:tcPr>
          <w:p>
            <w:pPr>
              <w:pStyle w:val="Compact"/>
              <w:spacing w:after="40"/>
              <w:jc w:val="left"/>
            </w:pPr>
            <w:r>
              <w:rPr>
                <w:sz w:val="18"/>
              </w:rPr>
              <w:t xml:space="preserve">M2, M18</w:t>
            </w:r>
          </w:p>
        </w:tc>
        <w:tc>
          <w:tcPr>
            <w:tcW w:w="1143" w:type="dxa"/>
          </w:tcPr>
          <w:p>
            <w:pPr>
              <w:pStyle w:val="Compact"/>
              <w:spacing w:after="40"/>
              <w:jc w:val="left"/>
            </w:pPr>
            <w:r>
              <w:rPr>
                <w:sz w:val="18"/>
              </w:rPr>
              <w:t xml:space="preserve">7</w:t>
            </w:r>
          </w:p>
        </w:tc>
        <w:tc>
          <w:tcPr>
            <w:tcW w:w="1783" w:type="dxa"/>
          </w:tcPr>
          <w:p>
            <w:pPr>
              <w:pStyle w:val="Compact"/>
              <w:spacing w:after="40"/>
              <w:jc w:val="left"/>
            </w:pPr>
            <w:r>
              <w:rPr>
                <w:sz w:val="18"/>
              </w:rPr>
              <w:t xml:space="preserve">Marketing</w:t>
            </w:r>
          </w:p>
        </w:tc>
      </w:tr>
      <w:tr>
        <w:tc>
          <w:tcPr>
            <w:tcW w:w="1748" w:type="dxa"/>
          </w:tcPr>
          <w:p>
            <w:pPr>
              <w:pStyle w:val="Compact"/>
              <w:spacing w:after="40"/>
              <w:jc w:val="left"/>
            </w:pPr>
            <w:r>
              <w:rPr>
                <w:rStyle w:val="VerbatimChar"/>
                <w:sz w:val="18"/>
              </w:rPr>
              <w:t xml:space="preserve">Leads › DSAs and connectors</w:t>
            </w:r>
          </w:p>
        </w:tc>
        <w:tc>
          <w:tcPr>
            <w:tcW w:w="3821" w:type="dxa"/>
          </w:tcPr>
          <w:p>
            <w:pPr>
              <w:pStyle w:val="Compact"/>
              <w:spacing w:after="40"/>
              <w:jc w:val="left"/>
            </w:pPr>
            <w:r>
              <w:rPr>
                <w:sz w:val="18"/>
              </w:rPr>
              <w:t xml:space="preserve">Master; empanelment wizard (KYC → agreement → code → training → activation); renewal; blacklist (CCO office lifts); quality score</w:t>
            </w:r>
          </w:p>
        </w:tc>
        <w:tc>
          <w:tcPr>
            <w:tcW w:w="1143" w:type="dxa"/>
          </w:tcPr>
          <w:p>
            <w:pPr>
              <w:pStyle w:val="Compact"/>
              <w:spacing w:after="40"/>
              <w:jc w:val="left"/>
            </w:pPr>
            <w:r>
              <w:rPr>
                <w:sz w:val="18"/>
              </w:rPr>
              <w:t xml:space="preserve">M2</w:t>
            </w:r>
          </w:p>
        </w:tc>
        <w:tc>
          <w:tcPr>
            <w:tcW w:w="1143" w:type="dxa"/>
          </w:tcPr>
          <w:p>
            <w:pPr>
              <w:pStyle w:val="Compact"/>
              <w:spacing w:after="40"/>
              <w:jc w:val="left"/>
            </w:pPr>
            <w:r>
              <w:rPr>
                <w:sz w:val="18"/>
              </w:rPr>
              <w:t xml:space="preserve">7</w:t>
            </w:r>
          </w:p>
        </w:tc>
        <w:tc>
          <w:tcPr>
            <w:tcW w:w="1783" w:type="dxa"/>
          </w:tcPr>
          <w:p>
            <w:pPr>
              <w:pStyle w:val="Compact"/>
              <w:spacing w:after="40"/>
              <w:jc w:val="left"/>
            </w:pPr>
            <w:r>
              <w:rPr>
                <w:sz w:val="18"/>
              </w:rPr>
              <w:t xml:space="preserve">Partner manager; CCO checker</w:t>
            </w:r>
          </w:p>
        </w:tc>
      </w:tr>
      <w:tr>
        <w:tc>
          <w:tcPr>
            <w:tcW w:w="1748" w:type="dxa"/>
          </w:tcPr>
          <w:p>
            <w:pPr>
              <w:pStyle w:val="Compact"/>
              <w:spacing w:after="40"/>
              <w:jc w:val="left"/>
            </w:pPr>
            <w:r>
              <w:rPr>
                <w:rStyle w:val="VerbatimChar"/>
                <w:sz w:val="18"/>
              </w:rPr>
              <w:t xml:space="preserve">Leads › Payouts</w:t>
            </w:r>
          </w:p>
        </w:tc>
        <w:tc>
          <w:tcPr>
            <w:tcW w:w="3821" w:type="dxa"/>
          </w:tcPr>
          <w:p>
            <w:pPr>
              <w:pStyle w:val="Compact"/>
              <w:spacing w:after="40"/>
              <w:jc w:val="left"/>
            </w:pPr>
            <w:r>
              <w:rPr>
                <w:sz w:val="18"/>
              </w:rPr>
              <w:t xml:space="preserve">Run (compute → review → approve → pay via M7); clawbacks; GST and TDS; statements</w:t>
            </w:r>
          </w:p>
        </w:tc>
        <w:tc>
          <w:tcPr>
            <w:tcW w:w="1143" w:type="dxa"/>
          </w:tcPr>
          <w:p>
            <w:pPr>
              <w:pStyle w:val="Compact"/>
              <w:spacing w:after="40"/>
              <w:jc w:val="left"/>
            </w:pPr>
            <w:r>
              <w:rPr>
                <w:sz w:val="18"/>
              </w:rPr>
              <w:t xml:space="preserve">M2, AC5</w:t>
            </w:r>
          </w:p>
        </w:tc>
        <w:tc>
          <w:tcPr>
            <w:tcW w:w="1143" w:type="dxa"/>
          </w:tcPr>
          <w:p>
            <w:pPr>
              <w:pStyle w:val="Compact"/>
              <w:spacing w:after="40"/>
              <w:jc w:val="left"/>
            </w:pPr>
            <w:r>
              <w:rPr>
                <w:sz w:val="18"/>
              </w:rPr>
              <w:t xml:space="preserve">7; 13b</w:t>
            </w:r>
          </w:p>
        </w:tc>
        <w:tc>
          <w:tcPr>
            <w:tcW w:w="1783" w:type="dxa"/>
          </w:tcPr>
          <w:p>
            <w:pPr>
              <w:pStyle w:val="Compact"/>
              <w:spacing w:after="40"/>
              <w:jc w:val="left"/>
            </w:pPr>
            <w:r>
              <w:rPr>
                <w:sz w:val="18"/>
              </w:rPr>
              <w:t xml:space="preserve">Partner ops; finance checker</w:t>
            </w:r>
          </w:p>
        </w:tc>
      </w:tr>
      <w:tr>
        <w:tc>
          <w:tcPr>
            <w:tcW w:w="1748" w:type="dxa"/>
          </w:tcPr>
          <w:p>
            <w:pPr>
              <w:pStyle w:val="Compact"/>
              <w:spacing w:after="40"/>
              <w:jc w:val="left"/>
            </w:pPr>
            <w:r>
              <w:rPr>
                <w:sz w:val="18"/>
              </w:rPr>
              <w:t xml:space="preserve">DSA portal (B)</w:t>
            </w:r>
          </w:p>
        </w:tc>
        <w:tc>
          <w:tcPr>
            <w:tcW w:w="3821" w:type="dxa"/>
          </w:tcPr>
          <w:p>
            <w:pPr>
              <w:pStyle w:val="Compact"/>
              <w:spacing w:after="40"/>
              <w:jc w:val="left"/>
            </w:pPr>
            <w:r>
              <w:rPr>
                <w:sz w:val="18"/>
              </w:rPr>
              <w:t xml:space="preserve">My leads, Submit application, Status, Payout statements, Documents</w:t>
            </w:r>
          </w:p>
        </w:tc>
        <w:tc>
          <w:tcPr>
            <w:tcW w:w="1143" w:type="dxa"/>
          </w:tcPr>
          <w:p>
            <w:pPr>
              <w:pStyle w:val="Compact"/>
              <w:spacing w:after="40"/>
              <w:jc w:val="left"/>
            </w:pPr>
            <w:r>
              <w:rPr>
                <w:sz w:val="18"/>
              </w:rPr>
              <w:t xml:space="preserve">M2</w:t>
            </w:r>
          </w:p>
        </w:tc>
        <w:tc>
          <w:tcPr>
            <w:tcW w:w="1143" w:type="dxa"/>
          </w:tcPr>
          <w:p>
            <w:pPr>
              <w:pStyle w:val="Compact"/>
              <w:spacing w:after="40"/>
              <w:jc w:val="left"/>
            </w:pPr>
            <w:r>
              <w:rPr>
                <w:sz w:val="18"/>
              </w:rPr>
              <w:t xml:space="preserve">7</w:t>
            </w:r>
          </w:p>
        </w:tc>
        <w:tc>
          <w:tcPr>
            <w:tcW w:w="1783" w:type="dxa"/>
          </w:tcPr>
          <w:p>
            <w:pPr>
              <w:pStyle w:val="Compact"/>
              <w:spacing w:after="40"/>
              <w:jc w:val="left"/>
            </w:pPr>
            <w:r>
              <w:rPr>
                <w:sz w:val="18"/>
              </w:rPr>
              <w:t xml:space="preserve">DSA users (own records)</w:t>
            </w:r>
          </w:p>
        </w:tc>
      </w:tr>
    </w:tbl>
    <w:bookmarkEnd w:id="910"/>
    <w:bookmarkStart w:id="911" w:name="g.3.3-customers-customers"/>
    <w:p>
      <w:pPr>
        <w:pStyle w:val="Heading3"/>
      </w:pPr>
      <w:r>
        <w:t xml:space="preserve">G.3.3 Customers (</w:t>
      </w:r>
      <w:r>
        <w:rPr>
          <w:rStyle w:val="VerbatimChar"/>
        </w:rPr>
        <w:t xml:space="preserve">customers</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66"/>
        <w:gridCol w:w="3543"/>
        <w:gridCol w:w="1284"/>
        <w:gridCol w:w="1029"/>
        <w:gridCol w:w="1916"/>
      </w:tblGrid>
      <w:tr>
        <w:trPr>
          <w:tblHeader w:val="true"/>
          <w:tblHeader w:val="true"/>
        </w:trPr>
        <w:tc>
          <w:tcPr>
            <w:tcW w:w="1866" w:type="dxa"/>
            <w:shd w:val="clear" w:color="auto" w:fill="1F3A5F"/>
          </w:tcPr>
          <w:p>
            <w:pPr>
              <w:pStyle w:val="Compact"/>
              <w:spacing w:after="40"/>
              <w:jc w:val="left"/>
            </w:pPr>
            <w:r>
              <w:rPr>
                <w:b/>
                <w:color w:val="FFFFFF"/>
                <w:sz w:val="18"/>
              </w:rPr>
              <w:t xml:space="preserve">Path</w:t>
            </w:r>
          </w:p>
        </w:tc>
        <w:tc>
          <w:tcPr>
            <w:tcW w:w="3543" w:type="dxa"/>
            <w:shd w:val="clear" w:color="auto" w:fill="1F3A5F"/>
          </w:tcPr>
          <w:p>
            <w:pPr>
              <w:pStyle w:val="Compact"/>
              <w:spacing w:after="40"/>
              <w:jc w:val="left"/>
            </w:pPr>
            <w:r>
              <w:rPr>
                <w:b/>
                <w:color w:val="FFFFFF"/>
                <w:sz w:val="18"/>
              </w:rPr>
              <w:t xml:space="preserve">Screens and key actions</w:t>
            </w:r>
          </w:p>
        </w:tc>
        <w:tc>
          <w:tcPr>
            <w:tcW w:w="1284" w:type="dxa"/>
            <w:shd w:val="clear" w:color="auto" w:fill="1F3A5F"/>
          </w:tcPr>
          <w:p>
            <w:pPr>
              <w:pStyle w:val="Compact"/>
              <w:spacing w:after="40"/>
              <w:jc w:val="left"/>
            </w:pPr>
            <w:r>
              <w:rPr>
                <w:b/>
                <w:color w:val="FFFFFF"/>
                <w:sz w:val="18"/>
              </w:rPr>
              <w:t xml:space="preserve">Owner</w:t>
            </w:r>
          </w:p>
        </w:tc>
        <w:tc>
          <w:tcPr>
            <w:tcW w:w="1029" w:type="dxa"/>
            <w:shd w:val="clear" w:color="auto" w:fill="1F3A5F"/>
          </w:tcPr>
          <w:p>
            <w:pPr>
              <w:pStyle w:val="Compact"/>
              <w:spacing w:after="40"/>
              <w:jc w:val="left"/>
            </w:pPr>
            <w:r>
              <w:rPr>
                <w:b/>
                <w:color w:val="FFFFFF"/>
                <w:sz w:val="18"/>
              </w:rPr>
              <w:t xml:space="preserve">Phase</w:t>
            </w:r>
          </w:p>
        </w:tc>
        <w:tc>
          <w:tcPr>
            <w:tcW w:w="1916" w:type="dxa"/>
            <w:shd w:val="clear" w:color="auto" w:fill="1F3A5F"/>
          </w:tcPr>
          <w:p>
            <w:pPr>
              <w:pStyle w:val="Compact"/>
              <w:spacing w:after="40"/>
              <w:jc w:val="left"/>
            </w:pPr>
            <w:r>
              <w:rPr>
                <w:b/>
                <w:color w:val="FFFFFF"/>
                <w:sz w:val="18"/>
              </w:rPr>
              <w:t xml:space="preserve">Roles</w:t>
            </w:r>
          </w:p>
        </w:tc>
      </w:tr>
      <w:tr>
        <w:tc>
          <w:tcPr>
            <w:tcW w:w="1866" w:type="dxa"/>
          </w:tcPr>
          <w:p>
            <w:pPr>
              <w:pStyle w:val="Compact"/>
              <w:spacing w:after="40"/>
              <w:jc w:val="left"/>
            </w:pPr>
            <w:r>
              <w:rPr>
                <w:rStyle w:val="VerbatimChar"/>
                <w:sz w:val="18"/>
              </w:rPr>
              <w:t xml:space="preserve">Customers › Directory</w:t>
            </w:r>
          </w:p>
        </w:tc>
        <w:tc>
          <w:tcPr>
            <w:tcW w:w="3543" w:type="dxa"/>
          </w:tcPr>
          <w:p>
            <w:pPr>
              <w:pStyle w:val="Compact"/>
              <w:spacing w:after="40"/>
              <w:jc w:val="left"/>
            </w:pPr>
            <w:r>
              <w:rPr>
                <w:sz w:val="18"/>
              </w:rPr>
              <w:t xml:space="preserve">CIF list; customer 360 (profile, relationships, KYC, loans, collateral, documents, communications, complaints, consents, timeline, audit)</w:t>
            </w:r>
          </w:p>
        </w:tc>
        <w:tc>
          <w:tcPr>
            <w:tcW w:w="1284" w:type="dxa"/>
          </w:tcPr>
          <w:p>
            <w:pPr>
              <w:pStyle w:val="Compact"/>
              <w:spacing w:after="40"/>
              <w:jc w:val="left"/>
            </w:pPr>
            <w:r>
              <w:rPr>
                <w:sz w:val="18"/>
              </w:rPr>
              <w:t xml:space="preserve">M3</w:t>
            </w:r>
          </w:p>
        </w:tc>
        <w:tc>
          <w:tcPr>
            <w:tcW w:w="1029" w:type="dxa"/>
          </w:tcPr>
          <w:p>
            <w:pPr>
              <w:pStyle w:val="Compact"/>
              <w:spacing w:after="40"/>
              <w:jc w:val="left"/>
            </w:pPr>
            <w:r>
              <w:rPr>
                <w:sz w:val="18"/>
              </w:rPr>
              <w:t xml:space="preserve">6</w:t>
            </w:r>
          </w:p>
        </w:tc>
        <w:tc>
          <w:tcPr>
            <w:tcW w:w="1916" w:type="dxa"/>
          </w:tcPr>
          <w:p>
            <w:pPr>
              <w:pStyle w:val="Compact"/>
              <w:spacing w:after="40"/>
              <w:jc w:val="left"/>
            </w:pPr>
            <w:r>
              <w:rPr>
                <w:sz w:val="18"/>
              </w:rPr>
              <w:t xml:space="preserve">Front office, credit, servicing (scoped)</w:t>
            </w:r>
          </w:p>
        </w:tc>
      </w:tr>
      <w:tr>
        <w:tc>
          <w:tcPr>
            <w:tcW w:w="1866" w:type="dxa"/>
          </w:tcPr>
          <w:p>
            <w:pPr>
              <w:pStyle w:val="Compact"/>
              <w:spacing w:after="40"/>
              <w:jc w:val="left"/>
            </w:pPr>
            <w:r>
              <w:rPr>
                <w:rStyle w:val="VerbatimChar"/>
                <w:sz w:val="18"/>
              </w:rPr>
              <w:t xml:space="preserve">Customers › Onboard</w:t>
            </w:r>
          </w:p>
        </w:tc>
        <w:tc>
          <w:tcPr>
            <w:tcW w:w="3543" w:type="dxa"/>
          </w:tcPr>
          <w:p>
            <w:pPr>
              <w:pStyle w:val="Compact"/>
              <w:spacing w:after="40"/>
              <w:jc w:val="left"/>
            </w:pPr>
            <w:r>
              <w:rPr>
                <w:sz w:val="18"/>
              </w:rPr>
              <w:t xml:space="preserve">Wizard: type → CKYCR by KYC Identifier → OKYC or DigiLocker → OVD → PAN or Form 60 → risk category → screening → de-dupe; V-CIP room</w:t>
            </w:r>
          </w:p>
        </w:tc>
        <w:tc>
          <w:tcPr>
            <w:tcW w:w="1284" w:type="dxa"/>
          </w:tcPr>
          <w:p>
            <w:pPr>
              <w:pStyle w:val="Compact"/>
              <w:spacing w:after="40"/>
              <w:jc w:val="left"/>
            </w:pPr>
            <w:r>
              <w:rPr>
                <w:sz w:val="18"/>
              </w:rPr>
              <w:t xml:space="preserve">M3</w:t>
            </w:r>
          </w:p>
        </w:tc>
        <w:tc>
          <w:tcPr>
            <w:tcW w:w="1029" w:type="dxa"/>
          </w:tcPr>
          <w:p>
            <w:pPr>
              <w:pStyle w:val="Compact"/>
              <w:spacing w:after="40"/>
              <w:jc w:val="left"/>
            </w:pPr>
            <w:r>
              <w:rPr>
                <w:sz w:val="18"/>
              </w:rPr>
              <w:t xml:space="preserve">6</w:t>
            </w:r>
          </w:p>
        </w:tc>
        <w:tc>
          <w:tcPr>
            <w:tcW w:w="1916" w:type="dxa"/>
          </w:tcPr>
          <w:p>
            <w:pPr>
              <w:pStyle w:val="Compact"/>
              <w:spacing w:after="40"/>
              <w:jc w:val="left"/>
            </w:pPr>
            <w:r>
              <w:rPr>
                <w:sz w:val="18"/>
              </w:rPr>
              <w:t xml:space="preserve">Branch, KYC ops</w:t>
            </w:r>
          </w:p>
        </w:tc>
      </w:tr>
      <w:tr>
        <w:tc>
          <w:tcPr>
            <w:tcW w:w="1866" w:type="dxa"/>
          </w:tcPr>
          <w:p>
            <w:pPr>
              <w:pStyle w:val="Compact"/>
              <w:spacing w:after="40"/>
              <w:jc w:val="left"/>
            </w:pPr>
            <w:r>
              <w:rPr>
                <w:rStyle w:val="VerbatimChar"/>
                <w:sz w:val="18"/>
              </w:rPr>
              <w:t xml:space="preserve">Customers › KYC operations</w:t>
            </w:r>
          </w:p>
        </w:tc>
        <w:tc>
          <w:tcPr>
            <w:tcW w:w="3543" w:type="dxa"/>
          </w:tcPr>
          <w:p>
            <w:pPr>
              <w:pStyle w:val="Compact"/>
              <w:spacing w:after="40"/>
              <w:jc w:val="left"/>
            </w:pPr>
            <w:r>
              <w:rPr>
                <w:sz w:val="18"/>
              </w:rPr>
              <w:t xml:space="preserve">CKYCR uploads (10 days) and updates (7 days); periodic updation with the 3 + 3 intimation log; six-monthly risk review</w:t>
            </w:r>
          </w:p>
        </w:tc>
        <w:tc>
          <w:tcPr>
            <w:tcW w:w="1284" w:type="dxa"/>
          </w:tcPr>
          <w:p>
            <w:pPr>
              <w:pStyle w:val="Compact"/>
              <w:spacing w:after="40"/>
              <w:jc w:val="left"/>
            </w:pPr>
            <w:r>
              <w:rPr>
                <w:sz w:val="18"/>
              </w:rPr>
              <w:t xml:space="preserve">M3 (KYC 41–42, 63)</w:t>
            </w:r>
          </w:p>
        </w:tc>
        <w:tc>
          <w:tcPr>
            <w:tcW w:w="1029" w:type="dxa"/>
          </w:tcPr>
          <w:p>
            <w:pPr>
              <w:pStyle w:val="Compact"/>
              <w:spacing w:after="40"/>
              <w:jc w:val="left"/>
            </w:pPr>
            <w:r>
              <w:rPr>
                <w:sz w:val="18"/>
              </w:rPr>
              <w:t xml:space="preserve">6</w:t>
            </w:r>
          </w:p>
        </w:tc>
        <w:tc>
          <w:tcPr>
            <w:tcW w:w="1916" w:type="dxa"/>
          </w:tcPr>
          <w:p>
            <w:pPr>
              <w:pStyle w:val="Compact"/>
              <w:spacing w:after="40"/>
              <w:jc w:val="left"/>
            </w:pPr>
            <w:r>
              <w:rPr>
                <w:sz w:val="18"/>
              </w:rPr>
              <w:t xml:space="preserve">KYC ops; KYC head checker</w:t>
            </w:r>
          </w:p>
        </w:tc>
      </w:tr>
      <w:tr>
        <w:tc>
          <w:tcPr>
            <w:tcW w:w="1866" w:type="dxa"/>
          </w:tcPr>
          <w:p>
            <w:pPr>
              <w:pStyle w:val="Compact"/>
              <w:spacing w:after="40"/>
              <w:jc w:val="left"/>
            </w:pPr>
            <w:r>
              <w:rPr>
                <w:rStyle w:val="VerbatimChar"/>
                <w:sz w:val="18"/>
              </w:rPr>
              <w:t xml:space="preserve">Customers › AML</w:t>
            </w:r>
          </w:p>
        </w:tc>
        <w:tc>
          <w:tcPr>
            <w:tcW w:w="3543" w:type="dxa"/>
          </w:tcPr>
          <w:p>
            <w:pPr>
              <w:pStyle w:val="Compact"/>
              <w:spacing w:after="40"/>
              <w:jc w:val="left"/>
            </w:pPr>
            <w:r>
              <w:rPr>
                <w:sz w:val="18"/>
              </w:rPr>
              <w:t xml:space="preserve">Sanctions, PEP and monitoring alerts; cases; freeze orders; STR drafts (Principal Officer only)</w:t>
            </w:r>
          </w:p>
        </w:tc>
        <w:tc>
          <w:tcPr>
            <w:tcW w:w="1284" w:type="dxa"/>
          </w:tcPr>
          <w:p>
            <w:pPr>
              <w:pStyle w:val="Compact"/>
              <w:spacing w:after="40"/>
              <w:jc w:val="left"/>
            </w:pPr>
            <w:r>
              <w:rPr>
                <w:sz w:val="18"/>
              </w:rPr>
              <w:t xml:space="preserve">M3 (KYC 49–57)</w:t>
            </w:r>
          </w:p>
        </w:tc>
        <w:tc>
          <w:tcPr>
            <w:tcW w:w="1029" w:type="dxa"/>
          </w:tcPr>
          <w:p>
            <w:pPr>
              <w:pStyle w:val="Compact"/>
              <w:spacing w:after="40"/>
              <w:jc w:val="left"/>
            </w:pPr>
            <w:r>
              <w:rPr>
                <w:sz w:val="18"/>
              </w:rPr>
              <w:t xml:space="preserve">6; 14b</w:t>
            </w:r>
          </w:p>
        </w:tc>
        <w:tc>
          <w:tcPr>
            <w:tcW w:w="1916" w:type="dxa"/>
          </w:tcPr>
          <w:p>
            <w:pPr>
              <w:pStyle w:val="Compact"/>
              <w:spacing w:after="40"/>
              <w:jc w:val="left"/>
            </w:pPr>
            <w:r>
              <w:rPr>
                <w:sz w:val="18"/>
              </w:rPr>
              <w:t xml:space="preserve">AML team, Principal Officer</w:t>
            </w:r>
          </w:p>
        </w:tc>
      </w:tr>
      <w:tr>
        <w:tc>
          <w:tcPr>
            <w:tcW w:w="1866" w:type="dxa"/>
          </w:tcPr>
          <w:p>
            <w:pPr>
              <w:pStyle w:val="Compact"/>
              <w:spacing w:after="40"/>
              <w:jc w:val="left"/>
            </w:pPr>
            <w:r>
              <w:rPr>
                <w:rStyle w:val="VerbatimChar"/>
                <w:sz w:val="18"/>
              </w:rPr>
              <w:t xml:space="preserve">Customers › Related parties and groups</w:t>
            </w:r>
          </w:p>
        </w:tc>
        <w:tc>
          <w:tcPr>
            <w:tcW w:w="3543" w:type="dxa"/>
          </w:tcPr>
          <w:p>
            <w:pPr>
              <w:pStyle w:val="Compact"/>
              <w:spacing w:after="40"/>
              <w:jc w:val="left"/>
            </w:pPr>
            <w:r>
              <w:rPr>
                <w:sz w:val="18"/>
              </w:rPr>
              <w:t xml:space="preserve">Related-party register, connected groups, LEI, fraud-debarment register (read)</w:t>
            </w:r>
          </w:p>
        </w:tc>
        <w:tc>
          <w:tcPr>
            <w:tcW w:w="1284" w:type="dxa"/>
          </w:tcPr>
          <w:p>
            <w:pPr>
              <w:pStyle w:val="Compact"/>
              <w:spacing w:after="40"/>
              <w:jc w:val="left"/>
            </w:pPr>
            <w:r>
              <w:rPr>
                <w:sz w:val="18"/>
              </w:rPr>
              <w:t xml:space="preserve">M3, RK5</w:t>
            </w:r>
          </w:p>
        </w:tc>
        <w:tc>
          <w:tcPr>
            <w:tcW w:w="1029" w:type="dxa"/>
          </w:tcPr>
          <w:p>
            <w:pPr>
              <w:pStyle w:val="Compact"/>
              <w:spacing w:after="40"/>
              <w:jc w:val="left"/>
            </w:pPr>
            <w:r>
              <w:rPr>
                <w:sz w:val="18"/>
              </w:rPr>
              <w:t xml:space="preserve">6; 14d</w:t>
            </w:r>
          </w:p>
        </w:tc>
        <w:tc>
          <w:tcPr>
            <w:tcW w:w="1916" w:type="dxa"/>
          </w:tcPr>
          <w:p>
            <w:pPr>
              <w:pStyle w:val="Compact"/>
              <w:spacing w:after="40"/>
              <w:jc w:val="left"/>
            </w:pPr>
            <w:r>
              <w:rPr>
                <w:sz w:val="18"/>
              </w:rPr>
              <w:t xml:space="preserve">Credit, CRO office, CS</w:t>
            </w:r>
          </w:p>
        </w:tc>
      </w:tr>
      <w:tr>
        <w:tc>
          <w:tcPr>
            <w:tcW w:w="1866" w:type="dxa"/>
          </w:tcPr>
          <w:p>
            <w:pPr>
              <w:pStyle w:val="Compact"/>
              <w:spacing w:after="40"/>
              <w:jc w:val="left"/>
            </w:pPr>
            <w:r>
              <w:rPr>
                <w:rStyle w:val="VerbatimChar"/>
                <w:sz w:val="18"/>
              </w:rPr>
              <w:t xml:space="preserve">Customers › Consents and data rights</w:t>
            </w:r>
          </w:p>
        </w:tc>
        <w:tc>
          <w:tcPr>
            <w:tcW w:w="3543" w:type="dxa"/>
          </w:tcPr>
          <w:p>
            <w:pPr>
              <w:pStyle w:val="Compact"/>
              <w:spacing w:after="40"/>
              <w:jc w:val="left"/>
            </w:pPr>
            <w:r>
              <w:rPr>
                <w:sz w:val="18"/>
              </w:rPr>
              <w:t xml:space="preserve">Consent ledger; withdrawals; DPDP requests with statutory-hold reasons</w:t>
            </w:r>
          </w:p>
        </w:tc>
        <w:tc>
          <w:tcPr>
            <w:tcW w:w="1284" w:type="dxa"/>
          </w:tcPr>
          <w:p>
            <w:pPr>
              <w:pStyle w:val="Compact"/>
              <w:spacing w:after="40"/>
              <w:jc w:val="left"/>
            </w:pPr>
            <w:r>
              <w:rPr>
                <w:sz w:val="18"/>
              </w:rPr>
              <w:t xml:space="preserve">M3, R15.5</w:t>
            </w:r>
          </w:p>
        </w:tc>
        <w:tc>
          <w:tcPr>
            <w:tcW w:w="1029" w:type="dxa"/>
          </w:tcPr>
          <w:p>
            <w:pPr>
              <w:pStyle w:val="Compact"/>
              <w:spacing w:after="40"/>
              <w:jc w:val="left"/>
            </w:pPr>
            <w:r>
              <w:rPr>
                <w:sz w:val="18"/>
              </w:rPr>
              <w:t xml:space="preserve">6</w:t>
            </w:r>
          </w:p>
        </w:tc>
        <w:tc>
          <w:tcPr>
            <w:tcW w:w="1916" w:type="dxa"/>
          </w:tcPr>
          <w:p>
            <w:pPr>
              <w:pStyle w:val="Compact"/>
              <w:spacing w:after="40"/>
              <w:jc w:val="left"/>
            </w:pPr>
            <w:r>
              <w:rPr>
                <w:sz w:val="18"/>
              </w:rPr>
              <w:t xml:space="preserve">DPO, servicing</w:t>
            </w:r>
          </w:p>
        </w:tc>
      </w:tr>
    </w:tbl>
    <w:bookmarkEnd w:id="911"/>
    <w:bookmarkStart w:id="912" w:name="g.3.4-origination-origination"/>
    <w:p>
      <w:pPr>
        <w:pStyle w:val="Heading3"/>
      </w:pPr>
      <w:r>
        <w:t xml:space="preserve">G.3.4 Origination (</w:t>
      </w:r>
      <w:r>
        <w:rPr>
          <w:rStyle w:val="VerbatimChar"/>
        </w:rPr>
        <w:t xml:space="preserve">origination</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20"/>
        <w:gridCol w:w="4030"/>
        <w:gridCol w:w="1080"/>
        <w:gridCol w:w="1060"/>
        <w:gridCol w:w="1848"/>
      </w:tblGrid>
      <w:tr>
        <w:trPr>
          <w:tblHeader w:val="true"/>
          <w:tblHeader w:val="true"/>
        </w:trPr>
        <w:tc>
          <w:tcPr>
            <w:tcW w:w="1620" w:type="dxa"/>
            <w:shd w:val="clear" w:color="auto" w:fill="1F3A5F"/>
          </w:tcPr>
          <w:p>
            <w:pPr>
              <w:pStyle w:val="Compact"/>
              <w:spacing w:after="40"/>
              <w:jc w:val="left"/>
            </w:pPr>
            <w:r>
              <w:rPr>
                <w:b/>
                <w:color w:val="FFFFFF"/>
                <w:sz w:val="18"/>
              </w:rPr>
              <w:t xml:space="preserve">Path</w:t>
            </w:r>
          </w:p>
        </w:tc>
        <w:tc>
          <w:tcPr>
            <w:tcW w:w="4030" w:type="dxa"/>
            <w:shd w:val="clear" w:color="auto" w:fill="1F3A5F"/>
          </w:tcPr>
          <w:p>
            <w:pPr>
              <w:pStyle w:val="Compact"/>
              <w:spacing w:after="40"/>
              <w:jc w:val="left"/>
            </w:pPr>
            <w:r>
              <w:rPr>
                <w:b/>
                <w:color w:val="FFFFFF"/>
                <w:sz w:val="18"/>
              </w:rPr>
              <w:t xml:space="preserve">Screens and key actions</w:t>
            </w:r>
          </w:p>
        </w:tc>
        <w:tc>
          <w:tcPr>
            <w:tcW w:w="1080" w:type="dxa"/>
            <w:shd w:val="clear" w:color="auto" w:fill="1F3A5F"/>
          </w:tcPr>
          <w:p>
            <w:pPr>
              <w:pStyle w:val="Compact"/>
              <w:spacing w:after="40"/>
              <w:jc w:val="left"/>
            </w:pPr>
            <w:r>
              <w:rPr>
                <w:b/>
                <w:color w:val="FFFFFF"/>
                <w:sz w:val="18"/>
              </w:rPr>
              <w:t xml:space="preserve">Owner</w:t>
            </w:r>
          </w:p>
        </w:tc>
        <w:tc>
          <w:tcPr>
            <w:tcW w:w="1060" w:type="dxa"/>
            <w:shd w:val="clear" w:color="auto" w:fill="1F3A5F"/>
          </w:tcPr>
          <w:p>
            <w:pPr>
              <w:pStyle w:val="Compact"/>
              <w:spacing w:after="40"/>
              <w:jc w:val="left"/>
            </w:pPr>
            <w:r>
              <w:rPr>
                <w:b/>
                <w:color w:val="FFFFFF"/>
                <w:sz w:val="18"/>
              </w:rPr>
              <w:t xml:space="preserve">Phase</w:t>
            </w:r>
          </w:p>
        </w:tc>
        <w:tc>
          <w:tcPr>
            <w:tcW w:w="1848" w:type="dxa"/>
            <w:shd w:val="clear" w:color="auto" w:fill="1F3A5F"/>
          </w:tcPr>
          <w:p>
            <w:pPr>
              <w:pStyle w:val="Compact"/>
              <w:spacing w:after="40"/>
              <w:jc w:val="left"/>
            </w:pPr>
            <w:r>
              <w:rPr>
                <w:b/>
                <w:color w:val="FFFFFF"/>
                <w:sz w:val="18"/>
              </w:rPr>
              <w:t xml:space="preserve">Roles</w:t>
            </w:r>
          </w:p>
        </w:tc>
      </w:tr>
      <w:tr>
        <w:tc>
          <w:tcPr>
            <w:tcW w:w="1620" w:type="dxa"/>
          </w:tcPr>
          <w:p>
            <w:pPr>
              <w:pStyle w:val="Compact"/>
              <w:spacing w:after="40"/>
              <w:jc w:val="left"/>
            </w:pPr>
            <w:r>
              <w:rPr>
                <w:rStyle w:val="VerbatimChar"/>
                <w:sz w:val="18"/>
              </w:rPr>
              <w:t xml:space="preserve">Origination › Applications</w:t>
            </w:r>
          </w:p>
        </w:tc>
        <w:tc>
          <w:tcPr>
            <w:tcW w:w="4030" w:type="dxa"/>
          </w:tcPr>
          <w:p>
            <w:pPr>
              <w:pStyle w:val="Compact"/>
              <w:spacing w:after="40"/>
              <w:jc w:val="left"/>
            </w:pPr>
            <w:r>
              <w:rPr>
                <w:sz w:val="18"/>
              </w:rPr>
              <w:t xml:space="preserve">Board by stage; wizard (product → applicants → consents → data pulls → details → documents); save and resume; LSP inbound tab</w:t>
            </w:r>
          </w:p>
        </w:tc>
        <w:tc>
          <w:tcPr>
            <w:tcW w:w="1080" w:type="dxa"/>
          </w:tcPr>
          <w:p>
            <w:pPr>
              <w:pStyle w:val="Compact"/>
              <w:spacing w:after="40"/>
              <w:jc w:val="left"/>
            </w:pPr>
            <w:r>
              <w:rPr>
                <w:sz w:val="18"/>
              </w:rPr>
              <w:t xml:space="preserve">M4</w:t>
            </w:r>
          </w:p>
        </w:tc>
        <w:tc>
          <w:tcPr>
            <w:tcW w:w="1060" w:type="dxa"/>
          </w:tcPr>
          <w:p>
            <w:pPr>
              <w:pStyle w:val="Compact"/>
              <w:spacing w:after="40"/>
              <w:jc w:val="left"/>
            </w:pPr>
            <w:r>
              <w:rPr>
                <w:sz w:val="18"/>
              </w:rPr>
              <w:t xml:space="preserve">7; 8c</w:t>
            </w:r>
          </w:p>
        </w:tc>
        <w:tc>
          <w:tcPr>
            <w:tcW w:w="1848" w:type="dxa"/>
          </w:tcPr>
          <w:p>
            <w:pPr>
              <w:pStyle w:val="Compact"/>
              <w:spacing w:after="40"/>
              <w:jc w:val="left"/>
            </w:pPr>
            <w:r>
              <w:rPr>
                <w:sz w:val="18"/>
              </w:rPr>
              <w:t xml:space="preserve">Branch, RMs, central ops</w:t>
            </w:r>
          </w:p>
        </w:tc>
      </w:tr>
      <w:tr>
        <w:tc>
          <w:tcPr>
            <w:tcW w:w="1620" w:type="dxa"/>
          </w:tcPr>
          <w:p>
            <w:pPr>
              <w:pStyle w:val="Compact"/>
              <w:spacing w:after="40"/>
              <w:jc w:val="left"/>
            </w:pPr>
            <w:r>
              <w:rPr>
                <w:rStyle w:val="VerbatimChar"/>
                <w:sz w:val="18"/>
              </w:rPr>
              <w:t xml:space="preserve">Origination › Credit queue</w:t>
            </w:r>
          </w:p>
        </w:tc>
        <w:tc>
          <w:tcPr>
            <w:tcW w:w="4030" w:type="dxa"/>
          </w:tcPr>
          <w:p>
            <w:pPr>
              <w:pStyle w:val="Compact"/>
              <w:spacing w:after="40"/>
              <w:jc w:val="left"/>
            </w:pPr>
            <w:r>
              <w:rPr>
                <w:sz w:val="18"/>
              </w:rPr>
              <w:t xml:space="preserve">SLA queue; bureau and AA analysis; BRE rule hits; deviations; CAM editor (AI draft marked, human review, locked at sanction)</w:t>
            </w:r>
          </w:p>
        </w:tc>
        <w:tc>
          <w:tcPr>
            <w:tcW w:w="1080" w:type="dxa"/>
          </w:tcPr>
          <w:p>
            <w:pPr>
              <w:pStyle w:val="Compact"/>
              <w:spacing w:after="40"/>
              <w:jc w:val="left"/>
            </w:pPr>
            <w:r>
              <w:rPr>
                <w:sz w:val="18"/>
              </w:rPr>
              <w:t xml:space="preserve">M4, M20</w:t>
            </w:r>
          </w:p>
        </w:tc>
        <w:tc>
          <w:tcPr>
            <w:tcW w:w="1060" w:type="dxa"/>
          </w:tcPr>
          <w:p>
            <w:pPr>
              <w:pStyle w:val="Compact"/>
              <w:spacing w:after="40"/>
              <w:jc w:val="left"/>
            </w:pPr>
            <w:r>
              <w:rPr>
                <w:sz w:val="18"/>
              </w:rPr>
              <w:t xml:space="preserve">7</w:t>
            </w:r>
          </w:p>
        </w:tc>
        <w:tc>
          <w:tcPr>
            <w:tcW w:w="1848" w:type="dxa"/>
          </w:tcPr>
          <w:p>
            <w:pPr>
              <w:pStyle w:val="Compact"/>
              <w:spacing w:after="40"/>
              <w:jc w:val="left"/>
            </w:pPr>
            <w:r>
              <w:rPr>
                <w:sz w:val="18"/>
              </w:rPr>
              <w:t xml:space="preserve">Credit analysts</w:t>
            </w:r>
          </w:p>
        </w:tc>
      </w:tr>
      <w:tr>
        <w:tc>
          <w:tcPr>
            <w:tcW w:w="1620" w:type="dxa"/>
          </w:tcPr>
          <w:p>
            <w:pPr>
              <w:pStyle w:val="Compact"/>
              <w:spacing w:after="40"/>
              <w:jc w:val="left"/>
            </w:pPr>
            <w:r>
              <w:rPr>
                <w:rStyle w:val="VerbatimChar"/>
                <w:sz w:val="18"/>
              </w:rPr>
              <w:t xml:space="preserve">Origination › Verifications</w:t>
            </w:r>
          </w:p>
        </w:tc>
        <w:tc>
          <w:tcPr>
            <w:tcW w:w="4030" w:type="dxa"/>
          </w:tcPr>
          <w:p>
            <w:pPr>
              <w:pStyle w:val="Compact"/>
              <w:spacing w:after="40"/>
              <w:jc w:val="left"/>
            </w:pPr>
            <w:r>
              <w:rPr>
                <w:sz w:val="18"/>
              </w:rPr>
              <w:t xml:space="preserve">FI, PD, technical, legal, RCU tasks; vendor allocation; geo-tagged reports</w:t>
            </w:r>
          </w:p>
        </w:tc>
        <w:tc>
          <w:tcPr>
            <w:tcW w:w="1080" w:type="dxa"/>
          </w:tcPr>
          <w:p>
            <w:pPr>
              <w:pStyle w:val="Compact"/>
              <w:spacing w:after="40"/>
              <w:jc w:val="left"/>
            </w:pPr>
            <w:r>
              <w:rPr>
                <w:sz w:val="18"/>
              </w:rPr>
              <w:t xml:space="preserve">M4</w:t>
            </w:r>
          </w:p>
        </w:tc>
        <w:tc>
          <w:tcPr>
            <w:tcW w:w="1060" w:type="dxa"/>
          </w:tcPr>
          <w:p>
            <w:pPr>
              <w:pStyle w:val="Compact"/>
              <w:spacing w:after="40"/>
              <w:jc w:val="left"/>
            </w:pPr>
            <w:r>
              <w:rPr>
                <w:sz w:val="18"/>
              </w:rPr>
              <w:t xml:space="preserve">7</w:t>
            </w:r>
          </w:p>
        </w:tc>
        <w:tc>
          <w:tcPr>
            <w:tcW w:w="1848" w:type="dxa"/>
          </w:tcPr>
          <w:p>
            <w:pPr>
              <w:pStyle w:val="Compact"/>
              <w:spacing w:after="40"/>
              <w:jc w:val="left"/>
            </w:pPr>
            <w:r>
              <w:rPr>
                <w:sz w:val="18"/>
              </w:rPr>
              <w:t xml:space="preserve">Verification desk; vendors (scoped)</w:t>
            </w:r>
          </w:p>
        </w:tc>
      </w:tr>
      <w:tr>
        <w:tc>
          <w:tcPr>
            <w:tcW w:w="1620" w:type="dxa"/>
          </w:tcPr>
          <w:p>
            <w:pPr>
              <w:pStyle w:val="Compact"/>
              <w:spacing w:after="40"/>
              <w:jc w:val="left"/>
            </w:pPr>
            <w:r>
              <w:rPr>
                <w:rStyle w:val="VerbatimChar"/>
                <w:sz w:val="18"/>
              </w:rPr>
              <w:t xml:space="preserve">Origination › Sanction</w:t>
            </w:r>
          </w:p>
        </w:tc>
        <w:tc>
          <w:tcPr>
            <w:tcW w:w="4030" w:type="dxa"/>
          </w:tcPr>
          <w:p>
            <w:pPr>
              <w:pStyle w:val="Compact"/>
              <w:spacing w:after="40"/>
              <w:jc w:val="left"/>
            </w:pPr>
            <w:r>
              <w:rPr>
                <w:sz w:val="18"/>
              </w:rPr>
              <w:t xml:space="preserve">Queue by DoA band (GV5); pre-sanction gates (related party, exposure, LEI, fraud debarment, microfinance classifier) with explain-why; capital what-if; committee votes</w:t>
            </w:r>
          </w:p>
        </w:tc>
        <w:tc>
          <w:tcPr>
            <w:tcW w:w="1080" w:type="dxa"/>
          </w:tcPr>
          <w:p>
            <w:pPr>
              <w:pStyle w:val="Compact"/>
              <w:spacing w:after="40"/>
              <w:jc w:val="left"/>
            </w:pPr>
            <w:r>
              <w:rPr>
                <w:sz w:val="18"/>
              </w:rPr>
              <w:t xml:space="preserve">M4, GV5, RK3</w:t>
            </w:r>
          </w:p>
        </w:tc>
        <w:tc>
          <w:tcPr>
            <w:tcW w:w="1060" w:type="dxa"/>
          </w:tcPr>
          <w:p>
            <w:pPr>
              <w:pStyle w:val="Compact"/>
              <w:spacing w:after="40"/>
              <w:jc w:val="left"/>
            </w:pPr>
            <w:r>
              <w:rPr>
                <w:sz w:val="18"/>
              </w:rPr>
              <w:t xml:space="preserve">7; 14d</w:t>
            </w:r>
          </w:p>
        </w:tc>
        <w:tc>
          <w:tcPr>
            <w:tcW w:w="1848" w:type="dxa"/>
          </w:tcPr>
          <w:p>
            <w:pPr>
              <w:pStyle w:val="Compact"/>
              <w:spacing w:after="40"/>
              <w:jc w:val="left"/>
            </w:pPr>
            <w:r>
              <w:rPr>
                <w:sz w:val="18"/>
              </w:rPr>
              <w:t xml:space="preserve">Sanctioning authorities</w:t>
            </w:r>
          </w:p>
        </w:tc>
      </w:tr>
      <w:tr>
        <w:tc>
          <w:tcPr>
            <w:tcW w:w="1620" w:type="dxa"/>
          </w:tcPr>
          <w:p>
            <w:pPr>
              <w:pStyle w:val="Compact"/>
              <w:spacing w:after="40"/>
              <w:jc w:val="left"/>
            </w:pPr>
            <w:r>
              <w:rPr>
                <w:rStyle w:val="VerbatimChar"/>
                <w:sz w:val="18"/>
              </w:rPr>
              <w:t xml:space="preserve">Origination › Offer and KFS</w:t>
            </w:r>
          </w:p>
        </w:tc>
        <w:tc>
          <w:tcPr>
            <w:tcW w:w="4030" w:type="dxa"/>
          </w:tcPr>
          <w:p>
            <w:pPr>
              <w:pStyle w:val="Compact"/>
              <w:spacing w:after="40"/>
              <w:jc w:val="left"/>
            </w:pPr>
            <w:r>
              <w:rPr>
                <w:sz w:val="18"/>
              </w:rPr>
              <w:t xml:space="preserve">Sanction letter; KFS with APR in the borrower’s language; validity clock (RBC para 29(2)); acceptance</w:t>
            </w:r>
          </w:p>
        </w:tc>
        <w:tc>
          <w:tcPr>
            <w:tcW w:w="1080" w:type="dxa"/>
          </w:tcPr>
          <w:p>
            <w:pPr>
              <w:pStyle w:val="Compact"/>
              <w:spacing w:after="40"/>
              <w:jc w:val="left"/>
            </w:pPr>
            <w:r>
              <w:rPr>
                <w:sz w:val="18"/>
              </w:rPr>
              <w:t xml:space="preserve">M4</w:t>
            </w:r>
          </w:p>
        </w:tc>
        <w:tc>
          <w:tcPr>
            <w:tcW w:w="1060" w:type="dxa"/>
          </w:tcPr>
          <w:p>
            <w:pPr>
              <w:pStyle w:val="Compact"/>
              <w:spacing w:after="40"/>
              <w:jc w:val="left"/>
            </w:pPr>
            <w:r>
              <w:rPr>
                <w:sz w:val="18"/>
              </w:rPr>
              <w:t xml:space="preserve">7</w:t>
            </w:r>
          </w:p>
        </w:tc>
        <w:tc>
          <w:tcPr>
            <w:tcW w:w="1848" w:type="dxa"/>
          </w:tcPr>
          <w:p>
            <w:pPr>
              <w:pStyle w:val="Compact"/>
              <w:spacing w:after="40"/>
              <w:jc w:val="left"/>
            </w:pPr>
            <w:r>
              <w:rPr>
                <w:sz w:val="18"/>
              </w:rPr>
              <w:t xml:space="preserve">Credit, branch</w:t>
            </w:r>
          </w:p>
        </w:tc>
      </w:tr>
      <w:tr>
        <w:tc>
          <w:tcPr>
            <w:tcW w:w="1620" w:type="dxa"/>
          </w:tcPr>
          <w:p>
            <w:pPr>
              <w:pStyle w:val="Compact"/>
              <w:spacing w:after="40"/>
              <w:jc w:val="left"/>
            </w:pPr>
            <w:r>
              <w:rPr>
                <w:rStyle w:val="VerbatimChar"/>
                <w:sz w:val="18"/>
              </w:rPr>
              <w:t xml:space="preserve">Origination › Documentation</w:t>
            </w:r>
          </w:p>
        </w:tc>
        <w:tc>
          <w:tcPr>
            <w:tcW w:w="4030" w:type="dxa"/>
          </w:tcPr>
          <w:p>
            <w:pPr>
              <w:pStyle w:val="Compact"/>
              <w:spacing w:after="40"/>
              <w:jc w:val="left"/>
            </w:pPr>
            <w:r>
              <w:rPr>
                <w:sz w:val="18"/>
              </w:rPr>
              <w:t xml:space="preserve">Checklist; eSign, eStamp, NeSL DDE; physical-execution path; OTC and PDD ageing</w:t>
            </w:r>
          </w:p>
        </w:tc>
        <w:tc>
          <w:tcPr>
            <w:tcW w:w="1080" w:type="dxa"/>
          </w:tcPr>
          <w:p>
            <w:pPr>
              <w:pStyle w:val="Compact"/>
              <w:spacing w:after="40"/>
              <w:jc w:val="left"/>
            </w:pPr>
            <w:r>
              <w:rPr>
                <w:sz w:val="18"/>
              </w:rPr>
              <w:t xml:space="preserve">M4, M16</w:t>
            </w:r>
          </w:p>
        </w:tc>
        <w:tc>
          <w:tcPr>
            <w:tcW w:w="1060" w:type="dxa"/>
          </w:tcPr>
          <w:p>
            <w:pPr>
              <w:pStyle w:val="Compact"/>
              <w:spacing w:after="40"/>
              <w:jc w:val="left"/>
            </w:pPr>
            <w:r>
              <w:rPr>
                <w:sz w:val="18"/>
              </w:rPr>
              <w:t xml:space="preserve">8</w:t>
            </w:r>
          </w:p>
        </w:tc>
        <w:tc>
          <w:tcPr>
            <w:tcW w:w="1848" w:type="dxa"/>
          </w:tcPr>
          <w:p>
            <w:pPr>
              <w:pStyle w:val="Compact"/>
              <w:spacing w:after="40"/>
              <w:jc w:val="left"/>
            </w:pPr>
            <w:r>
              <w:rPr>
                <w:sz w:val="18"/>
              </w:rPr>
              <w:t xml:space="preserve">Operations</w:t>
            </w:r>
          </w:p>
        </w:tc>
      </w:tr>
      <w:tr>
        <w:tc>
          <w:tcPr>
            <w:tcW w:w="1620" w:type="dxa"/>
          </w:tcPr>
          <w:p>
            <w:pPr>
              <w:pStyle w:val="Compact"/>
              <w:spacing w:after="40"/>
              <w:jc w:val="left"/>
            </w:pPr>
            <w:r>
              <w:rPr>
                <w:rStyle w:val="VerbatimChar"/>
                <w:sz w:val="18"/>
              </w:rPr>
              <w:t xml:space="preserve">Origination › Disbursement</w:t>
            </w:r>
          </w:p>
        </w:tc>
        <w:tc>
          <w:tcPr>
            <w:tcW w:w="4030" w:type="dxa"/>
          </w:tcPr>
          <w:p>
            <w:pPr>
              <w:pStyle w:val="Compact"/>
              <w:spacing w:after="40"/>
              <w:jc w:val="left"/>
            </w:pPr>
            <w:r>
              <w:rPr>
                <w:sz w:val="18"/>
              </w:rPr>
              <w:t xml:space="preserve">Memo and conditions; penny drop; tranches; deductions preview; payout under maker-checker; UTR</w:t>
            </w:r>
          </w:p>
        </w:tc>
        <w:tc>
          <w:tcPr>
            <w:tcW w:w="1080" w:type="dxa"/>
          </w:tcPr>
          <w:p>
            <w:pPr>
              <w:pStyle w:val="Compact"/>
              <w:spacing w:after="40"/>
              <w:jc w:val="left"/>
            </w:pPr>
            <w:r>
              <w:rPr>
                <w:sz w:val="18"/>
              </w:rPr>
              <w:t xml:space="preserve">M4, M7</w:t>
            </w:r>
          </w:p>
        </w:tc>
        <w:tc>
          <w:tcPr>
            <w:tcW w:w="1060" w:type="dxa"/>
          </w:tcPr>
          <w:p>
            <w:pPr>
              <w:pStyle w:val="Compact"/>
              <w:spacing w:after="40"/>
              <w:jc w:val="left"/>
            </w:pPr>
            <w:r>
              <w:rPr>
                <w:sz w:val="18"/>
              </w:rPr>
              <w:t xml:space="preserve">8</w:t>
            </w:r>
          </w:p>
        </w:tc>
        <w:tc>
          <w:tcPr>
            <w:tcW w:w="1848" w:type="dxa"/>
          </w:tcPr>
          <w:p>
            <w:pPr>
              <w:pStyle w:val="Compact"/>
              <w:spacing w:after="40"/>
              <w:jc w:val="left"/>
            </w:pPr>
            <w:r>
              <w:rPr>
                <w:sz w:val="18"/>
              </w:rPr>
              <w:t xml:space="preserve">Operations; finance checker</w:t>
            </w:r>
          </w:p>
        </w:tc>
      </w:tr>
    </w:tbl>
    <w:bookmarkEnd w:id="912"/>
    <w:bookmarkStart w:id="913" w:name="g.3.5-loans-loans"/>
    <w:p>
      <w:pPr>
        <w:pStyle w:val="Heading3"/>
      </w:pPr>
      <w:r>
        <w:t xml:space="preserve">G.3.5 Loans (</w:t>
      </w:r>
      <w:r>
        <w:rPr>
          <w:rStyle w:val="VerbatimChar"/>
        </w:rPr>
        <w:t xml:space="preserve">loans</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77"/>
        <w:gridCol w:w="4071"/>
        <w:gridCol w:w="1088"/>
        <w:gridCol w:w="1068"/>
        <w:gridCol w:w="1634"/>
      </w:tblGrid>
      <w:tr>
        <w:trPr>
          <w:tblHeader w:val="true"/>
          <w:tblHeader w:val="true"/>
        </w:trPr>
        <w:tc>
          <w:tcPr>
            <w:tcW w:w="1777" w:type="dxa"/>
            <w:shd w:val="clear" w:color="auto" w:fill="1F3A5F"/>
          </w:tcPr>
          <w:p>
            <w:pPr>
              <w:pStyle w:val="Compact"/>
              <w:spacing w:after="40"/>
              <w:jc w:val="left"/>
            </w:pPr>
            <w:r>
              <w:rPr>
                <w:b/>
                <w:color w:val="FFFFFF"/>
                <w:sz w:val="18"/>
              </w:rPr>
              <w:t xml:space="preserve">Path</w:t>
            </w:r>
          </w:p>
        </w:tc>
        <w:tc>
          <w:tcPr>
            <w:tcW w:w="4071" w:type="dxa"/>
            <w:shd w:val="clear" w:color="auto" w:fill="1F3A5F"/>
          </w:tcPr>
          <w:p>
            <w:pPr>
              <w:pStyle w:val="Compact"/>
              <w:spacing w:after="40"/>
              <w:jc w:val="left"/>
            </w:pPr>
            <w:r>
              <w:rPr>
                <w:b/>
                <w:color w:val="FFFFFF"/>
                <w:sz w:val="18"/>
              </w:rPr>
              <w:t xml:space="preserve">Screens and key actions</w:t>
            </w:r>
          </w:p>
        </w:tc>
        <w:tc>
          <w:tcPr>
            <w:tcW w:w="1088" w:type="dxa"/>
            <w:shd w:val="clear" w:color="auto" w:fill="1F3A5F"/>
          </w:tcPr>
          <w:p>
            <w:pPr>
              <w:pStyle w:val="Compact"/>
              <w:spacing w:after="40"/>
              <w:jc w:val="left"/>
            </w:pPr>
            <w:r>
              <w:rPr>
                <w:b/>
                <w:color w:val="FFFFFF"/>
                <w:sz w:val="18"/>
              </w:rPr>
              <w:t xml:space="preserve">Owner</w:t>
            </w:r>
          </w:p>
        </w:tc>
        <w:tc>
          <w:tcPr>
            <w:tcW w:w="1068" w:type="dxa"/>
            <w:shd w:val="clear" w:color="auto" w:fill="1F3A5F"/>
          </w:tcPr>
          <w:p>
            <w:pPr>
              <w:pStyle w:val="Compact"/>
              <w:spacing w:after="40"/>
              <w:jc w:val="left"/>
            </w:pPr>
            <w:r>
              <w:rPr>
                <w:b/>
                <w:color w:val="FFFFFF"/>
                <w:sz w:val="18"/>
              </w:rPr>
              <w:t xml:space="preserve">Phase</w:t>
            </w:r>
          </w:p>
        </w:tc>
        <w:tc>
          <w:tcPr>
            <w:tcW w:w="1634" w:type="dxa"/>
            <w:shd w:val="clear" w:color="auto" w:fill="1F3A5F"/>
          </w:tcPr>
          <w:p>
            <w:pPr>
              <w:pStyle w:val="Compact"/>
              <w:spacing w:after="40"/>
              <w:jc w:val="left"/>
            </w:pPr>
            <w:r>
              <w:rPr>
                <w:b/>
                <w:color w:val="FFFFFF"/>
                <w:sz w:val="18"/>
              </w:rPr>
              <w:t xml:space="preserve">Roles</w:t>
            </w:r>
          </w:p>
        </w:tc>
      </w:tr>
      <w:tr>
        <w:tc>
          <w:tcPr>
            <w:tcW w:w="1777" w:type="dxa"/>
          </w:tcPr>
          <w:p>
            <w:pPr>
              <w:pStyle w:val="Compact"/>
              <w:spacing w:after="40"/>
              <w:jc w:val="left"/>
            </w:pPr>
            <w:r>
              <w:rPr>
                <w:rStyle w:val="VerbatimChar"/>
                <w:sz w:val="18"/>
              </w:rPr>
              <w:t xml:space="preserve">Loans › Accounts</w:t>
            </w:r>
          </w:p>
        </w:tc>
        <w:tc>
          <w:tcPr>
            <w:tcW w:w="4071" w:type="dxa"/>
          </w:tcPr>
          <w:p>
            <w:pPr>
              <w:pStyle w:val="Compact"/>
              <w:spacing w:after="40"/>
              <w:jc w:val="left"/>
            </w:pPr>
            <w:r>
              <w:rPr>
                <w:sz w:val="18"/>
              </w:rPr>
              <w:t xml:space="preserve">Loan 360: schedule versions, component ledger, DPD and classification history, mandates, collateral, documents, communications, complaints, collections, legal, timeline</w:t>
            </w:r>
          </w:p>
        </w:tc>
        <w:tc>
          <w:tcPr>
            <w:tcW w:w="1088" w:type="dxa"/>
          </w:tcPr>
          <w:p>
            <w:pPr>
              <w:pStyle w:val="Compact"/>
              <w:spacing w:after="40"/>
              <w:jc w:val="left"/>
            </w:pPr>
            <w:r>
              <w:rPr>
                <w:sz w:val="18"/>
              </w:rPr>
              <w:t xml:space="preserve">M6</w:t>
            </w:r>
          </w:p>
        </w:tc>
        <w:tc>
          <w:tcPr>
            <w:tcW w:w="1068" w:type="dxa"/>
          </w:tcPr>
          <w:p>
            <w:pPr>
              <w:pStyle w:val="Compact"/>
              <w:spacing w:after="40"/>
              <w:jc w:val="left"/>
            </w:pPr>
            <w:r>
              <w:rPr>
                <w:sz w:val="18"/>
              </w:rPr>
              <w:t xml:space="preserve">9</w:t>
            </w:r>
          </w:p>
        </w:tc>
        <w:tc>
          <w:tcPr>
            <w:tcW w:w="1634" w:type="dxa"/>
          </w:tcPr>
          <w:p>
            <w:pPr>
              <w:pStyle w:val="Compact"/>
              <w:spacing w:after="40"/>
              <w:jc w:val="left"/>
            </w:pPr>
            <w:r>
              <w:rPr>
                <w:sz w:val="18"/>
              </w:rPr>
              <w:t xml:space="preserve">Servicing, ops, collections</w:t>
            </w:r>
          </w:p>
        </w:tc>
      </w:tr>
      <w:tr>
        <w:tc>
          <w:tcPr>
            <w:tcW w:w="1777" w:type="dxa"/>
          </w:tcPr>
          <w:p>
            <w:pPr>
              <w:pStyle w:val="Compact"/>
              <w:spacing w:after="40"/>
              <w:jc w:val="left"/>
            </w:pPr>
            <w:r>
              <w:rPr>
                <w:rStyle w:val="VerbatimChar"/>
                <w:sz w:val="18"/>
              </w:rPr>
              <w:t xml:space="preserve">Loans › Service requests</w:t>
            </w:r>
          </w:p>
        </w:tc>
        <w:tc>
          <w:tcPr>
            <w:tcW w:w="4071" w:type="dxa"/>
          </w:tcPr>
          <w:p>
            <w:pPr>
              <w:pStyle w:val="Compact"/>
              <w:spacing w:after="40"/>
              <w:jc w:val="left"/>
            </w:pPr>
            <w:r>
              <w:rPr>
                <w:sz w:val="18"/>
              </w:rPr>
              <w:t xml:space="preserve">Catalogue with SLA (statement, schedule, interest certificate, foreclosure letter, NOC, documents, contact change); bulk close of system-fulfilled items</w:t>
            </w:r>
          </w:p>
        </w:tc>
        <w:tc>
          <w:tcPr>
            <w:tcW w:w="1088" w:type="dxa"/>
          </w:tcPr>
          <w:p>
            <w:pPr>
              <w:pStyle w:val="Compact"/>
              <w:spacing w:after="40"/>
              <w:jc w:val="left"/>
            </w:pPr>
            <w:r>
              <w:rPr>
                <w:sz w:val="18"/>
              </w:rPr>
              <w:t xml:space="preserve">M6</w:t>
            </w:r>
          </w:p>
        </w:tc>
        <w:tc>
          <w:tcPr>
            <w:tcW w:w="1068" w:type="dxa"/>
          </w:tcPr>
          <w:p>
            <w:pPr>
              <w:pStyle w:val="Compact"/>
              <w:spacing w:after="40"/>
              <w:jc w:val="left"/>
            </w:pPr>
            <w:r>
              <w:rPr>
                <w:sz w:val="18"/>
              </w:rPr>
              <w:t xml:space="preserve">9</w:t>
            </w:r>
          </w:p>
        </w:tc>
        <w:tc>
          <w:tcPr>
            <w:tcW w:w="1634" w:type="dxa"/>
          </w:tcPr>
          <w:p>
            <w:pPr>
              <w:pStyle w:val="Compact"/>
              <w:spacing w:after="40"/>
              <w:jc w:val="left"/>
            </w:pPr>
            <w:r>
              <w:rPr>
                <w:sz w:val="18"/>
              </w:rPr>
              <w:t xml:space="preserve">Servicing, contact centre</w:t>
            </w:r>
          </w:p>
        </w:tc>
      </w:tr>
      <w:tr>
        <w:tc>
          <w:tcPr>
            <w:tcW w:w="1777" w:type="dxa"/>
          </w:tcPr>
          <w:p>
            <w:pPr>
              <w:pStyle w:val="Compact"/>
              <w:spacing w:after="40"/>
              <w:jc w:val="left"/>
            </w:pPr>
            <w:r>
              <w:rPr>
                <w:rStyle w:val="VerbatimChar"/>
                <w:sz w:val="18"/>
              </w:rPr>
              <w:t xml:space="preserve">Loans › Changes</w:t>
            </w:r>
          </w:p>
        </w:tc>
        <w:tc>
          <w:tcPr>
            <w:tcW w:w="4071" w:type="dxa"/>
          </w:tcPr>
          <w:p>
            <w:pPr>
              <w:pStyle w:val="Compact"/>
              <w:spacing w:after="40"/>
              <w:jc w:val="left"/>
            </w:pPr>
            <w:r>
              <w:rPr>
                <w:sz w:val="18"/>
              </w:rPr>
              <w:t xml:space="preserve">Prepayment quotes with explain-why; restructuring (RSA); rate resets and options; top-up; balance transfer; due-date, mandate and co-borrower changes</w:t>
            </w:r>
          </w:p>
        </w:tc>
        <w:tc>
          <w:tcPr>
            <w:tcW w:w="1088" w:type="dxa"/>
          </w:tcPr>
          <w:p>
            <w:pPr>
              <w:pStyle w:val="Compact"/>
              <w:spacing w:after="40"/>
              <w:jc w:val="left"/>
            </w:pPr>
            <w:r>
              <w:rPr>
                <w:sz w:val="18"/>
              </w:rPr>
              <w:t xml:space="preserve">M6</w:t>
            </w:r>
          </w:p>
        </w:tc>
        <w:tc>
          <w:tcPr>
            <w:tcW w:w="1068" w:type="dxa"/>
          </w:tcPr>
          <w:p>
            <w:pPr>
              <w:pStyle w:val="Compact"/>
              <w:spacing w:after="40"/>
              <w:jc w:val="left"/>
            </w:pPr>
            <w:r>
              <w:rPr>
                <w:sz w:val="18"/>
              </w:rPr>
              <w:t xml:space="preserve">9</w:t>
            </w:r>
          </w:p>
        </w:tc>
        <w:tc>
          <w:tcPr>
            <w:tcW w:w="1634" w:type="dxa"/>
          </w:tcPr>
          <w:p>
            <w:pPr>
              <w:pStyle w:val="Compact"/>
              <w:spacing w:after="40"/>
              <w:jc w:val="left"/>
            </w:pPr>
            <w:r>
              <w:rPr>
                <w:sz w:val="18"/>
              </w:rPr>
              <w:t xml:space="preserve">Servicing; credit checker</w:t>
            </w:r>
          </w:p>
        </w:tc>
      </w:tr>
      <w:tr>
        <w:tc>
          <w:tcPr>
            <w:tcW w:w="1777" w:type="dxa"/>
          </w:tcPr>
          <w:p>
            <w:pPr>
              <w:pStyle w:val="Compact"/>
              <w:spacing w:after="40"/>
              <w:jc w:val="left"/>
            </w:pPr>
            <w:r>
              <w:rPr>
                <w:rStyle w:val="VerbatimChar"/>
                <w:sz w:val="18"/>
              </w:rPr>
              <w:t xml:space="preserve">Loans › Charges and waivers</w:t>
            </w:r>
          </w:p>
        </w:tc>
        <w:tc>
          <w:tcPr>
            <w:tcW w:w="4071" w:type="dxa"/>
          </w:tcPr>
          <w:p>
            <w:pPr>
              <w:pStyle w:val="Compact"/>
              <w:spacing w:after="40"/>
              <w:jc w:val="left"/>
            </w:pPr>
            <w:r>
              <w:rPr>
                <w:sz w:val="18"/>
              </w:rPr>
              <w:t xml:space="preserve">Levy; waiver within DoA; reversal with reason</w:t>
            </w:r>
          </w:p>
        </w:tc>
        <w:tc>
          <w:tcPr>
            <w:tcW w:w="1088" w:type="dxa"/>
          </w:tcPr>
          <w:p>
            <w:pPr>
              <w:pStyle w:val="Compact"/>
              <w:spacing w:after="40"/>
              <w:jc w:val="left"/>
            </w:pPr>
            <w:r>
              <w:rPr>
                <w:sz w:val="18"/>
              </w:rPr>
              <w:t xml:space="preserve">M6</w:t>
            </w:r>
          </w:p>
        </w:tc>
        <w:tc>
          <w:tcPr>
            <w:tcW w:w="1068" w:type="dxa"/>
          </w:tcPr>
          <w:p>
            <w:pPr>
              <w:pStyle w:val="Compact"/>
              <w:spacing w:after="40"/>
              <w:jc w:val="left"/>
            </w:pPr>
            <w:r>
              <w:rPr>
                <w:sz w:val="18"/>
              </w:rPr>
              <w:t xml:space="preserve">9</w:t>
            </w:r>
          </w:p>
        </w:tc>
        <w:tc>
          <w:tcPr>
            <w:tcW w:w="1634" w:type="dxa"/>
          </w:tcPr>
          <w:p>
            <w:pPr>
              <w:pStyle w:val="Compact"/>
              <w:spacing w:after="40"/>
              <w:jc w:val="left"/>
            </w:pPr>
            <w:r>
              <w:rPr>
                <w:sz w:val="18"/>
              </w:rPr>
              <w:t xml:space="preserve">Servicing; DoA approvers</w:t>
            </w:r>
          </w:p>
        </w:tc>
      </w:tr>
      <w:tr>
        <w:tc>
          <w:tcPr>
            <w:tcW w:w="1777" w:type="dxa"/>
          </w:tcPr>
          <w:p>
            <w:pPr>
              <w:pStyle w:val="Compact"/>
              <w:spacing w:after="40"/>
              <w:jc w:val="left"/>
            </w:pPr>
            <w:r>
              <w:rPr>
                <w:rStyle w:val="VerbatimChar"/>
                <w:sz w:val="18"/>
              </w:rPr>
              <w:t xml:space="preserve">Loans › Collateral</w:t>
            </w:r>
          </w:p>
        </w:tc>
        <w:tc>
          <w:tcPr>
            <w:tcW w:w="4071" w:type="dxa"/>
          </w:tcPr>
          <w:p>
            <w:pPr>
              <w:pStyle w:val="Compact"/>
              <w:spacing w:after="40"/>
              <w:jc w:val="left"/>
            </w:pPr>
            <w:r>
              <w:rPr>
                <w:sz w:val="18"/>
              </w:rPr>
              <w:t xml:space="preserve">Register; valuation; charge creation and CERSAI; insurance; dual-control custody; LTV and margin calls with cure clock; release</w:t>
            </w:r>
          </w:p>
        </w:tc>
        <w:tc>
          <w:tcPr>
            <w:tcW w:w="1088" w:type="dxa"/>
          </w:tcPr>
          <w:p>
            <w:pPr>
              <w:pStyle w:val="Compact"/>
              <w:spacing w:after="40"/>
              <w:jc w:val="left"/>
            </w:pPr>
            <w:r>
              <w:rPr>
                <w:sz w:val="18"/>
              </w:rPr>
              <w:t xml:space="preserve">M5, Part 6.4</w:t>
            </w:r>
          </w:p>
        </w:tc>
        <w:tc>
          <w:tcPr>
            <w:tcW w:w="1068" w:type="dxa"/>
          </w:tcPr>
          <w:p>
            <w:pPr>
              <w:pStyle w:val="Compact"/>
              <w:spacing w:after="40"/>
              <w:jc w:val="left"/>
            </w:pPr>
            <w:r>
              <w:rPr>
                <w:sz w:val="18"/>
              </w:rPr>
              <w:t xml:space="preserve">8; 17</w:t>
            </w:r>
          </w:p>
        </w:tc>
        <w:tc>
          <w:tcPr>
            <w:tcW w:w="1634" w:type="dxa"/>
          </w:tcPr>
          <w:p>
            <w:pPr>
              <w:pStyle w:val="Compact"/>
              <w:spacing w:after="40"/>
              <w:jc w:val="left"/>
            </w:pPr>
            <w:r>
              <w:rPr>
                <w:sz w:val="18"/>
              </w:rPr>
              <w:t xml:space="preserve">Collateral team, credit</w:t>
            </w:r>
          </w:p>
        </w:tc>
      </w:tr>
      <w:tr>
        <w:tc>
          <w:tcPr>
            <w:tcW w:w="1777" w:type="dxa"/>
          </w:tcPr>
          <w:p>
            <w:pPr>
              <w:pStyle w:val="Compact"/>
              <w:spacing w:after="40"/>
              <w:jc w:val="left"/>
            </w:pPr>
            <w:r>
              <w:rPr>
                <w:rStyle w:val="VerbatimChar"/>
                <w:sz w:val="18"/>
              </w:rPr>
              <w:t xml:space="preserve">Loans › Closure and release</w:t>
            </w:r>
          </w:p>
        </w:tc>
        <w:tc>
          <w:tcPr>
            <w:tcW w:w="4071" w:type="dxa"/>
          </w:tcPr>
          <w:p>
            <w:pPr>
              <w:pStyle w:val="Compact"/>
              <w:spacing w:after="40"/>
              <w:jc w:val="left"/>
            </w:pPr>
            <w:r>
              <w:rPr>
                <w:sz w:val="18"/>
              </w:rPr>
              <w:t xml:space="preserve">NOC; charge satisfaction; document release (30 days; gold 7 working days) with the ₹5,000-a-day calculator; refunds</w:t>
            </w:r>
          </w:p>
        </w:tc>
        <w:tc>
          <w:tcPr>
            <w:tcW w:w="1088" w:type="dxa"/>
          </w:tcPr>
          <w:p>
            <w:pPr>
              <w:pStyle w:val="Compact"/>
              <w:spacing w:after="40"/>
              <w:jc w:val="left"/>
            </w:pPr>
            <w:r>
              <w:rPr>
                <w:sz w:val="18"/>
              </w:rPr>
              <w:t xml:space="preserve">M5, M6</w:t>
            </w:r>
          </w:p>
        </w:tc>
        <w:tc>
          <w:tcPr>
            <w:tcW w:w="1068" w:type="dxa"/>
          </w:tcPr>
          <w:p>
            <w:pPr>
              <w:pStyle w:val="Compact"/>
              <w:spacing w:after="40"/>
              <w:jc w:val="left"/>
            </w:pPr>
            <w:r>
              <w:rPr>
                <w:sz w:val="18"/>
              </w:rPr>
              <w:t xml:space="preserve">9</w:t>
            </w:r>
          </w:p>
        </w:tc>
        <w:tc>
          <w:tcPr>
            <w:tcW w:w="1634" w:type="dxa"/>
          </w:tcPr>
          <w:p>
            <w:pPr>
              <w:pStyle w:val="Compact"/>
              <w:spacing w:after="40"/>
              <w:jc w:val="left"/>
            </w:pPr>
            <w:r>
              <w:rPr>
                <w:sz w:val="18"/>
              </w:rPr>
              <w:t xml:space="preserve">Servicing, collateral team</w:t>
            </w:r>
          </w:p>
        </w:tc>
      </w:tr>
      <w:tr>
        <w:tc>
          <w:tcPr>
            <w:tcW w:w="1777" w:type="dxa"/>
          </w:tcPr>
          <w:p>
            <w:pPr>
              <w:pStyle w:val="Compact"/>
              <w:spacing w:after="40"/>
              <w:jc w:val="left"/>
            </w:pPr>
            <w:r>
              <w:rPr>
                <w:rStyle w:val="VerbatimChar"/>
                <w:sz w:val="18"/>
              </w:rPr>
              <w:t xml:space="preserve">Loans › Write-off</w:t>
            </w:r>
          </w:p>
        </w:tc>
        <w:tc>
          <w:tcPr>
            <w:tcW w:w="4071" w:type="dxa"/>
          </w:tcPr>
          <w:p>
            <w:pPr>
              <w:pStyle w:val="Compact"/>
              <w:spacing w:after="40"/>
              <w:jc w:val="left"/>
            </w:pPr>
            <w:r>
              <w:rPr>
                <w:sz w:val="18"/>
              </w:rPr>
              <w:t xml:space="preserve">Technical and full; approver one level above the sanctioning authority (RSA para 16(5)); post-write-off ledger</w:t>
            </w:r>
          </w:p>
        </w:tc>
        <w:tc>
          <w:tcPr>
            <w:tcW w:w="1088" w:type="dxa"/>
          </w:tcPr>
          <w:p>
            <w:pPr>
              <w:pStyle w:val="Compact"/>
              <w:spacing w:after="40"/>
              <w:jc w:val="left"/>
            </w:pPr>
            <w:r>
              <w:rPr>
                <w:sz w:val="18"/>
              </w:rPr>
              <w:t xml:space="preserve">M6</w:t>
            </w:r>
          </w:p>
        </w:tc>
        <w:tc>
          <w:tcPr>
            <w:tcW w:w="1068" w:type="dxa"/>
          </w:tcPr>
          <w:p>
            <w:pPr>
              <w:pStyle w:val="Compact"/>
              <w:spacing w:after="40"/>
              <w:jc w:val="left"/>
            </w:pPr>
            <w:r>
              <w:rPr>
                <w:sz w:val="18"/>
              </w:rPr>
              <w:t xml:space="preserve">9</w:t>
            </w:r>
          </w:p>
        </w:tc>
        <w:tc>
          <w:tcPr>
            <w:tcW w:w="1634" w:type="dxa"/>
          </w:tcPr>
          <w:p>
            <w:pPr>
              <w:pStyle w:val="Compact"/>
              <w:spacing w:after="40"/>
              <w:jc w:val="left"/>
            </w:pPr>
            <w:r>
              <w:rPr>
                <w:sz w:val="18"/>
              </w:rPr>
              <w:t xml:space="preserve">Credit head</w:t>
            </w:r>
          </w:p>
        </w:tc>
      </w:tr>
      <w:tr>
        <w:tc>
          <w:tcPr>
            <w:tcW w:w="1777" w:type="dxa"/>
          </w:tcPr>
          <w:p>
            <w:pPr>
              <w:pStyle w:val="Compact"/>
              <w:spacing w:after="40"/>
              <w:jc w:val="left"/>
            </w:pPr>
            <w:r>
              <w:rPr>
                <w:rStyle w:val="VerbatimChar"/>
                <w:sz w:val="18"/>
              </w:rPr>
              <w:t xml:space="preserve">Loans › Co-lending and transfers</w:t>
            </w:r>
          </w:p>
        </w:tc>
        <w:tc>
          <w:tcPr>
            <w:tcW w:w="4071" w:type="dxa"/>
          </w:tcPr>
          <w:p>
            <w:pPr>
              <w:pStyle w:val="Compact"/>
              <w:spacing w:after="40"/>
              <w:jc w:val="left"/>
            </w:pPr>
            <w:r>
              <w:rPr>
                <w:sz w:val="18"/>
              </w:rPr>
              <w:t xml:space="preserve">Co-lending shares and 15-day booking clock; DA and securitisation pools (eligibility, MHP, MRR); sold-pool servicing</w:t>
            </w:r>
          </w:p>
        </w:tc>
        <w:tc>
          <w:tcPr>
            <w:tcW w:w="1088" w:type="dxa"/>
          </w:tcPr>
          <w:p>
            <w:pPr>
              <w:pStyle w:val="Compact"/>
              <w:spacing w:after="40"/>
              <w:jc w:val="left"/>
            </w:pPr>
            <w:r>
              <w:rPr>
                <w:sz w:val="18"/>
              </w:rPr>
              <w:t xml:space="preserve">M11, IV7</w:t>
            </w:r>
          </w:p>
        </w:tc>
        <w:tc>
          <w:tcPr>
            <w:tcW w:w="1068" w:type="dxa"/>
          </w:tcPr>
          <w:p>
            <w:pPr>
              <w:pStyle w:val="Compact"/>
              <w:spacing w:after="40"/>
              <w:jc w:val="left"/>
            </w:pPr>
            <w:r>
              <w:rPr>
                <w:sz w:val="18"/>
              </w:rPr>
              <w:t xml:space="preserve">16; 17d</w:t>
            </w:r>
          </w:p>
        </w:tc>
        <w:tc>
          <w:tcPr>
            <w:tcW w:w="1634" w:type="dxa"/>
          </w:tcPr>
          <w:p>
            <w:pPr>
              <w:pStyle w:val="Compact"/>
              <w:spacing w:after="40"/>
              <w:jc w:val="left"/>
            </w:pPr>
            <w:r>
              <w:rPr>
                <w:sz w:val="18"/>
              </w:rPr>
              <w:t xml:space="preserve">Portfolio ops</w:t>
            </w:r>
          </w:p>
        </w:tc>
      </w:tr>
      <w:tr>
        <w:tc>
          <w:tcPr>
            <w:tcW w:w="1777" w:type="dxa"/>
          </w:tcPr>
          <w:p>
            <w:pPr>
              <w:pStyle w:val="Compact"/>
              <w:spacing w:after="40"/>
              <w:jc w:val="left"/>
            </w:pPr>
            <w:r>
              <w:rPr>
                <w:rStyle w:val="VerbatimChar"/>
                <w:sz w:val="18"/>
              </w:rPr>
              <w:t xml:space="preserve">Loans › Close of business</w:t>
            </w:r>
          </w:p>
        </w:tc>
        <w:tc>
          <w:tcPr>
            <w:tcW w:w="4071" w:type="dxa"/>
          </w:tcPr>
          <w:p>
            <w:pPr>
              <w:pStyle w:val="Compact"/>
              <w:spacing w:after="40"/>
              <w:jc w:val="left"/>
            </w:pPr>
            <w:r>
              <w:rPr>
                <w:sz w:val="18"/>
              </w:rPr>
              <w:t xml:space="preserve">COB monitor, classification results, exceptions, idempotent reruns</w:t>
            </w:r>
          </w:p>
        </w:tc>
        <w:tc>
          <w:tcPr>
            <w:tcW w:w="1088" w:type="dxa"/>
          </w:tcPr>
          <w:p>
            <w:pPr>
              <w:pStyle w:val="Compact"/>
              <w:spacing w:after="40"/>
              <w:jc w:val="left"/>
            </w:pPr>
            <w:r>
              <w:rPr>
                <w:sz w:val="18"/>
              </w:rPr>
              <w:t xml:space="preserve">M6</w:t>
            </w:r>
          </w:p>
        </w:tc>
        <w:tc>
          <w:tcPr>
            <w:tcW w:w="1068" w:type="dxa"/>
          </w:tcPr>
          <w:p>
            <w:pPr>
              <w:pStyle w:val="Compact"/>
              <w:spacing w:after="40"/>
              <w:jc w:val="left"/>
            </w:pPr>
            <w:r>
              <w:rPr>
                <w:sz w:val="18"/>
              </w:rPr>
              <w:t xml:space="preserve">9</w:t>
            </w:r>
          </w:p>
        </w:tc>
        <w:tc>
          <w:tcPr>
            <w:tcW w:w="1634" w:type="dxa"/>
          </w:tcPr>
          <w:p>
            <w:pPr>
              <w:pStyle w:val="Compact"/>
              <w:spacing w:after="40"/>
              <w:jc w:val="left"/>
            </w:pPr>
            <w:r>
              <w:rPr>
                <w:sz w:val="18"/>
              </w:rPr>
              <w:t xml:space="preserve">Ops, finance</w:t>
            </w:r>
          </w:p>
        </w:tc>
      </w:tr>
      <w:tr>
        <w:tc>
          <w:tcPr>
            <w:tcW w:w="1777" w:type="dxa"/>
          </w:tcPr>
          <w:p>
            <w:pPr>
              <w:pStyle w:val="Compact"/>
              <w:spacing w:after="40"/>
              <w:jc w:val="left"/>
            </w:pPr>
            <w:r>
              <w:rPr>
                <w:rStyle w:val="VerbatimChar"/>
                <w:sz w:val="18"/>
              </w:rPr>
              <w:t xml:space="preserve">Loans › Boarding</w:t>
            </w:r>
          </w:p>
        </w:tc>
        <w:tc>
          <w:tcPr>
            <w:tcW w:w="4071" w:type="dxa"/>
          </w:tcPr>
          <w:p>
            <w:pPr>
              <w:pStyle w:val="Compact"/>
              <w:spacing w:after="40"/>
              <w:jc w:val="left"/>
            </w:pPr>
            <w:r>
              <w:rPr>
                <w:sz w:val="18"/>
              </w:rPr>
              <w:t xml:space="preserve">Legacy import, reconciliation by component and DPD, sign-off</w:t>
            </w:r>
          </w:p>
        </w:tc>
        <w:tc>
          <w:tcPr>
            <w:tcW w:w="1088" w:type="dxa"/>
          </w:tcPr>
          <w:p>
            <w:pPr>
              <w:pStyle w:val="Compact"/>
              <w:spacing w:after="40"/>
              <w:jc w:val="left"/>
            </w:pPr>
            <w:r>
              <w:rPr>
                <w:sz w:val="18"/>
              </w:rPr>
              <w:t xml:space="preserve">M6</w:t>
            </w:r>
          </w:p>
        </w:tc>
        <w:tc>
          <w:tcPr>
            <w:tcW w:w="1068" w:type="dxa"/>
          </w:tcPr>
          <w:p>
            <w:pPr>
              <w:pStyle w:val="Compact"/>
              <w:spacing w:after="40"/>
              <w:jc w:val="left"/>
            </w:pPr>
            <w:r>
              <w:rPr>
                <w:sz w:val="18"/>
              </w:rPr>
              <w:t xml:space="preserve">19</w:t>
            </w:r>
          </w:p>
        </w:tc>
        <w:tc>
          <w:tcPr>
            <w:tcW w:w="1634" w:type="dxa"/>
          </w:tcPr>
          <w:p>
            <w:pPr>
              <w:pStyle w:val="Compact"/>
              <w:spacing w:after="40"/>
              <w:jc w:val="left"/>
            </w:pPr>
            <w:r>
              <w:rPr>
                <w:sz w:val="18"/>
              </w:rPr>
              <w:t xml:space="preserve">Migration team</w:t>
            </w:r>
          </w:p>
        </w:tc>
      </w:tr>
    </w:tbl>
    <w:bookmarkEnd w:id="913"/>
    <w:bookmarkStart w:id="914" w:name="g.3.6-collections-collections"/>
    <w:p>
      <w:pPr>
        <w:pStyle w:val="Heading3"/>
      </w:pPr>
      <w:r>
        <w:t xml:space="preserve">G.3.6 Collections (</w:t>
      </w:r>
      <w:r>
        <w:rPr>
          <w:rStyle w:val="VerbatimChar"/>
        </w:rPr>
        <w:t xml:space="preserve">collections</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42"/>
        <w:gridCol w:w="3678"/>
        <w:gridCol w:w="1153"/>
        <w:gridCol w:w="1132"/>
        <w:gridCol w:w="1733"/>
      </w:tblGrid>
      <w:tr>
        <w:trPr>
          <w:tblHeader w:val="true"/>
          <w:tblHeader w:val="true"/>
        </w:trPr>
        <w:tc>
          <w:tcPr>
            <w:tcW w:w="1942" w:type="dxa"/>
            <w:shd w:val="clear" w:color="auto" w:fill="1F3A5F"/>
          </w:tcPr>
          <w:p>
            <w:pPr>
              <w:pStyle w:val="Compact"/>
              <w:spacing w:after="40"/>
              <w:jc w:val="left"/>
            </w:pPr>
            <w:r>
              <w:rPr>
                <w:b/>
                <w:color w:val="FFFFFF"/>
                <w:sz w:val="18"/>
              </w:rPr>
              <w:t xml:space="preserve">Path</w:t>
            </w:r>
          </w:p>
        </w:tc>
        <w:tc>
          <w:tcPr>
            <w:tcW w:w="3678" w:type="dxa"/>
            <w:shd w:val="clear" w:color="auto" w:fill="1F3A5F"/>
          </w:tcPr>
          <w:p>
            <w:pPr>
              <w:pStyle w:val="Compact"/>
              <w:spacing w:after="40"/>
              <w:jc w:val="left"/>
            </w:pPr>
            <w:r>
              <w:rPr>
                <w:b/>
                <w:color w:val="FFFFFF"/>
                <w:sz w:val="18"/>
              </w:rPr>
              <w:t xml:space="preserve">Screens and key actions</w:t>
            </w:r>
          </w:p>
        </w:tc>
        <w:tc>
          <w:tcPr>
            <w:tcW w:w="1153" w:type="dxa"/>
            <w:shd w:val="clear" w:color="auto" w:fill="1F3A5F"/>
          </w:tcPr>
          <w:p>
            <w:pPr>
              <w:pStyle w:val="Compact"/>
              <w:spacing w:after="40"/>
              <w:jc w:val="left"/>
            </w:pPr>
            <w:r>
              <w:rPr>
                <w:b/>
                <w:color w:val="FFFFFF"/>
                <w:sz w:val="18"/>
              </w:rPr>
              <w:t xml:space="preserve">Owner</w:t>
            </w:r>
          </w:p>
        </w:tc>
        <w:tc>
          <w:tcPr>
            <w:tcW w:w="1132" w:type="dxa"/>
            <w:shd w:val="clear" w:color="auto" w:fill="1F3A5F"/>
          </w:tcPr>
          <w:p>
            <w:pPr>
              <w:pStyle w:val="Compact"/>
              <w:spacing w:after="40"/>
              <w:jc w:val="left"/>
            </w:pPr>
            <w:r>
              <w:rPr>
                <w:b/>
                <w:color w:val="FFFFFF"/>
                <w:sz w:val="18"/>
              </w:rPr>
              <w:t xml:space="preserve">Phase</w:t>
            </w:r>
          </w:p>
        </w:tc>
        <w:tc>
          <w:tcPr>
            <w:tcW w:w="1733" w:type="dxa"/>
            <w:shd w:val="clear" w:color="auto" w:fill="1F3A5F"/>
          </w:tcPr>
          <w:p>
            <w:pPr>
              <w:pStyle w:val="Compact"/>
              <w:spacing w:after="40"/>
              <w:jc w:val="left"/>
            </w:pPr>
            <w:r>
              <w:rPr>
                <w:b/>
                <w:color w:val="FFFFFF"/>
                <w:sz w:val="18"/>
              </w:rPr>
              <w:t xml:space="preserve">Roles</w:t>
            </w:r>
          </w:p>
        </w:tc>
      </w:tr>
      <w:tr>
        <w:tc>
          <w:tcPr>
            <w:tcW w:w="1942" w:type="dxa"/>
          </w:tcPr>
          <w:p>
            <w:pPr>
              <w:pStyle w:val="Compact"/>
              <w:spacing w:after="40"/>
              <w:jc w:val="left"/>
            </w:pPr>
            <w:r>
              <w:rPr>
                <w:rStyle w:val="VerbatimChar"/>
                <w:sz w:val="18"/>
              </w:rPr>
              <w:t xml:space="preserve">Collections › Dashboard</w:t>
            </w:r>
          </w:p>
        </w:tc>
        <w:tc>
          <w:tcPr>
            <w:tcW w:w="3678" w:type="dxa"/>
          </w:tcPr>
          <w:p>
            <w:pPr>
              <w:pStyle w:val="Compact"/>
              <w:spacing w:after="40"/>
              <w:jc w:val="left"/>
            </w:pPr>
            <w:r>
              <w:rPr>
                <w:sz w:val="18"/>
              </w:rPr>
              <w:t xml:space="preserve">Bucket movement, roll rates, efficiency, PTP kept, conduct exceptions</w:t>
            </w:r>
          </w:p>
        </w:tc>
        <w:tc>
          <w:tcPr>
            <w:tcW w:w="1153" w:type="dxa"/>
          </w:tcPr>
          <w:p>
            <w:pPr>
              <w:pStyle w:val="Compact"/>
              <w:spacing w:after="40"/>
              <w:jc w:val="left"/>
            </w:pPr>
            <w:r>
              <w:rPr>
                <w:sz w:val="18"/>
              </w:rPr>
              <w:t xml:space="preserve">M8</w:t>
            </w:r>
          </w:p>
        </w:tc>
        <w:tc>
          <w:tcPr>
            <w:tcW w:w="1132" w:type="dxa"/>
          </w:tcPr>
          <w:p>
            <w:pPr>
              <w:pStyle w:val="Compact"/>
              <w:spacing w:after="40"/>
              <w:jc w:val="left"/>
            </w:pPr>
            <w:r>
              <w:rPr>
                <w:sz w:val="18"/>
              </w:rPr>
              <w:t xml:space="preserve">11</w:t>
            </w:r>
          </w:p>
        </w:tc>
        <w:tc>
          <w:tcPr>
            <w:tcW w:w="1733" w:type="dxa"/>
          </w:tcPr>
          <w:p>
            <w:pPr>
              <w:pStyle w:val="Compact"/>
              <w:spacing w:after="40"/>
              <w:jc w:val="left"/>
            </w:pPr>
            <w:r>
              <w:rPr>
                <w:sz w:val="18"/>
              </w:rPr>
              <w:t xml:space="preserve">Collection managers</w:t>
            </w:r>
          </w:p>
        </w:tc>
      </w:tr>
      <w:tr>
        <w:tc>
          <w:tcPr>
            <w:tcW w:w="1942" w:type="dxa"/>
          </w:tcPr>
          <w:p>
            <w:pPr>
              <w:pStyle w:val="Compact"/>
              <w:spacing w:after="40"/>
              <w:jc w:val="left"/>
            </w:pPr>
            <w:r>
              <w:rPr>
                <w:rStyle w:val="VerbatimChar"/>
                <w:sz w:val="18"/>
              </w:rPr>
              <w:t xml:space="preserve">Collections › Strategies</w:t>
            </w:r>
          </w:p>
        </w:tc>
        <w:tc>
          <w:tcPr>
            <w:tcW w:w="3678" w:type="dxa"/>
          </w:tcPr>
          <w:p>
            <w:pPr>
              <w:pStyle w:val="Compact"/>
              <w:spacing w:after="40"/>
              <w:jc w:val="left"/>
            </w:pPr>
            <w:r>
              <w:rPr>
                <w:sz w:val="18"/>
              </w:rPr>
              <w:t xml:space="preserve">Segments, bucket strategies, champion and challenger; versioned</w:t>
            </w:r>
          </w:p>
        </w:tc>
        <w:tc>
          <w:tcPr>
            <w:tcW w:w="1153" w:type="dxa"/>
          </w:tcPr>
          <w:p>
            <w:pPr>
              <w:pStyle w:val="Compact"/>
              <w:spacing w:after="40"/>
              <w:jc w:val="left"/>
            </w:pPr>
            <w:r>
              <w:rPr>
                <w:sz w:val="18"/>
              </w:rPr>
              <w:t xml:space="preserve">M8</w:t>
            </w:r>
          </w:p>
        </w:tc>
        <w:tc>
          <w:tcPr>
            <w:tcW w:w="1132" w:type="dxa"/>
          </w:tcPr>
          <w:p>
            <w:pPr>
              <w:pStyle w:val="Compact"/>
              <w:spacing w:after="40"/>
              <w:jc w:val="left"/>
            </w:pPr>
            <w:r>
              <w:rPr>
                <w:sz w:val="18"/>
              </w:rPr>
              <w:t xml:space="preserve">11</w:t>
            </w:r>
          </w:p>
        </w:tc>
        <w:tc>
          <w:tcPr>
            <w:tcW w:w="1733" w:type="dxa"/>
          </w:tcPr>
          <w:p>
            <w:pPr>
              <w:pStyle w:val="Compact"/>
              <w:spacing w:after="40"/>
              <w:jc w:val="left"/>
            </w:pPr>
            <w:r>
              <w:rPr>
                <w:sz w:val="18"/>
              </w:rPr>
              <w:t xml:space="preserve">Strategy owner; CCO checker</w:t>
            </w:r>
          </w:p>
        </w:tc>
      </w:tr>
      <w:tr>
        <w:tc>
          <w:tcPr>
            <w:tcW w:w="1942" w:type="dxa"/>
          </w:tcPr>
          <w:p>
            <w:pPr>
              <w:pStyle w:val="Compact"/>
              <w:spacing w:after="40"/>
              <w:jc w:val="left"/>
            </w:pPr>
            <w:r>
              <w:rPr>
                <w:rStyle w:val="VerbatimChar"/>
                <w:sz w:val="18"/>
              </w:rPr>
              <w:t xml:space="preserve">Collections › Allocation</w:t>
            </w:r>
          </w:p>
        </w:tc>
        <w:tc>
          <w:tcPr>
            <w:tcW w:w="3678" w:type="dxa"/>
          </w:tcPr>
          <w:p>
            <w:pPr>
              <w:pStyle w:val="Compact"/>
              <w:spacing w:after="40"/>
              <w:jc w:val="left"/>
            </w:pPr>
            <w:r>
              <w:rPr>
                <w:sz w:val="18"/>
              </w:rPr>
              <w:t xml:space="preserve">Rules, capacity, bulk reassign</w:t>
            </w:r>
          </w:p>
        </w:tc>
        <w:tc>
          <w:tcPr>
            <w:tcW w:w="1153" w:type="dxa"/>
          </w:tcPr>
          <w:p>
            <w:pPr>
              <w:pStyle w:val="Compact"/>
              <w:spacing w:after="40"/>
              <w:jc w:val="left"/>
            </w:pPr>
            <w:r>
              <w:rPr>
                <w:sz w:val="18"/>
              </w:rPr>
              <w:t xml:space="preserve">M8</w:t>
            </w:r>
          </w:p>
        </w:tc>
        <w:tc>
          <w:tcPr>
            <w:tcW w:w="1132" w:type="dxa"/>
          </w:tcPr>
          <w:p>
            <w:pPr>
              <w:pStyle w:val="Compact"/>
              <w:spacing w:after="40"/>
              <w:jc w:val="left"/>
            </w:pPr>
            <w:r>
              <w:rPr>
                <w:sz w:val="18"/>
              </w:rPr>
              <w:t xml:space="preserve">11</w:t>
            </w:r>
          </w:p>
        </w:tc>
        <w:tc>
          <w:tcPr>
            <w:tcW w:w="1733" w:type="dxa"/>
          </w:tcPr>
          <w:p>
            <w:pPr>
              <w:pStyle w:val="Compact"/>
              <w:spacing w:after="40"/>
              <w:jc w:val="left"/>
            </w:pPr>
            <w:r>
              <w:rPr>
                <w:sz w:val="18"/>
              </w:rPr>
              <w:t xml:space="preserve">Collection managers</w:t>
            </w:r>
          </w:p>
        </w:tc>
      </w:tr>
      <w:tr>
        <w:tc>
          <w:tcPr>
            <w:tcW w:w="1942" w:type="dxa"/>
          </w:tcPr>
          <w:p>
            <w:pPr>
              <w:pStyle w:val="Compact"/>
              <w:spacing w:after="40"/>
              <w:jc w:val="left"/>
            </w:pPr>
            <w:r>
              <w:rPr>
                <w:rStyle w:val="VerbatimChar"/>
                <w:sz w:val="18"/>
              </w:rPr>
              <w:t xml:space="preserve">Collections › Calling</w:t>
            </w:r>
          </w:p>
        </w:tc>
        <w:tc>
          <w:tcPr>
            <w:tcW w:w="3678" w:type="dxa"/>
          </w:tcPr>
          <w:p>
            <w:pPr>
              <w:pStyle w:val="Compact"/>
              <w:spacing w:after="40"/>
              <w:jc w:val="left"/>
            </w:pPr>
            <w:r>
              <w:rPr>
                <w:sz w:val="18"/>
              </w:rPr>
              <w:t xml:space="preserve">Agent desk: contact-policy check before each dial with the deciding rule; disposition; PTP; recording notice</w:t>
            </w:r>
          </w:p>
        </w:tc>
        <w:tc>
          <w:tcPr>
            <w:tcW w:w="1153" w:type="dxa"/>
          </w:tcPr>
          <w:p>
            <w:pPr>
              <w:pStyle w:val="Compact"/>
              <w:spacing w:after="40"/>
              <w:jc w:val="left"/>
            </w:pPr>
            <w:r>
              <w:rPr>
                <w:sz w:val="18"/>
              </w:rPr>
              <w:t xml:space="preserve">M8, EO6</w:t>
            </w:r>
          </w:p>
        </w:tc>
        <w:tc>
          <w:tcPr>
            <w:tcW w:w="1132" w:type="dxa"/>
          </w:tcPr>
          <w:p>
            <w:pPr>
              <w:pStyle w:val="Compact"/>
              <w:spacing w:after="40"/>
              <w:jc w:val="left"/>
            </w:pPr>
            <w:r>
              <w:rPr>
                <w:sz w:val="18"/>
              </w:rPr>
              <w:t xml:space="preserve">11; 18b</w:t>
            </w:r>
          </w:p>
        </w:tc>
        <w:tc>
          <w:tcPr>
            <w:tcW w:w="1733" w:type="dxa"/>
          </w:tcPr>
          <w:p>
            <w:pPr>
              <w:pStyle w:val="Compact"/>
              <w:spacing w:after="40"/>
              <w:jc w:val="left"/>
            </w:pPr>
            <w:r>
              <w:rPr>
                <w:sz w:val="18"/>
              </w:rPr>
              <w:t xml:space="preserve">Telecallers</w:t>
            </w:r>
          </w:p>
        </w:tc>
      </w:tr>
      <w:tr>
        <w:tc>
          <w:tcPr>
            <w:tcW w:w="1942" w:type="dxa"/>
          </w:tcPr>
          <w:p>
            <w:pPr>
              <w:pStyle w:val="Compact"/>
              <w:spacing w:after="40"/>
              <w:jc w:val="left"/>
            </w:pPr>
            <w:r>
              <w:rPr>
                <w:rStyle w:val="VerbatimChar"/>
                <w:sz w:val="18"/>
              </w:rPr>
              <w:t xml:space="preserve">Collections › Field</w:t>
            </w:r>
          </w:p>
        </w:tc>
        <w:tc>
          <w:tcPr>
            <w:tcW w:w="3678" w:type="dxa"/>
          </w:tcPr>
          <w:p>
            <w:pPr>
              <w:pStyle w:val="Compact"/>
              <w:spacing w:after="40"/>
              <w:jc w:val="left"/>
            </w:pPr>
            <w:r>
              <w:rPr>
                <w:sz w:val="18"/>
              </w:rPr>
              <w:t xml:space="preserve">Routes; geo-tagged visits; receipts; cash limits and same-day deposit tracker</w:t>
            </w:r>
          </w:p>
        </w:tc>
        <w:tc>
          <w:tcPr>
            <w:tcW w:w="1153" w:type="dxa"/>
          </w:tcPr>
          <w:p>
            <w:pPr>
              <w:pStyle w:val="Compact"/>
              <w:spacing w:after="40"/>
              <w:jc w:val="left"/>
            </w:pPr>
            <w:r>
              <w:rPr>
                <w:sz w:val="18"/>
              </w:rPr>
              <w:t xml:space="preserve">M8, M22</w:t>
            </w:r>
          </w:p>
        </w:tc>
        <w:tc>
          <w:tcPr>
            <w:tcW w:w="1132" w:type="dxa"/>
          </w:tcPr>
          <w:p>
            <w:pPr>
              <w:pStyle w:val="Compact"/>
              <w:spacing w:after="40"/>
              <w:jc w:val="left"/>
            </w:pPr>
            <w:r>
              <w:rPr>
                <w:sz w:val="18"/>
              </w:rPr>
              <w:t xml:space="preserve">11</w:t>
            </w:r>
          </w:p>
        </w:tc>
        <w:tc>
          <w:tcPr>
            <w:tcW w:w="1733" w:type="dxa"/>
          </w:tcPr>
          <w:p>
            <w:pPr>
              <w:pStyle w:val="Compact"/>
              <w:spacing w:after="40"/>
              <w:jc w:val="left"/>
            </w:pPr>
            <w:r>
              <w:rPr>
                <w:sz w:val="18"/>
              </w:rPr>
              <w:t xml:space="preserve">Field collectors</w:t>
            </w:r>
          </w:p>
        </w:tc>
      </w:tr>
      <w:tr>
        <w:tc>
          <w:tcPr>
            <w:tcW w:w="1942" w:type="dxa"/>
          </w:tcPr>
          <w:p>
            <w:pPr>
              <w:pStyle w:val="Compact"/>
              <w:spacing w:after="40"/>
              <w:jc w:val="left"/>
            </w:pPr>
            <w:r>
              <w:rPr>
                <w:rStyle w:val="VerbatimChar"/>
                <w:sz w:val="18"/>
              </w:rPr>
              <w:t xml:space="preserve">Collections › PTP and dispositions</w:t>
            </w:r>
          </w:p>
        </w:tc>
        <w:tc>
          <w:tcPr>
            <w:tcW w:w="3678" w:type="dxa"/>
          </w:tcPr>
          <w:p>
            <w:pPr>
              <w:pStyle w:val="Compact"/>
              <w:spacing w:after="40"/>
              <w:jc w:val="left"/>
            </w:pPr>
            <w:r>
              <w:rPr>
                <w:sz w:val="18"/>
              </w:rPr>
              <w:t xml:space="preserve">PTP tracker, broken-PTP escalation</w:t>
            </w:r>
          </w:p>
        </w:tc>
        <w:tc>
          <w:tcPr>
            <w:tcW w:w="1153" w:type="dxa"/>
          </w:tcPr>
          <w:p>
            <w:pPr>
              <w:pStyle w:val="Compact"/>
              <w:spacing w:after="40"/>
              <w:jc w:val="left"/>
            </w:pPr>
            <w:r>
              <w:rPr>
                <w:sz w:val="18"/>
              </w:rPr>
              <w:t xml:space="preserve">M8</w:t>
            </w:r>
          </w:p>
        </w:tc>
        <w:tc>
          <w:tcPr>
            <w:tcW w:w="1132" w:type="dxa"/>
          </w:tcPr>
          <w:p>
            <w:pPr>
              <w:pStyle w:val="Compact"/>
              <w:spacing w:after="40"/>
              <w:jc w:val="left"/>
            </w:pPr>
            <w:r>
              <w:rPr>
                <w:sz w:val="18"/>
              </w:rPr>
              <w:t xml:space="preserve">11</w:t>
            </w:r>
          </w:p>
        </w:tc>
        <w:tc>
          <w:tcPr>
            <w:tcW w:w="1733" w:type="dxa"/>
          </w:tcPr>
          <w:p>
            <w:pPr>
              <w:pStyle w:val="Compact"/>
              <w:spacing w:after="40"/>
              <w:jc w:val="left"/>
            </w:pPr>
            <w:r>
              <w:rPr>
                <w:sz w:val="18"/>
              </w:rPr>
              <w:t xml:space="preserve">Telecallers, supervisors</w:t>
            </w:r>
          </w:p>
        </w:tc>
      </w:tr>
      <w:tr>
        <w:tc>
          <w:tcPr>
            <w:tcW w:w="1942" w:type="dxa"/>
          </w:tcPr>
          <w:p>
            <w:pPr>
              <w:pStyle w:val="Compact"/>
              <w:spacing w:after="40"/>
              <w:jc w:val="left"/>
            </w:pPr>
            <w:r>
              <w:rPr>
                <w:rStyle w:val="VerbatimChar"/>
                <w:sz w:val="18"/>
              </w:rPr>
              <w:t xml:space="preserve">Collections › Agencies and agents</w:t>
            </w:r>
          </w:p>
        </w:tc>
        <w:tc>
          <w:tcPr>
            <w:tcW w:w="3678" w:type="dxa"/>
          </w:tcPr>
          <w:p>
            <w:pPr>
              <w:pStyle w:val="Compact"/>
              <w:spacing w:after="40"/>
              <w:jc w:val="left"/>
            </w:pPr>
            <w:r>
              <w:rPr>
                <w:sz w:val="18"/>
              </w:rPr>
              <w:t xml:space="preserve">Empanelment, IDs and authorisation letters, IIBF certificate expiry (from 1 Jan 2027), website list</w:t>
            </w:r>
          </w:p>
        </w:tc>
        <w:tc>
          <w:tcPr>
            <w:tcW w:w="1153" w:type="dxa"/>
          </w:tcPr>
          <w:p>
            <w:pPr>
              <w:pStyle w:val="Compact"/>
              <w:spacing w:after="40"/>
              <w:jc w:val="left"/>
            </w:pPr>
            <w:r>
              <w:rPr>
                <w:sz w:val="18"/>
              </w:rPr>
              <w:t xml:space="preserve">M8, R11</w:t>
            </w:r>
          </w:p>
        </w:tc>
        <w:tc>
          <w:tcPr>
            <w:tcW w:w="1132" w:type="dxa"/>
          </w:tcPr>
          <w:p>
            <w:pPr>
              <w:pStyle w:val="Compact"/>
              <w:spacing w:after="40"/>
              <w:jc w:val="left"/>
            </w:pPr>
            <w:r>
              <w:rPr>
                <w:sz w:val="18"/>
              </w:rPr>
              <w:t xml:space="preserve">11</w:t>
            </w:r>
          </w:p>
        </w:tc>
        <w:tc>
          <w:tcPr>
            <w:tcW w:w="1733" w:type="dxa"/>
          </w:tcPr>
          <w:p>
            <w:pPr>
              <w:pStyle w:val="Compact"/>
              <w:spacing w:after="40"/>
              <w:jc w:val="left"/>
            </w:pPr>
            <w:r>
              <w:rPr>
                <w:sz w:val="18"/>
              </w:rPr>
              <w:t xml:space="preserve">Agency manager; CCO checker</w:t>
            </w:r>
          </w:p>
        </w:tc>
      </w:tr>
      <w:tr>
        <w:tc>
          <w:tcPr>
            <w:tcW w:w="1942" w:type="dxa"/>
          </w:tcPr>
          <w:p>
            <w:pPr>
              <w:pStyle w:val="Compact"/>
              <w:spacing w:after="40"/>
              <w:jc w:val="left"/>
            </w:pPr>
            <w:r>
              <w:rPr>
                <w:rStyle w:val="VerbatimChar"/>
                <w:sz w:val="18"/>
              </w:rPr>
              <w:t xml:space="preserve">Collections › Conduct and QA</w:t>
            </w:r>
          </w:p>
        </w:tc>
        <w:tc>
          <w:tcPr>
            <w:tcW w:w="3678" w:type="dxa"/>
          </w:tcPr>
          <w:p>
            <w:pPr>
              <w:pStyle w:val="Compact"/>
              <w:spacing w:after="40"/>
              <w:jc w:val="left"/>
            </w:pPr>
            <w:r>
              <w:rPr>
                <w:sz w:val="18"/>
              </w:rPr>
              <w:t xml:space="preserve">Call samples, AI QA, linked complaints; contact-policy simulator (read view of</w:t>
            </w:r>
            <w:r>
              <w:rPr>
                <w:sz w:val="18"/>
              </w:rPr>
              <w:t xml:space="preserve"> </w:t>
            </w:r>
            <w:r>
              <w:rPr>
                <w:rStyle w:val="VerbatimChar"/>
                <w:sz w:val="18"/>
              </w:rPr>
              <w:t xml:space="preserve">Settings › Communications › Contact policy</w:t>
            </w:r>
            <w:r>
              <w:rPr>
                <w:sz w:val="18"/>
              </w:rPr>
              <w:t xml:space="preserve">)</w:t>
            </w:r>
          </w:p>
        </w:tc>
        <w:tc>
          <w:tcPr>
            <w:tcW w:w="1153" w:type="dxa"/>
          </w:tcPr>
          <w:p>
            <w:pPr>
              <w:pStyle w:val="Compact"/>
              <w:spacing w:after="40"/>
              <w:jc w:val="left"/>
            </w:pPr>
            <w:r>
              <w:rPr>
                <w:sz w:val="18"/>
              </w:rPr>
              <w:t xml:space="preserve">M8, R15, EO6</w:t>
            </w:r>
          </w:p>
        </w:tc>
        <w:tc>
          <w:tcPr>
            <w:tcW w:w="1132" w:type="dxa"/>
          </w:tcPr>
          <w:p>
            <w:pPr>
              <w:pStyle w:val="Compact"/>
              <w:spacing w:after="40"/>
              <w:jc w:val="left"/>
            </w:pPr>
            <w:r>
              <w:rPr>
                <w:sz w:val="18"/>
              </w:rPr>
              <w:t xml:space="preserve">11; 18</w:t>
            </w:r>
          </w:p>
        </w:tc>
        <w:tc>
          <w:tcPr>
            <w:tcW w:w="1733" w:type="dxa"/>
          </w:tcPr>
          <w:p>
            <w:pPr>
              <w:pStyle w:val="Compact"/>
              <w:spacing w:after="40"/>
              <w:jc w:val="left"/>
            </w:pPr>
            <w:r>
              <w:rPr>
                <w:sz w:val="18"/>
              </w:rPr>
              <w:t xml:space="preserve">QA, CCO office</w:t>
            </w:r>
          </w:p>
        </w:tc>
      </w:tr>
    </w:tbl>
    <w:bookmarkEnd w:id="914"/>
    <w:bookmarkStart w:id="915" w:name="g.3.7-recovery-and-legal-recovery"/>
    <w:p>
      <w:pPr>
        <w:pStyle w:val="Heading3"/>
      </w:pPr>
      <w:r>
        <w:t xml:space="preserve">G.3.7 Recovery and Legal (</w:t>
      </w:r>
      <w:r>
        <w:rPr>
          <w:rStyle w:val="VerbatimChar"/>
        </w:rPr>
        <w:t xml:space="preserve">recovery</w:t>
      </w:r>
      <w:r>
        <w:t xml:space="preserve">)</w:t>
      </w:r>
    </w:p>
    <w:p>
      <w:pPr>
        <w:pStyle w:val="FirstParagraph"/>
      </w:pPr>
      <w:r>
        <w:t xml:space="preserve">Present when the Recovery Suite is attached (Part 7A.0); Read-only badge after detach.</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65"/>
        <w:gridCol w:w="3749"/>
        <w:gridCol w:w="1058"/>
        <w:gridCol w:w="1058"/>
        <w:gridCol w:w="1708"/>
      </w:tblGrid>
      <w:tr>
        <w:trPr>
          <w:tblHeader w:val="true"/>
          <w:tblHeader w:val="true"/>
        </w:trPr>
        <w:tc>
          <w:tcPr>
            <w:tcW w:w="2065" w:type="dxa"/>
            <w:shd w:val="clear" w:color="auto" w:fill="1F3A5F"/>
          </w:tcPr>
          <w:p>
            <w:pPr>
              <w:pStyle w:val="Compact"/>
              <w:spacing w:after="40"/>
              <w:jc w:val="left"/>
            </w:pPr>
            <w:r>
              <w:rPr>
                <w:b/>
                <w:color w:val="FFFFFF"/>
                <w:sz w:val="18"/>
              </w:rPr>
              <w:t xml:space="preserve">Path</w:t>
            </w:r>
          </w:p>
        </w:tc>
        <w:tc>
          <w:tcPr>
            <w:tcW w:w="3749" w:type="dxa"/>
            <w:shd w:val="clear" w:color="auto" w:fill="1F3A5F"/>
          </w:tcPr>
          <w:p>
            <w:pPr>
              <w:pStyle w:val="Compact"/>
              <w:spacing w:after="40"/>
              <w:jc w:val="left"/>
            </w:pPr>
            <w:r>
              <w:rPr>
                <w:b/>
                <w:color w:val="FFFFFF"/>
                <w:sz w:val="18"/>
              </w:rPr>
              <w:t xml:space="preserve">Screens and key actions</w:t>
            </w:r>
          </w:p>
        </w:tc>
        <w:tc>
          <w:tcPr>
            <w:tcW w:w="1058" w:type="dxa"/>
            <w:shd w:val="clear" w:color="auto" w:fill="1F3A5F"/>
          </w:tcPr>
          <w:p>
            <w:pPr>
              <w:pStyle w:val="Compact"/>
              <w:spacing w:after="40"/>
              <w:jc w:val="left"/>
            </w:pPr>
            <w:r>
              <w:rPr>
                <w:b/>
                <w:color w:val="FFFFFF"/>
                <w:sz w:val="18"/>
              </w:rPr>
              <w:t xml:space="preserve">Owner</w:t>
            </w:r>
          </w:p>
        </w:tc>
        <w:tc>
          <w:tcPr>
            <w:tcW w:w="1058" w:type="dxa"/>
            <w:shd w:val="clear" w:color="auto" w:fill="1F3A5F"/>
          </w:tcPr>
          <w:p>
            <w:pPr>
              <w:pStyle w:val="Compact"/>
              <w:spacing w:after="40"/>
              <w:jc w:val="left"/>
            </w:pPr>
            <w:r>
              <w:rPr>
                <w:b/>
                <w:color w:val="FFFFFF"/>
                <w:sz w:val="18"/>
              </w:rPr>
              <w:t xml:space="preserve">Phase</w:t>
            </w:r>
          </w:p>
        </w:tc>
        <w:tc>
          <w:tcPr>
            <w:tcW w:w="1708" w:type="dxa"/>
            <w:shd w:val="clear" w:color="auto" w:fill="1F3A5F"/>
          </w:tcPr>
          <w:p>
            <w:pPr>
              <w:pStyle w:val="Compact"/>
              <w:spacing w:after="40"/>
              <w:jc w:val="left"/>
            </w:pPr>
            <w:r>
              <w:rPr>
                <w:b/>
                <w:color w:val="FFFFFF"/>
                <w:sz w:val="18"/>
              </w:rPr>
              <w:t xml:space="preserve">Roles</w:t>
            </w:r>
          </w:p>
        </w:tc>
      </w:tr>
      <w:tr>
        <w:tc>
          <w:tcPr>
            <w:tcW w:w="2065" w:type="dxa"/>
          </w:tcPr>
          <w:p>
            <w:pPr>
              <w:pStyle w:val="Compact"/>
              <w:spacing w:after="40"/>
              <w:jc w:val="left"/>
            </w:pPr>
            <w:r>
              <w:rPr>
                <w:rStyle w:val="VerbatimChar"/>
                <w:sz w:val="18"/>
              </w:rPr>
              <w:t xml:space="preserve">Recovery › Cases</w:t>
            </w:r>
          </w:p>
        </w:tc>
        <w:tc>
          <w:tcPr>
            <w:tcW w:w="3749" w:type="dxa"/>
          </w:tcPr>
          <w:p>
            <w:pPr>
              <w:pStyle w:val="Compact"/>
              <w:spacing w:after="40"/>
              <w:jc w:val="left"/>
            </w:pPr>
            <w:r>
              <w:rPr>
                <w:sz w:val="18"/>
              </w:rPr>
              <w:t xml:space="preserve">Case 360 with parallel tracks, mechanism-selection reasons, limitation clock (</w:t>
            </w:r>
            <w:r>
              <w:rPr>
                <w:rStyle w:val="VerbatimChar"/>
                <w:sz w:val="18"/>
              </w:rPr>
              <w:t xml:space="preserve">UNKNOWN_REVIEW</w:t>
            </w:r>
            <w:r>
              <w:rPr>
                <w:sz w:val="18"/>
              </w:rPr>
              <w:t xml:space="preserve"> </w:t>
            </w:r>
            <w:r>
              <w:rPr>
                <w:sz w:val="18"/>
              </w:rPr>
              <w:t xml:space="preserve">flagged), costs, approvals</w:t>
            </w:r>
          </w:p>
        </w:tc>
        <w:tc>
          <w:tcPr>
            <w:tcW w:w="1058" w:type="dxa"/>
          </w:tcPr>
          <w:p>
            <w:pPr>
              <w:pStyle w:val="Compact"/>
              <w:spacing w:after="40"/>
              <w:jc w:val="left"/>
            </w:pPr>
            <w:r>
              <w:rPr>
                <w:sz w:val="18"/>
              </w:rPr>
              <w:t xml:space="preserve">R1</w:t>
            </w:r>
          </w:p>
        </w:tc>
        <w:tc>
          <w:tcPr>
            <w:tcW w:w="1058" w:type="dxa"/>
          </w:tcPr>
          <w:p>
            <w:pPr>
              <w:pStyle w:val="Compact"/>
              <w:spacing w:after="40"/>
              <w:jc w:val="left"/>
            </w:pPr>
            <w:r>
              <w:rPr>
                <w:sz w:val="18"/>
              </w:rPr>
              <w:t xml:space="preserve">12</w:t>
            </w:r>
          </w:p>
        </w:tc>
        <w:tc>
          <w:tcPr>
            <w:tcW w:w="1708" w:type="dxa"/>
          </w:tcPr>
          <w:p>
            <w:pPr>
              <w:pStyle w:val="Compact"/>
              <w:spacing w:after="40"/>
              <w:jc w:val="left"/>
            </w:pPr>
            <w:r>
              <w:rPr>
                <w:sz w:val="18"/>
              </w:rPr>
              <w:t xml:space="preserve">Recovery managers</w:t>
            </w:r>
          </w:p>
        </w:tc>
      </w:tr>
      <w:tr>
        <w:tc>
          <w:tcPr>
            <w:tcW w:w="2065" w:type="dxa"/>
          </w:tcPr>
          <w:p>
            <w:pPr>
              <w:pStyle w:val="Compact"/>
              <w:spacing w:after="40"/>
              <w:jc w:val="left"/>
            </w:pPr>
            <w:r>
              <w:rPr>
                <w:rStyle w:val="VerbatimChar"/>
                <w:sz w:val="18"/>
              </w:rPr>
              <w:t xml:space="preserve">Recovery › Pre-legal</w:t>
            </w:r>
          </w:p>
        </w:tc>
        <w:tc>
          <w:tcPr>
            <w:tcW w:w="3749" w:type="dxa"/>
          </w:tcPr>
          <w:p>
            <w:pPr>
              <w:pStyle w:val="Compact"/>
              <w:spacing w:after="40"/>
              <w:jc w:val="left"/>
            </w:pPr>
            <w:r>
              <w:rPr>
                <w:sz w:val="18"/>
              </w:rPr>
              <w:t xml:space="preserve">Hand-off queue from M8; field investigation; lawful skip tracing</w:t>
            </w:r>
          </w:p>
        </w:tc>
        <w:tc>
          <w:tcPr>
            <w:tcW w:w="1058" w:type="dxa"/>
          </w:tcPr>
          <w:p>
            <w:pPr>
              <w:pStyle w:val="Compact"/>
              <w:spacing w:after="40"/>
              <w:jc w:val="left"/>
            </w:pPr>
            <w:r>
              <w:rPr>
                <w:sz w:val="18"/>
              </w:rPr>
              <w:t xml:space="preserve">R2</w:t>
            </w:r>
          </w:p>
        </w:tc>
        <w:tc>
          <w:tcPr>
            <w:tcW w:w="1058" w:type="dxa"/>
          </w:tcPr>
          <w:p>
            <w:pPr>
              <w:pStyle w:val="Compact"/>
              <w:spacing w:after="40"/>
              <w:jc w:val="left"/>
            </w:pPr>
            <w:r>
              <w:rPr>
                <w:sz w:val="18"/>
              </w:rPr>
              <w:t xml:space="preserve">12</w:t>
            </w:r>
          </w:p>
        </w:tc>
        <w:tc>
          <w:tcPr>
            <w:tcW w:w="1708" w:type="dxa"/>
          </w:tcPr>
          <w:p>
            <w:pPr>
              <w:pStyle w:val="Compact"/>
              <w:spacing w:after="40"/>
              <w:jc w:val="left"/>
            </w:pPr>
            <w:r>
              <w:rPr>
                <w:sz w:val="18"/>
              </w:rPr>
              <w:t xml:space="preserve">Recovery officers</w:t>
            </w:r>
          </w:p>
        </w:tc>
      </w:tr>
      <w:tr>
        <w:tc>
          <w:tcPr>
            <w:tcW w:w="2065" w:type="dxa"/>
          </w:tcPr>
          <w:p>
            <w:pPr>
              <w:pStyle w:val="Compact"/>
              <w:spacing w:after="40"/>
              <w:jc w:val="left"/>
            </w:pPr>
            <w:r>
              <w:rPr>
                <w:rStyle w:val="VerbatimChar"/>
                <w:sz w:val="18"/>
              </w:rPr>
              <w:t xml:space="preserve">Recovery › Notices</w:t>
            </w:r>
          </w:p>
        </w:tc>
        <w:tc>
          <w:tcPr>
            <w:tcW w:w="3749" w:type="dxa"/>
          </w:tcPr>
          <w:p>
            <w:pPr>
              <w:pStyle w:val="Compact"/>
              <w:spacing w:after="40"/>
              <w:jc w:val="left"/>
            </w:pPr>
            <w:r>
              <w:rPr>
                <w:sz w:val="18"/>
              </w:rPr>
              <w:t xml:space="preserve">Templates, bulk generation, signing, dispatch, proof-of-service register</w:t>
            </w:r>
          </w:p>
        </w:tc>
        <w:tc>
          <w:tcPr>
            <w:tcW w:w="1058" w:type="dxa"/>
          </w:tcPr>
          <w:p>
            <w:pPr>
              <w:pStyle w:val="Compact"/>
              <w:spacing w:after="40"/>
              <w:jc w:val="left"/>
            </w:pPr>
            <w:r>
              <w:rPr>
                <w:sz w:val="18"/>
              </w:rPr>
              <w:t xml:space="preserve">R3</w:t>
            </w:r>
          </w:p>
        </w:tc>
        <w:tc>
          <w:tcPr>
            <w:tcW w:w="1058" w:type="dxa"/>
          </w:tcPr>
          <w:p>
            <w:pPr>
              <w:pStyle w:val="Compact"/>
              <w:spacing w:after="40"/>
              <w:jc w:val="left"/>
            </w:pPr>
            <w:r>
              <w:rPr>
                <w:sz w:val="18"/>
              </w:rPr>
              <w:t xml:space="preserve">12</w:t>
            </w:r>
          </w:p>
        </w:tc>
        <w:tc>
          <w:tcPr>
            <w:tcW w:w="1708" w:type="dxa"/>
          </w:tcPr>
          <w:p>
            <w:pPr>
              <w:pStyle w:val="Compact"/>
              <w:spacing w:after="40"/>
              <w:jc w:val="left"/>
            </w:pPr>
            <w:r>
              <w:rPr>
                <w:sz w:val="18"/>
              </w:rPr>
              <w:t xml:space="preserve">Legal; legal head checker</w:t>
            </w:r>
          </w:p>
        </w:tc>
      </w:tr>
      <w:tr>
        <w:tc>
          <w:tcPr>
            <w:tcW w:w="2065" w:type="dxa"/>
          </w:tcPr>
          <w:p>
            <w:pPr>
              <w:pStyle w:val="Compact"/>
              <w:spacing w:after="40"/>
              <w:jc w:val="left"/>
            </w:pPr>
            <w:r>
              <w:rPr>
                <w:rStyle w:val="VerbatimChar"/>
                <w:sz w:val="18"/>
              </w:rPr>
              <w:t xml:space="preserve">Recovery › Dishonour</w:t>
            </w:r>
          </w:p>
        </w:tc>
        <w:tc>
          <w:tcPr>
            <w:tcW w:w="3749" w:type="dxa"/>
          </w:tcPr>
          <w:p>
            <w:pPr>
              <w:pStyle w:val="Compact"/>
              <w:spacing w:after="40"/>
              <w:jc w:val="left"/>
            </w:pPr>
            <w:r>
              <w:rPr>
                <w:sz w:val="18"/>
              </w:rPr>
              <w:t xml:space="preserve">s.138 NI Act and s.25 PSS Act day counts; complaint packs</w:t>
            </w:r>
          </w:p>
        </w:tc>
        <w:tc>
          <w:tcPr>
            <w:tcW w:w="1058" w:type="dxa"/>
          </w:tcPr>
          <w:p>
            <w:pPr>
              <w:pStyle w:val="Compact"/>
              <w:spacing w:after="40"/>
              <w:jc w:val="left"/>
            </w:pPr>
            <w:r>
              <w:rPr>
                <w:sz w:val="18"/>
              </w:rPr>
              <w:t xml:space="preserve">R7</w:t>
            </w:r>
          </w:p>
        </w:tc>
        <w:tc>
          <w:tcPr>
            <w:tcW w:w="1058" w:type="dxa"/>
          </w:tcPr>
          <w:p>
            <w:pPr>
              <w:pStyle w:val="Compact"/>
              <w:spacing w:after="40"/>
              <w:jc w:val="left"/>
            </w:pPr>
            <w:r>
              <w:rPr>
                <w:sz w:val="18"/>
              </w:rPr>
              <w:t xml:space="preserve">12</w:t>
            </w:r>
          </w:p>
        </w:tc>
        <w:tc>
          <w:tcPr>
            <w:tcW w:w="1708" w:type="dxa"/>
          </w:tcPr>
          <w:p>
            <w:pPr>
              <w:pStyle w:val="Compact"/>
              <w:spacing w:after="40"/>
              <w:jc w:val="left"/>
            </w:pPr>
            <w:r>
              <w:rPr>
                <w:sz w:val="18"/>
              </w:rPr>
              <w:t xml:space="preserve">Legal</w:t>
            </w:r>
          </w:p>
        </w:tc>
      </w:tr>
      <w:tr>
        <w:tc>
          <w:tcPr>
            <w:tcW w:w="2065" w:type="dxa"/>
          </w:tcPr>
          <w:p>
            <w:pPr>
              <w:pStyle w:val="Compact"/>
              <w:spacing w:after="40"/>
              <w:jc w:val="left"/>
            </w:pPr>
            <w:r>
              <w:rPr>
                <w:rStyle w:val="VerbatimChar"/>
                <w:sz w:val="18"/>
              </w:rPr>
              <w:t xml:space="preserve">Recovery › SARFAESI</w:t>
            </w:r>
          </w:p>
        </w:tc>
        <w:tc>
          <w:tcPr>
            <w:tcW w:w="3749" w:type="dxa"/>
          </w:tcPr>
          <w:p>
            <w:pPr>
              <w:pStyle w:val="Compact"/>
              <w:spacing w:after="40"/>
              <w:jc w:val="left"/>
            </w:pPr>
            <w:r>
              <w:rPr>
                <w:sz w:val="18"/>
              </w:rPr>
              <w:t xml:space="preserve">Eligibility gate; s.13(2) and s.13(4) states; possession; CMM or DM applications</w:t>
            </w:r>
          </w:p>
        </w:tc>
        <w:tc>
          <w:tcPr>
            <w:tcW w:w="1058" w:type="dxa"/>
          </w:tcPr>
          <w:p>
            <w:pPr>
              <w:pStyle w:val="Compact"/>
              <w:spacing w:after="40"/>
              <w:jc w:val="left"/>
            </w:pPr>
            <w:r>
              <w:rPr>
                <w:sz w:val="18"/>
              </w:rPr>
              <w:t xml:space="preserve">R4</w:t>
            </w:r>
          </w:p>
        </w:tc>
        <w:tc>
          <w:tcPr>
            <w:tcW w:w="1058" w:type="dxa"/>
          </w:tcPr>
          <w:p>
            <w:pPr>
              <w:pStyle w:val="Compact"/>
              <w:spacing w:after="40"/>
              <w:jc w:val="left"/>
            </w:pPr>
            <w:r>
              <w:rPr>
                <w:sz w:val="18"/>
              </w:rPr>
              <w:t xml:space="preserve">17b</w:t>
            </w:r>
          </w:p>
        </w:tc>
        <w:tc>
          <w:tcPr>
            <w:tcW w:w="1708" w:type="dxa"/>
          </w:tcPr>
          <w:p>
            <w:pPr>
              <w:pStyle w:val="Compact"/>
              <w:spacing w:after="40"/>
              <w:jc w:val="left"/>
            </w:pPr>
            <w:r>
              <w:rPr>
                <w:sz w:val="18"/>
              </w:rPr>
              <w:t xml:space="preserve">Authorised Officer</w:t>
            </w:r>
          </w:p>
        </w:tc>
      </w:tr>
      <w:tr>
        <w:tc>
          <w:tcPr>
            <w:tcW w:w="2065" w:type="dxa"/>
          </w:tcPr>
          <w:p>
            <w:pPr>
              <w:pStyle w:val="Compact"/>
              <w:spacing w:after="40"/>
              <w:jc w:val="left"/>
            </w:pPr>
            <w:r>
              <w:rPr>
                <w:rStyle w:val="VerbatimChar"/>
                <w:sz w:val="18"/>
              </w:rPr>
              <w:t xml:space="preserve">Recovery › Civil and tribunal</w:t>
            </w:r>
          </w:p>
        </w:tc>
        <w:tc>
          <w:tcPr>
            <w:tcW w:w="3749" w:type="dxa"/>
          </w:tcPr>
          <w:p>
            <w:pPr>
              <w:pStyle w:val="Compact"/>
              <w:spacing w:after="40"/>
              <w:jc w:val="left"/>
            </w:pPr>
            <w:r>
              <w:rPr>
                <w:sz w:val="18"/>
              </w:rPr>
              <w:t xml:space="preserve">Suits; DRT where</w:t>
            </w:r>
            <w:r>
              <w:rPr>
                <w:sz w:val="18"/>
              </w:rPr>
              <w:t xml:space="preserve"> </w:t>
            </w:r>
            <w:r>
              <w:rPr>
                <w:rStyle w:val="VerbatimChar"/>
                <w:sz w:val="18"/>
              </w:rPr>
              <w:t xml:space="preserve">rdb_notified</w:t>
            </w:r>
            <w:r>
              <w:rPr>
                <w:sz w:val="18"/>
              </w:rPr>
              <w:t xml:space="preserve">; execution</w:t>
            </w:r>
          </w:p>
        </w:tc>
        <w:tc>
          <w:tcPr>
            <w:tcW w:w="1058" w:type="dxa"/>
          </w:tcPr>
          <w:p>
            <w:pPr>
              <w:pStyle w:val="Compact"/>
              <w:spacing w:after="40"/>
              <w:jc w:val="left"/>
            </w:pPr>
            <w:r>
              <w:rPr>
                <w:sz w:val="18"/>
              </w:rPr>
              <w:t xml:space="preserve">R5</w:t>
            </w:r>
          </w:p>
        </w:tc>
        <w:tc>
          <w:tcPr>
            <w:tcW w:w="1058" w:type="dxa"/>
          </w:tcPr>
          <w:p>
            <w:pPr>
              <w:pStyle w:val="Compact"/>
              <w:spacing w:after="40"/>
              <w:jc w:val="left"/>
            </w:pPr>
            <w:r>
              <w:rPr>
                <w:sz w:val="18"/>
              </w:rPr>
              <w:t xml:space="preserve">17b</w:t>
            </w:r>
          </w:p>
        </w:tc>
        <w:tc>
          <w:tcPr>
            <w:tcW w:w="1708" w:type="dxa"/>
          </w:tcPr>
          <w:p>
            <w:pPr>
              <w:pStyle w:val="Compact"/>
              <w:spacing w:after="40"/>
              <w:jc w:val="left"/>
            </w:pPr>
            <w:r>
              <w:rPr>
                <w:sz w:val="18"/>
              </w:rPr>
              <w:t xml:space="preserve">Legal</w:t>
            </w:r>
          </w:p>
        </w:tc>
      </w:tr>
      <w:tr>
        <w:tc>
          <w:tcPr>
            <w:tcW w:w="2065" w:type="dxa"/>
          </w:tcPr>
          <w:p>
            <w:pPr>
              <w:pStyle w:val="Compact"/>
              <w:spacing w:after="40"/>
              <w:jc w:val="left"/>
            </w:pPr>
            <w:r>
              <w:rPr>
                <w:rStyle w:val="VerbatimChar"/>
                <w:sz w:val="18"/>
              </w:rPr>
              <w:t xml:space="preserve">Recovery › Insolvency</w:t>
            </w:r>
          </w:p>
        </w:tc>
        <w:tc>
          <w:tcPr>
            <w:tcW w:w="3749" w:type="dxa"/>
          </w:tcPr>
          <w:p>
            <w:pPr>
              <w:pStyle w:val="Compact"/>
              <w:spacing w:after="40"/>
              <w:jc w:val="left"/>
            </w:pPr>
            <w:r>
              <w:rPr>
                <w:sz w:val="18"/>
              </w:rPr>
              <w:t xml:space="preserve">IBC claims, CoC votes, personal guarantors</w:t>
            </w:r>
          </w:p>
        </w:tc>
        <w:tc>
          <w:tcPr>
            <w:tcW w:w="1058" w:type="dxa"/>
          </w:tcPr>
          <w:p>
            <w:pPr>
              <w:pStyle w:val="Compact"/>
              <w:spacing w:after="40"/>
              <w:jc w:val="left"/>
            </w:pPr>
            <w:r>
              <w:rPr>
                <w:sz w:val="18"/>
              </w:rPr>
              <w:t xml:space="preserve">R6</w:t>
            </w:r>
          </w:p>
        </w:tc>
        <w:tc>
          <w:tcPr>
            <w:tcW w:w="1058" w:type="dxa"/>
          </w:tcPr>
          <w:p>
            <w:pPr>
              <w:pStyle w:val="Compact"/>
              <w:spacing w:after="40"/>
              <w:jc w:val="left"/>
            </w:pPr>
            <w:r>
              <w:rPr>
                <w:sz w:val="18"/>
              </w:rPr>
              <w:t xml:space="preserve">17b</w:t>
            </w:r>
          </w:p>
        </w:tc>
        <w:tc>
          <w:tcPr>
            <w:tcW w:w="1708" w:type="dxa"/>
          </w:tcPr>
          <w:p>
            <w:pPr>
              <w:pStyle w:val="Compact"/>
              <w:spacing w:after="40"/>
              <w:jc w:val="left"/>
            </w:pPr>
            <w:r>
              <w:rPr>
                <w:sz w:val="18"/>
              </w:rPr>
              <w:t xml:space="preserve">Legal, credit head</w:t>
            </w:r>
          </w:p>
        </w:tc>
      </w:tr>
      <w:tr>
        <w:tc>
          <w:tcPr>
            <w:tcW w:w="2065" w:type="dxa"/>
          </w:tcPr>
          <w:p>
            <w:pPr>
              <w:pStyle w:val="Compact"/>
              <w:spacing w:after="40"/>
              <w:jc w:val="left"/>
            </w:pPr>
            <w:r>
              <w:rPr>
                <w:rStyle w:val="VerbatimChar"/>
                <w:sz w:val="18"/>
              </w:rPr>
              <w:t xml:space="preserve">Recovery › Settlement and ADR</w:t>
            </w:r>
          </w:p>
        </w:tc>
        <w:tc>
          <w:tcPr>
            <w:tcW w:w="3749" w:type="dxa"/>
          </w:tcPr>
          <w:p>
            <w:pPr>
              <w:pStyle w:val="Compact"/>
              <w:spacing w:after="40"/>
              <w:jc w:val="left"/>
            </w:pPr>
            <w:r>
              <w:rPr>
                <w:sz w:val="18"/>
              </w:rPr>
              <w:t xml:space="preserve">Proposals with NPV and approval route (sanctioning officials excluded); conciliation, mediation, arbitration gates, Lok Adalat; Equator referrals</w:t>
            </w:r>
          </w:p>
        </w:tc>
        <w:tc>
          <w:tcPr>
            <w:tcW w:w="1058" w:type="dxa"/>
          </w:tcPr>
          <w:p>
            <w:pPr>
              <w:pStyle w:val="Compact"/>
              <w:spacing w:after="40"/>
              <w:jc w:val="left"/>
            </w:pPr>
            <w:r>
              <w:rPr>
                <w:sz w:val="18"/>
              </w:rPr>
              <w:t xml:space="preserve">R8</w:t>
            </w:r>
          </w:p>
        </w:tc>
        <w:tc>
          <w:tcPr>
            <w:tcW w:w="1058" w:type="dxa"/>
          </w:tcPr>
          <w:p>
            <w:pPr>
              <w:pStyle w:val="Compact"/>
              <w:spacing w:after="40"/>
              <w:jc w:val="left"/>
            </w:pPr>
            <w:r>
              <w:rPr>
                <w:sz w:val="18"/>
              </w:rPr>
              <w:t xml:space="preserve">12b</w:t>
            </w:r>
          </w:p>
        </w:tc>
        <w:tc>
          <w:tcPr>
            <w:tcW w:w="1708" w:type="dxa"/>
          </w:tcPr>
          <w:p>
            <w:pPr>
              <w:pStyle w:val="Compact"/>
              <w:spacing w:after="40"/>
              <w:jc w:val="left"/>
            </w:pPr>
            <w:r>
              <w:rPr>
                <w:sz w:val="18"/>
              </w:rPr>
              <w:t xml:space="preserve">Recovery head, approvers</w:t>
            </w:r>
          </w:p>
        </w:tc>
      </w:tr>
      <w:tr>
        <w:tc>
          <w:tcPr>
            <w:tcW w:w="2065" w:type="dxa"/>
          </w:tcPr>
          <w:p>
            <w:pPr>
              <w:pStyle w:val="Compact"/>
              <w:spacing w:after="40"/>
              <w:jc w:val="left"/>
            </w:pPr>
            <w:r>
              <w:rPr>
                <w:rStyle w:val="VerbatimChar"/>
                <w:sz w:val="18"/>
              </w:rPr>
              <w:t xml:space="preserve">Recovery › Litigation</w:t>
            </w:r>
          </w:p>
        </w:tc>
        <w:tc>
          <w:tcPr>
            <w:tcW w:w="3749" w:type="dxa"/>
          </w:tcPr>
          <w:p>
            <w:pPr>
              <w:pStyle w:val="Compact"/>
              <w:spacing w:after="40"/>
              <w:jc w:val="left"/>
            </w:pPr>
            <w:r>
              <w:rPr>
                <w:sz w:val="18"/>
              </w:rPr>
              <w:t xml:space="preserve">Matters, hearings, orders, counsel portal</w:t>
            </w:r>
          </w:p>
        </w:tc>
        <w:tc>
          <w:tcPr>
            <w:tcW w:w="1058" w:type="dxa"/>
          </w:tcPr>
          <w:p>
            <w:pPr>
              <w:pStyle w:val="Compact"/>
              <w:spacing w:after="40"/>
              <w:jc w:val="left"/>
            </w:pPr>
            <w:r>
              <w:rPr>
                <w:sz w:val="18"/>
              </w:rPr>
              <w:t xml:space="preserve">R9</w:t>
            </w:r>
          </w:p>
        </w:tc>
        <w:tc>
          <w:tcPr>
            <w:tcW w:w="1058" w:type="dxa"/>
          </w:tcPr>
          <w:p>
            <w:pPr>
              <w:pStyle w:val="Compact"/>
              <w:spacing w:after="40"/>
              <w:jc w:val="left"/>
            </w:pPr>
            <w:r>
              <w:rPr>
                <w:sz w:val="18"/>
              </w:rPr>
              <w:t xml:space="preserve">12</w:t>
            </w:r>
          </w:p>
        </w:tc>
        <w:tc>
          <w:tcPr>
            <w:tcW w:w="1708" w:type="dxa"/>
          </w:tcPr>
          <w:p>
            <w:pPr>
              <w:pStyle w:val="Compact"/>
              <w:spacing w:after="40"/>
              <w:jc w:val="left"/>
            </w:pPr>
            <w:r>
              <w:rPr>
                <w:sz w:val="18"/>
              </w:rPr>
              <w:t xml:space="preserve">Legal; counsel (assigned)</w:t>
            </w:r>
          </w:p>
        </w:tc>
      </w:tr>
      <w:tr>
        <w:tc>
          <w:tcPr>
            <w:tcW w:w="2065" w:type="dxa"/>
          </w:tcPr>
          <w:p>
            <w:pPr>
              <w:pStyle w:val="Compact"/>
              <w:spacing w:after="40"/>
              <w:jc w:val="left"/>
            </w:pPr>
            <w:r>
              <w:rPr>
                <w:rStyle w:val="VerbatimChar"/>
                <w:sz w:val="18"/>
              </w:rPr>
              <w:t xml:space="preserve">Recovery › Repossession and auctions</w:t>
            </w:r>
          </w:p>
        </w:tc>
        <w:tc>
          <w:tcPr>
            <w:tcW w:w="3749" w:type="dxa"/>
          </w:tcPr>
          <w:p>
            <w:pPr>
              <w:pStyle w:val="Compact"/>
              <w:spacing w:after="40"/>
              <w:jc w:val="left"/>
            </w:pPr>
            <w:r>
              <w:rPr>
                <w:sz w:val="18"/>
              </w:rPr>
              <w:t xml:space="preserve">Vehicles, gold (reserve floors), securities, deposits, receivables; auctions; surplus and shortfall</w:t>
            </w:r>
          </w:p>
        </w:tc>
        <w:tc>
          <w:tcPr>
            <w:tcW w:w="1058" w:type="dxa"/>
          </w:tcPr>
          <w:p>
            <w:pPr>
              <w:pStyle w:val="Compact"/>
              <w:spacing w:after="40"/>
              <w:jc w:val="left"/>
            </w:pPr>
            <w:r>
              <w:rPr>
                <w:sz w:val="18"/>
              </w:rPr>
              <w:t xml:space="preserve">R10</w:t>
            </w:r>
          </w:p>
        </w:tc>
        <w:tc>
          <w:tcPr>
            <w:tcW w:w="1058" w:type="dxa"/>
          </w:tcPr>
          <w:p>
            <w:pPr>
              <w:pStyle w:val="Compact"/>
              <w:spacing w:after="40"/>
              <w:jc w:val="left"/>
            </w:pPr>
            <w:r>
              <w:rPr>
                <w:sz w:val="18"/>
              </w:rPr>
              <w:t xml:space="preserve">17b</w:t>
            </w:r>
          </w:p>
        </w:tc>
        <w:tc>
          <w:tcPr>
            <w:tcW w:w="1708" w:type="dxa"/>
          </w:tcPr>
          <w:p>
            <w:pPr>
              <w:pStyle w:val="Compact"/>
              <w:spacing w:after="40"/>
              <w:jc w:val="left"/>
            </w:pPr>
            <w:r>
              <w:rPr>
                <w:sz w:val="18"/>
              </w:rPr>
              <w:t xml:space="preserve">Recovery managers</w:t>
            </w:r>
          </w:p>
        </w:tc>
      </w:tr>
      <w:tr>
        <w:tc>
          <w:tcPr>
            <w:tcW w:w="2065" w:type="dxa"/>
          </w:tcPr>
          <w:p>
            <w:pPr>
              <w:pStyle w:val="Compact"/>
              <w:spacing w:after="40"/>
              <w:jc w:val="left"/>
            </w:pPr>
            <w:r>
              <w:rPr>
                <w:rStyle w:val="VerbatimChar"/>
                <w:sz w:val="18"/>
              </w:rPr>
              <w:t xml:space="preserve">Recovery › Counsel and vendors</w:t>
            </w:r>
          </w:p>
        </w:tc>
        <w:tc>
          <w:tcPr>
            <w:tcW w:w="3749" w:type="dxa"/>
          </w:tcPr>
          <w:p>
            <w:pPr>
              <w:pStyle w:val="Compact"/>
              <w:spacing w:after="40"/>
              <w:jc w:val="left"/>
            </w:pPr>
            <w:r>
              <w:rPr>
                <w:sz w:val="18"/>
              </w:rPr>
              <w:t xml:space="preserve">Empanelment, allocation, invoices, scorecards, conflicts</w:t>
            </w:r>
          </w:p>
        </w:tc>
        <w:tc>
          <w:tcPr>
            <w:tcW w:w="1058" w:type="dxa"/>
          </w:tcPr>
          <w:p>
            <w:pPr>
              <w:pStyle w:val="Compact"/>
              <w:spacing w:after="40"/>
              <w:jc w:val="left"/>
            </w:pPr>
            <w:r>
              <w:rPr>
                <w:sz w:val="18"/>
              </w:rPr>
              <w:t xml:space="preserve">R11</w:t>
            </w:r>
          </w:p>
        </w:tc>
        <w:tc>
          <w:tcPr>
            <w:tcW w:w="1058" w:type="dxa"/>
          </w:tcPr>
          <w:p>
            <w:pPr>
              <w:pStyle w:val="Compact"/>
              <w:spacing w:after="40"/>
              <w:jc w:val="left"/>
            </w:pPr>
            <w:r>
              <w:rPr>
                <w:sz w:val="18"/>
              </w:rPr>
              <w:t xml:space="preserve">12</w:t>
            </w:r>
          </w:p>
        </w:tc>
        <w:tc>
          <w:tcPr>
            <w:tcW w:w="1708" w:type="dxa"/>
          </w:tcPr>
          <w:p>
            <w:pPr>
              <w:pStyle w:val="Compact"/>
              <w:spacing w:after="40"/>
              <w:jc w:val="left"/>
            </w:pPr>
            <w:r>
              <w:rPr>
                <w:sz w:val="18"/>
              </w:rPr>
              <w:t xml:space="preserve">Legal head</w:t>
            </w:r>
          </w:p>
        </w:tc>
      </w:tr>
      <w:tr>
        <w:tc>
          <w:tcPr>
            <w:tcW w:w="2065" w:type="dxa"/>
          </w:tcPr>
          <w:p>
            <w:pPr>
              <w:pStyle w:val="Compact"/>
              <w:spacing w:after="40"/>
              <w:jc w:val="left"/>
            </w:pPr>
            <w:r>
              <w:rPr>
                <w:rStyle w:val="VerbatimChar"/>
                <w:sz w:val="18"/>
              </w:rPr>
              <w:t xml:space="preserve">Recovery › Accounting</w:t>
            </w:r>
          </w:p>
        </w:tc>
        <w:tc>
          <w:tcPr>
            <w:tcW w:w="3749" w:type="dxa"/>
          </w:tcPr>
          <w:p>
            <w:pPr>
              <w:pStyle w:val="Compact"/>
              <w:spacing w:after="40"/>
              <w:jc w:val="left"/>
            </w:pPr>
            <w:r>
              <w:rPr>
                <w:sz w:val="18"/>
              </w:rPr>
              <w:t xml:space="preserve">Appropriation, legal-cost memo ledger, post-write-off recoveries</w:t>
            </w:r>
          </w:p>
        </w:tc>
        <w:tc>
          <w:tcPr>
            <w:tcW w:w="1058" w:type="dxa"/>
          </w:tcPr>
          <w:p>
            <w:pPr>
              <w:pStyle w:val="Compact"/>
              <w:spacing w:after="40"/>
              <w:jc w:val="left"/>
            </w:pPr>
            <w:r>
              <w:rPr>
                <w:sz w:val="18"/>
              </w:rPr>
              <w:t xml:space="preserve">R12</w:t>
            </w:r>
          </w:p>
        </w:tc>
        <w:tc>
          <w:tcPr>
            <w:tcW w:w="1058" w:type="dxa"/>
          </w:tcPr>
          <w:p>
            <w:pPr>
              <w:pStyle w:val="Compact"/>
              <w:spacing w:after="40"/>
              <w:jc w:val="left"/>
            </w:pPr>
            <w:r>
              <w:rPr>
                <w:sz w:val="18"/>
              </w:rPr>
              <w:t xml:space="preserve">12</w:t>
            </w:r>
          </w:p>
        </w:tc>
        <w:tc>
          <w:tcPr>
            <w:tcW w:w="1708" w:type="dxa"/>
          </w:tcPr>
          <w:p>
            <w:pPr>
              <w:pStyle w:val="Compact"/>
              <w:spacing w:after="40"/>
              <w:jc w:val="left"/>
            </w:pPr>
            <w:r>
              <w:rPr>
                <w:sz w:val="18"/>
              </w:rPr>
              <w:t xml:space="preserve">Recovery finance</w:t>
            </w:r>
          </w:p>
        </w:tc>
      </w:tr>
      <w:tr>
        <w:tc>
          <w:tcPr>
            <w:tcW w:w="2065" w:type="dxa"/>
          </w:tcPr>
          <w:p>
            <w:pPr>
              <w:pStyle w:val="Compact"/>
              <w:spacing w:after="40"/>
              <w:jc w:val="left"/>
            </w:pPr>
            <w:r>
              <w:rPr>
                <w:rStyle w:val="VerbatimChar"/>
                <w:sz w:val="18"/>
              </w:rPr>
              <w:t xml:space="preserve">Recovery › Shared exposures</w:t>
            </w:r>
          </w:p>
        </w:tc>
        <w:tc>
          <w:tcPr>
            <w:tcW w:w="3749" w:type="dxa"/>
          </w:tcPr>
          <w:p>
            <w:pPr>
              <w:pStyle w:val="Compact"/>
              <w:spacing w:after="40"/>
              <w:jc w:val="left"/>
            </w:pPr>
            <w:r>
              <w:rPr>
                <w:sz w:val="18"/>
              </w:rPr>
              <w:t xml:space="preserve">Decision registry for co-lent, transferred, securitised, ARC-sold and consortium accounts</w:t>
            </w:r>
          </w:p>
        </w:tc>
        <w:tc>
          <w:tcPr>
            <w:tcW w:w="1058" w:type="dxa"/>
          </w:tcPr>
          <w:p>
            <w:pPr>
              <w:pStyle w:val="Compact"/>
              <w:spacing w:after="40"/>
              <w:jc w:val="left"/>
            </w:pPr>
            <w:r>
              <w:rPr>
                <w:sz w:val="18"/>
              </w:rPr>
              <w:t xml:space="preserve">R13</w:t>
            </w:r>
          </w:p>
        </w:tc>
        <w:tc>
          <w:tcPr>
            <w:tcW w:w="1058" w:type="dxa"/>
          </w:tcPr>
          <w:p>
            <w:pPr>
              <w:pStyle w:val="Compact"/>
              <w:spacing w:after="40"/>
              <w:jc w:val="left"/>
            </w:pPr>
            <w:r>
              <w:rPr>
                <w:sz w:val="18"/>
              </w:rPr>
              <w:t xml:space="preserve">17b</w:t>
            </w:r>
          </w:p>
        </w:tc>
        <w:tc>
          <w:tcPr>
            <w:tcW w:w="1708" w:type="dxa"/>
          </w:tcPr>
          <w:p>
            <w:pPr>
              <w:pStyle w:val="Compact"/>
              <w:spacing w:after="40"/>
              <w:jc w:val="left"/>
            </w:pPr>
            <w:r>
              <w:rPr>
                <w:sz w:val="18"/>
              </w:rPr>
              <w:t xml:space="preserve">Portfolio ops, legal</w:t>
            </w:r>
          </w:p>
        </w:tc>
      </w:tr>
      <w:tr>
        <w:tc>
          <w:tcPr>
            <w:tcW w:w="2065" w:type="dxa"/>
          </w:tcPr>
          <w:p>
            <w:pPr>
              <w:pStyle w:val="Compact"/>
              <w:spacing w:after="40"/>
              <w:jc w:val="left"/>
            </w:pPr>
            <w:r>
              <w:rPr>
                <w:rStyle w:val="VerbatimChar"/>
                <w:sz w:val="18"/>
              </w:rPr>
              <w:t xml:space="preserve">Recovery › Stressed-loan sales and purchases</w:t>
            </w:r>
          </w:p>
        </w:tc>
        <w:tc>
          <w:tcPr>
            <w:tcW w:w="3749" w:type="dxa"/>
          </w:tcPr>
          <w:p>
            <w:pPr>
              <w:pStyle w:val="Compact"/>
              <w:spacing w:after="40"/>
              <w:jc w:val="left"/>
            </w:pPr>
            <w:r>
              <w:rPr>
                <w:sz w:val="18"/>
              </w:rPr>
              <w:t xml:space="preserve">NBFC-side workflow with the 6-month hold (GR-7G-09)</w:t>
            </w:r>
          </w:p>
        </w:tc>
        <w:tc>
          <w:tcPr>
            <w:tcW w:w="1058" w:type="dxa"/>
          </w:tcPr>
          <w:p>
            <w:pPr>
              <w:pStyle w:val="Compact"/>
              <w:spacing w:after="40"/>
              <w:jc w:val="left"/>
            </w:pPr>
            <w:r>
              <w:rPr>
                <w:sz w:val="18"/>
              </w:rPr>
              <w:t xml:space="preserve">IP5, M11</w:t>
            </w:r>
          </w:p>
        </w:tc>
        <w:tc>
          <w:tcPr>
            <w:tcW w:w="1058" w:type="dxa"/>
          </w:tcPr>
          <w:p>
            <w:pPr>
              <w:pStyle w:val="Compact"/>
              <w:spacing w:after="40"/>
              <w:jc w:val="left"/>
            </w:pPr>
            <w:r>
              <w:rPr>
                <w:sz w:val="18"/>
              </w:rPr>
              <w:t xml:space="preserve">17d</w:t>
            </w:r>
          </w:p>
        </w:tc>
        <w:tc>
          <w:tcPr>
            <w:tcW w:w="1708" w:type="dxa"/>
          </w:tcPr>
          <w:p>
            <w:pPr>
              <w:pStyle w:val="Compact"/>
              <w:spacing w:after="40"/>
              <w:jc w:val="left"/>
            </w:pPr>
            <w:r>
              <w:rPr>
                <w:sz w:val="18"/>
              </w:rPr>
              <w:t xml:space="preserve">Credit head</w:t>
            </w:r>
          </w:p>
        </w:tc>
      </w:tr>
      <w:tr>
        <w:tc>
          <w:tcPr>
            <w:tcW w:w="2065" w:type="dxa"/>
          </w:tcPr>
          <w:p>
            <w:pPr>
              <w:pStyle w:val="Compact"/>
              <w:spacing w:after="40"/>
              <w:jc w:val="left"/>
            </w:pPr>
            <w:r>
              <w:rPr>
                <w:rStyle w:val="VerbatimChar"/>
                <w:sz w:val="18"/>
              </w:rPr>
              <w:t xml:space="preserve">Recovery › Wilful defaulters</w:t>
            </w:r>
          </w:p>
        </w:tc>
        <w:tc>
          <w:tcPr>
            <w:tcW w:w="3749" w:type="dxa"/>
          </w:tcPr>
          <w:p>
            <w:pPr>
              <w:pStyle w:val="Compact"/>
              <w:spacing w:after="40"/>
              <w:jc w:val="left"/>
            </w:pPr>
            <w:r>
              <w:rPr>
                <w:sz w:val="18"/>
              </w:rPr>
              <w:t xml:space="preserve">Committee workflow, show-cause clocks, LWD files</w:t>
            </w:r>
          </w:p>
        </w:tc>
        <w:tc>
          <w:tcPr>
            <w:tcW w:w="1058" w:type="dxa"/>
          </w:tcPr>
          <w:p>
            <w:pPr>
              <w:pStyle w:val="Compact"/>
              <w:spacing w:after="40"/>
              <w:jc w:val="left"/>
            </w:pPr>
            <w:r>
              <w:rPr>
                <w:sz w:val="18"/>
              </w:rPr>
              <w:t xml:space="preserve">R15.6</w:t>
            </w:r>
          </w:p>
        </w:tc>
        <w:tc>
          <w:tcPr>
            <w:tcW w:w="1058" w:type="dxa"/>
          </w:tcPr>
          <w:p>
            <w:pPr>
              <w:pStyle w:val="Compact"/>
              <w:spacing w:after="40"/>
              <w:jc w:val="left"/>
            </w:pPr>
            <w:r>
              <w:rPr>
                <w:sz w:val="18"/>
              </w:rPr>
              <w:t xml:space="preserve">12</w:t>
            </w:r>
          </w:p>
        </w:tc>
        <w:tc>
          <w:tcPr>
            <w:tcW w:w="1708" w:type="dxa"/>
          </w:tcPr>
          <w:p>
            <w:pPr>
              <w:pStyle w:val="Compact"/>
              <w:spacing w:after="40"/>
              <w:jc w:val="left"/>
            </w:pPr>
            <w:r>
              <w:rPr>
                <w:sz w:val="18"/>
              </w:rPr>
              <w:t xml:space="preserve">WD committees, CS</w:t>
            </w:r>
          </w:p>
        </w:tc>
      </w:tr>
      <w:tr>
        <w:tc>
          <w:tcPr>
            <w:tcW w:w="2065" w:type="dxa"/>
          </w:tcPr>
          <w:p>
            <w:pPr>
              <w:pStyle w:val="Compact"/>
              <w:spacing w:after="40"/>
              <w:jc w:val="left"/>
            </w:pPr>
            <w:r>
              <w:rPr>
                <w:rStyle w:val="VerbatimChar"/>
                <w:sz w:val="18"/>
              </w:rPr>
              <w:t xml:space="preserve">Recovery › Registers and reports</w:t>
            </w:r>
          </w:p>
        </w:tc>
        <w:tc>
          <w:tcPr>
            <w:tcW w:w="3749" w:type="dxa"/>
          </w:tcPr>
          <w:p>
            <w:pPr>
              <w:pStyle w:val="Compact"/>
              <w:spacing w:after="40"/>
              <w:jc w:val="left"/>
            </w:pPr>
            <w:r>
              <w:rPr>
                <w:sz w:val="18"/>
              </w:rPr>
              <w:t xml:space="preserve">R14 registers, KPIs, exports</w:t>
            </w:r>
          </w:p>
        </w:tc>
        <w:tc>
          <w:tcPr>
            <w:tcW w:w="1058" w:type="dxa"/>
          </w:tcPr>
          <w:p>
            <w:pPr>
              <w:pStyle w:val="Compact"/>
              <w:spacing w:after="40"/>
              <w:jc w:val="left"/>
            </w:pPr>
            <w:r>
              <w:rPr>
                <w:sz w:val="18"/>
              </w:rPr>
              <w:t xml:space="preserve">R14</w:t>
            </w:r>
          </w:p>
        </w:tc>
        <w:tc>
          <w:tcPr>
            <w:tcW w:w="1058" w:type="dxa"/>
          </w:tcPr>
          <w:p>
            <w:pPr>
              <w:pStyle w:val="Compact"/>
              <w:spacing w:after="40"/>
              <w:jc w:val="left"/>
            </w:pPr>
            <w:r>
              <w:rPr>
                <w:sz w:val="18"/>
              </w:rPr>
              <w:t xml:space="preserve">12</w:t>
            </w:r>
          </w:p>
        </w:tc>
        <w:tc>
          <w:tcPr>
            <w:tcW w:w="1708" w:type="dxa"/>
          </w:tcPr>
          <w:p>
            <w:pPr>
              <w:pStyle w:val="Compact"/>
              <w:spacing w:after="40"/>
              <w:jc w:val="left"/>
            </w:pPr>
            <w:r>
              <w:rPr>
                <w:sz w:val="18"/>
              </w:rPr>
              <w:t xml:space="preserve">Recovery head; auditors (read)</w:t>
            </w:r>
          </w:p>
        </w:tc>
      </w:tr>
      <w:tr>
        <w:tc>
          <w:tcPr>
            <w:tcW w:w="2065" w:type="dxa"/>
          </w:tcPr>
          <w:p>
            <w:pPr>
              <w:pStyle w:val="Compact"/>
              <w:spacing w:after="40"/>
              <w:jc w:val="left"/>
            </w:pPr>
            <w:r>
              <w:rPr>
                <w:rStyle w:val="VerbatimChar"/>
                <w:sz w:val="18"/>
              </w:rPr>
              <w:t xml:space="preserve">Recovery › Playbooks</w:t>
            </w:r>
          </w:p>
        </w:tc>
        <w:tc>
          <w:tcPr>
            <w:tcW w:w="3749" w:type="dxa"/>
          </w:tcPr>
          <w:p>
            <w:pPr>
              <w:pStyle w:val="Compact"/>
              <w:spacing w:after="40"/>
              <w:jc w:val="left"/>
            </w:pPr>
            <w:r>
              <w:rPr>
                <w:sz w:val="18"/>
              </w:rPr>
              <w:t xml:space="preserve">Product playbooks; guard-rail steps locked</w:t>
            </w:r>
          </w:p>
        </w:tc>
        <w:tc>
          <w:tcPr>
            <w:tcW w:w="1058" w:type="dxa"/>
          </w:tcPr>
          <w:p>
            <w:pPr>
              <w:pStyle w:val="Compact"/>
              <w:spacing w:after="40"/>
              <w:jc w:val="left"/>
            </w:pPr>
            <w:r>
              <w:rPr>
                <w:sz w:val="18"/>
              </w:rPr>
              <w:t xml:space="preserve">R16</w:t>
            </w:r>
          </w:p>
        </w:tc>
        <w:tc>
          <w:tcPr>
            <w:tcW w:w="1058" w:type="dxa"/>
          </w:tcPr>
          <w:p>
            <w:pPr>
              <w:pStyle w:val="Compact"/>
              <w:spacing w:after="40"/>
              <w:jc w:val="left"/>
            </w:pPr>
            <w:r>
              <w:rPr>
                <w:sz w:val="18"/>
              </w:rPr>
              <w:t xml:space="preserve">17b</w:t>
            </w:r>
          </w:p>
        </w:tc>
        <w:tc>
          <w:tcPr>
            <w:tcW w:w="1708" w:type="dxa"/>
          </w:tcPr>
          <w:p>
            <w:pPr>
              <w:pStyle w:val="Compact"/>
              <w:spacing w:after="40"/>
              <w:jc w:val="left"/>
            </w:pPr>
            <w:r>
              <w:rPr>
                <w:sz w:val="18"/>
              </w:rPr>
              <w:t xml:space="preserve">Recovery head</w:t>
            </w:r>
          </w:p>
        </w:tc>
      </w:tr>
    </w:tbl>
    <w:bookmarkEnd w:id="915"/>
    <w:bookmarkStart w:id="916" w:name="g.3.8-payments-payments"/>
    <w:p>
      <w:pPr>
        <w:pStyle w:val="Heading3"/>
      </w:pPr>
      <w:r>
        <w:t xml:space="preserve">G.3.8 Payments (</w:t>
      </w:r>
      <w:r>
        <w:rPr>
          <w:rStyle w:val="VerbatimChar"/>
        </w:rPr>
        <w:t xml:space="preserve">payments</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35"/>
        <w:gridCol w:w="3443"/>
        <w:gridCol w:w="1468"/>
        <w:gridCol w:w="1248"/>
        <w:gridCol w:w="1644"/>
      </w:tblGrid>
      <w:tr>
        <w:trPr>
          <w:tblHeader w:val="true"/>
          <w:tblHeader w:val="true"/>
        </w:trPr>
        <w:tc>
          <w:tcPr>
            <w:tcW w:w="1835" w:type="dxa"/>
            <w:shd w:val="clear" w:color="auto" w:fill="1F3A5F"/>
          </w:tcPr>
          <w:p>
            <w:pPr>
              <w:pStyle w:val="Compact"/>
              <w:spacing w:after="40"/>
              <w:jc w:val="left"/>
            </w:pPr>
            <w:r>
              <w:rPr>
                <w:b/>
                <w:color w:val="FFFFFF"/>
                <w:sz w:val="18"/>
              </w:rPr>
              <w:t xml:space="preserve">Path</w:t>
            </w:r>
          </w:p>
        </w:tc>
        <w:tc>
          <w:tcPr>
            <w:tcW w:w="3443" w:type="dxa"/>
            <w:shd w:val="clear" w:color="auto" w:fill="1F3A5F"/>
          </w:tcPr>
          <w:p>
            <w:pPr>
              <w:pStyle w:val="Compact"/>
              <w:spacing w:after="40"/>
              <w:jc w:val="left"/>
            </w:pPr>
            <w:r>
              <w:rPr>
                <w:b/>
                <w:color w:val="FFFFFF"/>
                <w:sz w:val="18"/>
              </w:rPr>
              <w:t xml:space="preserve">Screens and key actions</w:t>
            </w:r>
          </w:p>
        </w:tc>
        <w:tc>
          <w:tcPr>
            <w:tcW w:w="1468" w:type="dxa"/>
            <w:shd w:val="clear" w:color="auto" w:fill="1F3A5F"/>
          </w:tcPr>
          <w:p>
            <w:pPr>
              <w:pStyle w:val="Compact"/>
              <w:spacing w:after="40"/>
              <w:jc w:val="left"/>
            </w:pPr>
            <w:r>
              <w:rPr>
                <w:b/>
                <w:color w:val="FFFFFF"/>
                <w:sz w:val="18"/>
              </w:rPr>
              <w:t xml:space="preserve">Owner</w:t>
            </w:r>
          </w:p>
        </w:tc>
        <w:tc>
          <w:tcPr>
            <w:tcW w:w="1248" w:type="dxa"/>
            <w:shd w:val="clear" w:color="auto" w:fill="1F3A5F"/>
          </w:tcPr>
          <w:p>
            <w:pPr>
              <w:pStyle w:val="Compact"/>
              <w:spacing w:after="40"/>
              <w:jc w:val="left"/>
            </w:pPr>
            <w:r>
              <w:rPr>
                <w:b/>
                <w:color w:val="FFFFFF"/>
                <w:sz w:val="18"/>
              </w:rPr>
              <w:t xml:space="preserve">Phase</w:t>
            </w:r>
          </w:p>
        </w:tc>
        <w:tc>
          <w:tcPr>
            <w:tcW w:w="1644" w:type="dxa"/>
            <w:shd w:val="clear" w:color="auto" w:fill="1F3A5F"/>
          </w:tcPr>
          <w:p>
            <w:pPr>
              <w:pStyle w:val="Compact"/>
              <w:spacing w:after="40"/>
              <w:jc w:val="left"/>
            </w:pPr>
            <w:r>
              <w:rPr>
                <w:b/>
                <w:color w:val="FFFFFF"/>
                <w:sz w:val="18"/>
              </w:rPr>
              <w:t xml:space="preserve">Roles</w:t>
            </w:r>
          </w:p>
        </w:tc>
      </w:tr>
      <w:tr>
        <w:tc>
          <w:tcPr>
            <w:tcW w:w="1835" w:type="dxa"/>
          </w:tcPr>
          <w:p>
            <w:pPr>
              <w:pStyle w:val="Compact"/>
              <w:spacing w:after="40"/>
              <w:jc w:val="left"/>
            </w:pPr>
            <w:r>
              <w:rPr>
                <w:rStyle w:val="VerbatimChar"/>
                <w:sz w:val="18"/>
              </w:rPr>
              <w:t xml:space="preserve">Payments › Mandates</w:t>
            </w:r>
          </w:p>
        </w:tc>
        <w:tc>
          <w:tcPr>
            <w:tcW w:w="3443" w:type="dxa"/>
          </w:tcPr>
          <w:p>
            <w:pPr>
              <w:pStyle w:val="Compact"/>
              <w:spacing w:after="40"/>
              <w:jc w:val="left"/>
            </w:pPr>
            <w:r>
              <w:rPr>
                <w:sz w:val="18"/>
              </w:rPr>
              <w:t xml:space="preserve">eNACH, NACH, UPI AutoPay lifecycle by UMRN; failures</w:t>
            </w:r>
          </w:p>
        </w:tc>
        <w:tc>
          <w:tcPr>
            <w:tcW w:w="1468" w:type="dxa"/>
          </w:tcPr>
          <w:p>
            <w:pPr>
              <w:pStyle w:val="Compact"/>
              <w:spacing w:after="40"/>
              <w:jc w:val="left"/>
            </w:pPr>
            <w:r>
              <w:rPr>
                <w:sz w:val="18"/>
              </w:rPr>
              <w:t xml:space="preserve">M7</w:t>
            </w:r>
          </w:p>
        </w:tc>
        <w:tc>
          <w:tcPr>
            <w:tcW w:w="1248" w:type="dxa"/>
          </w:tcPr>
          <w:p>
            <w:pPr>
              <w:pStyle w:val="Compact"/>
              <w:spacing w:after="40"/>
              <w:jc w:val="left"/>
            </w:pPr>
            <w:r>
              <w:rPr>
                <w:sz w:val="18"/>
              </w:rPr>
              <w:t xml:space="preserve">8; 10</w:t>
            </w:r>
          </w:p>
        </w:tc>
        <w:tc>
          <w:tcPr>
            <w:tcW w:w="1644" w:type="dxa"/>
          </w:tcPr>
          <w:p>
            <w:pPr>
              <w:pStyle w:val="Compact"/>
              <w:spacing w:after="40"/>
              <w:jc w:val="left"/>
            </w:pPr>
            <w:r>
              <w:rPr>
                <w:sz w:val="18"/>
              </w:rPr>
              <w:t xml:space="preserve">Operations</w:t>
            </w:r>
          </w:p>
        </w:tc>
      </w:tr>
      <w:tr>
        <w:tc>
          <w:tcPr>
            <w:tcW w:w="1835" w:type="dxa"/>
          </w:tcPr>
          <w:p>
            <w:pPr>
              <w:pStyle w:val="Compact"/>
              <w:spacing w:after="40"/>
              <w:jc w:val="left"/>
            </w:pPr>
            <w:r>
              <w:rPr>
                <w:rStyle w:val="VerbatimChar"/>
                <w:sz w:val="18"/>
              </w:rPr>
              <w:t xml:space="preserve">Payments › Presentations</w:t>
            </w:r>
          </w:p>
        </w:tc>
        <w:tc>
          <w:tcPr>
            <w:tcW w:w="3443" w:type="dxa"/>
          </w:tcPr>
          <w:p>
            <w:pPr>
              <w:pStyle w:val="Compact"/>
              <w:spacing w:after="40"/>
              <w:jc w:val="left"/>
            </w:pPr>
            <w:r>
              <w:rPr>
                <w:sz w:val="18"/>
              </w:rPr>
              <w:t xml:space="preserve">Batches per sponsor bank (T−1 cut-off); re-presentation; bounces</w:t>
            </w:r>
          </w:p>
        </w:tc>
        <w:tc>
          <w:tcPr>
            <w:tcW w:w="1468" w:type="dxa"/>
          </w:tcPr>
          <w:p>
            <w:pPr>
              <w:pStyle w:val="Compact"/>
              <w:spacing w:after="40"/>
              <w:jc w:val="left"/>
            </w:pPr>
            <w:r>
              <w:rPr>
                <w:sz w:val="18"/>
              </w:rPr>
              <w:t xml:space="preserve">M7</w:t>
            </w:r>
          </w:p>
        </w:tc>
        <w:tc>
          <w:tcPr>
            <w:tcW w:w="1248" w:type="dxa"/>
          </w:tcPr>
          <w:p>
            <w:pPr>
              <w:pStyle w:val="Compact"/>
              <w:spacing w:after="40"/>
              <w:jc w:val="left"/>
            </w:pPr>
            <w:r>
              <w:rPr>
                <w:sz w:val="18"/>
              </w:rPr>
              <w:t xml:space="preserve">10</w:t>
            </w:r>
          </w:p>
        </w:tc>
        <w:tc>
          <w:tcPr>
            <w:tcW w:w="1644" w:type="dxa"/>
          </w:tcPr>
          <w:p>
            <w:pPr>
              <w:pStyle w:val="Compact"/>
              <w:spacing w:after="40"/>
              <w:jc w:val="left"/>
            </w:pPr>
            <w:r>
              <w:rPr>
                <w:sz w:val="18"/>
              </w:rPr>
              <w:t xml:space="preserve">Ops; finance checker</w:t>
            </w:r>
          </w:p>
        </w:tc>
      </w:tr>
      <w:tr>
        <w:tc>
          <w:tcPr>
            <w:tcW w:w="1835" w:type="dxa"/>
          </w:tcPr>
          <w:p>
            <w:pPr>
              <w:pStyle w:val="Compact"/>
              <w:spacing w:after="40"/>
              <w:jc w:val="left"/>
            </w:pPr>
            <w:r>
              <w:rPr>
                <w:rStyle w:val="VerbatimChar"/>
                <w:sz w:val="18"/>
              </w:rPr>
              <w:t xml:space="preserve">Payments › Receipts</w:t>
            </w:r>
          </w:p>
        </w:tc>
        <w:tc>
          <w:tcPr>
            <w:tcW w:w="3443" w:type="dxa"/>
          </w:tcPr>
          <w:p>
            <w:pPr>
              <w:pStyle w:val="Compact"/>
              <w:spacing w:after="40"/>
              <w:jc w:val="left"/>
            </w:pPr>
            <w:r>
              <w:rPr>
                <w:sz w:val="18"/>
              </w:rPr>
              <w:t xml:space="preserve">By channel; suspense queue with ageing; manual receipts with checker</w:t>
            </w:r>
          </w:p>
        </w:tc>
        <w:tc>
          <w:tcPr>
            <w:tcW w:w="1468" w:type="dxa"/>
          </w:tcPr>
          <w:p>
            <w:pPr>
              <w:pStyle w:val="Compact"/>
              <w:spacing w:after="40"/>
              <w:jc w:val="left"/>
            </w:pPr>
            <w:r>
              <w:rPr>
                <w:sz w:val="18"/>
              </w:rPr>
              <w:t xml:space="preserve">M7</w:t>
            </w:r>
          </w:p>
        </w:tc>
        <w:tc>
          <w:tcPr>
            <w:tcW w:w="1248" w:type="dxa"/>
          </w:tcPr>
          <w:p>
            <w:pPr>
              <w:pStyle w:val="Compact"/>
              <w:spacing w:after="40"/>
              <w:jc w:val="left"/>
            </w:pPr>
            <w:r>
              <w:rPr>
                <w:sz w:val="18"/>
              </w:rPr>
              <w:t xml:space="preserve">10</w:t>
            </w:r>
          </w:p>
        </w:tc>
        <w:tc>
          <w:tcPr>
            <w:tcW w:w="1644" w:type="dxa"/>
          </w:tcPr>
          <w:p>
            <w:pPr>
              <w:pStyle w:val="Compact"/>
              <w:spacing w:after="40"/>
              <w:jc w:val="left"/>
            </w:pPr>
            <w:r>
              <w:rPr>
                <w:sz w:val="18"/>
              </w:rPr>
              <w:t xml:space="preserve">Ops, servicing</w:t>
            </w:r>
          </w:p>
        </w:tc>
      </w:tr>
      <w:tr>
        <w:tc>
          <w:tcPr>
            <w:tcW w:w="1835" w:type="dxa"/>
          </w:tcPr>
          <w:p>
            <w:pPr>
              <w:pStyle w:val="Compact"/>
              <w:spacing w:after="40"/>
              <w:jc w:val="left"/>
            </w:pPr>
            <w:r>
              <w:rPr>
                <w:rStyle w:val="VerbatimChar"/>
                <w:sz w:val="18"/>
              </w:rPr>
              <w:t xml:space="preserve">Payments › Payouts</w:t>
            </w:r>
          </w:p>
        </w:tc>
        <w:tc>
          <w:tcPr>
            <w:tcW w:w="3443" w:type="dxa"/>
          </w:tcPr>
          <w:p>
            <w:pPr>
              <w:pStyle w:val="Compact"/>
              <w:spacing w:after="40"/>
              <w:jc w:val="left"/>
            </w:pPr>
            <w:r>
              <w:rPr>
                <w:sz w:val="18"/>
              </w:rPr>
              <w:t xml:space="preserve">Batches; beneficiary validation; duplicate check; maker-checker release; UTR</w:t>
            </w:r>
          </w:p>
        </w:tc>
        <w:tc>
          <w:tcPr>
            <w:tcW w:w="1468" w:type="dxa"/>
          </w:tcPr>
          <w:p>
            <w:pPr>
              <w:pStyle w:val="Compact"/>
              <w:spacing w:after="40"/>
              <w:jc w:val="left"/>
            </w:pPr>
            <w:r>
              <w:rPr>
                <w:sz w:val="18"/>
              </w:rPr>
              <w:t xml:space="preserve">M7</w:t>
            </w:r>
          </w:p>
        </w:tc>
        <w:tc>
          <w:tcPr>
            <w:tcW w:w="1248" w:type="dxa"/>
          </w:tcPr>
          <w:p>
            <w:pPr>
              <w:pStyle w:val="Compact"/>
              <w:spacing w:after="40"/>
              <w:jc w:val="left"/>
            </w:pPr>
            <w:r>
              <w:rPr>
                <w:sz w:val="18"/>
              </w:rPr>
              <w:t xml:space="preserve">8</w:t>
            </w:r>
          </w:p>
        </w:tc>
        <w:tc>
          <w:tcPr>
            <w:tcW w:w="1644" w:type="dxa"/>
          </w:tcPr>
          <w:p>
            <w:pPr>
              <w:pStyle w:val="Compact"/>
              <w:spacing w:after="40"/>
              <w:jc w:val="left"/>
            </w:pPr>
            <w:r>
              <w:rPr>
                <w:sz w:val="18"/>
              </w:rPr>
              <w:t xml:space="preserve">Ops; finance checker</w:t>
            </w:r>
          </w:p>
        </w:tc>
      </w:tr>
      <w:tr>
        <w:tc>
          <w:tcPr>
            <w:tcW w:w="1835" w:type="dxa"/>
          </w:tcPr>
          <w:p>
            <w:pPr>
              <w:pStyle w:val="Compact"/>
              <w:spacing w:after="40"/>
              <w:jc w:val="left"/>
            </w:pPr>
            <w:r>
              <w:rPr>
                <w:rStyle w:val="VerbatimChar"/>
                <w:sz w:val="18"/>
              </w:rPr>
              <w:t xml:space="preserve">Payments › Reconciliation</w:t>
            </w:r>
          </w:p>
        </w:tc>
        <w:tc>
          <w:tcPr>
            <w:tcW w:w="3443" w:type="dxa"/>
          </w:tcPr>
          <w:p>
            <w:pPr>
              <w:pStyle w:val="Compact"/>
              <w:spacing w:after="40"/>
              <w:jc w:val="left"/>
            </w:pPr>
            <w:r>
              <w:rPr>
                <w:sz w:val="18"/>
              </w:rPr>
              <w:t xml:space="preserve">Three-way match; rules; exceptions; settlement confirmation (API success is never final)</w:t>
            </w:r>
          </w:p>
        </w:tc>
        <w:tc>
          <w:tcPr>
            <w:tcW w:w="1468" w:type="dxa"/>
          </w:tcPr>
          <w:p>
            <w:pPr>
              <w:pStyle w:val="Compact"/>
              <w:spacing w:after="40"/>
              <w:jc w:val="left"/>
            </w:pPr>
            <w:r>
              <w:rPr>
                <w:sz w:val="18"/>
              </w:rPr>
              <w:t xml:space="preserve">M7</w:t>
            </w:r>
          </w:p>
        </w:tc>
        <w:tc>
          <w:tcPr>
            <w:tcW w:w="1248" w:type="dxa"/>
          </w:tcPr>
          <w:p>
            <w:pPr>
              <w:pStyle w:val="Compact"/>
              <w:spacing w:after="40"/>
              <w:jc w:val="left"/>
            </w:pPr>
            <w:r>
              <w:rPr>
                <w:sz w:val="18"/>
              </w:rPr>
              <w:t xml:space="preserve">10</w:t>
            </w:r>
          </w:p>
        </w:tc>
        <w:tc>
          <w:tcPr>
            <w:tcW w:w="1644" w:type="dxa"/>
          </w:tcPr>
          <w:p>
            <w:pPr>
              <w:pStyle w:val="Compact"/>
              <w:spacing w:after="40"/>
              <w:jc w:val="left"/>
            </w:pPr>
            <w:r>
              <w:rPr>
                <w:sz w:val="18"/>
              </w:rPr>
              <w:t xml:space="preserve">Reconciliation team</w:t>
            </w:r>
          </w:p>
        </w:tc>
      </w:tr>
      <w:tr>
        <w:tc>
          <w:tcPr>
            <w:tcW w:w="1835" w:type="dxa"/>
          </w:tcPr>
          <w:p>
            <w:pPr>
              <w:pStyle w:val="Compact"/>
              <w:spacing w:after="40"/>
              <w:jc w:val="left"/>
            </w:pPr>
            <w:r>
              <w:rPr>
                <w:rStyle w:val="VerbatimChar"/>
                <w:sz w:val="18"/>
              </w:rPr>
              <w:t xml:space="preserve">Payments › Channels</w:t>
            </w:r>
          </w:p>
        </w:tc>
        <w:tc>
          <w:tcPr>
            <w:tcW w:w="3443" w:type="dxa"/>
          </w:tcPr>
          <w:p>
            <w:pPr>
              <w:pStyle w:val="Compact"/>
              <w:spacing w:after="40"/>
              <w:jc w:val="left"/>
            </w:pPr>
            <w:r>
              <w:rPr>
                <w:sz w:val="18"/>
              </w:rPr>
              <w:t xml:space="preserve">Virtual accounts and VPAs, BBPS, payment links, gateway status</w:t>
            </w:r>
          </w:p>
        </w:tc>
        <w:tc>
          <w:tcPr>
            <w:tcW w:w="1468" w:type="dxa"/>
          </w:tcPr>
          <w:p>
            <w:pPr>
              <w:pStyle w:val="Compact"/>
              <w:spacing w:after="40"/>
              <w:jc w:val="left"/>
            </w:pPr>
            <w:r>
              <w:rPr>
                <w:sz w:val="18"/>
              </w:rPr>
              <w:t xml:space="preserve">M7</w:t>
            </w:r>
          </w:p>
        </w:tc>
        <w:tc>
          <w:tcPr>
            <w:tcW w:w="1248" w:type="dxa"/>
          </w:tcPr>
          <w:p>
            <w:pPr>
              <w:pStyle w:val="Compact"/>
              <w:spacing w:after="40"/>
              <w:jc w:val="left"/>
            </w:pPr>
            <w:r>
              <w:rPr>
                <w:sz w:val="18"/>
              </w:rPr>
              <w:t xml:space="preserve">10</w:t>
            </w:r>
          </w:p>
        </w:tc>
        <w:tc>
          <w:tcPr>
            <w:tcW w:w="1644" w:type="dxa"/>
          </w:tcPr>
          <w:p>
            <w:pPr>
              <w:pStyle w:val="Compact"/>
              <w:spacing w:after="40"/>
              <w:jc w:val="left"/>
            </w:pPr>
            <w:r>
              <w:rPr>
                <w:sz w:val="18"/>
              </w:rPr>
              <w:t xml:space="preserve">Ops, tenant IT</w:t>
            </w:r>
          </w:p>
        </w:tc>
      </w:tr>
      <w:tr>
        <w:tc>
          <w:tcPr>
            <w:tcW w:w="1835" w:type="dxa"/>
          </w:tcPr>
          <w:p>
            <w:pPr>
              <w:pStyle w:val="Compact"/>
              <w:spacing w:after="40"/>
              <w:jc w:val="left"/>
            </w:pPr>
            <w:r>
              <w:rPr>
                <w:rStyle w:val="VerbatimChar"/>
                <w:sz w:val="18"/>
              </w:rPr>
              <w:t xml:space="preserve">Payments › Fraud rules</w:t>
            </w:r>
          </w:p>
        </w:tc>
        <w:tc>
          <w:tcPr>
            <w:tcW w:w="3443" w:type="dxa"/>
          </w:tcPr>
          <w:p>
            <w:pPr>
              <w:pStyle w:val="Compact"/>
              <w:spacing w:after="40"/>
              <w:jc w:val="left"/>
            </w:pPr>
            <w:r>
              <w:rPr>
                <w:sz w:val="18"/>
              </w:rPr>
              <w:t xml:space="preserve">Velocity, mule-VPA and declined-transaction hits with decisions</w:t>
            </w:r>
          </w:p>
        </w:tc>
        <w:tc>
          <w:tcPr>
            <w:tcW w:w="1468" w:type="dxa"/>
          </w:tcPr>
          <w:p>
            <w:pPr>
              <w:pStyle w:val="Compact"/>
              <w:spacing w:after="40"/>
              <w:jc w:val="left"/>
            </w:pPr>
            <w:r>
              <w:rPr>
                <w:sz w:val="18"/>
              </w:rPr>
              <w:t xml:space="preserve">M7 (DPS para 53)</w:t>
            </w:r>
          </w:p>
        </w:tc>
        <w:tc>
          <w:tcPr>
            <w:tcW w:w="1248" w:type="dxa"/>
          </w:tcPr>
          <w:p>
            <w:pPr>
              <w:pStyle w:val="Compact"/>
              <w:spacing w:after="40"/>
              <w:jc w:val="left"/>
            </w:pPr>
            <w:r>
              <w:rPr>
                <w:sz w:val="18"/>
              </w:rPr>
              <w:t xml:space="preserve">10</w:t>
            </w:r>
          </w:p>
        </w:tc>
        <w:tc>
          <w:tcPr>
            <w:tcW w:w="1644" w:type="dxa"/>
          </w:tcPr>
          <w:p>
            <w:pPr>
              <w:pStyle w:val="Compact"/>
              <w:spacing w:after="40"/>
              <w:jc w:val="left"/>
            </w:pPr>
            <w:r>
              <w:rPr>
                <w:sz w:val="18"/>
              </w:rPr>
              <w:t xml:space="preserve">Fraud team</w:t>
            </w:r>
          </w:p>
        </w:tc>
      </w:tr>
    </w:tbl>
    <w:bookmarkEnd w:id="916"/>
    <w:bookmarkStart w:id="917" w:name="g.3.9-finance-finance"/>
    <w:p>
      <w:pPr>
        <w:pStyle w:val="Heading3"/>
      </w:pPr>
      <w:r>
        <w:t xml:space="preserve">G.3.9 Finance (</w:t>
      </w:r>
      <w:r>
        <w:rPr>
          <w:rStyle w:val="VerbatimChar"/>
        </w:rPr>
        <w:t xml:space="preserve">finance</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18"/>
        <w:gridCol w:w="3556"/>
        <w:gridCol w:w="1170"/>
        <w:gridCol w:w="1103"/>
        <w:gridCol w:w="1491"/>
      </w:tblGrid>
      <w:tr>
        <w:trPr>
          <w:tblHeader w:val="true"/>
          <w:tblHeader w:val="true"/>
        </w:trPr>
        <w:tc>
          <w:tcPr>
            <w:tcW w:w="2318" w:type="dxa"/>
            <w:shd w:val="clear" w:color="auto" w:fill="1F3A5F"/>
          </w:tcPr>
          <w:p>
            <w:pPr>
              <w:pStyle w:val="Compact"/>
              <w:spacing w:after="40"/>
              <w:jc w:val="left"/>
            </w:pPr>
            <w:r>
              <w:rPr>
                <w:b/>
                <w:color w:val="FFFFFF"/>
                <w:sz w:val="18"/>
              </w:rPr>
              <w:t xml:space="preserve">Path</w:t>
            </w:r>
          </w:p>
        </w:tc>
        <w:tc>
          <w:tcPr>
            <w:tcW w:w="3556" w:type="dxa"/>
            <w:shd w:val="clear" w:color="auto" w:fill="1F3A5F"/>
          </w:tcPr>
          <w:p>
            <w:pPr>
              <w:pStyle w:val="Compact"/>
              <w:spacing w:after="40"/>
              <w:jc w:val="left"/>
            </w:pPr>
            <w:r>
              <w:rPr>
                <w:b/>
                <w:color w:val="FFFFFF"/>
                <w:sz w:val="18"/>
              </w:rPr>
              <w:t xml:space="preserve">Screens and key actions</w:t>
            </w:r>
          </w:p>
        </w:tc>
        <w:tc>
          <w:tcPr>
            <w:tcW w:w="1170" w:type="dxa"/>
            <w:shd w:val="clear" w:color="auto" w:fill="1F3A5F"/>
          </w:tcPr>
          <w:p>
            <w:pPr>
              <w:pStyle w:val="Compact"/>
              <w:spacing w:after="40"/>
              <w:jc w:val="left"/>
            </w:pPr>
            <w:r>
              <w:rPr>
                <w:b/>
                <w:color w:val="FFFFFF"/>
                <w:sz w:val="18"/>
              </w:rPr>
              <w:t xml:space="preserve">Owner</w:t>
            </w:r>
          </w:p>
        </w:tc>
        <w:tc>
          <w:tcPr>
            <w:tcW w:w="1103" w:type="dxa"/>
            <w:shd w:val="clear" w:color="auto" w:fill="1F3A5F"/>
          </w:tcPr>
          <w:p>
            <w:pPr>
              <w:pStyle w:val="Compact"/>
              <w:spacing w:after="40"/>
              <w:jc w:val="left"/>
            </w:pPr>
            <w:r>
              <w:rPr>
                <w:b/>
                <w:color w:val="FFFFFF"/>
                <w:sz w:val="18"/>
              </w:rPr>
              <w:t xml:space="preserve">Phase</w:t>
            </w:r>
          </w:p>
        </w:tc>
        <w:tc>
          <w:tcPr>
            <w:tcW w:w="1491" w:type="dxa"/>
            <w:shd w:val="clear" w:color="auto" w:fill="1F3A5F"/>
          </w:tcPr>
          <w:p>
            <w:pPr>
              <w:pStyle w:val="Compact"/>
              <w:spacing w:after="40"/>
              <w:jc w:val="left"/>
            </w:pPr>
            <w:r>
              <w:rPr>
                <w:b/>
                <w:color w:val="FFFFFF"/>
                <w:sz w:val="18"/>
              </w:rPr>
              <w:t xml:space="preserve">Roles</w:t>
            </w:r>
          </w:p>
        </w:tc>
      </w:tr>
      <w:tr>
        <w:tc>
          <w:tcPr>
            <w:tcW w:w="2318" w:type="dxa"/>
          </w:tcPr>
          <w:p>
            <w:pPr>
              <w:pStyle w:val="Compact"/>
              <w:spacing w:after="40"/>
              <w:jc w:val="left"/>
            </w:pPr>
            <w:r>
              <w:rPr>
                <w:rStyle w:val="VerbatimChar"/>
                <w:sz w:val="18"/>
              </w:rPr>
              <w:t xml:space="preserve">Finance › Ledger</w:t>
            </w:r>
          </w:p>
        </w:tc>
        <w:tc>
          <w:tcPr>
            <w:tcW w:w="3556" w:type="dxa"/>
          </w:tcPr>
          <w:p>
            <w:pPr>
              <w:pStyle w:val="Compact"/>
              <w:spacing w:after="40"/>
              <w:jc w:val="left"/>
            </w:pPr>
            <w:r>
              <w:rPr>
                <w:sz w:val="18"/>
              </w:rPr>
              <w:t xml:space="preserve">Chart of accounts; journal proposals (reversal-only corrections); TB at any date; sub-ledger breaks</w:t>
            </w:r>
          </w:p>
        </w:tc>
        <w:tc>
          <w:tcPr>
            <w:tcW w:w="1170" w:type="dxa"/>
          </w:tcPr>
          <w:p>
            <w:pPr>
              <w:pStyle w:val="Compact"/>
              <w:spacing w:after="40"/>
              <w:jc w:val="left"/>
            </w:pPr>
            <w:r>
              <w:rPr>
                <w:sz w:val="18"/>
              </w:rPr>
              <w:t xml:space="preserve">M10</w:t>
            </w:r>
          </w:p>
        </w:tc>
        <w:tc>
          <w:tcPr>
            <w:tcW w:w="1103" w:type="dxa"/>
          </w:tcPr>
          <w:p>
            <w:pPr>
              <w:pStyle w:val="Compact"/>
              <w:spacing w:after="40"/>
              <w:jc w:val="left"/>
            </w:pPr>
            <w:r>
              <w:rPr>
                <w:sz w:val="18"/>
              </w:rPr>
              <w:t xml:space="preserve">4</w:t>
            </w:r>
          </w:p>
        </w:tc>
        <w:tc>
          <w:tcPr>
            <w:tcW w:w="1491" w:type="dxa"/>
          </w:tcPr>
          <w:p>
            <w:pPr>
              <w:pStyle w:val="Compact"/>
              <w:spacing w:after="40"/>
              <w:jc w:val="left"/>
            </w:pPr>
            <w:r>
              <w:rPr>
                <w:sz w:val="18"/>
              </w:rPr>
              <w:t xml:space="preserve">Accounts; CFO checker</w:t>
            </w:r>
          </w:p>
        </w:tc>
      </w:tr>
      <w:tr>
        <w:tc>
          <w:tcPr>
            <w:tcW w:w="2318" w:type="dxa"/>
          </w:tcPr>
          <w:p>
            <w:pPr>
              <w:pStyle w:val="Compact"/>
              <w:spacing w:after="40"/>
              <w:jc w:val="left"/>
            </w:pPr>
            <w:r>
              <w:rPr>
                <w:rStyle w:val="VerbatimChar"/>
                <w:sz w:val="18"/>
              </w:rPr>
              <w:t xml:space="preserve">Finance › Framework</w:t>
            </w:r>
            <w:r>
              <w:rPr>
                <w:sz w:val="18"/>
              </w:rPr>
              <w:t xml:space="preserve">,</w:t>
            </w:r>
            <w:r>
              <w:rPr>
                <w:sz w:val="18"/>
              </w:rPr>
              <w:t xml:space="preserve"> </w:t>
            </w:r>
            <w:r>
              <w:rPr>
                <w:rStyle w:val="VerbatimChar"/>
                <w:sz w:val="18"/>
              </w:rPr>
              <w:t xml:space="preserve">› Close</w:t>
            </w:r>
            <w:r>
              <w:rPr>
                <w:sz w:val="18"/>
              </w:rPr>
              <w:t xml:space="preserve">,</w:t>
            </w:r>
            <w:r>
              <w:rPr>
                <w:sz w:val="18"/>
              </w:rPr>
              <w:t xml:space="preserve"> </w:t>
            </w:r>
            <w:r>
              <w:rPr>
                <w:rStyle w:val="VerbatimChar"/>
                <w:sz w:val="18"/>
              </w:rPr>
              <w:t xml:space="preserve">› Books</w:t>
            </w:r>
            <w:r>
              <w:rPr>
                <w:sz w:val="18"/>
              </w:rPr>
              <w:t xml:space="preserve">,</w:t>
            </w:r>
            <w:r>
              <w:rPr>
                <w:sz w:val="18"/>
              </w:rPr>
              <w:t xml:space="preserve"> </w:t>
            </w:r>
            <w:r>
              <w:rPr>
                <w:rStyle w:val="VerbatimChar"/>
                <w:sz w:val="18"/>
              </w:rPr>
              <w:t xml:space="preserve">› Statements</w:t>
            </w:r>
          </w:p>
        </w:tc>
        <w:tc>
          <w:tcPr>
            <w:tcW w:w="3556" w:type="dxa"/>
          </w:tcPr>
          <w:p>
            <w:pPr>
              <w:pStyle w:val="Compact"/>
              <w:spacing w:after="40"/>
              <w:jc w:val="left"/>
            </w:pPr>
            <w:r>
              <w:rPr>
                <w:sz w:val="18"/>
              </w:rPr>
              <w:t xml:space="preserve">As AC8.2</w:t>
            </w:r>
          </w:p>
        </w:tc>
        <w:tc>
          <w:tcPr>
            <w:tcW w:w="1170" w:type="dxa"/>
          </w:tcPr>
          <w:p>
            <w:pPr>
              <w:pStyle w:val="Compact"/>
              <w:spacing w:after="40"/>
              <w:jc w:val="left"/>
            </w:pPr>
            <w:r>
              <w:rPr>
                <w:sz w:val="18"/>
              </w:rPr>
              <w:t xml:space="preserve">AC1–AC3</w:t>
            </w:r>
          </w:p>
        </w:tc>
        <w:tc>
          <w:tcPr>
            <w:tcW w:w="1103" w:type="dxa"/>
          </w:tcPr>
          <w:p>
            <w:pPr>
              <w:pStyle w:val="Compact"/>
              <w:spacing w:after="40"/>
              <w:jc w:val="left"/>
            </w:pPr>
            <w:r>
              <w:rPr>
                <w:sz w:val="18"/>
              </w:rPr>
              <w:t xml:space="preserve">4; 13b</w:t>
            </w:r>
          </w:p>
        </w:tc>
        <w:tc>
          <w:tcPr>
            <w:tcW w:w="1491" w:type="dxa"/>
          </w:tcPr>
          <w:p>
            <w:pPr>
              <w:pStyle w:val="Compact"/>
              <w:spacing w:after="40"/>
              <w:jc w:val="left"/>
            </w:pPr>
            <w:r>
              <w:rPr>
                <w:sz w:val="18"/>
              </w:rPr>
              <w:t xml:space="preserve">Accounts, CFO office</w:t>
            </w:r>
          </w:p>
        </w:tc>
      </w:tr>
      <w:tr>
        <w:tc>
          <w:tcPr>
            <w:tcW w:w="2318" w:type="dxa"/>
          </w:tcPr>
          <w:p>
            <w:pPr>
              <w:pStyle w:val="Compact"/>
              <w:spacing w:after="40"/>
              <w:jc w:val="left"/>
            </w:pPr>
            <w:r>
              <w:rPr>
                <w:rStyle w:val="VerbatimChar"/>
                <w:sz w:val="18"/>
              </w:rPr>
              <w:t xml:space="preserve">Finance › ECL and IRACP</w:t>
            </w:r>
          </w:p>
        </w:tc>
        <w:tc>
          <w:tcPr>
            <w:tcW w:w="3556" w:type="dxa"/>
          </w:tcPr>
          <w:p>
            <w:pPr>
              <w:pStyle w:val="Compact"/>
              <w:spacing w:after="40"/>
              <w:jc w:val="left"/>
            </w:pPr>
            <w:r>
              <w:rPr>
                <w:sz w:val="18"/>
              </w:rPr>
              <w:t xml:space="preserve">EIR, staging, ECL runs; IRACP provisioning; IRACP versus Ind AS table; &gt; 90 DPD not-impaired and SICR-rebuttal registers</w:t>
            </w:r>
          </w:p>
        </w:tc>
        <w:tc>
          <w:tcPr>
            <w:tcW w:w="1170" w:type="dxa"/>
          </w:tcPr>
          <w:p>
            <w:pPr>
              <w:pStyle w:val="Compact"/>
              <w:spacing w:after="40"/>
              <w:jc w:val="left"/>
            </w:pPr>
            <w:r>
              <w:rPr>
                <w:sz w:val="18"/>
              </w:rPr>
              <w:t xml:space="preserve">M10</w:t>
            </w:r>
          </w:p>
        </w:tc>
        <w:tc>
          <w:tcPr>
            <w:tcW w:w="1103" w:type="dxa"/>
          </w:tcPr>
          <w:p>
            <w:pPr>
              <w:pStyle w:val="Compact"/>
              <w:spacing w:after="40"/>
              <w:jc w:val="left"/>
            </w:pPr>
            <w:r>
              <w:rPr>
                <w:sz w:val="18"/>
              </w:rPr>
              <w:t xml:space="preserve">13</w:t>
            </w:r>
          </w:p>
        </w:tc>
        <w:tc>
          <w:tcPr>
            <w:tcW w:w="1491" w:type="dxa"/>
          </w:tcPr>
          <w:p>
            <w:pPr>
              <w:pStyle w:val="Compact"/>
              <w:spacing w:after="40"/>
              <w:jc w:val="left"/>
            </w:pPr>
            <w:r>
              <w:rPr>
                <w:sz w:val="18"/>
              </w:rPr>
              <w:t xml:space="preserve">Accounts, CFO</w:t>
            </w:r>
          </w:p>
        </w:tc>
      </w:tr>
      <w:tr>
        <w:tc>
          <w:tcPr>
            <w:tcW w:w="2318" w:type="dxa"/>
          </w:tcPr>
          <w:p>
            <w:pPr>
              <w:pStyle w:val="Compact"/>
              <w:spacing w:after="40"/>
              <w:jc w:val="left"/>
            </w:pPr>
            <w:r>
              <w:rPr>
                <w:rStyle w:val="VerbatimChar"/>
                <w:sz w:val="18"/>
              </w:rPr>
              <w:t xml:space="preserve">Finance › Bank and cash</w:t>
            </w:r>
          </w:p>
        </w:tc>
        <w:tc>
          <w:tcPr>
            <w:tcW w:w="3556" w:type="dxa"/>
          </w:tcPr>
          <w:p>
            <w:pPr>
              <w:pStyle w:val="Compact"/>
              <w:spacing w:after="40"/>
              <w:jc w:val="left"/>
            </w:pPr>
            <w:r>
              <w:rPr>
                <w:sz w:val="18"/>
              </w:rPr>
              <w:t xml:space="preserve">Bank reconciliation; branch cash and vault; transfers under maker-checker</w:t>
            </w:r>
          </w:p>
        </w:tc>
        <w:tc>
          <w:tcPr>
            <w:tcW w:w="1170" w:type="dxa"/>
          </w:tcPr>
          <w:p>
            <w:pPr>
              <w:pStyle w:val="Compact"/>
              <w:spacing w:after="40"/>
              <w:jc w:val="left"/>
            </w:pPr>
            <w:r>
              <w:rPr>
                <w:sz w:val="18"/>
              </w:rPr>
              <w:t xml:space="preserve">M10</w:t>
            </w:r>
          </w:p>
        </w:tc>
        <w:tc>
          <w:tcPr>
            <w:tcW w:w="1103" w:type="dxa"/>
          </w:tcPr>
          <w:p>
            <w:pPr>
              <w:pStyle w:val="Compact"/>
              <w:spacing w:after="40"/>
              <w:jc w:val="left"/>
            </w:pPr>
            <w:r>
              <w:rPr>
                <w:sz w:val="18"/>
              </w:rPr>
              <w:t xml:space="preserve">4; 10</w:t>
            </w:r>
          </w:p>
        </w:tc>
        <w:tc>
          <w:tcPr>
            <w:tcW w:w="1491" w:type="dxa"/>
          </w:tcPr>
          <w:p>
            <w:pPr>
              <w:pStyle w:val="Compact"/>
              <w:spacing w:after="40"/>
              <w:jc w:val="left"/>
            </w:pPr>
            <w:r>
              <w:rPr>
                <w:sz w:val="18"/>
              </w:rPr>
              <w:t xml:space="preserve">Treasury ops</w:t>
            </w:r>
          </w:p>
        </w:tc>
      </w:tr>
      <w:tr>
        <w:tc>
          <w:tcPr>
            <w:tcW w:w="2318" w:type="dxa"/>
          </w:tcPr>
          <w:p>
            <w:pPr>
              <w:pStyle w:val="Compact"/>
              <w:spacing w:after="40"/>
              <w:jc w:val="left"/>
            </w:pPr>
            <w:r>
              <w:rPr>
                <w:rStyle w:val="VerbatimChar"/>
                <w:sz w:val="18"/>
              </w:rPr>
              <w:t xml:space="preserve">Finance › Borrowings</w:t>
            </w:r>
          </w:p>
        </w:tc>
        <w:tc>
          <w:tcPr>
            <w:tcW w:w="3556" w:type="dxa"/>
          </w:tcPr>
          <w:p>
            <w:pPr>
              <w:pStyle w:val="Compact"/>
              <w:spacing w:after="40"/>
              <w:jc w:val="left"/>
            </w:pPr>
            <w:r>
              <w:rPr>
                <w:sz w:val="18"/>
              </w:rPr>
              <w:t xml:space="preserve">Facilities, NCDs, CPs, ECBs; schedules; covenants; security cover</w:t>
            </w:r>
          </w:p>
        </w:tc>
        <w:tc>
          <w:tcPr>
            <w:tcW w:w="1170" w:type="dxa"/>
          </w:tcPr>
          <w:p>
            <w:pPr>
              <w:pStyle w:val="Compact"/>
              <w:spacing w:after="40"/>
              <w:jc w:val="left"/>
            </w:pPr>
            <w:r>
              <w:rPr>
                <w:sz w:val="18"/>
              </w:rPr>
              <w:t xml:space="preserve">M10</w:t>
            </w:r>
          </w:p>
        </w:tc>
        <w:tc>
          <w:tcPr>
            <w:tcW w:w="1103" w:type="dxa"/>
          </w:tcPr>
          <w:p>
            <w:pPr>
              <w:pStyle w:val="Compact"/>
              <w:spacing w:after="40"/>
              <w:jc w:val="left"/>
            </w:pPr>
            <w:r>
              <w:rPr>
                <w:sz w:val="18"/>
              </w:rPr>
              <w:t xml:space="preserve">13</w:t>
            </w:r>
          </w:p>
        </w:tc>
        <w:tc>
          <w:tcPr>
            <w:tcW w:w="1491" w:type="dxa"/>
          </w:tcPr>
          <w:p>
            <w:pPr>
              <w:pStyle w:val="Compact"/>
              <w:spacing w:after="40"/>
              <w:jc w:val="left"/>
            </w:pPr>
            <w:r>
              <w:rPr>
                <w:sz w:val="18"/>
              </w:rPr>
              <w:t xml:space="preserve">Treasury, CFO</w:t>
            </w:r>
          </w:p>
        </w:tc>
      </w:tr>
      <w:tr>
        <w:tc>
          <w:tcPr>
            <w:tcW w:w="2318" w:type="dxa"/>
          </w:tcPr>
          <w:p>
            <w:pPr>
              <w:pStyle w:val="Compact"/>
              <w:spacing w:after="40"/>
              <w:jc w:val="left"/>
            </w:pPr>
            <w:r>
              <w:rPr>
                <w:rStyle w:val="VerbatimChar"/>
                <w:sz w:val="18"/>
              </w:rPr>
              <w:t xml:space="preserve">Finance › Payables</w:t>
            </w:r>
          </w:p>
        </w:tc>
        <w:tc>
          <w:tcPr>
            <w:tcW w:w="3556" w:type="dxa"/>
          </w:tcPr>
          <w:p>
            <w:pPr>
              <w:pStyle w:val="Compact"/>
              <w:spacing w:after="40"/>
              <w:jc w:val="left"/>
            </w:pPr>
            <w:r>
              <w:rPr>
                <w:sz w:val="18"/>
              </w:rPr>
              <w:t xml:space="preserve">Vendor, DSA, agency and counsel bills; TDS and RCM</w:t>
            </w:r>
          </w:p>
        </w:tc>
        <w:tc>
          <w:tcPr>
            <w:tcW w:w="1170" w:type="dxa"/>
          </w:tcPr>
          <w:p>
            <w:pPr>
              <w:pStyle w:val="Compact"/>
              <w:spacing w:after="40"/>
              <w:jc w:val="left"/>
            </w:pPr>
            <w:r>
              <w:rPr>
                <w:sz w:val="18"/>
              </w:rPr>
              <w:t xml:space="preserve">M10, R12</w:t>
            </w:r>
          </w:p>
        </w:tc>
        <w:tc>
          <w:tcPr>
            <w:tcW w:w="1103" w:type="dxa"/>
          </w:tcPr>
          <w:p>
            <w:pPr>
              <w:pStyle w:val="Compact"/>
              <w:spacing w:after="40"/>
              <w:jc w:val="left"/>
            </w:pPr>
            <w:r>
              <w:rPr>
                <w:sz w:val="18"/>
              </w:rPr>
              <w:t xml:space="preserve">13</w:t>
            </w:r>
          </w:p>
        </w:tc>
        <w:tc>
          <w:tcPr>
            <w:tcW w:w="1491" w:type="dxa"/>
          </w:tcPr>
          <w:p>
            <w:pPr>
              <w:pStyle w:val="Compact"/>
              <w:spacing w:after="40"/>
              <w:jc w:val="left"/>
            </w:pPr>
            <w:r>
              <w:rPr>
                <w:sz w:val="18"/>
              </w:rPr>
              <w:t xml:space="preserve">Accounts</w:t>
            </w:r>
          </w:p>
        </w:tc>
      </w:tr>
      <w:tr>
        <w:tc>
          <w:tcPr>
            <w:tcW w:w="2318" w:type="dxa"/>
          </w:tcPr>
          <w:p>
            <w:pPr>
              <w:pStyle w:val="Compact"/>
              <w:spacing w:after="40"/>
              <w:jc w:val="left"/>
            </w:pPr>
            <w:r>
              <w:rPr>
                <w:rStyle w:val="VerbatimChar"/>
                <w:sz w:val="18"/>
              </w:rPr>
              <w:t xml:space="preserve">Finance › GST</w:t>
            </w:r>
            <w:r>
              <w:rPr>
                <w:sz w:val="18"/>
              </w:rPr>
              <w:t xml:space="preserve">,</w:t>
            </w:r>
            <w:r>
              <w:rPr>
                <w:sz w:val="18"/>
              </w:rPr>
              <w:t xml:space="preserve"> </w:t>
            </w:r>
            <w:r>
              <w:rPr>
                <w:rStyle w:val="VerbatimChar"/>
                <w:sz w:val="18"/>
              </w:rPr>
              <w:t xml:space="preserve">› Income tax</w:t>
            </w:r>
            <w:r>
              <w:rPr>
                <w:sz w:val="18"/>
              </w:rPr>
              <w:t xml:space="preserve">,</w:t>
            </w:r>
            <w:r>
              <w:rPr>
                <w:sz w:val="18"/>
              </w:rPr>
              <w:t xml:space="preserve"> </w:t>
            </w:r>
            <w:r>
              <w:rPr>
                <w:rStyle w:val="VerbatimChar"/>
                <w:sz w:val="18"/>
              </w:rPr>
              <w:t xml:space="preserve">› Audit trail</w:t>
            </w:r>
          </w:p>
        </w:tc>
        <w:tc>
          <w:tcPr>
            <w:tcW w:w="3556" w:type="dxa"/>
          </w:tcPr>
          <w:p>
            <w:pPr>
              <w:pStyle w:val="Compact"/>
              <w:spacing w:after="40"/>
              <w:jc w:val="left"/>
            </w:pPr>
            <w:r>
              <w:rPr>
                <w:sz w:val="18"/>
              </w:rPr>
              <w:t xml:space="preserve">As AC8.2</w:t>
            </w:r>
          </w:p>
        </w:tc>
        <w:tc>
          <w:tcPr>
            <w:tcW w:w="1170" w:type="dxa"/>
          </w:tcPr>
          <w:p>
            <w:pPr>
              <w:pStyle w:val="Compact"/>
              <w:spacing w:after="40"/>
              <w:jc w:val="left"/>
            </w:pPr>
            <w:r>
              <w:rPr>
                <w:sz w:val="18"/>
              </w:rPr>
              <w:t xml:space="preserve">AC4, AC5, AC7</w:t>
            </w:r>
          </w:p>
        </w:tc>
        <w:tc>
          <w:tcPr>
            <w:tcW w:w="1103" w:type="dxa"/>
          </w:tcPr>
          <w:p>
            <w:pPr>
              <w:pStyle w:val="Compact"/>
              <w:spacing w:after="40"/>
              <w:jc w:val="left"/>
            </w:pPr>
            <w:r>
              <w:rPr>
                <w:sz w:val="18"/>
              </w:rPr>
              <w:t xml:space="preserve">13b</w:t>
            </w:r>
          </w:p>
        </w:tc>
        <w:tc>
          <w:tcPr>
            <w:tcW w:w="1491" w:type="dxa"/>
          </w:tcPr>
          <w:p>
            <w:pPr>
              <w:pStyle w:val="Compact"/>
              <w:spacing w:after="40"/>
              <w:jc w:val="left"/>
            </w:pPr>
            <w:r>
              <w:rPr>
                <w:sz w:val="18"/>
              </w:rPr>
              <w:t xml:space="preserve">Tax team, CFO</w:t>
            </w:r>
          </w:p>
        </w:tc>
      </w:tr>
      <w:tr>
        <w:tc>
          <w:tcPr>
            <w:tcW w:w="2318" w:type="dxa"/>
          </w:tcPr>
          <w:p>
            <w:pPr>
              <w:pStyle w:val="Compact"/>
              <w:spacing w:after="40"/>
              <w:jc w:val="left"/>
            </w:pPr>
            <w:r>
              <w:rPr>
                <w:rStyle w:val="VerbatimChar"/>
                <w:sz w:val="18"/>
              </w:rPr>
              <w:t xml:space="preserve">Finance › Connectors</w:t>
            </w:r>
          </w:p>
        </w:tc>
        <w:tc>
          <w:tcPr>
            <w:tcW w:w="3556" w:type="dxa"/>
          </w:tcPr>
          <w:p>
            <w:pPr>
              <w:pStyle w:val="Compact"/>
              <w:spacing w:after="40"/>
              <w:jc w:val="left"/>
            </w:pPr>
            <w:r>
              <w:rPr>
                <w:sz w:val="18"/>
              </w:rPr>
              <w:t xml:space="preserve">As AC8.2, with</w:t>
            </w:r>
            <w:r>
              <w:rPr>
                <w:sz w:val="18"/>
              </w:rPr>
              <w:t xml:space="preserve"> </w:t>
            </w:r>
            <w:r>
              <w:rPr>
                <w:rStyle w:val="VerbatimChar"/>
                <w:sz w:val="18"/>
              </w:rPr>
              <w:t xml:space="preserve">› CBS interface</w:t>
            </w:r>
            <w:r>
              <w:rPr>
                <w:sz w:val="18"/>
              </w:rPr>
              <w:t xml:space="preserve"> </w:t>
            </w:r>
            <w:r>
              <w:rPr>
                <w:sz w:val="18"/>
              </w:rPr>
              <w:t xml:space="preserve">(IP3)</w:t>
            </w:r>
          </w:p>
        </w:tc>
        <w:tc>
          <w:tcPr>
            <w:tcW w:w="1170" w:type="dxa"/>
          </w:tcPr>
          <w:p>
            <w:pPr>
              <w:pStyle w:val="Compact"/>
              <w:spacing w:after="40"/>
              <w:jc w:val="left"/>
            </w:pPr>
            <w:r>
              <w:rPr>
                <w:sz w:val="18"/>
              </w:rPr>
              <w:t xml:space="preserve">AC6, IP3</w:t>
            </w:r>
          </w:p>
        </w:tc>
        <w:tc>
          <w:tcPr>
            <w:tcW w:w="1103" w:type="dxa"/>
          </w:tcPr>
          <w:p>
            <w:pPr>
              <w:pStyle w:val="Compact"/>
              <w:spacing w:after="40"/>
              <w:jc w:val="left"/>
            </w:pPr>
            <w:r>
              <w:rPr>
                <w:sz w:val="18"/>
              </w:rPr>
              <w:t xml:space="preserve">13b; 17c</w:t>
            </w:r>
          </w:p>
        </w:tc>
        <w:tc>
          <w:tcPr>
            <w:tcW w:w="1491" w:type="dxa"/>
          </w:tcPr>
          <w:p>
            <w:pPr>
              <w:pStyle w:val="Compact"/>
              <w:spacing w:after="40"/>
              <w:jc w:val="left"/>
            </w:pPr>
            <w:r>
              <w:rPr>
                <w:sz w:val="18"/>
              </w:rPr>
              <w:t xml:space="preserve">Accounts, IT</w:t>
            </w:r>
          </w:p>
        </w:tc>
      </w:tr>
    </w:tbl>
    <w:bookmarkEnd w:id="917"/>
    <w:bookmarkStart w:id="918" w:name="g.3.10-treasury-and-investments-treasury"/>
    <w:p>
      <w:pPr>
        <w:pStyle w:val="Heading3"/>
      </w:pPr>
      <w:r>
        <w:t xml:space="preserve">G.3.10 Treasury and Investments (</w:t>
      </w:r>
      <w:r>
        <w:rPr>
          <w:rStyle w:val="VerbatimChar"/>
        </w:rPr>
        <w:t xml:space="preserve">treasury</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92"/>
        <w:gridCol w:w="3027"/>
        <w:gridCol w:w="995"/>
        <w:gridCol w:w="995"/>
        <w:gridCol w:w="1829"/>
      </w:tblGrid>
      <w:tr>
        <w:trPr>
          <w:tblHeader w:val="true"/>
          <w:tblHeader w:val="true"/>
        </w:trPr>
        <w:tc>
          <w:tcPr>
            <w:tcW w:w="2792" w:type="dxa"/>
            <w:shd w:val="clear" w:color="auto" w:fill="1F3A5F"/>
          </w:tcPr>
          <w:p>
            <w:pPr>
              <w:pStyle w:val="Compact"/>
              <w:spacing w:after="40"/>
              <w:jc w:val="left"/>
            </w:pPr>
            <w:r>
              <w:rPr>
                <w:b/>
                <w:color w:val="FFFFFF"/>
                <w:sz w:val="18"/>
              </w:rPr>
              <w:t xml:space="preserve">Path</w:t>
            </w:r>
          </w:p>
        </w:tc>
        <w:tc>
          <w:tcPr>
            <w:tcW w:w="3027" w:type="dxa"/>
            <w:shd w:val="clear" w:color="auto" w:fill="1F3A5F"/>
          </w:tcPr>
          <w:p>
            <w:pPr>
              <w:pStyle w:val="Compact"/>
              <w:spacing w:after="40"/>
              <w:jc w:val="left"/>
            </w:pPr>
            <w:r>
              <w:rPr>
                <w:b/>
                <w:color w:val="FFFFFF"/>
                <w:sz w:val="18"/>
              </w:rPr>
              <w:t xml:space="preserve">Screens and key actions</w:t>
            </w:r>
          </w:p>
        </w:tc>
        <w:tc>
          <w:tcPr>
            <w:tcW w:w="995" w:type="dxa"/>
            <w:shd w:val="clear" w:color="auto" w:fill="1F3A5F"/>
          </w:tcPr>
          <w:p>
            <w:pPr>
              <w:pStyle w:val="Compact"/>
              <w:spacing w:after="40"/>
              <w:jc w:val="left"/>
            </w:pPr>
            <w:r>
              <w:rPr>
                <w:b/>
                <w:color w:val="FFFFFF"/>
                <w:sz w:val="18"/>
              </w:rPr>
              <w:t xml:space="preserve">Owner</w:t>
            </w:r>
          </w:p>
        </w:tc>
        <w:tc>
          <w:tcPr>
            <w:tcW w:w="995" w:type="dxa"/>
            <w:shd w:val="clear" w:color="auto" w:fill="1F3A5F"/>
          </w:tcPr>
          <w:p>
            <w:pPr>
              <w:pStyle w:val="Compact"/>
              <w:spacing w:after="40"/>
              <w:jc w:val="left"/>
            </w:pPr>
            <w:r>
              <w:rPr>
                <w:b/>
                <w:color w:val="FFFFFF"/>
                <w:sz w:val="18"/>
              </w:rPr>
              <w:t xml:space="preserve">Phase</w:t>
            </w:r>
          </w:p>
        </w:tc>
        <w:tc>
          <w:tcPr>
            <w:tcW w:w="1829" w:type="dxa"/>
            <w:shd w:val="clear" w:color="auto" w:fill="1F3A5F"/>
          </w:tcPr>
          <w:p>
            <w:pPr>
              <w:pStyle w:val="Compact"/>
              <w:spacing w:after="40"/>
              <w:jc w:val="left"/>
            </w:pPr>
            <w:r>
              <w:rPr>
                <w:b/>
                <w:color w:val="FFFFFF"/>
                <w:sz w:val="18"/>
              </w:rPr>
              <w:t xml:space="preserve">Roles</w:t>
            </w:r>
          </w:p>
        </w:tc>
      </w:tr>
      <w:tr>
        <w:tc>
          <w:tcPr>
            <w:tcW w:w="2792" w:type="dxa"/>
          </w:tcPr>
          <w:p>
            <w:pPr>
              <w:pStyle w:val="Compact"/>
              <w:spacing w:after="40"/>
              <w:jc w:val="left"/>
            </w:pPr>
            <w:r>
              <w:rPr>
                <w:rStyle w:val="VerbatimChar"/>
                <w:sz w:val="18"/>
              </w:rPr>
              <w:t xml:space="preserve">Treasury ›</w:t>
            </w:r>
            <w:r>
              <w:rPr>
                <w:sz w:val="18"/>
              </w:rPr>
              <w:t xml:space="preserve"> </w:t>
            </w:r>
            <w:r>
              <w:rPr>
                <w:sz w:val="18"/>
              </w:rPr>
              <w:t xml:space="preserve">Instruments, Orders, Positions, IPO, Limits, Valuation, Funds and securitisation</w:t>
            </w:r>
          </w:p>
        </w:tc>
        <w:tc>
          <w:tcPr>
            <w:tcW w:w="3027" w:type="dxa"/>
          </w:tcPr>
          <w:p>
            <w:pPr>
              <w:pStyle w:val="Compact"/>
              <w:spacing w:after="40"/>
              <w:jc w:val="left"/>
            </w:pPr>
            <w:r>
              <w:rPr>
                <w:sz w:val="18"/>
              </w:rPr>
              <w:t xml:space="preserve">As Part 7H; the GV4.4 restricted list is a pre-trade check on every order; no order transmission (GR-7H-01)</w:t>
            </w:r>
          </w:p>
        </w:tc>
        <w:tc>
          <w:tcPr>
            <w:tcW w:w="995" w:type="dxa"/>
          </w:tcPr>
          <w:p>
            <w:pPr>
              <w:pStyle w:val="Compact"/>
              <w:spacing w:after="40"/>
              <w:jc w:val="left"/>
            </w:pPr>
            <w:r>
              <w:rPr>
                <w:sz w:val="18"/>
              </w:rPr>
              <w:t xml:space="preserve">IV1–IV7</w:t>
            </w:r>
          </w:p>
        </w:tc>
        <w:tc>
          <w:tcPr>
            <w:tcW w:w="995" w:type="dxa"/>
          </w:tcPr>
          <w:p>
            <w:pPr>
              <w:pStyle w:val="Compact"/>
              <w:spacing w:after="40"/>
              <w:jc w:val="left"/>
            </w:pPr>
            <w:r>
              <w:rPr>
                <w:sz w:val="18"/>
              </w:rPr>
              <w:t xml:space="preserve">17d</w:t>
            </w:r>
          </w:p>
        </w:tc>
        <w:tc>
          <w:tcPr>
            <w:tcW w:w="1829" w:type="dxa"/>
          </w:tcPr>
          <w:p>
            <w:pPr>
              <w:pStyle w:val="Compact"/>
              <w:spacing w:after="40"/>
              <w:jc w:val="left"/>
            </w:pPr>
            <w:r>
              <w:rPr>
                <w:sz w:val="18"/>
              </w:rPr>
              <w:t xml:space="preserve">Dealers, approvers, back and mid office</w:t>
            </w:r>
          </w:p>
        </w:tc>
      </w:tr>
      <w:tr>
        <w:tc>
          <w:tcPr>
            <w:tcW w:w="2792" w:type="dxa"/>
          </w:tcPr>
          <w:p>
            <w:pPr>
              <w:pStyle w:val="Compact"/>
              <w:spacing w:after="40"/>
              <w:jc w:val="left"/>
            </w:pPr>
            <w:r>
              <w:rPr>
                <w:rStyle w:val="VerbatimChar"/>
                <w:sz w:val="18"/>
              </w:rPr>
              <w:t xml:space="preserve">Treasury › Liquidity desk</w:t>
            </w:r>
          </w:p>
        </w:tc>
        <w:tc>
          <w:tcPr>
            <w:tcW w:w="3027" w:type="dxa"/>
          </w:tcPr>
          <w:p>
            <w:pPr>
              <w:pStyle w:val="Compact"/>
              <w:spacing w:after="40"/>
              <w:jc w:val="left"/>
            </w:pPr>
            <w:r>
              <w:rPr>
                <w:sz w:val="18"/>
              </w:rPr>
              <w:t xml:space="preserve">Read view of RK4 LCR, funding wall, CFP triggers</w:t>
            </w:r>
          </w:p>
        </w:tc>
        <w:tc>
          <w:tcPr>
            <w:tcW w:w="995" w:type="dxa"/>
          </w:tcPr>
          <w:p>
            <w:pPr>
              <w:pStyle w:val="Compact"/>
              <w:spacing w:after="40"/>
              <w:jc w:val="left"/>
            </w:pPr>
            <w:r>
              <w:rPr>
                <w:sz w:val="18"/>
              </w:rPr>
              <w:t xml:space="preserve">RK4</w:t>
            </w:r>
          </w:p>
        </w:tc>
        <w:tc>
          <w:tcPr>
            <w:tcW w:w="995" w:type="dxa"/>
          </w:tcPr>
          <w:p>
            <w:pPr>
              <w:pStyle w:val="Compact"/>
              <w:spacing w:after="40"/>
              <w:jc w:val="left"/>
            </w:pPr>
            <w:r>
              <w:rPr>
                <w:sz w:val="18"/>
              </w:rPr>
              <w:t xml:space="preserve">17d</w:t>
            </w:r>
          </w:p>
        </w:tc>
        <w:tc>
          <w:tcPr>
            <w:tcW w:w="1829" w:type="dxa"/>
          </w:tcPr>
          <w:p>
            <w:pPr>
              <w:pStyle w:val="Compact"/>
              <w:spacing w:after="40"/>
              <w:jc w:val="left"/>
            </w:pPr>
            <w:r>
              <w:rPr>
                <w:sz w:val="18"/>
              </w:rPr>
              <w:t xml:space="preserve">Dealers</w:t>
            </w:r>
          </w:p>
        </w:tc>
      </w:tr>
    </w:tbl>
    <w:bookmarkEnd w:id="918"/>
    <w:bookmarkStart w:id="919" w:name="g.3.11-profile-gated-menus"/>
    <w:p>
      <w:pPr>
        <w:pStyle w:val="Heading3"/>
      </w:pPr>
      <w:r>
        <w:t xml:space="preserve">G.3.11 Profile-gated menus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655"/>
        <w:gridCol w:w="2818"/>
        <w:gridCol w:w="1015"/>
        <w:gridCol w:w="1015"/>
        <w:gridCol w:w="2135"/>
      </w:tblGrid>
      <w:tr>
        <w:trPr>
          <w:tblHeader w:val="true"/>
          <w:tblHeader w:val="true"/>
        </w:trPr>
        <w:tc>
          <w:tcPr>
            <w:tcW w:w="2655" w:type="dxa"/>
            <w:shd w:val="clear" w:color="auto" w:fill="1F3A5F"/>
          </w:tcPr>
          <w:p>
            <w:pPr>
              <w:pStyle w:val="Compact"/>
              <w:spacing w:after="40"/>
              <w:jc w:val="left"/>
            </w:pPr>
            <w:r>
              <w:rPr>
                <w:b/>
                <w:color w:val="FFFFFF"/>
                <w:sz w:val="18"/>
              </w:rPr>
              <w:t xml:space="preserve">Path</w:t>
            </w:r>
          </w:p>
        </w:tc>
        <w:tc>
          <w:tcPr>
            <w:tcW w:w="2818" w:type="dxa"/>
            <w:shd w:val="clear" w:color="auto" w:fill="1F3A5F"/>
          </w:tcPr>
          <w:p>
            <w:pPr>
              <w:pStyle w:val="Compact"/>
              <w:spacing w:after="40"/>
              <w:jc w:val="left"/>
            </w:pPr>
            <w:r>
              <w:rPr>
                <w:b/>
                <w:color w:val="FFFFFF"/>
                <w:sz w:val="18"/>
              </w:rPr>
              <w:t xml:space="preserve">Screens and key actions</w:t>
            </w:r>
          </w:p>
        </w:tc>
        <w:tc>
          <w:tcPr>
            <w:tcW w:w="1015" w:type="dxa"/>
            <w:shd w:val="clear" w:color="auto" w:fill="1F3A5F"/>
          </w:tcPr>
          <w:p>
            <w:pPr>
              <w:pStyle w:val="Compact"/>
              <w:spacing w:after="40"/>
              <w:jc w:val="left"/>
            </w:pPr>
            <w:r>
              <w:rPr>
                <w:b/>
                <w:color w:val="FFFFFF"/>
                <w:sz w:val="18"/>
              </w:rPr>
              <w:t xml:space="preserve">Owner</w:t>
            </w:r>
          </w:p>
        </w:tc>
        <w:tc>
          <w:tcPr>
            <w:tcW w:w="1015" w:type="dxa"/>
            <w:shd w:val="clear" w:color="auto" w:fill="1F3A5F"/>
          </w:tcPr>
          <w:p>
            <w:pPr>
              <w:pStyle w:val="Compact"/>
              <w:spacing w:after="40"/>
              <w:jc w:val="left"/>
            </w:pPr>
            <w:r>
              <w:rPr>
                <w:b/>
                <w:color w:val="FFFFFF"/>
                <w:sz w:val="18"/>
              </w:rPr>
              <w:t xml:space="preserve">Phase</w:t>
            </w:r>
          </w:p>
        </w:tc>
        <w:tc>
          <w:tcPr>
            <w:tcW w:w="2135" w:type="dxa"/>
            <w:shd w:val="clear" w:color="auto" w:fill="1F3A5F"/>
          </w:tcPr>
          <w:p>
            <w:pPr>
              <w:pStyle w:val="Compact"/>
              <w:spacing w:after="40"/>
              <w:jc w:val="left"/>
            </w:pPr>
            <w:r>
              <w:rPr>
                <w:b/>
                <w:color w:val="FFFFFF"/>
                <w:sz w:val="18"/>
              </w:rPr>
              <w:t xml:space="preserve">Roles</w:t>
            </w:r>
          </w:p>
        </w:tc>
      </w:tr>
      <w:tr>
        <w:tc>
          <w:tcPr>
            <w:tcW w:w="2655" w:type="dxa"/>
          </w:tcPr>
          <w:p>
            <w:pPr>
              <w:pStyle w:val="Compact"/>
              <w:spacing w:after="40"/>
              <w:jc w:val="left"/>
            </w:pPr>
            <w:r>
              <w:rPr>
                <w:rStyle w:val="VerbatimChar"/>
                <w:sz w:val="18"/>
              </w:rPr>
              <w:t xml:space="preserve">Members ›</w:t>
            </w:r>
            <w:r>
              <w:rPr>
                <w:sz w:val="18"/>
              </w:rPr>
              <w:t xml:space="preserve"> </w:t>
            </w:r>
            <w:r>
              <w:rPr>
                <w:sz w:val="18"/>
              </w:rPr>
              <w:t xml:space="preserve">Register, Shares, Deposits adapter, Dividends, AGM, Audit and returns</w:t>
            </w:r>
          </w:p>
        </w:tc>
        <w:tc>
          <w:tcPr>
            <w:tcW w:w="2818" w:type="dxa"/>
          </w:tcPr>
          <w:p>
            <w:pPr>
              <w:pStyle w:val="Compact"/>
              <w:spacing w:after="40"/>
              <w:jc w:val="left"/>
            </w:pPr>
            <w:r>
              <w:rPr>
                <w:sz w:val="18"/>
              </w:rPr>
              <w:t xml:space="preserve">As IP2; for</w:t>
            </w:r>
            <w:r>
              <w:rPr>
                <w:sz w:val="18"/>
              </w:rPr>
              <w:t xml:space="preserve"> </w:t>
            </w:r>
            <w:r>
              <w:rPr>
                <w:rStyle w:val="VerbatimChar"/>
                <w:sz w:val="18"/>
              </w:rPr>
              <w:t xml:space="preserve">COOP</w:t>
            </w:r>
            <w:r>
              <w:rPr>
                <w:sz w:val="18"/>
              </w:rPr>
              <w:t xml:space="preserve"> </w:t>
            </w:r>
            <w:r>
              <w:rPr>
                <w:sz w:val="18"/>
              </w:rPr>
              <w:t xml:space="preserve">also</w:t>
            </w:r>
            <w:r>
              <w:rPr>
                <w:sz w:val="18"/>
              </w:rPr>
              <w:t xml:space="preserve"> </w:t>
            </w:r>
            <w:r>
              <w:rPr>
                <w:rStyle w:val="VerbatimChar"/>
                <w:sz w:val="18"/>
              </w:rPr>
              <w:t xml:space="preserve">› KYC and AML</w:t>
            </w:r>
            <w:r>
              <w:rPr>
                <w:sz w:val="18"/>
              </w:rPr>
              <w:t xml:space="preserve"> </w:t>
            </w:r>
            <w:r>
              <w:rPr>
                <w:sz w:val="18"/>
              </w:rPr>
              <w:t xml:space="preserve">and CIF tabs folded from</w:t>
            </w:r>
            <w:r>
              <w:rPr>
                <w:sz w:val="18"/>
              </w:rPr>
              <w:t xml:space="preserve"> </w:t>
            </w:r>
            <w:r>
              <w:rPr>
                <w:rStyle w:val="VerbatimChar"/>
                <w:sz w:val="18"/>
              </w:rPr>
              <w:t xml:space="preserve">Customers</w:t>
            </w:r>
          </w:p>
        </w:tc>
        <w:tc>
          <w:tcPr>
            <w:tcW w:w="1015" w:type="dxa"/>
          </w:tcPr>
          <w:p>
            <w:pPr>
              <w:pStyle w:val="Compact"/>
              <w:spacing w:after="40"/>
              <w:jc w:val="left"/>
            </w:pPr>
            <w:r>
              <w:rPr>
                <w:sz w:val="18"/>
              </w:rPr>
              <w:t xml:space="preserve">IP2</w:t>
            </w:r>
          </w:p>
        </w:tc>
        <w:tc>
          <w:tcPr>
            <w:tcW w:w="1015" w:type="dxa"/>
          </w:tcPr>
          <w:p>
            <w:pPr>
              <w:pStyle w:val="Compact"/>
              <w:spacing w:after="40"/>
              <w:jc w:val="left"/>
            </w:pPr>
            <w:r>
              <w:rPr>
                <w:sz w:val="18"/>
              </w:rPr>
              <w:t xml:space="preserve">17c</w:t>
            </w:r>
          </w:p>
        </w:tc>
        <w:tc>
          <w:tcPr>
            <w:tcW w:w="2135" w:type="dxa"/>
          </w:tcPr>
          <w:p>
            <w:pPr>
              <w:pStyle w:val="Compact"/>
              <w:spacing w:after="40"/>
              <w:jc w:val="left"/>
            </w:pPr>
            <w:r>
              <w:rPr>
                <w:sz w:val="18"/>
              </w:rPr>
              <w:t xml:space="preserve">Branch (A), secretary and board (S), compliance (K)</w:t>
            </w:r>
          </w:p>
        </w:tc>
      </w:tr>
      <w:tr>
        <w:tc>
          <w:tcPr>
            <w:tcW w:w="2655" w:type="dxa"/>
          </w:tcPr>
          <w:p>
            <w:pPr>
              <w:pStyle w:val="Compact"/>
              <w:spacing w:after="40"/>
              <w:jc w:val="left"/>
            </w:pPr>
            <w:r>
              <w:rPr>
                <w:rStyle w:val="VerbatimChar"/>
                <w:sz w:val="18"/>
              </w:rPr>
              <w:t xml:space="preserve">Members › Disputes and statutory recovery</w:t>
            </w:r>
          </w:p>
        </w:tc>
        <w:tc>
          <w:tcPr>
            <w:tcW w:w="2818" w:type="dxa"/>
          </w:tcPr>
          <w:p>
            <w:pPr>
              <w:pStyle w:val="Compact"/>
              <w:spacing w:after="40"/>
              <w:jc w:val="left"/>
            </w:pPr>
            <w:r>
              <w:rPr>
                <w:sz w:val="18"/>
              </w:rPr>
              <w:t xml:space="preserve">Registrar or co-operative-court disputes (IP2.11); private arbitration blocked (GR-7G-05)</w:t>
            </w:r>
          </w:p>
        </w:tc>
        <w:tc>
          <w:tcPr>
            <w:tcW w:w="1015" w:type="dxa"/>
          </w:tcPr>
          <w:p>
            <w:pPr>
              <w:pStyle w:val="Compact"/>
              <w:spacing w:after="40"/>
              <w:jc w:val="left"/>
            </w:pPr>
            <w:r>
              <w:rPr>
                <w:sz w:val="18"/>
              </w:rPr>
              <w:t xml:space="preserve">IP2</w:t>
            </w:r>
          </w:p>
        </w:tc>
        <w:tc>
          <w:tcPr>
            <w:tcW w:w="1015" w:type="dxa"/>
          </w:tcPr>
          <w:p>
            <w:pPr>
              <w:pStyle w:val="Compact"/>
              <w:spacing w:after="40"/>
              <w:jc w:val="left"/>
            </w:pPr>
            <w:r>
              <w:rPr>
                <w:sz w:val="18"/>
              </w:rPr>
              <w:t xml:space="preserve">17c</w:t>
            </w:r>
          </w:p>
        </w:tc>
        <w:tc>
          <w:tcPr>
            <w:tcW w:w="2135" w:type="dxa"/>
          </w:tcPr>
          <w:p>
            <w:pPr>
              <w:pStyle w:val="Compact"/>
              <w:spacing w:after="40"/>
              <w:jc w:val="left"/>
            </w:pPr>
            <w:r>
              <w:rPr>
                <w:sz w:val="18"/>
              </w:rPr>
              <w:t xml:space="preserve">Secretary, legal</w:t>
            </w:r>
          </w:p>
        </w:tc>
      </w:tr>
      <w:tr>
        <w:tc>
          <w:tcPr>
            <w:tcW w:w="2655" w:type="dxa"/>
          </w:tcPr>
          <w:p>
            <w:pPr>
              <w:pStyle w:val="Compact"/>
              <w:spacing w:after="40"/>
              <w:jc w:val="left"/>
            </w:pPr>
            <w:r>
              <w:rPr>
                <w:rStyle w:val="VerbatimChar"/>
                <w:sz w:val="18"/>
              </w:rPr>
              <w:t xml:space="preserve">Microfinance ›</w:t>
            </w:r>
            <w:r>
              <w:rPr>
                <w:sz w:val="18"/>
              </w:rPr>
              <w:t xml:space="preserve"> </w:t>
            </w:r>
            <w:r>
              <w:rPr>
                <w:sz w:val="18"/>
              </w:rPr>
              <w:t xml:space="preserve">Centres, Groups, Meetings, Collections, Cash-in-transit</w:t>
            </w:r>
          </w:p>
        </w:tc>
        <w:tc>
          <w:tcPr>
            <w:tcW w:w="2818" w:type="dxa"/>
          </w:tcPr>
          <w:p>
            <w:pPr>
              <w:pStyle w:val="Compact"/>
              <w:spacing w:after="40"/>
              <w:jc w:val="left"/>
            </w:pPr>
            <w:r>
              <w:rPr>
                <w:sz w:val="18"/>
              </w:rPr>
              <w:t xml:space="preserve">As IP4</w:t>
            </w:r>
          </w:p>
        </w:tc>
        <w:tc>
          <w:tcPr>
            <w:tcW w:w="1015" w:type="dxa"/>
          </w:tcPr>
          <w:p>
            <w:pPr>
              <w:pStyle w:val="Compact"/>
              <w:spacing w:after="40"/>
              <w:jc w:val="left"/>
            </w:pPr>
            <w:r>
              <w:rPr>
                <w:sz w:val="18"/>
              </w:rPr>
              <w:t xml:space="preserve">IP4</w:t>
            </w:r>
          </w:p>
        </w:tc>
        <w:tc>
          <w:tcPr>
            <w:tcW w:w="1015" w:type="dxa"/>
          </w:tcPr>
          <w:p>
            <w:pPr>
              <w:pStyle w:val="Compact"/>
              <w:spacing w:after="40"/>
              <w:jc w:val="left"/>
            </w:pPr>
            <w:r>
              <w:rPr>
                <w:sz w:val="18"/>
              </w:rPr>
              <w:t xml:space="preserve">17c</w:t>
            </w:r>
          </w:p>
        </w:tc>
        <w:tc>
          <w:tcPr>
            <w:tcW w:w="2135" w:type="dxa"/>
          </w:tcPr>
          <w:p>
            <w:pPr>
              <w:pStyle w:val="Compact"/>
              <w:spacing w:after="40"/>
              <w:jc w:val="left"/>
            </w:pPr>
            <w:r>
              <w:rPr>
                <w:sz w:val="18"/>
              </w:rPr>
              <w:t xml:space="preserve">A, G, P; monitors (J)</w:t>
            </w:r>
          </w:p>
        </w:tc>
      </w:tr>
      <w:tr>
        <w:tc>
          <w:tcPr>
            <w:tcW w:w="2655" w:type="dxa"/>
          </w:tcPr>
          <w:p>
            <w:pPr>
              <w:pStyle w:val="Compact"/>
              <w:spacing w:after="40"/>
              <w:jc w:val="left"/>
            </w:pPr>
            <w:r>
              <w:rPr>
                <w:rStyle w:val="VerbatimChar"/>
                <w:sz w:val="18"/>
              </w:rPr>
              <w:t xml:space="preserve">ARC ›</w:t>
            </w:r>
            <w:r>
              <w:rPr>
                <w:sz w:val="18"/>
              </w:rPr>
              <w:t xml:space="preserve"> </w:t>
            </w:r>
            <w:r>
              <w:rPr>
                <w:sz w:val="18"/>
              </w:rPr>
              <w:t xml:space="preserve">Acquisitions, Trusts, SRs, Resolution, Disclosures</w:t>
            </w:r>
          </w:p>
        </w:tc>
        <w:tc>
          <w:tcPr>
            <w:tcW w:w="2818" w:type="dxa"/>
          </w:tcPr>
          <w:p>
            <w:pPr>
              <w:pStyle w:val="Compact"/>
              <w:spacing w:after="40"/>
              <w:jc w:val="left"/>
            </w:pPr>
            <w:r>
              <w:rPr>
                <w:sz w:val="18"/>
              </w:rPr>
              <w:t xml:space="preserve">As IP5</w:t>
            </w:r>
          </w:p>
        </w:tc>
        <w:tc>
          <w:tcPr>
            <w:tcW w:w="1015" w:type="dxa"/>
          </w:tcPr>
          <w:p>
            <w:pPr>
              <w:pStyle w:val="Compact"/>
              <w:spacing w:after="40"/>
              <w:jc w:val="left"/>
            </w:pPr>
            <w:r>
              <w:rPr>
                <w:sz w:val="18"/>
              </w:rPr>
              <w:t xml:space="preserve">IP5</w:t>
            </w:r>
          </w:p>
        </w:tc>
        <w:tc>
          <w:tcPr>
            <w:tcW w:w="1015" w:type="dxa"/>
          </w:tcPr>
          <w:p>
            <w:pPr>
              <w:pStyle w:val="Compact"/>
              <w:spacing w:after="40"/>
              <w:jc w:val="left"/>
            </w:pPr>
            <w:r>
              <w:rPr>
                <w:sz w:val="18"/>
              </w:rPr>
              <w:t xml:space="preserve">17d</w:t>
            </w:r>
          </w:p>
        </w:tc>
        <w:tc>
          <w:tcPr>
            <w:tcW w:w="2135" w:type="dxa"/>
          </w:tcPr>
          <w:p>
            <w:pPr>
              <w:pStyle w:val="Compact"/>
              <w:spacing w:after="40"/>
              <w:jc w:val="left"/>
            </w:pPr>
            <w:r>
              <w:rPr>
                <w:sz w:val="18"/>
              </w:rPr>
              <w:t xml:space="preserve">H, I, M</w:t>
            </w:r>
          </w:p>
        </w:tc>
      </w:tr>
      <w:tr>
        <w:tc>
          <w:tcPr>
            <w:tcW w:w="2655" w:type="dxa"/>
          </w:tcPr>
          <w:p>
            <w:pPr>
              <w:pStyle w:val="Compact"/>
              <w:spacing w:after="40"/>
              <w:jc w:val="left"/>
            </w:pPr>
            <w:r>
              <w:rPr>
                <w:rStyle w:val="VerbatimChar"/>
                <w:sz w:val="18"/>
              </w:rPr>
              <w:t xml:space="preserve">IFSC ›</w:t>
            </w:r>
            <w:r>
              <w:rPr>
                <w:sz w:val="18"/>
              </w:rPr>
              <w:t xml:space="preserve"> </w:t>
            </w:r>
            <w:r>
              <w:rPr>
                <w:sz w:val="18"/>
              </w:rPr>
              <w:t xml:space="preserve">Entity, USD ledger</w:t>
            </w:r>
          </w:p>
        </w:tc>
        <w:tc>
          <w:tcPr>
            <w:tcW w:w="2818" w:type="dxa"/>
          </w:tcPr>
          <w:p>
            <w:pPr>
              <w:pStyle w:val="Compact"/>
              <w:spacing w:after="40"/>
              <w:jc w:val="left"/>
            </w:pPr>
            <w:r>
              <w:rPr>
                <w:sz w:val="18"/>
              </w:rPr>
              <w:t xml:space="preserve">As IP6</w:t>
            </w:r>
          </w:p>
        </w:tc>
        <w:tc>
          <w:tcPr>
            <w:tcW w:w="1015" w:type="dxa"/>
          </w:tcPr>
          <w:p>
            <w:pPr>
              <w:pStyle w:val="Compact"/>
              <w:spacing w:after="40"/>
              <w:jc w:val="left"/>
            </w:pPr>
            <w:r>
              <w:rPr>
                <w:sz w:val="18"/>
              </w:rPr>
              <w:t xml:space="preserve">IP6</w:t>
            </w:r>
          </w:p>
        </w:tc>
        <w:tc>
          <w:tcPr>
            <w:tcW w:w="1015" w:type="dxa"/>
          </w:tcPr>
          <w:p>
            <w:pPr>
              <w:pStyle w:val="Compact"/>
              <w:spacing w:after="40"/>
              <w:jc w:val="left"/>
            </w:pPr>
            <w:r>
              <w:rPr>
                <w:sz w:val="18"/>
              </w:rPr>
              <w:t xml:space="preserve">17d</w:t>
            </w:r>
          </w:p>
        </w:tc>
        <w:tc>
          <w:tcPr>
            <w:tcW w:w="2135" w:type="dxa"/>
          </w:tcPr>
          <w:p>
            <w:pPr>
              <w:pStyle w:val="Compact"/>
              <w:spacing w:after="40"/>
              <w:jc w:val="left"/>
            </w:pPr>
            <w:r>
              <w:rPr>
                <w:sz w:val="18"/>
              </w:rPr>
              <w:t xml:space="preserve">I, K</w:t>
            </w:r>
          </w:p>
        </w:tc>
      </w:tr>
      <w:tr>
        <w:tc>
          <w:tcPr>
            <w:tcW w:w="2655" w:type="dxa"/>
          </w:tcPr>
          <w:p>
            <w:pPr>
              <w:pStyle w:val="Compact"/>
              <w:spacing w:after="40"/>
              <w:jc w:val="left"/>
            </w:pPr>
            <w:r>
              <w:rPr>
                <w:rStyle w:val="VerbatimChar"/>
                <w:sz w:val="18"/>
              </w:rPr>
              <w:t xml:space="preserve">Funds ›</w:t>
            </w:r>
            <w:r>
              <w:rPr>
                <w:sz w:val="18"/>
              </w:rPr>
              <w:t xml:space="preserve"> </w:t>
            </w:r>
            <w:r>
              <w:rPr>
                <w:sz w:val="18"/>
              </w:rPr>
              <w:t xml:space="preserve">Investors, Capital calls, NAV, Filings</w:t>
            </w:r>
          </w:p>
        </w:tc>
        <w:tc>
          <w:tcPr>
            <w:tcW w:w="2818" w:type="dxa"/>
          </w:tcPr>
          <w:p>
            <w:pPr>
              <w:pStyle w:val="Compact"/>
              <w:spacing w:after="40"/>
              <w:jc w:val="left"/>
            </w:pPr>
            <w:r>
              <w:rPr>
                <w:sz w:val="18"/>
              </w:rPr>
              <w:t xml:space="preserve">As Part 7H (AIF, PMS and IFSC-fund tenants)</w:t>
            </w:r>
          </w:p>
        </w:tc>
        <w:tc>
          <w:tcPr>
            <w:tcW w:w="1015" w:type="dxa"/>
          </w:tcPr>
          <w:p>
            <w:pPr>
              <w:pStyle w:val="Compact"/>
              <w:spacing w:after="40"/>
              <w:jc w:val="left"/>
            </w:pPr>
            <w:r>
              <w:rPr>
                <w:sz w:val="18"/>
              </w:rPr>
              <w:t xml:space="preserve">IV6</w:t>
            </w:r>
          </w:p>
        </w:tc>
        <w:tc>
          <w:tcPr>
            <w:tcW w:w="1015" w:type="dxa"/>
          </w:tcPr>
          <w:p>
            <w:pPr>
              <w:pStyle w:val="Compact"/>
              <w:spacing w:after="40"/>
              <w:jc w:val="left"/>
            </w:pPr>
            <w:r>
              <w:rPr>
                <w:sz w:val="18"/>
              </w:rPr>
              <w:t xml:space="preserve">17d</w:t>
            </w:r>
          </w:p>
        </w:tc>
        <w:tc>
          <w:tcPr>
            <w:tcW w:w="2135" w:type="dxa"/>
          </w:tcPr>
          <w:p>
            <w:pPr>
              <w:pStyle w:val="Compact"/>
              <w:spacing w:after="40"/>
              <w:jc w:val="left"/>
            </w:pPr>
            <w:r>
              <w:rPr>
                <w:sz w:val="18"/>
              </w:rPr>
              <w:t xml:space="preserve">Fund operations, manager</w:t>
            </w:r>
          </w:p>
        </w:tc>
      </w:tr>
    </w:tbl>
    <w:bookmarkEnd w:id="919"/>
    <w:bookmarkStart w:id="920" w:name="g.3.12-compliance-compliance"/>
    <w:p>
      <w:pPr>
        <w:pStyle w:val="Heading3"/>
      </w:pPr>
      <w:r>
        <w:t xml:space="preserve">G.3.12 Compliance (</w:t>
      </w:r>
      <w:r>
        <w:rPr>
          <w:rStyle w:val="VerbatimChar"/>
        </w:rPr>
        <w:t xml:space="preserve">compliance</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73"/>
        <w:gridCol w:w="3523"/>
        <w:gridCol w:w="899"/>
        <w:gridCol w:w="883"/>
        <w:gridCol w:w="1560"/>
      </w:tblGrid>
      <w:tr>
        <w:trPr>
          <w:tblHeader w:val="true"/>
          <w:tblHeader w:val="true"/>
        </w:trPr>
        <w:tc>
          <w:tcPr>
            <w:tcW w:w="2773" w:type="dxa"/>
            <w:shd w:val="clear" w:color="auto" w:fill="1F3A5F"/>
          </w:tcPr>
          <w:p>
            <w:pPr>
              <w:pStyle w:val="Compact"/>
              <w:spacing w:after="40"/>
              <w:jc w:val="left"/>
            </w:pPr>
            <w:r>
              <w:rPr>
                <w:b/>
                <w:color w:val="FFFFFF"/>
                <w:sz w:val="18"/>
              </w:rPr>
              <w:t xml:space="preserve">Path</w:t>
            </w:r>
          </w:p>
        </w:tc>
        <w:tc>
          <w:tcPr>
            <w:tcW w:w="3523" w:type="dxa"/>
            <w:shd w:val="clear" w:color="auto" w:fill="1F3A5F"/>
          </w:tcPr>
          <w:p>
            <w:pPr>
              <w:pStyle w:val="Compact"/>
              <w:spacing w:after="40"/>
              <w:jc w:val="left"/>
            </w:pPr>
            <w:r>
              <w:rPr>
                <w:b/>
                <w:color w:val="FFFFFF"/>
                <w:sz w:val="18"/>
              </w:rPr>
              <w:t xml:space="preserve">Screens and key actions</w:t>
            </w:r>
          </w:p>
        </w:tc>
        <w:tc>
          <w:tcPr>
            <w:tcW w:w="899" w:type="dxa"/>
            <w:shd w:val="clear" w:color="auto" w:fill="1F3A5F"/>
          </w:tcPr>
          <w:p>
            <w:pPr>
              <w:pStyle w:val="Compact"/>
              <w:spacing w:after="40"/>
              <w:jc w:val="left"/>
            </w:pPr>
            <w:r>
              <w:rPr>
                <w:b/>
                <w:color w:val="FFFFFF"/>
                <w:sz w:val="18"/>
              </w:rPr>
              <w:t xml:space="preserve">Owner</w:t>
            </w:r>
          </w:p>
        </w:tc>
        <w:tc>
          <w:tcPr>
            <w:tcW w:w="883" w:type="dxa"/>
            <w:shd w:val="clear" w:color="auto" w:fill="1F3A5F"/>
          </w:tcPr>
          <w:p>
            <w:pPr>
              <w:pStyle w:val="Compact"/>
              <w:spacing w:after="40"/>
              <w:jc w:val="left"/>
            </w:pPr>
            <w:r>
              <w:rPr>
                <w:b/>
                <w:color w:val="FFFFFF"/>
                <w:sz w:val="18"/>
              </w:rPr>
              <w:t xml:space="preserve">Phase</w:t>
            </w:r>
          </w:p>
        </w:tc>
        <w:tc>
          <w:tcPr>
            <w:tcW w:w="1560" w:type="dxa"/>
            <w:shd w:val="clear" w:color="auto" w:fill="1F3A5F"/>
          </w:tcPr>
          <w:p>
            <w:pPr>
              <w:pStyle w:val="Compact"/>
              <w:spacing w:after="40"/>
              <w:jc w:val="left"/>
            </w:pPr>
            <w:r>
              <w:rPr>
                <w:b/>
                <w:color w:val="FFFFFF"/>
                <w:sz w:val="18"/>
              </w:rPr>
              <w:t xml:space="preserve">Roles</w:t>
            </w:r>
          </w:p>
        </w:tc>
      </w:tr>
      <w:tr>
        <w:tc>
          <w:tcPr>
            <w:tcW w:w="2773" w:type="dxa"/>
          </w:tcPr>
          <w:p>
            <w:pPr>
              <w:pStyle w:val="Compact"/>
              <w:spacing w:after="40"/>
              <w:jc w:val="left"/>
            </w:pPr>
            <w:r>
              <w:rPr>
                <w:rStyle w:val="VerbatimChar"/>
                <w:sz w:val="18"/>
              </w:rPr>
              <w:t xml:space="preserve">Compliance › Dashboard</w:t>
            </w:r>
          </w:p>
        </w:tc>
        <w:tc>
          <w:tcPr>
            <w:tcW w:w="3523" w:type="dxa"/>
          </w:tcPr>
          <w:p>
            <w:pPr>
              <w:pStyle w:val="Compact"/>
              <w:spacing w:after="40"/>
              <w:jc w:val="left"/>
            </w:pPr>
            <w:r>
              <w:rPr>
                <w:sz w:val="18"/>
              </w:rPr>
              <w:t xml:space="preserve">Obligation status, failing tests, returns RAG, RMP and MAP items, grievance clocks</w:t>
            </w:r>
          </w:p>
        </w:tc>
        <w:tc>
          <w:tcPr>
            <w:tcW w:w="899" w:type="dxa"/>
          </w:tcPr>
          <w:p>
            <w:pPr>
              <w:pStyle w:val="Compact"/>
              <w:spacing w:after="40"/>
              <w:jc w:val="left"/>
            </w:pPr>
            <w:r>
              <w:rPr>
                <w:sz w:val="18"/>
              </w:rPr>
              <w:t xml:space="preserve">M14</w:t>
            </w:r>
          </w:p>
        </w:tc>
        <w:tc>
          <w:tcPr>
            <w:tcW w:w="883" w:type="dxa"/>
          </w:tcPr>
          <w:p>
            <w:pPr>
              <w:pStyle w:val="Compact"/>
              <w:spacing w:after="40"/>
              <w:jc w:val="left"/>
            </w:pPr>
            <w:r>
              <w:rPr>
                <w:sz w:val="18"/>
              </w:rPr>
              <w:t xml:space="preserve">14</w:t>
            </w:r>
          </w:p>
        </w:tc>
        <w:tc>
          <w:tcPr>
            <w:tcW w:w="1560" w:type="dxa"/>
          </w:tcPr>
          <w:p>
            <w:pPr>
              <w:pStyle w:val="Compact"/>
              <w:spacing w:after="40"/>
              <w:jc w:val="left"/>
            </w:pPr>
            <w:r>
              <w:rPr>
                <w:sz w:val="18"/>
              </w:rPr>
              <w:t xml:space="preserve">CCO office</w:t>
            </w:r>
          </w:p>
        </w:tc>
      </w:tr>
      <w:tr>
        <w:tc>
          <w:tcPr>
            <w:tcW w:w="2773" w:type="dxa"/>
          </w:tcPr>
          <w:p>
            <w:pPr>
              <w:pStyle w:val="Compact"/>
              <w:spacing w:after="40"/>
              <w:jc w:val="left"/>
            </w:pPr>
            <w:r>
              <w:rPr>
                <w:rStyle w:val="VerbatimChar"/>
                <w:sz w:val="18"/>
              </w:rPr>
              <w:t xml:space="preserve">Compliance › Obligations</w:t>
            </w:r>
          </w:p>
        </w:tc>
        <w:tc>
          <w:tcPr>
            <w:tcW w:w="3523" w:type="dxa"/>
          </w:tcPr>
          <w:p>
            <w:pPr>
              <w:pStyle w:val="Compact"/>
              <w:spacing w:after="40"/>
              <w:jc w:val="left"/>
            </w:pPr>
            <w:r>
              <w:rPr>
                <w:sz w:val="18"/>
              </w:rPr>
              <w:t xml:space="preserve">Register (instrument → paragraph → obligation → control → evidence → test) with applicability per entity; regulatory change workflow; non-return calendar</w:t>
            </w:r>
          </w:p>
        </w:tc>
        <w:tc>
          <w:tcPr>
            <w:tcW w:w="899" w:type="dxa"/>
          </w:tcPr>
          <w:p>
            <w:pPr>
              <w:pStyle w:val="Compact"/>
              <w:spacing w:after="40"/>
              <w:jc w:val="left"/>
            </w:pPr>
            <w:r>
              <w:rPr>
                <w:sz w:val="18"/>
              </w:rPr>
              <w:t xml:space="preserve">M14</w:t>
            </w:r>
          </w:p>
        </w:tc>
        <w:tc>
          <w:tcPr>
            <w:tcW w:w="883" w:type="dxa"/>
          </w:tcPr>
          <w:p>
            <w:pPr>
              <w:pStyle w:val="Compact"/>
              <w:spacing w:after="40"/>
              <w:jc w:val="left"/>
            </w:pPr>
            <w:r>
              <w:rPr>
                <w:sz w:val="18"/>
              </w:rPr>
              <w:t xml:space="preserve">0; 14</w:t>
            </w:r>
          </w:p>
        </w:tc>
        <w:tc>
          <w:tcPr>
            <w:tcW w:w="1560" w:type="dxa"/>
          </w:tcPr>
          <w:p>
            <w:pPr>
              <w:pStyle w:val="Compact"/>
              <w:spacing w:after="40"/>
              <w:jc w:val="left"/>
            </w:pPr>
            <w:r>
              <w:rPr>
                <w:sz w:val="18"/>
              </w:rPr>
              <w:t xml:space="preserve">CCO office, function owners</w:t>
            </w:r>
          </w:p>
        </w:tc>
      </w:tr>
      <w:tr>
        <w:tc>
          <w:tcPr>
            <w:tcW w:w="2773" w:type="dxa"/>
          </w:tcPr>
          <w:p>
            <w:pPr>
              <w:pStyle w:val="Compact"/>
              <w:spacing w:after="40"/>
              <w:jc w:val="left"/>
            </w:pPr>
            <w:r>
              <w:rPr>
                <w:rStyle w:val="VerbatimChar"/>
                <w:sz w:val="18"/>
              </w:rPr>
              <w:t xml:space="preserve">Compliance › Controls testing</w:t>
            </w:r>
          </w:p>
        </w:tc>
        <w:tc>
          <w:tcPr>
            <w:tcW w:w="3523" w:type="dxa"/>
          </w:tcPr>
          <w:p>
            <w:pPr>
              <w:pStyle w:val="Compact"/>
              <w:spacing w:after="40"/>
              <w:jc w:val="left"/>
            </w:pPr>
            <w:r>
              <w:rPr>
                <w:sz w:val="18"/>
              </w:rPr>
              <w:t xml:space="preserve">Automated tests with evidence (KFS before execution, no penal interest, document release, contact windows, CKYC, CIC files, NPA tagging, MSD para 7); failures open RMP items</w:t>
            </w:r>
          </w:p>
        </w:tc>
        <w:tc>
          <w:tcPr>
            <w:tcW w:w="899" w:type="dxa"/>
          </w:tcPr>
          <w:p>
            <w:pPr>
              <w:pStyle w:val="Compact"/>
              <w:spacing w:after="40"/>
              <w:jc w:val="left"/>
            </w:pPr>
            <w:r>
              <w:rPr>
                <w:sz w:val="18"/>
              </w:rPr>
              <w:t xml:space="preserve">M14</w:t>
            </w:r>
          </w:p>
        </w:tc>
        <w:tc>
          <w:tcPr>
            <w:tcW w:w="883" w:type="dxa"/>
          </w:tcPr>
          <w:p>
            <w:pPr>
              <w:pStyle w:val="Compact"/>
              <w:spacing w:after="40"/>
              <w:jc w:val="left"/>
            </w:pPr>
            <w:r>
              <w:rPr>
                <w:sz w:val="18"/>
              </w:rPr>
              <w:t xml:space="preserve">14</w:t>
            </w:r>
          </w:p>
        </w:tc>
        <w:tc>
          <w:tcPr>
            <w:tcW w:w="1560" w:type="dxa"/>
          </w:tcPr>
          <w:p>
            <w:pPr>
              <w:pStyle w:val="Compact"/>
              <w:spacing w:after="40"/>
              <w:jc w:val="left"/>
            </w:pPr>
            <w:r>
              <w:rPr>
                <w:sz w:val="18"/>
              </w:rPr>
              <w:t xml:space="preserve">Testers</w:t>
            </w:r>
          </w:p>
        </w:tc>
      </w:tr>
      <w:tr>
        <w:tc>
          <w:tcPr>
            <w:tcW w:w="2773" w:type="dxa"/>
          </w:tcPr>
          <w:p>
            <w:pPr>
              <w:pStyle w:val="Compact"/>
              <w:spacing w:after="40"/>
              <w:jc w:val="left"/>
            </w:pPr>
            <w:r>
              <w:rPr>
                <w:rStyle w:val="VerbatimChar"/>
                <w:sz w:val="18"/>
              </w:rPr>
              <w:t xml:space="preserve">Compliance › Policies and products</w:t>
            </w:r>
          </w:p>
        </w:tc>
        <w:tc>
          <w:tcPr>
            <w:tcW w:w="3523" w:type="dxa"/>
          </w:tcPr>
          <w:p>
            <w:pPr>
              <w:pStyle w:val="Compact"/>
              <w:spacing w:after="40"/>
              <w:jc w:val="left"/>
            </w:pPr>
            <w:r>
              <w:rPr>
                <w:sz w:val="18"/>
              </w:rPr>
              <w:t xml:space="preserve">Policy library and review clocks; product approval gate; 6-month monitoring</w:t>
            </w:r>
          </w:p>
        </w:tc>
        <w:tc>
          <w:tcPr>
            <w:tcW w:w="899" w:type="dxa"/>
          </w:tcPr>
          <w:p>
            <w:pPr>
              <w:pStyle w:val="Compact"/>
              <w:spacing w:after="40"/>
              <w:jc w:val="left"/>
            </w:pPr>
            <w:r>
              <w:rPr>
                <w:sz w:val="18"/>
              </w:rPr>
              <w:t xml:space="preserve">M14 (CMP)</w:t>
            </w:r>
          </w:p>
        </w:tc>
        <w:tc>
          <w:tcPr>
            <w:tcW w:w="883" w:type="dxa"/>
          </w:tcPr>
          <w:p>
            <w:pPr>
              <w:pStyle w:val="Compact"/>
              <w:spacing w:after="40"/>
              <w:jc w:val="left"/>
            </w:pPr>
            <w:r>
              <w:rPr>
                <w:sz w:val="18"/>
              </w:rPr>
              <w:t xml:space="preserve">14</w:t>
            </w:r>
          </w:p>
        </w:tc>
        <w:tc>
          <w:tcPr>
            <w:tcW w:w="1560" w:type="dxa"/>
          </w:tcPr>
          <w:p>
            <w:pPr>
              <w:pStyle w:val="Compact"/>
              <w:spacing w:after="40"/>
              <w:jc w:val="left"/>
            </w:pPr>
            <w:r>
              <w:rPr>
                <w:sz w:val="18"/>
              </w:rPr>
              <w:t xml:space="preserve">CCO office</w:t>
            </w:r>
          </w:p>
        </w:tc>
      </w:tr>
      <w:tr>
        <w:tc>
          <w:tcPr>
            <w:tcW w:w="2773" w:type="dxa"/>
          </w:tcPr>
          <w:p>
            <w:pPr>
              <w:pStyle w:val="Compact"/>
              <w:spacing w:after="40"/>
              <w:jc w:val="left"/>
            </w:pPr>
            <w:r>
              <w:rPr>
                <w:rStyle w:val="VerbatimChar"/>
                <w:sz w:val="18"/>
              </w:rPr>
              <w:t xml:space="preserve">Compliance › Inspections</w:t>
            </w:r>
          </w:p>
        </w:tc>
        <w:tc>
          <w:tcPr>
            <w:tcW w:w="3523" w:type="dxa"/>
          </w:tcPr>
          <w:p>
            <w:pPr>
              <w:pStyle w:val="Compact"/>
              <w:spacing w:after="40"/>
              <w:jc w:val="left"/>
            </w:pPr>
            <w:r>
              <w:rPr>
                <w:sz w:val="18"/>
              </w:rPr>
              <w:t xml:space="preserve">Inspection observations, RMP and MAP tracker; link to</w:t>
            </w:r>
            <w:r>
              <w:rPr>
                <w:sz w:val="18"/>
              </w:rPr>
              <w:t xml:space="preserve"> </w:t>
            </w:r>
            <w:r>
              <w:rPr>
                <w:rStyle w:val="VerbatimChar"/>
                <w:sz w:val="18"/>
              </w:rPr>
              <w:t xml:space="preserve">› Returns › RBI queries</w:t>
            </w:r>
          </w:p>
        </w:tc>
        <w:tc>
          <w:tcPr>
            <w:tcW w:w="899" w:type="dxa"/>
          </w:tcPr>
          <w:p>
            <w:pPr>
              <w:pStyle w:val="Compact"/>
              <w:spacing w:after="40"/>
              <w:jc w:val="left"/>
            </w:pPr>
            <w:r>
              <w:rPr>
                <w:sz w:val="18"/>
              </w:rPr>
              <w:t xml:space="preserve">M14, RR5</w:t>
            </w:r>
          </w:p>
        </w:tc>
        <w:tc>
          <w:tcPr>
            <w:tcW w:w="883" w:type="dxa"/>
          </w:tcPr>
          <w:p>
            <w:pPr>
              <w:pStyle w:val="Compact"/>
              <w:spacing w:after="40"/>
              <w:jc w:val="left"/>
            </w:pPr>
            <w:r>
              <w:rPr>
                <w:sz w:val="18"/>
              </w:rPr>
              <w:t xml:space="preserve">14</w:t>
            </w:r>
          </w:p>
        </w:tc>
        <w:tc>
          <w:tcPr>
            <w:tcW w:w="1560" w:type="dxa"/>
          </w:tcPr>
          <w:p>
            <w:pPr>
              <w:pStyle w:val="Compact"/>
              <w:spacing w:after="40"/>
              <w:jc w:val="left"/>
            </w:pPr>
            <w:r>
              <w:rPr>
                <w:sz w:val="18"/>
              </w:rPr>
              <w:t xml:space="preserve">CCO, owners</w:t>
            </w:r>
          </w:p>
        </w:tc>
      </w:tr>
      <w:tr>
        <w:tc>
          <w:tcPr>
            <w:tcW w:w="2773" w:type="dxa"/>
          </w:tcPr>
          <w:p>
            <w:pPr>
              <w:pStyle w:val="Compact"/>
              <w:spacing w:after="40"/>
              <w:jc w:val="left"/>
            </w:pPr>
            <w:r>
              <w:rPr>
                <w:rStyle w:val="VerbatimChar"/>
                <w:sz w:val="18"/>
              </w:rPr>
              <w:t xml:space="preserve">Compliance › Returns ›</w:t>
            </w:r>
            <w:r>
              <w:rPr>
                <w:sz w:val="18"/>
              </w:rPr>
              <w:t xml:space="preserve"> </w:t>
            </w:r>
            <w:r>
              <w:rPr>
                <w:sz w:val="18"/>
              </w:rPr>
              <w:t xml:space="preserve">Calendar, Run, Approvals, Registry, Data dictionary, Portal filings, RBI queries, Dashboard</w:t>
            </w:r>
          </w:p>
        </w:tc>
        <w:tc>
          <w:tcPr>
            <w:tcW w:w="3523" w:type="dxa"/>
          </w:tcPr>
          <w:p>
            <w:pPr>
              <w:pStyle w:val="Compact"/>
              <w:spacing w:after="40"/>
              <w:jc w:val="left"/>
            </w:pPr>
            <w:r>
              <w:rPr>
                <w:sz w:val="18"/>
              </w:rPr>
              <w:t xml:space="preserve">As RR9.2; Calendar is the workspace K landing</w:t>
            </w:r>
          </w:p>
        </w:tc>
        <w:tc>
          <w:tcPr>
            <w:tcW w:w="899" w:type="dxa"/>
          </w:tcPr>
          <w:p>
            <w:pPr>
              <w:pStyle w:val="Compact"/>
              <w:spacing w:after="40"/>
              <w:jc w:val="left"/>
            </w:pPr>
            <w:r>
              <w:rPr>
                <w:sz w:val="18"/>
              </w:rPr>
              <w:t xml:space="preserve">RR1–RR5, RR8</w:t>
            </w:r>
          </w:p>
        </w:tc>
        <w:tc>
          <w:tcPr>
            <w:tcW w:w="883" w:type="dxa"/>
          </w:tcPr>
          <w:p>
            <w:pPr>
              <w:pStyle w:val="Compact"/>
              <w:spacing w:after="40"/>
              <w:jc w:val="left"/>
            </w:pPr>
            <w:r>
              <w:rPr>
                <w:sz w:val="18"/>
              </w:rPr>
              <w:t xml:space="preserve">14b</w:t>
            </w:r>
          </w:p>
        </w:tc>
        <w:tc>
          <w:tcPr>
            <w:tcW w:w="1560" w:type="dxa"/>
          </w:tcPr>
          <w:p>
            <w:pPr>
              <w:pStyle w:val="Compact"/>
              <w:spacing w:after="40"/>
              <w:jc w:val="left"/>
            </w:pPr>
            <w:r>
              <w:rPr>
                <w:sz w:val="18"/>
              </w:rPr>
              <w:t xml:space="preserve">Makers, checkers, signatories</w:t>
            </w:r>
          </w:p>
        </w:tc>
      </w:tr>
      <w:tr>
        <w:tc>
          <w:tcPr>
            <w:tcW w:w="2773" w:type="dxa"/>
          </w:tcPr>
          <w:p>
            <w:pPr>
              <w:pStyle w:val="Compact"/>
              <w:spacing w:after="40"/>
              <w:jc w:val="left"/>
            </w:pPr>
            <w:r>
              <w:rPr>
                <w:rStyle w:val="VerbatimChar"/>
                <w:sz w:val="18"/>
              </w:rPr>
              <w:t xml:space="preserve">Compliance › Credit Bureaus ›</w:t>
            </w:r>
            <w:r>
              <w:rPr>
                <w:sz w:val="18"/>
              </w:rPr>
              <w:t xml:space="preserve"> </w:t>
            </w:r>
            <w:r>
              <w:rPr>
                <w:sz w:val="18"/>
              </w:rPr>
              <w:t xml:space="preserve">Cycles, Cycle, Rejections, Disputes, Data quality, Formats, Nodal and alerts</w:t>
            </w:r>
          </w:p>
        </w:tc>
        <w:tc>
          <w:tcPr>
            <w:tcW w:w="3523" w:type="dxa"/>
          </w:tcPr>
          <w:p>
            <w:pPr>
              <w:pStyle w:val="Compact"/>
              <w:spacing w:after="40"/>
              <w:jc w:val="left"/>
            </w:pPr>
            <w:r>
              <w:rPr>
                <w:sz w:val="18"/>
              </w:rPr>
              <w:t xml:space="preserve">As RR9.2</w:t>
            </w:r>
          </w:p>
        </w:tc>
        <w:tc>
          <w:tcPr>
            <w:tcW w:w="899" w:type="dxa"/>
          </w:tcPr>
          <w:p>
            <w:pPr>
              <w:pStyle w:val="Compact"/>
              <w:spacing w:after="40"/>
              <w:jc w:val="left"/>
            </w:pPr>
            <w:r>
              <w:rPr>
                <w:sz w:val="18"/>
              </w:rPr>
              <w:t xml:space="preserve">RR6–RR7</w:t>
            </w:r>
          </w:p>
        </w:tc>
        <w:tc>
          <w:tcPr>
            <w:tcW w:w="883" w:type="dxa"/>
          </w:tcPr>
          <w:p>
            <w:pPr>
              <w:pStyle w:val="Compact"/>
              <w:spacing w:after="40"/>
              <w:jc w:val="left"/>
            </w:pPr>
            <w:r>
              <w:rPr>
                <w:sz w:val="18"/>
              </w:rPr>
              <w:t xml:space="preserve">14c</w:t>
            </w:r>
          </w:p>
        </w:tc>
        <w:tc>
          <w:tcPr>
            <w:tcW w:w="1560" w:type="dxa"/>
          </w:tcPr>
          <w:p>
            <w:pPr>
              <w:pStyle w:val="Compact"/>
              <w:spacing w:after="40"/>
              <w:jc w:val="left"/>
            </w:pPr>
            <w:r>
              <w:rPr>
                <w:sz w:val="18"/>
              </w:rPr>
              <w:t xml:space="preserve">Bureau ops, nodal officer</w:t>
            </w:r>
          </w:p>
        </w:tc>
      </w:tr>
      <w:tr>
        <w:tc>
          <w:tcPr>
            <w:tcW w:w="2773" w:type="dxa"/>
          </w:tcPr>
          <w:p>
            <w:pPr>
              <w:pStyle w:val="Compact"/>
              <w:spacing w:after="40"/>
              <w:jc w:val="left"/>
            </w:pPr>
            <w:r>
              <w:rPr>
                <w:rStyle w:val="VerbatimChar"/>
                <w:sz w:val="18"/>
              </w:rPr>
              <w:t xml:space="preserve">Compliance › Grievances</w:t>
            </w:r>
          </w:p>
        </w:tc>
        <w:tc>
          <w:tcPr>
            <w:tcW w:w="3523" w:type="dxa"/>
          </w:tcPr>
          <w:p>
            <w:pPr>
              <w:pStyle w:val="Compact"/>
              <w:spacing w:after="40"/>
              <w:jc w:val="left"/>
            </w:pPr>
            <w:r>
              <w:rPr>
                <w:sz w:val="18"/>
              </w:rPr>
              <w:t xml:space="preserve">Register with SLA clocks; classification (AI-assisted, human-confirmed); root cause; RB-IOS 2026 references (15-day clock); Equator referral never bypassing the GRO, IO or RB-IOS route</w:t>
            </w:r>
          </w:p>
        </w:tc>
        <w:tc>
          <w:tcPr>
            <w:tcW w:w="899" w:type="dxa"/>
          </w:tcPr>
          <w:p>
            <w:pPr>
              <w:pStyle w:val="Compact"/>
              <w:spacing w:after="40"/>
              <w:jc w:val="left"/>
            </w:pPr>
            <w:r>
              <w:rPr>
                <w:sz w:val="18"/>
              </w:rPr>
              <w:t xml:space="preserve">M15</w:t>
            </w:r>
          </w:p>
        </w:tc>
        <w:tc>
          <w:tcPr>
            <w:tcW w:w="883" w:type="dxa"/>
          </w:tcPr>
          <w:p>
            <w:pPr>
              <w:pStyle w:val="Compact"/>
              <w:spacing w:after="40"/>
              <w:jc w:val="left"/>
            </w:pPr>
            <w:r>
              <w:rPr>
                <w:sz w:val="18"/>
              </w:rPr>
              <w:t xml:space="preserve">15</w:t>
            </w:r>
          </w:p>
        </w:tc>
        <w:tc>
          <w:tcPr>
            <w:tcW w:w="1560" w:type="dxa"/>
          </w:tcPr>
          <w:p>
            <w:pPr>
              <w:pStyle w:val="Compact"/>
              <w:spacing w:after="40"/>
              <w:jc w:val="left"/>
            </w:pPr>
            <w:r>
              <w:rPr>
                <w:sz w:val="18"/>
              </w:rPr>
              <w:t xml:space="preserve">Grievance team, GRO; servicing (own)</w:t>
            </w:r>
          </w:p>
        </w:tc>
      </w:tr>
      <w:tr>
        <w:tc>
          <w:tcPr>
            <w:tcW w:w="2773" w:type="dxa"/>
          </w:tcPr>
          <w:p>
            <w:pPr>
              <w:pStyle w:val="Compact"/>
              <w:spacing w:after="40"/>
              <w:jc w:val="left"/>
            </w:pPr>
            <w:r>
              <w:rPr>
                <w:rStyle w:val="VerbatimChar"/>
                <w:sz w:val="18"/>
              </w:rPr>
              <w:t xml:space="preserve">Compliance › Grievances › Internal Ombudsman</w:t>
            </w:r>
          </w:p>
        </w:tc>
        <w:tc>
          <w:tcPr>
            <w:tcW w:w="3523" w:type="dxa"/>
          </w:tcPr>
          <w:p>
            <w:pPr>
              <w:pStyle w:val="Compact"/>
              <w:spacing w:after="40"/>
              <w:jc w:val="left"/>
            </w:pPr>
            <w:r>
              <w:rPr>
                <w:sz w:val="18"/>
              </w:rPr>
              <w:t xml:space="preserve">IO queue and decisions</w:t>
            </w:r>
          </w:p>
        </w:tc>
        <w:tc>
          <w:tcPr>
            <w:tcW w:w="899" w:type="dxa"/>
          </w:tcPr>
          <w:p>
            <w:pPr>
              <w:pStyle w:val="Compact"/>
              <w:spacing w:after="40"/>
              <w:jc w:val="left"/>
            </w:pPr>
            <w:r>
              <w:rPr>
                <w:sz w:val="18"/>
              </w:rPr>
              <w:t xml:space="preserve">M15</w:t>
            </w:r>
          </w:p>
        </w:tc>
        <w:tc>
          <w:tcPr>
            <w:tcW w:w="883" w:type="dxa"/>
          </w:tcPr>
          <w:p>
            <w:pPr>
              <w:pStyle w:val="Compact"/>
              <w:spacing w:after="40"/>
              <w:jc w:val="left"/>
            </w:pPr>
            <w:r>
              <w:rPr>
                <w:sz w:val="18"/>
              </w:rPr>
              <w:t xml:space="preserve">15</w:t>
            </w:r>
          </w:p>
        </w:tc>
        <w:tc>
          <w:tcPr>
            <w:tcW w:w="1560" w:type="dxa"/>
          </w:tcPr>
          <w:p>
            <w:pPr>
              <w:pStyle w:val="Compact"/>
              <w:spacing w:after="40"/>
              <w:jc w:val="left"/>
            </w:pPr>
            <w:r>
              <w:rPr>
                <w:sz w:val="18"/>
              </w:rPr>
              <w:t xml:space="preserve">Internal Ombudsman</w:t>
            </w:r>
          </w:p>
        </w:tc>
      </w:tr>
      <w:tr>
        <w:tc>
          <w:tcPr>
            <w:tcW w:w="2773" w:type="dxa"/>
          </w:tcPr>
          <w:p>
            <w:pPr>
              <w:pStyle w:val="Compact"/>
              <w:spacing w:after="40"/>
              <w:jc w:val="left"/>
            </w:pPr>
            <w:r>
              <w:rPr>
                <w:rStyle w:val="VerbatimChar"/>
                <w:sz w:val="18"/>
              </w:rPr>
              <w:t xml:space="preserve">Compliance › Guard-rails</w:t>
            </w:r>
          </w:p>
        </w:tc>
        <w:tc>
          <w:tcPr>
            <w:tcW w:w="3523" w:type="dxa"/>
          </w:tcPr>
          <w:p>
            <w:pPr>
              <w:pStyle w:val="Compact"/>
              <w:spacing w:after="40"/>
              <w:jc w:val="left"/>
            </w:pPr>
            <w:r>
              <w:rPr>
                <w:sz w:val="18"/>
              </w:rPr>
              <w:t xml:space="preserve">As IP1 (read-only registry, evaluation log)</w:t>
            </w:r>
          </w:p>
        </w:tc>
        <w:tc>
          <w:tcPr>
            <w:tcW w:w="899" w:type="dxa"/>
          </w:tcPr>
          <w:p>
            <w:pPr>
              <w:pStyle w:val="Compact"/>
              <w:spacing w:after="40"/>
              <w:jc w:val="left"/>
            </w:pPr>
            <w:r>
              <w:rPr>
                <w:sz w:val="18"/>
              </w:rPr>
              <w:t xml:space="preserve">IP1</w:t>
            </w:r>
          </w:p>
        </w:tc>
        <w:tc>
          <w:tcPr>
            <w:tcW w:w="883" w:type="dxa"/>
          </w:tcPr>
          <w:p>
            <w:pPr>
              <w:pStyle w:val="Compact"/>
              <w:spacing w:after="40"/>
              <w:jc w:val="left"/>
            </w:pPr>
            <w:r>
              <w:rPr>
                <w:sz w:val="18"/>
              </w:rPr>
              <w:t xml:space="preserve">17c</w:t>
            </w:r>
          </w:p>
        </w:tc>
        <w:tc>
          <w:tcPr>
            <w:tcW w:w="1560" w:type="dxa"/>
          </w:tcPr>
          <w:p>
            <w:pPr>
              <w:pStyle w:val="Compact"/>
              <w:spacing w:after="40"/>
              <w:jc w:val="left"/>
            </w:pPr>
            <w:r>
              <w:rPr>
                <w:sz w:val="18"/>
              </w:rPr>
              <w:t xml:space="preserve">CCO, auditors</w:t>
            </w:r>
          </w:p>
        </w:tc>
      </w:tr>
      <w:tr>
        <w:tc>
          <w:tcPr>
            <w:tcW w:w="2773" w:type="dxa"/>
          </w:tcPr>
          <w:p>
            <w:pPr>
              <w:pStyle w:val="Compact"/>
              <w:spacing w:after="40"/>
              <w:jc w:val="left"/>
            </w:pPr>
            <w:r>
              <w:rPr>
                <w:rStyle w:val="VerbatimChar"/>
                <w:sz w:val="18"/>
              </w:rPr>
              <w:t xml:space="preserve">Compliance › GRC bridge</w:t>
            </w:r>
          </w:p>
        </w:tc>
        <w:tc>
          <w:tcPr>
            <w:tcW w:w="3523" w:type="dxa"/>
          </w:tcPr>
          <w:p>
            <w:pPr>
              <w:pStyle w:val="Compact"/>
              <w:spacing w:after="40"/>
              <w:jc w:val="left"/>
            </w:pPr>
            <w:r>
              <w:rPr>
                <w:sz w:val="18"/>
              </w:rPr>
              <w:t xml:space="preserve">Mode (EMBEDDED, LDC_EXTERNAL, LDC_GROUP, THIRD_PARTY_GRC, EXPORT_ONLY); feed health; evidence and obligations; OSCAL</w:t>
            </w:r>
          </w:p>
        </w:tc>
        <w:tc>
          <w:tcPr>
            <w:tcW w:w="899" w:type="dxa"/>
          </w:tcPr>
          <w:p>
            <w:pPr>
              <w:pStyle w:val="Compact"/>
              <w:spacing w:after="40"/>
              <w:jc w:val="left"/>
            </w:pPr>
            <w:r>
              <w:rPr>
                <w:sz w:val="18"/>
              </w:rPr>
              <w:t xml:space="preserve">M14</w:t>
            </w:r>
          </w:p>
        </w:tc>
        <w:tc>
          <w:tcPr>
            <w:tcW w:w="883" w:type="dxa"/>
          </w:tcPr>
          <w:p>
            <w:pPr>
              <w:pStyle w:val="Compact"/>
              <w:spacing w:after="40"/>
              <w:jc w:val="left"/>
            </w:pPr>
            <w:r>
              <w:rPr>
                <w:sz w:val="18"/>
              </w:rPr>
              <w:t xml:space="preserve">14; 16b</w:t>
            </w:r>
          </w:p>
        </w:tc>
        <w:tc>
          <w:tcPr>
            <w:tcW w:w="1560" w:type="dxa"/>
          </w:tcPr>
          <w:p>
            <w:pPr>
              <w:pStyle w:val="Compact"/>
              <w:spacing w:after="40"/>
              <w:jc w:val="left"/>
            </w:pPr>
            <w:r>
              <w:rPr>
                <w:sz w:val="18"/>
              </w:rPr>
              <w:t xml:space="preserve">CCO office</w:t>
            </w:r>
          </w:p>
        </w:tc>
      </w:tr>
    </w:tbl>
    <w:bookmarkEnd w:id="920"/>
    <w:bookmarkStart w:id="921" w:name="g.3.13-risk-risk"/>
    <w:p>
      <w:pPr>
        <w:pStyle w:val="Heading3"/>
      </w:pPr>
      <w:r>
        <w:t xml:space="preserve">G.3.13 Risk (</w:t>
      </w:r>
      <w:r>
        <w:rPr>
          <w:rStyle w:val="VerbatimChar"/>
        </w:rPr>
        <w:t xml:space="preserve">risk</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13"/>
        <w:gridCol w:w="3389"/>
        <w:gridCol w:w="1018"/>
        <w:gridCol w:w="1018"/>
        <w:gridCol w:w="1500"/>
      </w:tblGrid>
      <w:tr>
        <w:trPr>
          <w:tblHeader w:val="true"/>
          <w:tblHeader w:val="true"/>
        </w:trPr>
        <w:tc>
          <w:tcPr>
            <w:tcW w:w="2713" w:type="dxa"/>
            <w:shd w:val="clear" w:color="auto" w:fill="1F3A5F"/>
          </w:tcPr>
          <w:p>
            <w:pPr>
              <w:pStyle w:val="Compact"/>
              <w:spacing w:after="40"/>
              <w:jc w:val="left"/>
            </w:pPr>
            <w:r>
              <w:rPr>
                <w:b/>
                <w:color w:val="FFFFFF"/>
                <w:sz w:val="18"/>
              </w:rPr>
              <w:t xml:space="preserve">Path</w:t>
            </w:r>
          </w:p>
        </w:tc>
        <w:tc>
          <w:tcPr>
            <w:tcW w:w="3389" w:type="dxa"/>
            <w:shd w:val="clear" w:color="auto" w:fill="1F3A5F"/>
          </w:tcPr>
          <w:p>
            <w:pPr>
              <w:pStyle w:val="Compact"/>
              <w:spacing w:after="40"/>
              <w:jc w:val="left"/>
            </w:pPr>
            <w:r>
              <w:rPr>
                <w:b/>
                <w:color w:val="FFFFFF"/>
                <w:sz w:val="18"/>
              </w:rPr>
              <w:t xml:space="preserve">Screens and key actions</w:t>
            </w:r>
          </w:p>
        </w:tc>
        <w:tc>
          <w:tcPr>
            <w:tcW w:w="1018" w:type="dxa"/>
            <w:shd w:val="clear" w:color="auto" w:fill="1F3A5F"/>
          </w:tcPr>
          <w:p>
            <w:pPr>
              <w:pStyle w:val="Compact"/>
              <w:spacing w:after="40"/>
              <w:jc w:val="left"/>
            </w:pPr>
            <w:r>
              <w:rPr>
                <w:b/>
                <w:color w:val="FFFFFF"/>
                <w:sz w:val="18"/>
              </w:rPr>
              <w:t xml:space="preserve">Owner</w:t>
            </w:r>
          </w:p>
        </w:tc>
        <w:tc>
          <w:tcPr>
            <w:tcW w:w="1018" w:type="dxa"/>
            <w:shd w:val="clear" w:color="auto" w:fill="1F3A5F"/>
          </w:tcPr>
          <w:p>
            <w:pPr>
              <w:pStyle w:val="Compact"/>
              <w:spacing w:after="40"/>
              <w:jc w:val="left"/>
            </w:pPr>
            <w:r>
              <w:rPr>
                <w:b/>
                <w:color w:val="FFFFFF"/>
                <w:sz w:val="18"/>
              </w:rPr>
              <w:t xml:space="preserve">Phase</w:t>
            </w:r>
          </w:p>
        </w:tc>
        <w:tc>
          <w:tcPr>
            <w:tcW w:w="1500" w:type="dxa"/>
            <w:shd w:val="clear" w:color="auto" w:fill="1F3A5F"/>
          </w:tcPr>
          <w:p>
            <w:pPr>
              <w:pStyle w:val="Compact"/>
              <w:spacing w:after="40"/>
              <w:jc w:val="left"/>
            </w:pPr>
            <w:r>
              <w:rPr>
                <w:b/>
                <w:color w:val="FFFFFF"/>
                <w:sz w:val="18"/>
              </w:rPr>
              <w:t xml:space="preserve">Roles</w:t>
            </w:r>
          </w:p>
        </w:tc>
      </w:tr>
      <w:tr>
        <w:tc>
          <w:tcPr>
            <w:tcW w:w="2713" w:type="dxa"/>
          </w:tcPr>
          <w:p>
            <w:pPr>
              <w:pStyle w:val="Compact"/>
              <w:spacing w:after="40"/>
              <w:jc w:val="left"/>
            </w:pPr>
            <w:r>
              <w:rPr>
                <w:rStyle w:val="VerbatimChar"/>
                <w:sz w:val="18"/>
              </w:rPr>
              <w:t xml:space="preserve">Risk ›</w:t>
            </w:r>
            <w:r>
              <w:rPr>
                <w:sz w:val="18"/>
              </w:rPr>
              <w:t xml:space="preserve"> </w:t>
            </w:r>
            <w:r>
              <w:rPr>
                <w:sz w:val="18"/>
              </w:rPr>
              <w:t xml:space="preserve">Governance, Appetite; Register, RCSA, KRIs, Loss events, Feed</w:t>
            </w:r>
          </w:p>
        </w:tc>
        <w:tc>
          <w:tcPr>
            <w:tcW w:w="3389" w:type="dxa"/>
          </w:tcPr>
          <w:p>
            <w:pPr>
              <w:pStyle w:val="Compact"/>
              <w:spacing w:after="40"/>
              <w:jc w:val="left"/>
            </w:pPr>
            <w:r>
              <w:rPr>
                <w:sz w:val="18"/>
              </w:rPr>
              <w:t xml:space="preserve">As RK1, RK2</w:t>
            </w:r>
          </w:p>
        </w:tc>
        <w:tc>
          <w:tcPr>
            <w:tcW w:w="1018" w:type="dxa"/>
          </w:tcPr>
          <w:p>
            <w:pPr>
              <w:pStyle w:val="Compact"/>
              <w:spacing w:after="40"/>
              <w:jc w:val="left"/>
            </w:pPr>
            <w:r>
              <w:rPr>
                <w:sz w:val="18"/>
              </w:rPr>
              <w:t xml:space="preserve">RK1–RK2</w:t>
            </w:r>
          </w:p>
        </w:tc>
        <w:tc>
          <w:tcPr>
            <w:tcW w:w="1018" w:type="dxa"/>
          </w:tcPr>
          <w:p>
            <w:pPr>
              <w:pStyle w:val="Compact"/>
              <w:spacing w:after="40"/>
              <w:jc w:val="left"/>
            </w:pPr>
            <w:r>
              <w:rPr>
                <w:sz w:val="18"/>
              </w:rPr>
              <w:t xml:space="preserve">14d</w:t>
            </w:r>
          </w:p>
        </w:tc>
        <w:tc>
          <w:tcPr>
            <w:tcW w:w="1500" w:type="dxa"/>
          </w:tcPr>
          <w:p>
            <w:pPr>
              <w:pStyle w:val="Compact"/>
              <w:spacing w:after="40"/>
              <w:jc w:val="left"/>
            </w:pPr>
            <w:r>
              <w:rPr>
                <w:sz w:val="18"/>
              </w:rPr>
              <w:t xml:space="preserve">CRO office, risk owners</w:t>
            </w:r>
          </w:p>
        </w:tc>
      </w:tr>
      <w:tr>
        <w:tc>
          <w:tcPr>
            <w:tcW w:w="2713" w:type="dxa"/>
          </w:tcPr>
          <w:p>
            <w:pPr>
              <w:pStyle w:val="Compact"/>
              <w:spacing w:after="40"/>
              <w:jc w:val="left"/>
            </w:pPr>
            <w:r>
              <w:rPr>
                <w:rStyle w:val="VerbatimChar"/>
                <w:sz w:val="18"/>
              </w:rPr>
              <w:t xml:space="preserve">Risk › Capital ›</w:t>
            </w:r>
            <w:r>
              <w:rPr>
                <w:sz w:val="18"/>
              </w:rPr>
              <w:t xml:space="preserve">,</w:t>
            </w:r>
            <w:r>
              <w:rPr>
                <w:sz w:val="18"/>
              </w:rPr>
              <w:t xml:space="preserve"> </w:t>
            </w:r>
            <w:r>
              <w:rPr>
                <w:rStyle w:val="VerbatimChar"/>
                <w:sz w:val="18"/>
              </w:rPr>
              <w:t xml:space="preserve">› Liquidity ›</w:t>
            </w:r>
            <w:r>
              <w:rPr>
                <w:sz w:val="18"/>
              </w:rPr>
              <w:t xml:space="preserve">,</w:t>
            </w:r>
            <w:r>
              <w:rPr>
                <w:sz w:val="18"/>
              </w:rPr>
              <w:t xml:space="preserve"> </w:t>
            </w:r>
            <w:r>
              <w:rPr>
                <w:rStyle w:val="VerbatimChar"/>
                <w:sz w:val="18"/>
              </w:rPr>
              <w:t xml:space="preserve">› Limits ›</w:t>
            </w:r>
            <w:r>
              <w:rPr>
                <w:sz w:val="18"/>
              </w:rPr>
              <w:t xml:space="preserve">,</w:t>
            </w:r>
            <w:r>
              <w:rPr>
                <w:sz w:val="18"/>
              </w:rPr>
              <w:t xml:space="preserve"> </w:t>
            </w:r>
            <w:r>
              <w:rPr>
                <w:rStyle w:val="VerbatimChar"/>
                <w:sz w:val="18"/>
              </w:rPr>
              <w:t xml:space="preserve">› Metrics ›</w:t>
            </w:r>
            <w:r>
              <w:rPr>
                <w:sz w:val="18"/>
              </w:rPr>
              <w:t xml:space="preserve">; ICAAP, Stress tests, PCA</w:t>
            </w:r>
          </w:p>
        </w:tc>
        <w:tc>
          <w:tcPr>
            <w:tcW w:w="3389" w:type="dxa"/>
          </w:tcPr>
          <w:p>
            <w:pPr>
              <w:pStyle w:val="Compact"/>
              <w:spacing w:after="40"/>
              <w:jc w:val="left"/>
            </w:pPr>
            <w:r>
              <w:rPr>
                <w:sz w:val="18"/>
              </w:rPr>
              <w:t xml:space="preserve">As RK3–RK7;</w:t>
            </w:r>
            <w:r>
              <w:rPr>
                <w:sz w:val="18"/>
              </w:rPr>
              <w:t xml:space="preserve"> </w:t>
            </w:r>
            <w:r>
              <w:rPr>
                <w:rStyle w:val="VerbatimChar"/>
                <w:sz w:val="18"/>
              </w:rPr>
              <w:t xml:space="preserve">Capital › Rule packs</w:t>
            </w:r>
            <w:r>
              <w:rPr>
                <w:sz w:val="18"/>
              </w:rPr>
              <w:t xml:space="preserve"> </w:t>
            </w:r>
            <w:r>
              <w:rPr>
                <w:sz w:val="18"/>
              </w:rPr>
              <w:t xml:space="preserve">filters</w:t>
            </w:r>
            <w:r>
              <w:rPr>
                <w:sz w:val="18"/>
              </w:rPr>
              <w:t xml:space="preserve"> </w:t>
            </w:r>
            <w:r>
              <w:rPr>
                <w:rStyle w:val="VerbatimChar"/>
                <w:sz w:val="18"/>
              </w:rPr>
              <w:t xml:space="preserve">Settings › Rule packs</w:t>
            </w:r>
            <w:r>
              <w:rPr>
                <w:sz w:val="18"/>
              </w:rPr>
              <w:t xml:space="preserve">; Board limits edited only in</w:t>
            </w:r>
            <w:r>
              <w:rPr>
                <w:sz w:val="18"/>
              </w:rPr>
              <w:t xml:space="preserve"> </w:t>
            </w:r>
            <w:r>
              <w:rPr>
                <w:rStyle w:val="VerbatimChar"/>
                <w:sz w:val="18"/>
              </w:rPr>
              <w:t xml:space="preserve">Risk › Limits</w:t>
            </w:r>
          </w:p>
        </w:tc>
        <w:tc>
          <w:tcPr>
            <w:tcW w:w="1018" w:type="dxa"/>
          </w:tcPr>
          <w:p>
            <w:pPr>
              <w:pStyle w:val="Compact"/>
              <w:spacing w:after="40"/>
              <w:jc w:val="left"/>
            </w:pPr>
            <w:r>
              <w:rPr>
                <w:sz w:val="18"/>
              </w:rPr>
              <w:t xml:space="preserve">RK3–RK7</w:t>
            </w:r>
          </w:p>
        </w:tc>
        <w:tc>
          <w:tcPr>
            <w:tcW w:w="1018" w:type="dxa"/>
          </w:tcPr>
          <w:p>
            <w:pPr>
              <w:pStyle w:val="Compact"/>
              <w:spacing w:after="40"/>
              <w:jc w:val="left"/>
            </w:pPr>
            <w:r>
              <w:rPr>
                <w:sz w:val="18"/>
              </w:rPr>
              <w:t xml:space="preserve">14d</w:t>
            </w:r>
          </w:p>
        </w:tc>
        <w:tc>
          <w:tcPr>
            <w:tcW w:w="1500" w:type="dxa"/>
          </w:tcPr>
          <w:p>
            <w:pPr>
              <w:pStyle w:val="Compact"/>
              <w:spacing w:after="40"/>
              <w:jc w:val="left"/>
            </w:pPr>
            <w:r>
              <w:rPr>
                <w:sz w:val="18"/>
              </w:rPr>
              <w:t xml:space="preserve">CRO, CFO office, ALCO</w:t>
            </w:r>
          </w:p>
        </w:tc>
      </w:tr>
      <w:tr>
        <w:tc>
          <w:tcPr>
            <w:tcW w:w="2713" w:type="dxa"/>
          </w:tcPr>
          <w:p>
            <w:pPr>
              <w:pStyle w:val="Compact"/>
              <w:spacing w:after="40"/>
              <w:jc w:val="left"/>
            </w:pPr>
            <w:r>
              <w:rPr>
                <w:rStyle w:val="VerbatimChar"/>
                <w:sz w:val="18"/>
              </w:rPr>
              <w:t xml:space="preserve">Risk › Credit portfolio</w:t>
            </w:r>
          </w:p>
        </w:tc>
        <w:tc>
          <w:tcPr>
            <w:tcW w:w="3389" w:type="dxa"/>
          </w:tcPr>
          <w:p>
            <w:pPr>
              <w:pStyle w:val="Compact"/>
              <w:spacing w:after="40"/>
              <w:jc w:val="left"/>
            </w:pPr>
            <w:r>
              <w:rPr>
                <w:sz w:val="18"/>
              </w:rPr>
              <w:t xml:space="preserve">Vintage, roll rates, PAR buckets; EWS alerts with recorded decisions</w:t>
            </w:r>
          </w:p>
        </w:tc>
        <w:tc>
          <w:tcPr>
            <w:tcW w:w="1018" w:type="dxa"/>
          </w:tcPr>
          <w:p>
            <w:pPr>
              <w:pStyle w:val="Compact"/>
              <w:spacing w:after="40"/>
              <w:jc w:val="left"/>
            </w:pPr>
            <w:r>
              <w:rPr>
                <w:sz w:val="18"/>
              </w:rPr>
              <w:t xml:space="preserve">M12</w:t>
            </w:r>
          </w:p>
        </w:tc>
        <w:tc>
          <w:tcPr>
            <w:tcW w:w="1018" w:type="dxa"/>
          </w:tcPr>
          <w:p>
            <w:pPr>
              <w:pStyle w:val="Compact"/>
              <w:spacing w:after="40"/>
              <w:jc w:val="left"/>
            </w:pPr>
            <w:r>
              <w:rPr>
                <w:sz w:val="18"/>
              </w:rPr>
              <w:t xml:space="preserve">14</w:t>
            </w:r>
          </w:p>
        </w:tc>
        <w:tc>
          <w:tcPr>
            <w:tcW w:w="1500" w:type="dxa"/>
          </w:tcPr>
          <w:p>
            <w:pPr>
              <w:pStyle w:val="Compact"/>
              <w:spacing w:after="40"/>
              <w:jc w:val="left"/>
            </w:pPr>
            <w:r>
              <w:rPr>
                <w:sz w:val="18"/>
              </w:rPr>
              <w:t xml:space="preserve">CRO office</w:t>
            </w:r>
          </w:p>
        </w:tc>
      </w:tr>
      <w:tr>
        <w:tc>
          <w:tcPr>
            <w:tcW w:w="2713" w:type="dxa"/>
          </w:tcPr>
          <w:p>
            <w:pPr>
              <w:pStyle w:val="Compact"/>
              <w:spacing w:after="40"/>
              <w:jc w:val="left"/>
            </w:pPr>
            <w:r>
              <w:rPr>
                <w:rStyle w:val="VerbatimChar"/>
                <w:sz w:val="18"/>
              </w:rPr>
              <w:t xml:space="preserve">Risk › Fraud</w:t>
            </w:r>
          </w:p>
        </w:tc>
        <w:tc>
          <w:tcPr>
            <w:tcW w:w="3389" w:type="dxa"/>
          </w:tcPr>
          <w:p>
            <w:pPr>
              <w:pStyle w:val="Compact"/>
              <w:spacing w:after="40"/>
              <w:jc w:val="left"/>
            </w:pPr>
            <w:r>
              <w:rPr>
                <w:sz w:val="18"/>
              </w:rPr>
              <w:t xml:space="preserve">Suspected → investigation → show-cause (21 days) → order → FMR (14 days) → FUA → closure; debarment register; RBR; transfer gate</w:t>
            </w:r>
          </w:p>
        </w:tc>
        <w:tc>
          <w:tcPr>
            <w:tcW w:w="1018" w:type="dxa"/>
          </w:tcPr>
          <w:p>
            <w:pPr>
              <w:pStyle w:val="Compact"/>
              <w:spacing w:after="40"/>
              <w:jc w:val="left"/>
            </w:pPr>
            <w:r>
              <w:rPr>
                <w:sz w:val="18"/>
              </w:rPr>
              <w:t xml:space="preserve">M12 (FRM)</w:t>
            </w:r>
          </w:p>
        </w:tc>
        <w:tc>
          <w:tcPr>
            <w:tcW w:w="1018" w:type="dxa"/>
          </w:tcPr>
          <w:p>
            <w:pPr>
              <w:pStyle w:val="Compact"/>
              <w:spacing w:after="40"/>
              <w:jc w:val="left"/>
            </w:pPr>
            <w:r>
              <w:rPr>
                <w:sz w:val="18"/>
              </w:rPr>
              <w:t xml:space="preserve">14</w:t>
            </w:r>
          </w:p>
        </w:tc>
        <w:tc>
          <w:tcPr>
            <w:tcW w:w="1500" w:type="dxa"/>
          </w:tcPr>
          <w:p>
            <w:pPr>
              <w:pStyle w:val="Compact"/>
              <w:spacing w:after="40"/>
              <w:jc w:val="left"/>
            </w:pPr>
            <w:r>
              <w:rPr>
                <w:sz w:val="18"/>
              </w:rPr>
              <w:t xml:space="preserve">Fraud unit; SCBMF</w:t>
            </w:r>
          </w:p>
        </w:tc>
      </w:tr>
      <w:tr>
        <w:tc>
          <w:tcPr>
            <w:tcW w:w="2713" w:type="dxa"/>
          </w:tcPr>
          <w:p>
            <w:pPr>
              <w:pStyle w:val="Compact"/>
              <w:spacing w:after="40"/>
              <w:jc w:val="left"/>
            </w:pPr>
            <w:r>
              <w:rPr>
                <w:rStyle w:val="VerbatimChar"/>
                <w:sz w:val="18"/>
              </w:rPr>
              <w:t xml:space="preserve">Risk › Models</w:t>
            </w:r>
          </w:p>
        </w:tc>
        <w:tc>
          <w:tcPr>
            <w:tcW w:w="3389" w:type="dxa"/>
          </w:tcPr>
          <w:p>
            <w:pPr>
              <w:pStyle w:val="Compact"/>
              <w:spacing w:after="40"/>
              <w:jc w:val="left"/>
            </w:pPr>
            <w:r>
              <w:rPr>
                <w:sz w:val="18"/>
              </w:rPr>
              <w:t xml:space="preserve">Model inventory, validation, monitoring, change log</w:t>
            </w:r>
          </w:p>
        </w:tc>
        <w:tc>
          <w:tcPr>
            <w:tcW w:w="1018" w:type="dxa"/>
          </w:tcPr>
          <w:p>
            <w:pPr>
              <w:pStyle w:val="Compact"/>
              <w:spacing w:after="40"/>
              <w:jc w:val="left"/>
            </w:pPr>
            <w:r>
              <w:rPr>
                <w:sz w:val="18"/>
              </w:rPr>
              <w:t xml:space="preserve">M12, M20</w:t>
            </w:r>
          </w:p>
        </w:tc>
        <w:tc>
          <w:tcPr>
            <w:tcW w:w="1018" w:type="dxa"/>
          </w:tcPr>
          <w:p>
            <w:pPr>
              <w:pStyle w:val="Compact"/>
              <w:spacing w:after="40"/>
              <w:jc w:val="left"/>
            </w:pPr>
            <w:r>
              <w:rPr>
                <w:sz w:val="18"/>
              </w:rPr>
              <w:t xml:space="preserve">14; 18</w:t>
            </w:r>
          </w:p>
        </w:tc>
        <w:tc>
          <w:tcPr>
            <w:tcW w:w="1500" w:type="dxa"/>
          </w:tcPr>
          <w:p>
            <w:pPr>
              <w:pStyle w:val="Compact"/>
              <w:spacing w:after="40"/>
              <w:jc w:val="left"/>
            </w:pPr>
            <w:r>
              <w:rPr>
                <w:sz w:val="18"/>
              </w:rPr>
              <w:t xml:space="preserve">Model-risk owner</w:t>
            </w:r>
          </w:p>
        </w:tc>
      </w:tr>
      <w:tr>
        <w:tc>
          <w:tcPr>
            <w:tcW w:w="2713" w:type="dxa"/>
          </w:tcPr>
          <w:p>
            <w:pPr>
              <w:pStyle w:val="Compact"/>
              <w:spacing w:after="40"/>
              <w:jc w:val="left"/>
            </w:pPr>
            <w:r>
              <w:rPr>
                <w:rStyle w:val="VerbatimChar"/>
                <w:sz w:val="18"/>
              </w:rPr>
              <w:t xml:space="preserve">Risk › Operational resilience</w:t>
            </w:r>
          </w:p>
        </w:tc>
        <w:tc>
          <w:tcPr>
            <w:tcW w:w="3389" w:type="dxa"/>
          </w:tcPr>
          <w:p>
            <w:pPr>
              <w:pStyle w:val="Compact"/>
              <w:spacing w:after="40"/>
              <w:jc w:val="left"/>
            </w:pPr>
            <w:r>
              <w:rPr>
                <w:sz w:val="18"/>
              </w:rPr>
              <w:t xml:space="preserve">Critical operations, impact tolerances, dependency map</w:t>
            </w:r>
          </w:p>
        </w:tc>
        <w:tc>
          <w:tcPr>
            <w:tcW w:w="1018" w:type="dxa"/>
          </w:tcPr>
          <w:p>
            <w:pPr>
              <w:pStyle w:val="Compact"/>
              <w:spacing w:after="40"/>
              <w:jc w:val="left"/>
            </w:pPr>
            <w:r>
              <w:rPr>
                <w:sz w:val="18"/>
              </w:rPr>
              <w:t xml:space="preserve">M12 (ORM)</w:t>
            </w:r>
          </w:p>
        </w:tc>
        <w:tc>
          <w:tcPr>
            <w:tcW w:w="1018" w:type="dxa"/>
          </w:tcPr>
          <w:p>
            <w:pPr>
              <w:pStyle w:val="Compact"/>
              <w:spacing w:after="40"/>
              <w:jc w:val="left"/>
            </w:pPr>
            <w:r>
              <w:rPr>
                <w:sz w:val="18"/>
              </w:rPr>
              <w:t xml:space="preserve">14</w:t>
            </w:r>
          </w:p>
        </w:tc>
        <w:tc>
          <w:tcPr>
            <w:tcW w:w="1500" w:type="dxa"/>
          </w:tcPr>
          <w:p>
            <w:pPr>
              <w:pStyle w:val="Compact"/>
              <w:spacing w:after="40"/>
              <w:jc w:val="left"/>
            </w:pPr>
            <w:r>
              <w:rPr>
                <w:sz w:val="18"/>
              </w:rPr>
              <w:t xml:space="preserve">CRO office</w:t>
            </w:r>
          </w:p>
        </w:tc>
      </w:tr>
      <w:tr>
        <w:tc>
          <w:tcPr>
            <w:tcW w:w="2713" w:type="dxa"/>
          </w:tcPr>
          <w:p>
            <w:pPr>
              <w:pStyle w:val="Compact"/>
              <w:spacing w:after="40"/>
              <w:jc w:val="left"/>
            </w:pPr>
            <w:r>
              <w:rPr>
                <w:rStyle w:val="VerbatimChar"/>
                <w:sz w:val="18"/>
              </w:rPr>
              <w:t xml:space="preserve">Risk › Third parties</w:t>
            </w:r>
          </w:p>
        </w:tc>
        <w:tc>
          <w:tcPr>
            <w:tcW w:w="3389" w:type="dxa"/>
          </w:tcPr>
          <w:p>
            <w:pPr>
              <w:pStyle w:val="Compact"/>
              <w:spacing w:after="40"/>
              <w:jc w:val="left"/>
            </w:pPr>
            <w:r>
              <w:rPr>
                <w:sz w:val="18"/>
              </w:rPr>
              <w:t xml:space="preserve">Outsourcing register: classification, materiality, due diligence, re-review, clauses, audits</w:t>
            </w:r>
          </w:p>
        </w:tc>
        <w:tc>
          <w:tcPr>
            <w:tcW w:w="1018" w:type="dxa"/>
          </w:tcPr>
          <w:p>
            <w:pPr>
              <w:pStyle w:val="Compact"/>
              <w:spacing w:after="40"/>
              <w:jc w:val="left"/>
            </w:pPr>
            <w:r>
              <w:rPr>
                <w:sz w:val="18"/>
              </w:rPr>
              <w:t xml:space="preserve">M2 (OUT)</w:t>
            </w:r>
          </w:p>
        </w:tc>
        <w:tc>
          <w:tcPr>
            <w:tcW w:w="1018" w:type="dxa"/>
          </w:tcPr>
          <w:p>
            <w:pPr>
              <w:pStyle w:val="Compact"/>
              <w:spacing w:after="40"/>
              <w:jc w:val="left"/>
            </w:pPr>
            <w:r>
              <w:rPr>
                <w:sz w:val="18"/>
              </w:rPr>
              <w:t xml:space="preserve">7; 14</w:t>
            </w:r>
          </w:p>
        </w:tc>
        <w:tc>
          <w:tcPr>
            <w:tcW w:w="1500" w:type="dxa"/>
          </w:tcPr>
          <w:p>
            <w:pPr>
              <w:pStyle w:val="Compact"/>
              <w:spacing w:after="40"/>
              <w:jc w:val="left"/>
            </w:pPr>
            <w:r>
              <w:rPr>
                <w:sz w:val="18"/>
              </w:rPr>
              <w:t xml:space="preserve">CRO office, vendor owners</w:t>
            </w:r>
          </w:p>
        </w:tc>
      </w:tr>
      <w:tr>
        <w:tc>
          <w:tcPr>
            <w:tcW w:w="2713" w:type="dxa"/>
          </w:tcPr>
          <w:p>
            <w:pPr>
              <w:pStyle w:val="Compact"/>
              <w:spacing w:after="40"/>
              <w:jc w:val="left"/>
            </w:pPr>
            <w:r>
              <w:rPr>
                <w:rStyle w:val="VerbatimChar"/>
                <w:sz w:val="18"/>
              </w:rPr>
              <w:t xml:space="preserve">Risk › Co-operative bank</w:t>
            </w:r>
          </w:p>
        </w:tc>
        <w:tc>
          <w:tcPr>
            <w:tcW w:w="3389" w:type="dxa"/>
          </w:tcPr>
          <w:p>
            <w:pPr>
              <w:pStyle w:val="Compact"/>
              <w:spacing w:after="40"/>
              <w:jc w:val="left"/>
            </w:pPr>
            <w:r>
              <w:rPr>
                <w:sz w:val="18"/>
              </w:rPr>
              <w:t xml:space="preserve">As IP3</w:t>
            </w:r>
          </w:p>
        </w:tc>
        <w:tc>
          <w:tcPr>
            <w:tcW w:w="1018" w:type="dxa"/>
          </w:tcPr>
          <w:p>
            <w:pPr>
              <w:pStyle w:val="Compact"/>
              <w:spacing w:after="40"/>
              <w:jc w:val="left"/>
            </w:pPr>
            <w:r>
              <w:rPr>
                <w:sz w:val="18"/>
              </w:rPr>
              <w:t xml:space="preserve">IP3</w:t>
            </w:r>
          </w:p>
        </w:tc>
        <w:tc>
          <w:tcPr>
            <w:tcW w:w="1018" w:type="dxa"/>
          </w:tcPr>
          <w:p>
            <w:pPr>
              <w:pStyle w:val="Compact"/>
              <w:spacing w:after="40"/>
              <w:jc w:val="left"/>
            </w:pPr>
            <w:r>
              <w:rPr>
                <w:sz w:val="18"/>
              </w:rPr>
              <w:t xml:space="preserve">17c</w:t>
            </w:r>
          </w:p>
        </w:tc>
        <w:tc>
          <w:tcPr>
            <w:tcW w:w="1500" w:type="dxa"/>
          </w:tcPr>
          <w:p>
            <w:pPr>
              <w:pStyle w:val="Compact"/>
              <w:spacing w:after="40"/>
              <w:jc w:val="left"/>
            </w:pPr>
            <w:r>
              <w:rPr>
                <w:sz w:val="18"/>
              </w:rPr>
              <w:t xml:space="preserve">CRO office</w:t>
            </w:r>
          </w:p>
        </w:tc>
      </w:tr>
    </w:tbl>
    <w:bookmarkEnd w:id="921"/>
    <w:bookmarkStart w:id="922" w:name="g.3.14-audit-audit"/>
    <w:p>
      <w:pPr>
        <w:pStyle w:val="Heading3"/>
      </w:pPr>
      <w:r>
        <w:t xml:space="preserve">G.3.14 Audit (</w:t>
      </w:r>
      <w:r>
        <w:rPr>
          <w:rStyle w:val="VerbatimChar"/>
        </w:rPr>
        <w:t xml:space="preserve">audit</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90"/>
        <w:gridCol w:w="3505"/>
        <w:gridCol w:w="1121"/>
        <w:gridCol w:w="1121"/>
        <w:gridCol w:w="1401"/>
      </w:tblGrid>
      <w:tr>
        <w:trPr>
          <w:tblHeader w:val="true"/>
          <w:tblHeader w:val="true"/>
        </w:trPr>
        <w:tc>
          <w:tcPr>
            <w:tcW w:w="2490" w:type="dxa"/>
            <w:shd w:val="clear" w:color="auto" w:fill="1F3A5F"/>
          </w:tcPr>
          <w:p>
            <w:pPr>
              <w:pStyle w:val="Compact"/>
              <w:spacing w:after="40"/>
              <w:jc w:val="left"/>
            </w:pPr>
            <w:r>
              <w:rPr>
                <w:b/>
                <w:color w:val="FFFFFF"/>
                <w:sz w:val="18"/>
              </w:rPr>
              <w:t xml:space="preserve">Path</w:t>
            </w:r>
          </w:p>
        </w:tc>
        <w:tc>
          <w:tcPr>
            <w:tcW w:w="3505" w:type="dxa"/>
            <w:shd w:val="clear" w:color="auto" w:fill="1F3A5F"/>
          </w:tcPr>
          <w:p>
            <w:pPr>
              <w:pStyle w:val="Compact"/>
              <w:spacing w:after="40"/>
              <w:jc w:val="left"/>
            </w:pPr>
            <w:r>
              <w:rPr>
                <w:b/>
                <w:color w:val="FFFFFF"/>
                <w:sz w:val="18"/>
              </w:rPr>
              <w:t xml:space="preserve">Screens and key actions</w:t>
            </w:r>
          </w:p>
        </w:tc>
        <w:tc>
          <w:tcPr>
            <w:tcW w:w="1121" w:type="dxa"/>
            <w:shd w:val="clear" w:color="auto" w:fill="1F3A5F"/>
          </w:tcPr>
          <w:p>
            <w:pPr>
              <w:pStyle w:val="Compact"/>
              <w:spacing w:after="40"/>
              <w:jc w:val="left"/>
            </w:pPr>
            <w:r>
              <w:rPr>
                <w:b/>
                <w:color w:val="FFFFFF"/>
                <w:sz w:val="18"/>
              </w:rPr>
              <w:t xml:space="preserve">Owner</w:t>
            </w:r>
          </w:p>
        </w:tc>
        <w:tc>
          <w:tcPr>
            <w:tcW w:w="1121" w:type="dxa"/>
            <w:shd w:val="clear" w:color="auto" w:fill="1F3A5F"/>
          </w:tcPr>
          <w:p>
            <w:pPr>
              <w:pStyle w:val="Compact"/>
              <w:spacing w:after="40"/>
              <w:jc w:val="left"/>
            </w:pPr>
            <w:r>
              <w:rPr>
                <w:b/>
                <w:color w:val="FFFFFF"/>
                <w:sz w:val="18"/>
              </w:rPr>
              <w:t xml:space="preserve">Phase</w:t>
            </w:r>
          </w:p>
        </w:tc>
        <w:tc>
          <w:tcPr>
            <w:tcW w:w="1401" w:type="dxa"/>
            <w:shd w:val="clear" w:color="auto" w:fill="1F3A5F"/>
          </w:tcPr>
          <w:p>
            <w:pPr>
              <w:pStyle w:val="Compact"/>
              <w:spacing w:after="40"/>
              <w:jc w:val="left"/>
            </w:pPr>
            <w:r>
              <w:rPr>
                <w:b/>
                <w:color w:val="FFFFFF"/>
                <w:sz w:val="18"/>
              </w:rPr>
              <w:t xml:space="preserve">Roles</w:t>
            </w:r>
          </w:p>
        </w:tc>
      </w:tr>
      <w:tr>
        <w:tc>
          <w:tcPr>
            <w:tcW w:w="2490" w:type="dxa"/>
          </w:tcPr>
          <w:p>
            <w:pPr>
              <w:pStyle w:val="Compact"/>
              <w:spacing w:after="40"/>
              <w:jc w:val="left"/>
            </w:pPr>
            <w:r>
              <w:rPr>
                <w:rStyle w:val="VerbatimChar"/>
                <w:sz w:val="18"/>
              </w:rPr>
              <w:t xml:space="preserve">Audit ›</w:t>
            </w:r>
            <w:r>
              <w:rPr>
                <w:sz w:val="18"/>
              </w:rPr>
              <w:t xml:space="preserve"> </w:t>
            </w:r>
            <w:r>
              <w:rPr>
                <w:sz w:val="18"/>
              </w:rPr>
              <w:t xml:space="preserve">Universe, Risk assessment, Plan, Methodology</w:t>
            </w:r>
          </w:p>
        </w:tc>
        <w:tc>
          <w:tcPr>
            <w:tcW w:w="3505" w:type="dxa"/>
          </w:tcPr>
          <w:p>
            <w:pPr>
              <w:pStyle w:val="Compact"/>
              <w:spacing w:after="40"/>
              <w:jc w:val="left"/>
            </w:pPr>
            <w:r>
              <w:rPr>
                <w:sz w:val="18"/>
              </w:rPr>
              <w:t xml:space="preserve">As AU1; drag actions also have move buttons</w:t>
            </w:r>
          </w:p>
        </w:tc>
        <w:tc>
          <w:tcPr>
            <w:tcW w:w="1121" w:type="dxa"/>
          </w:tcPr>
          <w:p>
            <w:pPr>
              <w:pStyle w:val="Compact"/>
              <w:spacing w:after="40"/>
              <w:jc w:val="left"/>
            </w:pPr>
            <w:r>
              <w:rPr>
                <w:sz w:val="18"/>
              </w:rPr>
              <w:t xml:space="preserve">AU1</w:t>
            </w:r>
          </w:p>
        </w:tc>
        <w:tc>
          <w:tcPr>
            <w:tcW w:w="1121" w:type="dxa"/>
          </w:tcPr>
          <w:p>
            <w:pPr>
              <w:pStyle w:val="Compact"/>
              <w:spacing w:after="40"/>
              <w:jc w:val="left"/>
            </w:pPr>
            <w:r>
              <w:rPr>
                <w:sz w:val="18"/>
              </w:rPr>
              <w:t xml:space="preserve">16c</w:t>
            </w:r>
          </w:p>
        </w:tc>
        <w:tc>
          <w:tcPr>
            <w:tcW w:w="1401" w:type="dxa"/>
          </w:tcPr>
          <w:p>
            <w:pPr>
              <w:pStyle w:val="Compact"/>
              <w:spacing w:after="40"/>
              <w:jc w:val="left"/>
            </w:pPr>
            <w:r>
              <w:rPr>
                <w:sz w:val="18"/>
              </w:rPr>
              <w:t xml:space="preserve">HIA, IA, ACB</w:t>
            </w:r>
          </w:p>
        </w:tc>
      </w:tr>
      <w:tr>
        <w:tc>
          <w:tcPr>
            <w:tcW w:w="2490" w:type="dxa"/>
          </w:tcPr>
          <w:p>
            <w:pPr>
              <w:pStyle w:val="Compact"/>
              <w:spacing w:after="40"/>
              <w:jc w:val="left"/>
            </w:pPr>
            <w:r>
              <w:rPr>
                <w:rStyle w:val="VerbatimChar"/>
                <w:sz w:val="18"/>
              </w:rPr>
              <w:t xml:space="preserve">Audit ›</w:t>
            </w:r>
            <w:r>
              <w:rPr>
                <w:sz w:val="18"/>
              </w:rPr>
              <w:t xml:space="preserve"> </w:t>
            </w:r>
            <w:r>
              <w:rPr>
                <w:sz w:val="18"/>
              </w:rPr>
              <w:t xml:space="preserve">Engagements, Analytics, Evidence</w:t>
            </w:r>
          </w:p>
        </w:tc>
        <w:tc>
          <w:tcPr>
            <w:tcW w:w="3505" w:type="dxa"/>
          </w:tcPr>
          <w:p>
            <w:pPr>
              <w:pStyle w:val="Compact"/>
              <w:spacing w:after="40"/>
              <w:jc w:val="left"/>
            </w:pPr>
            <w:r>
              <w:rPr>
                <w:sz w:val="18"/>
              </w:rPr>
              <w:t xml:space="preserve">As AU2</w:t>
            </w:r>
          </w:p>
        </w:tc>
        <w:tc>
          <w:tcPr>
            <w:tcW w:w="1121" w:type="dxa"/>
          </w:tcPr>
          <w:p>
            <w:pPr>
              <w:pStyle w:val="Compact"/>
              <w:spacing w:after="40"/>
              <w:jc w:val="left"/>
            </w:pPr>
            <w:r>
              <w:rPr>
                <w:sz w:val="18"/>
              </w:rPr>
              <w:t xml:space="preserve">AU2</w:t>
            </w:r>
          </w:p>
        </w:tc>
        <w:tc>
          <w:tcPr>
            <w:tcW w:w="1121" w:type="dxa"/>
          </w:tcPr>
          <w:p>
            <w:pPr>
              <w:pStyle w:val="Compact"/>
              <w:spacing w:after="40"/>
              <w:jc w:val="left"/>
            </w:pPr>
            <w:r>
              <w:rPr>
                <w:sz w:val="18"/>
              </w:rPr>
              <w:t xml:space="preserve">16c</w:t>
            </w:r>
          </w:p>
        </w:tc>
        <w:tc>
          <w:tcPr>
            <w:tcW w:w="1401" w:type="dxa"/>
          </w:tcPr>
          <w:p>
            <w:pPr>
              <w:pStyle w:val="Compact"/>
              <w:spacing w:after="40"/>
              <w:jc w:val="left"/>
            </w:pPr>
            <w:r>
              <w:rPr>
                <w:sz w:val="18"/>
              </w:rPr>
              <w:t xml:space="preserve">IA team</w:t>
            </w:r>
          </w:p>
        </w:tc>
      </w:tr>
      <w:tr>
        <w:tc>
          <w:tcPr>
            <w:tcW w:w="2490" w:type="dxa"/>
          </w:tcPr>
          <w:p>
            <w:pPr>
              <w:pStyle w:val="Compact"/>
              <w:spacing w:after="40"/>
              <w:jc w:val="left"/>
            </w:pPr>
            <w:r>
              <w:rPr>
                <w:rStyle w:val="VerbatimChar"/>
                <w:sz w:val="18"/>
              </w:rPr>
              <w:t xml:space="preserve">Audit ›</w:t>
            </w:r>
            <w:r>
              <w:rPr>
                <w:sz w:val="18"/>
              </w:rPr>
              <w:t xml:space="preserve"> </w:t>
            </w:r>
            <w:r>
              <w:rPr>
                <w:sz w:val="18"/>
              </w:rPr>
              <w:t xml:space="preserve">Findings, ATR, HIA and QAIP, Concurrent</w:t>
            </w:r>
          </w:p>
        </w:tc>
        <w:tc>
          <w:tcPr>
            <w:tcW w:w="3505" w:type="dxa"/>
          </w:tcPr>
          <w:p>
            <w:pPr>
              <w:pStyle w:val="Compact"/>
              <w:spacing w:after="40"/>
              <w:jc w:val="left"/>
            </w:pPr>
            <w:r>
              <w:rPr>
                <w:sz w:val="18"/>
              </w:rPr>
              <w:t xml:space="preserve">As AU3; finding owners anywhere see their own findings only</w:t>
            </w:r>
          </w:p>
        </w:tc>
        <w:tc>
          <w:tcPr>
            <w:tcW w:w="1121" w:type="dxa"/>
          </w:tcPr>
          <w:p>
            <w:pPr>
              <w:pStyle w:val="Compact"/>
              <w:spacing w:after="40"/>
              <w:jc w:val="left"/>
            </w:pPr>
            <w:r>
              <w:rPr>
                <w:sz w:val="18"/>
              </w:rPr>
              <w:t xml:space="preserve">AU3</w:t>
            </w:r>
          </w:p>
        </w:tc>
        <w:tc>
          <w:tcPr>
            <w:tcW w:w="1121" w:type="dxa"/>
          </w:tcPr>
          <w:p>
            <w:pPr>
              <w:pStyle w:val="Compact"/>
              <w:spacing w:after="40"/>
              <w:jc w:val="left"/>
            </w:pPr>
            <w:r>
              <w:rPr>
                <w:sz w:val="18"/>
              </w:rPr>
              <w:t xml:space="preserve">16c</w:t>
            </w:r>
          </w:p>
        </w:tc>
        <w:tc>
          <w:tcPr>
            <w:tcW w:w="1401" w:type="dxa"/>
          </w:tcPr>
          <w:p>
            <w:pPr>
              <w:pStyle w:val="Compact"/>
              <w:spacing w:after="40"/>
              <w:jc w:val="left"/>
            </w:pPr>
            <w:r>
              <w:rPr>
                <w:sz w:val="18"/>
              </w:rPr>
              <w:t xml:space="preserve">IA, finding owners</w:t>
            </w:r>
          </w:p>
        </w:tc>
      </w:tr>
      <w:tr>
        <w:tc>
          <w:tcPr>
            <w:tcW w:w="2490" w:type="dxa"/>
          </w:tcPr>
          <w:p>
            <w:pPr>
              <w:pStyle w:val="Compact"/>
              <w:spacing w:after="40"/>
              <w:jc w:val="left"/>
            </w:pPr>
            <w:r>
              <w:rPr>
                <w:rStyle w:val="VerbatimChar"/>
                <w:sz w:val="18"/>
              </w:rPr>
              <w:t xml:space="preserve">Audit ›</w:t>
            </w:r>
            <w:r>
              <w:rPr>
                <w:sz w:val="18"/>
              </w:rPr>
              <w:t xml:space="preserve"> </w:t>
            </w:r>
            <w:r>
              <w:rPr>
                <w:sz w:val="18"/>
              </w:rPr>
              <w:t xml:space="preserve">IS audit, ITGC, VAPT</w:t>
            </w:r>
          </w:p>
        </w:tc>
        <w:tc>
          <w:tcPr>
            <w:tcW w:w="3505" w:type="dxa"/>
          </w:tcPr>
          <w:p>
            <w:pPr>
              <w:pStyle w:val="Compact"/>
              <w:spacing w:after="40"/>
              <w:jc w:val="left"/>
            </w:pPr>
            <w:r>
              <w:rPr>
                <w:sz w:val="18"/>
              </w:rPr>
              <w:t xml:space="preserve">As AU4</w:t>
            </w:r>
          </w:p>
        </w:tc>
        <w:tc>
          <w:tcPr>
            <w:tcW w:w="1121" w:type="dxa"/>
          </w:tcPr>
          <w:p>
            <w:pPr>
              <w:pStyle w:val="Compact"/>
              <w:spacing w:after="40"/>
              <w:jc w:val="left"/>
            </w:pPr>
            <w:r>
              <w:rPr>
                <w:sz w:val="18"/>
              </w:rPr>
              <w:t xml:space="preserve">AU4</w:t>
            </w:r>
          </w:p>
        </w:tc>
        <w:tc>
          <w:tcPr>
            <w:tcW w:w="1121" w:type="dxa"/>
          </w:tcPr>
          <w:p>
            <w:pPr>
              <w:pStyle w:val="Compact"/>
              <w:spacing w:after="40"/>
              <w:jc w:val="left"/>
            </w:pPr>
            <w:r>
              <w:rPr>
                <w:sz w:val="18"/>
              </w:rPr>
              <w:t xml:space="preserve">16c</w:t>
            </w:r>
          </w:p>
        </w:tc>
        <w:tc>
          <w:tcPr>
            <w:tcW w:w="1401" w:type="dxa"/>
          </w:tcPr>
          <w:p>
            <w:pPr>
              <w:pStyle w:val="Compact"/>
              <w:spacing w:after="40"/>
              <w:jc w:val="left"/>
            </w:pPr>
            <w:r>
              <w:rPr>
                <w:sz w:val="18"/>
              </w:rPr>
              <w:t xml:space="preserve">IS auditors, CISO</w:t>
            </w:r>
          </w:p>
        </w:tc>
      </w:tr>
      <w:tr>
        <w:tc>
          <w:tcPr>
            <w:tcW w:w="2490" w:type="dxa"/>
          </w:tcPr>
          <w:p>
            <w:pPr>
              <w:pStyle w:val="Compact"/>
              <w:spacing w:after="40"/>
              <w:jc w:val="left"/>
            </w:pPr>
            <w:r>
              <w:rPr>
                <w:rStyle w:val="VerbatimChar"/>
                <w:sz w:val="18"/>
              </w:rPr>
              <w:t xml:space="preserve">Audit › Statutory ›</w:t>
            </w:r>
            <w:r>
              <w:rPr>
                <w:sz w:val="18"/>
              </w:rPr>
              <w:t xml:space="preserve">,</w:t>
            </w:r>
            <w:r>
              <w:rPr>
                <w:sz w:val="18"/>
              </w:rPr>
              <w:t xml:space="preserve"> </w:t>
            </w:r>
            <w:r>
              <w:rPr>
                <w:rStyle w:val="VerbatimChar"/>
                <w:sz w:val="18"/>
              </w:rPr>
              <w:t xml:space="preserve">› Secretarial ›</w:t>
            </w:r>
          </w:p>
        </w:tc>
        <w:tc>
          <w:tcPr>
            <w:tcW w:w="3505" w:type="dxa"/>
          </w:tcPr>
          <w:p>
            <w:pPr>
              <w:pStyle w:val="Compact"/>
              <w:spacing w:after="40"/>
              <w:jc w:val="left"/>
            </w:pPr>
            <w:r>
              <w:rPr>
                <w:sz w:val="18"/>
              </w:rPr>
              <w:t xml:space="preserve">As AU5, AU6</w:t>
            </w:r>
          </w:p>
        </w:tc>
        <w:tc>
          <w:tcPr>
            <w:tcW w:w="1121" w:type="dxa"/>
          </w:tcPr>
          <w:p>
            <w:pPr>
              <w:pStyle w:val="Compact"/>
              <w:spacing w:after="40"/>
              <w:jc w:val="left"/>
            </w:pPr>
            <w:r>
              <w:rPr>
                <w:sz w:val="18"/>
              </w:rPr>
              <w:t xml:space="preserve">AU5, AU6</w:t>
            </w:r>
          </w:p>
        </w:tc>
        <w:tc>
          <w:tcPr>
            <w:tcW w:w="1121" w:type="dxa"/>
          </w:tcPr>
          <w:p>
            <w:pPr>
              <w:pStyle w:val="Compact"/>
              <w:spacing w:after="40"/>
              <w:jc w:val="left"/>
            </w:pPr>
            <w:r>
              <w:rPr>
                <w:sz w:val="18"/>
              </w:rPr>
              <w:t xml:space="preserve">16c</w:t>
            </w:r>
          </w:p>
        </w:tc>
        <w:tc>
          <w:tcPr>
            <w:tcW w:w="1401" w:type="dxa"/>
          </w:tcPr>
          <w:p>
            <w:pPr>
              <w:pStyle w:val="Compact"/>
              <w:spacing w:after="40"/>
              <w:jc w:val="left"/>
            </w:pPr>
            <w:r>
              <w:rPr>
                <w:sz w:val="18"/>
              </w:rPr>
              <w:t xml:space="preserve">CFO office, CS</w:t>
            </w:r>
          </w:p>
        </w:tc>
      </w:tr>
      <w:tr>
        <w:tc>
          <w:tcPr>
            <w:tcW w:w="2490" w:type="dxa"/>
          </w:tcPr>
          <w:p>
            <w:pPr>
              <w:pStyle w:val="Compact"/>
              <w:spacing w:after="40"/>
              <w:jc w:val="left"/>
            </w:pPr>
            <w:r>
              <w:rPr>
                <w:rStyle w:val="VerbatimChar"/>
                <w:sz w:val="18"/>
              </w:rPr>
              <w:t xml:space="preserve">Audit › External access ›</w:t>
            </w:r>
            <w:r>
              <w:rPr>
                <w:sz w:val="18"/>
              </w:rPr>
              <w:t xml:space="preserve"> </w:t>
            </w:r>
            <w:r>
              <w:rPr>
                <w:sz w:val="18"/>
              </w:rPr>
              <w:t xml:space="preserve">Requests, Grants, Provider room</w:t>
            </w:r>
          </w:p>
        </w:tc>
        <w:tc>
          <w:tcPr>
            <w:tcW w:w="3505" w:type="dxa"/>
          </w:tcPr>
          <w:p>
            <w:pPr>
              <w:pStyle w:val="Compact"/>
              <w:spacing w:after="40"/>
              <w:jc w:val="left"/>
            </w:pPr>
            <w:r>
              <w:rPr>
                <w:sz w:val="18"/>
              </w:rPr>
              <w:t xml:space="preserve">As AU7; Provider room shares one evidence set with</w:t>
            </w:r>
            <w:r>
              <w:rPr>
                <w:sz w:val="18"/>
              </w:rPr>
              <w:t xml:space="preserve"> </w:t>
            </w:r>
            <w:r>
              <w:rPr>
                <w:rStyle w:val="VerbatimChar"/>
                <w:sz w:val="18"/>
              </w:rPr>
              <w:t xml:space="preserve">Settings › Security and trust</w:t>
            </w:r>
          </w:p>
        </w:tc>
        <w:tc>
          <w:tcPr>
            <w:tcW w:w="1121" w:type="dxa"/>
          </w:tcPr>
          <w:p>
            <w:pPr>
              <w:pStyle w:val="Compact"/>
              <w:spacing w:after="40"/>
              <w:jc w:val="left"/>
            </w:pPr>
            <w:r>
              <w:rPr>
                <w:sz w:val="18"/>
              </w:rPr>
              <w:t xml:space="preserve">AU7</w:t>
            </w:r>
          </w:p>
        </w:tc>
        <w:tc>
          <w:tcPr>
            <w:tcW w:w="1121" w:type="dxa"/>
          </w:tcPr>
          <w:p>
            <w:pPr>
              <w:pStyle w:val="Compact"/>
              <w:spacing w:after="40"/>
              <w:jc w:val="left"/>
            </w:pPr>
            <w:r>
              <w:rPr>
                <w:sz w:val="18"/>
              </w:rPr>
              <w:t xml:space="preserve">2; 16c</w:t>
            </w:r>
          </w:p>
        </w:tc>
        <w:tc>
          <w:tcPr>
            <w:tcW w:w="1401" w:type="dxa"/>
          </w:tcPr>
          <w:p>
            <w:pPr>
              <w:pStyle w:val="Compact"/>
              <w:spacing w:after="40"/>
              <w:jc w:val="left"/>
            </w:pPr>
            <w:r>
              <w:rPr>
                <w:sz w:val="18"/>
              </w:rPr>
              <w:t xml:space="preserve">CCO office, CISO</w:t>
            </w:r>
          </w:p>
        </w:tc>
      </w:tr>
      <w:tr>
        <w:tc>
          <w:tcPr>
            <w:tcW w:w="2490" w:type="dxa"/>
          </w:tcPr>
          <w:p>
            <w:pPr>
              <w:pStyle w:val="Compact"/>
              <w:spacing w:after="40"/>
              <w:jc w:val="left"/>
            </w:pPr>
            <w:r>
              <w:rPr>
                <w:sz w:val="18"/>
              </w:rPr>
              <w:t xml:space="preserve">V landing:</w:t>
            </w:r>
            <w:r>
              <w:rPr>
                <w:sz w:val="18"/>
              </w:rPr>
              <w:t xml:space="preserve"> </w:t>
            </w:r>
            <w:r>
              <w:rPr>
                <w:bCs/>
                <w:b/>
                <w:sz w:val="18"/>
              </w:rPr>
              <w:t xml:space="preserve">Engagement room</w:t>
            </w:r>
          </w:p>
        </w:tc>
        <w:tc>
          <w:tcPr>
            <w:tcW w:w="3505" w:type="dxa"/>
          </w:tcPr>
          <w:p>
            <w:pPr>
              <w:pStyle w:val="Compact"/>
              <w:spacing w:after="40"/>
              <w:jc w:val="left"/>
            </w:pPr>
            <w:r>
              <w:rPr>
                <w:sz w:val="18"/>
              </w:rPr>
              <w:t xml:space="preserve">Report catalogue, returns with lineage, audit-trail viewer, PBC and requests, scoped sandbox, watermarked exports</w:t>
            </w:r>
          </w:p>
        </w:tc>
        <w:tc>
          <w:tcPr>
            <w:tcW w:w="1121" w:type="dxa"/>
          </w:tcPr>
          <w:p>
            <w:pPr>
              <w:pStyle w:val="Compact"/>
              <w:spacing w:after="40"/>
              <w:jc w:val="left"/>
            </w:pPr>
            <w:r>
              <w:rPr>
                <w:sz w:val="18"/>
              </w:rPr>
              <w:t xml:space="preserve">AU7</w:t>
            </w:r>
          </w:p>
        </w:tc>
        <w:tc>
          <w:tcPr>
            <w:tcW w:w="1121" w:type="dxa"/>
          </w:tcPr>
          <w:p>
            <w:pPr>
              <w:pStyle w:val="Compact"/>
              <w:spacing w:after="40"/>
              <w:jc w:val="left"/>
            </w:pPr>
            <w:r>
              <w:rPr>
                <w:sz w:val="18"/>
              </w:rPr>
              <w:t xml:space="preserve">16c</w:t>
            </w:r>
          </w:p>
        </w:tc>
        <w:tc>
          <w:tcPr>
            <w:tcW w:w="1401" w:type="dxa"/>
          </w:tcPr>
          <w:p>
            <w:pPr>
              <w:pStyle w:val="Compact"/>
              <w:spacing w:after="40"/>
              <w:jc w:val="left"/>
            </w:pPr>
            <w:r>
              <w:rPr>
                <w:sz w:val="18"/>
              </w:rPr>
              <w:t xml:space="preserve">Named auditors</w:t>
            </w:r>
          </w:p>
        </w:tc>
      </w:tr>
      <w:tr>
        <w:tc>
          <w:tcPr>
            <w:tcW w:w="2490" w:type="dxa"/>
          </w:tcPr>
          <w:p>
            <w:pPr>
              <w:pStyle w:val="Compact"/>
              <w:spacing w:after="40"/>
              <w:jc w:val="left"/>
            </w:pPr>
            <w:r>
              <w:rPr>
                <w:sz w:val="18"/>
              </w:rPr>
              <w:t xml:space="preserve">W landing:</w:t>
            </w:r>
            <w:r>
              <w:rPr>
                <w:sz w:val="18"/>
              </w:rPr>
              <w:t xml:space="preserve"> </w:t>
            </w:r>
            <w:r>
              <w:rPr>
                <w:bCs/>
                <w:b/>
                <w:sz w:val="18"/>
              </w:rPr>
              <w:t xml:space="preserve">Inspection room</w:t>
            </w:r>
          </w:p>
        </w:tc>
        <w:tc>
          <w:tcPr>
            <w:tcW w:w="3505" w:type="dxa"/>
          </w:tcPr>
          <w:p>
            <w:pPr>
              <w:pStyle w:val="Compact"/>
              <w:spacing w:after="40"/>
              <w:jc w:val="left"/>
            </w:pPr>
            <w:r>
              <w:rPr>
                <w:sz w:val="18"/>
              </w:rPr>
              <w:t xml:space="preserve">Read-only MIS, returns with lineage, audit trails, evidence packs, request register; no data pull</w:t>
            </w:r>
          </w:p>
        </w:tc>
        <w:tc>
          <w:tcPr>
            <w:tcW w:w="1121" w:type="dxa"/>
          </w:tcPr>
          <w:p>
            <w:pPr>
              <w:pStyle w:val="Compact"/>
              <w:spacing w:after="40"/>
              <w:jc w:val="left"/>
            </w:pPr>
            <w:r>
              <w:rPr>
                <w:sz w:val="18"/>
              </w:rPr>
              <w:t xml:space="preserve">AU7</w:t>
            </w:r>
          </w:p>
        </w:tc>
        <w:tc>
          <w:tcPr>
            <w:tcW w:w="1121" w:type="dxa"/>
          </w:tcPr>
          <w:p>
            <w:pPr>
              <w:pStyle w:val="Compact"/>
              <w:spacing w:after="40"/>
              <w:jc w:val="left"/>
            </w:pPr>
            <w:r>
              <w:rPr>
                <w:sz w:val="18"/>
              </w:rPr>
              <w:t xml:space="preserve">16c</w:t>
            </w:r>
          </w:p>
        </w:tc>
        <w:tc>
          <w:tcPr>
            <w:tcW w:w="1401" w:type="dxa"/>
          </w:tcPr>
          <w:p>
            <w:pPr>
              <w:pStyle w:val="Compact"/>
              <w:spacing w:after="40"/>
              <w:jc w:val="left"/>
            </w:pPr>
            <w:r>
              <w:rPr>
                <w:sz w:val="18"/>
              </w:rPr>
              <w:t xml:space="preserve">Named supervisors</w:t>
            </w:r>
          </w:p>
        </w:tc>
      </w:tr>
    </w:tbl>
    <w:bookmarkEnd w:id="922"/>
    <w:bookmarkStart w:id="923" w:name="X863e4bc8f24cc593de914a22ec6f6c1828b221e"/>
    <w:p>
      <w:pPr>
        <w:pStyle w:val="Heading3"/>
      </w:pPr>
      <w:r>
        <w:t xml:space="preserve">G.3.15 Governance (</w:t>
      </w:r>
      <w:r>
        <w:rPr>
          <w:rStyle w:val="VerbatimChar"/>
        </w:rPr>
        <w:t xml:space="preserve">governance</w:t>
      </w:r>
      <w:r>
        <w:t xml:space="preserve">), HR and Payroll (</w:t>
      </w:r>
      <w:r>
        <w:rPr>
          <w:rStyle w:val="VerbatimChar"/>
        </w:rPr>
        <w:t xml:space="preserve">hr</w:t>
      </w:r>
      <w:r>
        <w:t xml:space="preserve">), Partners (</w:t>
      </w:r>
      <w:r>
        <w:rPr>
          <w:rStyle w:val="VerbatimChar"/>
        </w:rPr>
        <w:t xml:space="preserve">partners</w:t>
      </w:r>
      <w:r>
        <w:t xml:space="preserve">), Documents (</w:t>
      </w:r>
      <w:r>
        <w:rPr>
          <w:rStyle w:val="VerbatimChar"/>
        </w:rPr>
        <w:t xml:space="preserve">documents</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61"/>
        <w:gridCol w:w="3382"/>
        <w:gridCol w:w="966"/>
        <w:gridCol w:w="948"/>
        <w:gridCol w:w="1581"/>
      </w:tblGrid>
      <w:tr>
        <w:trPr>
          <w:tblHeader w:val="true"/>
          <w:tblHeader w:val="true"/>
        </w:trPr>
        <w:tc>
          <w:tcPr>
            <w:tcW w:w="2761" w:type="dxa"/>
            <w:shd w:val="clear" w:color="auto" w:fill="1F3A5F"/>
          </w:tcPr>
          <w:p>
            <w:pPr>
              <w:pStyle w:val="Compact"/>
              <w:spacing w:after="40"/>
              <w:jc w:val="left"/>
            </w:pPr>
            <w:r>
              <w:rPr>
                <w:b/>
                <w:color w:val="FFFFFF"/>
                <w:sz w:val="18"/>
              </w:rPr>
              <w:t xml:space="preserve">Path</w:t>
            </w:r>
          </w:p>
        </w:tc>
        <w:tc>
          <w:tcPr>
            <w:tcW w:w="3382" w:type="dxa"/>
            <w:shd w:val="clear" w:color="auto" w:fill="1F3A5F"/>
          </w:tcPr>
          <w:p>
            <w:pPr>
              <w:pStyle w:val="Compact"/>
              <w:spacing w:after="40"/>
              <w:jc w:val="left"/>
            </w:pPr>
            <w:r>
              <w:rPr>
                <w:b/>
                <w:color w:val="FFFFFF"/>
                <w:sz w:val="18"/>
              </w:rPr>
              <w:t xml:space="preserve">Screens and key actions</w:t>
            </w:r>
          </w:p>
        </w:tc>
        <w:tc>
          <w:tcPr>
            <w:tcW w:w="966" w:type="dxa"/>
            <w:shd w:val="clear" w:color="auto" w:fill="1F3A5F"/>
          </w:tcPr>
          <w:p>
            <w:pPr>
              <w:pStyle w:val="Compact"/>
              <w:spacing w:after="40"/>
              <w:jc w:val="left"/>
            </w:pPr>
            <w:r>
              <w:rPr>
                <w:b/>
                <w:color w:val="FFFFFF"/>
                <w:sz w:val="18"/>
              </w:rPr>
              <w:t xml:space="preserve">Owner</w:t>
            </w:r>
          </w:p>
        </w:tc>
        <w:tc>
          <w:tcPr>
            <w:tcW w:w="948" w:type="dxa"/>
            <w:shd w:val="clear" w:color="auto" w:fill="1F3A5F"/>
          </w:tcPr>
          <w:p>
            <w:pPr>
              <w:pStyle w:val="Compact"/>
              <w:spacing w:after="40"/>
              <w:jc w:val="left"/>
            </w:pPr>
            <w:r>
              <w:rPr>
                <w:b/>
                <w:color w:val="FFFFFF"/>
                <w:sz w:val="18"/>
              </w:rPr>
              <w:t xml:space="preserve">Phase</w:t>
            </w:r>
          </w:p>
        </w:tc>
        <w:tc>
          <w:tcPr>
            <w:tcW w:w="1581" w:type="dxa"/>
            <w:shd w:val="clear" w:color="auto" w:fill="1F3A5F"/>
          </w:tcPr>
          <w:p>
            <w:pPr>
              <w:pStyle w:val="Compact"/>
              <w:spacing w:after="40"/>
              <w:jc w:val="left"/>
            </w:pPr>
            <w:r>
              <w:rPr>
                <w:b/>
                <w:color w:val="FFFFFF"/>
                <w:sz w:val="18"/>
              </w:rPr>
              <w:t xml:space="preserve">Roles</w:t>
            </w:r>
          </w:p>
        </w:tc>
      </w:tr>
      <w:tr>
        <w:tc>
          <w:tcPr>
            <w:tcW w:w="2761" w:type="dxa"/>
          </w:tcPr>
          <w:p>
            <w:pPr>
              <w:pStyle w:val="Compact"/>
              <w:spacing w:after="40"/>
              <w:jc w:val="left"/>
            </w:pPr>
            <w:r>
              <w:rPr>
                <w:rStyle w:val="VerbatimChar"/>
                <w:sz w:val="18"/>
              </w:rPr>
              <w:t xml:space="preserve">Governance ›</w:t>
            </w:r>
            <w:r>
              <w:rPr>
                <w:sz w:val="18"/>
              </w:rPr>
              <w:t xml:space="preserve"> </w:t>
            </w:r>
            <w:r>
              <w:rPr>
                <w:sz w:val="18"/>
              </w:rPr>
              <w:t xml:space="preserve">Dashboard, Board, Committees, Meetings, Resolutions, Registers, MCA filings, Calendar</w:t>
            </w:r>
          </w:p>
        </w:tc>
        <w:tc>
          <w:tcPr>
            <w:tcW w:w="3382" w:type="dxa"/>
          </w:tcPr>
          <w:p>
            <w:pPr>
              <w:pStyle w:val="Compact"/>
              <w:spacing w:after="40"/>
              <w:jc w:val="left"/>
            </w:pPr>
            <w:r>
              <w:rPr>
                <w:sz w:val="18"/>
              </w:rPr>
              <w:t xml:space="preserve">As GV3</w:t>
            </w:r>
          </w:p>
        </w:tc>
        <w:tc>
          <w:tcPr>
            <w:tcW w:w="966" w:type="dxa"/>
          </w:tcPr>
          <w:p>
            <w:pPr>
              <w:pStyle w:val="Compact"/>
              <w:spacing w:after="40"/>
              <w:jc w:val="left"/>
            </w:pPr>
            <w:r>
              <w:rPr>
                <w:sz w:val="18"/>
              </w:rPr>
              <w:t xml:space="preserve">GV1–GV3</w:t>
            </w:r>
          </w:p>
        </w:tc>
        <w:tc>
          <w:tcPr>
            <w:tcW w:w="948" w:type="dxa"/>
          </w:tcPr>
          <w:p>
            <w:pPr>
              <w:pStyle w:val="Compact"/>
              <w:spacing w:after="40"/>
              <w:jc w:val="left"/>
            </w:pPr>
            <w:r>
              <w:rPr>
                <w:sz w:val="18"/>
              </w:rPr>
              <w:t xml:space="preserve">16d</w:t>
            </w:r>
          </w:p>
        </w:tc>
        <w:tc>
          <w:tcPr>
            <w:tcW w:w="1581" w:type="dxa"/>
          </w:tcPr>
          <w:p>
            <w:pPr>
              <w:pStyle w:val="Compact"/>
              <w:spacing w:after="40"/>
              <w:jc w:val="left"/>
            </w:pPr>
            <w:r>
              <w:rPr>
                <w:sz w:val="18"/>
              </w:rPr>
              <w:t xml:space="preserve">CS, Compliance Officer</w:t>
            </w:r>
          </w:p>
        </w:tc>
      </w:tr>
      <w:tr>
        <w:tc>
          <w:tcPr>
            <w:tcW w:w="2761" w:type="dxa"/>
          </w:tcPr>
          <w:p>
            <w:pPr>
              <w:pStyle w:val="Compact"/>
              <w:spacing w:after="40"/>
              <w:jc w:val="left"/>
            </w:pPr>
            <w:r>
              <w:rPr>
                <w:rStyle w:val="VerbatimChar"/>
                <w:sz w:val="18"/>
              </w:rPr>
              <w:t xml:space="preserve">Governance › Listed entity ›</w:t>
            </w:r>
          </w:p>
        </w:tc>
        <w:tc>
          <w:tcPr>
            <w:tcW w:w="3382" w:type="dxa"/>
          </w:tcPr>
          <w:p>
            <w:pPr>
              <w:pStyle w:val="Compact"/>
              <w:spacing w:after="40"/>
              <w:jc w:val="left"/>
            </w:pPr>
            <w:r>
              <w:rPr>
                <w:sz w:val="18"/>
              </w:rPr>
              <w:t xml:space="preserve">As GV4</w:t>
            </w:r>
          </w:p>
        </w:tc>
        <w:tc>
          <w:tcPr>
            <w:tcW w:w="966" w:type="dxa"/>
          </w:tcPr>
          <w:p>
            <w:pPr>
              <w:pStyle w:val="Compact"/>
              <w:spacing w:after="40"/>
              <w:jc w:val="left"/>
            </w:pPr>
            <w:r>
              <w:rPr>
                <w:sz w:val="18"/>
              </w:rPr>
              <w:t xml:space="preserve">GV4</w:t>
            </w:r>
          </w:p>
        </w:tc>
        <w:tc>
          <w:tcPr>
            <w:tcW w:w="948" w:type="dxa"/>
          </w:tcPr>
          <w:p>
            <w:pPr>
              <w:pStyle w:val="Compact"/>
              <w:spacing w:after="40"/>
              <w:jc w:val="left"/>
            </w:pPr>
            <w:r>
              <w:rPr>
                <w:sz w:val="18"/>
              </w:rPr>
              <w:t xml:space="preserve">16d</w:t>
            </w:r>
          </w:p>
        </w:tc>
        <w:tc>
          <w:tcPr>
            <w:tcW w:w="1581" w:type="dxa"/>
          </w:tcPr>
          <w:p>
            <w:pPr>
              <w:pStyle w:val="Compact"/>
              <w:spacing w:after="40"/>
              <w:jc w:val="left"/>
            </w:pPr>
            <w:r>
              <w:rPr>
                <w:sz w:val="18"/>
              </w:rPr>
              <w:t xml:space="preserve">CS, authorised KMP</w:t>
            </w:r>
          </w:p>
        </w:tc>
      </w:tr>
      <w:tr>
        <w:tc>
          <w:tcPr>
            <w:tcW w:w="2761" w:type="dxa"/>
          </w:tcPr>
          <w:p>
            <w:pPr>
              <w:pStyle w:val="Compact"/>
              <w:spacing w:after="40"/>
              <w:jc w:val="left"/>
            </w:pPr>
            <w:r>
              <w:rPr>
                <w:rStyle w:val="VerbatimChar"/>
                <w:sz w:val="18"/>
              </w:rPr>
              <w:t xml:space="preserve">Governance › Delegation</w:t>
            </w:r>
          </w:p>
        </w:tc>
        <w:tc>
          <w:tcPr>
            <w:tcW w:w="3382" w:type="dxa"/>
          </w:tcPr>
          <w:p>
            <w:pPr>
              <w:pStyle w:val="Compact"/>
              <w:spacing w:after="40"/>
              <w:jc w:val="left"/>
            </w:pPr>
            <w:r>
              <w:rPr>
                <w:sz w:val="18"/>
              </w:rPr>
              <w:t xml:space="preserve">DoA editor, simulation, versions, enabling resolutions, s.180 and s.186 utilisation</w:t>
            </w:r>
          </w:p>
        </w:tc>
        <w:tc>
          <w:tcPr>
            <w:tcW w:w="966" w:type="dxa"/>
          </w:tcPr>
          <w:p>
            <w:pPr>
              <w:pStyle w:val="Compact"/>
              <w:spacing w:after="40"/>
              <w:jc w:val="left"/>
            </w:pPr>
            <w:r>
              <w:rPr>
                <w:sz w:val="18"/>
              </w:rPr>
              <w:t xml:space="preserve">GV5</w:t>
            </w:r>
          </w:p>
        </w:tc>
        <w:tc>
          <w:tcPr>
            <w:tcW w:w="948" w:type="dxa"/>
          </w:tcPr>
          <w:p>
            <w:pPr>
              <w:pStyle w:val="Compact"/>
              <w:spacing w:after="40"/>
              <w:jc w:val="left"/>
            </w:pPr>
            <w:r>
              <w:rPr>
                <w:sz w:val="18"/>
              </w:rPr>
              <w:t xml:space="preserve">16d</w:t>
            </w:r>
          </w:p>
        </w:tc>
        <w:tc>
          <w:tcPr>
            <w:tcW w:w="1581" w:type="dxa"/>
          </w:tcPr>
          <w:p>
            <w:pPr>
              <w:pStyle w:val="Compact"/>
              <w:spacing w:after="40"/>
              <w:jc w:val="left"/>
            </w:pPr>
            <w:r>
              <w:rPr>
                <w:sz w:val="18"/>
              </w:rPr>
              <w:t xml:space="preserve">CS, CFO</w:t>
            </w:r>
          </w:p>
        </w:tc>
      </w:tr>
      <w:tr>
        <w:tc>
          <w:tcPr>
            <w:tcW w:w="2761" w:type="dxa"/>
          </w:tcPr>
          <w:p>
            <w:pPr>
              <w:pStyle w:val="Compact"/>
              <w:spacing w:after="40"/>
              <w:jc w:val="left"/>
            </w:pPr>
            <w:r>
              <w:rPr>
                <w:sz w:val="18"/>
              </w:rPr>
              <w:t xml:space="preserve">Director portal (MFA)</w:t>
            </w:r>
          </w:p>
        </w:tc>
        <w:tc>
          <w:tcPr>
            <w:tcW w:w="3382" w:type="dxa"/>
          </w:tcPr>
          <w:p>
            <w:pPr>
              <w:pStyle w:val="Compact"/>
              <w:spacing w:after="40"/>
              <w:jc w:val="left"/>
            </w:pPr>
            <w:r>
              <w:rPr>
                <w:sz w:val="18"/>
              </w:rPr>
              <w:t xml:space="preserve">Meetings, packs, declarations, circular votes,</w:t>
            </w:r>
            <w:r>
              <w:rPr>
                <w:sz w:val="18"/>
              </w:rPr>
              <w:t xml:space="preserve"> </w:t>
            </w:r>
            <w:r>
              <w:rPr>
                <w:rStyle w:val="VerbatimChar"/>
                <w:sz w:val="18"/>
              </w:rPr>
              <w:t xml:space="preserve">Dashboards › Committees</w:t>
            </w:r>
            <w:r>
              <w:rPr>
                <w:sz w:val="18"/>
              </w:rPr>
              <w:t xml:space="preserve">; no loan data</w:t>
            </w:r>
          </w:p>
        </w:tc>
        <w:tc>
          <w:tcPr>
            <w:tcW w:w="966" w:type="dxa"/>
          </w:tcPr>
          <w:p>
            <w:pPr>
              <w:pStyle w:val="Compact"/>
              <w:spacing w:after="40"/>
              <w:jc w:val="left"/>
            </w:pPr>
            <w:r>
              <w:rPr>
                <w:sz w:val="18"/>
              </w:rPr>
              <w:t xml:space="preserve">GV2, RK8</w:t>
            </w:r>
          </w:p>
        </w:tc>
        <w:tc>
          <w:tcPr>
            <w:tcW w:w="948" w:type="dxa"/>
          </w:tcPr>
          <w:p>
            <w:pPr>
              <w:pStyle w:val="Compact"/>
              <w:spacing w:after="40"/>
              <w:jc w:val="left"/>
            </w:pPr>
            <w:r>
              <w:rPr>
                <w:sz w:val="18"/>
              </w:rPr>
              <w:t xml:space="preserve">16d</w:t>
            </w:r>
          </w:p>
        </w:tc>
        <w:tc>
          <w:tcPr>
            <w:tcW w:w="1581" w:type="dxa"/>
          </w:tcPr>
          <w:p>
            <w:pPr>
              <w:pStyle w:val="Compact"/>
              <w:spacing w:after="40"/>
              <w:jc w:val="left"/>
            </w:pPr>
            <w:r>
              <w:rPr>
                <w:sz w:val="18"/>
              </w:rPr>
              <w:t xml:space="preserve">Directors</w:t>
            </w:r>
          </w:p>
        </w:tc>
      </w:tr>
      <w:tr>
        <w:tc>
          <w:tcPr>
            <w:tcW w:w="2761" w:type="dxa"/>
          </w:tcPr>
          <w:p>
            <w:pPr>
              <w:pStyle w:val="Compact"/>
              <w:spacing w:after="40"/>
              <w:jc w:val="left"/>
            </w:pPr>
            <w:r>
              <w:rPr>
                <w:rStyle w:val="VerbatimChar"/>
                <w:sz w:val="18"/>
              </w:rPr>
              <w:t xml:space="preserve">HR ›</w:t>
            </w:r>
            <w:r>
              <w:rPr>
                <w:sz w:val="18"/>
              </w:rPr>
              <w:t xml:space="preserve"> </w:t>
            </w:r>
            <w:r>
              <w:rPr>
                <w:sz w:val="18"/>
              </w:rPr>
              <w:t xml:space="preserve">People, Leave, Attendance, Payroll, Appraisal, Compliance, Self-service</w:t>
            </w:r>
          </w:p>
        </w:tc>
        <w:tc>
          <w:tcPr>
            <w:tcW w:w="3382" w:type="dxa"/>
          </w:tcPr>
          <w:p>
            <w:pPr>
              <w:pStyle w:val="Compact"/>
              <w:spacing w:after="40"/>
              <w:jc w:val="left"/>
            </w:pPr>
            <w:r>
              <w:rPr>
                <w:sz w:val="18"/>
              </w:rPr>
              <w:t xml:space="preserve">As GV6; Self-service also as</w:t>
            </w:r>
            <w:r>
              <w:rPr>
                <w:sz w:val="18"/>
              </w:rPr>
              <w:t xml:space="preserve"> </w:t>
            </w:r>
            <w:r>
              <w:rPr>
                <w:bCs/>
                <w:b/>
                <w:sz w:val="18"/>
              </w:rPr>
              <w:t xml:space="preserve">My HR</w:t>
            </w:r>
            <w:r>
              <w:rPr>
                <w:sz w:val="18"/>
              </w:rPr>
              <w:t xml:space="preserve"> </w:t>
            </w:r>
            <w:r>
              <w:rPr>
                <w:sz w:val="18"/>
              </w:rPr>
              <w:t xml:space="preserve">in the user menu</w:t>
            </w:r>
          </w:p>
        </w:tc>
        <w:tc>
          <w:tcPr>
            <w:tcW w:w="966" w:type="dxa"/>
          </w:tcPr>
          <w:p>
            <w:pPr>
              <w:pStyle w:val="Compact"/>
              <w:spacing w:after="40"/>
              <w:jc w:val="left"/>
            </w:pPr>
            <w:r>
              <w:rPr>
                <w:sz w:val="18"/>
              </w:rPr>
              <w:t xml:space="preserve">GV6</w:t>
            </w:r>
          </w:p>
        </w:tc>
        <w:tc>
          <w:tcPr>
            <w:tcW w:w="948" w:type="dxa"/>
          </w:tcPr>
          <w:p>
            <w:pPr>
              <w:pStyle w:val="Compact"/>
              <w:spacing w:after="40"/>
              <w:jc w:val="left"/>
            </w:pPr>
            <w:r>
              <w:rPr>
                <w:sz w:val="18"/>
              </w:rPr>
              <w:t xml:space="preserve">16d</w:t>
            </w:r>
          </w:p>
        </w:tc>
        <w:tc>
          <w:tcPr>
            <w:tcW w:w="1581" w:type="dxa"/>
          </w:tcPr>
          <w:p>
            <w:pPr>
              <w:pStyle w:val="Compact"/>
              <w:spacing w:after="40"/>
              <w:jc w:val="left"/>
            </w:pPr>
            <w:r>
              <w:rPr>
                <w:sz w:val="18"/>
              </w:rPr>
              <w:t xml:space="preserve">HR, payroll, managers, employees</w:t>
            </w:r>
          </w:p>
        </w:tc>
      </w:tr>
      <w:tr>
        <w:tc>
          <w:tcPr>
            <w:tcW w:w="2761" w:type="dxa"/>
          </w:tcPr>
          <w:p>
            <w:pPr>
              <w:pStyle w:val="Compact"/>
              <w:spacing w:after="40"/>
              <w:jc w:val="left"/>
            </w:pPr>
            <w:r>
              <w:rPr>
                <w:rStyle w:val="VerbatimChar"/>
                <w:sz w:val="18"/>
              </w:rPr>
              <w:t xml:space="preserve">Partners › Co-lending partners</w:t>
            </w:r>
          </w:p>
        </w:tc>
        <w:tc>
          <w:tcPr>
            <w:tcW w:w="3382" w:type="dxa"/>
          </w:tcPr>
          <w:p>
            <w:pPr>
              <w:pStyle w:val="Compact"/>
              <w:spacing w:after="40"/>
              <w:jc w:val="left"/>
            </w:pPr>
            <w:r>
              <w:rPr>
                <w:sz w:val="18"/>
              </w:rPr>
              <w:t xml:space="preserve">CLAs; blended rate; escrow; SMA and NPA sync by next working day; reconciliation; website list</w:t>
            </w:r>
          </w:p>
        </w:tc>
        <w:tc>
          <w:tcPr>
            <w:tcW w:w="966" w:type="dxa"/>
          </w:tcPr>
          <w:p>
            <w:pPr>
              <w:pStyle w:val="Compact"/>
              <w:spacing w:after="40"/>
              <w:jc w:val="left"/>
            </w:pPr>
            <w:r>
              <w:rPr>
                <w:sz w:val="18"/>
              </w:rPr>
              <w:t xml:space="preserve">M11</w:t>
            </w:r>
          </w:p>
        </w:tc>
        <w:tc>
          <w:tcPr>
            <w:tcW w:w="948" w:type="dxa"/>
          </w:tcPr>
          <w:p>
            <w:pPr>
              <w:pStyle w:val="Compact"/>
              <w:spacing w:after="40"/>
              <w:jc w:val="left"/>
            </w:pPr>
            <w:r>
              <w:rPr>
                <w:sz w:val="18"/>
              </w:rPr>
              <w:t xml:space="preserve">16</w:t>
            </w:r>
          </w:p>
        </w:tc>
        <w:tc>
          <w:tcPr>
            <w:tcW w:w="1581" w:type="dxa"/>
          </w:tcPr>
          <w:p>
            <w:pPr>
              <w:pStyle w:val="Compact"/>
              <w:spacing w:after="40"/>
              <w:jc w:val="left"/>
            </w:pPr>
            <w:r>
              <w:rPr>
                <w:sz w:val="18"/>
              </w:rPr>
              <w:t xml:space="preserve">Portfolio ops</w:t>
            </w:r>
          </w:p>
        </w:tc>
      </w:tr>
      <w:tr>
        <w:tc>
          <w:tcPr>
            <w:tcW w:w="2761" w:type="dxa"/>
          </w:tcPr>
          <w:p>
            <w:pPr>
              <w:pStyle w:val="Compact"/>
              <w:spacing w:after="40"/>
              <w:jc w:val="left"/>
            </w:pPr>
            <w:r>
              <w:rPr>
                <w:rStyle w:val="VerbatimChar"/>
                <w:sz w:val="18"/>
              </w:rPr>
              <w:t xml:space="preserve">Partners › LSPs and DLAs</w:t>
            </w:r>
          </w:p>
        </w:tc>
        <w:tc>
          <w:tcPr>
            <w:tcW w:w="3382" w:type="dxa"/>
          </w:tcPr>
          <w:p>
            <w:pPr>
              <w:pStyle w:val="Compact"/>
              <w:spacing w:after="40"/>
              <w:jc w:val="left"/>
            </w:pPr>
            <w:r>
              <w:rPr>
                <w:sz w:val="18"/>
              </w:rPr>
              <w:t xml:space="preserve">LSP master; DLA register and CIMS reporting; DLG ledger and cap; LSP fees paid only by the RE</w:t>
            </w:r>
          </w:p>
        </w:tc>
        <w:tc>
          <w:tcPr>
            <w:tcW w:w="966" w:type="dxa"/>
          </w:tcPr>
          <w:p>
            <w:pPr>
              <w:pStyle w:val="Compact"/>
              <w:spacing w:after="40"/>
              <w:jc w:val="left"/>
            </w:pPr>
            <w:r>
              <w:rPr>
                <w:sz w:val="18"/>
              </w:rPr>
              <w:t xml:space="preserve">M11, CF</w:t>
            </w:r>
          </w:p>
        </w:tc>
        <w:tc>
          <w:tcPr>
            <w:tcW w:w="948" w:type="dxa"/>
          </w:tcPr>
          <w:p>
            <w:pPr>
              <w:pStyle w:val="Compact"/>
              <w:spacing w:after="40"/>
              <w:jc w:val="left"/>
            </w:pPr>
            <w:r>
              <w:rPr>
                <w:sz w:val="18"/>
              </w:rPr>
              <w:t xml:space="preserve">8c; 16</w:t>
            </w:r>
          </w:p>
        </w:tc>
        <w:tc>
          <w:tcPr>
            <w:tcW w:w="1581" w:type="dxa"/>
          </w:tcPr>
          <w:p>
            <w:pPr>
              <w:pStyle w:val="Compact"/>
              <w:spacing w:after="40"/>
              <w:jc w:val="left"/>
            </w:pPr>
            <w:r>
              <w:rPr>
                <w:sz w:val="18"/>
              </w:rPr>
              <w:t xml:space="preserve">Digital lending; CCO checker</w:t>
            </w:r>
          </w:p>
        </w:tc>
      </w:tr>
      <w:tr>
        <w:tc>
          <w:tcPr>
            <w:tcW w:w="2761" w:type="dxa"/>
          </w:tcPr>
          <w:p>
            <w:pPr>
              <w:pStyle w:val="Compact"/>
              <w:spacing w:after="40"/>
              <w:jc w:val="left"/>
            </w:pPr>
            <w:r>
              <w:rPr>
                <w:rStyle w:val="VerbatimChar"/>
                <w:sz w:val="18"/>
              </w:rPr>
              <w:t xml:space="preserve">Partners › Investors and trustees</w:t>
            </w:r>
          </w:p>
        </w:tc>
        <w:tc>
          <w:tcPr>
            <w:tcW w:w="3382" w:type="dxa"/>
          </w:tcPr>
          <w:p>
            <w:pPr>
              <w:pStyle w:val="Compact"/>
              <w:spacing w:after="40"/>
              <w:jc w:val="left"/>
            </w:pPr>
            <w:r>
              <w:rPr>
                <w:sz w:val="18"/>
              </w:rPr>
              <w:t xml:space="preserve">DA and securitisation investors, trustee reports, SPV remittances</w:t>
            </w:r>
          </w:p>
        </w:tc>
        <w:tc>
          <w:tcPr>
            <w:tcW w:w="966" w:type="dxa"/>
          </w:tcPr>
          <w:p>
            <w:pPr>
              <w:pStyle w:val="Compact"/>
              <w:spacing w:after="40"/>
              <w:jc w:val="left"/>
            </w:pPr>
            <w:r>
              <w:rPr>
                <w:sz w:val="18"/>
              </w:rPr>
              <w:t xml:space="preserve">M11, IV7</w:t>
            </w:r>
          </w:p>
        </w:tc>
        <w:tc>
          <w:tcPr>
            <w:tcW w:w="948" w:type="dxa"/>
          </w:tcPr>
          <w:p>
            <w:pPr>
              <w:pStyle w:val="Compact"/>
              <w:spacing w:after="40"/>
              <w:jc w:val="left"/>
            </w:pPr>
            <w:r>
              <w:rPr>
                <w:sz w:val="18"/>
              </w:rPr>
              <w:t xml:space="preserve">16; 17d</w:t>
            </w:r>
          </w:p>
        </w:tc>
        <w:tc>
          <w:tcPr>
            <w:tcW w:w="1581" w:type="dxa"/>
          </w:tcPr>
          <w:p>
            <w:pPr>
              <w:pStyle w:val="Compact"/>
              <w:spacing w:after="40"/>
              <w:jc w:val="left"/>
            </w:pPr>
            <w:r>
              <w:rPr>
                <w:sz w:val="18"/>
              </w:rPr>
              <w:t xml:space="preserve">Portfolio ops</w:t>
            </w:r>
          </w:p>
        </w:tc>
      </w:tr>
      <w:tr>
        <w:tc>
          <w:tcPr>
            <w:tcW w:w="2761" w:type="dxa"/>
          </w:tcPr>
          <w:p>
            <w:pPr>
              <w:pStyle w:val="Compact"/>
              <w:spacing w:after="40"/>
              <w:jc w:val="left"/>
            </w:pPr>
            <w:r>
              <w:rPr>
                <w:rStyle w:val="VerbatimChar"/>
                <w:sz w:val="18"/>
              </w:rPr>
              <w:t xml:space="preserve">Partners › Portal access</w:t>
            </w:r>
          </w:p>
        </w:tc>
        <w:tc>
          <w:tcPr>
            <w:tcW w:w="3382" w:type="dxa"/>
          </w:tcPr>
          <w:p>
            <w:pPr>
              <w:pStyle w:val="Compact"/>
              <w:spacing w:after="40"/>
              <w:jc w:val="left"/>
            </w:pPr>
            <w:r>
              <w:rPr>
                <w:sz w:val="18"/>
              </w:rPr>
              <w:t xml:space="preserve">Partner users, scopes, access reviews; partner portal (R): pools, escrow, servicer reports, own share</w:t>
            </w:r>
          </w:p>
        </w:tc>
        <w:tc>
          <w:tcPr>
            <w:tcW w:w="966" w:type="dxa"/>
          </w:tcPr>
          <w:p>
            <w:pPr>
              <w:pStyle w:val="Compact"/>
              <w:spacing w:after="40"/>
              <w:jc w:val="left"/>
            </w:pPr>
            <w:r>
              <w:rPr>
                <w:sz w:val="18"/>
              </w:rPr>
              <w:t xml:space="preserve">M19, R13</w:t>
            </w:r>
          </w:p>
        </w:tc>
        <w:tc>
          <w:tcPr>
            <w:tcW w:w="948" w:type="dxa"/>
          </w:tcPr>
          <w:p>
            <w:pPr>
              <w:pStyle w:val="Compact"/>
              <w:spacing w:after="40"/>
              <w:jc w:val="left"/>
            </w:pPr>
            <w:r>
              <w:rPr>
                <w:sz w:val="18"/>
              </w:rPr>
              <w:t xml:space="preserve">16</w:t>
            </w:r>
          </w:p>
        </w:tc>
        <w:tc>
          <w:tcPr>
            <w:tcW w:w="1581" w:type="dxa"/>
          </w:tcPr>
          <w:p>
            <w:pPr>
              <w:pStyle w:val="Compact"/>
              <w:spacing w:after="40"/>
              <w:jc w:val="left"/>
            </w:pPr>
            <w:r>
              <w:rPr>
                <w:sz w:val="18"/>
              </w:rPr>
              <w:t xml:space="preserve">Partner manager</w:t>
            </w:r>
          </w:p>
        </w:tc>
      </w:tr>
      <w:tr>
        <w:tc>
          <w:tcPr>
            <w:tcW w:w="2761" w:type="dxa"/>
          </w:tcPr>
          <w:p>
            <w:pPr>
              <w:pStyle w:val="Compact"/>
              <w:spacing w:after="40"/>
              <w:jc w:val="left"/>
            </w:pPr>
            <w:r>
              <w:rPr>
                <w:rStyle w:val="VerbatimChar"/>
                <w:sz w:val="18"/>
              </w:rPr>
              <w:t xml:space="preserve">Documents › Search</w:t>
            </w:r>
          </w:p>
        </w:tc>
        <w:tc>
          <w:tcPr>
            <w:tcW w:w="3382" w:type="dxa"/>
          </w:tcPr>
          <w:p>
            <w:pPr>
              <w:pStyle w:val="Compact"/>
              <w:spacing w:after="40"/>
              <w:jc w:val="left"/>
            </w:pPr>
            <w:r>
              <w:rPr>
                <w:sz w:val="18"/>
              </w:rPr>
              <w:t xml:space="preserve">Document 360 (versions, SHA-256, signing evidence, access log); watermarked view</w:t>
            </w:r>
          </w:p>
        </w:tc>
        <w:tc>
          <w:tcPr>
            <w:tcW w:w="966" w:type="dxa"/>
          </w:tcPr>
          <w:p>
            <w:pPr>
              <w:pStyle w:val="Compact"/>
              <w:spacing w:after="40"/>
              <w:jc w:val="left"/>
            </w:pPr>
            <w:r>
              <w:rPr>
                <w:sz w:val="18"/>
              </w:rPr>
              <w:t xml:space="preserve">M16</w:t>
            </w:r>
          </w:p>
        </w:tc>
        <w:tc>
          <w:tcPr>
            <w:tcW w:w="948" w:type="dxa"/>
          </w:tcPr>
          <w:p>
            <w:pPr>
              <w:pStyle w:val="Compact"/>
              <w:spacing w:after="40"/>
              <w:jc w:val="left"/>
            </w:pPr>
            <w:r>
              <w:rPr>
                <w:sz w:val="18"/>
              </w:rPr>
              <w:t xml:space="preserve">8</w:t>
            </w:r>
          </w:p>
        </w:tc>
        <w:tc>
          <w:tcPr>
            <w:tcW w:w="1581" w:type="dxa"/>
          </w:tcPr>
          <w:p>
            <w:pPr>
              <w:pStyle w:val="Compact"/>
              <w:spacing w:after="40"/>
              <w:jc w:val="left"/>
            </w:pPr>
            <w:r>
              <w:rPr>
                <w:sz w:val="18"/>
              </w:rPr>
              <w:t xml:space="preserve">All (record-scoped)</w:t>
            </w:r>
          </w:p>
        </w:tc>
      </w:tr>
      <w:tr>
        <w:tc>
          <w:tcPr>
            <w:tcW w:w="2761" w:type="dxa"/>
          </w:tcPr>
          <w:p>
            <w:pPr>
              <w:pStyle w:val="Compact"/>
              <w:spacing w:after="40"/>
              <w:jc w:val="left"/>
            </w:pPr>
            <w:r>
              <w:rPr>
                <w:rStyle w:val="VerbatimChar"/>
                <w:sz w:val="18"/>
              </w:rPr>
              <w:t xml:space="preserve">Documents ›</w:t>
            </w:r>
            <w:r>
              <w:rPr>
                <w:sz w:val="18"/>
              </w:rPr>
              <w:t xml:space="preserve"> </w:t>
            </w:r>
            <w:r>
              <w:rPr>
                <w:sz w:val="18"/>
              </w:rPr>
              <w:t xml:space="preserve">Verification queue, Custody, Retention and holds</w:t>
            </w:r>
          </w:p>
        </w:tc>
        <w:tc>
          <w:tcPr>
            <w:tcW w:w="3382" w:type="dxa"/>
          </w:tcPr>
          <w:p>
            <w:pPr>
              <w:pStyle w:val="Compact"/>
              <w:spacing w:after="40"/>
              <w:jc w:val="left"/>
            </w:pPr>
            <w:r>
              <w:rPr>
                <w:sz w:val="18"/>
              </w:rPr>
              <w:t xml:space="preserve">OCR and AI classification for human check; physical and gold-packet custody under dual control; retention, destruction (two approvers), legal holds</w:t>
            </w:r>
          </w:p>
        </w:tc>
        <w:tc>
          <w:tcPr>
            <w:tcW w:w="966" w:type="dxa"/>
          </w:tcPr>
          <w:p>
            <w:pPr>
              <w:pStyle w:val="Compact"/>
              <w:spacing w:after="40"/>
              <w:jc w:val="left"/>
            </w:pPr>
            <w:r>
              <w:rPr>
                <w:sz w:val="18"/>
              </w:rPr>
              <w:t xml:space="preserve">M16, M5, AC7</w:t>
            </w:r>
          </w:p>
        </w:tc>
        <w:tc>
          <w:tcPr>
            <w:tcW w:w="948" w:type="dxa"/>
          </w:tcPr>
          <w:p>
            <w:pPr>
              <w:pStyle w:val="Compact"/>
              <w:spacing w:after="40"/>
              <w:jc w:val="left"/>
            </w:pPr>
            <w:r>
              <w:rPr>
                <w:sz w:val="18"/>
              </w:rPr>
              <w:t xml:space="preserve">8; 13b</w:t>
            </w:r>
          </w:p>
        </w:tc>
        <w:tc>
          <w:tcPr>
            <w:tcW w:w="1581" w:type="dxa"/>
          </w:tcPr>
          <w:p>
            <w:pPr>
              <w:pStyle w:val="Compact"/>
              <w:spacing w:after="40"/>
              <w:jc w:val="left"/>
            </w:pPr>
            <w:r>
              <w:rPr>
                <w:sz w:val="18"/>
              </w:rPr>
              <w:t xml:space="preserve">Ops, collateral team, records</w:t>
            </w:r>
          </w:p>
        </w:tc>
      </w:tr>
    </w:tbl>
    <w:bookmarkEnd w:id="923"/>
    <w:bookmarkStart w:id="924" w:name="Xaedf7abf3481ba31dbf76b5d46930b7fb6e2628"/>
    <w:p>
      <w:pPr>
        <w:pStyle w:val="Heading3"/>
      </w:pPr>
      <w:r>
        <w:t xml:space="preserve">G.3.16 Reports and Dashboards (</w:t>
      </w:r>
      <w:r>
        <w:rPr>
          <w:rStyle w:val="VerbatimChar"/>
        </w:rPr>
        <w:t xml:space="preserve">dashboards</w:t>
      </w:r>
      <w:r>
        <w:t xml:space="preserve">), Data (</w:t>
      </w:r>
      <w:r>
        <w:rPr>
          <w:rStyle w:val="VerbatimChar"/>
        </w:rPr>
        <w:t xml:space="preserve">data</w:t>
      </w:r>
      <w:r>
        <w:t xml:space="preserve">), Integrations (</w:t>
      </w:r>
      <w:r>
        <w:rPr>
          <w:rStyle w:val="VerbatimChar"/>
        </w:rPr>
        <w:t xml:space="preserve">integrations</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15"/>
        <w:gridCol w:w="3625"/>
        <w:gridCol w:w="1038"/>
        <w:gridCol w:w="1100"/>
        <w:gridCol w:w="1060"/>
      </w:tblGrid>
      <w:tr>
        <w:trPr>
          <w:tblHeader w:val="true"/>
          <w:tblHeader w:val="true"/>
        </w:trPr>
        <w:tc>
          <w:tcPr>
            <w:tcW w:w="2815" w:type="dxa"/>
            <w:shd w:val="clear" w:color="auto" w:fill="1F3A5F"/>
          </w:tcPr>
          <w:p>
            <w:pPr>
              <w:pStyle w:val="Compact"/>
              <w:spacing w:after="40"/>
              <w:jc w:val="left"/>
            </w:pPr>
            <w:r>
              <w:rPr>
                <w:b/>
                <w:color w:val="FFFFFF"/>
                <w:sz w:val="18"/>
              </w:rPr>
              <w:t xml:space="preserve">Path</w:t>
            </w:r>
          </w:p>
        </w:tc>
        <w:tc>
          <w:tcPr>
            <w:tcW w:w="3625" w:type="dxa"/>
            <w:shd w:val="clear" w:color="auto" w:fill="1F3A5F"/>
          </w:tcPr>
          <w:p>
            <w:pPr>
              <w:pStyle w:val="Compact"/>
              <w:spacing w:after="40"/>
              <w:jc w:val="left"/>
            </w:pPr>
            <w:r>
              <w:rPr>
                <w:b/>
                <w:color w:val="FFFFFF"/>
                <w:sz w:val="18"/>
              </w:rPr>
              <w:t xml:space="preserve">Screens and key actions</w:t>
            </w:r>
          </w:p>
        </w:tc>
        <w:tc>
          <w:tcPr>
            <w:tcW w:w="1038" w:type="dxa"/>
            <w:shd w:val="clear" w:color="auto" w:fill="1F3A5F"/>
          </w:tcPr>
          <w:p>
            <w:pPr>
              <w:pStyle w:val="Compact"/>
              <w:spacing w:after="40"/>
              <w:jc w:val="left"/>
            </w:pPr>
            <w:r>
              <w:rPr>
                <w:b/>
                <w:color w:val="FFFFFF"/>
                <w:sz w:val="18"/>
              </w:rPr>
              <w:t xml:space="preserve">Owner</w:t>
            </w:r>
          </w:p>
        </w:tc>
        <w:tc>
          <w:tcPr>
            <w:tcW w:w="1100" w:type="dxa"/>
            <w:shd w:val="clear" w:color="auto" w:fill="1F3A5F"/>
          </w:tcPr>
          <w:p>
            <w:pPr>
              <w:pStyle w:val="Compact"/>
              <w:spacing w:after="40"/>
              <w:jc w:val="left"/>
            </w:pPr>
            <w:r>
              <w:rPr>
                <w:b/>
                <w:color w:val="FFFFFF"/>
                <w:sz w:val="18"/>
              </w:rPr>
              <w:t xml:space="preserve">Phase</w:t>
            </w:r>
          </w:p>
        </w:tc>
        <w:tc>
          <w:tcPr>
            <w:tcW w:w="1060" w:type="dxa"/>
            <w:shd w:val="clear" w:color="auto" w:fill="1F3A5F"/>
          </w:tcPr>
          <w:p>
            <w:pPr>
              <w:pStyle w:val="Compact"/>
              <w:spacing w:after="40"/>
              <w:jc w:val="left"/>
            </w:pPr>
            <w:r>
              <w:rPr>
                <w:b/>
                <w:color w:val="FFFFFF"/>
                <w:sz w:val="18"/>
              </w:rPr>
              <w:t xml:space="preserve">Roles</w:t>
            </w:r>
          </w:p>
        </w:tc>
      </w:tr>
      <w:tr>
        <w:tc>
          <w:tcPr>
            <w:tcW w:w="2815" w:type="dxa"/>
          </w:tcPr>
          <w:p>
            <w:pPr>
              <w:pStyle w:val="Compact"/>
              <w:spacing w:after="40"/>
              <w:jc w:val="left"/>
            </w:pPr>
            <w:r>
              <w:rPr>
                <w:rStyle w:val="VerbatimChar"/>
                <w:sz w:val="18"/>
              </w:rPr>
              <w:t xml:space="preserve">Dashboards ›</w:t>
            </w:r>
            <w:r>
              <w:rPr>
                <w:sz w:val="18"/>
              </w:rPr>
              <w:t xml:space="preserve"> </w:t>
            </w:r>
            <w:r>
              <w:rPr>
                <w:sz w:val="18"/>
              </w:rPr>
              <w:t xml:space="preserve">My dashboard, Committees, Sign-off, Alerts, Sandbox</w:t>
            </w:r>
          </w:p>
        </w:tc>
        <w:tc>
          <w:tcPr>
            <w:tcW w:w="3625" w:type="dxa"/>
          </w:tcPr>
          <w:p>
            <w:pPr>
              <w:pStyle w:val="Compact"/>
              <w:spacing w:after="40"/>
              <w:jc w:val="left"/>
            </w:pPr>
            <w:r>
              <w:rPr>
                <w:sz w:val="18"/>
              </w:rPr>
              <w:t xml:space="preserve">As RK8</w:t>
            </w:r>
          </w:p>
        </w:tc>
        <w:tc>
          <w:tcPr>
            <w:tcW w:w="1038" w:type="dxa"/>
          </w:tcPr>
          <w:p>
            <w:pPr>
              <w:pStyle w:val="Compact"/>
              <w:spacing w:after="40"/>
              <w:jc w:val="left"/>
            </w:pPr>
            <w:r>
              <w:rPr>
                <w:sz w:val="18"/>
              </w:rPr>
              <w:t xml:space="preserve">RK8</w:t>
            </w:r>
          </w:p>
        </w:tc>
        <w:tc>
          <w:tcPr>
            <w:tcW w:w="1100" w:type="dxa"/>
          </w:tcPr>
          <w:p>
            <w:pPr>
              <w:pStyle w:val="Compact"/>
              <w:spacing w:after="40"/>
              <w:jc w:val="left"/>
            </w:pPr>
            <w:r>
              <w:rPr>
                <w:sz w:val="18"/>
              </w:rPr>
              <w:t xml:space="preserve">14d</w:t>
            </w:r>
          </w:p>
        </w:tc>
        <w:tc>
          <w:tcPr>
            <w:tcW w:w="1060" w:type="dxa"/>
          </w:tcPr>
          <w:p>
            <w:pPr>
              <w:pStyle w:val="Compact"/>
              <w:spacing w:after="40"/>
              <w:jc w:val="left"/>
            </w:pPr>
            <w:r>
              <w:rPr>
                <w:sz w:val="18"/>
              </w:rPr>
              <w:t xml:space="preserve">Per RK8</w:t>
            </w:r>
          </w:p>
        </w:tc>
      </w:tr>
      <w:tr>
        <w:tc>
          <w:tcPr>
            <w:tcW w:w="2815" w:type="dxa"/>
          </w:tcPr>
          <w:p>
            <w:pPr>
              <w:pStyle w:val="Compact"/>
              <w:spacing w:after="40"/>
              <w:jc w:val="left"/>
            </w:pPr>
            <w:r>
              <w:rPr>
                <w:rStyle w:val="VerbatimChar"/>
                <w:sz w:val="18"/>
              </w:rPr>
              <w:t xml:space="preserve">Dashboards › Report catalogue</w:t>
            </w:r>
            <w:r>
              <w:rPr>
                <w:sz w:val="18"/>
              </w:rPr>
              <w:t xml:space="preserve">,</w:t>
            </w:r>
            <w:r>
              <w:rPr>
                <w:sz w:val="18"/>
              </w:rPr>
              <w:t xml:space="preserve"> </w:t>
            </w:r>
            <w:r>
              <w:rPr>
                <w:rStyle w:val="VerbatimChar"/>
                <w:sz w:val="18"/>
              </w:rPr>
              <w:t xml:space="preserve">› Scheduled reports</w:t>
            </w:r>
          </w:p>
        </w:tc>
        <w:tc>
          <w:tcPr>
            <w:tcW w:w="3625" w:type="dxa"/>
          </w:tcPr>
          <w:p>
            <w:pPr>
              <w:pStyle w:val="Compact"/>
              <w:spacing w:after="40"/>
              <w:jc w:val="left"/>
            </w:pPr>
            <w:r>
              <w:rPr>
                <w:sz w:val="18"/>
              </w:rPr>
              <w:t xml:space="preserve">Standard reports with saved views, schedules, exports; delivery log</w:t>
            </w:r>
          </w:p>
        </w:tc>
        <w:tc>
          <w:tcPr>
            <w:tcW w:w="1038" w:type="dxa"/>
          </w:tcPr>
          <w:p>
            <w:pPr>
              <w:pStyle w:val="Compact"/>
              <w:spacing w:after="40"/>
              <w:jc w:val="left"/>
            </w:pPr>
            <w:r>
              <w:rPr>
                <w:sz w:val="18"/>
              </w:rPr>
              <w:t xml:space="preserve">M17</w:t>
            </w:r>
          </w:p>
        </w:tc>
        <w:tc>
          <w:tcPr>
            <w:tcW w:w="1100" w:type="dxa"/>
          </w:tcPr>
          <w:p>
            <w:pPr>
              <w:pStyle w:val="Compact"/>
              <w:spacing w:after="40"/>
              <w:jc w:val="left"/>
            </w:pPr>
            <w:r>
              <w:rPr>
                <w:sz w:val="18"/>
              </w:rPr>
              <w:t xml:space="preserve">9 onward; 18</w:t>
            </w:r>
          </w:p>
        </w:tc>
        <w:tc>
          <w:tcPr>
            <w:tcW w:w="1060" w:type="dxa"/>
          </w:tcPr>
          <w:p>
            <w:pPr>
              <w:pStyle w:val="Compact"/>
              <w:spacing w:after="40"/>
              <w:jc w:val="left"/>
            </w:pPr>
            <w:r>
              <w:rPr>
                <w:sz w:val="18"/>
              </w:rPr>
              <w:t xml:space="preserve">All (scoped)</w:t>
            </w:r>
          </w:p>
        </w:tc>
      </w:tr>
      <w:tr>
        <w:tc>
          <w:tcPr>
            <w:tcW w:w="2815" w:type="dxa"/>
          </w:tcPr>
          <w:p>
            <w:pPr>
              <w:pStyle w:val="Compact"/>
              <w:spacing w:after="40"/>
              <w:jc w:val="left"/>
            </w:pPr>
            <w:r>
              <w:rPr>
                <w:rStyle w:val="VerbatimChar"/>
                <w:sz w:val="18"/>
              </w:rPr>
              <w:t xml:space="preserve">Dashboards › Analytics</w:t>
            </w:r>
          </w:p>
        </w:tc>
        <w:tc>
          <w:tcPr>
            <w:tcW w:w="3625" w:type="dxa"/>
          </w:tcPr>
          <w:p>
            <w:pPr>
              <w:pStyle w:val="Compact"/>
              <w:spacing w:after="40"/>
              <w:jc w:val="left"/>
            </w:pPr>
            <w:r>
              <w:rPr>
                <w:sz w:val="18"/>
              </w:rPr>
              <w:t xml:space="preserve">Embedded BI; copilot citing its query;</w:t>
            </w:r>
            <w:r>
              <w:rPr>
                <w:sz w:val="18"/>
              </w:rPr>
              <w:t xml:space="preserve"> </w:t>
            </w:r>
            <w:r>
              <w:rPr>
                <w:sz w:val="18"/>
              </w:rPr>
              <w:t xml:space="preserve">“</w:t>
            </w:r>
            <w:r>
              <w:rPr>
                <w:sz w:val="18"/>
              </w:rPr>
              <w:t xml:space="preserve">uncertified</w:t>
            </w:r>
            <w:r>
              <w:rPr>
                <w:sz w:val="18"/>
              </w:rPr>
              <w:t xml:space="preserve">”</w:t>
            </w:r>
            <w:r>
              <w:rPr>
                <w:sz w:val="18"/>
              </w:rPr>
              <w:t xml:space="preserve"> </w:t>
            </w:r>
            <w:r>
              <w:rPr>
                <w:sz w:val="18"/>
              </w:rPr>
              <w:t xml:space="preserve">watermark</w:t>
            </w:r>
          </w:p>
        </w:tc>
        <w:tc>
          <w:tcPr>
            <w:tcW w:w="1038" w:type="dxa"/>
          </w:tcPr>
          <w:p>
            <w:pPr>
              <w:pStyle w:val="Compact"/>
              <w:spacing w:after="40"/>
              <w:jc w:val="left"/>
            </w:pPr>
            <w:r>
              <w:rPr>
                <w:sz w:val="18"/>
              </w:rPr>
              <w:t xml:space="preserve">M17, M20</w:t>
            </w:r>
          </w:p>
        </w:tc>
        <w:tc>
          <w:tcPr>
            <w:tcW w:w="1100" w:type="dxa"/>
          </w:tcPr>
          <w:p>
            <w:pPr>
              <w:pStyle w:val="Compact"/>
              <w:spacing w:after="40"/>
              <w:jc w:val="left"/>
            </w:pPr>
            <w:r>
              <w:rPr>
                <w:sz w:val="18"/>
              </w:rPr>
              <w:t xml:space="preserve">18</w:t>
            </w:r>
          </w:p>
        </w:tc>
        <w:tc>
          <w:tcPr>
            <w:tcW w:w="1060" w:type="dxa"/>
          </w:tcPr>
          <w:p>
            <w:pPr>
              <w:pStyle w:val="Compact"/>
              <w:spacing w:after="40"/>
              <w:jc w:val="left"/>
            </w:pPr>
            <w:r>
              <w:rPr>
                <w:sz w:val="18"/>
              </w:rPr>
              <w:t xml:space="preserve">Analysts</w:t>
            </w:r>
          </w:p>
        </w:tc>
      </w:tr>
      <w:tr>
        <w:tc>
          <w:tcPr>
            <w:tcW w:w="2815" w:type="dxa"/>
          </w:tcPr>
          <w:p>
            <w:pPr>
              <w:pStyle w:val="Compact"/>
              <w:spacing w:after="40"/>
              <w:jc w:val="left"/>
            </w:pPr>
            <w:r>
              <w:rPr>
                <w:rStyle w:val="VerbatimChar"/>
                <w:sz w:val="18"/>
              </w:rPr>
              <w:t xml:space="preserve">Data ›</w:t>
            </w:r>
            <w:r>
              <w:rPr>
                <w:sz w:val="18"/>
              </w:rPr>
              <w:t xml:space="preserve"> </w:t>
            </w:r>
            <w:r>
              <w:rPr>
                <w:sz w:val="18"/>
              </w:rPr>
              <w:t xml:space="preserve">Exports, Storage targets, Backups, Exit</w:t>
            </w:r>
          </w:p>
        </w:tc>
        <w:tc>
          <w:tcPr>
            <w:tcW w:w="3625" w:type="dxa"/>
          </w:tcPr>
          <w:p>
            <w:pPr>
              <w:pStyle w:val="Compact"/>
              <w:spacing w:after="40"/>
              <w:jc w:val="left"/>
            </w:pPr>
            <w:r>
              <w:rPr>
                <w:sz w:val="18"/>
              </w:rPr>
              <w:t xml:space="preserve">As DP6; on-demand and exit exports never behind a commercial state</w:t>
            </w:r>
          </w:p>
        </w:tc>
        <w:tc>
          <w:tcPr>
            <w:tcW w:w="1038" w:type="dxa"/>
          </w:tcPr>
          <w:p>
            <w:pPr>
              <w:pStyle w:val="Compact"/>
              <w:spacing w:after="40"/>
              <w:jc w:val="left"/>
            </w:pPr>
            <w:r>
              <w:rPr>
                <w:sz w:val="18"/>
              </w:rPr>
              <w:t xml:space="preserve">DP2–DP5</w:t>
            </w:r>
          </w:p>
        </w:tc>
        <w:tc>
          <w:tcPr>
            <w:tcW w:w="1100" w:type="dxa"/>
          </w:tcPr>
          <w:p>
            <w:pPr>
              <w:pStyle w:val="Compact"/>
              <w:spacing w:after="40"/>
              <w:jc w:val="left"/>
            </w:pPr>
            <w:r>
              <w:rPr>
                <w:sz w:val="18"/>
              </w:rPr>
              <w:t xml:space="preserve">15b</w:t>
            </w:r>
          </w:p>
        </w:tc>
        <w:tc>
          <w:tcPr>
            <w:tcW w:w="1060" w:type="dxa"/>
          </w:tcPr>
          <w:p>
            <w:pPr>
              <w:pStyle w:val="Compact"/>
              <w:spacing w:after="40"/>
              <w:jc w:val="left"/>
            </w:pPr>
            <w:r>
              <w:rPr>
                <w:sz w:val="18"/>
              </w:rPr>
              <w:t xml:space="preserve">Per DP6</w:t>
            </w:r>
          </w:p>
        </w:tc>
      </w:tr>
      <w:tr>
        <w:tc>
          <w:tcPr>
            <w:tcW w:w="2815" w:type="dxa"/>
          </w:tcPr>
          <w:p>
            <w:pPr>
              <w:pStyle w:val="Compact"/>
              <w:spacing w:after="40"/>
              <w:jc w:val="left"/>
            </w:pPr>
            <w:r>
              <w:rPr>
                <w:rStyle w:val="VerbatimChar"/>
                <w:sz w:val="18"/>
              </w:rPr>
              <w:t xml:space="preserve">Integrations › Connectors</w:t>
            </w:r>
          </w:p>
        </w:tc>
        <w:tc>
          <w:tcPr>
            <w:tcW w:w="3625" w:type="dxa"/>
          </w:tcPr>
          <w:p>
            <w:pPr>
              <w:pStyle w:val="Compact"/>
              <w:spacing w:after="40"/>
              <w:jc w:val="left"/>
            </w:pPr>
            <w:r>
              <w:rPr>
                <w:sz w:val="18"/>
              </w:rPr>
              <w:t xml:space="preserve">Catalogue by domain; status;</w:t>
            </w:r>
            <w:r>
              <w:rPr>
                <w:sz w:val="18"/>
              </w:rPr>
              <w:t xml:space="preserve"> </w:t>
            </w:r>
            <w:r>
              <w:rPr>
                <w:rStyle w:val="VerbatimChar"/>
                <w:sz w:val="18"/>
              </w:rPr>
              <w:t xml:space="preserve">ConnectorCertified</w:t>
            </w:r>
            <w:r>
              <w:rPr>
                <w:sz w:val="18"/>
              </w:rPr>
              <w:t xml:space="preserve">; enable per entity under maker-checker</w:t>
            </w:r>
          </w:p>
        </w:tc>
        <w:tc>
          <w:tcPr>
            <w:tcW w:w="1038" w:type="dxa"/>
          </w:tcPr>
          <w:p>
            <w:pPr>
              <w:pStyle w:val="Compact"/>
              <w:spacing w:after="40"/>
              <w:jc w:val="left"/>
            </w:pPr>
            <w:r>
              <w:rPr>
                <w:sz w:val="18"/>
              </w:rPr>
              <w:t xml:space="preserve">M21, Part 9</w:t>
            </w:r>
          </w:p>
        </w:tc>
        <w:tc>
          <w:tcPr>
            <w:tcW w:w="1100" w:type="dxa"/>
          </w:tcPr>
          <w:p>
            <w:pPr>
              <w:pStyle w:val="Compact"/>
              <w:spacing w:after="40"/>
              <w:jc w:val="left"/>
            </w:pPr>
            <w:r>
              <w:rPr>
                <w:sz w:val="18"/>
              </w:rPr>
              <w:t xml:space="preserve">6 onward; 16b</w:t>
            </w:r>
          </w:p>
        </w:tc>
        <w:tc>
          <w:tcPr>
            <w:tcW w:w="1060" w:type="dxa"/>
          </w:tcPr>
          <w:p>
            <w:pPr>
              <w:pStyle w:val="Compact"/>
              <w:spacing w:after="40"/>
              <w:jc w:val="left"/>
            </w:pPr>
            <w:r>
              <w:rPr>
                <w:sz w:val="18"/>
              </w:rPr>
              <w:t xml:space="preserve">Tenant IT</w:t>
            </w:r>
          </w:p>
        </w:tc>
      </w:tr>
      <w:tr>
        <w:tc>
          <w:tcPr>
            <w:tcW w:w="2815" w:type="dxa"/>
          </w:tcPr>
          <w:p>
            <w:pPr>
              <w:pStyle w:val="Compact"/>
              <w:spacing w:after="40"/>
              <w:jc w:val="left"/>
            </w:pPr>
            <w:r>
              <w:rPr>
                <w:rStyle w:val="VerbatimChar"/>
                <w:sz w:val="18"/>
              </w:rPr>
              <w:t xml:space="preserve">Integrations ›</w:t>
            </w:r>
            <w:r>
              <w:rPr>
                <w:sz w:val="18"/>
              </w:rPr>
              <w:t xml:space="preserve"> </w:t>
            </w:r>
            <w:r>
              <w:rPr>
                <w:sz w:val="18"/>
              </w:rPr>
              <w:t xml:space="preserve">Credentials, APIs and clients, Events and webhooks, Monitor, Ecosystem</w:t>
            </w:r>
          </w:p>
        </w:tc>
        <w:tc>
          <w:tcPr>
            <w:tcW w:w="3625" w:type="dxa"/>
          </w:tcPr>
          <w:p>
            <w:pPr>
              <w:pStyle w:val="Compact"/>
              <w:spacing w:after="40"/>
              <w:jc w:val="left"/>
            </w:pPr>
            <w:r>
              <w:rPr>
                <w:sz w:val="18"/>
              </w:rPr>
              <w:t xml:space="preserve">Vault and rotation; OAuth clients and mTLS; DLQ and idempotent replay; health and per-call cost; Udofin, Equator, LawDocsComply and Hub links</w:t>
            </w:r>
          </w:p>
        </w:tc>
        <w:tc>
          <w:tcPr>
            <w:tcW w:w="1038" w:type="dxa"/>
          </w:tcPr>
          <w:p>
            <w:pPr>
              <w:pStyle w:val="Compact"/>
              <w:spacing w:after="40"/>
              <w:jc w:val="left"/>
            </w:pPr>
            <w:r>
              <w:rPr>
                <w:sz w:val="18"/>
              </w:rPr>
              <w:t xml:space="preserve">M19, M21</w:t>
            </w:r>
          </w:p>
        </w:tc>
        <w:tc>
          <w:tcPr>
            <w:tcW w:w="1100" w:type="dxa"/>
          </w:tcPr>
          <w:p>
            <w:pPr>
              <w:pStyle w:val="Compact"/>
              <w:spacing w:after="40"/>
              <w:jc w:val="left"/>
            </w:pPr>
            <w:r>
              <w:rPr>
                <w:sz w:val="18"/>
              </w:rPr>
              <w:t xml:space="preserve">2; 8c; 16b</w:t>
            </w:r>
          </w:p>
        </w:tc>
        <w:tc>
          <w:tcPr>
            <w:tcW w:w="1060" w:type="dxa"/>
          </w:tcPr>
          <w:p>
            <w:pPr>
              <w:pStyle w:val="Compact"/>
              <w:spacing w:after="40"/>
              <w:jc w:val="left"/>
            </w:pPr>
            <w:r>
              <w:rPr>
                <w:sz w:val="18"/>
              </w:rPr>
              <w:t xml:space="preserve">Tenant IT</w:t>
            </w:r>
          </w:p>
        </w:tc>
      </w:tr>
    </w:tbl>
    <w:bookmarkEnd w:id="924"/>
    <w:bookmarkStart w:id="925" w:name="g.3.17-settings-settings"/>
    <w:p>
      <w:pPr>
        <w:pStyle w:val="Heading3"/>
      </w:pPr>
      <w:r>
        <w:t xml:space="preserve">G.3.17 Settings (</w:t>
      </w:r>
      <w:r>
        <w:rPr>
          <w:rStyle w:val="VerbatimChar"/>
        </w:rPr>
        <w:t xml:space="preserve">settings</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67"/>
        <w:gridCol w:w="3831"/>
        <w:gridCol w:w="1092"/>
        <w:gridCol w:w="1029"/>
        <w:gridCol w:w="1819"/>
      </w:tblGrid>
      <w:tr>
        <w:trPr>
          <w:tblHeader w:val="true"/>
          <w:tblHeader w:val="true"/>
        </w:trPr>
        <w:tc>
          <w:tcPr>
            <w:tcW w:w="1867" w:type="dxa"/>
            <w:shd w:val="clear" w:color="auto" w:fill="1F3A5F"/>
          </w:tcPr>
          <w:p>
            <w:pPr>
              <w:pStyle w:val="Compact"/>
              <w:spacing w:after="40"/>
              <w:jc w:val="left"/>
            </w:pPr>
            <w:r>
              <w:rPr>
                <w:b/>
                <w:color w:val="FFFFFF"/>
                <w:sz w:val="18"/>
              </w:rPr>
              <w:t xml:space="preserve">Path</w:t>
            </w:r>
          </w:p>
        </w:tc>
        <w:tc>
          <w:tcPr>
            <w:tcW w:w="3831" w:type="dxa"/>
            <w:shd w:val="clear" w:color="auto" w:fill="1F3A5F"/>
          </w:tcPr>
          <w:p>
            <w:pPr>
              <w:pStyle w:val="Compact"/>
              <w:spacing w:after="40"/>
              <w:jc w:val="left"/>
            </w:pPr>
            <w:r>
              <w:rPr>
                <w:b/>
                <w:color w:val="FFFFFF"/>
                <w:sz w:val="18"/>
              </w:rPr>
              <w:t xml:space="preserve">Screens and key actions</w:t>
            </w:r>
          </w:p>
        </w:tc>
        <w:tc>
          <w:tcPr>
            <w:tcW w:w="1092" w:type="dxa"/>
            <w:shd w:val="clear" w:color="auto" w:fill="1F3A5F"/>
          </w:tcPr>
          <w:p>
            <w:pPr>
              <w:pStyle w:val="Compact"/>
              <w:spacing w:after="40"/>
              <w:jc w:val="left"/>
            </w:pPr>
            <w:r>
              <w:rPr>
                <w:b/>
                <w:color w:val="FFFFFF"/>
                <w:sz w:val="18"/>
              </w:rPr>
              <w:t xml:space="preserve">Owner</w:t>
            </w:r>
          </w:p>
        </w:tc>
        <w:tc>
          <w:tcPr>
            <w:tcW w:w="1029" w:type="dxa"/>
            <w:shd w:val="clear" w:color="auto" w:fill="1F3A5F"/>
          </w:tcPr>
          <w:p>
            <w:pPr>
              <w:pStyle w:val="Compact"/>
              <w:spacing w:after="40"/>
              <w:jc w:val="left"/>
            </w:pPr>
            <w:r>
              <w:rPr>
                <w:b/>
                <w:color w:val="FFFFFF"/>
                <w:sz w:val="18"/>
              </w:rPr>
              <w:t xml:space="preserve">Phase</w:t>
            </w:r>
          </w:p>
        </w:tc>
        <w:tc>
          <w:tcPr>
            <w:tcW w:w="1819" w:type="dxa"/>
            <w:shd w:val="clear" w:color="auto" w:fill="1F3A5F"/>
          </w:tcPr>
          <w:p>
            <w:pPr>
              <w:pStyle w:val="Compact"/>
              <w:spacing w:after="40"/>
              <w:jc w:val="left"/>
            </w:pPr>
            <w:r>
              <w:rPr>
                <w:b/>
                <w:color w:val="FFFFFF"/>
                <w:sz w:val="18"/>
              </w:rPr>
              <w:t xml:space="preserve">Roles</w:t>
            </w:r>
          </w:p>
        </w:tc>
      </w:tr>
      <w:tr>
        <w:tc>
          <w:tcPr>
            <w:tcW w:w="1867" w:type="dxa"/>
          </w:tcPr>
          <w:p>
            <w:pPr>
              <w:pStyle w:val="Compact"/>
              <w:spacing w:after="40"/>
              <w:jc w:val="left"/>
            </w:pPr>
            <w:r>
              <w:rPr>
                <w:rStyle w:val="VerbatimChar"/>
                <w:sz w:val="18"/>
              </w:rPr>
              <w:t xml:space="preserve">Settings › Organisation</w:t>
            </w:r>
          </w:p>
        </w:tc>
        <w:tc>
          <w:tcPr>
            <w:tcW w:w="3831" w:type="dxa"/>
          </w:tcPr>
          <w:p>
            <w:pPr>
              <w:pStyle w:val="Compact"/>
              <w:spacing w:after="40"/>
              <w:jc w:val="left"/>
            </w:pPr>
            <w:r>
              <w:rPr>
                <w:sz w:val="18"/>
              </w:rPr>
              <w:t xml:space="preserve">Entities;</w:t>
            </w:r>
            <w:r>
              <w:rPr>
                <w:sz w:val="18"/>
              </w:rPr>
              <w:t xml:space="preserve"> </w:t>
            </w:r>
            <w:r>
              <w:rPr>
                <w:rStyle w:val="VerbatimChar"/>
                <w:sz w:val="18"/>
              </w:rPr>
              <w:t xml:space="preserve">› Institution profile</w:t>
            </w:r>
            <w:r>
              <w:rPr>
                <w:sz w:val="18"/>
              </w:rPr>
              <w:t xml:space="preserve"> </w:t>
            </w:r>
            <w:r>
              <w:rPr>
                <w:sz w:val="18"/>
              </w:rPr>
              <w:t xml:space="preserve">(IP1 wizard); branches (BR master and closure); GSTINs; cost centres; holiday calendars;</w:t>
            </w:r>
            <w:r>
              <w:rPr>
                <w:sz w:val="18"/>
              </w:rPr>
              <w:t xml:space="preserve"> </w:t>
            </w:r>
            <w:r>
              <w:rPr>
                <w:rStyle w:val="VerbatimChar"/>
                <w:sz w:val="18"/>
              </w:rPr>
              <w:t xml:space="preserve">› Departments</w:t>
            </w:r>
            <w:r>
              <w:rPr>
                <w:sz w:val="18"/>
              </w:rPr>
              <w:t xml:space="preserve">,</w:t>
            </w:r>
            <w:r>
              <w:rPr>
                <w:sz w:val="18"/>
              </w:rPr>
              <w:t xml:space="preserve"> </w:t>
            </w:r>
            <w:r>
              <w:rPr>
                <w:rStyle w:val="VerbatimChar"/>
                <w:sz w:val="18"/>
              </w:rPr>
              <w:t xml:space="preserve">› Positions</w:t>
            </w:r>
            <w:r>
              <w:rPr>
                <w:sz w:val="18"/>
              </w:rPr>
              <w:t xml:space="preserve">,</w:t>
            </w:r>
            <w:r>
              <w:rPr>
                <w:sz w:val="18"/>
              </w:rPr>
              <w:t xml:space="preserve"> </w:t>
            </w:r>
            <w:r>
              <w:rPr>
                <w:rStyle w:val="VerbatimChar"/>
                <w:sz w:val="18"/>
              </w:rPr>
              <w:t xml:space="preserve">› Org chart</w:t>
            </w:r>
          </w:p>
        </w:tc>
        <w:tc>
          <w:tcPr>
            <w:tcW w:w="1092" w:type="dxa"/>
          </w:tcPr>
          <w:p>
            <w:pPr>
              <w:pStyle w:val="Compact"/>
              <w:spacing w:after="40"/>
              <w:jc w:val="left"/>
            </w:pPr>
            <w:r>
              <w:rPr>
                <w:sz w:val="18"/>
              </w:rPr>
              <w:t xml:space="preserve">M1, IP1, GV5</w:t>
            </w:r>
          </w:p>
        </w:tc>
        <w:tc>
          <w:tcPr>
            <w:tcW w:w="1029" w:type="dxa"/>
          </w:tcPr>
          <w:p>
            <w:pPr>
              <w:pStyle w:val="Compact"/>
              <w:spacing w:after="40"/>
              <w:jc w:val="left"/>
            </w:pPr>
            <w:r>
              <w:rPr>
                <w:sz w:val="18"/>
              </w:rPr>
              <w:t xml:space="preserve">3; 16d; 17c</w:t>
            </w:r>
          </w:p>
        </w:tc>
        <w:tc>
          <w:tcPr>
            <w:tcW w:w="1819" w:type="dxa"/>
          </w:tcPr>
          <w:p>
            <w:pPr>
              <w:pStyle w:val="Compact"/>
              <w:spacing w:after="40"/>
              <w:jc w:val="left"/>
            </w:pPr>
            <w:r>
              <w:rPr>
                <w:sz w:val="18"/>
              </w:rPr>
              <w:t xml:space="preserve">Tenant admin; CCO or CFO checker</w:t>
            </w:r>
          </w:p>
        </w:tc>
      </w:tr>
      <w:tr>
        <w:tc>
          <w:tcPr>
            <w:tcW w:w="1867" w:type="dxa"/>
          </w:tcPr>
          <w:p>
            <w:pPr>
              <w:pStyle w:val="Compact"/>
              <w:spacing w:after="40"/>
              <w:jc w:val="left"/>
            </w:pPr>
            <w:r>
              <w:rPr>
                <w:rStyle w:val="VerbatimChar"/>
                <w:sz w:val="18"/>
              </w:rPr>
              <w:t xml:space="preserve">Settings › Masters</w:t>
            </w:r>
          </w:p>
        </w:tc>
        <w:tc>
          <w:tcPr>
            <w:tcW w:w="3831" w:type="dxa"/>
          </w:tcPr>
          <w:p>
            <w:pPr>
              <w:pStyle w:val="Compact"/>
              <w:spacing w:after="40"/>
              <w:jc w:val="left"/>
            </w:pPr>
            <w:r>
              <w:rPr>
                <w:sz w:val="18"/>
              </w:rPr>
              <w:t xml:space="preserve">Pincode, IFSC, sector, purpose, CIC account-type, reason and NACH codes; benchmark rates</w:t>
            </w:r>
          </w:p>
        </w:tc>
        <w:tc>
          <w:tcPr>
            <w:tcW w:w="1092" w:type="dxa"/>
          </w:tcPr>
          <w:p>
            <w:pPr>
              <w:pStyle w:val="Compact"/>
              <w:spacing w:after="40"/>
              <w:jc w:val="left"/>
            </w:pPr>
            <w:r>
              <w:rPr>
                <w:sz w:val="18"/>
              </w:rPr>
              <w:t xml:space="preserve">M1</w:t>
            </w:r>
          </w:p>
        </w:tc>
        <w:tc>
          <w:tcPr>
            <w:tcW w:w="1029" w:type="dxa"/>
          </w:tcPr>
          <w:p>
            <w:pPr>
              <w:pStyle w:val="Compact"/>
              <w:spacing w:after="40"/>
              <w:jc w:val="left"/>
            </w:pPr>
            <w:r>
              <w:rPr>
                <w:sz w:val="18"/>
              </w:rPr>
              <w:t xml:space="preserve">3</w:t>
            </w:r>
          </w:p>
        </w:tc>
        <w:tc>
          <w:tcPr>
            <w:tcW w:w="1819" w:type="dxa"/>
          </w:tcPr>
          <w:p>
            <w:pPr>
              <w:pStyle w:val="Compact"/>
              <w:spacing w:after="40"/>
              <w:jc w:val="left"/>
            </w:pPr>
            <w:r>
              <w:rPr>
                <w:sz w:val="18"/>
              </w:rPr>
              <w:t xml:space="preserve">Tenant admin</w:t>
            </w:r>
          </w:p>
        </w:tc>
      </w:tr>
      <w:tr>
        <w:tc>
          <w:tcPr>
            <w:tcW w:w="1867" w:type="dxa"/>
          </w:tcPr>
          <w:p>
            <w:pPr>
              <w:pStyle w:val="Compact"/>
              <w:spacing w:after="40"/>
              <w:jc w:val="left"/>
            </w:pPr>
            <w:r>
              <w:rPr>
                <w:rStyle w:val="VerbatimChar"/>
                <w:sz w:val="18"/>
              </w:rPr>
              <w:t xml:space="preserve">Settings › Products</w:t>
            </w:r>
          </w:p>
        </w:tc>
        <w:tc>
          <w:tcPr>
            <w:tcW w:w="3831" w:type="dxa"/>
          </w:tcPr>
          <w:p>
            <w:pPr>
              <w:pStyle w:val="Compact"/>
              <w:spacing w:after="40"/>
              <w:jc w:val="left"/>
            </w:pPr>
            <w:r>
              <w:rPr>
                <w:sz w:val="18"/>
              </w:rPr>
              <w:t xml:space="preserve">Product factory wizard (template → parameters → charges and GST → schedules → checklist → KFS and MITC → DoA → simulation → approval); version diff</w:t>
            </w:r>
          </w:p>
        </w:tc>
        <w:tc>
          <w:tcPr>
            <w:tcW w:w="1092" w:type="dxa"/>
          </w:tcPr>
          <w:p>
            <w:pPr>
              <w:pStyle w:val="Compact"/>
              <w:spacing w:after="40"/>
              <w:jc w:val="left"/>
            </w:pPr>
            <w:r>
              <w:rPr>
                <w:sz w:val="18"/>
              </w:rPr>
              <w:t xml:space="preserve">Parts 4.2A, 6</w:t>
            </w:r>
          </w:p>
        </w:tc>
        <w:tc>
          <w:tcPr>
            <w:tcW w:w="1029" w:type="dxa"/>
          </w:tcPr>
          <w:p>
            <w:pPr>
              <w:pStyle w:val="Compact"/>
              <w:spacing w:after="40"/>
              <w:jc w:val="left"/>
            </w:pPr>
            <w:r>
              <w:rPr>
                <w:sz w:val="18"/>
              </w:rPr>
              <w:t xml:space="preserve">3</w:t>
            </w:r>
          </w:p>
        </w:tc>
        <w:tc>
          <w:tcPr>
            <w:tcW w:w="1819" w:type="dxa"/>
          </w:tcPr>
          <w:p>
            <w:pPr>
              <w:pStyle w:val="Compact"/>
              <w:spacing w:after="40"/>
              <w:jc w:val="left"/>
            </w:pPr>
            <w:r>
              <w:rPr>
                <w:sz w:val="18"/>
              </w:rPr>
              <w:t xml:space="preserve">Product team; CCO checker</w:t>
            </w:r>
          </w:p>
        </w:tc>
      </w:tr>
      <w:tr>
        <w:tc>
          <w:tcPr>
            <w:tcW w:w="1867" w:type="dxa"/>
          </w:tcPr>
          <w:p>
            <w:pPr>
              <w:pStyle w:val="Compact"/>
              <w:spacing w:after="40"/>
              <w:jc w:val="left"/>
            </w:pPr>
            <w:r>
              <w:rPr>
                <w:rStyle w:val="VerbatimChar"/>
                <w:sz w:val="18"/>
              </w:rPr>
              <w:t xml:space="preserve">Settings › Rule packs</w:t>
            </w:r>
          </w:p>
        </w:tc>
        <w:tc>
          <w:tcPr>
            <w:tcW w:w="3831" w:type="dxa"/>
          </w:tcPr>
          <w:p>
            <w:pPr>
              <w:pStyle w:val="Compact"/>
              <w:spacing w:after="40"/>
              <w:jc w:val="left"/>
            </w:pPr>
            <w:r>
              <w:rPr>
                <w:sz w:val="18"/>
              </w:rPr>
              <w:t xml:space="preserve">All packs by family and layer; compare versions; bye-law upload (L3); approvals</w:t>
            </w:r>
          </w:p>
        </w:tc>
        <w:tc>
          <w:tcPr>
            <w:tcW w:w="1092" w:type="dxa"/>
          </w:tcPr>
          <w:p>
            <w:pPr>
              <w:pStyle w:val="Compact"/>
              <w:spacing w:after="40"/>
              <w:jc w:val="left"/>
            </w:pPr>
            <w:r>
              <w:rPr>
                <w:sz w:val="18"/>
              </w:rPr>
              <w:t xml:space="preserve">IP1, M4, RR3</w:t>
            </w:r>
          </w:p>
        </w:tc>
        <w:tc>
          <w:tcPr>
            <w:tcW w:w="1029" w:type="dxa"/>
          </w:tcPr>
          <w:p>
            <w:pPr>
              <w:pStyle w:val="Compact"/>
              <w:spacing w:after="40"/>
              <w:jc w:val="left"/>
            </w:pPr>
            <w:r>
              <w:rPr>
                <w:sz w:val="18"/>
              </w:rPr>
              <w:t xml:space="preserve">3; 17c</w:t>
            </w:r>
          </w:p>
        </w:tc>
        <w:tc>
          <w:tcPr>
            <w:tcW w:w="1819" w:type="dxa"/>
          </w:tcPr>
          <w:p>
            <w:pPr>
              <w:pStyle w:val="Compact"/>
              <w:spacing w:after="40"/>
              <w:jc w:val="left"/>
            </w:pPr>
            <w:r>
              <w:rPr>
                <w:sz w:val="18"/>
              </w:rPr>
              <w:t xml:space="preserve">Rule owners; CCO checker</w:t>
            </w:r>
          </w:p>
        </w:tc>
      </w:tr>
      <w:tr>
        <w:tc>
          <w:tcPr>
            <w:tcW w:w="1867" w:type="dxa"/>
          </w:tcPr>
          <w:p>
            <w:pPr>
              <w:pStyle w:val="Compact"/>
              <w:spacing w:after="40"/>
              <w:jc w:val="left"/>
            </w:pPr>
            <w:r>
              <w:rPr>
                <w:rStyle w:val="VerbatimChar"/>
                <w:sz w:val="18"/>
              </w:rPr>
              <w:t xml:space="preserve">Settings › Workflows</w:t>
            </w:r>
          </w:p>
        </w:tc>
        <w:tc>
          <w:tcPr>
            <w:tcW w:w="3831" w:type="dxa"/>
          </w:tcPr>
          <w:p>
            <w:pPr>
              <w:pStyle w:val="Compact"/>
              <w:spacing w:after="40"/>
              <w:jc w:val="left"/>
            </w:pPr>
            <w:r>
              <w:rPr>
                <w:sz w:val="18"/>
              </w:rPr>
              <w:t xml:space="preserve">Designer (guard-rail steps locked), approval matrices, SLA ladders</w:t>
            </w:r>
          </w:p>
        </w:tc>
        <w:tc>
          <w:tcPr>
            <w:tcW w:w="1092" w:type="dxa"/>
          </w:tcPr>
          <w:p>
            <w:pPr>
              <w:pStyle w:val="Compact"/>
              <w:spacing w:after="40"/>
              <w:jc w:val="left"/>
            </w:pPr>
            <w:r>
              <w:rPr>
                <w:sz w:val="18"/>
              </w:rPr>
              <w:t xml:space="preserve">M19, 7A.0.6</w:t>
            </w:r>
          </w:p>
        </w:tc>
        <w:tc>
          <w:tcPr>
            <w:tcW w:w="1029" w:type="dxa"/>
          </w:tcPr>
          <w:p>
            <w:pPr>
              <w:pStyle w:val="Compact"/>
              <w:spacing w:after="40"/>
              <w:jc w:val="left"/>
            </w:pPr>
            <w:r>
              <w:rPr>
                <w:sz w:val="18"/>
              </w:rPr>
              <w:t xml:space="preserve">3</w:t>
            </w:r>
          </w:p>
        </w:tc>
        <w:tc>
          <w:tcPr>
            <w:tcW w:w="1819" w:type="dxa"/>
          </w:tcPr>
          <w:p>
            <w:pPr>
              <w:pStyle w:val="Compact"/>
              <w:spacing w:after="40"/>
              <w:jc w:val="left"/>
            </w:pPr>
            <w:r>
              <w:rPr>
                <w:sz w:val="18"/>
              </w:rPr>
              <w:t xml:space="preserve">Tenant admin</w:t>
            </w:r>
          </w:p>
        </w:tc>
      </w:tr>
      <w:tr>
        <w:tc>
          <w:tcPr>
            <w:tcW w:w="1867" w:type="dxa"/>
          </w:tcPr>
          <w:p>
            <w:pPr>
              <w:pStyle w:val="Compact"/>
              <w:spacing w:after="40"/>
              <w:jc w:val="left"/>
            </w:pPr>
            <w:r>
              <w:rPr>
                <w:rStyle w:val="VerbatimChar"/>
                <w:sz w:val="18"/>
              </w:rPr>
              <w:t xml:space="preserve">Settings › Users and roles</w:t>
            </w:r>
          </w:p>
        </w:tc>
        <w:tc>
          <w:tcPr>
            <w:tcW w:w="3831" w:type="dxa"/>
          </w:tcPr>
          <w:p>
            <w:pPr>
              <w:pStyle w:val="Compact"/>
              <w:spacing w:after="40"/>
              <w:jc w:val="left"/>
            </w:pPr>
            <w:r>
              <w:rPr>
                <w:sz w:val="18"/>
              </w:rPr>
              <w:t xml:space="preserve">Users, roles, ABAC scopes, SoD, maker-checker per permission, delegation, access reviews,</w:t>
            </w:r>
            <w:r>
              <w:rPr>
                <w:sz w:val="18"/>
              </w:rPr>
              <w:t xml:space="preserve"> </w:t>
            </w:r>
            <w:r>
              <w:rPr>
                <w:rStyle w:val="VerbatimChar"/>
                <w:sz w:val="18"/>
              </w:rPr>
              <w:t xml:space="preserve">› Seats</w:t>
            </w:r>
          </w:p>
        </w:tc>
        <w:tc>
          <w:tcPr>
            <w:tcW w:w="1092" w:type="dxa"/>
          </w:tcPr>
          <w:p>
            <w:pPr>
              <w:pStyle w:val="Compact"/>
              <w:spacing w:after="40"/>
              <w:jc w:val="left"/>
            </w:pPr>
            <w:r>
              <w:rPr>
                <w:sz w:val="18"/>
              </w:rPr>
              <w:t xml:space="preserve">M19, CM2</w:t>
            </w:r>
          </w:p>
        </w:tc>
        <w:tc>
          <w:tcPr>
            <w:tcW w:w="1029" w:type="dxa"/>
          </w:tcPr>
          <w:p>
            <w:pPr>
              <w:pStyle w:val="Compact"/>
              <w:spacing w:after="40"/>
              <w:jc w:val="left"/>
            </w:pPr>
            <w:r>
              <w:rPr>
                <w:sz w:val="18"/>
              </w:rPr>
              <w:t xml:space="preserve">2; 16e</w:t>
            </w:r>
          </w:p>
        </w:tc>
        <w:tc>
          <w:tcPr>
            <w:tcW w:w="1819" w:type="dxa"/>
          </w:tcPr>
          <w:p>
            <w:pPr>
              <w:pStyle w:val="Compact"/>
              <w:spacing w:after="40"/>
              <w:jc w:val="left"/>
            </w:pPr>
            <w:r>
              <w:rPr>
                <w:sz w:val="18"/>
              </w:rPr>
              <w:t xml:space="preserve">Tenant admin; security checker</w:t>
            </w:r>
          </w:p>
        </w:tc>
      </w:tr>
      <w:tr>
        <w:tc>
          <w:tcPr>
            <w:tcW w:w="1867" w:type="dxa"/>
          </w:tcPr>
          <w:p>
            <w:pPr>
              <w:pStyle w:val="Compact"/>
              <w:spacing w:after="40"/>
              <w:jc w:val="left"/>
            </w:pPr>
            <w:r>
              <w:rPr>
                <w:rStyle w:val="VerbatimChar"/>
                <w:sz w:val="18"/>
              </w:rPr>
              <w:t xml:space="preserve">Settings › Security and trust</w:t>
            </w:r>
          </w:p>
        </w:tc>
        <w:tc>
          <w:tcPr>
            <w:tcW w:w="3831" w:type="dxa"/>
          </w:tcPr>
          <w:p>
            <w:pPr>
              <w:pStyle w:val="Compact"/>
              <w:spacing w:after="40"/>
              <w:jc w:val="left"/>
            </w:pPr>
            <w:r>
              <w:rPr>
                <w:sz w:val="18"/>
              </w:rPr>
              <w:t xml:space="preserve">MFA, session and IP policy, device binding, break-glass log; EO5 evidence items</w:t>
            </w:r>
          </w:p>
        </w:tc>
        <w:tc>
          <w:tcPr>
            <w:tcW w:w="1092" w:type="dxa"/>
          </w:tcPr>
          <w:p>
            <w:pPr>
              <w:pStyle w:val="Compact"/>
              <w:spacing w:after="40"/>
              <w:jc w:val="left"/>
            </w:pPr>
            <w:r>
              <w:rPr>
                <w:sz w:val="18"/>
              </w:rPr>
              <w:t xml:space="preserve">M19, EO5</w:t>
            </w:r>
          </w:p>
        </w:tc>
        <w:tc>
          <w:tcPr>
            <w:tcW w:w="1029" w:type="dxa"/>
          </w:tcPr>
          <w:p>
            <w:pPr>
              <w:pStyle w:val="Compact"/>
              <w:spacing w:after="40"/>
              <w:jc w:val="left"/>
            </w:pPr>
            <w:r>
              <w:rPr>
                <w:sz w:val="18"/>
              </w:rPr>
              <w:t xml:space="preserve">2; 20b</w:t>
            </w:r>
          </w:p>
        </w:tc>
        <w:tc>
          <w:tcPr>
            <w:tcW w:w="1819" w:type="dxa"/>
          </w:tcPr>
          <w:p>
            <w:pPr>
              <w:pStyle w:val="Compact"/>
              <w:spacing w:after="40"/>
              <w:jc w:val="left"/>
            </w:pPr>
            <w:r>
              <w:rPr>
                <w:sz w:val="18"/>
              </w:rPr>
              <w:t xml:space="preserve">Tenant admin, CISO</w:t>
            </w:r>
          </w:p>
        </w:tc>
      </w:tr>
      <w:tr>
        <w:tc>
          <w:tcPr>
            <w:tcW w:w="1867" w:type="dxa"/>
          </w:tcPr>
          <w:p>
            <w:pPr>
              <w:pStyle w:val="Compact"/>
              <w:spacing w:after="40"/>
              <w:jc w:val="left"/>
            </w:pPr>
            <w:r>
              <w:rPr>
                <w:rStyle w:val="VerbatimChar"/>
                <w:sz w:val="18"/>
              </w:rPr>
              <w:t xml:space="preserve">Settings › Communications</w:t>
            </w:r>
          </w:p>
        </w:tc>
        <w:tc>
          <w:tcPr>
            <w:tcW w:w="3831" w:type="dxa"/>
          </w:tcPr>
          <w:p>
            <w:pPr>
              <w:pStyle w:val="Compact"/>
              <w:spacing w:after="40"/>
              <w:jc w:val="left"/>
            </w:pPr>
            <w:r>
              <w:rPr>
                <w:sz w:val="18"/>
              </w:rPr>
              <w:t xml:space="preserve">Templates (languages, DLT IDs), channels, consent and DND;</w:t>
            </w:r>
            <w:r>
              <w:rPr>
                <w:sz w:val="18"/>
              </w:rPr>
              <w:t xml:space="preserve"> </w:t>
            </w:r>
            <w:r>
              <w:rPr>
                <w:rStyle w:val="VerbatimChar"/>
                <w:sz w:val="18"/>
              </w:rPr>
              <w:t xml:space="preserve">› Providers</w:t>
            </w:r>
            <w:r>
              <w:rPr>
                <w:sz w:val="18"/>
              </w:rPr>
              <w:t xml:space="preserve">,</w:t>
            </w:r>
            <w:r>
              <w:rPr>
                <w:sz w:val="18"/>
              </w:rPr>
              <w:t xml:space="preserve"> </w:t>
            </w:r>
            <w:r>
              <w:rPr>
                <w:rStyle w:val="VerbatimChar"/>
                <w:sz w:val="18"/>
              </w:rPr>
              <w:t xml:space="preserve">› Numbers and DLT</w:t>
            </w:r>
            <w:r>
              <w:rPr>
                <w:sz w:val="18"/>
              </w:rPr>
              <w:t xml:space="preserve">,</w:t>
            </w:r>
            <w:r>
              <w:rPr>
                <w:sz w:val="18"/>
              </w:rPr>
              <w:t xml:space="preserve"> </w:t>
            </w:r>
            <w:r>
              <w:rPr>
                <w:rStyle w:val="VerbatimChar"/>
                <w:sz w:val="18"/>
              </w:rPr>
              <w:t xml:space="preserve">› Contact policy</w:t>
            </w:r>
            <w:r>
              <w:rPr>
                <w:sz w:val="18"/>
              </w:rPr>
              <w:t xml:space="preserve">,</w:t>
            </w:r>
            <w:r>
              <w:rPr>
                <w:sz w:val="18"/>
              </w:rPr>
              <w:t xml:space="preserve"> </w:t>
            </w:r>
            <w:r>
              <w:rPr>
                <w:rStyle w:val="VerbatimChar"/>
                <w:sz w:val="18"/>
              </w:rPr>
              <w:t xml:space="preserve">› AI assistant</w:t>
            </w:r>
          </w:p>
        </w:tc>
        <w:tc>
          <w:tcPr>
            <w:tcW w:w="1092" w:type="dxa"/>
          </w:tcPr>
          <w:p>
            <w:pPr>
              <w:pStyle w:val="Compact"/>
              <w:spacing w:after="40"/>
              <w:jc w:val="left"/>
            </w:pPr>
            <w:r>
              <w:rPr>
                <w:sz w:val="18"/>
              </w:rPr>
              <w:t xml:space="preserve">M18, EO6</w:t>
            </w:r>
          </w:p>
        </w:tc>
        <w:tc>
          <w:tcPr>
            <w:tcW w:w="1029" w:type="dxa"/>
          </w:tcPr>
          <w:p>
            <w:pPr>
              <w:pStyle w:val="Compact"/>
              <w:spacing w:after="40"/>
              <w:jc w:val="left"/>
            </w:pPr>
            <w:r>
              <w:rPr>
                <w:sz w:val="18"/>
              </w:rPr>
              <w:t xml:space="preserve">3b; 18b</w:t>
            </w:r>
          </w:p>
        </w:tc>
        <w:tc>
          <w:tcPr>
            <w:tcW w:w="1819" w:type="dxa"/>
          </w:tcPr>
          <w:p>
            <w:pPr>
              <w:pStyle w:val="Compact"/>
              <w:spacing w:after="40"/>
              <w:jc w:val="left"/>
            </w:pPr>
            <w:r>
              <w:rPr>
                <w:sz w:val="18"/>
              </w:rPr>
              <w:t xml:space="preserve">Tenant admin; CCO checker</w:t>
            </w:r>
          </w:p>
        </w:tc>
      </w:tr>
      <w:tr>
        <w:tc>
          <w:tcPr>
            <w:tcW w:w="1867" w:type="dxa"/>
          </w:tcPr>
          <w:p>
            <w:pPr>
              <w:pStyle w:val="Compact"/>
              <w:spacing w:after="40"/>
              <w:jc w:val="left"/>
            </w:pPr>
            <w:r>
              <w:rPr>
                <w:rStyle w:val="VerbatimChar"/>
                <w:sz w:val="18"/>
              </w:rPr>
              <w:t xml:space="preserve">Settings ›</w:t>
            </w:r>
            <w:r>
              <w:rPr>
                <w:sz w:val="18"/>
              </w:rPr>
              <w:t xml:space="preserve"> </w:t>
            </w:r>
            <w:r>
              <w:rPr>
                <w:sz w:val="18"/>
              </w:rPr>
              <w:t xml:space="preserve">Workplace, Plan and billing</w:t>
            </w:r>
          </w:p>
        </w:tc>
        <w:tc>
          <w:tcPr>
            <w:tcW w:w="3831" w:type="dxa"/>
          </w:tcPr>
          <w:p>
            <w:pPr>
              <w:pStyle w:val="Compact"/>
              <w:spacing w:after="40"/>
              <w:jc w:val="left"/>
            </w:pPr>
            <w:r>
              <w:rPr>
                <w:sz w:val="18"/>
              </w:rPr>
              <w:t xml:space="preserve">As GV7, CM2.2</w:t>
            </w:r>
          </w:p>
        </w:tc>
        <w:tc>
          <w:tcPr>
            <w:tcW w:w="1092" w:type="dxa"/>
          </w:tcPr>
          <w:p>
            <w:pPr>
              <w:pStyle w:val="Compact"/>
              <w:spacing w:after="40"/>
              <w:jc w:val="left"/>
            </w:pPr>
            <w:r>
              <w:rPr>
                <w:sz w:val="18"/>
              </w:rPr>
              <w:t xml:space="preserve">GV7, CM2</w:t>
            </w:r>
          </w:p>
        </w:tc>
        <w:tc>
          <w:tcPr>
            <w:tcW w:w="1029" w:type="dxa"/>
          </w:tcPr>
          <w:p>
            <w:pPr>
              <w:pStyle w:val="Compact"/>
              <w:spacing w:after="40"/>
              <w:jc w:val="left"/>
            </w:pPr>
            <w:r>
              <w:rPr>
                <w:sz w:val="18"/>
              </w:rPr>
              <w:t xml:space="preserve">16d; 16e</w:t>
            </w:r>
          </w:p>
        </w:tc>
        <w:tc>
          <w:tcPr>
            <w:tcW w:w="1819" w:type="dxa"/>
          </w:tcPr>
          <w:p>
            <w:pPr>
              <w:pStyle w:val="Compact"/>
              <w:spacing w:after="40"/>
              <w:jc w:val="left"/>
            </w:pPr>
            <w:r>
              <w:rPr>
                <w:sz w:val="18"/>
              </w:rPr>
              <w:t xml:space="preserve">IT; billing admin</w:t>
            </w:r>
          </w:p>
        </w:tc>
      </w:tr>
      <w:tr>
        <w:tc>
          <w:tcPr>
            <w:tcW w:w="1867" w:type="dxa"/>
          </w:tcPr>
          <w:p>
            <w:pPr>
              <w:pStyle w:val="Compact"/>
              <w:spacing w:after="40"/>
              <w:jc w:val="left"/>
            </w:pPr>
            <w:r>
              <w:rPr>
                <w:rStyle w:val="VerbatimChar"/>
                <w:sz w:val="18"/>
              </w:rPr>
              <w:t xml:space="preserve">Settings › Modules</w:t>
            </w:r>
          </w:p>
        </w:tc>
        <w:tc>
          <w:tcPr>
            <w:tcW w:w="3831" w:type="dxa"/>
          </w:tcPr>
          <w:p>
            <w:pPr>
              <w:pStyle w:val="Compact"/>
              <w:spacing w:after="40"/>
              <w:jc w:val="left"/>
            </w:pPr>
            <w:r>
              <w:rPr>
                <w:sz w:val="18"/>
              </w:rPr>
              <w:t xml:space="preserve">Registry lifecycle (7A.0.3); attach and detach wizards with the open-deadline gate; flags by entity, product, branch</w:t>
            </w:r>
          </w:p>
        </w:tc>
        <w:tc>
          <w:tcPr>
            <w:tcW w:w="1092" w:type="dxa"/>
          </w:tcPr>
          <w:p>
            <w:pPr>
              <w:pStyle w:val="Compact"/>
              <w:spacing w:after="40"/>
              <w:jc w:val="left"/>
            </w:pPr>
            <w:r>
              <w:rPr>
                <w:sz w:val="18"/>
              </w:rPr>
              <w:t xml:space="preserve">7A.0, CM1</w:t>
            </w:r>
          </w:p>
        </w:tc>
        <w:tc>
          <w:tcPr>
            <w:tcW w:w="1029" w:type="dxa"/>
          </w:tcPr>
          <w:p>
            <w:pPr>
              <w:pStyle w:val="Compact"/>
              <w:spacing w:after="40"/>
              <w:jc w:val="left"/>
            </w:pPr>
            <w:r>
              <w:rPr>
                <w:sz w:val="18"/>
              </w:rPr>
              <w:t xml:space="preserve">1; 12</w:t>
            </w:r>
          </w:p>
        </w:tc>
        <w:tc>
          <w:tcPr>
            <w:tcW w:w="1819" w:type="dxa"/>
          </w:tcPr>
          <w:p>
            <w:pPr>
              <w:pStyle w:val="Compact"/>
              <w:spacing w:after="40"/>
              <w:jc w:val="left"/>
            </w:pPr>
            <w:r>
              <w:rPr>
                <w:sz w:val="18"/>
              </w:rPr>
              <w:t xml:space="preserve">Tenant admin; CCO checker for detach</w:t>
            </w:r>
          </w:p>
        </w:tc>
      </w:tr>
      <w:tr>
        <w:tc>
          <w:tcPr>
            <w:tcW w:w="1867" w:type="dxa"/>
          </w:tcPr>
          <w:p>
            <w:pPr>
              <w:pStyle w:val="Compact"/>
              <w:spacing w:after="40"/>
              <w:jc w:val="left"/>
            </w:pPr>
            <w:r>
              <w:rPr>
                <w:rStyle w:val="VerbatimChar"/>
                <w:sz w:val="18"/>
              </w:rPr>
              <w:t xml:space="preserve">Settings ›</w:t>
            </w:r>
            <w:r>
              <w:rPr>
                <w:sz w:val="18"/>
              </w:rPr>
              <w:t xml:space="preserve"> </w:t>
            </w:r>
            <w:r>
              <w:rPr>
                <w:sz w:val="18"/>
              </w:rPr>
              <w:t xml:space="preserve">Branding, All settings</w:t>
            </w:r>
          </w:p>
        </w:tc>
        <w:tc>
          <w:tcPr>
            <w:tcW w:w="3831" w:type="dxa"/>
          </w:tcPr>
          <w:p>
            <w:pPr>
              <w:pStyle w:val="Compact"/>
              <w:spacing w:after="40"/>
              <w:jc w:val="left"/>
            </w:pPr>
            <w:r>
              <w:rPr>
                <w:sz w:val="18"/>
              </w:rPr>
              <w:t xml:space="preserve">Design tokens and portal domain; catalogue generated from</w:t>
            </w:r>
            <w:r>
              <w:rPr>
                <w:sz w:val="18"/>
              </w:rPr>
              <w:t xml:space="preserve"> </w:t>
            </w:r>
            <w:r>
              <w:rPr>
                <w:rStyle w:val="VerbatimChar"/>
                <w:sz w:val="18"/>
              </w:rPr>
              <w:t xml:space="preserve">setting_definition</w:t>
            </w:r>
            <w:r>
              <w:rPr>
                <w:sz w:val="18"/>
              </w:rPr>
              <w:t xml:space="preserve"> </w:t>
            </w:r>
            <w:r>
              <w:rPr>
                <w:sz w:val="18"/>
              </w:rPr>
              <w:t xml:space="preserve">with floor badges</w:t>
            </w:r>
          </w:p>
        </w:tc>
        <w:tc>
          <w:tcPr>
            <w:tcW w:w="1092" w:type="dxa"/>
          </w:tcPr>
          <w:p>
            <w:pPr>
              <w:pStyle w:val="Compact"/>
              <w:spacing w:after="40"/>
              <w:jc w:val="left"/>
            </w:pPr>
            <w:r>
              <w:rPr>
                <w:sz w:val="18"/>
              </w:rPr>
              <w:t xml:space="preserve">Part 3.1, G.7</w:t>
            </w:r>
          </w:p>
        </w:tc>
        <w:tc>
          <w:tcPr>
            <w:tcW w:w="1029" w:type="dxa"/>
          </w:tcPr>
          <w:p>
            <w:pPr>
              <w:pStyle w:val="Compact"/>
              <w:spacing w:after="40"/>
              <w:jc w:val="left"/>
            </w:pPr>
            <w:r>
              <w:rPr>
                <w:sz w:val="18"/>
              </w:rPr>
              <w:t xml:space="preserve">1; 3</w:t>
            </w:r>
          </w:p>
        </w:tc>
        <w:tc>
          <w:tcPr>
            <w:tcW w:w="1819" w:type="dxa"/>
          </w:tcPr>
          <w:p>
            <w:pPr>
              <w:pStyle w:val="Compact"/>
              <w:spacing w:after="40"/>
              <w:jc w:val="left"/>
            </w:pPr>
            <w:r>
              <w:rPr>
                <w:sz w:val="18"/>
              </w:rPr>
              <w:t xml:space="preserve">Tenant admin</w:t>
            </w:r>
          </w:p>
        </w:tc>
      </w:tr>
    </w:tbl>
    <w:bookmarkEnd w:id="925"/>
    <w:bookmarkStart w:id="926" w:name="g.3.18-administration-admin"/>
    <w:p>
      <w:pPr>
        <w:pStyle w:val="Heading3"/>
      </w:pPr>
      <w:r>
        <w:t xml:space="preserve">G.3.18 Administration (</w:t>
      </w:r>
      <w:r>
        <w:rPr>
          <w:rStyle w:val="VerbatimChar"/>
        </w:rPr>
        <w:t xml:space="preserve">admin</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27"/>
        <w:gridCol w:w="3322"/>
        <w:gridCol w:w="972"/>
        <w:gridCol w:w="972"/>
        <w:gridCol w:w="1645"/>
      </w:tblGrid>
      <w:tr>
        <w:trPr>
          <w:tblHeader w:val="true"/>
          <w:tblHeader w:val="true"/>
        </w:trPr>
        <w:tc>
          <w:tcPr>
            <w:tcW w:w="2727" w:type="dxa"/>
            <w:shd w:val="clear" w:color="auto" w:fill="1F3A5F"/>
          </w:tcPr>
          <w:p>
            <w:pPr>
              <w:pStyle w:val="Compact"/>
              <w:spacing w:after="40"/>
              <w:jc w:val="left"/>
            </w:pPr>
            <w:r>
              <w:rPr>
                <w:b/>
                <w:color w:val="FFFFFF"/>
                <w:sz w:val="18"/>
              </w:rPr>
              <w:t xml:space="preserve">Path</w:t>
            </w:r>
          </w:p>
        </w:tc>
        <w:tc>
          <w:tcPr>
            <w:tcW w:w="3322" w:type="dxa"/>
            <w:shd w:val="clear" w:color="auto" w:fill="1F3A5F"/>
          </w:tcPr>
          <w:p>
            <w:pPr>
              <w:pStyle w:val="Compact"/>
              <w:spacing w:after="40"/>
              <w:jc w:val="left"/>
            </w:pPr>
            <w:r>
              <w:rPr>
                <w:b/>
                <w:color w:val="FFFFFF"/>
                <w:sz w:val="18"/>
              </w:rPr>
              <w:t xml:space="preserve">Screens and key actions</w:t>
            </w:r>
          </w:p>
        </w:tc>
        <w:tc>
          <w:tcPr>
            <w:tcW w:w="972" w:type="dxa"/>
            <w:shd w:val="clear" w:color="auto" w:fill="1F3A5F"/>
          </w:tcPr>
          <w:p>
            <w:pPr>
              <w:pStyle w:val="Compact"/>
              <w:spacing w:after="40"/>
              <w:jc w:val="left"/>
            </w:pPr>
            <w:r>
              <w:rPr>
                <w:b/>
                <w:color w:val="FFFFFF"/>
                <w:sz w:val="18"/>
              </w:rPr>
              <w:t xml:space="preserve">Owner</w:t>
            </w:r>
          </w:p>
        </w:tc>
        <w:tc>
          <w:tcPr>
            <w:tcW w:w="972" w:type="dxa"/>
            <w:shd w:val="clear" w:color="auto" w:fill="1F3A5F"/>
          </w:tcPr>
          <w:p>
            <w:pPr>
              <w:pStyle w:val="Compact"/>
              <w:spacing w:after="40"/>
              <w:jc w:val="left"/>
            </w:pPr>
            <w:r>
              <w:rPr>
                <w:b/>
                <w:color w:val="FFFFFF"/>
                <w:sz w:val="18"/>
              </w:rPr>
              <w:t xml:space="preserve">Phase</w:t>
            </w:r>
          </w:p>
        </w:tc>
        <w:tc>
          <w:tcPr>
            <w:tcW w:w="1645" w:type="dxa"/>
            <w:shd w:val="clear" w:color="auto" w:fill="1F3A5F"/>
          </w:tcPr>
          <w:p>
            <w:pPr>
              <w:pStyle w:val="Compact"/>
              <w:spacing w:after="40"/>
              <w:jc w:val="left"/>
            </w:pPr>
            <w:r>
              <w:rPr>
                <w:b/>
                <w:color w:val="FFFFFF"/>
                <w:sz w:val="18"/>
              </w:rPr>
              <w:t xml:space="preserve">Roles</w:t>
            </w:r>
          </w:p>
        </w:tc>
      </w:tr>
      <w:tr>
        <w:tc>
          <w:tcPr>
            <w:tcW w:w="2727" w:type="dxa"/>
          </w:tcPr>
          <w:p>
            <w:pPr>
              <w:pStyle w:val="Compact"/>
              <w:spacing w:after="40"/>
              <w:jc w:val="left"/>
            </w:pPr>
            <w:r>
              <w:rPr>
                <w:rStyle w:val="VerbatimChar"/>
                <w:sz w:val="18"/>
              </w:rPr>
              <w:t xml:space="preserve">Administration ›</w:t>
            </w:r>
            <w:r>
              <w:rPr>
                <w:sz w:val="18"/>
              </w:rPr>
              <w:t xml:space="preserve"> </w:t>
            </w:r>
            <w:r>
              <w:rPr>
                <w:sz w:val="18"/>
              </w:rPr>
              <w:t xml:space="preserve">Jobs, Audit log, Support access, Imports</w:t>
            </w:r>
          </w:p>
        </w:tc>
        <w:tc>
          <w:tcPr>
            <w:tcW w:w="3322" w:type="dxa"/>
          </w:tcPr>
          <w:p>
            <w:pPr>
              <w:pStyle w:val="Compact"/>
              <w:spacing w:after="40"/>
              <w:jc w:val="left"/>
            </w:pPr>
            <w:r>
              <w:rPr>
                <w:sz w:val="18"/>
              </w:rPr>
              <w:t xml:space="preserve">Job runs and retries; hash-chained audit search and seal check; break-glass approval and session log; dry-run imports with reject files</w:t>
            </w:r>
          </w:p>
        </w:tc>
        <w:tc>
          <w:tcPr>
            <w:tcW w:w="972" w:type="dxa"/>
          </w:tcPr>
          <w:p>
            <w:pPr>
              <w:pStyle w:val="Compact"/>
              <w:spacing w:after="40"/>
              <w:jc w:val="left"/>
            </w:pPr>
            <w:r>
              <w:rPr>
                <w:sz w:val="18"/>
              </w:rPr>
              <w:t xml:space="preserve">M19, AC7</w:t>
            </w:r>
          </w:p>
        </w:tc>
        <w:tc>
          <w:tcPr>
            <w:tcW w:w="972" w:type="dxa"/>
          </w:tcPr>
          <w:p>
            <w:pPr>
              <w:pStyle w:val="Compact"/>
              <w:spacing w:after="40"/>
              <w:jc w:val="left"/>
            </w:pPr>
            <w:r>
              <w:rPr>
                <w:sz w:val="18"/>
              </w:rPr>
              <w:t xml:space="preserve">2; 3</w:t>
            </w:r>
          </w:p>
        </w:tc>
        <w:tc>
          <w:tcPr>
            <w:tcW w:w="1645" w:type="dxa"/>
          </w:tcPr>
          <w:p>
            <w:pPr>
              <w:pStyle w:val="Compact"/>
              <w:spacing w:after="40"/>
              <w:jc w:val="left"/>
            </w:pPr>
            <w:r>
              <w:rPr>
                <w:sz w:val="18"/>
              </w:rPr>
              <w:t xml:space="preserve">Tenant admin, CCO, internal audit</w:t>
            </w:r>
          </w:p>
        </w:tc>
      </w:tr>
      <w:tr>
        <w:tc>
          <w:tcPr>
            <w:tcW w:w="2727" w:type="dxa"/>
          </w:tcPr>
          <w:p>
            <w:pPr>
              <w:pStyle w:val="Compact"/>
              <w:spacing w:after="40"/>
              <w:jc w:val="left"/>
            </w:pPr>
            <w:r>
              <w:rPr>
                <w:rStyle w:val="VerbatimChar"/>
                <w:sz w:val="18"/>
              </w:rPr>
              <w:t xml:space="preserve">Administration › Platform ›</w:t>
            </w:r>
            <w:r>
              <w:rPr>
                <w:sz w:val="18"/>
              </w:rPr>
              <w:t xml:space="preserve"> </w:t>
            </w:r>
            <w:r>
              <w:rPr>
                <w:sz w:val="18"/>
              </w:rPr>
              <w:t xml:space="preserve">Tenants, Releases, Changes, Vulnerabilities, Backups and drills</w:t>
            </w:r>
          </w:p>
        </w:tc>
        <w:tc>
          <w:tcPr>
            <w:tcW w:w="3322" w:type="dxa"/>
          </w:tcPr>
          <w:p>
            <w:pPr>
              <w:pStyle w:val="Compact"/>
              <w:spacing w:after="40"/>
              <w:jc w:val="left"/>
            </w:pPr>
            <w:r>
              <w:rPr>
                <w:sz w:val="18"/>
              </w:rPr>
              <w:t xml:space="preserve">Workspace O only; tenant names as counts unless break-glass is open; never tenant data</w:t>
            </w:r>
          </w:p>
        </w:tc>
        <w:tc>
          <w:tcPr>
            <w:tcW w:w="972" w:type="dxa"/>
          </w:tcPr>
          <w:p>
            <w:pPr>
              <w:pStyle w:val="Compact"/>
              <w:spacing w:after="40"/>
              <w:jc w:val="left"/>
            </w:pPr>
            <w:r>
              <w:rPr>
                <w:sz w:val="18"/>
              </w:rPr>
              <w:t xml:space="preserve">EO1–EO5</w:t>
            </w:r>
          </w:p>
        </w:tc>
        <w:tc>
          <w:tcPr>
            <w:tcW w:w="972" w:type="dxa"/>
          </w:tcPr>
          <w:p>
            <w:pPr>
              <w:pStyle w:val="Compact"/>
              <w:spacing w:after="40"/>
              <w:jc w:val="left"/>
            </w:pPr>
            <w:r>
              <w:rPr>
                <w:sz w:val="18"/>
              </w:rPr>
              <w:t xml:space="preserve">1; 20b</w:t>
            </w:r>
          </w:p>
        </w:tc>
        <w:tc>
          <w:tcPr>
            <w:tcW w:w="1645" w:type="dxa"/>
          </w:tcPr>
          <w:p>
            <w:pPr>
              <w:pStyle w:val="Compact"/>
              <w:spacing w:after="40"/>
              <w:jc w:val="left"/>
            </w:pPr>
            <w:r>
              <w:rPr>
                <w:sz w:val="18"/>
              </w:rPr>
              <w:t xml:space="preserve">Infrabyx SRE, CISO</w:t>
            </w:r>
          </w:p>
        </w:tc>
      </w:tr>
    </w:tbl>
    <w:bookmarkEnd w:id="926"/>
    <w:bookmarkStart w:id="927" w:name="g.3.19-field-app-p-and-borrower-portal-q"/>
    <w:p>
      <w:pPr>
        <w:pStyle w:val="Heading3"/>
      </w:pPr>
      <w:r>
        <w:t xml:space="preserve">G.3.19 Field app (P) and borrower portal (Q)</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07"/>
        <w:gridCol w:w="3698"/>
        <w:gridCol w:w="1224"/>
        <w:gridCol w:w="1040"/>
        <w:gridCol w:w="1469"/>
      </w:tblGrid>
      <w:tr>
        <w:trPr>
          <w:tblHeader w:val="true"/>
          <w:tblHeader w:val="true"/>
        </w:trPr>
        <w:tc>
          <w:tcPr>
            <w:tcW w:w="2207" w:type="dxa"/>
            <w:shd w:val="clear" w:color="auto" w:fill="1F3A5F"/>
          </w:tcPr>
          <w:p>
            <w:pPr>
              <w:pStyle w:val="Compact"/>
              <w:spacing w:after="40"/>
              <w:jc w:val="left"/>
            </w:pPr>
            <w:r>
              <w:rPr>
                <w:b/>
                <w:color w:val="FFFFFF"/>
                <w:sz w:val="18"/>
              </w:rPr>
              <w:t xml:space="preserve">Navigation</w:t>
            </w:r>
          </w:p>
        </w:tc>
        <w:tc>
          <w:tcPr>
            <w:tcW w:w="3698" w:type="dxa"/>
            <w:shd w:val="clear" w:color="auto" w:fill="1F3A5F"/>
          </w:tcPr>
          <w:p>
            <w:pPr>
              <w:pStyle w:val="Compact"/>
              <w:spacing w:after="40"/>
              <w:jc w:val="left"/>
            </w:pPr>
            <w:r>
              <w:rPr>
                <w:b/>
                <w:color w:val="FFFFFF"/>
                <w:sz w:val="18"/>
              </w:rPr>
              <w:t xml:space="preserve">Screens</w:t>
            </w:r>
          </w:p>
        </w:tc>
        <w:tc>
          <w:tcPr>
            <w:tcW w:w="1224" w:type="dxa"/>
            <w:shd w:val="clear" w:color="auto" w:fill="1F3A5F"/>
          </w:tcPr>
          <w:p>
            <w:pPr>
              <w:pStyle w:val="Compact"/>
              <w:spacing w:after="40"/>
              <w:jc w:val="left"/>
            </w:pPr>
            <w:r>
              <w:rPr>
                <w:b/>
                <w:color w:val="FFFFFF"/>
                <w:sz w:val="18"/>
              </w:rPr>
              <w:t xml:space="preserve">Owner</w:t>
            </w:r>
          </w:p>
        </w:tc>
        <w:tc>
          <w:tcPr>
            <w:tcW w:w="1040" w:type="dxa"/>
            <w:shd w:val="clear" w:color="auto" w:fill="1F3A5F"/>
          </w:tcPr>
          <w:p>
            <w:pPr>
              <w:pStyle w:val="Compact"/>
              <w:spacing w:after="40"/>
              <w:jc w:val="left"/>
            </w:pPr>
            <w:r>
              <w:rPr>
                <w:b/>
                <w:color w:val="FFFFFF"/>
                <w:sz w:val="18"/>
              </w:rPr>
              <w:t xml:space="preserve">Phase</w:t>
            </w:r>
          </w:p>
        </w:tc>
        <w:tc>
          <w:tcPr>
            <w:tcW w:w="1469" w:type="dxa"/>
            <w:shd w:val="clear" w:color="auto" w:fill="1F3A5F"/>
          </w:tcPr>
          <w:p>
            <w:pPr>
              <w:pStyle w:val="Compact"/>
              <w:spacing w:after="40"/>
              <w:jc w:val="left"/>
            </w:pPr>
            <w:r>
              <w:rPr>
                <w:b/>
                <w:color w:val="FFFFFF"/>
                <w:sz w:val="18"/>
              </w:rPr>
              <w:t xml:space="preserve">Users</w:t>
            </w:r>
          </w:p>
        </w:tc>
      </w:tr>
      <w:tr>
        <w:tc>
          <w:tcPr>
            <w:tcW w:w="2207" w:type="dxa"/>
          </w:tcPr>
          <w:p>
            <w:pPr>
              <w:pStyle w:val="Compact"/>
              <w:spacing w:after="40"/>
              <w:jc w:val="left"/>
            </w:pPr>
            <w:r>
              <w:rPr>
                <w:sz w:val="18"/>
              </w:rPr>
              <w:t xml:space="preserve">Today, Tasks, Onboard, Collect, Centres, Sync</w:t>
            </w:r>
          </w:p>
        </w:tc>
        <w:tc>
          <w:tcPr>
            <w:tcW w:w="3698" w:type="dxa"/>
          </w:tcPr>
          <w:p>
            <w:pPr>
              <w:pStyle w:val="Compact"/>
              <w:spacing w:after="40"/>
              <w:jc w:val="left"/>
            </w:pPr>
            <w:r>
              <w:rPr>
                <w:sz w:val="18"/>
              </w:rPr>
              <w:t xml:space="preserve">Route; FI, PD, valuation and recovery tasks; assisted KYC; receipts and PTP; microfinance meetings (profile-gated); sync queue and conflicts</w:t>
            </w:r>
          </w:p>
        </w:tc>
        <w:tc>
          <w:tcPr>
            <w:tcW w:w="1224" w:type="dxa"/>
          </w:tcPr>
          <w:p>
            <w:pPr>
              <w:pStyle w:val="Compact"/>
              <w:spacing w:after="40"/>
              <w:jc w:val="left"/>
            </w:pPr>
            <w:r>
              <w:rPr>
                <w:sz w:val="18"/>
              </w:rPr>
              <w:t xml:space="preserve">M22, M8, IP4, R2</w:t>
            </w:r>
          </w:p>
        </w:tc>
        <w:tc>
          <w:tcPr>
            <w:tcW w:w="1040" w:type="dxa"/>
          </w:tcPr>
          <w:p>
            <w:pPr>
              <w:pStyle w:val="Compact"/>
              <w:spacing w:after="40"/>
              <w:jc w:val="left"/>
            </w:pPr>
            <w:r>
              <w:rPr>
                <w:sz w:val="18"/>
              </w:rPr>
              <w:t xml:space="preserve">8b; 11; 17c</w:t>
            </w:r>
          </w:p>
        </w:tc>
        <w:tc>
          <w:tcPr>
            <w:tcW w:w="1469" w:type="dxa"/>
          </w:tcPr>
          <w:p>
            <w:pPr>
              <w:pStyle w:val="Compact"/>
              <w:spacing w:after="40"/>
              <w:jc w:val="left"/>
            </w:pPr>
            <w:r>
              <w:rPr>
                <w:sz w:val="18"/>
              </w:rPr>
              <w:t xml:space="preserve">Field staff</w:t>
            </w:r>
          </w:p>
        </w:tc>
      </w:tr>
      <w:tr>
        <w:tc>
          <w:tcPr>
            <w:tcW w:w="2207" w:type="dxa"/>
          </w:tcPr>
          <w:p>
            <w:pPr>
              <w:pStyle w:val="Compact"/>
              <w:spacing w:after="40"/>
              <w:jc w:val="left"/>
            </w:pPr>
            <w:r>
              <w:rPr>
                <w:sz w:val="18"/>
              </w:rPr>
              <w:t xml:space="preserve">Loans, Pay, Documents, Requests, Complaints, Privacy</w:t>
            </w:r>
          </w:p>
        </w:tc>
        <w:tc>
          <w:tcPr>
            <w:tcW w:w="3698" w:type="dxa"/>
          </w:tcPr>
          <w:p>
            <w:pPr>
              <w:pStyle w:val="Compact"/>
              <w:spacing w:after="40"/>
              <w:jc w:val="left"/>
            </w:pPr>
            <w:r>
              <w:rPr>
                <w:sz w:val="18"/>
              </w:rPr>
              <w:t xml:space="preserve">Summary and schedule; payments; statements and certificates; service requests; complaints with escalation path; consents; payment-security profile</w:t>
            </w:r>
          </w:p>
        </w:tc>
        <w:tc>
          <w:tcPr>
            <w:tcW w:w="1224" w:type="dxa"/>
          </w:tcPr>
          <w:p>
            <w:pPr>
              <w:pStyle w:val="Compact"/>
              <w:spacing w:after="40"/>
              <w:jc w:val="left"/>
            </w:pPr>
            <w:r>
              <w:rPr>
                <w:sz w:val="18"/>
              </w:rPr>
              <w:t xml:space="preserve">M23</w:t>
            </w:r>
          </w:p>
        </w:tc>
        <w:tc>
          <w:tcPr>
            <w:tcW w:w="1040" w:type="dxa"/>
          </w:tcPr>
          <w:p>
            <w:pPr>
              <w:pStyle w:val="Compact"/>
              <w:spacing w:after="40"/>
              <w:jc w:val="left"/>
            </w:pPr>
            <w:r>
              <w:rPr>
                <w:sz w:val="18"/>
              </w:rPr>
              <w:t xml:space="preserve">15</w:t>
            </w:r>
          </w:p>
        </w:tc>
        <w:tc>
          <w:tcPr>
            <w:tcW w:w="1469" w:type="dxa"/>
          </w:tcPr>
          <w:p>
            <w:pPr>
              <w:pStyle w:val="Compact"/>
              <w:spacing w:after="40"/>
              <w:jc w:val="left"/>
            </w:pPr>
            <w:r>
              <w:rPr>
                <w:sz w:val="18"/>
              </w:rPr>
              <w:t xml:space="preserve">Borrowers not on Udofin</w:t>
            </w:r>
          </w:p>
        </w:tc>
      </w:tr>
    </w:tbl>
    <w:bookmarkEnd w:id="927"/>
    <w:bookmarkStart w:id="928" w:name="Xa25afbf2c9650bfc9ae2b87e07ce51d2cdca69d"/>
    <w:p>
      <w:pPr>
        <w:pStyle w:val="Heading3"/>
      </w:pPr>
      <w:r>
        <w:t xml:space="preserve">G.3.20 Canonical paths where a Part used another label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731"/>
        <w:gridCol w:w="2890"/>
        <w:gridCol w:w="3017"/>
      </w:tblGrid>
      <w:tr>
        <w:trPr>
          <w:tblHeader w:val="true"/>
          <w:tblHeader w:val="true"/>
        </w:trPr>
        <w:tc>
          <w:tcPr>
            <w:tcW w:w="3731" w:type="dxa"/>
            <w:shd w:val="clear" w:color="auto" w:fill="1F3A5F"/>
          </w:tcPr>
          <w:p>
            <w:pPr>
              <w:pStyle w:val="Compact"/>
              <w:spacing w:after="40"/>
              <w:jc w:val="left"/>
            </w:pPr>
            <w:r>
              <w:rPr>
                <w:b/>
                <w:color w:val="FFFFFF"/>
                <w:sz w:val="18"/>
              </w:rPr>
              <w:t xml:space="preserve">Part text</w:t>
            </w:r>
          </w:p>
        </w:tc>
        <w:tc>
          <w:tcPr>
            <w:tcW w:w="2890" w:type="dxa"/>
            <w:shd w:val="clear" w:color="auto" w:fill="1F3A5F"/>
          </w:tcPr>
          <w:p>
            <w:pPr>
              <w:pStyle w:val="Compact"/>
              <w:spacing w:after="40"/>
              <w:jc w:val="left"/>
            </w:pPr>
            <w:r>
              <w:rPr>
                <w:b/>
                <w:color w:val="FFFFFF"/>
                <w:sz w:val="18"/>
              </w:rPr>
              <w:t xml:space="preserve">Canonical path</w:t>
            </w:r>
          </w:p>
        </w:tc>
        <w:tc>
          <w:tcPr>
            <w:tcW w:w="3017" w:type="dxa"/>
            <w:shd w:val="clear" w:color="auto" w:fill="1F3A5F"/>
          </w:tcPr>
          <w:p>
            <w:pPr>
              <w:pStyle w:val="Compact"/>
              <w:spacing w:after="40"/>
              <w:jc w:val="left"/>
            </w:pPr>
            <w:r>
              <w:rPr>
                <w:b/>
                <w:color w:val="FFFFFF"/>
                <w:sz w:val="18"/>
              </w:rPr>
              <w:t xml:space="preserve">Reason</w:t>
            </w:r>
          </w:p>
        </w:tc>
      </w:tr>
      <w:tr>
        <w:tc>
          <w:tcPr>
            <w:tcW w:w="3731" w:type="dxa"/>
          </w:tcPr>
          <w:p>
            <w:pPr>
              <w:pStyle w:val="Compact"/>
              <w:spacing w:after="40"/>
              <w:jc w:val="left"/>
            </w:pPr>
            <w:r>
              <w:rPr>
                <w:sz w:val="18"/>
              </w:rPr>
              <w:t xml:space="preserve">CM2.2</w:t>
            </w:r>
            <w:r>
              <w:rPr>
                <w:sz w:val="18"/>
              </w:rPr>
              <w:t xml:space="preserve"> </w:t>
            </w:r>
            <w:r>
              <w:rPr>
                <w:rStyle w:val="VerbatimChar"/>
                <w:sz w:val="18"/>
              </w:rPr>
              <w:t xml:space="preserve">Settings › Members</w:t>
            </w:r>
          </w:p>
        </w:tc>
        <w:tc>
          <w:tcPr>
            <w:tcW w:w="2890" w:type="dxa"/>
          </w:tcPr>
          <w:p>
            <w:pPr>
              <w:pStyle w:val="Compact"/>
              <w:spacing w:after="40"/>
              <w:jc w:val="left"/>
            </w:pPr>
            <w:r>
              <w:rPr>
                <w:rStyle w:val="VerbatimChar"/>
                <w:sz w:val="18"/>
              </w:rPr>
              <w:t xml:space="preserve">Settings › Users and roles › Seats</w:t>
            </w:r>
          </w:p>
        </w:tc>
        <w:tc>
          <w:tcPr>
            <w:tcW w:w="3017" w:type="dxa"/>
          </w:tcPr>
          <w:p>
            <w:pPr>
              <w:pStyle w:val="Compact"/>
              <w:spacing w:after="40"/>
              <w:jc w:val="left"/>
            </w:pPr>
            <w:r>
              <w:rPr>
                <w:sz w:val="18"/>
              </w:rPr>
              <w:t xml:space="preserve">“</w:t>
            </w:r>
            <w:r>
              <w:rPr>
                <w:sz w:val="18"/>
              </w:rPr>
              <w:t xml:space="preserve">Members</w:t>
            </w:r>
            <w:r>
              <w:rPr>
                <w:sz w:val="18"/>
              </w:rPr>
              <w:t xml:space="preserve">”</w:t>
            </w:r>
            <w:r>
              <w:rPr>
                <w:sz w:val="18"/>
              </w:rPr>
              <w:t xml:space="preserve"> </w:t>
            </w:r>
            <w:r>
              <w:rPr>
                <w:sz w:val="18"/>
              </w:rPr>
              <w:t xml:space="preserve">is reserved for co-operative membership</w:t>
            </w:r>
          </w:p>
        </w:tc>
      </w:tr>
      <w:tr>
        <w:tc>
          <w:tcPr>
            <w:tcW w:w="3731" w:type="dxa"/>
          </w:tcPr>
          <w:p>
            <w:pPr>
              <w:pStyle w:val="Compact"/>
              <w:spacing w:after="40"/>
              <w:jc w:val="left"/>
            </w:pPr>
            <w:r>
              <w:rPr>
                <w:sz w:val="18"/>
              </w:rPr>
              <w:t xml:space="preserve">IP1</w:t>
            </w:r>
            <w:r>
              <w:rPr>
                <w:sz w:val="18"/>
              </w:rPr>
              <w:t xml:space="preserve"> </w:t>
            </w:r>
            <w:r>
              <w:rPr>
                <w:rStyle w:val="VerbatimChar"/>
                <w:sz w:val="18"/>
              </w:rPr>
              <w:t xml:space="preserve">Administration › Institution profile</w:t>
            </w:r>
          </w:p>
        </w:tc>
        <w:tc>
          <w:tcPr>
            <w:tcW w:w="2890" w:type="dxa"/>
          </w:tcPr>
          <w:p>
            <w:pPr>
              <w:pStyle w:val="Compact"/>
              <w:spacing w:after="40"/>
              <w:jc w:val="left"/>
            </w:pPr>
            <w:r>
              <w:rPr>
                <w:rStyle w:val="VerbatimChar"/>
                <w:sz w:val="18"/>
              </w:rPr>
              <w:t xml:space="preserve">Settings › Organisation › Institution profile</w:t>
            </w:r>
          </w:p>
        </w:tc>
        <w:tc>
          <w:tcPr>
            <w:tcW w:w="3017" w:type="dxa"/>
          </w:tcPr>
          <w:p>
            <w:pPr>
              <w:pStyle w:val="Compact"/>
              <w:spacing w:after="40"/>
              <w:jc w:val="left"/>
            </w:pPr>
            <w:r>
              <w:rPr>
                <w:sz w:val="18"/>
              </w:rPr>
              <w:t xml:space="preserve">Configuration sits under Settings</w:t>
            </w:r>
          </w:p>
        </w:tc>
      </w:tr>
      <w:tr>
        <w:tc>
          <w:tcPr>
            <w:tcW w:w="3731" w:type="dxa"/>
          </w:tcPr>
          <w:p>
            <w:pPr>
              <w:pStyle w:val="Compact"/>
              <w:spacing w:after="40"/>
              <w:jc w:val="left"/>
            </w:pPr>
            <w:r>
              <w:rPr>
                <w:sz w:val="18"/>
              </w:rPr>
              <w:t xml:space="preserve">IP1</w:t>
            </w:r>
            <w:r>
              <w:rPr>
                <w:sz w:val="18"/>
              </w:rPr>
              <w:t xml:space="preserve"> </w:t>
            </w:r>
            <w:r>
              <w:rPr>
                <w:rStyle w:val="VerbatimChar"/>
                <w:sz w:val="18"/>
              </w:rPr>
              <w:t xml:space="preserve">Administration › Rule packs</w:t>
            </w:r>
          </w:p>
        </w:tc>
        <w:tc>
          <w:tcPr>
            <w:tcW w:w="2890" w:type="dxa"/>
          </w:tcPr>
          <w:p>
            <w:pPr>
              <w:pStyle w:val="Compact"/>
              <w:spacing w:after="40"/>
              <w:jc w:val="left"/>
            </w:pPr>
            <w:r>
              <w:rPr>
                <w:rStyle w:val="VerbatimChar"/>
                <w:sz w:val="18"/>
              </w:rPr>
              <w:t xml:space="preserve">Settings › Rule packs</w:t>
            </w:r>
          </w:p>
        </w:tc>
        <w:tc>
          <w:tcPr>
            <w:tcW w:w="3017" w:type="dxa"/>
          </w:tcPr>
          <w:p>
            <w:pPr>
              <w:pStyle w:val="Compact"/>
              <w:spacing w:after="40"/>
              <w:jc w:val="left"/>
            </w:pPr>
            <w:r>
              <w:rPr>
                <w:sz w:val="18"/>
              </w:rPr>
              <w:t xml:space="preserve">As above</w:t>
            </w:r>
          </w:p>
        </w:tc>
      </w:tr>
      <w:tr>
        <w:tc>
          <w:tcPr>
            <w:tcW w:w="3731" w:type="dxa"/>
          </w:tcPr>
          <w:p>
            <w:pPr>
              <w:pStyle w:val="Compact"/>
              <w:spacing w:after="40"/>
              <w:jc w:val="left"/>
            </w:pPr>
            <w:r>
              <w:rPr>
                <w:sz w:val="18"/>
              </w:rPr>
              <w:t xml:space="preserve">GV5</w:t>
            </w:r>
            <w:r>
              <w:rPr>
                <w:sz w:val="18"/>
              </w:rPr>
              <w:t xml:space="preserve"> </w:t>
            </w:r>
            <w:r>
              <w:rPr>
                <w:rStyle w:val="VerbatimChar"/>
                <w:sz w:val="18"/>
              </w:rPr>
              <w:t xml:space="preserve">Organisation › Departments</w:t>
            </w:r>
            <w:r>
              <w:rPr>
                <w:sz w:val="18"/>
              </w:rPr>
              <w:t xml:space="preserve">,</w:t>
            </w:r>
            <w:r>
              <w:rPr>
                <w:sz w:val="18"/>
              </w:rPr>
              <w:t xml:space="preserve"> </w:t>
            </w:r>
            <w:r>
              <w:rPr>
                <w:rStyle w:val="VerbatimChar"/>
                <w:sz w:val="18"/>
              </w:rPr>
              <w:t xml:space="preserve">› Positions</w:t>
            </w:r>
            <w:r>
              <w:rPr>
                <w:sz w:val="18"/>
              </w:rPr>
              <w:t xml:space="preserve">,</w:t>
            </w:r>
            <w:r>
              <w:rPr>
                <w:sz w:val="18"/>
              </w:rPr>
              <w:t xml:space="preserve"> </w:t>
            </w:r>
            <w:r>
              <w:rPr>
                <w:rStyle w:val="VerbatimChar"/>
                <w:sz w:val="18"/>
              </w:rPr>
              <w:t xml:space="preserve">› Org chart</w:t>
            </w:r>
          </w:p>
        </w:tc>
        <w:tc>
          <w:tcPr>
            <w:tcW w:w="2890" w:type="dxa"/>
          </w:tcPr>
          <w:p>
            <w:pPr>
              <w:pStyle w:val="Compact"/>
              <w:spacing w:after="40"/>
              <w:jc w:val="left"/>
            </w:pPr>
            <w:r>
              <w:rPr>
                <w:rStyle w:val="VerbatimChar"/>
                <w:sz w:val="18"/>
              </w:rPr>
              <w:t xml:space="preserve">Settings › Organisation › …</w:t>
            </w:r>
          </w:p>
        </w:tc>
        <w:tc>
          <w:tcPr>
            <w:tcW w:w="3017" w:type="dxa"/>
          </w:tcPr>
          <w:p>
            <w:pPr>
              <w:pStyle w:val="Compact"/>
              <w:spacing w:after="40"/>
              <w:jc w:val="left"/>
            </w:pPr>
            <w:r>
              <w:rPr>
                <w:sz w:val="18"/>
              </w:rPr>
              <w:t xml:space="preserve">No separate top-level menu</w:t>
            </w:r>
          </w:p>
        </w:tc>
      </w:tr>
      <w:tr>
        <w:tc>
          <w:tcPr>
            <w:tcW w:w="3731" w:type="dxa"/>
          </w:tcPr>
          <w:p>
            <w:pPr>
              <w:pStyle w:val="Compact"/>
              <w:spacing w:after="40"/>
              <w:jc w:val="left"/>
            </w:pPr>
            <w:r>
              <w:rPr>
                <w:sz w:val="18"/>
              </w:rPr>
              <w:t xml:space="preserve">GV5</w:t>
            </w:r>
            <w:r>
              <w:rPr>
                <w:sz w:val="18"/>
              </w:rPr>
              <w:t xml:space="preserve"> </w:t>
            </w:r>
            <w:r>
              <w:rPr>
                <w:rStyle w:val="VerbatimChar"/>
                <w:sz w:val="18"/>
              </w:rPr>
              <w:t xml:space="preserve">Organisation › Delegation</w:t>
            </w:r>
          </w:p>
        </w:tc>
        <w:tc>
          <w:tcPr>
            <w:tcW w:w="2890" w:type="dxa"/>
          </w:tcPr>
          <w:p>
            <w:pPr>
              <w:pStyle w:val="Compact"/>
              <w:spacing w:after="40"/>
              <w:jc w:val="left"/>
            </w:pPr>
            <w:r>
              <w:rPr>
                <w:rStyle w:val="VerbatimChar"/>
                <w:sz w:val="18"/>
              </w:rPr>
              <w:t xml:space="preserve">Governance › Delegation</w:t>
            </w:r>
          </w:p>
        </w:tc>
        <w:tc>
          <w:tcPr>
            <w:tcW w:w="3017" w:type="dxa"/>
          </w:tcPr>
          <w:p>
            <w:pPr>
              <w:pStyle w:val="Compact"/>
              <w:spacing w:after="40"/>
              <w:jc w:val="left"/>
            </w:pPr>
            <w:r>
              <w:rPr>
                <w:sz w:val="18"/>
              </w:rPr>
              <w:t xml:space="preserve">DoA rests on Board resolutions owned by the CS</w:t>
            </w:r>
          </w:p>
        </w:tc>
      </w:tr>
      <w:tr>
        <w:tc>
          <w:tcPr>
            <w:tcW w:w="3731" w:type="dxa"/>
          </w:tcPr>
          <w:p>
            <w:pPr>
              <w:pStyle w:val="Compact"/>
              <w:spacing w:after="40"/>
              <w:jc w:val="left"/>
            </w:pPr>
            <w:r>
              <w:rPr>
                <w:sz w:val="18"/>
              </w:rPr>
              <w:t xml:space="preserve">GV5</w:t>
            </w:r>
            <w:r>
              <w:rPr>
                <w:sz w:val="18"/>
              </w:rPr>
              <w:t xml:space="preserve"> </w:t>
            </w:r>
            <w:r>
              <w:rPr>
                <w:rStyle w:val="VerbatimChar"/>
                <w:sz w:val="18"/>
              </w:rPr>
              <w:t xml:space="preserve">Tasks › My tasks</w:t>
            </w:r>
            <w:r>
              <w:rPr>
                <w:sz w:val="18"/>
              </w:rPr>
              <w:t xml:space="preserve">,</w:t>
            </w:r>
            <w:r>
              <w:rPr>
                <w:sz w:val="18"/>
              </w:rPr>
              <w:t xml:space="preserve"> </w:t>
            </w:r>
            <w:r>
              <w:rPr>
                <w:rStyle w:val="VerbatimChar"/>
                <w:sz w:val="18"/>
              </w:rPr>
              <w:t xml:space="preserve">› Team</w:t>
            </w:r>
            <w:r>
              <w:rPr>
                <w:sz w:val="18"/>
              </w:rPr>
              <w:t xml:space="preserve">,</w:t>
            </w:r>
            <w:r>
              <w:rPr>
                <w:sz w:val="18"/>
              </w:rPr>
              <w:t xml:space="preserve"> </w:t>
            </w:r>
            <w:r>
              <w:rPr>
                <w:rStyle w:val="VerbatimChar"/>
                <w:sz w:val="18"/>
              </w:rPr>
              <w:t xml:space="preserve">› Approvals</w:t>
            </w:r>
            <w:r>
              <w:rPr>
                <w:sz w:val="18"/>
              </w:rPr>
              <w:t xml:space="preserve">,</w:t>
            </w:r>
            <w:r>
              <w:rPr>
                <w:sz w:val="18"/>
              </w:rPr>
              <w:t xml:space="preserve"> </w:t>
            </w:r>
            <w:r>
              <w:rPr>
                <w:rStyle w:val="VerbatimChar"/>
                <w:sz w:val="18"/>
              </w:rPr>
              <w:t xml:space="preserve">› Escalations</w:t>
            </w:r>
          </w:p>
        </w:tc>
        <w:tc>
          <w:tcPr>
            <w:tcW w:w="2890" w:type="dxa"/>
          </w:tcPr>
          <w:p>
            <w:pPr>
              <w:pStyle w:val="Compact"/>
              <w:spacing w:after="40"/>
              <w:jc w:val="left"/>
            </w:pPr>
            <w:r>
              <w:rPr>
                <w:sz w:val="18"/>
              </w:rPr>
              <w:t xml:space="preserve">Top-bar Inbox tabs (G.2.2)</w:t>
            </w:r>
          </w:p>
        </w:tc>
        <w:tc>
          <w:tcPr>
            <w:tcW w:w="3017" w:type="dxa"/>
          </w:tcPr>
          <w:p>
            <w:pPr>
              <w:pStyle w:val="Compact"/>
              <w:spacing w:after="40"/>
              <w:jc w:val="left"/>
            </w:pPr>
            <w:r>
              <w:rPr>
                <w:sz w:val="18"/>
              </w:rPr>
              <w:t xml:space="preserve">One cross-module queue</w:t>
            </w:r>
          </w:p>
        </w:tc>
      </w:tr>
      <w:tr>
        <w:tc>
          <w:tcPr>
            <w:tcW w:w="3731" w:type="dxa"/>
          </w:tcPr>
          <w:p>
            <w:pPr>
              <w:pStyle w:val="Compact"/>
              <w:spacing w:after="40"/>
              <w:jc w:val="left"/>
            </w:pPr>
            <w:r>
              <w:rPr>
                <w:sz w:val="18"/>
              </w:rPr>
              <w:t xml:space="preserve">EO5</w:t>
            </w:r>
            <w:r>
              <w:rPr>
                <w:sz w:val="18"/>
              </w:rPr>
              <w:t xml:space="preserve"> </w:t>
            </w:r>
            <w:r>
              <w:rPr>
                <w:rStyle w:val="VerbatimChar"/>
                <w:sz w:val="18"/>
              </w:rPr>
              <w:t xml:space="preserve">Platform › Releases</w:t>
            </w:r>
            <w:r>
              <w:rPr>
                <w:sz w:val="18"/>
              </w:rPr>
              <w:t xml:space="preserve">,</w:t>
            </w:r>
            <w:r>
              <w:rPr>
                <w:sz w:val="18"/>
              </w:rPr>
              <w:t xml:space="preserve"> </w:t>
            </w:r>
            <w:r>
              <w:rPr>
                <w:rStyle w:val="VerbatimChar"/>
                <w:sz w:val="18"/>
              </w:rPr>
              <w:t xml:space="preserve">› Changes</w:t>
            </w:r>
            <w:r>
              <w:rPr>
                <w:sz w:val="18"/>
              </w:rPr>
              <w:t xml:space="preserve">,</w:t>
            </w:r>
            <w:r>
              <w:rPr>
                <w:sz w:val="18"/>
              </w:rPr>
              <w:t xml:space="preserve"> </w:t>
            </w:r>
            <w:r>
              <w:rPr>
                <w:rStyle w:val="VerbatimChar"/>
                <w:sz w:val="18"/>
              </w:rPr>
              <w:t xml:space="preserve">› Vulnerabilities</w:t>
            </w:r>
            <w:r>
              <w:rPr>
                <w:sz w:val="18"/>
              </w:rPr>
              <w:t xml:space="preserve">,</w:t>
            </w:r>
            <w:r>
              <w:rPr>
                <w:sz w:val="18"/>
              </w:rPr>
              <w:t xml:space="preserve"> </w:t>
            </w:r>
            <w:r>
              <w:rPr>
                <w:rStyle w:val="VerbatimChar"/>
                <w:sz w:val="18"/>
              </w:rPr>
              <w:t xml:space="preserve">› Backups and drills</w:t>
            </w:r>
          </w:p>
        </w:tc>
        <w:tc>
          <w:tcPr>
            <w:tcW w:w="2890" w:type="dxa"/>
          </w:tcPr>
          <w:p>
            <w:pPr>
              <w:pStyle w:val="Compact"/>
              <w:spacing w:after="40"/>
              <w:jc w:val="left"/>
            </w:pPr>
            <w:r>
              <w:rPr>
                <w:rStyle w:val="VerbatimChar"/>
                <w:sz w:val="18"/>
              </w:rPr>
              <w:t xml:space="preserve">Administration › Platform › …</w:t>
            </w:r>
          </w:p>
        </w:tc>
        <w:tc>
          <w:tcPr>
            <w:tcW w:w="3017" w:type="dxa"/>
          </w:tcPr>
          <w:p>
            <w:pPr>
              <w:pStyle w:val="Compact"/>
              <w:spacing w:after="40"/>
              <w:jc w:val="left"/>
            </w:pPr>
            <w:r>
              <w:rPr>
                <w:sz w:val="18"/>
              </w:rPr>
              <w:t xml:space="preserve">Workspace O menu</w:t>
            </w:r>
          </w:p>
        </w:tc>
      </w:tr>
      <w:tr>
        <w:tc>
          <w:tcPr>
            <w:tcW w:w="3731" w:type="dxa"/>
          </w:tcPr>
          <w:p>
            <w:pPr>
              <w:pStyle w:val="Compact"/>
              <w:spacing w:after="40"/>
              <w:jc w:val="left"/>
            </w:pPr>
            <w:r>
              <w:rPr>
                <w:sz w:val="18"/>
              </w:rPr>
              <w:t xml:space="preserve">IP3</w:t>
            </w:r>
            <w:r>
              <w:rPr>
                <w:sz w:val="18"/>
              </w:rPr>
              <w:t xml:space="preserve"> </w:t>
            </w:r>
            <w:r>
              <w:rPr>
                <w:rStyle w:val="VerbatimChar"/>
                <w:sz w:val="18"/>
              </w:rPr>
              <w:t xml:space="preserve">Finance › CBS interface</w:t>
            </w:r>
          </w:p>
        </w:tc>
        <w:tc>
          <w:tcPr>
            <w:tcW w:w="2890" w:type="dxa"/>
          </w:tcPr>
          <w:p>
            <w:pPr>
              <w:pStyle w:val="Compact"/>
              <w:spacing w:after="40"/>
              <w:jc w:val="left"/>
            </w:pPr>
            <w:r>
              <w:rPr>
                <w:rStyle w:val="VerbatimChar"/>
                <w:sz w:val="18"/>
              </w:rPr>
              <w:t xml:space="preserve">Finance › Connectors › CBS interface</w:t>
            </w:r>
          </w:p>
        </w:tc>
        <w:tc>
          <w:tcPr>
            <w:tcW w:w="3017" w:type="dxa"/>
          </w:tcPr>
          <w:p>
            <w:pPr>
              <w:pStyle w:val="Compact"/>
              <w:spacing w:after="40"/>
              <w:jc w:val="left"/>
            </w:pPr>
            <w:r>
              <w:rPr>
                <w:sz w:val="18"/>
              </w:rPr>
              <w:t xml:space="preserve">Connectors grouped</w:t>
            </w:r>
          </w:p>
        </w:tc>
      </w:tr>
      <w:tr>
        <w:tc>
          <w:tcPr>
            <w:tcW w:w="3731" w:type="dxa"/>
          </w:tcPr>
          <w:p>
            <w:pPr>
              <w:pStyle w:val="Compact"/>
              <w:spacing w:after="40"/>
              <w:jc w:val="left"/>
            </w:pPr>
            <w:r>
              <w:rPr>
                <w:sz w:val="18"/>
              </w:rPr>
              <w:t xml:space="preserve">RK8</w:t>
            </w:r>
            <w:r>
              <w:rPr>
                <w:sz w:val="18"/>
              </w:rPr>
              <w:t xml:space="preserve"> </w:t>
            </w:r>
            <w:r>
              <w:rPr>
                <w:rStyle w:val="VerbatimChar"/>
                <w:sz w:val="18"/>
              </w:rPr>
              <w:t xml:space="preserve">Dashboards › My dashboard</w:t>
            </w:r>
            <w:r>
              <w:rPr>
                <w:sz w:val="18"/>
              </w:rPr>
              <w:t xml:space="preserve"> </w:t>
            </w:r>
            <w:r>
              <w:rPr>
                <w:sz w:val="18"/>
              </w:rPr>
              <w:t xml:space="preserve">as landing page</w:t>
            </w:r>
          </w:p>
        </w:tc>
        <w:tc>
          <w:tcPr>
            <w:tcW w:w="2890" w:type="dxa"/>
          </w:tcPr>
          <w:p>
            <w:pPr>
              <w:pStyle w:val="Compact"/>
              <w:spacing w:after="40"/>
              <w:jc w:val="left"/>
            </w:pPr>
            <w:r>
              <w:rPr>
                <w:sz w:val="18"/>
              </w:rPr>
              <w:t xml:space="preserve">Unchanged;</w:t>
            </w:r>
            <w:r>
              <w:rPr>
                <w:sz w:val="18"/>
              </w:rPr>
              <w:t xml:space="preserve"> </w:t>
            </w:r>
            <w:r>
              <w:rPr>
                <w:rStyle w:val="VerbatimChar"/>
                <w:sz w:val="18"/>
              </w:rPr>
              <w:t xml:space="preserve">Home</w:t>
            </w:r>
            <w:r>
              <w:rPr>
                <w:sz w:val="18"/>
              </w:rPr>
              <w:t xml:space="preserve"> </w:t>
            </w:r>
            <w:r>
              <w:rPr>
                <w:sz w:val="18"/>
              </w:rPr>
              <w:t xml:space="preserve">renders it</w:t>
            </w:r>
          </w:p>
        </w:tc>
        <w:tc>
          <w:tcPr>
            <w:tcW w:w="3017" w:type="dxa"/>
          </w:tcPr>
          <w:p>
            <w:pPr>
              <w:pStyle w:val="Compact"/>
              <w:spacing w:after="40"/>
              <w:jc w:val="left"/>
            </w:pPr>
            <w:r>
              <w:rPr>
                <w:sz w:val="18"/>
              </w:rPr>
              <w:t xml:space="preserve">One landing per workspace</w:t>
            </w:r>
          </w:p>
        </w:tc>
      </w:tr>
      <w:tr>
        <w:tc>
          <w:tcPr>
            <w:tcW w:w="3731" w:type="dxa"/>
          </w:tcPr>
          <w:p>
            <w:pPr>
              <w:pStyle w:val="Compact"/>
              <w:spacing w:after="40"/>
              <w:jc w:val="left"/>
            </w:pPr>
            <w:r>
              <w:rPr>
                <w:sz w:val="18"/>
              </w:rPr>
              <w:t xml:space="preserve">RR9 and AC8 code</w:t>
            </w:r>
            <w:r>
              <w:rPr>
                <w:sz w:val="18"/>
              </w:rPr>
              <w:t xml:space="preserve"> </w:t>
            </w:r>
            <w:r>
              <w:rPr>
                <w:rStyle w:val="VerbatimChar"/>
                <w:sz w:val="18"/>
              </w:rPr>
              <w:t xml:space="preserve">regulatory_floor</w:t>
            </w:r>
          </w:p>
        </w:tc>
        <w:tc>
          <w:tcPr>
            <w:tcW w:w="2890" w:type="dxa"/>
          </w:tcPr>
          <w:p>
            <w:pPr>
              <w:pStyle w:val="Compact"/>
              <w:spacing w:after="40"/>
              <w:jc w:val="left"/>
            </w:pPr>
            <w:r>
              <w:rPr>
                <w:rStyle w:val="VerbatimChar"/>
                <w:sz w:val="18"/>
              </w:rPr>
              <w:t xml:space="preserve">floor_violation</w:t>
            </w:r>
          </w:p>
        </w:tc>
        <w:tc>
          <w:tcPr>
            <w:tcW w:w="3017" w:type="dxa"/>
          </w:tcPr>
          <w:p>
            <w:pPr>
              <w:pStyle w:val="Compact"/>
              <w:spacing w:after="40"/>
              <w:jc w:val="left"/>
            </w:pPr>
            <w:r>
              <w:rPr>
                <w:sz w:val="18"/>
              </w:rPr>
              <w:t xml:space="preserve">Part 10.2 principle 42</w:t>
            </w:r>
          </w:p>
        </w:tc>
      </w:tr>
    </w:tbl>
    <w:p>
      <w:pPr>
        <w:pStyle w:val="BodyText"/>
      </w:pPr>
      <w:r>
        <w:t xml:space="preserve">Kept deliberately:</w:t>
      </w:r>
      <w:r>
        <w:t xml:space="preserve"> </w:t>
      </w:r>
      <w:r>
        <w:rPr>
          <w:rStyle w:val="VerbatimChar"/>
        </w:rPr>
        <w:t xml:space="preserve">Risk › Capital › Rule packs</w:t>
      </w:r>
      <w:r>
        <w:t xml:space="preserve"> </w:t>
      </w:r>
      <w:r>
        <w:t xml:space="preserve">(filtered view of</w:t>
      </w:r>
      <w:r>
        <w:t xml:space="preserve"> </w:t>
      </w:r>
      <w:r>
        <w:rPr>
          <w:rStyle w:val="VerbatimChar"/>
        </w:rPr>
        <w:t xml:space="preserve">Settings › Rule packs</w:t>
      </w:r>
      <w:r>
        <w:t xml:space="preserve">);</w:t>
      </w:r>
      <w:r>
        <w:t xml:space="preserve"> </w:t>
      </w:r>
      <w:r>
        <w:rPr>
          <w:rStyle w:val="VerbatimChar"/>
        </w:rPr>
        <w:t xml:space="preserve">Compliance › Returns › Approvals</w:t>
      </w:r>
      <w:r>
        <w:t xml:space="preserve"> </w:t>
      </w:r>
      <w:r>
        <w:t xml:space="preserve">(same requests as the Inbox);</w:t>
      </w:r>
      <w:r>
        <w:t xml:space="preserve"> </w:t>
      </w:r>
      <w:r>
        <w:rPr>
          <w:rStyle w:val="VerbatimChar"/>
        </w:rPr>
        <w:t xml:space="preserve">Audit › External access › Provider room</w:t>
      </w:r>
      <w:r>
        <w:t xml:space="preserve"> </w:t>
      </w:r>
      <w:r>
        <w:t xml:space="preserve">and</w:t>
      </w:r>
      <w:r>
        <w:t xml:space="preserve"> </w:t>
      </w:r>
      <w:r>
        <w:rPr>
          <w:rStyle w:val="VerbatimChar"/>
        </w:rPr>
        <w:t xml:space="preserve">Settings › Security and trust</w:t>
      </w:r>
      <w:r>
        <w:t xml:space="preserve"> </w:t>
      </w:r>
      <w:r>
        <w:t xml:space="preserve">(one evidence set, two audiences);</w:t>
      </w:r>
      <w:r>
        <w:t xml:space="preserve"> </w:t>
      </w:r>
      <w:r>
        <w:rPr>
          <w:rStyle w:val="VerbatimChar"/>
        </w:rPr>
        <w:t xml:space="preserve">Treasury › Limits</w:t>
      </w:r>
      <w:r>
        <w:t xml:space="preserve"> </w:t>
      </w:r>
      <w:r>
        <w:t xml:space="preserve">and</w:t>
      </w:r>
      <w:r>
        <w:t xml:space="preserve"> </w:t>
      </w:r>
      <w:r>
        <w:rPr>
          <w:rStyle w:val="VerbatimChar"/>
        </w:rPr>
        <w:t xml:space="preserve">Risk › Limits</w:t>
      </w:r>
      <w:r>
        <w:t xml:space="preserve"> </w:t>
      </w:r>
      <w:r>
        <w:t xml:space="preserve">(one limit engine; Board limits edited in Risk).</w:t>
      </w:r>
    </w:p>
    <w:bookmarkEnd w:id="928"/>
    <w:bookmarkEnd w:id="929"/>
    <w:bookmarkStart w:id="930" w:name="g.4-role-home-dashboards"/>
    <w:p>
      <w:pPr>
        <w:pStyle w:val="Heading2"/>
      </w:pPr>
      <w:r>
        <w:t xml:space="preserve">G.4 Role home dashboards</w:t>
      </w:r>
    </w:p>
    <w:p>
      <w:pPr>
        <w:pStyle w:val="FirstParagraph"/>
      </w:pPr>
      <w:r>
        <w:t xml:space="preserve">Roles land on their RK8 template where one exists; users may clone and rearrange (RK8.3); empty tiles name the missing feed.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18"/>
        <w:gridCol w:w="1381"/>
        <w:gridCol w:w="3890"/>
        <w:gridCol w:w="2549"/>
      </w:tblGrid>
      <w:tr>
        <w:trPr>
          <w:tblHeader w:val="true"/>
          <w:tblHeader w:val="true"/>
        </w:trPr>
        <w:tc>
          <w:tcPr>
            <w:tcW w:w="1818" w:type="dxa"/>
            <w:shd w:val="clear" w:color="auto" w:fill="1F3A5F"/>
          </w:tcPr>
          <w:p>
            <w:pPr>
              <w:pStyle w:val="Compact"/>
              <w:spacing w:after="40"/>
              <w:jc w:val="left"/>
            </w:pPr>
            <w:r>
              <w:rPr>
                <w:b/>
                <w:color w:val="FFFFFF"/>
                <w:sz w:val="18"/>
              </w:rPr>
              <w:t xml:space="preserve">Role</w:t>
            </w:r>
          </w:p>
        </w:tc>
        <w:tc>
          <w:tcPr>
            <w:tcW w:w="1381" w:type="dxa"/>
            <w:shd w:val="clear" w:color="auto" w:fill="1F3A5F"/>
          </w:tcPr>
          <w:p>
            <w:pPr>
              <w:pStyle w:val="Compact"/>
              <w:spacing w:after="40"/>
              <w:jc w:val="left"/>
            </w:pPr>
            <w:r>
              <w:rPr>
                <w:b/>
                <w:color w:val="FFFFFF"/>
                <w:sz w:val="18"/>
              </w:rPr>
              <w:t xml:space="preserve">Workspace</w:t>
            </w:r>
          </w:p>
        </w:tc>
        <w:tc>
          <w:tcPr>
            <w:tcW w:w="3890" w:type="dxa"/>
            <w:shd w:val="clear" w:color="auto" w:fill="1F3A5F"/>
          </w:tcPr>
          <w:p>
            <w:pPr>
              <w:pStyle w:val="Compact"/>
              <w:spacing w:after="40"/>
              <w:jc w:val="left"/>
            </w:pPr>
            <w:r>
              <w:rPr>
                <w:b/>
                <w:color w:val="FFFFFF"/>
                <w:sz w:val="18"/>
              </w:rPr>
              <w:t xml:space="preserve">Widgets beyond the RK8 template</w:t>
            </w:r>
          </w:p>
        </w:tc>
        <w:tc>
          <w:tcPr>
            <w:tcW w:w="2549" w:type="dxa"/>
            <w:shd w:val="clear" w:color="auto" w:fill="1F3A5F"/>
          </w:tcPr>
          <w:p>
            <w:pPr>
              <w:pStyle w:val="Compact"/>
              <w:spacing w:after="40"/>
              <w:jc w:val="left"/>
            </w:pPr>
            <w:r>
              <w:rPr>
                <w:b/>
                <w:color w:val="FFFFFF"/>
                <w:sz w:val="18"/>
              </w:rPr>
              <w:t xml:space="preserve">Default saved views</w:t>
            </w:r>
          </w:p>
        </w:tc>
      </w:tr>
      <w:tr>
        <w:tc>
          <w:tcPr>
            <w:tcW w:w="1818" w:type="dxa"/>
          </w:tcPr>
          <w:p>
            <w:pPr>
              <w:pStyle w:val="Compact"/>
              <w:spacing w:after="40"/>
              <w:jc w:val="left"/>
            </w:pPr>
            <w:r>
              <w:rPr>
                <w:sz w:val="18"/>
              </w:rPr>
              <w:t xml:space="preserve">MD and CEO</w:t>
            </w:r>
          </w:p>
        </w:tc>
        <w:tc>
          <w:tcPr>
            <w:tcW w:w="1381" w:type="dxa"/>
          </w:tcPr>
          <w:p>
            <w:pPr>
              <w:pStyle w:val="Compact"/>
              <w:spacing w:after="40"/>
              <w:jc w:val="left"/>
            </w:pPr>
            <w:r>
              <w:rPr>
                <w:sz w:val="18"/>
              </w:rPr>
              <w:t xml:space="preserve">M</w:t>
            </w:r>
          </w:p>
        </w:tc>
        <w:tc>
          <w:tcPr>
            <w:tcW w:w="3890" w:type="dxa"/>
          </w:tcPr>
          <w:p>
            <w:pPr>
              <w:pStyle w:val="Compact"/>
              <w:spacing w:after="40"/>
              <w:jc w:val="left"/>
            </w:pPr>
            <w:r>
              <w:rPr>
                <w:sz w:val="18"/>
              </w:rPr>
              <w:t xml:space="preserve">RK8 MD and CEO; approvals awaiting me; Board calendar</w:t>
            </w:r>
          </w:p>
        </w:tc>
        <w:tc>
          <w:tcPr>
            <w:tcW w:w="2549" w:type="dxa"/>
          </w:tcPr>
          <w:p>
            <w:pPr>
              <w:pStyle w:val="Compact"/>
              <w:spacing w:after="40"/>
              <w:jc w:val="left"/>
            </w:pPr>
            <w:r>
              <w:rPr>
                <w:sz w:val="18"/>
              </w:rPr>
              <w:t xml:space="preserve">Red RAS metrics; Approvals awaiting me</w:t>
            </w:r>
          </w:p>
        </w:tc>
      </w:tr>
      <w:tr>
        <w:tc>
          <w:tcPr>
            <w:tcW w:w="1818" w:type="dxa"/>
          </w:tcPr>
          <w:p>
            <w:pPr>
              <w:pStyle w:val="Compact"/>
              <w:spacing w:after="40"/>
              <w:jc w:val="left"/>
            </w:pPr>
            <w:r>
              <w:rPr>
                <w:sz w:val="18"/>
              </w:rPr>
              <w:t xml:space="preserve">CFO</w:t>
            </w:r>
          </w:p>
        </w:tc>
        <w:tc>
          <w:tcPr>
            <w:tcW w:w="1381" w:type="dxa"/>
          </w:tcPr>
          <w:p>
            <w:pPr>
              <w:pStyle w:val="Compact"/>
              <w:spacing w:after="40"/>
              <w:jc w:val="left"/>
            </w:pPr>
            <w:r>
              <w:rPr>
                <w:sz w:val="18"/>
              </w:rPr>
              <w:t xml:space="preserve">I, M</w:t>
            </w:r>
          </w:p>
        </w:tc>
        <w:tc>
          <w:tcPr>
            <w:tcW w:w="3890" w:type="dxa"/>
          </w:tcPr>
          <w:p>
            <w:pPr>
              <w:pStyle w:val="Compact"/>
              <w:spacing w:after="40"/>
              <w:jc w:val="left"/>
            </w:pPr>
            <w:r>
              <w:rPr>
                <w:sz w:val="18"/>
              </w:rPr>
              <w:t xml:space="preserve">RK8 CFO; close status by entity; returns to sign; covenant headroom; Tally breaks</w:t>
            </w:r>
          </w:p>
        </w:tc>
        <w:tc>
          <w:tcPr>
            <w:tcW w:w="2549" w:type="dxa"/>
          </w:tcPr>
          <w:p>
            <w:pPr>
              <w:pStyle w:val="Compact"/>
              <w:spacing w:after="40"/>
              <w:jc w:val="left"/>
            </w:pPr>
            <w:r>
              <w:rPr>
                <w:sz w:val="18"/>
              </w:rPr>
              <w:t xml:space="preserve">Close blockers; Returns to sign this week</w:t>
            </w:r>
          </w:p>
        </w:tc>
      </w:tr>
      <w:tr>
        <w:tc>
          <w:tcPr>
            <w:tcW w:w="1818" w:type="dxa"/>
          </w:tcPr>
          <w:p>
            <w:pPr>
              <w:pStyle w:val="Compact"/>
              <w:spacing w:after="40"/>
              <w:jc w:val="left"/>
            </w:pPr>
            <w:r>
              <w:rPr>
                <w:sz w:val="18"/>
              </w:rPr>
              <w:t xml:space="preserve">CRO</w:t>
            </w:r>
          </w:p>
        </w:tc>
        <w:tc>
          <w:tcPr>
            <w:tcW w:w="1381" w:type="dxa"/>
          </w:tcPr>
          <w:p>
            <w:pPr>
              <w:pStyle w:val="Compact"/>
              <w:spacing w:after="40"/>
              <w:jc w:val="left"/>
            </w:pPr>
            <w:r>
              <w:rPr>
                <w:sz w:val="18"/>
              </w:rPr>
              <w:t xml:space="preserve">J</w:t>
            </w:r>
          </w:p>
        </w:tc>
        <w:tc>
          <w:tcPr>
            <w:tcW w:w="3890" w:type="dxa"/>
          </w:tcPr>
          <w:p>
            <w:pPr>
              <w:pStyle w:val="Compact"/>
              <w:spacing w:after="40"/>
              <w:jc w:val="left"/>
            </w:pPr>
            <w:r>
              <w:rPr>
                <w:sz w:val="18"/>
              </w:rPr>
              <w:t xml:space="preserve">RK8 CRO; KRI breaches; limits above early warning; validations due</w:t>
            </w:r>
          </w:p>
        </w:tc>
        <w:tc>
          <w:tcPr>
            <w:tcW w:w="2549" w:type="dxa"/>
          </w:tcPr>
          <w:p>
            <w:pPr>
              <w:pStyle w:val="Compact"/>
              <w:spacing w:after="40"/>
              <w:jc w:val="left"/>
            </w:pPr>
            <w:r>
              <w:rPr>
                <w:sz w:val="18"/>
              </w:rPr>
              <w:t xml:space="preserve">KRI breaches awaiting review; Product vetting queue</w:t>
            </w:r>
          </w:p>
        </w:tc>
      </w:tr>
      <w:tr>
        <w:tc>
          <w:tcPr>
            <w:tcW w:w="1818" w:type="dxa"/>
          </w:tcPr>
          <w:p>
            <w:pPr>
              <w:pStyle w:val="Compact"/>
              <w:spacing w:after="40"/>
              <w:jc w:val="left"/>
            </w:pPr>
            <w:r>
              <w:rPr>
                <w:sz w:val="18"/>
              </w:rPr>
              <w:t xml:space="preserve">CCO</w:t>
            </w:r>
          </w:p>
        </w:tc>
        <w:tc>
          <w:tcPr>
            <w:tcW w:w="1381" w:type="dxa"/>
          </w:tcPr>
          <w:p>
            <w:pPr>
              <w:pStyle w:val="Compact"/>
              <w:spacing w:after="40"/>
              <w:jc w:val="left"/>
            </w:pPr>
            <w:r>
              <w:rPr>
                <w:sz w:val="18"/>
              </w:rPr>
              <w:t xml:space="preserve">K</w:t>
            </w:r>
          </w:p>
        </w:tc>
        <w:tc>
          <w:tcPr>
            <w:tcW w:w="3890" w:type="dxa"/>
          </w:tcPr>
          <w:p>
            <w:pPr>
              <w:pStyle w:val="Compact"/>
              <w:spacing w:after="40"/>
              <w:jc w:val="left"/>
            </w:pPr>
            <w:r>
              <w:rPr>
                <w:sz w:val="18"/>
              </w:rPr>
              <w:t xml:space="preserve">RK8 CCO; returns in next 7 days; failed tests; grievance clocks at risk; settings awaiting CCO</w:t>
            </w:r>
          </w:p>
        </w:tc>
        <w:tc>
          <w:tcPr>
            <w:tcW w:w="2549" w:type="dxa"/>
          </w:tcPr>
          <w:p>
            <w:pPr>
              <w:pStyle w:val="Compact"/>
              <w:spacing w:after="40"/>
              <w:jc w:val="left"/>
            </w:pPr>
            <w:r>
              <w:rPr>
                <w:sz w:val="18"/>
              </w:rPr>
              <w:t xml:space="preserve">Returns due in 3 days not ready; Overdue RMP items</w:t>
            </w:r>
          </w:p>
        </w:tc>
      </w:tr>
      <w:tr>
        <w:tc>
          <w:tcPr>
            <w:tcW w:w="1818" w:type="dxa"/>
          </w:tcPr>
          <w:p>
            <w:pPr>
              <w:pStyle w:val="Compact"/>
              <w:spacing w:after="40"/>
              <w:jc w:val="left"/>
            </w:pPr>
            <w:r>
              <w:rPr>
                <w:sz w:val="18"/>
              </w:rPr>
              <w:t xml:space="preserve">Chief Credit Officer</w:t>
            </w:r>
          </w:p>
        </w:tc>
        <w:tc>
          <w:tcPr>
            <w:tcW w:w="1381" w:type="dxa"/>
          </w:tcPr>
          <w:p>
            <w:pPr>
              <w:pStyle w:val="Compact"/>
              <w:spacing w:after="40"/>
              <w:jc w:val="left"/>
            </w:pPr>
            <w:r>
              <w:rPr>
                <w:sz w:val="18"/>
              </w:rPr>
              <w:t xml:space="preserve">C</w:t>
            </w:r>
          </w:p>
        </w:tc>
        <w:tc>
          <w:tcPr>
            <w:tcW w:w="3890" w:type="dxa"/>
          </w:tcPr>
          <w:p>
            <w:pPr>
              <w:pStyle w:val="Compact"/>
              <w:spacing w:after="40"/>
              <w:jc w:val="left"/>
            </w:pPr>
            <w:r>
              <w:rPr>
                <w:sz w:val="18"/>
              </w:rPr>
              <w:t xml:space="preserve">RK8; sanction queue by DoA band; TAT; early delinquency by cohort</w:t>
            </w:r>
          </w:p>
        </w:tc>
        <w:tc>
          <w:tcPr>
            <w:tcW w:w="2549" w:type="dxa"/>
          </w:tcPr>
          <w:p>
            <w:pPr>
              <w:pStyle w:val="Compact"/>
              <w:spacing w:after="40"/>
              <w:jc w:val="left"/>
            </w:pPr>
            <w:r>
              <w:rPr>
                <w:sz w:val="18"/>
              </w:rPr>
              <w:t xml:space="preserve">Files above my authority; Deviations this month</w:t>
            </w:r>
          </w:p>
        </w:tc>
      </w:tr>
      <w:tr>
        <w:tc>
          <w:tcPr>
            <w:tcW w:w="1818" w:type="dxa"/>
          </w:tcPr>
          <w:p>
            <w:pPr>
              <w:pStyle w:val="Compact"/>
              <w:spacing w:after="40"/>
              <w:jc w:val="left"/>
            </w:pPr>
            <w:r>
              <w:rPr>
                <w:sz w:val="18"/>
              </w:rPr>
              <w:t xml:space="preserve">Head of Internal Audit</w:t>
            </w:r>
          </w:p>
        </w:tc>
        <w:tc>
          <w:tcPr>
            <w:tcW w:w="1381" w:type="dxa"/>
          </w:tcPr>
          <w:p>
            <w:pPr>
              <w:pStyle w:val="Compact"/>
              <w:spacing w:after="40"/>
              <w:jc w:val="left"/>
            </w:pPr>
            <w:r>
              <w:rPr>
                <w:sz w:val="18"/>
              </w:rPr>
              <w:t xml:space="preserve">L</w:t>
            </w:r>
          </w:p>
        </w:tc>
        <w:tc>
          <w:tcPr>
            <w:tcW w:w="3890" w:type="dxa"/>
          </w:tcPr>
          <w:p>
            <w:pPr>
              <w:pStyle w:val="Compact"/>
              <w:spacing w:after="40"/>
              <w:jc w:val="left"/>
            </w:pPr>
            <w:r>
              <w:rPr>
                <w:sz w:val="18"/>
              </w:rPr>
              <w:t xml:space="preserve">RK8 HIA; plan progress; finding ageing; retests; ACB pack</w:t>
            </w:r>
          </w:p>
        </w:tc>
        <w:tc>
          <w:tcPr>
            <w:tcW w:w="2549" w:type="dxa"/>
          </w:tcPr>
          <w:p>
            <w:pPr>
              <w:pStyle w:val="Compact"/>
              <w:spacing w:after="40"/>
              <w:jc w:val="left"/>
            </w:pPr>
            <w:r>
              <w:rPr>
                <w:sz w:val="18"/>
              </w:rPr>
              <w:t xml:space="preserve">Overdue High findings; Engagements in fieldwork</w:t>
            </w:r>
          </w:p>
        </w:tc>
      </w:tr>
      <w:tr>
        <w:tc>
          <w:tcPr>
            <w:tcW w:w="1818" w:type="dxa"/>
          </w:tcPr>
          <w:p>
            <w:pPr>
              <w:pStyle w:val="Compact"/>
              <w:spacing w:after="40"/>
              <w:jc w:val="left"/>
            </w:pPr>
            <w:r>
              <w:rPr>
                <w:sz w:val="18"/>
              </w:rPr>
              <w:t xml:space="preserve">Company Secretary</w:t>
            </w:r>
          </w:p>
        </w:tc>
        <w:tc>
          <w:tcPr>
            <w:tcW w:w="1381" w:type="dxa"/>
          </w:tcPr>
          <w:p>
            <w:pPr>
              <w:pStyle w:val="Compact"/>
              <w:spacing w:after="40"/>
              <w:jc w:val="left"/>
            </w:pPr>
            <w:r>
              <w:rPr>
                <w:sz w:val="18"/>
              </w:rPr>
              <w:t xml:space="preserve">S</w:t>
            </w:r>
          </w:p>
        </w:tc>
        <w:tc>
          <w:tcPr>
            <w:tcW w:w="3890" w:type="dxa"/>
          </w:tcPr>
          <w:p>
            <w:pPr>
              <w:pStyle w:val="Compact"/>
              <w:spacing w:after="40"/>
              <w:jc w:val="left"/>
            </w:pPr>
            <w:r>
              <w:rPr>
                <w:sz w:val="18"/>
              </w:rPr>
              <w:t xml:space="preserve">RK8 CS; governance calendar; composition breaches; MCA filings; missing declarations; Reg 30 clocks</w:t>
            </w:r>
          </w:p>
        </w:tc>
        <w:tc>
          <w:tcPr>
            <w:tcW w:w="2549" w:type="dxa"/>
          </w:tcPr>
          <w:p>
            <w:pPr>
              <w:pStyle w:val="Compact"/>
              <w:spacing w:after="40"/>
              <w:jc w:val="left"/>
            </w:pPr>
            <w:r>
              <w:rPr>
                <w:sz w:val="18"/>
              </w:rPr>
              <w:t xml:space="preserve">Filings due in 15 days; Meetings in 30 days</w:t>
            </w:r>
          </w:p>
        </w:tc>
      </w:tr>
      <w:tr>
        <w:tc>
          <w:tcPr>
            <w:tcW w:w="1818" w:type="dxa"/>
          </w:tcPr>
          <w:p>
            <w:pPr>
              <w:pStyle w:val="Compact"/>
              <w:spacing w:after="40"/>
              <w:jc w:val="left"/>
            </w:pPr>
            <w:r>
              <w:rPr>
                <w:sz w:val="18"/>
              </w:rPr>
              <w:t xml:space="preserve">Board or committee member</w:t>
            </w:r>
          </w:p>
        </w:tc>
        <w:tc>
          <w:tcPr>
            <w:tcW w:w="1381" w:type="dxa"/>
          </w:tcPr>
          <w:p>
            <w:pPr>
              <w:pStyle w:val="Compact"/>
              <w:spacing w:after="40"/>
              <w:jc w:val="left"/>
            </w:pPr>
            <w:r>
              <w:rPr>
                <w:sz w:val="18"/>
              </w:rPr>
              <w:t xml:space="preserve">Director portal</w:t>
            </w:r>
          </w:p>
        </w:tc>
        <w:tc>
          <w:tcPr>
            <w:tcW w:w="3890" w:type="dxa"/>
          </w:tcPr>
          <w:p>
            <w:pPr>
              <w:pStyle w:val="Compact"/>
              <w:spacing w:after="40"/>
              <w:jc w:val="left"/>
            </w:pPr>
            <w:r>
              <w:rPr>
                <w:sz w:val="18"/>
              </w:rPr>
              <w:t xml:space="preserve">Meetings; packs to read with receipts; votes pending; RK8 Board or committee view</w:t>
            </w:r>
          </w:p>
        </w:tc>
        <w:tc>
          <w:tcPr>
            <w:tcW w:w="2549" w:type="dxa"/>
          </w:tcPr>
          <w:p>
            <w:pPr>
              <w:pStyle w:val="Compact"/>
              <w:spacing w:after="40"/>
              <w:jc w:val="left"/>
            </w:pPr>
            <w:r>
              <w:rPr>
                <w:sz w:val="18"/>
              </w:rPr>
              <w:t xml:space="preserve">My committees; Packs not acknowledged</w:t>
            </w:r>
          </w:p>
        </w:tc>
      </w:tr>
      <w:tr>
        <w:tc>
          <w:tcPr>
            <w:tcW w:w="1818" w:type="dxa"/>
          </w:tcPr>
          <w:p>
            <w:pPr>
              <w:pStyle w:val="Compact"/>
              <w:spacing w:after="40"/>
              <w:jc w:val="left"/>
            </w:pPr>
            <w:r>
              <w:rPr>
                <w:sz w:val="18"/>
              </w:rPr>
              <w:t xml:space="preserve">Branch manager</w:t>
            </w:r>
          </w:p>
        </w:tc>
        <w:tc>
          <w:tcPr>
            <w:tcW w:w="1381" w:type="dxa"/>
          </w:tcPr>
          <w:p>
            <w:pPr>
              <w:pStyle w:val="Compact"/>
              <w:spacing w:after="40"/>
              <w:jc w:val="left"/>
            </w:pPr>
            <w:r>
              <w:rPr>
                <w:sz w:val="18"/>
              </w:rPr>
              <w:t xml:space="preserve">A</w:t>
            </w:r>
          </w:p>
        </w:tc>
        <w:tc>
          <w:tcPr>
            <w:tcW w:w="3890" w:type="dxa"/>
          </w:tcPr>
          <w:p>
            <w:pPr>
              <w:pStyle w:val="Compact"/>
              <w:spacing w:after="40"/>
              <w:jc w:val="left"/>
            </w:pPr>
            <w:r>
              <w:rPr>
                <w:sz w:val="18"/>
              </w:rPr>
              <w:t xml:space="preserve">Funnel and TAT; applications awaiting documents; disbursements today; collection efficiency; complaints; cash and vault</w:t>
            </w:r>
          </w:p>
        </w:tc>
        <w:tc>
          <w:tcPr>
            <w:tcW w:w="2549" w:type="dxa"/>
          </w:tcPr>
          <w:p>
            <w:pPr>
              <w:pStyle w:val="Compact"/>
              <w:spacing w:after="40"/>
              <w:jc w:val="left"/>
            </w:pPr>
            <w:r>
              <w:rPr>
                <w:sz w:val="18"/>
              </w:rPr>
              <w:t xml:space="preserve">My branch today; Applications stuck over 3 days</w:t>
            </w:r>
          </w:p>
        </w:tc>
      </w:tr>
      <w:tr>
        <w:tc>
          <w:tcPr>
            <w:tcW w:w="1818" w:type="dxa"/>
          </w:tcPr>
          <w:p>
            <w:pPr>
              <w:pStyle w:val="Compact"/>
              <w:spacing w:after="40"/>
              <w:jc w:val="left"/>
            </w:pPr>
            <w:r>
              <w:rPr>
                <w:sz w:val="18"/>
              </w:rPr>
              <w:t xml:space="preserve">Credit officer</w:t>
            </w:r>
          </w:p>
        </w:tc>
        <w:tc>
          <w:tcPr>
            <w:tcW w:w="1381" w:type="dxa"/>
          </w:tcPr>
          <w:p>
            <w:pPr>
              <w:pStyle w:val="Compact"/>
              <w:spacing w:after="40"/>
              <w:jc w:val="left"/>
            </w:pPr>
            <w:r>
              <w:rPr>
                <w:sz w:val="18"/>
              </w:rPr>
              <w:t xml:space="preserve">C</w:t>
            </w:r>
          </w:p>
        </w:tc>
        <w:tc>
          <w:tcPr>
            <w:tcW w:w="3890" w:type="dxa"/>
          </w:tcPr>
          <w:p>
            <w:pPr>
              <w:pStyle w:val="Compact"/>
              <w:spacing w:after="40"/>
              <w:jc w:val="left"/>
            </w:pPr>
            <w:r>
              <w:rPr>
                <w:sz w:val="18"/>
              </w:rPr>
              <w:t xml:space="preserve">My queue with SLA; verifications pending; deviations to justify; KFS validity expiring</w:t>
            </w:r>
          </w:p>
        </w:tc>
        <w:tc>
          <w:tcPr>
            <w:tcW w:w="2549" w:type="dxa"/>
          </w:tcPr>
          <w:p>
            <w:pPr>
              <w:pStyle w:val="Compact"/>
              <w:spacing w:after="40"/>
              <w:jc w:val="left"/>
            </w:pPr>
            <w:r>
              <w:rPr>
                <w:sz w:val="18"/>
              </w:rPr>
              <w:t xml:space="preserve">Assigned to me; Returned by approver</w:t>
            </w:r>
          </w:p>
        </w:tc>
      </w:tr>
      <w:tr>
        <w:tc>
          <w:tcPr>
            <w:tcW w:w="1818" w:type="dxa"/>
          </w:tcPr>
          <w:p>
            <w:pPr>
              <w:pStyle w:val="Compact"/>
              <w:spacing w:after="40"/>
              <w:jc w:val="left"/>
            </w:pPr>
            <w:r>
              <w:rPr>
                <w:sz w:val="18"/>
              </w:rPr>
              <w:t xml:space="preserve">Collections agent</w:t>
            </w:r>
          </w:p>
        </w:tc>
        <w:tc>
          <w:tcPr>
            <w:tcW w:w="1381" w:type="dxa"/>
          </w:tcPr>
          <w:p>
            <w:pPr>
              <w:pStyle w:val="Compact"/>
              <w:spacing w:after="40"/>
              <w:jc w:val="left"/>
            </w:pPr>
            <w:r>
              <w:rPr>
                <w:sz w:val="18"/>
              </w:rPr>
              <w:t xml:space="preserve">G</w:t>
            </w:r>
          </w:p>
        </w:tc>
        <w:tc>
          <w:tcPr>
            <w:tcW w:w="3890" w:type="dxa"/>
          </w:tcPr>
          <w:p>
            <w:pPr>
              <w:pStyle w:val="Compact"/>
              <w:spacing w:after="40"/>
              <w:jc w:val="left"/>
            </w:pPr>
            <w:r>
              <w:rPr>
                <w:sz w:val="18"/>
              </w:rPr>
              <w:t xml:space="preserve">Allocation by bucket; PTP due today; callable now (contact policy); broken PTPs</w:t>
            </w:r>
          </w:p>
        </w:tc>
        <w:tc>
          <w:tcPr>
            <w:tcW w:w="2549" w:type="dxa"/>
          </w:tcPr>
          <w:p>
            <w:pPr>
              <w:pStyle w:val="Compact"/>
              <w:spacing w:after="40"/>
              <w:jc w:val="left"/>
            </w:pPr>
            <w:r>
              <w:rPr>
                <w:sz w:val="18"/>
              </w:rPr>
              <w:t xml:space="preserve">Callable now; PTP due today</w:t>
            </w:r>
          </w:p>
        </w:tc>
      </w:tr>
      <w:tr>
        <w:tc>
          <w:tcPr>
            <w:tcW w:w="1818" w:type="dxa"/>
          </w:tcPr>
          <w:p>
            <w:pPr>
              <w:pStyle w:val="Compact"/>
              <w:spacing w:after="40"/>
              <w:jc w:val="left"/>
            </w:pPr>
            <w:r>
              <w:rPr>
                <w:sz w:val="18"/>
              </w:rPr>
              <w:t xml:space="preserve">Field officer</w:t>
            </w:r>
          </w:p>
        </w:tc>
        <w:tc>
          <w:tcPr>
            <w:tcW w:w="1381" w:type="dxa"/>
          </w:tcPr>
          <w:p>
            <w:pPr>
              <w:pStyle w:val="Compact"/>
              <w:spacing w:after="40"/>
              <w:jc w:val="left"/>
            </w:pPr>
            <w:r>
              <w:rPr>
                <w:sz w:val="18"/>
              </w:rPr>
              <w:t xml:space="preserve">P</w:t>
            </w:r>
          </w:p>
        </w:tc>
        <w:tc>
          <w:tcPr>
            <w:tcW w:w="3890" w:type="dxa"/>
          </w:tcPr>
          <w:p>
            <w:pPr>
              <w:pStyle w:val="Compact"/>
              <w:spacing w:after="40"/>
              <w:jc w:val="left"/>
            </w:pPr>
            <w:r>
              <w:rPr>
                <w:sz w:val="18"/>
              </w:rPr>
              <w:t xml:space="preserve">Today’s route and meetings; unsynced items; cash against limit; deposit deadline</w:t>
            </w:r>
          </w:p>
        </w:tc>
        <w:tc>
          <w:tcPr>
            <w:tcW w:w="2549" w:type="dxa"/>
          </w:tcPr>
          <w:p>
            <w:pPr>
              <w:pStyle w:val="Compact"/>
              <w:spacing w:after="40"/>
              <w:jc w:val="left"/>
            </w:pPr>
            <w:r>
              <w:rPr>
                <w:sz w:val="18"/>
              </w:rPr>
              <w:t xml:space="preserve">Today; Not synced</w:t>
            </w:r>
          </w:p>
        </w:tc>
      </w:tr>
      <w:tr>
        <w:tc>
          <w:tcPr>
            <w:tcW w:w="1818" w:type="dxa"/>
          </w:tcPr>
          <w:p>
            <w:pPr>
              <w:pStyle w:val="Compact"/>
              <w:spacing w:after="40"/>
              <w:jc w:val="left"/>
            </w:pPr>
            <w:r>
              <w:rPr>
                <w:sz w:val="18"/>
              </w:rPr>
              <w:t xml:space="preserve">Treasury dealer</w:t>
            </w:r>
          </w:p>
        </w:tc>
        <w:tc>
          <w:tcPr>
            <w:tcW w:w="1381" w:type="dxa"/>
          </w:tcPr>
          <w:p>
            <w:pPr>
              <w:pStyle w:val="Compact"/>
              <w:spacing w:after="40"/>
              <w:jc w:val="left"/>
            </w:pPr>
            <w:r>
              <w:rPr>
                <w:sz w:val="18"/>
              </w:rPr>
              <w:t xml:space="preserve">U</w:t>
            </w:r>
          </w:p>
        </w:tc>
        <w:tc>
          <w:tcPr>
            <w:tcW w:w="3890" w:type="dxa"/>
          </w:tcPr>
          <w:p>
            <w:pPr>
              <w:pStyle w:val="Compact"/>
              <w:spacing w:after="40"/>
              <w:jc w:val="left"/>
            </w:pPr>
            <w:r>
              <w:rPr>
                <w:sz w:val="18"/>
              </w:rPr>
              <w:t xml:space="preserve">Own orders by state; pre-trade and restricted-list failures; limit headroom; liquidity desk</w:t>
            </w:r>
          </w:p>
        </w:tc>
        <w:tc>
          <w:tcPr>
            <w:tcW w:w="2549" w:type="dxa"/>
          </w:tcPr>
          <w:p>
            <w:pPr>
              <w:pStyle w:val="Compact"/>
              <w:spacing w:after="40"/>
              <w:jc w:val="left"/>
            </w:pPr>
            <w:r>
              <w:rPr>
                <w:sz w:val="18"/>
              </w:rPr>
              <w:t xml:space="preserve">My open orders; Contract notes to match</w:t>
            </w:r>
          </w:p>
        </w:tc>
      </w:tr>
      <w:tr>
        <w:tc>
          <w:tcPr>
            <w:tcW w:w="1818" w:type="dxa"/>
          </w:tcPr>
          <w:p>
            <w:pPr>
              <w:pStyle w:val="Compact"/>
              <w:spacing w:after="40"/>
              <w:jc w:val="left"/>
            </w:pPr>
            <w:r>
              <w:rPr>
                <w:sz w:val="18"/>
              </w:rPr>
              <w:t xml:space="preserve">HR</w:t>
            </w:r>
          </w:p>
        </w:tc>
        <w:tc>
          <w:tcPr>
            <w:tcW w:w="1381" w:type="dxa"/>
          </w:tcPr>
          <w:p>
            <w:pPr>
              <w:pStyle w:val="Compact"/>
              <w:spacing w:after="40"/>
              <w:jc w:val="left"/>
            </w:pPr>
            <w:r>
              <w:rPr>
                <w:sz w:val="18"/>
              </w:rPr>
              <w:t xml:space="preserve">T</w:t>
            </w:r>
          </w:p>
        </w:tc>
        <w:tc>
          <w:tcPr>
            <w:tcW w:w="3890" w:type="dxa"/>
          </w:tcPr>
          <w:p>
            <w:pPr>
              <w:pStyle w:val="Compact"/>
              <w:spacing w:after="40"/>
              <w:jc w:val="left"/>
            </w:pPr>
            <w:r>
              <w:rPr>
                <w:sz w:val="18"/>
              </w:rPr>
              <w:t xml:space="preserve">Joiners and leavers; final-wage clocks; payroll run state; attendance exceptions</w:t>
            </w:r>
          </w:p>
        </w:tc>
        <w:tc>
          <w:tcPr>
            <w:tcW w:w="2549" w:type="dxa"/>
          </w:tcPr>
          <w:p>
            <w:pPr>
              <w:pStyle w:val="Compact"/>
              <w:spacing w:after="40"/>
              <w:jc w:val="left"/>
            </w:pPr>
            <w:r>
              <w:rPr>
                <w:sz w:val="18"/>
              </w:rPr>
              <w:t xml:space="preserve">Exits with final wages due; Payroll variances</w:t>
            </w:r>
          </w:p>
        </w:tc>
      </w:tr>
      <w:tr>
        <w:tc>
          <w:tcPr>
            <w:tcW w:w="1818" w:type="dxa"/>
          </w:tcPr>
          <w:p>
            <w:pPr>
              <w:pStyle w:val="Compact"/>
              <w:spacing w:after="40"/>
              <w:jc w:val="left"/>
            </w:pPr>
            <w:r>
              <w:rPr>
                <w:sz w:val="18"/>
              </w:rPr>
              <w:t xml:space="preserve">External auditor</w:t>
            </w:r>
          </w:p>
        </w:tc>
        <w:tc>
          <w:tcPr>
            <w:tcW w:w="1381" w:type="dxa"/>
          </w:tcPr>
          <w:p>
            <w:pPr>
              <w:pStyle w:val="Compact"/>
              <w:spacing w:after="40"/>
              <w:jc w:val="left"/>
            </w:pPr>
            <w:r>
              <w:rPr>
                <w:sz w:val="18"/>
              </w:rPr>
              <w:t xml:space="preserve">V</w:t>
            </w:r>
          </w:p>
        </w:tc>
        <w:tc>
          <w:tcPr>
            <w:tcW w:w="3890" w:type="dxa"/>
          </w:tcPr>
          <w:p>
            <w:pPr>
              <w:pStyle w:val="Compact"/>
              <w:spacing w:after="40"/>
              <w:jc w:val="left"/>
            </w:pPr>
            <w:r>
              <w:rPr>
                <w:sz w:val="18"/>
              </w:rPr>
              <w:t xml:space="preserve">Grant scope and expiry; PBC status; open requests; recent exports</w:t>
            </w:r>
          </w:p>
        </w:tc>
        <w:tc>
          <w:tcPr>
            <w:tcW w:w="2549" w:type="dxa"/>
          </w:tcPr>
          <w:p>
            <w:pPr>
              <w:pStyle w:val="Compact"/>
              <w:spacing w:after="40"/>
              <w:jc w:val="left"/>
            </w:pPr>
            <w:r>
              <w:rPr>
                <w:sz w:val="18"/>
              </w:rPr>
              <w:t xml:space="preserve">Open requests; PBC overdue</w:t>
            </w:r>
          </w:p>
        </w:tc>
      </w:tr>
      <w:tr>
        <w:tc>
          <w:tcPr>
            <w:tcW w:w="1818" w:type="dxa"/>
          </w:tcPr>
          <w:p>
            <w:pPr>
              <w:pStyle w:val="Compact"/>
              <w:spacing w:after="40"/>
              <w:jc w:val="left"/>
            </w:pPr>
            <w:r>
              <w:rPr>
                <w:sz w:val="18"/>
              </w:rPr>
              <w:t xml:space="preserve">RBI supervisor (read-only)</w:t>
            </w:r>
          </w:p>
        </w:tc>
        <w:tc>
          <w:tcPr>
            <w:tcW w:w="1381" w:type="dxa"/>
          </w:tcPr>
          <w:p>
            <w:pPr>
              <w:pStyle w:val="Compact"/>
              <w:spacing w:after="40"/>
              <w:jc w:val="left"/>
            </w:pPr>
            <w:r>
              <w:rPr>
                <w:sz w:val="18"/>
              </w:rPr>
              <w:t xml:space="preserve">W</w:t>
            </w:r>
          </w:p>
        </w:tc>
        <w:tc>
          <w:tcPr>
            <w:tcW w:w="3890" w:type="dxa"/>
          </w:tcPr>
          <w:p>
            <w:pPr>
              <w:pStyle w:val="Compact"/>
              <w:spacing w:after="40"/>
              <w:jc w:val="left"/>
            </w:pPr>
            <w:r>
              <w:rPr>
                <w:sz w:val="18"/>
              </w:rPr>
              <w:t xml:space="preserve">Grant expiry; returns with lineage; evidence packs; request register</w:t>
            </w:r>
          </w:p>
        </w:tc>
        <w:tc>
          <w:tcPr>
            <w:tcW w:w="2549" w:type="dxa"/>
          </w:tcPr>
          <w:p>
            <w:pPr>
              <w:pStyle w:val="Compact"/>
              <w:spacing w:after="40"/>
              <w:jc w:val="left"/>
            </w:pPr>
            <w:r>
              <w:rPr>
                <w:sz w:val="18"/>
              </w:rPr>
              <w:t xml:space="preserve">Requests open; Returns filed this period</w:t>
            </w:r>
          </w:p>
        </w:tc>
      </w:tr>
    </w:tbl>
    <w:bookmarkEnd w:id="930"/>
    <w:bookmarkStart w:id="931" w:name="g.5-role-visibility-matrix"/>
    <w:p>
      <w:pPr>
        <w:pStyle w:val="Heading2"/>
      </w:pPr>
      <w:r>
        <w:t xml:space="preserve">G.5 Role visibility matrix</w:t>
      </w:r>
    </w:p>
    <w:p>
      <w:pPr>
        <w:pStyle w:val="FirstParagraph"/>
      </w:pPr>
      <w:r>
        <w:t xml:space="preserve">Default access of each workspace’s primary roles.</w:t>
      </w:r>
      <w:r>
        <w:t xml:space="preserve"> </w:t>
      </w:r>
      <w:r>
        <w:rPr>
          <w:bCs/>
          <w:b/>
        </w:rPr>
        <w:t xml:space="preserve">F</w:t>
      </w:r>
      <w:r>
        <w:t xml:space="preserve"> </w:t>
      </w:r>
      <w:r>
        <w:t xml:space="preserve">full (act, including approval within DoA);</w:t>
      </w:r>
      <w:r>
        <w:t xml:space="preserve"> </w:t>
      </w:r>
      <w:r>
        <w:rPr>
          <w:bCs/>
          <w:b/>
        </w:rPr>
        <w:t xml:space="preserve">A</w:t>
      </w:r>
      <w:r>
        <w:t xml:space="preserve"> </w:t>
      </w:r>
      <w:r>
        <w:t xml:space="preserve">read and approve;</w:t>
      </w:r>
      <w:r>
        <w:t xml:space="preserve"> </w:t>
      </w:r>
      <w:r>
        <w:rPr>
          <w:bCs/>
          <w:b/>
        </w:rPr>
        <w:t xml:space="preserve">S</w:t>
      </w:r>
      <w:r>
        <w:t xml:space="preserve"> </w:t>
      </w:r>
      <w:r>
        <w:t xml:space="preserve">scoped to own or assigned items;</w:t>
      </w:r>
      <w:r>
        <w:t xml:space="preserve"> </w:t>
      </w:r>
      <w:r>
        <w:rPr>
          <w:bCs/>
          <w:b/>
        </w:rPr>
        <w:t xml:space="preserve">R</w:t>
      </w:r>
      <w:r>
        <w:t xml:space="preserve"> </w:t>
      </w:r>
      <w:r>
        <w:t xml:space="preserve">read;</w:t>
      </w:r>
      <w:r>
        <w:t xml:space="preserve"> </w:t>
      </w:r>
      <w:r>
        <w:rPr>
          <w:bCs/>
          <w:b/>
        </w:rPr>
        <w:t xml:space="preserve">N</w:t>
      </w:r>
      <w:r>
        <w:t xml:space="preserve"> </w:t>
      </w:r>
      <w:r>
        <w:t xml:space="preserve">none. Effective access = permission ∩ entitlement ∩ profile ∩ ABAC. V and W act only within their grant, through their landing rooms; O sees no tenant data.</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40"/>
        <w:gridCol w:w="399"/>
        <w:gridCol w:w="399"/>
        <w:gridCol w:w="399"/>
        <w:gridCol w:w="399"/>
        <w:gridCol w:w="399"/>
        <w:gridCol w:w="399"/>
        <w:gridCol w:w="399"/>
        <w:gridCol w:w="399"/>
        <w:gridCol w:w="399"/>
        <w:gridCol w:w="399"/>
        <w:gridCol w:w="399"/>
        <w:gridCol w:w="399"/>
        <w:gridCol w:w="399"/>
        <w:gridCol w:w="399"/>
        <w:gridCol w:w="399"/>
        <w:gridCol w:w="399"/>
        <w:gridCol w:w="399"/>
        <w:gridCol w:w="399"/>
        <w:gridCol w:w="399"/>
        <w:gridCol w:w="399"/>
        <w:gridCol w:w="399"/>
        <w:gridCol w:w="399"/>
        <w:gridCol w:w="420"/>
      </w:tblGrid>
      <w:tr>
        <w:trPr>
          <w:tblHeader w:val="true"/>
          <w:tblHeader w:val="true"/>
        </w:trPr>
        <w:tc>
          <w:tcPr>
            <w:tcW w:w="440" w:type="dxa"/>
            <w:shd w:val="clear" w:color="auto" w:fill="1F3A5F"/>
          </w:tcPr>
          <w:p>
            <w:pPr>
              <w:pStyle w:val="Compact"/>
              <w:spacing w:after="40"/>
              <w:jc w:val="left"/>
            </w:pPr>
            <w:r>
              <w:rPr>
                <w:b/>
                <w:color w:val="FFFFFF"/>
                <w:sz w:val="18"/>
              </w:rPr>
              <w:t xml:space="preserve">Menu</w:t>
            </w:r>
          </w:p>
        </w:tc>
        <w:tc>
          <w:tcPr>
            <w:tcW w:w="399" w:type="dxa"/>
            <w:shd w:val="clear" w:color="auto" w:fill="1F3A5F"/>
          </w:tcPr>
          <w:p>
            <w:pPr>
              <w:pStyle w:val="Compact"/>
              <w:spacing w:after="40"/>
              <w:jc w:val="left"/>
            </w:pPr>
            <w:r>
              <w:rPr>
                <w:b/>
                <w:color w:val="FFFFFF"/>
                <w:sz w:val="18"/>
              </w:rPr>
              <w:t xml:space="preserve">A</w:t>
            </w:r>
          </w:p>
        </w:tc>
        <w:tc>
          <w:tcPr>
            <w:tcW w:w="399" w:type="dxa"/>
            <w:shd w:val="clear" w:color="auto" w:fill="1F3A5F"/>
          </w:tcPr>
          <w:p>
            <w:pPr>
              <w:pStyle w:val="Compact"/>
              <w:spacing w:after="40"/>
              <w:jc w:val="left"/>
            </w:pPr>
            <w:r>
              <w:rPr>
                <w:b/>
                <w:color w:val="FFFFFF"/>
                <w:sz w:val="18"/>
              </w:rPr>
              <w:t xml:space="preserve">B</w:t>
            </w:r>
          </w:p>
        </w:tc>
        <w:tc>
          <w:tcPr>
            <w:tcW w:w="399" w:type="dxa"/>
            <w:shd w:val="clear" w:color="auto" w:fill="1F3A5F"/>
          </w:tcPr>
          <w:p>
            <w:pPr>
              <w:pStyle w:val="Compact"/>
              <w:spacing w:after="40"/>
              <w:jc w:val="left"/>
            </w:pPr>
            <w:r>
              <w:rPr>
                <w:b/>
                <w:color w:val="FFFFFF"/>
                <w:sz w:val="18"/>
              </w:rPr>
              <w:t xml:space="preserve">C</w:t>
            </w:r>
          </w:p>
        </w:tc>
        <w:tc>
          <w:tcPr>
            <w:tcW w:w="399" w:type="dxa"/>
            <w:shd w:val="clear" w:color="auto" w:fill="1F3A5F"/>
          </w:tcPr>
          <w:p>
            <w:pPr>
              <w:pStyle w:val="Compact"/>
              <w:spacing w:after="40"/>
              <w:jc w:val="left"/>
            </w:pPr>
            <w:r>
              <w:rPr>
                <w:b/>
                <w:color w:val="FFFFFF"/>
                <w:sz w:val="18"/>
              </w:rPr>
              <w:t xml:space="preserve">D</w:t>
            </w:r>
          </w:p>
        </w:tc>
        <w:tc>
          <w:tcPr>
            <w:tcW w:w="399" w:type="dxa"/>
            <w:shd w:val="clear" w:color="auto" w:fill="1F3A5F"/>
          </w:tcPr>
          <w:p>
            <w:pPr>
              <w:pStyle w:val="Compact"/>
              <w:spacing w:after="40"/>
              <w:jc w:val="left"/>
            </w:pPr>
            <w:r>
              <w:rPr>
                <w:b/>
                <w:color w:val="FFFFFF"/>
                <w:sz w:val="18"/>
              </w:rPr>
              <w:t xml:space="preserve">E</w:t>
            </w:r>
          </w:p>
        </w:tc>
        <w:tc>
          <w:tcPr>
            <w:tcW w:w="399" w:type="dxa"/>
            <w:shd w:val="clear" w:color="auto" w:fill="1F3A5F"/>
          </w:tcPr>
          <w:p>
            <w:pPr>
              <w:pStyle w:val="Compact"/>
              <w:spacing w:after="40"/>
              <w:jc w:val="left"/>
            </w:pPr>
            <w:r>
              <w:rPr>
                <w:b/>
                <w:color w:val="FFFFFF"/>
                <w:sz w:val="18"/>
              </w:rPr>
              <w:t xml:space="preserve">F</w:t>
            </w:r>
          </w:p>
        </w:tc>
        <w:tc>
          <w:tcPr>
            <w:tcW w:w="399" w:type="dxa"/>
            <w:shd w:val="clear" w:color="auto" w:fill="1F3A5F"/>
          </w:tcPr>
          <w:p>
            <w:pPr>
              <w:pStyle w:val="Compact"/>
              <w:spacing w:after="40"/>
              <w:jc w:val="left"/>
            </w:pPr>
            <w:r>
              <w:rPr>
                <w:b/>
                <w:color w:val="FFFFFF"/>
                <w:sz w:val="18"/>
              </w:rPr>
              <w:t xml:space="preserve">G</w:t>
            </w:r>
          </w:p>
        </w:tc>
        <w:tc>
          <w:tcPr>
            <w:tcW w:w="399" w:type="dxa"/>
            <w:shd w:val="clear" w:color="auto" w:fill="1F3A5F"/>
          </w:tcPr>
          <w:p>
            <w:pPr>
              <w:pStyle w:val="Compact"/>
              <w:spacing w:after="40"/>
              <w:jc w:val="left"/>
            </w:pPr>
            <w:r>
              <w:rPr>
                <w:b/>
                <w:color w:val="FFFFFF"/>
                <w:sz w:val="18"/>
              </w:rPr>
              <w:t xml:space="preserve">H</w:t>
            </w:r>
          </w:p>
        </w:tc>
        <w:tc>
          <w:tcPr>
            <w:tcW w:w="399" w:type="dxa"/>
            <w:shd w:val="clear" w:color="auto" w:fill="1F3A5F"/>
          </w:tcPr>
          <w:p>
            <w:pPr>
              <w:pStyle w:val="Compact"/>
              <w:spacing w:after="40"/>
              <w:jc w:val="left"/>
            </w:pPr>
            <w:r>
              <w:rPr>
                <w:b/>
                <w:color w:val="FFFFFF"/>
                <w:sz w:val="18"/>
              </w:rPr>
              <w:t xml:space="preserve">I</w:t>
            </w:r>
          </w:p>
        </w:tc>
        <w:tc>
          <w:tcPr>
            <w:tcW w:w="399" w:type="dxa"/>
            <w:shd w:val="clear" w:color="auto" w:fill="1F3A5F"/>
          </w:tcPr>
          <w:p>
            <w:pPr>
              <w:pStyle w:val="Compact"/>
              <w:spacing w:after="40"/>
              <w:jc w:val="left"/>
            </w:pPr>
            <w:r>
              <w:rPr>
                <w:b/>
                <w:color w:val="FFFFFF"/>
                <w:sz w:val="18"/>
              </w:rPr>
              <w:t xml:space="preserve">J</w:t>
            </w:r>
          </w:p>
        </w:tc>
        <w:tc>
          <w:tcPr>
            <w:tcW w:w="399" w:type="dxa"/>
            <w:shd w:val="clear" w:color="auto" w:fill="1F3A5F"/>
          </w:tcPr>
          <w:p>
            <w:pPr>
              <w:pStyle w:val="Compact"/>
              <w:spacing w:after="40"/>
              <w:jc w:val="left"/>
            </w:pPr>
            <w:r>
              <w:rPr>
                <w:b/>
                <w:color w:val="FFFFFF"/>
                <w:sz w:val="18"/>
              </w:rPr>
              <w:t xml:space="preserve">K</w:t>
            </w:r>
          </w:p>
        </w:tc>
        <w:tc>
          <w:tcPr>
            <w:tcW w:w="399" w:type="dxa"/>
            <w:shd w:val="clear" w:color="auto" w:fill="1F3A5F"/>
          </w:tcPr>
          <w:p>
            <w:pPr>
              <w:pStyle w:val="Compact"/>
              <w:spacing w:after="40"/>
              <w:jc w:val="left"/>
            </w:pPr>
            <w:r>
              <w:rPr>
                <w:b/>
                <w:color w:val="FFFFFF"/>
                <w:sz w:val="18"/>
              </w:rPr>
              <w:t xml:space="preserve">L</w:t>
            </w:r>
          </w:p>
        </w:tc>
        <w:tc>
          <w:tcPr>
            <w:tcW w:w="399" w:type="dxa"/>
            <w:shd w:val="clear" w:color="auto" w:fill="1F3A5F"/>
          </w:tcPr>
          <w:p>
            <w:pPr>
              <w:pStyle w:val="Compact"/>
              <w:spacing w:after="40"/>
              <w:jc w:val="left"/>
            </w:pPr>
            <w:r>
              <w:rPr>
                <w:b/>
                <w:color w:val="FFFFFF"/>
                <w:sz w:val="18"/>
              </w:rPr>
              <w:t xml:space="preserve">M</w:t>
            </w:r>
          </w:p>
        </w:tc>
        <w:tc>
          <w:tcPr>
            <w:tcW w:w="399" w:type="dxa"/>
            <w:shd w:val="clear" w:color="auto" w:fill="1F3A5F"/>
          </w:tcPr>
          <w:p>
            <w:pPr>
              <w:pStyle w:val="Compact"/>
              <w:spacing w:after="40"/>
              <w:jc w:val="left"/>
            </w:pPr>
            <w:r>
              <w:rPr>
                <w:b/>
                <w:color w:val="FFFFFF"/>
                <w:sz w:val="18"/>
              </w:rPr>
              <w:t xml:space="preserve">N</w:t>
            </w:r>
          </w:p>
        </w:tc>
        <w:tc>
          <w:tcPr>
            <w:tcW w:w="399" w:type="dxa"/>
            <w:shd w:val="clear" w:color="auto" w:fill="1F3A5F"/>
          </w:tcPr>
          <w:p>
            <w:pPr>
              <w:pStyle w:val="Compact"/>
              <w:spacing w:after="40"/>
              <w:jc w:val="left"/>
            </w:pPr>
            <w:r>
              <w:rPr>
                <w:b/>
                <w:color w:val="FFFFFF"/>
                <w:sz w:val="18"/>
              </w:rPr>
              <w:t xml:space="preserve">O</w:t>
            </w:r>
          </w:p>
        </w:tc>
        <w:tc>
          <w:tcPr>
            <w:tcW w:w="399" w:type="dxa"/>
            <w:shd w:val="clear" w:color="auto" w:fill="1F3A5F"/>
          </w:tcPr>
          <w:p>
            <w:pPr>
              <w:pStyle w:val="Compact"/>
              <w:spacing w:after="40"/>
              <w:jc w:val="left"/>
            </w:pPr>
            <w:r>
              <w:rPr>
                <w:b/>
                <w:color w:val="FFFFFF"/>
                <w:sz w:val="18"/>
              </w:rPr>
              <w:t xml:space="preserve">P</w:t>
            </w:r>
          </w:p>
        </w:tc>
        <w:tc>
          <w:tcPr>
            <w:tcW w:w="399" w:type="dxa"/>
            <w:shd w:val="clear" w:color="auto" w:fill="1F3A5F"/>
          </w:tcPr>
          <w:p>
            <w:pPr>
              <w:pStyle w:val="Compact"/>
              <w:spacing w:after="40"/>
              <w:jc w:val="left"/>
            </w:pPr>
            <w:r>
              <w:rPr>
                <w:b/>
                <w:color w:val="FFFFFF"/>
                <w:sz w:val="18"/>
              </w:rPr>
              <w:t xml:space="preserve">Q</w:t>
            </w:r>
          </w:p>
        </w:tc>
        <w:tc>
          <w:tcPr>
            <w:tcW w:w="399" w:type="dxa"/>
            <w:shd w:val="clear" w:color="auto" w:fill="1F3A5F"/>
          </w:tcPr>
          <w:p>
            <w:pPr>
              <w:pStyle w:val="Compact"/>
              <w:spacing w:after="40"/>
              <w:jc w:val="left"/>
            </w:pPr>
            <w:r>
              <w:rPr>
                <w:b/>
                <w:color w:val="FFFFFF"/>
                <w:sz w:val="18"/>
              </w:rPr>
              <w:t xml:space="preserve">R</w:t>
            </w:r>
          </w:p>
        </w:tc>
        <w:tc>
          <w:tcPr>
            <w:tcW w:w="399" w:type="dxa"/>
            <w:shd w:val="clear" w:color="auto" w:fill="1F3A5F"/>
          </w:tcPr>
          <w:p>
            <w:pPr>
              <w:pStyle w:val="Compact"/>
              <w:spacing w:after="40"/>
              <w:jc w:val="left"/>
            </w:pPr>
            <w:r>
              <w:rPr>
                <w:b/>
                <w:color w:val="FFFFFF"/>
                <w:sz w:val="18"/>
              </w:rPr>
              <w:t xml:space="preserve">S</w:t>
            </w:r>
          </w:p>
        </w:tc>
        <w:tc>
          <w:tcPr>
            <w:tcW w:w="399" w:type="dxa"/>
            <w:shd w:val="clear" w:color="auto" w:fill="1F3A5F"/>
          </w:tcPr>
          <w:p>
            <w:pPr>
              <w:pStyle w:val="Compact"/>
              <w:spacing w:after="40"/>
              <w:jc w:val="left"/>
            </w:pPr>
            <w:r>
              <w:rPr>
                <w:b/>
                <w:color w:val="FFFFFF"/>
                <w:sz w:val="18"/>
              </w:rPr>
              <w:t xml:space="preserve">T</w:t>
            </w:r>
          </w:p>
        </w:tc>
        <w:tc>
          <w:tcPr>
            <w:tcW w:w="399" w:type="dxa"/>
            <w:shd w:val="clear" w:color="auto" w:fill="1F3A5F"/>
          </w:tcPr>
          <w:p>
            <w:pPr>
              <w:pStyle w:val="Compact"/>
              <w:spacing w:after="40"/>
              <w:jc w:val="left"/>
            </w:pPr>
            <w:r>
              <w:rPr>
                <w:b/>
                <w:color w:val="FFFFFF"/>
                <w:sz w:val="18"/>
              </w:rPr>
              <w:t xml:space="preserve">U</w:t>
            </w:r>
          </w:p>
        </w:tc>
        <w:tc>
          <w:tcPr>
            <w:tcW w:w="399" w:type="dxa"/>
            <w:shd w:val="clear" w:color="auto" w:fill="1F3A5F"/>
          </w:tcPr>
          <w:p>
            <w:pPr>
              <w:pStyle w:val="Compact"/>
              <w:spacing w:after="40"/>
              <w:jc w:val="left"/>
            </w:pPr>
            <w:r>
              <w:rPr>
                <w:b/>
                <w:color w:val="FFFFFF"/>
                <w:sz w:val="18"/>
              </w:rPr>
              <w:t xml:space="preserve">V</w:t>
            </w:r>
          </w:p>
        </w:tc>
        <w:tc>
          <w:tcPr>
            <w:tcW w:w="420" w:type="dxa"/>
            <w:shd w:val="clear" w:color="auto" w:fill="1F3A5F"/>
          </w:tcPr>
          <w:p>
            <w:pPr>
              <w:pStyle w:val="Compact"/>
              <w:spacing w:after="40"/>
              <w:jc w:val="left"/>
            </w:pPr>
            <w:r>
              <w:rPr>
                <w:b/>
                <w:color w:val="FFFFFF"/>
                <w:sz w:val="18"/>
              </w:rPr>
              <w:t xml:space="preserve">W</w:t>
            </w:r>
          </w:p>
        </w:tc>
      </w:tr>
      <w:tr>
        <w:tc>
          <w:tcPr>
            <w:tcW w:w="440" w:type="dxa"/>
          </w:tcPr>
          <w:p>
            <w:pPr>
              <w:pStyle w:val="Compact"/>
              <w:spacing w:after="40"/>
              <w:jc w:val="left"/>
            </w:pPr>
            <w:r>
              <w:rPr>
                <w:sz w:val="18"/>
              </w:rPr>
              <w:t xml:space="preserve">Home</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420" w:type="dxa"/>
          </w:tcPr>
          <w:p>
            <w:pPr>
              <w:pStyle w:val="Compact"/>
              <w:spacing w:after="40"/>
              <w:jc w:val="left"/>
            </w:pPr>
            <w:r>
              <w:rPr>
                <w:sz w:val="18"/>
              </w:rPr>
              <w:t xml:space="preserve">F</w:t>
            </w:r>
          </w:p>
        </w:tc>
      </w:tr>
      <w:tr>
        <w:tc>
          <w:tcPr>
            <w:tcW w:w="440" w:type="dxa"/>
          </w:tcPr>
          <w:p>
            <w:pPr>
              <w:pStyle w:val="Compact"/>
              <w:spacing w:after="40"/>
              <w:jc w:val="left"/>
            </w:pPr>
            <w:r>
              <w:rPr>
                <w:sz w:val="18"/>
              </w:rPr>
              <w:t xml:space="preserve">Leads</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R</w:t>
            </w:r>
          </w:p>
        </w:tc>
      </w:tr>
      <w:tr>
        <w:tc>
          <w:tcPr>
            <w:tcW w:w="440" w:type="dxa"/>
          </w:tcPr>
          <w:p>
            <w:pPr>
              <w:pStyle w:val="Compact"/>
              <w:spacing w:after="40"/>
              <w:jc w:val="left"/>
            </w:pPr>
            <w:r>
              <w:rPr>
                <w:sz w:val="18"/>
              </w:rPr>
              <w:t xml:space="preserve">Customers</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A</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R</w:t>
            </w:r>
          </w:p>
        </w:tc>
      </w:tr>
      <w:tr>
        <w:tc>
          <w:tcPr>
            <w:tcW w:w="440" w:type="dxa"/>
          </w:tcPr>
          <w:p>
            <w:pPr>
              <w:pStyle w:val="Compact"/>
              <w:spacing w:after="40"/>
              <w:jc w:val="left"/>
            </w:pPr>
            <w:r>
              <w:rPr>
                <w:sz w:val="18"/>
              </w:rPr>
              <w:t xml:space="preserve">Origination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A</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R</w:t>
            </w:r>
          </w:p>
        </w:tc>
      </w:tr>
      <w:tr>
        <w:tc>
          <w:tcPr>
            <w:tcW w:w="440" w:type="dxa"/>
          </w:tcPr>
          <w:p>
            <w:pPr>
              <w:pStyle w:val="Compact"/>
              <w:spacing w:after="40"/>
              <w:jc w:val="left"/>
            </w:pPr>
            <w:r>
              <w:rPr>
                <w:sz w:val="18"/>
              </w:rPr>
              <w:t xml:space="preserve">Loans</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R</w:t>
            </w:r>
          </w:p>
        </w:tc>
      </w:tr>
      <w:tr>
        <w:tc>
          <w:tcPr>
            <w:tcW w:w="440" w:type="dxa"/>
          </w:tcPr>
          <w:p>
            <w:pPr>
              <w:pStyle w:val="Compact"/>
              <w:spacing w:after="40"/>
              <w:jc w:val="left"/>
            </w:pPr>
            <w:r>
              <w:rPr>
                <w:sz w:val="18"/>
              </w:rPr>
              <w:t xml:space="preserve">Collections</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R</w:t>
            </w:r>
          </w:p>
        </w:tc>
      </w:tr>
      <w:tr>
        <w:tc>
          <w:tcPr>
            <w:tcW w:w="440" w:type="dxa"/>
          </w:tcPr>
          <w:p>
            <w:pPr>
              <w:pStyle w:val="Compact"/>
              <w:spacing w:after="40"/>
              <w:jc w:val="left"/>
            </w:pPr>
            <w:r>
              <w:rPr>
                <w:sz w:val="18"/>
              </w:rPr>
              <w:t xml:space="preserve">Recovery</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A</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R</w:t>
            </w:r>
          </w:p>
        </w:tc>
      </w:tr>
      <w:tr>
        <w:tc>
          <w:tcPr>
            <w:tcW w:w="440" w:type="dxa"/>
          </w:tcPr>
          <w:p>
            <w:pPr>
              <w:pStyle w:val="Compact"/>
              <w:spacing w:after="40"/>
              <w:jc w:val="left"/>
            </w:pPr>
            <w:r>
              <w:rPr>
                <w:sz w:val="18"/>
              </w:rPr>
              <w:t xml:space="preserve">Payments</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R</w:t>
            </w:r>
          </w:p>
        </w:tc>
      </w:tr>
      <w:tr>
        <w:tc>
          <w:tcPr>
            <w:tcW w:w="440" w:type="dxa"/>
          </w:tcPr>
          <w:p>
            <w:pPr>
              <w:pStyle w:val="Compact"/>
              <w:spacing w:after="40"/>
              <w:jc w:val="left"/>
            </w:pPr>
            <w:r>
              <w:rPr>
                <w:sz w:val="18"/>
              </w:rPr>
              <w:t xml:space="preserve">Finance</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A</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R</w:t>
            </w:r>
          </w:p>
        </w:tc>
      </w:tr>
      <w:tr>
        <w:tc>
          <w:tcPr>
            <w:tcW w:w="440" w:type="dxa"/>
          </w:tcPr>
          <w:p>
            <w:pPr>
              <w:pStyle w:val="Compact"/>
              <w:spacing w:after="40"/>
              <w:jc w:val="left"/>
            </w:pPr>
            <w:r>
              <w:rPr>
                <w:sz w:val="18"/>
              </w:rPr>
              <w:t xml:space="preserve">Treasury</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A</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R</w:t>
            </w:r>
          </w:p>
        </w:tc>
      </w:tr>
      <w:tr>
        <w:tc>
          <w:tcPr>
            <w:tcW w:w="440" w:type="dxa"/>
          </w:tcPr>
          <w:p>
            <w:pPr>
              <w:pStyle w:val="Compact"/>
              <w:spacing w:after="40"/>
              <w:jc w:val="left"/>
            </w:pPr>
            <w:r>
              <w:rPr>
                <w:sz w:val="18"/>
              </w:rPr>
              <w:t xml:space="preserve">Members</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R</w:t>
            </w:r>
          </w:p>
        </w:tc>
      </w:tr>
      <w:tr>
        <w:tc>
          <w:tcPr>
            <w:tcW w:w="440" w:type="dxa"/>
          </w:tcPr>
          <w:p>
            <w:pPr>
              <w:pStyle w:val="Compact"/>
              <w:spacing w:after="40"/>
              <w:jc w:val="left"/>
            </w:pPr>
            <w:r>
              <w:rPr>
                <w:sz w:val="18"/>
              </w:rPr>
              <w:t xml:space="preserve">Microfinance</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R</w:t>
            </w:r>
          </w:p>
        </w:tc>
      </w:tr>
      <w:tr>
        <w:tc>
          <w:tcPr>
            <w:tcW w:w="440" w:type="dxa"/>
          </w:tcPr>
          <w:p>
            <w:pPr>
              <w:pStyle w:val="Compact"/>
              <w:spacing w:after="40"/>
              <w:jc w:val="left"/>
            </w:pPr>
            <w:r>
              <w:rPr>
                <w:sz w:val="18"/>
              </w:rPr>
              <w:t xml:space="preserve">ARC</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A</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R</w:t>
            </w:r>
          </w:p>
        </w:tc>
      </w:tr>
      <w:tr>
        <w:tc>
          <w:tcPr>
            <w:tcW w:w="440" w:type="dxa"/>
          </w:tcPr>
          <w:p>
            <w:pPr>
              <w:pStyle w:val="Compact"/>
              <w:spacing w:after="40"/>
              <w:jc w:val="left"/>
            </w:pPr>
            <w:r>
              <w:rPr>
                <w:sz w:val="18"/>
              </w:rPr>
              <w:t xml:space="preserve">IFSC</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R</w:t>
            </w:r>
          </w:p>
        </w:tc>
      </w:tr>
      <w:tr>
        <w:tc>
          <w:tcPr>
            <w:tcW w:w="440" w:type="dxa"/>
          </w:tcPr>
          <w:p>
            <w:pPr>
              <w:pStyle w:val="Compact"/>
              <w:spacing w:after="40"/>
              <w:jc w:val="left"/>
            </w:pPr>
            <w:r>
              <w:rPr>
                <w:sz w:val="18"/>
              </w:rPr>
              <w:t xml:space="preserve">Funds</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A</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R</w:t>
            </w:r>
          </w:p>
        </w:tc>
      </w:tr>
      <w:tr>
        <w:tc>
          <w:tcPr>
            <w:tcW w:w="440" w:type="dxa"/>
          </w:tcPr>
          <w:p>
            <w:pPr>
              <w:pStyle w:val="Compact"/>
              <w:spacing w:after="40"/>
              <w:jc w:val="left"/>
            </w:pPr>
            <w:r>
              <w:rPr>
                <w:sz w:val="18"/>
              </w:rPr>
              <w:t xml:space="preserve">Compliance</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A</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R</w:t>
            </w:r>
          </w:p>
        </w:tc>
      </w:tr>
      <w:tr>
        <w:tc>
          <w:tcPr>
            <w:tcW w:w="440" w:type="dxa"/>
          </w:tcPr>
          <w:p>
            <w:pPr>
              <w:pStyle w:val="Compact"/>
              <w:spacing w:after="40"/>
              <w:jc w:val="left"/>
            </w:pPr>
            <w:r>
              <w:rPr>
                <w:sz w:val="18"/>
              </w:rPr>
              <w:t xml:space="preserve">Risk</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A</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R</w:t>
            </w:r>
          </w:p>
        </w:tc>
      </w:tr>
      <w:tr>
        <w:tc>
          <w:tcPr>
            <w:tcW w:w="440" w:type="dxa"/>
          </w:tcPr>
          <w:p>
            <w:pPr>
              <w:pStyle w:val="Compact"/>
              <w:spacing w:after="40"/>
              <w:jc w:val="left"/>
            </w:pPr>
            <w:r>
              <w:rPr>
                <w:sz w:val="18"/>
              </w:rPr>
              <w:t xml:space="preserve">Audit</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A</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420" w:type="dxa"/>
          </w:tcPr>
          <w:p>
            <w:pPr>
              <w:pStyle w:val="Compact"/>
              <w:spacing w:after="40"/>
              <w:jc w:val="left"/>
            </w:pPr>
            <w:r>
              <w:rPr>
                <w:sz w:val="18"/>
              </w:rPr>
              <w:t xml:space="preserve">S</w:t>
            </w:r>
          </w:p>
        </w:tc>
      </w:tr>
      <w:tr>
        <w:tc>
          <w:tcPr>
            <w:tcW w:w="440" w:type="dxa"/>
          </w:tcPr>
          <w:p>
            <w:pPr>
              <w:pStyle w:val="Compact"/>
              <w:spacing w:after="40"/>
              <w:jc w:val="left"/>
            </w:pPr>
            <w:r>
              <w:rPr>
                <w:sz w:val="18"/>
              </w:rPr>
              <w:t xml:space="preserve">Governance</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A</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R</w:t>
            </w:r>
          </w:p>
        </w:tc>
      </w:tr>
      <w:tr>
        <w:tc>
          <w:tcPr>
            <w:tcW w:w="440" w:type="dxa"/>
          </w:tcPr>
          <w:p>
            <w:pPr>
              <w:pStyle w:val="Compact"/>
              <w:spacing w:after="40"/>
              <w:jc w:val="left"/>
            </w:pPr>
            <w:r>
              <w:rPr>
                <w:sz w:val="18"/>
              </w:rPr>
              <w:t xml:space="preserve">HR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A</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N</w:t>
            </w:r>
          </w:p>
        </w:tc>
      </w:tr>
      <w:tr>
        <w:tc>
          <w:tcPr>
            <w:tcW w:w="440" w:type="dxa"/>
          </w:tcPr>
          <w:p>
            <w:pPr>
              <w:pStyle w:val="Compact"/>
              <w:spacing w:after="40"/>
              <w:jc w:val="left"/>
            </w:pPr>
            <w:r>
              <w:rPr>
                <w:sz w:val="18"/>
              </w:rPr>
              <w:t xml:space="preserve">Partners</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R</w:t>
            </w:r>
          </w:p>
        </w:tc>
      </w:tr>
      <w:tr>
        <w:tc>
          <w:tcPr>
            <w:tcW w:w="440" w:type="dxa"/>
          </w:tcPr>
          <w:p>
            <w:pPr>
              <w:pStyle w:val="Compact"/>
              <w:spacing w:after="40"/>
              <w:jc w:val="left"/>
            </w:pPr>
            <w:r>
              <w:rPr>
                <w:sz w:val="18"/>
              </w:rPr>
              <w:t xml:space="preserve">Documents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R</w:t>
            </w:r>
          </w:p>
        </w:tc>
      </w:tr>
      <w:tr>
        <w:tc>
          <w:tcPr>
            <w:tcW w:w="440" w:type="dxa"/>
          </w:tcPr>
          <w:p>
            <w:pPr>
              <w:pStyle w:val="Compact"/>
              <w:spacing w:after="40"/>
              <w:jc w:val="left"/>
            </w:pPr>
            <w:r>
              <w:rPr>
                <w:sz w:val="18"/>
              </w:rPr>
              <w:t xml:space="preserve">Dashboards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R</w:t>
            </w:r>
          </w:p>
        </w:tc>
      </w:tr>
      <w:tr>
        <w:tc>
          <w:tcPr>
            <w:tcW w:w="440" w:type="dxa"/>
          </w:tcPr>
          <w:p>
            <w:pPr>
              <w:pStyle w:val="Compact"/>
              <w:spacing w:after="40"/>
              <w:jc w:val="left"/>
            </w:pPr>
            <w:r>
              <w:rPr>
                <w:sz w:val="18"/>
              </w:rPr>
              <w:t xml:space="preserve">Data</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A</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A</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420" w:type="dxa"/>
          </w:tcPr>
          <w:p>
            <w:pPr>
              <w:pStyle w:val="Compact"/>
              <w:spacing w:after="40"/>
              <w:jc w:val="left"/>
            </w:pPr>
            <w:r>
              <w:rPr>
                <w:sz w:val="18"/>
              </w:rPr>
              <w:t xml:space="preserve">N</w:t>
            </w:r>
          </w:p>
        </w:tc>
      </w:tr>
      <w:tr>
        <w:tc>
          <w:tcPr>
            <w:tcW w:w="440" w:type="dxa"/>
          </w:tcPr>
          <w:p>
            <w:pPr>
              <w:pStyle w:val="Compact"/>
              <w:spacing w:after="40"/>
              <w:jc w:val="left"/>
            </w:pPr>
            <w:r>
              <w:rPr>
                <w:sz w:val="18"/>
              </w:rPr>
              <w:t xml:space="preserve">Integrations</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420" w:type="dxa"/>
          </w:tcPr>
          <w:p>
            <w:pPr>
              <w:pStyle w:val="Compact"/>
              <w:spacing w:after="40"/>
              <w:jc w:val="left"/>
            </w:pPr>
            <w:r>
              <w:rPr>
                <w:sz w:val="18"/>
              </w:rPr>
              <w:t xml:space="preserve">N</w:t>
            </w:r>
          </w:p>
        </w:tc>
      </w:tr>
      <w:tr>
        <w:tc>
          <w:tcPr>
            <w:tcW w:w="440" w:type="dxa"/>
          </w:tcPr>
          <w:p>
            <w:pPr>
              <w:pStyle w:val="Compact"/>
              <w:spacing w:after="40"/>
              <w:jc w:val="left"/>
            </w:pPr>
            <w:r>
              <w:rPr>
                <w:sz w:val="18"/>
              </w:rPr>
              <w:t xml:space="preserve">Settings</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A</w:t>
            </w:r>
          </w:p>
        </w:tc>
        <w:tc>
          <w:tcPr>
            <w:tcW w:w="399" w:type="dxa"/>
          </w:tcPr>
          <w:p>
            <w:pPr>
              <w:pStyle w:val="Compact"/>
              <w:spacing w:after="40"/>
              <w:jc w:val="left"/>
            </w:pPr>
            <w:r>
              <w:rPr>
                <w:sz w:val="18"/>
              </w:rPr>
              <w:t xml:space="preserve">A</w:t>
            </w:r>
          </w:p>
        </w:tc>
        <w:tc>
          <w:tcPr>
            <w:tcW w:w="399" w:type="dxa"/>
          </w:tcPr>
          <w:p>
            <w:pPr>
              <w:pStyle w:val="Compact"/>
              <w:spacing w:after="40"/>
              <w:jc w:val="left"/>
            </w:pPr>
            <w:r>
              <w:rPr>
                <w:sz w:val="18"/>
              </w:rPr>
              <w:t xml:space="preserve">A</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A</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S</w:t>
            </w:r>
          </w:p>
        </w:tc>
        <w:tc>
          <w:tcPr>
            <w:tcW w:w="399" w:type="dxa"/>
          </w:tcPr>
          <w:p>
            <w:pPr>
              <w:pStyle w:val="Compact"/>
              <w:spacing w:after="40"/>
              <w:jc w:val="left"/>
            </w:pPr>
            <w:r>
              <w:rPr>
                <w:sz w:val="18"/>
              </w:rPr>
              <w:t xml:space="preserve">R</w:t>
            </w:r>
          </w:p>
        </w:tc>
        <w:tc>
          <w:tcPr>
            <w:tcW w:w="420" w:type="dxa"/>
          </w:tcPr>
          <w:p>
            <w:pPr>
              <w:pStyle w:val="Compact"/>
              <w:spacing w:after="40"/>
              <w:jc w:val="left"/>
            </w:pPr>
            <w:r>
              <w:rPr>
                <w:sz w:val="18"/>
              </w:rPr>
              <w:t xml:space="preserve">R</w:t>
            </w:r>
          </w:p>
        </w:tc>
      </w:tr>
      <w:tr>
        <w:tc>
          <w:tcPr>
            <w:tcW w:w="440" w:type="dxa"/>
          </w:tcPr>
          <w:p>
            <w:pPr>
              <w:pStyle w:val="Compact"/>
              <w:spacing w:after="40"/>
              <w:jc w:val="left"/>
            </w:pPr>
            <w:r>
              <w:rPr>
                <w:sz w:val="18"/>
              </w:rPr>
              <w:t xml:space="preserve">Administration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R</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F</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399" w:type="dxa"/>
          </w:tcPr>
          <w:p>
            <w:pPr>
              <w:pStyle w:val="Compact"/>
              <w:spacing w:after="40"/>
              <w:jc w:val="left"/>
            </w:pPr>
            <w:r>
              <w:rPr>
                <w:sz w:val="18"/>
              </w:rPr>
              <w:t xml:space="preserve">N</w:t>
            </w:r>
          </w:p>
        </w:tc>
        <w:tc>
          <w:tcPr>
            <w:tcW w:w="420" w:type="dxa"/>
          </w:tcPr>
          <w:p>
            <w:pPr>
              <w:pStyle w:val="Compact"/>
              <w:spacing w:after="40"/>
              <w:jc w:val="left"/>
            </w:pPr>
            <w:r>
              <w:rPr>
                <w:sz w:val="18"/>
              </w:rPr>
              <w:t xml:space="preserve">N</w:t>
            </w:r>
          </w:p>
        </w:tc>
      </w:tr>
    </w:tbl>
    <w:p>
      <w:pPr>
        <w:pStyle w:val="BodyText"/>
      </w:pPr>
      <w:r>
        <w:t xml:space="preserve">Notes: return makers in I hold S on</w:t>
      </w:r>
      <w:r>
        <w:t xml:space="preserve"> </w:t>
      </w:r>
      <w:r>
        <w:rPr>
          <w:rStyle w:val="VerbatimChar"/>
        </w:rPr>
        <w:t xml:space="preserve">Compliance › Returns</w:t>
      </w:r>
      <w:r>
        <w:t xml:space="preserve"> </w:t>
      </w:r>
      <w:r>
        <w:t xml:space="preserve">for their families; every employee reaches</w:t>
      </w:r>
      <w:r>
        <w:t xml:space="preserve"> </w:t>
      </w:r>
      <w:r>
        <w:rPr>
          <w:rStyle w:val="VerbatimChar"/>
        </w:rPr>
        <w:t xml:space="preserve">HR › Self-service</w:t>
      </w:r>
      <w:r>
        <w:t xml:space="preserve"> </w:t>
      </w:r>
      <w:r>
        <w:t xml:space="preserve">as</w:t>
      </w:r>
      <w:r>
        <w:t xml:space="preserve"> </w:t>
      </w:r>
      <w:r>
        <w:rPr>
          <w:bCs/>
          <w:b/>
        </w:rPr>
        <w:t xml:space="preserve">My HR</w:t>
      </w:r>
      <w:r>
        <w:t xml:space="preserve">; S on Audit means own findings, actions and PBC items.</w:t>
      </w:r>
    </w:p>
    <w:bookmarkEnd w:id="931"/>
    <w:bookmarkStart w:id="932" w:name="g.6-standard-screen-patterns-and-states"/>
    <w:p>
      <w:pPr>
        <w:pStyle w:val="Heading2"/>
      </w:pPr>
      <w:r>
        <w:t xml:space="preserve">G.6 Standard screen patterns and states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81"/>
        <w:gridCol w:w="8157"/>
      </w:tblGrid>
      <w:tr>
        <w:trPr>
          <w:tblHeader w:val="true"/>
          <w:tblHeader w:val="true"/>
        </w:trPr>
        <w:tc>
          <w:tcPr>
            <w:tcW w:w="1481" w:type="dxa"/>
            <w:shd w:val="clear" w:color="auto" w:fill="1F3A5F"/>
          </w:tcPr>
          <w:p>
            <w:pPr>
              <w:pStyle w:val="Compact"/>
              <w:spacing w:after="40"/>
              <w:jc w:val="left"/>
            </w:pPr>
            <w:r>
              <w:rPr>
                <w:b/>
                <w:color w:val="FFFFFF"/>
                <w:sz w:val="18"/>
              </w:rPr>
              <w:t xml:space="preserve">Pattern</w:t>
            </w:r>
          </w:p>
        </w:tc>
        <w:tc>
          <w:tcPr>
            <w:tcW w:w="8157" w:type="dxa"/>
            <w:shd w:val="clear" w:color="auto" w:fill="1F3A5F"/>
          </w:tcPr>
          <w:p>
            <w:pPr>
              <w:pStyle w:val="Compact"/>
              <w:spacing w:after="40"/>
              <w:jc w:val="left"/>
            </w:pPr>
            <w:r>
              <w:rPr>
                <w:b/>
                <w:color w:val="FFFFFF"/>
                <w:sz w:val="18"/>
              </w:rPr>
              <w:t xml:space="preserve">Required elements and rules</w:t>
            </w:r>
          </w:p>
        </w:tc>
      </w:tr>
      <w:tr>
        <w:tc>
          <w:tcPr>
            <w:tcW w:w="1481" w:type="dxa"/>
          </w:tcPr>
          <w:p>
            <w:pPr>
              <w:pStyle w:val="Compact"/>
              <w:spacing w:after="40"/>
              <w:jc w:val="left"/>
            </w:pPr>
            <w:r>
              <w:rPr>
                <w:sz w:val="18"/>
              </w:rPr>
              <w:t xml:space="preserve">List</w:t>
            </w:r>
          </w:p>
        </w:tc>
        <w:tc>
          <w:tcPr>
            <w:tcW w:w="8157" w:type="dxa"/>
          </w:tcPr>
          <w:p>
            <w:pPr>
              <w:pStyle w:val="Compact"/>
              <w:spacing w:after="40"/>
              <w:jc w:val="left"/>
            </w:pPr>
            <w:r>
              <w:rPr>
                <w:sz w:val="18"/>
              </w:rPr>
              <w:t xml:space="preserve">Typed filters and chips; saved views (personal, team, tenant default); column chooser; exact counts to 10,000 then</w:t>
            </w:r>
            <w:r>
              <w:rPr>
                <w:sz w:val="18"/>
              </w:rPr>
              <w:t xml:space="preserve"> </w:t>
            </w:r>
            <w:r>
              <w:rPr>
                <w:sz w:val="18"/>
              </w:rPr>
              <w:t xml:space="preserve">“</w:t>
            </w:r>
            <w:r>
              <w:rPr>
                <w:sz w:val="18"/>
              </w:rPr>
              <w:t xml:space="preserve">10,000+</w:t>
            </w:r>
            <w:r>
              <w:rPr>
                <w:sz w:val="18"/>
              </w:rPr>
              <w:t xml:space="preserve">”</w:t>
            </w:r>
            <w:r>
              <w:rPr>
                <w:sz w:val="18"/>
              </w:rPr>
              <w:t xml:space="preserve">; bulk actions validated and authorised per item, with a result summary and one approval request listing all items when regulated; exports (XLSX, CSV; PDF for registers) by permission, watermarked, capped and logged; PII columns need</w:t>
            </w:r>
            <w:r>
              <w:rPr>
                <w:sz w:val="18"/>
              </w:rPr>
              <w:t xml:space="preserve"> </w:t>
            </w:r>
            <w:r>
              <w:rPr>
                <w:rStyle w:val="VerbatimChar"/>
                <w:sz w:val="18"/>
              </w:rPr>
              <w:t xml:space="preserve">export.pii</w:t>
            </w:r>
            <w:r>
              <w:rPr>
                <w:sz w:val="18"/>
              </w:rPr>
              <w:t xml:space="preserve"> </w:t>
            </w:r>
            <w:r>
              <w:rPr>
                <w:sz w:val="18"/>
              </w:rPr>
              <w:t xml:space="preserve">and are masked by default</w:t>
            </w:r>
          </w:p>
        </w:tc>
      </w:tr>
      <w:tr>
        <w:tc>
          <w:tcPr>
            <w:tcW w:w="1481" w:type="dxa"/>
          </w:tcPr>
          <w:p>
            <w:pPr>
              <w:pStyle w:val="Compact"/>
              <w:spacing w:after="40"/>
              <w:jc w:val="left"/>
            </w:pPr>
            <w:r>
              <w:rPr>
                <w:sz w:val="18"/>
              </w:rPr>
              <w:t xml:space="preserve">Detail</w:t>
            </w:r>
          </w:p>
        </w:tc>
        <w:tc>
          <w:tcPr>
            <w:tcW w:w="8157" w:type="dxa"/>
          </w:tcPr>
          <w:p>
            <w:pPr>
              <w:pStyle w:val="Compact"/>
              <w:spacing w:after="40"/>
              <w:jc w:val="left"/>
            </w:pPr>
            <w:r>
              <w:rPr>
                <w:sz w:val="18"/>
              </w:rPr>
              <w:t xml:space="preserve">Header (identity, status, key amounts, next action); tabs; timeline of events, communications and approvals; field-level audit tab (before, after, who, when, where, reason); Regulatory references panel; optimistic locking (</w:t>
            </w:r>
            <w:r>
              <w:rPr>
                <w:rStyle w:val="VerbatimChar"/>
                <w:sz w:val="18"/>
              </w:rPr>
              <w:t xml:space="preserve">stale_version</w:t>
            </w:r>
            <w:r>
              <w:rPr>
                <w:sz w:val="18"/>
              </w:rPr>
              <w:t xml:space="preserve">)</w:t>
            </w:r>
          </w:p>
        </w:tc>
      </w:tr>
      <w:tr>
        <w:tc>
          <w:tcPr>
            <w:tcW w:w="1481" w:type="dxa"/>
          </w:tcPr>
          <w:p>
            <w:pPr>
              <w:pStyle w:val="Compact"/>
              <w:spacing w:after="40"/>
              <w:jc w:val="left"/>
            </w:pPr>
            <w:r>
              <w:rPr>
                <w:sz w:val="18"/>
              </w:rPr>
              <w:t xml:space="preserve">Wizard</w:t>
            </w:r>
          </w:p>
        </w:tc>
        <w:tc>
          <w:tcPr>
            <w:tcW w:w="8157" w:type="dxa"/>
          </w:tcPr>
          <w:p>
            <w:pPr>
              <w:pStyle w:val="Compact"/>
              <w:spacing w:after="40"/>
              <w:jc w:val="left"/>
            </w:pPr>
            <w:r>
              <w:rPr>
                <w:sz w:val="18"/>
              </w:rPr>
              <w:t xml:space="preserve">Stepper; inline validation as the user types, server-authoritative per step; explain-why with citation and fix link; pre-fill with source badges and no re-entry (SC 3.3.7); autosave every 30 seconds; resume from the Inbox; declarations and summary step; submit creates an approval request where maker-checker applies</w:t>
            </w:r>
          </w:p>
        </w:tc>
      </w:tr>
      <w:tr>
        <w:tc>
          <w:tcPr>
            <w:tcW w:w="1481" w:type="dxa"/>
          </w:tcPr>
          <w:p>
            <w:pPr>
              <w:pStyle w:val="Compact"/>
              <w:spacing w:after="40"/>
              <w:jc w:val="left"/>
            </w:pPr>
            <w:r>
              <w:rPr>
                <w:sz w:val="18"/>
              </w:rPr>
              <w:t xml:space="preserve">Approval</w:t>
            </w:r>
          </w:p>
        </w:tc>
        <w:tc>
          <w:tcPr>
            <w:tcW w:w="8157" w:type="dxa"/>
          </w:tcPr>
          <w:p>
            <w:pPr>
              <w:pStyle w:val="Compact"/>
              <w:spacing w:after="40"/>
              <w:jc w:val="left"/>
            </w:pPr>
            <w:r>
              <w:rPr>
                <w:sz w:val="18"/>
              </w:rPr>
              <w:t xml:space="preserve">Side-by-side diff with effective date; impact preview (records, customers, amounts; simulation for rule packs and settings); maker, reason, attachments, comments; SoD and DoA result; step-up for regulated items; approve, reject (reason required) or return; decisions immutable, reversed only by a new request</w:t>
            </w:r>
          </w:p>
        </w:tc>
      </w:tr>
      <w:tr>
        <w:tc>
          <w:tcPr>
            <w:tcW w:w="1481" w:type="dxa"/>
          </w:tcPr>
          <w:p>
            <w:pPr>
              <w:pStyle w:val="Compact"/>
              <w:spacing w:after="40"/>
              <w:jc w:val="left"/>
            </w:pPr>
            <w:r>
              <w:rPr>
                <w:sz w:val="18"/>
              </w:rPr>
              <w:t xml:space="preserve">Dashboard</w:t>
            </w:r>
          </w:p>
        </w:tc>
        <w:tc>
          <w:tcPr>
            <w:tcW w:w="8157" w:type="dxa"/>
          </w:tcPr>
          <w:p>
            <w:pPr>
              <w:pStyle w:val="Compact"/>
              <w:spacing w:after="40"/>
              <w:jc w:val="left"/>
            </w:pPr>
            <w:r>
              <w:rPr>
                <w:sz w:val="18"/>
              </w:rPr>
              <w:t xml:space="preserve">Value, RAG with a text label, as-of date, metric version, certification badge; tile → segment → record in three clicks;</w:t>
            </w:r>
            <w:r>
              <w:rPr>
                <w:sz w:val="18"/>
              </w:rPr>
              <w:t xml:space="preserve"> </w:t>
            </w:r>
            <w:r>
              <w:rPr>
                <w:sz w:val="18"/>
              </w:rPr>
              <w:t xml:space="preserve">“</w:t>
            </w:r>
            <w:r>
              <w:rPr>
                <w:sz w:val="18"/>
              </w:rPr>
              <w:t xml:space="preserve">why this colour</w:t>
            </w:r>
            <w:r>
              <w:rPr>
                <w:sz w:val="18"/>
              </w:rPr>
              <w:t xml:space="preserve">”</w:t>
            </w:r>
            <w:r>
              <w:rPr>
                <w:sz w:val="18"/>
              </w:rPr>
              <w:t xml:space="preserve">; watermarked export; tiles arranged by buttons or drag</w:t>
            </w:r>
          </w:p>
        </w:tc>
      </w:tr>
      <w:tr>
        <w:tc>
          <w:tcPr>
            <w:tcW w:w="1481" w:type="dxa"/>
          </w:tcPr>
          <w:p>
            <w:pPr>
              <w:pStyle w:val="Compact"/>
              <w:spacing w:after="40"/>
              <w:jc w:val="left"/>
            </w:pPr>
            <w:r>
              <w:rPr>
                <w:sz w:val="18"/>
              </w:rPr>
              <w:t xml:space="preserve">Settings page</w:t>
            </w:r>
          </w:p>
        </w:tc>
        <w:tc>
          <w:tcPr>
            <w:tcW w:w="8157" w:type="dxa"/>
          </w:tcPr>
          <w:p>
            <w:pPr>
              <w:pStyle w:val="Compact"/>
              <w:spacing w:after="40"/>
              <w:jc w:val="left"/>
            </w:pPr>
            <w:r>
              <w:rPr>
                <w:sz w:val="18"/>
              </w:rPr>
              <w:t xml:space="preserve">Per setting: description; class badge (</w:t>
            </w:r>
            <w:r>
              <w:rPr>
                <w:bCs/>
                <w:b/>
                <w:sz w:val="18"/>
              </w:rPr>
              <w:t xml:space="preserve">Regulatory floor</w:t>
            </w:r>
            <w:r>
              <w:rPr>
                <w:sz w:val="18"/>
              </w:rPr>
              <w:t xml:space="preserve"> </w:t>
            </w:r>
            <w:r>
              <w:rPr>
                <w:sz w:val="18"/>
              </w:rPr>
              <w:t xml:space="preserve">with citation,</w:t>
            </w:r>
            <w:r>
              <w:rPr>
                <w:sz w:val="18"/>
              </w:rPr>
              <w:t xml:space="preserve"> </w:t>
            </w:r>
            <w:r>
              <w:rPr>
                <w:bCs/>
                <w:b/>
                <w:sz w:val="18"/>
              </w:rPr>
              <w:t xml:space="preserve">Commercial</w:t>
            </w:r>
            <w:r>
              <w:rPr>
                <w:sz w:val="18"/>
              </w:rPr>
              <w:t xml:space="preserve">, or</w:t>
            </w:r>
            <w:r>
              <w:rPr>
                <w:sz w:val="18"/>
              </w:rPr>
              <w:t xml:space="preserve"> </w:t>
            </w:r>
            <w:r>
              <w:rPr>
                <w:bCs/>
                <w:b/>
                <w:sz w:val="18"/>
              </w:rPr>
              <w:t xml:space="preserve">Fixed</w:t>
            </w:r>
            <w:r>
              <w:rPr>
                <w:sz w:val="18"/>
              </w:rPr>
              <w:t xml:space="preserve"> </w:t>
            </w:r>
            <w:r>
              <w:rPr>
                <w:sz w:val="18"/>
              </w:rPr>
              <w:t xml:space="preserve">read-only); effective value and source level; allowed range with the floor edge marked; pending change with date and approver; history; a floor setting offers only the stricter direction;</w:t>
            </w:r>
            <w:r>
              <w:rPr>
                <w:sz w:val="18"/>
              </w:rPr>
              <w:t xml:space="preserve"> </w:t>
            </w:r>
            <w:r>
              <w:rPr>
                <w:sz w:val="18"/>
              </w:rPr>
              <w:t xml:space="preserve">“</w:t>
            </w:r>
            <w:r>
              <w:rPr>
                <w:sz w:val="18"/>
              </w:rPr>
              <w:t xml:space="preserve">simulate impact</w:t>
            </w:r>
            <w:r>
              <w:rPr>
                <w:sz w:val="18"/>
              </w:rPr>
              <w:t xml:space="preserve">”</w:t>
            </w:r>
          </w:p>
        </w:tc>
      </w:tr>
    </w:tbl>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79"/>
        <w:gridCol w:w="6859"/>
      </w:tblGrid>
      <w:tr>
        <w:trPr>
          <w:tblHeader w:val="true"/>
          <w:tblHeader w:val="true"/>
        </w:trPr>
        <w:tc>
          <w:tcPr>
            <w:tcW w:w="2779" w:type="dxa"/>
            <w:shd w:val="clear" w:color="auto" w:fill="1F3A5F"/>
          </w:tcPr>
          <w:p>
            <w:pPr>
              <w:pStyle w:val="Compact"/>
              <w:spacing w:after="40"/>
              <w:jc w:val="left"/>
            </w:pPr>
            <w:r>
              <w:rPr>
                <w:b/>
                <w:color w:val="FFFFFF"/>
                <w:sz w:val="18"/>
              </w:rPr>
              <w:t xml:space="preserve">State</w:t>
            </w:r>
          </w:p>
        </w:tc>
        <w:tc>
          <w:tcPr>
            <w:tcW w:w="6859" w:type="dxa"/>
            <w:shd w:val="clear" w:color="auto" w:fill="1F3A5F"/>
          </w:tcPr>
          <w:p>
            <w:pPr>
              <w:pStyle w:val="Compact"/>
              <w:spacing w:after="40"/>
              <w:jc w:val="left"/>
            </w:pPr>
            <w:r>
              <w:rPr>
                <w:b/>
                <w:color w:val="FFFFFF"/>
                <w:sz w:val="18"/>
              </w:rPr>
              <w:t xml:space="preserve">Content and rules</w:t>
            </w:r>
          </w:p>
        </w:tc>
      </w:tr>
      <w:tr>
        <w:tc>
          <w:tcPr>
            <w:tcW w:w="2779" w:type="dxa"/>
          </w:tcPr>
          <w:p>
            <w:pPr>
              <w:pStyle w:val="Compact"/>
              <w:spacing w:after="40"/>
              <w:jc w:val="left"/>
            </w:pPr>
            <w:r>
              <w:rPr>
                <w:sz w:val="18"/>
              </w:rPr>
              <w:t xml:space="preserve">Empty, first use</w:t>
            </w:r>
          </w:p>
        </w:tc>
        <w:tc>
          <w:tcPr>
            <w:tcW w:w="6859" w:type="dxa"/>
          </w:tcPr>
          <w:p>
            <w:pPr>
              <w:pStyle w:val="Compact"/>
              <w:spacing w:after="40"/>
              <w:jc w:val="left"/>
            </w:pPr>
            <w:r>
              <w:rPr>
                <w:sz w:val="18"/>
              </w:rPr>
              <w:t xml:space="preserve">What the screen does, the missing prerequisite and one action (</w:t>
            </w:r>
            <w:r>
              <w:rPr>
                <w:sz w:val="18"/>
              </w:rPr>
              <w:t xml:space="preserve">“</w:t>
            </w:r>
            <w:r>
              <w:rPr>
                <w:sz w:val="18"/>
              </w:rPr>
              <w:t xml:space="preserve">No centre yet: run a village survey</w:t>
            </w:r>
            <w:r>
              <w:rPr>
                <w:sz w:val="18"/>
              </w:rPr>
              <w:t xml:space="preserve">”</w:t>
            </w:r>
            <w:r>
              <w:rPr>
                <w:sz w:val="18"/>
              </w:rPr>
              <w:t xml:space="preserve">)</w:t>
            </w:r>
          </w:p>
        </w:tc>
      </w:tr>
      <w:tr>
        <w:tc>
          <w:tcPr>
            <w:tcW w:w="2779" w:type="dxa"/>
          </w:tcPr>
          <w:p>
            <w:pPr>
              <w:pStyle w:val="Compact"/>
              <w:spacing w:after="40"/>
              <w:jc w:val="left"/>
            </w:pPr>
            <w:r>
              <w:rPr>
                <w:sz w:val="18"/>
              </w:rPr>
              <w:t xml:space="preserve">Empty, filtered</w:t>
            </w:r>
          </w:p>
        </w:tc>
        <w:tc>
          <w:tcPr>
            <w:tcW w:w="6859" w:type="dxa"/>
          </w:tcPr>
          <w:p>
            <w:pPr>
              <w:pStyle w:val="Compact"/>
              <w:spacing w:after="40"/>
              <w:jc w:val="left"/>
            </w:pPr>
            <w:r>
              <w:rPr>
                <w:sz w:val="18"/>
              </w:rPr>
              <w:t xml:space="preserve">“</w:t>
            </w:r>
            <w:r>
              <w:rPr>
                <w:sz w:val="18"/>
              </w:rPr>
              <w:t xml:space="preserve">No results for these filters</w:t>
            </w:r>
            <w:r>
              <w:rPr>
                <w:sz w:val="18"/>
              </w:rPr>
              <w:t xml:space="preserve">”</w:t>
            </w:r>
            <w:r>
              <w:rPr>
                <w:sz w:val="18"/>
              </w:rPr>
              <w:t xml:space="preserve"> </w:t>
            </w:r>
            <w:r>
              <w:rPr>
                <w:sz w:val="18"/>
              </w:rPr>
              <w:t xml:space="preserve">with clear-filters; never confused with no data</w:t>
            </w:r>
          </w:p>
        </w:tc>
      </w:tr>
      <w:tr>
        <w:tc>
          <w:tcPr>
            <w:tcW w:w="2779" w:type="dxa"/>
          </w:tcPr>
          <w:p>
            <w:pPr>
              <w:pStyle w:val="Compact"/>
              <w:spacing w:after="40"/>
              <w:jc w:val="left"/>
            </w:pPr>
            <w:r>
              <w:rPr>
                <w:sz w:val="18"/>
              </w:rPr>
              <w:t xml:space="preserve">Loading</w:t>
            </w:r>
          </w:p>
        </w:tc>
        <w:tc>
          <w:tcPr>
            <w:tcW w:w="6859" w:type="dxa"/>
          </w:tcPr>
          <w:p>
            <w:pPr>
              <w:pStyle w:val="Compact"/>
              <w:spacing w:after="40"/>
              <w:jc w:val="left"/>
            </w:pPr>
            <w:r>
              <w:rPr>
                <w:sz w:val="18"/>
              </w:rPr>
              <w:t xml:space="preserve">Skeleton after 300 ms; work over 2 seconds moves to the background and reports to the Inbox</w:t>
            </w:r>
          </w:p>
        </w:tc>
      </w:tr>
      <w:tr>
        <w:tc>
          <w:tcPr>
            <w:tcW w:w="2779" w:type="dxa"/>
          </w:tcPr>
          <w:p>
            <w:pPr>
              <w:pStyle w:val="Compact"/>
              <w:spacing w:after="40"/>
              <w:jc w:val="left"/>
            </w:pPr>
            <w:r>
              <w:rPr>
                <w:sz w:val="18"/>
              </w:rPr>
              <w:t xml:space="preserve">Validation or error</w:t>
            </w:r>
          </w:p>
        </w:tc>
        <w:tc>
          <w:tcPr>
            <w:tcW w:w="6859" w:type="dxa"/>
          </w:tcPr>
          <w:p>
            <w:pPr>
              <w:pStyle w:val="Compact"/>
              <w:spacing w:after="40"/>
              <w:jc w:val="left"/>
            </w:pPr>
            <w:r>
              <w:rPr>
                <w:sz w:val="18"/>
              </w:rPr>
              <w:t xml:space="preserve">Field messages plus a linked summary that takes focus; what failed, whether anything saved, correlation ID, retry; regulated submissions never silently retried</w:t>
            </w:r>
          </w:p>
        </w:tc>
      </w:tr>
      <w:tr>
        <w:tc>
          <w:tcPr>
            <w:tcW w:w="2779" w:type="dxa"/>
          </w:tcPr>
          <w:p>
            <w:pPr>
              <w:pStyle w:val="Compact"/>
              <w:spacing w:after="40"/>
              <w:jc w:val="left"/>
            </w:pPr>
            <w:r>
              <w:rPr>
                <w:sz w:val="18"/>
              </w:rPr>
              <w:t xml:space="preserve">Partial failure</w:t>
            </w:r>
          </w:p>
        </w:tc>
        <w:tc>
          <w:tcPr>
            <w:tcW w:w="6859" w:type="dxa"/>
          </w:tcPr>
          <w:p>
            <w:pPr>
              <w:pStyle w:val="Compact"/>
              <w:spacing w:after="40"/>
              <w:jc w:val="left"/>
            </w:pPr>
            <w:r>
              <w:rPr>
                <w:sz w:val="18"/>
              </w:rPr>
              <w:t xml:space="preserve">Counts, failure file, retry of failed items only</w:t>
            </w:r>
          </w:p>
        </w:tc>
      </w:tr>
      <w:tr>
        <w:tc>
          <w:tcPr>
            <w:tcW w:w="2779" w:type="dxa"/>
          </w:tcPr>
          <w:p>
            <w:pPr>
              <w:pStyle w:val="Compact"/>
              <w:spacing w:after="40"/>
              <w:jc w:val="left"/>
            </w:pPr>
            <w:r>
              <w:rPr>
                <w:sz w:val="18"/>
              </w:rPr>
              <w:t xml:space="preserve">Permission denied or not entitled</w:t>
            </w:r>
          </w:p>
        </w:tc>
        <w:tc>
          <w:tcPr>
            <w:tcW w:w="6859" w:type="dxa"/>
          </w:tcPr>
          <w:p>
            <w:pPr>
              <w:pStyle w:val="Compact"/>
              <w:spacing w:after="40"/>
              <w:jc w:val="left"/>
            </w:pPr>
            <w:r>
              <w:rPr>
                <w:sz w:val="18"/>
              </w:rPr>
              <w:t xml:space="preserve">Permission needed and who grants it, with a request-access task; for unlicensed modules a link to Add-ons for billing roles (never for</w:t>
            </w:r>
            <w:r>
              <w:rPr>
                <w:sz w:val="18"/>
              </w:rPr>
              <w:t xml:space="preserve"> </w:t>
            </w:r>
            <w:r>
              <w:rPr>
                <w:rStyle w:val="VerbatimChar"/>
                <w:sz w:val="18"/>
              </w:rPr>
              <w:t xml:space="preserve">regulated</w:t>
            </w:r>
            <w:r>
              <w:rPr>
                <w:sz w:val="18"/>
              </w:rPr>
              <w:t xml:space="preserve"> </w:t>
            </w:r>
            <w:r>
              <w:rPr>
                <w:sz w:val="18"/>
              </w:rPr>
              <w:t xml:space="preserve">items)</w:t>
            </w:r>
          </w:p>
        </w:tc>
      </w:tr>
      <w:tr>
        <w:tc>
          <w:tcPr>
            <w:tcW w:w="2779" w:type="dxa"/>
          </w:tcPr>
          <w:p>
            <w:pPr>
              <w:pStyle w:val="Compact"/>
              <w:spacing w:after="40"/>
              <w:jc w:val="left"/>
            </w:pPr>
            <w:r>
              <w:rPr>
                <w:sz w:val="18"/>
              </w:rPr>
              <w:t xml:space="preserve">Read-only, stale, outage</w:t>
            </w:r>
          </w:p>
        </w:tc>
        <w:tc>
          <w:tcPr>
            <w:tcW w:w="6859" w:type="dxa"/>
          </w:tcPr>
          <w:p>
            <w:pPr>
              <w:pStyle w:val="Compact"/>
              <w:spacing w:after="40"/>
              <w:jc w:val="left"/>
            </w:pPr>
            <w:r>
              <w:rPr>
                <w:sz w:val="18"/>
              </w:rPr>
              <w:t xml:space="preserve">Read-only badge with export link;</w:t>
            </w:r>
            <w:r>
              <w:rPr>
                <w:sz w:val="18"/>
              </w:rPr>
              <w:t xml:space="preserve"> </w:t>
            </w:r>
            <w:r>
              <w:rPr>
                <w:sz w:val="18"/>
              </w:rPr>
              <w:t xml:space="preserve">“</w:t>
            </w:r>
            <w:r>
              <w:rPr>
                <w:sz w:val="18"/>
              </w:rPr>
              <w:t xml:space="preserve">Data as of 14:05 IST; feed delayed</w:t>
            </w:r>
            <w:r>
              <w:rPr>
                <w:sz w:val="18"/>
              </w:rPr>
              <w:t xml:space="preserve">”</w:t>
            </w:r>
            <w:r>
              <w:rPr>
                <w:sz w:val="18"/>
              </w:rPr>
              <w:t xml:space="preserve"> </w:t>
            </w:r>
            <w:r>
              <w:rPr>
                <w:sz w:val="18"/>
              </w:rPr>
              <w:t xml:space="preserve">(stale regulatory tiles cannot be certified); provider down with the fallback and the statement that regulated clocks keep running</w:t>
            </w:r>
          </w:p>
        </w:tc>
      </w:tr>
      <w:tr>
        <w:tc>
          <w:tcPr>
            <w:tcW w:w="2779" w:type="dxa"/>
          </w:tcPr>
          <w:p>
            <w:pPr>
              <w:pStyle w:val="Compact"/>
              <w:spacing w:after="40"/>
              <w:jc w:val="left"/>
            </w:pPr>
            <w:r>
              <w:rPr>
                <w:sz w:val="18"/>
              </w:rPr>
              <w:t xml:space="preserve">Offline (web) and maintenance</w:t>
            </w:r>
          </w:p>
        </w:tc>
        <w:tc>
          <w:tcPr>
            <w:tcW w:w="6859" w:type="dxa"/>
          </w:tcPr>
          <w:p>
            <w:pPr>
              <w:pStyle w:val="Compact"/>
              <w:spacing w:after="40"/>
              <w:jc w:val="left"/>
            </w:pPr>
            <w:r>
              <w:rPr>
                <w:sz w:val="18"/>
              </w:rPr>
              <w:t xml:space="preserve">Local draft kept, no regulated submission offline; maintenance per the EO1 release calendar</w:t>
            </w:r>
          </w:p>
        </w:tc>
      </w:tr>
    </w:tbl>
    <w:bookmarkEnd w:id="932"/>
    <w:bookmarkStart w:id="936" w:name="g.7-settings-catalogue"/>
    <w:p>
      <w:pPr>
        <w:pStyle w:val="Heading2"/>
      </w:pPr>
      <w:r>
        <w:t xml:space="preserve">G.7 Settings catalogue</w:t>
      </w:r>
    </w:p>
    <w:bookmarkStart w:id="933" w:name="g.7.1-hierarchy-and-resolution"/>
    <w:p>
      <w:pPr>
        <w:pStyle w:val="Heading3"/>
      </w:pPr>
      <w:r>
        <w:t xml:space="preserve">G.7.1 Hierarchy and resolution</w:t>
      </w:r>
    </w:p>
    <w:p>
      <w:pPr>
        <w:pStyle w:val="FirstParagraph"/>
      </w:pPr>
      <w:r>
        <w:t xml:space="preserve">Levels, widest first:</w:t>
      </w:r>
      <w:r>
        <w:t xml:space="preserve"> </w:t>
      </w:r>
      <w:r>
        <w:rPr>
          <w:bCs/>
          <w:b/>
        </w:rPr>
        <w:t xml:space="preserve">platform floor → tenant → legal entity → product → branch → role → user</w:t>
      </w:r>
      <w:r>
        <w:t xml:space="preserve">.</w:t>
      </w:r>
    </w:p>
    <w:p>
      <w:pPr>
        <w:numPr>
          <w:ilvl w:val="0"/>
          <w:numId w:val="2161"/>
        </w:numPr>
        <w:pStyle w:val="Compact"/>
      </w:pPr>
      <w:r>
        <w:rPr>
          <w:rStyle w:val="VerbatimChar"/>
        </w:rPr>
        <w:t xml:space="preserve">setting_definition</w:t>
      </w:r>
      <w:r>
        <w:t xml:space="preserve"> </w:t>
      </w:r>
      <w:r>
        <w:t xml:space="preserve">(Phase 3) also carries</w:t>
      </w:r>
      <w:r>
        <w:t xml:space="preserve"> </w:t>
      </w:r>
      <w:r>
        <w:rPr>
          <w:rStyle w:val="VerbatimChar"/>
        </w:rPr>
        <w:t xml:space="preserve">levels_allowed[]</w:t>
      </w:r>
      <w:r>
        <w:t xml:space="preserve">,</w:t>
      </w:r>
      <w:r>
        <w:t xml:space="preserve"> </w:t>
      </w:r>
      <w:r>
        <w:rPr>
          <w:rStyle w:val="VerbatimChar"/>
        </w:rPr>
        <w:t xml:space="preserve">strictness</w:t>
      </w:r>
      <w:r>
        <w:t xml:space="preserve"> </w:t>
      </w:r>
      <w:r>
        <w:t xml:space="preserve">(</w:t>
      </w:r>
      <w:r>
        <w:rPr>
          <w:rStyle w:val="VerbatimChar"/>
        </w:rPr>
        <w:t xml:space="preserve">LOWER_IS_STRICTER</w:t>
      </w:r>
      <w:r>
        <w:t xml:space="preserve">,</w:t>
      </w:r>
      <w:r>
        <w:t xml:space="preserve"> </w:t>
      </w:r>
      <w:r>
        <w:rPr>
          <w:rStyle w:val="VerbatimChar"/>
        </w:rPr>
        <w:t xml:space="preserve">HIGHER_IS_STRICTER</w:t>
      </w:r>
      <w:r>
        <w:t xml:space="preserve">,</w:t>
      </w:r>
      <w:r>
        <w:t xml:space="preserve"> </w:t>
      </w:r>
      <w:r>
        <w:rPr>
          <w:rStyle w:val="VerbatimChar"/>
        </w:rPr>
        <w:t xml:space="preserve">SUBSET_IS_STRICTER</w:t>
      </w:r>
      <w:r>
        <w:t xml:space="preserve">,</w:t>
      </w:r>
      <w:r>
        <w:t xml:space="preserve"> </w:t>
      </w:r>
      <w:r>
        <w:rPr>
          <w:rStyle w:val="VerbatimChar"/>
        </w:rPr>
        <w:t xml:space="preserve">TRUE_IS_STRICTER</w:t>
      </w:r>
      <w:r>
        <w:t xml:space="preserve">,</w:t>
      </w:r>
      <w:r>
        <w:t xml:space="preserve"> </w:t>
      </w:r>
      <w:r>
        <w:rPr>
          <w:rStyle w:val="VerbatimChar"/>
        </w:rPr>
        <w:t xml:space="preserve">NONE</w:t>
      </w:r>
      <w:r>
        <w:t xml:space="preserve">),</w:t>
      </w:r>
      <w:r>
        <w:t xml:space="preserve"> </w:t>
      </w:r>
      <w:r>
        <w:rPr>
          <w:rStyle w:val="VerbatimChar"/>
        </w:rPr>
        <w:t xml:space="preserve">maker_checker</w:t>
      </w:r>
      <w:r>
        <w:t xml:space="preserve"> </w:t>
      </w:r>
      <w:r>
        <w:t xml:space="preserve">(none, one or two checkers),</w:t>
      </w:r>
      <w:r>
        <w:t xml:space="preserve"> </w:t>
      </w:r>
      <w:r>
        <w:rPr>
          <w:rStyle w:val="VerbatimChar"/>
        </w:rPr>
        <w:t xml:space="preserve">checker_role</w:t>
      </w:r>
      <w:r>
        <w:t xml:space="preserve">,</w:t>
      </w:r>
      <w:r>
        <w:t xml:space="preserve"> </w:t>
      </w:r>
      <w:r>
        <w:rPr>
          <w:rStyle w:val="VerbatimChar"/>
        </w:rPr>
        <w:t xml:space="preserve">step_up</w:t>
      </w:r>
      <w:r>
        <w:t xml:space="preserve">,</w:t>
      </w:r>
      <w:r>
        <w:t xml:space="preserve"> </w:t>
      </w:r>
      <w:r>
        <w:rPr>
          <w:rStyle w:val="VerbatimChar"/>
        </w:rPr>
        <w:t xml:space="preserve">effective_mode</w:t>
      </w:r>
      <w:r>
        <w:t xml:space="preserve"> </w:t>
      </w:r>
      <w:r>
        <w:t xml:space="preserve">(immediate, next business date, next open period) and</w:t>
      </w:r>
      <w:r>
        <w:t xml:space="preserve"> </w:t>
      </w:r>
      <w:r>
        <w:rPr>
          <w:rStyle w:val="VerbatimChar"/>
        </w:rPr>
        <w:t xml:space="preserve">ui_group</w:t>
      </w:r>
      <w:r>
        <w:t xml:space="preserve">.</w:t>
      </w:r>
    </w:p>
    <w:p>
      <w:pPr>
        <w:numPr>
          <w:ilvl w:val="0"/>
          <w:numId w:val="2161"/>
        </w:numPr>
        <w:pStyle w:val="Compact"/>
      </w:pPr>
      <w:r>
        <w:rPr>
          <w:rStyle w:val="VerbatimChar"/>
        </w:rPr>
        <w:t xml:space="preserve">REGULATORY_FLOOR</w:t>
      </w:r>
      <w:r>
        <w:t xml:space="preserve"> </w:t>
      </w:r>
      <w:r>
        <w:t xml:space="preserve">settings resolve to the strictest value across applicable levels, never looser than the platform floor from statute or rule pack;</w:t>
      </w:r>
      <w:r>
        <w:t xml:space="preserve"> </w:t>
      </w:r>
      <w:r>
        <w:rPr>
          <w:rStyle w:val="VerbatimChar"/>
        </w:rPr>
        <w:t xml:space="preserve">COMMERCIAL</w:t>
      </w:r>
      <w:r>
        <w:t xml:space="preserve"> </w:t>
      </w:r>
      <w:r>
        <w:t xml:space="preserve">settings take the most specific value within the range set above; the user level holds only preferences and tighter personal thresholds.</w:t>
      </w:r>
    </w:p>
    <w:p>
      <w:pPr>
        <w:numPr>
          <w:ilvl w:val="0"/>
          <w:numId w:val="2161"/>
        </w:numPr>
        <w:pStyle w:val="Compact"/>
      </w:pPr>
      <w:r>
        <w:t xml:space="preserve">Lifecycle</w:t>
      </w:r>
      <w:r>
        <w:t xml:space="preserve"> </w:t>
      </w:r>
      <w:r>
        <w:rPr>
          <w:rStyle w:val="VerbatimChar"/>
        </w:rPr>
        <w:t xml:space="preserve">DRAFT → PENDING_APPROVAL → SCHEDULED → ACTIVE → SUPERSEDED</w:t>
      </w:r>
      <w:r>
        <w:t xml:space="preserve">, plus</w:t>
      </w:r>
      <w:r>
        <w:t xml:space="preserve"> </w:t>
      </w:r>
      <w:r>
        <w:rPr>
          <w:rStyle w:val="VerbatimChar"/>
        </w:rPr>
        <w:t xml:space="preserve">REJECTED</w:t>
      </w:r>
      <w:r>
        <w:t xml:space="preserve"> </w:t>
      </w:r>
      <w:r>
        <w:t xml:space="preserve">and</w:t>
      </w:r>
      <w:r>
        <w:t xml:space="preserve"> </w:t>
      </w:r>
      <w:r>
        <w:rPr>
          <w:rStyle w:val="VerbatimChar"/>
        </w:rPr>
        <w:t xml:space="preserve">WITHDRAWN</w:t>
      </w:r>
      <w:r>
        <w:t xml:space="preserve">; effective-dated and never retroactive for a closed period or past decision (a back-dated correction yields an impact report, as IP1.3); every regulated decision stores the setting versions used.</w:t>
      </w:r>
    </w:p>
    <w:p>
      <w:pPr>
        <w:numPr>
          <w:ilvl w:val="0"/>
          <w:numId w:val="2161"/>
        </w:numPr>
        <w:pStyle w:val="Compact"/>
      </w:pPr>
      <w:r>
        <w:t xml:space="preserve">Platform floors change only by release (Part 8.1) and show read-only; a narrower value made looser by a wider tightening is marked</w:t>
      </w:r>
      <w:r>
        <w:t xml:space="preserve"> </w:t>
      </w:r>
      <w:r>
        <w:rPr>
          <w:rStyle w:val="VerbatimChar"/>
        </w:rPr>
        <w:t xml:space="preserve">superseded_by_floor</w:t>
      </w:r>
      <w:r>
        <w:t xml:space="preserve">, ignored and tasked to its owner; onboarding imports pass the same checks.</w:t>
      </w:r>
    </w:p>
    <w:bookmarkEnd w:id="933"/>
    <w:bookmarkStart w:id="934" w:name="g.7.2-key-settings-by-area"/>
    <w:p>
      <w:pPr>
        <w:pStyle w:val="Heading3"/>
      </w:pPr>
      <w:r>
        <w:t xml:space="preserve">G.7.2 Key settings by area</w:t>
      </w:r>
    </w:p>
    <w:p>
      <w:pPr>
        <w:pStyle w:val="FirstParagraph"/>
      </w:pPr>
      <w:r>
        <w:t xml:space="preserve">Anchor settings only; the module subsections hold the full lists.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42"/>
        <w:gridCol w:w="2590"/>
        <w:gridCol w:w="1474"/>
        <w:gridCol w:w="1142"/>
        <w:gridCol w:w="1814"/>
        <w:gridCol w:w="1476"/>
      </w:tblGrid>
      <w:tr>
        <w:trPr>
          <w:tblHeader w:val="true"/>
          <w:tblHeader w:val="true"/>
        </w:trPr>
        <w:tc>
          <w:tcPr>
            <w:tcW w:w="1142" w:type="dxa"/>
            <w:shd w:val="clear" w:color="auto" w:fill="1F3A5F"/>
          </w:tcPr>
          <w:p>
            <w:pPr>
              <w:pStyle w:val="Compact"/>
              <w:spacing w:after="40"/>
              <w:jc w:val="left"/>
            </w:pPr>
            <w:r>
              <w:rPr>
                <w:b/>
                <w:color w:val="FFFFFF"/>
                <w:sz w:val="18"/>
              </w:rPr>
              <w:t xml:space="preserve">Area</w:t>
            </w:r>
          </w:p>
        </w:tc>
        <w:tc>
          <w:tcPr>
            <w:tcW w:w="2590" w:type="dxa"/>
            <w:shd w:val="clear" w:color="auto" w:fill="1F3A5F"/>
          </w:tcPr>
          <w:p>
            <w:pPr>
              <w:pStyle w:val="Compact"/>
              <w:spacing w:after="40"/>
              <w:jc w:val="left"/>
            </w:pPr>
            <w:r>
              <w:rPr>
                <w:b/>
                <w:color w:val="FFFFFF"/>
                <w:sz w:val="18"/>
              </w:rPr>
              <w:t xml:space="preserve">Key settings (default)</w:t>
            </w:r>
          </w:p>
        </w:tc>
        <w:tc>
          <w:tcPr>
            <w:tcW w:w="1474" w:type="dxa"/>
            <w:shd w:val="clear" w:color="auto" w:fill="1F3A5F"/>
          </w:tcPr>
          <w:p>
            <w:pPr>
              <w:pStyle w:val="Compact"/>
              <w:spacing w:after="40"/>
              <w:jc w:val="left"/>
            </w:pPr>
            <w:r>
              <w:rPr>
                <w:b/>
                <w:color w:val="FFFFFF"/>
                <w:sz w:val="18"/>
              </w:rPr>
              <w:t xml:space="preserve">Class</w:t>
            </w:r>
          </w:p>
        </w:tc>
        <w:tc>
          <w:tcPr>
            <w:tcW w:w="1142" w:type="dxa"/>
            <w:shd w:val="clear" w:color="auto" w:fill="1F3A5F"/>
          </w:tcPr>
          <w:p>
            <w:pPr>
              <w:pStyle w:val="Compact"/>
              <w:spacing w:after="40"/>
              <w:jc w:val="left"/>
            </w:pPr>
            <w:r>
              <w:rPr>
                <w:b/>
                <w:color w:val="FFFFFF"/>
                <w:sz w:val="18"/>
              </w:rPr>
              <w:t xml:space="preserve">Level</w:t>
            </w:r>
          </w:p>
        </w:tc>
        <w:tc>
          <w:tcPr>
            <w:tcW w:w="1814" w:type="dxa"/>
            <w:shd w:val="clear" w:color="auto" w:fill="1F3A5F"/>
          </w:tcPr>
          <w:p>
            <w:pPr>
              <w:pStyle w:val="Compact"/>
              <w:spacing w:after="40"/>
              <w:jc w:val="left"/>
            </w:pPr>
            <w:r>
              <w:rPr>
                <w:b/>
                <w:color w:val="FFFFFF"/>
                <w:sz w:val="18"/>
              </w:rPr>
              <w:t xml:space="preserve">Maker → checker</w:t>
            </w:r>
          </w:p>
        </w:tc>
        <w:tc>
          <w:tcPr>
            <w:tcW w:w="1476" w:type="dxa"/>
            <w:shd w:val="clear" w:color="auto" w:fill="1F3A5F"/>
          </w:tcPr>
          <w:p>
            <w:pPr>
              <w:pStyle w:val="Compact"/>
              <w:spacing w:after="40"/>
              <w:jc w:val="left"/>
            </w:pPr>
            <w:r>
              <w:rPr>
                <w:b/>
                <w:color w:val="FFFFFF"/>
                <w:sz w:val="18"/>
              </w:rPr>
              <w:t xml:space="preserve">Source</w:t>
            </w:r>
          </w:p>
        </w:tc>
      </w:tr>
      <w:tr>
        <w:tc>
          <w:tcPr>
            <w:tcW w:w="1142" w:type="dxa"/>
          </w:tcPr>
          <w:p>
            <w:pPr>
              <w:pStyle w:val="Compact"/>
              <w:spacing w:after="40"/>
              <w:jc w:val="left"/>
            </w:pPr>
            <w:r>
              <w:rPr>
                <w:sz w:val="18"/>
              </w:rPr>
              <w:t xml:space="preserve">Organisation</w:t>
            </w:r>
          </w:p>
        </w:tc>
        <w:tc>
          <w:tcPr>
            <w:tcW w:w="2590" w:type="dxa"/>
          </w:tcPr>
          <w:p>
            <w:pPr>
              <w:pStyle w:val="Compact"/>
              <w:spacing w:after="40"/>
              <w:jc w:val="left"/>
            </w:pPr>
            <w:r>
              <w:rPr>
                <w:sz w:val="18"/>
              </w:rPr>
              <w:t xml:space="preserve">Holiday calendars; next-working-day shift</w:t>
            </w:r>
          </w:p>
        </w:tc>
        <w:tc>
          <w:tcPr>
            <w:tcW w:w="1474" w:type="dxa"/>
          </w:tcPr>
          <w:p>
            <w:pPr>
              <w:pStyle w:val="Compact"/>
              <w:spacing w:after="40"/>
              <w:jc w:val="left"/>
            </w:pPr>
            <w:r>
              <w:rPr>
                <w:sz w:val="18"/>
              </w:rPr>
              <w:t xml:space="preserve">Commercial</w:t>
            </w:r>
          </w:p>
        </w:tc>
        <w:tc>
          <w:tcPr>
            <w:tcW w:w="1142" w:type="dxa"/>
          </w:tcPr>
          <w:p>
            <w:pPr>
              <w:pStyle w:val="Compact"/>
              <w:spacing w:after="40"/>
              <w:jc w:val="left"/>
            </w:pPr>
            <w:r>
              <w:rPr>
                <w:sz w:val="18"/>
              </w:rPr>
              <w:t xml:space="preserve">Entity, branch</w:t>
            </w:r>
          </w:p>
        </w:tc>
        <w:tc>
          <w:tcPr>
            <w:tcW w:w="1814" w:type="dxa"/>
          </w:tcPr>
          <w:p>
            <w:pPr>
              <w:pStyle w:val="Compact"/>
              <w:spacing w:after="40"/>
              <w:jc w:val="left"/>
            </w:pPr>
            <w:r>
              <w:rPr>
                <w:sz w:val="18"/>
              </w:rPr>
              <w:t xml:space="preserve">Tenant admin → CFO</w:t>
            </w:r>
          </w:p>
        </w:tc>
        <w:tc>
          <w:tcPr>
            <w:tcW w:w="1476" w:type="dxa"/>
          </w:tcPr>
          <w:p>
            <w:pPr>
              <w:pStyle w:val="Compact"/>
              <w:spacing w:after="40"/>
              <w:jc w:val="left"/>
            </w:pPr>
            <w:r>
              <w:rPr>
                <w:sz w:val="18"/>
              </w:rPr>
              <w:t xml:space="preserve">M1</w:t>
            </w:r>
          </w:p>
        </w:tc>
      </w:tr>
      <w:tr>
        <w:tc>
          <w:tcPr>
            <w:tcW w:w="1142" w:type="dxa"/>
          </w:tcPr>
          <w:p>
            <w:pPr>
              <w:pStyle w:val="Compact"/>
              <w:spacing w:after="40"/>
              <w:jc w:val="left"/>
            </w:pPr>
            <w:r>
              <w:rPr>
                <w:sz w:val="18"/>
              </w:rPr>
              <w:t xml:space="preserve">Institution profile</w:t>
            </w:r>
          </w:p>
        </w:tc>
        <w:tc>
          <w:tcPr>
            <w:tcW w:w="2590" w:type="dxa"/>
          </w:tcPr>
          <w:p>
            <w:pPr>
              <w:pStyle w:val="Compact"/>
              <w:spacing w:after="40"/>
              <w:jc w:val="left"/>
            </w:pPr>
            <w:r>
              <w:rPr>
                <w:sz w:val="18"/>
              </w:rPr>
              <w:t xml:space="preserve">Type (wizard); rule packs (latest</w:t>
            </w:r>
            <w:r>
              <w:rPr>
                <w:sz w:val="18"/>
              </w:rPr>
              <w:t xml:space="preserve"> </w:t>
            </w:r>
            <w:r>
              <w:rPr>
                <w:rStyle w:val="VerbatimChar"/>
                <w:sz w:val="18"/>
              </w:rPr>
              <w:t xml:space="preserve">IN_FORCE</w:t>
            </w:r>
            <w:r>
              <w:rPr>
                <w:sz w:val="18"/>
              </w:rPr>
              <w:t xml:space="preserve">); vocabulary (English plus Hindi)</w:t>
            </w:r>
          </w:p>
        </w:tc>
        <w:tc>
          <w:tcPr>
            <w:tcW w:w="1474" w:type="dxa"/>
          </w:tcPr>
          <w:p>
            <w:pPr>
              <w:pStyle w:val="Compact"/>
              <w:spacing w:after="40"/>
              <w:jc w:val="left"/>
            </w:pPr>
            <w:r>
              <w:rPr>
                <w:sz w:val="18"/>
              </w:rPr>
              <w:t xml:space="preserve">Fact; floor; commercial</w:t>
            </w:r>
          </w:p>
        </w:tc>
        <w:tc>
          <w:tcPr>
            <w:tcW w:w="1142" w:type="dxa"/>
          </w:tcPr>
          <w:p>
            <w:pPr>
              <w:pStyle w:val="Compact"/>
              <w:spacing w:after="40"/>
              <w:jc w:val="left"/>
            </w:pPr>
            <w:r>
              <w:rPr>
                <w:sz w:val="18"/>
              </w:rPr>
              <w:t xml:space="preserve">Entity</w:t>
            </w:r>
          </w:p>
        </w:tc>
        <w:tc>
          <w:tcPr>
            <w:tcW w:w="1814" w:type="dxa"/>
          </w:tcPr>
          <w:p>
            <w:pPr>
              <w:pStyle w:val="Compact"/>
              <w:spacing w:after="40"/>
              <w:jc w:val="left"/>
            </w:pPr>
            <w:r>
              <w:rPr>
                <w:sz w:val="18"/>
              </w:rPr>
              <w:t xml:space="preserve">CCO → Board for type change</w:t>
            </w:r>
          </w:p>
        </w:tc>
        <w:tc>
          <w:tcPr>
            <w:tcW w:w="1476" w:type="dxa"/>
          </w:tcPr>
          <w:p>
            <w:pPr>
              <w:pStyle w:val="Compact"/>
              <w:spacing w:after="40"/>
              <w:jc w:val="left"/>
            </w:pPr>
            <w:r>
              <w:rPr>
                <w:sz w:val="18"/>
              </w:rPr>
              <w:t xml:space="preserve">IP1</w:t>
            </w:r>
          </w:p>
        </w:tc>
      </w:tr>
      <w:tr>
        <w:tc>
          <w:tcPr>
            <w:tcW w:w="1142" w:type="dxa"/>
          </w:tcPr>
          <w:p>
            <w:pPr>
              <w:pStyle w:val="Compact"/>
              <w:spacing w:after="40"/>
              <w:jc w:val="left"/>
            </w:pPr>
            <w:r>
              <w:rPr>
                <w:sz w:val="18"/>
              </w:rPr>
              <w:t xml:space="preserve">Product terms</w:t>
            </w:r>
          </w:p>
        </w:tc>
        <w:tc>
          <w:tcPr>
            <w:tcW w:w="2590" w:type="dxa"/>
          </w:tcPr>
          <w:p>
            <w:pPr>
              <w:pStyle w:val="Compact"/>
              <w:spacing w:after="40"/>
              <w:jc w:val="left"/>
            </w:pPr>
            <w:r>
              <w:rPr>
                <w:sz w:val="18"/>
              </w:rPr>
              <w:t xml:space="preserve">Rates, tenors, charges; KFS wording, penal charges (never capitalised), prepayment rules, cooling-off</w:t>
            </w:r>
          </w:p>
        </w:tc>
        <w:tc>
          <w:tcPr>
            <w:tcW w:w="1474" w:type="dxa"/>
          </w:tcPr>
          <w:p>
            <w:pPr>
              <w:pStyle w:val="Compact"/>
              <w:spacing w:after="40"/>
              <w:jc w:val="left"/>
            </w:pPr>
            <w:r>
              <w:rPr>
                <w:sz w:val="18"/>
              </w:rPr>
              <w:t xml:space="preserve">Commercial; regulated configuration</w:t>
            </w:r>
          </w:p>
        </w:tc>
        <w:tc>
          <w:tcPr>
            <w:tcW w:w="1142" w:type="dxa"/>
          </w:tcPr>
          <w:p>
            <w:pPr>
              <w:pStyle w:val="Compact"/>
              <w:spacing w:after="40"/>
              <w:jc w:val="left"/>
            </w:pPr>
            <w:r>
              <w:rPr>
                <w:sz w:val="18"/>
              </w:rPr>
              <w:t xml:space="preserve">Product</w:t>
            </w:r>
          </w:p>
        </w:tc>
        <w:tc>
          <w:tcPr>
            <w:tcW w:w="1814" w:type="dxa"/>
          </w:tcPr>
          <w:p>
            <w:pPr>
              <w:pStyle w:val="Compact"/>
              <w:spacing w:after="40"/>
              <w:jc w:val="left"/>
            </w:pPr>
            <w:r>
              <w:rPr>
                <w:sz w:val="18"/>
              </w:rPr>
              <w:t xml:space="preserve">Product team → CCO</w:t>
            </w:r>
          </w:p>
        </w:tc>
        <w:tc>
          <w:tcPr>
            <w:tcW w:w="1476" w:type="dxa"/>
          </w:tcPr>
          <w:p>
            <w:pPr>
              <w:pStyle w:val="Compact"/>
              <w:spacing w:after="40"/>
              <w:jc w:val="left"/>
            </w:pPr>
            <w:r>
              <w:rPr>
                <w:sz w:val="18"/>
              </w:rPr>
              <w:t xml:space="preserve">Part 3.3; RBC paras 30, 33–34</w:t>
            </w:r>
          </w:p>
        </w:tc>
      </w:tr>
      <w:tr>
        <w:tc>
          <w:tcPr>
            <w:tcW w:w="1142" w:type="dxa"/>
          </w:tcPr>
          <w:p>
            <w:pPr>
              <w:pStyle w:val="Compact"/>
              <w:spacing w:after="40"/>
              <w:jc w:val="left"/>
            </w:pPr>
            <w:r>
              <w:rPr>
                <w:sz w:val="18"/>
              </w:rPr>
              <w:t xml:space="preserve">Classification</w:t>
            </w:r>
          </w:p>
        </w:tc>
        <w:tc>
          <w:tcPr>
            <w:tcW w:w="2590" w:type="dxa"/>
          </w:tcPr>
          <w:p>
            <w:pPr>
              <w:pStyle w:val="Compact"/>
              <w:spacing w:after="40"/>
              <w:jc w:val="left"/>
            </w:pPr>
            <w:r>
              <w:rPr>
                <w:sz w:val="18"/>
              </w:rPr>
              <w:t xml:space="preserve">NPA at 90 DPD; MFI Directions for NBFC-MFI portfolios</w:t>
            </w:r>
          </w:p>
        </w:tc>
        <w:tc>
          <w:tcPr>
            <w:tcW w:w="1474" w:type="dxa"/>
          </w:tcPr>
          <w:p>
            <w:pPr>
              <w:pStyle w:val="Compact"/>
              <w:spacing w:after="40"/>
              <w:jc w:val="left"/>
            </w:pPr>
            <w:r>
              <w:rPr>
                <w:sz w:val="18"/>
              </w:rPr>
              <w:t xml:space="preserve">Floor</w:t>
            </w:r>
          </w:p>
        </w:tc>
        <w:tc>
          <w:tcPr>
            <w:tcW w:w="1142" w:type="dxa"/>
          </w:tcPr>
          <w:p>
            <w:pPr>
              <w:pStyle w:val="Compact"/>
              <w:spacing w:after="40"/>
              <w:jc w:val="left"/>
            </w:pPr>
            <w:r>
              <w:rPr>
                <w:sz w:val="18"/>
              </w:rPr>
              <w:t xml:space="preserve">Product</w:t>
            </w:r>
          </w:p>
        </w:tc>
        <w:tc>
          <w:tcPr>
            <w:tcW w:w="1814" w:type="dxa"/>
          </w:tcPr>
          <w:p>
            <w:pPr>
              <w:pStyle w:val="Compact"/>
              <w:spacing w:after="40"/>
              <w:jc w:val="left"/>
            </w:pPr>
            <w:r>
              <w:rPr>
                <w:sz w:val="18"/>
              </w:rPr>
              <w:t xml:space="preserve">Credit policy → CRO, CCO</w:t>
            </w:r>
          </w:p>
        </w:tc>
        <w:tc>
          <w:tcPr>
            <w:tcW w:w="1476" w:type="dxa"/>
          </w:tcPr>
          <w:p>
            <w:pPr>
              <w:pStyle w:val="Compact"/>
              <w:spacing w:after="40"/>
              <w:jc w:val="left"/>
            </w:pPr>
            <w:r>
              <w:rPr>
                <w:sz w:val="18"/>
              </w:rPr>
              <w:t xml:space="preserve">IRACP paras 44, 51, 56; MFI para 24</w:t>
            </w:r>
          </w:p>
        </w:tc>
      </w:tr>
      <w:tr>
        <w:tc>
          <w:tcPr>
            <w:tcW w:w="1142" w:type="dxa"/>
          </w:tcPr>
          <w:p>
            <w:pPr>
              <w:pStyle w:val="Compact"/>
              <w:spacing w:after="40"/>
              <w:jc w:val="left"/>
            </w:pPr>
            <w:r>
              <w:rPr>
                <w:sz w:val="18"/>
              </w:rPr>
              <w:t xml:space="preserve">KFS validity</w:t>
            </w:r>
          </w:p>
        </w:tc>
        <w:tc>
          <w:tcPr>
            <w:tcW w:w="2590" w:type="dxa"/>
          </w:tcPr>
          <w:p>
            <w:pPr>
              <w:pStyle w:val="Compact"/>
              <w:spacing w:after="40"/>
              <w:jc w:val="left"/>
            </w:pPr>
            <w:r>
              <w:rPr>
                <w:sz w:val="18"/>
              </w:rPr>
              <w:t xml:space="preserve">3 working days (tenor 7 days or more), else 1</w:t>
            </w:r>
          </w:p>
        </w:tc>
        <w:tc>
          <w:tcPr>
            <w:tcW w:w="1474" w:type="dxa"/>
          </w:tcPr>
          <w:p>
            <w:pPr>
              <w:pStyle w:val="Compact"/>
              <w:spacing w:after="40"/>
              <w:jc w:val="left"/>
            </w:pPr>
            <w:r>
              <w:rPr>
                <w:sz w:val="18"/>
              </w:rPr>
              <w:t xml:space="preserve">Floor</w:t>
            </w:r>
          </w:p>
        </w:tc>
        <w:tc>
          <w:tcPr>
            <w:tcW w:w="1142" w:type="dxa"/>
          </w:tcPr>
          <w:p>
            <w:pPr>
              <w:pStyle w:val="Compact"/>
              <w:spacing w:after="40"/>
              <w:jc w:val="left"/>
            </w:pPr>
            <w:r>
              <w:rPr>
                <w:sz w:val="18"/>
              </w:rPr>
              <w:t xml:space="preserve">Product</w:t>
            </w:r>
          </w:p>
        </w:tc>
        <w:tc>
          <w:tcPr>
            <w:tcW w:w="1814" w:type="dxa"/>
          </w:tcPr>
          <w:p>
            <w:pPr>
              <w:pStyle w:val="Compact"/>
              <w:spacing w:after="40"/>
              <w:jc w:val="left"/>
            </w:pPr>
            <w:r>
              <w:rPr>
                <w:sz w:val="18"/>
              </w:rPr>
              <w:t xml:space="preserve">Product → CCO</w:t>
            </w:r>
          </w:p>
        </w:tc>
        <w:tc>
          <w:tcPr>
            <w:tcW w:w="1476" w:type="dxa"/>
          </w:tcPr>
          <w:p>
            <w:pPr>
              <w:pStyle w:val="Compact"/>
              <w:spacing w:after="40"/>
              <w:jc w:val="left"/>
            </w:pPr>
            <w:r>
              <w:rPr>
                <w:sz w:val="18"/>
              </w:rPr>
              <w:t xml:space="preserve">RBC para 29(2)</w:t>
            </w:r>
          </w:p>
        </w:tc>
      </w:tr>
      <w:tr>
        <w:tc>
          <w:tcPr>
            <w:tcW w:w="1142" w:type="dxa"/>
          </w:tcPr>
          <w:p>
            <w:pPr>
              <w:pStyle w:val="Compact"/>
              <w:spacing w:after="40"/>
              <w:jc w:val="left"/>
            </w:pPr>
            <w:r>
              <w:rPr>
                <w:sz w:val="18"/>
              </w:rPr>
              <w:t xml:space="preserve">Credit policy and DoA</w:t>
            </w:r>
          </w:p>
        </w:tc>
        <w:tc>
          <w:tcPr>
            <w:tcW w:w="2590" w:type="dxa"/>
          </w:tcPr>
          <w:p>
            <w:pPr>
              <w:pStyle w:val="Compact"/>
              <w:spacing w:after="40"/>
              <w:jc w:val="left"/>
            </w:pPr>
            <w:r>
              <w:rPr>
                <w:sz w:val="18"/>
              </w:rPr>
              <w:t xml:space="preserve">BRE tables; DoA bands per Board resolution; self-approval and sanctioner exclusion fixed</w:t>
            </w:r>
          </w:p>
        </w:tc>
        <w:tc>
          <w:tcPr>
            <w:tcW w:w="1474" w:type="dxa"/>
          </w:tcPr>
          <w:p>
            <w:pPr>
              <w:pStyle w:val="Compact"/>
              <w:spacing w:after="40"/>
              <w:jc w:val="left"/>
            </w:pPr>
            <w:r>
              <w:rPr>
                <w:sz w:val="18"/>
              </w:rPr>
              <w:t xml:space="preserve">Commercial; regulated</w:t>
            </w:r>
          </w:p>
        </w:tc>
        <w:tc>
          <w:tcPr>
            <w:tcW w:w="1142" w:type="dxa"/>
          </w:tcPr>
          <w:p>
            <w:pPr>
              <w:pStyle w:val="Compact"/>
              <w:spacing w:after="40"/>
              <w:jc w:val="left"/>
            </w:pPr>
            <w:r>
              <w:rPr>
                <w:sz w:val="18"/>
              </w:rPr>
              <w:t xml:space="preserve">Product, entity</w:t>
            </w:r>
          </w:p>
        </w:tc>
        <w:tc>
          <w:tcPr>
            <w:tcW w:w="1814" w:type="dxa"/>
          </w:tcPr>
          <w:p>
            <w:pPr>
              <w:pStyle w:val="Compact"/>
              <w:spacing w:after="40"/>
              <w:jc w:val="left"/>
            </w:pPr>
            <w:r>
              <w:rPr>
                <w:sz w:val="18"/>
              </w:rPr>
              <w:t xml:space="preserve">Credit policy → Chief Credit Officer; CS → resolution</w:t>
            </w:r>
          </w:p>
        </w:tc>
        <w:tc>
          <w:tcPr>
            <w:tcW w:w="1476" w:type="dxa"/>
          </w:tcPr>
          <w:p>
            <w:pPr>
              <w:pStyle w:val="Compact"/>
              <w:spacing w:after="40"/>
              <w:jc w:val="left"/>
            </w:pPr>
            <w:r>
              <w:rPr>
                <w:sz w:val="18"/>
              </w:rPr>
              <w:t xml:space="preserve">M4; GV5</w:t>
            </w:r>
          </w:p>
        </w:tc>
      </w:tr>
      <w:tr>
        <w:tc>
          <w:tcPr>
            <w:tcW w:w="1142" w:type="dxa"/>
          </w:tcPr>
          <w:p>
            <w:pPr>
              <w:pStyle w:val="Compact"/>
              <w:spacing w:after="40"/>
              <w:jc w:val="left"/>
            </w:pPr>
            <w:r>
              <w:rPr>
                <w:sz w:val="18"/>
              </w:rPr>
              <w:t xml:space="preserve">Recovery contact</w:t>
            </w:r>
          </w:p>
        </w:tc>
        <w:tc>
          <w:tcPr>
            <w:tcW w:w="2590" w:type="dxa"/>
          </w:tcPr>
          <w:p>
            <w:pPr>
              <w:pStyle w:val="Compact"/>
              <w:spacing w:after="40"/>
              <w:jc w:val="left"/>
            </w:pPr>
            <w:r>
              <w:rPr>
                <w:sz w:val="18"/>
              </w:rPr>
              <w:t xml:space="preserve">08:00–19:00; microfinance 09:00–18:00 until 31 Dec 2026, then the RBC Third Amendment pack (RBI/2026-27/230)</w:t>
            </w:r>
          </w:p>
        </w:tc>
        <w:tc>
          <w:tcPr>
            <w:tcW w:w="1474" w:type="dxa"/>
          </w:tcPr>
          <w:p>
            <w:pPr>
              <w:pStyle w:val="Compact"/>
              <w:spacing w:after="40"/>
              <w:jc w:val="left"/>
            </w:pPr>
            <w:r>
              <w:rPr>
                <w:sz w:val="18"/>
              </w:rPr>
              <w:t xml:space="preserve">Floor (narrow only)</w:t>
            </w:r>
          </w:p>
        </w:tc>
        <w:tc>
          <w:tcPr>
            <w:tcW w:w="1142" w:type="dxa"/>
          </w:tcPr>
          <w:p>
            <w:pPr>
              <w:pStyle w:val="Compact"/>
              <w:spacing w:after="40"/>
              <w:jc w:val="left"/>
            </w:pPr>
            <w:r>
              <w:rPr>
                <w:sz w:val="18"/>
              </w:rPr>
              <w:t xml:space="preserve">Product</w:t>
            </w:r>
          </w:p>
        </w:tc>
        <w:tc>
          <w:tcPr>
            <w:tcW w:w="1814" w:type="dxa"/>
          </w:tcPr>
          <w:p>
            <w:pPr>
              <w:pStyle w:val="Compact"/>
              <w:spacing w:after="40"/>
              <w:jc w:val="left"/>
            </w:pPr>
            <w:r>
              <w:rPr>
                <w:sz w:val="18"/>
              </w:rPr>
              <w:t xml:space="preserve">CCO → collections head</w:t>
            </w:r>
          </w:p>
        </w:tc>
        <w:tc>
          <w:tcPr>
            <w:tcW w:w="1476" w:type="dxa"/>
          </w:tcPr>
          <w:p>
            <w:pPr>
              <w:pStyle w:val="Compact"/>
              <w:spacing w:after="40"/>
              <w:jc w:val="left"/>
            </w:pPr>
            <w:r>
              <w:rPr>
                <w:sz w:val="18"/>
              </w:rPr>
              <w:t xml:space="preserve">RBC paras 91, 100, 100Y(4); EO6</w:t>
            </w:r>
          </w:p>
        </w:tc>
      </w:tr>
      <w:tr>
        <w:tc>
          <w:tcPr>
            <w:tcW w:w="1142" w:type="dxa"/>
          </w:tcPr>
          <w:p>
            <w:pPr>
              <w:pStyle w:val="Compact"/>
              <w:spacing w:after="40"/>
              <w:jc w:val="left"/>
            </w:pPr>
            <w:r>
              <w:rPr>
                <w:sz w:val="18"/>
              </w:rPr>
              <w:t xml:space="preserve">Calling caps</w:t>
            </w:r>
          </w:p>
        </w:tc>
        <w:tc>
          <w:tcPr>
            <w:tcW w:w="2590" w:type="dxa"/>
          </w:tcPr>
          <w:p>
            <w:pPr>
              <w:pStyle w:val="Compact"/>
              <w:spacing w:after="40"/>
              <w:jc w:val="left"/>
            </w:pPr>
            <w:r>
              <w:rPr>
                <w:sz w:val="18"/>
              </w:rPr>
              <w:t xml:space="preserve">3 attempts and 1 connected recovery call a day [REC]</w:t>
            </w:r>
          </w:p>
        </w:tc>
        <w:tc>
          <w:tcPr>
            <w:tcW w:w="1474" w:type="dxa"/>
          </w:tcPr>
          <w:p>
            <w:pPr>
              <w:pStyle w:val="Compact"/>
              <w:spacing w:after="40"/>
              <w:jc w:val="left"/>
            </w:pPr>
            <w:r>
              <w:rPr>
                <w:sz w:val="18"/>
              </w:rPr>
              <w:t xml:space="preserve">Commercial (lower only)</w:t>
            </w:r>
          </w:p>
        </w:tc>
        <w:tc>
          <w:tcPr>
            <w:tcW w:w="1142" w:type="dxa"/>
          </w:tcPr>
          <w:p>
            <w:pPr>
              <w:pStyle w:val="Compact"/>
              <w:spacing w:after="40"/>
              <w:jc w:val="left"/>
            </w:pPr>
            <w:r>
              <w:rPr>
                <w:sz w:val="18"/>
              </w:rPr>
              <w:t xml:space="preserve">Tenant</w:t>
            </w:r>
          </w:p>
        </w:tc>
        <w:tc>
          <w:tcPr>
            <w:tcW w:w="1814" w:type="dxa"/>
          </w:tcPr>
          <w:p>
            <w:pPr>
              <w:pStyle w:val="Compact"/>
              <w:spacing w:after="40"/>
              <w:jc w:val="left"/>
            </w:pPr>
            <w:r>
              <w:rPr>
                <w:sz w:val="18"/>
              </w:rPr>
              <w:t xml:space="preserve">Collections head → CCO</w:t>
            </w:r>
          </w:p>
        </w:tc>
        <w:tc>
          <w:tcPr>
            <w:tcW w:w="1476" w:type="dxa"/>
          </w:tcPr>
          <w:p>
            <w:pPr>
              <w:pStyle w:val="Compact"/>
              <w:spacing w:after="40"/>
              <w:jc w:val="left"/>
            </w:pPr>
            <w:r>
              <w:rPr>
                <w:sz w:val="18"/>
              </w:rPr>
              <w:t xml:space="preserve">EO6</w:t>
            </w:r>
          </w:p>
        </w:tc>
      </w:tr>
      <w:tr>
        <w:tc>
          <w:tcPr>
            <w:tcW w:w="1142" w:type="dxa"/>
          </w:tcPr>
          <w:p>
            <w:pPr>
              <w:pStyle w:val="Compact"/>
              <w:spacing w:after="40"/>
              <w:jc w:val="left"/>
            </w:pPr>
            <w:r>
              <w:rPr>
                <w:sz w:val="18"/>
              </w:rPr>
              <w:t xml:space="preserve">Marketing contact</w:t>
            </w:r>
          </w:p>
        </w:tc>
        <w:tc>
          <w:tcPr>
            <w:tcW w:w="2590" w:type="dxa"/>
          </w:tcPr>
          <w:p>
            <w:pPr>
              <w:pStyle w:val="Compact"/>
              <w:spacing w:after="40"/>
              <w:jc w:val="left"/>
            </w:pPr>
            <w:r>
              <w:rPr>
                <w:sz w:val="18"/>
              </w:rPr>
              <w:t xml:space="preserve">Consent</w:t>
            </w:r>
            <w:r>
              <w:rPr>
                <w:sz w:val="18"/>
              </w:rPr>
              <w:t xml:space="preserve"> </w:t>
            </w:r>
            <w:r>
              <w:rPr>
                <w:sz w:val="18"/>
              </w:rPr>
              <w:t xml:space="preserve">“</w:t>
            </w:r>
            <w:r>
              <w:rPr>
                <w:sz w:val="18"/>
              </w:rPr>
              <w:t xml:space="preserve">No</w:t>
            </w:r>
            <w:r>
              <w:rPr>
                <w:sz w:val="18"/>
              </w:rPr>
              <w:t xml:space="preserve">”</w:t>
            </w:r>
            <w:r>
              <w:rPr>
                <w:sz w:val="18"/>
              </w:rPr>
              <w:t xml:space="preserve"> </w:t>
            </w:r>
            <w:r>
              <w:rPr>
                <w:sz w:val="18"/>
              </w:rPr>
              <w:t xml:space="preserve">by default; 09:00–19:00 from 1 Jan 2027 [VERIFY: amendment text not supplied]</w:t>
            </w:r>
          </w:p>
        </w:tc>
        <w:tc>
          <w:tcPr>
            <w:tcW w:w="1474" w:type="dxa"/>
          </w:tcPr>
          <w:p>
            <w:pPr>
              <w:pStyle w:val="Compact"/>
              <w:spacing w:after="40"/>
              <w:jc w:val="left"/>
            </w:pPr>
            <w:r>
              <w:rPr>
                <w:sz w:val="18"/>
              </w:rPr>
              <w:t xml:space="preserve">Floor</w:t>
            </w:r>
          </w:p>
        </w:tc>
        <w:tc>
          <w:tcPr>
            <w:tcW w:w="1142" w:type="dxa"/>
          </w:tcPr>
          <w:p>
            <w:pPr>
              <w:pStyle w:val="Compact"/>
              <w:spacing w:after="40"/>
              <w:jc w:val="left"/>
            </w:pPr>
            <w:r>
              <w:rPr>
                <w:sz w:val="18"/>
              </w:rPr>
              <w:t xml:space="preserve">Tenant</w:t>
            </w:r>
          </w:p>
        </w:tc>
        <w:tc>
          <w:tcPr>
            <w:tcW w:w="1814" w:type="dxa"/>
          </w:tcPr>
          <w:p>
            <w:pPr>
              <w:pStyle w:val="Compact"/>
              <w:spacing w:after="40"/>
              <w:jc w:val="left"/>
            </w:pPr>
            <w:r>
              <w:rPr>
                <w:sz w:val="18"/>
              </w:rPr>
              <w:t xml:space="preserve">Marketing → CCO</w:t>
            </w:r>
          </w:p>
        </w:tc>
        <w:tc>
          <w:tcPr>
            <w:tcW w:w="1476" w:type="dxa"/>
          </w:tcPr>
          <w:p>
            <w:pPr>
              <w:pStyle w:val="Compact"/>
              <w:spacing w:after="40"/>
              <w:jc w:val="left"/>
            </w:pPr>
            <w:r>
              <w:rPr>
                <w:sz w:val="18"/>
              </w:rPr>
              <w:t xml:space="preserve">M18</w:t>
            </w:r>
          </w:p>
        </w:tc>
      </w:tr>
      <w:tr>
        <w:tc>
          <w:tcPr>
            <w:tcW w:w="1142" w:type="dxa"/>
          </w:tcPr>
          <w:p>
            <w:pPr>
              <w:pStyle w:val="Compact"/>
              <w:spacing w:after="40"/>
              <w:jc w:val="left"/>
            </w:pPr>
            <w:r>
              <w:rPr>
                <w:sz w:val="18"/>
              </w:rPr>
              <w:t xml:space="preserve">Recovery thresholds</w:t>
            </w:r>
          </w:p>
        </w:tc>
        <w:tc>
          <w:tcPr>
            <w:tcW w:w="2590" w:type="dxa"/>
          </w:tcPr>
          <w:p>
            <w:pPr>
              <w:pStyle w:val="Compact"/>
              <w:spacing w:after="40"/>
              <w:jc w:val="left"/>
            </w:pPr>
            <w:r>
              <w:rPr>
                <w:sz w:val="18"/>
              </w:rPr>
              <w:t xml:space="preserve">DoA, NPV floors, waiver bands</w:t>
            </w:r>
          </w:p>
        </w:tc>
        <w:tc>
          <w:tcPr>
            <w:tcW w:w="1474" w:type="dxa"/>
          </w:tcPr>
          <w:p>
            <w:pPr>
              <w:pStyle w:val="Compact"/>
              <w:spacing w:after="40"/>
              <w:jc w:val="left"/>
            </w:pPr>
            <w:r>
              <w:rPr>
                <w:sz w:val="18"/>
              </w:rPr>
              <w:t xml:space="preserve">Regulated configuration</w:t>
            </w:r>
          </w:p>
        </w:tc>
        <w:tc>
          <w:tcPr>
            <w:tcW w:w="1142" w:type="dxa"/>
          </w:tcPr>
          <w:p>
            <w:pPr>
              <w:pStyle w:val="Compact"/>
              <w:spacing w:after="40"/>
              <w:jc w:val="left"/>
            </w:pPr>
            <w:r>
              <w:rPr>
                <w:sz w:val="18"/>
              </w:rPr>
              <w:t xml:space="preserve">Entity, product</w:t>
            </w:r>
          </w:p>
        </w:tc>
        <w:tc>
          <w:tcPr>
            <w:tcW w:w="1814" w:type="dxa"/>
          </w:tcPr>
          <w:p>
            <w:pPr>
              <w:pStyle w:val="Compact"/>
              <w:spacing w:after="40"/>
              <w:jc w:val="left"/>
            </w:pPr>
            <w:r>
              <w:rPr>
                <w:sz w:val="18"/>
              </w:rPr>
              <w:t xml:space="preserve">Recovery Head → CCO</w:t>
            </w:r>
          </w:p>
        </w:tc>
        <w:tc>
          <w:tcPr>
            <w:tcW w:w="1476" w:type="dxa"/>
          </w:tcPr>
          <w:p>
            <w:pPr>
              <w:pStyle w:val="Compact"/>
              <w:spacing w:after="40"/>
              <w:jc w:val="left"/>
            </w:pPr>
            <w:r>
              <w:rPr>
                <w:sz w:val="18"/>
              </w:rPr>
              <w:t xml:space="preserve">7A.0.6</w:t>
            </w:r>
          </w:p>
        </w:tc>
      </w:tr>
      <w:tr>
        <w:tc>
          <w:tcPr>
            <w:tcW w:w="1142" w:type="dxa"/>
          </w:tcPr>
          <w:p>
            <w:pPr>
              <w:pStyle w:val="Compact"/>
              <w:spacing w:after="40"/>
              <w:jc w:val="left"/>
            </w:pPr>
            <w:r>
              <w:rPr>
                <w:sz w:val="18"/>
              </w:rPr>
              <w:t xml:space="preserve">Accounting and tax</w:t>
            </w:r>
          </w:p>
        </w:tc>
        <w:tc>
          <w:tcPr>
            <w:tcW w:w="2590" w:type="dxa"/>
          </w:tcPr>
          <w:p>
            <w:pPr>
              <w:pStyle w:val="Compact"/>
              <w:spacing w:after="40"/>
              <w:jc w:val="left"/>
            </w:pPr>
            <w:r>
              <w:rPr>
                <w:sz w:val="18"/>
              </w:rPr>
              <w:t xml:space="preserve">Framework; close calendar; reopen policy; GST treatment per charge; ITC option locked for the year</w:t>
            </w:r>
          </w:p>
        </w:tc>
        <w:tc>
          <w:tcPr>
            <w:tcW w:w="1474" w:type="dxa"/>
          </w:tcPr>
          <w:p>
            <w:pPr>
              <w:pStyle w:val="Compact"/>
              <w:spacing w:after="40"/>
              <w:jc w:val="left"/>
            </w:pPr>
            <w:r>
              <w:rPr>
                <w:sz w:val="18"/>
              </w:rPr>
              <w:t xml:space="preserve">Floors and choices</w:t>
            </w:r>
          </w:p>
        </w:tc>
        <w:tc>
          <w:tcPr>
            <w:tcW w:w="1142" w:type="dxa"/>
          </w:tcPr>
          <w:p>
            <w:pPr>
              <w:pStyle w:val="Compact"/>
              <w:spacing w:after="40"/>
              <w:jc w:val="left"/>
            </w:pPr>
            <w:r>
              <w:rPr>
                <w:sz w:val="18"/>
              </w:rPr>
              <w:t xml:space="preserve">Entity, GSTIN</w:t>
            </w:r>
          </w:p>
        </w:tc>
        <w:tc>
          <w:tcPr>
            <w:tcW w:w="1814" w:type="dxa"/>
          </w:tcPr>
          <w:p>
            <w:pPr>
              <w:pStyle w:val="Compact"/>
              <w:spacing w:after="40"/>
              <w:jc w:val="left"/>
            </w:pPr>
            <w:r>
              <w:rPr>
                <w:sz w:val="18"/>
              </w:rPr>
              <w:t xml:space="preserve">Accounts → CFO</w:t>
            </w:r>
          </w:p>
        </w:tc>
        <w:tc>
          <w:tcPr>
            <w:tcW w:w="1476" w:type="dxa"/>
          </w:tcPr>
          <w:p>
            <w:pPr>
              <w:pStyle w:val="Compact"/>
              <w:spacing w:after="40"/>
              <w:jc w:val="left"/>
            </w:pPr>
            <w:r>
              <w:rPr>
                <w:sz w:val="18"/>
              </w:rPr>
              <w:t xml:space="preserve">AC8.1</w:t>
            </w:r>
          </w:p>
        </w:tc>
      </w:tr>
      <w:tr>
        <w:tc>
          <w:tcPr>
            <w:tcW w:w="1142" w:type="dxa"/>
          </w:tcPr>
          <w:p>
            <w:pPr>
              <w:pStyle w:val="Compact"/>
              <w:spacing w:after="40"/>
              <w:jc w:val="left"/>
            </w:pPr>
            <w:r>
              <w:rPr>
                <w:sz w:val="18"/>
              </w:rPr>
              <w:t xml:space="preserve">Returns and bureaus</w:t>
            </w:r>
          </w:p>
        </w:tc>
        <w:tc>
          <w:tcPr>
            <w:tcW w:w="2590" w:type="dxa"/>
          </w:tcPr>
          <w:p>
            <w:pPr>
              <w:pStyle w:val="Compact"/>
              <w:spacing w:after="40"/>
              <w:jc w:val="left"/>
            </w:pPr>
            <w:r>
              <w:rPr>
                <w:sz w:val="18"/>
              </w:rPr>
              <w:t xml:space="preserve">Applicable returns; three-person separation; tolerance; four CICs; cadence never slower than CIR para 10(2)</w:t>
            </w:r>
          </w:p>
        </w:tc>
        <w:tc>
          <w:tcPr>
            <w:tcW w:w="1474" w:type="dxa"/>
          </w:tcPr>
          <w:p>
            <w:pPr>
              <w:pStyle w:val="Compact"/>
              <w:spacing w:after="40"/>
              <w:jc w:val="left"/>
            </w:pPr>
            <w:r>
              <w:rPr>
                <w:sz w:val="18"/>
              </w:rPr>
              <w:t xml:space="preserve">Floors</w:t>
            </w:r>
          </w:p>
        </w:tc>
        <w:tc>
          <w:tcPr>
            <w:tcW w:w="1142" w:type="dxa"/>
          </w:tcPr>
          <w:p>
            <w:pPr>
              <w:pStyle w:val="Compact"/>
              <w:spacing w:after="40"/>
              <w:jc w:val="left"/>
            </w:pPr>
            <w:r>
              <w:rPr>
                <w:sz w:val="18"/>
              </w:rPr>
              <w:t xml:space="preserve">Entity</w:t>
            </w:r>
          </w:p>
        </w:tc>
        <w:tc>
          <w:tcPr>
            <w:tcW w:w="1814" w:type="dxa"/>
          </w:tcPr>
          <w:p>
            <w:pPr>
              <w:pStyle w:val="Compact"/>
              <w:spacing w:after="40"/>
              <w:jc w:val="left"/>
            </w:pPr>
            <w:r>
              <w:rPr>
                <w:sz w:val="18"/>
              </w:rPr>
              <w:t xml:space="preserve">Compliance admin → CCO</w:t>
            </w:r>
          </w:p>
        </w:tc>
        <w:tc>
          <w:tcPr>
            <w:tcW w:w="1476" w:type="dxa"/>
          </w:tcPr>
          <w:p>
            <w:pPr>
              <w:pStyle w:val="Compact"/>
              <w:spacing w:after="40"/>
              <w:jc w:val="left"/>
            </w:pPr>
            <w:r>
              <w:rPr>
                <w:sz w:val="18"/>
              </w:rPr>
              <w:t xml:space="preserve">RR9.1</w:t>
            </w:r>
          </w:p>
        </w:tc>
      </w:tr>
      <w:tr>
        <w:tc>
          <w:tcPr>
            <w:tcW w:w="1142" w:type="dxa"/>
          </w:tcPr>
          <w:p>
            <w:pPr>
              <w:pStyle w:val="Compact"/>
              <w:spacing w:after="40"/>
              <w:jc w:val="left"/>
            </w:pPr>
            <w:r>
              <w:rPr>
                <w:sz w:val="18"/>
              </w:rPr>
              <w:t xml:space="preserve">Risk and capital</w:t>
            </w:r>
          </w:p>
        </w:tc>
        <w:tc>
          <w:tcPr>
            <w:tcW w:w="2590" w:type="dxa"/>
          </w:tcPr>
          <w:p>
            <w:pPr>
              <w:pStyle w:val="Compact"/>
              <w:spacing w:after="40"/>
              <w:jc w:val="left"/>
            </w:pPr>
            <w:r>
              <w:rPr>
                <w:sz w:val="18"/>
              </w:rPr>
              <w:t xml:space="preserve">RAS never looser than regulation; Board buffer 200 bps [REC]; SLS 10% / 10% / 20%; LCR internal 110%</w:t>
            </w:r>
          </w:p>
        </w:tc>
        <w:tc>
          <w:tcPr>
            <w:tcW w:w="1474" w:type="dxa"/>
          </w:tcPr>
          <w:p>
            <w:pPr>
              <w:pStyle w:val="Compact"/>
              <w:spacing w:after="40"/>
              <w:jc w:val="left"/>
            </w:pPr>
            <w:r>
              <w:rPr>
                <w:sz w:val="18"/>
              </w:rPr>
              <w:t xml:space="preserve">Floors and Board choices</w:t>
            </w:r>
          </w:p>
        </w:tc>
        <w:tc>
          <w:tcPr>
            <w:tcW w:w="1142" w:type="dxa"/>
          </w:tcPr>
          <w:p>
            <w:pPr>
              <w:pStyle w:val="Compact"/>
              <w:spacing w:after="40"/>
              <w:jc w:val="left"/>
            </w:pPr>
            <w:r>
              <w:rPr>
                <w:sz w:val="18"/>
              </w:rPr>
              <w:t xml:space="preserve">Tenant</w:t>
            </w:r>
          </w:p>
        </w:tc>
        <w:tc>
          <w:tcPr>
            <w:tcW w:w="1814" w:type="dxa"/>
          </w:tcPr>
          <w:p>
            <w:pPr>
              <w:pStyle w:val="Compact"/>
              <w:spacing w:after="40"/>
              <w:jc w:val="left"/>
            </w:pPr>
            <w:r>
              <w:rPr>
                <w:sz w:val="18"/>
              </w:rPr>
              <w:t xml:space="preserve">CRO, CFO → RMC, ALCO, Board</w:t>
            </w:r>
          </w:p>
        </w:tc>
        <w:tc>
          <w:tcPr>
            <w:tcW w:w="1476" w:type="dxa"/>
          </w:tcPr>
          <w:p>
            <w:pPr>
              <w:pStyle w:val="Compact"/>
              <w:spacing w:after="40"/>
              <w:jc w:val="left"/>
            </w:pPr>
            <w:r>
              <w:rPr>
                <w:sz w:val="18"/>
              </w:rPr>
              <w:t xml:space="preserve">RK1–RK5</w:t>
            </w:r>
          </w:p>
        </w:tc>
      </w:tr>
      <w:tr>
        <w:tc>
          <w:tcPr>
            <w:tcW w:w="1142" w:type="dxa"/>
          </w:tcPr>
          <w:p>
            <w:pPr>
              <w:pStyle w:val="Compact"/>
              <w:spacing w:after="40"/>
              <w:jc w:val="left"/>
            </w:pPr>
            <w:r>
              <w:rPr>
                <w:sz w:val="18"/>
              </w:rPr>
              <w:t xml:space="preserve">Audit</w:t>
            </w:r>
          </w:p>
        </w:tc>
        <w:tc>
          <w:tcPr>
            <w:tcW w:w="2590" w:type="dxa"/>
          </w:tcPr>
          <w:p>
            <w:pPr>
              <w:pStyle w:val="Compact"/>
              <w:spacing w:after="40"/>
              <w:jc w:val="left"/>
            </w:pPr>
            <w:r>
              <w:rPr>
                <w:sz w:val="18"/>
              </w:rPr>
              <w:t xml:space="preserve">IAF para 31 parameters locked; remediation 15 / 30 / 90 / 180 days; external grants 90 days at most</w:t>
            </w:r>
          </w:p>
        </w:tc>
        <w:tc>
          <w:tcPr>
            <w:tcW w:w="1474" w:type="dxa"/>
          </w:tcPr>
          <w:p>
            <w:pPr>
              <w:pStyle w:val="Compact"/>
              <w:spacing w:after="40"/>
              <w:jc w:val="left"/>
            </w:pPr>
            <w:r>
              <w:rPr>
                <w:sz w:val="18"/>
              </w:rPr>
              <w:t xml:space="preserve">Floors and choices</w:t>
            </w:r>
          </w:p>
        </w:tc>
        <w:tc>
          <w:tcPr>
            <w:tcW w:w="1142" w:type="dxa"/>
          </w:tcPr>
          <w:p>
            <w:pPr>
              <w:pStyle w:val="Compact"/>
              <w:spacing w:after="40"/>
              <w:jc w:val="left"/>
            </w:pPr>
            <w:r>
              <w:rPr>
                <w:sz w:val="18"/>
              </w:rPr>
              <w:t xml:space="preserve">Tenant, grant</w:t>
            </w:r>
          </w:p>
        </w:tc>
        <w:tc>
          <w:tcPr>
            <w:tcW w:w="1814" w:type="dxa"/>
          </w:tcPr>
          <w:p>
            <w:pPr>
              <w:pStyle w:val="Compact"/>
              <w:spacing w:after="40"/>
              <w:jc w:val="left"/>
            </w:pPr>
            <w:r>
              <w:rPr>
                <w:sz w:val="18"/>
              </w:rPr>
              <w:t xml:space="preserve">HIA → ACB; CCO → CISO</w:t>
            </w:r>
          </w:p>
        </w:tc>
        <w:tc>
          <w:tcPr>
            <w:tcW w:w="1476" w:type="dxa"/>
          </w:tcPr>
          <w:p>
            <w:pPr>
              <w:pStyle w:val="Compact"/>
              <w:spacing w:after="40"/>
              <w:jc w:val="left"/>
            </w:pPr>
            <w:r>
              <w:rPr>
                <w:sz w:val="18"/>
              </w:rPr>
              <w:t xml:space="preserve">AU1–AU7</w:t>
            </w:r>
          </w:p>
        </w:tc>
      </w:tr>
      <w:tr>
        <w:tc>
          <w:tcPr>
            <w:tcW w:w="1142" w:type="dxa"/>
          </w:tcPr>
          <w:p>
            <w:pPr>
              <w:pStyle w:val="Compact"/>
              <w:spacing w:after="40"/>
              <w:jc w:val="left"/>
            </w:pPr>
            <w:r>
              <w:rPr>
                <w:sz w:val="18"/>
              </w:rPr>
              <w:t xml:space="preserve">Governance and HR</w:t>
            </w:r>
          </w:p>
        </w:tc>
        <w:tc>
          <w:tcPr>
            <w:tcW w:w="2590" w:type="dxa"/>
          </w:tcPr>
          <w:p>
            <w:pPr>
              <w:pStyle w:val="Compact"/>
              <w:spacing w:after="40"/>
              <w:jc w:val="left"/>
            </w:pPr>
            <w:r>
              <w:rPr>
                <w:sz w:val="18"/>
              </w:rPr>
              <w:t xml:space="preserve">Minute timers shorten only; Labour Code pack</w:t>
            </w:r>
            <w:r>
              <w:rPr>
                <w:sz w:val="18"/>
              </w:rPr>
              <w:t xml:space="preserve"> </w:t>
            </w:r>
            <w:r>
              <w:rPr>
                <w:rStyle w:val="VerbatimChar"/>
                <w:sz w:val="18"/>
              </w:rPr>
              <w:t xml:space="preserve">infrabyx-labour-rulepack</w:t>
            </w:r>
            <w:r>
              <w:rPr>
                <w:sz w:val="18"/>
              </w:rPr>
              <w:t xml:space="preserve">; overtime only with consent</w:t>
            </w:r>
          </w:p>
        </w:tc>
        <w:tc>
          <w:tcPr>
            <w:tcW w:w="1474" w:type="dxa"/>
          </w:tcPr>
          <w:p>
            <w:pPr>
              <w:pStyle w:val="Compact"/>
              <w:spacing w:after="40"/>
              <w:jc w:val="left"/>
            </w:pPr>
            <w:r>
              <w:rPr>
                <w:sz w:val="18"/>
              </w:rPr>
              <w:t xml:space="preserve">Floors</w:t>
            </w:r>
          </w:p>
        </w:tc>
        <w:tc>
          <w:tcPr>
            <w:tcW w:w="1142" w:type="dxa"/>
          </w:tcPr>
          <w:p>
            <w:pPr>
              <w:pStyle w:val="Compact"/>
              <w:spacing w:after="40"/>
              <w:jc w:val="left"/>
            </w:pPr>
            <w:r>
              <w:rPr>
                <w:sz w:val="18"/>
              </w:rPr>
              <w:t xml:space="preserve">Tenant, establishment</w:t>
            </w:r>
          </w:p>
        </w:tc>
        <w:tc>
          <w:tcPr>
            <w:tcW w:w="1814" w:type="dxa"/>
          </w:tcPr>
          <w:p>
            <w:pPr>
              <w:pStyle w:val="Compact"/>
              <w:spacing w:after="40"/>
              <w:jc w:val="left"/>
            </w:pPr>
            <w:r>
              <w:rPr>
                <w:sz w:val="18"/>
              </w:rPr>
              <w:t xml:space="preserve">CS → Compliance Officer; HR → HR head</w:t>
            </w:r>
          </w:p>
        </w:tc>
        <w:tc>
          <w:tcPr>
            <w:tcW w:w="1476" w:type="dxa"/>
          </w:tcPr>
          <w:p>
            <w:pPr>
              <w:pStyle w:val="Compact"/>
              <w:spacing w:after="40"/>
              <w:jc w:val="left"/>
            </w:pPr>
            <w:r>
              <w:rPr>
                <w:sz w:val="18"/>
              </w:rPr>
              <w:t xml:space="preserve">GV1–GV6</w:t>
            </w:r>
          </w:p>
        </w:tc>
      </w:tr>
      <w:tr>
        <w:tc>
          <w:tcPr>
            <w:tcW w:w="1142" w:type="dxa"/>
          </w:tcPr>
          <w:p>
            <w:pPr>
              <w:pStyle w:val="Compact"/>
              <w:spacing w:after="40"/>
              <w:jc w:val="left"/>
            </w:pPr>
            <w:r>
              <w:rPr>
                <w:sz w:val="18"/>
              </w:rPr>
              <w:t xml:space="preserve">Workplace and data</w:t>
            </w:r>
          </w:p>
        </w:tc>
        <w:tc>
          <w:tcPr>
            <w:tcW w:w="2590" w:type="dxa"/>
          </w:tcPr>
          <w:p>
            <w:pPr>
              <w:pStyle w:val="Compact"/>
              <w:spacing w:after="40"/>
              <w:jc w:val="left"/>
            </w:pPr>
            <w:r>
              <w:rPr>
                <w:sz w:val="18"/>
              </w:rPr>
              <w:t xml:space="preserve">Residency attestation; MFA always; full and exit exports need a second approver and MFA</w:t>
            </w:r>
          </w:p>
        </w:tc>
        <w:tc>
          <w:tcPr>
            <w:tcW w:w="1474" w:type="dxa"/>
          </w:tcPr>
          <w:p>
            <w:pPr>
              <w:pStyle w:val="Compact"/>
              <w:spacing w:after="40"/>
              <w:jc w:val="left"/>
            </w:pPr>
            <w:r>
              <w:rPr>
                <w:sz w:val="18"/>
              </w:rPr>
              <w:t xml:space="preserve">Floors</w:t>
            </w:r>
          </w:p>
        </w:tc>
        <w:tc>
          <w:tcPr>
            <w:tcW w:w="1142" w:type="dxa"/>
          </w:tcPr>
          <w:p>
            <w:pPr>
              <w:pStyle w:val="Compact"/>
              <w:spacing w:after="40"/>
              <w:jc w:val="left"/>
            </w:pPr>
            <w:r>
              <w:rPr>
                <w:sz w:val="18"/>
              </w:rPr>
              <w:t xml:space="preserve">Connection, tenant</w:t>
            </w:r>
          </w:p>
        </w:tc>
        <w:tc>
          <w:tcPr>
            <w:tcW w:w="1814" w:type="dxa"/>
          </w:tcPr>
          <w:p>
            <w:pPr>
              <w:pStyle w:val="Compact"/>
              <w:spacing w:after="40"/>
              <w:jc w:val="left"/>
            </w:pPr>
            <w:r>
              <w:rPr>
                <w:sz w:val="18"/>
              </w:rPr>
              <w:t xml:space="preserve">Tenant admin → IT head or DP2.1 approver</w:t>
            </w:r>
          </w:p>
        </w:tc>
        <w:tc>
          <w:tcPr>
            <w:tcW w:w="1476" w:type="dxa"/>
          </w:tcPr>
          <w:p>
            <w:pPr>
              <w:pStyle w:val="Compact"/>
              <w:spacing w:after="40"/>
              <w:jc w:val="left"/>
            </w:pPr>
            <w:r>
              <w:rPr>
                <w:sz w:val="18"/>
              </w:rPr>
              <w:t xml:space="preserve">GV7; DP6</w:t>
            </w:r>
          </w:p>
        </w:tc>
      </w:tr>
      <w:tr>
        <w:tc>
          <w:tcPr>
            <w:tcW w:w="1142" w:type="dxa"/>
          </w:tcPr>
          <w:p>
            <w:pPr>
              <w:pStyle w:val="Compact"/>
              <w:spacing w:after="40"/>
              <w:jc w:val="left"/>
            </w:pPr>
            <w:r>
              <w:rPr>
                <w:sz w:val="18"/>
              </w:rPr>
              <w:t xml:space="preserve">Institution packs</w:t>
            </w:r>
          </w:p>
        </w:tc>
        <w:tc>
          <w:tcPr>
            <w:tcW w:w="2590" w:type="dxa"/>
          </w:tcPr>
          <w:p>
            <w:pPr>
              <w:pStyle w:val="Compact"/>
              <w:spacing w:after="40"/>
              <w:jc w:val="left"/>
            </w:pPr>
            <w:r>
              <w:rPr>
                <w:sz w:val="18"/>
              </w:rPr>
              <w:t xml:space="preserve">Household cap 50% (lower only); deposits only from voting members</w:t>
            </w:r>
          </w:p>
        </w:tc>
        <w:tc>
          <w:tcPr>
            <w:tcW w:w="1474" w:type="dxa"/>
          </w:tcPr>
          <w:p>
            <w:pPr>
              <w:pStyle w:val="Compact"/>
              <w:spacing w:after="40"/>
              <w:jc w:val="left"/>
            </w:pPr>
            <w:r>
              <w:rPr>
                <w:sz w:val="18"/>
              </w:rPr>
              <w:t xml:space="preserve">Floors</w:t>
            </w:r>
          </w:p>
        </w:tc>
        <w:tc>
          <w:tcPr>
            <w:tcW w:w="1142" w:type="dxa"/>
          </w:tcPr>
          <w:p>
            <w:pPr>
              <w:pStyle w:val="Compact"/>
              <w:spacing w:after="40"/>
              <w:jc w:val="left"/>
            </w:pPr>
            <w:r>
              <w:rPr>
                <w:sz w:val="18"/>
              </w:rPr>
              <w:t xml:space="preserve">Product, society</w:t>
            </w:r>
          </w:p>
        </w:tc>
        <w:tc>
          <w:tcPr>
            <w:tcW w:w="1814" w:type="dxa"/>
          </w:tcPr>
          <w:p>
            <w:pPr>
              <w:pStyle w:val="Compact"/>
              <w:spacing w:after="40"/>
              <w:jc w:val="left"/>
            </w:pPr>
            <w:r>
              <w:rPr>
                <w:sz w:val="18"/>
              </w:rPr>
              <w:t xml:space="preserve">CCO → Board</w:t>
            </w:r>
          </w:p>
        </w:tc>
        <w:tc>
          <w:tcPr>
            <w:tcW w:w="1476" w:type="dxa"/>
          </w:tcPr>
          <w:p>
            <w:pPr>
              <w:pStyle w:val="Compact"/>
              <w:spacing w:after="40"/>
              <w:jc w:val="left"/>
            </w:pPr>
            <w:r>
              <w:rPr>
                <w:sz w:val="18"/>
              </w:rPr>
              <w:t xml:space="preserve">IP2–IP6</w:t>
            </w:r>
          </w:p>
        </w:tc>
      </w:tr>
      <w:tr>
        <w:tc>
          <w:tcPr>
            <w:tcW w:w="1142" w:type="dxa"/>
          </w:tcPr>
          <w:p>
            <w:pPr>
              <w:pStyle w:val="Compact"/>
              <w:spacing w:after="40"/>
              <w:jc w:val="left"/>
            </w:pPr>
            <w:r>
              <w:rPr>
                <w:sz w:val="18"/>
              </w:rPr>
              <w:t xml:space="preserve">Investments</w:t>
            </w:r>
          </w:p>
        </w:tc>
        <w:tc>
          <w:tcPr>
            <w:tcW w:w="2590" w:type="dxa"/>
          </w:tcPr>
          <w:p>
            <w:pPr>
              <w:pStyle w:val="Compact"/>
              <w:spacing w:after="40"/>
              <w:jc w:val="left"/>
            </w:pPr>
            <w:r>
              <w:rPr>
                <w:sz w:val="18"/>
              </w:rPr>
              <w:t xml:space="preserve">Whitelist empty until Board policy;</w:t>
            </w:r>
            <w:r>
              <w:rPr>
                <w:sz w:val="18"/>
              </w:rPr>
              <w:t xml:space="preserve"> </w:t>
            </w:r>
            <w:r>
              <w:rPr>
                <w:rStyle w:val="VerbatimChar"/>
                <w:sz w:val="18"/>
              </w:rPr>
              <w:t xml:space="preserve">chinese_wall_exception</w:t>
            </w:r>
            <w:r>
              <w:rPr>
                <w:sz w:val="18"/>
              </w:rPr>
              <w:t xml:space="preserve"> </w:t>
            </w:r>
            <w:r>
              <w:rPr>
                <w:sz w:val="18"/>
              </w:rPr>
              <w:t xml:space="preserve">off</w:t>
            </w:r>
          </w:p>
        </w:tc>
        <w:tc>
          <w:tcPr>
            <w:tcW w:w="1474" w:type="dxa"/>
          </w:tcPr>
          <w:p>
            <w:pPr>
              <w:pStyle w:val="Compact"/>
              <w:spacing w:after="40"/>
              <w:jc w:val="left"/>
            </w:pPr>
            <w:r>
              <w:rPr>
                <w:sz w:val="18"/>
              </w:rPr>
              <w:t xml:space="preserve">Board policy; floor</w:t>
            </w:r>
          </w:p>
        </w:tc>
        <w:tc>
          <w:tcPr>
            <w:tcW w:w="1142" w:type="dxa"/>
          </w:tcPr>
          <w:p>
            <w:pPr>
              <w:pStyle w:val="Compact"/>
              <w:spacing w:after="40"/>
              <w:jc w:val="left"/>
            </w:pPr>
            <w:r>
              <w:rPr>
                <w:sz w:val="18"/>
              </w:rPr>
              <w:t xml:space="preserve">Tenant</w:t>
            </w:r>
          </w:p>
        </w:tc>
        <w:tc>
          <w:tcPr>
            <w:tcW w:w="1814" w:type="dxa"/>
          </w:tcPr>
          <w:p>
            <w:pPr>
              <w:pStyle w:val="Compact"/>
              <w:spacing w:after="40"/>
              <w:jc w:val="left"/>
            </w:pPr>
            <w:r>
              <w:rPr>
                <w:sz w:val="18"/>
              </w:rPr>
              <w:t xml:space="preserve">Mid office → CCO</w:t>
            </w:r>
          </w:p>
        </w:tc>
        <w:tc>
          <w:tcPr>
            <w:tcW w:w="1476" w:type="dxa"/>
          </w:tcPr>
          <w:p>
            <w:pPr>
              <w:pStyle w:val="Compact"/>
              <w:spacing w:after="40"/>
              <w:jc w:val="left"/>
            </w:pPr>
            <w:r>
              <w:rPr>
                <w:sz w:val="18"/>
              </w:rPr>
              <w:t xml:space="preserve">Part 7H; Appendix B item 49</w:t>
            </w:r>
          </w:p>
        </w:tc>
      </w:tr>
      <w:tr>
        <w:tc>
          <w:tcPr>
            <w:tcW w:w="1142" w:type="dxa"/>
          </w:tcPr>
          <w:p>
            <w:pPr>
              <w:pStyle w:val="Compact"/>
              <w:spacing w:after="40"/>
              <w:jc w:val="left"/>
            </w:pPr>
            <w:r>
              <w:rPr>
                <w:sz w:val="18"/>
              </w:rPr>
              <w:t xml:space="preserve">Billing and releases</w:t>
            </w:r>
          </w:p>
        </w:tc>
        <w:tc>
          <w:tcPr>
            <w:tcW w:w="2590" w:type="dxa"/>
          </w:tcPr>
          <w:p>
            <w:pPr>
              <w:pStyle w:val="Compact"/>
              <w:spacing w:after="40"/>
              <w:jc w:val="left"/>
            </w:pPr>
            <w:r>
              <w:rPr>
                <w:sz w:val="18"/>
              </w:rPr>
              <w:t xml:space="preserve">Second approver for plan changes; export and exit always included; patch SLAs 72 h / 7 d / 30 d / 90 d</w:t>
            </w:r>
          </w:p>
        </w:tc>
        <w:tc>
          <w:tcPr>
            <w:tcW w:w="1474" w:type="dxa"/>
          </w:tcPr>
          <w:p>
            <w:pPr>
              <w:pStyle w:val="Compact"/>
              <w:spacing w:after="40"/>
              <w:jc w:val="left"/>
            </w:pPr>
            <w:r>
              <w:rPr>
                <w:sz w:val="18"/>
              </w:rPr>
              <w:t xml:space="preserve">Floors</w:t>
            </w:r>
          </w:p>
        </w:tc>
        <w:tc>
          <w:tcPr>
            <w:tcW w:w="1142" w:type="dxa"/>
          </w:tcPr>
          <w:p>
            <w:pPr>
              <w:pStyle w:val="Compact"/>
              <w:spacing w:after="40"/>
              <w:jc w:val="left"/>
            </w:pPr>
            <w:r>
              <w:rPr>
                <w:sz w:val="18"/>
              </w:rPr>
              <w:t xml:space="preserve">Tenant, platform</w:t>
            </w:r>
          </w:p>
        </w:tc>
        <w:tc>
          <w:tcPr>
            <w:tcW w:w="1814" w:type="dxa"/>
          </w:tcPr>
          <w:p>
            <w:pPr>
              <w:pStyle w:val="Compact"/>
              <w:spacing w:after="40"/>
              <w:jc w:val="left"/>
            </w:pPr>
            <w:r>
              <w:rPr>
                <w:sz w:val="18"/>
              </w:rPr>
              <w:t xml:space="preserve">Billing admin → second approver; Infrabyx via OH13</w:t>
            </w:r>
          </w:p>
        </w:tc>
        <w:tc>
          <w:tcPr>
            <w:tcW w:w="1476" w:type="dxa"/>
          </w:tcPr>
          <w:p>
            <w:pPr>
              <w:pStyle w:val="Compact"/>
              <w:spacing w:after="40"/>
              <w:jc w:val="left"/>
            </w:pPr>
            <w:r>
              <w:rPr>
                <w:sz w:val="18"/>
              </w:rPr>
              <w:t xml:space="preserve">CM1–CM5; EO1–EO5</w:t>
            </w:r>
          </w:p>
        </w:tc>
      </w:tr>
      <w:tr>
        <w:tc>
          <w:tcPr>
            <w:tcW w:w="1142" w:type="dxa"/>
          </w:tcPr>
          <w:p>
            <w:pPr>
              <w:pStyle w:val="Compact"/>
              <w:spacing w:after="40"/>
              <w:jc w:val="left"/>
            </w:pPr>
            <w:r>
              <w:rPr>
                <w:sz w:val="18"/>
              </w:rPr>
              <w:t xml:space="preserve">Voice</w:t>
            </w:r>
          </w:p>
        </w:tc>
        <w:tc>
          <w:tcPr>
            <w:tcW w:w="2590" w:type="dxa"/>
          </w:tcPr>
          <w:p>
            <w:pPr>
              <w:pStyle w:val="Compact"/>
              <w:spacing w:after="40"/>
              <w:jc w:val="left"/>
            </w:pPr>
            <w:r>
              <w:rPr>
                <w:sz w:val="18"/>
              </w:rPr>
              <w:t xml:space="preserve">AI inbound assistant off; recovery-call recordings kept 6 months from 1 Jan 2027</w:t>
            </w:r>
          </w:p>
        </w:tc>
        <w:tc>
          <w:tcPr>
            <w:tcW w:w="1474" w:type="dxa"/>
          </w:tcPr>
          <w:p>
            <w:pPr>
              <w:pStyle w:val="Compact"/>
              <w:spacing w:after="40"/>
              <w:jc w:val="left"/>
            </w:pPr>
            <w:r>
              <w:rPr>
                <w:sz w:val="18"/>
              </w:rPr>
              <w:t xml:space="preserve">Choice; floor</w:t>
            </w:r>
          </w:p>
        </w:tc>
        <w:tc>
          <w:tcPr>
            <w:tcW w:w="1142" w:type="dxa"/>
          </w:tcPr>
          <w:p>
            <w:pPr>
              <w:pStyle w:val="Compact"/>
              <w:spacing w:after="40"/>
              <w:jc w:val="left"/>
            </w:pPr>
            <w:r>
              <w:rPr>
                <w:sz w:val="18"/>
              </w:rPr>
              <w:t xml:space="preserve">Tenant</w:t>
            </w:r>
          </w:p>
        </w:tc>
        <w:tc>
          <w:tcPr>
            <w:tcW w:w="1814" w:type="dxa"/>
          </w:tcPr>
          <w:p>
            <w:pPr>
              <w:pStyle w:val="Compact"/>
              <w:spacing w:after="40"/>
              <w:jc w:val="left"/>
            </w:pPr>
            <w:r>
              <w:rPr>
                <w:sz w:val="18"/>
              </w:rPr>
              <w:t xml:space="preserve">Tenant admin → CCO</w:t>
            </w:r>
          </w:p>
        </w:tc>
        <w:tc>
          <w:tcPr>
            <w:tcW w:w="1476" w:type="dxa"/>
          </w:tcPr>
          <w:p>
            <w:pPr>
              <w:pStyle w:val="Compact"/>
              <w:spacing w:after="40"/>
              <w:jc w:val="left"/>
            </w:pPr>
            <w:r>
              <w:rPr>
                <w:sz w:val="18"/>
              </w:rPr>
              <w:t xml:space="preserve">EO6</w:t>
            </w:r>
          </w:p>
        </w:tc>
      </w:tr>
      <w:tr>
        <w:tc>
          <w:tcPr>
            <w:tcW w:w="1142" w:type="dxa"/>
          </w:tcPr>
          <w:p>
            <w:pPr>
              <w:pStyle w:val="Compact"/>
              <w:spacing w:after="40"/>
              <w:jc w:val="left"/>
            </w:pPr>
            <w:r>
              <w:rPr>
                <w:sz w:val="18"/>
              </w:rPr>
              <w:t xml:space="preserve">Hub sharing</w:t>
            </w:r>
          </w:p>
        </w:tc>
        <w:tc>
          <w:tcPr>
            <w:tcW w:w="2590" w:type="dxa"/>
          </w:tcPr>
          <w:p>
            <w:pPr>
              <w:pStyle w:val="Compact"/>
              <w:spacing w:after="40"/>
              <w:jc w:val="left"/>
            </w:pPr>
            <w:r>
              <w:rPr>
                <w:rStyle w:val="VerbatimChar"/>
                <w:sz w:val="18"/>
              </w:rPr>
              <w:t xml:space="preserve">share_return_status_with_hub</w:t>
            </w:r>
            <w:r>
              <w:rPr>
                <w:sz w:val="18"/>
              </w:rPr>
              <w:t xml:space="preserve">,</w:t>
            </w:r>
            <w:r>
              <w:rPr>
                <w:sz w:val="18"/>
              </w:rPr>
              <w:t xml:space="preserve"> </w:t>
            </w:r>
            <w:r>
              <w:rPr>
                <w:rStyle w:val="VerbatimChar"/>
                <w:sz w:val="18"/>
              </w:rPr>
              <w:t xml:space="preserve">share_close_status_with_hub</w:t>
            </w:r>
            <w:r>
              <w:rPr>
                <w:sz w:val="18"/>
              </w:rPr>
              <w:t xml:space="preserve"> </w:t>
            </w:r>
            <w:r>
              <w:rPr>
                <w:sz w:val="18"/>
              </w:rPr>
              <w:t xml:space="preserve">off; metadata only</w:t>
            </w:r>
          </w:p>
        </w:tc>
        <w:tc>
          <w:tcPr>
            <w:tcW w:w="1474" w:type="dxa"/>
          </w:tcPr>
          <w:p>
            <w:pPr>
              <w:pStyle w:val="Compact"/>
              <w:spacing w:after="40"/>
              <w:jc w:val="left"/>
            </w:pPr>
            <w:r>
              <w:rPr>
                <w:sz w:val="18"/>
              </w:rPr>
              <w:t xml:space="preserve">Commercial</w:t>
            </w:r>
          </w:p>
        </w:tc>
        <w:tc>
          <w:tcPr>
            <w:tcW w:w="1142" w:type="dxa"/>
          </w:tcPr>
          <w:p>
            <w:pPr>
              <w:pStyle w:val="Compact"/>
              <w:spacing w:after="40"/>
              <w:jc w:val="left"/>
            </w:pPr>
            <w:r>
              <w:rPr>
                <w:sz w:val="18"/>
              </w:rPr>
              <w:t xml:space="preserve">Tenant</w:t>
            </w:r>
          </w:p>
        </w:tc>
        <w:tc>
          <w:tcPr>
            <w:tcW w:w="1814" w:type="dxa"/>
          </w:tcPr>
          <w:p>
            <w:pPr>
              <w:pStyle w:val="Compact"/>
              <w:spacing w:after="40"/>
              <w:jc w:val="left"/>
            </w:pPr>
            <w:r>
              <w:rPr>
                <w:sz w:val="18"/>
              </w:rPr>
              <w:t xml:space="preserve">CCO or CFO → tenant admin</w:t>
            </w:r>
          </w:p>
        </w:tc>
        <w:tc>
          <w:tcPr>
            <w:tcW w:w="1476" w:type="dxa"/>
          </w:tcPr>
          <w:p>
            <w:pPr>
              <w:pStyle w:val="Compact"/>
              <w:spacing w:after="40"/>
              <w:jc w:val="left"/>
            </w:pPr>
            <w:r>
              <w:rPr>
                <w:sz w:val="18"/>
              </w:rPr>
              <w:t xml:space="preserve">RR9.1; AC8.1</w:t>
            </w:r>
          </w:p>
        </w:tc>
      </w:tr>
    </w:tbl>
    <w:bookmarkEnd w:id="934"/>
    <w:bookmarkStart w:id="935" w:name="g.7.3-fixed-rules-shown-read-only"/>
    <w:p>
      <w:pPr>
        <w:pStyle w:val="Heading3"/>
      </w:pPr>
      <w:r>
        <w:t xml:space="preserve">G.7.3 Fixed rules shown read-only</w:t>
      </w:r>
    </w:p>
    <w:p>
      <w:pPr>
        <w:pStyle w:val="FirstParagraph"/>
      </w:pPr>
      <w:r>
        <w:t xml:space="preserve">Audit trail on (CA13 rule 3(1)); NPA beyond 90 DPD; capitalised penal charges; prepayment fees on barred loans; another lender’s data; WhatsApp for collection, recovery or legal notices; settlement approval by a sanctioning official; recovery contact outside the window; GR-7G-01 to GR-7G-07, GR-7G-13, GR-7G-14 and GR-7H-01; the CM1.4 continuity rule; prohibited employee monitoring (GV6); AI approving, rejecting or pricing a loan (M20); Aadhaar numbers outside the vault (M3); MFA off.</w:t>
      </w:r>
    </w:p>
    <w:bookmarkEnd w:id="935"/>
    <w:bookmarkEnd w:id="936"/>
    <w:bookmarkStart w:id="937" w:name="g.8-notification-catalogue"/>
    <w:p>
      <w:pPr>
        <w:pStyle w:val="Heading2"/>
      </w:pPr>
      <w:r>
        <w:t xml:space="preserve">G.8 Notification catalogue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87"/>
        <w:gridCol w:w="3234"/>
        <w:gridCol w:w="1162"/>
        <w:gridCol w:w="1461"/>
        <w:gridCol w:w="1407"/>
        <w:gridCol w:w="1387"/>
      </w:tblGrid>
      <w:tr>
        <w:trPr>
          <w:tblHeader w:val="true"/>
          <w:tblHeader w:val="true"/>
        </w:trPr>
        <w:tc>
          <w:tcPr>
            <w:tcW w:w="987" w:type="dxa"/>
            <w:shd w:val="clear" w:color="auto" w:fill="1F3A5F"/>
          </w:tcPr>
          <w:p>
            <w:pPr>
              <w:pStyle w:val="Compact"/>
              <w:spacing w:after="40"/>
              <w:jc w:val="left"/>
            </w:pPr>
            <w:r>
              <w:rPr>
                <w:b/>
                <w:color w:val="FFFFFF"/>
                <w:sz w:val="18"/>
              </w:rPr>
              <w:t xml:space="preserve">Class</w:t>
            </w:r>
          </w:p>
        </w:tc>
        <w:tc>
          <w:tcPr>
            <w:tcW w:w="3234" w:type="dxa"/>
            <w:shd w:val="clear" w:color="auto" w:fill="1F3A5F"/>
          </w:tcPr>
          <w:p>
            <w:pPr>
              <w:pStyle w:val="Compact"/>
              <w:spacing w:after="40"/>
              <w:jc w:val="left"/>
            </w:pPr>
            <w:r>
              <w:rPr>
                <w:b/>
                <w:color w:val="FFFFFF"/>
                <w:sz w:val="18"/>
              </w:rPr>
              <w:t xml:space="preserve">Examples</w:t>
            </w:r>
          </w:p>
        </w:tc>
        <w:tc>
          <w:tcPr>
            <w:tcW w:w="1162" w:type="dxa"/>
            <w:shd w:val="clear" w:color="auto" w:fill="1F3A5F"/>
          </w:tcPr>
          <w:p>
            <w:pPr>
              <w:pStyle w:val="Compact"/>
              <w:spacing w:after="40"/>
              <w:jc w:val="left"/>
            </w:pPr>
            <w:r>
              <w:rPr>
                <w:b/>
                <w:color w:val="FFFFFF"/>
                <w:sz w:val="18"/>
              </w:rPr>
              <w:t xml:space="preserve">Mandatory</w:t>
            </w:r>
          </w:p>
        </w:tc>
        <w:tc>
          <w:tcPr>
            <w:tcW w:w="1461" w:type="dxa"/>
            <w:shd w:val="clear" w:color="auto" w:fill="1F3A5F"/>
          </w:tcPr>
          <w:p>
            <w:pPr>
              <w:pStyle w:val="Compact"/>
              <w:spacing w:after="40"/>
              <w:jc w:val="left"/>
            </w:pPr>
            <w:r>
              <w:rPr>
                <w:b/>
                <w:color w:val="FFFFFF"/>
                <w:sz w:val="18"/>
              </w:rPr>
              <w:t xml:space="preserve">Channels</w:t>
            </w:r>
          </w:p>
        </w:tc>
        <w:tc>
          <w:tcPr>
            <w:tcW w:w="1407" w:type="dxa"/>
            <w:shd w:val="clear" w:color="auto" w:fill="1F3A5F"/>
          </w:tcPr>
          <w:p>
            <w:pPr>
              <w:pStyle w:val="Compact"/>
              <w:spacing w:after="40"/>
              <w:jc w:val="left"/>
            </w:pPr>
            <w:r>
              <w:rPr>
                <w:b/>
                <w:color w:val="FFFFFF"/>
                <w:sz w:val="18"/>
              </w:rPr>
              <w:t xml:space="preserve">Quiet hours</w:t>
            </w:r>
          </w:p>
        </w:tc>
        <w:tc>
          <w:tcPr>
            <w:tcW w:w="1387" w:type="dxa"/>
            <w:shd w:val="clear" w:color="auto" w:fill="1F3A5F"/>
          </w:tcPr>
          <w:p>
            <w:pPr>
              <w:pStyle w:val="Compact"/>
              <w:spacing w:after="40"/>
              <w:jc w:val="left"/>
            </w:pPr>
            <w:r>
              <w:rPr>
                <w:b/>
                <w:color w:val="FFFFFF"/>
                <w:sz w:val="18"/>
              </w:rPr>
              <w:t xml:space="preserve">Escalation</w:t>
            </w:r>
          </w:p>
        </w:tc>
      </w:tr>
      <w:tr>
        <w:tc>
          <w:tcPr>
            <w:tcW w:w="987" w:type="dxa"/>
          </w:tcPr>
          <w:p>
            <w:pPr>
              <w:pStyle w:val="Compact"/>
              <w:spacing w:after="40"/>
              <w:jc w:val="left"/>
            </w:pPr>
            <w:r>
              <w:rPr>
                <w:sz w:val="18"/>
              </w:rPr>
              <w:t xml:space="preserve">Task</w:t>
            </w:r>
          </w:p>
        </w:tc>
        <w:tc>
          <w:tcPr>
            <w:tcW w:w="3234" w:type="dxa"/>
          </w:tcPr>
          <w:p>
            <w:pPr>
              <w:pStyle w:val="Compact"/>
              <w:spacing w:after="40"/>
              <w:jc w:val="left"/>
            </w:pPr>
            <w:r>
              <w:rPr>
                <w:sz w:val="18"/>
              </w:rPr>
              <w:t xml:space="preserve">New or reassigned task</w:t>
            </w:r>
          </w:p>
        </w:tc>
        <w:tc>
          <w:tcPr>
            <w:tcW w:w="1162" w:type="dxa"/>
          </w:tcPr>
          <w:p>
            <w:pPr>
              <w:pStyle w:val="Compact"/>
              <w:spacing w:after="40"/>
              <w:jc w:val="left"/>
            </w:pPr>
            <w:r>
              <w:rPr>
                <w:sz w:val="18"/>
              </w:rPr>
              <w:t xml:space="preserve">In-app</w:t>
            </w:r>
          </w:p>
        </w:tc>
        <w:tc>
          <w:tcPr>
            <w:tcW w:w="1461" w:type="dxa"/>
          </w:tcPr>
          <w:p>
            <w:pPr>
              <w:pStyle w:val="Compact"/>
              <w:spacing w:after="40"/>
              <w:jc w:val="left"/>
            </w:pPr>
            <w:r>
              <w:rPr>
                <w:sz w:val="18"/>
              </w:rPr>
              <w:t xml:space="preserve">In-app; email digest</w:t>
            </w:r>
          </w:p>
        </w:tc>
        <w:tc>
          <w:tcPr>
            <w:tcW w:w="1407" w:type="dxa"/>
          </w:tcPr>
          <w:p>
            <w:pPr>
              <w:pStyle w:val="Compact"/>
              <w:spacing w:after="40"/>
              <w:jc w:val="left"/>
            </w:pPr>
            <w:r>
              <w:rPr>
                <w:sz w:val="18"/>
              </w:rPr>
              <w:t xml:space="preserve">Respected</w:t>
            </w:r>
          </w:p>
        </w:tc>
        <w:tc>
          <w:tcPr>
            <w:tcW w:w="1387" w:type="dxa"/>
          </w:tcPr>
          <w:p>
            <w:pPr>
              <w:pStyle w:val="Compact"/>
              <w:spacing w:after="40"/>
              <w:jc w:val="left"/>
            </w:pPr>
            <w:r>
              <w:rPr>
                <w:sz w:val="18"/>
              </w:rPr>
              <w:t xml:space="preserve">GV5 ladder</w:t>
            </w:r>
          </w:p>
        </w:tc>
      </w:tr>
      <w:tr>
        <w:tc>
          <w:tcPr>
            <w:tcW w:w="987" w:type="dxa"/>
          </w:tcPr>
          <w:p>
            <w:pPr>
              <w:pStyle w:val="Compact"/>
              <w:spacing w:after="40"/>
              <w:jc w:val="left"/>
            </w:pPr>
            <w:r>
              <w:rPr>
                <w:sz w:val="18"/>
              </w:rPr>
              <w:t xml:space="preserve">Approval</w:t>
            </w:r>
          </w:p>
        </w:tc>
        <w:tc>
          <w:tcPr>
            <w:tcW w:w="3234" w:type="dxa"/>
          </w:tcPr>
          <w:p>
            <w:pPr>
              <w:pStyle w:val="Compact"/>
              <w:spacing w:after="40"/>
              <w:jc w:val="left"/>
            </w:pPr>
            <w:r>
              <w:rPr>
                <w:sz w:val="18"/>
              </w:rPr>
              <w:t xml:space="preserve">Maker-checker items</w:t>
            </w:r>
          </w:p>
        </w:tc>
        <w:tc>
          <w:tcPr>
            <w:tcW w:w="1162" w:type="dxa"/>
          </w:tcPr>
          <w:p>
            <w:pPr>
              <w:pStyle w:val="Compact"/>
              <w:spacing w:after="40"/>
              <w:jc w:val="left"/>
            </w:pPr>
            <w:r>
              <w:rPr>
                <w:sz w:val="18"/>
              </w:rPr>
              <w:t xml:space="preserve">Yes</w:t>
            </w:r>
          </w:p>
        </w:tc>
        <w:tc>
          <w:tcPr>
            <w:tcW w:w="1461" w:type="dxa"/>
          </w:tcPr>
          <w:p>
            <w:pPr>
              <w:pStyle w:val="Compact"/>
              <w:spacing w:after="40"/>
              <w:jc w:val="left"/>
            </w:pPr>
            <w:r>
              <w:rPr>
                <w:sz w:val="18"/>
              </w:rPr>
              <w:t xml:space="preserve">In-app, email; Teams or Google Chat (deep link only)</w:t>
            </w:r>
          </w:p>
        </w:tc>
        <w:tc>
          <w:tcPr>
            <w:tcW w:w="1407" w:type="dxa"/>
          </w:tcPr>
          <w:p>
            <w:pPr>
              <w:pStyle w:val="Compact"/>
              <w:spacing w:after="40"/>
              <w:jc w:val="left"/>
            </w:pPr>
            <w:r>
              <w:rPr>
                <w:sz w:val="18"/>
              </w:rPr>
              <w:t xml:space="preserve">Respected unless a regulatory clock falls due within 24 hours</w:t>
            </w:r>
          </w:p>
        </w:tc>
        <w:tc>
          <w:tcPr>
            <w:tcW w:w="1387" w:type="dxa"/>
          </w:tcPr>
          <w:p>
            <w:pPr>
              <w:pStyle w:val="Compact"/>
              <w:spacing w:after="40"/>
              <w:jc w:val="left"/>
            </w:pPr>
            <w:r>
              <w:rPr>
                <w:sz w:val="18"/>
              </w:rPr>
              <w:t xml:space="preserve">Checker’s manager, then function head</w:t>
            </w:r>
          </w:p>
        </w:tc>
      </w:tr>
      <w:tr>
        <w:tc>
          <w:tcPr>
            <w:tcW w:w="987" w:type="dxa"/>
          </w:tcPr>
          <w:p>
            <w:pPr>
              <w:pStyle w:val="Compact"/>
              <w:spacing w:after="40"/>
              <w:jc w:val="left"/>
            </w:pPr>
            <w:r>
              <w:rPr>
                <w:sz w:val="18"/>
              </w:rPr>
              <w:t xml:space="preserve">Regulatory clock</w:t>
            </w:r>
          </w:p>
        </w:tc>
        <w:tc>
          <w:tcPr>
            <w:tcW w:w="3234" w:type="dxa"/>
          </w:tcPr>
          <w:p>
            <w:pPr>
              <w:pStyle w:val="Compact"/>
              <w:spacing w:after="40"/>
              <w:jc w:val="left"/>
            </w:pPr>
            <w:r>
              <w:rPr>
                <w:sz w:val="18"/>
              </w:rPr>
              <w:t xml:space="preserve">Returns T−7, T−3, T−1, breach; FMR 14 days; CKYC; grievance 30 days; RB-IOS 15 days; s.138; minutes; final wages</w:t>
            </w:r>
          </w:p>
        </w:tc>
        <w:tc>
          <w:tcPr>
            <w:tcW w:w="1162" w:type="dxa"/>
          </w:tcPr>
          <w:p>
            <w:pPr>
              <w:pStyle w:val="Compact"/>
              <w:spacing w:after="40"/>
              <w:jc w:val="left"/>
            </w:pPr>
            <w:r>
              <w:rPr>
                <w:sz w:val="18"/>
              </w:rPr>
              <w:t xml:space="preserve">Yes</w:t>
            </w:r>
          </w:p>
        </w:tc>
        <w:tc>
          <w:tcPr>
            <w:tcW w:w="1461" w:type="dxa"/>
          </w:tcPr>
          <w:p>
            <w:pPr>
              <w:pStyle w:val="Compact"/>
              <w:spacing w:after="40"/>
              <w:jc w:val="left"/>
            </w:pPr>
            <w:r>
              <w:rPr>
                <w:sz w:val="18"/>
              </w:rPr>
              <w:t xml:space="preserve">In-app, email</w:t>
            </w:r>
          </w:p>
        </w:tc>
        <w:tc>
          <w:tcPr>
            <w:tcW w:w="1407" w:type="dxa"/>
          </w:tcPr>
          <w:p>
            <w:pPr>
              <w:pStyle w:val="Compact"/>
              <w:spacing w:after="40"/>
              <w:jc w:val="left"/>
            </w:pPr>
            <w:r>
              <w:rPr>
                <w:sz w:val="18"/>
              </w:rPr>
              <w:t xml:space="preserve">Ignored from one day before breach</w:t>
            </w:r>
          </w:p>
        </w:tc>
        <w:tc>
          <w:tcPr>
            <w:tcW w:w="1387" w:type="dxa"/>
          </w:tcPr>
          <w:p>
            <w:pPr>
              <w:pStyle w:val="Compact"/>
              <w:spacing w:after="40"/>
              <w:jc w:val="left"/>
            </w:pPr>
            <w:r>
              <w:rPr>
                <w:sz w:val="18"/>
              </w:rPr>
              <w:t xml:space="preserve">Owner, CCO on breach, MD and CEO after 2 working days (RR9.1)</w:t>
            </w:r>
          </w:p>
        </w:tc>
      </w:tr>
      <w:tr>
        <w:tc>
          <w:tcPr>
            <w:tcW w:w="987" w:type="dxa"/>
          </w:tcPr>
          <w:p>
            <w:pPr>
              <w:pStyle w:val="Compact"/>
              <w:spacing w:after="40"/>
              <w:jc w:val="left"/>
            </w:pPr>
            <w:r>
              <w:rPr>
                <w:sz w:val="18"/>
              </w:rPr>
              <w:t xml:space="preserve">Breach or incident</w:t>
            </w:r>
          </w:p>
        </w:tc>
        <w:tc>
          <w:tcPr>
            <w:tcW w:w="3234" w:type="dxa"/>
          </w:tcPr>
          <w:p>
            <w:pPr>
              <w:pStyle w:val="Compact"/>
              <w:spacing w:after="40"/>
              <w:jc w:val="left"/>
            </w:pPr>
            <w:r>
              <w:rPr>
                <w:sz w:val="18"/>
              </w:rPr>
              <w:t xml:space="preserve">RAS or LE breach; LCR below 100%; cyber incident (6-hour report); DR failure</w:t>
            </w:r>
          </w:p>
        </w:tc>
        <w:tc>
          <w:tcPr>
            <w:tcW w:w="1162" w:type="dxa"/>
          </w:tcPr>
          <w:p>
            <w:pPr>
              <w:pStyle w:val="Compact"/>
              <w:spacing w:after="40"/>
              <w:jc w:val="left"/>
            </w:pPr>
            <w:r>
              <w:rPr>
                <w:sz w:val="18"/>
              </w:rPr>
              <w:t xml:space="preserve">Yes</w:t>
            </w:r>
          </w:p>
        </w:tc>
        <w:tc>
          <w:tcPr>
            <w:tcW w:w="1461" w:type="dxa"/>
          </w:tcPr>
          <w:p>
            <w:pPr>
              <w:pStyle w:val="Compact"/>
              <w:spacing w:after="40"/>
              <w:jc w:val="left"/>
            </w:pPr>
            <w:r>
              <w:rPr>
                <w:sz w:val="18"/>
              </w:rPr>
              <w:t xml:space="preserve">In-app, email, SMS to on-call and KMP</w:t>
            </w:r>
          </w:p>
        </w:tc>
        <w:tc>
          <w:tcPr>
            <w:tcW w:w="1407" w:type="dxa"/>
          </w:tcPr>
          <w:p>
            <w:pPr>
              <w:pStyle w:val="Compact"/>
              <w:spacing w:after="40"/>
              <w:jc w:val="left"/>
            </w:pPr>
            <w:r>
              <w:rPr>
                <w:sz w:val="18"/>
              </w:rPr>
              <w:t xml:space="preserve">Ignored</w:t>
            </w:r>
          </w:p>
        </w:tc>
        <w:tc>
          <w:tcPr>
            <w:tcW w:w="1387" w:type="dxa"/>
          </w:tcPr>
          <w:p>
            <w:pPr>
              <w:pStyle w:val="Compact"/>
              <w:spacing w:after="40"/>
              <w:jc w:val="left"/>
            </w:pPr>
            <w:r>
              <w:rPr>
                <w:sz w:val="18"/>
              </w:rPr>
              <w:t xml:space="preserve">CRO or CISO, then MD and CEO</w:t>
            </w:r>
          </w:p>
        </w:tc>
      </w:tr>
      <w:tr>
        <w:tc>
          <w:tcPr>
            <w:tcW w:w="987" w:type="dxa"/>
          </w:tcPr>
          <w:p>
            <w:pPr>
              <w:pStyle w:val="Compact"/>
              <w:spacing w:after="40"/>
              <w:jc w:val="left"/>
            </w:pPr>
            <w:r>
              <w:rPr>
                <w:sz w:val="18"/>
              </w:rPr>
              <w:t xml:space="preserve">Operations or security</w:t>
            </w:r>
          </w:p>
        </w:tc>
        <w:tc>
          <w:tcPr>
            <w:tcW w:w="3234" w:type="dxa"/>
          </w:tcPr>
          <w:p>
            <w:pPr>
              <w:pStyle w:val="Compact"/>
              <w:spacing w:after="40"/>
              <w:jc w:val="left"/>
            </w:pPr>
            <w:r>
              <w:rPr>
                <w:sz w:val="18"/>
              </w:rPr>
              <w:t xml:space="preserve">COB or transmission failure; reconciliation break; new-device sign-in; break-glass opened; grant expiring in 7 days</w:t>
            </w:r>
          </w:p>
        </w:tc>
        <w:tc>
          <w:tcPr>
            <w:tcW w:w="1162" w:type="dxa"/>
          </w:tcPr>
          <w:p>
            <w:pPr>
              <w:pStyle w:val="Compact"/>
              <w:spacing w:after="40"/>
              <w:jc w:val="left"/>
            </w:pPr>
            <w:r>
              <w:rPr>
                <w:sz w:val="18"/>
              </w:rPr>
              <w:t xml:space="preserve">Yes</w:t>
            </w:r>
          </w:p>
        </w:tc>
        <w:tc>
          <w:tcPr>
            <w:tcW w:w="1461" w:type="dxa"/>
          </w:tcPr>
          <w:p>
            <w:pPr>
              <w:pStyle w:val="Compact"/>
              <w:spacing w:after="40"/>
              <w:jc w:val="left"/>
            </w:pPr>
            <w:r>
              <w:rPr>
                <w:sz w:val="18"/>
              </w:rPr>
              <w:t xml:space="preserve">In-app, email, on-call</w:t>
            </w:r>
          </w:p>
        </w:tc>
        <w:tc>
          <w:tcPr>
            <w:tcW w:w="1407" w:type="dxa"/>
          </w:tcPr>
          <w:p>
            <w:pPr>
              <w:pStyle w:val="Compact"/>
              <w:spacing w:after="40"/>
              <w:jc w:val="left"/>
            </w:pPr>
            <w:r>
              <w:rPr>
                <w:sz w:val="18"/>
              </w:rPr>
              <w:t xml:space="preserve">Ignored</w:t>
            </w:r>
          </w:p>
        </w:tc>
        <w:tc>
          <w:tcPr>
            <w:tcW w:w="1387" w:type="dxa"/>
          </w:tcPr>
          <w:p>
            <w:pPr>
              <w:pStyle w:val="Compact"/>
              <w:spacing w:after="40"/>
              <w:jc w:val="left"/>
            </w:pPr>
            <w:r>
              <w:rPr>
                <w:sz w:val="18"/>
              </w:rPr>
              <w:t xml:space="preserve">Ops head after 1 hour [REC]; security officer</w:t>
            </w:r>
          </w:p>
        </w:tc>
      </w:tr>
      <w:tr>
        <w:tc>
          <w:tcPr>
            <w:tcW w:w="987" w:type="dxa"/>
          </w:tcPr>
          <w:p>
            <w:pPr>
              <w:pStyle w:val="Compact"/>
              <w:spacing w:after="40"/>
              <w:jc w:val="left"/>
            </w:pPr>
            <w:r>
              <w:rPr>
                <w:sz w:val="18"/>
              </w:rPr>
              <w:t xml:space="preserve">Information</w:t>
            </w:r>
          </w:p>
        </w:tc>
        <w:tc>
          <w:tcPr>
            <w:tcW w:w="3234" w:type="dxa"/>
          </w:tcPr>
          <w:p>
            <w:pPr>
              <w:pStyle w:val="Compact"/>
              <w:spacing w:after="40"/>
              <w:jc w:val="left"/>
            </w:pPr>
            <w:r>
              <w:rPr>
                <w:sz w:val="18"/>
              </w:rPr>
              <w:t xml:space="preserve">Release notes, announcements, digests</w:t>
            </w:r>
          </w:p>
        </w:tc>
        <w:tc>
          <w:tcPr>
            <w:tcW w:w="1162" w:type="dxa"/>
          </w:tcPr>
          <w:p>
            <w:pPr>
              <w:pStyle w:val="Compact"/>
              <w:spacing w:after="40"/>
              <w:jc w:val="left"/>
            </w:pPr>
            <w:r>
              <w:rPr>
                <w:sz w:val="18"/>
              </w:rPr>
              <w:t xml:space="preserve">No</w:t>
            </w:r>
          </w:p>
        </w:tc>
        <w:tc>
          <w:tcPr>
            <w:tcW w:w="1461" w:type="dxa"/>
          </w:tcPr>
          <w:p>
            <w:pPr>
              <w:pStyle w:val="Compact"/>
              <w:spacing w:after="40"/>
              <w:jc w:val="left"/>
            </w:pPr>
            <w:r>
              <w:rPr>
                <w:sz w:val="18"/>
              </w:rPr>
              <w:t xml:space="preserve">In-app, email</w:t>
            </w:r>
          </w:p>
        </w:tc>
        <w:tc>
          <w:tcPr>
            <w:tcW w:w="1407" w:type="dxa"/>
          </w:tcPr>
          <w:p>
            <w:pPr>
              <w:pStyle w:val="Compact"/>
              <w:spacing w:after="40"/>
              <w:jc w:val="left"/>
            </w:pPr>
            <w:r>
              <w:rPr>
                <w:sz w:val="18"/>
              </w:rPr>
              <w:t xml:space="preserve">Respected</w:t>
            </w:r>
          </w:p>
        </w:tc>
        <w:tc>
          <w:tcPr>
            <w:tcW w:w="1387" w:type="dxa"/>
          </w:tcPr>
          <w:p>
            <w:pPr>
              <w:pStyle w:val="Compact"/>
              <w:spacing w:after="40"/>
              <w:jc w:val="left"/>
            </w:pPr>
            <w:r>
              <w:rPr>
                <w:sz w:val="18"/>
              </w:rPr>
              <w:t xml:space="preserve">None</w:t>
            </w:r>
          </w:p>
        </w:tc>
      </w:tr>
      <w:tr>
        <w:tc>
          <w:tcPr>
            <w:tcW w:w="987" w:type="dxa"/>
          </w:tcPr>
          <w:p>
            <w:pPr>
              <w:pStyle w:val="Compact"/>
              <w:spacing w:after="40"/>
              <w:jc w:val="left"/>
            </w:pPr>
            <w:r>
              <w:rPr>
                <w:sz w:val="18"/>
              </w:rPr>
              <w:t xml:space="preserve">Borrower: regulatory</w:t>
            </w:r>
          </w:p>
        </w:tc>
        <w:tc>
          <w:tcPr>
            <w:tcW w:w="3234" w:type="dxa"/>
          </w:tcPr>
          <w:p>
            <w:pPr>
              <w:pStyle w:val="Compact"/>
              <w:spacing w:after="40"/>
              <w:jc w:val="left"/>
            </w:pPr>
            <w:r>
              <w:rPr>
                <w:sz w:val="18"/>
              </w:rPr>
              <w:t xml:space="preserve">Signed KFS and terms on digital loans (CF para 9(3)); debit and credit alerts (DPS); default alert with each CIC file (CIR para 34(1)(i)); agent details before first contact (CF para 9(6); RBC para 100L from 2027); EMI or tenor increase (RBC para 31(1)); KYC updation intimations (KYC para 42(7)); grievance replies; document release</w:t>
            </w:r>
          </w:p>
        </w:tc>
        <w:tc>
          <w:tcPr>
            <w:tcW w:w="1162" w:type="dxa"/>
          </w:tcPr>
          <w:p>
            <w:pPr>
              <w:pStyle w:val="Compact"/>
              <w:spacing w:after="40"/>
              <w:jc w:val="left"/>
            </w:pPr>
            <w:r>
              <w:rPr>
                <w:sz w:val="18"/>
              </w:rPr>
              <w:t xml:space="preserve">Yes; no opt-out</w:t>
            </w:r>
          </w:p>
        </w:tc>
        <w:tc>
          <w:tcPr>
            <w:tcW w:w="1461" w:type="dxa"/>
          </w:tcPr>
          <w:p>
            <w:pPr>
              <w:pStyle w:val="Compact"/>
              <w:spacing w:after="40"/>
              <w:jc w:val="left"/>
            </w:pPr>
            <w:r>
              <w:rPr>
                <w:sz w:val="18"/>
              </w:rPr>
              <w:t xml:space="preserve">SMS, email, letter, push; preferred language, else English and Hindi</w:t>
            </w:r>
          </w:p>
        </w:tc>
        <w:tc>
          <w:tcPr>
            <w:tcW w:w="1407" w:type="dxa"/>
          </w:tcPr>
          <w:p>
            <w:pPr>
              <w:pStyle w:val="Compact"/>
              <w:spacing w:after="40"/>
              <w:jc w:val="left"/>
            </w:pPr>
            <w:r>
              <w:rPr>
                <w:sz w:val="18"/>
              </w:rPr>
              <w:t xml:space="preserve">Transactional any time; recovery only inside the contact window</w:t>
            </w:r>
          </w:p>
        </w:tc>
        <w:tc>
          <w:tcPr>
            <w:tcW w:w="1387" w:type="dxa"/>
          </w:tcPr>
          <w:p>
            <w:pPr>
              <w:pStyle w:val="Compact"/>
              <w:spacing w:after="40"/>
              <w:jc w:val="left"/>
            </w:pPr>
            <w:r>
              <w:rPr>
                <w:sz w:val="18"/>
              </w:rPr>
              <w:t xml:space="preserve">Next channel on failure, logged</w:t>
            </w:r>
          </w:p>
        </w:tc>
      </w:tr>
      <w:tr>
        <w:tc>
          <w:tcPr>
            <w:tcW w:w="987" w:type="dxa"/>
          </w:tcPr>
          <w:p>
            <w:pPr>
              <w:pStyle w:val="Compact"/>
              <w:spacing w:after="40"/>
              <w:jc w:val="left"/>
            </w:pPr>
            <w:r>
              <w:rPr>
                <w:sz w:val="18"/>
              </w:rPr>
              <w:t xml:space="preserve">Borrower: service and marketing</w:t>
            </w:r>
          </w:p>
        </w:tc>
        <w:tc>
          <w:tcPr>
            <w:tcW w:w="3234" w:type="dxa"/>
          </w:tcPr>
          <w:p>
            <w:pPr>
              <w:pStyle w:val="Compact"/>
              <w:spacing w:after="40"/>
              <w:jc w:val="left"/>
            </w:pPr>
            <w:r>
              <w:rPr>
                <w:sz w:val="18"/>
              </w:rPr>
              <w:t xml:space="preserve">Reminders, statements; cross-sell</w:t>
            </w:r>
          </w:p>
        </w:tc>
        <w:tc>
          <w:tcPr>
            <w:tcW w:w="1162" w:type="dxa"/>
          </w:tcPr>
          <w:p>
            <w:pPr>
              <w:pStyle w:val="Compact"/>
              <w:spacing w:after="40"/>
              <w:jc w:val="left"/>
            </w:pPr>
            <w:r>
              <w:rPr>
                <w:sz w:val="18"/>
              </w:rPr>
              <w:t xml:space="preserve">Per preference; marketing only with consent</w:t>
            </w:r>
          </w:p>
        </w:tc>
        <w:tc>
          <w:tcPr>
            <w:tcW w:w="1461" w:type="dxa"/>
          </w:tcPr>
          <w:p>
            <w:pPr>
              <w:pStyle w:val="Compact"/>
              <w:spacing w:after="40"/>
              <w:jc w:val="left"/>
            </w:pPr>
            <w:r>
              <w:rPr>
                <w:sz w:val="18"/>
              </w:rPr>
              <w:t xml:space="preserve">SMS, email, push; WhatsApp never for recovery</w:t>
            </w:r>
          </w:p>
        </w:tc>
        <w:tc>
          <w:tcPr>
            <w:tcW w:w="1407" w:type="dxa"/>
          </w:tcPr>
          <w:p>
            <w:pPr>
              <w:pStyle w:val="Compact"/>
              <w:spacing w:after="40"/>
              <w:jc w:val="left"/>
            </w:pPr>
            <w:r>
              <w:rPr>
                <w:sz w:val="18"/>
              </w:rPr>
              <w:t xml:space="preserve">Contact windows; marketing 09:00–19:00</w:t>
            </w:r>
          </w:p>
        </w:tc>
        <w:tc>
          <w:tcPr>
            <w:tcW w:w="1387" w:type="dxa"/>
          </w:tcPr>
          <w:p>
            <w:pPr>
              <w:pStyle w:val="Compact"/>
              <w:spacing w:after="40"/>
              <w:jc w:val="left"/>
            </w:pPr>
            <w:r>
              <w:rPr>
                <w:sz w:val="18"/>
              </w:rPr>
              <w:t xml:space="preserve">None</w:t>
            </w:r>
          </w:p>
        </w:tc>
      </w:tr>
    </w:tbl>
    <w:p>
      <w:pPr>
        <w:numPr>
          <w:ilvl w:val="0"/>
          <w:numId w:val="2162"/>
        </w:numPr>
        <w:pStyle w:val="Compact"/>
      </w:pPr>
      <w:r>
        <w:t xml:space="preserve">Staff messages outside the app carry category, count and deep link only, never amounts, borrower names, PAN or UPSI (RR9.2, GV7). Daily digest at 09:00 IST; staff quiet hours 21:00–08:00 IST for non-mandatory classes; mandatory classes cannot be switched off.</w:t>
      </w:r>
    </w:p>
    <w:p>
      <w:pPr>
        <w:numPr>
          <w:ilvl w:val="0"/>
          <w:numId w:val="2162"/>
        </w:numPr>
        <w:pStyle w:val="Compact"/>
      </w:pPr>
      <w:r>
        <w:t xml:space="preserve">Regulatory-clock ladders can only be tightened; every notification and delivery result is logged; borrower templates are M18 templates with DLT IDs.</w:t>
      </w:r>
    </w:p>
    <w:bookmarkEnd w:id="937"/>
    <w:bookmarkStart w:id="938" w:name="g.9-accessibility-languages-and-devices"/>
    <w:p>
      <w:pPr>
        <w:pStyle w:val="Heading2"/>
      </w:pPr>
      <w:r>
        <w:t xml:space="preserve">G.9 Accessibility, languages and devices</w:t>
      </w:r>
    </w:p>
    <w:p>
      <w:pPr>
        <w:pStyle w:val="FirstParagraph"/>
      </w:pPr>
      <w:r>
        <w:t xml:space="preserve">WCAG 2.2 AA applies to every internal, external and borrower screen.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94"/>
        <w:gridCol w:w="6844"/>
      </w:tblGrid>
      <w:tr>
        <w:trPr>
          <w:tblHeader w:val="true"/>
          <w:tblHeader w:val="true"/>
        </w:trPr>
        <w:tc>
          <w:tcPr>
            <w:tcW w:w="2794" w:type="dxa"/>
            <w:shd w:val="clear" w:color="auto" w:fill="1F3A5F"/>
          </w:tcPr>
          <w:p>
            <w:pPr>
              <w:pStyle w:val="Compact"/>
              <w:spacing w:after="40"/>
              <w:jc w:val="left"/>
            </w:pPr>
            <w:r>
              <w:rPr>
                <w:b/>
                <w:color w:val="FFFFFF"/>
                <w:sz w:val="18"/>
              </w:rPr>
              <w:t xml:space="preserve">Criterion</w:t>
            </w:r>
          </w:p>
        </w:tc>
        <w:tc>
          <w:tcPr>
            <w:tcW w:w="6844" w:type="dxa"/>
            <w:shd w:val="clear" w:color="auto" w:fill="1F3A5F"/>
          </w:tcPr>
          <w:p>
            <w:pPr>
              <w:pStyle w:val="Compact"/>
              <w:spacing w:after="40"/>
              <w:jc w:val="left"/>
            </w:pPr>
            <w:r>
              <w:rPr>
                <w:b/>
                <w:color w:val="FFFFFF"/>
                <w:sz w:val="18"/>
              </w:rPr>
              <w:t xml:space="preserve">Rule</w:t>
            </w:r>
          </w:p>
        </w:tc>
      </w:tr>
      <w:tr>
        <w:tc>
          <w:tcPr>
            <w:tcW w:w="2794" w:type="dxa"/>
          </w:tcPr>
          <w:p>
            <w:pPr>
              <w:pStyle w:val="Compact"/>
              <w:spacing w:after="40"/>
              <w:jc w:val="left"/>
            </w:pPr>
            <w:r>
              <w:rPr>
                <w:sz w:val="18"/>
              </w:rPr>
              <w:t xml:space="preserve">1.4.1, 1.4.3, 1.4.11</w:t>
            </w:r>
          </w:p>
        </w:tc>
        <w:tc>
          <w:tcPr>
            <w:tcW w:w="6844" w:type="dxa"/>
          </w:tcPr>
          <w:p>
            <w:pPr>
              <w:pStyle w:val="Compact"/>
              <w:spacing w:after="40"/>
              <w:jc w:val="left"/>
            </w:pPr>
            <w:r>
              <w:rPr>
                <w:sz w:val="18"/>
              </w:rPr>
              <w:t xml:space="preserve">RAG always with text; contrast 4.5:1 for text, 3:1 for chips and focus rings</w:t>
            </w:r>
          </w:p>
        </w:tc>
      </w:tr>
      <w:tr>
        <w:tc>
          <w:tcPr>
            <w:tcW w:w="2794" w:type="dxa"/>
          </w:tcPr>
          <w:p>
            <w:pPr>
              <w:pStyle w:val="Compact"/>
              <w:spacing w:after="40"/>
              <w:jc w:val="left"/>
            </w:pPr>
            <w:r>
              <w:rPr>
                <w:sz w:val="18"/>
              </w:rPr>
              <w:t xml:space="preserve">1.4.4, 1.4.10</w:t>
            </w:r>
          </w:p>
        </w:tc>
        <w:tc>
          <w:tcPr>
            <w:tcW w:w="6844" w:type="dxa"/>
          </w:tcPr>
          <w:p>
            <w:pPr>
              <w:pStyle w:val="Compact"/>
              <w:spacing w:after="40"/>
              <w:jc w:val="left"/>
            </w:pPr>
            <w:r>
              <w:rPr>
                <w:sz w:val="18"/>
              </w:rPr>
              <w:t xml:space="preserve">200% zoom; reflow at 320 CSS px (grids scroll inside their region)</w:t>
            </w:r>
          </w:p>
        </w:tc>
      </w:tr>
      <w:tr>
        <w:tc>
          <w:tcPr>
            <w:tcW w:w="2794" w:type="dxa"/>
          </w:tcPr>
          <w:p>
            <w:pPr>
              <w:pStyle w:val="Compact"/>
              <w:spacing w:after="40"/>
              <w:jc w:val="left"/>
            </w:pPr>
            <w:r>
              <w:rPr>
                <w:sz w:val="18"/>
              </w:rPr>
              <w:t xml:space="preserve">2.1.1, 2.1.4, 2.2.1</w:t>
            </w:r>
          </w:p>
        </w:tc>
        <w:tc>
          <w:tcPr>
            <w:tcW w:w="6844" w:type="dxa"/>
          </w:tcPr>
          <w:p>
            <w:pPr>
              <w:pStyle w:val="Compact"/>
              <w:spacing w:after="40"/>
              <w:jc w:val="left"/>
            </w:pPr>
            <w:r>
              <w:rPr>
                <w:sz w:val="18"/>
              </w:rPr>
              <w:t xml:space="preserve">Keyboard-operable flows; remappable single-key shortcuts; timeout warning 2 minutes ahead with extend, draft saved first</w:t>
            </w:r>
          </w:p>
        </w:tc>
      </w:tr>
      <w:tr>
        <w:tc>
          <w:tcPr>
            <w:tcW w:w="2794" w:type="dxa"/>
          </w:tcPr>
          <w:p>
            <w:pPr>
              <w:pStyle w:val="Compact"/>
              <w:spacing w:after="40"/>
              <w:jc w:val="left"/>
            </w:pPr>
            <w:r>
              <w:rPr>
                <w:sz w:val="18"/>
              </w:rPr>
              <w:t xml:space="preserve">2.4.11, 2.5.7, 2.5.8</w:t>
            </w:r>
          </w:p>
        </w:tc>
        <w:tc>
          <w:tcPr>
            <w:tcW w:w="6844" w:type="dxa"/>
          </w:tcPr>
          <w:p>
            <w:pPr>
              <w:pStyle w:val="Compact"/>
              <w:spacing w:after="40"/>
              <w:jc w:val="left"/>
            </w:pPr>
            <w:r>
              <w:rPr>
                <w:sz w:val="18"/>
              </w:rPr>
              <w:t xml:space="preserve">Focus never hidden by sticky headers or toasts; button alternative to every drag; targets at least 24 × 24 CSS px</w:t>
            </w:r>
          </w:p>
        </w:tc>
      </w:tr>
      <w:tr>
        <w:tc>
          <w:tcPr>
            <w:tcW w:w="2794" w:type="dxa"/>
          </w:tcPr>
          <w:p>
            <w:pPr>
              <w:pStyle w:val="Compact"/>
              <w:spacing w:after="40"/>
              <w:jc w:val="left"/>
            </w:pPr>
            <w:r>
              <w:rPr>
                <w:sz w:val="18"/>
              </w:rPr>
              <w:t xml:space="preserve">3.2.6, 3.3.7, 3.3.8</w:t>
            </w:r>
          </w:p>
        </w:tc>
        <w:tc>
          <w:tcPr>
            <w:tcW w:w="6844" w:type="dxa"/>
          </w:tcPr>
          <w:p>
            <w:pPr>
              <w:pStyle w:val="Compact"/>
              <w:spacing w:after="40"/>
              <w:jc w:val="left"/>
            </w:pPr>
            <w:r>
              <w:rPr>
                <w:sz w:val="18"/>
              </w:rPr>
              <w:t xml:space="preserve">Help in a consistent place; no re-entry; paste allowed in password and OTP fields, passkeys, no puzzles</w:t>
            </w:r>
          </w:p>
        </w:tc>
      </w:tr>
      <w:tr>
        <w:tc>
          <w:tcPr>
            <w:tcW w:w="2794" w:type="dxa"/>
          </w:tcPr>
          <w:p>
            <w:pPr>
              <w:pStyle w:val="Compact"/>
              <w:spacing w:after="40"/>
              <w:jc w:val="left"/>
            </w:pPr>
            <w:r>
              <w:rPr>
                <w:sz w:val="18"/>
              </w:rPr>
              <w:t xml:space="preserve">4.1.3</w:t>
            </w:r>
          </w:p>
        </w:tc>
        <w:tc>
          <w:tcPr>
            <w:tcW w:w="6844" w:type="dxa"/>
          </w:tcPr>
          <w:p>
            <w:pPr>
              <w:pStyle w:val="Compact"/>
              <w:spacing w:after="40"/>
              <w:jc w:val="left"/>
            </w:pPr>
            <w:r>
              <w:rPr>
                <w:sz w:val="18"/>
              </w:rPr>
              <w:t xml:space="preserve">Status changes announced through live regions</w:t>
            </w:r>
          </w:p>
        </w:tc>
      </w:tr>
    </w:tbl>
    <w:p>
      <w:pPr>
        <w:numPr>
          <w:ilvl w:val="0"/>
          <w:numId w:val="2163"/>
        </w:numPr>
        <w:pStyle w:val="Compact"/>
      </w:pPr>
      <w:r>
        <w:t xml:space="preserve">Keyboard-only E2E tests for onboarding, sanction, disbursement, return sign-off, meeting votes and every approval screen; NVDA, JAWS, VoiceOver and TalkBack checks on the same flows each release; charts have table alternatives; axe-core on every story and page template from Phase 1 (serious and critical issues block); manual audit before Phase P and yearly.</w:t>
      </w:r>
    </w:p>
    <w:p>
      <w:pPr>
        <w:numPr>
          <w:ilvl w:val="0"/>
          <w:numId w:val="2163"/>
        </w:numPr>
        <w:pStyle w:val="Compact"/>
      </w:pPr>
      <w:r>
        <w:rPr>
          <w:bCs/>
          <w:b/>
        </w:rPr>
        <w:t xml:space="preserve">Languages:</w:t>
      </w:r>
      <w:r>
        <w:t xml:space="preserve"> </w:t>
      </w:r>
      <w:r>
        <w:t xml:space="preserve">staff UI in Indian English, Hindi optional. Borrower outputs (KFS, sanction letter, loan card, notices, SMS, statements, portal) in the borrower’s preferred Eighth Schedule language as template packs are approved (M18); microfinance KFS and loan card in the State languages of operation (IP4; RBC paras 77, 79); language recorded with consent (M4); Noto fonts for Indic scripts; right-to-left for Urdu; legal review and back-translation before a translation goes live [REC].</w:t>
      </w:r>
    </w:p>
    <w:p>
      <w:pPr>
        <w:numPr>
          <w:ilvl w:val="0"/>
          <w:numId w:val="2163"/>
        </w:numPr>
        <w:pStyle w:val="Compact"/>
      </w:pPr>
      <w:r>
        <w:rPr>
          <w:bCs/>
          <w:b/>
        </w:rPr>
        <w:t xml:space="preserve">Breakpoints:</w:t>
      </w:r>
      <w:r>
        <w:t xml:space="preserve"> </w:t>
      </w:r>
      <w:r>
        <w:t xml:space="preserve">1440 px and wider, dense three-pane back office; 1024–1439 px two-pane; 768–1023 px single pane with drawers (branch and verifier tablets); 360–767 px card lists without bulk actions [REC] (mobile approvals with step-up, director and borrower portals); 320 px reflow floor.</w:t>
      </w:r>
    </w:p>
    <w:p>
      <w:pPr>
        <w:numPr>
          <w:ilvl w:val="0"/>
          <w:numId w:val="2163"/>
        </w:numPr>
        <w:pStyle w:val="Compact"/>
      </w:pPr>
      <w:r>
        <w:rPr>
          <w:bCs/>
          <w:b/>
        </w:rPr>
        <w:t xml:space="preserve">Field app offline</w:t>
      </w:r>
      <w:r>
        <w:t xml:space="preserve"> </w:t>
      </w:r>
      <w:r>
        <w:t xml:space="preserve">(M22):</w:t>
      </w:r>
    </w:p>
    <w:p>
      <w:pPr>
        <w:numPr>
          <w:ilvl w:val="1"/>
          <w:numId w:val="2164"/>
        </w:numPr>
        <w:pStyle w:val="Compact"/>
      </w:pPr>
      <w:r>
        <w:t xml:space="preserve">offline: visits, FI and PD forms, document capture, collection sheets and receipts from a pre-allocated series, PTP, centre attendance; never offline: sanction, disbursement, registry KYC verification, settlement offers, approvals;</w:t>
      </w:r>
    </w:p>
    <w:p>
      <w:pPr>
        <w:numPr>
          <w:ilvl w:val="1"/>
          <w:numId w:val="2164"/>
        </w:numPr>
        <w:pStyle w:val="Compact"/>
      </w:pPr>
      <w:r>
        <w:t xml:space="preserve">device-keystore encryption; wipe on remote command or after 5 failed unlocks [REC]; forced sync within 72 hours, then capture locks [REC];</w:t>
      </w:r>
    </w:p>
    <w:p>
      <w:pPr>
        <w:numPr>
          <w:ilvl w:val="1"/>
          <w:numId w:val="2164"/>
        </w:numPr>
        <w:pStyle w:val="Compact"/>
      </w:pPr>
      <w:r>
        <w:t xml:space="preserve">idempotent sync; the server wins for masters and balances; visit and receipt conflicts go to human resolution and receipts are never dropped; offline cash receipts show</w:t>
      </w:r>
      <w:r>
        <w:t xml:space="preserve"> </w:t>
      </w:r>
      <w:r>
        <w:t xml:space="preserve">“</w:t>
      </w:r>
      <w:r>
        <w:t xml:space="preserve">provisional, pending sync</w:t>
      </w:r>
      <w:r>
        <w:t xml:space="preserve">”</w:t>
      </w:r>
      <w:r>
        <w:t xml:space="preserve"> </w:t>
      </w:r>
      <w:r>
        <w:t xml:space="preserve">and post in full the same day (CF para 10(5));</w:t>
      </w:r>
    </w:p>
    <w:p>
      <w:pPr>
        <w:numPr>
          <w:ilvl w:val="1"/>
          <w:numId w:val="2164"/>
        </w:numPr>
        <w:pStyle w:val="Compact"/>
      </w:pPr>
      <w:r>
        <w:t xml:space="preserve">server-corrected time and geo-tag; low-bandwidth mode; read-aloud and large type (IP4); DPS para 68 controls.</w:t>
      </w:r>
    </w:p>
    <w:bookmarkEnd w:id="938"/>
    <w:bookmarkStart w:id="939" w:name="g.10-menu-to-phase-build-map"/>
    <w:p>
      <w:pPr>
        <w:pStyle w:val="Heading2"/>
      </w:pPr>
      <w:r>
        <w:t xml:space="preserve">G.10 Menu-to-phase build map</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32"/>
        <w:gridCol w:w="7606"/>
      </w:tblGrid>
      <w:tr>
        <w:trPr>
          <w:tblHeader w:val="true"/>
          <w:tblHeader w:val="true"/>
        </w:trPr>
        <w:tc>
          <w:tcPr>
            <w:tcW w:w="2032" w:type="dxa"/>
            <w:shd w:val="clear" w:color="auto" w:fill="1F3A5F"/>
          </w:tcPr>
          <w:p>
            <w:pPr>
              <w:pStyle w:val="Compact"/>
              <w:spacing w:after="40"/>
              <w:jc w:val="left"/>
            </w:pPr>
            <w:r>
              <w:rPr>
                <w:b/>
                <w:color w:val="FFFFFF"/>
                <w:sz w:val="18"/>
              </w:rPr>
              <w:t xml:space="preserve">Phase</w:t>
            </w:r>
          </w:p>
        </w:tc>
        <w:tc>
          <w:tcPr>
            <w:tcW w:w="7606" w:type="dxa"/>
            <w:shd w:val="clear" w:color="auto" w:fill="1F3A5F"/>
          </w:tcPr>
          <w:p>
            <w:pPr>
              <w:pStyle w:val="Compact"/>
              <w:spacing w:after="40"/>
              <w:jc w:val="left"/>
            </w:pPr>
            <w:r>
              <w:rPr>
                <w:b/>
                <w:color w:val="FFFFFF"/>
                <w:sz w:val="18"/>
              </w:rPr>
              <w:t xml:space="preserve">Menus and screens built</w:t>
            </w:r>
          </w:p>
        </w:tc>
      </w:tr>
      <w:tr>
        <w:tc>
          <w:tcPr>
            <w:tcW w:w="2032" w:type="dxa"/>
          </w:tcPr>
          <w:p>
            <w:pPr>
              <w:pStyle w:val="Compact"/>
              <w:spacing w:after="40"/>
              <w:jc w:val="left"/>
            </w:pPr>
            <w:r>
              <w:rPr>
                <w:sz w:val="18"/>
              </w:rPr>
              <w:t xml:space="preserve">1</w:t>
            </w:r>
          </w:p>
        </w:tc>
        <w:tc>
          <w:tcPr>
            <w:tcW w:w="7606" w:type="dxa"/>
          </w:tcPr>
          <w:p>
            <w:pPr>
              <w:pStyle w:val="Compact"/>
              <w:spacing w:after="40"/>
              <w:jc w:val="left"/>
            </w:pPr>
            <w:r>
              <w:rPr>
                <w:sz w:val="18"/>
              </w:rPr>
              <w:t xml:space="preserve">Shell (G.2), navigation registry, page templates,</w:t>
            </w:r>
            <w:r>
              <w:rPr>
                <w:sz w:val="18"/>
              </w:rPr>
              <w:t xml:space="preserve"> </w:t>
            </w:r>
            <w:r>
              <w:rPr>
                <w:rStyle w:val="VerbatimChar"/>
                <w:sz w:val="18"/>
              </w:rPr>
              <w:t xml:space="preserve">Home</w:t>
            </w:r>
            <w:r>
              <w:rPr>
                <w:sz w:val="18"/>
              </w:rPr>
              <w:t xml:space="preserve">,</w:t>
            </w:r>
            <w:r>
              <w:rPr>
                <w:sz w:val="18"/>
              </w:rPr>
              <w:t xml:space="preserve"> </w:t>
            </w:r>
            <w:r>
              <w:rPr>
                <w:rStyle w:val="VerbatimChar"/>
                <w:sz w:val="18"/>
              </w:rPr>
              <w:t xml:space="preserve">Settings ›</w:t>
            </w:r>
            <w:r>
              <w:rPr>
                <w:sz w:val="18"/>
              </w:rPr>
              <w:t xml:space="preserve"> </w:t>
            </w:r>
            <w:r>
              <w:rPr>
                <w:sz w:val="18"/>
              </w:rPr>
              <w:t xml:space="preserve">Branding and Modules (registry),</w:t>
            </w:r>
            <w:r>
              <w:rPr>
                <w:sz w:val="18"/>
              </w:rPr>
              <w:t xml:space="preserve"> </w:t>
            </w:r>
            <w:r>
              <w:rPr>
                <w:rStyle w:val="VerbatimChar"/>
                <w:sz w:val="18"/>
              </w:rPr>
              <w:t xml:space="preserve">Administration › Platform</w:t>
            </w:r>
            <w:r>
              <w:rPr>
                <w:sz w:val="18"/>
              </w:rPr>
              <w:t xml:space="preserve"> </w:t>
            </w:r>
            <w:r>
              <w:rPr>
                <w:sz w:val="18"/>
              </w:rPr>
              <w:t xml:space="preserve">skeleton</w:t>
            </w:r>
          </w:p>
        </w:tc>
      </w:tr>
      <w:tr>
        <w:tc>
          <w:tcPr>
            <w:tcW w:w="2032" w:type="dxa"/>
          </w:tcPr>
          <w:p>
            <w:pPr>
              <w:pStyle w:val="Compact"/>
              <w:spacing w:after="40"/>
              <w:jc w:val="left"/>
            </w:pPr>
            <w:r>
              <w:rPr>
                <w:sz w:val="18"/>
              </w:rPr>
              <w:t xml:space="preserve">2</w:t>
            </w:r>
          </w:p>
        </w:tc>
        <w:tc>
          <w:tcPr>
            <w:tcW w:w="7606" w:type="dxa"/>
          </w:tcPr>
          <w:p>
            <w:pPr>
              <w:pStyle w:val="Compact"/>
              <w:spacing w:after="40"/>
              <w:jc w:val="left"/>
            </w:pPr>
            <w:r>
              <w:rPr>
                <w:rStyle w:val="VerbatimChar"/>
                <w:sz w:val="18"/>
              </w:rPr>
              <w:t xml:space="preserve">Settings ›</w:t>
            </w:r>
            <w:r>
              <w:rPr>
                <w:sz w:val="18"/>
              </w:rPr>
              <w:t xml:space="preserve"> </w:t>
            </w:r>
            <w:r>
              <w:rPr>
                <w:sz w:val="18"/>
              </w:rPr>
              <w:t xml:space="preserve">Users and roles, Security and trust;</w:t>
            </w:r>
            <w:r>
              <w:rPr>
                <w:sz w:val="18"/>
              </w:rPr>
              <w:t xml:space="preserve"> </w:t>
            </w:r>
            <w:r>
              <w:rPr>
                <w:rStyle w:val="VerbatimChar"/>
                <w:sz w:val="18"/>
              </w:rPr>
              <w:t xml:space="preserve">Administration ›</w:t>
            </w:r>
            <w:r>
              <w:rPr>
                <w:sz w:val="18"/>
              </w:rPr>
              <w:t xml:space="preserve"> </w:t>
            </w:r>
            <w:r>
              <w:rPr>
                <w:sz w:val="18"/>
              </w:rPr>
              <w:t xml:space="preserve">Jobs, Audit log, Support access;</w:t>
            </w:r>
            <w:r>
              <w:rPr>
                <w:sz w:val="18"/>
              </w:rPr>
              <w:t xml:space="preserve"> </w:t>
            </w:r>
            <w:r>
              <w:rPr>
                <w:rStyle w:val="VerbatimChar"/>
                <w:sz w:val="18"/>
              </w:rPr>
              <w:t xml:space="preserve">Integrations › Credentials</w:t>
            </w:r>
            <w:r>
              <w:rPr>
                <w:sz w:val="18"/>
              </w:rPr>
              <w:t xml:space="preserve">;</w:t>
            </w:r>
            <w:r>
              <w:rPr>
                <w:sz w:val="18"/>
              </w:rPr>
              <w:t xml:space="preserve"> </w:t>
            </w:r>
            <w:r>
              <w:rPr>
                <w:rStyle w:val="VerbatimChar"/>
                <w:sz w:val="18"/>
              </w:rPr>
              <w:t xml:space="preserve">Audit › External access</w:t>
            </w:r>
            <w:r>
              <w:rPr>
                <w:sz w:val="18"/>
              </w:rPr>
              <w:t xml:space="preserve"> </w:t>
            </w:r>
            <w:r>
              <w:rPr>
                <w:sz w:val="18"/>
              </w:rPr>
              <w:t xml:space="preserve">skeleton; Inbox</w:t>
            </w:r>
          </w:p>
        </w:tc>
      </w:tr>
      <w:tr>
        <w:tc>
          <w:tcPr>
            <w:tcW w:w="2032" w:type="dxa"/>
          </w:tcPr>
          <w:p>
            <w:pPr>
              <w:pStyle w:val="Compact"/>
              <w:spacing w:after="40"/>
              <w:jc w:val="left"/>
            </w:pPr>
            <w:r>
              <w:rPr>
                <w:sz w:val="18"/>
              </w:rPr>
              <w:t xml:space="preserve">3, 3b</w:t>
            </w:r>
          </w:p>
        </w:tc>
        <w:tc>
          <w:tcPr>
            <w:tcW w:w="7606" w:type="dxa"/>
          </w:tcPr>
          <w:p>
            <w:pPr>
              <w:pStyle w:val="Compact"/>
              <w:spacing w:after="40"/>
              <w:jc w:val="left"/>
            </w:pPr>
            <w:r>
              <w:rPr>
                <w:rStyle w:val="VerbatimChar"/>
                <w:sz w:val="18"/>
              </w:rPr>
              <w:t xml:space="preserve">Settings ›</w:t>
            </w:r>
            <w:r>
              <w:rPr>
                <w:sz w:val="18"/>
              </w:rPr>
              <w:t xml:space="preserve"> </w:t>
            </w:r>
            <w:r>
              <w:rPr>
                <w:sz w:val="18"/>
              </w:rPr>
              <w:t xml:space="preserve">Organisation, Masters, Products, Rule packs, Workflows, All settings, Communications;</w:t>
            </w:r>
            <w:r>
              <w:rPr>
                <w:sz w:val="18"/>
              </w:rPr>
              <w:t xml:space="preserve"> </w:t>
            </w:r>
            <w:r>
              <w:rPr>
                <w:rStyle w:val="VerbatimChar"/>
                <w:sz w:val="18"/>
              </w:rPr>
              <w:t xml:space="preserve">Home › Announcements</w:t>
            </w:r>
            <w:r>
              <w:rPr>
                <w:sz w:val="18"/>
              </w:rPr>
              <w:t xml:space="preserve">;</w:t>
            </w:r>
            <w:r>
              <w:rPr>
                <w:sz w:val="18"/>
              </w:rPr>
              <w:t xml:space="preserve"> </w:t>
            </w:r>
            <w:r>
              <w:rPr>
                <w:rStyle w:val="VerbatimChar"/>
                <w:sz w:val="18"/>
              </w:rPr>
              <w:t xml:space="preserve">Administration › Imports</w:t>
            </w:r>
          </w:p>
        </w:tc>
      </w:tr>
      <w:tr>
        <w:tc>
          <w:tcPr>
            <w:tcW w:w="2032" w:type="dxa"/>
          </w:tcPr>
          <w:p>
            <w:pPr>
              <w:pStyle w:val="Compact"/>
              <w:spacing w:after="40"/>
              <w:jc w:val="left"/>
            </w:pPr>
            <w:r>
              <w:rPr>
                <w:sz w:val="18"/>
              </w:rPr>
              <w:t xml:space="preserve">4, 6, 7</w:t>
            </w:r>
          </w:p>
        </w:tc>
        <w:tc>
          <w:tcPr>
            <w:tcW w:w="7606" w:type="dxa"/>
          </w:tcPr>
          <w:p>
            <w:pPr>
              <w:pStyle w:val="Compact"/>
              <w:spacing w:after="40"/>
              <w:jc w:val="left"/>
            </w:pPr>
            <w:r>
              <w:rPr>
                <w:rStyle w:val="VerbatimChar"/>
                <w:sz w:val="18"/>
              </w:rPr>
              <w:t xml:space="preserve">Finance ›</w:t>
            </w:r>
            <w:r>
              <w:rPr>
                <w:sz w:val="18"/>
              </w:rPr>
              <w:t xml:space="preserve"> </w:t>
            </w:r>
            <w:r>
              <w:rPr>
                <w:sz w:val="18"/>
              </w:rPr>
              <w:t xml:space="preserve">Ledger, basic Close, Bank and cash;</w:t>
            </w:r>
            <w:r>
              <w:rPr>
                <w:sz w:val="18"/>
              </w:rPr>
              <w:t xml:space="preserve"> </w:t>
            </w:r>
            <w:r>
              <w:rPr>
                <w:rStyle w:val="VerbatimChar"/>
                <w:sz w:val="18"/>
              </w:rPr>
              <w:t xml:space="preserve">Customers ›</w:t>
            </w:r>
            <w:r>
              <w:rPr>
                <w:sz w:val="18"/>
              </w:rPr>
              <w:t xml:space="preserve">;</w:t>
            </w:r>
            <w:r>
              <w:rPr>
                <w:sz w:val="18"/>
              </w:rPr>
              <w:t xml:space="preserve"> </w:t>
            </w:r>
            <w:r>
              <w:rPr>
                <w:rStyle w:val="VerbatimChar"/>
                <w:sz w:val="18"/>
              </w:rPr>
              <w:t xml:space="preserve">Leads ›</w:t>
            </w:r>
            <w:r>
              <w:rPr>
                <w:sz w:val="18"/>
              </w:rPr>
              <w:t xml:space="preserve">,</w:t>
            </w:r>
            <w:r>
              <w:rPr>
                <w:sz w:val="18"/>
              </w:rPr>
              <w:t xml:space="preserve"> </w:t>
            </w:r>
            <w:r>
              <w:rPr>
                <w:rStyle w:val="VerbatimChar"/>
                <w:sz w:val="18"/>
              </w:rPr>
              <w:t xml:space="preserve">Origination ›</w:t>
            </w:r>
            <w:r>
              <w:rPr>
                <w:sz w:val="18"/>
              </w:rPr>
              <w:t xml:space="preserve"> </w:t>
            </w:r>
            <w:r>
              <w:rPr>
                <w:sz w:val="18"/>
              </w:rPr>
              <w:t xml:space="preserve">up to Offer and KFS, DSA portal,</w:t>
            </w:r>
            <w:r>
              <w:rPr>
                <w:sz w:val="18"/>
              </w:rPr>
              <w:t xml:space="preserve"> </w:t>
            </w:r>
            <w:r>
              <w:rPr>
                <w:rStyle w:val="VerbatimChar"/>
                <w:sz w:val="18"/>
              </w:rPr>
              <w:t xml:space="preserve">Risk › Third parties</w:t>
            </w:r>
          </w:p>
        </w:tc>
      </w:tr>
      <w:tr>
        <w:tc>
          <w:tcPr>
            <w:tcW w:w="2032" w:type="dxa"/>
          </w:tcPr>
          <w:p>
            <w:pPr>
              <w:pStyle w:val="Compact"/>
              <w:spacing w:after="40"/>
              <w:jc w:val="left"/>
            </w:pPr>
            <w:r>
              <w:rPr>
                <w:sz w:val="18"/>
              </w:rPr>
              <w:t xml:space="preserve">8, 8b, 8c</w:t>
            </w:r>
          </w:p>
        </w:tc>
        <w:tc>
          <w:tcPr>
            <w:tcW w:w="7606" w:type="dxa"/>
          </w:tcPr>
          <w:p>
            <w:pPr>
              <w:pStyle w:val="Compact"/>
              <w:spacing w:after="40"/>
              <w:jc w:val="left"/>
            </w:pPr>
            <w:r>
              <w:rPr>
                <w:rStyle w:val="VerbatimChar"/>
                <w:sz w:val="18"/>
              </w:rPr>
              <w:t xml:space="preserve">Origination ›</w:t>
            </w:r>
            <w:r>
              <w:rPr>
                <w:sz w:val="18"/>
              </w:rPr>
              <w:t xml:space="preserve"> </w:t>
            </w:r>
            <w:r>
              <w:rPr>
                <w:sz w:val="18"/>
              </w:rPr>
              <w:t xml:space="preserve">Documentation, Disbursement;</w:t>
            </w:r>
            <w:r>
              <w:rPr>
                <w:sz w:val="18"/>
              </w:rPr>
              <w:t xml:space="preserve"> </w:t>
            </w:r>
            <w:r>
              <w:rPr>
                <w:rStyle w:val="VerbatimChar"/>
                <w:sz w:val="18"/>
              </w:rPr>
              <w:t xml:space="preserve">Loans › Collateral</w:t>
            </w:r>
            <w:r>
              <w:rPr>
                <w:sz w:val="18"/>
              </w:rPr>
              <w:t xml:space="preserve">;</w:t>
            </w:r>
            <w:r>
              <w:rPr>
                <w:sz w:val="18"/>
              </w:rPr>
              <w:t xml:space="preserve"> </w:t>
            </w:r>
            <w:r>
              <w:rPr>
                <w:rStyle w:val="VerbatimChar"/>
                <w:sz w:val="18"/>
              </w:rPr>
              <w:t xml:space="preserve">Payments ›</w:t>
            </w:r>
            <w:r>
              <w:rPr>
                <w:sz w:val="18"/>
              </w:rPr>
              <w:t xml:space="preserve"> </w:t>
            </w:r>
            <w:r>
              <w:rPr>
                <w:sz w:val="18"/>
              </w:rPr>
              <w:t xml:space="preserve">Mandates, Payouts;</w:t>
            </w:r>
            <w:r>
              <w:rPr>
                <w:sz w:val="18"/>
              </w:rPr>
              <w:t xml:space="preserve"> </w:t>
            </w:r>
            <w:r>
              <w:rPr>
                <w:rStyle w:val="VerbatimChar"/>
                <w:sz w:val="18"/>
              </w:rPr>
              <w:t xml:space="preserve">Documents ›</w:t>
            </w:r>
            <w:r>
              <w:rPr>
                <w:sz w:val="18"/>
              </w:rPr>
              <w:t xml:space="preserve">; field app shell; LSP tab,</w:t>
            </w:r>
            <w:r>
              <w:rPr>
                <w:sz w:val="18"/>
              </w:rPr>
              <w:t xml:space="preserve"> </w:t>
            </w:r>
            <w:r>
              <w:rPr>
                <w:rStyle w:val="VerbatimChar"/>
                <w:sz w:val="18"/>
              </w:rPr>
              <w:t xml:space="preserve">Integrations › Events and webhooks</w:t>
            </w:r>
            <w:r>
              <w:rPr>
                <w:sz w:val="18"/>
              </w:rPr>
              <w:t xml:space="preserve">,</w:t>
            </w:r>
            <w:r>
              <w:rPr>
                <w:sz w:val="18"/>
              </w:rPr>
              <w:t xml:space="preserve"> </w:t>
            </w:r>
            <w:r>
              <w:rPr>
                <w:rStyle w:val="VerbatimChar"/>
                <w:sz w:val="18"/>
              </w:rPr>
              <w:t xml:space="preserve">Partners › LSPs and DLAs</w:t>
            </w:r>
          </w:p>
        </w:tc>
      </w:tr>
      <w:tr>
        <w:tc>
          <w:tcPr>
            <w:tcW w:w="2032" w:type="dxa"/>
          </w:tcPr>
          <w:p>
            <w:pPr>
              <w:pStyle w:val="Compact"/>
              <w:spacing w:after="40"/>
              <w:jc w:val="left"/>
            </w:pPr>
            <w:r>
              <w:rPr>
                <w:sz w:val="18"/>
              </w:rPr>
              <w:t xml:space="preserve">9, 10, 11</w:t>
            </w:r>
          </w:p>
        </w:tc>
        <w:tc>
          <w:tcPr>
            <w:tcW w:w="7606" w:type="dxa"/>
          </w:tcPr>
          <w:p>
            <w:pPr>
              <w:pStyle w:val="Compact"/>
              <w:spacing w:after="40"/>
              <w:jc w:val="left"/>
            </w:pPr>
            <w:r>
              <w:rPr>
                <w:rStyle w:val="VerbatimChar"/>
                <w:sz w:val="18"/>
              </w:rPr>
              <w:t xml:space="preserve">Loans ›</w:t>
            </w:r>
            <w:r>
              <w:rPr>
                <w:sz w:val="18"/>
              </w:rPr>
              <w:t xml:space="preserve"> </w:t>
            </w:r>
            <w:r>
              <w:rPr>
                <w:sz w:val="18"/>
              </w:rPr>
              <w:t xml:space="preserve">servicing items and Close of business; first reports;</w:t>
            </w:r>
            <w:r>
              <w:rPr>
                <w:sz w:val="18"/>
              </w:rPr>
              <w:t xml:space="preserve"> </w:t>
            </w:r>
            <w:r>
              <w:rPr>
                <w:rStyle w:val="VerbatimChar"/>
                <w:sz w:val="18"/>
              </w:rPr>
              <w:t xml:space="preserve">Payments ›</w:t>
            </w:r>
            <w:r>
              <w:rPr>
                <w:sz w:val="18"/>
              </w:rPr>
              <w:t xml:space="preserve"> </w:t>
            </w:r>
            <w:r>
              <w:rPr>
                <w:sz w:val="18"/>
              </w:rPr>
              <w:t xml:space="preserve">remaining items;</w:t>
            </w:r>
            <w:r>
              <w:rPr>
                <w:sz w:val="18"/>
              </w:rPr>
              <w:t xml:space="preserve"> </w:t>
            </w:r>
            <w:r>
              <w:rPr>
                <w:rStyle w:val="VerbatimChar"/>
                <w:sz w:val="18"/>
              </w:rPr>
              <w:t xml:space="preserve">Collections ›</w:t>
            </w:r>
            <w:r>
              <w:rPr>
                <w:sz w:val="18"/>
              </w:rPr>
              <w:t xml:space="preserve">; field app Collect</w:t>
            </w:r>
          </w:p>
        </w:tc>
      </w:tr>
      <w:tr>
        <w:tc>
          <w:tcPr>
            <w:tcW w:w="2032" w:type="dxa"/>
          </w:tcPr>
          <w:p>
            <w:pPr>
              <w:pStyle w:val="Compact"/>
              <w:spacing w:after="40"/>
              <w:jc w:val="left"/>
            </w:pPr>
            <w:r>
              <w:rPr>
                <w:sz w:val="18"/>
              </w:rPr>
              <w:t xml:space="preserve">12, 12b</w:t>
            </w:r>
          </w:p>
        </w:tc>
        <w:tc>
          <w:tcPr>
            <w:tcW w:w="7606" w:type="dxa"/>
          </w:tcPr>
          <w:p>
            <w:pPr>
              <w:pStyle w:val="Compact"/>
              <w:spacing w:after="40"/>
              <w:jc w:val="left"/>
            </w:pPr>
            <w:r>
              <w:rPr>
                <w:rStyle w:val="VerbatimChar"/>
                <w:sz w:val="18"/>
              </w:rPr>
              <w:t xml:space="preserve">Recovery ›</w:t>
            </w:r>
            <w:r>
              <w:rPr>
                <w:sz w:val="18"/>
              </w:rPr>
              <w:t xml:space="preserve"> </w:t>
            </w:r>
            <w:r>
              <w:rPr>
                <w:sz w:val="18"/>
              </w:rPr>
              <w:t xml:space="preserve">core items and</w:t>
            </w:r>
            <w:r>
              <w:rPr>
                <w:sz w:val="18"/>
              </w:rPr>
              <w:t xml:space="preserve"> </w:t>
            </w:r>
            <w:r>
              <w:rPr>
                <w:rStyle w:val="VerbatimChar"/>
                <w:sz w:val="18"/>
              </w:rPr>
              <w:t xml:space="preserve">Settlement and ADR</w:t>
            </w:r>
            <w:r>
              <w:rPr>
                <w:sz w:val="18"/>
              </w:rPr>
              <w:t xml:space="preserve">; attach and detach in</w:t>
            </w:r>
            <w:r>
              <w:rPr>
                <w:sz w:val="18"/>
              </w:rPr>
              <w:t xml:space="preserve"> </w:t>
            </w:r>
            <w:r>
              <w:rPr>
                <w:rStyle w:val="VerbatimChar"/>
                <w:sz w:val="18"/>
              </w:rPr>
              <w:t xml:space="preserve">Settings › Modules</w:t>
            </w:r>
          </w:p>
        </w:tc>
      </w:tr>
      <w:tr>
        <w:tc>
          <w:tcPr>
            <w:tcW w:w="2032" w:type="dxa"/>
          </w:tcPr>
          <w:p>
            <w:pPr>
              <w:pStyle w:val="Compact"/>
              <w:spacing w:after="40"/>
              <w:jc w:val="left"/>
            </w:pPr>
            <w:r>
              <w:rPr>
                <w:sz w:val="18"/>
              </w:rPr>
              <w:t xml:space="preserve">13, 13b</w:t>
            </w:r>
          </w:p>
        </w:tc>
        <w:tc>
          <w:tcPr>
            <w:tcW w:w="7606" w:type="dxa"/>
          </w:tcPr>
          <w:p>
            <w:pPr>
              <w:pStyle w:val="Compact"/>
              <w:spacing w:after="40"/>
              <w:jc w:val="left"/>
            </w:pPr>
            <w:r>
              <w:rPr>
                <w:rStyle w:val="VerbatimChar"/>
                <w:sz w:val="18"/>
              </w:rPr>
              <w:t xml:space="preserve">Finance ›</w:t>
            </w:r>
            <w:r>
              <w:rPr>
                <w:sz w:val="18"/>
              </w:rPr>
              <w:t xml:space="preserve"> </w:t>
            </w:r>
            <w:r>
              <w:rPr>
                <w:sz w:val="18"/>
              </w:rPr>
              <w:t xml:space="preserve">ECL and IRACP, Borrowings, Payables, then Framework, Books, Statements, GST, Income tax, Connectors, Audit trail;</w:t>
            </w:r>
            <w:r>
              <w:rPr>
                <w:sz w:val="18"/>
              </w:rPr>
              <w:t xml:space="preserve"> </w:t>
            </w:r>
            <w:r>
              <w:rPr>
                <w:rStyle w:val="VerbatimChar"/>
                <w:sz w:val="18"/>
              </w:rPr>
              <w:t xml:space="preserve">Documents › Retention and holds</w:t>
            </w:r>
          </w:p>
        </w:tc>
      </w:tr>
      <w:tr>
        <w:tc>
          <w:tcPr>
            <w:tcW w:w="2032" w:type="dxa"/>
          </w:tcPr>
          <w:p>
            <w:pPr>
              <w:pStyle w:val="Compact"/>
              <w:spacing w:after="40"/>
              <w:jc w:val="left"/>
            </w:pPr>
            <w:r>
              <w:rPr>
                <w:sz w:val="18"/>
              </w:rPr>
              <w:t xml:space="preserve">14, 14b, 14c, 14d</w:t>
            </w:r>
          </w:p>
        </w:tc>
        <w:tc>
          <w:tcPr>
            <w:tcW w:w="7606" w:type="dxa"/>
          </w:tcPr>
          <w:p>
            <w:pPr>
              <w:pStyle w:val="Compact"/>
              <w:spacing w:after="40"/>
              <w:jc w:val="left"/>
            </w:pPr>
            <w:r>
              <w:rPr>
                <w:rStyle w:val="VerbatimChar"/>
                <w:sz w:val="18"/>
              </w:rPr>
              <w:t xml:space="preserve">Compliance ›</w:t>
            </w:r>
            <w:r>
              <w:rPr>
                <w:sz w:val="18"/>
              </w:rPr>
              <w:t xml:space="preserve"> </w:t>
            </w:r>
            <w:r>
              <w:rPr>
                <w:sz w:val="18"/>
              </w:rPr>
              <w:t xml:space="preserve">core items, Returns, Credit Bureaus;</w:t>
            </w:r>
            <w:r>
              <w:rPr>
                <w:sz w:val="18"/>
              </w:rPr>
              <w:t xml:space="preserve"> </w:t>
            </w:r>
            <w:r>
              <w:rPr>
                <w:rStyle w:val="VerbatimChar"/>
                <w:sz w:val="18"/>
              </w:rPr>
              <w:t xml:space="preserve">Risk ›</w:t>
            </w:r>
            <w:r>
              <w:rPr>
                <w:sz w:val="18"/>
              </w:rPr>
              <w:t xml:space="preserve"> </w:t>
            </w:r>
            <w:r>
              <w:rPr>
                <w:sz w:val="18"/>
              </w:rPr>
              <w:t xml:space="preserve">M12 items, then RK1–RK7;</w:t>
            </w:r>
            <w:r>
              <w:rPr>
                <w:sz w:val="18"/>
              </w:rPr>
              <w:t xml:space="preserve"> </w:t>
            </w:r>
            <w:r>
              <w:rPr>
                <w:rStyle w:val="VerbatimChar"/>
                <w:sz w:val="18"/>
              </w:rPr>
              <w:t xml:space="preserve">Dashboards ›</w:t>
            </w:r>
            <w:r>
              <w:rPr>
                <w:sz w:val="18"/>
              </w:rPr>
              <w:t xml:space="preserve"> </w:t>
            </w:r>
            <w:r>
              <w:rPr>
                <w:sz w:val="18"/>
              </w:rPr>
              <w:t xml:space="preserve">RK8; certified Home tiles</w:t>
            </w:r>
          </w:p>
        </w:tc>
      </w:tr>
      <w:tr>
        <w:tc>
          <w:tcPr>
            <w:tcW w:w="2032" w:type="dxa"/>
          </w:tcPr>
          <w:p>
            <w:pPr>
              <w:pStyle w:val="Compact"/>
              <w:spacing w:after="40"/>
              <w:jc w:val="left"/>
            </w:pPr>
            <w:r>
              <w:rPr>
                <w:sz w:val="18"/>
              </w:rPr>
              <w:t xml:space="preserve">15, 15b, P</w:t>
            </w:r>
          </w:p>
        </w:tc>
        <w:tc>
          <w:tcPr>
            <w:tcW w:w="7606" w:type="dxa"/>
          </w:tcPr>
          <w:p>
            <w:pPr>
              <w:pStyle w:val="Compact"/>
              <w:spacing w:after="40"/>
              <w:jc w:val="left"/>
            </w:pPr>
            <w:r>
              <w:rPr>
                <w:rStyle w:val="VerbatimChar"/>
                <w:sz w:val="18"/>
              </w:rPr>
              <w:t xml:space="preserve">Compliance › Grievances</w:t>
            </w:r>
            <w:r>
              <w:rPr>
                <w:sz w:val="18"/>
              </w:rPr>
              <w:t xml:space="preserve">; borrower portal;</w:t>
            </w:r>
            <w:r>
              <w:rPr>
                <w:sz w:val="18"/>
              </w:rPr>
              <w:t xml:space="preserve"> </w:t>
            </w:r>
            <w:r>
              <w:rPr>
                <w:rStyle w:val="VerbatimChar"/>
                <w:sz w:val="18"/>
              </w:rPr>
              <w:t xml:space="preserve">Data ›</w:t>
            </w:r>
            <w:r>
              <w:rPr>
                <w:sz w:val="18"/>
              </w:rPr>
              <w:t xml:space="preserve">; Phase P adds no menus: accessibility audit and a signed navigation snapshot per pilot role</w:t>
            </w:r>
          </w:p>
        </w:tc>
      </w:tr>
      <w:tr>
        <w:tc>
          <w:tcPr>
            <w:tcW w:w="2032" w:type="dxa"/>
          </w:tcPr>
          <w:p>
            <w:pPr>
              <w:pStyle w:val="Compact"/>
              <w:spacing w:after="40"/>
              <w:jc w:val="left"/>
            </w:pPr>
            <w:r>
              <w:rPr>
                <w:sz w:val="18"/>
              </w:rPr>
              <w:t xml:space="preserve">16, 16b–16e</w:t>
            </w:r>
          </w:p>
        </w:tc>
        <w:tc>
          <w:tcPr>
            <w:tcW w:w="7606" w:type="dxa"/>
          </w:tcPr>
          <w:p>
            <w:pPr>
              <w:pStyle w:val="Compact"/>
              <w:spacing w:after="40"/>
              <w:jc w:val="left"/>
            </w:pPr>
            <w:r>
              <w:rPr>
                <w:rStyle w:val="VerbatimChar"/>
                <w:sz w:val="18"/>
              </w:rPr>
              <w:t xml:space="preserve">Loans › Co-lending and transfers</w:t>
            </w:r>
            <w:r>
              <w:rPr>
                <w:sz w:val="18"/>
              </w:rPr>
              <w:t xml:space="preserve">,</w:t>
            </w:r>
            <w:r>
              <w:rPr>
                <w:sz w:val="18"/>
              </w:rPr>
              <w:t xml:space="preserve"> </w:t>
            </w:r>
            <w:r>
              <w:rPr>
                <w:rStyle w:val="VerbatimChar"/>
                <w:sz w:val="18"/>
              </w:rPr>
              <w:t xml:space="preserve">Partners ›</w:t>
            </w:r>
            <w:r>
              <w:rPr>
                <w:sz w:val="18"/>
              </w:rPr>
              <w:t xml:space="preserve">, partner portal;</w:t>
            </w:r>
            <w:r>
              <w:rPr>
                <w:sz w:val="18"/>
              </w:rPr>
              <w:t xml:space="preserve"> </w:t>
            </w:r>
            <w:r>
              <w:rPr>
                <w:rStyle w:val="VerbatimChar"/>
                <w:sz w:val="18"/>
              </w:rPr>
              <w:t xml:space="preserve">Integrations ›</w:t>
            </w:r>
            <w:r>
              <w:rPr>
                <w:sz w:val="18"/>
              </w:rPr>
              <w:t xml:space="preserve"> </w:t>
            </w:r>
            <w:r>
              <w:rPr>
                <w:sz w:val="18"/>
              </w:rPr>
              <w:t xml:space="preserve">remaining items;</w:t>
            </w:r>
            <w:r>
              <w:rPr>
                <w:sz w:val="18"/>
              </w:rPr>
              <w:t xml:space="preserve"> </w:t>
            </w:r>
            <w:r>
              <w:rPr>
                <w:rStyle w:val="VerbatimChar"/>
                <w:sz w:val="18"/>
              </w:rPr>
              <w:t xml:space="preserve">Audit ›</w:t>
            </w:r>
            <w:r>
              <w:rPr>
                <w:sz w:val="18"/>
              </w:rPr>
              <w:t xml:space="preserve">, rooms V and W;</w:t>
            </w:r>
            <w:r>
              <w:rPr>
                <w:sz w:val="18"/>
              </w:rPr>
              <w:t xml:space="preserve"> </w:t>
            </w:r>
            <w:r>
              <w:rPr>
                <w:rStyle w:val="VerbatimChar"/>
                <w:sz w:val="18"/>
              </w:rPr>
              <w:t xml:space="preserve">Governance ›</w:t>
            </w:r>
            <w:r>
              <w:rPr>
                <w:sz w:val="18"/>
              </w:rPr>
              <w:t xml:space="preserve">,</w:t>
            </w:r>
            <w:r>
              <w:rPr>
                <w:sz w:val="18"/>
              </w:rPr>
              <w:t xml:space="preserve"> </w:t>
            </w:r>
            <w:r>
              <w:rPr>
                <w:rStyle w:val="VerbatimChar"/>
                <w:sz w:val="18"/>
              </w:rPr>
              <w:t xml:space="preserve">HR ›</w:t>
            </w:r>
            <w:r>
              <w:rPr>
                <w:sz w:val="18"/>
              </w:rPr>
              <w:t xml:space="preserve">,</w:t>
            </w:r>
            <w:r>
              <w:rPr>
                <w:sz w:val="18"/>
              </w:rPr>
              <w:t xml:space="preserve"> </w:t>
            </w:r>
            <w:r>
              <w:rPr>
                <w:rStyle w:val="VerbatimChar"/>
                <w:sz w:val="18"/>
              </w:rPr>
              <w:t xml:space="preserve">Settings › Workplace</w:t>
            </w:r>
            <w:r>
              <w:rPr>
                <w:sz w:val="18"/>
              </w:rPr>
              <w:t xml:space="preserve">, departments and positions, director portal;</w:t>
            </w:r>
            <w:r>
              <w:rPr>
                <w:sz w:val="18"/>
              </w:rPr>
              <w:t xml:space="preserve"> </w:t>
            </w:r>
            <w:r>
              <w:rPr>
                <w:rStyle w:val="VerbatimChar"/>
                <w:sz w:val="18"/>
              </w:rPr>
              <w:t xml:space="preserve">Settings › Plan and billing</w:t>
            </w:r>
            <w:r>
              <w:rPr>
                <w:sz w:val="18"/>
              </w:rPr>
              <w:t xml:space="preserve">, Seats</w:t>
            </w:r>
          </w:p>
        </w:tc>
      </w:tr>
      <w:tr>
        <w:tc>
          <w:tcPr>
            <w:tcW w:w="2032" w:type="dxa"/>
          </w:tcPr>
          <w:p>
            <w:pPr>
              <w:pStyle w:val="Compact"/>
              <w:spacing w:after="40"/>
              <w:jc w:val="left"/>
            </w:pPr>
            <w:r>
              <w:rPr>
                <w:sz w:val="18"/>
              </w:rPr>
              <w:t xml:space="preserve">17, 17b</w:t>
            </w:r>
          </w:p>
        </w:tc>
        <w:tc>
          <w:tcPr>
            <w:tcW w:w="7606" w:type="dxa"/>
          </w:tcPr>
          <w:p>
            <w:pPr>
              <w:pStyle w:val="Compact"/>
              <w:spacing w:after="40"/>
              <w:jc w:val="left"/>
            </w:pPr>
            <w:r>
              <w:rPr>
                <w:sz w:val="18"/>
              </w:rPr>
              <w:t xml:space="preserve">Secured collateral and LAS/LAMF screens;</w:t>
            </w:r>
            <w:r>
              <w:rPr>
                <w:sz w:val="18"/>
              </w:rPr>
              <w:t xml:space="preserve"> </w:t>
            </w:r>
            <w:r>
              <w:rPr>
                <w:rStyle w:val="VerbatimChar"/>
                <w:sz w:val="18"/>
              </w:rPr>
              <w:t xml:space="preserve">Recovery ›</w:t>
            </w:r>
            <w:r>
              <w:rPr>
                <w:sz w:val="18"/>
              </w:rPr>
              <w:t xml:space="preserve"> </w:t>
            </w:r>
            <w:r>
              <w:rPr>
                <w:sz w:val="18"/>
              </w:rPr>
              <w:t xml:space="preserve">SARFAESI, Civil and tribunal, Insolvency, Repossession and auctions, Shared exposures, Playbooks</w:t>
            </w:r>
          </w:p>
        </w:tc>
      </w:tr>
      <w:tr>
        <w:tc>
          <w:tcPr>
            <w:tcW w:w="2032" w:type="dxa"/>
          </w:tcPr>
          <w:p>
            <w:pPr>
              <w:pStyle w:val="Compact"/>
              <w:spacing w:after="40"/>
              <w:jc w:val="left"/>
            </w:pPr>
            <w:r>
              <w:rPr>
                <w:sz w:val="18"/>
              </w:rPr>
              <w:t xml:space="preserve">17c, 17d</w:t>
            </w:r>
          </w:p>
        </w:tc>
        <w:tc>
          <w:tcPr>
            <w:tcW w:w="7606" w:type="dxa"/>
          </w:tcPr>
          <w:p>
            <w:pPr>
              <w:pStyle w:val="Compact"/>
              <w:spacing w:after="40"/>
              <w:jc w:val="left"/>
            </w:pPr>
            <w:r>
              <w:rPr>
                <w:rStyle w:val="VerbatimChar"/>
                <w:sz w:val="18"/>
              </w:rPr>
              <w:t xml:space="preserve">Members ›</w:t>
            </w:r>
            <w:r>
              <w:rPr>
                <w:sz w:val="18"/>
              </w:rPr>
              <w:t xml:space="preserve">,</w:t>
            </w:r>
            <w:r>
              <w:rPr>
                <w:sz w:val="18"/>
              </w:rPr>
              <w:t xml:space="preserve"> </w:t>
            </w:r>
            <w:r>
              <w:rPr>
                <w:rStyle w:val="VerbatimChar"/>
                <w:sz w:val="18"/>
              </w:rPr>
              <w:t xml:space="preserve">Microfinance ›</w:t>
            </w:r>
            <w:r>
              <w:rPr>
                <w:sz w:val="18"/>
              </w:rPr>
              <w:t xml:space="preserve">,</w:t>
            </w:r>
            <w:r>
              <w:rPr>
                <w:sz w:val="18"/>
              </w:rPr>
              <w:t xml:space="preserve"> </w:t>
            </w:r>
            <w:r>
              <w:rPr>
                <w:rStyle w:val="VerbatimChar"/>
                <w:sz w:val="18"/>
              </w:rPr>
              <w:t xml:space="preserve">Compliance › Guard-rails</w:t>
            </w:r>
            <w:r>
              <w:rPr>
                <w:sz w:val="18"/>
              </w:rPr>
              <w:t xml:space="preserve">, institution profile,</w:t>
            </w:r>
            <w:r>
              <w:rPr>
                <w:sz w:val="18"/>
              </w:rPr>
              <w:t xml:space="preserve"> </w:t>
            </w:r>
            <w:r>
              <w:rPr>
                <w:rStyle w:val="VerbatimChar"/>
                <w:sz w:val="18"/>
              </w:rPr>
              <w:t xml:space="preserve">Risk › Co-operative bank</w:t>
            </w:r>
            <w:r>
              <w:rPr>
                <w:sz w:val="18"/>
              </w:rPr>
              <w:t xml:space="preserve">, CBS interface, field app Centres;</w:t>
            </w:r>
            <w:r>
              <w:rPr>
                <w:sz w:val="18"/>
              </w:rPr>
              <w:t xml:space="preserve"> </w:t>
            </w:r>
            <w:r>
              <w:rPr>
                <w:rStyle w:val="VerbatimChar"/>
                <w:sz w:val="18"/>
              </w:rPr>
              <w:t xml:space="preserve">ARC ›</w:t>
            </w:r>
            <w:r>
              <w:rPr>
                <w:sz w:val="18"/>
              </w:rPr>
              <w:t xml:space="preserve">,</w:t>
            </w:r>
            <w:r>
              <w:rPr>
                <w:sz w:val="18"/>
              </w:rPr>
              <w:t xml:space="preserve"> </w:t>
            </w:r>
            <w:r>
              <w:rPr>
                <w:rStyle w:val="VerbatimChar"/>
                <w:sz w:val="18"/>
              </w:rPr>
              <w:t xml:space="preserve">IFSC ›</w:t>
            </w:r>
            <w:r>
              <w:rPr>
                <w:sz w:val="18"/>
              </w:rPr>
              <w:t xml:space="preserve">,</w:t>
            </w:r>
            <w:r>
              <w:rPr>
                <w:sz w:val="18"/>
              </w:rPr>
              <w:t xml:space="preserve"> </w:t>
            </w:r>
            <w:r>
              <w:rPr>
                <w:rStyle w:val="VerbatimChar"/>
                <w:sz w:val="18"/>
              </w:rPr>
              <w:t xml:space="preserve">Treasury ›</w:t>
            </w:r>
            <w:r>
              <w:rPr>
                <w:sz w:val="18"/>
              </w:rPr>
              <w:t xml:space="preserve">,</w:t>
            </w:r>
            <w:r>
              <w:rPr>
                <w:sz w:val="18"/>
              </w:rPr>
              <w:t xml:space="preserve"> </w:t>
            </w:r>
            <w:r>
              <w:rPr>
                <w:rStyle w:val="VerbatimChar"/>
                <w:sz w:val="18"/>
              </w:rPr>
              <w:t xml:space="preserve">Funds ›</w:t>
            </w:r>
            <w:r>
              <w:rPr>
                <w:sz w:val="18"/>
              </w:rPr>
              <w:t xml:space="preserve">, stressed-loan sales,</w:t>
            </w:r>
            <w:r>
              <w:rPr>
                <w:sz w:val="18"/>
              </w:rPr>
              <w:t xml:space="preserve"> </w:t>
            </w:r>
            <w:r>
              <w:rPr>
                <w:rStyle w:val="VerbatimChar"/>
                <w:sz w:val="18"/>
              </w:rPr>
              <w:t xml:space="preserve">Partners › Investors and trustees</w:t>
            </w:r>
          </w:p>
        </w:tc>
      </w:tr>
      <w:tr>
        <w:tc>
          <w:tcPr>
            <w:tcW w:w="2032" w:type="dxa"/>
          </w:tcPr>
          <w:p>
            <w:pPr>
              <w:pStyle w:val="Compact"/>
              <w:spacing w:after="40"/>
              <w:jc w:val="left"/>
            </w:pPr>
            <w:r>
              <w:rPr>
                <w:sz w:val="18"/>
              </w:rPr>
              <w:t xml:space="preserve">18, 18b, 19</w:t>
            </w:r>
          </w:p>
        </w:tc>
        <w:tc>
          <w:tcPr>
            <w:tcW w:w="7606" w:type="dxa"/>
          </w:tcPr>
          <w:p>
            <w:pPr>
              <w:pStyle w:val="Compact"/>
              <w:spacing w:after="40"/>
              <w:jc w:val="left"/>
            </w:pPr>
            <w:r>
              <w:rPr>
                <w:rStyle w:val="VerbatimChar"/>
                <w:sz w:val="18"/>
              </w:rPr>
              <w:t xml:space="preserve">Dashboards ›</w:t>
            </w:r>
            <w:r>
              <w:rPr>
                <w:sz w:val="18"/>
              </w:rPr>
              <w:t xml:space="preserve"> </w:t>
            </w:r>
            <w:r>
              <w:rPr>
                <w:sz w:val="18"/>
              </w:rPr>
              <w:t xml:space="preserve">Analytics, Scheduled reports; AI items in Risk and Collections;</w:t>
            </w:r>
            <w:r>
              <w:rPr>
                <w:sz w:val="18"/>
              </w:rPr>
              <w:t xml:space="preserve"> </w:t>
            </w:r>
            <w:r>
              <w:rPr>
                <w:rStyle w:val="VerbatimChar"/>
                <w:sz w:val="18"/>
              </w:rPr>
              <w:t xml:space="preserve">Settings › Communications ›</w:t>
            </w:r>
            <w:r>
              <w:rPr>
                <w:sz w:val="18"/>
              </w:rPr>
              <w:t xml:space="preserve"> </w:t>
            </w:r>
            <w:r>
              <w:rPr>
                <w:sz w:val="18"/>
              </w:rPr>
              <w:t xml:space="preserve">EO6 items, voice in</w:t>
            </w:r>
            <w:r>
              <w:rPr>
                <w:sz w:val="18"/>
              </w:rPr>
              <w:t xml:space="preserve"> </w:t>
            </w:r>
            <w:r>
              <w:rPr>
                <w:rStyle w:val="VerbatimChar"/>
                <w:sz w:val="18"/>
              </w:rPr>
              <w:t xml:space="preserve">Collections › Calling</w:t>
            </w:r>
            <w:r>
              <w:rPr>
                <w:sz w:val="18"/>
              </w:rPr>
              <w:t xml:space="preserve">;</w:t>
            </w:r>
            <w:r>
              <w:rPr>
                <w:sz w:val="18"/>
              </w:rPr>
              <w:t xml:space="preserve"> </w:t>
            </w:r>
            <w:r>
              <w:rPr>
                <w:rStyle w:val="VerbatimChar"/>
                <w:sz w:val="18"/>
              </w:rPr>
              <w:t xml:space="preserve">Loans › Boarding</w:t>
            </w:r>
          </w:p>
        </w:tc>
      </w:tr>
      <w:tr>
        <w:tc>
          <w:tcPr>
            <w:tcW w:w="2032" w:type="dxa"/>
          </w:tcPr>
          <w:p>
            <w:pPr>
              <w:pStyle w:val="Compact"/>
              <w:spacing w:after="40"/>
              <w:jc w:val="left"/>
            </w:pPr>
            <w:r>
              <w:rPr>
                <w:sz w:val="18"/>
              </w:rPr>
              <w:t xml:space="preserve">20, 20b</w:t>
            </w:r>
          </w:p>
        </w:tc>
        <w:tc>
          <w:tcPr>
            <w:tcW w:w="7606" w:type="dxa"/>
          </w:tcPr>
          <w:p>
            <w:pPr>
              <w:pStyle w:val="Compact"/>
              <w:spacing w:after="40"/>
              <w:jc w:val="left"/>
            </w:pPr>
            <w:r>
              <w:rPr>
                <w:sz w:val="18"/>
              </w:rPr>
              <w:t xml:space="preserve">Navigation served in under 200 ms at p95 [REC];</w:t>
            </w:r>
            <w:r>
              <w:rPr>
                <w:sz w:val="18"/>
              </w:rPr>
              <w:t xml:space="preserve"> </w:t>
            </w:r>
            <w:r>
              <w:rPr>
                <w:rStyle w:val="VerbatimChar"/>
                <w:sz w:val="18"/>
              </w:rPr>
              <w:t xml:space="preserve">Administration › Platform ›</w:t>
            </w:r>
            <w:r>
              <w:rPr>
                <w:sz w:val="18"/>
              </w:rPr>
              <w:t xml:space="preserve"> </w:t>
            </w:r>
            <w:r>
              <w:rPr>
                <w:sz w:val="18"/>
              </w:rPr>
              <w:t xml:space="preserve">items; EO5 items in</w:t>
            </w:r>
            <w:r>
              <w:rPr>
                <w:sz w:val="18"/>
              </w:rPr>
              <w:t xml:space="preserve"> </w:t>
            </w:r>
            <w:r>
              <w:rPr>
                <w:rStyle w:val="VerbatimChar"/>
                <w:sz w:val="18"/>
              </w:rPr>
              <w:t xml:space="preserve">Settings › Security and trust</w:t>
            </w:r>
          </w:p>
        </w:tc>
      </w:tr>
    </w:tbl>
    <w:bookmarkEnd w:id="939"/>
    <w:bookmarkStart w:id="940" w:name="g.11-acceptance-tests"/>
    <w:p>
      <w:pPr>
        <w:pStyle w:val="Heading2"/>
      </w:pPr>
      <w:r>
        <w:t xml:space="preserve">G.11 Acceptance tests</w:t>
      </w:r>
    </w:p>
    <w:p>
      <w:pPr>
        <w:numPr>
          <w:ilvl w:val="0"/>
          <w:numId w:val="2165"/>
        </w:numPr>
        <w:pStyle w:val="Compact"/>
      </w:pPr>
      <w:r>
        <w:t xml:space="preserve">Without the</w:t>
      </w:r>
      <w:r>
        <w:t xml:space="preserve"> </w:t>
      </w:r>
      <w:r>
        <w:rPr>
          <w:rStyle w:val="VerbatimChar"/>
        </w:rPr>
        <w:t xml:space="preserve">Investments</w:t>
      </w:r>
      <w:r>
        <w:t xml:space="preserve"> </w:t>
      </w:r>
      <w:r>
        <w:t xml:space="preserve">SKU,</w:t>
      </w:r>
      <w:r>
        <w:t xml:space="preserve"> </w:t>
      </w:r>
      <w:r>
        <w:rPr>
          <w:rStyle w:val="VerbatimChar"/>
        </w:rPr>
        <w:t xml:space="preserve">GET /me/navigation</w:t>
      </w:r>
      <w:r>
        <w:t xml:space="preserve"> </w:t>
      </w:r>
      <w:r>
        <w:t xml:space="preserve">returns no</w:t>
      </w:r>
      <w:r>
        <w:t xml:space="preserve"> </w:t>
      </w:r>
      <w:r>
        <w:rPr>
          <w:rStyle w:val="VerbatimChar"/>
        </w:rPr>
        <w:t xml:space="preserve">treasury</w:t>
      </w:r>
      <w:r>
        <w:t xml:space="preserve"> </w:t>
      </w:r>
      <w:r>
        <w:t xml:space="preserve">node and a deep link shows</w:t>
      </w:r>
      <w:r>
        <w:t xml:space="preserve"> </w:t>
      </w:r>
      <w:r>
        <w:rPr>
          <w:rStyle w:val="VerbatimChar"/>
        </w:rPr>
        <w:t xml:space="preserve">not_entitled</w:t>
      </w:r>
      <w:r>
        <w:t xml:space="preserve">.</w:t>
      </w:r>
    </w:p>
    <w:p>
      <w:pPr>
        <w:numPr>
          <w:ilvl w:val="0"/>
          <w:numId w:val="2165"/>
        </w:numPr>
        <w:pStyle w:val="Compact"/>
      </w:pPr>
      <w:r>
        <w:t xml:space="preserve">After detaching the Recovery Suite,</w:t>
      </w:r>
      <w:r>
        <w:t xml:space="preserve"> </w:t>
      </w:r>
      <w:r>
        <w:rPr>
          <w:rStyle w:val="VerbatimChar"/>
        </w:rPr>
        <w:t xml:space="preserve">recovery</w:t>
      </w:r>
      <w:r>
        <w:t xml:space="preserve"> </w:t>
      </w:r>
      <w:r>
        <w:t xml:space="preserve">items show the Read-only badge without create buttons, the NPA register exports, and a POST returns 403</w:t>
      </w:r>
      <w:r>
        <w:t xml:space="preserve"> </w:t>
      </w:r>
      <w:r>
        <w:rPr>
          <w:rStyle w:val="VerbatimChar"/>
        </w:rPr>
        <w:t xml:space="preserve">read_only</w:t>
      </w:r>
      <w:r>
        <w:t xml:space="preserve">.</w:t>
      </w:r>
    </w:p>
    <w:p>
      <w:pPr>
        <w:numPr>
          <w:ilvl w:val="0"/>
          <w:numId w:val="2165"/>
        </w:numPr>
        <w:pStyle w:val="Compact"/>
      </w:pPr>
      <w:r>
        <w:t xml:space="preserve">Searching a Verhoeff-valid 12-digit number is refused and the string reaches no log, analytics event or history.</w:t>
      </w:r>
    </w:p>
    <w:p>
      <w:pPr>
        <w:numPr>
          <w:ilvl w:val="0"/>
          <w:numId w:val="2165"/>
        </w:numPr>
        <w:pStyle w:val="Compact"/>
      </w:pPr>
      <w:r>
        <w:t xml:space="preserve">Widening the recovery contact window returns 403</w:t>
      </w:r>
      <w:r>
        <w:t xml:space="preserve"> </w:t>
      </w:r>
      <w:r>
        <w:rPr>
          <w:rStyle w:val="VerbatimChar"/>
        </w:rPr>
        <w:t xml:space="preserve">floor_violation</w:t>
      </w:r>
      <w:r>
        <w:t xml:space="preserve"> </w:t>
      </w:r>
      <w:r>
        <w:t xml:space="preserve">with the citation; narrowing it applies after checker approval on its effective date.</w:t>
      </w:r>
    </w:p>
    <w:p>
      <w:pPr>
        <w:numPr>
          <w:ilvl w:val="0"/>
          <w:numId w:val="2165"/>
        </w:numPr>
        <w:pStyle w:val="Compact"/>
      </w:pPr>
      <w:r>
        <w:t xml:space="preserve">A</w:t>
      </w:r>
      <w:r>
        <w:t xml:space="preserve"> </w:t>
      </w:r>
      <w:r>
        <w:rPr>
          <w:rStyle w:val="VerbatimChar"/>
        </w:rPr>
        <w:t xml:space="preserve">COOP</w:t>
      </w:r>
      <w:r>
        <w:t xml:space="preserve"> </w:t>
      </w:r>
      <w:r>
        <w:t xml:space="preserve">entity shows one</w:t>
      </w:r>
      <w:r>
        <w:t xml:space="preserve"> </w:t>
      </w:r>
      <w:r>
        <w:rPr>
          <w:bCs/>
          <w:b/>
        </w:rPr>
        <w:t xml:space="preserve">Members</w:t>
      </w:r>
      <w:r>
        <w:t xml:space="preserve"> </w:t>
      </w:r>
      <w:r>
        <w:t xml:space="preserve">entry with CIF and IP2 items, and no seats screen is labelled</w:t>
      </w:r>
      <w:r>
        <w:t xml:space="preserve"> </w:t>
      </w:r>
      <w:r>
        <w:t xml:space="preserve">“</w:t>
      </w:r>
      <w:r>
        <w:t xml:space="preserve">Members</w:t>
      </w:r>
      <w:r>
        <w:t xml:space="preserve">”</w:t>
      </w:r>
      <w:r>
        <w:t xml:space="preserve">.</w:t>
      </w:r>
    </w:p>
    <w:p>
      <w:pPr>
        <w:numPr>
          <w:ilvl w:val="0"/>
          <w:numId w:val="2165"/>
        </w:numPr>
        <w:pStyle w:val="Compact"/>
      </w:pPr>
      <w:r>
        <w:t xml:space="preserve">A maker sees his or her request only under Submitted by me; approving a request whose base changed returns</w:t>
      </w:r>
      <w:r>
        <w:t xml:space="preserve"> </w:t>
      </w:r>
      <w:r>
        <w:rPr>
          <w:rStyle w:val="VerbatimChar"/>
        </w:rPr>
        <w:t xml:space="preserve">stale_version</w:t>
      </w:r>
      <w:r>
        <w:t xml:space="preserve">.</w:t>
      </w:r>
    </w:p>
    <w:p>
      <w:pPr>
        <w:numPr>
          <w:ilvl w:val="0"/>
          <w:numId w:val="2165"/>
        </w:numPr>
        <w:pStyle w:val="Compact"/>
      </w:pPr>
      <w:r>
        <w:t xml:space="preserve">₹12345678.5 renders as ₹1,23,45,678.50; dates show as DD-MM-YYYY with IST times; the keyboard-only suite completes onboarding to disbursement.</w:t>
      </w:r>
    </w:p>
    <w:bookmarkEnd w:id="940"/>
    <w:bookmarkStart w:id="941" w:name="Xd1ef95e72a555741fae0eaa804b113608cfc3e1"/>
    <w:p>
      <w:pPr>
        <w:pStyle w:val="Heading2"/>
      </w:pPr>
      <w:r>
        <w:t xml:space="preserve">G.12 Open points for the owner (Appendix B item 48)</w:t>
      </w:r>
    </w:p>
    <w:p>
      <w:pPr>
        <w:numPr>
          <w:ilvl w:val="0"/>
          <w:numId w:val="2166"/>
        </w:numPr>
        <w:pStyle w:val="Compact"/>
      </w:pPr>
      <w:r>
        <w:t xml:space="preserve">Hindi staff UI at Phase P or later; field-app offline limit (72 hours [REC]); approval-expiry default (10 working days); mobile approvals for Board members; whether</w:t>
      </w:r>
      <w:r>
        <w:t xml:space="preserve"> </w:t>
      </w:r>
      <w:r>
        <w:rPr>
          <w:rStyle w:val="VerbatimChar"/>
        </w:rPr>
        <w:t xml:space="preserve">Funds</w:t>
      </w:r>
      <w:r>
        <w:t xml:space="preserve"> </w:t>
      </w:r>
      <w:r>
        <w:t xml:space="preserve">stays top-level or moves under</w:t>
      </w:r>
      <w:r>
        <w:t xml:space="preserve"> </w:t>
      </w:r>
      <w:r>
        <w:rPr>
          <w:rStyle w:val="VerbatimChar"/>
        </w:rPr>
        <w:t xml:space="preserve">Treasury</w:t>
      </w:r>
      <w:r>
        <w:t xml:space="preserve">.</w:t>
      </w:r>
    </w:p>
    <w:p>
      <w:r>
        <w:pict>
          <v:rect style="width:0;height:1.5pt" o:hralign="center" o:hrstd="t" o:hr="t"/>
        </w:pict>
      </w:r>
    </w:p>
    <w:bookmarkEnd w:id="941"/>
    <w:bookmarkStart w:id="942" w:name="X5a03429701267c6ea7d73940c4f777b20d8b783"/>
    <w:p>
      <w:pPr>
        <w:pStyle w:val="Heading2"/>
      </w:pPr>
      <w:r>
        <w:t xml:space="preserve">SOURCES CONSULTED FOR THIS PROMPT (for Claude Code to re-verify)</w:t>
      </w:r>
    </w:p>
    <w:p>
      <w:pPr>
        <w:numPr>
          <w:ilvl w:val="0"/>
          <w:numId w:val="2167"/>
        </w:numPr>
        <w:pStyle w:val="Compact"/>
      </w:pPr>
      <w:r>
        <w:rPr>
          <w:bCs/>
          <w:b/>
        </w:rPr>
        <w:t xml:space="preserve">RBI:</w:t>
      </w:r>
    </w:p>
    <w:p>
      <w:pPr>
        <w:numPr>
          <w:ilvl w:val="1"/>
          <w:numId w:val="2168"/>
        </w:numPr>
        <w:pStyle w:val="Compact"/>
      </w:pPr>
      <w:r>
        <w:t xml:space="preserve">Press release on the 244 consolidated Master Directions (28 Nov 2025): https://www.rbi.org.in/Scripts/BS_PressReleaseDisplay.aspx?prid=61705</w:t>
      </w:r>
    </w:p>
    <w:p>
      <w:pPr>
        <w:numPr>
          <w:ilvl w:val="1"/>
          <w:numId w:val="2168"/>
        </w:numPr>
        <w:pStyle w:val="Compact"/>
      </w:pPr>
      <w:r>
        <w:t xml:space="preserve">Master Directions index: https://rbi.org.in/Scripts/BS_ViewMasDirections.aspx</w:t>
      </w:r>
    </w:p>
    <w:p>
      <w:pPr>
        <w:numPr>
          <w:ilvl w:val="1"/>
          <w:numId w:val="2168"/>
        </w:numPr>
        <w:pStyle w:val="Compact"/>
      </w:pPr>
      <w:r>
        <w:t xml:space="preserve">NBFC Cybersecurity, Technology: Risk, Resilience and Assurance Framework Directions, 2026: https://rbi.org.in/scripts/NotificationUser.aspx?Mode=0&amp;Id=13592</w:t>
      </w:r>
    </w:p>
    <w:p>
      <w:pPr>
        <w:numPr>
          <w:ilvl w:val="1"/>
          <w:numId w:val="2168"/>
        </w:numPr>
        <w:pStyle w:val="Compact"/>
      </w:pPr>
      <w:r>
        <w:t xml:space="preserve">NBFC Miscellaneous Supervisory Directions, 2026: https://www.rbi.org.in/Scripts/BS_ViewMasDirections.aspx?id=13586</w:t>
      </w:r>
    </w:p>
    <w:p>
      <w:pPr>
        <w:numPr>
          <w:ilvl w:val="1"/>
          <w:numId w:val="2168"/>
        </w:numPr>
        <w:pStyle w:val="Compact"/>
      </w:pPr>
      <w:r>
        <w:t xml:space="preserve">RBC Second Amendment Directions, 2026: https://www.rbi.org.in/Scripts/BS_CircularIndexDisplay.aspx?Id=13493</w:t>
      </w:r>
    </w:p>
    <w:p>
      <w:pPr>
        <w:numPr>
          <w:ilvl w:val="1"/>
          <w:numId w:val="2168"/>
        </w:numPr>
        <w:pStyle w:val="Compact"/>
      </w:pPr>
      <w:r>
        <w:t xml:space="preserve">FREE-AI report: https://www.rbi.org.in/scripts/PublicationReportDetails.aspx?ID=1306</w:t>
      </w:r>
    </w:p>
    <w:p>
      <w:pPr>
        <w:numPr>
          <w:ilvl w:val="1"/>
          <w:numId w:val="2168"/>
        </w:numPr>
        <w:pStyle w:val="Compact"/>
      </w:pPr>
      <w:r>
        <w:t xml:space="preserve">NBFC Credit Facilities Directions, 2025: https://rbi.org.in/Scripts/BS_ViewMasDirections.aspx?id=12957</w:t>
      </w:r>
    </w:p>
    <w:p>
      <w:pPr>
        <w:numPr>
          <w:ilvl w:val="1"/>
          <w:numId w:val="2168"/>
        </w:numPr>
        <w:pStyle w:val="Compact"/>
      </w:pPr>
      <w:r>
        <w:t xml:space="preserve">NBFC Responsible Business Conduct Directions, 2025: https://rbi.org.in/Scripts/BS_ViewMasDirections.aspx?id=12942</w:t>
      </w:r>
    </w:p>
    <w:p>
      <w:pPr>
        <w:numPr>
          <w:ilvl w:val="1"/>
          <w:numId w:val="2168"/>
        </w:numPr>
        <w:pStyle w:val="Compact"/>
      </w:pPr>
      <w:r>
        <w:t xml:space="preserve">NBFC Credit Information Reporting Amendment Directions (RBI/DOR/2025-26/117, 4 Dec 2025): https://www.rbi.org.in/Scripts/BS_CircularIndexDisplay.aspx?Id=13187 (Id=13180 is the commercial-bank version)</w:t>
      </w:r>
    </w:p>
    <w:p>
      <w:pPr>
        <w:numPr>
          <w:ilvl w:val="1"/>
          <w:numId w:val="2168"/>
        </w:numPr>
        <w:pStyle w:val="Compact"/>
      </w:pPr>
      <w:r>
        <w:t xml:space="preserve">Official texts of the 33 Directions and 1 guidance note in Part 8A, supplied by the project owner: docs/regulations/rbi/</w:t>
      </w:r>
    </w:p>
    <w:p>
      <w:pPr>
        <w:numPr>
          <w:ilvl w:val="1"/>
          <w:numId w:val="2168"/>
        </w:numPr>
        <w:pStyle w:val="Compact"/>
      </w:pPr>
      <w:r>
        <w:t xml:space="preserve">NBFC Fraud Risk Management Directions, 2026: https://www.rbi.org.in/Scripts/BS_ViewMasDirections.aspx?id=13590</w:t>
      </w:r>
    </w:p>
    <w:p>
      <w:pPr>
        <w:numPr>
          <w:ilvl w:val="1"/>
          <w:numId w:val="2168"/>
        </w:numPr>
        <w:pStyle w:val="Compact"/>
      </w:pPr>
      <w:r>
        <w:t xml:space="preserve">NBFC Supervisory Returns Directions, 2026: https://www.rbi.org.in/Scripts/BS_ViewMasDirections.aspx?id=13587</w:t>
      </w:r>
    </w:p>
    <w:p>
      <w:pPr>
        <w:numPr>
          <w:ilvl w:val="1"/>
          <w:numId w:val="2168"/>
        </w:numPr>
        <w:pStyle w:val="Compact"/>
      </w:pPr>
      <w:r>
        <w:t xml:space="preserve">31 Jul 2026 Supervision Directions press release: https://rbi.org.in/Scripts/BS_PressReleaseDisplay.aspx?prid=63265</w:t>
      </w:r>
    </w:p>
    <w:p>
      <w:pPr>
        <w:numPr>
          <w:ilvl w:val="1"/>
          <w:numId w:val="2168"/>
        </w:numPr>
        <w:pStyle w:val="Compact"/>
      </w:pPr>
      <w:r>
        <w:t xml:space="preserve">KYC amendment (29 Dec 2025): https://www.rbi.org.in/Scripts/BS_CircularIndexDisplay.aspx?Id=13236</w:t>
      </w:r>
    </w:p>
    <w:p>
      <w:pPr>
        <w:numPr>
          <w:ilvl w:val="0"/>
          <w:numId w:val="2167"/>
        </w:numPr>
        <w:pStyle w:val="Compact"/>
      </w:pPr>
      <w:r>
        <w:rPr>
          <w:bCs/>
          <w:b/>
        </w:rPr>
        <w:t xml:space="preserve">Other primary sources:</w:t>
      </w:r>
    </w:p>
    <w:p>
      <w:pPr>
        <w:numPr>
          <w:ilvl w:val="1"/>
          <w:numId w:val="2169"/>
        </w:numPr>
        <w:pStyle w:val="Compact"/>
      </w:pPr>
      <w:r>
        <w:t xml:space="preserve">UIDAI Circular No. 14 of 2025 (Aadhaar Data Vault): https://www.uidai.gov.in/images/Circular-No.14_of-2025.pdf</w:t>
      </w:r>
    </w:p>
    <w:p>
      <w:pPr>
        <w:numPr>
          <w:ilvl w:val="1"/>
          <w:numId w:val="2169"/>
        </w:numPr>
        <w:pStyle w:val="Compact"/>
      </w:pPr>
      <w:r>
        <w:t xml:space="preserve">CBIC Circular 245/02/2025-GST (penal charges): verify on cbic-gst.gov.in</w:t>
      </w:r>
    </w:p>
    <w:p>
      <w:pPr>
        <w:numPr>
          <w:ilvl w:val="1"/>
          <w:numId w:val="2169"/>
        </w:numPr>
        <w:pStyle w:val="Compact"/>
      </w:pPr>
      <w:r>
        <w:t xml:space="preserve">Railway deployment regions: https://docs.railway.com/reference/deployment-regions</w:t>
      </w:r>
    </w:p>
    <w:p>
      <w:pPr>
        <w:numPr>
          <w:ilvl w:val="0"/>
          <w:numId w:val="2167"/>
        </w:numPr>
        <w:pStyle w:val="Compact"/>
      </w:pPr>
      <w:r>
        <w:rPr>
          <w:bCs/>
          <w:b/>
        </w:rPr>
        <w:t xml:space="preserve">Secondary reproductions and summaries</w:t>
      </w:r>
      <w:r>
        <w:t xml:space="preserve"> </w:t>
      </w:r>
      <w:r>
        <w:t xml:space="preserve">(verify against RBI):</w:t>
      </w:r>
    </w:p>
    <w:p>
      <w:pPr>
        <w:numPr>
          <w:ilvl w:val="1"/>
          <w:numId w:val="2170"/>
        </w:numPr>
        <w:pStyle w:val="Compact"/>
      </w:pPr>
      <w:r>
        <w:t xml:space="preserve">TaxGuru texts of the NBFC Credit Facilities, Responsible Business Conduct, IRACP and Credit Information Reporting Directions, 2025; the Internal Ombudsman Directions 2026; RB-IOS 2026; the commercial-bank ECL Directions 2026.</w:t>
      </w:r>
    </w:p>
    <w:p>
      <w:pPr>
        <w:numPr>
          <w:ilvl w:val="1"/>
          <w:numId w:val="2170"/>
        </w:numPr>
        <w:pStyle w:val="Compact"/>
      </w:pPr>
      <w:r>
        <w:t xml:space="preserve">CAalley list of the 64 Supervision Directions (31 Jul 2026).</w:t>
      </w:r>
    </w:p>
    <w:p>
      <w:pPr>
        <w:numPr>
          <w:ilvl w:val="1"/>
          <w:numId w:val="2170"/>
        </w:numPr>
        <w:pStyle w:val="Compact"/>
      </w:pPr>
      <w:r>
        <w:t xml:space="preserve">CARE Ratings note on the Co-Lending Directions 2025.</w:t>
      </w:r>
    </w:p>
    <w:p>
      <w:pPr>
        <w:numPr>
          <w:ilvl w:val="1"/>
          <w:numId w:val="2170"/>
        </w:numPr>
        <w:pStyle w:val="Compact"/>
      </w:pPr>
      <w:r>
        <w:t xml:space="preserve">TaxGuru text of the RBC Third Amendment Directions, 2026 (recovery agents, 6 Aug 2026): https://taxguru.in/?p=1066749</w:t>
      </w:r>
    </w:p>
    <w:p>
      <w:pPr>
        <w:numPr>
          <w:ilvl w:val="0"/>
          <w:numId w:val="2167"/>
        </w:numPr>
        <w:pStyle w:val="Compact"/>
      </w:pPr>
      <w:r>
        <w:rPr>
          <w:bCs/>
          <w:b/>
        </w:rPr>
        <w:t xml:space="preserve">Apache Fineract:</w:t>
      </w:r>
    </w:p>
    <w:p>
      <w:pPr>
        <w:numPr>
          <w:ilvl w:val="1"/>
          <w:numId w:val="2171"/>
        </w:numPr>
        <w:pStyle w:val="Compact"/>
      </w:pPr>
      <w:r>
        <w:t xml:space="preserve">Project site: https://fineract.apache.org/</w:t>
      </w:r>
    </w:p>
    <w:p>
      <w:pPr>
        <w:numPr>
          <w:ilvl w:val="1"/>
          <w:numId w:val="2171"/>
        </w:numPr>
        <w:pStyle w:val="Compact"/>
      </w:pPr>
      <w:r>
        <w:t xml:space="preserve">Source: https://github.com/apache/fineract (1.15.0)</w:t>
      </w:r>
    </w:p>
    <w:p>
      <w:pPr>
        <w:numPr>
          <w:ilvl w:val="1"/>
          <w:numId w:val="2171"/>
        </w:numPr>
        <w:pStyle w:val="Compact"/>
      </w:pPr>
      <w:r>
        <w:t xml:space="preserve">1.15.0 release notes: https://cwiki.apache.org/confluence/display/FINERACT/1.15.0+-+Apache+Fineract</w:t>
      </w:r>
    </w:p>
    <w:p>
      <w:pPr>
        <w:numPr>
          <w:ilvl w:val="0"/>
          <w:numId w:val="2167"/>
        </w:numPr>
        <w:pStyle w:val="Compact"/>
      </w:pPr>
      <w:r>
        <w:rPr>
          <w:bCs/>
          <w:b/>
        </w:rPr>
        <w:t xml:space="preserve">Technology and integrations:</w:t>
      </w:r>
    </w:p>
    <w:p>
      <w:pPr>
        <w:numPr>
          <w:ilvl w:val="1"/>
          <w:numId w:val="2172"/>
        </w:numPr>
        <w:pStyle w:val="Compact"/>
      </w:pPr>
      <w:r>
        <w:t xml:space="preserve">ReBIT AA specifications: https://api.rebit.org.in/spec/aa</w:t>
      </w:r>
    </w:p>
    <w:p>
      <w:pPr>
        <w:numPr>
          <w:ilvl w:val="1"/>
          <w:numId w:val="2172"/>
        </w:numPr>
        <w:pStyle w:val="Compact"/>
      </w:pPr>
      <w:r>
        <w:t xml:space="preserve">NSDL APIs: https://nsdl.co.in/API-BP/api_brief.html</w:t>
      </w:r>
    </w:p>
    <w:p>
      <w:pPr>
        <w:numPr>
          <w:ilvl w:val="1"/>
          <w:numId w:val="2172"/>
        </w:numPr>
        <w:pStyle w:val="Compact"/>
      </w:pPr>
      <w:r>
        <w:t xml:space="preserve">CDSL APIs: https://www.cdslindia.com/DP/APIs.html</w:t>
      </w:r>
    </w:p>
    <w:p>
      <w:pPr>
        <w:numPr>
          <w:ilvl w:val="1"/>
          <w:numId w:val="2172"/>
        </w:numPr>
        <w:pStyle w:val="Compact"/>
      </w:pPr>
      <w:r>
        <w:t xml:space="preserve">TallyPrime JSON integration: https://help.tallysolutions.com/tally-prime-integration-using-json-1/</w:t>
      </w:r>
    </w:p>
    <w:p>
      <w:pPr>
        <w:numPr>
          <w:ilvl w:val="1"/>
          <w:numId w:val="2172"/>
        </w:numPr>
        <w:pStyle w:val="Compact"/>
      </w:pPr>
      <w:r>
        <w:t xml:space="preserve">Surepass API catalogue: https://surepass.io/surepass-id-verification-apis/</w:t>
      </w:r>
    </w:p>
    <w:p>
      <w:pPr>
        <w:numPr>
          <w:ilvl w:val="1"/>
          <w:numId w:val="2172"/>
        </w:numPr>
        <w:pStyle w:val="Compact"/>
      </w:pPr>
      <w:r>
        <w:t xml:space="preserve">Temporal regions: https://docs.temporal.io/cloud/regions</w:t>
      </w:r>
    </w:p>
    <w:p>
      <w:pPr>
        <w:numPr>
          <w:ilvl w:val="1"/>
          <w:numId w:val="2172"/>
        </w:numPr>
        <w:pStyle w:val="Compact"/>
      </w:pPr>
      <w:r>
        <w:t xml:space="preserve">GoRules ZEN: https://docs.gorules.io/reference/nodejs</w:t>
      </w:r>
    </w:p>
    <w:p>
      <w:pPr>
        <w:numPr>
          <w:ilvl w:val="1"/>
          <w:numId w:val="2172"/>
        </w:numPr>
        <w:pStyle w:val="Compact"/>
      </w:pPr>
      <w:r>
        <w:t xml:space="preserve">UIDAI Aadhaar Data Vault FAQs: https://www.uidai.gov.in/images/FAQs_Aadhaar_Data_Vault_03112025_v10.pdf</w:t>
      </w:r>
    </w:p>
    <w:p>
      <w:pPr>
        <w:numPr>
          <w:ilvl w:val="0"/>
          <w:numId w:val="2167"/>
        </w:numPr>
        <w:pStyle w:val="Compact"/>
      </w:pPr>
      <w:r>
        <w:rPr>
          <w:bCs/>
          <w:b/>
        </w:rPr>
        <w:t xml:space="preserve">v1.4 additions (recovery, ADR, LAS and integration; secondary sources to be re-verified against primary texts):</w:t>
      </w:r>
    </w:p>
    <w:p>
      <w:pPr>
        <w:numPr>
          <w:ilvl w:val="1"/>
          <w:numId w:val="2173"/>
        </w:numPr>
        <w:pStyle w:val="Compact"/>
      </w:pPr>
      <w:r>
        <w:t xml:space="preserve">RBC Third Amendment Directions, 2026 (RBI/2026-27/230, 6 Aug 2026): https://rbi.org.in/Scripts/NotificationUser.aspx?Id=13672</w:t>
      </w:r>
    </w:p>
    <w:p>
      <w:pPr>
        <w:numPr>
          <w:ilvl w:val="1"/>
          <w:numId w:val="2173"/>
        </w:numPr>
        <w:pStyle w:val="Compact"/>
      </w:pPr>
      <w:r>
        <w:t xml:space="preserve">TReDS Directions, 2026 (RBI/DPSS/2026-27/406, 23 Jun 2026): https://www.rbi.org.in/Scripts/NotificationUser.aspx?Id=13526</w:t>
      </w:r>
    </w:p>
    <w:p>
      <w:pPr>
        <w:numPr>
          <w:ilvl w:val="1"/>
          <w:numId w:val="2173"/>
        </w:numPr>
        <w:pStyle w:val="Compact"/>
      </w:pPr>
      <w:r>
        <w:t xml:space="preserve">RBI Lok Adalat ceiling for banks and AIFIs (RBI/2004-05/95): https://www.rbi.org.in/Scripts/NotificationUser.aspx?Id=1813</w:t>
      </w:r>
    </w:p>
    <w:p>
      <w:pPr>
        <w:numPr>
          <w:ilvl w:val="1"/>
          <w:numId w:val="2173"/>
        </w:numPr>
        <w:pStyle w:val="Compact"/>
      </w:pPr>
      <w:r>
        <w:t xml:space="preserve">Mediation Act, 2023 (Gazette): https://egazette.gov.in/WriteReadData/2023/248775.pdf ; Mediation Council of India established (27 Aug 2026): https://www.scconline.com/blog/post/2026/08/31/new-mediation-council-of-india-established/</w:t>
      </w:r>
    </w:p>
    <w:p>
      <w:pPr>
        <w:numPr>
          <w:ilvl w:val="1"/>
          <w:numId w:val="2173"/>
        </w:numPr>
        <w:pStyle w:val="Compact"/>
      </w:pPr>
      <w:r>
        <w:t xml:space="preserve">Arbitration and Conciliation Act, 1996: https://www.indiacode.nic.in/bitstream/123456789/1978/1/A199626.pdf</w:t>
      </w:r>
    </w:p>
    <w:p>
      <w:pPr>
        <w:numPr>
          <w:ilvl w:val="1"/>
          <w:numId w:val="2173"/>
        </w:numPr>
        <w:pStyle w:val="Compact"/>
      </w:pPr>
      <w:r>
        <w:rPr>
          <w:iCs/>
          <w:i/>
        </w:rPr>
        <w:t xml:space="preserve">CORE v ECI-SPIC-SMO-MCML (JV)</w:t>
      </w:r>
      <w:r>
        <w:t xml:space="preserve"> </w:t>
      </w:r>
      <w:r>
        <w:t xml:space="preserve">(SC, 8 Nov 2024): https://www.jsalaw.com/newsletters-and-updates/jsa-prism-dispute-resolution-november-2024/</w:t>
      </w:r>
    </w:p>
    <w:p>
      <w:pPr>
        <w:numPr>
          <w:ilvl w:val="1"/>
          <w:numId w:val="2173"/>
        </w:numPr>
        <w:pStyle w:val="Compact"/>
      </w:pPr>
      <w:r>
        <w:rPr>
          <w:iCs/>
          <w:i/>
        </w:rPr>
        <w:t xml:space="preserve">Shikha Ghosh v Axis Bank</w:t>
      </w:r>
      <w:r>
        <w:t xml:space="preserve"> </w:t>
      </w:r>
      <w:r>
        <w:t xml:space="preserve">(Del HC, 30 Sep 2026): https://www.scconline.com/blog/post/2026/10/16/repeated-appointment-same-arbitrator-4155-cases-delhi-hc-axis-rbi/</w:t>
      </w:r>
    </w:p>
    <w:p>
      <w:pPr>
        <w:numPr>
          <w:ilvl w:val="1"/>
          <w:numId w:val="2173"/>
        </w:numPr>
        <w:pStyle w:val="Compact"/>
      </w:pPr>
      <w:r>
        <w:rPr>
          <w:iCs/>
          <w:i/>
        </w:rPr>
        <w:t xml:space="preserve">L&amp;T Finance v Jai Paras Material Store</w:t>
      </w:r>
      <w:r>
        <w:t xml:space="preserve"> </w:t>
      </w:r>
      <w:r>
        <w:t xml:space="preserve">(Cal HC, 14 May 2026): https://knallp.com/unilateral-odr-appointment-of-sole-arbitrator-invalid-lt-finance-v-jai-paras-material-store-calcutta-high-court/</w:t>
      </w:r>
    </w:p>
    <w:p>
      <w:pPr>
        <w:numPr>
          <w:ilvl w:val="1"/>
          <w:numId w:val="2173"/>
        </w:numPr>
        <w:pStyle w:val="Compact"/>
      </w:pPr>
      <w:r>
        <w:t xml:space="preserve">NBFCs and the DRT (12 Jun 2026): https://mondaq.com/india/financial-services/1800858/</w:t>
      </w:r>
    </w:p>
    <w:p>
      <w:pPr>
        <w:numPr>
          <w:ilvl w:val="1"/>
          <w:numId w:val="2173"/>
        </w:numPr>
        <w:pStyle w:val="Compact"/>
      </w:pPr>
      <w:r>
        <w:t xml:space="preserve">SARFAESI NBFC threshold, S.O. 652(E) of 12 Feb 2021: https://bhattandjoshiassociates.com/the-threshold-for-applicability-of-sarfaesi-act-on-nbfcs/</w:t>
      </w:r>
    </w:p>
    <w:p>
      <w:pPr>
        <w:numPr>
          <w:ilvl w:val="1"/>
          <w:numId w:val="2173"/>
        </w:numPr>
        <w:pStyle w:val="Compact"/>
      </w:pPr>
      <w:r>
        <w:rPr>
          <w:iCs/>
          <w:i/>
        </w:rPr>
        <w:t xml:space="preserve">M.R. Vasumathi v Authorized Officer</w:t>
      </w:r>
      <w:r>
        <w:t xml:space="preserve"> </w:t>
      </w:r>
      <w:r>
        <w:t xml:space="preserve">(SC, 9 Jun 2026): https://mondaq.com/india/financial-services/1802208/</w:t>
      </w:r>
    </w:p>
    <w:p>
      <w:pPr>
        <w:numPr>
          <w:ilvl w:val="1"/>
          <w:numId w:val="2173"/>
        </w:numPr>
        <w:pStyle w:val="Compact"/>
      </w:pPr>
      <w:r>
        <w:t xml:space="preserve">IBC (Amendment) Act, 2026 (Act 6 of 2026; most provisions in force 26 May 2026 by S.O. 2625(E)): ibbi.gov.in (legal framework) and https://ibclaw.in/</w:t>
      </w:r>
    </w:p>
    <w:p>
      <w:pPr>
        <w:numPr>
          <w:ilvl w:val="1"/>
          <w:numId w:val="2173"/>
        </w:numPr>
        <w:pStyle w:val="Compact"/>
      </w:pPr>
      <w:r>
        <w:rPr>
          <w:iCs/>
          <w:i/>
        </w:rPr>
        <w:t xml:space="preserve">Hari Dutta Sharma v State of UP</w:t>
      </w:r>
      <w:r>
        <w:t xml:space="preserve">, 2026 LiveLaw (SC) 942 (16 Sep 2026): livelaw.in</w:t>
      </w:r>
    </w:p>
    <w:p>
      <w:pPr>
        <w:numPr>
          <w:ilvl w:val="1"/>
          <w:numId w:val="2173"/>
        </w:numPr>
        <w:pStyle w:val="Compact"/>
      </w:pPr>
      <w:r>
        <w:t xml:space="preserve">SEBI pledge reasonable-notice rule (5 Feb 2026): https://mondaq.com/india/securities/1752522/</w:t>
      </w:r>
    </w:p>
    <w:p>
      <w:pPr>
        <w:numPr>
          <w:ilvl w:val="1"/>
          <w:numId w:val="2173"/>
        </w:numPr>
        <w:pStyle w:val="Compact"/>
      </w:pPr>
      <w:r>
        <w:t xml:space="preserve">NSDL pledge: https://nsdl.com/services/pledge ; CDSL LAS: https://www.cdslindia.com/LAS/LAS.html</w:t>
      </w:r>
    </w:p>
    <w:p>
      <w:pPr>
        <w:numPr>
          <w:ilvl w:val="1"/>
          <w:numId w:val="2173"/>
        </w:numPr>
        <w:pStyle w:val="Compact"/>
      </w:pPr>
      <w:r>
        <w:t xml:space="preserve">BAANKNET for IBC liquidation auctions: https://foxmandal.in/News/liquidators-to-sell-assets-via-baanknet-auction-portal-only/</w:t>
      </w:r>
    </w:p>
    <w:p>
      <w:pPr>
        <w:numPr>
          <w:ilvl w:val="1"/>
          <w:numId w:val="2173"/>
        </w:numPr>
        <w:pStyle w:val="Compact"/>
      </w:pPr>
      <w:r>
        <w:t xml:space="preserve">India Post CEPT API SOP: https://utilities.cept.gov.in/dop/pdfbind.ashx?id=5778 ; WhatsApp Business Messaging Policy: https://whatsappbusiness.com/policy/</w:t>
      </w:r>
    </w:p>
    <w:p>
      <w:pPr>
        <w:numPr>
          <w:ilvl w:val="1"/>
          <w:numId w:val="2173"/>
        </w:numPr>
        <w:pStyle w:val="Compact"/>
      </w:pPr>
      <w:r>
        <w:t xml:space="preserve">GST reverse charge (Notification 13/2017-CT(Rate)): https://gstcouncil.gov.in/sites/default/files/2024-05/download_8_0.pdf</w:t>
      </w:r>
    </w:p>
    <w:p>
      <w:pPr>
        <w:numPr>
          <w:ilvl w:val="1"/>
          <w:numId w:val="2173"/>
        </w:numPr>
        <w:pStyle w:val="Compact"/>
      </w:pPr>
      <w:r>
        <w:t xml:space="preserve">TallyPrime XML integration: https://help.tallysolutions.com/developer-reference/integration-capabilities/method-specific-integration/xml/</w:t>
      </w:r>
    </w:p>
    <w:p>
      <w:pPr>
        <w:numPr>
          <w:ilvl w:val="1"/>
          <w:numId w:val="2173"/>
        </w:numPr>
        <w:pStyle w:val="Compact"/>
      </w:pPr>
      <w:r>
        <w:t xml:space="preserve">Standards: OSCAL https://pages.nist.gov/OSCAL-Reference/ ; FAPI 2.0 https://openid.net/fapi2-0-final-conformance-tests-available/ ; Idempotency-Key draft https://datatracker.ietf.org/doc/html/draft-ietf-httpapi-idempotency-key-header ; OpenAPI releases https://www.speakeasy.com/openapi/release-notes</w:t>
      </w:r>
    </w:p>
    <w:p>
      <w:pPr>
        <w:numPr>
          <w:ilvl w:val="1"/>
          <w:numId w:val="2173"/>
        </w:numPr>
        <w:pStyle w:val="Compact"/>
      </w:pPr>
      <w:r>
        <w:t xml:space="preserve">GRC tool APIs: https://www.metricstream.com/platform/apis.htm ; https://ibm.com/products/openpages/integrations</w:t>
      </w:r>
    </w:p>
    <w:p>
      <w:pPr>
        <w:numPr>
          <w:ilvl w:val="0"/>
          <w:numId w:val="2167"/>
        </w:numPr>
        <w:pStyle w:val="Compact"/>
      </w:pPr>
      <w:r>
        <w:rPr>
          <w:bCs/>
          <w:b/>
        </w:rPr>
        <w:t xml:space="preserve">v1.5 — RBI portals, supervisory returns and credit information reporting (Part 7B):</w:t>
      </w:r>
    </w:p>
    <w:p>
      <w:pPr>
        <w:numPr>
          <w:ilvl w:val="1"/>
          <w:numId w:val="2174"/>
        </w:numPr>
        <w:pStyle w:val="Compact"/>
      </w:pPr>
      <w:r>
        <w:t xml:space="preserve">RBI list of reporting portals (CIMS, Sankalan and others): https://rbi.org.in/scripts/ReportingPlaform.aspx</w:t>
      </w:r>
    </w:p>
    <w:p>
      <w:pPr>
        <w:numPr>
          <w:ilvl w:val="1"/>
          <w:numId w:val="2174"/>
        </w:numPr>
        <w:pStyle w:val="Compact"/>
      </w:pPr>
      <w:r>
        <w:t xml:space="preserve">CIMS common login and Sankalan data-collection portal: https://cims.rbi.org.in ; https://sankalan.rbi.org.in</w:t>
      </w:r>
    </w:p>
    <w:p>
      <w:pPr>
        <w:numPr>
          <w:ilvl w:val="1"/>
          <w:numId w:val="2174"/>
        </w:numPr>
        <w:pStyle w:val="Compact"/>
      </w:pPr>
      <w:r>
        <w:t xml:space="preserve">DAKSH launch (press release, 6 Oct 2022): https://rbi.org.in/Scripts/BS_PressReleaseDisplay.aspx?prid=54503 ; portal https://daksh.rbi.org.in</w:t>
      </w:r>
    </w:p>
    <w:p>
      <w:pPr>
        <w:numPr>
          <w:ilvl w:val="1"/>
          <w:numId w:val="2174"/>
        </w:numPr>
        <w:pStyle w:val="Compact"/>
      </w:pPr>
      <w:r>
        <w:t xml:space="preserve">PRAVAAH launch (28 May 2024): https://rbi.org.in/Scripts/BS_PressReleaseDisplay.aspx?prid=57990 ; mandatory from 1 May 2025 (11 Apr 2025): https://rbi.org.in/Scripts/BS_PressReleaseDisplay.aspx?prid=60211 ; portal https://pravaah.rbi.org.in</w:t>
      </w:r>
    </w:p>
    <w:p>
      <w:pPr>
        <w:numPr>
          <w:ilvl w:val="1"/>
          <w:numId w:val="2174"/>
        </w:numPr>
        <w:pStyle w:val="Compact"/>
      </w:pPr>
      <w:r>
        <w:t xml:space="preserve">RBI list of all returns: https://rbi.org.in/scripts/BS_Listofallreturns.aspx ; NBFC view: https://www.rbi.org.in/Scripts/BS_Listofallreturns.aspx?id=14</w:t>
      </w:r>
    </w:p>
    <w:p>
      <w:pPr>
        <w:numPr>
          <w:ilvl w:val="1"/>
          <w:numId w:val="2174"/>
        </w:numPr>
        <w:pStyle w:val="Compact"/>
      </w:pPr>
      <w:r>
        <w:t xml:space="preserve">RBI harmonised data definitions and validation rules: https://rbi.org.in/scripts/DataDefinition.aspx</w:t>
      </w:r>
    </w:p>
    <w:p>
      <w:pPr>
        <w:numPr>
          <w:ilvl w:val="1"/>
          <w:numId w:val="2174"/>
        </w:numPr>
        <w:pStyle w:val="Compact"/>
      </w:pPr>
      <w:r>
        <w:t xml:space="preserve">CIMS submission channels, A.P. (DIR Series) Circular No. 24, RBI/2026-27/280, 1 Oct 2026 (secondary): https://taxguru.in/rbi/rbi-nrd-csr-r012-submission-cims-sankalan-portal.html</w:t>
      </w:r>
    </w:p>
    <w:p>
      <w:pPr>
        <w:numPr>
          <w:ilvl w:val="1"/>
          <w:numId w:val="2174"/>
        </w:numPr>
        <w:pStyle w:val="Compact"/>
      </w:pPr>
      <w:r>
        <w:t xml:space="preserve">XBRL return discontinuation, RBI/2023-24/94: https://www.rbi.org.in/Scripts/BS_ViewMasDirections.aspx?id=12576</w:t>
      </w:r>
    </w:p>
    <w:p>
      <w:pPr>
        <w:numPr>
          <w:ilvl w:val="1"/>
          <w:numId w:val="2174"/>
        </w:numPr>
        <w:pStyle w:val="Compact"/>
      </w:pPr>
      <w:r>
        <w:t xml:space="preserve">Filing of Supervisory Returns Directions, 2024 (repealed by SR para 27; secondary): https://taxguru.in/rbi/master-direction-rbi-filing-supervisory-returns-directions-2024.html</w:t>
      </w:r>
    </w:p>
    <w:p>
      <w:pPr>
        <w:numPr>
          <w:ilvl w:val="1"/>
          <w:numId w:val="2174"/>
        </w:numPr>
        <w:pStyle w:val="Compact"/>
      </w:pPr>
      <w:r>
        <w:t xml:space="preserve">Commercial Banks – Supervisory Returns Directions, 2026 (KPMG summary): https://kpmg.com/in/en/insights/2026/09/reserve-bank-of-india-commercial-banks-supervisory-returns-directions-2026.html</w:t>
      </w:r>
    </w:p>
    <w:p>
      <w:pPr>
        <w:numPr>
          <w:ilvl w:val="1"/>
          <w:numId w:val="2174"/>
        </w:numPr>
        <w:pStyle w:val="Compact"/>
      </w:pPr>
      <w:r>
        <w:t xml:space="preserve">The 64 RBI Directions of 31 Jul 2026 (CAalley list): https://www.caalley.com/corporate-laws-updates/64-rbi-directions-released-on-july-31-2026</w:t>
      </w:r>
    </w:p>
    <w:p>
      <w:pPr>
        <w:numPr>
          <w:ilvl w:val="1"/>
          <w:numId w:val="2174"/>
        </w:numPr>
        <w:pStyle w:val="Compact"/>
      </w:pPr>
      <w:r>
        <w:t xml:space="preserve">Consolidation of RBI Directions, version 2.0 (Vinod Kothari): https://vinodkothari.com/2026/04/consolidation-of-rbi-directions-ver-2-0/</w:t>
      </w:r>
    </w:p>
    <w:p>
      <w:pPr>
        <w:numPr>
          <w:ilvl w:val="1"/>
          <w:numId w:val="2174"/>
        </w:numPr>
        <w:pStyle w:val="Compact"/>
      </w:pPr>
      <w:r>
        <w:t xml:space="preserve">NBFC Credit Information Reporting Amendment Directions, 2025 (secondary text): https://taxguru.in/rbi/rbi-non-banking-financial-companies-credit-information-reporting-amendment-directions-2025.html</w:t>
      </w:r>
    </w:p>
    <w:p>
      <w:pPr>
        <w:numPr>
          <w:ilvl w:val="1"/>
          <w:numId w:val="2174"/>
        </w:numPr>
        <w:pStyle w:val="Compact"/>
      </w:pPr>
      <w:r>
        <w:t xml:space="preserve">Credit Information Companies (Amendment) Directions, 2025, RBI/DOR/2025-26/119: https://www.rbi.org.in/Scripts/NotificationUser.aspx?Id=13189</w:t>
      </w:r>
    </w:p>
    <w:p>
      <w:pPr>
        <w:numPr>
          <w:ilvl w:val="1"/>
          <w:numId w:val="2174"/>
        </w:numPr>
        <w:pStyle w:val="Compact"/>
      </w:pPr>
      <w:r>
        <w:t xml:space="preserve">Credit Information Companies Directions, 2025 (updated 1 Jul 2026): https://www.rbi.org.in/scripts/BS_ViewMasDirections.aspx?id=12926</w:t>
      </w:r>
    </w:p>
    <w:p>
      <w:pPr>
        <w:numPr>
          <w:ilvl w:val="1"/>
          <w:numId w:val="2174"/>
        </w:numPr>
        <w:pStyle w:val="Compact"/>
      </w:pPr>
      <w:r>
        <w:t xml:space="preserve">Consumer UCRF version 3.74: https://www.experian.in/wp-content/uploads/sites/39/2026/07/Consumer-UCRF-Version-3.74.pdf</w:t>
      </w:r>
    </w:p>
    <w:p>
      <w:pPr>
        <w:numPr>
          <w:ilvl w:val="1"/>
          <w:numId w:val="2174"/>
        </w:numPr>
        <w:pStyle w:val="Compact"/>
      </w:pPr>
      <w:r>
        <w:t xml:space="preserve">Commercial UCRF version 3.10 (delimited, 13 Apr 2026): https://www.experian.in/wp-content/uploads/sites/39/2026/07/Commercial-UCRF-V3.10-Delimited-13th-April-2026.pdf</w:t>
      </w:r>
    </w:p>
    <w:p>
      <w:pPr>
        <w:numPr>
          <w:ilvl w:val="1"/>
          <w:numId w:val="2174"/>
        </w:numPr>
        <w:pStyle w:val="Compact"/>
      </w:pPr>
      <w:r>
        <w:t xml:space="preserve">MFI UCRF including SHG, version 3.3.1: https://www.experian.in/wp-content/uploads/sites/39/2026/07/Uniform-Credit-Reporting-format-MFIs-Including-SHG-Version-3.3.1.pdf</w:t>
      </w:r>
    </w:p>
    <w:p>
      <w:pPr>
        <w:numPr>
          <w:ilvl w:val="1"/>
          <w:numId w:val="2174"/>
        </w:numPr>
        <w:pStyle w:val="Compact"/>
      </w:pPr>
      <w:r>
        <w:t xml:space="preserve">TransUnion CIBIL data acquisition guide: https://www.transunioncibil.com/content/dam/transunion-cibil/corporate/documents/data-acquisition.pdf</w:t>
      </w:r>
    </w:p>
    <w:p>
      <w:pPr>
        <w:numPr>
          <w:ilvl w:val="1"/>
          <w:numId w:val="2174"/>
        </w:numPr>
        <w:pStyle w:val="Compact"/>
      </w:pPr>
      <w:r>
        <w:t xml:space="preserve">FIU-IND FINGate 2.0 go-live office memorandum: https://fiuindia.gov.in/pdfs/quicklinks/OM_Golive_FINGate2.0.pdf</w:t>
      </w:r>
    </w:p>
    <w:p>
      <w:pPr>
        <w:numPr>
          <w:ilvl w:val="0"/>
          <w:numId w:val="2167"/>
        </w:numPr>
        <w:pStyle w:val="Compact"/>
      </w:pPr>
      <w:r>
        <w:rPr>
          <w:bCs/>
          <w:b/>
        </w:rPr>
        <w:t xml:space="preserve">v1.5 — accounting frameworks, financial statements, audit and tax (Parts 7C, 7D):</w:t>
      </w:r>
    </w:p>
    <w:p>
      <w:pPr>
        <w:numPr>
          <w:ilvl w:val="1"/>
          <w:numId w:val="2175"/>
        </w:numPr>
        <w:pStyle w:val="Compact"/>
      </w:pPr>
      <w:r>
        <w:t xml:space="preserve">Ind AS applicability to NBFCs (Taxmann): https://www.taxmann.com/post/blog/practical-insights-on-ind-as-and-sas-applicability-of-ind-as-to-nbfcs</w:t>
      </w:r>
    </w:p>
    <w:p>
      <w:pPr>
        <w:numPr>
          <w:ilvl w:val="1"/>
          <w:numId w:val="2175"/>
        </w:numPr>
        <w:pStyle w:val="Compact"/>
      </w:pPr>
      <w:r>
        <w:t xml:space="preserve">RBI regulatory guidance on Ind AS for NBFCs and ARCs (secondary): https://taxguru.in/rbi/rbi-regulatory-guidance-ind-as-implementing-nbfcs-arcs.html</w:t>
      </w:r>
    </w:p>
    <w:p>
      <w:pPr>
        <w:numPr>
          <w:ilvl w:val="1"/>
          <w:numId w:val="2175"/>
        </w:numPr>
        <w:pStyle w:val="Compact"/>
      </w:pPr>
      <w:r>
        <w:t xml:space="preserve">Companies (Ind AS) Amendment Rules, 2026 (secondary): https://taxguru.in/company-law/mca-notifies-companies-ind-amendment-rules-2026.html</w:t>
      </w:r>
    </w:p>
    <w:p>
      <w:pPr>
        <w:numPr>
          <w:ilvl w:val="1"/>
          <w:numId w:val="2175"/>
        </w:numPr>
        <w:pStyle w:val="Compact"/>
      </w:pPr>
      <w:r>
        <w:t xml:space="preserve">Ind AS deferral for banks, RBI/2018-2019/146 (22 Mar 2019): https://www.rbi.org.in/Scripts/NotificationUser.aspx?Id=11506</w:t>
      </w:r>
    </w:p>
    <w:p>
      <w:pPr>
        <w:numPr>
          <w:ilvl w:val="1"/>
          <w:numId w:val="2175"/>
        </w:numPr>
        <w:pStyle w:val="Compact"/>
      </w:pPr>
      <w:r>
        <w:t xml:space="preserve">Commercial Banks – Asset Classification, Provisioning and Income Recognition Directions, 2026 (secondary text and note): https://taxguru.in/rbi/rbi-commercial-banks-asset-classification-provisioning-income-recognition-directions-2026.html ; https://ksandk.com/newsletter/rbi-ecl-framework/</w:t>
      </w:r>
    </w:p>
    <w:p>
      <w:pPr>
        <w:numPr>
          <w:ilvl w:val="1"/>
          <w:numId w:val="2175"/>
        </w:numPr>
        <w:pStyle w:val="Compact"/>
      </w:pPr>
      <w:r>
        <w:t xml:space="preserve">IFSCA accounting standard for IFSC Banking Units (30 Jul 2021): https://www.ifsca.gov.in/Document/Legal/accounting-standard-to-be-followed-by-ifsc-banking-units-ibus-for-the-purpose-of-ifsca-regulatory-reporting-and-compliance30072021112932.pdf</w:t>
      </w:r>
    </w:p>
    <w:p>
      <w:pPr>
        <w:numPr>
          <w:ilvl w:val="1"/>
          <w:numId w:val="2175"/>
        </w:numPr>
        <w:pStyle w:val="Compact"/>
      </w:pPr>
      <w:r>
        <w:t xml:space="preserve">IFSCA working group on financial reporting in foreign currency (2022): https://ifsca.gov.in/Document/ReportandPublication/report-of-the-working-group-on-financial-reporting-and-capital-structure-of-ifsc-companies-in-freely-convertible-foreign-currency29112022043723.pdf</w:t>
      </w:r>
    </w:p>
    <w:p>
      <w:pPr>
        <w:numPr>
          <w:ilvl w:val="1"/>
          <w:numId w:val="2175"/>
        </w:numPr>
        <w:pStyle w:val="Compact"/>
      </w:pPr>
      <w:r>
        <w:t xml:space="preserve">ARC master circular RBI/2022-23/03 (SR valuation and disclosure): https://www.rbi.org.in/Scripts/BS_ViewMasDirections.aspx?id=12267</w:t>
      </w:r>
    </w:p>
    <w:p>
      <w:pPr>
        <w:numPr>
          <w:ilvl w:val="1"/>
          <w:numId w:val="2175"/>
        </w:numPr>
        <w:pStyle w:val="Compact"/>
      </w:pPr>
      <w:r>
        <w:t xml:space="preserve">Companies (Accounts) Rules, Rule 12 (XBRL and AOC-4 forms): https://ca2013.com/rule-12-companies-accounts-rules2014/</w:t>
      </w:r>
    </w:p>
    <w:p>
      <w:pPr>
        <w:numPr>
          <w:ilvl w:val="1"/>
          <w:numId w:val="2175"/>
        </w:numPr>
        <w:pStyle w:val="Compact"/>
      </w:pPr>
      <w:r>
        <w:t xml:space="preserve">Companies (Accounts) Second Amendment Rules, 2025 (30 May 2025): https://ca2013.com/wp-content/uploads/2025/06/MCA-Notification-regarding-Companies-Accounts-Second-Amendment-Rules-2025-dated-30.05.2025.pdf</w:t>
      </w:r>
    </w:p>
    <w:p>
      <w:pPr>
        <w:numPr>
          <w:ilvl w:val="1"/>
          <w:numId w:val="2175"/>
        </w:numPr>
        <w:pStyle w:val="Compact"/>
      </w:pPr>
      <w:r>
        <w:t xml:space="preserve">MCA XBRL policy FAQs: https://www.mca.gov.in/XBRL/Policy_specific_FAQs2.html</w:t>
      </w:r>
    </w:p>
    <w:p>
      <w:pPr>
        <w:numPr>
          <w:ilvl w:val="1"/>
          <w:numId w:val="2175"/>
        </w:numPr>
        <w:pStyle w:val="Compact"/>
      </w:pPr>
      <w:r>
        <w:t xml:space="preserve">ICAI applicability of AS to non-company entities from 1 Apr 2024 (EIRC): https://eirc-icai.org/uploads/background_materials/2024_AS%20applicability%20-%20Non%20corporate%20accounting%20standards%20accplicability%20wef%201.4.24_1779681853.pdf</w:t>
      </w:r>
    </w:p>
    <w:p>
      <w:pPr>
        <w:numPr>
          <w:ilvl w:val="1"/>
          <w:numId w:val="2175"/>
        </w:numPr>
        <w:pStyle w:val="Compact"/>
      </w:pPr>
      <w:r>
        <w:t xml:space="preserve">CARO 2020 clauses for NBFCs and CICs (BCAJ): https://bcajonline.org/journal/caro-2020-series-new-clauses-and-modifications-non-banking-finance-companies-nbfcs-including-core-investment-companies/</w:t>
      </w:r>
    </w:p>
    <w:p>
      <w:pPr>
        <w:numPr>
          <w:ilvl w:val="1"/>
          <w:numId w:val="2175"/>
        </w:numPr>
        <w:pStyle w:val="Compact"/>
      </w:pPr>
      <w:r>
        <w:t xml:space="preserve">Commercial Banks – Internal Audit Function Directions, 2026, RBI/DoS/2026-27/413: https://rbi.org.in/scripts/BS_ViewMasDirections.aspx?id=13640</w:t>
      </w:r>
    </w:p>
    <w:p>
      <w:pPr>
        <w:numPr>
          <w:ilvl w:val="1"/>
          <w:numId w:val="2175"/>
        </w:numPr>
        <w:pStyle w:val="Compact"/>
      </w:pPr>
      <w:r>
        <w:t xml:space="preserve">ICAI Internal Audit Standards Board publications: https://internalaudit.icai.org/publications/</w:t>
      </w:r>
    </w:p>
    <w:p>
      <w:pPr>
        <w:numPr>
          <w:ilvl w:val="1"/>
          <w:numId w:val="2175"/>
        </w:numPr>
        <w:pStyle w:val="Compact"/>
      </w:pPr>
      <w:r>
        <w:t xml:space="preserve">ICAI Technical Guide on Risk-Based Internal Audit of NBFCs (2024): https://internalaudit.icai.org/wp-content/uploads/2024/07/final-pub.-57-4_TG-on-Risk-Based-Internal-Audit-of-NBFC-24.pdf</w:t>
      </w:r>
    </w:p>
    <w:p>
      <w:pPr>
        <w:numPr>
          <w:ilvl w:val="1"/>
          <w:numId w:val="2175"/>
        </w:numPr>
        <w:pStyle w:val="Compact"/>
      </w:pPr>
      <w:r>
        <w:t xml:space="preserve">Preface to the Standards on Internal Audit (24 Sep 2025): https://internalaudit.icai.org/wp-content/uploads/2025/09/Preface-24-09-2025.pdf</w:t>
      </w:r>
    </w:p>
    <w:p>
      <w:pPr>
        <w:numPr>
          <w:ilvl w:val="1"/>
          <w:numId w:val="2175"/>
        </w:numPr>
        <w:pStyle w:val="Compact"/>
      </w:pPr>
      <w:r>
        <w:t xml:space="preserve">ICAI Guidance Note on Audit of Banks, 2026 Edition: https://www.icai.org/post/guidance-note-on-audit-of-banks-2026-edition</w:t>
      </w:r>
    </w:p>
    <w:p>
      <w:pPr>
        <w:numPr>
          <w:ilvl w:val="1"/>
          <w:numId w:val="2175"/>
        </w:numPr>
        <w:pStyle w:val="Compact"/>
      </w:pPr>
      <w:r>
        <w:t xml:space="preserve">ICAI Technical Guide on Audit of NBFCs, revised edition (Taxmann): https://www.taxmann.com/post/blog/icai-issues-technical-guide-on-audit-of-non-banking-financial-companies-revised-edition/</w:t>
      </w:r>
    </w:p>
    <w:p>
      <w:pPr>
        <w:numPr>
          <w:ilvl w:val="1"/>
          <w:numId w:val="2175"/>
        </w:numPr>
        <w:pStyle w:val="Compact"/>
      </w:pPr>
      <w:r>
        <w:t xml:space="preserve">ICSI revised Secretarial Standards SS-1 and SS-2 (announcement, 13 Feb 2024): https://www.icsi.edu/media/webmodules/Announcement_on_Revised_Secretarial_Standards_13022024.pdf</w:t>
      </w:r>
    </w:p>
    <w:p>
      <w:pPr>
        <w:numPr>
          <w:ilvl w:val="1"/>
          <w:numId w:val="2175"/>
        </w:numPr>
        <w:pStyle w:val="Compact"/>
      </w:pPr>
      <w:r>
        <w:t xml:space="preserve">ICSI Auditing Standards CSAS-1 to CSAS-4 and the Revised Edition 2026 (secondary): https://taxguru.in/chartered-accountant/icsi-auditing-standards-csas.html ; https://taxguru.in/company-law/icsi-council-approves-revised-auditing-standards-cseet-eligibility-student-fund.html</w:t>
      </w:r>
    </w:p>
    <w:p>
      <w:pPr>
        <w:numPr>
          <w:ilvl w:val="1"/>
          <w:numId w:val="2175"/>
        </w:numPr>
        <w:pStyle w:val="Compact"/>
      </w:pPr>
      <w:r>
        <w:t xml:space="preserve">LODR Regulation 24A (secretarial audit and compliance report) and SEBI FAQs of 23 Apr 2025: https://ca2013.com/lodr-regulation-24a/ ; https://ca2013.com/wp-content/uploads/2025/04/SEBI-_FAQs_23.04.2025.pdf</w:t>
      </w:r>
    </w:p>
    <w:p>
      <w:pPr>
        <w:numPr>
          <w:ilvl w:val="1"/>
          <w:numId w:val="2175"/>
        </w:numPr>
        <w:pStyle w:val="Compact"/>
      </w:pPr>
      <w:r>
        <w:t xml:space="preserve">GST on interest income: https://cleartax.in/s/gst-on-interest-income</w:t>
      </w:r>
    </w:p>
    <w:p>
      <w:pPr>
        <w:numPr>
          <w:ilvl w:val="1"/>
          <w:numId w:val="2175"/>
        </w:numPr>
        <w:pStyle w:val="Compact"/>
      </w:pPr>
      <w:r>
        <w:t xml:space="preserve">CBIC clarification on penal charges, Circular 245/02/2025-GST (summary): https://www.vjmglobal.com/blog/cbic-issued-clarification-on-applicability-of-gst-on-various-services-such-as-penal-charges</w:t>
      </w:r>
    </w:p>
    <w:p>
      <w:pPr>
        <w:numPr>
          <w:ilvl w:val="1"/>
          <w:numId w:val="2175"/>
        </w:numPr>
        <w:pStyle w:val="Compact"/>
      </w:pPr>
      <w:r>
        <w:t xml:space="preserve">Invoice Management System (IMS): https://cleartax.in/s/is-ims-mandatory-in-gst</w:t>
      </w:r>
    </w:p>
    <w:p>
      <w:pPr>
        <w:numPr>
          <w:ilvl w:val="1"/>
          <w:numId w:val="2175"/>
        </w:numPr>
        <w:pStyle w:val="Compact"/>
      </w:pPr>
      <w:r>
        <w:t xml:space="preserve">GSTR-1 HSN reporting changes (2025): https://taxguru.in/goods-and-service-tax/gst-hsn-code-reporting-updates-january-2025.html</w:t>
      </w:r>
    </w:p>
    <w:p>
      <w:pPr>
        <w:numPr>
          <w:ilvl w:val="1"/>
          <w:numId w:val="2175"/>
        </w:numPr>
        <w:pStyle w:val="Compact"/>
      </w:pPr>
      <w:r>
        <w:t xml:space="preserve">GST on the co-lending spread (Department of Revenue, Feb 2025): https://www.business-standard.com/amp/economy/news/revenue-department-rejects-panel-s-gst-waiver-demand-on-co-lending-125020501515_1.html</w:t>
      </w:r>
    </w:p>
    <w:p>
      <w:pPr>
        <w:numPr>
          <w:ilvl w:val="1"/>
          <w:numId w:val="2175"/>
        </w:numPr>
        <w:pStyle w:val="Compact"/>
      </w:pPr>
      <w:r>
        <w:t xml:space="preserve">TDS section codes under the Income-tax Act, 2025: https://taxguru.in/income-tax/section-code-tds-income-tax-act-2025.html</w:t>
      </w:r>
    </w:p>
    <w:p>
      <w:pPr>
        <w:numPr>
          <w:ilvl w:val="1"/>
          <w:numId w:val="2175"/>
        </w:numPr>
        <w:pStyle w:val="Compact"/>
      </w:pPr>
      <w:r>
        <w:t xml:space="preserve">Form 140 (quarterly TDS statement): https://www.incometaxindia.gov.in/documents/d/guest/fn-140</w:t>
      </w:r>
    </w:p>
    <w:p>
      <w:pPr>
        <w:numPr>
          <w:ilvl w:val="1"/>
          <w:numId w:val="2175"/>
        </w:numPr>
        <w:pStyle w:val="Compact"/>
      </w:pPr>
      <w:r>
        <w:t xml:space="preserve">Forms under the Income-tax Act, 2025 and Rules, 2026 (comparative guide): https://taxguru.in/income-tax/new-forms-income-tax-act-2025-rules-2026-a-comparitive-guide.html</w:t>
      </w:r>
    </w:p>
    <w:p>
      <w:pPr>
        <w:numPr>
          <w:ilvl w:val="1"/>
          <w:numId w:val="2175"/>
        </w:numPr>
        <w:pStyle w:val="Compact"/>
      </w:pPr>
      <w:r>
        <w:t xml:space="preserve">Section 508 (statement of financial transactions): https://www.incometaxindia.gov.in/w/section-508-2</w:t>
      </w:r>
    </w:p>
    <w:p>
      <w:pPr>
        <w:numPr>
          <w:ilvl w:val="1"/>
          <w:numId w:val="2175"/>
        </w:numPr>
        <w:pStyle w:val="Compact"/>
      </w:pPr>
      <w:r>
        <w:t xml:space="preserve">Form 130 (salary TDS certificate) FAQs: https://www.incometaxindia.gov.in/documents/d/guest/form-130-faqs</w:t>
      </w:r>
    </w:p>
    <w:p>
      <w:pPr>
        <w:numPr>
          <w:ilvl w:val="1"/>
          <w:numId w:val="2175"/>
        </w:numPr>
        <w:pStyle w:val="Compact"/>
      </w:pPr>
      <w:r>
        <w:t xml:space="preserve">Section 22 (house-property interest) and section 202 (new regime): https://www.incometaxindia.gov.in/w/section-22-218 ; https://www.incometaxindia.gov.in/w/section-202-78</w:t>
      </w:r>
    </w:p>
    <w:p>
      <w:pPr>
        <w:numPr>
          <w:ilvl w:val="1"/>
          <w:numId w:val="2175"/>
        </w:numPr>
        <w:pStyle w:val="Compact"/>
      </w:pPr>
      <w:r>
        <w:t xml:space="preserve">TallyPrime 7.0 release notes and TallyPrime as a server: https://help.tallysolutions.com/release-notes-tallyprime-7-0 ; https://help.tallysolutions.com/tallyprime-as-server/</w:t>
      </w:r>
    </w:p>
    <w:p>
      <w:pPr>
        <w:numPr>
          <w:ilvl w:val="0"/>
          <w:numId w:val="2167"/>
        </w:numPr>
        <w:pStyle w:val="Compact"/>
      </w:pPr>
      <w:r>
        <w:rPr>
          <w:bCs/>
          <w:b/>
        </w:rPr>
        <w:t xml:space="preserve">v1.5 — risk management and capital (Part 7E):</w:t>
      </w:r>
    </w:p>
    <w:p>
      <w:pPr>
        <w:numPr>
          <w:ilvl w:val="1"/>
          <w:numId w:val="2176"/>
        </w:numPr>
        <w:pStyle w:val="Compact"/>
      </w:pPr>
      <w:r>
        <w:t xml:space="preserve">Housing Finance Companies Directions, 2025, RBI/DoR/2025-26/365: https://rbi.org.in/ScriptS/BS_ViewMasDirections.aspx?id=12939</w:t>
      </w:r>
    </w:p>
    <w:p>
      <w:pPr>
        <w:numPr>
          <w:ilvl w:val="1"/>
          <w:numId w:val="2176"/>
        </w:numPr>
        <w:pStyle w:val="Compact"/>
      </w:pPr>
      <w:r>
        <w:t xml:space="preserve">Commercial Banks – Capital Adequacy Directions, 2025: https://rbi.org.in/Scripts/BS_ViewMasDirections.aspx?id=13159</w:t>
      </w:r>
    </w:p>
    <w:p>
      <w:pPr>
        <w:numPr>
          <w:ilvl w:val="1"/>
          <w:numId w:val="2176"/>
        </w:numPr>
        <w:pStyle w:val="Compact"/>
      </w:pPr>
      <w:r>
        <w:t xml:space="preserve">Draft amendment on the bank leverage ratio (Basel 2017 alignment): https://www.rbi.org.in/scripts/bs_viewcontent.aspx?Id=5139</w:t>
      </w:r>
    </w:p>
    <w:p>
      <w:pPr>
        <w:numPr>
          <w:ilvl w:val="1"/>
          <w:numId w:val="2176"/>
        </w:numPr>
        <w:pStyle w:val="Compact"/>
      </w:pPr>
      <w:r>
        <w:t xml:space="preserve">Basel III standardised approach for Indian banks from 1 Apr 2027 (KPMG): https://kpmg.com/in/en/insights/2026/05/basel-III-standardised-approach-for-Indian-banks.html ; https://assets.kpmg.com/content/dam/kpmgsites/in/pdf/2025/10/basel-III-standardised-approach-credit-and-operational-risk.pdf.coredownload.inline.pdf</w:t>
      </w:r>
    </w:p>
    <w:p>
      <w:pPr>
        <w:numPr>
          <w:ilvl w:val="1"/>
          <w:numId w:val="2176"/>
        </w:numPr>
        <w:pStyle w:val="Compact"/>
      </w:pPr>
      <w:r>
        <w:t xml:space="preserve">Review of risk weights on microfinance loans (25 Feb 2025): https://website.rbi.org.in/web/rbi/-/notifications/review-of-risk-weights-on-microfinance-loans</w:t>
      </w:r>
    </w:p>
    <w:p>
      <w:pPr>
        <w:numPr>
          <w:ilvl w:val="1"/>
          <w:numId w:val="2176"/>
        </w:numPr>
        <w:pStyle w:val="Compact"/>
      </w:pPr>
      <w:r>
        <w:t xml:space="preserve">LCR framework changes (press release, 21 Apr 2025): https://www.rbi.org.in/Scripts/BS_PressReleaseDisplay.aspx?prid=60260</w:t>
      </w:r>
    </w:p>
    <w:p>
      <w:pPr>
        <w:numPr>
          <w:ilvl w:val="1"/>
          <w:numId w:val="2176"/>
        </w:numPr>
        <w:pStyle w:val="Compact"/>
      </w:pPr>
      <w:r>
        <w:t xml:space="preserve">Revised regulatory framework for UCBs (tiers and capital): https://www.indiancooperative.com/from-states/size-matters-rbi-issues-revised-regulatory-framework-for-ucbs/</w:t>
      </w:r>
    </w:p>
    <w:p>
      <w:pPr>
        <w:numPr>
          <w:ilvl w:val="0"/>
          <w:numId w:val="2167"/>
        </w:numPr>
        <w:pStyle w:val="Compact"/>
      </w:pPr>
      <w:r>
        <w:rPr>
          <w:bCs/>
          <w:b/>
        </w:rPr>
        <w:t xml:space="preserve">v1.5 — co-operatives and microfinance (Part 7G IP2–IP4):</w:t>
      </w:r>
    </w:p>
    <w:p>
      <w:pPr>
        <w:numPr>
          <w:ilvl w:val="1"/>
          <w:numId w:val="2177"/>
        </w:numPr>
        <w:pStyle w:val="Compact"/>
      </w:pPr>
      <w:r>
        <w:t xml:space="preserve">MSCS Act, 2002 as amended in 2023 (CRCS consolidated text): https://crcs.gov.in/public/landing/MSCS_Act_2002_Amendment_2023.pdf</w:t>
      </w:r>
    </w:p>
    <w:p>
      <w:pPr>
        <w:numPr>
          <w:ilvl w:val="1"/>
          <w:numId w:val="2177"/>
        </w:numPr>
        <w:pStyle w:val="Compact"/>
      </w:pPr>
      <w:r>
        <w:t xml:space="preserve">CRCS model bye-laws for multi-State thrift and credit societies: https://crcs.gov.in/public/tempalebyelaw/CREDIT_BYELAWS.pdf</w:t>
      </w:r>
    </w:p>
    <w:p>
      <w:pPr>
        <w:numPr>
          <w:ilvl w:val="1"/>
          <w:numId w:val="2177"/>
        </w:numPr>
        <w:pStyle w:val="Compact"/>
      </w:pPr>
      <w:r>
        <w:t xml:space="preserve">Prudential norms and dos and don’ts for multi-State credit societies: https://www.indiancooperative.com/from-states/ministry-unveils-new-prudential-norms-for-multi-state-co-op-societies/ ; https://www.indiancooperative.com/featured/fortifying-multistate-credit-co-ops-ministry-notifies-dos-donts/</w:t>
      </w:r>
    </w:p>
    <w:p>
      <w:pPr>
        <w:numPr>
          <w:ilvl w:val="1"/>
          <w:numId w:val="2177"/>
        </w:numPr>
        <w:pStyle w:val="Compact"/>
      </w:pPr>
      <w:r>
        <w:t xml:space="preserve">Maharashtra Co-operative Societies Act and Rules: https://mahapanan.maharashtra.gov.in/Site/Upload/GR/MCS%20Bare%20Act%20and%20Rules.pdf</w:t>
      </w:r>
    </w:p>
    <w:p>
      <w:pPr>
        <w:numPr>
          <w:ilvl w:val="1"/>
          <w:numId w:val="2177"/>
        </w:numPr>
        <w:pStyle w:val="Compact"/>
      </w:pPr>
      <w:r>
        <w:t xml:space="preserve">Banning of Unregulated Deposit Schemes Act, 2019: https://lddashboard.legislative.gov.in/sites/default/files/A2019-21.pdf</w:t>
      </w:r>
    </w:p>
    <w:p>
      <w:pPr>
        <w:numPr>
          <w:ilvl w:val="1"/>
          <w:numId w:val="2177"/>
        </w:numPr>
        <w:pStyle w:val="Compact"/>
      </w:pPr>
      <w:r>
        <w:t xml:space="preserve">Karnataka Act 15 of 2025 and Tamil Nadu Act 40 of 2025 (coercive recovery): https://prsindia.org/files/bills_acts/acts_states/karnataka/2025/Act15of2025KA.pdf ; https://prsindia.org/files/bills_acts/acts_states/tamil-nadu/2025/Act40of2025TN.pdf</w:t>
      </w:r>
    </w:p>
    <w:p>
      <w:pPr>
        <w:numPr>
          <w:ilvl w:val="1"/>
          <w:numId w:val="2177"/>
        </w:numPr>
        <w:pStyle w:val="Compact"/>
      </w:pPr>
      <w:r>
        <w:t xml:space="preserve">Tamil Nadu coercive-actions law and NBFCs (Vinod Kothari): https://vinodkothari.com/2026/03/not-registration-but-caution-what-tamil-nadu-coercive-actions-law-means-for-nbfcs/</w:t>
      </w:r>
    </w:p>
    <w:p>
      <w:pPr>
        <w:numPr>
          <w:ilvl w:val="1"/>
          <w:numId w:val="2177"/>
        </w:numPr>
        <w:pStyle w:val="Compact"/>
      </w:pPr>
      <w:r>
        <w:t xml:space="preserve">Compendium of MFIN Directives and Advisories (Jan 2025): https://mfinindia.org/assets/upload_image/publications/IndustryStandards/Compendium%20of%20MFIN%20Directives%20and%20Advisories%20-%20January%202025%20Web.pdf</w:t>
      </w:r>
    </w:p>
    <w:p>
      <w:pPr>
        <w:numPr>
          <w:ilvl w:val="1"/>
          <w:numId w:val="2177"/>
        </w:numPr>
        <w:pStyle w:val="Compact"/>
      </w:pPr>
      <w:r>
        <w:t xml:space="preserve">Microfinance sector outlook (CARE Ratings, Aug 2026): https://www.careratings.com/uploads/newsfiles/1787226398_Microfinance%20Out%20of%20the%20Woods.pdf</w:t>
      </w:r>
    </w:p>
    <w:p>
      <w:pPr>
        <w:numPr>
          <w:ilvl w:val="1"/>
          <w:numId w:val="2177"/>
        </w:numPr>
        <w:pStyle w:val="Compact"/>
      </w:pPr>
      <w:r>
        <w:t xml:space="preserve">NABARD supervisory role and digitalisation of co-operatives: https://www.nabard.org/pdf/supervisory-role-of-nabard-eng.pdf ; https://www.nabard.org/digitalizing-cooperatives.aspx</w:t>
      </w:r>
    </w:p>
    <w:p>
      <w:pPr>
        <w:numPr>
          <w:ilvl w:val="1"/>
          <w:numId w:val="2177"/>
        </w:numPr>
        <w:pStyle w:val="Compact"/>
      </w:pPr>
      <w:r>
        <w:t xml:space="preserve">Ministry of Cooperation, reforms for co-operative banks (Jan 2026): https://www.cooperation.gov.in/sites/default/files/2026-01/Reforms_Cooperative%20Banks-Eng.pdf</w:t>
      </w:r>
    </w:p>
    <w:p>
      <w:pPr>
        <w:numPr>
          <w:ilvl w:val="1"/>
          <w:numId w:val="2177"/>
        </w:numPr>
        <w:pStyle w:val="Compact"/>
      </w:pPr>
      <w:r>
        <w:t xml:space="preserve">UCB tiered framework (press release) and PSL revision: https://rbi.org.in/Scripts/BS_PressReleaseDisplay.aspx?prid=54059 ; https://rbi.org.in/Scripts/BS_PressReleaseDisplay.aspx?prid=60048</w:t>
      </w:r>
    </w:p>
    <w:p>
      <w:pPr>
        <w:numPr>
          <w:ilvl w:val="1"/>
          <w:numId w:val="2177"/>
        </w:numPr>
        <w:pStyle w:val="Compact"/>
      </w:pPr>
      <w:r>
        <w:t xml:space="preserve">UCB draft Directions (RBI): https://rbi.org.in/scriptS/BS_ViewREwiseDraftDirections.aspx?id=64 ; https://rbi.org.in/Scripts/BS_ViewREwiseDraftDirections.aspx?id=97</w:t>
      </w:r>
    </w:p>
    <w:p>
      <w:pPr>
        <w:numPr>
          <w:ilvl w:val="1"/>
          <w:numId w:val="2177"/>
        </w:numPr>
        <w:pStyle w:val="Compact"/>
      </w:pPr>
      <w:r>
        <w:t xml:space="preserve">UCB Concentration Risk Management Directions, 2025 (secondary text): https://taxguru.in/rbi/rbi-urban-co-operative-banks-concentration-risk-management-directions-2025.html</w:t>
      </w:r>
    </w:p>
    <w:p>
      <w:pPr>
        <w:numPr>
          <w:ilvl w:val="1"/>
          <w:numId w:val="2177"/>
        </w:numPr>
        <w:pStyle w:val="Compact"/>
      </w:pPr>
      <w:r>
        <w:t xml:space="preserve">Gold and silver lending Directions, 2025: https://www.rbi.org.in/Scripts/NotificationUser.aspx?Id=12542</w:t>
      </w:r>
    </w:p>
    <w:p>
      <w:pPr>
        <w:numPr>
          <w:ilvl w:val="0"/>
          <w:numId w:val="2167"/>
        </w:numPr>
        <w:pStyle w:val="Compact"/>
      </w:pPr>
      <w:r>
        <w:rPr>
          <w:bCs/>
          <w:b/>
        </w:rPr>
        <w:t xml:space="preserve">v1.5 — investments, ARCs, IFSC entities and listed companies (Parts 7F GV4, 7G IP5–IP6, 7H):</w:t>
      </w:r>
    </w:p>
    <w:p>
      <w:pPr>
        <w:numPr>
          <w:ilvl w:val="1"/>
          <w:numId w:val="2178"/>
        </w:numPr>
        <w:pStyle w:val="Compact"/>
      </w:pPr>
      <w:r>
        <w:t xml:space="preserve">NBFC Investment Portfolio Directions (updated 1 Jul 2026): https://rbi.org.in/Scripts/BS_ViewMasDirections.aspx?id=12950</w:t>
      </w:r>
    </w:p>
    <w:p>
      <w:pPr>
        <w:numPr>
          <w:ilvl w:val="1"/>
          <w:numId w:val="2178"/>
        </w:numPr>
        <w:pStyle w:val="Compact"/>
      </w:pPr>
      <w:r>
        <w:t xml:space="preserve">Investment in AIF Directions, 2025, RBI/DOR/2025-26/138: https://www.rbi.org.in/Scripts/BS_ViewMasDirections.aspx?id=12886</w:t>
      </w:r>
    </w:p>
    <w:p>
      <w:pPr>
        <w:numPr>
          <w:ilvl w:val="1"/>
          <w:numId w:val="2178"/>
        </w:numPr>
        <w:pStyle w:val="Compact"/>
      </w:pPr>
      <w:r>
        <w:t xml:space="preserve">Undertaking of Financial Services Directions, 2025 (final and draft): https://www.rbi.org.in/Scripts/BS_ViewMasDirections.aspx?id=12961 ; https://rbi.org.in/Scripts/BS_ViewREwiseDraftDirections.aspx?id=188</w:t>
      </w:r>
    </w:p>
    <w:p>
      <w:pPr>
        <w:numPr>
          <w:ilvl w:val="1"/>
          <w:numId w:val="2178"/>
        </w:numPr>
        <w:pStyle w:val="Compact"/>
      </w:pPr>
      <w:r>
        <w:t xml:space="preserve">Core Investment Companies Directions, 2025, RBI/DOR/2025-26/367: https://rbi.org.in/Scripts/BS_ViewMasDirections.aspx?id=12937</w:t>
      </w:r>
    </w:p>
    <w:p>
      <w:pPr>
        <w:numPr>
          <w:ilvl w:val="1"/>
          <w:numId w:val="2178"/>
        </w:numPr>
        <w:pStyle w:val="Compact"/>
      </w:pPr>
      <w:r>
        <w:t xml:space="preserve">SBR Amendment Directions, 2026 (Type I NBFC; RBI/2026-27/43): https://www.rbi.org.in/Scripts/NotificationUser.aspx?Id=13407&amp;Mode=0</w:t>
      </w:r>
    </w:p>
    <w:p>
      <w:pPr>
        <w:numPr>
          <w:ilvl w:val="1"/>
          <w:numId w:val="2178"/>
        </w:numPr>
        <w:pStyle w:val="Compact"/>
      </w:pPr>
      <w:r>
        <w:t xml:space="preserve">Asset Reconstruction Companies Directions, 2025: https://rbi.org.in/SCRIPTs/BS_ViewMasDirections.aspx?id=12930</w:t>
      </w:r>
    </w:p>
    <w:p>
      <w:pPr>
        <w:numPr>
          <w:ilvl w:val="1"/>
          <w:numId w:val="2178"/>
        </w:numPr>
        <w:pStyle w:val="Compact"/>
      </w:pPr>
      <w:r>
        <w:t xml:space="preserve">NBFCs and HFCs as qualified buyers of security receipts: https://vinodkothari.com/2025/03/nbfcs-and-hfcs-get-the-ticket-to-qualified-buyers-club/</w:t>
      </w:r>
    </w:p>
    <w:p>
      <w:pPr>
        <w:numPr>
          <w:ilvl w:val="1"/>
          <w:numId w:val="2178"/>
        </w:numPr>
        <w:pStyle w:val="Compact"/>
      </w:pPr>
      <w:r>
        <w:t xml:space="preserve">AMFI stock categorisation: https://www.amfiindia.com/otherdata/categorisation-of-stocks</w:t>
      </w:r>
    </w:p>
    <w:p>
      <w:pPr>
        <w:numPr>
          <w:ilvl w:val="1"/>
          <w:numId w:val="2178"/>
        </w:numPr>
        <w:pStyle w:val="Compact"/>
      </w:pPr>
      <w:r>
        <w:t xml:space="preserve">SEBI circular on categorisation and rationalisation of MF schemes (26 Feb 2026): https://www.sebi.gov.in/legal/circulars/feb-2026/categorization-and-rationalization-of-mutual-fund-schemes_99983.html</w:t>
      </w:r>
    </w:p>
    <w:p>
      <w:pPr>
        <w:numPr>
          <w:ilvl w:val="1"/>
          <w:numId w:val="2178"/>
        </w:numPr>
        <w:pStyle w:val="Compact"/>
      </w:pPr>
      <w:r>
        <w:t xml:space="preserve">SME IPO reforms (2025): https://agamalaw.in/2025/05/16/navigating-sme-ipos-recent-regulatory-changes/ ; https://ksandk.com/corporate/sebi-mandates-profitability-for-smes-ipos/</w:t>
      </w:r>
    </w:p>
    <w:p>
      <w:pPr>
        <w:numPr>
          <w:ilvl w:val="1"/>
          <w:numId w:val="2178"/>
        </w:numPr>
        <w:pStyle w:val="Compact"/>
      </w:pPr>
      <w:r>
        <w:t xml:space="preserve">NBFCs as QIBs under ICDR (AZB): https://www.azbpartners.com/bank/reassessing-qibs-need-for-sebi-clarification-for-nbfcs/</w:t>
      </w:r>
    </w:p>
    <w:p>
      <w:pPr>
        <w:numPr>
          <w:ilvl w:val="1"/>
          <w:numId w:val="2178"/>
        </w:numPr>
        <w:pStyle w:val="Compact"/>
      </w:pPr>
      <w:r>
        <w:t xml:space="preserve">Credit derivatives Directions, 2022 (NBFC market-makers): https://lexplosion.in/rbi-rolls-out-master-direction-on-credit-derivatives-transactions-in-otc-markets-gains-effect-from-09-05-22-nbfcs-scbs-etc-eligible-to-act-as-market-makers-in-credit-derivatives</w:t>
      </w:r>
    </w:p>
    <w:p>
      <w:pPr>
        <w:numPr>
          <w:ilvl w:val="1"/>
          <w:numId w:val="2178"/>
        </w:numPr>
        <w:pStyle w:val="Compact"/>
      </w:pPr>
      <w:r>
        <w:t xml:space="preserve">RBI framework for financing REITs and InvITs: https://foxmandal.in/news/rbi-introduces-comprehensive-framework-for-financing-of-reits-and-invits/</w:t>
      </w:r>
    </w:p>
    <w:p>
      <w:pPr>
        <w:numPr>
          <w:ilvl w:val="1"/>
          <w:numId w:val="2178"/>
        </w:numPr>
        <w:pStyle w:val="Compact"/>
      </w:pPr>
      <w:r>
        <w:t xml:space="preserve">AIF concentration norms, demat holding and 2025–26 changes: https://taxmann.com/post/blog/sebi-permits-category-iii-aifs-to-calculate-concentration-norms-in-listed-equity-based-on-net-asset-value ; https://treelife.in/news/sebi-extends-timelines-for-aifs-to-hold-investments-in-dematerialised-form/ ; https://www.snrlaw.in/compilation-of-regulatory-updates-in-relation-to-aifs/</w:t>
      </w:r>
    </w:p>
    <w:p>
      <w:pPr>
        <w:numPr>
          <w:ilvl w:val="1"/>
          <w:numId w:val="2178"/>
        </w:numPr>
        <w:pStyle w:val="Compact"/>
      </w:pPr>
      <w:r>
        <w:t xml:space="preserve">IFSCA (Finance Company) Regulations (as amended to 1 Jul 2022), Amendment Regulations 2026 and the consolidated 2026 text: https://ifsca.gov.in/Document/Legal/ifsca-finance-company-regulations-as-amended-upto-july-1-202214102022061351.pdf ; https://www.taxmann.com/post/blog/ifsca-notifies-ifsca-finance-company-amendment-regulations/ ; https://teamleaseregtech.com/updates/article/57687/ifsca-issued-the-consolidated-ifsca-finance-company-regulations-2026/</w:t>
      </w:r>
    </w:p>
    <w:p>
      <w:pPr>
        <w:numPr>
          <w:ilvl w:val="1"/>
          <w:numId w:val="2178"/>
        </w:numPr>
        <w:pStyle w:val="Compact"/>
      </w:pPr>
      <w:r>
        <w:t xml:space="preserve">IFSCA (Fund Management) Regulations, 2025: https://taxguru.in/finance/ifsca-fund-management-regulations-2025-key-provisions.html</w:t>
      </w:r>
    </w:p>
    <w:p>
      <w:pPr>
        <w:numPr>
          <w:ilvl w:val="1"/>
          <w:numId w:val="2178"/>
        </w:numPr>
        <w:pStyle w:val="Compact"/>
      </w:pPr>
      <w:r>
        <w:t xml:space="preserve">LODR Fifth Amendment 2025 (RPT materiality) and the HVDLE regime: https://lexplosion.in/sebi-issues-sebi-lodr-fifth-amendment-regulations-2025-introduces-new-thresholds-for-determination-of-materiality-of-related-party-transactions/ ; https://vinodkothari.com/2025/10/hvdles-set-to-move-from-high-value-to-higher-value/</w:t>
      </w:r>
    </w:p>
    <w:p>
      <w:pPr>
        <w:numPr>
          <w:ilvl w:val="1"/>
          <w:numId w:val="2178"/>
        </w:numPr>
        <w:pStyle w:val="Compact"/>
      </w:pPr>
      <w:r>
        <w:t xml:space="preserve">PIT Amendment 2025 (AZB): https://www.azbpartners.com/bank/sebi-amends-insider-trading-regulations-2/</w:t>
      </w:r>
    </w:p>
    <w:p>
      <w:pPr>
        <w:numPr>
          <w:ilvl w:val="0"/>
          <w:numId w:val="2167"/>
        </w:numPr>
        <w:pStyle w:val="Compact"/>
      </w:pPr>
      <w:r>
        <w:rPr>
          <w:bCs/>
          <w:b/>
        </w:rPr>
        <w:t xml:space="preserve">v1.5 — workforce, workplace, billing, engineering, certifications and voice (Parts 7F GV6–GV7, 7J, 7K, 7L):</w:t>
      </w:r>
    </w:p>
    <w:p>
      <w:pPr>
        <w:numPr>
          <w:ilvl w:val="1"/>
          <w:numId w:val="2179"/>
        </w:numPr>
        <w:pStyle w:val="Compact"/>
      </w:pPr>
      <w:r>
        <w:t xml:space="preserve">Final Central Rules under the Labour Codes (EY, May 2026): https://www.ey.com/content/dam/ey-unified-site/ey-com/en-in/technical/alerts-hub/documents/2026/05/final-rules-published-by-central-government-under-new-labour-codes.pdf</w:t>
      </w:r>
    </w:p>
    <w:p>
      <w:pPr>
        <w:numPr>
          <w:ilvl w:val="1"/>
          <w:numId w:val="2179"/>
        </w:numPr>
        <w:pStyle w:val="Compact"/>
      </w:pPr>
      <w:r>
        <w:t xml:space="preserve">Ministry of Labour and Employment Labour Code material: https://www.labour.gov.in/static/uploads/2026/01/de4758d5bfeffc456d7de97a801891b0.pdf</w:t>
      </w:r>
    </w:p>
    <w:p>
      <w:pPr>
        <w:numPr>
          <w:ilvl w:val="1"/>
          <w:numId w:val="2179"/>
        </w:numPr>
        <w:pStyle w:val="Compact"/>
      </w:pPr>
      <w:r>
        <w:t xml:space="preserve">Wages (Central) Rules, 2026 (Taxmann): https://www.taxmann.com/post/blog/wages-central-rules-2026-code-on-wages-chapter-wise-guide</w:t>
      </w:r>
    </w:p>
    <w:p>
      <w:pPr>
        <w:numPr>
          <w:ilvl w:val="1"/>
          <w:numId w:val="2179"/>
        </w:numPr>
        <w:pStyle w:val="Compact"/>
      </w:pPr>
      <w:r>
        <w:t xml:space="preserve">EPF wage ceiling re-notified under the Code on Social Security: https://ksandk.com/newsletter/employees-provident-fund-compliance-update-%E2%82%B915000-wage-ceiling-officially-notified-under-the-code-on-social-security-2020/</w:t>
      </w:r>
    </w:p>
    <w:p>
      <w:pPr>
        <w:numPr>
          <w:ilvl w:val="1"/>
          <w:numId w:val="2179"/>
        </w:numPr>
        <w:pStyle w:val="Compact"/>
      </w:pPr>
      <w:r>
        <w:t xml:space="preserve">DPDP Rules, 2025 (Khaitan ERGO; KPMG guidance): https://www.khaitanco.com/sites/default/files/2025-11/ERGO%20-%20Digital%20Personal%20%20Data%20Protection%20Rules%20-%2015%20November%202025.pdf ; https://assets.kpmg.com/content/dam/kpmgsites/in/pdf/2025/11/dpdp-rules-2025-guidance-to-dpdp-act-implementation.pdf</w:t>
      </w:r>
    </w:p>
    <w:p>
      <w:pPr>
        <w:numPr>
          <w:ilvl w:val="1"/>
          <w:numId w:val="2179"/>
        </w:numPr>
        <w:pStyle w:val="Compact"/>
      </w:pPr>
      <w:r>
        <w:t xml:space="preserve">Microsoft 365 Advanced Data Residency and data-residency product terms: https://learn.microsoft.com/en-us/microsoft-365/enterprise/advanced-data-residency ; https://learn.microsoft.com/en-us/microsoft-365/enterprise/m365-dr-product-terms</w:t>
      </w:r>
    </w:p>
    <w:p>
      <w:pPr>
        <w:numPr>
          <w:ilvl w:val="1"/>
          <w:numId w:val="2179"/>
        </w:numPr>
        <w:pStyle w:val="Compact"/>
      </w:pPr>
      <w:r>
        <w:t xml:space="preserve">Microsoft Graph licence assignment, change notifications and protected Teams APIs: https://learn.microsoft.com/en-us/graph/api/user-assignlicense ; https://learn.microsoft.com/en-us/graph/change-notifications-overview ; https://learn.microsoft.com/en-us/graph/teams-protected-apis</w:t>
      </w:r>
    </w:p>
    <w:p>
      <w:pPr>
        <w:numPr>
          <w:ilvl w:val="1"/>
          <w:numId w:val="2179"/>
        </w:numPr>
        <w:pStyle w:val="Compact"/>
      </w:pPr>
      <w:r>
        <w:t xml:space="preserve">Google Workspace data regions (no India region): https://knowledge.workspace.google.com/admin/compliance/data-covered-by-data-regions</w:t>
      </w:r>
    </w:p>
    <w:p>
      <w:pPr>
        <w:numPr>
          <w:ilvl w:val="1"/>
          <w:numId w:val="2179"/>
        </w:numPr>
        <w:pStyle w:val="Compact"/>
      </w:pPr>
      <w:r>
        <w:t xml:space="preserve">AWS KMS external key store (HYOK): https://docs.aws.amazon.com/kms/latest/developerguide/keystore-external.html</w:t>
      </w:r>
    </w:p>
    <w:p>
      <w:pPr>
        <w:numPr>
          <w:ilvl w:val="1"/>
          <w:numId w:val="2179"/>
        </w:numPr>
        <w:pStyle w:val="Compact"/>
      </w:pPr>
      <w:r>
        <w:t xml:space="preserve">Razorpay webhook validation and gateway compliance: https://razorpay.com/docs/webhooks/validate-test/ ; https://razorpay.com/blog/payment-gateway-compliance/</w:t>
      </w:r>
    </w:p>
    <w:p>
      <w:pPr>
        <w:numPr>
          <w:ilvl w:val="1"/>
          <w:numId w:val="2179"/>
        </w:numPr>
        <w:pStyle w:val="Compact"/>
      </w:pPr>
      <w:r>
        <w:t xml:space="preserve">E-mandate Directions, 2026 (RBI/DPSS/2026-27/396): https://www.rbi.org.in/Scripts/BS_ViewMasDirections.aspx?id=13374</w:t>
      </w:r>
    </w:p>
    <w:p>
      <w:pPr>
        <w:numPr>
          <w:ilvl w:val="1"/>
          <w:numId w:val="2179"/>
        </w:numPr>
        <w:pStyle w:val="Compact"/>
      </w:pPr>
      <w:r>
        <w:t xml:space="preserve">Payment Aggregator Directions, 2025 (press release, 15 Sep 2025): https://www.rbi.org.in/scripts/BS_PressReleaseDisplay.aspx?prid=61218</w:t>
      </w:r>
    </w:p>
    <w:p>
      <w:pPr>
        <w:numPr>
          <w:ilvl w:val="1"/>
          <w:numId w:val="2179"/>
        </w:numPr>
        <w:pStyle w:val="Compact"/>
      </w:pPr>
      <w:r>
        <w:t xml:space="preserve">PCI DSS v4.0.1 SAQ A FAQ: https://blog.report-uri.com/pci-dss-4-0-1-saq-a-and-client-side-security-a-plain-english-faq/</w:t>
      </w:r>
    </w:p>
    <w:p>
      <w:pPr>
        <w:numPr>
          <w:ilvl w:val="1"/>
          <w:numId w:val="2179"/>
        </w:numPr>
        <w:pStyle w:val="Compact"/>
      </w:pPr>
      <w:r>
        <w:t xml:space="preserve">AICPA Trust Services Criteria (2017, revised points of focus 2022): https://www.aicpa-cima.com/resources/download/2017-trust-services-criteria-with-revised-points-of-focus-2022</w:t>
      </w:r>
    </w:p>
    <w:p>
      <w:pPr>
        <w:numPr>
          <w:ilvl w:val="1"/>
          <w:numId w:val="2179"/>
        </w:numPr>
        <w:pStyle w:val="Compact"/>
      </w:pPr>
      <w:r>
        <w:t xml:space="preserve">ISO/IEC 27701:2025 release (DNV): https://www.dnv.com/news/2025/iso-iec-27701-standard-update-release/</w:t>
      </w:r>
    </w:p>
    <w:p>
      <w:pPr>
        <w:numPr>
          <w:ilvl w:val="1"/>
          <w:numId w:val="2179"/>
        </w:numPr>
        <w:pStyle w:val="Compact"/>
      </w:pPr>
      <w:r>
        <w:t xml:space="preserve">CERT-In Directions of 28 Apr 2022: https://www.cert-in.org.in/PDF/CERT-In_Directions_70B_28.04.2022.pdf</w:t>
      </w:r>
    </w:p>
    <w:p>
      <w:pPr>
        <w:numPr>
          <w:ilvl w:val="1"/>
          <w:numId w:val="2179"/>
        </w:numPr>
        <w:pStyle w:val="Compact"/>
      </w:pPr>
      <w:r>
        <w:t xml:space="preserve">GitHub rulesets and artifact attestations: https://docs.github.com/en/repositories/configuring-branches-and-merges-in-your-repository/managing-rulesets/available-rules-for-rulesets ; https://docs.github.com/en/actions/security-for-github-actions/using-artifact-attestations/using-artifact-attestations-to-establish-provenance-for-builds</w:t>
      </w:r>
    </w:p>
    <w:p>
      <w:pPr>
        <w:numPr>
          <w:ilvl w:val="1"/>
          <w:numId w:val="2179"/>
        </w:numPr>
        <w:pStyle w:val="Compact"/>
      </w:pPr>
      <w:r>
        <w:t xml:space="preserve">TRAI Direction on 1600-series numbers (19 Nov 2025): https://www.trai.gov.in/sites/default/files/2025-11/Direction_19112025_0.pdf</w:t>
      </w:r>
    </w:p>
    <w:p>
      <w:pPr>
        <w:numPr>
          <w:ilvl w:val="1"/>
          <w:numId w:val="2179"/>
        </w:numPr>
        <w:pStyle w:val="Compact"/>
      </w:pPr>
      <w:r>
        <w:t xml:space="preserve">TCCCPR amendment (TRAI press release 11/2025, 12 Feb 2025) and TRAI press release 151/2025: https://cms.trai.gov.in/sites/default/files/2025-02/PR_No.11of2025.pdf ; https://www.trai.gov.in/sites/default/files/2025-12/PR_No.151of2025.pdf</w:t>
      </w:r>
    </w:p>
    <w:p>
      <w:pPr>
        <w:numPr>
          <w:ilvl w:val="1"/>
          <w:numId w:val="2179"/>
        </w:numPr>
        <w:pStyle w:val="Compact"/>
      </w:pPr>
      <w:r>
        <w:t xml:space="preserve">TRAI clarification on the 1600 and 140 series (10 Jul 2026): https://www.scconline.com/blog/post/2026/07/18/trai-clarifies-1600-and-140-series-number-framework/</w:t>
      </w:r>
    </w:p>
    <w:p>
      <w:pPr>
        <w:numPr>
          <w:ilvl w:val="1"/>
          <w:numId w:val="2179"/>
        </w:numPr>
        <w:pStyle w:val="Compact"/>
      </w:pPr>
      <w:r>
        <w:t xml:space="preserve">JioCX and Jio Business services: https://www.jio.com/business/services/jiocx/ ; https://jiocx.com/solutions/communications-service-providers</w:t>
      </w:r>
    </w:p>
    <w:p>
      <w:pPr>
        <w:numPr>
          <w:ilvl w:val="1"/>
          <w:numId w:val="2179"/>
        </w:numPr>
        <w:pStyle w:val="Compact"/>
      </w:pPr>
      <w:r>
        <w:t xml:space="preserve">RBI draft directions on sales practices (Vinod Kothari, Jun 2026): https://vinodkothari.com/wp-content/uploads/2026/06/From-Consent-to-Compensation_-RBIs-Draft-Directions-for-REs-on-Sales-Practices.pdf</w:t>
      </w:r>
    </w:p>
    <w:p>
      <w:pPr>
        <w:numPr>
          <w:ilvl w:val="0"/>
          <w:numId w:val="2167"/>
        </w:numPr>
        <w:pStyle w:val="Compact"/>
      </w:pPr>
      <w:r>
        <w:rPr>
          <w:bCs/>
          <w:b/>
        </w:rPr>
        <w:t xml:space="preserve">v1.5 — grievances and the professional directory (M15, R11):</w:t>
      </w:r>
    </w:p>
    <w:p>
      <w:pPr>
        <w:numPr>
          <w:ilvl w:val="1"/>
          <w:numId w:val="2180"/>
        </w:numPr>
        <w:pStyle w:val="Compact"/>
      </w:pPr>
      <w:r>
        <w:t xml:space="preserve">Reserve Bank – Integrated Ombudsman Scheme, 2026 (press release, 16 Jan 2026; scheme text as published by a bank; secondary text): https://www.rbi.org.in/scripts/BS_PressReleaseDisplay.aspx?prid=62052 ; https://www.ujjivansfb.bank.in/assets/1_RESERVE_BANK_INTEGRATED_OMBUDSMAN_SCHEME_2026_9f0db1d061.pdf ; https://taxguru.in/?p=1019941</w:t>
      </w:r>
    </w:p>
    <w:p>
      <w:pPr>
        <w:numPr>
          <w:ilvl w:val="1"/>
          <w:numId w:val="2180"/>
        </w:numPr>
        <w:pStyle w:val="Compact"/>
      </w:pPr>
      <w:r>
        <w:t xml:space="preserve">NBFC Internal Ombudsman Directions, 2026 (secondary text): https://taxguru.in/?p=1018315</w:t>
      </w:r>
    </w:p>
    <w:p>
      <w:pPr>
        <w:numPr>
          <w:ilvl w:val="1"/>
          <w:numId w:val="2180"/>
        </w:numPr>
        <w:pStyle w:val="Compact"/>
      </w:pPr>
      <w:r>
        <w:t xml:space="preserve">Bar Council of India Rule 36 and advocate listings: https://www.scconline.com/blog/?p=327018</w:t>
      </w:r>
    </w:p>
    <w:p>
      <w:pPr>
        <w:numPr>
          <w:ilvl w:val="0"/>
          <w:numId w:val="2167"/>
        </w:numPr>
        <w:pStyle w:val="Compact"/>
      </w:pPr>
      <w:r>
        <w:rPr>
          <w:bCs/>
          <w:b/>
        </w:rPr>
        <w:t xml:space="preserve">v1.5 — menus, screens, settings and accessibility (Part 10.5; Appendix G):</w:t>
      </w:r>
    </w:p>
    <w:p>
      <w:pPr>
        <w:numPr>
          <w:ilvl w:val="1"/>
          <w:numId w:val="2181"/>
        </w:numPr>
        <w:pStyle w:val="Compact"/>
      </w:pPr>
      <w:r>
        <w:t xml:space="preserve">W3C Web Content Accessibility Guidelines (WCAG) 2.2, W3C Recommendation: https://www.w3.org/TR/WCAG22/</w:t>
      </w:r>
    </w:p>
    <w:p>
      <w:pPr>
        <w:numPr>
          <w:ilvl w:val="1"/>
          <w:numId w:val="2181"/>
        </w:numPr>
        <w:pStyle w:val="Compact"/>
      </w:pPr>
      <w:r>
        <w:t xml:space="preserve">CEL (Common Expression Language) specification, used for setting floors and rule packs: https://github.com/google/cel-spec</w:t>
      </w:r>
    </w:p>
    <w:p>
      <w:pPr>
        <w:pStyle w:val="FirstParagraph"/>
      </w:pPr>
      <w:r>
        <w:rPr>
          <w:iCs/>
          <w:i/>
        </w:rPr>
        <w:t xml:space="preserve">End of master prompt.</w:t>
      </w:r>
    </w:p>
    <w:bookmarkEnd w:id="942"/>
    <w:bookmarkEnd w:id="943"/>
    <w:sectPr>
      <w:footerReference w:type="default" r:id="rId9"/>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Finbyx — Master Build Prompt for Claude Code · v1.5 · Page </w:t>
    </w:r>
    <w:r>
      <w:rPr>
        <w:color w:val="666666"/>
        <w:sz w:val="16"/>
      </w:rPr>
      <w:fldChar w:fldCharType="begin"/>
    </w:r>
    <w:r>
      <w:rPr>
        <w:color w:val="666666"/>
        <w:sz w:val="16"/>
      </w:rPr>
      <w:instrText xml:space="preserve">PAGE</w:instrText>
    </w:r>
    <w:r>
      <w:rPr>
        <w:color w:val="666666"/>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7">
    <w:nsid w:val="A9943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38">
    <w:nsid w:val="A9943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39">
    <w:nsid w:val="A9943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538">
    <w:nsid w:val="A99538"/>
    <w:multiLevelType w:val="multilevel"/>
    <w:lvl w:ilvl="0">
      <w:start w:val="8"/>
      <w:numFmt w:val="lowerRoman"/>
      <w:lvlText w:val="(%1)"/>
      <w:lvlJc w:val="left"/>
      <w:pPr>
        <w:ind w:left="720" w:hanging="480"/>
      </w:pPr>
    </w:lvl>
    <w:lvl w:ilvl="1">
      <w:start w:val="8"/>
      <w:numFmt w:val="lowerRoman"/>
      <w:lvlText w:val="(%2)"/>
      <w:lvlJc w:val="left"/>
      <w:pPr>
        <w:ind w:left="1440" w:hanging="480"/>
      </w:pPr>
    </w:lvl>
    <w:lvl w:ilvl="2">
      <w:start w:val="8"/>
      <w:numFmt w:val="lowerRoman"/>
      <w:lvlText w:val="(%3)"/>
      <w:lvlJc w:val="left"/>
      <w:pPr>
        <w:ind w:left="2160" w:hanging="480"/>
      </w:pPr>
    </w:lvl>
    <w:lvl w:ilvl="3">
      <w:start w:val="8"/>
      <w:numFmt w:val="lowerRoman"/>
      <w:lvlText w:val="(%4)"/>
      <w:lvlJc w:val="left"/>
      <w:pPr>
        <w:ind w:left="2880" w:hanging="480"/>
      </w:pPr>
    </w:lvl>
    <w:lvl w:ilvl="4">
      <w:start w:val="8"/>
      <w:numFmt w:val="lowerRoman"/>
      <w:lvlText w:val="(%5)"/>
      <w:lvlJc w:val="left"/>
      <w:pPr>
        <w:ind w:left="3600" w:hanging="480"/>
      </w:pPr>
    </w:lvl>
    <w:lvl w:ilvl="5">
      <w:start w:val="8"/>
      <w:numFmt w:val="lowerRoman"/>
      <w:lvlText w:val="(%6)"/>
      <w:lvlJc w:val="left"/>
      <w:pPr>
        <w:ind w:left="4320" w:hanging="480"/>
      </w:pPr>
    </w:lvl>
    <w:lvl w:ilvl="6">
      <w:start w:val="8"/>
      <w:numFmt w:val="lowerRoman"/>
      <w:lvlText w:val="(%7)"/>
      <w:lvlJc w:val="left"/>
      <w:pPr>
        <w:ind w:left="5040" w:hanging="480"/>
      </w:pPr>
    </w:lvl>
    <w:lvl w:ilvl="7">
      <w:start w:val="8"/>
      <w:numFmt w:val="lowerRoman"/>
      <w:lvlText w:val="(%8)"/>
      <w:lvlJc w:val="left"/>
      <w:pPr>
        <w:ind w:left="5760" w:hanging="480"/>
      </w:pPr>
    </w:lvl>
    <w:lvl w:ilvl="8">
      <w:start w:val="8"/>
      <w:numFmt w:val="lowerRoman"/>
      <w:lvlText w:val="(%9)"/>
      <w:lvlJc w:val="left"/>
      <w:pPr>
        <w:ind w:left="6480" w:hanging="480"/>
      </w:pPr>
    </w:lvl>
  </w:abstractNum>
  <w:abstractNum w:abstractNumId="99539">
    <w:nsid w:val="A99539"/>
    <w:multiLevelType w:val="multilevel"/>
    <w:lvl w:ilvl="0">
      <w:start w:val="9"/>
      <w:numFmt w:val="lowerRoman"/>
      <w:lvlText w:val="(%1)"/>
      <w:lvlJc w:val="left"/>
      <w:pPr>
        <w:ind w:left="720" w:hanging="480"/>
      </w:pPr>
    </w:lvl>
    <w:lvl w:ilvl="1">
      <w:start w:val="9"/>
      <w:numFmt w:val="lowerRoman"/>
      <w:lvlText w:val="(%2)"/>
      <w:lvlJc w:val="left"/>
      <w:pPr>
        <w:ind w:left="1440" w:hanging="480"/>
      </w:pPr>
    </w:lvl>
    <w:lvl w:ilvl="2">
      <w:start w:val="9"/>
      <w:numFmt w:val="lowerRoman"/>
      <w:lvlText w:val="(%3)"/>
      <w:lvlJc w:val="left"/>
      <w:pPr>
        <w:ind w:left="2160" w:hanging="480"/>
      </w:pPr>
    </w:lvl>
    <w:lvl w:ilvl="3">
      <w:start w:val="9"/>
      <w:numFmt w:val="lowerRoman"/>
      <w:lvlText w:val="(%4)"/>
      <w:lvlJc w:val="left"/>
      <w:pPr>
        <w:ind w:left="2880" w:hanging="480"/>
      </w:pPr>
    </w:lvl>
    <w:lvl w:ilvl="4">
      <w:start w:val="9"/>
      <w:numFmt w:val="lowerRoman"/>
      <w:lvlText w:val="(%5)"/>
      <w:lvlJc w:val="left"/>
      <w:pPr>
        <w:ind w:left="3600" w:hanging="480"/>
      </w:pPr>
    </w:lvl>
    <w:lvl w:ilvl="5">
      <w:start w:val="9"/>
      <w:numFmt w:val="lowerRoman"/>
      <w:lvlText w:val="(%6)"/>
      <w:lvlJc w:val="left"/>
      <w:pPr>
        <w:ind w:left="4320" w:hanging="480"/>
      </w:pPr>
    </w:lvl>
    <w:lvl w:ilvl="6">
      <w:start w:val="9"/>
      <w:numFmt w:val="lowerRoman"/>
      <w:lvlText w:val="(%7)"/>
      <w:lvlJc w:val="left"/>
      <w:pPr>
        <w:ind w:left="5040" w:hanging="480"/>
      </w:pPr>
    </w:lvl>
    <w:lvl w:ilvl="7">
      <w:start w:val="9"/>
      <w:numFmt w:val="lowerRoman"/>
      <w:lvlText w:val="(%8)"/>
      <w:lvlJc w:val="left"/>
      <w:pPr>
        <w:ind w:left="5760" w:hanging="480"/>
      </w:pPr>
    </w:lvl>
    <w:lvl w:ilvl="8">
      <w:start w:val="9"/>
      <w:numFmt w:val="lowerRoman"/>
      <w:lvlText w:val="(%9)"/>
      <w:lvlJc w:val="left"/>
      <w:pPr>
        <w:ind w:left="6480" w:hanging="480"/>
      </w:pPr>
    </w:lvl>
  </w:abstractNum>
  <w:abstractNum w:abstractNumId="997324">
    <w:nsid w:val="A997324"/>
    <w:multiLevelType w:val="multilevel"/>
    <w:lvl w:ilvl="0">
      <w:start w:val="24"/>
      <w:numFmt w:val="lowerLetter"/>
      <w:lvlText w:val="(%1)"/>
      <w:lvlJc w:val="left"/>
      <w:pPr>
        <w:ind w:left="720" w:hanging="480"/>
      </w:pPr>
    </w:lvl>
    <w:lvl w:ilvl="1">
      <w:start w:val="24"/>
      <w:numFmt w:val="lowerLetter"/>
      <w:lvlText w:val="(%2)"/>
      <w:lvlJc w:val="left"/>
      <w:pPr>
        <w:ind w:left="1440" w:hanging="480"/>
      </w:pPr>
    </w:lvl>
    <w:lvl w:ilvl="2">
      <w:start w:val="24"/>
      <w:numFmt w:val="lowerLetter"/>
      <w:lvlText w:val="(%3)"/>
      <w:lvlJc w:val="left"/>
      <w:pPr>
        <w:ind w:left="2160" w:hanging="480"/>
      </w:pPr>
    </w:lvl>
    <w:lvl w:ilvl="3">
      <w:start w:val="24"/>
      <w:numFmt w:val="lowerLetter"/>
      <w:lvlText w:val="(%4)"/>
      <w:lvlJc w:val="left"/>
      <w:pPr>
        <w:ind w:left="2880" w:hanging="480"/>
      </w:pPr>
    </w:lvl>
    <w:lvl w:ilvl="4">
      <w:start w:val="24"/>
      <w:numFmt w:val="lowerLetter"/>
      <w:lvlText w:val="(%5)"/>
      <w:lvlJc w:val="left"/>
      <w:pPr>
        <w:ind w:left="3600" w:hanging="480"/>
      </w:pPr>
    </w:lvl>
    <w:lvl w:ilvl="5">
      <w:start w:val="24"/>
      <w:numFmt w:val="lowerLetter"/>
      <w:lvlText w:val="(%6)"/>
      <w:lvlJc w:val="left"/>
      <w:pPr>
        <w:ind w:left="4320" w:hanging="480"/>
      </w:pPr>
    </w:lvl>
    <w:lvl w:ilvl="6">
      <w:start w:val="24"/>
      <w:numFmt w:val="lowerLetter"/>
      <w:lvlText w:val="(%7)"/>
      <w:lvlJc w:val="left"/>
      <w:pPr>
        <w:ind w:left="5040" w:hanging="480"/>
      </w:pPr>
    </w:lvl>
    <w:lvl w:ilvl="7">
      <w:start w:val="24"/>
      <w:numFmt w:val="lowerLetter"/>
      <w:lvlText w:val="(%8)"/>
      <w:lvlJc w:val="left"/>
      <w:pPr>
        <w:ind w:left="5760" w:hanging="480"/>
      </w:pPr>
    </w:lvl>
    <w:lvl w:ilvl="8">
      <w:start w:val="24"/>
      <w:numFmt w:val="lowerLetter"/>
      <w:lvlText w:val="(%9)"/>
      <w:lvlJc w:val="left"/>
      <w:pPr>
        <w:ind w:left="6480" w:hanging="480"/>
      </w:pPr>
    </w:lvl>
  </w:abstractNum>
  <w:abstractNum w:abstractNumId="995311">
    <w:nsid w:val="A995311"/>
    <w:multiLevelType w:val="multilevel"/>
    <w:lvl w:ilvl="0">
      <w:start w:val="11"/>
      <w:numFmt w:val="lowerRoman"/>
      <w:lvlText w:val="(%1)"/>
      <w:lvlJc w:val="left"/>
      <w:pPr>
        <w:ind w:left="720" w:hanging="480"/>
      </w:pPr>
    </w:lvl>
    <w:lvl w:ilvl="1">
      <w:start w:val="11"/>
      <w:numFmt w:val="lowerRoman"/>
      <w:lvlText w:val="(%2)"/>
      <w:lvlJc w:val="left"/>
      <w:pPr>
        <w:ind w:left="1440" w:hanging="480"/>
      </w:pPr>
    </w:lvl>
    <w:lvl w:ilvl="2">
      <w:start w:val="11"/>
      <w:numFmt w:val="lowerRoman"/>
      <w:lvlText w:val="(%3)"/>
      <w:lvlJc w:val="left"/>
      <w:pPr>
        <w:ind w:left="2160" w:hanging="480"/>
      </w:pPr>
    </w:lvl>
    <w:lvl w:ilvl="3">
      <w:start w:val="11"/>
      <w:numFmt w:val="lowerRoman"/>
      <w:lvlText w:val="(%4)"/>
      <w:lvlJc w:val="left"/>
      <w:pPr>
        <w:ind w:left="2880" w:hanging="480"/>
      </w:pPr>
    </w:lvl>
    <w:lvl w:ilvl="4">
      <w:start w:val="11"/>
      <w:numFmt w:val="lowerRoman"/>
      <w:lvlText w:val="(%5)"/>
      <w:lvlJc w:val="left"/>
      <w:pPr>
        <w:ind w:left="3600" w:hanging="480"/>
      </w:pPr>
    </w:lvl>
    <w:lvl w:ilvl="5">
      <w:start w:val="11"/>
      <w:numFmt w:val="lowerRoman"/>
      <w:lvlText w:val="(%6)"/>
      <w:lvlJc w:val="left"/>
      <w:pPr>
        <w:ind w:left="4320" w:hanging="480"/>
      </w:pPr>
    </w:lvl>
    <w:lvl w:ilvl="6">
      <w:start w:val="11"/>
      <w:numFmt w:val="lowerRoman"/>
      <w:lvlText w:val="(%7)"/>
      <w:lvlJc w:val="left"/>
      <w:pPr>
        <w:ind w:left="5040" w:hanging="480"/>
      </w:pPr>
    </w:lvl>
    <w:lvl w:ilvl="7">
      <w:start w:val="11"/>
      <w:numFmt w:val="lowerRoman"/>
      <w:lvlText w:val="(%8)"/>
      <w:lvlJc w:val="left"/>
      <w:pPr>
        <w:ind w:left="5760" w:hanging="480"/>
      </w:pPr>
    </w:lvl>
    <w:lvl w:ilvl="8">
      <w:start w:val="11"/>
      <w:numFmt w:val="lowerRoman"/>
      <w:lvlText w:val="(%9)"/>
      <w:lvlJc w:val="left"/>
      <w:pPr>
        <w:ind w:left="6480" w:hanging="480"/>
      </w:pPr>
    </w:lvl>
  </w:abstractNum>
  <w:abstractNum w:abstractNumId="995312">
    <w:nsid w:val="A995312"/>
    <w:multiLevelType w:val="multilevel"/>
    <w:lvl w:ilvl="0">
      <w:start w:val="12"/>
      <w:numFmt w:val="lowerRoman"/>
      <w:lvlText w:val="(%1)"/>
      <w:lvlJc w:val="left"/>
      <w:pPr>
        <w:ind w:left="720" w:hanging="480"/>
      </w:pPr>
    </w:lvl>
    <w:lvl w:ilvl="1">
      <w:start w:val="12"/>
      <w:numFmt w:val="lowerRoman"/>
      <w:lvlText w:val="(%2)"/>
      <w:lvlJc w:val="left"/>
      <w:pPr>
        <w:ind w:left="1440" w:hanging="480"/>
      </w:pPr>
    </w:lvl>
    <w:lvl w:ilvl="2">
      <w:start w:val="12"/>
      <w:numFmt w:val="lowerRoman"/>
      <w:lvlText w:val="(%3)"/>
      <w:lvlJc w:val="left"/>
      <w:pPr>
        <w:ind w:left="2160" w:hanging="480"/>
      </w:pPr>
    </w:lvl>
    <w:lvl w:ilvl="3">
      <w:start w:val="12"/>
      <w:numFmt w:val="lowerRoman"/>
      <w:lvlText w:val="(%4)"/>
      <w:lvlJc w:val="left"/>
      <w:pPr>
        <w:ind w:left="2880" w:hanging="480"/>
      </w:pPr>
    </w:lvl>
    <w:lvl w:ilvl="4">
      <w:start w:val="12"/>
      <w:numFmt w:val="lowerRoman"/>
      <w:lvlText w:val="(%5)"/>
      <w:lvlJc w:val="left"/>
      <w:pPr>
        <w:ind w:left="3600" w:hanging="480"/>
      </w:pPr>
    </w:lvl>
    <w:lvl w:ilvl="5">
      <w:start w:val="12"/>
      <w:numFmt w:val="lowerRoman"/>
      <w:lvlText w:val="(%6)"/>
      <w:lvlJc w:val="left"/>
      <w:pPr>
        <w:ind w:left="4320" w:hanging="480"/>
      </w:pPr>
    </w:lvl>
    <w:lvl w:ilvl="6">
      <w:start w:val="12"/>
      <w:numFmt w:val="lowerRoman"/>
      <w:lvlText w:val="(%7)"/>
      <w:lvlJc w:val="left"/>
      <w:pPr>
        <w:ind w:left="5040" w:hanging="480"/>
      </w:pPr>
    </w:lvl>
    <w:lvl w:ilvl="7">
      <w:start w:val="12"/>
      <w:numFmt w:val="lowerRoman"/>
      <w:lvlText w:val="(%8)"/>
      <w:lvlJc w:val="left"/>
      <w:pPr>
        <w:ind w:left="5760" w:hanging="480"/>
      </w:pPr>
    </w:lvl>
    <w:lvl w:ilvl="8">
      <w:start w:val="12"/>
      <w:numFmt w:val="lowerRoman"/>
      <w:lvlText w:val="(%9)"/>
      <w:lvlJc w:val="left"/>
      <w:pPr>
        <w:ind w:left="6480" w:hanging="480"/>
      </w:pPr>
    </w:lvl>
  </w:abstractNum>
  <w:abstractNum w:abstractNumId="995313">
    <w:nsid w:val="A995313"/>
    <w:multiLevelType w:val="multilevel"/>
    <w:lvl w:ilvl="0">
      <w:start w:val="13"/>
      <w:numFmt w:val="lowerRoman"/>
      <w:lvlText w:val="(%1)"/>
      <w:lvlJc w:val="left"/>
      <w:pPr>
        <w:ind w:left="720" w:hanging="480"/>
      </w:pPr>
    </w:lvl>
    <w:lvl w:ilvl="1">
      <w:start w:val="13"/>
      <w:numFmt w:val="lowerRoman"/>
      <w:lvlText w:val="(%2)"/>
      <w:lvlJc w:val="left"/>
      <w:pPr>
        <w:ind w:left="1440" w:hanging="480"/>
      </w:pPr>
    </w:lvl>
    <w:lvl w:ilvl="2">
      <w:start w:val="13"/>
      <w:numFmt w:val="lowerRoman"/>
      <w:lvlText w:val="(%3)"/>
      <w:lvlJc w:val="left"/>
      <w:pPr>
        <w:ind w:left="2160" w:hanging="480"/>
      </w:pPr>
    </w:lvl>
    <w:lvl w:ilvl="3">
      <w:start w:val="13"/>
      <w:numFmt w:val="lowerRoman"/>
      <w:lvlText w:val="(%4)"/>
      <w:lvlJc w:val="left"/>
      <w:pPr>
        <w:ind w:left="2880" w:hanging="480"/>
      </w:pPr>
    </w:lvl>
    <w:lvl w:ilvl="4">
      <w:start w:val="13"/>
      <w:numFmt w:val="lowerRoman"/>
      <w:lvlText w:val="(%5)"/>
      <w:lvlJc w:val="left"/>
      <w:pPr>
        <w:ind w:left="3600" w:hanging="480"/>
      </w:pPr>
    </w:lvl>
    <w:lvl w:ilvl="5">
      <w:start w:val="13"/>
      <w:numFmt w:val="lowerRoman"/>
      <w:lvlText w:val="(%6)"/>
      <w:lvlJc w:val="left"/>
      <w:pPr>
        <w:ind w:left="4320" w:hanging="480"/>
      </w:pPr>
    </w:lvl>
    <w:lvl w:ilvl="6">
      <w:start w:val="13"/>
      <w:numFmt w:val="lowerRoman"/>
      <w:lvlText w:val="(%7)"/>
      <w:lvlJc w:val="left"/>
      <w:pPr>
        <w:ind w:left="5040" w:hanging="480"/>
      </w:pPr>
    </w:lvl>
    <w:lvl w:ilvl="7">
      <w:start w:val="13"/>
      <w:numFmt w:val="lowerRoman"/>
      <w:lvlText w:val="(%8)"/>
      <w:lvlJc w:val="left"/>
      <w:pPr>
        <w:ind w:left="5760" w:hanging="480"/>
      </w:pPr>
    </w:lvl>
    <w:lvl w:ilvl="8">
      <w:start w:val="13"/>
      <w:numFmt w:val="lowerRoman"/>
      <w:lvlText w:val="(%9)"/>
      <w:lvlJc w:val="left"/>
      <w:pPr>
        <w:ind w:left="6480" w:hanging="480"/>
      </w:pPr>
    </w:lvl>
  </w:abstractNum>
  <w:abstractNum w:abstractNumId="995316">
    <w:nsid w:val="A995316"/>
    <w:multiLevelType w:val="multilevel"/>
    <w:lvl w:ilvl="0">
      <w:start w:val="16"/>
      <w:numFmt w:val="lowerRoman"/>
      <w:lvlText w:val="(%1)"/>
      <w:lvlJc w:val="left"/>
      <w:pPr>
        <w:ind w:left="720" w:hanging="480"/>
      </w:pPr>
    </w:lvl>
    <w:lvl w:ilvl="1">
      <w:start w:val="16"/>
      <w:numFmt w:val="lowerRoman"/>
      <w:lvlText w:val="(%2)"/>
      <w:lvlJc w:val="left"/>
      <w:pPr>
        <w:ind w:left="1440" w:hanging="480"/>
      </w:pPr>
    </w:lvl>
    <w:lvl w:ilvl="2">
      <w:start w:val="16"/>
      <w:numFmt w:val="lowerRoman"/>
      <w:lvlText w:val="(%3)"/>
      <w:lvlJc w:val="left"/>
      <w:pPr>
        <w:ind w:left="2160" w:hanging="480"/>
      </w:pPr>
    </w:lvl>
    <w:lvl w:ilvl="3">
      <w:start w:val="16"/>
      <w:numFmt w:val="lowerRoman"/>
      <w:lvlText w:val="(%4)"/>
      <w:lvlJc w:val="left"/>
      <w:pPr>
        <w:ind w:left="2880" w:hanging="480"/>
      </w:pPr>
    </w:lvl>
    <w:lvl w:ilvl="4">
      <w:start w:val="16"/>
      <w:numFmt w:val="lowerRoman"/>
      <w:lvlText w:val="(%5)"/>
      <w:lvlJc w:val="left"/>
      <w:pPr>
        <w:ind w:left="3600" w:hanging="480"/>
      </w:pPr>
    </w:lvl>
    <w:lvl w:ilvl="5">
      <w:start w:val="16"/>
      <w:numFmt w:val="lowerRoman"/>
      <w:lvlText w:val="(%6)"/>
      <w:lvlJc w:val="left"/>
      <w:pPr>
        <w:ind w:left="4320" w:hanging="480"/>
      </w:pPr>
    </w:lvl>
    <w:lvl w:ilvl="6">
      <w:start w:val="16"/>
      <w:numFmt w:val="lowerRoman"/>
      <w:lvlText w:val="(%7)"/>
      <w:lvlJc w:val="left"/>
      <w:pPr>
        <w:ind w:left="5040" w:hanging="480"/>
      </w:pPr>
    </w:lvl>
    <w:lvl w:ilvl="7">
      <w:start w:val="16"/>
      <w:numFmt w:val="lowerRoman"/>
      <w:lvlText w:val="(%8)"/>
      <w:lvlJc w:val="left"/>
      <w:pPr>
        <w:ind w:left="5760" w:hanging="480"/>
      </w:pPr>
    </w:lvl>
    <w:lvl w:ilvl="8">
      <w:start w:val="16"/>
      <w:numFmt w:val="lowerRoman"/>
      <w:lvlText w:val="(%9)"/>
      <w:lvlJc w:val="left"/>
      <w:pPr>
        <w:ind w:left="6480" w:hanging="480"/>
      </w:pPr>
    </w:lvl>
  </w:abstractNum>
  <w:abstractNum w:abstractNumId="995317">
    <w:nsid w:val="A995317"/>
    <w:multiLevelType w:val="multilevel"/>
    <w:lvl w:ilvl="0">
      <w:start w:val="17"/>
      <w:numFmt w:val="lowerRoman"/>
      <w:lvlText w:val="(%1)"/>
      <w:lvlJc w:val="left"/>
      <w:pPr>
        <w:ind w:left="720" w:hanging="480"/>
      </w:pPr>
    </w:lvl>
    <w:lvl w:ilvl="1">
      <w:start w:val="17"/>
      <w:numFmt w:val="lowerRoman"/>
      <w:lvlText w:val="(%2)"/>
      <w:lvlJc w:val="left"/>
      <w:pPr>
        <w:ind w:left="1440" w:hanging="480"/>
      </w:pPr>
    </w:lvl>
    <w:lvl w:ilvl="2">
      <w:start w:val="17"/>
      <w:numFmt w:val="lowerRoman"/>
      <w:lvlText w:val="(%3)"/>
      <w:lvlJc w:val="left"/>
      <w:pPr>
        <w:ind w:left="2160" w:hanging="480"/>
      </w:pPr>
    </w:lvl>
    <w:lvl w:ilvl="3">
      <w:start w:val="17"/>
      <w:numFmt w:val="lowerRoman"/>
      <w:lvlText w:val="(%4)"/>
      <w:lvlJc w:val="left"/>
      <w:pPr>
        <w:ind w:left="2880" w:hanging="480"/>
      </w:pPr>
    </w:lvl>
    <w:lvl w:ilvl="4">
      <w:start w:val="17"/>
      <w:numFmt w:val="lowerRoman"/>
      <w:lvlText w:val="(%5)"/>
      <w:lvlJc w:val="left"/>
      <w:pPr>
        <w:ind w:left="3600" w:hanging="480"/>
      </w:pPr>
    </w:lvl>
    <w:lvl w:ilvl="5">
      <w:start w:val="17"/>
      <w:numFmt w:val="lowerRoman"/>
      <w:lvlText w:val="(%6)"/>
      <w:lvlJc w:val="left"/>
      <w:pPr>
        <w:ind w:left="4320" w:hanging="480"/>
      </w:pPr>
    </w:lvl>
    <w:lvl w:ilvl="6">
      <w:start w:val="17"/>
      <w:numFmt w:val="lowerRoman"/>
      <w:lvlText w:val="(%7)"/>
      <w:lvlJc w:val="left"/>
      <w:pPr>
        <w:ind w:left="5040" w:hanging="480"/>
      </w:pPr>
    </w:lvl>
    <w:lvl w:ilvl="7">
      <w:start w:val="17"/>
      <w:numFmt w:val="lowerRoman"/>
      <w:lvlText w:val="(%8)"/>
      <w:lvlJc w:val="left"/>
      <w:pPr>
        <w:ind w:left="5760" w:hanging="480"/>
      </w:pPr>
    </w:lvl>
    <w:lvl w:ilvl="8">
      <w:start w:val="17"/>
      <w:numFmt w:val="lowerRoman"/>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1"/>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1"/>
  </w:num>
  <w:num w:numId="1485">
    <w:abstractNumId w:val="991"/>
  </w:num>
  <w:num w:numId="1486">
    <w:abstractNumId w:val="991"/>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3">
    <w:abstractNumId w:val="991"/>
  </w:num>
  <w:num w:numId="1604">
    <w:abstractNumId w:val="991"/>
  </w:num>
  <w:num w:numId="16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9">
    <w:abstractNumId w:val="991"/>
  </w:num>
  <w:num w:numId="169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4">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785">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786">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2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22">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23">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924">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925">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926">
    <w:abstractNumId w:val="995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927">
    <w:abstractNumId w:val="995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928">
    <w:abstractNumId w:val="997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929">
    <w:abstractNumId w:val="995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930">
    <w:abstractNumId w:val="995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931">
    <w:abstractNumId w:val="995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932">
    <w:abstractNumId w:val="995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933">
    <w:abstractNumId w:val="995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2">
    <w:abstractNumId w:val="991"/>
  </w:num>
  <w:num w:numId="2033">
    <w:abstractNumId w:val="991"/>
  </w:num>
  <w:num w:numId="2034">
    <w:abstractNumId w:val="991"/>
  </w:num>
  <w:num w:numId="203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2036">
    <w:abstractNumId w:val="991"/>
  </w:num>
  <w:num w:numId="203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2038">
    <w:abstractNumId w:val="991"/>
  </w:num>
  <w:num w:numId="203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2040">
    <w:abstractNumId w:val="991"/>
  </w:num>
  <w:num w:numId="204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2042">
    <w:abstractNumId w:val="991"/>
  </w:num>
  <w:num w:numId="204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2044">
    <w:abstractNumId w:val="991"/>
  </w:num>
  <w:num w:numId="204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2046">
    <w:abstractNumId w:val="991"/>
  </w:num>
  <w:num w:numId="204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2048">
    <w:abstractNumId w:val="991"/>
  </w:num>
  <w:num w:numId="204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2050">
    <w:abstractNumId w:val="991"/>
  </w:num>
  <w:num w:numId="2051">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2052">
    <w:abstractNumId w:val="991"/>
  </w:num>
  <w:num w:numId="2053">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2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2">
    <w:abstractNumId w:val="991"/>
  </w:num>
  <w:num w:numId="2063">
    <w:abstractNumId w:val="991"/>
  </w:num>
  <w:num w:numId="2064">
    <w:abstractNumId w:val="991"/>
  </w:num>
  <w:num w:numId="2065">
    <w:abstractNumId w:val="991"/>
  </w:num>
  <w:num w:numId="2066">
    <w:abstractNumId w:val="991"/>
  </w:num>
  <w:num w:numId="2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2068">
    <w:abstractNumId w:val="991"/>
  </w:num>
  <w:num w:numId="2069">
    <w:abstractNumId w:val="991"/>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1"/>
  </w:num>
  <w:num w:numId="2096">
    <w:abstractNumId w:val="991"/>
  </w:num>
  <w:num w:numId="2097">
    <w:abstractNumId w:val="991"/>
  </w:num>
  <w:num w:numId="2098">
    <w:abstractNumId w:val="991"/>
  </w:num>
  <w:num w:numId="2099">
    <w:abstractNumId w:val="991"/>
  </w:num>
  <w:num w:numId="2100">
    <w:abstractNumId w:val="991"/>
  </w:num>
  <w:num w:numId="2101">
    <w:abstractNumId w:val="991"/>
  </w:num>
  <w:num w:numId="2102">
    <w:abstractNumId w:val="991"/>
  </w:num>
  <w:num w:numId="2103">
    <w:abstractNumId w:val="991"/>
  </w:num>
  <w:num w:numId="2104">
    <w:abstractNumId w:val="991"/>
  </w:num>
  <w:num w:numId="2105">
    <w:abstractNumId w:val="991"/>
  </w:num>
  <w:num w:numId="2106">
    <w:abstractNumId w:val="991"/>
  </w:num>
  <w:num w:numId="2107">
    <w:abstractNumId w:val="991"/>
  </w:num>
  <w:num w:numId="2108">
    <w:abstractNumId w:val="991"/>
  </w:num>
  <w:num w:numId="2109">
    <w:abstractNumId w:val="991"/>
  </w:num>
  <w:num w:numId="2110">
    <w:abstractNumId w:val="991"/>
  </w:num>
  <w:num w:numId="2111">
    <w:abstractNumId w:val="991"/>
  </w:num>
  <w:num w:numId="2112">
    <w:abstractNumId w:val="991"/>
  </w:num>
  <w:num w:numId="2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4">
    <w:abstractNumId w:val="991"/>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1"/>
  </w:num>
  <w:num w:numId="2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1"/>
  </w:num>
  <w:num w:numId="2128">
    <w:abstractNumId w:val="991"/>
  </w:num>
  <w:num w:numId="2129">
    <w:abstractNumId w:val="991"/>
  </w:num>
  <w:num w:numId="2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1"/>
  </w:num>
  <w:num w:numId="2139">
    <w:abstractNumId w:val="991"/>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1"/>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1"/>
  </w:num>
  <w:num w:numId="2180">
    <w:abstractNumId w:val="991"/>
  </w:num>
  <w:num w:numId="21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20" w:before="180"/>
    </w:pPr>
    <w:qFormat/>
    <w:rPr>
      <w:rFonts w:ascii="Calibri" w:cs="Calibri" w:eastAsia="Calibri" w:hAnsi="Calibri"/>
      <w:sz w:val="21"/>
    </w:rPr>
  </w:style>
  <w:style w:customStyle="1" w:styleId="FirstParagraph" w:type="paragraph">
    <w:name w:val="First Paragraph"/>
    <w:basedOn w:val="BodyText"/>
    <w:next w:val="BodyText"/>
    <w:qFormat/>
    <w:pPr>
      <w:spacing w:after="120"/>
    </w:pPr>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1F3A5F"/>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1F3A5F" w:space="6" w:sz="18" w:val="single"/>
      </w:pBdr>
      <w:spacing w:after="100" w:before="100"/>
      <w:ind w:firstLine="0" w:left="480" w:right="480"/>
      <w:shd w:color="auto" w:fill="EAF1F8" w:val="clear"/>
    </w:pPr>
    <w:rPr>
      <w:rFonts w:ascii="Calibri" w:cs="Calibri" w:eastAsia="Calibri" w:hAnsi="Calibri"/>
      <w:i w:val="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2026-10-24T06:42:24Z</dcterms:created>
  <dcterms:modified xsi:type="dcterms:W3CDTF">2026-10-24T06:42:24Z</dcterms:modified>
</cp:coreProperties>
</file>

<file path=docProps/custom.xml><?xml version="1.0" encoding="utf-8"?>
<Properties xmlns="http://schemas.openxmlformats.org/officeDocument/2006/custom-properties" xmlns:vt="http://schemas.openxmlformats.org/officeDocument/2006/docPropsVTypes"/>
</file>